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085E6C">
      <w:pPr>
        <w:ind w:left="420"/>
        <w:rPr>
          <w:rFonts w:hint="eastAsia" w:eastAsia="隶书"/>
          <w:b/>
          <w:bCs/>
          <w:spacing w:val="-20"/>
          <w:sz w:val="72"/>
        </w:rPr>
      </w:pPr>
      <w:r>
        <w:drawing>
          <wp:inline distT="0" distB="0" distL="114300" distR="114300">
            <wp:extent cx="2987040" cy="882650"/>
            <wp:effectExtent l="0" t="0" r="10160"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44"/>
                    <a:stretch>
                      <a:fillRect/>
                    </a:stretch>
                  </pic:blipFill>
                  <pic:spPr>
                    <a:xfrm>
                      <a:off x="0" y="0"/>
                      <a:ext cx="2987040" cy="882650"/>
                    </a:xfrm>
                    <a:prstGeom prst="rect">
                      <a:avLst/>
                    </a:prstGeom>
                    <a:noFill/>
                    <a:ln>
                      <a:noFill/>
                    </a:ln>
                  </pic:spPr>
                </pic:pic>
              </a:graphicData>
            </a:graphic>
          </wp:inline>
        </w:drawing>
      </w:r>
    </w:p>
    <w:p w14:paraId="57CC68D7">
      <w:pPr>
        <w:ind w:left="420"/>
        <w:rPr>
          <w:rFonts w:hint="eastAsia" w:ascii="黑体" w:eastAsia="黑体"/>
          <w:b/>
          <w:bCs/>
          <w:spacing w:val="-20"/>
          <w:szCs w:val="21"/>
        </w:rPr>
      </w:pPr>
    </w:p>
    <w:p w14:paraId="20E6AF10">
      <w:pPr>
        <w:rPr>
          <w:rFonts w:hint="eastAsia"/>
        </w:rPr>
      </w:pPr>
    </w:p>
    <w:p w14:paraId="199B0903">
      <w:pPr>
        <w:rPr>
          <w:rFonts w:hint="eastAsia"/>
        </w:rPr>
      </w:pPr>
    </w:p>
    <w:p w14:paraId="6779CA8F">
      <w:pPr>
        <w:rPr>
          <w:rFonts w:hint="eastAsia"/>
        </w:rPr>
      </w:pPr>
    </w:p>
    <w:p w14:paraId="5A67468B">
      <w:pPr>
        <w:rPr>
          <w:rFonts w:hint="eastAsia"/>
        </w:rPr>
      </w:pPr>
    </w:p>
    <w:p w14:paraId="1CA9AF25">
      <w:pPr>
        <w:rPr>
          <w:rFonts w:hint="eastAsia"/>
        </w:rPr>
      </w:pPr>
    </w:p>
    <w:p w14:paraId="3651FD04">
      <w:pPr>
        <w:rPr>
          <w:rFonts w:hint="eastAsia"/>
        </w:rPr>
      </w:pPr>
    </w:p>
    <w:p w14:paraId="0C6A9C94">
      <w:pPr>
        <w:rPr>
          <w:rFonts w:hint="eastAsia"/>
        </w:rPr>
      </w:pPr>
    </w:p>
    <w:p w14:paraId="253B70F2">
      <w:pPr>
        <w:spacing w:line="360" w:lineRule="auto"/>
        <w:jc w:val="center"/>
        <w:rPr>
          <w:rFonts w:hint="eastAsia" w:ascii="楷体_GB2312" w:hAnsi="宋体" w:eastAsia="楷体_GB2312"/>
          <w:spacing w:val="14"/>
          <w:sz w:val="44"/>
          <w:szCs w:val="44"/>
        </w:rPr>
      </w:pPr>
      <w:r>
        <w:rPr>
          <w:rFonts w:ascii="方正小标宋简体" w:hAnsi="方正小标宋简体" w:eastAsia="方正小标宋简体" w:cs="方正小标宋简体"/>
          <w:b/>
          <w:spacing w:val="14"/>
          <w:sz w:val="44"/>
        </w:rPr>
        <w:t>2025—2026 学年第二学期</w:t>
      </w:r>
    </w:p>
    <w:p w14:paraId="75F28B90">
      <w:pPr>
        <w:spacing w:before="156" w:beforeLines="50" w:after="156" w:afterLines="50" w:line="360" w:lineRule="auto"/>
        <w:jc w:val="center"/>
        <w:rPr>
          <w:rFonts w:hint="eastAsia" w:ascii="方正小标宋简体" w:hAnsi="方正小标宋简体" w:eastAsia="方正小标宋简体" w:cs="方正小标宋简体"/>
          <w:b/>
          <w:spacing w:val="14"/>
          <w:sz w:val="72"/>
          <w:szCs w:val="72"/>
        </w:rPr>
      </w:pPr>
      <w:r>
        <w:rPr>
          <w:rFonts w:hint="eastAsia" w:ascii="方正小标宋简体" w:hAnsi="方正小标宋简体" w:eastAsia="方正小标宋简体" w:cs="方正小标宋简体"/>
          <w:b/>
          <w:spacing w:val="14"/>
          <w:sz w:val="72"/>
          <w:szCs w:val="72"/>
        </w:rPr>
        <w:t>音乐学（</w:t>
      </w:r>
      <w:r>
        <w:rPr>
          <w:rFonts w:hint="eastAsia" w:ascii="方正小标宋简体" w:hAnsi="方正小标宋简体" w:eastAsia="方正小标宋简体" w:cs="方正小标宋简体"/>
          <w:b/>
          <w:spacing w:val="14"/>
          <w:sz w:val="72"/>
          <w:szCs w:val="72"/>
          <w:lang w:val="en-US" w:eastAsia="zh-CN"/>
        </w:rPr>
        <w:t>音乐教育</w:t>
      </w:r>
      <w:r>
        <w:rPr>
          <w:rFonts w:hint="eastAsia" w:ascii="方正小标宋简体" w:hAnsi="方正小标宋简体" w:eastAsia="方正小标宋简体" w:cs="方正小标宋简体"/>
          <w:b/>
          <w:spacing w:val="14"/>
          <w:sz w:val="72"/>
          <w:szCs w:val="72"/>
        </w:rPr>
        <w:t>）专业</w:t>
      </w:r>
    </w:p>
    <w:p w14:paraId="61A4B944">
      <w:pPr>
        <w:spacing w:before="156" w:beforeLines="50" w:after="156" w:afterLines="50" w:line="360" w:lineRule="auto"/>
        <w:jc w:val="center"/>
        <w:rPr>
          <w:rFonts w:hint="eastAsia" w:ascii="方正小标宋简体" w:hAnsi="方正小标宋简体" w:eastAsia="方正小标宋简体" w:cs="方正小标宋简体"/>
          <w:b/>
          <w:color w:val="FF0000"/>
          <w:spacing w:val="14"/>
          <w:sz w:val="72"/>
          <w:szCs w:val="72"/>
        </w:rPr>
      </w:pPr>
      <w:r>
        <w:rPr>
          <w:rFonts w:hint="eastAsia" w:ascii="方正小标宋简体" w:hAnsi="方正小标宋简体" w:eastAsia="方正小标宋简体" w:cs="方正小标宋简体"/>
          <w:b/>
          <w:spacing w:val="14"/>
          <w:sz w:val="72"/>
          <w:szCs w:val="72"/>
        </w:rPr>
        <w:t>课程教学大纲汇编</w:t>
      </w:r>
    </w:p>
    <w:p w14:paraId="37F9A9A0">
      <w:pPr>
        <w:spacing w:before="312" w:beforeLines="100" w:after="156" w:afterLines="50" w:line="360" w:lineRule="auto"/>
        <w:jc w:val="center"/>
        <w:rPr>
          <w:rFonts w:hint="eastAsia" w:ascii="宋体" w:hAnsi="宋体"/>
          <w:spacing w:val="14"/>
          <w:sz w:val="44"/>
          <w:szCs w:val="44"/>
        </w:rPr>
      </w:pPr>
    </w:p>
    <w:p w14:paraId="289E6C59">
      <w:pPr>
        <w:rPr>
          <w:rFonts w:hint="eastAsia" w:ascii="Arial" w:hAnsi="Arial" w:eastAsia="楷体_GB2312"/>
          <w:sz w:val="36"/>
        </w:rPr>
      </w:pPr>
    </w:p>
    <w:p w14:paraId="47A2C91D">
      <w:pPr>
        <w:rPr>
          <w:rFonts w:hint="eastAsia" w:ascii="Arial" w:hAnsi="Arial" w:eastAsia="楷体_GB2312"/>
          <w:sz w:val="36"/>
        </w:rPr>
      </w:pPr>
    </w:p>
    <w:p w14:paraId="6BD897A2">
      <w:pPr>
        <w:jc w:val="center"/>
        <w:rPr>
          <w:rFonts w:hint="eastAsia" w:ascii="宋体" w:hAnsi="宋体" w:eastAsia="宋体" w:cs="宋体"/>
          <w:b/>
          <w:bCs/>
          <w:sz w:val="44"/>
          <w:szCs w:val="44"/>
          <w:lang w:val="en-US" w:eastAsia="zh-Hans"/>
        </w:rPr>
      </w:pPr>
      <w:bookmarkStart w:id="230" w:name="_GoBack"/>
      <w:r>
        <w:rPr>
          <w:rFonts w:hint="eastAsia" w:ascii="宋体" w:hAnsi="宋体" w:cs="宋体"/>
          <w:b/>
          <w:bCs/>
          <w:sz w:val="44"/>
          <w:szCs w:val="44"/>
        </w:rPr>
        <w:t>开课单位：</w:t>
      </w:r>
      <w:r>
        <w:rPr>
          <w:rFonts w:hint="eastAsia" w:ascii="宋体" w:hAnsi="宋体" w:cs="宋体"/>
          <w:b/>
          <w:bCs/>
          <w:sz w:val="44"/>
          <w:szCs w:val="44"/>
          <w:lang w:val="en-US" w:eastAsia="zh-Hans"/>
        </w:rPr>
        <w:t>教育与音乐学院</w:t>
      </w:r>
    </w:p>
    <w:p w14:paraId="4F30BBC6">
      <w:pPr>
        <w:jc w:val="center"/>
        <w:rPr>
          <w:rFonts w:hint="default" w:ascii="宋体" w:hAnsi="宋体" w:eastAsia="宋体" w:cs="宋体"/>
          <w:b/>
          <w:bCs/>
          <w:sz w:val="44"/>
          <w:szCs w:val="44"/>
          <w:lang w:val="en-US" w:eastAsia="zh-Hans"/>
        </w:rPr>
      </w:pPr>
      <w:r>
        <w:rPr>
          <w:rFonts w:hint="eastAsia" w:ascii="宋体" w:hAnsi="宋体" w:cs="宋体"/>
          <w:b/>
          <w:bCs/>
          <w:sz w:val="44"/>
          <w:szCs w:val="44"/>
        </w:rPr>
        <w:t>适用年级：25、24、23、22 级音乐学</w:t>
      </w:r>
    </w:p>
    <w:bookmarkEnd w:id="230"/>
    <w:p w14:paraId="64119681">
      <w:pPr>
        <w:rPr>
          <w:rFonts w:hint="eastAsia" w:ascii="Arial" w:hAnsi="Arial" w:eastAsia="楷体_GB2312"/>
          <w:sz w:val="36"/>
        </w:rPr>
      </w:pPr>
    </w:p>
    <w:p w14:paraId="1D10457D">
      <w:pPr>
        <w:rPr>
          <w:rFonts w:hint="eastAsia" w:ascii="Arial" w:hAnsi="Arial" w:eastAsia="楷体_GB2312"/>
          <w:sz w:val="36"/>
        </w:rPr>
      </w:pPr>
    </w:p>
    <w:p w14:paraId="6EA5CAE5">
      <w:pPr>
        <w:jc w:val="center"/>
        <w:rPr>
          <w:rFonts w:hint="eastAsia" w:ascii="楷体" w:hAnsi="楷体" w:eastAsia="楷体" w:cs="楷体"/>
          <w:sz w:val="36"/>
        </w:rPr>
      </w:pPr>
      <w:r>
        <w:rPr>
          <w:rFonts w:hint="eastAsia" w:ascii="楷体" w:hAnsi="楷体" w:eastAsia="楷体" w:cs="楷体"/>
          <w:sz w:val="36"/>
        </w:rPr>
        <w:t>二○二六年二月</w:t>
      </w:r>
    </w:p>
    <w:p w14:paraId="60EBC3B4">
      <w:pPr>
        <w:rPr>
          <w:sz w:val="2"/>
          <w:szCs w:val="2"/>
        </w:rPr>
        <w:sectPr>
          <w:headerReference r:id="rId3" w:type="default"/>
          <w:footerReference r:id="rId4" w:type="default"/>
          <w:pgSz w:w="11906" w:h="16838"/>
          <w:pgMar w:top="1440" w:right="1800" w:bottom="1440" w:left="1800" w:header="851" w:footer="992" w:gutter="0"/>
          <w:cols w:space="425" w:num="1"/>
          <w:docGrid w:type="lines" w:linePitch="312" w:charSpace="0"/>
        </w:sectPr>
      </w:pPr>
    </w:p>
    <w:p w14:paraId="4A6B6D6B">
      <w:pPr>
        <w:spacing w:after="520" w:line="500" w:lineRule="exact"/>
        <w:jc w:val="center"/>
      </w:pPr>
      <w:r>
        <w:rPr>
          <w:rFonts w:ascii="宋体" w:hAnsi="宋体" w:eastAsia="宋体" w:cs="宋体"/>
          <w:b/>
          <w:spacing w:val="14"/>
          <w:sz w:val="28"/>
        </w:rPr>
        <w:t>目录</w:t>
      </w:r>
    </w:p>
    <w:p w14:paraId="59C133C5">
      <w:pPr>
        <w:spacing w:before="160" w:after="40" w:line="480" w:lineRule="exact"/>
      </w:pPr>
      <w:r>
        <w:rPr>
          <w:rFonts w:ascii="黑体" w:hAnsi="黑体" w:eastAsia="黑体" w:cs="黑体"/>
          <w:b w:val="0"/>
          <w:sz w:val="24"/>
        </w:rPr>
        <w:t>2025级（第二学期）</w:t>
      </w:r>
    </w:p>
    <w:p w14:paraId="666CE43F">
      <w:pPr>
        <w:tabs>
          <w:tab w:val="right" w:leader="dot" w:pos="8306"/>
        </w:tabs>
        <w:spacing w:line="480" w:lineRule="exact"/>
      </w:pPr>
      <w:r>
        <w:rPr>
          <w:rFonts w:ascii="宋体" w:hAnsi="宋体" w:eastAsia="宋体" w:cs="宋体"/>
          <w:b w:val="0"/>
          <w:sz w:val="21"/>
        </w:rPr>
        <w:t>《形体舞蹈》课程教学大纲</w:t>
      </w:r>
      <w:r>
        <w:rPr>
          <w:rFonts w:ascii="宋体" w:hAnsi="宋体" w:eastAsia="宋体" w:cs="宋体"/>
          <w:b w:val="0"/>
          <w:sz w:val="21"/>
        </w:rPr>
        <w:tab/>
      </w:r>
      <w:r>
        <w:rPr>
          <w:rFonts w:ascii="宋体" w:hAnsi="宋体" w:eastAsia="宋体" w:cs="宋体"/>
          <w:b w:val="0"/>
          <w:sz w:val="21"/>
        </w:rPr>
        <w:t>6</w:t>
      </w:r>
    </w:p>
    <w:p w14:paraId="7955A0E4">
      <w:pPr>
        <w:tabs>
          <w:tab w:val="right" w:leader="dot" w:pos="8306"/>
        </w:tabs>
        <w:spacing w:line="480" w:lineRule="exact"/>
      </w:pPr>
      <w:r>
        <w:rPr>
          <w:rFonts w:ascii="宋体" w:hAnsi="宋体" w:eastAsia="宋体" w:cs="宋体"/>
          <w:b w:val="0"/>
          <w:sz w:val="21"/>
        </w:rPr>
        <w:t>《乐器演奏基础》课程教学大纲</w:t>
      </w:r>
      <w:r>
        <w:rPr>
          <w:rFonts w:ascii="宋体" w:hAnsi="宋体" w:eastAsia="宋体" w:cs="宋体"/>
          <w:b w:val="0"/>
          <w:sz w:val="21"/>
        </w:rPr>
        <w:tab/>
      </w:r>
      <w:r>
        <w:rPr>
          <w:rFonts w:ascii="宋体" w:hAnsi="宋体" w:eastAsia="宋体" w:cs="宋体"/>
          <w:b w:val="0"/>
          <w:sz w:val="21"/>
        </w:rPr>
        <w:t>11</w:t>
      </w:r>
    </w:p>
    <w:p w14:paraId="68C99AC5">
      <w:pPr>
        <w:tabs>
          <w:tab w:val="right" w:leader="dot" w:pos="8306"/>
        </w:tabs>
        <w:spacing w:line="480" w:lineRule="exact"/>
      </w:pPr>
      <w:r>
        <w:rPr>
          <w:rFonts w:ascii="宋体" w:hAnsi="宋体" w:eastAsia="宋体" w:cs="宋体"/>
          <w:b w:val="0"/>
          <w:sz w:val="21"/>
        </w:rPr>
        <w:t>《视唱练耳》课程教学大纲</w:t>
      </w:r>
      <w:r>
        <w:rPr>
          <w:rFonts w:ascii="宋体" w:hAnsi="宋体" w:eastAsia="宋体" w:cs="宋体"/>
          <w:b w:val="0"/>
          <w:sz w:val="21"/>
        </w:rPr>
        <w:tab/>
      </w:r>
      <w:r>
        <w:rPr>
          <w:rFonts w:ascii="宋体" w:hAnsi="宋体" w:eastAsia="宋体" w:cs="宋体"/>
          <w:b w:val="0"/>
          <w:sz w:val="21"/>
        </w:rPr>
        <w:t>26</w:t>
      </w:r>
    </w:p>
    <w:p w14:paraId="3DF82077">
      <w:pPr>
        <w:tabs>
          <w:tab w:val="right" w:leader="dot" w:pos="8306"/>
        </w:tabs>
        <w:spacing w:line="480" w:lineRule="exact"/>
      </w:pPr>
      <w:r>
        <w:rPr>
          <w:rFonts w:ascii="宋体" w:hAnsi="宋体" w:eastAsia="宋体" w:cs="宋体"/>
          <w:b w:val="0"/>
          <w:sz w:val="21"/>
        </w:rPr>
        <w:t>《中国民族音乐》课程教学大纲</w:t>
      </w:r>
      <w:r>
        <w:rPr>
          <w:rFonts w:ascii="宋体" w:hAnsi="宋体" w:eastAsia="宋体" w:cs="宋体"/>
          <w:b w:val="0"/>
          <w:sz w:val="21"/>
        </w:rPr>
        <w:tab/>
      </w:r>
      <w:r>
        <w:rPr>
          <w:rFonts w:ascii="宋体" w:hAnsi="宋体" w:eastAsia="宋体" w:cs="宋体"/>
          <w:b w:val="0"/>
          <w:sz w:val="21"/>
        </w:rPr>
        <w:t>34</w:t>
      </w:r>
    </w:p>
    <w:p w14:paraId="6AFD4C38">
      <w:pPr>
        <w:tabs>
          <w:tab w:val="right" w:leader="dot" w:pos="8306"/>
        </w:tabs>
        <w:spacing w:line="480" w:lineRule="exact"/>
      </w:pPr>
      <w:r>
        <w:rPr>
          <w:rFonts w:ascii="宋体" w:hAnsi="宋体" w:eastAsia="宋体" w:cs="宋体"/>
          <w:b w:val="0"/>
          <w:sz w:val="21"/>
        </w:rPr>
        <w:t>《中国音乐史与欣赏》课程教学大纲</w:t>
      </w:r>
      <w:r>
        <w:rPr>
          <w:rFonts w:ascii="宋体" w:hAnsi="宋体" w:eastAsia="宋体" w:cs="宋体"/>
          <w:b w:val="0"/>
          <w:sz w:val="21"/>
        </w:rPr>
        <w:tab/>
      </w:r>
      <w:r>
        <w:rPr>
          <w:rFonts w:ascii="宋体" w:hAnsi="宋体" w:eastAsia="宋体" w:cs="宋体"/>
          <w:b w:val="0"/>
          <w:sz w:val="21"/>
        </w:rPr>
        <w:t>41</w:t>
      </w:r>
    </w:p>
    <w:p w14:paraId="320F54E3">
      <w:pPr>
        <w:tabs>
          <w:tab w:val="right" w:leader="dot" w:pos="8306"/>
        </w:tabs>
        <w:spacing w:line="480" w:lineRule="exact"/>
      </w:pPr>
      <w:r>
        <w:rPr>
          <w:rFonts w:ascii="宋体" w:hAnsi="宋体" w:eastAsia="宋体" w:cs="宋体"/>
          <w:b w:val="0"/>
          <w:sz w:val="21"/>
        </w:rPr>
        <w:t>《和声》课程教学大纲</w:t>
      </w:r>
      <w:r>
        <w:rPr>
          <w:rFonts w:ascii="宋体" w:hAnsi="宋体" w:eastAsia="宋体" w:cs="宋体"/>
          <w:b w:val="0"/>
          <w:sz w:val="21"/>
        </w:rPr>
        <w:tab/>
      </w:r>
      <w:r>
        <w:rPr>
          <w:rFonts w:ascii="宋体" w:hAnsi="宋体" w:eastAsia="宋体" w:cs="宋体"/>
          <w:b w:val="0"/>
          <w:sz w:val="21"/>
        </w:rPr>
        <w:t>48</w:t>
      </w:r>
    </w:p>
    <w:p w14:paraId="12830B3C">
      <w:pPr>
        <w:tabs>
          <w:tab w:val="right" w:leader="dot" w:pos="8306"/>
        </w:tabs>
        <w:spacing w:line="480" w:lineRule="exact"/>
      </w:pPr>
      <w:r>
        <w:rPr>
          <w:rFonts w:ascii="宋体" w:hAnsi="宋体" w:eastAsia="宋体" w:cs="宋体"/>
          <w:b w:val="0"/>
          <w:sz w:val="21"/>
        </w:rPr>
        <w:t>《声乐基础》课程教学大纲</w:t>
      </w:r>
      <w:r>
        <w:rPr>
          <w:rFonts w:ascii="宋体" w:hAnsi="宋体" w:eastAsia="宋体" w:cs="宋体"/>
          <w:b w:val="0"/>
          <w:sz w:val="21"/>
        </w:rPr>
        <w:tab/>
      </w:r>
      <w:r>
        <w:rPr>
          <w:rFonts w:ascii="宋体" w:hAnsi="宋体" w:eastAsia="宋体" w:cs="宋体"/>
          <w:b w:val="0"/>
          <w:sz w:val="21"/>
        </w:rPr>
        <w:t>64</w:t>
      </w:r>
    </w:p>
    <w:p w14:paraId="6AC17AE7">
      <w:pPr>
        <w:tabs>
          <w:tab w:val="right" w:leader="dot" w:pos="8306"/>
        </w:tabs>
        <w:spacing w:line="480" w:lineRule="exact"/>
      </w:pPr>
      <w:r>
        <w:rPr>
          <w:rFonts w:ascii="宋体" w:hAnsi="宋体" w:eastAsia="宋体" w:cs="宋体"/>
          <w:b w:val="0"/>
          <w:sz w:val="21"/>
        </w:rPr>
        <w:t>《钢琴基础》课程教学大纲</w:t>
      </w:r>
      <w:r>
        <w:rPr>
          <w:rFonts w:ascii="宋体" w:hAnsi="宋体" w:eastAsia="宋体" w:cs="宋体"/>
          <w:b w:val="0"/>
          <w:sz w:val="21"/>
        </w:rPr>
        <w:tab/>
      </w:r>
      <w:r>
        <w:rPr>
          <w:rFonts w:ascii="宋体" w:hAnsi="宋体" w:eastAsia="宋体" w:cs="宋体"/>
          <w:b w:val="0"/>
          <w:sz w:val="21"/>
        </w:rPr>
        <w:t>74</w:t>
      </w:r>
    </w:p>
    <w:p w14:paraId="0DA144BB">
      <w:pPr>
        <w:tabs>
          <w:tab w:val="right" w:leader="dot" w:pos="8306"/>
        </w:tabs>
        <w:spacing w:line="480" w:lineRule="exact"/>
      </w:pPr>
      <w:r>
        <w:rPr>
          <w:rFonts w:ascii="宋体" w:hAnsi="宋体" w:eastAsia="宋体" w:cs="宋体"/>
          <w:b w:val="0"/>
          <w:sz w:val="21"/>
        </w:rPr>
        <w:t>《管乐》课程教学大纲</w:t>
      </w:r>
      <w:r>
        <w:rPr>
          <w:rFonts w:ascii="宋体" w:hAnsi="宋体" w:eastAsia="宋体" w:cs="宋体"/>
          <w:b w:val="0"/>
          <w:sz w:val="21"/>
        </w:rPr>
        <w:tab/>
      </w:r>
      <w:r>
        <w:rPr>
          <w:rFonts w:ascii="宋体" w:hAnsi="宋体" w:eastAsia="宋体" w:cs="宋体"/>
          <w:b w:val="0"/>
          <w:sz w:val="21"/>
        </w:rPr>
        <w:t>87</w:t>
      </w:r>
    </w:p>
    <w:p w14:paraId="250BC161">
      <w:pPr>
        <w:tabs>
          <w:tab w:val="right" w:leader="dot" w:pos="8306"/>
        </w:tabs>
        <w:spacing w:line="480" w:lineRule="exact"/>
      </w:pPr>
      <w:r>
        <w:rPr>
          <w:rFonts w:ascii="宋体" w:hAnsi="宋体" w:eastAsia="宋体" w:cs="宋体"/>
          <w:b w:val="0"/>
          <w:sz w:val="21"/>
        </w:rPr>
        <w:t>《师德与法规》课程教学大纲</w:t>
      </w:r>
      <w:r>
        <w:rPr>
          <w:rFonts w:ascii="宋体" w:hAnsi="宋体" w:eastAsia="宋体" w:cs="宋体"/>
          <w:b w:val="0"/>
          <w:sz w:val="21"/>
        </w:rPr>
        <w:tab/>
      </w:r>
      <w:r>
        <w:rPr>
          <w:rFonts w:ascii="宋体" w:hAnsi="宋体" w:eastAsia="宋体" w:cs="宋体"/>
          <w:b w:val="0"/>
          <w:sz w:val="21"/>
        </w:rPr>
        <w:t>93</w:t>
      </w:r>
    </w:p>
    <w:p w14:paraId="15E809FE">
      <w:pPr>
        <w:tabs>
          <w:tab w:val="right" w:leader="dot" w:pos="8306"/>
        </w:tabs>
        <w:spacing w:line="480" w:lineRule="exact"/>
      </w:pPr>
      <w:r>
        <w:rPr>
          <w:rFonts w:ascii="宋体" w:hAnsi="宋体" w:eastAsia="宋体" w:cs="宋体"/>
          <w:b w:val="0"/>
          <w:sz w:val="21"/>
        </w:rPr>
        <w:t>《教师口语》课程教学大纲</w:t>
      </w:r>
      <w:r>
        <w:rPr>
          <w:rFonts w:ascii="宋体" w:hAnsi="宋体" w:eastAsia="宋体" w:cs="宋体"/>
          <w:b w:val="0"/>
          <w:sz w:val="21"/>
        </w:rPr>
        <w:tab/>
      </w:r>
      <w:r>
        <w:rPr>
          <w:rFonts w:ascii="宋体" w:hAnsi="宋体" w:eastAsia="宋体" w:cs="宋体"/>
          <w:b w:val="0"/>
          <w:sz w:val="21"/>
        </w:rPr>
        <w:t>102</w:t>
      </w:r>
    </w:p>
    <w:p w14:paraId="0C4873B4">
      <w:pPr>
        <w:tabs>
          <w:tab w:val="right" w:leader="dot" w:pos="8306"/>
        </w:tabs>
        <w:spacing w:line="480" w:lineRule="exact"/>
      </w:pPr>
      <w:r>
        <w:rPr>
          <w:rFonts w:ascii="宋体" w:hAnsi="宋体" w:eastAsia="宋体" w:cs="宋体"/>
          <w:b w:val="0"/>
          <w:sz w:val="21"/>
        </w:rPr>
        <w:t>《教师书写技能》课程教学大纲</w:t>
      </w:r>
      <w:r>
        <w:rPr>
          <w:rFonts w:ascii="宋体" w:hAnsi="宋体" w:eastAsia="宋体" w:cs="宋体"/>
          <w:b w:val="0"/>
          <w:sz w:val="21"/>
        </w:rPr>
        <w:tab/>
      </w:r>
      <w:r>
        <w:rPr>
          <w:rFonts w:ascii="宋体" w:hAnsi="宋体" w:eastAsia="宋体" w:cs="宋体"/>
          <w:b w:val="0"/>
          <w:sz w:val="21"/>
        </w:rPr>
        <w:t>109</w:t>
      </w:r>
    </w:p>
    <w:p w14:paraId="2F58C8C1">
      <w:pPr>
        <w:spacing w:before="160" w:after="40" w:line="480" w:lineRule="exact"/>
      </w:pPr>
      <w:r>
        <w:rPr>
          <w:rFonts w:ascii="黑体" w:hAnsi="黑体" w:eastAsia="黑体" w:cs="黑体"/>
          <w:b w:val="0"/>
          <w:sz w:val="24"/>
        </w:rPr>
        <w:t>2024级（第四学期）</w:t>
      </w:r>
    </w:p>
    <w:p w14:paraId="2E895C12">
      <w:pPr>
        <w:tabs>
          <w:tab w:val="right" w:leader="dot" w:pos="8306"/>
        </w:tabs>
        <w:spacing w:line="480" w:lineRule="exact"/>
      </w:pPr>
      <w:r>
        <w:rPr>
          <w:rFonts w:ascii="宋体" w:hAnsi="宋体" w:eastAsia="宋体" w:cs="宋体"/>
          <w:b w:val="0"/>
          <w:sz w:val="21"/>
        </w:rPr>
        <w:t>《习近平总书记关于教育的重要论述研究》课程教学大纲</w:t>
      </w:r>
      <w:r>
        <w:rPr>
          <w:rFonts w:ascii="宋体" w:hAnsi="宋体" w:eastAsia="宋体" w:cs="宋体"/>
          <w:b w:val="0"/>
          <w:sz w:val="21"/>
        </w:rPr>
        <w:tab/>
      </w:r>
      <w:r>
        <w:rPr>
          <w:rFonts w:ascii="宋体" w:hAnsi="宋体" w:eastAsia="宋体" w:cs="宋体"/>
          <w:b w:val="0"/>
          <w:sz w:val="21"/>
        </w:rPr>
        <w:t>116</w:t>
      </w:r>
    </w:p>
    <w:p w14:paraId="21F91DAA">
      <w:pPr>
        <w:tabs>
          <w:tab w:val="right" w:leader="dot" w:pos="8306"/>
        </w:tabs>
        <w:spacing w:line="480" w:lineRule="exact"/>
      </w:pPr>
      <w:r>
        <w:rPr>
          <w:rFonts w:ascii="宋体" w:hAnsi="宋体" w:eastAsia="宋体" w:cs="宋体"/>
          <w:b w:val="0"/>
          <w:sz w:val="21"/>
        </w:rPr>
        <w:t>《乐器演奏基础》课程教学大纲</w:t>
      </w:r>
      <w:r>
        <w:rPr>
          <w:rFonts w:ascii="宋体" w:hAnsi="宋体" w:eastAsia="宋体" w:cs="宋体"/>
          <w:b w:val="0"/>
          <w:sz w:val="21"/>
        </w:rPr>
        <w:tab/>
      </w:r>
      <w:r>
        <w:rPr>
          <w:rFonts w:ascii="宋体" w:hAnsi="宋体" w:eastAsia="宋体" w:cs="宋体"/>
          <w:b w:val="0"/>
          <w:sz w:val="21"/>
        </w:rPr>
        <w:t>125</w:t>
      </w:r>
    </w:p>
    <w:p w14:paraId="4CBFF3F1">
      <w:pPr>
        <w:tabs>
          <w:tab w:val="right" w:leader="dot" w:pos="8306"/>
        </w:tabs>
        <w:spacing w:line="480" w:lineRule="exact"/>
      </w:pPr>
      <w:r>
        <w:rPr>
          <w:rFonts w:ascii="宋体" w:hAnsi="宋体" w:eastAsia="宋体" w:cs="宋体"/>
          <w:b w:val="0"/>
          <w:sz w:val="21"/>
        </w:rPr>
        <w:t>《视唱练耳》课程教学大纲</w:t>
      </w:r>
      <w:r>
        <w:rPr>
          <w:rFonts w:ascii="宋体" w:hAnsi="宋体" w:eastAsia="宋体" w:cs="宋体"/>
          <w:b w:val="0"/>
          <w:sz w:val="21"/>
        </w:rPr>
        <w:tab/>
      </w:r>
      <w:r>
        <w:rPr>
          <w:rFonts w:ascii="宋体" w:hAnsi="宋体" w:eastAsia="宋体" w:cs="宋体"/>
          <w:b w:val="0"/>
          <w:sz w:val="21"/>
        </w:rPr>
        <w:t>132</w:t>
      </w:r>
    </w:p>
    <w:p w14:paraId="3A1E4FD4">
      <w:pPr>
        <w:tabs>
          <w:tab w:val="right" w:leader="dot" w:pos="8306"/>
        </w:tabs>
        <w:spacing w:line="480" w:lineRule="exact"/>
      </w:pPr>
      <w:r>
        <w:rPr>
          <w:rFonts w:ascii="宋体" w:hAnsi="宋体" w:eastAsia="宋体" w:cs="宋体"/>
          <w:b w:val="0"/>
          <w:sz w:val="21"/>
        </w:rPr>
        <w:t>《合唱与指挥》课程教学大纲</w:t>
      </w:r>
      <w:r>
        <w:rPr>
          <w:rFonts w:ascii="宋体" w:hAnsi="宋体" w:eastAsia="宋体" w:cs="宋体"/>
          <w:b w:val="0"/>
          <w:sz w:val="21"/>
        </w:rPr>
        <w:tab/>
      </w:r>
      <w:r>
        <w:rPr>
          <w:rFonts w:ascii="宋体" w:hAnsi="宋体" w:eastAsia="宋体" w:cs="宋体"/>
          <w:b w:val="0"/>
          <w:sz w:val="21"/>
        </w:rPr>
        <w:t>145</w:t>
      </w:r>
    </w:p>
    <w:p w14:paraId="0A43F388">
      <w:pPr>
        <w:tabs>
          <w:tab w:val="right" w:leader="dot" w:pos="8306"/>
        </w:tabs>
        <w:spacing w:line="480" w:lineRule="exact"/>
      </w:pPr>
      <w:r>
        <w:rPr>
          <w:rFonts w:ascii="宋体" w:hAnsi="宋体" w:eastAsia="宋体" w:cs="宋体"/>
          <w:b w:val="0"/>
          <w:sz w:val="21"/>
        </w:rPr>
        <w:t>《西方音乐史与欣赏》课程教学大纲</w:t>
      </w:r>
      <w:r>
        <w:rPr>
          <w:rFonts w:ascii="宋体" w:hAnsi="宋体" w:eastAsia="宋体" w:cs="宋体"/>
          <w:b w:val="0"/>
          <w:sz w:val="21"/>
        </w:rPr>
        <w:tab/>
      </w:r>
      <w:r>
        <w:rPr>
          <w:rFonts w:ascii="宋体" w:hAnsi="宋体" w:eastAsia="宋体" w:cs="宋体"/>
          <w:b w:val="0"/>
          <w:sz w:val="21"/>
        </w:rPr>
        <w:t>152</w:t>
      </w:r>
    </w:p>
    <w:p w14:paraId="5BC6239E">
      <w:pPr>
        <w:tabs>
          <w:tab w:val="right" w:leader="dot" w:pos="8306"/>
        </w:tabs>
        <w:spacing w:line="480" w:lineRule="exact"/>
      </w:pPr>
      <w:r>
        <w:rPr>
          <w:rFonts w:ascii="宋体" w:hAnsi="宋体" w:eastAsia="宋体" w:cs="宋体"/>
          <w:b w:val="0"/>
          <w:sz w:val="21"/>
        </w:rPr>
        <w:t>《曲式与作品分析》课程教学大纲</w:t>
      </w:r>
      <w:r>
        <w:rPr>
          <w:rFonts w:ascii="宋体" w:hAnsi="宋体" w:eastAsia="宋体" w:cs="宋体"/>
          <w:b w:val="0"/>
          <w:sz w:val="21"/>
        </w:rPr>
        <w:tab/>
      </w:r>
      <w:r>
        <w:rPr>
          <w:rFonts w:ascii="宋体" w:hAnsi="宋体" w:eastAsia="宋体" w:cs="宋体"/>
          <w:b w:val="0"/>
          <w:sz w:val="21"/>
        </w:rPr>
        <w:t>165</w:t>
      </w:r>
    </w:p>
    <w:p w14:paraId="2BD06E29">
      <w:pPr>
        <w:tabs>
          <w:tab w:val="right" w:leader="dot" w:pos="8306"/>
        </w:tabs>
        <w:spacing w:line="480" w:lineRule="exact"/>
      </w:pPr>
      <w:r>
        <w:rPr>
          <w:rFonts w:ascii="宋体" w:hAnsi="宋体" w:eastAsia="宋体" w:cs="宋体"/>
          <w:b w:val="0"/>
          <w:sz w:val="21"/>
        </w:rPr>
        <w:t>《声乐基础》课程教学大纲</w:t>
      </w:r>
      <w:r>
        <w:rPr>
          <w:rFonts w:ascii="宋体" w:hAnsi="宋体" w:eastAsia="宋体" w:cs="宋体"/>
          <w:b w:val="0"/>
          <w:sz w:val="21"/>
        </w:rPr>
        <w:tab/>
      </w:r>
      <w:r>
        <w:rPr>
          <w:rFonts w:ascii="宋体" w:hAnsi="宋体" w:eastAsia="宋体" w:cs="宋体"/>
          <w:b w:val="0"/>
          <w:sz w:val="21"/>
        </w:rPr>
        <w:t>171</w:t>
      </w:r>
    </w:p>
    <w:p w14:paraId="08A75311">
      <w:pPr>
        <w:tabs>
          <w:tab w:val="right" w:leader="dot" w:pos="8306"/>
        </w:tabs>
        <w:spacing w:line="480" w:lineRule="exact"/>
      </w:pPr>
      <w:r>
        <w:rPr>
          <w:rFonts w:ascii="宋体" w:hAnsi="宋体" w:eastAsia="宋体" w:cs="宋体"/>
          <w:b w:val="0"/>
          <w:sz w:val="21"/>
        </w:rPr>
        <w:t>《钢琴基础》课程教学大纲</w:t>
      </w:r>
      <w:r>
        <w:rPr>
          <w:rFonts w:ascii="宋体" w:hAnsi="宋体" w:eastAsia="宋体" w:cs="宋体"/>
          <w:b w:val="0"/>
          <w:sz w:val="21"/>
        </w:rPr>
        <w:tab/>
      </w:r>
      <w:r>
        <w:rPr>
          <w:rFonts w:ascii="宋体" w:hAnsi="宋体" w:eastAsia="宋体" w:cs="宋体"/>
          <w:b w:val="0"/>
          <w:sz w:val="21"/>
        </w:rPr>
        <w:t>181</w:t>
      </w:r>
    </w:p>
    <w:p w14:paraId="765166C5">
      <w:pPr>
        <w:tabs>
          <w:tab w:val="right" w:leader="dot" w:pos="8306"/>
        </w:tabs>
        <w:spacing w:line="480" w:lineRule="exact"/>
      </w:pPr>
      <w:r>
        <w:rPr>
          <w:rFonts w:ascii="宋体" w:hAnsi="宋体" w:eastAsia="宋体" w:cs="宋体"/>
          <w:b w:val="0"/>
          <w:sz w:val="21"/>
        </w:rPr>
        <w:t>《民间舞》课程教学大纲</w:t>
      </w:r>
      <w:r>
        <w:rPr>
          <w:rFonts w:ascii="宋体" w:hAnsi="宋体" w:eastAsia="宋体" w:cs="宋体"/>
          <w:b w:val="0"/>
          <w:sz w:val="21"/>
        </w:rPr>
        <w:tab/>
      </w:r>
      <w:r>
        <w:rPr>
          <w:rFonts w:ascii="宋体" w:hAnsi="宋体" w:eastAsia="宋体" w:cs="宋体"/>
          <w:b w:val="0"/>
          <w:sz w:val="21"/>
        </w:rPr>
        <w:t>194</w:t>
      </w:r>
    </w:p>
    <w:p w14:paraId="1B669B31">
      <w:pPr>
        <w:tabs>
          <w:tab w:val="right" w:leader="dot" w:pos="8306"/>
        </w:tabs>
        <w:spacing w:line="480" w:lineRule="exact"/>
      </w:pPr>
      <w:r>
        <w:rPr>
          <w:rFonts w:ascii="宋体" w:hAnsi="宋体" w:eastAsia="宋体" w:cs="宋体"/>
          <w:b w:val="0"/>
          <w:sz w:val="21"/>
        </w:rPr>
        <w:t>《管乐》课程教学大纲</w:t>
      </w:r>
      <w:r>
        <w:rPr>
          <w:rFonts w:ascii="宋体" w:hAnsi="宋体" w:eastAsia="宋体" w:cs="宋体"/>
          <w:b w:val="0"/>
          <w:sz w:val="21"/>
        </w:rPr>
        <w:tab/>
      </w:r>
      <w:r>
        <w:rPr>
          <w:rFonts w:ascii="宋体" w:hAnsi="宋体" w:eastAsia="宋体" w:cs="宋体"/>
          <w:b w:val="0"/>
          <w:sz w:val="21"/>
        </w:rPr>
        <w:t>201</w:t>
      </w:r>
    </w:p>
    <w:p w14:paraId="3EAA45C9">
      <w:pPr>
        <w:tabs>
          <w:tab w:val="right" w:leader="dot" w:pos="8306"/>
        </w:tabs>
        <w:spacing w:line="480" w:lineRule="exact"/>
      </w:pPr>
      <w:r>
        <w:rPr>
          <w:rFonts w:ascii="宋体" w:hAnsi="宋体" w:eastAsia="宋体" w:cs="宋体"/>
          <w:b w:val="0"/>
          <w:sz w:val="21"/>
        </w:rPr>
        <w:t>《戏剧表演》课程教学大纲</w:t>
      </w:r>
      <w:r>
        <w:rPr>
          <w:rFonts w:ascii="宋体" w:hAnsi="宋体" w:eastAsia="宋体" w:cs="宋体"/>
          <w:b w:val="0"/>
          <w:sz w:val="21"/>
        </w:rPr>
        <w:tab/>
      </w:r>
      <w:r>
        <w:rPr>
          <w:rFonts w:ascii="宋体" w:hAnsi="宋体" w:eastAsia="宋体" w:cs="宋体"/>
          <w:b w:val="0"/>
          <w:sz w:val="21"/>
        </w:rPr>
        <w:t>207</w:t>
      </w:r>
    </w:p>
    <w:p w14:paraId="428C4EEB">
      <w:pPr>
        <w:tabs>
          <w:tab w:val="right" w:leader="dot" w:pos="8306"/>
        </w:tabs>
        <w:spacing w:line="480" w:lineRule="exact"/>
      </w:pPr>
      <w:r>
        <w:rPr>
          <w:rFonts w:ascii="宋体" w:hAnsi="宋体" w:eastAsia="宋体" w:cs="宋体"/>
          <w:b w:val="0"/>
          <w:sz w:val="21"/>
        </w:rPr>
        <w:t>《教育学》课程教学大纲</w:t>
      </w:r>
      <w:r>
        <w:rPr>
          <w:rFonts w:ascii="宋体" w:hAnsi="宋体" w:eastAsia="宋体" w:cs="宋体"/>
          <w:b w:val="0"/>
          <w:sz w:val="21"/>
        </w:rPr>
        <w:tab/>
      </w:r>
      <w:r>
        <w:rPr>
          <w:rFonts w:ascii="宋体" w:hAnsi="宋体" w:eastAsia="宋体" w:cs="宋体"/>
          <w:b w:val="0"/>
          <w:sz w:val="21"/>
        </w:rPr>
        <w:t>215</w:t>
      </w:r>
    </w:p>
    <w:p w14:paraId="7D611C31">
      <w:pPr>
        <w:tabs>
          <w:tab w:val="right" w:leader="dot" w:pos="8306"/>
        </w:tabs>
        <w:spacing w:line="480" w:lineRule="exact"/>
      </w:pPr>
      <w:r>
        <w:rPr>
          <w:rFonts w:ascii="宋体" w:hAnsi="宋体" w:eastAsia="宋体" w:cs="宋体"/>
          <w:b w:val="0"/>
          <w:sz w:val="21"/>
        </w:rPr>
        <w:t>《音乐学科教学论》课程教学大纲</w:t>
      </w:r>
      <w:r>
        <w:rPr>
          <w:rFonts w:ascii="宋体" w:hAnsi="宋体" w:eastAsia="宋体" w:cs="宋体"/>
          <w:b w:val="0"/>
          <w:sz w:val="21"/>
        </w:rPr>
        <w:tab/>
      </w:r>
      <w:r>
        <w:rPr>
          <w:rFonts w:ascii="宋体" w:hAnsi="宋体" w:eastAsia="宋体" w:cs="宋体"/>
          <w:b w:val="0"/>
          <w:sz w:val="21"/>
        </w:rPr>
        <w:t>222</w:t>
      </w:r>
    </w:p>
    <w:p w14:paraId="75845CDE">
      <w:pPr>
        <w:tabs>
          <w:tab w:val="right" w:leader="dot" w:pos="8306"/>
        </w:tabs>
        <w:spacing w:line="480" w:lineRule="exact"/>
      </w:pPr>
      <w:r>
        <w:rPr>
          <w:rFonts w:ascii="宋体" w:hAnsi="宋体" w:eastAsia="宋体" w:cs="宋体"/>
          <w:b w:val="0"/>
          <w:sz w:val="21"/>
        </w:rPr>
        <w:t>《学校音乐教育实践技能训练(中小学歌曲弹唱)》课程教学大纲</w:t>
      </w:r>
      <w:r>
        <w:rPr>
          <w:rFonts w:ascii="宋体" w:hAnsi="宋体" w:eastAsia="宋体" w:cs="宋体"/>
          <w:b w:val="0"/>
          <w:sz w:val="21"/>
        </w:rPr>
        <w:tab/>
      </w:r>
      <w:r>
        <w:rPr>
          <w:rFonts w:ascii="宋体" w:hAnsi="宋体" w:eastAsia="宋体" w:cs="宋体"/>
          <w:b w:val="0"/>
          <w:sz w:val="21"/>
        </w:rPr>
        <w:t>229</w:t>
      </w:r>
    </w:p>
    <w:p w14:paraId="67787B0B">
      <w:pPr>
        <w:spacing w:before="160" w:after="40" w:line="480" w:lineRule="exact"/>
      </w:pPr>
      <w:r>
        <w:rPr>
          <w:rFonts w:ascii="黑体" w:hAnsi="黑体" w:eastAsia="黑体" w:cs="黑体"/>
          <w:b w:val="0"/>
          <w:sz w:val="24"/>
        </w:rPr>
        <w:t>2023级（第六学期）</w:t>
      </w:r>
    </w:p>
    <w:p w14:paraId="1F18DF81">
      <w:pPr>
        <w:tabs>
          <w:tab w:val="right" w:leader="dot" w:pos="8306"/>
        </w:tabs>
        <w:spacing w:line="480" w:lineRule="exact"/>
      </w:pPr>
      <w:r>
        <w:rPr>
          <w:rFonts w:ascii="宋体" w:hAnsi="宋体" w:eastAsia="宋体" w:cs="宋体"/>
          <w:b w:val="0"/>
          <w:sz w:val="21"/>
        </w:rPr>
        <w:t>《合唱与指挥》课程教学大纲</w:t>
      </w:r>
      <w:r>
        <w:rPr>
          <w:rFonts w:ascii="宋体" w:hAnsi="宋体" w:eastAsia="宋体" w:cs="宋体"/>
          <w:b w:val="0"/>
          <w:sz w:val="21"/>
        </w:rPr>
        <w:tab/>
      </w:r>
      <w:r>
        <w:rPr>
          <w:rFonts w:ascii="宋体" w:hAnsi="宋体" w:eastAsia="宋体" w:cs="宋体"/>
          <w:b w:val="0"/>
          <w:sz w:val="21"/>
        </w:rPr>
        <w:t>238</w:t>
      </w:r>
    </w:p>
    <w:p w14:paraId="6F38216C">
      <w:pPr>
        <w:tabs>
          <w:tab w:val="right" w:leader="dot" w:pos="8306"/>
        </w:tabs>
        <w:spacing w:line="480" w:lineRule="exact"/>
      </w:pPr>
      <w:r>
        <w:rPr>
          <w:rFonts w:ascii="宋体" w:hAnsi="宋体" w:eastAsia="宋体" w:cs="宋体"/>
          <w:b w:val="0"/>
          <w:sz w:val="21"/>
        </w:rPr>
        <w:t>《钢琴即兴伴奏》课程教学大纲</w:t>
      </w:r>
      <w:r>
        <w:rPr>
          <w:rFonts w:ascii="宋体" w:hAnsi="宋体" w:eastAsia="宋体" w:cs="宋体"/>
          <w:b w:val="0"/>
          <w:sz w:val="21"/>
        </w:rPr>
        <w:tab/>
      </w:r>
      <w:r>
        <w:rPr>
          <w:rFonts w:ascii="宋体" w:hAnsi="宋体" w:eastAsia="宋体" w:cs="宋体"/>
          <w:b w:val="0"/>
          <w:sz w:val="21"/>
        </w:rPr>
        <w:t>245</w:t>
      </w:r>
    </w:p>
    <w:p w14:paraId="2680D47B">
      <w:pPr>
        <w:tabs>
          <w:tab w:val="right" w:leader="dot" w:pos="8306"/>
        </w:tabs>
        <w:spacing w:line="480" w:lineRule="exact"/>
      </w:pPr>
      <w:r>
        <w:rPr>
          <w:rFonts w:ascii="宋体" w:hAnsi="宋体" w:eastAsia="宋体" w:cs="宋体"/>
          <w:b w:val="0"/>
          <w:sz w:val="21"/>
        </w:rPr>
        <w:t>《声乐演唱》课程教学大纲</w:t>
      </w:r>
      <w:r>
        <w:rPr>
          <w:rFonts w:ascii="宋体" w:hAnsi="宋体" w:eastAsia="宋体" w:cs="宋体"/>
          <w:b w:val="0"/>
          <w:sz w:val="21"/>
        </w:rPr>
        <w:tab/>
      </w:r>
      <w:r>
        <w:rPr>
          <w:rFonts w:ascii="宋体" w:hAnsi="宋体" w:eastAsia="宋体" w:cs="宋体"/>
          <w:b w:val="0"/>
          <w:sz w:val="21"/>
        </w:rPr>
        <w:t>251</w:t>
      </w:r>
    </w:p>
    <w:p w14:paraId="6A218065">
      <w:pPr>
        <w:tabs>
          <w:tab w:val="right" w:leader="dot" w:pos="8306"/>
        </w:tabs>
        <w:spacing w:line="480" w:lineRule="exact"/>
      </w:pPr>
      <w:r>
        <w:rPr>
          <w:rFonts w:ascii="宋体" w:hAnsi="宋体" w:eastAsia="宋体" w:cs="宋体"/>
          <w:b w:val="0"/>
          <w:sz w:val="21"/>
        </w:rPr>
        <w:t>《声乐教学法》课程教学大纲</w:t>
      </w:r>
      <w:r>
        <w:rPr>
          <w:rFonts w:ascii="宋体" w:hAnsi="宋体" w:eastAsia="宋体" w:cs="宋体"/>
          <w:b w:val="0"/>
          <w:sz w:val="21"/>
        </w:rPr>
        <w:tab/>
      </w:r>
      <w:r>
        <w:rPr>
          <w:rFonts w:ascii="宋体" w:hAnsi="宋体" w:eastAsia="宋体" w:cs="宋体"/>
          <w:b w:val="0"/>
          <w:sz w:val="21"/>
        </w:rPr>
        <w:t>265</w:t>
      </w:r>
    </w:p>
    <w:p w14:paraId="39203056">
      <w:pPr>
        <w:tabs>
          <w:tab w:val="right" w:leader="dot" w:pos="8306"/>
        </w:tabs>
        <w:spacing w:line="480" w:lineRule="exact"/>
      </w:pPr>
      <w:r>
        <w:rPr>
          <w:rFonts w:ascii="宋体" w:hAnsi="宋体" w:eastAsia="宋体" w:cs="宋体"/>
          <w:b w:val="0"/>
          <w:sz w:val="21"/>
        </w:rPr>
        <w:t>《钢琴演奏》课程教学大纲</w:t>
      </w:r>
      <w:r>
        <w:rPr>
          <w:rFonts w:ascii="宋体" w:hAnsi="宋体" w:eastAsia="宋体" w:cs="宋体"/>
          <w:b w:val="0"/>
          <w:sz w:val="21"/>
        </w:rPr>
        <w:tab/>
      </w:r>
      <w:r>
        <w:rPr>
          <w:rFonts w:ascii="宋体" w:hAnsi="宋体" w:eastAsia="宋体" w:cs="宋体"/>
          <w:b w:val="0"/>
          <w:sz w:val="21"/>
        </w:rPr>
        <w:t>274</w:t>
      </w:r>
    </w:p>
    <w:p w14:paraId="31B37708">
      <w:pPr>
        <w:tabs>
          <w:tab w:val="right" w:leader="dot" w:pos="8306"/>
        </w:tabs>
        <w:spacing w:line="480" w:lineRule="exact"/>
      </w:pPr>
      <w:r>
        <w:rPr>
          <w:rFonts w:ascii="宋体" w:hAnsi="宋体" w:eastAsia="宋体" w:cs="宋体"/>
          <w:b w:val="0"/>
          <w:sz w:val="21"/>
        </w:rPr>
        <w:t>《钢琴教学法》课程教学大纲</w:t>
      </w:r>
      <w:r>
        <w:rPr>
          <w:rFonts w:ascii="宋体" w:hAnsi="宋体" w:eastAsia="宋体" w:cs="宋体"/>
          <w:b w:val="0"/>
          <w:sz w:val="21"/>
        </w:rPr>
        <w:tab/>
      </w:r>
      <w:r>
        <w:rPr>
          <w:rFonts w:ascii="宋体" w:hAnsi="宋体" w:eastAsia="宋体" w:cs="宋体"/>
          <w:b w:val="0"/>
          <w:sz w:val="21"/>
        </w:rPr>
        <w:t>282</w:t>
      </w:r>
    </w:p>
    <w:p w14:paraId="3687243C">
      <w:pPr>
        <w:tabs>
          <w:tab w:val="right" w:leader="dot" w:pos="8306"/>
        </w:tabs>
        <w:spacing w:line="480" w:lineRule="exact"/>
      </w:pPr>
      <w:r>
        <w:rPr>
          <w:rFonts w:ascii="宋体" w:hAnsi="宋体" w:eastAsia="宋体" w:cs="宋体"/>
          <w:b w:val="0"/>
          <w:sz w:val="21"/>
        </w:rPr>
        <w:t>《乐器演奏》课程教学大纲</w:t>
      </w:r>
      <w:r>
        <w:rPr>
          <w:rFonts w:ascii="宋体" w:hAnsi="宋体" w:eastAsia="宋体" w:cs="宋体"/>
          <w:b w:val="0"/>
          <w:sz w:val="21"/>
        </w:rPr>
        <w:tab/>
      </w:r>
      <w:r>
        <w:rPr>
          <w:rFonts w:ascii="宋体" w:hAnsi="宋体" w:eastAsia="宋体" w:cs="宋体"/>
          <w:b w:val="0"/>
          <w:sz w:val="21"/>
        </w:rPr>
        <w:t>289</w:t>
      </w:r>
    </w:p>
    <w:p w14:paraId="19397115">
      <w:pPr>
        <w:tabs>
          <w:tab w:val="right" w:leader="dot" w:pos="8306"/>
        </w:tabs>
        <w:spacing w:line="480" w:lineRule="exact"/>
      </w:pPr>
      <w:r>
        <w:rPr>
          <w:rFonts w:ascii="宋体" w:hAnsi="宋体" w:eastAsia="宋体" w:cs="宋体"/>
          <w:b w:val="0"/>
          <w:sz w:val="21"/>
        </w:rPr>
        <w:t>《器乐合奏》课程教学大纲</w:t>
      </w:r>
      <w:r>
        <w:rPr>
          <w:rFonts w:ascii="宋体" w:hAnsi="宋体" w:eastAsia="宋体" w:cs="宋体"/>
          <w:b w:val="0"/>
          <w:sz w:val="21"/>
        </w:rPr>
        <w:tab/>
      </w:r>
      <w:r>
        <w:rPr>
          <w:rFonts w:ascii="宋体" w:hAnsi="宋体" w:eastAsia="宋体" w:cs="宋体"/>
          <w:b w:val="0"/>
          <w:sz w:val="21"/>
        </w:rPr>
        <w:t>303</w:t>
      </w:r>
    </w:p>
    <w:p w14:paraId="0DD242FD">
      <w:pPr>
        <w:tabs>
          <w:tab w:val="right" w:leader="dot" w:pos="8306"/>
        </w:tabs>
        <w:spacing w:line="480" w:lineRule="exact"/>
      </w:pPr>
      <w:r>
        <w:rPr>
          <w:rFonts w:ascii="宋体" w:hAnsi="宋体" w:eastAsia="宋体" w:cs="宋体"/>
          <w:b w:val="0"/>
          <w:sz w:val="21"/>
        </w:rPr>
        <w:t>《小乐队编配》课程教学大纲</w:t>
      </w:r>
      <w:r>
        <w:rPr>
          <w:rFonts w:ascii="宋体" w:hAnsi="宋体" w:eastAsia="宋体" w:cs="宋体"/>
          <w:b w:val="0"/>
          <w:sz w:val="21"/>
        </w:rPr>
        <w:tab/>
      </w:r>
      <w:r>
        <w:rPr>
          <w:rFonts w:ascii="宋体" w:hAnsi="宋体" w:eastAsia="宋体" w:cs="宋体"/>
          <w:b w:val="0"/>
          <w:sz w:val="21"/>
        </w:rPr>
        <w:t>309</w:t>
      </w:r>
    </w:p>
    <w:p w14:paraId="40493F12">
      <w:pPr>
        <w:tabs>
          <w:tab w:val="right" w:leader="dot" w:pos="8306"/>
        </w:tabs>
        <w:spacing w:line="480" w:lineRule="exact"/>
      </w:pPr>
      <w:r>
        <w:rPr>
          <w:rFonts w:ascii="宋体" w:hAnsi="宋体" w:eastAsia="宋体" w:cs="宋体"/>
          <w:b w:val="0"/>
          <w:sz w:val="21"/>
        </w:rPr>
        <w:t>《中小学舞蹈编创》课程教学大纲</w:t>
      </w:r>
      <w:r>
        <w:rPr>
          <w:rFonts w:ascii="宋体" w:hAnsi="宋体" w:eastAsia="宋体" w:cs="宋体"/>
          <w:b w:val="0"/>
          <w:sz w:val="21"/>
        </w:rPr>
        <w:tab/>
      </w:r>
      <w:r>
        <w:rPr>
          <w:rFonts w:ascii="宋体" w:hAnsi="宋体" w:eastAsia="宋体" w:cs="宋体"/>
          <w:b w:val="0"/>
          <w:sz w:val="21"/>
        </w:rPr>
        <w:t>316</w:t>
      </w:r>
    </w:p>
    <w:p w14:paraId="2E6A44CE">
      <w:pPr>
        <w:tabs>
          <w:tab w:val="right" w:leader="dot" w:pos="8306"/>
        </w:tabs>
        <w:spacing w:line="480" w:lineRule="exact"/>
      </w:pPr>
      <w:r>
        <w:rPr>
          <w:rFonts w:ascii="宋体" w:hAnsi="宋体" w:eastAsia="宋体" w:cs="宋体"/>
          <w:b w:val="0"/>
          <w:sz w:val="21"/>
        </w:rPr>
        <w:t>《剧目排练》课程教学大纲</w:t>
      </w:r>
      <w:r>
        <w:rPr>
          <w:rFonts w:ascii="宋体" w:hAnsi="宋体" w:eastAsia="宋体" w:cs="宋体"/>
          <w:b w:val="0"/>
          <w:sz w:val="21"/>
        </w:rPr>
        <w:tab/>
      </w:r>
      <w:r>
        <w:rPr>
          <w:rFonts w:ascii="宋体" w:hAnsi="宋体" w:eastAsia="宋体" w:cs="宋体"/>
          <w:b w:val="0"/>
          <w:sz w:val="21"/>
        </w:rPr>
        <w:t>320</w:t>
      </w:r>
    </w:p>
    <w:p w14:paraId="01F93AD9">
      <w:pPr>
        <w:tabs>
          <w:tab w:val="right" w:leader="dot" w:pos="8306"/>
        </w:tabs>
        <w:spacing w:line="480" w:lineRule="exact"/>
      </w:pPr>
      <w:r>
        <w:rPr>
          <w:rFonts w:ascii="宋体" w:hAnsi="宋体" w:eastAsia="宋体" w:cs="宋体"/>
          <w:b w:val="0"/>
          <w:sz w:val="21"/>
        </w:rPr>
        <w:t>《歌曲作法》课程教学大纲</w:t>
      </w:r>
      <w:r>
        <w:rPr>
          <w:rFonts w:ascii="宋体" w:hAnsi="宋体" w:eastAsia="宋体" w:cs="宋体"/>
          <w:b w:val="0"/>
          <w:sz w:val="21"/>
        </w:rPr>
        <w:tab/>
      </w:r>
      <w:r>
        <w:rPr>
          <w:rFonts w:ascii="宋体" w:hAnsi="宋体" w:eastAsia="宋体" w:cs="宋体"/>
          <w:b w:val="0"/>
          <w:sz w:val="21"/>
        </w:rPr>
        <w:t>325</w:t>
      </w:r>
    </w:p>
    <w:p w14:paraId="1EF19967">
      <w:pPr>
        <w:tabs>
          <w:tab w:val="right" w:leader="dot" w:pos="8306"/>
        </w:tabs>
        <w:spacing w:line="480" w:lineRule="exact"/>
      </w:pPr>
      <w:r>
        <w:rPr>
          <w:rFonts w:ascii="宋体" w:hAnsi="宋体" w:eastAsia="宋体" w:cs="宋体"/>
          <w:b w:val="0"/>
          <w:sz w:val="21"/>
        </w:rPr>
        <w:t>《演出策划与管理》课程教学大纲</w:t>
      </w:r>
      <w:r>
        <w:rPr>
          <w:rFonts w:ascii="宋体" w:hAnsi="宋体" w:eastAsia="宋体" w:cs="宋体"/>
          <w:b w:val="0"/>
          <w:sz w:val="21"/>
        </w:rPr>
        <w:tab/>
      </w:r>
      <w:r>
        <w:rPr>
          <w:rFonts w:ascii="宋体" w:hAnsi="宋体" w:eastAsia="宋体" w:cs="宋体"/>
          <w:b w:val="0"/>
          <w:sz w:val="21"/>
        </w:rPr>
        <w:t>330</w:t>
      </w:r>
    </w:p>
    <w:p w14:paraId="0698CBD0">
      <w:pPr>
        <w:tabs>
          <w:tab w:val="right" w:leader="dot" w:pos="8306"/>
        </w:tabs>
        <w:spacing w:line="480" w:lineRule="exact"/>
      </w:pPr>
      <w:r>
        <w:rPr>
          <w:rFonts w:ascii="宋体" w:hAnsi="宋体" w:eastAsia="宋体" w:cs="宋体"/>
          <w:b w:val="0"/>
          <w:sz w:val="21"/>
        </w:rPr>
        <w:t>《福建客家音乐》课程教学大纲</w:t>
      </w:r>
      <w:r>
        <w:rPr>
          <w:rFonts w:ascii="宋体" w:hAnsi="宋体" w:eastAsia="宋体" w:cs="宋体"/>
          <w:b w:val="0"/>
          <w:sz w:val="21"/>
        </w:rPr>
        <w:tab/>
      </w:r>
      <w:r>
        <w:rPr>
          <w:rFonts w:ascii="宋体" w:hAnsi="宋体" w:eastAsia="宋体" w:cs="宋体"/>
          <w:b w:val="0"/>
          <w:sz w:val="21"/>
        </w:rPr>
        <w:t>338</w:t>
      </w:r>
    </w:p>
    <w:p w14:paraId="19051E91">
      <w:pPr>
        <w:tabs>
          <w:tab w:val="right" w:leader="dot" w:pos="8306"/>
        </w:tabs>
        <w:spacing w:line="480" w:lineRule="exact"/>
      </w:pPr>
      <w:r>
        <w:rPr>
          <w:rFonts w:ascii="宋体" w:hAnsi="宋体" w:eastAsia="宋体" w:cs="宋体"/>
          <w:b w:val="0"/>
          <w:sz w:val="21"/>
        </w:rPr>
        <w:t>《音乐剧》课程教学大纲</w:t>
      </w:r>
      <w:r>
        <w:rPr>
          <w:rFonts w:ascii="宋体" w:hAnsi="宋体" w:eastAsia="宋体" w:cs="宋体"/>
          <w:b w:val="0"/>
          <w:sz w:val="21"/>
        </w:rPr>
        <w:tab/>
      </w:r>
      <w:r>
        <w:rPr>
          <w:rFonts w:ascii="宋体" w:hAnsi="宋体" w:eastAsia="宋体" w:cs="宋体"/>
          <w:b w:val="0"/>
          <w:sz w:val="21"/>
        </w:rPr>
        <w:t>343</w:t>
      </w:r>
    </w:p>
    <w:p w14:paraId="78622303">
      <w:pPr>
        <w:tabs>
          <w:tab w:val="right" w:leader="dot" w:pos="8306"/>
        </w:tabs>
        <w:spacing w:line="480" w:lineRule="exact"/>
      </w:pPr>
      <w:r>
        <w:rPr>
          <w:rFonts w:ascii="宋体" w:hAnsi="宋体" w:eastAsia="宋体" w:cs="宋体"/>
          <w:b w:val="0"/>
          <w:sz w:val="21"/>
        </w:rPr>
        <w:t>《音乐微格与片段教学》课程教学大纲</w:t>
      </w:r>
      <w:r>
        <w:rPr>
          <w:rFonts w:ascii="宋体" w:hAnsi="宋体" w:eastAsia="宋体" w:cs="宋体"/>
          <w:b w:val="0"/>
          <w:sz w:val="21"/>
        </w:rPr>
        <w:tab/>
      </w:r>
      <w:r>
        <w:rPr>
          <w:rFonts w:ascii="宋体" w:hAnsi="宋体" w:eastAsia="宋体" w:cs="宋体"/>
          <w:b w:val="0"/>
          <w:sz w:val="21"/>
        </w:rPr>
        <w:t>349</w:t>
      </w:r>
    </w:p>
    <w:p w14:paraId="527D34A1">
      <w:pPr>
        <w:spacing w:before="160" w:after="40" w:line="480" w:lineRule="exact"/>
      </w:pPr>
      <w:r>
        <w:rPr>
          <w:rFonts w:ascii="黑体" w:hAnsi="黑体" w:eastAsia="黑体" w:cs="黑体"/>
          <w:b w:val="0"/>
          <w:sz w:val="24"/>
        </w:rPr>
        <w:t>2022级（第八学期）</w:t>
      </w:r>
    </w:p>
    <w:p w14:paraId="3CEC03B1">
      <w:pPr>
        <w:tabs>
          <w:tab w:val="right" w:leader="dot" w:pos="8306"/>
        </w:tabs>
        <w:spacing w:line="480" w:lineRule="exact"/>
      </w:pPr>
      <w:r>
        <w:rPr>
          <w:rFonts w:ascii="宋体" w:hAnsi="宋体" w:eastAsia="宋体" w:cs="宋体"/>
          <w:b w:val="0"/>
          <w:sz w:val="21"/>
        </w:rPr>
        <w:t>《艺术实践》课程教学大纲</w:t>
      </w:r>
      <w:r>
        <w:rPr>
          <w:rFonts w:ascii="宋体" w:hAnsi="宋体" w:eastAsia="宋体" w:cs="宋体"/>
          <w:b w:val="0"/>
          <w:sz w:val="21"/>
        </w:rPr>
        <w:tab/>
      </w:r>
      <w:r>
        <w:rPr>
          <w:rFonts w:ascii="宋体" w:hAnsi="宋体" w:eastAsia="宋体" w:cs="宋体"/>
          <w:b w:val="0"/>
          <w:sz w:val="21"/>
        </w:rPr>
        <w:t>357</w:t>
      </w:r>
    </w:p>
    <w:p w14:paraId="70C45CFA">
      <w:pPr>
        <w:tabs>
          <w:tab w:val="right" w:leader="dot" w:pos="8306"/>
        </w:tabs>
        <w:spacing w:line="480" w:lineRule="exact"/>
      </w:pPr>
      <w:r>
        <w:rPr>
          <w:rFonts w:ascii="宋体" w:hAnsi="宋体" w:eastAsia="宋体" w:cs="宋体"/>
          <w:b w:val="0"/>
          <w:sz w:val="21"/>
        </w:rPr>
        <w:t>《毕业汇演》课程教学大纲</w:t>
      </w:r>
      <w:r>
        <w:rPr>
          <w:rFonts w:ascii="宋体" w:hAnsi="宋体" w:eastAsia="宋体" w:cs="宋体"/>
          <w:b w:val="0"/>
          <w:sz w:val="21"/>
        </w:rPr>
        <w:tab/>
      </w:r>
      <w:r>
        <w:rPr>
          <w:rFonts w:ascii="宋体" w:hAnsi="宋体" w:eastAsia="宋体" w:cs="宋体"/>
          <w:b w:val="0"/>
          <w:sz w:val="21"/>
        </w:rPr>
        <w:t>362</w:t>
      </w:r>
    </w:p>
    <w:p w14:paraId="70D003BF">
      <w:pPr>
        <w:tabs>
          <w:tab w:val="right" w:leader="dot" w:pos="8306"/>
        </w:tabs>
        <w:spacing w:line="480" w:lineRule="exact"/>
      </w:pPr>
      <w:r>
        <w:rPr>
          <w:rFonts w:ascii="宋体" w:hAnsi="宋体" w:eastAsia="宋体" w:cs="宋体"/>
          <w:b w:val="0"/>
          <w:sz w:val="21"/>
        </w:rPr>
        <w:t>《毕业论文》课程教学大纲</w:t>
      </w:r>
      <w:r>
        <w:rPr>
          <w:rFonts w:ascii="宋体" w:hAnsi="宋体" w:eastAsia="宋体" w:cs="宋体"/>
          <w:b w:val="0"/>
          <w:sz w:val="21"/>
        </w:rPr>
        <w:tab/>
      </w:r>
      <w:r>
        <w:rPr>
          <w:rFonts w:ascii="宋体" w:hAnsi="宋体" w:eastAsia="宋体" w:cs="宋体"/>
          <w:b w:val="0"/>
          <w:sz w:val="21"/>
        </w:rPr>
        <w:t>367</w:t>
      </w:r>
    </w:p>
    <w:p w14:paraId="3BAD92CA">
      <w:pPr>
        <w:rPr>
          <w:sz w:val="2"/>
          <w:szCs w:val="2"/>
        </w:rPr>
        <w:sectPr>
          <w:headerReference r:id="rId5" w:type="default"/>
          <w:footerReference r:id="rId6" w:type="default"/>
          <w:pgSz w:w="11906" w:h="16838"/>
          <w:pgMar w:top="1440" w:right="1800" w:bottom="1440" w:left="1800" w:header="851" w:footer="992" w:gutter="0"/>
          <w:cols w:space="425" w:num="1"/>
          <w:docGrid w:type="lines" w:linePitch="312" w:charSpace="0"/>
        </w:sectPr>
      </w:pPr>
    </w:p>
    <w:p w14:paraId="3B0EB07D">
      <w:pPr>
        <w:ind w:left="420"/>
        <w:rPr>
          <w:rFonts w:hint="eastAsia" w:eastAsia="隶书"/>
          <w:b/>
          <w:bCs/>
          <w:spacing w:val="-20"/>
          <w:sz w:val="72"/>
        </w:rPr>
      </w:pPr>
      <w:r>
        <w:drawing>
          <wp:inline distT="0" distB="0" distL="114300" distR="114300">
            <wp:extent cx="2987040" cy="882650"/>
            <wp:effectExtent l="0" t="0" r="10160" b="635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44"/>
                    <a:stretch>
                      <a:fillRect/>
                    </a:stretch>
                  </pic:blipFill>
                  <pic:spPr>
                    <a:xfrm>
                      <a:off x="0" y="0"/>
                      <a:ext cx="2987040" cy="882650"/>
                    </a:xfrm>
                    <a:prstGeom prst="rect">
                      <a:avLst/>
                    </a:prstGeom>
                    <a:noFill/>
                    <a:ln>
                      <a:noFill/>
                    </a:ln>
                  </pic:spPr>
                </pic:pic>
              </a:graphicData>
            </a:graphic>
          </wp:inline>
        </w:drawing>
      </w:r>
    </w:p>
    <w:p w14:paraId="69683670">
      <w:pPr>
        <w:ind w:left="420"/>
        <w:rPr>
          <w:rFonts w:hint="eastAsia" w:ascii="黑体" w:eastAsia="黑体"/>
          <w:b/>
          <w:bCs/>
          <w:spacing w:val="-20"/>
          <w:szCs w:val="21"/>
        </w:rPr>
      </w:pPr>
    </w:p>
    <w:p w14:paraId="7ACA2351">
      <w:pPr>
        <w:rPr>
          <w:rFonts w:hint="eastAsia"/>
        </w:rPr>
      </w:pPr>
    </w:p>
    <w:p w14:paraId="4B6DEA5A">
      <w:pPr>
        <w:rPr>
          <w:rFonts w:hint="eastAsia"/>
        </w:rPr>
      </w:pPr>
    </w:p>
    <w:p w14:paraId="301D97D2">
      <w:pPr>
        <w:rPr>
          <w:rFonts w:hint="eastAsia"/>
        </w:rPr>
      </w:pPr>
    </w:p>
    <w:p w14:paraId="328277CC">
      <w:pPr>
        <w:rPr>
          <w:rFonts w:hint="eastAsia"/>
        </w:rPr>
      </w:pPr>
    </w:p>
    <w:p w14:paraId="0A259116">
      <w:pPr>
        <w:rPr>
          <w:rFonts w:hint="eastAsia"/>
        </w:rPr>
      </w:pPr>
    </w:p>
    <w:p w14:paraId="481E8409">
      <w:pPr>
        <w:rPr>
          <w:rFonts w:hint="eastAsia"/>
        </w:rPr>
      </w:pPr>
    </w:p>
    <w:p w14:paraId="1B7E17E1">
      <w:pPr>
        <w:rPr>
          <w:rFonts w:hint="eastAsia"/>
        </w:rPr>
      </w:pPr>
    </w:p>
    <w:p w14:paraId="0F1B1EF3">
      <w:pPr>
        <w:spacing w:line="360" w:lineRule="auto"/>
        <w:jc w:val="center"/>
        <w:rPr>
          <w:rFonts w:hint="eastAsia" w:ascii="楷体_GB2312" w:hAnsi="宋体" w:eastAsia="楷体_GB2312"/>
          <w:spacing w:val="14"/>
          <w:sz w:val="44"/>
          <w:szCs w:val="44"/>
        </w:rPr>
      </w:pPr>
      <w:r>
        <w:rPr>
          <w:rFonts w:ascii="方正小标宋简体" w:hAnsi="方正小标宋简体" w:eastAsia="方正小标宋简体" w:cs="方正小标宋简体"/>
          <w:b/>
          <w:spacing w:val="14"/>
          <w:sz w:val="44"/>
        </w:rPr>
        <w:t>2025—2026 学年第二学期</w:t>
      </w:r>
    </w:p>
    <w:p w14:paraId="5A6FD1C9">
      <w:pPr>
        <w:spacing w:before="156" w:beforeLines="50" w:after="156" w:afterLines="50" w:line="360" w:lineRule="auto"/>
        <w:jc w:val="center"/>
        <w:rPr>
          <w:rFonts w:hint="eastAsia" w:ascii="方正小标宋简体" w:hAnsi="方正小标宋简体" w:eastAsia="方正小标宋简体" w:cs="方正小标宋简体"/>
          <w:b/>
          <w:spacing w:val="14"/>
          <w:sz w:val="72"/>
          <w:szCs w:val="72"/>
        </w:rPr>
      </w:pPr>
      <w:r>
        <w:rPr>
          <w:rFonts w:hint="eastAsia" w:ascii="方正小标宋简体" w:hAnsi="方正小标宋简体" w:eastAsia="方正小标宋简体" w:cs="方正小标宋简体"/>
          <w:b/>
          <w:spacing w:val="14"/>
          <w:sz w:val="72"/>
          <w:szCs w:val="72"/>
        </w:rPr>
        <w:t>音乐学（</w:t>
      </w:r>
      <w:r>
        <w:rPr>
          <w:rFonts w:hint="eastAsia" w:ascii="方正小标宋简体" w:hAnsi="方正小标宋简体" w:eastAsia="方正小标宋简体" w:cs="方正小标宋简体"/>
          <w:b/>
          <w:spacing w:val="14"/>
          <w:sz w:val="72"/>
          <w:szCs w:val="72"/>
          <w:lang w:val="en-US" w:eastAsia="zh-CN"/>
        </w:rPr>
        <w:t>音乐教育</w:t>
      </w:r>
      <w:r>
        <w:rPr>
          <w:rFonts w:hint="eastAsia" w:ascii="方正小标宋简体" w:hAnsi="方正小标宋简体" w:eastAsia="方正小标宋简体" w:cs="方正小标宋简体"/>
          <w:b/>
          <w:spacing w:val="14"/>
          <w:sz w:val="72"/>
          <w:szCs w:val="72"/>
        </w:rPr>
        <w:t>）专业</w:t>
      </w:r>
    </w:p>
    <w:p w14:paraId="558857B3">
      <w:pPr>
        <w:spacing w:before="156" w:beforeLines="50" w:after="156" w:afterLines="50" w:line="360" w:lineRule="auto"/>
        <w:jc w:val="center"/>
        <w:rPr>
          <w:rFonts w:hint="eastAsia" w:ascii="方正小标宋简体" w:hAnsi="方正小标宋简体" w:eastAsia="方正小标宋简体" w:cs="方正小标宋简体"/>
          <w:b/>
          <w:color w:val="FF0000"/>
          <w:spacing w:val="14"/>
          <w:sz w:val="72"/>
          <w:szCs w:val="72"/>
        </w:rPr>
      </w:pPr>
      <w:r>
        <w:rPr>
          <w:rFonts w:hint="eastAsia" w:ascii="方正小标宋简体" w:hAnsi="方正小标宋简体" w:eastAsia="方正小标宋简体" w:cs="方正小标宋简体"/>
          <w:b/>
          <w:spacing w:val="14"/>
          <w:sz w:val="72"/>
          <w:szCs w:val="72"/>
        </w:rPr>
        <w:t>课程教学大纲</w:t>
      </w:r>
    </w:p>
    <w:p w14:paraId="347CA3A1">
      <w:pPr>
        <w:spacing w:before="312" w:beforeLines="100" w:after="156" w:afterLines="50" w:line="360" w:lineRule="auto"/>
        <w:jc w:val="center"/>
        <w:rPr>
          <w:rFonts w:hint="eastAsia" w:ascii="宋体" w:hAnsi="宋体"/>
          <w:spacing w:val="14"/>
          <w:sz w:val="44"/>
          <w:szCs w:val="44"/>
        </w:rPr>
      </w:pPr>
    </w:p>
    <w:p w14:paraId="7FE89435">
      <w:pPr>
        <w:rPr>
          <w:rFonts w:hint="eastAsia" w:ascii="Arial" w:hAnsi="Arial" w:eastAsia="楷体_GB2312"/>
          <w:sz w:val="36"/>
        </w:rPr>
      </w:pPr>
    </w:p>
    <w:p w14:paraId="67F0AC6C">
      <w:pPr>
        <w:rPr>
          <w:rFonts w:hint="eastAsia" w:ascii="Arial" w:hAnsi="Arial" w:eastAsia="楷体_GB2312"/>
          <w:sz w:val="36"/>
        </w:rPr>
      </w:pPr>
    </w:p>
    <w:p w14:paraId="0DD74459">
      <w:pPr>
        <w:jc w:val="left"/>
        <w:rPr>
          <w:rFonts w:hint="eastAsia" w:ascii="宋体" w:hAnsi="宋体" w:cs="宋体"/>
          <w:sz w:val="44"/>
          <w:szCs w:val="44"/>
        </w:rPr>
      </w:pPr>
    </w:p>
    <w:p w14:paraId="2E6D5645">
      <w:pPr>
        <w:ind w:firstLine="2202" w:firstLineChars="500"/>
        <w:jc w:val="left"/>
        <w:rPr>
          <w:rFonts w:hint="eastAsia" w:ascii="宋体" w:hAnsi="宋体" w:eastAsia="宋体" w:cs="宋体"/>
          <w:b/>
          <w:bCs/>
          <w:sz w:val="44"/>
          <w:szCs w:val="44"/>
          <w:lang w:val="en-US" w:eastAsia="zh-Hans"/>
        </w:rPr>
      </w:pPr>
      <w:r>
        <w:rPr>
          <w:rFonts w:hint="eastAsia" w:ascii="宋体" w:hAnsi="宋体" w:cs="宋体"/>
          <w:b/>
          <w:bCs/>
          <w:sz w:val="44"/>
          <w:szCs w:val="44"/>
        </w:rPr>
        <w:t>开课单位：</w:t>
      </w:r>
      <w:r>
        <w:rPr>
          <w:rFonts w:hint="eastAsia" w:ascii="宋体" w:hAnsi="宋体" w:cs="宋体"/>
          <w:b/>
          <w:bCs/>
          <w:sz w:val="44"/>
          <w:szCs w:val="44"/>
          <w:lang w:val="en-US" w:eastAsia="zh-Hans"/>
        </w:rPr>
        <w:t>教育与音乐学院</w:t>
      </w:r>
    </w:p>
    <w:p w14:paraId="7FFEFE19">
      <w:pPr>
        <w:ind w:firstLine="2202" w:firstLineChars="500"/>
        <w:jc w:val="left"/>
        <w:rPr>
          <w:rFonts w:hint="default" w:ascii="宋体" w:hAnsi="宋体" w:eastAsia="宋体" w:cs="宋体"/>
          <w:b/>
          <w:bCs/>
          <w:sz w:val="44"/>
          <w:szCs w:val="44"/>
          <w:lang w:val="en-US" w:eastAsia="zh-Hans"/>
        </w:rPr>
      </w:pPr>
      <w:r>
        <w:rPr>
          <w:rFonts w:hint="eastAsia" w:ascii="宋体" w:hAnsi="宋体" w:cs="宋体"/>
          <w:b/>
          <w:bCs/>
          <w:sz w:val="44"/>
          <w:szCs w:val="44"/>
        </w:rPr>
        <w:t>适用年级：2025级音乐学</w:t>
      </w:r>
    </w:p>
    <w:p w14:paraId="44AC931A">
      <w:pPr>
        <w:rPr>
          <w:rFonts w:hint="eastAsia" w:ascii="Arial" w:hAnsi="Arial" w:eastAsia="楷体_GB2312"/>
          <w:sz w:val="36"/>
        </w:rPr>
      </w:pPr>
    </w:p>
    <w:p w14:paraId="283F3DAF">
      <w:pPr>
        <w:rPr>
          <w:rFonts w:hint="eastAsia" w:ascii="Arial" w:hAnsi="Arial" w:eastAsia="楷体_GB2312"/>
          <w:sz w:val="36"/>
        </w:rPr>
      </w:pPr>
    </w:p>
    <w:p w14:paraId="1241DD3C">
      <w:pPr>
        <w:jc w:val="center"/>
        <w:rPr>
          <w:rFonts w:hint="eastAsia" w:ascii="楷体" w:hAnsi="楷体" w:eastAsia="楷体" w:cs="楷体"/>
          <w:sz w:val="36"/>
        </w:rPr>
      </w:pPr>
      <w:r>
        <w:rPr>
          <w:rFonts w:hint="eastAsia" w:ascii="楷体" w:hAnsi="楷体" w:eastAsia="楷体" w:cs="楷体"/>
          <w:sz w:val="36"/>
        </w:rPr>
        <w:t>二○二六年二月</w:t>
      </w:r>
    </w:p>
    <w:p w14:paraId="02A97E62">
      <w:pPr>
        <w:rPr>
          <w:sz w:val="2"/>
          <w:szCs w:val="2"/>
        </w:rPr>
        <w:sectPr>
          <w:headerReference r:id="rId7" w:type="default"/>
          <w:footerReference r:id="rId8" w:type="default"/>
          <w:pgSz w:w="11906" w:h="16838"/>
          <w:pgMar w:top="1440" w:right="1800" w:bottom="1440" w:left="1800" w:header="851" w:footer="992" w:gutter="0"/>
          <w:cols w:space="425" w:num="1"/>
          <w:docGrid w:type="lines" w:linePitch="312" w:charSpace="0"/>
        </w:sectPr>
      </w:pPr>
    </w:p>
    <w:p w14:paraId="5D39BDC5">
      <w:pPr>
        <w:spacing w:after="520" w:line="500" w:lineRule="exact"/>
        <w:jc w:val="center"/>
      </w:pPr>
      <w:r>
        <w:rPr>
          <w:rFonts w:ascii="宋体" w:hAnsi="宋体" w:eastAsia="宋体" w:cs="宋体"/>
          <w:b/>
          <w:spacing w:val="14"/>
          <w:sz w:val="28"/>
        </w:rPr>
        <w:t>目录</w:t>
      </w:r>
    </w:p>
    <w:p w14:paraId="2AD23593">
      <w:pPr>
        <w:tabs>
          <w:tab w:val="right" w:leader="dot" w:pos="8306"/>
        </w:tabs>
        <w:spacing w:line="480" w:lineRule="exact"/>
      </w:pPr>
      <w:r>
        <w:rPr>
          <w:rFonts w:ascii="宋体" w:hAnsi="宋体" w:eastAsia="宋体" w:cs="宋体"/>
          <w:b w:val="0"/>
          <w:sz w:val="21"/>
        </w:rPr>
        <w:t>《形体舞蹈》课程教学大纲</w:t>
      </w:r>
      <w:r>
        <w:rPr>
          <w:rFonts w:ascii="宋体" w:hAnsi="宋体" w:eastAsia="宋体" w:cs="宋体"/>
          <w:b w:val="0"/>
          <w:sz w:val="21"/>
        </w:rPr>
        <w:tab/>
      </w:r>
      <w:r>
        <w:rPr>
          <w:rFonts w:ascii="宋体" w:hAnsi="宋体" w:eastAsia="宋体" w:cs="宋体"/>
          <w:b w:val="0"/>
          <w:sz w:val="21"/>
        </w:rPr>
        <w:t>6</w:t>
      </w:r>
    </w:p>
    <w:p w14:paraId="5EFF9555">
      <w:pPr>
        <w:tabs>
          <w:tab w:val="right" w:leader="dot" w:pos="8306"/>
        </w:tabs>
        <w:spacing w:line="480" w:lineRule="exact"/>
      </w:pPr>
      <w:r>
        <w:rPr>
          <w:rFonts w:ascii="宋体" w:hAnsi="宋体" w:eastAsia="宋体" w:cs="宋体"/>
          <w:b w:val="0"/>
          <w:sz w:val="21"/>
        </w:rPr>
        <w:t>《乐器演奏基础》课程教学大纲</w:t>
      </w:r>
      <w:r>
        <w:rPr>
          <w:rFonts w:ascii="宋体" w:hAnsi="宋体" w:eastAsia="宋体" w:cs="宋体"/>
          <w:b w:val="0"/>
          <w:sz w:val="21"/>
        </w:rPr>
        <w:tab/>
      </w:r>
      <w:r>
        <w:rPr>
          <w:rFonts w:ascii="宋体" w:hAnsi="宋体" w:eastAsia="宋体" w:cs="宋体"/>
          <w:b w:val="0"/>
          <w:sz w:val="21"/>
        </w:rPr>
        <w:t>11</w:t>
      </w:r>
    </w:p>
    <w:p w14:paraId="1A24DEBD">
      <w:pPr>
        <w:tabs>
          <w:tab w:val="right" w:leader="dot" w:pos="8306"/>
        </w:tabs>
        <w:spacing w:line="480" w:lineRule="exact"/>
      </w:pPr>
      <w:r>
        <w:rPr>
          <w:rFonts w:ascii="宋体" w:hAnsi="宋体" w:eastAsia="宋体" w:cs="宋体"/>
          <w:b w:val="0"/>
          <w:sz w:val="21"/>
        </w:rPr>
        <w:t>《视唱练耳》课程教学大纲</w:t>
      </w:r>
      <w:r>
        <w:rPr>
          <w:rFonts w:ascii="宋体" w:hAnsi="宋体" w:eastAsia="宋体" w:cs="宋体"/>
          <w:b w:val="0"/>
          <w:sz w:val="21"/>
        </w:rPr>
        <w:tab/>
      </w:r>
      <w:r>
        <w:rPr>
          <w:rFonts w:ascii="宋体" w:hAnsi="宋体" w:eastAsia="宋体" w:cs="宋体"/>
          <w:b w:val="0"/>
          <w:sz w:val="21"/>
        </w:rPr>
        <w:t>26</w:t>
      </w:r>
    </w:p>
    <w:p w14:paraId="2C868390">
      <w:pPr>
        <w:tabs>
          <w:tab w:val="right" w:leader="dot" w:pos="8306"/>
        </w:tabs>
        <w:spacing w:line="480" w:lineRule="exact"/>
      </w:pPr>
      <w:r>
        <w:rPr>
          <w:rFonts w:ascii="宋体" w:hAnsi="宋体" w:eastAsia="宋体" w:cs="宋体"/>
          <w:b w:val="0"/>
          <w:sz w:val="21"/>
        </w:rPr>
        <w:t>《中国民族音乐》课程教学大纲</w:t>
      </w:r>
      <w:r>
        <w:rPr>
          <w:rFonts w:ascii="宋体" w:hAnsi="宋体" w:eastAsia="宋体" w:cs="宋体"/>
          <w:b w:val="0"/>
          <w:sz w:val="21"/>
        </w:rPr>
        <w:tab/>
      </w:r>
      <w:r>
        <w:rPr>
          <w:rFonts w:ascii="宋体" w:hAnsi="宋体" w:eastAsia="宋体" w:cs="宋体"/>
          <w:b w:val="0"/>
          <w:sz w:val="21"/>
        </w:rPr>
        <w:t>34</w:t>
      </w:r>
    </w:p>
    <w:p w14:paraId="2FC03599">
      <w:pPr>
        <w:tabs>
          <w:tab w:val="right" w:leader="dot" w:pos="8306"/>
        </w:tabs>
        <w:spacing w:line="480" w:lineRule="exact"/>
      </w:pPr>
      <w:r>
        <w:rPr>
          <w:rFonts w:ascii="宋体" w:hAnsi="宋体" w:eastAsia="宋体" w:cs="宋体"/>
          <w:b w:val="0"/>
          <w:sz w:val="21"/>
        </w:rPr>
        <w:t>《中国音乐史与欣赏》课程教学大纲</w:t>
      </w:r>
      <w:r>
        <w:rPr>
          <w:rFonts w:ascii="宋体" w:hAnsi="宋体" w:eastAsia="宋体" w:cs="宋体"/>
          <w:b w:val="0"/>
          <w:sz w:val="21"/>
        </w:rPr>
        <w:tab/>
      </w:r>
      <w:r>
        <w:rPr>
          <w:rFonts w:ascii="宋体" w:hAnsi="宋体" w:eastAsia="宋体" w:cs="宋体"/>
          <w:b w:val="0"/>
          <w:sz w:val="21"/>
        </w:rPr>
        <w:t>41</w:t>
      </w:r>
    </w:p>
    <w:p w14:paraId="281F7D70">
      <w:pPr>
        <w:tabs>
          <w:tab w:val="right" w:leader="dot" w:pos="8306"/>
        </w:tabs>
        <w:spacing w:line="480" w:lineRule="exact"/>
      </w:pPr>
      <w:r>
        <w:rPr>
          <w:rFonts w:ascii="宋体" w:hAnsi="宋体" w:eastAsia="宋体" w:cs="宋体"/>
          <w:b w:val="0"/>
          <w:sz w:val="21"/>
        </w:rPr>
        <w:t>《和声》课程教学大纲</w:t>
      </w:r>
      <w:r>
        <w:rPr>
          <w:rFonts w:ascii="宋体" w:hAnsi="宋体" w:eastAsia="宋体" w:cs="宋体"/>
          <w:b w:val="0"/>
          <w:sz w:val="21"/>
        </w:rPr>
        <w:tab/>
      </w:r>
      <w:r>
        <w:rPr>
          <w:rFonts w:ascii="宋体" w:hAnsi="宋体" w:eastAsia="宋体" w:cs="宋体"/>
          <w:b w:val="0"/>
          <w:sz w:val="21"/>
        </w:rPr>
        <w:t>48</w:t>
      </w:r>
    </w:p>
    <w:p w14:paraId="562B2E81">
      <w:pPr>
        <w:tabs>
          <w:tab w:val="right" w:leader="dot" w:pos="8306"/>
        </w:tabs>
        <w:spacing w:line="480" w:lineRule="exact"/>
      </w:pPr>
      <w:r>
        <w:rPr>
          <w:rFonts w:ascii="宋体" w:hAnsi="宋体" w:eastAsia="宋体" w:cs="宋体"/>
          <w:b w:val="0"/>
          <w:sz w:val="21"/>
        </w:rPr>
        <w:t>《声乐基础》课程教学大纲</w:t>
      </w:r>
      <w:r>
        <w:rPr>
          <w:rFonts w:ascii="宋体" w:hAnsi="宋体" w:eastAsia="宋体" w:cs="宋体"/>
          <w:b w:val="0"/>
          <w:sz w:val="21"/>
        </w:rPr>
        <w:tab/>
      </w:r>
      <w:r>
        <w:rPr>
          <w:rFonts w:ascii="宋体" w:hAnsi="宋体" w:eastAsia="宋体" w:cs="宋体"/>
          <w:b w:val="0"/>
          <w:sz w:val="21"/>
        </w:rPr>
        <w:t>64</w:t>
      </w:r>
    </w:p>
    <w:p w14:paraId="0A079225">
      <w:pPr>
        <w:tabs>
          <w:tab w:val="right" w:leader="dot" w:pos="8306"/>
        </w:tabs>
        <w:spacing w:line="480" w:lineRule="exact"/>
      </w:pPr>
      <w:r>
        <w:rPr>
          <w:rFonts w:ascii="宋体" w:hAnsi="宋体" w:eastAsia="宋体" w:cs="宋体"/>
          <w:b w:val="0"/>
          <w:sz w:val="21"/>
        </w:rPr>
        <w:t>《钢琴基础》课程教学大纲</w:t>
      </w:r>
      <w:r>
        <w:rPr>
          <w:rFonts w:ascii="宋体" w:hAnsi="宋体" w:eastAsia="宋体" w:cs="宋体"/>
          <w:b w:val="0"/>
          <w:sz w:val="21"/>
        </w:rPr>
        <w:tab/>
      </w:r>
      <w:r>
        <w:rPr>
          <w:rFonts w:ascii="宋体" w:hAnsi="宋体" w:eastAsia="宋体" w:cs="宋体"/>
          <w:b w:val="0"/>
          <w:sz w:val="21"/>
        </w:rPr>
        <w:t>74</w:t>
      </w:r>
    </w:p>
    <w:p w14:paraId="0005977E">
      <w:pPr>
        <w:tabs>
          <w:tab w:val="right" w:leader="dot" w:pos="8306"/>
        </w:tabs>
        <w:spacing w:line="480" w:lineRule="exact"/>
      </w:pPr>
      <w:r>
        <w:rPr>
          <w:rFonts w:ascii="宋体" w:hAnsi="宋体" w:eastAsia="宋体" w:cs="宋体"/>
          <w:b w:val="0"/>
          <w:sz w:val="21"/>
        </w:rPr>
        <w:t>《管乐》课程教学大纲</w:t>
      </w:r>
      <w:r>
        <w:rPr>
          <w:rFonts w:ascii="宋体" w:hAnsi="宋体" w:eastAsia="宋体" w:cs="宋体"/>
          <w:b w:val="0"/>
          <w:sz w:val="21"/>
        </w:rPr>
        <w:tab/>
      </w:r>
      <w:r>
        <w:rPr>
          <w:rFonts w:ascii="宋体" w:hAnsi="宋体" w:eastAsia="宋体" w:cs="宋体"/>
          <w:b w:val="0"/>
          <w:sz w:val="21"/>
        </w:rPr>
        <w:t>87</w:t>
      </w:r>
    </w:p>
    <w:p w14:paraId="683836A4">
      <w:pPr>
        <w:tabs>
          <w:tab w:val="right" w:leader="dot" w:pos="8306"/>
        </w:tabs>
        <w:spacing w:line="480" w:lineRule="exact"/>
      </w:pPr>
      <w:r>
        <w:rPr>
          <w:rFonts w:ascii="宋体" w:hAnsi="宋体" w:eastAsia="宋体" w:cs="宋体"/>
          <w:b w:val="0"/>
          <w:sz w:val="21"/>
        </w:rPr>
        <w:t>《师德与法规》课程教学大纲</w:t>
      </w:r>
      <w:r>
        <w:rPr>
          <w:rFonts w:ascii="宋体" w:hAnsi="宋体" w:eastAsia="宋体" w:cs="宋体"/>
          <w:b w:val="0"/>
          <w:sz w:val="21"/>
        </w:rPr>
        <w:tab/>
      </w:r>
      <w:r>
        <w:rPr>
          <w:rFonts w:ascii="宋体" w:hAnsi="宋体" w:eastAsia="宋体" w:cs="宋体"/>
          <w:b w:val="0"/>
          <w:sz w:val="21"/>
        </w:rPr>
        <w:t>93</w:t>
      </w:r>
    </w:p>
    <w:p w14:paraId="40CBECBD">
      <w:pPr>
        <w:tabs>
          <w:tab w:val="right" w:leader="dot" w:pos="8306"/>
        </w:tabs>
        <w:spacing w:line="480" w:lineRule="exact"/>
      </w:pPr>
      <w:r>
        <w:rPr>
          <w:rFonts w:ascii="宋体" w:hAnsi="宋体" w:eastAsia="宋体" w:cs="宋体"/>
          <w:b w:val="0"/>
          <w:sz w:val="21"/>
        </w:rPr>
        <w:t>《教师口语》课程教学大纲</w:t>
      </w:r>
      <w:r>
        <w:rPr>
          <w:rFonts w:ascii="宋体" w:hAnsi="宋体" w:eastAsia="宋体" w:cs="宋体"/>
          <w:b w:val="0"/>
          <w:sz w:val="21"/>
        </w:rPr>
        <w:tab/>
      </w:r>
      <w:r>
        <w:rPr>
          <w:rFonts w:ascii="宋体" w:hAnsi="宋体" w:eastAsia="宋体" w:cs="宋体"/>
          <w:b w:val="0"/>
          <w:sz w:val="21"/>
        </w:rPr>
        <w:t>102</w:t>
      </w:r>
    </w:p>
    <w:p w14:paraId="7CE73547">
      <w:pPr>
        <w:tabs>
          <w:tab w:val="right" w:leader="dot" w:pos="8306"/>
        </w:tabs>
        <w:spacing w:line="480" w:lineRule="exact"/>
      </w:pPr>
      <w:r>
        <w:rPr>
          <w:rFonts w:ascii="宋体" w:hAnsi="宋体" w:eastAsia="宋体" w:cs="宋体"/>
          <w:b w:val="0"/>
          <w:sz w:val="21"/>
        </w:rPr>
        <w:t>《教师书写技能》课程教学大纲</w:t>
      </w:r>
      <w:r>
        <w:rPr>
          <w:rFonts w:ascii="宋体" w:hAnsi="宋体" w:eastAsia="宋体" w:cs="宋体"/>
          <w:b w:val="0"/>
          <w:sz w:val="21"/>
        </w:rPr>
        <w:tab/>
      </w:r>
      <w:r>
        <w:rPr>
          <w:rFonts w:ascii="宋体" w:hAnsi="宋体" w:eastAsia="宋体" w:cs="宋体"/>
          <w:b w:val="0"/>
          <w:sz w:val="21"/>
        </w:rPr>
        <w:t>109</w:t>
      </w:r>
    </w:p>
    <w:p w14:paraId="0E9A33AF">
      <w:pPr>
        <w:rPr>
          <w:sz w:val="2"/>
          <w:szCs w:val="2"/>
        </w:rPr>
        <w:sectPr>
          <w:headerReference r:id="rId9" w:type="default"/>
          <w:footerReference r:id="rId10" w:type="default"/>
          <w:pgSz w:w="11906" w:h="16838"/>
          <w:pgMar w:top="1440" w:right="1800" w:bottom="1440" w:left="1800" w:header="851" w:footer="992" w:gutter="0"/>
          <w:cols w:space="425" w:num="1"/>
          <w:docGrid w:type="lines" w:linePitch="312" w:charSpace="0"/>
        </w:sectPr>
      </w:pPr>
    </w:p>
    <w:p w14:paraId="64AEE39D">
      <w:pPr>
        <w:pageBreakBefore w:val="0"/>
        <w:kinsoku/>
        <w:overflowPunct/>
        <w:topLinePunct w:val="0"/>
        <w:bidi w:val="0"/>
        <w:adjustRightInd w:val="0"/>
        <w:snapToGrid w:val="0"/>
        <w:spacing w:line="240" w:lineRule="auto"/>
        <w:jc w:val="center"/>
        <w:rPr>
          <w:rFonts w:hint="eastAsia" w:ascii="微软雅黑" w:eastAsia="微软雅黑"/>
          <w:sz w:val="44"/>
          <w:szCs w:val="44"/>
        </w:rPr>
      </w:pPr>
      <w:r>
        <w:rPr>
          <w:rFonts w:hint="eastAsia" w:ascii="微软雅黑" w:eastAsia="微软雅黑"/>
          <w:sz w:val="44"/>
          <w:szCs w:val="44"/>
        </w:rPr>
        <w:t>三明学院音乐学（音乐教育）专业</w:t>
      </w:r>
    </w:p>
    <w:p w14:paraId="6A1C2B61">
      <w:pPr>
        <w:pStyle w:val="2"/>
        <w:pageBreakBefore w:val="0"/>
        <w:kinsoku/>
        <w:overflowPunct/>
        <w:topLinePunct w:val="0"/>
        <w:bidi w:val="0"/>
        <w:spacing w:before="0" w:beforeAutospacing="0" w:after="0" w:afterAutospacing="0" w:line="240" w:lineRule="auto"/>
        <w:jc w:val="center"/>
        <w:rPr>
          <w:rFonts w:hint="eastAsia" w:ascii="微软雅黑" w:eastAsia="微软雅黑"/>
          <w:b w:val="0"/>
          <w:bCs w:val="0"/>
          <w:sz w:val="44"/>
          <w:szCs w:val="44"/>
        </w:rPr>
      </w:pPr>
      <w:bookmarkStart w:id="0" w:name="_Toc16695550"/>
      <w:bookmarkStart w:id="1" w:name="_Toc39436598"/>
      <w:bookmarkStart w:id="2" w:name="_Toc39436506"/>
      <w:bookmarkStart w:id="3" w:name="_Toc16695452"/>
      <w:bookmarkStart w:id="4" w:name="_Toc78044680"/>
      <w:bookmarkStart w:id="5" w:name="_Toc78044638"/>
      <w:bookmarkStart w:id="6" w:name="_Toc78044726"/>
      <w:bookmarkStart w:id="7" w:name="_Toc84465594"/>
      <w:bookmarkStart w:id="8" w:name="_Toc65478581"/>
      <w:bookmarkStart w:id="9" w:name="_Toc16695344"/>
      <w:bookmarkStart w:id="10" w:name="_Toc84465672"/>
      <w:bookmarkStart w:id="11" w:name="_Toc84465646"/>
      <w:bookmarkStart w:id="12" w:name="_Toc75062416"/>
      <w:bookmarkStart w:id="13" w:name="_Toc75062210"/>
      <w:bookmarkStart w:id="14" w:name="_Toc75062090"/>
      <w:bookmarkStart w:id="15" w:name="_Toc75062319"/>
      <w:r>
        <w:rPr>
          <w:rFonts w:hint="eastAsia" w:ascii="微软雅黑" w:eastAsia="微软雅黑"/>
          <w:b w:val="0"/>
          <w:bCs w:val="0"/>
          <w:sz w:val="44"/>
          <w:szCs w:val="44"/>
        </w:rPr>
        <w:t>《形体舞蹈》课程教学大纲</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tbl>
      <w:tblPr>
        <w:tblStyle w:val="22"/>
        <w:tblW w:w="9143" w:type="dxa"/>
        <w:tblInd w:w="-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5"/>
        <w:gridCol w:w="1216"/>
        <w:gridCol w:w="179"/>
        <w:gridCol w:w="158"/>
        <w:gridCol w:w="1553"/>
        <w:gridCol w:w="762"/>
        <w:gridCol w:w="791"/>
        <w:gridCol w:w="97"/>
        <w:gridCol w:w="796"/>
        <w:gridCol w:w="660"/>
        <w:gridCol w:w="152"/>
        <w:gridCol w:w="71"/>
        <w:gridCol w:w="743"/>
        <w:gridCol w:w="36"/>
        <w:gridCol w:w="554"/>
      </w:tblGrid>
      <w:tr w14:paraId="4FD5A9BF">
        <w:trPr>
          <w:trHeight w:val="0" w:hRule="atLeast"/>
        </w:trPr>
        <w:tc>
          <w:tcPr>
            <w:tcW w:w="1375" w:type="dxa"/>
            <w:tcBorders>
              <w:top w:val="single" w:color="auto" w:sz="4" w:space="0"/>
              <w:left w:val="single" w:color="auto" w:sz="4" w:space="0"/>
              <w:bottom w:val="single" w:color="auto" w:sz="4" w:space="0"/>
              <w:right w:val="single" w:color="auto" w:sz="4" w:space="0"/>
            </w:tcBorders>
            <w:noWrap/>
            <w:vAlign w:val="center"/>
          </w:tcPr>
          <w:p w14:paraId="4E2A316C">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课程名称</w:t>
            </w:r>
          </w:p>
        </w:tc>
        <w:tc>
          <w:tcPr>
            <w:tcW w:w="4659" w:type="dxa"/>
            <w:gridSpan w:val="6"/>
            <w:tcBorders>
              <w:top w:val="single" w:color="auto" w:sz="4" w:space="0"/>
              <w:left w:val="single" w:color="auto" w:sz="4" w:space="0"/>
              <w:bottom w:val="single" w:color="auto" w:sz="4" w:space="0"/>
              <w:right w:val="single" w:color="auto" w:sz="4" w:space="0"/>
            </w:tcBorders>
            <w:noWrap/>
            <w:vAlign w:val="center"/>
          </w:tcPr>
          <w:p w14:paraId="16AB07CF">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《形体舞蹈》</w:t>
            </w:r>
          </w:p>
        </w:tc>
        <w:tc>
          <w:tcPr>
            <w:tcW w:w="1553" w:type="dxa"/>
            <w:gridSpan w:val="3"/>
            <w:tcBorders>
              <w:top w:val="single" w:color="auto" w:sz="4" w:space="0"/>
              <w:left w:val="single" w:color="auto" w:sz="4" w:space="0"/>
              <w:bottom w:val="single" w:color="auto" w:sz="4" w:space="0"/>
              <w:right w:val="single" w:color="auto" w:sz="4" w:space="0"/>
            </w:tcBorders>
            <w:noWrap/>
            <w:vAlign w:val="center"/>
          </w:tcPr>
          <w:p w14:paraId="60FAE6D6">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课程代码</w:t>
            </w:r>
          </w:p>
        </w:tc>
        <w:tc>
          <w:tcPr>
            <w:tcW w:w="1556" w:type="dxa"/>
            <w:gridSpan w:val="5"/>
            <w:tcBorders>
              <w:top w:val="single" w:color="auto" w:sz="4" w:space="0"/>
              <w:left w:val="single" w:color="auto" w:sz="4" w:space="0"/>
              <w:bottom w:val="single" w:color="auto" w:sz="4" w:space="0"/>
              <w:right w:val="single" w:color="auto" w:sz="4" w:space="0"/>
            </w:tcBorders>
            <w:noWrap/>
            <w:vAlign w:val="center"/>
          </w:tcPr>
          <w:p w14:paraId="0B2CFA4E">
            <w:pPr>
              <w:keepNext w:val="0"/>
              <w:keepLines w:val="0"/>
              <w:pageBreakBefore w:val="0"/>
              <w:widowControl w:val="0"/>
              <w:kinsoku/>
              <w:wordWrap/>
              <w:overflowPunct/>
              <w:topLinePunct w:val="0"/>
              <w:bidi w:val="0"/>
              <w:adjustRightInd w:val="0"/>
              <w:snapToGrid w:val="0"/>
              <w:spacing w:line="240" w:lineRule="auto"/>
              <w:jc w:val="center"/>
              <w:rPr>
                <w:rFonts w:hint="eastAsia" w:ascii="仿宋_GB2312" w:eastAsia="仿宋_GB2312" w:cs="仿宋_GB2312"/>
                <w:szCs w:val="21"/>
                <w:lang w:val="en-US" w:eastAsia="zh-CN" w:bidi="ar-SA"/>
              </w:rPr>
            </w:pPr>
            <w:r>
              <w:rPr>
                <w:rFonts w:hint="eastAsia" w:ascii="仿宋_GB2312" w:eastAsia="仿宋_GB2312" w:cs="仿宋_GB2312"/>
                <w:szCs w:val="21"/>
                <w:lang w:bidi="ar-SA"/>
              </w:rPr>
              <w:t>1213302601</w:t>
            </w:r>
          </w:p>
          <w:p w14:paraId="60189711">
            <w:pPr>
              <w:keepNext w:val="0"/>
              <w:keepLines w:val="0"/>
              <w:pageBreakBefore w:val="0"/>
              <w:widowControl w:val="0"/>
              <w:kinsoku/>
              <w:wordWrap/>
              <w:overflowPunct/>
              <w:topLinePunct w:val="0"/>
              <w:bidi w:val="0"/>
              <w:adjustRightInd w:val="0"/>
              <w:snapToGrid w:val="0"/>
              <w:spacing w:line="240" w:lineRule="auto"/>
              <w:jc w:val="center"/>
              <w:rPr>
                <w:rFonts w:hint="eastAsia" w:ascii="仿宋_GB2312" w:eastAsia="仿宋_GB2312" w:cs="仿宋_GB2312"/>
                <w:szCs w:val="21"/>
                <w:lang w:val="en-US" w:eastAsia="zh-CN" w:bidi="ar-SA"/>
              </w:rPr>
            </w:pPr>
            <w:r>
              <w:rPr>
                <w:rFonts w:hint="eastAsia" w:ascii="仿宋_GB2312" w:eastAsia="仿宋_GB2312" w:cs="仿宋_GB2312"/>
                <w:szCs w:val="21"/>
                <w:lang w:bidi="ar-SA"/>
              </w:rPr>
              <w:t>1213302602</w:t>
            </w:r>
          </w:p>
        </w:tc>
      </w:tr>
      <w:tr w14:paraId="5BBCA33C">
        <w:trPr>
          <w:trHeight w:val="0" w:hRule="atLeast"/>
        </w:trPr>
        <w:tc>
          <w:tcPr>
            <w:tcW w:w="1375" w:type="dxa"/>
            <w:tcBorders>
              <w:top w:val="single" w:color="auto" w:sz="4" w:space="0"/>
              <w:left w:val="single" w:color="auto" w:sz="4" w:space="0"/>
              <w:bottom w:val="single" w:color="auto" w:sz="4" w:space="0"/>
              <w:right w:val="single" w:color="auto" w:sz="4" w:space="0"/>
            </w:tcBorders>
            <w:noWrap/>
            <w:vAlign w:val="center"/>
          </w:tcPr>
          <w:p w14:paraId="65E16337">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课程类型</w:t>
            </w:r>
          </w:p>
        </w:tc>
        <w:tc>
          <w:tcPr>
            <w:tcW w:w="7768" w:type="dxa"/>
            <w:gridSpan w:val="14"/>
            <w:tcBorders>
              <w:top w:val="single" w:color="auto" w:sz="4" w:space="0"/>
              <w:left w:val="single" w:color="auto" w:sz="4" w:space="0"/>
              <w:bottom w:val="single" w:color="auto" w:sz="4" w:space="0"/>
              <w:right w:val="single" w:color="auto" w:sz="4" w:space="0"/>
            </w:tcBorders>
            <w:noWrap/>
            <w:vAlign w:val="center"/>
          </w:tcPr>
          <w:p w14:paraId="37438BA4">
            <w:pPr>
              <w:keepNext w:val="0"/>
              <w:keepLines w:val="0"/>
              <w:pageBreakBefore w:val="0"/>
              <w:widowControl w:val="0"/>
              <w:kinsoku/>
              <w:wordWrap/>
              <w:overflowPunct/>
              <w:topLinePunct w:val="0"/>
              <w:bidi w:val="0"/>
              <w:adjustRightInd w:val="0"/>
              <w:snapToGrid w:val="0"/>
              <w:spacing w:line="240" w:lineRule="auto"/>
              <w:rPr>
                <w:rFonts w:hint="eastAsia" w:ascii="仿宋" w:eastAsia="仿宋" w:cs="仿宋"/>
                <w:sz w:val="24"/>
                <w:szCs w:val="24"/>
                <w:lang w:bidi="ar-SA"/>
              </w:rPr>
            </w:pPr>
            <w:r>
              <w:rPr>
                <w:rFonts w:ascii="仿宋" w:eastAsia="仿宋" w:cs="仿宋"/>
                <w:sz w:val="24"/>
                <w:szCs w:val="24"/>
                <w:lang w:bidi="ar-SA"/>
              </w:rPr>
              <w:sym w:font="Wingdings" w:char="00A8"/>
            </w:r>
            <w:r>
              <w:rPr>
                <w:rFonts w:hint="eastAsia" w:ascii="仿宋" w:eastAsia="仿宋" w:cs="仿宋"/>
                <w:sz w:val="24"/>
                <w:szCs w:val="24"/>
                <w:lang w:bidi="ar-SA"/>
              </w:rPr>
              <w:t xml:space="preserve">通识必修 </w:t>
            </w:r>
            <w:r>
              <w:rPr>
                <w:rFonts w:ascii="仿宋" w:eastAsia="仿宋" w:cs="仿宋"/>
                <w:sz w:val="24"/>
                <w:szCs w:val="24"/>
                <w:lang w:bidi="ar-SA"/>
              </w:rPr>
              <w:sym w:font="Wingdings" w:char="00A8"/>
            </w:r>
            <w:r>
              <w:rPr>
                <w:rFonts w:hint="eastAsia" w:ascii="仿宋" w:eastAsia="仿宋" w:cs="仿宋"/>
                <w:sz w:val="24"/>
                <w:szCs w:val="24"/>
                <w:lang w:bidi="ar-SA"/>
              </w:rPr>
              <w:t xml:space="preserve">通识选修 </w:t>
            </w:r>
            <w:r>
              <w:rPr>
                <w:rFonts w:ascii="仿宋" w:eastAsia="仿宋" w:cs="仿宋"/>
                <w:sz w:val="24"/>
                <w:szCs w:val="24"/>
                <w:lang w:bidi="ar-SA"/>
              </w:rPr>
              <w:sym w:font="Wingdings" w:char="00FE"/>
            </w:r>
            <w:r>
              <w:rPr>
                <w:rFonts w:hint="eastAsia" w:ascii="仿宋" w:eastAsia="仿宋" w:cs="仿宋"/>
                <w:sz w:val="24"/>
                <w:szCs w:val="24"/>
                <w:lang w:bidi="ar-SA"/>
              </w:rPr>
              <w:t xml:space="preserve">专业必修 </w:t>
            </w:r>
          </w:p>
          <w:p w14:paraId="4DDF7804">
            <w:pPr>
              <w:keepNext w:val="0"/>
              <w:keepLines w:val="0"/>
              <w:pageBreakBefore w:val="0"/>
              <w:widowControl w:val="0"/>
              <w:kinsoku/>
              <w:wordWrap/>
              <w:overflowPunct/>
              <w:topLinePunct w:val="0"/>
              <w:bidi w:val="0"/>
              <w:adjustRightInd w:val="0"/>
              <w:snapToGrid w:val="0"/>
              <w:spacing w:line="240" w:lineRule="auto"/>
              <w:rPr>
                <w:rFonts w:hint="eastAsia" w:ascii="仿宋" w:eastAsia="仿宋" w:cs="仿宋"/>
                <w:sz w:val="24"/>
                <w:szCs w:val="24"/>
                <w:lang w:bidi="ar-SA"/>
              </w:rPr>
            </w:pPr>
            <w:r>
              <w:rPr>
                <w:rFonts w:ascii="仿宋" w:eastAsia="仿宋" w:cs="仿宋"/>
                <w:sz w:val="24"/>
                <w:szCs w:val="24"/>
                <w:lang w:bidi="ar-SA"/>
              </w:rPr>
              <w:sym w:font="Wingdings" w:char="00A8"/>
            </w:r>
            <w:r>
              <w:rPr>
                <w:rFonts w:hint="eastAsia" w:ascii="仿宋" w:eastAsia="仿宋" w:cs="仿宋"/>
                <w:sz w:val="24"/>
                <w:szCs w:val="24"/>
                <w:lang w:bidi="ar-SA"/>
              </w:rPr>
              <w:t>专业选修</w:t>
            </w:r>
            <w:r>
              <w:rPr>
                <w:rFonts w:hint="eastAsia" w:ascii="仿宋" w:eastAsia="仿宋" w:cs="仿宋"/>
                <w:sz w:val="24"/>
                <w:szCs w:val="24"/>
                <w:lang w:eastAsia="zh-TW" w:bidi="ar-SA"/>
              </w:rPr>
              <w:t xml:space="preserve"> </w:t>
            </w:r>
            <w:r>
              <w:rPr>
                <w:rFonts w:ascii="仿宋" w:eastAsia="仿宋" w:cs="仿宋"/>
                <w:sz w:val="24"/>
                <w:szCs w:val="24"/>
                <w:lang w:bidi="ar-SA"/>
              </w:rPr>
              <w:sym w:font="Wingdings" w:char="00A8"/>
            </w:r>
            <w:r>
              <w:rPr>
                <w:rFonts w:hint="eastAsia" w:ascii="仿宋" w:eastAsia="仿宋" w:cs="仿宋"/>
                <w:sz w:val="24"/>
                <w:szCs w:val="24"/>
                <w:lang w:bidi="ar-SA"/>
              </w:rPr>
              <w:t xml:space="preserve">教师教育必修 </w:t>
            </w:r>
            <w:r>
              <w:rPr>
                <w:rFonts w:ascii="仿宋" w:eastAsia="仿宋" w:cs="仿宋"/>
                <w:sz w:val="24"/>
                <w:szCs w:val="24"/>
                <w:lang w:bidi="ar-SA"/>
              </w:rPr>
              <w:sym w:font="Wingdings" w:char="00A8"/>
            </w:r>
            <w:r>
              <w:rPr>
                <w:rFonts w:hint="eastAsia" w:ascii="仿宋" w:eastAsia="仿宋" w:cs="仿宋"/>
                <w:sz w:val="24"/>
                <w:szCs w:val="24"/>
                <w:lang w:bidi="ar-SA"/>
              </w:rPr>
              <w:t>教师教育选修</w:t>
            </w:r>
          </w:p>
        </w:tc>
      </w:tr>
      <w:tr w14:paraId="5A64C597">
        <w:trPr>
          <w:trHeight w:val="0" w:hRule="atLeast"/>
        </w:trPr>
        <w:tc>
          <w:tcPr>
            <w:tcW w:w="1375" w:type="dxa"/>
            <w:tcBorders>
              <w:top w:val="single" w:color="auto" w:sz="4" w:space="0"/>
              <w:left w:val="single" w:color="auto" w:sz="4" w:space="0"/>
              <w:bottom w:val="single" w:color="auto" w:sz="4" w:space="0"/>
              <w:right w:val="single" w:color="auto" w:sz="4" w:space="0"/>
            </w:tcBorders>
            <w:noWrap/>
            <w:vAlign w:val="center"/>
          </w:tcPr>
          <w:p w14:paraId="127F2BC9">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开课学期</w:t>
            </w:r>
          </w:p>
        </w:tc>
        <w:tc>
          <w:tcPr>
            <w:tcW w:w="1553" w:type="dxa"/>
            <w:gridSpan w:val="3"/>
            <w:tcBorders>
              <w:top w:val="single" w:color="auto" w:sz="4" w:space="0"/>
              <w:left w:val="single" w:color="auto" w:sz="4" w:space="0"/>
              <w:bottom w:val="single" w:color="auto" w:sz="4" w:space="0"/>
              <w:right w:val="single" w:color="auto" w:sz="4" w:space="0"/>
            </w:tcBorders>
            <w:noWrap/>
            <w:vAlign w:val="center"/>
          </w:tcPr>
          <w:p w14:paraId="28BF69F5">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第1、2学期</w:t>
            </w:r>
          </w:p>
        </w:tc>
        <w:tc>
          <w:tcPr>
            <w:tcW w:w="1553" w:type="dxa"/>
            <w:tcBorders>
              <w:top w:val="single" w:color="auto" w:sz="4" w:space="0"/>
              <w:left w:val="single" w:color="auto" w:sz="4" w:space="0"/>
              <w:bottom w:val="single" w:color="auto" w:sz="4" w:space="0"/>
              <w:right w:val="single" w:color="auto" w:sz="4" w:space="0"/>
            </w:tcBorders>
            <w:noWrap/>
            <w:vAlign w:val="center"/>
          </w:tcPr>
          <w:p w14:paraId="54CC6020">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学分</w:t>
            </w:r>
          </w:p>
        </w:tc>
        <w:tc>
          <w:tcPr>
            <w:tcW w:w="1553" w:type="dxa"/>
            <w:gridSpan w:val="2"/>
            <w:tcBorders>
              <w:top w:val="single" w:color="auto" w:sz="4" w:space="0"/>
              <w:left w:val="single" w:color="auto" w:sz="4" w:space="0"/>
              <w:bottom w:val="single" w:color="auto" w:sz="4" w:space="0"/>
              <w:right w:val="single" w:color="auto" w:sz="4" w:space="0"/>
            </w:tcBorders>
            <w:noWrap/>
            <w:vAlign w:val="center"/>
          </w:tcPr>
          <w:p w14:paraId="593B3F25">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2</w:t>
            </w:r>
          </w:p>
        </w:tc>
        <w:tc>
          <w:tcPr>
            <w:tcW w:w="1553" w:type="dxa"/>
            <w:gridSpan w:val="3"/>
            <w:tcBorders>
              <w:top w:val="single" w:color="auto" w:sz="4" w:space="0"/>
              <w:left w:val="single" w:color="auto" w:sz="4" w:space="0"/>
              <w:bottom w:val="single" w:color="auto" w:sz="4" w:space="0"/>
              <w:right w:val="single" w:color="auto" w:sz="4" w:space="0"/>
            </w:tcBorders>
            <w:noWrap/>
            <w:vAlign w:val="center"/>
          </w:tcPr>
          <w:p w14:paraId="0607AD2F">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课程负责人</w:t>
            </w:r>
          </w:p>
        </w:tc>
        <w:tc>
          <w:tcPr>
            <w:tcW w:w="1556" w:type="dxa"/>
            <w:gridSpan w:val="5"/>
            <w:tcBorders>
              <w:top w:val="single" w:color="auto" w:sz="4" w:space="0"/>
              <w:left w:val="single" w:color="auto" w:sz="4" w:space="0"/>
              <w:bottom w:val="single" w:color="auto" w:sz="4" w:space="0"/>
              <w:right w:val="single" w:color="auto" w:sz="4" w:space="0"/>
            </w:tcBorders>
            <w:noWrap/>
            <w:vAlign w:val="center"/>
          </w:tcPr>
          <w:p w14:paraId="06AB7976">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val="en-US" w:eastAsia="en-US" w:bidi="ar-SA"/>
              </w:rPr>
            </w:pPr>
            <w:r>
              <w:rPr>
                <w:rFonts w:hint="eastAsia" w:ascii="仿宋" w:eastAsia="仿宋" w:cs="仿宋"/>
                <w:sz w:val="24"/>
                <w:szCs w:val="24"/>
                <w:lang w:val="en-US" w:eastAsia="en-US" w:bidi="ar-SA"/>
              </w:rPr>
              <w:t>林荣珍</w:t>
            </w:r>
          </w:p>
        </w:tc>
      </w:tr>
      <w:tr w14:paraId="5773B67C">
        <w:trPr>
          <w:trHeight w:val="0" w:hRule="atLeast"/>
        </w:trPr>
        <w:tc>
          <w:tcPr>
            <w:tcW w:w="1375" w:type="dxa"/>
            <w:tcBorders>
              <w:top w:val="single" w:color="auto" w:sz="4" w:space="0"/>
              <w:left w:val="single" w:color="auto" w:sz="4" w:space="0"/>
              <w:bottom w:val="single" w:color="auto" w:sz="4" w:space="0"/>
              <w:right w:val="single" w:color="auto" w:sz="4" w:space="0"/>
            </w:tcBorders>
            <w:noWrap/>
            <w:vAlign w:val="center"/>
          </w:tcPr>
          <w:p w14:paraId="298052C0">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总学时</w:t>
            </w:r>
          </w:p>
        </w:tc>
        <w:tc>
          <w:tcPr>
            <w:tcW w:w="1553" w:type="dxa"/>
            <w:gridSpan w:val="3"/>
            <w:tcBorders>
              <w:top w:val="single" w:color="auto" w:sz="4" w:space="0"/>
              <w:left w:val="single" w:color="auto" w:sz="4" w:space="0"/>
              <w:bottom w:val="single" w:color="auto" w:sz="4" w:space="0"/>
              <w:right w:val="single" w:color="auto" w:sz="4" w:space="0"/>
            </w:tcBorders>
            <w:noWrap/>
            <w:vAlign w:val="center"/>
          </w:tcPr>
          <w:p w14:paraId="1EDC73CE">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64</w:t>
            </w:r>
          </w:p>
        </w:tc>
        <w:tc>
          <w:tcPr>
            <w:tcW w:w="1553" w:type="dxa"/>
            <w:tcBorders>
              <w:top w:val="single" w:color="auto" w:sz="4" w:space="0"/>
              <w:left w:val="single" w:color="auto" w:sz="4" w:space="0"/>
              <w:bottom w:val="single" w:color="auto" w:sz="4" w:space="0"/>
              <w:right w:val="single" w:color="auto" w:sz="4" w:space="0"/>
            </w:tcBorders>
            <w:noWrap/>
            <w:vAlign w:val="center"/>
          </w:tcPr>
          <w:p w14:paraId="6814DAED">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理论学时</w:t>
            </w:r>
          </w:p>
        </w:tc>
        <w:tc>
          <w:tcPr>
            <w:tcW w:w="1553" w:type="dxa"/>
            <w:gridSpan w:val="2"/>
            <w:tcBorders>
              <w:top w:val="single" w:color="auto" w:sz="4" w:space="0"/>
              <w:left w:val="single" w:color="auto" w:sz="4" w:space="0"/>
              <w:bottom w:val="single" w:color="auto" w:sz="4" w:space="0"/>
              <w:right w:val="single" w:color="auto" w:sz="4" w:space="0"/>
            </w:tcBorders>
            <w:noWrap/>
            <w:vAlign w:val="center"/>
          </w:tcPr>
          <w:p w14:paraId="7C9D4418">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val="en-US" w:eastAsia="zh-CN" w:bidi="ar-SA"/>
              </w:rPr>
            </w:pPr>
          </w:p>
        </w:tc>
        <w:tc>
          <w:tcPr>
            <w:tcW w:w="1553" w:type="dxa"/>
            <w:gridSpan w:val="3"/>
            <w:tcBorders>
              <w:top w:val="single" w:color="auto" w:sz="4" w:space="0"/>
              <w:left w:val="single" w:color="auto" w:sz="4" w:space="0"/>
              <w:bottom w:val="single" w:color="auto" w:sz="4" w:space="0"/>
              <w:right w:val="single" w:color="000000" w:sz="4" w:space="0"/>
            </w:tcBorders>
            <w:noWrap/>
            <w:vAlign w:val="center"/>
          </w:tcPr>
          <w:p w14:paraId="0C6C984D">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实践学时</w:t>
            </w:r>
          </w:p>
        </w:tc>
        <w:tc>
          <w:tcPr>
            <w:tcW w:w="1556" w:type="dxa"/>
            <w:gridSpan w:val="5"/>
            <w:tcBorders>
              <w:top w:val="single" w:color="auto" w:sz="4" w:space="0"/>
              <w:left w:val="single" w:color="auto" w:sz="4" w:space="0"/>
              <w:bottom w:val="single" w:color="auto" w:sz="4" w:space="0"/>
              <w:right w:val="single" w:color="000000" w:sz="4" w:space="0"/>
            </w:tcBorders>
            <w:noWrap/>
            <w:vAlign w:val="center"/>
          </w:tcPr>
          <w:p w14:paraId="4EB1E5C8">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64</w:t>
            </w:r>
          </w:p>
        </w:tc>
      </w:tr>
      <w:tr w14:paraId="2D9141DD">
        <w:trPr>
          <w:trHeight w:val="0" w:hRule="atLeast"/>
        </w:trPr>
        <w:tc>
          <w:tcPr>
            <w:tcW w:w="1375" w:type="dxa"/>
            <w:tcBorders>
              <w:top w:val="single" w:color="auto" w:sz="4" w:space="0"/>
              <w:left w:val="single" w:color="auto" w:sz="4" w:space="0"/>
              <w:bottom w:val="single" w:color="auto" w:sz="4" w:space="0"/>
              <w:right w:val="single" w:color="auto" w:sz="4" w:space="0"/>
            </w:tcBorders>
            <w:noWrap/>
            <w:vAlign w:val="center"/>
          </w:tcPr>
          <w:p w14:paraId="59F4859A">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先修课程与后续课程</w:t>
            </w:r>
          </w:p>
        </w:tc>
        <w:tc>
          <w:tcPr>
            <w:tcW w:w="7768" w:type="dxa"/>
            <w:gridSpan w:val="14"/>
            <w:tcBorders>
              <w:top w:val="single" w:color="auto" w:sz="4" w:space="0"/>
              <w:left w:val="single" w:color="auto" w:sz="4" w:space="0"/>
              <w:bottom w:val="single" w:color="auto" w:sz="4" w:space="0"/>
              <w:right w:val="single" w:color="auto" w:sz="4" w:space="0"/>
            </w:tcBorders>
            <w:noWrap/>
            <w:vAlign w:val="center"/>
          </w:tcPr>
          <w:p w14:paraId="5ADAE12E">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先修课程：无</w:t>
            </w:r>
          </w:p>
          <w:p w14:paraId="17D139D4">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后续课程：</w:t>
            </w:r>
            <w:r>
              <w:rPr>
                <w:rFonts w:hint="eastAsia" w:ascii="仿宋" w:eastAsia="仿宋" w:cs="仿宋"/>
                <w:sz w:val="24"/>
                <w:szCs w:val="24"/>
                <w:lang w:val="en-US" w:eastAsia="en-US" w:bidi="ar-SA"/>
              </w:rPr>
              <w:t>民间舞</w:t>
            </w:r>
            <w:r>
              <w:rPr>
                <w:rFonts w:hint="eastAsia" w:ascii="仿宋" w:eastAsia="仿宋" w:cs="仿宋"/>
                <w:sz w:val="24"/>
                <w:szCs w:val="24"/>
                <w:lang w:bidi="ar-SA"/>
              </w:rPr>
              <w:t>、</w:t>
            </w:r>
            <w:r>
              <w:rPr>
                <w:rFonts w:hint="eastAsia" w:ascii="仿宋" w:eastAsia="仿宋" w:cs="仿宋"/>
                <w:sz w:val="24"/>
                <w:szCs w:val="24"/>
                <w:lang w:val="en-US" w:eastAsia="en-US" w:bidi="ar-SA"/>
              </w:rPr>
              <w:t>古典舞</w:t>
            </w:r>
            <w:r>
              <w:rPr>
                <w:rFonts w:hint="eastAsia" w:ascii="仿宋" w:eastAsia="仿宋" w:cs="仿宋"/>
                <w:sz w:val="24"/>
                <w:szCs w:val="24"/>
                <w:lang w:bidi="ar-SA"/>
              </w:rPr>
              <w:t>、</w:t>
            </w:r>
            <w:r>
              <w:rPr>
                <w:rFonts w:hint="eastAsia" w:ascii="仿宋" w:eastAsia="仿宋" w:cs="仿宋"/>
                <w:sz w:val="24"/>
                <w:szCs w:val="24"/>
                <w:lang w:val="en-US" w:eastAsia="en-US" w:bidi="ar-SA"/>
              </w:rPr>
              <w:t>舞蹈鉴赏</w:t>
            </w:r>
            <w:r>
              <w:rPr>
                <w:rFonts w:hint="eastAsia" w:ascii="仿宋" w:eastAsia="仿宋" w:cs="仿宋"/>
                <w:sz w:val="24"/>
                <w:szCs w:val="24"/>
                <w:lang w:bidi="ar-SA"/>
              </w:rPr>
              <w:t>、</w:t>
            </w:r>
            <w:r>
              <w:rPr>
                <w:rFonts w:hint="eastAsia" w:ascii="仿宋" w:eastAsia="仿宋" w:cs="仿宋"/>
                <w:sz w:val="24"/>
                <w:szCs w:val="24"/>
                <w:lang w:val="en-US" w:eastAsia="en-US" w:bidi="ar-SA"/>
              </w:rPr>
              <w:t>现代舞</w:t>
            </w:r>
            <w:r>
              <w:rPr>
                <w:rFonts w:hint="eastAsia" w:ascii="仿宋" w:eastAsia="仿宋" w:cs="仿宋"/>
                <w:sz w:val="24"/>
                <w:szCs w:val="24"/>
                <w:lang w:bidi="ar-SA"/>
              </w:rPr>
              <w:t>、</w:t>
            </w:r>
            <w:r>
              <w:rPr>
                <w:rFonts w:hint="eastAsia" w:ascii="仿宋" w:eastAsia="仿宋" w:cs="仿宋"/>
                <w:sz w:val="24"/>
                <w:szCs w:val="24"/>
                <w:lang w:val="en-US" w:eastAsia="en-US" w:bidi="ar-SA"/>
              </w:rPr>
              <w:t>舞蹈编导</w:t>
            </w:r>
            <w:r>
              <w:rPr>
                <w:rFonts w:hint="eastAsia" w:ascii="仿宋" w:eastAsia="仿宋" w:cs="仿宋"/>
                <w:sz w:val="24"/>
                <w:szCs w:val="24"/>
                <w:lang w:bidi="ar-SA"/>
              </w:rPr>
              <w:t>、</w:t>
            </w:r>
            <w:r>
              <w:rPr>
                <w:rFonts w:hint="eastAsia" w:ascii="仿宋" w:eastAsia="仿宋" w:cs="仿宋"/>
                <w:sz w:val="24"/>
                <w:szCs w:val="24"/>
                <w:lang w:val="en-US" w:eastAsia="en-US" w:bidi="ar-SA"/>
              </w:rPr>
              <w:t>剧目排练</w:t>
            </w:r>
          </w:p>
        </w:tc>
      </w:tr>
      <w:tr w14:paraId="27F0FA12">
        <w:trPr>
          <w:trHeight w:val="0" w:hRule="atLeast"/>
        </w:trPr>
        <w:tc>
          <w:tcPr>
            <w:tcW w:w="1375" w:type="dxa"/>
            <w:tcBorders>
              <w:top w:val="single" w:color="auto" w:sz="4" w:space="0"/>
              <w:left w:val="single" w:color="auto" w:sz="4" w:space="0"/>
              <w:bottom w:val="single" w:color="auto" w:sz="4" w:space="0"/>
              <w:right w:val="single" w:color="auto" w:sz="4" w:space="0"/>
            </w:tcBorders>
            <w:noWrap/>
            <w:vAlign w:val="center"/>
          </w:tcPr>
          <w:p w14:paraId="2A2BA4C2">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适用专业</w:t>
            </w:r>
          </w:p>
        </w:tc>
        <w:tc>
          <w:tcPr>
            <w:tcW w:w="7768" w:type="dxa"/>
            <w:gridSpan w:val="14"/>
            <w:tcBorders>
              <w:top w:val="single" w:color="auto" w:sz="4" w:space="0"/>
              <w:left w:val="single" w:color="auto" w:sz="4" w:space="0"/>
              <w:bottom w:val="single" w:color="auto" w:sz="4" w:space="0"/>
              <w:right w:val="single" w:color="auto" w:sz="4" w:space="0"/>
            </w:tcBorders>
            <w:noWrap/>
            <w:vAlign w:val="center"/>
          </w:tcPr>
          <w:p w14:paraId="3F27C61C">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音乐学</w:t>
            </w:r>
          </w:p>
        </w:tc>
      </w:tr>
      <w:tr w14:paraId="330DEA16">
        <w:trPr>
          <w:trHeight w:val="0" w:hRule="atLeast"/>
        </w:trPr>
        <w:tc>
          <w:tcPr>
            <w:tcW w:w="1375" w:type="dxa"/>
            <w:tcBorders>
              <w:top w:val="single" w:color="auto" w:sz="4" w:space="0"/>
              <w:left w:val="single" w:color="auto" w:sz="4" w:space="0"/>
              <w:bottom w:val="single" w:color="auto" w:sz="4" w:space="0"/>
              <w:right w:val="single" w:color="auto" w:sz="4" w:space="0"/>
            </w:tcBorders>
            <w:noWrap/>
            <w:vAlign w:val="center"/>
          </w:tcPr>
          <w:p w14:paraId="1CC39426">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A</w:t>
            </w:r>
          </w:p>
          <w:p w14:paraId="05A47E37">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参考教材</w:t>
            </w:r>
          </w:p>
        </w:tc>
        <w:tc>
          <w:tcPr>
            <w:tcW w:w="7768" w:type="dxa"/>
            <w:gridSpan w:val="14"/>
            <w:tcBorders>
              <w:top w:val="single" w:color="auto" w:sz="4" w:space="0"/>
              <w:left w:val="single" w:color="auto" w:sz="4" w:space="0"/>
              <w:bottom w:val="single" w:color="auto" w:sz="4" w:space="0"/>
              <w:right w:val="single" w:color="auto" w:sz="4" w:space="0"/>
            </w:tcBorders>
            <w:noWrap/>
            <w:vAlign w:val="center"/>
          </w:tcPr>
          <w:p w14:paraId="24EDC66D">
            <w:pPr>
              <w:keepNext w:val="0"/>
              <w:keepLines w:val="0"/>
              <w:pageBreakBefore w:val="0"/>
              <w:widowControl w:val="0"/>
              <w:tabs>
                <w:tab w:val="left" w:pos="720"/>
              </w:tabs>
              <w:kinsoku/>
              <w:wordWrap/>
              <w:overflowPunct/>
              <w:topLinePunct w:val="0"/>
              <w:bidi w:val="0"/>
              <w:adjustRightInd w:val="0"/>
              <w:snapToGrid w:val="0"/>
              <w:spacing w:line="240" w:lineRule="auto"/>
              <w:rPr>
                <w:rFonts w:hint="eastAsia" w:ascii="仿宋" w:eastAsia="仿宋" w:cs="仿宋"/>
                <w:sz w:val="24"/>
                <w:szCs w:val="24"/>
                <w:lang w:bidi="ar-SA"/>
              </w:rPr>
            </w:pPr>
            <w:r>
              <w:rPr>
                <w:rFonts w:hint="eastAsia" w:ascii="仿宋" w:eastAsia="仿宋" w:cs="仿宋"/>
                <w:sz w:val="24"/>
                <w:szCs w:val="24"/>
                <w:lang w:bidi="ar-SA"/>
              </w:rPr>
              <w:t>田培培，《舞蹈与形体训练》人民音乐出版社2015年</w:t>
            </w:r>
          </w:p>
        </w:tc>
      </w:tr>
      <w:tr w14:paraId="527980C6">
        <w:trPr>
          <w:trHeight w:val="0" w:hRule="atLeast"/>
        </w:trPr>
        <w:tc>
          <w:tcPr>
            <w:tcW w:w="1375" w:type="dxa"/>
            <w:tcBorders>
              <w:top w:val="single" w:color="auto" w:sz="4" w:space="0"/>
              <w:left w:val="single" w:color="auto" w:sz="4" w:space="0"/>
              <w:bottom w:val="single" w:color="auto" w:sz="4" w:space="0"/>
              <w:right w:val="single" w:color="auto" w:sz="4" w:space="0"/>
            </w:tcBorders>
            <w:noWrap/>
            <w:vAlign w:val="center"/>
          </w:tcPr>
          <w:p w14:paraId="3811CEE6">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B</w:t>
            </w:r>
          </w:p>
          <w:p w14:paraId="154BD4D4">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主要参考书籍</w:t>
            </w:r>
          </w:p>
        </w:tc>
        <w:tc>
          <w:tcPr>
            <w:tcW w:w="7768" w:type="dxa"/>
            <w:gridSpan w:val="14"/>
            <w:tcBorders>
              <w:top w:val="single" w:color="auto" w:sz="4" w:space="0"/>
              <w:left w:val="single" w:color="auto" w:sz="4" w:space="0"/>
              <w:bottom w:val="single" w:color="auto" w:sz="4" w:space="0"/>
              <w:right w:val="single" w:color="auto" w:sz="4" w:space="0"/>
            </w:tcBorders>
            <w:noWrap/>
            <w:vAlign w:val="center"/>
          </w:tcPr>
          <w:p w14:paraId="7E5FEEC8">
            <w:pPr>
              <w:keepNext w:val="0"/>
              <w:keepLines w:val="0"/>
              <w:pageBreakBefore w:val="0"/>
              <w:widowControl w:val="0"/>
              <w:kinsoku/>
              <w:wordWrap/>
              <w:overflowPunct/>
              <w:topLinePunct w:val="0"/>
              <w:bidi w:val="0"/>
              <w:adjustRightInd w:val="0"/>
              <w:snapToGrid w:val="0"/>
              <w:spacing w:line="240" w:lineRule="auto"/>
              <w:rPr>
                <w:rFonts w:hint="eastAsia" w:ascii="仿宋" w:eastAsia="仿宋" w:cs="仿宋"/>
                <w:sz w:val="24"/>
                <w:szCs w:val="24"/>
                <w:lang w:eastAsia="zh-CN" w:bidi="ar-SA"/>
              </w:rPr>
            </w:pPr>
            <w:r>
              <w:rPr>
                <w:rFonts w:hint="eastAsia" w:ascii="仿宋" w:eastAsia="仿宋" w:cs="仿宋"/>
                <w:sz w:val="24"/>
                <w:szCs w:val="24"/>
                <w:lang w:bidi="ar-SA"/>
              </w:rPr>
              <w:t>[1]隆荫培，徐尔充.舞蹈</w:t>
            </w:r>
            <w:r>
              <w:rPr>
                <w:rFonts w:hint="eastAsia" w:ascii="仿宋" w:eastAsia="仿宋" w:cs="仿宋"/>
                <w:sz w:val="24"/>
                <w:szCs w:val="24"/>
                <w:lang w:val="en-US" w:eastAsia="zh-CN" w:bidi="ar-SA"/>
              </w:rPr>
              <w:t>艺术概论</w:t>
            </w:r>
            <w:r>
              <w:rPr>
                <w:rFonts w:hint="eastAsia" w:ascii="仿宋" w:eastAsia="仿宋" w:cs="仿宋"/>
                <w:sz w:val="24"/>
                <w:szCs w:val="24"/>
                <w:lang w:bidi="ar-SA"/>
              </w:rPr>
              <w:t>[M].上海：上海音乐出版社，</w:t>
            </w:r>
            <w:r>
              <w:rPr>
                <w:rFonts w:hint="eastAsia" w:ascii="仿宋" w:eastAsia="仿宋" w:cs="仿宋"/>
                <w:sz w:val="24"/>
                <w:szCs w:val="24"/>
                <w:lang w:val="en-US" w:eastAsia="zh-CN" w:bidi="ar-SA"/>
              </w:rPr>
              <w:t>2009</w:t>
            </w:r>
            <w:r>
              <w:rPr>
                <w:rFonts w:hint="eastAsia" w:ascii="仿宋" w:eastAsia="仿宋" w:cs="仿宋"/>
                <w:sz w:val="24"/>
                <w:szCs w:val="24"/>
                <w:lang w:bidi="ar-SA"/>
              </w:rPr>
              <w:t>年</w:t>
            </w:r>
            <w:r>
              <w:rPr>
                <w:rFonts w:hint="eastAsia" w:ascii="仿宋" w:eastAsia="仿宋" w:cs="仿宋"/>
                <w:sz w:val="24"/>
                <w:szCs w:val="24"/>
                <w:lang w:eastAsia="zh-CN" w:bidi="ar-SA"/>
              </w:rPr>
              <w:t>。</w:t>
            </w:r>
          </w:p>
          <w:p w14:paraId="218E33BE">
            <w:pPr>
              <w:keepNext w:val="0"/>
              <w:keepLines w:val="0"/>
              <w:pageBreakBefore w:val="0"/>
              <w:widowControl w:val="0"/>
              <w:kinsoku/>
              <w:wordWrap/>
              <w:overflowPunct/>
              <w:topLinePunct w:val="0"/>
              <w:bidi w:val="0"/>
              <w:adjustRightInd w:val="0"/>
              <w:snapToGrid w:val="0"/>
              <w:spacing w:line="240" w:lineRule="auto"/>
              <w:rPr>
                <w:rFonts w:hint="eastAsia" w:ascii="仿宋" w:eastAsia="仿宋" w:cs="仿宋"/>
                <w:sz w:val="24"/>
                <w:szCs w:val="24"/>
                <w:lang w:bidi="ar-SA"/>
              </w:rPr>
            </w:pPr>
            <w:r>
              <w:rPr>
                <w:rFonts w:hint="eastAsia" w:ascii="仿宋" w:eastAsia="仿宋" w:cs="仿宋"/>
                <w:sz w:val="24"/>
                <w:szCs w:val="24"/>
                <w:lang w:bidi="ar-SA"/>
              </w:rPr>
              <w:t>[2]隆荫培，徐尔充</w:t>
            </w:r>
            <w:r>
              <w:rPr>
                <w:rFonts w:hint="eastAsia" w:ascii="仿宋" w:eastAsia="仿宋" w:cs="仿宋"/>
                <w:sz w:val="24"/>
                <w:szCs w:val="24"/>
                <w:lang w:eastAsia="zh-CN" w:bidi="ar-SA"/>
              </w:rPr>
              <w:t>，</w:t>
            </w:r>
            <w:r>
              <w:rPr>
                <w:rFonts w:hint="eastAsia" w:ascii="仿宋" w:eastAsia="仿宋" w:cs="仿宋"/>
                <w:sz w:val="24"/>
                <w:szCs w:val="24"/>
                <w:lang w:bidi="ar-SA"/>
              </w:rPr>
              <w:t>欧建平著.舞蹈</w:t>
            </w:r>
            <w:r>
              <w:rPr>
                <w:rFonts w:hint="eastAsia" w:ascii="仿宋" w:eastAsia="仿宋" w:cs="仿宋"/>
                <w:sz w:val="24"/>
                <w:szCs w:val="24"/>
                <w:lang w:val="en-US" w:eastAsia="zh-CN" w:bidi="ar-SA"/>
              </w:rPr>
              <w:t>知识手册</w:t>
            </w:r>
            <w:r>
              <w:rPr>
                <w:rFonts w:hint="eastAsia" w:ascii="仿宋" w:eastAsia="仿宋" w:cs="仿宋"/>
                <w:sz w:val="24"/>
                <w:szCs w:val="24"/>
                <w:lang w:bidi="ar-SA"/>
              </w:rPr>
              <w:t>[M].上海：上海音乐出版社，2001年</w:t>
            </w:r>
            <w:r>
              <w:rPr>
                <w:rFonts w:hint="eastAsia" w:ascii="仿宋" w:eastAsia="仿宋" w:cs="仿宋"/>
                <w:sz w:val="24"/>
                <w:szCs w:val="24"/>
                <w:lang w:eastAsia="zh-CN" w:bidi="ar-SA"/>
              </w:rPr>
              <w:t>。</w:t>
            </w:r>
          </w:p>
        </w:tc>
      </w:tr>
      <w:tr w14:paraId="5D84FBEE">
        <w:trPr>
          <w:trHeight w:val="0" w:hRule="atLeast"/>
        </w:trPr>
        <w:tc>
          <w:tcPr>
            <w:tcW w:w="1375" w:type="dxa"/>
            <w:tcBorders>
              <w:top w:val="single" w:color="auto" w:sz="4" w:space="0"/>
              <w:left w:val="single" w:color="auto" w:sz="4" w:space="0"/>
              <w:bottom w:val="single" w:color="auto" w:sz="4" w:space="0"/>
              <w:right w:val="single" w:color="auto" w:sz="4" w:space="0"/>
            </w:tcBorders>
            <w:noWrap/>
            <w:vAlign w:val="center"/>
          </w:tcPr>
          <w:p w14:paraId="0FC5D63F">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C</w:t>
            </w:r>
          </w:p>
          <w:p w14:paraId="57F7F35C">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线上学习资源</w:t>
            </w:r>
          </w:p>
        </w:tc>
        <w:tc>
          <w:tcPr>
            <w:tcW w:w="7768" w:type="dxa"/>
            <w:gridSpan w:val="14"/>
            <w:tcBorders>
              <w:top w:val="single" w:color="auto" w:sz="4" w:space="0"/>
              <w:left w:val="single" w:color="auto" w:sz="4" w:space="0"/>
              <w:bottom w:val="single" w:color="auto" w:sz="4" w:space="0"/>
              <w:right w:val="single" w:color="auto" w:sz="4" w:space="0"/>
            </w:tcBorders>
            <w:noWrap/>
            <w:vAlign w:val="center"/>
          </w:tcPr>
          <w:p w14:paraId="265EECF7">
            <w:pPr>
              <w:keepNext w:val="0"/>
              <w:keepLines w:val="0"/>
              <w:pageBreakBefore w:val="0"/>
              <w:widowControl w:val="0"/>
              <w:kinsoku/>
              <w:wordWrap/>
              <w:overflowPunct/>
              <w:topLinePunct w:val="0"/>
              <w:bidi w:val="0"/>
              <w:adjustRightInd w:val="0"/>
              <w:snapToGrid w:val="0"/>
              <w:spacing w:line="240" w:lineRule="auto"/>
              <w:rPr>
                <w:rFonts w:hint="eastAsia" w:ascii="仿宋" w:eastAsia="仿宋" w:cs="仿宋"/>
                <w:sz w:val="24"/>
                <w:szCs w:val="24"/>
                <w:lang w:bidi="ar-SA"/>
              </w:rPr>
            </w:pPr>
            <w:r>
              <w:rPr>
                <w:rFonts w:hint="eastAsia" w:ascii="仿宋" w:eastAsia="仿宋" w:cs="仿宋"/>
                <w:sz w:val="24"/>
                <w:szCs w:val="24"/>
                <w:lang w:bidi="ar-SA"/>
              </w:rPr>
              <w:t>1.本课程已经建立超星平台网络课程，同学们依据学校提供的帐号与密码登录课程网站，可查看教学大纲、授课计划、考核方法、课程PPT、教学视频、电子教材、音频、阅读资料、仿真软件、网络文献链接网址等教学资源。</w:t>
            </w:r>
          </w:p>
          <w:p w14:paraId="40BD01E1">
            <w:pPr>
              <w:keepNext w:val="0"/>
              <w:keepLines w:val="0"/>
              <w:pageBreakBefore w:val="0"/>
              <w:widowControl w:val="0"/>
              <w:kinsoku/>
              <w:wordWrap/>
              <w:overflowPunct/>
              <w:topLinePunct w:val="0"/>
              <w:bidi w:val="0"/>
              <w:adjustRightInd w:val="0"/>
              <w:snapToGrid w:val="0"/>
              <w:spacing w:line="240" w:lineRule="auto"/>
              <w:rPr>
                <w:rFonts w:hint="eastAsia" w:ascii="仿宋" w:eastAsia="仿宋" w:cs="仿宋"/>
                <w:kern w:val="0"/>
                <w:sz w:val="24"/>
                <w:szCs w:val="24"/>
                <w:lang w:bidi="ar-SA"/>
              </w:rPr>
            </w:pPr>
            <w:r>
              <w:rPr>
                <w:rFonts w:hint="eastAsia" w:ascii="仿宋" w:eastAsia="仿宋" w:cs="仿宋"/>
                <w:kern w:val="0"/>
                <w:sz w:val="24"/>
                <w:szCs w:val="24"/>
                <w:lang w:bidi="ar-SA"/>
              </w:rPr>
              <w:t>2.中国大学MOOC平台《形体与形象塑造》华南理工大学</w:t>
            </w:r>
          </w:p>
        </w:tc>
      </w:tr>
      <w:tr w14:paraId="7744B143">
        <w:trPr>
          <w:trHeight w:val="0" w:hRule="atLeast"/>
        </w:trPr>
        <w:tc>
          <w:tcPr>
            <w:tcW w:w="1375"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23873F7">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D</w:t>
            </w:r>
          </w:p>
          <w:p w14:paraId="6083930E">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 xml:space="preserve">课程描述 </w:t>
            </w:r>
          </w:p>
          <w:p w14:paraId="59B06E57">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eastAsia="zh-TW" w:bidi="ar-SA"/>
              </w:rPr>
              <w:t>(</w:t>
            </w:r>
            <w:r>
              <w:rPr>
                <w:rFonts w:hint="eastAsia" w:ascii="仿宋" w:eastAsia="仿宋" w:cs="仿宋"/>
                <w:sz w:val="24"/>
                <w:szCs w:val="24"/>
                <w:lang w:bidi="ar-SA"/>
              </w:rPr>
              <w:t>含</w:t>
            </w:r>
            <w:r>
              <w:rPr>
                <w:rFonts w:hint="eastAsia" w:ascii="仿宋" w:eastAsia="仿宋" w:cs="仿宋"/>
                <w:sz w:val="24"/>
                <w:szCs w:val="24"/>
                <w:lang w:eastAsia="zh-TW" w:bidi="ar-SA"/>
              </w:rPr>
              <w:t>性质、地位和任务)</w:t>
            </w:r>
          </w:p>
        </w:tc>
        <w:tc>
          <w:tcPr>
            <w:tcW w:w="7768" w:type="dxa"/>
            <w:gridSpan w:val="14"/>
            <w:tcBorders>
              <w:top w:val="single" w:color="auto" w:sz="4" w:space="0"/>
              <w:left w:val="single" w:color="auto" w:sz="4" w:space="0"/>
              <w:bottom w:val="single" w:color="auto" w:sz="4" w:space="0"/>
              <w:right w:val="single" w:color="auto" w:sz="4" w:space="0"/>
            </w:tcBorders>
            <w:shd w:val="clear" w:color="auto" w:fill="FFFFFF"/>
            <w:noWrap/>
            <w:vAlign w:val="center"/>
          </w:tcPr>
          <w:p w14:paraId="3F8DE03D">
            <w:pPr>
              <w:keepNext w:val="0"/>
              <w:keepLines w:val="0"/>
              <w:pageBreakBefore w:val="0"/>
              <w:widowControl w:val="0"/>
              <w:kinsoku/>
              <w:wordWrap/>
              <w:overflowPunct/>
              <w:topLinePunct w:val="0"/>
              <w:bidi w:val="0"/>
              <w:adjustRightInd w:val="0"/>
              <w:snapToGrid w:val="0"/>
              <w:spacing w:line="240" w:lineRule="auto"/>
              <w:rPr>
                <w:rFonts w:hint="eastAsia" w:ascii="仿宋" w:eastAsia="仿宋" w:cs="仿宋"/>
                <w:kern w:val="0"/>
                <w:sz w:val="24"/>
                <w:szCs w:val="24"/>
                <w:lang w:bidi="ar-SA"/>
              </w:rPr>
            </w:pPr>
            <w:r>
              <w:rPr>
                <w:rFonts w:hint="eastAsia" w:ascii="仿宋" w:eastAsia="仿宋" w:cs="仿宋"/>
                <w:sz w:val="24"/>
                <w:szCs w:val="24"/>
                <w:lang w:bidi="ar-SA"/>
              </w:rPr>
              <w:t>本课程是普通高等学校音乐学本科专业的专业必修课程，是培养学生从事音乐教育、艺术相关工作基本能力的一门课程，是培养学生艺术综合素养的重要途径，对于塑造学生良好职业形象、展现个人魅力等具有重要作用。</w:t>
            </w:r>
          </w:p>
        </w:tc>
      </w:tr>
      <w:tr w14:paraId="5CD362A5">
        <w:trPr>
          <w:trHeight w:val="0" w:hRule="atLeast"/>
        </w:trPr>
        <w:tc>
          <w:tcPr>
            <w:tcW w:w="1375" w:type="dxa"/>
            <w:vMerge w:val="restart"/>
            <w:tcBorders>
              <w:top w:val="single" w:color="auto" w:sz="4" w:space="0"/>
              <w:left w:val="single" w:color="auto" w:sz="4" w:space="0"/>
              <w:bottom w:val="single" w:color="auto" w:sz="4" w:space="0"/>
              <w:right w:val="single" w:color="auto" w:sz="4" w:space="0"/>
            </w:tcBorders>
            <w:shd w:val="clear" w:color="auto" w:fill="FFFFFF"/>
            <w:noWrap/>
            <w:vAlign w:val="center"/>
          </w:tcPr>
          <w:p w14:paraId="68D268DC">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E</w:t>
            </w:r>
          </w:p>
          <w:p w14:paraId="14E0BAF0">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课程学习目标及其与毕业要求的对应关系</w:t>
            </w:r>
          </w:p>
        </w:tc>
        <w:tc>
          <w:tcPr>
            <w:tcW w:w="7768" w:type="dxa"/>
            <w:gridSpan w:val="14"/>
            <w:tcBorders>
              <w:top w:val="single" w:color="auto" w:sz="4" w:space="0"/>
              <w:left w:val="single" w:color="auto" w:sz="4" w:space="0"/>
              <w:bottom w:val="single" w:color="auto" w:sz="4" w:space="0"/>
              <w:right w:val="single" w:color="auto" w:sz="4" w:space="0"/>
            </w:tcBorders>
            <w:shd w:val="clear" w:color="auto" w:fill="FFFFFF"/>
            <w:noWrap/>
            <w:vAlign w:val="center"/>
          </w:tcPr>
          <w:p w14:paraId="2B5E51A9">
            <w:pPr>
              <w:keepNext w:val="0"/>
              <w:keepLines w:val="0"/>
              <w:pageBreakBefore w:val="0"/>
              <w:widowControl w:val="0"/>
              <w:kinsoku/>
              <w:wordWrap/>
              <w:overflowPunct/>
              <w:topLinePunct w:val="0"/>
              <w:bidi w:val="0"/>
              <w:adjustRightInd w:val="0"/>
              <w:snapToGrid w:val="0"/>
              <w:spacing w:line="240" w:lineRule="auto"/>
              <w:jc w:val="left"/>
              <w:rPr>
                <w:rFonts w:hint="eastAsia" w:ascii="仿宋" w:eastAsia="仿宋" w:cs="仿宋"/>
                <w:color w:val="auto"/>
                <w:sz w:val="24"/>
                <w:szCs w:val="24"/>
                <w:lang w:eastAsia="zh-TW" w:bidi="ar-SA"/>
              </w:rPr>
            </w:pPr>
            <w:r>
              <w:rPr>
                <w:rFonts w:hint="eastAsia" w:ascii="仿宋" w:eastAsia="仿宋" w:cs="仿宋"/>
                <w:color w:val="auto"/>
                <w:sz w:val="24"/>
                <w:szCs w:val="24"/>
                <w:lang w:bidi="ar-SA"/>
              </w:rPr>
              <w:t>通过本课程的学习，学生具备如下知识、能力及情感态度价值观：</w:t>
            </w:r>
          </w:p>
          <w:p w14:paraId="4F8E922D">
            <w:pPr>
              <w:keepNext w:val="0"/>
              <w:keepLines w:val="0"/>
              <w:pageBreakBefore w:val="0"/>
              <w:widowControl w:val="0"/>
              <w:kinsoku/>
              <w:wordWrap/>
              <w:overflowPunct/>
              <w:topLinePunct w:val="0"/>
              <w:bidi w:val="0"/>
              <w:adjustRightInd w:val="0"/>
              <w:snapToGrid w:val="0"/>
              <w:spacing w:line="240" w:lineRule="auto"/>
              <w:rPr>
                <w:rFonts w:hint="eastAsia" w:ascii="仿宋" w:eastAsia="仿宋" w:cs="仿宋"/>
                <w:color w:val="auto"/>
                <w:sz w:val="24"/>
                <w:szCs w:val="24"/>
                <w:lang w:bidi="ar-SA"/>
              </w:rPr>
            </w:pPr>
            <w:r>
              <w:rPr>
                <w:rFonts w:hint="eastAsia" w:ascii="仿宋" w:eastAsia="仿宋" w:cs="仿宋"/>
                <w:b/>
                <w:bCs/>
                <w:color w:val="auto"/>
                <w:sz w:val="24"/>
                <w:szCs w:val="24"/>
                <w:lang w:bidi="ar-SA"/>
              </w:rPr>
              <w:t>课程目标1</w:t>
            </w:r>
            <w:r>
              <w:rPr>
                <w:rFonts w:hint="default" w:ascii="仿宋" w:eastAsia="仿宋" w:cs="仿宋"/>
                <w:b/>
                <w:bCs/>
                <w:color w:val="auto"/>
                <w:sz w:val="24"/>
                <w:szCs w:val="24"/>
                <w:lang w:bidi="ar-SA"/>
              </w:rPr>
              <w:t>：</w:t>
            </w:r>
            <w:r>
              <w:rPr>
                <w:rFonts w:hint="eastAsia" w:ascii="仿宋" w:eastAsia="仿宋" w:cs="仿宋"/>
                <w:color w:val="auto"/>
                <w:sz w:val="24"/>
                <w:szCs w:val="24"/>
                <w:lang w:bidi="ar-SA"/>
              </w:rPr>
              <w:t>能够</w:t>
            </w:r>
            <w:r>
              <w:rPr>
                <w:rFonts w:hint="eastAsia" w:ascii="仿宋" w:eastAsia="仿宋" w:cs="仿宋"/>
                <w:color w:val="auto"/>
                <w:sz w:val="24"/>
                <w:szCs w:val="24"/>
                <w:lang w:val="en-US" w:eastAsia="en-US" w:bidi="ar-SA"/>
              </w:rPr>
              <w:t>初步</w:t>
            </w:r>
            <w:r>
              <w:rPr>
                <w:rFonts w:hint="eastAsia" w:ascii="仿宋" w:eastAsia="仿宋" w:cs="仿宋"/>
                <w:color w:val="auto"/>
                <w:sz w:val="24"/>
                <w:szCs w:val="24"/>
                <w:lang w:bidi="ar-SA"/>
              </w:rPr>
              <w:t>掌握舞蹈基础理论知识、舞蹈基本术语；能够</w:t>
            </w:r>
            <w:r>
              <w:rPr>
                <w:rFonts w:hint="eastAsia" w:ascii="仿宋" w:eastAsia="仿宋" w:cs="仿宋"/>
                <w:color w:val="auto"/>
                <w:sz w:val="24"/>
                <w:szCs w:val="24"/>
                <w:lang w:val="en-US" w:eastAsia="en-US" w:bidi="ar-SA"/>
              </w:rPr>
              <w:t>系统</w:t>
            </w:r>
            <w:r>
              <w:rPr>
                <w:rFonts w:hint="eastAsia" w:ascii="仿宋" w:eastAsia="仿宋" w:cs="仿宋"/>
                <w:color w:val="auto"/>
                <w:sz w:val="24"/>
                <w:szCs w:val="24"/>
                <w:lang w:bidi="ar-SA"/>
              </w:rPr>
              <w:t>掌握正确、规范、科学的基本功训练方法；纠正不良体态、塑造正确挺拔的身姿体态；具备良好健美</w:t>
            </w:r>
            <w:r>
              <w:rPr>
                <w:rFonts w:hint="eastAsia" w:ascii="仿宋" w:eastAsia="仿宋" w:cs="仿宋"/>
                <w:color w:val="auto"/>
                <w:sz w:val="24"/>
                <w:szCs w:val="24"/>
                <w:lang w:val="en-US" w:eastAsia="en-US" w:bidi="ar-SA"/>
              </w:rPr>
              <w:t>的</w:t>
            </w:r>
            <w:r>
              <w:rPr>
                <w:rFonts w:hint="eastAsia" w:ascii="仿宋" w:eastAsia="仿宋" w:cs="仿宋"/>
                <w:color w:val="auto"/>
                <w:sz w:val="24"/>
                <w:szCs w:val="24"/>
                <w:lang w:bidi="ar-SA"/>
              </w:rPr>
              <w:t>外形和优雅的举止风范。（</w:t>
            </w:r>
            <w:r>
              <w:rPr>
                <w:rFonts w:hint="eastAsia" w:ascii="仿宋" w:eastAsia="仿宋" w:cs="仿宋"/>
                <w:color w:val="auto"/>
                <w:sz w:val="24"/>
                <w:szCs w:val="24"/>
                <w:lang w:val="en-US" w:eastAsia="en-US" w:bidi="ar-SA"/>
              </w:rPr>
              <w:t>支撑</w:t>
            </w:r>
            <w:r>
              <w:rPr>
                <w:rFonts w:hint="eastAsia" w:ascii="仿宋" w:eastAsia="仿宋" w:cs="仿宋"/>
                <w:color w:val="auto"/>
                <w:sz w:val="24"/>
                <w:szCs w:val="24"/>
                <w:lang w:val="en-US" w:eastAsia="zh-Hans" w:bidi="ar-SA"/>
              </w:rPr>
              <w:t>毕业要求</w:t>
            </w:r>
            <w:r>
              <w:rPr>
                <w:rFonts w:hint="eastAsia" w:ascii="仿宋" w:eastAsia="仿宋" w:cs="仿宋"/>
                <w:color w:val="auto"/>
                <w:sz w:val="24"/>
                <w:szCs w:val="24"/>
                <w:lang w:bidi="ar-SA"/>
              </w:rPr>
              <w:t>3</w:t>
            </w:r>
            <w:r>
              <w:rPr>
                <w:rFonts w:hint="eastAsia" w:ascii="仿宋" w:eastAsia="仿宋" w:cs="仿宋"/>
                <w:color w:val="auto"/>
                <w:sz w:val="24"/>
                <w:szCs w:val="24"/>
                <w:lang w:val="en-US" w:eastAsia="en-US" w:bidi="ar-SA"/>
              </w:rPr>
              <w:t>.</w:t>
            </w:r>
            <w:r>
              <w:rPr>
                <w:rFonts w:hint="eastAsia" w:ascii="仿宋" w:eastAsia="仿宋" w:cs="仿宋"/>
                <w:color w:val="auto"/>
                <w:sz w:val="24"/>
                <w:szCs w:val="24"/>
                <w:lang w:bidi="ar-SA"/>
              </w:rPr>
              <w:t>1）</w:t>
            </w:r>
          </w:p>
          <w:p w14:paraId="2D35D328">
            <w:pPr>
              <w:keepNext w:val="0"/>
              <w:keepLines w:val="0"/>
              <w:pageBreakBefore w:val="0"/>
              <w:widowControl w:val="0"/>
              <w:kinsoku/>
              <w:wordWrap/>
              <w:overflowPunct/>
              <w:topLinePunct w:val="0"/>
              <w:bidi w:val="0"/>
              <w:adjustRightInd w:val="0"/>
              <w:snapToGrid w:val="0"/>
              <w:spacing w:line="240" w:lineRule="auto"/>
              <w:rPr>
                <w:rFonts w:hint="eastAsia" w:ascii="仿宋" w:eastAsia="仿宋" w:cs="仿宋"/>
                <w:sz w:val="24"/>
                <w:szCs w:val="24"/>
                <w:lang w:bidi="ar-SA"/>
              </w:rPr>
            </w:pPr>
            <w:r>
              <w:rPr>
                <w:rFonts w:hint="eastAsia" w:ascii="仿宋" w:eastAsia="仿宋" w:cs="仿宋"/>
                <w:b/>
                <w:bCs/>
                <w:color w:val="auto"/>
                <w:kern w:val="0"/>
                <w:sz w:val="24"/>
                <w:szCs w:val="24"/>
                <w:lang w:bidi="ar-SA"/>
              </w:rPr>
              <w:t>课程目标</w:t>
            </w:r>
            <w:r>
              <w:rPr>
                <w:rFonts w:hint="eastAsia" w:ascii="仿宋" w:eastAsia="仿宋" w:cs="仿宋"/>
                <w:b/>
                <w:bCs/>
                <w:color w:val="auto"/>
                <w:kern w:val="0"/>
                <w:sz w:val="24"/>
                <w:szCs w:val="24"/>
                <w:lang w:val="en-US" w:eastAsia="zh-CN" w:bidi="ar-SA"/>
              </w:rPr>
              <w:t>2</w:t>
            </w:r>
            <w:r>
              <w:rPr>
                <w:rFonts w:hint="eastAsia" w:ascii="仿宋" w:eastAsia="仿宋" w:cs="仿宋"/>
                <w:b/>
                <w:bCs/>
                <w:color w:val="auto"/>
                <w:kern w:val="0"/>
                <w:sz w:val="24"/>
                <w:szCs w:val="24"/>
                <w:lang w:bidi="ar-SA"/>
              </w:rPr>
              <w:t>：</w:t>
            </w:r>
            <w:r>
              <w:rPr>
                <w:rFonts w:hint="eastAsia" w:ascii="仿宋" w:eastAsia="仿宋" w:cs="仿宋"/>
                <w:color w:val="auto"/>
                <w:sz w:val="24"/>
                <w:szCs w:val="24"/>
                <w:lang w:bidi="ar-SA"/>
              </w:rPr>
              <w:t>改善形体美的同时，</w:t>
            </w:r>
            <w:r>
              <w:rPr>
                <w:rFonts w:hint="eastAsia" w:ascii="仿宋" w:eastAsia="仿宋" w:cs="仿宋"/>
                <w:color w:val="auto"/>
                <w:sz w:val="24"/>
                <w:szCs w:val="24"/>
                <w:lang w:val="en-US" w:eastAsia="en-US" w:bidi="ar-SA"/>
              </w:rPr>
              <w:t>加深</w:t>
            </w:r>
            <w:r>
              <w:rPr>
                <w:rFonts w:hint="eastAsia" w:ascii="仿宋" w:eastAsia="仿宋" w:cs="仿宋"/>
                <w:color w:val="auto"/>
                <w:sz w:val="24"/>
                <w:szCs w:val="24"/>
                <w:lang w:bidi="ar-SA"/>
              </w:rPr>
              <w:t>对音乐的理解以及内心情感的表达、</w:t>
            </w:r>
            <w:r>
              <w:rPr>
                <w:rStyle w:val="174"/>
                <w:rFonts w:hint="eastAsia" w:ascii="仿宋" w:eastAsia="仿宋"/>
                <w:color w:val="auto"/>
                <w:sz w:val="24"/>
                <w:szCs w:val="24"/>
                <w:lang w:val="en-US" w:eastAsia="en-US"/>
              </w:rPr>
              <w:t>提升</w:t>
            </w:r>
            <w:r>
              <w:rPr>
                <w:rStyle w:val="174"/>
                <w:rFonts w:hint="eastAsia" w:ascii="仿宋" w:eastAsia="仿宋"/>
                <w:color w:val="auto"/>
                <w:sz w:val="24"/>
                <w:szCs w:val="24"/>
              </w:rPr>
              <w:t>审美感受</w:t>
            </w:r>
            <w:r>
              <w:rPr>
                <w:rStyle w:val="174"/>
                <w:rFonts w:hint="eastAsia" w:ascii="仿宋" w:eastAsia="仿宋"/>
                <w:color w:val="auto"/>
                <w:sz w:val="24"/>
                <w:szCs w:val="24"/>
                <w:lang w:val="en-US" w:eastAsia="en-US"/>
              </w:rPr>
              <w:t>度</w:t>
            </w:r>
            <w:r>
              <w:rPr>
                <w:rStyle w:val="174"/>
                <w:rFonts w:hint="eastAsia" w:ascii="仿宋" w:eastAsia="仿宋"/>
                <w:color w:val="auto"/>
                <w:sz w:val="24"/>
                <w:szCs w:val="24"/>
              </w:rPr>
              <w:t>和</w:t>
            </w:r>
            <w:r>
              <w:rPr>
                <w:rFonts w:hint="eastAsia" w:ascii="仿宋" w:eastAsia="仿宋" w:cs="仿宋"/>
                <w:color w:val="auto"/>
                <w:sz w:val="24"/>
                <w:szCs w:val="24"/>
                <w:lang w:bidi="ar-SA"/>
              </w:rPr>
              <w:t>艺术感知力、</w:t>
            </w:r>
            <w:r>
              <w:rPr>
                <w:rFonts w:hint="eastAsia" w:ascii="仿宋" w:eastAsia="仿宋" w:cs="仿宋"/>
                <w:color w:val="auto"/>
                <w:sz w:val="24"/>
                <w:szCs w:val="24"/>
                <w:lang w:val="en-US" w:eastAsia="en-US" w:bidi="ar-SA"/>
              </w:rPr>
              <w:t>崇德尚艺</w:t>
            </w:r>
            <w:r>
              <w:rPr>
                <w:rFonts w:hint="eastAsia" w:ascii="仿宋" w:eastAsia="仿宋" w:cs="仿宋"/>
                <w:color w:val="auto"/>
                <w:sz w:val="24"/>
                <w:szCs w:val="24"/>
                <w:lang w:bidi="ar-SA"/>
              </w:rPr>
              <w:t>，</w:t>
            </w:r>
            <w:r>
              <w:rPr>
                <w:rFonts w:hint="eastAsia" w:ascii="仿宋" w:eastAsia="仿宋" w:cs="仿宋"/>
                <w:color w:val="auto"/>
                <w:kern w:val="0"/>
                <w:sz w:val="24"/>
                <w:szCs w:val="24"/>
                <w:lang w:bidi="ar-SA"/>
              </w:rPr>
              <w:t>明确领会舞蹈教学综合育人的意义，</w:t>
            </w:r>
            <w:r>
              <w:rPr>
                <w:rFonts w:hint="eastAsia" w:ascii="仿宋" w:eastAsia="仿宋" w:cs="仿宋"/>
                <w:color w:val="auto"/>
                <w:sz w:val="24"/>
                <w:szCs w:val="24"/>
                <w:lang w:val="en-US" w:eastAsia="en-US" w:bidi="ar-SA"/>
              </w:rPr>
              <w:t>领会“以美育人”的理念</w:t>
            </w:r>
            <w:r>
              <w:rPr>
                <w:rFonts w:hint="eastAsia" w:ascii="仿宋" w:eastAsia="仿宋" w:cs="仿宋"/>
                <w:color w:val="auto"/>
                <w:sz w:val="24"/>
                <w:szCs w:val="24"/>
                <w:lang w:bidi="ar-SA"/>
              </w:rPr>
              <w:t>。</w:t>
            </w:r>
            <w:r>
              <w:rPr>
                <w:rFonts w:hint="eastAsia" w:ascii="仿宋" w:eastAsia="仿宋" w:cs="仿宋"/>
                <w:color w:val="auto"/>
                <w:kern w:val="0"/>
                <w:sz w:val="24"/>
                <w:szCs w:val="24"/>
                <w:lang w:bidi="ar-SA"/>
              </w:rPr>
              <w:t>（支撑毕业要求6</w:t>
            </w:r>
            <w:r>
              <w:rPr>
                <w:rFonts w:hint="eastAsia" w:ascii="仿宋" w:eastAsia="仿宋" w:cs="仿宋"/>
                <w:kern w:val="0"/>
                <w:sz w:val="24"/>
                <w:szCs w:val="24"/>
                <w:lang w:val="en-US" w:eastAsia="en-US" w:bidi="ar-SA"/>
              </w:rPr>
              <w:t>.</w:t>
            </w:r>
            <w:r>
              <w:rPr>
                <w:rFonts w:hint="eastAsia" w:ascii="仿宋" w:eastAsia="仿宋" w:cs="仿宋"/>
                <w:kern w:val="0"/>
                <w:sz w:val="24"/>
                <w:szCs w:val="24"/>
                <w:lang w:bidi="ar-SA"/>
              </w:rPr>
              <w:t>1</w:t>
            </w:r>
            <w:r>
              <w:rPr>
                <w:rFonts w:hint="eastAsia" w:ascii="仿宋" w:eastAsia="仿宋" w:cs="仿宋"/>
                <w:sz w:val="24"/>
                <w:szCs w:val="24"/>
                <w:lang w:bidi="ar-SA"/>
              </w:rPr>
              <w:t>）</w:t>
            </w:r>
          </w:p>
          <w:p w14:paraId="25607347">
            <w:pPr>
              <w:keepNext w:val="0"/>
              <w:keepLines w:val="0"/>
              <w:pageBreakBefore w:val="0"/>
              <w:widowControl w:val="0"/>
              <w:kinsoku/>
              <w:wordWrap/>
              <w:overflowPunct/>
              <w:topLinePunct w:val="0"/>
              <w:bidi w:val="0"/>
              <w:adjustRightInd w:val="0"/>
              <w:snapToGrid w:val="0"/>
              <w:spacing w:line="240" w:lineRule="auto"/>
              <w:rPr>
                <w:rFonts w:hint="eastAsia" w:ascii="仿宋" w:eastAsia="仿宋" w:cs="仿宋"/>
                <w:color w:val="auto"/>
                <w:kern w:val="0"/>
                <w:sz w:val="24"/>
                <w:szCs w:val="24"/>
                <w:lang w:bidi="ar-SA"/>
              </w:rPr>
            </w:pPr>
            <w:r>
              <w:rPr>
                <w:rFonts w:hint="eastAsia" w:ascii="仿宋" w:eastAsia="仿宋" w:cs="仿宋"/>
                <w:b/>
                <w:bCs/>
                <w:color w:val="auto"/>
                <w:kern w:val="0"/>
                <w:sz w:val="24"/>
                <w:szCs w:val="24"/>
                <w:lang w:bidi="ar-SA"/>
              </w:rPr>
              <w:t>课程目标</w:t>
            </w:r>
            <w:r>
              <w:rPr>
                <w:rFonts w:hint="eastAsia" w:ascii="仿宋" w:eastAsia="仿宋" w:cs="仿宋"/>
                <w:b/>
                <w:bCs/>
                <w:color w:val="auto"/>
                <w:kern w:val="0"/>
                <w:sz w:val="24"/>
                <w:szCs w:val="24"/>
                <w:lang w:val="en-US" w:eastAsia="zh-CN" w:bidi="ar-SA"/>
              </w:rPr>
              <w:t>3</w:t>
            </w:r>
            <w:r>
              <w:rPr>
                <w:rFonts w:hint="eastAsia" w:ascii="仿宋" w:eastAsia="仿宋" w:cs="仿宋"/>
                <w:b/>
                <w:bCs/>
                <w:color w:val="auto"/>
                <w:kern w:val="0"/>
                <w:sz w:val="24"/>
                <w:szCs w:val="24"/>
                <w:lang w:bidi="ar-SA"/>
              </w:rPr>
              <w:t>：</w:t>
            </w:r>
            <w:r>
              <w:rPr>
                <w:rFonts w:hint="eastAsia" w:ascii="仿宋" w:eastAsia="仿宋" w:cs="仿宋"/>
                <w:color w:val="auto"/>
                <w:kern w:val="0"/>
                <w:sz w:val="24"/>
                <w:szCs w:val="24"/>
                <w:lang w:val="en-US" w:eastAsia="en-US" w:bidi="ar-SA"/>
              </w:rPr>
              <w:t>熟悉形体</w:t>
            </w:r>
            <w:r>
              <w:rPr>
                <w:rFonts w:hint="eastAsia" w:ascii="仿宋" w:eastAsia="仿宋" w:cs="仿宋"/>
                <w:color w:val="auto"/>
                <w:kern w:val="0"/>
                <w:sz w:val="24"/>
                <w:szCs w:val="24"/>
                <w:lang w:bidi="ar-SA"/>
              </w:rPr>
              <w:t>舞蹈</w:t>
            </w:r>
            <w:r>
              <w:rPr>
                <w:rFonts w:hint="eastAsia" w:ascii="仿宋" w:eastAsia="仿宋" w:cs="仿宋"/>
                <w:color w:val="auto"/>
                <w:kern w:val="0"/>
                <w:sz w:val="24"/>
                <w:szCs w:val="24"/>
                <w:lang w:val="en-US" w:eastAsia="en-US" w:bidi="ar-SA"/>
              </w:rPr>
              <w:t>课堂教学的基本</w:t>
            </w:r>
            <w:r>
              <w:rPr>
                <w:rFonts w:hint="eastAsia" w:ascii="仿宋" w:eastAsia="仿宋" w:cs="仿宋"/>
                <w:color w:val="auto"/>
                <w:kern w:val="0"/>
                <w:sz w:val="24"/>
                <w:szCs w:val="24"/>
                <w:lang w:bidi="ar-SA"/>
              </w:rPr>
              <w:t>规律</w:t>
            </w:r>
            <w:r>
              <w:rPr>
                <w:rFonts w:hint="eastAsia" w:ascii="仿宋" w:eastAsia="仿宋" w:cs="仿宋"/>
                <w:color w:val="auto"/>
                <w:kern w:val="0"/>
                <w:sz w:val="24"/>
                <w:szCs w:val="24"/>
                <w:lang w:val="en-US" w:eastAsia="en-US" w:bidi="ar-SA"/>
              </w:rPr>
              <w:t>与方法</w:t>
            </w:r>
            <w:r>
              <w:rPr>
                <w:rFonts w:hint="eastAsia" w:ascii="仿宋" w:eastAsia="仿宋" w:cs="仿宋"/>
                <w:color w:val="auto"/>
                <w:kern w:val="0"/>
                <w:sz w:val="24"/>
                <w:szCs w:val="24"/>
                <w:lang w:bidi="ar-SA"/>
              </w:rPr>
              <w:t>，</w:t>
            </w:r>
            <w:r>
              <w:rPr>
                <w:rFonts w:hint="eastAsia" w:ascii="仿宋" w:eastAsia="仿宋" w:cs="仿宋"/>
                <w:color w:val="auto"/>
                <w:kern w:val="0"/>
                <w:sz w:val="24"/>
                <w:szCs w:val="24"/>
                <w:lang w:val="en-US" w:eastAsia="zh-CN" w:bidi="ar-SA"/>
              </w:rPr>
              <w:t>具有反思意识和批评性思维，初步掌握教育教学反思的基本方法和策略，能够对形体问题进行有效的自我诊断，并加以改善</w:t>
            </w:r>
            <w:r>
              <w:rPr>
                <w:rFonts w:hint="eastAsia" w:ascii="仿宋" w:eastAsia="仿宋" w:cs="仿宋"/>
                <w:color w:val="auto"/>
                <w:kern w:val="0"/>
                <w:sz w:val="24"/>
                <w:szCs w:val="24"/>
                <w:lang w:val="en-US" w:eastAsia="en-US" w:bidi="ar-SA"/>
              </w:rPr>
              <w:t>。（</w:t>
            </w:r>
            <w:r>
              <w:rPr>
                <w:rFonts w:hint="eastAsia" w:ascii="仿宋" w:eastAsia="仿宋" w:cs="仿宋"/>
                <w:color w:val="auto"/>
                <w:kern w:val="0"/>
                <w:sz w:val="24"/>
                <w:szCs w:val="24"/>
                <w:lang w:bidi="ar-SA"/>
              </w:rPr>
              <w:t>支撑毕业要求</w:t>
            </w:r>
            <w:r>
              <w:rPr>
                <w:rFonts w:hint="eastAsia" w:ascii="仿宋" w:eastAsia="仿宋" w:cs="仿宋"/>
                <w:color w:val="auto"/>
                <w:kern w:val="0"/>
                <w:sz w:val="24"/>
                <w:szCs w:val="24"/>
                <w:lang w:val="en-US" w:eastAsia="zh-CN" w:bidi="ar-SA"/>
              </w:rPr>
              <w:t>7</w:t>
            </w:r>
            <w:r>
              <w:rPr>
                <w:rFonts w:hint="eastAsia" w:ascii="仿宋" w:eastAsia="仿宋" w:cs="仿宋"/>
                <w:color w:val="auto"/>
                <w:kern w:val="0"/>
                <w:sz w:val="24"/>
                <w:szCs w:val="24"/>
                <w:lang w:val="en-US" w:eastAsia="en-US" w:bidi="ar-SA"/>
              </w:rPr>
              <w:t>.</w:t>
            </w:r>
            <w:r>
              <w:rPr>
                <w:rFonts w:hint="eastAsia" w:ascii="仿宋" w:eastAsia="仿宋" w:cs="仿宋"/>
                <w:color w:val="auto"/>
                <w:kern w:val="0"/>
                <w:sz w:val="24"/>
                <w:szCs w:val="24"/>
                <w:lang w:val="en-US" w:eastAsia="zh-CN" w:bidi="ar-SA"/>
              </w:rPr>
              <w:t>1</w:t>
            </w:r>
            <w:r>
              <w:rPr>
                <w:rFonts w:hint="eastAsia" w:ascii="仿宋" w:eastAsia="仿宋" w:cs="仿宋"/>
                <w:color w:val="auto"/>
                <w:sz w:val="24"/>
                <w:szCs w:val="24"/>
                <w:lang w:bidi="ar-SA"/>
              </w:rPr>
              <w:t>）</w:t>
            </w:r>
          </w:p>
          <w:p w14:paraId="6A600625">
            <w:pPr>
              <w:keepNext w:val="0"/>
              <w:keepLines w:val="0"/>
              <w:pageBreakBefore w:val="0"/>
              <w:widowControl w:val="0"/>
              <w:kinsoku/>
              <w:wordWrap/>
              <w:overflowPunct/>
              <w:topLinePunct w:val="0"/>
              <w:bidi w:val="0"/>
              <w:adjustRightInd w:val="0"/>
              <w:snapToGrid w:val="0"/>
              <w:spacing w:line="240" w:lineRule="auto"/>
              <w:rPr>
                <w:rFonts w:hint="eastAsia" w:ascii="仿宋" w:eastAsia="仿宋" w:cs="仿宋"/>
                <w:sz w:val="24"/>
                <w:szCs w:val="24"/>
                <w:lang w:bidi="ar-SA"/>
              </w:rPr>
            </w:pPr>
          </w:p>
        </w:tc>
      </w:tr>
      <w:tr w14:paraId="765507E6">
        <w:trPr>
          <w:trHeight w:val="0" w:hRule="atLeast"/>
        </w:trPr>
        <w:tc>
          <w:tcPr>
            <w:tcW w:w="1375"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14:paraId="5734EC48">
            <w:pPr>
              <w:pageBreakBefore w:val="0"/>
              <w:kinsoku/>
              <w:overflowPunct/>
              <w:topLinePunct w:val="0"/>
              <w:bidi w:val="0"/>
              <w:spacing w:line="240" w:lineRule="auto"/>
            </w:pPr>
          </w:p>
        </w:tc>
        <w:tc>
          <w:tcPr>
            <w:tcW w:w="1395"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14:paraId="069439D6">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color w:val="auto"/>
                <w:sz w:val="24"/>
                <w:szCs w:val="24"/>
                <w:lang w:bidi="ar-SA"/>
              </w:rPr>
            </w:pPr>
            <w:r>
              <w:rPr>
                <w:rFonts w:hint="eastAsia" w:ascii="仿宋" w:eastAsia="仿宋" w:cs="仿宋"/>
                <w:color w:val="auto"/>
                <w:sz w:val="24"/>
                <w:szCs w:val="24"/>
                <w:lang w:bidi="ar-SA"/>
              </w:rPr>
              <w:t>课程目标</w:t>
            </w:r>
          </w:p>
        </w:tc>
        <w:tc>
          <w:tcPr>
            <w:tcW w:w="5040" w:type="dxa"/>
            <w:gridSpan w:val="9"/>
            <w:tcBorders>
              <w:top w:val="single" w:color="auto" w:sz="4" w:space="0"/>
              <w:left w:val="single" w:color="auto" w:sz="4" w:space="0"/>
              <w:bottom w:val="single" w:color="auto" w:sz="4" w:space="0"/>
              <w:right w:val="single" w:color="auto" w:sz="4" w:space="0"/>
            </w:tcBorders>
            <w:shd w:val="clear" w:color="auto" w:fill="FFFFFF"/>
            <w:noWrap/>
            <w:vAlign w:val="center"/>
          </w:tcPr>
          <w:p w14:paraId="772A4EC2">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color w:val="auto"/>
                <w:sz w:val="24"/>
                <w:szCs w:val="24"/>
                <w:lang w:bidi="ar-SA"/>
              </w:rPr>
            </w:pPr>
            <w:r>
              <w:rPr>
                <w:rFonts w:hint="eastAsia" w:ascii="仿宋" w:eastAsia="仿宋" w:cs="仿宋"/>
                <w:color w:val="auto"/>
                <w:sz w:val="24"/>
                <w:szCs w:val="24"/>
                <w:lang w:bidi="ar-SA"/>
              </w:rPr>
              <w:t>毕业要求分解指标点</w:t>
            </w:r>
          </w:p>
        </w:tc>
        <w:tc>
          <w:tcPr>
            <w:tcW w:w="1333"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14:paraId="04794414">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color w:val="auto"/>
                <w:sz w:val="24"/>
                <w:szCs w:val="24"/>
                <w:lang w:bidi="ar-SA"/>
              </w:rPr>
            </w:pPr>
            <w:r>
              <w:rPr>
                <w:rFonts w:hint="eastAsia" w:ascii="仿宋" w:eastAsia="仿宋" w:cs="仿宋"/>
                <w:color w:val="auto"/>
                <w:sz w:val="24"/>
                <w:szCs w:val="24"/>
                <w:lang w:bidi="ar-SA"/>
              </w:rPr>
              <w:t>毕业要求</w:t>
            </w:r>
          </w:p>
        </w:tc>
      </w:tr>
      <w:tr w14:paraId="27228BDA">
        <w:trPr>
          <w:trHeight w:val="0" w:hRule="atLeast"/>
        </w:trPr>
        <w:tc>
          <w:tcPr>
            <w:tcW w:w="1375"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14:paraId="0C1D482A">
            <w:pPr>
              <w:pageBreakBefore w:val="0"/>
              <w:kinsoku/>
              <w:overflowPunct/>
              <w:topLinePunct w:val="0"/>
              <w:bidi w:val="0"/>
              <w:spacing w:line="240" w:lineRule="auto"/>
            </w:pPr>
          </w:p>
        </w:tc>
        <w:tc>
          <w:tcPr>
            <w:tcW w:w="1395"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14:paraId="0927363E">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课程目标1</w:t>
            </w:r>
          </w:p>
        </w:tc>
        <w:tc>
          <w:tcPr>
            <w:tcW w:w="5040" w:type="dxa"/>
            <w:gridSpan w:val="9"/>
            <w:tcBorders>
              <w:top w:val="single" w:color="auto" w:sz="4" w:space="0"/>
              <w:left w:val="single" w:color="auto" w:sz="4" w:space="0"/>
              <w:bottom w:val="single" w:color="auto" w:sz="4" w:space="0"/>
              <w:right w:val="single" w:color="auto" w:sz="4" w:space="0"/>
            </w:tcBorders>
            <w:shd w:val="clear" w:color="auto" w:fill="FFFFFF"/>
            <w:noWrap/>
            <w:vAlign w:val="center"/>
          </w:tcPr>
          <w:p w14:paraId="4CFBA3F2">
            <w:pPr>
              <w:keepNext w:val="0"/>
              <w:keepLines w:val="0"/>
              <w:pageBreakBefore w:val="0"/>
              <w:widowControl w:val="0"/>
              <w:kinsoku/>
              <w:wordWrap/>
              <w:overflowPunct/>
              <w:topLinePunct w:val="0"/>
              <w:bidi w:val="0"/>
              <w:adjustRightInd w:val="0"/>
              <w:snapToGrid w:val="0"/>
              <w:spacing w:line="240" w:lineRule="auto"/>
              <w:ind w:left="0"/>
              <w:rPr>
                <w:rFonts w:hint="eastAsia" w:ascii="仿宋" w:eastAsia="仿宋" w:cs="仿宋"/>
                <w:color w:val="auto"/>
                <w:kern w:val="0"/>
                <w:sz w:val="24"/>
                <w:szCs w:val="24"/>
                <w:lang w:bidi="ar-SA"/>
              </w:rPr>
            </w:pPr>
            <w:r>
              <w:rPr>
                <w:rFonts w:hint="eastAsia" w:ascii="仿宋" w:eastAsia="仿宋" w:cs="仿宋"/>
                <w:color w:val="auto"/>
                <w:kern w:val="0"/>
                <w:sz w:val="24"/>
                <w:szCs w:val="24"/>
                <w:lang w:bidi="ar-SA"/>
              </w:rPr>
              <w:t>3.1【专业技能】掌握音乐学科技法技能多项基本功，掌握音乐学科基础知识、基本理论、体系结构与思想方法，理解音乐学科的核心素养的内涵，形成音乐学科核心素养。</w:t>
            </w:r>
          </w:p>
        </w:tc>
        <w:tc>
          <w:tcPr>
            <w:tcW w:w="1333"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14:paraId="0D2BB559">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color w:val="auto"/>
                <w:sz w:val="24"/>
                <w:szCs w:val="24"/>
                <w:lang w:val="en-US" w:eastAsia="en-US" w:bidi="ar-SA"/>
              </w:rPr>
            </w:pPr>
            <w:r>
              <w:rPr>
                <w:rFonts w:hint="eastAsia" w:ascii="仿宋" w:eastAsia="仿宋" w:cs="仿宋"/>
                <w:color w:val="auto"/>
                <w:sz w:val="24"/>
                <w:szCs w:val="24"/>
                <w:lang w:val="en-US" w:eastAsia="en-US" w:bidi="ar-SA"/>
              </w:rPr>
              <w:t>学科素养</w:t>
            </w:r>
          </w:p>
          <w:p w14:paraId="5729536B">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color w:val="auto"/>
                <w:sz w:val="24"/>
                <w:szCs w:val="24"/>
                <w:lang w:val="en-US" w:eastAsia="en-US" w:bidi="ar-SA"/>
              </w:rPr>
            </w:pPr>
            <w:r>
              <w:rPr>
                <w:rFonts w:hint="eastAsia" w:ascii="仿宋" w:eastAsia="仿宋" w:cs="仿宋"/>
                <w:sz w:val="24"/>
                <w:szCs w:val="24"/>
                <w:lang w:bidi="ar-SA"/>
              </w:rPr>
              <w:t>（</w:t>
            </w:r>
            <w:r>
              <w:rPr>
                <w:rFonts w:hint="eastAsia" w:ascii="仿宋" w:eastAsia="仿宋" w:cs="仿宋"/>
                <w:sz w:val="24"/>
                <w:szCs w:val="24"/>
                <w:lang w:val="en-US" w:eastAsia="en-US" w:bidi="ar-SA"/>
              </w:rPr>
              <w:t>H）</w:t>
            </w:r>
          </w:p>
        </w:tc>
      </w:tr>
      <w:tr w14:paraId="31CB7FAD">
        <w:trPr>
          <w:trHeight w:val="0" w:hRule="atLeast"/>
        </w:trPr>
        <w:tc>
          <w:tcPr>
            <w:tcW w:w="1375"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14:paraId="260AE33D">
            <w:pPr>
              <w:pageBreakBefore w:val="0"/>
              <w:kinsoku/>
              <w:overflowPunct/>
              <w:topLinePunct w:val="0"/>
              <w:bidi w:val="0"/>
              <w:spacing w:line="240" w:lineRule="auto"/>
            </w:pPr>
          </w:p>
        </w:tc>
        <w:tc>
          <w:tcPr>
            <w:tcW w:w="1395"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14:paraId="2DF06C63">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课程目标2</w:t>
            </w:r>
          </w:p>
        </w:tc>
        <w:tc>
          <w:tcPr>
            <w:tcW w:w="5040" w:type="dxa"/>
            <w:gridSpan w:val="9"/>
            <w:tcBorders>
              <w:top w:val="single" w:color="auto" w:sz="4" w:space="0"/>
              <w:left w:val="single" w:color="auto" w:sz="4" w:space="0"/>
              <w:bottom w:val="single" w:color="auto" w:sz="4" w:space="0"/>
              <w:right w:val="single" w:color="auto" w:sz="4" w:space="0"/>
            </w:tcBorders>
            <w:shd w:val="clear" w:color="auto" w:fill="FFFFFF"/>
            <w:noWrap/>
            <w:vAlign w:val="center"/>
          </w:tcPr>
          <w:p w14:paraId="4ADBFE88">
            <w:pPr>
              <w:keepNext w:val="0"/>
              <w:keepLines w:val="0"/>
              <w:pageBreakBefore w:val="0"/>
              <w:widowControl w:val="0"/>
              <w:kinsoku/>
              <w:wordWrap/>
              <w:overflowPunct/>
              <w:topLinePunct w:val="0"/>
              <w:bidi w:val="0"/>
              <w:adjustRightInd w:val="0"/>
              <w:snapToGrid w:val="0"/>
              <w:spacing w:line="240" w:lineRule="auto"/>
              <w:ind w:left="0"/>
              <w:rPr>
                <w:rFonts w:hint="eastAsia" w:ascii="仿宋" w:eastAsia="仿宋" w:cs="仿宋"/>
                <w:color w:val="auto"/>
                <w:kern w:val="0"/>
                <w:sz w:val="24"/>
                <w:szCs w:val="24"/>
                <w:lang w:bidi="ar-SA"/>
              </w:rPr>
            </w:pPr>
            <w:r>
              <w:rPr>
                <w:rFonts w:hint="eastAsia" w:ascii="仿宋" w:eastAsia="仿宋" w:cs="仿宋"/>
                <w:color w:val="auto"/>
                <w:kern w:val="0"/>
                <w:sz w:val="24"/>
                <w:szCs w:val="24"/>
                <w:lang w:bidi="ar-SA"/>
              </w:rPr>
              <w:t>6.1【育人理念】理解音乐教学与人的全面发展的关系，理解音乐学科的育人价值，具备在音乐教学、课外辅导、学生交往中渗透“以美育人”的理念。</w:t>
            </w:r>
          </w:p>
        </w:tc>
        <w:tc>
          <w:tcPr>
            <w:tcW w:w="1333"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14:paraId="3775734F">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color w:val="auto"/>
                <w:sz w:val="24"/>
                <w:szCs w:val="24"/>
                <w:lang w:val="en-US" w:eastAsia="en-US" w:bidi="ar-SA"/>
              </w:rPr>
            </w:pPr>
            <w:r>
              <w:rPr>
                <w:rFonts w:hint="eastAsia" w:ascii="仿宋" w:eastAsia="仿宋" w:cs="仿宋"/>
                <w:color w:val="auto"/>
                <w:sz w:val="24"/>
                <w:szCs w:val="24"/>
                <w:lang w:val="en-US" w:eastAsia="zh-CN" w:bidi="ar-SA"/>
              </w:rPr>
              <w:t>综合育人</w:t>
            </w:r>
            <w:r>
              <w:rPr>
                <w:rFonts w:hint="eastAsia" w:ascii="仿宋" w:eastAsia="仿宋" w:cs="仿宋"/>
                <w:sz w:val="24"/>
                <w:szCs w:val="24"/>
                <w:lang w:bidi="ar-SA"/>
              </w:rPr>
              <w:t>（</w:t>
            </w:r>
            <w:r>
              <w:rPr>
                <w:rFonts w:hint="eastAsia" w:ascii="仿宋" w:eastAsia="仿宋" w:cs="仿宋"/>
                <w:sz w:val="24"/>
                <w:szCs w:val="24"/>
                <w:lang w:val="en-US" w:eastAsia="en-US" w:bidi="ar-SA"/>
              </w:rPr>
              <w:t>M）</w:t>
            </w:r>
          </w:p>
        </w:tc>
      </w:tr>
      <w:tr w14:paraId="5EEF9740">
        <w:trPr>
          <w:trHeight w:val="0" w:hRule="atLeast"/>
        </w:trPr>
        <w:tc>
          <w:tcPr>
            <w:tcW w:w="1375"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14:paraId="550304C2">
            <w:pPr>
              <w:pageBreakBefore w:val="0"/>
              <w:kinsoku/>
              <w:overflowPunct/>
              <w:topLinePunct w:val="0"/>
              <w:bidi w:val="0"/>
              <w:spacing w:line="240" w:lineRule="auto"/>
            </w:pPr>
          </w:p>
        </w:tc>
        <w:tc>
          <w:tcPr>
            <w:tcW w:w="1395"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14:paraId="001B5F2A">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课程目标3</w:t>
            </w:r>
          </w:p>
        </w:tc>
        <w:tc>
          <w:tcPr>
            <w:tcW w:w="5040" w:type="dxa"/>
            <w:gridSpan w:val="9"/>
            <w:tcBorders>
              <w:top w:val="single" w:color="auto" w:sz="4" w:space="0"/>
              <w:left w:val="single" w:color="auto" w:sz="4" w:space="0"/>
              <w:bottom w:val="single" w:color="auto" w:sz="4" w:space="0"/>
              <w:right w:val="single" w:color="auto" w:sz="4" w:space="0"/>
            </w:tcBorders>
            <w:shd w:val="clear" w:color="auto" w:fill="FFFFFF"/>
            <w:noWrap/>
            <w:vAlign w:val="center"/>
          </w:tcPr>
          <w:p w14:paraId="025ABF39">
            <w:pPr>
              <w:keepNext w:val="0"/>
              <w:keepLines w:val="0"/>
              <w:pageBreakBefore w:val="0"/>
              <w:widowControl w:val="0"/>
              <w:kinsoku/>
              <w:wordWrap/>
              <w:overflowPunct/>
              <w:topLinePunct w:val="0"/>
              <w:bidi w:val="0"/>
              <w:adjustRightInd w:val="0"/>
              <w:snapToGrid w:val="0"/>
              <w:spacing w:line="240" w:lineRule="auto"/>
              <w:ind w:left="0"/>
              <w:rPr>
                <w:rFonts w:hint="eastAsia" w:ascii="仿宋" w:eastAsia="仿宋" w:cs="仿宋"/>
                <w:color w:val="auto"/>
                <w:kern w:val="0"/>
                <w:sz w:val="24"/>
                <w:szCs w:val="24"/>
                <w:lang w:bidi="ar-SA"/>
              </w:rPr>
            </w:pPr>
            <w:r>
              <w:rPr>
                <w:rFonts w:hint="eastAsia" w:ascii="仿宋" w:eastAsia="仿宋" w:cs="仿宋"/>
                <w:color w:val="auto"/>
                <w:kern w:val="0"/>
                <w:sz w:val="24"/>
                <w:szCs w:val="24"/>
                <w:lang w:val="en-US" w:eastAsia="zh-CN" w:bidi="ar-SA"/>
              </w:rPr>
              <w:t>7</w:t>
            </w:r>
            <w:r>
              <w:rPr>
                <w:rFonts w:hint="eastAsia" w:ascii="仿宋" w:eastAsia="仿宋" w:cs="仿宋"/>
                <w:color w:val="auto"/>
                <w:kern w:val="0"/>
                <w:sz w:val="24"/>
                <w:szCs w:val="24"/>
                <w:lang w:bidi="ar-SA"/>
              </w:rPr>
              <w:t>.1【</w:t>
            </w:r>
            <w:r>
              <w:rPr>
                <w:rFonts w:hint="eastAsia" w:ascii="仿宋" w:eastAsia="仿宋" w:cs="仿宋"/>
                <w:color w:val="auto"/>
                <w:kern w:val="0"/>
                <w:sz w:val="24"/>
                <w:szCs w:val="24"/>
                <w:lang w:val="en-US" w:eastAsia="zh-CN" w:bidi="ar-SA"/>
              </w:rPr>
              <w:t>反思改进</w:t>
            </w:r>
            <w:r>
              <w:rPr>
                <w:rFonts w:hint="eastAsia" w:ascii="仿宋" w:eastAsia="仿宋" w:cs="仿宋"/>
                <w:color w:val="auto"/>
                <w:kern w:val="0"/>
                <w:sz w:val="24"/>
                <w:szCs w:val="24"/>
                <w:lang w:bidi="ar-SA"/>
              </w:rPr>
              <w:t>】</w:t>
            </w:r>
            <w:r>
              <w:rPr>
                <w:rFonts w:hint="eastAsia" w:ascii="仿宋" w:eastAsia="仿宋" w:cs="仿宋"/>
                <w:color w:val="auto"/>
                <w:kern w:val="0"/>
                <w:sz w:val="24"/>
                <w:szCs w:val="24"/>
                <w:lang w:val="en-US" w:eastAsia="zh-CN" w:bidi="ar-SA"/>
              </w:rPr>
              <w:t>具有反思意识和批评性思维素养，初步掌握教育教学反思的基本方法和策略，能够对课程学习、教育教学实践活动进行有效的自我诊断，提出改进。</w:t>
            </w:r>
          </w:p>
        </w:tc>
        <w:tc>
          <w:tcPr>
            <w:tcW w:w="1333"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14:paraId="700B9725">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color w:val="auto"/>
                <w:sz w:val="24"/>
                <w:szCs w:val="24"/>
                <w:lang w:val="en-US" w:eastAsia="en-US" w:bidi="ar-SA"/>
              </w:rPr>
            </w:pPr>
            <w:r>
              <w:rPr>
                <w:rFonts w:hint="eastAsia" w:ascii="仿宋" w:eastAsia="仿宋" w:cs="仿宋"/>
                <w:color w:val="auto"/>
                <w:sz w:val="24"/>
                <w:szCs w:val="24"/>
                <w:lang w:val="en-US" w:eastAsia="zh-CN" w:bidi="ar-SA"/>
              </w:rPr>
              <w:t>学会反思</w:t>
            </w:r>
            <w:r>
              <w:rPr>
                <w:rFonts w:hint="eastAsia" w:ascii="仿宋" w:eastAsia="仿宋" w:cs="仿宋"/>
                <w:sz w:val="24"/>
                <w:szCs w:val="24"/>
                <w:lang w:bidi="ar-SA"/>
              </w:rPr>
              <w:t>（</w:t>
            </w:r>
            <w:r>
              <w:rPr>
                <w:rFonts w:hint="eastAsia" w:ascii="仿宋" w:eastAsia="仿宋" w:cs="仿宋"/>
                <w:sz w:val="24"/>
                <w:szCs w:val="24"/>
                <w:lang w:val="en-US" w:eastAsia="en-US" w:bidi="ar-SA"/>
              </w:rPr>
              <w:t>L）</w:t>
            </w:r>
          </w:p>
        </w:tc>
      </w:tr>
      <w:tr w14:paraId="4C049AE6">
        <w:trPr>
          <w:trHeight w:val="0" w:hRule="atLeast"/>
        </w:trPr>
        <w:tc>
          <w:tcPr>
            <w:tcW w:w="1375" w:type="dxa"/>
            <w:vMerge w:val="restart"/>
            <w:tcBorders>
              <w:top w:val="single" w:color="auto" w:sz="4" w:space="0"/>
              <w:left w:val="single" w:color="auto" w:sz="4" w:space="0"/>
              <w:bottom w:val="single" w:color="auto" w:sz="4" w:space="0"/>
              <w:right w:val="single" w:color="auto" w:sz="4" w:space="0"/>
            </w:tcBorders>
            <w:shd w:val="clear" w:color="auto" w:fill="FFFFFF"/>
            <w:noWrap/>
            <w:vAlign w:val="center"/>
          </w:tcPr>
          <w:p w14:paraId="561C63D7">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G</w:t>
            </w:r>
          </w:p>
          <w:p w14:paraId="61EA5396">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highlight w:val="none"/>
                <w:lang w:val="en-US" w:eastAsia="en-US" w:bidi="ar-SA"/>
              </w:rPr>
              <w:t>技能</w:t>
            </w:r>
            <w:r>
              <w:rPr>
                <w:rFonts w:hint="eastAsia" w:ascii="仿宋" w:eastAsia="仿宋" w:cs="仿宋"/>
                <w:sz w:val="24"/>
                <w:szCs w:val="24"/>
                <w:lang w:bidi="ar-SA"/>
              </w:rPr>
              <w:t>（实训）内容</w:t>
            </w:r>
          </w:p>
        </w:tc>
        <w:tc>
          <w:tcPr>
            <w:tcW w:w="6435" w:type="dxa"/>
            <w:gridSpan w:val="11"/>
            <w:tcBorders>
              <w:top w:val="single" w:color="auto" w:sz="4" w:space="0"/>
              <w:left w:val="single" w:color="auto" w:sz="4" w:space="0"/>
              <w:bottom w:val="single" w:color="auto" w:sz="4" w:space="0"/>
              <w:right w:val="single" w:color="auto" w:sz="4" w:space="0"/>
            </w:tcBorders>
            <w:shd w:val="clear" w:color="auto" w:fill="auto"/>
            <w:noWrap/>
            <w:vAlign w:val="center"/>
          </w:tcPr>
          <w:p w14:paraId="61C5559C">
            <w:pPr>
              <w:keepNext w:val="0"/>
              <w:keepLines w:val="0"/>
              <w:pageBreakBefore w:val="0"/>
              <w:widowControl w:val="0"/>
              <w:kinsoku/>
              <w:wordWrap/>
              <w:overflowPunct/>
              <w:topLinePunct w:val="0"/>
              <w:bidi w:val="0"/>
              <w:adjustRightInd w:val="0"/>
              <w:snapToGrid w:val="0"/>
              <w:spacing w:line="240" w:lineRule="auto"/>
              <w:jc w:val="center"/>
              <w:textAlignment w:val="baseline"/>
              <w:rPr>
                <w:rFonts w:hint="eastAsia" w:ascii="仿宋" w:eastAsia="仿宋" w:cs="仿宋"/>
                <w:color w:val="auto"/>
                <w:kern w:val="0"/>
                <w:sz w:val="24"/>
                <w:szCs w:val="24"/>
                <w:lang w:bidi="ar-SA"/>
              </w:rPr>
            </w:pPr>
            <w:r>
              <w:rPr>
                <w:rFonts w:hint="eastAsia" w:ascii="仿宋" w:eastAsia="仿宋" w:cs="仿宋"/>
                <w:color w:val="auto"/>
                <w:kern w:val="0"/>
                <w:sz w:val="24"/>
                <w:szCs w:val="24"/>
                <w:highlight w:val="none"/>
                <w:lang w:val="en-US" w:eastAsia="en-US" w:bidi="ar-SA"/>
              </w:rPr>
              <w:t>实训目的及任务</w:t>
            </w:r>
          </w:p>
        </w:tc>
        <w:tc>
          <w:tcPr>
            <w:tcW w:w="779"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36EE7F3A">
            <w:pPr>
              <w:keepNext w:val="0"/>
              <w:keepLines w:val="0"/>
              <w:pageBreakBefore w:val="0"/>
              <w:widowControl w:val="0"/>
              <w:kinsoku/>
              <w:wordWrap/>
              <w:overflowPunct/>
              <w:topLinePunct w:val="0"/>
              <w:bidi w:val="0"/>
              <w:adjustRightInd w:val="0"/>
              <w:snapToGrid w:val="0"/>
              <w:spacing w:line="240" w:lineRule="auto"/>
              <w:jc w:val="center"/>
              <w:textAlignment w:val="baseline"/>
              <w:rPr>
                <w:rFonts w:hint="eastAsia" w:ascii="仿宋" w:eastAsia="仿宋" w:cs="仿宋"/>
                <w:color w:val="auto"/>
                <w:kern w:val="0"/>
                <w:sz w:val="24"/>
                <w:szCs w:val="24"/>
                <w:lang w:bidi="ar-SA"/>
              </w:rPr>
            </w:pPr>
            <w:r>
              <w:rPr>
                <w:rFonts w:hint="eastAsia" w:ascii="仿宋" w:eastAsia="仿宋" w:cs="仿宋"/>
                <w:color w:val="auto"/>
                <w:kern w:val="0"/>
                <w:sz w:val="24"/>
                <w:szCs w:val="24"/>
                <w:lang w:bidi="ar-SA"/>
              </w:rPr>
              <w:t>支撑课程目标</w:t>
            </w:r>
          </w:p>
        </w:tc>
        <w:tc>
          <w:tcPr>
            <w:tcW w:w="554"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407A1F6">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color w:val="auto"/>
                <w:kern w:val="0"/>
                <w:sz w:val="24"/>
                <w:szCs w:val="24"/>
                <w:lang w:bidi="ar-SA"/>
              </w:rPr>
            </w:pPr>
            <w:r>
              <w:rPr>
                <w:rFonts w:hint="eastAsia" w:ascii="仿宋" w:eastAsia="仿宋" w:cs="仿宋"/>
                <w:color w:val="auto"/>
                <w:kern w:val="0"/>
                <w:sz w:val="24"/>
                <w:szCs w:val="24"/>
                <w:lang w:bidi="ar-SA"/>
              </w:rPr>
              <w:t>学时</w:t>
            </w:r>
          </w:p>
          <w:p w14:paraId="260FAA79">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color w:val="auto"/>
                <w:sz w:val="24"/>
                <w:szCs w:val="24"/>
                <w:lang w:bidi="ar-SA"/>
              </w:rPr>
            </w:pPr>
            <w:r>
              <w:rPr>
                <w:rFonts w:hint="eastAsia" w:ascii="仿宋" w:eastAsia="仿宋" w:cs="仿宋"/>
                <w:color w:val="auto"/>
                <w:kern w:val="0"/>
                <w:sz w:val="24"/>
                <w:szCs w:val="24"/>
                <w:lang w:bidi="ar-SA"/>
              </w:rPr>
              <w:t>分配</w:t>
            </w:r>
          </w:p>
        </w:tc>
      </w:tr>
      <w:tr w14:paraId="05028DBD">
        <w:trPr>
          <w:trHeight w:val="0" w:hRule="atLeast"/>
        </w:trPr>
        <w:tc>
          <w:tcPr>
            <w:tcW w:w="1375"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14:paraId="4D326C0A">
            <w:pPr>
              <w:pageBreakBefore w:val="0"/>
              <w:kinsoku/>
              <w:overflowPunct/>
              <w:topLinePunct w:val="0"/>
              <w:bidi w:val="0"/>
              <w:spacing w:line="240" w:lineRule="auto"/>
            </w:pPr>
          </w:p>
        </w:tc>
        <w:tc>
          <w:tcPr>
            <w:tcW w:w="6435" w:type="dxa"/>
            <w:gridSpan w:val="11"/>
            <w:tcBorders>
              <w:top w:val="single" w:color="auto" w:sz="4" w:space="0"/>
              <w:left w:val="single" w:color="auto" w:sz="4" w:space="0"/>
              <w:bottom w:val="single" w:color="auto" w:sz="4" w:space="0"/>
              <w:right w:val="single" w:color="auto" w:sz="4" w:space="0"/>
            </w:tcBorders>
            <w:shd w:val="clear" w:color="auto" w:fill="auto"/>
            <w:noWrap/>
            <w:vAlign w:val="center"/>
          </w:tcPr>
          <w:p w14:paraId="4A7B9365">
            <w:pPr>
              <w:keepNext w:val="0"/>
              <w:keepLines w:val="0"/>
              <w:pageBreakBefore w:val="0"/>
              <w:widowControl w:val="0"/>
              <w:kinsoku/>
              <w:wordWrap/>
              <w:overflowPunct/>
              <w:topLinePunct w:val="0"/>
              <w:bidi w:val="0"/>
              <w:adjustRightInd w:val="0"/>
              <w:snapToGrid w:val="0"/>
              <w:spacing w:line="240" w:lineRule="auto"/>
              <w:ind w:left="1200" w:hanging="1205" w:hangingChars="500"/>
              <w:rPr>
                <w:rFonts w:hint="default" w:ascii="仿宋" w:eastAsia="仿宋" w:cs="仿宋"/>
                <w:b/>
                <w:bCs/>
                <w:color w:val="auto"/>
                <w:kern w:val="0"/>
                <w:sz w:val="24"/>
                <w:szCs w:val="24"/>
                <w:lang w:val="en-US" w:eastAsia="zh-CN" w:bidi="ar-SA"/>
              </w:rPr>
            </w:pPr>
            <w:r>
              <w:rPr>
                <w:rFonts w:hint="eastAsia" w:ascii="仿宋" w:eastAsia="仿宋" w:cs="仿宋"/>
                <w:b/>
                <w:bCs/>
                <w:color w:val="auto"/>
                <w:kern w:val="0"/>
                <w:sz w:val="24"/>
                <w:szCs w:val="24"/>
                <w:lang w:val="en-US" w:eastAsia="en-US" w:bidi="ar-SA"/>
              </w:rPr>
              <w:t>训练一：舞蹈基本功训练方法与练习</w:t>
            </w:r>
            <w:r>
              <w:rPr>
                <w:rFonts w:hint="eastAsia" w:ascii="仿宋" w:eastAsia="仿宋" w:cs="仿宋"/>
                <w:b w:val="0"/>
                <w:bCs w:val="0"/>
                <w:color w:val="auto"/>
                <w:kern w:val="0"/>
                <w:sz w:val="24"/>
                <w:szCs w:val="24"/>
                <w:lang w:val="en-US" w:eastAsia="zh-CN" w:bidi="ar-SA"/>
              </w:rPr>
              <w:t>（第一学期）</w:t>
            </w:r>
          </w:p>
          <w:p w14:paraId="54F45543">
            <w:pPr>
              <w:keepNext w:val="0"/>
              <w:keepLines w:val="0"/>
              <w:pageBreakBefore w:val="0"/>
              <w:widowControl w:val="0"/>
              <w:kinsoku/>
              <w:wordWrap/>
              <w:overflowPunct/>
              <w:topLinePunct w:val="0"/>
              <w:bidi w:val="0"/>
              <w:adjustRightInd w:val="0"/>
              <w:snapToGrid w:val="0"/>
              <w:spacing w:line="240" w:lineRule="auto"/>
              <w:ind w:left="1200" w:hanging="1200" w:hangingChars="500"/>
              <w:rPr>
                <w:rFonts w:hint="eastAsia" w:ascii="仿宋" w:eastAsia="仿宋" w:cs="仿宋"/>
                <w:color w:val="auto"/>
                <w:kern w:val="0"/>
                <w:sz w:val="24"/>
                <w:szCs w:val="24"/>
                <w:lang w:val="en-US" w:eastAsia="en-US" w:bidi="ar-SA"/>
              </w:rPr>
            </w:pPr>
            <w:r>
              <w:rPr>
                <w:rFonts w:hint="eastAsia" w:ascii="仿宋" w:eastAsia="仿宋" w:cs="仿宋"/>
                <w:color w:val="auto"/>
                <w:kern w:val="0"/>
                <w:sz w:val="24"/>
                <w:szCs w:val="24"/>
                <w:lang w:val="en-US" w:eastAsia="en-US" w:bidi="ar-SA"/>
              </w:rPr>
              <w:t>实训目的：规范基本功训练方法，树立舞蹈训练的信心。</w:t>
            </w:r>
          </w:p>
          <w:p w14:paraId="33AF123A">
            <w:pPr>
              <w:keepNext w:val="0"/>
              <w:keepLines w:val="0"/>
              <w:pageBreakBefore w:val="0"/>
              <w:widowControl w:val="0"/>
              <w:kinsoku/>
              <w:wordWrap/>
              <w:overflowPunct/>
              <w:topLinePunct w:val="0"/>
              <w:bidi w:val="0"/>
              <w:adjustRightInd w:val="0"/>
              <w:snapToGrid w:val="0"/>
              <w:spacing w:line="240" w:lineRule="auto"/>
              <w:ind w:left="1200" w:hanging="1200" w:hangingChars="500"/>
              <w:rPr>
                <w:rFonts w:hint="eastAsia" w:ascii="仿宋" w:eastAsia="仿宋" w:cs="仿宋"/>
                <w:color w:val="auto"/>
                <w:kern w:val="0"/>
                <w:sz w:val="24"/>
                <w:szCs w:val="24"/>
                <w:lang w:val="en-US" w:eastAsia="en-US" w:bidi="ar-SA"/>
              </w:rPr>
            </w:pPr>
            <w:r>
              <w:rPr>
                <w:rFonts w:hint="eastAsia" w:ascii="仿宋" w:eastAsia="仿宋" w:cs="仿宋"/>
                <w:color w:val="auto"/>
                <w:kern w:val="0"/>
                <w:sz w:val="24"/>
                <w:szCs w:val="24"/>
                <w:lang w:val="en-US" w:eastAsia="en-US" w:bidi="ar-SA"/>
              </w:rPr>
              <w:t>实训任务：1.意识到舞蹈基本功训练对舞蹈学习的重要性。</w:t>
            </w:r>
          </w:p>
          <w:p w14:paraId="6A1FC9F6">
            <w:pPr>
              <w:keepNext w:val="0"/>
              <w:keepLines w:val="0"/>
              <w:pageBreakBefore w:val="0"/>
              <w:widowControl w:val="0"/>
              <w:kinsoku/>
              <w:wordWrap/>
              <w:overflowPunct/>
              <w:topLinePunct w:val="0"/>
              <w:bidi w:val="0"/>
              <w:adjustRightInd w:val="0"/>
              <w:snapToGrid w:val="0"/>
              <w:spacing w:line="240" w:lineRule="auto"/>
              <w:ind w:left="1197" w:leftChars="570" w:firstLine="0" w:firstLineChars="0"/>
              <w:rPr>
                <w:rFonts w:hint="eastAsia" w:ascii="仿宋" w:eastAsia="仿宋" w:cs="仿宋"/>
                <w:color w:val="auto"/>
                <w:kern w:val="0"/>
                <w:sz w:val="24"/>
                <w:szCs w:val="24"/>
                <w:lang w:val="en-US" w:eastAsia="en-US" w:bidi="ar-SA"/>
              </w:rPr>
            </w:pPr>
            <w:r>
              <w:rPr>
                <w:rFonts w:hint="eastAsia" w:ascii="仿宋" w:eastAsia="仿宋" w:cs="仿宋"/>
                <w:color w:val="auto"/>
                <w:kern w:val="0"/>
                <w:sz w:val="24"/>
                <w:szCs w:val="24"/>
                <w:lang w:val="en-US" w:eastAsia="en-US" w:bidi="ar-SA"/>
              </w:rPr>
              <w:t>2.熟练掌握身体各个部位的训练要求</w:t>
            </w:r>
          </w:p>
          <w:p w14:paraId="45DD8429">
            <w:pPr>
              <w:keepNext w:val="0"/>
              <w:keepLines w:val="0"/>
              <w:pageBreakBefore w:val="0"/>
              <w:widowControl w:val="0"/>
              <w:kinsoku/>
              <w:wordWrap/>
              <w:overflowPunct/>
              <w:topLinePunct w:val="0"/>
              <w:bidi w:val="0"/>
              <w:adjustRightInd w:val="0"/>
              <w:snapToGrid w:val="0"/>
              <w:spacing w:line="240" w:lineRule="auto"/>
              <w:ind w:left="1197" w:leftChars="570" w:firstLine="0" w:firstLineChars="0"/>
              <w:rPr>
                <w:rFonts w:hint="eastAsia" w:ascii="仿宋" w:eastAsia="仿宋" w:cs="仿宋"/>
                <w:color w:val="auto"/>
                <w:kern w:val="0"/>
                <w:sz w:val="24"/>
                <w:szCs w:val="24"/>
                <w:lang w:val="en-US" w:eastAsia="en-US" w:bidi="ar-SA"/>
              </w:rPr>
            </w:pPr>
            <w:r>
              <w:rPr>
                <w:rFonts w:hint="eastAsia" w:ascii="仿宋" w:eastAsia="仿宋" w:cs="仿宋"/>
                <w:color w:val="auto"/>
                <w:kern w:val="0"/>
                <w:sz w:val="24"/>
                <w:szCs w:val="24"/>
                <w:lang w:val="en-US" w:eastAsia="en-US" w:bidi="ar-SA"/>
              </w:rPr>
              <w:t>3.解决身体各部分的软开度问题并应用到今后舞蹈技能学习与训练中</w:t>
            </w:r>
            <w:r>
              <w:rPr>
                <w:rFonts w:hint="eastAsia" w:ascii="仿宋" w:eastAsia="仿宋" w:cs="仿宋"/>
                <w:color w:val="auto"/>
                <w:kern w:val="0"/>
                <w:sz w:val="24"/>
                <w:szCs w:val="24"/>
                <w:lang w:val="en-US" w:eastAsia="zh-CN" w:bidi="ar-SA"/>
              </w:rPr>
              <w:t>。</w:t>
            </w:r>
          </w:p>
          <w:p w14:paraId="069BD996">
            <w:pPr>
              <w:keepNext w:val="0"/>
              <w:keepLines w:val="0"/>
              <w:pageBreakBefore w:val="0"/>
              <w:widowControl w:val="0"/>
              <w:kinsoku/>
              <w:wordWrap/>
              <w:overflowPunct/>
              <w:topLinePunct w:val="0"/>
              <w:bidi w:val="0"/>
              <w:adjustRightInd w:val="0"/>
              <w:snapToGrid w:val="0"/>
              <w:spacing w:line="240" w:lineRule="auto"/>
              <w:ind w:left="1200" w:hanging="1200" w:hangingChars="500"/>
              <w:rPr>
                <w:rFonts w:hint="default" w:ascii="仿宋" w:eastAsia="仿宋" w:cs="仿宋"/>
                <w:color w:val="auto"/>
                <w:kern w:val="0"/>
                <w:sz w:val="24"/>
                <w:szCs w:val="24"/>
                <w:lang w:val="en-US" w:eastAsia="zh-CN" w:bidi="ar-SA"/>
              </w:rPr>
            </w:pPr>
            <w:r>
              <w:rPr>
                <w:rFonts w:hint="eastAsia" w:ascii="仿宋" w:eastAsia="仿宋" w:cs="仿宋"/>
                <w:color w:val="auto"/>
                <w:kern w:val="0"/>
                <w:sz w:val="24"/>
                <w:szCs w:val="24"/>
                <w:lang w:val="en-US" w:eastAsia="zh-CN" w:bidi="ar-SA"/>
              </w:rPr>
              <w:t>思政融入：引导学生</w:t>
            </w:r>
            <w:r>
              <w:rPr>
                <w:rFonts w:hint="eastAsia" w:ascii="仿宋" w:eastAsia="仿宋" w:cs="仿宋"/>
                <w:color w:val="auto"/>
                <w:kern w:val="0"/>
                <w:sz w:val="24"/>
                <w:szCs w:val="24"/>
                <w:lang w:val="en-US" w:eastAsia="en-US" w:bidi="ar-SA"/>
              </w:rPr>
              <w:t>树立信心、</w:t>
            </w:r>
            <w:r>
              <w:rPr>
                <w:rFonts w:hint="eastAsia" w:ascii="仿宋" w:eastAsia="仿宋" w:cs="仿宋"/>
                <w:color w:val="auto"/>
                <w:kern w:val="0"/>
                <w:sz w:val="24"/>
                <w:szCs w:val="24"/>
                <w:lang w:val="en-US" w:eastAsia="zh-CN" w:bidi="ar-SA"/>
              </w:rPr>
              <w:t>培养吃苦耐劳、自觉自律的优秀品质。</w:t>
            </w:r>
          </w:p>
        </w:tc>
        <w:tc>
          <w:tcPr>
            <w:tcW w:w="779"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1C75DBB5">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bCs/>
                <w:color w:val="auto"/>
                <w:sz w:val="24"/>
                <w:szCs w:val="24"/>
                <w:lang w:bidi="ar-SA"/>
              </w:rPr>
            </w:pPr>
            <w:r>
              <w:rPr>
                <w:rFonts w:hint="eastAsia" w:ascii="仿宋" w:eastAsia="仿宋" w:cs="仿宋"/>
                <w:bCs/>
                <w:color w:val="auto"/>
                <w:sz w:val="24"/>
                <w:szCs w:val="24"/>
                <w:lang w:bidi="ar-SA"/>
              </w:rPr>
              <w:t>支撑课程目标1、2、3</w:t>
            </w:r>
          </w:p>
        </w:tc>
        <w:tc>
          <w:tcPr>
            <w:tcW w:w="554"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B598C42">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color w:val="auto"/>
                <w:sz w:val="24"/>
                <w:szCs w:val="24"/>
                <w:lang w:bidi="ar-SA"/>
              </w:rPr>
            </w:pPr>
            <w:r>
              <w:rPr>
                <w:rFonts w:hint="eastAsia" w:ascii="仿宋" w:eastAsia="仿宋" w:cs="仿宋"/>
                <w:color w:val="auto"/>
                <w:sz w:val="24"/>
                <w:szCs w:val="24"/>
                <w:lang w:bidi="ar-SA"/>
              </w:rPr>
              <w:t>6</w:t>
            </w:r>
          </w:p>
        </w:tc>
      </w:tr>
      <w:tr w14:paraId="44EAC5A4">
        <w:trPr>
          <w:trHeight w:val="0" w:hRule="atLeast"/>
        </w:trPr>
        <w:tc>
          <w:tcPr>
            <w:tcW w:w="1375"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14:paraId="3D35EC6B">
            <w:pPr>
              <w:pageBreakBefore w:val="0"/>
              <w:kinsoku/>
              <w:overflowPunct/>
              <w:topLinePunct w:val="0"/>
              <w:bidi w:val="0"/>
              <w:spacing w:line="240" w:lineRule="auto"/>
            </w:pPr>
          </w:p>
        </w:tc>
        <w:tc>
          <w:tcPr>
            <w:tcW w:w="6435" w:type="dxa"/>
            <w:gridSpan w:val="11"/>
            <w:tcBorders>
              <w:top w:val="single" w:color="auto" w:sz="4" w:space="0"/>
              <w:left w:val="single" w:color="auto" w:sz="4" w:space="0"/>
              <w:bottom w:val="single" w:color="auto" w:sz="4" w:space="0"/>
              <w:right w:val="single" w:color="auto" w:sz="4" w:space="0"/>
            </w:tcBorders>
            <w:shd w:val="clear" w:color="auto" w:fill="auto"/>
            <w:noWrap/>
            <w:vAlign w:val="center"/>
          </w:tcPr>
          <w:p w14:paraId="6E48B68B">
            <w:pPr>
              <w:keepNext w:val="0"/>
              <w:keepLines w:val="0"/>
              <w:pageBreakBefore w:val="0"/>
              <w:widowControl w:val="0"/>
              <w:kinsoku/>
              <w:wordWrap/>
              <w:overflowPunct/>
              <w:topLinePunct w:val="0"/>
              <w:bidi w:val="0"/>
              <w:adjustRightInd w:val="0"/>
              <w:snapToGrid w:val="0"/>
              <w:spacing w:line="240" w:lineRule="auto"/>
              <w:ind w:left="1200" w:hanging="1205" w:hangingChars="500"/>
              <w:rPr>
                <w:rFonts w:hint="eastAsia" w:ascii="仿宋" w:eastAsia="仿宋" w:cs="仿宋"/>
                <w:b/>
                <w:bCs/>
                <w:color w:val="auto"/>
                <w:kern w:val="0"/>
                <w:sz w:val="24"/>
                <w:szCs w:val="24"/>
                <w:lang w:val="en-US" w:eastAsia="zh-CN" w:bidi="ar-SA"/>
              </w:rPr>
            </w:pPr>
            <w:r>
              <w:rPr>
                <w:rFonts w:hint="eastAsia" w:ascii="仿宋" w:eastAsia="仿宋" w:cs="仿宋"/>
                <w:b/>
                <w:bCs/>
                <w:color w:val="auto"/>
                <w:kern w:val="0"/>
                <w:sz w:val="24"/>
                <w:szCs w:val="24"/>
                <w:lang w:val="en-US" w:eastAsia="en-US" w:bidi="ar-SA"/>
              </w:rPr>
              <w:t>训练二：地面基础训练</w:t>
            </w:r>
            <w:r>
              <w:rPr>
                <w:rFonts w:hint="eastAsia" w:ascii="仿宋" w:eastAsia="仿宋" w:cs="仿宋"/>
                <w:b w:val="0"/>
                <w:bCs w:val="0"/>
                <w:color w:val="auto"/>
                <w:kern w:val="0"/>
                <w:sz w:val="24"/>
                <w:szCs w:val="24"/>
                <w:lang w:val="en-US" w:eastAsia="zh-CN" w:bidi="ar-SA"/>
              </w:rPr>
              <w:t>（第一、二学期）</w:t>
            </w:r>
          </w:p>
          <w:p w14:paraId="5B8C1B08">
            <w:pPr>
              <w:keepNext w:val="0"/>
              <w:keepLines w:val="0"/>
              <w:pageBreakBefore w:val="0"/>
              <w:widowControl w:val="0"/>
              <w:kinsoku/>
              <w:wordWrap/>
              <w:overflowPunct/>
              <w:topLinePunct w:val="0"/>
              <w:bidi w:val="0"/>
              <w:adjustRightInd w:val="0"/>
              <w:snapToGrid w:val="0"/>
              <w:spacing w:line="240" w:lineRule="auto"/>
              <w:ind w:left="1200" w:hanging="1200" w:hangingChars="500"/>
              <w:rPr>
                <w:rFonts w:hint="eastAsia" w:ascii="仿宋" w:eastAsia="仿宋" w:cs="仿宋"/>
                <w:color w:val="auto"/>
                <w:kern w:val="0"/>
                <w:sz w:val="24"/>
                <w:szCs w:val="24"/>
                <w:lang w:val="en-US" w:eastAsia="en-US" w:bidi="ar-SA"/>
              </w:rPr>
            </w:pPr>
            <w:r>
              <w:rPr>
                <w:rFonts w:hint="eastAsia" w:ascii="仿宋" w:eastAsia="仿宋" w:cs="仿宋"/>
                <w:color w:val="auto"/>
                <w:kern w:val="0"/>
                <w:sz w:val="24"/>
                <w:szCs w:val="24"/>
                <w:lang w:val="en-US" w:eastAsia="en-US" w:bidi="ar-SA"/>
              </w:rPr>
              <w:t>实训目的：训练学生的核心力量、身体的稳定性为后面的舞蹈学习打下基础。</w:t>
            </w:r>
          </w:p>
          <w:p w14:paraId="2CFA4D0B">
            <w:pPr>
              <w:keepNext w:val="0"/>
              <w:keepLines w:val="0"/>
              <w:pageBreakBefore w:val="0"/>
              <w:widowControl w:val="0"/>
              <w:kinsoku/>
              <w:wordWrap/>
              <w:overflowPunct/>
              <w:topLinePunct w:val="0"/>
              <w:bidi w:val="0"/>
              <w:adjustRightInd w:val="0"/>
              <w:snapToGrid w:val="0"/>
              <w:spacing w:line="240" w:lineRule="auto"/>
              <w:ind w:left="1200" w:hanging="1200" w:hangingChars="500"/>
              <w:rPr>
                <w:rFonts w:hint="eastAsia" w:ascii="仿宋" w:eastAsia="仿宋" w:cs="仿宋"/>
                <w:color w:val="auto"/>
                <w:kern w:val="0"/>
                <w:sz w:val="24"/>
                <w:szCs w:val="24"/>
                <w:lang w:val="en-US" w:eastAsia="en-US" w:bidi="ar-SA"/>
              </w:rPr>
            </w:pPr>
            <w:r>
              <w:rPr>
                <w:rFonts w:hint="eastAsia" w:ascii="仿宋" w:eastAsia="仿宋" w:cs="仿宋"/>
                <w:color w:val="auto"/>
                <w:kern w:val="0"/>
                <w:sz w:val="24"/>
                <w:szCs w:val="24"/>
                <w:lang w:val="en-US" w:eastAsia="en-US" w:bidi="ar-SA"/>
              </w:rPr>
              <w:t>实训任务：1.了解和熟悉舞蹈课程的基本训练流程。</w:t>
            </w:r>
          </w:p>
          <w:p w14:paraId="309B3784">
            <w:pPr>
              <w:keepNext w:val="0"/>
              <w:keepLines w:val="0"/>
              <w:pageBreakBefore w:val="0"/>
              <w:widowControl w:val="0"/>
              <w:kinsoku/>
              <w:wordWrap/>
              <w:overflowPunct/>
              <w:topLinePunct w:val="0"/>
              <w:bidi w:val="0"/>
              <w:adjustRightInd w:val="0"/>
              <w:snapToGrid w:val="0"/>
              <w:spacing w:line="240" w:lineRule="auto"/>
              <w:ind w:left="1197" w:leftChars="570" w:firstLine="0" w:firstLineChars="0"/>
              <w:rPr>
                <w:rFonts w:hint="eastAsia" w:ascii="仿宋" w:eastAsia="仿宋" w:cs="仿宋"/>
                <w:color w:val="auto"/>
                <w:kern w:val="0"/>
                <w:sz w:val="24"/>
                <w:szCs w:val="24"/>
                <w:lang w:val="en-US" w:eastAsia="en-US" w:bidi="ar-SA"/>
              </w:rPr>
            </w:pPr>
            <w:r>
              <w:rPr>
                <w:rFonts w:hint="eastAsia" w:ascii="仿宋" w:eastAsia="仿宋" w:cs="仿宋"/>
                <w:color w:val="auto"/>
                <w:kern w:val="0"/>
                <w:sz w:val="24"/>
                <w:szCs w:val="24"/>
                <w:lang w:val="en-US" w:eastAsia="en-US" w:bidi="ar-SA"/>
              </w:rPr>
              <w:t>2.熟练掌握地面基础训练的要求和注意要点。</w:t>
            </w:r>
          </w:p>
          <w:p w14:paraId="089E8E18">
            <w:pPr>
              <w:keepNext w:val="0"/>
              <w:keepLines w:val="0"/>
              <w:pageBreakBefore w:val="0"/>
              <w:widowControl w:val="0"/>
              <w:kinsoku/>
              <w:wordWrap/>
              <w:overflowPunct/>
              <w:topLinePunct w:val="0"/>
              <w:bidi w:val="0"/>
              <w:adjustRightInd w:val="0"/>
              <w:snapToGrid w:val="0"/>
              <w:spacing w:line="240" w:lineRule="auto"/>
              <w:ind w:left="1197" w:leftChars="570" w:firstLine="0" w:firstLineChars="0"/>
              <w:rPr>
                <w:rFonts w:hint="eastAsia" w:ascii="仿宋" w:eastAsia="仿宋" w:cs="仿宋"/>
                <w:color w:val="auto"/>
                <w:kern w:val="0"/>
                <w:sz w:val="24"/>
                <w:szCs w:val="24"/>
                <w:lang w:val="en-US" w:eastAsia="en-US" w:bidi="ar-SA"/>
              </w:rPr>
            </w:pPr>
            <w:r>
              <w:rPr>
                <w:rFonts w:hint="eastAsia" w:ascii="仿宋" w:eastAsia="仿宋" w:cs="仿宋"/>
                <w:color w:val="auto"/>
                <w:kern w:val="0"/>
                <w:sz w:val="24"/>
                <w:szCs w:val="24"/>
                <w:lang w:val="en-US" w:eastAsia="en-US" w:bidi="ar-SA"/>
              </w:rPr>
              <w:t>3.解决身体各部分的软开度问题并应用到今后舞蹈技能学习与训练中。</w:t>
            </w:r>
          </w:p>
          <w:p w14:paraId="1403222A">
            <w:pPr>
              <w:keepNext w:val="0"/>
              <w:keepLines w:val="0"/>
              <w:pageBreakBefore w:val="0"/>
              <w:widowControl w:val="0"/>
              <w:kinsoku/>
              <w:wordWrap/>
              <w:overflowPunct/>
              <w:topLinePunct w:val="0"/>
              <w:bidi w:val="0"/>
              <w:adjustRightInd w:val="0"/>
              <w:snapToGrid w:val="0"/>
              <w:spacing w:line="240" w:lineRule="auto"/>
              <w:ind w:left="1200" w:hanging="1200" w:hangingChars="500"/>
              <w:rPr>
                <w:rFonts w:hint="default" w:ascii="仿宋" w:eastAsia="仿宋" w:cs="仿宋"/>
                <w:color w:val="auto"/>
                <w:kern w:val="0"/>
                <w:sz w:val="24"/>
                <w:szCs w:val="24"/>
                <w:lang w:val="en-US" w:eastAsia="zh-CN" w:bidi="ar-SA"/>
              </w:rPr>
            </w:pPr>
            <w:r>
              <w:rPr>
                <w:rFonts w:hint="eastAsia" w:ascii="仿宋" w:eastAsia="仿宋" w:cs="仿宋"/>
                <w:color w:val="auto"/>
                <w:kern w:val="0"/>
                <w:sz w:val="24"/>
                <w:szCs w:val="24"/>
                <w:lang w:val="en-US" w:eastAsia="zh-CN" w:bidi="ar-SA"/>
              </w:rPr>
              <w:t>思政融入：树立正确的审美观，培养感情丰富、身心健康与和谐的当代大学生。</w:t>
            </w:r>
          </w:p>
        </w:tc>
        <w:tc>
          <w:tcPr>
            <w:tcW w:w="779"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7C770965">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bCs/>
                <w:color w:val="auto"/>
                <w:sz w:val="24"/>
                <w:szCs w:val="24"/>
                <w:lang w:bidi="ar-SA"/>
              </w:rPr>
            </w:pPr>
            <w:r>
              <w:rPr>
                <w:rFonts w:hint="eastAsia" w:ascii="仿宋" w:eastAsia="仿宋" w:cs="仿宋"/>
                <w:bCs/>
                <w:color w:val="auto"/>
                <w:sz w:val="24"/>
                <w:szCs w:val="24"/>
                <w:lang w:bidi="ar-SA"/>
              </w:rPr>
              <w:t>支撑课程目标1、2、3</w:t>
            </w:r>
          </w:p>
        </w:tc>
        <w:tc>
          <w:tcPr>
            <w:tcW w:w="554"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4CA1D3F1">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color w:val="auto"/>
                <w:sz w:val="24"/>
                <w:szCs w:val="24"/>
                <w:lang w:bidi="ar-SA"/>
              </w:rPr>
            </w:pPr>
            <w:r>
              <w:rPr>
                <w:rFonts w:hint="eastAsia" w:ascii="仿宋" w:eastAsia="仿宋" w:cs="仿宋"/>
                <w:color w:val="auto"/>
                <w:sz w:val="24"/>
                <w:szCs w:val="24"/>
                <w:lang w:bidi="ar-SA"/>
              </w:rPr>
              <w:t>20</w:t>
            </w:r>
          </w:p>
        </w:tc>
      </w:tr>
      <w:tr w14:paraId="33597D65">
        <w:trPr>
          <w:trHeight w:val="0" w:hRule="atLeast"/>
        </w:trPr>
        <w:tc>
          <w:tcPr>
            <w:tcW w:w="1375"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14:paraId="354F8622">
            <w:pPr>
              <w:pageBreakBefore w:val="0"/>
              <w:kinsoku/>
              <w:overflowPunct/>
              <w:topLinePunct w:val="0"/>
              <w:bidi w:val="0"/>
              <w:spacing w:line="240" w:lineRule="auto"/>
            </w:pPr>
          </w:p>
        </w:tc>
        <w:tc>
          <w:tcPr>
            <w:tcW w:w="6435" w:type="dxa"/>
            <w:gridSpan w:val="11"/>
            <w:tcBorders>
              <w:top w:val="single" w:color="auto" w:sz="4" w:space="0"/>
              <w:left w:val="single" w:color="auto" w:sz="4" w:space="0"/>
              <w:bottom w:val="single" w:color="auto" w:sz="4" w:space="0"/>
              <w:right w:val="single" w:color="auto" w:sz="4" w:space="0"/>
            </w:tcBorders>
            <w:shd w:val="clear" w:color="auto" w:fill="auto"/>
            <w:noWrap/>
            <w:vAlign w:val="center"/>
          </w:tcPr>
          <w:p w14:paraId="159F560C">
            <w:pPr>
              <w:keepNext w:val="0"/>
              <w:keepLines w:val="0"/>
              <w:pageBreakBefore w:val="0"/>
              <w:widowControl w:val="0"/>
              <w:kinsoku/>
              <w:wordWrap/>
              <w:overflowPunct/>
              <w:topLinePunct w:val="0"/>
              <w:bidi w:val="0"/>
              <w:adjustRightInd w:val="0"/>
              <w:snapToGrid w:val="0"/>
              <w:spacing w:line="240" w:lineRule="auto"/>
              <w:ind w:left="1200" w:hanging="1205" w:hangingChars="500"/>
              <w:rPr>
                <w:rFonts w:hint="eastAsia" w:ascii="仿宋" w:eastAsia="仿宋" w:cs="仿宋"/>
                <w:b/>
                <w:bCs/>
                <w:color w:val="auto"/>
                <w:kern w:val="0"/>
                <w:sz w:val="24"/>
                <w:szCs w:val="24"/>
                <w:lang w:val="en-US" w:eastAsia="en-US" w:bidi="ar-SA"/>
              </w:rPr>
            </w:pPr>
            <w:r>
              <w:rPr>
                <w:rFonts w:hint="eastAsia" w:ascii="仿宋" w:eastAsia="仿宋" w:cs="仿宋"/>
                <w:b/>
                <w:bCs/>
                <w:color w:val="auto"/>
                <w:kern w:val="0"/>
                <w:sz w:val="24"/>
                <w:szCs w:val="24"/>
                <w:lang w:val="en-US" w:eastAsia="en-US" w:bidi="ar-SA"/>
              </w:rPr>
              <w:t>训练三：把杆基础训练</w:t>
            </w:r>
            <w:r>
              <w:rPr>
                <w:rFonts w:hint="eastAsia" w:ascii="仿宋" w:eastAsia="仿宋" w:cs="仿宋"/>
                <w:b w:val="0"/>
                <w:bCs w:val="0"/>
                <w:color w:val="auto"/>
                <w:kern w:val="0"/>
                <w:sz w:val="24"/>
                <w:szCs w:val="24"/>
                <w:lang w:val="en-US" w:eastAsia="zh-CN" w:bidi="ar-SA"/>
              </w:rPr>
              <w:t>（第一、二学期）</w:t>
            </w:r>
          </w:p>
          <w:p w14:paraId="25CE2E18">
            <w:pPr>
              <w:keepNext w:val="0"/>
              <w:keepLines w:val="0"/>
              <w:pageBreakBefore w:val="0"/>
              <w:widowControl w:val="0"/>
              <w:kinsoku/>
              <w:wordWrap/>
              <w:overflowPunct/>
              <w:topLinePunct w:val="0"/>
              <w:bidi w:val="0"/>
              <w:adjustRightInd w:val="0"/>
              <w:snapToGrid w:val="0"/>
              <w:spacing w:line="240" w:lineRule="auto"/>
              <w:ind w:left="1200" w:hanging="1200" w:hangingChars="500"/>
              <w:rPr>
                <w:rFonts w:hint="eastAsia" w:ascii="仿宋" w:eastAsia="仿宋" w:cs="仿宋"/>
                <w:color w:val="auto"/>
                <w:kern w:val="0"/>
                <w:sz w:val="24"/>
                <w:szCs w:val="24"/>
                <w:lang w:val="en-US" w:eastAsia="en-US" w:bidi="ar-SA"/>
              </w:rPr>
            </w:pPr>
            <w:r>
              <w:rPr>
                <w:rFonts w:hint="eastAsia" w:ascii="仿宋" w:eastAsia="仿宋" w:cs="仿宋"/>
                <w:color w:val="auto"/>
                <w:kern w:val="0"/>
                <w:sz w:val="24"/>
                <w:szCs w:val="24"/>
                <w:lang w:val="en-US" w:eastAsia="en-US" w:bidi="ar-SA"/>
              </w:rPr>
              <w:t>实训目的：通过把杆训练达到体态提拔，强化对身体的控制力。</w:t>
            </w:r>
          </w:p>
          <w:p w14:paraId="6BC43F56">
            <w:pPr>
              <w:keepNext w:val="0"/>
              <w:keepLines w:val="0"/>
              <w:pageBreakBefore w:val="0"/>
              <w:widowControl w:val="0"/>
              <w:kinsoku/>
              <w:wordWrap/>
              <w:overflowPunct/>
              <w:topLinePunct w:val="0"/>
              <w:bidi w:val="0"/>
              <w:adjustRightInd w:val="0"/>
              <w:snapToGrid w:val="0"/>
              <w:spacing w:line="240" w:lineRule="auto"/>
              <w:ind w:left="1200" w:hanging="1200" w:hangingChars="500"/>
              <w:rPr>
                <w:rFonts w:hint="eastAsia" w:ascii="仿宋" w:eastAsia="仿宋" w:cs="仿宋"/>
                <w:color w:val="auto"/>
                <w:kern w:val="0"/>
                <w:sz w:val="24"/>
                <w:szCs w:val="24"/>
                <w:lang w:val="en-US" w:eastAsia="en-US" w:bidi="ar-SA"/>
              </w:rPr>
            </w:pPr>
            <w:r>
              <w:rPr>
                <w:rFonts w:hint="eastAsia" w:ascii="仿宋" w:eastAsia="仿宋" w:cs="仿宋"/>
                <w:color w:val="auto"/>
                <w:kern w:val="0"/>
                <w:sz w:val="24"/>
                <w:szCs w:val="24"/>
                <w:lang w:val="en-US" w:eastAsia="en-US" w:bidi="ar-SA"/>
              </w:rPr>
              <w:t>实训任务：1.学会把杆训练组合的各种动作要求。</w:t>
            </w:r>
          </w:p>
          <w:p w14:paraId="00741264">
            <w:pPr>
              <w:keepNext w:val="0"/>
              <w:keepLines w:val="0"/>
              <w:pageBreakBefore w:val="0"/>
              <w:widowControl w:val="0"/>
              <w:kinsoku/>
              <w:wordWrap/>
              <w:overflowPunct/>
              <w:topLinePunct w:val="0"/>
              <w:bidi w:val="0"/>
              <w:adjustRightInd w:val="0"/>
              <w:snapToGrid w:val="0"/>
              <w:spacing w:line="240" w:lineRule="auto"/>
              <w:ind w:left="1200" w:hanging="1200" w:hangingChars="500"/>
              <w:rPr>
                <w:rFonts w:hint="eastAsia" w:ascii="仿宋" w:eastAsia="仿宋" w:cs="仿宋"/>
                <w:color w:val="auto"/>
                <w:kern w:val="0"/>
                <w:sz w:val="24"/>
                <w:szCs w:val="24"/>
                <w:lang w:val="en-US" w:eastAsia="en-US" w:bidi="ar-SA"/>
              </w:rPr>
            </w:pPr>
            <w:r>
              <w:rPr>
                <w:rFonts w:hint="eastAsia" w:ascii="仿宋" w:eastAsia="仿宋" w:cs="仿宋"/>
                <w:color w:val="auto"/>
                <w:kern w:val="0"/>
                <w:sz w:val="24"/>
                <w:szCs w:val="24"/>
                <w:lang w:val="en-US" w:eastAsia="en-US" w:bidi="ar-SA"/>
              </w:rPr>
              <w:t>2.掌握动作的到位与规范与注意要点。</w:t>
            </w:r>
          </w:p>
          <w:p w14:paraId="16F89102">
            <w:pPr>
              <w:keepNext w:val="0"/>
              <w:keepLines w:val="0"/>
              <w:pageBreakBefore w:val="0"/>
              <w:widowControl w:val="0"/>
              <w:kinsoku/>
              <w:wordWrap/>
              <w:overflowPunct/>
              <w:topLinePunct w:val="0"/>
              <w:bidi w:val="0"/>
              <w:adjustRightInd w:val="0"/>
              <w:snapToGrid w:val="0"/>
              <w:spacing w:line="240" w:lineRule="auto"/>
              <w:ind w:left="1200" w:hanging="1200" w:hangingChars="500"/>
              <w:rPr>
                <w:rFonts w:hint="eastAsia" w:ascii="仿宋" w:eastAsia="仿宋" w:cs="仿宋"/>
                <w:color w:val="auto"/>
                <w:kern w:val="0"/>
                <w:sz w:val="24"/>
                <w:szCs w:val="24"/>
                <w:lang w:val="en-US" w:eastAsia="en-US" w:bidi="ar-SA"/>
              </w:rPr>
            </w:pPr>
            <w:r>
              <w:rPr>
                <w:rFonts w:hint="eastAsia" w:ascii="仿宋" w:eastAsia="仿宋" w:cs="仿宋"/>
                <w:color w:val="auto"/>
                <w:kern w:val="0"/>
                <w:sz w:val="24"/>
                <w:szCs w:val="24"/>
                <w:lang w:val="en-US" w:eastAsia="en-US" w:bidi="ar-SA"/>
              </w:rPr>
              <w:t>3.能够较为连贯的进行动作组合连接，并具有一定的美感。</w:t>
            </w:r>
          </w:p>
          <w:p w14:paraId="5C999FBC">
            <w:pPr>
              <w:keepNext w:val="0"/>
              <w:keepLines w:val="0"/>
              <w:pageBreakBefore w:val="0"/>
              <w:widowControl w:val="0"/>
              <w:kinsoku/>
              <w:wordWrap/>
              <w:overflowPunct/>
              <w:topLinePunct w:val="0"/>
              <w:bidi w:val="0"/>
              <w:adjustRightInd w:val="0"/>
              <w:snapToGrid w:val="0"/>
              <w:spacing w:line="240" w:lineRule="auto"/>
              <w:ind w:left="1200" w:hanging="1200" w:hangingChars="500"/>
              <w:rPr>
                <w:rFonts w:hint="default" w:ascii="仿宋" w:eastAsia="仿宋" w:cs="仿宋"/>
                <w:color w:val="auto"/>
                <w:kern w:val="0"/>
                <w:sz w:val="24"/>
                <w:szCs w:val="24"/>
                <w:lang w:val="en-US" w:eastAsia="en-US" w:bidi="ar-SA"/>
              </w:rPr>
            </w:pPr>
            <w:r>
              <w:rPr>
                <w:rFonts w:hint="eastAsia" w:ascii="仿宋" w:eastAsia="仿宋" w:cs="仿宋"/>
                <w:color w:val="auto"/>
                <w:kern w:val="0"/>
                <w:sz w:val="24"/>
                <w:szCs w:val="24"/>
                <w:lang w:val="en-US" w:eastAsia="zh-CN" w:bidi="ar-SA"/>
              </w:rPr>
              <w:t>思政融入：坚定以美育人信念，培养学生积极向上的人生态度和坚韧的意志品质。</w:t>
            </w:r>
          </w:p>
        </w:tc>
        <w:tc>
          <w:tcPr>
            <w:tcW w:w="779"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378D09DC">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bCs/>
                <w:color w:val="auto"/>
                <w:sz w:val="24"/>
                <w:szCs w:val="24"/>
                <w:lang w:bidi="ar-SA"/>
              </w:rPr>
            </w:pPr>
            <w:r>
              <w:rPr>
                <w:rFonts w:hint="eastAsia" w:ascii="仿宋" w:eastAsia="仿宋" w:cs="仿宋"/>
                <w:bCs/>
                <w:color w:val="auto"/>
                <w:sz w:val="24"/>
                <w:szCs w:val="24"/>
                <w:lang w:bidi="ar-SA"/>
              </w:rPr>
              <w:t>支撑课程目标1、2、3</w:t>
            </w:r>
          </w:p>
        </w:tc>
        <w:tc>
          <w:tcPr>
            <w:tcW w:w="554"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87D7451">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bCs/>
                <w:color w:val="auto"/>
                <w:sz w:val="24"/>
                <w:szCs w:val="24"/>
                <w:lang w:bidi="ar-SA"/>
              </w:rPr>
            </w:pPr>
            <w:r>
              <w:rPr>
                <w:rFonts w:hint="eastAsia" w:ascii="仿宋" w:eastAsia="仿宋" w:cs="仿宋"/>
                <w:bCs/>
                <w:color w:val="auto"/>
                <w:sz w:val="24"/>
                <w:szCs w:val="24"/>
                <w:lang w:bidi="ar-SA"/>
              </w:rPr>
              <w:t>20</w:t>
            </w:r>
          </w:p>
        </w:tc>
      </w:tr>
      <w:tr w14:paraId="10D4B83E">
        <w:trPr>
          <w:trHeight w:val="0" w:hRule="atLeast"/>
        </w:trPr>
        <w:tc>
          <w:tcPr>
            <w:tcW w:w="1375"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14:paraId="58CC13B2">
            <w:pPr>
              <w:pageBreakBefore w:val="0"/>
              <w:kinsoku/>
              <w:overflowPunct/>
              <w:topLinePunct w:val="0"/>
              <w:bidi w:val="0"/>
              <w:spacing w:line="240" w:lineRule="auto"/>
            </w:pPr>
          </w:p>
        </w:tc>
        <w:tc>
          <w:tcPr>
            <w:tcW w:w="6435" w:type="dxa"/>
            <w:gridSpan w:val="11"/>
            <w:tcBorders>
              <w:top w:val="single" w:color="auto" w:sz="4" w:space="0"/>
              <w:left w:val="single" w:color="auto" w:sz="4" w:space="0"/>
              <w:bottom w:val="single" w:color="auto" w:sz="4" w:space="0"/>
              <w:right w:val="single" w:color="auto" w:sz="4" w:space="0"/>
            </w:tcBorders>
            <w:shd w:val="clear" w:color="auto" w:fill="auto"/>
            <w:noWrap/>
            <w:vAlign w:val="center"/>
          </w:tcPr>
          <w:p w14:paraId="133D436C">
            <w:pPr>
              <w:keepNext w:val="0"/>
              <w:keepLines w:val="0"/>
              <w:pageBreakBefore w:val="0"/>
              <w:widowControl w:val="0"/>
              <w:kinsoku/>
              <w:wordWrap/>
              <w:overflowPunct/>
              <w:topLinePunct w:val="0"/>
              <w:bidi w:val="0"/>
              <w:adjustRightInd w:val="0"/>
              <w:snapToGrid w:val="0"/>
              <w:spacing w:line="240" w:lineRule="auto"/>
              <w:ind w:left="1200" w:hanging="1205" w:hangingChars="500"/>
              <w:rPr>
                <w:rFonts w:hint="eastAsia" w:ascii="仿宋" w:eastAsia="仿宋" w:cs="仿宋"/>
                <w:b/>
                <w:bCs/>
                <w:color w:val="auto"/>
                <w:kern w:val="0"/>
                <w:sz w:val="24"/>
                <w:szCs w:val="24"/>
                <w:lang w:val="en-US" w:eastAsia="en-US" w:bidi="ar-SA"/>
              </w:rPr>
            </w:pPr>
            <w:r>
              <w:rPr>
                <w:rFonts w:hint="eastAsia" w:ascii="仿宋" w:eastAsia="仿宋" w:cs="仿宋"/>
                <w:b/>
                <w:bCs/>
                <w:color w:val="auto"/>
                <w:kern w:val="0"/>
                <w:sz w:val="24"/>
                <w:szCs w:val="24"/>
                <w:lang w:val="en-US" w:eastAsia="en-US" w:bidi="ar-SA"/>
              </w:rPr>
              <w:t>训练四：中间部分练习</w:t>
            </w:r>
            <w:r>
              <w:rPr>
                <w:rFonts w:hint="eastAsia" w:ascii="仿宋" w:eastAsia="仿宋" w:cs="仿宋"/>
                <w:b w:val="0"/>
                <w:bCs w:val="0"/>
                <w:color w:val="auto"/>
                <w:kern w:val="0"/>
                <w:sz w:val="24"/>
                <w:szCs w:val="24"/>
                <w:lang w:val="en-US" w:eastAsia="zh-CN" w:bidi="ar-SA"/>
              </w:rPr>
              <w:t>（第一、二学期）</w:t>
            </w:r>
          </w:p>
          <w:p w14:paraId="4F872848">
            <w:pPr>
              <w:keepNext w:val="0"/>
              <w:keepLines w:val="0"/>
              <w:pageBreakBefore w:val="0"/>
              <w:widowControl w:val="0"/>
              <w:kinsoku/>
              <w:wordWrap/>
              <w:overflowPunct/>
              <w:topLinePunct w:val="0"/>
              <w:bidi w:val="0"/>
              <w:adjustRightInd w:val="0"/>
              <w:snapToGrid w:val="0"/>
              <w:spacing w:line="240" w:lineRule="auto"/>
              <w:ind w:left="1200" w:hanging="1200" w:hangingChars="500"/>
              <w:rPr>
                <w:rFonts w:hint="eastAsia" w:ascii="仿宋" w:eastAsia="仿宋" w:cs="仿宋"/>
                <w:color w:val="auto"/>
                <w:kern w:val="0"/>
                <w:sz w:val="24"/>
                <w:szCs w:val="24"/>
                <w:lang w:val="en-US" w:eastAsia="en-US" w:bidi="ar-SA"/>
              </w:rPr>
            </w:pPr>
            <w:r>
              <w:rPr>
                <w:rFonts w:hint="eastAsia" w:ascii="仿宋" w:eastAsia="仿宋" w:cs="仿宋"/>
                <w:color w:val="auto"/>
                <w:kern w:val="0"/>
                <w:sz w:val="24"/>
                <w:szCs w:val="24"/>
                <w:lang w:val="en-US" w:eastAsia="en-US" w:bidi="ar-SA"/>
              </w:rPr>
              <w:t>实训目的：通过中间达到体态的稳定，掌握一定的舞蹈技能。</w:t>
            </w:r>
          </w:p>
          <w:p w14:paraId="7ED72AEC">
            <w:pPr>
              <w:keepNext w:val="0"/>
              <w:keepLines w:val="0"/>
              <w:pageBreakBefore w:val="0"/>
              <w:widowControl w:val="0"/>
              <w:kinsoku/>
              <w:wordWrap/>
              <w:overflowPunct/>
              <w:topLinePunct w:val="0"/>
              <w:bidi w:val="0"/>
              <w:adjustRightInd w:val="0"/>
              <w:snapToGrid w:val="0"/>
              <w:spacing w:line="240" w:lineRule="auto"/>
              <w:ind w:left="1200" w:hanging="1200" w:hangingChars="500"/>
              <w:rPr>
                <w:rFonts w:hint="eastAsia" w:ascii="仿宋" w:eastAsia="仿宋" w:cs="仿宋"/>
                <w:color w:val="auto"/>
                <w:kern w:val="0"/>
                <w:sz w:val="24"/>
                <w:szCs w:val="24"/>
                <w:lang w:val="en-US" w:eastAsia="en-US" w:bidi="ar-SA"/>
              </w:rPr>
            </w:pPr>
            <w:r>
              <w:rPr>
                <w:rFonts w:hint="eastAsia" w:ascii="仿宋" w:eastAsia="仿宋" w:cs="仿宋"/>
                <w:color w:val="auto"/>
                <w:kern w:val="0"/>
                <w:sz w:val="24"/>
                <w:szCs w:val="24"/>
                <w:lang w:val="en-US" w:eastAsia="en-US" w:bidi="ar-SA"/>
              </w:rPr>
              <w:t>实训任务：1.了解手位的正确位置、重心的把控、跳跃的正确发力点。</w:t>
            </w:r>
          </w:p>
          <w:p w14:paraId="6013B296">
            <w:pPr>
              <w:keepNext w:val="0"/>
              <w:keepLines w:val="0"/>
              <w:pageBreakBefore w:val="0"/>
              <w:widowControl w:val="0"/>
              <w:kinsoku/>
              <w:wordWrap/>
              <w:overflowPunct/>
              <w:topLinePunct w:val="0"/>
              <w:bidi w:val="0"/>
              <w:adjustRightInd w:val="0"/>
              <w:snapToGrid w:val="0"/>
              <w:spacing w:line="240" w:lineRule="auto"/>
              <w:ind w:left="1200" w:hanging="1200" w:hangingChars="500"/>
              <w:rPr>
                <w:rFonts w:hint="eastAsia" w:ascii="仿宋" w:eastAsia="仿宋" w:cs="仿宋"/>
                <w:color w:val="auto"/>
                <w:kern w:val="0"/>
                <w:sz w:val="24"/>
                <w:szCs w:val="24"/>
                <w:lang w:val="en-US" w:eastAsia="en-US" w:bidi="ar-SA"/>
              </w:rPr>
            </w:pPr>
            <w:r>
              <w:rPr>
                <w:rFonts w:hint="eastAsia" w:ascii="仿宋" w:eastAsia="仿宋" w:cs="仿宋"/>
                <w:color w:val="auto"/>
                <w:kern w:val="0"/>
                <w:sz w:val="24"/>
                <w:szCs w:val="24"/>
                <w:lang w:val="en-US" w:eastAsia="en-US" w:bidi="ar-SA"/>
              </w:rPr>
              <w:t xml:space="preserve">          2.掌握跳跃的力度、高度、质感，掌握动作要领，反复练习。</w:t>
            </w:r>
          </w:p>
          <w:p w14:paraId="57B29689">
            <w:pPr>
              <w:keepNext w:val="0"/>
              <w:keepLines w:val="0"/>
              <w:pageBreakBefore w:val="0"/>
              <w:widowControl w:val="0"/>
              <w:kinsoku/>
              <w:wordWrap/>
              <w:overflowPunct/>
              <w:topLinePunct w:val="0"/>
              <w:bidi w:val="0"/>
              <w:adjustRightInd w:val="0"/>
              <w:snapToGrid w:val="0"/>
              <w:spacing w:line="240" w:lineRule="auto"/>
              <w:ind w:left="1197" w:leftChars="570" w:firstLine="0" w:firstLineChars="0"/>
              <w:rPr>
                <w:rFonts w:hint="eastAsia" w:ascii="仿宋" w:eastAsia="仿宋" w:cs="仿宋"/>
                <w:color w:val="auto"/>
                <w:kern w:val="0"/>
                <w:sz w:val="24"/>
                <w:szCs w:val="24"/>
                <w:lang w:val="en-US" w:eastAsia="en-US" w:bidi="ar-SA"/>
              </w:rPr>
            </w:pPr>
            <w:r>
              <w:rPr>
                <w:rFonts w:hint="eastAsia" w:ascii="仿宋" w:eastAsia="仿宋" w:cs="仿宋"/>
                <w:color w:val="auto"/>
                <w:kern w:val="0"/>
                <w:sz w:val="24"/>
                <w:szCs w:val="24"/>
                <w:lang w:val="en-US" w:eastAsia="en-US" w:bidi="ar-SA"/>
              </w:rPr>
              <w:t>3.提升身体机能，为舞蹈技能表演与</w:t>
            </w:r>
          </w:p>
          <w:p w14:paraId="3180BC73">
            <w:pPr>
              <w:keepNext w:val="0"/>
              <w:keepLines w:val="0"/>
              <w:pageBreakBefore w:val="0"/>
              <w:widowControl w:val="0"/>
              <w:kinsoku/>
              <w:wordWrap/>
              <w:overflowPunct/>
              <w:topLinePunct w:val="0"/>
              <w:bidi w:val="0"/>
              <w:adjustRightInd w:val="0"/>
              <w:snapToGrid w:val="0"/>
              <w:spacing w:line="240" w:lineRule="auto"/>
              <w:ind w:left="1197" w:leftChars="570" w:firstLine="0" w:firstLineChars="0"/>
              <w:rPr>
                <w:rFonts w:hint="eastAsia" w:ascii="仿宋" w:eastAsia="仿宋" w:cs="仿宋"/>
                <w:color w:val="auto"/>
                <w:kern w:val="0"/>
                <w:sz w:val="24"/>
                <w:szCs w:val="24"/>
                <w:lang w:val="en-US" w:eastAsia="en-US" w:bidi="ar-SA"/>
              </w:rPr>
            </w:pPr>
            <w:r>
              <w:rPr>
                <w:rFonts w:hint="eastAsia" w:ascii="仿宋" w:eastAsia="仿宋" w:cs="仿宋"/>
                <w:color w:val="auto"/>
                <w:kern w:val="0"/>
                <w:sz w:val="24"/>
                <w:szCs w:val="24"/>
                <w:lang w:val="en-US" w:eastAsia="en-US" w:bidi="ar-SA"/>
              </w:rPr>
              <w:t>开展舞蹈活动打下基础。</w:t>
            </w:r>
          </w:p>
          <w:p w14:paraId="63B551A1">
            <w:pPr>
              <w:keepNext w:val="0"/>
              <w:keepLines w:val="0"/>
              <w:pageBreakBefore w:val="0"/>
              <w:widowControl w:val="0"/>
              <w:kinsoku/>
              <w:wordWrap/>
              <w:overflowPunct/>
              <w:topLinePunct w:val="0"/>
              <w:bidi w:val="0"/>
              <w:adjustRightInd w:val="0"/>
              <w:snapToGrid w:val="0"/>
              <w:spacing w:line="240" w:lineRule="auto"/>
              <w:ind w:left="1200" w:hanging="1200" w:hangingChars="500"/>
              <w:rPr>
                <w:rFonts w:hint="default" w:ascii="仿宋" w:eastAsia="仿宋" w:cs="仿宋"/>
                <w:color w:val="auto"/>
                <w:kern w:val="0"/>
                <w:sz w:val="24"/>
                <w:szCs w:val="24"/>
                <w:lang w:val="en-US" w:eastAsia="en-US" w:bidi="ar-SA"/>
              </w:rPr>
            </w:pPr>
            <w:r>
              <w:rPr>
                <w:rFonts w:hint="eastAsia" w:ascii="仿宋" w:eastAsia="仿宋" w:cs="仿宋"/>
                <w:color w:val="auto"/>
                <w:kern w:val="0"/>
                <w:sz w:val="24"/>
                <w:szCs w:val="24"/>
                <w:lang w:val="en-US" w:eastAsia="zh-CN" w:bidi="ar-SA"/>
              </w:rPr>
              <w:t>思政融入：把教师与职业礼仪融入课堂，形成良好职业素养和形体训练习惯。</w:t>
            </w:r>
          </w:p>
        </w:tc>
        <w:tc>
          <w:tcPr>
            <w:tcW w:w="779"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4C65B2F3">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bCs/>
                <w:color w:val="auto"/>
                <w:sz w:val="24"/>
                <w:szCs w:val="24"/>
                <w:lang w:bidi="ar-SA"/>
              </w:rPr>
            </w:pPr>
            <w:r>
              <w:rPr>
                <w:rFonts w:hint="eastAsia" w:ascii="仿宋" w:eastAsia="仿宋" w:cs="仿宋"/>
                <w:bCs/>
                <w:color w:val="auto"/>
                <w:sz w:val="24"/>
                <w:szCs w:val="24"/>
                <w:lang w:bidi="ar-SA"/>
              </w:rPr>
              <w:t>支撑课程目标1、2、3</w:t>
            </w:r>
          </w:p>
        </w:tc>
        <w:tc>
          <w:tcPr>
            <w:tcW w:w="554"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8D12F24">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bCs/>
                <w:color w:val="auto"/>
                <w:sz w:val="24"/>
                <w:szCs w:val="24"/>
                <w:lang w:bidi="ar-SA"/>
              </w:rPr>
            </w:pPr>
            <w:r>
              <w:rPr>
                <w:rFonts w:hint="eastAsia" w:ascii="仿宋" w:eastAsia="仿宋" w:cs="仿宋"/>
                <w:bCs/>
                <w:color w:val="auto"/>
                <w:sz w:val="24"/>
                <w:szCs w:val="24"/>
                <w:lang w:bidi="ar-SA"/>
              </w:rPr>
              <w:t>10</w:t>
            </w:r>
          </w:p>
        </w:tc>
      </w:tr>
      <w:tr w14:paraId="10D71237">
        <w:trPr>
          <w:trHeight w:val="0" w:hRule="atLeast"/>
        </w:trPr>
        <w:tc>
          <w:tcPr>
            <w:tcW w:w="1375"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14:paraId="18982FC5">
            <w:pPr>
              <w:pageBreakBefore w:val="0"/>
              <w:kinsoku/>
              <w:overflowPunct/>
              <w:topLinePunct w:val="0"/>
              <w:bidi w:val="0"/>
              <w:spacing w:line="240" w:lineRule="auto"/>
            </w:pPr>
          </w:p>
        </w:tc>
        <w:tc>
          <w:tcPr>
            <w:tcW w:w="6435" w:type="dxa"/>
            <w:gridSpan w:val="11"/>
            <w:tcBorders>
              <w:top w:val="single" w:color="auto" w:sz="4" w:space="0"/>
              <w:left w:val="single" w:color="auto" w:sz="4" w:space="0"/>
              <w:bottom w:val="single" w:color="auto" w:sz="4" w:space="0"/>
              <w:right w:val="single" w:color="auto" w:sz="4" w:space="0"/>
            </w:tcBorders>
            <w:shd w:val="clear" w:color="auto" w:fill="auto"/>
            <w:noWrap/>
            <w:vAlign w:val="center"/>
          </w:tcPr>
          <w:p w14:paraId="1698A19C">
            <w:pPr>
              <w:keepNext w:val="0"/>
              <w:keepLines w:val="0"/>
              <w:pageBreakBefore w:val="0"/>
              <w:widowControl w:val="0"/>
              <w:kinsoku/>
              <w:wordWrap/>
              <w:overflowPunct/>
              <w:topLinePunct w:val="0"/>
              <w:bidi w:val="0"/>
              <w:adjustRightInd w:val="0"/>
              <w:snapToGrid w:val="0"/>
              <w:spacing w:line="240" w:lineRule="auto"/>
              <w:ind w:left="1200" w:hanging="1205" w:hangingChars="500"/>
              <w:rPr>
                <w:rFonts w:hint="eastAsia" w:ascii="仿宋" w:eastAsia="仿宋" w:cs="仿宋"/>
                <w:b/>
                <w:bCs/>
                <w:color w:val="auto"/>
                <w:kern w:val="0"/>
                <w:sz w:val="24"/>
                <w:szCs w:val="24"/>
                <w:lang w:val="en-US" w:eastAsia="en-US" w:bidi="ar-SA"/>
              </w:rPr>
            </w:pPr>
            <w:r>
              <w:rPr>
                <w:rFonts w:hint="eastAsia" w:ascii="仿宋" w:eastAsia="仿宋" w:cs="仿宋"/>
                <w:b/>
                <w:bCs/>
                <w:color w:val="auto"/>
                <w:kern w:val="0"/>
                <w:sz w:val="24"/>
                <w:szCs w:val="24"/>
                <w:lang w:val="en-US" w:eastAsia="en-US" w:bidi="ar-SA"/>
              </w:rPr>
              <w:t>训练五：舞步与舞姿训练</w:t>
            </w:r>
            <w:r>
              <w:rPr>
                <w:rFonts w:hint="eastAsia" w:ascii="仿宋" w:eastAsia="仿宋" w:cs="仿宋"/>
                <w:b w:val="0"/>
                <w:bCs w:val="0"/>
                <w:color w:val="auto"/>
                <w:kern w:val="0"/>
                <w:sz w:val="24"/>
                <w:szCs w:val="24"/>
                <w:lang w:val="en-US" w:eastAsia="zh-CN" w:bidi="ar-SA"/>
              </w:rPr>
              <w:t>（第二学期）</w:t>
            </w:r>
          </w:p>
          <w:p w14:paraId="46FA3C41">
            <w:pPr>
              <w:keepNext w:val="0"/>
              <w:keepLines w:val="0"/>
              <w:pageBreakBefore w:val="0"/>
              <w:widowControl w:val="0"/>
              <w:kinsoku/>
              <w:wordWrap/>
              <w:overflowPunct/>
              <w:topLinePunct w:val="0"/>
              <w:bidi w:val="0"/>
              <w:adjustRightInd w:val="0"/>
              <w:snapToGrid w:val="0"/>
              <w:spacing w:line="240" w:lineRule="auto"/>
              <w:ind w:left="1200" w:hanging="1200" w:hangingChars="500"/>
              <w:rPr>
                <w:rFonts w:hint="eastAsia" w:ascii="仿宋" w:eastAsia="仿宋" w:cs="仿宋"/>
                <w:color w:val="auto"/>
                <w:kern w:val="0"/>
                <w:sz w:val="24"/>
                <w:szCs w:val="24"/>
                <w:lang w:val="en-US" w:eastAsia="en-US" w:bidi="ar-SA"/>
              </w:rPr>
            </w:pPr>
            <w:r>
              <w:rPr>
                <w:rFonts w:hint="eastAsia" w:ascii="仿宋" w:eastAsia="仿宋" w:cs="仿宋"/>
                <w:color w:val="auto"/>
                <w:kern w:val="0"/>
                <w:sz w:val="24"/>
                <w:szCs w:val="24"/>
                <w:lang w:val="en-US" w:eastAsia="en-US" w:bidi="ar-SA"/>
              </w:rPr>
              <w:t>实训目的：通过舞姿训练，训练身体协调性与美感。</w:t>
            </w:r>
          </w:p>
          <w:p w14:paraId="3E7570D2">
            <w:pPr>
              <w:keepNext w:val="0"/>
              <w:keepLines w:val="0"/>
              <w:pageBreakBefore w:val="0"/>
              <w:widowControl w:val="0"/>
              <w:kinsoku/>
              <w:wordWrap/>
              <w:overflowPunct/>
              <w:topLinePunct w:val="0"/>
              <w:bidi w:val="0"/>
              <w:adjustRightInd w:val="0"/>
              <w:snapToGrid w:val="0"/>
              <w:spacing w:line="240" w:lineRule="auto"/>
              <w:ind w:left="1200" w:hanging="1200" w:hangingChars="500"/>
              <w:rPr>
                <w:rFonts w:hint="eastAsia" w:ascii="仿宋" w:eastAsia="仿宋" w:cs="仿宋"/>
                <w:color w:val="auto"/>
                <w:kern w:val="0"/>
                <w:sz w:val="24"/>
                <w:szCs w:val="24"/>
                <w:lang w:val="en-US" w:eastAsia="en-US" w:bidi="ar-SA"/>
              </w:rPr>
            </w:pPr>
            <w:r>
              <w:rPr>
                <w:rFonts w:hint="eastAsia" w:ascii="仿宋" w:eastAsia="仿宋" w:cs="仿宋"/>
                <w:color w:val="auto"/>
                <w:kern w:val="0"/>
                <w:sz w:val="24"/>
                <w:szCs w:val="24"/>
                <w:lang w:val="en-US" w:eastAsia="en-US" w:bidi="ar-SA"/>
              </w:rPr>
              <w:t>实训任务：1.了解舞步与舞姿的基本做法以及注意要点。</w:t>
            </w:r>
          </w:p>
          <w:p w14:paraId="2443BEC0">
            <w:pPr>
              <w:keepNext w:val="0"/>
              <w:keepLines w:val="0"/>
              <w:pageBreakBefore w:val="0"/>
              <w:widowControl w:val="0"/>
              <w:kinsoku/>
              <w:wordWrap/>
              <w:overflowPunct/>
              <w:topLinePunct w:val="0"/>
              <w:bidi w:val="0"/>
              <w:adjustRightInd w:val="0"/>
              <w:snapToGrid w:val="0"/>
              <w:spacing w:line="240" w:lineRule="auto"/>
              <w:ind w:left="1200" w:hanging="1200" w:hangingChars="500"/>
              <w:rPr>
                <w:rFonts w:hint="eastAsia" w:ascii="仿宋" w:eastAsia="仿宋" w:cs="仿宋"/>
                <w:color w:val="auto"/>
                <w:kern w:val="0"/>
                <w:sz w:val="24"/>
                <w:szCs w:val="24"/>
                <w:lang w:val="en-US" w:eastAsia="en-US" w:bidi="ar-SA"/>
              </w:rPr>
            </w:pPr>
            <w:r>
              <w:rPr>
                <w:rFonts w:hint="eastAsia" w:ascii="仿宋" w:eastAsia="仿宋" w:cs="仿宋"/>
                <w:color w:val="auto"/>
                <w:kern w:val="0"/>
                <w:sz w:val="24"/>
                <w:szCs w:val="24"/>
                <w:lang w:val="en-US" w:eastAsia="en-US" w:bidi="ar-SA"/>
              </w:rPr>
              <w:t xml:space="preserve">          2.掌握舞步舞姿的规范到位，动作舒展并坚定信心、刻苦练习。</w:t>
            </w:r>
          </w:p>
          <w:p w14:paraId="4C9E628F">
            <w:pPr>
              <w:keepNext w:val="0"/>
              <w:keepLines w:val="0"/>
              <w:pageBreakBefore w:val="0"/>
              <w:widowControl w:val="0"/>
              <w:kinsoku/>
              <w:wordWrap/>
              <w:overflowPunct/>
              <w:topLinePunct w:val="0"/>
              <w:bidi w:val="0"/>
              <w:adjustRightInd w:val="0"/>
              <w:snapToGrid w:val="0"/>
              <w:spacing w:line="240" w:lineRule="auto"/>
              <w:ind w:left="1197" w:leftChars="570" w:firstLine="0" w:firstLineChars="0"/>
              <w:rPr>
                <w:rFonts w:hint="eastAsia" w:ascii="仿宋" w:eastAsia="仿宋" w:cs="仿宋"/>
                <w:color w:val="auto"/>
                <w:kern w:val="0"/>
                <w:sz w:val="24"/>
                <w:szCs w:val="24"/>
                <w:lang w:val="en-US" w:eastAsia="en-US" w:bidi="ar-SA"/>
              </w:rPr>
            </w:pPr>
            <w:r>
              <w:rPr>
                <w:rFonts w:hint="eastAsia" w:ascii="仿宋" w:eastAsia="仿宋" w:cs="仿宋"/>
                <w:color w:val="auto"/>
                <w:kern w:val="0"/>
                <w:sz w:val="24"/>
                <w:szCs w:val="24"/>
                <w:lang w:val="en-US" w:eastAsia="en-US" w:bidi="ar-SA"/>
              </w:rPr>
              <w:t>3.初步达到舞步轻盈、舞姿优美的</w:t>
            </w:r>
          </w:p>
          <w:p w14:paraId="4101F4B0">
            <w:pPr>
              <w:keepNext w:val="0"/>
              <w:keepLines w:val="0"/>
              <w:pageBreakBefore w:val="0"/>
              <w:widowControl w:val="0"/>
              <w:kinsoku/>
              <w:wordWrap/>
              <w:overflowPunct/>
              <w:topLinePunct w:val="0"/>
              <w:bidi w:val="0"/>
              <w:adjustRightInd w:val="0"/>
              <w:snapToGrid w:val="0"/>
              <w:spacing w:line="240" w:lineRule="auto"/>
              <w:ind w:left="1197" w:leftChars="570" w:firstLine="0" w:firstLineChars="0"/>
              <w:rPr>
                <w:rFonts w:hint="eastAsia" w:ascii="仿宋" w:eastAsia="仿宋" w:cs="仿宋"/>
                <w:color w:val="auto"/>
                <w:kern w:val="0"/>
                <w:sz w:val="24"/>
                <w:szCs w:val="24"/>
                <w:lang w:val="en-US" w:eastAsia="en-US" w:bidi="ar-SA"/>
              </w:rPr>
            </w:pPr>
            <w:r>
              <w:rPr>
                <w:rFonts w:hint="eastAsia" w:ascii="仿宋" w:eastAsia="仿宋" w:cs="仿宋"/>
                <w:color w:val="auto"/>
                <w:kern w:val="0"/>
                <w:sz w:val="24"/>
                <w:szCs w:val="24"/>
                <w:lang w:val="en-US" w:eastAsia="en-US" w:bidi="ar-SA"/>
              </w:rPr>
              <w:t>训练要求。</w:t>
            </w:r>
          </w:p>
          <w:p w14:paraId="13147D80">
            <w:pPr>
              <w:keepNext w:val="0"/>
              <w:keepLines w:val="0"/>
              <w:pageBreakBefore w:val="0"/>
              <w:widowControl w:val="0"/>
              <w:kinsoku/>
              <w:wordWrap/>
              <w:overflowPunct/>
              <w:topLinePunct w:val="0"/>
              <w:bidi w:val="0"/>
              <w:adjustRightInd w:val="0"/>
              <w:snapToGrid w:val="0"/>
              <w:spacing w:line="240" w:lineRule="auto"/>
              <w:ind w:left="1200" w:hanging="1200" w:hangingChars="500"/>
              <w:rPr>
                <w:rFonts w:hint="default" w:ascii="仿宋" w:eastAsia="仿宋" w:cs="仿宋"/>
                <w:color w:val="auto"/>
                <w:kern w:val="0"/>
                <w:sz w:val="24"/>
                <w:szCs w:val="24"/>
                <w:lang w:val="en-US" w:eastAsia="en-US" w:bidi="ar-SA"/>
              </w:rPr>
            </w:pPr>
            <w:r>
              <w:rPr>
                <w:rFonts w:hint="eastAsia" w:ascii="仿宋" w:eastAsia="仿宋" w:cs="仿宋"/>
                <w:color w:val="auto"/>
                <w:kern w:val="0"/>
                <w:sz w:val="24"/>
                <w:szCs w:val="24"/>
                <w:lang w:val="en-US" w:eastAsia="zh-CN" w:bidi="ar-SA"/>
              </w:rPr>
              <w:t>思政融入：树立正确的艺术观，培养传承中国优秀传统舞蹈的自觉性，提升文化自信。</w:t>
            </w:r>
          </w:p>
        </w:tc>
        <w:tc>
          <w:tcPr>
            <w:tcW w:w="779"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25D61DDE">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bCs/>
                <w:color w:val="auto"/>
                <w:sz w:val="24"/>
                <w:szCs w:val="24"/>
                <w:lang w:bidi="ar-SA"/>
              </w:rPr>
            </w:pPr>
            <w:r>
              <w:rPr>
                <w:rFonts w:hint="eastAsia" w:ascii="仿宋" w:eastAsia="仿宋" w:cs="仿宋"/>
                <w:bCs/>
                <w:color w:val="auto"/>
                <w:sz w:val="24"/>
                <w:szCs w:val="24"/>
                <w:lang w:bidi="ar-SA"/>
              </w:rPr>
              <w:t>支撑课程目标1、2、3</w:t>
            </w:r>
          </w:p>
        </w:tc>
        <w:tc>
          <w:tcPr>
            <w:tcW w:w="554"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55D0F068">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bCs/>
                <w:color w:val="auto"/>
                <w:sz w:val="24"/>
                <w:szCs w:val="24"/>
                <w:lang w:bidi="ar-SA"/>
              </w:rPr>
            </w:pPr>
            <w:r>
              <w:rPr>
                <w:rFonts w:hint="eastAsia" w:ascii="仿宋" w:eastAsia="仿宋" w:cs="仿宋"/>
                <w:bCs/>
                <w:color w:val="auto"/>
                <w:sz w:val="24"/>
                <w:szCs w:val="24"/>
                <w:lang w:bidi="ar-SA"/>
              </w:rPr>
              <w:t>8</w:t>
            </w:r>
          </w:p>
        </w:tc>
      </w:tr>
      <w:tr w14:paraId="41E93417">
        <w:trPr>
          <w:trHeight w:val="0" w:hRule="atLeast"/>
        </w:trPr>
        <w:tc>
          <w:tcPr>
            <w:tcW w:w="1375"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14:paraId="124DF781">
            <w:pPr>
              <w:pageBreakBefore w:val="0"/>
              <w:kinsoku/>
              <w:overflowPunct/>
              <w:topLinePunct w:val="0"/>
              <w:bidi w:val="0"/>
              <w:spacing w:line="240" w:lineRule="auto"/>
            </w:pPr>
          </w:p>
        </w:tc>
        <w:tc>
          <w:tcPr>
            <w:tcW w:w="7214" w:type="dxa"/>
            <w:gridSpan w:val="13"/>
            <w:tcBorders>
              <w:top w:val="single" w:color="auto" w:sz="4" w:space="0"/>
              <w:left w:val="single" w:color="auto" w:sz="4" w:space="0"/>
              <w:bottom w:val="single" w:color="auto" w:sz="4" w:space="0"/>
              <w:right w:val="single" w:color="auto" w:sz="4" w:space="0"/>
            </w:tcBorders>
            <w:shd w:val="clear" w:color="auto" w:fill="auto"/>
            <w:noWrap/>
            <w:vAlign w:val="center"/>
          </w:tcPr>
          <w:p w14:paraId="3647C75D">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bCs/>
                <w:color w:val="auto"/>
                <w:sz w:val="24"/>
                <w:szCs w:val="24"/>
                <w:lang w:bidi="ar-SA"/>
              </w:rPr>
            </w:pPr>
            <w:r>
              <w:rPr>
                <w:rFonts w:hint="eastAsia" w:ascii="仿宋" w:eastAsia="仿宋" w:cs="仿宋"/>
                <w:bCs/>
                <w:color w:val="auto"/>
                <w:sz w:val="24"/>
                <w:szCs w:val="24"/>
                <w:lang w:bidi="ar-SA"/>
              </w:rPr>
              <w:t>合计</w:t>
            </w:r>
          </w:p>
        </w:tc>
        <w:tc>
          <w:tcPr>
            <w:tcW w:w="554"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563441D1">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color w:val="auto"/>
                <w:sz w:val="24"/>
                <w:szCs w:val="24"/>
                <w:lang w:bidi="ar-SA"/>
              </w:rPr>
            </w:pPr>
            <w:r>
              <w:rPr>
                <w:rFonts w:hint="eastAsia" w:ascii="仿宋" w:eastAsia="仿宋" w:cs="仿宋"/>
                <w:color w:val="auto"/>
                <w:sz w:val="24"/>
                <w:szCs w:val="24"/>
                <w:lang w:bidi="ar-SA"/>
              </w:rPr>
              <w:t>64</w:t>
            </w:r>
          </w:p>
        </w:tc>
      </w:tr>
      <w:tr w14:paraId="4D1E9757">
        <w:trPr>
          <w:trHeight w:val="0" w:hRule="atLeast"/>
        </w:trPr>
        <w:tc>
          <w:tcPr>
            <w:tcW w:w="1375" w:type="dxa"/>
            <w:tcBorders>
              <w:top w:val="single" w:color="auto" w:sz="4" w:space="0"/>
              <w:left w:val="single" w:color="auto" w:sz="4" w:space="0"/>
              <w:bottom w:val="single" w:color="auto" w:sz="4" w:space="0"/>
              <w:right w:val="single" w:color="auto" w:sz="4" w:space="0"/>
            </w:tcBorders>
            <w:noWrap/>
            <w:vAlign w:val="center"/>
          </w:tcPr>
          <w:p w14:paraId="606070AA">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I</w:t>
            </w:r>
          </w:p>
          <w:p w14:paraId="62DE7234">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eastAsia="zh-TW" w:bidi="ar-SA"/>
              </w:rPr>
            </w:pPr>
            <w:r>
              <w:rPr>
                <w:rFonts w:hint="eastAsia" w:ascii="仿宋" w:eastAsia="仿宋" w:cs="仿宋"/>
                <w:sz w:val="24"/>
                <w:szCs w:val="24"/>
                <w:lang w:bidi="ar-SA"/>
              </w:rPr>
              <w:t>教学方法与教学方式</w:t>
            </w:r>
          </w:p>
        </w:tc>
        <w:tc>
          <w:tcPr>
            <w:tcW w:w="7768" w:type="dxa"/>
            <w:gridSpan w:val="14"/>
            <w:tcBorders>
              <w:top w:val="single" w:color="auto" w:sz="4" w:space="0"/>
              <w:left w:val="single" w:color="auto" w:sz="4" w:space="0"/>
              <w:bottom w:val="single" w:color="auto" w:sz="4" w:space="0"/>
              <w:right w:val="single" w:color="auto" w:sz="4" w:space="0"/>
            </w:tcBorders>
            <w:noWrap/>
            <w:vAlign w:val="center"/>
          </w:tcPr>
          <w:p w14:paraId="0B8C1287">
            <w:pPr>
              <w:keepNext w:val="0"/>
              <w:keepLines w:val="0"/>
              <w:pageBreakBefore w:val="0"/>
              <w:widowControl w:val="0"/>
              <w:kinsoku/>
              <w:wordWrap/>
              <w:overflowPunct/>
              <w:topLinePunct w:val="0"/>
              <w:bidi w:val="0"/>
              <w:adjustRightInd w:val="0"/>
              <w:snapToGrid w:val="0"/>
              <w:spacing w:line="240" w:lineRule="auto"/>
              <w:rPr>
                <w:rFonts w:hint="eastAsia" w:ascii="仿宋" w:eastAsia="仿宋" w:cs="仿宋"/>
                <w:sz w:val="24"/>
                <w:szCs w:val="24"/>
                <w:lang w:bidi="ar-SA"/>
              </w:rPr>
            </w:pPr>
            <w:r>
              <w:rPr>
                <w:rFonts w:hint="eastAsia" w:ascii="仿宋" w:eastAsia="仿宋" w:cs="仿宋"/>
                <w:sz w:val="24"/>
                <w:szCs w:val="24"/>
                <w:lang w:bidi="ar-SA"/>
              </w:rPr>
              <w:t>1.示范教学法，在课堂上进行动作示范，让学生模仿练习</w:t>
            </w:r>
          </w:p>
          <w:p w14:paraId="02858C01">
            <w:pPr>
              <w:keepNext w:val="0"/>
              <w:keepLines w:val="0"/>
              <w:pageBreakBefore w:val="0"/>
              <w:widowControl w:val="0"/>
              <w:kinsoku/>
              <w:wordWrap/>
              <w:overflowPunct/>
              <w:topLinePunct w:val="0"/>
              <w:bidi w:val="0"/>
              <w:adjustRightInd w:val="0"/>
              <w:snapToGrid w:val="0"/>
              <w:spacing w:line="240" w:lineRule="auto"/>
              <w:rPr>
                <w:rFonts w:hint="eastAsia" w:ascii="仿宋" w:eastAsia="仿宋" w:cs="仿宋"/>
                <w:sz w:val="24"/>
                <w:szCs w:val="24"/>
                <w:lang w:bidi="ar-SA"/>
              </w:rPr>
            </w:pPr>
            <w:r>
              <w:rPr>
                <w:rFonts w:hint="eastAsia" w:ascii="仿宋" w:eastAsia="仿宋" w:cs="仿宋"/>
                <w:sz w:val="24"/>
                <w:szCs w:val="24"/>
                <w:lang w:bidi="ar-SA"/>
              </w:rPr>
              <w:t>2.分析教学法，通过课堂对动作进行分解分析，加上讨论纠错等方式，引导学生发现问题解决问题。</w:t>
            </w:r>
          </w:p>
          <w:p w14:paraId="12186CDF">
            <w:pPr>
              <w:keepNext w:val="0"/>
              <w:keepLines w:val="0"/>
              <w:pageBreakBefore w:val="0"/>
              <w:widowControl w:val="0"/>
              <w:kinsoku/>
              <w:wordWrap/>
              <w:overflowPunct/>
              <w:topLinePunct w:val="0"/>
              <w:bidi w:val="0"/>
              <w:adjustRightInd w:val="0"/>
              <w:snapToGrid w:val="0"/>
              <w:spacing w:line="240" w:lineRule="auto"/>
              <w:rPr>
                <w:rFonts w:hint="eastAsia" w:ascii="仿宋" w:eastAsia="仿宋" w:cs="仿宋"/>
                <w:sz w:val="24"/>
                <w:szCs w:val="24"/>
                <w:lang w:bidi="ar-SA"/>
              </w:rPr>
            </w:pPr>
            <w:r>
              <w:rPr>
                <w:rFonts w:hint="eastAsia" w:ascii="仿宋" w:eastAsia="仿宋" w:cs="仿宋"/>
                <w:sz w:val="24"/>
                <w:szCs w:val="24"/>
                <w:lang w:bidi="ar-SA"/>
              </w:rPr>
              <w:t>3.开通网络课堂，达到与学生及时沟通、交流的目的。同时重视师生互动与小组活动，将课堂教学变为师生共同活动的过程。</w:t>
            </w:r>
          </w:p>
          <w:p w14:paraId="1841B8FD">
            <w:pPr>
              <w:keepNext w:val="0"/>
              <w:keepLines w:val="0"/>
              <w:pageBreakBefore w:val="0"/>
              <w:widowControl w:val="0"/>
              <w:kinsoku/>
              <w:wordWrap/>
              <w:overflowPunct/>
              <w:topLinePunct w:val="0"/>
              <w:bidi w:val="0"/>
              <w:adjustRightInd w:val="0"/>
              <w:snapToGrid w:val="0"/>
              <w:spacing w:line="240" w:lineRule="auto"/>
              <w:ind w:firstLine="0"/>
              <w:rPr>
                <w:rFonts w:hint="eastAsia" w:ascii="仿宋" w:eastAsia="仿宋" w:cs="仿宋"/>
                <w:sz w:val="24"/>
                <w:szCs w:val="24"/>
                <w:lang w:bidi="ar-SA"/>
              </w:rPr>
            </w:pPr>
            <w:r>
              <w:rPr>
                <w:rFonts w:hint="eastAsia" w:ascii="仿宋" w:eastAsia="仿宋" w:cs="仿宋"/>
                <w:sz w:val="24"/>
                <w:szCs w:val="24"/>
                <w:lang w:bidi="ar-SA"/>
              </w:rPr>
              <w:t>4.主要方式：</w:t>
            </w:r>
          </w:p>
          <w:p w14:paraId="2FF4278E">
            <w:pPr>
              <w:keepNext w:val="0"/>
              <w:keepLines w:val="0"/>
              <w:pageBreakBefore w:val="0"/>
              <w:widowControl w:val="0"/>
              <w:kinsoku/>
              <w:wordWrap/>
              <w:overflowPunct/>
              <w:topLinePunct w:val="0"/>
              <w:bidi w:val="0"/>
              <w:adjustRightInd w:val="0"/>
              <w:snapToGrid w:val="0"/>
              <w:spacing w:line="240" w:lineRule="auto"/>
              <w:ind w:left="0"/>
              <w:rPr>
                <w:rFonts w:hint="eastAsia" w:ascii="仿宋" w:eastAsia="仿宋" w:cs="仿宋"/>
                <w:sz w:val="24"/>
                <w:szCs w:val="24"/>
                <w:lang w:bidi="ar-SA"/>
              </w:rPr>
            </w:pPr>
            <w:r>
              <w:rPr>
                <w:rFonts w:ascii="仿宋" w:eastAsia="仿宋" w:cs="仿宋"/>
                <w:sz w:val="24"/>
                <w:szCs w:val="24"/>
                <w:lang w:bidi="ar-SA"/>
              </w:rPr>
              <w:sym w:font="Wingdings" w:char="00FE"/>
            </w:r>
            <w:r>
              <w:rPr>
                <w:rFonts w:hint="eastAsia" w:ascii="仿宋" w:eastAsia="仿宋" w:cs="仿宋"/>
                <w:sz w:val="24"/>
                <w:szCs w:val="24"/>
                <w:lang w:bidi="ar-SA"/>
              </w:rPr>
              <w:t xml:space="preserve">讲授  </w:t>
            </w:r>
            <w:r>
              <w:rPr>
                <w:rFonts w:ascii="仿宋" w:eastAsia="仿宋" w:cs="仿宋"/>
                <w:sz w:val="24"/>
                <w:szCs w:val="24"/>
                <w:lang w:bidi="ar-SA"/>
              </w:rPr>
              <w:sym w:font="Wingdings" w:char="00FE"/>
            </w:r>
            <w:r>
              <w:rPr>
                <w:rFonts w:hint="eastAsia" w:ascii="仿宋" w:eastAsia="仿宋" w:cs="仿宋"/>
                <w:sz w:val="24"/>
                <w:szCs w:val="24"/>
                <w:lang w:bidi="ar-SA"/>
              </w:rPr>
              <w:t xml:space="preserve">网络学习  </w:t>
            </w:r>
            <w:r>
              <w:rPr>
                <w:rFonts w:ascii="仿宋" w:eastAsia="仿宋" w:cs="仿宋"/>
                <w:sz w:val="24"/>
                <w:szCs w:val="24"/>
                <w:lang w:bidi="ar-SA"/>
              </w:rPr>
              <w:sym w:font="Wingdings" w:char="00FE"/>
            </w:r>
            <w:r>
              <w:rPr>
                <w:rFonts w:hint="eastAsia" w:ascii="仿宋" w:eastAsia="仿宋" w:cs="仿宋"/>
                <w:sz w:val="24"/>
                <w:szCs w:val="24"/>
                <w:lang w:bidi="ar-SA"/>
              </w:rPr>
              <w:t xml:space="preserve">讨论或座谈  </w:t>
            </w:r>
            <w:r>
              <w:rPr>
                <w:rFonts w:ascii="仿宋" w:eastAsia="仿宋" w:cs="仿宋"/>
                <w:sz w:val="24"/>
                <w:szCs w:val="24"/>
                <w:lang w:bidi="ar-SA"/>
              </w:rPr>
              <w:sym w:font="Wingdings" w:char="00A8"/>
            </w:r>
            <w:r>
              <w:rPr>
                <w:rFonts w:hint="eastAsia" w:ascii="仿宋" w:eastAsia="仿宋" w:cs="仿宋"/>
                <w:sz w:val="24"/>
                <w:szCs w:val="24"/>
                <w:lang w:bidi="ar-SA"/>
              </w:rPr>
              <w:t xml:space="preserve">问题导向学  </w:t>
            </w:r>
          </w:p>
          <w:p w14:paraId="3EF97D48">
            <w:pPr>
              <w:keepNext w:val="0"/>
              <w:keepLines w:val="0"/>
              <w:pageBreakBefore w:val="0"/>
              <w:widowControl w:val="0"/>
              <w:kinsoku/>
              <w:wordWrap/>
              <w:overflowPunct/>
              <w:topLinePunct w:val="0"/>
              <w:bidi w:val="0"/>
              <w:adjustRightInd w:val="0"/>
              <w:snapToGrid w:val="0"/>
              <w:spacing w:line="240" w:lineRule="auto"/>
              <w:ind w:left="0"/>
              <w:rPr>
                <w:rFonts w:hint="eastAsia" w:ascii="仿宋" w:eastAsia="仿宋" w:cs="仿宋"/>
                <w:sz w:val="24"/>
                <w:szCs w:val="24"/>
                <w:lang w:bidi="ar-SA"/>
              </w:rPr>
            </w:pPr>
            <w:r>
              <w:rPr>
                <w:rFonts w:ascii="仿宋" w:eastAsia="仿宋" w:cs="仿宋"/>
                <w:sz w:val="24"/>
                <w:szCs w:val="24"/>
                <w:lang w:bidi="ar-SA"/>
              </w:rPr>
              <w:sym w:font="Wingdings" w:char="00FE"/>
            </w:r>
            <w:r>
              <w:rPr>
                <w:rFonts w:hint="eastAsia" w:ascii="仿宋" w:eastAsia="仿宋" w:cs="仿宋"/>
                <w:sz w:val="24"/>
                <w:szCs w:val="24"/>
                <w:lang w:bidi="ar-SA"/>
              </w:rPr>
              <w:t xml:space="preserve">分组合作学习  </w:t>
            </w:r>
            <w:r>
              <w:rPr>
                <w:rFonts w:ascii="仿宋" w:eastAsia="仿宋" w:cs="仿宋"/>
                <w:sz w:val="24"/>
                <w:szCs w:val="24"/>
                <w:lang w:bidi="ar-SA"/>
              </w:rPr>
              <w:sym w:font="Wingdings" w:char="00A8"/>
            </w:r>
            <w:r>
              <w:rPr>
                <w:rFonts w:hint="eastAsia" w:ascii="仿宋" w:eastAsia="仿宋" w:cs="仿宋"/>
                <w:sz w:val="24"/>
                <w:szCs w:val="24"/>
                <w:lang w:bidi="ar-SA"/>
              </w:rPr>
              <w:t xml:space="preserve">专题学习  </w:t>
            </w:r>
            <w:r>
              <w:rPr>
                <w:rFonts w:ascii="仿宋" w:eastAsia="仿宋" w:cs="仿宋"/>
                <w:sz w:val="24"/>
                <w:szCs w:val="24"/>
                <w:lang w:bidi="ar-SA"/>
              </w:rPr>
              <w:sym w:font="Wingdings" w:char="00FE"/>
            </w:r>
            <w:r>
              <w:rPr>
                <w:rFonts w:hint="eastAsia" w:ascii="仿宋" w:eastAsia="仿宋" w:cs="仿宋"/>
                <w:sz w:val="24"/>
                <w:szCs w:val="24"/>
                <w:lang w:bidi="ar-SA"/>
              </w:rPr>
              <w:t xml:space="preserve">实作学习  </w:t>
            </w:r>
            <w:r>
              <w:rPr>
                <w:rFonts w:ascii="仿宋" w:eastAsia="仿宋" w:cs="仿宋"/>
                <w:sz w:val="24"/>
                <w:szCs w:val="24"/>
                <w:lang w:bidi="ar-SA"/>
              </w:rPr>
              <w:sym w:font="Wingdings" w:char="00A8"/>
            </w:r>
            <w:r>
              <w:rPr>
                <w:rFonts w:hint="eastAsia" w:ascii="仿宋" w:eastAsia="仿宋" w:cs="仿宋"/>
                <w:sz w:val="24"/>
                <w:szCs w:val="24"/>
                <w:lang w:bidi="ar-SA"/>
              </w:rPr>
              <w:t xml:space="preserve">发表学习  </w:t>
            </w:r>
          </w:p>
          <w:p w14:paraId="31169A9D">
            <w:pPr>
              <w:keepNext w:val="0"/>
              <w:keepLines w:val="0"/>
              <w:pageBreakBefore w:val="0"/>
              <w:widowControl w:val="0"/>
              <w:kinsoku/>
              <w:wordWrap/>
              <w:overflowPunct/>
              <w:topLinePunct w:val="0"/>
              <w:bidi w:val="0"/>
              <w:adjustRightInd w:val="0"/>
              <w:snapToGrid w:val="0"/>
              <w:spacing w:line="240" w:lineRule="auto"/>
              <w:ind w:left="0"/>
              <w:rPr>
                <w:rFonts w:hint="eastAsia" w:ascii="仿宋" w:eastAsia="仿宋" w:cs="仿宋"/>
                <w:sz w:val="24"/>
                <w:szCs w:val="24"/>
                <w:lang w:bidi="ar-SA"/>
              </w:rPr>
            </w:pPr>
            <w:r>
              <w:rPr>
                <w:rFonts w:ascii="仿宋" w:eastAsia="仿宋" w:cs="仿宋"/>
                <w:sz w:val="24"/>
                <w:szCs w:val="24"/>
                <w:lang w:bidi="ar-SA"/>
              </w:rPr>
              <w:sym w:font="Wingdings" w:char="00A8"/>
            </w:r>
            <w:r>
              <w:rPr>
                <w:rFonts w:hint="eastAsia" w:ascii="仿宋" w:eastAsia="仿宋" w:cs="仿宋"/>
                <w:sz w:val="24"/>
                <w:szCs w:val="24"/>
                <w:lang w:bidi="ar-SA"/>
              </w:rPr>
              <w:t xml:space="preserve">实习  </w:t>
            </w:r>
            <w:r>
              <w:rPr>
                <w:rFonts w:ascii="仿宋" w:eastAsia="仿宋" w:cs="仿宋"/>
                <w:sz w:val="24"/>
                <w:szCs w:val="24"/>
                <w:lang w:bidi="ar-SA"/>
              </w:rPr>
              <w:sym w:font="Wingdings" w:char="00A8"/>
            </w:r>
            <w:r>
              <w:rPr>
                <w:rFonts w:hint="eastAsia" w:ascii="仿宋" w:eastAsia="仿宋" w:cs="仿宋"/>
                <w:sz w:val="24"/>
                <w:szCs w:val="24"/>
                <w:lang w:bidi="ar-SA"/>
              </w:rPr>
              <w:t xml:space="preserve">参观访问  </w:t>
            </w:r>
            <w:r>
              <w:rPr>
                <w:rFonts w:ascii="仿宋" w:eastAsia="仿宋" w:cs="仿宋"/>
                <w:sz w:val="24"/>
                <w:szCs w:val="24"/>
                <w:lang w:bidi="ar-SA"/>
              </w:rPr>
              <w:sym w:font="Wingdings" w:char="00A8"/>
            </w:r>
            <w:r>
              <w:rPr>
                <w:rFonts w:hint="eastAsia" w:ascii="仿宋" w:eastAsia="仿宋" w:cs="仿宋"/>
                <w:sz w:val="24"/>
                <w:szCs w:val="24"/>
                <w:lang w:bidi="ar-SA"/>
              </w:rPr>
              <w:t>其它：</w:t>
            </w:r>
            <w:r>
              <w:rPr>
                <w:rFonts w:hint="eastAsia" w:ascii="仿宋" w:eastAsia="仿宋" w:cs="仿宋"/>
                <w:sz w:val="24"/>
                <w:szCs w:val="24"/>
                <w:u w:val="single"/>
                <w:lang w:bidi="ar-SA"/>
              </w:rPr>
              <w:t xml:space="preserve">        </w:t>
            </w:r>
            <w:r>
              <w:rPr>
                <w:rFonts w:hint="eastAsia" w:ascii="仿宋" w:eastAsia="仿宋" w:cs="仿宋"/>
                <w:sz w:val="24"/>
                <w:szCs w:val="24"/>
                <w:lang w:bidi="ar-SA"/>
              </w:rPr>
              <w:t>(如口头训练等)</w:t>
            </w:r>
          </w:p>
        </w:tc>
      </w:tr>
      <w:tr w14:paraId="7F92AB04">
        <w:trPr>
          <w:trHeight w:val="0" w:hRule="atLeast"/>
        </w:trPr>
        <w:tc>
          <w:tcPr>
            <w:tcW w:w="1375" w:type="dxa"/>
            <w:tcBorders>
              <w:top w:val="single" w:color="auto" w:sz="4" w:space="0"/>
              <w:left w:val="single" w:color="auto" w:sz="4" w:space="0"/>
              <w:bottom w:val="single" w:color="auto" w:sz="4" w:space="0"/>
              <w:right w:val="single" w:color="auto" w:sz="4" w:space="0"/>
            </w:tcBorders>
            <w:noWrap/>
            <w:vAlign w:val="center"/>
          </w:tcPr>
          <w:p w14:paraId="39D4BC22">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J</w:t>
            </w:r>
          </w:p>
          <w:p w14:paraId="2924EA14">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教学条件</w:t>
            </w:r>
          </w:p>
          <w:p w14:paraId="3E7C5127">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需求</w:t>
            </w:r>
          </w:p>
        </w:tc>
        <w:tc>
          <w:tcPr>
            <w:tcW w:w="7768" w:type="dxa"/>
            <w:gridSpan w:val="14"/>
            <w:tcBorders>
              <w:top w:val="single" w:color="auto" w:sz="4" w:space="0"/>
              <w:left w:val="single" w:color="auto" w:sz="4" w:space="0"/>
              <w:bottom w:val="single" w:color="auto" w:sz="4" w:space="0"/>
              <w:right w:val="single" w:color="auto" w:sz="4" w:space="0"/>
            </w:tcBorders>
            <w:noWrap/>
            <w:vAlign w:val="center"/>
          </w:tcPr>
          <w:p w14:paraId="4B350075">
            <w:pPr>
              <w:keepNext w:val="0"/>
              <w:keepLines w:val="0"/>
              <w:pageBreakBefore w:val="0"/>
              <w:widowControl w:val="0"/>
              <w:tabs>
                <w:tab w:val="left" w:pos="720"/>
              </w:tabs>
              <w:kinsoku/>
              <w:wordWrap/>
              <w:overflowPunct/>
              <w:topLinePunct w:val="0"/>
              <w:bidi w:val="0"/>
              <w:adjustRightInd w:val="0"/>
              <w:snapToGrid w:val="0"/>
              <w:spacing w:line="240" w:lineRule="auto"/>
              <w:rPr>
                <w:rFonts w:hint="eastAsia" w:ascii="仿宋" w:eastAsia="仿宋" w:cs="仿宋"/>
                <w:sz w:val="24"/>
                <w:szCs w:val="24"/>
                <w:lang w:bidi="ar-SA"/>
              </w:rPr>
            </w:pPr>
            <w:r>
              <w:rPr>
                <w:rFonts w:hint="eastAsia" w:ascii="仿宋" w:eastAsia="仿宋" w:cs="仿宋"/>
                <w:sz w:val="24"/>
                <w:szCs w:val="24"/>
                <w:lang w:bidi="ar-SA"/>
              </w:rPr>
              <w:t>1、专业舞蹈教室</w:t>
            </w:r>
          </w:p>
          <w:p w14:paraId="294C6504">
            <w:pPr>
              <w:keepNext w:val="0"/>
              <w:keepLines w:val="0"/>
              <w:pageBreakBefore w:val="0"/>
              <w:widowControl w:val="0"/>
              <w:tabs>
                <w:tab w:val="left" w:pos="720"/>
              </w:tabs>
              <w:kinsoku/>
              <w:wordWrap/>
              <w:overflowPunct/>
              <w:topLinePunct w:val="0"/>
              <w:bidi w:val="0"/>
              <w:adjustRightInd w:val="0"/>
              <w:snapToGrid w:val="0"/>
              <w:spacing w:line="240" w:lineRule="auto"/>
              <w:rPr>
                <w:rFonts w:hint="eastAsia" w:ascii="仿宋" w:eastAsia="仿宋" w:cs="仿宋"/>
                <w:kern w:val="0"/>
                <w:sz w:val="24"/>
                <w:szCs w:val="24"/>
                <w:lang w:bidi="ar-SA"/>
              </w:rPr>
            </w:pPr>
            <w:r>
              <w:rPr>
                <w:rFonts w:hint="eastAsia" w:ascii="仿宋" w:eastAsia="仿宋" w:cs="仿宋"/>
                <w:kern w:val="0"/>
                <w:sz w:val="24"/>
                <w:szCs w:val="24"/>
                <w:lang w:bidi="ar-SA"/>
              </w:rPr>
              <w:t>2、专业教学多媒体音响</w:t>
            </w:r>
          </w:p>
        </w:tc>
      </w:tr>
      <w:tr w14:paraId="600BC2B4">
        <w:trPr>
          <w:trHeight w:val="0" w:hRule="atLeast"/>
        </w:trPr>
        <w:tc>
          <w:tcPr>
            <w:tcW w:w="1375" w:type="dxa"/>
            <w:vMerge w:val="restart"/>
            <w:tcBorders>
              <w:top w:val="single" w:color="auto" w:sz="4" w:space="0"/>
              <w:left w:val="single" w:color="auto" w:sz="4" w:space="0"/>
              <w:bottom w:val="single" w:color="auto" w:sz="4" w:space="0"/>
              <w:right w:val="single" w:color="auto" w:sz="4" w:space="0"/>
            </w:tcBorders>
            <w:noWrap/>
            <w:vAlign w:val="center"/>
          </w:tcPr>
          <w:p w14:paraId="5E2688E5">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K</w:t>
            </w:r>
          </w:p>
          <w:p w14:paraId="1D95D3FD">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课程目标及其考核内容、考核方式及评分占比</w:t>
            </w:r>
          </w:p>
        </w:tc>
        <w:tc>
          <w:tcPr>
            <w:tcW w:w="1216" w:type="dxa"/>
            <w:vMerge w:val="restart"/>
            <w:tcBorders>
              <w:top w:val="single" w:color="auto" w:sz="4" w:space="0"/>
              <w:left w:val="single" w:color="auto" w:sz="4" w:space="0"/>
              <w:bottom w:val="single" w:color="auto" w:sz="4" w:space="0"/>
              <w:right w:val="single" w:color="auto" w:sz="4" w:space="0"/>
            </w:tcBorders>
            <w:noWrap/>
            <w:vAlign w:val="center"/>
          </w:tcPr>
          <w:p w14:paraId="1E3C78A1">
            <w:pPr>
              <w:keepNext w:val="0"/>
              <w:keepLines w:val="0"/>
              <w:pageBreakBefore w:val="0"/>
              <w:widowControl w:val="0"/>
              <w:kinsoku/>
              <w:wordWrap/>
              <w:overflowPunct/>
              <w:topLinePunct w:val="0"/>
              <w:bidi w:val="0"/>
              <w:adjustRightInd w:val="0"/>
              <w:snapToGrid w:val="0"/>
              <w:spacing w:line="240" w:lineRule="auto"/>
              <w:rPr>
                <w:rFonts w:hint="eastAsia" w:ascii="仿宋" w:eastAsia="仿宋" w:cs="仿宋"/>
                <w:sz w:val="24"/>
                <w:szCs w:val="24"/>
                <w:lang w:bidi="ar-SA"/>
              </w:rPr>
            </w:pPr>
            <w:r>
              <w:rPr>
                <w:rFonts w:hint="eastAsia" w:ascii="仿宋" w:eastAsia="仿宋" w:cs="仿宋"/>
                <w:sz w:val="24"/>
                <w:szCs w:val="24"/>
                <w:lang w:bidi="ar-SA"/>
              </w:rPr>
              <w:t>课程目标及评分占比</w:t>
            </w:r>
          </w:p>
        </w:tc>
        <w:tc>
          <w:tcPr>
            <w:tcW w:w="3540" w:type="dxa"/>
            <w:gridSpan w:val="6"/>
            <w:vMerge w:val="restart"/>
            <w:tcBorders>
              <w:top w:val="single" w:color="auto" w:sz="4" w:space="0"/>
              <w:left w:val="single" w:color="auto" w:sz="4" w:space="0"/>
              <w:bottom w:val="single" w:color="auto" w:sz="4" w:space="0"/>
              <w:right w:val="single" w:color="000000" w:sz="4" w:space="0"/>
            </w:tcBorders>
            <w:noWrap/>
            <w:vAlign w:val="center"/>
          </w:tcPr>
          <w:p w14:paraId="3455B76E">
            <w:pPr>
              <w:keepNext w:val="0"/>
              <w:keepLines w:val="0"/>
              <w:pageBreakBefore w:val="0"/>
              <w:widowControl w:val="0"/>
              <w:tabs>
                <w:tab w:val="left" w:pos="720"/>
              </w:tabs>
              <w:kinsoku/>
              <w:wordWrap/>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考核内容</w:t>
            </w:r>
          </w:p>
        </w:tc>
        <w:tc>
          <w:tcPr>
            <w:tcW w:w="2422" w:type="dxa"/>
            <w:gridSpan w:val="5"/>
            <w:tcBorders>
              <w:top w:val="single" w:color="auto" w:sz="4" w:space="0"/>
              <w:left w:val="single" w:color="000000" w:sz="4" w:space="0"/>
              <w:bottom w:val="single" w:color="auto" w:sz="4" w:space="0"/>
              <w:right w:val="single" w:color="000000" w:sz="4" w:space="0"/>
            </w:tcBorders>
            <w:noWrap/>
            <w:vAlign w:val="center"/>
          </w:tcPr>
          <w:p w14:paraId="1A345C35">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考核方式</w:t>
            </w:r>
          </w:p>
        </w:tc>
        <w:tc>
          <w:tcPr>
            <w:tcW w:w="590" w:type="dxa"/>
            <w:gridSpan w:val="2"/>
            <w:vMerge w:val="restart"/>
            <w:tcBorders>
              <w:top w:val="single" w:color="auto" w:sz="4" w:space="0"/>
              <w:left w:val="single" w:color="000000" w:sz="4" w:space="0"/>
              <w:bottom w:val="single" w:color="auto" w:sz="4" w:space="0"/>
              <w:right w:val="single" w:color="auto" w:sz="4" w:space="0"/>
            </w:tcBorders>
            <w:noWrap/>
            <w:vAlign w:val="center"/>
          </w:tcPr>
          <w:p w14:paraId="461050FC">
            <w:pPr>
              <w:keepNext w:val="0"/>
              <w:keepLines w:val="0"/>
              <w:pageBreakBefore w:val="0"/>
              <w:widowControl w:val="0"/>
              <w:tabs>
                <w:tab w:val="left" w:pos="720"/>
              </w:tabs>
              <w:kinsoku/>
              <w:wordWrap/>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sz w:val="24"/>
                <w:szCs w:val="24"/>
                <w:lang w:bidi="ar-SA"/>
              </w:rPr>
              <w:t>课程分目标的达成度</w:t>
            </w:r>
          </w:p>
        </w:tc>
      </w:tr>
      <w:tr w14:paraId="6DD2F1DF">
        <w:trPr>
          <w:trHeight w:val="0" w:hRule="atLeast"/>
        </w:trPr>
        <w:tc>
          <w:tcPr>
            <w:tcW w:w="1375" w:type="dxa"/>
            <w:vMerge w:val="continue"/>
            <w:tcBorders>
              <w:top w:val="single" w:color="auto" w:sz="4" w:space="0"/>
              <w:left w:val="single" w:color="auto" w:sz="4" w:space="0"/>
              <w:bottom w:val="single" w:color="auto" w:sz="4" w:space="0"/>
              <w:right w:val="single" w:color="auto" w:sz="4" w:space="0"/>
            </w:tcBorders>
            <w:noWrap/>
            <w:vAlign w:val="center"/>
          </w:tcPr>
          <w:p w14:paraId="4D1DBCDB">
            <w:pPr>
              <w:pageBreakBefore w:val="0"/>
              <w:kinsoku/>
              <w:overflowPunct/>
              <w:topLinePunct w:val="0"/>
              <w:bidi w:val="0"/>
              <w:spacing w:line="240" w:lineRule="auto"/>
            </w:pPr>
          </w:p>
        </w:tc>
        <w:tc>
          <w:tcPr>
            <w:tcW w:w="1216" w:type="dxa"/>
            <w:vMerge w:val="continue"/>
            <w:tcBorders>
              <w:top w:val="single" w:color="auto" w:sz="4" w:space="0"/>
              <w:left w:val="single" w:color="auto" w:sz="4" w:space="0"/>
              <w:bottom w:val="single" w:color="auto" w:sz="4" w:space="0"/>
              <w:right w:val="single" w:color="auto" w:sz="4" w:space="0"/>
              <w:tl2br w:val="single" w:color="auto" w:sz="4" w:space="0"/>
            </w:tcBorders>
            <w:noWrap/>
            <w:vAlign w:val="center"/>
          </w:tcPr>
          <w:p w14:paraId="05C76088">
            <w:pPr>
              <w:pageBreakBefore w:val="0"/>
              <w:kinsoku/>
              <w:overflowPunct/>
              <w:topLinePunct w:val="0"/>
              <w:bidi w:val="0"/>
              <w:spacing w:line="240" w:lineRule="auto"/>
            </w:pPr>
          </w:p>
        </w:tc>
        <w:tc>
          <w:tcPr>
            <w:tcW w:w="3540" w:type="dxa"/>
            <w:gridSpan w:val="6"/>
            <w:vMerge w:val="continue"/>
            <w:tcBorders>
              <w:top w:val="single" w:color="auto" w:sz="4" w:space="0"/>
              <w:left w:val="single" w:color="auto" w:sz="4" w:space="0"/>
              <w:bottom w:val="single" w:color="auto" w:sz="4" w:space="0"/>
              <w:right w:val="single" w:color="000000" w:sz="4" w:space="0"/>
            </w:tcBorders>
            <w:noWrap/>
            <w:vAlign w:val="center"/>
          </w:tcPr>
          <w:p w14:paraId="089198DE">
            <w:pPr>
              <w:pageBreakBefore w:val="0"/>
              <w:kinsoku/>
              <w:overflowPunct/>
              <w:topLinePunct w:val="0"/>
              <w:bidi w:val="0"/>
              <w:spacing w:line="240" w:lineRule="auto"/>
            </w:pPr>
          </w:p>
        </w:tc>
        <w:tc>
          <w:tcPr>
            <w:tcW w:w="796" w:type="dxa"/>
            <w:tcBorders>
              <w:top w:val="single" w:color="auto" w:sz="4" w:space="0"/>
              <w:left w:val="single" w:color="000000" w:sz="4" w:space="0"/>
              <w:bottom w:val="single" w:color="auto" w:sz="4" w:space="0"/>
              <w:right w:val="single" w:color="auto" w:sz="4" w:space="0"/>
            </w:tcBorders>
            <w:noWrap/>
            <w:vAlign w:val="top"/>
          </w:tcPr>
          <w:p w14:paraId="3FD9B867">
            <w:pPr>
              <w:keepNext w:val="0"/>
              <w:keepLines w:val="0"/>
              <w:pageBreakBefore w:val="0"/>
              <w:widowControl w:val="0"/>
              <w:tabs>
                <w:tab w:val="left" w:pos="720"/>
              </w:tabs>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val="en-US" w:eastAsia="zh-CN" w:bidi="ar-SA"/>
              </w:rPr>
              <w:t>出勤率占</w:t>
            </w:r>
            <w:r>
              <w:rPr>
                <w:rFonts w:hint="eastAsia" w:ascii="仿宋" w:eastAsia="仿宋" w:cs="仿宋"/>
                <w:sz w:val="24"/>
                <w:szCs w:val="24"/>
                <w:lang w:bidi="ar-SA"/>
              </w:rPr>
              <w:t>比</w:t>
            </w:r>
            <w:r>
              <w:rPr>
                <w:rFonts w:hint="eastAsia" w:ascii="仿宋" w:eastAsia="仿宋" w:cs="仿宋"/>
                <w:szCs w:val="21"/>
                <w:lang w:bidi="ar-SA"/>
              </w:rPr>
              <w:t>（</w:t>
            </w:r>
            <w:r>
              <w:rPr>
                <w:rFonts w:hint="eastAsia" w:ascii="仿宋" w:eastAsia="仿宋" w:cs="仿宋"/>
                <w:szCs w:val="21"/>
                <w:lang w:val="en-US" w:eastAsia="zh-CN" w:bidi="ar-SA"/>
              </w:rPr>
              <w:t>1</w:t>
            </w:r>
            <w:r>
              <w:rPr>
                <w:rFonts w:hint="eastAsia" w:ascii="仿宋" w:eastAsia="仿宋" w:cs="仿宋"/>
                <w:szCs w:val="21"/>
                <w:lang w:bidi="ar-SA"/>
              </w:rPr>
              <w:t>0%）</w:t>
            </w:r>
          </w:p>
        </w:tc>
        <w:tc>
          <w:tcPr>
            <w:tcW w:w="812" w:type="dxa"/>
            <w:gridSpan w:val="2"/>
            <w:tcBorders>
              <w:top w:val="single" w:color="auto" w:sz="4" w:space="0"/>
              <w:left w:val="single" w:color="auto" w:sz="4" w:space="0"/>
              <w:bottom w:val="single" w:color="auto" w:sz="4" w:space="0"/>
              <w:right w:val="single" w:color="auto" w:sz="4" w:space="0"/>
            </w:tcBorders>
            <w:noWrap/>
            <w:vAlign w:val="top"/>
          </w:tcPr>
          <w:p w14:paraId="39A556EB">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val="en-US" w:eastAsia="en-US" w:bidi="ar-SA"/>
              </w:rPr>
            </w:pPr>
            <w:r>
              <w:rPr>
                <w:rFonts w:hint="eastAsia" w:ascii="仿宋" w:eastAsia="仿宋" w:cs="仿宋"/>
                <w:sz w:val="24"/>
                <w:szCs w:val="24"/>
                <w:lang w:val="en-US" w:eastAsia="en-US" w:bidi="ar-SA"/>
              </w:rPr>
              <w:t>课堂表现占比</w:t>
            </w:r>
          </w:p>
          <w:p w14:paraId="293222DA">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Cs w:val="21"/>
                <w:lang w:bidi="ar-SA"/>
              </w:rPr>
              <w:t>（</w:t>
            </w:r>
            <w:r>
              <w:rPr>
                <w:rFonts w:hint="eastAsia" w:ascii="仿宋" w:eastAsia="仿宋" w:cs="仿宋"/>
                <w:szCs w:val="21"/>
                <w:lang w:val="en-US" w:eastAsia="zh-CN" w:bidi="ar-SA"/>
              </w:rPr>
              <w:t>5</w:t>
            </w:r>
            <w:r>
              <w:rPr>
                <w:rFonts w:hint="eastAsia" w:ascii="仿宋" w:eastAsia="仿宋" w:cs="仿宋"/>
                <w:szCs w:val="21"/>
                <w:lang w:bidi="ar-SA"/>
              </w:rPr>
              <w:t>0%）</w:t>
            </w:r>
          </w:p>
        </w:tc>
        <w:tc>
          <w:tcPr>
            <w:tcW w:w="814" w:type="dxa"/>
            <w:gridSpan w:val="2"/>
            <w:tcBorders>
              <w:top w:val="single" w:color="auto" w:sz="4" w:space="0"/>
              <w:left w:val="single" w:color="auto" w:sz="4" w:space="0"/>
              <w:bottom w:val="single" w:color="auto" w:sz="4" w:space="0"/>
              <w:right w:val="single" w:color="000000" w:sz="4" w:space="0"/>
            </w:tcBorders>
            <w:noWrap/>
            <w:vAlign w:val="top"/>
          </w:tcPr>
          <w:p w14:paraId="13C800CE">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期末考试评分占比</w:t>
            </w:r>
            <w:r>
              <w:rPr>
                <w:rFonts w:hint="eastAsia" w:ascii="仿宋" w:eastAsia="仿宋" w:cs="仿宋"/>
                <w:szCs w:val="21"/>
                <w:lang w:bidi="ar-SA"/>
              </w:rPr>
              <w:t>（40%）</w:t>
            </w:r>
          </w:p>
        </w:tc>
        <w:tc>
          <w:tcPr>
            <w:tcW w:w="590" w:type="dxa"/>
            <w:gridSpan w:val="2"/>
            <w:vMerge w:val="continue"/>
            <w:tcBorders>
              <w:top w:val="single" w:color="auto" w:sz="4" w:space="0"/>
              <w:left w:val="single" w:color="000000" w:sz="4" w:space="0"/>
              <w:bottom w:val="single" w:color="auto" w:sz="4" w:space="0"/>
              <w:right w:val="single" w:color="auto" w:sz="4" w:space="0"/>
            </w:tcBorders>
            <w:noWrap/>
            <w:vAlign w:val="center"/>
          </w:tcPr>
          <w:p w14:paraId="49D6011A">
            <w:pPr>
              <w:pageBreakBefore w:val="0"/>
              <w:kinsoku/>
              <w:overflowPunct/>
              <w:topLinePunct w:val="0"/>
              <w:bidi w:val="0"/>
              <w:spacing w:line="240" w:lineRule="auto"/>
            </w:pPr>
          </w:p>
        </w:tc>
      </w:tr>
      <w:tr w14:paraId="5CC9BC3E">
        <w:trPr>
          <w:trHeight w:val="0" w:hRule="atLeast"/>
        </w:trPr>
        <w:tc>
          <w:tcPr>
            <w:tcW w:w="1375" w:type="dxa"/>
            <w:vMerge w:val="continue"/>
            <w:tcBorders>
              <w:top w:val="single" w:color="auto" w:sz="4" w:space="0"/>
              <w:left w:val="single" w:color="auto" w:sz="4" w:space="0"/>
              <w:bottom w:val="single" w:color="auto" w:sz="4" w:space="0"/>
              <w:right w:val="single" w:color="auto" w:sz="4" w:space="0"/>
            </w:tcBorders>
            <w:noWrap/>
            <w:vAlign w:val="center"/>
          </w:tcPr>
          <w:p w14:paraId="52DF8F5B">
            <w:pPr>
              <w:pageBreakBefore w:val="0"/>
              <w:kinsoku/>
              <w:overflowPunct/>
              <w:topLinePunct w:val="0"/>
              <w:bidi w:val="0"/>
              <w:spacing w:line="240" w:lineRule="auto"/>
            </w:pPr>
          </w:p>
        </w:tc>
        <w:tc>
          <w:tcPr>
            <w:tcW w:w="1216" w:type="dxa"/>
            <w:tcBorders>
              <w:top w:val="single" w:color="auto" w:sz="4" w:space="0"/>
              <w:left w:val="single" w:color="auto" w:sz="4" w:space="0"/>
              <w:bottom w:val="single" w:color="auto" w:sz="4" w:space="0"/>
              <w:right w:val="single" w:color="auto" w:sz="4" w:space="0"/>
            </w:tcBorders>
            <w:noWrap/>
            <w:vAlign w:val="center"/>
          </w:tcPr>
          <w:p w14:paraId="6F2CE986">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课程目标1（</w:t>
            </w:r>
            <w:r>
              <w:rPr>
                <w:rFonts w:hint="eastAsia" w:ascii="仿宋" w:eastAsia="仿宋" w:cs="仿宋"/>
                <w:kern w:val="0"/>
                <w:sz w:val="24"/>
                <w:szCs w:val="24"/>
                <w:lang w:val="en-US" w:eastAsia="zh-CN" w:bidi="ar-SA"/>
              </w:rPr>
              <w:t>6</w:t>
            </w:r>
            <w:r>
              <w:rPr>
                <w:rFonts w:hint="eastAsia" w:ascii="仿宋" w:eastAsia="仿宋" w:cs="仿宋"/>
                <w:kern w:val="0"/>
                <w:sz w:val="24"/>
                <w:szCs w:val="24"/>
                <w:lang w:bidi="ar-SA"/>
              </w:rPr>
              <w:t>0%）</w:t>
            </w:r>
          </w:p>
        </w:tc>
        <w:tc>
          <w:tcPr>
            <w:tcW w:w="3540" w:type="dxa"/>
            <w:gridSpan w:val="6"/>
            <w:tcBorders>
              <w:top w:val="single" w:color="auto" w:sz="4" w:space="0"/>
              <w:left w:val="single" w:color="auto" w:sz="4" w:space="0"/>
              <w:bottom w:val="single" w:color="auto" w:sz="4" w:space="0"/>
              <w:right w:val="single" w:color="000000" w:sz="4" w:space="0"/>
            </w:tcBorders>
            <w:noWrap/>
            <w:vAlign w:val="top"/>
          </w:tcPr>
          <w:p w14:paraId="168EAB23">
            <w:pPr>
              <w:keepNext w:val="0"/>
              <w:keepLines w:val="0"/>
              <w:pageBreakBefore w:val="0"/>
              <w:widowControl w:val="0"/>
              <w:numPr>
                <w:ilvl w:val="0"/>
                <w:numId w:val="2"/>
              </w:numPr>
              <w:kinsoku/>
              <w:wordWrap/>
              <w:overflowPunct/>
              <w:topLinePunct w:val="0"/>
              <w:bidi w:val="0"/>
              <w:adjustRightInd w:val="0"/>
              <w:snapToGrid w:val="0"/>
              <w:spacing w:line="240" w:lineRule="auto"/>
              <w:jc w:val="both"/>
              <w:rPr>
                <w:rFonts w:hint="eastAsia" w:ascii="仿宋" w:eastAsia="仿宋" w:cs="仿宋"/>
                <w:kern w:val="0"/>
                <w:sz w:val="24"/>
                <w:szCs w:val="24"/>
                <w:lang w:bidi="ar-SA"/>
              </w:rPr>
            </w:pPr>
            <w:r>
              <w:rPr>
                <w:rFonts w:hint="eastAsia" w:ascii="仿宋" w:eastAsia="仿宋" w:cs="仿宋"/>
                <w:color w:val="auto"/>
                <w:sz w:val="24"/>
                <w:szCs w:val="24"/>
                <w:lang w:val="en-US" w:eastAsia="zh-Hans" w:bidi="ar-SA"/>
              </w:rPr>
              <w:t>掌握</w:t>
            </w:r>
            <w:r>
              <w:rPr>
                <w:rFonts w:hint="eastAsia" w:ascii="仿宋" w:eastAsia="仿宋" w:cs="仿宋"/>
                <w:color w:val="auto"/>
                <w:sz w:val="24"/>
                <w:szCs w:val="24"/>
                <w:lang w:bidi="ar-SA"/>
              </w:rPr>
              <w:t>舞蹈基础理论知识、舞蹈基本术语</w:t>
            </w:r>
            <w:r>
              <w:rPr>
                <w:rFonts w:hint="default" w:ascii="仿宋" w:eastAsia="仿宋" w:cs="仿宋"/>
                <w:color w:val="auto"/>
                <w:sz w:val="24"/>
                <w:szCs w:val="24"/>
                <w:lang w:bidi="ar-SA"/>
              </w:rPr>
              <w:t>、</w:t>
            </w:r>
            <w:r>
              <w:rPr>
                <w:rFonts w:hint="eastAsia" w:ascii="仿宋" w:eastAsia="仿宋" w:cs="仿宋"/>
                <w:color w:val="auto"/>
                <w:sz w:val="24"/>
                <w:szCs w:val="24"/>
                <w:lang w:bidi="ar-SA"/>
              </w:rPr>
              <w:t>正确规范</w:t>
            </w:r>
            <w:r>
              <w:rPr>
                <w:rFonts w:hint="eastAsia" w:ascii="仿宋" w:eastAsia="仿宋" w:cs="仿宋"/>
                <w:color w:val="auto"/>
                <w:sz w:val="24"/>
                <w:szCs w:val="24"/>
                <w:lang w:val="en-US" w:eastAsia="zh-Hans" w:bidi="ar-SA"/>
              </w:rPr>
              <w:t>的基本功训练方法</w:t>
            </w:r>
            <w:r>
              <w:rPr>
                <w:rFonts w:hint="default" w:ascii="仿宋" w:eastAsia="仿宋" w:cs="仿宋"/>
                <w:color w:val="auto"/>
                <w:sz w:val="24"/>
                <w:szCs w:val="24"/>
                <w:lang w:bidi="ar-SA"/>
              </w:rPr>
              <w:t>。</w:t>
            </w:r>
          </w:p>
          <w:p w14:paraId="37B355DD">
            <w:pPr>
              <w:keepNext w:val="0"/>
              <w:keepLines w:val="0"/>
              <w:pageBreakBefore w:val="0"/>
              <w:widowControl w:val="0"/>
              <w:numPr>
                <w:ilvl w:val="0"/>
                <w:numId w:val="2"/>
              </w:numPr>
              <w:kinsoku/>
              <w:wordWrap/>
              <w:overflowPunct/>
              <w:topLinePunct w:val="0"/>
              <w:bidi w:val="0"/>
              <w:adjustRightInd w:val="0"/>
              <w:snapToGrid w:val="0"/>
              <w:spacing w:line="240" w:lineRule="auto"/>
              <w:jc w:val="both"/>
              <w:rPr>
                <w:rFonts w:hint="eastAsia" w:ascii="仿宋" w:eastAsia="仿宋" w:cs="仿宋"/>
                <w:kern w:val="0"/>
                <w:sz w:val="24"/>
                <w:szCs w:val="24"/>
                <w:lang w:bidi="ar-SA"/>
              </w:rPr>
            </w:pPr>
            <w:r>
              <w:rPr>
                <w:rFonts w:hint="eastAsia" w:ascii="仿宋" w:eastAsia="仿宋" w:cs="仿宋"/>
                <w:color w:val="auto"/>
                <w:sz w:val="24"/>
                <w:szCs w:val="24"/>
                <w:lang w:val="en-US" w:eastAsia="zh-Hans" w:bidi="ar-SA"/>
              </w:rPr>
              <w:t>掌握训练组合</w:t>
            </w:r>
            <w:r>
              <w:rPr>
                <w:rFonts w:hint="default" w:ascii="仿宋" w:eastAsia="仿宋" w:cs="仿宋"/>
                <w:color w:val="auto"/>
                <w:sz w:val="24"/>
                <w:szCs w:val="24"/>
                <w:lang w:eastAsia="zh-Hans" w:bidi="ar-SA"/>
              </w:rPr>
              <w:t>。</w:t>
            </w:r>
          </w:p>
          <w:p w14:paraId="5ABCCD5A">
            <w:pPr>
              <w:keepNext w:val="0"/>
              <w:keepLines w:val="0"/>
              <w:pageBreakBefore w:val="0"/>
              <w:widowControl w:val="0"/>
              <w:numPr>
                <w:ilvl w:val="0"/>
                <w:numId w:val="2"/>
              </w:numPr>
              <w:kinsoku/>
              <w:wordWrap/>
              <w:overflowPunct/>
              <w:topLinePunct w:val="0"/>
              <w:bidi w:val="0"/>
              <w:adjustRightInd w:val="0"/>
              <w:snapToGrid w:val="0"/>
              <w:spacing w:line="240" w:lineRule="auto"/>
              <w:jc w:val="both"/>
              <w:rPr>
                <w:rFonts w:hint="eastAsia" w:ascii="仿宋" w:eastAsia="仿宋" w:cs="仿宋"/>
                <w:kern w:val="0"/>
                <w:sz w:val="24"/>
                <w:szCs w:val="24"/>
                <w:lang w:bidi="ar-SA"/>
              </w:rPr>
            </w:pPr>
            <w:r>
              <w:rPr>
                <w:rFonts w:hint="eastAsia" w:ascii="仿宋" w:eastAsia="仿宋" w:cs="仿宋"/>
                <w:color w:val="auto"/>
                <w:sz w:val="24"/>
                <w:szCs w:val="24"/>
                <w:lang w:bidi="ar-SA"/>
              </w:rPr>
              <w:t>正确挺拔的身姿体态</w:t>
            </w:r>
            <w:r>
              <w:rPr>
                <w:rFonts w:hint="default" w:ascii="仿宋" w:eastAsia="仿宋" w:cs="仿宋"/>
                <w:color w:val="auto"/>
                <w:sz w:val="24"/>
                <w:szCs w:val="24"/>
                <w:lang w:bidi="ar-SA"/>
              </w:rPr>
              <w:t>、</w:t>
            </w:r>
            <w:r>
              <w:rPr>
                <w:rFonts w:hint="eastAsia" w:ascii="仿宋" w:eastAsia="仿宋" w:cs="仿宋"/>
                <w:color w:val="auto"/>
                <w:sz w:val="24"/>
                <w:szCs w:val="24"/>
                <w:lang w:bidi="ar-SA"/>
              </w:rPr>
              <w:t>身体的协调性与动作美感</w:t>
            </w:r>
            <w:r>
              <w:rPr>
                <w:rFonts w:hint="default" w:ascii="仿宋" w:eastAsia="仿宋" w:cs="仿宋"/>
                <w:color w:val="auto"/>
                <w:sz w:val="24"/>
                <w:szCs w:val="24"/>
                <w:lang w:bidi="ar-SA"/>
              </w:rPr>
              <w:t>。</w:t>
            </w:r>
          </w:p>
        </w:tc>
        <w:tc>
          <w:tcPr>
            <w:tcW w:w="796" w:type="dxa"/>
            <w:tcBorders>
              <w:top w:val="single" w:color="auto" w:sz="4" w:space="0"/>
              <w:left w:val="single" w:color="000000" w:sz="4" w:space="0"/>
              <w:bottom w:val="single" w:color="auto" w:sz="4" w:space="0"/>
              <w:right w:val="single" w:color="auto" w:sz="4" w:space="0"/>
            </w:tcBorders>
            <w:noWrap/>
            <w:vAlign w:val="center"/>
          </w:tcPr>
          <w:p w14:paraId="2029FFE4">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kern w:val="0"/>
                <w:sz w:val="24"/>
                <w:szCs w:val="24"/>
                <w:lang w:val="en-US" w:eastAsia="zh-CN" w:bidi="ar-SA"/>
              </w:rPr>
            </w:pPr>
            <w:r>
              <w:rPr>
                <w:rFonts w:hint="eastAsia" w:ascii="仿宋" w:eastAsia="仿宋" w:cs="仿宋"/>
                <w:kern w:val="0"/>
                <w:sz w:val="24"/>
                <w:szCs w:val="24"/>
                <w:lang w:val="en-US" w:eastAsia="zh-CN" w:bidi="ar-SA"/>
              </w:rPr>
              <w:t>6</w:t>
            </w:r>
          </w:p>
        </w:tc>
        <w:tc>
          <w:tcPr>
            <w:tcW w:w="812" w:type="dxa"/>
            <w:gridSpan w:val="2"/>
            <w:tcBorders>
              <w:top w:val="single" w:color="auto" w:sz="4" w:space="0"/>
              <w:left w:val="single" w:color="auto" w:sz="4" w:space="0"/>
              <w:bottom w:val="single" w:color="auto" w:sz="4" w:space="0"/>
              <w:right w:val="single" w:color="auto" w:sz="4" w:space="0"/>
            </w:tcBorders>
            <w:noWrap/>
            <w:vAlign w:val="center"/>
          </w:tcPr>
          <w:p w14:paraId="0C2DEEB0">
            <w:pPr>
              <w:keepNext w:val="0"/>
              <w:keepLines w:val="0"/>
              <w:pageBreakBefore w:val="0"/>
              <w:widowControl w:val="0"/>
              <w:tabs>
                <w:tab w:val="left" w:pos="720"/>
              </w:tabs>
              <w:kinsoku/>
              <w:wordWrap/>
              <w:overflowPunct/>
              <w:topLinePunct w:val="0"/>
              <w:bidi w:val="0"/>
              <w:adjustRightInd w:val="0"/>
              <w:snapToGrid w:val="0"/>
              <w:spacing w:line="240" w:lineRule="auto"/>
              <w:jc w:val="center"/>
              <w:rPr>
                <w:rFonts w:hint="default" w:ascii="仿宋" w:eastAsia="仿宋" w:cs="仿宋"/>
                <w:kern w:val="0"/>
                <w:sz w:val="24"/>
                <w:szCs w:val="24"/>
                <w:lang w:val="en-US" w:eastAsia="zh-CN" w:bidi="ar-SA"/>
              </w:rPr>
            </w:pPr>
            <w:r>
              <w:rPr>
                <w:rFonts w:hint="eastAsia" w:ascii="仿宋" w:eastAsia="仿宋" w:cs="仿宋"/>
                <w:kern w:val="0"/>
                <w:sz w:val="24"/>
                <w:szCs w:val="24"/>
                <w:lang w:val="en-US" w:eastAsia="zh-CN" w:bidi="ar-SA"/>
              </w:rPr>
              <w:t>30</w:t>
            </w:r>
          </w:p>
        </w:tc>
        <w:tc>
          <w:tcPr>
            <w:tcW w:w="814" w:type="dxa"/>
            <w:gridSpan w:val="2"/>
            <w:tcBorders>
              <w:top w:val="single" w:color="auto" w:sz="4" w:space="0"/>
              <w:left w:val="single" w:color="auto" w:sz="4" w:space="0"/>
              <w:bottom w:val="single" w:color="auto" w:sz="4" w:space="0"/>
              <w:right w:val="single" w:color="auto" w:sz="4" w:space="0"/>
            </w:tcBorders>
            <w:noWrap/>
            <w:vAlign w:val="center"/>
          </w:tcPr>
          <w:p w14:paraId="7154016E">
            <w:pPr>
              <w:keepNext w:val="0"/>
              <w:keepLines w:val="0"/>
              <w:pageBreakBefore w:val="0"/>
              <w:widowControl w:val="0"/>
              <w:tabs>
                <w:tab w:val="left" w:pos="720"/>
              </w:tabs>
              <w:kinsoku/>
              <w:wordWrap/>
              <w:overflowPunct/>
              <w:topLinePunct w:val="0"/>
              <w:bidi w:val="0"/>
              <w:adjustRightInd w:val="0"/>
              <w:snapToGrid w:val="0"/>
              <w:spacing w:line="240" w:lineRule="auto"/>
              <w:jc w:val="center"/>
              <w:rPr>
                <w:rFonts w:hint="eastAsia" w:ascii="仿宋" w:eastAsia="仿宋" w:cs="仿宋"/>
                <w:kern w:val="0"/>
                <w:sz w:val="24"/>
                <w:szCs w:val="24"/>
                <w:lang w:eastAsia="zh-CN" w:bidi="ar-SA"/>
              </w:rPr>
            </w:pPr>
            <w:r>
              <w:rPr>
                <w:rFonts w:hint="eastAsia" w:ascii="仿宋" w:eastAsia="仿宋" w:cs="仿宋"/>
                <w:kern w:val="0"/>
                <w:sz w:val="24"/>
                <w:szCs w:val="24"/>
                <w:lang w:bidi="ar-SA"/>
              </w:rPr>
              <w:t>2</w:t>
            </w:r>
            <w:r>
              <w:rPr>
                <w:rFonts w:hint="eastAsia" w:ascii="仿宋" w:eastAsia="仿宋" w:cs="仿宋"/>
                <w:kern w:val="0"/>
                <w:sz w:val="24"/>
                <w:szCs w:val="24"/>
                <w:lang w:val="en-US" w:eastAsia="zh-CN" w:bidi="ar-SA"/>
              </w:rPr>
              <w:t>4</w:t>
            </w:r>
          </w:p>
        </w:tc>
        <w:tc>
          <w:tcPr>
            <w:tcW w:w="590" w:type="dxa"/>
            <w:gridSpan w:val="2"/>
            <w:tcBorders>
              <w:top w:val="single" w:color="auto" w:sz="4" w:space="0"/>
              <w:left w:val="single" w:color="auto" w:sz="4" w:space="0"/>
              <w:bottom w:val="single" w:color="000000" w:sz="4" w:space="0"/>
              <w:right w:val="single" w:color="auto" w:sz="4" w:space="0"/>
            </w:tcBorders>
            <w:noWrap/>
            <w:vAlign w:val="center"/>
          </w:tcPr>
          <w:p w14:paraId="0E1374E7">
            <w:pPr>
              <w:keepNext w:val="0"/>
              <w:keepLines w:val="0"/>
              <w:pageBreakBefore w:val="0"/>
              <w:widowControl w:val="0"/>
              <w:tabs>
                <w:tab w:val="left" w:pos="720"/>
              </w:tabs>
              <w:kinsoku/>
              <w:wordWrap/>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0</w:t>
            </w:r>
            <w:r>
              <w:rPr>
                <w:rFonts w:hint="eastAsia" w:ascii="仿宋" w:eastAsia="仿宋" w:cs="仿宋"/>
                <w:kern w:val="0"/>
                <w:sz w:val="24"/>
                <w:szCs w:val="24"/>
                <w:lang w:val="en-US" w:eastAsia="en-US" w:bidi="ar-SA"/>
              </w:rPr>
              <w:t>.</w:t>
            </w:r>
            <w:r>
              <w:rPr>
                <w:rFonts w:hint="eastAsia" w:ascii="仿宋" w:eastAsia="仿宋" w:cs="仿宋"/>
                <w:kern w:val="0"/>
                <w:sz w:val="24"/>
                <w:szCs w:val="24"/>
                <w:lang w:bidi="ar-SA"/>
              </w:rPr>
              <w:t>70</w:t>
            </w:r>
          </w:p>
        </w:tc>
      </w:tr>
      <w:tr w14:paraId="7A01DCA8">
        <w:trPr>
          <w:trHeight w:val="0" w:hRule="atLeast"/>
        </w:trPr>
        <w:tc>
          <w:tcPr>
            <w:tcW w:w="1375" w:type="dxa"/>
            <w:vMerge w:val="continue"/>
            <w:tcBorders>
              <w:top w:val="single" w:color="auto" w:sz="4" w:space="0"/>
              <w:left w:val="single" w:color="auto" w:sz="4" w:space="0"/>
              <w:bottom w:val="single" w:color="auto" w:sz="4" w:space="0"/>
              <w:right w:val="single" w:color="auto" w:sz="4" w:space="0"/>
            </w:tcBorders>
            <w:noWrap/>
            <w:vAlign w:val="center"/>
          </w:tcPr>
          <w:p w14:paraId="5127711D">
            <w:pPr>
              <w:pageBreakBefore w:val="0"/>
              <w:kinsoku/>
              <w:overflowPunct/>
              <w:topLinePunct w:val="0"/>
              <w:bidi w:val="0"/>
              <w:spacing w:line="240" w:lineRule="auto"/>
            </w:pPr>
          </w:p>
        </w:tc>
        <w:tc>
          <w:tcPr>
            <w:tcW w:w="1216" w:type="dxa"/>
            <w:tcBorders>
              <w:top w:val="single" w:color="auto" w:sz="4" w:space="0"/>
              <w:left w:val="single" w:color="auto" w:sz="4" w:space="0"/>
              <w:bottom w:val="single" w:color="auto" w:sz="4" w:space="0"/>
              <w:right w:val="single" w:color="auto" w:sz="4" w:space="0"/>
            </w:tcBorders>
            <w:noWrap/>
            <w:vAlign w:val="center"/>
          </w:tcPr>
          <w:p w14:paraId="0E5B53FA">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kern w:val="0"/>
                <w:sz w:val="24"/>
                <w:szCs w:val="24"/>
                <w:lang w:bidi="ar-SA"/>
              </w:rPr>
              <w:t>课程目标2（30%）</w:t>
            </w:r>
          </w:p>
        </w:tc>
        <w:tc>
          <w:tcPr>
            <w:tcW w:w="3540" w:type="dxa"/>
            <w:gridSpan w:val="6"/>
            <w:tcBorders>
              <w:top w:val="single" w:color="auto" w:sz="4" w:space="0"/>
              <w:left w:val="single" w:color="auto" w:sz="4" w:space="0"/>
              <w:bottom w:val="single" w:color="auto" w:sz="4" w:space="0"/>
              <w:right w:val="single" w:color="000000" w:sz="4" w:space="0"/>
            </w:tcBorders>
            <w:noWrap/>
            <w:vAlign w:val="center"/>
          </w:tcPr>
          <w:p w14:paraId="29D1EA9B">
            <w:pPr>
              <w:keepNext w:val="0"/>
              <w:keepLines w:val="0"/>
              <w:pageBreakBefore w:val="0"/>
              <w:widowControl w:val="0"/>
              <w:numPr>
                <w:ilvl w:val="0"/>
                <w:numId w:val="3"/>
              </w:numPr>
              <w:kinsoku/>
              <w:wordWrap/>
              <w:overflowPunct/>
              <w:topLinePunct w:val="0"/>
              <w:bidi w:val="0"/>
              <w:adjustRightInd w:val="0"/>
              <w:snapToGrid w:val="0"/>
              <w:spacing w:line="240" w:lineRule="auto"/>
              <w:jc w:val="left"/>
              <w:rPr>
                <w:rFonts w:hint="eastAsia" w:ascii="仿宋" w:eastAsia="仿宋" w:cs="仿宋"/>
                <w:color w:val="auto"/>
                <w:kern w:val="0"/>
                <w:sz w:val="24"/>
                <w:szCs w:val="24"/>
                <w:lang w:bidi="ar-SA"/>
              </w:rPr>
            </w:pPr>
            <w:r>
              <w:rPr>
                <w:rFonts w:hint="eastAsia" w:ascii="仿宋" w:eastAsia="仿宋" w:cs="仿宋"/>
                <w:color w:val="auto"/>
                <w:kern w:val="0"/>
                <w:sz w:val="24"/>
                <w:szCs w:val="24"/>
                <w:lang w:val="en-US" w:eastAsia="en-US" w:bidi="ar-SA"/>
              </w:rPr>
              <w:t>掌握形体</w:t>
            </w:r>
            <w:r>
              <w:rPr>
                <w:rFonts w:hint="eastAsia" w:ascii="仿宋" w:eastAsia="仿宋" w:cs="仿宋"/>
                <w:color w:val="auto"/>
                <w:kern w:val="0"/>
                <w:sz w:val="24"/>
                <w:szCs w:val="24"/>
                <w:lang w:bidi="ar-SA"/>
              </w:rPr>
              <w:t>舞蹈的</w:t>
            </w:r>
            <w:r>
              <w:rPr>
                <w:rFonts w:hint="eastAsia" w:ascii="仿宋" w:eastAsia="仿宋" w:cs="仿宋"/>
                <w:color w:val="auto"/>
                <w:kern w:val="0"/>
                <w:sz w:val="24"/>
                <w:szCs w:val="24"/>
                <w:lang w:val="en-US" w:eastAsia="en-US" w:bidi="ar-SA"/>
              </w:rPr>
              <w:t>教学方法与</w:t>
            </w:r>
            <w:r>
              <w:rPr>
                <w:rFonts w:hint="eastAsia" w:ascii="仿宋" w:eastAsia="仿宋" w:cs="仿宋"/>
                <w:color w:val="auto"/>
                <w:kern w:val="0"/>
                <w:sz w:val="24"/>
                <w:szCs w:val="24"/>
                <w:lang w:bidi="ar-SA"/>
              </w:rPr>
              <w:t>教学规律</w:t>
            </w:r>
            <w:r>
              <w:rPr>
                <w:rFonts w:hint="default" w:ascii="仿宋" w:eastAsia="仿宋" w:cs="仿宋"/>
                <w:color w:val="auto"/>
                <w:kern w:val="0"/>
                <w:sz w:val="24"/>
                <w:szCs w:val="24"/>
                <w:lang w:bidi="ar-SA"/>
              </w:rPr>
              <w:t>。</w:t>
            </w:r>
          </w:p>
          <w:p w14:paraId="1C5BEA12">
            <w:pPr>
              <w:keepNext w:val="0"/>
              <w:keepLines w:val="0"/>
              <w:pageBreakBefore w:val="0"/>
              <w:widowControl w:val="0"/>
              <w:numPr>
                <w:ilvl w:val="0"/>
                <w:numId w:val="3"/>
              </w:numPr>
              <w:kinsoku/>
              <w:wordWrap/>
              <w:overflowPunct/>
              <w:topLinePunct w:val="0"/>
              <w:bidi w:val="0"/>
              <w:adjustRightInd w:val="0"/>
              <w:snapToGrid w:val="0"/>
              <w:spacing w:line="240" w:lineRule="auto"/>
              <w:jc w:val="left"/>
              <w:rPr>
                <w:rFonts w:hint="eastAsia" w:ascii="仿宋" w:eastAsia="仿宋" w:cs="仿宋"/>
                <w:color w:val="auto"/>
                <w:sz w:val="24"/>
                <w:szCs w:val="24"/>
                <w:lang w:bidi="ar-SA"/>
              </w:rPr>
            </w:pPr>
            <w:r>
              <w:rPr>
                <w:rFonts w:hint="eastAsia" w:ascii="仿宋" w:eastAsia="仿宋" w:cs="仿宋"/>
                <w:color w:val="auto"/>
                <w:kern w:val="0"/>
                <w:sz w:val="24"/>
                <w:szCs w:val="24"/>
                <w:lang w:val="en-US" w:eastAsia="en-US" w:bidi="ar-SA"/>
              </w:rPr>
              <w:t>初步具备组织舞蹈课堂教学的能力</w:t>
            </w:r>
            <w:r>
              <w:rPr>
                <w:rFonts w:hint="default" w:ascii="仿宋" w:eastAsia="仿宋" w:cs="仿宋"/>
                <w:color w:val="auto"/>
                <w:kern w:val="0"/>
                <w:sz w:val="24"/>
                <w:szCs w:val="24"/>
                <w:lang w:eastAsia="en-US" w:bidi="ar-SA"/>
              </w:rPr>
              <w:t>。</w:t>
            </w:r>
          </w:p>
          <w:p w14:paraId="72CE8667">
            <w:pPr>
              <w:keepNext w:val="0"/>
              <w:keepLines w:val="0"/>
              <w:pageBreakBefore w:val="0"/>
              <w:widowControl w:val="0"/>
              <w:numPr>
                <w:ilvl w:val="0"/>
                <w:numId w:val="0"/>
              </w:numPr>
              <w:kinsoku/>
              <w:wordWrap/>
              <w:overflowPunct/>
              <w:topLinePunct w:val="0"/>
              <w:bidi w:val="0"/>
              <w:adjustRightInd w:val="0"/>
              <w:snapToGrid w:val="0"/>
              <w:spacing w:line="240" w:lineRule="auto"/>
              <w:ind w:leftChars="0"/>
              <w:jc w:val="left"/>
              <w:rPr>
                <w:rFonts w:hint="eastAsia" w:ascii="仿宋" w:eastAsia="仿宋" w:cs="仿宋"/>
                <w:kern w:val="0"/>
                <w:sz w:val="24"/>
                <w:szCs w:val="24"/>
                <w:lang w:bidi="ar-SA"/>
              </w:rPr>
            </w:pPr>
            <w:r>
              <w:rPr>
                <w:rFonts w:hint="eastAsia" w:ascii="仿宋" w:eastAsia="仿宋" w:cs="仿宋"/>
                <w:color w:val="auto"/>
                <w:kern w:val="0"/>
                <w:sz w:val="24"/>
                <w:szCs w:val="24"/>
                <w:lang w:bidi="ar-SA"/>
              </w:rPr>
              <w:t>3、</w:t>
            </w:r>
            <w:r>
              <w:rPr>
                <w:rFonts w:hint="eastAsia" w:ascii="仿宋" w:eastAsia="仿宋" w:cs="仿宋"/>
                <w:color w:val="auto"/>
                <w:sz w:val="24"/>
                <w:szCs w:val="24"/>
                <w:lang w:val="en-US" w:eastAsia="zh-Hans" w:bidi="ar-SA"/>
              </w:rPr>
              <w:t>正确处理动作与音乐节奏的关系</w:t>
            </w:r>
            <w:r>
              <w:rPr>
                <w:rFonts w:hint="default" w:ascii="仿宋" w:eastAsia="仿宋" w:cs="仿宋"/>
                <w:color w:val="auto"/>
                <w:sz w:val="24"/>
                <w:szCs w:val="24"/>
                <w:lang w:eastAsia="zh-Hans" w:bidi="ar-SA"/>
              </w:rPr>
              <w:t>，</w:t>
            </w:r>
            <w:r>
              <w:rPr>
                <w:rFonts w:hint="eastAsia" w:ascii="仿宋" w:eastAsia="仿宋" w:cs="仿宋"/>
                <w:color w:val="auto"/>
                <w:sz w:val="24"/>
                <w:szCs w:val="24"/>
                <w:lang w:val="en-US" w:eastAsia="zh-Hans" w:bidi="ar-SA"/>
              </w:rPr>
              <w:t>并能根据音乐情绪处理动作</w:t>
            </w:r>
            <w:r>
              <w:rPr>
                <w:rFonts w:hint="default" w:ascii="仿宋" w:eastAsia="仿宋" w:cs="仿宋"/>
                <w:color w:val="auto"/>
                <w:sz w:val="24"/>
                <w:szCs w:val="24"/>
                <w:lang w:eastAsia="zh-Hans" w:bidi="ar-SA"/>
              </w:rPr>
              <w:t>，</w:t>
            </w:r>
            <w:r>
              <w:rPr>
                <w:rFonts w:hint="eastAsia" w:ascii="仿宋" w:eastAsia="仿宋" w:cs="仿宋"/>
                <w:color w:val="auto"/>
                <w:sz w:val="24"/>
                <w:szCs w:val="24"/>
                <w:lang w:val="en-US" w:eastAsia="zh-Hans" w:bidi="ar-SA"/>
              </w:rPr>
              <w:t>表达内心情感</w:t>
            </w:r>
            <w:r>
              <w:rPr>
                <w:rFonts w:hint="default" w:ascii="仿宋" w:eastAsia="仿宋" w:cs="仿宋"/>
                <w:color w:val="auto"/>
                <w:sz w:val="24"/>
                <w:szCs w:val="24"/>
                <w:lang w:eastAsia="zh-Hans" w:bidi="ar-SA"/>
              </w:rPr>
              <w:t>。</w:t>
            </w:r>
            <w:r>
              <w:rPr>
                <w:rStyle w:val="175"/>
                <w:rFonts w:hint="eastAsia" w:ascii="仿宋" w:eastAsia="仿宋"/>
                <w:color w:val="auto"/>
                <w:sz w:val="24"/>
                <w:szCs w:val="24"/>
                <w:lang w:val="en-US" w:eastAsia="en-US"/>
              </w:rPr>
              <w:t>领会“以美育人”的理念</w:t>
            </w:r>
            <w:r>
              <w:rPr>
                <w:rStyle w:val="175"/>
                <w:rFonts w:hint="default" w:ascii="仿宋" w:eastAsia="仿宋"/>
                <w:color w:val="auto"/>
                <w:sz w:val="24"/>
                <w:szCs w:val="24"/>
                <w:lang w:eastAsia="en-US"/>
              </w:rPr>
              <w:t>。</w:t>
            </w:r>
          </w:p>
        </w:tc>
        <w:tc>
          <w:tcPr>
            <w:tcW w:w="796" w:type="dxa"/>
            <w:tcBorders>
              <w:top w:val="single" w:color="auto" w:sz="4" w:space="0"/>
              <w:left w:val="single" w:color="000000" w:sz="4" w:space="0"/>
              <w:bottom w:val="single" w:color="auto" w:sz="4" w:space="0"/>
              <w:right w:val="single" w:color="auto" w:sz="4" w:space="0"/>
            </w:tcBorders>
            <w:noWrap/>
            <w:vAlign w:val="center"/>
          </w:tcPr>
          <w:p w14:paraId="4D6AA97C">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kern w:val="0"/>
                <w:sz w:val="24"/>
                <w:szCs w:val="24"/>
                <w:lang w:eastAsia="zh-CN" w:bidi="ar-SA"/>
              </w:rPr>
            </w:pPr>
            <w:r>
              <w:rPr>
                <w:rFonts w:hint="eastAsia" w:ascii="仿宋" w:eastAsia="仿宋" w:cs="仿宋"/>
                <w:kern w:val="0"/>
                <w:sz w:val="24"/>
                <w:szCs w:val="24"/>
                <w:lang w:val="en-US" w:eastAsia="zh-CN" w:bidi="ar-SA"/>
              </w:rPr>
              <w:t>3</w:t>
            </w:r>
          </w:p>
        </w:tc>
        <w:tc>
          <w:tcPr>
            <w:tcW w:w="812" w:type="dxa"/>
            <w:gridSpan w:val="2"/>
            <w:tcBorders>
              <w:top w:val="single" w:color="000000" w:sz="4" w:space="0"/>
              <w:left w:val="single" w:color="auto" w:sz="4" w:space="0"/>
              <w:bottom w:val="single" w:color="auto" w:sz="4" w:space="0"/>
              <w:right w:val="single" w:color="auto" w:sz="4" w:space="0"/>
            </w:tcBorders>
            <w:noWrap/>
            <w:vAlign w:val="center"/>
          </w:tcPr>
          <w:p w14:paraId="572E784B">
            <w:pPr>
              <w:keepNext w:val="0"/>
              <w:keepLines w:val="0"/>
              <w:pageBreakBefore w:val="0"/>
              <w:widowControl w:val="0"/>
              <w:tabs>
                <w:tab w:val="left" w:pos="720"/>
              </w:tabs>
              <w:kinsoku/>
              <w:wordWrap/>
              <w:overflowPunct/>
              <w:topLinePunct w:val="0"/>
              <w:bidi w:val="0"/>
              <w:adjustRightInd w:val="0"/>
              <w:snapToGrid w:val="0"/>
              <w:spacing w:line="240" w:lineRule="auto"/>
              <w:jc w:val="center"/>
              <w:rPr>
                <w:rFonts w:hint="default" w:ascii="仿宋" w:eastAsia="仿宋" w:cs="仿宋"/>
                <w:kern w:val="0"/>
                <w:sz w:val="24"/>
                <w:szCs w:val="24"/>
                <w:lang w:val="en-US" w:eastAsia="zh-CN" w:bidi="ar-SA"/>
              </w:rPr>
            </w:pPr>
            <w:r>
              <w:rPr>
                <w:rFonts w:hint="eastAsia" w:ascii="仿宋" w:eastAsia="仿宋" w:cs="仿宋"/>
                <w:kern w:val="0"/>
                <w:sz w:val="24"/>
                <w:szCs w:val="24"/>
                <w:lang w:val="en-US" w:eastAsia="zh-CN" w:bidi="ar-SA"/>
              </w:rPr>
              <w:t>15</w:t>
            </w:r>
          </w:p>
        </w:tc>
        <w:tc>
          <w:tcPr>
            <w:tcW w:w="814" w:type="dxa"/>
            <w:gridSpan w:val="2"/>
            <w:tcBorders>
              <w:top w:val="single" w:color="000000" w:sz="4" w:space="0"/>
              <w:left w:val="single" w:color="auto" w:sz="4" w:space="0"/>
              <w:bottom w:val="single" w:color="auto" w:sz="4" w:space="0"/>
              <w:right w:val="single" w:color="000000" w:sz="4" w:space="0"/>
            </w:tcBorders>
            <w:noWrap/>
            <w:vAlign w:val="center"/>
          </w:tcPr>
          <w:p w14:paraId="44F5F16D">
            <w:pPr>
              <w:keepNext w:val="0"/>
              <w:keepLines w:val="0"/>
              <w:pageBreakBefore w:val="0"/>
              <w:widowControl w:val="0"/>
              <w:tabs>
                <w:tab w:val="left" w:pos="720"/>
              </w:tabs>
              <w:kinsoku/>
              <w:wordWrap/>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12</w:t>
            </w:r>
          </w:p>
        </w:tc>
        <w:tc>
          <w:tcPr>
            <w:tcW w:w="590" w:type="dxa"/>
            <w:gridSpan w:val="2"/>
            <w:tcBorders>
              <w:top w:val="single" w:color="000000" w:sz="4" w:space="0"/>
              <w:left w:val="single" w:color="000000" w:sz="4" w:space="0"/>
              <w:bottom w:val="single" w:color="auto" w:sz="4" w:space="0"/>
              <w:right w:val="single" w:color="auto" w:sz="4" w:space="0"/>
            </w:tcBorders>
            <w:noWrap/>
            <w:vAlign w:val="center"/>
          </w:tcPr>
          <w:p w14:paraId="2CF029D7">
            <w:pPr>
              <w:keepNext w:val="0"/>
              <w:keepLines w:val="0"/>
              <w:pageBreakBefore w:val="0"/>
              <w:widowControl w:val="0"/>
              <w:tabs>
                <w:tab w:val="left" w:pos="720"/>
              </w:tabs>
              <w:kinsoku/>
              <w:wordWrap/>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0</w:t>
            </w:r>
            <w:r>
              <w:rPr>
                <w:rFonts w:hint="eastAsia" w:ascii="仿宋" w:eastAsia="仿宋" w:cs="仿宋"/>
                <w:kern w:val="0"/>
                <w:sz w:val="24"/>
                <w:szCs w:val="24"/>
                <w:lang w:val="en-US" w:eastAsia="en-US" w:bidi="ar-SA"/>
              </w:rPr>
              <w:t>.</w:t>
            </w:r>
            <w:r>
              <w:rPr>
                <w:rFonts w:hint="eastAsia" w:ascii="仿宋" w:eastAsia="仿宋" w:cs="仿宋"/>
                <w:kern w:val="0"/>
                <w:sz w:val="24"/>
                <w:szCs w:val="24"/>
                <w:lang w:bidi="ar-SA"/>
              </w:rPr>
              <w:t>70</w:t>
            </w:r>
          </w:p>
        </w:tc>
      </w:tr>
      <w:tr w14:paraId="77074C5B">
        <w:trPr>
          <w:trHeight w:val="0" w:hRule="atLeast"/>
        </w:trPr>
        <w:tc>
          <w:tcPr>
            <w:tcW w:w="1375" w:type="dxa"/>
            <w:vMerge w:val="continue"/>
            <w:tcBorders>
              <w:top w:val="single" w:color="auto" w:sz="4" w:space="0"/>
              <w:left w:val="single" w:color="auto" w:sz="4" w:space="0"/>
              <w:bottom w:val="single" w:color="auto" w:sz="4" w:space="0"/>
              <w:right w:val="single" w:color="auto" w:sz="4" w:space="0"/>
            </w:tcBorders>
            <w:noWrap/>
            <w:vAlign w:val="center"/>
          </w:tcPr>
          <w:p w14:paraId="09EC89FF">
            <w:pPr>
              <w:pageBreakBefore w:val="0"/>
              <w:kinsoku/>
              <w:overflowPunct/>
              <w:topLinePunct w:val="0"/>
              <w:bidi w:val="0"/>
              <w:spacing w:line="240" w:lineRule="auto"/>
            </w:pPr>
          </w:p>
        </w:tc>
        <w:tc>
          <w:tcPr>
            <w:tcW w:w="1216" w:type="dxa"/>
            <w:tcBorders>
              <w:top w:val="single" w:color="auto" w:sz="4" w:space="0"/>
              <w:left w:val="single" w:color="auto" w:sz="4" w:space="0"/>
              <w:bottom w:val="single" w:color="auto" w:sz="4" w:space="0"/>
              <w:right w:val="single" w:color="auto" w:sz="4" w:space="0"/>
            </w:tcBorders>
            <w:noWrap/>
            <w:vAlign w:val="center"/>
          </w:tcPr>
          <w:p w14:paraId="65628650">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kern w:val="0"/>
                <w:sz w:val="24"/>
                <w:szCs w:val="24"/>
                <w:lang w:bidi="ar-SA"/>
              </w:rPr>
              <w:t>课程目标3（</w:t>
            </w:r>
            <w:r>
              <w:rPr>
                <w:rFonts w:hint="eastAsia" w:ascii="仿宋" w:eastAsia="仿宋" w:cs="仿宋"/>
                <w:kern w:val="0"/>
                <w:sz w:val="24"/>
                <w:szCs w:val="24"/>
                <w:lang w:val="en-US" w:eastAsia="zh-CN" w:bidi="ar-SA"/>
              </w:rPr>
              <w:t>1</w:t>
            </w:r>
            <w:r>
              <w:rPr>
                <w:rFonts w:hint="eastAsia" w:ascii="仿宋" w:eastAsia="仿宋" w:cs="仿宋"/>
                <w:kern w:val="0"/>
                <w:sz w:val="24"/>
                <w:szCs w:val="24"/>
                <w:lang w:bidi="ar-SA"/>
              </w:rPr>
              <w:t>0%）</w:t>
            </w:r>
          </w:p>
        </w:tc>
        <w:tc>
          <w:tcPr>
            <w:tcW w:w="3540" w:type="dxa"/>
            <w:gridSpan w:val="6"/>
            <w:tcBorders>
              <w:top w:val="single" w:color="auto" w:sz="4" w:space="0"/>
              <w:left w:val="single" w:color="auto" w:sz="4" w:space="0"/>
              <w:bottom w:val="single" w:color="auto" w:sz="4" w:space="0"/>
              <w:right w:val="single" w:color="000000" w:sz="4" w:space="0"/>
            </w:tcBorders>
            <w:noWrap/>
            <w:vAlign w:val="center"/>
          </w:tcPr>
          <w:p w14:paraId="52BA5A0C">
            <w:pPr>
              <w:keepNext w:val="0"/>
              <w:keepLines w:val="0"/>
              <w:pageBreakBefore w:val="0"/>
              <w:widowControl w:val="0"/>
              <w:kinsoku/>
              <w:wordWrap/>
              <w:overflowPunct/>
              <w:topLinePunct w:val="0"/>
              <w:bidi w:val="0"/>
              <w:adjustRightInd w:val="0"/>
              <w:snapToGrid w:val="0"/>
              <w:spacing w:line="240" w:lineRule="auto"/>
              <w:jc w:val="left"/>
              <w:rPr>
                <w:rStyle w:val="175"/>
                <w:rFonts w:hint="default" w:ascii="仿宋" w:eastAsia="仿宋"/>
                <w:color w:val="auto"/>
                <w:sz w:val="24"/>
                <w:szCs w:val="24"/>
                <w:lang w:val="en-US"/>
              </w:rPr>
            </w:pPr>
            <w:r>
              <w:rPr>
                <w:rStyle w:val="175"/>
                <w:rFonts w:hint="eastAsia" w:ascii="仿宋" w:eastAsia="仿宋"/>
                <w:color w:val="auto"/>
                <w:sz w:val="24"/>
                <w:szCs w:val="24"/>
                <w:lang w:val="en-US"/>
              </w:rPr>
              <w:t>能够在课程学习中通过教师引导、同学对比中认识到自身的不足并进行反思改进。</w:t>
            </w:r>
          </w:p>
        </w:tc>
        <w:tc>
          <w:tcPr>
            <w:tcW w:w="796" w:type="dxa"/>
            <w:tcBorders>
              <w:top w:val="single" w:color="auto" w:sz="4" w:space="0"/>
              <w:left w:val="single" w:color="000000" w:sz="4" w:space="0"/>
              <w:bottom w:val="single" w:color="auto" w:sz="4" w:space="0"/>
              <w:right w:val="single" w:color="auto" w:sz="4" w:space="0"/>
            </w:tcBorders>
            <w:noWrap/>
            <w:vAlign w:val="center"/>
          </w:tcPr>
          <w:p w14:paraId="2902CF08">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kern w:val="0"/>
                <w:sz w:val="24"/>
                <w:szCs w:val="24"/>
                <w:lang w:eastAsia="zh-CN" w:bidi="ar-SA"/>
              </w:rPr>
            </w:pPr>
            <w:r>
              <w:rPr>
                <w:rFonts w:hint="eastAsia" w:ascii="仿宋" w:eastAsia="仿宋" w:cs="仿宋"/>
                <w:kern w:val="0"/>
                <w:sz w:val="24"/>
                <w:szCs w:val="24"/>
                <w:lang w:val="en-US" w:eastAsia="zh-CN" w:bidi="ar-SA"/>
              </w:rPr>
              <w:t>1</w:t>
            </w:r>
          </w:p>
        </w:tc>
        <w:tc>
          <w:tcPr>
            <w:tcW w:w="812" w:type="dxa"/>
            <w:gridSpan w:val="2"/>
            <w:tcBorders>
              <w:top w:val="single" w:color="000000" w:sz="4" w:space="0"/>
              <w:left w:val="single" w:color="auto" w:sz="4" w:space="0"/>
              <w:bottom w:val="single" w:color="auto" w:sz="4" w:space="0"/>
              <w:right w:val="single" w:color="auto" w:sz="4" w:space="0"/>
            </w:tcBorders>
            <w:noWrap/>
            <w:vAlign w:val="center"/>
          </w:tcPr>
          <w:p w14:paraId="0A290F51">
            <w:pPr>
              <w:keepNext w:val="0"/>
              <w:keepLines w:val="0"/>
              <w:pageBreakBefore w:val="0"/>
              <w:widowControl w:val="0"/>
              <w:tabs>
                <w:tab w:val="left" w:pos="720"/>
              </w:tabs>
              <w:kinsoku/>
              <w:wordWrap/>
              <w:overflowPunct/>
              <w:topLinePunct w:val="0"/>
              <w:bidi w:val="0"/>
              <w:adjustRightInd w:val="0"/>
              <w:snapToGrid w:val="0"/>
              <w:spacing w:line="240" w:lineRule="auto"/>
              <w:jc w:val="center"/>
              <w:rPr>
                <w:rFonts w:hint="eastAsia" w:ascii="仿宋" w:eastAsia="仿宋" w:cs="仿宋"/>
                <w:kern w:val="0"/>
                <w:sz w:val="24"/>
                <w:szCs w:val="24"/>
                <w:lang w:eastAsia="zh-CN" w:bidi="ar-SA"/>
              </w:rPr>
            </w:pPr>
            <w:r>
              <w:rPr>
                <w:rFonts w:hint="eastAsia" w:ascii="仿宋" w:eastAsia="仿宋" w:cs="仿宋"/>
                <w:kern w:val="0"/>
                <w:sz w:val="24"/>
                <w:szCs w:val="24"/>
                <w:lang w:val="en-US" w:eastAsia="zh-CN" w:bidi="ar-SA"/>
              </w:rPr>
              <w:t>5</w:t>
            </w:r>
          </w:p>
        </w:tc>
        <w:tc>
          <w:tcPr>
            <w:tcW w:w="814" w:type="dxa"/>
            <w:gridSpan w:val="2"/>
            <w:tcBorders>
              <w:top w:val="single" w:color="000000" w:sz="4" w:space="0"/>
              <w:left w:val="single" w:color="auto" w:sz="4" w:space="0"/>
              <w:bottom w:val="single" w:color="auto" w:sz="4" w:space="0"/>
              <w:right w:val="single" w:color="000000" w:sz="4" w:space="0"/>
            </w:tcBorders>
            <w:noWrap/>
            <w:vAlign w:val="center"/>
          </w:tcPr>
          <w:p w14:paraId="22642E42">
            <w:pPr>
              <w:keepNext w:val="0"/>
              <w:keepLines w:val="0"/>
              <w:pageBreakBefore w:val="0"/>
              <w:widowControl w:val="0"/>
              <w:tabs>
                <w:tab w:val="left" w:pos="720"/>
              </w:tabs>
              <w:kinsoku/>
              <w:wordWrap/>
              <w:overflowPunct/>
              <w:topLinePunct w:val="0"/>
              <w:bidi w:val="0"/>
              <w:adjustRightInd w:val="0"/>
              <w:snapToGrid w:val="0"/>
              <w:spacing w:line="240" w:lineRule="auto"/>
              <w:jc w:val="center"/>
              <w:rPr>
                <w:rFonts w:hint="eastAsia" w:ascii="仿宋" w:eastAsia="仿宋" w:cs="仿宋"/>
                <w:kern w:val="0"/>
                <w:sz w:val="24"/>
                <w:szCs w:val="24"/>
                <w:lang w:eastAsia="zh-CN" w:bidi="ar-SA"/>
              </w:rPr>
            </w:pPr>
            <w:r>
              <w:rPr>
                <w:rFonts w:hint="eastAsia" w:ascii="仿宋" w:eastAsia="仿宋" w:cs="仿宋"/>
                <w:kern w:val="0"/>
                <w:sz w:val="24"/>
                <w:szCs w:val="24"/>
                <w:lang w:val="en-US" w:eastAsia="zh-CN" w:bidi="ar-SA"/>
              </w:rPr>
              <w:t>4</w:t>
            </w:r>
          </w:p>
        </w:tc>
        <w:tc>
          <w:tcPr>
            <w:tcW w:w="590" w:type="dxa"/>
            <w:gridSpan w:val="2"/>
            <w:tcBorders>
              <w:top w:val="single" w:color="000000" w:sz="4" w:space="0"/>
              <w:left w:val="single" w:color="000000" w:sz="4" w:space="0"/>
              <w:bottom w:val="single" w:color="auto" w:sz="4" w:space="0"/>
              <w:right w:val="single" w:color="auto" w:sz="4" w:space="0"/>
            </w:tcBorders>
            <w:noWrap/>
            <w:vAlign w:val="center"/>
          </w:tcPr>
          <w:p w14:paraId="011C9214">
            <w:pPr>
              <w:keepNext w:val="0"/>
              <w:keepLines w:val="0"/>
              <w:pageBreakBefore w:val="0"/>
              <w:widowControl w:val="0"/>
              <w:tabs>
                <w:tab w:val="left" w:pos="720"/>
              </w:tabs>
              <w:kinsoku/>
              <w:wordWrap/>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0</w:t>
            </w:r>
            <w:r>
              <w:rPr>
                <w:rFonts w:hint="eastAsia" w:ascii="仿宋" w:eastAsia="仿宋" w:cs="仿宋"/>
                <w:kern w:val="0"/>
                <w:sz w:val="24"/>
                <w:szCs w:val="24"/>
                <w:lang w:val="en-US" w:eastAsia="en-US" w:bidi="ar-SA"/>
              </w:rPr>
              <w:t>.</w:t>
            </w:r>
            <w:r>
              <w:rPr>
                <w:rFonts w:hint="eastAsia" w:ascii="仿宋" w:eastAsia="仿宋" w:cs="仿宋"/>
                <w:kern w:val="0"/>
                <w:sz w:val="24"/>
                <w:szCs w:val="24"/>
                <w:lang w:bidi="ar-SA"/>
              </w:rPr>
              <w:t>70</w:t>
            </w:r>
          </w:p>
        </w:tc>
      </w:tr>
      <w:tr w14:paraId="20DD88C6">
        <w:trPr>
          <w:trHeight w:val="0" w:hRule="atLeast"/>
        </w:trPr>
        <w:tc>
          <w:tcPr>
            <w:tcW w:w="1375" w:type="dxa"/>
            <w:vMerge w:val="continue"/>
            <w:tcBorders>
              <w:top w:val="single" w:color="auto" w:sz="4" w:space="0"/>
              <w:left w:val="single" w:color="auto" w:sz="4" w:space="0"/>
              <w:bottom w:val="single" w:color="auto" w:sz="4" w:space="0"/>
              <w:right w:val="single" w:color="auto" w:sz="4" w:space="0"/>
            </w:tcBorders>
            <w:noWrap/>
            <w:vAlign w:val="center"/>
          </w:tcPr>
          <w:p w14:paraId="394DE503">
            <w:pPr>
              <w:pageBreakBefore w:val="0"/>
              <w:kinsoku/>
              <w:overflowPunct/>
              <w:topLinePunct w:val="0"/>
              <w:bidi w:val="0"/>
              <w:spacing w:line="240" w:lineRule="auto"/>
            </w:pPr>
          </w:p>
        </w:tc>
        <w:tc>
          <w:tcPr>
            <w:tcW w:w="4756" w:type="dxa"/>
            <w:gridSpan w:val="7"/>
            <w:tcBorders>
              <w:top w:val="single" w:color="auto" w:sz="4" w:space="0"/>
              <w:left w:val="single" w:color="auto" w:sz="4" w:space="0"/>
              <w:bottom w:val="single" w:color="auto" w:sz="4" w:space="0"/>
              <w:right w:val="single" w:color="000000" w:sz="4" w:space="0"/>
            </w:tcBorders>
            <w:noWrap/>
            <w:vAlign w:val="center"/>
          </w:tcPr>
          <w:p w14:paraId="04773B6A">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ottom"/>
              <w:rPr>
                <w:rFonts w:hint="eastAsia" w:ascii="仿宋" w:eastAsia="仿宋" w:cs="仿宋"/>
                <w:sz w:val="24"/>
                <w:szCs w:val="24"/>
                <w:lang w:bidi="ar-SA"/>
              </w:rPr>
            </w:pPr>
            <w:r>
              <w:rPr>
                <w:rFonts w:hint="eastAsia" w:ascii="仿宋" w:eastAsia="仿宋" w:cs="仿宋"/>
                <w:sz w:val="24"/>
                <w:szCs w:val="24"/>
                <w:lang w:bidi="ar-SA"/>
              </w:rPr>
              <w:t>总分</w:t>
            </w:r>
          </w:p>
        </w:tc>
        <w:tc>
          <w:tcPr>
            <w:tcW w:w="796" w:type="dxa"/>
            <w:tcBorders>
              <w:top w:val="single" w:color="auto" w:sz="4" w:space="0"/>
              <w:left w:val="single" w:color="000000" w:sz="4" w:space="0"/>
              <w:bottom w:val="single" w:color="auto" w:sz="4" w:space="0"/>
              <w:right w:val="single" w:color="auto" w:sz="4" w:space="0"/>
            </w:tcBorders>
            <w:noWrap/>
            <w:vAlign w:val="center"/>
          </w:tcPr>
          <w:p w14:paraId="2692E1D0">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30</w:t>
            </w:r>
          </w:p>
        </w:tc>
        <w:tc>
          <w:tcPr>
            <w:tcW w:w="812" w:type="dxa"/>
            <w:gridSpan w:val="2"/>
            <w:tcBorders>
              <w:top w:val="single" w:color="000000" w:sz="4" w:space="0"/>
              <w:left w:val="single" w:color="auto" w:sz="4" w:space="0"/>
              <w:bottom w:val="single" w:color="auto" w:sz="4" w:space="0"/>
              <w:right w:val="single" w:color="auto" w:sz="4" w:space="0"/>
            </w:tcBorders>
            <w:noWrap/>
            <w:vAlign w:val="center"/>
          </w:tcPr>
          <w:p w14:paraId="2DFBDA27">
            <w:pPr>
              <w:keepNext w:val="0"/>
              <w:keepLines w:val="0"/>
              <w:pageBreakBefore w:val="0"/>
              <w:widowControl w:val="0"/>
              <w:tabs>
                <w:tab w:val="left" w:pos="720"/>
              </w:tabs>
              <w:kinsoku/>
              <w:wordWrap/>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30</w:t>
            </w:r>
          </w:p>
        </w:tc>
        <w:tc>
          <w:tcPr>
            <w:tcW w:w="814" w:type="dxa"/>
            <w:gridSpan w:val="2"/>
            <w:tcBorders>
              <w:top w:val="single" w:color="000000" w:sz="4" w:space="0"/>
              <w:left w:val="single" w:color="auto" w:sz="4" w:space="0"/>
              <w:bottom w:val="single" w:color="auto" w:sz="4" w:space="0"/>
              <w:right w:val="single" w:color="000000" w:sz="4" w:space="0"/>
            </w:tcBorders>
            <w:noWrap/>
            <w:vAlign w:val="center"/>
          </w:tcPr>
          <w:p w14:paraId="03EFFE10">
            <w:pPr>
              <w:keepNext w:val="0"/>
              <w:keepLines w:val="0"/>
              <w:pageBreakBefore w:val="0"/>
              <w:widowControl w:val="0"/>
              <w:tabs>
                <w:tab w:val="left" w:pos="720"/>
              </w:tabs>
              <w:kinsoku/>
              <w:wordWrap/>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40</w:t>
            </w:r>
          </w:p>
        </w:tc>
        <w:tc>
          <w:tcPr>
            <w:tcW w:w="590" w:type="dxa"/>
            <w:gridSpan w:val="2"/>
            <w:tcBorders>
              <w:top w:val="single" w:color="000000" w:sz="4" w:space="0"/>
              <w:left w:val="single" w:color="000000" w:sz="4" w:space="0"/>
              <w:bottom w:val="single" w:color="auto" w:sz="4" w:space="0"/>
              <w:right w:val="single" w:color="auto" w:sz="4" w:space="0"/>
            </w:tcBorders>
            <w:noWrap/>
            <w:vAlign w:val="center"/>
          </w:tcPr>
          <w:p w14:paraId="04F4CFA4">
            <w:pPr>
              <w:keepNext w:val="0"/>
              <w:keepLines w:val="0"/>
              <w:pageBreakBefore w:val="0"/>
              <w:widowControl w:val="0"/>
              <w:tabs>
                <w:tab w:val="left" w:pos="720"/>
              </w:tabs>
              <w:kinsoku/>
              <w:wordWrap/>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0</w:t>
            </w:r>
            <w:r>
              <w:rPr>
                <w:rFonts w:hint="eastAsia" w:ascii="仿宋" w:eastAsia="仿宋" w:cs="仿宋"/>
                <w:kern w:val="0"/>
                <w:sz w:val="24"/>
                <w:szCs w:val="24"/>
                <w:lang w:val="en-US" w:eastAsia="en-US" w:bidi="ar-SA"/>
              </w:rPr>
              <w:t>.</w:t>
            </w:r>
            <w:r>
              <w:rPr>
                <w:rFonts w:hint="eastAsia" w:ascii="仿宋" w:eastAsia="仿宋" w:cs="仿宋"/>
                <w:kern w:val="0"/>
                <w:sz w:val="24"/>
                <w:szCs w:val="24"/>
                <w:lang w:bidi="ar-SA"/>
              </w:rPr>
              <w:t>70</w:t>
            </w:r>
          </w:p>
        </w:tc>
      </w:tr>
      <w:tr w14:paraId="6896AE3E">
        <w:trPr>
          <w:trHeight w:val="0" w:hRule="atLeast"/>
        </w:trPr>
        <w:tc>
          <w:tcPr>
            <w:tcW w:w="1375" w:type="dxa"/>
            <w:tcBorders>
              <w:top w:val="single" w:color="auto" w:sz="4" w:space="0"/>
              <w:left w:val="single" w:color="auto" w:sz="4" w:space="0"/>
              <w:bottom w:val="single" w:color="auto" w:sz="4" w:space="0"/>
              <w:right w:val="single" w:color="auto" w:sz="4" w:space="0"/>
            </w:tcBorders>
            <w:noWrap/>
            <w:vAlign w:val="center"/>
          </w:tcPr>
          <w:p w14:paraId="27FB8016">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L</w:t>
            </w:r>
          </w:p>
          <w:p w14:paraId="0BBA9726">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学习建议</w:t>
            </w:r>
          </w:p>
        </w:tc>
        <w:tc>
          <w:tcPr>
            <w:tcW w:w="7768" w:type="dxa"/>
            <w:gridSpan w:val="14"/>
            <w:tcBorders>
              <w:top w:val="single" w:color="auto" w:sz="4" w:space="0"/>
              <w:left w:val="single" w:color="auto" w:sz="4" w:space="0"/>
              <w:bottom w:val="single" w:color="auto" w:sz="4" w:space="0"/>
              <w:right w:val="single" w:color="auto" w:sz="4" w:space="0"/>
            </w:tcBorders>
            <w:noWrap/>
            <w:vAlign w:val="center"/>
          </w:tcPr>
          <w:p w14:paraId="5F23F849">
            <w:pPr>
              <w:keepNext w:val="0"/>
              <w:keepLines w:val="0"/>
              <w:pageBreakBefore w:val="0"/>
              <w:widowControl w:val="0"/>
              <w:kinsoku/>
              <w:wordWrap/>
              <w:overflowPunct/>
              <w:topLinePunct w:val="0"/>
              <w:bidi w:val="0"/>
              <w:adjustRightInd w:val="0"/>
              <w:snapToGrid w:val="0"/>
              <w:spacing w:line="240" w:lineRule="auto"/>
              <w:rPr>
                <w:rFonts w:hint="eastAsia" w:ascii="仿宋" w:eastAsia="仿宋" w:cs="仿宋"/>
                <w:bCs/>
                <w:sz w:val="24"/>
                <w:szCs w:val="24"/>
                <w:lang w:bidi="ar-SA"/>
              </w:rPr>
            </w:pPr>
            <w:r>
              <w:rPr>
                <w:rFonts w:hint="eastAsia" w:ascii="仿宋" w:eastAsia="仿宋" w:cs="仿宋"/>
                <w:bCs/>
                <w:sz w:val="24"/>
                <w:szCs w:val="24"/>
                <w:lang w:bidi="ar-SA"/>
              </w:rPr>
              <w:t>1.自主学习。建议学生通过网络资源，规划自己的课程学习计划，充分发挥自身的学习能动性。</w:t>
            </w:r>
          </w:p>
          <w:p w14:paraId="0889F844">
            <w:pPr>
              <w:keepNext w:val="0"/>
              <w:keepLines w:val="0"/>
              <w:pageBreakBefore w:val="0"/>
              <w:widowControl w:val="0"/>
              <w:kinsoku/>
              <w:wordWrap/>
              <w:overflowPunct/>
              <w:topLinePunct w:val="0"/>
              <w:bidi w:val="0"/>
              <w:adjustRightInd w:val="0"/>
              <w:snapToGrid w:val="0"/>
              <w:spacing w:line="240" w:lineRule="auto"/>
              <w:rPr>
                <w:rFonts w:hint="eastAsia" w:ascii="仿宋" w:eastAsia="仿宋" w:cs="仿宋"/>
                <w:kern w:val="0"/>
                <w:sz w:val="24"/>
                <w:szCs w:val="24"/>
                <w:lang w:bidi="ar-SA"/>
              </w:rPr>
            </w:pPr>
            <w:r>
              <w:rPr>
                <w:rFonts w:hint="eastAsia" w:ascii="仿宋" w:eastAsia="仿宋" w:cs="仿宋"/>
                <w:bCs/>
                <w:sz w:val="24"/>
                <w:szCs w:val="24"/>
                <w:lang w:bidi="ar-SA"/>
              </w:rPr>
              <w:t>2.研究性学习。鼓励学生针对课程教学内容，尝试理论课结合实践的教学方式，提高学生的学习兴趣，了解国内外最新形体训练知识，开阔学生的视野。</w:t>
            </w:r>
          </w:p>
        </w:tc>
      </w:tr>
      <w:tr w14:paraId="17FBAE69">
        <w:trPr>
          <w:trHeight w:val="0" w:hRule="atLeast"/>
        </w:trPr>
        <w:tc>
          <w:tcPr>
            <w:tcW w:w="1375" w:type="dxa"/>
            <w:tcBorders>
              <w:top w:val="single" w:color="auto" w:sz="4" w:space="0"/>
              <w:left w:val="single" w:color="auto" w:sz="4" w:space="0"/>
              <w:bottom w:val="single" w:color="auto" w:sz="4" w:space="0"/>
              <w:right w:val="single" w:color="auto" w:sz="4" w:space="0"/>
            </w:tcBorders>
            <w:noWrap/>
            <w:vAlign w:val="center"/>
          </w:tcPr>
          <w:p w14:paraId="107A2698">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M</w:t>
            </w:r>
          </w:p>
          <w:p w14:paraId="4847E47B">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评分量表</w:t>
            </w:r>
          </w:p>
        </w:tc>
        <w:tc>
          <w:tcPr>
            <w:tcW w:w="7768" w:type="dxa"/>
            <w:gridSpan w:val="14"/>
            <w:tcBorders>
              <w:top w:val="single" w:color="auto" w:sz="4" w:space="0"/>
              <w:left w:val="single" w:color="auto" w:sz="4" w:space="0"/>
              <w:bottom w:val="single" w:color="auto" w:sz="4" w:space="0"/>
              <w:right w:val="single" w:color="auto" w:sz="4" w:space="0"/>
            </w:tcBorders>
            <w:noWrap/>
            <w:vAlign w:val="center"/>
          </w:tcPr>
          <w:p w14:paraId="7087A01C">
            <w:pPr>
              <w:keepNext w:val="0"/>
              <w:keepLines w:val="0"/>
              <w:pageBreakBefore w:val="0"/>
              <w:widowControl w:val="0"/>
              <w:tabs>
                <w:tab w:val="left" w:pos="720"/>
              </w:tabs>
              <w:kinsoku/>
              <w:wordWrap/>
              <w:overflowPunct/>
              <w:topLinePunct w:val="0"/>
              <w:bidi w:val="0"/>
              <w:adjustRightInd w:val="0"/>
              <w:snapToGrid w:val="0"/>
              <w:spacing w:line="240" w:lineRule="auto"/>
              <w:rPr>
                <w:rFonts w:hint="eastAsia" w:ascii="仿宋" w:eastAsia="仿宋" w:cs="仿宋"/>
                <w:kern w:val="0"/>
                <w:sz w:val="24"/>
                <w:szCs w:val="24"/>
                <w:lang w:bidi="ar-SA"/>
              </w:rPr>
            </w:pPr>
            <w:r>
              <w:rPr>
                <w:rFonts w:hint="eastAsia" w:ascii="仿宋" w:eastAsia="仿宋" w:cs="仿宋"/>
                <w:kern w:val="0"/>
                <w:sz w:val="24"/>
                <w:szCs w:val="24"/>
                <w:lang w:bidi="ar-SA"/>
              </w:rPr>
              <w:t>《形体舞蹈》课程目标评分量表见附表。</w:t>
            </w:r>
          </w:p>
        </w:tc>
      </w:tr>
      <w:tr w14:paraId="180E1433">
        <w:trPr>
          <w:trHeight w:val="0" w:hRule="atLeast"/>
        </w:trPr>
        <w:tc>
          <w:tcPr>
            <w:tcW w:w="1375" w:type="dxa"/>
            <w:tcBorders>
              <w:top w:val="single" w:color="auto" w:sz="4" w:space="0"/>
              <w:left w:val="single" w:color="auto" w:sz="4" w:space="0"/>
              <w:bottom w:val="single" w:color="auto" w:sz="4" w:space="0"/>
              <w:right w:val="single" w:color="auto" w:sz="4" w:space="0"/>
            </w:tcBorders>
            <w:noWrap/>
            <w:vAlign w:val="center"/>
          </w:tcPr>
          <w:p w14:paraId="02292AF5">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备注</w:t>
            </w:r>
          </w:p>
        </w:tc>
        <w:tc>
          <w:tcPr>
            <w:tcW w:w="7768" w:type="dxa"/>
            <w:gridSpan w:val="14"/>
            <w:tcBorders>
              <w:top w:val="single" w:color="auto" w:sz="4" w:space="0"/>
              <w:left w:val="single" w:color="auto" w:sz="4" w:space="0"/>
              <w:bottom w:val="single" w:color="auto" w:sz="4" w:space="0"/>
              <w:right w:val="single" w:color="auto" w:sz="4" w:space="0"/>
            </w:tcBorders>
            <w:noWrap/>
            <w:vAlign w:val="center"/>
          </w:tcPr>
          <w:p w14:paraId="375F82A6">
            <w:pPr>
              <w:keepNext w:val="0"/>
              <w:keepLines w:val="0"/>
              <w:pageBreakBefore w:val="0"/>
              <w:widowControl w:val="0"/>
              <w:kinsoku/>
              <w:wordWrap/>
              <w:overflowPunct/>
              <w:topLinePunct w:val="0"/>
              <w:bidi w:val="0"/>
              <w:adjustRightInd w:val="0"/>
              <w:snapToGrid w:val="0"/>
              <w:spacing w:line="240" w:lineRule="auto"/>
              <w:rPr>
                <w:rFonts w:hint="eastAsia" w:ascii="仿宋" w:eastAsia="仿宋" w:cs="仿宋"/>
                <w:sz w:val="24"/>
                <w:szCs w:val="24"/>
                <w:lang w:bidi="ar-SA"/>
              </w:rPr>
            </w:pPr>
            <w:r>
              <w:rPr>
                <w:rFonts w:hint="eastAsia" w:ascii="仿宋" w:eastAsia="仿宋" w:cs="仿宋"/>
                <w:sz w:val="24"/>
                <w:szCs w:val="24"/>
                <w:lang w:bidi="ar-SA"/>
              </w:rPr>
              <w:t>课程大纲A—M项由开课学院审批通过，任课教师不能自行更改。</w:t>
            </w:r>
          </w:p>
        </w:tc>
      </w:tr>
      <w:tr w14:paraId="19284AE4">
        <w:trPr>
          <w:trHeight w:val="0" w:hRule="atLeast"/>
        </w:trPr>
        <w:tc>
          <w:tcPr>
            <w:tcW w:w="1375" w:type="dxa"/>
            <w:tcBorders>
              <w:top w:val="single" w:color="auto" w:sz="4" w:space="0"/>
              <w:left w:val="single" w:color="auto" w:sz="4" w:space="0"/>
              <w:bottom w:val="single" w:color="auto" w:sz="4" w:space="0"/>
              <w:right w:val="single" w:color="auto" w:sz="4" w:space="0"/>
            </w:tcBorders>
            <w:noWrap/>
            <w:vAlign w:val="center"/>
          </w:tcPr>
          <w:p w14:paraId="66CCBF0A">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审批</w:t>
            </w:r>
          </w:p>
          <w:p w14:paraId="44CA1BA3">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意见</w:t>
            </w:r>
          </w:p>
        </w:tc>
        <w:tc>
          <w:tcPr>
            <w:tcW w:w="3868" w:type="dxa"/>
            <w:gridSpan w:val="5"/>
            <w:tcBorders>
              <w:top w:val="single" w:color="auto" w:sz="4" w:space="0"/>
              <w:left w:val="single" w:color="auto" w:sz="4" w:space="0"/>
              <w:bottom w:val="single" w:color="auto" w:sz="4" w:space="0"/>
              <w:right w:val="single" w:color="auto" w:sz="4" w:space="0"/>
            </w:tcBorders>
            <w:noWrap/>
            <w:vAlign w:val="center"/>
          </w:tcPr>
          <w:p w14:paraId="447C9710">
            <w:pPr>
              <w:keepNext w:val="0"/>
              <w:keepLines w:val="0"/>
              <w:pageBreakBefore w:val="0"/>
              <w:widowControl/>
              <w:kinsoku/>
              <w:wordWrap/>
              <w:overflowPunct/>
              <w:topLinePunct w:val="0"/>
              <w:bidi w:val="0"/>
              <w:adjustRightInd w:val="0"/>
              <w:snapToGrid w:val="0"/>
              <w:spacing w:line="240" w:lineRule="auto"/>
              <w:jc w:val="left"/>
              <w:rPr>
                <w:rFonts w:hint="eastAsia" w:ascii="仿宋" w:eastAsia="仿宋" w:cs="仿宋"/>
                <w:kern w:val="0"/>
                <w:sz w:val="24"/>
                <w:szCs w:val="24"/>
                <w:lang w:bidi="ar-SA"/>
              </w:rPr>
            </w:pPr>
            <w:r>
              <w:rPr>
                <w:rFonts w:hint="eastAsia" w:ascii="仿宋" w:eastAsia="仿宋" w:cs="仿宋"/>
                <w:kern w:val="0"/>
                <w:sz w:val="24"/>
                <w:szCs w:val="24"/>
                <w:lang w:bidi="ar-SA"/>
              </w:rPr>
              <w:t>课程教学大纲修订负责人及教学团队成员</w:t>
            </w:r>
            <w:r>
              <w:rPr>
                <w:rFonts w:hint="eastAsia" w:ascii="仿宋" w:eastAsia="仿宋" w:cs="仿宋"/>
                <w:sz w:val="24"/>
                <w:szCs w:val="24"/>
                <w:lang w:bidi="ar-SA"/>
              </w:rPr>
              <w:t>签名</w:t>
            </w:r>
            <w:r>
              <w:rPr>
                <w:rFonts w:hint="eastAsia" w:ascii="仿宋" w:eastAsia="仿宋" w:cs="仿宋"/>
                <w:kern w:val="0"/>
                <w:sz w:val="24"/>
                <w:szCs w:val="24"/>
                <w:lang w:bidi="ar-SA"/>
              </w:rPr>
              <w:t xml:space="preserve">：   </w:t>
            </w:r>
          </w:p>
          <w:p w14:paraId="308199DD">
            <w:pPr>
              <w:keepNext w:val="0"/>
              <w:keepLines w:val="0"/>
              <w:pageBreakBefore w:val="0"/>
              <w:widowControl/>
              <w:kinsoku/>
              <w:wordWrap/>
              <w:overflowPunct/>
              <w:topLinePunct w:val="0"/>
              <w:bidi w:val="0"/>
              <w:adjustRightInd w:val="0"/>
              <w:snapToGrid w:val="0"/>
              <w:spacing w:line="240" w:lineRule="auto"/>
              <w:jc w:val="left"/>
              <w:rPr>
                <w:rFonts w:hint="eastAsia" w:ascii="仿宋" w:eastAsia="仿宋" w:cs="仿宋"/>
                <w:kern w:val="0"/>
                <w:sz w:val="24"/>
                <w:szCs w:val="24"/>
                <w:lang w:bidi="ar-SA"/>
              </w:rPr>
            </w:pPr>
            <w:r>
              <w:drawing>
                <wp:anchor distT="0" distB="0" distL="114300" distR="114300" simplePos="0" relativeHeight="251660288" behindDoc="0" locked="0" layoutInCell="1" allowOverlap="1">
                  <wp:simplePos x="0" y="0"/>
                  <wp:positionH relativeFrom="column">
                    <wp:posOffset>144780</wp:posOffset>
                  </wp:positionH>
                  <wp:positionV relativeFrom="paragraph">
                    <wp:posOffset>83185</wp:posOffset>
                  </wp:positionV>
                  <wp:extent cx="835025" cy="514350"/>
                  <wp:effectExtent l="0" t="0" r="3175" b="19050"/>
                  <wp:wrapSquare wrapText="bothSides"/>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145"/>
                          <a:stretch>
                            <a:fillRect/>
                          </a:stretch>
                        </pic:blipFill>
                        <pic:spPr>
                          <a:xfrm>
                            <a:off x="0" y="0"/>
                            <a:ext cx="835025" cy="514350"/>
                          </a:xfrm>
                          <a:prstGeom prst="rect">
                            <a:avLst/>
                          </a:prstGeom>
                          <a:noFill/>
                          <a:ln>
                            <a:noFill/>
                          </a:ln>
                        </pic:spPr>
                      </pic:pic>
                    </a:graphicData>
                  </a:graphic>
                </wp:anchor>
              </w:drawing>
            </w:r>
          </w:p>
          <w:p w14:paraId="79307ABA">
            <w:pPr>
              <w:keepNext w:val="0"/>
              <w:keepLines w:val="0"/>
              <w:pageBreakBefore w:val="0"/>
              <w:widowControl/>
              <w:kinsoku/>
              <w:wordWrap/>
              <w:overflowPunct/>
              <w:topLinePunct w:val="0"/>
              <w:bidi w:val="0"/>
              <w:adjustRightInd w:val="0"/>
              <w:snapToGrid w:val="0"/>
              <w:spacing w:line="240" w:lineRule="auto"/>
              <w:jc w:val="left"/>
              <w:rPr>
                <w:rFonts w:hint="eastAsia" w:ascii="仿宋" w:eastAsia="仿宋" w:cs="仿宋"/>
                <w:kern w:val="0"/>
                <w:sz w:val="24"/>
                <w:szCs w:val="24"/>
                <w:lang w:bidi="ar-SA"/>
              </w:rPr>
            </w:pPr>
          </w:p>
          <w:p w14:paraId="61BE64A7">
            <w:pPr>
              <w:keepNext w:val="0"/>
              <w:keepLines w:val="0"/>
              <w:pageBreakBefore w:val="0"/>
              <w:widowControl/>
              <w:kinsoku/>
              <w:wordWrap/>
              <w:overflowPunct/>
              <w:topLinePunct w:val="0"/>
              <w:bidi w:val="0"/>
              <w:adjustRightInd w:val="0"/>
              <w:snapToGrid w:val="0"/>
              <w:spacing w:line="240" w:lineRule="auto"/>
              <w:jc w:val="right"/>
              <w:rPr>
                <w:rFonts w:hint="eastAsia" w:ascii="仿宋" w:eastAsia="仿宋" w:cs="仿宋"/>
                <w:kern w:val="0"/>
                <w:sz w:val="24"/>
                <w:szCs w:val="24"/>
                <w:lang w:bidi="ar-SA"/>
              </w:rPr>
            </w:pPr>
            <w:r>
              <w:rPr>
                <w:rFonts w:hint="eastAsia" w:ascii="仿宋" w:eastAsia="仿宋" w:cs="仿宋"/>
                <w:kern w:val="0"/>
                <w:sz w:val="24"/>
                <w:szCs w:val="24"/>
                <w:lang w:bidi="ar-SA"/>
              </w:rPr>
              <w:t xml:space="preserve">                                              </w:t>
            </w:r>
          </w:p>
          <w:p w14:paraId="6632B536">
            <w:pPr>
              <w:keepNext w:val="0"/>
              <w:keepLines w:val="0"/>
              <w:pageBreakBefore w:val="0"/>
              <w:widowControl/>
              <w:kinsoku/>
              <w:wordWrap/>
              <w:overflowPunct/>
              <w:topLinePunct w:val="0"/>
              <w:bidi w:val="0"/>
              <w:adjustRightInd w:val="0"/>
              <w:snapToGrid w:val="0"/>
              <w:spacing w:line="240" w:lineRule="auto"/>
              <w:jc w:val="right"/>
              <w:rPr>
                <w:rFonts w:hint="eastAsia" w:ascii="仿宋" w:eastAsia="仿宋" w:cs="仿宋"/>
                <w:kern w:val="0"/>
                <w:sz w:val="24"/>
                <w:szCs w:val="24"/>
                <w:lang w:bidi="ar-SA"/>
              </w:rPr>
            </w:pPr>
            <w:r>
              <w:rPr>
                <w:rFonts w:hint="eastAsia" w:ascii="仿宋" w:eastAsia="仿宋" w:cs="仿宋"/>
                <w:kern w:val="0"/>
                <w:sz w:val="24"/>
                <w:szCs w:val="24"/>
                <w:lang w:bidi="ar-SA"/>
              </w:rPr>
              <w:t xml:space="preserve">年   月   日 </w:t>
            </w:r>
          </w:p>
        </w:tc>
        <w:tc>
          <w:tcPr>
            <w:tcW w:w="3900" w:type="dxa"/>
            <w:gridSpan w:val="9"/>
            <w:tcBorders>
              <w:top w:val="single" w:color="auto" w:sz="4" w:space="0"/>
              <w:left w:val="single" w:color="auto" w:sz="4" w:space="0"/>
              <w:bottom w:val="single" w:color="auto" w:sz="4" w:space="0"/>
              <w:right w:val="single" w:color="auto" w:sz="4" w:space="0"/>
            </w:tcBorders>
            <w:noWrap/>
            <w:vAlign w:val="center"/>
          </w:tcPr>
          <w:p w14:paraId="048DA1C2">
            <w:pPr>
              <w:keepNext w:val="0"/>
              <w:keepLines w:val="0"/>
              <w:pageBreakBefore w:val="0"/>
              <w:widowControl/>
              <w:kinsoku/>
              <w:wordWrap/>
              <w:overflowPunct/>
              <w:topLinePunct w:val="0"/>
              <w:bidi w:val="0"/>
              <w:adjustRightInd w:val="0"/>
              <w:snapToGrid w:val="0"/>
              <w:spacing w:line="240" w:lineRule="auto"/>
              <w:jc w:val="left"/>
              <w:rPr>
                <w:rFonts w:hint="eastAsia" w:ascii="仿宋" w:eastAsia="仿宋" w:cs="仿宋"/>
                <w:kern w:val="0"/>
                <w:sz w:val="24"/>
                <w:szCs w:val="24"/>
                <w:lang w:bidi="ar-SA"/>
              </w:rPr>
            </w:pPr>
            <w:r>
              <w:rPr>
                <w:rFonts w:hint="eastAsia" w:ascii="仿宋" w:eastAsia="仿宋" w:cs="仿宋"/>
                <w:kern w:val="0"/>
                <w:sz w:val="24"/>
                <w:szCs w:val="24"/>
                <w:lang w:bidi="ar-SA"/>
              </w:rPr>
              <w:t>系主任审核意见：</w:t>
            </w:r>
          </w:p>
          <w:p w14:paraId="0A550AD9">
            <w:pPr>
              <w:keepNext w:val="0"/>
              <w:keepLines w:val="0"/>
              <w:pageBreakBefore w:val="0"/>
              <w:widowControl/>
              <w:kinsoku/>
              <w:wordWrap/>
              <w:overflowPunct/>
              <w:topLinePunct w:val="0"/>
              <w:bidi w:val="0"/>
              <w:adjustRightInd w:val="0"/>
              <w:snapToGrid w:val="0"/>
              <w:spacing w:line="240" w:lineRule="auto"/>
              <w:jc w:val="left"/>
              <w:rPr>
                <w:rFonts w:hint="eastAsia" w:ascii="仿宋" w:eastAsia="仿宋" w:cs="仿宋"/>
                <w:kern w:val="0"/>
                <w:sz w:val="24"/>
                <w:szCs w:val="24"/>
                <w:lang w:bidi="ar-SA"/>
              </w:rPr>
            </w:pPr>
          </w:p>
          <w:p w14:paraId="5DAEB6F4">
            <w:pPr>
              <w:keepNext w:val="0"/>
              <w:keepLines w:val="0"/>
              <w:pageBreakBefore w:val="0"/>
              <w:widowControl/>
              <w:kinsoku/>
              <w:wordWrap/>
              <w:overflowPunct/>
              <w:topLinePunct w:val="0"/>
              <w:bidi w:val="0"/>
              <w:adjustRightInd w:val="0"/>
              <w:snapToGrid w:val="0"/>
              <w:spacing w:line="240" w:lineRule="auto"/>
              <w:jc w:val="left"/>
              <w:rPr>
                <w:rFonts w:hint="eastAsia" w:ascii="仿宋" w:eastAsia="仿宋" w:cs="仿宋"/>
                <w:kern w:val="0"/>
                <w:sz w:val="24"/>
                <w:szCs w:val="24"/>
                <w:lang w:bidi="ar-SA"/>
              </w:rPr>
            </w:pPr>
          </w:p>
          <w:p w14:paraId="3773729C">
            <w:pPr>
              <w:keepNext w:val="0"/>
              <w:keepLines w:val="0"/>
              <w:pageBreakBefore w:val="0"/>
              <w:widowControl/>
              <w:kinsoku/>
              <w:wordWrap/>
              <w:overflowPunct/>
              <w:topLinePunct w:val="0"/>
              <w:bidi w:val="0"/>
              <w:adjustRightInd w:val="0"/>
              <w:snapToGrid w:val="0"/>
              <w:spacing w:line="240" w:lineRule="auto"/>
              <w:jc w:val="left"/>
              <w:rPr>
                <w:rFonts w:hint="eastAsia" w:ascii="仿宋" w:eastAsia="仿宋" w:cs="仿宋"/>
                <w:kern w:val="0"/>
                <w:sz w:val="24"/>
                <w:szCs w:val="24"/>
                <w:lang w:eastAsia="zh-CN" w:bidi="ar-SA"/>
              </w:rPr>
            </w:pPr>
          </w:p>
          <w:p w14:paraId="11F90286">
            <w:pPr>
              <w:keepNext w:val="0"/>
              <w:keepLines w:val="0"/>
              <w:pageBreakBefore w:val="0"/>
              <w:widowControl/>
              <w:kinsoku/>
              <w:wordWrap/>
              <w:overflowPunct/>
              <w:topLinePunct w:val="0"/>
              <w:bidi w:val="0"/>
              <w:adjustRightInd w:val="0"/>
              <w:snapToGrid w:val="0"/>
              <w:spacing w:line="240" w:lineRule="auto"/>
              <w:jc w:val="left"/>
              <w:rPr>
                <w:rFonts w:hint="eastAsia" w:ascii="仿宋" w:eastAsia="仿宋" w:cs="仿宋"/>
                <w:kern w:val="0"/>
                <w:sz w:val="24"/>
                <w:szCs w:val="24"/>
                <w:lang w:eastAsia="zh-CN" w:bidi="ar-SA"/>
              </w:rPr>
            </w:pPr>
            <w:r>
              <w:rPr>
                <w:rFonts w:hint="eastAsia" w:ascii="仿宋" w:eastAsia="仿宋" w:cs="仿宋"/>
                <w:kern w:val="0"/>
                <w:sz w:val="24"/>
                <w:szCs w:val="24"/>
                <w:lang w:bidi="ar-SA"/>
              </w:rPr>
              <w:t>系主任签名：</w:t>
            </w:r>
            <w:r>
              <w:rPr>
                <w:rFonts w:hint="eastAsia" w:ascii="仿宋" w:eastAsia="仿宋" w:cs="仿宋"/>
                <w:kern w:val="0"/>
                <w:sz w:val="24"/>
                <w:szCs w:val="24"/>
                <w:lang w:eastAsia="zh-CN" w:bidi="ar-SA"/>
              </w:rPr>
              <w:drawing>
                <wp:inline distT="0" distB="0" distL="114300" distR="114300">
                  <wp:extent cx="668020" cy="429260"/>
                  <wp:effectExtent l="0" t="0" r="17780" b="2540"/>
                  <wp:docPr id="4" name="图片 2" descr="司季发签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descr="司季发签名"/>
                          <pic:cNvPicPr>
                            <a:picLocks noChangeAspect="1"/>
                          </pic:cNvPicPr>
                        </pic:nvPicPr>
                        <pic:blipFill>
                          <a:blip r:embed="rId146"/>
                          <a:stretch>
                            <a:fillRect/>
                          </a:stretch>
                        </pic:blipFill>
                        <pic:spPr>
                          <a:xfrm>
                            <a:off x="0" y="0"/>
                            <a:ext cx="668020" cy="429260"/>
                          </a:xfrm>
                          <a:prstGeom prst="rect">
                            <a:avLst/>
                          </a:prstGeom>
                        </pic:spPr>
                      </pic:pic>
                    </a:graphicData>
                  </a:graphic>
                </wp:inline>
              </w:drawing>
            </w:r>
          </w:p>
          <w:p w14:paraId="26990B0D">
            <w:pPr>
              <w:keepNext w:val="0"/>
              <w:keepLines w:val="0"/>
              <w:pageBreakBefore w:val="0"/>
              <w:widowControl/>
              <w:kinsoku/>
              <w:wordWrap/>
              <w:overflowPunct/>
              <w:topLinePunct w:val="0"/>
              <w:bidi w:val="0"/>
              <w:adjustRightInd w:val="0"/>
              <w:snapToGrid w:val="0"/>
              <w:spacing w:line="240" w:lineRule="auto"/>
              <w:ind w:firstLine="1920" w:firstLineChars="800"/>
              <w:rPr>
                <w:rFonts w:hint="eastAsia" w:ascii="仿宋" w:eastAsia="仿宋" w:cs="仿宋"/>
                <w:kern w:val="0"/>
                <w:sz w:val="24"/>
                <w:szCs w:val="24"/>
                <w:lang w:bidi="ar-SA"/>
              </w:rPr>
            </w:pPr>
            <w:r>
              <w:rPr>
                <w:rFonts w:hint="eastAsia" w:ascii="仿宋" w:eastAsia="仿宋" w:cs="仿宋"/>
                <w:kern w:val="0"/>
                <w:sz w:val="24"/>
                <w:szCs w:val="24"/>
                <w:lang w:bidi="ar-SA"/>
              </w:rPr>
              <w:t>年   月   日</w:t>
            </w:r>
          </w:p>
        </w:tc>
      </w:tr>
    </w:tbl>
    <w:p w14:paraId="2606E666">
      <w:pPr>
        <w:pageBreakBefore w:val="0"/>
        <w:kinsoku/>
        <w:overflowPunct/>
        <w:topLinePunct w:val="0"/>
        <w:bidi w:val="0"/>
        <w:spacing w:before="120" w:line="240" w:lineRule="auto"/>
        <w:jc w:val="center"/>
        <w:rPr>
          <w:rFonts w:hint="eastAsia" w:ascii="仿宋" w:eastAsia="仿宋" w:cs="黑体"/>
          <w:b/>
          <w:kern w:val="2"/>
          <w:sz w:val="28"/>
          <w:szCs w:val="28"/>
          <w:lang w:bidi="ar-SA"/>
        </w:rPr>
      </w:pPr>
      <w:r>
        <w:rPr>
          <w:rFonts w:hint="eastAsia" w:ascii="仿宋" w:eastAsia="仿宋" w:cs="仿宋"/>
          <w:b/>
          <w:kern w:val="2"/>
          <w:sz w:val="28"/>
          <w:szCs w:val="28"/>
          <w:lang w:bidi="ar-SA"/>
        </w:rPr>
        <w:t>附表：《形体舞蹈》课程目标评分量表</w:t>
      </w:r>
    </w:p>
    <w:tbl>
      <w:tblPr>
        <w:tblStyle w:val="22"/>
        <w:tblW w:w="9267" w:type="dxa"/>
        <w:tblInd w:w="80" w:type="dxa"/>
        <w:tblLayout w:type="autofit"/>
        <w:tblCellMar>
          <w:top w:w="0" w:type="dxa"/>
          <w:left w:w="108" w:type="dxa"/>
          <w:bottom w:w="0" w:type="dxa"/>
          <w:right w:w="108" w:type="dxa"/>
        </w:tblCellMar>
      </w:tblPr>
      <w:tblGrid>
        <w:gridCol w:w="1774"/>
        <w:gridCol w:w="1505"/>
        <w:gridCol w:w="1427"/>
        <w:gridCol w:w="1559"/>
        <w:gridCol w:w="1514"/>
        <w:gridCol w:w="1488"/>
      </w:tblGrid>
      <w:tr w14:paraId="3BC2D53A">
        <w:trPr>
          <w:trHeight w:val="624" w:hRule="atLeast"/>
        </w:trPr>
        <w:tc>
          <w:tcPr>
            <w:tcW w:w="1774" w:type="dxa"/>
            <w:tcBorders>
              <w:top w:val="single" w:color="000000" w:sz="4" w:space="0"/>
              <w:left w:val="single" w:color="000000" w:sz="4" w:space="0"/>
              <w:bottom w:val="single" w:color="000000" w:sz="4" w:space="0"/>
              <w:right w:val="single" w:color="000000" w:sz="4" w:space="0"/>
            </w:tcBorders>
            <w:noWrap w:val="0"/>
            <w:vAlign w:val="center"/>
          </w:tcPr>
          <w:p w14:paraId="430F230F">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课程目标</w:t>
            </w:r>
          </w:p>
        </w:tc>
        <w:tc>
          <w:tcPr>
            <w:tcW w:w="1505" w:type="dxa"/>
            <w:tcBorders>
              <w:top w:val="single" w:color="000000" w:sz="4" w:space="0"/>
              <w:left w:val="single" w:color="000000" w:sz="4" w:space="0"/>
              <w:bottom w:val="single" w:color="000000" w:sz="4" w:space="0"/>
              <w:right w:val="single" w:color="000000" w:sz="4" w:space="0"/>
            </w:tcBorders>
            <w:noWrap w:val="0"/>
            <w:vAlign w:val="center"/>
          </w:tcPr>
          <w:p w14:paraId="37D530A9">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优</w:t>
            </w:r>
          </w:p>
          <w:p w14:paraId="26A3DD88">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（X≧90）</w:t>
            </w:r>
          </w:p>
        </w:tc>
        <w:tc>
          <w:tcPr>
            <w:tcW w:w="1427" w:type="dxa"/>
            <w:tcBorders>
              <w:top w:val="single" w:color="000000" w:sz="4" w:space="0"/>
              <w:left w:val="single" w:color="000000" w:sz="4" w:space="0"/>
              <w:bottom w:val="single" w:color="000000" w:sz="4" w:space="0"/>
              <w:right w:val="single" w:color="000000" w:sz="4" w:space="0"/>
            </w:tcBorders>
            <w:noWrap w:val="0"/>
            <w:vAlign w:val="center"/>
          </w:tcPr>
          <w:p w14:paraId="61194006">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良</w:t>
            </w:r>
          </w:p>
          <w:p w14:paraId="547BCC04">
            <w:pPr>
              <w:pageBreakBefore w:val="0"/>
              <w:tabs>
                <w:tab w:val="left" w:pos="720"/>
                <w:tab w:val="left" w:pos="1224"/>
              </w:tabs>
              <w:kinsoku/>
              <w:overflowPunct/>
              <w:topLinePunct w:val="0"/>
              <w:bidi w:val="0"/>
              <w:spacing w:line="240" w:lineRule="auto"/>
              <w:ind w:left="-107" w:right="-72"/>
              <w:jc w:val="center"/>
              <w:rPr>
                <w:rFonts w:hint="eastAsia" w:ascii="仿宋" w:eastAsia="仿宋" w:cs="仿宋"/>
                <w:b/>
                <w:kern w:val="2"/>
                <w:szCs w:val="21"/>
                <w:lang w:bidi="ar-SA"/>
              </w:rPr>
            </w:pPr>
            <w:r>
              <w:rPr>
                <w:rFonts w:hint="eastAsia" w:ascii="仿宋" w:eastAsia="仿宋" w:cs="仿宋"/>
                <w:b/>
                <w:kern w:val="2"/>
                <w:szCs w:val="21"/>
                <w:lang w:bidi="ar-SA"/>
              </w:rPr>
              <w:t>（80≦X＜90）</w:t>
            </w:r>
          </w:p>
        </w:tc>
        <w:tc>
          <w:tcPr>
            <w:tcW w:w="1559" w:type="dxa"/>
            <w:tcBorders>
              <w:top w:val="single" w:color="000000" w:sz="4" w:space="0"/>
              <w:left w:val="single" w:color="000000" w:sz="4" w:space="0"/>
              <w:bottom w:val="single" w:color="000000" w:sz="4" w:space="0"/>
              <w:right w:val="single" w:color="000000" w:sz="4" w:space="0"/>
            </w:tcBorders>
            <w:noWrap w:val="0"/>
            <w:vAlign w:val="center"/>
          </w:tcPr>
          <w:p w14:paraId="4E38C0A3">
            <w:pPr>
              <w:pageBreakBefore w:val="0"/>
              <w:tabs>
                <w:tab w:val="left" w:pos="720"/>
              </w:tabs>
              <w:kinsoku/>
              <w:overflowPunct/>
              <w:topLinePunct w:val="0"/>
              <w:bidi w:val="0"/>
              <w:spacing w:line="240" w:lineRule="auto"/>
              <w:ind w:left="-107" w:right="-72"/>
              <w:jc w:val="center"/>
              <w:rPr>
                <w:rFonts w:hint="eastAsia" w:ascii="仿宋" w:eastAsia="仿宋" w:cs="仿宋"/>
                <w:b/>
                <w:kern w:val="2"/>
                <w:szCs w:val="21"/>
                <w:lang w:bidi="ar-SA"/>
              </w:rPr>
            </w:pPr>
            <w:r>
              <w:rPr>
                <w:rFonts w:hint="eastAsia" w:ascii="仿宋" w:eastAsia="仿宋" w:cs="仿宋"/>
                <w:b/>
                <w:kern w:val="2"/>
                <w:szCs w:val="21"/>
                <w:lang w:bidi="ar-SA"/>
              </w:rPr>
              <w:t>中</w:t>
            </w:r>
          </w:p>
          <w:p w14:paraId="52B85ED0">
            <w:pPr>
              <w:pageBreakBefore w:val="0"/>
              <w:tabs>
                <w:tab w:val="left" w:pos="720"/>
              </w:tabs>
              <w:kinsoku/>
              <w:overflowPunct/>
              <w:topLinePunct w:val="0"/>
              <w:bidi w:val="0"/>
              <w:spacing w:line="240" w:lineRule="auto"/>
              <w:ind w:left="-107" w:right="-72"/>
              <w:jc w:val="center"/>
              <w:rPr>
                <w:rFonts w:hint="eastAsia" w:ascii="仿宋" w:eastAsia="仿宋" w:cs="仿宋"/>
                <w:b/>
                <w:kern w:val="2"/>
                <w:szCs w:val="21"/>
                <w:lang w:bidi="ar-SA"/>
              </w:rPr>
            </w:pPr>
            <w:r>
              <w:rPr>
                <w:rFonts w:hint="eastAsia" w:ascii="仿宋" w:eastAsia="仿宋" w:cs="仿宋"/>
                <w:b/>
                <w:kern w:val="2"/>
                <w:szCs w:val="21"/>
                <w:lang w:bidi="ar-SA"/>
              </w:rPr>
              <w:t>（70≦X＜80）</w:t>
            </w:r>
          </w:p>
        </w:tc>
        <w:tc>
          <w:tcPr>
            <w:tcW w:w="1514" w:type="dxa"/>
            <w:tcBorders>
              <w:top w:val="single" w:color="000000" w:sz="4" w:space="0"/>
              <w:left w:val="single" w:color="000000" w:sz="4" w:space="0"/>
              <w:bottom w:val="single" w:color="000000" w:sz="4" w:space="0"/>
              <w:right w:val="single" w:color="000000" w:sz="4" w:space="0"/>
            </w:tcBorders>
            <w:noWrap w:val="0"/>
            <w:vAlign w:val="center"/>
          </w:tcPr>
          <w:p w14:paraId="631259F2">
            <w:pPr>
              <w:pageBreakBefore w:val="0"/>
              <w:tabs>
                <w:tab w:val="left" w:pos="720"/>
              </w:tabs>
              <w:kinsoku/>
              <w:overflowPunct/>
              <w:topLinePunct w:val="0"/>
              <w:bidi w:val="0"/>
              <w:spacing w:line="240" w:lineRule="auto"/>
              <w:ind w:left="-107" w:right="-72"/>
              <w:jc w:val="center"/>
              <w:rPr>
                <w:rFonts w:hint="eastAsia" w:ascii="仿宋" w:eastAsia="仿宋" w:cs="仿宋"/>
                <w:b/>
                <w:kern w:val="2"/>
                <w:szCs w:val="21"/>
                <w:lang w:bidi="ar-SA"/>
              </w:rPr>
            </w:pPr>
            <w:r>
              <w:rPr>
                <w:rFonts w:hint="eastAsia" w:ascii="仿宋" w:eastAsia="仿宋" w:cs="仿宋"/>
                <w:b/>
                <w:kern w:val="2"/>
                <w:szCs w:val="21"/>
                <w:lang w:bidi="ar-SA"/>
              </w:rPr>
              <w:t>及格</w:t>
            </w:r>
          </w:p>
          <w:p w14:paraId="6CEFC959">
            <w:pPr>
              <w:pageBreakBefore w:val="0"/>
              <w:tabs>
                <w:tab w:val="left" w:pos="720"/>
              </w:tabs>
              <w:kinsoku/>
              <w:overflowPunct/>
              <w:topLinePunct w:val="0"/>
              <w:bidi w:val="0"/>
              <w:spacing w:line="240" w:lineRule="auto"/>
              <w:ind w:left="-107" w:right="-72"/>
              <w:jc w:val="center"/>
              <w:rPr>
                <w:rFonts w:hint="eastAsia" w:ascii="仿宋" w:eastAsia="仿宋" w:cs="仿宋"/>
                <w:b/>
                <w:kern w:val="2"/>
                <w:szCs w:val="21"/>
                <w:lang w:bidi="ar-SA"/>
              </w:rPr>
            </w:pPr>
            <w:r>
              <w:rPr>
                <w:rFonts w:hint="eastAsia" w:ascii="仿宋" w:eastAsia="仿宋" w:cs="仿宋"/>
                <w:b/>
                <w:kern w:val="2"/>
                <w:szCs w:val="21"/>
                <w:lang w:bidi="ar-SA"/>
              </w:rPr>
              <w:t>（60≦X＜70）</w:t>
            </w:r>
          </w:p>
        </w:tc>
        <w:tc>
          <w:tcPr>
            <w:tcW w:w="1488" w:type="dxa"/>
            <w:tcBorders>
              <w:top w:val="single" w:color="000000" w:sz="4" w:space="0"/>
              <w:left w:val="single" w:color="000000" w:sz="4" w:space="0"/>
              <w:bottom w:val="single" w:color="000000" w:sz="4" w:space="0"/>
              <w:right w:val="single" w:color="000000" w:sz="4" w:space="0"/>
            </w:tcBorders>
            <w:noWrap w:val="0"/>
            <w:vAlign w:val="center"/>
          </w:tcPr>
          <w:p w14:paraId="63C9C6BC">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不及格</w:t>
            </w:r>
          </w:p>
          <w:p w14:paraId="70100BC1">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（X＜60）</w:t>
            </w:r>
          </w:p>
        </w:tc>
      </w:tr>
      <w:tr w14:paraId="27EEE219">
        <w:trPr>
          <w:trHeight w:val="624" w:hRule="atLeast"/>
        </w:trPr>
        <w:tc>
          <w:tcPr>
            <w:tcW w:w="1774" w:type="dxa"/>
            <w:tcBorders>
              <w:top w:val="single" w:color="000000" w:sz="4" w:space="0"/>
              <w:left w:val="single" w:color="000000" w:sz="4" w:space="0"/>
              <w:bottom w:val="single" w:color="000000" w:sz="4" w:space="0"/>
              <w:right w:val="single" w:color="000000" w:sz="4" w:space="0"/>
            </w:tcBorders>
            <w:noWrap w:val="0"/>
            <w:vAlign w:val="top"/>
          </w:tcPr>
          <w:p w14:paraId="4E625C62">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bCs/>
                <w:kern w:val="2"/>
                <w:szCs w:val="21"/>
                <w:lang w:bidi="ar-SA"/>
              </w:rPr>
              <w:t>课程目标1.</w:t>
            </w:r>
            <w:r>
              <w:rPr>
                <w:rFonts w:hint="eastAsia" w:ascii="楷体" w:eastAsia="楷体" w:cs="楷体"/>
                <w:kern w:val="2"/>
                <w:szCs w:val="21"/>
                <w:lang w:bidi="ar-SA"/>
              </w:rPr>
              <w:t>能够初步掌握舞蹈基础理论知识、舞蹈基本术语；能够系统掌握正确、规范、科学的基本功训练方法；纠正不良体态、塑造正确挺拔的身姿体态；具备良好健美的外形和优雅的举止风范。</w:t>
            </w:r>
          </w:p>
        </w:tc>
        <w:tc>
          <w:tcPr>
            <w:tcW w:w="1505" w:type="dxa"/>
            <w:tcBorders>
              <w:top w:val="single" w:color="000000" w:sz="4" w:space="0"/>
              <w:left w:val="single" w:color="000000" w:sz="4" w:space="0"/>
              <w:bottom w:val="single" w:color="000000" w:sz="4" w:space="0"/>
              <w:right w:val="single" w:color="000000" w:sz="4" w:space="0"/>
            </w:tcBorders>
            <w:noWrap w:val="0"/>
            <w:vAlign w:val="top"/>
          </w:tcPr>
          <w:p w14:paraId="36F17354">
            <w:pPr>
              <w:pageBreakBefore w:val="0"/>
              <w:widowControl/>
              <w:kinsoku/>
              <w:overflowPunct/>
              <w:topLinePunct w:val="0"/>
              <w:bidi w:val="0"/>
              <w:spacing w:line="240" w:lineRule="auto"/>
              <w:jc w:val="left"/>
              <w:rPr>
                <w:rFonts w:hint="eastAsia" w:ascii="楷体" w:eastAsia="楷体" w:cs="楷体"/>
                <w:bCs/>
                <w:kern w:val="2"/>
                <w:szCs w:val="21"/>
                <w:lang w:bidi="ar-SA"/>
              </w:rPr>
            </w:pPr>
            <w:r>
              <w:rPr>
                <w:rFonts w:hint="eastAsia" w:ascii="楷体" w:eastAsia="楷体" w:cs="楷体"/>
                <w:bCs/>
                <w:kern w:val="2"/>
                <w:szCs w:val="21"/>
                <w:lang w:bidi="ar-SA"/>
              </w:rPr>
              <w:t>能够较为扎实掌握舞蹈基础理论知识、舞蹈基本术语；熟练掌握正确、规范、科学的基本功训练方法；体态正确挺拔、身体协调性好、舞姿优美。</w:t>
            </w:r>
          </w:p>
        </w:tc>
        <w:tc>
          <w:tcPr>
            <w:tcW w:w="1427" w:type="dxa"/>
            <w:tcBorders>
              <w:top w:val="single" w:color="000000" w:sz="4" w:space="0"/>
              <w:left w:val="single" w:color="000000" w:sz="4" w:space="0"/>
              <w:bottom w:val="single" w:color="000000" w:sz="4" w:space="0"/>
              <w:right w:val="single" w:color="000000" w:sz="4" w:space="0"/>
            </w:tcBorders>
            <w:noWrap w:val="0"/>
            <w:vAlign w:val="top"/>
          </w:tcPr>
          <w:p w14:paraId="73B1F4FF">
            <w:pPr>
              <w:pageBreakBefore w:val="0"/>
              <w:widowControl/>
              <w:kinsoku/>
              <w:overflowPunct/>
              <w:topLinePunct w:val="0"/>
              <w:bidi w:val="0"/>
              <w:spacing w:line="240" w:lineRule="auto"/>
              <w:jc w:val="left"/>
              <w:rPr>
                <w:rFonts w:hint="eastAsia" w:ascii="楷体" w:eastAsia="楷体" w:cs="楷体"/>
                <w:bCs/>
                <w:kern w:val="2"/>
                <w:szCs w:val="21"/>
                <w:lang w:bidi="ar-SA"/>
              </w:rPr>
            </w:pPr>
            <w:r>
              <w:rPr>
                <w:rFonts w:hint="eastAsia" w:ascii="楷体" w:eastAsia="楷体" w:cs="楷体"/>
                <w:bCs/>
                <w:kern w:val="2"/>
                <w:szCs w:val="21"/>
                <w:lang w:bidi="ar-SA"/>
              </w:rPr>
              <w:t>能够较好掌握舞蹈基础理论知识、舞蹈基本术语；掌握正确、规范、科学的基本功训练方法；体态正确挺拔、身体协调性较好、舞姿较优美。</w:t>
            </w:r>
          </w:p>
        </w:tc>
        <w:tc>
          <w:tcPr>
            <w:tcW w:w="1559" w:type="dxa"/>
            <w:tcBorders>
              <w:top w:val="single" w:color="000000" w:sz="4" w:space="0"/>
              <w:left w:val="single" w:color="000000" w:sz="4" w:space="0"/>
              <w:bottom w:val="single" w:color="000000" w:sz="4" w:space="0"/>
              <w:right w:val="single" w:color="000000" w:sz="4" w:space="0"/>
            </w:tcBorders>
            <w:noWrap w:val="0"/>
            <w:vAlign w:val="top"/>
          </w:tcPr>
          <w:p w14:paraId="63662BDA">
            <w:pPr>
              <w:pageBreakBefore w:val="0"/>
              <w:widowControl/>
              <w:kinsoku/>
              <w:overflowPunct/>
              <w:topLinePunct w:val="0"/>
              <w:bidi w:val="0"/>
              <w:spacing w:line="240" w:lineRule="auto"/>
              <w:jc w:val="left"/>
              <w:rPr>
                <w:rFonts w:hint="eastAsia" w:ascii="楷体" w:eastAsia="楷体" w:cs="楷体"/>
                <w:bCs/>
                <w:kern w:val="2"/>
                <w:szCs w:val="21"/>
                <w:lang w:bidi="ar-SA"/>
              </w:rPr>
            </w:pPr>
            <w:r>
              <w:rPr>
                <w:rFonts w:hint="eastAsia" w:ascii="楷体" w:eastAsia="楷体" w:cs="楷体"/>
                <w:bCs/>
                <w:kern w:val="2"/>
                <w:szCs w:val="21"/>
                <w:lang w:bidi="ar-SA"/>
              </w:rPr>
              <w:t>能够基本掌握舞蹈基础理论知识、舞蹈基本术语；基本掌握正确、规范、科学的基本功训练方法；体态正确挺拔、身体协调性较好、舞姿较优美。</w:t>
            </w:r>
          </w:p>
        </w:tc>
        <w:tc>
          <w:tcPr>
            <w:tcW w:w="1514" w:type="dxa"/>
            <w:tcBorders>
              <w:top w:val="single" w:color="000000" w:sz="4" w:space="0"/>
              <w:left w:val="single" w:color="000000" w:sz="4" w:space="0"/>
              <w:bottom w:val="single" w:color="000000" w:sz="4" w:space="0"/>
              <w:right w:val="single" w:color="000000" w:sz="4" w:space="0"/>
            </w:tcBorders>
            <w:noWrap w:val="0"/>
            <w:vAlign w:val="top"/>
          </w:tcPr>
          <w:p w14:paraId="5E59C2F6">
            <w:pPr>
              <w:pageBreakBefore w:val="0"/>
              <w:widowControl/>
              <w:kinsoku/>
              <w:overflowPunct/>
              <w:topLinePunct w:val="0"/>
              <w:bidi w:val="0"/>
              <w:spacing w:line="240" w:lineRule="auto"/>
              <w:jc w:val="left"/>
              <w:rPr>
                <w:rFonts w:hint="eastAsia" w:ascii="楷体" w:eastAsia="楷体" w:cs="楷体"/>
                <w:bCs/>
                <w:kern w:val="2"/>
                <w:szCs w:val="21"/>
                <w:lang w:bidi="ar-SA"/>
              </w:rPr>
            </w:pPr>
            <w:r>
              <w:rPr>
                <w:rFonts w:hint="eastAsia" w:ascii="楷体" w:eastAsia="楷体" w:cs="楷体"/>
                <w:bCs/>
                <w:kern w:val="2"/>
                <w:szCs w:val="21"/>
                <w:lang w:bidi="ar-SA"/>
              </w:rPr>
              <w:t>能够基本掌握舞蹈基础理论知识、舞蹈基本术语；基本掌握正确、规范、科学的基本功训练方法；体态还有不足的地方，身体协调性一般，舞姿不够优美。</w:t>
            </w:r>
          </w:p>
        </w:tc>
        <w:tc>
          <w:tcPr>
            <w:tcW w:w="1488" w:type="dxa"/>
            <w:tcBorders>
              <w:top w:val="single" w:color="000000" w:sz="4" w:space="0"/>
              <w:left w:val="single" w:color="000000" w:sz="4" w:space="0"/>
              <w:bottom w:val="single" w:color="000000" w:sz="4" w:space="0"/>
              <w:right w:val="single" w:color="000000" w:sz="4" w:space="0"/>
            </w:tcBorders>
            <w:noWrap w:val="0"/>
            <w:vAlign w:val="top"/>
          </w:tcPr>
          <w:p w14:paraId="5CB737D6">
            <w:pPr>
              <w:pageBreakBefore w:val="0"/>
              <w:widowControl/>
              <w:kinsoku/>
              <w:overflowPunct/>
              <w:topLinePunct w:val="0"/>
              <w:bidi w:val="0"/>
              <w:spacing w:line="240" w:lineRule="auto"/>
              <w:jc w:val="left"/>
              <w:rPr>
                <w:rFonts w:hint="eastAsia" w:ascii="楷体" w:eastAsia="楷体" w:cs="楷体"/>
                <w:bCs/>
                <w:kern w:val="2"/>
                <w:szCs w:val="21"/>
                <w:lang w:bidi="ar-SA"/>
              </w:rPr>
            </w:pPr>
            <w:r>
              <w:rPr>
                <w:rFonts w:hint="eastAsia" w:ascii="楷体" w:eastAsia="楷体" w:cs="楷体"/>
                <w:bCs/>
                <w:kern w:val="2"/>
                <w:szCs w:val="21"/>
                <w:lang w:bidi="ar-SA"/>
              </w:rPr>
              <w:t>未能掌握舞蹈基础理论知识、舞蹈基本术语；未能掌握正确、规范、科学的基本功训练方法；体态还有不足的地方，身体协调性差，舞姿不够优美。</w:t>
            </w:r>
          </w:p>
        </w:tc>
      </w:tr>
      <w:tr w14:paraId="71F1D96A">
        <w:trPr>
          <w:trHeight w:val="624" w:hRule="atLeast"/>
        </w:trPr>
        <w:tc>
          <w:tcPr>
            <w:tcW w:w="1774" w:type="dxa"/>
            <w:tcBorders>
              <w:top w:val="single" w:color="000000" w:sz="4" w:space="0"/>
              <w:left w:val="single" w:color="000000" w:sz="4" w:space="0"/>
              <w:bottom w:val="single" w:color="000000" w:sz="4" w:space="0"/>
              <w:right w:val="single" w:color="000000" w:sz="4" w:space="0"/>
            </w:tcBorders>
            <w:noWrap w:val="0"/>
            <w:vAlign w:val="top"/>
          </w:tcPr>
          <w:p w14:paraId="095B833F">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bCs/>
                <w:kern w:val="2"/>
                <w:szCs w:val="21"/>
                <w:lang w:bidi="ar-SA"/>
              </w:rPr>
              <w:t>课程目标</w:t>
            </w:r>
            <w:r>
              <w:rPr>
                <w:rFonts w:hint="eastAsia" w:ascii="楷体" w:eastAsia="楷体" w:cs="楷体"/>
                <w:bCs/>
                <w:kern w:val="2"/>
                <w:szCs w:val="21"/>
                <w:lang w:val="en-US" w:eastAsia="zh-CN" w:bidi="ar-SA"/>
              </w:rPr>
              <w:t>2</w:t>
            </w:r>
            <w:r>
              <w:rPr>
                <w:rFonts w:hint="eastAsia" w:ascii="楷体" w:eastAsia="楷体" w:cs="楷体"/>
                <w:bCs/>
                <w:kern w:val="2"/>
                <w:szCs w:val="21"/>
                <w:lang w:bidi="ar-SA"/>
              </w:rPr>
              <w:t>：</w:t>
            </w:r>
            <w:r>
              <w:rPr>
                <w:rFonts w:hint="eastAsia" w:ascii="楷体" w:eastAsia="楷体" w:cs="楷体"/>
                <w:kern w:val="2"/>
                <w:szCs w:val="21"/>
                <w:lang w:bidi="ar-SA"/>
              </w:rPr>
              <w:t>改善形体美的同时，加深对音乐的理解以及内心情感的表达、提升审美感受度和艺术感知力、崇德尚艺，明确领会舞蹈教学综合育人的意义，领会“以美育人”的理念。</w:t>
            </w:r>
          </w:p>
        </w:tc>
        <w:tc>
          <w:tcPr>
            <w:tcW w:w="1505" w:type="dxa"/>
            <w:tcBorders>
              <w:top w:val="single" w:color="000000" w:sz="4" w:space="0"/>
              <w:left w:val="single" w:color="000000" w:sz="4" w:space="0"/>
              <w:bottom w:val="single" w:color="000000" w:sz="4" w:space="0"/>
              <w:right w:val="single" w:color="000000" w:sz="4" w:space="0"/>
            </w:tcBorders>
            <w:noWrap w:val="0"/>
            <w:vAlign w:val="top"/>
          </w:tcPr>
          <w:p w14:paraId="2FCF5D68">
            <w:pPr>
              <w:pageBreakBefore w:val="0"/>
              <w:widowControl/>
              <w:kinsoku/>
              <w:overflowPunct/>
              <w:topLinePunct w:val="0"/>
              <w:bidi w:val="0"/>
              <w:spacing w:line="240" w:lineRule="auto"/>
              <w:jc w:val="left"/>
              <w:rPr>
                <w:rFonts w:hint="eastAsia" w:ascii="楷体" w:eastAsia="楷体" w:cs="楷体"/>
                <w:bCs/>
                <w:kern w:val="2"/>
                <w:szCs w:val="21"/>
                <w:lang w:bidi="ar-SA"/>
              </w:rPr>
            </w:pPr>
            <w:r>
              <w:rPr>
                <w:rFonts w:hint="eastAsia" w:ascii="楷体" w:eastAsia="楷体" w:cs="楷体"/>
                <w:bCs/>
                <w:kern w:val="2"/>
                <w:szCs w:val="21"/>
                <w:lang w:bidi="ar-SA"/>
              </w:rPr>
              <w:t>具备运用舞蹈表达情感和理解音乐的能力，充分领会舞蹈教学综合育人的意义，具备在舞蹈实践中开展综合育人活动的较强能力。</w:t>
            </w:r>
          </w:p>
        </w:tc>
        <w:tc>
          <w:tcPr>
            <w:tcW w:w="1427" w:type="dxa"/>
            <w:tcBorders>
              <w:top w:val="single" w:color="000000" w:sz="4" w:space="0"/>
              <w:left w:val="single" w:color="000000" w:sz="4" w:space="0"/>
              <w:bottom w:val="single" w:color="000000" w:sz="4" w:space="0"/>
              <w:right w:val="single" w:color="000000" w:sz="4" w:space="0"/>
            </w:tcBorders>
            <w:noWrap w:val="0"/>
            <w:vAlign w:val="top"/>
          </w:tcPr>
          <w:p w14:paraId="5D1CDFB1">
            <w:pPr>
              <w:pageBreakBefore w:val="0"/>
              <w:widowControl/>
              <w:kinsoku/>
              <w:overflowPunct/>
              <w:topLinePunct w:val="0"/>
              <w:bidi w:val="0"/>
              <w:spacing w:line="240" w:lineRule="auto"/>
              <w:jc w:val="left"/>
              <w:rPr>
                <w:rFonts w:hint="eastAsia" w:ascii="楷体" w:eastAsia="楷体" w:cs="楷体"/>
                <w:bCs/>
                <w:kern w:val="2"/>
                <w:szCs w:val="21"/>
                <w:lang w:bidi="ar-SA"/>
              </w:rPr>
            </w:pPr>
            <w:r>
              <w:rPr>
                <w:rFonts w:hint="eastAsia" w:ascii="楷体" w:eastAsia="楷体" w:cs="楷体"/>
                <w:bCs/>
                <w:kern w:val="2"/>
                <w:szCs w:val="21"/>
                <w:lang w:bidi="ar-SA"/>
              </w:rPr>
              <w:t>具备运用舞蹈表达情感和理解音乐的能力，领会舞蹈学科教学综合育人的意义，具备在舞蹈实践中开展综合育人活动的能力。</w:t>
            </w:r>
          </w:p>
        </w:tc>
        <w:tc>
          <w:tcPr>
            <w:tcW w:w="1559" w:type="dxa"/>
            <w:tcBorders>
              <w:top w:val="single" w:color="000000" w:sz="4" w:space="0"/>
              <w:left w:val="single" w:color="000000" w:sz="4" w:space="0"/>
              <w:bottom w:val="single" w:color="000000" w:sz="4" w:space="0"/>
              <w:right w:val="single" w:color="000000" w:sz="4" w:space="0"/>
            </w:tcBorders>
            <w:noWrap w:val="0"/>
            <w:vAlign w:val="top"/>
          </w:tcPr>
          <w:p w14:paraId="68716DC3">
            <w:pPr>
              <w:pageBreakBefore w:val="0"/>
              <w:widowControl/>
              <w:kinsoku/>
              <w:overflowPunct/>
              <w:topLinePunct w:val="0"/>
              <w:bidi w:val="0"/>
              <w:spacing w:line="240" w:lineRule="auto"/>
              <w:jc w:val="left"/>
              <w:rPr>
                <w:rFonts w:hint="eastAsia" w:ascii="楷体" w:eastAsia="楷体" w:cs="楷体"/>
                <w:bCs/>
                <w:kern w:val="2"/>
                <w:szCs w:val="21"/>
                <w:lang w:bidi="ar-SA"/>
              </w:rPr>
            </w:pPr>
            <w:r>
              <w:rPr>
                <w:rFonts w:hint="eastAsia" w:ascii="楷体" w:eastAsia="楷体" w:cs="楷体"/>
                <w:bCs/>
                <w:kern w:val="2"/>
                <w:szCs w:val="21"/>
                <w:lang w:bidi="ar-SA"/>
              </w:rPr>
              <w:t>具备运用舞蹈表达情感和理解音乐的一般能力，基本领会舞蹈教学综合育人的意义，具备在舞蹈实践中开展综合育人活动的一般能力。</w:t>
            </w:r>
          </w:p>
        </w:tc>
        <w:tc>
          <w:tcPr>
            <w:tcW w:w="1514" w:type="dxa"/>
            <w:tcBorders>
              <w:top w:val="single" w:color="000000" w:sz="4" w:space="0"/>
              <w:left w:val="single" w:color="000000" w:sz="4" w:space="0"/>
              <w:bottom w:val="single" w:color="000000" w:sz="4" w:space="0"/>
              <w:right w:val="single" w:color="000000" w:sz="4" w:space="0"/>
            </w:tcBorders>
            <w:noWrap w:val="0"/>
            <w:vAlign w:val="top"/>
          </w:tcPr>
          <w:p w14:paraId="33BB340B">
            <w:pPr>
              <w:pageBreakBefore w:val="0"/>
              <w:widowControl/>
              <w:kinsoku/>
              <w:overflowPunct/>
              <w:topLinePunct w:val="0"/>
              <w:bidi w:val="0"/>
              <w:spacing w:line="240" w:lineRule="auto"/>
              <w:jc w:val="left"/>
              <w:rPr>
                <w:rFonts w:hint="eastAsia" w:ascii="楷体" w:eastAsia="楷体" w:cs="楷体"/>
                <w:bCs/>
                <w:kern w:val="2"/>
                <w:szCs w:val="21"/>
                <w:lang w:bidi="ar-SA"/>
              </w:rPr>
            </w:pPr>
            <w:r>
              <w:rPr>
                <w:rFonts w:hint="eastAsia" w:ascii="楷体" w:eastAsia="楷体" w:cs="楷体"/>
                <w:bCs/>
                <w:kern w:val="2"/>
                <w:szCs w:val="21"/>
                <w:lang w:bidi="ar-SA"/>
              </w:rPr>
              <w:t>具备运用舞蹈表达情感和理解音乐的一般能力，基本领会舞蹈教学综合育人的意义，不具备舞蹈实践中开展综合育人活动的能力。</w:t>
            </w:r>
          </w:p>
        </w:tc>
        <w:tc>
          <w:tcPr>
            <w:tcW w:w="1488" w:type="dxa"/>
            <w:tcBorders>
              <w:top w:val="single" w:color="000000" w:sz="4" w:space="0"/>
              <w:left w:val="single" w:color="000000" w:sz="4" w:space="0"/>
              <w:bottom w:val="single" w:color="000000" w:sz="4" w:space="0"/>
              <w:right w:val="single" w:color="000000" w:sz="4" w:space="0"/>
            </w:tcBorders>
            <w:noWrap w:val="0"/>
            <w:vAlign w:val="top"/>
          </w:tcPr>
          <w:p w14:paraId="35B18228">
            <w:pPr>
              <w:pageBreakBefore w:val="0"/>
              <w:widowControl/>
              <w:kinsoku/>
              <w:overflowPunct/>
              <w:topLinePunct w:val="0"/>
              <w:bidi w:val="0"/>
              <w:spacing w:line="240" w:lineRule="auto"/>
              <w:jc w:val="left"/>
              <w:rPr>
                <w:rFonts w:hint="eastAsia" w:ascii="楷体" w:eastAsia="楷体" w:cs="楷体"/>
                <w:bCs/>
                <w:kern w:val="2"/>
                <w:szCs w:val="21"/>
                <w:lang w:bidi="ar-SA"/>
              </w:rPr>
            </w:pPr>
            <w:r>
              <w:rPr>
                <w:rFonts w:hint="eastAsia" w:ascii="楷体" w:eastAsia="楷体" w:cs="楷体"/>
                <w:bCs/>
                <w:kern w:val="2"/>
                <w:szCs w:val="21"/>
                <w:lang w:bidi="ar-SA"/>
              </w:rPr>
              <w:t>不具备运用舞蹈表达情感和理解音乐的能力，未能领会舞蹈教学综合育人的意义，不具备在舞蹈实践中开展综合育人活动的能力。</w:t>
            </w:r>
          </w:p>
        </w:tc>
      </w:tr>
      <w:tr w14:paraId="12B90841">
        <w:trPr>
          <w:trHeight w:val="624" w:hRule="atLeast"/>
        </w:trPr>
        <w:tc>
          <w:tcPr>
            <w:tcW w:w="1774" w:type="dxa"/>
            <w:tcBorders>
              <w:top w:val="single" w:color="000000" w:sz="4" w:space="0"/>
              <w:left w:val="single" w:color="000000" w:sz="4" w:space="0"/>
              <w:bottom w:val="single" w:color="000000" w:sz="4" w:space="0"/>
              <w:right w:val="single" w:color="000000" w:sz="4" w:space="0"/>
            </w:tcBorders>
            <w:noWrap w:val="0"/>
            <w:vAlign w:val="top"/>
          </w:tcPr>
          <w:p w14:paraId="75ADE22D">
            <w:pPr>
              <w:pageBreakBefore w:val="0"/>
              <w:widowControl/>
              <w:kinsoku/>
              <w:overflowPunct/>
              <w:topLinePunct w:val="0"/>
              <w:bidi w:val="0"/>
              <w:spacing w:line="240" w:lineRule="auto"/>
              <w:jc w:val="left"/>
              <w:rPr>
                <w:rFonts w:hint="default" w:ascii="楷体" w:eastAsia="楷体" w:cs="楷体"/>
                <w:bCs/>
                <w:kern w:val="2"/>
                <w:szCs w:val="21"/>
                <w:lang w:val="en-US" w:eastAsia="zh-CN" w:bidi="ar-SA"/>
              </w:rPr>
            </w:pPr>
            <w:r>
              <w:rPr>
                <w:rFonts w:hint="eastAsia" w:ascii="楷体" w:eastAsia="楷体" w:cs="楷体"/>
                <w:bCs/>
                <w:kern w:val="2"/>
                <w:szCs w:val="21"/>
                <w:lang w:bidi="ar-SA"/>
              </w:rPr>
              <w:t>课程目标3：</w:t>
            </w:r>
            <w:r>
              <w:rPr>
                <w:rFonts w:hint="eastAsia" w:ascii="楷体" w:eastAsia="楷体" w:cs="楷体"/>
                <w:bCs/>
                <w:kern w:val="2"/>
                <w:szCs w:val="21"/>
                <w:lang w:val="en-US" w:eastAsia="zh-CN" w:bidi="ar-SA"/>
              </w:rPr>
              <w:t>具备反思意识，在课程学习过程中，能够发现自身存在的不足进行自我诊断，并进行反思，通过谦虚请教，刻苦训练加以改进。</w:t>
            </w:r>
          </w:p>
        </w:tc>
        <w:tc>
          <w:tcPr>
            <w:tcW w:w="1505" w:type="dxa"/>
            <w:tcBorders>
              <w:top w:val="single" w:color="000000" w:sz="4" w:space="0"/>
              <w:left w:val="single" w:color="000000" w:sz="4" w:space="0"/>
              <w:bottom w:val="single" w:color="000000" w:sz="4" w:space="0"/>
              <w:right w:val="single" w:color="000000" w:sz="4" w:space="0"/>
            </w:tcBorders>
            <w:noWrap w:val="0"/>
            <w:vAlign w:val="top"/>
          </w:tcPr>
          <w:p w14:paraId="61040D31">
            <w:pPr>
              <w:pageBreakBefore w:val="0"/>
              <w:widowControl/>
              <w:kinsoku/>
              <w:overflowPunct/>
              <w:topLinePunct w:val="0"/>
              <w:bidi w:val="0"/>
              <w:spacing w:line="240" w:lineRule="auto"/>
              <w:jc w:val="left"/>
              <w:rPr>
                <w:rFonts w:hint="default" w:ascii="楷体" w:eastAsia="楷体" w:cs="楷体"/>
                <w:bCs/>
                <w:kern w:val="2"/>
                <w:szCs w:val="21"/>
                <w:lang w:val="en-US" w:bidi="ar-SA"/>
              </w:rPr>
            </w:pPr>
            <w:r>
              <w:rPr>
                <w:rFonts w:hint="eastAsia" w:ascii="楷体" w:eastAsia="楷体" w:cs="楷体"/>
                <w:bCs/>
                <w:kern w:val="2"/>
                <w:szCs w:val="21"/>
                <w:lang w:val="en-US" w:eastAsia="zh-CN" w:bidi="ar-SA"/>
              </w:rPr>
              <w:t>具备较强的反思意识，在课程学习过程中，能够及时发现自身存在的不足进行自我诊断和反思，并通过谦虚请教，刻苦训练加以改进，效果佳。</w:t>
            </w:r>
          </w:p>
        </w:tc>
        <w:tc>
          <w:tcPr>
            <w:tcW w:w="1427" w:type="dxa"/>
            <w:tcBorders>
              <w:top w:val="single" w:color="000000" w:sz="4" w:space="0"/>
              <w:left w:val="single" w:color="000000" w:sz="4" w:space="0"/>
              <w:bottom w:val="single" w:color="000000" w:sz="4" w:space="0"/>
              <w:right w:val="single" w:color="000000" w:sz="4" w:space="0"/>
            </w:tcBorders>
            <w:noWrap w:val="0"/>
            <w:vAlign w:val="top"/>
          </w:tcPr>
          <w:p w14:paraId="4725150D">
            <w:pPr>
              <w:pageBreakBefore w:val="0"/>
              <w:widowControl/>
              <w:kinsoku/>
              <w:overflowPunct/>
              <w:topLinePunct w:val="0"/>
              <w:bidi w:val="0"/>
              <w:spacing w:line="240" w:lineRule="auto"/>
              <w:jc w:val="left"/>
              <w:rPr>
                <w:rFonts w:hint="default" w:ascii="楷体" w:eastAsia="楷体" w:cs="楷体"/>
                <w:bCs/>
                <w:kern w:val="2"/>
                <w:szCs w:val="21"/>
                <w:lang w:val="en-US" w:bidi="ar-SA"/>
              </w:rPr>
            </w:pPr>
            <w:r>
              <w:rPr>
                <w:rFonts w:hint="eastAsia" w:ascii="楷体" w:eastAsia="楷体" w:cs="楷体"/>
                <w:bCs/>
                <w:kern w:val="2"/>
                <w:szCs w:val="21"/>
                <w:lang w:val="en-US" w:eastAsia="zh-CN" w:bidi="ar-SA"/>
              </w:rPr>
              <w:t>具备良好的反思意识，在课程学习过程中，能够发现自身存在的不足进行自我诊断和反思，并通过谦虚请教，刻苦训练加以改进，效果良好。</w:t>
            </w:r>
          </w:p>
        </w:tc>
        <w:tc>
          <w:tcPr>
            <w:tcW w:w="1559" w:type="dxa"/>
            <w:tcBorders>
              <w:top w:val="single" w:color="000000" w:sz="4" w:space="0"/>
              <w:left w:val="single" w:color="000000" w:sz="4" w:space="0"/>
              <w:bottom w:val="single" w:color="000000" w:sz="4" w:space="0"/>
              <w:right w:val="single" w:color="000000" w:sz="4" w:space="0"/>
            </w:tcBorders>
            <w:noWrap w:val="0"/>
            <w:vAlign w:val="top"/>
          </w:tcPr>
          <w:p w14:paraId="5DB57EFA">
            <w:pPr>
              <w:pageBreakBefore w:val="0"/>
              <w:widowControl/>
              <w:kinsoku/>
              <w:overflowPunct/>
              <w:topLinePunct w:val="0"/>
              <w:bidi w:val="0"/>
              <w:spacing w:line="240" w:lineRule="auto"/>
              <w:jc w:val="left"/>
              <w:rPr>
                <w:rFonts w:hint="default" w:ascii="楷体" w:eastAsia="楷体" w:cs="楷体"/>
                <w:bCs/>
                <w:kern w:val="2"/>
                <w:szCs w:val="21"/>
                <w:lang w:val="en-US" w:bidi="ar-SA"/>
              </w:rPr>
            </w:pPr>
            <w:r>
              <w:rPr>
                <w:rFonts w:hint="eastAsia" w:ascii="楷体" w:eastAsia="楷体" w:cs="楷体"/>
                <w:bCs/>
                <w:kern w:val="2"/>
                <w:szCs w:val="21"/>
                <w:lang w:val="en-US" w:eastAsia="zh-CN" w:bidi="ar-SA"/>
              </w:rPr>
              <w:t>具备一定的反思意识，在课程学习过程中，能够发现自身存在的不足进行自我诊断，并进行反思，通过谦虚请教，刻苦训练加以改进。效果中等</w:t>
            </w:r>
          </w:p>
        </w:tc>
        <w:tc>
          <w:tcPr>
            <w:tcW w:w="1514" w:type="dxa"/>
            <w:tcBorders>
              <w:top w:val="single" w:color="000000" w:sz="4" w:space="0"/>
              <w:left w:val="single" w:color="000000" w:sz="4" w:space="0"/>
              <w:bottom w:val="single" w:color="000000" w:sz="4" w:space="0"/>
              <w:right w:val="single" w:color="000000" w:sz="4" w:space="0"/>
            </w:tcBorders>
            <w:noWrap w:val="0"/>
            <w:vAlign w:val="top"/>
          </w:tcPr>
          <w:p w14:paraId="343DD091">
            <w:pPr>
              <w:pageBreakBefore w:val="0"/>
              <w:widowControl/>
              <w:kinsoku/>
              <w:overflowPunct/>
              <w:topLinePunct w:val="0"/>
              <w:bidi w:val="0"/>
              <w:spacing w:line="240" w:lineRule="auto"/>
              <w:jc w:val="left"/>
              <w:rPr>
                <w:rFonts w:hint="default" w:ascii="楷体" w:eastAsia="楷体" w:cs="楷体"/>
                <w:bCs/>
                <w:kern w:val="2"/>
                <w:szCs w:val="21"/>
                <w:lang w:val="en-US" w:bidi="ar-SA"/>
              </w:rPr>
            </w:pPr>
            <w:r>
              <w:rPr>
                <w:rFonts w:hint="eastAsia" w:ascii="楷体" w:eastAsia="楷体" w:cs="楷体"/>
                <w:bCs/>
                <w:kern w:val="2"/>
                <w:szCs w:val="21"/>
                <w:lang w:val="en-US" w:eastAsia="zh-CN" w:bidi="ar-SA"/>
              </w:rPr>
              <w:t>具备一定的反思意识，在课程学习过程中，能够发现自身存在的不足进行自我诊断和反思，改进效果一般。</w:t>
            </w:r>
          </w:p>
        </w:tc>
        <w:tc>
          <w:tcPr>
            <w:tcW w:w="1488" w:type="dxa"/>
            <w:tcBorders>
              <w:top w:val="single" w:color="000000" w:sz="4" w:space="0"/>
              <w:left w:val="single" w:color="000000" w:sz="4" w:space="0"/>
              <w:bottom w:val="single" w:color="000000" w:sz="4" w:space="0"/>
              <w:right w:val="single" w:color="000000" w:sz="4" w:space="0"/>
            </w:tcBorders>
            <w:noWrap w:val="0"/>
            <w:vAlign w:val="top"/>
          </w:tcPr>
          <w:p w14:paraId="01391AF7">
            <w:pPr>
              <w:pageBreakBefore w:val="0"/>
              <w:widowControl/>
              <w:kinsoku/>
              <w:overflowPunct/>
              <w:topLinePunct w:val="0"/>
              <w:bidi w:val="0"/>
              <w:spacing w:line="240" w:lineRule="auto"/>
              <w:jc w:val="left"/>
              <w:rPr>
                <w:rFonts w:hint="default" w:ascii="楷体" w:eastAsia="楷体" w:cs="楷体"/>
                <w:bCs/>
                <w:kern w:val="2"/>
                <w:szCs w:val="21"/>
                <w:lang w:val="en-US" w:bidi="ar-SA"/>
              </w:rPr>
            </w:pPr>
            <w:r>
              <w:rPr>
                <w:rFonts w:hint="eastAsia" w:ascii="楷体" w:eastAsia="楷体" w:cs="楷体"/>
                <w:bCs/>
                <w:kern w:val="2"/>
                <w:szCs w:val="21"/>
                <w:lang w:val="en-US" w:eastAsia="zh-CN" w:bidi="ar-SA"/>
              </w:rPr>
              <w:t>不具备反思意识，在课程学习过程中，未能发现自身存在的不足，未能进行反思改进。</w:t>
            </w:r>
          </w:p>
        </w:tc>
      </w:tr>
    </w:tbl>
    <w:p w14:paraId="59D40244">
      <w:pPr>
        <w:rPr>
          <w:sz w:val="2"/>
          <w:szCs w:val="2"/>
        </w:rPr>
        <w:sectPr>
          <w:headerReference r:id="rId11" w:type="default"/>
          <w:footerReference r:id="rId12" w:type="default"/>
          <w:pgSz w:w="11906" w:h="16838"/>
          <w:pgMar w:top="1020" w:right="1418" w:bottom="567" w:left="1418" w:header="851" w:footer="992" w:gutter="0"/>
          <w:cols w:space="425" w:num="1"/>
          <w:docGrid w:type="lines" w:linePitch="312" w:charSpace="0"/>
        </w:sectPr>
      </w:pPr>
    </w:p>
    <w:p w14:paraId="3DEA8356">
      <w:pPr>
        <w:pageBreakBefore w:val="0"/>
        <w:kinsoku/>
        <w:overflowPunct/>
        <w:topLinePunct w:val="0"/>
        <w:bidi w:val="0"/>
        <w:adjustRightInd w:val="0"/>
        <w:snapToGrid w:val="0"/>
        <w:spacing w:line="240" w:lineRule="auto"/>
        <w:jc w:val="center"/>
        <w:rPr>
          <w:rFonts w:hint="eastAsia" w:ascii="微软雅黑" w:eastAsia="微软雅黑"/>
          <w:sz w:val="44"/>
          <w:szCs w:val="44"/>
        </w:rPr>
      </w:pPr>
      <w:r>
        <w:rPr>
          <w:rFonts w:hint="eastAsia" w:ascii="微软雅黑" w:eastAsia="微软雅黑"/>
          <w:sz w:val="44"/>
          <w:szCs w:val="44"/>
        </w:rPr>
        <w:t>三明学院音乐学（音乐教育）专业</w:t>
      </w:r>
    </w:p>
    <w:p w14:paraId="29F132DC">
      <w:pPr>
        <w:pStyle w:val="2"/>
        <w:pageBreakBefore w:val="0"/>
        <w:kinsoku/>
        <w:overflowPunct/>
        <w:topLinePunct w:val="0"/>
        <w:bidi w:val="0"/>
        <w:spacing w:before="0" w:beforeAutospacing="0" w:after="0" w:afterAutospacing="0" w:line="240" w:lineRule="auto"/>
        <w:jc w:val="center"/>
        <w:rPr>
          <w:rFonts w:hint="eastAsia" w:ascii="微软雅黑" w:eastAsia="微软雅黑"/>
          <w:b w:val="0"/>
          <w:bCs w:val="0"/>
          <w:sz w:val="44"/>
          <w:szCs w:val="44"/>
        </w:rPr>
      </w:pPr>
      <w:bookmarkStart w:id="16" w:name="_Toc1667265315"/>
      <w:bookmarkStart w:id="17" w:name="_Toc75062093"/>
      <w:bookmarkStart w:id="18" w:name="_Toc75062322"/>
      <w:bookmarkStart w:id="19" w:name="_Toc39436601"/>
      <w:bookmarkStart w:id="20" w:name="_Toc75062213"/>
      <w:bookmarkStart w:id="21" w:name="_Toc205307667"/>
      <w:bookmarkStart w:id="22" w:name="_Toc75062419"/>
      <w:bookmarkStart w:id="23" w:name="_Toc78044683"/>
      <w:bookmarkStart w:id="24" w:name="_Toc39436509"/>
      <w:bookmarkStart w:id="25" w:name="_Toc65478584"/>
      <w:bookmarkStart w:id="26" w:name="_Toc84465649"/>
      <w:bookmarkStart w:id="27" w:name="_Toc84465675"/>
      <w:bookmarkStart w:id="28" w:name="_Toc84465597"/>
      <w:bookmarkStart w:id="29" w:name="_Toc525795131"/>
      <w:bookmarkStart w:id="30" w:name="_Toc78044641"/>
      <w:bookmarkStart w:id="31" w:name="_Toc78044729"/>
      <w:bookmarkStart w:id="32" w:name="_Toc16695553"/>
      <w:r>
        <w:rPr>
          <w:rFonts w:hint="eastAsia" w:ascii="微软雅黑" w:eastAsia="微软雅黑"/>
          <w:b w:val="0"/>
          <w:bCs w:val="0"/>
          <w:sz w:val="44"/>
          <w:szCs w:val="44"/>
        </w:rPr>
        <w:t>《乐器演奏基础》课程教学大纲</w:t>
      </w:r>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tbl>
      <w:tblPr>
        <w:tblStyle w:val="22"/>
        <w:tblW w:w="91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284"/>
        <w:gridCol w:w="1187"/>
        <w:gridCol w:w="98"/>
        <w:gridCol w:w="287"/>
        <w:gridCol w:w="1572"/>
        <w:gridCol w:w="767"/>
        <w:gridCol w:w="415"/>
        <w:gridCol w:w="390"/>
        <w:gridCol w:w="574"/>
        <w:gridCol w:w="468"/>
        <w:gridCol w:w="496"/>
        <w:gridCol w:w="34"/>
        <w:gridCol w:w="52"/>
        <w:gridCol w:w="601"/>
        <w:gridCol w:w="322"/>
        <w:gridCol w:w="601"/>
      </w:tblGrid>
      <w:tr w14:paraId="32372D27">
        <w:trPr>
          <w:trHeight w:val="624" w:hRule="atLeast"/>
          <w:jc w:val="center"/>
        </w:trPr>
        <w:tc>
          <w:tcPr>
            <w:tcW w:w="1284" w:type="dxa"/>
            <w:noWrap w:val="0"/>
            <w:vAlign w:val="center"/>
          </w:tcPr>
          <w:p w14:paraId="4F0A7542">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课程名称</w:t>
            </w:r>
          </w:p>
        </w:tc>
        <w:tc>
          <w:tcPr>
            <w:tcW w:w="4716" w:type="dxa"/>
            <w:gridSpan w:val="7"/>
            <w:noWrap w:val="0"/>
            <w:vAlign w:val="center"/>
          </w:tcPr>
          <w:p w14:paraId="3BB5C054">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《乐器演奏基础》</w:t>
            </w:r>
          </w:p>
        </w:tc>
        <w:tc>
          <w:tcPr>
            <w:tcW w:w="1624" w:type="dxa"/>
            <w:gridSpan w:val="5"/>
            <w:noWrap w:val="0"/>
            <w:vAlign w:val="center"/>
          </w:tcPr>
          <w:p w14:paraId="66E05909">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课程代码</w:t>
            </w:r>
          </w:p>
        </w:tc>
        <w:tc>
          <w:tcPr>
            <w:tcW w:w="1524" w:type="dxa"/>
            <w:gridSpan w:val="3"/>
            <w:noWrap w:val="0"/>
            <w:vAlign w:val="center"/>
          </w:tcPr>
          <w:p w14:paraId="3BCC6A6A">
            <w:pPr>
              <w:pageBreakBefore w:val="0"/>
              <w:kinsoku/>
              <w:overflowPunct/>
              <w:topLinePunct w:val="0"/>
              <w:bidi w:val="0"/>
              <w:adjustRightInd w:val="0"/>
              <w:snapToGrid w:val="0"/>
              <w:spacing w:line="240" w:lineRule="auto"/>
              <w:jc w:val="center"/>
              <w:rPr>
                <w:rFonts w:hint="default" w:ascii="仿宋" w:hAnsi="仿宋" w:eastAsia="仿宋" w:cs="仿宋"/>
                <w:sz w:val="24"/>
                <w:szCs w:val="24"/>
                <w:lang w:val="en-US" w:eastAsia="zh-CN"/>
              </w:rPr>
            </w:pPr>
            <w:r>
              <w:rPr>
                <w:rFonts w:hint="eastAsia" w:ascii="仿宋" w:hAnsi="仿宋" w:eastAsia="仿宋" w:cs="仿宋"/>
                <w:color w:val="auto"/>
                <w:sz w:val="24"/>
                <w:szCs w:val="24"/>
                <w:lang w:val="en-US" w:eastAsia="zh-CN"/>
              </w:rPr>
              <w:t>1213302611</w:t>
            </w:r>
          </w:p>
          <w:p w14:paraId="228CFC40">
            <w:pPr>
              <w:pageBreakBefore w:val="0"/>
              <w:kinsoku/>
              <w:overflowPunct/>
              <w:topLinePunct w:val="0"/>
              <w:bidi w:val="0"/>
              <w:adjustRightInd w:val="0"/>
              <w:snapToGrid w:val="0"/>
              <w:spacing w:line="240" w:lineRule="auto"/>
              <w:jc w:val="center"/>
              <w:rPr>
                <w:rFonts w:hint="default" w:ascii="仿宋" w:hAnsi="仿宋" w:eastAsia="仿宋" w:cs="仿宋"/>
                <w:sz w:val="24"/>
                <w:szCs w:val="24"/>
                <w:lang w:val="en-US" w:eastAsia="zh-CN"/>
              </w:rPr>
            </w:pPr>
            <w:r>
              <w:rPr>
                <w:rFonts w:hint="eastAsia" w:ascii="仿宋" w:hAnsi="仿宋" w:eastAsia="仿宋" w:cs="仿宋"/>
                <w:color w:val="auto"/>
                <w:sz w:val="24"/>
                <w:szCs w:val="24"/>
                <w:lang w:val="en-US" w:eastAsia="zh-CN"/>
              </w:rPr>
              <w:t>1213302612</w:t>
            </w:r>
          </w:p>
          <w:p w14:paraId="1E2ED2FA">
            <w:pPr>
              <w:pageBreakBefore w:val="0"/>
              <w:kinsoku/>
              <w:overflowPunct/>
              <w:topLinePunct w:val="0"/>
              <w:bidi w:val="0"/>
              <w:adjustRightInd w:val="0"/>
              <w:snapToGrid w:val="0"/>
              <w:spacing w:line="240" w:lineRule="auto"/>
              <w:jc w:val="center"/>
              <w:rPr>
                <w:rFonts w:hint="default" w:ascii="仿宋" w:hAnsi="仿宋" w:eastAsia="仿宋" w:cs="仿宋"/>
                <w:sz w:val="24"/>
                <w:szCs w:val="24"/>
                <w:lang w:val="en-US" w:eastAsia="zh-CN"/>
              </w:rPr>
            </w:pPr>
            <w:r>
              <w:rPr>
                <w:rFonts w:hint="eastAsia" w:ascii="仿宋" w:hAnsi="仿宋" w:eastAsia="仿宋" w:cs="仿宋"/>
                <w:color w:val="auto"/>
                <w:sz w:val="24"/>
                <w:szCs w:val="24"/>
                <w:lang w:val="en-US" w:eastAsia="zh-CN"/>
              </w:rPr>
              <w:t>1213302613</w:t>
            </w:r>
          </w:p>
          <w:p w14:paraId="44B03177">
            <w:pPr>
              <w:pageBreakBefore w:val="0"/>
              <w:kinsoku/>
              <w:overflowPunct/>
              <w:topLinePunct w:val="0"/>
              <w:bidi w:val="0"/>
              <w:adjustRightInd w:val="0"/>
              <w:snapToGrid w:val="0"/>
              <w:spacing w:line="240" w:lineRule="auto"/>
              <w:jc w:val="center"/>
              <w:rPr>
                <w:rFonts w:hint="default" w:ascii="仿宋" w:hAnsi="仿宋" w:eastAsia="仿宋" w:cs="仿宋"/>
                <w:sz w:val="24"/>
                <w:szCs w:val="24"/>
                <w:lang w:val="en-US" w:eastAsia="zh-CN"/>
              </w:rPr>
            </w:pPr>
            <w:r>
              <w:rPr>
                <w:rFonts w:hint="eastAsia" w:ascii="仿宋" w:hAnsi="仿宋" w:eastAsia="仿宋" w:cs="仿宋"/>
                <w:color w:val="auto"/>
                <w:sz w:val="24"/>
                <w:szCs w:val="24"/>
                <w:lang w:val="en-US" w:eastAsia="zh-CN"/>
              </w:rPr>
              <w:t>1213302614</w:t>
            </w:r>
          </w:p>
        </w:tc>
      </w:tr>
      <w:tr w14:paraId="559805C6">
        <w:trPr>
          <w:trHeight w:val="624" w:hRule="atLeast"/>
          <w:jc w:val="center"/>
        </w:trPr>
        <w:tc>
          <w:tcPr>
            <w:tcW w:w="1284" w:type="dxa"/>
            <w:noWrap w:val="0"/>
            <w:vAlign w:val="center"/>
          </w:tcPr>
          <w:p w14:paraId="5AC0A4CD">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课程类型</w:t>
            </w:r>
          </w:p>
        </w:tc>
        <w:tc>
          <w:tcPr>
            <w:tcW w:w="7864" w:type="dxa"/>
            <w:gridSpan w:val="15"/>
            <w:noWrap w:val="0"/>
            <w:vAlign w:val="center"/>
          </w:tcPr>
          <w:p w14:paraId="615CB936">
            <w:pPr>
              <w:pageBreakBefore w:val="0"/>
              <w:kinsoku/>
              <w:overflowPunct/>
              <w:topLinePunct w:val="0"/>
              <w:bidi w:val="0"/>
              <w:adjustRightInd w:val="0"/>
              <w:snapToGrid w:val="0"/>
              <w:spacing w:line="240" w:lineRule="auto"/>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通识必修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通识选修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专业必修 </w:t>
            </w:r>
          </w:p>
          <w:p w14:paraId="7ED82D09">
            <w:pPr>
              <w:pageBreakBefore w:val="0"/>
              <w:kinsoku/>
              <w:overflowPunct/>
              <w:topLinePunct w:val="0"/>
              <w:bidi w:val="0"/>
              <w:adjustRightInd w:val="0"/>
              <w:snapToGrid w:val="0"/>
              <w:spacing w:line="240" w:lineRule="auto"/>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专业选修</w:t>
            </w:r>
            <w:r>
              <w:rPr>
                <w:rFonts w:hint="eastAsia" w:ascii="仿宋" w:hAnsi="仿宋" w:eastAsia="仿宋" w:cs="仿宋"/>
                <w:sz w:val="24"/>
                <w:szCs w:val="24"/>
                <w:lang w:eastAsia="zh-TW"/>
              </w:rPr>
              <w:t xml:space="preserve">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教师教育必修 </w:t>
            </w:r>
            <w:r>
              <w:rPr>
                <w:rFonts w:hint="eastAsia" w:ascii="仿宋" w:hAnsi="仿宋" w:eastAsia="仿宋" w:cs="仿宋"/>
                <w:sz w:val="24"/>
                <w:szCs w:val="24"/>
              </w:rPr>
              <w:sym w:font="Wingdings" w:char="00A8"/>
            </w:r>
            <w:r>
              <w:rPr>
                <w:rFonts w:hint="eastAsia" w:ascii="仿宋" w:hAnsi="仿宋" w:eastAsia="仿宋" w:cs="仿宋"/>
                <w:sz w:val="24"/>
                <w:szCs w:val="24"/>
              </w:rPr>
              <w:t>教师教育选修</w:t>
            </w:r>
          </w:p>
        </w:tc>
      </w:tr>
      <w:tr w14:paraId="263E25D5">
        <w:trPr>
          <w:trHeight w:val="624" w:hRule="atLeast"/>
          <w:jc w:val="center"/>
        </w:trPr>
        <w:tc>
          <w:tcPr>
            <w:tcW w:w="1284" w:type="dxa"/>
            <w:noWrap w:val="0"/>
            <w:vAlign w:val="center"/>
          </w:tcPr>
          <w:p w14:paraId="41BFC7F2">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开课学期</w:t>
            </w:r>
          </w:p>
        </w:tc>
        <w:tc>
          <w:tcPr>
            <w:tcW w:w="1572" w:type="dxa"/>
            <w:gridSpan w:val="3"/>
            <w:noWrap w:val="0"/>
            <w:vAlign w:val="center"/>
          </w:tcPr>
          <w:p w14:paraId="1E49E171">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第1、2、3、4学期</w:t>
            </w:r>
          </w:p>
        </w:tc>
        <w:tc>
          <w:tcPr>
            <w:tcW w:w="1572" w:type="dxa"/>
            <w:noWrap w:val="0"/>
            <w:vAlign w:val="center"/>
          </w:tcPr>
          <w:p w14:paraId="3877DE01">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学分</w:t>
            </w:r>
          </w:p>
        </w:tc>
        <w:tc>
          <w:tcPr>
            <w:tcW w:w="1572" w:type="dxa"/>
            <w:gridSpan w:val="3"/>
            <w:noWrap w:val="0"/>
            <w:vAlign w:val="center"/>
          </w:tcPr>
          <w:p w14:paraId="2177C670">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2</w:t>
            </w:r>
          </w:p>
        </w:tc>
        <w:tc>
          <w:tcPr>
            <w:tcW w:w="1572" w:type="dxa"/>
            <w:gridSpan w:val="4"/>
            <w:noWrap w:val="0"/>
            <w:vAlign w:val="center"/>
          </w:tcPr>
          <w:p w14:paraId="471DA4E4">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课程负责人</w:t>
            </w:r>
          </w:p>
        </w:tc>
        <w:tc>
          <w:tcPr>
            <w:tcW w:w="1576" w:type="dxa"/>
            <w:gridSpan w:val="4"/>
            <w:noWrap w:val="0"/>
            <w:vAlign w:val="center"/>
          </w:tcPr>
          <w:p w14:paraId="32C53D09">
            <w:pPr>
              <w:pageBreakBefore w:val="0"/>
              <w:kinsoku/>
              <w:overflowPunct/>
              <w:topLinePunct w:val="0"/>
              <w:bidi w:val="0"/>
              <w:adjustRightInd w:val="0"/>
              <w:snapToGrid w:val="0"/>
              <w:spacing w:line="240" w:lineRule="auto"/>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元凯</w:t>
            </w:r>
          </w:p>
        </w:tc>
      </w:tr>
      <w:tr w14:paraId="25B10A6C">
        <w:trPr>
          <w:trHeight w:val="624" w:hRule="atLeast"/>
          <w:jc w:val="center"/>
        </w:trPr>
        <w:tc>
          <w:tcPr>
            <w:tcW w:w="1284" w:type="dxa"/>
            <w:noWrap w:val="0"/>
            <w:vAlign w:val="center"/>
          </w:tcPr>
          <w:p w14:paraId="45EF8721">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总学时</w:t>
            </w:r>
          </w:p>
        </w:tc>
        <w:tc>
          <w:tcPr>
            <w:tcW w:w="1572" w:type="dxa"/>
            <w:gridSpan w:val="3"/>
            <w:noWrap w:val="0"/>
            <w:vAlign w:val="center"/>
          </w:tcPr>
          <w:p w14:paraId="68E8840C">
            <w:pPr>
              <w:pageBreakBefore w:val="0"/>
              <w:kinsoku/>
              <w:overflowPunct/>
              <w:topLinePunct w:val="0"/>
              <w:bidi w:val="0"/>
              <w:adjustRightInd w:val="0"/>
              <w:snapToGrid w:val="0"/>
              <w:spacing w:line="240" w:lineRule="auto"/>
              <w:jc w:val="center"/>
              <w:rPr>
                <w:rFonts w:ascii="仿宋" w:hAnsi="仿宋" w:eastAsia="仿宋" w:cs="仿宋"/>
                <w:sz w:val="24"/>
                <w:szCs w:val="24"/>
              </w:rPr>
            </w:pPr>
            <w:r>
              <w:rPr>
                <w:rFonts w:hint="eastAsia" w:ascii="仿宋" w:hAnsi="仿宋" w:eastAsia="仿宋" w:cs="仿宋"/>
                <w:sz w:val="24"/>
                <w:szCs w:val="24"/>
              </w:rPr>
              <w:t>64</w:t>
            </w:r>
          </w:p>
        </w:tc>
        <w:tc>
          <w:tcPr>
            <w:tcW w:w="1572" w:type="dxa"/>
            <w:noWrap w:val="0"/>
            <w:vAlign w:val="center"/>
          </w:tcPr>
          <w:p w14:paraId="1C181C61">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理论学时</w:t>
            </w:r>
          </w:p>
        </w:tc>
        <w:tc>
          <w:tcPr>
            <w:tcW w:w="1572" w:type="dxa"/>
            <w:gridSpan w:val="3"/>
            <w:noWrap w:val="0"/>
            <w:vAlign w:val="center"/>
          </w:tcPr>
          <w:p w14:paraId="36BC815D">
            <w:pPr>
              <w:pageBreakBefore w:val="0"/>
              <w:kinsoku/>
              <w:overflowPunct/>
              <w:topLinePunct w:val="0"/>
              <w:bidi w:val="0"/>
              <w:adjustRightInd w:val="0"/>
              <w:snapToGrid w:val="0"/>
              <w:spacing w:line="240" w:lineRule="auto"/>
              <w:jc w:val="center"/>
              <w:rPr>
                <w:rFonts w:ascii="仿宋" w:hAnsi="仿宋" w:eastAsia="仿宋" w:cs="仿宋"/>
                <w:sz w:val="24"/>
                <w:szCs w:val="24"/>
              </w:rPr>
            </w:pPr>
          </w:p>
        </w:tc>
        <w:tc>
          <w:tcPr>
            <w:tcW w:w="1572" w:type="dxa"/>
            <w:gridSpan w:val="4"/>
            <w:tcBorders>
              <w:right w:val="single" w:color="000000" w:sz="4" w:space="0"/>
            </w:tcBorders>
            <w:noWrap w:val="0"/>
            <w:vAlign w:val="center"/>
          </w:tcPr>
          <w:p w14:paraId="42B0AAE5">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实践学时</w:t>
            </w:r>
          </w:p>
        </w:tc>
        <w:tc>
          <w:tcPr>
            <w:tcW w:w="1576" w:type="dxa"/>
            <w:gridSpan w:val="4"/>
            <w:tcBorders>
              <w:left w:val="single" w:color="000000" w:sz="4" w:space="0"/>
            </w:tcBorders>
            <w:noWrap w:val="0"/>
            <w:vAlign w:val="center"/>
          </w:tcPr>
          <w:p w14:paraId="686FD151">
            <w:pPr>
              <w:pageBreakBefore w:val="0"/>
              <w:kinsoku/>
              <w:overflowPunct/>
              <w:topLinePunct w:val="0"/>
              <w:bidi w:val="0"/>
              <w:adjustRightInd w:val="0"/>
              <w:snapToGrid w:val="0"/>
              <w:spacing w:line="240" w:lineRule="auto"/>
              <w:jc w:val="center"/>
              <w:rPr>
                <w:rFonts w:ascii="仿宋" w:hAnsi="仿宋" w:eastAsia="仿宋" w:cs="仿宋"/>
                <w:sz w:val="24"/>
                <w:szCs w:val="24"/>
              </w:rPr>
            </w:pPr>
            <w:r>
              <w:rPr>
                <w:rFonts w:hint="eastAsia" w:ascii="仿宋" w:hAnsi="仿宋" w:eastAsia="仿宋" w:cs="仿宋"/>
                <w:sz w:val="24"/>
                <w:szCs w:val="24"/>
              </w:rPr>
              <w:t>64</w:t>
            </w:r>
          </w:p>
        </w:tc>
      </w:tr>
      <w:tr w14:paraId="41A06CEF">
        <w:trPr>
          <w:trHeight w:val="624" w:hRule="atLeast"/>
          <w:jc w:val="center"/>
        </w:trPr>
        <w:tc>
          <w:tcPr>
            <w:tcW w:w="1284" w:type="dxa"/>
            <w:noWrap w:val="0"/>
            <w:vAlign w:val="center"/>
          </w:tcPr>
          <w:p w14:paraId="22E76E63">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先修课程与后续课程</w:t>
            </w:r>
          </w:p>
        </w:tc>
        <w:tc>
          <w:tcPr>
            <w:tcW w:w="7864" w:type="dxa"/>
            <w:gridSpan w:val="15"/>
            <w:noWrap w:val="0"/>
            <w:vAlign w:val="center"/>
          </w:tcPr>
          <w:p w14:paraId="67DD904D">
            <w:pPr>
              <w:pageBreakBefore w:val="0"/>
              <w:tabs>
                <w:tab w:val="left" w:pos="720"/>
              </w:tabs>
              <w:kinsoku/>
              <w:overflowPunct/>
              <w:topLinePunct w:val="0"/>
              <w:bidi w:val="0"/>
              <w:adjustRightInd w:val="0"/>
              <w:snapToGrid w:val="0"/>
              <w:spacing w:line="240" w:lineRule="auto"/>
              <w:jc w:val="left"/>
              <w:rPr>
                <w:rFonts w:hint="eastAsia" w:ascii="仿宋" w:hAnsi="仿宋" w:eastAsia="仿宋" w:cs="仿宋"/>
                <w:color w:val="auto"/>
                <w:sz w:val="24"/>
                <w:szCs w:val="24"/>
                <w:lang w:eastAsia="zh-CN"/>
              </w:rPr>
            </w:pPr>
            <w:r>
              <w:rPr>
                <w:rFonts w:hint="eastAsia" w:ascii="仿宋" w:hAnsi="仿宋" w:eastAsia="仿宋" w:cs="仿宋"/>
                <w:color w:val="auto"/>
                <w:sz w:val="24"/>
                <w:szCs w:val="24"/>
              </w:rPr>
              <w:t>先修课程</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乐理</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视唱练耳</w:t>
            </w:r>
            <w:r>
              <w:rPr>
                <w:rFonts w:hint="eastAsia" w:ascii="仿宋" w:hAnsi="仿宋" w:eastAsia="仿宋" w:cs="仿宋"/>
                <w:color w:val="auto"/>
                <w:sz w:val="24"/>
                <w:szCs w:val="24"/>
                <w:lang w:eastAsia="zh-CN"/>
              </w:rPr>
              <w:t>》</w:t>
            </w:r>
          </w:p>
          <w:p w14:paraId="448DE41E">
            <w:pPr>
              <w:pageBreakBefore w:val="0"/>
              <w:tabs>
                <w:tab w:val="left" w:pos="720"/>
              </w:tabs>
              <w:kinsoku/>
              <w:overflowPunct/>
              <w:topLinePunct w:val="0"/>
              <w:bidi w:val="0"/>
              <w:adjustRightInd w:val="0"/>
              <w:snapToGrid w:val="0"/>
              <w:spacing w:line="240" w:lineRule="auto"/>
              <w:jc w:val="left"/>
              <w:rPr>
                <w:rFonts w:hint="eastAsia" w:ascii="仿宋" w:hAnsi="仿宋" w:eastAsia="仿宋" w:cs="仿宋"/>
                <w:sz w:val="24"/>
                <w:szCs w:val="24"/>
                <w:lang w:eastAsia="zh-CN"/>
              </w:rPr>
            </w:pPr>
            <w:r>
              <w:rPr>
                <w:rFonts w:hint="eastAsia" w:ascii="仿宋" w:hAnsi="仿宋" w:eastAsia="仿宋" w:cs="仿宋"/>
                <w:color w:val="auto"/>
                <w:sz w:val="24"/>
                <w:szCs w:val="24"/>
              </w:rPr>
              <w:t>后续课程：</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乐器演奏</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管乐</w:t>
            </w:r>
            <w:r>
              <w:rPr>
                <w:rFonts w:hint="eastAsia" w:ascii="仿宋" w:hAnsi="仿宋" w:eastAsia="仿宋" w:cs="仿宋"/>
                <w:color w:val="auto"/>
                <w:sz w:val="24"/>
                <w:szCs w:val="24"/>
                <w:lang w:eastAsia="zh-CN"/>
              </w:rPr>
              <w:t>》</w:t>
            </w:r>
          </w:p>
        </w:tc>
      </w:tr>
      <w:tr w14:paraId="0D7693E4">
        <w:trPr>
          <w:trHeight w:val="624" w:hRule="atLeast"/>
          <w:jc w:val="center"/>
        </w:trPr>
        <w:tc>
          <w:tcPr>
            <w:tcW w:w="1284" w:type="dxa"/>
            <w:noWrap w:val="0"/>
            <w:vAlign w:val="center"/>
          </w:tcPr>
          <w:p w14:paraId="00357158">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适用专业</w:t>
            </w:r>
          </w:p>
        </w:tc>
        <w:tc>
          <w:tcPr>
            <w:tcW w:w="7864" w:type="dxa"/>
            <w:gridSpan w:val="15"/>
            <w:noWrap w:val="0"/>
            <w:vAlign w:val="center"/>
          </w:tcPr>
          <w:p w14:paraId="49560912">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音乐学</w:t>
            </w:r>
          </w:p>
        </w:tc>
      </w:tr>
      <w:tr w14:paraId="4DBD34DB">
        <w:trPr>
          <w:trHeight w:val="624" w:hRule="atLeast"/>
          <w:jc w:val="center"/>
        </w:trPr>
        <w:tc>
          <w:tcPr>
            <w:tcW w:w="1284" w:type="dxa"/>
            <w:tcBorders>
              <w:bottom w:val="single" w:color="auto" w:sz="4" w:space="0"/>
            </w:tcBorders>
            <w:noWrap w:val="0"/>
            <w:vAlign w:val="center"/>
          </w:tcPr>
          <w:p w14:paraId="3BC2FBEF">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A</w:t>
            </w:r>
          </w:p>
          <w:p w14:paraId="2E5457CE">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参考教材</w:t>
            </w:r>
          </w:p>
        </w:tc>
        <w:tc>
          <w:tcPr>
            <w:tcW w:w="7864" w:type="dxa"/>
            <w:gridSpan w:val="15"/>
            <w:tcBorders>
              <w:bottom w:val="single" w:color="auto" w:sz="4" w:space="0"/>
            </w:tcBorders>
            <w:noWrap w:val="0"/>
            <w:vAlign w:val="center"/>
          </w:tcPr>
          <w:p w14:paraId="2D37D6DF">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rPr>
              <w:t>[1]《全国二胡考级作品集》张韶</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许讲德</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赵寒阳主编，人民音乐出版社</w:t>
            </w:r>
            <w:r>
              <w:rPr>
                <w:rFonts w:hint="eastAsia" w:ascii="仿宋" w:hAnsi="仿宋" w:eastAsia="仿宋" w:cs="仿宋"/>
                <w:color w:val="000000"/>
                <w:sz w:val="24"/>
                <w:szCs w:val="24"/>
                <w:lang w:eastAsia="zh-CN"/>
              </w:rPr>
              <w:t>。</w:t>
            </w:r>
          </w:p>
          <w:p w14:paraId="644BBD9C">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rPr>
              <w:t>[2]</w:t>
            </w:r>
            <w:r>
              <w:rPr>
                <w:rFonts w:hint="eastAsia" w:ascii="仿宋" w:hAnsi="仿宋" w:eastAsia="仿宋" w:cs="仿宋"/>
                <w:color w:val="000000"/>
                <w:sz w:val="24"/>
                <w:szCs w:val="24"/>
                <w:lang w:val="en-US" w:eastAsia="zh-CN"/>
              </w:rPr>
              <w:t>《琵琶基础教程》王琛编，江苏凤凰文艺出版社。</w:t>
            </w:r>
          </w:p>
          <w:p w14:paraId="56BCFB73">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[3]</w:t>
            </w:r>
            <w:r>
              <w:rPr>
                <w:rFonts w:hint="eastAsia" w:ascii="仿宋" w:hAnsi="仿宋" w:eastAsia="仿宋" w:cs="仿宋"/>
                <w:color w:val="000000"/>
                <w:sz w:val="24"/>
                <w:szCs w:val="24"/>
                <w:lang w:eastAsia="zh-CN"/>
              </w:rPr>
              <w:t>《铃木大提琴教材》人民音乐出版社。</w:t>
            </w:r>
          </w:p>
          <w:p w14:paraId="2C10DD06">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4</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CN"/>
              </w:rPr>
              <w:t>《大提琴基础练习</w:t>
            </w:r>
            <w:r>
              <w:rPr>
                <w:rFonts w:hint="eastAsia" w:ascii="仿宋" w:hAnsi="仿宋" w:eastAsia="仿宋" w:cs="仿宋"/>
                <w:color w:val="000000"/>
                <w:sz w:val="24"/>
                <w:szCs w:val="24"/>
                <w:lang w:val="en-US" w:eastAsia="zh-CN"/>
              </w:rPr>
              <w:t>170首</w:t>
            </w:r>
            <w:r>
              <w:rPr>
                <w:rFonts w:hint="eastAsia" w:ascii="仿宋" w:hAnsi="仿宋" w:eastAsia="仿宋" w:cs="仿宋"/>
                <w:color w:val="000000"/>
                <w:sz w:val="24"/>
                <w:szCs w:val="24"/>
                <w:lang w:eastAsia="zh-CN"/>
              </w:rPr>
              <w:t>》阿尔温编著，人民出版社。</w:t>
            </w:r>
          </w:p>
          <w:p w14:paraId="0DA5105B">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5</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CN"/>
              </w:rPr>
              <w:t>《中央音乐学院大提琴考级教程》中央音乐学院考级委员会编，人民音乐出版社。</w:t>
            </w:r>
          </w:p>
          <w:p w14:paraId="2745DA5F">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6</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古筝教程 入门一至三级</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[M]袁莎</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中央音乐学院出版社</w:t>
            </w:r>
            <w:r>
              <w:rPr>
                <w:rFonts w:hint="eastAsia" w:ascii="仿宋" w:hAnsi="仿宋" w:eastAsia="仿宋" w:cs="仿宋"/>
                <w:color w:val="000000"/>
                <w:sz w:val="24"/>
                <w:szCs w:val="24"/>
                <w:lang w:eastAsia="zh-CN"/>
              </w:rPr>
              <w:t>。</w:t>
            </w:r>
          </w:p>
          <w:p w14:paraId="33CC4AB2">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7</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古筝入门修订版</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[M]童宜风,李远榕</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人民音乐出版社</w:t>
            </w:r>
            <w:r>
              <w:rPr>
                <w:rFonts w:hint="eastAsia" w:ascii="仿宋" w:hAnsi="仿宋" w:eastAsia="仿宋" w:cs="仿宋"/>
                <w:color w:val="000000"/>
                <w:sz w:val="24"/>
                <w:szCs w:val="24"/>
                <w:lang w:eastAsia="zh-CN"/>
              </w:rPr>
              <w:t>。</w:t>
            </w:r>
          </w:p>
          <w:p w14:paraId="5AA09C10">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8</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校外音乐考级全国通用教材－古筝</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[M]林玲.北京：中国青年出版社</w:t>
            </w:r>
            <w:r>
              <w:rPr>
                <w:rFonts w:hint="eastAsia" w:ascii="仿宋" w:hAnsi="仿宋" w:eastAsia="仿宋" w:cs="仿宋"/>
                <w:color w:val="000000"/>
                <w:sz w:val="24"/>
                <w:szCs w:val="24"/>
                <w:lang w:eastAsia="zh-CN"/>
              </w:rPr>
              <w:t>。</w:t>
            </w:r>
          </w:p>
          <w:p w14:paraId="1241832A">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9</w:t>
            </w:r>
            <w:r>
              <w:rPr>
                <w:rFonts w:hint="eastAsia" w:ascii="仿宋" w:hAnsi="仿宋" w:eastAsia="仿宋" w:cs="仿宋"/>
                <w:color w:val="000000"/>
                <w:sz w:val="24"/>
                <w:szCs w:val="24"/>
              </w:rPr>
              <w:t>]《66条鼓独奏》，北京风华学校编译</w:t>
            </w:r>
            <w:r>
              <w:rPr>
                <w:rFonts w:hint="eastAsia" w:ascii="仿宋" w:hAnsi="仿宋" w:eastAsia="仿宋" w:cs="仿宋"/>
                <w:color w:val="000000"/>
                <w:sz w:val="24"/>
                <w:szCs w:val="24"/>
                <w:lang w:eastAsia="zh-CN"/>
              </w:rPr>
              <w:t>。</w:t>
            </w:r>
          </w:p>
          <w:p w14:paraId="30C97DA6">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10</w:t>
            </w:r>
            <w:r>
              <w:rPr>
                <w:rFonts w:hint="eastAsia" w:ascii="仿宋" w:hAnsi="仿宋" w:eastAsia="仿宋" w:cs="仿宋"/>
                <w:color w:val="000000"/>
                <w:sz w:val="24"/>
                <w:szCs w:val="24"/>
              </w:rPr>
              <w:t>]《笛子练习曲选》曲详、曲广义编著，人民音乐出版社</w:t>
            </w:r>
            <w:r>
              <w:rPr>
                <w:rFonts w:hint="eastAsia" w:ascii="仿宋" w:hAnsi="仿宋" w:eastAsia="仿宋" w:cs="仿宋"/>
                <w:color w:val="000000"/>
                <w:sz w:val="24"/>
                <w:szCs w:val="24"/>
                <w:lang w:eastAsia="zh-CN"/>
              </w:rPr>
              <w:t>。</w:t>
            </w:r>
          </w:p>
          <w:p w14:paraId="7D9366F8">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11</w:t>
            </w:r>
            <w:r>
              <w:rPr>
                <w:rFonts w:hint="eastAsia" w:ascii="仿宋" w:hAnsi="仿宋" w:eastAsia="仿宋" w:cs="仿宋"/>
                <w:color w:val="000000"/>
                <w:sz w:val="24"/>
                <w:szCs w:val="24"/>
              </w:rPr>
              <w:t>]《中国笛子考级曲集》俞逊发、许国屏、周大成编著，上海音乐出版社</w:t>
            </w:r>
            <w:r>
              <w:rPr>
                <w:rFonts w:hint="eastAsia" w:ascii="仿宋" w:hAnsi="仿宋" w:eastAsia="仿宋" w:cs="仿宋"/>
                <w:color w:val="000000"/>
                <w:sz w:val="24"/>
                <w:szCs w:val="24"/>
                <w:lang w:eastAsia="zh-CN"/>
              </w:rPr>
              <w:t>。</w:t>
            </w:r>
          </w:p>
          <w:p w14:paraId="5213C2BE">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12</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lang w:val="en-US" w:eastAsia="zh-CN"/>
              </w:rPr>
              <w:t>长笛演奏技巧教程》郑义军著。</w:t>
            </w:r>
          </w:p>
          <w:p w14:paraId="514492DB">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13</w:t>
            </w: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《新编萨克斯管自修教程》尹志发、尹升华，中国青年出版社。</w:t>
            </w:r>
          </w:p>
          <w:p w14:paraId="16088F28">
            <w:pPr>
              <w:pageBreakBefore w:val="0"/>
              <w:kinsoku/>
              <w:overflowPunct/>
              <w:topLinePunct w:val="0"/>
              <w:bidi w:val="0"/>
              <w:adjustRightInd w:val="0"/>
              <w:snapToGrid w:val="0"/>
              <w:spacing w:line="240" w:lineRule="auto"/>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14</w:t>
            </w: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《萨克斯管考级教程》李满龙,中央音乐学院出版社。</w:t>
            </w:r>
          </w:p>
          <w:p w14:paraId="1CB88BED">
            <w:pPr>
              <w:pageBreakBefore w:val="0"/>
              <w:kinsoku/>
              <w:overflowPunct/>
              <w:topLinePunct w:val="0"/>
              <w:bidi w:val="0"/>
              <w:adjustRightInd w:val="0"/>
              <w:snapToGrid w:val="0"/>
              <w:spacing w:line="240" w:lineRule="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[15]《管乐队标准化训练教程——中音/次中音萨克斯管1-3》皮尔森,上海音乐出版社。</w:t>
            </w:r>
          </w:p>
          <w:p w14:paraId="0691D605">
            <w:pPr>
              <w:pageBreakBefore w:val="0"/>
              <w:kinsoku/>
              <w:overflowPunct/>
              <w:topLinePunct w:val="0"/>
              <w:bidi w:val="0"/>
              <w:adjustRightInd w:val="0"/>
              <w:snapToGrid w:val="0"/>
              <w:spacing w:line="240" w:lineRule="auto"/>
              <w:rPr>
                <w:rFonts w:hint="default"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[16]《</w:t>
            </w:r>
            <w:r>
              <w:rPr>
                <w:rFonts w:hint="eastAsia" w:ascii="仿宋" w:hAnsi="仿宋" w:eastAsia="仿宋" w:cs="仿宋"/>
                <w:color w:val="000000"/>
                <w:sz w:val="24"/>
                <w:szCs w:val="24"/>
                <w:lang w:val="en-US" w:eastAsia="zh-CN"/>
              </w:rPr>
              <w:t>小提琴入门与提高》杨宝智，蓝天出版社。</w:t>
            </w:r>
          </w:p>
        </w:tc>
      </w:tr>
      <w:tr w14:paraId="052DDCFB">
        <w:trPr>
          <w:trHeight w:val="624" w:hRule="atLeast"/>
          <w:jc w:val="center"/>
        </w:trPr>
        <w:tc>
          <w:tcPr>
            <w:tcW w:w="1284" w:type="dxa"/>
            <w:tcBorders>
              <w:bottom w:val="single" w:color="auto" w:sz="4" w:space="0"/>
            </w:tcBorders>
            <w:noWrap w:val="0"/>
            <w:vAlign w:val="center"/>
          </w:tcPr>
          <w:p w14:paraId="0D20AF53">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B</w:t>
            </w:r>
          </w:p>
          <w:p w14:paraId="517CE86B">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主要参考书籍</w:t>
            </w:r>
          </w:p>
        </w:tc>
        <w:tc>
          <w:tcPr>
            <w:tcW w:w="7864" w:type="dxa"/>
            <w:gridSpan w:val="15"/>
            <w:tcBorders>
              <w:bottom w:val="single" w:color="auto" w:sz="4" w:space="0"/>
            </w:tcBorders>
            <w:noWrap w:val="0"/>
            <w:vAlign w:val="center"/>
          </w:tcPr>
          <w:p w14:paraId="2D02B7C1">
            <w:pPr>
              <w:pageBreakBefore w:val="0"/>
              <w:kinsoku/>
              <w:overflowPunct/>
              <w:topLinePunct w:val="0"/>
              <w:bidi w:val="0"/>
              <w:adjustRightInd w:val="0"/>
              <w:snapToGrid w:val="0"/>
              <w:spacing w:line="240" w:lineRule="auto"/>
              <w:rPr>
                <w:rFonts w:hint="eastAsia" w:ascii="仿宋" w:hAnsi="仿宋" w:eastAsia="仿宋" w:cs="仿宋"/>
                <w:sz w:val="24"/>
                <w:szCs w:val="24"/>
                <w:lang w:eastAsia="zh-CN"/>
              </w:rPr>
            </w:pPr>
            <w:r>
              <w:rPr>
                <w:rFonts w:hint="eastAsia" w:ascii="仿宋" w:hAnsi="仿宋" w:eastAsia="仿宋" w:cs="仿宋"/>
                <w:sz w:val="24"/>
                <w:szCs w:val="24"/>
              </w:rPr>
              <w:t>[1] 《二胡基础教程》赵寒阳编著，人民音乐出版社</w:t>
            </w:r>
            <w:r>
              <w:rPr>
                <w:rFonts w:hint="eastAsia" w:ascii="仿宋" w:hAnsi="仿宋" w:eastAsia="仿宋" w:cs="仿宋"/>
                <w:sz w:val="24"/>
                <w:szCs w:val="24"/>
                <w:lang w:eastAsia="zh-CN"/>
              </w:rPr>
              <w:t>。</w:t>
            </w:r>
          </w:p>
          <w:p w14:paraId="2D6FFB9A">
            <w:pPr>
              <w:pageBreakBefore w:val="0"/>
              <w:kinsoku/>
              <w:overflowPunct/>
              <w:topLinePunct w:val="0"/>
              <w:bidi w:val="0"/>
              <w:adjustRightInd w:val="0"/>
              <w:snapToGrid w:val="0"/>
              <w:spacing w:line="240" w:lineRule="auto"/>
              <w:rPr>
                <w:rFonts w:hint="eastAsia" w:ascii="仿宋" w:hAnsi="仿宋" w:eastAsia="仿宋" w:cs="仿宋"/>
                <w:color w:val="auto"/>
                <w:sz w:val="24"/>
                <w:szCs w:val="24"/>
                <w:lang w:val="en-US" w:eastAsia="zh-CN"/>
              </w:rPr>
            </w:pPr>
            <w:r>
              <w:rPr>
                <w:rFonts w:hint="eastAsia" w:ascii="仿宋" w:hAnsi="仿宋" w:eastAsia="仿宋" w:cs="仿宋"/>
                <w:sz w:val="24"/>
                <w:szCs w:val="24"/>
              </w:rPr>
              <w:t>[2]</w:t>
            </w:r>
            <w:r>
              <w:rPr>
                <w:rFonts w:hint="eastAsia" w:ascii="仿宋" w:hAnsi="仿宋" w:eastAsia="仿宋" w:cs="仿宋"/>
                <w:color w:val="auto"/>
                <w:sz w:val="24"/>
                <w:szCs w:val="24"/>
                <w:lang w:val="en-US" w:eastAsia="zh-CN"/>
              </w:rPr>
              <w:t>《琵琶考级练习曲》叶绪然，上海音乐出版社。</w:t>
            </w:r>
          </w:p>
          <w:p w14:paraId="52DB0CC0">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eastAsia="zh-CN"/>
              </w:rPr>
            </w:pPr>
            <w:r>
              <w:rPr>
                <w:rFonts w:hint="eastAsia" w:ascii="仿宋" w:hAnsi="仿宋" w:eastAsia="仿宋" w:cs="仿宋"/>
                <w:sz w:val="24"/>
                <w:szCs w:val="24"/>
              </w:rPr>
              <w:t>[3]</w:t>
            </w:r>
            <w:r>
              <w:rPr>
                <w:rFonts w:hint="eastAsia" w:ascii="仿宋" w:hAnsi="仿宋" w:eastAsia="仿宋" w:cs="仿宋"/>
                <w:color w:val="auto"/>
                <w:sz w:val="24"/>
                <w:szCs w:val="24"/>
                <w:lang w:val="en-US" w:eastAsia="zh-CN"/>
              </w:rPr>
              <w:t>《大提琴教程音阶练习分集》王连三、宋涛编著，人民音乐出版社。</w:t>
            </w:r>
          </w:p>
          <w:p w14:paraId="0127D99B">
            <w:pPr>
              <w:pageBreakBefore w:val="0"/>
              <w:kinsoku/>
              <w:overflowPunct/>
              <w:topLinePunct w:val="0"/>
              <w:bidi w:val="0"/>
              <w:adjustRightInd w:val="0"/>
              <w:snapToGrid w:val="0"/>
              <w:spacing w:line="240" w:lineRule="auto"/>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4</w:t>
            </w:r>
            <w:r>
              <w:rPr>
                <w:rFonts w:hint="eastAsia" w:ascii="仿宋" w:hAnsi="仿宋" w:eastAsia="仿宋" w:cs="仿宋"/>
                <w:sz w:val="24"/>
                <w:szCs w:val="24"/>
              </w:rPr>
              <w:t>]</w:t>
            </w:r>
            <w:r>
              <w:rPr>
                <w:rFonts w:hint="eastAsia" w:ascii="仿宋" w:hAnsi="仿宋" w:eastAsia="仿宋" w:cs="仿宋"/>
                <w:color w:val="auto"/>
                <w:sz w:val="24"/>
                <w:szCs w:val="24"/>
                <w:lang w:val="en-US" w:eastAsia="zh-CN"/>
              </w:rPr>
              <w:t>《66条鼓独奏》，北京风华学校编译。</w:t>
            </w:r>
          </w:p>
          <w:p w14:paraId="08D99A29">
            <w:pPr>
              <w:pageBreakBefore w:val="0"/>
              <w:kinsoku/>
              <w:overflowPunct/>
              <w:topLinePunct w:val="0"/>
              <w:bidi w:val="0"/>
              <w:adjustRightInd w:val="0"/>
              <w:snapToGrid w:val="0"/>
              <w:spacing w:line="240" w:lineRule="auto"/>
              <w:rPr>
                <w:rFonts w:hint="eastAsia" w:ascii="仿宋" w:hAnsi="仿宋" w:eastAsia="仿宋" w:cs="仿宋"/>
                <w:sz w:val="24"/>
                <w:szCs w:val="24"/>
                <w:lang w:eastAsia="zh-CN"/>
              </w:rPr>
            </w:pPr>
            <w:r>
              <w:rPr>
                <w:rFonts w:hint="eastAsia" w:ascii="仿宋" w:hAnsi="仿宋" w:eastAsia="仿宋" w:cs="仿宋"/>
                <w:sz w:val="24"/>
                <w:szCs w:val="24"/>
              </w:rPr>
              <w:t>[</w:t>
            </w:r>
            <w:r>
              <w:rPr>
                <w:rFonts w:hint="eastAsia" w:ascii="仿宋" w:hAnsi="仿宋" w:eastAsia="仿宋" w:cs="仿宋"/>
                <w:sz w:val="24"/>
                <w:szCs w:val="24"/>
                <w:lang w:val="en-US" w:eastAsia="zh-CN"/>
              </w:rPr>
              <w:t>5</w:t>
            </w:r>
            <w:r>
              <w:rPr>
                <w:rFonts w:hint="eastAsia" w:ascii="仿宋" w:hAnsi="仿宋" w:eastAsia="仿宋" w:cs="仿宋"/>
                <w:sz w:val="24"/>
                <w:szCs w:val="24"/>
              </w:rPr>
              <w:t>]</w:t>
            </w:r>
            <w:r>
              <w:rPr>
                <w:rFonts w:hint="eastAsia" w:ascii="仿宋" w:hAnsi="仿宋" w:eastAsia="仿宋" w:cs="仿宋"/>
                <w:sz w:val="24"/>
                <w:szCs w:val="24"/>
                <w:lang w:eastAsia="zh-CN"/>
              </w:rPr>
              <w:t>《</w:t>
            </w:r>
            <w:r>
              <w:rPr>
                <w:rFonts w:hint="eastAsia" w:ascii="仿宋" w:hAnsi="仿宋" w:eastAsia="仿宋" w:cs="仿宋"/>
                <w:sz w:val="24"/>
                <w:szCs w:val="24"/>
              </w:rPr>
              <w:t>中国古筝考级曲集</w:t>
            </w:r>
            <w:r>
              <w:rPr>
                <w:rFonts w:hint="eastAsia" w:ascii="仿宋" w:hAnsi="仿宋" w:eastAsia="仿宋" w:cs="仿宋"/>
                <w:sz w:val="24"/>
                <w:szCs w:val="24"/>
                <w:lang w:eastAsia="zh-CN"/>
              </w:rPr>
              <w:t>》</w:t>
            </w:r>
            <w:r>
              <w:rPr>
                <w:rFonts w:hint="eastAsia" w:ascii="仿宋" w:hAnsi="仿宋" w:eastAsia="仿宋" w:cs="仿宋"/>
                <w:color w:val="000000"/>
                <w:sz w:val="24"/>
                <w:szCs w:val="24"/>
              </w:rPr>
              <w:t>[M]</w:t>
            </w:r>
            <w:r>
              <w:rPr>
                <w:rFonts w:hint="eastAsia" w:ascii="仿宋" w:hAnsi="仿宋" w:eastAsia="仿宋" w:cs="仿宋"/>
                <w:sz w:val="24"/>
                <w:szCs w:val="24"/>
              </w:rPr>
              <w:t>上海筝会</w:t>
            </w:r>
            <w:r>
              <w:rPr>
                <w:rFonts w:hint="eastAsia" w:ascii="仿宋" w:hAnsi="仿宋" w:eastAsia="仿宋" w:cs="仿宋"/>
                <w:sz w:val="24"/>
                <w:szCs w:val="24"/>
                <w:lang w:eastAsia="zh-CN"/>
              </w:rPr>
              <w:t>，</w:t>
            </w:r>
            <w:r>
              <w:rPr>
                <w:rFonts w:hint="eastAsia" w:ascii="仿宋" w:hAnsi="仿宋" w:eastAsia="仿宋" w:cs="仿宋"/>
                <w:sz w:val="24"/>
                <w:szCs w:val="24"/>
              </w:rPr>
              <w:t>上海音乐出版社</w:t>
            </w:r>
            <w:r>
              <w:rPr>
                <w:rFonts w:hint="eastAsia" w:ascii="仿宋" w:hAnsi="仿宋" w:eastAsia="仿宋" w:cs="仿宋"/>
                <w:sz w:val="24"/>
                <w:szCs w:val="24"/>
                <w:lang w:eastAsia="zh-CN"/>
              </w:rPr>
              <w:t>。</w:t>
            </w:r>
          </w:p>
          <w:p w14:paraId="23BC7F94">
            <w:pPr>
              <w:pageBreakBefore w:val="0"/>
              <w:kinsoku/>
              <w:overflowPunct/>
              <w:topLinePunct w:val="0"/>
              <w:bidi w:val="0"/>
              <w:adjustRightInd w:val="0"/>
              <w:snapToGrid w:val="0"/>
              <w:spacing w:line="240" w:lineRule="auto"/>
              <w:rPr>
                <w:rFonts w:hint="eastAsia" w:ascii="仿宋" w:hAnsi="仿宋" w:eastAsia="仿宋" w:cs="仿宋"/>
                <w:sz w:val="24"/>
                <w:szCs w:val="24"/>
                <w:lang w:eastAsia="zh-CN"/>
              </w:rPr>
            </w:pPr>
            <w:r>
              <w:rPr>
                <w:rFonts w:hint="eastAsia" w:ascii="仿宋" w:hAnsi="仿宋" w:eastAsia="仿宋" w:cs="仿宋"/>
                <w:sz w:val="24"/>
                <w:szCs w:val="24"/>
              </w:rPr>
              <w:t>[</w:t>
            </w:r>
            <w:r>
              <w:rPr>
                <w:rFonts w:hint="eastAsia" w:ascii="仿宋" w:hAnsi="仿宋" w:eastAsia="仿宋" w:cs="仿宋"/>
                <w:sz w:val="24"/>
                <w:szCs w:val="24"/>
                <w:lang w:val="en-US" w:eastAsia="zh-CN"/>
              </w:rPr>
              <w:t>6</w:t>
            </w:r>
            <w:r>
              <w:rPr>
                <w:rFonts w:hint="eastAsia" w:ascii="仿宋" w:hAnsi="仿宋" w:eastAsia="仿宋" w:cs="仿宋"/>
                <w:sz w:val="24"/>
                <w:szCs w:val="24"/>
              </w:rPr>
              <w:t>]《笛子基础教程》马迪编著，陕西旅游出版社</w:t>
            </w:r>
            <w:r>
              <w:rPr>
                <w:rFonts w:hint="eastAsia" w:ascii="仿宋" w:hAnsi="仿宋" w:eastAsia="仿宋" w:cs="仿宋"/>
                <w:sz w:val="24"/>
                <w:szCs w:val="24"/>
                <w:lang w:eastAsia="zh-CN"/>
              </w:rPr>
              <w:t>。</w:t>
            </w:r>
          </w:p>
          <w:p w14:paraId="4AE227CE">
            <w:pPr>
              <w:pageBreakBefore w:val="0"/>
              <w:kinsoku/>
              <w:overflowPunct/>
              <w:topLinePunct w:val="0"/>
              <w:bidi w:val="0"/>
              <w:adjustRightInd w:val="0"/>
              <w:snapToGrid w:val="0"/>
              <w:spacing w:line="240" w:lineRule="auto"/>
              <w:rPr>
                <w:rFonts w:hint="eastAsia" w:ascii="仿宋" w:hAnsi="仿宋" w:eastAsia="仿宋" w:cs="仿宋"/>
                <w:sz w:val="24"/>
                <w:szCs w:val="24"/>
                <w:lang w:val="en-US" w:eastAsia="zh-CN"/>
              </w:rPr>
            </w:pPr>
            <w:r>
              <w:rPr>
                <w:rFonts w:hint="eastAsia" w:ascii="仿宋" w:hAnsi="仿宋" w:eastAsia="仿宋" w:cs="仿宋"/>
                <w:sz w:val="24"/>
                <w:szCs w:val="24"/>
              </w:rPr>
              <w:t>[</w:t>
            </w:r>
            <w:r>
              <w:rPr>
                <w:rFonts w:hint="eastAsia" w:ascii="仿宋" w:hAnsi="仿宋" w:eastAsia="仿宋" w:cs="仿宋"/>
                <w:sz w:val="24"/>
                <w:szCs w:val="24"/>
                <w:lang w:val="en-US" w:eastAsia="zh-CN"/>
              </w:rPr>
              <w:t>7</w:t>
            </w:r>
            <w:r>
              <w:rPr>
                <w:rFonts w:hint="eastAsia" w:ascii="仿宋" w:hAnsi="仿宋" w:eastAsia="仿宋" w:cs="仿宋"/>
                <w:sz w:val="24"/>
                <w:szCs w:val="24"/>
              </w:rPr>
              <w:t>]</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世界著名长笛练习曲集——戈尔鲍迪专辑》</w:t>
            </w:r>
          </w:p>
          <w:p w14:paraId="27533D7C">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[8]《小提琴教材精选（一）、（二）、（三）、（四）》张世祥、徐宜懋，上海声像出版社。</w:t>
            </w:r>
          </w:p>
          <w:p w14:paraId="3B457620">
            <w:pPr>
              <w:pageBreakBefore w:val="0"/>
              <w:kinsoku/>
              <w:overflowPunct/>
              <w:topLinePunct w:val="0"/>
              <w:bidi w:val="0"/>
              <w:adjustRightInd w:val="0"/>
              <w:snapToGrid w:val="0"/>
              <w:spacing w:line="240" w:lineRule="auto"/>
              <w:rPr>
                <w:rFonts w:hint="eastAsia" w:ascii="仿宋" w:hAnsi="仿宋" w:eastAsia="仿宋" w:cs="仿宋"/>
                <w:sz w:val="24"/>
                <w:szCs w:val="24"/>
                <w:lang w:eastAsia="zh-CN"/>
              </w:rPr>
            </w:pPr>
            <w:r>
              <w:rPr>
                <w:rFonts w:hint="eastAsia" w:ascii="仿宋" w:hAnsi="仿宋" w:eastAsia="仿宋" w:cs="仿宋"/>
                <w:color w:val="000000"/>
                <w:sz w:val="24"/>
                <w:szCs w:val="24"/>
                <w:lang w:val="en-US" w:eastAsia="zh-CN"/>
              </w:rPr>
              <w:t>[9]《铃木小提琴教程（国际版）1、2、3、4、5、6、7》铃木镇一、陈蓝谷，人民音乐出版社。</w:t>
            </w:r>
          </w:p>
        </w:tc>
      </w:tr>
      <w:tr w14:paraId="4C154317">
        <w:trPr>
          <w:trHeight w:val="624" w:hRule="atLeast"/>
          <w:jc w:val="center"/>
        </w:trPr>
        <w:tc>
          <w:tcPr>
            <w:tcW w:w="1284" w:type="dxa"/>
            <w:tcBorders>
              <w:bottom w:val="single" w:color="auto" w:sz="4" w:space="0"/>
            </w:tcBorders>
            <w:noWrap w:val="0"/>
            <w:vAlign w:val="center"/>
          </w:tcPr>
          <w:p w14:paraId="0F23C3E3">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C</w:t>
            </w:r>
          </w:p>
          <w:p w14:paraId="1EA8666E">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线上学习资源</w:t>
            </w:r>
          </w:p>
        </w:tc>
        <w:tc>
          <w:tcPr>
            <w:tcW w:w="7864" w:type="dxa"/>
            <w:gridSpan w:val="15"/>
            <w:tcBorders>
              <w:bottom w:val="single" w:color="auto" w:sz="4" w:space="0"/>
            </w:tcBorders>
            <w:noWrap w:val="0"/>
            <w:vAlign w:val="center"/>
          </w:tcPr>
          <w:p w14:paraId="6F35DE93">
            <w:pPr>
              <w:pageBreakBefore w:val="0"/>
              <w:kinsoku/>
              <w:overflowPunct/>
              <w:topLinePunct w:val="0"/>
              <w:bidi w:val="0"/>
              <w:adjustRightInd w:val="0"/>
              <w:snapToGrid w:val="0"/>
              <w:spacing w:line="240" w:lineRule="auto"/>
              <w:rPr>
                <w:rFonts w:hint="eastAsia" w:ascii="仿宋" w:hAnsi="仿宋" w:eastAsia="仿宋" w:cs="仿宋"/>
                <w:kern w:val="0"/>
                <w:sz w:val="24"/>
                <w:szCs w:val="24"/>
              </w:rPr>
            </w:pPr>
            <w:r>
              <w:rPr>
                <w:rFonts w:hint="eastAsia" w:ascii="仿宋" w:hAnsi="仿宋" w:eastAsia="仿宋" w:cs="仿宋"/>
                <w:sz w:val="24"/>
                <w:szCs w:val="24"/>
              </w:rPr>
              <w:t>本课程已经建立校园网络课程，同学们依据学校提供的帐号与密码登录课程网站，可查看教学大纲、授课计划、考核方法、课程PPT、教学视频、电子教材、音频、阅读资料、网络文献链接网址等教学资源。</w:t>
            </w:r>
          </w:p>
        </w:tc>
      </w:tr>
      <w:tr w14:paraId="7F64673C">
        <w:trPr>
          <w:trHeight w:val="624" w:hRule="atLeast"/>
          <w:jc w:val="center"/>
        </w:trPr>
        <w:tc>
          <w:tcPr>
            <w:tcW w:w="1284" w:type="dxa"/>
            <w:shd w:val="clear" w:color="auto" w:fill="FFFFFF"/>
            <w:noWrap w:val="0"/>
            <w:vAlign w:val="center"/>
          </w:tcPr>
          <w:p w14:paraId="0E89FB4D">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D</w:t>
            </w:r>
          </w:p>
          <w:p w14:paraId="6B49F50A">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课程描述 </w:t>
            </w:r>
          </w:p>
          <w:p w14:paraId="7E4A3B1A">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lang w:eastAsia="zh-TW"/>
              </w:rPr>
              <w:t>(</w:t>
            </w:r>
            <w:r>
              <w:rPr>
                <w:rFonts w:hint="eastAsia" w:ascii="仿宋" w:hAnsi="仿宋" w:eastAsia="仿宋" w:cs="仿宋"/>
                <w:color w:val="000000"/>
                <w:sz w:val="24"/>
                <w:szCs w:val="24"/>
              </w:rPr>
              <w:t>含</w:t>
            </w:r>
            <w:r>
              <w:rPr>
                <w:rFonts w:hint="eastAsia" w:ascii="仿宋" w:hAnsi="仿宋" w:eastAsia="仿宋" w:cs="仿宋"/>
                <w:color w:val="000000"/>
                <w:sz w:val="24"/>
                <w:szCs w:val="24"/>
                <w:lang w:eastAsia="zh-TW"/>
              </w:rPr>
              <w:t>性质、地位和任务)</w:t>
            </w:r>
          </w:p>
        </w:tc>
        <w:tc>
          <w:tcPr>
            <w:tcW w:w="7864" w:type="dxa"/>
            <w:gridSpan w:val="15"/>
            <w:tcBorders>
              <w:bottom w:val="single" w:color="auto" w:sz="4" w:space="0"/>
            </w:tcBorders>
            <w:shd w:val="clear" w:color="auto" w:fill="FFFFFF"/>
            <w:noWrap w:val="0"/>
            <w:vAlign w:val="center"/>
          </w:tcPr>
          <w:p w14:paraId="604CBA5B">
            <w:pPr>
              <w:pageBreakBefore w:val="0"/>
              <w:kinsoku/>
              <w:overflowPunct/>
              <w:topLinePunct w:val="0"/>
              <w:bidi w:val="0"/>
              <w:adjustRightInd w:val="0"/>
              <w:snapToGrid w:val="0"/>
              <w:spacing w:line="240" w:lineRule="auto"/>
              <w:ind w:firstLine="480" w:firstLineChars="200"/>
              <w:rPr>
                <w:rFonts w:ascii="仿宋" w:hAnsi="仿宋" w:eastAsia="仿宋" w:cs="仿宋"/>
                <w:sz w:val="24"/>
                <w:szCs w:val="24"/>
              </w:rPr>
            </w:pPr>
            <w:r>
              <w:rPr>
                <w:rFonts w:hint="eastAsia" w:ascii="仿宋" w:hAnsi="仿宋" w:eastAsia="仿宋" w:cs="仿宋"/>
                <w:sz w:val="24"/>
                <w:szCs w:val="24"/>
                <w:highlight w:val="none"/>
              </w:rPr>
              <w:t>本课程为音乐学专业基础课 (属《乐器演奏基础》课程)。其结合中</w:t>
            </w:r>
            <w:r>
              <w:rPr>
                <w:rFonts w:hint="eastAsia" w:ascii="仿宋" w:hAnsi="仿宋" w:eastAsia="仿宋" w:cs="仿宋"/>
                <w:sz w:val="24"/>
                <w:szCs w:val="24"/>
                <w:highlight w:val="none"/>
                <w:lang w:val="en-US" w:eastAsia="zh-CN"/>
              </w:rPr>
              <w:t>西器乐</w:t>
            </w:r>
            <w:r>
              <w:rPr>
                <w:rFonts w:hint="eastAsia" w:ascii="仿宋" w:hAnsi="仿宋" w:eastAsia="仿宋" w:cs="仿宋"/>
                <w:sz w:val="24"/>
                <w:szCs w:val="24"/>
                <w:highlight w:val="none"/>
              </w:rPr>
              <w:t>近现代发展综合知识的基础，来培养学生扎实的</w:t>
            </w:r>
            <w:r>
              <w:rPr>
                <w:rFonts w:hint="eastAsia" w:ascii="仿宋" w:hAnsi="仿宋" w:eastAsia="仿宋" w:cs="仿宋"/>
                <w:sz w:val="24"/>
                <w:szCs w:val="24"/>
                <w:highlight w:val="none"/>
                <w:lang w:val="en-US" w:eastAsia="zh-CN"/>
              </w:rPr>
              <w:t>器乐</w:t>
            </w:r>
            <w:r>
              <w:rPr>
                <w:rFonts w:hint="eastAsia" w:ascii="仿宋" w:hAnsi="仿宋" w:eastAsia="仿宋" w:cs="仿宋"/>
                <w:sz w:val="24"/>
                <w:szCs w:val="24"/>
                <w:highlight w:val="none"/>
              </w:rPr>
              <w:t>演奏技能、增强其自身演奏的音乐表现力，以求达到其鲜明的艺术表演特色。本课程主要目的是在学生进一步掌握</w:t>
            </w:r>
            <w:r>
              <w:rPr>
                <w:rFonts w:hint="eastAsia" w:ascii="仿宋" w:hAnsi="仿宋" w:eastAsia="仿宋" w:cs="仿宋"/>
                <w:sz w:val="24"/>
                <w:szCs w:val="24"/>
                <w:highlight w:val="none"/>
                <w:lang w:val="en-US" w:eastAsia="zh-CN"/>
              </w:rPr>
              <w:t>器乐演奏</w:t>
            </w:r>
            <w:r>
              <w:rPr>
                <w:rFonts w:hint="eastAsia" w:ascii="仿宋" w:hAnsi="仿宋" w:eastAsia="仿宋" w:cs="仿宋"/>
                <w:sz w:val="24"/>
                <w:szCs w:val="24"/>
                <w:highlight w:val="none"/>
              </w:rPr>
              <w:t>基本技能技巧的基础上，培养学生理解、分析、鉴赏器乐演奏风格特点的能力以及热爱音乐的情感。</w:t>
            </w:r>
            <w:r>
              <w:rPr>
                <w:rFonts w:hint="eastAsia" w:ascii="仿宋" w:hAnsi="仿宋" w:eastAsia="仿宋" w:cs="仿宋"/>
                <w:color w:val="auto"/>
                <w:sz w:val="24"/>
                <w:szCs w:val="24"/>
                <w:highlight w:val="none"/>
              </w:rPr>
              <w:t>通过以美育人、以美化人，积极弘扬中华美育精神，使学生能够自觉传承和弘扬中华优秀传统文化，具备一定的审美和人文素养，增强文化自信。</w:t>
            </w:r>
          </w:p>
        </w:tc>
      </w:tr>
      <w:tr w14:paraId="3E3CB8C2">
        <w:trPr>
          <w:trHeight w:val="624" w:hRule="atLeast"/>
          <w:jc w:val="center"/>
        </w:trPr>
        <w:tc>
          <w:tcPr>
            <w:tcW w:w="1284" w:type="dxa"/>
            <w:vMerge w:val="restart"/>
            <w:shd w:val="clear" w:color="auto" w:fill="FFFFFF"/>
            <w:noWrap w:val="0"/>
            <w:vAlign w:val="center"/>
          </w:tcPr>
          <w:p w14:paraId="08990BDA">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E</w:t>
            </w:r>
          </w:p>
          <w:p w14:paraId="68B5A88B">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课程学习目标及其与毕业要求的对应关系</w:t>
            </w:r>
          </w:p>
        </w:tc>
        <w:tc>
          <w:tcPr>
            <w:tcW w:w="7864" w:type="dxa"/>
            <w:gridSpan w:val="15"/>
            <w:tcBorders>
              <w:bottom w:val="single" w:color="auto" w:sz="4" w:space="0"/>
            </w:tcBorders>
            <w:shd w:val="clear" w:color="auto" w:fill="FFFFFF"/>
            <w:noWrap w:val="0"/>
            <w:vAlign w:val="center"/>
          </w:tcPr>
          <w:p w14:paraId="62C977EB">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通过本课程的学习，学生具备如下知识、能力及情感态度价值观：</w:t>
            </w:r>
          </w:p>
          <w:p w14:paraId="7E7557D8">
            <w:pPr>
              <w:keepNext w:val="0"/>
              <w:keepLines w:val="0"/>
              <w:pageBreakBefore w:val="0"/>
              <w:kinsoku/>
              <w:wordWrap/>
              <w:overflowPunct/>
              <w:topLinePunct w:val="0"/>
              <w:bidi w:val="0"/>
              <w:adjustRightInd w:val="0"/>
              <w:snapToGrid w:val="0"/>
              <w:spacing w:beforeAutospacing="0" w:afterAutospacing="0" w:line="240" w:lineRule="auto"/>
              <w:ind w:left="0" w:right="0"/>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0"/>
                <w:sz w:val="24"/>
                <w:szCs w:val="24"/>
                <w:highlight w:val="none"/>
              </w:rPr>
              <w:t>课程目标1：</w:t>
            </w:r>
            <w:r>
              <w:rPr>
                <w:rFonts w:hint="eastAsia" w:ascii="仿宋" w:hAnsi="仿宋" w:eastAsia="仿宋" w:cs="仿宋"/>
                <w:b w:val="0"/>
                <w:bCs w:val="0"/>
                <w:color w:val="auto"/>
                <w:kern w:val="2"/>
                <w:sz w:val="24"/>
                <w:szCs w:val="24"/>
                <w:lang w:val="en-US" w:eastAsia="zh-CN" w:bidi="ar-SA"/>
              </w:rPr>
              <w:t xml:space="preserve">掌握音乐演奏技法技能及多项基本功，掌握器乐演奏基础知识、基本理论、体系结构与思想方法，理解音乐演奏和作品的核心素养的内涵，形成音乐学科核心素养。 </w:t>
            </w:r>
            <w:r>
              <w:rPr>
                <w:rFonts w:hint="eastAsia" w:ascii="仿宋_GB2312" w:hAnsi="仿宋_GB2312" w:eastAsia="仿宋_GB2312" w:cs="仿宋_GB2312"/>
                <w:b w:val="0"/>
                <w:bCs w:val="0"/>
                <w:color w:val="auto"/>
                <w:kern w:val="2"/>
                <w:sz w:val="24"/>
                <w:szCs w:val="24"/>
                <w:lang w:eastAsia="zh-CN" w:bidi="ar-SA"/>
              </w:rPr>
              <w:t>（支撑毕业要求</w:t>
            </w:r>
            <w:r>
              <w:rPr>
                <w:rFonts w:hint="eastAsia" w:ascii="仿宋_GB2312" w:hAnsi="仿宋_GB2312" w:eastAsia="仿宋_GB2312" w:cs="仿宋_GB2312"/>
                <w:b w:val="0"/>
                <w:bCs w:val="0"/>
                <w:color w:val="auto"/>
                <w:kern w:val="2"/>
                <w:sz w:val="24"/>
                <w:szCs w:val="24"/>
                <w:lang w:val="en-US" w:eastAsia="zh-CN" w:bidi="ar-SA"/>
              </w:rPr>
              <w:t>3.1</w:t>
            </w:r>
            <w:r>
              <w:rPr>
                <w:rFonts w:hint="eastAsia" w:ascii="仿宋_GB2312" w:hAnsi="仿宋_GB2312" w:eastAsia="仿宋_GB2312" w:cs="仿宋_GB2312"/>
                <w:b w:val="0"/>
                <w:bCs w:val="0"/>
                <w:color w:val="auto"/>
                <w:kern w:val="2"/>
                <w:sz w:val="24"/>
                <w:szCs w:val="24"/>
                <w:lang w:eastAsia="zh-CN" w:bidi="ar-SA"/>
              </w:rPr>
              <w:t>）</w:t>
            </w:r>
          </w:p>
          <w:p w14:paraId="55C569F8">
            <w:pPr>
              <w:pageBreakBefore w:val="0"/>
              <w:kinsoku/>
              <w:overflowPunct/>
              <w:topLinePunct w:val="0"/>
              <w:bidi w:val="0"/>
              <w:adjustRightInd w:val="0"/>
              <w:snapToGrid w:val="0"/>
              <w:spacing w:line="240" w:lineRule="auto"/>
              <w:jc w:val="left"/>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0"/>
                <w:sz w:val="24"/>
                <w:szCs w:val="24"/>
                <w:highlight w:val="none"/>
              </w:rPr>
              <w:t>课程目标2：</w:t>
            </w:r>
            <w:r>
              <w:rPr>
                <w:rFonts w:hint="eastAsia" w:ascii="仿宋" w:hAnsi="仿宋" w:eastAsia="仿宋" w:cs="仿宋"/>
                <w:b w:val="0"/>
                <w:bCs w:val="0"/>
                <w:color w:val="auto"/>
                <w:kern w:val="2"/>
                <w:sz w:val="24"/>
                <w:szCs w:val="24"/>
                <w:lang w:val="en-US" w:eastAsia="zh-CN" w:bidi="ar-SA"/>
              </w:rPr>
              <w:t>熟悉中学器乐演奏类课程标准和教材，能够正确处理课标和教材的关系，科学合理地进行器乐演奏教学设计并实施教学，准确把握教学内容，分析学情，合理安排教学过程和环节，科学设计评价内容和方式，根据学生音乐认知和演奏水平的特征和个体差异，注重差异化教学。课后能够及时反思、总结形成初步的教研能力。</w:t>
            </w:r>
            <w:r>
              <w:rPr>
                <w:rFonts w:hint="eastAsia" w:ascii="仿宋_GB2312" w:hAnsi="仿宋_GB2312" w:eastAsia="仿宋_GB2312" w:cs="仿宋_GB2312"/>
                <w:b w:val="0"/>
                <w:bCs w:val="0"/>
                <w:color w:val="auto"/>
                <w:kern w:val="2"/>
                <w:sz w:val="24"/>
                <w:szCs w:val="24"/>
                <w:lang w:eastAsia="zh-CN" w:bidi="ar-SA"/>
              </w:rPr>
              <w:t>（支撑毕业要求</w:t>
            </w:r>
            <w:r>
              <w:rPr>
                <w:rFonts w:hint="eastAsia" w:ascii="仿宋_GB2312" w:hAnsi="仿宋_GB2312" w:eastAsia="仿宋_GB2312" w:cs="仿宋_GB2312"/>
                <w:b w:val="0"/>
                <w:bCs w:val="0"/>
                <w:color w:val="auto"/>
                <w:kern w:val="2"/>
                <w:sz w:val="24"/>
                <w:szCs w:val="24"/>
                <w:lang w:val="en-US" w:eastAsia="zh-CN" w:bidi="ar-SA"/>
              </w:rPr>
              <w:t>4.1</w:t>
            </w:r>
            <w:r>
              <w:rPr>
                <w:rFonts w:hint="eastAsia" w:ascii="仿宋_GB2312" w:hAnsi="仿宋_GB2312" w:eastAsia="仿宋_GB2312" w:cs="仿宋_GB2312"/>
                <w:b w:val="0"/>
                <w:bCs w:val="0"/>
                <w:color w:val="auto"/>
                <w:kern w:val="2"/>
                <w:sz w:val="24"/>
                <w:szCs w:val="24"/>
                <w:lang w:eastAsia="zh-CN" w:bidi="ar-SA"/>
              </w:rPr>
              <w:t>）</w:t>
            </w:r>
          </w:p>
          <w:p w14:paraId="5BA06646">
            <w:pPr>
              <w:pageBreakBefore w:val="0"/>
              <w:kinsoku/>
              <w:overflowPunct/>
              <w:topLinePunct w:val="0"/>
              <w:bidi w:val="0"/>
              <w:adjustRightInd w:val="0"/>
              <w:snapToGrid w:val="0"/>
              <w:spacing w:line="240" w:lineRule="auto"/>
              <w:jc w:val="left"/>
              <w:rPr>
                <w:rFonts w:hint="default" w:ascii="仿宋" w:hAnsi="仿宋" w:eastAsia="仿宋" w:cs="仿宋"/>
                <w:color w:val="000000"/>
                <w:sz w:val="24"/>
                <w:szCs w:val="24"/>
                <w:lang w:val="en-US" w:eastAsia="zh-CN"/>
              </w:rPr>
            </w:pPr>
            <w:r>
              <w:rPr>
                <w:rFonts w:hint="eastAsia" w:ascii="仿宋" w:hAnsi="仿宋" w:eastAsia="仿宋" w:cs="仿宋"/>
                <w:b w:val="0"/>
                <w:bCs w:val="0"/>
                <w:color w:val="auto"/>
                <w:kern w:val="0"/>
                <w:sz w:val="24"/>
                <w:szCs w:val="24"/>
                <w:highlight w:val="none"/>
              </w:rPr>
              <w:t>课程目标3：</w:t>
            </w:r>
            <w:r>
              <w:rPr>
                <w:rFonts w:hint="eastAsia" w:ascii="仿宋" w:hAnsi="仿宋" w:eastAsia="仿宋" w:cs="仿宋"/>
                <w:color w:val="auto"/>
                <w:kern w:val="2"/>
                <w:sz w:val="24"/>
                <w:szCs w:val="24"/>
                <w:lang w:val="en-US" w:eastAsia="zh-CN" w:bidi="ar-SA"/>
              </w:rPr>
              <w:t>理解学习共同体的作用，掌握器乐合奏、重奏等团队协作的基本策略，在课程学习、教育实践、艺术实践等活动中，具有良好的团队协作精神，培养多声部重奏和乐团排练的组织和协作能力。</w:t>
            </w:r>
            <w:r>
              <w:rPr>
                <w:rFonts w:hint="eastAsia" w:ascii="仿宋_GB2312" w:hAnsi="仿宋_GB2312" w:eastAsia="仿宋_GB2312" w:cs="仿宋_GB2312"/>
                <w:bCs/>
                <w:color w:val="auto"/>
                <w:kern w:val="2"/>
                <w:sz w:val="24"/>
                <w:szCs w:val="24"/>
                <w:lang w:eastAsia="zh-CN" w:bidi="ar-SA"/>
              </w:rPr>
              <w:t>（支撑毕业要求</w:t>
            </w:r>
            <w:r>
              <w:rPr>
                <w:rFonts w:hint="eastAsia" w:ascii="仿宋_GB2312" w:hAnsi="仿宋_GB2312" w:eastAsia="仿宋_GB2312" w:cs="仿宋_GB2312"/>
                <w:bCs/>
                <w:color w:val="auto"/>
                <w:kern w:val="2"/>
                <w:sz w:val="24"/>
                <w:szCs w:val="24"/>
                <w:lang w:val="en-US" w:eastAsia="zh-CN" w:bidi="ar-SA"/>
              </w:rPr>
              <w:t>8.2</w:t>
            </w:r>
            <w:r>
              <w:rPr>
                <w:rFonts w:hint="eastAsia" w:ascii="仿宋_GB2312" w:hAnsi="仿宋_GB2312" w:eastAsia="仿宋_GB2312" w:cs="仿宋_GB2312"/>
                <w:bCs/>
                <w:color w:val="auto"/>
                <w:kern w:val="2"/>
                <w:sz w:val="24"/>
                <w:szCs w:val="24"/>
                <w:lang w:eastAsia="zh-CN" w:bidi="ar-SA"/>
              </w:rPr>
              <w:t>）</w:t>
            </w:r>
          </w:p>
        </w:tc>
      </w:tr>
      <w:tr w14:paraId="490D12BD">
        <w:trPr>
          <w:trHeight w:val="624" w:hRule="atLeast"/>
          <w:jc w:val="center"/>
        </w:trPr>
        <w:tc>
          <w:tcPr>
            <w:tcW w:w="1284" w:type="dxa"/>
            <w:vMerge w:val="continue"/>
            <w:shd w:val="clear" w:color="auto" w:fill="FFFFFF"/>
            <w:noWrap w:val="0"/>
            <w:vAlign w:val="center"/>
          </w:tcPr>
          <w:p w14:paraId="0BCD8ED9">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p>
        </w:tc>
        <w:tc>
          <w:tcPr>
            <w:tcW w:w="1187" w:type="dxa"/>
            <w:tcBorders>
              <w:bottom w:val="single" w:color="auto" w:sz="4" w:space="0"/>
            </w:tcBorders>
            <w:shd w:val="clear" w:color="auto" w:fill="FFFFFF"/>
            <w:noWrap w:val="0"/>
            <w:vAlign w:val="center"/>
          </w:tcPr>
          <w:p w14:paraId="56B3374D">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w:t>
            </w:r>
          </w:p>
        </w:tc>
        <w:tc>
          <w:tcPr>
            <w:tcW w:w="4571" w:type="dxa"/>
            <w:gridSpan w:val="8"/>
            <w:tcBorders>
              <w:bottom w:val="single" w:color="auto" w:sz="4" w:space="0"/>
            </w:tcBorders>
            <w:shd w:val="clear" w:color="auto" w:fill="FFFFFF"/>
            <w:noWrap w:val="0"/>
            <w:vAlign w:val="center"/>
          </w:tcPr>
          <w:p w14:paraId="5B437CB5">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毕业要求分解指标点</w:t>
            </w:r>
          </w:p>
        </w:tc>
        <w:tc>
          <w:tcPr>
            <w:tcW w:w="2106" w:type="dxa"/>
            <w:gridSpan w:val="6"/>
            <w:tcBorders>
              <w:bottom w:val="single" w:color="auto" w:sz="4" w:space="0"/>
            </w:tcBorders>
            <w:shd w:val="clear" w:color="auto" w:fill="FFFFFF"/>
            <w:noWrap w:val="0"/>
            <w:vAlign w:val="center"/>
          </w:tcPr>
          <w:p w14:paraId="0F8DA5F7">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毕业要求</w:t>
            </w:r>
          </w:p>
        </w:tc>
      </w:tr>
      <w:tr w14:paraId="0F14E107">
        <w:trPr>
          <w:trHeight w:val="624" w:hRule="atLeast"/>
          <w:jc w:val="center"/>
        </w:trPr>
        <w:tc>
          <w:tcPr>
            <w:tcW w:w="1284" w:type="dxa"/>
            <w:vMerge w:val="continue"/>
            <w:shd w:val="clear" w:color="auto" w:fill="FFFFFF"/>
            <w:noWrap w:val="0"/>
            <w:vAlign w:val="center"/>
          </w:tcPr>
          <w:p w14:paraId="42258E0F">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p>
        </w:tc>
        <w:tc>
          <w:tcPr>
            <w:tcW w:w="1187" w:type="dxa"/>
            <w:tcBorders>
              <w:bottom w:val="single" w:color="auto" w:sz="4" w:space="0"/>
            </w:tcBorders>
            <w:shd w:val="clear" w:color="auto" w:fill="FFFFFF"/>
            <w:noWrap w:val="0"/>
            <w:vAlign w:val="center"/>
          </w:tcPr>
          <w:p w14:paraId="0C517664">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课程目标1</w:t>
            </w:r>
          </w:p>
          <w:p w14:paraId="07887D60">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p>
        </w:tc>
        <w:tc>
          <w:tcPr>
            <w:tcW w:w="4571" w:type="dxa"/>
            <w:gridSpan w:val="8"/>
            <w:shd w:val="clear" w:color="auto" w:fill="FFFFFF"/>
            <w:noWrap w:val="0"/>
            <w:vAlign w:val="center"/>
          </w:tcPr>
          <w:p w14:paraId="21E0DEB6">
            <w:pPr>
              <w:pageBreakBefore w:val="0"/>
              <w:kinsoku/>
              <w:overflowPunct/>
              <w:topLinePunct w:val="0"/>
              <w:bidi w:val="0"/>
              <w:adjustRightInd w:val="0"/>
              <w:snapToGrid w:val="0"/>
              <w:spacing w:line="240" w:lineRule="auto"/>
              <w:jc w:val="left"/>
              <w:rPr>
                <w:rFonts w:hint="eastAsia" w:ascii="仿宋" w:hAnsi="仿宋" w:eastAsia="仿宋" w:cs="仿宋"/>
                <w:color w:val="auto"/>
                <w:kern w:val="2"/>
                <w:sz w:val="24"/>
                <w:szCs w:val="24"/>
                <w:lang w:val="en-US" w:eastAsia="zh-CN" w:bidi="ar-SA"/>
              </w:rPr>
            </w:pPr>
            <w:r>
              <w:rPr>
                <w:rFonts w:hint="default" w:ascii="仿宋" w:hAnsi="仿宋" w:eastAsia="仿宋" w:cs="仿宋"/>
                <w:color w:val="auto"/>
                <w:kern w:val="2"/>
                <w:sz w:val="24"/>
                <w:szCs w:val="24"/>
                <w:lang w:eastAsia="zh-CN" w:bidi="ar-SA"/>
              </w:rPr>
              <w:t>3</w:t>
            </w:r>
            <w:r>
              <w:rPr>
                <w:rFonts w:hint="eastAsia" w:ascii="仿宋" w:hAnsi="仿宋" w:eastAsia="仿宋" w:cs="仿宋"/>
                <w:color w:val="auto"/>
                <w:kern w:val="2"/>
                <w:sz w:val="24"/>
                <w:szCs w:val="24"/>
                <w:lang w:val="en-US" w:eastAsia="zh-Hans" w:bidi="ar-SA"/>
              </w:rPr>
              <w:t>.</w:t>
            </w:r>
            <w:r>
              <w:rPr>
                <w:rFonts w:hint="default" w:ascii="仿宋" w:hAnsi="仿宋" w:eastAsia="仿宋" w:cs="仿宋"/>
                <w:color w:val="auto"/>
                <w:kern w:val="2"/>
                <w:sz w:val="24"/>
                <w:szCs w:val="24"/>
                <w:lang w:eastAsia="zh-Hans" w:bidi="ar-SA"/>
              </w:rPr>
              <w:t>1</w:t>
            </w:r>
            <w:r>
              <w:rPr>
                <w:rFonts w:hint="eastAsia" w:ascii="仿宋" w:hAnsi="仿宋" w:eastAsia="仿宋" w:cs="仿宋"/>
                <w:color w:val="auto"/>
                <w:kern w:val="2"/>
                <w:sz w:val="24"/>
                <w:szCs w:val="24"/>
                <w:lang w:val="en-US" w:eastAsia="zh-CN" w:bidi="ar-SA"/>
              </w:rPr>
              <w:t>【专业技能】掌握音乐学科技法技能多项基本功，掌握音乐学科</w:t>
            </w:r>
            <w:r>
              <w:rPr>
                <w:rFonts w:hint="default" w:ascii="仿宋" w:hAnsi="仿宋" w:eastAsia="仿宋" w:cs="仿宋"/>
                <w:color w:val="auto"/>
                <w:kern w:val="2"/>
                <w:sz w:val="24"/>
                <w:szCs w:val="24"/>
                <w:lang w:val="en-US" w:eastAsia="zh-CN" w:bidi="ar-SA"/>
              </w:rPr>
              <w:t>、</w:t>
            </w:r>
            <w:r>
              <w:rPr>
                <w:rFonts w:hint="eastAsia" w:ascii="仿宋" w:hAnsi="仿宋" w:eastAsia="仿宋" w:cs="仿宋"/>
                <w:color w:val="auto"/>
                <w:kern w:val="2"/>
                <w:sz w:val="24"/>
                <w:szCs w:val="24"/>
                <w:lang w:val="en-US" w:eastAsia="zh-CN" w:bidi="ar-SA"/>
              </w:rPr>
              <w:t>基础知识、基本理论、体系结构与思想方法，理解音乐学科的核心素养的内涵，形成音乐学科核心素养。</w:t>
            </w:r>
          </w:p>
        </w:tc>
        <w:tc>
          <w:tcPr>
            <w:tcW w:w="2106" w:type="dxa"/>
            <w:gridSpan w:val="6"/>
            <w:shd w:val="clear" w:color="auto" w:fill="FFFFFF"/>
            <w:noWrap w:val="0"/>
            <w:vAlign w:val="center"/>
          </w:tcPr>
          <w:p w14:paraId="30FC5558">
            <w:pPr>
              <w:pageBreakBefore w:val="0"/>
              <w:kinsoku/>
              <w:overflowPunct/>
              <w:topLinePunct w:val="0"/>
              <w:bidi w:val="0"/>
              <w:adjustRightInd w:val="0"/>
              <w:snapToGrid w:val="0"/>
              <w:spacing w:line="240" w:lineRule="auto"/>
              <w:jc w:val="center"/>
              <w:rPr>
                <w:rFonts w:hint="eastAsia" w:ascii="仿宋" w:hAnsi="仿宋" w:eastAsia="仿宋" w:cs="仿宋"/>
                <w:bCs/>
                <w:sz w:val="24"/>
                <w:szCs w:val="24"/>
              </w:rPr>
            </w:pPr>
            <w:r>
              <w:rPr>
                <w:rFonts w:hint="eastAsia" w:ascii="仿宋" w:hAnsi="仿宋" w:eastAsia="仿宋" w:cs="仿宋"/>
                <w:bCs/>
                <w:sz w:val="24"/>
                <w:szCs w:val="24"/>
              </w:rPr>
              <w:t>学科素养</w:t>
            </w:r>
          </w:p>
          <w:p w14:paraId="77BC420A">
            <w:pPr>
              <w:pageBreakBefore w:val="0"/>
              <w:kinsoku/>
              <w:overflowPunct/>
              <w:topLinePunct w:val="0"/>
              <w:bidi w:val="0"/>
              <w:adjustRightInd w:val="0"/>
              <w:snapToGrid w:val="0"/>
              <w:spacing w:line="240" w:lineRule="auto"/>
              <w:jc w:val="center"/>
              <w:rPr>
                <w:rFonts w:hint="default" w:ascii="仿宋" w:hAnsi="仿宋" w:eastAsia="仿宋" w:cs="仿宋"/>
                <w:sz w:val="24"/>
                <w:szCs w:val="24"/>
                <w:lang w:eastAsia="zh-CN"/>
              </w:rPr>
            </w:pPr>
            <w:r>
              <w:rPr>
                <w:rFonts w:hint="default" w:ascii="仿宋" w:hAnsi="仿宋" w:eastAsia="仿宋" w:cs="仿宋"/>
                <w:bCs/>
                <w:sz w:val="24"/>
                <w:szCs w:val="24"/>
              </w:rPr>
              <w:t>（H）</w:t>
            </w:r>
          </w:p>
        </w:tc>
      </w:tr>
      <w:tr w14:paraId="77C4E3F5">
        <w:trPr>
          <w:trHeight w:val="624" w:hRule="atLeast"/>
          <w:jc w:val="center"/>
        </w:trPr>
        <w:tc>
          <w:tcPr>
            <w:tcW w:w="1284" w:type="dxa"/>
            <w:vMerge w:val="continue"/>
            <w:shd w:val="clear" w:color="auto" w:fill="FFFFFF"/>
            <w:noWrap w:val="0"/>
            <w:vAlign w:val="center"/>
          </w:tcPr>
          <w:p w14:paraId="43C86426">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p>
        </w:tc>
        <w:tc>
          <w:tcPr>
            <w:tcW w:w="1187" w:type="dxa"/>
            <w:shd w:val="clear" w:color="auto" w:fill="FFFFFF"/>
            <w:noWrap w:val="0"/>
            <w:vAlign w:val="center"/>
          </w:tcPr>
          <w:p w14:paraId="61E4A54C">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课程目标2</w:t>
            </w:r>
          </w:p>
        </w:tc>
        <w:tc>
          <w:tcPr>
            <w:tcW w:w="4571" w:type="dxa"/>
            <w:gridSpan w:val="8"/>
            <w:shd w:val="clear" w:color="auto" w:fill="FFFFFF"/>
            <w:noWrap w:val="0"/>
            <w:vAlign w:val="center"/>
          </w:tcPr>
          <w:p w14:paraId="1E9D2F10">
            <w:pPr>
              <w:pageBreakBefore w:val="0"/>
              <w:kinsoku/>
              <w:overflowPunct/>
              <w:topLinePunct w:val="0"/>
              <w:bidi w:val="0"/>
              <w:adjustRightInd w:val="0"/>
              <w:snapToGrid w:val="0"/>
              <w:spacing w:line="240" w:lineRule="auto"/>
              <w:jc w:val="left"/>
              <w:rPr>
                <w:rFonts w:hint="eastAsia" w:ascii="仿宋" w:hAnsi="仿宋" w:eastAsia="仿宋" w:cs="仿宋"/>
                <w:color w:val="auto"/>
                <w:kern w:val="2"/>
                <w:sz w:val="24"/>
                <w:szCs w:val="24"/>
                <w:lang w:val="en-US" w:eastAsia="zh-CN" w:bidi="ar-SA"/>
              </w:rPr>
            </w:pPr>
            <w:r>
              <w:rPr>
                <w:rFonts w:hint="default" w:ascii="仿宋" w:hAnsi="仿宋" w:eastAsia="仿宋" w:cs="仿宋"/>
                <w:color w:val="auto"/>
                <w:kern w:val="2"/>
                <w:sz w:val="24"/>
                <w:szCs w:val="24"/>
                <w:lang w:eastAsia="zh-CN" w:bidi="ar-SA"/>
              </w:rPr>
              <w:t>4</w:t>
            </w:r>
            <w:r>
              <w:rPr>
                <w:rFonts w:hint="eastAsia" w:ascii="仿宋" w:hAnsi="仿宋" w:eastAsia="仿宋" w:cs="仿宋"/>
                <w:color w:val="auto"/>
                <w:kern w:val="2"/>
                <w:sz w:val="24"/>
                <w:szCs w:val="24"/>
                <w:lang w:val="en-US" w:eastAsia="zh-Hans" w:bidi="ar-SA"/>
              </w:rPr>
              <w:t>.</w:t>
            </w:r>
            <w:r>
              <w:rPr>
                <w:rFonts w:hint="default" w:ascii="仿宋" w:hAnsi="仿宋" w:eastAsia="仿宋" w:cs="仿宋"/>
                <w:color w:val="auto"/>
                <w:kern w:val="2"/>
                <w:sz w:val="24"/>
                <w:szCs w:val="24"/>
                <w:lang w:eastAsia="zh-Hans" w:bidi="ar-SA"/>
              </w:rPr>
              <w:t>1</w:t>
            </w:r>
            <w:r>
              <w:rPr>
                <w:rFonts w:hint="eastAsia" w:ascii="仿宋" w:hAnsi="仿宋" w:eastAsia="仿宋" w:cs="仿宋"/>
                <w:color w:val="auto"/>
                <w:kern w:val="2"/>
                <w:sz w:val="24"/>
                <w:szCs w:val="24"/>
                <w:lang w:val="en-US" w:eastAsia="zh-CN" w:bidi="ar-SA"/>
              </w:rPr>
              <w:t xml:space="preserve">【教学设计与实施】熟悉中学音乐课程标准和教材，能够正确处理课标和教材的关系，科学合理地进行教学设计并实施教学，准确把握教学内容，分析学情，合理安排教学过程和环节，科学设计评价内容和方式，根据学生音乐认知的特征和个体差异，注重差异化教学。课后能够及时反思、总结形成初步的教研能力。 </w:t>
            </w:r>
          </w:p>
        </w:tc>
        <w:tc>
          <w:tcPr>
            <w:tcW w:w="2106" w:type="dxa"/>
            <w:gridSpan w:val="6"/>
            <w:shd w:val="clear" w:color="auto" w:fill="FFFFFF"/>
            <w:noWrap w:val="0"/>
            <w:vAlign w:val="center"/>
          </w:tcPr>
          <w:p w14:paraId="54ACE4BE">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教学能力</w:t>
            </w:r>
          </w:p>
          <w:p w14:paraId="62123919">
            <w:pPr>
              <w:pageBreakBefore w:val="0"/>
              <w:kinsoku/>
              <w:overflowPunct/>
              <w:topLinePunct w:val="0"/>
              <w:bidi w:val="0"/>
              <w:adjustRightInd w:val="0"/>
              <w:snapToGrid w:val="0"/>
              <w:spacing w:line="240" w:lineRule="auto"/>
              <w:jc w:val="center"/>
              <w:rPr>
                <w:rFonts w:hint="default" w:ascii="仿宋" w:hAnsi="仿宋" w:eastAsia="仿宋" w:cs="仿宋"/>
                <w:sz w:val="24"/>
                <w:szCs w:val="24"/>
                <w:lang w:eastAsia="zh-CN"/>
              </w:rPr>
            </w:pPr>
            <w:r>
              <w:rPr>
                <w:rFonts w:hint="default" w:ascii="仿宋" w:hAnsi="仿宋" w:eastAsia="仿宋" w:cs="仿宋"/>
                <w:sz w:val="24"/>
                <w:szCs w:val="24"/>
                <w:lang w:eastAsia="zh-CN"/>
              </w:rPr>
              <w:t>（M）</w:t>
            </w:r>
          </w:p>
        </w:tc>
      </w:tr>
      <w:tr w14:paraId="20D18F94">
        <w:trPr>
          <w:trHeight w:val="624" w:hRule="atLeast"/>
          <w:jc w:val="center"/>
        </w:trPr>
        <w:tc>
          <w:tcPr>
            <w:tcW w:w="1284" w:type="dxa"/>
            <w:vMerge w:val="continue"/>
            <w:shd w:val="clear" w:color="auto" w:fill="FFFFFF"/>
            <w:noWrap w:val="0"/>
            <w:vAlign w:val="center"/>
          </w:tcPr>
          <w:p w14:paraId="2D317938">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p>
        </w:tc>
        <w:tc>
          <w:tcPr>
            <w:tcW w:w="1187" w:type="dxa"/>
            <w:tcBorders>
              <w:bottom w:val="single" w:color="auto" w:sz="4" w:space="0"/>
            </w:tcBorders>
            <w:shd w:val="clear" w:color="auto" w:fill="FFFFFF"/>
            <w:noWrap w:val="0"/>
            <w:vAlign w:val="center"/>
          </w:tcPr>
          <w:p w14:paraId="68849BC9">
            <w:pPr>
              <w:pageBreakBefore w:val="0"/>
              <w:kinsoku/>
              <w:overflowPunct/>
              <w:topLinePunct w:val="0"/>
              <w:bidi w:val="0"/>
              <w:adjustRightInd w:val="0"/>
              <w:snapToGrid w:val="0"/>
              <w:spacing w:line="240" w:lineRule="auto"/>
              <w:jc w:val="center"/>
              <w:rPr>
                <w:rFonts w:hint="default" w:ascii="仿宋" w:hAnsi="仿宋" w:eastAsia="仿宋" w:cs="仿宋"/>
                <w:color w:val="000000"/>
                <w:sz w:val="24"/>
                <w:szCs w:val="24"/>
              </w:rPr>
            </w:pPr>
            <w:r>
              <w:rPr>
                <w:rFonts w:hint="eastAsia" w:ascii="仿宋" w:hAnsi="仿宋" w:eastAsia="仿宋" w:cs="仿宋"/>
                <w:color w:val="000000"/>
                <w:sz w:val="24"/>
                <w:szCs w:val="24"/>
              </w:rPr>
              <w:t>课程目标</w:t>
            </w:r>
            <w:r>
              <w:rPr>
                <w:rFonts w:hint="default" w:ascii="仿宋" w:hAnsi="仿宋" w:eastAsia="仿宋" w:cs="仿宋"/>
                <w:color w:val="000000"/>
                <w:sz w:val="24"/>
                <w:szCs w:val="24"/>
              </w:rPr>
              <w:t>3</w:t>
            </w:r>
          </w:p>
        </w:tc>
        <w:tc>
          <w:tcPr>
            <w:tcW w:w="4571" w:type="dxa"/>
            <w:gridSpan w:val="8"/>
            <w:tcBorders>
              <w:bottom w:val="single" w:color="auto" w:sz="4" w:space="0"/>
            </w:tcBorders>
            <w:shd w:val="clear" w:color="auto" w:fill="FFFFFF"/>
            <w:noWrap w:val="0"/>
            <w:vAlign w:val="center"/>
          </w:tcPr>
          <w:p w14:paraId="5D1581A5">
            <w:pPr>
              <w:pageBreakBefore w:val="0"/>
              <w:kinsoku/>
              <w:overflowPunct/>
              <w:topLinePunct w:val="0"/>
              <w:bidi w:val="0"/>
              <w:adjustRightInd w:val="0"/>
              <w:snapToGrid w:val="0"/>
              <w:spacing w:line="240" w:lineRule="auto"/>
              <w:jc w:val="left"/>
              <w:rPr>
                <w:rFonts w:hint="eastAsia" w:ascii="仿宋" w:hAnsi="仿宋" w:eastAsia="仿宋" w:cs="仿宋"/>
                <w:color w:val="auto"/>
                <w:kern w:val="2"/>
                <w:sz w:val="24"/>
                <w:szCs w:val="24"/>
                <w:lang w:val="en-US" w:eastAsia="zh-CN" w:bidi="ar-SA"/>
              </w:rPr>
            </w:pPr>
            <w:r>
              <w:rPr>
                <w:rFonts w:hint="default" w:ascii="仿宋" w:hAnsi="仿宋" w:eastAsia="仿宋" w:cs="仿宋"/>
                <w:color w:val="auto"/>
                <w:kern w:val="2"/>
                <w:sz w:val="24"/>
                <w:szCs w:val="24"/>
                <w:lang w:eastAsia="zh-CN" w:bidi="ar-SA"/>
              </w:rPr>
              <w:t>8</w:t>
            </w:r>
            <w:r>
              <w:rPr>
                <w:rFonts w:hint="eastAsia" w:ascii="仿宋" w:hAnsi="仿宋" w:eastAsia="仿宋" w:cs="仿宋"/>
                <w:color w:val="auto"/>
                <w:kern w:val="2"/>
                <w:sz w:val="24"/>
                <w:szCs w:val="24"/>
                <w:lang w:val="en-US" w:eastAsia="zh-Hans" w:bidi="ar-SA"/>
              </w:rPr>
              <w:t>.</w:t>
            </w:r>
            <w:r>
              <w:rPr>
                <w:rFonts w:hint="default" w:ascii="仿宋" w:hAnsi="仿宋" w:eastAsia="仿宋" w:cs="仿宋"/>
                <w:color w:val="auto"/>
                <w:kern w:val="2"/>
                <w:sz w:val="24"/>
                <w:szCs w:val="24"/>
                <w:lang w:eastAsia="zh-Hans" w:bidi="ar-SA"/>
              </w:rPr>
              <w:t>2</w:t>
            </w:r>
            <w:r>
              <w:rPr>
                <w:rFonts w:hint="eastAsia" w:ascii="仿宋" w:hAnsi="仿宋" w:eastAsia="仿宋" w:cs="仿宋"/>
                <w:color w:val="auto"/>
                <w:kern w:val="2"/>
                <w:sz w:val="24"/>
                <w:szCs w:val="24"/>
                <w:lang w:val="en-US" w:eastAsia="zh-CN" w:bidi="ar-SA"/>
              </w:rPr>
              <w:t>【团队协作】理解学习共同体的作用，掌握团队协作的基本策略，在课程学习、教育实践、艺术实践等活动中，具有良好的团队协作精神。</w:t>
            </w:r>
          </w:p>
        </w:tc>
        <w:tc>
          <w:tcPr>
            <w:tcW w:w="2106" w:type="dxa"/>
            <w:gridSpan w:val="6"/>
            <w:tcBorders>
              <w:bottom w:val="single" w:color="auto" w:sz="4" w:space="0"/>
            </w:tcBorders>
            <w:shd w:val="clear" w:color="auto" w:fill="FFFFFF"/>
            <w:noWrap w:val="0"/>
            <w:vAlign w:val="center"/>
          </w:tcPr>
          <w:p w14:paraId="514822F6">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沟通合作</w:t>
            </w:r>
          </w:p>
          <w:p w14:paraId="28C9174C">
            <w:pPr>
              <w:pageBreakBefore w:val="0"/>
              <w:kinsoku/>
              <w:overflowPunct/>
              <w:topLinePunct w:val="0"/>
              <w:bidi w:val="0"/>
              <w:adjustRightInd w:val="0"/>
              <w:snapToGrid w:val="0"/>
              <w:spacing w:line="240" w:lineRule="auto"/>
              <w:jc w:val="center"/>
              <w:rPr>
                <w:rFonts w:hint="default" w:ascii="仿宋" w:hAnsi="仿宋" w:eastAsia="仿宋" w:cs="仿宋"/>
                <w:sz w:val="24"/>
                <w:szCs w:val="24"/>
                <w:lang w:eastAsia="zh-CN"/>
              </w:rPr>
            </w:pPr>
            <w:r>
              <w:rPr>
                <w:rFonts w:hint="default" w:ascii="仿宋" w:hAnsi="仿宋" w:eastAsia="仿宋" w:cs="仿宋"/>
                <w:sz w:val="24"/>
                <w:szCs w:val="24"/>
              </w:rPr>
              <w:t>（L）</w:t>
            </w:r>
          </w:p>
        </w:tc>
      </w:tr>
      <w:tr w14:paraId="58125BA7">
        <w:trPr>
          <w:trHeight w:val="624" w:hRule="atLeast"/>
          <w:jc w:val="center"/>
        </w:trPr>
        <w:tc>
          <w:tcPr>
            <w:tcW w:w="1284" w:type="dxa"/>
            <w:vMerge w:val="restart"/>
            <w:shd w:val="clear" w:color="auto" w:fill="FFFFFF"/>
            <w:noWrap w:val="0"/>
            <w:vAlign w:val="center"/>
          </w:tcPr>
          <w:p w14:paraId="37F9FDF0">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G</w:t>
            </w:r>
          </w:p>
          <w:p w14:paraId="0C0EE901">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技能</w:t>
            </w:r>
            <w:r>
              <w:rPr>
                <w:rFonts w:hint="eastAsia" w:ascii="仿宋" w:hAnsi="仿宋" w:eastAsia="仿宋" w:cs="仿宋"/>
                <w:color w:val="000000"/>
                <w:sz w:val="24"/>
                <w:szCs w:val="24"/>
              </w:rPr>
              <w:t>（实训）内容</w:t>
            </w:r>
          </w:p>
        </w:tc>
        <w:tc>
          <w:tcPr>
            <w:tcW w:w="5758" w:type="dxa"/>
            <w:gridSpan w:val="9"/>
            <w:shd w:val="clear" w:color="auto" w:fill="auto"/>
            <w:noWrap w:val="0"/>
            <w:vAlign w:val="center"/>
          </w:tcPr>
          <w:p w14:paraId="6613E301">
            <w:pPr>
              <w:pageBreakBefore w:val="0"/>
              <w:kinsoku/>
              <w:overflowPunct/>
              <w:topLinePunct w:val="0"/>
              <w:bidi w:val="0"/>
              <w:adjustRightInd w:val="0"/>
              <w:snapToGrid w:val="0"/>
              <w:spacing w:line="240" w:lineRule="auto"/>
              <w:jc w:val="center"/>
              <w:textAlignment w:val="baseline"/>
              <w:rPr>
                <w:rFonts w:hint="eastAsia" w:ascii="仿宋" w:hAnsi="仿宋" w:eastAsia="仿宋" w:cs="仿宋"/>
                <w:color w:val="000000"/>
                <w:kern w:val="0"/>
                <w:sz w:val="24"/>
                <w:szCs w:val="24"/>
              </w:rPr>
            </w:pPr>
            <w:r>
              <w:rPr>
                <w:rFonts w:hint="eastAsia" w:ascii="仿宋" w:eastAsia="仿宋" w:cs="仿宋"/>
                <w:sz w:val="24"/>
                <w:szCs w:val="24"/>
              </w:rPr>
              <w:t>实训目的及任务</w:t>
            </w:r>
          </w:p>
        </w:tc>
        <w:tc>
          <w:tcPr>
            <w:tcW w:w="1183" w:type="dxa"/>
            <w:gridSpan w:val="4"/>
            <w:shd w:val="clear" w:color="auto" w:fill="auto"/>
            <w:noWrap w:val="0"/>
            <w:vAlign w:val="center"/>
          </w:tcPr>
          <w:p w14:paraId="35D5A007">
            <w:pPr>
              <w:pageBreakBefore w:val="0"/>
              <w:kinsoku/>
              <w:overflowPunct/>
              <w:topLinePunct w:val="0"/>
              <w:bidi w:val="0"/>
              <w:adjustRightInd w:val="0"/>
              <w:snapToGrid w:val="0"/>
              <w:spacing w:line="240" w:lineRule="auto"/>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支撑课程</w:t>
            </w:r>
          </w:p>
          <w:p w14:paraId="08990842">
            <w:pPr>
              <w:pageBreakBefore w:val="0"/>
              <w:kinsoku/>
              <w:overflowPunct/>
              <w:topLinePunct w:val="0"/>
              <w:bidi w:val="0"/>
              <w:adjustRightInd w:val="0"/>
              <w:snapToGrid w:val="0"/>
              <w:spacing w:line="240" w:lineRule="auto"/>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目标</w:t>
            </w:r>
          </w:p>
        </w:tc>
        <w:tc>
          <w:tcPr>
            <w:tcW w:w="923" w:type="dxa"/>
            <w:gridSpan w:val="2"/>
            <w:shd w:val="clear" w:color="auto" w:fill="FFFFFF"/>
            <w:noWrap w:val="0"/>
            <w:vAlign w:val="center"/>
          </w:tcPr>
          <w:p w14:paraId="1959E06D">
            <w:pPr>
              <w:pageBreakBefore w:val="0"/>
              <w:kinsoku/>
              <w:overflowPunct/>
              <w:topLinePunct w:val="0"/>
              <w:bidi w:val="0"/>
              <w:adjustRightInd w:val="0"/>
              <w:snapToGrid w:val="0"/>
              <w:spacing w:line="240" w:lineRule="auto"/>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学时</w:t>
            </w:r>
          </w:p>
          <w:p w14:paraId="20D4DE47">
            <w:pPr>
              <w:pageBreakBefore w:val="0"/>
              <w:kinsoku/>
              <w:overflowPunct/>
              <w:topLinePunct w:val="0"/>
              <w:bidi w:val="0"/>
              <w:adjustRightInd w:val="0"/>
              <w:snapToGrid w:val="0"/>
              <w:spacing w:line="240" w:lineRule="auto"/>
              <w:jc w:val="center"/>
              <w:rPr>
                <w:rFonts w:hint="eastAsia" w:ascii="仿宋" w:hAnsi="仿宋" w:eastAsia="仿宋" w:cs="仿宋"/>
                <w:color w:val="4472C4"/>
                <w:sz w:val="24"/>
                <w:szCs w:val="24"/>
              </w:rPr>
            </w:pPr>
            <w:r>
              <w:rPr>
                <w:rFonts w:hint="eastAsia" w:ascii="仿宋" w:hAnsi="仿宋" w:eastAsia="仿宋" w:cs="仿宋"/>
                <w:color w:val="000000"/>
                <w:kern w:val="0"/>
                <w:sz w:val="24"/>
                <w:szCs w:val="24"/>
              </w:rPr>
              <w:t>分配</w:t>
            </w:r>
          </w:p>
        </w:tc>
      </w:tr>
      <w:tr w14:paraId="3AA56223">
        <w:trPr>
          <w:trHeight w:val="624" w:hRule="atLeast"/>
          <w:jc w:val="center"/>
        </w:trPr>
        <w:tc>
          <w:tcPr>
            <w:tcW w:w="1284" w:type="dxa"/>
            <w:vMerge w:val="continue"/>
            <w:shd w:val="clear" w:color="auto" w:fill="FFFFFF"/>
            <w:noWrap w:val="0"/>
            <w:vAlign w:val="center"/>
          </w:tcPr>
          <w:p w14:paraId="4DF94CF3">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p>
        </w:tc>
        <w:tc>
          <w:tcPr>
            <w:tcW w:w="5758" w:type="dxa"/>
            <w:gridSpan w:val="9"/>
            <w:shd w:val="clear" w:color="auto" w:fill="auto"/>
            <w:noWrap w:val="0"/>
            <w:vAlign w:val="center"/>
          </w:tcPr>
          <w:p w14:paraId="03249A65">
            <w:pPr>
              <w:pageBreakBefore w:val="0"/>
              <w:numPr>
                <w:ilvl w:val="0"/>
                <w:numId w:val="0"/>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二胡：</w:t>
            </w:r>
          </w:p>
          <w:p w14:paraId="3FC4F135">
            <w:pPr>
              <w:pageBreakBefore w:val="0"/>
              <w:numPr>
                <w:ilvl w:val="0"/>
                <w:numId w:val="4"/>
              </w:numPr>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坐姿、持琴、持弓、空弦运弓练习、D调音阶、乐曲《小星星》</w:t>
            </w:r>
          </w:p>
          <w:p w14:paraId="4DAA9587">
            <w:pPr>
              <w:pageBreakBefore w:val="0"/>
              <w:numPr>
                <w:ilvl w:val="0"/>
                <w:numId w:val="4"/>
              </w:numPr>
              <w:kinsoku/>
              <w:overflowPunct/>
              <w:topLinePunct w:val="0"/>
              <w:bidi w:val="0"/>
              <w:adjustRightInd w:val="0"/>
              <w:snapToGrid w:val="0"/>
              <w:spacing w:line="240" w:lineRule="auto"/>
              <w:ind w:left="0" w:leftChars="0" w:firstLine="0" w:firstLineChars="0"/>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D调连弓、换弦练习、三、四指音准校正练习、乐曲《凤阳花鼓》、《摘椒》</w:t>
            </w:r>
          </w:p>
          <w:p w14:paraId="3F446575">
            <w:pPr>
              <w:pageBreakBefore w:val="0"/>
              <w:numPr>
                <w:ilvl w:val="0"/>
                <w:numId w:val="4"/>
              </w:numPr>
              <w:kinsoku/>
              <w:overflowPunct/>
              <w:topLinePunct w:val="0"/>
              <w:bidi w:val="0"/>
              <w:adjustRightInd w:val="0"/>
              <w:snapToGrid w:val="0"/>
              <w:spacing w:line="240" w:lineRule="auto"/>
              <w:ind w:left="0" w:leftChars="0" w:firstLine="0" w:firstLineChars="0"/>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《田园春色》、G调音阶练习、G调上把74练习、音型模进练习、乐曲《邀请舞曲》、《新年歌》</w:t>
            </w:r>
          </w:p>
          <w:p w14:paraId="1A6A6129">
            <w:pPr>
              <w:pageBreakBefore w:val="0"/>
              <w:numPr>
                <w:ilvl w:val="0"/>
                <w:numId w:val="4"/>
              </w:numPr>
              <w:kinsoku/>
              <w:overflowPunct/>
              <w:topLinePunct w:val="0"/>
              <w:bidi w:val="0"/>
              <w:adjustRightInd w:val="0"/>
              <w:snapToGrid w:val="0"/>
              <w:spacing w:line="240" w:lineRule="auto"/>
              <w:ind w:left="0" w:leftChars="0" w:firstLine="0" w:firstLineChars="0"/>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换把系列练习、F调音阶、上把练习、上中把练习、乐曲《放风筝》、《敖包相会》、《南泥湾》</w:t>
            </w:r>
          </w:p>
          <w:p w14:paraId="4AE966B0">
            <w:pPr>
              <w:pageBreakBefore w:val="0"/>
              <w:numPr>
                <w:ilvl w:val="0"/>
                <w:numId w:val="4"/>
              </w:numPr>
              <w:kinsoku/>
              <w:overflowPunct/>
              <w:topLinePunct w:val="0"/>
              <w:bidi w:val="0"/>
              <w:adjustRightInd w:val="0"/>
              <w:snapToGrid w:val="0"/>
              <w:spacing w:line="240" w:lineRule="auto"/>
              <w:ind w:left="0" w:leftChars="0" w:firstLine="0" w:firstLineChars="0"/>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上把、中把、下把换把练习、长弓练习、F调切把练习、快弓练习、乐曲《小花鼓》、《剑舞》</w:t>
            </w:r>
          </w:p>
          <w:p w14:paraId="31B1205E">
            <w:pPr>
              <w:pageBreakBefore w:val="0"/>
              <w:numPr>
                <w:ilvl w:val="0"/>
                <w:numId w:val="0"/>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第六章</w:t>
            </w:r>
            <w:r>
              <w:rPr>
                <w:rFonts w:hint="eastAsia" w:ascii="仿宋" w:hAnsi="仿宋" w:eastAsia="仿宋" w:cs="仿宋"/>
                <w:color w:val="auto"/>
                <w:sz w:val="24"/>
                <w:szCs w:val="24"/>
              </w:rPr>
              <w:t>五声音阶练习、两手配合练习、指序、连顿弓练习、C调音阶练习、乐曲《绣金匾》、《喜洋洋》</w:t>
            </w:r>
          </w:p>
          <w:p w14:paraId="272F58F2">
            <w:pPr>
              <w:pageBreakBefore w:val="0"/>
              <w:numPr>
                <w:ilvl w:val="0"/>
                <w:numId w:val="4"/>
              </w:numPr>
              <w:kinsoku/>
              <w:overflowPunct/>
              <w:topLinePunct w:val="0"/>
              <w:bidi w:val="0"/>
              <w:adjustRightInd w:val="0"/>
              <w:snapToGrid w:val="0"/>
              <w:spacing w:line="240" w:lineRule="auto"/>
              <w:ind w:left="0" w:leftChars="0" w:firstLine="0" w:firstLineChars="0"/>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揉弦练习、上把指距练习、bB调上把音准校正练习、乐曲《良宵》、《赛马》、《喜唱丰收》</w:t>
            </w:r>
            <w:r>
              <w:rPr>
                <w:rFonts w:hint="eastAsia" w:ascii="仿宋" w:hAnsi="仿宋" w:eastAsia="仿宋" w:cs="仿宋"/>
                <w:bCs/>
                <w:color w:val="auto"/>
                <w:sz w:val="24"/>
                <w:szCs w:val="24"/>
              </w:rPr>
              <w:t>（通过作品的学习与演奏，深刻把握与提炼思政成份歌颂祖国、人民、美好、幸福的生活）</w:t>
            </w:r>
          </w:p>
          <w:p w14:paraId="18D6A479">
            <w:pPr>
              <w:pageBreakBefore w:val="0"/>
              <w:numPr>
                <w:ilvl w:val="0"/>
                <w:numId w:val="4"/>
              </w:numPr>
              <w:kinsoku/>
              <w:overflowPunct/>
              <w:topLinePunct w:val="0"/>
              <w:bidi w:val="0"/>
              <w:adjustRightInd w:val="0"/>
              <w:snapToGrid w:val="0"/>
              <w:spacing w:line="240" w:lineRule="auto"/>
              <w:ind w:left="0" w:leftChars="0" w:firstLine="0" w:firstLineChars="0"/>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C调力度练习、中把综合练习、D调溜手练习、乐曲《山村变了样》、《怀乡行》、《喜送公粮》</w:t>
            </w:r>
            <w:r>
              <w:rPr>
                <w:rFonts w:hint="eastAsia" w:ascii="仿宋" w:hAnsi="仿宋" w:eastAsia="仿宋" w:cs="仿宋"/>
                <w:bCs/>
                <w:color w:val="auto"/>
                <w:sz w:val="24"/>
                <w:szCs w:val="24"/>
              </w:rPr>
              <w:t>（通过作品的学习与演奏，深刻把握与提炼思政成份歌颂祖国、人民、美好、幸福的生活）</w:t>
            </w:r>
          </w:p>
          <w:p w14:paraId="64E610CD">
            <w:pPr>
              <w:pageBreakBefore w:val="0"/>
              <w:numPr>
                <w:ilvl w:val="0"/>
                <w:numId w:val="4"/>
              </w:numPr>
              <w:kinsoku/>
              <w:overflowPunct/>
              <w:topLinePunct w:val="0"/>
              <w:bidi w:val="0"/>
              <w:adjustRightInd w:val="0"/>
              <w:snapToGrid w:val="0"/>
              <w:spacing w:line="240" w:lineRule="auto"/>
              <w:ind w:left="0" w:leftChars="0" w:firstLine="0" w:firstLineChars="0"/>
              <w:jc w:val="left"/>
              <w:rPr>
                <w:rFonts w:hint="eastAsia" w:ascii="仿宋" w:hAnsi="仿宋" w:eastAsia="仿宋" w:cs="仿宋"/>
                <w:bCs/>
                <w:color w:val="auto"/>
                <w:sz w:val="24"/>
                <w:szCs w:val="24"/>
                <w:lang w:val="en-US" w:eastAsia="zh-CN"/>
              </w:rPr>
            </w:pPr>
            <w:r>
              <w:rPr>
                <w:rFonts w:hint="eastAsia" w:ascii="仿宋" w:hAnsi="仿宋" w:eastAsia="仿宋" w:cs="仿宋"/>
                <w:color w:val="auto"/>
                <w:sz w:val="24"/>
                <w:szCs w:val="24"/>
              </w:rPr>
              <w:t>三连音换弦练习、两手配合练习、快速换把练习、乐曲《赞歌》、《春诗》、《烛影摇红》</w:t>
            </w:r>
            <w:r>
              <w:rPr>
                <w:rFonts w:hint="eastAsia" w:ascii="仿宋" w:hAnsi="仿宋" w:eastAsia="仿宋" w:cs="仿宋"/>
                <w:bCs/>
                <w:color w:val="auto"/>
                <w:sz w:val="24"/>
                <w:szCs w:val="24"/>
              </w:rPr>
              <w:t>（通过作品的学习与演奏，深刻把握与提炼思政成份歌颂祖国、人民、美好、幸福的生活</w:t>
            </w:r>
          </w:p>
          <w:p w14:paraId="47C392FB">
            <w:pPr>
              <w:pageBreakBefore w:val="0"/>
              <w:numPr>
                <w:ilvl w:val="0"/>
                <w:numId w:val="4"/>
              </w:numPr>
              <w:kinsoku/>
              <w:overflowPunct/>
              <w:topLinePunct w:val="0"/>
              <w:bidi w:val="0"/>
              <w:adjustRightInd w:val="0"/>
              <w:snapToGrid w:val="0"/>
              <w:spacing w:line="240" w:lineRule="auto"/>
              <w:ind w:left="0" w:leftChars="0" w:firstLine="0" w:firstLineChars="0"/>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综合练习、长弓练习《忆江南》、乐曲《江南春色》、《月夜》、《豫北叙事曲》、《闲居吟》</w:t>
            </w:r>
          </w:p>
          <w:p w14:paraId="70F61F6D">
            <w:pPr>
              <w:pageBreakBefore w:val="0"/>
              <w:numPr>
                <w:ilvl w:val="0"/>
                <w:numId w:val="4"/>
              </w:numPr>
              <w:kinsoku/>
              <w:overflowPunct/>
              <w:topLinePunct w:val="0"/>
              <w:bidi w:val="0"/>
              <w:adjustRightInd w:val="0"/>
              <w:snapToGrid w:val="0"/>
              <w:spacing w:line="240" w:lineRule="auto"/>
              <w:ind w:left="0" w:leftChars="0" w:firstLine="0" w:firstLineChars="0"/>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活指换弦练习、D大调综合练习、乐曲《陕北抒怀》、《江河水》、《洪湖人民的心愿》</w:t>
            </w:r>
          </w:p>
          <w:p w14:paraId="1627C3C0">
            <w:pPr>
              <w:pageBreakBefore w:val="0"/>
              <w:numPr>
                <w:ilvl w:val="0"/>
                <w:numId w:val="0"/>
              </w:numPr>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 xml:space="preserve">第十二章 </w:t>
            </w:r>
            <w:r>
              <w:rPr>
                <w:rFonts w:hint="eastAsia" w:ascii="仿宋" w:hAnsi="仿宋" w:eastAsia="仿宋" w:cs="仿宋"/>
                <w:color w:val="auto"/>
                <w:sz w:val="24"/>
                <w:szCs w:val="24"/>
              </w:rPr>
              <w:t>固定音型换弦练习、快速大跳练习、乐曲《三门峡畅想曲》、《二泉映月》、《秦腔主题随想曲》、《查尔达什》等</w:t>
            </w:r>
          </w:p>
          <w:p w14:paraId="5533E985">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实训目的：了解</w:t>
            </w:r>
            <w:r>
              <w:rPr>
                <w:rFonts w:hint="eastAsia" w:ascii="仿宋" w:hAnsi="仿宋" w:eastAsia="仿宋" w:cs="仿宋"/>
                <w:bCs/>
                <w:color w:val="auto"/>
                <w:sz w:val="24"/>
                <w:szCs w:val="24"/>
                <w:lang w:val="en-US" w:eastAsia="zh-Hans"/>
              </w:rPr>
              <w:t>二胡基</w:t>
            </w:r>
            <w:r>
              <w:rPr>
                <w:rFonts w:hint="eastAsia" w:ascii="仿宋" w:hAnsi="仿宋" w:eastAsia="仿宋" w:cs="仿宋"/>
                <w:bCs/>
                <w:color w:val="auto"/>
                <w:sz w:val="24"/>
                <w:szCs w:val="24"/>
                <w:lang w:val="en-US" w:eastAsia="zh-CN"/>
              </w:rPr>
              <w:t>本知识与发音原理</w:t>
            </w:r>
            <w:r>
              <w:rPr>
                <w:rFonts w:hint="eastAsia" w:ascii="仿宋" w:hAnsi="仿宋" w:eastAsia="仿宋" w:cs="仿宋"/>
                <w:bCs/>
                <w:color w:val="auto"/>
                <w:sz w:val="24"/>
                <w:szCs w:val="24"/>
                <w:lang w:val="en-US" w:eastAsia="zh-Hans"/>
              </w:rPr>
              <w:t>和演奏技巧</w:t>
            </w:r>
            <w:r>
              <w:rPr>
                <w:rFonts w:hint="eastAsia" w:ascii="仿宋" w:hAnsi="仿宋" w:eastAsia="仿宋" w:cs="仿宋"/>
                <w:bCs/>
                <w:color w:val="auto"/>
                <w:sz w:val="24"/>
                <w:szCs w:val="24"/>
                <w:lang w:val="en-US" w:eastAsia="zh-CN"/>
              </w:rPr>
              <w:t>。</w:t>
            </w:r>
          </w:p>
          <w:p w14:paraId="5B128198">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实训任务：了解</w:t>
            </w:r>
            <w:r>
              <w:rPr>
                <w:rFonts w:hint="eastAsia" w:ascii="仿宋" w:hAnsi="仿宋" w:eastAsia="仿宋" w:cs="仿宋"/>
                <w:bCs/>
                <w:color w:val="auto"/>
                <w:sz w:val="24"/>
                <w:szCs w:val="24"/>
                <w:lang w:val="en-US" w:eastAsia="zh-Hans"/>
              </w:rPr>
              <w:t>二胡</w:t>
            </w:r>
            <w:r>
              <w:rPr>
                <w:rFonts w:hint="eastAsia" w:ascii="仿宋" w:hAnsi="仿宋" w:eastAsia="仿宋" w:cs="仿宋"/>
                <w:bCs/>
                <w:color w:val="auto"/>
                <w:sz w:val="24"/>
                <w:szCs w:val="24"/>
                <w:lang w:val="en-US" w:eastAsia="zh-CN"/>
              </w:rPr>
              <w:t>结构特点与音色特点。</w:t>
            </w:r>
          </w:p>
          <w:p w14:paraId="37F97040">
            <w:pPr>
              <w:pageBreakBefore w:val="0"/>
              <w:numPr>
                <w:ilvl w:val="0"/>
                <w:numId w:val="0"/>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p>
        </w:tc>
        <w:tc>
          <w:tcPr>
            <w:tcW w:w="1183" w:type="dxa"/>
            <w:gridSpan w:val="4"/>
            <w:shd w:val="clear" w:color="auto" w:fill="auto"/>
            <w:noWrap w:val="0"/>
            <w:vAlign w:val="center"/>
          </w:tcPr>
          <w:p w14:paraId="6712EFDB">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tc>
        <w:tc>
          <w:tcPr>
            <w:tcW w:w="923" w:type="dxa"/>
            <w:gridSpan w:val="2"/>
            <w:shd w:val="clear" w:color="auto" w:fill="FFFFFF"/>
            <w:noWrap w:val="0"/>
            <w:vAlign w:val="center"/>
          </w:tcPr>
          <w:p w14:paraId="3CF95926">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64</w:t>
            </w:r>
          </w:p>
        </w:tc>
      </w:tr>
      <w:tr w14:paraId="7922E7FC">
        <w:trPr>
          <w:trHeight w:val="624" w:hRule="atLeast"/>
          <w:jc w:val="center"/>
        </w:trPr>
        <w:tc>
          <w:tcPr>
            <w:tcW w:w="1284" w:type="dxa"/>
            <w:vMerge w:val="continue"/>
            <w:shd w:val="clear" w:color="auto" w:fill="FFFFFF"/>
            <w:noWrap w:val="0"/>
            <w:vAlign w:val="center"/>
          </w:tcPr>
          <w:p w14:paraId="22AAACFA">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p>
        </w:tc>
        <w:tc>
          <w:tcPr>
            <w:tcW w:w="5758" w:type="dxa"/>
            <w:gridSpan w:val="9"/>
            <w:shd w:val="clear" w:color="auto" w:fill="auto"/>
            <w:noWrap w:val="0"/>
            <w:vAlign w:val="center"/>
          </w:tcPr>
          <w:p w14:paraId="3A395386">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琵琶：</w:t>
            </w:r>
          </w:p>
          <w:p w14:paraId="573063B9">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color w:val="auto"/>
                <w:sz w:val="24"/>
                <w:szCs w:val="24"/>
                <w:lang w:val="en-US" w:eastAsia="zh-CN"/>
              </w:rPr>
              <w:t xml:space="preserve">第一章 </w:t>
            </w:r>
            <w:r>
              <w:rPr>
                <w:rFonts w:hint="eastAsia" w:ascii="仿宋" w:hAnsi="仿宋" w:eastAsia="仿宋" w:cs="仿宋"/>
                <w:bCs/>
                <w:color w:val="auto"/>
                <w:sz w:val="24"/>
                <w:szCs w:val="24"/>
                <w:lang w:val="en-US" w:eastAsia="zh-CN"/>
              </w:rPr>
              <w:t>琵琶基本知识与发展简史</w:t>
            </w:r>
          </w:p>
          <w:p w14:paraId="1F2C1FD0">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实训目的：了解琵琶基本知识与发音原理。</w:t>
            </w:r>
          </w:p>
          <w:p w14:paraId="02D82BA5">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实训任务：了解琵琶的结构特点与音色特点。</w:t>
            </w:r>
          </w:p>
          <w:p w14:paraId="25D3DFE2">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第二章 基本音阶训练</w:t>
            </w:r>
          </w:p>
          <w:p w14:paraId="4CBD9A33">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实训目的：熟悉掌握琵琶乐器各调式把位。</w:t>
            </w:r>
          </w:p>
          <w:p w14:paraId="27B2A953">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实训任务：D、C、G、F、A、bB、bE调。</w:t>
            </w:r>
          </w:p>
          <w:p w14:paraId="1AA57F4C">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第三章 弹挑、换把、换弦</w:t>
            </w:r>
          </w:p>
          <w:p w14:paraId="63D9733F">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实训目的：熟悉掌握弹挑、换把、换弦。</w:t>
            </w:r>
          </w:p>
          <w:p w14:paraId="6F23C24A">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实训任务：在弹挑、换把换弦中训练左右手的独立性与协调性。</w:t>
            </w:r>
          </w:p>
          <w:p w14:paraId="281C3A8E">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第四章 双弹挑、夹弹</w:t>
            </w:r>
          </w:p>
          <w:p w14:paraId="2FCB9D8A">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实训目的：熟悉掌握双弹挑、夹弹基本技能。</w:t>
            </w:r>
          </w:p>
          <w:p w14:paraId="4BB6C1E1">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实训任务：在弹挑的基础上加速以及训练声部层次感。</w:t>
            </w:r>
          </w:p>
          <w:p w14:paraId="3D6CF556">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第五章 扫拂、夹扫</w:t>
            </w:r>
          </w:p>
          <w:p w14:paraId="589CEFCC">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实训目的：熟悉掌握扫拂与夹扫演奏技巧。</w:t>
            </w:r>
          </w:p>
          <w:p w14:paraId="5483D605">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实训任务：含扫与拂的练习，把握好大臂、小臂、手腕与手指的配合。</w:t>
            </w:r>
          </w:p>
          <w:p w14:paraId="56BD14BE">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第六章 泛音、摭分</w:t>
            </w:r>
          </w:p>
          <w:p w14:paraId="40303824">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实训目的：掌握泛音与摭分演奏技巧，掌握琵琶所有的泛音位置并能熟练正确地打好泛音。</w:t>
            </w:r>
          </w:p>
          <w:p w14:paraId="4C3A40B0">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实训任务：摭分重点掌握手指关机的灵活运用；泛音练习注重左手触弦位置与力度的控制以及双手的配合。</w:t>
            </w:r>
          </w:p>
          <w:p w14:paraId="2930A934">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第七章 轮指（半轮、全轮、挑轮）</w:t>
            </w:r>
          </w:p>
          <w:p w14:paraId="7808E16F">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实训目的：掌握琵琶技巧中的基本演奏技术轮指，包含基础的半轮、全轮与挑轮练习。</w:t>
            </w:r>
          </w:p>
          <w:p w14:paraId="65BC4451">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实训任务：手指触弦点、触弦角度及对力的把握，即轮指在音色、力度上的技术要求，使颗粒饱满、圆润、均匀。</w:t>
            </w:r>
          </w:p>
          <w:p w14:paraId="21826F5B">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第八章 滚奏（快速弹挑）</w:t>
            </w:r>
          </w:p>
          <w:p w14:paraId="0B56E06A">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实训目的：在掌握弹挑基础技术的前提下逐步加快速度，形成滚奏技能。</w:t>
            </w:r>
          </w:p>
          <w:p w14:paraId="6A2E090B">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实训任务：滚奏中的手腕与手指的结合运用。</w:t>
            </w:r>
          </w:p>
          <w:p w14:paraId="49202495">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第九章 勾轮、扣轮</w:t>
            </w:r>
          </w:p>
          <w:p w14:paraId="124DF075">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实训目的：更加熟练地运用轮指技术，并掌握好勾轮与扣轮的弹奏技巧。</w:t>
            </w:r>
          </w:p>
          <w:p w14:paraId="07D35EC7">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实训任务：勾轮技术要点近似于挑轮，在学习勾、扣轮时要求拇指与轮指的衔接要流畅，注意区别二者的弹奏方法。</w:t>
            </w:r>
          </w:p>
          <w:p w14:paraId="2389D9E3">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第十章 滚双、滚三条弦</w:t>
            </w:r>
          </w:p>
          <w:p w14:paraId="6AD6D5B5">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实训目的：在掌握滚奏技术的基础上，进一步学习与掌握两条弦与三条弦的滚奏。</w:t>
            </w:r>
          </w:p>
          <w:p w14:paraId="1BB4C6C6">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实训任务：区别好一条弦的滚奏与多条弦的滚奏，注意手腕与手指的配合，在加大力度与幅度的同时，应把握好几条弦音色的平衡。</w:t>
            </w:r>
          </w:p>
          <w:p w14:paraId="129B384C">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第十一章 和音、推挽</w:t>
            </w:r>
          </w:p>
          <w:p w14:paraId="0189B9B0">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实训目的：运用推挽技术，左手对和音中各弦及品位的手指关系要求熟练掌握。</w:t>
            </w:r>
          </w:p>
          <w:p w14:paraId="678CF273">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实训任务：和音练习注意左手手型，两指应同时按音，音程连接时要求手指连贯衔接，避免跳指；推挽练习重点把握手指的音准与音色。</w:t>
            </w:r>
          </w:p>
          <w:p w14:paraId="5FA4ACF1">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第十二章 摇指、凤颠头</w:t>
            </w:r>
          </w:p>
          <w:p w14:paraId="43D45507">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实训目的：掌握摇指与凤颠头的技术要求。</w:t>
            </w:r>
          </w:p>
          <w:p w14:paraId="245B8BA5">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实训任务：区别二种技术。摇指中手指关节的固定与手腕的放松相结合，指甲须贴弦左右均匀摇动；而凤颠头则需加入拇指关节的灵活运动。</w:t>
            </w:r>
          </w:p>
          <w:p w14:paraId="6D160E03">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第十三章 拂扫轮、双轮</w:t>
            </w:r>
          </w:p>
          <w:p w14:paraId="54A17CE1">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实训目的：轮指技术进一步提高，除了掌握拂扫轮之外，还需掌握难度较高的双轮技术。</w:t>
            </w:r>
          </w:p>
          <w:p w14:paraId="3A0581D0">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实训任务：双轮技术要求达到两条弦音色与力度的统一，手指各关节的力度需加大。</w:t>
            </w:r>
          </w:p>
          <w:p w14:paraId="22FACB61">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第十四章 快夹弹、急夹弹</w:t>
            </w:r>
          </w:p>
          <w:p w14:paraId="370D4247">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实训目的：掌握快夹弹、急夹弹等技巧要求。</w:t>
            </w:r>
          </w:p>
          <w:p w14:paraId="3E00A31E">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实训任务：把握好曲调音和夹入音的不同作用。</w:t>
            </w:r>
          </w:p>
          <w:p w14:paraId="76E5CC5C">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第十五章 拖类练习</w:t>
            </w:r>
          </w:p>
          <w:p w14:paraId="763C76A9">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实训目的：掌握各种拖类技巧。</w:t>
            </w:r>
          </w:p>
          <w:p w14:paraId="5C7DBE05">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实训任务：（1）不同的拖类奏法不同，要注意装饰音与实音的区别；（2）在拖的过程中，必须弹出经过音的痕迹；（3）强弱的点要把握准确，注意节奏。</w:t>
            </w:r>
          </w:p>
          <w:p w14:paraId="30D5E5E3">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第十六章 煞、打、带、擞</w:t>
            </w:r>
          </w:p>
          <w:p w14:paraId="7EED6AA1">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实训目的：掌握煞、打、带、擞等左手指法技巧。</w:t>
            </w:r>
          </w:p>
          <w:p w14:paraId="047E60C5">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实训任务：（1）煞音的技术中，重点在于左手指甲对弦身振动幅度的准确把握；（2）打音要求指关节积极主动；（3）带音注意连续带音需走清楚；（4）擞音则要求动作轻快迅捷，以左手指关节作主要运动。</w:t>
            </w:r>
          </w:p>
          <w:p w14:paraId="644D7337">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第十七章 跳把</w:t>
            </w:r>
          </w:p>
          <w:p w14:paraId="17DD13D3">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实训目的：掌握跳把基本技能，科学、熟练地运用好手腕。</w:t>
            </w:r>
          </w:p>
          <w:p w14:paraId="69FD59F9">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实训任务：各把位之间的转换，包括近距离跳把与远距离跳把</w:t>
            </w:r>
          </w:p>
          <w:p w14:paraId="162A77B9">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第十八章 吟揉</w:t>
            </w:r>
          </w:p>
          <w:p w14:paraId="5E9E1BA5">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实训目的：掌在掌握吟揉技术的基础上，进一步把握对各种音乐的润色。</w:t>
            </w:r>
          </w:p>
          <w:p w14:paraId="10325436">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实训任务：区别吟与揉的技术要点。</w:t>
            </w:r>
          </w:p>
          <w:p w14:paraId="19E67D31">
            <w:pPr>
              <w:pageBreakBefore w:val="0"/>
              <w:widowControl/>
              <w:numPr>
                <w:ilvl w:val="0"/>
                <w:numId w:val="5"/>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摘、提、拍、伏</w:t>
            </w:r>
          </w:p>
          <w:p w14:paraId="4ADF3A56">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实训目的：掌握摘、提、拍、伏等左手指法技巧。</w:t>
            </w:r>
          </w:p>
          <w:p w14:paraId="14DC0223">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实训任务：区别摘、提、拍、伏的技术要点。</w:t>
            </w:r>
          </w:p>
          <w:p w14:paraId="064C3A1E">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第二十章 指距</w:t>
            </w:r>
          </w:p>
          <w:p w14:paraId="302BD8EC">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实训目的：掌握指距指法训练技巧</w:t>
            </w:r>
          </w:p>
          <w:p w14:paraId="5BFA3DF9">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实训任务：左手各指的伸张与收缩训练</w:t>
            </w:r>
          </w:p>
          <w:p w14:paraId="136C7F89">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第二十一章 人工泛音</w:t>
            </w:r>
          </w:p>
          <w:p w14:paraId="65FF1E06">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实训目的：掌握琵琶技巧中的人工泛音原理，并能熟练运用，把握好人工泛音的音色。</w:t>
            </w:r>
          </w:p>
          <w:p w14:paraId="17F4009E">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实训任务：人工泛音的正确浮按与右手的音色控制，双手需同步配合，才能达到理想的清晰圆润的音质。</w:t>
            </w:r>
          </w:p>
          <w:p w14:paraId="264C4F11">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第二十二章 滚四条弦</w:t>
            </w:r>
          </w:p>
          <w:p w14:paraId="15A407F6">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实训目的：掌握滚奏四条弦的演奏技法。</w:t>
            </w:r>
          </w:p>
          <w:p w14:paraId="0277323F">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实训任务：均匀的力度以及速度的稳定，做到音色、音量相仿。</w:t>
            </w:r>
          </w:p>
          <w:p w14:paraId="22A1B716">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第二十三章 双飞</w:t>
            </w:r>
          </w:p>
          <w:p w14:paraId="53905AAD">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实训目的：掌握双飞的演奏技能。</w:t>
            </w:r>
          </w:p>
          <w:p w14:paraId="0F899522">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实训任务：用双飞来练习大指与食指的指力，大指挑须强。</w:t>
            </w:r>
          </w:p>
          <w:p w14:paraId="5ECEC91E">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第二十四章 轮三条弦</w:t>
            </w:r>
          </w:p>
          <w:p w14:paraId="64547FCC">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实训目的：掌握三条弦的轮指演奏技法。</w:t>
            </w:r>
          </w:p>
          <w:p w14:paraId="0F3F101B">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实训任务：三条弦的轮指需要在二条弦的基础上加大手指各关节的张力，手指的动作幅度也应相应加大。</w:t>
            </w:r>
          </w:p>
          <w:p w14:paraId="58202CB8">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第二十五章 乐曲—传统乐曲</w:t>
            </w:r>
          </w:p>
          <w:p w14:paraId="4B85FA29">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实训目的：学习相关传统乐曲，大致了解乐曲如何分类、什么是传统乐曲，较准确地把握各传统曲目的风格特点。</w:t>
            </w:r>
          </w:p>
          <w:p w14:paraId="5340C062">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实训任务：除技术难度外，音乐修养、艺术表现力是教学难点。</w:t>
            </w:r>
          </w:p>
          <w:p w14:paraId="12EB8817">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bCs/>
                <w:color w:val="auto"/>
                <w:sz w:val="24"/>
                <w:szCs w:val="24"/>
                <w:lang w:val="en-US"/>
              </w:rPr>
              <w:t>将艺术与技术相融合</w:t>
            </w:r>
            <w:r>
              <w:rPr>
                <w:rFonts w:hint="eastAsia" w:ascii="仿宋" w:hAnsi="仿宋" w:eastAsia="仿宋" w:cs="仿宋"/>
                <w:bCs/>
                <w:color w:val="auto"/>
                <w:sz w:val="24"/>
                <w:szCs w:val="24"/>
              </w:rPr>
              <w:t>，</w:t>
            </w:r>
            <w:r>
              <w:rPr>
                <w:rFonts w:hint="eastAsia" w:ascii="仿宋" w:hAnsi="仿宋" w:eastAsia="仿宋" w:cs="仿宋"/>
                <w:bCs/>
                <w:color w:val="auto"/>
                <w:sz w:val="24"/>
                <w:szCs w:val="24"/>
                <w:lang w:val="en-US"/>
              </w:rPr>
              <w:t>突出</w:t>
            </w:r>
            <w:r>
              <w:rPr>
                <w:rFonts w:hint="eastAsia" w:ascii="仿宋" w:hAnsi="仿宋" w:eastAsia="仿宋" w:cs="仿宋"/>
                <w:color w:val="auto"/>
                <w:sz w:val="24"/>
                <w:szCs w:val="24"/>
                <w:lang w:eastAsia="zh-TW"/>
              </w:rPr>
              <w:t>“文化中的传承”与“传承中的文化”，</w:t>
            </w:r>
            <w:r>
              <w:rPr>
                <w:rFonts w:hint="eastAsia" w:ascii="仿宋" w:hAnsi="仿宋" w:eastAsia="仿宋" w:cs="仿宋"/>
                <w:color w:val="auto"/>
                <w:sz w:val="24"/>
                <w:szCs w:val="24"/>
                <w:lang w:val="en-US"/>
              </w:rPr>
              <w:t>弘扬中华传统文化艺术</w:t>
            </w:r>
            <w:r>
              <w:rPr>
                <w:rFonts w:hint="eastAsia" w:ascii="仿宋" w:hAnsi="仿宋" w:eastAsia="仿宋" w:cs="仿宋"/>
                <w:color w:val="auto"/>
                <w:sz w:val="24"/>
                <w:szCs w:val="24"/>
              </w:rPr>
              <w:t>，</w:t>
            </w:r>
            <w:r>
              <w:rPr>
                <w:rFonts w:hint="eastAsia" w:ascii="仿宋" w:hAnsi="仿宋" w:eastAsia="仿宋" w:cs="仿宋"/>
                <w:color w:val="auto"/>
                <w:sz w:val="24"/>
                <w:szCs w:val="24"/>
                <w:lang w:val="en-US"/>
              </w:rPr>
              <w:t>并将内心深处对家国的情怀融入娴熟的技术与情感艺术的表现中</w:t>
            </w:r>
            <w:r>
              <w:rPr>
                <w:rFonts w:hint="eastAsia" w:ascii="仿宋" w:hAnsi="仿宋" w:eastAsia="仿宋" w:cs="仿宋"/>
                <w:color w:val="auto"/>
                <w:sz w:val="24"/>
                <w:szCs w:val="24"/>
              </w:rPr>
              <w:t>。</w:t>
            </w:r>
          </w:p>
          <w:p w14:paraId="3F036E60">
            <w:pPr>
              <w:pageBreakBefore w:val="0"/>
              <w:numPr>
                <w:ilvl w:val="0"/>
                <w:numId w:val="0"/>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知道：琵琶演奏基本技法</w:t>
            </w:r>
          </w:p>
          <w:p w14:paraId="6A1B008B">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领会：琵琶作品内涵</w:t>
            </w:r>
          </w:p>
          <w:p w14:paraId="7303B7F6">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p>
        </w:tc>
        <w:tc>
          <w:tcPr>
            <w:tcW w:w="1183" w:type="dxa"/>
            <w:gridSpan w:val="4"/>
            <w:shd w:val="clear" w:color="auto" w:fill="auto"/>
            <w:noWrap w:val="0"/>
            <w:vAlign w:val="center"/>
          </w:tcPr>
          <w:p w14:paraId="7465FDBA">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rPr>
              <w:t>支撑课程目标1</w:t>
            </w:r>
            <w:r>
              <w:rPr>
                <w:rFonts w:hint="eastAsia" w:ascii="仿宋" w:hAnsi="仿宋" w:eastAsia="仿宋" w:cs="仿宋"/>
                <w:bCs/>
                <w:color w:val="auto"/>
                <w:sz w:val="24"/>
                <w:szCs w:val="24"/>
                <w:lang w:eastAsia="zh-CN"/>
              </w:rPr>
              <w:t>、</w:t>
            </w:r>
            <w:r>
              <w:rPr>
                <w:rFonts w:hint="eastAsia" w:ascii="仿宋" w:hAnsi="仿宋" w:eastAsia="仿宋" w:cs="仿宋"/>
                <w:bCs/>
                <w:color w:val="auto"/>
                <w:sz w:val="24"/>
                <w:szCs w:val="24"/>
                <w:lang w:val="en-US" w:eastAsia="zh-CN"/>
              </w:rPr>
              <w:t>2、3</w:t>
            </w:r>
          </w:p>
          <w:p w14:paraId="7E928CC4">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lang w:val="en-US" w:eastAsia="zh-CN"/>
              </w:rPr>
            </w:pPr>
          </w:p>
          <w:p w14:paraId="60008A2D">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lang w:val="en-US" w:eastAsia="zh-CN"/>
              </w:rPr>
            </w:pPr>
          </w:p>
        </w:tc>
        <w:tc>
          <w:tcPr>
            <w:tcW w:w="923" w:type="dxa"/>
            <w:gridSpan w:val="2"/>
            <w:shd w:val="clear" w:color="auto" w:fill="FFFFFF"/>
            <w:noWrap w:val="0"/>
            <w:vAlign w:val="center"/>
          </w:tcPr>
          <w:p w14:paraId="46FDE2C9">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64</w:t>
            </w:r>
          </w:p>
        </w:tc>
      </w:tr>
      <w:tr w14:paraId="32523093">
        <w:trPr>
          <w:trHeight w:val="624" w:hRule="atLeast"/>
          <w:jc w:val="center"/>
        </w:trPr>
        <w:tc>
          <w:tcPr>
            <w:tcW w:w="1284" w:type="dxa"/>
            <w:vMerge w:val="continue"/>
            <w:shd w:val="clear" w:color="auto" w:fill="FFFFFF"/>
            <w:noWrap w:val="0"/>
            <w:vAlign w:val="center"/>
          </w:tcPr>
          <w:p w14:paraId="7F3C16D3">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p>
        </w:tc>
        <w:tc>
          <w:tcPr>
            <w:tcW w:w="5758" w:type="dxa"/>
            <w:gridSpan w:val="9"/>
            <w:shd w:val="clear" w:color="auto" w:fill="auto"/>
            <w:noWrap w:val="0"/>
            <w:vAlign w:val="center"/>
          </w:tcPr>
          <w:p w14:paraId="3FC41A6C">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color w:val="auto"/>
                <w:sz w:val="24"/>
                <w:szCs w:val="24"/>
                <w:lang w:val="en-US" w:eastAsia="zh-CN"/>
              </w:rPr>
              <w:t>古</w:t>
            </w:r>
            <w:r>
              <w:rPr>
                <w:rFonts w:hint="eastAsia" w:ascii="仿宋" w:hAnsi="仿宋" w:eastAsia="仿宋" w:cs="仿宋"/>
                <w:bCs/>
                <w:color w:val="auto"/>
                <w:sz w:val="24"/>
                <w:szCs w:val="24"/>
                <w:lang w:val="en-US" w:eastAsia="zh-CN"/>
              </w:rPr>
              <w:t>筝：</w:t>
            </w:r>
          </w:p>
          <w:p w14:paraId="05F91534">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bCs/>
                <w:color w:val="auto"/>
                <w:sz w:val="24"/>
                <w:szCs w:val="24"/>
                <w:lang w:val="en-US" w:eastAsia="zh-CN"/>
              </w:rPr>
              <w:t>第一节：</w:t>
            </w:r>
            <w:r>
              <w:rPr>
                <w:rFonts w:hint="eastAsia" w:ascii="仿宋" w:hAnsi="仿宋" w:eastAsia="仿宋" w:cs="仿宋"/>
                <w:color w:val="auto"/>
                <w:sz w:val="24"/>
                <w:szCs w:val="24"/>
              </w:rPr>
              <w:t>古筝简介、安装琴弦、调音、定弦。</w:t>
            </w:r>
          </w:p>
          <w:p w14:paraId="4880548D">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第二节：托与勾</w:t>
            </w:r>
          </w:p>
          <w:p w14:paraId="1DA84F00">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第三节：勾托与颤音</w:t>
            </w:r>
          </w:p>
          <w:p w14:paraId="2D8DDA66">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第四节：勾、托、抹</w:t>
            </w:r>
          </w:p>
          <w:p w14:paraId="1090F927">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第五节：大撮与小撮</w:t>
            </w:r>
          </w:p>
          <w:p w14:paraId="6E1022D1">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 xml:space="preserve">第六节：劈与托劈  </w:t>
            </w:r>
          </w:p>
          <w:p w14:paraId="00997698">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第七节：上滑音与重颤音</w:t>
            </w:r>
          </w:p>
          <w:p w14:paraId="14203B94">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第八节：“4”与“7”</w:t>
            </w:r>
          </w:p>
          <w:p w14:paraId="3796346E">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第九节：连托、连抹、连勾</w:t>
            </w:r>
          </w:p>
          <w:p w14:paraId="04C8406B">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第十节：下滑音</w:t>
            </w:r>
          </w:p>
          <w:p w14:paraId="74F4346A">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第十一节：花指与划奏</w:t>
            </w:r>
          </w:p>
          <w:p w14:paraId="6D386479">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第十二节：固定按音</w:t>
            </w:r>
          </w:p>
          <w:p w14:paraId="22B74A36">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第十三节：摇指</w:t>
            </w:r>
          </w:p>
          <w:p w14:paraId="072D6F6C">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第十四节：套指四点</w:t>
            </w:r>
          </w:p>
          <w:p w14:paraId="4B5BD36F">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第十五节：双抹、双托</w:t>
            </w:r>
          </w:p>
          <w:p w14:paraId="6BB6A991">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第十六节：揉弦与回滑音</w:t>
            </w:r>
          </w:p>
          <w:p w14:paraId="2B4664A6">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第十七节：双手弹奏</w:t>
            </w:r>
          </w:p>
          <w:p w14:paraId="42959653">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 xml:space="preserve">第十八节：和弦奏法 </w:t>
            </w:r>
          </w:p>
          <w:p w14:paraId="74C52485">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第十九节：分解和弦</w:t>
            </w:r>
          </w:p>
          <w:p w14:paraId="6CFF7F9D">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第二十节：琶音</w:t>
            </w:r>
          </w:p>
          <w:p w14:paraId="23ACAF65">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第二十一节：食指点奏</w:t>
            </w:r>
          </w:p>
          <w:p w14:paraId="2923F0B0">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第二十二节：综合练习与乐曲</w:t>
            </w:r>
          </w:p>
          <w:p w14:paraId="0A0AB193">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第二十三节：点柱音</w:t>
            </w:r>
          </w:p>
          <w:p w14:paraId="7C626471">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第二十四节：泛音</w:t>
            </w:r>
          </w:p>
          <w:p w14:paraId="05F58BC0">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第二十五节：扣摇</w:t>
            </w:r>
            <w:r>
              <w:rPr>
                <w:rFonts w:hint="eastAsia" w:ascii="仿宋" w:hAnsi="仿宋" w:eastAsia="仿宋" w:cs="仿宋"/>
                <w:color w:val="auto"/>
                <w:sz w:val="24"/>
                <w:szCs w:val="24"/>
                <w:lang w:val="en-US" w:eastAsia="zh-CN"/>
              </w:rPr>
              <w:t xml:space="preserve"> </w:t>
            </w:r>
            <w:r>
              <w:rPr>
                <w:rFonts w:hint="eastAsia" w:ascii="仿宋" w:hAnsi="仿宋" w:eastAsia="仿宋" w:cs="仿宋"/>
                <w:color w:val="auto"/>
                <w:sz w:val="24"/>
                <w:szCs w:val="24"/>
              </w:rPr>
              <w:t>双摇</w:t>
            </w:r>
            <w:r>
              <w:rPr>
                <w:rFonts w:hint="eastAsia" w:ascii="仿宋" w:hAnsi="仿宋" w:eastAsia="仿宋" w:cs="仿宋"/>
                <w:color w:val="auto"/>
                <w:sz w:val="24"/>
                <w:szCs w:val="24"/>
                <w:lang w:val="en-US" w:eastAsia="zh-CN"/>
              </w:rPr>
              <w:t xml:space="preserve"> </w:t>
            </w:r>
            <w:r>
              <w:rPr>
                <w:rFonts w:hint="eastAsia" w:ascii="仿宋" w:hAnsi="仿宋" w:eastAsia="仿宋" w:cs="仿宋"/>
                <w:color w:val="auto"/>
                <w:sz w:val="24"/>
                <w:szCs w:val="24"/>
              </w:rPr>
              <w:t>扫摇</w:t>
            </w:r>
          </w:p>
          <w:p w14:paraId="5B6E885A">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第二十六节：摇指与左手拨弦练习</w:t>
            </w:r>
          </w:p>
          <w:p w14:paraId="1914C2B4">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第二十七节：摇指与左手分解和弦练习</w:t>
            </w:r>
          </w:p>
          <w:p w14:paraId="43276DB3">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第二十八节：摇指与左手和音的配合练习</w:t>
            </w:r>
          </w:p>
          <w:p w14:paraId="1533C08B">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第二十九节：扫摇与刮奏练习</w:t>
            </w:r>
          </w:p>
          <w:p w14:paraId="2A55C9FA">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实训目的：了解</w:t>
            </w:r>
            <w:r>
              <w:rPr>
                <w:rFonts w:hint="eastAsia" w:ascii="仿宋" w:hAnsi="仿宋" w:eastAsia="仿宋" w:cs="仿宋"/>
                <w:bCs/>
                <w:color w:val="auto"/>
                <w:sz w:val="24"/>
                <w:szCs w:val="24"/>
                <w:lang w:val="en-US" w:eastAsia="zh-Hans"/>
              </w:rPr>
              <w:t>古筝基</w:t>
            </w:r>
            <w:r>
              <w:rPr>
                <w:rFonts w:hint="eastAsia" w:ascii="仿宋" w:hAnsi="仿宋" w:eastAsia="仿宋" w:cs="仿宋"/>
                <w:bCs/>
                <w:color w:val="auto"/>
                <w:sz w:val="24"/>
                <w:szCs w:val="24"/>
                <w:lang w:val="en-US" w:eastAsia="zh-CN"/>
              </w:rPr>
              <w:t>本知识与发音原理</w:t>
            </w:r>
            <w:r>
              <w:rPr>
                <w:rFonts w:hint="eastAsia" w:ascii="仿宋" w:hAnsi="仿宋" w:eastAsia="仿宋" w:cs="仿宋"/>
                <w:bCs/>
                <w:color w:val="auto"/>
                <w:sz w:val="24"/>
                <w:szCs w:val="24"/>
                <w:lang w:val="en-US" w:eastAsia="zh-Hans"/>
              </w:rPr>
              <w:t>和演奏技巧</w:t>
            </w:r>
            <w:r>
              <w:rPr>
                <w:rFonts w:hint="eastAsia" w:ascii="仿宋" w:hAnsi="仿宋" w:eastAsia="仿宋" w:cs="仿宋"/>
                <w:bCs/>
                <w:color w:val="auto"/>
                <w:sz w:val="24"/>
                <w:szCs w:val="24"/>
                <w:lang w:val="en-US" w:eastAsia="zh-CN"/>
              </w:rPr>
              <w:t>。</w:t>
            </w:r>
          </w:p>
          <w:p w14:paraId="7FEC244B">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bCs/>
                <w:color w:val="auto"/>
                <w:sz w:val="24"/>
                <w:szCs w:val="24"/>
                <w:lang w:val="en-US" w:eastAsia="zh-CN"/>
              </w:rPr>
              <w:t>实训任务：了解</w:t>
            </w:r>
            <w:r>
              <w:rPr>
                <w:rFonts w:hint="eastAsia" w:ascii="仿宋" w:hAnsi="仿宋" w:eastAsia="仿宋" w:cs="仿宋"/>
                <w:bCs/>
                <w:color w:val="auto"/>
                <w:sz w:val="24"/>
                <w:szCs w:val="24"/>
                <w:lang w:val="en-US" w:eastAsia="zh-Hans"/>
              </w:rPr>
              <w:t>古筝</w:t>
            </w:r>
            <w:r>
              <w:rPr>
                <w:rFonts w:hint="eastAsia" w:ascii="仿宋" w:hAnsi="仿宋" w:eastAsia="仿宋" w:cs="仿宋"/>
                <w:bCs/>
                <w:color w:val="auto"/>
                <w:sz w:val="24"/>
                <w:szCs w:val="24"/>
                <w:lang w:val="en-US" w:eastAsia="zh-CN"/>
              </w:rPr>
              <w:t>结构特点与音色特点。</w:t>
            </w:r>
          </w:p>
        </w:tc>
        <w:tc>
          <w:tcPr>
            <w:tcW w:w="1183" w:type="dxa"/>
            <w:gridSpan w:val="4"/>
            <w:shd w:val="clear" w:color="auto" w:fill="auto"/>
            <w:noWrap w:val="0"/>
            <w:vAlign w:val="center"/>
          </w:tcPr>
          <w:p w14:paraId="69AF5560">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rPr>
              <w:t>支撑课程目标1</w:t>
            </w:r>
            <w:r>
              <w:rPr>
                <w:rFonts w:hint="eastAsia" w:ascii="仿宋" w:hAnsi="仿宋" w:eastAsia="仿宋" w:cs="仿宋"/>
                <w:bCs/>
                <w:color w:val="auto"/>
                <w:sz w:val="24"/>
                <w:szCs w:val="24"/>
                <w:lang w:eastAsia="zh-CN"/>
              </w:rPr>
              <w:t>、</w:t>
            </w:r>
            <w:r>
              <w:rPr>
                <w:rFonts w:hint="eastAsia" w:ascii="仿宋" w:hAnsi="仿宋" w:eastAsia="仿宋" w:cs="仿宋"/>
                <w:bCs/>
                <w:color w:val="auto"/>
                <w:sz w:val="24"/>
                <w:szCs w:val="24"/>
                <w:lang w:val="en-US" w:eastAsia="zh-CN"/>
              </w:rPr>
              <w:t>2、3</w:t>
            </w:r>
          </w:p>
          <w:p w14:paraId="7A603AC9">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tc>
        <w:tc>
          <w:tcPr>
            <w:tcW w:w="923" w:type="dxa"/>
            <w:gridSpan w:val="2"/>
            <w:shd w:val="clear" w:color="auto" w:fill="FFFFFF"/>
            <w:noWrap w:val="0"/>
            <w:vAlign w:val="center"/>
          </w:tcPr>
          <w:p w14:paraId="21FF29FC">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64</w:t>
            </w:r>
          </w:p>
        </w:tc>
      </w:tr>
      <w:tr w14:paraId="7E43617A">
        <w:trPr>
          <w:trHeight w:val="624" w:hRule="atLeast"/>
          <w:jc w:val="center"/>
        </w:trPr>
        <w:tc>
          <w:tcPr>
            <w:tcW w:w="1284" w:type="dxa"/>
            <w:vMerge w:val="continue"/>
            <w:shd w:val="clear" w:color="auto" w:fill="FFFFFF"/>
            <w:noWrap w:val="0"/>
            <w:vAlign w:val="center"/>
          </w:tcPr>
          <w:p w14:paraId="3FD0968C">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p>
        </w:tc>
        <w:tc>
          <w:tcPr>
            <w:tcW w:w="5758" w:type="dxa"/>
            <w:gridSpan w:val="9"/>
            <w:shd w:val="clear" w:color="auto" w:fill="auto"/>
            <w:noWrap w:val="0"/>
            <w:vAlign w:val="center"/>
          </w:tcPr>
          <w:p w14:paraId="6FED5A1F">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长笛：</w:t>
            </w:r>
          </w:p>
          <w:p w14:paraId="7F448D21">
            <w:pPr>
              <w:pStyle w:val="19"/>
              <w:pageBreakBefore w:val="0"/>
              <w:numPr>
                <w:ilvl w:val="0"/>
                <w:numId w:val="0"/>
              </w:numPr>
              <w:kinsoku/>
              <w:overflowPunct/>
              <w:topLinePunct w:val="0"/>
              <w:bidi w:val="0"/>
              <w:adjustRightInd w:val="0"/>
              <w:snapToGrid w:val="0"/>
              <w:spacing w:before="0" w:beforeAutospacing="0" w:after="0" w:afterAutospacing="0" w:line="240" w:lineRule="auto"/>
              <w:jc w:val="left"/>
              <w:rPr>
                <w:rFonts w:hint="eastAsia" w:ascii="仿宋" w:hAnsi="仿宋" w:eastAsia="仿宋" w:cs="仿宋"/>
                <w:color w:val="auto"/>
                <w:sz w:val="24"/>
                <w:szCs w:val="24"/>
                <w:shd w:val="clear" w:color="auto" w:fill="FFFFFF"/>
                <w:lang w:val="en-US" w:eastAsia="zh-Hans"/>
              </w:rPr>
            </w:pPr>
            <w:r>
              <w:rPr>
                <w:rFonts w:hint="eastAsia" w:ascii="仿宋" w:hAnsi="仿宋" w:eastAsia="仿宋" w:cs="仿宋"/>
                <w:color w:val="auto"/>
                <w:sz w:val="24"/>
                <w:szCs w:val="24"/>
                <w:shd w:val="clear" w:color="auto" w:fill="FFFFFF"/>
                <w:lang w:val="en-US" w:eastAsia="zh-CN"/>
              </w:rPr>
              <w:t>第一章 长笛</w:t>
            </w:r>
            <w:r>
              <w:rPr>
                <w:rFonts w:hint="eastAsia" w:ascii="仿宋" w:hAnsi="仿宋" w:eastAsia="仿宋" w:cs="仿宋"/>
                <w:color w:val="auto"/>
                <w:sz w:val="24"/>
                <w:szCs w:val="24"/>
                <w:shd w:val="clear" w:color="auto" w:fill="FFFFFF"/>
                <w:lang w:val="en-US" w:eastAsia="zh-Hans"/>
              </w:rPr>
              <w:t>基础指法</w:t>
            </w:r>
            <w:r>
              <w:rPr>
                <w:rFonts w:hint="default" w:ascii="仿宋" w:hAnsi="仿宋" w:eastAsia="仿宋" w:cs="仿宋"/>
                <w:color w:val="auto"/>
                <w:sz w:val="24"/>
                <w:szCs w:val="24"/>
                <w:shd w:val="clear" w:color="auto" w:fill="FFFFFF"/>
                <w:lang w:eastAsia="zh-Hans"/>
              </w:rPr>
              <w:t>、</w:t>
            </w:r>
            <w:r>
              <w:rPr>
                <w:rFonts w:hint="eastAsia" w:ascii="仿宋" w:hAnsi="仿宋" w:eastAsia="仿宋" w:cs="仿宋"/>
                <w:color w:val="auto"/>
                <w:sz w:val="24"/>
                <w:szCs w:val="24"/>
                <w:shd w:val="clear" w:color="auto" w:fill="FFFFFF"/>
                <w:lang w:val="en-US" w:eastAsia="zh-Hans"/>
              </w:rPr>
              <w:t>发音教学</w:t>
            </w:r>
          </w:p>
          <w:p w14:paraId="65D65EEF">
            <w:pPr>
              <w:pageBreakBefore w:val="0"/>
              <w:kinsoku/>
              <w:overflowPunct/>
              <w:topLinePunct w:val="0"/>
              <w:bidi w:val="0"/>
              <w:adjustRightInd w:val="0"/>
              <w:snapToGrid w:val="0"/>
              <w:spacing w:line="240" w:lineRule="auto"/>
              <w:ind w:firstLine="240" w:firstLineChars="100"/>
              <w:jc w:val="left"/>
              <w:rPr>
                <w:rFonts w:hint="eastAsia" w:ascii="仿宋" w:hAnsi="仿宋" w:eastAsia="仿宋" w:cs="仿宋"/>
                <w:color w:val="auto"/>
                <w:sz w:val="24"/>
                <w:szCs w:val="24"/>
                <w:shd w:val="clear" w:color="auto" w:fill="FFFFFF"/>
              </w:rPr>
            </w:pPr>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rPr>
              <w:t>教学目的：</w:t>
            </w:r>
            <w:r>
              <w:rPr>
                <w:rFonts w:hint="eastAsia" w:ascii="仿宋" w:hAnsi="仿宋" w:eastAsia="仿宋" w:cs="仿宋"/>
                <w:color w:val="auto"/>
                <w:kern w:val="0"/>
                <w:sz w:val="24"/>
                <w:szCs w:val="24"/>
                <w:shd w:val="clear" w:color="auto" w:fill="FFFFFF"/>
              </w:rPr>
              <w:t>通过</w:t>
            </w:r>
            <w:r>
              <w:rPr>
                <w:rFonts w:hint="eastAsia" w:ascii="仿宋" w:hAnsi="仿宋" w:eastAsia="仿宋" w:cs="仿宋"/>
                <w:color w:val="auto"/>
                <w:kern w:val="0"/>
                <w:sz w:val="24"/>
                <w:szCs w:val="24"/>
                <w:shd w:val="clear" w:color="auto" w:fill="FFFFFF"/>
                <w:lang w:val="en-US" w:eastAsia="zh-CN"/>
              </w:rPr>
              <w:t>长笛</w:t>
            </w:r>
            <w:r>
              <w:rPr>
                <w:rFonts w:hint="eastAsia" w:ascii="仿宋" w:hAnsi="仿宋" w:eastAsia="仿宋" w:cs="仿宋"/>
                <w:color w:val="auto"/>
                <w:kern w:val="0"/>
                <w:sz w:val="24"/>
                <w:szCs w:val="24"/>
                <w:shd w:val="clear" w:color="auto" w:fill="FFFFFF"/>
              </w:rPr>
              <w:t>演奏技能的训练，使学生学会一定的演奏技能</w:t>
            </w:r>
            <w:r>
              <w:rPr>
                <w:rFonts w:hint="eastAsia" w:ascii="仿宋" w:hAnsi="仿宋" w:eastAsia="仿宋" w:cs="仿宋"/>
                <w:color w:val="auto"/>
                <w:sz w:val="24"/>
                <w:szCs w:val="24"/>
                <w:shd w:val="clear" w:color="auto" w:fill="FFFFFF"/>
              </w:rPr>
              <w:t>。</w:t>
            </w:r>
            <w:r>
              <w:rPr>
                <w:rFonts w:hint="eastAsia" w:ascii="仿宋" w:hAnsi="仿宋" w:eastAsia="仿宋" w:cs="仿宋"/>
                <w:i w:val="0"/>
                <w:caps w:val="0"/>
                <w:color w:val="auto"/>
                <w:spacing w:val="0"/>
                <w:sz w:val="24"/>
                <w:szCs w:val="24"/>
                <w:u w:val="none"/>
                <w:shd w:val="clear" w:color="auto" w:fill="FFFFFF"/>
              </w:rPr>
              <w:t>掌握正确的演奏姿势与方法，注重长音的训练。</w:t>
            </w:r>
          </w:p>
          <w:p w14:paraId="29E504A4">
            <w:pPr>
              <w:pageBreakBefore w:val="0"/>
              <w:kinsoku/>
              <w:overflowPunct/>
              <w:topLinePunct w:val="0"/>
              <w:bidi w:val="0"/>
              <w:adjustRightInd w:val="0"/>
              <w:snapToGrid w:val="0"/>
              <w:spacing w:line="240" w:lineRule="auto"/>
              <w:ind w:firstLine="240" w:firstLineChars="100"/>
              <w:jc w:val="left"/>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2.</w:t>
            </w:r>
            <w:r>
              <w:rPr>
                <w:rFonts w:hint="eastAsia" w:ascii="仿宋" w:hAnsi="仿宋" w:eastAsia="仿宋" w:cs="仿宋"/>
                <w:color w:val="auto"/>
                <w:sz w:val="24"/>
                <w:szCs w:val="24"/>
              </w:rPr>
              <w:t>基本内容要求</w:t>
            </w:r>
            <w:r>
              <w:rPr>
                <w:rFonts w:hint="eastAsia" w:ascii="仿宋" w:hAnsi="仿宋" w:eastAsia="仿宋" w:cs="仿宋"/>
                <w:color w:val="auto"/>
                <w:sz w:val="24"/>
                <w:szCs w:val="24"/>
                <w:lang w:eastAsia="zh-CN"/>
              </w:rPr>
              <w:t>：</w:t>
            </w:r>
            <w:r>
              <w:rPr>
                <w:rFonts w:hint="eastAsia" w:ascii="仿宋" w:hAnsi="仿宋" w:eastAsia="仿宋" w:cs="仿宋"/>
                <w:bCs/>
                <w:color w:val="auto"/>
                <w:kern w:val="0"/>
                <w:sz w:val="24"/>
                <w:szCs w:val="24"/>
              </w:rPr>
              <w:t>长音吹奏平稳，音色优美，巩固基本功</w:t>
            </w:r>
            <w:r>
              <w:rPr>
                <w:rFonts w:hint="eastAsia" w:ascii="仿宋" w:hAnsi="仿宋" w:eastAsia="仿宋" w:cs="仿宋"/>
                <w:bCs/>
                <w:color w:val="auto"/>
                <w:kern w:val="0"/>
                <w:sz w:val="24"/>
                <w:szCs w:val="24"/>
                <w:lang w:eastAsia="zh-CN"/>
              </w:rPr>
              <w:t>。</w:t>
            </w:r>
            <w:r>
              <w:rPr>
                <w:rFonts w:hint="eastAsia" w:ascii="仿宋" w:hAnsi="仿宋" w:eastAsia="仿宋" w:cs="仿宋"/>
                <w:color w:val="auto"/>
                <w:kern w:val="0"/>
                <w:sz w:val="24"/>
                <w:szCs w:val="24"/>
              </w:rPr>
              <w:t>呼吸正确，音色优美，时值要够</w:t>
            </w:r>
            <w:r>
              <w:rPr>
                <w:rFonts w:hint="eastAsia" w:ascii="仿宋" w:hAnsi="仿宋" w:eastAsia="仿宋" w:cs="仿宋"/>
                <w:color w:val="auto"/>
                <w:sz w:val="24"/>
                <w:szCs w:val="24"/>
              </w:rPr>
              <w:t>3、重点和难点：</w:t>
            </w:r>
            <w:r>
              <w:rPr>
                <w:rFonts w:hint="eastAsia" w:ascii="仿宋" w:hAnsi="仿宋" w:eastAsia="仿宋" w:cs="仿宋"/>
                <w:bCs/>
                <w:color w:val="auto"/>
                <w:kern w:val="0"/>
                <w:sz w:val="24"/>
                <w:szCs w:val="24"/>
                <w:lang w:val="en-US" w:eastAsia="zh-CN"/>
              </w:rPr>
              <w:t>对于</w:t>
            </w:r>
            <w:r>
              <w:rPr>
                <w:rFonts w:hint="eastAsia" w:ascii="仿宋" w:hAnsi="仿宋" w:eastAsia="仿宋" w:cs="仿宋"/>
                <w:color w:val="auto"/>
                <w:kern w:val="0"/>
                <w:sz w:val="24"/>
                <w:szCs w:val="24"/>
              </w:rPr>
              <w:t>音色的控制</w:t>
            </w:r>
            <w:r>
              <w:rPr>
                <w:rFonts w:hint="eastAsia" w:ascii="仿宋" w:hAnsi="仿宋" w:eastAsia="仿宋" w:cs="仿宋"/>
                <w:color w:val="auto"/>
                <w:kern w:val="0"/>
                <w:sz w:val="24"/>
                <w:szCs w:val="24"/>
                <w:lang w:eastAsia="zh-CN"/>
              </w:rPr>
              <w:t>，</w:t>
            </w:r>
            <w:r>
              <w:rPr>
                <w:rFonts w:hint="eastAsia" w:ascii="仿宋" w:hAnsi="仿宋" w:eastAsia="仿宋" w:cs="仿宋"/>
                <w:color w:val="auto"/>
                <w:kern w:val="0"/>
                <w:sz w:val="24"/>
                <w:szCs w:val="24"/>
              </w:rPr>
              <w:t>体会乐曲的风格特征</w:t>
            </w:r>
            <w:r>
              <w:rPr>
                <w:rFonts w:hint="eastAsia" w:ascii="仿宋" w:hAnsi="仿宋" w:eastAsia="仿宋" w:cs="仿宋"/>
                <w:color w:val="auto"/>
                <w:kern w:val="0"/>
                <w:sz w:val="24"/>
                <w:szCs w:val="24"/>
                <w:lang w:eastAsia="zh-CN"/>
              </w:rPr>
              <w:t>。</w:t>
            </w:r>
          </w:p>
          <w:p w14:paraId="79B49051">
            <w:pPr>
              <w:pageBreakBefore w:val="0"/>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第二章 长笛演奏中的音色控制</w:t>
            </w:r>
          </w:p>
          <w:p w14:paraId="4124785C">
            <w:pPr>
              <w:pageBreakBefore w:val="0"/>
              <w:widowControl/>
              <w:kinsoku/>
              <w:overflowPunct/>
              <w:topLinePunct w:val="0"/>
              <w:bidi w:val="0"/>
              <w:spacing w:line="240" w:lineRule="auto"/>
              <w:jc w:val="left"/>
              <w:rPr>
                <w:rFonts w:hint="eastAsia" w:ascii="仿宋" w:hAnsi="仿宋" w:eastAsia="仿宋" w:cs="仿宋"/>
                <w:bCs/>
                <w:color w:val="auto"/>
                <w:sz w:val="24"/>
                <w:szCs w:val="24"/>
              </w:rPr>
            </w:pPr>
            <w:r>
              <w:rPr>
                <w:rFonts w:hint="eastAsia" w:ascii="仿宋" w:hAnsi="仿宋" w:eastAsia="仿宋" w:cs="仿宋"/>
                <w:bCs/>
                <w:color w:val="auto"/>
                <w:sz w:val="24"/>
                <w:szCs w:val="24"/>
              </w:rPr>
              <w:t>1. 学习目的</w:t>
            </w:r>
            <w:r>
              <w:rPr>
                <w:rFonts w:hint="eastAsia" w:ascii="仿宋" w:hAnsi="仿宋" w:eastAsia="仿宋" w:cs="仿宋"/>
                <w:bCs/>
                <w:color w:val="auto"/>
                <w:sz w:val="24"/>
                <w:szCs w:val="24"/>
                <w:lang w:eastAsia="zh-CN"/>
              </w:rPr>
              <w:t>：</w:t>
            </w:r>
            <w:r>
              <w:rPr>
                <w:rFonts w:hint="eastAsia" w:ascii="仿宋" w:hAnsi="仿宋" w:eastAsia="仿宋" w:cs="仿宋"/>
                <w:color w:val="auto"/>
                <w:kern w:val="0"/>
                <w:sz w:val="24"/>
                <w:szCs w:val="24"/>
              </w:rPr>
              <w:t>通过本章的学习，使学生掌握长笛的正确的音色，并能在演奏中保持音</w:t>
            </w:r>
            <w:r>
              <w:rPr>
                <w:rFonts w:hint="eastAsia" w:ascii="仿宋" w:hAnsi="仿宋" w:eastAsia="仿宋" w:cs="仿宋"/>
                <w:color w:val="auto"/>
                <w:kern w:val="0"/>
                <w:sz w:val="24"/>
                <w:szCs w:val="24"/>
                <w:lang w:val="en-US" w:eastAsia="zh-Hans"/>
              </w:rPr>
              <w:t>准</w:t>
            </w:r>
            <w:r>
              <w:rPr>
                <w:rFonts w:hint="eastAsia" w:ascii="仿宋" w:hAnsi="仿宋" w:eastAsia="仿宋" w:cs="仿宋"/>
                <w:color w:val="auto"/>
                <w:sz w:val="24"/>
                <w:szCs w:val="24"/>
              </w:rPr>
              <w:t>。</w:t>
            </w:r>
          </w:p>
          <w:p w14:paraId="45C46B6A">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kern w:val="0"/>
                <w:sz w:val="24"/>
                <w:szCs w:val="24"/>
                <w:lang w:val="en-US" w:eastAsia="zh-CN"/>
              </w:rPr>
              <w:t>2.</w:t>
            </w:r>
            <w:r>
              <w:rPr>
                <w:rFonts w:hint="eastAsia" w:ascii="仿宋" w:hAnsi="仿宋" w:eastAsia="仿宋" w:cs="仿宋"/>
                <w:color w:val="auto"/>
                <w:kern w:val="0"/>
                <w:sz w:val="24"/>
                <w:szCs w:val="24"/>
              </w:rPr>
              <w:t>基本内容要求</w:t>
            </w:r>
            <w:r>
              <w:rPr>
                <w:rFonts w:hint="eastAsia" w:ascii="仿宋" w:hAnsi="仿宋" w:eastAsia="仿宋" w:cs="仿宋"/>
                <w:color w:val="auto"/>
                <w:kern w:val="0"/>
                <w:sz w:val="24"/>
                <w:szCs w:val="24"/>
                <w:lang w:eastAsia="zh-CN"/>
              </w:rPr>
              <w:t>：</w:t>
            </w:r>
            <w:r>
              <w:rPr>
                <w:rFonts w:hint="eastAsia" w:ascii="仿宋" w:hAnsi="仿宋" w:eastAsia="仿宋" w:cs="仿宋"/>
                <w:color w:val="auto"/>
                <w:kern w:val="0"/>
                <w:sz w:val="24"/>
                <w:szCs w:val="24"/>
              </w:rPr>
              <w:t>换气时不能占拍子。音色的控制</w:t>
            </w:r>
            <w:r>
              <w:rPr>
                <w:rFonts w:hint="eastAsia" w:ascii="仿宋" w:hAnsi="仿宋" w:eastAsia="仿宋" w:cs="仿宋"/>
                <w:color w:val="auto"/>
                <w:kern w:val="0"/>
                <w:sz w:val="24"/>
                <w:szCs w:val="24"/>
                <w:lang w:eastAsia="zh-CN"/>
              </w:rPr>
              <w:t>，</w:t>
            </w:r>
            <w:r>
              <w:rPr>
                <w:rFonts w:hint="eastAsia" w:ascii="仿宋" w:hAnsi="仿宋" w:eastAsia="仿宋" w:cs="仿宋"/>
                <w:i w:val="0"/>
                <w:caps w:val="0"/>
                <w:color w:val="auto"/>
                <w:spacing w:val="0"/>
                <w:sz w:val="24"/>
                <w:szCs w:val="24"/>
                <w:u w:val="none"/>
                <w:shd w:val="clear" w:color="auto" w:fill="FFFFFF"/>
              </w:rPr>
              <w:t>每天坚持长音练习、音头练习及八度跳音练习</w:t>
            </w:r>
            <w:r>
              <w:rPr>
                <w:rFonts w:hint="default" w:ascii="仿宋" w:hAnsi="仿宋" w:eastAsia="仿宋" w:cs="仿宋"/>
                <w:i w:val="0"/>
                <w:caps w:val="0"/>
                <w:color w:val="auto"/>
                <w:spacing w:val="0"/>
                <w:sz w:val="24"/>
                <w:szCs w:val="24"/>
                <w:u w:val="none"/>
                <w:shd w:val="clear" w:color="auto" w:fill="FFFFFF"/>
              </w:rPr>
              <w:t>。</w:t>
            </w:r>
            <w:r>
              <w:rPr>
                <w:rFonts w:hint="eastAsia" w:ascii="仿宋" w:hAnsi="仿宋" w:eastAsia="仿宋" w:cs="仿宋"/>
                <w:color w:val="auto"/>
                <w:sz w:val="24"/>
                <w:szCs w:val="24"/>
              </w:rPr>
              <w:t>反复练习，演奏出长笛</w:t>
            </w:r>
            <w:r>
              <w:rPr>
                <w:rFonts w:hint="eastAsia" w:ascii="仿宋" w:hAnsi="仿宋" w:eastAsia="仿宋" w:cs="仿宋"/>
                <w:color w:val="auto"/>
                <w:sz w:val="24"/>
                <w:szCs w:val="24"/>
                <w:lang w:val="en-US" w:eastAsia="zh-Hans"/>
              </w:rPr>
              <w:t>准确</w:t>
            </w:r>
            <w:r>
              <w:rPr>
                <w:rFonts w:hint="eastAsia" w:ascii="仿宋" w:hAnsi="仿宋" w:eastAsia="仿宋" w:cs="仿宋"/>
                <w:color w:val="auto"/>
                <w:sz w:val="24"/>
                <w:szCs w:val="24"/>
              </w:rPr>
              <w:t>的音色。</w:t>
            </w:r>
          </w:p>
          <w:p w14:paraId="1A2FE73D">
            <w:pPr>
              <w:pageBreakBefore w:val="0"/>
              <w:kinsoku/>
              <w:overflowPunct/>
              <w:topLinePunct w:val="0"/>
              <w:bidi w:val="0"/>
              <w:adjustRightInd w:val="0"/>
              <w:snapToGrid w:val="0"/>
              <w:spacing w:line="240" w:lineRule="auto"/>
              <w:jc w:val="left"/>
              <w:rPr>
                <w:rFonts w:hint="default" w:ascii="仿宋" w:hAnsi="仿宋" w:eastAsia="仿宋" w:cs="仿宋"/>
                <w:bCs/>
                <w:color w:val="auto"/>
                <w:sz w:val="24"/>
                <w:szCs w:val="24"/>
                <w:lang w:eastAsia="zh-CN"/>
              </w:rPr>
            </w:pPr>
            <w:r>
              <w:rPr>
                <w:rFonts w:hint="eastAsia" w:ascii="仿宋" w:hAnsi="仿宋" w:eastAsia="仿宋" w:cs="仿宋"/>
                <w:bCs/>
                <w:color w:val="auto"/>
                <w:sz w:val="24"/>
                <w:szCs w:val="24"/>
                <w:lang w:val="en-US" w:eastAsia="zh-CN"/>
              </w:rPr>
              <w:t>第二章</w:t>
            </w:r>
            <w:r>
              <w:rPr>
                <w:rFonts w:hint="default" w:ascii="仿宋" w:hAnsi="仿宋" w:eastAsia="仿宋" w:cs="仿宋"/>
                <w:bCs/>
                <w:color w:val="auto"/>
                <w:sz w:val="24"/>
                <w:szCs w:val="24"/>
                <w:lang w:eastAsia="zh-CN"/>
              </w:rPr>
              <w:t>：</w:t>
            </w:r>
          </w:p>
          <w:p w14:paraId="7ECF7567">
            <w:pPr>
              <w:pageBreakBefore w:val="0"/>
              <w:kinsoku/>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bCs/>
                <w:color w:val="auto"/>
                <w:sz w:val="24"/>
                <w:szCs w:val="24"/>
                <w:lang w:val="en-US" w:eastAsia="zh-Hans"/>
              </w:rPr>
              <w:t>音阶</w:t>
            </w:r>
            <w:r>
              <w:rPr>
                <w:rFonts w:hint="default" w:ascii="仿宋" w:hAnsi="仿宋" w:eastAsia="仿宋" w:cs="仿宋"/>
                <w:color w:val="auto"/>
                <w:kern w:val="0"/>
                <w:sz w:val="24"/>
                <w:szCs w:val="24"/>
                <w:lang w:val="en-US" w:eastAsia="zh-CN"/>
              </w:rPr>
              <w:t>练习：</w:t>
            </w:r>
          </w:p>
          <w:p w14:paraId="386623FD">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default" w:ascii="仿宋" w:hAnsi="仿宋" w:eastAsia="仿宋" w:cs="仿宋"/>
                <w:color w:val="auto"/>
                <w:kern w:val="0"/>
                <w:sz w:val="24"/>
                <w:szCs w:val="24"/>
                <w:lang w:val="en-US" w:eastAsia="zh-CN"/>
              </w:rPr>
              <w:t>掌握正确的演奏姿势与方法，注重长音的训练。完成大，小调音阶，半音阶及琶音等练习（每周一个调性）。</w:t>
            </w:r>
          </w:p>
          <w:p w14:paraId="6E1AE70E">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default" w:ascii="仿宋" w:hAnsi="仿宋" w:eastAsia="仿宋" w:cs="仿宋"/>
                <w:color w:val="auto"/>
                <w:kern w:val="0"/>
                <w:sz w:val="24"/>
                <w:szCs w:val="24"/>
                <w:lang w:val="en-US" w:eastAsia="zh-CN"/>
              </w:rPr>
              <w:t>练习曲：</w:t>
            </w:r>
          </w:p>
          <w:p w14:paraId="312F5BDC">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default" w:ascii="仿宋" w:hAnsi="仿宋" w:eastAsia="仿宋" w:cs="仿宋"/>
                <w:color w:val="auto"/>
                <w:kern w:val="0"/>
                <w:sz w:val="24"/>
                <w:szCs w:val="24"/>
                <w:lang w:val="en-US" w:eastAsia="zh-CN"/>
              </w:rPr>
              <w:t>完成初级、中级练习曲40—50首。</w:t>
            </w:r>
          </w:p>
          <w:p w14:paraId="0A929788">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default" w:ascii="仿宋" w:hAnsi="仿宋" w:eastAsia="仿宋" w:cs="仿宋"/>
                <w:color w:val="auto"/>
                <w:kern w:val="0"/>
                <w:sz w:val="24"/>
                <w:szCs w:val="24"/>
                <w:lang w:val="en-US" w:eastAsia="zh-CN"/>
              </w:rPr>
              <w:t>《戈尔鲍第长笛练习曲20首》OP.131（每周一首）</w:t>
            </w:r>
          </w:p>
          <w:p w14:paraId="7DB3B7D4">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default" w:ascii="仿宋" w:hAnsi="仿宋" w:eastAsia="仿宋" w:cs="仿宋"/>
                <w:color w:val="auto"/>
                <w:kern w:val="0"/>
                <w:sz w:val="24"/>
                <w:szCs w:val="24"/>
                <w:lang w:val="en-US" w:eastAsia="zh-CN"/>
              </w:rPr>
              <w:t>《戈尔鲍第长笛练习曲20首》OP.132（每周一首）</w:t>
            </w:r>
          </w:p>
          <w:p w14:paraId="23692353">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default" w:ascii="仿宋" w:hAnsi="仿宋" w:eastAsia="仿宋" w:cs="仿宋"/>
                <w:color w:val="auto"/>
                <w:kern w:val="0"/>
                <w:sz w:val="24"/>
                <w:szCs w:val="24"/>
                <w:lang w:val="en-US" w:eastAsia="zh-CN"/>
              </w:rPr>
              <w:t>《安德森长笛练习曲18首》OP.41（每周一首）</w:t>
            </w:r>
          </w:p>
          <w:p w14:paraId="430DCEF5">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default" w:ascii="仿宋" w:hAnsi="仿宋" w:eastAsia="仿宋" w:cs="仿宋"/>
                <w:color w:val="auto"/>
                <w:kern w:val="0"/>
                <w:sz w:val="24"/>
                <w:szCs w:val="24"/>
                <w:lang w:val="en-US" w:eastAsia="zh-CN"/>
              </w:rPr>
              <w:t>乐曲：</w:t>
            </w:r>
          </w:p>
          <w:p w14:paraId="4375F028">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default" w:ascii="仿宋" w:hAnsi="仿宋" w:eastAsia="仿宋" w:cs="仿宋"/>
                <w:color w:val="auto"/>
                <w:kern w:val="0"/>
                <w:sz w:val="24"/>
                <w:szCs w:val="24"/>
                <w:lang w:val="en-US" w:eastAsia="zh-CN"/>
              </w:rPr>
              <w:t>完成外国乐曲3—4首；中国乐曲1—2首。</w:t>
            </w:r>
          </w:p>
          <w:p w14:paraId="104B836E">
            <w:pPr>
              <w:pageBreakBefore w:val="0"/>
              <w:kinsoku/>
              <w:overflowPunct/>
              <w:topLinePunct w:val="0"/>
              <w:bidi w:val="0"/>
              <w:adjustRightInd w:val="0"/>
              <w:snapToGrid w:val="0"/>
              <w:spacing w:line="240" w:lineRule="auto"/>
              <w:jc w:val="left"/>
              <w:rPr>
                <w:rFonts w:hint="eastAsia" w:ascii="仿宋" w:hAnsi="仿宋" w:eastAsia="仿宋" w:cs="仿宋"/>
                <w:color w:val="auto"/>
                <w:kern w:val="0"/>
                <w:sz w:val="24"/>
                <w:szCs w:val="24"/>
                <w:lang w:eastAsia="zh-Hans"/>
              </w:rPr>
            </w:pPr>
            <w:r>
              <w:rPr>
                <w:rFonts w:hint="eastAsia" w:ascii="仿宋" w:hAnsi="仿宋" w:eastAsia="仿宋" w:cs="仿宋"/>
                <w:color w:val="auto"/>
                <w:kern w:val="0"/>
                <w:sz w:val="24"/>
                <w:szCs w:val="24"/>
                <w:lang w:val="en-US" w:eastAsia="zh-CN"/>
              </w:rPr>
              <w:t>《</w:t>
            </w:r>
            <w:r>
              <w:rPr>
                <w:rFonts w:hint="eastAsia" w:ascii="仿宋" w:hAnsi="仿宋" w:eastAsia="仿宋" w:cs="仿宋"/>
                <w:color w:val="auto"/>
                <w:kern w:val="0"/>
                <w:sz w:val="24"/>
                <w:szCs w:val="24"/>
                <w:lang w:val="en-US" w:eastAsia="zh-Hans"/>
              </w:rPr>
              <w:t>圣母颂</w:t>
            </w:r>
            <w:r>
              <w:rPr>
                <w:rFonts w:hint="eastAsia" w:ascii="仿宋" w:hAnsi="仿宋" w:eastAsia="仿宋" w:cs="仿宋"/>
                <w:color w:val="auto"/>
                <w:kern w:val="0"/>
                <w:sz w:val="24"/>
                <w:szCs w:val="24"/>
                <w:lang w:val="en-US" w:eastAsia="zh-CN"/>
              </w:rPr>
              <w:t xml:space="preserve">》 </w:t>
            </w:r>
            <w:r>
              <w:rPr>
                <w:rFonts w:hint="eastAsia" w:ascii="仿宋" w:hAnsi="仿宋" w:eastAsia="仿宋" w:cs="仿宋"/>
                <w:color w:val="auto"/>
                <w:kern w:val="0"/>
                <w:sz w:val="24"/>
                <w:szCs w:val="24"/>
                <w:lang w:val="en-US" w:eastAsia="zh-Hans"/>
              </w:rPr>
              <w:t>巴赫</w:t>
            </w:r>
          </w:p>
          <w:p w14:paraId="0C002185">
            <w:pPr>
              <w:pageBreakBefore w:val="0"/>
              <w:kinsoku/>
              <w:overflowPunct/>
              <w:topLinePunct w:val="0"/>
              <w:bidi w:val="0"/>
              <w:adjustRightInd w:val="0"/>
              <w:snapToGrid w:val="0"/>
              <w:spacing w:line="240" w:lineRule="auto"/>
              <w:jc w:val="left"/>
              <w:rPr>
                <w:rFonts w:hint="eastAsia" w:ascii="仿宋" w:hAnsi="仿宋" w:eastAsia="仿宋" w:cs="仿宋"/>
                <w:color w:val="auto"/>
                <w:kern w:val="0"/>
                <w:sz w:val="24"/>
                <w:szCs w:val="24"/>
                <w:lang w:eastAsia="zh-Hans"/>
              </w:rPr>
            </w:pPr>
            <w:r>
              <w:rPr>
                <w:rFonts w:hint="eastAsia" w:ascii="仿宋" w:hAnsi="仿宋" w:eastAsia="仿宋" w:cs="仿宋"/>
                <w:color w:val="auto"/>
                <w:kern w:val="0"/>
                <w:sz w:val="24"/>
                <w:szCs w:val="24"/>
                <w:lang w:val="en-US" w:eastAsia="zh-CN"/>
              </w:rPr>
              <w:t>《</w:t>
            </w:r>
            <w:r>
              <w:rPr>
                <w:rFonts w:hint="eastAsia" w:ascii="仿宋" w:hAnsi="仿宋" w:eastAsia="仿宋" w:cs="仿宋"/>
                <w:color w:val="auto"/>
                <w:kern w:val="0"/>
                <w:sz w:val="24"/>
                <w:szCs w:val="24"/>
                <w:lang w:val="en-US" w:eastAsia="zh-Hans"/>
              </w:rPr>
              <w:t>天鹅</w:t>
            </w:r>
            <w:r>
              <w:rPr>
                <w:rFonts w:hint="eastAsia" w:ascii="仿宋" w:hAnsi="仿宋" w:eastAsia="仿宋" w:cs="仿宋"/>
                <w:color w:val="auto"/>
                <w:kern w:val="0"/>
                <w:sz w:val="24"/>
                <w:szCs w:val="24"/>
                <w:lang w:val="en-US" w:eastAsia="zh-CN"/>
              </w:rPr>
              <w:t xml:space="preserve">》 </w:t>
            </w:r>
            <w:r>
              <w:rPr>
                <w:rFonts w:hint="eastAsia" w:ascii="仿宋" w:hAnsi="仿宋" w:eastAsia="仿宋" w:cs="仿宋"/>
                <w:color w:val="auto"/>
                <w:kern w:val="0"/>
                <w:sz w:val="24"/>
                <w:szCs w:val="24"/>
                <w:lang w:val="en-US" w:eastAsia="zh-Hans"/>
              </w:rPr>
              <w:t>圣桑</w:t>
            </w:r>
          </w:p>
          <w:p w14:paraId="7E78AA70">
            <w:pPr>
              <w:pageBreakBefore w:val="0"/>
              <w:kinsoku/>
              <w:overflowPunct/>
              <w:topLinePunct w:val="0"/>
              <w:bidi w:val="0"/>
              <w:adjustRightInd w:val="0"/>
              <w:snapToGrid w:val="0"/>
              <w:spacing w:line="240" w:lineRule="auto"/>
              <w:jc w:val="left"/>
              <w:rPr>
                <w:rFonts w:hint="eastAsia" w:ascii="仿宋" w:hAnsi="仿宋" w:eastAsia="仿宋" w:cs="仿宋"/>
                <w:color w:val="auto"/>
                <w:kern w:val="0"/>
                <w:sz w:val="24"/>
                <w:szCs w:val="24"/>
                <w:lang w:val="en-US" w:eastAsia="zh-Hans"/>
              </w:rPr>
            </w:pPr>
            <w:r>
              <w:rPr>
                <w:rFonts w:hint="eastAsia" w:ascii="仿宋" w:hAnsi="仿宋" w:eastAsia="仿宋" w:cs="仿宋"/>
                <w:color w:val="auto"/>
                <w:kern w:val="0"/>
                <w:sz w:val="24"/>
                <w:szCs w:val="24"/>
                <w:lang w:val="en-US" w:eastAsia="zh-CN"/>
              </w:rPr>
              <w:t>《</w:t>
            </w:r>
            <w:r>
              <w:rPr>
                <w:rFonts w:hint="eastAsia" w:ascii="仿宋" w:hAnsi="仿宋" w:eastAsia="仿宋" w:cs="仿宋"/>
                <w:color w:val="auto"/>
                <w:kern w:val="0"/>
                <w:sz w:val="24"/>
                <w:szCs w:val="24"/>
                <w:lang w:val="en-US" w:eastAsia="zh-Hans"/>
              </w:rPr>
              <w:t>小夜曲</w:t>
            </w:r>
            <w:r>
              <w:rPr>
                <w:rFonts w:hint="eastAsia" w:ascii="仿宋" w:hAnsi="仿宋" w:eastAsia="仿宋" w:cs="仿宋"/>
                <w:color w:val="auto"/>
                <w:kern w:val="0"/>
                <w:sz w:val="24"/>
                <w:szCs w:val="24"/>
                <w:lang w:val="en-US" w:eastAsia="zh-CN"/>
              </w:rPr>
              <w:t xml:space="preserve">》 </w:t>
            </w:r>
            <w:r>
              <w:rPr>
                <w:rFonts w:hint="eastAsia" w:ascii="仿宋" w:hAnsi="仿宋" w:eastAsia="仿宋" w:cs="仿宋"/>
                <w:color w:val="auto"/>
                <w:kern w:val="0"/>
                <w:sz w:val="24"/>
                <w:szCs w:val="24"/>
                <w:lang w:val="en-US" w:eastAsia="zh-Hans"/>
              </w:rPr>
              <w:t>海顿</w:t>
            </w:r>
          </w:p>
          <w:p w14:paraId="15707FD1">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default" w:ascii="仿宋" w:hAnsi="仿宋" w:eastAsia="仿宋" w:cs="仿宋"/>
                <w:color w:val="auto"/>
                <w:kern w:val="0"/>
                <w:sz w:val="24"/>
                <w:szCs w:val="24"/>
                <w:lang w:val="en-US" w:eastAsia="zh-CN"/>
              </w:rPr>
              <w:t>《阿莱城姑娘》中的小步舞曲</w:t>
            </w:r>
            <w:r>
              <w:rPr>
                <w:rFonts w:hint="eastAsia" w:ascii="仿宋" w:hAnsi="仿宋" w:eastAsia="仿宋" w:cs="仿宋"/>
                <w:color w:val="auto"/>
                <w:kern w:val="0"/>
                <w:sz w:val="24"/>
                <w:szCs w:val="24"/>
                <w:lang w:val="en-US" w:eastAsia="zh-CN"/>
              </w:rPr>
              <w:t xml:space="preserve"> </w:t>
            </w:r>
            <w:r>
              <w:rPr>
                <w:rFonts w:hint="default" w:ascii="仿宋" w:hAnsi="仿宋" w:eastAsia="仿宋" w:cs="仿宋"/>
                <w:color w:val="auto"/>
                <w:kern w:val="0"/>
                <w:sz w:val="24"/>
                <w:szCs w:val="24"/>
                <w:lang w:val="en-US" w:eastAsia="zh-CN"/>
              </w:rPr>
              <w:t>比才曲</w:t>
            </w:r>
          </w:p>
          <w:p w14:paraId="2A0CF267">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w:t>
            </w:r>
            <w:r>
              <w:rPr>
                <w:rFonts w:hint="default" w:ascii="仿宋" w:hAnsi="仿宋" w:eastAsia="仿宋" w:cs="仿宋"/>
                <w:color w:val="auto"/>
                <w:kern w:val="0"/>
                <w:sz w:val="24"/>
                <w:szCs w:val="24"/>
                <w:lang w:val="en-US" w:eastAsia="zh-CN"/>
              </w:rPr>
              <w:t>怀念</w:t>
            </w:r>
            <w:r>
              <w:rPr>
                <w:rFonts w:hint="eastAsia" w:ascii="仿宋" w:hAnsi="仿宋" w:eastAsia="仿宋" w:cs="仿宋"/>
                <w:color w:val="auto"/>
                <w:kern w:val="0"/>
                <w:sz w:val="24"/>
                <w:szCs w:val="24"/>
                <w:lang w:eastAsia="zh-CN"/>
              </w:rPr>
              <w:t>》</w:t>
            </w:r>
            <w:r>
              <w:rPr>
                <w:rFonts w:hint="default" w:ascii="仿宋" w:hAnsi="仿宋" w:eastAsia="仿宋" w:cs="仿宋"/>
                <w:color w:val="auto"/>
                <w:kern w:val="0"/>
                <w:sz w:val="24"/>
                <w:szCs w:val="24"/>
                <w:lang w:val="en-US" w:eastAsia="zh-CN"/>
              </w:rPr>
              <w:t>马思云曲</w:t>
            </w:r>
          </w:p>
          <w:p w14:paraId="5E26D79B">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w:t>
            </w:r>
            <w:r>
              <w:rPr>
                <w:rFonts w:hint="default" w:ascii="仿宋" w:hAnsi="仿宋" w:eastAsia="仿宋" w:cs="仿宋"/>
                <w:color w:val="auto"/>
                <w:kern w:val="0"/>
                <w:sz w:val="24"/>
                <w:szCs w:val="24"/>
                <w:lang w:val="en-US" w:eastAsia="zh-CN"/>
              </w:rPr>
              <w:t>燕子</w:t>
            </w:r>
            <w:r>
              <w:rPr>
                <w:rFonts w:hint="eastAsia" w:ascii="仿宋" w:hAnsi="仿宋" w:eastAsia="仿宋" w:cs="仿宋"/>
                <w:color w:val="auto"/>
                <w:kern w:val="0"/>
                <w:sz w:val="24"/>
                <w:szCs w:val="24"/>
                <w:lang w:val="en-US" w:eastAsia="zh-CN"/>
              </w:rPr>
              <w:t>》</w:t>
            </w:r>
            <w:r>
              <w:rPr>
                <w:rFonts w:hint="default" w:ascii="仿宋" w:hAnsi="仿宋" w:eastAsia="仿宋" w:cs="仿宋"/>
                <w:color w:val="auto"/>
                <w:kern w:val="0"/>
                <w:sz w:val="24"/>
                <w:szCs w:val="24"/>
                <w:lang w:val="en-US" w:eastAsia="zh-CN"/>
              </w:rPr>
              <w:t>段平泰曲</w:t>
            </w:r>
          </w:p>
          <w:p w14:paraId="15140B99">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w:t>
            </w:r>
            <w:r>
              <w:rPr>
                <w:rFonts w:hint="default" w:ascii="仿宋" w:hAnsi="仿宋" w:eastAsia="仿宋" w:cs="仿宋"/>
                <w:color w:val="auto"/>
                <w:kern w:val="0"/>
                <w:sz w:val="24"/>
                <w:szCs w:val="24"/>
                <w:lang w:val="en-US" w:eastAsia="zh-CN"/>
              </w:rPr>
              <w:t>渔舟唱晚（古曲）</w:t>
            </w:r>
            <w:r>
              <w:rPr>
                <w:rFonts w:hint="eastAsia" w:ascii="仿宋" w:hAnsi="仿宋" w:eastAsia="仿宋" w:cs="仿宋"/>
                <w:color w:val="auto"/>
                <w:kern w:val="0"/>
                <w:sz w:val="24"/>
                <w:szCs w:val="24"/>
                <w:lang w:val="en-US" w:eastAsia="zh-CN"/>
              </w:rPr>
              <w:t>》</w:t>
            </w:r>
            <w:r>
              <w:rPr>
                <w:rFonts w:hint="default" w:ascii="仿宋" w:hAnsi="仿宋" w:eastAsia="仿宋" w:cs="仿宋"/>
                <w:color w:val="auto"/>
                <w:kern w:val="0"/>
                <w:sz w:val="24"/>
                <w:szCs w:val="24"/>
                <w:lang w:val="en-US" w:eastAsia="zh-CN"/>
              </w:rPr>
              <w:t>黎国荃曲</w:t>
            </w:r>
          </w:p>
          <w:p w14:paraId="1C5464E3">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w:t>
            </w:r>
            <w:r>
              <w:rPr>
                <w:rFonts w:hint="default" w:ascii="仿宋" w:hAnsi="仿宋" w:eastAsia="仿宋" w:cs="仿宋"/>
                <w:color w:val="auto"/>
                <w:kern w:val="0"/>
                <w:sz w:val="24"/>
                <w:szCs w:val="24"/>
                <w:lang w:val="en-US" w:eastAsia="zh-CN"/>
              </w:rPr>
              <w:t>村笛</w:t>
            </w:r>
            <w:r>
              <w:rPr>
                <w:rFonts w:hint="eastAsia" w:ascii="仿宋" w:hAnsi="仿宋" w:eastAsia="仿宋" w:cs="仿宋"/>
                <w:color w:val="auto"/>
                <w:kern w:val="0"/>
                <w:sz w:val="24"/>
                <w:szCs w:val="24"/>
                <w:lang w:val="en-US" w:eastAsia="zh-CN"/>
              </w:rPr>
              <w:t>》</w:t>
            </w:r>
            <w:r>
              <w:rPr>
                <w:rFonts w:hint="default" w:ascii="仿宋" w:hAnsi="仿宋" w:eastAsia="仿宋" w:cs="仿宋"/>
                <w:color w:val="auto"/>
                <w:kern w:val="0"/>
                <w:sz w:val="24"/>
                <w:szCs w:val="24"/>
                <w:lang w:val="en-US" w:eastAsia="zh-CN"/>
              </w:rPr>
              <w:t>罗教敏曲</w:t>
            </w:r>
          </w:p>
          <w:p w14:paraId="312DCD87">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w:t>
            </w:r>
            <w:r>
              <w:rPr>
                <w:rFonts w:hint="default" w:ascii="仿宋" w:hAnsi="仿宋" w:eastAsia="仿宋" w:cs="仿宋"/>
                <w:color w:val="auto"/>
                <w:kern w:val="0"/>
                <w:sz w:val="24"/>
                <w:szCs w:val="24"/>
                <w:lang w:val="en-US" w:eastAsia="zh-CN"/>
              </w:rPr>
              <w:t>小车</w:t>
            </w:r>
            <w:r>
              <w:rPr>
                <w:rFonts w:hint="eastAsia" w:ascii="仿宋" w:hAnsi="仿宋" w:eastAsia="仿宋" w:cs="仿宋"/>
                <w:color w:val="auto"/>
                <w:kern w:val="0"/>
                <w:sz w:val="24"/>
                <w:szCs w:val="24"/>
                <w:lang w:val="en-US" w:eastAsia="zh-CN"/>
              </w:rPr>
              <w:t>》</w:t>
            </w:r>
            <w:r>
              <w:rPr>
                <w:rFonts w:hint="default" w:ascii="仿宋" w:hAnsi="仿宋" w:eastAsia="仿宋" w:cs="仿宋"/>
                <w:color w:val="auto"/>
                <w:kern w:val="0"/>
                <w:sz w:val="24"/>
                <w:szCs w:val="24"/>
                <w:lang w:val="en-US" w:eastAsia="zh-CN"/>
              </w:rPr>
              <w:t>钱苑曲</w:t>
            </w:r>
            <w:r>
              <w:rPr>
                <w:rFonts w:hint="eastAsia" w:ascii="仿宋" w:hAnsi="仿宋" w:eastAsia="仿宋" w:cs="仿宋"/>
                <w:bCs/>
                <w:color w:val="000000"/>
                <w:sz w:val="24"/>
                <w:szCs w:val="24"/>
                <w:lang w:val="en-US" w:eastAsia="zh-Hans"/>
              </w:rPr>
              <w:t>等曲目</w:t>
            </w:r>
          </w:p>
          <w:p w14:paraId="08ABCB5B">
            <w:pPr>
              <w:pageBreakBefore w:val="0"/>
              <w:widowControl/>
              <w:numPr>
                <w:ilvl w:val="0"/>
                <w:numId w:val="0"/>
              </w:numPr>
              <w:kinsoku/>
              <w:overflowPunct/>
              <w:topLinePunct w:val="0"/>
              <w:bidi w:val="0"/>
              <w:adjustRightInd w:val="0"/>
              <w:snapToGrid w:val="0"/>
              <w:spacing w:line="240" w:lineRule="auto"/>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实训目的：</w:t>
            </w:r>
            <w:r>
              <w:rPr>
                <w:rFonts w:hint="default" w:ascii="仿宋" w:hAnsi="仿宋" w:eastAsia="仿宋" w:cs="仿宋"/>
                <w:color w:val="auto"/>
                <w:kern w:val="0"/>
                <w:sz w:val="24"/>
                <w:szCs w:val="24"/>
                <w:lang w:val="en-US" w:eastAsia="zh-CN"/>
              </w:rPr>
              <w:t>掌握正确的演奏姿势与方法，注重长音的训练。</w:t>
            </w:r>
          </w:p>
          <w:p w14:paraId="28079088">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bCs/>
                <w:color w:val="000000"/>
                <w:sz w:val="24"/>
                <w:szCs w:val="24"/>
                <w:lang w:val="en-US" w:eastAsia="zh-CN"/>
              </w:rPr>
              <w:t>实训任务：</w:t>
            </w:r>
            <w:r>
              <w:rPr>
                <w:rFonts w:hint="eastAsia" w:ascii="仿宋" w:hAnsi="仿宋" w:eastAsia="仿宋" w:cs="仿宋"/>
                <w:color w:val="auto"/>
                <w:sz w:val="24"/>
                <w:szCs w:val="24"/>
                <w:lang w:val="en-US" w:eastAsia="zh-CN"/>
              </w:rPr>
              <w:t>根据教学要求，提高演奏水平和表演能力，能够将学到的知识和技能。</w:t>
            </w:r>
          </w:p>
          <w:p w14:paraId="442D73AE">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Hans"/>
              </w:rPr>
            </w:pPr>
            <w:r>
              <w:rPr>
                <w:rFonts w:hint="eastAsia" w:ascii="仿宋" w:hAnsi="仿宋" w:eastAsia="仿宋" w:cs="仿宋"/>
                <w:bCs/>
                <w:color w:val="000000"/>
                <w:sz w:val="24"/>
                <w:szCs w:val="24"/>
                <w:lang w:val="en-US" w:eastAsia="zh-Hans"/>
              </w:rPr>
              <w:t>第三章</w:t>
            </w:r>
          </w:p>
          <w:p w14:paraId="7BDF9470">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Hans"/>
              </w:rPr>
              <w:t>音阶</w:t>
            </w:r>
            <w:r>
              <w:rPr>
                <w:rFonts w:hint="default" w:ascii="仿宋" w:hAnsi="仿宋" w:eastAsia="仿宋" w:cs="仿宋"/>
                <w:bCs/>
                <w:color w:val="000000"/>
                <w:sz w:val="24"/>
                <w:szCs w:val="24"/>
                <w:lang w:val="en-US" w:eastAsia="zh-CN"/>
              </w:rPr>
              <w:t>练习：</w:t>
            </w:r>
          </w:p>
          <w:p w14:paraId="066E9FD0">
            <w:pPr>
              <w:pageBreakBefore w:val="0"/>
              <w:kinsoku/>
              <w:overflowPunct/>
              <w:topLinePunct w:val="0"/>
              <w:bidi w:val="0"/>
              <w:adjustRightInd w:val="0"/>
              <w:snapToGrid w:val="0"/>
              <w:spacing w:line="240" w:lineRule="auto"/>
              <w:ind w:firstLine="443"/>
              <w:jc w:val="left"/>
              <w:rPr>
                <w:rFonts w:hint="default" w:ascii="仿宋" w:hAnsi="仿宋" w:eastAsia="仿宋" w:cs="仿宋"/>
                <w:bCs/>
                <w:color w:val="000000"/>
                <w:sz w:val="24"/>
                <w:szCs w:val="24"/>
                <w:lang w:val="en-US" w:eastAsia="zh-CN"/>
              </w:rPr>
            </w:pPr>
            <w:r>
              <w:rPr>
                <w:rFonts w:hint="default" w:ascii="仿宋" w:hAnsi="仿宋" w:eastAsia="仿宋" w:cs="仿宋"/>
                <w:bCs/>
                <w:color w:val="000000"/>
                <w:sz w:val="24"/>
                <w:szCs w:val="24"/>
                <w:lang w:val="en-US" w:eastAsia="zh-CN"/>
              </w:rPr>
              <w:t>完成大，小调音阶，半音阶及琶音练习；高贝尔特音阶，《半音阶每日练习》（每周一个调性）。</w:t>
            </w:r>
          </w:p>
          <w:p w14:paraId="08659B02">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default" w:ascii="仿宋" w:hAnsi="仿宋" w:eastAsia="仿宋" w:cs="仿宋"/>
                <w:bCs/>
                <w:color w:val="000000"/>
                <w:sz w:val="24"/>
                <w:szCs w:val="24"/>
                <w:lang w:val="en-US" w:eastAsia="zh-CN"/>
              </w:rPr>
              <w:t>练习曲：</w:t>
            </w:r>
          </w:p>
          <w:p w14:paraId="16DCA12B">
            <w:pPr>
              <w:pageBreakBefore w:val="0"/>
              <w:kinsoku/>
              <w:overflowPunct/>
              <w:topLinePunct w:val="0"/>
              <w:bidi w:val="0"/>
              <w:adjustRightInd w:val="0"/>
              <w:snapToGrid w:val="0"/>
              <w:spacing w:line="240" w:lineRule="auto"/>
              <w:ind w:firstLine="443"/>
              <w:jc w:val="left"/>
              <w:rPr>
                <w:rFonts w:hint="default" w:ascii="仿宋" w:hAnsi="仿宋" w:eastAsia="仿宋" w:cs="仿宋"/>
                <w:bCs/>
                <w:color w:val="000000"/>
                <w:sz w:val="24"/>
                <w:szCs w:val="24"/>
                <w:lang w:val="en-US" w:eastAsia="zh-CN"/>
              </w:rPr>
            </w:pPr>
            <w:r>
              <w:rPr>
                <w:rFonts w:hint="default" w:ascii="仿宋" w:hAnsi="仿宋" w:eastAsia="仿宋" w:cs="仿宋"/>
                <w:bCs/>
                <w:color w:val="000000"/>
                <w:sz w:val="24"/>
                <w:szCs w:val="24"/>
                <w:lang w:val="en-US" w:eastAsia="zh-CN"/>
              </w:rPr>
              <w:t>完成中级练习曲20---30首。</w:t>
            </w:r>
          </w:p>
          <w:p w14:paraId="0D675D8D">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default" w:ascii="仿宋" w:hAnsi="仿宋" w:eastAsia="仿宋" w:cs="仿宋"/>
                <w:bCs/>
                <w:color w:val="000000"/>
                <w:sz w:val="24"/>
                <w:szCs w:val="24"/>
                <w:lang w:val="en-US" w:eastAsia="zh-CN"/>
              </w:rPr>
              <w:t>《科勒长笛练习曲15首》op.33（每周一首）</w:t>
            </w:r>
          </w:p>
          <w:p w14:paraId="543F1083">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default" w:ascii="仿宋" w:hAnsi="仿宋" w:eastAsia="仿宋" w:cs="仿宋"/>
                <w:bCs/>
                <w:color w:val="000000"/>
                <w:sz w:val="24"/>
                <w:szCs w:val="24"/>
                <w:lang w:val="en-US" w:eastAsia="zh-CN"/>
              </w:rPr>
              <w:t>《科勒长笛练习曲25首》（每周一首）</w:t>
            </w:r>
          </w:p>
          <w:p w14:paraId="522397C1">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default" w:ascii="仿宋" w:hAnsi="仿宋" w:eastAsia="仿宋" w:cs="仿宋"/>
                <w:bCs/>
                <w:color w:val="000000"/>
                <w:sz w:val="24"/>
                <w:szCs w:val="24"/>
                <w:lang w:val="en-US" w:eastAsia="zh-CN"/>
              </w:rPr>
              <w:t>乐曲：</w:t>
            </w:r>
          </w:p>
          <w:p w14:paraId="74A9AE5F">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default" w:ascii="仿宋" w:hAnsi="仿宋" w:eastAsia="仿宋" w:cs="仿宋"/>
                <w:bCs/>
                <w:color w:val="000000"/>
                <w:sz w:val="24"/>
                <w:szCs w:val="24"/>
                <w:lang w:val="en-US" w:eastAsia="zh-CN"/>
              </w:rPr>
              <w:t>完成外国乐曲3-4首；中国乐曲1-2首。</w:t>
            </w:r>
          </w:p>
          <w:p w14:paraId="07A83B11">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w:t>
            </w:r>
            <w:r>
              <w:rPr>
                <w:rFonts w:hint="eastAsia" w:ascii="仿宋" w:hAnsi="仿宋" w:eastAsia="仿宋" w:cs="仿宋"/>
                <w:bCs/>
                <w:color w:val="000000"/>
                <w:sz w:val="24"/>
                <w:szCs w:val="24"/>
                <w:lang w:val="en-US" w:eastAsia="zh-Hans"/>
              </w:rPr>
              <w:t>金婚式</w:t>
            </w:r>
            <w:r>
              <w:rPr>
                <w:rFonts w:hint="eastAsia" w:ascii="仿宋" w:hAnsi="仿宋" w:eastAsia="仿宋" w:cs="仿宋"/>
                <w:bCs/>
                <w:color w:val="000000"/>
                <w:sz w:val="24"/>
                <w:szCs w:val="24"/>
                <w:lang w:val="en-US" w:eastAsia="zh-CN"/>
              </w:rPr>
              <w:t>》</w:t>
            </w:r>
            <w:r>
              <w:rPr>
                <w:rFonts w:hint="default" w:ascii="仿宋" w:hAnsi="仿宋" w:eastAsia="仿宋" w:cs="仿宋"/>
                <w:bCs/>
                <w:color w:val="000000"/>
                <w:sz w:val="24"/>
                <w:szCs w:val="24"/>
                <w:lang w:val="en-US" w:eastAsia="zh-CN"/>
              </w:rPr>
              <w:t>加普利埃尔</w:t>
            </w:r>
          </w:p>
          <w:p w14:paraId="7DDBC7B9">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Hans"/>
              </w:rPr>
            </w:pPr>
            <w:r>
              <w:rPr>
                <w:rFonts w:hint="eastAsia" w:ascii="仿宋" w:hAnsi="仿宋" w:eastAsia="仿宋" w:cs="仿宋"/>
                <w:bCs/>
                <w:color w:val="000000"/>
                <w:sz w:val="24"/>
                <w:szCs w:val="24"/>
                <w:lang w:val="en-US" w:eastAsia="zh-CN"/>
              </w:rPr>
              <w:t>《</w:t>
            </w:r>
            <w:r>
              <w:rPr>
                <w:rFonts w:hint="eastAsia" w:ascii="仿宋" w:hAnsi="仿宋" w:eastAsia="仿宋" w:cs="仿宋"/>
                <w:bCs/>
                <w:color w:val="000000"/>
                <w:sz w:val="24"/>
                <w:szCs w:val="24"/>
                <w:lang w:val="en-US" w:eastAsia="zh-Hans"/>
              </w:rPr>
              <w:t>印度客商之歌</w:t>
            </w:r>
            <w:r>
              <w:rPr>
                <w:rFonts w:hint="eastAsia" w:ascii="仿宋" w:hAnsi="仿宋" w:eastAsia="仿宋" w:cs="仿宋"/>
                <w:bCs/>
                <w:color w:val="000000"/>
                <w:sz w:val="24"/>
                <w:szCs w:val="24"/>
                <w:lang w:val="en-US" w:eastAsia="zh-CN"/>
              </w:rPr>
              <w:t>》</w:t>
            </w:r>
            <w:r>
              <w:rPr>
                <w:rFonts w:hint="eastAsia" w:ascii="仿宋" w:hAnsi="仿宋" w:eastAsia="仿宋" w:cs="仿宋"/>
                <w:bCs/>
                <w:color w:val="000000"/>
                <w:sz w:val="24"/>
                <w:szCs w:val="24"/>
                <w:lang w:val="en-US" w:eastAsia="zh-Hans"/>
              </w:rPr>
              <w:t>柴可夫斯基</w:t>
            </w:r>
          </w:p>
          <w:p w14:paraId="123FBE33">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w:t>
            </w:r>
            <w:r>
              <w:rPr>
                <w:rFonts w:hint="eastAsia" w:ascii="仿宋" w:hAnsi="仿宋" w:eastAsia="仿宋" w:cs="仿宋"/>
                <w:bCs/>
                <w:color w:val="000000"/>
                <w:sz w:val="24"/>
                <w:szCs w:val="24"/>
                <w:lang w:val="en-US" w:eastAsia="zh-Hans"/>
              </w:rPr>
              <w:t>音乐瞬间</w:t>
            </w:r>
            <w:r>
              <w:rPr>
                <w:rFonts w:hint="eastAsia" w:ascii="仿宋" w:hAnsi="仿宋" w:eastAsia="仿宋" w:cs="仿宋"/>
                <w:bCs/>
                <w:color w:val="000000"/>
                <w:sz w:val="24"/>
                <w:szCs w:val="24"/>
                <w:lang w:val="en-US" w:eastAsia="zh-CN"/>
              </w:rPr>
              <w:t>》</w:t>
            </w:r>
            <w:r>
              <w:rPr>
                <w:rFonts w:hint="default" w:ascii="仿宋" w:hAnsi="仿宋" w:eastAsia="仿宋" w:cs="仿宋"/>
                <w:bCs/>
                <w:color w:val="000000"/>
                <w:sz w:val="24"/>
                <w:szCs w:val="24"/>
                <w:lang w:val="en-US" w:eastAsia="zh-CN"/>
              </w:rPr>
              <w:t>舒伯</w:t>
            </w:r>
            <w:r>
              <w:rPr>
                <w:rFonts w:hint="eastAsia" w:ascii="仿宋" w:hAnsi="仿宋" w:eastAsia="仿宋" w:cs="仿宋"/>
                <w:bCs/>
                <w:color w:val="000000"/>
                <w:sz w:val="24"/>
                <w:szCs w:val="24"/>
                <w:lang w:val="en-US" w:eastAsia="zh-Hans"/>
              </w:rPr>
              <w:t>特</w:t>
            </w:r>
          </w:p>
          <w:p w14:paraId="2C381CC9">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w:t>
            </w:r>
            <w:r>
              <w:rPr>
                <w:rFonts w:hint="default" w:ascii="仿宋" w:hAnsi="仿宋" w:eastAsia="仿宋" w:cs="仿宋"/>
                <w:bCs/>
                <w:color w:val="000000"/>
                <w:sz w:val="24"/>
                <w:szCs w:val="24"/>
                <w:lang w:val="en-US" w:eastAsia="zh-CN"/>
              </w:rPr>
              <w:t>降B大调奏鸣曲</w:t>
            </w:r>
            <w:r>
              <w:rPr>
                <w:rFonts w:hint="eastAsia" w:ascii="仿宋" w:hAnsi="仿宋" w:eastAsia="仿宋" w:cs="仿宋"/>
                <w:bCs/>
                <w:color w:val="000000"/>
                <w:sz w:val="24"/>
                <w:szCs w:val="24"/>
                <w:lang w:val="en-US" w:eastAsia="zh-CN"/>
              </w:rPr>
              <w:t>》</w:t>
            </w:r>
            <w:r>
              <w:rPr>
                <w:rFonts w:hint="default" w:ascii="仿宋" w:hAnsi="仿宋" w:eastAsia="仿宋" w:cs="仿宋"/>
                <w:bCs/>
                <w:color w:val="000000"/>
                <w:sz w:val="24"/>
                <w:szCs w:val="24"/>
                <w:lang w:val="en-US" w:eastAsia="zh-CN"/>
              </w:rPr>
              <w:t>贝多芬</w:t>
            </w:r>
          </w:p>
          <w:p w14:paraId="763AEF0D">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w:t>
            </w:r>
            <w:r>
              <w:rPr>
                <w:rFonts w:hint="eastAsia" w:ascii="仿宋" w:hAnsi="仿宋" w:eastAsia="仿宋" w:cs="仿宋"/>
                <w:bCs/>
                <w:color w:val="000000"/>
                <w:sz w:val="24"/>
                <w:szCs w:val="24"/>
                <w:lang w:val="en-US" w:eastAsia="zh-Hans"/>
              </w:rPr>
              <w:t>西西里舞曲</w:t>
            </w:r>
            <w:r>
              <w:rPr>
                <w:rFonts w:hint="eastAsia" w:ascii="仿宋" w:hAnsi="仿宋" w:eastAsia="仿宋" w:cs="仿宋"/>
                <w:bCs/>
                <w:color w:val="000000"/>
                <w:sz w:val="24"/>
                <w:szCs w:val="24"/>
                <w:lang w:val="en-US" w:eastAsia="zh-CN"/>
              </w:rPr>
              <w:t>》</w:t>
            </w:r>
            <w:r>
              <w:rPr>
                <w:rFonts w:hint="default" w:ascii="仿宋" w:hAnsi="仿宋" w:eastAsia="仿宋" w:cs="仿宋"/>
                <w:bCs/>
                <w:color w:val="000000"/>
                <w:sz w:val="24"/>
                <w:szCs w:val="24"/>
                <w:lang w:val="en-US" w:eastAsia="zh-CN"/>
              </w:rPr>
              <w:t>巴赫</w:t>
            </w:r>
          </w:p>
          <w:p w14:paraId="334C4B57">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Hans"/>
              </w:rPr>
            </w:pPr>
            <w:r>
              <w:rPr>
                <w:rFonts w:hint="eastAsia" w:ascii="仿宋" w:hAnsi="仿宋" w:eastAsia="仿宋" w:cs="仿宋"/>
                <w:bCs/>
                <w:color w:val="000000"/>
                <w:sz w:val="24"/>
                <w:szCs w:val="24"/>
                <w:lang w:val="en-US" w:eastAsia="zh-CN"/>
              </w:rPr>
              <w:t>《</w:t>
            </w:r>
            <w:r>
              <w:rPr>
                <w:rFonts w:hint="eastAsia" w:ascii="仿宋" w:hAnsi="仿宋" w:eastAsia="仿宋" w:cs="仿宋"/>
                <w:bCs/>
                <w:color w:val="000000"/>
                <w:sz w:val="24"/>
                <w:szCs w:val="24"/>
                <w:lang w:val="en-US" w:eastAsia="zh-Hans"/>
              </w:rPr>
              <w:t>匈牙利第五号舞曲</w:t>
            </w:r>
            <w:r>
              <w:rPr>
                <w:rFonts w:hint="eastAsia" w:ascii="仿宋" w:hAnsi="仿宋" w:eastAsia="仿宋" w:cs="仿宋"/>
                <w:bCs/>
                <w:color w:val="000000"/>
                <w:sz w:val="24"/>
                <w:szCs w:val="24"/>
                <w:lang w:val="en-US" w:eastAsia="zh-CN"/>
              </w:rPr>
              <w:t>》《</w:t>
            </w:r>
            <w:r>
              <w:rPr>
                <w:rFonts w:hint="eastAsia" w:ascii="仿宋" w:hAnsi="仿宋" w:eastAsia="仿宋" w:cs="仿宋"/>
                <w:bCs/>
                <w:color w:val="000000"/>
                <w:sz w:val="24"/>
                <w:szCs w:val="24"/>
                <w:lang w:val="en-US" w:eastAsia="zh-Hans"/>
              </w:rPr>
              <w:t>坦布兰舞曲</w:t>
            </w:r>
            <w:r>
              <w:rPr>
                <w:rFonts w:hint="eastAsia" w:ascii="仿宋" w:hAnsi="仿宋" w:eastAsia="仿宋" w:cs="仿宋"/>
                <w:bCs/>
                <w:color w:val="000000"/>
                <w:sz w:val="24"/>
                <w:szCs w:val="24"/>
                <w:lang w:val="en-US" w:eastAsia="zh-CN"/>
              </w:rPr>
              <w:t>》</w:t>
            </w:r>
            <w:r>
              <w:rPr>
                <w:rFonts w:hint="default" w:ascii="仿宋" w:hAnsi="仿宋" w:eastAsia="仿宋" w:cs="仿宋"/>
                <w:bCs/>
                <w:color w:val="000000"/>
                <w:sz w:val="24"/>
                <w:szCs w:val="24"/>
                <w:lang w:val="en-US" w:eastAsia="zh-CN"/>
              </w:rPr>
              <w:t>戈塞克</w:t>
            </w:r>
          </w:p>
          <w:p w14:paraId="215C5D99">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Hans"/>
              </w:rPr>
            </w:pPr>
            <w:r>
              <w:rPr>
                <w:rFonts w:hint="eastAsia" w:ascii="仿宋" w:hAnsi="仿宋" w:eastAsia="仿宋" w:cs="仿宋"/>
                <w:bCs/>
                <w:color w:val="000000"/>
                <w:sz w:val="24"/>
                <w:szCs w:val="24"/>
                <w:lang w:val="en-US" w:eastAsia="zh-CN"/>
              </w:rPr>
              <w:t>《</w:t>
            </w:r>
            <w:r>
              <w:rPr>
                <w:rFonts w:hint="eastAsia" w:ascii="仿宋" w:hAnsi="仿宋" w:eastAsia="仿宋" w:cs="仿宋"/>
                <w:bCs/>
                <w:color w:val="000000"/>
                <w:sz w:val="24"/>
                <w:szCs w:val="24"/>
                <w:lang w:val="en-US" w:eastAsia="zh-Hans"/>
              </w:rPr>
              <w:t>沉思</w:t>
            </w:r>
            <w:r>
              <w:rPr>
                <w:rFonts w:hint="eastAsia" w:ascii="仿宋" w:hAnsi="仿宋" w:eastAsia="仿宋" w:cs="仿宋"/>
                <w:bCs/>
                <w:color w:val="000000"/>
                <w:sz w:val="24"/>
                <w:szCs w:val="24"/>
                <w:lang w:val="en-US" w:eastAsia="zh-CN"/>
              </w:rPr>
              <w:t>》</w:t>
            </w:r>
            <w:r>
              <w:rPr>
                <w:rFonts w:hint="eastAsia" w:ascii="仿宋" w:hAnsi="仿宋" w:eastAsia="仿宋" w:cs="仿宋"/>
                <w:bCs/>
                <w:color w:val="000000"/>
                <w:sz w:val="24"/>
                <w:szCs w:val="24"/>
                <w:lang w:val="en-US" w:eastAsia="zh-Hans"/>
              </w:rPr>
              <w:t>马斯内等曲目</w:t>
            </w:r>
          </w:p>
          <w:p w14:paraId="203972D0">
            <w:pPr>
              <w:pageBreakBefore w:val="0"/>
              <w:widowControl/>
              <w:numPr>
                <w:ilvl w:val="0"/>
                <w:numId w:val="0"/>
              </w:numPr>
              <w:kinsoku/>
              <w:overflowPunct/>
              <w:topLinePunct w:val="0"/>
              <w:bidi w:val="0"/>
              <w:adjustRightInd w:val="0"/>
              <w:snapToGrid w:val="0"/>
              <w:spacing w:line="240" w:lineRule="auto"/>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实训目的：</w:t>
            </w:r>
            <w:r>
              <w:rPr>
                <w:rFonts w:hint="default" w:ascii="仿宋" w:hAnsi="仿宋" w:eastAsia="仿宋" w:cs="仿宋"/>
                <w:color w:val="auto"/>
                <w:kern w:val="0"/>
                <w:sz w:val="24"/>
                <w:szCs w:val="24"/>
                <w:lang w:val="en-US" w:eastAsia="zh-CN"/>
              </w:rPr>
              <w:t>掌握正确的演奏姿势与方法，注重长音的训练。</w:t>
            </w:r>
          </w:p>
          <w:p w14:paraId="244026CF">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Hans"/>
              </w:rPr>
              <w:t>实训任务</w:t>
            </w:r>
            <w:r>
              <w:rPr>
                <w:rFonts w:hint="default" w:ascii="仿宋" w:hAnsi="仿宋" w:eastAsia="仿宋" w:cs="仿宋"/>
                <w:bCs/>
                <w:color w:val="000000"/>
                <w:sz w:val="24"/>
                <w:szCs w:val="24"/>
                <w:lang w:eastAsia="zh-Hans"/>
              </w:rPr>
              <w:t>：</w:t>
            </w:r>
            <w:r>
              <w:rPr>
                <w:rFonts w:hint="default" w:ascii="仿宋" w:hAnsi="仿宋" w:eastAsia="仿宋" w:cs="仿宋"/>
                <w:bCs/>
                <w:color w:val="000000"/>
                <w:sz w:val="24"/>
                <w:szCs w:val="24"/>
                <w:lang w:val="en-US" w:eastAsia="zh-CN"/>
              </w:rPr>
              <w:t>通过训练，使学生演奏气息流畅，手指灵活。</w:t>
            </w:r>
          </w:p>
          <w:p w14:paraId="55ED8E69">
            <w:pPr>
              <w:pageBreakBefore w:val="0"/>
              <w:numPr>
                <w:ilvl w:val="0"/>
                <w:numId w:val="0"/>
              </w:numPr>
              <w:kinsoku/>
              <w:overflowPunct/>
              <w:topLinePunct w:val="0"/>
              <w:bidi w:val="0"/>
              <w:adjustRightInd w:val="0"/>
              <w:snapToGrid w:val="0"/>
              <w:spacing w:line="240" w:lineRule="auto"/>
              <w:jc w:val="left"/>
              <w:rPr>
                <w:rFonts w:hint="eastAsia" w:ascii="仿宋" w:hAnsi="仿宋" w:eastAsia="仿宋" w:cs="仿宋"/>
                <w:color w:val="auto"/>
                <w:kern w:val="0"/>
                <w:sz w:val="24"/>
                <w:szCs w:val="24"/>
                <w:lang w:val="en-US" w:eastAsia="zh-CN"/>
              </w:rPr>
            </w:pPr>
          </w:p>
        </w:tc>
        <w:tc>
          <w:tcPr>
            <w:tcW w:w="1183" w:type="dxa"/>
            <w:gridSpan w:val="4"/>
            <w:shd w:val="clear" w:color="auto" w:fill="auto"/>
            <w:noWrap w:val="0"/>
            <w:vAlign w:val="center"/>
          </w:tcPr>
          <w:p w14:paraId="49A6623A">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p w14:paraId="71BD25BF">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14:paraId="4D97C999">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14:paraId="02D4AC7B">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14:paraId="6C33C81C">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14:paraId="6BBE216A">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14:paraId="37754376">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14:paraId="1072B293">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tc>
        <w:tc>
          <w:tcPr>
            <w:tcW w:w="923" w:type="dxa"/>
            <w:gridSpan w:val="2"/>
            <w:shd w:val="clear" w:color="auto" w:fill="FFFFFF"/>
            <w:noWrap w:val="0"/>
            <w:vAlign w:val="center"/>
          </w:tcPr>
          <w:p w14:paraId="6D345275">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64</w:t>
            </w:r>
          </w:p>
        </w:tc>
      </w:tr>
      <w:tr w14:paraId="28FE6BDB">
        <w:trPr>
          <w:trHeight w:val="624" w:hRule="atLeast"/>
          <w:jc w:val="center"/>
        </w:trPr>
        <w:tc>
          <w:tcPr>
            <w:tcW w:w="1284" w:type="dxa"/>
            <w:vMerge w:val="continue"/>
            <w:shd w:val="clear" w:color="auto" w:fill="FFFFFF"/>
            <w:noWrap w:val="0"/>
            <w:vAlign w:val="center"/>
          </w:tcPr>
          <w:p w14:paraId="127EC47F">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p>
        </w:tc>
        <w:tc>
          <w:tcPr>
            <w:tcW w:w="5758" w:type="dxa"/>
            <w:gridSpan w:val="9"/>
            <w:shd w:val="clear" w:color="auto" w:fill="auto"/>
            <w:noWrap w:val="0"/>
            <w:vAlign w:val="center"/>
          </w:tcPr>
          <w:p w14:paraId="5504292D">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竹笛：</w:t>
            </w:r>
          </w:p>
          <w:p w14:paraId="0B6BDAC2">
            <w:pPr>
              <w:pageBreakBefore w:val="0"/>
              <w:numPr>
                <w:ilvl w:val="0"/>
                <w:numId w:val="6"/>
              </w:numPr>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气息、手指、双吐强化训练十至二十三，五声音阶快速训练，独奏曲《脚踏水车唱山歌》</w:t>
            </w:r>
          </w:p>
          <w:p w14:paraId="63D1B3AD">
            <w:pPr>
              <w:pageBreakBefore w:val="0"/>
              <w:numPr>
                <w:ilvl w:val="0"/>
                <w:numId w:val="6"/>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历音、花舌、剁音练习，独奏曲《扬鞭催马运粮忙》</w:t>
            </w:r>
          </w:p>
          <w:p w14:paraId="662682E9">
            <w:pPr>
              <w:pageBreakBefore w:val="0"/>
              <w:numPr>
                <w:ilvl w:val="0"/>
                <w:numId w:val="6"/>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快速颤音练习、全按作1音阶与八度练习，独</w:t>
            </w:r>
          </w:p>
          <w:p w14:paraId="2CF0B590">
            <w:pPr>
              <w:pageBreakBefore w:val="0"/>
              <w:numPr>
                <w:ilvl w:val="0"/>
                <w:numId w:val="0"/>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奏曲《列车奔向北京</w:t>
            </w:r>
            <w:r>
              <w:rPr>
                <w:rFonts w:hint="eastAsia" w:ascii="仿宋" w:hAnsi="仿宋" w:eastAsia="仿宋" w:cs="仿宋"/>
                <w:color w:val="auto"/>
                <w:sz w:val="24"/>
                <w:szCs w:val="24"/>
                <w:lang w:eastAsia="zh-CN"/>
              </w:rPr>
              <w:t>》</w:t>
            </w:r>
          </w:p>
          <w:p w14:paraId="0CAFD9EA">
            <w:pPr>
              <w:pageBreakBefore w:val="0"/>
              <w:numPr>
                <w:ilvl w:val="0"/>
                <w:numId w:val="6"/>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全按作2快速连音练习，独奏曲《春满水乡》</w:t>
            </w:r>
          </w:p>
          <w:p w14:paraId="056D6A93">
            <w:pPr>
              <w:pageBreakBefore w:val="0"/>
              <w:numPr>
                <w:ilvl w:val="0"/>
                <w:numId w:val="6"/>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全按作1连音与顿音练习，独奏曲《喜相逢》</w:t>
            </w:r>
          </w:p>
          <w:p w14:paraId="48696357">
            <w:pPr>
              <w:pageBreakBefore w:val="0"/>
              <w:numPr>
                <w:ilvl w:val="0"/>
                <w:numId w:val="6"/>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双吐练习54，独奏曲《沂河欢歌》</w:t>
            </w:r>
          </w:p>
          <w:p w14:paraId="2CFFC546">
            <w:pPr>
              <w:pageBreakBefore w:val="0"/>
              <w:numPr>
                <w:ilvl w:val="0"/>
                <w:numId w:val="6"/>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全按作6音阶练习曲，独奏曲《乡歌》</w:t>
            </w:r>
          </w:p>
          <w:p w14:paraId="030EA95C">
            <w:pPr>
              <w:pageBreakBefore w:val="0"/>
              <w:numPr>
                <w:ilvl w:val="0"/>
                <w:numId w:val="6"/>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滑音高级练习63，独奏曲《牧民新歌》</w:t>
            </w:r>
          </w:p>
          <w:p w14:paraId="7391D2FA">
            <w:pPr>
              <w:pageBreakBefore w:val="0"/>
              <w:numPr>
                <w:ilvl w:val="0"/>
                <w:numId w:val="6"/>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双吐练习66，独奏曲《春到湘江》</w:t>
            </w:r>
          </w:p>
          <w:p w14:paraId="12A4B64C">
            <w:pPr>
              <w:pageBreakBefore w:val="0"/>
              <w:numPr>
                <w:ilvl w:val="0"/>
                <w:numId w:val="6"/>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灵巧的吐音，独奏曲《枣园春色》</w:t>
            </w:r>
          </w:p>
          <w:p w14:paraId="221287ED">
            <w:pPr>
              <w:pageBreakBefore w:val="0"/>
              <w:numPr>
                <w:ilvl w:val="0"/>
                <w:numId w:val="6"/>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二重奏练习，独奏曲《沙场》</w:t>
            </w:r>
          </w:p>
          <w:p w14:paraId="2D5CD200">
            <w:pPr>
              <w:pageBreakBefore w:val="0"/>
              <w:numPr>
                <w:ilvl w:val="0"/>
                <w:numId w:val="6"/>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全按作3音阶练习，独奏曲《山村迎亲人》</w:t>
            </w:r>
          </w:p>
          <w:p w14:paraId="7EA12ABF">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实训目的：了解</w:t>
            </w:r>
            <w:r>
              <w:rPr>
                <w:rFonts w:hint="eastAsia" w:ascii="仿宋" w:hAnsi="仿宋" w:eastAsia="仿宋" w:cs="仿宋"/>
                <w:bCs/>
                <w:color w:val="auto"/>
                <w:sz w:val="24"/>
                <w:szCs w:val="24"/>
                <w:lang w:val="en-US" w:eastAsia="zh-Hans"/>
              </w:rPr>
              <w:t>竹笛基</w:t>
            </w:r>
            <w:r>
              <w:rPr>
                <w:rFonts w:hint="eastAsia" w:ascii="仿宋" w:hAnsi="仿宋" w:eastAsia="仿宋" w:cs="仿宋"/>
                <w:bCs/>
                <w:color w:val="auto"/>
                <w:sz w:val="24"/>
                <w:szCs w:val="24"/>
                <w:lang w:val="en-US" w:eastAsia="zh-CN"/>
              </w:rPr>
              <w:t>本知识与发音原理</w:t>
            </w:r>
            <w:r>
              <w:rPr>
                <w:rFonts w:hint="eastAsia" w:ascii="仿宋" w:hAnsi="仿宋" w:eastAsia="仿宋" w:cs="仿宋"/>
                <w:bCs/>
                <w:color w:val="auto"/>
                <w:sz w:val="24"/>
                <w:szCs w:val="24"/>
                <w:lang w:val="en-US" w:eastAsia="zh-Hans"/>
              </w:rPr>
              <w:t>和演奏技巧</w:t>
            </w:r>
            <w:r>
              <w:rPr>
                <w:rFonts w:hint="eastAsia" w:ascii="仿宋" w:hAnsi="仿宋" w:eastAsia="仿宋" w:cs="仿宋"/>
                <w:bCs/>
                <w:color w:val="auto"/>
                <w:sz w:val="24"/>
                <w:szCs w:val="24"/>
                <w:lang w:val="en-US" w:eastAsia="zh-CN"/>
              </w:rPr>
              <w:t>。</w:t>
            </w:r>
          </w:p>
          <w:p w14:paraId="249C1E70">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实训任务：了解</w:t>
            </w:r>
            <w:r>
              <w:rPr>
                <w:rFonts w:hint="eastAsia" w:ascii="仿宋" w:hAnsi="仿宋" w:eastAsia="仿宋" w:cs="仿宋"/>
                <w:bCs/>
                <w:color w:val="auto"/>
                <w:sz w:val="24"/>
                <w:szCs w:val="24"/>
                <w:lang w:val="en-US" w:eastAsia="zh-Hans"/>
              </w:rPr>
              <w:t>竹笛</w:t>
            </w:r>
            <w:r>
              <w:rPr>
                <w:rFonts w:hint="eastAsia" w:ascii="仿宋" w:hAnsi="仿宋" w:eastAsia="仿宋" w:cs="仿宋"/>
                <w:bCs/>
                <w:color w:val="auto"/>
                <w:sz w:val="24"/>
                <w:szCs w:val="24"/>
                <w:lang w:val="en-US" w:eastAsia="zh-CN"/>
              </w:rPr>
              <w:t>结构特点与音色特点。</w:t>
            </w:r>
          </w:p>
          <w:p w14:paraId="2B3E1F72">
            <w:pPr>
              <w:pageBreakBefore w:val="0"/>
              <w:numPr>
                <w:ilvl w:val="0"/>
                <w:numId w:val="0"/>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p>
        </w:tc>
        <w:tc>
          <w:tcPr>
            <w:tcW w:w="1183" w:type="dxa"/>
            <w:gridSpan w:val="4"/>
            <w:shd w:val="clear" w:color="auto" w:fill="auto"/>
            <w:noWrap w:val="0"/>
            <w:vAlign w:val="center"/>
          </w:tcPr>
          <w:p w14:paraId="4889B1EA">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14:paraId="0617DE96">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14:paraId="727385C8">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14:paraId="27710ECE">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14:paraId="5FD8A7C0">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14:paraId="68DCE052">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14:paraId="20875ED9">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p w14:paraId="67FAF6CF">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14:paraId="6004B358">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14:paraId="5101A87B">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14:paraId="0462CAC5">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14:paraId="5FE5BCF4">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tc>
        <w:tc>
          <w:tcPr>
            <w:tcW w:w="923" w:type="dxa"/>
            <w:gridSpan w:val="2"/>
            <w:shd w:val="clear" w:color="auto" w:fill="FFFFFF"/>
            <w:noWrap w:val="0"/>
            <w:vAlign w:val="center"/>
          </w:tcPr>
          <w:p w14:paraId="7777B3FB">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64</w:t>
            </w:r>
          </w:p>
        </w:tc>
      </w:tr>
      <w:tr w14:paraId="676D9B6D">
        <w:trPr>
          <w:trHeight w:val="624" w:hRule="atLeast"/>
          <w:jc w:val="center"/>
        </w:trPr>
        <w:tc>
          <w:tcPr>
            <w:tcW w:w="1284" w:type="dxa"/>
            <w:vMerge w:val="continue"/>
            <w:shd w:val="clear" w:color="auto" w:fill="FFFFFF"/>
            <w:noWrap w:val="0"/>
            <w:vAlign w:val="center"/>
          </w:tcPr>
          <w:p w14:paraId="2E54802B">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p>
        </w:tc>
        <w:tc>
          <w:tcPr>
            <w:tcW w:w="5758" w:type="dxa"/>
            <w:gridSpan w:val="9"/>
            <w:shd w:val="clear" w:color="auto" w:fill="auto"/>
            <w:noWrap w:val="0"/>
            <w:vAlign w:val="center"/>
          </w:tcPr>
          <w:p w14:paraId="702914A4">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架子鼓：</w:t>
            </w:r>
          </w:p>
          <w:p w14:paraId="05C9C3B7">
            <w:pPr>
              <w:pageBreakBefore w:val="0"/>
              <w:numPr>
                <w:ilvl w:val="0"/>
                <w:numId w:val="1"/>
              </w:numPr>
              <w:kinsoku/>
              <w:overflowPunct/>
              <w:topLinePunct w:val="0"/>
              <w:bidi w:val="0"/>
              <w:adjustRightInd w:val="0"/>
              <w:snapToGrid w:val="0"/>
              <w:spacing w:line="240" w:lineRule="auto"/>
              <w:jc w:val="left"/>
              <w:rPr>
                <w:rFonts w:hint="eastAsia" w:ascii="仿宋" w:hAnsi="仿宋" w:eastAsia="仿宋" w:cs="仿宋"/>
                <w:color w:val="auto"/>
                <w:kern w:val="0"/>
                <w:sz w:val="24"/>
                <w:szCs w:val="24"/>
                <w:shd w:val="clear" w:color="auto" w:fill="FFFFFF"/>
                <w:lang w:eastAsia="zh-CN"/>
              </w:rPr>
            </w:pPr>
            <w:r>
              <w:rPr>
                <w:rFonts w:hint="eastAsia" w:ascii="仿宋" w:hAnsi="仿宋" w:eastAsia="仿宋" w:cs="仿宋"/>
                <w:color w:val="auto"/>
                <w:sz w:val="24"/>
                <w:szCs w:val="24"/>
                <w:lang w:val="it-IT"/>
              </w:rPr>
              <w:t>架子鼓</w:t>
            </w:r>
            <w:r>
              <w:rPr>
                <w:rFonts w:hint="eastAsia" w:ascii="仿宋" w:hAnsi="仿宋" w:eastAsia="仿宋" w:cs="仿宋"/>
                <w:color w:val="auto"/>
                <w:kern w:val="0"/>
                <w:sz w:val="24"/>
                <w:szCs w:val="24"/>
                <w:shd w:val="clear" w:color="auto" w:fill="FFFFFF"/>
              </w:rPr>
              <w:t>的构成、常见种类及选购</w:t>
            </w:r>
          </w:p>
          <w:p w14:paraId="69EDBDC5">
            <w:pPr>
              <w:pageBreakBefore w:val="0"/>
              <w:numPr>
                <w:ilvl w:val="0"/>
                <w:numId w:val="1"/>
              </w:numPr>
              <w:kinsoku/>
              <w:overflowPunct/>
              <w:topLinePunct w:val="0"/>
              <w:bidi w:val="0"/>
              <w:adjustRightInd w:val="0"/>
              <w:snapToGrid w:val="0"/>
              <w:spacing w:line="240" w:lineRule="auto"/>
              <w:jc w:val="left"/>
              <w:rPr>
                <w:rFonts w:hint="eastAsia" w:ascii="仿宋" w:hAnsi="仿宋" w:eastAsia="仿宋" w:cs="仿宋"/>
                <w:color w:val="auto"/>
                <w:kern w:val="0"/>
                <w:sz w:val="24"/>
                <w:szCs w:val="24"/>
                <w:shd w:val="clear" w:color="auto" w:fill="FFFFFF"/>
                <w:lang w:val="en-US" w:eastAsia="zh-CN"/>
              </w:rPr>
            </w:pPr>
            <w:r>
              <w:rPr>
                <w:rFonts w:hint="eastAsia" w:ascii="仿宋" w:hAnsi="仿宋" w:eastAsia="仿宋" w:cs="仿宋"/>
                <w:color w:val="auto"/>
                <w:kern w:val="0"/>
                <w:sz w:val="24"/>
                <w:szCs w:val="24"/>
                <w:shd w:val="clear" w:color="auto" w:fill="FFFFFF"/>
              </w:rPr>
              <w:t xml:space="preserve">架子鼓的练习 </w:t>
            </w:r>
          </w:p>
          <w:p w14:paraId="52EF92D5">
            <w:pPr>
              <w:pageBreakBefore w:val="0"/>
              <w:numPr>
                <w:ilvl w:val="0"/>
                <w:numId w:val="1"/>
              </w:numPr>
              <w:kinsoku/>
              <w:overflowPunct/>
              <w:topLinePunct w:val="0"/>
              <w:bidi w:val="0"/>
              <w:adjustRightInd w:val="0"/>
              <w:snapToGrid w:val="0"/>
              <w:spacing w:line="240" w:lineRule="auto"/>
              <w:jc w:val="left"/>
              <w:rPr>
                <w:rFonts w:hint="eastAsia" w:ascii="仿宋" w:hAnsi="仿宋" w:eastAsia="仿宋" w:cs="仿宋"/>
                <w:color w:val="auto"/>
                <w:kern w:val="0"/>
                <w:sz w:val="24"/>
                <w:szCs w:val="24"/>
                <w:shd w:val="clear" w:color="auto" w:fill="FFFFFF"/>
                <w:lang w:val="en-US" w:eastAsia="zh-CN"/>
              </w:rPr>
            </w:pPr>
            <w:r>
              <w:rPr>
                <w:rFonts w:hint="eastAsia" w:ascii="仿宋" w:hAnsi="仿宋" w:eastAsia="仿宋" w:cs="仿宋"/>
                <w:color w:val="auto"/>
                <w:kern w:val="0"/>
                <w:sz w:val="24"/>
                <w:szCs w:val="24"/>
                <w:shd w:val="clear" w:color="auto" w:fill="FFFFFF"/>
              </w:rPr>
              <w:t>架子鼓的基本功训练</w:t>
            </w:r>
          </w:p>
          <w:p w14:paraId="5D8BF087">
            <w:pPr>
              <w:pageBreakBefore w:val="0"/>
              <w:numPr>
                <w:ilvl w:val="0"/>
                <w:numId w:val="1"/>
              </w:numPr>
              <w:kinsoku/>
              <w:overflowPunct/>
              <w:topLinePunct w:val="0"/>
              <w:bidi w:val="0"/>
              <w:adjustRightInd w:val="0"/>
              <w:snapToGrid w:val="0"/>
              <w:spacing w:line="240" w:lineRule="auto"/>
              <w:jc w:val="left"/>
              <w:rPr>
                <w:rFonts w:hint="eastAsia" w:ascii="仿宋" w:hAnsi="仿宋" w:eastAsia="仿宋" w:cs="仿宋"/>
                <w:color w:val="auto"/>
                <w:kern w:val="0"/>
                <w:sz w:val="24"/>
                <w:szCs w:val="24"/>
                <w:shd w:val="clear" w:color="auto" w:fill="FFFFFF"/>
                <w:lang w:val="en-US" w:eastAsia="zh-CN"/>
              </w:rPr>
            </w:pPr>
            <w:r>
              <w:rPr>
                <w:rFonts w:hint="eastAsia" w:ascii="仿宋" w:hAnsi="仿宋" w:eastAsia="仿宋" w:cs="仿宋"/>
                <w:color w:val="auto"/>
                <w:kern w:val="0"/>
                <w:sz w:val="24"/>
                <w:szCs w:val="24"/>
                <w:shd w:val="clear" w:color="auto" w:fill="FFFFFF"/>
              </w:rPr>
              <w:t>架子鼓的基本节奏练习</w:t>
            </w:r>
          </w:p>
          <w:p w14:paraId="495536E9">
            <w:pPr>
              <w:pageBreakBefore w:val="0"/>
              <w:numPr>
                <w:ilvl w:val="0"/>
                <w:numId w:val="1"/>
              </w:numPr>
              <w:kinsoku/>
              <w:overflowPunct/>
              <w:topLinePunct w:val="0"/>
              <w:bidi w:val="0"/>
              <w:adjustRightInd w:val="0"/>
              <w:snapToGrid w:val="0"/>
              <w:spacing w:line="240" w:lineRule="auto"/>
              <w:jc w:val="left"/>
              <w:rPr>
                <w:rFonts w:hint="eastAsia" w:ascii="仿宋" w:hAnsi="仿宋" w:eastAsia="仿宋" w:cs="仿宋"/>
                <w:color w:val="auto"/>
                <w:kern w:val="0"/>
                <w:sz w:val="24"/>
                <w:szCs w:val="24"/>
                <w:shd w:val="clear" w:color="auto" w:fill="FFFFFF"/>
                <w:lang w:val="en-US" w:eastAsia="zh-CN"/>
              </w:rPr>
            </w:pPr>
            <w:r>
              <w:rPr>
                <w:rFonts w:hint="eastAsia" w:ascii="仿宋" w:hAnsi="仿宋" w:eastAsia="仿宋" w:cs="仿宋"/>
                <w:color w:val="auto"/>
                <w:kern w:val="0"/>
                <w:sz w:val="24"/>
                <w:szCs w:val="24"/>
                <w:shd w:val="clear" w:color="auto" w:fill="FFFFFF"/>
              </w:rPr>
              <w:t>架子鼓与歌曲及乐队的配合</w:t>
            </w:r>
          </w:p>
          <w:p w14:paraId="2023E649">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实训目的：了解</w:t>
            </w:r>
            <w:r>
              <w:rPr>
                <w:rFonts w:hint="eastAsia" w:ascii="仿宋" w:hAnsi="仿宋" w:eastAsia="仿宋" w:cs="仿宋"/>
                <w:bCs/>
                <w:color w:val="auto"/>
                <w:sz w:val="24"/>
                <w:szCs w:val="24"/>
                <w:lang w:val="en-US" w:eastAsia="zh-Hans"/>
              </w:rPr>
              <w:t>架子鼓基</w:t>
            </w:r>
            <w:r>
              <w:rPr>
                <w:rFonts w:hint="eastAsia" w:ascii="仿宋" w:hAnsi="仿宋" w:eastAsia="仿宋" w:cs="仿宋"/>
                <w:bCs/>
                <w:color w:val="auto"/>
                <w:sz w:val="24"/>
                <w:szCs w:val="24"/>
                <w:lang w:val="en-US" w:eastAsia="zh-CN"/>
              </w:rPr>
              <w:t>本知识与发音原理</w:t>
            </w:r>
            <w:r>
              <w:rPr>
                <w:rFonts w:hint="eastAsia" w:ascii="仿宋" w:hAnsi="仿宋" w:eastAsia="仿宋" w:cs="仿宋"/>
                <w:bCs/>
                <w:color w:val="auto"/>
                <w:sz w:val="24"/>
                <w:szCs w:val="24"/>
                <w:lang w:val="en-US" w:eastAsia="zh-Hans"/>
              </w:rPr>
              <w:t>和演奏技巧</w:t>
            </w:r>
            <w:r>
              <w:rPr>
                <w:rFonts w:hint="eastAsia" w:ascii="仿宋" w:hAnsi="仿宋" w:eastAsia="仿宋" w:cs="仿宋"/>
                <w:bCs/>
                <w:color w:val="auto"/>
                <w:sz w:val="24"/>
                <w:szCs w:val="24"/>
                <w:lang w:val="en-US" w:eastAsia="zh-CN"/>
              </w:rPr>
              <w:t>。</w:t>
            </w:r>
          </w:p>
          <w:p w14:paraId="2BCC2009">
            <w:pPr>
              <w:pageBreakBefore w:val="0"/>
              <w:kinsoku/>
              <w:overflowPunct/>
              <w:topLinePunct w:val="0"/>
              <w:bidi w:val="0"/>
              <w:adjustRightInd w:val="0"/>
              <w:snapToGrid w:val="0"/>
              <w:spacing w:line="240" w:lineRule="auto"/>
              <w:jc w:val="left"/>
              <w:rPr>
                <w:rFonts w:hint="eastAsia" w:ascii="仿宋" w:hAnsi="仿宋" w:eastAsia="仿宋" w:cs="仿宋"/>
                <w:color w:val="auto"/>
                <w:kern w:val="0"/>
                <w:sz w:val="24"/>
                <w:szCs w:val="24"/>
                <w:shd w:val="clear" w:color="auto" w:fill="FFFFFF"/>
                <w:lang w:val="en-US" w:eastAsia="zh-CN"/>
              </w:rPr>
            </w:pPr>
            <w:r>
              <w:rPr>
                <w:rFonts w:hint="eastAsia" w:ascii="仿宋" w:hAnsi="仿宋" w:eastAsia="仿宋" w:cs="仿宋"/>
                <w:bCs/>
                <w:color w:val="auto"/>
                <w:sz w:val="24"/>
                <w:szCs w:val="24"/>
                <w:lang w:val="en-US" w:eastAsia="zh-CN"/>
              </w:rPr>
              <w:t>实训任务：了解</w:t>
            </w:r>
            <w:r>
              <w:rPr>
                <w:rFonts w:hint="eastAsia" w:ascii="仿宋" w:hAnsi="仿宋" w:eastAsia="仿宋" w:cs="仿宋"/>
                <w:bCs/>
                <w:color w:val="auto"/>
                <w:sz w:val="24"/>
                <w:szCs w:val="24"/>
                <w:lang w:val="en-US" w:eastAsia="zh-Hans"/>
              </w:rPr>
              <w:t>架子鼓</w:t>
            </w:r>
            <w:r>
              <w:rPr>
                <w:rFonts w:hint="eastAsia" w:ascii="仿宋" w:hAnsi="仿宋" w:eastAsia="仿宋" w:cs="仿宋"/>
                <w:bCs/>
                <w:color w:val="auto"/>
                <w:sz w:val="24"/>
                <w:szCs w:val="24"/>
                <w:lang w:val="en-US" w:eastAsia="zh-CN"/>
              </w:rPr>
              <w:t>结构特点与音色特点。</w:t>
            </w:r>
          </w:p>
        </w:tc>
        <w:tc>
          <w:tcPr>
            <w:tcW w:w="1183" w:type="dxa"/>
            <w:gridSpan w:val="4"/>
            <w:shd w:val="clear" w:color="auto" w:fill="auto"/>
            <w:noWrap w:val="0"/>
            <w:vAlign w:val="center"/>
          </w:tcPr>
          <w:p w14:paraId="1EB9266D">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14:paraId="69286A7D">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14:paraId="4FC3F842">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p w14:paraId="04F225A3">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tc>
        <w:tc>
          <w:tcPr>
            <w:tcW w:w="923" w:type="dxa"/>
            <w:gridSpan w:val="2"/>
            <w:shd w:val="clear" w:color="auto" w:fill="FFFFFF"/>
            <w:noWrap w:val="0"/>
            <w:vAlign w:val="center"/>
          </w:tcPr>
          <w:p w14:paraId="422E160E">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64</w:t>
            </w:r>
          </w:p>
        </w:tc>
      </w:tr>
      <w:tr w14:paraId="1C8C0DEC">
        <w:trPr>
          <w:trHeight w:val="624" w:hRule="atLeast"/>
          <w:jc w:val="center"/>
        </w:trPr>
        <w:tc>
          <w:tcPr>
            <w:tcW w:w="1284" w:type="dxa"/>
            <w:vMerge w:val="continue"/>
            <w:shd w:val="clear" w:color="auto" w:fill="FFFFFF"/>
            <w:noWrap w:val="0"/>
            <w:vAlign w:val="center"/>
          </w:tcPr>
          <w:p w14:paraId="248907EF">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p>
        </w:tc>
        <w:tc>
          <w:tcPr>
            <w:tcW w:w="5758" w:type="dxa"/>
            <w:gridSpan w:val="9"/>
            <w:shd w:val="clear" w:color="auto" w:fill="auto"/>
            <w:noWrap w:val="0"/>
            <w:vAlign w:val="center"/>
          </w:tcPr>
          <w:p w14:paraId="2693B1C1">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大提琴：</w:t>
            </w:r>
          </w:p>
          <w:p w14:paraId="6A02D54E">
            <w:pPr>
              <w:pStyle w:val="19"/>
              <w:pageBreakBefore w:val="0"/>
              <w:numPr>
                <w:ilvl w:val="0"/>
                <w:numId w:val="0"/>
              </w:numPr>
              <w:kinsoku/>
              <w:overflowPunct/>
              <w:topLinePunct w:val="0"/>
              <w:bidi w:val="0"/>
              <w:adjustRightInd w:val="0"/>
              <w:snapToGrid w:val="0"/>
              <w:spacing w:before="0" w:beforeAutospacing="0" w:after="0" w:afterAutospacing="0" w:line="240" w:lineRule="auto"/>
              <w:jc w:val="left"/>
              <w:rPr>
                <w:rFonts w:hint="eastAsia" w:ascii="仿宋" w:hAnsi="仿宋" w:eastAsia="仿宋" w:cs="仿宋"/>
                <w:color w:val="auto"/>
                <w:sz w:val="24"/>
                <w:szCs w:val="24"/>
                <w:shd w:val="clear" w:color="auto" w:fill="FFFFFF"/>
              </w:rPr>
            </w:pPr>
            <w:r>
              <w:rPr>
                <w:rFonts w:hint="eastAsia" w:ascii="仿宋" w:hAnsi="仿宋" w:eastAsia="仿宋" w:cs="仿宋"/>
                <w:color w:val="auto"/>
                <w:sz w:val="24"/>
                <w:szCs w:val="24"/>
                <w:shd w:val="clear" w:color="auto" w:fill="FFFFFF"/>
                <w:lang w:val="en-US" w:eastAsia="zh-CN"/>
              </w:rPr>
              <w:t xml:space="preserve">第一章 </w:t>
            </w:r>
            <w:r>
              <w:rPr>
                <w:rFonts w:hint="eastAsia" w:ascii="仿宋" w:hAnsi="仿宋" w:eastAsia="仿宋" w:cs="仿宋"/>
                <w:color w:val="auto"/>
                <w:sz w:val="24"/>
                <w:szCs w:val="24"/>
                <w:shd w:val="clear" w:color="auto" w:fill="FFFFFF"/>
              </w:rPr>
              <w:t>大提琴演奏基本技能训练</w:t>
            </w:r>
          </w:p>
          <w:p w14:paraId="7FA1E6EC">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shd w:val="clear" w:color="auto" w:fill="FFFFFF"/>
              </w:rPr>
            </w:pPr>
            <w:r>
              <w:rPr>
                <w:rFonts w:hint="eastAsia" w:ascii="仿宋" w:hAnsi="仿宋" w:eastAsia="仿宋" w:cs="仿宋"/>
                <w:color w:val="auto"/>
                <w:sz w:val="24"/>
                <w:szCs w:val="24"/>
              </w:rPr>
              <w:t>1、</w:t>
            </w:r>
            <w:r>
              <w:rPr>
                <w:rFonts w:hint="eastAsia" w:ascii="仿宋" w:hAnsi="仿宋" w:eastAsia="仿宋" w:cs="仿宋"/>
                <w:color w:val="auto"/>
                <w:sz w:val="24"/>
                <w:szCs w:val="24"/>
                <w:lang w:val="en-US" w:eastAsia="zh-Hans"/>
              </w:rPr>
              <w:t>实训</w:t>
            </w:r>
            <w:r>
              <w:rPr>
                <w:rFonts w:hint="eastAsia" w:ascii="仿宋" w:hAnsi="仿宋" w:eastAsia="仿宋" w:cs="仿宋"/>
                <w:color w:val="auto"/>
                <w:sz w:val="24"/>
                <w:szCs w:val="24"/>
              </w:rPr>
              <w:t>目的：</w:t>
            </w:r>
            <w:r>
              <w:rPr>
                <w:rFonts w:hint="eastAsia" w:ascii="仿宋" w:hAnsi="仿宋" w:eastAsia="仿宋" w:cs="仿宋"/>
                <w:color w:val="auto"/>
                <w:kern w:val="0"/>
                <w:sz w:val="24"/>
                <w:szCs w:val="24"/>
                <w:shd w:val="clear" w:color="auto" w:fill="FFFFFF"/>
              </w:rPr>
              <w:t>通过大提琴演奏技能的训练，使学生学会一定的演奏技能</w:t>
            </w:r>
            <w:r>
              <w:rPr>
                <w:rFonts w:hint="eastAsia" w:ascii="仿宋" w:hAnsi="仿宋" w:eastAsia="仿宋" w:cs="仿宋"/>
                <w:color w:val="auto"/>
                <w:sz w:val="24"/>
                <w:szCs w:val="24"/>
                <w:shd w:val="clear" w:color="auto" w:fill="FFFFFF"/>
              </w:rPr>
              <w:t>。</w:t>
            </w:r>
          </w:p>
          <w:p w14:paraId="2CC77BFB">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2、</w:t>
            </w:r>
            <w:r>
              <w:rPr>
                <w:rFonts w:hint="eastAsia" w:ascii="仿宋" w:hAnsi="仿宋" w:eastAsia="仿宋" w:cs="仿宋"/>
                <w:bCs/>
                <w:color w:val="auto"/>
                <w:sz w:val="24"/>
                <w:szCs w:val="24"/>
                <w:lang w:val="en-US" w:eastAsia="zh-CN"/>
              </w:rPr>
              <w:t>实训任务</w:t>
            </w:r>
            <w:r>
              <w:rPr>
                <w:rFonts w:hint="eastAsia" w:ascii="仿宋" w:hAnsi="仿宋" w:eastAsia="仿宋" w:cs="仿宋"/>
                <w:color w:val="auto"/>
                <w:sz w:val="24"/>
                <w:szCs w:val="24"/>
              </w:rPr>
              <w:t>：</w:t>
            </w:r>
            <w:r>
              <w:rPr>
                <w:rFonts w:hint="eastAsia" w:ascii="仿宋" w:hAnsi="仿宋" w:eastAsia="仿宋" w:cs="仿宋"/>
                <w:color w:val="auto"/>
                <w:sz w:val="24"/>
                <w:szCs w:val="24"/>
                <w:shd w:val="clear" w:color="auto" w:fill="FFFFFF"/>
              </w:rPr>
              <w:t>掌握</w:t>
            </w:r>
            <w:r>
              <w:rPr>
                <w:rFonts w:hint="eastAsia" w:ascii="仿宋" w:hAnsi="仿宋" w:eastAsia="仿宋" w:cs="仿宋"/>
                <w:color w:val="auto"/>
                <w:sz w:val="24"/>
                <w:szCs w:val="24"/>
              </w:rPr>
              <w:t>持琴、持弓基本动作，运弓做到直、平、稳，三种指位混合、在相邻的两条弦上连续换弦，改变弓速及其他节奏节拍、顿弓和连弓。</w:t>
            </w:r>
          </w:p>
          <w:p w14:paraId="4830F63E">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eastAsia="zh-CN"/>
              </w:rPr>
            </w:pPr>
            <w:r>
              <w:rPr>
                <w:rFonts w:hint="eastAsia" w:ascii="仿宋" w:hAnsi="仿宋" w:eastAsia="仿宋" w:cs="仿宋"/>
                <w:color w:val="auto"/>
                <w:sz w:val="24"/>
                <w:szCs w:val="24"/>
              </w:rPr>
              <w:t>3、重点和难点：持琴、持弓基本动作标准，运弓做到直、平、稳，三种指位音准</w:t>
            </w:r>
            <w:r>
              <w:rPr>
                <w:rFonts w:hint="eastAsia" w:ascii="仿宋" w:hAnsi="仿宋" w:eastAsia="仿宋" w:cs="仿宋"/>
                <w:color w:val="auto"/>
                <w:sz w:val="24"/>
                <w:szCs w:val="24"/>
                <w:lang w:eastAsia="zh-CN"/>
              </w:rPr>
              <w:t>。</w:t>
            </w:r>
          </w:p>
          <w:p w14:paraId="57287357">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shd w:val="clear" w:color="auto" w:fill="FFFFFF"/>
              </w:rPr>
            </w:pPr>
            <w:r>
              <w:rPr>
                <w:rFonts w:hint="eastAsia" w:ascii="仿宋" w:hAnsi="仿宋" w:eastAsia="仿宋" w:cs="仿宋"/>
                <w:color w:val="auto"/>
                <w:kern w:val="0"/>
                <w:sz w:val="24"/>
                <w:szCs w:val="24"/>
                <w:shd w:val="clear" w:color="auto" w:fill="FFFFFF"/>
                <w:lang w:val="en-US" w:eastAsia="zh-CN" w:bidi="ar-SA"/>
              </w:rPr>
              <w:t xml:space="preserve">第二章 </w:t>
            </w:r>
            <w:r>
              <w:rPr>
                <w:rFonts w:hint="eastAsia" w:ascii="仿宋" w:hAnsi="仿宋" w:eastAsia="仿宋" w:cs="仿宋"/>
                <w:color w:val="auto"/>
                <w:sz w:val="24"/>
                <w:szCs w:val="24"/>
                <w:shd w:val="clear" w:color="auto" w:fill="FFFFFF"/>
              </w:rPr>
              <w:t>大提琴表演实践</w:t>
            </w:r>
          </w:p>
          <w:p w14:paraId="7E257C5F">
            <w:pPr>
              <w:pStyle w:val="19"/>
              <w:pageBreakBefore w:val="0"/>
              <w:kinsoku/>
              <w:overflowPunct/>
              <w:topLinePunct w:val="0"/>
              <w:bidi w:val="0"/>
              <w:adjustRightInd w:val="0"/>
              <w:snapToGrid w:val="0"/>
              <w:spacing w:before="0" w:beforeAutospacing="0" w:after="0" w:afterAutospacing="0"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1、</w:t>
            </w:r>
            <w:r>
              <w:rPr>
                <w:rFonts w:hint="eastAsia" w:ascii="仿宋" w:hAnsi="仿宋" w:eastAsia="仿宋" w:cs="仿宋"/>
                <w:color w:val="auto"/>
                <w:sz w:val="24"/>
                <w:szCs w:val="24"/>
                <w:lang w:val="en-US" w:eastAsia="zh-Hans"/>
              </w:rPr>
              <w:t>实训目的</w:t>
            </w:r>
            <w:r>
              <w:rPr>
                <w:rFonts w:hint="eastAsia" w:ascii="仿宋" w:hAnsi="仿宋" w:eastAsia="仿宋" w:cs="仿宋"/>
                <w:color w:val="auto"/>
                <w:sz w:val="24"/>
                <w:szCs w:val="24"/>
              </w:rPr>
              <w:t>：大提琴表演实践的锻炼，使学生能够完成各类型的乐曲。</w:t>
            </w:r>
          </w:p>
          <w:p w14:paraId="2010F6F6">
            <w:pPr>
              <w:pStyle w:val="19"/>
              <w:pageBreakBefore w:val="0"/>
              <w:kinsoku/>
              <w:overflowPunct/>
              <w:topLinePunct w:val="0"/>
              <w:bidi w:val="0"/>
              <w:adjustRightInd w:val="0"/>
              <w:snapToGrid w:val="0"/>
              <w:spacing w:before="0" w:beforeAutospacing="0" w:after="0" w:afterAutospacing="0"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2、</w:t>
            </w:r>
            <w:r>
              <w:rPr>
                <w:rFonts w:hint="eastAsia" w:ascii="仿宋" w:hAnsi="仿宋" w:eastAsia="仿宋" w:cs="仿宋"/>
                <w:bCs/>
                <w:color w:val="auto"/>
                <w:sz w:val="24"/>
                <w:szCs w:val="24"/>
                <w:lang w:val="en-US" w:eastAsia="zh-CN"/>
              </w:rPr>
              <w:t>实训任务</w:t>
            </w:r>
            <w:r>
              <w:rPr>
                <w:rFonts w:hint="eastAsia" w:ascii="仿宋" w:hAnsi="仿宋" w:eastAsia="仿宋" w:cs="仿宋"/>
                <w:color w:val="auto"/>
                <w:sz w:val="24"/>
                <w:szCs w:val="24"/>
              </w:rPr>
              <w:t>：练习曲、协奏曲、独奏、中外乐曲的演奏。</w:t>
            </w:r>
          </w:p>
          <w:p w14:paraId="3081BACD">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3、重点和难点：乐曲演奏的完整、优美。</w:t>
            </w:r>
          </w:p>
          <w:p w14:paraId="63B4DEA6">
            <w:pPr>
              <w:pStyle w:val="51"/>
              <w:pageBreakBefore w:val="0"/>
              <w:kinsoku/>
              <w:overflowPunct/>
              <w:topLinePunct w:val="0"/>
              <w:bidi w:val="0"/>
              <w:adjustRightInd w:val="0"/>
              <w:snapToGrid w:val="0"/>
              <w:spacing w:line="240" w:lineRule="auto"/>
              <w:ind w:left="0" w:leftChars="0" w:firstLine="0" w:firstLineChars="0"/>
              <w:jc w:val="left"/>
              <w:rPr>
                <w:rFonts w:hint="eastAsia" w:ascii="仿宋" w:hAnsi="仿宋" w:eastAsia="仿宋" w:cs="仿宋"/>
                <w:color w:val="auto"/>
                <w:kern w:val="0"/>
                <w:sz w:val="24"/>
                <w:szCs w:val="24"/>
                <w:shd w:val="clear" w:color="auto" w:fill="FFFFFF"/>
              </w:rPr>
            </w:pPr>
            <w:r>
              <w:rPr>
                <w:rFonts w:hint="eastAsia" w:ascii="仿宋" w:hAnsi="仿宋" w:eastAsia="仿宋" w:cs="仿宋"/>
                <w:color w:val="auto"/>
                <w:kern w:val="0"/>
                <w:sz w:val="24"/>
                <w:szCs w:val="24"/>
                <w:shd w:val="clear" w:color="auto" w:fill="FFFFFF"/>
                <w:lang w:val="en-US" w:eastAsia="zh-CN" w:bidi="ar-SA"/>
              </w:rPr>
              <w:t xml:space="preserve">第三章 </w:t>
            </w:r>
            <w:r>
              <w:rPr>
                <w:rFonts w:hint="eastAsia" w:ascii="仿宋" w:hAnsi="仿宋" w:eastAsia="仿宋" w:cs="仿宋"/>
                <w:color w:val="auto"/>
                <w:kern w:val="0"/>
                <w:sz w:val="24"/>
                <w:szCs w:val="24"/>
                <w:shd w:val="clear" w:color="auto" w:fill="FFFFFF"/>
              </w:rPr>
              <w:t>大提琴演奏与教学</w:t>
            </w:r>
          </w:p>
          <w:p w14:paraId="1D2B2D3D">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Style w:val="52"/>
                <w:rFonts w:hint="eastAsia" w:ascii="仿宋" w:hAnsi="仿宋" w:eastAsia="仿宋" w:cs="仿宋"/>
                <w:b w:val="0"/>
                <w:bCs w:val="0"/>
                <w:color w:val="auto"/>
                <w:sz w:val="24"/>
                <w:szCs w:val="24"/>
              </w:rPr>
              <w:t xml:space="preserve">1、 </w:t>
            </w:r>
            <w:r>
              <w:rPr>
                <w:rFonts w:hint="eastAsia" w:ascii="仿宋" w:hAnsi="仿宋" w:eastAsia="仿宋" w:cs="仿宋"/>
                <w:color w:val="auto"/>
                <w:sz w:val="24"/>
                <w:szCs w:val="24"/>
                <w:lang w:val="en-US" w:eastAsia="zh-Hans"/>
              </w:rPr>
              <w:t>实训目的</w:t>
            </w:r>
            <w:r>
              <w:rPr>
                <w:rFonts w:hint="eastAsia" w:ascii="仿宋" w:hAnsi="仿宋" w:eastAsia="仿宋" w:cs="仿宋"/>
                <w:color w:val="auto"/>
                <w:sz w:val="24"/>
                <w:szCs w:val="24"/>
                <w:lang w:val="en-US" w:eastAsia="zh-CN"/>
              </w:rPr>
              <w:t>：大提琴演奏与教学的学习，使学生能够较为完整的表现作品的风格和情感，对有一定基础的学生，使其会初步的基础教学。</w:t>
            </w:r>
          </w:p>
          <w:p w14:paraId="117FD681">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w:t>
            </w:r>
            <w:r>
              <w:rPr>
                <w:rFonts w:hint="eastAsia" w:ascii="仿宋" w:hAnsi="仿宋" w:eastAsia="仿宋" w:cs="仿宋"/>
                <w:bCs/>
                <w:color w:val="auto"/>
                <w:sz w:val="24"/>
                <w:szCs w:val="24"/>
                <w:lang w:val="en-US" w:eastAsia="zh-CN"/>
              </w:rPr>
              <w:t>实训任务</w:t>
            </w:r>
            <w:r>
              <w:rPr>
                <w:rFonts w:hint="eastAsia" w:ascii="仿宋" w:hAnsi="仿宋" w:eastAsia="仿宋" w:cs="仿宋"/>
                <w:color w:val="auto"/>
                <w:sz w:val="24"/>
                <w:szCs w:val="24"/>
                <w:lang w:val="en-US" w:eastAsia="zh-CN"/>
              </w:rPr>
              <w:t>：独奏、重奏、齐奏练习曲、协奏曲、中外乐曲的演奏。</w:t>
            </w:r>
          </w:p>
          <w:p w14:paraId="1FB69DBF">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3、重点和难点：根据教学要求，提高演奏水平和表演能力，能够将学到的知识和技能。</w:t>
            </w:r>
          </w:p>
          <w:p w14:paraId="785834CF">
            <w:pPr>
              <w:pageBreakBefore w:val="0"/>
              <w:numPr>
                <w:ilvl w:val="0"/>
                <w:numId w:val="0"/>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知道：大提琴演奏基本技法</w:t>
            </w:r>
          </w:p>
          <w:p w14:paraId="2A11D186">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领会：大提琴作品内涵</w:t>
            </w:r>
          </w:p>
        </w:tc>
        <w:tc>
          <w:tcPr>
            <w:tcW w:w="1183" w:type="dxa"/>
            <w:gridSpan w:val="4"/>
            <w:shd w:val="clear" w:color="auto" w:fill="auto"/>
            <w:noWrap w:val="0"/>
            <w:vAlign w:val="center"/>
          </w:tcPr>
          <w:p w14:paraId="1A3F907A">
            <w:pPr>
              <w:pageBreakBefore w:val="0"/>
              <w:widowControl/>
              <w:kinsoku/>
              <w:overflowPunct/>
              <w:topLinePunct w:val="0"/>
              <w:bidi w:val="0"/>
              <w:adjustRightInd w:val="0"/>
              <w:snapToGrid w:val="0"/>
              <w:spacing w:line="240" w:lineRule="auto"/>
              <w:jc w:val="center"/>
              <w:rPr>
                <w:rFonts w:hint="eastAsia" w:ascii="仿宋" w:hAnsi="仿宋" w:eastAsia="仿宋" w:cs="仿宋"/>
                <w:bCs/>
                <w:color w:val="auto"/>
                <w:sz w:val="24"/>
                <w:szCs w:val="24"/>
              </w:rPr>
            </w:pPr>
            <w:r>
              <w:rPr>
                <w:rFonts w:hint="eastAsia" w:ascii="仿宋" w:hAnsi="仿宋" w:eastAsia="仿宋" w:cs="仿宋"/>
                <w:color w:val="auto"/>
                <w:sz w:val="24"/>
                <w:szCs w:val="24"/>
              </w:rPr>
              <w:t>支撑课程目标1、2、3</w:t>
            </w:r>
          </w:p>
        </w:tc>
        <w:tc>
          <w:tcPr>
            <w:tcW w:w="923" w:type="dxa"/>
            <w:gridSpan w:val="2"/>
            <w:shd w:val="clear" w:color="auto" w:fill="FFFFFF"/>
            <w:noWrap w:val="0"/>
            <w:vAlign w:val="center"/>
          </w:tcPr>
          <w:p w14:paraId="262CBD86">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64</w:t>
            </w:r>
          </w:p>
        </w:tc>
      </w:tr>
      <w:tr w14:paraId="4DB1479F">
        <w:trPr>
          <w:trHeight w:val="624" w:hRule="atLeast"/>
          <w:jc w:val="center"/>
        </w:trPr>
        <w:tc>
          <w:tcPr>
            <w:tcW w:w="1284" w:type="dxa"/>
            <w:vMerge w:val="continue"/>
            <w:shd w:val="clear" w:color="auto" w:fill="FFFFFF"/>
            <w:noWrap w:val="0"/>
            <w:vAlign w:val="center"/>
          </w:tcPr>
          <w:p w14:paraId="0CEC5978">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p>
        </w:tc>
        <w:tc>
          <w:tcPr>
            <w:tcW w:w="5758" w:type="dxa"/>
            <w:gridSpan w:val="9"/>
            <w:shd w:val="clear" w:color="auto" w:fill="auto"/>
            <w:noWrap w:val="0"/>
            <w:vAlign w:val="center"/>
          </w:tcPr>
          <w:p w14:paraId="355B6696">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萨克斯管</w:t>
            </w:r>
          </w:p>
          <w:p w14:paraId="0109EDB3">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第一章</w:t>
            </w:r>
          </w:p>
          <w:p w14:paraId="25C973F8">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一、</w:t>
            </w:r>
            <w:r>
              <w:rPr>
                <w:rFonts w:hint="eastAsia" w:ascii="仿宋" w:hAnsi="仿宋" w:eastAsia="仿宋" w:cs="仿宋"/>
                <w:bCs/>
                <w:color w:val="000000"/>
                <w:sz w:val="24"/>
                <w:szCs w:val="24"/>
                <w:lang w:val="en-US" w:eastAsia="zh-Hans"/>
              </w:rPr>
              <w:t>实训目的</w:t>
            </w:r>
            <w:r>
              <w:rPr>
                <w:rFonts w:hint="eastAsia" w:ascii="仿宋" w:hAnsi="仿宋" w:eastAsia="仿宋" w:cs="仿宋"/>
                <w:bCs/>
                <w:color w:val="000000"/>
                <w:sz w:val="24"/>
                <w:szCs w:val="24"/>
                <w:lang w:val="en-US" w:eastAsia="zh-CN"/>
              </w:rPr>
              <w:t>：1.乐器部件名称2.安装方法3.安装顺序4.呼吸训练5.口型训练6.演奏姿势7.运指训练8.换气训练。</w:t>
            </w:r>
          </w:p>
          <w:p w14:paraId="7393DBDC">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二、实训任务：《管乐队标准化训练教程——中音/次中音萨克斯管1》。</w:t>
            </w:r>
          </w:p>
          <w:p w14:paraId="391EA623">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三、乐曲：《萨克斯管考级教程》1级、期中作品指导。</w:t>
            </w:r>
          </w:p>
          <w:p w14:paraId="4156A0A8">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第二章：</w:t>
            </w:r>
          </w:p>
          <w:p w14:paraId="0BDF0481">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一、</w:t>
            </w:r>
            <w:r>
              <w:rPr>
                <w:rFonts w:hint="eastAsia" w:ascii="仿宋" w:hAnsi="仿宋" w:eastAsia="仿宋" w:cs="仿宋"/>
                <w:bCs/>
                <w:color w:val="000000"/>
                <w:sz w:val="24"/>
                <w:szCs w:val="24"/>
                <w:lang w:val="en-US" w:eastAsia="zh-Hans"/>
              </w:rPr>
              <w:t>实训目的</w:t>
            </w:r>
            <w:r>
              <w:rPr>
                <w:rFonts w:hint="eastAsia" w:ascii="仿宋" w:hAnsi="仿宋" w:eastAsia="仿宋" w:cs="仿宋"/>
                <w:bCs/>
                <w:color w:val="000000"/>
                <w:sz w:val="24"/>
                <w:szCs w:val="24"/>
                <w:lang w:val="en-US" w:eastAsia="zh-CN"/>
              </w:rPr>
              <w:t>：1.笛头力度训练2.强度吐音训练3.节奏吐音训练4.口腔控制训练5.结合训练。</w:t>
            </w:r>
          </w:p>
          <w:p w14:paraId="259A60F6">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二、实训任务：</w:t>
            </w:r>
          </w:p>
          <w:p w14:paraId="32805536">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练习曲：《管乐队标准化训练教程——中音/次中音萨克斯管1》。</w:t>
            </w:r>
          </w:p>
          <w:p w14:paraId="019D8C92">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乐曲：《萨克斯管考级教程》2级、期末作品指导。</w:t>
            </w:r>
          </w:p>
          <w:p w14:paraId="28129063">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第三章：</w:t>
            </w:r>
          </w:p>
          <w:p w14:paraId="716BBFEF">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一、</w:t>
            </w:r>
            <w:r>
              <w:rPr>
                <w:rFonts w:hint="eastAsia" w:ascii="仿宋" w:hAnsi="仿宋" w:eastAsia="仿宋" w:cs="仿宋"/>
                <w:bCs/>
                <w:color w:val="000000"/>
                <w:sz w:val="24"/>
                <w:szCs w:val="24"/>
                <w:lang w:val="en-US" w:eastAsia="zh-Hans"/>
              </w:rPr>
              <w:t>实训目的</w:t>
            </w:r>
            <w:r>
              <w:rPr>
                <w:rFonts w:hint="eastAsia" w:ascii="仿宋" w:hAnsi="仿宋" w:eastAsia="仿宋" w:cs="仿宋"/>
                <w:bCs/>
                <w:color w:val="000000"/>
                <w:sz w:val="24"/>
                <w:szCs w:val="24"/>
                <w:lang w:val="en-US" w:eastAsia="zh-CN"/>
              </w:rPr>
              <w:t>：1.连音、吐音、各类连吐训练2.一升一降以内所有大小调式音阶3.半音阶。</w:t>
            </w:r>
          </w:p>
          <w:p w14:paraId="4F03144C">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二、实训任务：</w:t>
            </w:r>
          </w:p>
          <w:p w14:paraId="204DDAA1">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练习曲：《管乐队标准化训练教程——中音/次中音萨克斯管2》。</w:t>
            </w:r>
          </w:p>
          <w:p w14:paraId="1301FC19">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三、乐曲：《萨克斯管考级教程》3级、期中作品指导。</w:t>
            </w:r>
          </w:p>
          <w:p w14:paraId="0F9EFF95">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第四章：</w:t>
            </w:r>
          </w:p>
          <w:p w14:paraId="37642A46">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一、</w:t>
            </w:r>
            <w:r>
              <w:rPr>
                <w:rFonts w:hint="eastAsia" w:ascii="仿宋" w:hAnsi="仿宋" w:eastAsia="仿宋" w:cs="仿宋"/>
                <w:bCs/>
                <w:color w:val="000000"/>
                <w:sz w:val="24"/>
                <w:szCs w:val="24"/>
                <w:lang w:val="en-US" w:eastAsia="zh-Hans"/>
              </w:rPr>
              <w:t>实训目的</w:t>
            </w:r>
            <w:r>
              <w:rPr>
                <w:rFonts w:hint="eastAsia" w:ascii="仿宋" w:hAnsi="仿宋" w:eastAsia="仿宋" w:cs="仿宋"/>
                <w:bCs/>
                <w:color w:val="000000"/>
                <w:sz w:val="24"/>
                <w:szCs w:val="24"/>
                <w:lang w:val="en-US" w:eastAsia="zh-CN"/>
              </w:rPr>
              <w:t>：1.连音、吐音、各类连吐训练2.两升两降以内所有大小调式音阶3.半音阶。</w:t>
            </w:r>
          </w:p>
          <w:p w14:paraId="0134CE3C">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二、实训任务：</w:t>
            </w:r>
          </w:p>
          <w:p w14:paraId="2E21D4EE">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练习曲：《管乐队标准化训练教程——中音/次中音萨克斯管2》。</w:t>
            </w:r>
          </w:p>
          <w:p w14:paraId="0C133CC4">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乐曲：《萨克斯管考级教程》4级、期末作品指导。</w:t>
            </w:r>
          </w:p>
          <w:p w14:paraId="3330B093">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第五章：</w:t>
            </w:r>
          </w:p>
          <w:p w14:paraId="6972FEE7">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一、</w:t>
            </w:r>
            <w:r>
              <w:rPr>
                <w:rFonts w:hint="eastAsia" w:ascii="仿宋" w:hAnsi="仿宋" w:eastAsia="仿宋" w:cs="仿宋"/>
                <w:bCs/>
                <w:color w:val="000000"/>
                <w:sz w:val="24"/>
                <w:szCs w:val="24"/>
                <w:lang w:val="en-US" w:eastAsia="zh-Hans"/>
              </w:rPr>
              <w:t>实训目的</w:t>
            </w:r>
            <w:r>
              <w:rPr>
                <w:rFonts w:hint="eastAsia" w:ascii="仿宋" w:hAnsi="仿宋" w:eastAsia="仿宋" w:cs="仿宋"/>
                <w:bCs/>
                <w:color w:val="000000"/>
                <w:sz w:val="24"/>
                <w:szCs w:val="24"/>
                <w:lang w:val="en-US" w:eastAsia="zh-CN"/>
              </w:rPr>
              <w:t>：1.连音、吐音、各类连吐训练2.三升三降以内所有大小调式音阶3.半音阶。</w:t>
            </w:r>
          </w:p>
          <w:p w14:paraId="7366ABED">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二、实训任务：</w:t>
            </w:r>
          </w:p>
          <w:p w14:paraId="4A843A12">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练习曲：《管乐队标准化训练教程——中音/次中音萨克斯管3》。</w:t>
            </w:r>
          </w:p>
          <w:p w14:paraId="7133F41D">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乐曲：《萨克斯管考级教程》5级、期中作品指导。</w:t>
            </w:r>
          </w:p>
          <w:p w14:paraId="372E768C">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四、室内乐重奏训练</w:t>
            </w:r>
          </w:p>
          <w:p w14:paraId="172B6EE5">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第六章：</w:t>
            </w:r>
          </w:p>
          <w:p w14:paraId="33EB5E57">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一、</w:t>
            </w:r>
            <w:r>
              <w:rPr>
                <w:rFonts w:hint="eastAsia" w:ascii="仿宋" w:hAnsi="仿宋" w:eastAsia="仿宋" w:cs="仿宋"/>
                <w:bCs/>
                <w:color w:val="000000"/>
                <w:sz w:val="24"/>
                <w:szCs w:val="24"/>
                <w:lang w:val="en-US" w:eastAsia="zh-Hans"/>
              </w:rPr>
              <w:t>实训目的</w:t>
            </w:r>
            <w:r>
              <w:rPr>
                <w:rFonts w:hint="eastAsia" w:ascii="仿宋" w:hAnsi="仿宋" w:eastAsia="仿宋" w:cs="仿宋"/>
                <w:bCs/>
                <w:color w:val="000000"/>
                <w:sz w:val="24"/>
                <w:szCs w:val="24"/>
                <w:lang w:val="en-US" w:eastAsia="zh-CN"/>
              </w:rPr>
              <w:t>：1.连音、吐音、各类连吐训练2.四升四降以内所有大小调式音阶3.半音阶。</w:t>
            </w:r>
          </w:p>
          <w:p w14:paraId="27CFA6C8">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二、实训任务：</w:t>
            </w:r>
          </w:p>
          <w:p w14:paraId="67287F81">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练习曲：《管乐队标准化训练教程——中音/次中音萨克斯管3》。</w:t>
            </w:r>
          </w:p>
          <w:p w14:paraId="6815C8B6">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乐曲：《萨克斯管考级教程》6级、期末作品指导。</w:t>
            </w:r>
          </w:p>
          <w:p w14:paraId="10D0D4D6">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四、室内乐重奏训练</w:t>
            </w:r>
          </w:p>
          <w:p w14:paraId="35D6E2BE">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第七章：</w:t>
            </w:r>
          </w:p>
          <w:p w14:paraId="6E20BBBB">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一、</w:t>
            </w:r>
            <w:r>
              <w:rPr>
                <w:rFonts w:hint="eastAsia" w:ascii="仿宋" w:hAnsi="仿宋" w:eastAsia="仿宋" w:cs="仿宋"/>
                <w:bCs/>
                <w:color w:val="000000"/>
                <w:sz w:val="24"/>
                <w:szCs w:val="24"/>
                <w:lang w:val="en-US" w:eastAsia="zh-Hans"/>
              </w:rPr>
              <w:t>实训目的</w:t>
            </w:r>
            <w:r>
              <w:rPr>
                <w:rFonts w:hint="eastAsia" w:ascii="仿宋" w:hAnsi="仿宋" w:eastAsia="仿宋" w:cs="仿宋"/>
                <w:bCs/>
                <w:color w:val="000000"/>
                <w:sz w:val="24"/>
                <w:szCs w:val="24"/>
                <w:lang w:val="en-US" w:eastAsia="zh-CN"/>
              </w:rPr>
              <w:t>：1.连音、吐音、各类连吐训练2.五升五降以内所有大小调式音阶3.半音阶。</w:t>
            </w:r>
          </w:p>
          <w:p w14:paraId="353676CB">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二、实训任务：</w:t>
            </w:r>
          </w:p>
          <w:p w14:paraId="528B90C8">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练习曲：《拉库尔50首练习曲》。</w:t>
            </w:r>
          </w:p>
          <w:p w14:paraId="6AE3F52A">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乐曲：《萨克斯管考级教程》7级、期中作品指导。</w:t>
            </w:r>
          </w:p>
          <w:p w14:paraId="043E8014">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第八章：</w:t>
            </w:r>
          </w:p>
          <w:p w14:paraId="5B50C4FF">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一、</w:t>
            </w:r>
            <w:r>
              <w:rPr>
                <w:rFonts w:hint="eastAsia" w:ascii="仿宋" w:hAnsi="仿宋" w:eastAsia="仿宋" w:cs="仿宋"/>
                <w:bCs/>
                <w:color w:val="000000"/>
                <w:sz w:val="24"/>
                <w:szCs w:val="24"/>
                <w:lang w:val="en-US" w:eastAsia="zh-Hans"/>
              </w:rPr>
              <w:t>实训目的</w:t>
            </w:r>
            <w:r>
              <w:rPr>
                <w:rFonts w:hint="eastAsia" w:ascii="仿宋" w:hAnsi="仿宋" w:eastAsia="仿宋" w:cs="仿宋"/>
                <w:bCs/>
                <w:color w:val="000000"/>
                <w:sz w:val="24"/>
                <w:szCs w:val="24"/>
                <w:lang w:val="en-US" w:eastAsia="zh-CN"/>
              </w:rPr>
              <w:t>：1.连音、吐音、各类连吐训练2.六升六降以内所有大小调式音阶3.半音阶。</w:t>
            </w:r>
          </w:p>
          <w:p w14:paraId="654ACB93">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二、实训任务：</w:t>
            </w:r>
          </w:p>
          <w:p w14:paraId="56DC7D1E">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练习曲：《拉库尔50首练习曲》。</w:t>
            </w:r>
          </w:p>
          <w:p w14:paraId="14CC37E1">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实训任务：</w:t>
            </w:r>
          </w:p>
          <w:p w14:paraId="4E2AD0C3">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乐曲：《萨克斯管考级教程》8级、期末作品指导。</w:t>
            </w:r>
          </w:p>
          <w:p w14:paraId="065B60C3">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四、室内乐重奏训练</w:t>
            </w:r>
          </w:p>
          <w:p w14:paraId="38B4F60E">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p>
        </w:tc>
        <w:tc>
          <w:tcPr>
            <w:tcW w:w="1183" w:type="dxa"/>
            <w:gridSpan w:val="4"/>
            <w:shd w:val="clear" w:color="auto" w:fill="auto"/>
            <w:noWrap w:val="0"/>
            <w:vAlign w:val="center"/>
          </w:tcPr>
          <w:p w14:paraId="5A5B54BA">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p w14:paraId="050A01F1">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p w14:paraId="07C04384">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p w14:paraId="34821D28">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p w14:paraId="648A440D">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p w14:paraId="3BF936A7">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p w14:paraId="6774FCFC">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p w14:paraId="0864D17C">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支撑课程目标1、2、3</w:t>
            </w:r>
          </w:p>
          <w:p w14:paraId="7884DA59">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p w14:paraId="668D20ED">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p w14:paraId="69D5CC63">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p w14:paraId="22B2FF35">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p w14:paraId="4258DC5E">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p w14:paraId="5C8B9936">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tc>
        <w:tc>
          <w:tcPr>
            <w:tcW w:w="923" w:type="dxa"/>
            <w:gridSpan w:val="2"/>
            <w:shd w:val="clear" w:color="auto" w:fill="FFFFFF"/>
            <w:noWrap w:val="0"/>
            <w:vAlign w:val="center"/>
          </w:tcPr>
          <w:p w14:paraId="6AC22D38">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64</w:t>
            </w:r>
          </w:p>
        </w:tc>
      </w:tr>
      <w:tr w14:paraId="57545735">
        <w:trPr>
          <w:trHeight w:val="624" w:hRule="atLeast"/>
          <w:jc w:val="center"/>
        </w:trPr>
        <w:tc>
          <w:tcPr>
            <w:tcW w:w="1284" w:type="dxa"/>
            <w:vMerge w:val="continue"/>
            <w:shd w:val="clear" w:color="auto" w:fill="FFFFFF"/>
            <w:noWrap w:val="0"/>
            <w:vAlign w:val="center"/>
          </w:tcPr>
          <w:p w14:paraId="20EEB110">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p>
        </w:tc>
        <w:tc>
          <w:tcPr>
            <w:tcW w:w="5758" w:type="dxa"/>
            <w:gridSpan w:val="9"/>
            <w:shd w:val="clear" w:color="auto" w:fill="auto"/>
            <w:noWrap w:val="0"/>
            <w:vAlign w:val="center"/>
          </w:tcPr>
          <w:p w14:paraId="72DC2C3C">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小提琴：</w:t>
            </w:r>
          </w:p>
          <w:p w14:paraId="7F1F9555">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第一章</w:t>
            </w:r>
          </w:p>
          <w:p w14:paraId="09B16410">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实训目的：乐器介绍、演奏姿势及各条空弦上运弓</w:t>
            </w:r>
          </w:p>
          <w:p w14:paraId="4E6B1AA7">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实训任务：</w:t>
            </w:r>
          </w:p>
          <w:p w14:paraId="71C26A4F">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乐器介绍</w:t>
            </w:r>
          </w:p>
          <w:p w14:paraId="4E5568FC">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持琴姿势</w:t>
            </w:r>
          </w:p>
          <w:p w14:paraId="11F26CE5">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持弓姿势</w:t>
            </w:r>
          </w:p>
          <w:p w14:paraId="719DA92B">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用拨弦认识四条弦</w:t>
            </w:r>
          </w:p>
          <w:p w14:paraId="784F12CA">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空弦运弓</w:t>
            </w:r>
          </w:p>
          <w:p w14:paraId="7F169818">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第二章</w:t>
            </w:r>
          </w:p>
          <w:p w14:paraId="7F0E87AD">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实训目的：第一种指位</w:t>
            </w:r>
          </w:p>
          <w:p w14:paraId="446E483B">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实训任务：</w:t>
            </w:r>
          </w:p>
          <w:p w14:paraId="2B337A4C">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在E弦上演奏</w:t>
            </w:r>
          </w:p>
          <w:p w14:paraId="050D0F68">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在A弦上演奏、A弦和E弦两个平面的转换</w:t>
            </w:r>
          </w:p>
          <w:p w14:paraId="67D91B4B">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在D弦上演奏、A弦和D弦两个平面的转换</w:t>
            </w:r>
          </w:p>
          <w:p w14:paraId="3D34A73F">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在G弦上演奏、G弦和其他弦的平面的转换</w:t>
            </w:r>
          </w:p>
          <w:p w14:paraId="759D270F">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分弓换弦</w:t>
            </w:r>
          </w:p>
          <w:p w14:paraId="471AEA36">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连弓</w:t>
            </w:r>
          </w:p>
          <w:p w14:paraId="7CC22F01">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附点节奏</w:t>
            </w:r>
          </w:p>
          <w:p w14:paraId="43B652BD">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第三章</w:t>
            </w:r>
          </w:p>
          <w:p w14:paraId="714F4572">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实训目的：第二种指位</w:t>
            </w:r>
          </w:p>
          <w:p w14:paraId="15BF29DD">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实训任务：</w:t>
            </w:r>
          </w:p>
          <w:p w14:paraId="60B36F1A">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认识第二种指位，附点节奏</w:t>
            </w:r>
          </w:p>
          <w:p w14:paraId="0B6AB1DD">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第一种指位和第二种指位混合</w:t>
            </w:r>
          </w:p>
          <w:p w14:paraId="273337D1">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连弓换弦</w:t>
            </w:r>
          </w:p>
          <w:p w14:paraId="2761957E">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改变弓速及其他</w:t>
            </w:r>
          </w:p>
          <w:p w14:paraId="73727A01">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十六分音符及八分附点</w:t>
            </w:r>
          </w:p>
          <w:p w14:paraId="07BFB538">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简易双音及三连音</w:t>
            </w:r>
          </w:p>
          <w:p w14:paraId="7E90508F">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第四章</w:t>
            </w:r>
          </w:p>
          <w:p w14:paraId="719867EE">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实训目的：其他几种常用指位、常用弓法和节奏</w:t>
            </w:r>
          </w:p>
          <w:p w14:paraId="5180EDDF">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实训任务：</w:t>
            </w:r>
          </w:p>
          <w:p w14:paraId="7C79CD61">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第三种指位1,2指都后退，半音在空弦同1指之间</w:t>
            </w:r>
          </w:p>
          <w:p w14:paraId="616A2DFB">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2、再加4指也后退半步（3、4指之间也是半音）</w:t>
            </w:r>
          </w:p>
          <w:p w14:paraId="7CF3089E">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3、和第二种指位的混合</w:t>
            </w:r>
          </w:p>
          <w:p w14:paraId="171EDF4C">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4、整个手比第二节移高半音</w:t>
            </w:r>
          </w:p>
          <w:p w14:paraId="055C5087">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5、附点节奏：八分附点节奏的进一步掌握</w:t>
            </w:r>
          </w:p>
          <w:p w14:paraId="7B4B4D80">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6、切分节奏</w:t>
            </w:r>
          </w:p>
          <w:p w14:paraId="3A66D826">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7、第四种指位、小调音阶以上各种指位的混合、小指的前后伸展</w:t>
            </w:r>
          </w:p>
          <w:p w14:paraId="01E52F07">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8、装饰音</w:t>
            </w:r>
          </w:p>
          <w:p w14:paraId="52804050">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9、越弦、双音、快速三连音、不常见的节拍及节拍组合</w:t>
            </w:r>
          </w:p>
          <w:p w14:paraId="2932FB4D">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10、大型乐曲</w:t>
            </w:r>
          </w:p>
        </w:tc>
        <w:tc>
          <w:tcPr>
            <w:tcW w:w="1183" w:type="dxa"/>
            <w:gridSpan w:val="4"/>
            <w:shd w:val="clear" w:color="auto" w:fill="auto"/>
            <w:noWrap w:val="0"/>
            <w:vAlign w:val="center"/>
          </w:tcPr>
          <w:p w14:paraId="16E71E2D">
            <w:pPr>
              <w:pageBreakBefore w:val="0"/>
              <w:widowControl/>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支撑课程目标1、2、3</w:t>
            </w:r>
          </w:p>
        </w:tc>
        <w:tc>
          <w:tcPr>
            <w:tcW w:w="923" w:type="dxa"/>
            <w:gridSpan w:val="2"/>
            <w:shd w:val="clear" w:color="auto" w:fill="FFFFFF"/>
            <w:noWrap w:val="0"/>
            <w:vAlign w:val="center"/>
          </w:tcPr>
          <w:p w14:paraId="61585190">
            <w:pPr>
              <w:pageBreakBefore w:val="0"/>
              <w:kinsoku/>
              <w:overflowPunct/>
              <w:topLinePunct w:val="0"/>
              <w:bidi w:val="0"/>
              <w:adjustRightInd w:val="0"/>
              <w:snapToGrid w:val="0"/>
              <w:spacing w:line="240" w:lineRule="auto"/>
              <w:jc w:val="center"/>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64</w:t>
            </w:r>
          </w:p>
        </w:tc>
      </w:tr>
      <w:tr w14:paraId="1E1B977C">
        <w:trPr>
          <w:trHeight w:val="624" w:hRule="atLeast"/>
          <w:jc w:val="center"/>
        </w:trPr>
        <w:tc>
          <w:tcPr>
            <w:tcW w:w="1284" w:type="dxa"/>
            <w:vMerge w:val="continue"/>
            <w:shd w:val="clear" w:color="auto" w:fill="FFFFFF"/>
            <w:noWrap w:val="0"/>
            <w:vAlign w:val="center"/>
          </w:tcPr>
          <w:p w14:paraId="371F8064">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p>
        </w:tc>
        <w:tc>
          <w:tcPr>
            <w:tcW w:w="6941" w:type="dxa"/>
            <w:gridSpan w:val="13"/>
            <w:shd w:val="clear" w:color="auto" w:fill="auto"/>
            <w:noWrap w:val="0"/>
            <w:vAlign w:val="center"/>
          </w:tcPr>
          <w:p w14:paraId="2A584837">
            <w:pPr>
              <w:pageBreakBefore w:val="0"/>
              <w:kinsoku/>
              <w:overflowPunct/>
              <w:topLinePunct w:val="0"/>
              <w:bidi w:val="0"/>
              <w:adjustRightInd w:val="0"/>
              <w:snapToGrid w:val="0"/>
              <w:spacing w:line="240" w:lineRule="auto"/>
              <w:jc w:val="center"/>
              <w:rPr>
                <w:rFonts w:hint="eastAsia" w:ascii="仿宋" w:hAnsi="仿宋" w:eastAsia="仿宋" w:cs="仿宋"/>
                <w:bCs/>
                <w:color w:val="000000"/>
                <w:sz w:val="24"/>
                <w:szCs w:val="24"/>
              </w:rPr>
            </w:pPr>
            <w:r>
              <w:rPr>
                <w:rFonts w:hint="eastAsia" w:ascii="仿宋" w:hAnsi="仿宋" w:eastAsia="仿宋" w:cs="仿宋"/>
                <w:bCs/>
                <w:color w:val="000000"/>
                <w:sz w:val="24"/>
                <w:szCs w:val="24"/>
              </w:rPr>
              <w:t>合计</w:t>
            </w:r>
          </w:p>
        </w:tc>
        <w:tc>
          <w:tcPr>
            <w:tcW w:w="923" w:type="dxa"/>
            <w:gridSpan w:val="2"/>
            <w:shd w:val="clear" w:color="auto" w:fill="FFFFFF"/>
            <w:noWrap w:val="0"/>
            <w:vAlign w:val="center"/>
          </w:tcPr>
          <w:p w14:paraId="39D0CA36">
            <w:pPr>
              <w:pageBreakBefore w:val="0"/>
              <w:kinsoku/>
              <w:overflowPunct/>
              <w:topLinePunct w:val="0"/>
              <w:bidi w:val="0"/>
              <w:adjustRightInd w:val="0"/>
              <w:snapToGrid w:val="0"/>
              <w:spacing w:line="240" w:lineRule="auto"/>
              <w:jc w:val="center"/>
              <w:rPr>
                <w:rFonts w:hint="default" w:ascii="仿宋" w:hAnsi="仿宋" w:eastAsia="仿宋" w:cs="仿宋"/>
                <w:color w:val="4472C4"/>
                <w:sz w:val="24"/>
                <w:szCs w:val="24"/>
                <w:lang w:val="en-US" w:eastAsia="zh-CN"/>
              </w:rPr>
            </w:pPr>
          </w:p>
        </w:tc>
      </w:tr>
      <w:tr w14:paraId="4AC42D59">
        <w:trPr>
          <w:trHeight w:val="624" w:hRule="atLeast"/>
          <w:jc w:val="center"/>
        </w:trPr>
        <w:tc>
          <w:tcPr>
            <w:tcW w:w="1284" w:type="dxa"/>
            <w:noWrap w:val="0"/>
            <w:vAlign w:val="center"/>
          </w:tcPr>
          <w:p w14:paraId="7908BED9">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I</w:t>
            </w:r>
          </w:p>
          <w:p w14:paraId="6DD25A91">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lang w:eastAsia="zh-TW"/>
              </w:rPr>
            </w:pPr>
            <w:r>
              <w:rPr>
                <w:rFonts w:hint="eastAsia" w:ascii="仿宋" w:hAnsi="仿宋" w:eastAsia="仿宋" w:cs="仿宋"/>
                <w:color w:val="000000"/>
                <w:sz w:val="24"/>
                <w:szCs w:val="24"/>
              </w:rPr>
              <w:t>教学方法与教学方式</w:t>
            </w:r>
          </w:p>
        </w:tc>
        <w:tc>
          <w:tcPr>
            <w:tcW w:w="7864" w:type="dxa"/>
            <w:gridSpan w:val="15"/>
            <w:tcBorders>
              <w:bottom w:val="single" w:color="auto" w:sz="4" w:space="0"/>
            </w:tcBorders>
            <w:noWrap w:val="0"/>
            <w:vAlign w:val="center"/>
          </w:tcPr>
          <w:p w14:paraId="248F1A95">
            <w:pPr>
              <w:pageBreakBefore w:val="0"/>
              <w:numPr>
                <w:ilvl w:val="0"/>
                <w:numId w:val="7"/>
              </w:numPr>
              <w:kinsoku/>
              <w:overflowPunct/>
              <w:topLinePunct w:val="0"/>
              <w:bidi w:val="0"/>
              <w:adjustRightInd w:val="0"/>
              <w:snapToGrid w:val="0"/>
              <w:spacing w:line="240" w:lineRule="auto"/>
              <w:rPr>
                <w:rFonts w:hint="eastAsia" w:ascii="仿宋" w:hAnsi="仿宋" w:eastAsia="仿宋" w:cs="仿宋"/>
                <w:sz w:val="24"/>
                <w:szCs w:val="24"/>
              </w:rPr>
            </w:pPr>
            <w:r>
              <w:rPr>
                <w:rFonts w:hint="eastAsia" w:ascii="仿宋" w:hAnsi="仿宋" w:eastAsia="仿宋" w:cs="仿宋"/>
                <w:sz w:val="24"/>
                <w:szCs w:val="24"/>
              </w:rPr>
              <w:t>示范教学法，在课堂上进行示范演奏，让学生直观学习。</w:t>
            </w:r>
          </w:p>
          <w:p w14:paraId="51E3AEB7">
            <w:pPr>
              <w:pageBreakBefore w:val="0"/>
              <w:kinsoku/>
              <w:overflowPunct/>
              <w:topLinePunct w:val="0"/>
              <w:bidi w:val="0"/>
              <w:adjustRightInd w:val="0"/>
              <w:snapToGrid w:val="0"/>
              <w:spacing w:line="240" w:lineRule="auto"/>
              <w:rPr>
                <w:rFonts w:hint="eastAsia" w:ascii="仿宋" w:hAnsi="仿宋" w:eastAsia="仿宋" w:cs="仿宋"/>
                <w:sz w:val="24"/>
                <w:szCs w:val="24"/>
              </w:rPr>
            </w:pPr>
            <w:r>
              <w:rPr>
                <w:rFonts w:hint="eastAsia" w:ascii="仿宋" w:hAnsi="仿宋" w:eastAsia="仿宋" w:cs="仿宋"/>
                <w:sz w:val="24"/>
                <w:szCs w:val="24"/>
              </w:rPr>
              <w:t>2、分析教学法，通过课堂对技能技巧以及音乐情感如何表现进行分析，加上讨论纠错等方式，引导学生发现问题解决问题。</w:t>
            </w:r>
          </w:p>
          <w:p w14:paraId="3EDD4E66">
            <w:pPr>
              <w:pageBreakBefore w:val="0"/>
              <w:kinsoku/>
              <w:overflowPunct/>
              <w:topLinePunct w:val="0"/>
              <w:bidi w:val="0"/>
              <w:adjustRightInd w:val="0"/>
              <w:snapToGrid w:val="0"/>
              <w:spacing w:line="240" w:lineRule="auto"/>
              <w:rPr>
                <w:rFonts w:hint="eastAsia" w:ascii="仿宋" w:hAnsi="仿宋" w:eastAsia="仿宋" w:cs="仿宋"/>
                <w:sz w:val="24"/>
                <w:szCs w:val="24"/>
              </w:rPr>
            </w:pPr>
            <w:r>
              <w:rPr>
                <w:rFonts w:hint="eastAsia" w:ascii="仿宋" w:hAnsi="仿宋" w:eastAsia="仿宋" w:cs="仿宋"/>
                <w:sz w:val="24"/>
                <w:szCs w:val="24"/>
              </w:rPr>
              <w:t>3、开通网络课堂，达到与学生及时沟通、交流的目的。同时重视师生互动与小组活动，将课堂教学变为师生共同活动的过程。</w:t>
            </w:r>
          </w:p>
          <w:p w14:paraId="5319C165">
            <w:pPr>
              <w:pageBreakBefore w:val="0"/>
              <w:numPr>
                <w:ilvl w:val="0"/>
                <w:numId w:val="8"/>
              </w:numPr>
              <w:kinsoku/>
              <w:overflowPunct/>
              <w:topLinePunct w:val="0"/>
              <w:bidi w:val="0"/>
              <w:adjustRightInd w:val="0"/>
              <w:snapToGrid w:val="0"/>
              <w:spacing w:line="240" w:lineRule="auto"/>
              <w:rPr>
                <w:rFonts w:hint="eastAsia" w:ascii="仿宋" w:hAnsi="仿宋" w:eastAsia="仿宋" w:cs="仿宋"/>
                <w:sz w:val="24"/>
                <w:szCs w:val="24"/>
              </w:rPr>
            </w:pPr>
            <w:r>
              <w:rPr>
                <w:rFonts w:hint="eastAsia" w:ascii="仿宋" w:hAnsi="仿宋" w:eastAsia="仿宋" w:cs="仿宋"/>
                <w:sz w:val="24"/>
                <w:szCs w:val="24"/>
              </w:rPr>
              <w:t>主要方式：</w:t>
            </w:r>
          </w:p>
          <w:p w14:paraId="32863199">
            <w:pPr>
              <w:pageBreakBefore w:val="0"/>
              <w:kinsoku/>
              <w:overflowPunct/>
              <w:topLinePunct w:val="0"/>
              <w:bidi w:val="0"/>
              <w:adjustRightInd w:val="0"/>
              <w:snapToGrid w:val="0"/>
              <w:spacing w:line="240" w:lineRule="auto"/>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讲授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网络学习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讨论或座谈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问题导向学  </w:t>
            </w:r>
          </w:p>
          <w:p w14:paraId="47F9B707">
            <w:pPr>
              <w:pageBreakBefore w:val="0"/>
              <w:kinsoku/>
              <w:overflowPunct/>
              <w:topLinePunct w:val="0"/>
              <w:bidi w:val="0"/>
              <w:adjustRightInd w:val="0"/>
              <w:snapToGrid w:val="0"/>
              <w:spacing w:line="240" w:lineRule="auto"/>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分组合作学习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专题学习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实作学习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发表学习  </w:t>
            </w:r>
          </w:p>
          <w:p w14:paraId="44D7D4F8">
            <w:pPr>
              <w:pageBreakBefore w:val="0"/>
              <w:kinsoku/>
              <w:overflowPunct/>
              <w:topLinePunct w:val="0"/>
              <w:bidi w:val="0"/>
              <w:adjustRightInd w:val="0"/>
              <w:snapToGrid w:val="0"/>
              <w:spacing w:line="240" w:lineRule="auto"/>
              <w:ind w:firstLine="480" w:firstLineChars="200"/>
              <w:rPr>
                <w:rFonts w:hint="eastAsia" w:ascii="仿宋" w:hAnsi="仿宋" w:eastAsia="仿宋" w:cs="仿宋"/>
                <w:color w:val="000000"/>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实习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参观访问  </w:t>
            </w:r>
            <w:r>
              <w:rPr>
                <w:rFonts w:hint="eastAsia" w:ascii="仿宋" w:hAnsi="仿宋" w:eastAsia="仿宋" w:cs="仿宋"/>
                <w:sz w:val="24"/>
                <w:szCs w:val="24"/>
              </w:rPr>
              <w:sym w:font="Wingdings" w:char="00A8"/>
            </w:r>
            <w:r>
              <w:rPr>
                <w:rFonts w:hint="eastAsia" w:ascii="仿宋" w:hAnsi="仿宋" w:eastAsia="仿宋" w:cs="仿宋"/>
                <w:sz w:val="24"/>
                <w:szCs w:val="24"/>
              </w:rPr>
              <w:t>其它：</w:t>
            </w:r>
            <w:r>
              <w:rPr>
                <w:rFonts w:hint="eastAsia" w:ascii="仿宋" w:hAnsi="仿宋" w:eastAsia="仿宋" w:cs="仿宋"/>
                <w:sz w:val="24"/>
                <w:szCs w:val="24"/>
                <w:u w:val="single"/>
              </w:rPr>
              <w:t xml:space="preserve">        </w:t>
            </w:r>
            <w:r>
              <w:rPr>
                <w:rFonts w:hint="eastAsia" w:ascii="仿宋" w:hAnsi="仿宋" w:eastAsia="仿宋" w:cs="仿宋"/>
                <w:sz w:val="24"/>
                <w:szCs w:val="24"/>
              </w:rPr>
              <w:t>(如口头训练等)</w:t>
            </w:r>
          </w:p>
        </w:tc>
      </w:tr>
      <w:tr w14:paraId="4EA30B26">
        <w:trPr>
          <w:trHeight w:val="624" w:hRule="atLeast"/>
          <w:jc w:val="center"/>
        </w:trPr>
        <w:tc>
          <w:tcPr>
            <w:tcW w:w="1284" w:type="dxa"/>
            <w:noWrap w:val="0"/>
            <w:vAlign w:val="center"/>
          </w:tcPr>
          <w:p w14:paraId="61B8218B">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J</w:t>
            </w:r>
          </w:p>
          <w:p w14:paraId="7AEDEEA6">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教学条件</w:t>
            </w:r>
          </w:p>
          <w:p w14:paraId="3986E5D6">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需求</w:t>
            </w:r>
          </w:p>
        </w:tc>
        <w:tc>
          <w:tcPr>
            <w:tcW w:w="7864" w:type="dxa"/>
            <w:gridSpan w:val="15"/>
            <w:tcBorders>
              <w:bottom w:val="single" w:color="auto" w:sz="4" w:space="0"/>
            </w:tcBorders>
            <w:noWrap w:val="0"/>
            <w:vAlign w:val="center"/>
          </w:tcPr>
          <w:p w14:paraId="0A29253B">
            <w:pPr>
              <w:pageBreakBefore w:val="0"/>
              <w:tabs>
                <w:tab w:val="left" w:pos="720"/>
              </w:tabs>
              <w:kinsoku/>
              <w:overflowPunct/>
              <w:topLinePunct w:val="0"/>
              <w:bidi w:val="0"/>
              <w:adjustRightInd w:val="0"/>
              <w:snapToGrid w:val="0"/>
              <w:spacing w:line="240" w:lineRule="auto"/>
              <w:rPr>
                <w:rFonts w:hint="eastAsia" w:ascii="仿宋" w:hAnsi="仿宋" w:eastAsia="仿宋" w:cs="仿宋"/>
                <w:kern w:val="0"/>
                <w:sz w:val="24"/>
                <w:szCs w:val="24"/>
              </w:rPr>
            </w:pPr>
            <w:r>
              <w:rPr>
                <w:rFonts w:hint="eastAsia" w:ascii="仿宋" w:hAnsi="仿宋" w:eastAsia="仿宋" w:cs="仿宋"/>
                <w:kern w:val="0"/>
                <w:sz w:val="24"/>
                <w:szCs w:val="24"/>
              </w:rPr>
              <w:t>（如时间、地点安排与“一课双师”等教师配备需求等）</w:t>
            </w:r>
          </w:p>
          <w:p w14:paraId="5FDD95A2">
            <w:pPr>
              <w:pageBreakBefore w:val="0"/>
              <w:tabs>
                <w:tab w:val="left" w:pos="720"/>
              </w:tabs>
              <w:kinsoku/>
              <w:overflowPunct/>
              <w:topLinePunct w:val="0"/>
              <w:bidi w:val="0"/>
              <w:adjustRightInd w:val="0"/>
              <w:snapToGrid w:val="0"/>
              <w:spacing w:line="240" w:lineRule="auto"/>
              <w:rPr>
                <w:rFonts w:ascii="仿宋" w:hAnsi="仿宋" w:eastAsia="仿宋" w:cs="仿宋"/>
                <w:sz w:val="24"/>
                <w:szCs w:val="24"/>
              </w:rPr>
            </w:pPr>
            <w:r>
              <w:rPr>
                <w:rFonts w:hint="eastAsia" w:ascii="仿宋" w:hAnsi="仿宋" w:eastAsia="仿宋" w:cs="仿宋"/>
                <w:sz w:val="24"/>
                <w:szCs w:val="24"/>
              </w:rPr>
              <w:t>1.琴房、演艺厅、音乐厅等专业场地</w:t>
            </w:r>
          </w:p>
          <w:p w14:paraId="2095679F">
            <w:pPr>
              <w:pageBreakBefore w:val="0"/>
              <w:tabs>
                <w:tab w:val="left" w:pos="720"/>
              </w:tabs>
              <w:kinsoku/>
              <w:overflowPunct/>
              <w:topLinePunct w:val="0"/>
              <w:bidi w:val="0"/>
              <w:adjustRightInd w:val="0"/>
              <w:snapToGrid w:val="0"/>
              <w:spacing w:line="240" w:lineRule="auto"/>
              <w:rPr>
                <w:rFonts w:hint="eastAsia" w:ascii="仿宋" w:hAnsi="仿宋" w:eastAsia="仿宋" w:cs="仿宋"/>
                <w:kern w:val="0"/>
                <w:sz w:val="24"/>
                <w:szCs w:val="24"/>
              </w:rPr>
            </w:pPr>
            <w:r>
              <w:rPr>
                <w:rFonts w:hint="eastAsia" w:ascii="仿宋" w:hAnsi="仿宋" w:eastAsia="仿宋" w:cs="仿宋"/>
                <w:kern w:val="0"/>
                <w:sz w:val="24"/>
                <w:szCs w:val="24"/>
              </w:rPr>
              <w:t>2.乐器</w:t>
            </w:r>
          </w:p>
          <w:p w14:paraId="15D96B7B">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3.多媒体音响设备</w:t>
            </w:r>
          </w:p>
        </w:tc>
      </w:tr>
      <w:tr w14:paraId="106AD9CC">
        <w:trPr>
          <w:trHeight w:val="624" w:hRule="atLeast"/>
          <w:jc w:val="center"/>
        </w:trPr>
        <w:tc>
          <w:tcPr>
            <w:tcW w:w="1284" w:type="dxa"/>
            <w:vMerge w:val="restart"/>
            <w:noWrap w:val="0"/>
            <w:vAlign w:val="center"/>
          </w:tcPr>
          <w:p w14:paraId="46B1D02C">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K</w:t>
            </w:r>
          </w:p>
          <w:p w14:paraId="596054F9">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课程目标及其考核内容、考核方式及评分占比</w:t>
            </w:r>
          </w:p>
        </w:tc>
        <w:tc>
          <w:tcPr>
            <w:tcW w:w="1285" w:type="dxa"/>
            <w:gridSpan w:val="2"/>
            <w:vMerge w:val="restart"/>
            <w:noWrap w:val="0"/>
            <w:vAlign w:val="center"/>
          </w:tcPr>
          <w:p w14:paraId="4E799769">
            <w:pPr>
              <w:pageBreakBefore w:val="0"/>
              <w:kinsoku/>
              <w:overflowPunct/>
              <w:topLinePunct w:val="0"/>
              <w:bidi w:val="0"/>
              <w:adjustRightInd w:val="0"/>
              <w:snapToGrid w:val="0"/>
              <w:spacing w:line="240" w:lineRule="auto"/>
              <w:rPr>
                <w:rFonts w:hint="eastAsia" w:ascii="仿宋" w:hAnsi="仿宋" w:eastAsia="仿宋" w:cs="仿宋"/>
                <w:sz w:val="24"/>
                <w:szCs w:val="24"/>
              </w:rPr>
            </w:pPr>
            <w:r>
              <w:rPr>
                <w:rFonts w:hint="eastAsia" w:ascii="仿宋" w:hAnsi="仿宋" w:eastAsia="仿宋" w:cs="仿宋"/>
                <w:sz w:val="24"/>
                <w:szCs w:val="24"/>
              </w:rPr>
              <w:t>课程目标及评分占比</w:t>
            </w:r>
          </w:p>
        </w:tc>
        <w:tc>
          <w:tcPr>
            <w:tcW w:w="3041" w:type="dxa"/>
            <w:gridSpan w:val="4"/>
            <w:vMerge w:val="restart"/>
            <w:tcBorders>
              <w:right w:val="single" w:color="000000" w:sz="4" w:space="0"/>
            </w:tcBorders>
            <w:noWrap w:val="0"/>
            <w:vAlign w:val="center"/>
          </w:tcPr>
          <w:p w14:paraId="7E50CBA9">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考核内容</w:t>
            </w:r>
          </w:p>
        </w:tc>
        <w:tc>
          <w:tcPr>
            <w:tcW w:w="2937" w:type="dxa"/>
            <w:gridSpan w:val="8"/>
            <w:tcBorders>
              <w:left w:val="single" w:color="000000" w:sz="4" w:space="0"/>
              <w:right w:val="single" w:color="000000" w:sz="4" w:space="0"/>
            </w:tcBorders>
            <w:noWrap w:val="0"/>
            <w:vAlign w:val="center"/>
          </w:tcPr>
          <w:p w14:paraId="7F622C6E">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考核方式</w:t>
            </w:r>
          </w:p>
        </w:tc>
        <w:tc>
          <w:tcPr>
            <w:tcW w:w="601" w:type="dxa"/>
            <w:tcBorders>
              <w:left w:val="single" w:color="000000" w:sz="4" w:space="0"/>
            </w:tcBorders>
            <w:noWrap w:val="0"/>
            <w:vAlign w:val="center"/>
          </w:tcPr>
          <w:p w14:paraId="27CB17FD">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kern w:val="0"/>
                <w:sz w:val="24"/>
                <w:szCs w:val="24"/>
              </w:rPr>
            </w:pPr>
            <w:r>
              <w:rPr>
                <w:rFonts w:hint="eastAsia" w:ascii="仿宋" w:hAnsi="仿宋" w:eastAsia="仿宋" w:cs="仿宋"/>
                <w:sz w:val="24"/>
                <w:szCs w:val="24"/>
              </w:rPr>
              <w:t>课程分目标的达成度</w:t>
            </w:r>
          </w:p>
        </w:tc>
      </w:tr>
      <w:tr w14:paraId="2518696F">
        <w:trPr>
          <w:trHeight w:val="624" w:hRule="atLeast"/>
          <w:jc w:val="center"/>
        </w:trPr>
        <w:tc>
          <w:tcPr>
            <w:tcW w:w="1284" w:type="dxa"/>
            <w:vMerge w:val="continue"/>
            <w:noWrap w:val="0"/>
            <w:vAlign w:val="center"/>
          </w:tcPr>
          <w:p w14:paraId="22536DB6">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p>
        </w:tc>
        <w:tc>
          <w:tcPr>
            <w:tcW w:w="1285" w:type="dxa"/>
            <w:gridSpan w:val="2"/>
            <w:vMerge w:val="continue"/>
            <w:tcBorders>
              <w:tl2br w:val="single" w:color="auto" w:sz="4" w:space="0"/>
            </w:tcBorders>
            <w:noWrap w:val="0"/>
            <w:vAlign w:val="center"/>
          </w:tcPr>
          <w:p w14:paraId="3C3F550F">
            <w:pPr>
              <w:pageBreakBefore w:val="0"/>
              <w:kinsoku/>
              <w:overflowPunct/>
              <w:topLinePunct w:val="0"/>
              <w:bidi w:val="0"/>
              <w:adjustRightInd w:val="0"/>
              <w:snapToGrid w:val="0"/>
              <w:spacing w:line="240" w:lineRule="auto"/>
              <w:jc w:val="right"/>
              <w:rPr>
                <w:rFonts w:hint="eastAsia" w:ascii="仿宋" w:hAnsi="仿宋" w:eastAsia="仿宋" w:cs="仿宋"/>
                <w:sz w:val="24"/>
                <w:szCs w:val="24"/>
              </w:rPr>
            </w:pPr>
          </w:p>
        </w:tc>
        <w:tc>
          <w:tcPr>
            <w:tcW w:w="3041" w:type="dxa"/>
            <w:gridSpan w:val="4"/>
            <w:vMerge w:val="continue"/>
            <w:tcBorders>
              <w:right w:val="single" w:color="000000" w:sz="4" w:space="0"/>
            </w:tcBorders>
            <w:noWrap w:val="0"/>
            <w:vAlign w:val="center"/>
          </w:tcPr>
          <w:p w14:paraId="6D5DD65D">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kern w:val="0"/>
                <w:sz w:val="24"/>
                <w:szCs w:val="24"/>
              </w:rPr>
            </w:pPr>
          </w:p>
        </w:tc>
        <w:tc>
          <w:tcPr>
            <w:tcW w:w="964" w:type="dxa"/>
            <w:gridSpan w:val="2"/>
            <w:tcBorders>
              <w:left w:val="single" w:color="000000" w:sz="4" w:space="0"/>
              <w:right w:val="single" w:color="000000" w:sz="4" w:space="0"/>
            </w:tcBorders>
            <w:noWrap w:val="0"/>
            <w:vAlign w:val="center"/>
          </w:tcPr>
          <w:p w14:paraId="41AF29CF">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作业评分占比（</w:t>
            </w:r>
            <w:r>
              <w:rPr>
                <w:rFonts w:hint="eastAsia" w:ascii="仿宋" w:hAnsi="仿宋" w:eastAsia="仿宋" w:cs="仿宋"/>
                <w:sz w:val="24"/>
                <w:szCs w:val="24"/>
                <w:lang w:val="en-US" w:eastAsia="zh-CN"/>
              </w:rPr>
              <w:t>20</w:t>
            </w:r>
            <w:r>
              <w:rPr>
                <w:rFonts w:hint="eastAsia" w:ascii="仿宋" w:hAnsi="仿宋" w:eastAsia="仿宋" w:cs="仿宋"/>
                <w:sz w:val="24"/>
                <w:szCs w:val="24"/>
              </w:rPr>
              <w:t>%）</w:t>
            </w:r>
          </w:p>
        </w:tc>
        <w:tc>
          <w:tcPr>
            <w:tcW w:w="964" w:type="dxa"/>
            <w:gridSpan w:val="2"/>
            <w:tcBorders>
              <w:left w:val="single" w:color="000000" w:sz="4" w:space="0"/>
              <w:bottom w:val="single" w:color="auto" w:sz="4" w:space="0"/>
            </w:tcBorders>
            <w:noWrap w:val="0"/>
            <w:vAlign w:val="center"/>
          </w:tcPr>
          <w:p w14:paraId="546BF9E0">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kern w:val="0"/>
                <w:sz w:val="24"/>
                <w:szCs w:val="24"/>
              </w:rPr>
              <w:t>期中考试评分占比</w:t>
            </w:r>
            <w:r>
              <w:rPr>
                <w:rFonts w:hint="eastAsia" w:ascii="仿宋" w:hAnsi="仿宋" w:eastAsia="仿宋" w:cs="仿宋"/>
                <w:sz w:val="24"/>
                <w:szCs w:val="24"/>
              </w:rPr>
              <w:t>（</w:t>
            </w:r>
            <w:r>
              <w:rPr>
                <w:rFonts w:hint="eastAsia" w:ascii="仿宋" w:hAnsi="仿宋" w:eastAsia="仿宋" w:cs="仿宋"/>
                <w:sz w:val="24"/>
                <w:szCs w:val="24"/>
                <w:lang w:val="en-US" w:eastAsia="zh-CN"/>
              </w:rPr>
              <w:t>40</w:t>
            </w:r>
            <w:r>
              <w:rPr>
                <w:rFonts w:hint="eastAsia" w:ascii="仿宋" w:hAnsi="仿宋" w:eastAsia="仿宋" w:cs="仿宋"/>
                <w:sz w:val="24"/>
                <w:szCs w:val="24"/>
              </w:rPr>
              <w:t>%）</w:t>
            </w:r>
          </w:p>
        </w:tc>
        <w:tc>
          <w:tcPr>
            <w:tcW w:w="1009" w:type="dxa"/>
            <w:gridSpan w:val="4"/>
            <w:tcBorders>
              <w:bottom w:val="single" w:color="auto" w:sz="4" w:space="0"/>
              <w:right w:val="single" w:color="000000" w:sz="4" w:space="0"/>
            </w:tcBorders>
            <w:noWrap w:val="0"/>
            <w:vAlign w:val="center"/>
          </w:tcPr>
          <w:p w14:paraId="15CBD0CA">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期末考试评分占比（</w:t>
            </w:r>
            <w:r>
              <w:rPr>
                <w:rFonts w:hint="eastAsia" w:ascii="仿宋" w:hAnsi="仿宋" w:eastAsia="仿宋" w:cs="仿宋"/>
                <w:sz w:val="24"/>
                <w:szCs w:val="24"/>
                <w:lang w:val="en-US" w:eastAsia="zh-CN"/>
              </w:rPr>
              <w:t>40</w:t>
            </w:r>
            <w:r>
              <w:rPr>
                <w:rFonts w:hint="eastAsia" w:ascii="仿宋" w:hAnsi="仿宋" w:eastAsia="仿宋" w:cs="仿宋"/>
                <w:sz w:val="24"/>
                <w:szCs w:val="24"/>
              </w:rPr>
              <w:t>%）</w:t>
            </w:r>
          </w:p>
        </w:tc>
        <w:tc>
          <w:tcPr>
            <w:tcW w:w="601" w:type="dxa"/>
            <w:tcBorders>
              <w:left w:val="single" w:color="000000" w:sz="4" w:space="0"/>
            </w:tcBorders>
            <w:noWrap w:val="0"/>
            <w:vAlign w:val="center"/>
          </w:tcPr>
          <w:p w14:paraId="18A55B94">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sz w:val="24"/>
                <w:szCs w:val="24"/>
              </w:rPr>
            </w:pPr>
          </w:p>
        </w:tc>
      </w:tr>
      <w:tr w14:paraId="1B6E09B0">
        <w:trPr>
          <w:trHeight w:val="624" w:hRule="atLeast"/>
          <w:jc w:val="center"/>
        </w:trPr>
        <w:tc>
          <w:tcPr>
            <w:tcW w:w="1284" w:type="dxa"/>
            <w:vMerge w:val="continue"/>
            <w:noWrap w:val="0"/>
            <w:vAlign w:val="center"/>
          </w:tcPr>
          <w:p w14:paraId="1D89E79C">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lang w:eastAsia="zh-TW"/>
              </w:rPr>
            </w:pPr>
          </w:p>
        </w:tc>
        <w:tc>
          <w:tcPr>
            <w:tcW w:w="1285" w:type="dxa"/>
            <w:gridSpan w:val="2"/>
            <w:tcBorders>
              <w:bottom w:val="single" w:color="auto" w:sz="4" w:space="0"/>
            </w:tcBorders>
            <w:noWrap w:val="0"/>
            <w:vAlign w:val="center"/>
          </w:tcPr>
          <w:p w14:paraId="41ED26E4">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kern w:val="0"/>
                <w:sz w:val="24"/>
                <w:szCs w:val="24"/>
              </w:rPr>
              <w:t>课程目标1（</w:t>
            </w:r>
            <w:r>
              <w:rPr>
                <w:rFonts w:hint="eastAsia" w:ascii="仿宋" w:hAnsi="仿宋" w:eastAsia="仿宋" w:cs="仿宋"/>
                <w:kern w:val="0"/>
                <w:sz w:val="24"/>
                <w:szCs w:val="24"/>
                <w:lang w:val="en-US" w:eastAsia="zh-CN"/>
              </w:rPr>
              <w:t>50</w:t>
            </w:r>
            <w:r>
              <w:rPr>
                <w:rFonts w:hint="eastAsia" w:ascii="仿宋" w:hAnsi="仿宋" w:eastAsia="仿宋" w:cs="仿宋"/>
                <w:kern w:val="0"/>
                <w:sz w:val="24"/>
                <w:szCs w:val="24"/>
              </w:rPr>
              <w:t>%）</w:t>
            </w:r>
          </w:p>
        </w:tc>
        <w:tc>
          <w:tcPr>
            <w:tcW w:w="3041" w:type="dxa"/>
            <w:gridSpan w:val="4"/>
            <w:tcBorders>
              <w:bottom w:val="single" w:color="auto" w:sz="4" w:space="0"/>
              <w:right w:val="single" w:color="000000" w:sz="4" w:space="0"/>
            </w:tcBorders>
            <w:noWrap w:val="0"/>
            <w:vAlign w:val="center"/>
          </w:tcPr>
          <w:p w14:paraId="0458EA04">
            <w:pPr>
              <w:pageBreakBefore w:val="0"/>
              <w:kinsoku/>
              <w:overflowPunct/>
              <w:topLinePunct w:val="0"/>
              <w:bidi w:val="0"/>
              <w:adjustRightInd w:val="0"/>
              <w:snapToGrid w:val="0"/>
              <w:spacing w:line="240" w:lineRule="auto"/>
              <w:rPr>
                <w:rFonts w:hint="eastAsia" w:ascii="仿宋" w:hAnsi="仿宋" w:eastAsia="仿宋" w:cs="仿宋"/>
                <w:kern w:val="0"/>
                <w:sz w:val="24"/>
                <w:szCs w:val="24"/>
              </w:rPr>
            </w:pPr>
            <w:r>
              <w:rPr>
                <w:rFonts w:hAnsi="仿宋" w:eastAsia="仿宋"/>
                <w:sz w:val="22"/>
                <w:szCs w:val="22"/>
                <w:lang w:val="en-US"/>
              </w:rPr>
              <w:t>能够较为扎实掌握音乐学科的基础知识</w:t>
            </w:r>
            <w:r>
              <w:rPr>
                <w:sz w:val="22"/>
                <w:szCs w:val="22"/>
                <w:lang w:val="en-US"/>
              </w:rPr>
              <w:t>，</w:t>
            </w:r>
            <w:r>
              <w:rPr>
                <w:rFonts w:hAnsi="仿宋" w:eastAsia="仿宋"/>
                <w:sz w:val="22"/>
                <w:szCs w:val="22"/>
                <w:lang w:val="en-US"/>
              </w:rPr>
              <w:t>基本理论体系</w:t>
            </w:r>
            <w:r>
              <w:rPr>
                <w:sz w:val="22"/>
                <w:szCs w:val="22"/>
                <w:lang w:val="en-US"/>
              </w:rPr>
              <w:t>，</w:t>
            </w:r>
            <w:r>
              <w:rPr>
                <w:rFonts w:hAnsi="仿宋" w:eastAsia="仿宋"/>
                <w:sz w:val="22"/>
                <w:szCs w:val="22"/>
                <w:lang w:val="en-US"/>
              </w:rPr>
              <w:t>结构与思想方法</w:t>
            </w:r>
            <w:r>
              <w:rPr>
                <w:sz w:val="22"/>
                <w:szCs w:val="22"/>
                <w:lang w:val="en-US"/>
              </w:rPr>
              <w:t>，</w:t>
            </w:r>
            <w:r>
              <w:rPr>
                <w:rFonts w:hAnsi="仿宋" w:eastAsia="仿宋"/>
                <w:sz w:val="22"/>
                <w:szCs w:val="22"/>
                <w:lang w:val="en-US"/>
              </w:rPr>
              <w:t>基本功功底扎实</w:t>
            </w:r>
          </w:p>
        </w:tc>
        <w:tc>
          <w:tcPr>
            <w:tcW w:w="964" w:type="dxa"/>
            <w:gridSpan w:val="2"/>
            <w:tcBorders>
              <w:left w:val="single" w:color="000000" w:sz="4" w:space="0"/>
              <w:bottom w:val="single" w:color="auto" w:sz="4" w:space="0"/>
              <w:right w:val="single" w:color="000000" w:sz="4" w:space="0"/>
            </w:tcBorders>
            <w:noWrap w:val="0"/>
            <w:vAlign w:val="center"/>
          </w:tcPr>
          <w:p w14:paraId="5BFBA770">
            <w:pPr>
              <w:pageBreakBefore w:val="0"/>
              <w:kinsoku/>
              <w:overflowPunct/>
              <w:topLinePunct w:val="0"/>
              <w:bidi w:val="0"/>
              <w:adjustRightInd w:val="0"/>
              <w:snapToGrid w:val="0"/>
              <w:spacing w:line="240" w:lineRule="auto"/>
              <w:jc w:val="center"/>
              <w:rPr>
                <w:rFonts w:hint="eastAsia" w:ascii="仿宋" w:hAnsi="仿宋" w:eastAsia="仿宋" w:cs="仿宋"/>
                <w:color w:val="000000"/>
                <w:kern w:val="0"/>
                <w:sz w:val="24"/>
                <w:szCs w:val="24"/>
              </w:rPr>
            </w:pPr>
            <w:r>
              <w:rPr>
                <w:rFonts w:hint="default" w:ascii="仿宋" w:hAnsi="仿宋" w:eastAsia="仿宋" w:cs="仿宋"/>
                <w:color w:val="000000"/>
                <w:kern w:val="0"/>
                <w:sz w:val="24"/>
                <w:szCs w:val="24"/>
                <w:lang w:eastAsia="zh-CN"/>
              </w:rPr>
              <w:t>10</w:t>
            </w:r>
          </w:p>
        </w:tc>
        <w:tc>
          <w:tcPr>
            <w:tcW w:w="964" w:type="dxa"/>
            <w:gridSpan w:val="2"/>
            <w:tcBorders>
              <w:left w:val="single" w:color="000000" w:sz="4" w:space="0"/>
              <w:bottom w:val="single" w:color="auto" w:sz="4" w:space="0"/>
              <w:right w:val="single" w:color="auto" w:sz="4" w:space="0"/>
            </w:tcBorders>
            <w:noWrap w:val="0"/>
            <w:vAlign w:val="center"/>
          </w:tcPr>
          <w:p w14:paraId="79726183">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18</w:t>
            </w:r>
          </w:p>
        </w:tc>
        <w:tc>
          <w:tcPr>
            <w:tcW w:w="1009" w:type="dxa"/>
            <w:gridSpan w:val="4"/>
            <w:tcBorders>
              <w:left w:val="single" w:color="auto" w:sz="4" w:space="0"/>
              <w:bottom w:val="single" w:color="auto" w:sz="4" w:space="0"/>
              <w:right w:val="single" w:color="auto" w:sz="4" w:space="0"/>
            </w:tcBorders>
            <w:noWrap w:val="0"/>
            <w:vAlign w:val="center"/>
          </w:tcPr>
          <w:p w14:paraId="180060B0">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color w:val="000000"/>
                <w:kern w:val="0"/>
                <w:sz w:val="24"/>
                <w:szCs w:val="24"/>
                <w:lang w:val="en-US" w:eastAsia="zh-CN"/>
              </w:rPr>
            </w:pPr>
            <w:r>
              <w:rPr>
                <w:rFonts w:hint="default" w:ascii="仿宋" w:hAnsi="仿宋" w:eastAsia="仿宋" w:cs="仿宋"/>
                <w:color w:val="000000"/>
                <w:kern w:val="0"/>
                <w:sz w:val="24"/>
                <w:szCs w:val="24"/>
              </w:rPr>
              <w:t>2</w:t>
            </w:r>
            <w:r>
              <w:rPr>
                <w:rFonts w:hint="eastAsia" w:ascii="仿宋" w:hAnsi="仿宋" w:eastAsia="仿宋" w:cs="仿宋"/>
                <w:color w:val="000000"/>
                <w:kern w:val="0"/>
                <w:sz w:val="24"/>
                <w:szCs w:val="24"/>
                <w:lang w:val="en-US" w:eastAsia="zh-CN"/>
              </w:rPr>
              <w:t>2</w:t>
            </w:r>
          </w:p>
        </w:tc>
        <w:tc>
          <w:tcPr>
            <w:tcW w:w="601" w:type="dxa"/>
            <w:tcBorders>
              <w:left w:val="single" w:color="auto" w:sz="4" w:space="0"/>
              <w:bottom w:val="single" w:color="auto" w:sz="4" w:space="0"/>
            </w:tcBorders>
            <w:noWrap w:val="0"/>
            <w:vAlign w:val="center"/>
          </w:tcPr>
          <w:p w14:paraId="03910445">
            <w:pPr>
              <w:pageBreakBefore w:val="0"/>
              <w:tabs>
                <w:tab w:val="left" w:pos="720"/>
              </w:tabs>
              <w:kinsoku/>
              <w:overflowPunct/>
              <w:topLinePunct w:val="0"/>
              <w:bidi w:val="0"/>
              <w:adjustRightInd w:val="0"/>
              <w:snapToGrid w:val="0"/>
              <w:spacing w:line="240" w:lineRule="auto"/>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0.7</w:t>
            </w:r>
          </w:p>
        </w:tc>
      </w:tr>
      <w:tr w14:paraId="41CAE5B6">
        <w:trPr>
          <w:trHeight w:val="624" w:hRule="atLeast"/>
          <w:jc w:val="center"/>
        </w:trPr>
        <w:tc>
          <w:tcPr>
            <w:tcW w:w="1284" w:type="dxa"/>
            <w:vMerge w:val="continue"/>
            <w:noWrap w:val="0"/>
            <w:vAlign w:val="center"/>
          </w:tcPr>
          <w:p w14:paraId="6C8F3707">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lang w:eastAsia="zh-TW"/>
              </w:rPr>
            </w:pPr>
          </w:p>
        </w:tc>
        <w:tc>
          <w:tcPr>
            <w:tcW w:w="1285" w:type="dxa"/>
            <w:gridSpan w:val="2"/>
            <w:noWrap w:val="0"/>
            <w:vAlign w:val="center"/>
          </w:tcPr>
          <w:p w14:paraId="4CEC3234">
            <w:pPr>
              <w:pageBreakBefore w:val="0"/>
              <w:kinsoku/>
              <w:overflowPunct/>
              <w:topLinePunct w:val="0"/>
              <w:bidi w:val="0"/>
              <w:adjustRightInd w:val="0"/>
              <w:snapToGrid w:val="0"/>
              <w:spacing w:line="24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课程目标2（</w:t>
            </w:r>
            <w:r>
              <w:rPr>
                <w:rFonts w:hint="eastAsia" w:ascii="仿宋" w:hAnsi="仿宋" w:eastAsia="仿宋" w:cs="仿宋"/>
                <w:kern w:val="0"/>
                <w:sz w:val="24"/>
                <w:szCs w:val="24"/>
                <w:lang w:val="en-US" w:eastAsia="zh-CN"/>
              </w:rPr>
              <w:t>3</w:t>
            </w:r>
            <w:r>
              <w:rPr>
                <w:rFonts w:hint="eastAsia" w:ascii="仿宋" w:hAnsi="仿宋" w:eastAsia="仿宋" w:cs="仿宋"/>
                <w:kern w:val="0"/>
                <w:sz w:val="24"/>
                <w:szCs w:val="24"/>
              </w:rPr>
              <w:t>0%）</w:t>
            </w:r>
          </w:p>
        </w:tc>
        <w:tc>
          <w:tcPr>
            <w:tcW w:w="3041" w:type="dxa"/>
            <w:gridSpan w:val="4"/>
            <w:tcBorders>
              <w:right w:val="single" w:color="000000" w:sz="4" w:space="0"/>
            </w:tcBorders>
            <w:noWrap w:val="0"/>
            <w:vAlign w:val="center"/>
          </w:tcPr>
          <w:p w14:paraId="539B2A94">
            <w:pPr>
              <w:pStyle w:val="19"/>
              <w:keepNext w:val="0"/>
              <w:keepLines w:val="0"/>
              <w:pageBreakBefore w:val="0"/>
              <w:widowControl/>
              <w:suppressLineNumbers w:val="0"/>
              <w:kinsoku/>
              <w:overflowPunct/>
              <w:topLinePunct w:val="0"/>
              <w:bidi w:val="0"/>
              <w:spacing w:line="240" w:lineRule="auto"/>
              <w:rPr>
                <w:rFonts w:hint="eastAsia" w:ascii="仿宋" w:hAnsi="仿宋" w:eastAsia="仿宋" w:cs="仿宋"/>
                <w:kern w:val="0"/>
                <w:sz w:val="24"/>
                <w:szCs w:val="24"/>
                <w:lang w:eastAsia="zh-CN"/>
              </w:rPr>
            </w:pPr>
            <w:r>
              <w:rPr>
                <w:rFonts w:hAnsi="仿宋" w:eastAsia="仿宋"/>
                <w:sz w:val="22"/>
                <w:szCs w:val="22"/>
                <w:lang w:val="en-US"/>
              </w:rPr>
              <w:t>能</w:t>
            </w:r>
            <w:r>
              <w:rPr>
                <w:rFonts w:ascii="Times New Roman" w:hAnsi="仿宋" w:eastAsia="仿宋" w:cs="Times New Roman"/>
                <w:kern w:val="2"/>
                <w:sz w:val="22"/>
                <w:szCs w:val="22"/>
                <w:lang w:val="en-US" w:eastAsia="zh-CN" w:bidi="ar-SA"/>
              </w:rPr>
              <w:t>够扎实掌握乐器演奏基础的教学方法，教学规律；能够发挥自身的长处、特征，有规律、有计划的进行学习，并形成总结出适合自己</w:t>
            </w:r>
            <w:r>
              <w:rPr>
                <w:rFonts w:hAnsi="仿宋" w:eastAsia="仿宋"/>
                <w:sz w:val="22"/>
                <w:szCs w:val="22"/>
                <w:lang w:val="en-US"/>
              </w:rPr>
              <w:t>的经验</w:t>
            </w:r>
            <w:r>
              <w:rPr>
                <w:rFonts w:hint="eastAsia" w:hAnsi="仿宋" w:eastAsia="仿宋"/>
                <w:sz w:val="22"/>
                <w:szCs w:val="22"/>
                <w:lang w:val="en-US" w:eastAsia="zh-CN"/>
              </w:rPr>
              <w:t>。</w:t>
            </w:r>
          </w:p>
        </w:tc>
        <w:tc>
          <w:tcPr>
            <w:tcW w:w="964" w:type="dxa"/>
            <w:gridSpan w:val="2"/>
            <w:tcBorders>
              <w:left w:val="single" w:color="000000" w:sz="4" w:space="0"/>
              <w:right w:val="single" w:color="000000" w:sz="4" w:space="0"/>
            </w:tcBorders>
            <w:noWrap w:val="0"/>
            <w:vAlign w:val="center"/>
          </w:tcPr>
          <w:p w14:paraId="7E5CB706">
            <w:pPr>
              <w:pageBreakBefore w:val="0"/>
              <w:kinsoku/>
              <w:overflowPunct/>
              <w:topLinePunct w:val="0"/>
              <w:bidi w:val="0"/>
              <w:adjustRightInd w:val="0"/>
              <w:snapToGrid w:val="0"/>
              <w:spacing w:line="240"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6</w:t>
            </w:r>
          </w:p>
        </w:tc>
        <w:tc>
          <w:tcPr>
            <w:tcW w:w="964" w:type="dxa"/>
            <w:gridSpan w:val="2"/>
            <w:tcBorders>
              <w:left w:val="single" w:color="000000" w:sz="4" w:space="0"/>
              <w:bottom w:val="single" w:color="000000" w:sz="4" w:space="0"/>
            </w:tcBorders>
            <w:noWrap w:val="0"/>
            <w:vAlign w:val="center"/>
          </w:tcPr>
          <w:p w14:paraId="17F7C594">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10</w:t>
            </w:r>
          </w:p>
        </w:tc>
        <w:tc>
          <w:tcPr>
            <w:tcW w:w="1009" w:type="dxa"/>
            <w:gridSpan w:val="4"/>
            <w:tcBorders>
              <w:bottom w:val="single" w:color="000000" w:sz="4" w:space="0"/>
              <w:right w:val="single" w:color="000000" w:sz="4" w:space="0"/>
            </w:tcBorders>
            <w:noWrap w:val="0"/>
            <w:vAlign w:val="center"/>
          </w:tcPr>
          <w:p w14:paraId="2B8119BA">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color w:val="000000"/>
                <w:kern w:val="0"/>
                <w:sz w:val="24"/>
                <w:szCs w:val="24"/>
                <w:lang w:val="en-US" w:eastAsia="zh-CN"/>
              </w:rPr>
            </w:pPr>
            <w:r>
              <w:rPr>
                <w:rFonts w:hint="default" w:ascii="仿宋" w:hAnsi="仿宋" w:eastAsia="仿宋" w:cs="仿宋"/>
                <w:color w:val="000000"/>
                <w:kern w:val="0"/>
                <w:sz w:val="24"/>
                <w:szCs w:val="24"/>
              </w:rPr>
              <w:t>1</w:t>
            </w:r>
            <w:r>
              <w:rPr>
                <w:rFonts w:hint="eastAsia" w:ascii="仿宋" w:hAnsi="仿宋" w:eastAsia="仿宋" w:cs="仿宋"/>
                <w:color w:val="000000"/>
                <w:kern w:val="0"/>
                <w:sz w:val="24"/>
                <w:szCs w:val="24"/>
                <w:lang w:val="en-US" w:eastAsia="zh-CN"/>
              </w:rPr>
              <w:t>4</w:t>
            </w:r>
          </w:p>
        </w:tc>
        <w:tc>
          <w:tcPr>
            <w:tcW w:w="601" w:type="dxa"/>
            <w:tcBorders>
              <w:left w:val="single" w:color="000000" w:sz="4" w:space="0"/>
              <w:bottom w:val="single" w:color="000000" w:sz="4" w:space="0"/>
            </w:tcBorders>
            <w:noWrap w:val="0"/>
            <w:vAlign w:val="center"/>
          </w:tcPr>
          <w:p w14:paraId="35DDAB45">
            <w:pPr>
              <w:pageBreakBefore w:val="0"/>
              <w:tabs>
                <w:tab w:val="left" w:pos="720"/>
              </w:tabs>
              <w:kinsoku/>
              <w:overflowPunct/>
              <w:topLinePunct w:val="0"/>
              <w:bidi w:val="0"/>
              <w:adjustRightInd w:val="0"/>
              <w:snapToGrid w:val="0"/>
              <w:spacing w:line="240" w:lineRule="auto"/>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0.7</w:t>
            </w:r>
          </w:p>
        </w:tc>
      </w:tr>
      <w:tr w14:paraId="17761CE5">
        <w:trPr>
          <w:trHeight w:val="624" w:hRule="atLeast"/>
          <w:jc w:val="center"/>
        </w:trPr>
        <w:tc>
          <w:tcPr>
            <w:tcW w:w="1284" w:type="dxa"/>
            <w:vMerge w:val="continue"/>
            <w:noWrap w:val="0"/>
            <w:vAlign w:val="center"/>
          </w:tcPr>
          <w:p w14:paraId="63F59CBC">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lang w:eastAsia="zh-TW"/>
              </w:rPr>
            </w:pPr>
          </w:p>
        </w:tc>
        <w:tc>
          <w:tcPr>
            <w:tcW w:w="1285" w:type="dxa"/>
            <w:gridSpan w:val="2"/>
            <w:tcBorders>
              <w:bottom w:val="single" w:color="auto" w:sz="4" w:space="0"/>
            </w:tcBorders>
            <w:noWrap w:val="0"/>
            <w:vAlign w:val="center"/>
          </w:tcPr>
          <w:p w14:paraId="6497F3F1">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kern w:val="0"/>
                <w:sz w:val="24"/>
                <w:szCs w:val="24"/>
              </w:rPr>
              <w:t>课程目标3（</w:t>
            </w:r>
            <w:r>
              <w:rPr>
                <w:rFonts w:hint="eastAsia" w:ascii="仿宋" w:hAnsi="仿宋" w:eastAsia="仿宋" w:cs="仿宋"/>
                <w:kern w:val="0"/>
                <w:sz w:val="24"/>
                <w:szCs w:val="24"/>
                <w:lang w:val="en-US" w:eastAsia="zh-CN"/>
              </w:rPr>
              <w:t>20</w:t>
            </w:r>
            <w:r>
              <w:rPr>
                <w:rFonts w:hint="eastAsia" w:ascii="仿宋" w:hAnsi="仿宋" w:eastAsia="仿宋" w:cs="仿宋"/>
                <w:kern w:val="0"/>
                <w:sz w:val="24"/>
                <w:szCs w:val="24"/>
              </w:rPr>
              <w:t>%）</w:t>
            </w:r>
          </w:p>
        </w:tc>
        <w:tc>
          <w:tcPr>
            <w:tcW w:w="3041" w:type="dxa"/>
            <w:gridSpan w:val="4"/>
            <w:tcBorders>
              <w:bottom w:val="single" w:color="auto" w:sz="4" w:space="0"/>
              <w:right w:val="single" w:color="000000" w:sz="4" w:space="0"/>
            </w:tcBorders>
            <w:noWrap w:val="0"/>
            <w:vAlign w:val="center"/>
          </w:tcPr>
          <w:p w14:paraId="237D6F53">
            <w:pPr>
              <w:pageBreakBefore w:val="0"/>
              <w:kinsoku/>
              <w:overflowPunct/>
              <w:topLinePunct w:val="0"/>
              <w:bidi w:val="0"/>
              <w:adjustRightInd w:val="0"/>
              <w:snapToGrid w:val="0"/>
              <w:spacing w:line="240" w:lineRule="auto"/>
              <w:rPr>
                <w:rFonts w:hint="eastAsia" w:ascii="仿宋" w:hAnsi="仿宋" w:eastAsia="仿宋" w:cs="仿宋"/>
                <w:kern w:val="0"/>
                <w:sz w:val="24"/>
                <w:szCs w:val="24"/>
              </w:rPr>
            </w:pPr>
            <w:r>
              <w:rPr>
                <w:rFonts w:hAnsi="仿宋" w:eastAsia="仿宋"/>
                <w:sz w:val="22"/>
                <w:szCs w:val="22"/>
                <w:lang w:val="en-US"/>
              </w:rPr>
              <w:t>具备团队协作的能力</w:t>
            </w:r>
            <w:r>
              <w:rPr>
                <w:sz w:val="22"/>
                <w:szCs w:val="22"/>
                <w:lang w:val="en-US"/>
              </w:rPr>
              <w:t>，</w:t>
            </w:r>
            <w:r>
              <w:rPr>
                <w:rFonts w:hAnsi="仿宋" w:eastAsia="仿宋"/>
                <w:sz w:val="22"/>
                <w:szCs w:val="22"/>
                <w:lang w:val="en-US"/>
              </w:rPr>
              <w:t>充分领会到在学习</w:t>
            </w:r>
            <w:r>
              <w:rPr>
                <w:sz w:val="22"/>
                <w:szCs w:val="22"/>
                <w:lang w:val="en-US"/>
              </w:rPr>
              <w:t>，</w:t>
            </w:r>
            <w:r>
              <w:rPr>
                <w:rFonts w:hAnsi="仿宋" w:eastAsia="仿宋"/>
                <w:sz w:val="22"/>
                <w:szCs w:val="22"/>
                <w:lang w:val="en-US"/>
              </w:rPr>
              <w:t>实践等活动中团队协作的意义</w:t>
            </w:r>
            <w:r>
              <w:rPr>
                <w:sz w:val="22"/>
                <w:szCs w:val="22"/>
                <w:lang w:val="en-US"/>
              </w:rPr>
              <w:t>，</w:t>
            </w:r>
            <w:r>
              <w:rPr>
                <w:rFonts w:hAnsi="仿宋" w:eastAsia="仿宋"/>
                <w:sz w:val="22"/>
                <w:szCs w:val="22"/>
                <w:lang w:val="en-US"/>
              </w:rPr>
              <w:t>具备在实践中开展实践活动的较强能力</w:t>
            </w:r>
          </w:p>
        </w:tc>
        <w:tc>
          <w:tcPr>
            <w:tcW w:w="964" w:type="dxa"/>
            <w:gridSpan w:val="2"/>
            <w:tcBorders>
              <w:left w:val="single" w:color="000000" w:sz="4" w:space="0"/>
              <w:bottom w:val="single" w:color="auto" w:sz="4" w:space="0"/>
              <w:right w:val="single" w:color="000000" w:sz="4" w:space="0"/>
            </w:tcBorders>
            <w:noWrap w:val="0"/>
            <w:vAlign w:val="center"/>
          </w:tcPr>
          <w:p w14:paraId="337AC431">
            <w:pPr>
              <w:pageBreakBefore w:val="0"/>
              <w:kinsoku/>
              <w:overflowPunct/>
              <w:topLinePunct w:val="0"/>
              <w:bidi w:val="0"/>
              <w:adjustRightInd w:val="0"/>
              <w:snapToGrid w:val="0"/>
              <w:spacing w:line="240"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4</w:t>
            </w:r>
          </w:p>
        </w:tc>
        <w:tc>
          <w:tcPr>
            <w:tcW w:w="964" w:type="dxa"/>
            <w:gridSpan w:val="2"/>
            <w:tcBorders>
              <w:top w:val="single" w:color="000000" w:sz="4" w:space="0"/>
              <w:left w:val="single" w:color="000000" w:sz="4" w:space="0"/>
              <w:bottom w:val="single" w:color="auto" w:sz="4" w:space="0"/>
            </w:tcBorders>
            <w:noWrap w:val="0"/>
            <w:vAlign w:val="center"/>
          </w:tcPr>
          <w:p w14:paraId="1DABF1F0">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12</w:t>
            </w:r>
          </w:p>
        </w:tc>
        <w:tc>
          <w:tcPr>
            <w:tcW w:w="1009" w:type="dxa"/>
            <w:gridSpan w:val="4"/>
            <w:tcBorders>
              <w:top w:val="single" w:color="000000" w:sz="4" w:space="0"/>
              <w:bottom w:val="single" w:color="auto" w:sz="4" w:space="0"/>
              <w:right w:val="single" w:color="000000" w:sz="4" w:space="0"/>
            </w:tcBorders>
            <w:noWrap w:val="0"/>
            <w:vAlign w:val="center"/>
          </w:tcPr>
          <w:p w14:paraId="19CD1F6A">
            <w:pPr>
              <w:pageBreakBefore w:val="0"/>
              <w:tabs>
                <w:tab w:val="left" w:pos="720"/>
              </w:tabs>
              <w:kinsoku/>
              <w:overflowPunct/>
              <w:topLinePunct w:val="0"/>
              <w:bidi w:val="0"/>
              <w:adjustRightInd w:val="0"/>
              <w:snapToGrid w:val="0"/>
              <w:spacing w:line="240" w:lineRule="auto"/>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4</w:t>
            </w:r>
          </w:p>
        </w:tc>
        <w:tc>
          <w:tcPr>
            <w:tcW w:w="601" w:type="dxa"/>
            <w:tcBorders>
              <w:top w:val="single" w:color="000000" w:sz="4" w:space="0"/>
              <w:left w:val="single" w:color="000000" w:sz="4" w:space="0"/>
              <w:bottom w:val="single" w:color="auto" w:sz="4" w:space="0"/>
            </w:tcBorders>
            <w:noWrap w:val="0"/>
            <w:vAlign w:val="center"/>
          </w:tcPr>
          <w:p w14:paraId="44580C09">
            <w:pPr>
              <w:pageBreakBefore w:val="0"/>
              <w:tabs>
                <w:tab w:val="left" w:pos="720"/>
              </w:tabs>
              <w:kinsoku/>
              <w:overflowPunct/>
              <w:topLinePunct w:val="0"/>
              <w:bidi w:val="0"/>
              <w:adjustRightInd w:val="0"/>
              <w:snapToGrid w:val="0"/>
              <w:spacing w:line="240" w:lineRule="auto"/>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0.7</w:t>
            </w:r>
          </w:p>
        </w:tc>
      </w:tr>
      <w:tr w14:paraId="6CB74796">
        <w:trPr>
          <w:trHeight w:val="624" w:hRule="atLeast"/>
          <w:jc w:val="center"/>
        </w:trPr>
        <w:tc>
          <w:tcPr>
            <w:tcW w:w="1284" w:type="dxa"/>
            <w:vMerge w:val="continue"/>
            <w:noWrap w:val="0"/>
            <w:vAlign w:val="center"/>
          </w:tcPr>
          <w:p w14:paraId="004ED2F5">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lang w:eastAsia="zh-TW"/>
              </w:rPr>
            </w:pPr>
          </w:p>
        </w:tc>
        <w:tc>
          <w:tcPr>
            <w:tcW w:w="4326" w:type="dxa"/>
            <w:gridSpan w:val="6"/>
            <w:tcBorders>
              <w:bottom w:val="single" w:color="auto" w:sz="4" w:space="0"/>
              <w:right w:val="single" w:color="000000" w:sz="4" w:space="0"/>
            </w:tcBorders>
            <w:noWrap w:val="0"/>
            <w:vAlign w:val="center"/>
          </w:tcPr>
          <w:p w14:paraId="127710BF">
            <w:pPr>
              <w:pageBreakBefore w:val="0"/>
              <w:widowControl/>
              <w:kinsoku/>
              <w:overflowPunct/>
              <w:topLinePunct w:val="0"/>
              <w:autoSpaceDE w:val="0"/>
              <w:autoSpaceDN w:val="0"/>
              <w:bidi w:val="0"/>
              <w:adjustRightInd w:val="0"/>
              <w:snapToGrid w:val="0"/>
              <w:spacing w:line="240" w:lineRule="auto"/>
              <w:jc w:val="center"/>
              <w:textAlignment w:val="bottom"/>
              <w:rPr>
                <w:rFonts w:hint="eastAsia" w:ascii="仿宋" w:hAnsi="仿宋" w:eastAsia="仿宋" w:cs="仿宋"/>
                <w:sz w:val="24"/>
                <w:szCs w:val="24"/>
              </w:rPr>
            </w:pPr>
            <w:r>
              <w:rPr>
                <w:rFonts w:hint="eastAsia" w:ascii="仿宋" w:hAnsi="仿宋" w:eastAsia="仿宋" w:cs="仿宋"/>
                <w:sz w:val="24"/>
                <w:szCs w:val="24"/>
              </w:rPr>
              <w:t>总分</w:t>
            </w:r>
          </w:p>
        </w:tc>
        <w:tc>
          <w:tcPr>
            <w:tcW w:w="964" w:type="dxa"/>
            <w:gridSpan w:val="2"/>
            <w:tcBorders>
              <w:left w:val="single" w:color="000000" w:sz="4" w:space="0"/>
              <w:bottom w:val="single" w:color="auto" w:sz="4" w:space="0"/>
              <w:right w:val="single" w:color="000000" w:sz="4" w:space="0"/>
            </w:tcBorders>
            <w:noWrap w:val="0"/>
            <w:vAlign w:val="center"/>
          </w:tcPr>
          <w:p w14:paraId="1D1548EE">
            <w:pPr>
              <w:pageBreakBefore w:val="0"/>
              <w:kinsoku/>
              <w:overflowPunct/>
              <w:topLinePunct w:val="0"/>
              <w:bidi w:val="0"/>
              <w:adjustRightInd w:val="0"/>
              <w:snapToGrid w:val="0"/>
              <w:spacing w:line="240" w:lineRule="auto"/>
              <w:jc w:val="center"/>
              <w:rPr>
                <w:rFonts w:hint="eastAsia" w:ascii="仿宋" w:hAnsi="仿宋" w:eastAsia="仿宋" w:cs="仿宋"/>
                <w:kern w:val="0"/>
                <w:sz w:val="24"/>
                <w:szCs w:val="24"/>
              </w:rPr>
            </w:pPr>
            <w:r>
              <w:rPr>
                <w:rFonts w:hint="default" w:ascii="仿宋" w:hAnsi="仿宋" w:eastAsia="仿宋" w:cs="仿宋"/>
                <w:kern w:val="0"/>
                <w:sz w:val="24"/>
                <w:szCs w:val="24"/>
                <w:lang w:eastAsia="zh-CN"/>
              </w:rPr>
              <w:t>20</w:t>
            </w:r>
          </w:p>
        </w:tc>
        <w:tc>
          <w:tcPr>
            <w:tcW w:w="964" w:type="dxa"/>
            <w:gridSpan w:val="2"/>
            <w:tcBorders>
              <w:top w:val="single" w:color="000000" w:sz="4" w:space="0"/>
              <w:left w:val="single" w:color="000000" w:sz="4" w:space="0"/>
              <w:bottom w:val="single" w:color="auto" w:sz="4" w:space="0"/>
            </w:tcBorders>
            <w:noWrap w:val="0"/>
            <w:vAlign w:val="center"/>
          </w:tcPr>
          <w:p w14:paraId="11FF0F7C">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kern w:val="0"/>
                <w:sz w:val="24"/>
                <w:szCs w:val="24"/>
              </w:rPr>
            </w:pPr>
            <w:r>
              <w:rPr>
                <w:rFonts w:hint="default" w:ascii="仿宋" w:hAnsi="仿宋" w:eastAsia="仿宋" w:cs="仿宋"/>
                <w:kern w:val="0"/>
                <w:sz w:val="24"/>
                <w:szCs w:val="24"/>
              </w:rPr>
              <w:t>40</w:t>
            </w:r>
          </w:p>
        </w:tc>
        <w:tc>
          <w:tcPr>
            <w:tcW w:w="1009" w:type="dxa"/>
            <w:gridSpan w:val="4"/>
            <w:tcBorders>
              <w:top w:val="single" w:color="000000" w:sz="4" w:space="0"/>
              <w:bottom w:val="single" w:color="auto" w:sz="4" w:space="0"/>
              <w:right w:val="single" w:color="000000" w:sz="4" w:space="0"/>
            </w:tcBorders>
            <w:noWrap w:val="0"/>
            <w:vAlign w:val="center"/>
          </w:tcPr>
          <w:p w14:paraId="632FBEF6">
            <w:pPr>
              <w:pageBreakBefore w:val="0"/>
              <w:tabs>
                <w:tab w:val="left" w:pos="720"/>
              </w:tabs>
              <w:kinsoku/>
              <w:overflowPunct/>
              <w:topLinePunct w:val="0"/>
              <w:bidi w:val="0"/>
              <w:adjustRightInd w:val="0"/>
              <w:snapToGrid w:val="0"/>
              <w:spacing w:line="240" w:lineRule="auto"/>
              <w:jc w:val="center"/>
              <w:rPr>
                <w:rFonts w:hint="default" w:ascii="仿宋" w:hAnsi="仿宋" w:eastAsia="仿宋" w:cs="仿宋"/>
                <w:kern w:val="0"/>
                <w:sz w:val="24"/>
                <w:szCs w:val="24"/>
              </w:rPr>
            </w:pPr>
            <w:r>
              <w:rPr>
                <w:rFonts w:hint="default" w:ascii="仿宋" w:hAnsi="仿宋" w:eastAsia="仿宋" w:cs="仿宋"/>
                <w:kern w:val="0"/>
                <w:sz w:val="24"/>
                <w:szCs w:val="24"/>
              </w:rPr>
              <w:t>40</w:t>
            </w:r>
          </w:p>
        </w:tc>
        <w:tc>
          <w:tcPr>
            <w:tcW w:w="601" w:type="dxa"/>
            <w:tcBorders>
              <w:top w:val="single" w:color="000000" w:sz="4" w:space="0"/>
              <w:left w:val="single" w:color="000000" w:sz="4" w:space="0"/>
              <w:bottom w:val="single" w:color="auto" w:sz="4" w:space="0"/>
            </w:tcBorders>
            <w:noWrap w:val="0"/>
            <w:vAlign w:val="center"/>
          </w:tcPr>
          <w:p w14:paraId="78D18F28">
            <w:pPr>
              <w:pageBreakBefore w:val="0"/>
              <w:tabs>
                <w:tab w:val="left" w:pos="720"/>
              </w:tabs>
              <w:kinsoku/>
              <w:overflowPunct/>
              <w:topLinePunct w:val="0"/>
              <w:bidi w:val="0"/>
              <w:adjustRightInd w:val="0"/>
              <w:snapToGrid w:val="0"/>
              <w:spacing w:line="240" w:lineRule="auto"/>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0.7</w:t>
            </w:r>
          </w:p>
        </w:tc>
      </w:tr>
      <w:tr w14:paraId="69E78080">
        <w:trPr>
          <w:trHeight w:val="624" w:hRule="atLeast"/>
          <w:jc w:val="center"/>
        </w:trPr>
        <w:tc>
          <w:tcPr>
            <w:tcW w:w="1284" w:type="dxa"/>
            <w:noWrap w:val="0"/>
            <w:vAlign w:val="center"/>
          </w:tcPr>
          <w:p w14:paraId="44CC1DB2">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L</w:t>
            </w:r>
          </w:p>
          <w:p w14:paraId="0224B45C">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学习建议</w:t>
            </w:r>
          </w:p>
        </w:tc>
        <w:tc>
          <w:tcPr>
            <w:tcW w:w="7864" w:type="dxa"/>
            <w:gridSpan w:val="15"/>
            <w:tcBorders>
              <w:bottom w:val="single" w:color="auto" w:sz="4" w:space="0"/>
            </w:tcBorders>
            <w:noWrap w:val="0"/>
            <w:vAlign w:val="center"/>
          </w:tcPr>
          <w:p w14:paraId="2302AAC3">
            <w:pPr>
              <w:pageBreakBefore w:val="0"/>
              <w:kinsoku/>
              <w:overflowPunct/>
              <w:topLinePunct w:val="0"/>
              <w:bidi w:val="0"/>
              <w:adjustRightInd w:val="0"/>
              <w:snapToGrid w:val="0"/>
              <w:spacing w:line="240" w:lineRule="auto"/>
              <w:rPr>
                <w:rFonts w:hint="default" w:ascii="仿宋" w:hAnsi="仿宋" w:eastAsia="仿宋" w:cs="仿宋"/>
                <w:bCs/>
                <w:sz w:val="24"/>
                <w:szCs w:val="24"/>
                <w:lang w:val="en-US" w:eastAsia="zh-CN"/>
              </w:rPr>
            </w:pPr>
            <w:r>
              <w:rPr>
                <w:rFonts w:hint="eastAsia" w:ascii="仿宋" w:hAnsi="仿宋" w:eastAsia="仿宋" w:cs="仿宋"/>
                <w:bCs/>
                <w:sz w:val="24"/>
                <w:szCs w:val="24"/>
              </w:rPr>
              <w:t>1.自主学习。建议学生通过预习教材，并通过网络、图书馆自主查阅课程中涉及的学习资源，独立规划自己的课程学习计划，充分发挥自身的学习能动性。</w:t>
            </w:r>
          </w:p>
          <w:p w14:paraId="13C95D97">
            <w:pPr>
              <w:pageBreakBefore w:val="0"/>
              <w:kinsoku/>
              <w:overflowPunct/>
              <w:topLinePunct w:val="0"/>
              <w:bidi w:val="0"/>
              <w:adjustRightInd w:val="0"/>
              <w:snapToGrid w:val="0"/>
              <w:spacing w:line="240" w:lineRule="auto"/>
              <w:rPr>
                <w:rFonts w:hint="eastAsia" w:ascii="仿宋" w:hAnsi="仿宋" w:eastAsia="仿宋" w:cs="仿宋"/>
                <w:kern w:val="0"/>
                <w:sz w:val="24"/>
                <w:szCs w:val="24"/>
              </w:rPr>
            </w:pPr>
            <w:r>
              <w:rPr>
                <w:rFonts w:hint="eastAsia" w:ascii="仿宋" w:hAnsi="仿宋" w:eastAsia="仿宋" w:cs="仿宋"/>
                <w:bCs/>
                <w:sz w:val="24"/>
                <w:szCs w:val="24"/>
              </w:rPr>
              <w:t>2.研究性学习。鼓励学生针对课程教学内容，尝试实践课结合专题报告的教学方式，开展相关的乐器专题讲座，提高学生的学习兴趣，了解国内外</w:t>
            </w:r>
            <w:r>
              <w:rPr>
                <w:rFonts w:hint="eastAsia" w:ascii="仿宋" w:hAnsi="仿宋" w:eastAsia="仿宋" w:cs="仿宋"/>
                <w:bCs/>
                <w:sz w:val="24"/>
                <w:szCs w:val="24"/>
                <w:lang w:val="en-US" w:eastAsia="zh-CN"/>
              </w:rPr>
              <w:t>器乐</w:t>
            </w:r>
            <w:r>
              <w:rPr>
                <w:rFonts w:hint="eastAsia" w:ascii="仿宋" w:hAnsi="仿宋" w:eastAsia="仿宋" w:cs="仿宋"/>
                <w:bCs/>
                <w:sz w:val="24"/>
                <w:szCs w:val="24"/>
              </w:rPr>
              <w:t>演奏发展动态，开阔学生的视野。</w:t>
            </w:r>
          </w:p>
        </w:tc>
      </w:tr>
      <w:tr w14:paraId="2359BEE2">
        <w:trPr>
          <w:trHeight w:val="624" w:hRule="atLeast"/>
          <w:jc w:val="center"/>
        </w:trPr>
        <w:tc>
          <w:tcPr>
            <w:tcW w:w="1284" w:type="dxa"/>
            <w:noWrap w:val="0"/>
            <w:vAlign w:val="center"/>
          </w:tcPr>
          <w:p w14:paraId="6FE620D0">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M</w:t>
            </w:r>
          </w:p>
          <w:p w14:paraId="7BBFD636">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评分量表</w:t>
            </w:r>
          </w:p>
        </w:tc>
        <w:tc>
          <w:tcPr>
            <w:tcW w:w="7864" w:type="dxa"/>
            <w:gridSpan w:val="15"/>
            <w:noWrap w:val="0"/>
            <w:vAlign w:val="center"/>
          </w:tcPr>
          <w:p w14:paraId="3EF8B1B6">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rPr>
            </w:pPr>
            <w:r>
              <w:rPr>
                <w:rFonts w:hint="eastAsia" w:ascii="仿宋" w:hAnsi="仿宋" w:eastAsia="仿宋" w:cs="仿宋"/>
                <w:kern w:val="0"/>
                <w:sz w:val="24"/>
                <w:szCs w:val="24"/>
              </w:rPr>
              <w:t>《</w:t>
            </w:r>
            <w:r>
              <w:rPr>
                <w:rFonts w:hint="eastAsia" w:ascii="仿宋" w:hAnsi="仿宋" w:eastAsia="仿宋" w:cs="仿宋"/>
                <w:bCs/>
                <w:sz w:val="24"/>
                <w:szCs w:val="24"/>
              </w:rPr>
              <w:t>乐器演奏基础</w:t>
            </w:r>
            <w:r>
              <w:rPr>
                <w:rFonts w:hint="eastAsia" w:ascii="仿宋" w:hAnsi="仿宋" w:eastAsia="仿宋" w:cs="仿宋"/>
                <w:kern w:val="0"/>
                <w:sz w:val="24"/>
                <w:szCs w:val="24"/>
              </w:rPr>
              <w:t>》课</w:t>
            </w:r>
            <w:r>
              <w:rPr>
                <w:rFonts w:hint="eastAsia" w:ascii="仿宋" w:hAnsi="仿宋" w:eastAsia="仿宋" w:cs="仿宋"/>
                <w:color w:val="000000"/>
                <w:kern w:val="0"/>
                <w:sz w:val="24"/>
                <w:szCs w:val="24"/>
              </w:rPr>
              <w:t>程目标评分量表见附表。</w:t>
            </w:r>
          </w:p>
        </w:tc>
      </w:tr>
      <w:tr w14:paraId="7FA687E8">
        <w:trPr>
          <w:trHeight w:val="624" w:hRule="atLeast"/>
          <w:jc w:val="center"/>
        </w:trPr>
        <w:tc>
          <w:tcPr>
            <w:tcW w:w="1284" w:type="dxa"/>
            <w:noWrap w:val="0"/>
            <w:vAlign w:val="center"/>
          </w:tcPr>
          <w:p w14:paraId="449DA0B3">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备注</w:t>
            </w:r>
          </w:p>
        </w:tc>
        <w:tc>
          <w:tcPr>
            <w:tcW w:w="7864" w:type="dxa"/>
            <w:gridSpan w:val="15"/>
            <w:noWrap w:val="0"/>
            <w:vAlign w:val="center"/>
          </w:tcPr>
          <w:p w14:paraId="0F67C8A1">
            <w:pPr>
              <w:pageBreakBefore w:val="0"/>
              <w:kinsoku/>
              <w:overflowPunct/>
              <w:topLinePunct w:val="0"/>
              <w:bidi w:val="0"/>
              <w:adjustRightInd w:val="0"/>
              <w:snapToGrid w:val="0"/>
              <w:spacing w:line="240" w:lineRule="auto"/>
              <w:rPr>
                <w:rFonts w:hint="eastAsia" w:ascii="仿宋" w:hAnsi="仿宋" w:eastAsia="仿宋" w:cs="仿宋"/>
                <w:color w:val="000000"/>
                <w:kern w:val="0"/>
                <w:sz w:val="24"/>
                <w:szCs w:val="24"/>
              </w:rPr>
            </w:pPr>
            <w:r>
              <w:rPr>
                <w:rFonts w:hint="eastAsia" w:ascii="仿宋" w:hAnsi="仿宋" w:eastAsia="仿宋" w:cs="仿宋"/>
                <w:color w:val="000000"/>
                <w:sz w:val="24"/>
                <w:szCs w:val="24"/>
              </w:rPr>
              <w:t>课程大纲A—M项由开课学院审批通过，任课教师不能自行更改。</w:t>
            </w:r>
          </w:p>
        </w:tc>
      </w:tr>
      <w:tr w14:paraId="0F1E800F">
        <w:trPr>
          <w:trHeight w:val="624" w:hRule="atLeast"/>
          <w:jc w:val="center"/>
        </w:trPr>
        <w:tc>
          <w:tcPr>
            <w:tcW w:w="1284" w:type="dxa"/>
            <w:noWrap w:val="0"/>
            <w:vAlign w:val="center"/>
          </w:tcPr>
          <w:p w14:paraId="581307B9">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审批</w:t>
            </w:r>
          </w:p>
          <w:p w14:paraId="28171477">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意见</w:t>
            </w:r>
          </w:p>
        </w:tc>
        <w:tc>
          <w:tcPr>
            <w:tcW w:w="3911" w:type="dxa"/>
            <w:gridSpan w:val="5"/>
            <w:noWrap w:val="0"/>
            <w:vAlign w:val="center"/>
          </w:tcPr>
          <w:p w14:paraId="28384942">
            <w:pPr>
              <w:pageBreakBefore w:val="0"/>
              <w:widowControl/>
              <w:kinsoku/>
              <w:overflowPunct/>
              <w:topLinePunct w:val="0"/>
              <w:bidi w:val="0"/>
              <w:adjustRightInd w:val="0"/>
              <w:snapToGrid w:val="0"/>
              <w:spacing w:line="240" w:lineRule="auto"/>
              <w:jc w:val="left"/>
              <w:rPr>
                <w:rFonts w:hint="eastAsia" w:ascii="仿宋" w:hAnsi="仿宋" w:eastAsia="仿宋" w:cs="仿宋"/>
                <w:kern w:val="0"/>
                <w:sz w:val="24"/>
                <w:szCs w:val="24"/>
              </w:rPr>
            </w:pPr>
            <w:r>
              <w:rPr>
                <w:rFonts w:hint="eastAsia" w:ascii="仿宋" w:hAnsi="仿宋" w:eastAsia="仿宋" w:cs="仿宋"/>
                <w:kern w:val="0"/>
                <w:sz w:val="24"/>
                <w:szCs w:val="24"/>
              </w:rPr>
              <w:t>课程教学大纲修订负责人及教学团队成员</w:t>
            </w:r>
            <w:r>
              <w:rPr>
                <w:rFonts w:hint="eastAsia" w:ascii="仿宋" w:hAnsi="仿宋" w:eastAsia="仿宋" w:cs="仿宋"/>
                <w:color w:val="000000"/>
                <w:sz w:val="24"/>
                <w:szCs w:val="24"/>
              </w:rPr>
              <w:t>签名</w:t>
            </w:r>
            <w:r>
              <w:rPr>
                <w:rFonts w:hint="eastAsia" w:ascii="仿宋" w:hAnsi="仿宋" w:eastAsia="仿宋" w:cs="仿宋"/>
                <w:kern w:val="0"/>
                <w:sz w:val="24"/>
                <w:szCs w:val="24"/>
              </w:rPr>
              <w:t xml:space="preserve">：   </w:t>
            </w:r>
          </w:p>
          <w:p w14:paraId="16D05B55">
            <w:pPr>
              <w:pageBreakBefore w:val="0"/>
              <w:widowControl/>
              <w:kinsoku/>
              <w:overflowPunct/>
              <w:topLinePunct w:val="0"/>
              <w:bidi w:val="0"/>
              <w:adjustRightInd w:val="0"/>
              <w:snapToGrid w:val="0"/>
              <w:spacing w:line="240" w:lineRule="auto"/>
              <w:jc w:val="left"/>
              <w:rPr>
                <w:rFonts w:hint="eastAsia" w:ascii="仿宋" w:hAnsi="仿宋" w:eastAsia="仿宋" w:cs="仿宋"/>
                <w:kern w:val="0"/>
                <w:sz w:val="24"/>
                <w:szCs w:val="24"/>
              </w:rPr>
            </w:pPr>
            <w:r>
              <w:drawing>
                <wp:inline distT="0" distB="0" distL="114300" distR="114300">
                  <wp:extent cx="904875" cy="447675"/>
                  <wp:effectExtent l="0" t="0" r="9525" b="9525"/>
                  <wp:docPr id="5"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9"/>
                          <pic:cNvPicPr>
                            <a:picLocks noChangeAspect="1"/>
                          </pic:cNvPicPr>
                        </pic:nvPicPr>
                        <pic:blipFill>
                          <a:blip r:embed="rId147"/>
                          <a:stretch>
                            <a:fillRect/>
                          </a:stretch>
                        </pic:blipFill>
                        <pic:spPr>
                          <a:xfrm>
                            <a:off x="0" y="0"/>
                            <a:ext cx="904875" cy="447675"/>
                          </a:xfrm>
                          <a:prstGeom prst="rect">
                            <a:avLst/>
                          </a:prstGeom>
                          <a:noFill/>
                          <a:ln>
                            <a:noFill/>
                          </a:ln>
                        </pic:spPr>
                      </pic:pic>
                    </a:graphicData>
                  </a:graphic>
                </wp:inline>
              </w:drawing>
            </w:r>
          </w:p>
          <w:p w14:paraId="0B399152">
            <w:pPr>
              <w:pageBreakBefore w:val="0"/>
              <w:widowControl/>
              <w:kinsoku/>
              <w:overflowPunct/>
              <w:topLinePunct w:val="0"/>
              <w:bidi w:val="0"/>
              <w:adjustRightInd w:val="0"/>
              <w:snapToGrid w:val="0"/>
              <w:spacing w:line="240" w:lineRule="auto"/>
              <w:jc w:val="left"/>
              <w:rPr>
                <w:rFonts w:hint="eastAsia" w:ascii="仿宋" w:hAnsi="仿宋" w:eastAsia="仿宋" w:cs="仿宋"/>
                <w:kern w:val="0"/>
                <w:sz w:val="24"/>
                <w:szCs w:val="24"/>
              </w:rPr>
            </w:pPr>
          </w:p>
          <w:p w14:paraId="53A4A5A0">
            <w:pPr>
              <w:pageBreakBefore w:val="0"/>
              <w:widowControl/>
              <w:kinsoku/>
              <w:overflowPunct/>
              <w:topLinePunct w:val="0"/>
              <w:bidi w:val="0"/>
              <w:adjustRightInd w:val="0"/>
              <w:snapToGrid w:val="0"/>
              <w:spacing w:line="240" w:lineRule="auto"/>
              <w:jc w:val="right"/>
              <w:rPr>
                <w:rFonts w:hint="eastAsia" w:ascii="仿宋" w:hAnsi="仿宋" w:eastAsia="仿宋" w:cs="仿宋"/>
                <w:kern w:val="0"/>
                <w:sz w:val="24"/>
                <w:szCs w:val="24"/>
              </w:rPr>
            </w:pPr>
            <w:r>
              <w:rPr>
                <w:rFonts w:hint="eastAsia" w:ascii="仿宋" w:hAnsi="仿宋" w:eastAsia="仿宋" w:cs="仿宋"/>
                <w:kern w:val="0"/>
                <w:sz w:val="24"/>
                <w:szCs w:val="24"/>
              </w:rPr>
              <w:t xml:space="preserve">                                                   年   月   日 </w:t>
            </w:r>
          </w:p>
          <w:p w14:paraId="395FF594">
            <w:pPr>
              <w:pageBreakBefore w:val="0"/>
              <w:widowControl/>
              <w:kinsoku/>
              <w:overflowPunct/>
              <w:topLinePunct w:val="0"/>
              <w:bidi w:val="0"/>
              <w:adjustRightInd w:val="0"/>
              <w:snapToGrid w:val="0"/>
              <w:spacing w:line="240" w:lineRule="auto"/>
              <w:jc w:val="right"/>
              <w:rPr>
                <w:rFonts w:hint="eastAsia" w:ascii="仿宋" w:hAnsi="仿宋" w:eastAsia="仿宋" w:cs="仿宋"/>
                <w:kern w:val="0"/>
                <w:sz w:val="24"/>
                <w:szCs w:val="24"/>
              </w:rPr>
            </w:pPr>
          </w:p>
        </w:tc>
        <w:tc>
          <w:tcPr>
            <w:tcW w:w="3953" w:type="dxa"/>
            <w:gridSpan w:val="10"/>
            <w:noWrap w:val="0"/>
            <w:vAlign w:val="center"/>
          </w:tcPr>
          <w:p w14:paraId="3022C630">
            <w:pPr>
              <w:pageBreakBefore w:val="0"/>
              <w:widowControl/>
              <w:kinsoku/>
              <w:overflowPunct/>
              <w:topLinePunct w:val="0"/>
              <w:bidi w:val="0"/>
              <w:adjustRightInd w:val="0"/>
              <w:snapToGrid w:val="0"/>
              <w:spacing w:line="240" w:lineRule="auto"/>
              <w:jc w:val="left"/>
              <w:rPr>
                <w:rFonts w:hint="eastAsia" w:ascii="仿宋" w:hAnsi="仿宋" w:eastAsia="仿宋" w:cs="仿宋"/>
                <w:kern w:val="0"/>
                <w:sz w:val="24"/>
                <w:szCs w:val="24"/>
              </w:rPr>
            </w:pPr>
            <w:r>
              <w:rPr>
                <w:rFonts w:hint="eastAsia" w:ascii="仿宋" w:hAnsi="仿宋" w:eastAsia="仿宋" w:cs="仿宋"/>
                <w:kern w:val="0"/>
                <w:sz w:val="24"/>
                <w:szCs w:val="24"/>
              </w:rPr>
              <w:t>系主任审核意见：</w:t>
            </w:r>
            <w:r>
              <w:rPr>
                <w:rFonts w:hint="eastAsia" w:ascii="仿宋" w:hAnsi="仿宋" w:eastAsia="仿宋" w:cs="仿宋"/>
                <w:kern w:val="0"/>
                <w:sz w:val="24"/>
                <w:szCs w:val="24"/>
                <w:lang w:val="en-US" w:eastAsia="zh-Hans"/>
              </w:rPr>
              <w:t>同意</w:t>
            </w:r>
          </w:p>
          <w:p w14:paraId="4F9AE878">
            <w:pPr>
              <w:pageBreakBefore w:val="0"/>
              <w:widowControl/>
              <w:kinsoku/>
              <w:overflowPunct/>
              <w:topLinePunct w:val="0"/>
              <w:bidi w:val="0"/>
              <w:adjustRightInd w:val="0"/>
              <w:snapToGrid w:val="0"/>
              <w:spacing w:line="240" w:lineRule="auto"/>
              <w:jc w:val="left"/>
              <w:rPr>
                <w:rFonts w:hint="eastAsia" w:ascii="仿宋" w:hAnsi="仿宋" w:eastAsia="仿宋" w:cs="仿宋"/>
                <w:kern w:val="0"/>
                <w:sz w:val="24"/>
                <w:szCs w:val="24"/>
              </w:rPr>
            </w:pPr>
          </w:p>
          <w:p w14:paraId="1475BE1A">
            <w:pPr>
              <w:pageBreakBefore w:val="0"/>
              <w:widowControl/>
              <w:kinsoku/>
              <w:overflowPunct/>
              <w:topLinePunct w:val="0"/>
              <w:bidi w:val="0"/>
              <w:adjustRightInd w:val="0"/>
              <w:snapToGrid w:val="0"/>
              <w:spacing w:line="240" w:lineRule="auto"/>
              <w:jc w:val="left"/>
              <w:rPr>
                <w:rFonts w:hint="eastAsia" w:ascii="仿宋" w:hAnsi="仿宋" w:eastAsia="仿宋" w:cs="仿宋"/>
                <w:kern w:val="0"/>
                <w:sz w:val="24"/>
                <w:szCs w:val="24"/>
              </w:rPr>
            </w:pPr>
          </w:p>
          <w:p w14:paraId="698B0FA9">
            <w:pPr>
              <w:pageBreakBefore w:val="0"/>
              <w:widowControl/>
              <w:kinsoku/>
              <w:overflowPunct/>
              <w:topLinePunct w:val="0"/>
              <w:bidi w:val="0"/>
              <w:adjustRightInd w:val="0"/>
              <w:snapToGrid w:val="0"/>
              <w:spacing w:line="240" w:lineRule="auto"/>
              <w:jc w:val="left"/>
              <w:rPr>
                <w:rFonts w:hint="eastAsia" w:ascii="仿宋" w:hAnsi="仿宋" w:eastAsia="仿宋" w:cs="仿宋"/>
                <w:kern w:val="0"/>
                <w:sz w:val="24"/>
                <w:szCs w:val="24"/>
              </w:rPr>
            </w:pPr>
            <w:r>
              <w:rPr>
                <w:rFonts w:hint="eastAsia" w:ascii="仿宋" w:hAnsi="仿宋" w:eastAsia="仿宋" w:cs="仿宋"/>
                <w:kern w:val="0"/>
                <w:sz w:val="24"/>
                <w:szCs w:val="24"/>
              </w:rPr>
              <w:t>系主任签名：</w:t>
            </w:r>
            <w:r>
              <w:drawing>
                <wp:inline distT="0" distB="0" distL="114300" distR="114300">
                  <wp:extent cx="921385" cy="481965"/>
                  <wp:effectExtent l="0" t="0" r="18415" b="635"/>
                  <wp:docPr id="6"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0"/>
                          <pic:cNvPicPr>
                            <a:picLocks noChangeAspect="1"/>
                          </pic:cNvPicPr>
                        </pic:nvPicPr>
                        <pic:blipFill>
                          <a:blip r:embed="rId148"/>
                          <a:stretch>
                            <a:fillRect/>
                          </a:stretch>
                        </pic:blipFill>
                        <pic:spPr>
                          <a:xfrm>
                            <a:off x="0" y="0"/>
                            <a:ext cx="921385" cy="481965"/>
                          </a:xfrm>
                          <a:prstGeom prst="rect">
                            <a:avLst/>
                          </a:prstGeom>
                          <a:noFill/>
                          <a:ln>
                            <a:noFill/>
                          </a:ln>
                        </pic:spPr>
                      </pic:pic>
                    </a:graphicData>
                  </a:graphic>
                </wp:inline>
              </w:drawing>
            </w:r>
          </w:p>
          <w:p w14:paraId="4264C3F1">
            <w:pPr>
              <w:pageBreakBefore w:val="0"/>
              <w:widowControl/>
              <w:kinsoku/>
              <w:overflowPunct/>
              <w:topLinePunct w:val="0"/>
              <w:bidi w:val="0"/>
              <w:adjustRightInd w:val="0"/>
              <w:snapToGrid w:val="0"/>
              <w:spacing w:line="240" w:lineRule="auto"/>
              <w:jc w:val="right"/>
              <w:rPr>
                <w:rFonts w:hint="eastAsia" w:ascii="仿宋" w:hAnsi="仿宋" w:eastAsia="仿宋" w:cs="仿宋"/>
                <w:kern w:val="0"/>
                <w:sz w:val="24"/>
                <w:szCs w:val="24"/>
              </w:rPr>
            </w:pPr>
          </w:p>
          <w:p w14:paraId="704B1F90">
            <w:pPr>
              <w:pageBreakBefore w:val="0"/>
              <w:widowControl/>
              <w:kinsoku/>
              <w:overflowPunct/>
              <w:topLinePunct w:val="0"/>
              <w:bidi w:val="0"/>
              <w:adjustRightInd w:val="0"/>
              <w:snapToGrid w:val="0"/>
              <w:spacing w:line="240" w:lineRule="auto"/>
              <w:jc w:val="right"/>
              <w:rPr>
                <w:rFonts w:hint="eastAsia" w:ascii="仿宋" w:hAnsi="仿宋" w:eastAsia="仿宋" w:cs="仿宋"/>
                <w:kern w:val="0"/>
                <w:sz w:val="24"/>
                <w:szCs w:val="24"/>
              </w:rPr>
            </w:pPr>
            <w:r>
              <w:rPr>
                <w:rFonts w:hint="eastAsia" w:ascii="仿宋" w:hAnsi="仿宋" w:eastAsia="仿宋" w:cs="仿宋"/>
                <w:kern w:val="0"/>
                <w:sz w:val="24"/>
                <w:szCs w:val="24"/>
              </w:rPr>
              <w:t>年   月   日</w:t>
            </w:r>
          </w:p>
          <w:p w14:paraId="257A364A">
            <w:pPr>
              <w:pageBreakBefore w:val="0"/>
              <w:widowControl/>
              <w:kinsoku/>
              <w:overflowPunct/>
              <w:topLinePunct w:val="0"/>
              <w:bidi w:val="0"/>
              <w:adjustRightInd w:val="0"/>
              <w:snapToGrid w:val="0"/>
              <w:spacing w:line="240" w:lineRule="auto"/>
              <w:jc w:val="right"/>
              <w:rPr>
                <w:rFonts w:hint="eastAsia" w:ascii="仿宋" w:hAnsi="仿宋" w:eastAsia="仿宋" w:cs="仿宋"/>
                <w:kern w:val="0"/>
                <w:sz w:val="24"/>
                <w:szCs w:val="24"/>
              </w:rPr>
            </w:pPr>
          </w:p>
        </w:tc>
      </w:tr>
    </w:tbl>
    <w:p w14:paraId="3E3CAD03">
      <w:pPr>
        <w:pageBreakBefore w:val="0"/>
        <w:kinsoku/>
        <w:overflowPunct/>
        <w:topLinePunct w:val="0"/>
        <w:bidi w:val="0"/>
        <w:spacing w:before="240" w:line="240" w:lineRule="auto"/>
        <w:jc w:val="center"/>
        <w:rPr>
          <w:rFonts w:hint="eastAsia" w:ascii="仿宋" w:eastAsia="仿宋" w:cs="仿宋"/>
          <w:b/>
          <w:kern w:val="2"/>
          <w:sz w:val="28"/>
          <w:szCs w:val="28"/>
          <w:lang w:bidi="ar-SA"/>
        </w:rPr>
      </w:pPr>
    </w:p>
    <w:p w14:paraId="5207C512">
      <w:pPr>
        <w:pageBreakBefore w:val="0"/>
        <w:kinsoku/>
        <w:overflowPunct/>
        <w:topLinePunct w:val="0"/>
        <w:bidi w:val="0"/>
        <w:spacing w:before="240" w:line="240" w:lineRule="auto"/>
        <w:jc w:val="center"/>
        <w:outlineLvl w:val="9"/>
        <w:rPr>
          <w:rFonts w:hint="eastAsia" w:ascii="仿宋" w:eastAsia="仿宋" w:cs="黑体"/>
          <w:b/>
          <w:kern w:val="2"/>
          <w:sz w:val="28"/>
          <w:szCs w:val="28"/>
          <w:lang w:bidi="ar-SA"/>
        </w:rPr>
      </w:pPr>
      <w:r>
        <w:rPr>
          <w:rFonts w:hint="eastAsia" w:ascii="仿宋" w:eastAsia="仿宋" w:cs="仿宋"/>
          <w:b/>
          <w:kern w:val="2"/>
          <w:sz w:val="28"/>
          <w:szCs w:val="28"/>
          <w:lang w:bidi="ar-SA"/>
        </w:rPr>
        <w:t>附表：《</w:t>
      </w:r>
      <w:r>
        <w:rPr>
          <w:rFonts w:hint="eastAsia" w:ascii="仿宋" w:eastAsia="仿宋" w:cs="仿宋"/>
          <w:b/>
          <w:bCs/>
          <w:kern w:val="2"/>
          <w:sz w:val="28"/>
          <w:szCs w:val="28"/>
          <w:lang w:bidi="ar-SA"/>
        </w:rPr>
        <w:t>乐器演奏基础</w:t>
      </w:r>
      <w:r>
        <w:rPr>
          <w:rFonts w:hint="eastAsia" w:ascii="仿宋" w:eastAsia="仿宋" w:cs="仿宋"/>
          <w:b/>
          <w:kern w:val="2"/>
          <w:sz w:val="28"/>
          <w:szCs w:val="28"/>
          <w:lang w:bidi="ar-SA"/>
        </w:rPr>
        <w:t>》课程目标评分量表</w:t>
      </w:r>
    </w:p>
    <w:tbl>
      <w:tblPr>
        <w:tblStyle w:val="22"/>
        <w:tblW w:w="9210" w:type="dxa"/>
        <w:jc w:val="center"/>
        <w:tblLayout w:type="autofit"/>
        <w:tblCellMar>
          <w:top w:w="0" w:type="dxa"/>
          <w:left w:w="108" w:type="dxa"/>
          <w:bottom w:w="0" w:type="dxa"/>
          <w:right w:w="108" w:type="dxa"/>
        </w:tblCellMar>
      </w:tblPr>
      <w:tblGrid>
        <w:gridCol w:w="1762"/>
        <w:gridCol w:w="1325"/>
        <w:gridCol w:w="1572"/>
        <w:gridCol w:w="1524"/>
        <w:gridCol w:w="1488"/>
        <w:gridCol w:w="1539"/>
      </w:tblGrid>
      <w:tr w14:paraId="414418DB">
        <w:trPr>
          <w:trHeight w:val="624" w:hRule="atLeast"/>
          <w:jc w:val="center"/>
        </w:trPr>
        <w:tc>
          <w:tcPr>
            <w:tcW w:w="1762" w:type="dxa"/>
            <w:tcBorders>
              <w:top w:val="single" w:color="000000" w:sz="4" w:space="0"/>
              <w:left w:val="single" w:color="000000" w:sz="4" w:space="0"/>
              <w:bottom w:val="single" w:color="000000" w:sz="4" w:space="0"/>
              <w:right w:val="single" w:color="000000" w:sz="4" w:space="0"/>
            </w:tcBorders>
            <w:noWrap w:val="0"/>
            <w:vAlign w:val="center"/>
          </w:tcPr>
          <w:p w14:paraId="0186E888">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课程目标</w:t>
            </w:r>
          </w:p>
        </w:tc>
        <w:tc>
          <w:tcPr>
            <w:tcW w:w="1325" w:type="dxa"/>
            <w:tcBorders>
              <w:top w:val="single" w:color="000000" w:sz="4" w:space="0"/>
              <w:left w:val="single" w:color="000000" w:sz="4" w:space="0"/>
              <w:bottom w:val="single" w:color="000000" w:sz="4" w:space="0"/>
              <w:right w:val="single" w:color="000000" w:sz="4" w:space="0"/>
            </w:tcBorders>
            <w:noWrap w:val="0"/>
            <w:vAlign w:val="center"/>
          </w:tcPr>
          <w:p w14:paraId="01C43F76">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优</w:t>
            </w:r>
          </w:p>
          <w:p w14:paraId="5D94A7DA">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（X≧90）</w:t>
            </w:r>
          </w:p>
        </w:tc>
        <w:tc>
          <w:tcPr>
            <w:tcW w:w="1572" w:type="dxa"/>
            <w:tcBorders>
              <w:top w:val="single" w:color="000000" w:sz="4" w:space="0"/>
              <w:left w:val="single" w:color="000000" w:sz="4" w:space="0"/>
              <w:bottom w:val="single" w:color="000000" w:sz="4" w:space="0"/>
              <w:right w:val="single" w:color="000000" w:sz="4" w:space="0"/>
            </w:tcBorders>
            <w:noWrap w:val="0"/>
            <w:vAlign w:val="center"/>
          </w:tcPr>
          <w:p w14:paraId="2525CB79">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良</w:t>
            </w:r>
          </w:p>
          <w:p w14:paraId="5B99D811">
            <w:pPr>
              <w:pageBreakBefore w:val="0"/>
              <w:tabs>
                <w:tab w:val="left" w:pos="720"/>
              </w:tabs>
              <w:kinsoku/>
              <w:overflowPunct/>
              <w:topLinePunct w:val="0"/>
              <w:bidi w:val="0"/>
              <w:spacing w:line="240" w:lineRule="auto"/>
              <w:ind w:left="-107" w:right="-60"/>
              <w:jc w:val="center"/>
              <w:rPr>
                <w:rFonts w:hint="eastAsia" w:ascii="仿宋" w:eastAsia="仿宋" w:cs="仿宋"/>
                <w:b/>
                <w:kern w:val="2"/>
                <w:szCs w:val="21"/>
                <w:lang w:bidi="ar-SA"/>
              </w:rPr>
            </w:pPr>
            <w:r>
              <w:rPr>
                <w:rFonts w:hint="eastAsia" w:ascii="仿宋" w:eastAsia="仿宋" w:cs="仿宋"/>
                <w:b/>
                <w:kern w:val="2"/>
                <w:szCs w:val="21"/>
                <w:lang w:bidi="ar-SA"/>
              </w:rPr>
              <w:t>（80≦X＜90）</w:t>
            </w:r>
          </w:p>
        </w:tc>
        <w:tc>
          <w:tcPr>
            <w:tcW w:w="1524" w:type="dxa"/>
            <w:tcBorders>
              <w:top w:val="single" w:color="000000" w:sz="4" w:space="0"/>
              <w:left w:val="single" w:color="000000" w:sz="4" w:space="0"/>
              <w:bottom w:val="single" w:color="000000" w:sz="4" w:space="0"/>
              <w:right w:val="single" w:color="000000" w:sz="4" w:space="0"/>
            </w:tcBorders>
            <w:noWrap w:val="0"/>
            <w:vAlign w:val="center"/>
          </w:tcPr>
          <w:p w14:paraId="6587C9ED">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中</w:t>
            </w:r>
          </w:p>
          <w:p w14:paraId="2DB3F6BB">
            <w:pPr>
              <w:pageBreakBefore w:val="0"/>
              <w:tabs>
                <w:tab w:val="left" w:pos="720"/>
              </w:tabs>
              <w:kinsoku/>
              <w:overflowPunct/>
              <w:topLinePunct w:val="0"/>
              <w:bidi w:val="0"/>
              <w:spacing w:line="240" w:lineRule="auto"/>
              <w:ind w:left="-107" w:right="-60"/>
              <w:jc w:val="center"/>
              <w:rPr>
                <w:rFonts w:hint="eastAsia" w:ascii="仿宋" w:eastAsia="仿宋" w:cs="仿宋"/>
                <w:b/>
                <w:kern w:val="2"/>
                <w:szCs w:val="21"/>
                <w:lang w:bidi="ar-SA"/>
              </w:rPr>
            </w:pPr>
            <w:r>
              <w:rPr>
                <w:rFonts w:hint="eastAsia" w:ascii="仿宋" w:eastAsia="仿宋" w:cs="仿宋"/>
                <w:b/>
                <w:kern w:val="2"/>
                <w:szCs w:val="21"/>
                <w:lang w:bidi="ar-SA"/>
              </w:rPr>
              <w:t>（70≦X＜80）</w:t>
            </w:r>
          </w:p>
        </w:tc>
        <w:tc>
          <w:tcPr>
            <w:tcW w:w="1488" w:type="dxa"/>
            <w:tcBorders>
              <w:top w:val="single" w:color="000000" w:sz="4" w:space="0"/>
              <w:left w:val="single" w:color="000000" w:sz="4" w:space="0"/>
              <w:bottom w:val="single" w:color="000000" w:sz="4" w:space="0"/>
              <w:right w:val="single" w:color="000000" w:sz="4" w:space="0"/>
            </w:tcBorders>
            <w:noWrap w:val="0"/>
            <w:vAlign w:val="center"/>
          </w:tcPr>
          <w:p w14:paraId="51F1BA03">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及格</w:t>
            </w:r>
          </w:p>
          <w:p w14:paraId="5795B1CE">
            <w:pPr>
              <w:pageBreakBefore w:val="0"/>
              <w:tabs>
                <w:tab w:val="left" w:pos="720"/>
              </w:tabs>
              <w:kinsoku/>
              <w:overflowPunct/>
              <w:topLinePunct w:val="0"/>
              <w:bidi w:val="0"/>
              <w:spacing w:line="240" w:lineRule="auto"/>
              <w:ind w:left="-107" w:right="-60"/>
              <w:jc w:val="center"/>
              <w:rPr>
                <w:rFonts w:hint="eastAsia" w:ascii="仿宋" w:eastAsia="仿宋" w:cs="仿宋"/>
                <w:b/>
                <w:kern w:val="2"/>
                <w:szCs w:val="21"/>
                <w:lang w:bidi="ar-SA"/>
              </w:rPr>
            </w:pPr>
            <w:r>
              <w:rPr>
                <w:rFonts w:hint="eastAsia" w:ascii="仿宋" w:eastAsia="仿宋" w:cs="仿宋"/>
                <w:b/>
                <w:kern w:val="2"/>
                <w:szCs w:val="21"/>
                <w:lang w:bidi="ar-SA"/>
              </w:rPr>
              <w:t>（60≦X＜70）</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14:paraId="7B7F83A5">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不及格</w:t>
            </w:r>
          </w:p>
          <w:p w14:paraId="2B12F298">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（X＜60）</w:t>
            </w:r>
          </w:p>
        </w:tc>
      </w:tr>
      <w:tr w14:paraId="1E8354C8">
        <w:trPr>
          <w:trHeight w:val="624" w:hRule="atLeast"/>
          <w:jc w:val="center"/>
        </w:trPr>
        <w:tc>
          <w:tcPr>
            <w:tcW w:w="1762" w:type="dxa"/>
            <w:tcBorders>
              <w:top w:val="single" w:color="000000" w:sz="4" w:space="0"/>
              <w:left w:val="single" w:color="000000" w:sz="4" w:space="0"/>
              <w:bottom w:val="single" w:color="000000" w:sz="4" w:space="0"/>
              <w:right w:val="single" w:color="000000" w:sz="4" w:space="0"/>
            </w:tcBorders>
            <w:noWrap w:val="0"/>
            <w:vAlign w:val="top"/>
          </w:tcPr>
          <w:p w14:paraId="0B121CF9">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课程目标1：掌握音乐学科技法技能多项基本功，掌握音乐学科基础知识、基本理论、体系结构与思想方法，理解音乐学科的核心素养的内涵，形成音乐学科核心素养。</w:t>
            </w:r>
          </w:p>
        </w:tc>
        <w:tc>
          <w:tcPr>
            <w:tcW w:w="1325" w:type="dxa"/>
            <w:tcBorders>
              <w:top w:val="single" w:color="000000" w:sz="4" w:space="0"/>
              <w:left w:val="single" w:color="000000" w:sz="4" w:space="0"/>
              <w:bottom w:val="single" w:color="000000" w:sz="4" w:space="0"/>
              <w:right w:val="single" w:color="000000" w:sz="4" w:space="0"/>
            </w:tcBorders>
            <w:noWrap w:val="0"/>
            <w:vAlign w:val="top"/>
          </w:tcPr>
          <w:p w14:paraId="7C390B0E">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能够较为扎实掌握音乐学科的基础知识，基本理论体系，结构与思想方法，基本功功底扎实</w:t>
            </w:r>
          </w:p>
        </w:tc>
        <w:tc>
          <w:tcPr>
            <w:tcW w:w="1572" w:type="dxa"/>
            <w:tcBorders>
              <w:top w:val="single" w:color="000000" w:sz="4" w:space="0"/>
              <w:left w:val="single" w:color="000000" w:sz="4" w:space="0"/>
              <w:bottom w:val="single" w:color="000000" w:sz="4" w:space="0"/>
              <w:right w:val="single" w:color="000000" w:sz="4" w:space="0"/>
            </w:tcBorders>
            <w:noWrap w:val="0"/>
            <w:vAlign w:val="top"/>
          </w:tcPr>
          <w:p w14:paraId="6029FCF0">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能够较为好掌握音乐学科的基础知识，基本理论体系，结构与思想方法，基本功功底扎实</w:t>
            </w:r>
          </w:p>
        </w:tc>
        <w:tc>
          <w:tcPr>
            <w:tcW w:w="1524" w:type="dxa"/>
            <w:tcBorders>
              <w:top w:val="single" w:color="000000" w:sz="4" w:space="0"/>
              <w:left w:val="single" w:color="000000" w:sz="4" w:space="0"/>
              <w:bottom w:val="single" w:color="000000" w:sz="4" w:space="0"/>
              <w:right w:val="single" w:color="000000" w:sz="4" w:space="0"/>
            </w:tcBorders>
            <w:noWrap w:val="0"/>
            <w:vAlign w:val="top"/>
          </w:tcPr>
          <w:p w14:paraId="7BCFF012">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能够较好扎实掌握音乐学科的基础知识，基本理论体系，结构与思想方法，基本功功底扎实</w:t>
            </w:r>
          </w:p>
        </w:tc>
        <w:tc>
          <w:tcPr>
            <w:tcW w:w="1488" w:type="dxa"/>
            <w:tcBorders>
              <w:top w:val="single" w:color="000000" w:sz="4" w:space="0"/>
              <w:left w:val="single" w:color="000000" w:sz="4" w:space="0"/>
              <w:bottom w:val="single" w:color="000000" w:sz="4" w:space="0"/>
              <w:right w:val="single" w:color="000000" w:sz="4" w:space="0"/>
            </w:tcBorders>
            <w:noWrap w:val="0"/>
            <w:vAlign w:val="top"/>
          </w:tcPr>
          <w:p w14:paraId="10EC3376">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能够基本掌握音乐学科的基础知识，基本理论体系，结构与思想方法，基本功功底有待提高</w:t>
            </w:r>
          </w:p>
        </w:tc>
        <w:tc>
          <w:tcPr>
            <w:tcW w:w="1539" w:type="dxa"/>
            <w:tcBorders>
              <w:top w:val="single" w:color="000000" w:sz="4" w:space="0"/>
              <w:left w:val="single" w:color="000000" w:sz="4" w:space="0"/>
              <w:bottom w:val="single" w:color="000000" w:sz="4" w:space="0"/>
              <w:right w:val="single" w:color="000000" w:sz="4" w:space="0"/>
            </w:tcBorders>
            <w:noWrap w:val="0"/>
            <w:vAlign w:val="top"/>
          </w:tcPr>
          <w:p w14:paraId="41345F8B">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未能够较好掌握音乐学科的基础知识，基本理论体系，结构与思想方法，基本功不牢固</w:t>
            </w:r>
          </w:p>
        </w:tc>
      </w:tr>
      <w:tr w14:paraId="64A278E6">
        <w:trPr>
          <w:trHeight w:val="624" w:hRule="atLeast"/>
          <w:jc w:val="center"/>
        </w:trPr>
        <w:tc>
          <w:tcPr>
            <w:tcW w:w="1762" w:type="dxa"/>
            <w:tcBorders>
              <w:top w:val="single" w:color="000000" w:sz="4" w:space="0"/>
              <w:left w:val="single" w:color="000000" w:sz="4" w:space="0"/>
              <w:bottom w:val="single" w:color="000000" w:sz="4" w:space="0"/>
              <w:right w:val="single" w:color="000000" w:sz="4" w:space="0"/>
            </w:tcBorders>
            <w:noWrap w:val="0"/>
            <w:vAlign w:val="top"/>
          </w:tcPr>
          <w:p w14:paraId="74E4D51C">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课程目标2：熟悉中学音乐课程标准和教材，能够正确处理课标和教材的关系， 科学合理地进行教学设计并实施教学，准确把握教学内容，分析学情，合理安排教学过程 和环节，科学设计评价内容和方式，根据学生音乐认知的特征和个体差异，注重差异化教学。课后能够及时反思、总结形成初步的教研能力。</w:t>
            </w:r>
          </w:p>
        </w:tc>
        <w:tc>
          <w:tcPr>
            <w:tcW w:w="1325" w:type="dxa"/>
            <w:tcBorders>
              <w:top w:val="single" w:color="000000" w:sz="4" w:space="0"/>
              <w:left w:val="single" w:color="000000" w:sz="4" w:space="0"/>
              <w:bottom w:val="single" w:color="000000" w:sz="4" w:space="0"/>
              <w:right w:val="single" w:color="000000" w:sz="4" w:space="0"/>
            </w:tcBorders>
            <w:noWrap w:val="0"/>
            <w:vAlign w:val="top"/>
          </w:tcPr>
          <w:p w14:paraId="16105FA2">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能够扎实掌握乐器演奏基础的教学方法，教学规律；能够发挥自身的长处、特征，有规律、有计划的进行学习，并形成总结出适合自己的经验</w:t>
            </w:r>
          </w:p>
        </w:tc>
        <w:tc>
          <w:tcPr>
            <w:tcW w:w="1572" w:type="dxa"/>
            <w:tcBorders>
              <w:top w:val="single" w:color="000000" w:sz="4" w:space="0"/>
              <w:left w:val="single" w:color="000000" w:sz="4" w:space="0"/>
              <w:bottom w:val="single" w:color="000000" w:sz="4" w:space="0"/>
              <w:right w:val="single" w:color="000000" w:sz="4" w:space="0"/>
            </w:tcBorders>
            <w:noWrap w:val="0"/>
            <w:vAlign w:val="top"/>
          </w:tcPr>
          <w:p w14:paraId="41127518">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能够较好掌握乐器演奏基础的教学方法，教学规律；能够发挥自身的长处、特征，有规律、有计划的进行学习，并形成总结出适合自己的经验</w:t>
            </w:r>
          </w:p>
        </w:tc>
        <w:tc>
          <w:tcPr>
            <w:tcW w:w="1524" w:type="dxa"/>
            <w:tcBorders>
              <w:top w:val="single" w:color="000000" w:sz="4" w:space="0"/>
              <w:left w:val="single" w:color="000000" w:sz="4" w:space="0"/>
              <w:bottom w:val="single" w:color="000000" w:sz="4" w:space="0"/>
              <w:right w:val="single" w:color="000000" w:sz="4" w:space="0"/>
            </w:tcBorders>
            <w:noWrap w:val="0"/>
            <w:vAlign w:val="top"/>
          </w:tcPr>
          <w:p w14:paraId="5B9B0EC2">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能够较好掌握乐器演奏基础的教学方法，教学规律；能够发挥自身的长处、特征，有规律、有计划的进行学习，并形成总结出适合自己的经验</w:t>
            </w:r>
          </w:p>
        </w:tc>
        <w:tc>
          <w:tcPr>
            <w:tcW w:w="1488" w:type="dxa"/>
            <w:tcBorders>
              <w:top w:val="single" w:color="000000" w:sz="4" w:space="0"/>
              <w:left w:val="single" w:color="000000" w:sz="4" w:space="0"/>
              <w:bottom w:val="single" w:color="000000" w:sz="4" w:space="0"/>
              <w:right w:val="single" w:color="000000" w:sz="4" w:space="0"/>
            </w:tcBorders>
            <w:noWrap w:val="0"/>
            <w:vAlign w:val="top"/>
          </w:tcPr>
          <w:p w14:paraId="45CDA72D">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能够基本掌握乐器演奏基础的教学方法，教学规律；基本能够发挥自身的长处、特征，有规律、有计划的进行学习，并形成总结出适合自己的经验</w:t>
            </w:r>
          </w:p>
        </w:tc>
        <w:tc>
          <w:tcPr>
            <w:tcW w:w="1539" w:type="dxa"/>
            <w:tcBorders>
              <w:top w:val="single" w:color="000000" w:sz="4" w:space="0"/>
              <w:left w:val="single" w:color="000000" w:sz="4" w:space="0"/>
              <w:bottom w:val="single" w:color="000000" w:sz="4" w:space="0"/>
              <w:right w:val="single" w:color="000000" w:sz="4" w:space="0"/>
            </w:tcBorders>
            <w:noWrap w:val="0"/>
            <w:vAlign w:val="top"/>
          </w:tcPr>
          <w:p w14:paraId="7289CB21">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未能够扎实掌握乐器演奏基础的教学方法，教学规律；未能够充分发挥自身的长处、特征，未能有规律、有计划的进行学习，未形成总结出适合自己的经验</w:t>
            </w:r>
          </w:p>
        </w:tc>
      </w:tr>
      <w:tr w14:paraId="24504826">
        <w:trPr>
          <w:trHeight w:val="624" w:hRule="atLeast"/>
          <w:jc w:val="center"/>
        </w:trPr>
        <w:tc>
          <w:tcPr>
            <w:tcW w:w="1762" w:type="dxa"/>
            <w:tcBorders>
              <w:top w:val="single" w:color="000000" w:sz="4" w:space="0"/>
              <w:left w:val="single" w:color="000000" w:sz="4" w:space="0"/>
              <w:bottom w:val="single" w:color="000000" w:sz="4" w:space="0"/>
              <w:right w:val="single" w:color="000000" w:sz="4" w:space="0"/>
            </w:tcBorders>
            <w:noWrap w:val="0"/>
            <w:vAlign w:val="top"/>
          </w:tcPr>
          <w:p w14:paraId="39ECE985">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课程目标3：理解学习共同体的作用，掌握团队协作的基本策略，在课程学习、教育实践、艺术实践等活动中，具有良好的团队协作精神</w:t>
            </w:r>
          </w:p>
        </w:tc>
        <w:tc>
          <w:tcPr>
            <w:tcW w:w="1325" w:type="dxa"/>
            <w:tcBorders>
              <w:top w:val="single" w:color="000000" w:sz="4" w:space="0"/>
              <w:left w:val="single" w:color="000000" w:sz="4" w:space="0"/>
              <w:bottom w:val="single" w:color="000000" w:sz="4" w:space="0"/>
              <w:right w:val="single" w:color="000000" w:sz="4" w:space="0"/>
            </w:tcBorders>
            <w:noWrap w:val="0"/>
            <w:vAlign w:val="top"/>
          </w:tcPr>
          <w:p w14:paraId="435BA9A4">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具备团队协作的能力，充分领会到在学习，实践等活动中团队协作的意义，具备在实践中开展实践活动的较强能力</w:t>
            </w:r>
          </w:p>
        </w:tc>
        <w:tc>
          <w:tcPr>
            <w:tcW w:w="1572" w:type="dxa"/>
            <w:tcBorders>
              <w:top w:val="single" w:color="000000" w:sz="4" w:space="0"/>
              <w:left w:val="single" w:color="000000" w:sz="4" w:space="0"/>
              <w:bottom w:val="single" w:color="000000" w:sz="4" w:space="0"/>
              <w:right w:val="single" w:color="000000" w:sz="4" w:space="0"/>
            </w:tcBorders>
            <w:noWrap w:val="0"/>
            <w:vAlign w:val="top"/>
          </w:tcPr>
          <w:p w14:paraId="6020963A">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具备团队协作的能力，充分领会到在学习，实践等活动中团队协作的意义，具备在实践中开展实践活动的较强能力</w:t>
            </w:r>
          </w:p>
        </w:tc>
        <w:tc>
          <w:tcPr>
            <w:tcW w:w="1524" w:type="dxa"/>
            <w:tcBorders>
              <w:top w:val="single" w:color="000000" w:sz="4" w:space="0"/>
              <w:left w:val="single" w:color="000000" w:sz="4" w:space="0"/>
              <w:bottom w:val="single" w:color="000000" w:sz="4" w:space="0"/>
              <w:right w:val="single" w:color="000000" w:sz="4" w:space="0"/>
            </w:tcBorders>
            <w:noWrap w:val="0"/>
            <w:vAlign w:val="top"/>
          </w:tcPr>
          <w:p w14:paraId="351572EA">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具备团队协作的能力，充分领会到在学习，实践等活动中团队协作的意义，具备在实践中开展实践活动的较强能力</w:t>
            </w:r>
          </w:p>
        </w:tc>
        <w:tc>
          <w:tcPr>
            <w:tcW w:w="1488" w:type="dxa"/>
            <w:tcBorders>
              <w:top w:val="single" w:color="000000" w:sz="4" w:space="0"/>
              <w:left w:val="single" w:color="000000" w:sz="4" w:space="0"/>
              <w:bottom w:val="single" w:color="000000" w:sz="4" w:space="0"/>
              <w:right w:val="single" w:color="000000" w:sz="4" w:space="0"/>
            </w:tcBorders>
            <w:noWrap w:val="0"/>
            <w:vAlign w:val="top"/>
          </w:tcPr>
          <w:p w14:paraId="08894F1D">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具备团队协作的能力，充分领会到在学习，实践等活动中团队协作的意义，具备在实践中开展实践活动的较强能力</w:t>
            </w:r>
          </w:p>
        </w:tc>
        <w:tc>
          <w:tcPr>
            <w:tcW w:w="1539" w:type="dxa"/>
            <w:tcBorders>
              <w:top w:val="single" w:color="000000" w:sz="4" w:space="0"/>
              <w:left w:val="single" w:color="000000" w:sz="4" w:space="0"/>
              <w:bottom w:val="single" w:color="000000" w:sz="4" w:space="0"/>
              <w:right w:val="single" w:color="000000" w:sz="4" w:space="0"/>
            </w:tcBorders>
            <w:noWrap w:val="0"/>
            <w:vAlign w:val="top"/>
          </w:tcPr>
          <w:p w14:paraId="081D2A56">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不具备团队协作的能力，未能领会到在学习，实践等活动中团队协作的意义，不具备在实践中开展实践活动的能力</w:t>
            </w:r>
          </w:p>
        </w:tc>
      </w:tr>
    </w:tbl>
    <w:p w14:paraId="55F21361">
      <w:pPr>
        <w:rPr>
          <w:sz w:val="2"/>
          <w:szCs w:val="2"/>
        </w:rPr>
        <w:sectPr>
          <w:headerReference r:id="rId13" w:type="default"/>
          <w:footerReference r:id="rId14" w:type="default"/>
          <w:pgSz w:w="11906" w:h="16838"/>
          <w:pgMar w:top="1440" w:right="1800" w:bottom="1440" w:left="1800" w:header="851" w:footer="992" w:gutter="0"/>
          <w:cols w:space="425" w:num="1"/>
          <w:docGrid w:type="lines" w:linePitch="312" w:charSpace="0"/>
        </w:sectPr>
      </w:pPr>
    </w:p>
    <w:p w14:paraId="485071A3">
      <w:pPr>
        <w:pStyle w:val="10"/>
        <w:pageBreakBefore w:val="0"/>
        <w:widowControl w:val="0"/>
        <w:kinsoku/>
        <w:overflowPunct/>
        <w:topLinePunct w:val="0"/>
        <w:bidi w:val="0"/>
        <w:spacing w:line="240" w:lineRule="auto"/>
        <w:jc w:val="center"/>
        <w:rPr>
          <w:rFonts w:hint="eastAsia" w:eastAsia="微软雅黑" w:cs="Times New Roman"/>
          <w:sz w:val="44"/>
          <w:szCs w:val="44"/>
          <w:lang w:bidi="ar-SA"/>
        </w:rPr>
      </w:pPr>
      <w:r>
        <w:rPr>
          <w:rFonts w:hint="eastAsia" w:eastAsia="微软雅黑" w:cs="Times New Roman"/>
          <w:sz w:val="44"/>
          <w:szCs w:val="44"/>
          <w:lang w:val="en-US" w:eastAsia="zh-CN" w:bidi="ar-SA"/>
        </w:rPr>
        <w:t>三明学院音乐学（音乐教育）专业</w:t>
      </w:r>
    </w:p>
    <w:p w14:paraId="723B8B09">
      <w:pPr>
        <w:pStyle w:val="2"/>
        <w:pageBreakBefore w:val="0"/>
        <w:widowControl w:val="0"/>
        <w:kinsoku/>
        <w:overflowPunct/>
        <w:topLinePunct w:val="0"/>
        <w:bidi w:val="0"/>
        <w:spacing w:before="0" w:beforeAutospacing="0" w:after="0" w:afterAutospacing="0" w:line="240" w:lineRule="auto"/>
        <w:jc w:val="center"/>
        <w:rPr>
          <w:rFonts w:hint="eastAsia" w:ascii="微软雅黑" w:eastAsia="微软雅黑"/>
          <w:b w:val="0"/>
          <w:bCs w:val="0"/>
          <w:sz w:val="28"/>
          <w:szCs w:val="28"/>
        </w:rPr>
      </w:pPr>
      <w:bookmarkStart w:id="33" w:name="_Toc78044679"/>
      <w:bookmarkStart w:id="34" w:name="_Toc75062209"/>
      <w:bookmarkStart w:id="35" w:name="_Toc16695136"/>
      <w:bookmarkStart w:id="36" w:name="_Toc1116758028"/>
      <w:bookmarkStart w:id="37" w:name="_Toc75062089"/>
      <w:bookmarkStart w:id="38" w:name="_Toc16695030"/>
      <w:bookmarkStart w:id="39" w:name="_Toc78044637"/>
      <w:bookmarkStart w:id="40" w:name="_Toc84465593"/>
      <w:bookmarkStart w:id="41" w:name="_Toc65478580"/>
      <w:bookmarkStart w:id="42" w:name="_Toc84465671"/>
      <w:bookmarkStart w:id="43" w:name="_Toc39436597"/>
      <w:bookmarkStart w:id="44" w:name="_Toc75062318"/>
      <w:bookmarkStart w:id="45" w:name="_Toc16695343"/>
      <w:bookmarkStart w:id="46" w:name="_Toc78044725"/>
      <w:bookmarkStart w:id="47" w:name="_Toc16695451"/>
      <w:bookmarkStart w:id="48" w:name="_Toc39436505"/>
      <w:bookmarkStart w:id="49" w:name="_Toc744675070"/>
      <w:bookmarkStart w:id="50" w:name="_Toc84465645"/>
      <w:bookmarkStart w:id="51" w:name="_Toc16695549"/>
      <w:bookmarkStart w:id="52" w:name="_Toc16695239"/>
      <w:bookmarkStart w:id="53" w:name="_Toc75062415"/>
      <w:r>
        <w:rPr>
          <w:rFonts w:hint="eastAsia" w:ascii="微软雅黑" w:eastAsia="微软雅黑"/>
          <w:b w:val="0"/>
          <w:bCs w:val="0"/>
          <w:sz w:val="44"/>
          <w:szCs w:val="44"/>
        </w:rPr>
        <w:t>《视唱练耳》课程教学大纲</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tbl>
      <w:tblPr>
        <w:tblStyle w:val="22"/>
        <w:tblW w:w="9148"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212"/>
        <w:gridCol w:w="116"/>
        <w:gridCol w:w="226"/>
        <w:gridCol w:w="1554"/>
        <w:gridCol w:w="1192"/>
        <w:gridCol w:w="362"/>
        <w:gridCol w:w="675"/>
        <w:gridCol w:w="521"/>
        <w:gridCol w:w="358"/>
        <w:gridCol w:w="58"/>
        <w:gridCol w:w="824"/>
        <w:gridCol w:w="135"/>
        <w:gridCol w:w="539"/>
      </w:tblGrid>
      <w:tr w14:paraId="46237079">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14:paraId="6B06F418">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hAnsi="Times New Roman" w:eastAsia="仿宋" w:cs="仿宋"/>
                <w:color w:val="000000"/>
                <w:kern w:val="0"/>
                <w:sz w:val="24"/>
                <w:szCs w:val="24"/>
              </w:rPr>
              <w:t>课程名称</w:t>
            </w:r>
          </w:p>
        </w:tc>
        <w:tc>
          <w:tcPr>
            <w:tcW w:w="4662" w:type="dxa"/>
            <w:gridSpan w:val="6"/>
            <w:tcBorders>
              <w:top w:val="single" w:color="auto" w:sz="4" w:space="0"/>
              <w:left w:val="single" w:color="auto" w:sz="4" w:space="0"/>
              <w:bottom w:val="single" w:color="auto" w:sz="4" w:space="0"/>
              <w:right w:val="single" w:color="auto" w:sz="4" w:space="0"/>
            </w:tcBorders>
            <w:noWrap/>
            <w:vAlign w:val="center"/>
          </w:tcPr>
          <w:p w14:paraId="13F1F36B">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CN"/>
              </w:rPr>
            </w:pPr>
            <w:r>
              <w:rPr>
                <w:rFonts w:hint="eastAsia" w:ascii="仿宋" w:hAnsi="Times New Roman" w:eastAsia="仿宋" w:cs="仿宋"/>
                <w:color w:val="000000"/>
                <w:kern w:val="0"/>
                <w:sz w:val="24"/>
                <w:szCs w:val="24"/>
              </w:rPr>
              <w:t>《视唱练耳》</w:t>
            </w:r>
          </w:p>
        </w:tc>
        <w:tc>
          <w:tcPr>
            <w:tcW w:w="1554" w:type="dxa"/>
            <w:gridSpan w:val="3"/>
            <w:tcBorders>
              <w:top w:val="single" w:color="auto" w:sz="4" w:space="0"/>
              <w:left w:val="single" w:color="auto" w:sz="4" w:space="0"/>
              <w:bottom w:val="single" w:color="auto" w:sz="4" w:space="0"/>
              <w:right w:val="single" w:color="auto" w:sz="4" w:space="0"/>
            </w:tcBorders>
            <w:noWrap/>
            <w:vAlign w:val="center"/>
          </w:tcPr>
          <w:p w14:paraId="26EE15D5">
            <w:pPr>
              <w:pageBreakBefore w:val="0"/>
              <w:kinsoku/>
              <w:overflowPunct/>
              <w:topLinePunct w:val="0"/>
              <w:bidi w:val="0"/>
              <w:adjustRightInd w:val="0"/>
              <w:snapToGrid w:val="0"/>
              <w:spacing w:line="240" w:lineRule="auto"/>
              <w:jc w:val="center"/>
              <w:rPr>
                <w:rFonts w:hint="eastAsia" w:ascii="仿宋" w:hAnsi="Times New Roman" w:eastAsia="仿宋" w:cs="仿宋"/>
                <w:color w:val="000000"/>
                <w:kern w:val="0"/>
                <w:sz w:val="24"/>
                <w:szCs w:val="24"/>
              </w:rPr>
            </w:pPr>
            <w:r>
              <w:rPr>
                <w:rFonts w:hint="eastAsia" w:ascii="仿宋" w:hAnsi="Times New Roman" w:eastAsia="仿宋" w:cs="仿宋"/>
                <w:color w:val="000000"/>
                <w:kern w:val="0"/>
                <w:sz w:val="24"/>
                <w:szCs w:val="24"/>
              </w:rPr>
              <w:t>课程</w:t>
            </w:r>
          </w:p>
          <w:p w14:paraId="7EDDDB64">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hAnsi="Times New Roman" w:eastAsia="仿宋" w:cs="仿宋"/>
                <w:color w:val="000000"/>
                <w:kern w:val="0"/>
                <w:sz w:val="24"/>
                <w:szCs w:val="24"/>
              </w:rPr>
              <w:t>代码</w:t>
            </w:r>
          </w:p>
        </w:tc>
        <w:tc>
          <w:tcPr>
            <w:tcW w:w="1556" w:type="dxa"/>
            <w:gridSpan w:val="4"/>
            <w:tcBorders>
              <w:top w:val="single" w:color="auto" w:sz="4" w:space="0"/>
              <w:left w:val="single" w:color="auto" w:sz="4" w:space="0"/>
              <w:bottom w:val="single" w:color="auto" w:sz="4" w:space="0"/>
              <w:right w:val="single" w:color="auto" w:sz="4" w:space="0"/>
            </w:tcBorders>
            <w:noWrap/>
            <w:vAlign w:val="center"/>
          </w:tcPr>
          <w:p w14:paraId="29DD51F4">
            <w:pPr>
              <w:pageBreakBefore w:val="0"/>
              <w:kinsoku/>
              <w:overflowPunct/>
              <w:topLinePunct w:val="0"/>
              <w:bidi w:val="0"/>
              <w:adjustRightInd w:val="0"/>
              <w:snapToGrid w:val="0"/>
              <w:spacing w:line="240" w:lineRule="auto"/>
              <w:jc w:val="center"/>
              <w:rPr>
                <w:rFonts w:hint="eastAsia" w:ascii="仿宋" w:hAnsi="Times New Roman" w:eastAsia="仿宋" w:cs="仿宋"/>
                <w:color w:val="000000"/>
                <w:kern w:val="0"/>
                <w:sz w:val="24"/>
                <w:szCs w:val="24"/>
              </w:rPr>
            </w:pPr>
            <w:r>
              <w:rPr>
                <w:rFonts w:hint="eastAsia" w:ascii="仿宋" w:hAnsi="Times New Roman" w:eastAsia="仿宋" w:cs="仿宋"/>
                <w:color w:val="000000"/>
                <w:kern w:val="0"/>
                <w:sz w:val="24"/>
                <w:szCs w:val="24"/>
              </w:rPr>
              <w:t>1212308601</w:t>
            </w:r>
          </w:p>
          <w:p w14:paraId="3B48E9D0">
            <w:pPr>
              <w:pageBreakBefore w:val="0"/>
              <w:kinsoku/>
              <w:overflowPunct/>
              <w:topLinePunct w:val="0"/>
              <w:bidi w:val="0"/>
              <w:adjustRightInd w:val="0"/>
              <w:snapToGrid w:val="0"/>
              <w:spacing w:line="240" w:lineRule="auto"/>
              <w:jc w:val="center"/>
              <w:rPr>
                <w:rFonts w:hint="eastAsia" w:ascii="仿宋" w:hAnsi="Times New Roman" w:eastAsia="仿宋" w:cs="仿宋"/>
                <w:color w:val="000000"/>
                <w:kern w:val="0"/>
                <w:sz w:val="24"/>
                <w:szCs w:val="24"/>
              </w:rPr>
            </w:pPr>
            <w:r>
              <w:rPr>
                <w:rFonts w:hint="eastAsia" w:ascii="仿宋" w:hAnsi="Times New Roman" w:eastAsia="仿宋" w:cs="仿宋"/>
                <w:color w:val="000000"/>
                <w:kern w:val="0"/>
                <w:sz w:val="24"/>
                <w:szCs w:val="24"/>
              </w:rPr>
              <w:t>1212308602</w:t>
            </w:r>
          </w:p>
          <w:p w14:paraId="6C423F9F">
            <w:pPr>
              <w:pageBreakBefore w:val="0"/>
              <w:kinsoku/>
              <w:overflowPunct/>
              <w:topLinePunct w:val="0"/>
              <w:bidi w:val="0"/>
              <w:adjustRightInd w:val="0"/>
              <w:snapToGrid w:val="0"/>
              <w:spacing w:line="240" w:lineRule="auto"/>
              <w:jc w:val="center"/>
              <w:rPr>
                <w:rFonts w:hint="eastAsia" w:ascii="仿宋" w:hAnsi="Times New Roman" w:eastAsia="仿宋" w:cs="仿宋"/>
                <w:color w:val="000000"/>
                <w:kern w:val="0"/>
                <w:sz w:val="24"/>
                <w:szCs w:val="24"/>
              </w:rPr>
            </w:pPr>
            <w:r>
              <w:rPr>
                <w:rFonts w:hint="eastAsia" w:ascii="仿宋" w:hAnsi="Times New Roman" w:eastAsia="仿宋" w:cs="仿宋"/>
                <w:color w:val="000000"/>
                <w:kern w:val="0"/>
                <w:sz w:val="24"/>
                <w:szCs w:val="24"/>
              </w:rPr>
              <w:t>1212308603</w:t>
            </w:r>
          </w:p>
          <w:p w14:paraId="36EB1DCD">
            <w:pPr>
              <w:pageBreakBefore w:val="0"/>
              <w:kinsoku/>
              <w:overflowPunct/>
              <w:topLinePunct w:val="0"/>
              <w:bidi w:val="0"/>
              <w:adjustRightInd w:val="0"/>
              <w:snapToGrid w:val="0"/>
              <w:spacing w:line="240" w:lineRule="auto"/>
              <w:jc w:val="center"/>
              <w:rPr>
                <w:rFonts w:hint="eastAsia" w:ascii="仿宋" w:hAnsi="Times New Roman" w:eastAsia="仿宋" w:cs="仿宋"/>
                <w:color w:val="000000"/>
                <w:kern w:val="0"/>
                <w:sz w:val="24"/>
                <w:szCs w:val="24"/>
              </w:rPr>
            </w:pPr>
            <w:r>
              <w:rPr>
                <w:rFonts w:hint="eastAsia" w:ascii="仿宋" w:hAnsi="Times New Roman" w:eastAsia="仿宋" w:cs="仿宋"/>
                <w:color w:val="000000"/>
                <w:kern w:val="0"/>
                <w:sz w:val="24"/>
                <w:szCs w:val="24"/>
              </w:rPr>
              <w:t>1212308604</w:t>
            </w:r>
          </w:p>
        </w:tc>
      </w:tr>
      <w:tr w14:paraId="0C191449">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14:paraId="76158145">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课程类型</w:t>
            </w:r>
          </w:p>
        </w:tc>
        <w:tc>
          <w:tcPr>
            <w:tcW w:w="7772" w:type="dxa"/>
            <w:gridSpan w:val="13"/>
            <w:tcBorders>
              <w:top w:val="single" w:color="auto" w:sz="4" w:space="0"/>
              <w:left w:val="single" w:color="auto" w:sz="4" w:space="0"/>
              <w:bottom w:val="single" w:color="auto" w:sz="4" w:space="0"/>
              <w:right w:val="single" w:color="auto" w:sz="4" w:space="0"/>
            </w:tcBorders>
            <w:noWrap/>
            <w:vAlign w:val="center"/>
          </w:tcPr>
          <w:p w14:paraId="230DBB5B">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rPr>
            </w:pPr>
            <w:r>
              <w:rPr>
                <w:rFonts w:hint="eastAsia" w:ascii="仿宋" w:eastAsia="仿宋" w:cs="仿宋"/>
                <w:color w:val="000000"/>
                <w:sz w:val="24"/>
                <w:szCs w:val="24"/>
              </w:rPr>
              <w:sym w:font="Wingdings" w:char="00A8"/>
            </w:r>
            <w:r>
              <w:rPr>
                <w:rFonts w:hint="eastAsia" w:ascii="仿宋" w:eastAsia="仿宋" w:cs="仿宋"/>
                <w:color w:val="000000"/>
                <w:sz w:val="24"/>
                <w:szCs w:val="24"/>
              </w:rPr>
              <w:t xml:space="preserve">通识必修 </w:t>
            </w:r>
            <w:r>
              <w:rPr>
                <w:rFonts w:hint="eastAsia" w:ascii="仿宋" w:eastAsia="仿宋" w:cs="仿宋"/>
                <w:color w:val="000000"/>
                <w:sz w:val="24"/>
                <w:szCs w:val="24"/>
              </w:rPr>
              <w:sym w:font="Wingdings" w:char="00A8"/>
            </w:r>
            <w:r>
              <w:rPr>
                <w:rFonts w:hint="eastAsia" w:ascii="仿宋" w:eastAsia="仿宋" w:cs="仿宋"/>
                <w:color w:val="000000"/>
                <w:sz w:val="24"/>
                <w:szCs w:val="24"/>
              </w:rPr>
              <w:t xml:space="preserve">通识选修 </w:t>
            </w:r>
            <w:r>
              <w:rPr>
                <w:rFonts w:hint="eastAsia" w:ascii="仿宋" w:eastAsia="仿宋" w:cs="仿宋"/>
                <w:color w:val="000000"/>
                <w:sz w:val="24"/>
                <w:szCs w:val="24"/>
              </w:rPr>
              <w:sym w:font="Wingdings" w:char="00FE"/>
            </w:r>
            <w:r>
              <w:rPr>
                <w:rFonts w:hint="eastAsia" w:ascii="仿宋" w:eastAsia="仿宋" w:cs="仿宋"/>
                <w:color w:val="000000"/>
                <w:sz w:val="24"/>
                <w:szCs w:val="24"/>
              </w:rPr>
              <w:t xml:space="preserve">专业必修 </w:t>
            </w:r>
          </w:p>
          <w:p w14:paraId="01114188">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rPr>
            </w:pPr>
            <w:r>
              <w:rPr>
                <w:rFonts w:hint="eastAsia" w:ascii="仿宋" w:eastAsia="仿宋" w:cs="仿宋"/>
                <w:color w:val="000000"/>
                <w:sz w:val="24"/>
                <w:szCs w:val="24"/>
              </w:rPr>
              <w:sym w:font="Wingdings" w:char="00A8"/>
            </w:r>
            <w:r>
              <w:rPr>
                <w:rFonts w:hint="eastAsia" w:ascii="仿宋" w:eastAsia="仿宋" w:cs="仿宋"/>
                <w:color w:val="000000"/>
                <w:sz w:val="24"/>
                <w:szCs w:val="24"/>
              </w:rPr>
              <w:t>专业选修</w:t>
            </w:r>
            <w:r>
              <w:rPr>
                <w:rFonts w:hint="eastAsia" w:ascii="仿宋" w:eastAsia="仿宋" w:cs="仿宋"/>
                <w:color w:val="000000"/>
                <w:sz w:val="24"/>
                <w:szCs w:val="24"/>
                <w:lang w:eastAsia="zh-TW"/>
              </w:rPr>
              <w:t xml:space="preserve"> </w:t>
            </w:r>
            <w:r>
              <w:rPr>
                <w:rFonts w:hint="eastAsia" w:ascii="仿宋" w:eastAsia="仿宋" w:cs="仿宋"/>
                <w:color w:val="000000"/>
                <w:sz w:val="24"/>
                <w:szCs w:val="24"/>
              </w:rPr>
              <w:sym w:font="Wingdings" w:char="00A8"/>
            </w:r>
            <w:r>
              <w:rPr>
                <w:rFonts w:hint="eastAsia" w:ascii="仿宋" w:eastAsia="仿宋" w:cs="仿宋"/>
                <w:color w:val="000000"/>
                <w:sz w:val="24"/>
                <w:szCs w:val="24"/>
              </w:rPr>
              <w:t xml:space="preserve">教师教育必修 </w:t>
            </w:r>
            <w:r>
              <w:rPr>
                <w:rFonts w:hint="eastAsia" w:ascii="仿宋" w:eastAsia="仿宋" w:cs="仿宋"/>
                <w:color w:val="000000"/>
                <w:sz w:val="24"/>
                <w:szCs w:val="24"/>
              </w:rPr>
              <w:sym w:font="Wingdings" w:char="00A8"/>
            </w:r>
            <w:r>
              <w:rPr>
                <w:rFonts w:hint="eastAsia" w:ascii="仿宋" w:eastAsia="仿宋" w:cs="仿宋"/>
                <w:color w:val="000000"/>
                <w:sz w:val="24"/>
                <w:szCs w:val="24"/>
              </w:rPr>
              <w:t>教师教育选修</w:t>
            </w:r>
          </w:p>
        </w:tc>
      </w:tr>
      <w:tr w14:paraId="36163195">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14:paraId="1E6427DB">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开课学期</w:t>
            </w:r>
          </w:p>
        </w:tc>
        <w:tc>
          <w:tcPr>
            <w:tcW w:w="1554" w:type="dxa"/>
            <w:gridSpan w:val="3"/>
            <w:tcBorders>
              <w:top w:val="single" w:color="auto" w:sz="4" w:space="0"/>
              <w:left w:val="single" w:color="auto" w:sz="4" w:space="0"/>
              <w:bottom w:val="single" w:color="auto" w:sz="4" w:space="0"/>
              <w:right w:val="single" w:color="auto" w:sz="4" w:space="0"/>
            </w:tcBorders>
            <w:noWrap/>
            <w:vAlign w:val="center"/>
          </w:tcPr>
          <w:p w14:paraId="4E888FAA">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hAnsi="Times New Roman" w:eastAsia="仿宋" w:cs="仿宋"/>
                <w:color w:val="000000"/>
                <w:kern w:val="0"/>
                <w:sz w:val="24"/>
                <w:szCs w:val="24"/>
                <w:lang w:val="en-US" w:eastAsia="zh-CN"/>
              </w:rPr>
              <w:t>第1、2、3、4学期</w:t>
            </w:r>
          </w:p>
        </w:tc>
        <w:tc>
          <w:tcPr>
            <w:tcW w:w="1554" w:type="dxa"/>
            <w:tcBorders>
              <w:top w:val="single" w:color="auto" w:sz="4" w:space="0"/>
              <w:left w:val="single" w:color="auto" w:sz="4" w:space="0"/>
              <w:bottom w:val="single" w:color="auto" w:sz="4" w:space="0"/>
              <w:right w:val="single" w:color="auto" w:sz="4" w:space="0"/>
            </w:tcBorders>
            <w:noWrap/>
            <w:vAlign w:val="center"/>
          </w:tcPr>
          <w:p w14:paraId="4DBE70EB">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hAnsi="Times New Roman" w:eastAsia="仿宋" w:cs="仿宋"/>
                <w:color w:val="000000"/>
                <w:kern w:val="0"/>
                <w:sz w:val="24"/>
                <w:szCs w:val="24"/>
                <w:lang w:val="en-US" w:eastAsia="zh-CN"/>
              </w:rPr>
              <w:t>学分</w:t>
            </w:r>
          </w:p>
        </w:tc>
        <w:tc>
          <w:tcPr>
            <w:tcW w:w="1554" w:type="dxa"/>
            <w:gridSpan w:val="2"/>
            <w:tcBorders>
              <w:top w:val="single" w:color="auto" w:sz="4" w:space="0"/>
              <w:left w:val="single" w:color="auto" w:sz="4" w:space="0"/>
              <w:bottom w:val="single" w:color="auto" w:sz="4" w:space="0"/>
              <w:right w:val="single" w:color="auto" w:sz="4" w:space="0"/>
            </w:tcBorders>
            <w:noWrap/>
            <w:vAlign w:val="center"/>
          </w:tcPr>
          <w:p w14:paraId="3EC66DDC">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CN"/>
              </w:rPr>
            </w:pPr>
            <w:r>
              <w:rPr>
                <w:rFonts w:hint="eastAsia" w:ascii="仿宋" w:hAnsi="Times New Roman" w:eastAsia="仿宋" w:cs="仿宋"/>
                <w:color w:val="000000"/>
                <w:kern w:val="0"/>
                <w:sz w:val="24"/>
                <w:szCs w:val="24"/>
                <w:lang w:val="en-US" w:eastAsia="zh-CN"/>
              </w:rPr>
              <w:t>6</w:t>
            </w:r>
          </w:p>
        </w:tc>
        <w:tc>
          <w:tcPr>
            <w:tcW w:w="1554" w:type="dxa"/>
            <w:gridSpan w:val="3"/>
            <w:tcBorders>
              <w:top w:val="single" w:color="auto" w:sz="4" w:space="0"/>
              <w:left w:val="single" w:color="auto" w:sz="4" w:space="0"/>
              <w:bottom w:val="single" w:color="auto" w:sz="4" w:space="0"/>
              <w:right w:val="single" w:color="auto" w:sz="4" w:space="0"/>
            </w:tcBorders>
            <w:noWrap/>
            <w:vAlign w:val="center"/>
          </w:tcPr>
          <w:p w14:paraId="54569363">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hAnsi="Times New Roman" w:eastAsia="仿宋" w:cs="仿宋"/>
                <w:color w:val="000000"/>
                <w:kern w:val="0"/>
                <w:sz w:val="24"/>
                <w:szCs w:val="24"/>
                <w:lang w:val="en-US" w:eastAsia="zh-CN"/>
              </w:rPr>
              <w:t>课程负责人</w:t>
            </w:r>
          </w:p>
        </w:tc>
        <w:tc>
          <w:tcPr>
            <w:tcW w:w="1556" w:type="dxa"/>
            <w:gridSpan w:val="4"/>
            <w:tcBorders>
              <w:top w:val="single" w:color="auto" w:sz="4" w:space="0"/>
              <w:left w:val="single" w:color="auto" w:sz="4" w:space="0"/>
              <w:bottom w:val="single" w:color="auto" w:sz="4" w:space="0"/>
              <w:right w:val="single" w:color="auto" w:sz="4" w:space="0"/>
            </w:tcBorders>
            <w:noWrap/>
            <w:vAlign w:val="center"/>
          </w:tcPr>
          <w:p w14:paraId="0F2B5B88">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Hans"/>
              </w:rPr>
            </w:pPr>
            <w:r>
              <w:rPr>
                <w:rFonts w:hint="eastAsia" w:ascii="仿宋" w:hAnsi="Times New Roman" w:eastAsia="仿宋" w:cs="仿宋"/>
                <w:color w:val="000000"/>
                <w:kern w:val="0"/>
                <w:sz w:val="24"/>
                <w:szCs w:val="24"/>
                <w:lang w:val="en-US" w:eastAsia="zh-CN"/>
              </w:rPr>
              <w:t>吴越</w:t>
            </w:r>
          </w:p>
        </w:tc>
      </w:tr>
      <w:tr w14:paraId="3A443EA2">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14:paraId="2207CC9C">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总学时</w:t>
            </w:r>
          </w:p>
        </w:tc>
        <w:tc>
          <w:tcPr>
            <w:tcW w:w="1554" w:type="dxa"/>
            <w:gridSpan w:val="3"/>
            <w:tcBorders>
              <w:top w:val="single" w:color="auto" w:sz="4" w:space="0"/>
              <w:left w:val="single" w:color="auto" w:sz="4" w:space="0"/>
              <w:bottom w:val="single" w:color="auto" w:sz="4" w:space="0"/>
              <w:right w:val="single" w:color="auto" w:sz="4" w:space="0"/>
            </w:tcBorders>
            <w:noWrap/>
            <w:vAlign w:val="center"/>
          </w:tcPr>
          <w:p w14:paraId="7B7ED7C2">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CN"/>
              </w:rPr>
            </w:pPr>
            <w:r>
              <w:rPr>
                <w:rFonts w:hint="eastAsia" w:ascii="仿宋" w:hAnsi="Times New Roman" w:eastAsia="仿宋" w:cs="仿宋"/>
                <w:color w:val="000000"/>
                <w:kern w:val="0"/>
                <w:sz w:val="24"/>
                <w:szCs w:val="24"/>
                <w:lang w:val="en-US" w:eastAsia="zh-CN"/>
              </w:rPr>
              <w:t>128</w:t>
            </w:r>
          </w:p>
        </w:tc>
        <w:tc>
          <w:tcPr>
            <w:tcW w:w="1554" w:type="dxa"/>
            <w:tcBorders>
              <w:top w:val="single" w:color="auto" w:sz="4" w:space="0"/>
              <w:left w:val="single" w:color="auto" w:sz="4" w:space="0"/>
              <w:bottom w:val="single" w:color="auto" w:sz="4" w:space="0"/>
              <w:right w:val="single" w:color="auto" w:sz="4" w:space="0"/>
            </w:tcBorders>
            <w:noWrap/>
            <w:vAlign w:val="center"/>
          </w:tcPr>
          <w:p w14:paraId="59092492">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hAnsi="Times New Roman" w:eastAsia="仿宋" w:cs="仿宋"/>
                <w:color w:val="000000"/>
                <w:kern w:val="0"/>
                <w:sz w:val="24"/>
                <w:szCs w:val="24"/>
                <w:lang w:val="en-US" w:eastAsia="zh-CN"/>
              </w:rPr>
              <w:t>理论学时</w:t>
            </w:r>
          </w:p>
        </w:tc>
        <w:tc>
          <w:tcPr>
            <w:tcW w:w="1554" w:type="dxa"/>
            <w:gridSpan w:val="2"/>
            <w:tcBorders>
              <w:top w:val="single" w:color="auto" w:sz="4" w:space="0"/>
              <w:left w:val="single" w:color="auto" w:sz="4" w:space="0"/>
              <w:bottom w:val="single" w:color="auto" w:sz="4" w:space="0"/>
              <w:right w:val="single" w:color="auto" w:sz="4" w:space="0"/>
            </w:tcBorders>
            <w:noWrap/>
            <w:vAlign w:val="center"/>
          </w:tcPr>
          <w:p w14:paraId="58ADD3B8">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CN"/>
              </w:rPr>
            </w:pPr>
            <w:r>
              <w:rPr>
                <w:rFonts w:hint="eastAsia" w:ascii="仿宋" w:hAnsi="Times New Roman" w:eastAsia="仿宋" w:cs="仿宋"/>
                <w:color w:val="000000"/>
                <w:kern w:val="0"/>
                <w:sz w:val="24"/>
                <w:szCs w:val="24"/>
                <w:lang w:val="en-US" w:eastAsia="zh-CN"/>
              </w:rPr>
              <w:t>64</w:t>
            </w:r>
          </w:p>
        </w:tc>
        <w:tc>
          <w:tcPr>
            <w:tcW w:w="1554" w:type="dxa"/>
            <w:gridSpan w:val="3"/>
            <w:tcBorders>
              <w:top w:val="single" w:color="auto" w:sz="4" w:space="0"/>
              <w:left w:val="single" w:color="auto" w:sz="4" w:space="0"/>
              <w:bottom w:val="single" w:color="auto" w:sz="4" w:space="0"/>
              <w:right w:val="single" w:color="000000" w:sz="4" w:space="0"/>
            </w:tcBorders>
            <w:noWrap/>
            <w:vAlign w:val="center"/>
          </w:tcPr>
          <w:p w14:paraId="22BD547A">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hAnsi="Times New Roman" w:eastAsia="仿宋" w:cs="仿宋"/>
                <w:color w:val="000000"/>
                <w:kern w:val="0"/>
                <w:sz w:val="24"/>
                <w:szCs w:val="24"/>
                <w:lang w:val="en-US" w:eastAsia="zh-CN"/>
              </w:rPr>
              <w:t>实践学时</w:t>
            </w:r>
          </w:p>
        </w:tc>
        <w:tc>
          <w:tcPr>
            <w:tcW w:w="1556" w:type="dxa"/>
            <w:gridSpan w:val="4"/>
            <w:tcBorders>
              <w:top w:val="single" w:color="auto" w:sz="4" w:space="0"/>
              <w:left w:val="single" w:color="000000" w:sz="4" w:space="0"/>
              <w:bottom w:val="single" w:color="auto" w:sz="4" w:space="0"/>
              <w:right w:val="single" w:color="auto" w:sz="4" w:space="0"/>
            </w:tcBorders>
            <w:noWrap/>
            <w:vAlign w:val="center"/>
          </w:tcPr>
          <w:p w14:paraId="1E9C1CA5">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CN"/>
              </w:rPr>
            </w:pPr>
            <w:r>
              <w:rPr>
                <w:rFonts w:hint="eastAsia" w:ascii="仿宋" w:hAnsi="Times New Roman" w:eastAsia="仿宋" w:cs="仿宋"/>
                <w:color w:val="000000"/>
                <w:kern w:val="0"/>
                <w:sz w:val="24"/>
                <w:szCs w:val="24"/>
                <w:lang w:val="en-US" w:eastAsia="zh-CN"/>
              </w:rPr>
              <w:t>64</w:t>
            </w:r>
          </w:p>
        </w:tc>
      </w:tr>
      <w:tr w14:paraId="7727FD13">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14:paraId="42373505">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先修课程与后续课程</w:t>
            </w:r>
          </w:p>
        </w:tc>
        <w:tc>
          <w:tcPr>
            <w:tcW w:w="7772" w:type="dxa"/>
            <w:gridSpan w:val="13"/>
            <w:tcBorders>
              <w:top w:val="single" w:color="auto" w:sz="4" w:space="0"/>
              <w:left w:val="single" w:color="auto" w:sz="4" w:space="0"/>
              <w:bottom w:val="single" w:color="auto" w:sz="4" w:space="0"/>
              <w:right w:val="single" w:color="auto" w:sz="4" w:space="0"/>
            </w:tcBorders>
            <w:noWrap/>
            <w:vAlign w:val="center"/>
          </w:tcPr>
          <w:p w14:paraId="2055D8D5">
            <w:pPr>
              <w:pageBreakBefore w:val="0"/>
              <w:tabs>
                <w:tab w:val="left" w:pos="720"/>
              </w:tabs>
              <w:kinsoku/>
              <w:overflowPunct/>
              <w:topLinePunct w:val="0"/>
              <w:bidi w:val="0"/>
              <w:adjustRightInd w:val="0"/>
              <w:snapToGrid w:val="0"/>
              <w:spacing w:line="240" w:lineRule="auto"/>
              <w:rPr>
                <w:rFonts w:hint="eastAsia" w:ascii="仿宋" w:hAnsi="Times New Roman" w:eastAsia="仿宋" w:cs="Times New Roman"/>
                <w:color w:val="000000"/>
                <w:kern w:val="0"/>
                <w:sz w:val="24"/>
                <w:szCs w:val="24"/>
                <w:lang w:val="en-US" w:eastAsia="zh-CN"/>
              </w:rPr>
            </w:pPr>
            <w:r>
              <w:rPr>
                <w:rFonts w:hint="eastAsia" w:ascii="仿宋" w:hAnsi="Times New Roman" w:eastAsia="仿宋" w:cs="Times New Roman"/>
                <w:color w:val="000000"/>
                <w:kern w:val="0"/>
                <w:sz w:val="24"/>
                <w:szCs w:val="24"/>
                <w:lang w:val="en-US" w:eastAsia="zh-CN"/>
              </w:rPr>
              <w:t>先修课程：无</w:t>
            </w:r>
          </w:p>
          <w:p w14:paraId="680F7652">
            <w:pPr>
              <w:pageBreakBefore w:val="0"/>
              <w:tabs>
                <w:tab w:val="left" w:pos="720"/>
              </w:tabs>
              <w:kinsoku/>
              <w:overflowPunct/>
              <w:topLinePunct w:val="0"/>
              <w:bidi w:val="0"/>
              <w:adjustRightInd w:val="0"/>
              <w:snapToGrid w:val="0"/>
              <w:spacing w:line="240" w:lineRule="auto"/>
              <w:rPr>
                <w:rFonts w:hint="eastAsia" w:ascii="仿宋" w:eastAsia="仿宋" w:cs="仿宋"/>
                <w:color w:val="000000"/>
                <w:sz w:val="24"/>
                <w:szCs w:val="24"/>
              </w:rPr>
            </w:pPr>
            <w:r>
              <w:rPr>
                <w:rFonts w:hint="eastAsia" w:ascii="仿宋" w:hAnsi="Times New Roman" w:eastAsia="仿宋" w:cs="Times New Roman"/>
                <w:color w:val="000000"/>
                <w:kern w:val="0"/>
                <w:sz w:val="24"/>
                <w:szCs w:val="24"/>
                <w:lang w:val="en-US" w:eastAsia="zh-CN"/>
              </w:rPr>
              <w:t>后续课程：和声、曲式分析、钢琴弹唱、即兴伴奏</w:t>
            </w:r>
          </w:p>
        </w:tc>
      </w:tr>
      <w:tr w14:paraId="3C3F104E">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14:paraId="2333EAD3">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适用专业</w:t>
            </w:r>
          </w:p>
        </w:tc>
        <w:tc>
          <w:tcPr>
            <w:tcW w:w="7772" w:type="dxa"/>
            <w:gridSpan w:val="13"/>
            <w:tcBorders>
              <w:top w:val="single" w:color="auto" w:sz="4" w:space="0"/>
              <w:left w:val="single" w:color="auto" w:sz="4" w:space="0"/>
              <w:bottom w:val="single" w:color="auto" w:sz="4" w:space="0"/>
              <w:right w:val="single" w:color="auto" w:sz="4" w:space="0"/>
            </w:tcBorders>
            <w:noWrap/>
            <w:vAlign w:val="center"/>
          </w:tcPr>
          <w:p w14:paraId="42386E16">
            <w:pPr>
              <w:pStyle w:val="290"/>
              <w:tabs>
                <w:tab w:val="left" w:pos="401"/>
              </w:tabs>
              <w:spacing w:before="70"/>
              <w:rPr>
                <w:rFonts w:hint="eastAsia" w:ascii="仿宋" w:eastAsia="仿宋" w:cs="仿宋"/>
                <w:color w:val="000000"/>
                <w:sz w:val="24"/>
                <w:szCs w:val="24"/>
                <w:lang w:eastAsia="zh-CN"/>
              </w:rPr>
            </w:pPr>
            <w:r>
              <w:rPr>
                <w:rFonts w:hint="eastAsia" w:ascii="仿宋" w:hAnsi="仿宋" w:eastAsia="仿宋" w:cs="仿宋"/>
                <w:kern w:val="2"/>
                <w:sz w:val="24"/>
                <w:szCs w:val="24"/>
                <w:lang w:val="en-US" w:eastAsia="zh-CN" w:bidi="ar-SA"/>
              </w:rPr>
              <w:t>音乐学</w:t>
            </w:r>
          </w:p>
        </w:tc>
      </w:tr>
      <w:tr w14:paraId="24C0CB31">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14:paraId="74A7B3E0">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A</w:t>
            </w:r>
          </w:p>
          <w:p w14:paraId="5A34F5E0">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参考教材</w:t>
            </w:r>
          </w:p>
        </w:tc>
        <w:tc>
          <w:tcPr>
            <w:tcW w:w="7772" w:type="dxa"/>
            <w:gridSpan w:val="13"/>
            <w:tcBorders>
              <w:top w:val="single" w:color="auto" w:sz="4" w:space="0"/>
              <w:left w:val="single" w:color="auto" w:sz="4" w:space="0"/>
              <w:bottom w:val="single" w:color="auto" w:sz="4" w:space="0"/>
              <w:right w:val="single" w:color="auto" w:sz="4" w:space="0"/>
            </w:tcBorders>
            <w:noWrap/>
            <w:vAlign w:val="center"/>
          </w:tcPr>
          <w:p w14:paraId="4A787EE5">
            <w:pPr>
              <w:pStyle w:val="290"/>
              <w:tabs>
                <w:tab w:val="left" w:pos="401"/>
              </w:tabs>
              <w:spacing w:before="70"/>
              <w:rPr>
                <w:rFonts w:hint="eastAsia" w:ascii="仿宋" w:eastAsia="仿宋" w:cs="仿宋"/>
                <w:color w:val="4472C4"/>
                <w:kern w:val="0"/>
                <w:sz w:val="24"/>
                <w:szCs w:val="24"/>
                <w:lang w:val="en-US" w:eastAsia="zh-CN"/>
              </w:rPr>
            </w:pPr>
            <w:r>
              <w:rPr>
                <w:rFonts w:hint="eastAsia" w:ascii="仿宋" w:hAnsi="Times New Roman" w:eastAsia="仿宋" w:cs="仿宋"/>
                <w:sz w:val="24"/>
                <w:szCs w:val="24"/>
                <w:lang w:val="en-US" w:eastAsia="zh-CN"/>
              </w:rPr>
              <w:t>许敬行、孙虹着.《视唱练耳》修订版1、2、3、4册.高等教育出版社出版,2011.</w:t>
            </w:r>
          </w:p>
        </w:tc>
      </w:tr>
      <w:tr w14:paraId="4352B5AB">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14:paraId="06129447">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B</w:t>
            </w:r>
          </w:p>
          <w:p w14:paraId="1DB9E154">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主要参考书籍</w:t>
            </w:r>
          </w:p>
        </w:tc>
        <w:tc>
          <w:tcPr>
            <w:tcW w:w="7772" w:type="dxa"/>
            <w:gridSpan w:val="13"/>
            <w:tcBorders>
              <w:top w:val="single" w:color="auto" w:sz="4" w:space="0"/>
              <w:left w:val="single" w:color="auto" w:sz="4" w:space="0"/>
              <w:bottom w:val="single" w:color="auto" w:sz="4" w:space="0"/>
              <w:right w:val="single" w:color="auto" w:sz="4" w:space="0"/>
            </w:tcBorders>
            <w:noWrap/>
            <w:vAlign w:val="center"/>
          </w:tcPr>
          <w:p w14:paraId="61F5ED05">
            <w:pPr>
              <w:pageBreakBefore w:val="0"/>
              <w:tabs>
                <w:tab w:val="left" w:pos="720"/>
              </w:tabs>
              <w:kinsoku/>
              <w:overflowPunct/>
              <w:topLinePunct w:val="0"/>
              <w:bidi w:val="0"/>
              <w:adjustRightInd w:val="0"/>
              <w:snapToGrid w:val="0"/>
              <w:spacing w:line="240" w:lineRule="auto"/>
              <w:rPr>
                <w:rFonts w:hint="eastAsia" w:ascii="仿宋" w:hAnsi="Times New Roman" w:eastAsia="仿宋" w:cs="Times New Roman"/>
                <w:color w:val="000000"/>
                <w:kern w:val="0"/>
                <w:sz w:val="24"/>
                <w:szCs w:val="24"/>
                <w:lang w:val="en-US" w:eastAsia="zh-CN"/>
              </w:rPr>
            </w:pPr>
            <w:r>
              <w:rPr>
                <w:rFonts w:hint="default" w:ascii="仿宋" w:hAnsi="Times New Roman" w:eastAsia="仿宋" w:cs="Times New Roman"/>
                <w:color w:val="000000"/>
                <w:kern w:val="0"/>
                <w:sz w:val="24"/>
                <w:szCs w:val="24"/>
                <w:lang w:val="en-US" w:eastAsia="zh-CN"/>
              </w:rPr>
              <w:t>[1]</w:t>
            </w:r>
            <w:r>
              <w:rPr>
                <w:rFonts w:hint="eastAsia" w:ascii="仿宋" w:hAnsi="Times New Roman" w:eastAsia="仿宋" w:cs="Times New Roman"/>
                <w:color w:val="000000"/>
                <w:kern w:val="0"/>
                <w:sz w:val="24"/>
                <w:szCs w:val="24"/>
                <w:lang w:val="en-US" w:eastAsia="zh-CN"/>
              </w:rPr>
              <w:t>单声部视唱上下册</w:t>
            </w:r>
            <w:r>
              <w:rPr>
                <w:rFonts w:hint="default" w:ascii="仿宋" w:hAnsi="Times New Roman" w:eastAsia="仿宋" w:cs="Times New Roman"/>
                <w:color w:val="000000"/>
                <w:kern w:val="0"/>
                <w:sz w:val="24"/>
                <w:szCs w:val="24"/>
                <w:lang w:val="en-US" w:eastAsia="zh-CN"/>
              </w:rPr>
              <w:t>.</w:t>
            </w:r>
            <w:r>
              <w:rPr>
                <w:rFonts w:hint="eastAsia" w:ascii="仿宋" w:hAnsi="Times New Roman" w:eastAsia="仿宋" w:cs="Times New Roman"/>
                <w:color w:val="000000"/>
                <w:kern w:val="0"/>
                <w:sz w:val="24"/>
                <w:szCs w:val="24"/>
                <w:lang w:val="en-US" w:eastAsia="zh-CN"/>
              </w:rPr>
              <w:t>上海音乐学院视唱练耳教研组</w:t>
            </w:r>
            <w:r>
              <w:rPr>
                <w:rFonts w:hint="default" w:ascii="仿宋" w:hAnsi="Times New Roman" w:eastAsia="仿宋" w:cs="Times New Roman"/>
                <w:color w:val="000000"/>
                <w:kern w:val="0"/>
                <w:sz w:val="24"/>
                <w:szCs w:val="24"/>
                <w:lang w:val="en-US" w:eastAsia="zh-CN"/>
              </w:rPr>
              <w:t>,</w:t>
            </w:r>
            <w:r>
              <w:rPr>
                <w:rFonts w:hint="eastAsia" w:ascii="仿宋" w:hAnsi="Times New Roman" w:eastAsia="仿宋" w:cs="Times New Roman"/>
                <w:color w:val="000000"/>
                <w:kern w:val="0"/>
                <w:sz w:val="24"/>
                <w:szCs w:val="24"/>
                <w:lang w:val="en-US" w:eastAsia="zh-CN"/>
              </w:rPr>
              <w:t>2006年</w:t>
            </w:r>
            <w:r>
              <w:rPr>
                <w:rFonts w:hint="default" w:ascii="仿宋" w:hAnsi="Times New Roman" w:eastAsia="仿宋" w:cs="Times New Roman"/>
                <w:color w:val="000000"/>
                <w:kern w:val="0"/>
                <w:sz w:val="24"/>
                <w:szCs w:val="24"/>
                <w:lang w:val="en-US" w:eastAsia="zh-CN"/>
              </w:rPr>
              <w:t>.</w:t>
            </w:r>
          </w:p>
          <w:p w14:paraId="1587B5FD">
            <w:pPr>
              <w:pageBreakBefore w:val="0"/>
              <w:tabs>
                <w:tab w:val="left" w:pos="720"/>
              </w:tabs>
              <w:kinsoku/>
              <w:overflowPunct/>
              <w:topLinePunct w:val="0"/>
              <w:bidi w:val="0"/>
              <w:adjustRightInd w:val="0"/>
              <w:snapToGrid w:val="0"/>
              <w:spacing w:line="240" w:lineRule="auto"/>
              <w:rPr>
                <w:rFonts w:hint="default" w:ascii="仿宋" w:hAnsi="Times New Roman" w:eastAsia="仿宋" w:cs="Times New Roman"/>
                <w:color w:val="000000"/>
                <w:kern w:val="0"/>
                <w:sz w:val="24"/>
                <w:szCs w:val="24"/>
                <w:lang w:val="en-US" w:eastAsia="zh-CN"/>
              </w:rPr>
            </w:pPr>
            <w:r>
              <w:rPr>
                <w:rFonts w:hint="default" w:ascii="仿宋" w:hAnsi="Times New Roman" w:eastAsia="仿宋" w:cs="Times New Roman"/>
                <w:color w:val="000000"/>
                <w:kern w:val="0"/>
                <w:sz w:val="24"/>
                <w:szCs w:val="24"/>
                <w:lang w:val="en-US" w:eastAsia="zh-CN"/>
              </w:rPr>
              <w:t>[</w:t>
            </w:r>
            <w:r>
              <w:rPr>
                <w:rFonts w:hint="eastAsia" w:ascii="仿宋" w:hAnsi="Times New Roman" w:eastAsia="仿宋" w:cs="Times New Roman"/>
                <w:color w:val="000000"/>
                <w:kern w:val="0"/>
                <w:sz w:val="24"/>
                <w:szCs w:val="24"/>
                <w:lang w:val="en-US" w:eastAsia="zh-CN"/>
              </w:rPr>
              <w:t>2</w:t>
            </w:r>
            <w:r>
              <w:rPr>
                <w:rFonts w:hint="default" w:ascii="仿宋" w:hAnsi="Times New Roman" w:eastAsia="仿宋" w:cs="Times New Roman"/>
                <w:color w:val="000000"/>
                <w:kern w:val="0"/>
                <w:sz w:val="24"/>
                <w:szCs w:val="24"/>
                <w:lang w:val="en-US" w:eastAsia="zh-CN"/>
              </w:rPr>
              <w:t>]</w:t>
            </w:r>
            <w:r>
              <w:rPr>
                <w:rFonts w:hint="eastAsia" w:ascii="仿宋" w:hAnsi="Times New Roman" w:eastAsia="仿宋" w:cs="Times New Roman"/>
                <w:color w:val="000000"/>
                <w:kern w:val="0"/>
                <w:sz w:val="24"/>
                <w:szCs w:val="24"/>
                <w:lang w:val="en-US" w:eastAsia="zh-CN"/>
              </w:rPr>
              <w:t>二声部视唱卷教程</w:t>
            </w:r>
            <w:r>
              <w:rPr>
                <w:rFonts w:hint="default" w:ascii="仿宋" w:hAnsi="Times New Roman" w:eastAsia="仿宋" w:cs="Times New Roman"/>
                <w:color w:val="000000"/>
                <w:kern w:val="0"/>
                <w:sz w:val="24"/>
                <w:szCs w:val="24"/>
                <w:lang w:val="en-US" w:eastAsia="zh-CN"/>
              </w:rPr>
              <w:t>.</w:t>
            </w:r>
            <w:r>
              <w:rPr>
                <w:rFonts w:hint="eastAsia" w:ascii="仿宋" w:hAnsi="Times New Roman" w:eastAsia="仿宋" w:cs="Times New Roman"/>
                <w:color w:val="000000"/>
                <w:kern w:val="0"/>
                <w:sz w:val="24"/>
                <w:szCs w:val="24"/>
                <w:lang w:val="en-US" w:eastAsia="zh-CN"/>
              </w:rPr>
              <w:t>上海音乐学院视唱练耳教研组</w:t>
            </w:r>
            <w:r>
              <w:rPr>
                <w:rFonts w:hint="default" w:ascii="仿宋" w:hAnsi="Times New Roman" w:eastAsia="仿宋" w:cs="Times New Roman"/>
                <w:color w:val="000000"/>
                <w:kern w:val="0"/>
                <w:sz w:val="24"/>
                <w:szCs w:val="24"/>
                <w:lang w:val="en-US" w:eastAsia="zh-CN"/>
              </w:rPr>
              <w:t>,</w:t>
            </w:r>
            <w:r>
              <w:rPr>
                <w:rFonts w:hint="eastAsia" w:ascii="仿宋" w:hAnsi="Times New Roman" w:eastAsia="仿宋" w:cs="Times New Roman"/>
                <w:color w:val="000000"/>
                <w:kern w:val="0"/>
                <w:sz w:val="24"/>
                <w:szCs w:val="24"/>
                <w:lang w:val="en-US" w:eastAsia="zh-CN"/>
              </w:rPr>
              <w:t>上海音乐出版社</w:t>
            </w:r>
            <w:r>
              <w:rPr>
                <w:rFonts w:hint="default" w:ascii="仿宋" w:hAnsi="Times New Roman" w:eastAsia="仿宋" w:cs="Times New Roman"/>
                <w:color w:val="000000"/>
                <w:kern w:val="0"/>
                <w:sz w:val="24"/>
                <w:szCs w:val="24"/>
                <w:lang w:val="en-US" w:eastAsia="zh-CN"/>
              </w:rPr>
              <w:t>,</w:t>
            </w:r>
            <w:r>
              <w:rPr>
                <w:rFonts w:hint="eastAsia" w:ascii="仿宋" w:hAnsi="Times New Roman" w:eastAsia="仿宋" w:cs="Times New Roman"/>
                <w:color w:val="000000"/>
                <w:kern w:val="0"/>
                <w:sz w:val="24"/>
                <w:szCs w:val="24"/>
                <w:lang w:val="en-US" w:eastAsia="zh-CN"/>
              </w:rPr>
              <w:t>1991年</w:t>
            </w:r>
            <w:r>
              <w:rPr>
                <w:rFonts w:hint="default" w:ascii="仿宋" w:hAnsi="Times New Roman" w:eastAsia="仿宋" w:cs="Times New Roman"/>
                <w:color w:val="000000"/>
                <w:kern w:val="0"/>
                <w:sz w:val="24"/>
                <w:szCs w:val="24"/>
                <w:lang w:val="en-US" w:eastAsia="zh-CN"/>
              </w:rPr>
              <w:t>.</w:t>
            </w:r>
          </w:p>
          <w:p w14:paraId="48086683">
            <w:pPr>
              <w:pageBreakBefore w:val="0"/>
              <w:tabs>
                <w:tab w:val="left" w:pos="720"/>
              </w:tabs>
              <w:kinsoku/>
              <w:overflowPunct/>
              <w:topLinePunct w:val="0"/>
              <w:bidi w:val="0"/>
              <w:adjustRightInd w:val="0"/>
              <w:snapToGrid w:val="0"/>
              <w:spacing w:line="240" w:lineRule="auto"/>
              <w:rPr>
                <w:rFonts w:hint="default" w:ascii="仿宋" w:eastAsia="仿宋" w:cs="仿宋"/>
                <w:color w:val="auto"/>
                <w:kern w:val="0"/>
                <w:sz w:val="24"/>
                <w:szCs w:val="24"/>
                <w:lang w:val="en-US" w:eastAsia="zh-Hans"/>
              </w:rPr>
            </w:pPr>
            <w:r>
              <w:rPr>
                <w:rFonts w:hint="default" w:ascii="仿宋" w:hAnsi="Times New Roman" w:eastAsia="仿宋" w:cs="Times New Roman"/>
                <w:color w:val="000000"/>
                <w:kern w:val="0"/>
                <w:sz w:val="24"/>
                <w:szCs w:val="24"/>
                <w:lang w:val="en-US" w:eastAsia="zh-CN"/>
              </w:rPr>
              <w:t>[</w:t>
            </w:r>
            <w:r>
              <w:rPr>
                <w:rFonts w:hint="eastAsia" w:ascii="仿宋" w:hAnsi="Times New Roman" w:eastAsia="仿宋" w:cs="Times New Roman"/>
                <w:color w:val="000000"/>
                <w:kern w:val="0"/>
                <w:sz w:val="24"/>
                <w:szCs w:val="24"/>
                <w:lang w:val="en-US" w:eastAsia="zh-CN"/>
              </w:rPr>
              <w:t>3</w:t>
            </w:r>
            <w:r>
              <w:rPr>
                <w:rFonts w:hint="default" w:ascii="仿宋" w:hAnsi="Times New Roman" w:eastAsia="仿宋" w:cs="Times New Roman"/>
                <w:color w:val="000000"/>
                <w:kern w:val="0"/>
                <w:sz w:val="24"/>
                <w:szCs w:val="24"/>
                <w:lang w:val="en-US" w:eastAsia="zh-CN"/>
              </w:rPr>
              <w:t>]</w:t>
            </w:r>
            <w:r>
              <w:rPr>
                <w:rFonts w:hint="eastAsia" w:ascii="仿宋" w:hAnsi="Times New Roman" w:eastAsia="仿宋" w:cs="Times New Roman"/>
                <w:color w:val="000000"/>
                <w:kern w:val="0"/>
                <w:sz w:val="24"/>
                <w:szCs w:val="24"/>
                <w:lang w:val="en-US" w:eastAsia="zh-CN"/>
              </w:rPr>
              <w:t>节奏训练</w:t>
            </w:r>
            <w:r>
              <w:rPr>
                <w:rFonts w:hint="default" w:ascii="仿宋" w:hAnsi="Times New Roman" w:eastAsia="仿宋" w:cs="Times New Roman"/>
                <w:color w:val="000000"/>
                <w:kern w:val="0"/>
                <w:sz w:val="24"/>
                <w:szCs w:val="24"/>
                <w:lang w:val="en-US" w:eastAsia="zh-CN"/>
              </w:rPr>
              <w:t>.</w:t>
            </w:r>
            <w:r>
              <w:rPr>
                <w:rFonts w:hint="eastAsia" w:ascii="仿宋" w:hAnsi="Times New Roman" w:eastAsia="仿宋" w:cs="Times New Roman"/>
                <w:color w:val="000000"/>
                <w:kern w:val="0"/>
                <w:sz w:val="24"/>
                <w:szCs w:val="24"/>
                <w:lang w:val="en-US" w:eastAsia="zh-CN"/>
              </w:rPr>
              <w:t>许新华</w:t>
            </w:r>
            <w:r>
              <w:rPr>
                <w:rFonts w:hint="default" w:ascii="仿宋" w:hAnsi="Times New Roman" w:eastAsia="仿宋" w:cs="Times New Roman"/>
                <w:color w:val="000000"/>
                <w:kern w:val="0"/>
                <w:sz w:val="24"/>
                <w:szCs w:val="24"/>
                <w:lang w:val="en-US" w:eastAsia="zh-CN"/>
              </w:rPr>
              <w:t>,</w:t>
            </w:r>
            <w:r>
              <w:rPr>
                <w:rFonts w:hint="eastAsia" w:ascii="仿宋" w:hAnsi="Times New Roman" w:eastAsia="仿宋" w:cs="Times New Roman"/>
                <w:color w:val="000000"/>
                <w:kern w:val="0"/>
                <w:sz w:val="24"/>
                <w:szCs w:val="24"/>
                <w:lang w:val="en-US" w:eastAsia="zh-CN"/>
              </w:rPr>
              <w:t>广东花城出版社,2013年</w:t>
            </w:r>
            <w:r>
              <w:rPr>
                <w:rFonts w:hint="default" w:ascii="仿宋" w:hAnsi="Times New Roman" w:eastAsia="仿宋" w:cs="Times New Roman"/>
                <w:color w:val="000000"/>
                <w:kern w:val="0"/>
                <w:sz w:val="24"/>
                <w:szCs w:val="24"/>
                <w:lang w:val="en-US" w:eastAsia="zh-CN"/>
              </w:rPr>
              <w:t>.</w:t>
            </w:r>
          </w:p>
        </w:tc>
      </w:tr>
      <w:tr w14:paraId="1D89CF51">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14:paraId="535BB8AA">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C</w:t>
            </w:r>
          </w:p>
          <w:p w14:paraId="5D5BBC81">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线上学习资源</w:t>
            </w:r>
          </w:p>
        </w:tc>
        <w:tc>
          <w:tcPr>
            <w:tcW w:w="7772" w:type="dxa"/>
            <w:gridSpan w:val="13"/>
            <w:tcBorders>
              <w:top w:val="single" w:color="auto" w:sz="4" w:space="0"/>
              <w:left w:val="single" w:color="auto" w:sz="4" w:space="0"/>
              <w:bottom w:val="single" w:color="auto" w:sz="4" w:space="0"/>
              <w:right w:val="single" w:color="auto" w:sz="4" w:space="0"/>
            </w:tcBorders>
            <w:noWrap/>
            <w:vAlign w:val="center"/>
          </w:tcPr>
          <w:p w14:paraId="5BBE86D3">
            <w:pPr>
              <w:pageBreakBefore w:val="0"/>
              <w:tabs>
                <w:tab w:val="left" w:pos="720"/>
              </w:tabs>
              <w:kinsoku/>
              <w:overflowPunct/>
              <w:topLinePunct w:val="0"/>
              <w:bidi w:val="0"/>
              <w:adjustRightInd w:val="0"/>
              <w:snapToGrid w:val="0"/>
              <w:spacing w:line="240" w:lineRule="auto"/>
              <w:rPr>
                <w:rFonts w:hint="eastAsia" w:ascii="仿宋" w:hAnsi="Times New Roman" w:eastAsia="仿宋" w:cs="Times New Roman"/>
                <w:color w:val="000000"/>
                <w:kern w:val="0"/>
                <w:sz w:val="24"/>
                <w:szCs w:val="24"/>
                <w:lang w:val="en-US" w:eastAsia="zh-CN"/>
              </w:rPr>
            </w:pPr>
            <w:r>
              <w:rPr>
                <w:rFonts w:hint="eastAsia" w:ascii="仿宋" w:hAnsi="Times New Roman" w:eastAsia="仿宋" w:cs="Times New Roman"/>
                <w:color w:val="000000"/>
                <w:kern w:val="0"/>
                <w:sz w:val="24"/>
                <w:szCs w:val="24"/>
                <w:lang w:val="en-US" w:eastAsia="zh-CN"/>
              </w:rPr>
              <w:t>1.本课程已经建立超星平台网络课程，同学们依据学校提供的帐号与密码登录课程网站，可查看教学大纲、授课计划、考核方法、课程PPT、教学视频、电子教材、音频、阅读资料、仿真软件、网络文献链接网址等教学资源。</w:t>
            </w:r>
          </w:p>
          <w:p w14:paraId="08DB81CB">
            <w:pPr>
              <w:pageBreakBefore w:val="0"/>
              <w:tabs>
                <w:tab w:val="left" w:pos="720"/>
              </w:tabs>
              <w:kinsoku/>
              <w:overflowPunct/>
              <w:topLinePunct w:val="0"/>
              <w:bidi w:val="0"/>
              <w:adjustRightInd w:val="0"/>
              <w:snapToGrid w:val="0"/>
              <w:spacing w:line="240" w:lineRule="auto"/>
              <w:rPr>
                <w:rFonts w:hint="eastAsia" w:ascii="仿宋" w:eastAsia="仿宋" w:cs="仿宋"/>
                <w:color w:val="000000"/>
                <w:sz w:val="24"/>
                <w:szCs w:val="24"/>
                <w:lang w:val="en-US" w:eastAsia="zh-CN"/>
              </w:rPr>
            </w:pPr>
            <w:r>
              <w:rPr>
                <w:rFonts w:hint="eastAsia" w:ascii="仿宋" w:hAnsi="Times New Roman" w:eastAsia="仿宋" w:cs="Times New Roman"/>
                <w:color w:val="000000"/>
                <w:kern w:val="0"/>
                <w:sz w:val="24"/>
                <w:szCs w:val="24"/>
                <w:lang w:val="en-US" w:eastAsia="zh-CN"/>
              </w:rPr>
              <w:t>2.中国大学MOOC平台</w:t>
            </w:r>
          </w:p>
        </w:tc>
      </w:tr>
      <w:tr w14:paraId="2EF96B19">
        <w:trPr>
          <w:trHeight w:val="624" w:hRule="atLeast"/>
        </w:trPr>
        <w:tc>
          <w:tcPr>
            <w:tcW w:w="1376"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525FA231">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D</w:t>
            </w:r>
          </w:p>
          <w:p w14:paraId="1F87A3F7">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 xml:space="preserve">课程描述 </w:t>
            </w:r>
          </w:p>
          <w:p w14:paraId="7C9E6383">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lang w:eastAsia="zh-TW"/>
              </w:rPr>
              <w:t>(</w:t>
            </w:r>
            <w:r>
              <w:rPr>
                <w:rFonts w:hint="eastAsia" w:ascii="仿宋" w:eastAsia="仿宋" w:cs="仿宋"/>
                <w:color w:val="000000"/>
                <w:sz w:val="24"/>
                <w:szCs w:val="24"/>
              </w:rPr>
              <w:t>含</w:t>
            </w:r>
            <w:r>
              <w:rPr>
                <w:rFonts w:hint="eastAsia" w:ascii="仿宋" w:eastAsia="仿宋" w:cs="仿宋"/>
                <w:color w:val="000000"/>
                <w:sz w:val="24"/>
                <w:szCs w:val="24"/>
                <w:lang w:eastAsia="zh-TW"/>
              </w:rPr>
              <w:t>性质、地位和任务)</w:t>
            </w:r>
          </w:p>
        </w:tc>
        <w:tc>
          <w:tcPr>
            <w:tcW w:w="7772" w:type="dxa"/>
            <w:gridSpan w:val="13"/>
            <w:tcBorders>
              <w:top w:val="single" w:color="auto" w:sz="4" w:space="0"/>
              <w:left w:val="single" w:color="auto" w:sz="4" w:space="0"/>
              <w:bottom w:val="single" w:color="auto" w:sz="4" w:space="0"/>
              <w:right w:val="single" w:color="auto" w:sz="4" w:space="0"/>
            </w:tcBorders>
            <w:shd w:val="clear" w:color="auto" w:fill="FFFFFF"/>
            <w:noWrap/>
            <w:vAlign w:val="center"/>
          </w:tcPr>
          <w:p w14:paraId="505B03F1">
            <w:pPr>
              <w:pageBreakBefore w:val="0"/>
              <w:tabs>
                <w:tab w:val="left" w:pos="720"/>
              </w:tabs>
              <w:kinsoku/>
              <w:overflowPunct/>
              <w:topLinePunct w:val="0"/>
              <w:bidi w:val="0"/>
              <w:adjustRightInd w:val="0"/>
              <w:snapToGrid w:val="0"/>
              <w:spacing w:line="240" w:lineRule="auto"/>
              <w:rPr>
                <w:rFonts w:hint="eastAsia" w:ascii="仿宋" w:hAnsi="Times New Roman" w:eastAsia="仿宋" w:cs="Times New Roman"/>
                <w:color w:val="000000"/>
                <w:kern w:val="0"/>
                <w:sz w:val="24"/>
                <w:szCs w:val="24"/>
                <w:lang w:val="en-US" w:eastAsia="zh-CN"/>
              </w:rPr>
            </w:pPr>
            <w:r>
              <w:rPr>
                <w:rFonts w:hint="eastAsia" w:ascii="仿宋" w:hAnsi="Times New Roman" w:eastAsia="仿宋" w:cs="Times New Roman"/>
                <w:color w:val="000000"/>
                <w:kern w:val="0"/>
                <w:sz w:val="24"/>
                <w:szCs w:val="24"/>
                <w:lang w:val="en-US" w:eastAsia="zh-CN"/>
              </w:rPr>
              <w:t>视唱练耳是音乐学专业本科的专业课之一，授课对象是该专业全体一、二年级学生。该课程系统讲授有关音乐实践所需最基本的知识能力，使学生获得学习、掌握和理解音乐及其表现方法所必需最基本的知识和技能,未来从事音乐工作所必备的基础能力，为进一步学习其他音乐课程和发展音乐技能奠定基础。</w:t>
            </w:r>
          </w:p>
          <w:p w14:paraId="58D8E77C">
            <w:pPr>
              <w:pageBreakBefore w:val="0"/>
              <w:tabs>
                <w:tab w:val="left" w:pos="720"/>
              </w:tabs>
              <w:kinsoku/>
              <w:overflowPunct/>
              <w:topLinePunct w:val="0"/>
              <w:bidi w:val="0"/>
              <w:adjustRightInd w:val="0"/>
              <w:snapToGrid w:val="0"/>
              <w:spacing w:line="240" w:lineRule="auto"/>
              <w:rPr>
                <w:rFonts w:hint="eastAsia" w:ascii="仿宋" w:eastAsia="仿宋" w:cs="仿宋"/>
                <w:color w:val="auto"/>
                <w:kern w:val="0"/>
                <w:sz w:val="24"/>
                <w:szCs w:val="24"/>
                <w:lang w:val="en-US" w:eastAsia="zh-CN"/>
              </w:rPr>
            </w:pPr>
            <w:r>
              <w:rPr>
                <w:rFonts w:hint="eastAsia" w:ascii="仿宋" w:hAnsi="Times New Roman" w:eastAsia="仿宋" w:cs="Times New Roman"/>
                <w:color w:val="000000"/>
                <w:kern w:val="0"/>
                <w:sz w:val="24"/>
                <w:szCs w:val="24"/>
                <w:lang w:val="en-US" w:eastAsia="zh-CN"/>
              </w:rPr>
              <w:t>通过本课程的教学，使学生掌握正确音高，理解各种节奏型态、掌握背唱,视唱及听写的能力，使学生具备能更好地处理音乐表现方法所必须的一般知识和技能；并为进一步学习其他音乐课程、发展音乐才能，在专业上打下牢固的基础。</w:t>
            </w:r>
          </w:p>
        </w:tc>
      </w:tr>
      <w:tr w14:paraId="6D6B0583">
        <w:trPr>
          <w:trHeight w:val="624" w:hRule="atLeast"/>
        </w:trPr>
        <w:tc>
          <w:tcPr>
            <w:tcW w:w="1376" w:type="dxa"/>
            <w:vMerge w:val="restart"/>
            <w:tcBorders>
              <w:top w:val="single" w:color="auto" w:sz="4" w:space="0"/>
              <w:left w:val="single" w:color="auto" w:sz="4" w:space="0"/>
              <w:bottom w:val="single" w:color="auto" w:sz="4" w:space="0"/>
              <w:right w:val="single" w:color="auto" w:sz="4" w:space="0"/>
            </w:tcBorders>
            <w:shd w:val="clear" w:color="auto" w:fill="FFFFFF"/>
            <w:noWrap/>
            <w:vAlign w:val="center"/>
          </w:tcPr>
          <w:p w14:paraId="2F1824DF">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E</w:t>
            </w:r>
          </w:p>
          <w:p w14:paraId="5B21E05C">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课程学习目标及其与毕业要求的对应关系</w:t>
            </w:r>
          </w:p>
        </w:tc>
        <w:tc>
          <w:tcPr>
            <w:tcW w:w="7772" w:type="dxa"/>
            <w:gridSpan w:val="13"/>
            <w:tcBorders>
              <w:top w:val="single" w:color="auto" w:sz="4" w:space="0"/>
              <w:left w:val="single" w:color="auto" w:sz="4" w:space="0"/>
              <w:bottom w:val="single" w:color="auto" w:sz="4" w:space="0"/>
              <w:right w:val="single" w:color="auto" w:sz="4" w:space="0"/>
            </w:tcBorders>
            <w:shd w:val="clear" w:color="auto" w:fill="FFFFFF"/>
            <w:noWrap/>
            <w:vAlign w:val="center"/>
          </w:tcPr>
          <w:p w14:paraId="31343F34">
            <w:pPr>
              <w:pageBreakBefore w:val="0"/>
              <w:tabs>
                <w:tab w:val="left" w:pos="720"/>
              </w:tabs>
              <w:kinsoku/>
              <w:overflowPunct/>
              <w:topLinePunct w:val="0"/>
              <w:bidi w:val="0"/>
              <w:adjustRightInd w:val="0"/>
              <w:snapToGrid w:val="0"/>
              <w:spacing w:line="240" w:lineRule="auto"/>
              <w:rPr>
                <w:rFonts w:hint="eastAsia" w:ascii="仿宋" w:hAnsi="Times New Roman" w:eastAsia="仿宋" w:cs="Times New Roman"/>
                <w:color w:val="000000"/>
                <w:kern w:val="0"/>
                <w:sz w:val="24"/>
                <w:szCs w:val="24"/>
                <w:lang w:val="en-US" w:eastAsia="zh-TW"/>
              </w:rPr>
            </w:pPr>
            <w:r>
              <w:rPr>
                <w:rFonts w:hint="eastAsia" w:ascii="仿宋" w:hAnsi="Times New Roman" w:eastAsia="仿宋" w:cs="Times New Roman"/>
                <w:color w:val="000000"/>
                <w:kern w:val="0"/>
                <w:sz w:val="24"/>
                <w:szCs w:val="24"/>
                <w:lang w:val="en-US" w:eastAsia="zh-CN"/>
              </w:rPr>
              <w:t>通过本课程的学习，学生具备如下知识、能力及情感态度价值观：</w:t>
            </w:r>
          </w:p>
          <w:p w14:paraId="458C9A5A">
            <w:pPr>
              <w:pageBreakBefore w:val="0"/>
              <w:tabs>
                <w:tab w:val="left" w:pos="720"/>
              </w:tabs>
              <w:kinsoku/>
              <w:overflowPunct/>
              <w:topLinePunct w:val="0"/>
              <w:bidi w:val="0"/>
              <w:adjustRightInd w:val="0"/>
              <w:snapToGrid w:val="0"/>
              <w:spacing w:line="240" w:lineRule="auto"/>
              <w:rPr>
                <w:rFonts w:hint="eastAsia" w:ascii="仿宋" w:hAnsi="Times New Roman" w:eastAsia="仿宋" w:cs="Times New Roman"/>
                <w:color w:val="000000"/>
                <w:kern w:val="0"/>
                <w:sz w:val="24"/>
                <w:szCs w:val="24"/>
                <w:lang w:val="en-US" w:eastAsia="zh-CN"/>
              </w:rPr>
            </w:pPr>
            <w:r>
              <w:rPr>
                <w:rFonts w:hint="eastAsia" w:ascii="仿宋" w:hAnsi="Times New Roman" w:eastAsia="仿宋" w:cs="Times New Roman"/>
                <w:color w:val="000000"/>
                <w:kern w:val="0"/>
                <w:sz w:val="24"/>
                <w:szCs w:val="24"/>
                <w:lang w:val="en-US" w:eastAsia="zh-CN"/>
              </w:rPr>
              <w:t>课程目标1：了解基本的视唱和听写理论，掌握基本音乐背唱, 视唱和听写技能，具备运用所学技能正确辨认和快速记忆音乐中的曲调，区别不同的音调、和弦、节奏及音高特点的能力。初步形成音乐技能实践体系，掌握音乐基本素养。（支撑毕业要求3.1）</w:t>
            </w:r>
          </w:p>
          <w:p w14:paraId="32C7AB87">
            <w:pPr>
              <w:pageBreakBefore w:val="0"/>
              <w:tabs>
                <w:tab w:val="left" w:pos="720"/>
              </w:tabs>
              <w:kinsoku/>
              <w:overflowPunct/>
              <w:topLinePunct w:val="0"/>
              <w:bidi w:val="0"/>
              <w:adjustRightInd w:val="0"/>
              <w:snapToGrid w:val="0"/>
              <w:spacing w:line="240" w:lineRule="auto"/>
              <w:rPr>
                <w:rFonts w:hint="eastAsia" w:ascii="仿宋" w:hAnsi="Times New Roman" w:eastAsia="仿宋" w:cs="Times New Roman"/>
                <w:color w:val="000000"/>
                <w:kern w:val="0"/>
                <w:sz w:val="24"/>
                <w:szCs w:val="24"/>
                <w:lang w:val="en-US" w:eastAsia="zh-CN"/>
              </w:rPr>
            </w:pPr>
            <w:r>
              <w:rPr>
                <w:rFonts w:hint="eastAsia" w:ascii="仿宋" w:hAnsi="Times New Roman" w:eastAsia="仿宋" w:cs="Times New Roman"/>
                <w:color w:val="000000"/>
                <w:kern w:val="0"/>
                <w:sz w:val="24"/>
                <w:szCs w:val="24"/>
                <w:lang w:val="en-US" w:eastAsia="zh-CN"/>
              </w:rPr>
              <w:t>课程目标2：能够对各种节奏型态进行记忆和构写，能够准确识别正确音高、节奏。具备利用信息技术等辅助手段进行音乐课堂教学设计的基本能力。（支撑毕业要求4.1）</w:t>
            </w:r>
          </w:p>
          <w:p w14:paraId="5F233F17">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hAnsi="Times New Roman" w:eastAsia="仿宋" w:cs="Times New Roman"/>
                <w:color w:val="000000"/>
                <w:kern w:val="0"/>
                <w:sz w:val="24"/>
                <w:szCs w:val="24"/>
                <w:lang w:val="en-US" w:eastAsia="zh-CN"/>
              </w:rPr>
              <w:t>课程目标3：理解并掌握音乐表现各要素的技能，为学习其他音乐课程打下牢固实践基础。同时还要注意提高学生逻辑思维能力，发展音乐自由创作的才能，并培养学生的审美情趣，形成继续教育和终身学习和专业发展意识、自学习惯和能力及反思。有意识培养自己的创造性思维和教师的自我塑造。（支撑毕业要求7.1）</w:t>
            </w:r>
          </w:p>
        </w:tc>
      </w:tr>
      <w:tr w14:paraId="1F1FBF7E">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14:paraId="24F2B99B"/>
        </w:tc>
        <w:tc>
          <w:tcPr>
            <w:tcW w:w="1328"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14:paraId="150CEC90">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课程目标</w:t>
            </w:r>
          </w:p>
        </w:tc>
        <w:tc>
          <w:tcPr>
            <w:tcW w:w="4530" w:type="dxa"/>
            <w:gridSpan w:val="6"/>
            <w:tcBorders>
              <w:top w:val="single" w:color="auto" w:sz="4" w:space="0"/>
              <w:left w:val="single" w:color="auto" w:sz="4" w:space="0"/>
              <w:bottom w:val="single" w:color="auto" w:sz="4" w:space="0"/>
              <w:right w:val="single" w:color="auto" w:sz="4" w:space="0"/>
            </w:tcBorders>
            <w:shd w:val="clear" w:color="auto" w:fill="FFFFFF"/>
            <w:noWrap/>
            <w:vAlign w:val="center"/>
          </w:tcPr>
          <w:p w14:paraId="3107F3B9">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毕业要求分解指标点</w:t>
            </w:r>
          </w:p>
        </w:tc>
        <w:tc>
          <w:tcPr>
            <w:tcW w:w="1914" w:type="dxa"/>
            <w:gridSpan w:val="5"/>
            <w:tcBorders>
              <w:top w:val="single" w:color="auto" w:sz="4" w:space="0"/>
              <w:left w:val="single" w:color="auto" w:sz="4" w:space="0"/>
              <w:bottom w:val="single" w:color="auto" w:sz="4" w:space="0"/>
              <w:right w:val="single" w:color="auto" w:sz="4" w:space="0"/>
            </w:tcBorders>
            <w:shd w:val="clear" w:color="auto" w:fill="FFFFFF"/>
            <w:noWrap/>
            <w:vAlign w:val="center"/>
          </w:tcPr>
          <w:p w14:paraId="3FD962E1">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毕业要求</w:t>
            </w:r>
          </w:p>
        </w:tc>
      </w:tr>
      <w:tr w14:paraId="7CD365E6">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14:paraId="5C46A663"/>
        </w:tc>
        <w:tc>
          <w:tcPr>
            <w:tcW w:w="1328"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14:paraId="0360D8BD">
            <w:pPr>
              <w:pageBreakBefore w:val="0"/>
              <w:tabs>
                <w:tab w:val="left" w:pos="720"/>
              </w:tabs>
              <w:kinsoku/>
              <w:overflowPunct/>
              <w:topLinePunct w:val="0"/>
              <w:bidi w:val="0"/>
              <w:adjustRightInd w:val="0"/>
              <w:snapToGrid w:val="0"/>
              <w:spacing w:line="240" w:lineRule="auto"/>
              <w:rPr>
                <w:rFonts w:hint="eastAsia" w:ascii="仿宋" w:hAnsi="Times New Roman" w:eastAsia="仿宋" w:cs="Times New Roman"/>
                <w:color w:val="000000"/>
                <w:kern w:val="0"/>
                <w:sz w:val="24"/>
                <w:szCs w:val="24"/>
                <w:lang w:val="en-US" w:eastAsia="zh-CN"/>
              </w:rPr>
            </w:pPr>
            <w:r>
              <w:rPr>
                <w:rFonts w:hint="eastAsia" w:ascii="仿宋" w:hAnsi="Times New Roman" w:eastAsia="仿宋" w:cs="Times New Roman"/>
                <w:color w:val="000000"/>
                <w:kern w:val="0"/>
                <w:sz w:val="24"/>
                <w:szCs w:val="24"/>
                <w:lang w:val="en-US" w:eastAsia="zh-CN"/>
              </w:rPr>
              <w:t>课程目标1</w:t>
            </w:r>
          </w:p>
          <w:p w14:paraId="31DFA3AC">
            <w:pPr>
              <w:pageBreakBefore w:val="0"/>
              <w:tabs>
                <w:tab w:val="left" w:pos="720"/>
              </w:tabs>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tc>
        <w:tc>
          <w:tcPr>
            <w:tcW w:w="4530" w:type="dxa"/>
            <w:gridSpan w:val="6"/>
            <w:tcBorders>
              <w:top w:val="single" w:color="auto" w:sz="4" w:space="0"/>
              <w:left w:val="single" w:color="auto" w:sz="4" w:space="0"/>
              <w:bottom w:val="single" w:color="auto" w:sz="4" w:space="0"/>
              <w:right w:val="single" w:color="auto" w:sz="4" w:space="0"/>
            </w:tcBorders>
            <w:shd w:val="clear" w:color="auto" w:fill="FFFFFF"/>
            <w:noWrap/>
            <w:vAlign w:val="top"/>
          </w:tcPr>
          <w:p w14:paraId="3243B3D1">
            <w:pPr>
              <w:pageBreakBefore w:val="0"/>
              <w:tabs>
                <w:tab w:val="left" w:pos="720"/>
              </w:tabs>
              <w:kinsoku/>
              <w:overflowPunct/>
              <w:topLinePunct w:val="0"/>
              <w:bidi w:val="0"/>
              <w:adjustRightInd w:val="0"/>
              <w:snapToGrid w:val="0"/>
              <w:spacing w:line="240" w:lineRule="auto"/>
              <w:rPr>
                <w:rFonts w:hint="eastAsia" w:ascii="仿宋" w:hAnsi="Times New Roman" w:eastAsia="仿宋" w:cs="Times New Roman"/>
                <w:color w:val="000000"/>
                <w:kern w:val="0"/>
                <w:sz w:val="24"/>
                <w:szCs w:val="24"/>
                <w:lang w:val="en-US" w:eastAsia="zh-CN"/>
              </w:rPr>
            </w:pPr>
            <w:r>
              <w:rPr>
                <w:rFonts w:hint="eastAsia" w:ascii="仿宋" w:hAnsi="Times New Roman" w:eastAsia="仿宋" w:cs="Times New Roman"/>
                <w:color w:val="000000"/>
                <w:kern w:val="0"/>
                <w:sz w:val="24"/>
                <w:szCs w:val="24"/>
                <w:lang w:val="en-US" w:eastAsia="zh-CN"/>
              </w:rPr>
              <w:t>3.1【专业技能】掌握音乐学科技法技能多项基本功，掌握音乐学科基础知识、基本理论、</w:t>
            </w:r>
            <w:r>
              <w:rPr>
                <w:rFonts w:hint="default" w:ascii="仿宋" w:hAnsi="Times New Roman" w:eastAsia="仿宋" w:cs="Times New Roman"/>
                <w:color w:val="000000"/>
                <w:kern w:val="0"/>
                <w:sz w:val="24"/>
                <w:szCs w:val="24"/>
                <w:lang w:val="en-US" w:eastAsia="zh-CN"/>
              </w:rPr>
              <w:t>体系结构与思想方法，理解音乐学科的核心素养的内涵，形成音乐学科核心素养。</w:t>
            </w:r>
          </w:p>
          <w:p w14:paraId="40D00467">
            <w:pPr>
              <w:pageBreakBefore w:val="0"/>
              <w:tabs>
                <w:tab w:val="left" w:pos="720"/>
              </w:tabs>
              <w:kinsoku/>
              <w:overflowPunct/>
              <w:topLinePunct w:val="0"/>
              <w:bidi w:val="0"/>
              <w:adjustRightInd w:val="0"/>
              <w:snapToGrid w:val="0"/>
              <w:spacing w:line="240" w:lineRule="auto"/>
              <w:rPr>
                <w:rFonts w:hint="eastAsia" w:ascii="仿宋" w:eastAsia="仿宋" w:cs="仿宋"/>
                <w:color w:val="000000"/>
                <w:sz w:val="24"/>
                <w:szCs w:val="24"/>
                <w:lang w:val="en-US" w:eastAsia="zh-CN"/>
              </w:rPr>
            </w:pPr>
          </w:p>
        </w:tc>
        <w:tc>
          <w:tcPr>
            <w:tcW w:w="1914" w:type="dxa"/>
            <w:gridSpan w:val="5"/>
            <w:tcBorders>
              <w:top w:val="single" w:color="auto" w:sz="4" w:space="0"/>
              <w:left w:val="single" w:color="auto" w:sz="4" w:space="0"/>
              <w:bottom w:val="single" w:color="auto" w:sz="4" w:space="0"/>
              <w:right w:val="single" w:color="auto" w:sz="4" w:space="0"/>
            </w:tcBorders>
            <w:shd w:val="clear" w:color="auto" w:fill="FFFFFF"/>
            <w:noWrap/>
            <w:vAlign w:val="center"/>
          </w:tcPr>
          <w:p w14:paraId="3F7EDF55">
            <w:pPr>
              <w:pageBreakBefore w:val="0"/>
              <w:tabs>
                <w:tab w:val="left" w:pos="720"/>
              </w:tabs>
              <w:kinsoku/>
              <w:overflowPunct/>
              <w:topLinePunct w:val="0"/>
              <w:bidi w:val="0"/>
              <w:adjustRightInd w:val="0"/>
              <w:snapToGrid w:val="0"/>
              <w:spacing w:line="240" w:lineRule="auto"/>
              <w:rPr>
                <w:rFonts w:hint="eastAsia" w:ascii="仿宋" w:hAnsi="Times New Roman" w:eastAsia="仿宋" w:cs="Times New Roman"/>
                <w:color w:val="000000"/>
                <w:kern w:val="0"/>
                <w:sz w:val="24"/>
                <w:szCs w:val="24"/>
                <w:lang w:val="en-US" w:eastAsia="zh-Hans"/>
              </w:rPr>
            </w:pPr>
            <w:r>
              <w:rPr>
                <w:rFonts w:hint="eastAsia" w:ascii="仿宋" w:hAnsi="Times New Roman" w:eastAsia="仿宋" w:cs="Times New Roman"/>
                <w:color w:val="000000"/>
                <w:kern w:val="0"/>
                <w:sz w:val="24"/>
                <w:szCs w:val="24"/>
                <w:lang w:val="en-US" w:eastAsia="zh-Hans"/>
              </w:rPr>
              <w:t>学科素养</w:t>
            </w:r>
          </w:p>
          <w:p w14:paraId="516AF97A">
            <w:pPr>
              <w:pageBreakBefore w:val="0"/>
              <w:tabs>
                <w:tab w:val="left" w:pos="720"/>
              </w:tabs>
              <w:kinsoku/>
              <w:overflowPunct/>
              <w:topLinePunct w:val="0"/>
              <w:bidi w:val="0"/>
              <w:adjustRightInd w:val="0"/>
              <w:snapToGrid w:val="0"/>
              <w:spacing w:line="240" w:lineRule="auto"/>
              <w:rPr>
                <w:rFonts w:hint="eastAsia" w:ascii="仿宋" w:eastAsia="仿宋" w:cs="仿宋"/>
                <w:color w:val="000000"/>
                <w:sz w:val="24"/>
                <w:szCs w:val="24"/>
                <w:lang w:eastAsia="zh-CN"/>
              </w:rPr>
            </w:pPr>
            <w:r>
              <w:rPr>
                <w:rFonts w:hint="eastAsia" w:ascii="仿宋" w:hAnsi="Times New Roman" w:eastAsia="仿宋" w:cs="Times New Roman"/>
                <w:color w:val="000000"/>
                <w:kern w:val="0"/>
                <w:sz w:val="24"/>
                <w:szCs w:val="24"/>
                <w:lang w:val="en-US" w:eastAsia="zh-Hans"/>
              </w:rPr>
              <w:t>（</w:t>
            </w:r>
            <w:r>
              <w:rPr>
                <w:rFonts w:hint="eastAsia" w:ascii="仿宋" w:hAnsi="Times New Roman" w:eastAsia="仿宋" w:cs="Times New Roman"/>
                <w:color w:val="000000"/>
                <w:kern w:val="0"/>
                <w:sz w:val="24"/>
                <w:szCs w:val="24"/>
                <w:lang w:val="en-US" w:eastAsia="zh-CN"/>
              </w:rPr>
              <w:t>H</w:t>
            </w:r>
            <w:r>
              <w:rPr>
                <w:rFonts w:hint="eastAsia" w:ascii="仿宋" w:hAnsi="Times New Roman" w:eastAsia="仿宋" w:cs="Times New Roman"/>
                <w:color w:val="000000"/>
                <w:kern w:val="0"/>
                <w:sz w:val="24"/>
                <w:szCs w:val="24"/>
                <w:lang w:val="en-US" w:eastAsia="zh-Hans"/>
              </w:rPr>
              <w:t>）</w:t>
            </w:r>
          </w:p>
        </w:tc>
      </w:tr>
      <w:tr w14:paraId="0A9218F4">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14:paraId="368CC53B"/>
        </w:tc>
        <w:tc>
          <w:tcPr>
            <w:tcW w:w="1328"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14:paraId="1B38256B">
            <w:pPr>
              <w:pageBreakBefore w:val="0"/>
              <w:tabs>
                <w:tab w:val="left" w:pos="720"/>
              </w:tabs>
              <w:kinsoku/>
              <w:overflowPunct/>
              <w:topLinePunct w:val="0"/>
              <w:bidi w:val="0"/>
              <w:adjustRightInd w:val="0"/>
              <w:snapToGrid w:val="0"/>
              <w:spacing w:line="240" w:lineRule="auto"/>
              <w:rPr>
                <w:rFonts w:hint="eastAsia" w:ascii="仿宋" w:hAnsi="Times New Roman" w:eastAsia="仿宋" w:cs="Times New Roman"/>
                <w:color w:val="000000"/>
                <w:kern w:val="0"/>
                <w:sz w:val="24"/>
                <w:szCs w:val="24"/>
                <w:lang w:val="en-US" w:eastAsia="zh-CN"/>
              </w:rPr>
            </w:pPr>
            <w:r>
              <w:rPr>
                <w:rFonts w:hint="eastAsia" w:ascii="仿宋" w:hAnsi="Times New Roman" w:eastAsia="仿宋" w:cs="Times New Roman"/>
                <w:color w:val="000000"/>
                <w:kern w:val="0"/>
                <w:sz w:val="24"/>
                <w:szCs w:val="24"/>
                <w:lang w:val="en-US" w:eastAsia="zh-CN"/>
              </w:rPr>
              <w:t>课程目标2</w:t>
            </w:r>
          </w:p>
          <w:p w14:paraId="52FE5BDD">
            <w:pPr>
              <w:pageBreakBefore w:val="0"/>
              <w:tabs>
                <w:tab w:val="left" w:pos="720"/>
              </w:tabs>
              <w:kinsoku/>
              <w:overflowPunct/>
              <w:topLinePunct w:val="0"/>
              <w:bidi w:val="0"/>
              <w:adjustRightInd w:val="0"/>
              <w:snapToGrid w:val="0"/>
              <w:spacing w:line="240" w:lineRule="auto"/>
              <w:rPr>
                <w:rFonts w:hint="eastAsia" w:ascii="仿宋" w:eastAsia="仿宋" w:cs="仿宋"/>
                <w:color w:val="000000"/>
                <w:sz w:val="24"/>
                <w:szCs w:val="24"/>
                <w:lang w:val="en-US" w:eastAsia="zh-CN"/>
              </w:rPr>
            </w:pPr>
          </w:p>
        </w:tc>
        <w:tc>
          <w:tcPr>
            <w:tcW w:w="4530" w:type="dxa"/>
            <w:gridSpan w:val="6"/>
            <w:tcBorders>
              <w:top w:val="single" w:color="auto" w:sz="4" w:space="0"/>
              <w:left w:val="single" w:color="auto" w:sz="4" w:space="0"/>
              <w:bottom w:val="single" w:color="auto" w:sz="4" w:space="0"/>
              <w:right w:val="single" w:color="auto" w:sz="4" w:space="0"/>
            </w:tcBorders>
            <w:shd w:val="clear" w:color="auto" w:fill="FFFFFF"/>
            <w:noWrap/>
            <w:vAlign w:val="center"/>
          </w:tcPr>
          <w:p w14:paraId="38D0929A">
            <w:pPr>
              <w:pageBreakBefore w:val="0"/>
              <w:tabs>
                <w:tab w:val="left" w:pos="720"/>
              </w:tabs>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hAnsi="Times New Roman" w:eastAsia="仿宋" w:cs="Times New Roman"/>
                <w:color w:val="000000"/>
                <w:kern w:val="0"/>
                <w:sz w:val="24"/>
                <w:szCs w:val="24"/>
                <w:lang w:val="en-US" w:eastAsia="zh-CN"/>
              </w:rPr>
              <w:t>4.1【教学设计与实施】熟悉中学音乐课程标准和教材，能够正确处理课标和教材的关系，科学合理地进行教学设计并实施教学，准确把握教学内容，分析学情，合理安排教学过程和环节，科学设计评价内容和方式，根据学生音乐认知的特征和个体差异，注重差异化教学。课后能够及时反思、总结形成初步的教研能力。</w:t>
            </w:r>
          </w:p>
        </w:tc>
        <w:tc>
          <w:tcPr>
            <w:tcW w:w="1914" w:type="dxa"/>
            <w:gridSpan w:val="5"/>
            <w:tcBorders>
              <w:top w:val="single" w:color="auto" w:sz="4" w:space="0"/>
              <w:left w:val="single" w:color="auto" w:sz="4" w:space="0"/>
              <w:bottom w:val="single" w:color="auto" w:sz="4" w:space="0"/>
              <w:right w:val="single" w:color="auto" w:sz="4" w:space="0"/>
            </w:tcBorders>
            <w:shd w:val="clear" w:color="auto" w:fill="FFFFFF"/>
            <w:noWrap/>
            <w:vAlign w:val="center"/>
          </w:tcPr>
          <w:p w14:paraId="1449CC97">
            <w:pPr>
              <w:pageBreakBefore w:val="0"/>
              <w:tabs>
                <w:tab w:val="left" w:pos="720"/>
              </w:tabs>
              <w:kinsoku/>
              <w:overflowPunct/>
              <w:topLinePunct w:val="0"/>
              <w:bidi w:val="0"/>
              <w:adjustRightInd w:val="0"/>
              <w:snapToGrid w:val="0"/>
              <w:spacing w:line="240" w:lineRule="auto"/>
              <w:rPr>
                <w:rFonts w:hint="eastAsia" w:ascii="仿宋" w:hAnsi="Times New Roman" w:eastAsia="仿宋" w:cs="Times New Roman"/>
                <w:color w:val="000000"/>
                <w:kern w:val="0"/>
                <w:sz w:val="24"/>
                <w:szCs w:val="24"/>
                <w:lang w:val="en-US" w:eastAsia="zh-Hans"/>
              </w:rPr>
            </w:pPr>
            <w:r>
              <w:rPr>
                <w:rFonts w:hint="eastAsia" w:ascii="仿宋" w:hAnsi="Times New Roman" w:eastAsia="仿宋" w:cs="Times New Roman"/>
                <w:color w:val="000000"/>
                <w:kern w:val="0"/>
                <w:sz w:val="24"/>
                <w:szCs w:val="24"/>
                <w:lang w:val="en-US" w:eastAsia="zh-Hans"/>
              </w:rPr>
              <w:t>教学能力</w:t>
            </w:r>
          </w:p>
          <w:p w14:paraId="2DEB05C2">
            <w:pPr>
              <w:pageBreakBefore w:val="0"/>
              <w:tabs>
                <w:tab w:val="left" w:pos="720"/>
              </w:tabs>
              <w:kinsoku/>
              <w:overflowPunct/>
              <w:topLinePunct w:val="0"/>
              <w:bidi w:val="0"/>
              <w:adjustRightInd w:val="0"/>
              <w:snapToGrid w:val="0"/>
              <w:spacing w:line="240" w:lineRule="auto"/>
              <w:rPr>
                <w:rFonts w:hint="eastAsia" w:ascii="仿宋" w:eastAsia="仿宋" w:cs="仿宋"/>
                <w:color w:val="000000"/>
                <w:sz w:val="24"/>
                <w:szCs w:val="24"/>
                <w:lang w:eastAsia="zh-CN"/>
              </w:rPr>
            </w:pPr>
            <w:r>
              <w:rPr>
                <w:rFonts w:hint="eastAsia" w:ascii="仿宋" w:hAnsi="Times New Roman" w:eastAsia="仿宋" w:cs="Times New Roman"/>
                <w:color w:val="000000"/>
                <w:kern w:val="0"/>
                <w:sz w:val="24"/>
                <w:szCs w:val="24"/>
                <w:lang w:val="en-US" w:eastAsia="zh-Hans"/>
              </w:rPr>
              <w:t>（H）</w:t>
            </w:r>
          </w:p>
        </w:tc>
      </w:tr>
      <w:tr w14:paraId="259E6066">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14:paraId="37BE98B4"/>
        </w:tc>
        <w:tc>
          <w:tcPr>
            <w:tcW w:w="1328"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14:paraId="25D6FDB7">
            <w:pPr>
              <w:pageBreakBefore w:val="0"/>
              <w:tabs>
                <w:tab w:val="left" w:pos="720"/>
              </w:tabs>
              <w:kinsoku/>
              <w:overflowPunct/>
              <w:topLinePunct w:val="0"/>
              <w:bidi w:val="0"/>
              <w:adjustRightInd w:val="0"/>
              <w:snapToGrid w:val="0"/>
              <w:spacing w:line="240" w:lineRule="auto"/>
              <w:rPr>
                <w:rFonts w:hint="eastAsia" w:ascii="仿宋" w:hAnsi="Times New Roman" w:eastAsia="仿宋" w:cs="Times New Roman"/>
                <w:color w:val="000000"/>
                <w:kern w:val="0"/>
                <w:sz w:val="24"/>
                <w:szCs w:val="24"/>
                <w:lang w:val="en-US" w:eastAsia="zh-CN"/>
              </w:rPr>
            </w:pPr>
            <w:r>
              <w:rPr>
                <w:rFonts w:hint="eastAsia" w:ascii="仿宋" w:hAnsi="Times New Roman" w:eastAsia="仿宋" w:cs="Times New Roman"/>
                <w:color w:val="000000"/>
                <w:kern w:val="0"/>
                <w:sz w:val="24"/>
                <w:szCs w:val="24"/>
                <w:lang w:val="en-US" w:eastAsia="zh-CN"/>
              </w:rPr>
              <w:t>课程目标3</w:t>
            </w:r>
          </w:p>
          <w:p w14:paraId="5D5A8079">
            <w:pPr>
              <w:pageBreakBefore w:val="0"/>
              <w:tabs>
                <w:tab w:val="left" w:pos="720"/>
              </w:tabs>
              <w:kinsoku/>
              <w:overflowPunct/>
              <w:topLinePunct w:val="0"/>
              <w:bidi w:val="0"/>
              <w:adjustRightInd w:val="0"/>
              <w:snapToGrid w:val="0"/>
              <w:spacing w:line="240" w:lineRule="auto"/>
              <w:rPr>
                <w:rFonts w:hint="eastAsia" w:ascii="仿宋" w:eastAsia="仿宋" w:cs="仿宋"/>
                <w:color w:val="000000"/>
                <w:sz w:val="24"/>
                <w:szCs w:val="24"/>
                <w:lang w:val="en-US" w:eastAsia="zh-CN"/>
              </w:rPr>
            </w:pPr>
          </w:p>
        </w:tc>
        <w:tc>
          <w:tcPr>
            <w:tcW w:w="4530" w:type="dxa"/>
            <w:gridSpan w:val="6"/>
            <w:tcBorders>
              <w:top w:val="single" w:color="auto" w:sz="4" w:space="0"/>
              <w:left w:val="single" w:color="auto" w:sz="4" w:space="0"/>
              <w:bottom w:val="single" w:color="auto" w:sz="4" w:space="0"/>
              <w:right w:val="single" w:color="auto" w:sz="4" w:space="0"/>
            </w:tcBorders>
            <w:shd w:val="clear" w:color="auto" w:fill="FFFFFF"/>
            <w:noWrap/>
            <w:vAlign w:val="top"/>
          </w:tcPr>
          <w:p w14:paraId="1F5B9F46">
            <w:pPr>
              <w:pageBreakBefore w:val="0"/>
              <w:tabs>
                <w:tab w:val="left" w:pos="720"/>
              </w:tabs>
              <w:kinsoku/>
              <w:overflowPunct/>
              <w:topLinePunct w:val="0"/>
              <w:bidi w:val="0"/>
              <w:adjustRightInd w:val="0"/>
              <w:snapToGrid w:val="0"/>
              <w:spacing w:line="240" w:lineRule="auto"/>
              <w:rPr>
                <w:rFonts w:hint="eastAsia" w:ascii="仿宋" w:hAnsi="Times New Roman" w:eastAsia="仿宋" w:cs="Times New Roman"/>
                <w:color w:val="000000"/>
                <w:kern w:val="0"/>
                <w:sz w:val="24"/>
                <w:szCs w:val="24"/>
                <w:lang w:val="en-US" w:eastAsia="zh-CN"/>
              </w:rPr>
            </w:pPr>
            <w:r>
              <w:rPr>
                <w:rFonts w:hint="eastAsia" w:ascii="仿宋" w:hAnsi="Times New Roman" w:eastAsia="仿宋" w:cs="Times New Roman"/>
                <w:color w:val="000000"/>
                <w:kern w:val="0"/>
                <w:sz w:val="24"/>
                <w:szCs w:val="24"/>
                <w:lang w:val="en-US" w:eastAsia="zh-CN"/>
              </w:rPr>
              <w:t>7.1</w:t>
            </w:r>
            <w:r>
              <w:rPr>
                <w:rFonts w:hint="default" w:ascii="仿宋" w:hAnsi="Times New Roman" w:eastAsia="仿宋" w:cs="Times New Roman"/>
                <w:color w:val="000000"/>
                <w:kern w:val="0"/>
                <w:sz w:val="24"/>
                <w:szCs w:val="24"/>
                <w:lang w:val="en-US" w:eastAsia="zh-CN"/>
              </w:rPr>
              <w:t>【</w:t>
            </w:r>
            <w:r>
              <w:rPr>
                <w:rFonts w:hint="eastAsia" w:ascii="仿宋" w:hAnsi="Times New Roman" w:eastAsia="仿宋" w:cs="Times New Roman"/>
                <w:color w:val="000000"/>
                <w:kern w:val="0"/>
                <w:sz w:val="24"/>
                <w:szCs w:val="24"/>
                <w:lang w:val="en-US" w:eastAsia="zh-CN"/>
              </w:rPr>
              <w:t>反思改进】具有反思意识和批评性思维素养，初步掌握教育教学反思的基本方法和策</w:t>
            </w:r>
            <w:r>
              <w:rPr>
                <w:rFonts w:hint="default" w:ascii="仿宋" w:hAnsi="Times New Roman" w:eastAsia="仿宋" w:cs="Times New Roman"/>
                <w:color w:val="000000"/>
                <w:kern w:val="0"/>
                <w:sz w:val="24"/>
                <w:szCs w:val="24"/>
                <w:lang w:val="en-US" w:eastAsia="zh-CN"/>
              </w:rPr>
              <w:t>略，能够对音乐教育教学实践活动进行有效的自我诊断，提出改进思路。</w:t>
            </w:r>
          </w:p>
          <w:p w14:paraId="03752758">
            <w:pPr>
              <w:pageBreakBefore w:val="0"/>
              <w:tabs>
                <w:tab w:val="left" w:pos="720"/>
              </w:tabs>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tc>
        <w:tc>
          <w:tcPr>
            <w:tcW w:w="1914" w:type="dxa"/>
            <w:gridSpan w:val="5"/>
            <w:tcBorders>
              <w:top w:val="single" w:color="auto" w:sz="4" w:space="0"/>
              <w:left w:val="single" w:color="auto" w:sz="4" w:space="0"/>
              <w:bottom w:val="single" w:color="auto" w:sz="4" w:space="0"/>
              <w:right w:val="single" w:color="auto" w:sz="4" w:space="0"/>
            </w:tcBorders>
            <w:shd w:val="clear" w:color="auto" w:fill="FFFFFF"/>
            <w:noWrap/>
            <w:vAlign w:val="center"/>
          </w:tcPr>
          <w:p w14:paraId="08AC14CC">
            <w:pPr>
              <w:pageBreakBefore w:val="0"/>
              <w:tabs>
                <w:tab w:val="left" w:pos="720"/>
              </w:tabs>
              <w:kinsoku/>
              <w:overflowPunct/>
              <w:topLinePunct w:val="0"/>
              <w:bidi w:val="0"/>
              <w:adjustRightInd w:val="0"/>
              <w:snapToGrid w:val="0"/>
              <w:spacing w:line="240" w:lineRule="auto"/>
              <w:rPr>
                <w:rFonts w:hint="eastAsia" w:ascii="仿宋" w:hAnsi="Times New Roman" w:eastAsia="仿宋" w:cs="Times New Roman"/>
                <w:color w:val="000000"/>
                <w:kern w:val="0"/>
                <w:sz w:val="24"/>
                <w:szCs w:val="24"/>
                <w:lang w:val="en-US" w:eastAsia="zh-Hans"/>
              </w:rPr>
            </w:pPr>
            <w:r>
              <w:rPr>
                <w:rFonts w:hint="eastAsia" w:ascii="仿宋" w:hAnsi="Times New Roman" w:eastAsia="仿宋" w:cs="Times New Roman"/>
                <w:color w:val="000000"/>
                <w:kern w:val="0"/>
                <w:sz w:val="24"/>
                <w:szCs w:val="24"/>
                <w:lang w:val="en-US" w:eastAsia="zh-Hans"/>
              </w:rPr>
              <w:t>学会反思</w:t>
            </w:r>
          </w:p>
          <w:p w14:paraId="58B6CE4D">
            <w:pPr>
              <w:pageBreakBefore w:val="0"/>
              <w:tabs>
                <w:tab w:val="left" w:pos="720"/>
              </w:tabs>
              <w:kinsoku/>
              <w:overflowPunct/>
              <w:topLinePunct w:val="0"/>
              <w:bidi w:val="0"/>
              <w:adjustRightInd w:val="0"/>
              <w:snapToGrid w:val="0"/>
              <w:spacing w:line="240" w:lineRule="auto"/>
              <w:rPr>
                <w:rFonts w:ascii="仿宋" w:eastAsia="仿宋" w:cs="仿宋"/>
                <w:color w:val="000000"/>
                <w:sz w:val="24"/>
                <w:szCs w:val="24"/>
                <w:lang w:val="en-US" w:eastAsia="zh-CN"/>
              </w:rPr>
            </w:pPr>
            <w:r>
              <w:rPr>
                <w:rFonts w:hint="eastAsia" w:ascii="仿宋" w:hAnsi="Times New Roman" w:eastAsia="仿宋" w:cs="Times New Roman"/>
                <w:color w:val="000000"/>
                <w:kern w:val="0"/>
                <w:sz w:val="24"/>
                <w:szCs w:val="24"/>
                <w:lang w:val="en-US" w:eastAsia="zh-Hans"/>
              </w:rPr>
              <w:t>（</w:t>
            </w:r>
            <w:r>
              <w:rPr>
                <w:rFonts w:hint="eastAsia" w:ascii="仿宋" w:hAnsi="Times New Roman" w:eastAsia="仿宋" w:cs="Times New Roman"/>
                <w:color w:val="000000"/>
                <w:kern w:val="0"/>
                <w:sz w:val="24"/>
                <w:szCs w:val="24"/>
                <w:lang w:val="en-US" w:eastAsia="zh-CN"/>
              </w:rPr>
              <w:t>M</w:t>
            </w:r>
            <w:r>
              <w:rPr>
                <w:rFonts w:hint="eastAsia" w:ascii="仿宋" w:hAnsi="Times New Roman" w:eastAsia="仿宋" w:cs="Times New Roman"/>
                <w:color w:val="000000"/>
                <w:kern w:val="0"/>
                <w:sz w:val="24"/>
                <w:szCs w:val="24"/>
                <w:lang w:val="en-US" w:eastAsia="zh-Hans"/>
              </w:rPr>
              <w:t>）</w:t>
            </w:r>
          </w:p>
        </w:tc>
      </w:tr>
      <w:tr w14:paraId="4C9AC296">
        <w:trPr>
          <w:trHeight w:val="624" w:hRule="atLeast"/>
        </w:trPr>
        <w:tc>
          <w:tcPr>
            <w:tcW w:w="1376" w:type="dxa"/>
            <w:vMerge w:val="restart"/>
            <w:tcBorders>
              <w:top w:val="single" w:color="auto" w:sz="4" w:space="0"/>
              <w:left w:val="single" w:color="auto" w:sz="4" w:space="0"/>
              <w:bottom w:val="single" w:color="auto" w:sz="4" w:space="0"/>
              <w:right w:val="single" w:color="auto" w:sz="4" w:space="0"/>
            </w:tcBorders>
            <w:shd w:val="clear" w:color="auto" w:fill="FFFFFF"/>
            <w:noWrap/>
            <w:vAlign w:val="center"/>
          </w:tcPr>
          <w:p w14:paraId="461EE753">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14:paraId="4A65024B">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14:paraId="36A61E2B">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p>
          <w:p w14:paraId="4A0BB087">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p>
          <w:p w14:paraId="2FA751D9">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p>
          <w:p w14:paraId="15A48E1A">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p>
          <w:p w14:paraId="69BE0562">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p>
          <w:p w14:paraId="1C799AC7">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F</w:t>
            </w:r>
          </w:p>
          <w:p w14:paraId="7B77CD5B">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CN"/>
              </w:rPr>
              <w:t>实践教学</w:t>
            </w:r>
            <w:r>
              <w:rPr>
                <w:rFonts w:hint="eastAsia" w:ascii="仿宋" w:eastAsia="仿宋" w:cs="仿宋"/>
                <w:color w:val="000000"/>
                <w:sz w:val="24"/>
                <w:szCs w:val="24"/>
                <w:lang w:val="en-US" w:eastAsia="zh-TW"/>
              </w:rPr>
              <w:t>内容</w:t>
            </w:r>
          </w:p>
          <w:p w14:paraId="4D58033A">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14:paraId="42E8A52E">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14:paraId="50A77C4C">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14:paraId="1A61B66F">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14:paraId="100CA4CF">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14:paraId="19A7F24D">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14:paraId="2E76C450">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14:paraId="3063A833">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14:paraId="5D1C68B8">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14:paraId="5126359D">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14:paraId="786FBEC1">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14:paraId="3F9A6C65">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14:paraId="1C28A453">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14:paraId="01353203">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14:paraId="46726802">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14:paraId="1CB97BCB">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14:paraId="650AE0FC">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CN"/>
              </w:rPr>
            </w:pPr>
          </w:p>
        </w:tc>
        <w:tc>
          <w:tcPr>
            <w:tcW w:w="5858" w:type="dxa"/>
            <w:gridSpan w:val="8"/>
            <w:tcBorders>
              <w:top w:val="single" w:color="auto" w:sz="4" w:space="0"/>
              <w:left w:val="single" w:color="auto" w:sz="4" w:space="0"/>
              <w:bottom w:val="single" w:color="auto" w:sz="4" w:space="0"/>
              <w:right w:val="single" w:color="auto" w:sz="4" w:space="0"/>
            </w:tcBorders>
            <w:shd w:val="clear" w:color="auto" w:fill="FFFFFF"/>
            <w:noWrap/>
            <w:vAlign w:val="center"/>
          </w:tcPr>
          <w:p w14:paraId="4926BBD9">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章节学习内容与学习要求</w:t>
            </w:r>
          </w:p>
        </w:tc>
        <w:tc>
          <w:tcPr>
            <w:tcW w:w="1240"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14:paraId="4FC90570">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支撑课程目标</w:t>
            </w:r>
          </w:p>
        </w:tc>
        <w:tc>
          <w:tcPr>
            <w:tcW w:w="674"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14:paraId="44249BF9">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学时</w:t>
            </w:r>
          </w:p>
          <w:p w14:paraId="15828912">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分配</w:t>
            </w:r>
          </w:p>
        </w:tc>
      </w:tr>
      <w:tr w14:paraId="6B2E89CB">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14:paraId="06CA0FC4"/>
        </w:tc>
        <w:tc>
          <w:tcPr>
            <w:tcW w:w="5858" w:type="dxa"/>
            <w:gridSpan w:val="8"/>
            <w:tcBorders>
              <w:top w:val="single" w:color="auto" w:sz="4" w:space="0"/>
              <w:left w:val="single" w:color="auto" w:sz="4" w:space="0"/>
              <w:bottom w:val="single" w:color="auto" w:sz="4" w:space="0"/>
              <w:right w:val="single" w:color="auto" w:sz="4" w:space="0"/>
            </w:tcBorders>
            <w:shd w:val="clear" w:color="auto" w:fill="auto"/>
            <w:noWrap/>
            <w:vAlign w:val="top"/>
          </w:tcPr>
          <w:p w14:paraId="6706E732">
            <w:pPr>
              <w:pageBreakBefore w:val="0"/>
              <w:tabs>
                <w:tab w:val="left" w:pos="720"/>
              </w:tabs>
              <w:kinsoku/>
              <w:overflowPunct/>
              <w:topLinePunct w:val="0"/>
              <w:bidi w:val="0"/>
              <w:adjustRightInd w:val="0"/>
              <w:snapToGrid w:val="0"/>
              <w:spacing w:line="240" w:lineRule="auto"/>
              <w:rPr>
                <w:rFonts w:hint="eastAsia" w:ascii="仿宋" w:hAnsi="Times New Roman" w:eastAsia="仿宋" w:cs="Times New Roman"/>
                <w:color w:val="000000"/>
                <w:kern w:val="0"/>
                <w:sz w:val="24"/>
                <w:szCs w:val="24"/>
                <w:lang w:val="en-US" w:eastAsia="zh-CN"/>
              </w:rPr>
            </w:pPr>
            <w:r>
              <w:rPr>
                <w:rFonts w:hint="eastAsia" w:ascii="仿宋" w:hAnsi="Times New Roman" w:eastAsia="仿宋" w:cs="Times New Roman"/>
                <w:color w:val="000000"/>
                <w:kern w:val="0"/>
                <w:sz w:val="24"/>
                <w:szCs w:val="24"/>
                <w:lang w:val="en-US" w:eastAsia="zh-CN"/>
              </w:rPr>
              <w:t>第一册第一章：识谱、无升降号的自然大小调和其他调式音程、基本</w:t>
            </w:r>
            <w:r>
              <w:rPr>
                <w:rFonts w:hint="eastAsia" w:ascii="仿宋" w:hAnsi="Times New Roman" w:eastAsia="仿宋" w:cs="Times New Roman"/>
                <w:color w:val="000000"/>
                <w:kern w:val="0"/>
                <w:sz w:val="24"/>
                <w:szCs w:val="24"/>
                <w:lang w:val="en-US" w:eastAsia="zh-TW"/>
              </w:rPr>
              <w:t>音符、休止符和节拍</w:t>
            </w:r>
          </w:p>
          <w:p w14:paraId="573CDB00">
            <w:pPr>
              <w:pageBreakBefore w:val="0"/>
              <w:tabs>
                <w:tab w:val="left" w:pos="720"/>
              </w:tabs>
              <w:kinsoku/>
              <w:overflowPunct/>
              <w:topLinePunct w:val="0"/>
              <w:bidi w:val="0"/>
              <w:adjustRightInd w:val="0"/>
              <w:snapToGrid w:val="0"/>
              <w:spacing w:line="240" w:lineRule="auto"/>
              <w:rPr>
                <w:rFonts w:hint="eastAsia" w:ascii="仿宋" w:hAnsi="Times New Roman" w:eastAsia="仿宋" w:cs="Times New Roman"/>
                <w:color w:val="000000"/>
                <w:kern w:val="0"/>
                <w:sz w:val="24"/>
                <w:szCs w:val="24"/>
                <w:lang w:val="en-US" w:eastAsia="zh-CN"/>
              </w:rPr>
            </w:pPr>
            <w:r>
              <w:rPr>
                <w:rFonts w:hint="eastAsia" w:ascii="仿宋" w:hAnsi="Times New Roman" w:eastAsia="仿宋" w:cs="Times New Roman"/>
                <w:color w:val="000000"/>
                <w:kern w:val="0"/>
                <w:sz w:val="24"/>
                <w:szCs w:val="24"/>
                <w:lang w:val="en-US" w:eastAsia="zh-CN"/>
              </w:rPr>
              <w:t>知道层次：</w:t>
            </w:r>
            <w:r>
              <w:rPr>
                <w:rFonts w:hint="eastAsia" w:ascii="仿宋" w:hAnsi="Times New Roman" w:eastAsia="仿宋" w:cs="Times New Roman"/>
                <w:color w:val="000000"/>
                <w:kern w:val="0"/>
                <w:sz w:val="24"/>
                <w:szCs w:val="24"/>
                <w:lang w:val="en-US" w:eastAsia="zh-TW"/>
              </w:rPr>
              <w:t>了解</w:t>
            </w:r>
            <w:r>
              <w:rPr>
                <w:rFonts w:hint="eastAsia" w:ascii="仿宋" w:hAnsi="Times New Roman" w:eastAsia="仿宋" w:cs="Times New Roman"/>
                <w:color w:val="000000"/>
                <w:kern w:val="0"/>
                <w:sz w:val="24"/>
                <w:szCs w:val="24"/>
                <w:lang w:val="en-US" w:eastAsia="zh-CN"/>
              </w:rPr>
              <w:t>音乐基本组成要素、无升降号调式及音程结构</w:t>
            </w:r>
          </w:p>
          <w:p w14:paraId="5A152F26">
            <w:pPr>
              <w:pageBreakBefore w:val="0"/>
              <w:tabs>
                <w:tab w:val="left" w:pos="720"/>
              </w:tabs>
              <w:kinsoku/>
              <w:overflowPunct/>
              <w:topLinePunct w:val="0"/>
              <w:bidi w:val="0"/>
              <w:adjustRightInd w:val="0"/>
              <w:snapToGrid w:val="0"/>
              <w:spacing w:line="240" w:lineRule="auto"/>
              <w:rPr>
                <w:rFonts w:hint="eastAsia" w:ascii="仿宋" w:hAnsi="Times New Roman" w:eastAsia="仿宋" w:cs="Times New Roman"/>
                <w:color w:val="000000"/>
                <w:kern w:val="0"/>
                <w:sz w:val="24"/>
                <w:szCs w:val="24"/>
                <w:lang w:val="en-US" w:eastAsia="zh-CN"/>
              </w:rPr>
            </w:pPr>
            <w:r>
              <w:rPr>
                <w:rFonts w:hint="eastAsia" w:ascii="仿宋" w:hAnsi="Times New Roman" w:eastAsia="仿宋" w:cs="Times New Roman"/>
                <w:color w:val="000000"/>
                <w:kern w:val="0"/>
                <w:sz w:val="24"/>
                <w:szCs w:val="24"/>
                <w:lang w:val="en-US" w:eastAsia="zh-CN"/>
              </w:rPr>
              <w:t>领会层次：掌握</w:t>
            </w:r>
            <w:r>
              <w:rPr>
                <w:rFonts w:hint="eastAsia" w:ascii="仿宋" w:hAnsi="Times New Roman" w:eastAsia="仿宋" w:cs="Times New Roman"/>
                <w:color w:val="000000"/>
                <w:kern w:val="0"/>
                <w:sz w:val="24"/>
                <w:szCs w:val="24"/>
                <w:lang w:val="en-US" w:eastAsia="zh-TW"/>
              </w:rPr>
              <w:t>音乐的基础理论; 领会这些音乐基本要素的意义及作用</w:t>
            </w:r>
          </w:p>
          <w:p w14:paraId="1AB94EEC">
            <w:pPr>
              <w:pageBreakBefore w:val="0"/>
              <w:tabs>
                <w:tab w:val="left" w:pos="720"/>
              </w:tabs>
              <w:kinsoku/>
              <w:overflowPunct/>
              <w:topLinePunct w:val="0"/>
              <w:bidi w:val="0"/>
              <w:adjustRightInd w:val="0"/>
              <w:snapToGrid w:val="0"/>
              <w:spacing w:line="240" w:lineRule="auto"/>
              <w:rPr>
                <w:rFonts w:hint="eastAsia" w:ascii="仿宋" w:hAnsi="Times New Roman" w:eastAsia="仿宋" w:cs="Times New Roman"/>
                <w:color w:val="000000"/>
                <w:kern w:val="0"/>
                <w:sz w:val="24"/>
                <w:szCs w:val="24"/>
                <w:lang w:val="en-US" w:eastAsia="zh-CN"/>
              </w:rPr>
            </w:pPr>
            <w:r>
              <w:rPr>
                <w:rFonts w:hint="eastAsia" w:ascii="仿宋" w:hAnsi="Times New Roman" w:eastAsia="仿宋" w:cs="Times New Roman"/>
                <w:color w:val="000000"/>
                <w:kern w:val="0"/>
                <w:sz w:val="24"/>
                <w:szCs w:val="24"/>
                <w:lang w:val="en-US" w:eastAsia="zh-CN"/>
              </w:rPr>
              <w:t>应用层次：把掌握的音乐基本理论知识运用到音乐教学实践中</w:t>
            </w:r>
          </w:p>
          <w:p w14:paraId="7CD4CA7B">
            <w:pPr>
              <w:pageBreakBefore w:val="0"/>
              <w:tabs>
                <w:tab w:val="left" w:pos="720"/>
              </w:tabs>
              <w:kinsoku/>
              <w:overflowPunct/>
              <w:topLinePunct w:val="0"/>
              <w:bidi w:val="0"/>
              <w:adjustRightInd w:val="0"/>
              <w:snapToGrid w:val="0"/>
              <w:spacing w:line="240" w:lineRule="auto"/>
              <w:rPr>
                <w:rFonts w:hint="eastAsia" w:ascii="仿宋" w:hAnsi="Times New Roman" w:eastAsia="仿宋" w:cs="Times New Roman"/>
                <w:color w:val="000000"/>
                <w:kern w:val="0"/>
                <w:sz w:val="24"/>
                <w:szCs w:val="24"/>
                <w:lang w:val="en-US" w:eastAsia="zh-CN"/>
              </w:rPr>
            </w:pPr>
            <w:r>
              <w:rPr>
                <w:rFonts w:hint="eastAsia" w:ascii="仿宋" w:hAnsi="Times New Roman" w:eastAsia="仿宋" w:cs="Times New Roman"/>
                <w:color w:val="000000"/>
                <w:kern w:val="0"/>
                <w:sz w:val="24"/>
                <w:szCs w:val="24"/>
                <w:lang w:val="en-US" w:eastAsia="zh-CN"/>
              </w:rPr>
              <w:t>第一册第二章：一个升号的大小调及五声调式</w:t>
            </w:r>
          </w:p>
          <w:p w14:paraId="2236DBD7">
            <w:pPr>
              <w:pageBreakBefore w:val="0"/>
              <w:tabs>
                <w:tab w:val="left" w:pos="720"/>
              </w:tabs>
              <w:kinsoku/>
              <w:overflowPunct/>
              <w:topLinePunct w:val="0"/>
              <w:bidi w:val="0"/>
              <w:adjustRightInd w:val="0"/>
              <w:snapToGrid w:val="0"/>
              <w:spacing w:line="240" w:lineRule="auto"/>
              <w:rPr>
                <w:rFonts w:hint="eastAsia" w:ascii="仿宋" w:hAnsi="Times New Roman" w:eastAsia="仿宋" w:cs="Times New Roman"/>
                <w:color w:val="000000"/>
                <w:kern w:val="0"/>
                <w:sz w:val="24"/>
                <w:szCs w:val="24"/>
                <w:lang w:val="en-US" w:eastAsia="zh-TW"/>
              </w:rPr>
            </w:pPr>
            <w:r>
              <w:rPr>
                <w:rFonts w:hint="eastAsia" w:ascii="仿宋" w:hAnsi="Times New Roman" w:eastAsia="仿宋" w:cs="Times New Roman"/>
                <w:color w:val="000000"/>
                <w:kern w:val="0"/>
                <w:sz w:val="24"/>
                <w:szCs w:val="24"/>
                <w:lang w:val="en-US" w:eastAsia="zh-CN"/>
              </w:rPr>
              <w:t>知道层次：</w:t>
            </w:r>
            <w:r>
              <w:rPr>
                <w:rFonts w:hint="eastAsia" w:ascii="仿宋" w:hAnsi="Times New Roman" w:eastAsia="仿宋" w:cs="Times New Roman"/>
                <w:color w:val="000000"/>
                <w:kern w:val="0"/>
                <w:sz w:val="24"/>
                <w:szCs w:val="24"/>
                <w:lang w:val="en-US" w:eastAsia="zh-TW"/>
              </w:rPr>
              <w:t>了解大、小三和弦的构成、</w:t>
            </w:r>
            <w:r>
              <w:rPr>
                <w:rFonts w:hint="eastAsia" w:ascii="仿宋" w:hAnsi="Times New Roman" w:eastAsia="仿宋" w:cs="Times New Roman"/>
                <w:color w:val="000000"/>
                <w:kern w:val="0"/>
                <w:sz w:val="24"/>
                <w:szCs w:val="24"/>
                <w:lang w:val="en-US" w:eastAsia="zh-CN"/>
              </w:rPr>
              <w:t>五声调式</w:t>
            </w:r>
            <w:r>
              <w:rPr>
                <w:rFonts w:hint="eastAsia" w:ascii="仿宋" w:hAnsi="Times New Roman" w:eastAsia="仿宋" w:cs="Times New Roman"/>
                <w:color w:val="000000"/>
                <w:kern w:val="0"/>
                <w:sz w:val="24"/>
                <w:szCs w:val="24"/>
                <w:lang w:val="en-US" w:eastAsia="zh-TW"/>
              </w:rPr>
              <w:t>和</w:t>
            </w:r>
            <w:r>
              <w:rPr>
                <w:rFonts w:hint="eastAsia" w:ascii="仿宋" w:hAnsi="Times New Roman" w:eastAsia="仿宋" w:cs="Times New Roman"/>
                <w:color w:val="000000"/>
                <w:kern w:val="0"/>
                <w:sz w:val="24"/>
                <w:szCs w:val="24"/>
                <w:lang w:val="en-US" w:eastAsia="zh-CN"/>
              </w:rPr>
              <w:t>G</w:t>
            </w:r>
            <w:r>
              <w:rPr>
                <w:rFonts w:hint="eastAsia" w:ascii="仿宋" w:hAnsi="Times New Roman" w:eastAsia="仿宋" w:cs="Times New Roman"/>
                <w:color w:val="000000"/>
                <w:kern w:val="0"/>
                <w:sz w:val="24"/>
                <w:szCs w:val="24"/>
                <w:lang w:val="en-US" w:eastAsia="zh-TW"/>
              </w:rPr>
              <w:t>大调、e小调曲调结构及单拍子的基本节奏等等.</w:t>
            </w:r>
          </w:p>
          <w:p w14:paraId="647D3300">
            <w:pPr>
              <w:pageBreakBefore w:val="0"/>
              <w:tabs>
                <w:tab w:val="left" w:pos="720"/>
              </w:tabs>
              <w:kinsoku/>
              <w:overflowPunct/>
              <w:topLinePunct w:val="0"/>
              <w:bidi w:val="0"/>
              <w:adjustRightInd w:val="0"/>
              <w:snapToGrid w:val="0"/>
              <w:spacing w:line="240" w:lineRule="auto"/>
              <w:rPr>
                <w:rFonts w:hint="eastAsia" w:ascii="仿宋" w:hAnsi="Times New Roman" w:eastAsia="仿宋" w:cs="Times New Roman"/>
                <w:color w:val="000000"/>
                <w:kern w:val="0"/>
                <w:sz w:val="24"/>
                <w:szCs w:val="24"/>
                <w:lang w:val="en-US" w:eastAsia="zh-CN"/>
              </w:rPr>
            </w:pPr>
            <w:r>
              <w:rPr>
                <w:rFonts w:hint="eastAsia" w:ascii="仿宋" w:hAnsi="Times New Roman" w:eastAsia="仿宋" w:cs="Times New Roman"/>
                <w:color w:val="000000"/>
                <w:kern w:val="0"/>
                <w:sz w:val="24"/>
                <w:szCs w:val="24"/>
                <w:lang w:val="en-US" w:eastAsia="zh-CN"/>
              </w:rPr>
              <w:t>领会层次：掌握大、小</w:t>
            </w:r>
            <w:r>
              <w:rPr>
                <w:rFonts w:hint="eastAsia" w:ascii="仿宋" w:hAnsi="Times New Roman" w:eastAsia="仿宋" w:cs="Times New Roman"/>
                <w:color w:val="000000"/>
                <w:kern w:val="0"/>
                <w:sz w:val="24"/>
                <w:szCs w:val="24"/>
                <w:lang w:val="en-US" w:eastAsia="zh-TW"/>
              </w:rPr>
              <w:t>三和弦、</w:t>
            </w:r>
            <w:r>
              <w:rPr>
                <w:rFonts w:hint="eastAsia" w:ascii="仿宋" w:hAnsi="Times New Roman" w:eastAsia="仿宋" w:cs="Times New Roman"/>
                <w:color w:val="000000"/>
                <w:kern w:val="0"/>
                <w:sz w:val="24"/>
                <w:szCs w:val="24"/>
                <w:lang w:val="en-US" w:eastAsia="zh-CN"/>
              </w:rPr>
              <w:t>五声调式及G</w:t>
            </w:r>
            <w:r>
              <w:rPr>
                <w:rFonts w:hint="eastAsia" w:ascii="仿宋" w:hAnsi="Times New Roman" w:eastAsia="仿宋" w:cs="Times New Roman"/>
                <w:color w:val="000000"/>
                <w:kern w:val="0"/>
                <w:sz w:val="24"/>
                <w:szCs w:val="24"/>
                <w:lang w:val="en-US" w:eastAsia="zh-TW"/>
              </w:rPr>
              <w:t xml:space="preserve">大调、e小调的听辩.培养音乐感知力、增强视奏及视唱的能力.另外、掌握单拍子中的简单节奏. </w:t>
            </w:r>
          </w:p>
          <w:p w14:paraId="79370F63">
            <w:pPr>
              <w:pageBreakBefore w:val="0"/>
              <w:tabs>
                <w:tab w:val="left" w:pos="720"/>
              </w:tabs>
              <w:kinsoku/>
              <w:overflowPunct/>
              <w:topLinePunct w:val="0"/>
              <w:bidi w:val="0"/>
              <w:adjustRightInd w:val="0"/>
              <w:snapToGrid w:val="0"/>
              <w:spacing w:line="240" w:lineRule="auto"/>
              <w:rPr>
                <w:rFonts w:ascii="仿宋" w:eastAsia="仿宋" w:cs="仿宋"/>
                <w:color w:val="000000"/>
                <w:sz w:val="24"/>
                <w:szCs w:val="24"/>
                <w:lang w:val="en-US" w:eastAsia="zh-TW"/>
              </w:rPr>
            </w:pPr>
            <w:r>
              <w:rPr>
                <w:rFonts w:hint="eastAsia" w:ascii="仿宋" w:hAnsi="Times New Roman" w:eastAsia="仿宋" w:cs="Times New Roman"/>
                <w:color w:val="000000"/>
                <w:kern w:val="0"/>
                <w:sz w:val="24"/>
                <w:szCs w:val="24"/>
                <w:lang w:val="en-US" w:eastAsia="zh-CN"/>
              </w:rPr>
              <w:t>应用层次：把掌握的音乐基本理论知识运用到音乐教学实践中</w:t>
            </w:r>
          </w:p>
        </w:tc>
        <w:tc>
          <w:tcPr>
            <w:tcW w:w="1240" w:type="dxa"/>
            <w:gridSpan w:val="3"/>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3C4B0A1A">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CN"/>
              </w:rPr>
            </w:pPr>
          </w:p>
          <w:p w14:paraId="4406BE3F">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CN"/>
              </w:rPr>
            </w:pPr>
          </w:p>
          <w:p w14:paraId="13059EA5">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CN"/>
              </w:rPr>
            </w:pPr>
          </w:p>
          <w:p w14:paraId="4D25A338">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CN"/>
              </w:rPr>
            </w:pPr>
          </w:p>
          <w:p w14:paraId="5A0713D5">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CN"/>
              </w:rPr>
            </w:pPr>
          </w:p>
          <w:p w14:paraId="2756196A">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CN"/>
              </w:rPr>
            </w:pPr>
          </w:p>
          <w:p w14:paraId="2C275D42">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CN"/>
              </w:rPr>
            </w:pPr>
          </w:p>
          <w:p w14:paraId="18FBC277">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val="en-US" w:eastAsia="zh-CN"/>
              </w:rPr>
            </w:pPr>
            <w:r>
              <w:rPr>
                <w:rFonts w:hint="eastAsia" w:ascii="仿宋" w:eastAsia="仿宋" w:cs="仿宋"/>
                <w:color w:val="000000"/>
                <w:sz w:val="24"/>
                <w:szCs w:val="24"/>
                <w:lang w:val="en-US" w:eastAsia="zh-CN"/>
              </w:rPr>
              <w:t>支撑课程</w:t>
            </w:r>
            <w:r>
              <w:rPr>
                <w:rFonts w:hint="eastAsia" w:ascii="仿宋" w:eastAsia="仿宋" w:cs="仿宋"/>
                <w:color w:val="000000"/>
                <w:sz w:val="24"/>
                <w:szCs w:val="24"/>
                <w:lang w:val="en-US" w:eastAsia="zh-TW"/>
              </w:rPr>
              <w:t>目标1、2</w:t>
            </w:r>
            <w:r>
              <w:rPr>
                <w:rFonts w:hint="eastAsia" w:ascii="仿宋" w:eastAsia="仿宋" w:cs="仿宋"/>
                <w:color w:val="000000"/>
                <w:sz w:val="24"/>
                <w:szCs w:val="24"/>
                <w:lang w:val="en-US" w:eastAsia="zh-CN"/>
              </w:rPr>
              <w:t>、3</w:t>
            </w:r>
          </w:p>
        </w:tc>
        <w:tc>
          <w:tcPr>
            <w:tcW w:w="674" w:type="dxa"/>
            <w:gridSpan w:val="2"/>
            <w:vMerge w:val="restart"/>
            <w:tcBorders>
              <w:top w:val="single" w:color="auto" w:sz="4" w:space="0"/>
              <w:left w:val="single" w:color="auto" w:sz="4" w:space="0"/>
              <w:bottom w:val="single" w:color="auto" w:sz="4" w:space="0"/>
              <w:right w:val="single" w:color="auto" w:sz="4" w:space="0"/>
            </w:tcBorders>
            <w:shd w:val="clear" w:color="auto" w:fill="FFFFFF"/>
            <w:noWrap/>
            <w:vAlign w:val="center"/>
          </w:tcPr>
          <w:p w14:paraId="529C251A">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CN"/>
              </w:rPr>
            </w:pPr>
          </w:p>
          <w:p w14:paraId="1EA7F16D">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CN"/>
              </w:rPr>
            </w:pPr>
          </w:p>
          <w:p w14:paraId="3F333418">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CN"/>
              </w:rPr>
            </w:pPr>
          </w:p>
          <w:p w14:paraId="7E392341">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CN"/>
              </w:rPr>
            </w:pPr>
          </w:p>
          <w:p w14:paraId="1D702DD7">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CN"/>
              </w:rPr>
            </w:pPr>
          </w:p>
          <w:p w14:paraId="7D567430">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CN"/>
              </w:rPr>
            </w:pPr>
          </w:p>
          <w:p w14:paraId="108BA76B">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CN"/>
              </w:rPr>
            </w:pPr>
          </w:p>
          <w:p w14:paraId="79D30DAC">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CN"/>
              </w:rPr>
            </w:pPr>
          </w:p>
          <w:p w14:paraId="6651A2B7">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val="en-US" w:eastAsia="zh-CN"/>
              </w:rPr>
            </w:pPr>
            <w:r>
              <w:rPr>
                <w:rFonts w:hint="eastAsia" w:ascii="仿宋" w:eastAsia="仿宋" w:cs="仿宋"/>
                <w:color w:val="000000"/>
                <w:sz w:val="24"/>
                <w:szCs w:val="24"/>
                <w:lang w:val="en-US" w:eastAsia="zh-CN"/>
              </w:rPr>
              <w:t>32</w:t>
            </w:r>
          </w:p>
        </w:tc>
      </w:tr>
      <w:tr w14:paraId="11D88DC5">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14:paraId="25DC6E05"/>
        </w:tc>
        <w:tc>
          <w:tcPr>
            <w:tcW w:w="5858" w:type="dxa"/>
            <w:gridSpan w:val="8"/>
            <w:tcBorders>
              <w:top w:val="single" w:color="auto" w:sz="4" w:space="0"/>
              <w:left w:val="single" w:color="auto" w:sz="4" w:space="0"/>
              <w:bottom w:val="single" w:color="auto" w:sz="4" w:space="0"/>
              <w:right w:val="single" w:color="auto" w:sz="4" w:space="0"/>
            </w:tcBorders>
            <w:shd w:val="clear" w:color="auto" w:fill="auto"/>
            <w:noWrap/>
            <w:vAlign w:val="top"/>
          </w:tcPr>
          <w:p w14:paraId="73B2BF11">
            <w:pPr>
              <w:pageBreakBefore w:val="0"/>
              <w:tabs>
                <w:tab w:val="left" w:pos="720"/>
              </w:tabs>
              <w:kinsoku/>
              <w:overflowPunct/>
              <w:topLinePunct w:val="0"/>
              <w:bidi w:val="0"/>
              <w:adjustRightInd w:val="0"/>
              <w:snapToGrid w:val="0"/>
              <w:spacing w:line="240" w:lineRule="auto"/>
              <w:rPr>
                <w:rFonts w:hint="eastAsia" w:ascii="仿宋" w:hAnsi="Times New Roman" w:eastAsia="仿宋" w:cs="Times New Roman"/>
                <w:color w:val="000000"/>
                <w:kern w:val="0"/>
                <w:sz w:val="24"/>
                <w:szCs w:val="24"/>
                <w:lang w:val="en-US" w:eastAsia="zh-TW"/>
              </w:rPr>
            </w:pPr>
            <w:r>
              <w:rPr>
                <w:rFonts w:hint="eastAsia" w:ascii="仿宋" w:hAnsi="Times New Roman" w:eastAsia="仿宋" w:cs="Times New Roman"/>
                <w:color w:val="000000"/>
                <w:kern w:val="0"/>
                <w:sz w:val="24"/>
                <w:szCs w:val="24"/>
                <w:lang w:val="en-US" w:eastAsia="zh-TW"/>
              </w:rPr>
              <w:t>第一册第三章：一个降号的大小调及五声调式</w:t>
            </w:r>
          </w:p>
          <w:p w14:paraId="70DE7093">
            <w:pPr>
              <w:pageBreakBefore w:val="0"/>
              <w:tabs>
                <w:tab w:val="left" w:pos="720"/>
              </w:tabs>
              <w:kinsoku/>
              <w:overflowPunct/>
              <w:topLinePunct w:val="0"/>
              <w:bidi w:val="0"/>
              <w:adjustRightInd w:val="0"/>
              <w:snapToGrid w:val="0"/>
              <w:spacing w:line="240" w:lineRule="auto"/>
              <w:rPr>
                <w:rFonts w:hint="eastAsia" w:ascii="仿宋" w:hAnsi="Times New Roman" w:eastAsia="仿宋" w:cs="Times New Roman"/>
                <w:color w:val="000000"/>
                <w:kern w:val="0"/>
                <w:sz w:val="24"/>
                <w:szCs w:val="24"/>
                <w:lang w:val="en-US" w:eastAsia="zh-TW"/>
              </w:rPr>
            </w:pPr>
            <w:r>
              <w:rPr>
                <w:rFonts w:hint="eastAsia" w:ascii="仿宋" w:hAnsi="Times New Roman" w:eastAsia="仿宋" w:cs="Times New Roman"/>
                <w:color w:val="000000"/>
                <w:kern w:val="0"/>
                <w:sz w:val="24"/>
                <w:szCs w:val="24"/>
                <w:lang w:val="en-US" w:eastAsia="zh-TW"/>
              </w:rPr>
              <w:t>知道层次：了解大、小六和弦的构成、五声调式和F大调、d</w:t>
            </w:r>
          </w:p>
          <w:p w14:paraId="26FA781B">
            <w:pPr>
              <w:pageBreakBefore w:val="0"/>
              <w:tabs>
                <w:tab w:val="left" w:pos="720"/>
              </w:tabs>
              <w:kinsoku/>
              <w:overflowPunct/>
              <w:topLinePunct w:val="0"/>
              <w:bidi w:val="0"/>
              <w:adjustRightInd w:val="0"/>
              <w:snapToGrid w:val="0"/>
              <w:spacing w:line="240" w:lineRule="auto"/>
              <w:rPr>
                <w:rFonts w:hint="eastAsia" w:ascii="仿宋" w:hAnsi="Times New Roman" w:eastAsia="仿宋" w:cs="Times New Roman"/>
                <w:color w:val="000000"/>
                <w:kern w:val="0"/>
                <w:sz w:val="24"/>
                <w:szCs w:val="24"/>
                <w:lang w:val="en-US" w:eastAsia="zh-TW"/>
              </w:rPr>
            </w:pPr>
            <w:r>
              <w:rPr>
                <w:rFonts w:hint="eastAsia" w:ascii="仿宋" w:hAnsi="Times New Roman" w:eastAsia="仿宋" w:cs="Times New Roman"/>
                <w:color w:val="000000"/>
                <w:kern w:val="0"/>
                <w:sz w:val="24"/>
                <w:szCs w:val="24"/>
                <w:lang w:val="en-US" w:eastAsia="zh-TW"/>
              </w:rPr>
              <w:t>小调曲调结构及附点音符与切分音符节奏等等.</w:t>
            </w:r>
          </w:p>
          <w:p w14:paraId="666419EA">
            <w:pPr>
              <w:pageBreakBefore w:val="0"/>
              <w:tabs>
                <w:tab w:val="left" w:pos="720"/>
              </w:tabs>
              <w:kinsoku/>
              <w:overflowPunct/>
              <w:topLinePunct w:val="0"/>
              <w:bidi w:val="0"/>
              <w:adjustRightInd w:val="0"/>
              <w:snapToGrid w:val="0"/>
              <w:spacing w:line="240" w:lineRule="auto"/>
              <w:rPr>
                <w:rFonts w:hint="eastAsia" w:ascii="仿宋" w:hAnsi="Times New Roman" w:eastAsia="仿宋" w:cs="Times New Roman"/>
                <w:color w:val="000000"/>
                <w:kern w:val="0"/>
                <w:sz w:val="24"/>
                <w:szCs w:val="24"/>
                <w:lang w:val="en-US" w:eastAsia="zh-TW"/>
              </w:rPr>
            </w:pPr>
            <w:r>
              <w:rPr>
                <w:rFonts w:hint="eastAsia" w:ascii="仿宋" w:hAnsi="Times New Roman" w:eastAsia="仿宋" w:cs="Times New Roman"/>
                <w:color w:val="000000"/>
                <w:kern w:val="0"/>
                <w:sz w:val="24"/>
                <w:szCs w:val="24"/>
                <w:lang w:val="en-US" w:eastAsia="zh-TW"/>
              </w:rPr>
              <w:t>领会层次：掌握大、小六和弦、五声调式及F大调、d</w:t>
            </w:r>
          </w:p>
          <w:p w14:paraId="20324DC2">
            <w:pPr>
              <w:pageBreakBefore w:val="0"/>
              <w:tabs>
                <w:tab w:val="left" w:pos="720"/>
              </w:tabs>
              <w:kinsoku/>
              <w:overflowPunct/>
              <w:topLinePunct w:val="0"/>
              <w:bidi w:val="0"/>
              <w:adjustRightInd w:val="0"/>
              <w:snapToGrid w:val="0"/>
              <w:spacing w:line="240" w:lineRule="auto"/>
              <w:rPr>
                <w:rFonts w:hint="eastAsia" w:ascii="仿宋" w:hAnsi="Times New Roman" w:eastAsia="仿宋" w:cs="Times New Roman"/>
                <w:color w:val="000000"/>
                <w:kern w:val="0"/>
                <w:sz w:val="24"/>
                <w:szCs w:val="24"/>
                <w:lang w:val="en-US" w:eastAsia="zh-TW"/>
              </w:rPr>
            </w:pPr>
            <w:r>
              <w:rPr>
                <w:rFonts w:hint="eastAsia" w:ascii="仿宋" w:hAnsi="Times New Roman" w:eastAsia="仿宋" w:cs="Times New Roman"/>
                <w:color w:val="000000"/>
                <w:kern w:val="0"/>
                <w:sz w:val="24"/>
                <w:szCs w:val="24"/>
                <w:lang w:val="en-US" w:eastAsia="zh-TW"/>
              </w:rPr>
              <w:t xml:space="preserve">小调的听辩. 培养音乐感知力、增强视奏及视唱的能力.另外、掌握附点及切分拍子的节奏. </w:t>
            </w:r>
          </w:p>
          <w:p w14:paraId="270A7356">
            <w:pPr>
              <w:pageBreakBefore w:val="0"/>
              <w:tabs>
                <w:tab w:val="left" w:pos="720"/>
              </w:tabs>
              <w:kinsoku/>
              <w:overflowPunct/>
              <w:topLinePunct w:val="0"/>
              <w:bidi w:val="0"/>
              <w:adjustRightInd w:val="0"/>
              <w:snapToGrid w:val="0"/>
              <w:spacing w:line="240" w:lineRule="auto"/>
              <w:rPr>
                <w:rFonts w:hint="eastAsia" w:ascii="仿宋" w:hAnsi="Times New Roman" w:eastAsia="仿宋" w:cs="Times New Roman"/>
                <w:color w:val="000000"/>
                <w:kern w:val="0"/>
                <w:sz w:val="24"/>
                <w:szCs w:val="24"/>
                <w:lang w:val="en-US" w:eastAsia="zh-TW"/>
              </w:rPr>
            </w:pPr>
            <w:r>
              <w:rPr>
                <w:rFonts w:hint="eastAsia" w:ascii="仿宋" w:hAnsi="Times New Roman" w:eastAsia="仿宋" w:cs="Times New Roman"/>
                <w:color w:val="000000"/>
                <w:kern w:val="0"/>
                <w:sz w:val="24"/>
                <w:szCs w:val="24"/>
                <w:lang w:val="en-US" w:eastAsia="zh-TW"/>
              </w:rPr>
              <w:t>应用层次：把掌握的音乐基本理论知识运用到音乐教学实践中.</w:t>
            </w:r>
          </w:p>
          <w:p w14:paraId="2CFE97D8">
            <w:pPr>
              <w:pageBreakBefore w:val="0"/>
              <w:tabs>
                <w:tab w:val="left" w:pos="720"/>
              </w:tabs>
              <w:kinsoku/>
              <w:overflowPunct/>
              <w:topLinePunct w:val="0"/>
              <w:bidi w:val="0"/>
              <w:adjustRightInd w:val="0"/>
              <w:snapToGrid w:val="0"/>
              <w:spacing w:line="240" w:lineRule="auto"/>
              <w:rPr>
                <w:rFonts w:hint="eastAsia" w:ascii="仿宋" w:hAnsi="Times New Roman" w:eastAsia="仿宋" w:cs="Times New Roman"/>
                <w:color w:val="000000"/>
                <w:kern w:val="0"/>
                <w:sz w:val="24"/>
                <w:szCs w:val="24"/>
                <w:lang w:val="en-US" w:eastAsia="zh-TW"/>
              </w:rPr>
            </w:pPr>
            <w:r>
              <w:rPr>
                <w:rFonts w:hint="eastAsia" w:ascii="仿宋" w:hAnsi="Times New Roman" w:eastAsia="仿宋" w:cs="Times New Roman"/>
                <w:color w:val="000000"/>
                <w:kern w:val="0"/>
                <w:sz w:val="24"/>
                <w:szCs w:val="24"/>
                <w:lang w:val="en-US" w:eastAsia="zh-TW"/>
              </w:rPr>
              <w:t>第二册第一章：两个升号的大小调及五声调式</w:t>
            </w:r>
          </w:p>
          <w:p w14:paraId="3DACA6BB">
            <w:pPr>
              <w:pageBreakBefore w:val="0"/>
              <w:tabs>
                <w:tab w:val="left" w:pos="720"/>
              </w:tabs>
              <w:kinsoku/>
              <w:overflowPunct/>
              <w:topLinePunct w:val="0"/>
              <w:bidi w:val="0"/>
              <w:adjustRightInd w:val="0"/>
              <w:snapToGrid w:val="0"/>
              <w:spacing w:line="240" w:lineRule="auto"/>
              <w:rPr>
                <w:rFonts w:hint="eastAsia" w:ascii="仿宋" w:hAnsi="Times New Roman" w:eastAsia="仿宋" w:cs="Times New Roman"/>
                <w:color w:val="000000"/>
                <w:kern w:val="0"/>
                <w:sz w:val="24"/>
                <w:szCs w:val="24"/>
                <w:lang w:val="en-US" w:eastAsia="zh-TW"/>
              </w:rPr>
            </w:pPr>
            <w:r>
              <w:rPr>
                <w:rFonts w:hint="eastAsia" w:ascii="仿宋" w:hAnsi="Times New Roman" w:eastAsia="仿宋" w:cs="Times New Roman"/>
                <w:color w:val="000000"/>
                <w:kern w:val="0"/>
                <w:sz w:val="24"/>
                <w:szCs w:val="24"/>
                <w:lang w:val="en-US" w:eastAsia="zh-TW"/>
              </w:rPr>
              <w:t>知道层次：了解五声调式、三全音、大小四六和弦、减三和弦、减四六和弦等等的构成以及连续切分音的节奏.</w:t>
            </w:r>
          </w:p>
          <w:p w14:paraId="2CDB2E11">
            <w:pPr>
              <w:pageBreakBefore w:val="0"/>
              <w:tabs>
                <w:tab w:val="left" w:pos="720"/>
              </w:tabs>
              <w:kinsoku/>
              <w:overflowPunct/>
              <w:topLinePunct w:val="0"/>
              <w:bidi w:val="0"/>
              <w:adjustRightInd w:val="0"/>
              <w:snapToGrid w:val="0"/>
              <w:spacing w:line="240" w:lineRule="auto"/>
              <w:rPr>
                <w:rFonts w:hint="eastAsia" w:ascii="仿宋" w:hAnsi="Times New Roman" w:eastAsia="仿宋" w:cs="Times New Roman"/>
                <w:color w:val="000000"/>
                <w:kern w:val="0"/>
                <w:sz w:val="24"/>
                <w:szCs w:val="24"/>
                <w:lang w:val="en-US" w:eastAsia="zh-TW"/>
              </w:rPr>
            </w:pPr>
            <w:r>
              <w:rPr>
                <w:rFonts w:hint="eastAsia" w:ascii="仿宋" w:hAnsi="Times New Roman" w:eastAsia="仿宋" w:cs="Times New Roman"/>
                <w:color w:val="000000"/>
                <w:kern w:val="0"/>
                <w:sz w:val="24"/>
                <w:szCs w:val="24"/>
                <w:lang w:val="en-US" w:eastAsia="zh-TW"/>
              </w:rPr>
              <w:t>领会层次：掌握三全音、大小四六和弦、减三和弦、减四六和弦的听辩. 培养音乐感知力、增强视奏及视唱的能力.另外、掌握连续切分音的节奏.</w:t>
            </w:r>
          </w:p>
          <w:p w14:paraId="4B590238">
            <w:pPr>
              <w:pageBreakBefore w:val="0"/>
              <w:tabs>
                <w:tab w:val="left" w:pos="720"/>
              </w:tabs>
              <w:kinsoku/>
              <w:overflowPunct/>
              <w:topLinePunct w:val="0"/>
              <w:bidi w:val="0"/>
              <w:adjustRightInd w:val="0"/>
              <w:snapToGrid w:val="0"/>
              <w:spacing w:line="240" w:lineRule="auto"/>
              <w:rPr>
                <w:rFonts w:hint="default" w:ascii="仿宋" w:eastAsia="仿宋" w:cs="仿宋"/>
                <w:color w:val="000000"/>
                <w:sz w:val="24"/>
                <w:szCs w:val="24"/>
                <w:lang w:val="en-US" w:eastAsia="zh-Hans"/>
              </w:rPr>
            </w:pPr>
            <w:r>
              <w:rPr>
                <w:rFonts w:hint="eastAsia" w:ascii="仿宋" w:hAnsi="Times New Roman" w:eastAsia="仿宋" w:cs="Times New Roman"/>
                <w:color w:val="000000"/>
                <w:kern w:val="0"/>
                <w:sz w:val="24"/>
                <w:szCs w:val="24"/>
                <w:lang w:val="en-US" w:eastAsia="zh-TW"/>
              </w:rPr>
              <w:t>应用层次：把掌握的音乐基本理论知识运用到音乐教学实践中</w:t>
            </w:r>
          </w:p>
        </w:tc>
        <w:tc>
          <w:tcPr>
            <w:tcW w:w="1240" w:type="dxa"/>
            <w:gridSpan w:val="3"/>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2999819D"/>
        </w:tc>
        <w:tc>
          <w:tcPr>
            <w:tcW w:w="674" w:type="dxa"/>
            <w:gridSpan w:val="2"/>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14:paraId="47CE328F"/>
        </w:tc>
      </w:tr>
      <w:tr w14:paraId="24FF6B72">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14:paraId="553D94C0"/>
        </w:tc>
        <w:tc>
          <w:tcPr>
            <w:tcW w:w="5858" w:type="dxa"/>
            <w:gridSpan w:val="8"/>
            <w:tcBorders>
              <w:top w:val="single" w:color="auto" w:sz="4" w:space="0"/>
              <w:left w:val="single" w:color="auto" w:sz="4" w:space="0"/>
              <w:bottom w:val="single" w:color="auto" w:sz="4" w:space="0"/>
              <w:right w:val="single" w:color="auto" w:sz="4" w:space="0"/>
            </w:tcBorders>
            <w:shd w:val="clear" w:color="auto" w:fill="auto"/>
            <w:noWrap/>
            <w:vAlign w:val="top"/>
          </w:tcPr>
          <w:p w14:paraId="0CCBDB60">
            <w:pPr>
              <w:pageBreakBefore w:val="0"/>
              <w:tabs>
                <w:tab w:val="left" w:pos="720"/>
              </w:tabs>
              <w:kinsoku/>
              <w:overflowPunct/>
              <w:topLinePunct w:val="0"/>
              <w:bidi w:val="0"/>
              <w:adjustRightInd w:val="0"/>
              <w:snapToGrid w:val="0"/>
              <w:spacing w:line="240" w:lineRule="auto"/>
              <w:rPr>
                <w:rFonts w:hint="eastAsia" w:ascii="仿宋" w:hAnsi="Times New Roman" w:eastAsia="仿宋" w:cs="Times New Roman"/>
                <w:color w:val="000000"/>
                <w:kern w:val="0"/>
                <w:sz w:val="24"/>
                <w:szCs w:val="24"/>
                <w:lang w:val="en-US" w:eastAsia="zh-TW"/>
              </w:rPr>
            </w:pPr>
            <w:r>
              <w:rPr>
                <w:rFonts w:hint="eastAsia" w:ascii="仿宋" w:hAnsi="Times New Roman" w:eastAsia="仿宋" w:cs="Times New Roman"/>
                <w:color w:val="000000"/>
                <w:kern w:val="0"/>
                <w:sz w:val="24"/>
                <w:szCs w:val="24"/>
                <w:lang w:val="en-US" w:eastAsia="zh-TW"/>
              </w:rPr>
              <w:t>第二册第二章：两个降号的大小调及五声调式</w:t>
            </w:r>
          </w:p>
          <w:p w14:paraId="6F39EC75">
            <w:pPr>
              <w:pageBreakBefore w:val="0"/>
              <w:tabs>
                <w:tab w:val="left" w:pos="720"/>
              </w:tabs>
              <w:kinsoku/>
              <w:overflowPunct/>
              <w:topLinePunct w:val="0"/>
              <w:bidi w:val="0"/>
              <w:adjustRightInd w:val="0"/>
              <w:snapToGrid w:val="0"/>
              <w:spacing w:line="240" w:lineRule="auto"/>
              <w:rPr>
                <w:rFonts w:hint="eastAsia" w:ascii="仿宋" w:hAnsi="Times New Roman" w:eastAsia="仿宋" w:cs="Times New Roman"/>
                <w:color w:val="000000"/>
                <w:kern w:val="0"/>
                <w:sz w:val="24"/>
                <w:szCs w:val="24"/>
                <w:lang w:val="en-US" w:eastAsia="zh-TW"/>
              </w:rPr>
            </w:pPr>
            <w:r>
              <w:rPr>
                <w:rFonts w:hint="eastAsia" w:ascii="仿宋" w:hAnsi="Times New Roman" w:eastAsia="仿宋" w:cs="Times New Roman"/>
                <w:color w:val="000000"/>
                <w:kern w:val="0"/>
                <w:sz w:val="24"/>
                <w:szCs w:val="24"/>
                <w:lang w:val="en-US" w:eastAsia="zh-TW"/>
              </w:rPr>
              <w:t>知道层次：了解大、小、增、减三和弦原、转位的构成. 另外、五声调式及切分音的节奏组合.</w:t>
            </w:r>
          </w:p>
          <w:p w14:paraId="50CDFD06">
            <w:pPr>
              <w:pageBreakBefore w:val="0"/>
              <w:tabs>
                <w:tab w:val="left" w:pos="720"/>
              </w:tabs>
              <w:kinsoku/>
              <w:overflowPunct/>
              <w:topLinePunct w:val="0"/>
              <w:bidi w:val="0"/>
              <w:adjustRightInd w:val="0"/>
              <w:snapToGrid w:val="0"/>
              <w:spacing w:line="240" w:lineRule="auto"/>
              <w:rPr>
                <w:rFonts w:hint="eastAsia" w:ascii="仿宋" w:hAnsi="Times New Roman" w:eastAsia="仿宋" w:cs="Times New Roman"/>
                <w:color w:val="000000"/>
                <w:kern w:val="0"/>
                <w:sz w:val="24"/>
                <w:szCs w:val="24"/>
                <w:lang w:val="en-US" w:eastAsia="zh-TW"/>
              </w:rPr>
            </w:pPr>
            <w:r>
              <w:rPr>
                <w:rFonts w:hint="eastAsia" w:ascii="仿宋" w:hAnsi="Times New Roman" w:eastAsia="仿宋" w:cs="Times New Roman"/>
                <w:color w:val="000000"/>
                <w:kern w:val="0"/>
                <w:sz w:val="24"/>
                <w:szCs w:val="24"/>
                <w:lang w:val="en-US" w:eastAsia="zh-TW"/>
              </w:rPr>
              <w:t>领会层次：掌握大、小、增、减三和弦原、转位的听辩. 培养音乐感知力、增强视奏及视唱的能力.另外、掌握二声部的节奏训练.</w:t>
            </w:r>
          </w:p>
          <w:p w14:paraId="3EB42A9F">
            <w:pPr>
              <w:pageBreakBefore w:val="0"/>
              <w:tabs>
                <w:tab w:val="left" w:pos="720"/>
              </w:tabs>
              <w:kinsoku/>
              <w:overflowPunct/>
              <w:topLinePunct w:val="0"/>
              <w:bidi w:val="0"/>
              <w:adjustRightInd w:val="0"/>
              <w:snapToGrid w:val="0"/>
              <w:spacing w:line="240" w:lineRule="auto"/>
              <w:rPr>
                <w:rFonts w:hint="eastAsia" w:ascii="仿宋" w:hAnsi="Times New Roman" w:eastAsia="仿宋" w:cs="Times New Roman"/>
                <w:color w:val="000000"/>
                <w:kern w:val="0"/>
                <w:sz w:val="24"/>
                <w:szCs w:val="24"/>
                <w:lang w:val="en-US" w:eastAsia="zh-TW"/>
              </w:rPr>
            </w:pPr>
            <w:r>
              <w:rPr>
                <w:rFonts w:hint="eastAsia" w:ascii="仿宋" w:hAnsi="Times New Roman" w:eastAsia="仿宋" w:cs="Times New Roman"/>
                <w:color w:val="000000"/>
                <w:kern w:val="0"/>
                <w:sz w:val="24"/>
                <w:szCs w:val="24"/>
                <w:lang w:val="en-US" w:eastAsia="zh-TW"/>
              </w:rPr>
              <w:t>应用层次：把掌握的音乐基本理论知识运用到音乐教学实践中</w:t>
            </w:r>
          </w:p>
          <w:p w14:paraId="6D78AC43">
            <w:pPr>
              <w:pageBreakBefore w:val="0"/>
              <w:tabs>
                <w:tab w:val="left" w:pos="720"/>
              </w:tabs>
              <w:kinsoku/>
              <w:overflowPunct/>
              <w:topLinePunct w:val="0"/>
              <w:bidi w:val="0"/>
              <w:adjustRightInd w:val="0"/>
              <w:snapToGrid w:val="0"/>
              <w:spacing w:line="240" w:lineRule="auto"/>
              <w:rPr>
                <w:rFonts w:hint="eastAsia" w:ascii="仿宋" w:hAnsi="Times New Roman" w:eastAsia="仿宋" w:cs="Times New Roman"/>
                <w:color w:val="000000"/>
                <w:kern w:val="0"/>
                <w:sz w:val="24"/>
                <w:szCs w:val="24"/>
                <w:lang w:val="en-US" w:eastAsia="zh-TW"/>
              </w:rPr>
            </w:pPr>
            <w:r>
              <w:rPr>
                <w:rFonts w:hint="eastAsia" w:ascii="仿宋" w:hAnsi="Times New Roman" w:eastAsia="仿宋" w:cs="Times New Roman"/>
                <w:color w:val="000000"/>
                <w:kern w:val="0"/>
                <w:sz w:val="24"/>
                <w:szCs w:val="24"/>
                <w:lang w:val="en-US" w:eastAsia="zh-TW"/>
              </w:rPr>
              <w:t>第二册第三章：两个升、降号内的各调式</w:t>
            </w:r>
          </w:p>
          <w:p w14:paraId="2B83D52E">
            <w:pPr>
              <w:pageBreakBefore w:val="0"/>
              <w:tabs>
                <w:tab w:val="left" w:pos="720"/>
              </w:tabs>
              <w:kinsoku/>
              <w:overflowPunct/>
              <w:topLinePunct w:val="0"/>
              <w:bidi w:val="0"/>
              <w:adjustRightInd w:val="0"/>
              <w:snapToGrid w:val="0"/>
              <w:spacing w:line="240" w:lineRule="auto"/>
              <w:rPr>
                <w:rFonts w:hint="eastAsia" w:ascii="仿宋" w:hAnsi="Times New Roman" w:eastAsia="仿宋" w:cs="Times New Roman"/>
                <w:color w:val="000000"/>
                <w:kern w:val="0"/>
                <w:sz w:val="24"/>
                <w:szCs w:val="24"/>
                <w:lang w:val="en-US" w:eastAsia="zh-TW"/>
              </w:rPr>
            </w:pPr>
            <w:r>
              <w:rPr>
                <w:rFonts w:hint="eastAsia" w:ascii="仿宋" w:hAnsi="Times New Roman" w:eastAsia="仿宋" w:cs="Times New Roman"/>
                <w:color w:val="000000"/>
                <w:kern w:val="0"/>
                <w:sz w:val="24"/>
                <w:szCs w:val="24"/>
                <w:lang w:val="en-US" w:eastAsia="zh-TW"/>
              </w:rPr>
              <w:t>知道层次：了解三连音及复拍子组成、和弦连接</w:t>
            </w:r>
          </w:p>
          <w:p w14:paraId="5784350E">
            <w:pPr>
              <w:pageBreakBefore w:val="0"/>
              <w:tabs>
                <w:tab w:val="left" w:pos="720"/>
              </w:tabs>
              <w:kinsoku/>
              <w:overflowPunct/>
              <w:topLinePunct w:val="0"/>
              <w:bidi w:val="0"/>
              <w:adjustRightInd w:val="0"/>
              <w:snapToGrid w:val="0"/>
              <w:spacing w:line="240" w:lineRule="auto"/>
              <w:rPr>
                <w:rFonts w:hint="eastAsia" w:ascii="仿宋" w:hAnsi="Times New Roman" w:eastAsia="仿宋" w:cs="Times New Roman"/>
                <w:color w:val="000000"/>
                <w:kern w:val="0"/>
                <w:sz w:val="24"/>
                <w:szCs w:val="24"/>
                <w:lang w:val="en-US" w:eastAsia="zh-TW"/>
              </w:rPr>
            </w:pPr>
            <w:r>
              <w:rPr>
                <w:rFonts w:hint="eastAsia" w:ascii="仿宋" w:hAnsi="Times New Roman" w:eastAsia="仿宋" w:cs="Times New Roman"/>
                <w:color w:val="000000"/>
                <w:kern w:val="0"/>
                <w:sz w:val="24"/>
                <w:szCs w:val="24"/>
                <w:lang w:val="en-US" w:eastAsia="zh-TW"/>
              </w:rPr>
              <w:t>领会层次：掌握和弦连接和二声部的听唱及听写、三连音的节奏练习. 另外、培养音乐感知力、增强视奏及视唱的能力.</w:t>
            </w:r>
          </w:p>
          <w:p w14:paraId="601C7F80">
            <w:pPr>
              <w:pageBreakBefore w:val="0"/>
              <w:tabs>
                <w:tab w:val="left" w:pos="720"/>
              </w:tabs>
              <w:kinsoku/>
              <w:overflowPunct/>
              <w:topLinePunct w:val="0"/>
              <w:bidi w:val="0"/>
              <w:adjustRightInd w:val="0"/>
              <w:snapToGrid w:val="0"/>
              <w:spacing w:line="240" w:lineRule="auto"/>
              <w:rPr>
                <w:rFonts w:hint="eastAsia" w:ascii="仿宋" w:hAnsi="Times New Roman" w:eastAsia="仿宋" w:cs="Times New Roman"/>
                <w:color w:val="000000"/>
                <w:kern w:val="0"/>
                <w:sz w:val="24"/>
                <w:szCs w:val="24"/>
                <w:lang w:val="en-US" w:eastAsia="zh-TW"/>
              </w:rPr>
            </w:pPr>
            <w:r>
              <w:rPr>
                <w:rFonts w:hint="eastAsia" w:ascii="仿宋" w:hAnsi="Times New Roman" w:eastAsia="仿宋" w:cs="Times New Roman"/>
                <w:color w:val="000000"/>
                <w:kern w:val="0"/>
                <w:sz w:val="24"/>
                <w:szCs w:val="24"/>
                <w:lang w:val="en-US" w:eastAsia="zh-TW"/>
              </w:rPr>
              <w:t>应用层次：把掌握的音乐基本理论知识运用到音乐教学实践中</w:t>
            </w:r>
          </w:p>
          <w:p w14:paraId="47A78FB7">
            <w:pPr>
              <w:pageBreakBefore w:val="0"/>
              <w:tabs>
                <w:tab w:val="left" w:pos="720"/>
              </w:tabs>
              <w:kinsoku/>
              <w:overflowPunct/>
              <w:topLinePunct w:val="0"/>
              <w:bidi w:val="0"/>
              <w:adjustRightInd w:val="0"/>
              <w:snapToGrid w:val="0"/>
              <w:spacing w:line="240" w:lineRule="auto"/>
              <w:rPr>
                <w:rFonts w:hint="eastAsia" w:ascii="仿宋" w:hAnsi="Times New Roman" w:eastAsia="仿宋" w:cs="Times New Roman"/>
                <w:color w:val="000000"/>
                <w:kern w:val="0"/>
                <w:sz w:val="24"/>
                <w:szCs w:val="24"/>
                <w:lang w:val="en-US" w:eastAsia="zh-TW"/>
              </w:rPr>
            </w:pPr>
            <w:r>
              <w:rPr>
                <w:rFonts w:hint="eastAsia" w:ascii="仿宋" w:hAnsi="Times New Roman" w:eastAsia="仿宋" w:cs="Times New Roman"/>
                <w:color w:val="000000"/>
                <w:kern w:val="0"/>
                <w:sz w:val="24"/>
                <w:szCs w:val="24"/>
                <w:lang w:val="en-US" w:eastAsia="zh-TW"/>
              </w:rPr>
              <w:t>第二册第四章：三个升号的大、小调及五声调式</w:t>
            </w:r>
          </w:p>
          <w:p w14:paraId="0254DE30">
            <w:pPr>
              <w:pageBreakBefore w:val="0"/>
              <w:tabs>
                <w:tab w:val="left" w:pos="720"/>
              </w:tabs>
              <w:kinsoku/>
              <w:overflowPunct/>
              <w:topLinePunct w:val="0"/>
              <w:bidi w:val="0"/>
              <w:adjustRightInd w:val="0"/>
              <w:snapToGrid w:val="0"/>
              <w:spacing w:line="240" w:lineRule="auto"/>
              <w:rPr>
                <w:rFonts w:hint="eastAsia" w:ascii="仿宋" w:hAnsi="Times New Roman" w:eastAsia="仿宋" w:cs="Times New Roman"/>
                <w:color w:val="000000"/>
                <w:kern w:val="0"/>
                <w:sz w:val="24"/>
                <w:szCs w:val="24"/>
                <w:lang w:val="en-US" w:eastAsia="zh-TW"/>
              </w:rPr>
            </w:pPr>
            <w:r>
              <w:rPr>
                <w:rFonts w:hint="eastAsia" w:ascii="仿宋" w:hAnsi="Times New Roman" w:eastAsia="仿宋" w:cs="Times New Roman"/>
                <w:color w:val="000000"/>
                <w:kern w:val="0"/>
                <w:sz w:val="24"/>
                <w:szCs w:val="24"/>
                <w:lang w:val="en-US" w:eastAsia="zh-TW"/>
              </w:rPr>
              <w:t>知道层次：了解和弦连接,各级三和弦的原位及转位的构成.另外、了解混合拍子的构成.</w:t>
            </w:r>
          </w:p>
          <w:p w14:paraId="13A353F7">
            <w:pPr>
              <w:pageBreakBefore w:val="0"/>
              <w:tabs>
                <w:tab w:val="left" w:pos="720"/>
              </w:tabs>
              <w:kinsoku/>
              <w:overflowPunct/>
              <w:topLinePunct w:val="0"/>
              <w:bidi w:val="0"/>
              <w:adjustRightInd w:val="0"/>
              <w:snapToGrid w:val="0"/>
              <w:spacing w:line="240" w:lineRule="auto"/>
              <w:rPr>
                <w:rFonts w:hint="eastAsia" w:ascii="仿宋" w:hAnsi="Times New Roman" w:eastAsia="仿宋" w:cs="Times New Roman"/>
                <w:color w:val="000000"/>
                <w:kern w:val="0"/>
                <w:sz w:val="24"/>
                <w:szCs w:val="24"/>
                <w:lang w:val="en-US" w:eastAsia="zh-TW"/>
              </w:rPr>
            </w:pPr>
            <w:r>
              <w:rPr>
                <w:rFonts w:hint="eastAsia" w:ascii="仿宋" w:hAnsi="Times New Roman" w:eastAsia="仿宋" w:cs="Times New Roman"/>
                <w:color w:val="000000"/>
                <w:kern w:val="0"/>
                <w:sz w:val="24"/>
                <w:szCs w:val="24"/>
                <w:lang w:val="en-US" w:eastAsia="zh-TW"/>
              </w:rPr>
              <w:t>领会层次：掌握调内和弦连接的听辩、听写,及混合拍子节奏训练.另外、掌握二声部曲调的视唱及听写.</w:t>
            </w:r>
          </w:p>
          <w:p w14:paraId="651B9AC8">
            <w:pPr>
              <w:pageBreakBefore w:val="0"/>
              <w:tabs>
                <w:tab w:val="left" w:pos="720"/>
              </w:tabs>
              <w:kinsoku/>
              <w:overflowPunct/>
              <w:topLinePunct w:val="0"/>
              <w:bidi w:val="0"/>
              <w:adjustRightInd w:val="0"/>
              <w:snapToGrid w:val="0"/>
              <w:spacing w:line="240" w:lineRule="auto"/>
              <w:rPr>
                <w:rFonts w:ascii="仿宋" w:eastAsia="仿宋" w:cs="仿宋"/>
                <w:color w:val="000000"/>
                <w:sz w:val="24"/>
                <w:szCs w:val="24"/>
                <w:lang w:val="en-US"/>
              </w:rPr>
            </w:pPr>
            <w:r>
              <w:rPr>
                <w:rFonts w:hint="eastAsia" w:ascii="仿宋" w:hAnsi="Times New Roman" w:eastAsia="仿宋" w:cs="Times New Roman"/>
                <w:color w:val="000000"/>
                <w:kern w:val="0"/>
                <w:sz w:val="24"/>
                <w:szCs w:val="24"/>
                <w:lang w:val="en-US" w:eastAsia="zh-TW"/>
              </w:rPr>
              <w:t>应用层次：把掌握的音乐基本理论知识运用到音乐教学实践中</w:t>
            </w:r>
          </w:p>
        </w:tc>
        <w:tc>
          <w:tcPr>
            <w:tcW w:w="1240" w:type="dxa"/>
            <w:gridSpan w:val="3"/>
            <w:vMerge w:val="restart"/>
            <w:tcBorders>
              <w:top w:val="single" w:color="auto" w:sz="4" w:space="0"/>
              <w:left w:val="single" w:color="auto" w:sz="4" w:space="0"/>
              <w:right w:val="single" w:color="auto" w:sz="4" w:space="0"/>
            </w:tcBorders>
            <w:shd w:val="clear" w:color="auto" w:fill="auto"/>
            <w:noWrap/>
            <w:vAlign w:val="center"/>
          </w:tcPr>
          <w:p w14:paraId="0D5D03C1">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14:paraId="45460843">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14:paraId="38DE0A1A">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CN"/>
              </w:rPr>
              <w:t>支撑课程</w:t>
            </w:r>
            <w:r>
              <w:rPr>
                <w:rFonts w:hint="eastAsia" w:ascii="仿宋" w:eastAsia="仿宋" w:cs="仿宋"/>
                <w:color w:val="000000"/>
                <w:sz w:val="24"/>
                <w:szCs w:val="24"/>
                <w:lang w:val="en-US" w:eastAsia="zh-TW"/>
              </w:rPr>
              <w:t>目标1、2、3</w:t>
            </w:r>
          </w:p>
          <w:p w14:paraId="16526F96">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14:paraId="7D44C0AB">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tc>
        <w:tc>
          <w:tcPr>
            <w:tcW w:w="674" w:type="dxa"/>
            <w:gridSpan w:val="2"/>
            <w:vMerge w:val="restart"/>
            <w:tcBorders>
              <w:top w:val="single" w:color="auto" w:sz="4" w:space="0"/>
              <w:left w:val="single" w:color="auto" w:sz="4" w:space="0"/>
              <w:right w:val="single" w:color="auto" w:sz="4" w:space="0"/>
            </w:tcBorders>
            <w:shd w:val="clear" w:color="auto" w:fill="FFFFFF"/>
            <w:noWrap/>
            <w:vAlign w:val="center"/>
          </w:tcPr>
          <w:p w14:paraId="7D9A30AA">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val="en-US" w:eastAsia="zh-CN"/>
              </w:rPr>
            </w:pPr>
            <w:r>
              <w:rPr>
                <w:rFonts w:hint="eastAsia" w:ascii="仿宋" w:eastAsia="仿宋" w:cs="仿宋"/>
                <w:color w:val="000000"/>
                <w:sz w:val="24"/>
                <w:szCs w:val="24"/>
                <w:lang w:val="en-US" w:eastAsia="zh-CN"/>
              </w:rPr>
              <w:t>32</w:t>
            </w:r>
          </w:p>
        </w:tc>
      </w:tr>
      <w:tr w14:paraId="1088856D">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14:paraId="4BB61781"/>
        </w:tc>
        <w:tc>
          <w:tcPr>
            <w:tcW w:w="5858" w:type="dxa"/>
            <w:gridSpan w:val="8"/>
            <w:tcBorders>
              <w:top w:val="single" w:color="auto" w:sz="4" w:space="0"/>
              <w:left w:val="single" w:color="auto" w:sz="4" w:space="0"/>
              <w:right w:val="single" w:color="auto" w:sz="4" w:space="0"/>
            </w:tcBorders>
            <w:shd w:val="clear" w:color="auto" w:fill="auto"/>
            <w:noWrap/>
            <w:vAlign w:val="center"/>
          </w:tcPr>
          <w:p w14:paraId="6A6D23A2">
            <w:pPr>
              <w:pageBreakBefore w:val="0"/>
              <w:tabs>
                <w:tab w:val="left" w:pos="720"/>
              </w:tabs>
              <w:kinsoku/>
              <w:overflowPunct/>
              <w:topLinePunct w:val="0"/>
              <w:bidi w:val="0"/>
              <w:adjustRightInd w:val="0"/>
              <w:snapToGrid w:val="0"/>
              <w:spacing w:line="240" w:lineRule="auto"/>
              <w:rPr>
                <w:rFonts w:hint="eastAsia" w:ascii="仿宋" w:hAnsi="Times New Roman" w:eastAsia="仿宋" w:cs="Times New Roman"/>
                <w:color w:val="000000"/>
                <w:kern w:val="0"/>
                <w:sz w:val="24"/>
                <w:szCs w:val="24"/>
                <w:lang w:val="en-US" w:eastAsia="zh-TW"/>
              </w:rPr>
            </w:pPr>
            <w:r>
              <w:rPr>
                <w:rFonts w:hint="eastAsia" w:ascii="仿宋" w:hAnsi="Times New Roman" w:eastAsia="仿宋" w:cs="Times New Roman"/>
                <w:color w:val="000000"/>
                <w:kern w:val="0"/>
                <w:sz w:val="24"/>
                <w:szCs w:val="24"/>
                <w:lang w:val="en-US" w:eastAsia="zh-TW"/>
              </w:rPr>
              <w:t>第三册第一章：三个降号的大、小调及五声、六声及七声调式</w:t>
            </w:r>
          </w:p>
          <w:p w14:paraId="3600FAFF">
            <w:pPr>
              <w:pageBreakBefore w:val="0"/>
              <w:tabs>
                <w:tab w:val="left" w:pos="720"/>
              </w:tabs>
              <w:kinsoku/>
              <w:overflowPunct/>
              <w:topLinePunct w:val="0"/>
              <w:bidi w:val="0"/>
              <w:adjustRightInd w:val="0"/>
              <w:snapToGrid w:val="0"/>
              <w:spacing w:line="240" w:lineRule="auto"/>
              <w:rPr>
                <w:rFonts w:hint="eastAsia" w:ascii="仿宋" w:hAnsi="Times New Roman" w:eastAsia="仿宋" w:cs="Times New Roman"/>
                <w:color w:val="000000"/>
                <w:kern w:val="0"/>
                <w:sz w:val="24"/>
                <w:szCs w:val="24"/>
                <w:lang w:val="en-US" w:eastAsia="zh-TW"/>
              </w:rPr>
            </w:pPr>
            <w:r>
              <w:rPr>
                <w:rFonts w:hint="eastAsia" w:ascii="仿宋" w:hAnsi="Times New Roman" w:eastAsia="仿宋" w:cs="Times New Roman"/>
                <w:color w:val="000000"/>
                <w:kern w:val="0"/>
                <w:sz w:val="24"/>
                <w:szCs w:val="24"/>
                <w:lang w:val="en-US" w:eastAsia="zh-TW"/>
              </w:rPr>
              <w:t>知道层次：了解大、小七和弦及其转位的结构,单拍子、复拍子的特点及五声、六声及七声调式</w:t>
            </w:r>
          </w:p>
          <w:p w14:paraId="6EA969F3">
            <w:pPr>
              <w:pageBreakBefore w:val="0"/>
              <w:tabs>
                <w:tab w:val="left" w:pos="720"/>
              </w:tabs>
              <w:kinsoku/>
              <w:overflowPunct/>
              <w:topLinePunct w:val="0"/>
              <w:bidi w:val="0"/>
              <w:adjustRightInd w:val="0"/>
              <w:snapToGrid w:val="0"/>
              <w:spacing w:line="240" w:lineRule="auto"/>
              <w:rPr>
                <w:rFonts w:hint="eastAsia" w:ascii="仿宋" w:hAnsi="Times New Roman" w:eastAsia="仿宋" w:cs="Times New Roman"/>
                <w:color w:val="000000"/>
                <w:kern w:val="0"/>
                <w:sz w:val="24"/>
                <w:szCs w:val="24"/>
                <w:lang w:val="en-US" w:eastAsia="zh-TW"/>
              </w:rPr>
            </w:pPr>
            <w:r>
              <w:rPr>
                <w:rFonts w:hint="eastAsia" w:ascii="仿宋" w:hAnsi="Times New Roman" w:eastAsia="仿宋" w:cs="Times New Roman"/>
                <w:color w:val="000000"/>
                <w:kern w:val="0"/>
                <w:sz w:val="24"/>
                <w:szCs w:val="24"/>
                <w:lang w:val="en-US" w:eastAsia="zh-TW"/>
              </w:rPr>
              <w:t>领会层次：掌握大、小七和弦及其转位的构唱和听记, 以及五声、六声和七声调式视唱,听辩乐曲的解构与节拍节奏等等.</w:t>
            </w:r>
          </w:p>
          <w:p w14:paraId="1F2264BB">
            <w:pPr>
              <w:pageBreakBefore w:val="0"/>
              <w:tabs>
                <w:tab w:val="left" w:pos="720"/>
              </w:tabs>
              <w:kinsoku/>
              <w:overflowPunct/>
              <w:topLinePunct w:val="0"/>
              <w:bidi w:val="0"/>
              <w:adjustRightInd w:val="0"/>
              <w:snapToGrid w:val="0"/>
              <w:spacing w:line="240" w:lineRule="auto"/>
              <w:rPr>
                <w:rFonts w:hint="eastAsia" w:ascii="仿宋" w:hAnsi="Times New Roman" w:eastAsia="仿宋" w:cs="Times New Roman"/>
                <w:color w:val="000000"/>
                <w:kern w:val="0"/>
                <w:sz w:val="24"/>
                <w:szCs w:val="24"/>
                <w:lang w:val="en-US" w:eastAsia="zh-TW"/>
              </w:rPr>
            </w:pPr>
            <w:r>
              <w:rPr>
                <w:rFonts w:hint="eastAsia" w:ascii="仿宋" w:hAnsi="Times New Roman" w:eastAsia="仿宋" w:cs="Times New Roman"/>
                <w:color w:val="000000"/>
                <w:kern w:val="0"/>
                <w:sz w:val="24"/>
                <w:szCs w:val="24"/>
                <w:lang w:val="en-US" w:eastAsia="zh-TW"/>
              </w:rPr>
              <w:t>应用层次：把掌握的音乐基本理论知识运用到音乐教学实践中</w:t>
            </w:r>
          </w:p>
          <w:p w14:paraId="6D851A10">
            <w:pPr>
              <w:pageBreakBefore w:val="0"/>
              <w:tabs>
                <w:tab w:val="left" w:pos="720"/>
              </w:tabs>
              <w:kinsoku/>
              <w:overflowPunct/>
              <w:topLinePunct w:val="0"/>
              <w:bidi w:val="0"/>
              <w:adjustRightInd w:val="0"/>
              <w:snapToGrid w:val="0"/>
              <w:spacing w:line="240" w:lineRule="auto"/>
              <w:rPr>
                <w:rFonts w:hint="eastAsia" w:ascii="仿宋" w:hAnsi="Times New Roman" w:eastAsia="仿宋" w:cs="Times New Roman"/>
                <w:color w:val="000000"/>
                <w:kern w:val="0"/>
                <w:sz w:val="24"/>
                <w:szCs w:val="24"/>
                <w:lang w:val="en-US" w:eastAsia="zh-TW"/>
              </w:rPr>
            </w:pPr>
            <w:r>
              <w:rPr>
                <w:rFonts w:hint="eastAsia" w:ascii="仿宋" w:hAnsi="Times New Roman" w:eastAsia="仿宋" w:cs="Times New Roman"/>
                <w:color w:val="000000"/>
                <w:kern w:val="0"/>
                <w:sz w:val="24"/>
                <w:szCs w:val="24"/>
                <w:lang w:val="en-US" w:eastAsia="zh-TW"/>
              </w:rPr>
              <w:t>第三册第二章：四个升号的大、小调及五声、六声及七声调式</w:t>
            </w:r>
          </w:p>
          <w:p w14:paraId="6B371537">
            <w:pPr>
              <w:pageBreakBefore w:val="0"/>
              <w:tabs>
                <w:tab w:val="left" w:pos="720"/>
              </w:tabs>
              <w:kinsoku/>
              <w:overflowPunct/>
              <w:topLinePunct w:val="0"/>
              <w:bidi w:val="0"/>
              <w:adjustRightInd w:val="0"/>
              <w:snapToGrid w:val="0"/>
              <w:spacing w:line="240" w:lineRule="auto"/>
              <w:rPr>
                <w:rFonts w:hint="eastAsia" w:ascii="仿宋" w:hAnsi="Times New Roman" w:eastAsia="仿宋" w:cs="Times New Roman"/>
                <w:color w:val="000000"/>
                <w:kern w:val="0"/>
                <w:sz w:val="24"/>
                <w:szCs w:val="24"/>
                <w:lang w:val="en-US" w:eastAsia="zh-TW"/>
              </w:rPr>
            </w:pPr>
            <w:r>
              <w:rPr>
                <w:rFonts w:hint="eastAsia" w:ascii="仿宋" w:hAnsi="Times New Roman" w:eastAsia="仿宋" w:cs="Times New Roman"/>
                <w:color w:val="000000"/>
                <w:kern w:val="0"/>
                <w:sz w:val="24"/>
                <w:szCs w:val="24"/>
                <w:lang w:val="en-US" w:eastAsia="zh-TW"/>
              </w:rPr>
              <w:t>知道层次：了解小小七及其各转位的构成,了解巴洛克、古典、浪漫时期的音乐风格及特征</w:t>
            </w:r>
          </w:p>
          <w:p w14:paraId="03338212">
            <w:pPr>
              <w:pageBreakBefore w:val="0"/>
              <w:tabs>
                <w:tab w:val="left" w:pos="720"/>
              </w:tabs>
              <w:kinsoku/>
              <w:overflowPunct/>
              <w:topLinePunct w:val="0"/>
              <w:bidi w:val="0"/>
              <w:adjustRightInd w:val="0"/>
              <w:snapToGrid w:val="0"/>
              <w:spacing w:line="240" w:lineRule="auto"/>
              <w:rPr>
                <w:rFonts w:hint="eastAsia" w:ascii="仿宋" w:hAnsi="Times New Roman" w:eastAsia="仿宋" w:cs="Times New Roman"/>
                <w:color w:val="000000"/>
                <w:kern w:val="0"/>
                <w:sz w:val="24"/>
                <w:szCs w:val="24"/>
                <w:lang w:val="en-US" w:eastAsia="zh-TW"/>
              </w:rPr>
            </w:pPr>
            <w:r>
              <w:rPr>
                <w:rFonts w:hint="eastAsia" w:ascii="仿宋" w:hAnsi="Times New Roman" w:eastAsia="仿宋" w:cs="Times New Roman"/>
                <w:color w:val="000000"/>
                <w:kern w:val="0"/>
                <w:sz w:val="24"/>
                <w:szCs w:val="24"/>
                <w:lang w:val="en-US" w:eastAsia="zh-TW"/>
              </w:rPr>
              <w:t>领会层次：掌握小小七及其各转位的听写与调内和弦的连接,加强民族调式的视唱能力.另外、掌握单声部、二声部弦律听写</w:t>
            </w:r>
          </w:p>
          <w:p w14:paraId="6155B77E">
            <w:pPr>
              <w:pageBreakBefore w:val="0"/>
              <w:tabs>
                <w:tab w:val="left" w:pos="720"/>
              </w:tabs>
              <w:kinsoku/>
              <w:overflowPunct/>
              <w:topLinePunct w:val="0"/>
              <w:bidi w:val="0"/>
              <w:adjustRightInd w:val="0"/>
              <w:snapToGrid w:val="0"/>
              <w:spacing w:line="240" w:lineRule="auto"/>
              <w:rPr>
                <w:rFonts w:ascii="仿宋" w:eastAsia="仿宋" w:cs="仿宋"/>
                <w:color w:val="000000"/>
                <w:sz w:val="24"/>
                <w:szCs w:val="24"/>
                <w:lang w:val="en-US" w:eastAsia="zh-TW"/>
              </w:rPr>
            </w:pPr>
            <w:r>
              <w:rPr>
                <w:rFonts w:hint="eastAsia" w:ascii="仿宋" w:hAnsi="Times New Roman" w:eastAsia="仿宋" w:cs="Times New Roman"/>
                <w:color w:val="000000"/>
                <w:kern w:val="0"/>
                <w:sz w:val="24"/>
                <w:szCs w:val="24"/>
                <w:lang w:val="en-US" w:eastAsia="zh-TW"/>
              </w:rPr>
              <w:t>应用层次：把掌握的音乐基本理论知识运用到音乐教学实践中</w:t>
            </w:r>
          </w:p>
        </w:tc>
        <w:tc>
          <w:tcPr>
            <w:tcW w:w="1240" w:type="dxa"/>
            <w:gridSpan w:val="3"/>
            <w:vMerge w:val="continue"/>
            <w:tcBorders>
              <w:left w:val="single" w:color="auto" w:sz="4" w:space="0"/>
              <w:right w:val="single" w:color="auto" w:sz="4" w:space="0"/>
            </w:tcBorders>
            <w:shd w:val="clear" w:color="auto" w:fill="auto"/>
            <w:noWrap/>
            <w:vAlign w:val="center"/>
          </w:tcPr>
          <w:p w14:paraId="6428B0D9"/>
        </w:tc>
        <w:tc>
          <w:tcPr>
            <w:tcW w:w="674" w:type="dxa"/>
            <w:gridSpan w:val="2"/>
            <w:vMerge w:val="continue"/>
            <w:tcBorders>
              <w:left w:val="single" w:color="auto" w:sz="4" w:space="0"/>
              <w:right w:val="single" w:color="auto" w:sz="4" w:space="0"/>
            </w:tcBorders>
            <w:shd w:val="clear" w:color="auto" w:fill="FFFFFF"/>
            <w:noWrap/>
            <w:vAlign w:val="center"/>
          </w:tcPr>
          <w:p w14:paraId="580F90F1">
            <w:pPr>
              <w:jc w:val="center"/>
            </w:pPr>
          </w:p>
        </w:tc>
      </w:tr>
      <w:tr w14:paraId="092FFE0E">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14:paraId="46A9526A"/>
        </w:tc>
        <w:tc>
          <w:tcPr>
            <w:tcW w:w="7098" w:type="dxa"/>
            <w:gridSpan w:val="11"/>
            <w:tcBorders>
              <w:top w:val="single" w:color="auto" w:sz="4" w:space="0"/>
              <w:left w:val="single" w:color="auto" w:sz="4" w:space="0"/>
              <w:bottom w:val="single" w:color="auto" w:sz="4" w:space="0"/>
              <w:right w:val="single" w:color="auto" w:sz="4" w:space="0"/>
            </w:tcBorders>
            <w:shd w:val="clear" w:color="auto" w:fill="auto"/>
            <w:noWrap/>
            <w:vAlign w:val="center"/>
          </w:tcPr>
          <w:p w14:paraId="2C1497FE">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合计</w:t>
            </w:r>
          </w:p>
        </w:tc>
        <w:tc>
          <w:tcPr>
            <w:tcW w:w="674"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14:paraId="58ECEE04">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val="en-US" w:eastAsia="zh-CN"/>
              </w:rPr>
            </w:pPr>
            <w:r>
              <w:rPr>
                <w:rFonts w:hint="eastAsia" w:ascii="仿宋" w:eastAsia="仿宋" w:cs="仿宋"/>
                <w:color w:val="000000"/>
                <w:sz w:val="24"/>
                <w:szCs w:val="24"/>
                <w:lang w:val="en-US" w:eastAsia="zh-CN"/>
              </w:rPr>
              <w:t>64</w:t>
            </w:r>
          </w:p>
        </w:tc>
      </w:tr>
      <w:tr w14:paraId="47FB8238">
        <w:trPr>
          <w:trHeight w:val="624" w:hRule="atLeast"/>
        </w:trPr>
        <w:tc>
          <w:tcPr>
            <w:tcW w:w="1376" w:type="dxa"/>
            <w:vMerge w:val="restart"/>
            <w:tcBorders>
              <w:top w:val="single" w:color="auto" w:sz="4" w:space="0"/>
              <w:left w:val="single" w:color="auto" w:sz="4" w:space="0"/>
              <w:bottom w:val="single" w:color="auto" w:sz="4" w:space="0"/>
              <w:right w:val="single" w:color="auto" w:sz="4" w:space="0"/>
            </w:tcBorders>
            <w:shd w:val="clear" w:color="auto" w:fill="FFFFFF"/>
            <w:noWrap/>
            <w:vAlign w:val="center"/>
          </w:tcPr>
          <w:p w14:paraId="2DF5E4FC">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G</w:t>
            </w:r>
          </w:p>
          <w:p w14:paraId="55207B8E">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CN"/>
              </w:rPr>
              <w:t>技能（实训）</w:t>
            </w:r>
            <w:r>
              <w:rPr>
                <w:rFonts w:hint="eastAsia" w:ascii="仿宋" w:eastAsia="仿宋" w:cs="仿宋"/>
                <w:color w:val="000000"/>
                <w:sz w:val="24"/>
                <w:szCs w:val="24"/>
                <w:lang w:val="en-US" w:eastAsia="zh-TW"/>
              </w:rPr>
              <w:t>内容</w:t>
            </w:r>
          </w:p>
        </w:tc>
        <w:tc>
          <w:tcPr>
            <w:tcW w:w="5858" w:type="dxa"/>
            <w:gridSpan w:val="8"/>
            <w:tcBorders>
              <w:top w:val="single" w:color="auto" w:sz="4" w:space="0"/>
              <w:left w:val="single" w:color="auto" w:sz="4" w:space="0"/>
              <w:bottom w:val="single" w:color="auto" w:sz="4" w:space="0"/>
              <w:right w:val="single" w:color="auto" w:sz="4" w:space="0"/>
            </w:tcBorders>
            <w:noWrap/>
            <w:vAlign w:val="center"/>
          </w:tcPr>
          <w:p w14:paraId="3D7D8845">
            <w:pPr>
              <w:pageBreakBefore w:val="0"/>
              <w:widowControl w:val="0"/>
              <w:kinsoku/>
              <w:overflowPunct/>
              <w:topLinePunct w:val="0"/>
              <w:bidi w:val="0"/>
              <w:adjustRightInd w:val="0"/>
              <w:snapToGrid w:val="0"/>
              <w:spacing w:line="240" w:lineRule="auto"/>
              <w:rPr>
                <w:rFonts w:ascii="仿宋" w:eastAsia="仿宋" w:cs="仿宋"/>
                <w:color w:val="000000"/>
                <w:sz w:val="24"/>
                <w:szCs w:val="24"/>
                <w:lang w:val="en-US" w:eastAsia="zh-CN"/>
              </w:rPr>
            </w:pPr>
            <w:r>
              <w:rPr>
                <w:rFonts w:hint="eastAsia" w:ascii="仿宋" w:eastAsia="仿宋" w:cs="仿宋"/>
                <w:color w:val="000000"/>
                <w:sz w:val="24"/>
                <w:szCs w:val="24"/>
                <w:lang w:val="en-US" w:eastAsia="zh-CN"/>
              </w:rPr>
              <w:t>实训目的及任务</w:t>
            </w:r>
          </w:p>
          <w:p w14:paraId="1DF8D5DD">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CN"/>
              </w:rPr>
            </w:pPr>
          </w:p>
        </w:tc>
        <w:tc>
          <w:tcPr>
            <w:tcW w:w="1240" w:type="dxa"/>
            <w:gridSpan w:val="3"/>
            <w:tcBorders>
              <w:top w:val="single" w:color="auto" w:sz="4" w:space="0"/>
              <w:left w:val="single" w:color="auto" w:sz="4" w:space="0"/>
              <w:bottom w:val="single" w:color="auto" w:sz="4" w:space="0"/>
              <w:right w:val="single" w:color="auto" w:sz="4" w:space="0"/>
            </w:tcBorders>
            <w:noWrap/>
            <w:vAlign w:val="center"/>
          </w:tcPr>
          <w:p w14:paraId="2354E51F">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支撑课程目标</w:t>
            </w:r>
          </w:p>
        </w:tc>
        <w:tc>
          <w:tcPr>
            <w:tcW w:w="674" w:type="dxa"/>
            <w:gridSpan w:val="2"/>
            <w:tcBorders>
              <w:top w:val="single" w:color="auto" w:sz="4" w:space="0"/>
              <w:left w:val="single" w:color="auto" w:sz="4" w:space="0"/>
              <w:bottom w:val="single" w:color="auto" w:sz="4" w:space="0"/>
              <w:right w:val="single" w:color="auto" w:sz="4" w:space="0"/>
            </w:tcBorders>
            <w:noWrap/>
            <w:vAlign w:val="center"/>
          </w:tcPr>
          <w:p w14:paraId="03D60A51">
            <w:pPr>
              <w:pageBreakBefore w:val="0"/>
              <w:widowControl w:val="0"/>
              <w:kinsoku/>
              <w:overflowPunct/>
              <w:topLinePunct w:val="0"/>
              <w:bidi w:val="0"/>
              <w:adjustRightInd w:val="0"/>
              <w:snapToGrid w:val="0"/>
              <w:spacing w:line="240" w:lineRule="auto"/>
              <w:rPr>
                <w:rFonts w:ascii="仿宋" w:eastAsia="仿宋" w:cs="仿宋"/>
                <w:color w:val="000000"/>
                <w:sz w:val="24"/>
                <w:szCs w:val="24"/>
                <w:lang w:val="en-US" w:eastAsia="zh-TW"/>
              </w:rPr>
            </w:pPr>
            <w:r>
              <w:rPr>
                <w:rFonts w:hint="eastAsia" w:ascii="仿宋" w:eastAsia="仿宋" w:cs="仿宋"/>
                <w:color w:val="000000"/>
                <w:sz w:val="24"/>
                <w:szCs w:val="24"/>
                <w:lang w:val="en-US" w:eastAsia="zh-TW"/>
              </w:rPr>
              <w:t xml:space="preserve">学时 </w:t>
            </w:r>
          </w:p>
          <w:p w14:paraId="6FED1E02">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分配</w:t>
            </w:r>
          </w:p>
        </w:tc>
      </w:tr>
      <w:tr w14:paraId="1C73A8E9">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14:paraId="66DA819E"/>
        </w:tc>
        <w:tc>
          <w:tcPr>
            <w:tcW w:w="5858" w:type="dxa"/>
            <w:gridSpan w:val="8"/>
            <w:tcBorders>
              <w:top w:val="single" w:color="auto" w:sz="4" w:space="0"/>
              <w:left w:val="single" w:color="auto" w:sz="4" w:space="0"/>
              <w:bottom w:val="single" w:color="auto" w:sz="4" w:space="0"/>
              <w:right w:val="single" w:color="auto" w:sz="4" w:space="0"/>
            </w:tcBorders>
            <w:noWrap/>
            <w:vAlign w:val="center"/>
          </w:tcPr>
          <w:p w14:paraId="5D245F79">
            <w:pPr>
              <w:pageBreakBefore w:val="0"/>
              <w:tabs>
                <w:tab w:val="left" w:pos="720"/>
              </w:tabs>
              <w:kinsoku/>
              <w:overflowPunct/>
              <w:topLinePunct w:val="0"/>
              <w:bidi w:val="0"/>
              <w:adjustRightInd w:val="0"/>
              <w:snapToGrid w:val="0"/>
              <w:spacing w:line="240" w:lineRule="auto"/>
              <w:rPr>
                <w:rFonts w:hint="eastAsia" w:ascii="仿宋" w:hAnsi="Times New Roman" w:eastAsia="仿宋" w:cs="Times New Roman"/>
                <w:color w:val="000000"/>
                <w:kern w:val="0"/>
                <w:sz w:val="24"/>
                <w:szCs w:val="24"/>
                <w:lang w:val="en-US" w:eastAsia="zh-CN"/>
              </w:rPr>
            </w:pPr>
            <w:r>
              <w:rPr>
                <w:rFonts w:hint="eastAsia" w:ascii="仿宋" w:hAnsi="Times New Roman" w:eastAsia="仿宋" w:cs="Times New Roman"/>
                <w:color w:val="000000"/>
                <w:kern w:val="0"/>
                <w:sz w:val="24"/>
                <w:szCs w:val="24"/>
                <w:lang w:val="en-US" w:eastAsia="zh-CN"/>
              </w:rPr>
              <w:t>实训一</w:t>
            </w:r>
            <w:r>
              <w:rPr>
                <w:rFonts w:hint="eastAsia" w:ascii="仿宋" w:eastAsia="仿宋" w:cs="Times New Roman"/>
                <w:color w:val="000000"/>
                <w:kern w:val="0"/>
                <w:sz w:val="24"/>
                <w:szCs w:val="24"/>
                <w:lang w:val="en-US" w:eastAsia="zh-CN"/>
              </w:rPr>
              <w:t>：</w:t>
            </w:r>
            <w:r>
              <w:rPr>
                <w:rFonts w:hint="eastAsia" w:ascii="仿宋" w:hAnsi="Times New Roman" w:eastAsia="仿宋" w:cs="Times New Roman"/>
                <w:color w:val="000000"/>
                <w:kern w:val="0"/>
                <w:sz w:val="24"/>
                <w:szCs w:val="24"/>
                <w:lang w:val="en-US" w:eastAsia="zh-CN"/>
              </w:rPr>
              <w:t>四个升降号以内的音组听辨、听写训练。</w:t>
            </w:r>
          </w:p>
          <w:p w14:paraId="677C26F6">
            <w:pPr>
              <w:pageBreakBefore w:val="0"/>
              <w:tabs>
                <w:tab w:val="left" w:pos="720"/>
              </w:tabs>
              <w:kinsoku/>
              <w:overflowPunct/>
              <w:topLinePunct w:val="0"/>
              <w:bidi w:val="0"/>
              <w:adjustRightInd w:val="0"/>
              <w:snapToGrid w:val="0"/>
              <w:spacing w:line="240" w:lineRule="auto"/>
              <w:rPr>
                <w:rFonts w:hint="eastAsia" w:ascii="仿宋" w:hAnsi="Times New Roman" w:eastAsia="仿宋" w:cs="Times New Roman"/>
                <w:color w:val="000000"/>
                <w:kern w:val="0"/>
                <w:sz w:val="24"/>
                <w:szCs w:val="24"/>
                <w:lang w:val="en-US" w:eastAsia="zh-CN"/>
              </w:rPr>
            </w:pPr>
            <w:r>
              <w:rPr>
                <w:rFonts w:hint="eastAsia" w:ascii="仿宋" w:hAnsi="Times New Roman" w:eastAsia="仿宋" w:cs="Times New Roman"/>
                <w:color w:val="000000"/>
                <w:kern w:val="0"/>
                <w:sz w:val="24"/>
                <w:szCs w:val="24"/>
                <w:lang w:val="en-US" w:eastAsia="zh-CN"/>
              </w:rPr>
              <w:t>目标</w:t>
            </w:r>
            <w:r>
              <w:rPr>
                <w:rFonts w:hint="eastAsia" w:ascii="仿宋" w:eastAsia="仿宋" w:cs="Times New Roman"/>
                <w:color w:val="000000"/>
                <w:kern w:val="0"/>
                <w:sz w:val="24"/>
                <w:szCs w:val="24"/>
                <w:lang w:val="en-US" w:eastAsia="zh-CN"/>
              </w:rPr>
              <w:t>：</w:t>
            </w:r>
            <w:r>
              <w:rPr>
                <w:rFonts w:hint="eastAsia" w:ascii="仿宋" w:hAnsi="Times New Roman" w:eastAsia="仿宋" w:cs="Times New Roman"/>
                <w:color w:val="000000"/>
                <w:kern w:val="0"/>
                <w:sz w:val="24"/>
                <w:szCs w:val="24"/>
                <w:lang w:val="en-US" w:eastAsia="zh-CN"/>
              </w:rPr>
              <w:t>知晓音乐基本组成要素、四升降号调式及音程结构。</w:t>
            </w:r>
          </w:p>
          <w:p w14:paraId="5A1D88E6">
            <w:pPr>
              <w:pageBreakBefore w:val="0"/>
              <w:tabs>
                <w:tab w:val="left" w:pos="720"/>
              </w:tabs>
              <w:kinsoku/>
              <w:overflowPunct/>
              <w:topLinePunct w:val="0"/>
              <w:bidi w:val="0"/>
              <w:adjustRightInd w:val="0"/>
              <w:snapToGrid w:val="0"/>
              <w:spacing w:line="240" w:lineRule="auto"/>
              <w:rPr>
                <w:rFonts w:hint="eastAsia" w:ascii="仿宋" w:hAnsi="Times New Roman" w:eastAsia="仿宋" w:cs="Times New Roman"/>
                <w:color w:val="000000"/>
                <w:kern w:val="0"/>
                <w:sz w:val="24"/>
                <w:szCs w:val="24"/>
                <w:lang w:val="en-US" w:eastAsia="zh-CN"/>
              </w:rPr>
            </w:pPr>
            <w:r>
              <w:rPr>
                <w:rFonts w:hint="eastAsia" w:ascii="仿宋" w:hAnsi="Times New Roman" w:eastAsia="仿宋" w:cs="Times New Roman"/>
                <w:color w:val="000000"/>
                <w:kern w:val="0"/>
                <w:sz w:val="24"/>
                <w:szCs w:val="24"/>
                <w:lang w:val="en-US" w:eastAsia="zh-CN"/>
              </w:rPr>
              <w:t>任务：1</w:t>
            </w:r>
            <w:r>
              <w:rPr>
                <w:rFonts w:hint="default" w:ascii="仿宋" w:eastAsia="仿宋" w:cs="Times New Roman"/>
                <w:color w:val="000000"/>
                <w:kern w:val="0"/>
                <w:sz w:val="24"/>
                <w:szCs w:val="24"/>
                <w:lang w:val="en-US" w:eastAsia="zh-CN"/>
              </w:rPr>
              <w:t>.</w:t>
            </w:r>
            <w:r>
              <w:rPr>
                <w:rFonts w:hint="eastAsia" w:ascii="仿宋" w:hAnsi="Times New Roman" w:eastAsia="仿宋" w:cs="Times New Roman"/>
                <w:color w:val="000000"/>
                <w:kern w:val="0"/>
                <w:sz w:val="24"/>
                <w:szCs w:val="24"/>
                <w:lang w:val="en-US" w:eastAsia="zh-CN"/>
              </w:rPr>
              <w:t>知晓应用音乐基本理论知识的重要性。</w:t>
            </w:r>
          </w:p>
          <w:p w14:paraId="0666C535">
            <w:pPr>
              <w:pageBreakBefore w:val="0"/>
              <w:tabs>
                <w:tab w:val="left" w:pos="720"/>
              </w:tabs>
              <w:kinsoku/>
              <w:overflowPunct/>
              <w:topLinePunct w:val="0"/>
              <w:bidi w:val="0"/>
              <w:adjustRightInd w:val="0"/>
              <w:snapToGrid w:val="0"/>
              <w:spacing w:line="240" w:lineRule="auto"/>
              <w:rPr>
                <w:rFonts w:hint="eastAsia" w:ascii="仿宋" w:hAnsi="Times New Roman" w:eastAsia="仿宋" w:cs="Times New Roman"/>
                <w:color w:val="000000"/>
                <w:kern w:val="0"/>
                <w:sz w:val="24"/>
                <w:szCs w:val="24"/>
                <w:lang w:val="en-US" w:eastAsia="zh-CN"/>
              </w:rPr>
            </w:pPr>
            <w:r>
              <w:rPr>
                <w:rFonts w:hint="eastAsia" w:ascii="仿宋" w:hAnsi="Times New Roman" w:eastAsia="仿宋" w:cs="Times New Roman"/>
                <w:color w:val="000000"/>
                <w:kern w:val="0"/>
                <w:sz w:val="24"/>
                <w:szCs w:val="24"/>
                <w:lang w:val="en-US" w:eastAsia="zh-CN"/>
              </w:rPr>
              <w:t>实训二：各级大小音程、纯音程、增减音程的听辨、听写训练。</w:t>
            </w:r>
          </w:p>
          <w:p w14:paraId="3539E6EC">
            <w:pPr>
              <w:pageBreakBefore w:val="0"/>
              <w:tabs>
                <w:tab w:val="left" w:pos="720"/>
              </w:tabs>
              <w:kinsoku/>
              <w:overflowPunct/>
              <w:topLinePunct w:val="0"/>
              <w:bidi w:val="0"/>
              <w:adjustRightInd w:val="0"/>
              <w:snapToGrid w:val="0"/>
              <w:spacing w:line="240" w:lineRule="auto"/>
              <w:rPr>
                <w:rFonts w:hint="default" w:ascii="仿宋" w:hAnsi="Times New Roman" w:eastAsia="仿宋" w:cs="Times New Roman"/>
                <w:color w:val="000000"/>
                <w:kern w:val="0"/>
                <w:sz w:val="24"/>
                <w:szCs w:val="24"/>
                <w:lang w:val="en-US" w:eastAsia="zh-CN"/>
              </w:rPr>
            </w:pPr>
            <w:r>
              <w:rPr>
                <w:rFonts w:hint="eastAsia" w:ascii="仿宋" w:hAnsi="Times New Roman" w:eastAsia="仿宋" w:cs="Times New Roman"/>
                <w:color w:val="000000"/>
                <w:kern w:val="0"/>
                <w:sz w:val="24"/>
                <w:szCs w:val="24"/>
                <w:lang w:val="en-US" w:eastAsia="zh-CN"/>
              </w:rPr>
              <w:t>目的：知晓大小音程、纯音程、增减音程的结构特征，并且能够掌握其听辨、听写的能力。</w:t>
            </w:r>
          </w:p>
          <w:p w14:paraId="43C8FA16">
            <w:pPr>
              <w:pageBreakBefore w:val="0"/>
              <w:tabs>
                <w:tab w:val="left" w:pos="720"/>
              </w:tabs>
              <w:kinsoku/>
              <w:overflowPunct/>
              <w:topLinePunct w:val="0"/>
              <w:bidi w:val="0"/>
              <w:adjustRightInd w:val="0"/>
              <w:snapToGrid w:val="0"/>
              <w:spacing w:line="240" w:lineRule="auto"/>
              <w:rPr>
                <w:rFonts w:hint="eastAsia" w:ascii="仿宋" w:hAnsi="Times New Roman" w:eastAsia="仿宋" w:cs="Times New Roman"/>
                <w:color w:val="000000"/>
                <w:kern w:val="0"/>
                <w:sz w:val="24"/>
                <w:szCs w:val="24"/>
                <w:lang w:val="en-US" w:eastAsia="zh-CN"/>
              </w:rPr>
            </w:pPr>
            <w:r>
              <w:rPr>
                <w:rFonts w:hint="eastAsia" w:ascii="仿宋" w:hAnsi="Times New Roman" w:eastAsia="仿宋" w:cs="Times New Roman"/>
                <w:color w:val="000000"/>
                <w:kern w:val="0"/>
                <w:sz w:val="24"/>
                <w:szCs w:val="24"/>
                <w:lang w:val="en-US" w:eastAsia="zh-CN"/>
              </w:rPr>
              <w:t>任务：1</w:t>
            </w:r>
            <w:r>
              <w:rPr>
                <w:rFonts w:hint="default" w:ascii="仿宋" w:eastAsia="仿宋" w:cs="Times New Roman"/>
                <w:color w:val="000000"/>
                <w:kern w:val="0"/>
                <w:sz w:val="24"/>
                <w:szCs w:val="24"/>
                <w:lang w:val="en-US" w:eastAsia="zh-CN"/>
              </w:rPr>
              <w:t>.</w:t>
            </w:r>
            <w:r>
              <w:rPr>
                <w:rFonts w:hint="eastAsia" w:ascii="仿宋" w:hAnsi="Times New Roman" w:eastAsia="仿宋" w:cs="Times New Roman"/>
                <w:color w:val="000000"/>
                <w:kern w:val="0"/>
                <w:sz w:val="24"/>
                <w:szCs w:val="24"/>
                <w:lang w:val="en-US" w:eastAsia="zh-CN"/>
              </w:rPr>
              <w:t>知晓音程学习的重要性。</w:t>
            </w:r>
          </w:p>
          <w:p w14:paraId="340D4944">
            <w:pPr>
              <w:pageBreakBefore w:val="0"/>
              <w:tabs>
                <w:tab w:val="left" w:pos="720"/>
              </w:tabs>
              <w:kinsoku/>
              <w:overflowPunct/>
              <w:topLinePunct w:val="0"/>
              <w:bidi w:val="0"/>
              <w:adjustRightInd w:val="0"/>
              <w:snapToGrid w:val="0"/>
              <w:spacing w:line="240" w:lineRule="auto"/>
              <w:rPr>
                <w:rFonts w:hint="eastAsia" w:ascii="仿宋" w:hAnsi="Times New Roman" w:eastAsia="仿宋" w:cs="Times New Roman"/>
                <w:color w:val="000000"/>
                <w:kern w:val="0"/>
                <w:sz w:val="24"/>
                <w:szCs w:val="24"/>
                <w:lang w:val="en-US" w:eastAsia="zh-CN"/>
              </w:rPr>
            </w:pPr>
            <w:r>
              <w:rPr>
                <w:rFonts w:hint="eastAsia" w:ascii="仿宋" w:hAnsi="Times New Roman" w:eastAsia="仿宋" w:cs="Times New Roman"/>
                <w:color w:val="000000"/>
                <w:kern w:val="0"/>
                <w:sz w:val="24"/>
                <w:szCs w:val="24"/>
                <w:lang w:val="en-US" w:eastAsia="zh-CN"/>
              </w:rPr>
              <w:t>2</w:t>
            </w:r>
            <w:r>
              <w:rPr>
                <w:rFonts w:hint="default" w:ascii="仿宋" w:eastAsia="仿宋" w:cs="Times New Roman"/>
                <w:color w:val="000000"/>
                <w:kern w:val="0"/>
                <w:sz w:val="24"/>
                <w:szCs w:val="24"/>
                <w:lang w:val="en-US" w:eastAsia="zh-CN"/>
              </w:rPr>
              <w:t>.</w:t>
            </w:r>
            <w:r>
              <w:rPr>
                <w:rFonts w:hint="eastAsia" w:ascii="仿宋" w:hAnsi="Times New Roman" w:eastAsia="仿宋" w:cs="Times New Roman"/>
                <w:color w:val="000000"/>
                <w:kern w:val="0"/>
                <w:sz w:val="24"/>
                <w:szCs w:val="24"/>
                <w:lang w:val="en-US" w:eastAsia="zh-CN"/>
              </w:rPr>
              <w:t>基本掌握各级各类音程听辨、听写的能力。</w:t>
            </w:r>
          </w:p>
          <w:p w14:paraId="076B4C22">
            <w:pPr>
              <w:pageBreakBefore w:val="0"/>
              <w:tabs>
                <w:tab w:val="left" w:pos="720"/>
              </w:tabs>
              <w:kinsoku/>
              <w:overflowPunct/>
              <w:topLinePunct w:val="0"/>
              <w:bidi w:val="0"/>
              <w:adjustRightInd w:val="0"/>
              <w:snapToGrid w:val="0"/>
              <w:spacing w:line="240" w:lineRule="auto"/>
              <w:rPr>
                <w:rFonts w:hint="eastAsia" w:ascii="仿宋" w:hAnsi="Times New Roman" w:eastAsia="仿宋" w:cs="Times New Roman"/>
                <w:color w:val="000000"/>
                <w:kern w:val="0"/>
                <w:sz w:val="24"/>
                <w:szCs w:val="24"/>
                <w:lang w:val="en-US" w:eastAsia="zh-CN"/>
              </w:rPr>
            </w:pPr>
          </w:p>
          <w:p w14:paraId="393D3C5D">
            <w:pPr>
              <w:pageBreakBefore w:val="0"/>
              <w:tabs>
                <w:tab w:val="left" w:pos="720"/>
              </w:tabs>
              <w:kinsoku/>
              <w:overflowPunct/>
              <w:topLinePunct w:val="0"/>
              <w:bidi w:val="0"/>
              <w:adjustRightInd w:val="0"/>
              <w:snapToGrid w:val="0"/>
              <w:spacing w:line="240" w:lineRule="auto"/>
              <w:rPr>
                <w:rFonts w:hint="eastAsia" w:ascii="仿宋" w:hAnsi="Times New Roman" w:eastAsia="仿宋" w:cs="Times New Roman"/>
                <w:color w:val="000000"/>
                <w:kern w:val="0"/>
                <w:sz w:val="24"/>
                <w:szCs w:val="24"/>
                <w:lang w:val="en-US" w:eastAsia="zh-CN"/>
              </w:rPr>
            </w:pPr>
            <w:r>
              <w:rPr>
                <w:rFonts w:hint="eastAsia" w:ascii="仿宋" w:hAnsi="Times New Roman" w:eastAsia="仿宋" w:cs="Times New Roman"/>
                <w:color w:val="000000"/>
                <w:kern w:val="0"/>
                <w:sz w:val="24"/>
                <w:szCs w:val="24"/>
                <w:lang w:val="en-US" w:eastAsia="zh-CN"/>
              </w:rPr>
              <w:t>实训三：调内三和弦（大、小、增、减）原位及转位和弦的听辨、听写训练。</w:t>
            </w:r>
          </w:p>
          <w:p w14:paraId="7F501B61">
            <w:pPr>
              <w:pageBreakBefore w:val="0"/>
              <w:tabs>
                <w:tab w:val="left" w:pos="720"/>
              </w:tabs>
              <w:kinsoku/>
              <w:overflowPunct/>
              <w:topLinePunct w:val="0"/>
              <w:bidi w:val="0"/>
              <w:adjustRightInd w:val="0"/>
              <w:snapToGrid w:val="0"/>
              <w:spacing w:line="240" w:lineRule="auto"/>
              <w:rPr>
                <w:rFonts w:hint="eastAsia" w:ascii="仿宋" w:hAnsi="Times New Roman" w:eastAsia="仿宋" w:cs="Times New Roman"/>
                <w:color w:val="000000"/>
                <w:kern w:val="0"/>
                <w:sz w:val="24"/>
                <w:szCs w:val="24"/>
                <w:lang w:val="en-US" w:eastAsia="zh-CN"/>
              </w:rPr>
            </w:pPr>
            <w:r>
              <w:rPr>
                <w:rFonts w:hint="eastAsia" w:ascii="仿宋" w:hAnsi="Times New Roman" w:eastAsia="仿宋" w:cs="Times New Roman"/>
                <w:color w:val="000000"/>
                <w:kern w:val="0"/>
                <w:sz w:val="24"/>
                <w:szCs w:val="24"/>
                <w:lang w:val="en-US" w:eastAsia="zh-CN"/>
              </w:rPr>
              <w:t>目的：学会调内三和弦（大、小、增、减）原位及转位和弦的基本形态。</w:t>
            </w:r>
          </w:p>
          <w:p w14:paraId="631FB354">
            <w:pPr>
              <w:pageBreakBefore w:val="0"/>
              <w:tabs>
                <w:tab w:val="left" w:pos="720"/>
              </w:tabs>
              <w:kinsoku/>
              <w:overflowPunct/>
              <w:topLinePunct w:val="0"/>
              <w:bidi w:val="0"/>
              <w:adjustRightInd w:val="0"/>
              <w:snapToGrid w:val="0"/>
              <w:spacing w:line="240" w:lineRule="auto"/>
              <w:rPr>
                <w:rFonts w:hint="eastAsia" w:ascii="仿宋" w:hAnsi="Times New Roman" w:eastAsia="仿宋" w:cs="Times New Roman"/>
                <w:color w:val="000000"/>
                <w:kern w:val="0"/>
                <w:sz w:val="24"/>
                <w:szCs w:val="24"/>
                <w:lang w:val="en-US" w:eastAsia="zh-CN"/>
              </w:rPr>
            </w:pPr>
            <w:r>
              <w:rPr>
                <w:rFonts w:hint="eastAsia" w:ascii="仿宋" w:hAnsi="Times New Roman" w:eastAsia="仿宋" w:cs="Times New Roman"/>
                <w:color w:val="000000"/>
                <w:kern w:val="0"/>
                <w:sz w:val="24"/>
                <w:szCs w:val="24"/>
                <w:lang w:val="en-US" w:eastAsia="zh-CN"/>
              </w:rPr>
              <w:t>任务：1</w:t>
            </w:r>
            <w:r>
              <w:rPr>
                <w:rFonts w:hint="default" w:ascii="仿宋" w:eastAsia="仿宋" w:cs="Times New Roman"/>
                <w:color w:val="000000"/>
                <w:kern w:val="0"/>
                <w:sz w:val="24"/>
                <w:szCs w:val="24"/>
                <w:lang w:val="en-US" w:eastAsia="zh-CN"/>
              </w:rPr>
              <w:t>.</w:t>
            </w:r>
            <w:r>
              <w:rPr>
                <w:rFonts w:hint="eastAsia" w:ascii="仿宋" w:hAnsi="Times New Roman" w:eastAsia="仿宋" w:cs="Times New Roman"/>
                <w:color w:val="000000"/>
                <w:kern w:val="0"/>
                <w:sz w:val="24"/>
                <w:szCs w:val="24"/>
                <w:lang w:val="en-US" w:eastAsia="zh-CN"/>
              </w:rPr>
              <w:t>能够听辨及听写调内三和弦（大、小、增、减）原位及转位和弦。</w:t>
            </w:r>
          </w:p>
          <w:p w14:paraId="1AA064BF">
            <w:pPr>
              <w:pageBreakBefore w:val="0"/>
              <w:tabs>
                <w:tab w:val="left" w:pos="720"/>
              </w:tabs>
              <w:kinsoku/>
              <w:overflowPunct/>
              <w:topLinePunct w:val="0"/>
              <w:bidi w:val="0"/>
              <w:adjustRightInd w:val="0"/>
              <w:snapToGrid w:val="0"/>
              <w:spacing w:line="240" w:lineRule="auto"/>
              <w:rPr>
                <w:rFonts w:hint="eastAsia" w:ascii="仿宋" w:hAnsi="Times New Roman" w:eastAsia="仿宋" w:cs="Times New Roman"/>
                <w:color w:val="000000"/>
                <w:kern w:val="0"/>
                <w:sz w:val="24"/>
                <w:szCs w:val="24"/>
                <w:lang w:val="en-US" w:eastAsia="zh-CN"/>
              </w:rPr>
            </w:pPr>
            <w:r>
              <w:rPr>
                <w:rFonts w:hint="default" w:ascii="仿宋" w:eastAsia="仿宋" w:cs="Times New Roman"/>
                <w:color w:val="000000"/>
                <w:kern w:val="0"/>
                <w:sz w:val="24"/>
                <w:szCs w:val="24"/>
                <w:lang w:val="en-US" w:eastAsia="zh-CN"/>
              </w:rPr>
              <w:t>2.</w:t>
            </w:r>
            <w:r>
              <w:rPr>
                <w:rFonts w:hint="eastAsia" w:ascii="仿宋" w:hAnsi="Times New Roman" w:eastAsia="仿宋" w:cs="Times New Roman"/>
                <w:color w:val="000000"/>
                <w:kern w:val="0"/>
                <w:sz w:val="24"/>
                <w:szCs w:val="24"/>
                <w:lang w:val="en-US" w:eastAsia="zh-CN"/>
              </w:rPr>
              <w:t>通过辨认各级各类三和弦的基本结构形态，领会其对后续课程学习的重要性。</w:t>
            </w:r>
          </w:p>
          <w:p w14:paraId="7C52A646">
            <w:pPr>
              <w:pageBreakBefore w:val="0"/>
              <w:tabs>
                <w:tab w:val="left" w:pos="720"/>
              </w:tabs>
              <w:kinsoku/>
              <w:overflowPunct/>
              <w:topLinePunct w:val="0"/>
              <w:bidi w:val="0"/>
              <w:adjustRightInd w:val="0"/>
              <w:snapToGrid w:val="0"/>
              <w:spacing w:line="240" w:lineRule="auto"/>
              <w:rPr>
                <w:rFonts w:hint="eastAsia" w:ascii="仿宋" w:hAnsi="Times New Roman" w:eastAsia="仿宋" w:cs="Times New Roman"/>
                <w:color w:val="000000"/>
                <w:kern w:val="0"/>
                <w:sz w:val="24"/>
                <w:szCs w:val="24"/>
                <w:lang w:val="en-US" w:eastAsia="zh-CN"/>
              </w:rPr>
            </w:pPr>
          </w:p>
          <w:p w14:paraId="227D082E">
            <w:pPr>
              <w:pageBreakBefore w:val="0"/>
              <w:tabs>
                <w:tab w:val="left" w:pos="720"/>
              </w:tabs>
              <w:kinsoku/>
              <w:overflowPunct/>
              <w:topLinePunct w:val="0"/>
              <w:bidi w:val="0"/>
              <w:adjustRightInd w:val="0"/>
              <w:snapToGrid w:val="0"/>
              <w:spacing w:line="240" w:lineRule="auto"/>
              <w:rPr>
                <w:rFonts w:hint="default" w:ascii="仿宋" w:hAnsi="Times New Roman" w:eastAsia="仿宋" w:cs="Times New Roman"/>
                <w:color w:val="000000"/>
                <w:kern w:val="0"/>
                <w:sz w:val="24"/>
                <w:szCs w:val="24"/>
                <w:lang w:val="en-US" w:eastAsia="zh-CN"/>
              </w:rPr>
            </w:pPr>
            <w:r>
              <w:rPr>
                <w:rFonts w:hint="eastAsia" w:ascii="仿宋" w:hAnsi="Times New Roman" w:eastAsia="仿宋" w:cs="Times New Roman"/>
                <w:color w:val="000000"/>
                <w:kern w:val="0"/>
                <w:sz w:val="24"/>
                <w:szCs w:val="24"/>
                <w:lang w:val="en-US" w:eastAsia="zh-CN"/>
              </w:rPr>
              <w:t>实训四：调内七和弦原位及转位的听辨、听写训练。</w:t>
            </w:r>
          </w:p>
          <w:p w14:paraId="024FE1E4">
            <w:pPr>
              <w:pageBreakBefore w:val="0"/>
              <w:tabs>
                <w:tab w:val="left" w:pos="720"/>
              </w:tabs>
              <w:kinsoku/>
              <w:overflowPunct/>
              <w:topLinePunct w:val="0"/>
              <w:bidi w:val="0"/>
              <w:adjustRightInd w:val="0"/>
              <w:snapToGrid w:val="0"/>
              <w:spacing w:line="240" w:lineRule="auto"/>
              <w:rPr>
                <w:rFonts w:hint="eastAsia" w:ascii="仿宋" w:hAnsi="Times New Roman" w:eastAsia="仿宋" w:cs="Times New Roman"/>
                <w:color w:val="000000"/>
                <w:kern w:val="0"/>
                <w:sz w:val="24"/>
                <w:szCs w:val="24"/>
                <w:lang w:val="en-US" w:eastAsia="zh-CN"/>
              </w:rPr>
            </w:pPr>
            <w:r>
              <w:rPr>
                <w:rFonts w:hint="eastAsia" w:ascii="仿宋" w:hAnsi="Times New Roman" w:eastAsia="仿宋" w:cs="Times New Roman"/>
                <w:color w:val="000000"/>
                <w:kern w:val="0"/>
                <w:sz w:val="24"/>
                <w:szCs w:val="24"/>
                <w:lang w:val="en-US" w:eastAsia="zh-CN"/>
              </w:rPr>
              <w:t>目的：分析调内七和弦原位及转位的基本形态。</w:t>
            </w:r>
          </w:p>
          <w:p w14:paraId="5F6F1207">
            <w:pPr>
              <w:pageBreakBefore w:val="0"/>
              <w:tabs>
                <w:tab w:val="left" w:pos="720"/>
              </w:tabs>
              <w:kinsoku/>
              <w:overflowPunct/>
              <w:topLinePunct w:val="0"/>
              <w:bidi w:val="0"/>
              <w:adjustRightInd w:val="0"/>
              <w:snapToGrid w:val="0"/>
              <w:spacing w:line="240" w:lineRule="auto"/>
              <w:rPr>
                <w:rFonts w:hint="eastAsia" w:ascii="仿宋" w:hAnsi="Times New Roman" w:eastAsia="仿宋" w:cs="Times New Roman"/>
                <w:color w:val="000000"/>
                <w:kern w:val="0"/>
                <w:sz w:val="24"/>
                <w:szCs w:val="24"/>
                <w:lang w:val="en-US" w:eastAsia="zh-CN"/>
              </w:rPr>
            </w:pPr>
            <w:r>
              <w:rPr>
                <w:rFonts w:hint="eastAsia" w:ascii="仿宋" w:hAnsi="Times New Roman" w:eastAsia="仿宋" w:cs="Times New Roman"/>
                <w:color w:val="000000"/>
                <w:kern w:val="0"/>
                <w:sz w:val="24"/>
                <w:szCs w:val="24"/>
                <w:lang w:val="en-US" w:eastAsia="zh-CN"/>
              </w:rPr>
              <w:t>任务：</w:t>
            </w:r>
            <w:r>
              <w:rPr>
                <w:rFonts w:hint="default" w:ascii="仿宋" w:eastAsia="仿宋" w:cs="Times New Roman"/>
                <w:color w:val="000000"/>
                <w:kern w:val="0"/>
                <w:sz w:val="24"/>
                <w:szCs w:val="24"/>
                <w:lang w:val="en-US" w:eastAsia="zh-CN"/>
              </w:rPr>
              <w:t>1.</w:t>
            </w:r>
            <w:r>
              <w:rPr>
                <w:rFonts w:hint="eastAsia" w:ascii="仿宋" w:hAnsi="Times New Roman" w:eastAsia="仿宋" w:cs="Times New Roman"/>
                <w:color w:val="000000"/>
                <w:kern w:val="0"/>
                <w:sz w:val="24"/>
                <w:szCs w:val="24"/>
                <w:lang w:val="en-US" w:eastAsia="zh-CN"/>
              </w:rPr>
              <w:t>能够听辨及听写调内七和弦原位及转位。</w:t>
            </w:r>
          </w:p>
          <w:p w14:paraId="6CF7F9AF">
            <w:pPr>
              <w:pageBreakBefore w:val="0"/>
              <w:tabs>
                <w:tab w:val="left" w:pos="720"/>
              </w:tabs>
              <w:kinsoku/>
              <w:overflowPunct/>
              <w:topLinePunct w:val="0"/>
              <w:bidi w:val="0"/>
              <w:adjustRightInd w:val="0"/>
              <w:snapToGrid w:val="0"/>
              <w:spacing w:line="240" w:lineRule="auto"/>
              <w:rPr>
                <w:rFonts w:hint="eastAsia" w:ascii="仿宋" w:hAnsi="Times New Roman" w:eastAsia="仿宋" w:cs="Times New Roman"/>
                <w:color w:val="000000"/>
                <w:kern w:val="0"/>
                <w:sz w:val="24"/>
                <w:szCs w:val="24"/>
                <w:lang w:val="en-US" w:eastAsia="zh-CN"/>
              </w:rPr>
            </w:pPr>
            <w:r>
              <w:rPr>
                <w:rFonts w:hint="eastAsia" w:ascii="仿宋" w:hAnsi="Times New Roman" w:eastAsia="仿宋" w:cs="Times New Roman"/>
                <w:color w:val="000000"/>
                <w:kern w:val="0"/>
                <w:sz w:val="24"/>
                <w:szCs w:val="24"/>
                <w:lang w:val="en-US" w:eastAsia="zh-CN"/>
              </w:rPr>
              <w:t>2</w:t>
            </w:r>
            <w:r>
              <w:rPr>
                <w:rFonts w:hint="default" w:ascii="仿宋" w:eastAsia="仿宋" w:cs="Times New Roman"/>
                <w:color w:val="000000"/>
                <w:kern w:val="0"/>
                <w:sz w:val="24"/>
                <w:szCs w:val="24"/>
                <w:lang w:val="en-US" w:eastAsia="zh-CN"/>
              </w:rPr>
              <w:t>.</w:t>
            </w:r>
            <w:r>
              <w:rPr>
                <w:rFonts w:hint="eastAsia" w:ascii="仿宋" w:hAnsi="Times New Roman" w:eastAsia="仿宋" w:cs="Times New Roman"/>
                <w:color w:val="000000"/>
                <w:kern w:val="0"/>
                <w:sz w:val="24"/>
                <w:szCs w:val="24"/>
                <w:lang w:val="en-US" w:eastAsia="zh-CN"/>
              </w:rPr>
              <w:t>通过辨认各级各类七和弦的基本结构形态，领会其对后续课程学习的重要性。</w:t>
            </w:r>
          </w:p>
          <w:p w14:paraId="5FD87328">
            <w:pPr>
              <w:pageBreakBefore w:val="0"/>
              <w:tabs>
                <w:tab w:val="left" w:pos="720"/>
              </w:tabs>
              <w:kinsoku/>
              <w:overflowPunct/>
              <w:topLinePunct w:val="0"/>
              <w:bidi w:val="0"/>
              <w:adjustRightInd w:val="0"/>
              <w:snapToGrid w:val="0"/>
              <w:spacing w:line="240" w:lineRule="auto"/>
              <w:rPr>
                <w:rFonts w:hint="eastAsia" w:ascii="仿宋" w:hAnsi="Times New Roman" w:eastAsia="仿宋" w:cs="Times New Roman"/>
                <w:color w:val="000000"/>
                <w:kern w:val="0"/>
                <w:sz w:val="24"/>
                <w:szCs w:val="24"/>
                <w:lang w:val="en-US" w:eastAsia="zh-CN"/>
              </w:rPr>
            </w:pPr>
          </w:p>
          <w:p w14:paraId="0793F3A5">
            <w:pPr>
              <w:pageBreakBefore w:val="0"/>
              <w:tabs>
                <w:tab w:val="left" w:pos="720"/>
              </w:tabs>
              <w:kinsoku/>
              <w:overflowPunct/>
              <w:topLinePunct w:val="0"/>
              <w:bidi w:val="0"/>
              <w:adjustRightInd w:val="0"/>
              <w:snapToGrid w:val="0"/>
              <w:spacing w:line="240" w:lineRule="auto"/>
              <w:rPr>
                <w:rFonts w:hint="eastAsia" w:ascii="仿宋" w:hAnsi="Times New Roman" w:eastAsia="仿宋" w:cs="Times New Roman"/>
                <w:color w:val="000000"/>
                <w:kern w:val="0"/>
                <w:sz w:val="24"/>
                <w:szCs w:val="24"/>
                <w:lang w:val="en-US" w:eastAsia="zh-CN"/>
              </w:rPr>
            </w:pPr>
            <w:r>
              <w:rPr>
                <w:rFonts w:hint="eastAsia" w:ascii="仿宋" w:hAnsi="Times New Roman" w:eastAsia="仿宋" w:cs="Times New Roman"/>
                <w:color w:val="000000"/>
                <w:kern w:val="0"/>
                <w:sz w:val="24"/>
                <w:szCs w:val="24"/>
                <w:lang w:val="en-US" w:eastAsia="zh-CN"/>
              </w:rPr>
              <w:t>实训五：调内和弦连接的听辨、听写训练。</w:t>
            </w:r>
          </w:p>
          <w:p w14:paraId="53F71FD5">
            <w:pPr>
              <w:pageBreakBefore w:val="0"/>
              <w:tabs>
                <w:tab w:val="left" w:pos="720"/>
              </w:tabs>
              <w:kinsoku/>
              <w:overflowPunct/>
              <w:topLinePunct w:val="0"/>
              <w:bidi w:val="0"/>
              <w:adjustRightInd w:val="0"/>
              <w:snapToGrid w:val="0"/>
              <w:spacing w:line="240" w:lineRule="auto"/>
              <w:rPr>
                <w:rFonts w:hint="eastAsia" w:ascii="仿宋" w:hAnsi="Times New Roman" w:eastAsia="仿宋" w:cs="Times New Roman"/>
                <w:color w:val="000000"/>
                <w:kern w:val="0"/>
                <w:sz w:val="24"/>
                <w:szCs w:val="24"/>
                <w:lang w:val="en-US" w:eastAsia="zh-CN"/>
              </w:rPr>
            </w:pPr>
            <w:r>
              <w:rPr>
                <w:rFonts w:hint="eastAsia" w:ascii="仿宋" w:hAnsi="Times New Roman" w:eastAsia="仿宋" w:cs="Times New Roman"/>
                <w:color w:val="000000"/>
                <w:kern w:val="0"/>
                <w:sz w:val="24"/>
                <w:szCs w:val="24"/>
                <w:lang w:val="en-US" w:eastAsia="zh-CN"/>
              </w:rPr>
              <w:t>目的：辨认调内和弦连接的结构特征，并且能够掌握其听辨、听写的能力。</w:t>
            </w:r>
          </w:p>
          <w:p w14:paraId="09354B0A">
            <w:pPr>
              <w:pageBreakBefore w:val="0"/>
              <w:tabs>
                <w:tab w:val="left" w:pos="720"/>
              </w:tabs>
              <w:kinsoku/>
              <w:overflowPunct/>
              <w:topLinePunct w:val="0"/>
              <w:bidi w:val="0"/>
              <w:adjustRightInd w:val="0"/>
              <w:snapToGrid w:val="0"/>
              <w:spacing w:line="240" w:lineRule="auto"/>
              <w:rPr>
                <w:rFonts w:hint="eastAsia" w:ascii="仿宋" w:hAnsi="Times New Roman" w:eastAsia="仿宋" w:cs="Times New Roman"/>
                <w:color w:val="000000"/>
                <w:kern w:val="0"/>
                <w:sz w:val="24"/>
                <w:szCs w:val="24"/>
                <w:lang w:val="en-US" w:eastAsia="zh-CN"/>
              </w:rPr>
            </w:pPr>
            <w:r>
              <w:rPr>
                <w:rFonts w:hint="eastAsia" w:ascii="仿宋" w:hAnsi="Times New Roman" w:eastAsia="仿宋" w:cs="Times New Roman"/>
                <w:color w:val="000000"/>
                <w:kern w:val="0"/>
                <w:sz w:val="24"/>
                <w:szCs w:val="24"/>
                <w:lang w:val="en-US" w:eastAsia="zh-CN"/>
              </w:rPr>
              <w:t>任务：1</w:t>
            </w:r>
            <w:r>
              <w:rPr>
                <w:rFonts w:hint="default" w:ascii="仿宋" w:eastAsia="仿宋" w:cs="Times New Roman"/>
                <w:color w:val="000000"/>
                <w:kern w:val="0"/>
                <w:sz w:val="24"/>
                <w:szCs w:val="24"/>
                <w:lang w:val="en-US" w:eastAsia="zh-CN"/>
              </w:rPr>
              <w:t>.</w:t>
            </w:r>
            <w:r>
              <w:rPr>
                <w:rFonts w:hint="eastAsia" w:ascii="仿宋" w:hAnsi="Times New Roman" w:eastAsia="仿宋" w:cs="Times New Roman"/>
                <w:color w:val="000000"/>
                <w:kern w:val="0"/>
                <w:sz w:val="24"/>
                <w:szCs w:val="24"/>
                <w:lang w:val="en-US" w:eastAsia="zh-CN"/>
              </w:rPr>
              <w:t>知晓调内和弦连接听辨、听写的训练对后续课程学习的重要性。</w:t>
            </w:r>
          </w:p>
          <w:p w14:paraId="1CBA0CAE">
            <w:pPr>
              <w:pageBreakBefore w:val="0"/>
              <w:tabs>
                <w:tab w:val="left" w:pos="720"/>
              </w:tabs>
              <w:kinsoku/>
              <w:overflowPunct/>
              <w:topLinePunct w:val="0"/>
              <w:bidi w:val="0"/>
              <w:adjustRightInd w:val="0"/>
              <w:snapToGrid w:val="0"/>
              <w:spacing w:line="240" w:lineRule="auto"/>
              <w:rPr>
                <w:rFonts w:hint="eastAsia" w:ascii="仿宋" w:hAnsi="Times New Roman" w:eastAsia="仿宋" w:cs="Times New Roman"/>
                <w:color w:val="000000"/>
                <w:kern w:val="0"/>
                <w:sz w:val="24"/>
                <w:szCs w:val="24"/>
                <w:lang w:val="en-US" w:eastAsia="zh-CN"/>
              </w:rPr>
            </w:pPr>
            <w:r>
              <w:rPr>
                <w:rFonts w:hint="eastAsia" w:ascii="仿宋" w:hAnsi="Times New Roman" w:eastAsia="仿宋" w:cs="Times New Roman"/>
                <w:color w:val="000000"/>
                <w:kern w:val="0"/>
                <w:sz w:val="24"/>
                <w:szCs w:val="24"/>
                <w:lang w:val="en-US" w:eastAsia="zh-CN"/>
              </w:rPr>
              <w:t>2</w:t>
            </w:r>
            <w:r>
              <w:rPr>
                <w:rFonts w:hint="default" w:ascii="仿宋" w:eastAsia="仿宋" w:cs="Times New Roman"/>
                <w:color w:val="000000"/>
                <w:kern w:val="0"/>
                <w:sz w:val="24"/>
                <w:szCs w:val="24"/>
                <w:lang w:val="en-US" w:eastAsia="zh-CN"/>
              </w:rPr>
              <w:t>.</w:t>
            </w:r>
            <w:r>
              <w:rPr>
                <w:rFonts w:hint="eastAsia" w:ascii="仿宋" w:hAnsi="Times New Roman" w:eastAsia="仿宋" w:cs="Times New Roman"/>
                <w:color w:val="000000"/>
                <w:kern w:val="0"/>
                <w:sz w:val="24"/>
                <w:szCs w:val="24"/>
                <w:lang w:val="en-US" w:eastAsia="zh-CN"/>
              </w:rPr>
              <w:t>逐步掌握调内和弦连接听辨、听写的能力。</w:t>
            </w:r>
          </w:p>
          <w:p w14:paraId="46680914">
            <w:pPr>
              <w:pageBreakBefore w:val="0"/>
              <w:tabs>
                <w:tab w:val="left" w:pos="720"/>
              </w:tabs>
              <w:kinsoku/>
              <w:overflowPunct/>
              <w:topLinePunct w:val="0"/>
              <w:bidi w:val="0"/>
              <w:adjustRightInd w:val="0"/>
              <w:snapToGrid w:val="0"/>
              <w:spacing w:line="240" w:lineRule="auto"/>
              <w:rPr>
                <w:rFonts w:hint="eastAsia" w:ascii="仿宋" w:hAnsi="Times New Roman" w:eastAsia="仿宋" w:cs="Times New Roman"/>
                <w:color w:val="000000"/>
                <w:kern w:val="0"/>
                <w:sz w:val="24"/>
                <w:szCs w:val="24"/>
                <w:lang w:val="en-US" w:eastAsia="zh-CN"/>
              </w:rPr>
            </w:pPr>
          </w:p>
          <w:p w14:paraId="3D2B72B8">
            <w:pPr>
              <w:pageBreakBefore w:val="0"/>
              <w:tabs>
                <w:tab w:val="left" w:pos="720"/>
              </w:tabs>
              <w:kinsoku/>
              <w:overflowPunct/>
              <w:topLinePunct w:val="0"/>
              <w:bidi w:val="0"/>
              <w:adjustRightInd w:val="0"/>
              <w:snapToGrid w:val="0"/>
              <w:spacing w:line="240" w:lineRule="auto"/>
              <w:rPr>
                <w:rFonts w:hint="eastAsia" w:ascii="仿宋" w:hAnsi="Times New Roman" w:eastAsia="仿宋" w:cs="Times New Roman"/>
                <w:color w:val="000000"/>
                <w:kern w:val="0"/>
                <w:sz w:val="24"/>
                <w:szCs w:val="24"/>
                <w:lang w:val="en-US" w:eastAsia="zh-CN"/>
              </w:rPr>
            </w:pPr>
            <w:r>
              <w:rPr>
                <w:rFonts w:hint="eastAsia" w:ascii="仿宋" w:hAnsi="Times New Roman" w:eastAsia="仿宋" w:cs="Times New Roman"/>
                <w:color w:val="000000"/>
                <w:kern w:val="0"/>
                <w:sz w:val="24"/>
                <w:szCs w:val="24"/>
                <w:lang w:val="en-US" w:eastAsia="zh-CN"/>
              </w:rPr>
              <w:t>实训六：各种类型的节拍、节奏及单声部、二声部的节奏听辨、听写训练。</w:t>
            </w:r>
          </w:p>
          <w:p w14:paraId="5EA3FB93">
            <w:pPr>
              <w:pageBreakBefore w:val="0"/>
              <w:tabs>
                <w:tab w:val="left" w:pos="720"/>
              </w:tabs>
              <w:kinsoku/>
              <w:overflowPunct/>
              <w:topLinePunct w:val="0"/>
              <w:bidi w:val="0"/>
              <w:adjustRightInd w:val="0"/>
              <w:snapToGrid w:val="0"/>
              <w:spacing w:line="240" w:lineRule="auto"/>
              <w:rPr>
                <w:rFonts w:hint="eastAsia" w:ascii="仿宋" w:hAnsi="Times New Roman" w:eastAsia="仿宋" w:cs="Times New Roman"/>
                <w:color w:val="000000"/>
                <w:kern w:val="0"/>
                <w:sz w:val="24"/>
                <w:szCs w:val="24"/>
                <w:lang w:val="en-US" w:eastAsia="zh-CN"/>
              </w:rPr>
            </w:pPr>
            <w:r>
              <w:rPr>
                <w:rFonts w:hint="eastAsia" w:ascii="仿宋" w:hAnsi="Times New Roman" w:eastAsia="仿宋" w:cs="Times New Roman"/>
                <w:color w:val="000000"/>
                <w:kern w:val="0"/>
                <w:sz w:val="24"/>
                <w:szCs w:val="24"/>
                <w:lang w:val="en-US" w:eastAsia="zh-CN"/>
              </w:rPr>
              <w:t>目的：学会各种类型的节拍、节奏及单声部、二声部的节奏的结构特征、应用其节奏形态。</w:t>
            </w:r>
          </w:p>
          <w:p w14:paraId="2D325FD1">
            <w:pPr>
              <w:pageBreakBefore w:val="0"/>
              <w:tabs>
                <w:tab w:val="left" w:pos="720"/>
              </w:tabs>
              <w:kinsoku/>
              <w:overflowPunct/>
              <w:topLinePunct w:val="0"/>
              <w:bidi w:val="0"/>
              <w:adjustRightInd w:val="0"/>
              <w:snapToGrid w:val="0"/>
              <w:spacing w:line="240" w:lineRule="auto"/>
              <w:rPr>
                <w:rFonts w:hint="eastAsia" w:ascii="仿宋" w:hAnsi="Times New Roman" w:eastAsia="仿宋" w:cs="Times New Roman"/>
                <w:color w:val="000000"/>
                <w:kern w:val="0"/>
                <w:sz w:val="24"/>
                <w:szCs w:val="24"/>
                <w:lang w:val="en-US" w:eastAsia="zh-CN"/>
              </w:rPr>
            </w:pPr>
            <w:r>
              <w:rPr>
                <w:rFonts w:hint="eastAsia" w:ascii="仿宋" w:hAnsi="Times New Roman" w:eastAsia="仿宋" w:cs="Times New Roman"/>
                <w:color w:val="000000"/>
                <w:kern w:val="0"/>
                <w:sz w:val="24"/>
                <w:szCs w:val="24"/>
                <w:lang w:val="en-US" w:eastAsia="zh-CN"/>
              </w:rPr>
              <w:t>任务：1</w:t>
            </w:r>
            <w:r>
              <w:rPr>
                <w:rFonts w:hint="default" w:ascii="仿宋" w:eastAsia="仿宋" w:cs="Times New Roman"/>
                <w:color w:val="000000"/>
                <w:kern w:val="0"/>
                <w:sz w:val="24"/>
                <w:szCs w:val="24"/>
                <w:lang w:val="en-US" w:eastAsia="zh-CN"/>
              </w:rPr>
              <w:t>.</w:t>
            </w:r>
            <w:r>
              <w:rPr>
                <w:rFonts w:hint="eastAsia" w:ascii="仿宋" w:hAnsi="Times New Roman" w:eastAsia="仿宋" w:cs="Times New Roman"/>
                <w:color w:val="000000"/>
                <w:kern w:val="0"/>
                <w:sz w:val="24"/>
                <w:szCs w:val="24"/>
                <w:lang w:val="en-US" w:eastAsia="zh-CN"/>
              </w:rPr>
              <w:t>能够听辨及听写在单声部、二声部中各种类型的节拍、节奏及对后续课程学习的重要性。</w:t>
            </w:r>
          </w:p>
          <w:p w14:paraId="643B4654">
            <w:pPr>
              <w:pageBreakBefore w:val="0"/>
              <w:tabs>
                <w:tab w:val="left" w:pos="720"/>
              </w:tabs>
              <w:kinsoku/>
              <w:overflowPunct/>
              <w:topLinePunct w:val="0"/>
              <w:bidi w:val="0"/>
              <w:adjustRightInd w:val="0"/>
              <w:snapToGrid w:val="0"/>
              <w:spacing w:line="240" w:lineRule="auto"/>
              <w:rPr>
                <w:rFonts w:hint="eastAsia" w:ascii="仿宋" w:hAnsi="Times New Roman" w:eastAsia="仿宋" w:cs="Times New Roman"/>
                <w:color w:val="000000"/>
                <w:kern w:val="0"/>
                <w:sz w:val="24"/>
                <w:szCs w:val="24"/>
                <w:lang w:val="en-US" w:eastAsia="zh-TW"/>
              </w:rPr>
            </w:pPr>
            <w:r>
              <w:rPr>
                <w:rFonts w:hint="eastAsia" w:ascii="仿宋" w:hAnsi="Times New Roman" w:eastAsia="仿宋" w:cs="Times New Roman"/>
                <w:color w:val="000000"/>
                <w:kern w:val="0"/>
                <w:sz w:val="24"/>
                <w:szCs w:val="24"/>
                <w:lang w:val="en-US" w:eastAsia="zh-CN"/>
              </w:rPr>
              <w:t>2</w:t>
            </w:r>
            <w:r>
              <w:rPr>
                <w:rFonts w:hint="default" w:ascii="仿宋" w:eastAsia="仿宋" w:cs="Times New Roman"/>
                <w:color w:val="000000"/>
                <w:kern w:val="0"/>
                <w:sz w:val="24"/>
                <w:szCs w:val="24"/>
                <w:lang w:val="en-US" w:eastAsia="zh-CN"/>
              </w:rPr>
              <w:t>.</w:t>
            </w:r>
            <w:r>
              <w:rPr>
                <w:rFonts w:hint="eastAsia" w:ascii="仿宋" w:hAnsi="Times New Roman" w:eastAsia="仿宋" w:cs="Times New Roman"/>
                <w:color w:val="000000"/>
                <w:kern w:val="0"/>
                <w:sz w:val="24"/>
                <w:szCs w:val="24"/>
                <w:lang w:val="en-US" w:eastAsia="zh-CN"/>
              </w:rPr>
              <w:t>基本掌握单声部、二声部中各种类型的节拍、节奏听辨、听写的能力。</w:t>
            </w:r>
          </w:p>
          <w:p w14:paraId="27777DED">
            <w:pPr>
              <w:pageBreakBefore w:val="0"/>
              <w:tabs>
                <w:tab w:val="left" w:pos="720"/>
              </w:tabs>
              <w:kinsoku/>
              <w:overflowPunct/>
              <w:topLinePunct w:val="0"/>
              <w:bidi w:val="0"/>
              <w:adjustRightInd w:val="0"/>
              <w:snapToGrid w:val="0"/>
              <w:spacing w:line="240" w:lineRule="auto"/>
              <w:rPr>
                <w:rFonts w:hint="eastAsia" w:ascii="仿宋" w:hAnsi="Times New Roman" w:eastAsia="仿宋" w:cs="Times New Roman"/>
                <w:color w:val="000000"/>
                <w:kern w:val="0"/>
                <w:sz w:val="24"/>
                <w:szCs w:val="24"/>
                <w:lang w:val="en-US" w:eastAsia="zh-TW"/>
              </w:rPr>
            </w:pPr>
          </w:p>
          <w:p w14:paraId="4A2C803B">
            <w:pPr>
              <w:pageBreakBefore w:val="0"/>
              <w:tabs>
                <w:tab w:val="left" w:pos="720"/>
              </w:tabs>
              <w:kinsoku/>
              <w:overflowPunct/>
              <w:topLinePunct w:val="0"/>
              <w:bidi w:val="0"/>
              <w:adjustRightInd w:val="0"/>
              <w:snapToGrid w:val="0"/>
              <w:spacing w:line="240" w:lineRule="auto"/>
              <w:rPr>
                <w:rFonts w:hint="eastAsia" w:ascii="仿宋" w:hAnsi="Times New Roman" w:eastAsia="仿宋" w:cs="Times New Roman"/>
                <w:color w:val="000000"/>
                <w:kern w:val="0"/>
                <w:sz w:val="24"/>
                <w:szCs w:val="24"/>
                <w:lang w:val="en-US" w:eastAsia="zh-TW"/>
              </w:rPr>
            </w:pPr>
            <w:r>
              <w:rPr>
                <w:rFonts w:hint="eastAsia" w:ascii="仿宋" w:hAnsi="Times New Roman" w:eastAsia="仿宋" w:cs="Times New Roman"/>
                <w:color w:val="000000"/>
                <w:kern w:val="0"/>
                <w:sz w:val="24"/>
                <w:szCs w:val="24"/>
                <w:lang w:val="en-US" w:eastAsia="zh-TW"/>
              </w:rPr>
              <w:t>实训</w:t>
            </w:r>
            <w:r>
              <w:rPr>
                <w:rFonts w:hint="eastAsia" w:ascii="仿宋" w:hAnsi="Times New Roman" w:eastAsia="仿宋" w:cs="Times New Roman"/>
                <w:color w:val="000000"/>
                <w:kern w:val="0"/>
                <w:sz w:val="24"/>
                <w:szCs w:val="24"/>
                <w:lang w:val="en-US" w:eastAsia="zh-CN"/>
              </w:rPr>
              <w:t>七</w:t>
            </w:r>
            <w:r>
              <w:rPr>
                <w:rFonts w:hint="eastAsia" w:ascii="仿宋" w:hAnsi="Times New Roman" w:eastAsia="仿宋" w:cs="Times New Roman"/>
                <w:color w:val="000000"/>
                <w:kern w:val="0"/>
                <w:sz w:val="24"/>
                <w:szCs w:val="24"/>
                <w:lang w:val="en-US" w:eastAsia="zh-TW"/>
              </w:rPr>
              <w:t>：</w:t>
            </w:r>
            <w:r>
              <w:rPr>
                <w:rFonts w:hint="eastAsia" w:ascii="仿宋" w:hAnsi="Times New Roman" w:eastAsia="仿宋" w:cs="Times New Roman"/>
                <w:color w:val="000000"/>
                <w:kern w:val="0"/>
                <w:sz w:val="24"/>
                <w:szCs w:val="24"/>
                <w:lang w:val="en-US" w:eastAsia="zh-CN"/>
              </w:rPr>
              <w:t>四个升降号以内的单声部、二声部的旋律听辨、听写训练。</w:t>
            </w:r>
          </w:p>
          <w:p w14:paraId="3D008900">
            <w:pPr>
              <w:pageBreakBefore w:val="0"/>
              <w:tabs>
                <w:tab w:val="left" w:pos="720"/>
              </w:tabs>
              <w:kinsoku/>
              <w:overflowPunct/>
              <w:topLinePunct w:val="0"/>
              <w:bidi w:val="0"/>
              <w:adjustRightInd w:val="0"/>
              <w:snapToGrid w:val="0"/>
              <w:spacing w:line="240" w:lineRule="auto"/>
              <w:rPr>
                <w:rFonts w:hint="eastAsia" w:ascii="仿宋" w:hAnsi="Times New Roman" w:eastAsia="仿宋" w:cs="Times New Roman"/>
                <w:color w:val="000000"/>
                <w:kern w:val="0"/>
                <w:sz w:val="24"/>
                <w:szCs w:val="24"/>
                <w:lang w:val="en-US" w:eastAsia="zh-CN"/>
              </w:rPr>
            </w:pPr>
            <w:r>
              <w:rPr>
                <w:rFonts w:hint="eastAsia" w:ascii="仿宋" w:hAnsi="Times New Roman" w:eastAsia="仿宋" w:cs="Times New Roman"/>
                <w:color w:val="000000"/>
                <w:kern w:val="0"/>
                <w:sz w:val="24"/>
                <w:szCs w:val="24"/>
                <w:lang w:val="en-US" w:eastAsia="zh-CN"/>
              </w:rPr>
              <w:t>目的：知晓四个升降号以内的单声部、二声部的旋律的结构特征，并且能够掌握其听辨、听写的能力。</w:t>
            </w:r>
          </w:p>
          <w:p w14:paraId="5353BF25">
            <w:pPr>
              <w:pageBreakBefore w:val="0"/>
              <w:tabs>
                <w:tab w:val="left" w:pos="720"/>
              </w:tabs>
              <w:kinsoku/>
              <w:overflowPunct/>
              <w:topLinePunct w:val="0"/>
              <w:bidi w:val="0"/>
              <w:adjustRightInd w:val="0"/>
              <w:snapToGrid w:val="0"/>
              <w:spacing w:line="240" w:lineRule="auto"/>
              <w:rPr>
                <w:rFonts w:hint="eastAsia" w:ascii="仿宋" w:hAnsi="Times New Roman" w:eastAsia="仿宋" w:cs="Times New Roman"/>
                <w:color w:val="000000"/>
                <w:kern w:val="0"/>
                <w:sz w:val="24"/>
                <w:szCs w:val="24"/>
                <w:lang w:val="en-US" w:eastAsia="zh-CN"/>
              </w:rPr>
            </w:pPr>
            <w:r>
              <w:rPr>
                <w:rFonts w:hint="eastAsia" w:ascii="仿宋" w:hAnsi="Times New Roman" w:eastAsia="仿宋" w:cs="Times New Roman"/>
                <w:color w:val="000000"/>
                <w:kern w:val="0"/>
                <w:sz w:val="24"/>
                <w:szCs w:val="24"/>
                <w:lang w:val="en-US" w:eastAsia="zh-CN"/>
              </w:rPr>
              <w:t>任务：1</w:t>
            </w:r>
            <w:r>
              <w:rPr>
                <w:rFonts w:hint="default" w:ascii="仿宋" w:eastAsia="仿宋" w:cs="Times New Roman"/>
                <w:color w:val="000000"/>
                <w:kern w:val="0"/>
                <w:sz w:val="24"/>
                <w:szCs w:val="24"/>
                <w:lang w:val="en-US" w:eastAsia="zh-CN"/>
              </w:rPr>
              <w:t>.</w:t>
            </w:r>
            <w:r>
              <w:rPr>
                <w:rFonts w:hint="eastAsia" w:ascii="仿宋" w:hAnsi="Times New Roman" w:eastAsia="仿宋" w:cs="Times New Roman"/>
                <w:color w:val="000000"/>
                <w:kern w:val="0"/>
                <w:sz w:val="24"/>
                <w:szCs w:val="24"/>
                <w:lang w:val="en-US" w:eastAsia="zh-CN"/>
              </w:rPr>
              <w:t>知晓四个升降号以内的单声部、二声部的旋律听辨、听写对后续课程学习的重要性。</w:t>
            </w:r>
          </w:p>
          <w:p w14:paraId="5C0565C3">
            <w:pPr>
              <w:pageBreakBefore w:val="0"/>
              <w:tabs>
                <w:tab w:val="left" w:pos="720"/>
              </w:tabs>
              <w:kinsoku/>
              <w:overflowPunct/>
              <w:topLinePunct w:val="0"/>
              <w:bidi w:val="0"/>
              <w:adjustRightInd w:val="0"/>
              <w:snapToGrid w:val="0"/>
              <w:spacing w:line="240" w:lineRule="auto"/>
              <w:rPr>
                <w:rFonts w:hint="eastAsia" w:ascii="仿宋" w:hAnsi="Times New Roman" w:eastAsia="仿宋" w:cs="Times New Roman"/>
                <w:color w:val="000000"/>
                <w:kern w:val="0"/>
                <w:sz w:val="24"/>
                <w:szCs w:val="24"/>
                <w:lang w:val="en-US" w:eastAsia="zh-TW"/>
              </w:rPr>
            </w:pPr>
            <w:r>
              <w:rPr>
                <w:rFonts w:hint="eastAsia" w:ascii="仿宋" w:hAnsi="Times New Roman" w:eastAsia="仿宋" w:cs="Times New Roman"/>
                <w:color w:val="000000"/>
                <w:kern w:val="0"/>
                <w:sz w:val="24"/>
                <w:szCs w:val="24"/>
                <w:lang w:val="en-US" w:eastAsia="zh-CN"/>
              </w:rPr>
              <w:t>2</w:t>
            </w:r>
            <w:r>
              <w:rPr>
                <w:rFonts w:hint="default" w:ascii="仿宋" w:eastAsia="仿宋" w:cs="Times New Roman"/>
                <w:color w:val="000000"/>
                <w:kern w:val="0"/>
                <w:sz w:val="24"/>
                <w:szCs w:val="24"/>
                <w:lang w:val="en-US" w:eastAsia="zh-CN"/>
              </w:rPr>
              <w:t>.</w:t>
            </w:r>
            <w:r>
              <w:rPr>
                <w:rFonts w:hint="eastAsia" w:ascii="仿宋" w:hAnsi="Times New Roman" w:eastAsia="仿宋" w:cs="Times New Roman"/>
                <w:color w:val="000000"/>
                <w:kern w:val="0"/>
                <w:sz w:val="24"/>
                <w:szCs w:val="24"/>
                <w:lang w:val="en-US" w:eastAsia="zh-CN"/>
              </w:rPr>
              <w:t>基本掌握四个升降号以内的单声部、二声部的旋律听辨、听写的能力。</w:t>
            </w:r>
          </w:p>
          <w:p w14:paraId="0849FED0">
            <w:pPr>
              <w:pageBreakBefore w:val="0"/>
              <w:tabs>
                <w:tab w:val="left" w:pos="720"/>
              </w:tabs>
              <w:kinsoku/>
              <w:overflowPunct/>
              <w:topLinePunct w:val="0"/>
              <w:bidi w:val="0"/>
              <w:adjustRightInd w:val="0"/>
              <w:snapToGrid w:val="0"/>
              <w:spacing w:line="240" w:lineRule="auto"/>
              <w:rPr>
                <w:rFonts w:hint="default" w:ascii="仿宋" w:hAnsi="Times New Roman" w:eastAsia="仿宋" w:cs="Times New Roman"/>
                <w:color w:val="000000"/>
                <w:kern w:val="0"/>
                <w:sz w:val="24"/>
                <w:szCs w:val="24"/>
                <w:lang w:val="en-US" w:eastAsia="zh-CN"/>
              </w:rPr>
            </w:pPr>
            <w:r>
              <w:rPr>
                <w:rFonts w:hint="eastAsia" w:ascii="仿宋" w:hAnsi="Times New Roman" w:eastAsia="仿宋" w:cs="Times New Roman"/>
                <w:color w:val="000000"/>
                <w:kern w:val="0"/>
                <w:sz w:val="24"/>
                <w:szCs w:val="24"/>
                <w:lang w:val="en-US" w:eastAsia="zh-CN"/>
              </w:rPr>
              <w:t>实训八：四个升降号以内的视唱、弹唱、背唱训练。</w:t>
            </w:r>
          </w:p>
          <w:p w14:paraId="4DE3041B">
            <w:pPr>
              <w:pageBreakBefore w:val="0"/>
              <w:tabs>
                <w:tab w:val="left" w:pos="720"/>
              </w:tabs>
              <w:kinsoku/>
              <w:overflowPunct/>
              <w:topLinePunct w:val="0"/>
              <w:bidi w:val="0"/>
              <w:adjustRightInd w:val="0"/>
              <w:snapToGrid w:val="0"/>
              <w:spacing w:line="240" w:lineRule="auto"/>
              <w:rPr>
                <w:rFonts w:hint="default" w:ascii="仿宋" w:hAnsi="Times New Roman" w:eastAsia="仿宋" w:cs="Times New Roman"/>
                <w:color w:val="000000"/>
                <w:kern w:val="0"/>
                <w:sz w:val="24"/>
                <w:szCs w:val="24"/>
                <w:lang w:val="en-US" w:eastAsia="zh-CN"/>
              </w:rPr>
            </w:pPr>
            <w:r>
              <w:rPr>
                <w:rFonts w:hint="eastAsia" w:ascii="仿宋" w:hAnsi="Times New Roman" w:eastAsia="仿宋" w:cs="Times New Roman"/>
                <w:color w:val="000000"/>
                <w:kern w:val="0"/>
                <w:sz w:val="24"/>
                <w:szCs w:val="24"/>
                <w:lang w:val="en-US" w:eastAsia="zh-CN"/>
              </w:rPr>
              <w:t>目的：练习四个升降号以内的视唱、弹唱、背唱。</w:t>
            </w:r>
          </w:p>
          <w:p w14:paraId="2C71ABEF">
            <w:pPr>
              <w:pageBreakBefore w:val="0"/>
              <w:tabs>
                <w:tab w:val="left" w:pos="720"/>
              </w:tabs>
              <w:kinsoku/>
              <w:overflowPunct/>
              <w:topLinePunct w:val="0"/>
              <w:bidi w:val="0"/>
              <w:adjustRightInd w:val="0"/>
              <w:snapToGrid w:val="0"/>
              <w:spacing w:line="240" w:lineRule="auto"/>
              <w:rPr>
                <w:rFonts w:hint="default" w:ascii="仿宋" w:hAnsi="Times New Roman" w:eastAsia="仿宋" w:cs="Times New Roman"/>
                <w:color w:val="000000"/>
                <w:kern w:val="0"/>
                <w:sz w:val="24"/>
                <w:szCs w:val="24"/>
                <w:lang w:val="en-US" w:eastAsia="zh-CN"/>
              </w:rPr>
            </w:pPr>
            <w:r>
              <w:rPr>
                <w:rFonts w:hint="eastAsia" w:ascii="仿宋" w:hAnsi="Times New Roman" w:eastAsia="仿宋" w:cs="Times New Roman"/>
                <w:color w:val="000000"/>
                <w:kern w:val="0"/>
                <w:sz w:val="24"/>
                <w:szCs w:val="24"/>
                <w:lang w:val="en-US" w:eastAsia="zh-CN"/>
              </w:rPr>
              <w:t>任务：1</w:t>
            </w:r>
            <w:r>
              <w:rPr>
                <w:rFonts w:hint="default" w:ascii="仿宋" w:eastAsia="仿宋" w:cs="Times New Roman"/>
                <w:color w:val="000000"/>
                <w:kern w:val="0"/>
                <w:sz w:val="24"/>
                <w:szCs w:val="24"/>
                <w:lang w:val="en-US" w:eastAsia="zh-CN"/>
              </w:rPr>
              <w:t>.</w:t>
            </w:r>
            <w:r>
              <w:rPr>
                <w:rFonts w:hint="eastAsia" w:ascii="仿宋" w:hAnsi="Times New Roman" w:eastAsia="仿宋" w:cs="Times New Roman"/>
                <w:color w:val="000000"/>
                <w:kern w:val="0"/>
                <w:sz w:val="24"/>
                <w:szCs w:val="24"/>
                <w:lang w:val="en-US" w:eastAsia="zh-CN"/>
              </w:rPr>
              <w:t>视唱、弹唱、背唱四个升降号以内的节奏节拍、音准、旋律及曲调。</w:t>
            </w:r>
          </w:p>
          <w:p w14:paraId="687AD69E">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CN"/>
              </w:rPr>
            </w:pPr>
            <w:r>
              <w:rPr>
                <w:rFonts w:hint="eastAsia" w:ascii="仿宋" w:hAnsi="Times New Roman" w:eastAsia="仿宋" w:cs="Times New Roman"/>
                <w:color w:val="000000"/>
                <w:kern w:val="0"/>
                <w:sz w:val="24"/>
                <w:szCs w:val="24"/>
                <w:lang w:val="en-US" w:eastAsia="zh-CN"/>
              </w:rPr>
              <w:t>2</w:t>
            </w:r>
            <w:r>
              <w:rPr>
                <w:rFonts w:hint="default" w:ascii="仿宋" w:eastAsia="仿宋" w:cs="Times New Roman"/>
                <w:color w:val="000000"/>
                <w:kern w:val="0"/>
                <w:sz w:val="24"/>
                <w:szCs w:val="24"/>
                <w:lang w:val="en-US" w:eastAsia="zh-CN"/>
              </w:rPr>
              <w:t>.</w:t>
            </w:r>
            <w:r>
              <w:rPr>
                <w:rFonts w:hint="eastAsia" w:ascii="仿宋" w:hAnsi="Times New Roman" w:eastAsia="仿宋" w:cs="Times New Roman"/>
                <w:color w:val="000000"/>
                <w:kern w:val="0"/>
                <w:sz w:val="24"/>
                <w:szCs w:val="24"/>
                <w:lang w:val="en-US" w:eastAsia="zh-CN"/>
              </w:rPr>
              <w:t>视唱、弹唱、背唱各种民族调式的节奏节拍、音准、旋律及曲调</w:t>
            </w:r>
            <w:r>
              <w:rPr>
                <w:rFonts w:hint="default" w:ascii="仿宋" w:hAnsi="Times New Roman" w:eastAsia="仿宋" w:cs="Times New Roman"/>
                <w:color w:val="000000"/>
                <w:kern w:val="0"/>
                <w:sz w:val="24"/>
                <w:szCs w:val="24"/>
                <w:lang w:val="en-US" w:eastAsia="zh-CN"/>
              </w:rPr>
              <w:t>.</w:t>
            </w:r>
          </w:p>
        </w:tc>
        <w:tc>
          <w:tcPr>
            <w:tcW w:w="1240" w:type="dxa"/>
            <w:gridSpan w:val="3"/>
            <w:tcBorders>
              <w:top w:val="single" w:color="auto" w:sz="4" w:space="0"/>
              <w:left w:val="single" w:color="auto" w:sz="4" w:space="0"/>
              <w:bottom w:val="single" w:color="auto" w:sz="4" w:space="0"/>
              <w:right w:val="single" w:color="auto" w:sz="4" w:space="0"/>
            </w:tcBorders>
            <w:noWrap/>
            <w:vAlign w:val="center"/>
          </w:tcPr>
          <w:p w14:paraId="3B98CD51">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CN"/>
              </w:rPr>
              <w:t>支撑课程</w:t>
            </w:r>
            <w:r>
              <w:rPr>
                <w:rFonts w:hint="eastAsia" w:ascii="仿宋" w:eastAsia="仿宋" w:cs="仿宋"/>
                <w:color w:val="000000"/>
                <w:sz w:val="24"/>
                <w:szCs w:val="24"/>
                <w:lang w:val="en-US" w:eastAsia="zh-TW"/>
              </w:rPr>
              <w:t>目标1、2、3</w:t>
            </w:r>
          </w:p>
          <w:p w14:paraId="60A22FC4">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tc>
        <w:tc>
          <w:tcPr>
            <w:tcW w:w="674" w:type="dxa"/>
            <w:gridSpan w:val="2"/>
            <w:tcBorders>
              <w:top w:val="single" w:color="auto" w:sz="4" w:space="0"/>
              <w:left w:val="single" w:color="auto" w:sz="4" w:space="0"/>
              <w:bottom w:val="single" w:color="auto" w:sz="4" w:space="0"/>
              <w:right w:val="single" w:color="auto" w:sz="4" w:space="0"/>
            </w:tcBorders>
            <w:noWrap/>
            <w:vAlign w:val="center"/>
          </w:tcPr>
          <w:p w14:paraId="1A2E41AC">
            <w:pPr>
              <w:pageBreakBefore w:val="0"/>
              <w:widowControl w:val="0"/>
              <w:kinsoku/>
              <w:overflowPunct/>
              <w:topLinePunct w:val="0"/>
              <w:bidi w:val="0"/>
              <w:adjustRightInd w:val="0"/>
              <w:snapToGrid w:val="0"/>
              <w:spacing w:line="240" w:lineRule="auto"/>
              <w:jc w:val="center"/>
              <w:rPr>
                <w:rFonts w:ascii="仿宋" w:eastAsia="仿宋" w:cs="仿宋"/>
                <w:color w:val="000000"/>
                <w:sz w:val="24"/>
                <w:szCs w:val="24"/>
                <w:lang w:val="en-US" w:eastAsia="zh-CN"/>
              </w:rPr>
            </w:pPr>
            <w:r>
              <w:rPr>
                <w:rFonts w:hint="eastAsia" w:ascii="仿宋" w:eastAsia="仿宋" w:cs="仿宋"/>
                <w:color w:val="000000"/>
                <w:sz w:val="24"/>
                <w:szCs w:val="24"/>
                <w:lang w:val="en-US" w:eastAsia="zh-CN"/>
              </w:rPr>
              <w:t>16</w:t>
            </w:r>
          </w:p>
        </w:tc>
      </w:tr>
      <w:tr w14:paraId="04DEF59D">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14:paraId="529241F7"/>
        </w:tc>
        <w:tc>
          <w:tcPr>
            <w:tcW w:w="7098" w:type="dxa"/>
            <w:gridSpan w:val="11"/>
            <w:tcBorders>
              <w:top w:val="single" w:color="auto" w:sz="4" w:space="0"/>
              <w:left w:val="single" w:color="auto" w:sz="4" w:space="0"/>
              <w:bottom w:val="single" w:color="auto" w:sz="4" w:space="0"/>
              <w:right w:val="single" w:color="auto" w:sz="4" w:space="0"/>
            </w:tcBorders>
            <w:noWrap/>
            <w:vAlign w:val="center"/>
          </w:tcPr>
          <w:p w14:paraId="6CA850E5">
            <w:pPr>
              <w:pageBreakBefore w:val="0"/>
              <w:widowControl w:val="0"/>
              <w:kinsoku/>
              <w:overflowPunct/>
              <w:topLinePunct w:val="0"/>
              <w:bidi w:val="0"/>
              <w:adjustRightInd w:val="0"/>
              <w:snapToGrid w:val="0"/>
              <w:spacing w:line="240" w:lineRule="auto"/>
              <w:jc w:val="center"/>
              <w:rPr>
                <w:rFonts w:ascii="仿宋" w:eastAsia="仿宋" w:cs="仿宋"/>
                <w:color w:val="000000"/>
                <w:sz w:val="24"/>
                <w:szCs w:val="24"/>
                <w:lang w:val="en-US" w:eastAsia="zh-CN"/>
              </w:rPr>
            </w:pPr>
            <w:r>
              <w:rPr>
                <w:rFonts w:hint="eastAsia" w:ascii="仿宋" w:eastAsia="仿宋" w:cs="仿宋"/>
                <w:color w:val="000000"/>
                <w:sz w:val="24"/>
                <w:szCs w:val="24"/>
                <w:lang w:val="en-US" w:eastAsia="zh-CN"/>
              </w:rPr>
              <w:t>合计</w:t>
            </w:r>
          </w:p>
        </w:tc>
        <w:tc>
          <w:tcPr>
            <w:tcW w:w="674" w:type="dxa"/>
            <w:gridSpan w:val="2"/>
            <w:tcBorders>
              <w:top w:val="single" w:color="auto" w:sz="4" w:space="0"/>
              <w:left w:val="single" w:color="auto" w:sz="4" w:space="0"/>
              <w:bottom w:val="single" w:color="auto" w:sz="4" w:space="0"/>
              <w:right w:val="single" w:color="auto" w:sz="4" w:space="0"/>
            </w:tcBorders>
            <w:noWrap/>
            <w:vAlign w:val="center"/>
          </w:tcPr>
          <w:p w14:paraId="7A0BC120">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val="en-US" w:eastAsia="zh-CN"/>
              </w:rPr>
            </w:pPr>
            <w:r>
              <w:rPr>
                <w:rFonts w:hint="default" w:ascii="仿宋" w:eastAsia="仿宋" w:cs="仿宋"/>
                <w:color w:val="000000"/>
                <w:sz w:val="24"/>
                <w:szCs w:val="24"/>
                <w:lang w:val="en-US" w:eastAsia="zh-CN"/>
              </w:rPr>
              <w:t>64</w:t>
            </w:r>
          </w:p>
        </w:tc>
      </w:tr>
      <w:tr w14:paraId="5B6DF51B">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14:paraId="638A8D2E">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I</w:t>
            </w:r>
          </w:p>
          <w:p w14:paraId="449A4DA1">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教学方法与教学方式</w:t>
            </w:r>
          </w:p>
        </w:tc>
        <w:tc>
          <w:tcPr>
            <w:tcW w:w="7772" w:type="dxa"/>
            <w:gridSpan w:val="13"/>
            <w:tcBorders>
              <w:top w:val="single" w:color="auto" w:sz="4" w:space="0"/>
              <w:left w:val="single" w:color="auto" w:sz="4" w:space="0"/>
              <w:bottom w:val="single" w:color="auto" w:sz="4" w:space="0"/>
              <w:right w:val="single" w:color="auto" w:sz="4" w:space="0"/>
            </w:tcBorders>
            <w:noWrap/>
            <w:vAlign w:val="center"/>
          </w:tcPr>
          <w:p w14:paraId="41398C75">
            <w:pPr>
              <w:pageBreakBefore w:val="0"/>
              <w:tabs>
                <w:tab w:val="left" w:pos="720"/>
              </w:tabs>
              <w:kinsoku/>
              <w:overflowPunct/>
              <w:topLinePunct w:val="0"/>
              <w:bidi w:val="0"/>
              <w:adjustRightInd w:val="0"/>
              <w:snapToGrid w:val="0"/>
              <w:spacing w:line="240" w:lineRule="auto"/>
              <w:rPr>
                <w:rFonts w:hint="eastAsia" w:ascii="仿宋" w:hAnsi="Times New Roman" w:eastAsia="仿宋" w:cs="Times New Roman"/>
                <w:color w:val="000000"/>
                <w:kern w:val="0"/>
                <w:sz w:val="24"/>
                <w:szCs w:val="24"/>
                <w:lang w:val="en-US" w:eastAsia="zh-TW"/>
              </w:rPr>
            </w:pPr>
            <w:r>
              <w:rPr>
                <w:rFonts w:hint="default" w:ascii="仿宋" w:eastAsia="仿宋" w:cs="Times New Roman"/>
                <w:color w:val="000000"/>
                <w:kern w:val="0"/>
                <w:sz w:val="24"/>
                <w:szCs w:val="24"/>
                <w:lang w:val="en-US" w:eastAsia="zh-TW"/>
              </w:rPr>
              <w:t>1.</w:t>
            </w:r>
            <w:r>
              <w:rPr>
                <w:rFonts w:hint="eastAsia" w:ascii="仿宋" w:hAnsi="Times New Roman" w:eastAsia="仿宋" w:cs="Times New Roman"/>
                <w:color w:val="000000"/>
                <w:kern w:val="0"/>
                <w:sz w:val="24"/>
                <w:szCs w:val="24"/>
                <w:lang w:val="en-US" w:eastAsia="zh-TW"/>
              </w:rPr>
              <w:t>本课程部份采用多媒体教学，并应用CD多媒体课件，来改善本课程的枯燥和沉闷，并提高学生在课堂上听课效果。</w:t>
            </w:r>
          </w:p>
          <w:p w14:paraId="27BAE0E6">
            <w:pPr>
              <w:pageBreakBefore w:val="0"/>
              <w:tabs>
                <w:tab w:val="left" w:pos="720"/>
              </w:tabs>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default" w:ascii="仿宋" w:eastAsia="仿宋" w:cs="Times New Roman"/>
                <w:color w:val="000000"/>
                <w:kern w:val="0"/>
                <w:sz w:val="24"/>
                <w:szCs w:val="24"/>
                <w:lang w:val="en-US" w:eastAsia="zh-CN"/>
              </w:rPr>
              <w:t>2.</w:t>
            </w:r>
            <w:r>
              <w:rPr>
                <w:rFonts w:hint="eastAsia" w:ascii="仿宋" w:hAnsi="Times New Roman" w:eastAsia="仿宋" w:cs="Times New Roman"/>
                <w:color w:val="000000"/>
                <w:kern w:val="0"/>
                <w:sz w:val="24"/>
                <w:szCs w:val="24"/>
                <w:lang w:val="en-US" w:eastAsia="zh-CN"/>
              </w:rPr>
              <w:t>开通网络课堂，达到与学生及时沟通、交流的目的。同时重视师生互动与课堂小组讨论等活动，将课堂教学变为师生共同活动的过程。</w:t>
            </w:r>
          </w:p>
          <w:p w14:paraId="4CFF7E38">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CN"/>
              </w:rPr>
              <w:t>3.</w:t>
            </w:r>
            <w:r>
              <w:rPr>
                <w:rFonts w:hint="eastAsia" w:ascii="仿宋" w:eastAsia="仿宋" w:cs="仿宋"/>
                <w:color w:val="000000"/>
                <w:sz w:val="24"/>
                <w:szCs w:val="24"/>
                <w:lang w:val="en-US" w:eastAsia="zh-TW"/>
              </w:rPr>
              <w:t>主要方式：</w:t>
            </w:r>
          </w:p>
          <w:p w14:paraId="70279D68">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sym w:font="Wingdings" w:char="00FE"/>
            </w:r>
            <w:r>
              <w:rPr>
                <w:rFonts w:hint="eastAsia" w:ascii="仿宋" w:eastAsia="仿宋" w:cs="仿宋"/>
                <w:color w:val="000000"/>
                <w:sz w:val="24"/>
                <w:szCs w:val="24"/>
                <w:lang w:val="en-US" w:eastAsia="zh-TW"/>
              </w:rPr>
              <w:t xml:space="preserve">讲授  </w:t>
            </w:r>
            <w:r>
              <w:rPr>
                <w:rFonts w:hint="eastAsia" w:ascii="仿宋" w:eastAsia="仿宋" w:cs="仿宋"/>
                <w:color w:val="000000"/>
                <w:sz w:val="24"/>
                <w:szCs w:val="24"/>
                <w:lang w:val="en-US" w:eastAsia="zh-TW"/>
              </w:rPr>
              <w:sym w:font="Wingdings" w:char="00FE"/>
            </w:r>
            <w:r>
              <w:rPr>
                <w:rFonts w:hint="eastAsia" w:ascii="仿宋" w:eastAsia="仿宋" w:cs="仿宋"/>
                <w:color w:val="000000"/>
                <w:sz w:val="24"/>
                <w:szCs w:val="24"/>
                <w:lang w:val="en-US" w:eastAsia="zh-TW"/>
              </w:rPr>
              <w:t xml:space="preserve">网络学习  </w:t>
            </w:r>
            <w:r>
              <w:rPr>
                <w:rFonts w:hint="eastAsia" w:ascii="仿宋" w:eastAsia="仿宋" w:cs="仿宋"/>
                <w:color w:val="000000"/>
                <w:sz w:val="24"/>
                <w:szCs w:val="24"/>
                <w:lang w:val="en-US" w:eastAsia="zh-TW"/>
              </w:rPr>
              <w:sym w:font="Wingdings" w:char="00FE"/>
            </w:r>
            <w:r>
              <w:rPr>
                <w:rFonts w:hint="eastAsia" w:ascii="仿宋" w:eastAsia="仿宋" w:cs="仿宋"/>
                <w:color w:val="000000"/>
                <w:sz w:val="24"/>
                <w:szCs w:val="24"/>
                <w:lang w:val="en-US" w:eastAsia="zh-TW"/>
              </w:rPr>
              <w:t xml:space="preserve">讨论或座谈  </w:t>
            </w:r>
            <w:r>
              <w:rPr>
                <w:rFonts w:hint="eastAsia" w:ascii="仿宋" w:eastAsia="仿宋" w:cs="仿宋"/>
                <w:color w:val="000000"/>
                <w:sz w:val="24"/>
                <w:szCs w:val="24"/>
                <w:lang w:val="en-US" w:eastAsia="zh-TW"/>
              </w:rPr>
              <w:sym w:font="Wingdings" w:char="00A8"/>
            </w:r>
            <w:r>
              <w:rPr>
                <w:rFonts w:hint="eastAsia" w:ascii="仿宋" w:eastAsia="仿宋" w:cs="仿宋"/>
                <w:color w:val="000000"/>
                <w:sz w:val="24"/>
                <w:szCs w:val="24"/>
                <w:lang w:val="en-US" w:eastAsia="zh-TW"/>
              </w:rPr>
              <w:t xml:space="preserve">问题导向学  </w:t>
            </w:r>
          </w:p>
          <w:p w14:paraId="715E5755">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sym w:font="Wingdings" w:char="00FE"/>
            </w:r>
            <w:r>
              <w:rPr>
                <w:rFonts w:hint="eastAsia" w:ascii="仿宋" w:eastAsia="仿宋" w:cs="仿宋"/>
                <w:color w:val="000000"/>
                <w:sz w:val="24"/>
                <w:szCs w:val="24"/>
                <w:lang w:val="en-US" w:eastAsia="zh-TW"/>
              </w:rPr>
              <w:t xml:space="preserve">分组合作学习  </w:t>
            </w:r>
            <w:r>
              <w:rPr>
                <w:rFonts w:hint="eastAsia" w:ascii="仿宋" w:eastAsia="仿宋" w:cs="仿宋"/>
                <w:color w:val="000000"/>
                <w:sz w:val="24"/>
                <w:szCs w:val="24"/>
                <w:lang w:val="en-US" w:eastAsia="zh-TW"/>
              </w:rPr>
              <w:sym w:font="Wingdings" w:char="00A8"/>
            </w:r>
            <w:r>
              <w:rPr>
                <w:rFonts w:hint="eastAsia" w:ascii="仿宋" w:eastAsia="仿宋" w:cs="仿宋"/>
                <w:color w:val="000000"/>
                <w:sz w:val="24"/>
                <w:szCs w:val="24"/>
                <w:lang w:val="en-US" w:eastAsia="zh-TW"/>
              </w:rPr>
              <w:t xml:space="preserve">专题学习  </w:t>
            </w:r>
            <w:r>
              <w:rPr>
                <w:rFonts w:hint="eastAsia" w:ascii="仿宋" w:eastAsia="仿宋" w:cs="仿宋"/>
                <w:color w:val="000000"/>
                <w:sz w:val="24"/>
                <w:szCs w:val="24"/>
                <w:lang w:val="en-US" w:eastAsia="zh-TW"/>
              </w:rPr>
              <w:sym w:font="Wingdings" w:char="00FE"/>
            </w:r>
            <w:r>
              <w:rPr>
                <w:rFonts w:hint="eastAsia" w:ascii="仿宋" w:eastAsia="仿宋" w:cs="仿宋"/>
                <w:color w:val="000000"/>
                <w:sz w:val="24"/>
                <w:szCs w:val="24"/>
                <w:lang w:val="en-US" w:eastAsia="zh-TW"/>
              </w:rPr>
              <w:t xml:space="preserve">实作学习  </w:t>
            </w:r>
            <w:r>
              <w:rPr>
                <w:rFonts w:hint="eastAsia" w:ascii="仿宋" w:eastAsia="仿宋" w:cs="仿宋"/>
                <w:color w:val="000000"/>
                <w:sz w:val="24"/>
                <w:szCs w:val="24"/>
                <w:lang w:val="en-US" w:eastAsia="zh-TW"/>
              </w:rPr>
              <w:sym w:font="Wingdings" w:char="00A8"/>
            </w:r>
            <w:r>
              <w:rPr>
                <w:rFonts w:hint="eastAsia" w:ascii="仿宋" w:eastAsia="仿宋" w:cs="仿宋"/>
                <w:color w:val="000000"/>
                <w:sz w:val="24"/>
                <w:szCs w:val="24"/>
                <w:lang w:val="en-US" w:eastAsia="zh-TW"/>
              </w:rPr>
              <w:t xml:space="preserve">发表学习  </w:t>
            </w:r>
          </w:p>
          <w:p w14:paraId="2F4EE4A6">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sym w:font="Wingdings" w:char="00A8"/>
            </w:r>
            <w:r>
              <w:rPr>
                <w:rFonts w:hint="eastAsia" w:ascii="仿宋" w:eastAsia="仿宋" w:cs="仿宋"/>
                <w:color w:val="000000"/>
                <w:sz w:val="24"/>
                <w:szCs w:val="24"/>
                <w:lang w:val="en-US" w:eastAsia="zh-TW"/>
              </w:rPr>
              <w:t xml:space="preserve">实习  </w:t>
            </w:r>
            <w:r>
              <w:rPr>
                <w:rFonts w:hint="eastAsia" w:ascii="仿宋" w:eastAsia="仿宋" w:cs="仿宋"/>
                <w:color w:val="000000"/>
                <w:sz w:val="24"/>
                <w:szCs w:val="24"/>
                <w:lang w:val="en-US" w:eastAsia="zh-TW"/>
              </w:rPr>
              <w:sym w:font="Wingdings" w:char="00A8"/>
            </w:r>
            <w:r>
              <w:rPr>
                <w:rFonts w:hint="eastAsia" w:ascii="仿宋" w:eastAsia="仿宋" w:cs="仿宋"/>
                <w:color w:val="000000"/>
                <w:sz w:val="24"/>
                <w:szCs w:val="24"/>
                <w:lang w:val="en-US" w:eastAsia="zh-TW"/>
              </w:rPr>
              <w:t xml:space="preserve">参观访问  </w:t>
            </w:r>
            <w:r>
              <w:rPr>
                <w:rFonts w:hint="eastAsia" w:ascii="仿宋" w:eastAsia="仿宋" w:cs="仿宋"/>
                <w:color w:val="000000"/>
                <w:sz w:val="24"/>
                <w:szCs w:val="24"/>
                <w:lang w:val="en-US" w:eastAsia="zh-TW"/>
              </w:rPr>
              <w:sym w:font="Wingdings" w:char="00A8"/>
            </w:r>
            <w:r>
              <w:rPr>
                <w:rFonts w:hint="eastAsia" w:ascii="仿宋" w:eastAsia="仿宋" w:cs="仿宋"/>
                <w:color w:val="000000"/>
                <w:sz w:val="24"/>
                <w:szCs w:val="24"/>
                <w:lang w:val="en-US" w:eastAsia="zh-TW"/>
              </w:rPr>
              <w:t>其它</w:t>
            </w:r>
            <w:r>
              <w:rPr>
                <w:rFonts w:hint="eastAsia" w:ascii="仿宋" w:eastAsia="仿宋" w:cs="仿宋"/>
                <w:color w:val="000000"/>
                <w:sz w:val="24"/>
                <w:szCs w:val="24"/>
                <w:lang w:val="en-US" w:eastAsia="zh-CN"/>
              </w:rPr>
              <w:t xml:space="preserve">：        </w:t>
            </w:r>
            <w:r>
              <w:rPr>
                <w:rFonts w:hint="eastAsia" w:ascii="仿宋" w:eastAsia="仿宋" w:cs="仿宋"/>
                <w:color w:val="000000"/>
                <w:sz w:val="24"/>
                <w:szCs w:val="24"/>
                <w:lang w:val="en-US" w:eastAsia="zh-TW"/>
              </w:rPr>
              <w:t>(</w:t>
            </w:r>
            <w:r>
              <w:rPr>
                <w:rFonts w:hint="eastAsia" w:ascii="仿宋" w:eastAsia="仿宋" w:cs="仿宋"/>
                <w:color w:val="000000"/>
                <w:sz w:val="24"/>
                <w:szCs w:val="24"/>
                <w:lang w:val="en-US" w:eastAsia="zh-CN"/>
              </w:rPr>
              <w:t>如</w:t>
            </w:r>
            <w:r>
              <w:rPr>
                <w:rFonts w:hint="eastAsia" w:ascii="仿宋" w:eastAsia="仿宋" w:cs="仿宋"/>
                <w:color w:val="000000"/>
                <w:sz w:val="24"/>
                <w:szCs w:val="24"/>
                <w:lang w:val="en-US" w:eastAsia="zh-TW"/>
              </w:rPr>
              <w:t>口头训练</w:t>
            </w:r>
            <w:r>
              <w:rPr>
                <w:rFonts w:hint="eastAsia" w:ascii="仿宋" w:eastAsia="仿宋" w:cs="仿宋"/>
                <w:color w:val="000000"/>
                <w:sz w:val="24"/>
                <w:szCs w:val="24"/>
                <w:lang w:val="en-US" w:eastAsia="zh-CN"/>
              </w:rPr>
              <w:t>等</w:t>
            </w:r>
            <w:r>
              <w:rPr>
                <w:rFonts w:hint="eastAsia" w:ascii="仿宋" w:eastAsia="仿宋" w:cs="仿宋"/>
                <w:color w:val="000000"/>
                <w:sz w:val="24"/>
                <w:szCs w:val="24"/>
                <w:lang w:val="en-US" w:eastAsia="zh-TW"/>
              </w:rPr>
              <w:t>)</w:t>
            </w:r>
          </w:p>
        </w:tc>
      </w:tr>
      <w:tr w14:paraId="4C731642">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14:paraId="19FF84FA">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J</w:t>
            </w:r>
          </w:p>
          <w:p w14:paraId="06AE7828">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教学条件</w:t>
            </w:r>
          </w:p>
          <w:p w14:paraId="3B48C012">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需求</w:t>
            </w:r>
          </w:p>
        </w:tc>
        <w:tc>
          <w:tcPr>
            <w:tcW w:w="7772" w:type="dxa"/>
            <w:gridSpan w:val="13"/>
            <w:tcBorders>
              <w:top w:val="single" w:color="auto" w:sz="4" w:space="0"/>
              <w:left w:val="single" w:color="auto" w:sz="4" w:space="0"/>
              <w:bottom w:val="single" w:color="auto" w:sz="4" w:space="0"/>
              <w:right w:val="single" w:color="auto" w:sz="4" w:space="0"/>
            </w:tcBorders>
            <w:noWrap/>
            <w:vAlign w:val="center"/>
          </w:tcPr>
          <w:p w14:paraId="2CB8B2A7">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（如时间、地点安排与“一课双师”等教师配备需求等）</w:t>
            </w:r>
          </w:p>
          <w:p w14:paraId="0FCAFEBE">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CN"/>
              </w:rPr>
              <w:t>1.需要有好的教学设备，利于课堂的学习与课后的练习，以此达到更好的效果。</w:t>
            </w:r>
          </w:p>
          <w:p w14:paraId="59EA31DB">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CN"/>
              </w:rPr>
              <w:t>2.提供好的艺术实践，积极参与比赛活动，增强中国民族音乐文化知识应用。</w:t>
            </w:r>
          </w:p>
        </w:tc>
      </w:tr>
      <w:tr w14:paraId="78B109FB">
        <w:trPr>
          <w:trHeight w:val="624" w:hRule="atLeast"/>
        </w:trPr>
        <w:tc>
          <w:tcPr>
            <w:tcW w:w="1376" w:type="dxa"/>
            <w:vMerge w:val="restart"/>
            <w:tcBorders>
              <w:top w:val="single" w:color="auto" w:sz="4" w:space="0"/>
              <w:left w:val="single" w:color="auto" w:sz="4" w:space="0"/>
              <w:bottom w:val="single" w:color="auto" w:sz="4" w:space="0"/>
              <w:right w:val="single" w:color="auto" w:sz="4" w:space="0"/>
            </w:tcBorders>
            <w:noWrap/>
            <w:vAlign w:val="center"/>
          </w:tcPr>
          <w:p w14:paraId="255F684B">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K</w:t>
            </w:r>
          </w:p>
          <w:p w14:paraId="53F4D57F">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课程目标及其考核内容、考核方式及评分占比</w:t>
            </w:r>
          </w:p>
        </w:tc>
        <w:tc>
          <w:tcPr>
            <w:tcW w:w="1212" w:type="dxa"/>
            <w:vMerge w:val="restart"/>
            <w:tcBorders>
              <w:top w:val="single" w:color="auto" w:sz="4" w:space="0"/>
              <w:left w:val="single" w:color="auto" w:sz="4" w:space="0"/>
              <w:bottom w:val="single" w:color="auto" w:sz="4" w:space="0"/>
              <w:right w:val="single" w:color="auto" w:sz="4" w:space="0"/>
            </w:tcBorders>
            <w:noWrap/>
            <w:vAlign w:val="center"/>
          </w:tcPr>
          <w:p w14:paraId="324E6A32">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课程目标及评分占比</w:t>
            </w:r>
          </w:p>
        </w:tc>
        <w:tc>
          <w:tcPr>
            <w:tcW w:w="3088" w:type="dxa"/>
            <w:gridSpan w:val="4"/>
            <w:vMerge w:val="restart"/>
            <w:tcBorders>
              <w:top w:val="single" w:color="auto" w:sz="4" w:space="0"/>
              <w:left w:val="single" w:color="auto" w:sz="4" w:space="0"/>
              <w:bottom w:val="single" w:color="auto" w:sz="4" w:space="0"/>
              <w:right w:val="single" w:color="000000" w:sz="4" w:space="0"/>
            </w:tcBorders>
            <w:noWrap/>
            <w:vAlign w:val="center"/>
          </w:tcPr>
          <w:p w14:paraId="720C7D1C">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考核内容</w:t>
            </w:r>
          </w:p>
        </w:tc>
        <w:tc>
          <w:tcPr>
            <w:tcW w:w="2933" w:type="dxa"/>
            <w:gridSpan w:val="7"/>
            <w:tcBorders>
              <w:top w:val="single" w:color="auto" w:sz="4" w:space="0"/>
              <w:left w:val="single" w:color="000000" w:sz="4" w:space="0"/>
              <w:bottom w:val="single" w:color="auto" w:sz="4" w:space="0"/>
              <w:right w:val="single" w:color="000000" w:sz="4" w:space="0"/>
            </w:tcBorders>
            <w:noWrap/>
            <w:vAlign w:val="center"/>
          </w:tcPr>
          <w:p w14:paraId="675752B1">
            <w:pPr>
              <w:pageBreakBefore w:val="0"/>
              <w:tabs>
                <w:tab w:val="left" w:pos="720"/>
              </w:tabs>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hAnsi="Times New Roman" w:eastAsia="仿宋" w:cs="Times New Roman"/>
                <w:color w:val="000000"/>
                <w:kern w:val="0"/>
                <w:sz w:val="24"/>
                <w:szCs w:val="24"/>
                <w:lang w:val="en-US" w:eastAsia="zh-CN"/>
              </w:rPr>
              <w:t>考核方式</w:t>
            </w:r>
          </w:p>
        </w:tc>
        <w:tc>
          <w:tcPr>
            <w:tcW w:w="539" w:type="dxa"/>
            <w:vMerge w:val="restart"/>
            <w:tcBorders>
              <w:top w:val="single" w:color="auto" w:sz="4" w:space="0"/>
              <w:left w:val="single" w:color="000000" w:sz="4" w:space="0"/>
              <w:bottom w:val="single" w:color="auto" w:sz="4" w:space="0"/>
              <w:right w:val="single" w:color="auto" w:sz="4" w:space="0"/>
            </w:tcBorders>
            <w:noWrap/>
            <w:vAlign w:val="center"/>
          </w:tcPr>
          <w:p w14:paraId="4CD3B69B">
            <w:pPr>
              <w:pageBreakBefore w:val="0"/>
              <w:tabs>
                <w:tab w:val="left" w:pos="720"/>
              </w:tabs>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hAnsi="Times New Roman" w:eastAsia="仿宋" w:cs="Times New Roman"/>
                <w:color w:val="000000"/>
                <w:kern w:val="0"/>
                <w:sz w:val="24"/>
                <w:szCs w:val="24"/>
                <w:lang w:val="en-US" w:eastAsia="zh-CN"/>
              </w:rPr>
              <w:t>课程分目标的达成度</w:t>
            </w:r>
          </w:p>
        </w:tc>
      </w:tr>
      <w:tr w14:paraId="40114662">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noWrap/>
            <w:vAlign w:val="center"/>
          </w:tcPr>
          <w:p w14:paraId="06387091"/>
        </w:tc>
        <w:tc>
          <w:tcPr>
            <w:tcW w:w="1212" w:type="dxa"/>
            <w:vMerge w:val="continue"/>
            <w:tcBorders>
              <w:top w:val="single" w:color="auto" w:sz="4" w:space="0"/>
              <w:left w:val="single" w:color="auto" w:sz="4" w:space="0"/>
              <w:bottom w:val="single" w:color="auto" w:sz="4" w:space="0"/>
              <w:right w:val="single" w:color="auto" w:sz="4" w:space="0"/>
              <w:tl2br w:val="single" w:color="auto" w:sz="4" w:space="0"/>
            </w:tcBorders>
            <w:noWrap/>
            <w:vAlign w:val="center"/>
          </w:tcPr>
          <w:p w14:paraId="212D412A"/>
        </w:tc>
        <w:tc>
          <w:tcPr>
            <w:tcW w:w="3088" w:type="dxa"/>
            <w:gridSpan w:val="4"/>
            <w:vMerge w:val="continue"/>
            <w:tcBorders>
              <w:top w:val="single" w:color="auto" w:sz="4" w:space="0"/>
              <w:left w:val="single" w:color="auto" w:sz="4" w:space="0"/>
              <w:bottom w:val="single" w:color="auto" w:sz="4" w:space="0"/>
              <w:right w:val="single" w:color="000000" w:sz="4" w:space="0"/>
            </w:tcBorders>
            <w:noWrap/>
            <w:vAlign w:val="center"/>
          </w:tcPr>
          <w:p w14:paraId="5C069A08"/>
        </w:tc>
        <w:tc>
          <w:tcPr>
            <w:tcW w:w="1037" w:type="dxa"/>
            <w:gridSpan w:val="2"/>
            <w:tcBorders>
              <w:top w:val="single" w:color="auto" w:sz="4" w:space="0"/>
              <w:left w:val="single" w:color="000000" w:sz="4" w:space="0"/>
              <w:bottom w:val="single" w:color="auto" w:sz="4" w:space="0"/>
              <w:right w:val="single" w:color="000000" w:sz="4" w:space="0"/>
            </w:tcBorders>
            <w:noWrap/>
            <w:vAlign w:val="center"/>
          </w:tcPr>
          <w:p w14:paraId="7C1120AB">
            <w:pPr>
              <w:pageBreakBefore w:val="0"/>
              <w:tabs>
                <w:tab w:val="left" w:pos="720"/>
              </w:tabs>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hAnsi="Times New Roman" w:eastAsia="仿宋" w:cs="Times New Roman"/>
                <w:color w:val="000000"/>
                <w:kern w:val="0"/>
                <w:sz w:val="24"/>
                <w:szCs w:val="24"/>
                <w:lang w:val="en-US" w:eastAsia="zh-CN"/>
              </w:rPr>
              <w:t>平时占比（30%）</w:t>
            </w:r>
          </w:p>
        </w:tc>
        <w:tc>
          <w:tcPr>
            <w:tcW w:w="937" w:type="dxa"/>
            <w:gridSpan w:val="3"/>
            <w:tcBorders>
              <w:top w:val="single" w:color="auto" w:sz="4" w:space="0"/>
              <w:left w:val="single" w:color="000000" w:sz="4" w:space="0"/>
              <w:bottom w:val="single" w:color="auto" w:sz="4" w:space="0"/>
              <w:right w:val="single" w:color="000000" w:sz="4" w:space="0"/>
            </w:tcBorders>
            <w:noWrap/>
            <w:vAlign w:val="center"/>
          </w:tcPr>
          <w:p w14:paraId="697AB57D">
            <w:pPr>
              <w:pageBreakBefore w:val="0"/>
              <w:tabs>
                <w:tab w:val="left" w:pos="720"/>
              </w:tabs>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hAnsi="Times New Roman" w:eastAsia="仿宋" w:cs="Times New Roman"/>
                <w:color w:val="000000"/>
                <w:kern w:val="0"/>
                <w:sz w:val="24"/>
                <w:szCs w:val="24"/>
                <w:lang w:val="en-US" w:eastAsia="zh-CN"/>
              </w:rPr>
              <w:t>期中考试占比（30%）</w:t>
            </w:r>
          </w:p>
        </w:tc>
        <w:tc>
          <w:tcPr>
            <w:tcW w:w="959" w:type="dxa"/>
            <w:gridSpan w:val="2"/>
            <w:tcBorders>
              <w:top w:val="single" w:color="auto" w:sz="4" w:space="0"/>
              <w:left w:val="single" w:color="000000" w:sz="4" w:space="0"/>
              <w:bottom w:val="single" w:color="auto" w:sz="4" w:space="0"/>
              <w:right w:val="single" w:color="000000" w:sz="4" w:space="0"/>
            </w:tcBorders>
            <w:noWrap/>
            <w:vAlign w:val="center"/>
          </w:tcPr>
          <w:p w14:paraId="4A01F8EC">
            <w:pPr>
              <w:pageBreakBefore w:val="0"/>
              <w:tabs>
                <w:tab w:val="left" w:pos="720"/>
              </w:tabs>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hAnsi="Times New Roman" w:eastAsia="仿宋" w:cs="Times New Roman"/>
                <w:color w:val="000000"/>
                <w:kern w:val="0"/>
                <w:sz w:val="24"/>
                <w:szCs w:val="24"/>
                <w:lang w:val="en-US" w:eastAsia="zh-CN"/>
              </w:rPr>
              <w:t>期末考试评分占比（40%）</w:t>
            </w:r>
          </w:p>
        </w:tc>
        <w:tc>
          <w:tcPr>
            <w:tcW w:w="539" w:type="dxa"/>
            <w:vMerge w:val="continue"/>
            <w:tcBorders>
              <w:top w:val="single" w:color="auto" w:sz="4" w:space="0"/>
              <w:left w:val="single" w:color="000000" w:sz="4" w:space="0"/>
              <w:bottom w:val="single" w:color="auto" w:sz="4" w:space="0"/>
              <w:right w:val="single" w:color="auto" w:sz="4" w:space="0"/>
            </w:tcBorders>
            <w:noWrap/>
            <w:vAlign w:val="center"/>
          </w:tcPr>
          <w:p w14:paraId="15461640">
            <w:pPr>
              <w:pageBreakBefore w:val="0"/>
              <w:tabs>
                <w:tab w:val="left" w:pos="720"/>
              </w:tabs>
              <w:kinsoku/>
              <w:overflowPunct/>
              <w:topLinePunct w:val="0"/>
              <w:bidi w:val="0"/>
              <w:adjustRightInd w:val="0"/>
              <w:snapToGrid w:val="0"/>
              <w:spacing w:line="240" w:lineRule="auto"/>
              <w:jc w:val="center"/>
            </w:pPr>
          </w:p>
        </w:tc>
      </w:tr>
      <w:tr w14:paraId="6AD6A029">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noWrap/>
            <w:vAlign w:val="center"/>
          </w:tcPr>
          <w:p w14:paraId="31F0807F"/>
        </w:tc>
        <w:tc>
          <w:tcPr>
            <w:tcW w:w="1212" w:type="dxa"/>
            <w:tcBorders>
              <w:top w:val="single" w:color="auto" w:sz="4" w:space="0"/>
              <w:left w:val="single" w:color="auto" w:sz="4" w:space="0"/>
              <w:bottom w:val="single" w:color="auto" w:sz="4" w:space="0"/>
              <w:right w:val="single" w:color="auto" w:sz="4" w:space="0"/>
            </w:tcBorders>
            <w:noWrap/>
            <w:vAlign w:val="center"/>
          </w:tcPr>
          <w:p w14:paraId="335DEDFE">
            <w:pPr>
              <w:pageBreakBefore w:val="0"/>
              <w:tabs>
                <w:tab w:val="left" w:pos="720"/>
              </w:tabs>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hAnsi="Times New Roman" w:eastAsia="仿宋" w:cs="Times New Roman"/>
                <w:color w:val="000000"/>
                <w:kern w:val="0"/>
                <w:sz w:val="24"/>
                <w:szCs w:val="24"/>
                <w:lang w:val="en-US" w:eastAsia="zh-CN"/>
              </w:rPr>
              <w:t>课程目标1（40%）</w:t>
            </w:r>
          </w:p>
        </w:tc>
        <w:tc>
          <w:tcPr>
            <w:tcW w:w="3088" w:type="dxa"/>
            <w:gridSpan w:val="4"/>
            <w:tcBorders>
              <w:top w:val="single" w:color="auto" w:sz="4" w:space="0"/>
              <w:left w:val="single" w:color="auto" w:sz="4" w:space="0"/>
              <w:bottom w:val="single" w:color="auto" w:sz="4" w:space="0"/>
              <w:right w:val="single" w:color="000000" w:sz="4" w:space="0"/>
            </w:tcBorders>
            <w:noWrap/>
            <w:vAlign w:val="center"/>
          </w:tcPr>
          <w:p w14:paraId="63A0568B">
            <w:pPr>
              <w:pageBreakBefore w:val="0"/>
              <w:tabs>
                <w:tab w:val="left" w:pos="720"/>
              </w:tabs>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hAnsi="Times New Roman" w:eastAsia="仿宋" w:cs="Times New Roman"/>
                <w:color w:val="000000"/>
                <w:kern w:val="0"/>
                <w:sz w:val="24"/>
                <w:szCs w:val="24"/>
                <w:lang w:val="en-US" w:eastAsia="zh-CN"/>
              </w:rPr>
              <w:t>具备一定音乐分析能力，在音乐作品中准确辨认音高、节奏、音程、和弦相关概念及音响色彩。熟练记忆构写节奏、曲调、音程</w:t>
            </w:r>
            <w:r>
              <w:rPr>
                <w:rFonts w:hint="eastAsia" w:ascii="仿宋" w:hAnsi="Times New Roman" w:eastAsia="仿宋" w:cs="Times New Roman"/>
                <w:color w:val="000000"/>
                <w:kern w:val="0"/>
                <w:sz w:val="24"/>
                <w:szCs w:val="24"/>
                <w:lang w:val="en-US" w:eastAsia="zh-TW"/>
              </w:rPr>
              <w:t>、</w:t>
            </w:r>
            <w:r>
              <w:rPr>
                <w:rFonts w:hint="eastAsia" w:ascii="仿宋" w:hAnsi="Times New Roman" w:eastAsia="仿宋" w:cs="Times New Roman"/>
                <w:color w:val="000000"/>
                <w:kern w:val="0"/>
                <w:sz w:val="24"/>
                <w:szCs w:val="24"/>
                <w:lang w:val="en-US" w:eastAsia="zh-CN"/>
              </w:rPr>
              <w:t>和弦及调式。</w:t>
            </w:r>
          </w:p>
        </w:tc>
        <w:tc>
          <w:tcPr>
            <w:tcW w:w="1037" w:type="dxa"/>
            <w:gridSpan w:val="2"/>
            <w:tcBorders>
              <w:top w:val="single" w:color="auto" w:sz="4" w:space="0"/>
              <w:left w:val="single" w:color="000000" w:sz="4" w:space="0"/>
              <w:bottom w:val="single" w:color="auto" w:sz="4" w:space="0"/>
              <w:right w:val="single" w:color="auto" w:sz="4" w:space="0"/>
            </w:tcBorders>
            <w:noWrap/>
            <w:vAlign w:val="center"/>
          </w:tcPr>
          <w:p w14:paraId="4C2755B1">
            <w:pPr>
              <w:pageBreakBefore w:val="0"/>
              <w:tabs>
                <w:tab w:val="left" w:pos="720"/>
              </w:tabs>
              <w:kinsoku/>
              <w:overflowPunct/>
              <w:topLinePunct w:val="0"/>
              <w:bidi w:val="0"/>
              <w:adjustRightInd w:val="0"/>
              <w:snapToGrid w:val="0"/>
              <w:spacing w:line="240" w:lineRule="auto"/>
              <w:jc w:val="center"/>
              <w:rPr>
                <w:rFonts w:hint="eastAsia" w:ascii="仿宋" w:eastAsia="仿宋" w:cs="仿宋"/>
                <w:color w:val="000000"/>
                <w:sz w:val="24"/>
                <w:szCs w:val="24"/>
                <w:lang w:val="en-US" w:eastAsia="zh-CN"/>
              </w:rPr>
            </w:pPr>
            <w:r>
              <w:rPr>
                <w:rFonts w:hint="eastAsia" w:ascii="仿宋" w:hAnsi="Times New Roman" w:eastAsia="仿宋" w:cs="Times New Roman"/>
                <w:color w:val="000000"/>
                <w:kern w:val="0"/>
                <w:sz w:val="24"/>
                <w:szCs w:val="24"/>
                <w:lang w:val="en-US" w:eastAsia="zh-CN"/>
              </w:rPr>
              <w:t>12</w:t>
            </w:r>
          </w:p>
        </w:tc>
        <w:tc>
          <w:tcPr>
            <w:tcW w:w="937" w:type="dxa"/>
            <w:gridSpan w:val="3"/>
            <w:tcBorders>
              <w:top w:val="single" w:color="auto" w:sz="4" w:space="0"/>
              <w:left w:val="single" w:color="000000" w:sz="4" w:space="0"/>
              <w:bottom w:val="single" w:color="auto" w:sz="4" w:space="0"/>
              <w:right w:val="single" w:color="auto" w:sz="4" w:space="0"/>
            </w:tcBorders>
            <w:noWrap/>
            <w:vAlign w:val="center"/>
          </w:tcPr>
          <w:p w14:paraId="1D92F20F">
            <w:pPr>
              <w:pageBreakBefore w:val="0"/>
              <w:tabs>
                <w:tab w:val="left" w:pos="720"/>
              </w:tabs>
              <w:kinsoku/>
              <w:overflowPunct/>
              <w:topLinePunct w:val="0"/>
              <w:bidi w:val="0"/>
              <w:adjustRightInd w:val="0"/>
              <w:snapToGrid w:val="0"/>
              <w:spacing w:line="240" w:lineRule="auto"/>
              <w:jc w:val="center"/>
              <w:rPr>
                <w:rFonts w:hint="eastAsia" w:ascii="仿宋" w:eastAsia="仿宋" w:cs="仿宋"/>
                <w:color w:val="000000"/>
                <w:sz w:val="24"/>
                <w:szCs w:val="24"/>
                <w:lang w:val="en-US" w:eastAsia="zh-CN"/>
              </w:rPr>
            </w:pPr>
            <w:r>
              <w:rPr>
                <w:rFonts w:hint="eastAsia" w:ascii="仿宋" w:hAnsi="Times New Roman" w:eastAsia="仿宋" w:cs="Times New Roman"/>
                <w:color w:val="000000"/>
                <w:kern w:val="0"/>
                <w:sz w:val="24"/>
                <w:szCs w:val="24"/>
                <w:lang w:val="en-US" w:eastAsia="zh-CN"/>
              </w:rPr>
              <w:t>12</w:t>
            </w:r>
          </w:p>
        </w:tc>
        <w:tc>
          <w:tcPr>
            <w:tcW w:w="959" w:type="dxa"/>
            <w:gridSpan w:val="2"/>
            <w:tcBorders>
              <w:top w:val="single" w:color="auto" w:sz="4" w:space="0"/>
              <w:left w:val="single" w:color="000000" w:sz="4" w:space="0"/>
              <w:bottom w:val="single" w:color="auto" w:sz="4" w:space="0"/>
              <w:right w:val="single" w:color="auto" w:sz="4" w:space="0"/>
            </w:tcBorders>
            <w:noWrap/>
            <w:vAlign w:val="center"/>
          </w:tcPr>
          <w:p w14:paraId="70E9DA34">
            <w:pPr>
              <w:pageBreakBefore w:val="0"/>
              <w:tabs>
                <w:tab w:val="left" w:pos="720"/>
              </w:tabs>
              <w:kinsoku/>
              <w:overflowPunct/>
              <w:topLinePunct w:val="0"/>
              <w:bidi w:val="0"/>
              <w:adjustRightInd w:val="0"/>
              <w:snapToGrid w:val="0"/>
              <w:spacing w:line="240" w:lineRule="auto"/>
              <w:jc w:val="center"/>
              <w:rPr>
                <w:rFonts w:ascii="仿宋" w:eastAsia="仿宋" w:cs="仿宋"/>
                <w:color w:val="000000"/>
                <w:sz w:val="24"/>
                <w:szCs w:val="24"/>
                <w:lang w:val="en-US" w:eastAsia="zh-CN"/>
              </w:rPr>
            </w:pPr>
            <w:r>
              <w:rPr>
                <w:rFonts w:hint="eastAsia" w:ascii="仿宋" w:hAnsi="Times New Roman" w:eastAsia="仿宋" w:cs="Times New Roman"/>
                <w:color w:val="000000"/>
                <w:kern w:val="0"/>
                <w:sz w:val="24"/>
                <w:szCs w:val="24"/>
                <w:lang w:val="en-US" w:eastAsia="zh-CN"/>
              </w:rPr>
              <w:t>16</w:t>
            </w:r>
          </w:p>
        </w:tc>
        <w:tc>
          <w:tcPr>
            <w:tcW w:w="539" w:type="dxa"/>
            <w:tcBorders>
              <w:top w:val="single" w:color="auto" w:sz="4" w:space="0"/>
              <w:left w:val="single" w:color="auto" w:sz="4" w:space="0"/>
              <w:bottom w:val="single" w:color="auto" w:sz="4" w:space="0"/>
              <w:right w:val="single" w:color="auto" w:sz="4" w:space="0"/>
            </w:tcBorders>
            <w:noWrap/>
            <w:vAlign w:val="center"/>
          </w:tcPr>
          <w:p w14:paraId="7AFD89C3">
            <w:pPr>
              <w:pageBreakBefore w:val="0"/>
              <w:tabs>
                <w:tab w:val="left" w:pos="720"/>
              </w:tabs>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r>
              <w:rPr>
                <w:rFonts w:hint="eastAsia" w:ascii="仿宋" w:hAnsi="Times New Roman" w:eastAsia="仿宋" w:cs="Times New Roman"/>
                <w:color w:val="000000"/>
                <w:kern w:val="0"/>
                <w:sz w:val="24"/>
                <w:szCs w:val="24"/>
                <w:lang w:val="en-US" w:eastAsia="zh-CN"/>
              </w:rPr>
              <w:t>0.65</w:t>
            </w:r>
          </w:p>
        </w:tc>
      </w:tr>
      <w:tr w14:paraId="752FF19A">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14:paraId="38812BDA">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tc>
        <w:tc>
          <w:tcPr>
            <w:tcW w:w="1212" w:type="dxa"/>
            <w:tcBorders>
              <w:top w:val="single" w:color="auto" w:sz="4" w:space="0"/>
              <w:left w:val="single" w:color="auto" w:sz="4" w:space="0"/>
              <w:bottom w:val="single" w:color="auto" w:sz="4" w:space="0"/>
              <w:right w:val="single" w:color="auto" w:sz="4" w:space="0"/>
            </w:tcBorders>
            <w:noWrap/>
            <w:vAlign w:val="center"/>
          </w:tcPr>
          <w:p w14:paraId="344754D2">
            <w:pPr>
              <w:pageBreakBefore w:val="0"/>
              <w:tabs>
                <w:tab w:val="left" w:pos="720"/>
              </w:tabs>
              <w:kinsoku/>
              <w:overflowPunct/>
              <w:topLinePunct w:val="0"/>
              <w:bidi w:val="0"/>
              <w:adjustRightInd w:val="0"/>
              <w:snapToGrid w:val="0"/>
              <w:spacing w:line="240" w:lineRule="auto"/>
              <w:jc w:val="center"/>
              <w:rPr>
                <w:rFonts w:hint="eastAsia" w:ascii="仿宋" w:hAnsi="Times New Roman" w:eastAsia="仿宋" w:cs="Times New Roman"/>
                <w:color w:val="000000"/>
                <w:kern w:val="0"/>
                <w:sz w:val="24"/>
                <w:szCs w:val="24"/>
                <w:lang w:val="en-US" w:eastAsia="zh-CN"/>
              </w:rPr>
            </w:pPr>
            <w:r>
              <w:rPr>
                <w:rFonts w:hint="eastAsia" w:ascii="仿宋" w:hAnsi="Times New Roman" w:eastAsia="仿宋" w:cs="Times New Roman"/>
                <w:color w:val="000000"/>
                <w:kern w:val="0"/>
                <w:sz w:val="24"/>
                <w:szCs w:val="24"/>
                <w:lang w:val="en-US" w:eastAsia="zh-CN"/>
              </w:rPr>
              <w:t>课程目标2（40%）</w:t>
            </w:r>
          </w:p>
          <w:p w14:paraId="1C70677C">
            <w:pPr>
              <w:pageBreakBefore w:val="0"/>
              <w:tabs>
                <w:tab w:val="left" w:pos="720"/>
              </w:tabs>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p>
        </w:tc>
        <w:tc>
          <w:tcPr>
            <w:tcW w:w="3088" w:type="dxa"/>
            <w:gridSpan w:val="4"/>
            <w:tcBorders>
              <w:top w:val="single" w:color="auto" w:sz="4" w:space="0"/>
              <w:left w:val="single" w:color="auto" w:sz="4" w:space="0"/>
              <w:bottom w:val="single" w:color="auto" w:sz="4" w:space="0"/>
              <w:right w:val="single" w:color="auto" w:sz="4" w:space="0"/>
            </w:tcBorders>
            <w:noWrap/>
            <w:vAlign w:val="center"/>
          </w:tcPr>
          <w:p w14:paraId="3285C65A">
            <w:pPr>
              <w:pageBreakBefore w:val="0"/>
              <w:tabs>
                <w:tab w:val="left" w:pos="720"/>
              </w:tabs>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hAnsi="Times New Roman" w:eastAsia="仿宋" w:cs="Times New Roman"/>
                <w:color w:val="000000"/>
                <w:kern w:val="0"/>
                <w:sz w:val="24"/>
                <w:szCs w:val="24"/>
                <w:lang w:val="en-US" w:eastAsia="zh-CN"/>
              </w:rPr>
              <w:t>理解基本视唱练耳知识，形成综合的音乐技能实践体系，并具备初步的综合分析、运用与教学能力。</w:t>
            </w:r>
          </w:p>
        </w:tc>
        <w:tc>
          <w:tcPr>
            <w:tcW w:w="1037" w:type="dxa"/>
            <w:gridSpan w:val="2"/>
            <w:tcBorders>
              <w:top w:val="single" w:color="auto" w:sz="4" w:space="0"/>
              <w:left w:val="single" w:color="auto" w:sz="4" w:space="0"/>
              <w:bottom w:val="single" w:color="auto" w:sz="4" w:space="0"/>
              <w:right w:val="single" w:color="auto" w:sz="4" w:space="0"/>
            </w:tcBorders>
            <w:noWrap/>
            <w:vAlign w:val="center"/>
          </w:tcPr>
          <w:p w14:paraId="5FEEBBE2">
            <w:pPr>
              <w:pageBreakBefore w:val="0"/>
              <w:tabs>
                <w:tab w:val="left" w:pos="720"/>
              </w:tabs>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hAnsi="Times New Roman" w:eastAsia="仿宋" w:cs="Times New Roman"/>
                <w:color w:val="000000"/>
                <w:kern w:val="0"/>
                <w:sz w:val="24"/>
                <w:szCs w:val="24"/>
                <w:lang w:val="en-US" w:eastAsia="zh-CN"/>
              </w:rPr>
              <w:t>12</w:t>
            </w:r>
          </w:p>
        </w:tc>
        <w:tc>
          <w:tcPr>
            <w:tcW w:w="937" w:type="dxa"/>
            <w:gridSpan w:val="3"/>
            <w:tcBorders>
              <w:top w:val="single" w:color="auto" w:sz="4" w:space="0"/>
              <w:left w:val="single" w:color="auto" w:sz="4" w:space="0"/>
              <w:bottom w:val="single" w:color="auto" w:sz="4" w:space="0"/>
              <w:right w:val="single" w:color="auto" w:sz="4" w:space="0"/>
            </w:tcBorders>
            <w:noWrap/>
            <w:vAlign w:val="center"/>
          </w:tcPr>
          <w:p w14:paraId="16C75561">
            <w:pPr>
              <w:pageBreakBefore w:val="0"/>
              <w:tabs>
                <w:tab w:val="left" w:pos="720"/>
              </w:tabs>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hAnsi="Times New Roman" w:eastAsia="仿宋" w:cs="Times New Roman"/>
                <w:color w:val="000000"/>
                <w:kern w:val="0"/>
                <w:sz w:val="24"/>
                <w:szCs w:val="24"/>
                <w:lang w:val="en-US" w:eastAsia="zh-CN"/>
              </w:rPr>
              <w:t>12</w:t>
            </w:r>
          </w:p>
        </w:tc>
        <w:tc>
          <w:tcPr>
            <w:tcW w:w="959" w:type="dxa"/>
            <w:gridSpan w:val="2"/>
            <w:tcBorders>
              <w:top w:val="single" w:color="auto" w:sz="4" w:space="0"/>
              <w:left w:val="single" w:color="auto" w:sz="4" w:space="0"/>
              <w:bottom w:val="single" w:color="auto" w:sz="4" w:space="0"/>
              <w:right w:val="single" w:color="auto" w:sz="4" w:space="0"/>
            </w:tcBorders>
            <w:noWrap/>
            <w:vAlign w:val="center"/>
          </w:tcPr>
          <w:p w14:paraId="361140FF">
            <w:pPr>
              <w:pageBreakBefore w:val="0"/>
              <w:tabs>
                <w:tab w:val="left" w:pos="720"/>
              </w:tabs>
              <w:kinsoku/>
              <w:overflowPunct/>
              <w:topLinePunct w:val="0"/>
              <w:bidi w:val="0"/>
              <w:adjustRightInd w:val="0"/>
              <w:snapToGrid w:val="0"/>
              <w:spacing w:line="240" w:lineRule="auto"/>
              <w:jc w:val="center"/>
              <w:rPr>
                <w:rFonts w:hint="eastAsia" w:ascii="仿宋" w:eastAsia="仿宋" w:cs="仿宋"/>
                <w:color w:val="000000"/>
                <w:sz w:val="24"/>
                <w:szCs w:val="24"/>
                <w:lang w:val="en-US" w:eastAsia="zh-CN"/>
              </w:rPr>
            </w:pPr>
            <w:r>
              <w:rPr>
                <w:rFonts w:hint="eastAsia" w:ascii="仿宋" w:hAnsi="Times New Roman" w:eastAsia="仿宋" w:cs="Times New Roman"/>
                <w:color w:val="000000"/>
                <w:kern w:val="0"/>
                <w:sz w:val="24"/>
                <w:szCs w:val="24"/>
                <w:lang w:val="en-US" w:eastAsia="zh-CN"/>
              </w:rPr>
              <w:t>16</w:t>
            </w:r>
          </w:p>
        </w:tc>
        <w:tc>
          <w:tcPr>
            <w:tcW w:w="539" w:type="dxa"/>
            <w:tcBorders>
              <w:top w:val="single" w:color="auto" w:sz="4" w:space="0"/>
              <w:left w:val="single" w:color="auto" w:sz="4" w:space="0"/>
              <w:bottom w:val="single" w:color="auto" w:sz="4" w:space="0"/>
              <w:right w:val="single" w:color="auto" w:sz="4" w:space="0"/>
            </w:tcBorders>
            <w:noWrap/>
            <w:vAlign w:val="center"/>
          </w:tcPr>
          <w:p w14:paraId="4E1485AC">
            <w:pPr>
              <w:pageBreakBefore w:val="0"/>
              <w:tabs>
                <w:tab w:val="left" w:pos="720"/>
              </w:tabs>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r>
              <w:rPr>
                <w:rFonts w:hint="eastAsia" w:ascii="仿宋" w:hAnsi="Times New Roman" w:eastAsia="仿宋" w:cs="Times New Roman"/>
                <w:color w:val="000000"/>
                <w:kern w:val="0"/>
                <w:sz w:val="24"/>
                <w:szCs w:val="24"/>
                <w:lang w:val="en-US" w:eastAsia="zh-CN"/>
              </w:rPr>
              <w:t>0.65</w:t>
            </w:r>
          </w:p>
        </w:tc>
      </w:tr>
      <w:tr w14:paraId="449255C3">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14:paraId="284252EA">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tc>
        <w:tc>
          <w:tcPr>
            <w:tcW w:w="1212" w:type="dxa"/>
            <w:tcBorders>
              <w:top w:val="single" w:color="auto" w:sz="4" w:space="0"/>
              <w:left w:val="single" w:color="auto" w:sz="4" w:space="0"/>
              <w:bottom w:val="single" w:color="auto" w:sz="4" w:space="0"/>
              <w:right w:val="single" w:color="auto" w:sz="4" w:space="0"/>
            </w:tcBorders>
            <w:noWrap/>
            <w:vAlign w:val="center"/>
          </w:tcPr>
          <w:p w14:paraId="3AF47AB4">
            <w:pPr>
              <w:pageBreakBefore w:val="0"/>
              <w:tabs>
                <w:tab w:val="left" w:pos="720"/>
              </w:tabs>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hAnsi="Times New Roman" w:eastAsia="仿宋" w:cs="Times New Roman"/>
                <w:color w:val="000000"/>
                <w:kern w:val="0"/>
                <w:sz w:val="24"/>
                <w:szCs w:val="24"/>
                <w:lang w:val="en-US" w:eastAsia="zh-CN"/>
              </w:rPr>
              <w:t>课程目标3（20%）</w:t>
            </w:r>
          </w:p>
        </w:tc>
        <w:tc>
          <w:tcPr>
            <w:tcW w:w="3088" w:type="dxa"/>
            <w:gridSpan w:val="4"/>
            <w:tcBorders>
              <w:top w:val="single" w:color="auto" w:sz="4" w:space="0"/>
              <w:left w:val="single" w:color="auto" w:sz="4" w:space="0"/>
              <w:bottom w:val="single" w:color="auto" w:sz="4" w:space="0"/>
              <w:right w:val="single" w:color="auto" w:sz="4" w:space="0"/>
            </w:tcBorders>
            <w:noWrap/>
            <w:vAlign w:val="center"/>
          </w:tcPr>
          <w:p w14:paraId="1506E91F">
            <w:pPr>
              <w:pageBreakBefore w:val="0"/>
              <w:tabs>
                <w:tab w:val="left" w:pos="720"/>
              </w:tabs>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hAnsi="Times New Roman" w:eastAsia="仿宋" w:cs="Times New Roman"/>
                <w:color w:val="000000"/>
                <w:kern w:val="0"/>
                <w:sz w:val="24"/>
                <w:szCs w:val="24"/>
                <w:lang w:val="en-US" w:eastAsia="zh-CN"/>
              </w:rPr>
              <w:t>能够对音乐教育的实践活动进行有效的自我诊断，提出改进思路。</w:t>
            </w:r>
          </w:p>
        </w:tc>
        <w:tc>
          <w:tcPr>
            <w:tcW w:w="1037" w:type="dxa"/>
            <w:gridSpan w:val="2"/>
            <w:tcBorders>
              <w:top w:val="single" w:color="auto" w:sz="4" w:space="0"/>
              <w:left w:val="single" w:color="auto" w:sz="4" w:space="0"/>
              <w:bottom w:val="single" w:color="auto" w:sz="4" w:space="0"/>
              <w:right w:val="single" w:color="auto" w:sz="4" w:space="0"/>
            </w:tcBorders>
            <w:noWrap/>
            <w:vAlign w:val="center"/>
          </w:tcPr>
          <w:p w14:paraId="0D0A4556">
            <w:pPr>
              <w:pageBreakBefore w:val="0"/>
              <w:tabs>
                <w:tab w:val="left" w:pos="720"/>
              </w:tabs>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hAnsi="Times New Roman" w:eastAsia="仿宋" w:cs="Times New Roman"/>
                <w:color w:val="000000"/>
                <w:kern w:val="0"/>
                <w:sz w:val="24"/>
                <w:szCs w:val="24"/>
                <w:lang w:val="en-US" w:eastAsia="zh-CN"/>
              </w:rPr>
              <w:t>6</w:t>
            </w:r>
          </w:p>
        </w:tc>
        <w:tc>
          <w:tcPr>
            <w:tcW w:w="937" w:type="dxa"/>
            <w:gridSpan w:val="3"/>
            <w:tcBorders>
              <w:top w:val="single" w:color="auto" w:sz="4" w:space="0"/>
              <w:left w:val="single" w:color="auto" w:sz="4" w:space="0"/>
              <w:bottom w:val="single" w:color="auto" w:sz="4" w:space="0"/>
              <w:right w:val="single" w:color="auto" w:sz="4" w:space="0"/>
            </w:tcBorders>
            <w:noWrap/>
            <w:vAlign w:val="center"/>
          </w:tcPr>
          <w:p w14:paraId="5AA6C633">
            <w:pPr>
              <w:pageBreakBefore w:val="0"/>
              <w:tabs>
                <w:tab w:val="left" w:pos="720"/>
              </w:tabs>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hAnsi="Times New Roman" w:eastAsia="仿宋" w:cs="Times New Roman"/>
                <w:color w:val="000000"/>
                <w:kern w:val="0"/>
                <w:sz w:val="24"/>
                <w:szCs w:val="24"/>
                <w:lang w:val="en-US" w:eastAsia="zh-CN"/>
              </w:rPr>
              <w:t>6</w:t>
            </w:r>
          </w:p>
        </w:tc>
        <w:tc>
          <w:tcPr>
            <w:tcW w:w="959" w:type="dxa"/>
            <w:gridSpan w:val="2"/>
            <w:tcBorders>
              <w:top w:val="single" w:color="auto" w:sz="4" w:space="0"/>
              <w:left w:val="single" w:color="auto" w:sz="4" w:space="0"/>
              <w:bottom w:val="single" w:color="auto" w:sz="4" w:space="0"/>
              <w:right w:val="single" w:color="auto" w:sz="4" w:space="0"/>
            </w:tcBorders>
            <w:noWrap/>
            <w:vAlign w:val="center"/>
          </w:tcPr>
          <w:p w14:paraId="67F7BA4A">
            <w:pPr>
              <w:pageBreakBefore w:val="0"/>
              <w:tabs>
                <w:tab w:val="left" w:pos="720"/>
              </w:tabs>
              <w:kinsoku/>
              <w:overflowPunct/>
              <w:topLinePunct w:val="0"/>
              <w:bidi w:val="0"/>
              <w:adjustRightInd w:val="0"/>
              <w:snapToGrid w:val="0"/>
              <w:spacing w:line="240" w:lineRule="auto"/>
              <w:jc w:val="center"/>
              <w:rPr>
                <w:rFonts w:hint="eastAsia" w:ascii="仿宋" w:eastAsia="仿宋" w:cs="仿宋"/>
                <w:color w:val="000000"/>
                <w:sz w:val="24"/>
                <w:szCs w:val="24"/>
                <w:lang w:val="en-US" w:eastAsia="zh-CN"/>
              </w:rPr>
            </w:pPr>
            <w:r>
              <w:rPr>
                <w:rFonts w:hint="eastAsia" w:ascii="仿宋" w:hAnsi="Times New Roman" w:eastAsia="仿宋" w:cs="Times New Roman"/>
                <w:color w:val="000000"/>
                <w:kern w:val="0"/>
                <w:sz w:val="24"/>
                <w:szCs w:val="24"/>
                <w:lang w:val="en-US" w:eastAsia="zh-CN"/>
              </w:rPr>
              <w:t>8</w:t>
            </w:r>
          </w:p>
        </w:tc>
        <w:tc>
          <w:tcPr>
            <w:tcW w:w="539" w:type="dxa"/>
            <w:tcBorders>
              <w:top w:val="single" w:color="auto" w:sz="4" w:space="0"/>
              <w:left w:val="single" w:color="auto" w:sz="4" w:space="0"/>
              <w:bottom w:val="single" w:color="auto" w:sz="4" w:space="0"/>
              <w:right w:val="single" w:color="auto" w:sz="4" w:space="0"/>
            </w:tcBorders>
            <w:noWrap/>
            <w:vAlign w:val="center"/>
          </w:tcPr>
          <w:p w14:paraId="4B55E248">
            <w:pPr>
              <w:pageBreakBefore w:val="0"/>
              <w:tabs>
                <w:tab w:val="left" w:pos="720"/>
              </w:tabs>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r>
              <w:rPr>
                <w:rFonts w:hint="eastAsia" w:ascii="仿宋" w:hAnsi="Times New Roman" w:eastAsia="仿宋" w:cs="Times New Roman"/>
                <w:color w:val="000000"/>
                <w:kern w:val="0"/>
                <w:sz w:val="24"/>
                <w:szCs w:val="24"/>
                <w:lang w:val="en-US" w:eastAsia="zh-CN"/>
              </w:rPr>
              <w:t>0.65</w:t>
            </w:r>
          </w:p>
        </w:tc>
      </w:tr>
      <w:tr w14:paraId="7D7C050B">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14:paraId="2459035B">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tc>
        <w:tc>
          <w:tcPr>
            <w:tcW w:w="4300" w:type="dxa"/>
            <w:gridSpan w:val="5"/>
            <w:tcBorders>
              <w:top w:val="single" w:color="auto" w:sz="4" w:space="0"/>
              <w:left w:val="single" w:color="auto" w:sz="4" w:space="0"/>
              <w:bottom w:val="single" w:color="auto" w:sz="4" w:space="0"/>
              <w:right w:val="single" w:color="auto" w:sz="4" w:space="0"/>
            </w:tcBorders>
            <w:noWrap/>
            <w:vAlign w:val="center"/>
          </w:tcPr>
          <w:p w14:paraId="0EBDCD21">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ascii="仿宋" w:eastAsia="仿宋" w:cs="仿宋"/>
                <w:color w:val="000000"/>
                <w:sz w:val="24"/>
                <w:szCs w:val="24"/>
                <w:lang w:val="en-US" w:eastAsia="zh-TW"/>
              </w:rPr>
              <w:t>总分</w:t>
            </w:r>
          </w:p>
        </w:tc>
        <w:tc>
          <w:tcPr>
            <w:tcW w:w="1037" w:type="dxa"/>
            <w:gridSpan w:val="2"/>
            <w:tcBorders>
              <w:top w:val="single" w:color="auto" w:sz="4" w:space="0"/>
              <w:left w:val="single" w:color="auto" w:sz="4" w:space="0"/>
              <w:bottom w:val="single" w:color="auto" w:sz="4" w:space="0"/>
              <w:right w:val="single" w:color="auto" w:sz="4" w:space="0"/>
            </w:tcBorders>
            <w:noWrap/>
            <w:vAlign w:val="center"/>
          </w:tcPr>
          <w:p w14:paraId="66FF1A1C">
            <w:pPr>
              <w:pageBreakBefore w:val="0"/>
              <w:tabs>
                <w:tab w:val="left" w:pos="720"/>
              </w:tabs>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hAnsi="Times New Roman" w:eastAsia="仿宋" w:cs="Times New Roman"/>
                <w:color w:val="000000"/>
                <w:kern w:val="0"/>
                <w:sz w:val="24"/>
                <w:szCs w:val="24"/>
                <w:lang w:val="en-US" w:eastAsia="zh-CN"/>
              </w:rPr>
              <w:t>30</w:t>
            </w:r>
          </w:p>
        </w:tc>
        <w:tc>
          <w:tcPr>
            <w:tcW w:w="937" w:type="dxa"/>
            <w:gridSpan w:val="3"/>
            <w:tcBorders>
              <w:top w:val="single" w:color="auto" w:sz="4" w:space="0"/>
              <w:left w:val="single" w:color="auto" w:sz="4" w:space="0"/>
              <w:bottom w:val="single" w:color="auto" w:sz="4" w:space="0"/>
              <w:right w:val="single" w:color="auto" w:sz="4" w:space="0"/>
            </w:tcBorders>
            <w:noWrap/>
            <w:vAlign w:val="center"/>
          </w:tcPr>
          <w:p w14:paraId="5B9A1211">
            <w:pPr>
              <w:pageBreakBefore w:val="0"/>
              <w:tabs>
                <w:tab w:val="left" w:pos="720"/>
              </w:tabs>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hAnsi="Times New Roman" w:eastAsia="仿宋" w:cs="Times New Roman"/>
                <w:color w:val="000000"/>
                <w:kern w:val="0"/>
                <w:sz w:val="24"/>
                <w:szCs w:val="24"/>
                <w:lang w:val="en-US" w:eastAsia="zh-CN"/>
              </w:rPr>
              <w:t>30</w:t>
            </w:r>
          </w:p>
        </w:tc>
        <w:tc>
          <w:tcPr>
            <w:tcW w:w="959" w:type="dxa"/>
            <w:gridSpan w:val="2"/>
            <w:tcBorders>
              <w:top w:val="single" w:color="auto" w:sz="4" w:space="0"/>
              <w:left w:val="single" w:color="auto" w:sz="4" w:space="0"/>
              <w:bottom w:val="single" w:color="auto" w:sz="4" w:space="0"/>
              <w:right w:val="single" w:color="auto" w:sz="4" w:space="0"/>
            </w:tcBorders>
            <w:noWrap/>
            <w:vAlign w:val="center"/>
          </w:tcPr>
          <w:p w14:paraId="7258D075">
            <w:pPr>
              <w:pageBreakBefore w:val="0"/>
              <w:tabs>
                <w:tab w:val="left" w:pos="720"/>
              </w:tabs>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hAnsi="Times New Roman" w:eastAsia="仿宋" w:cs="Times New Roman"/>
                <w:color w:val="000000"/>
                <w:kern w:val="0"/>
                <w:sz w:val="24"/>
                <w:szCs w:val="24"/>
                <w:lang w:val="en-US" w:eastAsia="zh-CN"/>
              </w:rPr>
              <w:t>40</w:t>
            </w:r>
          </w:p>
        </w:tc>
        <w:tc>
          <w:tcPr>
            <w:tcW w:w="539" w:type="dxa"/>
            <w:tcBorders>
              <w:top w:val="single" w:color="auto" w:sz="4" w:space="0"/>
              <w:left w:val="single" w:color="auto" w:sz="4" w:space="0"/>
              <w:bottom w:val="single" w:color="auto" w:sz="4" w:space="0"/>
              <w:right w:val="single" w:color="auto" w:sz="4" w:space="0"/>
            </w:tcBorders>
            <w:noWrap/>
            <w:vAlign w:val="center"/>
          </w:tcPr>
          <w:p w14:paraId="347ECB87">
            <w:pPr>
              <w:pageBreakBefore w:val="0"/>
              <w:tabs>
                <w:tab w:val="left" w:pos="720"/>
              </w:tabs>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r>
              <w:rPr>
                <w:rFonts w:hint="eastAsia" w:ascii="仿宋" w:hAnsi="Times New Roman" w:eastAsia="仿宋" w:cs="Times New Roman"/>
                <w:color w:val="000000"/>
                <w:kern w:val="0"/>
                <w:sz w:val="24"/>
                <w:szCs w:val="24"/>
                <w:lang w:val="en-US" w:eastAsia="zh-CN"/>
              </w:rPr>
              <w:t>0.65</w:t>
            </w:r>
          </w:p>
        </w:tc>
      </w:tr>
      <w:tr w14:paraId="3EF70C70">
        <w:trPr>
          <w:trHeight w:val="2025" w:hRule="atLeast"/>
        </w:trPr>
        <w:tc>
          <w:tcPr>
            <w:tcW w:w="1376" w:type="dxa"/>
            <w:tcBorders>
              <w:top w:val="single" w:color="auto" w:sz="4" w:space="0"/>
              <w:left w:val="single" w:color="auto" w:sz="4" w:space="0"/>
              <w:bottom w:val="single" w:color="auto" w:sz="4" w:space="0"/>
              <w:right w:val="single" w:color="auto" w:sz="4" w:space="0"/>
            </w:tcBorders>
            <w:noWrap/>
            <w:vAlign w:val="center"/>
          </w:tcPr>
          <w:p w14:paraId="649749A3">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L</w:t>
            </w:r>
          </w:p>
          <w:p w14:paraId="7555022E">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学习建议</w:t>
            </w:r>
          </w:p>
        </w:tc>
        <w:tc>
          <w:tcPr>
            <w:tcW w:w="7772" w:type="dxa"/>
            <w:gridSpan w:val="13"/>
            <w:tcBorders>
              <w:top w:val="single" w:color="auto" w:sz="4" w:space="0"/>
              <w:left w:val="single" w:color="auto" w:sz="4" w:space="0"/>
              <w:bottom w:val="single" w:color="auto" w:sz="4" w:space="0"/>
              <w:right w:val="single" w:color="auto" w:sz="4" w:space="0"/>
            </w:tcBorders>
            <w:noWrap/>
            <w:vAlign w:val="center"/>
          </w:tcPr>
          <w:p w14:paraId="3E0F82FF">
            <w:pPr>
              <w:pageBreakBefore w:val="0"/>
              <w:tabs>
                <w:tab w:val="left" w:pos="720"/>
              </w:tabs>
              <w:kinsoku/>
              <w:overflowPunct/>
              <w:topLinePunct w:val="0"/>
              <w:bidi w:val="0"/>
              <w:adjustRightInd w:val="0"/>
              <w:snapToGrid w:val="0"/>
              <w:spacing w:line="240" w:lineRule="auto"/>
              <w:rPr>
                <w:rFonts w:hint="eastAsia" w:ascii="仿宋" w:hAnsi="Times New Roman" w:eastAsia="仿宋" w:cs="Times New Roman"/>
                <w:color w:val="000000"/>
                <w:kern w:val="0"/>
                <w:sz w:val="24"/>
                <w:szCs w:val="24"/>
                <w:lang w:val="en-US" w:eastAsia="zh-CN"/>
              </w:rPr>
            </w:pPr>
            <w:r>
              <w:rPr>
                <w:rFonts w:hint="eastAsia" w:ascii="仿宋" w:hAnsi="Times New Roman" w:eastAsia="仿宋" w:cs="Times New Roman"/>
                <w:color w:val="000000"/>
                <w:kern w:val="0"/>
                <w:sz w:val="24"/>
                <w:szCs w:val="24"/>
                <w:lang w:val="en-US" w:eastAsia="zh-CN"/>
              </w:rPr>
              <w:t>1.自主学习。建议学生通过预习教材、复习课程，并通过网络、图书馆自主查阅课程中涉及的学习资源，了解国内外最新音乐教育知识，开阔学生的视野，独立规划自己的课程学习计划，充分发挥自身的学习能动性。</w:t>
            </w:r>
          </w:p>
          <w:p w14:paraId="68CA2EF8">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hAnsi="Times New Roman" w:eastAsia="仿宋" w:cs="Times New Roman"/>
                <w:color w:val="000000"/>
                <w:kern w:val="0"/>
                <w:sz w:val="24"/>
                <w:szCs w:val="24"/>
                <w:lang w:val="en-US" w:eastAsia="zh-CN"/>
              </w:rPr>
              <w:t>2.技能培养学习。鼓励学生针对课程教学内容，尝试创新性实践并提高学生对音乐学习的兴趣及创造力。</w:t>
            </w:r>
          </w:p>
        </w:tc>
      </w:tr>
      <w:tr w14:paraId="5001F21D">
        <w:trPr>
          <w:trHeight w:val="915" w:hRule="atLeast"/>
        </w:trPr>
        <w:tc>
          <w:tcPr>
            <w:tcW w:w="1376" w:type="dxa"/>
            <w:tcBorders>
              <w:top w:val="single" w:color="auto" w:sz="4" w:space="0"/>
              <w:left w:val="single" w:color="auto" w:sz="4" w:space="0"/>
              <w:bottom w:val="single" w:color="auto" w:sz="4" w:space="0"/>
              <w:right w:val="single" w:color="auto" w:sz="4" w:space="0"/>
            </w:tcBorders>
            <w:noWrap/>
            <w:vAlign w:val="center"/>
          </w:tcPr>
          <w:p w14:paraId="393AE639">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M</w:t>
            </w:r>
          </w:p>
          <w:p w14:paraId="124FFBCA">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评分量表</w:t>
            </w:r>
          </w:p>
        </w:tc>
        <w:tc>
          <w:tcPr>
            <w:tcW w:w="7772" w:type="dxa"/>
            <w:gridSpan w:val="13"/>
            <w:tcBorders>
              <w:top w:val="single" w:color="auto" w:sz="4" w:space="0"/>
              <w:left w:val="single" w:color="auto" w:sz="4" w:space="0"/>
              <w:bottom w:val="single" w:color="auto" w:sz="4" w:space="0"/>
              <w:right w:val="single" w:color="auto" w:sz="4" w:space="0"/>
            </w:tcBorders>
            <w:noWrap/>
            <w:vAlign w:val="center"/>
          </w:tcPr>
          <w:p w14:paraId="01DDA7FF">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default" w:ascii="仿宋" w:eastAsia="仿宋" w:cs="仿宋"/>
                <w:kern w:val="0"/>
                <w:sz w:val="24"/>
                <w:szCs w:val="24"/>
                <w:lang w:bidi="ar-SA"/>
              </w:rPr>
              <w:t>《</w:t>
            </w:r>
            <w:r>
              <w:rPr>
                <w:rFonts w:hint="eastAsia" w:ascii="仿宋" w:eastAsia="仿宋" w:cs="仿宋"/>
                <w:kern w:val="0"/>
                <w:sz w:val="24"/>
                <w:szCs w:val="24"/>
                <w:lang w:val="en-US" w:eastAsia="zh-CN" w:bidi="ar-SA"/>
              </w:rPr>
              <w:t>视唱练耳</w:t>
            </w:r>
            <w:r>
              <w:rPr>
                <w:rFonts w:hint="default" w:ascii="仿宋" w:eastAsia="仿宋" w:cs="仿宋"/>
                <w:kern w:val="0"/>
                <w:sz w:val="24"/>
                <w:szCs w:val="24"/>
                <w:lang w:eastAsia="zh-Hans" w:bidi="ar-SA"/>
              </w:rPr>
              <w:t>》</w:t>
            </w:r>
            <w:r>
              <w:rPr>
                <w:rFonts w:hint="eastAsia" w:ascii="仿宋" w:eastAsia="仿宋" w:cs="仿宋"/>
                <w:kern w:val="0"/>
                <w:sz w:val="24"/>
                <w:szCs w:val="24"/>
                <w:lang w:bidi="ar-SA"/>
              </w:rPr>
              <w:t>课程目标评分量表见附表。</w:t>
            </w:r>
          </w:p>
        </w:tc>
      </w:tr>
      <w:tr w14:paraId="6744FFDD">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14:paraId="033B0FDA">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备注</w:t>
            </w:r>
          </w:p>
        </w:tc>
        <w:tc>
          <w:tcPr>
            <w:tcW w:w="7772" w:type="dxa"/>
            <w:gridSpan w:val="13"/>
            <w:tcBorders>
              <w:top w:val="single" w:color="auto" w:sz="4" w:space="0"/>
              <w:left w:val="single" w:color="auto" w:sz="4" w:space="0"/>
              <w:bottom w:val="single" w:color="auto" w:sz="4" w:space="0"/>
              <w:right w:val="single" w:color="auto" w:sz="4" w:space="0"/>
            </w:tcBorders>
            <w:noWrap/>
            <w:vAlign w:val="center"/>
          </w:tcPr>
          <w:p w14:paraId="3FFF6F2C">
            <w:pPr>
              <w:pageBreakBefore w:val="0"/>
              <w:widowControl w:val="0"/>
              <w:kinsoku/>
              <w:overflowPunct/>
              <w:topLinePunct w:val="0"/>
              <w:bidi w:val="0"/>
              <w:adjustRightInd w:val="0"/>
              <w:snapToGrid w:val="0"/>
              <w:spacing w:line="240" w:lineRule="auto"/>
              <w:rPr>
                <w:rFonts w:hint="eastAsia" w:ascii="仿宋" w:eastAsia="仿宋" w:cs="仿宋"/>
                <w:color w:val="000000"/>
                <w:kern w:val="0"/>
                <w:sz w:val="24"/>
                <w:szCs w:val="24"/>
              </w:rPr>
            </w:pPr>
          </w:p>
        </w:tc>
      </w:tr>
      <w:tr w14:paraId="18D917A4">
        <w:trPr>
          <w:trHeight w:val="2614" w:hRule="atLeast"/>
        </w:trPr>
        <w:tc>
          <w:tcPr>
            <w:tcW w:w="1376" w:type="dxa"/>
            <w:tcBorders>
              <w:top w:val="single" w:color="auto" w:sz="4" w:space="0"/>
              <w:left w:val="single" w:color="auto" w:sz="4" w:space="0"/>
              <w:bottom w:val="single" w:color="auto" w:sz="4" w:space="0"/>
              <w:right w:val="single" w:color="auto" w:sz="4" w:space="0"/>
            </w:tcBorders>
            <w:noWrap/>
            <w:vAlign w:val="center"/>
          </w:tcPr>
          <w:p w14:paraId="05553488">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审批</w:t>
            </w:r>
          </w:p>
          <w:p w14:paraId="47C021C4">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意见</w:t>
            </w:r>
          </w:p>
        </w:tc>
        <w:tc>
          <w:tcPr>
            <w:tcW w:w="4300" w:type="dxa"/>
            <w:gridSpan w:val="5"/>
            <w:tcBorders>
              <w:top w:val="single" w:color="auto" w:sz="4" w:space="0"/>
              <w:left w:val="single" w:color="auto" w:sz="4" w:space="0"/>
              <w:bottom w:val="single" w:color="auto" w:sz="4" w:space="0"/>
              <w:right w:val="single" w:color="auto" w:sz="4" w:space="0"/>
            </w:tcBorders>
            <w:noWrap/>
            <w:vAlign w:val="center"/>
          </w:tcPr>
          <w:p w14:paraId="6E73F559">
            <w:pPr>
              <w:pageBreakBefore w:val="0"/>
              <w:widowControl/>
              <w:kinsoku/>
              <w:overflowPunct/>
              <w:topLinePunct w:val="0"/>
              <w:bidi w:val="0"/>
              <w:adjustRightInd w:val="0"/>
              <w:snapToGrid w:val="0"/>
              <w:spacing w:line="240" w:lineRule="auto"/>
              <w:jc w:val="left"/>
              <w:rPr>
                <w:rFonts w:hint="eastAsia" w:ascii="仿宋" w:eastAsia="仿宋" w:cs="仿宋"/>
                <w:kern w:val="0"/>
                <w:sz w:val="24"/>
                <w:szCs w:val="24"/>
              </w:rPr>
            </w:pPr>
            <w:r>
              <w:rPr>
                <w:rFonts w:hint="eastAsia" w:ascii="仿宋" w:eastAsia="仿宋" w:cs="仿宋"/>
                <w:kern w:val="0"/>
                <w:sz w:val="24"/>
                <w:szCs w:val="24"/>
              </w:rPr>
              <w:t>课程</w:t>
            </w:r>
            <w:r>
              <w:rPr>
                <w:rFonts w:hint="eastAsia" w:ascii="仿宋" w:eastAsia="仿宋" w:cs="仿宋"/>
                <w:kern w:val="0"/>
                <w:sz w:val="24"/>
                <w:szCs w:val="24"/>
                <w:lang w:val="en-US" w:eastAsia="zh-CN"/>
              </w:rPr>
              <w:t>教学</w:t>
            </w:r>
            <w:r>
              <w:rPr>
                <w:rFonts w:hint="eastAsia" w:ascii="仿宋" w:eastAsia="仿宋" w:cs="仿宋"/>
                <w:kern w:val="0"/>
                <w:sz w:val="24"/>
                <w:szCs w:val="24"/>
              </w:rPr>
              <w:t>大纲</w:t>
            </w:r>
            <w:r>
              <w:rPr>
                <w:rFonts w:hint="eastAsia" w:ascii="仿宋" w:eastAsia="仿宋" w:cs="仿宋"/>
                <w:kern w:val="0"/>
                <w:sz w:val="24"/>
                <w:szCs w:val="24"/>
                <w:lang w:val="en-US" w:eastAsia="zh-CN"/>
              </w:rPr>
              <w:t>修订</w:t>
            </w:r>
            <w:r>
              <w:rPr>
                <w:rFonts w:hint="eastAsia" w:ascii="仿宋" w:eastAsia="仿宋" w:cs="仿宋"/>
                <w:kern w:val="0"/>
                <w:sz w:val="24"/>
                <w:szCs w:val="24"/>
              </w:rPr>
              <w:t>负责人</w:t>
            </w:r>
            <w:r>
              <w:rPr>
                <w:rFonts w:hint="eastAsia" w:ascii="仿宋" w:eastAsia="仿宋" w:cs="仿宋"/>
                <w:kern w:val="0"/>
                <w:sz w:val="24"/>
                <w:szCs w:val="24"/>
                <w:lang w:val="en-US" w:eastAsia="zh-CN"/>
              </w:rPr>
              <w:t>及教学团队成员</w:t>
            </w:r>
            <w:r>
              <w:rPr>
                <w:rFonts w:hint="eastAsia" w:ascii="仿宋" w:eastAsia="仿宋" w:cs="仿宋"/>
                <w:color w:val="000000"/>
                <w:sz w:val="24"/>
                <w:szCs w:val="24"/>
              </w:rPr>
              <w:t>签名</w:t>
            </w:r>
            <w:r>
              <w:rPr>
                <w:rFonts w:hint="eastAsia" w:ascii="仿宋" w:eastAsia="仿宋" w:cs="仿宋"/>
                <w:kern w:val="0"/>
                <w:sz w:val="24"/>
                <w:szCs w:val="24"/>
              </w:rPr>
              <w:t xml:space="preserve">：   </w:t>
            </w:r>
          </w:p>
          <w:p w14:paraId="1322768C">
            <w:pPr>
              <w:pageBreakBefore w:val="0"/>
              <w:widowControl/>
              <w:kinsoku/>
              <w:overflowPunct/>
              <w:topLinePunct w:val="0"/>
              <w:bidi w:val="0"/>
              <w:adjustRightInd w:val="0"/>
              <w:snapToGrid w:val="0"/>
              <w:spacing w:line="240" w:lineRule="auto"/>
              <w:jc w:val="left"/>
              <w:rPr>
                <w:rFonts w:hint="eastAsia" w:ascii="仿宋" w:eastAsia="仿宋" w:cs="仿宋"/>
                <w:kern w:val="0"/>
                <w:sz w:val="24"/>
                <w:szCs w:val="24"/>
              </w:rPr>
            </w:pPr>
          </w:p>
          <w:p w14:paraId="10A72394">
            <w:pPr>
              <w:pageBreakBefore w:val="0"/>
              <w:widowControl/>
              <w:kinsoku/>
              <w:overflowPunct/>
              <w:topLinePunct w:val="0"/>
              <w:bidi w:val="0"/>
              <w:adjustRightInd w:val="0"/>
              <w:snapToGrid w:val="0"/>
              <w:spacing w:line="240" w:lineRule="auto"/>
              <w:jc w:val="left"/>
              <w:rPr>
                <w:rFonts w:hint="eastAsia" w:ascii="仿宋" w:eastAsia="仿宋" w:cs="仿宋"/>
                <w:kern w:val="0"/>
                <w:sz w:val="24"/>
                <w:szCs w:val="24"/>
              </w:rPr>
            </w:pPr>
          </w:p>
          <w:p w14:paraId="36C2DDEF">
            <w:pPr>
              <w:pageBreakBefore w:val="0"/>
              <w:widowControl/>
              <w:kinsoku/>
              <w:overflowPunct/>
              <w:topLinePunct w:val="0"/>
              <w:bidi w:val="0"/>
              <w:adjustRightInd w:val="0"/>
              <w:snapToGrid w:val="0"/>
              <w:spacing w:line="240" w:lineRule="auto"/>
              <w:jc w:val="right"/>
              <w:rPr>
                <w:rFonts w:hint="eastAsia" w:ascii="仿宋" w:eastAsia="仿宋" w:cs="仿宋"/>
                <w:kern w:val="0"/>
                <w:sz w:val="24"/>
                <w:szCs w:val="24"/>
                <w:lang w:val="en-US" w:eastAsia="zh-CN"/>
              </w:rPr>
            </w:pPr>
            <w:r>
              <w:rPr>
                <w:rFonts w:hint="eastAsia" w:ascii="仿宋" w:eastAsia="仿宋" w:cs="仿宋"/>
                <w:kern w:val="0"/>
                <w:sz w:val="24"/>
                <w:szCs w:val="24"/>
              </w:rPr>
              <w:t xml:space="preserve">                                                   年   月   日</w:t>
            </w:r>
            <w:r>
              <w:rPr>
                <w:rFonts w:hint="eastAsia" w:ascii="仿宋" w:eastAsia="仿宋" w:cs="仿宋"/>
                <w:kern w:val="0"/>
                <w:sz w:val="24"/>
                <w:szCs w:val="24"/>
                <w:lang w:val="en-US" w:eastAsia="zh-CN"/>
              </w:rPr>
              <w:t xml:space="preserve"> </w:t>
            </w:r>
          </w:p>
          <w:p w14:paraId="117203BE">
            <w:pPr>
              <w:pageBreakBefore w:val="0"/>
              <w:widowControl/>
              <w:kinsoku/>
              <w:overflowPunct/>
              <w:topLinePunct w:val="0"/>
              <w:bidi w:val="0"/>
              <w:adjustRightInd w:val="0"/>
              <w:snapToGrid w:val="0"/>
              <w:spacing w:line="240" w:lineRule="auto"/>
              <w:jc w:val="right"/>
              <w:rPr>
                <w:rFonts w:hint="eastAsia" w:ascii="仿宋" w:eastAsia="仿宋" w:cs="仿宋"/>
                <w:kern w:val="0"/>
                <w:sz w:val="24"/>
                <w:szCs w:val="24"/>
              </w:rPr>
            </w:pPr>
          </w:p>
        </w:tc>
        <w:tc>
          <w:tcPr>
            <w:tcW w:w="3472" w:type="dxa"/>
            <w:gridSpan w:val="8"/>
            <w:tcBorders>
              <w:top w:val="single" w:color="auto" w:sz="4" w:space="0"/>
              <w:left w:val="single" w:color="auto" w:sz="4" w:space="0"/>
              <w:bottom w:val="single" w:color="auto" w:sz="4" w:space="0"/>
              <w:right w:val="single" w:color="auto" w:sz="4" w:space="0"/>
            </w:tcBorders>
            <w:noWrap/>
            <w:vAlign w:val="center"/>
          </w:tcPr>
          <w:p w14:paraId="7E93E4A5">
            <w:pPr>
              <w:pageBreakBefore w:val="0"/>
              <w:widowControl/>
              <w:kinsoku/>
              <w:overflowPunct/>
              <w:topLinePunct w:val="0"/>
              <w:bidi w:val="0"/>
              <w:adjustRightInd w:val="0"/>
              <w:snapToGrid w:val="0"/>
              <w:spacing w:line="240" w:lineRule="auto"/>
              <w:jc w:val="left"/>
              <w:rPr>
                <w:rFonts w:hint="eastAsia" w:ascii="仿宋" w:eastAsia="仿宋" w:cs="仿宋"/>
                <w:kern w:val="0"/>
                <w:sz w:val="24"/>
                <w:szCs w:val="24"/>
              </w:rPr>
            </w:pPr>
            <w:r>
              <w:rPr>
                <w:rFonts w:hint="eastAsia" w:ascii="仿宋" w:eastAsia="仿宋" w:cs="仿宋"/>
                <w:kern w:val="0"/>
                <w:sz w:val="24"/>
                <w:szCs w:val="24"/>
                <w:lang w:val="en-US" w:eastAsia="zh-CN"/>
              </w:rPr>
              <w:t>系主任审核</w:t>
            </w:r>
            <w:r>
              <w:rPr>
                <w:rFonts w:hint="eastAsia" w:ascii="仿宋" w:eastAsia="仿宋" w:cs="仿宋"/>
                <w:kern w:val="0"/>
                <w:sz w:val="24"/>
                <w:szCs w:val="24"/>
              </w:rPr>
              <w:t>意见：</w:t>
            </w:r>
          </w:p>
          <w:p w14:paraId="1E2D61C3">
            <w:pPr>
              <w:pageBreakBefore w:val="0"/>
              <w:widowControl/>
              <w:kinsoku/>
              <w:overflowPunct/>
              <w:topLinePunct w:val="0"/>
              <w:bidi w:val="0"/>
              <w:adjustRightInd w:val="0"/>
              <w:snapToGrid w:val="0"/>
              <w:spacing w:line="240" w:lineRule="auto"/>
              <w:jc w:val="left"/>
              <w:rPr>
                <w:rFonts w:hint="eastAsia" w:ascii="仿宋" w:eastAsia="仿宋" w:cs="仿宋"/>
                <w:kern w:val="0"/>
                <w:sz w:val="24"/>
                <w:szCs w:val="24"/>
              </w:rPr>
            </w:pPr>
          </w:p>
          <w:p w14:paraId="42D0712F">
            <w:pPr>
              <w:pageBreakBefore w:val="0"/>
              <w:widowControl/>
              <w:kinsoku/>
              <w:overflowPunct/>
              <w:topLinePunct w:val="0"/>
              <w:bidi w:val="0"/>
              <w:adjustRightInd w:val="0"/>
              <w:snapToGrid w:val="0"/>
              <w:spacing w:line="240" w:lineRule="auto"/>
              <w:jc w:val="left"/>
              <w:rPr>
                <w:rFonts w:hint="eastAsia" w:ascii="仿宋" w:eastAsia="仿宋" w:cs="仿宋"/>
                <w:kern w:val="0"/>
                <w:sz w:val="24"/>
                <w:szCs w:val="24"/>
                <w:lang w:eastAsia="zh-CN"/>
              </w:rPr>
            </w:pPr>
            <w:r>
              <w:rPr>
                <w:rFonts w:hint="eastAsia" w:ascii="仿宋" w:eastAsia="仿宋" w:cs="仿宋"/>
                <w:kern w:val="0"/>
                <w:sz w:val="24"/>
                <w:szCs w:val="24"/>
                <w:lang w:val="en-US" w:eastAsia="zh-CN"/>
              </w:rPr>
              <w:t>系主任</w:t>
            </w:r>
            <w:r>
              <w:rPr>
                <w:rFonts w:hint="eastAsia" w:ascii="仿宋" w:eastAsia="仿宋" w:cs="仿宋"/>
                <w:kern w:val="0"/>
                <w:sz w:val="24"/>
                <w:szCs w:val="24"/>
              </w:rPr>
              <w:t>签名：</w:t>
            </w:r>
            <w:r>
              <w:rPr>
                <w:rFonts w:hint="eastAsia" w:ascii="仿宋" w:eastAsia="仿宋" w:cs="仿宋"/>
                <w:kern w:val="0"/>
                <w:sz w:val="24"/>
                <w:szCs w:val="24"/>
                <w:lang w:eastAsia="zh-CN"/>
              </w:rPr>
              <w:drawing>
                <wp:inline distT="0" distB="0" distL="114300" distR="114300">
                  <wp:extent cx="867410" cy="506095"/>
                  <wp:effectExtent l="0" t="0" r="21590" b="1905"/>
                  <wp:docPr id="7" name="图片 1" descr="54ff1f3bdc8cea280a35016be37e2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descr="54ff1f3bdc8cea280a35016be37e2662"/>
                          <pic:cNvPicPr>
                            <a:picLocks noChangeAspect="1"/>
                          </pic:cNvPicPr>
                        </pic:nvPicPr>
                        <pic:blipFill>
                          <a:blip r:embed="rId149"/>
                          <a:stretch>
                            <a:fillRect/>
                          </a:stretch>
                        </pic:blipFill>
                        <pic:spPr>
                          <a:xfrm>
                            <a:off x="0" y="0"/>
                            <a:ext cx="867410" cy="506095"/>
                          </a:xfrm>
                          <a:prstGeom prst="rect">
                            <a:avLst/>
                          </a:prstGeom>
                        </pic:spPr>
                      </pic:pic>
                    </a:graphicData>
                  </a:graphic>
                </wp:inline>
              </w:drawing>
            </w:r>
          </w:p>
          <w:p w14:paraId="48130B56">
            <w:pPr>
              <w:pageBreakBefore w:val="0"/>
              <w:widowControl/>
              <w:kinsoku/>
              <w:overflowPunct/>
              <w:topLinePunct w:val="0"/>
              <w:bidi w:val="0"/>
              <w:adjustRightInd w:val="0"/>
              <w:snapToGrid w:val="0"/>
              <w:spacing w:line="240" w:lineRule="auto"/>
              <w:jc w:val="right"/>
              <w:rPr>
                <w:rFonts w:hint="eastAsia" w:ascii="仿宋" w:eastAsia="仿宋" w:cs="仿宋"/>
                <w:kern w:val="0"/>
                <w:sz w:val="24"/>
                <w:szCs w:val="24"/>
              </w:rPr>
            </w:pPr>
          </w:p>
          <w:p w14:paraId="2638F2C5">
            <w:pPr>
              <w:pageBreakBefore w:val="0"/>
              <w:widowControl/>
              <w:kinsoku/>
              <w:overflowPunct/>
              <w:topLinePunct w:val="0"/>
              <w:bidi w:val="0"/>
              <w:adjustRightInd w:val="0"/>
              <w:snapToGrid w:val="0"/>
              <w:spacing w:line="240" w:lineRule="auto"/>
              <w:jc w:val="right"/>
              <w:rPr>
                <w:rFonts w:hint="eastAsia" w:ascii="仿宋" w:eastAsia="仿宋" w:cs="仿宋"/>
                <w:kern w:val="0"/>
                <w:sz w:val="24"/>
                <w:szCs w:val="24"/>
              </w:rPr>
            </w:pPr>
            <w:r>
              <w:rPr>
                <w:rFonts w:hint="eastAsia" w:ascii="仿宋" w:eastAsia="仿宋" w:cs="仿宋"/>
                <w:kern w:val="0"/>
                <w:sz w:val="24"/>
                <w:szCs w:val="24"/>
              </w:rPr>
              <w:t>年   月   日</w:t>
            </w:r>
          </w:p>
          <w:p w14:paraId="285D0B96">
            <w:pPr>
              <w:pageBreakBefore w:val="0"/>
              <w:widowControl/>
              <w:kinsoku/>
              <w:overflowPunct/>
              <w:topLinePunct w:val="0"/>
              <w:bidi w:val="0"/>
              <w:adjustRightInd w:val="0"/>
              <w:snapToGrid w:val="0"/>
              <w:spacing w:line="240" w:lineRule="auto"/>
              <w:jc w:val="right"/>
              <w:rPr>
                <w:rFonts w:hint="eastAsia" w:ascii="仿宋" w:eastAsia="仿宋" w:cs="仿宋"/>
                <w:kern w:val="0"/>
                <w:sz w:val="24"/>
                <w:szCs w:val="24"/>
              </w:rPr>
            </w:pPr>
          </w:p>
        </w:tc>
      </w:tr>
    </w:tbl>
    <w:p w14:paraId="1B738EBE">
      <w:pPr>
        <w:pageBreakBefore w:val="0"/>
        <w:widowControl w:val="0"/>
        <w:kinsoku/>
        <w:overflowPunct/>
        <w:topLinePunct w:val="0"/>
        <w:bidi w:val="0"/>
        <w:spacing w:before="240" w:line="240" w:lineRule="auto"/>
        <w:jc w:val="center"/>
        <w:rPr>
          <w:rFonts w:hint="eastAsia" w:ascii="仿宋" w:eastAsia="仿宋" w:cs="黑体"/>
          <w:b/>
          <w:kern w:val="2"/>
          <w:sz w:val="28"/>
          <w:szCs w:val="28"/>
          <w:lang w:bidi="ar-SA"/>
        </w:rPr>
      </w:pPr>
      <w:r>
        <w:rPr>
          <w:rFonts w:hint="eastAsia" w:ascii="仿宋" w:eastAsia="仿宋" w:cs="仿宋"/>
          <w:b/>
          <w:kern w:val="2"/>
          <w:sz w:val="28"/>
          <w:szCs w:val="28"/>
          <w:lang w:val="en-US" w:eastAsia="zh-CN" w:bidi="ar-SA"/>
        </w:rPr>
        <w:t xml:space="preserve"> </w:t>
      </w:r>
      <w:r>
        <w:rPr>
          <w:rFonts w:hint="default" w:ascii="仿宋" w:eastAsia="仿宋" w:cs="仿宋"/>
          <w:b/>
          <w:kern w:val="2"/>
          <w:sz w:val="28"/>
          <w:szCs w:val="28"/>
          <w:lang w:bidi="ar-SA"/>
        </w:rPr>
        <w:t xml:space="preserve"> </w:t>
      </w:r>
      <w:r>
        <w:rPr>
          <w:rFonts w:hint="eastAsia" w:ascii="仿宋" w:eastAsia="仿宋" w:cs="仿宋"/>
          <w:b/>
          <w:kern w:val="2"/>
          <w:sz w:val="28"/>
          <w:szCs w:val="28"/>
          <w:lang w:bidi="ar-SA"/>
        </w:rPr>
        <w:t>附表：《</w:t>
      </w:r>
      <w:r>
        <w:rPr>
          <w:rFonts w:hint="eastAsia" w:ascii="仿宋" w:eastAsia="仿宋" w:cs="仿宋"/>
          <w:b/>
          <w:kern w:val="2"/>
          <w:sz w:val="28"/>
          <w:szCs w:val="28"/>
          <w:lang w:val="en-US" w:eastAsia="zh-CN" w:bidi="ar-SA"/>
        </w:rPr>
        <w:t>视唱练耳</w:t>
      </w:r>
      <w:r>
        <w:rPr>
          <w:rFonts w:hint="eastAsia" w:ascii="仿宋" w:eastAsia="仿宋" w:cs="仿宋"/>
          <w:b/>
          <w:kern w:val="2"/>
          <w:sz w:val="28"/>
          <w:szCs w:val="28"/>
          <w:lang w:bidi="ar-SA"/>
        </w:rPr>
        <w:t>》课程目标评分量表</w:t>
      </w:r>
    </w:p>
    <w:tbl>
      <w:tblPr>
        <w:tblStyle w:val="22"/>
        <w:tblW w:w="9210" w:type="dxa"/>
        <w:tblInd w:w="8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535"/>
        <w:gridCol w:w="1535"/>
        <w:gridCol w:w="1535"/>
        <w:gridCol w:w="1535"/>
        <w:gridCol w:w="1535"/>
        <w:gridCol w:w="1535"/>
      </w:tblGrid>
      <w:tr w14:paraId="6F14310F">
        <w:trPr>
          <w:trHeight w:val="624" w:hRule="atLeast"/>
        </w:trPr>
        <w:tc>
          <w:tcPr>
            <w:tcW w:w="1535" w:type="dxa"/>
            <w:tcBorders>
              <w:top w:val="single" w:color="000000" w:sz="4" w:space="0"/>
              <w:left w:val="single" w:color="000000" w:sz="4" w:space="0"/>
              <w:bottom w:val="single" w:color="000000" w:sz="4" w:space="0"/>
              <w:right w:val="single" w:color="000000" w:sz="4" w:space="0"/>
            </w:tcBorders>
            <w:noWrap/>
            <w:vAlign w:val="center"/>
          </w:tcPr>
          <w:p w14:paraId="36ECB795">
            <w:pPr>
              <w:pageBreakBefore w:val="0"/>
              <w:widowControl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课程目标</w:t>
            </w:r>
          </w:p>
        </w:tc>
        <w:tc>
          <w:tcPr>
            <w:tcW w:w="1535" w:type="dxa"/>
            <w:tcBorders>
              <w:top w:val="single" w:color="000000" w:sz="4" w:space="0"/>
              <w:left w:val="single" w:color="000000" w:sz="4" w:space="0"/>
              <w:bottom w:val="single" w:color="000000" w:sz="4" w:space="0"/>
              <w:right w:val="single" w:color="000000" w:sz="4" w:space="0"/>
            </w:tcBorders>
            <w:noWrap/>
            <w:vAlign w:val="center"/>
          </w:tcPr>
          <w:p w14:paraId="56EC564E">
            <w:pPr>
              <w:pageBreakBefore w:val="0"/>
              <w:widowControl w:val="0"/>
              <w:tabs>
                <w:tab w:val="left" w:pos="719"/>
                <w:tab w:val="left" w:pos="1418"/>
                <w:tab w:val="left" w:pos="6298"/>
              </w:tabs>
              <w:kinsoku/>
              <w:overflowPunct/>
              <w:topLinePunct w:val="0"/>
              <w:bidi w:val="0"/>
              <w:spacing w:line="240" w:lineRule="auto"/>
              <w:ind w:left="-128" w:right="-75"/>
              <w:jc w:val="center"/>
              <w:rPr>
                <w:rFonts w:hint="eastAsia" w:ascii="仿宋" w:eastAsia="仿宋" w:cs="仿宋"/>
                <w:b/>
                <w:kern w:val="2"/>
                <w:szCs w:val="21"/>
                <w:lang w:bidi="ar-SA"/>
              </w:rPr>
            </w:pPr>
            <w:r>
              <w:rPr>
                <w:rFonts w:hint="eastAsia" w:ascii="仿宋" w:eastAsia="仿宋" w:cs="仿宋"/>
                <w:b/>
                <w:kern w:val="2"/>
                <w:szCs w:val="21"/>
                <w:lang w:bidi="ar-SA"/>
              </w:rPr>
              <w:t>优</w:t>
            </w:r>
          </w:p>
          <w:p w14:paraId="233E17F9">
            <w:pPr>
              <w:pageBreakBefore w:val="0"/>
              <w:widowControl w:val="0"/>
              <w:tabs>
                <w:tab w:val="left" w:pos="719"/>
                <w:tab w:val="left" w:pos="1418"/>
                <w:tab w:val="left" w:pos="6298"/>
              </w:tabs>
              <w:kinsoku/>
              <w:overflowPunct/>
              <w:topLinePunct w:val="0"/>
              <w:bidi w:val="0"/>
              <w:spacing w:line="240" w:lineRule="auto"/>
              <w:ind w:left="-128" w:right="-75"/>
              <w:jc w:val="center"/>
              <w:rPr>
                <w:rFonts w:hint="eastAsia" w:ascii="仿宋" w:eastAsia="仿宋" w:cs="仿宋"/>
                <w:b/>
                <w:kern w:val="2"/>
                <w:szCs w:val="21"/>
                <w:lang w:bidi="ar-SA"/>
              </w:rPr>
            </w:pPr>
            <w:r>
              <w:rPr>
                <w:rFonts w:hint="eastAsia" w:ascii="仿宋" w:eastAsia="仿宋" w:cs="仿宋"/>
                <w:b/>
                <w:kern w:val="2"/>
                <w:szCs w:val="21"/>
                <w:lang w:bidi="ar-SA"/>
              </w:rPr>
              <w:t>（X≧90）</w:t>
            </w:r>
          </w:p>
        </w:tc>
        <w:tc>
          <w:tcPr>
            <w:tcW w:w="1535" w:type="dxa"/>
            <w:tcBorders>
              <w:top w:val="single" w:color="000000" w:sz="4" w:space="0"/>
              <w:left w:val="single" w:color="000000" w:sz="4" w:space="0"/>
              <w:bottom w:val="single" w:color="000000" w:sz="4" w:space="0"/>
              <w:right w:val="single" w:color="000000" w:sz="4" w:space="0"/>
            </w:tcBorders>
            <w:noWrap/>
            <w:vAlign w:val="center"/>
          </w:tcPr>
          <w:p w14:paraId="4E25180E">
            <w:pPr>
              <w:pageBreakBefore w:val="0"/>
              <w:widowControl w:val="0"/>
              <w:tabs>
                <w:tab w:val="left" w:pos="719"/>
                <w:tab w:val="left" w:pos="1418"/>
                <w:tab w:val="left" w:pos="6298"/>
              </w:tabs>
              <w:kinsoku/>
              <w:overflowPunct/>
              <w:topLinePunct w:val="0"/>
              <w:bidi w:val="0"/>
              <w:spacing w:line="240" w:lineRule="auto"/>
              <w:ind w:left="-128" w:right="-75"/>
              <w:jc w:val="center"/>
              <w:rPr>
                <w:rFonts w:hint="eastAsia" w:ascii="仿宋" w:eastAsia="仿宋" w:cs="仿宋"/>
                <w:b/>
                <w:kern w:val="2"/>
                <w:szCs w:val="21"/>
                <w:lang w:bidi="ar-SA"/>
              </w:rPr>
            </w:pPr>
            <w:r>
              <w:rPr>
                <w:rFonts w:hint="eastAsia" w:ascii="仿宋" w:eastAsia="仿宋" w:cs="仿宋"/>
                <w:b/>
                <w:kern w:val="2"/>
                <w:szCs w:val="21"/>
                <w:lang w:bidi="ar-SA"/>
              </w:rPr>
              <w:t>良</w:t>
            </w:r>
          </w:p>
          <w:p w14:paraId="2FDCBA64">
            <w:pPr>
              <w:pageBreakBefore w:val="0"/>
              <w:widowControl w:val="0"/>
              <w:tabs>
                <w:tab w:val="left" w:pos="719"/>
                <w:tab w:val="left" w:pos="1418"/>
                <w:tab w:val="left" w:pos="6298"/>
              </w:tabs>
              <w:kinsoku/>
              <w:overflowPunct/>
              <w:topLinePunct w:val="0"/>
              <w:bidi w:val="0"/>
              <w:spacing w:line="240" w:lineRule="auto"/>
              <w:ind w:left="-128" w:right="-75"/>
              <w:jc w:val="center"/>
              <w:rPr>
                <w:rFonts w:hint="eastAsia" w:ascii="仿宋" w:eastAsia="仿宋" w:cs="仿宋"/>
                <w:b/>
                <w:kern w:val="2"/>
                <w:szCs w:val="21"/>
                <w:lang w:bidi="ar-SA"/>
              </w:rPr>
            </w:pPr>
            <w:r>
              <w:rPr>
                <w:rFonts w:hint="eastAsia" w:ascii="仿宋" w:eastAsia="仿宋" w:cs="仿宋"/>
                <w:b/>
                <w:kern w:val="2"/>
                <w:szCs w:val="21"/>
                <w:lang w:bidi="ar-SA"/>
              </w:rPr>
              <w:t>（80≦X＜90）</w:t>
            </w:r>
          </w:p>
        </w:tc>
        <w:tc>
          <w:tcPr>
            <w:tcW w:w="1535" w:type="dxa"/>
            <w:tcBorders>
              <w:top w:val="single" w:color="000000" w:sz="4" w:space="0"/>
              <w:left w:val="single" w:color="000000" w:sz="4" w:space="0"/>
              <w:bottom w:val="single" w:color="000000" w:sz="4" w:space="0"/>
              <w:right w:val="single" w:color="000000" w:sz="4" w:space="0"/>
            </w:tcBorders>
            <w:noWrap/>
            <w:vAlign w:val="center"/>
          </w:tcPr>
          <w:p w14:paraId="423C6D7D">
            <w:pPr>
              <w:pageBreakBefore w:val="0"/>
              <w:widowControl w:val="0"/>
              <w:tabs>
                <w:tab w:val="left" w:pos="719"/>
                <w:tab w:val="left" w:pos="1418"/>
                <w:tab w:val="left" w:pos="6298"/>
              </w:tabs>
              <w:kinsoku/>
              <w:overflowPunct/>
              <w:topLinePunct w:val="0"/>
              <w:bidi w:val="0"/>
              <w:spacing w:line="240" w:lineRule="auto"/>
              <w:ind w:left="-128" w:right="-75"/>
              <w:jc w:val="center"/>
              <w:rPr>
                <w:rFonts w:hint="eastAsia" w:ascii="仿宋" w:eastAsia="仿宋" w:cs="仿宋"/>
                <w:b/>
                <w:kern w:val="2"/>
                <w:szCs w:val="21"/>
                <w:lang w:bidi="ar-SA"/>
              </w:rPr>
            </w:pPr>
            <w:r>
              <w:rPr>
                <w:rFonts w:hint="eastAsia" w:ascii="仿宋" w:eastAsia="仿宋" w:cs="仿宋"/>
                <w:b/>
                <w:kern w:val="2"/>
                <w:szCs w:val="21"/>
                <w:lang w:bidi="ar-SA"/>
              </w:rPr>
              <w:t>中</w:t>
            </w:r>
          </w:p>
          <w:p w14:paraId="03E7A2D8">
            <w:pPr>
              <w:pageBreakBefore w:val="0"/>
              <w:widowControl w:val="0"/>
              <w:tabs>
                <w:tab w:val="left" w:pos="719"/>
                <w:tab w:val="left" w:pos="1418"/>
                <w:tab w:val="left" w:pos="6298"/>
              </w:tabs>
              <w:kinsoku/>
              <w:overflowPunct/>
              <w:topLinePunct w:val="0"/>
              <w:bidi w:val="0"/>
              <w:spacing w:line="240" w:lineRule="auto"/>
              <w:ind w:left="-128" w:right="-75"/>
              <w:jc w:val="center"/>
              <w:rPr>
                <w:rFonts w:hint="eastAsia" w:ascii="仿宋" w:eastAsia="仿宋" w:cs="仿宋"/>
                <w:b/>
                <w:kern w:val="2"/>
                <w:szCs w:val="21"/>
                <w:lang w:bidi="ar-SA"/>
              </w:rPr>
            </w:pPr>
            <w:r>
              <w:rPr>
                <w:rFonts w:hint="eastAsia" w:ascii="仿宋" w:eastAsia="仿宋" w:cs="仿宋"/>
                <w:b/>
                <w:kern w:val="2"/>
                <w:szCs w:val="21"/>
                <w:lang w:bidi="ar-SA"/>
              </w:rPr>
              <w:t>（70≦X＜80）</w:t>
            </w:r>
          </w:p>
        </w:tc>
        <w:tc>
          <w:tcPr>
            <w:tcW w:w="1535" w:type="dxa"/>
            <w:tcBorders>
              <w:top w:val="single" w:color="000000" w:sz="4" w:space="0"/>
              <w:left w:val="single" w:color="000000" w:sz="4" w:space="0"/>
              <w:bottom w:val="single" w:color="000000" w:sz="4" w:space="0"/>
              <w:right w:val="single" w:color="000000" w:sz="4" w:space="0"/>
            </w:tcBorders>
            <w:noWrap/>
            <w:vAlign w:val="center"/>
          </w:tcPr>
          <w:p w14:paraId="5AB5DE6D">
            <w:pPr>
              <w:pageBreakBefore w:val="0"/>
              <w:widowControl w:val="0"/>
              <w:tabs>
                <w:tab w:val="left" w:pos="719"/>
                <w:tab w:val="left" w:pos="1418"/>
                <w:tab w:val="left" w:pos="6298"/>
              </w:tabs>
              <w:kinsoku/>
              <w:overflowPunct/>
              <w:topLinePunct w:val="0"/>
              <w:bidi w:val="0"/>
              <w:spacing w:line="240" w:lineRule="auto"/>
              <w:ind w:left="-128" w:right="-75"/>
              <w:jc w:val="center"/>
              <w:rPr>
                <w:rFonts w:hint="eastAsia" w:ascii="仿宋" w:eastAsia="仿宋" w:cs="仿宋"/>
                <w:b/>
                <w:kern w:val="2"/>
                <w:szCs w:val="21"/>
                <w:lang w:bidi="ar-SA"/>
              </w:rPr>
            </w:pPr>
            <w:r>
              <w:rPr>
                <w:rFonts w:hint="eastAsia" w:ascii="仿宋" w:eastAsia="仿宋" w:cs="仿宋"/>
                <w:b/>
                <w:kern w:val="2"/>
                <w:szCs w:val="21"/>
                <w:lang w:bidi="ar-SA"/>
              </w:rPr>
              <w:t>及格</w:t>
            </w:r>
          </w:p>
          <w:p w14:paraId="74041CCA">
            <w:pPr>
              <w:pageBreakBefore w:val="0"/>
              <w:widowControl w:val="0"/>
              <w:tabs>
                <w:tab w:val="left" w:pos="719"/>
                <w:tab w:val="left" w:pos="1418"/>
                <w:tab w:val="left" w:pos="6298"/>
              </w:tabs>
              <w:kinsoku/>
              <w:overflowPunct/>
              <w:topLinePunct w:val="0"/>
              <w:bidi w:val="0"/>
              <w:spacing w:line="240" w:lineRule="auto"/>
              <w:ind w:left="-128" w:right="-75"/>
              <w:jc w:val="center"/>
              <w:rPr>
                <w:rFonts w:hint="eastAsia" w:ascii="仿宋" w:eastAsia="仿宋" w:cs="仿宋"/>
                <w:b/>
                <w:kern w:val="2"/>
                <w:szCs w:val="21"/>
                <w:lang w:bidi="ar-SA"/>
              </w:rPr>
            </w:pPr>
            <w:r>
              <w:rPr>
                <w:rFonts w:hint="eastAsia" w:ascii="仿宋" w:eastAsia="仿宋" w:cs="仿宋"/>
                <w:b/>
                <w:kern w:val="2"/>
                <w:szCs w:val="21"/>
                <w:lang w:bidi="ar-SA"/>
              </w:rPr>
              <w:t>（60≦X＜70）</w:t>
            </w:r>
          </w:p>
        </w:tc>
        <w:tc>
          <w:tcPr>
            <w:tcW w:w="1535" w:type="dxa"/>
            <w:tcBorders>
              <w:top w:val="single" w:color="000000" w:sz="4" w:space="0"/>
              <w:left w:val="single" w:color="000000" w:sz="4" w:space="0"/>
              <w:bottom w:val="single" w:color="000000" w:sz="4" w:space="0"/>
              <w:right w:val="single" w:color="000000" w:sz="4" w:space="0"/>
            </w:tcBorders>
            <w:noWrap/>
            <w:vAlign w:val="center"/>
          </w:tcPr>
          <w:p w14:paraId="46E46492">
            <w:pPr>
              <w:pageBreakBefore w:val="0"/>
              <w:widowControl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不及格</w:t>
            </w:r>
          </w:p>
          <w:p w14:paraId="6F575BE8">
            <w:pPr>
              <w:pageBreakBefore w:val="0"/>
              <w:widowControl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（X＜60）</w:t>
            </w:r>
          </w:p>
        </w:tc>
      </w:tr>
      <w:tr w14:paraId="308A6AB0">
        <w:trPr>
          <w:trHeight w:val="1442" w:hRule="atLeast"/>
        </w:trPr>
        <w:tc>
          <w:tcPr>
            <w:tcW w:w="1535" w:type="dxa"/>
            <w:tcBorders>
              <w:top w:val="single" w:color="000000" w:sz="4" w:space="0"/>
              <w:left w:val="single" w:color="000000" w:sz="4" w:space="0"/>
              <w:bottom w:val="single" w:color="000000" w:sz="4" w:space="0"/>
              <w:right w:val="single" w:color="000000" w:sz="4" w:space="0"/>
            </w:tcBorders>
            <w:noWrap/>
            <w:vAlign w:val="top"/>
          </w:tcPr>
          <w:p w14:paraId="4EC2ABE5">
            <w:pPr>
              <w:pStyle w:val="290"/>
              <w:tabs>
                <w:tab w:val="left" w:pos="401"/>
              </w:tabs>
              <w:spacing w:before="70"/>
              <w:jc w:val="both"/>
              <w:rPr>
                <w:rFonts w:hint="eastAsia" w:ascii="仿宋" w:hAnsi="Times New Roman" w:eastAsia="仿宋" w:cs="仿宋"/>
                <w:b w:val="0"/>
                <w:bCs/>
                <w:color w:val="000000"/>
                <w:kern w:val="2"/>
                <w:sz w:val="21"/>
                <w:szCs w:val="21"/>
                <w:lang w:val="en-US" w:eastAsia="zh-TW" w:bidi="ar-SA"/>
              </w:rPr>
            </w:pPr>
            <w:r>
              <w:rPr>
                <w:rFonts w:hint="eastAsia" w:ascii="仿宋" w:hAnsi="Times New Roman" w:eastAsia="仿宋" w:cs="仿宋"/>
                <w:b w:val="0"/>
                <w:bCs/>
                <w:color w:val="000000"/>
                <w:kern w:val="2"/>
                <w:sz w:val="21"/>
                <w:szCs w:val="21"/>
                <w:lang w:val="en-US" w:eastAsia="zh-CN" w:bidi="ar-SA"/>
              </w:rPr>
              <w:t>课程目标1：理解识记基本视唱练耳知识，形成综合的音乐技能实践体系，并具备初步的综合分析、运用与创作能力。（支撑毕业要求3.1）</w:t>
            </w:r>
          </w:p>
        </w:tc>
        <w:tc>
          <w:tcPr>
            <w:tcW w:w="1535" w:type="dxa"/>
            <w:tcBorders>
              <w:top w:val="single" w:color="000000" w:sz="4" w:space="0"/>
              <w:left w:val="single" w:color="000000" w:sz="4" w:space="0"/>
              <w:bottom w:val="single" w:color="000000" w:sz="4" w:space="0"/>
              <w:right w:val="single" w:color="000000" w:sz="4" w:space="0"/>
            </w:tcBorders>
            <w:noWrap/>
            <w:vAlign w:val="top"/>
          </w:tcPr>
          <w:p w14:paraId="6237B731">
            <w:pPr>
              <w:widowControl/>
              <w:adjustRightInd w:val="0"/>
              <w:snapToGrid w:val="0"/>
              <w:ind w:firstLine="420" w:firstLineChars="200"/>
              <w:jc w:val="both"/>
              <w:rPr>
                <w:rFonts w:hint="eastAsia" w:ascii="仿宋" w:hAnsi="Times New Roman" w:eastAsia="仿宋" w:cs="仿宋"/>
                <w:b w:val="0"/>
                <w:bCs/>
                <w:color w:val="000000"/>
                <w:kern w:val="2"/>
                <w:sz w:val="21"/>
                <w:szCs w:val="21"/>
                <w:lang w:val="en-US" w:eastAsia="zh-CN" w:bidi="ar-SA"/>
              </w:rPr>
            </w:pPr>
            <w:r>
              <w:rPr>
                <w:rFonts w:hint="eastAsia" w:ascii="仿宋" w:hAnsi="Times New Roman" w:eastAsia="仿宋" w:cs="仿宋"/>
                <w:b w:val="0"/>
                <w:bCs/>
                <w:color w:val="000000"/>
                <w:kern w:val="2"/>
                <w:sz w:val="21"/>
                <w:szCs w:val="21"/>
                <w:lang w:val="en-US" w:eastAsia="zh-CN" w:bidi="ar-SA"/>
              </w:rPr>
              <w:t>能够扎实地掌握视唱练耳的基本理论和基本技术。通过视唱训练，掌握正确的音准、节奏和一定的感情表达能力；具有熟练的视谱技能，能视谱即唱和听记一般歌曲和器乐曲的片断；通过听觉判断并准确地唱出各调式的音级和音程（包括大调式、小调式和宫、商、角、征、羽等民族调式）；通过听觉判断四种不同性质的三和弦（大、小、增、减）及转位、大小七和弦。</w:t>
            </w:r>
          </w:p>
        </w:tc>
        <w:tc>
          <w:tcPr>
            <w:tcW w:w="1535" w:type="dxa"/>
            <w:tcBorders>
              <w:top w:val="single" w:color="000000" w:sz="4" w:space="0"/>
              <w:left w:val="single" w:color="000000" w:sz="4" w:space="0"/>
              <w:bottom w:val="single" w:color="000000" w:sz="4" w:space="0"/>
              <w:right w:val="single" w:color="000000" w:sz="4" w:space="0"/>
            </w:tcBorders>
            <w:noWrap/>
            <w:vAlign w:val="top"/>
          </w:tcPr>
          <w:p w14:paraId="3FD09B79">
            <w:pPr>
              <w:widowControl/>
              <w:adjustRightInd w:val="0"/>
              <w:snapToGrid w:val="0"/>
              <w:ind w:firstLine="420" w:firstLineChars="200"/>
              <w:jc w:val="both"/>
              <w:rPr>
                <w:rFonts w:hint="eastAsia" w:ascii="仿宋" w:hAnsi="Times New Roman" w:eastAsia="仿宋" w:cs="仿宋"/>
                <w:b w:val="0"/>
                <w:bCs/>
                <w:color w:val="000000"/>
                <w:kern w:val="2"/>
                <w:sz w:val="21"/>
                <w:szCs w:val="21"/>
                <w:lang w:val="en-US" w:eastAsia="zh-CN" w:bidi="ar-SA"/>
              </w:rPr>
            </w:pPr>
            <w:r>
              <w:rPr>
                <w:rFonts w:hint="eastAsia" w:ascii="仿宋" w:hAnsi="Times New Roman" w:eastAsia="仿宋" w:cs="仿宋"/>
                <w:b w:val="0"/>
                <w:bCs/>
                <w:color w:val="000000"/>
                <w:kern w:val="2"/>
                <w:sz w:val="21"/>
                <w:szCs w:val="21"/>
                <w:lang w:val="en-US" w:eastAsia="zh-CN" w:bidi="ar-SA"/>
              </w:rPr>
              <w:t>能够掌握视唱练耳的基本理论和基本技术。通过视唱训练，掌握正确的音准、节奏和一定的感情表达能力；具有熟练的视谱技能，能视谱即唱和听记一般歌曲和器乐曲的片断；通过听觉判断并准确地唱出各调式的音级和音程（包括大调式、小调式和宫、商、角、征、羽等民族调式）；通过听觉判断四种不同性质的三和弦（大、小、增、减）及转位、大小七和弦。</w:t>
            </w:r>
          </w:p>
        </w:tc>
        <w:tc>
          <w:tcPr>
            <w:tcW w:w="1535" w:type="dxa"/>
            <w:tcBorders>
              <w:top w:val="single" w:color="000000" w:sz="4" w:space="0"/>
              <w:left w:val="single" w:color="000000" w:sz="4" w:space="0"/>
              <w:bottom w:val="single" w:color="000000" w:sz="4" w:space="0"/>
              <w:right w:val="single" w:color="000000" w:sz="4" w:space="0"/>
            </w:tcBorders>
            <w:noWrap/>
            <w:vAlign w:val="top"/>
          </w:tcPr>
          <w:p w14:paraId="280EEC10">
            <w:pPr>
              <w:widowControl/>
              <w:adjustRightInd w:val="0"/>
              <w:snapToGrid w:val="0"/>
              <w:ind w:firstLine="420" w:firstLineChars="200"/>
              <w:jc w:val="both"/>
              <w:rPr>
                <w:rFonts w:hint="eastAsia" w:ascii="仿宋" w:hAnsi="Times New Roman" w:eastAsia="仿宋" w:cs="仿宋"/>
                <w:b w:val="0"/>
                <w:bCs/>
                <w:color w:val="000000"/>
                <w:kern w:val="2"/>
                <w:sz w:val="21"/>
                <w:szCs w:val="21"/>
                <w:lang w:val="en-US" w:eastAsia="zh-CN" w:bidi="ar-SA"/>
              </w:rPr>
            </w:pPr>
            <w:r>
              <w:rPr>
                <w:rFonts w:hint="eastAsia" w:ascii="仿宋" w:hAnsi="Times New Roman" w:eastAsia="仿宋" w:cs="仿宋"/>
                <w:b w:val="0"/>
                <w:bCs/>
                <w:color w:val="000000"/>
                <w:kern w:val="2"/>
                <w:sz w:val="21"/>
                <w:szCs w:val="21"/>
                <w:lang w:val="en-US" w:eastAsia="zh-CN" w:bidi="ar-SA"/>
              </w:rPr>
              <w:t>能够基本掌握视唱练耳的基本理论和基本技术。通过视唱训练，掌握正确的音准、节奏和一定的感情表达能力；具有熟练的视谱技能，能视谱即唱和听记一般歌曲和器乐曲的片断；通过听觉判断并准确地唱出各调式的音级和音程（包括大调式、小调式和宫、商、角、征、羽等民族调式）；通过听觉判断四种不同性质的三和弦（大、小、增、减）及转位、大小七和弦。</w:t>
            </w:r>
          </w:p>
        </w:tc>
        <w:tc>
          <w:tcPr>
            <w:tcW w:w="1535" w:type="dxa"/>
            <w:tcBorders>
              <w:top w:val="single" w:color="000000" w:sz="4" w:space="0"/>
              <w:left w:val="single" w:color="000000" w:sz="4" w:space="0"/>
              <w:bottom w:val="single" w:color="000000" w:sz="4" w:space="0"/>
              <w:right w:val="single" w:color="000000" w:sz="4" w:space="0"/>
            </w:tcBorders>
            <w:noWrap/>
            <w:vAlign w:val="top"/>
          </w:tcPr>
          <w:p w14:paraId="313B9955">
            <w:pPr>
              <w:widowControl/>
              <w:adjustRightInd w:val="0"/>
              <w:snapToGrid w:val="0"/>
              <w:ind w:firstLine="420" w:firstLineChars="200"/>
              <w:jc w:val="both"/>
              <w:rPr>
                <w:rFonts w:hint="eastAsia" w:ascii="仿宋" w:hAnsi="Times New Roman" w:eastAsia="仿宋" w:cs="仿宋"/>
                <w:b w:val="0"/>
                <w:bCs/>
                <w:color w:val="000000"/>
                <w:kern w:val="2"/>
                <w:sz w:val="21"/>
                <w:szCs w:val="21"/>
                <w:lang w:val="en-US" w:eastAsia="zh-CN" w:bidi="ar-SA"/>
              </w:rPr>
            </w:pPr>
            <w:r>
              <w:rPr>
                <w:rFonts w:hint="eastAsia" w:ascii="仿宋" w:hAnsi="Times New Roman" w:eastAsia="仿宋" w:cs="仿宋"/>
                <w:b w:val="0"/>
                <w:bCs/>
                <w:color w:val="000000"/>
                <w:kern w:val="2"/>
                <w:sz w:val="21"/>
                <w:szCs w:val="21"/>
                <w:lang w:val="en-US" w:eastAsia="zh-CN" w:bidi="ar-SA"/>
              </w:rPr>
              <w:t>掌握部分视唱练耳的基本理论和基本技术。通过视唱训练，基本掌握正确的音准、节奏；具有一般的视谱、听唱及听写技能；通过听觉的判断,</w:t>
            </w:r>
            <w:r>
              <w:rPr>
                <w:rFonts w:hint="eastAsia" w:ascii="仿宋" w:hAnsi="Times New Roman" w:eastAsia="仿宋" w:cs="仿宋"/>
                <w:b w:val="0"/>
                <w:bCs/>
                <w:color w:val="000000"/>
                <w:kern w:val="2"/>
                <w:sz w:val="21"/>
                <w:szCs w:val="21"/>
                <w:lang w:val="en-US" w:eastAsia="zh-TW" w:bidi="ar-SA"/>
              </w:rPr>
              <w:t>基本掌握</w:t>
            </w:r>
            <w:r>
              <w:rPr>
                <w:rFonts w:hint="eastAsia" w:ascii="仿宋" w:hAnsi="Times New Roman" w:eastAsia="仿宋" w:cs="仿宋"/>
                <w:b w:val="0"/>
                <w:bCs/>
                <w:color w:val="000000"/>
                <w:kern w:val="2"/>
                <w:sz w:val="21"/>
                <w:szCs w:val="21"/>
                <w:lang w:val="en-US" w:eastAsia="zh-CN" w:bidi="ar-SA"/>
              </w:rPr>
              <w:t>各调式的音级和音程（包括大调式、小调式和宫、商、角、征、羽等民族调式）及四种不同性质的三和弦（大、小、增、减）及转位、大小七和弦。</w:t>
            </w:r>
          </w:p>
        </w:tc>
        <w:tc>
          <w:tcPr>
            <w:tcW w:w="1535" w:type="dxa"/>
            <w:tcBorders>
              <w:top w:val="single" w:color="000000" w:sz="4" w:space="0"/>
              <w:left w:val="single" w:color="000000" w:sz="4" w:space="0"/>
              <w:bottom w:val="single" w:color="000000" w:sz="4" w:space="0"/>
              <w:right w:val="single" w:color="000000" w:sz="4" w:space="0"/>
            </w:tcBorders>
            <w:noWrap/>
            <w:vAlign w:val="top"/>
          </w:tcPr>
          <w:p w14:paraId="1772C26B">
            <w:pPr>
              <w:widowControl/>
              <w:adjustRightInd w:val="0"/>
              <w:snapToGrid w:val="0"/>
              <w:ind w:firstLine="420" w:firstLineChars="200"/>
              <w:jc w:val="both"/>
              <w:rPr>
                <w:rFonts w:hint="eastAsia" w:ascii="仿宋" w:hAnsi="Times New Roman" w:eastAsia="仿宋" w:cs="仿宋"/>
                <w:b w:val="0"/>
                <w:bCs/>
                <w:color w:val="000000"/>
                <w:kern w:val="2"/>
                <w:sz w:val="21"/>
                <w:szCs w:val="21"/>
                <w:lang w:val="en-US" w:eastAsia="zh-CN" w:bidi="ar-SA"/>
              </w:rPr>
            </w:pPr>
            <w:r>
              <w:rPr>
                <w:rFonts w:hint="eastAsia" w:ascii="仿宋" w:hAnsi="Times New Roman" w:eastAsia="仿宋" w:cs="仿宋"/>
                <w:b w:val="0"/>
                <w:bCs/>
                <w:color w:val="000000"/>
                <w:kern w:val="2"/>
                <w:sz w:val="21"/>
                <w:szCs w:val="21"/>
                <w:lang w:val="en-US" w:eastAsia="zh-TW" w:bidi="ar-SA"/>
              </w:rPr>
              <w:t>无法</w:t>
            </w:r>
            <w:r>
              <w:rPr>
                <w:rFonts w:hint="eastAsia" w:ascii="仿宋" w:hAnsi="Times New Roman" w:eastAsia="仿宋" w:cs="仿宋"/>
                <w:b w:val="0"/>
                <w:bCs/>
                <w:color w:val="000000"/>
                <w:kern w:val="2"/>
                <w:sz w:val="21"/>
                <w:szCs w:val="21"/>
                <w:lang w:val="en-US" w:eastAsia="zh-CN" w:bidi="ar-SA"/>
              </w:rPr>
              <w:t>领会视唱练耳的基本理论和基本技术。无法掌握正确的音准、节奏和一定的感情表达能力；不具有熟练的视谱技能，无法视谱即唱和听记一般歌曲和器乐曲的片断；无法判断并准确地唱出各调式的音级和音程（包括大调式、小调式和宫、商、角、征、羽等民族调式）；无法准确的判断四种不同性质的三和弦（大、小、增、减）及转位、大小七和弦。</w:t>
            </w:r>
          </w:p>
        </w:tc>
      </w:tr>
      <w:tr w14:paraId="27EB197D">
        <w:trPr>
          <w:trHeight w:val="624" w:hRule="atLeast"/>
        </w:trPr>
        <w:tc>
          <w:tcPr>
            <w:tcW w:w="1535" w:type="dxa"/>
            <w:tcBorders>
              <w:top w:val="single" w:color="000000" w:sz="4" w:space="0"/>
              <w:left w:val="single" w:color="000000" w:sz="4" w:space="0"/>
              <w:bottom w:val="single" w:color="000000" w:sz="4" w:space="0"/>
              <w:right w:val="single" w:color="000000" w:sz="4" w:space="0"/>
            </w:tcBorders>
            <w:noWrap/>
            <w:vAlign w:val="top"/>
          </w:tcPr>
          <w:p w14:paraId="650DE221">
            <w:pPr>
              <w:pageBreakBefore w:val="0"/>
              <w:widowControl w:val="0"/>
              <w:tabs>
                <w:tab w:val="left" w:pos="720"/>
              </w:tabs>
              <w:kinsoku/>
              <w:overflowPunct/>
              <w:topLinePunct w:val="0"/>
              <w:bidi w:val="0"/>
              <w:spacing w:line="240" w:lineRule="auto"/>
              <w:jc w:val="both"/>
              <w:rPr>
                <w:rFonts w:hint="eastAsia" w:ascii="仿宋" w:hAnsi="Times New Roman" w:eastAsia="仿宋" w:cs="仿宋"/>
                <w:b w:val="0"/>
                <w:bCs/>
                <w:color w:val="000000"/>
                <w:kern w:val="2"/>
                <w:sz w:val="21"/>
                <w:szCs w:val="21"/>
                <w:lang w:val="en-US" w:eastAsia="zh-TW" w:bidi="ar-SA"/>
              </w:rPr>
            </w:pPr>
            <w:r>
              <w:rPr>
                <w:rFonts w:hint="eastAsia" w:ascii="仿宋" w:hAnsi="Times New Roman" w:eastAsia="仿宋" w:cs="仿宋"/>
                <w:b w:val="0"/>
                <w:bCs/>
                <w:color w:val="000000"/>
                <w:kern w:val="2"/>
                <w:sz w:val="21"/>
                <w:szCs w:val="21"/>
                <w:lang w:val="en-US" w:eastAsia="zh-TW" w:bidi="ar-SA"/>
              </w:rPr>
              <w:t>课程目标2：具备一定音乐分析能力，在音乐作品中准确辨认音高、节奏、音程、和弦相关概念及音响色彩。熟练记忆构写节奏、曲调、音程及和弦和弦、调式（支撑毕业要求4.1）</w:t>
            </w:r>
          </w:p>
        </w:tc>
        <w:tc>
          <w:tcPr>
            <w:tcW w:w="1535" w:type="dxa"/>
            <w:tcBorders>
              <w:top w:val="single" w:color="000000" w:sz="4" w:space="0"/>
              <w:left w:val="single" w:color="000000" w:sz="4" w:space="0"/>
              <w:bottom w:val="single" w:color="000000" w:sz="4" w:space="0"/>
              <w:right w:val="single" w:color="000000" w:sz="4" w:space="0"/>
            </w:tcBorders>
            <w:noWrap/>
            <w:vAlign w:val="top"/>
          </w:tcPr>
          <w:p w14:paraId="38AB2EFA">
            <w:pPr>
              <w:pageBreakBefore w:val="0"/>
              <w:widowControl w:val="0"/>
              <w:tabs>
                <w:tab w:val="left" w:pos="720"/>
              </w:tabs>
              <w:kinsoku/>
              <w:overflowPunct/>
              <w:topLinePunct w:val="0"/>
              <w:bidi w:val="0"/>
              <w:spacing w:line="240" w:lineRule="auto"/>
              <w:jc w:val="both"/>
              <w:rPr>
                <w:rFonts w:hint="eastAsia" w:ascii="仿宋" w:hAnsi="Times New Roman" w:eastAsia="仿宋" w:cs="仿宋"/>
                <w:b w:val="0"/>
                <w:bCs/>
                <w:color w:val="000000"/>
                <w:kern w:val="2"/>
                <w:sz w:val="21"/>
                <w:szCs w:val="21"/>
                <w:lang w:val="en-US" w:eastAsia="zh-TW" w:bidi="ar-SA"/>
              </w:rPr>
            </w:pPr>
            <w:r>
              <w:rPr>
                <w:rFonts w:hint="eastAsia" w:ascii="仿宋" w:hAnsi="Times New Roman" w:eastAsia="仿宋" w:cs="仿宋"/>
                <w:b w:val="0"/>
                <w:bCs/>
                <w:color w:val="000000"/>
                <w:kern w:val="2"/>
                <w:sz w:val="21"/>
                <w:szCs w:val="21"/>
                <w:lang w:val="en-US" w:eastAsia="zh-TW" w:bidi="ar-SA"/>
              </w:rPr>
              <w:t>能够扎实地掌握音乐的分析能力,熟练音乐记忆构写节奏、曲调、音程及和弦和弦、调式.</w:t>
            </w:r>
          </w:p>
          <w:p w14:paraId="35AEADB5">
            <w:pPr>
              <w:pageBreakBefore w:val="0"/>
              <w:widowControl w:val="0"/>
              <w:tabs>
                <w:tab w:val="left" w:pos="720"/>
              </w:tabs>
              <w:kinsoku/>
              <w:overflowPunct/>
              <w:topLinePunct w:val="0"/>
              <w:bidi w:val="0"/>
              <w:spacing w:line="240" w:lineRule="auto"/>
              <w:jc w:val="both"/>
              <w:rPr>
                <w:rFonts w:hint="eastAsia" w:ascii="仿宋" w:hAnsi="Times New Roman" w:eastAsia="仿宋" w:cs="仿宋"/>
                <w:b w:val="0"/>
                <w:bCs/>
                <w:color w:val="000000"/>
                <w:kern w:val="2"/>
                <w:sz w:val="21"/>
                <w:szCs w:val="21"/>
                <w:lang w:val="en-US" w:eastAsia="zh-TW" w:bidi="ar-SA"/>
              </w:rPr>
            </w:pPr>
          </w:p>
        </w:tc>
        <w:tc>
          <w:tcPr>
            <w:tcW w:w="1535" w:type="dxa"/>
            <w:tcBorders>
              <w:top w:val="single" w:color="000000" w:sz="4" w:space="0"/>
              <w:left w:val="single" w:color="000000" w:sz="4" w:space="0"/>
              <w:bottom w:val="single" w:color="000000" w:sz="4" w:space="0"/>
              <w:right w:val="single" w:color="000000" w:sz="4" w:space="0"/>
            </w:tcBorders>
            <w:noWrap/>
            <w:vAlign w:val="top"/>
          </w:tcPr>
          <w:p w14:paraId="09BCF137">
            <w:pPr>
              <w:pageBreakBefore w:val="0"/>
              <w:widowControl w:val="0"/>
              <w:tabs>
                <w:tab w:val="left" w:pos="720"/>
              </w:tabs>
              <w:kinsoku/>
              <w:overflowPunct/>
              <w:topLinePunct w:val="0"/>
              <w:bidi w:val="0"/>
              <w:spacing w:line="240" w:lineRule="auto"/>
              <w:jc w:val="both"/>
              <w:rPr>
                <w:rFonts w:hint="eastAsia" w:ascii="仿宋" w:hAnsi="Times New Roman" w:eastAsia="仿宋" w:cs="仿宋"/>
                <w:b w:val="0"/>
                <w:bCs/>
                <w:color w:val="000000"/>
                <w:kern w:val="2"/>
                <w:sz w:val="21"/>
                <w:szCs w:val="21"/>
                <w:lang w:val="en-US" w:eastAsia="zh-TW" w:bidi="ar-SA"/>
              </w:rPr>
            </w:pPr>
            <w:r>
              <w:rPr>
                <w:rFonts w:hint="eastAsia" w:ascii="仿宋" w:hAnsi="Times New Roman" w:eastAsia="仿宋" w:cs="仿宋"/>
                <w:b w:val="0"/>
                <w:bCs/>
                <w:color w:val="000000"/>
                <w:kern w:val="2"/>
                <w:sz w:val="21"/>
                <w:szCs w:val="21"/>
                <w:lang w:val="en-US" w:eastAsia="zh-TW" w:bidi="ar-SA"/>
              </w:rPr>
              <w:t xml:space="preserve">   能够良好地掌握音乐的分析能力,熟练音乐记忆构写节奏、曲调、音程及和弦和弦、调式.</w:t>
            </w:r>
          </w:p>
          <w:p w14:paraId="0D085D17">
            <w:pPr>
              <w:pageBreakBefore w:val="0"/>
              <w:widowControl w:val="0"/>
              <w:tabs>
                <w:tab w:val="left" w:pos="720"/>
              </w:tabs>
              <w:kinsoku/>
              <w:overflowPunct/>
              <w:topLinePunct w:val="0"/>
              <w:bidi w:val="0"/>
              <w:spacing w:line="240" w:lineRule="auto"/>
              <w:jc w:val="both"/>
              <w:rPr>
                <w:rFonts w:hint="eastAsia" w:ascii="仿宋" w:hAnsi="Times New Roman" w:eastAsia="仿宋" w:cs="仿宋"/>
                <w:b w:val="0"/>
                <w:bCs/>
                <w:color w:val="000000"/>
                <w:kern w:val="2"/>
                <w:sz w:val="21"/>
                <w:szCs w:val="21"/>
                <w:lang w:val="en-US" w:eastAsia="zh-TW" w:bidi="ar-SA"/>
              </w:rPr>
            </w:pPr>
          </w:p>
        </w:tc>
        <w:tc>
          <w:tcPr>
            <w:tcW w:w="1535" w:type="dxa"/>
            <w:tcBorders>
              <w:top w:val="single" w:color="000000" w:sz="4" w:space="0"/>
              <w:left w:val="single" w:color="000000" w:sz="4" w:space="0"/>
              <w:bottom w:val="single" w:color="000000" w:sz="4" w:space="0"/>
              <w:right w:val="single" w:color="000000" w:sz="4" w:space="0"/>
            </w:tcBorders>
            <w:noWrap/>
            <w:vAlign w:val="top"/>
          </w:tcPr>
          <w:p w14:paraId="5E15DC03">
            <w:pPr>
              <w:pageBreakBefore w:val="0"/>
              <w:widowControl w:val="0"/>
              <w:tabs>
                <w:tab w:val="left" w:pos="720"/>
              </w:tabs>
              <w:kinsoku/>
              <w:overflowPunct/>
              <w:topLinePunct w:val="0"/>
              <w:bidi w:val="0"/>
              <w:spacing w:line="240" w:lineRule="auto"/>
              <w:jc w:val="both"/>
              <w:rPr>
                <w:rFonts w:hint="eastAsia" w:ascii="仿宋" w:hAnsi="Times New Roman" w:eastAsia="仿宋" w:cs="仿宋"/>
                <w:b w:val="0"/>
                <w:bCs/>
                <w:color w:val="000000"/>
                <w:kern w:val="2"/>
                <w:sz w:val="21"/>
                <w:szCs w:val="21"/>
                <w:lang w:val="en-US" w:eastAsia="zh-TW" w:bidi="ar-SA"/>
              </w:rPr>
            </w:pPr>
            <w:r>
              <w:rPr>
                <w:rFonts w:hint="eastAsia" w:ascii="仿宋" w:hAnsi="Times New Roman" w:eastAsia="仿宋" w:cs="仿宋"/>
                <w:b w:val="0"/>
                <w:bCs/>
                <w:color w:val="000000"/>
                <w:kern w:val="2"/>
                <w:sz w:val="21"/>
                <w:szCs w:val="21"/>
                <w:lang w:val="en-US" w:eastAsia="zh-TW" w:bidi="ar-SA"/>
              </w:rPr>
              <w:t>能够基本地掌握音乐的分析能力,能够构写音乐记忆节奏、曲调、音程及和弦和弦、调式.</w:t>
            </w:r>
          </w:p>
          <w:p w14:paraId="301F61AE">
            <w:pPr>
              <w:pageBreakBefore w:val="0"/>
              <w:widowControl w:val="0"/>
              <w:tabs>
                <w:tab w:val="left" w:pos="720"/>
              </w:tabs>
              <w:kinsoku/>
              <w:overflowPunct/>
              <w:topLinePunct w:val="0"/>
              <w:bidi w:val="0"/>
              <w:spacing w:line="240" w:lineRule="auto"/>
              <w:jc w:val="both"/>
              <w:rPr>
                <w:rFonts w:hint="eastAsia" w:ascii="仿宋" w:hAnsi="Times New Roman" w:eastAsia="仿宋" w:cs="仿宋"/>
                <w:b w:val="0"/>
                <w:bCs/>
                <w:color w:val="000000"/>
                <w:kern w:val="2"/>
                <w:sz w:val="21"/>
                <w:szCs w:val="21"/>
                <w:lang w:val="en-US" w:eastAsia="zh-TW" w:bidi="ar-SA"/>
              </w:rPr>
            </w:pPr>
          </w:p>
        </w:tc>
        <w:tc>
          <w:tcPr>
            <w:tcW w:w="1535" w:type="dxa"/>
            <w:tcBorders>
              <w:top w:val="single" w:color="000000" w:sz="4" w:space="0"/>
              <w:left w:val="single" w:color="000000" w:sz="4" w:space="0"/>
              <w:bottom w:val="single" w:color="000000" w:sz="4" w:space="0"/>
              <w:right w:val="single" w:color="000000" w:sz="4" w:space="0"/>
            </w:tcBorders>
            <w:noWrap/>
            <w:vAlign w:val="top"/>
          </w:tcPr>
          <w:p w14:paraId="6C64C46B">
            <w:pPr>
              <w:pageBreakBefore w:val="0"/>
              <w:widowControl w:val="0"/>
              <w:tabs>
                <w:tab w:val="left" w:pos="720"/>
              </w:tabs>
              <w:kinsoku/>
              <w:overflowPunct/>
              <w:topLinePunct w:val="0"/>
              <w:bidi w:val="0"/>
              <w:spacing w:line="240" w:lineRule="auto"/>
              <w:jc w:val="both"/>
              <w:rPr>
                <w:rFonts w:hint="eastAsia" w:ascii="仿宋" w:hAnsi="Times New Roman" w:eastAsia="仿宋" w:cs="仿宋"/>
                <w:b w:val="0"/>
                <w:bCs/>
                <w:color w:val="000000"/>
                <w:kern w:val="2"/>
                <w:sz w:val="21"/>
                <w:szCs w:val="21"/>
                <w:lang w:val="en-US" w:eastAsia="zh-TW" w:bidi="ar-SA"/>
              </w:rPr>
            </w:pPr>
            <w:r>
              <w:rPr>
                <w:rFonts w:hint="eastAsia" w:ascii="仿宋" w:hAnsi="Times New Roman" w:eastAsia="仿宋" w:cs="仿宋"/>
                <w:b w:val="0"/>
                <w:bCs/>
                <w:color w:val="000000"/>
                <w:kern w:val="2"/>
                <w:sz w:val="21"/>
                <w:szCs w:val="21"/>
                <w:lang w:val="en-US" w:eastAsia="zh-TW" w:bidi="ar-SA"/>
              </w:rPr>
              <w:t>能够部分地掌握音乐的分析能力,构写部分音乐记忆节奏、曲调、音程及和弦和弦、调式.</w:t>
            </w:r>
          </w:p>
          <w:p w14:paraId="45647C09">
            <w:pPr>
              <w:pageBreakBefore w:val="0"/>
              <w:widowControl w:val="0"/>
              <w:tabs>
                <w:tab w:val="left" w:pos="720"/>
              </w:tabs>
              <w:kinsoku/>
              <w:overflowPunct/>
              <w:topLinePunct w:val="0"/>
              <w:bidi w:val="0"/>
              <w:spacing w:line="240" w:lineRule="auto"/>
              <w:jc w:val="both"/>
              <w:rPr>
                <w:rFonts w:hint="eastAsia" w:ascii="仿宋" w:hAnsi="Times New Roman" w:eastAsia="仿宋" w:cs="仿宋"/>
                <w:b w:val="0"/>
                <w:bCs/>
                <w:color w:val="000000"/>
                <w:kern w:val="2"/>
                <w:sz w:val="21"/>
                <w:szCs w:val="21"/>
                <w:lang w:val="en-US" w:eastAsia="zh-TW" w:bidi="ar-SA"/>
              </w:rPr>
            </w:pPr>
          </w:p>
          <w:p w14:paraId="63355E39">
            <w:pPr>
              <w:pageBreakBefore w:val="0"/>
              <w:widowControl w:val="0"/>
              <w:tabs>
                <w:tab w:val="left" w:pos="720"/>
              </w:tabs>
              <w:kinsoku/>
              <w:overflowPunct/>
              <w:topLinePunct w:val="0"/>
              <w:bidi w:val="0"/>
              <w:spacing w:line="240" w:lineRule="auto"/>
              <w:jc w:val="both"/>
              <w:rPr>
                <w:rFonts w:hint="eastAsia" w:ascii="仿宋" w:hAnsi="Times New Roman" w:eastAsia="仿宋" w:cs="仿宋"/>
                <w:b w:val="0"/>
                <w:bCs/>
                <w:color w:val="000000"/>
                <w:kern w:val="2"/>
                <w:sz w:val="21"/>
                <w:szCs w:val="21"/>
                <w:lang w:val="en-US" w:eastAsia="zh-TW" w:bidi="ar-SA"/>
              </w:rPr>
            </w:pPr>
          </w:p>
        </w:tc>
        <w:tc>
          <w:tcPr>
            <w:tcW w:w="1535" w:type="dxa"/>
            <w:tcBorders>
              <w:top w:val="single" w:color="000000" w:sz="4" w:space="0"/>
              <w:left w:val="single" w:color="000000" w:sz="4" w:space="0"/>
              <w:bottom w:val="single" w:color="000000" w:sz="4" w:space="0"/>
              <w:right w:val="single" w:color="000000" w:sz="4" w:space="0"/>
            </w:tcBorders>
            <w:noWrap/>
            <w:vAlign w:val="top"/>
          </w:tcPr>
          <w:p w14:paraId="0D42197F">
            <w:pPr>
              <w:pageBreakBefore w:val="0"/>
              <w:widowControl w:val="0"/>
              <w:tabs>
                <w:tab w:val="left" w:pos="720"/>
              </w:tabs>
              <w:kinsoku/>
              <w:overflowPunct/>
              <w:topLinePunct w:val="0"/>
              <w:bidi w:val="0"/>
              <w:spacing w:line="240" w:lineRule="auto"/>
              <w:jc w:val="both"/>
              <w:rPr>
                <w:rFonts w:hint="eastAsia" w:ascii="仿宋" w:hAnsi="Times New Roman" w:eastAsia="仿宋" w:cs="仿宋"/>
                <w:b w:val="0"/>
                <w:bCs/>
                <w:color w:val="000000"/>
                <w:kern w:val="2"/>
                <w:sz w:val="21"/>
                <w:szCs w:val="21"/>
                <w:lang w:val="en-US" w:eastAsia="zh-TW" w:bidi="ar-SA"/>
              </w:rPr>
            </w:pPr>
            <w:r>
              <w:rPr>
                <w:rFonts w:hint="eastAsia" w:ascii="仿宋" w:hAnsi="Times New Roman" w:eastAsia="仿宋" w:cs="仿宋"/>
                <w:b w:val="0"/>
                <w:bCs/>
                <w:color w:val="000000"/>
                <w:kern w:val="2"/>
                <w:sz w:val="21"/>
                <w:szCs w:val="21"/>
                <w:lang w:val="en-US" w:eastAsia="zh-TW" w:bidi="ar-SA"/>
              </w:rPr>
              <w:t>无法掌握音乐的分析能力,无法构写音乐记忆节奏、曲调、音程及和弦和弦、调式.</w:t>
            </w:r>
          </w:p>
          <w:p w14:paraId="6456F54F">
            <w:pPr>
              <w:pageBreakBefore w:val="0"/>
              <w:widowControl w:val="0"/>
              <w:tabs>
                <w:tab w:val="left" w:pos="720"/>
              </w:tabs>
              <w:kinsoku/>
              <w:overflowPunct/>
              <w:topLinePunct w:val="0"/>
              <w:bidi w:val="0"/>
              <w:spacing w:line="240" w:lineRule="auto"/>
              <w:jc w:val="both"/>
              <w:rPr>
                <w:rFonts w:hint="eastAsia" w:ascii="仿宋" w:hAnsi="Times New Roman" w:eastAsia="仿宋" w:cs="仿宋"/>
                <w:b w:val="0"/>
                <w:bCs/>
                <w:color w:val="000000"/>
                <w:kern w:val="2"/>
                <w:sz w:val="21"/>
                <w:szCs w:val="21"/>
                <w:lang w:val="en-US" w:eastAsia="zh-TW" w:bidi="ar-SA"/>
              </w:rPr>
            </w:pPr>
          </w:p>
        </w:tc>
      </w:tr>
      <w:tr w14:paraId="1D3D562B">
        <w:trPr>
          <w:trHeight w:val="624" w:hRule="atLeast"/>
        </w:trPr>
        <w:tc>
          <w:tcPr>
            <w:tcW w:w="1535" w:type="dxa"/>
            <w:tcBorders>
              <w:top w:val="single" w:color="000000" w:sz="4" w:space="0"/>
              <w:left w:val="single" w:color="000000" w:sz="4" w:space="0"/>
              <w:bottom w:val="single" w:color="000000" w:sz="4" w:space="0"/>
              <w:right w:val="single" w:color="000000" w:sz="4" w:space="0"/>
            </w:tcBorders>
            <w:noWrap/>
            <w:vAlign w:val="top"/>
          </w:tcPr>
          <w:p w14:paraId="2BB326A6">
            <w:pPr>
              <w:pageBreakBefore w:val="0"/>
              <w:widowControl w:val="0"/>
              <w:tabs>
                <w:tab w:val="left" w:pos="720"/>
              </w:tabs>
              <w:kinsoku/>
              <w:overflowPunct/>
              <w:topLinePunct w:val="0"/>
              <w:bidi w:val="0"/>
              <w:spacing w:line="240" w:lineRule="auto"/>
              <w:jc w:val="both"/>
              <w:rPr>
                <w:rFonts w:hint="eastAsia" w:ascii="仿宋" w:hAnsi="Times New Roman" w:eastAsia="仿宋" w:cs="仿宋"/>
                <w:b w:val="0"/>
                <w:bCs/>
                <w:color w:val="000000"/>
                <w:kern w:val="2"/>
                <w:sz w:val="21"/>
                <w:szCs w:val="21"/>
                <w:lang w:val="en-US" w:eastAsia="zh-TW" w:bidi="ar-SA"/>
              </w:rPr>
            </w:pPr>
            <w:r>
              <w:rPr>
                <w:rFonts w:hint="eastAsia" w:ascii="仿宋" w:hAnsi="Times New Roman" w:eastAsia="仿宋" w:cs="仿宋"/>
                <w:b w:val="0"/>
                <w:bCs/>
                <w:color w:val="000000"/>
                <w:kern w:val="2"/>
                <w:sz w:val="21"/>
                <w:szCs w:val="21"/>
                <w:lang w:val="en-US" w:eastAsia="zh-TW" w:bidi="ar-SA"/>
              </w:rPr>
              <w:t>课程目标3：能够对音乐教育教学实践活动进行有效的自我诊断，提出改进思路。（支撑毕业要求7.1）</w:t>
            </w:r>
          </w:p>
        </w:tc>
        <w:tc>
          <w:tcPr>
            <w:tcW w:w="1535" w:type="dxa"/>
            <w:tcBorders>
              <w:top w:val="single" w:color="000000" w:sz="4" w:space="0"/>
              <w:left w:val="single" w:color="000000" w:sz="4" w:space="0"/>
              <w:bottom w:val="single" w:color="000000" w:sz="4" w:space="0"/>
              <w:right w:val="single" w:color="000000" w:sz="4" w:space="0"/>
            </w:tcBorders>
            <w:noWrap/>
            <w:vAlign w:val="top"/>
          </w:tcPr>
          <w:p w14:paraId="2515ECA5">
            <w:pPr>
              <w:pageBreakBefore w:val="0"/>
              <w:widowControl w:val="0"/>
              <w:tabs>
                <w:tab w:val="left" w:pos="720"/>
              </w:tabs>
              <w:kinsoku/>
              <w:overflowPunct/>
              <w:topLinePunct w:val="0"/>
              <w:bidi w:val="0"/>
              <w:spacing w:line="240" w:lineRule="auto"/>
              <w:jc w:val="both"/>
              <w:rPr>
                <w:rFonts w:hint="eastAsia" w:ascii="仿宋" w:hAnsi="Times New Roman" w:eastAsia="仿宋" w:cs="仿宋"/>
                <w:b w:val="0"/>
                <w:bCs/>
                <w:color w:val="000000"/>
                <w:kern w:val="2"/>
                <w:sz w:val="21"/>
                <w:szCs w:val="21"/>
                <w:lang w:val="en-US" w:eastAsia="zh-TW" w:bidi="ar-SA"/>
              </w:rPr>
            </w:pPr>
            <w:r>
              <w:rPr>
                <w:rFonts w:hint="eastAsia" w:ascii="仿宋" w:hAnsi="Times New Roman" w:eastAsia="仿宋" w:cs="仿宋"/>
                <w:b w:val="0"/>
                <w:bCs/>
                <w:color w:val="000000"/>
                <w:kern w:val="2"/>
                <w:sz w:val="21"/>
                <w:szCs w:val="21"/>
                <w:lang w:val="en-US" w:eastAsia="zh-TW" w:bidi="ar-SA"/>
              </w:rPr>
              <w:t>具有较强的分析能力，能够自主对其所学的技能进行正确的反思,并自主学习.</w:t>
            </w:r>
          </w:p>
        </w:tc>
        <w:tc>
          <w:tcPr>
            <w:tcW w:w="1535" w:type="dxa"/>
            <w:tcBorders>
              <w:top w:val="single" w:color="000000" w:sz="4" w:space="0"/>
              <w:left w:val="single" w:color="000000" w:sz="4" w:space="0"/>
              <w:bottom w:val="single" w:color="000000" w:sz="4" w:space="0"/>
              <w:right w:val="single" w:color="000000" w:sz="4" w:space="0"/>
            </w:tcBorders>
            <w:noWrap/>
            <w:vAlign w:val="top"/>
          </w:tcPr>
          <w:p w14:paraId="13452E73">
            <w:pPr>
              <w:pageBreakBefore w:val="0"/>
              <w:widowControl w:val="0"/>
              <w:tabs>
                <w:tab w:val="left" w:pos="720"/>
              </w:tabs>
              <w:kinsoku/>
              <w:overflowPunct/>
              <w:topLinePunct w:val="0"/>
              <w:bidi w:val="0"/>
              <w:spacing w:line="240" w:lineRule="auto"/>
              <w:jc w:val="both"/>
              <w:rPr>
                <w:rFonts w:hint="eastAsia" w:ascii="仿宋" w:hAnsi="Times New Roman" w:eastAsia="仿宋" w:cs="仿宋"/>
                <w:b w:val="0"/>
                <w:bCs/>
                <w:color w:val="000000"/>
                <w:kern w:val="2"/>
                <w:sz w:val="21"/>
                <w:szCs w:val="21"/>
                <w:lang w:val="en-US" w:eastAsia="zh-TW" w:bidi="ar-SA"/>
              </w:rPr>
            </w:pPr>
            <w:r>
              <w:rPr>
                <w:rFonts w:hint="eastAsia" w:ascii="仿宋" w:hAnsi="Times New Roman" w:eastAsia="仿宋" w:cs="仿宋"/>
                <w:b w:val="0"/>
                <w:bCs/>
                <w:color w:val="000000"/>
                <w:kern w:val="2"/>
                <w:sz w:val="21"/>
                <w:szCs w:val="21"/>
                <w:lang w:val="en-US" w:eastAsia="zh-TW" w:bidi="ar-SA"/>
              </w:rPr>
              <w:t>具有良好的分析能力，能够自主对其所学的技能进行正确的反思,并自主学习.</w:t>
            </w:r>
          </w:p>
        </w:tc>
        <w:tc>
          <w:tcPr>
            <w:tcW w:w="1535" w:type="dxa"/>
            <w:tcBorders>
              <w:top w:val="single" w:color="000000" w:sz="4" w:space="0"/>
              <w:left w:val="single" w:color="000000" w:sz="4" w:space="0"/>
              <w:bottom w:val="single" w:color="000000" w:sz="4" w:space="0"/>
              <w:right w:val="single" w:color="000000" w:sz="4" w:space="0"/>
            </w:tcBorders>
            <w:noWrap/>
            <w:vAlign w:val="top"/>
          </w:tcPr>
          <w:p w14:paraId="59D22563">
            <w:pPr>
              <w:pageBreakBefore w:val="0"/>
              <w:widowControl w:val="0"/>
              <w:tabs>
                <w:tab w:val="left" w:pos="720"/>
              </w:tabs>
              <w:kinsoku/>
              <w:overflowPunct/>
              <w:topLinePunct w:val="0"/>
              <w:bidi w:val="0"/>
              <w:spacing w:line="240" w:lineRule="auto"/>
              <w:jc w:val="both"/>
              <w:rPr>
                <w:rFonts w:hint="eastAsia" w:ascii="仿宋" w:hAnsi="Times New Roman" w:eastAsia="仿宋" w:cs="仿宋"/>
                <w:b w:val="0"/>
                <w:bCs/>
                <w:color w:val="000000"/>
                <w:kern w:val="2"/>
                <w:sz w:val="21"/>
                <w:szCs w:val="21"/>
                <w:lang w:val="en-US" w:eastAsia="zh-TW" w:bidi="ar-SA"/>
              </w:rPr>
            </w:pPr>
            <w:r>
              <w:rPr>
                <w:rFonts w:hint="eastAsia" w:ascii="仿宋" w:hAnsi="Times New Roman" w:eastAsia="仿宋" w:cs="仿宋"/>
                <w:b w:val="0"/>
                <w:bCs/>
                <w:color w:val="000000"/>
                <w:kern w:val="2"/>
                <w:sz w:val="21"/>
                <w:szCs w:val="21"/>
                <w:lang w:val="en-US" w:eastAsia="zh-TW" w:bidi="ar-SA"/>
              </w:rPr>
              <w:t>具有一定的分析能力，基本能够自主对其所学的技能进行正确的反思,并自主学习</w:t>
            </w:r>
          </w:p>
        </w:tc>
        <w:tc>
          <w:tcPr>
            <w:tcW w:w="1535" w:type="dxa"/>
            <w:tcBorders>
              <w:top w:val="single" w:color="000000" w:sz="4" w:space="0"/>
              <w:left w:val="single" w:color="000000" w:sz="4" w:space="0"/>
              <w:bottom w:val="single" w:color="000000" w:sz="4" w:space="0"/>
              <w:right w:val="single" w:color="000000" w:sz="4" w:space="0"/>
            </w:tcBorders>
            <w:noWrap/>
            <w:vAlign w:val="top"/>
          </w:tcPr>
          <w:p w14:paraId="3D911EC1">
            <w:pPr>
              <w:pageBreakBefore w:val="0"/>
              <w:widowControl w:val="0"/>
              <w:tabs>
                <w:tab w:val="left" w:pos="720"/>
              </w:tabs>
              <w:kinsoku/>
              <w:overflowPunct/>
              <w:topLinePunct w:val="0"/>
              <w:bidi w:val="0"/>
              <w:spacing w:line="240" w:lineRule="auto"/>
              <w:jc w:val="both"/>
              <w:rPr>
                <w:rFonts w:hint="eastAsia" w:ascii="仿宋" w:hAnsi="Times New Roman" w:eastAsia="仿宋" w:cs="仿宋"/>
                <w:b w:val="0"/>
                <w:bCs/>
                <w:color w:val="000000"/>
                <w:kern w:val="2"/>
                <w:sz w:val="21"/>
                <w:szCs w:val="21"/>
                <w:lang w:val="en-US" w:eastAsia="zh-TW" w:bidi="ar-SA"/>
              </w:rPr>
            </w:pPr>
            <w:r>
              <w:rPr>
                <w:rFonts w:hint="eastAsia" w:ascii="仿宋" w:hAnsi="Times New Roman" w:eastAsia="仿宋" w:cs="仿宋"/>
                <w:b w:val="0"/>
                <w:bCs/>
                <w:color w:val="000000"/>
                <w:kern w:val="2"/>
                <w:sz w:val="21"/>
                <w:szCs w:val="21"/>
                <w:lang w:val="en-US" w:eastAsia="zh-TW" w:bidi="ar-SA"/>
              </w:rPr>
              <w:t>具有基本的分析能力，基本能够自主对其所学的技能进行正确的反思,并自主学习</w:t>
            </w:r>
          </w:p>
        </w:tc>
        <w:tc>
          <w:tcPr>
            <w:tcW w:w="1535" w:type="dxa"/>
            <w:tcBorders>
              <w:top w:val="single" w:color="000000" w:sz="4" w:space="0"/>
              <w:left w:val="single" w:color="000000" w:sz="4" w:space="0"/>
              <w:bottom w:val="single" w:color="000000" w:sz="4" w:space="0"/>
              <w:right w:val="single" w:color="000000" w:sz="4" w:space="0"/>
            </w:tcBorders>
            <w:noWrap/>
            <w:vAlign w:val="top"/>
          </w:tcPr>
          <w:p w14:paraId="03C26043">
            <w:pPr>
              <w:pageBreakBefore w:val="0"/>
              <w:widowControl w:val="0"/>
              <w:tabs>
                <w:tab w:val="left" w:pos="720"/>
              </w:tabs>
              <w:kinsoku/>
              <w:overflowPunct/>
              <w:topLinePunct w:val="0"/>
              <w:bidi w:val="0"/>
              <w:spacing w:line="240" w:lineRule="auto"/>
              <w:jc w:val="both"/>
              <w:rPr>
                <w:rFonts w:hint="eastAsia" w:ascii="仿宋" w:hAnsi="Times New Roman" w:eastAsia="仿宋" w:cs="仿宋"/>
                <w:b w:val="0"/>
                <w:bCs/>
                <w:color w:val="000000"/>
                <w:kern w:val="2"/>
                <w:sz w:val="21"/>
                <w:szCs w:val="21"/>
                <w:lang w:val="en-US" w:eastAsia="zh-TW" w:bidi="ar-SA"/>
              </w:rPr>
            </w:pPr>
            <w:r>
              <w:rPr>
                <w:rFonts w:hint="eastAsia" w:ascii="仿宋" w:hAnsi="Times New Roman" w:eastAsia="仿宋" w:cs="仿宋"/>
                <w:b w:val="0"/>
                <w:bCs/>
                <w:color w:val="000000"/>
                <w:kern w:val="2"/>
                <w:sz w:val="21"/>
                <w:szCs w:val="21"/>
                <w:lang w:val="en-US" w:eastAsia="zh-TW" w:bidi="ar-SA"/>
              </w:rPr>
              <w:t>缺乏基本分析的能力，不能够自主对其所学的技能进行正确的反思及自主学习</w:t>
            </w:r>
          </w:p>
        </w:tc>
      </w:tr>
    </w:tbl>
    <w:p w14:paraId="041724B1">
      <w:pPr>
        <w:rPr>
          <w:sz w:val="2"/>
          <w:szCs w:val="2"/>
        </w:rPr>
        <w:sectPr>
          <w:headerReference r:id="rId15" w:type="default"/>
          <w:footerReference r:id="rId16" w:type="default"/>
          <w:pgSz w:w="11906" w:h="16838"/>
          <w:pgMar w:top="1440" w:right="1800" w:bottom="1440" w:left="1800" w:header="851" w:footer="992" w:gutter="0"/>
          <w:cols w:space="425" w:num="1"/>
          <w:docGrid w:type="lines" w:linePitch="312" w:charSpace="0"/>
        </w:sectPr>
      </w:pPr>
    </w:p>
    <w:p w14:paraId="7209E2A4">
      <w:pPr>
        <w:pStyle w:val="10"/>
        <w:pageBreakBefore w:val="0"/>
        <w:widowControl w:val="0"/>
        <w:kinsoku/>
        <w:overflowPunct/>
        <w:topLinePunct w:val="0"/>
        <w:bidi w:val="0"/>
        <w:spacing w:line="240" w:lineRule="auto"/>
        <w:jc w:val="center"/>
        <w:rPr>
          <w:rFonts w:hint="eastAsia" w:eastAsia="微软雅黑" w:cs="Times New Roman"/>
          <w:sz w:val="44"/>
          <w:szCs w:val="44"/>
          <w:lang w:bidi="ar-SA"/>
        </w:rPr>
      </w:pPr>
      <w:r>
        <w:rPr>
          <w:rFonts w:hint="eastAsia" w:eastAsia="微软雅黑" w:cs="Times New Roman"/>
          <w:sz w:val="44"/>
          <w:szCs w:val="44"/>
          <w:lang w:bidi="ar-SA"/>
        </w:rPr>
        <w:t>三明学院音乐学（音乐教育）专业</w:t>
      </w:r>
    </w:p>
    <w:p w14:paraId="7C4EB190">
      <w:pPr>
        <w:pStyle w:val="2"/>
        <w:pageBreakBefore w:val="0"/>
        <w:widowControl w:val="0"/>
        <w:kinsoku/>
        <w:overflowPunct/>
        <w:topLinePunct w:val="0"/>
        <w:bidi w:val="0"/>
        <w:spacing w:before="0" w:beforeAutospacing="0" w:after="0" w:afterAutospacing="0" w:line="240" w:lineRule="auto"/>
        <w:jc w:val="center"/>
        <w:rPr>
          <w:rFonts w:hint="eastAsia" w:ascii="微软雅黑" w:eastAsia="微软雅黑"/>
          <w:b w:val="0"/>
          <w:bCs w:val="0"/>
          <w:sz w:val="28"/>
          <w:szCs w:val="28"/>
        </w:rPr>
      </w:pPr>
      <w:bookmarkStart w:id="54" w:name="_Toc16695030"/>
      <w:bookmarkStart w:id="55" w:name="_Toc16695239"/>
      <w:bookmarkStart w:id="56" w:name="_Toc84465645"/>
      <w:bookmarkStart w:id="57" w:name="_Toc75062318"/>
      <w:bookmarkStart w:id="58" w:name="_Toc16695549"/>
      <w:bookmarkStart w:id="59" w:name="_Toc16695343"/>
      <w:bookmarkStart w:id="60" w:name="_Toc84465671"/>
      <w:bookmarkStart w:id="61" w:name="_Toc84465593"/>
      <w:bookmarkStart w:id="62" w:name="_Toc65478580"/>
      <w:bookmarkStart w:id="63" w:name="_Toc16695451"/>
      <w:bookmarkStart w:id="64" w:name="_Toc78044637"/>
      <w:bookmarkStart w:id="65" w:name="_Toc75062415"/>
      <w:bookmarkStart w:id="66" w:name="_Toc75062209"/>
      <w:bookmarkStart w:id="67" w:name="_Toc16695136"/>
      <w:bookmarkStart w:id="68" w:name="_Toc39436505"/>
      <w:bookmarkStart w:id="69" w:name="_Toc1116758028"/>
      <w:bookmarkStart w:id="70" w:name="_Toc744675070"/>
      <w:bookmarkStart w:id="71" w:name="_Toc39436597"/>
      <w:bookmarkStart w:id="72" w:name="_Toc78044679"/>
      <w:bookmarkStart w:id="73" w:name="_Toc78044725"/>
      <w:bookmarkStart w:id="74" w:name="_Toc75062089"/>
      <w:r>
        <w:rPr>
          <w:rFonts w:hint="eastAsia" w:ascii="微软雅黑" w:eastAsia="微软雅黑"/>
          <w:b w:val="0"/>
          <w:bCs w:val="0"/>
          <w:sz w:val="44"/>
          <w:szCs w:val="44"/>
        </w:rPr>
        <w:t>《中国民族音乐》课程教学大纲</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tbl>
      <w:tblPr>
        <w:tblStyle w:val="22"/>
        <w:tblW w:w="9148"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212"/>
        <w:gridCol w:w="116"/>
        <w:gridCol w:w="226"/>
        <w:gridCol w:w="1554"/>
        <w:gridCol w:w="1192"/>
        <w:gridCol w:w="362"/>
        <w:gridCol w:w="615"/>
        <w:gridCol w:w="581"/>
        <w:gridCol w:w="358"/>
        <w:gridCol w:w="38"/>
        <w:gridCol w:w="844"/>
        <w:gridCol w:w="134"/>
        <w:gridCol w:w="1"/>
        <w:gridCol w:w="539"/>
      </w:tblGrid>
      <w:tr w14:paraId="46E44012">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14:paraId="77F4EBD5">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课程名称</w:t>
            </w:r>
          </w:p>
        </w:tc>
        <w:tc>
          <w:tcPr>
            <w:tcW w:w="4662" w:type="dxa"/>
            <w:gridSpan w:val="6"/>
            <w:tcBorders>
              <w:top w:val="single" w:color="auto" w:sz="4" w:space="0"/>
              <w:left w:val="single" w:color="auto" w:sz="4" w:space="0"/>
              <w:bottom w:val="single" w:color="auto" w:sz="4" w:space="0"/>
              <w:right w:val="single" w:color="auto" w:sz="4" w:space="0"/>
            </w:tcBorders>
            <w:noWrap/>
            <w:vAlign w:val="center"/>
          </w:tcPr>
          <w:p w14:paraId="1C263221">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CN"/>
              </w:rPr>
            </w:pPr>
            <w:r>
              <w:rPr>
                <w:rFonts w:ascii="仿宋" w:eastAsia="仿宋" w:cs="仿宋"/>
                <w:color w:val="000000"/>
                <w:sz w:val="24"/>
                <w:szCs w:val="24"/>
                <w:lang w:val="en-US" w:eastAsia="zh-CN"/>
              </w:rPr>
              <w:t>中</w:t>
            </w:r>
            <w:r>
              <w:rPr>
                <w:rFonts w:hint="eastAsia" w:ascii="仿宋" w:eastAsia="仿宋" w:cs="仿宋"/>
                <w:color w:val="000000"/>
                <w:sz w:val="24"/>
                <w:szCs w:val="24"/>
                <w:lang w:val="en-US" w:eastAsia="zh-CN"/>
              </w:rPr>
              <w:t>国民族音乐（一）</w:t>
            </w:r>
          </w:p>
          <w:p w14:paraId="79F7B381">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CN"/>
              </w:rPr>
            </w:pPr>
            <w:r>
              <w:rPr>
                <w:rFonts w:ascii="仿宋" w:eastAsia="仿宋" w:cs="仿宋"/>
                <w:color w:val="000000"/>
                <w:sz w:val="24"/>
                <w:szCs w:val="24"/>
                <w:lang w:val="en-US" w:eastAsia="zh-CN"/>
              </w:rPr>
              <w:t>中</w:t>
            </w:r>
            <w:r>
              <w:rPr>
                <w:rFonts w:hint="eastAsia" w:ascii="仿宋" w:eastAsia="仿宋" w:cs="仿宋"/>
                <w:color w:val="000000"/>
                <w:sz w:val="24"/>
                <w:szCs w:val="24"/>
                <w:lang w:val="en-US" w:eastAsia="zh-CN"/>
              </w:rPr>
              <w:t>国民族音乐（二）</w:t>
            </w:r>
          </w:p>
        </w:tc>
        <w:tc>
          <w:tcPr>
            <w:tcW w:w="1554" w:type="dxa"/>
            <w:gridSpan w:val="3"/>
            <w:tcBorders>
              <w:top w:val="single" w:color="auto" w:sz="4" w:space="0"/>
              <w:left w:val="single" w:color="auto" w:sz="4" w:space="0"/>
              <w:bottom w:val="single" w:color="auto" w:sz="4" w:space="0"/>
              <w:right w:val="single" w:color="auto" w:sz="4" w:space="0"/>
            </w:tcBorders>
            <w:noWrap/>
            <w:vAlign w:val="center"/>
          </w:tcPr>
          <w:p w14:paraId="3398DD2B">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课程代码</w:t>
            </w:r>
          </w:p>
        </w:tc>
        <w:tc>
          <w:tcPr>
            <w:tcW w:w="1556" w:type="dxa"/>
            <w:gridSpan w:val="5"/>
            <w:tcBorders>
              <w:top w:val="single" w:color="auto" w:sz="4" w:space="0"/>
              <w:left w:val="single" w:color="auto" w:sz="4" w:space="0"/>
              <w:bottom w:val="single" w:color="auto" w:sz="4" w:space="0"/>
              <w:right w:val="single" w:color="auto" w:sz="4" w:space="0"/>
            </w:tcBorders>
            <w:noWrap/>
            <w:vAlign w:val="center"/>
          </w:tcPr>
          <w:p w14:paraId="0C04E691">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CN"/>
              </w:rPr>
              <w:t>1212304609</w:t>
            </w:r>
          </w:p>
          <w:p w14:paraId="7BEB8D35">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CN"/>
              </w:rPr>
              <w:t>1212304610</w:t>
            </w:r>
          </w:p>
        </w:tc>
      </w:tr>
      <w:tr w14:paraId="17473A0C">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14:paraId="71D09DB2">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课程类型</w:t>
            </w:r>
          </w:p>
        </w:tc>
        <w:tc>
          <w:tcPr>
            <w:tcW w:w="7772" w:type="dxa"/>
            <w:gridSpan w:val="14"/>
            <w:tcBorders>
              <w:top w:val="single" w:color="auto" w:sz="4" w:space="0"/>
              <w:left w:val="single" w:color="auto" w:sz="4" w:space="0"/>
              <w:bottom w:val="single" w:color="auto" w:sz="4" w:space="0"/>
              <w:right w:val="single" w:color="auto" w:sz="4" w:space="0"/>
            </w:tcBorders>
            <w:noWrap/>
            <w:vAlign w:val="center"/>
          </w:tcPr>
          <w:p w14:paraId="5DDF93EC">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rPr>
            </w:pPr>
            <w:r>
              <w:rPr>
                <w:rFonts w:hint="eastAsia" w:ascii="仿宋" w:eastAsia="仿宋" w:cs="仿宋"/>
                <w:color w:val="000000"/>
                <w:sz w:val="24"/>
                <w:szCs w:val="24"/>
              </w:rPr>
              <w:sym w:font="Wingdings" w:char="00A8"/>
            </w:r>
            <w:r>
              <w:rPr>
                <w:rFonts w:hint="eastAsia" w:ascii="仿宋" w:eastAsia="仿宋" w:cs="仿宋"/>
                <w:color w:val="000000"/>
                <w:sz w:val="24"/>
                <w:szCs w:val="24"/>
              </w:rPr>
              <w:t xml:space="preserve">通识必修 </w:t>
            </w:r>
            <w:r>
              <w:rPr>
                <w:rFonts w:hint="eastAsia" w:ascii="仿宋" w:eastAsia="仿宋" w:cs="仿宋"/>
                <w:color w:val="000000"/>
                <w:sz w:val="24"/>
                <w:szCs w:val="24"/>
              </w:rPr>
              <w:sym w:font="Wingdings" w:char="00A8"/>
            </w:r>
            <w:r>
              <w:rPr>
                <w:rFonts w:hint="eastAsia" w:ascii="仿宋" w:eastAsia="仿宋" w:cs="仿宋"/>
                <w:color w:val="000000"/>
                <w:sz w:val="24"/>
                <w:szCs w:val="24"/>
              </w:rPr>
              <w:t xml:space="preserve">通识选修 </w:t>
            </w:r>
            <w:r>
              <w:rPr>
                <w:rFonts w:hint="eastAsia" w:ascii="仿宋" w:eastAsia="仿宋" w:cs="仿宋"/>
                <w:color w:val="000000"/>
                <w:sz w:val="24"/>
                <w:szCs w:val="24"/>
              </w:rPr>
              <w:sym w:font="Wingdings" w:char="00FE"/>
            </w:r>
            <w:r>
              <w:rPr>
                <w:rFonts w:hint="eastAsia" w:ascii="仿宋" w:eastAsia="仿宋" w:cs="仿宋"/>
                <w:color w:val="000000"/>
                <w:sz w:val="24"/>
                <w:szCs w:val="24"/>
              </w:rPr>
              <w:t xml:space="preserve">专业必修 </w:t>
            </w:r>
          </w:p>
          <w:p w14:paraId="411C96A9">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rPr>
            </w:pPr>
            <w:r>
              <w:rPr>
                <w:rFonts w:hint="eastAsia" w:ascii="仿宋" w:eastAsia="仿宋" w:cs="仿宋"/>
                <w:color w:val="000000"/>
                <w:sz w:val="24"/>
                <w:szCs w:val="24"/>
              </w:rPr>
              <w:sym w:font="Wingdings" w:char="00A8"/>
            </w:r>
            <w:r>
              <w:rPr>
                <w:rFonts w:hint="eastAsia" w:ascii="仿宋" w:eastAsia="仿宋" w:cs="仿宋"/>
                <w:color w:val="000000"/>
                <w:sz w:val="24"/>
                <w:szCs w:val="24"/>
              </w:rPr>
              <w:t>专业选修</w:t>
            </w:r>
            <w:r>
              <w:rPr>
                <w:rFonts w:hint="eastAsia" w:ascii="仿宋" w:eastAsia="仿宋" w:cs="仿宋"/>
                <w:color w:val="000000"/>
                <w:sz w:val="24"/>
                <w:szCs w:val="24"/>
                <w:lang w:eastAsia="zh-TW"/>
              </w:rPr>
              <w:t xml:space="preserve"> </w:t>
            </w:r>
            <w:r>
              <w:rPr>
                <w:rFonts w:hint="eastAsia" w:ascii="仿宋" w:eastAsia="仿宋" w:cs="仿宋"/>
                <w:color w:val="000000"/>
                <w:sz w:val="24"/>
                <w:szCs w:val="24"/>
              </w:rPr>
              <w:sym w:font="Wingdings" w:char="00A8"/>
            </w:r>
            <w:r>
              <w:rPr>
                <w:rFonts w:hint="eastAsia" w:ascii="仿宋" w:eastAsia="仿宋" w:cs="仿宋"/>
                <w:color w:val="000000"/>
                <w:sz w:val="24"/>
                <w:szCs w:val="24"/>
              </w:rPr>
              <w:t xml:space="preserve">教师教育必修 </w:t>
            </w:r>
            <w:r>
              <w:rPr>
                <w:rFonts w:hint="eastAsia" w:ascii="仿宋" w:eastAsia="仿宋" w:cs="仿宋"/>
                <w:color w:val="000000"/>
                <w:sz w:val="24"/>
                <w:szCs w:val="24"/>
              </w:rPr>
              <w:sym w:font="Wingdings" w:char="00A8"/>
            </w:r>
            <w:r>
              <w:rPr>
                <w:rFonts w:hint="eastAsia" w:ascii="仿宋" w:eastAsia="仿宋" w:cs="仿宋"/>
                <w:color w:val="000000"/>
                <w:sz w:val="24"/>
                <w:szCs w:val="24"/>
              </w:rPr>
              <w:t>教师教育选修</w:t>
            </w:r>
          </w:p>
        </w:tc>
      </w:tr>
      <w:tr w14:paraId="58BC011A">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14:paraId="088D165A">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开课学期</w:t>
            </w:r>
          </w:p>
        </w:tc>
        <w:tc>
          <w:tcPr>
            <w:tcW w:w="1554" w:type="dxa"/>
            <w:gridSpan w:val="3"/>
            <w:tcBorders>
              <w:top w:val="single" w:color="auto" w:sz="4" w:space="0"/>
              <w:left w:val="single" w:color="auto" w:sz="4" w:space="0"/>
              <w:bottom w:val="single" w:color="auto" w:sz="4" w:space="0"/>
              <w:right w:val="single" w:color="auto" w:sz="4" w:space="0"/>
            </w:tcBorders>
            <w:noWrap/>
            <w:vAlign w:val="center"/>
          </w:tcPr>
          <w:p w14:paraId="2F7F7D7A">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第</w:t>
            </w:r>
            <w:r>
              <w:rPr>
                <w:rFonts w:ascii="仿宋" w:eastAsia="仿宋" w:cs="仿宋"/>
                <w:color w:val="000000"/>
                <w:sz w:val="24"/>
                <w:szCs w:val="24"/>
                <w:lang w:val="en-US"/>
              </w:rPr>
              <w:t>1</w:t>
            </w:r>
            <w:r>
              <w:rPr>
                <w:rFonts w:hint="eastAsia" w:ascii="仿宋" w:eastAsia="仿宋" w:cs="仿宋"/>
                <w:color w:val="000000"/>
                <w:sz w:val="24"/>
                <w:szCs w:val="24"/>
                <w:lang w:val="en-US" w:eastAsia="zh-CN"/>
              </w:rPr>
              <w:t>、2</w:t>
            </w:r>
            <w:r>
              <w:rPr>
                <w:rFonts w:hint="eastAsia" w:ascii="仿宋" w:eastAsia="仿宋" w:cs="仿宋"/>
                <w:color w:val="000000"/>
                <w:sz w:val="24"/>
                <w:szCs w:val="24"/>
              </w:rPr>
              <w:t>学期</w:t>
            </w:r>
          </w:p>
        </w:tc>
        <w:tc>
          <w:tcPr>
            <w:tcW w:w="1554" w:type="dxa"/>
            <w:tcBorders>
              <w:top w:val="single" w:color="auto" w:sz="4" w:space="0"/>
              <w:left w:val="single" w:color="auto" w:sz="4" w:space="0"/>
              <w:bottom w:val="single" w:color="auto" w:sz="4" w:space="0"/>
              <w:right w:val="single" w:color="auto" w:sz="4" w:space="0"/>
            </w:tcBorders>
            <w:noWrap/>
            <w:vAlign w:val="center"/>
          </w:tcPr>
          <w:p w14:paraId="7A877BDF">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学分</w:t>
            </w:r>
          </w:p>
        </w:tc>
        <w:tc>
          <w:tcPr>
            <w:tcW w:w="1554" w:type="dxa"/>
            <w:gridSpan w:val="2"/>
            <w:tcBorders>
              <w:top w:val="single" w:color="auto" w:sz="4" w:space="0"/>
              <w:left w:val="single" w:color="auto" w:sz="4" w:space="0"/>
              <w:bottom w:val="single" w:color="auto" w:sz="4" w:space="0"/>
              <w:right w:val="single" w:color="auto" w:sz="4" w:space="0"/>
            </w:tcBorders>
            <w:noWrap/>
            <w:vAlign w:val="center"/>
          </w:tcPr>
          <w:p w14:paraId="004337E9">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CN"/>
              </w:rPr>
              <w:t>4</w:t>
            </w:r>
          </w:p>
        </w:tc>
        <w:tc>
          <w:tcPr>
            <w:tcW w:w="1554" w:type="dxa"/>
            <w:gridSpan w:val="3"/>
            <w:tcBorders>
              <w:top w:val="single" w:color="auto" w:sz="4" w:space="0"/>
              <w:left w:val="single" w:color="auto" w:sz="4" w:space="0"/>
              <w:bottom w:val="single" w:color="auto" w:sz="4" w:space="0"/>
              <w:right w:val="single" w:color="auto" w:sz="4" w:space="0"/>
            </w:tcBorders>
            <w:noWrap/>
            <w:vAlign w:val="center"/>
          </w:tcPr>
          <w:p w14:paraId="16193160">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课程负责人</w:t>
            </w:r>
          </w:p>
        </w:tc>
        <w:tc>
          <w:tcPr>
            <w:tcW w:w="1556" w:type="dxa"/>
            <w:gridSpan w:val="5"/>
            <w:tcBorders>
              <w:top w:val="single" w:color="auto" w:sz="4" w:space="0"/>
              <w:left w:val="single" w:color="auto" w:sz="4" w:space="0"/>
              <w:bottom w:val="single" w:color="auto" w:sz="4" w:space="0"/>
              <w:right w:val="single" w:color="auto" w:sz="4" w:space="0"/>
            </w:tcBorders>
            <w:noWrap/>
            <w:vAlign w:val="center"/>
          </w:tcPr>
          <w:p w14:paraId="000DEC1F">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Hans"/>
              </w:rPr>
            </w:pPr>
            <w:r>
              <w:rPr>
                <w:rFonts w:hint="eastAsia" w:ascii="仿宋" w:eastAsia="仿宋" w:cs="仿宋"/>
                <w:color w:val="000000"/>
                <w:sz w:val="24"/>
                <w:szCs w:val="24"/>
                <w:lang w:val="en-US" w:eastAsia="zh-Hans"/>
              </w:rPr>
              <w:t>叶佳慧</w:t>
            </w:r>
          </w:p>
        </w:tc>
      </w:tr>
      <w:tr w14:paraId="7587C977">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14:paraId="3F93554B">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总学时</w:t>
            </w:r>
          </w:p>
        </w:tc>
        <w:tc>
          <w:tcPr>
            <w:tcW w:w="1554" w:type="dxa"/>
            <w:gridSpan w:val="3"/>
            <w:tcBorders>
              <w:top w:val="single" w:color="auto" w:sz="4" w:space="0"/>
              <w:left w:val="single" w:color="auto" w:sz="4" w:space="0"/>
              <w:bottom w:val="single" w:color="auto" w:sz="4" w:space="0"/>
              <w:right w:val="single" w:color="auto" w:sz="4" w:space="0"/>
            </w:tcBorders>
            <w:noWrap/>
            <w:vAlign w:val="center"/>
          </w:tcPr>
          <w:p w14:paraId="473A3BC0">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val="en-US" w:eastAsia="zh-CN"/>
              </w:rPr>
            </w:pPr>
            <w:r>
              <w:rPr>
                <w:rFonts w:hint="eastAsia" w:ascii="仿宋" w:eastAsia="仿宋" w:cs="仿宋"/>
                <w:color w:val="000000"/>
                <w:sz w:val="24"/>
                <w:szCs w:val="24"/>
                <w:lang w:val="en-US" w:eastAsia="zh-CN"/>
              </w:rPr>
              <w:t>64</w:t>
            </w:r>
          </w:p>
        </w:tc>
        <w:tc>
          <w:tcPr>
            <w:tcW w:w="1554" w:type="dxa"/>
            <w:tcBorders>
              <w:top w:val="single" w:color="auto" w:sz="4" w:space="0"/>
              <w:left w:val="single" w:color="auto" w:sz="4" w:space="0"/>
              <w:bottom w:val="single" w:color="auto" w:sz="4" w:space="0"/>
              <w:right w:val="single" w:color="auto" w:sz="4" w:space="0"/>
            </w:tcBorders>
            <w:noWrap/>
            <w:vAlign w:val="center"/>
          </w:tcPr>
          <w:p w14:paraId="03E2C798">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理论学时</w:t>
            </w:r>
          </w:p>
        </w:tc>
        <w:tc>
          <w:tcPr>
            <w:tcW w:w="1554" w:type="dxa"/>
            <w:gridSpan w:val="2"/>
            <w:tcBorders>
              <w:top w:val="single" w:color="auto" w:sz="4" w:space="0"/>
              <w:left w:val="single" w:color="auto" w:sz="4" w:space="0"/>
              <w:bottom w:val="single" w:color="auto" w:sz="4" w:space="0"/>
              <w:right w:val="single" w:color="auto" w:sz="4" w:space="0"/>
            </w:tcBorders>
            <w:noWrap/>
            <w:vAlign w:val="center"/>
          </w:tcPr>
          <w:p w14:paraId="2C8894B5">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val="en-US" w:eastAsia="zh-CN"/>
              </w:rPr>
            </w:pPr>
            <w:r>
              <w:rPr>
                <w:rFonts w:hint="eastAsia" w:ascii="仿宋" w:eastAsia="仿宋" w:cs="仿宋"/>
                <w:color w:val="000000"/>
                <w:sz w:val="24"/>
                <w:szCs w:val="24"/>
                <w:lang w:val="en-US" w:eastAsia="zh-CN"/>
              </w:rPr>
              <w:t>32</w:t>
            </w:r>
          </w:p>
        </w:tc>
        <w:tc>
          <w:tcPr>
            <w:tcW w:w="1554" w:type="dxa"/>
            <w:gridSpan w:val="3"/>
            <w:tcBorders>
              <w:top w:val="single" w:color="auto" w:sz="4" w:space="0"/>
              <w:left w:val="single" w:color="auto" w:sz="4" w:space="0"/>
              <w:bottom w:val="single" w:color="auto" w:sz="4" w:space="0"/>
              <w:right w:val="single" w:color="000000" w:sz="4" w:space="0"/>
            </w:tcBorders>
            <w:noWrap/>
            <w:vAlign w:val="center"/>
          </w:tcPr>
          <w:p w14:paraId="3EFE5A71">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实践学时</w:t>
            </w:r>
          </w:p>
        </w:tc>
        <w:tc>
          <w:tcPr>
            <w:tcW w:w="1556" w:type="dxa"/>
            <w:gridSpan w:val="5"/>
            <w:tcBorders>
              <w:top w:val="single" w:color="auto" w:sz="4" w:space="0"/>
              <w:left w:val="single" w:color="000000" w:sz="4" w:space="0"/>
              <w:bottom w:val="single" w:color="auto" w:sz="4" w:space="0"/>
              <w:right w:val="single" w:color="auto" w:sz="4" w:space="0"/>
            </w:tcBorders>
            <w:noWrap/>
            <w:vAlign w:val="center"/>
          </w:tcPr>
          <w:p w14:paraId="6B2292BA">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val="en-US" w:eastAsia="zh-CN"/>
              </w:rPr>
            </w:pPr>
            <w:r>
              <w:rPr>
                <w:rFonts w:hint="eastAsia" w:ascii="仿宋" w:eastAsia="仿宋" w:cs="仿宋"/>
                <w:color w:val="000000"/>
                <w:sz w:val="24"/>
                <w:szCs w:val="24"/>
                <w:lang w:val="en-US" w:eastAsia="zh-CN"/>
              </w:rPr>
              <w:t>32</w:t>
            </w:r>
          </w:p>
        </w:tc>
      </w:tr>
      <w:tr w14:paraId="5666EB71">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14:paraId="49EE88FE">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先修课程与后续课程</w:t>
            </w:r>
          </w:p>
        </w:tc>
        <w:tc>
          <w:tcPr>
            <w:tcW w:w="7772" w:type="dxa"/>
            <w:gridSpan w:val="14"/>
            <w:tcBorders>
              <w:top w:val="single" w:color="auto" w:sz="4" w:space="0"/>
              <w:left w:val="single" w:color="auto" w:sz="4" w:space="0"/>
              <w:bottom w:val="single" w:color="auto" w:sz="4" w:space="0"/>
              <w:right w:val="single" w:color="auto" w:sz="4" w:space="0"/>
            </w:tcBorders>
            <w:noWrap/>
            <w:vAlign w:val="center"/>
          </w:tcPr>
          <w:p w14:paraId="6D990A44">
            <w:pPr>
              <w:pageBreakBefore w:val="0"/>
              <w:widowControl w:val="0"/>
              <w:tabs>
                <w:tab w:val="left" w:pos="720"/>
              </w:tabs>
              <w:kinsoku/>
              <w:overflowPunct/>
              <w:topLinePunct w:val="0"/>
              <w:bidi w:val="0"/>
              <w:adjustRightInd w:val="0"/>
              <w:snapToGrid w:val="0"/>
              <w:spacing w:line="240" w:lineRule="auto"/>
              <w:jc w:val="left"/>
              <w:rPr>
                <w:rFonts w:hint="eastAsia" w:ascii="仿宋" w:eastAsia="仿宋" w:cs="仿宋"/>
                <w:color w:val="000000"/>
                <w:sz w:val="24"/>
                <w:szCs w:val="24"/>
                <w:lang w:val="en-US" w:eastAsia="zh-CN"/>
              </w:rPr>
            </w:pPr>
            <w:r>
              <w:rPr>
                <w:rFonts w:hint="eastAsia" w:ascii="仿宋" w:eastAsia="仿宋" w:cs="仿宋"/>
                <w:color w:val="000000"/>
                <w:sz w:val="24"/>
                <w:szCs w:val="24"/>
              </w:rPr>
              <w:t>先修课程：</w:t>
            </w:r>
            <w:r>
              <w:rPr>
                <w:rFonts w:hint="eastAsia" w:ascii="仿宋" w:eastAsia="仿宋" w:cs="仿宋"/>
                <w:color w:val="000000"/>
                <w:sz w:val="24"/>
                <w:szCs w:val="24"/>
                <w:lang w:eastAsia="zh-CN"/>
              </w:rPr>
              <w:t>《</w:t>
            </w:r>
            <w:r>
              <w:rPr>
                <w:rFonts w:hint="eastAsia" w:ascii="仿宋" w:eastAsia="仿宋" w:cs="仿宋"/>
                <w:color w:val="000000"/>
                <w:sz w:val="24"/>
                <w:szCs w:val="24"/>
                <w:lang w:val="en-US"/>
              </w:rPr>
              <w:t>视唱练耳</w:t>
            </w:r>
            <w:r>
              <w:rPr>
                <w:rFonts w:hint="eastAsia" w:ascii="仿宋" w:eastAsia="仿宋" w:cs="仿宋"/>
                <w:color w:val="000000"/>
                <w:sz w:val="24"/>
                <w:szCs w:val="24"/>
                <w:lang w:val="en-US" w:eastAsia="zh-CN"/>
              </w:rPr>
              <w:t>》</w:t>
            </w:r>
            <w:r>
              <w:rPr>
                <w:rFonts w:ascii="仿宋" w:eastAsia="仿宋" w:cs="仿宋"/>
                <w:color w:val="000000"/>
                <w:sz w:val="24"/>
                <w:szCs w:val="24"/>
              </w:rPr>
              <w:t>、</w:t>
            </w:r>
            <w:r>
              <w:rPr>
                <w:rFonts w:hint="eastAsia" w:ascii="仿宋" w:eastAsia="仿宋" w:cs="仿宋"/>
                <w:color w:val="000000"/>
                <w:sz w:val="24"/>
                <w:szCs w:val="24"/>
                <w:lang w:eastAsia="zh-CN"/>
              </w:rPr>
              <w:t>《</w:t>
            </w:r>
            <w:r>
              <w:rPr>
                <w:rFonts w:hint="eastAsia" w:ascii="仿宋" w:eastAsia="仿宋" w:cs="仿宋"/>
                <w:color w:val="000000"/>
                <w:sz w:val="24"/>
                <w:szCs w:val="24"/>
                <w:lang w:val="en-US"/>
              </w:rPr>
              <w:t>声乐基础</w:t>
            </w:r>
            <w:r>
              <w:rPr>
                <w:rFonts w:hint="eastAsia" w:ascii="仿宋" w:eastAsia="仿宋" w:cs="仿宋"/>
                <w:color w:val="000000"/>
                <w:sz w:val="24"/>
                <w:szCs w:val="24"/>
                <w:lang w:val="en-US" w:eastAsia="zh-CN"/>
              </w:rPr>
              <w:t>》</w:t>
            </w:r>
            <w:r>
              <w:rPr>
                <w:rFonts w:ascii="仿宋" w:eastAsia="仿宋" w:cs="仿宋"/>
                <w:color w:val="000000"/>
                <w:sz w:val="24"/>
                <w:szCs w:val="24"/>
              </w:rPr>
              <w:t>、</w:t>
            </w:r>
            <w:r>
              <w:rPr>
                <w:rFonts w:hint="eastAsia" w:ascii="仿宋" w:eastAsia="仿宋" w:cs="仿宋"/>
                <w:color w:val="000000"/>
                <w:sz w:val="24"/>
                <w:szCs w:val="24"/>
                <w:lang w:eastAsia="zh-CN"/>
              </w:rPr>
              <w:t>《</w:t>
            </w:r>
            <w:r>
              <w:rPr>
                <w:rFonts w:hint="eastAsia" w:ascii="仿宋" w:eastAsia="仿宋" w:cs="仿宋"/>
                <w:color w:val="000000"/>
                <w:sz w:val="24"/>
                <w:szCs w:val="24"/>
                <w:lang w:val="en-US" w:eastAsia="zh-CN"/>
              </w:rPr>
              <w:t>基础</w:t>
            </w:r>
            <w:r>
              <w:rPr>
                <w:rFonts w:hint="eastAsia" w:ascii="仿宋" w:eastAsia="仿宋" w:cs="仿宋"/>
                <w:color w:val="000000"/>
                <w:sz w:val="24"/>
                <w:szCs w:val="24"/>
                <w:lang w:val="en-US"/>
              </w:rPr>
              <w:t>乐理</w:t>
            </w:r>
            <w:r>
              <w:rPr>
                <w:rFonts w:hint="eastAsia" w:ascii="仿宋" w:eastAsia="仿宋" w:cs="仿宋"/>
                <w:color w:val="000000"/>
                <w:sz w:val="24"/>
                <w:szCs w:val="24"/>
                <w:lang w:val="en-US" w:eastAsia="zh-CN"/>
              </w:rPr>
              <w:t>》</w:t>
            </w:r>
          </w:p>
          <w:p w14:paraId="6D860556">
            <w:pPr>
              <w:pageBreakBefore w:val="0"/>
              <w:widowControl w:val="0"/>
              <w:tabs>
                <w:tab w:val="left" w:pos="720"/>
              </w:tabs>
              <w:kinsoku/>
              <w:overflowPunct/>
              <w:topLinePunct w:val="0"/>
              <w:bidi w:val="0"/>
              <w:adjustRightInd w:val="0"/>
              <w:snapToGrid w:val="0"/>
              <w:spacing w:line="240" w:lineRule="auto"/>
              <w:jc w:val="left"/>
              <w:rPr>
                <w:rFonts w:hint="eastAsia" w:ascii="仿宋" w:eastAsia="仿宋" w:cs="仿宋"/>
                <w:color w:val="000000"/>
                <w:sz w:val="24"/>
                <w:szCs w:val="24"/>
              </w:rPr>
            </w:pPr>
            <w:r>
              <w:rPr>
                <w:rFonts w:hint="eastAsia" w:ascii="仿宋" w:eastAsia="仿宋" w:cs="仿宋"/>
                <w:color w:val="000000"/>
                <w:sz w:val="24"/>
                <w:szCs w:val="24"/>
              </w:rPr>
              <w:t>后续课程：</w:t>
            </w:r>
            <w:r>
              <w:rPr>
                <w:rFonts w:hint="eastAsia" w:ascii="仿宋" w:eastAsia="仿宋" w:cs="仿宋"/>
                <w:color w:val="000000"/>
                <w:sz w:val="24"/>
                <w:szCs w:val="24"/>
                <w:lang w:eastAsia="zh-CN"/>
              </w:rPr>
              <w:t>《</w:t>
            </w:r>
            <w:r>
              <w:rPr>
                <w:rFonts w:hint="eastAsia" w:ascii="仿宋" w:eastAsia="仿宋" w:cs="仿宋"/>
                <w:color w:val="000000"/>
                <w:kern w:val="0"/>
                <w:sz w:val="24"/>
                <w:szCs w:val="24"/>
                <w:shd w:val="clear" w:color="auto" w:fill="FFFFFF"/>
              </w:rPr>
              <w:t>中</w:t>
            </w:r>
            <w:r>
              <w:rPr>
                <w:rFonts w:hint="eastAsia" w:ascii="仿宋" w:eastAsia="仿宋" w:cs="仿宋"/>
                <w:color w:val="000000"/>
                <w:kern w:val="0"/>
                <w:sz w:val="24"/>
                <w:szCs w:val="24"/>
                <w:shd w:val="clear" w:color="auto" w:fill="FFFFFF"/>
                <w:lang w:val="en-US"/>
              </w:rPr>
              <w:t>国</w:t>
            </w:r>
            <w:r>
              <w:rPr>
                <w:rFonts w:hint="eastAsia" w:ascii="仿宋" w:eastAsia="仿宋" w:cs="仿宋"/>
                <w:color w:val="000000"/>
                <w:kern w:val="0"/>
                <w:sz w:val="24"/>
                <w:szCs w:val="24"/>
                <w:shd w:val="clear" w:color="auto" w:fill="FFFFFF"/>
              </w:rPr>
              <w:t>音乐史</w:t>
            </w:r>
            <w:r>
              <w:rPr>
                <w:rFonts w:hint="eastAsia" w:ascii="仿宋" w:eastAsia="仿宋" w:cs="仿宋"/>
                <w:color w:val="000000"/>
                <w:kern w:val="0"/>
                <w:sz w:val="24"/>
                <w:szCs w:val="24"/>
                <w:shd w:val="clear" w:color="auto" w:fill="FFFFFF"/>
                <w:lang w:val="en-US" w:eastAsia="zh-CN"/>
              </w:rPr>
              <w:t>与欣赏</w:t>
            </w:r>
            <w:r>
              <w:rPr>
                <w:rFonts w:hint="eastAsia" w:ascii="仿宋" w:eastAsia="仿宋" w:cs="仿宋"/>
                <w:color w:val="000000"/>
                <w:kern w:val="0"/>
                <w:sz w:val="24"/>
                <w:szCs w:val="24"/>
                <w:shd w:val="clear" w:color="auto" w:fill="FFFFFF"/>
                <w:lang w:eastAsia="zh-CN"/>
              </w:rPr>
              <w:t>》</w:t>
            </w:r>
            <w:r>
              <w:rPr>
                <w:rFonts w:ascii="仿宋" w:eastAsia="仿宋" w:cs="仿宋"/>
                <w:color w:val="000000"/>
                <w:kern w:val="0"/>
                <w:sz w:val="24"/>
                <w:szCs w:val="24"/>
                <w:shd w:val="clear" w:color="auto" w:fill="FFFFFF"/>
              </w:rPr>
              <w:t>、</w:t>
            </w:r>
            <w:r>
              <w:rPr>
                <w:rFonts w:hint="eastAsia" w:ascii="仿宋" w:eastAsia="仿宋" w:cs="仿宋"/>
                <w:color w:val="000000"/>
                <w:kern w:val="0"/>
                <w:sz w:val="24"/>
                <w:szCs w:val="24"/>
                <w:shd w:val="clear" w:color="auto" w:fill="FFFFFF"/>
                <w:lang w:val="en-US" w:eastAsia="zh-CN"/>
              </w:rPr>
              <w:t>《</w:t>
            </w:r>
            <w:r>
              <w:rPr>
                <w:rFonts w:hint="eastAsia" w:ascii="仿宋" w:eastAsia="仿宋" w:cs="仿宋"/>
                <w:color w:val="000000"/>
                <w:kern w:val="0"/>
                <w:sz w:val="24"/>
                <w:szCs w:val="24"/>
                <w:shd w:val="clear" w:color="auto" w:fill="FFFFFF"/>
                <w:lang w:val="en-US"/>
              </w:rPr>
              <w:t>声乐演唱</w:t>
            </w:r>
            <w:r>
              <w:rPr>
                <w:rFonts w:hint="eastAsia" w:ascii="仿宋" w:eastAsia="仿宋" w:cs="仿宋"/>
                <w:color w:val="000000"/>
                <w:kern w:val="0"/>
                <w:sz w:val="24"/>
                <w:szCs w:val="24"/>
                <w:shd w:val="clear" w:color="auto" w:fill="FFFFFF"/>
                <w:lang w:val="en-US" w:eastAsia="zh-CN"/>
              </w:rPr>
              <w:t>》</w:t>
            </w:r>
            <w:r>
              <w:rPr>
                <w:rFonts w:ascii="仿宋" w:eastAsia="仿宋" w:cs="仿宋"/>
                <w:color w:val="000000"/>
                <w:kern w:val="0"/>
                <w:sz w:val="24"/>
                <w:szCs w:val="24"/>
                <w:shd w:val="clear" w:color="auto" w:fill="FFFFFF"/>
              </w:rPr>
              <w:t>、</w:t>
            </w:r>
            <w:r>
              <w:rPr>
                <w:rFonts w:hint="eastAsia" w:ascii="仿宋" w:eastAsia="仿宋" w:cs="仿宋"/>
                <w:color w:val="000000"/>
                <w:kern w:val="0"/>
                <w:sz w:val="24"/>
                <w:szCs w:val="24"/>
                <w:shd w:val="clear" w:color="auto" w:fill="FFFFFF"/>
                <w:lang w:eastAsia="zh-CN"/>
              </w:rPr>
              <w:t>《</w:t>
            </w:r>
            <w:r>
              <w:rPr>
                <w:rFonts w:hint="eastAsia" w:ascii="仿宋" w:eastAsia="仿宋" w:cs="仿宋"/>
                <w:color w:val="000000"/>
                <w:sz w:val="24"/>
                <w:szCs w:val="24"/>
                <w:lang w:val="en-US" w:eastAsia="zh-CN"/>
              </w:rPr>
              <w:t>乐器演奏》</w:t>
            </w:r>
            <w:r>
              <w:rPr>
                <w:rFonts w:hint="eastAsia" w:ascii="仿宋" w:eastAsia="仿宋" w:cs="仿宋"/>
                <w:color w:val="000000"/>
                <w:sz w:val="24"/>
                <w:szCs w:val="24"/>
              </w:rPr>
              <w:t>等</w:t>
            </w:r>
          </w:p>
        </w:tc>
      </w:tr>
      <w:tr w14:paraId="454BBE99">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14:paraId="7BC3B087">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适用专业</w:t>
            </w:r>
          </w:p>
        </w:tc>
        <w:tc>
          <w:tcPr>
            <w:tcW w:w="7772" w:type="dxa"/>
            <w:gridSpan w:val="14"/>
            <w:tcBorders>
              <w:top w:val="single" w:color="auto" w:sz="4" w:space="0"/>
              <w:left w:val="single" w:color="auto" w:sz="4" w:space="0"/>
              <w:bottom w:val="single" w:color="auto" w:sz="4" w:space="0"/>
              <w:right w:val="single" w:color="auto" w:sz="4" w:space="0"/>
            </w:tcBorders>
            <w:noWrap/>
            <w:vAlign w:val="center"/>
          </w:tcPr>
          <w:p w14:paraId="7B9AC292">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eastAsia="zh-CN"/>
              </w:rPr>
            </w:pPr>
            <w:r>
              <w:rPr>
                <w:rFonts w:hint="eastAsia" w:ascii="仿宋" w:eastAsia="仿宋" w:cs="仿宋"/>
                <w:color w:val="000000"/>
                <w:sz w:val="24"/>
                <w:szCs w:val="24"/>
                <w:lang w:val="en-US" w:eastAsia="zh-CN"/>
              </w:rPr>
              <w:t>音乐学</w:t>
            </w:r>
          </w:p>
        </w:tc>
      </w:tr>
      <w:tr w14:paraId="549727D9">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14:paraId="3756E440">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A</w:t>
            </w:r>
          </w:p>
          <w:p w14:paraId="120DA6EB">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参考教材</w:t>
            </w:r>
          </w:p>
        </w:tc>
        <w:tc>
          <w:tcPr>
            <w:tcW w:w="7772" w:type="dxa"/>
            <w:gridSpan w:val="14"/>
            <w:tcBorders>
              <w:top w:val="single" w:color="auto" w:sz="4" w:space="0"/>
              <w:left w:val="single" w:color="auto" w:sz="4" w:space="0"/>
              <w:bottom w:val="single" w:color="auto" w:sz="4" w:space="0"/>
              <w:right w:val="single" w:color="auto" w:sz="4" w:space="0"/>
            </w:tcBorders>
            <w:noWrap/>
            <w:vAlign w:val="center"/>
          </w:tcPr>
          <w:p w14:paraId="7245919F">
            <w:pPr>
              <w:pageBreakBefore w:val="0"/>
              <w:widowControl w:val="0"/>
              <w:tabs>
                <w:tab w:val="left" w:pos="720"/>
              </w:tabs>
              <w:kinsoku/>
              <w:overflowPunct/>
              <w:topLinePunct w:val="0"/>
              <w:bidi w:val="0"/>
              <w:adjustRightInd w:val="0"/>
              <w:snapToGrid w:val="0"/>
              <w:spacing w:line="240" w:lineRule="auto"/>
              <w:rPr>
                <w:rFonts w:hint="eastAsia" w:ascii="仿宋" w:eastAsia="仿宋" w:cs="仿宋"/>
                <w:color w:val="4472C4"/>
                <w:kern w:val="0"/>
                <w:sz w:val="24"/>
                <w:szCs w:val="24"/>
                <w:lang w:val="en-US" w:eastAsia="zh-CN"/>
              </w:rPr>
            </w:pPr>
            <w:r>
              <w:rPr>
                <w:rFonts w:hint="eastAsia" w:ascii="仿宋" w:eastAsia="仿宋" w:cs="仿宋"/>
                <w:color w:val="auto"/>
                <w:kern w:val="0"/>
                <w:sz w:val="24"/>
                <w:szCs w:val="24"/>
                <w:lang w:val="en-US" w:eastAsia="zh-CN"/>
              </w:rPr>
              <w:t>1.江明惇，中国民族音乐，第三版，高等教育出版社，2007年</w:t>
            </w:r>
          </w:p>
        </w:tc>
      </w:tr>
      <w:tr w14:paraId="0A097C6C">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14:paraId="7A4C2A32">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B</w:t>
            </w:r>
          </w:p>
          <w:p w14:paraId="303E6177">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主要参考书籍</w:t>
            </w:r>
          </w:p>
        </w:tc>
        <w:tc>
          <w:tcPr>
            <w:tcW w:w="7772" w:type="dxa"/>
            <w:gridSpan w:val="14"/>
            <w:tcBorders>
              <w:top w:val="single" w:color="auto" w:sz="4" w:space="0"/>
              <w:left w:val="single" w:color="auto" w:sz="4" w:space="0"/>
              <w:bottom w:val="single" w:color="auto" w:sz="4" w:space="0"/>
              <w:right w:val="single" w:color="auto" w:sz="4" w:space="0"/>
            </w:tcBorders>
            <w:noWrap/>
            <w:vAlign w:val="center"/>
          </w:tcPr>
          <w:p w14:paraId="61FD6D11">
            <w:pPr>
              <w:pageBreakBefore w:val="0"/>
              <w:widowControl w:val="0"/>
              <w:tabs>
                <w:tab w:val="left" w:pos="720"/>
              </w:tabs>
              <w:kinsoku/>
              <w:overflowPunct/>
              <w:topLinePunct w:val="0"/>
              <w:bidi w:val="0"/>
              <w:adjustRightInd w:val="0"/>
              <w:snapToGrid w:val="0"/>
              <w:spacing w:line="240" w:lineRule="auto"/>
              <w:rPr>
                <w:rFonts w:hint="eastAsia" w:ascii="仿宋" w:eastAsia="仿宋" w:cs="仿宋"/>
                <w:color w:val="auto"/>
                <w:kern w:val="0"/>
                <w:sz w:val="24"/>
                <w:szCs w:val="24"/>
                <w:lang w:val="en-US" w:eastAsia="zh-CN"/>
              </w:rPr>
            </w:pPr>
            <w:r>
              <w:rPr>
                <w:rFonts w:hint="eastAsia" w:ascii="仿宋" w:eastAsia="仿宋" w:cs="仿宋"/>
                <w:color w:val="auto"/>
                <w:kern w:val="0"/>
                <w:sz w:val="24"/>
                <w:szCs w:val="24"/>
                <w:lang w:val="en-US" w:eastAsia="zh-CN"/>
              </w:rPr>
              <w:t>1.王耀华，中国民族音乐，福建教育出版社出版，2006年</w:t>
            </w:r>
          </w:p>
          <w:p w14:paraId="2D81EB0B">
            <w:pPr>
              <w:pageBreakBefore w:val="0"/>
              <w:widowControl w:val="0"/>
              <w:tabs>
                <w:tab w:val="left" w:pos="720"/>
              </w:tabs>
              <w:kinsoku/>
              <w:overflowPunct/>
              <w:topLinePunct w:val="0"/>
              <w:bidi w:val="0"/>
              <w:adjustRightInd w:val="0"/>
              <w:snapToGrid w:val="0"/>
              <w:spacing w:line="240" w:lineRule="auto"/>
              <w:rPr>
                <w:rFonts w:hint="eastAsia" w:ascii="仿宋" w:eastAsia="仿宋" w:cs="仿宋"/>
                <w:color w:val="auto"/>
                <w:kern w:val="0"/>
                <w:sz w:val="24"/>
                <w:szCs w:val="24"/>
                <w:lang w:val="en-US" w:eastAsia="zh-Hans"/>
              </w:rPr>
            </w:pPr>
            <w:r>
              <w:rPr>
                <w:rFonts w:hint="default" w:ascii="仿宋" w:eastAsia="仿宋" w:cs="仿宋"/>
                <w:color w:val="auto"/>
                <w:kern w:val="0"/>
                <w:sz w:val="24"/>
                <w:szCs w:val="24"/>
                <w:lang w:eastAsia="zh-CN"/>
              </w:rPr>
              <w:t>2</w:t>
            </w:r>
            <w:r>
              <w:rPr>
                <w:rFonts w:hint="eastAsia" w:ascii="仿宋" w:eastAsia="仿宋" w:cs="仿宋"/>
                <w:color w:val="auto"/>
                <w:kern w:val="0"/>
                <w:sz w:val="24"/>
                <w:szCs w:val="24"/>
                <w:lang w:val="en-US" w:eastAsia="zh-Hans"/>
              </w:rPr>
              <w:t>.黄莉丽</w:t>
            </w:r>
            <w:r>
              <w:rPr>
                <w:rFonts w:hint="default" w:ascii="仿宋" w:eastAsia="仿宋" w:cs="仿宋"/>
                <w:color w:val="auto"/>
                <w:kern w:val="0"/>
                <w:sz w:val="24"/>
                <w:szCs w:val="24"/>
                <w:lang w:eastAsia="zh-Hans"/>
              </w:rPr>
              <w:t>，</w:t>
            </w:r>
            <w:r>
              <w:rPr>
                <w:rFonts w:hint="eastAsia" w:ascii="仿宋" w:eastAsia="仿宋" w:cs="仿宋"/>
                <w:color w:val="auto"/>
                <w:kern w:val="0"/>
                <w:sz w:val="24"/>
                <w:szCs w:val="24"/>
                <w:lang w:val="en-US" w:eastAsia="zh-Hans"/>
              </w:rPr>
              <w:t>中国民族民间音乐教程</w:t>
            </w:r>
            <w:r>
              <w:rPr>
                <w:rFonts w:hint="default" w:ascii="仿宋" w:eastAsia="仿宋" w:cs="仿宋"/>
                <w:color w:val="auto"/>
                <w:kern w:val="0"/>
                <w:sz w:val="24"/>
                <w:szCs w:val="24"/>
                <w:lang w:eastAsia="zh-Hans"/>
              </w:rPr>
              <w:t>，</w:t>
            </w:r>
            <w:r>
              <w:rPr>
                <w:rFonts w:hint="eastAsia" w:ascii="仿宋" w:eastAsia="仿宋" w:cs="仿宋"/>
                <w:color w:val="auto"/>
                <w:kern w:val="0"/>
                <w:sz w:val="24"/>
                <w:szCs w:val="24"/>
                <w:lang w:val="en-US" w:eastAsia="zh-Hans"/>
              </w:rPr>
              <w:t>暨南大学出版社</w:t>
            </w:r>
            <w:r>
              <w:rPr>
                <w:rFonts w:hint="default" w:ascii="仿宋" w:eastAsia="仿宋" w:cs="仿宋"/>
                <w:color w:val="auto"/>
                <w:kern w:val="0"/>
                <w:sz w:val="24"/>
                <w:szCs w:val="24"/>
                <w:lang w:eastAsia="zh-Hans"/>
              </w:rPr>
              <w:t>，2010</w:t>
            </w:r>
            <w:r>
              <w:rPr>
                <w:rFonts w:hint="eastAsia" w:ascii="仿宋" w:eastAsia="仿宋" w:cs="仿宋"/>
                <w:color w:val="auto"/>
                <w:kern w:val="0"/>
                <w:sz w:val="24"/>
                <w:szCs w:val="24"/>
                <w:lang w:val="en-US" w:eastAsia="zh-Hans"/>
              </w:rPr>
              <w:t>年</w:t>
            </w:r>
          </w:p>
          <w:p w14:paraId="2333CDEB">
            <w:pPr>
              <w:pageBreakBefore w:val="0"/>
              <w:widowControl w:val="0"/>
              <w:tabs>
                <w:tab w:val="left" w:pos="720"/>
              </w:tabs>
              <w:kinsoku/>
              <w:overflowPunct/>
              <w:topLinePunct w:val="0"/>
              <w:bidi w:val="0"/>
              <w:adjustRightInd w:val="0"/>
              <w:snapToGrid w:val="0"/>
              <w:spacing w:line="240" w:lineRule="auto"/>
              <w:rPr>
                <w:rFonts w:hint="default" w:ascii="仿宋" w:eastAsia="仿宋" w:cs="仿宋"/>
                <w:color w:val="auto"/>
                <w:kern w:val="0"/>
                <w:sz w:val="24"/>
                <w:szCs w:val="24"/>
                <w:lang w:val="en-US" w:eastAsia="zh-Hans"/>
              </w:rPr>
            </w:pPr>
            <w:r>
              <w:rPr>
                <w:rFonts w:hint="default" w:ascii="仿宋" w:eastAsia="仿宋" w:cs="仿宋"/>
                <w:color w:val="auto"/>
                <w:kern w:val="0"/>
                <w:sz w:val="24"/>
                <w:szCs w:val="24"/>
                <w:lang w:eastAsia="zh-Hans"/>
              </w:rPr>
              <w:t>3</w:t>
            </w:r>
            <w:r>
              <w:rPr>
                <w:rFonts w:hint="eastAsia" w:ascii="仿宋" w:eastAsia="仿宋" w:cs="仿宋"/>
                <w:color w:val="auto"/>
                <w:kern w:val="0"/>
                <w:sz w:val="24"/>
                <w:szCs w:val="24"/>
                <w:lang w:val="en-US" w:eastAsia="zh-Hans"/>
              </w:rPr>
              <w:t>.杜亚雄</w:t>
            </w:r>
            <w:r>
              <w:rPr>
                <w:rFonts w:hint="default" w:ascii="仿宋" w:eastAsia="仿宋" w:cs="仿宋"/>
                <w:color w:val="auto"/>
                <w:kern w:val="0"/>
                <w:sz w:val="24"/>
                <w:szCs w:val="24"/>
                <w:lang w:eastAsia="zh-Hans"/>
              </w:rPr>
              <w:t>、</w:t>
            </w:r>
            <w:r>
              <w:rPr>
                <w:rFonts w:hint="eastAsia" w:ascii="仿宋" w:eastAsia="仿宋" w:cs="仿宋"/>
                <w:color w:val="auto"/>
                <w:kern w:val="0"/>
                <w:sz w:val="24"/>
                <w:szCs w:val="24"/>
                <w:lang w:val="en-US" w:eastAsia="zh-Hans"/>
              </w:rPr>
              <w:t>王同</w:t>
            </w:r>
            <w:r>
              <w:rPr>
                <w:rFonts w:hint="default" w:ascii="仿宋" w:eastAsia="仿宋" w:cs="仿宋"/>
                <w:color w:val="auto"/>
                <w:kern w:val="0"/>
                <w:sz w:val="24"/>
                <w:szCs w:val="24"/>
                <w:lang w:eastAsia="zh-Hans"/>
              </w:rPr>
              <w:t>，</w:t>
            </w:r>
            <w:r>
              <w:rPr>
                <w:rFonts w:hint="eastAsia" w:ascii="仿宋" w:eastAsia="仿宋" w:cs="仿宋"/>
                <w:color w:val="auto"/>
                <w:kern w:val="0"/>
                <w:sz w:val="24"/>
                <w:szCs w:val="24"/>
                <w:lang w:val="en-US" w:eastAsia="zh-Hans"/>
              </w:rPr>
              <w:t>中国民族民间音乐教程</w:t>
            </w:r>
            <w:r>
              <w:rPr>
                <w:rFonts w:hint="default" w:ascii="仿宋" w:eastAsia="仿宋" w:cs="仿宋"/>
                <w:color w:val="auto"/>
                <w:kern w:val="0"/>
                <w:sz w:val="24"/>
                <w:szCs w:val="24"/>
                <w:lang w:eastAsia="zh-Hans"/>
              </w:rPr>
              <w:t>，</w:t>
            </w:r>
            <w:r>
              <w:rPr>
                <w:rFonts w:hint="eastAsia" w:ascii="仿宋" w:eastAsia="仿宋" w:cs="仿宋"/>
                <w:color w:val="auto"/>
                <w:kern w:val="0"/>
                <w:sz w:val="24"/>
                <w:szCs w:val="24"/>
                <w:lang w:val="en-US" w:eastAsia="zh-Hans"/>
              </w:rPr>
              <w:t>上海音乐出版社</w:t>
            </w:r>
            <w:r>
              <w:rPr>
                <w:rFonts w:hint="default" w:ascii="仿宋" w:eastAsia="仿宋" w:cs="仿宋"/>
                <w:color w:val="auto"/>
                <w:kern w:val="0"/>
                <w:sz w:val="24"/>
                <w:szCs w:val="24"/>
                <w:lang w:eastAsia="zh-Hans"/>
              </w:rPr>
              <w:t>，2021</w:t>
            </w:r>
            <w:r>
              <w:rPr>
                <w:rFonts w:hint="eastAsia" w:ascii="仿宋" w:eastAsia="仿宋" w:cs="仿宋"/>
                <w:color w:val="auto"/>
                <w:kern w:val="0"/>
                <w:sz w:val="24"/>
                <w:szCs w:val="24"/>
                <w:lang w:val="en-US" w:eastAsia="zh-Hans"/>
              </w:rPr>
              <w:t>年</w:t>
            </w:r>
          </w:p>
          <w:p w14:paraId="31FA6377">
            <w:pPr>
              <w:pageBreakBefore w:val="0"/>
              <w:widowControl w:val="0"/>
              <w:tabs>
                <w:tab w:val="left" w:pos="720"/>
              </w:tabs>
              <w:kinsoku/>
              <w:overflowPunct/>
              <w:topLinePunct w:val="0"/>
              <w:bidi w:val="0"/>
              <w:adjustRightInd w:val="0"/>
              <w:snapToGrid w:val="0"/>
              <w:spacing w:line="240" w:lineRule="auto"/>
              <w:rPr>
                <w:rFonts w:hint="default" w:ascii="仿宋" w:eastAsia="仿宋" w:cs="仿宋"/>
                <w:color w:val="auto"/>
                <w:kern w:val="0"/>
                <w:sz w:val="24"/>
                <w:szCs w:val="24"/>
                <w:lang w:val="en-US" w:eastAsia="zh-Hans"/>
              </w:rPr>
            </w:pPr>
            <w:r>
              <w:rPr>
                <w:rFonts w:hint="default" w:ascii="仿宋" w:eastAsia="仿宋" w:cs="仿宋"/>
                <w:color w:val="auto"/>
                <w:kern w:val="0"/>
                <w:sz w:val="24"/>
                <w:szCs w:val="24"/>
                <w:lang w:eastAsia="zh-CN"/>
              </w:rPr>
              <w:t>4</w:t>
            </w:r>
            <w:r>
              <w:rPr>
                <w:rFonts w:hint="eastAsia" w:ascii="仿宋" w:eastAsia="仿宋" w:cs="仿宋"/>
                <w:color w:val="auto"/>
                <w:kern w:val="0"/>
                <w:sz w:val="24"/>
                <w:szCs w:val="24"/>
                <w:lang w:val="en-US" w:eastAsia="zh-CN"/>
              </w:rPr>
              <w:t>.</w:t>
            </w:r>
            <w:r>
              <w:rPr>
                <w:rFonts w:hint="default" w:ascii="仿宋" w:eastAsia="仿宋" w:cs="仿宋"/>
                <w:color w:val="auto"/>
                <w:kern w:val="0"/>
                <w:sz w:val="24"/>
                <w:szCs w:val="24"/>
                <w:lang w:eastAsia="zh-CN"/>
              </w:rPr>
              <w:t>《</w:t>
            </w:r>
            <w:r>
              <w:rPr>
                <w:rFonts w:hint="eastAsia" w:ascii="仿宋" w:eastAsia="仿宋" w:cs="仿宋"/>
                <w:color w:val="auto"/>
                <w:kern w:val="0"/>
                <w:sz w:val="24"/>
                <w:szCs w:val="24"/>
                <w:lang w:val="en-US" w:eastAsia="zh-Hans"/>
              </w:rPr>
              <w:t>中国音乐史</w:t>
            </w:r>
            <w:r>
              <w:rPr>
                <w:rFonts w:hint="default" w:ascii="仿宋" w:eastAsia="仿宋" w:cs="仿宋"/>
                <w:color w:val="auto"/>
                <w:kern w:val="0"/>
                <w:sz w:val="24"/>
                <w:szCs w:val="24"/>
                <w:lang w:eastAsia="zh-CN"/>
              </w:rPr>
              <w:t>》</w:t>
            </w:r>
            <w:r>
              <w:rPr>
                <w:rFonts w:hint="eastAsia" w:ascii="仿宋" w:eastAsia="仿宋" w:cs="仿宋"/>
                <w:color w:val="auto"/>
                <w:kern w:val="0"/>
                <w:sz w:val="24"/>
                <w:szCs w:val="24"/>
                <w:lang w:val="en-US" w:eastAsia="zh-Hans"/>
              </w:rPr>
              <w:t>编写组</w:t>
            </w:r>
            <w:r>
              <w:rPr>
                <w:rFonts w:hint="default" w:ascii="仿宋" w:eastAsia="仿宋" w:cs="仿宋"/>
                <w:color w:val="auto"/>
                <w:kern w:val="0"/>
                <w:sz w:val="24"/>
                <w:szCs w:val="24"/>
                <w:lang w:eastAsia="zh-Hans"/>
              </w:rPr>
              <w:t>，</w:t>
            </w:r>
            <w:r>
              <w:rPr>
                <w:rFonts w:hint="eastAsia" w:ascii="仿宋" w:eastAsia="仿宋" w:cs="仿宋"/>
                <w:color w:val="auto"/>
                <w:kern w:val="0"/>
                <w:sz w:val="24"/>
                <w:szCs w:val="24"/>
                <w:lang w:val="en-US" w:eastAsia="zh-Hans"/>
              </w:rPr>
              <w:t>中国音乐史</w:t>
            </w:r>
            <w:r>
              <w:rPr>
                <w:rFonts w:hint="default" w:ascii="仿宋" w:eastAsia="仿宋" w:cs="仿宋"/>
                <w:color w:val="auto"/>
                <w:kern w:val="0"/>
                <w:sz w:val="24"/>
                <w:szCs w:val="24"/>
                <w:lang w:eastAsia="zh-Hans"/>
              </w:rPr>
              <w:t>，</w:t>
            </w:r>
            <w:r>
              <w:rPr>
                <w:rFonts w:hint="eastAsia" w:ascii="仿宋" w:eastAsia="仿宋" w:cs="仿宋"/>
                <w:color w:val="auto"/>
                <w:kern w:val="0"/>
                <w:sz w:val="24"/>
                <w:szCs w:val="24"/>
                <w:lang w:val="en-US" w:eastAsia="zh-Hans"/>
              </w:rPr>
              <w:t>高等教育出版社</w:t>
            </w:r>
            <w:r>
              <w:rPr>
                <w:rFonts w:hint="default" w:ascii="仿宋" w:eastAsia="仿宋" w:cs="仿宋"/>
                <w:color w:val="auto"/>
                <w:kern w:val="0"/>
                <w:sz w:val="24"/>
                <w:szCs w:val="24"/>
                <w:lang w:eastAsia="zh-Hans"/>
              </w:rPr>
              <w:t>，2022</w:t>
            </w:r>
            <w:r>
              <w:rPr>
                <w:rFonts w:hint="eastAsia" w:ascii="仿宋" w:eastAsia="仿宋" w:cs="仿宋"/>
                <w:color w:val="auto"/>
                <w:kern w:val="0"/>
                <w:sz w:val="24"/>
                <w:szCs w:val="24"/>
                <w:lang w:val="en-US" w:eastAsia="zh-Hans"/>
              </w:rPr>
              <w:t>年</w:t>
            </w:r>
          </w:p>
        </w:tc>
      </w:tr>
      <w:tr w14:paraId="5A727FBC">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14:paraId="1DF829B2">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C</w:t>
            </w:r>
          </w:p>
          <w:p w14:paraId="052CA0DC">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线上学习资源</w:t>
            </w:r>
          </w:p>
        </w:tc>
        <w:tc>
          <w:tcPr>
            <w:tcW w:w="7772" w:type="dxa"/>
            <w:gridSpan w:val="14"/>
            <w:tcBorders>
              <w:top w:val="single" w:color="auto" w:sz="4" w:space="0"/>
              <w:left w:val="single" w:color="auto" w:sz="4" w:space="0"/>
              <w:bottom w:val="single" w:color="auto" w:sz="4" w:space="0"/>
              <w:right w:val="single" w:color="auto" w:sz="4" w:space="0"/>
            </w:tcBorders>
            <w:noWrap/>
            <w:vAlign w:val="center"/>
          </w:tcPr>
          <w:p w14:paraId="00842696">
            <w:pPr>
              <w:pageBreakBefore w:val="0"/>
              <w:widowControl w:val="0"/>
              <w:tabs>
                <w:tab w:val="left" w:pos="720"/>
              </w:tabs>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1.</w:t>
            </w:r>
            <w:r>
              <w:rPr>
                <w:rFonts w:hint="eastAsia" w:ascii="仿宋" w:eastAsia="仿宋" w:cs="仿宋"/>
                <w:color w:val="000000"/>
                <w:sz w:val="24"/>
                <w:szCs w:val="24"/>
                <w:highlight w:val="none"/>
                <w:lang w:val="en-US" w:eastAsia="zh-TW"/>
              </w:rPr>
              <w:t>本课程已经建立校网络课程，同学们依据学校提供的帐号与密码登录课程网站，可查看教学大纲、授课计划、考核方法、教学视频、电子教材、音频、阅读资料、网络文献链接网址等教学资源。</w:t>
            </w:r>
          </w:p>
          <w:p w14:paraId="21866313">
            <w:pPr>
              <w:pageBreakBefore w:val="0"/>
              <w:widowControl w:val="0"/>
              <w:tabs>
                <w:tab w:val="left" w:pos="720"/>
              </w:tabs>
              <w:kinsoku/>
              <w:overflowPunct/>
              <w:topLinePunct w:val="0"/>
              <w:bidi w:val="0"/>
              <w:adjustRightInd w:val="0"/>
              <w:snapToGrid w:val="0"/>
              <w:spacing w:line="240" w:lineRule="auto"/>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TW"/>
              </w:rPr>
              <w:t>2.微信平台</w:t>
            </w:r>
            <w:r>
              <w:rPr>
                <w:rFonts w:hint="eastAsia" w:ascii="仿宋" w:eastAsia="仿宋" w:cs="仿宋"/>
                <w:color w:val="000000"/>
                <w:sz w:val="24"/>
                <w:szCs w:val="24"/>
                <w:lang w:val="en-US" w:eastAsia="zh-CN"/>
              </w:rPr>
              <w:t>中国民族音乐学习群</w:t>
            </w:r>
          </w:p>
        </w:tc>
      </w:tr>
      <w:tr w14:paraId="6502BB49">
        <w:trPr>
          <w:trHeight w:val="624" w:hRule="atLeast"/>
        </w:trPr>
        <w:tc>
          <w:tcPr>
            <w:tcW w:w="1376"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5B3D8085">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D</w:t>
            </w:r>
          </w:p>
          <w:p w14:paraId="4B815E5F">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 xml:space="preserve">课程描述 </w:t>
            </w:r>
          </w:p>
          <w:p w14:paraId="47F24507">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lang w:eastAsia="zh-TW"/>
              </w:rPr>
              <w:t>(</w:t>
            </w:r>
            <w:r>
              <w:rPr>
                <w:rFonts w:hint="eastAsia" w:ascii="仿宋" w:eastAsia="仿宋" w:cs="仿宋"/>
                <w:color w:val="000000"/>
                <w:sz w:val="24"/>
                <w:szCs w:val="24"/>
              </w:rPr>
              <w:t>含</w:t>
            </w:r>
            <w:r>
              <w:rPr>
                <w:rFonts w:hint="eastAsia" w:ascii="仿宋" w:eastAsia="仿宋" w:cs="仿宋"/>
                <w:color w:val="000000"/>
                <w:sz w:val="24"/>
                <w:szCs w:val="24"/>
                <w:lang w:eastAsia="zh-TW"/>
              </w:rPr>
              <w:t>性质、地位和任务)</w:t>
            </w:r>
          </w:p>
        </w:tc>
        <w:tc>
          <w:tcPr>
            <w:tcW w:w="7772" w:type="dxa"/>
            <w:gridSpan w:val="14"/>
            <w:tcBorders>
              <w:top w:val="single" w:color="auto" w:sz="4" w:space="0"/>
              <w:left w:val="single" w:color="auto" w:sz="4" w:space="0"/>
              <w:bottom w:val="single" w:color="auto" w:sz="4" w:space="0"/>
              <w:right w:val="single" w:color="auto" w:sz="4" w:space="0"/>
            </w:tcBorders>
            <w:shd w:val="clear" w:color="auto" w:fill="FFFFFF"/>
            <w:noWrap/>
            <w:vAlign w:val="center"/>
          </w:tcPr>
          <w:p w14:paraId="19D2D15C">
            <w:pPr>
              <w:pageBreakBefore w:val="0"/>
              <w:widowControl w:val="0"/>
              <w:tabs>
                <w:tab w:val="left" w:pos="720"/>
              </w:tabs>
              <w:kinsoku/>
              <w:overflowPunct/>
              <w:topLinePunct w:val="0"/>
              <w:bidi w:val="0"/>
              <w:adjustRightInd w:val="0"/>
              <w:snapToGrid w:val="0"/>
              <w:spacing w:line="240" w:lineRule="auto"/>
              <w:ind w:firstLine="480" w:firstLineChars="200"/>
              <w:rPr>
                <w:rFonts w:hint="eastAsia" w:ascii="仿宋" w:eastAsia="仿宋" w:cs="仿宋"/>
                <w:color w:val="auto"/>
                <w:kern w:val="0"/>
                <w:sz w:val="24"/>
                <w:szCs w:val="24"/>
                <w:lang w:val="en-US" w:eastAsia="zh-TW"/>
              </w:rPr>
            </w:pPr>
            <w:r>
              <w:rPr>
                <w:rFonts w:hint="eastAsia" w:ascii="仿宋" w:eastAsia="仿宋" w:cs="仿宋"/>
                <w:color w:val="auto"/>
                <w:kern w:val="0"/>
                <w:sz w:val="24"/>
                <w:szCs w:val="24"/>
                <w:lang w:val="en-US" w:eastAsia="zh-TW"/>
              </w:rPr>
              <w:t>本课程为</w:t>
            </w:r>
            <w:r>
              <w:rPr>
                <w:rFonts w:hint="eastAsia" w:ascii="仿宋" w:eastAsia="仿宋" w:cs="仿宋"/>
                <w:color w:val="auto"/>
                <w:kern w:val="0"/>
                <w:sz w:val="24"/>
                <w:szCs w:val="24"/>
                <w:lang w:val="en-US" w:eastAsia="zh-CN"/>
              </w:rPr>
              <w:t>音乐学专业开设的一门学科专业必修</w:t>
            </w:r>
            <w:r>
              <w:rPr>
                <w:rFonts w:hint="eastAsia" w:ascii="仿宋" w:eastAsia="仿宋" w:cs="仿宋"/>
                <w:color w:val="auto"/>
                <w:kern w:val="0"/>
                <w:sz w:val="24"/>
                <w:szCs w:val="24"/>
                <w:lang w:val="en-US" w:eastAsia="zh-TW"/>
              </w:rPr>
              <w:t>课程。本课程按照民歌</w:t>
            </w:r>
            <w:r>
              <w:rPr>
                <w:rFonts w:hint="eastAsia" w:ascii="仿宋" w:eastAsia="仿宋" w:cs="仿宋"/>
                <w:color w:val="auto"/>
                <w:kern w:val="0"/>
                <w:sz w:val="24"/>
                <w:szCs w:val="24"/>
                <w:lang w:val="en-US" w:eastAsia="zh-CN"/>
              </w:rPr>
              <w:t>与歌舞</w:t>
            </w:r>
            <w:r>
              <w:rPr>
                <w:rFonts w:hint="eastAsia" w:ascii="仿宋" w:eastAsia="仿宋" w:cs="仿宋"/>
                <w:color w:val="auto"/>
                <w:kern w:val="0"/>
                <w:sz w:val="24"/>
                <w:szCs w:val="24"/>
                <w:lang w:val="en-US" w:eastAsia="zh-TW"/>
              </w:rPr>
              <w:t>、</w:t>
            </w:r>
            <w:r>
              <w:rPr>
                <w:rFonts w:hint="eastAsia" w:ascii="仿宋" w:eastAsia="仿宋" w:cs="仿宋"/>
                <w:color w:val="auto"/>
                <w:kern w:val="0"/>
                <w:sz w:val="24"/>
                <w:szCs w:val="24"/>
                <w:lang w:val="en-US" w:eastAsia="zh-CN"/>
              </w:rPr>
              <w:t>民族</w:t>
            </w:r>
            <w:r>
              <w:rPr>
                <w:rFonts w:hint="eastAsia" w:ascii="仿宋" w:eastAsia="仿宋" w:cs="仿宋"/>
                <w:color w:val="auto"/>
                <w:kern w:val="0"/>
                <w:sz w:val="24"/>
                <w:szCs w:val="24"/>
                <w:lang w:val="en-US" w:eastAsia="zh-TW"/>
              </w:rPr>
              <w:t>器乐、</w:t>
            </w:r>
            <w:r>
              <w:rPr>
                <w:rFonts w:hint="eastAsia" w:ascii="仿宋" w:eastAsia="仿宋" w:cs="仿宋"/>
                <w:color w:val="auto"/>
                <w:kern w:val="0"/>
                <w:sz w:val="24"/>
                <w:szCs w:val="24"/>
                <w:lang w:val="en-US" w:eastAsia="zh-CN"/>
              </w:rPr>
              <w:t>曲艺音乐</w:t>
            </w:r>
            <w:r>
              <w:rPr>
                <w:rFonts w:hint="eastAsia" w:ascii="仿宋" w:eastAsia="仿宋" w:cs="仿宋"/>
                <w:color w:val="auto"/>
                <w:kern w:val="0"/>
                <w:sz w:val="24"/>
                <w:szCs w:val="24"/>
                <w:lang w:val="en-US" w:eastAsia="zh-TW"/>
              </w:rPr>
              <w:t>和戏曲</w:t>
            </w:r>
            <w:r>
              <w:rPr>
                <w:rFonts w:hint="eastAsia" w:ascii="仿宋" w:eastAsia="仿宋" w:cs="仿宋"/>
                <w:color w:val="auto"/>
                <w:kern w:val="0"/>
                <w:sz w:val="24"/>
                <w:szCs w:val="24"/>
                <w:lang w:val="en-US" w:eastAsia="zh-CN"/>
              </w:rPr>
              <w:t>音乐四</w:t>
            </w:r>
            <w:r>
              <w:rPr>
                <w:rFonts w:hint="eastAsia" w:ascii="仿宋" w:eastAsia="仿宋" w:cs="仿宋"/>
                <w:color w:val="auto"/>
                <w:kern w:val="0"/>
                <w:sz w:val="24"/>
                <w:szCs w:val="24"/>
                <w:lang w:val="en-US" w:eastAsia="zh-TW"/>
              </w:rPr>
              <w:t>类体载概括地论述了它们的历史源流、歌种、舞种、曲种、乐种和剧种，以及它们的艺术特点和形态学特征。在此基础上，辅助讲述地区代表性的民间音乐品种，使学生较系统地了解我国民族民间音乐的基本知识和地方本土音乐文化，尤其是民间歌曲的演唱，提高他们的学习兴趣和对民族民间音乐的喜爱。</w:t>
            </w:r>
          </w:p>
          <w:p w14:paraId="762B5954">
            <w:pPr>
              <w:pageBreakBefore w:val="0"/>
              <w:widowControl w:val="0"/>
              <w:tabs>
                <w:tab w:val="left" w:pos="720"/>
              </w:tabs>
              <w:kinsoku/>
              <w:overflowPunct/>
              <w:topLinePunct w:val="0"/>
              <w:bidi w:val="0"/>
              <w:adjustRightInd w:val="0"/>
              <w:snapToGrid w:val="0"/>
              <w:spacing w:line="240" w:lineRule="auto"/>
              <w:ind w:firstLine="480" w:firstLineChars="200"/>
              <w:rPr>
                <w:rFonts w:hint="eastAsia" w:ascii="仿宋" w:eastAsia="仿宋" w:cs="仿宋"/>
                <w:color w:val="auto"/>
                <w:kern w:val="0"/>
                <w:sz w:val="24"/>
                <w:szCs w:val="24"/>
                <w:lang w:val="en-US" w:eastAsia="zh-CN"/>
              </w:rPr>
            </w:pPr>
            <w:r>
              <w:rPr>
                <w:rFonts w:hint="eastAsia" w:ascii="仿宋" w:eastAsia="仿宋" w:cs="仿宋"/>
                <w:color w:val="auto"/>
                <w:kern w:val="0"/>
                <w:sz w:val="24"/>
                <w:szCs w:val="24"/>
                <w:lang w:val="en-US" w:eastAsia="zh-TW"/>
              </w:rPr>
              <w:t>中国民族音乐是当今世界上溯源最久远而又长流不绝的东方古老音乐文化的代表，而作为中国音乐文化重要组成部分的民族音乐，也代表着中国传统音乐发展的脉络和趋势。本课程以培养、增强学生热爱我国民间传统音乐的情感及审美能力为主要目的，学习并掌握多种民族音乐类型的基础知识及音乐特征；熟唱、背唱、演奏各类型代表作品；能分析鉴赏不同类型的风格及体裁；弘扬优秀传统音乐</w:t>
            </w:r>
            <w:r>
              <w:rPr>
                <w:rFonts w:hint="eastAsia" w:ascii="仿宋" w:eastAsia="仿宋" w:cs="仿宋"/>
                <w:color w:val="auto"/>
                <w:kern w:val="0"/>
                <w:sz w:val="24"/>
                <w:szCs w:val="24"/>
                <w:lang w:val="en-US" w:eastAsia="zh-CN"/>
              </w:rPr>
              <w:t>文化，</w:t>
            </w:r>
            <w:r>
              <w:rPr>
                <w:rFonts w:hint="eastAsia" w:ascii="仿宋" w:eastAsia="仿宋" w:cs="仿宋"/>
                <w:color w:val="auto"/>
                <w:kern w:val="0"/>
                <w:sz w:val="24"/>
                <w:szCs w:val="24"/>
                <w:lang w:val="en-US" w:eastAsia="zh-TW"/>
              </w:rPr>
              <w:t>使学生</w:t>
            </w:r>
            <w:r>
              <w:rPr>
                <w:rFonts w:hint="eastAsia" w:ascii="仿宋" w:eastAsia="仿宋" w:cs="仿宋"/>
                <w:color w:val="auto"/>
                <w:kern w:val="0"/>
                <w:sz w:val="24"/>
                <w:szCs w:val="24"/>
                <w:lang w:val="en-US" w:eastAsia="zh-CN"/>
              </w:rPr>
              <w:t>富有中国心、饱含中国情、充满中国味，</w:t>
            </w:r>
            <w:r>
              <w:rPr>
                <w:rFonts w:hint="eastAsia" w:ascii="仿宋" w:eastAsia="仿宋" w:cs="仿宋"/>
                <w:color w:val="auto"/>
                <w:kern w:val="0"/>
                <w:sz w:val="24"/>
                <w:szCs w:val="24"/>
                <w:lang w:val="en-US" w:eastAsia="zh-TW"/>
              </w:rPr>
              <w:t>成为中国传统音乐的传承者。</w:t>
            </w:r>
          </w:p>
        </w:tc>
      </w:tr>
      <w:tr w14:paraId="0639DAF2">
        <w:trPr>
          <w:trHeight w:val="624" w:hRule="atLeast"/>
        </w:trPr>
        <w:tc>
          <w:tcPr>
            <w:tcW w:w="1376" w:type="dxa"/>
            <w:vMerge w:val="restart"/>
            <w:tcBorders>
              <w:top w:val="single" w:color="auto" w:sz="4" w:space="0"/>
              <w:left w:val="single" w:color="auto" w:sz="4" w:space="0"/>
              <w:bottom w:val="single" w:color="auto" w:sz="4" w:space="0"/>
              <w:right w:val="single" w:color="auto" w:sz="4" w:space="0"/>
            </w:tcBorders>
            <w:shd w:val="clear" w:color="auto" w:fill="FFFFFF"/>
            <w:noWrap/>
            <w:vAlign w:val="center"/>
          </w:tcPr>
          <w:p w14:paraId="61786626">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E</w:t>
            </w:r>
          </w:p>
          <w:p w14:paraId="79AA28C8">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课程学习目标及其与毕业要求的对应关系</w:t>
            </w:r>
          </w:p>
        </w:tc>
        <w:tc>
          <w:tcPr>
            <w:tcW w:w="7772" w:type="dxa"/>
            <w:gridSpan w:val="14"/>
            <w:tcBorders>
              <w:top w:val="single" w:color="auto" w:sz="4" w:space="0"/>
              <w:left w:val="single" w:color="auto" w:sz="4" w:space="0"/>
              <w:bottom w:val="single" w:color="auto" w:sz="4" w:space="0"/>
              <w:right w:val="single" w:color="auto" w:sz="4" w:space="0"/>
            </w:tcBorders>
            <w:shd w:val="clear" w:color="auto" w:fill="FFFFFF"/>
            <w:noWrap/>
            <w:vAlign w:val="center"/>
          </w:tcPr>
          <w:p w14:paraId="6C1E5748">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eastAsia="zh-TW"/>
              </w:rPr>
            </w:pPr>
            <w:r>
              <w:rPr>
                <w:rFonts w:ascii="仿宋" w:eastAsia="仿宋" w:cs="仿宋"/>
                <w:color w:val="000000"/>
                <w:sz w:val="24"/>
                <w:szCs w:val="24"/>
                <w:lang w:val="en-US" w:eastAsia="zh-TW"/>
              </w:rPr>
              <w:t>通过本课程的学习，学生具备如下知识、能力及情感态度价值观：</w:t>
            </w:r>
          </w:p>
          <w:p w14:paraId="39977A8E">
            <w:pPr>
              <w:pageBreakBefore w:val="0"/>
              <w:widowControl w:val="0"/>
              <w:kinsoku/>
              <w:overflowPunct/>
              <w:topLinePunct w:val="0"/>
              <w:bidi w:val="0"/>
              <w:adjustRightInd w:val="0"/>
              <w:snapToGrid w:val="0"/>
              <w:spacing w:line="240" w:lineRule="auto"/>
              <w:rPr>
                <w:rFonts w:ascii="仿宋" w:eastAsia="仿宋" w:cs="仿宋"/>
                <w:b w:val="0"/>
                <w:bCs w:val="0"/>
                <w:color w:val="000000"/>
                <w:sz w:val="24"/>
                <w:szCs w:val="24"/>
                <w:lang w:val="en-US" w:eastAsia="zh-CN"/>
              </w:rPr>
            </w:pPr>
            <w:r>
              <w:rPr>
                <w:rFonts w:ascii="仿宋" w:eastAsia="仿宋" w:cs="仿宋"/>
                <w:b w:val="0"/>
                <w:bCs w:val="0"/>
                <w:color w:val="000000"/>
                <w:sz w:val="24"/>
                <w:szCs w:val="24"/>
                <w:lang w:val="en-US" w:eastAsia="zh-TW"/>
              </w:rPr>
              <w:t>课程目标1：</w:t>
            </w:r>
            <w:r>
              <w:rPr>
                <w:rFonts w:hint="eastAsia" w:ascii="仿宋" w:eastAsia="仿宋" w:cs="仿宋"/>
                <w:b w:val="0"/>
                <w:bCs w:val="0"/>
                <w:color w:val="000000"/>
                <w:sz w:val="24"/>
                <w:szCs w:val="24"/>
                <w:lang w:val="en-US"/>
              </w:rPr>
              <w:t>了</w:t>
            </w:r>
            <w:r>
              <w:rPr>
                <w:rFonts w:ascii="仿宋" w:eastAsia="仿宋" w:cs="仿宋"/>
                <w:b w:val="0"/>
                <w:bCs w:val="0"/>
                <w:color w:val="000000"/>
                <w:sz w:val="24"/>
                <w:szCs w:val="24"/>
                <w:lang w:val="en-US" w:eastAsia="zh-TW"/>
              </w:rPr>
              <w:t>解和熟悉中国民族民间音乐，积累一定数量的民族音乐语汇，对一些经典的、有代表性的民歌与唱段，能够</w:t>
            </w:r>
            <w:r>
              <w:rPr>
                <w:rFonts w:hint="eastAsia" w:ascii="仿宋" w:eastAsia="仿宋" w:cs="仿宋"/>
                <w:b w:val="0"/>
                <w:bCs w:val="0"/>
                <w:color w:val="000000"/>
                <w:sz w:val="24"/>
                <w:szCs w:val="24"/>
                <w:lang w:val="en-US"/>
              </w:rPr>
              <w:t>较为</w:t>
            </w:r>
            <w:r>
              <w:rPr>
                <w:rFonts w:ascii="仿宋" w:eastAsia="仿宋" w:cs="仿宋"/>
                <w:b w:val="0"/>
                <w:bCs w:val="0"/>
                <w:color w:val="000000"/>
                <w:sz w:val="24"/>
                <w:szCs w:val="24"/>
                <w:lang w:val="en-US" w:eastAsia="zh-TW"/>
              </w:rPr>
              <w:t>熟练的背唱，</w:t>
            </w:r>
            <w:r>
              <w:rPr>
                <w:rFonts w:hint="eastAsia" w:ascii="仿宋" w:eastAsia="仿宋" w:cs="仿宋"/>
                <w:b w:val="0"/>
                <w:bCs w:val="0"/>
                <w:color w:val="000000"/>
                <w:sz w:val="24"/>
                <w:szCs w:val="24"/>
                <w:lang w:val="en-US"/>
              </w:rPr>
              <w:t>具备</w:t>
            </w:r>
            <w:r>
              <w:rPr>
                <w:rFonts w:ascii="仿宋" w:eastAsia="仿宋" w:cs="仿宋"/>
                <w:b w:val="0"/>
                <w:bCs w:val="0"/>
                <w:color w:val="000000"/>
                <w:sz w:val="24"/>
                <w:szCs w:val="24"/>
                <w:lang w:val="en-US" w:eastAsia="zh-TW"/>
              </w:rPr>
              <w:t>对民族民间音乐审美</w:t>
            </w:r>
            <w:r>
              <w:rPr>
                <w:rFonts w:hint="eastAsia" w:ascii="仿宋" w:eastAsia="仿宋" w:cs="仿宋"/>
                <w:b w:val="0"/>
                <w:bCs w:val="0"/>
                <w:color w:val="000000"/>
                <w:sz w:val="24"/>
                <w:szCs w:val="24"/>
                <w:lang w:val="en-US"/>
              </w:rPr>
              <w:t>的基本</w:t>
            </w:r>
            <w:r>
              <w:rPr>
                <w:rFonts w:ascii="仿宋" w:eastAsia="仿宋" w:cs="仿宋"/>
                <w:b w:val="0"/>
                <w:bCs w:val="0"/>
                <w:color w:val="000000"/>
                <w:sz w:val="24"/>
                <w:szCs w:val="24"/>
                <w:lang w:val="en-US" w:eastAsia="zh-TW"/>
              </w:rPr>
              <w:t>能力。</w:t>
            </w:r>
            <w:r>
              <w:rPr>
                <w:rFonts w:hint="eastAsia" w:ascii="仿宋" w:eastAsia="仿宋" w:cs="仿宋"/>
                <w:b w:val="0"/>
                <w:bCs w:val="0"/>
                <w:color w:val="000000"/>
                <w:sz w:val="24"/>
                <w:szCs w:val="24"/>
                <w:lang w:val="en-US" w:eastAsia="zh-CN"/>
              </w:rPr>
              <w:t>（支撑毕业要求3.2）</w:t>
            </w:r>
          </w:p>
          <w:p w14:paraId="35CC1C42">
            <w:pPr>
              <w:pageBreakBefore w:val="0"/>
              <w:widowControl w:val="0"/>
              <w:kinsoku/>
              <w:overflowPunct/>
              <w:topLinePunct w:val="0"/>
              <w:bidi w:val="0"/>
              <w:adjustRightInd w:val="0"/>
              <w:snapToGrid w:val="0"/>
              <w:spacing w:line="240" w:lineRule="auto"/>
              <w:rPr>
                <w:rFonts w:hint="eastAsia" w:ascii="仿宋" w:eastAsia="仿宋" w:cs="仿宋"/>
                <w:b w:val="0"/>
                <w:bCs w:val="0"/>
                <w:color w:val="000000"/>
                <w:sz w:val="24"/>
                <w:szCs w:val="24"/>
                <w:lang w:eastAsia="zh-TW"/>
              </w:rPr>
            </w:pPr>
            <w:r>
              <w:rPr>
                <w:rFonts w:ascii="仿宋" w:eastAsia="仿宋" w:cs="仿宋"/>
                <w:b w:val="0"/>
                <w:bCs w:val="0"/>
                <w:color w:val="000000"/>
                <w:sz w:val="24"/>
                <w:szCs w:val="24"/>
                <w:lang w:val="en-US" w:eastAsia="zh-TW"/>
              </w:rPr>
              <w:t>课程目标2：熟悉代表性的民族民间音乐作品，对不同类型的民歌、曲种、剧种、乐种具有一定的辨别和分析能力</w:t>
            </w:r>
            <w:r>
              <w:rPr>
                <w:rFonts w:ascii="仿宋" w:eastAsia="仿宋" w:cs="仿宋"/>
                <w:b w:val="0"/>
                <w:bCs w:val="0"/>
                <w:color w:val="000000"/>
                <w:sz w:val="24"/>
                <w:szCs w:val="24"/>
                <w:lang w:eastAsia="zh-TW"/>
              </w:rPr>
              <w:t>；</w:t>
            </w:r>
            <w:r>
              <w:rPr>
                <w:rFonts w:ascii="仿宋" w:eastAsia="仿宋" w:cs="仿宋"/>
                <w:b w:val="0"/>
                <w:bCs w:val="0"/>
                <w:color w:val="000000"/>
                <w:sz w:val="24"/>
                <w:szCs w:val="24"/>
                <w:lang w:val="en-US" w:eastAsia="zh-TW"/>
              </w:rPr>
              <w:t>具备中国民族民间音乐的通识性知识体系，为在演唱或演奏中国作品时把握作品风格奠定基础</w:t>
            </w:r>
            <w:r>
              <w:rPr>
                <w:rFonts w:ascii="仿宋" w:eastAsia="仿宋" w:cs="仿宋"/>
                <w:b w:val="0"/>
                <w:bCs w:val="0"/>
                <w:color w:val="000000"/>
                <w:sz w:val="24"/>
                <w:szCs w:val="24"/>
                <w:lang w:eastAsia="zh-TW"/>
              </w:rPr>
              <w:t>；</w:t>
            </w:r>
            <w:r>
              <w:rPr>
                <w:rFonts w:hint="eastAsia" w:ascii="仿宋" w:eastAsia="仿宋" w:cs="仿宋"/>
                <w:b w:val="0"/>
                <w:bCs w:val="0"/>
                <w:color w:val="000000"/>
                <w:sz w:val="24"/>
                <w:szCs w:val="24"/>
                <w:lang w:val="en-US"/>
              </w:rPr>
              <w:t>领会</w:t>
            </w:r>
            <w:r>
              <w:rPr>
                <w:rFonts w:ascii="仿宋" w:eastAsia="仿宋" w:cs="仿宋"/>
                <w:b w:val="0"/>
                <w:bCs w:val="0"/>
                <w:color w:val="000000"/>
                <w:sz w:val="24"/>
                <w:szCs w:val="24"/>
                <w:lang w:val="en-US" w:eastAsia="zh-TW"/>
              </w:rPr>
              <w:t>民族民间音乐在音乐学专业中的重要作用，增强地方文化、民族文化认同的责任感，</w:t>
            </w:r>
            <w:r>
              <w:rPr>
                <w:rFonts w:hint="eastAsia" w:ascii="仿宋" w:eastAsia="仿宋" w:cs="仿宋"/>
                <w:b w:val="0"/>
                <w:bCs w:val="0"/>
                <w:color w:val="000000"/>
                <w:sz w:val="24"/>
                <w:szCs w:val="24"/>
                <w:lang w:val="en-US"/>
              </w:rPr>
              <w:t>树立</w:t>
            </w:r>
            <w:r>
              <w:rPr>
                <w:rFonts w:ascii="仿宋" w:eastAsia="仿宋" w:cs="仿宋"/>
                <w:b w:val="0"/>
                <w:bCs w:val="0"/>
                <w:color w:val="000000"/>
                <w:sz w:val="24"/>
                <w:szCs w:val="24"/>
                <w:lang w:val="en-US" w:eastAsia="zh-TW"/>
              </w:rPr>
              <w:t>担当中国传统音乐文化传播</w:t>
            </w:r>
            <w:r>
              <w:rPr>
                <w:rFonts w:ascii="仿宋" w:eastAsia="仿宋" w:cs="仿宋"/>
                <w:b w:val="0"/>
                <w:bCs w:val="0"/>
                <w:color w:val="000000"/>
                <w:sz w:val="24"/>
                <w:szCs w:val="24"/>
                <w:lang w:eastAsia="zh-TW"/>
              </w:rPr>
              <w:t>、</w:t>
            </w:r>
            <w:r>
              <w:rPr>
                <w:rFonts w:ascii="仿宋" w:eastAsia="仿宋" w:cs="仿宋"/>
                <w:b w:val="0"/>
                <w:bCs w:val="0"/>
                <w:color w:val="000000"/>
                <w:sz w:val="24"/>
                <w:szCs w:val="24"/>
                <w:lang w:val="en-US" w:eastAsia="zh-TW"/>
              </w:rPr>
              <w:t>传承</w:t>
            </w:r>
            <w:r>
              <w:rPr>
                <w:rFonts w:hint="eastAsia" w:ascii="仿宋" w:eastAsia="仿宋" w:cs="仿宋"/>
                <w:b w:val="0"/>
                <w:bCs w:val="0"/>
                <w:color w:val="000000"/>
                <w:sz w:val="24"/>
                <w:szCs w:val="24"/>
                <w:lang w:val="en-US"/>
              </w:rPr>
              <w:t>的</w:t>
            </w:r>
            <w:r>
              <w:rPr>
                <w:rFonts w:ascii="仿宋" w:eastAsia="仿宋" w:cs="仿宋"/>
                <w:b w:val="0"/>
                <w:bCs w:val="0"/>
                <w:color w:val="000000"/>
                <w:sz w:val="24"/>
                <w:szCs w:val="24"/>
                <w:lang w:val="en-US" w:eastAsia="zh-TW"/>
              </w:rPr>
              <w:t>历史使命</w:t>
            </w:r>
            <w:r>
              <w:rPr>
                <w:rFonts w:hint="eastAsia" w:ascii="仿宋" w:eastAsia="仿宋" w:cs="仿宋"/>
                <w:b w:val="0"/>
                <w:bCs w:val="0"/>
                <w:color w:val="000000"/>
                <w:sz w:val="24"/>
                <w:szCs w:val="24"/>
                <w:lang w:val="en-US"/>
              </w:rPr>
              <w:t>的信念</w:t>
            </w:r>
            <w:r>
              <w:rPr>
                <w:rFonts w:ascii="仿宋" w:eastAsia="仿宋" w:cs="仿宋"/>
                <w:b w:val="0"/>
                <w:bCs w:val="0"/>
                <w:color w:val="000000"/>
                <w:sz w:val="24"/>
                <w:szCs w:val="24"/>
                <w:lang w:val="en-US" w:eastAsia="zh-TW"/>
              </w:rPr>
              <w:t>。</w:t>
            </w:r>
            <w:r>
              <w:rPr>
                <w:rFonts w:hint="eastAsia" w:ascii="仿宋" w:eastAsia="仿宋" w:cs="仿宋"/>
                <w:b w:val="0"/>
                <w:bCs w:val="0"/>
                <w:color w:val="000000"/>
                <w:sz w:val="24"/>
                <w:szCs w:val="24"/>
                <w:lang w:val="en-US" w:eastAsia="zh-CN"/>
              </w:rPr>
              <w:t>（支撑毕业要求4.1，</w:t>
            </w:r>
            <w:r>
              <w:rPr>
                <w:rFonts w:ascii="仿宋" w:eastAsia="仿宋" w:cs="仿宋"/>
                <w:b w:val="0"/>
                <w:bCs w:val="0"/>
                <w:color w:val="000000"/>
                <w:sz w:val="24"/>
                <w:szCs w:val="24"/>
                <w:lang w:eastAsia="zh-CN"/>
              </w:rPr>
              <w:t>4</w:t>
            </w:r>
            <w:r>
              <w:rPr>
                <w:rFonts w:hint="eastAsia" w:ascii="仿宋" w:eastAsia="仿宋" w:cs="仿宋"/>
                <w:b w:val="0"/>
                <w:bCs w:val="0"/>
                <w:color w:val="000000"/>
                <w:sz w:val="24"/>
                <w:szCs w:val="24"/>
                <w:lang w:val="en-US"/>
              </w:rPr>
              <w:t>.</w:t>
            </w:r>
            <w:r>
              <w:rPr>
                <w:rFonts w:ascii="仿宋" w:eastAsia="仿宋" w:cs="仿宋"/>
                <w:b w:val="0"/>
                <w:bCs w:val="0"/>
                <w:color w:val="000000"/>
                <w:sz w:val="24"/>
                <w:szCs w:val="24"/>
              </w:rPr>
              <w:t>3</w:t>
            </w:r>
            <w:r>
              <w:rPr>
                <w:rFonts w:hint="eastAsia" w:ascii="仿宋" w:eastAsia="仿宋" w:cs="仿宋"/>
                <w:b w:val="0"/>
                <w:bCs w:val="0"/>
                <w:color w:val="000000"/>
                <w:sz w:val="24"/>
                <w:szCs w:val="24"/>
                <w:lang w:val="en-US" w:eastAsia="zh-CN"/>
              </w:rPr>
              <w:t>）</w:t>
            </w:r>
          </w:p>
          <w:p w14:paraId="10A024F8">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ascii="仿宋" w:eastAsia="仿宋" w:cs="仿宋"/>
                <w:b w:val="0"/>
                <w:bCs w:val="0"/>
                <w:color w:val="000000"/>
                <w:sz w:val="24"/>
                <w:szCs w:val="24"/>
                <w:lang w:val="en-US" w:eastAsia="zh-TW"/>
              </w:rPr>
              <w:t>课程目标3：</w:t>
            </w:r>
            <w:r>
              <w:rPr>
                <w:rFonts w:hint="eastAsia" w:ascii="仿宋" w:eastAsia="仿宋" w:cs="仿宋"/>
                <w:color w:val="000000"/>
                <w:sz w:val="24"/>
                <w:szCs w:val="24"/>
                <w:lang w:val="en-US" w:eastAsia="zh-TW"/>
              </w:rPr>
              <w:t>充分领会中国民族音乐的意义</w:t>
            </w:r>
            <w:r>
              <w:rPr>
                <w:rFonts w:hint="eastAsia" w:ascii="仿宋" w:eastAsia="仿宋" w:cs="仿宋"/>
                <w:color w:val="000000"/>
                <w:sz w:val="24"/>
                <w:szCs w:val="24"/>
                <w:lang w:val="en-US"/>
              </w:rPr>
              <w:t>以及育人价值</w:t>
            </w:r>
            <w:r>
              <w:rPr>
                <w:rFonts w:hint="eastAsia" w:ascii="仿宋" w:eastAsia="仿宋" w:cs="仿宋"/>
                <w:color w:val="000000"/>
                <w:sz w:val="24"/>
                <w:szCs w:val="24"/>
                <w:lang w:val="en-US" w:eastAsia="zh-TW"/>
              </w:rPr>
              <w:t>，</w:t>
            </w:r>
            <w:r>
              <w:rPr>
                <w:rStyle w:val="31"/>
                <w:rFonts w:hint="eastAsia" w:ascii="仿宋" w:eastAsia="仿宋"/>
                <w:color w:val="auto"/>
                <w:sz w:val="24"/>
                <w:szCs w:val="24"/>
                <w:lang w:val="en-US"/>
              </w:rPr>
              <w:t>提升音乐的</w:t>
            </w:r>
            <w:r>
              <w:rPr>
                <w:rStyle w:val="31"/>
                <w:rFonts w:hint="eastAsia" w:ascii="仿宋" w:eastAsia="仿宋"/>
                <w:color w:val="auto"/>
                <w:sz w:val="24"/>
                <w:szCs w:val="24"/>
              </w:rPr>
              <w:t>审美感受</w:t>
            </w:r>
            <w:r>
              <w:rPr>
                <w:rStyle w:val="31"/>
                <w:rFonts w:hint="eastAsia" w:ascii="仿宋" w:eastAsia="仿宋"/>
                <w:color w:val="auto"/>
                <w:sz w:val="24"/>
                <w:szCs w:val="24"/>
                <w:lang w:val="en-US"/>
              </w:rPr>
              <w:t>度</w:t>
            </w:r>
            <w:r>
              <w:rPr>
                <w:rStyle w:val="31"/>
                <w:rFonts w:hint="eastAsia" w:ascii="仿宋" w:eastAsia="仿宋"/>
                <w:color w:val="auto"/>
                <w:sz w:val="24"/>
                <w:szCs w:val="24"/>
              </w:rPr>
              <w:t>和</w:t>
            </w:r>
            <w:r>
              <w:rPr>
                <w:rFonts w:hint="eastAsia" w:ascii="仿宋" w:eastAsia="仿宋" w:cs="仿宋"/>
                <w:color w:val="auto"/>
                <w:sz w:val="24"/>
                <w:szCs w:val="24"/>
                <w:lang w:bidi="ar-SA"/>
              </w:rPr>
              <w:t>艺术感知力</w:t>
            </w:r>
            <w:r>
              <w:rPr>
                <w:rFonts w:ascii="仿宋" w:eastAsia="仿宋" w:cs="仿宋"/>
                <w:color w:val="auto"/>
                <w:sz w:val="24"/>
                <w:szCs w:val="24"/>
                <w:lang w:bidi="ar-SA"/>
              </w:rPr>
              <w:t>，</w:t>
            </w:r>
            <w:r>
              <w:rPr>
                <w:rFonts w:hint="eastAsia" w:ascii="仿宋" w:eastAsia="仿宋" w:cs="仿宋"/>
                <w:color w:val="000000"/>
                <w:sz w:val="24"/>
                <w:szCs w:val="24"/>
                <w:lang w:val="en-US"/>
              </w:rPr>
              <w:t>能够</w:t>
            </w:r>
            <w:r>
              <w:rPr>
                <w:rFonts w:hint="eastAsia" w:ascii="仿宋" w:eastAsia="仿宋" w:cs="仿宋"/>
                <w:color w:val="000000"/>
                <w:sz w:val="24"/>
                <w:szCs w:val="24"/>
                <w:lang w:val="en-US" w:eastAsia="zh-CN"/>
              </w:rPr>
              <w:t>在音乐教学、</w:t>
            </w:r>
            <w:r>
              <w:rPr>
                <w:rFonts w:hint="eastAsia" w:ascii="仿宋" w:eastAsia="仿宋" w:cs="仿宋"/>
                <w:color w:val="000000"/>
                <w:sz w:val="24"/>
                <w:szCs w:val="24"/>
                <w:lang w:val="en-US"/>
              </w:rPr>
              <w:t>音乐活动</w:t>
            </w:r>
            <w:r>
              <w:rPr>
                <w:rFonts w:hint="eastAsia" w:ascii="仿宋" w:eastAsia="仿宋" w:cs="仿宋"/>
                <w:color w:val="000000"/>
                <w:sz w:val="24"/>
                <w:szCs w:val="24"/>
                <w:lang w:val="en-US" w:eastAsia="zh-CN"/>
              </w:rPr>
              <w:t>中渗透</w:t>
            </w:r>
            <w:r>
              <w:rPr>
                <w:rFonts w:ascii="仿宋" w:eastAsia="仿宋" w:cs="仿宋"/>
                <w:color w:val="000000"/>
                <w:sz w:val="24"/>
                <w:szCs w:val="24"/>
                <w:lang w:val="en-US" w:eastAsia="zh-CN"/>
              </w:rPr>
              <w:t>“</w:t>
            </w:r>
            <w:r>
              <w:rPr>
                <w:rFonts w:hint="eastAsia" w:ascii="仿宋" w:eastAsia="仿宋" w:cs="仿宋"/>
                <w:color w:val="000000"/>
                <w:sz w:val="24"/>
                <w:szCs w:val="24"/>
                <w:lang w:val="en-US" w:eastAsia="zh-CN"/>
              </w:rPr>
              <w:t>以美育人</w:t>
            </w:r>
            <w:r>
              <w:rPr>
                <w:rFonts w:ascii="仿宋" w:eastAsia="仿宋" w:cs="仿宋"/>
                <w:color w:val="000000"/>
                <w:sz w:val="24"/>
                <w:szCs w:val="24"/>
                <w:lang w:val="en-US" w:eastAsia="zh-CN"/>
              </w:rPr>
              <w:t>”</w:t>
            </w:r>
            <w:r>
              <w:rPr>
                <w:rFonts w:hint="eastAsia" w:ascii="仿宋" w:eastAsia="仿宋" w:cs="仿宋"/>
                <w:color w:val="000000"/>
                <w:sz w:val="24"/>
                <w:szCs w:val="24"/>
                <w:lang w:val="en-US" w:eastAsia="zh-CN"/>
              </w:rPr>
              <w:t>的理念。（支撑毕业要求</w:t>
            </w:r>
            <w:r>
              <w:rPr>
                <w:rFonts w:ascii="仿宋" w:eastAsia="仿宋" w:cs="仿宋"/>
                <w:color w:val="000000"/>
                <w:sz w:val="24"/>
                <w:szCs w:val="24"/>
                <w:lang w:eastAsia="zh-CN"/>
              </w:rPr>
              <w:t>6</w:t>
            </w:r>
            <w:r>
              <w:rPr>
                <w:rFonts w:hint="eastAsia" w:ascii="仿宋" w:eastAsia="仿宋" w:cs="仿宋"/>
                <w:color w:val="000000"/>
                <w:sz w:val="24"/>
                <w:szCs w:val="24"/>
                <w:lang w:val="en-US"/>
              </w:rPr>
              <w:t>.</w:t>
            </w:r>
            <w:r>
              <w:rPr>
                <w:rFonts w:ascii="仿宋" w:eastAsia="仿宋" w:cs="仿宋"/>
                <w:color w:val="000000"/>
                <w:sz w:val="24"/>
                <w:szCs w:val="24"/>
              </w:rPr>
              <w:t>1</w:t>
            </w:r>
            <w:r>
              <w:rPr>
                <w:rFonts w:hint="eastAsia" w:ascii="仿宋" w:eastAsia="仿宋" w:cs="仿宋"/>
                <w:color w:val="000000"/>
                <w:sz w:val="24"/>
                <w:szCs w:val="24"/>
                <w:lang w:val="en-US" w:eastAsia="zh-CN"/>
              </w:rPr>
              <w:t>）</w:t>
            </w:r>
          </w:p>
        </w:tc>
      </w:tr>
      <w:tr w14:paraId="5A6B192E">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14:paraId="67181304"/>
        </w:tc>
        <w:tc>
          <w:tcPr>
            <w:tcW w:w="1328"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14:paraId="70AB66B9">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课程目标</w:t>
            </w:r>
          </w:p>
        </w:tc>
        <w:tc>
          <w:tcPr>
            <w:tcW w:w="4530" w:type="dxa"/>
            <w:gridSpan w:val="6"/>
            <w:tcBorders>
              <w:top w:val="single" w:color="auto" w:sz="4" w:space="0"/>
              <w:left w:val="single" w:color="auto" w:sz="4" w:space="0"/>
              <w:bottom w:val="single" w:color="auto" w:sz="4" w:space="0"/>
              <w:right w:val="single" w:color="auto" w:sz="4" w:space="0"/>
            </w:tcBorders>
            <w:shd w:val="clear" w:color="auto" w:fill="FFFFFF"/>
            <w:noWrap/>
            <w:vAlign w:val="center"/>
          </w:tcPr>
          <w:p w14:paraId="72552259">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毕业要求分解指标点</w:t>
            </w:r>
          </w:p>
        </w:tc>
        <w:tc>
          <w:tcPr>
            <w:tcW w:w="1914" w:type="dxa"/>
            <w:gridSpan w:val="6"/>
            <w:tcBorders>
              <w:top w:val="single" w:color="auto" w:sz="4" w:space="0"/>
              <w:left w:val="single" w:color="auto" w:sz="4" w:space="0"/>
              <w:bottom w:val="single" w:color="auto" w:sz="4" w:space="0"/>
              <w:right w:val="single" w:color="auto" w:sz="4" w:space="0"/>
            </w:tcBorders>
            <w:shd w:val="clear" w:color="auto" w:fill="FFFFFF"/>
            <w:noWrap/>
            <w:vAlign w:val="center"/>
          </w:tcPr>
          <w:p w14:paraId="385CF232">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毕业要求</w:t>
            </w:r>
          </w:p>
        </w:tc>
      </w:tr>
      <w:tr w14:paraId="206D1C29">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14:paraId="0C398777"/>
        </w:tc>
        <w:tc>
          <w:tcPr>
            <w:tcW w:w="1328"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14:paraId="00EA01EC">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课程目标1</w:t>
            </w:r>
          </w:p>
          <w:p w14:paraId="6047994E">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p>
        </w:tc>
        <w:tc>
          <w:tcPr>
            <w:tcW w:w="4530" w:type="dxa"/>
            <w:gridSpan w:val="6"/>
            <w:tcBorders>
              <w:top w:val="single" w:color="auto" w:sz="4" w:space="0"/>
              <w:left w:val="single" w:color="auto" w:sz="4" w:space="0"/>
              <w:bottom w:val="single" w:color="auto" w:sz="4" w:space="0"/>
              <w:right w:val="single" w:color="auto" w:sz="4" w:space="0"/>
            </w:tcBorders>
            <w:shd w:val="clear" w:color="auto" w:fill="FFFFFF"/>
            <w:noWrap/>
            <w:vAlign w:val="center"/>
          </w:tcPr>
          <w:p w14:paraId="04FF00D5">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CN"/>
              </w:rPr>
              <w:t>3.2</w:t>
            </w:r>
            <w:r>
              <w:rPr>
                <w:rFonts w:ascii="仿宋" w:eastAsia="仿宋" w:cs="仿宋"/>
                <w:color w:val="000000"/>
                <w:sz w:val="24"/>
                <w:szCs w:val="24"/>
                <w:lang w:val="en-US" w:eastAsia="zh-TW"/>
              </w:rPr>
              <w:t>【理论素养】掌握音乐理论的基本知识，了解中外音乐史的总体框架，理解音乐理论课程之间的相互关联，形成初步的音乐理论知识体系，能够综合运用音乐理论知识解决相关教学问题</w:t>
            </w:r>
            <w:r>
              <w:rPr>
                <w:rFonts w:hint="eastAsia" w:ascii="仿宋" w:eastAsia="仿宋" w:cs="仿宋"/>
                <w:color w:val="000000"/>
                <w:sz w:val="24"/>
                <w:szCs w:val="24"/>
                <w:lang w:val="en-US" w:eastAsia="zh-CN"/>
              </w:rPr>
              <w:t>。</w:t>
            </w:r>
          </w:p>
        </w:tc>
        <w:tc>
          <w:tcPr>
            <w:tcW w:w="1914" w:type="dxa"/>
            <w:gridSpan w:val="6"/>
            <w:tcBorders>
              <w:top w:val="single" w:color="auto" w:sz="4" w:space="0"/>
              <w:left w:val="single" w:color="auto" w:sz="4" w:space="0"/>
              <w:bottom w:val="single" w:color="auto" w:sz="4" w:space="0"/>
              <w:right w:val="single" w:color="auto" w:sz="4" w:space="0"/>
            </w:tcBorders>
            <w:shd w:val="clear" w:color="auto" w:fill="FFFFFF"/>
            <w:noWrap/>
            <w:vAlign w:val="center"/>
          </w:tcPr>
          <w:p w14:paraId="7B78F397">
            <w:pPr>
              <w:pageBreakBefore w:val="0"/>
              <w:widowControl w:val="0"/>
              <w:kinsoku/>
              <w:overflowPunct/>
              <w:topLinePunct w:val="0"/>
              <w:bidi w:val="0"/>
              <w:adjustRightInd w:val="0"/>
              <w:snapToGrid w:val="0"/>
              <w:spacing w:line="240" w:lineRule="auto"/>
              <w:jc w:val="center"/>
              <w:rPr>
                <w:rFonts w:hint="eastAsia" w:ascii="仿宋" w:eastAsia="仿宋" w:cs="仿宋"/>
                <w:bCs/>
                <w:color w:val="000000"/>
                <w:sz w:val="24"/>
                <w:szCs w:val="24"/>
              </w:rPr>
            </w:pPr>
            <w:r>
              <w:rPr>
                <w:rFonts w:hint="eastAsia" w:ascii="仿宋" w:eastAsia="仿宋" w:cs="仿宋"/>
                <w:bCs/>
                <w:color w:val="000000"/>
                <w:sz w:val="24"/>
                <w:szCs w:val="24"/>
              </w:rPr>
              <w:t>学科素养</w:t>
            </w:r>
          </w:p>
          <w:p w14:paraId="1D504D08">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eastAsia="zh-CN"/>
              </w:rPr>
            </w:pPr>
            <w:r>
              <w:rPr>
                <w:rFonts w:hint="eastAsia" w:ascii="仿宋" w:eastAsia="仿宋" w:cs="仿宋"/>
                <w:bCs/>
                <w:color w:val="000000"/>
                <w:sz w:val="24"/>
                <w:szCs w:val="24"/>
                <w:lang w:eastAsia="zh-CN"/>
              </w:rPr>
              <w:t>（</w:t>
            </w:r>
            <w:r>
              <w:rPr>
                <w:rFonts w:ascii="仿宋" w:eastAsia="仿宋" w:cs="仿宋"/>
                <w:bCs/>
                <w:color w:val="000000"/>
                <w:sz w:val="24"/>
                <w:szCs w:val="24"/>
                <w:lang w:val="en-US"/>
              </w:rPr>
              <w:t>H</w:t>
            </w:r>
            <w:r>
              <w:rPr>
                <w:rFonts w:hint="eastAsia" w:ascii="仿宋" w:eastAsia="仿宋" w:cs="仿宋"/>
                <w:bCs/>
                <w:color w:val="000000"/>
                <w:sz w:val="24"/>
                <w:szCs w:val="24"/>
                <w:lang w:val="en-US" w:eastAsia="zh-CN"/>
              </w:rPr>
              <w:t>）</w:t>
            </w:r>
          </w:p>
        </w:tc>
      </w:tr>
      <w:tr w14:paraId="0DDEAB95">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14:paraId="23B6BA61"/>
        </w:tc>
        <w:tc>
          <w:tcPr>
            <w:tcW w:w="1328"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14:paraId="360CD9E3">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TW"/>
              </w:rPr>
              <w:t>课程目标</w:t>
            </w:r>
            <w:r>
              <w:rPr>
                <w:rFonts w:hint="eastAsia" w:ascii="仿宋" w:eastAsia="仿宋" w:cs="仿宋"/>
                <w:color w:val="000000"/>
                <w:sz w:val="24"/>
                <w:szCs w:val="24"/>
                <w:lang w:val="en-US" w:eastAsia="zh-CN"/>
              </w:rPr>
              <w:t>2</w:t>
            </w:r>
          </w:p>
        </w:tc>
        <w:tc>
          <w:tcPr>
            <w:tcW w:w="4530" w:type="dxa"/>
            <w:gridSpan w:val="6"/>
            <w:tcBorders>
              <w:top w:val="single" w:color="auto" w:sz="4" w:space="0"/>
              <w:left w:val="single" w:color="auto" w:sz="4" w:space="0"/>
              <w:bottom w:val="single" w:color="auto" w:sz="4" w:space="0"/>
              <w:right w:val="single" w:color="auto" w:sz="4" w:space="0"/>
            </w:tcBorders>
            <w:shd w:val="clear" w:color="auto" w:fill="FFFFFF"/>
            <w:noWrap/>
            <w:vAlign w:val="center"/>
          </w:tcPr>
          <w:p w14:paraId="03DA7BF0">
            <w:pPr>
              <w:pageBreakBefore w:val="0"/>
              <w:widowControl w:val="0"/>
              <w:kinsoku/>
              <w:overflowPunct/>
              <w:topLinePunct w:val="0"/>
              <w:bidi w:val="0"/>
              <w:adjustRightInd w:val="0"/>
              <w:snapToGrid w:val="0"/>
              <w:spacing w:line="240" w:lineRule="auto"/>
              <w:rPr>
                <w:rFonts w:ascii="仿宋" w:eastAsia="仿宋" w:cs="仿宋"/>
                <w:color w:val="000000"/>
                <w:sz w:val="24"/>
                <w:szCs w:val="24"/>
                <w:lang w:val="en-US" w:eastAsia="zh-TW"/>
              </w:rPr>
            </w:pPr>
            <w:r>
              <w:rPr>
                <w:rFonts w:hint="eastAsia" w:ascii="仿宋" w:eastAsia="仿宋" w:cs="仿宋"/>
                <w:color w:val="000000"/>
                <w:sz w:val="24"/>
                <w:szCs w:val="24"/>
                <w:lang w:val="en-US" w:eastAsia="zh-CN"/>
              </w:rPr>
              <w:t>4.1</w:t>
            </w:r>
            <w:r>
              <w:rPr>
                <w:rFonts w:ascii="仿宋" w:eastAsia="仿宋" w:cs="仿宋"/>
                <w:color w:val="000000"/>
                <w:sz w:val="24"/>
                <w:szCs w:val="24"/>
                <w:lang w:val="en-US" w:eastAsia="zh-TW"/>
              </w:rPr>
              <w:t>【教学设计与实施】熟悉中学音乐课程标准和教材，能够正确处理课标和教材的关系，科学合理地进行教学设计并实施教学，准确把握教学内容，分析学情，合理安排教学过程和环节，科学设计评价内容和方式，根据学生音乐认知的特征和个体差异，注重差异化教学。课后能够及时反思、总结形成初步的教研能力。</w:t>
            </w:r>
          </w:p>
          <w:p w14:paraId="41016B72">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ascii="仿宋" w:eastAsia="仿宋" w:cs="仿宋"/>
                <w:color w:val="000000"/>
                <w:sz w:val="24"/>
                <w:szCs w:val="24"/>
                <w:lang w:val="en-US" w:eastAsia="zh-CN"/>
              </w:rPr>
              <w:t>4.3</w:t>
            </w:r>
            <w:r>
              <w:rPr>
                <w:rFonts w:hint="eastAsia" w:ascii="仿宋" w:eastAsia="仿宋" w:cs="仿宋"/>
                <w:color w:val="000000"/>
                <w:sz w:val="24"/>
                <w:szCs w:val="24"/>
                <w:lang w:val="en-US" w:eastAsia="zh-CN"/>
              </w:rPr>
              <w:t>【传统文化传承】具有传承传统音乐文化的意识，能够运用传统音乐文化资源进行课堂教学和开展课外音乐</w:t>
            </w:r>
            <w:r>
              <w:rPr>
                <w:rFonts w:hint="default" w:ascii="仿宋" w:eastAsia="仿宋" w:cs="仿宋"/>
                <w:color w:val="000000"/>
                <w:sz w:val="24"/>
                <w:szCs w:val="24"/>
                <w:lang w:eastAsia="zh-CN"/>
              </w:rPr>
              <w:t xml:space="preserve"> </w:t>
            </w:r>
            <w:r>
              <w:rPr>
                <w:rFonts w:hint="eastAsia" w:ascii="仿宋" w:eastAsia="仿宋" w:cs="仿宋"/>
                <w:color w:val="000000"/>
                <w:sz w:val="24"/>
                <w:szCs w:val="24"/>
                <w:lang w:val="en-US" w:eastAsia="zh-CN"/>
              </w:rPr>
              <w:t>活动。</w:t>
            </w:r>
          </w:p>
        </w:tc>
        <w:tc>
          <w:tcPr>
            <w:tcW w:w="1914" w:type="dxa"/>
            <w:gridSpan w:val="6"/>
            <w:tcBorders>
              <w:top w:val="single" w:color="auto" w:sz="4" w:space="0"/>
              <w:left w:val="single" w:color="auto" w:sz="4" w:space="0"/>
              <w:bottom w:val="single" w:color="auto" w:sz="4" w:space="0"/>
              <w:right w:val="single" w:color="auto" w:sz="4" w:space="0"/>
            </w:tcBorders>
            <w:shd w:val="clear" w:color="auto" w:fill="FFFFFF"/>
            <w:noWrap/>
            <w:vAlign w:val="center"/>
          </w:tcPr>
          <w:p w14:paraId="2613A566">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CN"/>
              </w:rPr>
              <w:t>教学能力</w:t>
            </w:r>
          </w:p>
          <w:p w14:paraId="261F0263">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eastAsia="zh-CN"/>
              </w:rPr>
            </w:pPr>
            <w:r>
              <w:rPr>
                <w:rFonts w:hint="eastAsia" w:ascii="仿宋" w:eastAsia="仿宋" w:cs="仿宋"/>
                <w:color w:val="000000"/>
                <w:sz w:val="24"/>
                <w:szCs w:val="24"/>
                <w:lang w:val="en-US" w:eastAsia="zh-CN"/>
              </w:rPr>
              <w:t>（</w:t>
            </w:r>
            <w:r>
              <w:rPr>
                <w:rFonts w:ascii="仿宋" w:eastAsia="仿宋" w:cs="仿宋"/>
                <w:color w:val="000000"/>
                <w:sz w:val="24"/>
                <w:szCs w:val="24"/>
                <w:lang w:val="en-US" w:eastAsia="zh-CN"/>
              </w:rPr>
              <w:t>H</w:t>
            </w:r>
            <w:r>
              <w:rPr>
                <w:rFonts w:hint="eastAsia" w:ascii="仿宋" w:eastAsia="仿宋" w:cs="仿宋"/>
                <w:color w:val="000000"/>
                <w:sz w:val="24"/>
                <w:szCs w:val="24"/>
                <w:lang w:val="en-US" w:eastAsia="zh-CN"/>
              </w:rPr>
              <w:t>）</w:t>
            </w:r>
          </w:p>
        </w:tc>
      </w:tr>
      <w:tr w14:paraId="7DD8BEA1">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14:paraId="250B4E54"/>
        </w:tc>
        <w:tc>
          <w:tcPr>
            <w:tcW w:w="1328"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14:paraId="2821EC60">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TW"/>
              </w:rPr>
              <w:t>课程目标</w:t>
            </w:r>
            <w:r>
              <w:rPr>
                <w:rFonts w:hint="eastAsia" w:ascii="仿宋" w:eastAsia="仿宋" w:cs="仿宋"/>
                <w:color w:val="000000"/>
                <w:sz w:val="24"/>
                <w:szCs w:val="24"/>
                <w:lang w:val="en-US" w:eastAsia="zh-CN"/>
              </w:rPr>
              <w:t>3</w:t>
            </w:r>
          </w:p>
        </w:tc>
        <w:tc>
          <w:tcPr>
            <w:tcW w:w="4530" w:type="dxa"/>
            <w:gridSpan w:val="6"/>
            <w:tcBorders>
              <w:top w:val="single" w:color="auto" w:sz="4" w:space="0"/>
              <w:left w:val="single" w:color="auto" w:sz="4" w:space="0"/>
              <w:bottom w:val="single" w:color="auto" w:sz="4" w:space="0"/>
              <w:right w:val="single" w:color="auto" w:sz="4" w:space="0"/>
            </w:tcBorders>
            <w:shd w:val="clear" w:color="auto" w:fill="FFFFFF"/>
            <w:noWrap/>
            <w:vAlign w:val="center"/>
          </w:tcPr>
          <w:p w14:paraId="440F9F4E">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ascii="仿宋" w:eastAsia="仿宋" w:cs="仿宋"/>
                <w:color w:val="000000"/>
                <w:sz w:val="24"/>
                <w:szCs w:val="24"/>
                <w:lang w:val="en-US" w:eastAsia="zh-CN"/>
              </w:rPr>
              <w:t>6.1</w:t>
            </w:r>
            <w:r>
              <w:rPr>
                <w:rFonts w:hint="eastAsia" w:ascii="仿宋" w:eastAsia="仿宋" w:cs="仿宋"/>
                <w:color w:val="000000"/>
                <w:sz w:val="24"/>
                <w:szCs w:val="24"/>
                <w:lang w:val="en-US" w:eastAsia="zh-CN"/>
              </w:rPr>
              <w:t>【育人理念】理解音乐教学与人的全面发展的关系，理解音乐学科的育人价值，具备在音乐教学、课外辅导、学生交往中渗透</w:t>
            </w:r>
            <w:r>
              <w:rPr>
                <w:rFonts w:ascii="仿宋" w:eastAsia="仿宋" w:cs="仿宋"/>
                <w:color w:val="000000"/>
                <w:sz w:val="24"/>
                <w:szCs w:val="24"/>
                <w:lang w:val="en-US" w:eastAsia="zh-CN"/>
              </w:rPr>
              <w:t>“</w:t>
            </w:r>
            <w:r>
              <w:rPr>
                <w:rFonts w:hint="eastAsia" w:ascii="仿宋" w:eastAsia="仿宋" w:cs="仿宋"/>
                <w:color w:val="000000"/>
                <w:sz w:val="24"/>
                <w:szCs w:val="24"/>
                <w:lang w:val="en-US" w:eastAsia="zh-CN"/>
              </w:rPr>
              <w:t>以美育人</w:t>
            </w:r>
            <w:r>
              <w:rPr>
                <w:rFonts w:ascii="仿宋" w:eastAsia="仿宋" w:cs="仿宋"/>
                <w:color w:val="000000"/>
                <w:sz w:val="24"/>
                <w:szCs w:val="24"/>
                <w:lang w:val="en-US" w:eastAsia="zh-CN"/>
              </w:rPr>
              <w:t>”</w:t>
            </w:r>
            <w:r>
              <w:rPr>
                <w:rFonts w:hint="eastAsia" w:ascii="仿宋" w:eastAsia="仿宋" w:cs="仿宋"/>
                <w:color w:val="000000"/>
                <w:sz w:val="24"/>
                <w:szCs w:val="24"/>
                <w:lang w:val="en-US" w:eastAsia="zh-CN"/>
              </w:rPr>
              <w:t>的理念。</w:t>
            </w:r>
          </w:p>
        </w:tc>
        <w:tc>
          <w:tcPr>
            <w:tcW w:w="1914" w:type="dxa"/>
            <w:gridSpan w:val="6"/>
            <w:tcBorders>
              <w:top w:val="single" w:color="auto" w:sz="4" w:space="0"/>
              <w:left w:val="single" w:color="auto" w:sz="4" w:space="0"/>
              <w:bottom w:val="single" w:color="auto" w:sz="4" w:space="0"/>
              <w:right w:val="single" w:color="auto" w:sz="4" w:space="0"/>
            </w:tcBorders>
            <w:shd w:val="clear" w:color="auto" w:fill="FFFFFF"/>
            <w:noWrap/>
            <w:vAlign w:val="center"/>
          </w:tcPr>
          <w:p w14:paraId="57AC9796">
            <w:pPr>
              <w:pageBreakBefore w:val="0"/>
              <w:widowControl w:val="0"/>
              <w:kinsoku/>
              <w:overflowPunct/>
              <w:topLinePunct w:val="0"/>
              <w:bidi w:val="0"/>
              <w:adjustRightInd w:val="0"/>
              <w:snapToGrid w:val="0"/>
              <w:spacing w:line="240" w:lineRule="auto"/>
              <w:jc w:val="center"/>
              <w:rPr>
                <w:rFonts w:ascii="仿宋" w:eastAsia="仿宋" w:cs="仿宋"/>
                <w:color w:val="000000"/>
                <w:sz w:val="24"/>
                <w:szCs w:val="24"/>
                <w:lang w:val="en-US" w:eastAsia="zh-CN"/>
              </w:rPr>
            </w:pPr>
            <w:r>
              <w:rPr>
                <w:rFonts w:ascii="仿宋" w:eastAsia="仿宋" w:cs="仿宋"/>
                <w:color w:val="000000"/>
                <w:sz w:val="24"/>
                <w:szCs w:val="24"/>
                <w:lang w:val="en-US" w:eastAsia="zh-CN"/>
              </w:rPr>
              <w:t>综合育人</w:t>
            </w:r>
          </w:p>
          <w:p w14:paraId="4A77B968">
            <w:pPr>
              <w:pageBreakBefore w:val="0"/>
              <w:widowControl w:val="0"/>
              <w:kinsoku/>
              <w:overflowPunct/>
              <w:topLinePunct w:val="0"/>
              <w:bidi w:val="0"/>
              <w:adjustRightInd w:val="0"/>
              <w:snapToGrid w:val="0"/>
              <w:spacing w:line="240" w:lineRule="auto"/>
              <w:jc w:val="center"/>
              <w:rPr>
                <w:rFonts w:ascii="仿宋" w:eastAsia="仿宋" w:cs="仿宋"/>
                <w:color w:val="000000"/>
                <w:sz w:val="24"/>
                <w:szCs w:val="24"/>
                <w:lang w:val="en-US" w:eastAsia="zh-CN"/>
              </w:rPr>
            </w:pPr>
            <w:r>
              <w:rPr>
                <w:rFonts w:hint="eastAsia" w:ascii="仿宋" w:eastAsia="仿宋" w:cs="仿宋"/>
                <w:color w:val="000000"/>
                <w:sz w:val="24"/>
                <w:szCs w:val="24"/>
                <w:lang w:val="en-US" w:eastAsia="zh-CN"/>
              </w:rPr>
              <w:t>（</w:t>
            </w:r>
            <w:r>
              <w:rPr>
                <w:rFonts w:ascii="仿宋" w:eastAsia="仿宋" w:cs="仿宋"/>
                <w:color w:val="000000"/>
                <w:sz w:val="24"/>
                <w:szCs w:val="24"/>
                <w:lang w:val="en-US" w:eastAsia="zh-CN"/>
              </w:rPr>
              <w:t>M</w:t>
            </w:r>
            <w:r>
              <w:rPr>
                <w:rFonts w:hint="eastAsia" w:ascii="仿宋" w:eastAsia="仿宋" w:cs="仿宋"/>
                <w:color w:val="000000"/>
                <w:sz w:val="24"/>
                <w:szCs w:val="24"/>
                <w:lang w:val="en-US" w:eastAsia="zh-CN"/>
              </w:rPr>
              <w:t>）</w:t>
            </w:r>
          </w:p>
        </w:tc>
      </w:tr>
      <w:tr w14:paraId="1CA74CF6">
        <w:trPr>
          <w:trHeight w:val="624" w:hRule="atLeast"/>
        </w:trPr>
        <w:tc>
          <w:tcPr>
            <w:tcW w:w="1376" w:type="dxa"/>
            <w:vMerge w:val="restart"/>
            <w:tcBorders>
              <w:top w:val="single" w:color="auto" w:sz="4" w:space="0"/>
              <w:left w:val="single" w:color="auto" w:sz="4" w:space="0"/>
              <w:bottom w:val="single" w:color="auto" w:sz="4" w:space="0"/>
              <w:right w:val="single" w:color="auto" w:sz="4" w:space="0"/>
            </w:tcBorders>
            <w:shd w:val="clear" w:color="auto" w:fill="FFFFFF"/>
            <w:noWrap/>
            <w:vAlign w:val="center"/>
          </w:tcPr>
          <w:p w14:paraId="5F985B16">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14:paraId="20A6AA5F">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14:paraId="329DA218">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p>
          <w:p w14:paraId="44C10D45">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p>
          <w:p w14:paraId="62A11351">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p>
          <w:p w14:paraId="0B026E23">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p>
          <w:p w14:paraId="3DA22195">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p>
          <w:p w14:paraId="3848FB94">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F</w:t>
            </w:r>
          </w:p>
          <w:p w14:paraId="3296E3C8">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CN"/>
              </w:rPr>
              <w:t>实践教学</w:t>
            </w:r>
            <w:r>
              <w:rPr>
                <w:rFonts w:hint="eastAsia" w:ascii="仿宋" w:eastAsia="仿宋" w:cs="仿宋"/>
                <w:color w:val="000000"/>
                <w:sz w:val="24"/>
                <w:szCs w:val="24"/>
                <w:lang w:val="en-US" w:eastAsia="zh-TW"/>
              </w:rPr>
              <w:t>内容</w:t>
            </w:r>
          </w:p>
          <w:p w14:paraId="7182FA28">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14:paraId="10C9D93E">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14:paraId="399A1533">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14:paraId="52378E49">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14:paraId="3CB45ED1">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14:paraId="2A04D6D0">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14:paraId="061734A4">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14:paraId="0BF21C08">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14:paraId="5F361A75">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14:paraId="6979FDEE">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14:paraId="47EC2746">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14:paraId="0377A4A5">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14:paraId="5F37BADC">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14:paraId="138CC1D2">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14:paraId="43C8A9AC">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14:paraId="61FE4BBE">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14:paraId="5BFEE662">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CN"/>
              </w:rPr>
            </w:pPr>
          </w:p>
        </w:tc>
        <w:tc>
          <w:tcPr>
            <w:tcW w:w="5858" w:type="dxa"/>
            <w:gridSpan w:val="8"/>
            <w:tcBorders>
              <w:top w:val="single" w:color="auto" w:sz="4" w:space="0"/>
              <w:left w:val="single" w:color="auto" w:sz="4" w:space="0"/>
              <w:bottom w:val="single" w:color="auto" w:sz="4" w:space="0"/>
              <w:right w:val="single" w:color="auto" w:sz="4" w:space="0"/>
            </w:tcBorders>
            <w:shd w:val="clear" w:color="auto" w:fill="FFFFFF"/>
            <w:noWrap/>
            <w:vAlign w:val="center"/>
          </w:tcPr>
          <w:p w14:paraId="5E3C7BF8">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章节学习内容与学习要求</w:t>
            </w:r>
          </w:p>
        </w:tc>
        <w:tc>
          <w:tcPr>
            <w:tcW w:w="1240"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14:paraId="1AB2EE57">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支撑课程目标</w:t>
            </w:r>
          </w:p>
        </w:tc>
        <w:tc>
          <w:tcPr>
            <w:tcW w:w="674"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14:paraId="47A59690">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学时</w:t>
            </w:r>
          </w:p>
          <w:p w14:paraId="13B4219F">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分配</w:t>
            </w:r>
          </w:p>
        </w:tc>
      </w:tr>
      <w:tr w14:paraId="08E05A5D">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14:paraId="09BF509C"/>
        </w:tc>
        <w:tc>
          <w:tcPr>
            <w:tcW w:w="5858" w:type="dxa"/>
            <w:gridSpan w:val="8"/>
            <w:tcBorders>
              <w:top w:val="single" w:color="auto" w:sz="4" w:space="0"/>
              <w:left w:val="single" w:color="auto" w:sz="4" w:space="0"/>
              <w:bottom w:val="single" w:color="auto" w:sz="4" w:space="0"/>
              <w:right w:val="single" w:color="auto" w:sz="4" w:space="0"/>
            </w:tcBorders>
            <w:shd w:val="clear" w:color="auto" w:fill="auto"/>
            <w:noWrap/>
          </w:tcPr>
          <w:p w14:paraId="21D8BCB6">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Hans"/>
              </w:rPr>
            </w:pPr>
            <w:r>
              <w:rPr>
                <w:rFonts w:hint="eastAsia" w:ascii="仿宋" w:eastAsia="仿宋" w:cs="仿宋"/>
                <w:color w:val="000000"/>
                <w:sz w:val="24"/>
                <w:szCs w:val="24"/>
                <w:lang w:val="en-US" w:eastAsia="zh-TW"/>
              </w:rPr>
              <w:t>第一章</w:t>
            </w:r>
            <w:r>
              <w:rPr>
                <w:rFonts w:hint="eastAsia" w:ascii="仿宋" w:eastAsia="仿宋" w:cs="仿宋"/>
                <w:color w:val="000000"/>
                <w:sz w:val="24"/>
                <w:szCs w:val="24"/>
                <w:lang w:val="en-US" w:eastAsia="zh-CN"/>
              </w:rPr>
              <w:t xml:space="preserve"> </w:t>
            </w:r>
            <w:r>
              <w:rPr>
                <w:rFonts w:hint="eastAsia" w:ascii="仿宋" w:eastAsia="仿宋" w:cs="仿宋"/>
                <w:color w:val="000000"/>
                <w:sz w:val="24"/>
                <w:szCs w:val="24"/>
                <w:lang w:val="en-US" w:eastAsia="zh-Hans"/>
              </w:rPr>
              <w:t>民歌与歌舞</w:t>
            </w:r>
          </w:p>
          <w:p w14:paraId="2535341A">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CN"/>
              </w:rPr>
              <w:t>基本内容：</w:t>
            </w:r>
          </w:p>
          <w:p w14:paraId="0D98BA7F">
            <w:pPr>
              <w:pageBreakBefore w:val="0"/>
              <w:widowControl w:val="0"/>
              <w:numPr>
                <w:ilvl w:val="0"/>
                <w:numId w:val="9"/>
              </w:numPr>
              <w:kinsoku/>
              <w:overflowPunct/>
              <w:topLinePunct w:val="0"/>
              <w:bidi w:val="0"/>
              <w:adjustRightInd w:val="0"/>
              <w:snapToGrid w:val="0"/>
              <w:spacing w:line="240" w:lineRule="auto"/>
              <w:rPr>
                <w:rFonts w:hint="eastAsia" w:ascii="仿宋" w:eastAsia="仿宋" w:cs="仿宋"/>
                <w:color w:val="000000"/>
                <w:sz w:val="24"/>
                <w:szCs w:val="24"/>
                <w:lang w:val="en-US" w:eastAsia="zh-Hans"/>
              </w:rPr>
            </w:pPr>
            <w:r>
              <w:rPr>
                <w:rFonts w:hint="eastAsia" w:ascii="仿宋" w:eastAsia="仿宋" w:cs="仿宋"/>
                <w:color w:val="000000"/>
                <w:sz w:val="24"/>
                <w:szCs w:val="24"/>
                <w:lang w:val="en-US" w:eastAsia="zh-Hans"/>
              </w:rPr>
              <w:t>概述</w:t>
            </w:r>
          </w:p>
          <w:p w14:paraId="73B81371">
            <w:pPr>
              <w:pageBreakBefore w:val="0"/>
              <w:widowControl w:val="0"/>
              <w:numPr>
                <w:ilvl w:val="0"/>
                <w:numId w:val="9"/>
              </w:numPr>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Hans"/>
              </w:rPr>
              <w:t>汉族北方民歌与歌舞</w:t>
            </w:r>
          </w:p>
          <w:p w14:paraId="25A33A2F">
            <w:pPr>
              <w:pageBreakBefore w:val="0"/>
              <w:widowControl w:val="0"/>
              <w:numPr>
                <w:ilvl w:val="0"/>
                <w:numId w:val="9"/>
              </w:numPr>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Hans"/>
              </w:rPr>
              <w:t>汉族南方民歌与歌舞</w:t>
            </w:r>
          </w:p>
          <w:p w14:paraId="09B723E5">
            <w:pPr>
              <w:pageBreakBefore w:val="0"/>
              <w:widowControl w:val="0"/>
              <w:numPr>
                <w:ilvl w:val="0"/>
                <w:numId w:val="9"/>
              </w:numPr>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Hans"/>
              </w:rPr>
              <w:t>北方少数民族民歌与歌舞</w:t>
            </w:r>
          </w:p>
          <w:p w14:paraId="67F04616">
            <w:pPr>
              <w:pageBreakBefore w:val="0"/>
              <w:widowControl w:val="0"/>
              <w:numPr>
                <w:ilvl w:val="0"/>
                <w:numId w:val="9"/>
              </w:numPr>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Hans"/>
              </w:rPr>
              <w:t>南方少数民族民歌与歌舞</w:t>
            </w:r>
          </w:p>
          <w:p w14:paraId="239D248D">
            <w:pPr>
              <w:pageBreakBefore w:val="0"/>
              <w:widowControl w:val="0"/>
              <w:numPr>
                <w:ilvl w:val="0"/>
                <w:numId w:val="0"/>
              </w:numPr>
              <w:kinsoku/>
              <w:overflowPunct/>
              <w:topLinePunct w:val="0"/>
              <w:bidi w:val="0"/>
              <w:adjustRightInd w:val="0"/>
              <w:snapToGrid w:val="0"/>
              <w:spacing w:line="240" w:lineRule="auto"/>
              <w:ind w:firstLine="480" w:firstLineChars="200"/>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知道层</w:t>
            </w:r>
            <w:r>
              <w:rPr>
                <w:rFonts w:hint="eastAsia" w:ascii="仿宋" w:eastAsia="仿宋" w:cs="仿宋"/>
                <w:color w:val="000000"/>
                <w:sz w:val="24"/>
                <w:szCs w:val="24"/>
                <w:lang w:val="en-US" w:eastAsia="zh-Hans"/>
              </w:rPr>
              <w:t>面</w:t>
            </w:r>
            <w:r>
              <w:rPr>
                <w:rFonts w:hint="eastAsia" w:ascii="仿宋" w:eastAsia="仿宋" w:cs="仿宋"/>
                <w:color w:val="000000"/>
                <w:sz w:val="24"/>
                <w:szCs w:val="24"/>
                <w:lang w:val="en-US" w:eastAsia="zh-TW"/>
              </w:rPr>
              <w:t>：</w:t>
            </w:r>
            <w:r>
              <w:rPr>
                <w:rFonts w:hint="eastAsia" w:ascii="仿宋" w:eastAsia="仿宋" w:cs="仿宋"/>
                <w:color w:val="000000"/>
                <w:sz w:val="24"/>
                <w:szCs w:val="24"/>
                <w:lang w:val="en-US" w:eastAsia="zh-Hans"/>
              </w:rPr>
              <w:t>民歌与歌舞的种类</w:t>
            </w:r>
            <w:r>
              <w:rPr>
                <w:rFonts w:hint="default" w:ascii="仿宋" w:eastAsia="仿宋" w:cs="仿宋"/>
                <w:color w:val="000000"/>
                <w:sz w:val="24"/>
                <w:szCs w:val="24"/>
                <w:lang w:eastAsia="zh-Hans"/>
              </w:rPr>
              <w:t>、</w:t>
            </w:r>
            <w:r>
              <w:rPr>
                <w:rFonts w:hint="eastAsia" w:ascii="仿宋" w:eastAsia="仿宋" w:cs="仿宋"/>
                <w:color w:val="000000"/>
                <w:sz w:val="24"/>
                <w:szCs w:val="24"/>
                <w:lang w:val="en-US" w:eastAsia="zh-Hans"/>
              </w:rPr>
              <w:t>音乐形式</w:t>
            </w:r>
            <w:r>
              <w:rPr>
                <w:rFonts w:hint="default" w:ascii="仿宋" w:eastAsia="仿宋" w:cs="仿宋"/>
                <w:color w:val="000000"/>
                <w:sz w:val="24"/>
                <w:szCs w:val="24"/>
                <w:lang w:eastAsia="zh-Hans"/>
              </w:rPr>
              <w:t>、</w:t>
            </w:r>
            <w:r>
              <w:rPr>
                <w:rFonts w:hint="eastAsia" w:ascii="仿宋" w:eastAsia="仿宋" w:cs="仿宋"/>
                <w:color w:val="000000"/>
                <w:sz w:val="24"/>
                <w:szCs w:val="24"/>
                <w:lang w:val="en-US" w:eastAsia="zh-Hans"/>
              </w:rPr>
              <w:t>风格特征</w:t>
            </w:r>
            <w:r>
              <w:rPr>
                <w:rFonts w:hint="default" w:ascii="仿宋" w:eastAsia="仿宋" w:cs="仿宋"/>
                <w:color w:val="000000"/>
                <w:sz w:val="24"/>
                <w:szCs w:val="24"/>
                <w:lang w:eastAsia="zh-Hans"/>
              </w:rPr>
              <w:t>。</w:t>
            </w:r>
          </w:p>
          <w:p w14:paraId="000CD052">
            <w:pPr>
              <w:pageBreakBefore w:val="0"/>
              <w:widowControl w:val="0"/>
              <w:kinsoku/>
              <w:overflowPunct/>
              <w:topLinePunct w:val="0"/>
              <w:bidi w:val="0"/>
              <w:adjustRightInd w:val="0"/>
              <w:snapToGrid w:val="0"/>
              <w:spacing w:line="240" w:lineRule="auto"/>
              <w:ind w:firstLine="480" w:firstLineChars="200"/>
              <w:rPr>
                <w:rFonts w:hint="default" w:ascii="仿宋" w:eastAsia="仿宋" w:cs="仿宋"/>
                <w:color w:val="000000"/>
                <w:sz w:val="24"/>
                <w:szCs w:val="24"/>
                <w:lang w:eastAsia="zh-Hans"/>
              </w:rPr>
            </w:pPr>
            <w:r>
              <w:rPr>
                <w:rFonts w:hint="eastAsia" w:ascii="仿宋" w:eastAsia="仿宋" w:cs="仿宋"/>
                <w:color w:val="000000"/>
                <w:sz w:val="24"/>
                <w:szCs w:val="24"/>
                <w:lang w:val="en-US" w:eastAsia="zh-TW"/>
              </w:rPr>
              <w:t>领会层</w:t>
            </w:r>
            <w:r>
              <w:rPr>
                <w:rFonts w:hint="eastAsia" w:ascii="仿宋" w:eastAsia="仿宋" w:cs="仿宋"/>
                <w:color w:val="000000"/>
                <w:sz w:val="24"/>
                <w:szCs w:val="24"/>
                <w:lang w:val="en-US" w:eastAsia="zh-Hans"/>
              </w:rPr>
              <w:t>面</w:t>
            </w:r>
            <w:r>
              <w:rPr>
                <w:rFonts w:hint="eastAsia" w:ascii="仿宋" w:eastAsia="仿宋" w:cs="仿宋"/>
                <w:color w:val="000000"/>
                <w:sz w:val="24"/>
                <w:szCs w:val="24"/>
                <w:lang w:val="en-US" w:eastAsia="zh-TW"/>
              </w:rPr>
              <w:t>：总结</w:t>
            </w:r>
            <w:r>
              <w:rPr>
                <w:rFonts w:hint="eastAsia" w:ascii="仿宋" w:eastAsia="仿宋" w:cs="仿宋"/>
                <w:color w:val="000000"/>
                <w:sz w:val="24"/>
                <w:szCs w:val="24"/>
                <w:lang w:val="en-US" w:eastAsia="zh-Hans"/>
              </w:rPr>
              <w:t>不同地域民歌与歌舞演唱中的方言</w:t>
            </w:r>
            <w:r>
              <w:rPr>
                <w:rFonts w:hint="default" w:ascii="仿宋" w:eastAsia="仿宋" w:cs="仿宋"/>
                <w:color w:val="000000"/>
                <w:sz w:val="24"/>
                <w:szCs w:val="24"/>
                <w:lang w:eastAsia="zh-Hans"/>
              </w:rPr>
              <w:t>、</w:t>
            </w:r>
            <w:r>
              <w:rPr>
                <w:rFonts w:hint="eastAsia" w:ascii="仿宋" w:eastAsia="仿宋" w:cs="仿宋"/>
                <w:color w:val="000000"/>
                <w:sz w:val="24"/>
                <w:szCs w:val="24"/>
                <w:lang w:val="en-US" w:eastAsia="zh-Hans"/>
              </w:rPr>
              <w:t>节奏</w:t>
            </w:r>
            <w:r>
              <w:rPr>
                <w:rFonts w:hint="default" w:ascii="仿宋" w:eastAsia="仿宋" w:cs="仿宋"/>
                <w:color w:val="000000"/>
                <w:sz w:val="24"/>
                <w:szCs w:val="24"/>
                <w:lang w:eastAsia="zh-Hans"/>
              </w:rPr>
              <w:t>、</w:t>
            </w:r>
            <w:r>
              <w:rPr>
                <w:rFonts w:hint="eastAsia" w:ascii="仿宋" w:eastAsia="仿宋" w:cs="仿宋"/>
                <w:color w:val="000000"/>
                <w:sz w:val="24"/>
                <w:szCs w:val="24"/>
                <w:lang w:val="en-US" w:eastAsia="zh-Hans"/>
              </w:rPr>
              <w:t>气息及感情的处理</w:t>
            </w:r>
            <w:r>
              <w:rPr>
                <w:rFonts w:hint="default" w:ascii="仿宋" w:eastAsia="仿宋" w:cs="仿宋"/>
                <w:color w:val="000000"/>
                <w:sz w:val="24"/>
                <w:szCs w:val="24"/>
                <w:lang w:eastAsia="zh-Hans"/>
              </w:rPr>
              <w:t>。</w:t>
            </w:r>
          </w:p>
          <w:p w14:paraId="06879EA4">
            <w:pPr>
              <w:pageBreakBefore w:val="0"/>
              <w:widowControl w:val="0"/>
              <w:kinsoku/>
              <w:overflowPunct/>
              <w:topLinePunct w:val="0"/>
              <w:bidi w:val="0"/>
              <w:adjustRightInd w:val="0"/>
              <w:snapToGrid w:val="0"/>
              <w:spacing w:line="240" w:lineRule="auto"/>
              <w:ind w:firstLine="480" w:firstLineChars="200"/>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应用层</w:t>
            </w:r>
            <w:r>
              <w:rPr>
                <w:rFonts w:hint="eastAsia" w:ascii="仿宋" w:eastAsia="仿宋" w:cs="仿宋"/>
                <w:color w:val="000000"/>
                <w:sz w:val="24"/>
                <w:szCs w:val="24"/>
                <w:lang w:val="en-US" w:eastAsia="zh-Hans"/>
              </w:rPr>
              <w:t>面</w:t>
            </w:r>
            <w:r>
              <w:rPr>
                <w:rFonts w:hint="default" w:ascii="仿宋" w:eastAsia="仿宋" w:cs="仿宋"/>
                <w:color w:val="000000"/>
                <w:sz w:val="24"/>
                <w:szCs w:val="24"/>
                <w:lang w:eastAsia="zh-Hans"/>
              </w:rPr>
              <w:t>：</w:t>
            </w:r>
            <w:r>
              <w:rPr>
                <w:rFonts w:hint="eastAsia" w:ascii="仿宋" w:eastAsia="仿宋" w:cs="仿宋"/>
                <w:color w:val="000000"/>
                <w:sz w:val="24"/>
                <w:szCs w:val="24"/>
                <w:lang w:val="en-US" w:eastAsia="zh-Hans"/>
              </w:rPr>
              <w:t>明确不同类型民歌的艺术特点</w:t>
            </w:r>
            <w:r>
              <w:rPr>
                <w:rFonts w:hint="default" w:ascii="仿宋" w:eastAsia="仿宋" w:cs="仿宋"/>
                <w:color w:val="000000"/>
                <w:sz w:val="24"/>
                <w:szCs w:val="24"/>
                <w:lang w:eastAsia="zh-Hans"/>
              </w:rPr>
              <w:t>，</w:t>
            </w:r>
            <w:r>
              <w:rPr>
                <w:rFonts w:hint="eastAsia" w:ascii="仿宋" w:eastAsia="仿宋" w:cs="仿宋"/>
                <w:color w:val="000000"/>
                <w:sz w:val="24"/>
                <w:szCs w:val="24"/>
                <w:lang w:val="en-US" w:eastAsia="zh-Hans"/>
              </w:rPr>
              <w:t>并运用到演唱中</w:t>
            </w:r>
            <w:r>
              <w:rPr>
                <w:rFonts w:hint="eastAsia" w:ascii="仿宋" w:eastAsia="仿宋" w:cs="仿宋"/>
                <w:color w:val="000000"/>
                <w:sz w:val="24"/>
                <w:szCs w:val="24"/>
                <w:lang w:val="en-US" w:eastAsia="zh-TW"/>
              </w:rPr>
              <w:t>。</w:t>
            </w:r>
          </w:p>
          <w:p w14:paraId="78E3846E">
            <w:pPr>
              <w:pageBreakBefore w:val="0"/>
              <w:widowControl w:val="0"/>
              <w:kinsoku/>
              <w:overflowPunct/>
              <w:topLinePunct w:val="0"/>
              <w:bidi w:val="0"/>
              <w:adjustRightInd w:val="0"/>
              <w:snapToGrid w:val="0"/>
              <w:spacing w:line="240" w:lineRule="auto"/>
              <w:ind w:firstLine="480" w:firstLineChars="200"/>
              <w:rPr>
                <w:rFonts w:hint="default" w:ascii="仿宋" w:eastAsia="仿宋" w:cs="仿宋"/>
                <w:color w:val="000000"/>
                <w:sz w:val="24"/>
                <w:szCs w:val="24"/>
                <w:lang w:eastAsia="zh-Hans"/>
              </w:rPr>
            </w:pPr>
            <w:r>
              <w:rPr>
                <w:rFonts w:hint="eastAsia" w:ascii="仿宋" w:eastAsia="仿宋" w:cs="仿宋"/>
                <w:color w:val="000000"/>
                <w:sz w:val="24"/>
                <w:szCs w:val="24"/>
                <w:lang w:val="en-US" w:eastAsia="zh-Hans"/>
              </w:rPr>
              <w:t>思政融入</w:t>
            </w:r>
            <w:r>
              <w:rPr>
                <w:rFonts w:hint="default" w:ascii="仿宋" w:eastAsia="仿宋" w:cs="仿宋"/>
                <w:color w:val="000000"/>
                <w:sz w:val="24"/>
                <w:szCs w:val="24"/>
                <w:lang w:eastAsia="zh-Hans"/>
              </w:rPr>
              <w:t>：</w:t>
            </w:r>
            <w:r>
              <w:rPr>
                <w:rFonts w:hint="eastAsia" w:ascii="仿宋" w:eastAsia="仿宋" w:cs="仿宋"/>
                <w:color w:val="000000"/>
                <w:sz w:val="24"/>
                <w:szCs w:val="24"/>
                <w:lang w:val="en-US" w:eastAsia="zh-CN"/>
              </w:rPr>
              <w:t>1.</w:t>
            </w:r>
            <w:r>
              <w:rPr>
                <w:rFonts w:hint="eastAsia" w:ascii="仿宋" w:eastAsia="仿宋" w:cs="仿宋"/>
                <w:color w:val="000000"/>
                <w:sz w:val="24"/>
                <w:szCs w:val="24"/>
                <w:lang w:val="en-US" w:eastAsia="zh-Hans"/>
              </w:rPr>
              <w:t>重点讲解中国民间音乐集体性</w:t>
            </w:r>
            <w:r>
              <w:rPr>
                <w:rFonts w:hint="default" w:ascii="仿宋" w:eastAsia="仿宋" w:cs="仿宋"/>
                <w:color w:val="000000"/>
                <w:sz w:val="24"/>
                <w:szCs w:val="24"/>
                <w:lang w:eastAsia="zh-Hans"/>
              </w:rPr>
              <w:t>、</w:t>
            </w:r>
            <w:r>
              <w:rPr>
                <w:rFonts w:hint="eastAsia" w:ascii="仿宋" w:eastAsia="仿宋" w:cs="仿宋"/>
                <w:color w:val="000000"/>
                <w:sz w:val="24"/>
                <w:szCs w:val="24"/>
                <w:lang w:val="en-US" w:eastAsia="zh-Hans"/>
              </w:rPr>
              <w:t>口头性</w:t>
            </w:r>
            <w:r>
              <w:rPr>
                <w:rFonts w:hint="default" w:ascii="仿宋" w:eastAsia="仿宋" w:cs="仿宋"/>
                <w:color w:val="000000"/>
                <w:sz w:val="24"/>
                <w:szCs w:val="24"/>
                <w:lang w:eastAsia="zh-Hans"/>
              </w:rPr>
              <w:t>、</w:t>
            </w:r>
            <w:r>
              <w:rPr>
                <w:rFonts w:hint="eastAsia" w:ascii="仿宋" w:eastAsia="仿宋" w:cs="仿宋"/>
                <w:color w:val="000000"/>
                <w:sz w:val="24"/>
                <w:szCs w:val="24"/>
                <w:lang w:val="en-US" w:eastAsia="zh-Hans"/>
              </w:rPr>
              <w:t>变异性特点</w:t>
            </w:r>
            <w:r>
              <w:rPr>
                <w:rFonts w:hint="default" w:ascii="仿宋" w:eastAsia="仿宋" w:cs="仿宋"/>
                <w:color w:val="000000"/>
                <w:sz w:val="24"/>
                <w:szCs w:val="24"/>
                <w:lang w:eastAsia="zh-Hans"/>
              </w:rPr>
              <w:t>，</w:t>
            </w:r>
            <w:r>
              <w:rPr>
                <w:rFonts w:hint="eastAsia" w:ascii="仿宋" w:eastAsia="仿宋" w:cs="仿宋"/>
                <w:color w:val="000000"/>
                <w:sz w:val="24"/>
                <w:szCs w:val="24"/>
                <w:lang w:val="en-US" w:eastAsia="zh-Hans"/>
              </w:rPr>
              <w:t>将不同的民歌类型放置于人文</w:t>
            </w:r>
            <w:r>
              <w:rPr>
                <w:rFonts w:hint="default" w:ascii="仿宋" w:eastAsia="仿宋" w:cs="仿宋"/>
                <w:color w:val="000000"/>
                <w:sz w:val="24"/>
                <w:szCs w:val="24"/>
                <w:lang w:eastAsia="zh-Hans"/>
              </w:rPr>
              <w:t>、</w:t>
            </w:r>
            <w:r>
              <w:rPr>
                <w:rFonts w:hint="eastAsia" w:ascii="仿宋" w:eastAsia="仿宋" w:cs="仿宋"/>
                <w:color w:val="000000"/>
                <w:sz w:val="24"/>
                <w:szCs w:val="24"/>
                <w:lang w:val="en-US" w:eastAsia="zh-Hans"/>
              </w:rPr>
              <w:t>自然背景中去理解和分析</w:t>
            </w:r>
            <w:r>
              <w:rPr>
                <w:rFonts w:hint="default" w:ascii="仿宋" w:eastAsia="仿宋" w:cs="仿宋"/>
                <w:color w:val="000000"/>
                <w:sz w:val="24"/>
                <w:szCs w:val="24"/>
                <w:lang w:eastAsia="zh-Hans"/>
              </w:rPr>
              <w:t>，</w:t>
            </w:r>
            <w:r>
              <w:rPr>
                <w:rFonts w:hint="eastAsia" w:ascii="仿宋" w:eastAsia="仿宋" w:cs="仿宋"/>
                <w:color w:val="000000"/>
                <w:sz w:val="24"/>
                <w:szCs w:val="24"/>
                <w:lang w:val="en-US" w:eastAsia="zh-Hans"/>
              </w:rPr>
              <w:t>引导学生尝试抛开“学院派”唱法和西方音乐理论</w:t>
            </w:r>
            <w:r>
              <w:rPr>
                <w:rFonts w:hint="default" w:ascii="仿宋" w:eastAsia="仿宋" w:cs="仿宋"/>
                <w:color w:val="000000"/>
                <w:sz w:val="24"/>
                <w:szCs w:val="24"/>
                <w:lang w:eastAsia="zh-Hans"/>
              </w:rPr>
              <w:t>，</w:t>
            </w:r>
            <w:r>
              <w:rPr>
                <w:rFonts w:hint="eastAsia" w:ascii="仿宋" w:eastAsia="仿宋" w:cs="仿宋"/>
                <w:color w:val="000000"/>
                <w:sz w:val="24"/>
                <w:szCs w:val="24"/>
                <w:lang w:val="en-US" w:eastAsia="zh-Hans"/>
              </w:rPr>
              <w:t>学习“中国乐理”</w:t>
            </w:r>
            <w:r>
              <w:rPr>
                <w:rFonts w:hint="default" w:ascii="仿宋" w:eastAsia="仿宋" w:cs="仿宋"/>
                <w:color w:val="000000"/>
                <w:sz w:val="24"/>
                <w:szCs w:val="24"/>
                <w:lang w:eastAsia="zh-Hans"/>
              </w:rPr>
              <w:t>，</w:t>
            </w:r>
            <w:r>
              <w:rPr>
                <w:rFonts w:hint="eastAsia" w:ascii="仿宋" w:eastAsia="仿宋" w:cs="仿宋"/>
                <w:color w:val="000000"/>
                <w:sz w:val="24"/>
                <w:szCs w:val="24"/>
                <w:lang w:val="en-US" w:eastAsia="zh-Hans"/>
              </w:rPr>
              <w:t>研习民族声腔的独特和多样性</w:t>
            </w:r>
            <w:r>
              <w:rPr>
                <w:rFonts w:hint="default" w:ascii="仿宋" w:eastAsia="仿宋" w:cs="仿宋"/>
                <w:color w:val="000000"/>
                <w:sz w:val="24"/>
                <w:szCs w:val="24"/>
                <w:lang w:eastAsia="zh-Hans"/>
              </w:rPr>
              <w:t>。</w:t>
            </w:r>
          </w:p>
          <w:p w14:paraId="70D492C5">
            <w:pPr>
              <w:pageBreakBefore w:val="0"/>
              <w:widowControl w:val="0"/>
              <w:kinsoku/>
              <w:overflowPunct/>
              <w:topLinePunct w:val="0"/>
              <w:bidi w:val="0"/>
              <w:adjustRightInd w:val="0"/>
              <w:snapToGrid w:val="0"/>
              <w:spacing w:line="240" w:lineRule="auto"/>
              <w:ind w:firstLine="480" w:firstLineChars="200"/>
              <w:rPr>
                <w:rFonts w:ascii="仿宋" w:eastAsia="仿宋" w:cs="仿宋"/>
                <w:color w:val="000000"/>
                <w:sz w:val="24"/>
                <w:szCs w:val="24"/>
                <w:lang w:val="en-US" w:eastAsia="zh-TW"/>
              </w:rPr>
            </w:pPr>
            <w:r>
              <w:rPr>
                <w:rFonts w:hint="eastAsia" w:ascii="仿宋" w:eastAsia="仿宋" w:cs="仿宋"/>
                <w:color w:val="000000"/>
                <w:sz w:val="24"/>
                <w:szCs w:val="24"/>
                <w:lang w:val="en-US" w:eastAsia="zh-CN"/>
              </w:rPr>
              <w:t>2.</w:t>
            </w:r>
            <w:r>
              <w:rPr>
                <w:rFonts w:hint="default" w:ascii="仿宋" w:eastAsia="仿宋" w:cs="仿宋"/>
                <w:color w:val="000000"/>
                <w:sz w:val="24"/>
                <w:szCs w:val="24"/>
                <w:lang w:eastAsia="zh-Hans"/>
              </w:rPr>
              <w:t>通过不同风格、不用地域、不同民族的民歌作品的赏析和演唱，帮助学生感知历史文化与音乐的紧密联系，从而培养其建立正确的世界观、价值观、人生观。通过大量民歌演唱尤其是经过改编的红色经典民歌，加深学生对国家各历史阶段的不同层面的了解，培养学生爱国主义精神，增强学生的民族文化认同和自豪感。</w:t>
            </w:r>
          </w:p>
        </w:tc>
        <w:tc>
          <w:tcPr>
            <w:tcW w:w="1240" w:type="dxa"/>
            <w:gridSpan w:val="3"/>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2457FA7B">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CN"/>
              </w:rPr>
              <w:t>支撑课程</w:t>
            </w:r>
            <w:r>
              <w:rPr>
                <w:rFonts w:hint="eastAsia" w:ascii="仿宋" w:eastAsia="仿宋" w:cs="仿宋"/>
                <w:color w:val="000000"/>
                <w:sz w:val="24"/>
                <w:szCs w:val="24"/>
                <w:lang w:val="en-US" w:eastAsia="zh-TW"/>
              </w:rPr>
              <w:t>目标1、2</w:t>
            </w:r>
          </w:p>
        </w:tc>
        <w:tc>
          <w:tcPr>
            <w:tcW w:w="674" w:type="dxa"/>
            <w:gridSpan w:val="3"/>
            <w:vMerge w:val="restart"/>
            <w:tcBorders>
              <w:top w:val="single" w:color="auto" w:sz="4" w:space="0"/>
              <w:left w:val="single" w:color="auto" w:sz="4" w:space="0"/>
              <w:bottom w:val="single" w:color="auto" w:sz="4" w:space="0"/>
              <w:right w:val="single" w:color="auto" w:sz="4" w:space="0"/>
            </w:tcBorders>
            <w:shd w:val="clear" w:color="auto" w:fill="FFFFFF"/>
            <w:noWrap/>
            <w:vAlign w:val="center"/>
          </w:tcPr>
          <w:p w14:paraId="30216316">
            <w:pPr>
              <w:pageBreakBefore w:val="0"/>
              <w:widowControl w:val="0"/>
              <w:kinsoku/>
              <w:overflowPunct/>
              <w:topLinePunct w:val="0"/>
              <w:bidi w:val="0"/>
              <w:adjustRightInd w:val="0"/>
              <w:snapToGrid w:val="0"/>
              <w:spacing w:line="240" w:lineRule="auto"/>
              <w:jc w:val="center"/>
              <w:rPr>
                <w:rFonts w:ascii="仿宋" w:eastAsia="仿宋" w:cs="仿宋"/>
                <w:color w:val="000000"/>
                <w:sz w:val="24"/>
                <w:szCs w:val="24"/>
                <w:lang w:val="en-US" w:eastAsia="zh-CN"/>
              </w:rPr>
            </w:pPr>
          </w:p>
          <w:p w14:paraId="7AA25C99">
            <w:pPr>
              <w:pStyle w:val="30"/>
              <w:numPr>
                <w:ilvl w:val="0"/>
                <w:numId w:val="10"/>
              </w:numPr>
              <w:rPr>
                <w:lang w:val="en-US" w:eastAsia="zh-CN"/>
              </w:rPr>
            </w:pPr>
          </w:p>
          <w:p w14:paraId="7B77CD99">
            <w:pPr>
              <w:pStyle w:val="30"/>
              <w:rPr>
                <w:lang w:val="en-US" w:eastAsia="zh-CN"/>
              </w:rPr>
            </w:pPr>
          </w:p>
          <w:p w14:paraId="3FF3AAB0">
            <w:pPr>
              <w:pStyle w:val="30"/>
              <w:rPr>
                <w:lang w:val="en-US" w:eastAsia="zh-CN"/>
              </w:rPr>
            </w:pPr>
          </w:p>
          <w:p w14:paraId="7A4BAFF3">
            <w:pPr>
              <w:pStyle w:val="30"/>
              <w:rPr>
                <w:lang w:val="en-US" w:eastAsia="zh-CN"/>
              </w:rPr>
            </w:pPr>
          </w:p>
          <w:p w14:paraId="59F7F06E">
            <w:pPr>
              <w:pStyle w:val="30"/>
              <w:rPr>
                <w:lang w:val="en-US" w:eastAsia="zh-CN"/>
              </w:rPr>
            </w:pPr>
          </w:p>
          <w:p w14:paraId="18508801">
            <w:pPr>
              <w:pStyle w:val="30"/>
              <w:rPr>
                <w:lang w:val="en-US" w:eastAsia="zh-CN"/>
              </w:rPr>
            </w:pPr>
          </w:p>
          <w:p w14:paraId="290D1F41">
            <w:pPr>
              <w:pStyle w:val="30"/>
              <w:rPr>
                <w:lang w:val="en-US" w:eastAsia="zh-CN"/>
              </w:rPr>
            </w:pPr>
          </w:p>
          <w:p w14:paraId="06B2CF98">
            <w:pPr>
              <w:pStyle w:val="30"/>
              <w:rPr>
                <w:lang w:val="en-US" w:eastAsia="zh-CN"/>
              </w:rPr>
            </w:pPr>
          </w:p>
          <w:p w14:paraId="378BDAB5">
            <w:pPr>
              <w:pStyle w:val="30"/>
              <w:rPr>
                <w:lang w:val="en-US" w:eastAsia="zh-CN"/>
              </w:rPr>
            </w:pPr>
          </w:p>
          <w:p w14:paraId="1AA59CBA">
            <w:pPr>
              <w:pStyle w:val="30"/>
              <w:rPr>
                <w:rFonts w:hint="default"/>
                <w:lang w:val="en-US" w:eastAsia="zh-CN"/>
              </w:rPr>
            </w:pPr>
            <w:r>
              <w:rPr>
                <w:rFonts w:hint="eastAsia"/>
                <w:lang w:val="en-US" w:eastAsia="zh-CN"/>
              </w:rPr>
              <w:t>16</w:t>
            </w:r>
          </w:p>
        </w:tc>
      </w:tr>
      <w:tr w14:paraId="7B9D1919">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14:paraId="3FDBCECB"/>
        </w:tc>
        <w:tc>
          <w:tcPr>
            <w:tcW w:w="5858" w:type="dxa"/>
            <w:gridSpan w:val="8"/>
            <w:tcBorders>
              <w:top w:val="single" w:color="auto" w:sz="4" w:space="0"/>
              <w:left w:val="single" w:color="auto" w:sz="4" w:space="0"/>
              <w:bottom w:val="single" w:color="auto" w:sz="4" w:space="0"/>
              <w:right w:val="single" w:color="auto" w:sz="4" w:space="0"/>
            </w:tcBorders>
            <w:shd w:val="clear" w:color="auto" w:fill="auto"/>
            <w:noWrap/>
          </w:tcPr>
          <w:p w14:paraId="75186CD9">
            <w:pPr>
              <w:pageBreakBefore w:val="0"/>
              <w:widowControl w:val="0"/>
              <w:kinsoku/>
              <w:overflowPunct/>
              <w:topLinePunct w:val="0"/>
              <w:bidi w:val="0"/>
              <w:adjustRightInd w:val="0"/>
              <w:snapToGrid w:val="0"/>
              <w:spacing w:line="240" w:lineRule="auto"/>
              <w:rPr>
                <w:rFonts w:hint="default" w:ascii="仿宋" w:eastAsia="仿宋" w:cs="仿宋"/>
                <w:color w:val="000000"/>
                <w:sz w:val="24"/>
                <w:szCs w:val="24"/>
                <w:lang w:val="en-US" w:eastAsia="zh-Hans"/>
              </w:rPr>
            </w:pPr>
            <w:r>
              <w:rPr>
                <w:rFonts w:hint="eastAsia" w:ascii="仿宋" w:eastAsia="仿宋" w:cs="仿宋"/>
                <w:color w:val="000000"/>
                <w:sz w:val="24"/>
                <w:szCs w:val="24"/>
                <w:lang w:val="en-US" w:eastAsia="zh-TW"/>
              </w:rPr>
              <w:t>第二章 民</w:t>
            </w:r>
            <w:r>
              <w:rPr>
                <w:rFonts w:hint="eastAsia" w:ascii="仿宋" w:eastAsia="仿宋" w:cs="仿宋"/>
                <w:color w:val="000000"/>
                <w:sz w:val="24"/>
                <w:szCs w:val="24"/>
                <w:lang w:val="en-US" w:eastAsia="zh-Hans"/>
              </w:rPr>
              <w:t>族器乐</w:t>
            </w:r>
          </w:p>
          <w:p w14:paraId="4E78D0A1">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CN"/>
              </w:rPr>
              <w:t>基本内容：</w:t>
            </w:r>
          </w:p>
          <w:p w14:paraId="39F58B0C">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Hans"/>
              </w:rPr>
            </w:pPr>
            <w:r>
              <w:rPr>
                <w:rFonts w:hint="eastAsia" w:ascii="仿宋" w:eastAsia="仿宋" w:cs="仿宋"/>
                <w:color w:val="000000"/>
                <w:sz w:val="24"/>
                <w:szCs w:val="24"/>
                <w:lang w:val="en-US" w:eastAsia="zh-Hans"/>
              </w:rPr>
              <w:t>第一节</w:t>
            </w:r>
            <w:r>
              <w:rPr>
                <w:rFonts w:hint="default" w:ascii="仿宋" w:eastAsia="仿宋" w:cs="仿宋"/>
                <w:color w:val="000000"/>
                <w:sz w:val="24"/>
                <w:szCs w:val="24"/>
                <w:lang w:eastAsia="zh-Hans"/>
              </w:rPr>
              <w:t xml:space="preserve"> </w:t>
            </w:r>
            <w:r>
              <w:rPr>
                <w:rFonts w:hint="eastAsia" w:ascii="仿宋" w:eastAsia="仿宋" w:cs="仿宋"/>
                <w:color w:val="000000"/>
                <w:sz w:val="24"/>
                <w:szCs w:val="24"/>
                <w:lang w:val="en-US" w:eastAsia="zh-Hans"/>
              </w:rPr>
              <w:t>概述</w:t>
            </w:r>
          </w:p>
          <w:p w14:paraId="32C0A075">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Hans"/>
              </w:rPr>
              <w:t>第二节</w:t>
            </w:r>
            <w:r>
              <w:rPr>
                <w:rFonts w:hint="default" w:ascii="仿宋" w:eastAsia="仿宋" w:cs="仿宋"/>
                <w:color w:val="000000"/>
                <w:sz w:val="24"/>
                <w:szCs w:val="24"/>
                <w:lang w:eastAsia="zh-Hans"/>
              </w:rPr>
              <w:t xml:space="preserve"> </w:t>
            </w:r>
            <w:r>
              <w:rPr>
                <w:rFonts w:hint="eastAsia" w:ascii="仿宋" w:eastAsia="仿宋" w:cs="仿宋"/>
                <w:color w:val="000000"/>
                <w:sz w:val="24"/>
                <w:szCs w:val="24"/>
                <w:lang w:val="en-US" w:eastAsia="zh-TW"/>
              </w:rPr>
              <w:t>独奏乐器</w:t>
            </w:r>
          </w:p>
          <w:p w14:paraId="73B6A489">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Hans"/>
              </w:rPr>
              <w:t>第三节</w:t>
            </w:r>
            <w:r>
              <w:rPr>
                <w:rFonts w:hint="default" w:ascii="仿宋" w:eastAsia="仿宋" w:cs="仿宋"/>
                <w:color w:val="000000"/>
                <w:sz w:val="24"/>
                <w:szCs w:val="24"/>
                <w:lang w:eastAsia="zh-Hans"/>
              </w:rPr>
              <w:t xml:space="preserve"> </w:t>
            </w:r>
            <w:r>
              <w:rPr>
                <w:rFonts w:hint="eastAsia" w:ascii="仿宋" w:eastAsia="仿宋" w:cs="仿宋"/>
                <w:color w:val="000000"/>
                <w:sz w:val="24"/>
                <w:szCs w:val="24"/>
                <w:lang w:val="en-US" w:eastAsia="zh-Hans"/>
              </w:rPr>
              <w:t>合奏乐器</w:t>
            </w:r>
          </w:p>
          <w:p w14:paraId="2D03A05D">
            <w:pPr>
              <w:pageBreakBefore w:val="0"/>
              <w:widowControl w:val="0"/>
              <w:kinsoku/>
              <w:overflowPunct/>
              <w:topLinePunct w:val="0"/>
              <w:bidi w:val="0"/>
              <w:adjustRightInd w:val="0"/>
              <w:snapToGrid w:val="0"/>
              <w:spacing w:line="240" w:lineRule="auto"/>
              <w:ind w:firstLine="480" w:firstLineChars="200"/>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知道层</w:t>
            </w:r>
            <w:r>
              <w:rPr>
                <w:rFonts w:hint="eastAsia" w:ascii="仿宋" w:eastAsia="仿宋" w:cs="仿宋"/>
                <w:color w:val="000000"/>
                <w:sz w:val="24"/>
                <w:szCs w:val="24"/>
                <w:lang w:val="en-US" w:eastAsia="zh-Hans"/>
              </w:rPr>
              <w:t>面</w:t>
            </w:r>
            <w:r>
              <w:rPr>
                <w:rFonts w:hint="eastAsia" w:ascii="仿宋" w:eastAsia="仿宋" w:cs="仿宋"/>
                <w:color w:val="000000"/>
                <w:sz w:val="24"/>
                <w:szCs w:val="24"/>
                <w:lang w:val="en-US" w:eastAsia="zh-TW"/>
              </w:rPr>
              <w:t>：各历史时期民族乐器和民族器乐的发展，独奏及合奏乐器和器乐的特点。</w:t>
            </w:r>
          </w:p>
          <w:p w14:paraId="39856EFA">
            <w:pPr>
              <w:pageBreakBefore w:val="0"/>
              <w:widowControl w:val="0"/>
              <w:kinsoku/>
              <w:overflowPunct/>
              <w:topLinePunct w:val="0"/>
              <w:bidi w:val="0"/>
              <w:adjustRightInd w:val="0"/>
              <w:snapToGrid w:val="0"/>
              <w:spacing w:line="240" w:lineRule="auto"/>
              <w:ind w:firstLine="480" w:firstLineChars="200"/>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领会层</w:t>
            </w:r>
            <w:r>
              <w:rPr>
                <w:rFonts w:hint="eastAsia" w:ascii="仿宋" w:eastAsia="仿宋" w:cs="仿宋"/>
                <w:color w:val="000000"/>
                <w:sz w:val="24"/>
                <w:szCs w:val="24"/>
                <w:lang w:val="en-US" w:eastAsia="zh-Hans"/>
              </w:rPr>
              <w:t>面</w:t>
            </w:r>
            <w:r>
              <w:rPr>
                <w:rFonts w:hint="eastAsia" w:ascii="仿宋" w:eastAsia="仿宋" w:cs="仿宋"/>
                <w:color w:val="000000"/>
                <w:sz w:val="24"/>
                <w:szCs w:val="24"/>
                <w:lang w:val="en-US" w:eastAsia="zh-TW"/>
              </w:rPr>
              <w:t>：听辨民</w:t>
            </w:r>
            <w:r>
              <w:rPr>
                <w:rFonts w:hint="eastAsia" w:ascii="仿宋" w:eastAsia="仿宋" w:cs="仿宋"/>
                <w:color w:val="000000"/>
                <w:sz w:val="24"/>
                <w:szCs w:val="24"/>
                <w:lang w:val="en-US" w:eastAsia="zh-Hans"/>
              </w:rPr>
              <w:t>族</w:t>
            </w:r>
            <w:r>
              <w:rPr>
                <w:rFonts w:hint="eastAsia" w:ascii="仿宋" w:eastAsia="仿宋" w:cs="仿宋"/>
                <w:color w:val="000000"/>
                <w:sz w:val="24"/>
                <w:szCs w:val="24"/>
                <w:lang w:val="en-US" w:eastAsia="zh-TW"/>
              </w:rPr>
              <w:t>器乐</w:t>
            </w:r>
            <w:r>
              <w:rPr>
                <w:rFonts w:hint="eastAsia" w:ascii="仿宋" w:eastAsia="仿宋" w:cs="仿宋"/>
                <w:color w:val="000000"/>
                <w:sz w:val="24"/>
                <w:szCs w:val="24"/>
                <w:lang w:val="en-US" w:eastAsia="zh-Hans"/>
              </w:rPr>
              <w:t>代表性曲目的旋律</w:t>
            </w:r>
            <w:r>
              <w:rPr>
                <w:rFonts w:hint="eastAsia" w:ascii="仿宋" w:eastAsia="仿宋" w:cs="仿宋"/>
                <w:color w:val="000000"/>
                <w:sz w:val="24"/>
                <w:szCs w:val="24"/>
                <w:lang w:val="en-US" w:eastAsia="zh-TW"/>
              </w:rPr>
              <w:t>。</w:t>
            </w:r>
          </w:p>
          <w:p w14:paraId="6ACB0D6D">
            <w:pPr>
              <w:pageBreakBefore w:val="0"/>
              <w:widowControl w:val="0"/>
              <w:kinsoku/>
              <w:overflowPunct/>
              <w:topLinePunct w:val="0"/>
              <w:bidi w:val="0"/>
              <w:adjustRightInd w:val="0"/>
              <w:snapToGrid w:val="0"/>
              <w:spacing w:line="240" w:lineRule="auto"/>
              <w:ind w:firstLine="480" w:firstLineChars="200"/>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应用层</w:t>
            </w:r>
            <w:r>
              <w:rPr>
                <w:rFonts w:hint="eastAsia" w:ascii="仿宋" w:eastAsia="仿宋" w:cs="仿宋"/>
                <w:color w:val="000000"/>
                <w:sz w:val="24"/>
                <w:szCs w:val="24"/>
                <w:lang w:val="en-US" w:eastAsia="zh-Hans"/>
              </w:rPr>
              <w:t>面</w:t>
            </w:r>
            <w:r>
              <w:rPr>
                <w:rFonts w:hint="eastAsia" w:ascii="仿宋" w:eastAsia="仿宋" w:cs="仿宋"/>
                <w:color w:val="000000"/>
                <w:sz w:val="24"/>
                <w:szCs w:val="24"/>
                <w:lang w:val="en-US" w:eastAsia="zh-TW"/>
              </w:rPr>
              <w:t>：</w:t>
            </w:r>
            <w:r>
              <w:rPr>
                <w:rFonts w:hint="eastAsia" w:ascii="仿宋" w:eastAsia="仿宋" w:cs="仿宋"/>
                <w:color w:val="000000"/>
                <w:sz w:val="24"/>
                <w:szCs w:val="24"/>
                <w:lang w:val="en-US" w:eastAsia="zh-Hans"/>
              </w:rPr>
              <w:t>明确</w:t>
            </w:r>
            <w:r>
              <w:rPr>
                <w:rFonts w:hint="eastAsia" w:ascii="仿宋" w:eastAsia="仿宋" w:cs="仿宋"/>
                <w:color w:val="000000"/>
                <w:sz w:val="24"/>
                <w:szCs w:val="24"/>
                <w:lang w:val="en-US" w:eastAsia="zh-TW"/>
              </w:rPr>
              <w:t>不同</w:t>
            </w:r>
            <w:r>
              <w:rPr>
                <w:rFonts w:hint="eastAsia" w:ascii="仿宋" w:eastAsia="仿宋" w:cs="仿宋"/>
                <w:color w:val="000000"/>
                <w:sz w:val="24"/>
                <w:szCs w:val="24"/>
                <w:lang w:val="en-US" w:eastAsia="zh-Hans"/>
              </w:rPr>
              <w:t>民族器乐</w:t>
            </w:r>
            <w:r>
              <w:rPr>
                <w:rFonts w:hint="eastAsia" w:ascii="仿宋" w:eastAsia="仿宋" w:cs="仿宋"/>
                <w:color w:val="000000"/>
                <w:sz w:val="24"/>
                <w:szCs w:val="24"/>
                <w:lang w:val="en-US" w:eastAsia="zh-TW"/>
              </w:rPr>
              <w:t>派别的风格特点及代表人物的民族器乐创作风格特点</w:t>
            </w:r>
            <w:r>
              <w:rPr>
                <w:rFonts w:hint="default" w:ascii="仿宋" w:eastAsia="仿宋" w:cs="仿宋"/>
                <w:color w:val="000000"/>
                <w:sz w:val="24"/>
                <w:szCs w:val="24"/>
                <w:lang w:eastAsia="zh-TW"/>
              </w:rPr>
              <w:t>，</w:t>
            </w:r>
            <w:r>
              <w:rPr>
                <w:rFonts w:hint="eastAsia" w:ascii="仿宋" w:eastAsia="仿宋" w:cs="仿宋"/>
                <w:color w:val="000000"/>
                <w:sz w:val="24"/>
                <w:szCs w:val="24"/>
                <w:lang w:val="en-US" w:eastAsia="zh-Hans"/>
              </w:rPr>
              <w:t>并运用于乐器演奏中</w:t>
            </w:r>
            <w:r>
              <w:rPr>
                <w:rFonts w:hint="eastAsia" w:ascii="仿宋" w:eastAsia="仿宋" w:cs="仿宋"/>
                <w:color w:val="000000"/>
                <w:sz w:val="24"/>
                <w:szCs w:val="24"/>
                <w:lang w:val="en-US" w:eastAsia="zh-TW"/>
              </w:rPr>
              <w:t>。</w:t>
            </w:r>
          </w:p>
          <w:p w14:paraId="1CFBFEA8">
            <w:pPr>
              <w:pageBreakBefore w:val="0"/>
              <w:widowControl w:val="0"/>
              <w:kinsoku/>
              <w:overflowPunct/>
              <w:topLinePunct w:val="0"/>
              <w:bidi w:val="0"/>
              <w:adjustRightInd w:val="0"/>
              <w:snapToGrid w:val="0"/>
              <w:spacing w:line="240" w:lineRule="auto"/>
              <w:ind w:firstLine="480" w:firstLineChars="200"/>
              <w:rPr>
                <w:rFonts w:hint="default" w:ascii="仿宋" w:eastAsia="仿宋" w:cs="仿宋"/>
                <w:color w:val="000000"/>
                <w:sz w:val="24"/>
                <w:szCs w:val="24"/>
                <w:lang w:val="en-US" w:eastAsia="zh-Hans"/>
              </w:rPr>
            </w:pPr>
            <w:r>
              <w:rPr>
                <w:rFonts w:hint="eastAsia" w:ascii="仿宋" w:eastAsia="仿宋" w:cs="仿宋"/>
                <w:color w:val="000000"/>
                <w:sz w:val="24"/>
                <w:szCs w:val="24"/>
                <w:lang w:val="en-US" w:eastAsia="zh-Hans"/>
              </w:rPr>
              <w:t>思政融入：古琴音乐2003年入选世界人类口述和非物质遗产。通过史料、 典故引入</w:t>
            </w:r>
            <w:r>
              <w:rPr>
                <w:rFonts w:hint="default" w:ascii="仿宋" w:eastAsia="仿宋" w:cs="仿宋"/>
                <w:color w:val="000000"/>
                <w:sz w:val="24"/>
                <w:szCs w:val="24"/>
                <w:lang w:eastAsia="zh-Hans"/>
              </w:rPr>
              <w:t>，</w:t>
            </w:r>
            <w:r>
              <w:rPr>
                <w:rFonts w:hint="eastAsia" w:ascii="仿宋" w:eastAsia="仿宋" w:cs="仿宋"/>
                <w:color w:val="000000"/>
                <w:sz w:val="24"/>
                <w:szCs w:val="24"/>
                <w:lang w:val="en-US" w:eastAsia="zh-Hans"/>
              </w:rPr>
              <w:t>以古琴结构、音色、审美为主线</w:t>
            </w:r>
            <w:r>
              <w:rPr>
                <w:rFonts w:hint="default" w:ascii="仿宋" w:eastAsia="仿宋" w:cs="仿宋"/>
                <w:color w:val="000000"/>
                <w:sz w:val="24"/>
                <w:szCs w:val="24"/>
                <w:lang w:eastAsia="zh-Hans"/>
              </w:rPr>
              <w:t>，</w:t>
            </w:r>
            <w:r>
              <w:rPr>
                <w:rFonts w:hint="eastAsia" w:ascii="仿宋" w:eastAsia="仿宋" w:cs="仿宋"/>
                <w:color w:val="000000"/>
                <w:sz w:val="24"/>
                <w:szCs w:val="24"/>
                <w:lang w:val="en-US" w:eastAsia="zh-Hans"/>
              </w:rPr>
              <w:t>建立起古琴身上赋予的人文精神</w:t>
            </w:r>
            <w:r>
              <w:rPr>
                <w:rFonts w:hint="default" w:ascii="仿宋" w:eastAsia="仿宋" w:cs="仿宋"/>
                <w:color w:val="000000"/>
                <w:sz w:val="24"/>
                <w:szCs w:val="24"/>
                <w:lang w:eastAsia="zh-Hans"/>
              </w:rPr>
              <w:t>，</w:t>
            </w:r>
            <w:r>
              <w:rPr>
                <w:rFonts w:hint="eastAsia" w:ascii="仿宋" w:eastAsia="仿宋" w:cs="仿宋"/>
                <w:color w:val="000000"/>
                <w:sz w:val="24"/>
                <w:szCs w:val="24"/>
                <w:lang w:val="en-US" w:eastAsia="zh-Hans"/>
              </w:rPr>
              <w:t>并通过识读减字谱，拓宽中国乐理知识面</w:t>
            </w:r>
            <w:r>
              <w:rPr>
                <w:rFonts w:hint="default" w:ascii="仿宋" w:eastAsia="仿宋" w:cs="仿宋"/>
                <w:color w:val="000000"/>
                <w:sz w:val="24"/>
                <w:szCs w:val="24"/>
                <w:lang w:eastAsia="zh-Hans"/>
              </w:rPr>
              <w:t>，</w:t>
            </w:r>
            <w:r>
              <w:rPr>
                <w:rFonts w:hint="eastAsia" w:ascii="仿宋" w:eastAsia="仿宋" w:cs="仿宋"/>
                <w:color w:val="000000"/>
                <w:sz w:val="24"/>
                <w:szCs w:val="24"/>
                <w:lang w:val="en-US" w:eastAsia="zh-Hans"/>
              </w:rPr>
              <w:t xml:space="preserve">知晓其人文情怀，领略中国文人音乐的独特魅力。 </w:t>
            </w:r>
          </w:p>
        </w:tc>
        <w:tc>
          <w:tcPr>
            <w:tcW w:w="1240" w:type="dxa"/>
            <w:gridSpan w:val="3"/>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3682DE43"/>
        </w:tc>
        <w:tc>
          <w:tcPr>
            <w:tcW w:w="674" w:type="dxa"/>
            <w:gridSpan w:val="3"/>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14:paraId="269FAB83"/>
        </w:tc>
      </w:tr>
      <w:tr w14:paraId="7032DBD5">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14:paraId="6F37B891"/>
        </w:tc>
        <w:tc>
          <w:tcPr>
            <w:tcW w:w="5858" w:type="dxa"/>
            <w:gridSpan w:val="8"/>
            <w:tcBorders>
              <w:top w:val="single" w:color="auto" w:sz="4" w:space="0"/>
              <w:left w:val="single" w:color="auto" w:sz="4" w:space="0"/>
              <w:bottom w:val="single" w:color="auto" w:sz="4" w:space="0"/>
              <w:right w:val="single" w:color="auto" w:sz="4" w:space="0"/>
            </w:tcBorders>
            <w:shd w:val="clear" w:color="auto" w:fill="auto"/>
            <w:noWrap/>
          </w:tcPr>
          <w:p w14:paraId="433C8CF3">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 xml:space="preserve">第三章 </w:t>
            </w:r>
            <w:r>
              <w:rPr>
                <w:rFonts w:hint="eastAsia" w:ascii="仿宋" w:eastAsia="仿宋" w:cs="仿宋"/>
                <w:color w:val="000000"/>
                <w:sz w:val="24"/>
                <w:szCs w:val="24"/>
                <w:lang w:val="en-US" w:eastAsia="zh-Hans"/>
              </w:rPr>
              <w:t>曲艺</w:t>
            </w:r>
            <w:r>
              <w:rPr>
                <w:rFonts w:hint="eastAsia" w:ascii="仿宋" w:eastAsia="仿宋" w:cs="仿宋"/>
                <w:color w:val="000000"/>
                <w:sz w:val="24"/>
                <w:szCs w:val="24"/>
                <w:lang w:val="en-US" w:eastAsia="zh-TW"/>
              </w:rPr>
              <w:t>音乐</w:t>
            </w:r>
          </w:p>
          <w:p w14:paraId="687B1BF4">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CN"/>
              </w:rPr>
              <w:t>基本内容：</w:t>
            </w:r>
          </w:p>
          <w:p w14:paraId="3441E411">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Hans"/>
              </w:rPr>
              <w:t>第一节</w:t>
            </w:r>
            <w:r>
              <w:rPr>
                <w:rFonts w:hint="default" w:ascii="仿宋" w:eastAsia="仿宋" w:cs="仿宋"/>
                <w:color w:val="000000"/>
                <w:sz w:val="24"/>
                <w:szCs w:val="24"/>
                <w:lang w:eastAsia="zh-Hans"/>
              </w:rPr>
              <w:t xml:space="preserve"> </w:t>
            </w:r>
            <w:r>
              <w:rPr>
                <w:rFonts w:hint="eastAsia" w:ascii="仿宋" w:eastAsia="仿宋" w:cs="仿宋"/>
                <w:color w:val="000000"/>
                <w:sz w:val="24"/>
                <w:szCs w:val="24"/>
                <w:lang w:val="en-US" w:eastAsia="zh-Hans"/>
              </w:rPr>
              <w:t>北方曲艺</w:t>
            </w:r>
            <w:r>
              <w:rPr>
                <w:rFonts w:hint="eastAsia" w:ascii="仿宋" w:eastAsia="仿宋" w:cs="仿宋"/>
                <w:color w:val="000000"/>
                <w:sz w:val="24"/>
                <w:szCs w:val="24"/>
                <w:lang w:val="en-US" w:eastAsia="zh-TW"/>
              </w:rPr>
              <w:t xml:space="preserve">音乐选介  </w:t>
            </w:r>
          </w:p>
          <w:p w14:paraId="7A66A8C0">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Hans"/>
              </w:rPr>
              <w:t>第二节</w:t>
            </w:r>
            <w:r>
              <w:rPr>
                <w:rFonts w:hint="default" w:ascii="仿宋" w:eastAsia="仿宋" w:cs="仿宋"/>
                <w:color w:val="000000"/>
                <w:sz w:val="24"/>
                <w:szCs w:val="24"/>
                <w:lang w:eastAsia="zh-Hans"/>
              </w:rPr>
              <w:t xml:space="preserve"> </w:t>
            </w:r>
            <w:r>
              <w:rPr>
                <w:rFonts w:hint="eastAsia" w:ascii="仿宋" w:eastAsia="仿宋" w:cs="仿宋"/>
                <w:color w:val="000000"/>
                <w:sz w:val="24"/>
                <w:szCs w:val="24"/>
                <w:lang w:val="en-US" w:eastAsia="zh-Hans"/>
              </w:rPr>
              <w:t>南方曲艺</w:t>
            </w:r>
            <w:r>
              <w:rPr>
                <w:rFonts w:hint="eastAsia" w:ascii="仿宋" w:eastAsia="仿宋" w:cs="仿宋"/>
                <w:color w:val="000000"/>
                <w:sz w:val="24"/>
                <w:szCs w:val="24"/>
                <w:lang w:val="en-US" w:eastAsia="zh-TW"/>
              </w:rPr>
              <w:t xml:space="preserve">音乐选介 </w:t>
            </w:r>
          </w:p>
          <w:p w14:paraId="55937357">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Hans"/>
              </w:rPr>
              <w:t>第三节</w:t>
            </w:r>
            <w:r>
              <w:rPr>
                <w:rFonts w:hint="default" w:ascii="仿宋" w:eastAsia="仿宋" w:cs="仿宋"/>
                <w:color w:val="000000"/>
                <w:sz w:val="24"/>
                <w:szCs w:val="24"/>
                <w:lang w:eastAsia="zh-Hans"/>
              </w:rPr>
              <w:t xml:space="preserve"> </w:t>
            </w:r>
            <w:r>
              <w:rPr>
                <w:rFonts w:hint="eastAsia" w:ascii="仿宋" w:eastAsia="仿宋" w:cs="仿宋"/>
                <w:color w:val="000000"/>
                <w:sz w:val="24"/>
                <w:szCs w:val="24"/>
                <w:lang w:val="en-US" w:eastAsia="zh-Hans"/>
              </w:rPr>
              <w:t>曲艺</w:t>
            </w:r>
            <w:r>
              <w:rPr>
                <w:rFonts w:hint="eastAsia" w:ascii="仿宋" w:eastAsia="仿宋" w:cs="仿宋"/>
                <w:color w:val="000000"/>
                <w:sz w:val="24"/>
                <w:szCs w:val="24"/>
                <w:lang w:val="en-US" w:eastAsia="zh-TW"/>
              </w:rPr>
              <w:t>音乐的新发展</w:t>
            </w:r>
          </w:p>
          <w:p w14:paraId="068B0128">
            <w:pPr>
              <w:pageBreakBefore w:val="0"/>
              <w:widowControl w:val="0"/>
              <w:kinsoku/>
              <w:overflowPunct/>
              <w:topLinePunct w:val="0"/>
              <w:bidi w:val="0"/>
              <w:adjustRightInd w:val="0"/>
              <w:snapToGrid w:val="0"/>
              <w:spacing w:line="240" w:lineRule="auto"/>
              <w:ind w:firstLine="480" w:firstLineChars="200"/>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知道层次：了解我国古老的</w:t>
            </w:r>
            <w:r>
              <w:rPr>
                <w:rFonts w:hint="eastAsia" w:ascii="仿宋" w:eastAsia="仿宋" w:cs="仿宋"/>
                <w:color w:val="000000"/>
                <w:sz w:val="24"/>
                <w:szCs w:val="24"/>
                <w:lang w:val="en-US" w:eastAsia="zh-CN"/>
              </w:rPr>
              <w:t>曲艺</w:t>
            </w:r>
            <w:r>
              <w:rPr>
                <w:rFonts w:hint="eastAsia" w:ascii="仿宋" w:eastAsia="仿宋" w:cs="仿宋"/>
                <w:color w:val="000000"/>
                <w:sz w:val="24"/>
                <w:szCs w:val="24"/>
                <w:lang w:val="en-US" w:eastAsia="zh-TW"/>
              </w:rPr>
              <w:t>艺术；理解较有代表性的曲种的特点。</w:t>
            </w:r>
          </w:p>
          <w:p w14:paraId="4F30EFA2">
            <w:pPr>
              <w:pageBreakBefore w:val="0"/>
              <w:widowControl w:val="0"/>
              <w:kinsoku/>
              <w:overflowPunct/>
              <w:topLinePunct w:val="0"/>
              <w:bidi w:val="0"/>
              <w:adjustRightInd w:val="0"/>
              <w:snapToGrid w:val="0"/>
              <w:spacing w:line="240" w:lineRule="auto"/>
              <w:ind w:firstLine="480" w:firstLineChars="200"/>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领会层次：学唱几种代表曲种中的代表唱段。</w:t>
            </w:r>
          </w:p>
          <w:p w14:paraId="09499501">
            <w:pPr>
              <w:pageBreakBefore w:val="0"/>
              <w:widowControl w:val="0"/>
              <w:kinsoku/>
              <w:overflowPunct/>
              <w:topLinePunct w:val="0"/>
              <w:bidi w:val="0"/>
              <w:adjustRightInd w:val="0"/>
              <w:snapToGrid w:val="0"/>
              <w:spacing w:line="240" w:lineRule="auto"/>
              <w:ind w:firstLine="480" w:firstLineChars="200"/>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应用层次：</w:t>
            </w:r>
            <w:r>
              <w:rPr>
                <w:rFonts w:hint="eastAsia" w:ascii="仿宋" w:eastAsia="仿宋" w:cs="仿宋"/>
                <w:color w:val="000000"/>
                <w:sz w:val="24"/>
                <w:szCs w:val="24"/>
                <w:lang w:val="en-US" w:eastAsia="zh-Hans"/>
              </w:rPr>
              <w:t>曲艺音乐演唱中的方言</w:t>
            </w:r>
            <w:r>
              <w:rPr>
                <w:rFonts w:hint="default" w:ascii="仿宋" w:eastAsia="仿宋" w:cs="仿宋"/>
                <w:color w:val="000000"/>
                <w:sz w:val="24"/>
                <w:szCs w:val="24"/>
                <w:lang w:eastAsia="zh-Hans"/>
              </w:rPr>
              <w:t>、</w:t>
            </w:r>
            <w:r>
              <w:rPr>
                <w:rFonts w:hint="eastAsia" w:ascii="仿宋" w:eastAsia="仿宋" w:cs="仿宋"/>
                <w:color w:val="000000"/>
                <w:sz w:val="24"/>
                <w:szCs w:val="24"/>
                <w:lang w:val="en-US" w:eastAsia="zh-Hans"/>
              </w:rPr>
              <w:t>节奏</w:t>
            </w:r>
            <w:r>
              <w:rPr>
                <w:rFonts w:hint="default" w:ascii="仿宋" w:eastAsia="仿宋" w:cs="仿宋"/>
                <w:color w:val="000000"/>
                <w:sz w:val="24"/>
                <w:szCs w:val="24"/>
                <w:lang w:eastAsia="zh-Hans"/>
              </w:rPr>
              <w:t>、</w:t>
            </w:r>
            <w:r>
              <w:rPr>
                <w:rFonts w:hint="eastAsia" w:ascii="仿宋" w:eastAsia="仿宋" w:cs="仿宋"/>
                <w:color w:val="000000"/>
                <w:sz w:val="24"/>
                <w:szCs w:val="24"/>
                <w:lang w:val="en-US" w:eastAsia="zh-Hans"/>
              </w:rPr>
              <w:t>唱腔体式及情感的处理</w:t>
            </w:r>
            <w:r>
              <w:rPr>
                <w:rFonts w:hint="eastAsia" w:ascii="仿宋" w:eastAsia="仿宋" w:cs="仿宋"/>
                <w:color w:val="000000"/>
                <w:sz w:val="24"/>
                <w:szCs w:val="24"/>
                <w:lang w:val="en-US" w:eastAsia="zh-TW"/>
              </w:rPr>
              <w:t>。</w:t>
            </w:r>
          </w:p>
          <w:p w14:paraId="5D9420E6">
            <w:pPr>
              <w:pageBreakBefore w:val="0"/>
              <w:widowControl w:val="0"/>
              <w:kinsoku/>
              <w:overflowPunct/>
              <w:topLinePunct w:val="0"/>
              <w:bidi w:val="0"/>
              <w:adjustRightInd w:val="0"/>
              <w:snapToGrid w:val="0"/>
              <w:spacing w:line="240" w:lineRule="auto"/>
              <w:ind w:firstLine="480" w:firstLineChars="200"/>
              <w:rPr>
                <w:rFonts w:hint="eastAsia" w:eastAsia="宋体"/>
                <w:lang w:val="en-US" w:eastAsia="zh-CN"/>
              </w:rPr>
            </w:pPr>
            <w:r>
              <w:rPr>
                <w:rFonts w:hint="eastAsia" w:ascii="仿宋" w:hAnsi="Times New Roman" w:eastAsia="仿宋" w:cs="仿宋"/>
                <w:color w:val="000000"/>
                <w:sz w:val="24"/>
                <w:szCs w:val="24"/>
                <w:lang w:val="en-US" w:eastAsia="zh-Hans" w:bidi="ar-SA"/>
              </w:rPr>
              <w:t>思政融入：</w:t>
            </w:r>
            <w:r>
              <w:rPr>
                <w:rFonts w:hint="eastAsia" w:ascii="仿宋" w:hAnsi="Times New Roman" w:eastAsia="仿宋" w:cs="仿宋"/>
                <w:color w:val="000000"/>
                <w:sz w:val="24"/>
                <w:szCs w:val="24"/>
                <w:lang w:val="en-US" w:eastAsia="zh-CN" w:bidi="ar-SA"/>
              </w:rPr>
              <w:t>通过不同风格、不用结构特点作品的赏析和演唱，帮助学生感知历史文化与音乐的紧密联系，从而培养其建立正确的世界观、价值观、人生观。通过</w:t>
            </w:r>
            <w:r>
              <w:rPr>
                <w:rFonts w:hint="eastAsia" w:ascii="仿宋" w:eastAsia="仿宋" w:cs="仿宋"/>
                <w:color w:val="000000"/>
                <w:sz w:val="24"/>
                <w:szCs w:val="24"/>
                <w:lang w:val="en-US" w:eastAsia="zh-CN" w:bidi="ar-SA"/>
              </w:rPr>
              <w:t>曲艺</w:t>
            </w:r>
            <w:r>
              <w:rPr>
                <w:rFonts w:hint="eastAsia" w:ascii="仿宋" w:hAnsi="Times New Roman" w:eastAsia="仿宋" w:cs="仿宋"/>
                <w:color w:val="000000"/>
                <w:sz w:val="24"/>
                <w:szCs w:val="24"/>
                <w:lang w:val="en-US" w:eastAsia="zh-CN" w:bidi="ar-SA"/>
              </w:rPr>
              <w:t>音乐经典唱段的演唱尤其是与近现代中国国家命运息息相关的新作品，让学生对国家各历史阶段的不同层面有更深入地了解。并且对于濒临消失的说唱种类，有弘扬民族音乐文化，保护传统优秀音乐文化遗产的意识和自觉。</w:t>
            </w:r>
          </w:p>
        </w:tc>
        <w:tc>
          <w:tcPr>
            <w:tcW w:w="1240" w:type="dxa"/>
            <w:gridSpan w:val="3"/>
            <w:tcBorders>
              <w:top w:val="single" w:color="auto" w:sz="4" w:space="0"/>
              <w:left w:val="single" w:color="auto" w:sz="4" w:space="0"/>
              <w:right w:val="single" w:color="auto" w:sz="4" w:space="0"/>
            </w:tcBorders>
            <w:shd w:val="clear" w:color="auto" w:fill="auto"/>
            <w:noWrap/>
            <w:vAlign w:val="center"/>
          </w:tcPr>
          <w:p w14:paraId="22048536">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14:paraId="5D5B9F36">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14:paraId="2A55AA08">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CN"/>
              </w:rPr>
              <w:t>支撑课程</w:t>
            </w:r>
            <w:r>
              <w:rPr>
                <w:rFonts w:hint="eastAsia" w:ascii="仿宋" w:eastAsia="仿宋" w:cs="仿宋"/>
                <w:color w:val="000000"/>
                <w:sz w:val="24"/>
                <w:szCs w:val="24"/>
                <w:lang w:val="en-US" w:eastAsia="zh-TW"/>
              </w:rPr>
              <w:t>目标1、2、3</w:t>
            </w:r>
          </w:p>
          <w:p w14:paraId="461E0D3D">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14:paraId="2B95ADB0">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tc>
        <w:tc>
          <w:tcPr>
            <w:tcW w:w="674" w:type="dxa"/>
            <w:gridSpan w:val="3"/>
            <w:vMerge w:val="restart"/>
            <w:tcBorders>
              <w:top w:val="single" w:color="auto" w:sz="4" w:space="0"/>
              <w:left w:val="single" w:color="auto" w:sz="4" w:space="0"/>
              <w:right w:val="single" w:color="auto" w:sz="4" w:space="0"/>
            </w:tcBorders>
            <w:shd w:val="clear" w:color="auto" w:fill="FFFFFF"/>
            <w:noWrap/>
            <w:vAlign w:val="center"/>
          </w:tcPr>
          <w:p w14:paraId="3172B0BC">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p>
          <w:p w14:paraId="1ACE17B3">
            <w:pPr>
              <w:pStyle w:val="30"/>
              <w:rPr>
                <w:rFonts w:hint="default" w:ascii="仿宋" w:eastAsia="仿宋" w:cs="仿宋"/>
                <w:color w:val="000000"/>
                <w:sz w:val="24"/>
                <w:szCs w:val="24"/>
                <w:lang w:eastAsia="zh-CN"/>
              </w:rPr>
            </w:pPr>
          </w:p>
          <w:p w14:paraId="11FDAD7C">
            <w:pPr>
              <w:pStyle w:val="30"/>
              <w:rPr>
                <w:rFonts w:hint="default" w:ascii="仿宋" w:eastAsia="仿宋" w:cs="仿宋"/>
                <w:color w:val="000000"/>
                <w:sz w:val="24"/>
                <w:szCs w:val="24"/>
                <w:lang w:eastAsia="zh-CN"/>
              </w:rPr>
            </w:pPr>
          </w:p>
          <w:p w14:paraId="4CE3450C">
            <w:pPr>
              <w:pStyle w:val="30"/>
              <w:rPr>
                <w:rFonts w:hint="default" w:ascii="仿宋" w:eastAsia="仿宋" w:cs="仿宋"/>
                <w:color w:val="000000"/>
                <w:sz w:val="24"/>
                <w:szCs w:val="24"/>
                <w:lang w:eastAsia="zh-CN"/>
              </w:rPr>
            </w:pPr>
          </w:p>
          <w:p w14:paraId="64398D0F">
            <w:pPr>
              <w:pStyle w:val="30"/>
              <w:rPr>
                <w:rFonts w:hint="default" w:ascii="仿宋" w:eastAsia="仿宋" w:cs="仿宋"/>
                <w:color w:val="000000"/>
                <w:sz w:val="24"/>
                <w:szCs w:val="24"/>
                <w:lang w:eastAsia="zh-CN"/>
              </w:rPr>
            </w:pPr>
          </w:p>
          <w:p w14:paraId="63F3FFE0">
            <w:pPr>
              <w:pStyle w:val="30"/>
              <w:rPr>
                <w:rFonts w:hint="eastAsia" w:ascii="仿宋" w:eastAsia="仿宋" w:cs="仿宋"/>
                <w:color w:val="000000"/>
                <w:sz w:val="24"/>
                <w:szCs w:val="24"/>
                <w:lang w:val="en-US" w:eastAsia="zh-CN"/>
              </w:rPr>
            </w:pPr>
          </w:p>
          <w:p w14:paraId="039B4200">
            <w:pPr>
              <w:pStyle w:val="30"/>
              <w:rPr>
                <w:rFonts w:hint="eastAsia" w:ascii="仿宋" w:eastAsia="仿宋" w:cs="仿宋"/>
                <w:color w:val="000000"/>
                <w:sz w:val="24"/>
                <w:szCs w:val="24"/>
                <w:lang w:val="en-US" w:eastAsia="zh-CN"/>
              </w:rPr>
            </w:pPr>
          </w:p>
          <w:p w14:paraId="549428D5">
            <w:pPr>
              <w:pStyle w:val="30"/>
              <w:rPr>
                <w:rFonts w:hint="default" w:ascii="仿宋" w:eastAsia="仿宋" w:cs="仿宋"/>
                <w:color w:val="000000"/>
                <w:sz w:val="24"/>
                <w:szCs w:val="24"/>
                <w:lang w:val="en-US" w:eastAsia="zh-CN"/>
              </w:rPr>
            </w:pPr>
            <w:r>
              <w:rPr>
                <w:rFonts w:hint="eastAsia" w:ascii="仿宋" w:eastAsia="仿宋" w:cs="仿宋"/>
                <w:color w:val="000000"/>
                <w:sz w:val="24"/>
                <w:szCs w:val="24"/>
                <w:lang w:val="en-US" w:eastAsia="zh-CN"/>
              </w:rPr>
              <w:t>16</w:t>
            </w:r>
          </w:p>
        </w:tc>
      </w:tr>
      <w:tr w14:paraId="1824A39B">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14:paraId="0DB5FFAB"/>
        </w:tc>
        <w:tc>
          <w:tcPr>
            <w:tcW w:w="5858" w:type="dxa"/>
            <w:gridSpan w:val="8"/>
            <w:tcBorders>
              <w:top w:val="single" w:color="auto" w:sz="4" w:space="0"/>
              <w:left w:val="single" w:color="auto" w:sz="4" w:space="0"/>
              <w:right w:val="single" w:color="auto" w:sz="4" w:space="0"/>
            </w:tcBorders>
            <w:shd w:val="clear" w:color="auto" w:fill="auto"/>
            <w:noWrap/>
          </w:tcPr>
          <w:p w14:paraId="7487849F">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TW"/>
              </w:rPr>
              <w:t xml:space="preserve">第四章 </w:t>
            </w:r>
            <w:r>
              <w:rPr>
                <w:rFonts w:hint="eastAsia" w:ascii="仿宋" w:eastAsia="仿宋" w:cs="仿宋"/>
                <w:color w:val="000000"/>
                <w:sz w:val="24"/>
                <w:szCs w:val="24"/>
                <w:lang w:val="en-US" w:eastAsia="zh-CN"/>
              </w:rPr>
              <w:t>戏</w:t>
            </w:r>
            <w:r>
              <w:rPr>
                <w:rFonts w:hint="eastAsia" w:ascii="仿宋" w:eastAsia="仿宋" w:cs="仿宋"/>
                <w:color w:val="000000"/>
                <w:sz w:val="24"/>
                <w:szCs w:val="24"/>
                <w:lang w:val="en-US" w:eastAsia="zh-Hans"/>
              </w:rPr>
              <w:t>曲</w:t>
            </w:r>
            <w:r>
              <w:rPr>
                <w:rFonts w:hint="eastAsia" w:ascii="仿宋" w:eastAsia="仿宋" w:cs="仿宋"/>
                <w:color w:val="000000"/>
                <w:sz w:val="24"/>
                <w:szCs w:val="24"/>
                <w:lang w:val="en-US" w:eastAsia="zh-CN"/>
              </w:rPr>
              <w:t>音乐</w:t>
            </w:r>
          </w:p>
          <w:p w14:paraId="0B6571C8">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CN"/>
              </w:rPr>
              <w:t>基本内容：</w:t>
            </w:r>
          </w:p>
          <w:p w14:paraId="3725A206">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Hans"/>
              </w:rPr>
              <w:t>第一节</w:t>
            </w:r>
            <w:r>
              <w:rPr>
                <w:rFonts w:hint="default" w:ascii="仿宋" w:eastAsia="仿宋" w:cs="仿宋"/>
                <w:color w:val="000000"/>
                <w:sz w:val="24"/>
                <w:szCs w:val="24"/>
                <w:lang w:eastAsia="zh-Hans"/>
              </w:rPr>
              <w:t xml:space="preserve"> </w:t>
            </w:r>
            <w:r>
              <w:rPr>
                <w:rFonts w:hint="eastAsia" w:ascii="仿宋" w:eastAsia="仿宋" w:cs="仿宋"/>
                <w:color w:val="000000"/>
                <w:sz w:val="24"/>
                <w:szCs w:val="24"/>
                <w:lang w:val="en-US" w:eastAsia="zh-Hans"/>
              </w:rPr>
              <w:t>全国性剧种</w:t>
            </w:r>
            <w:r>
              <w:rPr>
                <w:rFonts w:hint="eastAsia" w:ascii="仿宋" w:eastAsia="仿宋" w:cs="仿宋"/>
                <w:color w:val="000000"/>
                <w:sz w:val="24"/>
                <w:szCs w:val="24"/>
                <w:lang w:val="en-US" w:eastAsia="zh-CN"/>
              </w:rPr>
              <w:t xml:space="preserve"> </w:t>
            </w:r>
          </w:p>
          <w:p w14:paraId="24AFA2E1">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Hans"/>
              </w:rPr>
            </w:pPr>
            <w:r>
              <w:rPr>
                <w:rFonts w:hint="eastAsia" w:ascii="仿宋" w:eastAsia="仿宋" w:cs="仿宋"/>
                <w:color w:val="000000"/>
                <w:sz w:val="24"/>
                <w:szCs w:val="24"/>
                <w:lang w:val="en-US" w:eastAsia="zh-Hans"/>
              </w:rPr>
              <w:t>第二节</w:t>
            </w:r>
            <w:r>
              <w:rPr>
                <w:rFonts w:hint="default" w:ascii="仿宋" w:eastAsia="仿宋" w:cs="仿宋"/>
                <w:color w:val="000000"/>
                <w:sz w:val="24"/>
                <w:szCs w:val="24"/>
                <w:lang w:eastAsia="zh-Hans"/>
              </w:rPr>
              <w:t xml:space="preserve"> </w:t>
            </w:r>
            <w:r>
              <w:rPr>
                <w:rFonts w:hint="eastAsia" w:ascii="仿宋" w:eastAsia="仿宋" w:cs="仿宋"/>
                <w:color w:val="000000"/>
                <w:sz w:val="24"/>
                <w:szCs w:val="24"/>
                <w:lang w:val="en-US" w:eastAsia="zh-Hans"/>
              </w:rPr>
              <w:t>北方剧种</w:t>
            </w:r>
          </w:p>
          <w:p w14:paraId="793B2785">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Hans"/>
              </w:rPr>
            </w:pPr>
            <w:r>
              <w:rPr>
                <w:rFonts w:hint="eastAsia" w:ascii="仿宋" w:eastAsia="仿宋" w:cs="仿宋"/>
                <w:color w:val="000000"/>
                <w:sz w:val="24"/>
                <w:szCs w:val="24"/>
                <w:lang w:val="en-US" w:eastAsia="zh-Hans"/>
              </w:rPr>
              <w:t>第三节</w:t>
            </w:r>
            <w:r>
              <w:rPr>
                <w:rFonts w:hint="default" w:ascii="仿宋" w:eastAsia="仿宋" w:cs="仿宋"/>
                <w:color w:val="000000"/>
                <w:sz w:val="24"/>
                <w:szCs w:val="24"/>
                <w:lang w:eastAsia="zh-Hans"/>
              </w:rPr>
              <w:t xml:space="preserve"> </w:t>
            </w:r>
            <w:r>
              <w:rPr>
                <w:rFonts w:hint="eastAsia" w:ascii="仿宋" w:eastAsia="仿宋" w:cs="仿宋"/>
                <w:color w:val="000000"/>
                <w:sz w:val="24"/>
                <w:szCs w:val="24"/>
                <w:lang w:val="en-US" w:eastAsia="zh-Hans"/>
              </w:rPr>
              <w:t>南方剧种</w:t>
            </w:r>
          </w:p>
          <w:p w14:paraId="1AF2A9AF">
            <w:pPr>
              <w:pageBreakBefore w:val="0"/>
              <w:widowControl w:val="0"/>
              <w:kinsoku/>
              <w:overflowPunct/>
              <w:topLinePunct w:val="0"/>
              <w:bidi w:val="0"/>
              <w:adjustRightInd w:val="0"/>
              <w:snapToGrid w:val="0"/>
              <w:spacing w:line="240" w:lineRule="auto"/>
              <w:ind w:firstLine="480" w:firstLineChars="200"/>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CN"/>
              </w:rPr>
              <w:t>知道层次：戏曲音乐的概念、表演形式、构成因素、唱腔结构。以及各个戏曲音乐剧种的定义、艺术形式及特征</w:t>
            </w:r>
            <w:r>
              <w:rPr>
                <w:rFonts w:hint="eastAsia" w:ascii="仿宋" w:eastAsia="仿宋" w:cs="仿宋"/>
                <w:color w:val="000000"/>
                <w:sz w:val="24"/>
                <w:szCs w:val="24"/>
                <w:lang w:val="en-US" w:eastAsia="zh-TW"/>
              </w:rPr>
              <w:t>。</w:t>
            </w:r>
          </w:p>
          <w:p w14:paraId="34706D42">
            <w:pPr>
              <w:pageBreakBefore w:val="0"/>
              <w:widowControl w:val="0"/>
              <w:kinsoku/>
              <w:overflowPunct/>
              <w:topLinePunct w:val="0"/>
              <w:bidi w:val="0"/>
              <w:adjustRightInd w:val="0"/>
              <w:snapToGrid w:val="0"/>
              <w:spacing w:line="240" w:lineRule="auto"/>
              <w:ind w:firstLine="480" w:firstLineChars="200"/>
              <w:rPr>
                <w:rFonts w:hint="default" w:ascii="仿宋" w:eastAsia="仿宋" w:cs="仿宋"/>
                <w:color w:val="000000"/>
                <w:sz w:val="24"/>
                <w:szCs w:val="24"/>
                <w:lang w:val="en-US" w:eastAsia="zh-CN"/>
              </w:rPr>
            </w:pPr>
            <w:r>
              <w:rPr>
                <w:rFonts w:hint="eastAsia" w:ascii="仿宋" w:eastAsia="仿宋" w:cs="仿宋"/>
                <w:color w:val="000000"/>
                <w:sz w:val="24"/>
                <w:szCs w:val="24"/>
                <w:lang w:val="en-US" w:eastAsia="zh-CN"/>
              </w:rPr>
              <w:t>领会层次：分析四大声腔的产生、发展、各自特点、代表剧种、代表人物</w:t>
            </w:r>
            <w:r>
              <w:rPr>
                <w:rFonts w:hint="default" w:ascii="仿宋" w:eastAsia="仿宋" w:cs="仿宋"/>
                <w:color w:val="000000"/>
                <w:sz w:val="24"/>
                <w:szCs w:val="24"/>
                <w:lang w:val="en-US" w:eastAsia="zh-CN"/>
              </w:rPr>
              <w:t>。</w:t>
            </w:r>
          </w:p>
          <w:p w14:paraId="329BDE66">
            <w:pPr>
              <w:pageBreakBefore w:val="0"/>
              <w:widowControl w:val="0"/>
              <w:kinsoku/>
              <w:overflowPunct/>
              <w:topLinePunct w:val="0"/>
              <w:bidi w:val="0"/>
              <w:adjustRightInd w:val="0"/>
              <w:snapToGrid w:val="0"/>
              <w:spacing w:line="240" w:lineRule="auto"/>
              <w:ind w:firstLine="480" w:firstLineChars="200"/>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CN"/>
              </w:rPr>
              <w:t>应用层次：听辨分析不同戏曲音乐的剧种及其特点</w:t>
            </w:r>
            <w:r>
              <w:rPr>
                <w:rFonts w:hint="default" w:ascii="仿宋" w:eastAsia="仿宋" w:cs="仿宋"/>
                <w:color w:val="000000"/>
                <w:sz w:val="24"/>
                <w:szCs w:val="24"/>
                <w:lang w:eastAsia="zh-CN"/>
              </w:rPr>
              <w:t>，</w:t>
            </w:r>
            <w:r>
              <w:rPr>
                <w:rFonts w:hint="eastAsia" w:ascii="仿宋" w:eastAsia="仿宋" w:cs="仿宋"/>
                <w:color w:val="000000"/>
                <w:sz w:val="24"/>
                <w:szCs w:val="24"/>
                <w:lang w:val="en-US" w:eastAsia="zh-TW"/>
              </w:rPr>
              <w:t>继承弘扬戏曲音乐，增强文化自豪感</w:t>
            </w:r>
            <w:r>
              <w:rPr>
                <w:rFonts w:hint="eastAsia" w:ascii="仿宋" w:eastAsia="仿宋" w:cs="仿宋"/>
                <w:color w:val="000000"/>
                <w:sz w:val="24"/>
                <w:szCs w:val="24"/>
                <w:lang w:val="en-US" w:eastAsia="zh-CN"/>
              </w:rPr>
              <w:t>。</w:t>
            </w:r>
          </w:p>
          <w:p w14:paraId="598B66AC">
            <w:pPr>
              <w:pageBreakBefore w:val="0"/>
              <w:widowControl w:val="0"/>
              <w:kinsoku/>
              <w:overflowPunct/>
              <w:topLinePunct w:val="0"/>
              <w:bidi w:val="0"/>
              <w:adjustRightInd w:val="0"/>
              <w:snapToGrid w:val="0"/>
              <w:spacing w:line="240" w:lineRule="auto"/>
              <w:ind w:firstLine="480" w:firstLineChars="200"/>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Hans"/>
              </w:rPr>
              <w:t>思政融入</w:t>
            </w:r>
            <w:r>
              <w:rPr>
                <w:rFonts w:hint="default" w:ascii="仿宋" w:eastAsia="仿宋" w:cs="仿宋"/>
                <w:color w:val="000000"/>
                <w:sz w:val="24"/>
                <w:szCs w:val="24"/>
                <w:lang w:eastAsia="zh-Hans"/>
              </w:rPr>
              <w:t>：</w:t>
            </w:r>
            <w:r>
              <w:rPr>
                <w:rFonts w:hint="eastAsia" w:ascii="仿宋" w:eastAsia="仿宋" w:cs="仿宋"/>
                <w:color w:val="000000"/>
                <w:sz w:val="24"/>
                <w:szCs w:val="24"/>
                <w:lang w:val="en-US" w:eastAsia="zh-CN"/>
              </w:rPr>
              <w:t>1.通过对不同种类、不同特点、不同历史阶段的作品尤其是红色经典作品的赏析，帮助学生感知历史文化与音乐的紧密联系；直观了解中国苦难史、奋斗史和复兴史，培养其更加坚定的、正确的世界观、价值观和人生观。从优秀的作品中汲取营养，为今后文艺工作打下坚实基础。</w:t>
            </w:r>
          </w:p>
          <w:p w14:paraId="519EFE3C">
            <w:pPr>
              <w:pageBreakBefore w:val="0"/>
              <w:widowControl w:val="0"/>
              <w:kinsoku/>
              <w:overflowPunct/>
              <w:topLinePunct w:val="0"/>
              <w:bidi w:val="0"/>
              <w:adjustRightInd w:val="0"/>
              <w:snapToGrid w:val="0"/>
              <w:spacing w:line="240" w:lineRule="auto"/>
              <w:ind w:firstLine="480" w:firstLineChars="200"/>
              <w:rPr>
                <w:rFonts w:ascii="仿宋" w:eastAsia="仿宋" w:cs="仿宋"/>
                <w:color w:val="000000"/>
                <w:sz w:val="24"/>
                <w:szCs w:val="24"/>
                <w:lang w:val="en-US" w:eastAsia="zh-TW"/>
              </w:rPr>
            </w:pPr>
            <w:r>
              <w:rPr>
                <w:rFonts w:hint="eastAsia" w:ascii="仿宋" w:eastAsia="仿宋" w:cs="仿宋"/>
                <w:color w:val="000000"/>
                <w:sz w:val="24"/>
                <w:szCs w:val="24"/>
                <w:lang w:val="en-US" w:eastAsia="zh-CN"/>
              </w:rPr>
              <w:t>2.</w:t>
            </w:r>
            <w:r>
              <w:rPr>
                <w:rFonts w:hint="eastAsia" w:ascii="仿宋" w:eastAsia="仿宋" w:cs="仿宋"/>
                <w:color w:val="000000"/>
                <w:sz w:val="24"/>
                <w:szCs w:val="24"/>
                <w:lang w:val="en-US" w:eastAsia="zh-TW"/>
              </w:rPr>
              <w:t>通过昆曲的三个发展阶段，理解昆曲由兴起到风靡全国的历史进程。</w:t>
            </w:r>
            <w:r>
              <w:rPr>
                <w:rFonts w:hint="eastAsia" w:ascii="仿宋" w:eastAsia="仿宋" w:cs="仿宋"/>
                <w:color w:val="000000"/>
                <w:sz w:val="24"/>
                <w:szCs w:val="24"/>
                <w:lang w:val="en-US" w:eastAsia="zh-Hans"/>
              </w:rPr>
              <w:t>激发学生</w:t>
            </w:r>
            <w:r>
              <w:rPr>
                <w:rFonts w:hint="eastAsia" w:ascii="仿宋" w:eastAsia="仿宋" w:cs="仿宋"/>
                <w:color w:val="000000"/>
                <w:sz w:val="24"/>
                <w:szCs w:val="24"/>
                <w:lang w:val="en-US" w:eastAsia="zh-TW"/>
              </w:rPr>
              <w:t>对其文化典故</w:t>
            </w:r>
            <w:r>
              <w:rPr>
                <w:rFonts w:hint="eastAsia" w:ascii="仿宋" w:eastAsia="仿宋" w:cs="仿宋"/>
                <w:color w:val="000000"/>
                <w:sz w:val="24"/>
                <w:szCs w:val="24"/>
                <w:lang w:val="en-US" w:eastAsia="zh-Hans"/>
              </w:rPr>
              <w:t>的</w:t>
            </w:r>
            <w:r>
              <w:rPr>
                <w:rFonts w:hint="eastAsia" w:ascii="仿宋" w:eastAsia="仿宋" w:cs="仿宋"/>
                <w:color w:val="000000"/>
                <w:sz w:val="24"/>
                <w:szCs w:val="24"/>
                <w:lang w:val="en-US" w:eastAsia="zh-TW"/>
              </w:rPr>
              <w:t>兴趣</w:t>
            </w:r>
            <w:r>
              <w:rPr>
                <w:rFonts w:hint="default" w:ascii="仿宋" w:eastAsia="仿宋" w:cs="仿宋"/>
                <w:color w:val="000000"/>
                <w:sz w:val="24"/>
                <w:szCs w:val="24"/>
                <w:lang w:eastAsia="zh-TW"/>
              </w:rPr>
              <w:t>。</w:t>
            </w:r>
            <w:r>
              <w:rPr>
                <w:rFonts w:hint="eastAsia" w:ascii="仿宋" w:eastAsia="仿宋" w:cs="仿宋"/>
                <w:color w:val="000000"/>
                <w:sz w:val="24"/>
                <w:szCs w:val="24"/>
                <w:lang w:val="en-US" w:eastAsia="zh-TW"/>
              </w:rPr>
              <w:t>把握昆曲工尺谱的读谱方法，感受中国传统音乐艺术之精妙。讲解板眼、工尺谱、和昆曲曲谱（蓑衣谱）的识读方法等中国传统乐理有助于学生深刻理解中国传统文化，提升民族自豪感。</w:t>
            </w:r>
          </w:p>
        </w:tc>
        <w:tc>
          <w:tcPr>
            <w:tcW w:w="1240" w:type="dxa"/>
            <w:gridSpan w:val="3"/>
            <w:tcBorders>
              <w:left w:val="single" w:color="auto" w:sz="4" w:space="0"/>
              <w:right w:val="single" w:color="auto" w:sz="4" w:space="0"/>
            </w:tcBorders>
            <w:shd w:val="clear" w:color="auto" w:fill="auto"/>
            <w:noWrap/>
            <w:vAlign w:val="center"/>
          </w:tcPr>
          <w:p w14:paraId="2CD9BA68">
            <w:r>
              <w:rPr>
                <w:rFonts w:hint="eastAsia" w:ascii="仿宋" w:eastAsia="仿宋" w:cs="仿宋"/>
                <w:color w:val="000000"/>
                <w:sz w:val="24"/>
                <w:szCs w:val="24"/>
                <w:lang w:val="en-US" w:eastAsia="zh-CN"/>
              </w:rPr>
              <w:t>支撑课程</w:t>
            </w:r>
            <w:r>
              <w:rPr>
                <w:rFonts w:hint="eastAsia" w:ascii="仿宋" w:eastAsia="仿宋" w:cs="仿宋"/>
                <w:color w:val="000000"/>
                <w:sz w:val="24"/>
                <w:szCs w:val="24"/>
                <w:lang w:val="en-US" w:eastAsia="zh-TW"/>
              </w:rPr>
              <w:t>目标1、2、3</w:t>
            </w:r>
          </w:p>
        </w:tc>
        <w:tc>
          <w:tcPr>
            <w:tcW w:w="674" w:type="dxa"/>
            <w:gridSpan w:val="3"/>
            <w:vMerge w:val="continue"/>
            <w:tcBorders>
              <w:left w:val="single" w:color="auto" w:sz="4" w:space="0"/>
              <w:right w:val="single" w:color="auto" w:sz="4" w:space="0"/>
            </w:tcBorders>
            <w:shd w:val="clear" w:color="auto" w:fill="FFFFFF"/>
            <w:noWrap/>
            <w:vAlign w:val="center"/>
          </w:tcPr>
          <w:p w14:paraId="5A2BE05C">
            <w:pPr>
              <w:jc w:val="center"/>
            </w:pPr>
          </w:p>
        </w:tc>
      </w:tr>
      <w:tr w14:paraId="4C633D69">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14:paraId="68D80DF0"/>
        </w:tc>
        <w:tc>
          <w:tcPr>
            <w:tcW w:w="7098" w:type="dxa"/>
            <w:gridSpan w:val="11"/>
            <w:tcBorders>
              <w:top w:val="single" w:color="auto" w:sz="4" w:space="0"/>
              <w:left w:val="single" w:color="auto" w:sz="4" w:space="0"/>
              <w:bottom w:val="single" w:color="auto" w:sz="4" w:space="0"/>
              <w:right w:val="single" w:color="auto" w:sz="4" w:space="0"/>
            </w:tcBorders>
            <w:shd w:val="clear" w:color="auto" w:fill="auto"/>
            <w:noWrap/>
            <w:vAlign w:val="center"/>
          </w:tcPr>
          <w:p w14:paraId="5E854E60">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合计</w:t>
            </w:r>
          </w:p>
        </w:tc>
        <w:tc>
          <w:tcPr>
            <w:tcW w:w="674"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14:paraId="1FED3AA0">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val="en-US" w:eastAsia="zh-CN"/>
              </w:rPr>
            </w:pPr>
            <w:r>
              <w:rPr>
                <w:rFonts w:hint="eastAsia" w:ascii="仿宋" w:eastAsia="仿宋" w:cs="仿宋"/>
                <w:color w:val="000000"/>
                <w:sz w:val="24"/>
                <w:szCs w:val="24"/>
                <w:lang w:val="en-US" w:eastAsia="zh-CN"/>
              </w:rPr>
              <w:t>64</w:t>
            </w:r>
          </w:p>
        </w:tc>
      </w:tr>
      <w:tr w14:paraId="5AEC64D9">
        <w:trPr>
          <w:trHeight w:val="624" w:hRule="atLeast"/>
        </w:trPr>
        <w:tc>
          <w:tcPr>
            <w:tcW w:w="1376" w:type="dxa"/>
            <w:vMerge w:val="restart"/>
            <w:tcBorders>
              <w:top w:val="single" w:color="auto" w:sz="4" w:space="0"/>
              <w:left w:val="single" w:color="auto" w:sz="4" w:space="0"/>
              <w:bottom w:val="single" w:color="auto" w:sz="4" w:space="0"/>
              <w:right w:val="single" w:color="auto" w:sz="4" w:space="0"/>
            </w:tcBorders>
            <w:shd w:val="clear" w:color="auto" w:fill="FFFFFF"/>
            <w:noWrap/>
            <w:vAlign w:val="center"/>
          </w:tcPr>
          <w:p w14:paraId="3F617367">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G</w:t>
            </w:r>
          </w:p>
          <w:p w14:paraId="501B59CB">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CN"/>
              </w:rPr>
              <w:t>技能（实训）</w:t>
            </w:r>
            <w:r>
              <w:rPr>
                <w:rFonts w:hint="eastAsia" w:ascii="仿宋" w:eastAsia="仿宋" w:cs="仿宋"/>
                <w:color w:val="000000"/>
                <w:sz w:val="24"/>
                <w:szCs w:val="24"/>
                <w:lang w:val="en-US" w:eastAsia="zh-TW"/>
              </w:rPr>
              <w:t>内容</w:t>
            </w:r>
          </w:p>
        </w:tc>
        <w:tc>
          <w:tcPr>
            <w:tcW w:w="5858" w:type="dxa"/>
            <w:gridSpan w:val="8"/>
            <w:tcBorders>
              <w:top w:val="single" w:color="auto" w:sz="4" w:space="0"/>
              <w:left w:val="single" w:color="auto" w:sz="4" w:space="0"/>
              <w:bottom w:val="single" w:color="auto" w:sz="4" w:space="0"/>
              <w:right w:val="single" w:color="auto" w:sz="4" w:space="0"/>
            </w:tcBorders>
            <w:noWrap/>
            <w:vAlign w:val="center"/>
          </w:tcPr>
          <w:p w14:paraId="00ED8201">
            <w:pPr>
              <w:pageBreakBefore w:val="0"/>
              <w:widowControl w:val="0"/>
              <w:kinsoku/>
              <w:overflowPunct/>
              <w:topLinePunct w:val="0"/>
              <w:bidi w:val="0"/>
              <w:adjustRightInd w:val="0"/>
              <w:snapToGrid w:val="0"/>
              <w:spacing w:line="240" w:lineRule="auto"/>
              <w:rPr>
                <w:rFonts w:ascii="仿宋" w:eastAsia="仿宋" w:cs="仿宋"/>
                <w:color w:val="000000"/>
                <w:sz w:val="24"/>
                <w:szCs w:val="24"/>
                <w:lang w:val="en-US" w:eastAsia="zh-CN"/>
              </w:rPr>
            </w:pPr>
            <w:r>
              <w:rPr>
                <w:rFonts w:hint="eastAsia" w:ascii="仿宋" w:eastAsia="仿宋" w:cs="仿宋"/>
                <w:color w:val="000000"/>
                <w:sz w:val="24"/>
                <w:szCs w:val="24"/>
                <w:lang w:val="en-US" w:eastAsia="zh-CN"/>
              </w:rPr>
              <w:t>实训目的及任务</w:t>
            </w:r>
          </w:p>
          <w:p w14:paraId="4F37F5F4">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CN"/>
              </w:rPr>
            </w:pPr>
          </w:p>
        </w:tc>
        <w:tc>
          <w:tcPr>
            <w:tcW w:w="1240" w:type="dxa"/>
            <w:gridSpan w:val="3"/>
            <w:tcBorders>
              <w:top w:val="single" w:color="auto" w:sz="4" w:space="0"/>
              <w:left w:val="single" w:color="auto" w:sz="4" w:space="0"/>
              <w:bottom w:val="single" w:color="auto" w:sz="4" w:space="0"/>
              <w:right w:val="single" w:color="auto" w:sz="4" w:space="0"/>
            </w:tcBorders>
            <w:noWrap/>
            <w:vAlign w:val="center"/>
          </w:tcPr>
          <w:p w14:paraId="7C28A784">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支撑课程目标</w:t>
            </w:r>
          </w:p>
        </w:tc>
        <w:tc>
          <w:tcPr>
            <w:tcW w:w="674" w:type="dxa"/>
            <w:gridSpan w:val="3"/>
            <w:tcBorders>
              <w:top w:val="single" w:color="auto" w:sz="4" w:space="0"/>
              <w:left w:val="single" w:color="auto" w:sz="4" w:space="0"/>
              <w:bottom w:val="single" w:color="auto" w:sz="4" w:space="0"/>
              <w:right w:val="single" w:color="auto" w:sz="4" w:space="0"/>
            </w:tcBorders>
            <w:noWrap/>
            <w:vAlign w:val="center"/>
          </w:tcPr>
          <w:p w14:paraId="5CBA5CF5">
            <w:pPr>
              <w:pageBreakBefore w:val="0"/>
              <w:widowControl w:val="0"/>
              <w:kinsoku/>
              <w:overflowPunct/>
              <w:topLinePunct w:val="0"/>
              <w:bidi w:val="0"/>
              <w:adjustRightInd w:val="0"/>
              <w:snapToGrid w:val="0"/>
              <w:spacing w:line="240" w:lineRule="auto"/>
              <w:rPr>
                <w:rFonts w:ascii="仿宋" w:eastAsia="仿宋" w:cs="仿宋"/>
                <w:color w:val="000000"/>
                <w:sz w:val="24"/>
                <w:szCs w:val="24"/>
                <w:lang w:val="en-US" w:eastAsia="zh-TW"/>
              </w:rPr>
            </w:pPr>
            <w:r>
              <w:rPr>
                <w:rFonts w:hint="eastAsia" w:ascii="仿宋" w:eastAsia="仿宋" w:cs="仿宋"/>
                <w:color w:val="000000"/>
                <w:sz w:val="24"/>
                <w:szCs w:val="24"/>
                <w:lang w:val="en-US" w:eastAsia="zh-TW"/>
              </w:rPr>
              <w:t xml:space="preserve">学时 </w:t>
            </w:r>
          </w:p>
          <w:p w14:paraId="2BA1E3E1">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分配</w:t>
            </w:r>
          </w:p>
        </w:tc>
      </w:tr>
      <w:tr w14:paraId="770EFA26">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14:paraId="529B3707"/>
        </w:tc>
        <w:tc>
          <w:tcPr>
            <w:tcW w:w="5858" w:type="dxa"/>
            <w:gridSpan w:val="8"/>
            <w:tcBorders>
              <w:top w:val="single" w:color="auto" w:sz="4" w:space="0"/>
              <w:left w:val="single" w:color="auto" w:sz="4" w:space="0"/>
              <w:bottom w:val="single" w:color="auto" w:sz="4" w:space="0"/>
              <w:right w:val="single" w:color="auto" w:sz="4" w:space="0"/>
            </w:tcBorders>
            <w:noWrap/>
            <w:vAlign w:val="center"/>
          </w:tcPr>
          <w:p w14:paraId="6EF5E706">
            <w:pPr>
              <w:pageBreakBefore w:val="0"/>
              <w:widowControl w:val="0"/>
              <w:kinsoku/>
              <w:overflowPunct/>
              <w:topLinePunct w:val="0"/>
              <w:bidi w:val="0"/>
              <w:adjustRightInd w:val="0"/>
              <w:snapToGrid w:val="0"/>
              <w:spacing w:line="240" w:lineRule="auto"/>
              <w:rPr>
                <w:rFonts w:ascii="仿宋" w:eastAsia="仿宋" w:cs="仿宋"/>
                <w:color w:val="000000"/>
                <w:sz w:val="24"/>
                <w:szCs w:val="24"/>
                <w:lang w:val="en-US" w:eastAsia="zh-CN"/>
              </w:rPr>
            </w:pPr>
            <w:r>
              <w:rPr>
                <w:rFonts w:hint="eastAsia" w:ascii="仿宋" w:eastAsia="仿宋" w:cs="仿宋"/>
                <w:color w:val="000000"/>
                <w:sz w:val="24"/>
                <w:szCs w:val="24"/>
                <w:lang w:val="en-US" w:eastAsia="zh-CN"/>
              </w:rPr>
              <w:t>实训一 ：学唱汉族、少数民族民歌</w:t>
            </w:r>
          </w:p>
          <w:p w14:paraId="7184B3F2">
            <w:pPr>
              <w:pageBreakBefore w:val="0"/>
              <w:widowControl w:val="0"/>
              <w:kinsoku/>
              <w:overflowPunct/>
              <w:topLinePunct w:val="0"/>
              <w:bidi w:val="0"/>
              <w:adjustRightInd w:val="0"/>
              <w:snapToGrid w:val="0"/>
              <w:spacing w:line="240" w:lineRule="auto"/>
              <w:ind w:firstLine="480" w:firstLineChars="200"/>
              <w:rPr>
                <w:rFonts w:ascii="仿宋" w:eastAsia="仿宋" w:cs="仿宋"/>
                <w:color w:val="000000"/>
                <w:sz w:val="24"/>
                <w:szCs w:val="24"/>
                <w:lang w:val="en-US" w:eastAsia="zh-CN"/>
              </w:rPr>
            </w:pPr>
            <w:r>
              <w:rPr>
                <w:rFonts w:hint="eastAsia" w:ascii="仿宋" w:eastAsia="仿宋" w:cs="仿宋"/>
                <w:color w:val="000000"/>
                <w:sz w:val="24"/>
                <w:szCs w:val="24"/>
                <w:lang w:val="en-US" w:eastAsia="zh-CN"/>
              </w:rPr>
              <w:t>实训目的：</w:t>
            </w:r>
            <w:r>
              <w:rPr>
                <w:rFonts w:hint="eastAsia" w:ascii="仿宋" w:eastAsia="仿宋" w:cs="仿宋"/>
                <w:color w:val="000000"/>
                <w:sz w:val="24"/>
                <w:szCs w:val="24"/>
                <w:lang w:val="en-US" w:eastAsia="zh-TW"/>
              </w:rPr>
              <w:t>综合运用学过的理论、实践知识，分析和</w:t>
            </w:r>
            <w:r>
              <w:rPr>
                <w:rFonts w:hint="eastAsia" w:ascii="仿宋" w:eastAsia="仿宋" w:cs="仿宋"/>
                <w:color w:val="000000"/>
                <w:sz w:val="24"/>
                <w:szCs w:val="24"/>
                <w:lang w:val="en-US" w:eastAsia="zh-CN"/>
              </w:rPr>
              <w:t>演唱民族声乐</w:t>
            </w:r>
            <w:r>
              <w:rPr>
                <w:rFonts w:ascii="仿宋" w:eastAsia="仿宋" w:cs="仿宋"/>
                <w:color w:val="000000"/>
                <w:sz w:val="24"/>
                <w:szCs w:val="24"/>
                <w:lang w:val="en-US" w:eastAsia="zh-TW"/>
              </w:rPr>
              <w:t>作品，</w:t>
            </w:r>
            <w:r>
              <w:rPr>
                <w:rFonts w:hint="eastAsia" w:ascii="仿宋" w:eastAsia="仿宋" w:cs="仿宋"/>
                <w:color w:val="000000"/>
                <w:sz w:val="24"/>
                <w:szCs w:val="24"/>
                <w:lang w:val="en-US" w:eastAsia="zh-TW"/>
              </w:rPr>
              <w:t>熟练掌握分析作品的艺术形象的</w:t>
            </w:r>
            <w:r>
              <w:rPr>
                <w:rFonts w:ascii="仿宋" w:eastAsia="仿宋" w:cs="仿宋"/>
                <w:color w:val="000000"/>
                <w:sz w:val="24"/>
                <w:szCs w:val="24"/>
                <w:lang w:val="en-US" w:eastAsia="zh-TW"/>
              </w:rPr>
              <w:t>能力</w:t>
            </w:r>
            <w:r>
              <w:rPr>
                <w:rFonts w:hint="eastAsia" w:ascii="仿宋" w:eastAsia="仿宋" w:cs="仿宋"/>
                <w:color w:val="000000"/>
                <w:sz w:val="24"/>
                <w:szCs w:val="24"/>
                <w:lang w:val="en-US" w:eastAsia="zh-TW"/>
              </w:rPr>
              <w:t>。</w:t>
            </w:r>
          </w:p>
          <w:p w14:paraId="130674FF">
            <w:pPr>
              <w:pageBreakBefore w:val="0"/>
              <w:widowControl w:val="0"/>
              <w:kinsoku/>
              <w:overflowPunct/>
              <w:topLinePunct w:val="0"/>
              <w:bidi w:val="0"/>
              <w:adjustRightInd w:val="0"/>
              <w:snapToGrid w:val="0"/>
              <w:spacing w:line="240" w:lineRule="auto"/>
              <w:ind w:firstLine="480" w:firstLineChars="200"/>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CN"/>
              </w:rPr>
              <w:t>实训任务：分析汉族、少数民族歌曲的音乐特点、演唱风格。</w:t>
            </w:r>
            <w:r>
              <w:rPr>
                <w:rFonts w:ascii="仿宋" w:eastAsia="仿宋" w:cs="仿宋"/>
                <w:color w:val="000000"/>
                <w:sz w:val="24"/>
                <w:szCs w:val="24"/>
                <w:lang w:val="en-US" w:eastAsia="zh-TW"/>
              </w:rPr>
              <w:t>熟练背唱一些经典的、有代表性的民歌与唱段</w:t>
            </w:r>
            <w:r>
              <w:rPr>
                <w:rFonts w:hint="eastAsia" w:ascii="仿宋" w:eastAsia="仿宋" w:cs="仿宋"/>
                <w:color w:val="000000"/>
                <w:sz w:val="24"/>
                <w:szCs w:val="24"/>
                <w:lang w:val="en-US" w:eastAsia="zh-CN"/>
              </w:rPr>
              <w:t>。</w:t>
            </w:r>
          </w:p>
        </w:tc>
        <w:tc>
          <w:tcPr>
            <w:tcW w:w="1240" w:type="dxa"/>
            <w:gridSpan w:val="3"/>
            <w:tcBorders>
              <w:top w:val="single" w:color="auto" w:sz="4" w:space="0"/>
              <w:left w:val="single" w:color="auto" w:sz="4" w:space="0"/>
              <w:bottom w:val="single" w:color="auto" w:sz="4" w:space="0"/>
              <w:right w:val="single" w:color="auto" w:sz="4" w:space="0"/>
            </w:tcBorders>
            <w:noWrap/>
            <w:vAlign w:val="center"/>
          </w:tcPr>
          <w:p w14:paraId="5249FCCB">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CN"/>
              </w:rPr>
              <w:t>支撑课程</w:t>
            </w:r>
            <w:r>
              <w:rPr>
                <w:rFonts w:hint="eastAsia" w:ascii="仿宋" w:eastAsia="仿宋" w:cs="仿宋"/>
                <w:color w:val="000000"/>
                <w:sz w:val="24"/>
                <w:szCs w:val="24"/>
                <w:lang w:val="en-US" w:eastAsia="zh-TW"/>
              </w:rPr>
              <w:t>目标1、2、3</w:t>
            </w:r>
          </w:p>
          <w:p w14:paraId="2A045507">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tc>
        <w:tc>
          <w:tcPr>
            <w:tcW w:w="674" w:type="dxa"/>
            <w:gridSpan w:val="3"/>
            <w:tcBorders>
              <w:top w:val="single" w:color="auto" w:sz="4" w:space="0"/>
              <w:left w:val="single" w:color="auto" w:sz="4" w:space="0"/>
              <w:bottom w:val="single" w:color="auto" w:sz="4" w:space="0"/>
              <w:right w:val="single" w:color="auto" w:sz="4" w:space="0"/>
            </w:tcBorders>
            <w:noWrap/>
            <w:vAlign w:val="center"/>
          </w:tcPr>
          <w:p w14:paraId="2DB127C7">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val="en-US" w:eastAsia="zh-CN"/>
              </w:rPr>
            </w:pPr>
            <w:r>
              <w:rPr>
                <w:rFonts w:hint="eastAsia" w:ascii="仿宋" w:eastAsia="仿宋" w:cs="仿宋"/>
                <w:color w:val="000000"/>
                <w:sz w:val="24"/>
                <w:szCs w:val="24"/>
                <w:lang w:val="en-US" w:eastAsia="zh-CN"/>
              </w:rPr>
              <w:t>16</w:t>
            </w:r>
          </w:p>
        </w:tc>
      </w:tr>
      <w:tr w14:paraId="4F8A0D07">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14:paraId="5EF0D22E"/>
        </w:tc>
        <w:tc>
          <w:tcPr>
            <w:tcW w:w="5858" w:type="dxa"/>
            <w:gridSpan w:val="8"/>
            <w:tcBorders>
              <w:top w:val="single" w:color="auto" w:sz="4" w:space="0"/>
              <w:left w:val="single" w:color="auto" w:sz="4" w:space="0"/>
              <w:bottom w:val="single" w:color="auto" w:sz="4" w:space="0"/>
              <w:right w:val="single" w:color="auto" w:sz="4" w:space="0"/>
            </w:tcBorders>
            <w:noWrap/>
            <w:vAlign w:val="center"/>
          </w:tcPr>
          <w:p w14:paraId="06774C0E">
            <w:pPr>
              <w:pageBreakBefore w:val="0"/>
              <w:widowControl w:val="0"/>
              <w:kinsoku/>
              <w:overflowPunct/>
              <w:topLinePunct w:val="0"/>
              <w:bidi w:val="0"/>
              <w:adjustRightInd w:val="0"/>
              <w:snapToGrid w:val="0"/>
              <w:spacing w:line="240" w:lineRule="auto"/>
              <w:rPr>
                <w:rFonts w:hint="default" w:ascii="仿宋" w:eastAsia="仿宋" w:cs="仿宋"/>
                <w:color w:val="000000"/>
                <w:sz w:val="24"/>
                <w:szCs w:val="24"/>
                <w:lang w:val="en-US" w:eastAsia="zh-CN"/>
              </w:rPr>
            </w:pPr>
            <w:r>
              <w:rPr>
                <w:rFonts w:hint="eastAsia" w:ascii="仿宋" w:eastAsia="仿宋" w:cs="仿宋"/>
                <w:color w:val="000000"/>
                <w:sz w:val="24"/>
                <w:szCs w:val="24"/>
                <w:lang w:val="en-US" w:eastAsia="zh-CN"/>
              </w:rPr>
              <w:t>实训二 ：学唱全国性、北方、南方部分戏曲选段</w:t>
            </w:r>
          </w:p>
          <w:p w14:paraId="25EBE735">
            <w:pPr>
              <w:pageBreakBefore w:val="0"/>
              <w:widowControl w:val="0"/>
              <w:kinsoku/>
              <w:overflowPunct/>
              <w:topLinePunct w:val="0"/>
              <w:bidi w:val="0"/>
              <w:adjustRightInd w:val="0"/>
              <w:snapToGrid w:val="0"/>
              <w:spacing w:line="240" w:lineRule="auto"/>
              <w:ind w:firstLine="480" w:firstLineChars="200"/>
              <w:rPr>
                <w:rFonts w:ascii="仿宋" w:eastAsia="仿宋" w:cs="仿宋"/>
                <w:color w:val="000000"/>
                <w:sz w:val="24"/>
                <w:szCs w:val="24"/>
                <w:lang w:val="en-US" w:eastAsia="zh-CN"/>
              </w:rPr>
            </w:pPr>
            <w:r>
              <w:rPr>
                <w:rFonts w:hint="eastAsia" w:ascii="仿宋" w:eastAsia="仿宋" w:cs="仿宋"/>
                <w:color w:val="000000"/>
                <w:sz w:val="24"/>
                <w:szCs w:val="24"/>
                <w:lang w:val="en-US" w:eastAsia="zh-CN"/>
              </w:rPr>
              <w:t>实训目的：中国戏曲作为世界三大古老戏剧之一</w:t>
            </w:r>
            <w:r>
              <w:rPr>
                <w:rFonts w:hint="eastAsia" w:ascii="仿宋" w:eastAsia="仿宋" w:cs="仿宋"/>
                <w:color w:val="000000"/>
                <w:sz w:val="24"/>
                <w:szCs w:val="24"/>
                <w:lang w:val="en-US" w:eastAsia="zh-TW"/>
              </w:rPr>
              <w:t>综合运用学过的理论、实践知识，分析和</w:t>
            </w:r>
            <w:r>
              <w:rPr>
                <w:rFonts w:hint="eastAsia" w:ascii="仿宋" w:eastAsia="仿宋" w:cs="仿宋"/>
                <w:color w:val="000000"/>
                <w:sz w:val="24"/>
                <w:szCs w:val="24"/>
                <w:lang w:val="en-US" w:eastAsia="zh-CN"/>
              </w:rPr>
              <w:t>演唱民族声乐</w:t>
            </w:r>
            <w:r>
              <w:rPr>
                <w:rFonts w:ascii="仿宋" w:eastAsia="仿宋" w:cs="仿宋"/>
                <w:color w:val="000000"/>
                <w:sz w:val="24"/>
                <w:szCs w:val="24"/>
                <w:lang w:val="en-US" w:eastAsia="zh-TW"/>
              </w:rPr>
              <w:t>作品，</w:t>
            </w:r>
            <w:r>
              <w:rPr>
                <w:rFonts w:hint="eastAsia" w:ascii="仿宋" w:eastAsia="仿宋" w:cs="仿宋"/>
                <w:color w:val="000000"/>
                <w:sz w:val="24"/>
                <w:szCs w:val="24"/>
                <w:lang w:val="en-US" w:eastAsia="zh-TW"/>
              </w:rPr>
              <w:t>熟练掌握分析作品的艺术形象的</w:t>
            </w:r>
            <w:r>
              <w:rPr>
                <w:rFonts w:ascii="仿宋" w:eastAsia="仿宋" w:cs="仿宋"/>
                <w:color w:val="000000"/>
                <w:sz w:val="24"/>
                <w:szCs w:val="24"/>
                <w:lang w:val="en-US" w:eastAsia="zh-TW"/>
              </w:rPr>
              <w:t>能力</w:t>
            </w:r>
            <w:r>
              <w:rPr>
                <w:rFonts w:hint="eastAsia" w:ascii="仿宋" w:eastAsia="仿宋" w:cs="仿宋"/>
                <w:color w:val="000000"/>
                <w:sz w:val="24"/>
                <w:szCs w:val="24"/>
                <w:lang w:val="en-US" w:eastAsia="zh-TW"/>
              </w:rPr>
              <w:t>。</w:t>
            </w:r>
          </w:p>
          <w:p w14:paraId="41E7377D">
            <w:pPr>
              <w:pageBreakBefore w:val="0"/>
              <w:widowControl w:val="0"/>
              <w:kinsoku/>
              <w:overflowPunct/>
              <w:topLinePunct w:val="0"/>
              <w:bidi w:val="0"/>
              <w:adjustRightInd w:val="0"/>
              <w:snapToGrid w:val="0"/>
              <w:spacing w:line="240" w:lineRule="auto"/>
              <w:ind w:firstLine="480" w:firstLineChars="200"/>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CN"/>
              </w:rPr>
              <w:t>实训任务：分析汉族、少数民族歌曲的音乐特点、演唱风格。</w:t>
            </w:r>
            <w:r>
              <w:rPr>
                <w:rFonts w:ascii="仿宋" w:eastAsia="仿宋" w:cs="仿宋"/>
                <w:color w:val="000000"/>
                <w:sz w:val="24"/>
                <w:szCs w:val="24"/>
                <w:lang w:val="en-US" w:eastAsia="zh-TW"/>
              </w:rPr>
              <w:t>熟练背唱一些经典的、有代表性的民歌与唱段</w:t>
            </w:r>
            <w:r>
              <w:rPr>
                <w:rFonts w:hint="eastAsia" w:ascii="仿宋" w:eastAsia="仿宋" w:cs="仿宋"/>
                <w:color w:val="000000"/>
                <w:sz w:val="24"/>
                <w:szCs w:val="24"/>
                <w:lang w:val="en-US" w:eastAsia="zh-CN"/>
              </w:rPr>
              <w:t>。</w:t>
            </w:r>
          </w:p>
        </w:tc>
        <w:tc>
          <w:tcPr>
            <w:tcW w:w="1240" w:type="dxa"/>
            <w:gridSpan w:val="3"/>
            <w:tcBorders>
              <w:top w:val="single" w:color="auto" w:sz="4" w:space="0"/>
              <w:left w:val="single" w:color="auto" w:sz="4" w:space="0"/>
              <w:bottom w:val="single" w:color="auto" w:sz="4" w:space="0"/>
              <w:right w:val="single" w:color="auto" w:sz="4" w:space="0"/>
            </w:tcBorders>
            <w:noWrap/>
            <w:vAlign w:val="center"/>
          </w:tcPr>
          <w:p w14:paraId="7784A799">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tc>
        <w:tc>
          <w:tcPr>
            <w:tcW w:w="674" w:type="dxa"/>
            <w:gridSpan w:val="3"/>
            <w:tcBorders>
              <w:top w:val="single" w:color="auto" w:sz="4" w:space="0"/>
              <w:left w:val="single" w:color="auto" w:sz="4" w:space="0"/>
              <w:bottom w:val="single" w:color="auto" w:sz="4" w:space="0"/>
              <w:right w:val="single" w:color="auto" w:sz="4" w:space="0"/>
            </w:tcBorders>
            <w:noWrap/>
            <w:vAlign w:val="center"/>
          </w:tcPr>
          <w:p w14:paraId="54477B36">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CN"/>
              </w:rPr>
            </w:pPr>
          </w:p>
          <w:p w14:paraId="0963AF33">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val="en-US" w:eastAsia="zh-CN"/>
              </w:rPr>
            </w:pPr>
            <w:r>
              <w:rPr>
                <w:rFonts w:hint="eastAsia" w:ascii="仿宋" w:eastAsia="仿宋" w:cs="仿宋"/>
                <w:color w:val="000000"/>
                <w:sz w:val="24"/>
                <w:szCs w:val="24"/>
                <w:lang w:val="en-US" w:eastAsia="zh-CN"/>
              </w:rPr>
              <w:t>16</w:t>
            </w:r>
          </w:p>
        </w:tc>
      </w:tr>
      <w:tr w14:paraId="3DF753C6">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14:paraId="026603EC"/>
        </w:tc>
        <w:tc>
          <w:tcPr>
            <w:tcW w:w="7098" w:type="dxa"/>
            <w:gridSpan w:val="11"/>
            <w:tcBorders>
              <w:top w:val="single" w:color="auto" w:sz="4" w:space="0"/>
              <w:left w:val="single" w:color="auto" w:sz="4" w:space="0"/>
              <w:bottom w:val="single" w:color="auto" w:sz="4" w:space="0"/>
              <w:right w:val="single" w:color="auto" w:sz="4" w:space="0"/>
            </w:tcBorders>
            <w:noWrap/>
            <w:vAlign w:val="center"/>
          </w:tcPr>
          <w:p w14:paraId="4BC08DD1">
            <w:pPr>
              <w:pageBreakBefore w:val="0"/>
              <w:widowControl w:val="0"/>
              <w:kinsoku/>
              <w:overflowPunct/>
              <w:topLinePunct w:val="0"/>
              <w:bidi w:val="0"/>
              <w:adjustRightInd w:val="0"/>
              <w:snapToGrid w:val="0"/>
              <w:spacing w:line="240" w:lineRule="auto"/>
              <w:jc w:val="center"/>
              <w:rPr>
                <w:rFonts w:ascii="仿宋" w:eastAsia="仿宋" w:cs="仿宋"/>
                <w:color w:val="000000"/>
                <w:sz w:val="24"/>
                <w:szCs w:val="24"/>
                <w:lang w:val="en-US" w:eastAsia="zh-CN"/>
              </w:rPr>
            </w:pPr>
            <w:r>
              <w:rPr>
                <w:rFonts w:hint="eastAsia" w:ascii="仿宋" w:eastAsia="仿宋" w:cs="仿宋"/>
                <w:color w:val="000000"/>
                <w:sz w:val="24"/>
                <w:szCs w:val="24"/>
                <w:lang w:val="en-US" w:eastAsia="zh-CN"/>
              </w:rPr>
              <w:t>合计</w:t>
            </w:r>
          </w:p>
        </w:tc>
        <w:tc>
          <w:tcPr>
            <w:tcW w:w="674" w:type="dxa"/>
            <w:gridSpan w:val="3"/>
            <w:tcBorders>
              <w:top w:val="single" w:color="auto" w:sz="4" w:space="0"/>
              <w:left w:val="single" w:color="auto" w:sz="4" w:space="0"/>
              <w:bottom w:val="single" w:color="auto" w:sz="4" w:space="0"/>
              <w:right w:val="single" w:color="auto" w:sz="4" w:space="0"/>
            </w:tcBorders>
            <w:noWrap/>
            <w:vAlign w:val="center"/>
          </w:tcPr>
          <w:p w14:paraId="4C16F254">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val="en-US" w:eastAsia="zh-CN"/>
              </w:rPr>
            </w:pPr>
            <w:r>
              <w:rPr>
                <w:rFonts w:hint="eastAsia" w:ascii="仿宋" w:eastAsia="仿宋" w:cs="仿宋"/>
                <w:color w:val="000000"/>
                <w:sz w:val="24"/>
                <w:szCs w:val="24"/>
                <w:lang w:val="en-US" w:eastAsia="zh-CN"/>
              </w:rPr>
              <w:t>32</w:t>
            </w:r>
          </w:p>
        </w:tc>
      </w:tr>
      <w:tr w14:paraId="6BEEB38F">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14:paraId="7754F470">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I</w:t>
            </w:r>
          </w:p>
          <w:p w14:paraId="243EC7B9">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教学方法与教学方式</w:t>
            </w:r>
          </w:p>
        </w:tc>
        <w:tc>
          <w:tcPr>
            <w:tcW w:w="7772" w:type="dxa"/>
            <w:gridSpan w:val="14"/>
            <w:tcBorders>
              <w:top w:val="single" w:color="auto" w:sz="4" w:space="0"/>
              <w:left w:val="single" w:color="auto" w:sz="4" w:space="0"/>
              <w:bottom w:val="single" w:color="auto" w:sz="4" w:space="0"/>
              <w:right w:val="single" w:color="auto" w:sz="4" w:space="0"/>
            </w:tcBorders>
            <w:noWrap/>
            <w:vAlign w:val="center"/>
          </w:tcPr>
          <w:p w14:paraId="5931A49C">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CN"/>
              </w:rPr>
              <w:t>1.课程</w:t>
            </w:r>
            <w:r>
              <w:rPr>
                <w:rFonts w:hint="eastAsia" w:ascii="仿宋" w:eastAsia="仿宋" w:cs="仿宋"/>
                <w:color w:val="000000"/>
                <w:sz w:val="24"/>
                <w:szCs w:val="24"/>
                <w:lang w:val="en-US" w:eastAsia="zh-TW"/>
              </w:rPr>
              <w:t>采用</w:t>
            </w:r>
            <w:r>
              <w:rPr>
                <w:rFonts w:hint="eastAsia" w:ascii="仿宋" w:eastAsia="仿宋" w:cs="仿宋"/>
                <w:color w:val="000000"/>
                <w:sz w:val="24"/>
                <w:szCs w:val="24"/>
                <w:lang w:val="en-US" w:eastAsia="zh-CN"/>
              </w:rPr>
              <w:t>集体式</w:t>
            </w:r>
            <w:r>
              <w:rPr>
                <w:rFonts w:hint="eastAsia" w:ascii="仿宋" w:eastAsia="仿宋" w:cs="仿宋"/>
                <w:color w:val="000000"/>
                <w:sz w:val="24"/>
                <w:szCs w:val="24"/>
                <w:lang w:val="en-US" w:eastAsia="zh-TW"/>
              </w:rPr>
              <w:t>教学，改善理论课</w:t>
            </w:r>
            <w:r>
              <w:rPr>
                <w:rFonts w:hint="eastAsia" w:ascii="仿宋" w:eastAsia="仿宋" w:cs="仿宋"/>
                <w:color w:val="000000"/>
                <w:sz w:val="24"/>
                <w:szCs w:val="24"/>
                <w:lang w:val="en-US" w:eastAsia="zh-CN"/>
              </w:rPr>
              <w:t>与实践</w:t>
            </w:r>
            <w:r>
              <w:rPr>
                <w:rFonts w:hint="eastAsia" w:ascii="仿宋" w:eastAsia="仿宋" w:cs="仿宋"/>
                <w:color w:val="000000"/>
                <w:sz w:val="24"/>
                <w:szCs w:val="24"/>
                <w:lang w:val="en-US" w:eastAsia="zh-TW"/>
              </w:rPr>
              <w:t>的枯燥和沉闷，吸引学生的注意力，加强授课效果。</w:t>
            </w:r>
          </w:p>
          <w:p w14:paraId="7FFAF3E6">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CN"/>
              </w:rPr>
              <w:t>2.</w:t>
            </w:r>
            <w:r>
              <w:rPr>
                <w:rFonts w:hint="eastAsia" w:ascii="仿宋" w:eastAsia="仿宋" w:cs="仿宋"/>
                <w:color w:val="000000"/>
                <w:sz w:val="24"/>
                <w:szCs w:val="24"/>
                <w:lang w:val="en-US" w:eastAsia="zh-TW"/>
              </w:rPr>
              <w:t>开通网络课堂，达到与学生及时沟通、交流的目的。同时重视师生互动与小组活动，组织课堂小组讨论和论文写作等活动，将课堂教学变为师生共同活动的过程。</w:t>
            </w:r>
          </w:p>
          <w:p w14:paraId="6F19263B">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CN"/>
              </w:rPr>
              <w:t>3.</w:t>
            </w:r>
            <w:r>
              <w:rPr>
                <w:rFonts w:hint="eastAsia" w:ascii="仿宋" w:eastAsia="仿宋" w:cs="仿宋"/>
                <w:color w:val="000000"/>
                <w:sz w:val="24"/>
                <w:szCs w:val="24"/>
                <w:lang w:val="en-US" w:eastAsia="zh-TW"/>
              </w:rPr>
              <w:t>主要方式：</w:t>
            </w:r>
          </w:p>
          <w:p w14:paraId="32639990">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sym w:font="Wingdings" w:char="00FE"/>
            </w:r>
            <w:r>
              <w:rPr>
                <w:rFonts w:hint="eastAsia" w:ascii="仿宋" w:eastAsia="仿宋" w:cs="仿宋"/>
                <w:color w:val="000000"/>
                <w:sz w:val="24"/>
                <w:szCs w:val="24"/>
                <w:lang w:val="en-US" w:eastAsia="zh-TW"/>
              </w:rPr>
              <w:t xml:space="preserve">讲授  </w:t>
            </w:r>
            <w:r>
              <w:rPr>
                <w:rFonts w:hint="eastAsia" w:ascii="仿宋" w:eastAsia="仿宋" w:cs="仿宋"/>
                <w:color w:val="000000"/>
                <w:sz w:val="24"/>
                <w:szCs w:val="24"/>
                <w:lang w:val="en-US" w:eastAsia="zh-TW"/>
              </w:rPr>
              <w:sym w:font="Wingdings" w:char="00FE"/>
            </w:r>
            <w:r>
              <w:rPr>
                <w:rFonts w:hint="eastAsia" w:ascii="仿宋" w:eastAsia="仿宋" w:cs="仿宋"/>
                <w:color w:val="000000"/>
                <w:sz w:val="24"/>
                <w:szCs w:val="24"/>
                <w:lang w:val="en-US" w:eastAsia="zh-TW"/>
              </w:rPr>
              <w:t xml:space="preserve">网络学习  </w:t>
            </w:r>
            <w:r>
              <w:rPr>
                <w:rFonts w:hint="eastAsia" w:ascii="仿宋" w:eastAsia="仿宋" w:cs="仿宋"/>
                <w:color w:val="000000"/>
                <w:sz w:val="24"/>
                <w:szCs w:val="24"/>
                <w:lang w:val="en-US" w:eastAsia="zh-TW"/>
              </w:rPr>
              <w:sym w:font="Wingdings" w:char="00FE"/>
            </w:r>
            <w:r>
              <w:rPr>
                <w:rFonts w:hint="eastAsia" w:ascii="仿宋" w:eastAsia="仿宋" w:cs="仿宋"/>
                <w:color w:val="000000"/>
                <w:sz w:val="24"/>
                <w:szCs w:val="24"/>
                <w:lang w:val="en-US" w:eastAsia="zh-TW"/>
              </w:rPr>
              <w:t xml:space="preserve">讨论或座谈  </w:t>
            </w:r>
            <w:r>
              <w:rPr>
                <w:rFonts w:hint="eastAsia" w:ascii="仿宋" w:eastAsia="仿宋" w:cs="仿宋"/>
                <w:color w:val="000000"/>
                <w:sz w:val="24"/>
                <w:szCs w:val="24"/>
                <w:lang w:val="en-US" w:eastAsia="zh-TW"/>
              </w:rPr>
              <w:sym w:font="Wingdings" w:char="00A8"/>
            </w:r>
            <w:r>
              <w:rPr>
                <w:rFonts w:hint="eastAsia" w:ascii="仿宋" w:eastAsia="仿宋" w:cs="仿宋"/>
                <w:color w:val="000000"/>
                <w:sz w:val="24"/>
                <w:szCs w:val="24"/>
                <w:lang w:val="en-US" w:eastAsia="zh-TW"/>
              </w:rPr>
              <w:t xml:space="preserve">问题导向学  </w:t>
            </w:r>
          </w:p>
          <w:p w14:paraId="1E5ADDF7">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sym w:font="Wingdings" w:char="00FE"/>
            </w:r>
            <w:r>
              <w:rPr>
                <w:rFonts w:hint="eastAsia" w:ascii="仿宋" w:eastAsia="仿宋" w:cs="仿宋"/>
                <w:color w:val="000000"/>
                <w:sz w:val="24"/>
                <w:szCs w:val="24"/>
                <w:lang w:val="en-US" w:eastAsia="zh-TW"/>
              </w:rPr>
              <w:t xml:space="preserve">分组合作学习  </w:t>
            </w:r>
            <w:r>
              <w:rPr>
                <w:rFonts w:hint="eastAsia" w:ascii="仿宋" w:eastAsia="仿宋" w:cs="仿宋"/>
                <w:color w:val="000000"/>
                <w:sz w:val="24"/>
                <w:szCs w:val="24"/>
                <w:lang w:val="en-US" w:eastAsia="zh-TW"/>
              </w:rPr>
              <w:sym w:font="Wingdings" w:char="00A8"/>
            </w:r>
            <w:r>
              <w:rPr>
                <w:rFonts w:hint="eastAsia" w:ascii="仿宋" w:eastAsia="仿宋" w:cs="仿宋"/>
                <w:color w:val="000000"/>
                <w:sz w:val="24"/>
                <w:szCs w:val="24"/>
                <w:lang w:val="en-US" w:eastAsia="zh-TW"/>
              </w:rPr>
              <w:t xml:space="preserve">专题学习  </w:t>
            </w:r>
            <w:r>
              <w:rPr>
                <w:rFonts w:hint="eastAsia" w:ascii="仿宋" w:eastAsia="仿宋" w:cs="仿宋"/>
                <w:color w:val="000000"/>
                <w:sz w:val="24"/>
                <w:szCs w:val="24"/>
                <w:lang w:val="en-US" w:eastAsia="zh-TW"/>
              </w:rPr>
              <w:sym w:font="Wingdings" w:char="00FE"/>
            </w:r>
            <w:r>
              <w:rPr>
                <w:rFonts w:hint="eastAsia" w:ascii="仿宋" w:eastAsia="仿宋" w:cs="仿宋"/>
                <w:color w:val="000000"/>
                <w:sz w:val="24"/>
                <w:szCs w:val="24"/>
                <w:lang w:val="en-US" w:eastAsia="zh-TW"/>
              </w:rPr>
              <w:t xml:space="preserve">实作学习  </w:t>
            </w:r>
            <w:r>
              <w:rPr>
                <w:rFonts w:hint="eastAsia" w:ascii="仿宋" w:eastAsia="仿宋" w:cs="仿宋"/>
                <w:color w:val="000000"/>
                <w:sz w:val="24"/>
                <w:szCs w:val="24"/>
                <w:lang w:val="en-US" w:eastAsia="zh-TW"/>
              </w:rPr>
              <w:sym w:font="Wingdings" w:char="00A8"/>
            </w:r>
            <w:r>
              <w:rPr>
                <w:rFonts w:hint="eastAsia" w:ascii="仿宋" w:eastAsia="仿宋" w:cs="仿宋"/>
                <w:color w:val="000000"/>
                <w:sz w:val="24"/>
                <w:szCs w:val="24"/>
                <w:lang w:val="en-US" w:eastAsia="zh-TW"/>
              </w:rPr>
              <w:t xml:space="preserve">发表学习  </w:t>
            </w:r>
          </w:p>
          <w:p w14:paraId="2A125F2E">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sym w:font="Wingdings" w:char="00A8"/>
            </w:r>
            <w:r>
              <w:rPr>
                <w:rFonts w:hint="eastAsia" w:ascii="仿宋" w:eastAsia="仿宋" w:cs="仿宋"/>
                <w:color w:val="000000"/>
                <w:sz w:val="24"/>
                <w:szCs w:val="24"/>
                <w:lang w:val="en-US" w:eastAsia="zh-TW"/>
              </w:rPr>
              <w:t xml:space="preserve">实习  </w:t>
            </w:r>
            <w:r>
              <w:rPr>
                <w:rFonts w:hint="eastAsia" w:ascii="仿宋" w:eastAsia="仿宋" w:cs="仿宋"/>
                <w:color w:val="000000"/>
                <w:sz w:val="24"/>
                <w:szCs w:val="24"/>
                <w:lang w:val="en-US" w:eastAsia="zh-TW"/>
              </w:rPr>
              <w:sym w:font="Wingdings" w:char="00A8"/>
            </w:r>
            <w:r>
              <w:rPr>
                <w:rFonts w:hint="eastAsia" w:ascii="仿宋" w:eastAsia="仿宋" w:cs="仿宋"/>
                <w:color w:val="000000"/>
                <w:sz w:val="24"/>
                <w:szCs w:val="24"/>
                <w:lang w:val="en-US" w:eastAsia="zh-TW"/>
              </w:rPr>
              <w:t xml:space="preserve">参观访问  </w:t>
            </w:r>
            <w:r>
              <w:rPr>
                <w:rFonts w:hint="eastAsia" w:ascii="仿宋" w:eastAsia="仿宋" w:cs="仿宋"/>
                <w:color w:val="000000"/>
                <w:sz w:val="24"/>
                <w:szCs w:val="24"/>
                <w:lang w:val="en-US" w:eastAsia="zh-TW"/>
              </w:rPr>
              <w:sym w:font="Wingdings" w:char="00A8"/>
            </w:r>
            <w:r>
              <w:rPr>
                <w:rFonts w:hint="eastAsia" w:ascii="仿宋" w:eastAsia="仿宋" w:cs="仿宋"/>
                <w:color w:val="000000"/>
                <w:sz w:val="24"/>
                <w:szCs w:val="24"/>
                <w:lang w:val="en-US" w:eastAsia="zh-TW"/>
              </w:rPr>
              <w:t>其它</w:t>
            </w:r>
            <w:r>
              <w:rPr>
                <w:rFonts w:hint="eastAsia" w:ascii="仿宋" w:eastAsia="仿宋" w:cs="仿宋"/>
                <w:color w:val="000000"/>
                <w:sz w:val="24"/>
                <w:szCs w:val="24"/>
                <w:lang w:val="en-US" w:eastAsia="zh-CN"/>
              </w:rPr>
              <w:t xml:space="preserve">：        </w:t>
            </w:r>
            <w:r>
              <w:rPr>
                <w:rFonts w:hint="eastAsia" w:ascii="仿宋" w:eastAsia="仿宋" w:cs="仿宋"/>
                <w:color w:val="000000"/>
                <w:sz w:val="24"/>
                <w:szCs w:val="24"/>
                <w:lang w:val="en-US" w:eastAsia="zh-TW"/>
              </w:rPr>
              <w:t>(</w:t>
            </w:r>
            <w:r>
              <w:rPr>
                <w:rFonts w:hint="eastAsia" w:ascii="仿宋" w:eastAsia="仿宋" w:cs="仿宋"/>
                <w:color w:val="000000"/>
                <w:sz w:val="24"/>
                <w:szCs w:val="24"/>
                <w:lang w:val="en-US" w:eastAsia="zh-CN"/>
              </w:rPr>
              <w:t>如</w:t>
            </w:r>
            <w:r>
              <w:rPr>
                <w:rFonts w:hint="eastAsia" w:ascii="仿宋" w:eastAsia="仿宋" w:cs="仿宋"/>
                <w:color w:val="000000"/>
                <w:sz w:val="24"/>
                <w:szCs w:val="24"/>
                <w:lang w:val="en-US" w:eastAsia="zh-TW"/>
              </w:rPr>
              <w:t>口头训练</w:t>
            </w:r>
            <w:r>
              <w:rPr>
                <w:rFonts w:hint="eastAsia" w:ascii="仿宋" w:eastAsia="仿宋" w:cs="仿宋"/>
                <w:color w:val="000000"/>
                <w:sz w:val="24"/>
                <w:szCs w:val="24"/>
                <w:lang w:val="en-US" w:eastAsia="zh-CN"/>
              </w:rPr>
              <w:t>等</w:t>
            </w:r>
            <w:r>
              <w:rPr>
                <w:rFonts w:hint="eastAsia" w:ascii="仿宋" w:eastAsia="仿宋" w:cs="仿宋"/>
                <w:color w:val="000000"/>
                <w:sz w:val="24"/>
                <w:szCs w:val="24"/>
                <w:lang w:val="en-US" w:eastAsia="zh-TW"/>
              </w:rPr>
              <w:t>)</w:t>
            </w:r>
          </w:p>
          <w:p w14:paraId="65B8BADA">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tc>
      </w:tr>
      <w:tr w14:paraId="59543E21">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14:paraId="3AFACD82">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J</w:t>
            </w:r>
          </w:p>
          <w:p w14:paraId="60DE723E">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教学条件</w:t>
            </w:r>
          </w:p>
          <w:p w14:paraId="47C42B24">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需求</w:t>
            </w:r>
          </w:p>
        </w:tc>
        <w:tc>
          <w:tcPr>
            <w:tcW w:w="7772" w:type="dxa"/>
            <w:gridSpan w:val="14"/>
            <w:tcBorders>
              <w:top w:val="single" w:color="auto" w:sz="4" w:space="0"/>
              <w:left w:val="single" w:color="auto" w:sz="4" w:space="0"/>
              <w:bottom w:val="single" w:color="auto" w:sz="4" w:space="0"/>
              <w:right w:val="single" w:color="auto" w:sz="4" w:space="0"/>
            </w:tcBorders>
            <w:noWrap/>
            <w:vAlign w:val="center"/>
          </w:tcPr>
          <w:p w14:paraId="5FAAFF80">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（如时间、地点安排与“一课双师”等教师配备需求等）</w:t>
            </w:r>
          </w:p>
          <w:p w14:paraId="38D03EE5">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CN"/>
              </w:rPr>
              <w:t>1.需要有好的教学设备，利于课堂的学习与课后的练习，以此达到更好的效果。</w:t>
            </w:r>
          </w:p>
          <w:p w14:paraId="41CE2361">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CN"/>
              </w:rPr>
              <w:t>2.提供好的艺术实践，积极参与比赛活动，增强中国民族音乐文化知识应用。</w:t>
            </w:r>
          </w:p>
        </w:tc>
      </w:tr>
      <w:tr w14:paraId="667BBF43">
        <w:trPr>
          <w:trHeight w:val="624" w:hRule="atLeast"/>
        </w:trPr>
        <w:tc>
          <w:tcPr>
            <w:tcW w:w="1376" w:type="dxa"/>
            <w:vMerge w:val="restart"/>
            <w:tcBorders>
              <w:top w:val="single" w:color="auto" w:sz="4" w:space="0"/>
              <w:left w:val="single" w:color="auto" w:sz="4" w:space="0"/>
              <w:bottom w:val="single" w:color="auto" w:sz="4" w:space="0"/>
              <w:right w:val="single" w:color="auto" w:sz="4" w:space="0"/>
            </w:tcBorders>
            <w:noWrap/>
            <w:vAlign w:val="center"/>
          </w:tcPr>
          <w:p w14:paraId="248C4F80">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K</w:t>
            </w:r>
          </w:p>
          <w:p w14:paraId="2008FC68">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课程目标及其考核内容、考核方式及评分占比</w:t>
            </w:r>
          </w:p>
        </w:tc>
        <w:tc>
          <w:tcPr>
            <w:tcW w:w="1212" w:type="dxa"/>
            <w:vMerge w:val="restart"/>
            <w:tcBorders>
              <w:top w:val="single" w:color="auto" w:sz="4" w:space="0"/>
              <w:left w:val="single" w:color="auto" w:sz="4" w:space="0"/>
              <w:bottom w:val="single" w:color="auto" w:sz="4" w:space="0"/>
              <w:right w:val="single" w:color="auto" w:sz="4" w:space="0"/>
            </w:tcBorders>
            <w:noWrap/>
            <w:vAlign w:val="center"/>
          </w:tcPr>
          <w:p w14:paraId="2386EFA9">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课程目标及评分占比</w:t>
            </w:r>
          </w:p>
        </w:tc>
        <w:tc>
          <w:tcPr>
            <w:tcW w:w="3088" w:type="dxa"/>
            <w:gridSpan w:val="4"/>
            <w:vMerge w:val="restart"/>
            <w:tcBorders>
              <w:top w:val="single" w:color="auto" w:sz="4" w:space="0"/>
              <w:left w:val="single" w:color="auto" w:sz="4" w:space="0"/>
              <w:bottom w:val="single" w:color="auto" w:sz="4" w:space="0"/>
              <w:right w:val="single" w:color="000000" w:sz="4" w:space="0"/>
            </w:tcBorders>
            <w:noWrap/>
            <w:vAlign w:val="center"/>
          </w:tcPr>
          <w:p w14:paraId="52868FE0">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考核内容</w:t>
            </w:r>
          </w:p>
        </w:tc>
        <w:tc>
          <w:tcPr>
            <w:tcW w:w="2933" w:type="dxa"/>
            <w:gridSpan w:val="8"/>
            <w:tcBorders>
              <w:top w:val="single" w:color="auto" w:sz="4" w:space="0"/>
              <w:left w:val="single" w:color="000000" w:sz="4" w:space="0"/>
              <w:bottom w:val="single" w:color="auto" w:sz="4" w:space="0"/>
              <w:right w:val="single" w:color="000000" w:sz="4" w:space="0"/>
            </w:tcBorders>
            <w:noWrap/>
            <w:vAlign w:val="center"/>
          </w:tcPr>
          <w:p w14:paraId="7AE28EE7">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考核方式</w:t>
            </w:r>
          </w:p>
        </w:tc>
        <w:tc>
          <w:tcPr>
            <w:tcW w:w="539" w:type="dxa"/>
            <w:vMerge w:val="restart"/>
            <w:tcBorders>
              <w:top w:val="single" w:color="auto" w:sz="4" w:space="0"/>
              <w:left w:val="single" w:color="000000" w:sz="4" w:space="0"/>
              <w:bottom w:val="single" w:color="auto" w:sz="4" w:space="0"/>
              <w:right w:val="single" w:color="auto" w:sz="4" w:space="0"/>
            </w:tcBorders>
            <w:noWrap/>
            <w:vAlign w:val="center"/>
          </w:tcPr>
          <w:p w14:paraId="3D7AFFD7">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课程分目标的达成度</w:t>
            </w:r>
          </w:p>
        </w:tc>
      </w:tr>
      <w:tr w14:paraId="7B66A2FE">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noWrap/>
            <w:vAlign w:val="center"/>
          </w:tcPr>
          <w:p w14:paraId="10125052"/>
        </w:tc>
        <w:tc>
          <w:tcPr>
            <w:tcW w:w="1212" w:type="dxa"/>
            <w:vMerge w:val="continue"/>
            <w:tcBorders>
              <w:top w:val="single" w:color="auto" w:sz="4" w:space="0"/>
              <w:left w:val="single" w:color="auto" w:sz="4" w:space="0"/>
              <w:bottom w:val="single" w:color="auto" w:sz="4" w:space="0"/>
              <w:right w:val="single" w:color="auto" w:sz="4" w:space="0"/>
              <w:tl2br w:val="single" w:color="auto" w:sz="4" w:space="0"/>
            </w:tcBorders>
            <w:noWrap/>
            <w:vAlign w:val="center"/>
          </w:tcPr>
          <w:p w14:paraId="79D57CBA"/>
        </w:tc>
        <w:tc>
          <w:tcPr>
            <w:tcW w:w="3088" w:type="dxa"/>
            <w:gridSpan w:val="4"/>
            <w:vMerge w:val="continue"/>
            <w:tcBorders>
              <w:top w:val="single" w:color="auto" w:sz="4" w:space="0"/>
              <w:left w:val="single" w:color="auto" w:sz="4" w:space="0"/>
              <w:bottom w:val="single" w:color="auto" w:sz="4" w:space="0"/>
              <w:right w:val="single" w:color="000000" w:sz="4" w:space="0"/>
            </w:tcBorders>
            <w:noWrap/>
            <w:vAlign w:val="center"/>
          </w:tcPr>
          <w:p w14:paraId="1BB3A040"/>
        </w:tc>
        <w:tc>
          <w:tcPr>
            <w:tcW w:w="977" w:type="dxa"/>
            <w:gridSpan w:val="2"/>
            <w:tcBorders>
              <w:top w:val="single" w:color="auto" w:sz="4" w:space="0"/>
              <w:left w:val="single" w:color="000000" w:sz="4" w:space="0"/>
              <w:bottom w:val="single" w:color="auto" w:sz="4" w:space="0"/>
              <w:right w:val="single" w:color="000000" w:sz="4" w:space="0"/>
            </w:tcBorders>
            <w:noWrap/>
            <w:vAlign w:val="center"/>
          </w:tcPr>
          <w:p w14:paraId="2E0388A9">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ascii="仿宋" w:eastAsia="仿宋" w:cs="仿宋"/>
                <w:color w:val="000000"/>
                <w:sz w:val="24"/>
                <w:szCs w:val="24"/>
                <w:lang w:val="en-US" w:eastAsia="zh-TW"/>
              </w:rPr>
              <w:t>作业</w:t>
            </w:r>
            <w:r>
              <w:rPr>
                <w:rFonts w:hint="eastAsia" w:ascii="仿宋" w:eastAsia="仿宋" w:cs="仿宋"/>
                <w:color w:val="000000"/>
                <w:sz w:val="24"/>
                <w:szCs w:val="24"/>
                <w:lang w:val="en-US" w:eastAsia="zh-TW"/>
              </w:rPr>
              <w:t>评分占比（</w:t>
            </w:r>
            <w:r>
              <w:rPr>
                <w:rFonts w:ascii="仿宋" w:eastAsia="仿宋" w:cs="仿宋"/>
                <w:color w:val="000000"/>
                <w:sz w:val="24"/>
                <w:szCs w:val="24"/>
                <w:lang w:val="en-US" w:eastAsia="zh-TW"/>
              </w:rPr>
              <w:t>20</w:t>
            </w:r>
            <w:r>
              <w:rPr>
                <w:rFonts w:hint="eastAsia" w:ascii="仿宋" w:eastAsia="仿宋" w:cs="仿宋"/>
                <w:color w:val="000000"/>
                <w:sz w:val="24"/>
                <w:szCs w:val="24"/>
                <w:lang w:val="en-US" w:eastAsia="zh-TW"/>
              </w:rPr>
              <w:t>%）</w:t>
            </w:r>
          </w:p>
        </w:tc>
        <w:tc>
          <w:tcPr>
            <w:tcW w:w="977" w:type="dxa"/>
            <w:gridSpan w:val="3"/>
            <w:tcBorders>
              <w:top w:val="single" w:color="auto" w:sz="4" w:space="0"/>
              <w:left w:val="single" w:color="000000" w:sz="4" w:space="0"/>
              <w:bottom w:val="single" w:color="auto" w:sz="4" w:space="0"/>
              <w:right w:val="single" w:color="000000" w:sz="4" w:space="0"/>
            </w:tcBorders>
            <w:noWrap/>
            <w:vAlign w:val="center"/>
          </w:tcPr>
          <w:p w14:paraId="3D811D82">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ascii="仿宋" w:eastAsia="仿宋" w:cs="仿宋"/>
                <w:color w:val="000000"/>
                <w:sz w:val="24"/>
                <w:szCs w:val="24"/>
                <w:lang w:val="en-US" w:eastAsia="zh-TW"/>
              </w:rPr>
              <w:t>期中考试评分占比（40%）</w:t>
            </w:r>
          </w:p>
        </w:tc>
        <w:tc>
          <w:tcPr>
            <w:tcW w:w="979" w:type="dxa"/>
            <w:gridSpan w:val="3"/>
            <w:tcBorders>
              <w:top w:val="single" w:color="auto" w:sz="4" w:space="0"/>
              <w:left w:val="single" w:color="000000" w:sz="4" w:space="0"/>
              <w:bottom w:val="single" w:color="auto" w:sz="4" w:space="0"/>
              <w:right w:val="single" w:color="000000" w:sz="4" w:space="0"/>
            </w:tcBorders>
            <w:noWrap/>
            <w:vAlign w:val="center"/>
          </w:tcPr>
          <w:p w14:paraId="0F7F97D3">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ascii="仿宋" w:eastAsia="仿宋" w:cs="仿宋"/>
                <w:color w:val="000000"/>
                <w:sz w:val="24"/>
                <w:szCs w:val="24"/>
                <w:lang w:val="en-US" w:eastAsia="zh-TW"/>
              </w:rPr>
              <w:t>期末成绩评分占比（40%）</w:t>
            </w:r>
          </w:p>
        </w:tc>
        <w:tc>
          <w:tcPr>
            <w:tcW w:w="539" w:type="dxa"/>
            <w:vMerge w:val="continue"/>
            <w:tcBorders>
              <w:top w:val="single" w:color="auto" w:sz="4" w:space="0"/>
              <w:left w:val="single" w:color="000000" w:sz="4" w:space="0"/>
              <w:bottom w:val="single" w:color="auto" w:sz="4" w:space="0"/>
              <w:right w:val="single" w:color="auto" w:sz="4" w:space="0"/>
            </w:tcBorders>
            <w:noWrap/>
            <w:vAlign w:val="center"/>
          </w:tcPr>
          <w:p w14:paraId="2E0DB494">
            <w:pPr>
              <w:jc w:val="center"/>
            </w:pPr>
          </w:p>
        </w:tc>
      </w:tr>
      <w:tr w14:paraId="2A2F0361">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noWrap/>
            <w:vAlign w:val="center"/>
          </w:tcPr>
          <w:p w14:paraId="569FFEDC"/>
        </w:tc>
        <w:tc>
          <w:tcPr>
            <w:tcW w:w="1212" w:type="dxa"/>
            <w:tcBorders>
              <w:top w:val="single" w:color="auto" w:sz="4" w:space="0"/>
              <w:left w:val="single" w:color="auto" w:sz="4" w:space="0"/>
              <w:bottom w:val="single" w:color="auto" w:sz="4" w:space="0"/>
              <w:right w:val="single" w:color="auto" w:sz="4" w:space="0"/>
            </w:tcBorders>
            <w:noWrap/>
            <w:vAlign w:val="center"/>
          </w:tcPr>
          <w:p w14:paraId="0F3CD552">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课程目标</w:t>
            </w:r>
            <w:r>
              <w:rPr>
                <w:rFonts w:ascii="仿宋" w:eastAsia="仿宋" w:cs="仿宋"/>
                <w:color w:val="000000"/>
                <w:sz w:val="24"/>
                <w:szCs w:val="24"/>
                <w:lang w:val="en-US" w:eastAsia="zh-TW"/>
              </w:rPr>
              <w:t>1（40%）</w:t>
            </w:r>
          </w:p>
        </w:tc>
        <w:tc>
          <w:tcPr>
            <w:tcW w:w="3088" w:type="dxa"/>
            <w:gridSpan w:val="4"/>
            <w:tcBorders>
              <w:top w:val="single" w:color="auto" w:sz="4" w:space="0"/>
              <w:left w:val="single" w:color="auto" w:sz="4" w:space="0"/>
              <w:bottom w:val="single" w:color="auto" w:sz="4" w:space="0"/>
              <w:right w:val="single" w:color="000000" w:sz="4" w:space="0"/>
            </w:tcBorders>
            <w:noWrap/>
            <w:vAlign w:val="center"/>
          </w:tcPr>
          <w:p w14:paraId="2371B673">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能够较为扎实掌握</w:t>
            </w:r>
            <w:r>
              <w:rPr>
                <w:rFonts w:ascii="仿宋" w:eastAsia="仿宋" w:cs="仿宋"/>
                <w:color w:val="000000"/>
                <w:sz w:val="24"/>
                <w:szCs w:val="24"/>
                <w:lang w:val="en-US" w:eastAsia="zh-TW"/>
              </w:rPr>
              <w:t>掌握</w:t>
            </w:r>
            <w:r>
              <w:rPr>
                <w:rFonts w:hint="eastAsia" w:ascii="仿宋" w:eastAsia="仿宋" w:cs="仿宋"/>
                <w:color w:val="000000"/>
                <w:sz w:val="24"/>
                <w:szCs w:val="24"/>
                <w:lang w:val="en-US" w:eastAsia="zh-CN"/>
              </w:rPr>
              <w:t>中国民族</w:t>
            </w:r>
            <w:r>
              <w:rPr>
                <w:rFonts w:ascii="仿宋" w:eastAsia="仿宋" w:cs="仿宋"/>
                <w:color w:val="000000"/>
                <w:sz w:val="24"/>
                <w:szCs w:val="24"/>
                <w:lang w:val="en-US" w:eastAsia="zh-TW"/>
              </w:rPr>
              <w:t>音乐形成的背景；清晰掌握</w:t>
            </w:r>
            <w:r>
              <w:rPr>
                <w:rFonts w:hint="eastAsia" w:ascii="仿宋" w:eastAsia="仿宋" w:cs="仿宋"/>
                <w:color w:val="000000"/>
                <w:sz w:val="24"/>
                <w:szCs w:val="24"/>
                <w:lang w:val="en-US" w:eastAsia="zh-CN"/>
              </w:rPr>
              <w:t>各民族</w:t>
            </w:r>
            <w:r>
              <w:rPr>
                <w:rFonts w:ascii="仿宋" w:eastAsia="仿宋" w:cs="仿宋"/>
                <w:color w:val="000000"/>
                <w:sz w:val="24"/>
                <w:szCs w:val="24"/>
                <w:lang w:val="en-US" w:eastAsia="zh-TW"/>
              </w:rPr>
              <w:t>的民歌、歌舞、器乐的代表作</w:t>
            </w:r>
          </w:p>
        </w:tc>
        <w:tc>
          <w:tcPr>
            <w:tcW w:w="977" w:type="dxa"/>
            <w:gridSpan w:val="2"/>
            <w:tcBorders>
              <w:top w:val="single" w:color="auto" w:sz="4" w:space="0"/>
              <w:left w:val="single" w:color="000000" w:sz="4" w:space="0"/>
              <w:bottom w:val="single" w:color="auto" w:sz="4" w:space="0"/>
              <w:right w:val="single" w:color="auto" w:sz="4" w:space="0"/>
            </w:tcBorders>
            <w:noWrap/>
            <w:vAlign w:val="center"/>
          </w:tcPr>
          <w:p w14:paraId="0C05C9F0">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CN"/>
              </w:rPr>
              <w:t>8</w:t>
            </w:r>
          </w:p>
        </w:tc>
        <w:tc>
          <w:tcPr>
            <w:tcW w:w="977" w:type="dxa"/>
            <w:gridSpan w:val="3"/>
            <w:tcBorders>
              <w:top w:val="single" w:color="auto" w:sz="4" w:space="0"/>
              <w:left w:val="single" w:color="000000" w:sz="4" w:space="0"/>
              <w:bottom w:val="single" w:color="auto" w:sz="4" w:space="0"/>
              <w:right w:val="single" w:color="auto" w:sz="4" w:space="0"/>
            </w:tcBorders>
            <w:noWrap/>
            <w:vAlign w:val="center"/>
          </w:tcPr>
          <w:p w14:paraId="209E3943">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CN"/>
              </w:rPr>
              <w:t>16</w:t>
            </w:r>
          </w:p>
        </w:tc>
        <w:tc>
          <w:tcPr>
            <w:tcW w:w="979" w:type="dxa"/>
            <w:gridSpan w:val="3"/>
            <w:tcBorders>
              <w:top w:val="single" w:color="auto" w:sz="4" w:space="0"/>
              <w:left w:val="single" w:color="000000" w:sz="4" w:space="0"/>
              <w:bottom w:val="single" w:color="auto" w:sz="4" w:space="0"/>
              <w:right w:val="single" w:color="auto" w:sz="4" w:space="0"/>
            </w:tcBorders>
            <w:noWrap/>
            <w:vAlign w:val="center"/>
          </w:tcPr>
          <w:p w14:paraId="4849762B">
            <w:pPr>
              <w:pageBreakBefore w:val="0"/>
              <w:widowControl w:val="0"/>
              <w:kinsoku/>
              <w:overflowPunct/>
              <w:topLinePunct w:val="0"/>
              <w:bidi w:val="0"/>
              <w:adjustRightInd w:val="0"/>
              <w:snapToGrid w:val="0"/>
              <w:spacing w:line="240" w:lineRule="auto"/>
              <w:jc w:val="center"/>
              <w:rPr>
                <w:rFonts w:ascii="仿宋" w:eastAsia="仿宋" w:cs="仿宋"/>
                <w:color w:val="000000"/>
                <w:sz w:val="24"/>
                <w:szCs w:val="24"/>
                <w:lang w:val="en-US" w:eastAsia="zh-CN"/>
              </w:rPr>
            </w:pPr>
            <w:r>
              <w:rPr>
                <w:rFonts w:hint="eastAsia" w:ascii="仿宋" w:eastAsia="仿宋" w:cs="仿宋"/>
                <w:color w:val="000000"/>
                <w:sz w:val="24"/>
                <w:szCs w:val="24"/>
                <w:lang w:val="en-US" w:eastAsia="zh-CN"/>
              </w:rPr>
              <w:t>16</w:t>
            </w:r>
          </w:p>
        </w:tc>
        <w:tc>
          <w:tcPr>
            <w:tcW w:w="539" w:type="dxa"/>
            <w:tcBorders>
              <w:top w:val="single" w:color="auto" w:sz="4" w:space="0"/>
              <w:left w:val="single" w:color="auto" w:sz="4" w:space="0"/>
              <w:bottom w:val="single" w:color="auto" w:sz="4" w:space="0"/>
              <w:right w:val="single" w:color="auto" w:sz="4" w:space="0"/>
            </w:tcBorders>
            <w:noWrap/>
            <w:vAlign w:val="center"/>
          </w:tcPr>
          <w:p w14:paraId="21BF4206">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r>
              <w:rPr>
                <w:rFonts w:hint="eastAsia" w:ascii="仿宋" w:eastAsia="仿宋" w:cs="仿宋"/>
                <w:color w:val="000000"/>
                <w:sz w:val="24"/>
                <w:szCs w:val="24"/>
                <w:lang w:val="en-US" w:eastAsia="zh-CN"/>
              </w:rPr>
              <w:t>0.</w:t>
            </w:r>
            <w:r>
              <w:rPr>
                <w:rFonts w:hint="default" w:ascii="仿宋" w:eastAsia="仿宋" w:cs="仿宋"/>
                <w:color w:val="000000"/>
                <w:sz w:val="24"/>
                <w:szCs w:val="24"/>
                <w:lang w:eastAsia="zh-CN"/>
              </w:rPr>
              <w:t>65</w:t>
            </w:r>
          </w:p>
        </w:tc>
      </w:tr>
      <w:tr w14:paraId="6C4F5817">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14:paraId="7818FE11">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tc>
        <w:tc>
          <w:tcPr>
            <w:tcW w:w="1212" w:type="dxa"/>
            <w:tcBorders>
              <w:top w:val="single" w:color="auto" w:sz="4" w:space="0"/>
              <w:left w:val="single" w:color="auto" w:sz="4" w:space="0"/>
              <w:bottom w:val="single" w:color="auto" w:sz="4" w:space="0"/>
              <w:right w:val="single" w:color="auto" w:sz="4" w:space="0"/>
            </w:tcBorders>
            <w:noWrap/>
            <w:vAlign w:val="center"/>
          </w:tcPr>
          <w:p w14:paraId="07958D0E">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ascii="仿宋" w:eastAsia="仿宋" w:cs="仿宋"/>
                <w:color w:val="000000"/>
                <w:sz w:val="24"/>
                <w:szCs w:val="24"/>
                <w:lang w:val="en-US" w:eastAsia="zh-TW"/>
              </w:rPr>
              <w:t>课程目标2（40%）</w:t>
            </w:r>
          </w:p>
        </w:tc>
        <w:tc>
          <w:tcPr>
            <w:tcW w:w="3088" w:type="dxa"/>
            <w:gridSpan w:val="4"/>
            <w:tcBorders>
              <w:top w:val="single" w:color="auto" w:sz="4" w:space="0"/>
              <w:left w:val="single" w:color="auto" w:sz="4" w:space="0"/>
              <w:bottom w:val="single" w:color="auto" w:sz="4" w:space="0"/>
              <w:right w:val="single" w:color="auto" w:sz="4" w:space="0"/>
            </w:tcBorders>
            <w:noWrap/>
            <w:vAlign w:val="center"/>
          </w:tcPr>
          <w:p w14:paraId="2FE73C94">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能够扎实掌握</w:t>
            </w:r>
            <w:r>
              <w:rPr>
                <w:rFonts w:hint="eastAsia" w:ascii="仿宋" w:eastAsia="仿宋" w:cs="仿宋"/>
                <w:color w:val="000000"/>
                <w:sz w:val="24"/>
                <w:szCs w:val="24"/>
                <w:lang w:val="en-US" w:eastAsia="zh-CN"/>
              </w:rPr>
              <w:t>中</w:t>
            </w:r>
            <w:r>
              <w:rPr>
                <w:rFonts w:ascii="仿宋" w:eastAsia="仿宋" w:cs="仿宋"/>
                <w:color w:val="000000"/>
                <w:sz w:val="24"/>
                <w:szCs w:val="24"/>
                <w:lang w:val="en-US" w:eastAsia="zh-TW"/>
              </w:rPr>
              <w:t>国民族音乐</w:t>
            </w:r>
            <w:r>
              <w:rPr>
                <w:rFonts w:hint="eastAsia" w:ascii="仿宋" w:eastAsia="仿宋" w:cs="仿宋"/>
                <w:color w:val="000000"/>
                <w:sz w:val="24"/>
                <w:szCs w:val="24"/>
                <w:lang w:val="en-US" w:eastAsia="zh-TW"/>
              </w:rPr>
              <w:t>课堂教学方法与教学规律</w:t>
            </w:r>
            <w:r>
              <w:rPr>
                <w:rFonts w:ascii="仿宋" w:eastAsia="仿宋" w:cs="仿宋"/>
                <w:color w:val="000000"/>
                <w:sz w:val="24"/>
                <w:szCs w:val="24"/>
                <w:lang w:val="en-US" w:eastAsia="zh-TW"/>
              </w:rPr>
              <w:t>；具备能熟练表现</w:t>
            </w:r>
            <w:r>
              <w:rPr>
                <w:rFonts w:hint="eastAsia" w:ascii="仿宋" w:eastAsia="仿宋" w:cs="仿宋"/>
                <w:color w:val="000000"/>
                <w:sz w:val="24"/>
                <w:szCs w:val="24"/>
                <w:lang w:val="en-US" w:eastAsia="zh-CN"/>
              </w:rPr>
              <w:t>中</w:t>
            </w:r>
            <w:r>
              <w:rPr>
                <w:rFonts w:ascii="仿宋" w:eastAsia="仿宋" w:cs="仿宋"/>
                <w:color w:val="000000"/>
                <w:sz w:val="24"/>
                <w:szCs w:val="24"/>
                <w:lang w:val="en-US" w:eastAsia="zh-TW"/>
              </w:rPr>
              <w:t>国民族民间音乐作品风格的能力</w:t>
            </w:r>
          </w:p>
        </w:tc>
        <w:tc>
          <w:tcPr>
            <w:tcW w:w="977" w:type="dxa"/>
            <w:gridSpan w:val="2"/>
            <w:tcBorders>
              <w:top w:val="single" w:color="auto" w:sz="4" w:space="0"/>
              <w:left w:val="single" w:color="auto" w:sz="4" w:space="0"/>
              <w:bottom w:val="single" w:color="auto" w:sz="4" w:space="0"/>
              <w:right w:val="single" w:color="auto" w:sz="4" w:space="0"/>
            </w:tcBorders>
            <w:noWrap/>
            <w:vAlign w:val="center"/>
          </w:tcPr>
          <w:p w14:paraId="096A8A7E">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CN"/>
              </w:rPr>
              <w:t>8</w:t>
            </w:r>
          </w:p>
        </w:tc>
        <w:tc>
          <w:tcPr>
            <w:tcW w:w="977" w:type="dxa"/>
            <w:gridSpan w:val="3"/>
            <w:tcBorders>
              <w:top w:val="single" w:color="auto" w:sz="4" w:space="0"/>
              <w:left w:val="single" w:color="auto" w:sz="4" w:space="0"/>
              <w:bottom w:val="single" w:color="auto" w:sz="4" w:space="0"/>
              <w:right w:val="single" w:color="auto" w:sz="4" w:space="0"/>
            </w:tcBorders>
            <w:noWrap/>
            <w:vAlign w:val="center"/>
          </w:tcPr>
          <w:p w14:paraId="3C1E871F">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ascii="仿宋" w:eastAsia="仿宋" w:cs="仿宋"/>
                <w:color w:val="000000"/>
                <w:sz w:val="24"/>
                <w:szCs w:val="24"/>
                <w:lang w:val="en-US" w:eastAsia="zh-TW"/>
              </w:rPr>
              <w:t>1</w:t>
            </w:r>
            <w:r>
              <w:rPr>
                <w:rFonts w:hint="eastAsia" w:ascii="仿宋" w:eastAsia="仿宋" w:cs="仿宋"/>
                <w:color w:val="000000"/>
                <w:sz w:val="24"/>
                <w:szCs w:val="24"/>
                <w:lang w:val="en-US" w:eastAsia="zh-CN"/>
              </w:rPr>
              <w:t>6</w:t>
            </w:r>
          </w:p>
        </w:tc>
        <w:tc>
          <w:tcPr>
            <w:tcW w:w="979" w:type="dxa"/>
            <w:gridSpan w:val="3"/>
            <w:tcBorders>
              <w:top w:val="single" w:color="auto" w:sz="4" w:space="0"/>
              <w:left w:val="single" w:color="auto" w:sz="4" w:space="0"/>
              <w:bottom w:val="single" w:color="auto" w:sz="4" w:space="0"/>
              <w:right w:val="single" w:color="auto" w:sz="4" w:space="0"/>
            </w:tcBorders>
            <w:noWrap/>
            <w:vAlign w:val="center"/>
          </w:tcPr>
          <w:p w14:paraId="1988C8CA">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CN"/>
              </w:rPr>
            </w:pPr>
            <w:r>
              <w:rPr>
                <w:rFonts w:ascii="仿宋" w:eastAsia="仿宋" w:cs="仿宋"/>
                <w:color w:val="000000"/>
                <w:sz w:val="24"/>
                <w:szCs w:val="24"/>
                <w:lang w:val="en-US" w:eastAsia="zh-TW"/>
              </w:rPr>
              <w:t>1</w:t>
            </w:r>
            <w:r>
              <w:rPr>
                <w:rFonts w:hint="eastAsia" w:ascii="仿宋" w:eastAsia="仿宋" w:cs="仿宋"/>
                <w:color w:val="000000"/>
                <w:sz w:val="24"/>
                <w:szCs w:val="24"/>
                <w:lang w:val="en-US" w:eastAsia="zh-CN"/>
              </w:rPr>
              <w:t>6</w:t>
            </w:r>
          </w:p>
        </w:tc>
        <w:tc>
          <w:tcPr>
            <w:tcW w:w="539" w:type="dxa"/>
            <w:tcBorders>
              <w:top w:val="single" w:color="auto" w:sz="4" w:space="0"/>
              <w:left w:val="single" w:color="auto" w:sz="4" w:space="0"/>
              <w:bottom w:val="single" w:color="auto" w:sz="4" w:space="0"/>
              <w:right w:val="single" w:color="auto" w:sz="4" w:space="0"/>
            </w:tcBorders>
            <w:noWrap/>
            <w:vAlign w:val="center"/>
          </w:tcPr>
          <w:p w14:paraId="3446AF16">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r>
              <w:rPr>
                <w:rFonts w:hint="eastAsia" w:ascii="仿宋" w:eastAsia="仿宋" w:cs="仿宋"/>
                <w:color w:val="000000"/>
                <w:sz w:val="24"/>
                <w:szCs w:val="24"/>
                <w:lang w:val="en-US" w:eastAsia="zh-CN"/>
              </w:rPr>
              <w:t>0.</w:t>
            </w:r>
            <w:r>
              <w:rPr>
                <w:rFonts w:hint="default" w:ascii="仿宋" w:eastAsia="仿宋" w:cs="仿宋"/>
                <w:color w:val="000000"/>
                <w:sz w:val="24"/>
                <w:szCs w:val="24"/>
                <w:lang w:eastAsia="zh-CN"/>
              </w:rPr>
              <w:t>65</w:t>
            </w:r>
          </w:p>
        </w:tc>
      </w:tr>
      <w:tr w14:paraId="5B30D430">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14:paraId="427E8D2B">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tc>
        <w:tc>
          <w:tcPr>
            <w:tcW w:w="1212" w:type="dxa"/>
            <w:tcBorders>
              <w:top w:val="single" w:color="auto" w:sz="4" w:space="0"/>
              <w:left w:val="single" w:color="auto" w:sz="4" w:space="0"/>
              <w:bottom w:val="single" w:color="auto" w:sz="4" w:space="0"/>
              <w:right w:val="single" w:color="auto" w:sz="4" w:space="0"/>
            </w:tcBorders>
            <w:noWrap/>
            <w:vAlign w:val="center"/>
          </w:tcPr>
          <w:p w14:paraId="06255AB1">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ascii="仿宋" w:eastAsia="仿宋" w:cs="仿宋"/>
                <w:color w:val="000000"/>
                <w:sz w:val="24"/>
                <w:szCs w:val="24"/>
                <w:lang w:val="en-US" w:eastAsia="zh-TW"/>
              </w:rPr>
              <w:t>课程目标3（20%）</w:t>
            </w:r>
          </w:p>
        </w:tc>
        <w:tc>
          <w:tcPr>
            <w:tcW w:w="3088" w:type="dxa"/>
            <w:gridSpan w:val="4"/>
            <w:tcBorders>
              <w:top w:val="single" w:color="auto" w:sz="4" w:space="0"/>
              <w:left w:val="single" w:color="auto" w:sz="4" w:space="0"/>
              <w:bottom w:val="single" w:color="auto" w:sz="4" w:space="0"/>
              <w:right w:val="single" w:color="auto" w:sz="4" w:space="0"/>
            </w:tcBorders>
            <w:noWrap/>
            <w:vAlign w:val="center"/>
          </w:tcPr>
          <w:p w14:paraId="3E79861C">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具备</w:t>
            </w:r>
            <w:r>
              <w:rPr>
                <w:rFonts w:hint="eastAsia" w:ascii="仿宋" w:eastAsia="仿宋" w:cs="仿宋"/>
                <w:color w:val="000000"/>
                <w:sz w:val="24"/>
                <w:szCs w:val="24"/>
                <w:lang w:val="en-US" w:eastAsia="zh-CN"/>
              </w:rPr>
              <w:t>中</w:t>
            </w:r>
            <w:r>
              <w:rPr>
                <w:rFonts w:ascii="仿宋" w:eastAsia="仿宋" w:cs="仿宋"/>
                <w:color w:val="000000"/>
                <w:sz w:val="24"/>
                <w:szCs w:val="24"/>
                <w:lang w:val="en-US" w:eastAsia="zh-TW"/>
              </w:rPr>
              <w:t>国民族音乐的</w:t>
            </w:r>
            <w:r>
              <w:rPr>
                <w:rFonts w:hint="eastAsia" w:ascii="仿宋" w:eastAsia="仿宋" w:cs="仿宋"/>
                <w:color w:val="000000"/>
                <w:sz w:val="24"/>
                <w:szCs w:val="24"/>
                <w:lang w:val="en-US"/>
              </w:rPr>
              <w:t>审美能力</w:t>
            </w:r>
            <w:r>
              <w:rPr>
                <w:rFonts w:ascii="仿宋" w:eastAsia="仿宋" w:cs="仿宋"/>
                <w:color w:val="000000"/>
                <w:sz w:val="24"/>
                <w:szCs w:val="24"/>
                <w:lang w:val="en-US" w:eastAsia="zh-TW"/>
              </w:rPr>
              <w:t>，</w:t>
            </w:r>
            <w:r>
              <w:rPr>
                <w:rFonts w:hint="eastAsia" w:ascii="仿宋" w:eastAsia="仿宋" w:cs="仿宋"/>
                <w:color w:val="000000"/>
                <w:sz w:val="24"/>
                <w:szCs w:val="24"/>
                <w:lang w:val="en-US" w:eastAsia="zh-TW"/>
              </w:rPr>
              <w:t>充分领会</w:t>
            </w:r>
            <w:r>
              <w:rPr>
                <w:rFonts w:hint="eastAsia" w:ascii="仿宋" w:eastAsia="仿宋" w:cs="仿宋"/>
                <w:color w:val="000000"/>
                <w:sz w:val="24"/>
                <w:szCs w:val="24"/>
                <w:lang w:val="en-US" w:eastAsia="zh-CN"/>
              </w:rPr>
              <w:t>中</w:t>
            </w:r>
            <w:r>
              <w:rPr>
                <w:rFonts w:ascii="仿宋" w:eastAsia="仿宋" w:cs="仿宋"/>
                <w:color w:val="000000"/>
                <w:sz w:val="24"/>
                <w:szCs w:val="24"/>
                <w:lang w:val="en-US" w:eastAsia="zh-TW"/>
              </w:rPr>
              <w:t>国民族音乐</w:t>
            </w:r>
            <w:r>
              <w:rPr>
                <w:rFonts w:hint="eastAsia" w:ascii="仿宋" w:eastAsia="仿宋" w:cs="仿宋"/>
                <w:color w:val="000000"/>
                <w:sz w:val="24"/>
                <w:szCs w:val="24"/>
                <w:lang w:val="en-US" w:eastAsia="zh-TW"/>
              </w:rPr>
              <w:t>的意义</w:t>
            </w:r>
            <w:r>
              <w:rPr>
                <w:rFonts w:hint="eastAsia" w:ascii="仿宋" w:eastAsia="仿宋" w:cs="仿宋"/>
                <w:color w:val="000000"/>
                <w:sz w:val="24"/>
                <w:szCs w:val="24"/>
                <w:lang w:val="en-US"/>
              </w:rPr>
              <w:t>以及育人价值</w:t>
            </w:r>
            <w:r>
              <w:rPr>
                <w:rFonts w:ascii="仿宋" w:eastAsia="仿宋" w:cs="仿宋"/>
                <w:color w:val="000000"/>
                <w:sz w:val="24"/>
                <w:szCs w:val="24"/>
                <w:lang w:val="en-US" w:eastAsia="zh-TW"/>
              </w:rPr>
              <w:t>。</w:t>
            </w:r>
          </w:p>
        </w:tc>
        <w:tc>
          <w:tcPr>
            <w:tcW w:w="977" w:type="dxa"/>
            <w:gridSpan w:val="2"/>
            <w:tcBorders>
              <w:top w:val="single" w:color="auto" w:sz="4" w:space="0"/>
              <w:left w:val="single" w:color="auto" w:sz="4" w:space="0"/>
              <w:bottom w:val="single" w:color="auto" w:sz="4" w:space="0"/>
              <w:right w:val="single" w:color="auto" w:sz="4" w:space="0"/>
            </w:tcBorders>
            <w:noWrap/>
            <w:vAlign w:val="center"/>
          </w:tcPr>
          <w:p w14:paraId="5EE71CE7">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CN"/>
              </w:rPr>
              <w:t>4</w:t>
            </w:r>
          </w:p>
        </w:tc>
        <w:tc>
          <w:tcPr>
            <w:tcW w:w="977" w:type="dxa"/>
            <w:gridSpan w:val="3"/>
            <w:tcBorders>
              <w:top w:val="single" w:color="auto" w:sz="4" w:space="0"/>
              <w:left w:val="single" w:color="auto" w:sz="4" w:space="0"/>
              <w:bottom w:val="single" w:color="auto" w:sz="4" w:space="0"/>
              <w:right w:val="single" w:color="auto" w:sz="4" w:space="0"/>
            </w:tcBorders>
            <w:noWrap/>
            <w:vAlign w:val="center"/>
          </w:tcPr>
          <w:p w14:paraId="22BB881A">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CN"/>
              </w:rPr>
              <w:t>8</w:t>
            </w:r>
          </w:p>
        </w:tc>
        <w:tc>
          <w:tcPr>
            <w:tcW w:w="979" w:type="dxa"/>
            <w:gridSpan w:val="3"/>
            <w:tcBorders>
              <w:top w:val="single" w:color="auto" w:sz="4" w:space="0"/>
              <w:left w:val="single" w:color="auto" w:sz="4" w:space="0"/>
              <w:bottom w:val="single" w:color="auto" w:sz="4" w:space="0"/>
              <w:right w:val="single" w:color="auto" w:sz="4" w:space="0"/>
            </w:tcBorders>
            <w:noWrap/>
            <w:vAlign w:val="center"/>
          </w:tcPr>
          <w:p w14:paraId="34D701AF">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CN"/>
              </w:rPr>
              <w:t>8</w:t>
            </w:r>
          </w:p>
        </w:tc>
        <w:tc>
          <w:tcPr>
            <w:tcW w:w="539" w:type="dxa"/>
            <w:tcBorders>
              <w:top w:val="single" w:color="auto" w:sz="4" w:space="0"/>
              <w:left w:val="single" w:color="auto" w:sz="4" w:space="0"/>
              <w:bottom w:val="single" w:color="auto" w:sz="4" w:space="0"/>
              <w:right w:val="single" w:color="auto" w:sz="4" w:space="0"/>
            </w:tcBorders>
            <w:noWrap/>
            <w:vAlign w:val="center"/>
          </w:tcPr>
          <w:p w14:paraId="10692731">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r>
              <w:rPr>
                <w:rFonts w:hint="eastAsia" w:ascii="仿宋" w:eastAsia="仿宋" w:cs="仿宋"/>
                <w:color w:val="000000"/>
                <w:sz w:val="24"/>
                <w:szCs w:val="24"/>
                <w:lang w:val="en-US" w:eastAsia="zh-CN"/>
              </w:rPr>
              <w:t>0.</w:t>
            </w:r>
            <w:r>
              <w:rPr>
                <w:rFonts w:hint="default" w:ascii="仿宋" w:eastAsia="仿宋" w:cs="仿宋"/>
                <w:color w:val="000000"/>
                <w:sz w:val="24"/>
                <w:szCs w:val="24"/>
                <w:lang w:eastAsia="zh-CN"/>
              </w:rPr>
              <w:t>65</w:t>
            </w:r>
          </w:p>
        </w:tc>
      </w:tr>
      <w:tr w14:paraId="585B90E8">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14:paraId="5A7888D5">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tc>
        <w:tc>
          <w:tcPr>
            <w:tcW w:w="4300" w:type="dxa"/>
            <w:gridSpan w:val="5"/>
            <w:tcBorders>
              <w:top w:val="single" w:color="auto" w:sz="4" w:space="0"/>
              <w:left w:val="single" w:color="auto" w:sz="4" w:space="0"/>
              <w:bottom w:val="single" w:color="auto" w:sz="4" w:space="0"/>
              <w:right w:val="single" w:color="auto" w:sz="4" w:space="0"/>
            </w:tcBorders>
            <w:noWrap/>
            <w:vAlign w:val="center"/>
          </w:tcPr>
          <w:p w14:paraId="736BAF06">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ascii="仿宋" w:eastAsia="仿宋" w:cs="仿宋"/>
                <w:color w:val="000000"/>
                <w:sz w:val="24"/>
                <w:szCs w:val="24"/>
                <w:lang w:val="en-US" w:eastAsia="zh-TW"/>
              </w:rPr>
              <w:t>总分</w:t>
            </w:r>
          </w:p>
        </w:tc>
        <w:tc>
          <w:tcPr>
            <w:tcW w:w="977" w:type="dxa"/>
            <w:gridSpan w:val="2"/>
            <w:tcBorders>
              <w:top w:val="single" w:color="auto" w:sz="4" w:space="0"/>
              <w:left w:val="single" w:color="auto" w:sz="4" w:space="0"/>
              <w:bottom w:val="single" w:color="auto" w:sz="4" w:space="0"/>
              <w:right w:val="single" w:color="auto" w:sz="4" w:space="0"/>
            </w:tcBorders>
            <w:noWrap/>
            <w:vAlign w:val="center"/>
          </w:tcPr>
          <w:p w14:paraId="6EB76ADD">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ascii="仿宋" w:eastAsia="仿宋" w:cs="仿宋"/>
                <w:color w:val="000000"/>
                <w:sz w:val="24"/>
                <w:szCs w:val="24"/>
                <w:lang w:val="en-US" w:eastAsia="zh-TW"/>
              </w:rPr>
              <w:t>20</w:t>
            </w:r>
          </w:p>
        </w:tc>
        <w:tc>
          <w:tcPr>
            <w:tcW w:w="977" w:type="dxa"/>
            <w:gridSpan w:val="3"/>
            <w:tcBorders>
              <w:top w:val="single" w:color="auto" w:sz="4" w:space="0"/>
              <w:left w:val="single" w:color="auto" w:sz="4" w:space="0"/>
              <w:bottom w:val="single" w:color="auto" w:sz="4" w:space="0"/>
              <w:right w:val="single" w:color="auto" w:sz="4" w:space="0"/>
            </w:tcBorders>
            <w:noWrap/>
            <w:vAlign w:val="center"/>
          </w:tcPr>
          <w:p w14:paraId="5C1C9F2B">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ascii="仿宋" w:eastAsia="仿宋" w:cs="仿宋"/>
                <w:color w:val="000000"/>
                <w:sz w:val="24"/>
                <w:szCs w:val="24"/>
                <w:lang w:val="en-US" w:eastAsia="zh-TW"/>
              </w:rPr>
              <w:t>40</w:t>
            </w:r>
          </w:p>
        </w:tc>
        <w:tc>
          <w:tcPr>
            <w:tcW w:w="978" w:type="dxa"/>
            <w:gridSpan w:val="2"/>
            <w:tcBorders>
              <w:top w:val="single" w:color="auto" w:sz="4" w:space="0"/>
              <w:left w:val="single" w:color="auto" w:sz="4" w:space="0"/>
              <w:bottom w:val="single" w:color="auto" w:sz="4" w:space="0"/>
              <w:right w:val="single" w:color="auto" w:sz="4" w:space="0"/>
            </w:tcBorders>
            <w:noWrap/>
            <w:vAlign w:val="center"/>
          </w:tcPr>
          <w:p w14:paraId="2E3450A2">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ascii="仿宋" w:eastAsia="仿宋" w:cs="仿宋"/>
                <w:color w:val="000000"/>
                <w:sz w:val="24"/>
                <w:szCs w:val="24"/>
                <w:lang w:val="en-US" w:eastAsia="zh-TW"/>
              </w:rPr>
              <w:t>40</w:t>
            </w:r>
          </w:p>
        </w:tc>
        <w:tc>
          <w:tcPr>
            <w:tcW w:w="540" w:type="dxa"/>
            <w:gridSpan w:val="2"/>
            <w:tcBorders>
              <w:top w:val="single" w:color="auto" w:sz="4" w:space="0"/>
              <w:left w:val="single" w:color="auto" w:sz="4" w:space="0"/>
              <w:bottom w:val="single" w:color="auto" w:sz="4" w:space="0"/>
              <w:right w:val="single" w:color="auto" w:sz="4" w:space="0"/>
            </w:tcBorders>
            <w:noWrap/>
            <w:vAlign w:val="center"/>
          </w:tcPr>
          <w:p w14:paraId="62C9E983">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r>
              <w:rPr>
                <w:rFonts w:hint="eastAsia" w:ascii="仿宋" w:eastAsia="仿宋" w:cs="仿宋"/>
                <w:color w:val="000000"/>
                <w:sz w:val="24"/>
                <w:szCs w:val="24"/>
                <w:lang w:val="en-US" w:eastAsia="zh-CN"/>
              </w:rPr>
              <w:t>0.</w:t>
            </w:r>
            <w:r>
              <w:rPr>
                <w:rFonts w:hint="default" w:ascii="仿宋" w:eastAsia="仿宋" w:cs="仿宋"/>
                <w:color w:val="000000"/>
                <w:sz w:val="24"/>
                <w:szCs w:val="24"/>
                <w:lang w:eastAsia="zh-CN"/>
              </w:rPr>
              <w:t>65</w:t>
            </w:r>
          </w:p>
        </w:tc>
      </w:tr>
      <w:tr w14:paraId="0E6DB995">
        <w:trPr>
          <w:trHeight w:val="2025" w:hRule="atLeast"/>
        </w:trPr>
        <w:tc>
          <w:tcPr>
            <w:tcW w:w="1376" w:type="dxa"/>
            <w:tcBorders>
              <w:top w:val="single" w:color="auto" w:sz="4" w:space="0"/>
              <w:left w:val="single" w:color="auto" w:sz="4" w:space="0"/>
              <w:bottom w:val="single" w:color="auto" w:sz="4" w:space="0"/>
              <w:right w:val="single" w:color="auto" w:sz="4" w:space="0"/>
            </w:tcBorders>
            <w:noWrap/>
            <w:vAlign w:val="center"/>
          </w:tcPr>
          <w:p w14:paraId="6BC9BA75">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L</w:t>
            </w:r>
          </w:p>
          <w:p w14:paraId="6BF64998">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学习建议</w:t>
            </w:r>
          </w:p>
        </w:tc>
        <w:tc>
          <w:tcPr>
            <w:tcW w:w="7772" w:type="dxa"/>
            <w:gridSpan w:val="14"/>
            <w:tcBorders>
              <w:top w:val="single" w:color="auto" w:sz="4" w:space="0"/>
              <w:left w:val="single" w:color="auto" w:sz="4" w:space="0"/>
              <w:bottom w:val="single" w:color="auto" w:sz="4" w:space="0"/>
              <w:right w:val="single" w:color="auto" w:sz="4" w:space="0"/>
            </w:tcBorders>
            <w:noWrap/>
            <w:vAlign w:val="center"/>
          </w:tcPr>
          <w:p w14:paraId="2BB59199">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1.自主学习。建议学生通过预习教材，并通过网络、图书馆自主查阅课程中涉及</w:t>
            </w:r>
            <w:r>
              <w:rPr>
                <w:rFonts w:ascii="仿宋" w:eastAsia="仿宋" w:cs="仿宋"/>
                <w:color w:val="000000"/>
                <w:sz w:val="24"/>
                <w:szCs w:val="24"/>
                <w:lang w:val="en-US" w:eastAsia="zh-TW"/>
              </w:rPr>
              <w:t>的</w:t>
            </w:r>
            <w:r>
              <w:rPr>
                <w:rFonts w:hint="eastAsia" w:ascii="仿宋" w:eastAsia="仿宋" w:cs="仿宋"/>
                <w:color w:val="000000"/>
                <w:sz w:val="24"/>
                <w:szCs w:val="24"/>
                <w:lang w:val="en-US" w:eastAsia="zh-TW"/>
              </w:rPr>
              <w:t>学习资源，独立规划自己的课程学习计划，充分发挥自身的学习能动性。</w:t>
            </w:r>
          </w:p>
          <w:p w14:paraId="2272C329">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2.研究性学习。鼓励学生针对课程教学内容，尝试理论课结合专题报告的教学方式，开展相关的</w:t>
            </w:r>
            <w:r>
              <w:rPr>
                <w:rFonts w:ascii="仿宋" w:eastAsia="仿宋" w:cs="仿宋"/>
                <w:color w:val="000000"/>
                <w:sz w:val="24"/>
                <w:szCs w:val="24"/>
                <w:lang w:val="en-US" w:eastAsia="zh-TW"/>
              </w:rPr>
              <w:t>中</w:t>
            </w:r>
            <w:r>
              <w:rPr>
                <w:rFonts w:hint="eastAsia" w:ascii="仿宋" w:eastAsia="仿宋" w:cs="仿宋"/>
                <w:color w:val="000000"/>
                <w:sz w:val="24"/>
                <w:szCs w:val="24"/>
                <w:lang w:val="en-US" w:eastAsia="zh-CN"/>
              </w:rPr>
              <w:t>国民族音乐文化</w:t>
            </w:r>
            <w:r>
              <w:rPr>
                <w:rFonts w:hint="eastAsia" w:ascii="仿宋" w:eastAsia="仿宋" w:cs="仿宋"/>
                <w:color w:val="000000"/>
                <w:sz w:val="24"/>
                <w:szCs w:val="24"/>
                <w:lang w:val="en-US" w:eastAsia="zh-TW"/>
              </w:rPr>
              <w:t>进展和专题讲座，提高学生的学习兴趣，了解最新</w:t>
            </w:r>
            <w:r>
              <w:rPr>
                <w:rFonts w:ascii="仿宋" w:eastAsia="仿宋" w:cs="仿宋"/>
                <w:color w:val="000000"/>
                <w:sz w:val="24"/>
                <w:szCs w:val="24"/>
                <w:lang w:val="en-US" w:eastAsia="zh-TW"/>
              </w:rPr>
              <w:t>中</w:t>
            </w:r>
            <w:r>
              <w:rPr>
                <w:rFonts w:hint="eastAsia" w:ascii="仿宋" w:eastAsia="仿宋" w:cs="仿宋"/>
                <w:color w:val="000000"/>
                <w:sz w:val="24"/>
                <w:szCs w:val="24"/>
                <w:lang w:val="en-US" w:eastAsia="zh-CN"/>
              </w:rPr>
              <w:t>国民族音乐文化</w:t>
            </w:r>
            <w:r>
              <w:rPr>
                <w:rFonts w:hint="eastAsia" w:ascii="仿宋" w:eastAsia="仿宋" w:cs="仿宋"/>
                <w:color w:val="000000"/>
                <w:sz w:val="24"/>
                <w:szCs w:val="24"/>
                <w:lang w:val="en-US" w:eastAsia="zh-TW"/>
              </w:rPr>
              <w:t>知识，开阔学生的视野。</w:t>
            </w:r>
          </w:p>
        </w:tc>
      </w:tr>
      <w:tr w14:paraId="5B1CB5CD">
        <w:trPr>
          <w:trHeight w:val="1218" w:hRule="atLeast"/>
        </w:trPr>
        <w:tc>
          <w:tcPr>
            <w:tcW w:w="1376" w:type="dxa"/>
            <w:tcBorders>
              <w:top w:val="single" w:color="auto" w:sz="4" w:space="0"/>
              <w:left w:val="single" w:color="auto" w:sz="4" w:space="0"/>
              <w:bottom w:val="single" w:color="auto" w:sz="4" w:space="0"/>
              <w:right w:val="single" w:color="auto" w:sz="4" w:space="0"/>
            </w:tcBorders>
            <w:noWrap/>
            <w:vAlign w:val="center"/>
          </w:tcPr>
          <w:p w14:paraId="629CB3A7">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M</w:t>
            </w:r>
          </w:p>
          <w:p w14:paraId="7F7FED48">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评分量表</w:t>
            </w:r>
          </w:p>
        </w:tc>
        <w:tc>
          <w:tcPr>
            <w:tcW w:w="7772" w:type="dxa"/>
            <w:gridSpan w:val="14"/>
            <w:tcBorders>
              <w:top w:val="single" w:color="auto" w:sz="4" w:space="0"/>
              <w:left w:val="single" w:color="auto" w:sz="4" w:space="0"/>
              <w:bottom w:val="single" w:color="auto" w:sz="4" w:space="0"/>
              <w:right w:val="single" w:color="auto" w:sz="4" w:space="0"/>
            </w:tcBorders>
            <w:noWrap/>
            <w:vAlign w:val="center"/>
          </w:tcPr>
          <w:p w14:paraId="0F4ECEC6">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default" w:ascii="仿宋" w:eastAsia="仿宋" w:cs="仿宋"/>
                <w:kern w:val="0"/>
                <w:sz w:val="24"/>
                <w:szCs w:val="24"/>
                <w:lang w:bidi="ar-SA"/>
              </w:rPr>
              <w:t>《</w:t>
            </w:r>
            <w:r>
              <w:rPr>
                <w:rFonts w:hint="eastAsia" w:ascii="仿宋" w:eastAsia="仿宋" w:cs="仿宋"/>
                <w:kern w:val="0"/>
                <w:sz w:val="24"/>
                <w:szCs w:val="24"/>
                <w:lang w:val="en-US" w:eastAsia="zh-CN" w:bidi="ar-SA"/>
              </w:rPr>
              <w:t>中国民族音乐</w:t>
            </w:r>
            <w:r>
              <w:rPr>
                <w:rFonts w:hint="default" w:ascii="仿宋" w:eastAsia="仿宋" w:cs="仿宋"/>
                <w:kern w:val="0"/>
                <w:sz w:val="24"/>
                <w:szCs w:val="24"/>
                <w:lang w:eastAsia="zh-Hans" w:bidi="ar-SA"/>
              </w:rPr>
              <w:t>》</w:t>
            </w:r>
            <w:r>
              <w:rPr>
                <w:rFonts w:hint="eastAsia" w:ascii="仿宋" w:eastAsia="仿宋" w:cs="仿宋"/>
                <w:kern w:val="0"/>
                <w:sz w:val="24"/>
                <w:szCs w:val="24"/>
                <w:lang w:bidi="ar-SA"/>
              </w:rPr>
              <w:t>课程目标评分量表见附表。</w:t>
            </w:r>
          </w:p>
        </w:tc>
      </w:tr>
      <w:tr w14:paraId="23C27818">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14:paraId="45B3C8B8">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备注</w:t>
            </w:r>
          </w:p>
        </w:tc>
        <w:tc>
          <w:tcPr>
            <w:tcW w:w="7772" w:type="dxa"/>
            <w:gridSpan w:val="14"/>
            <w:tcBorders>
              <w:top w:val="single" w:color="auto" w:sz="4" w:space="0"/>
              <w:left w:val="single" w:color="auto" w:sz="4" w:space="0"/>
              <w:bottom w:val="single" w:color="auto" w:sz="4" w:space="0"/>
              <w:right w:val="single" w:color="auto" w:sz="4" w:space="0"/>
            </w:tcBorders>
            <w:noWrap/>
            <w:vAlign w:val="center"/>
          </w:tcPr>
          <w:p w14:paraId="35E52FEB">
            <w:pPr>
              <w:pageBreakBefore w:val="0"/>
              <w:widowControl w:val="0"/>
              <w:kinsoku/>
              <w:overflowPunct/>
              <w:topLinePunct w:val="0"/>
              <w:bidi w:val="0"/>
              <w:adjustRightInd w:val="0"/>
              <w:snapToGrid w:val="0"/>
              <w:spacing w:line="240" w:lineRule="auto"/>
              <w:rPr>
                <w:rFonts w:hint="eastAsia" w:ascii="仿宋" w:eastAsia="仿宋" w:cs="仿宋"/>
                <w:color w:val="000000"/>
                <w:kern w:val="0"/>
                <w:sz w:val="24"/>
                <w:szCs w:val="24"/>
              </w:rPr>
            </w:pPr>
          </w:p>
        </w:tc>
      </w:tr>
      <w:tr w14:paraId="08390F9E">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14:paraId="4366B056">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审批</w:t>
            </w:r>
          </w:p>
          <w:p w14:paraId="3B2197EA">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意见</w:t>
            </w:r>
          </w:p>
        </w:tc>
        <w:tc>
          <w:tcPr>
            <w:tcW w:w="4300" w:type="dxa"/>
            <w:gridSpan w:val="5"/>
            <w:tcBorders>
              <w:top w:val="single" w:color="auto" w:sz="4" w:space="0"/>
              <w:left w:val="single" w:color="auto" w:sz="4" w:space="0"/>
              <w:bottom w:val="single" w:color="auto" w:sz="4" w:space="0"/>
              <w:right w:val="single" w:color="auto" w:sz="4" w:space="0"/>
            </w:tcBorders>
            <w:noWrap/>
            <w:vAlign w:val="center"/>
          </w:tcPr>
          <w:p w14:paraId="443AD3DB">
            <w:pPr>
              <w:pageBreakBefore w:val="0"/>
              <w:widowControl/>
              <w:kinsoku/>
              <w:overflowPunct/>
              <w:topLinePunct w:val="0"/>
              <w:bidi w:val="0"/>
              <w:adjustRightInd w:val="0"/>
              <w:snapToGrid w:val="0"/>
              <w:spacing w:line="240" w:lineRule="auto"/>
              <w:jc w:val="left"/>
              <w:rPr>
                <w:rFonts w:hint="eastAsia" w:ascii="仿宋" w:eastAsia="仿宋" w:cs="仿宋"/>
                <w:kern w:val="0"/>
                <w:sz w:val="24"/>
                <w:szCs w:val="24"/>
              </w:rPr>
            </w:pPr>
            <w:r>
              <w:rPr>
                <w:rFonts w:hint="default" w:ascii="仿宋" w:eastAsia="仿宋" w:cs="仿宋"/>
                <w:kern w:val="0"/>
                <w:sz w:val="24"/>
                <w:szCs w:val="24"/>
              </w:rPr>
              <w:drawing>
                <wp:anchor distT="0" distB="0" distL="114300" distR="114300" simplePos="0" relativeHeight="251660288" behindDoc="0" locked="0" layoutInCell="1" allowOverlap="1">
                  <wp:simplePos x="0" y="0"/>
                  <wp:positionH relativeFrom="column">
                    <wp:posOffset>590550</wp:posOffset>
                  </wp:positionH>
                  <wp:positionV relativeFrom="paragraph">
                    <wp:posOffset>271780</wp:posOffset>
                  </wp:positionV>
                  <wp:extent cx="911860" cy="608330"/>
                  <wp:effectExtent l="0" t="0" r="2540" b="1270"/>
                  <wp:wrapNone/>
                  <wp:docPr id="8" name="图片 1" descr="IMG_2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descr="IMG_2793"/>
                          <pic:cNvPicPr>
                            <a:picLocks noChangeAspect="1"/>
                          </pic:cNvPicPr>
                        </pic:nvPicPr>
                        <pic:blipFill>
                          <a:blip r:embed="rId150"/>
                          <a:stretch>
                            <a:fillRect/>
                          </a:stretch>
                        </pic:blipFill>
                        <pic:spPr>
                          <a:xfrm>
                            <a:off x="0" y="0"/>
                            <a:ext cx="911860" cy="608330"/>
                          </a:xfrm>
                          <a:prstGeom prst="rect">
                            <a:avLst/>
                          </a:prstGeom>
                        </pic:spPr>
                      </pic:pic>
                    </a:graphicData>
                  </a:graphic>
                </wp:anchor>
              </w:drawing>
            </w:r>
            <w:r>
              <w:rPr>
                <w:rFonts w:hint="eastAsia" w:ascii="仿宋" w:eastAsia="仿宋" w:cs="仿宋"/>
                <w:kern w:val="0"/>
                <w:sz w:val="24"/>
                <w:szCs w:val="24"/>
              </w:rPr>
              <w:t>课程</w:t>
            </w:r>
            <w:r>
              <w:rPr>
                <w:rFonts w:hint="eastAsia" w:ascii="仿宋" w:eastAsia="仿宋" w:cs="仿宋"/>
                <w:kern w:val="0"/>
                <w:sz w:val="24"/>
                <w:szCs w:val="24"/>
                <w:lang w:val="en-US" w:eastAsia="zh-CN"/>
              </w:rPr>
              <w:t>教学</w:t>
            </w:r>
            <w:r>
              <w:rPr>
                <w:rFonts w:hint="eastAsia" w:ascii="仿宋" w:eastAsia="仿宋" w:cs="仿宋"/>
                <w:kern w:val="0"/>
                <w:sz w:val="24"/>
                <w:szCs w:val="24"/>
              </w:rPr>
              <w:t>大纲</w:t>
            </w:r>
            <w:r>
              <w:rPr>
                <w:rFonts w:hint="eastAsia" w:ascii="仿宋" w:eastAsia="仿宋" w:cs="仿宋"/>
                <w:kern w:val="0"/>
                <w:sz w:val="24"/>
                <w:szCs w:val="24"/>
                <w:lang w:val="en-US" w:eastAsia="zh-CN"/>
              </w:rPr>
              <w:t>修订</w:t>
            </w:r>
            <w:r>
              <w:rPr>
                <w:rFonts w:hint="eastAsia" w:ascii="仿宋" w:eastAsia="仿宋" w:cs="仿宋"/>
                <w:kern w:val="0"/>
                <w:sz w:val="24"/>
                <w:szCs w:val="24"/>
              </w:rPr>
              <w:t>负责人</w:t>
            </w:r>
            <w:r>
              <w:rPr>
                <w:rFonts w:hint="eastAsia" w:ascii="仿宋" w:eastAsia="仿宋" w:cs="仿宋"/>
                <w:kern w:val="0"/>
                <w:sz w:val="24"/>
                <w:szCs w:val="24"/>
                <w:lang w:val="en-US" w:eastAsia="zh-CN"/>
              </w:rPr>
              <w:t>及教学团队成员</w:t>
            </w:r>
            <w:r>
              <w:rPr>
                <w:rFonts w:hint="eastAsia" w:ascii="仿宋" w:eastAsia="仿宋" w:cs="仿宋"/>
                <w:color w:val="000000"/>
                <w:sz w:val="24"/>
                <w:szCs w:val="24"/>
              </w:rPr>
              <w:t>签名</w:t>
            </w:r>
            <w:r>
              <w:rPr>
                <w:rFonts w:hint="eastAsia" w:ascii="仿宋" w:eastAsia="仿宋" w:cs="仿宋"/>
                <w:kern w:val="0"/>
                <w:sz w:val="24"/>
                <w:szCs w:val="24"/>
              </w:rPr>
              <w:t xml:space="preserve">：   </w:t>
            </w:r>
          </w:p>
          <w:p w14:paraId="5821E6C7">
            <w:pPr>
              <w:pageBreakBefore w:val="0"/>
              <w:widowControl/>
              <w:kinsoku/>
              <w:overflowPunct/>
              <w:topLinePunct w:val="0"/>
              <w:bidi w:val="0"/>
              <w:adjustRightInd w:val="0"/>
              <w:snapToGrid w:val="0"/>
              <w:spacing w:line="240" w:lineRule="auto"/>
              <w:jc w:val="left"/>
              <w:rPr>
                <w:rFonts w:hint="eastAsia" w:ascii="仿宋" w:eastAsia="仿宋" w:cs="仿宋"/>
                <w:kern w:val="0"/>
                <w:sz w:val="24"/>
                <w:szCs w:val="24"/>
              </w:rPr>
            </w:pPr>
          </w:p>
          <w:p w14:paraId="35A0145B">
            <w:pPr>
              <w:pageBreakBefore w:val="0"/>
              <w:widowControl/>
              <w:kinsoku/>
              <w:overflowPunct/>
              <w:topLinePunct w:val="0"/>
              <w:bidi w:val="0"/>
              <w:adjustRightInd w:val="0"/>
              <w:snapToGrid w:val="0"/>
              <w:spacing w:line="240" w:lineRule="auto"/>
              <w:jc w:val="left"/>
              <w:rPr>
                <w:rFonts w:hint="default" w:ascii="仿宋" w:eastAsia="仿宋" w:cs="仿宋"/>
                <w:kern w:val="0"/>
                <w:sz w:val="24"/>
                <w:szCs w:val="24"/>
              </w:rPr>
            </w:pPr>
          </w:p>
          <w:p w14:paraId="20C40343">
            <w:pPr>
              <w:pageBreakBefore w:val="0"/>
              <w:widowControl/>
              <w:kinsoku/>
              <w:overflowPunct/>
              <w:topLinePunct w:val="0"/>
              <w:bidi w:val="0"/>
              <w:adjustRightInd w:val="0"/>
              <w:snapToGrid w:val="0"/>
              <w:spacing w:line="240" w:lineRule="auto"/>
              <w:jc w:val="left"/>
              <w:rPr>
                <w:rFonts w:hint="eastAsia" w:ascii="仿宋" w:eastAsia="仿宋" w:cs="仿宋"/>
                <w:kern w:val="0"/>
                <w:sz w:val="24"/>
                <w:szCs w:val="24"/>
              </w:rPr>
            </w:pPr>
          </w:p>
          <w:p w14:paraId="4155AC38">
            <w:pPr>
              <w:pageBreakBefore w:val="0"/>
              <w:widowControl/>
              <w:kinsoku/>
              <w:overflowPunct/>
              <w:topLinePunct w:val="0"/>
              <w:bidi w:val="0"/>
              <w:adjustRightInd w:val="0"/>
              <w:snapToGrid w:val="0"/>
              <w:spacing w:line="240" w:lineRule="auto"/>
              <w:jc w:val="right"/>
              <w:rPr>
                <w:rFonts w:hint="eastAsia" w:ascii="仿宋" w:eastAsia="仿宋" w:cs="仿宋"/>
                <w:kern w:val="0"/>
                <w:sz w:val="24"/>
                <w:szCs w:val="24"/>
                <w:lang w:val="en-US" w:eastAsia="zh-CN"/>
              </w:rPr>
            </w:pPr>
            <w:r>
              <w:rPr>
                <w:rFonts w:hint="eastAsia" w:ascii="仿宋" w:eastAsia="仿宋" w:cs="仿宋"/>
                <w:kern w:val="0"/>
                <w:sz w:val="24"/>
                <w:szCs w:val="24"/>
              </w:rPr>
              <w:t xml:space="preserve">                                                   年   月   日</w:t>
            </w:r>
            <w:r>
              <w:rPr>
                <w:rFonts w:hint="eastAsia" w:ascii="仿宋" w:eastAsia="仿宋" w:cs="仿宋"/>
                <w:kern w:val="0"/>
                <w:sz w:val="24"/>
                <w:szCs w:val="24"/>
                <w:lang w:val="en-US" w:eastAsia="zh-CN"/>
              </w:rPr>
              <w:t xml:space="preserve"> </w:t>
            </w:r>
          </w:p>
          <w:p w14:paraId="3CED6AFE">
            <w:pPr>
              <w:pageBreakBefore w:val="0"/>
              <w:widowControl/>
              <w:kinsoku/>
              <w:overflowPunct/>
              <w:topLinePunct w:val="0"/>
              <w:bidi w:val="0"/>
              <w:adjustRightInd w:val="0"/>
              <w:snapToGrid w:val="0"/>
              <w:spacing w:line="240" w:lineRule="auto"/>
              <w:jc w:val="right"/>
              <w:rPr>
                <w:rFonts w:hint="eastAsia" w:ascii="仿宋" w:eastAsia="仿宋" w:cs="仿宋"/>
                <w:kern w:val="0"/>
                <w:sz w:val="24"/>
                <w:szCs w:val="24"/>
              </w:rPr>
            </w:pPr>
          </w:p>
        </w:tc>
        <w:tc>
          <w:tcPr>
            <w:tcW w:w="3472" w:type="dxa"/>
            <w:gridSpan w:val="9"/>
            <w:tcBorders>
              <w:top w:val="single" w:color="auto" w:sz="4" w:space="0"/>
              <w:left w:val="single" w:color="auto" w:sz="4" w:space="0"/>
              <w:bottom w:val="single" w:color="auto" w:sz="4" w:space="0"/>
              <w:right w:val="single" w:color="auto" w:sz="4" w:space="0"/>
            </w:tcBorders>
            <w:noWrap/>
            <w:vAlign w:val="center"/>
          </w:tcPr>
          <w:p w14:paraId="256A1A9C">
            <w:pPr>
              <w:pageBreakBefore w:val="0"/>
              <w:widowControl/>
              <w:kinsoku/>
              <w:overflowPunct/>
              <w:topLinePunct w:val="0"/>
              <w:bidi w:val="0"/>
              <w:adjustRightInd w:val="0"/>
              <w:snapToGrid w:val="0"/>
              <w:spacing w:line="240" w:lineRule="auto"/>
              <w:jc w:val="left"/>
              <w:rPr>
                <w:rFonts w:hint="eastAsia" w:ascii="仿宋" w:eastAsia="仿宋" w:cs="仿宋"/>
                <w:kern w:val="0"/>
                <w:sz w:val="24"/>
                <w:szCs w:val="24"/>
              </w:rPr>
            </w:pPr>
            <w:r>
              <w:rPr>
                <w:rFonts w:hint="eastAsia" w:ascii="仿宋" w:eastAsia="仿宋" w:cs="仿宋"/>
                <w:kern w:val="0"/>
                <w:sz w:val="24"/>
                <w:szCs w:val="24"/>
                <w:lang w:val="en-US" w:eastAsia="zh-CN"/>
              </w:rPr>
              <w:t>系主任审核</w:t>
            </w:r>
            <w:r>
              <w:rPr>
                <w:rFonts w:hint="eastAsia" w:ascii="仿宋" w:eastAsia="仿宋" w:cs="仿宋"/>
                <w:kern w:val="0"/>
                <w:sz w:val="24"/>
                <w:szCs w:val="24"/>
              </w:rPr>
              <w:t>意见：</w:t>
            </w:r>
          </w:p>
          <w:p w14:paraId="7CBDB4C4">
            <w:pPr>
              <w:pageBreakBefore w:val="0"/>
              <w:widowControl/>
              <w:kinsoku/>
              <w:overflowPunct/>
              <w:topLinePunct w:val="0"/>
              <w:bidi w:val="0"/>
              <w:adjustRightInd w:val="0"/>
              <w:snapToGrid w:val="0"/>
              <w:spacing w:line="240" w:lineRule="auto"/>
              <w:jc w:val="left"/>
              <w:rPr>
                <w:rFonts w:hint="eastAsia" w:ascii="仿宋" w:eastAsia="仿宋" w:cs="仿宋"/>
                <w:kern w:val="0"/>
                <w:sz w:val="24"/>
                <w:szCs w:val="24"/>
              </w:rPr>
            </w:pPr>
          </w:p>
          <w:p w14:paraId="571E277C">
            <w:pPr>
              <w:pageBreakBefore w:val="0"/>
              <w:widowControl/>
              <w:kinsoku/>
              <w:overflowPunct/>
              <w:topLinePunct w:val="0"/>
              <w:bidi w:val="0"/>
              <w:adjustRightInd w:val="0"/>
              <w:snapToGrid w:val="0"/>
              <w:spacing w:line="240" w:lineRule="auto"/>
              <w:jc w:val="left"/>
              <w:rPr>
                <w:rFonts w:hint="eastAsia" w:ascii="仿宋" w:eastAsia="仿宋" w:cs="仿宋"/>
                <w:kern w:val="0"/>
                <w:sz w:val="24"/>
                <w:szCs w:val="24"/>
              </w:rPr>
            </w:pPr>
          </w:p>
          <w:p w14:paraId="5D24086D">
            <w:pPr>
              <w:pageBreakBefore w:val="0"/>
              <w:widowControl/>
              <w:kinsoku/>
              <w:overflowPunct/>
              <w:topLinePunct w:val="0"/>
              <w:bidi w:val="0"/>
              <w:adjustRightInd w:val="0"/>
              <w:snapToGrid w:val="0"/>
              <w:spacing w:line="240" w:lineRule="auto"/>
              <w:jc w:val="left"/>
              <w:rPr>
                <w:rFonts w:hint="eastAsia" w:ascii="仿宋" w:eastAsia="仿宋" w:cs="仿宋"/>
                <w:kern w:val="0"/>
                <w:sz w:val="24"/>
                <w:szCs w:val="24"/>
              </w:rPr>
            </w:pPr>
            <w:r>
              <w:rPr>
                <w:rFonts w:hint="eastAsia" w:ascii="仿宋" w:eastAsia="仿宋" w:cs="仿宋"/>
                <w:kern w:val="0"/>
                <w:sz w:val="24"/>
                <w:szCs w:val="24"/>
                <w:lang w:val="en-US" w:eastAsia="zh-CN"/>
              </w:rPr>
              <w:t>系主任</w:t>
            </w:r>
            <w:r>
              <w:rPr>
                <w:rFonts w:hint="eastAsia" w:ascii="仿宋" w:eastAsia="仿宋" w:cs="仿宋"/>
                <w:kern w:val="0"/>
                <w:sz w:val="24"/>
                <w:szCs w:val="24"/>
              </w:rPr>
              <w:t>签名：</w:t>
            </w:r>
          </w:p>
          <w:p w14:paraId="5BFE1B23">
            <w:pPr>
              <w:pStyle w:val="30"/>
              <w:rPr>
                <w:rFonts w:hint="eastAsia" w:eastAsia="仿宋"/>
                <w:lang w:eastAsia="zh-CN"/>
              </w:rPr>
            </w:pPr>
          </w:p>
          <w:p w14:paraId="001EE2E4">
            <w:pPr>
              <w:pageBreakBefore w:val="0"/>
              <w:widowControl/>
              <w:kinsoku/>
              <w:overflowPunct/>
              <w:topLinePunct w:val="0"/>
              <w:bidi w:val="0"/>
              <w:adjustRightInd w:val="0"/>
              <w:snapToGrid w:val="0"/>
              <w:spacing w:line="240" w:lineRule="auto"/>
              <w:jc w:val="right"/>
              <w:rPr>
                <w:rFonts w:hint="eastAsia" w:ascii="仿宋" w:eastAsia="仿宋" w:cs="仿宋"/>
                <w:kern w:val="0"/>
                <w:sz w:val="24"/>
                <w:szCs w:val="24"/>
              </w:rPr>
            </w:pPr>
          </w:p>
          <w:p w14:paraId="2DDB8D9E">
            <w:pPr>
              <w:pageBreakBefore w:val="0"/>
              <w:widowControl/>
              <w:kinsoku/>
              <w:overflowPunct/>
              <w:topLinePunct w:val="0"/>
              <w:bidi w:val="0"/>
              <w:adjustRightInd w:val="0"/>
              <w:snapToGrid w:val="0"/>
              <w:spacing w:line="240" w:lineRule="auto"/>
              <w:jc w:val="right"/>
              <w:rPr>
                <w:rFonts w:hint="eastAsia" w:ascii="仿宋" w:eastAsia="仿宋" w:cs="仿宋"/>
                <w:kern w:val="0"/>
                <w:sz w:val="24"/>
                <w:szCs w:val="24"/>
              </w:rPr>
            </w:pPr>
            <w:r>
              <w:rPr>
                <w:rFonts w:hint="eastAsia" w:ascii="仿宋" w:eastAsia="仿宋" w:cs="仿宋"/>
                <w:kern w:val="0"/>
                <w:sz w:val="24"/>
                <w:szCs w:val="24"/>
              </w:rPr>
              <w:t>年   月   日</w:t>
            </w:r>
          </w:p>
          <w:p w14:paraId="01AD61BA">
            <w:pPr>
              <w:pageBreakBefore w:val="0"/>
              <w:widowControl/>
              <w:kinsoku/>
              <w:overflowPunct/>
              <w:topLinePunct w:val="0"/>
              <w:bidi w:val="0"/>
              <w:adjustRightInd w:val="0"/>
              <w:snapToGrid w:val="0"/>
              <w:spacing w:line="240" w:lineRule="auto"/>
              <w:jc w:val="right"/>
              <w:rPr>
                <w:rFonts w:hint="eastAsia" w:ascii="仿宋" w:eastAsia="仿宋" w:cs="仿宋"/>
                <w:kern w:val="0"/>
                <w:sz w:val="24"/>
                <w:szCs w:val="24"/>
              </w:rPr>
            </w:pPr>
          </w:p>
        </w:tc>
      </w:tr>
    </w:tbl>
    <w:p w14:paraId="55ADB5CA">
      <w:pPr>
        <w:pageBreakBefore w:val="0"/>
        <w:widowControl w:val="0"/>
        <w:kinsoku/>
        <w:overflowPunct/>
        <w:topLinePunct w:val="0"/>
        <w:bidi w:val="0"/>
        <w:spacing w:before="240" w:line="240" w:lineRule="auto"/>
        <w:jc w:val="center"/>
        <w:rPr>
          <w:rFonts w:hint="eastAsia" w:ascii="仿宋" w:eastAsia="仿宋" w:cs="黑体"/>
          <w:b/>
          <w:kern w:val="2"/>
          <w:sz w:val="28"/>
          <w:szCs w:val="28"/>
          <w:lang w:bidi="ar-SA"/>
        </w:rPr>
      </w:pPr>
      <w:r>
        <w:rPr>
          <w:rFonts w:hint="default" w:ascii="仿宋" w:eastAsia="仿宋" w:cs="仿宋"/>
          <w:b/>
          <w:kern w:val="2"/>
          <w:sz w:val="28"/>
          <w:szCs w:val="28"/>
          <w:lang w:bidi="ar-SA"/>
        </w:rPr>
        <w:t xml:space="preserve">  </w:t>
      </w:r>
      <w:r>
        <w:rPr>
          <w:rFonts w:hint="eastAsia" w:ascii="仿宋" w:eastAsia="仿宋" w:cs="仿宋"/>
          <w:b/>
          <w:kern w:val="2"/>
          <w:sz w:val="28"/>
          <w:szCs w:val="28"/>
          <w:lang w:bidi="ar-SA"/>
        </w:rPr>
        <w:t>附表：《中国民族音乐》课程目标评分量表</w:t>
      </w:r>
    </w:p>
    <w:tbl>
      <w:tblPr>
        <w:tblStyle w:val="22"/>
        <w:tblW w:w="9210" w:type="dxa"/>
        <w:tblInd w:w="8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188"/>
        <w:gridCol w:w="1404"/>
        <w:gridCol w:w="1404"/>
        <w:gridCol w:w="1404"/>
        <w:gridCol w:w="1404"/>
        <w:gridCol w:w="1406"/>
      </w:tblGrid>
      <w:tr w14:paraId="5A0FAED7">
        <w:trPr>
          <w:trHeight w:val="624" w:hRule="atLeast"/>
        </w:trPr>
        <w:tc>
          <w:tcPr>
            <w:tcW w:w="2188" w:type="dxa"/>
            <w:tcBorders>
              <w:top w:val="single" w:color="000000" w:sz="4" w:space="0"/>
              <w:left w:val="single" w:color="000000" w:sz="4" w:space="0"/>
              <w:bottom w:val="single" w:color="000000" w:sz="4" w:space="0"/>
              <w:right w:val="single" w:color="000000" w:sz="4" w:space="0"/>
            </w:tcBorders>
            <w:noWrap/>
            <w:vAlign w:val="center"/>
          </w:tcPr>
          <w:p w14:paraId="4AA5C6EC">
            <w:pPr>
              <w:pageBreakBefore w:val="0"/>
              <w:widowControl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课程目标</w:t>
            </w:r>
          </w:p>
        </w:tc>
        <w:tc>
          <w:tcPr>
            <w:tcW w:w="1404" w:type="dxa"/>
            <w:tcBorders>
              <w:top w:val="single" w:color="000000" w:sz="4" w:space="0"/>
              <w:left w:val="single" w:color="000000" w:sz="4" w:space="0"/>
              <w:bottom w:val="single" w:color="000000" w:sz="4" w:space="0"/>
              <w:right w:val="single" w:color="000000" w:sz="4" w:space="0"/>
            </w:tcBorders>
            <w:noWrap/>
            <w:vAlign w:val="center"/>
          </w:tcPr>
          <w:p w14:paraId="412775AC">
            <w:pPr>
              <w:pageBreakBefore w:val="0"/>
              <w:widowControl w:val="0"/>
              <w:tabs>
                <w:tab w:val="left" w:pos="719"/>
                <w:tab w:val="left" w:pos="1418"/>
                <w:tab w:val="left" w:pos="6298"/>
              </w:tabs>
              <w:kinsoku/>
              <w:overflowPunct/>
              <w:topLinePunct w:val="0"/>
              <w:bidi w:val="0"/>
              <w:spacing w:line="240" w:lineRule="auto"/>
              <w:ind w:left="-128" w:right="-75"/>
              <w:jc w:val="center"/>
              <w:rPr>
                <w:rFonts w:hint="eastAsia" w:ascii="仿宋" w:eastAsia="仿宋" w:cs="仿宋"/>
                <w:b/>
                <w:kern w:val="2"/>
                <w:szCs w:val="21"/>
                <w:lang w:bidi="ar-SA"/>
              </w:rPr>
            </w:pPr>
            <w:r>
              <w:rPr>
                <w:rFonts w:hint="eastAsia" w:ascii="仿宋" w:eastAsia="仿宋" w:cs="仿宋"/>
                <w:b/>
                <w:kern w:val="2"/>
                <w:szCs w:val="21"/>
                <w:lang w:bidi="ar-SA"/>
              </w:rPr>
              <w:t>优</w:t>
            </w:r>
          </w:p>
          <w:p w14:paraId="652235F8">
            <w:pPr>
              <w:pageBreakBefore w:val="0"/>
              <w:widowControl w:val="0"/>
              <w:tabs>
                <w:tab w:val="left" w:pos="719"/>
                <w:tab w:val="left" w:pos="1418"/>
                <w:tab w:val="left" w:pos="6298"/>
              </w:tabs>
              <w:kinsoku/>
              <w:overflowPunct/>
              <w:topLinePunct w:val="0"/>
              <w:bidi w:val="0"/>
              <w:spacing w:line="240" w:lineRule="auto"/>
              <w:ind w:left="-128" w:right="-75"/>
              <w:jc w:val="center"/>
              <w:rPr>
                <w:rFonts w:hint="eastAsia" w:ascii="仿宋" w:eastAsia="仿宋" w:cs="仿宋"/>
                <w:b/>
                <w:kern w:val="2"/>
                <w:szCs w:val="21"/>
                <w:lang w:bidi="ar-SA"/>
              </w:rPr>
            </w:pPr>
            <w:r>
              <w:rPr>
                <w:rFonts w:hint="eastAsia" w:ascii="仿宋" w:eastAsia="仿宋" w:cs="仿宋"/>
                <w:b/>
                <w:kern w:val="2"/>
                <w:szCs w:val="21"/>
                <w:lang w:bidi="ar-SA"/>
              </w:rPr>
              <w:t>（X≧90）</w:t>
            </w:r>
          </w:p>
        </w:tc>
        <w:tc>
          <w:tcPr>
            <w:tcW w:w="1404" w:type="dxa"/>
            <w:tcBorders>
              <w:top w:val="single" w:color="000000" w:sz="4" w:space="0"/>
              <w:left w:val="single" w:color="000000" w:sz="4" w:space="0"/>
              <w:bottom w:val="single" w:color="000000" w:sz="4" w:space="0"/>
              <w:right w:val="single" w:color="000000" w:sz="4" w:space="0"/>
            </w:tcBorders>
            <w:noWrap/>
            <w:vAlign w:val="center"/>
          </w:tcPr>
          <w:p w14:paraId="6D3C770F">
            <w:pPr>
              <w:pageBreakBefore w:val="0"/>
              <w:widowControl w:val="0"/>
              <w:tabs>
                <w:tab w:val="left" w:pos="719"/>
                <w:tab w:val="left" w:pos="1418"/>
                <w:tab w:val="left" w:pos="6298"/>
              </w:tabs>
              <w:kinsoku/>
              <w:overflowPunct/>
              <w:topLinePunct w:val="0"/>
              <w:bidi w:val="0"/>
              <w:spacing w:line="240" w:lineRule="auto"/>
              <w:ind w:left="-128" w:right="-75"/>
              <w:jc w:val="center"/>
              <w:rPr>
                <w:rFonts w:hint="eastAsia" w:ascii="仿宋" w:eastAsia="仿宋" w:cs="仿宋"/>
                <w:b/>
                <w:kern w:val="2"/>
                <w:szCs w:val="21"/>
                <w:lang w:bidi="ar-SA"/>
              </w:rPr>
            </w:pPr>
            <w:r>
              <w:rPr>
                <w:rFonts w:hint="eastAsia" w:ascii="仿宋" w:eastAsia="仿宋" w:cs="仿宋"/>
                <w:b/>
                <w:kern w:val="2"/>
                <w:szCs w:val="21"/>
                <w:lang w:bidi="ar-SA"/>
              </w:rPr>
              <w:t>良</w:t>
            </w:r>
          </w:p>
          <w:p w14:paraId="0C2A06D0">
            <w:pPr>
              <w:pageBreakBefore w:val="0"/>
              <w:widowControl w:val="0"/>
              <w:tabs>
                <w:tab w:val="left" w:pos="719"/>
                <w:tab w:val="left" w:pos="1418"/>
                <w:tab w:val="left" w:pos="6298"/>
              </w:tabs>
              <w:kinsoku/>
              <w:overflowPunct/>
              <w:topLinePunct w:val="0"/>
              <w:bidi w:val="0"/>
              <w:spacing w:line="240" w:lineRule="auto"/>
              <w:ind w:left="-128" w:right="-75"/>
              <w:jc w:val="center"/>
              <w:rPr>
                <w:rFonts w:hint="eastAsia" w:ascii="仿宋" w:eastAsia="仿宋" w:cs="仿宋"/>
                <w:b/>
                <w:kern w:val="2"/>
                <w:szCs w:val="21"/>
                <w:lang w:bidi="ar-SA"/>
              </w:rPr>
            </w:pPr>
            <w:r>
              <w:rPr>
                <w:rFonts w:hint="eastAsia" w:ascii="仿宋" w:eastAsia="仿宋" w:cs="仿宋"/>
                <w:b/>
                <w:kern w:val="2"/>
                <w:szCs w:val="21"/>
                <w:lang w:bidi="ar-SA"/>
              </w:rPr>
              <w:t>（80≦X＜90）</w:t>
            </w:r>
          </w:p>
        </w:tc>
        <w:tc>
          <w:tcPr>
            <w:tcW w:w="1404" w:type="dxa"/>
            <w:tcBorders>
              <w:top w:val="single" w:color="000000" w:sz="4" w:space="0"/>
              <w:left w:val="single" w:color="000000" w:sz="4" w:space="0"/>
              <w:bottom w:val="single" w:color="000000" w:sz="4" w:space="0"/>
              <w:right w:val="single" w:color="000000" w:sz="4" w:space="0"/>
            </w:tcBorders>
            <w:noWrap/>
            <w:vAlign w:val="center"/>
          </w:tcPr>
          <w:p w14:paraId="62FB2170">
            <w:pPr>
              <w:pageBreakBefore w:val="0"/>
              <w:widowControl w:val="0"/>
              <w:tabs>
                <w:tab w:val="left" w:pos="719"/>
                <w:tab w:val="left" w:pos="1418"/>
                <w:tab w:val="left" w:pos="6298"/>
              </w:tabs>
              <w:kinsoku/>
              <w:overflowPunct/>
              <w:topLinePunct w:val="0"/>
              <w:bidi w:val="0"/>
              <w:spacing w:line="240" w:lineRule="auto"/>
              <w:ind w:left="-128" w:right="-75"/>
              <w:jc w:val="center"/>
              <w:rPr>
                <w:rFonts w:hint="eastAsia" w:ascii="仿宋" w:eastAsia="仿宋" w:cs="仿宋"/>
                <w:b/>
                <w:kern w:val="2"/>
                <w:szCs w:val="21"/>
                <w:lang w:bidi="ar-SA"/>
              </w:rPr>
            </w:pPr>
            <w:r>
              <w:rPr>
                <w:rFonts w:hint="eastAsia" w:ascii="仿宋" w:eastAsia="仿宋" w:cs="仿宋"/>
                <w:b/>
                <w:kern w:val="2"/>
                <w:szCs w:val="21"/>
                <w:lang w:bidi="ar-SA"/>
              </w:rPr>
              <w:t>中</w:t>
            </w:r>
          </w:p>
          <w:p w14:paraId="3C3721B9">
            <w:pPr>
              <w:pageBreakBefore w:val="0"/>
              <w:widowControl w:val="0"/>
              <w:tabs>
                <w:tab w:val="left" w:pos="719"/>
                <w:tab w:val="left" w:pos="1418"/>
                <w:tab w:val="left" w:pos="6298"/>
              </w:tabs>
              <w:kinsoku/>
              <w:overflowPunct/>
              <w:topLinePunct w:val="0"/>
              <w:bidi w:val="0"/>
              <w:spacing w:line="240" w:lineRule="auto"/>
              <w:ind w:left="-128" w:right="-75"/>
              <w:jc w:val="center"/>
              <w:rPr>
                <w:rFonts w:hint="eastAsia" w:ascii="仿宋" w:eastAsia="仿宋" w:cs="仿宋"/>
                <w:b/>
                <w:kern w:val="2"/>
                <w:szCs w:val="21"/>
                <w:lang w:bidi="ar-SA"/>
              </w:rPr>
            </w:pPr>
            <w:r>
              <w:rPr>
                <w:rFonts w:hint="eastAsia" w:ascii="仿宋" w:eastAsia="仿宋" w:cs="仿宋"/>
                <w:b/>
                <w:kern w:val="2"/>
                <w:szCs w:val="21"/>
                <w:lang w:bidi="ar-SA"/>
              </w:rPr>
              <w:t>（70≦X＜80）</w:t>
            </w:r>
          </w:p>
        </w:tc>
        <w:tc>
          <w:tcPr>
            <w:tcW w:w="1404" w:type="dxa"/>
            <w:tcBorders>
              <w:top w:val="single" w:color="000000" w:sz="4" w:space="0"/>
              <w:left w:val="single" w:color="000000" w:sz="4" w:space="0"/>
              <w:bottom w:val="single" w:color="000000" w:sz="4" w:space="0"/>
              <w:right w:val="single" w:color="000000" w:sz="4" w:space="0"/>
            </w:tcBorders>
            <w:noWrap/>
            <w:vAlign w:val="center"/>
          </w:tcPr>
          <w:p w14:paraId="74D841C9">
            <w:pPr>
              <w:pageBreakBefore w:val="0"/>
              <w:widowControl w:val="0"/>
              <w:tabs>
                <w:tab w:val="left" w:pos="719"/>
                <w:tab w:val="left" w:pos="1418"/>
                <w:tab w:val="left" w:pos="6298"/>
              </w:tabs>
              <w:kinsoku/>
              <w:overflowPunct/>
              <w:topLinePunct w:val="0"/>
              <w:bidi w:val="0"/>
              <w:spacing w:line="240" w:lineRule="auto"/>
              <w:ind w:left="-128" w:right="-75"/>
              <w:jc w:val="center"/>
              <w:rPr>
                <w:rFonts w:hint="eastAsia" w:ascii="仿宋" w:eastAsia="仿宋" w:cs="仿宋"/>
                <w:b/>
                <w:kern w:val="2"/>
                <w:szCs w:val="21"/>
                <w:lang w:bidi="ar-SA"/>
              </w:rPr>
            </w:pPr>
            <w:r>
              <w:rPr>
                <w:rFonts w:hint="eastAsia" w:ascii="仿宋" w:eastAsia="仿宋" w:cs="仿宋"/>
                <w:b/>
                <w:kern w:val="2"/>
                <w:szCs w:val="21"/>
                <w:lang w:bidi="ar-SA"/>
              </w:rPr>
              <w:t>及格</w:t>
            </w:r>
          </w:p>
          <w:p w14:paraId="24877F61">
            <w:pPr>
              <w:pageBreakBefore w:val="0"/>
              <w:widowControl w:val="0"/>
              <w:tabs>
                <w:tab w:val="left" w:pos="719"/>
                <w:tab w:val="left" w:pos="1418"/>
                <w:tab w:val="left" w:pos="6298"/>
              </w:tabs>
              <w:kinsoku/>
              <w:overflowPunct/>
              <w:topLinePunct w:val="0"/>
              <w:bidi w:val="0"/>
              <w:spacing w:line="240" w:lineRule="auto"/>
              <w:ind w:left="-128" w:right="-75"/>
              <w:jc w:val="center"/>
              <w:rPr>
                <w:rFonts w:hint="eastAsia" w:ascii="仿宋" w:eastAsia="仿宋" w:cs="仿宋"/>
                <w:b/>
                <w:kern w:val="2"/>
                <w:szCs w:val="21"/>
                <w:lang w:bidi="ar-SA"/>
              </w:rPr>
            </w:pPr>
            <w:r>
              <w:rPr>
                <w:rFonts w:hint="eastAsia" w:ascii="仿宋" w:eastAsia="仿宋" w:cs="仿宋"/>
                <w:b/>
                <w:kern w:val="2"/>
                <w:szCs w:val="21"/>
                <w:lang w:bidi="ar-SA"/>
              </w:rPr>
              <w:t>（60≦X＜70）</w:t>
            </w:r>
          </w:p>
        </w:tc>
        <w:tc>
          <w:tcPr>
            <w:tcW w:w="1406" w:type="dxa"/>
            <w:tcBorders>
              <w:top w:val="single" w:color="000000" w:sz="4" w:space="0"/>
              <w:left w:val="single" w:color="000000" w:sz="4" w:space="0"/>
              <w:bottom w:val="single" w:color="000000" w:sz="4" w:space="0"/>
              <w:right w:val="single" w:color="000000" w:sz="4" w:space="0"/>
            </w:tcBorders>
            <w:noWrap/>
            <w:vAlign w:val="center"/>
          </w:tcPr>
          <w:p w14:paraId="449DEA39">
            <w:pPr>
              <w:pageBreakBefore w:val="0"/>
              <w:widowControl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不及格</w:t>
            </w:r>
          </w:p>
          <w:p w14:paraId="2D6D5A8D">
            <w:pPr>
              <w:pageBreakBefore w:val="0"/>
              <w:widowControl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（X＜60）</w:t>
            </w:r>
          </w:p>
        </w:tc>
      </w:tr>
      <w:tr w14:paraId="4D131E70">
        <w:trPr>
          <w:trHeight w:val="1442" w:hRule="atLeast"/>
        </w:trPr>
        <w:tc>
          <w:tcPr>
            <w:tcW w:w="2188" w:type="dxa"/>
            <w:tcBorders>
              <w:top w:val="single" w:color="000000" w:sz="4" w:space="0"/>
              <w:left w:val="single" w:color="000000" w:sz="4" w:space="0"/>
              <w:bottom w:val="single" w:color="000000" w:sz="4" w:space="0"/>
              <w:right w:val="single" w:color="000000" w:sz="4" w:space="0"/>
            </w:tcBorders>
            <w:noWrap/>
          </w:tcPr>
          <w:p w14:paraId="72372DD1">
            <w:pPr>
              <w:pageBreakBefore w:val="0"/>
              <w:widowControl/>
              <w:kinsoku/>
              <w:overflowPunct/>
              <w:topLinePunct w:val="0"/>
              <w:bidi w:val="0"/>
              <w:spacing w:line="240" w:lineRule="auto"/>
              <w:rPr>
                <w:rFonts w:hint="eastAsia" w:ascii="楷体" w:eastAsia="楷体" w:cs="楷体"/>
                <w:bCs/>
                <w:kern w:val="2"/>
                <w:szCs w:val="21"/>
                <w:lang w:eastAsia="zh-TW" w:bidi="ar-SA"/>
              </w:rPr>
            </w:pPr>
            <w:r>
              <w:rPr>
                <w:rFonts w:ascii="楷体" w:eastAsia="楷体" w:cs="楷体"/>
                <w:bCs/>
                <w:kern w:val="2"/>
                <w:szCs w:val="21"/>
                <w:lang w:val="en-US" w:eastAsia="zh-TW" w:bidi="ar-SA"/>
              </w:rPr>
              <w:t>课程目标1：</w:t>
            </w:r>
            <w:r>
              <w:rPr>
                <w:rFonts w:hint="eastAsia" w:ascii="楷体" w:eastAsia="楷体" w:cs="楷体"/>
                <w:bCs/>
                <w:kern w:val="2"/>
                <w:szCs w:val="21"/>
                <w:lang w:val="en-US" w:bidi="ar-SA"/>
              </w:rPr>
              <w:t>了</w:t>
            </w:r>
            <w:r>
              <w:rPr>
                <w:rFonts w:ascii="楷体" w:eastAsia="楷体" w:cs="楷体"/>
                <w:bCs/>
                <w:kern w:val="2"/>
                <w:szCs w:val="21"/>
                <w:lang w:val="en-US" w:eastAsia="zh-TW" w:bidi="ar-SA"/>
              </w:rPr>
              <w:t>解和熟悉中国民族民间音乐，积累一定数量的民族音乐语汇，对一些经典的、有代表性的民歌与唱段，能够</w:t>
            </w:r>
            <w:r>
              <w:rPr>
                <w:rFonts w:hint="eastAsia" w:ascii="楷体" w:eastAsia="楷体" w:cs="楷体"/>
                <w:bCs/>
                <w:kern w:val="2"/>
                <w:szCs w:val="21"/>
                <w:lang w:val="en-US" w:bidi="ar-SA"/>
              </w:rPr>
              <w:t>较为</w:t>
            </w:r>
            <w:r>
              <w:rPr>
                <w:rFonts w:ascii="楷体" w:eastAsia="楷体" w:cs="楷体"/>
                <w:bCs/>
                <w:kern w:val="2"/>
                <w:szCs w:val="21"/>
                <w:lang w:val="en-US" w:eastAsia="zh-TW" w:bidi="ar-SA"/>
              </w:rPr>
              <w:t>熟练的背唱，</w:t>
            </w:r>
            <w:r>
              <w:rPr>
                <w:rFonts w:hint="eastAsia" w:ascii="楷体" w:eastAsia="楷体" w:cs="楷体"/>
                <w:bCs/>
                <w:kern w:val="2"/>
                <w:szCs w:val="21"/>
                <w:lang w:val="en-US" w:bidi="ar-SA"/>
              </w:rPr>
              <w:t>具备</w:t>
            </w:r>
            <w:r>
              <w:rPr>
                <w:rFonts w:ascii="楷体" w:eastAsia="楷体" w:cs="楷体"/>
                <w:bCs/>
                <w:kern w:val="2"/>
                <w:szCs w:val="21"/>
                <w:lang w:val="en-US" w:eastAsia="zh-TW" w:bidi="ar-SA"/>
              </w:rPr>
              <w:t>对民族民间音乐审美</w:t>
            </w:r>
            <w:r>
              <w:rPr>
                <w:rFonts w:hint="eastAsia" w:ascii="楷体" w:eastAsia="楷体" w:cs="楷体"/>
                <w:bCs/>
                <w:kern w:val="2"/>
                <w:szCs w:val="21"/>
                <w:lang w:val="en-US" w:bidi="ar-SA"/>
              </w:rPr>
              <w:t>的基本</w:t>
            </w:r>
            <w:r>
              <w:rPr>
                <w:rFonts w:ascii="楷体" w:eastAsia="楷体" w:cs="楷体"/>
                <w:bCs/>
                <w:kern w:val="2"/>
                <w:szCs w:val="21"/>
                <w:lang w:val="en-US" w:eastAsia="zh-TW" w:bidi="ar-SA"/>
              </w:rPr>
              <w:t>能力。</w:t>
            </w:r>
          </w:p>
        </w:tc>
        <w:tc>
          <w:tcPr>
            <w:tcW w:w="1404" w:type="dxa"/>
            <w:tcBorders>
              <w:top w:val="single" w:color="000000" w:sz="4" w:space="0"/>
              <w:left w:val="single" w:color="000000" w:sz="4" w:space="0"/>
              <w:bottom w:val="single" w:color="000000" w:sz="4" w:space="0"/>
              <w:right w:val="single" w:color="000000" w:sz="4" w:space="0"/>
            </w:tcBorders>
            <w:noWrap/>
          </w:tcPr>
          <w:p w14:paraId="4ED1D4D0">
            <w:pPr>
              <w:pageBreakBefore w:val="0"/>
              <w:widowControl/>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val="en-US" w:bidi="ar-SA"/>
              </w:rPr>
              <w:t>能够扎实的掌握</w:t>
            </w:r>
            <w:r>
              <w:rPr>
                <w:rFonts w:ascii="楷体" w:eastAsia="楷体" w:cs="楷体"/>
                <w:bCs/>
                <w:kern w:val="2"/>
                <w:szCs w:val="21"/>
                <w:lang w:val="en-US" w:eastAsia="zh-TW" w:bidi="ar-SA"/>
              </w:rPr>
              <w:t>民族音乐语汇，</w:t>
            </w:r>
            <w:r>
              <w:rPr>
                <w:rFonts w:hint="eastAsia" w:ascii="楷体" w:eastAsia="楷体" w:cs="楷体"/>
                <w:bCs/>
                <w:kern w:val="2"/>
                <w:szCs w:val="21"/>
                <w:lang w:val="en-US" w:bidi="ar-SA"/>
              </w:rPr>
              <w:t>能够</w:t>
            </w:r>
            <w:r>
              <w:rPr>
                <w:rFonts w:ascii="楷体" w:eastAsia="楷体" w:cs="楷体"/>
                <w:bCs/>
                <w:kern w:val="2"/>
                <w:szCs w:val="21"/>
                <w:lang w:val="en-US" w:eastAsia="zh-TW" w:bidi="ar-SA"/>
              </w:rPr>
              <w:t>熟练的背唱一些经典的、有代表性的民歌与唱段，</w:t>
            </w:r>
            <w:r>
              <w:rPr>
                <w:rFonts w:hint="eastAsia" w:ascii="楷体" w:eastAsia="楷体" w:cs="楷体"/>
                <w:bCs/>
                <w:kern w:val="2"/>
                <w:szCs w:val="21"/>
                <w:lang w:val="en-US" w:bidi="ar-SA"/>
              </w:rPr>
              <w:t>具备</w:t>
            </w:r>
            <w:r>
              <w:rPr>
                <w:rFonts w:ascii="楷体" w:eastAsia="楷体" w:cs="楷体"/>
                <w:bCs/>
                <w:kern w:val="2"/>
                <w:szCs w:val="21"/>
                <w:lang w:val="en-US" w:eastAsia="zh-TW" w:bidi="ar-SA"/>
              </w:rPr>
              <w:t>对民族民间音乐审美</w:t>
            </w:r>
            <w:r>
              <w:rPr>
                <w:rFonts w:hint="eastAsia" w:ascii="楷体" w:eastAsia="楷体" w:cs="楷体"/>
                <w:bCs/>
                <w:kern w:val="2"/>
                <w:szCs w:val="21"/>
                <w:lang w:val="en-US" w:bidi="ar-SA"/>
              </w:rPr>
              <w:t>的较强</w:t>
            </w:r>
            <w:r>
              <w:rPr>
                <w:rFonts w:ascii="楷体" w:eastAsia="楷体" w:cs="楷体"/>
                <w:bCs/>
                <w:kern w:val="2"/>
                <w:szCs w:val="21"/>
                <w:lang w:val="en-US" w:eastAsia="zh-TW" w:bidi="ar-SA"/>
              </w:rPr>
              <w:t>能力。</w:t>
            </w:r>
          </w:p>
        </w:tc>
        <w:tc>
          <w:tcPr>
            <w:tcW w:w="1404" w:type="dxa"/>
            <w:tcBorders>
              <w:top w:val="single" w:color="000000" w:sz="4" w:space="0"/>
              <w:left w:val="single" w:color="000000" w:sz="4" w:space="0"/>
              <w:bottom w:val="single" w:color="000000" w:sz="4" w:space="0"/>
              <w:right w:val="single" w:color="000000" w:sz="4" w:space="0"/>
            </w:tcBorders>
            <w:noWrap/>
          </w:tcPr>
          <w:p w14:paraId="0CED5CCD">
            <w:pPr>
              <w:pageBreakBefore w:val="0"/>
              <w:widowControl/>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val="en-US" w:bidi="ar-SA"/>
              </w:rPr>
              <w:t>较为扎实的掌握</w:t>
            </w:r>
            <w:r>
              <w:rPr>
                <w:rFonts w:ascii="楷体" w:eastAsia="楷体" w:cs="楷体"/>
                <w:bCs/>
                <w:kern w:val="2"/>
                <w:szCs w:val="21"/>
                <w:lang w:val="en-US" w:eastAsia="zh-TW" w:bidi="ar-SA"/>
              </w:rPr>
              <w:t>民族音乐语汇，</w:t>
            </w:r>
            <w:r>
              <w:rPr>
                <w:rFonts w:hint="eastAsia" w:ascii="楷体" w:eastAsia="楷体" w:cs="楷体"/>
                <w:bCs/>
                <w:kern w:val="2"/>
                <w:szCs w:val="21"/>
                <w:lang w:val="en-US" w:bidi="ar-SA"/>
              </w:rPr>
              <w:t>比较</w:t>
            </w:r>
            <w:r>
              <w:rPr>
                <w:rFonts w:ascii="楷体" w:eastAsia="楷体" w:cs="楷体"/>
                <w:bCs/>
                <w:kern w:val="2"/>
                <w:szCs w:val="21"/>
                <w:lang w:val="en-US" w:eastAsia="zh-TW" w:bidi="ar-SA"/>
              </w:rPr>
              <w:t>熟练的背唱一些经典的、有代表性的民歌与唱段，</w:t>
            </w:r>
            <w:r>
              <w:rPr>
                <w:rFonts w:hint="eastAsia" w:ascii="楷体" w:eastAsia="楷体" w:cs="楷体"/>
                <w:bCs/>
                <w:kern w:val="2"/>
                <w:szCs w:val="21"/>
                <w:lang w:val="en-US" w:bidi="ar-SA"/>
              </w:rPr>
              <w:t>具备</w:t>
            </w:r>
            <w:r>
              <w:rPr>
                <w:rFonts w:ascii="楷体" w:eastAsia="楷体" w:cs="楷体"/>
                <w:bCs/>
                <w:kern w:val="2"/>
                <w:szCs w:val="21"/>
                <w:lang w:val="en-US" w:eastAsia="zh-TW" w:bidi="ar-SA"/>
              </w:rPr>
              <w:t>对民族民间音乐审美</w:t>
            </w:r>
            <w:r>
              <w:rPr>
                <w:rFonts w:hint="eastAsia" w:ascii="楷体" w:eastAsia="楷体" w:cs="楷体"/>
                <w:bCs/>
                <w:kern w:val="2"/>
                <w:szCs w:val="21"/>
                <w:lang w:val="en-US" w:bidi="ar-SA"/>
              </w:rPr>
              <w:t>的良好</w:t>
            </w:r>
            <w:r>
              <w:rPr>
                <w:rFonts w:ascii="楷体" w:eastAsia="楷体" w:cs="楷体"/>
                <w:bCs/>
                <w:kern w:val="2"/>
                <w:szCs w:val="21"/>
                <w:lang w:val="en-US" w:eastAsia="zh-TW" w:bidi="ar-SA"/>
              </w:rPr>
              <w:t>能力。</w:t>
            </w:r>
          </w:p>
        </w:tc>
        <w:tc>
          <w:tcPr>
            <w:tcW w:w="1404" w:type="dxa"/>
            <w:tcBorders>
              <w:top w:val="single" w:color="000000" w:sz="4" w:space="0"/>
              <w:left w:val="single" w:color="000000" w:sz="4" w:space="0"/>
              <w:bottom w:val="single" w:color="000000" w:sz="4" w:space="0"/>
              <w:right w:val="single" w:color="000000" w:sz="4" w:space="0"/>
            </w:tcBorders>
            <w:noWrap/>
          </w:tcPr>
          <w:p w14:paraId="742F42A6">
            <w:pPr>
              <w:pageBreakBefore w:val="0"/>
              <w:widowControl/>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val="en-US" w:bidi="ar-SA"/>
              </w:rPr>
              <w:t>基本掌握</w:t>
            </w:r>
            <w:r>
              <w:rPr>
                <w:rFonts w:ascii="楷体" w:eastAsia="楷体" w:cs="楷体"/>
                <w:bCs/>
                <w:kern w:val="2"/>
                <w:szCs w:val="21"/>
                <w:lang w:val="en-US" w:eastAsia="zh-TW" w:bidi="ar-SA"/>
              </w:rPr>
              <w:t>民族音乐语汇，</w:t>
            </w:r>
            <w:r>
              <w:rPr>
                <w:rFonts w:hint="eastAsia" w:ascii="楷体" w:eastAsia="楷体" w:cs="楷体"/>
                <w:bCs/>
                <w:kern w:val="2"/>
                <w:szCs w:val="21"/>
                <w:lang w:val="en-US" w:bidi="ar-SA"/>
              </w:rPr>
              <w:t>能够</w:t>
            </w:r>
            <w:r>
              <w:rPr>
                <w:rFonts w:ascii="楷体" w:eastAsia="楷体" w:cs="楷体"/>
                <w:bCs/>
                <w:kern w:val="2"/>
                <w:szCs w:val="21"/>
                <w:lang w:val="en-US" w:eastAsia="zh-TW" w:bidi="ar-SA"/>
              </w:rPr>
              <w:t>背唱一些经典的、有代表性的民歌与唱段，</w:t>
            </w:r>
            <w:r>
              <w:rPr>
                <w:rFonts w:hint="eastAsia" w:ascii="楷体" w:eastAsia="楷体" w:cs="楷体"/>
                <w:bCs/>
                <w:kern w:val="2"/>
                <w:szCs w:val="21"/>
                <w:lang w:val="en-US" w:bidi="ar-SA"/>
              </w:rPr>
              <w:t>具备</w:t>
            </w:r>
            <w:r>
              <w:rPr>
                <w:rFonts w:ascii="楷体" w:eastAsia="楷体" w:cs="楷体"/>
                <w:bCs/>
                <w:kern w:val="2"/>
                <w:szCs w:val="21"/>
                <w:lang w:val="en-US" w:eastAsia="zh-TW" w:bidi="ar-SA"/>
              </w:rPr>
              <w:t>对民族民间音乐审美</w:t>
            </w:r>
            <w:r>
              <w:rPr>
                <w:rFonts w:hint="eastAsia" w:ascii="楷体" w:eastAsia="楷体" w:cs="楷体"/>
                <w:bCs/>
                <w:kern w:val="2"/>
                <w:szCs w:val="21"/>
                <w:lang w:val="en-US" w:bidi="ar-SA"/>
              </w:rPr>
              <w:t>的一般</w:t>
            </w:r>
            <w:r>
              <w:rPr>
                <w:rFonts w:ascii="楷体" w:eastAsia="楷体" w:cs="楷体"/>
                <w:bCs/>
                <w:kern w:val="2"/>
                <w:szCs w:val="21"/>
                <w:lang w:val="en-US" w:eastAsia="zh-TW" w:bidi="ar-SA"/>
              </w:rPr>
              <w:t>能力。</w:t>
            </w:r>
          </w:p>
        </w:tc>
        <w:tc>
          <w:tcPr>
            <w:tcW w:w="1404" w:type="dxa"/>
            <w:tcBorders>
              <w:top w:val="single" w:color="000000" w:sz="4" w:space="0"/>
              <w:left w:val="single" w:color="000000" w:sz="4" w:space="0"/>
              <w:bottom w:val="single" w:color="000000" w:sz="4" w:space="0"/>
              <w:right w:val="single" w:color="000000" w:sz="4" w:space="0"/>
            </w:tcBorders>
            <w:noWrap/>
          </w:tcPr>
          <w:p w14:paraId="0C4E5218">
            <w:pPr>
              <w:pageBreakBefore w:val="0"/>
              <w:widowControl/>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val="en-US" w:bidi="ar-SA"/>
              </w:rPr>
              <w:t>基本掌握</w:t>
            </w:r>
            <w:r>
              <w:rPr>
                <w:rFonts w:ascii="楷体" w:eastAsia="楷体" w:cs="楷体"/>
                <w:bCs/>
                <w:kern w:val="2"/>
                <w:szCs w:val="21"/>
                <w:lang w:val="en-US" w:eastAsia="zh-TW" w:bidi="ar-SA"/>
              </w:rPr>
              <w:t>民族音乐语汇，</w:t>
            </w:r>
            <w:r>
              <w:rPr>
                <w:rFonts w:hint="eastAsia" w:ascii="楷体" w:eastAsia="楷体" w:cs="楷体"/>
                <w:bCs/>
                <w:kern w:val="2"/>
                <w:szCs w:val="21"/>
                <w:lang w:val="en-US" w:bidi="ar-SA"/>
              </w:rPr>
              <w:t>基本能够</w:t>
            </w:r>
            <w:r>
              <w:rPr>
                <w:rFonts w:ascii="楷体" w:eastAsia="楷体" w:cs="楷体"/>
                <w:bCs/>
                <w:kern w:val="2"/>
                <w:szCs w:val="21"/>
                <w:lang w:val="en-US" w:eastAsia="zh-TW" w:bidi="ar-SA"/>
              </w:rPr>
              <w:t>背唱一些经典的、有代表性的民歌与唱段，</w:t>
            </w:r>
            <w:r>
              <w:rPr>
                <w:rFonts w:hint="eastAsia" w:ascii="楷体" w:eastAsia="楷体" w:cs="楷体"/>
                <w:bCs/>
                <w:kern w:val="2"/>
                <w:szCs w:val="21"/>
                <w:lang w:val="en-US" w:bidi="ar-SA"/>
              </w:rPr>
              <w:t>具备</w:t>
            </w:r>
            <w:r>
              <w:rPr>
                <w:rFonts w:ascii="楷体" w:eastAsia="楷体" w:cs="楷体"/>
                <w:bCs/>
                <w:kern w:val="2"/>
                <w:szCs w:val="21"/>
                <w:lang w:val="en-US" w:eastAsia="zh-TW" w:bidi="ar-SA"/>
              </w:rPr>
              <w:t>对民族民间音乐审美</w:t>
            </w:r>
            <w:r>
              <w:rPr>
                <w:rFonts w:hint="eastAsia" w:ascii="楷体" w:eastAsia="楷体" w:cs="楷体"/>
                <w:bCs/>
                <w:kern w:val="2"/>
                <w:szCs w:val="21"/>
                <w:lang w:val="en-US" w:bidi="ar-SA"/>
              </w:rPr>
              <w:t>的基本</w:t>
            </w:r>
            <w:r>
              <w:rPr>
                <w:rFonts w:ascii="楷体" w:eastAsia="楷体" w:cs="楷体"/>
                <w:bCs/>
                <w:kern w:val="2"/>
                <w:szCs w:val="21"/>
                <w:lang w:val="en-US" w:eastAsia="zh-TW" w:bidi="ar-SA"/>
              </w:rPr>
              <w:t>能力。</w:t>
            </w:r>
          </w:p>
        </w:tc>
        <w:tc>
          <w:tcPr>
            <w:tcW w:w="1406" w:type="dxa"/>
            <w:tcBorders>
              <w:top w:val="single" w:color="000000" w:sz="4" w:space="0"/>
              <w:left w:val="single" w:color="000000" w:sz="4" w:space="0"/>
              <w:bottom w:val="single" w:color="000000" w:sz="4" w:space="0"/>
              <w:right w:val="single" w:color="000000" w:sz="4" w:space="0"/>
            </w:tcBorders>
            <w:noWrap/>
          </w:tcPr>
          <w:p w14:paraId="3D91CC73">
            <w:pPr>
              <w:pageBreakBefore w:val="0"/>
              <w:widowControl/>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val="en-US" w:bidi="ar-SA"/>
              </w:rPr>
              <w:t>不能够掌握</w:t>
            </w:r>
            <w:r>
              <w:rPr>
                <w:rFonts w:ascii="楷体" w:eastAsia="楷体" w:cs="楷体"/>
                <w:bCs/>
                <w:kern w:val="2"/>
                <w:szCs w:val="21"/>
                <w:lang w:val="en-US" w:eastAsia="zh-TW" w:bidi="ar-SA"/>
              </w:rPr>
              <w:t>民族音乐语汇，</w:t>
            </w:r>
            <w:r>
              <w:rPr>
                <w:rFonts w:hint="eastAsia" w:ascii="楷体" w:eastAsia="楷体" w:cs="楷体"/>
                <w:bCs/>
                <w:kern w:val="2"/>
                <w:szCs w:val="21"/>
                <w:lang w:val="en-US" w:bidi="ar-SA"/>
              </w:rPr>
              <w:t>不能够</w:t>
            </w:r>
            <w:r>
              <w:rPr>
                <w:rFonts w:ascii="楷体" w:eastAsia="楷体" w:cs="楷体"/>
                <w:bCs/>
                <w:kern w:val="2"/>
                <w:szCs w:val="21"/>
                <w:lang w:val="en-US" w:eastAsia="zh-TW" w:bidi="ar-SA"/>
              </w:rPr>
              <w:t>背唱一些经典的、有代表性的民歌与唱段，</w:t>
            </w:r>
            <w:r>
              <w:rPr>
                <w:rFonts w:hint="eastAsia" w:ascii="楷体" w:eastAsia="楷体" w:cs="楷体"/>
                <w:bCs/>
                <w:kern w:val="2"/>
                <w:szCs w:val="21"/>
                <w:lang w:val="en-US" w:bidi="ar-SA"/>
              </w:rPr>
              <w:t>缺乏</w:t>
            </w:r>
            <w:r>
              <w:rPr>
                <w:rFonts w:ascii="楷体" w:eastAsia="楷体" w:cs="楷体"/>
                <w:bCs/>
                <w:kern w:val="2"/>
                <w:szCs w:val="21"/>
                <w:lang w:val="en-US" w:eastAsia="zh-TW" w:bidi="ar-SA"/>
              </w:rPr>
              <w:t>对民族民间音乐审美</w:t>
            </w:r>
            <w:r>
              <w:rPr>
                <w:rFonts w:hint="eastAsia" w:ascii="楷体" w:eastAsia="楷体" w:cs="楷体"/>
                <w:bCs/>
                <w:kern w:val="2"/>
                <w:szCs w:val="21"/>
                <w:lang w:val="en-US" w:bidi="ar-SA"/>
              </w:rPr>
              <w:t>的基本</w:t>
            </w:r>
            <w:r>
              <w:rPr>
                <w:rFonts w:ascii="楷体" w:eastAsia="楷体" w:cs="楷体"/>
                <w:bCs/>
                <w:kern w:val="2"/>
                <w:szCs w:val="21"/>
                <w:lang w:val="en-US" w:eastAsia="zh-TW" w:bidi="ar-SA"/>
              </w:rPr>
              <w:t>能力。</w:t>
            </w:r>
          </w:p>
        </w:tc>
      </w:tr>
      <w:tr w14:paraId="005CBEAE">
        <w:trPr>
          <w:trHeight w:val="624" w:hRule="atLeast"/>
        </w:trPr>
        <w:tc>
          <w:tcPr>
            <w:tcW w:w="2188" w:type="dxa"/>
            <w:tcBorders>
              <w:top w:val="single" w:color="000000" w:sz="4" w:space="0"/>
              <w:left w:val="single" w:color="000000" w:sz="4" w:space="0"/>
              <w:bottom w:val="single" w:color="000000" w:sz="4" w:space="0"/>
              <w:right w:val="single" w:color="000000" w:sz="4" w:space="0"/>
            </w:tcBorders>
            <w:noWrap/>
          </w:tcPr>
          <w:p w14:paraId="7F5628C1">
            <w:pPr>
              <w:pageBreakBefore w:val="0"/>
              <w:widowControl/>
              <w:kinsoku/>
              <w:overflowPunct/>
              <w:topLinePunct w:val="0"/>
              <w:bidi w:val="0"/>
              <w:spacing w:line="240" w:lineRule="auto"/>
              <w:rPr>
                <w:rFonts w:hint="eastAsia" w:ascii="楷体" w:eastAsia="楷体" w:cs="楷体"/>
                <w:bCs/>
                <w:kern w:val="2"/>
                <w:szCs w:val="21"/>
                <w:lang w:eastAsia="zh-TW" w:bidi="ar-SA"/>
              </w:rPr>
            </w:pPr>
            <w:r>
              <w:rPr>
                <w:rFonts w:ascii="楷体" w:eastAsia="楷体" w:cs="楷体"/>
                <w:bCs/>
                <w:kern w:val="2"/>
                <w:szCs w:val="21"/>
                <w:lang w:val="en-US" w:eastAsia="zh-TW" w:bidi="ar-SA"/>
              </w:rPr>
              <w:t>课程目标2：熟悉代表性的民族民间音乐作品，对不同类型的民歌、曲种、剧种、乐种具有一定的辨别和分析能力</w:t>
            </w:r>
            <w:r>
              <w:rPr>
                <w:rFonts w:ascii="楷体" w:eastAsia="楷体" w:cs="楷体"/>
                <w:bCs/>
                <w:kern w:val="2"/>
                <w:szCs w:val="21"/>
                <w:lang w:eastAsia="zh-TW" w:bidi="ar-SA"/>
              </w:rPr>
              <w:t>；</w:t>
            </w:r>
            <w:r>
              <w:rPr>
                <w:rFonts w:ascii="楷体" w:eastAsia="楷体" w:cs="楷体"/>
                <w:bCs/>
                <w:kern w:val="2"/>
                <w:szCs w:val="21"/>
                <w:lang w:val="en-US" w:eastAsia="zh-TW" w:bidi="ar-SA"/>
              </w:rPr>
              <w:t>具备中国民族民间音乐的通识性知识体系，为在演唱或演奏中国作品时把握作品风格奠定基础</w:t>
            </w:r>
            <w:r>
              <w:rPr>
                <w:rFonts w:ascii="楷体" w:eastAsia="楷体" w:cs="楷体"/>
                <w:bCs/>
                <w:kern w:val="2"/>
                <w:szCs w:val="21"/>
                <w:lang w:eastAsia="zh-TW" w:bidi="ar-SA"/>
              </w:rPr>
              <w:t>；</w:t>
            </w:r>
            <w:r>
              <w:rPr>
                <w:rFonts w:hint="eastAsia" w:ascii="楷体" w:eastAsia="楷体" w:cs="楷体"/>
                <w:bCs/>
                <w:kern w:val="2"/>
                <w:szCs w:val="21"/>
                <w:lang w:val="en-US" w:bidi="ar-SA"/>
              </w:rPr>
              <w:t>领会</w:t>
            </w:r>
            <w:r>
              <w:rPr>
                <w:rFonts w:ascii="楷体" w:eastAsia="楷体" w:cs="楷体"/>
                <w:bCs/>
                <w:kern w:val="2"/>
                <w:szCs w:val="21"/>
                <w:lang w:val="en-US" w:eastAsia="zh-TW" w:bidi="ar-SA"/>
              </w:rPr>
              <w:t>民族民间音乐在音乐学专业中的重要作用，增强地方文化、民族文化认同的责任感，</w:t>
            </w:r>
            <w:r>
              <w:rPr>
                <w:rFonts w:hint="eastAsia" w:ascii="楷体" w:eastAsia="楷体" w:cs="楷体"/>
                <w:bCs/>
                <w:kern w:val="2"/>
                <w:szCs w:val="21"/>
                <w:lang w:val="en-US" w:bidi="ar-SA"/>
              </w:rPr>
              <w:t>树立</w:t>
            </w:r>
            <w:r>
              <w:rPr>
                <w:rFonts w:ascii="楷体" w:eastAsia="楷体" w:cs="楷体"/>
                <w:bCs/>
                <w:kern w:val="2"/>
                <w:szCs w:val="21"/>
                <w:lang w:val="en-US" w:eastAsia="zh-TW" w:bidi="ar-SA"/>
              </w:rPr>
              <w:t>担当中国传统音乐文化传播</w:t>
            </w:r>
            <w:r>
              <w:rPr>
                <w:rFonts w:ascii="楷体" w:eastAsia="楷体" w:cs="楷体"/>
                <w:bCs/>
                <w:kern w:val="2"/>
                <w:szCs w:val="21"/>
                <w:lang w:eastAsia="zh-TW" w:bidi="ar-SA"/>
              </w:rPr>
              <w:t>、</w:t>
            </w:r>
            <w:r>
              <w:rPr>
                <w:rFonts w:ascii="楷体" w:eastAsia="楷体" w:cs="楷体"/>
                <w:bCs/>
                <w:kern w:val="2"/>
                <w:szCs w:val="21"/>
                <w:lang w:val="en-US" w:eastAsia="zh-TW" w:bidi="ar-SA"/>
              </w:rPr>
              <w:t>传承</w:t>
            </w:r>
            <w:r>
              <w:rPr>
                <w:rFonts w:hint="eastAsia" w:ascii="楷体" w:eastAsia="楷体" w:cs="楷体"/>
                <w:bCs/>
                <w:kern w:val="2"/>
                <w:szCs w:val="21"/>
                <w:lang w:val="en-US" w:bidi="ar-SA"/>
              </w:rPr>
              <w:t>的</w:t>
            </w:r>
            <w:r>
              <w:rPr>
                <w:rFonts w:ascii="楷体" w:eastAsia="楷体" w:cs="楷体"/>
                <w:bCs/>
                <w:kern w:val="2"/>
                <w:szCs w:val="21"/>
                <w:lang w:val="en-US" w:eastAsia="zh-TW" w:bidi="ar-SA"/>
              </w:rPr>
              <w:t>历史使命</w:t>
            </w:r>
            <w:r>
              <w:rPr>
                <w:rFonts w:hint="eastAsia" w:ascii="楷体" w:eastAsia="楷体" w:cs="楷体"/>
                <w:bCs/>
                <w:kern w:val="2"/>
                <w:szCs w:val="21"/>
                <w:lang w:val="en-US" w:bidi="ar-SA"/>
              </w:rPr>
              <w:t>的信念</w:t>
            </w:r>
            <w:r>
              <w:rPr>
                <w:rFonts w:ascii="楷体" w:eastAsia="楷体" w:cs="楷体"/>
                <w:bCs/>
                <w:kern w:val="2"/>
                <w:szCs w:val="21"/>
                <w:lang w:val="en-US" w:eastAsia="zh-TW" w:bidi="ar-SA"/>
              </w:rPr>
              <w:t>。</w:t>
            </w:r>
          </w:p>
        </w:tc>
        <w:tc>
          <w:tcPr>
            <w:tcW w:w="1404" w:type="dxa"/>
            <w:tcBorders>
              <w:top w:val="single" w:color="000000" w:sz="4" w:space="0"/>
              <w:left w:val="single" w:color="000000" w:sz="4" w:space="0"/>
              <w:bottom w:val="single" w:color="000000" w:sz="4" w:space="0"/>
              <w:right w:val="single" w:color="000000" w:sz="4" w:space="0"/>
            </w:tcBorders>
            <w:noWrap/>
          </w:tcPr>
          <w:p w14:paraId="72E712C0">
            <w:pPr>
              <w:pageBreakBefore w:val="0"/>
              <w:widowControl/>
              <w:kinsoku/>
              <w:overflowPunct/>
              <w:topLinePunct w:val="0"/>
              <w:bidi w:val="0"/>
              <w:spacing w:line="240" w:lineRule="auto"/>
              <w:rPr>
                <w:rFonts w:ascii="楷体" w:eastAsia="楷体" w:cs="楷体"/>
                <w:bCs/>
                <w:kern w:val="2"/>
                <w:szCs w:val="21"/>
                <w:lang w:bidi="ar-SA"/>
              </w:rPr>
            </w:pPr>
            <w:r>
              <w:rPr>
                <w:rFonts w:hint="eastAsia" w:ascii="楷体" w:eastAsia="楷体" w:cs="楷体"/>
                <w:bCs/>
                <w:kern w:val="2"/>
                <w:szCs w:val="21"/>
                <w:lang w:val="en-US" w:bidi="ar-SA"/>
              </w:rPr>
              <w:t>具有较强的辨别和分析</w:t>
            </w:r>
            <w:r>
              <w:rPr>
                <w:rFonts w:ascii="楷体" w:eastAsia="楷体" w:cs="楷体"/>
                <w:bCs/>
                <w:kern w:val="2"/>
                <w:szCs w:val="21"/>
                <w:lang w:val="en-US" w:eastAsia="zh-TW" w:bidi="ar-SA"/>
              </w:rPr>
              <w:t>不同类型的民歌、曲种、剧种、乐种的能力</w:t>
            </w:r>
            <w:r>
              <w:rPr>
                <w:rFonts w:ascii="楷体" w:eastAsia="楷体" w:cs="楷体"/>
                <w:bCs/>
                <w:kern w:val="2"/>
                <w:szCs w:val="21"/>
                <w:lang w:eastAsia="zh-TW" w:bidi="ar-SA"/>
              </w:rPr>
              <w:t>；</w:t>
            </w:r>
            <w:r>
              <w:rPr>
                <w:rFonts w:ascii="楷体" w:eastAsia="楷体" w:cs="楷体"/>
                <w:bCs/>
                <w:kern w:val="2"/>
                <w:szCs w:val="21"/>
                <w:lang w:val="en-US" w:eastAsia="zh-TW" w:bidi="ar-SA"/>
              </w:rPr>
              <w:t>具备中国民族民间音乐的通识性知识体系，</w:t>
            </w:r>
            <w:r>
              <w:rPr>
                <w:rFonts w:hint="eastAsia" w:ascii="楷体" w:eastAsia="楷体" w:cs="楷体"/>
                <w:bCs/>
                <w:kern w:val="2"/>
                <w:szCs w:val="21"/>
                <w:lang w:val="en-US" w:bidi="ar-SA"/>
              </w:rPr>
              <w:t>充分领会</w:t>
            </w:r>
            <w:r>
              <w:rPr>
                <w:rFonts w:ascii="楷体" w:eastAsia="楷体" w:cs="楷体"/>
                <w:bCs/>
                <w:kern w:val="2"/>
                <w:szCs w:val="21"/>
                <w:lang w:val="en-US" w:eastAsia="zh-TW" w:bidi="ar-SA"/>
              </w:rPr>
              <w:t>民族民间音乐在音乐学专业中的重要作用，</w:t>
            </w:r>
            <w:r>
              <w:rPr>
                <w:rFonts w:hint="eastAsia" w:ascii="楷体" w:eastAsia="楷体" w:cs="楷体"/>
                <w:bCs/>
                <w:kern w:val="2"/>
                <w:szCs w:val="21"/>
                <w:lang w:val="en-US" w:bidi="ar-SA"/>
              </w:rPr>
              <w:t>具有传承传统民族音乐的较强意识</w:t>
            </w:r>
            <w:r>
              <w:rPr>
                <w:rFonts w:ascii="楷体" w:eastAsia="楷体" w:cs="楷体"/>
                <w:bCs/>
                <w:kern w:val="2"/>
                <w:szCs w:val="21"/>
                <w:lang w:bidi="ar-SA"/>
              </w:rPr>
              <w:t>。</w:t>
            </w:r>
          </w:p>
        </w:tc>
        <w:tc>
          <w:tcPr>
            <w:tcW w:w="1404" w:type="dxa"/>
            <w:tcBorders>
              <w:top w:val="single" w:color="000000" w:sz="4" w:space="0"/>
              <w:left w:val="single" w:color="000000" w:sz="4" w:space="0"/>
              <w:bottom w:val="single" w:color="000000" w:sz="4" w:space="0"/>
              <w:right w:val="single" w:color="000000" w:sz="4" w:space="0"/>
            </w:tcBorders>
            <w:noWrap/>
          </w:tcPr>
          <w:p w14:paraId="7637C819">
            <w:pPr>
              <w:pageBreakBefore w:val="0"/>
              <w:widowControl/>
              <w:kinsoku/>
              <w:overflowPunct/>
              <w:topLinePunct w:val="0"/>
              <w:bidi w:val="0"/>
              <w:spacing w:line="240" w:lineRule="auto"/>
              <w:rPr>
                <w:rFonts w:ascii="楷体" w:eastAsia="楷体" w:cs="楷体"/>
                <w:bCs/>
                <w:kern w:val="2"/>
                <w:szCs w:val="21"/>
                <w:lang w:eastAsia="zh-TW" w:bidi="ar-SA"/>
              </w:rPr>
            </w:pPr>
            <w:r>
              <w:rPr>
                <w:rFonts w:hint="eastAsia" w:ascii="楷体" w:eastAsia="楷体" w:cs="楷体"/>
                <w:bCs/>
                <w:kern w:val="2"/>
                <w:szCs w:val="21"/>
                <w:lang w:val="en-US" w:bidi="ar-SA"/>
              </w:rPr>
              <w:t>具有良好的辨别和分析</w:t>
            </w:r>
            <w:r>
              <w:rPr>
                <w:rFonts w:ascii="楷体" w:eastAsia="楷体" w:cs="楷体"/>
                <w:bCs/>
                <w:kern w:val="2"/>
                <w:szCs w:val="21"/>
                <w:lang w:val="en-US" w:eastAsia="zh-TW" w:bidi="ar-SA"/>
              </w:rPr>
              <w:t>不同类型的民歌、曲种、剧种、乐种的能力</w:t>
            </w:r>
            <w:r>
              <w:rPr>
                <w:rFonts w:ascii="楷体" w:eastAsia="楷体" w:cs="楷体"/>
                <w:bCs/>
                <w:kern w:val="2"/>
                <w:szCs w:val="21"/>
                <w:lang w:eastAsia="zh-TW" w:bidi="ar-SA"/>
              </w:rPr>
              <w:t>；</w:t>
            </w:r>
            <w:r>
              <w:rPr>
                <w:rFonts w:ascii="楷体" w:eastAsia="楷体" w:cs="楷体"/>
                <w:bCs/>
                <w:kern w:val="2"/>
                <w:szCs w:val="21"/>
                <w:lang w:val="en-US" w:eastAsia="zh-TW" w:bidi="ar-SA"/>
              </w:rPr>
              <w:t>具备中国民族民间音乐的通识性知识体系，</w:t>
            </w:r>
            <w:r>
              <w:rPr>
                <w:rFonts w:hint="eastAsia" w:ascii="楷体" w:eastAsia="楷体" w:cs="楷体"/>
                <w:bCs/>
                <w:kern w:val="2"/>
                <w:szCs w:val="21"/>
                <w:lang w:val="en-US" w:bidi="ar-SA"/>
              </w:rPr>
              <w:t>能够领会</w:t>
            </w:r>
            <w:r>
              <w:rPr>
                <w:rFonts w:ascii="楷体" w:eastAsia="楷体" w:cs="楷体"/>
                <w:bCs/>
                <w:kern w:val="2"/>
                <w:szCs w:val="21"/>
                <w:lang w:val="en-US" w:eastAsia="zh-TW" w:bidi="ar-SA"/>
              </w:rPr>
              <w:t>民族民间音乐在音乐学专业中的重要作用，</w:t>
            </w:r>
            <w:r>
              <w:rPr>
                <w:rFonts w:hint="eastAsia" w:ascii="楷体" w:eastAsia="楷体" w:cs="楷体"/>
                <w:bCs/>
                <w:kern w:val="2"/>
                <w:szCs w:val="21"/>
                <w:lang w:val="en-US" w:bidi="ar-SA"/>
              </w:rPr>
              <w:t>具有传承传统民族音乐的良好意识</w:t>
            </w:r>
            <w:r>
              <w:rPr>
                <w:rFonts w:ascii="楷体" w:eastAsia="楷体" w:cs="楷体"/>
                <w:bCs/>
                <w:kern w:val="2"/>
                <w:szCs w:val="21"/>
                <w:lang w:bidi="ar-SA"/>
              </w:rPr>
              <w:t>。</w:t>
            </w:r>
          </w:p>
        </w:tc>
        <w:tc>
          <w:tcPr>
            <w:tcW w:w="1404" w:type="dxa"/>
            <w:tcBorders>
              <w:top w:val="single" w:color="000000" w:sz="4" w:space="0"/>
              <w:left w:val="single" w:color="000000" w:sz="4" w:space="0"/>
              <w:bottom w:val="single" w:color="000000" w:sz="4" w:space="0"/>
              <w:right w:val="single" w:color="000000" w:sz="4" w:space="0"/>
            </w:tcBorders>
            <w:noWrap/>
          </w:tcPr>
          <w:p w14:paraId="6F219929">
            <w:pPr>
              <w:pageBreakBefore w:val="0"/>
              <w:widowControl/>
              <w:kinsoku/>
              <w:overflowPunct/>
              <w:topLinePunct w:val="0"/>
              <w:bidi w:val="0"/>
              <w:spacing w:line="240" w:lineRule="auto"/>
              <w:rPr>
                <w:rFonts w:ascii="楷体" w:eastAsia="楷体" w:cs="楷体"/>
                <w:bCs/>
                <w:kern w:val="2"/>
                <w:szCs w:val="21"/>
                <w:lang w:eastAsia="zh-TW" w:bidi="ar-SA"/>
              </w:rPr>
            </w:pPr>
            <w:r>
              <w:rPr>
                <w:rFonts w:hint="eastAsia" w:ascii="楷体" w:eastAsia="楷体" w:cs="楷体"/>
                <w:bCs/>
                <w:kern w:val="2"/>
                <w:szCs w:val="21"/>
                <w:lang w:val="en-US" w:bidi="ar-SA"/>
              </w:rPr>
              <w:t>具有辨别和分析</w:t>
            </w:r>
            <w:r>
              <w:rPr>
                <w:rFonts w:ascii="楷体" w:eastAsia="楷体" w:cs="楷体"/>
                <w:bCs/>
                <w:kern w:val="2"/>
                <w:szCs w:val="21"/>
                <w:lang w:val="en-US" w:eastAsia="zh-TW" w:bidi="ar-SA"/>
              </w:rPr>
              <w:t>不同类型的民歌、曲种、剧种、乐种的</w:t>
            </w:r>
            <w:r>
              <w:rPr>
                <w:rFonts w:hint="eastAsia" w:ascii="楷体" w:eastAsia="楷体" w:cs="楷体"/>
                <w:bCs/>
                <w:kern w:val="2"/>
                <w:szCs w:val="21"/>
                <w:lang w:val="en-US" w:bidi="ar-SA"/>
              </w:rPr>
              <w:t>一般</w:t>
            </w:r>
            <w:r>
              <w:rPr>
                <w:rFonts w:ascii="楷体" w:eastAsia="楷体" w:cs="楷体"/>
                <w:bCs/>
                <w:kern w:val="2"/>
                <w:szCs w:val="21"/>
                <w:lang w:val="en-US" w:eastAsia="zh-TW" w:bidi="ar-SA"/>
              </w:rPr>
              <w:t>能力</w:t>
            </w:r>
            <w:r>
              <w:rPr>
                <w:rFonts w:ascii="楷体" w:eastAsia="楷体" w:cs="楷体"/>
                <w:bCs/>
                <w:kern w:val="2"/>
                <w:szCs w:val="21"/>
                <w:lang w:eastAsia="zh-TW" w:bidi="ar-SA"/>
              </w:rPr>
              <w:t>；</w:t>
            </w:r>
            <w:r>
              <w:rPr>
                <w:rFonts w:hint="eastAsia" w:ascii="楷体" w:eastAsia="楷体" w:cs="楷体"/>
                <w:bCs/>
                <w:kern w:val="2"/>
                <w:szCs w:val="21"/>
                <w:lang w:val="en-US" w:bidi="ar-SA"/>
              </w:rPr>
              <w:t>基本</w:t>
            </w:r>
            <w:r>
              <w:rPr>
                <w:rFonts w:ascii="楷体" w:eastAsia="楷体" w:cs="楷体"/>
                <w:bCs/>
                <w:kern w:val="2"/>
                <w:szCs w:val="21"/>
                <w:lang w:val="en-US" w:eastAsia="zh-TW" w:bidi="ar-SA"/>
              </w:rPr>
              <w:t>具备中国民族民间音乐的通识性知识体系，</w:t>
            </w:r>
            <w:r>
              <w:rPr>
                <w:rFonts w:hint="eastAsia" w:ascii="楷体" w:eastAsia="楷体" w:cs="楷体"/>
                <w:bCs/>
                <w:kern w:val="2"/>
                <w:szCs w:val="21"/>
                <w:lang w:val="en-US" w:bidi="ar-SA"/>
              </w:rPr>
              <w:t>能够领会</w:t>
            </w:r>
            <w:r>
              <w:rPr>
                <w:rFonts w:ascii="楷体" w:eastAsia="楷体" w:cs="楷体"/>
                <w:bCs/>
                <w:kern w:val="2"/>
                <w:szCs w:val="21"/>
                <w:lang w:val="en-US" w:eastAsia="zh-TW" w:bidi="ar-SA"/>
              </w:rPr>
              <w:t>民族民间音乐在音乐学专业中的重要作用，</w:t>
            </w:r>
            <w:r>
              <w:rPr>
                <w:rFonts w:hint="eastAsia" w:ascii="楷体" w:eastAsia="楷体" w:cs="楷体"/>
                <w:bCs/>
                <w:kern w:val="2"/>
                <w:szCs w:val="21"/>
                <w:lang w:val="en-US" w:bidi="ar-SA"/>
              </w:rPr>
              <w:t>具有传承传统民族音乐的一般意识</w:t>
            </w:r>
            <w:r>
              <w:rPr>
                <w:rFonts w:ascii="楷体" w:eastAsia="楷体" w:cs="楷体"/>
                <w:bCs/>
                <w:kern w:val="2"/>
                <w:szCs w:val="21"/>
                <w:lang w:bidi="ar-SA"/>
              </w:rPr>
              <w:t>。</w:t>
            </w:r>
          </w:p>
        </w:tc>
        <w:tc>
          <w:tcPr>
            <w:tcW w:w="1404" w:type="dxa"/>
            <w:tcBorders>
              <w:top w:val="single" w:color="000000" w:sz="4" w:space="0"/>
              <w:left w:val="single" w:color="000000" w:sz="4" w:space="0"/>
              <w:bottom w:val="single" w:color="000000" w:sz="4" w:space="0"/>
              <w:right w:val="single" w:color="000000" w:sz="4" w:space="0"/>
            </w:tcBorders>
            <w:noWrap/>
          </w:tcPr>
          <w:p w14:paraId="6AB1DE3C">
            <w:pPr>
              <w:pageBreakBefore w:val="0"/>
              <w:widowControl/>
              <w:kinsoku/>
              <w:overflowPunct/>
              <w:topLinePunct w:val="0"/>
              <w:bidi w:val="0"/>
              <w:spacing w:line="240" w:lineRule="auto"/>
              <w:rPr>
                <w:rFonts w:ascii="楷体" w:eastAsia="楷体" w:cs="楷体"/>
                <w:bCs/>
                <w:kern w:val="2"/>
                <w:szCs w:val="21"/>
                <w:lang w:eastAsia="zh-TW" w:bidi="ar-SA"/>
              </w:rPr>
            </w:pPr>
            <w:r>
              <w:rPr>
                <w:rFonts w:hint="eastAsia" w:ascii="楷体" w:eastAsia="楷体" w:cs="楷体"/>
                <w:bCs/>
                <w:kern w:val="2"/>
                <w:szCs w:val="21"/>
                <w:lang w:val="en-US" w:bidi="ar-SA"/>
              </w:rPr>
              <w:t>具有</w:t>
            </w:r>
            <w:r>
              <w:rPr>
                <w:rFonts w:ascii="楷体" w:eastAsia="楷体" w:cs="楷体"/>
                <w:bCs/>
                <w:kern w:val="2"/>
                <w:szCs w:val="21"/>
                <w:lang w:val="en-US" w:eastAsia="zh-TW" w:bidi="ar-SA"/>
              </w:rPr>
              <w:t>辨别和分析不同类型的民歌、曲种、剧种、乐种的</w:t>
            </w:r>
            <w:r>
              <w:rPr>
                <w:rFonts w:hint="eastAsia" w:ascii="楷体" w:eastAsia="楷体" w:cs="楷体"/>
                <w:bCs/>
                <w:kern w:val="2"/>
                <w:szCs w:val="21"/>
                <w:lang w:val="en-US" w:bidi="ar-SA"/>
              </w:rPr>
              <w:t>的基本</w:t>
            </w:r>
            <w:r>
              <w:rPr>
                <w:rFonts w:ascii="楷体" w:eastAsia="楷体" w:cs="楷体"/>
                <w:bCs/>
                <w:kern w:val="2"/>
                <w:szCs w:val="21"/>
                <w:lang w:val="en-US" w:eastAsia="zh-TW" w:bidi="ar-SA"/>
              </w:rPr>
              <w:t>能力</w:t>
            </w:r>
            <w:r>
              <w:rPr>
                <w:rFonts w:ascii="楷体" w:eastAsia="楷体" w:cs="楷体"/>
                <w:bCs/>
                <w:kern w:val="2"/>
                <w:szCs w:val="21"/>
                <w:lang w:eastAsia="zh-TW" w:bidi="ar-SA"/>
              </w:rPr>
              <w:t>；</w:t>
            </w:r>
            <w:r>
              <w:rPr>
                <w:rFonts w:ascii="楷体" w:eastAsia="楷体" w:cs="楷体"/>
                <w:bCs/>
                <w:kern w:val="2"/>
                <w:szCs w:val="21"/>
                <w:lang w:val="en-US" w:eastAsia="zh-TW" w:bidi="ar-SA"/>
              </w:rPr>
              <w:t>具备中国民族民间音乐的通识性知识体系，</w:t>
            </w:r>
            <w:r>
              <w:rPr>
                <w:rFonts w:hint="eastAsia" w:ascii="楷体" w:eastAsia="楷体" w:cs="楷体"/>
                <w:bCs/>
                <w:kern w:val="2"/>
                <w:szCs w:val="21"/>
                <w:lang w:val="en-US" w:bidi="ar-SA"/>
              </w:rPr>
              <w:t>具有传承传统民族音乐的基本意识</w:t>
            </w:r>
            <w:r>
              <w:rPr>
                <w:rFonts w:ascii="楷体" w:eastAsia="楷体" w:cs="楷体"/>
                <w:bCs/>
                <w:kern w:val="2"/>
                <w:szCs w:val="21"/>
                <w:lang w:bidi="ar-SA"/>
              </w:rPr>
              <w:t>。</w:t>
            </w:r>
          </w:p>
        </w:tc>
        <w:tc>
          <w:tcPr>
            <w:tcW w:w="1406" w:type="dxa"/>
            <w:tcBorders>
              <w:top w:val="single" w:color="000000" w:sz="4" w:space="0"/>
              <w:left w:val="single" w:color="000000" w:sz="4" w:space="0"/>
              <w:bottom w:val="single" w:color="000000" w:sz="4" w:space="0"/>
              <w:right w:val="single" w:color="000000" w:sz="4" w:space="0"/>
            </w:tcBorders>
            <w:noWrap/>
          </w:tcPr>
          <w:p w14:paraId="20243150">
            <w:pPr>
              <w:pageBreakBefore w:val="0"/>
              <w:widowControl/>
              <w:kinsoku/>
              <w:overflowPunct/>
              <w:topLinePunct w:val="0"/>
              <w:bidi w:val="0"/>
              <w:spacing w:line="240" w:lineRule="auto"/>
              <w:rPr>
                <w:rFonts w:ascii="楷体" w:eastAsia="楷体" w:cs="楷体"/>
                <w:bCs/>
                <w:kern w:val="2"/>
                <w:szCs w:val="21"/>
                <w:lang w:eastAsia="zh-TW" w:bidi="ar-SA"/>
              </w:rPr>
            </w:pPr>
            <w:r>
              <w:rPr>
                <w:rFonts w:hint="eastAsia" w:ascii="楷体" w:eastAsia="楷体" w:cs="楷体"/>
                <w:bCs/>
                <w:kern w:val="2"/>
                <w:szCs w:val="21"/>
                <w:lang w:val="en-US" w:bidi="ar-SA"/>
              </w:rPr>
              <w:t>不具有</w:t>
            </w:r>
            <w:r>
              <w:rPr>
                <w:rFonts w:ascii="楷体" w:eastAsia="楷体" w:cs="楷体"/>
                <w:bCs/>
                <w:kern w:val="2"/>
                <w:szCs w:val="21"/>
                <w:lang w:val="en-US" w:eastAsia="zh-TW" w:bidi="ar-SA"/>
              </w:rPr>
              <w:t>辨别和分析不同类型的民歌、曲种、剧种、乐种的</w:t>
            </w:r>
            <w:r>
              <w:rPr>
                <w:rFonts w:hint="eastAsia" w:ascii="楷体" w:eastAsia="楷体" w:cs="楷体"/>
                <w:bCs/>
                <w:kern w:val="2"/>
                <w:szCs w:val="21"/>
                <w:lang w:val="en-US" w:bidi="ar-SA"/>
              </w:rPr>
              <w:t>的基本</w:t>
            </w:r>
            <w:r>
              <w:rPr>
                <w:rFonts w:ascii="楷体" w:eastAsia="楷体" w:cs="楷体"/>
                <w:bCs/>
                <w:kern w:val="2"/>
                <w:szCs w:val="21"/>
                <w:lang w:val="en-US" w:eastAsia="zh-TW" w:bidi="ar-SA"/>
              </w:rPr>
              <w:t>能力</w:t>
            </w:r>
            <w:r>
              <w:rPr>
                <w:rFonts w:ascii="楷体" w:eastAsia="楷体" w:cs="楷体"/>
                <w:bCs/>
                <w:kern w:val="2"/>
                <w:szCs w:val="21"/>
                <w:lang w:eastAsia="zh-TW" w:bidi="ar-SA"/>
              </w:rPr>
              <w:t>；</w:t>
            </w:r>
            <w:r>
              <w:rPr>
                <w:rFonts w:hint="eastAsia" w:ascii="楷体" w:eastAsia="楷体" w:cs="楷体"/>
                <w:bCs/>
                <w:kern w:val="2"/>
                <w:szCs w:val="21"/>
                <w:lang w:val="en-US" w:bidi="ar-SA"/>
              </w:rPr>
              <w:t>不</w:t>
            </w:r>
            <w:r>
              <w:rPr>
                <w:rFonts w:ascii="楷体" w:eastAsia="楷体" w:cs="楷体"/>
                <w:bCs/>
                <w:kern w:val="2"/>
                <w:szCs w:val="21"/>
                <w:lang w:val="en-US" w:eastAsia="zh-TW" w:bidi="ar-SA"/>
              </w:rPr>
              <w:t>具备中国民族民间音乐的通识性知识体系，</w:t>
            </w:r>
            <w:r>
              <w:rPr>
                <w:rFonts w:hint="eastAsia" w:ascii="楷体" w:eastAsia="楷体" w:cs="楷体"/>
                <w:bCs/>
                <w:kern w:val="2"/>
                <w:szCs w:val="21"/>
                <w:lang w:val="en-US" w:bidi="ar-SA"/>
              </w:rPr>
              <w:t>尚不具有传承传统民族音乐的基本意识</w:t>
            </w:r>
            <w:r>
              <w:rPr>
                <w:rFonts w:ascii="楷体" w:eastAsia="楷体" w:cs="楷体"/>
                <w:bCs/>
                <w:kern w:val="2"/>
                <w:szCs w:val="21"/>
                <w:lang w:bidi="ar-SA"/>
              </w:rPr>
              <w:t>。</w:t>
            </w:r>
          </w:p>
        </w:tc>
      </w:tr>
      <w:tr w14:paraId="7C9B501C">
        <w:trPr>
          <w:trHeight w:val="624" w:hRule="atLeast"/>
        </w:trPr>
        <w:tc>
          <w:tcPr>
            <w:tcW w:w="2188" w:type="dxa"/>
            <w:tcBorders>
              <w:top w:val="single" w:color="000000" w:sz="4" w:space="0"/>
              <w:left w:val="single" w:color="000000" w:sz="4" w:space="0"/>
              <w:bottom w:val="single" w:color="000000" w:sz="4" w:space="0"/>
              <w:right w:val="single" w:color="000000" w:sz="4" w:space="0"/>
            </w:tcBorders>
            <w:noWrap/>
          </w:tcPr>
          <w:p w14:paraId="73571716">
            <w:pPr>
              <w:pageBreakBefore w:val="0"/>
              <w:widowControl/>
              <w:kinsoku/>
              <w:overflowPunct/>
              <w:topLinePunct w:val="0"/>
              <w:bidi w:val="0"/>
              <w:spacing w:line="240" w:lineRule="auto"/>
              <w:rPr>
                <w:rFonts w:hint="eastAsia" w:ascii="楷体" w:eastAsia="楷体" w:cs="楷体"/>
                <w:bCs/>
                <w:kern w:val="2"/>
                <w:szCs w:val="21"/>
                <w:lang w:eastAsia="zh-TW" w:bidi="ar-SA"/>
              </w:rPr>
            </w:pPr>
            <w:r>
              <w:rPr>
                <w:rFonts w:ascii="楷体" w:eastAsia="楷体" w:cs="楷体"/>
                <w:bCs/>
                <w:kern w:val="2"/>
                <w:szCs w:val="21"/>
                <w:lang w:val="en-US" w:eastAsia="zh-TW" w:bidi="ar-SA"/>
              </w:rPr>
              <w:t>课程目标3：</w:t>
            </w:r>
            <w:r>
              <w:rPr>
                <w:rFonts w:hint="eastAsia" w:ascii="楷体" w:eastAsia="楷体" w:cs="楷体"/>
                <w:bCs/>
                <w:kern w:val="2"/>
                <w:szCs w:val="21"/>
                <w:lang w:val="en-US" w:eastAsia="zh-TW" w:bidi="ar-SA"/>
              </w:rPr>
              <w:t>充分领会中国民族音乐的意义</w:t>
            </w:r>
            <w:r>
              <w:rPr>
                <w:rFonts w:hint="eastAsia" w:ascii="楷体" w:eastAsia="楷体" w:cs="楷体"/>
                <w:bCs/>
                <w:kern w:val="2"/>
                <w:szCs w:val="21"/>
                <w:lang w:val="en-US" w:bidi="ar-SA"/>
              </w:rPr>
              <w:t>以及育人价值</w:t>
            </w:r>
            <w:r>
              <w:rPr>
                <w:rFonts w:hint="eastAsia" w:ascii="楷体" w:eastAsia="楷体" w:cs="楷体"/>
                <w:bCs/>
                <w:kern w:val="2"/>
                <w:szCs w:val="21"/>
                <w:lang w:val="en-US" w:eastAsia="zh-TW" w:bidi="ar-SA"/>
              </w:rPr>
              <w:t>，</w:t>
            </w:r>
            <w:r>
              <w:rPr>
                <w:rFonts w:hint="eastAsia" w:ascii="楷体" w:eastAsia="楷体" w:cs="楷体"/>
                <w:bCs/>
                <w:kern w:val="2"/>
                <w:szCs w:val="21"/>
                <w:lang w:val="en-US" w:bidi="ar-SA"/>
              </w:rPr>
              <w:t>提升音乐的</w:t>
            </w:r>
            <w:r>
              <w:rPr>
                <w:rFonts w:hint="eastAsia" w:ascii="楷体" w:eastAsia="楷体" w:cs="楷体"/>
                <w:bCs/>
                <w:kern w:val="2"/>
                <w:szCs w:val="21"/>
                <w:lang w:eastAsia="zh-TW" w:bidi="ar-SA"/>
              </w:rPr>
              <w:t>审美感受</w:t>
            </w:r>
            <w:r>
              <w:rPr>
                <w:rFonts w:hint="eastAsia" w:ascii="楷体" w:eastAsia="楷体" w:cs="楷体"/>
                <w:bCs/>
                <w:kern w:val="2"/>
                <w:szCs w:val="21"/>
                <w:lang w:val="en-US" w:bidi="ar-SA"/>
              </w:rPr>
              <w:t>度</w:t>
            </w:r>
            <w:r>
              <w:rPr>
                <w:rFonts w:hint="eastAsia" w:ascii="楷体" w:eastAsia="楷体" w:cs="楷体"/>
                <w:bCs/>
                <w:kern w:val="2"/>
                <w:szCs w:val="21"/>
                <w:lang w:eastAsia="zh-TW" w:bidi="ar-SA"/>
              </w:rPr>
              <w:t>和艺术感知力</w:t>
            </w:r>
            <w:r>
              <w:rPr>
                <w:rFonts w:ascii="楷体" w:eastAsia="楷体" w:cs="楷体"/>
                <w:bCs/>
                <w:kern w:val="2"/>
                <w:szCs w:val="21"/>
                <w:lang w:eastAsia="zh-TW" w:bidi="ar-SA"/>
              </w:rPr>
              <w:t>，</w:t>
            </w:r>
            <w:r>
              <w:rPr>
                <w:rFonts w:hint="eastAsia" w:ascii="楷体" w:eastAsia="楷体" w:cs="楷体"/>
                <w:bCs/>
                <w:kern w:val="2"/>
                <w:szCs w:val="21"/>
                <w:lang w:val="en-US" w:bidi="ar-SA"/>
              </w:rPr>
              <w:t>能够</w:t>
            </w:r>
            <w:r>
              <w:rPr>
                <w:rFonts w:hint="eastAsia" w:ascii="楷体" w:eastAsia="楷体" w:cs="楷体"/>
                <w:bCs/>
                <w:kern w:val="2"/>
                <w:szCs w:val="21"/>
                <w:lang w:val="en-US" w:eastAsia="zh-CN" w:bidi="ar-SA"/>
              </w:rPr>
              <w:t>在音乐教学、</w:t>
            </w:r>
            <w:r>
              <w:rPr>
                <w:rFonts w:hint="eastAsia" w:ascii="楷体" w:eastAsia="楷体" w:cs="楷体"/>
                <w:bCs/>
                <w:kern w:val="2"/>
                <w:szCs w:val="21"/>
                <w:lang w:val="en-US" w:bidi="ar-SA"/>
              </w:rPr>
              <w:t>音乐活动</w:t>
            </w:r>
            <w:r>
              <w:rPr>
                <w:rFonts w:hint="eastAsia" w:ascii="楷体" w:eastAsia="楷体" w:cs="楷体"/>
                <w:bCs/>
                <w:kern w:val="2"/>
                <w:szCs w:val="21"/>
                <w:lang w:val="en-US" w:eastAsia="zh-CN" w:bidi="ar-SA"/>
              </w:rPr>
              <w:t>中渗透</w:t>
            </w:r>
            <w:r>
              <w:rPr>
                <w:rFonts w:ascii="楷体" w:eastAsia="楷体" w:cs="楷体"/>
                <w:bCs/>
                <w:kern w:val="2"/>
                <w:szCs w:val="21"/>
                <w:lang w:val="en-US" w:eastAsia="zh-CN" w:bidi="ar-SA"/>
              </w:rPr>
              <w:t>“</w:t>
            </w:r>
            <w:r>
              <w:rPr>
                <w:rFonts w:hint="eastAsia" w:ascii="楷体" w:eastAsia="楷体" w:cs="楷体"/>
                <w:bCs/>
                <w:kern w:val="2"/>
                <w:szCs w:val="21"/>
                <w:lang w:val="en-US" w:eastAsia="zh-CN" w:bidi="ar-SA"/>
              </w:rPr>
              <w:t>以美育人</w:t>
            </w:r>
            <w:r>
              <w:rPr>
                <w:rFonts w:ascii="楷体" w:eastAsia="楷体" w:cs="楷体"/>
                <w:bCs/>
                <w:kern w:val="2"/>
                <w:szCs w:val="21"/>
                <w:lang w:val="en-US" w:eastAsia="zh-CN" w:bidi="ar-SA"/>
              </w:rPr>
              <w:t>”</w:t>
            </w:r>
            <w:r>
              <w:rPr>
                <w:rFonts w:hint="eastAsia" w:ascii="楷体" w:eastAsia="楷体" w:cs="楷体"/>
                <w:bCs/>
                <w:kern w:val="2"/>
                <w:szCs w:val="21"/>
                <w:lang w:val="en-US" w:eastAsia="zh-CN" w:bidi="ar-SA"/>
              </w:rPr>
              <w:t>的理念。</w:t>
            </w:r>
          </w:p>
        </w:tc>
        <w:tc>
          <w:tcPr>
            <w:tcW w:w="1404" w:type="dxa"/>
            <w:tcBorders>
              <w:top w:val="single" w:color="000000" w:sz="4" w:space="0"/>
              <w:left w:val="single" w:color="000000" w:sz="4" w:space="0"/>
              <w:bottom w:val="single" w:color="000000" w:sz="4" w:space="0"/>
              <w:right w:val="single" w:color="000000" w:sz="4" w:space="0"/>
            </w:tcBorders>
            <w:noWrap/>
          </w:tcPr>
          <w:p w14:paraId="66DCC2E8">
            <w:pPr>
              <w:pageBreakBefore w:val="0"/>
              <w:widowControl/>
              <w:kinsoku/>
              <w:overflowPunct/>
              <w:topLinePunct w:val="0"/>
              <w:bidi w:val="0"/>
              <w:spacing w:line="240" w:lineRule="auto"/>
              <w:rPr>
                <w:rFonts w:hint="eastAsia" w:ascii="楷体" w:eastAsia="楷体" w:cs="楷体"/>
                <w:bCs/>
                <w:kern w:val="2"/>
                <w:szCs w:val="21"/>
                <w:lang w:eastAsia="zh-TW" w:bidi="ar-SA"/>
              </w:rPr>
            </w:pPr>
            <w:r>
              <w:rPr>
                <w:rFonts w:hint="eastAsia" w:ascii="楷体" w:eastAsia="楷体" w:cs="楷体"/>
                <w:bCs/>
                <w:kern w:val="2"/>
                <w:szCs w:val="21"/>
                <w:lang w:val="en-US" w:bidi="ar-SA"/>
              </w:rPr>
              <w:t>能够</w:t>
            </w:r>
            <w:r>
              <w:rPr>
                <w:rFonts w:hint="eastAsia" w:ascii="楷体" w:eastAsia="楷体" w:cs="楷体"/>
                <w:bCs/>
                <w:kern w:val="2"/>
                <w:szCs w:val="21"/>
                <w:lang w:val="en-US" w:eastAsia="zh-TW" w:bidi="ar-SA"/>
              </w:rPr>
              <w:t>充分领会中国民族音乐的意义</w:t>
            </w:r>
            <w:r>
              <w:rPr>
                <w:rFonts w:hint="eastAsia" w:ascii="楷体" w:eastAsia="楷体" w:cs="楷体"/>
                <w:bCs/>
                <w:kern w:val="2"/>
                <w:szCs w:val="21"/>
                <w:lang w:val="en-US" w:bidi="ar-SA"/>
              </w:rPr>
              <w:t>以及育人价值</w:t>
            </w:r>
            <w:r>
              <w:rPr>
                <w:rFonts w:hint="eastAsia" w:ascii="楷体" w:eastAsia="楷体" w:cs="楷体"/>
                <w:bCs/>
                <w:kern w:val="2"/>
                <w:szCs w:val="21"/>
                <w:lang w:val="en-US" w:eastAsia="zh-TW" w:bidi="ar-SA"/>
              </w:rPr>
              <w:t>，</w:t>
            </w:r>
            <w:r>
              <w:rPr>
                <w:rFonts w:hint="eastAsia" w:ascii="楷体" w:eastAsia="楷体" w:cs="楷体"/>
                <w:bCs/>
                <w:kern w:val="2"/>
                <w:szCs w:val="21"/>
                <w:lang w:val="en-US" w:bidi="ar-SA"/>
              </w:rPr>
              <w:t>具有较强的音乐</w:t>
            </w:r>
            <w:r>
              <w:rPr>
                <w:rFonts w:hint="eastAsia" w:ascii="楷体" w:eastAsia="楷体" w:cs="楷体"/>
                <w:bCs/>
                <w:kern w:val="2"/>
                <w:szCs w:val="21"/>
                <w:lang w:eastAsia="zh-TW" w:bidi="ar-SA"/>
              </w:rPr>
              <w:t>审美感受</w:t>
            </w:r>
            <w:r>
              <w:rPr>
                <w:rFonts w:hint="eastAsia" w:ascii="楷体" w:eastAsia="楷体" w:cs="楷体"/>
                <w:bCs/>
                <w:kern w:val="2"/>
                <w:szCs w:val="21"/>
                <w:lang w:val="en-US" w:bidi="ar-SA"/>
              </w:rPr>
              <w:t>度</w:t>
            </w:r>
            <w:r>
              <w:rPr>
                <w:rFonts w:hint="eastAsia" w:ascii="楷体" w:eastAsia="楷体" w:cs="楷体"/>
                <w:bCs/>
                <w:kern w:val="2"/>
                <w:szCs w:val="21"/>
                <w:lang w:eastAsia="zh-TW" w:bidi="ar-SA"/>
              </w:rPr>
              <w:t>和艺术感知力</w:t>
            </w:r>
            <w:r>
              <w:rPr>
                <w:rFonts w:ascii="楷体" w:eastAsia="楷体" w:cs="楷体"/>
                <w:bCs/>
                <w:kern w:val="2"/>
                <w:szCs w:val="21"/>
                <w:lang w:eastAsia="zh-TW" w:bidi="ar-SA"/>
              </w:rPr>
              <w:t>，</w:t>
            </w:r>
            <w:r>
              <w:rPr>
                <w:rFonts w:hint="eastAsia" w:ascii="楷体" w:eastAsia="楷体" w:cs="楷体"/>
                <w:bCs/>
                <w:kern w:val="2"/>
                <w:szCs w:val="21"/>
                <w:lang w:val="en-US" w:bidi="ar-SA"/>
              </w:rPr>
              <w:t>能够</w:t>
            </w:r>
            <w:r>
              <w:rPr>
                <w:rFonts w:hint="eastAsia" w:ascii="楷体" w:eastAsia="楷体" w:cs="楷体"/>
                <w:bCs/>
                <w:kern w:val="2"/>
                <w:szCs w:val="21"/>
                <w:lang w:val="en-US" w:eastAsia="zh-CN" w:bidi="ar-SA"/>
              </w:rPr>
              <w:t>在音乐教学、</w:t>
            </w:r>
            <w:r>
              <w:rPr>
                <w:rFonts w:hint="eastAsia" w:ascii="楷体" w:eastAsia="楷体" w:cs="楷体"/>
                <w:bCs/>
                <w:kern w:val="2"/>
                <w:szCs w:val="21"/>
                <w:lang w:val="en-US" w:bidi="ar-SA"/>
              </w:rPr>
              <w:t>音乐活动</w:t>
            </w:r>
            <w:r>
              <w:rPr>
                <w:rFonts w:hint="eastAsia" w:ascii="楷体" w:eastAsia="楷体" w:cs="楷体"/>
                <w:bCs/>
                <w:kern w:val="2"/>
                <w:szCs w:val="21"/>
                <w:lang w:val="en-US" w:eastAsia="zh-CN" w:bidi="ar-SA"/>
              </w:rPr>
              <w:t>中渗透</w:t>
            </w:r>
            <w:r>
              <w:rPr>
                <w:rFonts w:ascii="楷体" w:eastAsia="楷体" w:cs="楷体"/>
                <w:bCs/>
                <w:kern w:val="2"/>
                <w:szCs w:val="21"/>
                <w:lang w:val="en-US" w:eastAsia="zh-CN" w:bidi="ar-SA"/>
              </w:rPr>
              <w:t>“</w:t>
            </w:r>
            <w:r>
              <w:rPr>
                <w:rFonts w:hint="eastAsia" w:ascii="楷体" w:eastAsia="楷体" w:cs="楷体"/>
                <w:bCs/>
                <w:kern w:val="2"/>
                <w:szCs w:val="21"/>
                <w:lang w:val="en-US" w:eastAsia="zh-CN" w:bidi="ar-SA"/>
              </w:rPr>
              <w:t>以美育人</w:t>
            </w:r>
            <w:r>
              <w:rPr>
                <w:rFonts w:ascii="楷体" w:eastAsia="楷体" w:cs="楷体"/>
                <w:bCs/>
                <w:kern w:val="2"/>
                <w:szCs w:val="21"/>
                <w:lang w:val="en-US" w:eastAsia="zh-CN" w:bidi="ar-SA"/>
              </w:rPr>
              <w:t>”</w:t>
            </w:r>
            <w:r>
              <w:rPr>
                <w:rFonts w:hint="eastAsia" w:ascii="楷体" w:eastAsia="楷体" w:cs="楷体"/>
                <w:bCs/>
                <w:kern w:val="2"/>
                <w:szCs w:val="21"/>
                <w:lang w:val="en-US" w:eastAsia="zh-CN" w:bidi="ar-SA"/>
              </w:rPr>
              <w:t>的理念。</w:t>
            </w:r>
          </w:p>
        </w:tc>
        <w:tc>
          <w:tcPr>
            <w:tcW w:w="1404" w:type="dxa"/>
            <w:tcBorders>
              <w:top w:val="single" w:color="000000" w:sz="4" w:space="0"/>
              <w:left w:val="single" w:color="000000" w:sz="4" w:space="0"/>
              <w:bottom w:val="single" w:color="000000" w:sz="4" w:space="0"/>
              <w:right w:val="single" w:color="000000" w:sz="4" w:space="0"/>
            </w:tcBorders>
            <w:noWrap/>
          </w:tcPr>
          <w:p w14:paraId="167F362C">
            <w:pPr>
              <w:pageBreakBefore w:val="0"/>
              <w:widowControl/>
              <w:kinsoku/>
              <w:overflowPunct/>
              <w:topLinePunct w:val="0"/>
              <w:bidi w:val="0"/>
              <w:spacing w:line="240" w:lineRule="auto"/>
              <w:rPr>
                <w:rFonts w:ascii="楷体" w:eastAsia="楷体" w:cs="楷体"/>
                <w:bCs/>
                <w:kern w:val="2"/>
                <w:szCs w:val="21"/>
                <w:lang w:eastAsia="zh-TW" w:bidi="ar-SA"/>
              </w:rPr>
            </w:pPr>
            <w:r>
              <w:rPr>
                <w:rFonts w:hint="eastAsia" w:ascii="楷体" w:eastAsia="楷体" w:cs="楷体"/>
                <w:bCs/>
                <w:kern w:val="2"/>
                <w:szCs w:val="21"/>
                <w:lang w:val="en-US" w:bidi="ar-SA"/>
              </w:rPr>
              <w:t>能够较好</w:t>
            </w:r>
            <w:r>
              <w:rPr>
                <w:rFonts w:hint="eastAsia" w:ascii="楷体" w:eastAsia="楷体" w:cs="楷体"/>
                <w:bCs/>
                <w:kern w:val="2"/>
                <w:szCs w:val="21"/>
                <w:lang w:val="en-US" w:eastAsia="zh-TW" w:bidi="ar-SA"/>
              </w:rPr>
              <w:t>领会中国民族音乐的意义</w:t>
            </w:r>
            <w:r>
              <w:rPr>
                <w:rFonts w:hint="eastAsia" w:ascii="楷体" w:eastAsia="楷体" w:cs="楷体"/>
                <w:bCs/>
                <w:kern w:val="2"/>
                <w:szCs w:val="21"/>
                <w:lang w:val="en-US" w:bidi="ar-SA"/>
              </w:rPr>
              <w:t>以及育人价值</w:t>
            </w:r>
            <w:r>
              <w:rPr>
                <w:rFonts w:hint="eastAsia" w:ascii="楷体" w:eastAsia="楷体" w:cs="楷体"/>
                <w:bCs/>
                <w:kern w:val="2"/>
                <w:szCs w:val="21"/>
                <w:lang w:val="en-US" w:eastAsia="zh-TW" w:bidi="ar-SA"/>
              </w:rPr>
              <w:t>，</w:t>
            </w:r>
            <w:r>
              <w:rPr>
                <w:rFonts w:hint="eastAsia" w:ascii="楷体" w:eastAsia="楷体" w:cs="楷体"/>
                <w:bCs/>
                <w:kern w:val="2"/>
                <w:szCs w:val="21"/>
                <w:lang w:val="en-US" w:bidi="ar-SA"/>
              </w:rPr>
              <w:t>具有较好的音乐</w:t>
            </w:r>
            <w:r>
              <w:rPr>
                <w:rFonts w:hint="eastAsia" w:ascii="楷体" w:eastAsia="楷体" w:cs="楷体"/>
                <w:bCs/>
                <w:kern w:val="2"/>
                <w:szCs w:val="21"/>
                <w:lang w:eastAsia="zh-TW" w:bidi="ar-SA"/>
              </w:rPr>
              <w:t>审美感受</w:t>
            </w:r>
            <w:r>
              <w:rPr>
                <w:rFonts w:hint="eastAsia" w:ascii="楷体" w:eastAsia="楷体" w:cs="楷体"/>
                <w:bCs/>
                <w:kern w:val="2"/>
                <w:szCs w:val="21"/>
                <w:lang w:val="en-US" w:bidi="ar-SA"/>
              </w:rPr>
              <w:t>度</w:t>
            </w:r>
            <w:r>
              <w:rPr>
                <w:rFonts w:hint="eastAsia" w:ascii="楷体" w:eastAsia="楷体" w:cs="楷体"/>
                <w:bCs/>
                <w:kern w:val="2"/>
                <w:szCs w:val="21"/>
                <w:lang w:eastAsia="zh-TW" w:bidi="ar-SA"/>
              </w:rPr>
              <w:t>和艺术感知力</w:t>
            </w:r>
            <w:r>
              <w:rPr>
                <w:rFonts w:ascii="楷体" w:eastAsia="楷体" w:cs="楷体"/>
                <w:bCs/>
                <w:kern w:val="2"/>
                <w:szCs w:val="21"/>
                <w:lang w:eastAsia="zh-TW" w:bidi="ar-SA"/>
              </w:rPr>
              <w:t>，</w:t>
            </w:r>
            <w:r>
              <w:rPr>
                <w:rFonts w:hint="eastAsia" w:ascii="楷体" w:eastAsia="楷体" w:cs="楷体"/>
                <w:bCs/>
                <w:kern w:val="2"/>
                <w:szCs w:val="21"/>
                <w:lang w:val="en-US" w:bidi="ar-SA"/>
              </w:rPr>
              <w:t>能够</w:t>
            </w:r>
            <w:r>
              <w:rPr>
                <w:rFonts w:hint="eastAsia" w:ascii="楷体" w:eastAsia="楷体" w:cs="楷体"/>
                <w:bCs/>
                <w:kern w:val="2"/>
                <w:szCs w:val="21"/>
                <w:lang w:val="en-US" w:eastAsia="zh-CN" w:bidi="ar-SA"/>
              </w:rPr>
              <w:t>在音乐教学、</w:t>
            </w:r>
            <w:r>
              <w:rPr>
                <w:rFonts w:hint="eastAsia" w:ascii="楷体" w:eastAsia="楷体" w:cs="楷体"/>
                <w:bCs/>
                <w:kern w:val="2"/>
                <w:szCs w:val="21"/>
                <w:lang w:val="en-US" w:bidi="ar-SA"/>
              </w:rPr>
              <w:t>音乐活动</w:t>
            </w:r>
            <w:r>
              <w:rPr>
                <w:rFonts w:hint="eastAsia" w:ascii="楷体" w:eastAsia="楷体" w:cs="楷体"/>
                <w:bCs/>
                <w:kern w:val="2"/>
                <w:szCs w:val="21"/>
                <w:lang w:val="en-US" w:eastAsia="zh-CN" w:bidi="ar-SA"/>
              </w:rPr>
              <w:t>中渗透</w:t>
            </w:r>
            <w:r>
              <w:rPr>
                <w:rFonts w:ascii="楷体" w:eastAsia="楷体" w:cs="楷体"/>
                <w:bCs/>
                <w:kern w:val="2"/>
                <w:szCs w:val="21"/>
                <w:lang w:val="en-US" w:eastAsia="zh-CN" w:bidi="ar-SA"/>
              </w:rPr>
              <w:t>“</w:t>
            </w:r>
            <w:r>
              <w:rPr>
                <w:rFonts w:hint="eastAsia" w:ascii="楷体" w:eastAsia="楷体" w:cs="楷体"/>
                <w:bCs/>
                <w:kern w:val="2"/>
                <w:szCs w:val="21"/>
                <w:lang w:val="en-US" w:eastAsia="zh-CN" w:bidi="ar-SA"/>
              </w:rPr>
              <w:t>以美育人</w:t>
            </w:r>
            <w:r>
              <w:rPr>
                <w:rFonts w:ascii="楷体" w:eastAsia="楷体" w:cs="楷体"/>
                <w:bCs/>
                <w:kern w:val="2"/>
                <w:szCs w:val="21"/>
                <w:lang w:val="en-US" w:eastAsia="zh-CN" w:bidi="ar-SA"/>
              </w:rPr>
              <w:t>”</w:t>
            </w:r>
            <w:r>
              <w:rPr>
                <w:rFonts w:hint="eastAsia" w:ascii="楷体" w:eastAsia="楷体" w:cs="楷体"/>
                <w:bCs/>
                <w:kern w:val="2"/>
                <w:szCs w:val="21"/>
                <w:lang w:val="en-US" w:eastAsia="zh-CN" w:bidi="ar-SA"/>
              </w:rPr>
              <w:t>的理念。</w:t>
            </w:r>
          </w:p>
        </w:tc>
        <w:tc>
          <w:tcPr>
            <w:tcW w:w="1404" w:type="dxa"/>
            <w:tcBorders>
              <w:top w:val="single" w:color="000000" w:sz="4" w:space="0"/>
              <w:left w:val="single" w:color="000000" w:sz="4" w:space="0"/>
              <w:bottom w:val="single" w:color="000000" w:sz="4" w:space="0"/>
              <w:right w:val="single" w:color="000000" w:sz="4" w:space="0"/>
            </w:tcBorders>
            <w:noWrap/>
          </w:tcPr>
          <w:p w14:paraId="4DF9414A">
            <w:pPr>
              <w:pageBreakBefore w:val="0"/>
              <w:widowControl/>
              <w:kinsoku/>
              <w:overflowPunct/>
              <w:topLinePunct w:val="0"/>
              <w:bidi w:val="0"/>
              <w:spacing w:line="240" w:lineRule="auto"/>
              <w:rPr>
                <w:rFonts w:ascii="楷体" w:eastAsia="楷体" w:cs="楷体"/>
                <w:bCs/>
                <w:kern w:val="2"/>
                <w:szCs w:val="21"/>
                <w:lang w:eastAsia="zh-TW" w:bidi="ar-SA"/>
              </w:rPr>
            </w:pPr>
            <w:r>
              <w:rPr>
                <w:rFonts w:hint="eastAsia" w:ascii="楷体" w:eastAsia="楷体" w:cs="楷体"/>
                <w:bCs/>
                <w:kern w:val="2"/>
                <w:szCs w:val="21"/>
                <w:lang w:val="en-US" w:bidi="ar-SA"/>
              </w:rPr>
              <w:t>能够</w:t>
            </w:r>
            <w:r>
              <w:rPr>
                <w:rFonts w:hint="eastAsia" w:ascii="楷体" w:eastAsia="楷体" w:cs="楷体"/>
                <w:bCs/>
                <w:kern w:val="2"/>
                <w:szCs w:val="21"/>
                <w:lang w:val="en-US" w:eastAsia="zh-TW" w:bidi="ar-SA"/>
              </w:rPr>
              <w:t>领会中国民族音乐的意义</w:t>
            </w:r>
            <w:r>
              <w:rPr>
                <w:rFonts w:hint="eastAsia" w:ascii="楷体" w:eastAsia="楷体" w:cs="楷体"/>
                <w:bCs/>
                <w:kern w:val="2"/>
                <w:szCs w:val="21"/>
                <w:lang w:val="en-US" w:bidi="ar-SA"/>
              </w:rPr>
              <w:t>以及育人价值</w:t>
            </w:r>
            <w:r>
              <w:rPr>
                <w:rFonts w:hint="eastAsia" w:ascii="楷体" w:eastAsia="楷体" w:cs="楷体"/>
                <w:bCs/>
                <w:kern w:val="2"/>
                <w:szCs w:val="21"/>
                <w:lang w:val="en-US" w:eastAsia="zh-TW" w:bidi="ar-SA"/>
              </w:rPr>
              <w:t>，</w:t>
            </w:r>
            <w:r>
              <w:rPr>
                <w:rFonts w:hint="eastAsia" w:ascii="楷体" w:eastAsia="楷体" w:cs="楷体"/>
                <w:bCs/>
                <w:kern w:val="2"/>
                <w:szCs w:val="21"/>
                <w:lang w:val="en-US" w:bidi="ar-SA"/>
              </w:rPr>
              <w:t>具有一般的音乐</w:t>
            </w:r>
            <w:r>
              <w:rPr>
                <w:rFonts w:hint="eastAsia" w:ascii="楷体" w:eastAsia="楷体" w:cs="楷体"/>
                <w:bCs/>
                <w:kern w:val="2"/>
                <w:szCs w:val="21"/>
                <w:lang w:eastAsia="zh-TW" w:bidi="ar-SA"/>
              </w:rPr>
              <w:t>审美感受</w:t>
            </w:r>
            <w:r>
              <w:rPr>
                <w:rFonts w:hint="eastAsia" w:ascii="楷体" w:eastAsia="楷体" w:cs="楷体"/>
                <w:bCs/>
                <w:kern w:val="2"/>
                <w:szCs w:val="21"/>
                <w:lang w:val="en-US" w:bidi="ar-SA"/>
              </w:rPr>
              <w:t>度</w:t>
            </w:r>
            <w:r>
              <w:rPr>
                <w:rFonts w:hint="eastAsia" w:ascii="楷体" w:eastAsia="楷体" w:cs="楷体"/>
                <w:bCs/>
                <w:kern w:val="2"/>
                <w:szCs w:val="21"/>
                <w:lang w:eastAsia="zh-TW" w:bidi="ar-SA"/>
              </w:rPr>
              <w:t>和艺术感知力</w:t>
            </w:r>
            <w:r>
              <w:rPr>
                <w:rFonts w:ascii="楷体" w:eastAsia="楷体" w:cs="楷体"/>
                <w:bCs/>
                <w:kern w:val="2"/>
                <w:szCs w:val="21"/>
                <w:lang w:eastAsia="zh-TW" w:bidi="ar-SA"/>
              </w:rPr>
              <w:t>，</w:t>
            </w:r>
            <w:r>
              <w:rPr>
                <w:rFonts w:hint="eastAsia" w:ascii="楷体" w:eastAsia="楷体" w:cs="楷体"/>
                <w:bCs/>
                <w:kern w:val="2"/>
                <w:szCs w:val="21"/>
                <w:lang w:val="en-US" w:bidi="ar-SA"/>
              </w:rPr>
              <w:t>基本能够</w:t>
            </w:r>
            <w:r>
              <w:rPr>
                <w:rFonts w:hint="eastAsia" w:ascii="楷体" w:eastAsia="楷体" w:cs="楷体"/>
                <w:bCs/>
                <w:kern w:val="2"/>
                <w:szCs w:val="21"/>
                <w:lang w:val="en-US" w:eastAsia="zh-CN" w:bidi="ar-SA"/>
              </w:rPr>
              <w:t>在音乐教学、</w:t>
            </w:r>
            <w:r>
              <w:rPr>
                <w:rFonts w:hint="eastAsia" w:ascii="楷体" w:eastAsia="楷体" w:cs="楷体"/>
                <w:bCs/>
                <w:kern w:val="2"/>
                <w:szCs w:val="21"/>
                <w:lang w:val="en-US" w:bidi="ar-SA"/>
              </w:rPr>
              <w:t>音乐活动</w:t>
            </w:r>
            <w:r>
              <w:rPr>
                <w:rFonts w:hint="eastAsia" w:ascii="楷体" w:eastAsia="楷体" w:cs="楷体"/>
                <w:bCs/>
                <w:kern w:val="2"/>
                <w:szCs w:val="21"/>
                <w:lang w:val="en-US" w:eastAsia="zh-CN" w:bidi="ar-SA"/>
              </w:rPr>
              <w:t>中渗透</w:t>
            </w:r>
            <w:r>
              <w:rPr>
                <w:rFonts w:ascii="楷体" w:eastAsia="楷体" w:cs="楷体"/>
                <w:bCs/>
                <w:kern w:val="2"/>
                <w:szCs w:val="21"/>
                <w:lang w:val="en-US" w:eastAsia="zh-CN" w:bidi="ar-SA"/>
              </w:rPr>
              <w:t>“</w:t>
            </w:r>
            <w:r>
              <w:rPr>
                <w:rFonts w:hint="eastAsia" w:ascii="楷体" w:eastAsia="楷体" w:cs="楷体"/>
                <w:bCs/>
                <w:kern w:val="2"/>
                <w:szCs w:val="21"/>
                <w:lang w:val="en-US" w:eastAsia="zh-CN" w:bidi="ar-SA"/>
              </w:rPr>
              <w:t>以美育人</w:t>
            </w:r>
            <w:r>
              <w:rPr>
                <w:rFonts w:ascii="楷体" w:eastAsia="楷体" w:cs="楷体"/>
                <w:bCs/>
                <w:kern w:val="2"/>
                <w:szCs w:val="21"/>
                <w:lang w:val="en-US" w:eastAsia="zh-CN" w:bidi="ar-SA"/>
              </w:rPr>
              <w:t>”</w:t>
            </w:r>
            <w:r>
              <w:rPr>
                <w:rFonts w:hint="eastAsia" w:ascii="楷体" w:eastAsia="楷体" w:cs="楷体"/>
                <w:bCs/>
                <w:kern w:val="2"/>
                <w:szCs w:val="21"/>
                <w:lang w:val="en-US" w:eastAsia="zh-CN" w:bidi="ar-SA"/>
              </w:rPr>
              <w:t>的理念。</w:t>
            </w:r>
          </w:p>
        </w:tc>
        <w:tc>
          <w:tcPr>
            <w:tcW w:w="1404" w:type="dxa"/>
            <w:tcBorders>
              <w:top w:val="single" w:color="000000" w:sz="4" w:space="0"/>
              <w:left w:val="single" w:color="000000" w:sz="4" w:space="0"/>
              <w:bottom w:val="single" w:color="000000" w:sz="4" w:space="0"/>
              <w:right w:val="single" w:color="000000" w:sz="4" w:space="0"/>
            </w:tcBorders>
            <w:noWrap/>
          </w:tcPr>
          <w:p w14:paraId="29CCBF5D">
            <w:pPr>
              <w:pageBreakBefore w:val="0"/>
              <w:widowControl/>
              <w:kinsoku/>
              <w:overflowPunct/>
              <w:topLinePunct w:val="0"/>
              <w:bidi w:val="0"/>
              <w:spacing w:line="240" w:lineRule="auto"/>
              <w:rPr>
                <w:rFonts w:ascii="楷体" w:eastAsia="楷体" w:cs="楷体"/>
                <w:bCs/>
                <w:kern w:val="2"/>
                <w:szCs w:val="21"/>
                <w:lang w:eastAsia="zh-TW" w:bidi="ar-SA"/>
              </w:rPr>
            </w:pPr>
            <w:r>
              <w:rPr>
                <w:rFonts w:hint="eastAsia" w:ascii="楷体" w:eastAsia="楷体" w:cs="楷体"/>
                <w:bCs/>
                <w:kern w:val="2"/>
                <w:szCs w:val="21"/>
                <w:lang w:val="en-US" w:bidi="ar-SA"/>
              </w:rPr>
              <w:t>基本</w:t>
            </w:r>
            <w:r>
              <w:rPr>
                <w:rFonts w:hint="eastAsia" w:ascii="楷体" w:eastAsia="楷体" w:cs="楷体"/>
                <w:bCs/>
                <w:kern w:val="2"/>
                <w:szCs w:val="21"/>
                <w:lang w:val="en-US" w:eastAsia="zh-TW" w:bidi="ar-SA"/>
              </w:rPr>
              <w:t>领会中国民族音乐的意义</w:t>
            </w:r>
            <w:r>
              <w:rPr>
                <w:rFonts w:hint="eastAsia" w:ascii="楷体" w:eastAsia="楷体" w:cs="楷体"/>
                <w:bCs/>
                <w:kern w:val="2"/>
                <w:szCs w:val="21"/>
                <w:lang w:val="en-US" w:bidi="ar-SA"/>
              </w:rPr>
              <w:t>以及育人价值</w:t>
            </w:r>
            <w:r>
              <w:rPr>
                <w:rFonts w:hint="eastAsia" w:ascii="楷体" w:eastAsia="楷体" w:cs="楷体"/>
                <w:bCs/>
                <w:kern w:val="2"/>
                <w:szCs w:val="21"/>
                <w:lang w:val="en-US" w:eastAsia="zh-TW" w:bidi="ar-SA"/>
              </w:rPr>
              <w:t>，</w:t>
            </w:r>
            <w:r>
              <w:rPr>
                <w:rFonts w:hint="eastAsia" w:ascii="楷体" w:eastAsia="楷体" w:cs="楷体"/>
                <w:bCs/>
                <w:kern w:val="2"/>
                <w:szCs w:val="21"/>
                <w:lang w:val="en-US" w:bidi="ar-SA"/>
              </w:rPr>
              <w:t>具有基本的音乐</w:t>
            </w:r>
            <w:r>
              <w:rPr>
                <w:rFonts w:hint="eastAsia" w:ascii="楷体" w:eastAsia="楷体" w:cs="楷体"/>
                <w:bCs/>
                <w:kern w:val="2"/>
                <w:szCs w:val="21"/>
                <w:lang w:eastAsia="zh-TW" w:bidi="ar-SA"/>
              </w:rPr>
              <w:t>审美感受</w:t>
            </w:r>
            <w:r>
              <w:rPr>
                <w:rFonts w:hint="eastAsia" w:ascii="楷体" w:eastAsia="楷体" w:cs="楷体"/>
                <w:bCs/>
                <w:kern w:val="2"/>
                <w:szCs w:val="21"/>
                <w:lang w:val="en-US" w:bidi="ar-SA"/>
              </w:rPr>
              <w:t>度</w:t>
            </w:r>
            <w:r>
              <w:rPr>
                <w:rFonts w:hint="eastAsia" w:ascii="楷体" w:eastAsia="楷体" w:cs="楷体"/>
                <w:bCs/>
                <w:kern w:val="2"/>
                <w:szCs w:val="21"/>
                <w:lang w:eastAsia="zh-TW" w:bidi="ar-SA"/>
              </w:rPr>
              <w:t>和艺术感知力</w:t>
            </w:r>
            <w:r>
              <w:rPr>
                <w:rFonts w:ascii="楷体" w:eastAsia="楷体" w:cs="楷体"/>
                <w:bCs/>
                <w:kern w:val="2"/>
                <w:szCs w:val="21"/>
                <w:lang w:eastAsia="zh-TW" w:bidi="ar-SA"/>
              </w:rPr>
              <w:t>，</w:t>
            </w:r>
            <w:r>
              <w:rPr>
                <w:rFonts w:hint="eastAsia" w:ascii="楷体" w:eastAsia="楷体" w:cs="楷体"/>
                <w:bCs/>
                <w:kern w:val="2"/>
                <w:szCs w:val="21"/>
                <w:lang w:val="en-US" w:bidi="ar-SA"/>
              </w:rPr>
              <w:t>基本能够</w:t>
            </w:r>
            <w:r>
              <w:rPr>
                <w:rFonts w:hint="eastAsia" w:ascii="楷体" w:eastAsia="楷体" w:cs="楷体"/>
                <w:bCs/>
                <w:kern w:val="2"/>
                <w:szCs w:val="21"/>
                <w:lang w:val="en-US" w:eastAsia="zh-CN" w:bidi="ar-SA"/>
              </w:rPr>
              <w:t>在音乐教学、</w:t>
            </w:r>
            <w:r>
              <w:rPr>
                <w:rFonts w:hint="eastAsia" w:ascii="楷体" w:eastAsia="楷体" w:cs="楷体"/>
                <w:bCs/>
                <w:kern w:val="2"/>
                <w:szCs w:val="21"/>
                <w:lang w:val="en-US" w:bidi="ar-SA"/>
              </w:rPr>
              <w:t>音乐活动</w:t>
            </w:r>
            <w:r>
              <w:rPr>
                <w:rFonts w:hint="eastAsia" w:ascii="楷体" w:eastAsia="楷体" w:cs="楷体"/>
                <w:bCs/>
                <w:kern w:val="2"/>
                <w:szCs w:val="21"/>
                <w:lang w:val="en-US" w:eastAsia="zh-CN" w:bidi="ar-SA"/>
              </w:rPr>
              <w:t>中渗透</w:t>
            </w:r>
            <w:r>
              <w:rPr>
                <w:rFonts w:ascii="楷体" w:eastAsia="楷体" w:cs="楷体"/>
                <w:bCs/>
                <w:kern w:val="2"/>
                <w:szCs w:val="21"/>
                <w:lang w:val="en-US" w:eastAsia="zh-CN" w:bidi="ar-SA"/>
              </w:rPr>
              <w:t>“</w:t>
            </w:r>
            <w:r>
              <w:rPr>
                <w:rFonts w:hint="eastAsia" w:ascii="楷体" w:eastAsia="楷体" w:cs="楷体"/>
                <w:bCs/>
                <w:kern w:val="2"/>
                <w:szCs w:val="21"/>
                <w:lang w:val="en-US" w:eastAsia="zh-CN" w:bidi="ar-SA"/>
              </w:rPr>
              <w:t>以美育人</w:t>
            </w:r>
            <w:r>
              <w:rPr>
                <w:rFonts w:ascii="楷体" w:eastAsia="楷体" w:cs="楷体"/>
                <w:bCs/>
                <w:kern w:val="2"/>
                <w:szCs w:val="21"/>
                <w:lang w:val="en-US" w:eastAsia="zh-CN" w:bidi="ar-SA"/>
              </w:rPr>
              <w:t>”</w:t>
            </w:r>
            <w:r>
              <w:rPr>
                <w:rFonts w:hint="eastAsia" w:ascii="楷体" w:eastAsia="楷体" w:cs="楷体"/>
                <w:bCs/>
                <w:kern w:val="2"/>
                <w:szCs w:val="21"/>
                <w:lang w:val="en-US" w:eastAsia="zh-CN" w:bidi="ar-SA"/>
              </w:rPr>
              <w:t>的理念。</w:t>
            </w:r>
          </w:p>
        </w:tc>
        <w:tc>
          <w:tcPr>
            <w:tcW w:w="1406" w:type="dxa"/>
            <w:tcBorders>
              <w:top w:val="single" w:color="000000" w:sz="4" w:space="0"/>
              <w:left w:val="single" w:color="000000" w:sz="4" w:space="0"/>
              <w:bottom w:val="single" w:color="000000" w:sz="4" w:space="0"/>
              <w:right w:val="single" w:color="000000" w:sz="4" w:space="0"/>
            </w:tcBorders>
            <w:noWrap/>
          </w:tcPr>
          <w:p w14:paraId="7BD2BF64">
            <w:pPr>
              <w:pageBreakBefore w:val="0"/>
              <w:widowControl/>
              <w:kinsoku/>
              <w:overflowPunct/>
              <w:topLinePunct w:val="0"/>
              <w:bidi w:val="0"/>
              <w:spacing w:line="240" w:lineRule="auto"/>
              <w:rPr>
                <w:rFonts w:ascii="楷体" w:eastAsia="楷体" w:cs="楷体"/>
                <w:bCs/>
                <w:kern w:val="2"/>
                <w:szCs w:val="21"/>
                <w:lang w:eastAsia="zh-TW" w:bidi="ar-SA"/>
              </w:rPr>
            </w:pPr>
            <w:r>
              <w:rPr>
                <w:rFonts w:hint="eastAsia" w:ascii="楷体" w:eastAsia="楷体" w:cs="楷体"/>
                <w:bCs/>
                <w:kern w:val="2"/>
                <w:szCs w:val="21"/>
                <w:lang w:val="en-US" w:bidi="ar-SA"/>
              </w:rPr>
              <w:t>不能够</w:t>
            </w:r>
            <w:r>
              <w:rPr>
                <w:rFonts w:hint="eastAsia" w:ascii="楷体" w:eastAsia="楷体" w:cs="楷体"/>
                <w:bCs/>
                <w:kern w:val="2"/>
                <w:szCs w:val="21"/>
                <w:lang w:val="en-US" w:eastAsia="zh-TW" w:bidi="ar-SA"/>
              </w:rPr>
              <w:t>领会中国民族音乐的意义</w:t>
            </w:r>
            <w:r>
              <w:rPr>
                <w:rFonts w:hint="eastAsia" w:ascii="楷体" w:eastAsia="楷体" w:cs="楷体"/>
                <w:bCs/>
                <w:kern w:val="2"/>
                <w:szCs w:val="21"/>
                <w:lang w:val="en-US" w:bidi="ar-SA"/>
              </w:rPr>
              <w:t>以及育人价值</w:t>
            </w:r>
            <w:r>
              <w:rPr>
                <w:rFonts w:hint="eastAsia" w:ascii="楷体" w:eastAsia="楷体" w:cs="楷体"/>
                <w:bCs/>
                <w:kern w:val="2"/>
                <w:szCs w:val="21"/>
                <w:lang w:val="en-US" w:eastAsia="zh-TW" w:bidi="ar-SA"/>
              </w:rPr>
              <w:t>，</w:t>
            </w:r>
            <w:r>
              <w:rPr>
                <w:rFonts w:hint="eastAsia" w:ascii="楷体" w:eastAsia="楷体" w:cs="楷体"/>
                <w:bCs/>
                <w:kern w:val="2"/>
                <w:szCs w:val="21"/>
                <w:lang w:val="en-US" w:bidi="ar-SA"/>
              </w:rPr>
              <w:t>不具有基本的音乐</w:t>
            </w:r>
            <w:r>
              <w:rPr>
                <w:rFonts w:hint="eastAsia" w:ascii="楷体" w:eastAsia="楷体" w:cs="楷体"/>
                <w:bCs/>
                <w:kern w:val="2"/>
                <w:szCs w:val="21"/>
                <w:lang w:eastAsia="zh-TW" w:bidi="ar-SA"/>
              </w:rPr>
              <w:t>审美感受</w:t>
            </w:r>
            <w:r>
              <w:rPr>
                <w:rFonts w:hint="eastAsia" w:ascii="楷体" w:eastAsia="楷体" w:cs="楷体"/>
                <w:bCs/>
                <w:kern w:val="2"/>
                <w:szCs w:val="21"/>
                <w:lang w:val="en-US" w:bidi="ar-SA"/>
              </w:rPr>
              <w:t>度</w:t>
            </w:r>
            <w:r>
              <w:rPr>
                <w:rFonts w:hint="eastAsia" w:ascii="楷体" w:eastAsia="楷体" w:cs="楷体"/>
                <w:bCs/>
                <w:kern w:val="2"/>
                <w:szCs w:val="21"/>
                <w:lang w:eastAsia="zh-TW" w:bidi="ar-SA"/>
              </w:rPr>
              <w:t>和艺术感知力</w:t>
            </w:r>
            <w:r>
              <w:rPr>
                <w:rFonts w:ascii="楷体" w:eastAsia="楷体" w:cs="楷体"/>
                <w:bCs/>
                <w:kern w:val="2"/>
                <w:szCs w:val="21"/>
                <w:lang w:eastAsia="zh-TW" w:bidi="ar-SA"/>
              </w:rPr>
              <w:t>，</w:t>
            </w:r>
            <w:r>
              <w:rPr>
                <w:rFonts w:hint="eastAsia" w:ascii="楷体" w:eastAsia="楷体" w:cs="楷体"/>
                <w:bCs/>
                <w:kern w:val="2"/>
                <w:szCs w:val="21"/>
                <w:lang w:val="en-US" w:bidi="ar-SA"/>
              </w:rPr>
              <w:t>尚不能够</w:t>
            </w:r>
            <w:r>
              <w:rPr>
                <w:rFonts w:hint="eastAsia" w:ascii="楷体" w:eastAsia="楷体" w:cs="楷体"/>
                <w:bCs/>
                <w:kern w:val="2"/>
                <w:szCs w:val="21"/>
                <w:lang w:val="en-US" w:eastAsia="zh-CN" w:bidi="ar-SA"/>
              </w:rPr>
              <w:t>在音乐教学、</w:t>
            </w:r>
            <w:r>
              <w:rPr>
                <w:rFonts w:hint="eastAsia" w:ascii="楷体" w:eastAsia="楷体" w:cs="楷体"/>
                <w:bCs/>
                <w:kern w:val="2"/>
                <w:szCs w:val="21"/>
                <w:lang w:val="en-US" w:bidi="ar-SA"/>
              </w:rPr>
              <w:t>音乐活动</w:t>
            </w:r>
            <w:r>
              <w:rPr>
                <w:rFonts w:hint="eastAsia" w:ascii="楷体" w:eastAsia="楷体" w:cs="楷体"/>
                <w:bCs/>
                <w:kern w:val="2"/>
                <w:szCs w:val="21"/>
                <w:lang w:val="en-US" w:eastAsia="zh-CN" w:bidi="ar-SA"/>
              </w:rPr>
              <w:t>中渗透</w:t>
            </w:r>
            <w:r>
              <w:rPr>
                <w:rFonts w:ascii="楷体" w:eastAsia="楷体" w:cs="楷体"/>
                <w:bCs/>
                <w:kern w:val="2"/>
                <w:szCs w:val="21"/>
                <w:lang w:val="en-US" w:eastAsia="zh-CN" w:bidi="ar-SA"/>
              </w:rPr>
              <w:t>“</w:t>
            </w:r>
            <w:r>
              <w:rPr>
                <w:rFonts w:hint="eastAsia" w:ascii="楷体" w:eastAsia="楷体" w:cs="楷体"/>
                <w:bCs/>
                <w:kern w:val="2"/>
                <w:szCs w:val="21"/>
                <w:lang w:val="en-US" w:eastAsia="zh-CN" w:bidi="ar-SA"/>
              </w:rPr>
              <w:t>以美育人</w:t>
            </w:r>
            <w:r>
              <w:rPr>
                <w:rFonts w:ascii="楷体" w:eastAsia="楷体" w:cs="楷体"/>
                <w:bCs/>
                <w:kern w:val="2"/>
                <w:szCs w:val="21"/>
                <w:lang w:val="en-US" w:eastAsia="zh-CN" w:bidi="ar-SA"/>
              </w:rPr>
              <w:t>”</w:t>
            </w:r>
            <w:r>
              <w:rPr>
                <w:rFonts w:hint="eastAsia" w:ascii="楷体" w:eastAsia="楷体" w:cs="楷体"/>
                <w:bCs/>
                <w:kern w:val="2"/>
                <w:szCs w:val="21"/>
                <w:lang w:val="en-US" w:eastAsia="zh-CN" w:bidi="ar-SA"/>
              </w:rPr>
              <w:t>的理</w:t>
            </w:r>
          </w:p>
        </w:tc>
      </w:tr>
    </w:tbl>
    <w:p w14:paraId="20D6CDB3">
      <w:pPr>
        <w:rPr>
          <w:sz w:val="2"/>
          <w:szCs w:val="2"/>
        </w:rPr>
        <w:sectPr>
          <w:headerReference r:id="rId17" w:type="default"/>
          <w:footerReference r:id="rId18" w:type="default"/>
          <w:pgSz w:w="11906" w:h="16838"/>
          <w:pgMar w:top="1440" w:right="1800" w:bottom="1440" w:left="1800" w:header="851" w:footer="992" w:gutter="0"/>
          <w:cols w:space="425" w:num="1"/>
          <w:docGrid w:type="lines" w:linePitch="312" w:charSpace="0"/>
        </w:sectPr>
      </w:pPr>
    </w:p>
    <w:p w14:paraId="1DEF8112">
      <w:pPr>
        <w:pStyle w:val="10"/>
        <w:jc w:val="center"/>
        <w:rPr>
          <w:rFonts w:hint="eastAsia" w:ascii="微软雅黑" w:hAnsi="微软雅黑" w:eastAsia="微软雅黑" w:cs="微软雅黑"/>
          <w:sz w:val="44"/>
          <w:szCs w:val="44"/>
        </w:rPr>
      </w:pPr>
      <w:r>
        <w:rPr>
          <w:rFonts w:hint="eastAsia" w:eastAsia="微软雅黑" w:cs="Times New Roman"/>
          <w:sz w:val="44"/>
          <w:szCs w:val="44"/>
        </w:rPr>
        <w:t>三明学院音乐学（音乐教育）专业</w:t>
      </w:r>
    </w:p>
    <w:p w14:paraId="563634F7">
      <w:pPr>
        <w:pStyle w:val="35"/>
        <w:bidi w:val="0"/>
        <w:jc w:val="center"/>
        <w:rPr>
          <w:rFonts w:hint="eastAsia"/>
        </w:rPr>
      </w:pPr>
      <w:bookmarkStart w:id="75" w:name="_Toc1688466230"/>
      <w:bookmarkStart w:id="76" w:name="_Toc1944933205"/>
      <w:bookmarkStart w:id="77" w:name="_Toc1503579423"/>
      <w:bookmarkStart w:id="78" w:name="_Toc751102402"/>
      <w:r>
        <w:rPr>
          <w:rFonts w:hint="eastAsia"/>
        </w:rPr>
        <w:t>《中国音乐史与欣赏》课程教学大纲</w:t>
      </w:r>
      <w:bookmarkEnd w:id="75"/>
      <w:bookmarkEnd w:id="76"/>
      <w:bookmarkEnd w:id="77"/>
      <w:bookmarkEnd w:id="78"/>
    </w:p>
    <w:tbl>
      <w:tblPr>
        <w:tblStyle w:val="22"/>
        <w:tblW w:w="92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032"/>
        <w:gridCol w:w="142"/>
        <w:gridCol w:w="1202"/>
        <w:gridCol w:w="1493"/>
        <w:gridCol w:w="113"/>
        <w:gridCol w:w="34"/>
        <w:gridCol w:w="1103"/>
        <w:gridCol w:w="302"/>
        <w:gridCol w:w="729"/>
        <w:gridCol w:w="509"/>
        <w:gridCol w:w="524"/>
        <w:gridCol w:w="739"/>
      </w:tblGrid>
      <w:tr w14:paraId="1E1DFBC2">
        <w:trPr>
          <w:trHeight w:val="794" w:hRule="atLeast"/>
          <w:jc w:val="center"/>
        </w:trPr>
        <w:tc>
          <w:tcPr>
            <w:tcW w:w="1376" w:type="dxa"/>
            <w:noWrap w:val="0"/>
            <w:vAlign w:val="center"/>
          </w:tcPr>
          <w:p w14:paraId="487DAB2B">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课程名称</w:t>
            </w:r>
          </w:p>
        </w:tc>
        <w:tc>
          <w:tcPr>
            <w:tcW w:w="5421" w:type="dxa"/>
            <w:gridSpan w:val="8"/>
            <w:noWrap w:val="0"/>
            <w:vAlign w:val="center"/>
          </w:tcPr>
          <w:p w14:paraId="242DBCEE">
            <w:pPr>
              <w:adjustRightInd w:val="0"/>
              <w:snapToGrid w:val="0"/>
              <w:spacing w:line="240" w:lineRule="atLeast"/>
              <w:jc w:val="center"/>
              <w:rPr>
                <w:rFonts w:hint="eastAsia" w:ascii="仿宋" w:hAnsi="仿宋" w:eastAsia="仿宋" w:cs="仿宋"/>
                <w:sz w:val="24"/>
                <w:szCs w:val="24"/>
              </w:rPr>
            </w:pPr>
            <w:r>
              <w:rPr>
                <w:rFonts w:hint="default" w:ascii="仿宋" w:hAnsi="仿宋" w:eastAsia="仿宋" w:cs="仿宋"/>
                <w:sz w:val="24"/>
                <w:szCs w:val="24"/>
              </w:rPr>
              <w:t>《</w:t>
            </w:r>
            <w:r>
              <w:rPr>
                <w:rFonts w:hint="eastAsia" w:ascii="仿宋" w:hAnsi="仿宋" w:eastAsia="仿宋" w:cs="仿宋"/>
                <w:sz w:val="24"/>
                <w:szCs w:val="24"/>
              </w:rPr>
              <w:t>中国音乐史与</w:t>
            </w:r>
            <w:r>
              <w:rPr>
                <w:rFonts w:hint="eastAsia" w:ascii="仿宋" w:hAnsi="仿宋" w:eastAsia="仿宋" w:cs="仿宋"/>
                <w:sz w:val="24"/>
                <w:szCs w:val="24"/>
                <w:lang w:eastAsia="zh-Hans"/>
              </w:rPr>
              <w:t>欣赏</w:t>
            </w:r>
            <w:r>
              <w:rPr>
                <w:rFonts w:hint="default" w:ascii="仿宋" w:hAnsi="仿宋" w:eastAsia="仿宋" w:cs="仿宋"/>
                <w:sz w:val="24"/>
                <w:szCs w:val="24"/>
                <w:lang w:eastAsia="zh-Hans"/>
              </w:rPr>
              <w:t>》</w:t>
            </w:r>
          </w:p>
        </w:tc>
        <w:tc>
          <w:tcPr>
            <w:tcW w:w="1238" w:type="dxa"/>
            <w:gridSpan w:val="2"/>
            <w:noWrap w:val="0"/>
            <w:vAlign w:val="center"/>
          </w:tcPr>
          <w:p w14:paraId="356B9BB7">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课程代码</w:t>
            </w:r>
          </w:p>
        </w:tc>
        <w:tc>
          <w:tcPr>
            <w:tcW w:w="1263" w:type="dxa"/>
            <w:gridSpan w:val="2"/>
            <w:noWrap w:val="0"/>
            <w:vAlign w:val="center"/>
          </w:tcPr>
          <w:p w14:paraId="2C29FD9E">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1211304605</w:t>
            </w:r>
          </w:p>
          <w:p w14:paraId="05ED2993">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1211304606</w:t>
            </w:r>
          </w:p>
        </w:tc>
      </w:tr>
      <w:tr w14:paraId="7DA99809">
        <w:trPr>
          <w:trHeight w:val="794" w:hRule="atLeast"/>
          <w:jc w:val="center"/>
        </w:trPr>
        <w:tc>
          <w:tcPr>
            <w:tcW w:w="1376" w:type="dxa"/>
            <w:noWrap w:val="0"/>
            <w:vAlign w:val="center"/>
          </w:tcPr>
          <w:p w14:paraId="3182C13C">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课程类型</w:t>
            </w:r>
          </w:p>
        </w:tc>
        <w:tc>
          <w:tcPr>
            <w:tcW w:w="7922" w:type="dxa"/>
            <w:gridSpan w:val="12"/>
            <w:noWrap w:val="0"/>
            <w:vAlign w:val="center"/>
          </w:tcPr>
          <w:p w14:paraId="3868ED15">
            <w:pPr>
              <w:adjustRightInd w:val="0"/>
              <w:snapToGrid w:val="0"/>
              <w:spacing w:line="240" w:lineRule="atLeast"/>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通识必修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通识选修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专业必修 </w:t>
            </w:r>
          </w:p>
          <w:p w14:paraId="1FF545EC">
            <w:pPr>
              <w:adjustRightInd w:val="0"/>
              <w:snapToGrid w:val="0"/>
              <w:spacing w:line="240" w:lineRule="atLeast"/>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专业选修</w:t>
            </w:r>
            <w:r>
              <w:rPr>
                <w:rFonts w:hint="eastAsia" w:ascii="仿宋" w:hAnsi="仿宋" w:eastAsia="仿宋" w:cs="仿宋"/>
                <w:sz w:val="24"/>
                <w:szCs w:val="24"/>
                <w:lang w:eastAsia="zh-TW"/>
              </w:rPr>
              <w:t xml:space="preserve">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教师教育必修 </w:t>
            </w:r>
            <w:r>
              <w:rPr>
                <w:rFonts w:hint="eastAsia" w:ascii="仿宋" w:hAnsi="仿宋" w:eastAsia="仿宋" w:cs="仿宋"/>
                <w:sz w:val="24"/>
                <w:szCs w:val="24"/>
              </w:rPr>
              <w:sym w:font="Wingdings" w:char="00A8"/>
            </w:r>
            <w:r>
              <w:rPr>
                <w:rFonts w:hint="eastAsia" w:ascii="仿宋" w:hAnsi="仿宋" w:eastAsia="仿宋" w:cs="仿宋"/>
                <w:sz w:val="24"/>
                <w:szCs w:val="24"/>
              </w:rPr>
              <w:t>教师教育选修</w:t>
            </w:r>
          </w:p>
        </w:tc>
      </w:tr>
      <w:tr w14:paraId="381A78CD">
        <w:trPr>
          <w:trHeight w:val="794" w:hRule="atLeast"/>
          <w:jc w:val="center"/>
        </w:trPr>
        <w:tc>
          <w:tcPr>
            <w:tcW w:w="1376" w:type="dxa"/>
            <w:noWrap w:val="0"/>
            <w:vAlign w:val="center"/>
          </w:tcPr>
          <w:p w14:paraId="05811968">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开课学期</w:t>
            </w:r>
          </w:p>
        </w:tc>
        <w:tc>
          <w:tcPr>
            <w:tcW w:w="1174" w:type="dxa"/>
            <w:gridSpan w:val="2"/>
            <w:noWrap w:val="0"/>
            <w:vAlign w:val="center"/>
          </w:tcPr>
          <w:p w14:paraId="16775968">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1、2</w:t>
            </w:r>
          </w:p>
        </w:tc>
        <w:tc>
          <w:tcPr>
            <w:tcW w:w="1202" w:type="dxa"/>
            <w:noWrap w:val="0"/>
            <w:vAlign w:val="center"/>
          </w:tcPr>
          <w:p w14:paraId="201F9174">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学分</w:t>
            </w:r>
          </w:p>
        </w:tc>
        <w:tc>
          <w:tcPr>
            <w:tcW w:w="1606" w:type="dxa"/>
            <w:gridSpan w:val="2"/>
            <w:noWrap w:val="0"/>
            <w:vAlign w:val="center"/>
          </w:tcPr>
          <w:p w14:paraId="15E98149">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4</w:t>
            </w:r>
          </w:p>
        </w:tc>
        <w:tc>
          <w:tcPr>
            <w:tcW w:w="2677" w:type="dxa"/>
            <w:gridSpan w:val="5"/>
            <w:noWrap w:val="0"/>
            <w:vAlign w:val="center"/>
          </w:tcPr>
          <w:p w14:paraId="7D09550D">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课程负责人</w:t>
            </w:r>
          </w:p>
        </w:tc>
        <w:tc>
          <w:tcPr>
            <w:tcW w:w="1263" w:type="dxa"/>
            <w:gridSpan w:val="2"/>
            <w:noWrap w:val="0"/>
            <w:vAlign w:val="center"/>
          </w:tcPr>
          <w:p w14:paraId="4B5FCEE0">
            <w:pPr>
              <w:adjustRightInd w:val="0"/>
              <w:snapToGrid w:val="0"/>
              <w:spacing w:line="240" w:lineRule="atLeast"/>
              <w:jc w:val="center"/>
              <w:rPr>
                <w:rFonts w:hint="default" w:ascii="仿宋" w:hAnsi="仿宋" w:eastAsia="仿宋" w:cs="仿宋"/>
                <w:sz w:val="24"/>
                <w:szCs w:val="24"/>
                <w:lang w:val="en-US" w:eastAsia="zh-CN"/>
              </w:rPr>
            </w:pPr>
            <w:r>
              <w:rPr>
                <w:rFonts w:hint="eastAsia" w:ascii="仿宋" w:hAnsi="仿宋" w:eastAsia="仿宋" w:cs="仿宋"/>
                <w:sz w:val="24"/>
                <w:szCs w:val="24"/>
              </w:rPr>
              <w:t>唐进宝</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徐颖周</w:t>
            </w:r>
          </w:p>
        </w:tc>
      </w:tr>
      <w:tr w14:paraId="537B3B1D">
        <w:trPr>
          <w:trHeight w:val="794" w:hRule="atLeast"/>
          <w:jc w:val="center"/>
        </w:trPr>
        <w:tc>
          <w:tcPr>
            <w:tcW w:w="1376" w:type="dxa"/>
            <w:noWrap w:val="0"/>
            <w:vAlign w:val="center"/>
          </w:tcPr>
          <w:p w14:paraId="3C4A6569">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总学时</w:t>
            </w:r>
          </w:p>
        </w:tc>
        <w:tc>
          <w:tcPr>
            <w:tcW w:w="1174" w:type="dxa"/>
            <w:gridSpan w:val="2"/>
            <w:noWrap w:val="0"/>
            <w:vAlign w:val="center"/>
          </w:tcPr>
          <w:p w14:paraId="680B12D9">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64</w:t>
            </w:r>
          </w:p>
        </w:tc>
        <w:tc>
          <w:tcPr>
            <w:tcW w:w="1202" w:type="dxa"/>
            <w:noWrap w:val="0"/>
            <w:vAlign w:val="center"/>
          </w:tcPr>
          <w:p w14:paraId="2C7EB2D4">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理论学时</w:t>
            </w:r>
          </w:p>
        </w:tc>
        <w:tc>
          <w:tcPr>
            <w:tcW w:w="1606" w:type="dxa"/>
            <w:gridSpan w:val="2"/>
            <w:noWrap w:val="0"/>
            <w:vAlign w:val="center"/>
          </w:tcPr>
          <w:p w14:paraId="79988CC8">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64</w:t>
            </w:r>
          </w:p>
        </w:tc>
        <w:tc>
          <w:tcPr>
            <w:tcW w:w="2677" w:type="dxa"/>
            <w:gridSpan w:val="5"/>
            <w:tcBorders>
              <w:right w:val="single" w:color="000000" w:sz="4" w:space="0"/>
            </w:tcBorders>
            <w:noWrap w:val="0"/>
            <w:vAlign w:val="center"/>
          </w:tcPr>
          <w:p w14:paraId="6AA5B8AE">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实践学时</w:t>
            </w:r>
          </w:p>
        </w:tc>
        <w:tc>
          <w:tcPr>
            <w:tcW w:w="1263" w:type="dxa"/>
            <w:gridSpan w:val="2"/>
            <w:tcBorders>
              <w:left w:val="single" w:color="000000" w:sz="4" w:space="0"/>
            </w:tcBorders>
            <w:noWrap w:val="0"/>
            <w:vAlign w:val="center"/>
          </w:tcPr>
          <w:p w14:paraId="0E69A057">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0</w:t>
            </w:r>
          </w:p>
        </w:tc>
      </w:tr>
      <w:tr w14:paraId="373AD326">
        <w:trPr>
          <w:trHeight w:val="794" w:hRule="atLeast"/>
          <w:jc w:val="center"/>
        </w:trPr>
        <w:tc>
          <w:tcPr>
            <w:tcW w:w="1376" w:type="dxa"/>
            <w:noWrap w:val="0"/>
            <w:vAlign w:val="center"/>
          </w:tcPr>
          <w:p w14:paraId="242DC3E8">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先修课程与后续课程</w:t>
            </w:r>
          </w:p>
        </w:tc>
        <w:tc>
          <w:tcPr>
            <w:tcW w:w="7922" w:type="dxa"/>
            <w:gridSpan w:val="12"/>
            <w:noWrap w:val="0"/>
            <w:vAlign w:val="center"/>
          </w:tcPr>
          <w:p w14:paraId="576FC544">
            <w:pPr>
              <w:tabs>
                <w:tab w:val="left" w:pos="720"/>
              </w:tabs>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先修课程：无</w:t>
            </w:r>
          </w:p>
          <w:p w14:paraId="0F05A20A">
            <w:pPr>
              <w:tabs>
                <w:tab w:val="left" w:pos="720"/>
              </w:tabs>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后续课程：无</w:t>
            </w:r>
          </w:p>
        </w:tc>
      </w:tr>
      <w:tr w14:paraId="27A095EE">
        <w:trPr>
          <w:trHeight w:val="794" w:hRule="atLeast"/>
          <w:jc w:val="center"/>
        </w:trPr>
        <w:tc>
          <w:tcPr>
            <w:tcW w:w="1376" w:type="dxa"/>
            <w:noWrap w:val="0"/>
            <w:vAlign w:val="center"/>
          </w:tcPr>
          <w:p w14:paraId="503076B6">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适用专业</w:t>
            </w:r>
          </w:p>
        </w:tc>
        <w:tc>
          <w:tcPr>
            <w:tcW w:w="7922" w:type="dxa"/>
            <w:gridSpan w:val="12"/>
            <w:noWrap w:val="0"/>
            <w:vAlign w:val="center"/>
          </w:tcPr>
          <w:p w14:paraId="39F3D7C4">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音乐学</w:t>
            </w:r>
          </w:p>
        </w:tc>
      </w:tr>
      <w:tr w14:paraId="11350B6C">
        <w:trPr>
          <w:trHeight w:val="794" w:hRule="atLeast"/>
          <w:jc w:val="center"/>
        </w:trPr>
        <w:tc>
          <w:tcPr>
            <w:tcW w:w="1376" w:type="dxa"/>
            <w:tcBorders>
              <w:bottom w:val="single" w:color="auto" w:sz="4" w:space="0"/>
            </w:tcBorders>
            <w:noWrap w:val="0"/>
            <w:vAlign w:val="center"/>
          </w:tcPr>
          <w:p w14:paraId="01675E66">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A</w:t>
            </w:r>
          </w:p>
          <w:p w14:paraId="0A437185">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参考教材</w:t>
            </w:r>
          </w:p>
        </w:tc>
        <w:tc>
          <w:tcPr>
            <w:tcW w:w="7922" w:type="dxa"/>
            <w:gridSpan w:val="12"/>
            <w:tcBorders>
              <w:bottom w:val="single" w:color="auto" w:sz="4" w:space="0"/>
            </w:tcBorders>
            <w:noWrap w:val="0"/>
            <w:vAlign w:val="center"/>
          </w:tcPr>
          <w:p w14:paraId="3D8756AF">
            <w:pPr>
              <w:tabs>
                <w:tab w:val="left" w:pos="720"/>
              </w:tabs>
              <w:adjustRightInd w:val="0"/>
              <w:snapToGrid w:val="0"/>
              <w:rPr>
                <w:rFonts w:hint="eastAsia" w:ascii="仿宋" w:hAnsi="仿宋" w:eastAsia="仿宋" w:cs="仿宋"/>
                <w:sz w:val="24"/>
                <w:szCs w:val="24"/>
                <w:lang w:eastAsia="zh-CN"/>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中国音乐史</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编写组</w:t>
            </w:r>
            <w:r>
              <w:rPr>
                <w:rFonts w:hint="eastAsia" w:ascii="仿宋" w:hAnsi="仿宋" w:eastAsia="仿宋" w:cs="仿宋"/>
                <w:sz w:val="24"/>
                <w:szCs w:val="24"/>
              </w:rPr>
              <w:t>.中国音乐史[M].</w:t>
            </w:r>
            <w:r>
              <w:rPr>
                <w:rFonts w:hint="eastAsia" w:ascii="仿宋" w:hAnsi="仿宋" w:eastAsia="仿宋" w:cs="仿宋"/>
                <w:sz w:val="24"/>
                <w:szCs w:val="24"/>
                <w:lang w:val="en-US" w:eastAsia="zh-CN"/>
              </w:rPr>
              <w:t>高等教育</w:t>
            </w:r>
            <w:r>
              <w:rPr>
                <w:rFonts w:hint="eastAsia" w:ascii="仿宋" w:hAnsi="仿宋" w:eastAsia="仿宋" w:cs="仿宋"/>
                <w:sz w:val="24"/>
                <w:szCs w:val="24"/>
              </w:rPr>
              <w:t>出版社</w:t>
            </w:r>
            <w:r>
              <w:rPr>
                <w:rFonts w:hint="eastAsia" w:ascii="仿宋" w:hAnsi="仿宋" w:eastAsia="仿宋" w:cs="仿宋"/>
                <w:sz w:val="24"/>
                <w:szCs w:val="24"/>
                <w:lang w:val="en-US" w:eastAsia="zh-CN"/>
              </w:rPr>
              <w:t>,</w:t>
            </w:r>
            <w:r>
              <w:rPr>
                <w:rFonts w:hint="eastAsia" w:ascii="仿宋" w:hAnsi="仿宋" w:eastAsia="仿宋" w:cs="仿宋"/>
                <w:sz w:val="24"/>
                <w:szCs w:val="24"/>
              </w:rPr>
              <w:t>20</w:t>
            </w:r>
            <w:r>
              <w:rPr>
                <w:rFonts w:hint="eastAsia" w:ascii="仿宋" w:hAnsi="仿宋" w:eastAsia="仿宋" w:cs="仿宋"/>
                <w:sz w:val="24"/>
                <w:szCs w:val="24"/>
                <w:lang w:val="en-US" w:eastAsia="zh-CN"/>
              </w:rPr>
              <w:t>22</w:t>
            </w:r>
            <w:r>
              <w:rPr>
                <w:rFonts w:hint="eastAsia" w:ascii="仿宋" w:hAnsi="仿宋" w:eastAsia="仿宋" w:cs="仿宋"/>
                <w:sz w:val="24"/>
                <w:szCs w:val="24"/>
              </w:rPr>
              <w:t>年</w:t>
            </w:r>
            <w:r>
              <w:rPr>
                <w:rFonts w:hint="eastAsia" w:ascii="仿宋" w:hAnsi="仿宋" w:eastAsia="仿宋" w:cs="仿宋"/>
                <w:sz w:val="24"/>
                <w:szCs w:val="24"/>
                <w:lang w:val="en-US" w:eastAsia="zh-CN"/>
              </w:rPr>
              <w:t>10</w:t>
            </w:r>
            <w:r>
              <w:rPr>
                <w:rFonts w:hint="eastAsia" w:ascii="仿宋" w:hAnsi="仿宋" w:eastAsia="仿宋" w:cs="仿宋"/>
                <w:sz w:val="24"/>
                <w:szCs w:val="24"/>
              </w:rPr>
              <w:t>月第1版</w:t>
            </w:r>
            <w:r>
              <w:rPr>
                <w:rFonts w:hint="eastAsia" w:ascii="仿宋" w:hAnsi="仿宋" w:eastAsia="仿宋" w:cs="仿宋"/>
                <w:sz w:val="24"/>
                <w:szCs w:val="24"/>
                <w:lang w:eastAsia="zh-CN"/>
              </w:rPr>
              <w:t>。</w:t>
            </w:r>
          </w:p>
        </w:tc>
      </w:tr>
      <w:tr w14:paraId="51BFC919">
        <w:trPr>
          <w:trHeight w:val="794" w:hRule="atLeast"/>
          <w:jc w:val="center"/>
        </w:trPr>
        <w:tc>
          <w:tcPr>
            <w:tcW w:w="1376" w:type="dxa"/>
            <w:tcBorders>
              <w:bottom w:val="single" w:color="auto" w:sz="4" w:space="0"/>
            </w:tcBorders>
            <w:noWrap w:val="0"/>
            <w:vAlign w:val="center"/>
          </w:tcPr>
          <w:p w14:paraId="2D7255CF">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B</w:t>
            </w:r>
          </w:p>
          <w:p w14:paraId="1E5F8494">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主要参考书籍</w:t>
            </w:r>
          </w:p>
        </w:tc>
        <w:tc>
          <w:tcPr>
            <w:tcW w:w="7922" w:type="dxa"/>
            <w:gridSpan w:val="12"/>
            <w:tcBorders>
              <w:bottom w:val="single" w:color="auto" w:sz="4" w:space="0"/>
            </w:tcBorders>
            <w:noWrap w:val="0"/>
            <w:vAlign w:val="center"/>
          </w:tcPr>
          <w:p w14:paraId="46BFC4DA">
            <w:pPr>
              <w:tabs>
                <w:tab w:val="left" w:pos="720"/>
              </w:tabs>
              <w:adjustRightInd w:val="0"/>
              <w:snapToGrid w:val="0"/>
              <w:rPr>
                <w:rFonts w:hint="eastAsia" w:ascii="仿宋" w:hAnsi="仿宋" w:eastAsia="仿宋" w:cs="仿宋"/>
                <w:sz w:val="24"/>
                <w:szCs w:val="24"/>
              </w:rPr>
            </w:pPr>
            <w:r>
              <w:rPr>
                <w:rFonts w:hint="eastAsia" w:ascii="仿宋" w:hAnsi="仿宋" w:eastAsia="仿宋" w:cs="仿宋"/>
                <w:sz w:val="24"/>
                <w:szCs w:val="24"/>
              </w:rPr>
              <w:t>[1]田可文，中国音乐史与名作赏析，人民音乐出版社，2018年。</w:t>
            </w:r>
          </w:p>
          <w:p w14:paraId="0590AFB6">
            <w:pPr>
              <w:tabs>
                <w:tab w:val="left" w:pos="720"/>
              </w:tabs>
              <w:adjustRightInd w:val="0"/>
              <w:snapToGrid w:val="0"/>
              <w:rPr>
                <w:rFonts w:hint="eastAsia" w:ascii="仿宋" w:hAnsi="仿宋" w:eastAsia="仿宋" w:cs="仿宋"/>
                <w:sz w:val="24"/>
                <w:szCs w:val="24"/>
              </w:rPr>
            </w:pPr>
            <w:r>
              <w:rPr>
                <w:rFonts w:hint="eastAsia" w:ascii="仿宋" w:hAnsi="仿宋" w:eastAsia="仿宋" w:cs="仿宋"/>
                <w:sz w:val="24"/>
                <w:szCs w:val="24"/>
                <w:lang w:val="en-US" w:eastAsia="zh-CN"/>
              </w:rPr>
              <w:t>[2]</w:t>
            </w:r>
            <w:r>
              <w:rPr>
                <w:rFonts w:hint="eastAsia" w:ascii="仿宋" w:hAnsi="仿宋" w:eastAsia="仿宋" w:cs="仿宋"/>
                <w:sz w:val="24"/>
                <w:szCs w:val="24"/>
              </w:rPr>
              <w:t>孙继南，中国音乐通史简编，山东文艺出版社，1995年。</w:t>
            </w:r>
          </w:p>
          <w:p w14:paraId="64B4DDB9">
            <w:pPr>
              <w:tabs>
                <w:tab w:val="left" w:pos="720"/>
              </w:tabs>
              <w:adjustRightInd w:val="0"/>
              <w:snapToGrid w:val="0"/>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3</w:t>
            </w:r>
            <w:r>
              <w:rPr>
                <w:rFonts w:hint="eastAsia" w:ascii="仿宋" w:hAnsi="仿宋" w:eastAsia="仿宋" w:cs="仿宋"/>
                <w:sz w:val="24"/>
                <w:szCs w:val="24"/>
              </w:rPr>
              <w:t>]杨荫浏，中国古代音乐史稿，人民音乐出版社，1996年。</w:t>
            </w:r>
          </w:p>
          <w:p w14:paraId="124DCDF4">
            <w:pPr>
              <w:tabs>
                <w:tab w:val="left" w:pos="720"/>
              </w:tabs>
              <w:adjustRightInd w:val="0"/>
              <w:snapToGrid w:val="0"/>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4</w:t>
            </w:r>
            <w:r>
              <w:rPr>
                <w:rFonts w:hint="eastAsia" w:ascii="仿宋" w:hAnsi="仿宋" w:eastAsia="仿宋" w:cs="仿宋"/>
                <w:sz w:val="24"/>
                <w:szCs w:val="24"/>
              </w:rPr>
              <w:t>]刘再生，中国古代音乐史简述，人民音乐出版社，1999年。</w:t>
            </w:r>
          </w:p>
          <w:p w14:paraId="6DEA8202">
            <w:pPr>
              <w:tabs>
                <w:tab w:val="left" w:pos="720"/>
              </w:tabs>
              <w:adjustRightInd w:val="0"/>
              <w:snapToGrid w:val="0"/>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5</w:t>
            </w:r>
            <w:r>
              <w:rPr>
                <w:rFonts w:hint="eastAsia" w:ascii="仿宋" w:hAnsi="仿宋" w:eastAsia="仿宋" w:cs="仿宋"/>
                <w:sz w:val="24"/>
                <w:szCs w:val="24"/>
              </w:rPr>
              <w:t>]汪毓和，中国近现代音乐史，人民音乐出版社，1985年。</w:t>
            </w:r>
          </w:p>
          <w:p w14:paraId="2E37773C">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6</w:t>
            </w:r>
            <w:r>
              <w:rPr>
                <w:rFonts w:hint="eastAsia" w:ascii="仿宋" w:hAnsi="仿宋" w:eastAsia="仿宋" w:cs="仿宋"/>
                <w:sz w:val="24"/>
                <w:szCs w:val="24"/>
              </w:rPr>
              <w:t>]喻意志</w:t>
            </w:r>
            <w:r>
              <w:rPr>
                <w:rFonts w:hint="default" w:ascii="仿宋" w:hAnsi="仿宋" w:eastAsia="仿宋" w:cs="仿宋"/>
                <w:sz w:val="24"/>
                <w:szCs w:val="24"/>
              </w:rPr>
              <w:t xml:space="preserve"> </w:t>
            </w:r>
            <w:r>
              <w:rPr>
                <w:rFonts w:hint="eastAsia" w:ascii="仿宋" w:hAnsi="仿宋" w:eastAsia="仿宋" w:cs="仿宋"/>
                <w:sz w:val="24"/>
                <w:szCs w:val="24"/>
              </w:rPr>
              <w:t>吴安宇，中国音乐史与名作欣赏普修教程，上海音乐学院出版社出版， 2014年。</w:t>
            </w:r>
          </w:p>
        </w:tc>
      </w:tr>
      <w:tr w14:paraId="2A2A2B43">
        <w:trPr>
          <w:trHeight w:val="1795" w:hRule="atLeast"/>
          <w:jc w:val="center"/>
        </w:trPr>
        <w:tc>
          <w:tcPr>
            <w:tcW w:w="1376" w:type="dxa"/>
            <w:tcBorders>
              <w:bottom w:val="single" w:color="auto" w:sz="4" w:space="0"/>
            </w:tcBorders>
            <w:noWrap w:val="0"/>
            <w:vAlign w:val="center"/>
          </w:tcPr>
          <w:p w14:paraId="61377AC5">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C</w:t>
            </w:r>
          </w:p>
          <w:p w14:paraId="455DCB5E">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线上学习资源</w:t>
            </w:r>
          </w:p>
        </w:tc>
        <w:tc>
          <w:tcPr>
            <w:tcW w:w="7922" w:type="dxa"/>
            <w:gridSpan w:val="12"/>
            <w:tcBorders>
              <w:bottom w:val="single" w:color="auto" w:sz="4" w:space="0"/>
            </w:tcBorders>
            <w:noWrap w:val="0"/>
            <w:vAlign w:val="center"/>
          </w:tcPr>
          <w:p w14:paraId="20292031">
            <w:pPr>
              <w:adjustRightInd w:val="0"/>
              <w:snapToGrid w:val="0"/>
              <w:rPr>
                <w:rFonts w:hint="eastAsia" w:ascii="仿宋" w:hAnsi="仿宋" w:eastAsia="仿宋" w:cs="仿宋"/>
                <w:sz w:val="24"/>
                <w:szCs w:val="24"/>
              </w:rPr>
            </w:pPr>
            <w:r>
              <w:rPr>
                <w:rFonts w:hint="eastAsia" w:ascii="仿宋" w:hAnsi="仿宋" w:eastAsia="仿宋" w:cs="仿宋"/>
                <w:sz w:val="24"/>
                <w:szCs w:val="24"/>
              </w:rPr>
              <w:t>1.本课程已经建立超星平台网络课程，同学们依据学校提供的帐号与密码登录课程网站，可查看教学大纲、授课计划、考核方法、课程PPT、教学视频、电子教材、音频、阅读资料、仿真软件、网络文献链接网址等教学资源。</w:t>
            </w:r>
          </w:p>
          <w:p w14:paraId="699281CE">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2.中国大学MOOC平台</w:t>
            </w:r>
          </w:p>
        </w:tc>
      </w:tr>
      <w:tr w14:paraId="6496CAC6">
        <w:trPr>
          <w:trHeight w:val="794" w:hRule="atLeast"/>
          <w:jc w:val="center"/>
        </w:trPr>
        <w:tc>
          <w:tcPr>
            <w:tcW w:w="1376" w:type="dxa"/>
            <w:tcBorders>
              <w:bottom w:val="single" w:color="auto" w:sz="4" w:space="0"/>
            </w:tcBorders>
            <w:noWrap w:val="0"/>
            <w:vAlign w:val="center"/>
          </w:tcPr>
          <w:p w14:paraId="37873D87">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D</w:t>
            </w:r>
          </w:p>
          <w:p w14:paraId="3CB01360">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课程描述 </w:t>
            </w:r>
          </w:p>
          <w:p w14:paraId="3DBFBB6B">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lang w:eastAsia="zh-TW"/>
              </w:rPr>
              <w:t>(</w:t>
            </w:r>
            <w:r>
              <w:rPr>
                <w:rFonts w:hint="eastAsia" w:ascii="仿宋" w:hAnsi="仿宋" w:eastAsia="仿宋" w:cs="仿宋"/>
                <w:color w:val="000000"/>
                <w:sz w:val="24"/>
                <w:szCs w:val="24"/>
              </w:rPr>
              <w:t>含</w:t>
            </w:r>
            <w:r>
              <w:rPr>
                <w:rFonts w:hint="eastAsia" w:ascii="仿宋" w:hAnsi="仿宋" w:eastAsia="仿宋" w:cs="仿宋"/>
                <w:color w:val="000000"/>
                <w:sz w:val="24"/>
                <w:szCs w:val="24"/>
                <w:lang w:eastAsia="zh-TW"/>
              </w:rPr>
              <w:t>性质、地位和任务)</w:t>
            </w:r>
          </w:p>
        </w:tc>
        <w:tc>
          <w:tcPr>
            <w:tcW w:w="7922" w:type="dxa"/>
            <w:gridSpan w:val="12"/>
            <w:tcBorders>
              <w:bottom w:val="single" w:color="auto" w:sz="4" w:space="0"/>
            </w:tcBorders>
            <w:noWrap w:val="0"/>
            <w:vAlign w:val="center"/>
          </w:tcPr>
          <w:p w14:paraId="71BDBC03">
            <w:pPr>
              <w:adjustRightInd w:val="0"/>
              <w:snapToGrid w:val="0"/>
              <w:ind w:firstLine="480" w:firstLineChars="200"/>
              <w:rPr>
                <w:rFonts w:hint="eastAsia" w:ascii="仿宋" w:hAnsi="仿宋" w:eastAsia="仿宋" w:cs="仿宋"/>
                <w:kern w:val="0"/>
                <w:sz w:val="24"/>
                <w:szCs w:val="24"/>
              </w:rPr>
            </w:pPr>
            <w:r>
              <w:rPr>
                <w:rFonts w:hint="eastAsia" w:ascii="仿宋" w:hAnsi="仿宋" w:eastAsia="仿宋" w:cs="仿宋"/>
                <w:kern w:val="2"/>
                <w:sz w:val="24"/>
                <w:szCs w:val="24"/>
                <w:lang w:val="en-US" w:eastAsia="zh-CN" w:bidi="ar-SA"/>
              </w:rPr>
              <w:t>本课程是音乐学专业音乐教育方向的必修课，使学生熟悉中国音乐发展的各个历史时期、各个不同阶段的音乐文化，及其主要艺术成就和文化背景，了解中国音乐史上的重要流派、重要作曲家和代表性音乐作品，包括音乐现象、音乐作品、音乐流派等知识点，对中国音乐发展历史与变迁有个清晰的脉络。并使学生了解中国音乐的美学特征，了解中国音乐的传统体裁的特征和历史变迁，使之提高音乐感知能力和审美能力，培养良好的艺术素质，进而热爱艺术与生活。</w:t>
            </w:r>
          </w:p>
        </w:tc>
      </w:tr>
      <w:tr w14:paraId="75DD743F">
        <w:trPr>
          <w:trHeight w:val="794" w:hRule="atLeast"/>
          <w:jc w:val="center"/>
        </w:trPr>
        <w:tc>
          <w:tcPr>
            <w:tcW w:w="1376" w:type="dxa"/>
            <w:vMerge w:val="restart"/>
            <w:shd w:val="clear" w:color="auto" w:fill="FFFFFF"/>
            <w:noWrap w:val="0"/>
            <w:vAlign w:val="center"/>
          </w:tcPr>
          <w:p w14:paraId="1AC17D39">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E</w:t>
            </w:r>
          </w:p>
          <w:p w14:paraId="59FA382F">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课程学习目标及其与毕业要求的对应关系</w:t>
            </w:r>
          </w:p>
        </w:tc>
        <w:tc>
          <w:tcPr>
            <w:tcW w:w="7922" w:type="dxa"/>
            <w:gridSpan w:val="12"/>
            <w:tcBorders>
              <w:bottom w:val="single" w:color="auto" w:sz="4" w:space="0"/>
            </w:tcBorders>
            <w:shd w:val="clear" w:color="auto" w:fill="FFFFFF"/>
            <w:noWrap w:val="0"/>
            <w:vAlign w:val="center"/>
          </w:tcPr>
          <w:p w14:paraId="7E1AC3F1">
            <w:pPr>
              <w:adjustRightInd w:val="0"/>
              <w:snapToGrid w:val="0"/>
              <w:jc w:val="left"/>
              <w:rPr>
                <w:rFonts w:hint="eastAsia" w:ascii="仿宋" w:hAnsi="仿宋" w:eastAsia="仿宋" w:cs="仿宋"/>
                <w:sz w:val="24"/>
                <w:szCs w:val="24"/>
                <w:lang w:eastAsia="zh-TW"/>
              </w:rPr>
            </w:pPr>
            <w:r>
              <w:rPr>
                <w:rFonts w:hint="eastAsia" w:ascii="仿宋" w:hAnsi="仿宋" w:eastAsia="仿宋" w:cs="仿宋"/>
                <w:sz w:val="24"/>
                <w:szCs w:val="24"/>
              </w:rPr>
              <w:t>通过本课程的学习，学生具备如下知识、能力及情感态度价值观：</w:t>
            </w:r>
          </w:p>
          <w:p w14:paraId="04F1E6A4">
            <w:pPr>
              <w:adjustRightInd w:val="0"/>
              <w:snapToGrid w:val="0"/>
              <w:rPr>
                <w:rFonts w:hint="eastAsia" w:ascii="仿宋" w:hAnsi="仿宋" w:eastAsia="仿宋" w:cs="仿宋"/>
                <w:kern w:val="0"/>
                <w:sz w:val="24"/>
                <w:szCs w:val="24"/>
              </w:rPr>
            </w:pPr>
            <w:r>
              <w:rPr>
                <w:rFonts w:hint="eastAsia" w:ascii="仿宋" w:hAnsi="仿宋" w:eastAsia="仿宋" w:cs="仿宋"/>
                <w:b/>
                <w:bCs/>
                <w:kern w:val="0"/>
                <w:sz w:val="24"/>
                <w:szCs w:val="24"/>
              </w:rPr>
              <w:t>课程目标1</w:t>
            </w:r>
            <w:r>
              <w:rPr>
                <w:rFonts w:hint="eastAsia" w:ascii="仿宋" w:hAnsi="仿宋" w:eastAsia="仿宋" w:cs="仿宋"/>
                <w:kern w:val="0"/>
                <w:sz w:val="24"/>
                <w:szCs w:val="24"/>
              </w:rPr>
              <w:t>：领会中国音乐各个时期、各个不同阶段的音乐文化，包括音乐现象、音乐作品、音乐流派等知识点，对中国音乐发展历史与变迁有个清晰的脉络，知晓中国音乐的美学特征及其传统体裁的特征等。（支撑毕业要求</w:t>
            </w:r>
            <w:r>
              <w:rPr>
                <w:rFonts w:hint="eastAsia" w:ascii="仿宋" w:hAnsi="仿宋" w:eastAsia="仿宋" w:cs="仿宋"/>
                <w:sz w:val="24"/>
                <w:szCs w:val="24"/>
              </w:rPr>
              <w:t>3.2）</w:t>
            </w:r>
          </w:p>
          <w:p w14:paraId="57C3AF3A">
            <w:pPr>
              <w:adjustRightInd w:val="0"/>
              <w:snapToGrid w:val="0"/>
              <w:rPr>
                <w:rFonts w:hint="eastAsia" w:ascii="仿宋" w:hAnsi="仿宋" w:eastAsia="仿宋" w:cs="仿宋"/>
                <w:kern w:val="0"/>
                <w:sz w:val="24"/>
                <w:szCs w:val="24"/>
              </w:rPr>
            </w:pPr>
            <w:r>
              <w:rPr>
                <w:rFonts w:hint="eastAsia" w:ascii="仿宋" w:hAnsi="仿宋" w:eastAsia="仿宋" w:cs="仿宋"/>
                <w:b/>
                <w:bCs/>
                <w:kern w:val="0"/>
                <w:sz w:val="24"/>
                <w:szCs w:val="24"/>
              </w:rPr>
              <w:t>课程目标2</w:t>
            </w:r>
            <w:r>
              <w:rPr>
                <w:rFonts w:hint="eastAsia" w:ascii="仿宋" w:hAnsi="仿宋" w:eastAsia="仿宋" w:cs="仿宋"/>
                <w:kern w:val="0"/>
                <w:sz w:val="24"/>
                <w:szCs w:val="24"/>
              </w:rPr>
              <w:t>：能够利用课程所学知识分析和解决音乐问题</w:t>
            </w:r>
            <w:r>
              <w:rPr>
                <w:rFonts w:ascii="仿宋" w:hAnsi="仿宋" w:eastAsia="仿宋" w:cs="仿宋"/>
                <w:kern w:val="0"/>
                <w:sz w:val="24"/>
                <w:szCs w:val="24"/>
              </w:rPr>
              <w:t>，</w:t>
            </w:r>
            <w:r>
              <w:rPr>
                <w:rFonts w:hint="eastAsia" w:ascii="仿宋" w:hAnsi="仿宋" w:eastAsia="仿宋" w:cs="仿宋"/>
                <w:kern w:val="0"/>
                <w:sz w:val="24"/>
                <w:szCs w:val="24"/>
              </w:rPr>
              <w:t>应用于艺术实践领域</w:t>
            </w:r>
            <w:r>
              <w:rPr>
                <w:rFonts w:ascii="仿宋" w:hAnsi="仿宋" w:eastAsia="仿宋" w:cs="仿宋"/>
                <w:kern w:val="0"/>
                <w:sz w:val="24"/>
                <w:szCs w:val="24"/>
              </w:rPr>
              <w:t>，</w:t>
            </w:r>
            <w:r>
              <w:rPr>
                <w:rFonts w:hint="eastAsia" w:ascii="仿宋" w:hAnsi="仿宋" w:eastAsia="仿宋" w:cs="仿宋"/>
                <w:kern w:val="0"/>
                <w:sz w:val="24"/>
                <w:szCs w:val="24"/>
                <w:lang w:eastAsia="zh-Hans"/>
              </w:rPr>
              <w:t>具有传承传统音乐文化意识</w:t>
            </w:r>
            <w:r>
              <w:rPr>
                <w:rFonts w:hint="eastAsia" w:ascii="仿宋" w:hAnsi="仿宋" w:eastAsia="仿宋" w:cs="仿宋"/>
                <w:kern w:val="0"/>
                <w:sz w:val="24"/>
                <w:szCs w:val="24"/>
              </w:rPr>
              <w:t>。（支撑毕业要求</w:t>
            </w:r>
            <w:r>
              <w:rPr>
                <w:rFonts w:ascii="仿宋" w:hAnsi="仿宋" w:eastAsia="仿宋" w:cs="仿宋"/>
                <w:kern w:val="0"/>
                <w:sz w:val="24"/>
                <w:szCs w:val="24"/>
              </w:rPr>
              <w:t>4</w:t>
            </w:r>
            <w:r>
              <w:rPr>
                <w:rFonts w:hint="eastAsia" w:ascii="仿宋" w:hAnsi="仿宋" w:eastAsia="仿宋" w:cs="仿宋"/>
                <w:kern w:val="0"/>
                <w:sz w:val="24"/>
                <w:szCs w:val="24"/>
              </w:rPr>
              <w:t>.</w:t>
            </w:r>
            <w:r>
              <w:rPr>
                <w:rFonts w:ascii="仿宋" w:hAnsi="仿宋" w:eastAsia="仿宋" w:cs="仿宋"/>
                <w:kern w:val="0"/>
                <w:sz w:val="24"/>
                <w:szCs w:val="24"/>
              </w:rPr>
              <w:t>3</w:t>
            </w:r>
            <w:r>
              <w:rPr>
                <w:rFonts w:hint="eastAsia" w:ascii="仿宋" w:hAnsi="仿宋" w:eastAsia="仿宋" w:cs="仿宋"/>
                <w:kern w:val="0"/>
                <w:sz w:val="24"/>
                <w:szCs w:val="24"/>
              </w:rPr>
              <w:t>）</w:t>
            </w:r>
          </w:p>
          <w:p w14:paraId="6899DB6E">
            <w:pPr>
              <w:adjustRightInd w:val="0"/>
              <w:snapToGrid w:val="0"/>
              <w:rPr>
                <w:rFonts w:hint="eastAsia" w:ascii="仿宋" w:hAnsi="仿宋" w:eastAsia="仿宋" w:cs="仿宋"/>
                <w:sz w:val="24"/>
                <w:szCs w:val="24"/>
                <w:lang w:eastAsia="zh-TW"/>
              </w:rPr>
            </w:pPr>
            <w:r>
              <w:rPr>
                <w:rFonts w:hint="eastAsia" w:ascii="仿宋" w:hAnsi="仿宋" w:eastAsia="仿宋" w:cs="仿宋"/>
                <w:b/>
                <w:bCs/>
                <w:kern w:val="0"/>
                <w:sz w:val="24"/>
                <w:szCs w:val="24"/>
              </w:rPr>
              <w:t>课程目标3</w:t>
            </w:r>
            <w:r>
              <w:rPr>
                <w:rFonts w:hint="eastAsia" w:ascii="仿宋" w:hAnsi="仿宋" w:eastAsia="仿宋" w:cs="仿宋"/>
                <w:kern w:val="0"/>
                <w:sz w:val="24"/>
                <w:szCs w:val="24"/>
              </w:rPr>
              <w:t>：领会音乐教师在立德树人上的工作意义，重视中国音乐史的课程思政的融入，能够对中国音乐史古代、近现代音乐基础理论与实践创作产生研究兴趣</w:t>
            </w:r>
            <w:r>
              <w:rPr>
                <w:rFonts w:ascii="仿宋" w:hAnsi="仿宋" w:eastAsia="仿宋" w:cs="仿宋"/>
                <w:kern w:val="0"/>
                <w:sz w:val="24"/>
                <w:szCs w:val="24"/>
              </w:rPr>
              <w:t>，</w:t>
            </w:r>
            <w:r>
              <w:rPr>
                <w:rFonts w:hint="eastAsia" w:ascii="仿宋" w:hAnsi="仿宋" w:eastAsia="仿宋" w:cs="仿宋"/>
                <w:kern w:val="0"/>
                <w:sz w:val="24"/>
                <w:szCs w:val="24"/>
                <w:lang w:eastAsia="zh-Hans"/>
              </w:rPr>
              <w:t>提高文化自信意识</w:t>
            </w:r>
            <w:r>
              <w:rPr>
                <w:rFonts w:hint="eastAsia" w:ascii="仿宋" w:hAnsi="仿宋" w:eastAsia="仿宋" w:cs="仿宋"/>
                <w:kern w:val="0"/>
                <w:sz w:val="24"/>
                <w:szCs w:val="24"/>
              </w:rPr>
              <w:t>。（支撑毕业要求1.</w:t>
            </w:r>
            <w:r>
              <w:rPr>
                <w:rFonts w:ascii="仿宋" w:hAnsi="仿宋" w:eastAsia="仿宋" w:cs="仿宋"/>
                <w:kern w:val="0"/>
                <w:sz w:val="24"/>
                <w:szCs w:val="24"/>
              </w:rPr>
              <w:t>2</w:t>
            </w:r>
            <w:r>
              <w:rPr>
                <w:rFonts w:hint="eastAsia" w:ascii="仿宋" w:hAnsi="仿宋" w:eastAsia="仿宋" w:cs="仿宋"/>
                <w:kern w:val="0"/>
                <w:sz w:val="24"/>
                <w:szCs w:val="24"/>
              </w:rPr>
              <w:t>）</w:t>
            </w:r>
          </w:p>
        </w:tc>
      </w:tr>
      <w:tr w14:paraId="1B4151FD">
        <w:trPr>
          <w:trHeight w:val="794" w:hRule="atLeast"/>
          <w:jc w:val="center"/>
        </w:trPr>
        <w:tc>
          <w:tcPr>
            <w:tcW w:w="1376" w:type="dxa"/>
            <w:vMerge w:val="continue"/>
            <w:shd w:val="clear" w:color="auto" w:fill="FFFFFF"/>
            <w:noWrap w:val="0"/>
            <w:vAlign w:val="center"/>
          </w:tcPr>
          <w:p w14:paraId="24BC6673">
            <w:pPr>
              <w:adjustRightInd w:val="0"/>
              <w:snapToGrid w:val="0"/>
              <w:spacing w:line="240" w:lineRule="atLeast"/>
              <w:jc w:val="center"/>
              <w:rPr>
                <w:rFonts w:hint="eastAsia" w:ascii="仿宋" w:hAnsi="仿宋" w:eastAsia="仿宋" w:cs="仿宋"/>
                <w:color w:val="000000"/>
                <w:sz w:val="24"/>
                <w:szCs w:val="24"/>
              </w:rPr>
            </w:pPr>
          </w:p>
        </w:tc>
        <w:tc>
          <w:tcPr>
            <w:tcW w:w="1174" w:type="dxa"/>
            <w:gridSpan w:val="2"/>
            <w:tcBorders>
              <w:bottom w:val="single" w:color="auto" w:sz="4" w:space="0"/>
            </w:tcBorders>
            <w:shd w:val="clear" w:color="auto" w:fill="FFFFFF"/>
            <w:noWrap w:val="0"/>
            <w:vAlign w:val="center"/>
          </w:tcPr>
          <w:p w14:paraId="220F8FC4">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课程目标</w:t>
            </w:r>
          </w:p>
        </w:tc>
        <w:tc>
          <w:tcPr>
            <w:tcW w:w="4247" w:type="dxa"/>
            <w:gridSpan w:val="6"/>
            <w:tcBorders>
              <w:bottom w:val="single" w:color="auto" w:sz="4" w:space="0"/>
            </w:tcBorders>
            <w:shd w:val="clear" w:color="auto" w:fill="FFFFFF"/>
            <w:noWrap w:val="0"/>
            <w:vAlign w:val="center"/>
          </w:tcPr>
          <w:p w14:paraId="7DC72075">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毕业要求分解指标点</w:t>
            </w:r>
          </w:p>
        </w:tc>
        <w:tc>
          <w:tcPr>
            <w:tcW w:w="2501" w:type="dxa"/>
            <w:gridSpan w:val="4"/>
            <w:tcBorders>
              <w:bottom w:val="single" w:color="auto" w:sz="4" w:space="0"/>
            </w:tcBorders>
            <w:shd w:val="clear" w:color="auto" w:fill="FFFFFF"/>
            <w:noWrap w:val="0"/>
            <w:vAlign w:val="center"/>
          </w:tcPr>
          <w:p w14:paraId="49C473F1">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毕业要求</w:t>
            </w:r>
          </w:p>
        </w:tc>
      </w:tr>
      <w:tr w14:paraId="565745BE">
        <w:trPr>
          <w:trHeight w:val="794" w:hRule="atLeast"/>
          <w:jc w:val="center"/>
        </w:trPr>
        <w:tc>
          <w:tcPr>
            <w:tcW w:w="1376" w:type="dxa"/>
            <w:vMerge w:val="continue"/>
            <w:shd w:val="clear" w:color="auto" w:fill="FFFFFF"/>
            <w:noWrap w:val="0"/>
            <w:vAlign w:val="center"/>
          </w:tcPr>
          <w:p w14:paraId="3508D05E">
            <w:pPr>
              <w:adjustRightInd w:val="0"/>
              <w:snapToGrid w:val="0"/>
              <w:spacing w:line="240" w:lineRule="atLeast"/>
              <w:jc w:val="center"/>
              <w:rPr>
                <w:rFonts w:hint="eastAsia" w:ascii="仿宋" w:hAnsi="仿宋" w:eastAsia="仿宋" w:cs="仿宋"/>
                <w:color w:val="000000"/>
                <w:sz w:val="24"/>
                <w:szCs w:val="24"/>
              </w:rPr>
            </w:pPr>
          </w:p>
        </w:tc>
        <w:tc>
          <w:tcPr>
            <w:tcW w:w="1174" w:type="dxa"/>
            <w:gridSpan w:val="2"/>
            <w:tcBorders>
              <w:bottom w:val="single" w:color="auto" w:sz="4" w:space="0"/>
            </w:tcBorders>
            <w:shd w:val="clear" w:color="auto" w:fill="FFFFFF"/>
            <w:noWrap w:val="0"/>
            <w:vAlign w:val="center"/>
          </w:tcPr>
          <w:p w14:paraId="4689C6E6">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课程目标1</w:t>
            </w:r>
          </w:p>
        </w:tc>
        <w:tc>
          <w:tcPr>
            <w:tcW w:w="4247" w:type="dxa"/>
            <w:gridSpan w:val="6"/>
            <w:shd w:val="clear" w:color="auto" w:fill="FFFFFF"/>
            <w:noWrap w:val="0"/>
            <w:vAlign w:val="center"/>
          </w:tcPr>
          <w:p w14:paraId="3757110E">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3.2【理论素养】掌握音乐理论的基本知识，了解中外音乐史的总体框架，理解音乐理论课程之间的相互关联，形成初步的音乐理论知识体系，能够综合运用音乐理论知识解决相关教学问题。</w:t>
            </w:r>
          </w:p>
        </w:tc>
        <w:tc>
          <w:tcPr>
            <w:tcW w:w="2501" w:type="dxa"/>
            <w:gridSpan w:val="4"/>
            <w:shd w:val="clear" w:color="auto" w:fill="FFFFFF"/>
            <w:noWrap w:val="0"/>
            <w:vAlign w:val="center"/>
          </w:tcPr>
          <w:p w14:paraId="1A5C5881">
            <w:pPr>
              <w:adjustRightInd w:val="0"/>
              <w:snapToGrid w:val="0"/>
              <w:jc w:val="center"/>
              <w:rPr>
                <w:rFonts w:hint="eastAsia" w:ascii="仿宋" w:hAnsi="仿宋" w:eastAsia="仿宋" w:cs="仿宋"/>
                <w:sz w:val="24"/>
                <w:szCs w:val="24"/>
              </w:rPr>
            </w:pPr>
            <w:r>
              <w:rPr>
                <w:rFonts w:hint="eastAsia" w:ascii="仿宋" w:hAnsi="仿宋" w:eastAsia="仿宋" w:cs="仿宋"/>
                <w:bCs/>
                <w:sz w:val="24"/>
                <w:szCs w:val="24"/>
              </w:rPr>
              <w:t>学科素养（</w:t>
            </w:r>
            <w:r>
              <w:rPr>
                <w:rFonts w:hint="default" w:ascii="仿宋" w:hAnsi="仿宋" w:eastAsia="仿宋" w:cs="仿宋"/>
                <w:bCs/>
                <w:sz w:val="24"/>
                <w:szCs w:val="24"/>
              </w:rPr>
              <w:t>H</w:t>
            </w:r>
            <w:r>
              <w:rPr>
                <w:rFonts w:hint="eastAsia" w:ascii="仿宋" w:hAnsi="仿宋" w:eastAsia="仿宋" w:cs="仿宋"/>
                <w:bCs/>
                <w:sz w:val="24"/>
                <w:szCs w:val="24"/>
              </w:rPr>
              <w:t>）</w:t>
            </w:r>
          </w:p>
        </w:tc>
      </w:tr>
      <w:tr w14:paraId="776F69F3">
        <w:trPr>
          <w:trHeight w:val="794" w:hRule="atLeast"/>
          <w:jc w:val="center"/>
        </w:trPr>
        <w:tc>
          <w:tcPr>
            <w:tcW w:w="1376" w:type="dxa"/>
            <w:vMerge w:val="continue"/>
            <w:shd w:val="clear" w:color="auto" w:fill="FFFFFF"/>
            <w:noWrap w:val="0"/>
            <w:vAlign w:val="center"/>
          </w:tcPr>
          <w:p w14:paraId="1EC34DF2">
            <w:pPr>
              <w:adjustRightInd w:val="0"/>
              <w:snapToGrid w:val="0"/>
              <w:spacing w:line="240" w:lineRule="atLeast"/>
              <w:jc w:val="center"/>
              <w:rPr>
                <w:rFonts w:hint="eastAsia" w:ascii="仿宋" w:hAnsi="仿宋" w:eastAsia="仿宋" w:cs="仿宋"/>
                <w:color w:val="000000"/>
                <w:sz w:val="24"/>
                <w:szCs w:val="24"/>
              </w:rPr>
            </w:pPr>
          </w:p>
        </w:tc>
        <w:tc>
          <w:tcPr>
            <w:tcW w:w="1174" w:type="dxa"/>
            <w:gridSpan w:val="2"/>
            <w:tcBorders>
              <w:bottom w:val="single" w:color="auto" w:sz="4" w:space="0"/>
            </w:tcBorders>
            <w:shd w:val="clear" w:color="auto" w:fill="FFFFFF"/>
            <w:noWrap w:val="0"/>
            <w:vAlign w:val="center"/>
          </w:tcPr>
          <w:p w14:paraId="76276B52">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课程目标2</w:t>
            </w:r>
          </w:p>
        </w:tc>
        <w:tc>
          <w:tcPr>
            <w:tcW w:w="4247" w:type="dxa"/>
            <w:gridSpan w:val="6"/>
            <w:tcBorders>
              <w:bottom w:val="single" w:color="auto" w:sz="4" w:space="0"/>
            </w:tcBorders>
            <w:shd w:val="clear" w:color="auto" w:fill="FFFFFF"/>
            <w:noWrap w:val="0"/>
            <w:vAlign w:val="center"/>
          </w:tcPr>
          <w:p w14:paraId="02D0830D">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4.3【传统文化传承】具有传承传统音乐舞蹈文化的意识，能够运用传统音乐舞蹈文化资源进行课堂教学和开展课外音乐舞蹈活动。</w:t>
            </w:r>
          </w:p>
        </w:tc>
        <w:tc>
          <w:tcPr>
            <w:tcW w:w="2501" w:type="dxa"/>
            <w:gridSpan w:val="4"/>
            <w:tcBorders>
              <w:bottom w:val="single" w:color="auto" w:sz="4" w:space="0"/>
            </w:tcBorders>
            <w:shd w:val="clear" w:color="auto" w:fill="FFFFFF"/>
            <w:noWrap w:val="0"/>
            <w:vAlign w:val="center"/>
          </w:tcPr>
          <w:p w14:paraId="42D27390">
            <w:pPr>
              <w:adjustRightInd w:val="0"/>
              <w:snapToGrid w:val="0"/>
              <w:jc w:val="center"/>
              <w:rPr>
                <w:rFonts w:hint="eastAsia" w:ascii="仿宋" w:hAnsi="仿宋" w:eastAsia="仿宋" w:cs="仿宋"/>
                <w:sz w:val="24"/>
                <w:szCs w:val="24"/>
              </w:rPr>
            </w:pPr>
            <w:r>
              <w:rPr>
                <w:rFonts w:hint="eastAsia" w:ascii="仿宋" w:hAnsi="仿宋" w:eastAsia="仿宋" w:cs="仿宋"/>
                <w:bCs/>
                <w:sz w:val="24"/>
                <w:szCs w:val="24"/>
                <w:lang w:eastAsia="zh-Hans"/>
              </w:rPr>
              <w:t>教学能力</w:t>
            </w:r>
            <w:r>
              <w:rPr>
                <w:rFonts w:hint="eastAsia" w:ascii="仿宋" w:hAnsi="仿宋" w:eastAsia="仿宋" w:cs="仿宋"/>
                <w:bCs/>
                <w:sz w:val="24"/>
                <w:szCs w:val="24"/>
              </w:rPr>
              <w:t>（</w:t>
            </w:r>
            <w:r>
              <w:rPr>
                <w:rFonts w:hint="default" w:ascii="仿宋" w:hAnsi="仿宋" w:eastAsia="仿宋" w:cs="仿宋"/>
                <w:bCs/>
                <w:sz w:val="24"/>
                <w:szCs w:val="24"/>
              </w:rPr>
              <w:t>H</w:t>
            </w:r>
            <w:r>
              <w:rPr>
                <w:rFonts w:hint="eastAsia" w:ascii="仿宋" w:hAnsi="仿宋" w:eastAsia="仿宋" w:cs="仿宋"/>
                <w:bCs/>
                <w:sz w:val="24"/>
                <w:szCs w:val="24"/>
              </w:rPr>
              <w:t>）</w:t>
            </w:r>
          </w:p>
        </w:tc>
      </w:tr>
      <w:tr w14:paraId="23FB3002">
        <w:trPr>
          <w:trHeight w:val="794" w:hRule="atLeast"/>
          <w:jc w:val="center"/>
        </w:trPr>
        <w:tc>
          <w:tcPr>
            <w:tcW w:w="1376" w:type="dxa"/>
            <w:vMerge w:val="continue"/>
            <w:shd w:val="clear" w:color="auto" w:fill="FFFFFF"/>
            <w:noWrap w:val="0"/>
            <w:vAlign w:val="center"/>
          </w:tcPr>
          <w:p w14:paraId="1F1C6A0C">
            <w:pPr>
              <w:adjustRightInd w:val="0"/>
              <w:snapToGrid w:val="0"/>
              <w:spacing w:line="240" w:lineRule="atLeast"/>
              <w:jc w:val="center"/>
              <w:rPr>
                <w:rFonts w:hint="eastAsia" w:ascii="仿宋" w:hAnsi="仿宋" w:eastAsia="仿宋" w:cs="仿宋"/>
                <w:color w:val="000000"/>
                <w:sz w:val="24"/>
                <w:szCs w:val="24"/>
              </w:rPr>
            </w:pPr>
          </w:p>
        </w:tc>
        <w:tc>
          <w:tcPr>
            <w:tcW w:w="1174" w:type="dxa"/>
            <w:gridSpan w:val="2"/>
            <w:shd w:val="clear" w:color="auto" w:fill="FFFFFF"/>
            <w:noWrap w:val="0"/>
            <w:vAlign w:val="center"/>
          </w:tcPr>
          <w:p w14:paraId="51D1A631">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课程目标3</w:t>
            </w:r>
          </w:p>
        </w:tc>
        <w:tc>
          <w:tcPr>
            <w:tcW w:w="4247" w:type="dxa"/>
            <w:gridSpan w:val="6"/>
            <w:shd w:val="clear" w:color="auto" w:fill="FFFFFF"/>
            <w:noWrap w:val="0"/>
            <w:vAlign w:val="center"/>
          </w:tcPr>
          <w:p w14:paraId="4AD39D30">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1.2【立德树人】具有正确的学生观、教师观、教育观、艺术观，形成立德树人的理念，掌握立德树人的途径与方法，能够依据德智体美劳全面发展的教育方针开展教育教学，培育发展学生的核心素养。</w:t>
            </w:r>
          </w:p>
        </w:tc>
        <w:tc>
          <w:tcPr>
            <w:tcW w:w="2501" w:type="dxa"/>
            <w:gridSpan w:val="4"/>
            <w:shd w:val="clear" w:color="auto" w:fill="FFFFFF"/>
            <w:noWrap w:val="0"/>
            <w:vAlign w:val="center"/>
          </w:tcPr>
          <w:p w14:paraId="35E3A430">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lang w:eastAsia="zh-Hans"/>
              </w:rPr>
              <w:t>师徳规范</w:t>
            </w:r>
            <w:r>
              <w:rPr>
                <w:rFonts w:hint="eastAsia" w:ascii="仿宋" w:hAnsi="仿宋" w:eastAsia="仿宋" w:cs="仿宋"/>
                <w:sz w:val="24"/>
                <w:szCs w:val="24"/>
              </w:rPr>
              <w:t>（</w:t>
            </w:r>
            <w:r>
              <w:rPr>
                <w:rFonts w:hint="default" w:ascii="仿宋" w:hAnsi="仿宋" w:eastAsia="仿宋" w:cs="仿宋"/>
                <w:sz w:val="24"/>
                <w:szCs w:val="24"/>
              </w:rPr>
              <w:t>M</w:t>
            </w:r>
            <w:r>
              <w:rPr>
                <w:rFonts w:hint="eastAsia" w:ascii="仿宋" w:hAnsi="仿宋" w:eastAsia="仿宋" w:cs="仿宋"/>
                <w:sz w:val="24"/>
                <w:szCs w:val="24"/>
              </w:rPr>
              <w:t>）</w:t>
            </w:r>
          </w:p>
        </w:tc>
      </w:tr>
      <w:tr w14:paraId="7748799E">
        <w:trPr>
          <w:trHeight w:val="794" w:hRule="atLeast"/>
          <w:jc w:val="center"/>
        </w:trPr>
        <w:tc>
          <w:tcPr>
            <w:tcW w:w="1376" w:type="dxa"/>
            <w:vMerge w:val="restart"/>
            <w:shd w:val="clear" w:color="auto" w:fill="FFFFFF"/>
            <w:noWrap w:val="0"/>
            <w:vAlign w:val="center"/>
          </w:tcPr>
          <w:p w14:paraId="54135E71">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F</w:t>
            </w:r>
          </w:p>
          <w:p w14:paraId="27BC133A">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理论学习内容</w:t>
            </w:r>
          </w:p>
        </w:tc>
        <w:tc>
          <w:tcPr>
            <w:tcW w:w="5421" w:type="dxa"/>
            <w:gridSpan w:val="8"/>
            <w:shd w:val="clear" w:color="auto" w:fill="FFFFFF"/>
            <w:noWrap w:val="0"/>
            <w:vAlign w:val="center"/>
          </w:tcPr>
          <w:p w14:paraId="4855D666">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章节学习内容与学习要求</w:t>
            </w:r>
          </w:p>
        </w:tc>
        <w:tc>
          <w:tcPr>
            <w:tcW w:w="1238" w:type="dxa"/>
            <w:gridSpan w:val="2"/>
            <w:shd w:val="clear" w:color="auto" w:fill="FFFFFF"/>
            <w:noWrap w:val="0"/>
            <w:vAlign w:val="center"/>
          </w:tcPr>
          <w:p w14:paraId="03A4E0BC">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14:paraId="5584AA44">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1263" w:type="dxa"/>
            <w:gridSpan w:val="2"/>
            <w:shd w:val="clear" w:color="auto" w:fill="FFFFFF"/>
            <w:noWrap w:val="0"/>
            <w:vAlign w:val="center"/>
          </w:tcPr>
          <w:p w14:paraId="7B0F67B6">
            <w:pPr>
              <w:adjustRightInd w:val="0"/>
              <w:snapToGrid w:val="0"/>
              <w:spacing w:line="240" w:lineRule="atLeast"/>
              <w:jc w:val="center"/>
              <w:textAlignment w:val="baseline"/>
              <w:rPr>
                <w:rFonts w:ascii="仿宋" w:hAnsi="仿宋" w:eastAsia="仿宋" w:cs="仿宋"/>
                <w:kern w:val="0"/>
                <w:sz w:val="24"/>
                <w:szCs w:val="24"/>
              </w:rPr>
            </w:pPr>
            <w:r>
              <w:rPr>
                <w:rFonts w:hint="eastAsia" w:ascii="仿宋" w:hAnsi="仿宋" w:eastAsia="仿宋" w:cs="仿宋"/>
                <w:kern w:val="0"/>
                <w:sz w:val="24"/>
                <w:szCs w:val="24"/>
              </w:rPr>
              <w:t>学时</w:t>
            </w:r>
          </w:p>
          <w:p w14:paraId="3B9ECB7B">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分配</w:t>
            </w:r>
          </w:p>
        </w:tc>
      </w:tr>
      <w:tr w14:paraId="7F7C143B">
        <w:trPr>
          <w:trHeight w:val="794" w:hRule="atLeast"/>
          <w:jc w:val="center"/>
        </w:trPr>
        <w:tc>
          <w:tcPr>
            <w:tcW w:w="1376" w:type="dxa"/>
            <w:vMerge w:val="continue"/>
            <w:shd w:val="clear" w:color="auto" w:fill="FFFFFF"/>
            <w:noWrap w:val="0"/>
            <w:vAlign w:val="center"/>
          </w:tcPr>
          <w:p w14:paraId="1F9B3CA6">
            <w:pPr>
              <w:adjustRightInd w:val="0"/>
              <w:snapToGrid w:val="0"/>
              <w:spacing w:line="240" w:lineRule="atLeast"/>
              <w:jc w:val="right"/>
              <w:rPr>
                <w:rFonts w:hint="eastAsia" w:ascii="仿宋" w:hAnsi="仿宋" w:eastAsia="仿宋" w:cs="仿宋"/>
                <w:color w:val="000000"/>
                <w:sz w:val="24"/>
                <w:szCs w:val="24"/>
              </w:rPr>
            </w:pPr>
          </w:p>
        </w:tc>
        <w:tc>
          <w:tcPr>
            <w:tcW w:w="5421" w:type="dxa"/>
            <w:gridSpan w:val="8"/>
            <w:shd w:val="clear" w:color="auto" w:fill="auto"/>
            <w:noWrap w:val="0"/>
            <w:vAlign w:val="center"/>
          </w:tcPr>
          <w:p w14:paraId="7B7E1A09">
            <w:pPr>
              <w:numPr>
                <w:ilvl w:val="0"/>
                <w:numId w:val="11"/>
              </w:numPr>
              <w:adjustRightInd w:val="0"/>
              <w:snapToGrid w:val="0"/>
              <w:rPr>
                <w:rFonts w:hint="eastAsia" w:ascii="仿宋" w:hAnsi="仿宋" w:eastAsia="仿宋" w:cs="仿宋"/>
                <w:bCs/>
                <w:sz w:val="24"/>
                <w:szCs w:val="24"/>
              </w:rPr>
            </w:pPr>
            <w:r>
              <w:rPr>
                <w:rFonts w:hint="eastAsia" w:ascii="仿宋" w:hAnsi="仿宋" w:eastAsia="仿宋" w:cs="仿宋"/>
                <w:bCs/>
                <w:sz w:val="24"/>
                <w:szCs w:val="24"/>
              </w:rPr>
              <w:t>远古及夏商音乐（约公元前21世纪-前11世纪）</w:t>
            </w:r>
          </w:p>
          <w:p w14:paraId="6D2E0E80">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知道层次：描述原始时期、夏商的音乐及其乐器</w:t>
            </w:r>
          </w:p>
          <w:p w14:paraId="1B64FAF1">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领会层次：归纳音乐的起源</w:t>
            </w:r>
          </w:p>
          <w:p w14:paraId="34F7739C">
            <w:pPr>
              <w:widowControl/>
              <w:adjustRightInd w:val="0"/>
              <w:snapToGrid w:val="0"/>
              <w:rPr>
                <w:rFonts w:hint="eastAsia" w:ascii="仿宋" w:hAnsi="仿宋" w:eastAsia="仿宋" w:cs="仿宋"/>
                <w:bCs/>
                <w:sz w:val="24"/>
                <w:szCs w:val="24"/>
              </w:rPr>
            </w:pPr>
            <w:r>
              <w:rPr>
                <w:rFonts w:hint="eastAsia" w:ascii="仿宋" w:hAnsi="仿宋" w:eastAsia="仿宋" w:cs="仿宋"/>
                <w:kern w:val="0"/>
                <w:sz w:val="24"/>
                <w:szCs w:val="24"/>
              </w:rPr>
              <w:t>应用层次：运用音乐学专业</w:t>
            </w:r>
            <w:r>
              <w:rPr>
                <w:rFonts w:hint="eastAsia" w:ascii="仿宋" w:hAnsi="仿宋" w:eastAsia="仿宋" w:cs="仿宋"/>
                <w:bCs/>
                <w:sz w:val="24"/>
                <w:szCs w:val="24"/>
              </w:rPr>
              <w:t xml:space="preserve">的知识框架和学习方法     </w:t>
            </w:r>
          </w:p>
        </w:tc>
        <w:tc>
          <w:tcPr>
            <w:tcW w:w="1238" w:type="dxa"/>
            <w:gridSpan w:val="2"/>
            <w:shd w:val="clear" w:color="auto" w:fill="auto"/>
            <w:noWrap w:val="0"/>
            <w:vAlign w:val="center"/>
          </w:tcPr>
          <w:p w14:paraId="06572E62">
            <w:pPr>
              <w:widowControl/>
              <w:adjustRightInd w:val="0"/>
              <w:snapToGrid w:val="0"/>
              <w:jc w:val="both"/>
              <w:rPr>
                <w:rFonts w:hint="eastAsia" w:ascii="仿宋" w:hAnsi="仿宋" w:eastAsia="仿宋" w:cs="仿宋"/>
                <w:bCs/>
                <w:sz w:val="24"/>
                <w:szCs w:val="24"/>
              </w:rPr>
            </w:pPr>
            <w:r>
              <w:rPr>
                <w:rFonts w:hint="eastAsia" w:ascii="仿宋" w:hAnsi="仿宋" w:eastAsia="仿宋" w:cs="仿宋"/>
                <w:bCs/>
                <w:sz w:val="24"/>
                <w:szCs w:val="24"/>
              </w:rPr>
              <w:t>支撑课程目标1、2、3</w:t>
            </w:r>
          </w:p>
        </w:tc>
        <w:tc>
          <w:tcPr>
            <w:tcW w:w="1263" w:type="dxa"/>
            <w:gridSpan w:val="2"/>
            <w:shd w:val="clear" w:color="auto" w:fill="FFFFFF"/>
            <w:noWrap w:val="0"/>
            <w:vAlign w:val="center"/>
          </w:tcPr>
          <w:p w14:paraId="284444E9">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2</w:t>
            </w:r>
          </w:p>
        </w:tc>
      </w:tr>
      <w:tr w14:paraId="316E2373">
        <w:trPr>
          <w:trHeight w:val="794" w:hRule="atLeast"/>
          <w:jc w:val="center"/>
        </w:trPr>
        <w:tc>
          <w:tcPr>
            <w:tcW w:w="1376" w:type="dxa"/>
            <w:vMerge w:val="continue"/>
            <w:shd w:val="clear" w:color="auto" w:fill="FFFFFF"/>
            <w:noWrap w:val="0"/>
            <w:vAlign w:val="center"/>
          </w:tcPr>
          <w:p w14:paraId="6CAAE1F9">
            <w:pPr>
              <w:adjustRightInd w:val="0"/>
              <w:snapToGrid w:val="0"/>
              <w:spacing w:line="240" w:lineRule="atLeast"/>
              <w:jc w:val="right"/>
              <w:rPr>
                <w:rFonts w:hint="eastAsia" w:ascii="仿宋" w:hAnsi="仿宋" w:eastAsia="仿宋" w:cs="仿宋"/>
                <w:color w:val="000000"/>
                <w:sz w:val="24"/>
                <w:szCs w:val="24"/>
              </w:rPr>
            </w:pPr>
          </w:p>
        </w:tc>
        <w:tc>
          <w:tcPr>
            <w:tcW w:w="5421" w:type="dxa"/>
            <w:gridSpan w:val="8"/>
            <w:shd w:val="clear" w:color="auto" w:fill="auto"/>
            <w:noWrap w:val="0"/>
            <w:vAlign w:val="center"/>
          </w:tcPr>
          <w:p w14:paraId="4862444F">
            <w:pPr>
              <w:numPr>
                <w:ilvl w:val="0"/>
                <w:numId w:val="11"/>
              </w:numPr>
              <w:adjustRightInd w:val="0"/>
              <w:snapToGrid w:val="0"/>
              <w:rPr>
                <w:rFonts w:hint="eastAsia" w:ascii="仿宋" w:hAnsi="仿宋" w:eastAsia="仿宋" w:cs="仿宋"/>
                <w:bCs/>
                <w:sz w:val="24"/>
                <w:szCs w:val="24"/>
              </w:rPr>
            </w:pPr>
            <w:r>
              <w:rPr>
                <w:rFonts w:hint="eastAsia" w:ascii="仿宋" w:hAnsi="仿宋" w:eastAsia="仿宋" w:cs="仿宋"/>
                <w:bCs/>
                <w:sz w:val="24"/>
                <w:szCs w:val="24"/>
              </w:rPr>
              <w:t>周代</w:t>
            </w:r>
            <w:r>
              <w:rPr>
                <w:rFonts w:hint="eastAsia" w:ascii="仿宋" w:hAnsi="仿宋" w:eastAsia="仿宋" w:cs="仿宋"/>
                <w:bCs/>
                <w:sz w:val="24"/>
                <w:szCs w:val="24"/>
                <w:lang w:val="en-US" w:eastAsia="zh-CN"/>
              </w:rPr>
              <w:t>及春秋战国</w:t>
            </w:r>
            <w:r>
              <w:rPr>
                <w:rFonts w:hint="eastAsia" w:ascii="仿宋" w:hAnsi="仿宋" w:eastAsia="仿宋" w:cs="仿宋"/>
                <w:bCs/>
                <w:sz w:val="24"/>
                <w:szCs w:val="24"/>
              </w:rPr>
              <w:t>音乐（公元前11世纪-前221）</w:t>
            </w:r>
          </w:p>
          <w:p w14:paraId="342484E8">
            <w:pPr>
              <w:widowControl/>
              <w:adjustRightInd w:val="0"/>
              <w:snapToGrid w:val="0"/>
              <w:rPr>
                <w:rFonts w:hint="default" w:ascii="仿宋" w:hAnsi="仿宋" w:eastAsia="仿宋" w:cs="仿宋"/>
                <w:kern w:val="0"/>
                <w:sz w:val="24"/>
                <w:szCs w:val="24"/>
                <w:lang w:val="en-US" w:eastAsia="zh-CN"/>
              </w:rPr>
            </w:pPr>
            <w:r>
              <w:rPr>
                <w:rFonts w:hint="eastAsia" w:ascii="仿宋" w:hAnsi="仿宋" w:eastAsia="仿宋" w:cs="仿宋"/>
                <w:kern w:val="0"/>
                <w:sz w:val="24"/>
                <w:szCs w:val="24"/>
              </w:rPr>
              <w:t>知道：</w:t>
            </w:r>
            <w:r>
              <w:rPr>
                <w:rFonts w:hint="eastAsia" w:ascii="仿宋" w:hAnsi="仿宋" w:eastAsia="仿宋" w:cs="仿宋"/>
                <w:kern w:val="0"/>
                <w:sz w:val="24"/>
                <w:szCs w:val="24"/>
                <w:lang w:val="en-US" w:eastAsia="zh-CN"/>
              </w:rPr>
              <w:t>礼乐制度</w:t>
            </w:r>
          </w:p>
          <w:p w14:paraId="111CF60F">
            <w:pPr>
              <w:widowControl/>
              <w:adjustRightInd w:val="0"/>
              <w:snapToGrid w:val="0"/>
              <w:rPr>
                <w:rFonts w:hint="eastAsia" w:ascii="仿宋" w:hAnsi="仿宋" w:eastAsia="仿宋" w:cs="仿宋"/>
                <w:kern w:val="0"/>
                <w:sz w:val="24"/>
                <w:szCs w:val="24"/>
                <w:lang w:eastAsia="zh-CN"/>
              </w:rPr>
            </w:pPr>
            <w:r>
              <w:rPr>
                <w:rFonts w:hint="eastAsia" w:ascii="仿宋" w:hAnsi="仿宋" w:eastAsia="仿宋" w:cs="仿宋"/>
                <w:kern w:val="0"/>
                <w:sz w:val="24"/>
                <w:szCs w:val="24"/>
              </w:rPr>
              <w:t>领会：</w:t>
            </w:r>
            <w:r>
              <w:rPr>
                <w:rFonts w:hint="eastAsia" w:ascii="仿宋" w:hAnsi="仿宋" w:eastAsia="仿宋" w:cs="仿宋"/>
                <w:kern w:val="0"/>
                <w:sz w:val="24"/>
                <w:szCs w:val="24"/>
                <w:lang w:val="en-US" w:eastAsia="zh-CN"/>
              </w:rPr>
              <w:t>教育与音乐家</w:t>
            </w:r>
          </w:p>
          <w:p w14:paraId="2206AFAC">
            <w:pPr>
              <w:widowControl/>
              <w:adjustRightInd w:val="0"/>
              <w:snapToGrid w:val="0"/>
              <w:rPr>
                <w:rFonts w:hint="default" w:ascii="仿宋" w:hAnsi="仿宋" w:eastAsia="仿宋" w:cs="仿宋"/>
                <w:kern w:val="0"/>
                <w:sz w:val="24"/>
                <w:szCs w:val="24"/>
                <w:lang w:val="en-US" w:eastAsia="zh-CN"/>
              </w:rPr>
            </w:pPr>
            <w:r>
              <w:rPr>
                <w:rFonts w:hint="eastAsia" w:ascii="仿宋" w:hAnsi="仿宋" w:eastAsia="仿宋" w:cs="仿宋"/>
                <w:kern w:val="0"/>
                <w:sz w:val="24"/>
                <w:szCs w:val="24"/>
              </w:rPr>
              <w:t>应用：周代</w:t>
            </w:r>
            <w:r>
              <w:rPr>
                <w:rFonts w:hint="eastAsia" w:ascii="仿宋" w:hAnsi="仿宋" w:eastAsia="仿宋" w:cs="仿宋"/>
                <w:kern w:val="0"/>
                <w:sz w:val="24"/>
                <w:szCs w:val="24"/>
                <w:lang w:val="en-US" w:eastAsia="zh-CN"/>
              </w:rPr>
              <w:t>乐舞、</w:t>
            </w:r>
            <w:r>
              <w:rPr>
                <w:rFonts w:hint="eastAsia" w:ascii="仿宋" w:hAnsi="仿宋" w:eastAsia="仿宋" w:cs="仿宋"/>
                <w:bCs/>
                <w:sz w:val="24"/>
                <w:szCs w:val="24"/>
                <w:lang w:val="en-US" w:eastAsia="zh-CN"/>
              </w:rPr>
              <w:t>八音分类法</w:t>
            </w:r>
          </w:p>
          <w:p w14:paraId="1118948F">
            <w:pPr>
              <w:adjustRightInd w:val="0"/>
              <w:snapToGrid w:val="0"/>
              <w:rPr>
                <w:rFonts w:hint="eastAsia" w:ascii="仿宋" w:hAnsi="仿宋" w:eastAsia="仿宋" w:cs="仿宋"/>
                <w:bCs/>
                <w:sz w:val="24"/>
                <w:szCs w:val="24"/>
              </w:rPr>
            </w:pPr>
            <w:r>
              <w:rPr>
                <w:rFonts w:hint="eastAsia" w:ascii="仿宋" w:hAnsi="仿宋" w:eastAsia="仿宋" w:cs="仿宋"/>
                <w:kern w:val="0"/>
                <w:sz w:val="24"/>
                <w:szCs w:val="24"/>
              </w:rPr>
              <w:t>分析：</w:t>
            </w:r>
            <w:r>
              <w:rPr>
                <w:rFonts w:hint="eastAsia" w:ascii="仿宋" w:hAnsi="仿宋" w:eastAsia="仿宋" w:cs="仿宋"/>
                <w:kern w:val="0"/>
                <w:sz w:val="24"/>
                <w:szCs w:val="24"/>
                <w:lang w:val="en-US" w:eastAsia="zh-CN"/>
              </w:rPr>
              <w:t>春秋战国时期的文学与音乐</w:t>
            </w:r>
          </w:p>
          <w:p w14:paraId="2A9BD17A">
            <w:pPr>
              <w:adjustRightInd w:val="0"/>
              <w:snapToGrid w:val="0"/>
              <w:rPr>
                <w:rFonts w:hint="default" w:ascii="仿宋" w:hAnsi="仿宋" w:eastAsia="仿宋" w:cs="仿宋"/>
                <w:bCs/>
                <w:sz w:val="24"/>
                <w:szCs w:val="24"/>
                <w:lang w:val="en-US" w:eastAsia="zh-CN"/>
              </w:rPr>
            </w:pPr>
            <w:r>
              <w:rPr>
                <w:rFonts w:hint="eastAsia" w:ascii="仿宋" w:hAnsi="仿宋" w:eastAsia="仿宋" w:cs="仿宋"/>
                <w:bCs/>
                <w:sz w:val="24"/>
                <w:szCs w:val="24"/>
              </w:rPr>
              <w:t>综合：</w:t>
            </w:r>
            <w:r>
              <w:rPr>
                <w:rFonts w:hint="eastAsia" w:ascii="仿宋" w:hAnsi="仿宋" w:eastAsia="仿宋" w:cs="仿宋"/>
                <w:bCs/>
                <w:sz w:val="24"/>
                <w:szCs w:val="24"/>
                <w:lang w:val="en-US" w:eastAsia="zh-CN"/>
              </w:rPr>
              <w:t>春秋战国时期的乐器与器乐、乐律学</w:t>
            </w:r>
          </w:p>
          <w:p w14:paraId="04AF8F2C">
            <w:pPr>
              <w:adjustRightInd w:val="0"/>
              <w:snapToGrid w:val="0"/>
              <w:rPr>
                <w:rFonts w:hint="default" w:ascii="仿宋" w:hAnsi="仿宋" w:eastAsia="仿宋" w:cs="仿宋"/>
                <w:bCs/>
                <w:sz w:val="24"/>
                <w:szCs w:val="24"/>
                <w:lang w:val="en-US" w:eastAsia="zh-CN"/>
              </w:rPr>
            </w:pPr>
            <w:r>
              <w:rPr>
                <w:rFonts w:hint="eastAsia" w:ascii="仿宋" w:hAnsi="仿宋" w:eastAsia="仿宋" w:cs="仿宋"/>
                <w:bCs/>
                <w:sz w:val="24"/>
                <w:szCs w:val="24"/>
              </w:rPr>
              <w:t>评价：音乐</w:t>
            </w:r>
            <w:r>
              <w:rPr>
                <w:rFonts w:hint="eastAsia" w:ascii="仿宋" w:hAnsi="仿宋" w:eastAsia="仿宋" w:cs="仿宋"/>
                <w:bCs/>
                <w:sz w:val="24"/>
                <w:szCs w:val="24"/>
                <w:lang w:val="en-US" w:eastAsia="zh-CN"/>
              </w:rPr>
              <w:t>论著与音乐思想</w:t>
            </w:r>
          </w:p>
        </w:tc>
        <w:tc>
          <w:tcPr>
            <w:tcW w:w="1238" w:type="dxa"/>
            <w:gridSpan w:val="2"/>
            <w:shd w:val="clear" w:color="auto" w:fill="auto"/>
            <w:noWrap w:val="0"/>
            <w:vAlign w:val="center"/>
          </w:tcPr>
          <w:p w14:paraId="2A4C0C8F">
            <w:pPr>
              <w:adjustRightInd w:val="0"/>
              <w:snapToGrid w:val="0"/>
              <w:jc w:val="center"/>
              <w:rPr>
                <w:rFonts w:hint="eastAsia" w:ascii="仿宋" w:hAnsi="仿宋" w:eastAsia="仿宋" w:cs="仿宋"/>
                <w:bCs/>
                <w:sz w:val="24"/>
                <w:szCs w:val="24"/>
              </w:rPr>
            </w:pPr>
          </w:p>
          <w:p w14:paraId="6CBA7F11">
            <w:pPr>
              <w:widowControl/>
              <w:adjustRightInd w:val="0"/>
              <w:snapToGrid w:val="0"/>
              <w:jc w:val="center"/>
              <w:rPr>
                <w:rFonts w:hint="eastAsia" w:ascii="仿宋" w:hAnsi="仿宋" w:eastAsia="仿宋" w:cs="仿宋"/>
                <w:bCs/>
                <w:sz w:val="24"/>
                <w:szCs w:val="24"/>
              </w:rPr>
            </w:pPr>
          </w:p>
          <w:p w14:paraId="308DF8AE">
            <w:pPr>
              <w:widowControl/>
              <w:adjustRightInd w:val="0"/>
              <w:snapToGrid w:val="0"/>
              <w:jc w:val="both"/>
              <w:rPr>
                <w:rFonts w:hint="eastAsia" w:ascii="仿宋" w:hAnsi="仿宋" w:eastAsia="仿宋" w:cs="仿宋"/>
                <w:bCs/>
                <w:sz w:val="24"/>
                <w:szCs w:val="24"/>
              </w:rPr>
            </w:pPr>
            <w:r>
              <w:rPr>
                <w:rFonts w:hint="eastAsia" w:ascii="仿宋" w:hAnsi="仿宋" w:eastAsia="仿宋" w:cs="仿宋"/>
                <w:bCs/>
                <w:sz w:val="24"/>
                <w:szCs w:val="24"/>
              </w:rPr>
              <w:t>支撑课程目标1、2、3</w:t>
            </w:r>
          </w:p>
          <w:p w14:paraId="4CB2FC19">
            <w:pPr>
              <w:widowControl/>
              <w:adjustRightInd w:val="0"/>
              <w:snapToGrid w:val="0"/>
              <w:jc w:val="center"/>
              <w:rPr>
                <w:rFonts w:hint="eastAsia" w:ascii="仿宋" w:hAnsi="仿宋" w:eastAsia="仿宋" w:cs="仿宋"/>
                <w:bCs/>
                <w:sz w:val="24"/>
                <w:szCs w:val="24"/>
              </w:rPr>
            </w:pPr>
          </w:p>
          <w:p w14:paraId="2BB3FEBA">
            <w:pPr>
              <w:adjustRightInd w:val="0"/>
              <w:snapToGrid w:val="0"/>
              <w:jc w:val="center"/>
              <w:rPr>
                <w:rFonts w:hint="eastAsia" w:ascii="仿宋" w:hAnsi="仿宋" w:eastAsia="仿宋" w:cs="仿宋"/>
                <w:bCs/>
                <w:sz w:val="24"/>
                <w:szCs w:val="24"/>
              </w:rPr>
            </w:pPr>
          </w:p>
        </w:tc>
        <w:tc>
          <w:tcPr>
            <w:tcW w:w="1263" w:type="dxa"/>
            <w:gridSpan w:val="2"/>
            <w:shd w:val="clear" w:color="auto" w:fill="FFFFFF"/>
            <w:noWrap w:val="0"/>
            <w:vAlign w:val="center"/>
          </w:tcPr>
          <w:p w14:paraId="25543F6C">
            <w:pPr>
              <w:adjustRightInd w:val="0"/>
              <w:snapToGrid w:val="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w:t>
            </w:r>
          </w:p>
        </w:tc>
      </w:tr>
      <w:tr w14:paraId="7905B2B0">
        <w:trPr>
          <w:trHeight w:val="794" w:hRule="atLeast"/>
          <w:jc w:val="center"/>
        </w:trPr>
        <w:tc>
          <w:tcPr>
            <w:tcW w:w="1376" w:type="dxa"/>
            <w:vMerge w:val="continue"/>
            <w:shd w:val="clear" w:color="auto" w:fill="FFFFFF"/>
            <w:noWrap w:val="0"/>
            <w:vAlign w:val="center"/>
          </w:tcPr>
          <w:p w14:paraId="5D93A2ED">
            <w:pPr>
              <w:adjustRightInd w:val="0"/>
              <w:snapToGrid w:val="0"/>
              <w:spacing w:line="240" w:lineRule="atLeast"/>
              <w:jc w:val="right"/>
              <w:rPr>
                <w:rFonts w:hint="eastAsia" w:ascii="仿宋" w:hAnsi="仿宋" w:eastAsia="仿宋" w:cs="仿宋"/>
                <w:color w:val="000000"/>
                <w:sz w:val="24"/>
                <w:szCs w:val="24"/>
              </w:rPr>
            </w:pPr>
          </w:p>
        </w:tc>
        <w:tc>
          <w:tcPr>
            <w:tcW w:w="5421" w:type="dxa"/>
            <w:gridSpan w:val="8"/>
            <w:shd w:val="clear" w:color="auto" w:fill="auto"/>
            <w:noWrap w:val="0"/>
            <w:vAlign w:val="center"/>
          </w:tcPr>
          <w:p w14:paraId="7A9208BC">
            <w:pPr>
              <w:numPr>
                <w:ilvl w:val="0"/>
                <w:numId w:val="11"/>
              </w:num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秦汉音乐（公元前221-公元280年）</w:t>
            </w:r>
          </w:p>
          <w:p w14:paraId="2A401484">
            <w:pPr>
              <w:widowControl/>
              <w:adjustRightInd w:val="0"/>
              <w:snapToGrid w:val="0"/>
              <w:rPr>
                <w:rFonts w:hint="eastAsia" w:ascii="仿宋" w:hAnsi="仿宋" w:eastAsia="仿宋" w:cs="仿宋"/>
                <w:kern w:val="0"/>
                <w:sz w:val="24"/>
                <w:szCs w:val="24"/>
                <w:lang w:eastAsia="zh-CN"/>
              </w:rPr>
            </w:pPr>
            <w:r>
              <w:rPr>
                <w:rFonts w:hint="eastAsia" w:ascii="仿宋" w:hAnsi="仿宋" w:eastAsia="仿宋" w:cs="仿宋"/>
                <w:kern w:val="0"/>
                <w:sz w:val="24"/>
                <w:szCs w:val="24"/>
              </w:rPr>
              <w:t>知道：</w:t>
            </w:r>
            <w:r>
              <w:rPr>
                <w:rFonts w:hint="eastAsia" w:ascii="仿宋" w:hAnsi="仿宋" w:eastAsia="仿宋" w:cs="仿宋"/>
                <w:kern w:val="0"/>
                <w:sz w:val="24"/>
                <w:szCs w:val="24"/>
                <w:lang w:val="en-US" w:eastAsia="zh-CN"/>
              </w:rPr>
              <w:t>乐府</w:t>
            </w:r>
          </w:p>
          <w:p w14:paraId="1BEB7DE1">
            <w:pPr>
              <w:widowControl/>
              <w:adjustRightInd w:val="0"/>
              <w:snapToGrid w:val="0"/>
              <w:rPr>
                <w:rFonts w:hint="default" w:ascii="仿宋" w:hAnsi="仿宋" w:eastAsia="仿宋" w:cs="仿宋"/>
                <w:kern w:val="0"/>
                <w:sz w:val="24"/>
                <w:szCs w:val="24"/>
                <w:lang w:val="en-US" w:eastAsia="zh-CN"/>
              </w:rPr>
            </w:pPr>
            <w:r>
              <w:rPr>
                <w:rFonts w:hint="eastAsia" w:ascii="仿宋" w:hAnsi="仿宋" w:eastAsia="仿宋" w:cs="仿宋"/>
                <w:kern w:val="0"/>
                <w:sz w:val="24"/>
                <w:szCs w:val="24"/>
              </w:rPr>
              <w:t>领会：</w:t>
            </w:r>
            <w:r>
              <w:rPr>
                <w:rFonts w:hint="eastAsia" w:ascii="仿宋" w:hAnsi="仿宋" w:eastAsia="仿宋" w:cs="仿宋"/>
                <w:kern w:val="0"/>
                <w:sz w:val="24"/>
                <w:szCs w:val="24"/>
                <w:lang w:val="en-US" w:eastAsia="zh-CN"/>
              </w:rPr>
              <w:t>相和歌、相和大曲、</w:t>
            </w:r>
          </w:p>
          <w:p w14:paraId="5CD9C847">
            <w:pPr>
              <w:widowControl/>
              <w:adjustRightInd w:val="0"/>
              <w:snapToGrid w:val="0"/>
              <w:rPr>
                <w:rFonts w:hint="default" w:ascii="仿宋" w:hAnsi="仿宋" w:eastAsia="仿宋" w:cs="仿宋"/>
                <w:kern w:val="0"/>
                <w:sz w:val="24"/>
                <w:szCs w:val="24"/>
                <w:lang w:val="en-US" w:eastAsia="zh-CN"/>
              </w:rPr>
            </w:pPr>
            <w:r>
              <w:rPr>
                <w:rFonts w:hint="eastAsia" w:ascii="仿宋" w:hAnsi="仿宋" w:eastAsia="仿宋" w:cs="仿宋"/>
                <w:kern w:val="0"/>
                <w:sz w:val="24"/>
                <w:szCs w:val="24"/>
              </w:rPr>
              <w:t>应用：</w:t>
            </w:r>
            <w:r>
              <w:rPr>
                <w:rFonts w:hint="eastAsia" w:ascii="仿宋" w:hAnsi="仿宋" w:eastAsia="仿宋" w:cs="仿宋"/>
                <w:kern w:val="0"/>
                <w:sz w:val="24"/>
                <w:szCs w:val="24"/>
                <w:lang w:val="en-US" w:eastAsia="zh-CN"/>
              </w:rPr>
              <w:t>百戏、角抵戏</w:t>
            </w:r>
          </w:p>
          <w:p w14:paraId="1D4283B6">
            <w:pPr>
              <w:tabs>
                <w:tab w:val="center" w:pos="2831"/>
              </w:tabs>
              <w:adjustRightInd w:val="0"/>
              <w:snapToGrid w:val="0"/>
              <w:rPr>
                <w:rFonts w:hint="eastAsia" w:ascii="仿宋" w:hAnsi="仿宋" w:eastAsia="仿宋" w:cs="仿宋"/>
                <w:bCs/>
                <w:sz w:val="24"/>
                <w:szCs w:val="24"/>
              </w:rPr>
            </w:pPr>
            <w:r>
              <w:rPr>
                <w:rFonts w:hint="eastAsia" w:ascii="仿宋" w:hAnsi="仿宋" w:eastAsia="仿宋" w:cs="仿宋"/>
                <w:kern w:val="0"/>
                <w:sz w:val="24"/>
                <w:szCs w:val="24"/>
              </w:rPr>
              <w:t>分析：</w:t>
            </w:r>
            <w:r>
              <w:rPr>
                <w:rFonts w:hint="eastAsia" w:ascii="仿宋" w:hAnsi="仿宋" w:eastAsia="仿宋" w:cs="仿宋"/>
                <w:kern w:val="0"/>
                <w:sz w:val="24"/>
                <w:szCs w:val="24"/>
                <w:lang w:val="en-US" w:eastAsia="zh-CN"/>
              </w:rPr>
              <w:t>秦汉时期的乐器与器乐</w:t>
            </w:r>
          </w:p>
          <w:p w14:paraId="3EBA4D41">
            <w:pPr>
              <w:adjustRightInd w:val="0"/>
              <w:snapToGrid w:val="0"/>
              <w:rPr>
                <w:rFonts w:hint="default" w:ascii="仿宋" w:hAnsi="仿宋" w:eastAsia="仿宋" w:cs="仿宋"/>
                <w:bCs/>
                <w:sz w:val="24"/>
                <w:szCs w:val="24"/>
                <w:lang w:val="en-US" w:eastAsia="zh-CN"/>
              </w:rPr>
            </w:pPr>
            <w:r>
              <w:rPr>
                <w:rFonts w:hint="eastAsia" w:ascii="仿宋" w:hAnsi="仿宋" w:eastAsia="仿宋" w:cs="仿宋"/>
                <w:bCs/>
                <w:sz w:val="24"/>
                <w:szCs w:val="24"/>
              </w:rPr>
              <w:t>综合：</w:t>
            </w:r>
            <w:r>
              <w:rPr>
                <w:rFonts w:hint="eastAsia" w:ascii="仿宋" w:hAnsi="仿宋" w:eastAsia="仿宋" w:cs="仿宋"/>
                <w:bCs/>
                <w:sz w:val="24"/>
                <w:szCs w:val="24"/>
                <w:lang w:val="en-US" w:eastAsia="zh-CN"/>
              </w:rPr>
              <w:t>汉代的乐律学</w:t>
            </w:r>
          </w:p>
          <w:p w14:paraId="0BBE738C">
            <w:pPr>
              <w:adjustRightInd w:val="0"/>
              <w:snapToGrid w:val="0"/>
              <w:rPr>
                <w:rFonts w:hint="eastAsia" w:ascii="仿宋" w:hAnsi="仿宋" w:eastAsia="仿宋" w:cs="仿宋"/>
                <w:bCs/>
                <w:sz w:val="24"/>
                <w:szCs w:val="24"/>
                <w:lang w:eastAsia="zh-CN"/>
              </w:rPr>
            </w:pPr>
            <w:r>
              <w:rPr>
                <w:rFonts w:hint="eastAsia" w:ascii="仿宋" w:hAnsi="仿宋" w:eastAsia="仿宋" w:cs="仿宋"/>
                <w:bCs/>
                <w:sz w:val="24"/>
                <w:szCs w:val="24"/>
              </w:rPr>
              <w:t>评价：音乐</w:t>
            </w:r>
            <w:r>
              <w:rPr>
                <w:rFonts w:hint="eastAsia" w:ascii="仿宋" w:hAnsi="仿宋" w:eastAsia="仿宋" w:cs="仿宋"/>
                <w:bCs/>
                <w:sz w:val="24"/>
                <w:szCs w:val="24"/>
                <w:lang w:val="en-US" w:eastAsia="zh-CN"/>
              </w:rPr>
              <w:t>思想</w:t>
            </w:r>
          </w:p>
        </w:tc>
        <w:tc>
          <w:tcPr>
            <w:tcW w:w="1238" w:type="dxa"/>
            <w:gridSpan w:val="2"/>
            <w:shd w:val="clear" w:color="auto" w:fill="auto"/>
            <w:noWrap w:val="0"/>
            <w:vAlign w:val="center"/>
          </w:tcPr>
          <w:p w14:paraId="2BD1F162">
            <w:pPr>
              <w:adjustRightInd w:val="0"/>
              <w:snapToGrid w:val="0"/>
              <w:jc w:val="center"/>
              <w:rPr>
                <w:rFonts w:hint="eastAsia" w:ascii="仿宋" w:hAnsi="仿宋" w:eastAsia="仿宋" w:cs="仿宋"/>
                <w:bCs/>
                <w:sz w:val="24"/>
                <w:szCs w:val="24"/>
              </w:rPr>
            </w:pPr>
          </w:p>
          <w:p w14:paraId="565E9618">
            <w:pPr>
              <w:widowControl/>
              <w:adjustRightInd w:val="0"/>
              <w:snapToGrid w:val="0"/>
              <w:jc w:val="center"/>
              <w:rPr>
                <w:rFonts w:hint="eastAsia" w:ascii="仿宋" w:hAnsi="仿宋" w:eastAsia="仿宋" w:cs="仿宋"/>
                <w:bCs/>
                <w:sz w:val="24"/>
                <w:szCs w:val="24"/>
              </w:rPr>
            </w:pPr>
          </w:p>
          <w:p w14:paraId="253DB6B1">
            <w:pPr>
              <w:widowControl/>
              <w:adjustRightInd w:val="0"/>
              <w:snapToGrid w:val="0"/>
              <w:jc w:val="both"/>
              <w:rPr>
                <w:rFonts w:hint="eastAsia" w:ascii="仿宋" w:hAnsi="仿宋" w:eastAsia="仿宋" w:cs="仿宋"/>
                <w:bCs/>
                <w:sz w:val="24"/>
                <w:szCs w:val="24"/>
              </w:rPr>
            </w:pPr>
            <w:r>
              <w:rPr>
                <w:rFonts w:hint="eastAsia" w:ascii="仿宋" w:hAnsi="仿宋" w:eastAsia="仿宋" w:cs="仿宋"/>
                <w:bCs/>
                <w:sz w:val="24"/>
                <w:szCs w:val="24"/>
              </w:rPr>
              <w:t>支撑课程目标1、2、3</w:t>
            </w:r>
          </w:p>
          <w:p w14:paraId="3D2CC5AC">
            <w:pPr>
              <w:widowControl/>
              <w:adjustRightInd w:val="0"/>
              <w:snapToGrid w:val="0"/>
              <w:jc w:val="center"/>
              <w:rPr>
                <w:rFonts w:hint="eastAsia" w:ascii="仿宋" w:hAnsi="仿宋" w:eastAsia="仿宋" w:cs="仿宋"/>
                <w:bCs/>
                <w:sz w:val="24"/>
                <w:szCs w:val="24"/>
              </w:rPr>
            </w:pPr>
          </w:p>
          <w:p w14:paraId="567D0838">
            <w:pPr>
              <w:adjustRightInd w:val="0"/>
              <w:snapToGrid w:val="0"/>
              <w:jc w:val="center"/>
              <w:rPr>
                <w:rFonts w:hint="eastAsia" w:ascii="仿宋" w:hAnsi="仿宋" w:eastAsia="仿宋" w:cs="仿宋"/>
                <w:bCs/>
                <w:sz w:val="24"/>
                <w:szCs w:val="24"/>
              </w:rPr>
            </w:pPr>
          </w:p>
        </w:tc>
        <w:tc>
          <w:tcPr>
            <w:tcW w:w="1263" w:type="dxa"/>
            <w:gridSpan w:val="2"/>
            <w:shd w:val="clear" w:color="auto" w:fill="FFFFFF"/>
            <w:noWrap w:val="0"/>
            <w:vAlign w:val="center"/>
          </w:tcPr>
          <w:p w14:paraId="5D8F6DF8">
            <w:pPr>
              <w:adjustRightInd w:val="0"/>
              <w:snapToGrid w:val="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6</w:t>
            </w:r>
          </w:p>
        </w:tc>
      </w:tr>
      <w:tr w14:paraId="2D0C6893">
        <w:trPr>
          <w:trHeight w:val="794" w:hRule="atLeast"/>
          <w:jc w:val="center"/>
        </w:trPr>
        <w:tc>
          <w:tcPr>
            <w:tcW w:w="1376" w:type="dxa"/>
            <w:vMerge w:val="continue"/>
            <w:shd w:val="clear" w:color="auto" w:fill="FFFFFF"/>
            <w:noWrap w:val="0"/>
            <w:vAlign w:val="center"/>
          </w:tcPr>
          <w:p w14:paraId="00980BD6">
            <w:pPr>
              <w:adjustRightInd w:val="0"/>
              <w:snapToGrid w:val="0"/>
              <w:spacing w:line="240" w:lineRule="atLeast"/>
              <w:jc w:val="right"/>
              <w:rPr>
                <w:rFonts w:hint="eastAsia" w:ascii="仿宋" w:hAnsi="仿宋" w:eastAsia="仿宋" w:cs="仿宋"/>
                <w:color w:val="000000"/>
                <w:sz w:val="24"/>
                <w:szCs w:val="24"/>
              </w:rPr>
            </w:pPr>
          </w:p>
        </w:tc>
        <w:tc>
          <w:tcPr>
            <w:tcW w:w="5421" w:type="dxa"/>
            <w:gridSpan w:val="8"/>
            <w:shd w:val="clear" w:color="auto" w:fill="auto"/>
            <w:noWrap w:val="0"/>
            <w:vAlign w:val="center"/>
          </w:tcPr>
          <w:p w14:paraId="758B8727">
            <w:pPr>
              <w:numPr>
                <w:ilvl w:val="0"/>
                <w:numId w:val="11"/>
              </w:numPr>
              <w:adjustRightInd w:val="0"/>
              <w:snapToGrid w:val="0"/>
              <w:rPr>
                <w:rFonts w:hint="eastAsia" w:ascii="仿宋" w:hAnsi="仿宋" w:eastAsia="仿宋" w:cs="仿宋"/>
                <w:bCs/>
                <w:sz w:val="24"/>
                <w:szCs w:val="24"/>
              </w:rPr>
            </w:pPr>
            <w:r>
              <w:rPr>
                <w:rFonts w:hint="eastAsia" w:ascii="仿宋" w:hAnsi="仿宋" w:eastAsia="仿宋" w:cs="仿宋"/>
                <w:bCs/>
                <w:sz w:val="24"/>
                <w:szCs w:val="24"/>
              </w:rPr>
              <w:t>两晋南北朝音乐（公元280-589年）</w:t>
            </w:r>
          </w:p>
          <w:p w14:paraId="5E300DAE">
            <w:pPr>
              <w:widowControl/>
              <w:adjustRightInd w:val="0"/>
              <w:snapToGrid w:val="0"/>
              <w:rPr>
                <w:rFonts w:hint="default" w:ascii="仿宋" w:hAnsi="仿宋" w:eastAsia="仿宋" w:cs="仿宋"/>
                <w:kern w:val="0"/>
                <w:sz w:val="24"/>
                <w:szCs w:val="24"/>
                <w:lang w:val="en-US" w:eastAsia="zh-CN"/>
              </w:rPr>
            </w:pPr>
            <w:r>
              <w:rPr>
                <w:rFonts w:hint="eastAsia" w:ascii="仿宋" w:hAnsi="仿宋" w:eastAsia="仿宋" w:cs="仿宋"/>
                <w:kern w:val="0"/>
                <w:sz w:val="24"/>
                <w:szCs w:val="24"/>
              </w:rPr>
              <w:t>知道：</w:t>
            </w:r>
            <w:r>
              <w:rPr>
                <w:rFonts w:hint="eastAsia" w:ascii="仿宋" w:hAnsi="仿宋" w:eastAsia="仿宋" w:cs="仿宋"/>
                <w:kern w:val="0"/>
                <w:sz w:val="24"/>
                <w:szCs w:val="24"/>
                <w:lang w:val="en-US" w:eastAsia="zh-CN"/>
              </w:rPr>
              <w:t>清商乐</w:t>
            </w:r>
          </w:p>
          <w:p w14:paraId="122BD163">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领会：各民族音乐的大融合</w:t>
            </w:r>
          </w:p>
          <w:p w14:paraId="602D1C19">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应用：乐器</w:t>
            </w:r>
          </w:p>
          <w:p w14:paraId="10F0A860">
            <w:pPr>
              <w:adjustRightInd w:val="0"/>
              <w:snapToGrid w:val="0"/>
              <w:rPr>
                <w:rFonts w:hint="eastAsia" w:ascii="仿宋" w:hAnsi="仿宋" w:eastAsia="仿宋" w:cs="仿宋"/>
                <w:bCs/>
                <w:sz w:val="24"/>
                <w:szCs w:val="24"/>
              </w:rPr>
            </w:pPr>
            <w:r>
              <w:rPr>
                <w:rFonts w:hint="eastAsia" w:ascii="仿宋" w:hAnsi="仿宋" w:eastAsia="仿宋" w:cs="仿宋"/>
                <w:kern w:val="0"/>
                <w:sz w:val="24"/>
                <w:szCs w:val="24"/>
              </w:rPr>
              <w:t>分析：器乐</w:t>
            </w:r>
          </w:p>
          <w:p w14:paraId="12B358AC">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综合：乐律学的发展</w:t>
            </w:r>
          </w:p>
          <w:p w14:paraId="25C6D9D6">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评价：音乐思想</w:t>
            </w:r>
          </w:p>
        </w:tc>
        <w:tc>
          <w:tcPr>
            <w:tcW w:w="1238" w:type="dxa"/>
            <w:gridSpan w:val="2"/>
            <w:shd w:val="clear" w:color="auto" w:fill="auto"/>
            <w:noWrap w:val="0"/>
            <w:vAlign w:val="center"/>
          </w:tcPr>
          <w:p w14:paraId="3F2E5EF1">
            <w:pPr>
              <w:adjustRightInd w:val="0"/>
              <w:snapToGrid w:val="0"/>
              <w:jc w:val="center"/>
              <w:rPr>
                <w:rFonts w:hint="eastAsia" w:ascii="仿宋" w:hAnsi="仿宋" w:eastAsia="仿宋" w:cs="仿宋"/>
                <w:bCs/>
                <w:sz w:val="24"/>
                <w:szCs w:val="24"/>
              </w:rPr>
            </w:pPr>
          </w:p>
          <w:p w14:paraId="79E11AFF">
            <w:pPr>
              <w:widowControl/>
              <w:adjustRightInd w:val="0"/>
              <w:snapToGrid w:val="0"/>
              <w:jc w:val="center"/>
              <w:rPr>
                <w:rFonts w:hint="eastAsia" w:ascii="仿宋" w:hAnsi="仿宋" w:eastAsia="仿宋" w:cs="仿宋"/>
                <w:bCs/>
                <w:sz w:val="24"/>
                <w:szCs w:val="24"/>
              </w:rPr>
            </w:pPr>
          </w:p>
          <w:p w14:paraId="65768DC0">
            <w:pPr>
              <w:widowControl/>
              <w:adjustRightInd w:val="0"/>
              <w:snapToGrid w:val="0"/>
              <w:jc w:val="both"/>
              <w:rPr>
                <w:rFonts w:hint="eastAsia" w:ascii="仿宋" w:hAnsi="仿宋" w:eastAsia="仿宋" w:cs="仿宋"/>
                <w:bCs/>
                <w:sz w:val="24"/>
                <w:szCs w:val="24"/>
              </w:rPr>
            </w:pPr>
            <w:r>
              <w:rPr>
                <w:rFonts w:hint="eastAsia" w:ascii="仿宋" w:hAnsi="仿宋" w:eastAsia="仿宋" w:cs="仿宋"/>
                <w:bCs/>
                <w:sz w:val="24"/>
                <w:szCs w:val="24"/>
              </w:rPr>
              <w:t>支撑课程目标1、2、3</w:t>
            </w:r>
          </w:p>
          <w:p w14:paraId="2D871FB3">
            <w:pPr>
              <w:widowControl/>
              <w:adjustRightInd w:val="0"/>
              <w:snapToGrid w:val="0"/>
              <w:jc w:val="center"/>
              <w:rPr>
                <w:rFonts w:hint="eastAsia" w:ascii="仿宋" w:hAnsi="仿宋" w:eastAsia="仿宋" w:cs="仿宋"/>
                <w:bCs/>
                <w:sz w:val="24"/>
                <w:szCs w:val="24"/>
              </w:rPr>
            </w:pPr>
          </w:p>
          <w:p w14:paraId="48433857">
            <w:pPr>
              <w:adjustRightInd w:val="0"/>
              <w:snapToGrid w:val="0"/>
              <w:jc w:val="center"/>
              <w:rPr>
                <w:rFonts w:hint="eastAsia" w:ascii="仿宋" w:hAnsi="仿宋" w:eastAsia="仿宋" w:cs="仿宋"/>
                <w:bCs/>
                <w:sz w:val="24"/>
                <w:szCs w:val="24"/>
              </w:rPr>
            </w:pPr>
          </w:p>
        </w:tc>
        <w:tc>
          <w:tcPr>
            <w:tcW w:w="1263" w:type="dxa"/>
            <w:gridSpan w:val="2"/>
            <w:shd w:val="clear" w:color="auto" w:fill="FFFFFF"/>
            <w:noWrap w:val="0"/>
            <w:vAlign w:val="center"/>
          </w:tcPr>
          <w:p w14:paraId="4238EBBA">
            <w:pPr>
              <w:adjustRightInd w:val="0"/>
              <w:snapToGrid w:val="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w:t>
            </w:r>
          </w:p>
        </w:tc>
      </w:tr>
      <w:tr w14:paraId="6EE714D6">
        <w:trPr>
          <w:trHeight w:val="794" w:hRule="atLeast"/>
          <w:jc w:val="center"/>
        </w:trPr>
        <w:tc>
          <w:tcPr>
            <w:tcW w:w="1376" w:type="dxa"/>
            <w:vMerge w:val="continue"/>
            <w:shd w:val="clear" w:color="auto" w:fill="FFFFFF"/>
            <w:noWrap w:val="0"/>
            <w:vAlign w:val="center"/>
          </w:tcPr>
          <w:p w14:paraId="1221FEF0">
            <w:pPr>
              <w:adjustRightInd w:val="0"/>
              <w:snapToGrid w:val="0"/>
              <w:spacing w:line="240" w:lineRule="atLeast"/>
              <w:jc w:val="right"/>
              <w:rPr>
                <w:rFonts w:hint="eastAsia" w:ascii="仿宋" w:hAnsi="仿宋" w:eastAsia="仿宋" w:cs="仿宋"/>
                <w:color w:val="000000"/>
                <w:sz w:val="24"/>
                <w:szCs w:val="24"/>
              </w:rPr>
            </w:pPr>
          </w:p>
        </w:tc>
        <w:tc>
          <w:tcPr>
            <w:tcW w:w="5421" w:type="dxa"/>
            <w:gridSpan w:val="8"/>
            <w:shd w:val="clear" w:color="auto" w:fill="auto"/>
            <w:noWrap w:val="0"/>
            <w:vAlign w:val="center"/>
          </w:tcPr>
          <w:p w14:paraId="67F35D14">
            <w:pPr>
              <w:numPr>
                <w:ilvl w:val="0"/>
                <w:numId w:val="11"/>
              </w:numPr>
              <w:adjustRightInd w:val="0"/>
              <w:snapToGrid w:val="0"/>
              <w:rPr>
                <w:rFonts w:hint="eastAsia" w:ascii="仿宋" w:hAnsi="仿宋" w:eastAsia="仿宋" w:cs="仿宋"/>
                <w:bCs/>
                <w:sz w:val="24"/>
                <w:szCs w:val="24"/>
              </w:rPr>
            </w:pPr>
            <w:r>
              <w:rPr>
                <w:rFonts w:hint="eastAsia" w:ascii="仿宋" w:hAnsi="仿宋" w:eastAsia="仿宋" w:cs="仿宋"/>
                <w:bCs/>
                <w:sz w:val="24"/>
                <w:szCs w:val="24"/>
              </w:rPr>
              <w:t>隋唐五代音乐（589-960年）</w:t>
            </w:r>
          </w:p>
          <w:p w14:paraId="05D4EB99">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知道：宫廷音乐</w:t>
            </w:r>
          </w:p>
          <w:p w14:paraId="22D4B9CB">
            <w:pPr>
              <w:widowControl/>
              <w:adjustRightInd w:val="0"/>
              <w:snapToGrid w:val="0"/>
              <w:rPr>
                <w:rFonts w:hint="default" w:ascii="仿宋" w:hAnsi="仿宋" w:eastAsia="仿宋" w:cs="仿宋"/>
                <w:kern w:val="0"/>
                <w:sz w:val="24"/>
                <w:szCs w:val="24"/>
                <w:lang w:val="en-US" w:eastAsia="zh-CN"/>
              </w:rPr>
            </w:pPr>
            <w:r>
              <w:rPr>
                <w:rFonts w:hint="eastAsia" w:ascii="仿宋" w:hAnsi="仿宋" w:eastAsia="仿宋" w:cs="仿宋"/>
                <w:kern w:val="0"/>
                <w:sz w:val="24"/>
                <w:szCs w:val="24"/>
              </w:rPr>
              <w:t>领会：</w:t>
            </w:r>
            <w:r>
              <w:rPr>
                <w:rFonts w:hint="eastAsia" w:ascii="仿宋" w:hAnsi="仿宋" w:eastAsia="仿宋" w:cs="仿宋"/>
                <w:bCs/>
                <w:sz w:val="24"/>
                <w:szCs w:val="24"/>
                <w:lang w:val="en-US" w:eastAsia="zh-CN"/>
              </w:rPr>
              <w:t>曲子与诗乐</w:t>
            </w:r>
          </w:p>
          <w:p w14:paraId="1910ADC7">
            <w:pPr>
              <w:widowControl/>
              <w:adjustRightInd w:val="0"/>
              <w:snapToGrid w:val="0"/>
              <w:rPr>
                <w:rFonts w:hint="default" w:ascii="仿宋" w:hAnsi="仿宋" w:eastAsia="仿宋" w:cs="仿宋"/>
                <w:kern w:val="0"/>
                <w:sz w:val="24"/>
                <w:szCs w:val="24"/>
                <w:lang w:val="en-US" w:eastAsia="zh-CN"/>
              </w:rPr>
            </w:pPr>
            <w:r>
              <w:rPr>
                <w:rFonts w:hint="eastAsia" w:ascii="仿宋" w:hAnsi="仿宋" w:eastAsia="仿宋" w:cs="仿宋"/>
                <w:kern w:val="0"/>
                <w:sz w:val="24"/>
                <w:szCs w:val="24"/>
              </w:rPr>
              <w:t>应用：</w:t>
            </w:r>
            <w:r>
              <w:rPr>
                <w:rFonts w:hint="eastAsia" w:ascii="仿宋" w:hAnsi="仿宋" w:eastAsia="仿宋" w:cs="仿宋"/>
                <w:bCs/>
                <w:sz w:val="24"/>
                <w:szCs w:val="24"/>
                <w:lang w:val="en-US" w:eastAsia="zh-CN"/>
              </w:rPr>
              <w:t>乐器与器乐</w:t>
            </w:r>
          </w:p>
          <w:p w14:paraId="6963ECA8">
            <w:pPr>
              <w:adjustRightInd w:val="0"/>
              <w:snapToGrid w:val="0"/>
              <w:rPr>
                <w:rFonts w:hint="default" w:ascii="仿宋" w:hAnsi="仿宋" w:eastAsia="仿宋" w:cs="仿宋"/>
                <w:bCs/>
                <w:sz w:val="24"/>
                <w:szCs w:val="24"/>
                <w:lang w:val="en-US" w:eastAsia="zh-CN"/>
              </w:rPr>
            </w:pPr>
            <w:r>
              <w:rPr>
                <w:rFonts w:hint="eastAsia" w:ascii="仿宋" w:hAnsi="仿宋" w:eastAsia="仿宋" w:cs="仿宋"/>
                <w:kern w:val="0"/>
                <w:sz w:val="24"/>
                <w:szCs w:val="24"/>
              </w:rPr>
              <w:t>分析：说唱音乐</w:t>
            </w:r>
            <w:r>
              <w:rPr>
                <w:rFonts w:hint="eastAsia" w:ascii="仿宋" w:hAnsi="仿宋" w:eastAsia="仿宋" w:cs="仿宋"/>
                <w:kern w:val="0"/>
                <w:sz w:val="24"/>
                <w:szCs w:val="24"/>
                <w:lang w:eastAsia="zh-CN"/>
              </w:rPr>
              <w:t>、</w:t>
            </w:r>
            <w:r>
              <w:rPr>
                <w:rFonts w:hint="eastAsia" w:ascii="仿宋" w:hAnsi="仿宋" w:eastAsia="仿宋" w:cs="仿宋"/>
                <w:kern w:val="0"/>
                <w:sz w:val="24"/>
                <w:szCs w:val="24"/>
                <w:lang w:val="en-US" w:eastAsia="zh-CN"/>
              </w:rPr>
              <w:t>戏曲音乐</w:t>
            </w:r>
          </w:p>
          <w:p w14:paraId="3B7DC528">
            <w:pPr>
              <w:adjustRightInd w:val="0"/>
              <w:snapToGrid w:val="0"/>
              <w:rPr>
                <w:rFonts w:hint="default" w:ascii="仿宋" w:hAnsi="仿宋" w:eastAsia="仿宋" w:cs="仿宋"/>
                <w:bCs/>
                <w:sz w:val="24"/>
                <w:szCs w:val="24"/>
                <w:lang w:val="en-US" w:eastAsia="zh-CN"/>
              </w:rPr>
            </w:pPr>
            <w:r>
              <w:rPr>
                <w:rFonts w:hint="eastAsia" w:ascii="仿宋" w:hAnsi="仿宋" w:eastAsia="仿宋" w:cs="仿宋"/>
                <w:bCs/>
                <w:sz w:val="24"/>
                <w:szCs w:val="24"/>
              </w:rPr>
              <w:t>综合：</w:t>
            </w:r>
            <w:r>
              <w:rPr>
                <w:rFonts w:hint="eastAsia" w:ascii="仿宋" w:hAnsi="仿宋" w:eastAsia="仿宋" w:cs="仿宋"/>
                <w:bCs/>
                <w:sz w:val="24"/>
                <w:szCs w:val="24"/>
                <w:lang w:val="en-US" w:eastAsia="zh-CN"/>
              </w:rPr>
              <w:t>音乐文化交流</w:t>
            </w:r>
          </w:p>
          <w:p w14:paraId="3D546C92">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评价：</w:t>
            </w:r>
            <w:r>
              <w:rPr>
                <w:rFonts w:hint="eastAsia" w:ascii="仿宋" w:hAnsi="仿宋" w:eastAsia="仿宋" w:cs="仿宋"/>
                <w:bCs/>
                <w:sz w:val="24"/>
                <w:szCs w:val="24"/>
                <w:lang w:val="en-US" w:eastAsia="zh-CN"/>
              </w:rPr>
              <w:t>记谱法、乐谱、乐学理论</w:t>
            </w:r>
          </w:p>
        </w:tc>
        <w:tc>
          <w:tcPr>
            <w:tcW w:w="1238" w:type="dxa"/>
            <w:gridSpan w:val="2"/>
            <w:shd w:val="clear" w:color="auto" w:fill="auto"/>
            <w:noWrap w:val="0"/>
            <w:vAlign w:val="center"/>
          </w:tcPr>
          <w:p w14:paraId="7CA58A3E">
            <w:pPr>
              <w:adjustRightInd w:val="0"/>
              <w:snapToGrid w:val="0"/>
              <w:jc w:val="center"/>
              <w:rPr>
                <w:rFonts w:hint="eastAsia" w:ascii="仿宋" w:hAnsi="仿宋" w:eastAsia="仿宋" w:cs="仿宋"/>
                <w:bCs/>
                <w:sz w:val="24"/>
                <w:szCs w:val="24"/>
              </w:rPr>
            </w:pPr>
          </w:p>
          <w:p w14:paraId="50973372">
            <w:pPr>
              <w:widowControl/>
              <w:adjustRightInd w:val="0"/>
              <w:snapToGrid w:val="0"/>
              <w:jc w:val="center"/>
              <w:rPr>
                <w:rFonts w:hint="eastAsia" w:ascii="仿宋" w:hAnsi="仿宋" w:eastAsia="仿宋" w:cs="仿宋"/>
                <w:bCs/>
                <w:sz w:val="24"/>
                <w:szCs w:val="24"/>
              </w:rPr>
            </w:pPr>
          </w:p>
          <w:p w14:paraId="546DA829">
            <w:pPr>
              <w:widowControl/>
              <w:adjustRightInd w:val="0"/>
              <w:snapToGrid w:val="0"/>
              <w:jc w:val="both"/>
              <w:rPr>
                <w:rFonts w:hint="eastAsia" w:ascii="仿宋" w:hAnsi="仿宋" w:eastAsia="仿宋" w:cs="仿宋"/>
                <w:bCs/>
                <w:sz w:val="24"/>
                <w:szCs w:val="24"/>
              </w:rPr>
            </w:pPr>
            <w:r>
              <w:rPr>
                <w:rFonts w:hint="eastAsia" w:ascii="仿宋" w:hAnsi="仿宋" w:eastAsia="仿宋" w:cs="仿宋"/>
                <w:bCs/>
                <w:sz w:val="24"/>
                <w:szCs w:val="24"/>
              </w:rPr>
              <w:t>支撑课程目标1、2、3</w:t>
            </w:r>
          </w:p>
          <w:p w14:paraId="35C1ABD1">
            <w:pPr>
              <w:widowControl/>
              <w:adjustRightInd w:val="0"/>
              <w:snapToGrid w:val="0"/>
              <w:jc w:val="center"/>
              <w:rPr>
                <w:rFonts w:hint="eastAsia" w:ascii="仿宋" w:hAnsi="仿宋" w:eastAsia="仿宋" w:cs="仿宋"/>
                <w:bCs/>
                <w:sz w:val="24"/>
                <w:szCs w:val="24"/>
              </w:rPr>
            </w:pPr>
          </w:p>
          <w:p w14:paraId="124E6DDD">
            <w:pPr>
              <w:adjustRightInd w:val="0"/>
              <w:snapToGrid w:val="0"/>
              <w:jc w:val="center"/>
              <w:rPr>
                <w:rFonts w:hint="eastAsia" w:ascii="仿宋" w:hAnsi="仿宋" w:eastAsia="仿宋" w:cs="仿宋"/>
                <w:bCs/>
                <w:sz w:val="24"/>
                <w:szCs w:val="24"/>
              </w:rPr>
            </w:pPr>
          </w:p>
        </w:tc>
        <w:tc>
          <w:tcPr>
            <w:tcW w:w="1263" w:type="dxa"/>
            <w:gridSpan w:val="2"/>
            <w:shd w:val="clear" w:color="auto" w:fill="FFFFFF"/>
            <w:noWrap w:val="0"/>
            <w:vAlign w:val="center"/>
          </w:tcPr>
          <w:p w14:paraId="5CB8382E">
            <w:pPr>
              <w:adjustRightInd w:val="0"/>
              <w:snapToGrid w:val="0"/>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6</w:t>
            </w:r>
          </w:p>
        </w:tc>
      </w:tr>
      <w:tr w14:paraId="5DEE72B1">
        <w:trPr>
          <w:trHeight w:val="794" w:hRule="atLeast"/>
          <w:jc w:val="center"/>
        </w:trPr>
        <w:tc>
          <w:tcPr>
            <w:tcW w:w="1376" w:type="dxa"/>
            <w:vMerge w:val="continue"/>
            <w:shd w:val="clear" w:color="auto" w:fill="FFFFFF"/>
            <w:noWrap w:val="0"/>
            <w:vAlign w:val="center"/>
          </w:tcPr>
          <w:p w14:paraId="16BB4663">
            <w:pPr>
              <w:adjustRightInd w:val="0"/>
              <w:snapToGrid w:val="0"/>
              <w:spacing w:line="240" w:lineRule="atLeast"/>
              <w:jc w:val="right"/>
              <w:rPr>
                <w:rFonts w:hint="eastAsia" w:ascii="仿宋" w:hAnsi="仿宋" w:eastAsia="仿宋" w:cs="仿宋"/>
                <w:color w:val="000000"/>
                <w:sz w:val="24"/>
                <w:szCs w:val="24"/>
              </w:rPr>
            </w:pPr>
          </w:p>
        </w:tc>
        <w:tc>
          <w:tcPr>
            <w:tcW w:w="5421" w:type="dxa"/>
            <w:gridSpan w:val="8"/>
            <w:shd w:val="clear" w:color="auto" w:fill="auto"/>
            <w:noWrap w:val="0"/>
            <w:vAlign w:val="center"/>
          </w:tcPr>
          <w:p w14:paraId="26560ABB">
            <w:pPr>
              <w:numPr>
                <w:ilvl w:val="0"/>
                <w:numId w:val="11"/>
              </w:numPr>
              <w:adjustRightInd w:val="0"/>
              <w:snapToGrid w:val="0"/>
              <w:rPr>
                <w:rFonts w:hint="eastAsia" w:ascii="仿宋" w:hAnsi="仿宋" w:eastAsia="仿宋" w:cs="仿宋"/>
                <w:bCs/>
                <w:sz w:val="24"/>
                <w:szCs w:val="24"/>
              </w:rPr>
            </w:pPr>
            <w:r>
              <w:rPr>
                <w:rFonts w:hint="eastAsia" w:ascii="仿宋" w:hAnsi="仿宋" w:eastAsia="仿宋" w:cs="仿宋"/>
                <w:kern w:val="0"/>
                <w:sz w:val="24"/>
                <w:szCs w:val="24"/>
                <w:lang w:val="en-US" w:eastAsia="zh-CN"/>
              </w:rPr>
              <w:t>辽、宋、西夏、金、元</w:t>
            </w:r>
            <w:r>
              <w:rPr>
                <w:rFonts w:hint="eastAsia" w:ascii="仿宋" w:hAnsi="仿宋" w:eastAsia="仿宋" w:cs="仿宋"/>
                <w:bCs/>
                <w:sz w:val="24"/>
                <w:szCs w:val="24"/>
              </w:rPr>
              <w:t>音乐（960-1368年）</w:t>
            </w:r>
          </w:p>
          <w:p w14:paraId="3877DD01">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知道：</w:t>
            </w:r>
            <w:r>
              <w:rPr>
                <w:rFonts w:hint="eastAsia" w:ascii="仿宋" w:hAnsi="仿宋" w:eastAsia="仿宋" w:cs="仿宋"/>
                <w:kern w:val="0"/>
                <w:sz w:val="24"/>
                <w:szCs w:val="24"/>
                <w:lang w:val="en-US" w:eastAsia="zh-CN"/>
              </w:rPr>
              <w:t>宫廷音乐</w:t>
            </w:r>
          </w:p>
          <w:p w14:paraId="6FFA8A9E">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领会：</w:t>
            </w:r>
            <w:r>
              <w:rPr>
                <w:rFonts w:hint="eastAsia" w:ascii="仿宋" w:hAnsi="仿宋" w:eastAsia="仿宋" w:cs="仿宋"/>
                <w:kern w:val="0"/>
                <w:sz w:val="24"/>
                <w:szCs w:val="24"/>
                <w:lang w:val="en-US" w:eastAsia="zh-CN"/>
              </w:rPr>
              <w:t>民间音乐与词乐、散乐</w:t>
            </w:r>
          </w:p>
          <w:p w14:paraId="059C9D58">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应用：乐器与器乐</w:t>
            </w:r>
          </w:p>
          <w:p w14:paraId="48C4D6C1">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分析：说唱音乐</w:t>
            </w:r>
            <w:r>
              <w:rPr>
                <w:rFonts w:hint="eastAsia" w:ascii="仿宋" w:hAnsi="仿宋" w:eastAsia="仿宋" w:cs="仿宋"/>
                <w:kern w:val="0"/>
                <w:sz w:val="24"/>
                <w:szCs w:val="24"/>
                <w:lang w:eastAsia="zh-CN"/>
              </w:rPr>
              <w:t>、</w:t>
            </w:r>
            <w:r>
              <w:rPr>
                <w:rFonts w:hint="eastAsia" w:ascii="仿宋" w:hAnsi="仿宋" w:eastAsia="仿宋" w:cs="仿宋"/>
                <w:kern w:val="0"/>
                <w:sz w:val="24"/>
                <w:szCs w:val="24"/>
                <w:lang w:val="en-US" w:eastAsia="zh-CN"/>
              </w:rPr>
              <w:t>戏曲音乐</w:t>
            </w:r>
          </w:p>
          <w:p w14:paraId="66BA6575">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综合：</w:t>
            </w:r>
            <w:r>
              <w:rPr>
                <w:rFonts w:hint="eastAsia" w:ascii="仿宋" w:hAnsi="仿宋" w:eastAsia="仿宋" w:cs="仿宋"/>
                <w:kern w:val="0"/>
                <w:sz w:val="24"/>
                <w:szCs w:val="24"/>
                <w:lang w:val="en-US" w:eastAsia="zh-CN"/>
              </w:rPr>
              <w:t>宋代乐谱</w:t>
            </w:r>
          </w:p>
          <w:p w14:paraId="5E88B97F">
            <w:pPr>
              <w:adjustRightInd w:val="0"/>
              <w:snapToGrid w:val="0"/>
              <w:rPr>
                <w:rFonts w:hint="eastAsia" w:ascii="仿宋" w:hAnsi="仿宋" w:eastAsia="仿宋" w:cs="仿宋"/>
                <w:bCs/>
                <w:sz w:val="24"/>
                <w:szCs w:val="24"/>
              </w:rPr>
            </w:pPr>
            <w:r>
              <w:rPr>
                <w:rFonts w:hint="eastAsia" w:ascii="仿宋" w:hAnsi="仿宋" w:eastAsia="仿宋" w:cs="仿宋"/>
                <w:kern w:val="0"/>
                <w:sz w:val="24"/>
                <w:szCs w:val="24"/>
              </w:rPr>
              <w:t>评价：</w:t>
            </w:r>
            <w:r>
              <w:rPr>
                <w:rFonts w:hint="eastAsia" w:ascii="仿宋" w:hAnsi="仿宋" w:eastAsia="仿宋" w:cs="仿宋"/>
                <w:kern w:val="0"/>
                <w:sz w:val="24"/>
                <w:szCs w:val="24"/>
                <w:lang w:val="en-US" w:eastAsia="zh-CN"/>
              </w:rPr>
              <w:t>乐律学</w:t>
            </w:r>
          </w:p>
        </w:tc>
        <w:tc>
          <w:tcPr>
            <w:tcW w:w="1238" w:type="dxa"/>
            <w:gridSpan w:val="2"/>
            <w:shd w:val="clear" w:color="auto" w:fill="auto"/>
            <w:noWrap w:val="0"/>
            <w:vAlign w:val="center"/>
          </w:tcPr>
          <w:p w14:paraId="6B0E540A">
            <w:pPr>
              <w:widowControl/>
              <w:adjustRightInd w:val="0"/>
              <w:snapToGrid w:val="0"/>
              <w:jc w:val="center"/>
              <w:rPr>
                <w:rFonts w:hint="eastAsia" w:ascii="仿宋" w:hAnsi="仿宋" w:eastAsia="仿宋" w:cs="仿宋"/>
                <w:bCs/>
                <w:sz w:val="24"/>
                <w:szCs w:val="24"/>
              </w:rPr>
            </w:pPr>
          </w:p>
          <w:p w14:paraId="51BE1FB4">
            <w:pPr>
              <w:widowControl/>
              <w:adjustRightInd w:val="0"/>
              <w:snapToGrid w:val="0"/>
              <w:jc w:val="both"/>
              <w:rPr>
                <w:rFonts w:hint="eastAsia" w:ascii="仿宋" w:hAnsi="仿宋" w:eastAsia="仿宋" w:cs="仿宋"/>
                <w:bCs/>
                <w:sz w:val="24"/>
                <w:szCs w:val="24"/>
              </w:rPr>
            </w:pPr>
            <w:r>
              <w:rPr>
                <w:rFonts w:hint="eastAsia" w:ascii="仿宋" w:hAnsi="仿宋" w:eastAsia="仿宋" w:cs="仿宋"/>
                <w:bCs/>
                <w:sz w:val="24"/>
                <w:szCs w:val="24"/>
              </w:rPr>
              <w:t>支撑课程目标1、2、3</w:t>
            </w:r>
          </w:p>
          <w:p w14:paraId="2081CCB4">
            <w:pPr>
              <w:adjustRightInd w:val="0"/>
              <w:snapToGrid w:val="0"/>
              <w:jc w:val="center"/>
              <w:rPr>
                <w:rFonts w:hint="eastAsia" w:ascii="仿宋" w:hAnsi="仿宋" w:eastAsia="仿宋" w:cs="仿宋"/>
                <w:bCs/>
                <w:sz w:val="24"/>
                <w:szCs w:val="24"/>
              </w:rPr>
            </w:pPr>
          </w:p>
        </w:tc>
        <w:tc>
          <w:tcPr>
            <w:tcW w:w="1263" w:type="dxa"/>
            <w:gridSpan w:val="2"/>
            <w:shd w:val="clear" w:color="auto" w:fill="FFFFFF"/>
            <w:noWrap w:val="0"/>
            <w:vAlign w:val="center"/>
          </w:tcPr>
          <w:p w14:paraId="33345CDB">
            <w:pPr>
              <w:adjustRightInd w:val="0"/>
              <w:snapToGrid w:val="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w:t>
            </w:r>
          </w:p>
        </w:tc>
      </w:tr>
      <w:tr w14:paraId="5AC540B6">
        <w:trPr>
          <w:trHeight w:val="794" w:hRule="atLeast"/>
          <w:jc w:val="center"/>
        </w:trPr>
        <w:tc>
          <w:tcPr>
            <w:tcW w:w="1376" w:type="dxa"/>
            <w:vMerge w:val="continue"/>
            <w:shd w:val="clear" w:color="auto" w:fill="FFFFFF"/>
            <w:noWrap w:val="0"/>
            <w:vAlign w:val="center"/>
          </w:tcPr>
          <w:p w14:paraId="1E462883">
            <w:pPr>
              <w:adjustRightInd w:val="0"/>
              <w:snapToGrid w:val="0"/>
              <w:spacing w:line="240" w:lineRule="atLeast"/>
              <w:jc w:val="right"/>
              <w:rPr>
                <w:rFonts w:hint="eastAsia" w:ascii="仿宋" w:hAnsi="仿宋" w:eastAsia="仿宋" w:cs="仿宋"/>
                <w:color w:val="000000"/>
                <w:sz w:val="24"/>
                <w:szCs w:val="24"/>
              </w:rPr>
            </w:pPr>
          </w:p>
        </w:tc>
        <w:tc>
          <w:tcPr>
            <w:tcW w:w="5421" w:type="dxa"/>
            <w:gridSpan w:val="8"/>
            <w:shd w:val="clear" w:color="auto" w:fill="auto"/>
            <w:noWrap w:val="0"/>
            <w:vAlign w:val="center"/>
          </w:tcPr>
          <w:p w14:paraId="0F351228">
            <w:pPr>
              <w:numPr>
                <w:ilvl w:val="0"/>
                <w:numId w:val="11"/>
              </w:numPr>
              <w:adjustRightInd w:val="0"/>
              <w:snapToGrid w:val="0"/>
              <w:rPr>
                <w:rFonts w:hint="eastAsia" w:ascii="仿宋" w:hAnsi="仿宋" w:eastAsia="仿宋" w:cs="仿宋"/>
                <w:bCs/>
                <w:sz w:val="24"/>
                <w:szCs w:val="24"/>
              </w:rPr>
            </w:pPr>
            <w:r>
              <w:rPr>
                <w:rFonts w:hint="eastAsia" w:ascii="仿宋" w:hAnsi="仿宋" w:eastAsia="仿宋" w:cs="仿宋"/>
                <w:bCs/>
                <w:sz w:val="24"/>
                <w:szCs w:val="24"/>
              </w:rPr>
              <w:t>明清的音乐（1368-1911年）</w:t>
            </w:r>
          </w:p>
          <w:p w14:paraId="3D8ADFC0">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知道：</w:t>
            </w:r>
            <w:r>
              <w:rPr>
                <w:rFonts w:hint="eastAsia" w:ascii="仿宋" w:hAnsi="仿宋" w:eastAsia="仿宋" w:cs="仿宋"/>
                <w:kern w:val="0"/>
                <w:sz w:val="24"/>
                <w:szCs w:val="24"/>
                <w:lang w:val="en-US" w:eastAsia="zh-CN"/>
              </w:rPr>
              <w:t>民歌</w:t>
            </w:r>
          </w:p>
          <w:p w14:paraId="4E4762A7">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领会：</w:t>
            </w:r>
            <w:r>
              <w:rPr>
                <w:rFonts w:hint="eastAsia" w:ascii="仿宋" w:hAnsi="仿宋" w:eastAsia="仿宋" w:cs="仿宋"/>
                <w:kern w:val="0"/>
                <w:sz w:val="24"/>
                <w:szCs w:val="24"/>
                <w:lang w:val="en-US" w:eastAsia="zh-CN"/>
              </w:rPr>
              <w:t>少数民族歌舞音乐</w:t>
            </w:r>
          </w:p>
          <w:p w14:paraId="6F206202">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应用：</w:t>
            </w:r>
            <w:r>
              <w:rPr>
                <w:rFonts w:hint="eastAsia" w:ascii="仿宋" w:hAnsi="仿宋" w:eastAsia="仿宋" w:cs="仿宋"/>
                <w:kern w:val="0"/>
                <w:sz w:val="24"/>
                <w:szCs w:val="24"/>
                <w:lang w:val="en-US" w:eastAsia="zh-CN"/>
              </w:rPr>
              <w:t>乐器与器乐</w:t>
            </w:r>
          </w:p>
          <w:p w14:paraId="4469CA40">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分析：说唱音乐</w:t>
            </w:r>
            <w:r>
              <w:rPr>
                <w:rFonts w:hint="eastAsia" w:ascii="仿宋" w:hAnsi="仿宋" w:eastAsia="仿宋" w:cs="仿宋"/>
                <w:kern w:val="0"/>
                <w:sz w:val="24"/>
                <w:szCs w:val="24"/>
                <w:lang w:eastAsia="zh-CN"/>
              </w:rPr>
              <w:t>、</w:t>
            </w:r>
            <w:r>
              <w:rPr>
                <w:rFonts w:hint="eastAsia" w:ascii="仿宋" w:hAnsi="仿宋" w:eastAsia="仿宋" w:cs="仿宋"/>
                <w:kern w:val="0"/>
                <w:sz w:val="24"/>
                <w:szCs w:val="24"/>
                <w:lang w:val="en-US" w:eastAsia="zh-CN"/>
              </w:rPr>
              <w:t>戏曲音乐</w:t>
            </w:r>
          </w:p>
          <w:p w14:paraId="1D96C8A3">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综合：</w:t>
            </w:r>
            <w:r>
              <w:rPr>
                <w:rFonts w:hint="eastAsia" w:ascii="仿宋" w:hAnsi="仿宋" w:eastAsia="仿宋" w:cs="仿宋"/>
                <w:kern w:val="0"/>
                <w:sz w:val="24"/>
                <w:szCs w:val="24"/>
                <w:lang w:val="en-US" w:eastAsia="zh-CN"/>
              </w:rPr>
              <w:t>工尺谱</w:t>
            </w:r>
          </w:p>
          <w:p w14:paraId="216DBF3D">
            <w:pPr>
              <w:widowControl/>
              <w:adjustRightInd w:val="0"/>
              <w:snapToGrid w:val="0"/>
              <w:rPr>
                <w:rFonts w:hint="eastAsia" w:ascii="仿宋" w:hAnsi="仿宋" w:eastAsia="仿宋" w:cs="仿宋"/>
                <w:bCs/>
                <w:sz w:val="24"/>
                <w:szCs w:val="24"/>
              </w:rPr>
            </w:pPr>
            <w:r>
              <w:rPr>
                <w:rFonts w:hint="eastAsia" w:ascii="仿宋" w:hAnsi="仿宋" w:eastAsia="仿宋" w:cs="仿宋"/>
                <w:kern w:val="0"/>
                <w:sz w:val="24"/>
                <w:szCs w:val="24"/>
              </w:rPr>
              <w:t>评价：</w:t>
            </w:r>
            <w:r>
              <w:rPr>
                <w:rFonts w:hint="eastAsia" w:ascii="仿宋" w:hAnsi="仿宋" w:eastAsia="仿宋" w:cs="仿宋"/>
                <w:kern w:val="0"/>
                <w:sz w:val="24"/>
                <w:szCs w:val="24"/>
                <w:lang w:val="en-US" w:eastAsia="zh-CN"/>
              </w:rPr>
              <w:t>乐律学与音乐论著</w:t>
            </w:r>
          </w:p>
        </w:tc>
        <w:tc>
          <w:tcPr>
            <w:tcW w:w="1238" w:type="dxa"/>
            <w:gridSpan w:val="2"/>
            <w:shd w:val="clear" w:color="auto" w:fill="auto"/>
            <w:noWrap w:val="0"/>
            <w:vAlign w:val="center"/>
          </w:tcPr>
          <w:p w14:paraId="6856A5E5">
            <w:pPr>
              <w:widowControl/>
              <w:adjustRightInd w:val="0"/>
              <w:snapToGrid w:val="0"/>
              <w:jc w:val="center"/>
              <w:rPr>
                <w:rFonts w:hint="eastAsia" w:ascii="仿宋" w:hAnsi="仿宋" w:eastAsia="仿宋" w:cs="仿宋"/>
                <w:bCs/>
                <w:sz w:val="24"/>
                <w:szCs w:val="24"/>
              </w:rPr>
            </w:pPr>
          </w:p>
          <w:p w14:paraId="1CAD70B0">
            <w:pPr>
              <w:widowControl/>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支撑课程目标1、2、3</w:t>
            </w:r>
          </w:p>
        </w:tc>
        <w:tc>
          <w:tcPr>
            <w:tcW w:w="1263" w:type="dxa"/>
            <w:gridSpan w:val="2"/>
            <w:shd w:val="clear" w:color="auto" w:fill="FFFFFF"/>
            <w:noWrap w:val="0"/>
            <w:vAlign w:val="center"/>
          </w:tcPr>
          <w:p w14:paraId="1E2F3A42">
            <w:pPr>
              <w:adjustRightInd w:val="0"/>
              <w:snapToGrid w:val="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w:t>
            </w:r>
          </w:p>
        </w:tc>
      </w:tr>
      <w:tr w14:paraId="49033D92">
        <w:trPr>
          <w:trHeight w:val="794" w:hRule="atLeast"/>
          <w:jc w:val="center"/>
        </w:trPr>
        <w:tc>
          <w:tcPr>
            <w:tcW w:w="1376" w:type="dxa"/>
            <w:vMerge w:val="continue"/>
            <w:shd w:val="clear" w:color="auto" w:fill="FFFFFF"/>
            <w:noWrap w:val="0"/>
            <w:vAlign w:val="center"/>
          </w:tcPr>
          <w:p w14:paraId="25F7884D">
            <w:pPr>
              <w:adjustRightInd w:val="0"/>
              <w:snapToGrid w:val="0"/>
              <w:spacing w:line="240" w:lineRule="atLeast"/>
              <w:jc w:val="right"/>
              <w:rPr>
                <w:rFonts w:hint="eastAsia" w:ascii="仿宋" w:hAnsi="仿宋" w:eastAsia="仿宋" w:cs="仿宋"/>
                <w:color w:val="000000"/>
                <w:sz w:val="24"/>
                <w:szCs w:val="24"/>
              </w:rPr>
            </w:pPr>
          </w:p>
        </w:tc>
        <w:tc>
          <w:tcPr>
            <w:tcW w:w="5421" w:type="dxa"/>
            <w:gridSpan w:val="8"/>
            <w:shd w:val="clear" w:color="auto" w:fill="auto"/>
            <w:noWrap w:val="0"/>
            <w:vAlign w:val="center"/>
          </w:tcPr>
          <w:p w14:paraId="53A26926">
            <w:pPr>
              <w:numPr>
                <w:ilvl w:val="0"/>
                <w:numId w:val="11"/>
              </w:numPr>
              <w:adjustRightInd w:val="0"/>
              <w:snapToGrid w:val="0"/>
              <w:rPr>
                <w:rFonts w:hint="eastAsia" w:ascii="仿宋" w:hAnsi="仿宋" w:eastAsia="仿宋" w:cs="仿宋"/>
                <w:bCs/>
                <w:sz w:val="24"/>
                <w:szCs w:val="24"/>
              </w:rPr>
            </w:pPr>
            <w:r>
              <w:rPr>
                <w:rFonts w:hint="eastAsia" w:ascii="仿宋" w:hAnsi="仿宋" w:eastAsia="仿宋" w:cs="仿宋"/>
                <w:bCs/>
                <w:sz w:val="24"/>
                <w:szCs w:val="24"/>
                <w:lang w:val="en-US" w:eastAsia="zh-CN"/>
              </w:rPr>
              <w:t>中国传统音乐在近现（当）代的传承与发展</w:t>
            </w:r>
          </w:p>
          <w:p w14:paraId="631854E3">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知道：</w:t>
            </w:r>
            <w:r>
              <w:rPr>
                <w:rFonts w:hint="eastAsia" w:ascii="仿宋" w:hAnsi="仿宋" w:eastAsia="仿宋" w:cs="仿宋"/>
                <w:kern w:val="0"/>
                <w:sz w:val="24"/>
                <w:szCs w:val="24"/>
                <w:lang w:val="en-US" w:eastAsia="zh-CN"/>
              </w:rPr>
              <w:t>民歌在近现（当）代的传承与发展</w:t>
            </w:r>
          </w:p>
          <w:p w14:paraId="05CF75FC">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领会：</w:t>
            </w:r>
            <w:r>
              <w:rPr>
                <w:rFonts w:hint="eastAsia" w:ascii="仿宋" w:hAnsi="仿宋" w:eastAsia="仿宋" w:cs="仿宋"/>
                <w:kern w:val="0"/>
                <w:sz w:val="24"/>
                <w:szCs w:val="24"/>
                <w:lang w:val="en-US" w:eastAsia="zh-CN"/>
              </w:rPr>
              <w:t>民间歌舞音乐在近现（当）代的传承与发展</w:t>
            </w:r>
          </w:p>
          <w:p w14:paraId="7C55707A">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应用：</w:t>
            </w:r>
            <w:r>
              <w:rPr>
                <w:rFonts w:hint="eastAsia" w:ascii="仿宋" w:hAnsi="仿宋" w:eastAsia="仿宋" w:cs="仿宋"/>
                <w:kern w:val="0"/>
                <w:sz w:val="24"/>
                <w:szCs w:val="24"/>
                <w:lang w:val="en-US" w:eastAsia="zh-CN"/>
              </w:rPr>
              <w:t>说唱音乐、戏曲音乐在近现（当）代的传承与发展</w:t>
            </w:r>
          </w:p>
          <w:p w14:paraId="69B6A199">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分析：</w:t>
            </w:r>
            <w:r>
              <w:rPr>
                <w:rFonts w:hint="eastAsia" w:ascii="仿宋" w:hAnsi="仿宋" w:eastAsia="仿宋" w:cs="仿宋"/>
                <w:kern w:val="0"/>
                <w:sz w:val="24"/>
                <w:szCs w:val="24"/>
                <w:lang w:val="en-US" w:eastAsia="zh-CN"/>
              </w:rPr>
              <w:t>传统民族器乐在近现（当）代的传承与发展</w:t>
            </w:r>
          </w:p>
          <w:p w14:paraId="3875071F">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综合：</w:t>
            </w:r>
            <w:r>
              <w:rPr>
                <w:rFonts w:hint="eastAsia" w:ascii="仿宋" w:hAnsi="仿宋" w:eastAsia="仿宋" w:cs="仿宋"/>
                <w:kern w:val="0"/>
                <w:sz w:val="24"/>
                <w:szCs w:val="24"/>
                <w:lang w:val="en-US" w:eastAsia="zh-CN"/>
              </w:rPr>
              <w:t>对传统音乐的收集</w:t>
            </w:r>
          </w:p>
          <w:p w14:paraId="22A72EC6">
            <w:pPr>
              <w:widowControl/>
              <w:adjustRightInd w:val="0"/>
              <w:snapToGrid w:val="0"/>
              <w:rPr>
                <w:rFonts w:hint="eastAsia" w:ascii="仿宋" w:hAnsi="仿宋" w:eastAsia="仿宋" w:cs="仿宋"/>
                <w:bCs/>
                <w:color w:val="000000"/>
                <w:sz w:val="24"/>
                <w:szCs w:val="24"/>
                <w:lang w:val="en-US" w:eastAsia="zh-CN" w:bidi="ar-SA"/>
              </w:rPr>
            </w:pPr>
            <w:r>
              <w:rPr>
                <w:rFonts w:hint="eastAsia" w:ascii="仿宋" w:hAnsi="仿宋" w:eastAsia="仿宋" w:cs="仿宋"/>
                <w:kern w:val="0"/>
                <w:sz w:val="24"/>
                <w:szCs w:val="24"/>
              </w:rPr>
              <w:t>评价：</w:t>
            </w:r>
            <w:r>
              <w:rPr>
                <w:rFonts w:hint="eastAsia" w:ascii="仿宋" w:hAnsi="仿宋" w:eastAsia="仿宋" w:cs="仿宋"/>
                <w:kern w:val="0"/>
                <w:sz w:val="24"/>
                <w:szCs w:val="24"/>
                <w:lang w:val="en-US" w:eastAsia="zh-CN"/>
              </w:rPr>
              <w:t xml:space="preserve">对传统音乐的研究 </w:t>
            </w:r>
          </w:p>
        </w:tc>
        <w:tc>
          <w:tcPr>
            <w:tcW w:w="1238" w:type="dxa"/>
            <w:gridSpan w:val="2"/>
            <w:shd w:val="clear" w:color="auto" w:fill="auto"/>
            <w:noWrap w:val="0"/>
            <w:vAlign w:val="center"/>
          </w:tcPr>
          <w:p w14:paraId="59D97C62">
            <w:pPr>
              <w:widowControl/>
              <w:adjustRightInd w:val="0"/>
              <w:snapToGrid w:val="0"/>
              <w:jc w:val="center"/>
              <w:rPr>
                <w:rFonts w:hint="eastAsia" w:ascii="仿宋" w:hAnsi="仿宋" w:eastAsia="仿宋" w:cs="仿宋"/>
                <w:bCs/>
                <w:sz w:val="24"/>
                <w:szCs w:val="24"/>
              </w:rPr>
            </w:pPr>
          </w:p>
          <w:p w14:paraId="061BB570">
            <w:pPr>
              <w:widowControl/>
              <w:adjustRightInd w:val="0"/>
              <w:snapToGrid w:val="0"/>
              <w:jc w:val="center"/>
              <w:rPr>
                <w:rFonts w:hint="eastAsia" w:ascii="仿宋" w:hAnsi="仿宋" w:eastAsia="仿宋" w:cs="仿宋"/>
                <w:bCs/>
                <w:color w:val="000000"/>
                <w:sz w:val="24"/>
                <w:szCs w:val="24"/>
                <w:lang w:val="en-US" w:eastAsia="zh-CN" w:bidi="ar-SA"/>
              </w:rPr>
            </w:pPr>
            <w:r>
              <w:rPr>
                <w:rFonts w:hint="eastAsia" w:ascii="仿宋" w:hAnsi="仿宋" w:eastAsia="仿宋" w:cs="仿宋"/>
                <w:bCs/>
                <w:sz w:val="24"/>
                <w:szCs w:val="24"/>
              </w:rPr>
              <w:t>支撑课程目标1、2、3</w:t>
            </w:r>
          </w:p>
        </w:tc>
        <w:tc>
          <w:tcPr>
            <w:tcW w:w="1263" w:type="dxa"/>
            <w:gridSpan w:val="2"/>
            <w:shd w:val="clear" w:color="auto" w:fill="FFFFFF"/>
            <w:noWrap w:val="0"/>
            <w:vAlign w:val="center"/>
          </w:tcPr>
          <w:p w14:paraId="7D471A0F">
            <w:pPr>
              <w:adjustRightInd w:val="0"/>
              <w:snapToGrid w:val="0"/>
              <w:jc w:val="center"/>
              <w:rPr>
                <w:rFonts w:hint="eastAsia" w:ascii="仿宋" w:hAnsi="仿宋" w:eastAsia="仿宋" w:cs="仿宋"/>
                <w:color w:val="000000"/>
                <w:sz w:val="24"/>
                <w:szCs w:val="24"/>
                <w:lang w:val="en-US" w:eastAsia="zh-CN" w:bidi="ar-SA"/>
              </w:rPr>
            </w:pPr>
            <w:r>
              <w:rPr>
                <w:rFonts w:hint="eastAsia" w:ascii="仿宋" w:hAnsi="仿宋" w:eastAsia="仿宋" w:cs="仿宋"/>
                <w:sz w:val="24"/>
                <w:szCs w:val="24"/>
                <w:lang w:val="en-US" w:eastAsia="zh-CN"/>
              </w:rPr>
              <w:t>4</w:t>
            </w:r>
          </w:p>
        </w:tc>
      </w:tr>
      <w:tr w14:paraId="710C0CBB">
        <w:trPr>
          <w:trHeight w:val="794" w:hRule="atLeast"/>
          <w:jc w:val="center"/>
        </w:trPr>
        <w:tc>
          <w:tcPr>
            <w:tcW w:w="1376" w:type="dxa"/>
            <w:vMerge w:val="continue"/>
            <w:shd w:val="clear" w:color="auto" w:fill="FFFFFF"/>
            <w:noWrap w:val="0"/>
            <w:vAlign w:val="center"/>
          </w:tcPr>
          <w:p w14:paraId="004CBE39">
            <w:pPr>
              <w:adjustRightInd w:val="0"/>
              <w:snapToGrid w:val="0"/>
              <w:spacing w:line="240" w:lineRule="atLeast"/>
              <w:jc w:val="right"/>
              <w:rPr>
                <w:rFonts w:hint="eastAsia" w:ascii="仿宋" w:hAnsi="仿宋" w:eastAsia="仿宋" w:cs="仿宋"/>
                <w:color w:val="000000"/>
                <w:sz w:val="24"/>
                <w:szCs w:val="24"/>
              </w:rPr>
            </w:pPr>
          </w:p>
        </w:tc>
        <w:tc>
          <w:tcPr>
            <w:tcW w:w="5421" w:type="dxa"/>
            <w:gridSpan w:val="8"/>
            <w:shd w:val="clear" w:color="auto" w:fill="auto"/>
            <w:noWrap w:val="0"/>
            <w:vAlign w:val="center"/>
          </w:tcPr>
          <w:p w14:paraId="25ACEACA">
            <w:pPr>
              <w:widowControl/>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第九章 西方音乐的传入及新音乐的萌生</w:t>
            </w:r>
          </w:p>
          <w:p w14:paraId="7E9F25F6">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知道：</w:t>
            </w:r>
            <w:r>
              <w:rPr>
                <w:rFonts w:hint="eastAsia" w:ascii="仿宋" w:hAnsi="仿宋" w:eastAsia="仿宋" w:cs="仿宋"/>
                <w:kern w:val="0"/>
                <w:sz w:val="24"/>
                <w:szCs w:val="24"/>
                <w:lang w:val="en-US" w:eastAsia="zh-CN"/>
              </w:rPr>
              <w:t>近代西方音乐的传入</w:t>
            </w:r>
          </w:p>
          <w:p w14:paraId="43B524D2">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领会：</w:t>
            </w:r>
            <w:r>
              <w:rPr>
                <w:rFonts w:hint="eastAsia" w:ascii="仿宋" w:hAnsi="仿宋" w:eastAsia="仿宋" w:cs="仿宋"/>
                <w:kern w:val="0"/>
                <w:sz w:val="24"/>
                <w:szCs w:val="24"/>
                <w:lang w:val="en-US" w:eastAsia="zh-CN"/>
              </w:rPr>
              <w:t>学堂乐歌的产生</w:t>
            </w:r>
          </w:p>
          <w:p w14:paraId="5446C31A">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应用：</w:t>
            </w:r>
            <w:r>
              <w:rPr>
                <w:rFonts w:hint="eastAsia" w:ascii="仿宋" w:hAnsi="仿宋" w:eastAsia="仿宋" w:cs="仿宋"/>
                <w:kern w:val="0"/>
                <w:sz w:val="24"/>
                <w:szCs w:val="24"/>
                <w:lang w:val="en-US" w:eastAsia="zh-CN"/>
              </w:rPr>
              <w:t>启蒙思潮下的音乐社团</w:t>
            </w:r>
          </w:p>
          <w:p w14:paraId="60E0B813">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分析：</w:t>
            </w:r>
            <w:r>
              <w:rPr>
                <w:rFonts w:hint="eastAsia" w:ascii="仿宋" w:hAnsi="仿宋" w:eastAsia="仿宋" w:cs="仿宋"/>
                <w:kern w:val="0"/>
                <w:sz w:val="24"/>
                <w:szCs w:val="24"/>
                <w:lang w:val="en-US" w:eastAsia="zh-CN"/>
              </w:rPr>
              <w:t>早期现代音乐教育发展</w:t>
            </w:r>
          </w:p>
          <w:p w14:paraId="6EC7EA33">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综合：</w:t>
            </w:r>
            <w:r>
              <w:rPr>
                <w:rFonts w:hint="eastAsia" w:ascii="仿宋" w:hAnsi="仿宋" w:eastAsia="仿宋" w:cs="仿宋"/>
                <w:kern w:val="0"/>
                <w:sz w:val="24"/>
                <w:szCs w:val="24"/>
                <w:lang w:val="en-US" w:eastAsia="zh-CN"/>
              </w:rPr>
              <w:t>“五四”时期的新音乐创作</w:t>
            </w:r>
          </w:p>
          <w:p w14:paraId="4CDD4003">
            <w:pPr>
              <w:widowControl/>
              <w:adjustRightInd w:val="0"/>
              <w:snapToGrid w:val="0"/>
              <w:rPr>
                <w:rFonts w:hint="eastAsia" w:ascii="仿宋" w:hAnsi="仿宋" w:eastAsia="仿宋" w:cs="仿宋"/>
                <w:bCs/>
                <w:sz w:val="24"/>
                <w:szCs w:val="24"/>
              </w:rPr>
            </w:pPr>
            <w:r>
              <w:rPr>
                <w:rFonts w:hint="eastAsia" w:ascii="仿宋" w:hAnsi="仿宋" w:eastAsia="仿宋" w:cs="仿宋"/>
                <w:kern w:val="0"/>
                <w:sz w:val="24"/>
                <w:szCs w:val="24"/>
              </w:rPr>
              <w:t>评价：</w:t>
            </w:r>
            <w:r>
              <w:rPr>
                <w:rFonts w:hint="eastAsia" w:ascii="仿宋" w:hAnsi="仿宋" w:eastAsia="仿宋" w:cs="仿宋"/>
                <w:kern w:val="0"/>
                <w:sz w:val="24"/>
                <w:szCs w:val="24"/>
                <w:lang w:val="en-US" w:eastAsia="zh-CN"/>
              </w:rPr>
              <w:t>新音乐理论的早期建设</w:t>
            </w:r>
          </w:p>
        </w:tc>
        <w:tc>
          <w:tcPr>
            <w:tcW w:w="1238" w:type="dxa"/>
            <w:gridSpan w:val="2"/>
            <w:shd w:val="clear" w:color="auto" w:fill="auto"/>
            <w:noWrap w:val="0"/>
            <w:vAlign w:val="center"/>
          </w:tcPr>
          <w:p w14:paraId="464CBEFF">
            <w:pPr>
              <w:widowControl/>
              <w:adjustRightInd w:val="0"/>
              <w:snapToGrid w:val="0"/>
              <w:jc w:val="center"/>
              <w:rPr>
                <w:rFonts w:hint="eastAsia" w:ascii="仿宋" w:hAnsi="仿宋" w:eastAsia="仿宋" w:cs="仿宋"/>
                <w:bCs/>
                <w:sz w:val="24"/>
                <w:szCs w:val="24"/>
              </w:rPr>
            </w:pPr>
          </w:p>
          <w:p w14:paraId="3F2F8FFD">
            <w:pPr>
              <w:widowControl/>
              <w:adjustRightInd w:val="0"/>
              <w:snapToGrid w:val="0"/>
              <w:jc w:val="both"/>
              <w:rPr>
                <w:rFonts w:ascii="仿宋" w:hAnsi="仿宋" w:eastAsia="仿宋" w:cs="仿宋"/>
                <w:bCs/>
                <w:sz w:val="24"/>
                <w:szCs w:val="24"/>
              </w:rPr>
            </w:pPr>
            <w:r>
              <w:rPr>
                <w:rFonts w:hint="eastAsia" w:ascii="仿宋" w:hAnsi="仿宋" w:eastAsia="仿宋" w:cs="仿宋"/>
                <w:bCs/>
                <w:sz w:val="24"/>
                <w:szCs w:val="24"/>
              </w:rPr>
              <w:t>支撑课程目标1、2、3</w:t>
            </w:r>
          </w:p>
          <w:p w14:paraId="1213F5B9">
            <w:pPr>
              <w:adjustRightInd w:val="0"/>
              <w:snapToGrid w:val="0"/>
              <w:jc w:val="center"/>
              <w:rPr>
                <w:rFonts w:hint="eastAsia" w:ascii="仿宋" w:hAnsi="仿宋" w:eastAsia="仿宋" w:cs="仿宋"/>
                <w:bCs/>
                <w:sz w:val="24"/>
                <w:szCs w:val="24"/>
              </w:rPr>
            </w:pPr>
          </w:p>
        </w:tc>
        <w:tc>
          <w:tcPr>
            <w:tcW w:w="1263" w:type="dxa"/>
            <w:gridSpan w:val="2"/>
            <w:shd w:val="clear" w:color="auto" w:fill="FFFFFF"/>
            <w:noWrap w:val="0"/>
            <w:vAlign w:val="center"/>
          </w:tcPr>
          <w:p w14:paraId="051490DC">
            <w:pPr>
              <w:adjustRightInd w:val="0"/>
              <w:snapToGrid w:val="0"/>
              <w:jc w:val="center"/>
              <w:rPr>
                <w:rFonts w:hint="eastAsia" w:ascii="仿宋" w:hAnsi="仿宋" w:eastAsia="仿宋" w:cs="仿宋"/>
                <w:sz w:val="24"/>
                <w:szCs w:val="24"/>
                <w:lang w:eastAsia="zh-CN"/>
              </w:rPr>
            </w:pPr>
            <w:r>
              <w:rPr>
                <w:rFonts w:hint="eastAsia" w:ascii="仿宋" w:hAnsi="仿宋" w:eastAsia="仿宋" w:cs="仿宋"/>
                <w:sz w:val="24"/>
                <w:szCs w:val="24"/>
                <w:lang w:val="en-US" w:eastAsia="zh-CN"/>
              </w:rPr>
              <w:t>4</w:t>
            </w:r>
          </w:p>
        </w:tc>
      </w:tr>
      <w:tr w14:paraId="660F61C4">
        <w:trPr>
          <w:trHeight w:val="794" w:hRule="atLeast"/>
          <w:jc w:val="center"/>
        </w:trPr>
        <w:tc>
          <w:tcPr>
            <w:tcW w:w="1376" w:type="dxa"/>
            <w:vMerge w:val="continue"/>
            <w:shd w:val="clear" w:color="auto" w:fill="FFFFFF"/>
            <w:noWrap w:val="0"/>
            <w:vAlign w:val="center"/>
          </w:tcPr>
          <w:p w14:paraId="1EBDA5C0">
            <w:pPr>
              <w:adjustRightInd w:val="0"/>
              <w:snapToGrid w:val="0"/>
              <w:spacing w:line="240" w:lineRule="atLeast"/>
              <w:jc w:val="right"/>
              <w:rPr>
                <w:rFonts w:hint="eastAsia" w:ascii="仿宋" w:hAnsi="仿宋" w:eastAsia="仿宋" w:cs="仿宋"/>
                <w:color w:val="000000"/>
                <w:sz w:val="24"/>
                <w:szCs w:val="24"/>
              </w:rPr>
            </w:pPr>
          </w:p>
        </w:tc>
        <w:tc>
          <w:tcPr>
            <w:tcW w:w="5421" w:type="dxa"/>
            <w:gridSpan w:val="8"/>
            <w:shd w:val="clear" w:color="auto" w:fill="auto"/>
            <w:noWrap w:val="0"/>
            <w:vAlign w:val="center"/>
          </w:tcPr>
          <w:p w14:paraId="27686BC5">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第十章 国统区和沦陷区音乐</w:t>
            </w:r>
          </w:p>
          <w:p w14:paraId="564D1635">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知道：</w:t>
            </w:r>
            <w:r>
              <w:rPr>
                <w:rFonts w:hint="eastAsia" w:ascii="仿宋" w:hAnsi="仿宋" w:eastAsia="仿宋" w:cs="仿宋"/>
                <w:kern w:val="0"/>
                <w:sz w:val="24"/>
                <w:szCs w:val="24"/>
                <w:lang w:val="en-US" w:eastAsia="zh-CN"/>
              </w:rPr>
              <w:t>社会音乐生活</w:t>
            </w:r>
          </w:p>
          <w:p w14:paraId="0E0EF05E">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领会：</w:t>
            </w:r>
            <w:r>
              <w:rPr>
                <w:rFonts w:hint="eastAsia" w:ascii="仿宋" w:hAnsi="仿宋" w:eastAsia="仿宋" w:cs="仿宋"/>
                <w:kern w:val="0"/>
                <w:sz w:val="24"/>
                <w:szCs w:val="24"/>
                <w:lang w:val="en-US" w:eastAsia="zh-CN"/>
              </w:rPr>
              <w:t>20世纪30年代国统区的音乐创作</w:t>
            </w:r>
          </w:p>
          <w:p w14:paraId="5621A616">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应用：</w:t>
            </w:r>
            <w:r>
              <w:rPr>
                <w:rFonts w:hint="eastAsia" w:ascii="仿宋" w:hAnsi="仿宋" w:eastAsia="仿宋" w:cs="仿宋"/>
                <w:kern w:val="0"/>
                <w:sz w:val="24"/>
                <w:szCs w:val="24"/>
                <w:lang w:val="en-US" w:eastAsia="zh-CN"/>
              </w:rPr>
              <w:t>全面抗战后的国统区音乐创作</w:t>
            </w:r>
          </w:p>
          <w:p w14:paraId="2568295B">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分析：</w:t>
            </w:r>
            <w:r>
              <w:rPr>
                <w:rFonts w:hint="eastAsia" w:ascii="仿宋" w:hAnsi="仿宋" w:eastAsia="仿宋" w:cs="仿宋"/>
                <w:kern w:val="0"/>
                <w:sz w:val="24"/>
                <w:szCs w:val="24"/>
                <w:lang w:val="en-US" w:eastAsia="zh-CN"/>
              </w:rPr>
              <w:t>抗战时期沦陷区的音乐创作</w:t>
            </w:r>
          </w:p>
          <w:p w14:paraId="3CC7F902">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综合：</w:t>
            </w:r>
            <w:r>
              <w:rPr>
                <w:rFonts w:hint="eastAsia" w:ascii="仿宋" w:hAnsi="仿宋" w:eastAsia="仿宋" w:cs="仿宋"/>
                <w:kern w:val="0"/>
                <w:sz w:val="24"/>
                <w:szCs w:val="24"/>
                <w:lang w:val="en-US" w:eastAsia="zh-CN"/>
              </w:rPr>
              <w:t>解放战争时期国统区的音乐创作</w:t>
            </w:r>
          </w:p>
          <w:p w14:paraId="4268BE44">
            <w:pPr>
              <w:widowControl/>
              <w:adjustRightInd w:val="0"/>
              <w:snapToGrid w:val="0"/>
              <w:rPr>
                <w:rFonts w:hint="eastAsia" w:ascii="仿宋" w:hAnsi="仿宋" w:eastAsia="仿宋" w:cs="仿宋"/>
                <w:bCs/>
                <w:sz w:val="24"/>
                <w:szCs w:val="24"/>
              </w:rPr>
            </w:pPr>
            <w:r>
              <w:rPr>
                <w:rFonts w:hint="eastAsia" w:ascii="仿宋" w:hAnsi="仿宋" w:eastAsia="仿宋" w:cs="仿宋"/>
                <w:kern w:val="0"/>
                <w:sz w:val="24"/>
                <w:szCs w:val="24"/>
              </w:rPr>
              <w:t>评价：</w:t>
            </w:r>
            <w:r>
              <w:rPr>
                <w:rFonts w:hint="eastAsia" w:ascii="仿宋" w:hAnsi="仿宋" w:eastAsia="仿宋" w:cs="仿宋"/>
                <w:kern w:val="0"/>
                <w:sz w:val="24"/>
                <w:szCs w:val="24"/>
                <w:lang w:val="en-US" w:eastAsia="zh-CN"/>
              </w:rPr>
              <w:t>国统区和沦陷区的流行音乐</w:t>
            </w:r>
          </w:p>
        </w:tc>
        <w:tc>
          <w:tcPr>
            <w:tcW w:w="1238" w:type="dxa"/>
            <w:gridSpan w:val="2"/>
            <w:shd w:val="clear" w:color="auto" w:fill="auto"/>
            <w:noWrap w:val="0"/>
            <w:vAlign w:val="center"/>
          </w:tcPr>
          <w:p w14:paraId="5141F573">
            <w:pPr>
              <w:widowControl/>
              <w:adjustRightInd w:val="0"/>
              <w:snapToGrid w:val="0"/>
              <w:jc w:val="center"/>
              <w:rPr>
                <w:rFonts w:hint="eastAsia" w:ascii="仿宋" w:hAnsi="仿宋" w:eastAsia="仿宋" w:cs="仿宋"/>
                <w:bCs/>
                <w:sz w:val="24"/>
                <w:szCs w:val="24"/>
              </w:rPr>
            </w:pPr>
          </w:p>
          <w:p w14:paraId="006C7EBC">
            <w:pPr>
              <w:widowControl/>
              <w:adjustRightInd w:val="0"/>
              <w:snapToGrid w:val="0"/>
              <w:jc w:val="center"/>
              <w:rPr>
                <w:rFonts w:hint="eastAsia" w:ascii="仿宋" w:hAnsi="仿宋" w:eastAsia="仿宋" w:cs="仿宋"/>
                <w:bCs/>
                <w:color w:val="000000"/>
                <w:sz w:val="24"/>
                <w:szCs w:val="24"/>
                <w:lang w:val="en-US" w:eastAsia="zh-CN" w:bidi="ar-SA"/>
              </w:rPr>
            </w:pPr>
            <w:r>
              <w:rPr>
                <w:rFonts w:hint="eastAsia" w:ascii="仿宋" w:hAnsi="仿宋" w:eastAsia="仿宋" w:cs="仿宋"/>
                <w:bCs/>
                <w:sz w:val="24"/>
                <w:szCs w:val="24"/>
              </w:rPr>
              <w:t>支撑课程目标1、2、3</w:t>
            </w:r>
          </w:p>
        </w:tc>
        <w:tc>
          <w:tcPr>
            <w:tcW w:w="1263" w:type="dxa"/>
            <w:gridSpan w:val="2"/>
            <w:shd w:val="clear" w:color="auto" w:fill="FFFFFF"/>
            <w:noWrap w:val="0"/>
            <w:vAlign w:val="center"/>
          </w:tcPr>
          <w:p w14:paraId="655E202A">
            <w:pPr>
              <w:adjustRightInd w:val="0"/>
              <w:snapToGrid w:val="0"/>
              <w:jc w:val="center"/>
              <w:rPr>
                <w:rFonts w:hint="eastAsia" w:ascii="仿宋" w:hAnsi="仿宋" w:eastAsia="仿宋" w:cs="仿宋"/>
                <w:color w:val="000000"/>
                <w:sz w:val="24"/>
                <w:szCs w:val="24"/>
                <w:lang w:val="en-US" w:eastAsia="zh-CN" w:bidi="ar-SA"/>
              </w:rPr>
            </w:pPr>
            <w:r>
              <w:rPr>
                <w:rFonts w:hint="eastAsia" w:ascii="仿宋" w:hAnsi="仿宋" w:eastAsia="仿宋" w:cs="仿宋"/>
                <w:sz w:val="24"/>
                <w:szCs w:val="24"/>
                <w:lang w:val="en-US" w:eastAsia="zh-CN"/>
              </w:rPr>
              <w:t>6</w:t>
            </w:r>
          </w:p>
        </w:tc>
      </w:tr>
      <w:tr w14:paraId="2EF81970">
        <w:trPr>
          <w:trHeight w:val="794" w:hRule="atLeast"/>
          <w:jc w:val="center"/>
        </w:trPr>
        <w:tc>
          <w:tcPr>
            <w:tcW w:w="1376" w:type="dxa"/>
            <w:vMerge w:val="continue"/>
            <w:shd w:val="clear" w:color="auto" w:fill="FFFFFF"/>
            <w:noWrap w:val="0"/>
            <w:vAlign w:val="center"/>
          </w:tcPr>
          <w:p w14:paraId="0F814A75">
            <w:pPr>
              <w:adjustRightInd w:val="0"/>
              <w:snapToGrid w:val="0"/>
              <w:spacing w:line="240" w:lineRule="atLeast"/>
              <w:jc w:val="right"/>
              <w:rPr>
                <w:rFonts w:hint="eastAsia" w:ascii="仿宋" w:hAnsi="仿宋" w:eastAsia="仿宋" w:cs="仿宋"/>
                <w:color w:val="000000"/>
                <w:sz w:val="24"/>
                <w:szCs w:val="24"/>
              </w:rPr>
            </w:pPr>
          </w:p>
        </w:tc>
        <w:tc>
          <w:tcPr>
            <w:tcW w:w="5421" w:type="dxa"/>
            <w:gridSpan w:val="8"/>
            <w:shd w:val="clear" w:color="auto" w:fill="auto"/>
            <w:noWrap w:val="0"/>
            <w:vAlign w:val="center"/>
          </w:tcPr>
          <w:p w14:paraId="78A55E15">
            <w:pPr>
              <w:widowControl/>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第十一章 革命根据地和解放区音乐</w:t>
            </w:r>
          </w:p>
          <w:p w14:paraId="741F33C8">
            <w:pPr>
              <w:widowControl/>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知道：社会音乐生活</w:t>
            </w:r>
          </w:p>
          <w:p w14:paraId="266962F6">
            <w:pPr>
              <w:widowControl/>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领会：《讲话》前的音乐创作</w:t>
            </w:r>
          </w:p>
          <w:p w14:paraId="3867DE58">
            <w:pPr>
              <w:widowControl/>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应用：《讲话》后的音乐创作</w:t>
            </w:r>
          </w:p>
          <w:p w14:paraId="42E425E1">
            <w:pPr>
              <w:widowControl/>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分析：解放战争时期的音乐创作</w:t>
            </w:r>
          </w:p>
          <w:p w14:paraId="319C9333">
            <w:pPr>
              <w:widowControl/>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综合：《讲话》前后的音乐创作</w:t>
            </w:r>
          </w:p>
          <w:p w14:paraId="44E519BE">
            <w:pPr>
              <w:widowControl/>
              <w:adjustRightInd w:val="0"/>
              <w:snapToGrid w:val="0"/>
              <w:rPr>
                <w:rFonts w:hint="eastAsia" w:ascii="仿宋" w:hAnsi="仿宋" w:eastAsia="仿宋" w:cs="仿宋"/>
                <w:bCs/>
                <w:sz w:val="24"/>
                <w:szCs w:val="24"/>
              </w:rPr>
            </w:pPr>
            <w:r>
              <w:rPr>
                <w:rFonts w:hint="eastAsia" w:ascii="仿宋" w:hAnsi="仿宋" w:eastAsia="仿宋" w:cs="仿宋"/>
                <w:kern w:val="0"/>
                <w:sz w:val="24"/>
                <w:szCs w:val="24"/>
                <w:lang w:val="en-US" w:eastAsia="zh-CN"/>
              </w:rPr>
              <w:t>评价：解放战争时期的音乐创作</w:t>
            </w:r>
          </w:p>
        </w:tc>
        <w:tc>
          <w:tcPr>
            <w:tcW w:w="1238" w:type="dxa"/>
            <w:gridSpan w:val="2"/>
            <w:shd w:val="clear" w:color="auto" w:fill="auto"/>
            <w:noWrap w:val="0"/>
            <w:vAlign w:val="center"/>
          </w:tcPr>
          <w:p w14:paraId="4D5281CA">
            <w:pPr>
              <w:widowControl/>
              <w:adjustRightInd w:val="0"/>
              <w:snapToGrid w:val="0"/>
              <w:jc w:val="center"/>
              <w:rPr>
                <w:rFonts w:hint="eastAsia" w:ascii="仿宋" w:hAnsi="仿宋" w:eastAsia="仿宋" w:cs="仿宋"/>
                <w:bCs/>
                <w:sz w:val="24"/>
                <w:szCs w:val="24"/>
              </w:rPr>
            </w:pPr>
          </w:p>
          <w:p w14:paraId="58E9CBEE">
            <w:pPr>
              <w:widowControl/>
              <w:adjustRightInd w:val="0"/>
              <w:snapToGrid w:val="0"/>
              <w:jc w:val="center"/>
              <w:rPr>
                <w:rFonts w:hint="eastAsia" w:ascii="仿宋" w:hAnsi="仿宋" w:eastAsia="仿宋" w:cs="仿宋"/>
                <w:bCs/>
                <w:color w:val="000000"/>
                <w:sz w:val="24"/>
                <w:szCs w:val="24"/>
                <w:lang w:val="en-US" w:eastAsia="zh-CN" w:bidi="ar-SA"/>
              </w:rPr>
            </w:pPr>
            <w:r>
              <w:rPr>
                <w:rFonts w:hint="eastAsia" w:ascii="仿宋" w:hAnsi="仿宋" w:eastAsia="仿宋" w:cs="仿宋"/>
                <w:bCs/>
                <w:sz w:val="24"/>
                <w:szCs w:val="24"/>
              </w:rPr>
              <w:t>支撑课程目标1、2、3</w:t>
            </w:r>
          </w:p>
        </w:tc>
        <w:tc>
          <w:tcPr>
            <w:tcW w:w="1263" w:type="dxa"/>
            <w:gridSpan w:val="2"/>
            <w:shd w:val="clear" w:color="auto" w:fill="FFFFFF"/>
            <w:noWrap w:val="0"/>
            <w:vAlign w:val="center"/>
          </w:tcPr>
          <w:p w14:paraId="202CFF0D">
            <w:pPr>
              <w:adjustRightInd w:val="0"/>
              <w:snapToGrid w:val="0"/>
              <w:jc w:val="center"/>
              <w:rPr>
                <w:rFonts w:hint="eastAsia" w:ascii="仿宋" w:hAnsi="仿宋" w:eastAsia="仿宋" w:cs="仿宋"/>
                <w:color w:val="000000"/>
                <w:sz w:val="24"/>
                <w:szCs w:val="24"/>
                <w:lang w:val="en-US" w:eastAsia="zh-CN" w:bidi="ar-SA"/>
              </w:rPr>
            </w:pPr>
            <w:r>
              <w:rPr>
                <w:rFonts w:hint="eastAsia" w:ascii="仿宋" w:hAnsi="仿宋" w:eastAsia="仿宋" w:cs="仿宋"/>
                <w:sz w:val="24"/>
                <w:szCs w:val="24"/>
                <w:lang w:val="en-US" w:eastAsia="zh-CN"/>
              </w:rPr>
              <w:t>4</w:t>
            </w:r>
          </w:p>
        </w:tc>
      </w:tr>
      <w:tr w14:paraId="737E86FD">
        <w:trPr>
          <w:trHeight w:val="794" w:hRule="atLeast"/>
          <w:jc w:val="center"/>
        </w:trPr>
        <w:tc>
          <w:tcPr>
            <w:tcW w:w="1376" w:type="dxa"/>
            <w:vMerge w:val="continue"/>
            <w:shd w:val="clear" w:color="auto" w:fill="FFFFFF"/>
            <w:noWrap w:val="0"/>
            <w:vAlign w:val="center"/>
          </w:tcPr>
          <w:p w14:paraId="540DE279">
            <w:pPr>
              <w:adjustRightInd w:val="0"/>
              <w:snapToGrid w:val="0"/>
              <w:spacing w:line="240" w:lineRule="atLeast"/>
              <w:jc w:val="right"/>
              <w:rPr>
                <w:rFonts w:hint="eastAsia" w:ascii="仿宋" w:hAnsi="仿宋" w:eastAsia="仿宋" w:cs="仿宋"/>
                <w:color w:val="000000"/>
                <w:sz w:val="24"/>
                <w:szCs w:val="24"/>
              </w:rPr>
            </w:pPr>
          </w:p>
        </w:tc>
        <w:tc>
          <w:tcPr>
            <w:tcW w:w="5421" w:type="dxa"/>
            <w:gridSpan w:val="8"/>
            <w:shd w:val="clear" w:color="auto" w:fill="auto"/>
            <w:noWrap w:val="0"/>
            <w:vAlign w:val="center"/>
          </w:tcPr>
          <w:p w14:paraId="380CF99A">
            <w:pPr>
              <w:widowControl/>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第十二章 中华人民共和国成立后至改革开放前的音乐</w:t>
            </w:r>
          </w:p>
          <w:p w14:paraId="32E0D347">
            <w:pPr>
              <w:widowControl/>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知道：社会音乐生活</w:t>
            </w:r>
          </w:p>
          <w:p w14:paraId="0F104A8F">
            <w:pPr>
              <w:widowControl/>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领会：独唱、齐唱歌曲创作</w:t>
            </w:r>
          </w:p>
          <w:p w14:paraId="04397DB3">
            <w:pPr>
              <w:widowControl/>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应用：合唱歌曲创作</w:t>
            </w:r>
          </w:p>
          <w:p w14:paraId="2AAC92CA">
            <w:pPr>
              <w:widowControl/>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分析：歌剧、歌舞、歌舞剧和舞剧音乐创作</w:t>
            </w:r>
          </w:p>
          <w:p w14:paraId="3AA6FD84">
            <w:pPr>
              <w:widowControl/>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综合：民族器乐曲的新创、西洋乐器器乐曲创作</w:t>
            </w:r>
          </w:p>
          <w:p w14:paraId="6C516A61">
            <w:pPr>
              <w:widowControl/>
              <w:adjustRightInd w:val="0"/>
              <w:snapToGrid w:val="0"/>
              <w:rPr>
                <w:rFonts w:hint="eastAsia" w:ascii="仿宋" w:hAnsi="仿宋" w:eastAsia="仿宋" w:cs="仿宋"/>
                <w:bCs/>
                <w:sz w:val="24"/>
                <w:szCs w:val="24"/>
              </w:rPr>
            </w:pPr>
            <w:r>
              <w:rPr>
                <w:rFonts w:hint="eastAsia" w:ascii="仿宋" w:hAnsi="仿宋" w:eastAsia="仿宋" w:cs="仿宋"/>
                <w:kern w:val="0"/>
                <w:sz w:val="24"/>
                <w:szCs w:val="24"/>
                <w:lang w:val="en-US" w:eastAsia="zh-CN"/>
              </w:rPr>
              <w:t>评价：戏曲的现代戏创作及其音乐的改革</w:t>
            </w:r>
          </w:p>
        </w:tc>
        <w:tc>
          <w:tcPr>
            <w:tcW w:w="1238" w:type="dxa"/>
            <w:gridSpan w:val="2"/>
            <w:shd w:val="clear" w:color="auto" w:fill="auto"/>
            <w:noWrap w:val="0"/>
            <w:vAlign w:val="center"/>
          </w:tcPr>
          <w:p w14:paraId="3FFB518C">
            <w:pPr>
              <w:widowControl/>
              <w:adjustRightInd w:val="0"/>
              <w:snapToGrid w:val="0"/>
              <w:jc w:val="center"/>
              <w:rPr>
                <w:rFonts w:hint="eastAsia" w:ascii="仿宋" w:hAnsi="仿宋" w:eastAsia="仿宋" w:cs="仿宋"/>
                <w:bCs/>
                <w:sz w:val="24"/>
                <w:szCs w:val="24"/>
              </w:rPr>
            </w:pPr>
          </w:p>
          <w:p w14:paraId="7D4BC178">
            <w:pPr>
              <w:widowControl/>
              <w:adjustRightInd w:val="0"/>
              <w:snapToGrid w:val="0"/>
              <w:jc w:val="center"/>
              <w:rPr>
                <w:rFonts w:hint="eastAsia" w:ascii="仿宋" w:hAnsi="仿宋" w:eastAsia="仿宋" w:cs="仿宋"/>
                <w:bCs/>
                <w:color w:val="000000"/>
                <w:sz w:val="24"/>
                <w:szCs w:val="24"/>
                <w:lang w:val="en-US" w:eastAsia="zh-CN" w:bidi="ar-SA"/>
              </w:rPr>
            </w:pPr>
            <w:r>
              <w:rPr>
                <w:rFonts w:hint="eastAsia" w:ascii="仿宋" w:hAnsi="仿宋" w:eastAsia="仿宋" w:cs="仿宋"/>
                <w:bCs/>
                <w:sz w:val="24"/>
                <w:szCs w:val="24"/>
              </w:rPr>
              <w:t>支撑课程目标1、2、3</w:t>
            </w:r>
          </w:p>
        </w:tc>
        <w:tc>
          <w:tcPr>
            <w:tcW w:w="1263" w:type="dxa"/>
            <w:gridSpan w:val="2"/>
            <w:shd w:val="clear" w:color="auto" w:fill="FFFFFF"/>
            <w:noWrap w:val="0"/>
            <w:vAlign w:val="center"/>
          </w:tcPr>
          <w:p w14:paraId="6256FE2E">
            <w:pPr>
              <w:adjustRightInd w:val="0"/>
              <w:snapToGrid w:val="0"/>
              <w:jc w:val="center"/>
              <w:rPr>
                <w:rFonts w:hint="eastAsia" w:ascii="仿宋" w:hAnsi="仿宋" w:eastAsia="仿宋" w:cs="仿宋"/>
                <w:color w:val="000000"/>
                <w:sz w:val="24"/>
                <w:szCs w:val="24"/>
                <w:lang w:val="en-US" w:eastAsia="zh-CN" w:bidi="ar-SA"/>
              </w:rPr>
            </w:pPr>
            <w:r>
              <w:rPr>
                <w:rFonts w:hint="eastAsia" w:ascii="仿宋" w:hAnsi="仿宋" w:eastAsia="仿宋" w:cs="仿宋"/>
                <w:sz w:val="24"/>
                <w:szCs w:val="24"/>
                <w:lang w:val="en-US" w:eastAsia="zh-CN"/>
              </w:rPr>
              <w:t>6</w:t>
            </w:r>
          </w:p>
        </w:tc>
      </w:tr>
      <w:tr w14:paraId="52DEB5A9">
        <w:trPr>
          <w:trHeight w:val="794" w:hRule="atLeast"/>
          <w:jc w:val="center"/>
        </w:trPr>
        <w:tc>
          <w:tcPr>
            <w:tcW w:w="1376" w:type="dxa"/>
            <w:vMerge w:val="continue"/>
            <w:shd w:val="clear" w:color="auto" w:fill="FFFFFF"/>
            <w:noWrap w:val="0"/>
            <w:vAlign w:val="center"/>
          </w:tcPr>
          <w:p w14:paraId="6B5B1A74">
            <w:pPr>
              <w:adjustRightInd w:val="0"/>
              <w:snapToGrid w:val="0"/>
              <w:spacing w:line="240" w:lineRule="atLeast"/>
              <w:jc w:val="right"/>
              <w:rPr>
                <w:rFonts w:hint="eastAsia" w:ascii="仿宋" w:hAnsi="仿宋" w:eastAsia="仿宋" w:cs="仿宋"/>
                <w:color w:val="000000"/>
                <w:sz w:val="24"/>
                <w:szCs w:val="24"/>
              </w:rPr>
            </w:pPr>
          </w:p>
        </w:tc>
        <w:tc>
          <w:tcPr>
            <w:tcW w:w="5421" w:type="dxa"/>
            <w:gridSpan w:val="8"/>
            <w:shd w:val="clear" w:color="auto" w:fill="auto"/>
            <w:noWrap w:val="0"/>
            <w:vAlign w:val="center"/>
          </w:tcPr>
          <w:p w14:paraId="2C843824">
            <w:pPr>
              <w:widowControl/>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第十三章 改革开放二十年的音乐</w:t>
            </w:r>
          </w:p>
          <w:p w14:paraId="63529C2F">
            <w:pPr>
              <w:widowControl/>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知道：社会音乐生活</w:t>
            </w:r>
          </w:p>
          <w:p w14:paraId="5DB3B175">
            <w:pPr>
              <w:widowControl/>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领会：声乐创作</w:t>
            </w:r>
          </w:p>
          <w:p w14:paraId="15BDC105">
            <w:pPr>
              <w:widowControl/>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应用：影视音乐创作</w:t>
            </w:r>
          </w:p>
          <w:p w14:paraId="2A320EF7">
            <w:pPr>
              <w:widowControl/>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分析：流行音乐创作</w:t>
            </w:r>
          </w:p>
          <w:p w14:paraId="3B6F1756">
            <w:pPr>
              <w:widowControl/>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综合：器乐创作</w:t>
            </w:r>
          </w:p>
          <w:p w14:paraId="50B5AAB3">
            <w:pPr>
              <w:widowControl/>
              <w:adjustRightInd w:val="0"/>
              <w:snapToGrid w:val="0"/>
              <w:rPr>
                <w:rFonts w:hint="eastAsia" w:ascii="仿宋" w:hAnsi="仿宋" w:eastAsia="仿宋" w:cs="仿宋"/>
                <w:bCs/>
                <w:sz w:val="24"/>
                <w:szCs w:val="24"/>
              </w:rPr>
            </w:pPr>
            <w:r>
              <w:rPr>
                <w:rFonts w:hint="eastAsia" w:ascii="仿宋" w:hAnsi="仿宋" w:eastAsia="仿宋" w:cs="仿宋"/>
                <w:kern w:val="0"/>
                <w:sz w:val="24"/>
                <w:szCs w:val="24"/>
                <w:lang w:val="en-US" w:eastAsia="zh-CN"/>
              </w:rPr>
              <w:t>评价：歌剧音乐创作和音乐剧初兴、舞剧、歌舞、舞蹈音乐创作</w:t>
            </w:r>
          </w:p>
        </w:tc>
        <w:tc>
          <w:tcPr>
            <w:tcW w:w="1238" w:type="dxa"/>
            <w:gridSpan w:val="2"/>
            <w:shd w:val="clear" w:color="auto" w:fill="auto"/>
            <w:noWrap w:val="0"/>
            <w:vAlign w:val="center"/>
          </w:tcPr>
          <w:p w14:paraId="79136877">
            <w:pPr>
              <w:widowControl/>
              <w:adjustRightInd w:val="0"/>
              <w:snapToGrid w:val="0"/>
              <w:jc w:val="center"/>
              <w:rPr>
                <w:rFonts w:hint="eastAsia" w:ascii="仿宋" w:hAnsi="仿宋" w:eastAsia="仿宋" w:cs="仿宋"/>
                <w:bCs/>
                <w:sz w:val="24"/>
                <w:szCs w:val="24"/>
              </w:rPr>
            </w:pPr>
          </w:p>
          <w:p w14:paraId="78D9AD49">
            <w:pPr>
              <w:widowControl/>
              <w:adjustRightInd w:val="0"/>
              <w:snapToGrid w:val="0"/>
              <w:jc w:val="center"/>
              <w:rPr>
                <w:rFonts w:hint="eastAsia" w:ascii="仿宋" w:hAnsi="仿宋" w:eastAsia="仿宋" w:cs="仿宋"/>
                <w:bCs/>
                <w:color w:val="000000"/>
                <w:sz w:val="24"/>
                <w:szCs w:val="24"/>
                <w:lang w:val="en-US" w:eastAsia="zh-CN" w:bidi="ar-SA"/>
              </w:rPr>
            </w:pPr>
            <w:r>
              <w:rPr>
                <w:rFonts w:hint="eastAsia" w:ascii="仿宋" w:hAnsi="仿宋" w:eastAsia="仿宋" w:cs="仿宋"/>
                <w:bCs/>
                <w:sz w:val="24"/>
                <w:szCs w:val="24"/>
              </w:rPr>
              <w:t>支撑课程目标1、2、3</w:t>
            </w:r>
          </w:p>
        </w:tc>
        <w:tc>
          <w:tcPr>
            <w:tcW w:w="1263" w:type="dxa"/>
            <w:gridSpan w:val="2"/>
            <w:shd w:val="clear" w:color="auto" w:fill="FFFFFF"/>
            <w:noWrap w:val="0"/>
            <w:vAlign w:val="center"/>
          </w:tcPr>
          <w:p w14:paraId="6A91F9AD">
            <w:pPr>
              <w:adjustRightInd w:val="0"/>
              <w:snapToGrid w:val="0"/>
              <w:jc w:val="center"/>
              <w:rPr>
                <w:rFonts w:hint="eastAsia" w:ascii="仿宋" w:hAnsi="仿宋" w:eastAsia="仿宋" w:cs="仿宋"/>
                <w:color w:val="000000"/>
                <w:sz w:val="24"/>
                <w:szCs w:val="24"/>
                <w:lang w:val="en-US" w:eastAsia="zh-CN" w:bidi="ar-SA"/>
              </w:rPr>
            </w:pPr>
            <w:r>
              <w:rPr>
                <w:rFonts w:hint="eastAsia" w:ascii="仿宋" w:hAnsi="仿宋" w:eastAsia="仿宋" w:cs="仿宋"/>
                <w:sz w:val="24"/>
                <w:szCs w:val="24"/>
                <w:lang w:val="en-US" w:eastAsia="zh-CN"/>
              </w:rPr>
              <w:t>8</w:t>
            </w:r>
          </w:p>
        </w:tc>
      </w:tr>
      <w:tr w14:paraId="7B1E7A4A">
        <w:trPr>
          <w:trHeight w:val="794" w:hRule="atLeast"/>
          <w:jc w:val="center"/>
        </w:trPr>
        <w:tc>
          <w:tcPr>
            <w:tcW w:w="1376" w:type="dxa"/>
            <w:vMerge w:val="continue"/>
            <w:shd w:val="clear" w:color="auto" w:fill="FFFFFF"/>
            <w:noWrap w:val="0"/>
            <w:vAlign w:val="center"/>
          </w:tcPr>
          <w:p w14:paraId="790AAAC1">
            <w:pPr>
              <w:adjustRightInd w:val="0"/>
              <w:snapToGrid w:val="0"/>
              <w:spacing w:line="240" w:lineRule="atLeast"/>
              <w:jc w:val="right"/>
              <w:rPr>
                <w:rFonts w:hint="eastAsia" w:ascii="仿宋" w:hAnsi="仿宋" w:eastAsia="仿宋" w:cs="仿宋"/>
                <w:color w:val="000000"/>
                <w:sz w:val="24"/>
                <w:szCs w:val="24"/>
              </w:rPr>
            </w:pPr>
          </w:p>
        </w:tc>
        <w:tc>
          <w:tcPr>
            <w:tcW w:w="5421" w:type="dxa"/>
            <w:gridSpan w:val="8"/>
            <w:shd w:val="clear" w:color="auto" w:fill="auto"/>
            <w:noWrap w:val="0"/>
            <w:vAlign w:val="center"/>
          </w:tcPr>
          <w:p w14:paraId="5F39DB3A">
            <w:pPr>
              <w:widowControl/>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第十四章 中国香港、澳门、台湾地区的音乐</w:t>
            </w:r>
          </w:p>
          <w:p w14:paraId="646DEBD4">
            <w:pPr>
              <w:widowControl/>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知道：社会音乐生活</w:t>
            </w:r>
          </w:p>
          <w:p w14:paraId="28BCADF0">
            <w:pPr>
              <w:widowControl/>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领会：社会音乐生活</w:t>
            </w:r>
          </w:p>
          <w:p w14:paraId="34099291">
            <w:pPr>
              <w:widowControl/>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应用：中国香港地区的音乐创作</w:t>
            </w:r>
          </w:p>
          <w:p w14:paraId="4F7DA798">
            <w:pPr>
              <w:widowControl/>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分析：中国台湾地区的音乐创作</w:t>
            </w:r>
          </w:p>
          <w:p w14:paraId="29D02C3B">
            <w:pPr>
              <w:widowControl/>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综合：中国香港地区的流行音乐</w:t>
            </w:r>
          </w:p>
          <w:p w14:paraId="545884C9">
            <w:pPr>
              <w:widowControl/>
              <w:adjustRightInd w:val="0"/>
              <w:snapToGrid w:val="0"/>
              <w:rPr>
                <w:rFonts w:hint="eastAsia" w:ascii="仿宋" w:hAnsi="仿宋" w:eastAsia="仿宋" w:cs="仿宋"/>
                <w:bCs/>
                <w:sz w:val="24"/>
                <w:szCs w:val="24"/>
              </w:rPr>
            </w:pPr>
            <w:r>
              <w:rPr>
                <w:rFonts w:hint="eastAsia" w:ascii="仿宋" w:hAnsi="仿宋" w:eastAsia="仿宋" w:cs="仿宋"/>
                <w:kern w:val="0"/>
                <w:sz w:val="24"/>
                <w:szCs w:val="24"/>
                <w:lang w:val="en-US" w:eastAsia="zh-CN"/>
              </w:rPr>
              <w:t>评价：中国台湾地区的流行音乐</w:t>
            </w:r>
          </w:p>
        </w:tc>
        <w:tc>
          <w:tcPr>
            <w:tcW w:w="1238" w:type="dxa"/>
            <w:gridSpan w:val="2"/>
            <w:shd w:val="clear" w:color="auto" w:fill="auto"/>
            <w:noWrap w:val="0"/>
            <w:vAlign w:val="center"/>
          </w:tcPr>
          <w:p w14:paraId="19714A34">
            <w:pPr>
              <w:widowControl/>
              <w:adjustRightInd w:val="0"/>
              <w:snapToGrid w:val="0"/>
              <w:jc w:val="center"/>
              <w:rPr>
                <w:rFonts w:hint="eastAsia" w:ascii="仿宋" w:hAnsi="仿宋" w:eastAsia="仿宋" w:cs="仿宋"/>
                <w:bCs/>
                <w:sz w:val="24"/>
                <w:szCs w:val="24"/>
              </w:rPr>
            </w:pPr>
          </w:p>
          <w:p w14:paraId="2926D2D2">
            <w:pPr>
              <w:widowControl/>
              <w:adjustRightInd w:val="0"/>
              <w:snapToGrid w:val="0"/>
              <w:jc w:val="both"/>
              <w:rPr>
                <w:rFonts w:ascii="仿宋" w:hAnsi="仿宋" w:eastAsia="仿宋" w:cs="仿宋"/>
                <w:bCs/>
                <w:sz w:val="24"/>
                <w:szCs w:val="24"/>
              </w:rPr>
            </w:pPr>
            <w:r>
              <w:rPr>
                <w:rFonts w:hint="eastAsia" w:ascii="仿宋" w:hAnsi="仿宋" w:eastAsia="仿宋" w:cs="仿宋"/>
                <w:bCs/>
                <w:sz w:val="24"/>
                <w:szCs w:val="24"/>
              </w:rPr>
              <w:t>支撑课程目标1、2、3</w:t>
            </w:r>
          </w:p>
          <w:p w14:paraId="158C3E4D">
            <w:pPr>
              <w:adjustRightInd w:val="0"/>
              <w:snapToGrid w:val="0"/>
              <w:jc w:val="center"/>
              <w:rPr>
                <w:rFonts w:hint="eastAsia" w:ascii="仿宋" w:hAnsi="仿宋" w:eastAsia="仿宋" w:cs="仿宋"/>
                <w:bCs/>
                <w:sz w:val="24"/>
                <w:szCs w:val="24"/>
              </w:rPr>
            </w:pPr>
          </w:p>
        </w:tc>
        <w:tc>
          <w:tcPr>
            <w:tcW w:w="1263" w:type="dxa"/>
            <w:gridSpan w:val="2"/>
            <w:shd w:val="clear" w:color="auto" w:fill="FFFFFF"/>
            <w:noWrap w:val="0"/>
            <w:vAlign w:val="center"/>
          </w:tcPr>
          <w:p w14:paraId="1D256AF6">
            <w:pPr>
              <w:adjustRightInd w:val="0"/>
              <w:snapToGrid w:val="0"/>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4</w:t>
            </w:r>
          </w:p>
        </w:tc>
      </w:tr>
      <w:tr w14:paraId="0CFD54FA">
        <w:trPr>
          <w:trHeight w:val="794" w:hRule="atLeast"/>
          <w:jc w:val="center"/>
        </w:trPr>
        <w:tc>
          <w:tcPr>
            <w:tcW w:w="1376" w:type="dxa"/>
            <w:vMerge w:val="continue"/>
            <w:shd w:val="clear" w:color="auto" w:fill="FFFFFF"/>
            <w:noWrap w:val="0"/>
            <w:vAlign w:val="center"/>
          </w:tcPr>
          <w:p w14:paraId="45EDDEA9">
            <w:pPr>
              <w:adjustRightInd w:val="0"/>
              <w:snapToGrid w:val="0"/>
              <w:spacing w:line="240" w:lineRule="atLeast"/>
              <w:jc w:val="center"/>
              <w:rPr>
                <w:rFonts w:hint="eastAsia" w:ascii="仿宋" w:hAnsi="仿宋" w:eastAsia="仿宋" w:cs="仿宋"/>
                <w:color w:val="000000"/>
                <w:sz w:val="24"/>
                <w:szCs w:val="24"/>
              </w:rPr>
            </w:pPr>
          </w:p>
        </w:tc>
        <w:tc>
          <w:tcPr>
            <w:tcW w:w="6659" w:type="dxa"/>
            <w:gridSpan w:val="10"/>
            <w:shd w:val="clear" w:color="auto" w:fill="auto"/>
            <w:noWrap w:val="0"/>
            <w:vAlign w:val="center"/>
          </w:tcPr>
          <w:p w14:paraId="34354372">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合计</w:t>
            </w:r>
          </w:p>
        </w:tc>
        <w:tc>
          <w:tcPr>
            <w:tcW w:w="1263" w:type="dxa"/>
            <w:gridSpan w:val="2"/>
            <w:shd w:val="clear" w:color="auto" w:fill="FFFFFF"/>
            <w:noWrap w:val="0"/>
            <w:vAlign w:val="center"/>
          </w:tcPr>
          <w:p w14:paraId="055FD66A">
            <w:pPr>
              <w:adjustRightInd w:val="0"/>
              <w:snapToGrid w:val="0"/>
              <w:jc w:val="center"/>
              <w:rPr>
                <w:rFonts w:ascii="仿宋" w:hAnsi="仿宋" w:eastAsia="仿宋" w:cs="仿宋"/>
                <w:sz w:val="24"/>
                <w:szCs w:val="24"/>
              </w:rPr>
            </w:pPr>
            <w:r>
              <w:rPr>
                <w:rFonts w:hint="eastAsia" w:ascii="仿宋" w:hAnsi="仿宋" w:eastAsia="仿宋" w:cs="仿宋"/>
                <w:sz w:val="24"/>
                <w:szCs w:val="24"/>
              </w:rPr>
              <w:t>64</w:t>
            </w:r>
          </w:p>
        </w:tc>
      </w:tr>
      <w:tr w14:paraId="4F8897ED">
        <w:trPr>
          <w:trHeight w:val="794" w:hRule="atLeast"/>
          <w:jc w:val="center"/>
        </w:trPr>
        <w:tc>
          <w:tcPr>
            <w:tcW w:w="1376" w:type="dxa"/>
            <w:noWrap w:val="0"/>
            <w:vAlign w:val="center"/>
          </w:tcPr>
          <w:p w14:paraId="48B7C48D">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I</w:t>
            </w:r>
          </w:p>
          <w:p w14:paraId="521D10A8">
            <w:pPr>
              <w:adjustRightInd w:val="0"/>
              <w:snapToGrid w:val="0"/>
              <w:spacing w:line="240" w:lineRule="atLeast"/>
              <w:jc w:val="center"/>
              <w:rPr>
                <w:rFonts w:hint="eastAsia" w:ascii="仿宋" w:hAnsi="仿宋" w:eastAsia="仿宋" w:cs="仿宋"/>
                <w:color w:val="000000"/>
                <w:sz w:val="24"/>
                <w:szCs w:val="24"/>
                <w:lang w:eastAsia="zh-TW"/>
              </w:rPr>
            </w:pPr>
            <w:r>
              <w:rPr>
                <w:rFonts w:hint="eastAsia" w:ascii="仿宋" w:hAnsi="仿宋" w:eastAsia="仿宋" w:cs="仿宋"/>
                <w:color w:val="000000"/>
                <w:sz w:val="24"/>
                <w:szCs w:val="24"/>
              </w:rPr>
              <w:t>教学方法与教学方式</w:t>
            </w:r>
          </w:p>
        </w:tc>
        <w:tc>
          <w:tcPr>
            <w:tcW w:w="7922" w:type="dxa"/>
            <w:gridSpan w:val="12"/>
            <w:tcBorders>
              <w:bottom w:val="single" w:color="auto" w:sz="4" w:space="0"/>
            </w:tcBorders>
            <w:noWrap w:val="0"/>
            <w:vAlign w:val="center"/>
          </w:tcPr>
          <w:p w14:paraId="32375D35">
            <w:pPr>
              <w:numPr>
                <w:ilvl w:val="0"/>
                <w:numId w:val="0"/>
              </w:numPr>
              <w:adjustRightInd w:val="0"/>
              <w:snapToGrid w:val="0"/>
              <w:ind w:leftChars="0"/>
              <w:rPr>
                <w:rFonts w:hint="eastAsia" w:ascii="仿宋" w:hAnsi="仿宋" w:eastAsia="仿宋" w:cs="仿宋"/>
                <w:sz w:val="24"/>
                <w:szCs w:val="24"/>
              </w:rPr>
            </w:pPr>
            <w:r>
              <w:rPr>
                <w:rFonts w:hint="default" w:ascii="仿宋" w:hAnsi="仿宋" w:eastAsia="仿宋" w:cs="仿宋"/>
                <w:sz w:val="24"/>
                <w:szCs w:val="24"/>
              </w:rPr>
              <w:t>1</w:t>
            </w:r>
            <w:r>
              <w:rPr>
                <w:rFonts w:hint="eastAsia" w:ascii="仿宋" w:hAnsi="仿宋" w:eastAsia="仿宋" w:cs="仿宋"/>
                <w:sz w:val="24"/>
                <w:szCs w:val="24"/>
                <w:lang w:val="en-US" w:eastAsia="zh-Hans"/>
              </w:rPr>
              <w:t>.</w:t>
            </w:r>
            <w:r>
              <w:rPr>
                <w:rFonts w:hint="eastAsia" w:ascii="仿宋" w:hAnsi="仿宋" w:eastAsia="仿宋" w:cs="仿宋"/>
                <w:sz w:val="24"/>
                <w:szCs w:val="24"/>
              </w:rPr>
              <w:t>理论课全部采用多媒体教学，应用自编或改编的多媒体课件，加上一些CD动画，改善理论课的枯燥和沉闷，吸引学生的注意力，加强授课效果。</w:t>
            </w:r>
          </w:p>
          <w:p w14:paraId="33450AB5">
            <w:pPr>
              <w:numPr>
                <w:ilvl w:val="0"/>
                <w:numId w:val="0"/>
              </w:numPr>
              <w:adjustRightInd w:val="0"/>
              <w:snapToGrid w:val="0"/>
              <w:ind w:leftChars="0"/>
              <w:rPr>
                <w:rFonts w:hint="eastAsia" w:ascii="仿宋" w:hAnsi="仿宋" w:eastAsia="仿宋" w:cs="仿宋"/>
                <w:sz w:val="24"/>
                <w:szCs w:val="24"/>
              </w:rPr>
            </w:pPr>
            <w:r>
              <w:rPr>
                <w:rFonts w:hint="default" w:ascii="仿宋" w:hAnsi="仿宋" w:eastAsia="仿宋" w:cs="仿宋"/>
                <w:sz w:val="24"/>
                <w:szCs w:val="24"/>
              </w:rPr>
              <w:t>2</w:t>
            </w:r>
            <w:r>
              <w:rPr>
                <w:rFonts w:hint="eastAsia" w:ascii="仿宋" w:hAnsi="仿宋" w:eastAsia="仿宋" w:cs="仿宋"/>
                <w:sz w:val="24"/>
                <w:szCs w:val="24"/>
                <w:lang w:val="en-US" w:eastAsia="zh-Hans"/>
              </w:rPr>
              <w:t>.</w:t>
            </w:r>
            <w:r>
              <w:rPr>
                <w:rFonts w:hint="eastAsia" w:ascii="仿宋" w:hAnsi="仿宋" w:eastAsia="仿宋" w:cs="仿宋"/>
                <w:sz w:val="24"/>
                <w:szCs w:val="24"/>
              </w:rPr>
              <w:t>开通网络课堂，达到与学生及时沟通、交流的目的。同时重视师生互动与小组活动，组织课堂小组讨论和论文写作等活动，将课堂教学变为师生共同活动的过程。</w:t>
            </w:r>
          </w:p>
          <w:p w14:paraId="25FB40BC">
            <w:pPr>
              <w:numPr>
                <w:ilvl w:val="0"/>
                <w:numId w:val="0"/>
              </w:numPr>
              <w:adjustRightInd w:val="0"/>
              <w:snapToGrid w:val="0"/>
              <w:ind w:leftChars="0"/>
              <w:rPr>
                <w:rFonts w:hint="eastAsia" w:ascii="仿宋" w:hAnsi="仿宋" w:eastAsia="仿宋" w:cs="仿宋"/>
                <w:sz w:val="24"/>
                <w:szCs w:val="24"/>
              </w:rPr>
            </w:pPr>
            <w:r>
              <w:rPr>
                <w:rFonts w:hint="default" w:ascii="仿宋" w:hAnsi="仿宋" w:eastAsia="仿宋" w:cs="仿宋"/>
                <w:sz w:val="24"/>
                <w:szCs w:val="24"/>
              </w:rPr>
              <w:t>3</w:t>
            </w:r>
            <w:r>
              <w:rPr>
                <w:rFonts w:hint="eastAsia" w:ascii="仿宋" w:hAnsi="仿宋" w:eastAsia="仿宋" w:cs="仿宋"/>
                <w:sz w:val="24"/>
                <w:szCs w:val="24"/>
                <w:lang w:val="en-US" w:eastAsia="zh-Hans"/>
              </w:rPr>
              <w:t>.</w:t>
            </w:r>
            <w:r>
              <w:rPr>
                <w:rFonts w:hint="eastAsia" w:ascii="仿宋" w:hAnsi="仿宋" w:eastAsia="仿宋" w:cs="仿宋"/>
                <w:sz w:val="24"/>
                <w:szCs w:val="24"/>
              </w:rPr>
              <w:t>主要方式：</w:t>
            </w:r>
          </w:p>
          <w:p w14:paraId="4FD16047">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讲授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网络学习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讨论或座谈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问题导向学  </w:t>
            </w:r>
          </w:p>
          <w:p w14:paraId="2558CAD3">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分组合作学习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专题学习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实作学习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发表学习  </w:t>
            </w:r>
          </w:p>
          <w:p w14:paraId="6DA5E1EC">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实习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参观访问  </w:t>
            </w:r>
            <w:r>
              <w:rPr>
                <w:rFonts w:hint="eastAsia" w:ascii="仿宋" w:hAnsi="仿宋" w:eastAsia="仿宋" w:cs="仿宋"/>
                <w:sz w:val="24"/>
                <w:szCs w:val="24"/>
              </w:rPr>
              <w:sym w:font="Wingdings" w:char="00A8"/>
            </w:r>
            <w:r>
              <w:rPr>
                <w:rFonts w:hint="eastAsia" w:ascii="仿宋" w:hAnsi="仿宋" w:eastAsia="仿宋" w:cs="仿宋"/>
                <w:sz w:val="24"/>
                <w:szCs w:val="24"/>
              </w:rPr>
              <w:t>其它：</w:t>
            </w:r>
            <w:r>
              <w:rPr>
                <w:rFonts w:hint="eastAsia" w:ascii="仿宋" w:hAnsi="仿宋" w:eastAsia="仿宋" w:cs="仿宋"/>
                <w:sz w:val="24"/>
                <w:szCs w:val="24"/>
                <w:u w:val="single"/>
              </w:rPr>
              <w:t xml:space="preserve">        </w:t>
            </w:r>
            <w:r>
              <w:rPr>
                <w:rFonts w:hint="eastAsia" w:ascii="仿宋" w:hAnsi="仿宋" w:eastAsia="仿宋" w:cs="仿宋"/>
                <w:sz w:val="24"/>
                <w:szCs w:val="24"/>
              </w:rPr>
              <w:t>(如口头训练等)</w:t>
            </w:r>
          </w:p>
        </w:tc>
      </w:tr>
      <w:tr w14:paraId="6BE1E479">
        <w:trPr>
          <w:trHeight w:val="794" w:hRule="atLeast"/>
          <w:jc w:val="center"/>
        </w:trPr>
        <w:tc>
          <w:tcPr>
            <w:tcW w:w="1376" w:type="dxa"/>
            <w:noWrap w:val="0"/>
            <w:vAlign w:val="center"/>
          </w:tcPr>
          <w:p w14:paraId="45D8ED19">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J</w:t>
            </w:r>
          </w:p>
          <w:p w14:paraId="53DEB283">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教学条件</w:t>
            </w:r>
          </w:p>
          <w:p w14:paraId="44B7A9F5">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需求</w:t>
            </w:r>
          </w:p>
        </w:tc>
        <w:tc>
          <w:tcPr>
            <w:tcW w:w="7922" w:type="dxa"/>
            <w:gridSpan w:val="12"/>
            <w:tcBorders>
              <w:bottom w:val="single" w:color="auto" w:sz="4" w:space="0"/>
            </w:tcBorders>
            <w:noWrap w:val="0"/>
            <w:vAlign w:val="center"/>
          </w:tcPr>
          <w:p w14:paraId="1A0A0B65">
            <w:pPr>
              <w:tabs>
                <w:tab w:val="left" w:pos="720"/>
              </w:tabs>
              <w:adjustRightInd w:val="0"/>
              <w:snapToGrid w:val="0"/>
              <w:spacing w:line="240" w:lineRule="atLeast"/>
              <w:rPr>
                <w:rFonts w:hint="eastAsia" w:ascii="仿宋" w:hAnsi="仿宋" w:eastAsia="仿宋" w:cs="仿宋"/>
                <w:kern w:val="0"/>
                <w:sz w:val="24"/>
                <w:szCs w:val="24"/>
              </w:rPr>
            </w:pPr>
            <w:r>
              <w:rPr>
                <w:rFonts w:hint="eastAsia" w:ascii="仿宋" w:hAnsi="仿宋" w:eastAsia="仿宋" w:cs="仿宋"/>
                <w:kern w:val="0"/>
                <w:sz w:val="24"/>
                <w:szCs w:val="24"/>
              </w:rPr>
              <w:t>（如时间、地点安排与“一课双师”等教师配备需求等）</w:t>
            </w:r>
          </w:p>
          <w:p w14:paraId="237007B5">
            <w:pPr>
              <w:tabs>
                <w:tab w:val="left" w:pos="720"/>
              </w:tabs>
              <w:adjustRightInd w:val="0"/>
              <w:snapToGrid w:val="0"/>
              <w:spacing w:line="240" w:lineRule="atLeast"/>
              <w:rPr>
                <w:rFonts w:hint="eastAsia" w:ascii="仿宋" w:hAnsi="仿宋" w:eastAsia="仿宋" w:cs="仿宋"/>
                <w:sz w:val="24"/>
                <w:szCs w:val="24"/>
              </w:rPr>
            </w:pPr>
            <w:r>
              <w:rPr>
                <w:rFonts w:hint="eastAsia" w:ascii="仿宋" w:hAnsi="仿宋" w:eastAsia="仿宋" w:cs="仿宋"/>
                <w:kern w:val="0"/>
                <w:sz w:val="24"/>
                <w:szCs w:val="24"/>
              </w:rPr>
              <w:t>1.</w:t>
            </w:r>
            <w:r>
              <w:rPr>
                <w:rFonts w:hint="eastAsia" w:ascii="仿宋" w:hAnsi="仿宋" w:eastAsia="仿宋" w:cs="仿宋"/>
                <w:sz w:val="24"/>
                <w:szCs w:val="24"/>
              </w:rPr>
              <w:t>多媒体教室</w:t>
            </w:r>
          </w:p>
          <w:p w14:paraId="7CC0E0C6">
            <w:pPr>
              <w:tabs>
                <w:tab w:val="left" w:pos="798"/>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2.音视频网络资料</w:t>
            </w:r>
          </w:p>
          <w:p w14:paraId="4E848D5A">
            <w:pPr>
              <w:tabs>
                <w:tab w:val="left" w:pos="843"/>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3.相关图书参考书目</w:t>
            </w:r>
          </w:p>
        </w:tc>
      </w:tr>
      <w:tr w14:paraId="79AD4EEA">
        <w:trPr>
          <w:trHeight w:val="794" w:hRule="atLeast"/>
          <w:jc w:val="center"/>
        </w:trPr>
        <w:tc>
          <w:tcPr>
            <w:tcW w:w="1376" w:type="dxa"/>
            <w:vMerge w:val="restart"/>
            <w:noWrap w:val="0"/>
            <w:vAlign w:val="center"/>
          </w:tcPr>
          <w:p w14:paraId="74EC8426">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K</w:t>
            </w:r>
          </w:p>
          <w:p w14:paraId="13D9E836">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课程目标及其考核内容、考核方式及评分占比</w:t>
            </w:r>
          </w:p>
        </w:tc>
        <w:tc>
          <w:tcPr>
            <w:tcW w:w="1032" w:type="dxa"/>
            <w:vMerge w:val="restart"/>
            <w:noWrap w:val="0"/>
            <w:vAlign w:val="center"/>
          </w:tcPr>
          <w:p w14:paraId="5B5619CD">
            <w:pPr>
              <w:adjustRightInd w:val="0"/>
              <w:snapToGrid w:val="0"/>
              <w:rPr>
                <w:rFonts w:hint="eastAsia" w:ascii="仿宋" w:hAnsi="仿宋" w:eastAsia="仿宋" w:cs="仿宋"/>
                <w:sz w:val="24"/>
                <w:szCs w:val="24"/>
              </w:rPr>
            </w:pPr>
            <w:r>
              <w:rPr>
                <w:rFonts w:hint="eastAsia" w:ascii="仿宋" w:hAnsi="仿宋" w:eastAsia="仿宋" w:cs="仿宋"/>
                <w:sz w:val="24"/>
                <w:szCs w:val="24"/>
              </w:rPr>
              <w:t>课程目标及评分占比</w:t>
            </w:r>
          </w:p>
        </w:tc>
        <w:tc>
          <w:tcPr>
            <w:tcW w:w="2984" w:type="dxa"/>
            <w:gridSpan w:val="5"/>
            <w:vMerge w:val="restart"/>
            <w:tcBorders>
              <w:right w:val="single" w:color="000000" w:sz="4" w:space="0"/>
            </w:tcBorders>
            <w:noWrap w:val="0"/>
            <w:vAlign w:val="center"/>
          </w:tcPr>
          <w:p w14:paraId="073166EF">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考核内容</w:t>
            </w:r>
          </w:p>
        </w:tc>
        <w:tc>
          <w:tcPr>
            <w:tcW w:w="3167" w:type="dxa"/>
            <w:gridSpan w:val="5"/>
            <w:tcBorders>
              <w:left w:val="single" w:color="000000" w:sz="4" w:space="0"/>
              <w:right w:val="single" w:color="000000" w:sz="4" w:space="0"/>
            </w:tcBorders>
            <w:noWrap w:val="0"/>
            <w:vAlign w:val="center"/>
          </w:tcPr>
          <w:p w14:paraId="2CDA54C0">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考核方式</w:t>
            </w:r>
          </w:p>
        </w:tc>
        <w:tc>
          <w:tcPr>
            <w:tcW w:w="739" w:type="dxa"/>
            <w:vMerge w:val="restart"/>
            <w:tcBorders>
              <w:left w:val="single" w:color="000000" w:sz="4" w:space="0"/>
            </w:tcBorders>
            <w:noWrap w:val="0"/>
            <w:vAlign w:val="center"/>
          </w:tcPr>
          <w:p w14:paraId="265F625E">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sz w:val="24"/>
                <w:szCs w:val="24"/>
              </w:rPr>
              <w:t>课程分目标的达成度</w:t>
            </w:r>
          </w:p>
        </w:tc>
      </w:tr>
      <w:tr w14:paraId="26A48EAD">
        <w:trPr>
          <w:trHeight w:val="794" w:hRule="atLeast"/>
          <w:jc w:val="center"/>
        </w:trPr>
        <w:tc>
          <w:tcPr>
            <w:tcW w:w="1376" w:type="dxa"/>
            <w:vMerge w:val="continue"/>
            <w:noWrap w:val="0"/>
            <w:vAlign w:val="center"/>
          </w:tcPr>
          <w:p w14:paraId="302E9E8A">
            <w:pPr>
              <w:adjustRightInd w:val="0"/>
              <w:snapToGrid w:val="0"/>
              <w:spacing w:line="240" w:lineRule="atLeast"/>
              <w:jc w:val="center"/>
              <w:rPr>
                <w:rFonts w:hint="eastAsia" w:ascii="仿宋" w:hAnsi="仿宋" w:eastAsia="仿宋" w:cs="仿宋"/>
                <w:color w:val="000000"/>
                <w:sz w:val="24"/>
                <w:szCs w:val="24"/>
              </w:rPr>
            </w:pPr>
          </w:p>
        </w:tc>
        <w:tc>
          <w:tcPr>
            <w:tcW w:w="1032" w:type="dxa"/>
            <w:vMerge w:val="continue"/>
            <w:tcBorders>
              <w:tl2br w:val="single" w:color="auto" w:sz="4" w:space="0"/>
            </w:tcBorders>
            <w:noWrap w:val="0"/>
            <w:vAlign w:val="center"/>
          </w:tcPr>
          <w:p w14:paraId="05F86174">
            <w:pPr>
              <w:adjustRightInd w:val="0"/>
              <w:snapToGrid w:val="0"/>
              <w:jc w:val="right"/>
              <w:rPr>
                <w:rFonts w:hint="eastAsia" w:ascii="仿宋" w:hAnsi="仿宋" w:eastAsia="仿宋" w:cs="仿宋"/>
                <w:sz w:val="24"/>
                <w:szCs w:val="24"/>
              </w:rPr>
            </w:pPr>
          </w:p>
        </w:tc>
        <w:tc>
          <w:tcPr>
            <w:tcW w:w="2984" w:type="dxa"/>
            <w:gridSpan w:val="5"/>
            <w:vMerge w:val="continue"/>
            <w:tcBorders>
              <w:right w:val="single" w:color="000000" w:sz="4" w:space="0"/>
            </w:tcBorders>
            <w:noWrap w:val="0"/>
            <w:vAlign w:val="center"/>
          </w:tcPr>
          <w:p w14:paraId="131F1B7F">
            <w:pPr>
              <w:tabs>
                <w:tab w:val="left" w:pos="720"/>
              </w:tabs>
              <w:adjustRightInd w:val="0"/>
              <w:snapToGrid w:val="0"/>
              <w:jc w:val="center"/>
              <w:rPr>
                <w:rFonts w:hint="eastAsia" w:ascii="仿宋" w:hAnsi="仿宋" w:eastAsia="仿宋" w:cs="仿宋"/>
                <w:kern w:val="0"/>
                <w:sz w:val="24"/>
                <w:szCs w:val="24"/>
              </w:rPr>
            </w:pPr>
          </w:p>
        </w:tc>
        <w:tc>
          <w:tcPr>
            <w:tcW w:w="1103" w:type="dxa"/>
            <w:tcBorders>
              <w:left w:val="single" w:color="000000" w:sz="4" w:space="0"/>
            </w:tcBorders>
            <w:noWrap w:val="0"/>
            <w:vAlign w:val="center"/>
          </w:tcPr>
          <w:p w14:paraId="07BE3148">
            <w:pPr>
              <w:tabs>
                <w:tab w:val="left" w:pos="720"/>
              </w:tabs>
              <w:adjustRightInd w:val="0"/>
              <w:snapToGrid w:val="0"/>
              <w:jc w:val="center"/>
              <w:rPr>
                <w:rFonts w:hint="eastAsia" w:ascii="仿宋" w:hAnsi="仿宋" w:eastAsia="仿宋" w:cs="仿宋"/>
                <w:sz w:val="24"/>
                <w:szCs w:val="24"/>
              </w:rPr>
            </w:pPr>
            <w:r>
              <w:rPr>
                <w:rFonts w:hint="eastAsia" w:ascii="仿宋" w:hAnsi="仿宋" w:eastAsia="仿宋" w:cs="仿宋"/>
                <w:sz w:val="24"/>
                <w:szCs w:val="24"/>
                <w:lang w:eastAsia="zh-Hans"/>
              </w:rPr>
              <w:t>平时</w:t>
            </w:r>
            <w:r>
              <w:rPr>
                <w:rFonts w:hint="eastAsia" w:ascii="仿宋" w:hAnsi="仿宋" w:eastAsia="仿宋" w:cs="仿宋"/>
                <w:sz w:val="24"/>
                <w:szCs w:val="24"/>
              </w:rPr>
              <w:t>作业评分占比（</w:t>
            </w:r>
            <w:r>
              <w:rPr>
                <w:rFonts w:hint="default" w:ascii="仿宋" w:hAnsi="仿宋" w:eastAsia="仿宋" w:cs="仿宋"/>
                <w:sz w:val="24"/>
                <w:szCs w:val="24"/>
              </w:rPr>
              <w:t>2</w:t>
            </w:r>
            <w:r>
              <w:rPr>
                <w:rFonts w:ascii="仿宋" w:hAnsi="仿宋" w:eastAsia="仿宋" w:cs="仿宋"/>
                <w:sz w:val="24"/>
                <w:szCs w:val="24"/>
              </w:rPr>
              <w:t>5</w:t>
            </w:r>
            <w:r>
              <w:rPr>
                <w:rFonts w:hint="eastAsia" w:ascii="仿宋" w:hAnsi="仿宋" w:eastAsia="仿宋" w:cs="仿宋"/>
                <w:sz w:val="24"/>
                <w:szCs w:val="24"/>
              </w:rPr>
              <w:t>%）</w:t>
            </w:r>
          </w:p>
        </w:tc>
        <w:tc>
          <w:tcPr>
            <w:tcW w:w="1031" w:type="dxa"/>
            <w:gridSpan w:val="2"/>
            <w:tcBorders>
              <w:bottom w:val="single" w:color="auto" w:sz="4" w:space="0"/>
            </w:tcBorders>
            <w:noWrap w:val="0"/>
            <w:vAlign w:val="center"/>
          </w:tcPr>
          <w:p w14:paraId="2F19D5F3">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期中</w:t>
            </w:r>
            <w:r>
              <w:rPr>
                <w:rFonts w:hint="eastAsia" w:ascii="仿宋" w:hAnsi="仿宋" w:eastAsia="仿宋" w:cs="仿宋"/>
                <w:kern w:val="0"/>
                <w:sz w:val="24"/>
                <w:szCs w:val="24"/>
                <w:lang w:val="en-US" w:eastAsia="zh-Hans"/>
              </w:rPr>
              <w:t>考核</w:t>
            </w:r>
            <w:r>
              <w:rPr>
                <w:rFonts w:hint="eastAsia" w:ascii="仿宋" w:hAnsi="仿宋" w:eastAsia="仿宋" w:cs="仿宋"/>
                <w:kern w:val="0"/>
                <w:sz w:val="24"/>
                <w:szCs w:val="24"/>
              </w:rPr>
              <w:t>评分占比（</w:t>
            </w:r>
            <w:r>
              <w:rPr>
                <w:rFonts w:hint="default" w:ascii="仿宋" w:hAnsi="仿宋" w:eastAsia="仿宋" w:cs="仿宋"/>
                <w:kern w:val="0"/>
                <w:sz w:val="24"/>
                <w:szCs w:val="24"/>
              </w:rPr>
              <w:t>25</w:t>
            </w:r>
            <w:r>
              <w:rPr>
                <w:rFonts w:ascii="仿宋" w:hAnsi="仿宋" w:eastAsia="仿宋" w:cs="仿宋"/>
                <w:kern w:val="0"/>
                <w:sz w:val="24"/>
                <w:szCs w:val="24"/>
              </w:rPr>
              <w:t>%</w:t>
            </w:r>
            <w:r>
              <w:rPr>
                <w:rFonts w:hint="eastAsia" w:ascii="仿宋" w:hAnsi="仿宋" w:eastAsia="仿宋" w:cs="仿宋"/>
                <w:kern w:val="0"/>
                <w:sz w:val="24"/>
                <w:szCs w:val="24"/>
              </w:rPr>
              <w:t>）</w:t>
            </w:r>
          </w:p>
        </w:tc>
        <w:tc>
          <w:tcPr>
            <w:tcW w:w="1033" w:type="dxa"/>
            <w:gridSpan w:val="2"/>
            <w:tcBorders>
              <w:left w:val="single" w:color="000000" w:sz="4" w:space="0"/>
              <w:bottom w:val="single" w:color="auto" w:sz="4" w:space="0"/>
              <w:right w:val="single" w:color="000000" w:sz="4" w:space="0"/>
            </w:tcBorders>
            <w:noWrap w:val="0"/>
            <w:vAlign w:val="center"/>
          </w:tcPr>
          <w:p w14:paraId="68E9C6F7">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期末考试评分占比（50%）</w:t>
            </w:r>
          </w:p>
        </w:tc>
        <w:tc>
          <w:tcPr>
            <w:tcW w:w="739" w:type="dxa"/>
            <w:vMerge w:val="continue"/>
            <w:tcBorders>
              <w:left w:val="single" w:color="000000" w:sz="4" w:space="0"/>
              <w:bottom w:val="single" w:color="auto" w:sz="4" w:space="0"/>
            </w:tcBorders>
            <w:noWrap w:val="0"/>
            <w:vAlign w:val="center"/>
          </w:tcPr>
          <w:p w14:paraId="1AB5A888">
            <w:pPr>
              <w:tabs>
                <w:tab w:val="left" w:pos="720"/>
              </w:tabs>
              <w:adjustRightInd w:val="0"/>
              <w:snapToGrid w:val="0"/>
              <w:jc w:val="center"/>
              <w:rPr>
                <w:rFonts w:hint="eastAsia" w:ascii="仿宋" w:hAnsi="仿宋" w:eastAsia="仿宋" w:cs="仿宋"/>
                <w:sz w:val="24"/>
                <w:szCs w:val="24"/>
              </w:rPr>
            </w:pPr>
          </w:p>
        </w:tc>
      </w:tr>
      <w:tr w14:paraId="6FA2BCF0">
        <w:trPr>
          <w:trHeight w:val="794" w:hRule="atLeast"/>
          <w:jc w:val="center"/>
        </w:trPr>
        <w:tc>
          <w:tcPr>
            <w:tcW w:w="1376" w:type="dxa"/>
            <w:vMerge w:val="continue"/>
            <w:noWrap w:val="0"/>
            <w:vAlign w:val="center"/>
          </w:tcPr>
          <w:p w14:paraId="20F5533A">
            <w:pPr>
              <w:adjustRightInd w:val="0"/>
              <w:snapToGrid w:val="0"/>
              <w:spacing w:line="240" w:lineRule="atLeast"/>
              <w:jc w:val="center"/>
              <w:rPr>
                <w:rFonts w:hint="eastAsia" w:ascii="仿宋" w:hAnsi="仿宋" w:eastAsia="仿宋" w:cs="仿宋"/>
                <w:color w:val="000000"/>
                <w:sz w:val="24"/>
                <w:szCs w:val="24"/>
                <w:lang w:eastAsia="zh-TW"/>
              </w:rPr>
            </w:pPr>
          </w:p>
        </w:tc>
        <w:tc>
          <w:tcPr>
            <w:tcW w:w="1032" w:type="dxa"/>
            <w:tcBorders>
              <w:bottom w:val="single" w:color="auto" w:sz="4" w:space="0"/>
            </w:tcBorders>
            <w:noWrap w:val="0"/>
            <w:vAlign w:val="center"/>
          </w:tcPr>
          <w:p w14:paraId="6731F9E3">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课程目标1（</w:t>
            </w:r>
            <w:r>
              <w:rPr>
                <w:rFonts w:ascii="仿宋" w:hAnsi="仿宋" w:eastAsia="仿宋" w:cs="仿宋"/>
                <w:kern w:val="0"/>
                <w:sz w:val="24"/>
                <w:szCs w:val="24"/>
              </w:rPr>
              <w:t>4</w:t>
            </w:r>
            <w:r>
              <w:rPr>
                <w:rFonts w:hint="eastAsia" w:ascii="仿宋" w:hAnsi="仿宋" w:eastAsia="仿宋" w:cs="仿宋"/>
                <w:kern w:val="0"/>
                <w:sz w:val="24"/>
                <w:szCs w:val="24"/>
              </w:rPr>
              <w:t>0%）</w:t>
            </w:r>
          </w:p>
        </w:tc>
        <w:tc>
          <w:tcPr>
            <w:tcW w:w="2984" w:type="dxa"/>
            <w:gridSpan w:val="5"/>
            <w:tcBorders>
              <w:bottom w:val="single" w:color="auto" w:sz="4" w:space="0"/>
              <w:right w:val="single" w:color="000000" w:sz="4" w:space="0"/>
            </w:tcBorders>
            <w:noWrap w:val="0"/>
            <w:vAlign w:val="center"/>
          </w:tcPr>
          <w:p w14:paraId="2840EFA6">
            <w:pPr>
              <w:widowControl/>
              <w:autoSpaceDE w:val="0"/>
              <w:autoSpaceDN w:val="0"/>
              <w:adjustRightInd w:val="0"/>
              <w:snapToGrid w:val="0"/>
              <w:jc w:val="left"/>
              <w:textAlignment w:val="bottom"/>
              <w:rPr>
                <w:rFonts w:hint="eastAsia" w:ascii="仿宋" w:hAnsi="仿宋" w:eastAsia="仿宋" w:cs="仿宋"/>
                <w:sz w:val="24"/>
                <w:szCs w:val="24"/>
              </w:rPr>
            </w:pPr>
            <w:r>
              <w:rPr>
                <w:rFonts w:hint="eastAsia" w:ascii="仿宋" w:hAnsi="仿宋" w:eastAsia="仿宋" w:cs="仿宋"/>
                <w:sz w:val="24"/>
                <w:szCs w:val="24"/>
              </w:rPr>
              <w:t>1.对中国音乐史的基本知识点的掌握。</w:t>
            </w:r>
          </w:p>
          <w:p w14:paraId="7D1C0D87">
            <w:pPr>
              <w:adjustRightInd w:val="0"/>
              <w:snapToGrid w:val="0"/>
              <w:jc w:val="left"/>
              <w:rPr>
                <w:rFonts w:hint="eastAsia" w:ascii="仿宋" w:hAnsi="仿宋" w:eastAsia="仿宋" w:cs="仿宋"/>
                <w:kern w:val="0"/>
                <w:sz w:val="24"/>
                <w:szCs w:val="24"/>
              </w:rPr>
            </w:pPr>
            <w:r>
              <w:rPr>
                <w:rFonts w:ascii="仿宋" w:hAnsi="仿宋" w:eastAsia="仿宋" w:cs="仿宋"/>
                <w:sz w:val="24"/>
                <w:szCs w:val="24"/>
              </w:rPr>
              <w:t>2</w:t>
            </w:r>
            <w:r>
              <w:rPr>
                <w:rFonts w:hint="eastAsia" w:ascii="仿宋" w:hAnsi="仿宋" w:eastAsia="仿宋" w:cs="仿宋"/>
                <w:sz w:val="24"/>
                <w:szCs w:val="24"/>
              </w:rPr>
              <w:t>.掌握</w:t>
            </w:r>
            <w:r>
              <w:rPr>
                <w:rFonts w:hint="eastAsia" w:ascii="仿宋" w:hAnsi="仿宋" w:eastAsia="仿宋" w:cs="仿宋"/>
                <w:kern w:val="0"/>
                <w:sz w:val="24"/>
                <w:szCs w:val="24"/>
              </w:rPr>
              <w:t>中国音乐各个时期、各个不同阶段的音乐文化，包括音乐现象、音乐作品、音乐流派等知识点</w:t>
            </w:r>
            <w:r>
              <w:rPr>
                <w:rFonts w:hint="eastAsia" w:ascii="仿宋" w:hAnsi="仿宋" w:eastAsia="仿宋" w:cs="仿宋"/>
                <w:sz w:val="24"/>
                <w:szCs w:val="24"/>
              </w:rPr>
              <w:t>。</w:t>
            </w:r>
          </w:p>
        </w:tc>
        <w:tc>
          <w:tcPr>
            <w:tcW w:w="1103" w:type="dxa"/>
            <w:tcBorders>
              <w:left w:val="single" w:color="000000" w:sz="4" w:space="0"/>
              <w:bottom w:val="single" w:color="auto" w:sz="4" w:space="0"/>
            </w:tcBorders>
            <w:noWrap w:val="0"/>
            <w:vAlign w:val="center"/>
          </w:tcPr>
          <w:p w14:paraId="70991026">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1</w:t>
            </w:r>
            <w:r>
              <w:rPr>
                <w:rFonts w:hint="default" w:ascii="仿宋" w:hAnsi="仿宋" w:eastAsia="仿宋" w:cs="仿宋"/>
                <w:kern w:val="0"/>
                <w:sz w:val="24"/>
                <w:szCs w:val="24"/>
              </w:rPr>
              <w:t>0</w:t>
            </w:r>
          </w:p>
        </w:tc>
        <w:tc>
          <w:tcPr>
            <w:tcW w:w="1031" w:type="dxa"/>
            <w:gridSpan w:val="2"/>
            <w:tcBorders>
              <w:bottom w:val="single" w:color="auto" w:sz="4" w:space="0"/>
              <w:right w:val="single" w:color="auto" w:sz="4" w:space="0"/>
            </w:tcBorders>
            <w:noWrap w:val="0"/>
            <w:vAlign w:val="center"/>
          </w:tcPr>
          <w:p w14:paraId="3B1DE672">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1</w:t>
            </w:r>
            <w:r>
              <w:rPr>
                <w:rFonts w:hint="default" w:ascii="仿宋" w:hAnsi="仿宋" w:eastAsia="仿宋" w:cs="仿宋"/>
                <w:kern w:val="0"/>
                <w:sz w:val="24"/>
                <w:szCs w:val="24"/>
              </w:rPr>
              <w:t>0</w:t>
            </w:r>
          </w:p>
        </w:tc>
        <w:tc>
          <w:tcPr>
            <w:tcW w:w="1033" w:type="dxa"/>
            <w:gridSpan w:val="2"/>
            <w:tcBorders>
              <w:left w:val="single" w:color="000000" w:sz="4" w:space="0"/>
              <w:bottom w:val="single" w:color="auto" w:sz="4" w:space="0"/>
              <w:right w:val="single" w:color="auto" w:sz="4" w:space="0"/>
            </w:tcBorders>
            <w:noWrap w:val="0"/>
            <w:vAlign w:val="center"/>
          </w:tcPr>
          <w:p w14:paraId="05CF0E7B">
            <w:pPr>
              <w:tabs>
                <w:tab w:val="left" w:pos="720"/>
              </w:tabs>
              <w:adjustRightInd w:val="0"/>
              <w:snapToGrid w:val="0"/>
              <w:jc w:val="center"/>
              <w:rPr>
                <w:rFonts w:ascii="仿宋" w:hAnsi="仿宋" w:eastAsia="仿宋" w:cs="仿宋"/>
                <w:kern w:val="0"/>
                <w:sz w:val="24"/>
                <w:szCs w:val="24"/>
              </w:rPr>
            </w:pPr>
            <w:r>
              <w:rPr>
                <w:rFonts w:ascii="仿宋" w:hAnsi="仿宋" w:eastAsia="仿宋" w:cs="仿宋"/>
                <w:kern w:val="0"/>
                <w:sz w:val="24"/>
                <w:szCs w:val="24"/>
              </w:rPr>
              <w:t>2</w:t>
            </w:r>
            <w:r>
              <w:rPr>
                <w:rFonts w:hint="eastAsia" w:ascii="仿宋" w:hAnsi="仿宋" w:eastAsia="仿宋" w:cs="仿宋"/>
                <w:kern w:val="0"/>
                <w:sz w:val="24"/>
                <w:szCs w:val="24"/>
              </w:rPr>
              <w:t>0</w:t>
            </w:r>
          </w:p>
        </w:tc>
        <w:tc>
          <w:tcPr>
            <w:tcW w:w="739" w:type="dxa"/>
            <w:tcBorders>
              <w:left w:val="single" w:color="auto" w:sz="4" w:space="0"/>
              <w:bottom w:val="single" w:color="auto" w:sz="4" w:space="0"/>
            </w:tcBorders>
            <w:noWrap w:val="0"/>
            <w:vAlign w:val="center"/>
          </w:tcPr>
          <w:p w14:paraId="12D9D1F5">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0.</w:t>
            </w:r>
            <w:r>
              <w:rPr>
                <w:rFonts w:hint="default" w:ascii="仿宋" w:hAnsi="仿宋" w:eastAsia="仿宋" w:cs="仿宋"/>
                <w:kern w:val="0"/>
                <w:sz w:val="24"/>
                <w:szCs w:val="24"/>
              </w:rPr>
              <w:t>6</w:t>
            </w:r>
            <w:r>
              <w:rPr>
                <w:rFonts w:ascii="仿宋" w:hAnsi="仿宋" w:eastAsia="仿宋" w:cs="仿宋"/>
                <w:kern w:val="0"/>
                <w:sz w:val="24"/>
                <w:szCs w:val="24"/>
              </w:rPr>
              <w:t>5</w:t>
            </w:r>
          </w:p>
        </w:tc>
      </w:tr>
      <w:tr w14:paraId="48E7AC3A">
        <w:trPr>
          <w:trHeight w:val="794" w:hRule="atLeast"/>
          <w:jc w:val="center"/>
        </w:trPr>
        <w:tc>
          <w:tcPr>
            <w:tcW w:w="1376" w:type="dxa"/>
            <w:vMerge w:val="continue"/>
            <w:noWrap w:val="0"/>
            <w:vAlign w:val="center"/>
          </w:tcPr>
          <w:p w14:paraId="7CA5765A">
            <w:pPr>
              <w:adjustRightInd w:val="0"/>
              <w:snapToGrid w:val="0"/>
              <w:spacing w:line="240" w:lineRule="atLeast"/>
              <w:jc w:val="center"/>
              <w:rPr>
                <w:rFonts w:hint="eastAsia" w:ascii="仿宋" w:hAnsi="仿宋" w:eastAsia="仿宋" w:cs="仿宋"/>
                <w:color w:val="000000"/>
                <w:sz w:val="24"/>
                <w:szCs w:val="24"/>
                <w:lang w:eastAsia="zh-TW"/>
              </w:rPr>
            </w:pPr>
          </w:p>
        </w:tc>
        <w:tc>
          <w:tcPr>
            <w:tcW w:w="1032" w:type="dxa"/>
            <w:noWrap w:val="0"/>
            <w:vAlign w:val="center"/>
          </w:tcPr>
          <w:p w14:paraId="76302B31">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课程目标2（</w:t>
            </w:r>
            <w:r>
              <w:rPr>
                <w:rFonts w:ascii="仿宋" w:hAnsi="仿宋" w:eastAsia="仿宋" w:cs="仿宋"/>
                <w:kern w:val="0"/>
                <w:sz w:val="24"/>
                <w:szCs w:val="24"/>
              </w:rPr>
              <w:t>40</w:t>
            </w:r>
            <w:r>
              <w:rPr>
                <w:rFonts w:hint="eastAsia" w:ascii="仿宋" w:hAnsi="仿宋" w:eastAsia="仿宋" w:cs="仿宋"/>
                <w:kern w:val="0"/>
                <w:sz w:val="24"/>
                <w:szCs w:val="24"/>
              </w:rPr>
              <w:t>%）</w:t>
            </w:r>
          </w:p>
        </w:tc>
        <w:tc>
          <w:tcPr>
            <w:tcW w:w="2984" w:type="dxa"/>
            <w:gridSpan w:val="5"/>
            <w:tcBorders>
              <w:right w:val="single" w:color="000000" w:sz="4" w:space="0"/>
            </w:tcBorders>
            <w:noWrap w:val="0"/>
            <w:vAlign w:val="center"/>
          </w:tcPr>
          <w:p w14:paraId="699281A7">
            <w:pPr>
              <w:numPr>
                <w:ilvl w:val="0"/>
                <w:numId w:val="12"/>
              </w:numPr>
              <w:adjustRightInd w:val="0"/>
              <w:snapToGrid w:val="0"/>
              <w:jc w:val="left"/>
              <w:rPr>
                <w:rFonts w:ascii="仿宋" w:hAnsi="仿宋" w:eastAsia="仿宋" w:cs="仿宋"/>
                <w:kern w:val="0"/>
                <w:sz w:val="24"/>
                <w:szCs w:val="24"/>
              </w:rPr>
            </w:pPr>
            <w:r>
              <w:rPr>
                <w:rFonts w:hint="eastAsia" w:ascii="仿宋" w:hAnsi="仿宋" w:eastAsia="仿宋" w:cs="仿宋"/>
                <w:kern w:val="0"/>
                <w:sz w:val="24"/>
                <w:szCs w:val="24"/>
              </w:rPr>
              <w:t>能够利用课程所学知识分析和解决音乐问题</w:t>
            </w:r>
            <w:r>
              <w:rPr>
                <w:rFonts w:ascii="仿宋" w:hAnsi="仿宋" w:eastAsia="仿宋" w:cs="仿宋"/>
                <w:kern w:val="0"/>
                <w:sz w:val="24"/>
                <w:szCs w:val="24"/>
              </w:rPr>
              <w:t>，</w:t>
            </w:r>
            <w:r>
              <w:rPr>
                <w:rFonts w:hint="eastAsia" w:ascii="仿宋" w:hAnsi="仿宋" w:eastAsia="仿宋" w:cs="仿宋"/>
                <w:kern w:val="0"/>
                <w:sz w:val="24"/>
                <w:szCs w:val="24"/>
              </w:rPr>
              <w:t>应用于艺术实践领域</w:t>
            </w:r>
            <w:r>
              <w:rPr>
                <w:rFonts w:ascii="仿宋" w:hAnsi="仿宋" w:eastAsia="仿宋" w:cs="仿宋"/>
                <w:kern w:val="0"/>
                <w:sz w:val="24"/>
                <w:szCs w:val="24"/>
              </w:rPr>
              <w:t>。</w:t>
            </w:r>
          </w:p>
          <w:p w14:paraId="0928CFC1">
            <w:pPr>
              <w:numPr>
                <w:ilvl w:val="0"/>
                <w:numId w:val="12"/>
              </w:numPr>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lang w:eastAsia="zh-Hans"/>
              </w:rPr>
              <w:t>具有传承传统音乐文化意识</w:t>
            </w:r>
            <w:r>
              <w:rPr>
                <w:rFonts w:hint="eastAsia" w:ascii="仿宋" w:hAnsi="仿宋" w:eastAsia="仿宋" w:cs="仿宋"/>
                <w:kern w:val="0"/>
                <w:sz w:val="24"/>
                <w:szCs w:val="24"/>
              </w:rPr>
              <w:t>。</w:t>
            </w:r>
          </w:p>
        </w:tc>
        <w:tc>
          <w:tcPr>
            <w:tcW w:w="1103" w:type="dxa"/>
            <w:tcBorders>
              <w:left w:val="single" w:color="000000" w:sz="4" w:space="0"/>
            </w:tcBorders>
            <w:noWrap w:val="0"/>
            <w:vAlign w:val="center"/>
          </w:tcPr>
          <w:p w14:paraId="5F00B047">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1</w:t>
            </w:r>
            <w:r>
              <w:rPr>
                <w:rFonts w:hint="default" w:ascii="仿宋" w:hAnsi="仿宋" w:eastAsia="仿宋" w:cs="仿宋"/>
                <w:kern w:val="0"/>
                <w:sz w:val="24"/>
                <w:szCs w:val="24"/>
              </w:rPr>
              <w:t>0</w:t>
            </w:r>
          </w:p>
        </w:tc>
        <w:tc>
          <w:tcPr>
            <w:tcW w:w="1031" w:type="dxa"/>
            <w:gridSpan w:val="2"/>
            <w:tcBorders>
              <w:bottom w:val="single" w:color="000000" w:sz="4" w:space="0"/>
            </w:tcBorders>
            <w:noWrap w:val="0"/>
            <w:vAlign w:val="center"/>
          </w:tcPr>
          <w:p w14:paraId="12BB077F">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1</w:t>
            </w:r>
            <w:r>
              <w:rPr>
                <w:rFonts w:hint="default" w:ascii="仿宋" w:hAnsi="仿宋" w:eastAsia="仿宋" w:cs="仿宋"/>
                <w:kern w:val="0"/>
                <w:sz w:val="24"/>
                <w:szCs w:val="24"/>
              </w:rPr>
              <w:t>0</w:t>
            </w:r>
          </w:p>
        </w:tc>
        <w:tc>
          <w:tcPr>
            <w:tcW w:w="1033" w:type="dxa"/>
            <w:gridSpan w:val="2"/>
            <w:tcBorders>
              <w:left w:val="single" w:color="000000" w:sz="4" w:space="0"/>
              <w:bottom w:val="single" w:color="000000" w:sz="4" w:space="0"/>
              <w:right w:val="single" w:color="000000" w:sz="4" w:space="0"/>
            </w:tcBorders>
            <w:noWrap w:val="0"/>
            <w:vAlign w:val="center"/>
          </w:tcPr>
          <w:p w14:paraId="25942823">
            <w:pPr>
              <w:tabs>
                <w:tab w:val="left" w:pos="720"/>
              </w:tabs>
              <w:adjustRightInd w:val="0"/>
              <w:snapToGrid w:val="0"/>
              <w:jc w:val="center"/>
              <w:rPr>
                <w:rFonts w:ascii="仿宋" w:hAnsi="仿宋" w:eastAsia="仿宋" w:cs="仿宋"/>
                <w:kern w:val="0"/>
                <w:sz w:val="24"/>
                <w:szCs w:val="24"/>
              </w:rPr>
            </w:pPr>
            <w:r>
              <w:rPr>
                <w:rFonts w:ascii="仿宋" w:hAnsi="仿宋" w:eastAsia="仿宋" w:cs="仿宋"/>
                <w:kern w:val="0"/>
                <w:sz w:val="24"/>
                <w:szCs w:val="24"/>
              </w:rPr>
              <w:t>2</w:t>
            </w:r>
            <w:r>
              <w:rPr>
                <w:rFonts w:hint="eastAsia" w:ascii="仿宋" w:hAnsi="仿宋" w:eastAsia="仿宋" w:cs="仿宋"/>
                <w:kern w:val="0"/>
                <w:sz w:val="24"/>
                <w:szCs w:val="24"/>
              </w:rPr>
              <w:t>0</w:t>
            </w:r>
          </w:p>
        </w:tc>
        <w:tc>
          <w:tcPr>
            <w:tcW w:w="739" w:type="dxa"/>
            <w:tcBorders>
              <w:left w:val="single" w:color="000000" w:sz="4" w:space="0"/>
              <w:bottom w:val="single" w:color="000000" w:sz="4" w:space="0"/>
            </w:tcBorders>
            <w:noWrap w:val="0"/>
            <w:vAlign w:val="center"/>
          </w:tcPr>
          <w:p w14:paraId="06A31E02">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0.</w:t>
            </w:r>
            <w:r>
              <w:rPr>
                <w:rFonts w:hint="default" w:ascii="仿宋" w:hAnsi="仿宋" w:eastAsia="仿宋" w:cs="仿宋"/>
                <w:kern w:val="0"/>
                <w:sz w:val="24"/>
                <w:szCs w:val="24"/>
              </w:rPr>
              <w:t>6</w:t>
            </w:r>
            <w:r>
              <w:rPr>
                <w:rFonts w:ascii="仿宋" w:hAnsi="仿宋" w:eastAsia="仿宋" w:cs="仿宋"/>
                <w:kern w:val="0"/>
                <w:sz w:val="24"/>
                <w:szCs w:val="24"/>
              </w:rPr>
              <w:t>5</w:t>
            </w:r>
          </w:p>
        </w:tc>
      </w:tr>
      <w:tr w14:paraId="7E843154">
        <w:trPr>
          <w:trHeight w:val="794" w:hRule="atLeast"/>
          <w:jc w:val="center"/>
        </w:trPr>
        <w:tc>
          <w:tcPr>
            <w:tcW w:w="1376" w:type="dxa"/>
            <w:vMerge w:val="continue"/>
            <w:noWrap w:val="0"/>
            <w:vAlign w:val="center"/>
          </w:tcPr>
          <w:p w14:paraId="4C271B75">
            <w:pPr>
              <w:adjustRightInd w:val="0"/>
              <w:snapToGrid w:val="0"/>
              <w:spacing w:line="240" w:lineRule="atLeast"/>
              <w:jc w:val="center"/>
              <w:rPr>
                <w:rFonts w:hint="eastAsia" w:ascii="仿宋" w:hAnsi="仿宋" w:eastAsia="仿宋" w:cs="仿宋"/>
                <w:color w:val="000000"/>
                <w:sz w:val="24"/>
                <w:szCs w:val="24"/>
                <w:lang w:eastAsia="zh-TW"/>
              </w:rPr>
            </w:pPr>
          </w:p>
        </w:tc>
        <w:tc>
          <w:tcPr>
            <w:tcW w:w="1032" w:type="dxa"/>
            <w:tcBorders>
              <w:bottom w:val="single" w:color="auto" w:sz="4" w:space="0"/>
            </w:tcBorders>
            <w:noWrap w:val="0"/>
            <w:vAlign w:val="center"/>
          </w:tcPr>
          <w:p w14:paraId="02673BDC">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课程目标3（</w:t>
            </w:r>
            <w:r>
              <w:rPr>
                <w:rFonts w:ascii="仿宋" w:hAnsi="仿宋" w:eastAsia="仿宋" w:cs="仿宋"/>
                <w:kern w:val="0"/>
                <w:sz w:val="24"/>
                <w:szCs w:val="24"/>
              </w:rPr>
              <w:t>20</w:t>
            </w:r>
            <w:r>
              <w:rPr>
                <w:rFonts w:hint="eastAsia" w:ascii="仿宋" w:hAnsi="仿宋" w:eastAsia="仿宋" w:cs="仿宋"/>
                <w:kern w:val="0"/>
                <w:sz w:val="24"/>
                <w:szCs w:val="24"/>
              </w:rPr>
              <w:t>%）</w:t>
            </w:r>
          </w:p>
        </w:tc>
        <w:tc>
          <w:tcPr>
            <w:tcW w:w="2984" w:type="dxa"/>
            <w:gridSpan w:val="5"/>
            <w:tcBorders>
              <w:bottom w:val="single" w:color="auto" w:sz="4" w:space="0"/>
              <w:right w:val="single" w:color="000000" w:sz="4" w:space="0"/>
            </w:tcBorders>
            <w:noWrap w:val="0"/>
            <w:vAlign w:val="center"/>
          </w:tcPr>
          <w:p w14:paraId="189E3DF2">
            <w:pPr>
              <w:numPr>
                <w:ilvl w:val="0"/>
                <w:numId w:val="13"/>
              </w:numPr>
              <w:adjustRightInd w:val="0"/>
              <w:snapToGrid w:val="0"/>
              <w:jc w:val="left"/>
              <w:rPr>
                <w:rFonts w:ascii="仿宋" w:hAnsi="仿宋" w:eastAsia="仿宋" w:cs="仿宋"/>
                <w:kern w:val="0"/>
                <w:sz w:val="24"/>
                <w:szCs w:val="24"/>
              </w:rPr>
            </w:pPr>
            <w:r>
              <w:rPr>
                <w:rFonts w:hint="eastAsia" w:ascii="仿宋" w:hAnsi="仿宋" w:eastAsia="仿宋" w:cs="仿宋"/>
                <w:kern w:val="0"/>
                <w:sz w:val="24"/>
                <w:szCs w:val="24"/>
              </w:rPr>
              <w:t>领会音乐教师在立德树人上的工作意义，重视中国音乐史的课程思政的融入</w:t>
            </w:r>
            <w:r>
              <w:rPr>
                <w:rFonts w:ascii="仿宋" w:hAnsi="仿宋" w:eastAsia="仿宋" w:cs="仿宋"/>
                <w:kern w:val="0"/>
                <w:sz w:val="24"/>
                <w:szCs w:val="24"/>
              </w:rPr>
              <w:t>。</w:t>
            </w:r>
          </w:p>
          <w:p w14:paraId="55985FA6">
            <w:pPr>
              <w:numPr>
                <w:ilvl w:val="0"/>
                <w:numId w:val="13"/>
              </w:numPr>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能够对中国音乐史古代、近现代音乐基础理论与实践创作产生研究兴趣</w:t>
            </w:r>
            <w:r>
              <w:rPr>
                <w:rFonts w:ascii="仿宋" w:hAnsi="仿宋" w:eastAsia="仿宋" w:cs="仿宋"/>
                <w:kern w:val="0"/>
                <w:sz w:val="24"/>
                <w:szCs w:val="24"/>
              </w:rPr>
              <w:t>，</w:t>
            </w:r>
            <w:r>
              <w:rPr>
                <w:rFonts w:hint="eastAsia" w:ascii="仿宋" w:hAnsi="仿宋" w:eastAsia="仿宋" w:cs="仿宋"/>
                <w:kern w:val="0"/>
                <w:sz w:val="24"/>
                <w:szCs w:val="24"/>
                <w:lang w:eastAsia="zh-Hans"/>
              </w:rPr>
              <w:t>提高文化自信意识</w:t>
            </w:r>
            <w:r>
              <w:rPr>
                <w:rFonts w:ascii="仿宋" w:hAnsi="仿宋" w:eastAsia="仿宋" w:cs="仿宋"/>
                <w:kern w:val="0"/>
                <w:sz w:val="24"/>
                <w:szCs w:val="24"/>
                <w:lang w:eastAsia="zh-Hans"/>
              </w:rPr>
              <w:t>。</w:t>
            </w:r>
          </w:p>
        </w:tc>
        <w:tc>
          <w:tcPr>
            <w:tcW w:w="1103" w:type="dxa"/>
            <w:tcBorders>
              <w:left w:val="single" w:color="000000" w:sz="4" w:space="0"/>
              <w:bottom w:val="single" w:color="auto" w:sz="4" w:space="0"/>
            </w:tcBorders>
            <w:noWrap w:val="0"/>
            <w:vAlign w:val="center"/>
          </w:tcPr>
          <w:p w14:paraId="62E4172D">
            <w:pPr>
              <w:adjustRightInd w:val="0"/>
              <w:snapToGrid w:val="0"/>
              <w:jc w:val="center"/>
              <w:rPr>
                <w:rFonts w:hint="eastAsia" w:ascii="仿宋" w:hAnsi="仿宋" w:eastAsia="仿宋" w:cs="仿宋"/>
                <w:kern w:val="0"/>
                <w:sz w:val="24"/>
                <w:szCs w:val="24"/>
              </w:rPr>
            </w:pPr>
            <w:r>
              <w:rPr>
                <w:rFonts w:hint="default" w:ascii="仿宋" w:hAnsi="仿宋" w:eastAsia="仿宋" w:cs="仿宋"/>
                <w:kern w:val="0"/>
                <w:sz w:val="24"/>
                <w:szCs w:val="24"/>
              </w:rPr>
              <w:t>5</w:t>
            </w:r>
          </w:p>
        </w:tc>
        <w:tc>
          <w:tcPr>
            <w:tcW w:w="1031" w:type="dxa"/>
            <w:gridSpan w:val="2"/>
            <w:tcBorders>
              <w:top w:val="single" w:color="000000" w:sz="4" w:space="0"/>
              <w:bottom w:val="single" w:color="auto" w:sz="4" w:space="0"/>
            </w:tcBorders>
            <w:noWrap w:val="0"/>
            <w:vAlign w:val="center"/>
          </w:tcPr>
          <w:p w14:paraId="1D1D7EEF">
            <w:pPr>
              <w:adjustRightInd w:val="0"/>
              <w:snapToGrid w:val="0"/>
              <w:jc w:val="center"/>
              <w:rPr>
                <w:rFonts w:hint="eastAsia" w:ascii="仿宋" w:hAnsi="仿宋" w:eastAsia="仿宋" w:cs="仿宋"/>
                <w:kern w:val="0"/>
                <w:sz w:val="24"/>
                <w:szCs w:val="24"/>
              </w:rPr>
            </w:pPr>
            <w:r>
              <w:rPr>
                <w:rFonts w:hint="default" w:ascii="仿宋" w:hAnsi="仿宋" w:eastAsia="仿宋" w:cs="仿宋"/>
                <w:kern w:val="0"/>
                <w:sz w:val="24"/>
                <w:szCs w:val="24"/>
              </w:rPr>
              <w:t>5</w:t>
            </w:r>
          </w:p>
        </w:tc>
        <w:tc>
          <w:tcPr>
            <w:tcW w:w="1033" w:type="dxa"/>
            <w:gridSpan w:val="2"/>
            <w:tcBorders>
              <w:top w:val="single" w:color="000000" w:sz="4" w:space="0"/>
              <w:left w:val="single" w:color="000000" w:sz="4" w:space="0"/>
              <w:bottom w:val="single" w:color="auto" w:sz="4" w:space="0"/>
              <w:right w:val="single" w:color="000000" w:sz="4" w:space="0"/>
            </w:tcBorders>
            <w:noWrap w:val="0"/>
            <w:vAlign w:val="center"/>
          </w:tcPr>
          <w:p w14:paraId="5B6ACDEA">
            <w:pPr>
              <w:tabs>
                <w:tab w:val="left" w:pos="720"/>
              </w:tabs>
              <w:adjustRightInd w:val="0"/>
              <w:snapToGrid w:val="0"/>
              <w:jc w:val="center"/>
              <w:rPr>
                <w:rFonts w:hint="eastAsia" w:ascii="仿宋" w:hAnsi="仿宋" w:eastAsia="仿宋" w:cs="仿宋"/>
                <w:kern w:val="0"/>
                <w:sz w:val="24"/>
                <w:szCs w:val="24"/>
              </w:rPr>
            </w:pPr>
            <w:r>
              <w:rPr>
                <w:rFonts w:ascii="仿宋" w:hAnsi="仿宋" w:eastAsia="仿宋" w:cs="仿宋"/>
                <w:kern w:val="0"/>
                <w:sz w:val="24"/>
                <w:szCs w:val="24"/>
              </w:rPr>
              <w:t>1</w:t>
            </w:r>
            <w:r>
              <w:rPr>
                <w:rFonts w:hint="eastAsia" w:ascii="仿宋" w:hAnsi="仿宋" w:eastAsia="仿宋" w:cs="仿宋"/>
                <w:kern w:val="0"/>
                <w:sz w:val="24"/>
                <w:szCs w:val="24"/>
              </w:rPr>
              <w:t>0</w:t>
            </w:r>
          </w:p>
        </w:tc>
        <w:tc>
          <w:tcPr>
            <w:tcW w:w="739" w:type="dxa"/>
            <w:tcBorders>
              <w:top w:val="single" w:color="000000" w:sz="4" w:space="0"/>
              <w:left w:val="single" w:color="000000" w:sz="4" w:space="0"/>
              <w:bottom w:val="single" w:color="auto" w:sz="4" w:space="0"/>
            </w:tcBorders>
            <w:noWrap w:val="0"/>
            <w:vAlign w:val="center"/>
          </w:tcPr>
          <w:p w14:paraId="477A2321">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0.</w:t>
            </w:r>
            <w:r>
              <w:rPr>
                <w:rFonts w:hint="default" w:ascii="仿宋" w:hAnsi="仿宋" w:eastAsia="仿宋" w:cs="仿宋"/>
                <w:kern w:val="0"/>
                <w:sz w:val="24"/>
                <w:szCs w:val="24"/>
              </w:rPr>
              <w:t>6</w:t>
            </w:r>
            <w:r>
              <w:rPr>
                <w:rFonts w:ascii="仿宋" w:hAnsi="仿宋" w:eastAsia="仿宋" w:cs="仿宋"/>
                <w:kern w:val="0"/>
                <w:sz w:val="24"/>
                <w:szCs w:val="24"/>
              </w:rPr>
              <w:t>5</w:t>
            </w:r>
          </w:p>
        </w:tc>
      </w:tr>
      <w:tr w14:paraId="1958A727">
        <w:trPr>
          <w:trHeight w:val="794" w:hRule="atLeast"/>
          <w:jc w:val="center"/>
        </w:trPr>
        <w:tc>
          <w:tcPr>
            <w:tcW w:w="1376" w:type="dxa"/>
            <w:vMerge w:val="continue"/>
            <w:noWrap w:val="0"/>
            <w:vAlign w:val="center"/>
          </w:tcPr>
          <w:p w14:paraId="41599F7D">
            <w:pPr>
              <w:adjustRightInd w:val="0"/>
              <w:snapToGrid w:val="0"/>
              <w:spacing w:line="240" w:lineRule="atLeast"/>
              <w:jc w:val="center"/>
              <w:rPr>
                <w:rFonts w:hint="eastAsia" w:ascii="仿宋" w:hAnsi="仿宋" w:eastAsia="仿宋" w:cs="仿宋"/>
                <w:color w:val="000000"/>
                <w:sz w:val="24"/>
                <w:szCs w:val="24"/>
                <w:lang w:eastAsia="zh-TW"/>
              </w:rPr>
            </w:pPr>
          </w:p>
        </w:tc>
        <w:tc>
          <w:tcPr>
            <w:tcW w:w="4016" w:type="dxa"/>
            <w:gridSpan w:val="6"/>
            <w:tcBorders>
              <w:bottom w:val="single" w:color="auto" w:sz="4" w:space="0"/>
              <w:right w:val="single" w:color="000000" w:sz="4" w:space="0"/>
            </w:tcBorders>
            <w:noWrap w:val="0"/>
            <w:vAlign w:val="center"/>
          </w:tcPr>
          <w:p w14:paraId="0DE55960">
            <w:pPr>
              <w:widowControl/>
              <w:autoSpaceDE w:val="0"/>
              <w:autoSpaceDN w:val="0"/>
              <w:adjustRightInd w:val="0"/>
              <w:snapToGrid w:val="0"/>
              <w:jc w:val="center"/>
              <w:textAlignment w:val="bottom"/>
              <w:rPr>
                <w:rFonts w:hint="eastAsia" w:ascii="仿宋" w:hAnsi="仿宋" w:eastAsia="仿宋" w:cs="仿宋"/>
                <w:sz w:val="24"/>
                <w:szCs w:val="24"/>
              </w:rPr>
            </w:pPr>
            <w:r>
              <w:rPr>
                <w:rFonts w:hint="eastAsia" w:ascii="仿宋" w:hAnsi="仿宋" w:eastAsia="仿宋" w:cs="仿宋"/>
                <w:sz w:val="24"/>
                <w:szCs w:val="24"/>
              </w:rPr>
              <w:t>总分</w:t>
            </w:r>
            <w:r>
              <w:rPr>
                <w:rFonts w:hint="default" w:ascii="仿宋" w:hAnsi="仿宋" w:eastAsia="仿宋" w:cs="仿宋"/>
                <w:sz w:val="24"/>
                <w:szCs w:val="24"/>
              </w:rPr>
              <w:t>100</w:t>
            </w:r>
          </w:p>
        </w:tc>
        <w:tc>
          <w:tcPr>
            <w:tcW w:w="1103" w:type="dxa"/>
            <w:tcBorders>
              <w:left w:val="single" w:color="000000" w:sz="4" w:space="0"/>
              <w:bottom w:val="single" w:color="auto" w:sz="4" w:space="0"/>
            </w:tcBorders>
            <w:noWrap w:val="0"/>
            <w:vAlign w:val="center"/>
          </w:tcPr>
          <w:p w14:paraId="0BA75908">
            <w:pPr>
              <w:adjustRightInd w:val="0"/>
              <w:snapToGrid w:val="0"/>
              <w:jc w:val="center"/>
              <w:rPr>
                <w:rFonts w:hint="eastAsia" w:ascii="仿宋" w:hAnsi="仿宋" w:eastAsia="仿宋" w:cs="仿宋"/>
                <w:kern w:val="0"/>
                <w:sz w:val="24"/>
                <w:szCs w:val="24"/>
              </w:rPr>
            </w:pPr>
            <w:r>
              <w:rPr>
                <w:rFonts w:hint="default" w:ascii="仿宋" w:hAnsi="仿宋" w:eastAsia="仿宋" w:cs="仿宋"/>
                <w:kern w:val="0"/>
                <w:sz w:val="24"/>
                <w:szCs w:val="24"/>
              </w:rPr>
              <w:t>25</w:t>
            </w:r>
          </w:p>
        </w:tc>
        <w:tc>
          <w:tcPr>
            <w:tcW w:w="1031" w:type="dxa"/>
            <w:gridSpan w:val="2"/>
            <w:tcBorders>
              <w:top w:val="single" w:color="000000" w:sz="4" w:space="0"/>
              <w:bottom w:val="single" w:color="auto" w:sz="4" w:space="0"/>
            </w:tcBorders>
            <w:noWrap w:val="0"/>
            <w:vAlign w:val="center"/>
          </w:tcPr>
          <w:p w14:paraId="313F9C08">
            <w:pPr>
              <w:tabs>
                <w:tab w:val="left" w:pos="720"/>
              </w:tabs>
              <w:adjustRightInd w:val="0"/>
              <w:snapToGrid w:val="0"/>
              <w:jc w:val="center"/>
              <w:rPr>
                <w:rFonts w:hint="eastAsia" w:ascii="仿宋" w:hAnsi="仿宋" w:eastAsia="仿宋" w:cs="仿宋"/>
                <w:color w:val="FF0000"/>
                <w:kern w:val="0"/>
                <w:sz w:val="24"/>
                <w:szCs w:val="24"/>
              </w:rPr>
            </w:pPr>
            <w:r>
              <w:rPr>
                <w:rFonts w:hint="default" w:ascii="仿宋" w:hAnsi="仿宋" w:eastAsia="仿宋" w:cs="仿宋"/>
                <w:kern w:val="0"/>
                <w:sz w:val="24"/>
                <w:szCs w:val="24"/>
              </w:rPr>
              <w:t>25</w:t>
            </w:r>
          </w:p>
        </w:tc>
        <w:tc>
          <w:tcPr>
            <w:tcW w:w="1033" w:type="dxa"/>
            <w:gridSpan w:val="2"/>
            <w:tcBorders>
              <w:top w:val="single" w:color="000000" w:sz="4" w:space="0"/>
              <w:left w:val="single" w:color="000000" w:sz="4" w:space="0"/>
              <w:bottom w:val="single" w:color="auto" w:sz="4" w:space="0"/>
              <w:right w:val="single" w:color="000000" w:sz="4" w:space="0"/>
            </w:tcBorders>
            <w:noWrap w:val="0"/>
            <w:vAlign w:val="center"/>
          </w:tcPr>
          <w:p w14:paraId="43C7F871">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5</w:t>
            </w:r>
            <w:r>
              <w:rPr>
                <w:rFonts w:ascii="仿宋" w:hAnsi="仿宋" w:eastAsia="仿宋" w:cs="仿宋"/>
                <w:kern w:val="0"/>
                <w:sz w:val="24"/>
                <w:szCs w:val="24"/>
              </w:rPr>
              <w:t>0</w:t>
            </w:r>
          </w:p>
        </w:tc>
        <w:tc>
          <w:tcPr>
            <w:tcW w:w="739" w:type="dxa"/>
            <w:tcBorders>
              <w:top w:val="single" w:color="000000" w:sz="4" w:space="0"/>
              <w:left w:val="single" w:color="000000" w:sz="4" w:space="0"/>
              <w:bottom w:val="single" w:color="auto" w:sz="4" w:space="0"/>
            </w:tcBorders>
            <w:noWrap w:val="0"/>
            <w:vAlign w:val="center"/>
          </w:tcPr>
          <w:p w14:paraId="25A63A6B">
            <w:pPr>
              <w:tabs>
                <w:tab w:val="left" w:pos="720"/>
              </w:tabs>
              <w:adjustRightInd w:val="0"/>
              <w:snapToGrid w:val="0"/>
              <w:jc w:val="center"/>
              <w:rPr>
                <w:rFonts w:ascii="仿宋" w:hAnsi="仿宋" w:eastAsia="仿宋" w:cs="仿宋"/>
                <w:kern w:val="0"/>
                <w:sz w:val="24"/>
                <w:szCs w:val="24"/>
              </w:rPr>
            </w:pPr>
          </w:p>
        </w:tc>
      </w:tr>
      <w:tr w14:paraId="75BA6515">
        <w:trPr>
          <w:trHeight w:val="794" w:hRule="atLeast"/>
          <w:jc w:val="center"/>
        </w:trPr>
        <w:tc>
          <w:tcPr>
            <w:tcW w:w="1376" w:type="dxa"/>
            <w:noWrap w:val="0"/>
            <w:vAlign w:val="center"/>
          </w:tcPr>
          <w:p w14:paraId="6B306454">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L</w:t>
            </w:r>
          </w:p>
          <w:p w14:paraId="5E8E7BC4">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学习建议</w:t>
            </w:r>
          </w:p>
        </w:tc>
        <w:tc>
          <w:tcPr>
            <w:tcW w:w="7922" w:type="dxa"/>
            <w:gridSpan w:val="12"/>
            <w:tcBorders>
              <w:bottom w:val="single" w:color="auto" w:sz="4" w:space="0"/>
            </w:tcBorders>
            <w:noWrap w:val="0"/>
            <w:vAlign w:val="center"/>
          </w:tcPr>
          <w:p w14:paraId="1DD22241">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1.自主学习。建议学生通过预习教材，并通过网络、图书馆自主查阅课程中涉及的学习资源，独立规划自己的课程学习计划，充分发挥自身的学习能动性。</w:t>
            </w:r>
          </w:p>
          <w:p w14:paraId="5E83C6DF">
            <w:pPr>
              <w:adjustRightInd w:val="0"/>
              <w:snapToGrid w:val="0"/>
              <w:rPr>
                <w:rFonts w:hint="eastAsia" w:ascii="仿宋" w:hAnsi="仿宋" w:eastAsia="仿宋" w:cs="仿宋"/>
                <w:color w:val="4472C4"/>
                <w:kern w:val="0"/>
                <w:sz w:val="24"/>
                <w:szCs w:val="24"/>
              </w:rPr>
            </w:pPr>
            <w:r>
              <w:rPr>
                <w:rFonts w:hint="eastAsia" w:ascii="仿宋" w:hAnsi="仿宋" w:eastAsia="仿宋" w:cs="仿宋"/>
                <w:bCs/>
                <w:sz w:val="24"/>
                <w:szCs w:val="24"/>
              </w:rPr>
              <w:t>2.研究性学习。鼓励学生针对课程教学内容，尝试理论课结合专题报告的教学方式，开展相关的生物化学进展和专题讲座，提高学生的学习兴趣，了解国内外最新生化知识，开阔学生的视野</w:t>
            </w:r>
            <w:r>
              <w:rPr>
                <w:rFonts w:hint="eastAsia" w:ascii="仿宋" w:hAnsi="仿宋" w:eastAsia="仿宋" w:cs="仿宋"/>
                <w:bCs/>
                <w:color w:val="4472C4"/>
                <w:sz w:val="24"/>
                <w:szCs w:val="24"/>
              </w:rPr>
              <w:t>。</w:t>
            </w:r>
          </w:p>
        </w:tc>
      </w:tr>
      <w:tr w14:paraId="2207DABD">
        <w:trPr>
          <w:trHeight w:val="794" w:hRule="atLeast"/>
          <w:jc w:val="center"/>
        </w:trPr>
        <w:tc>
          <w:tcPr>
            <w:tcW w:w="1376" w:type="dxa"/>
            <w:noWrap w:val="0"/>
            <w:vAlign w:val="center"/>
          </w:tcPr>
          <w:p w14:paraId="665227F0">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M</w:t>
            </w:r>
          </w:p>
          <w:p w14:paraId="0EF4DF0F">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评分量表</w:t>
            </w:r>
          </w:p>
        </w:tc>
        <w:tc>
          <w:tcPr>
            <w:tcW w:w="7922" w:type="dxa"/>
            <w:gridSpan w:val="12"/>
            <w:noWrap w:val="0"/>
            <w:vAlign w:val="center"/>
          </w:tcPr>
          <w:p w14:paraId="700CAFC5">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《中国音乐史与欣赏》课程目标评分量表见附表。</w:t>
            </w:r>
          </w:p>
        </w:tc>
      </w:tr>
      <w:tr w14:paraId="1A893370">
        <w:trPr>
          <w:trHeight w:val="794" w:hRule="atLeast"/>
          <w:jc w:val="center"/>
        </w:trPr>
        <w:tc>
          <w:tcPr>
            <w:tcW w:w="1376" w:type="dxa"/>
            <w:noWrap w:val="0"/>
            <w:vAlign w:val="center"/>
          </w:tcPr>
          <w:p w14:paraId="63592C8E">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备注</w:t>
            </w:r>
          </w:p>
        </w:tc>
        <w:tc>
          <w:tcPr>
            <w:tcW w:w="7922" w:type="dxa"/>
            <w:gridSpan w:val="12"/>
            <w:noWrap w:val="0"/>
            <w:vAlign w:val="center"/>
          </w:tcPr>
          <w:p w14:paraId="755893D7">
            <w:pPr>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sz w:val="24"/>
                <w:szCs w:val="24"/>
              </w:rPr>
              <w:t>课程大纲A—M项由开课学院审批通过，任课教师不能自行更改。</w:t>
            </w:r>
          </w:p>
        </w:tc>
      </w:tr>
      <w:tr w14:paraId="06EA1029">
        <w:trPr>
          <w:trHeight w:val="2158" w:hRule="atLeast"/>
          <w:jc w:val="center"/>
        </w:trPr>
        <w:tc>
          <w:tcPr>
            <w:tcW w:w="1376" w:type="dxa"/>
            <w:noWrap w:val="0"/>
            <w:vAlign w:val="center"/>
          </w:tcPr>
          <w:p w14:paraId="63D8775A">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审批</w:t>
            </w:r>
          </w:p>
          <w:p w14:paraId="26857F83">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意见</w:t>
            </w:r>
          </w:p>
        </w:tc>
        <w:tc>
          <w:tcPr>
            <w:tcW w:w="3869" w:type="dxa"/>
            <w:gridSpan w:val="4"/>
            <w:noWrap w:val="0"/>
            <w:vAlign w:val="center"/>
          </w:tcPr>
          <w:p w14:paraId="56E882E7">
            <w:pPr>
              <w:widowControl/>
              <w:adjustRightInd w:val="0"/>
              <w:snapToGrid w:val="0"/>
              <w:jc w:val="left"/>
              <w:rPr>
                <w:rFonts w:hint="eastAsia" w:ascii="仿宋" w:hAnsi="仿宋" w:eastAsia="仿宋" w:cs="仿宋"/>
                <w:kern w:val="0"/>
                <w:sz w:val="24"/>
                <w:szCs w:val="24"/>
              </w:rPr>
            </w:pPr>
            <w:r>
              <w:drawing>
                <wp:anchor distT="0" distB="0" distL="114300" distR="114300" simplePos="0" relativeHeight="251661312" behindDoc="0" locked="0" layoutInCell="1" allowOverlap="1">
                  <wp:simplePos x="0" y="0"/>
                  <wp:positionH relativeFrom="column">
                    <wp:posOffset>711200</wp:posOffset>
                  </wp:positionH>
                  <wp:positionV relativeFrom="paragraph">
                    <wp:posOffset>262255</wp:posOffset>
                  </wp:positionV>
                  <wp:extent cx="1085850" cy="567690"/>
                  <wp:effectExtent l="0" t="0" r="6350" b="16510"/>
                  <wp:wrapNone/>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pic:cNvPicPr>
                            <a:picLocks noChangeAspect="1"/>
                          </pic:cNvPicPr>
                        </pic:nvPicPr>
                        <pic:blipFill>
                          <a:blip r:embed="rId148"/>
                          <a:stretch>
                            <a:fillRect/>
                          </a:stretch>
                        </pic:blipFill>
                        <pic:spPr>
                          <a:xfrm>
                            <a:off x="0" y="0"/>
                            <a:ext cx="1085850" cy="567690"/>
                          </a:xfrm>
                          <a:prstGeom prst="rect">
                            <a:avLst/>
                          </a:prstGeom>
                          <a:noFill/>
                          <a:ln>
                            <a:noFill/>
                          </a:ln>
                        </pic:spPr>
                      </pic:pic>
                    </a:graphicData>
                  </a:graphic>
                </wp:anchor>
              </w:drawing>
            </w:r>
            <w:r>
              <w:rPr>
                <w:rFonts w:hint="eastAsia" w:ascii="仿宋" w:hAnsi="仿宋" w:eastAsia="仿宋" w:cs="仿宋"/>
                <w:kern w:val="0"/>
                <w:sz w:val="24"/>
                <w:szCs w:val="24"/>
              </w:rPr>
              <w:t>课程教学大纲修订负责人及教学团队成员</w:t>
            </w:r>
            <w:r>
              <w:rPr>
                <w:rFonts w:hint="eastAsia" w:ascii="仿宋" w:hAnsi="仿宋" w:eastAsia="仿宋" w:cs="仿宋"/>
                <w:color w:val="000000"/>
                <w:sz w:val="24"/>
                <w:szCs w:val="24"/>
              </w:rPr>
              <w:t>签名</w:t>
            </w:r>
            <w:r>
              <w:rPr>
                <w:rFonts w:hint="eastAsia" w:ascii="仿宋" w:hAnsi="仿宋" w:eastAsia="仿宋" w:cs="仿宋"/>
                <w:kern w:val="0"/>
                <w:sz w:val="24"/>
                <w:szCs w:val="24"/>
              </w:rPr>
              <w:t xml:space="preserve">：   </w:t>
            </w:r>
          </w:p>
          <w:p w14:paraId="1E1982B1">
            <w:pPr>
              <w:widowControl/>
              <w:adjustRightInd w:val="0"/>
              <w:snapToGrid w:val="0"/>
              <w:jc w:val="left"/>
              <w:rPr>
                <w:rFonts w:hint="eastAsia" w:ascii="仿宋" w:hAnsi="仿宋" w:eastAsia="仿宋" w:cs="仿宋"/>
                <w:kern w:val="0"/>
                <w:sz w:val="24"/>
                <w:szCs w:val="24"/>
              </w:rPr>
            </w:pPr>
          </w:p>
          <w:p w14:paraId="14291BB8">
            <w:pPr>
              <w:widowControl/>
              <w:adjustRightInd w:val="0"/>
              <w:snapToGrid w:val="0"/>
              <w:jc w:val="left"/>
              <w:rPr>
                <w:rFonts w:hint="eastAsia" w:ascii="仿宋" w:hAnsi="仿宋" w:eastAsia="仿宋" w:cs="仿宋"/>
                <w:kern w:val="0"/>
                <w:sz w:val="24"/>
                <w:szCs w:val="24"/>
              </w:rPr>
            </w:pPr>
          </w:p>
          <w:p w14:paraId="53D84DE8">
            <w:pPr>
              <w:widowControl/>
              <w:adjustRightInd w:val="0"/>
              <w:snapToGrid w:val="0"/>
              <w:ind w:left="2400" w:hanging="2400" w:hangingChars="1000"/>
              <w:jc w:val="both"/>
              <w:rPr>
                <w:rFonts w:hint="eastAsia" w:ascii="仿宋" w:hAnsi="仿宋" w:eastAsia="仿宋" w:cs="仿宋"/>
                <w:kern w:val="0"/>
                <w:sz w:val="24"/>
                <w:szCs w:val="24"/>
              </w:rPr>
            </w:pPr>
            <w:r>
              <w:rPr>
                <w:rFonts w:hint="eastAsia" w:ascii="仿宋" w:hAnsi="仿宋" w:eastAsia="仿宋" w:cs="仿宋"/>
                <w:kern w:val="0"/>
                <w:sz w:val="24"/>
                <w:szCs w:val="24"/>
              </w:rPr>
              <w:t xml:space="preserve">                                                   年   月   日 </w:t>
            </w:r>
          </w:p>
          <w:p w14:paraId="53AE45F8">
            <w:pPr>
              <w:widowControl/>
              <w:adjustRightInd w:val="0"/>
              <w:snapToGrid w:val="0"/>
              <w:jc w:val="right"/>
              <w:rPr>
                <w:rFonts w:hint="eastAsia" w:ascii="仿宋" w:hAnsi="仿宋" w:eastAsia="仿宋" w:cs="仿宋"/>
                <w:kern w:val="0"/>
                <w:sz w:val="24"/>
                <w:szCs w:val="24"/>
              </w:rPr>
            </w:pPr>
          </w:p>
        </w:tc>
        <w:tc>
          <w:tcPr>
            <w:tcW w:w="4053" w:type="dxa"/>
            <w:gridSpan w:val="8"/>
            <w:noWrap w:val="0"/>
            <w:vAlign w:val="center"/>
          </w:tcPr>
          <w:p w14:paraId="6F32B714">
            <w:pPr>
              <w:widowControl/>
              <w:adjustRightInd w:val="0"/>
              <w:snapToGrid w:val="0"/>
              <w:jc w:val="left"/>
              <w:rPr>
                <w:rFonts w:hint="eastAsia" w:ascii="仿宋" w:hAnsi="仿宋" w:eastAsia="仿宋" w:cs="仿宋"/>
                <w:kern w:val="0"/>
                <w:sz w:val="24"/>
                <w:szCs w:val="24"/>
                <w:lang w:val="en-US" w:eastAsia="zh-Hans"/>
              </w:rPr>
            </w:pPr>
            <w:r>
              <w:rPr>
                <w:rFonts w:hint="eastAsia" w:ascii="仿宋" w:hAnsi="仿宋" w:eastAsia="仿宋" w:cs="仿宋"/>
                <w:kern w:val="0"/>
                <w:sz w:val="24"/>
                <w:szCs w:val="24"/>
              </w:rPr>
              <w:t>系主任审核意见：</w:t>
            </w:r>
            <w:r>
              <w:rPr>
                <w:rFonts w:hint="eastAsia" w:ascii="仿宋" w:hAnsi="仿宋" w:eastAsia="仿宋" w:cs="仿宋"/>
                <w:kern w:val="0"/>
                <w:sz w:val="24"/>
                <w:szCs w:val="24"/>
                <w:lang w:val="en-US" w:eastAsia="zh-Hans"/>
              </w:rPr>
              <w:t>同意</w:t>
            </w:r>
          </w:p>
          <w:p w14:paraId="45BC6339">
            <w:pPr>
              <w:widowControl/>
              <w:adjustRightInd w:val="0"/>
              <w:snapToGrid w:val="0"/>
              <w:jc w:val="left"/>
              <w:rPr>
                <w:rFonts w:hint="eastAsia" w:ascii="仿宋" w:hAnsi="仿宋" w:eastAsia="仿宋" w:cs="仿宋"/>
                <w:kern w:val="0"/>
                <w:sz w:val="24"/>
                <w:szCs w:val="24"/>
              </w:rPr>
            </w:pPr>
          </w:p>
          <w:p w14:paraId="6ECF0E04">
            <w:pPr>
              <w:widowControl/>
              <w:adjustRightInd w:val="0"/>
              <w:snapToGrid w:val="0"/>
              <w:jc w:val="left"/>
              <w:rPr>
                <w:rFonts w:hint="eastAsia" w:ascii="仿宋" w:hAnsi="仿宋" w:eastAsia="仿宋" w:cs="仿宋"/>
                <w:kern w:val="0"/>
                <w:sz w:val="24"/>
                <w:szCs w:val="24"/>
              </w:rPr>
            </w:pPr>
            <w:r>
              <w:drawing>
                <wp:anchor distT="0" distB="0" distL="114300" distR="114300" simplePos="0" relativeHeight="251662336" behindDoc="0" locked="0" layoutInCell="1" allowOverlap="1">
                  <wp:simplePos x="0" y="0"/>
                  <wp:positionH relativeFrom="column">
                    <wp:posOffset>948690</wp:posOffset>
                  </wp:positionH>
                  <wp:positionV relativeFrom="paragraph">
                    <wp:posOffset>63500</wp:posOffset>
                  </wp:positionV>
                  <wp:extent cx="870585" cy="463550"/>
                  <wp:effectExtent l="0" t="0" r="18415" b="19050"/>
                  <wp:wrapNone/>
                  <wp:docPr id="1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0"/>
                          <pic:cNvPicPr>
                            <a:picLocks noChangeAspect="1"/>
                          </pic:cNvPicPr>
                        </pic:nvPicPr>
                        <pic:blipFill>
                          <a:blip r:embed="rId151"/>
                          <a:stretch>
                            <a:fillRect/>
                          </a:stretch>
                        </pic:blipFill>
                        <pic:spPr>
                          <a:xfrm>
                            <a:off x="0" y="0"/>
                            <a:ext cx="870585" cy="463550"/>
                          </a:xfrm>
                          <a:prstGeom prst="rect">
                            <a:avLst/>
                          </a:prstGeom>
                          <a:noFill/>
                          <a:ln>
                            <a:noFill/>
                          </a:ln>
                        </pic:spPr>
                      </pic:pic>
                    </a:graphicData>
                  </a:graphic>
                </wp:anchor>
              </w:drawing>
            </w:r>
          </w:p>
          <w:p w14:paraId="25FB1034">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系主任签名：</w:t>
            </w:r>
          </w:p>
          <w:p w14:paraId="7657A340">
            <w:pPr>
              <w:widowControl/>
              <w:adjustRightInd w:val="0"/>
              <w:snapToGrid w:val="0"/>
              <w:jc w:val="right"/>
              <w:rPr>
                <w:rFonts w:hint="eastAsia" w:ascii="仿宋" w:hAnsi="仿宋" w:eastAsia="仿宋" w:cs="仿宋"/>
                <w:kern w:val="0"/>
                <w:sz w:val="24"/>
                <w:szCs w:val="24"/>
              </w:rPr>
            </w:pPr>
          </w:p>
          <w:p w14:paraId="57D87112">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年   月   日</w:t>
            </w:r>
          </w:p>
          <w:p w14:paraId="19835B76">
            <w:pPr>
              <w:widowControl/>
              <w:adjustRightInd w:val="0"/>
              <w:snapToGrid w:val="0"/>
              <w:jc w:val="right"/>
              <w:rPr>
                <w:rFonts w:hint="eastAsia" w:ascii="仿宋" w:hAnsi="仿宋" w:eastAsia="仿宋" w:cs="仿宋"/>
                <w:kern w:val="0"/>
                <w:sz w:val="24"/>
                <w:szCs w:val="24"/>
              </w:rPr>
            </w:pPr>
          </w:p>
        </w:tc>
      </w:tr>
    </w:tbl>
    <w:p w14:paraId="5F622A4B">
      <w:pPr>
        <w:pageBreakBefore w:val="0"/>
        <w:kinsoku/>
        <w:overflowPunct/>
        <w:topLinePunct w:val="0"/>
        <w:bidi w:val="0"/>
        <w:spacing w:line="240" w:lineRule="auto"/>
        <w:jc w:val="center"/>
        <w:rPr>
          <w:rFonts w:hint="eastAsia" w:ascii="仿宋" w:eastAsia="仿宋" w:cs="仿宋"/>
          <w:b/>
          <w:kern w:val="2"/>
          <w:sz w:val="28"/>
          <w:szCs w:val="28"/>
          <w:lang w:bidi="ar-SA"/>
        </w:rPr>
      </w:pPr>
    </w:p>
    <w:p w14:paraId="6FB4283B">
      <w:pPr>
        <w:pageBreakBefore w:val="0"/>
        <w:kinsoku/>
        <w:overflowPunct/>
        <w:topLinePunct w:val="0"/>
        <w:bidi w:val="0"/>
        <w:spacing w:line="240" w:lineRule="auto"/>
        <w:jc w:val="center"/>
        <w:rPr>
          <w:rFonts w:hint="eastAsia" w:ascii="仿宋" w:eastAsia="仿宋" w:cs="黑体"/>
          <w:b/>
          <w:kern w:val="2"/>
          <w:sz w:val="28"/>
          <w:szCs w:val="28"/>
          <w:lang w:bidi="ar-SA"/>
        </w:rPr>
      </w:pPr>
      <w:r>
        <w:rPr>
          <w:rFonts w:hint="eastAsia" w:ascii="仿宋" w:eastAsia="仿宋" w:cs="仿宋"/>
          <w:b/>
          <w:kern w:val="2"/>
          <w:sz w:val="28"/>
          <w:szCs w:val="28"/>
          <w:lang w:bidi="ar-SA"/>
        </w:rPr>
        <w:t>附表：《中国音乐史与欣赏》课程目标评分量表</w:t>
      </w:r>
    </w:p>
    <w:tbl>
      <w:tblPr>
        <w:tblStyle w:val="22"/>
        <w:tblW w:w="9503" w:type="dxa"/>
        <w:jc w:val="center"/>
        <w:tblLayout w:type="autofit"/>
        <w:tblCellMar>
          <w:top w:w="0" w:type="dxa"/>
          <w:left w:w="108" w:type="dxa"/>
          <w:bottom w:w="0" w:type="dxa"/>
          <w:right w:w="108" w:type="dxa"/>
        </w:tblCellMar>
      </w:tblPr>
      <w:tblGrid>
        <w:gridCol w:w="1595"/>
        <w:gridCol w:w="1572"/>
        <w:gridCol w:w="1563"/>
        <w:gridCol w:w="1567"/>
        <w:gridCol w:w="1666"/>
        <w:gridCol w:w="1540"/>
      </w:tblGrid>
      <w:tr w14:paraId="793EF6ED">
        <w:trPr>
          <w:trHeight w:val="624" w:hRule="atLeast"/>
          <w:jc w:val="center"/>
        </w:trPr>
        <w:tc>
          <w:tcPr>
            <w:tcW w:w="1596" w:type="dxa"/>
            <w:tcBorders>
              <w:top w:val="single" w:color="000000" w:sz="4" w:space="0"/>
              <w:left w:val="single" w:color="000000" w:sz="4" w:space="0"/>
              <w:bottom w:val="single" w:color="000000" w:sz="4" w:space="0"/>
              <w:right w:val="single" w:color="000000" w:sz="4" w:space="0"/>
            </w:tcBorders>
            <w:noWrap w:val="0"/>
            <w:vAlign w:val="center"/>
          </w:tcPr>
          <w:p w14:paraId="00D1563A">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课程目标</w:t>
            </w:r>
          </w:p>
        </w:tc>
        <w:tc>
          <w:tcPr>
            <w:tcW w:w="1572" w:type="dxa"/>
            <w:tcBorders>
              <w:top w:val="single" w:color="000000" w:sz="4" w:space="0"/>
              <w:left w:val="single" w:color="000000" w:sz="4" w:space="0"/>
              <w:bottom w:val="single" w:color="000000" w:sz="4" w:space="0"/>
              <w:right w:val="single" w:color="000000" w:sz="4" w:space="0"/>
            </w:tcBorders>
            <w:noWrap w:val="0"/>
            <w:vAlign w:val="center"/>
          </w:tcPr>
          <w:p w14:paraId="7D45853B">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优</w:t>
            </w:r>
          </w:p>
          <w:p w14:paraId="187FCFC3">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（X≧90）</w:t>
            </w:r>
          </w:p>
        </w:tc>
        <w:tc>
          <w:tcPr>
            <w:tcW w:w="1563" w:type="dxa"/>
            <w:tcBorders>
              <w:top w:val="single" w:color="000000" w:sz="4" w:space="0"/>
              <w:left w:val="single" w:color="000000" w:sz="4" w:space="0"/>
              <w:bottom w:val="single" w:color="000000" w:sz="4" w:space="0"/>
              <w:right w:val="single" w:color="000000" w:sz="4" w:space="0"/>
            </w:tcBorders>
            <w:noWrap w:val="0"/>
            <w:vAlign w:val="center"/>
          </w:tcPr>
          <w:p w14:paraId="50087C15">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良</w:t>
            </w:r>
          </w:p>
          <w:p w14:paraId="304DCD59">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（80≦X＜90）</w:t>
            </w:r>
          </w:p>
        </w:tc>
        <w:tc>
          <w:tcPr>
            <w:tcW w:w="1567" w:type="dxa"/>
            <w:tcBorders>
              <w:top w:val="single" w:color="000000" w:sz="4" w:space="0"/>
              <w:left w:val="single" w:color="000000" w:sz="4" w:space="0"/>
              <w:bottom w:val="single" w:color="000000" w:sz="4" w:space="0"/>
              <w:right w:val="single" w:color="000000" w:sz="4" w:space="0"/>
            </w:tcBorders>
            <w:noWrap w:val="0"/>
            <w:vAlign w:val="center"/>
          </w:tcPr>
          <w:p w14:paraId="4872FB9C">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中</w:t>
            </w:r>
          </w:p>
          <w:p w14:paraId="02234B44">
            <w:pPr>
              <w:pageBreakBefore w:val="0"/>
              <w:tabs>
                <w:tab w:val="left" w:pos="720"/>
              </w:tabs>
              <w:kinsoku/>
              <w:overflowPunct/>
              <w:topLinePunct w:val="0"/>
              <w:bidi w:val="0"/>
              <w:spacing w:line="240" w:lineRule="auto"/>
              <w:ind w:left="-93" w:right="-75" w:hanging="12"/>
              <w:jc w:val="center"/>
              <w:rPr>
                <w:rFonts w:hint="eastAsia" w:ascii="仿宋" w:eastAsia="仿宋" w:cs="仿宋"/>
                <w:b/>
                <w:kern w:val="2"/>
                <w:szCs w:val="21"/>
                <w:lang w:bidi="ar-SA"/>
              </w:rPr>
            </w:pPr>
            <w:r>
              <w:rPr>
                <w:rFonts w:hint="eastAsia" w:ascii="仿宋" w:eastAsia="仿宋" w:cs="仿宋"/>
                <w:b/>
                <w:kern w:val="2"/>
                <w:szCs w:val="21"/>
                <w:lang w:bidi="ar-SA"/>
              </w:rPr>
              <w:t>（70≦X＜80）</w:t>
            </w:r>
          </w:p>
        </w:tc>
        <w:tc>
          <w:tcPr>
            <w:tcW w:w="1666" w:type="dxa"/>
            <w:tcBorders>
              <w:top w:val="single" w:color="000000" w:sz="4" w:space="0"/>
              <w:left w:val="single" w:color="000000" w:sz="4" w:space="0"/>
              <w:bottom w:val="single" w:color="000000" w:sz="4" w:space="0"/>
              <w:right w:val="single" w:color="000000" w:sz="4" w:space="0"/>
            </w:tcBorders>
            <w:noWrap w:val="0"/>
            <w:vAlign w:val="center"/>
          </w:tcPr>
          <w:p w14:paraId="3165B392">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及格</w:t>
            </w:r>
          </w:p>
          <w:p w14:paraId="40A431B0">
            <w:pPr>
              <w:pageBreakBefore w:val="0"/>
              <w:tabs>
                <w:tab w:val="left" w:pos="720"/>
              </w:tabs>
              <w:kinsoku/>
              <w:overflowPunct/>
              <w:topLinePunct w:val="0"/>
              <w:bidi w:val="0"/>
              <w:spacing w:line="240" w:lineRule="auto"/>
              <w:ind w:left="-93" w:right="-75" w:hanging="12"/>
              <w:jc w:val="center"/>
              <w:rPr>
                <w:rFonts w:hint="eastAsia" w:ascii="仿宋" w:eastAsia="仿宋" w:cs="仿宋"/>
                <w:b/>
                <w:kern w:val="2"/>
                <w:szCs w:val="21"/>
                <w:lang w:bidi="ar-SA"/>
              </w:rPr>
            </w:pPr>
            <w:r>
              <w:rPr>
                <w:rFonts w:hint="eastAsia" w:ascii="仿宋" w:eastAsia="仿宋" w:cs="仿宋"/>
                <w:b/>
                <w:kern w:val="2"/>
                <w:szCs w:val="21"/>
                <w:lang w:bidi="ar-SA"/>
              </w:rPr>
              <w:t>（60≦X＜70）</w:t>
            </w:r>
          </w:p>
        </w:tc>
        <w:tc>
          <w:tcPr>
            <w:tcW w:w="1540" w:type="dxa"/>
            <w:tcBorders>
              <w:top w:val="single" w:color="000000" w:sz="4" w:space="0"/>
              <w:left w:val="single" w:color="000000" w:sz="4" w:space="0"/>
              <w:bottom w:val="single" w:color="000000" w:sz="4" w:space="0"/>
              <w:right w:val="single" w:color="000000" w:sz="4" w:space="0"/>
            </w:tcBorders>
            <w:noWrap w:val="0"/>
            <w:vAlign w:val="center"/>
          </w:tcPr>
          <w:p w14:paraId="6B2D5527">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不及格</w:t>
            </w:r>
          </w:p>
          <w:p w14:paraId="3DAA6161">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（X＜60）</w:t>
            </w:r>
          </w:p>
        </w:tc>
      </w:tr>
      <w:tr w14:paraId="65F0EF14">
        <w:trPr>
          <w:trHeight w:val="624" w:hRule="atLeast"/>
          <w:jc w:val="center"/>
        </w:trPr>
        <w:tc>
          <w:tcPr>
            <w:tcW w:w="1596" w:type="dxa"/>
            <w:tcBorders>
              <w:top w:val="single" w:color="000000" w:sz="4" w:space="0"/>
              <w:left w:val="single" w:color="000000" w:sz="4" w:space="0"/>
              <w:bottom w:val="single" w:color="000000" w:sz="4" w:space="0"/>
              <w:right w:val="single" w:color="000000" w:sz="4" w:space="0"/>
            </w:tcBorders>
            <w:noWrap w:val="0"/>
            <w:vAlign w:val="top"/>
          </w:tcPr>
          <w:p w14:paraId="666A4B48">
            <w:pPr>
              <w:pageBreakBefore w:val="0"/>
              <w:widowControl/>
              <w:kinsoku/>
              <w:overflowPunct/>
              <w:topLinePunct w:val="0"/>
              <w:bidi w:val="0"/>
              <w:spacing w:line="240" w:lineRule="auto"/>
              <w:jc w:val="left"/>
              <w:rPr>
                <w:rFonts w:hint="eastAsia" w:ascii="楷体" w:eastAsia="楷体" w:cs="仿宋"/>
                <w:bCs/>
                <w:kern w:val="2"/>
                <w:szCs w:val="21"/>
                <w:lang w:bidi="ar-SA"/>
              </w:rPr>
            </w:pPr>
            <w:r>
              <w:rPr>
                <w:rFonts w:hint="eastAsia" w:ascii="楷体" w:eastAsia="楷体" w:cs="仿宋"/>
                <w:bCs/>
                <w:kern w:val="2"/>
                <w:szCs w:val="21"/>
                <w:lang w:bidi="ar-SA"/>
              </w:rPr>
              <w:t>课程目标1.</w:t>
            </w:r>
            <w:r>
              <w:rPr>
                <w:rFonts w:hint="eastAsia" w:ascii="楷体" w:eastAsia="楷体" w:cs="仿宋"/>
                <w:bCs/>
                <w:kern w:val="2"/>
                <w:szCs w:val="21"/>
                <w:lang w:bidi="ar-SA"/>
              </w:rPr>
              <w:tab/>
            </w:r>
          </w:p>
          <w:p w14:paraId="37483D49">
            <w:pPr>
              <w:pageBreakBefore w:val="0"/>
              <w:widowControl/>
              <w:kinsoku/>
              <w:overflowPunct/>
              <w:topLinePunct w:val="0"/>
              <w:bidi w:val="0"/>
              <w:spacing w:line="240" w:lineRule="auto"/>
              <w:jc w:val="left"/>
              <w:rPr>
                <w:rFonts w:hint="eastAsia" w:ascii="楷体" w:eastAsia="楷体" w:cs="仿宋"/>
                <w:kern w:val="2"/>
                <w:szCs w:val="21"/>
                <w:lang w:bidi="ar-SA"/>
              </w:rPr>
            </w:pPr>
            <w:r>
              <w:rPr>
                <w:rFonts w:hint="eastAsia" w:ascii="楷体" w:eastAsia="楷体" w:cs="仿宋"/>
                <w:kern w:val="2"/>
                <w:szCs w:val="21"/>
                <w:lang w:bidi="ar-SA"/>
              </w:rPr>
              <w:t>领会中国音乐各个时期、各个不同阶段的音乐文化，包括音乐现象、音乐作品、音乐流派等知识点，对中国音乐发展历史与变迁有个清晰的脉络，知晓中国音乐的美学特征及其传统体裁的特征等。</w:t>
            </w:r>
          </w:p>
        </w:tc>
        <w:tc>
          <w:tcPr>
            <w:tcW w:w="1572" w:type="dxa"/>
            <w:tcBorders>
              <w:top w:val="single" w:color="000000" w:sz="4" w:space="0"/>
              <w:left w:val="single" w:color="000000" w:sz="4" w:space="0"/>
              <w:bottom w:val="single" w:color="000000" w:sz="4" w:space="0"/>
              <w:right w:val="single" w:color="000000" w:sz="4" w:space="0"/>
            </w:tcBorders>
            <w:noWrap w:val="0"/>
            <w:vAlign w:val="top"/>
          </w:tcPr>
          <w:p w14:paraId="0D815112">
            <w:pPr>
              <w:pageBreakBefore w:val="0"/>
              <w:widowControl/>
              <w:kinsoku/>
              <w:overflowPunct/>
              <w:topLinePunct w:val="0"/>
              <w:bidi w:val="0"/>
              <w:spacing w:line="240" w:lineRule="auto"/>
              <w:jc w:val="left"/>
              <w:rPr>
                <w:rFonts w:hint="eastAsia" w:ascii="楷体" w:eastAsia="楷体" w:cs="仿宋"/>
                <w:bCs/>
                <w:kern w:val="2"/>
                <w:szCs w:val="21"/>
                <w:lang w:bidi="ar-SA"/>
              </w:rPr>
            </w:pPr>
            <w:r>
              <w:rPr>
                <w:rFonts w:hint="eastAsia" w:ascii="楷体" w:eastAsia="楷体" w:cs="仿宋"/>
                <w:bCs/>
                <w:kern w:val="2"/>
                <w:szCs w:val="21"/>
                <w:lang w:bidi="ar-SA"/>
              </w:rPr>
              <w:t>能够扎实的掌握中国音乐各个时期、各个不同阶段的音乐文化，包括音乐现象、音乐作品、音乐流派等知识点。并熟练掌握中国音乐发展历史与变迁脉络。</w:t>
            </w:r>
          </w:p>
        </w:tc>
        <w:tc>
          <w:tcPr>
            <w:tcW w:w="1563" w:type="dxa"/>
            <w:tcBorders>
              <w:top w:val="single" w:color="000000" w:sz="4" w:space="0"/>
              <w:left w:val="single" w:color="000000" w:sz="4" w:space="0"/>
              <w:bottom w:val="single" w:color="000000" w:sz="4" w:space="0"/>
              <w:right w:val="single" w:color="000000" w:sz="4" w:space="0"/>
            </w:tcBorders>
            <w:noWrap w:val="0"/>
            <w:vAlign w:val="top"/>
          </w:tcPr>
          <w:p w14:paraId="5CFD637F">
            <w:pPr>
              <w:pageBreakBefore w:val="0"/>
              <w:widowControl/>
              <w:kinsoku/>
              <w:overflowPunct/>
              <w:topLinePunct w:val="0"/>
              <w:bidi w:val="0"/>
              <w:spacing w:line="240" w:lineRule="auto"/>
              <w:jc w:val="left"/>
              <w:rPr>
                <w:rFonts w:hint="eastAsia" w:ascii="楷体" w:eastAsia="楷体" w:cs="仿宋"/>
                <w:bCs/>
                <w:kern w:val="2"/>
                <w:szCs w:val="21"/>
                <w:lang w:bidi="ar-SA"/>
              </w:rPr>
            </w:pPr>
            <w:r>
              <w:rPr>
                <w:rFonts w:hint="eastAsia" w:ascii="楷体" w:eastAsia="楷体" w:cs="仿宋"/>
                <w:bCs/>
                <w:kern w:val="2"/>
                <w:szCs w:val="21"/>
                <w:lang w:bidi="ar-SA"/>
              </w:rPr>
              <w:t>能够较好的掌握中国音乐各个时期、各个不同阶段的音乐文化，包括音乐现象、音乐作品、音乐流派等知识点。并较好的掌握中国音乐发展历史与变迁脉络。</w:t>
            </w:r>
          </w:p>
        </w:tc>
        <w:tc>
          <w:tcPr>
            <w:tcW w:w="1567" w:type="dxa"/>
            <w:tcBorders>
              <w:top w:val="single" w:color="000000" w:sz="4" w:space="0"/>
              <w:left w:val="single" w:color="000000" w:sz="4" w:space="0"/>
              <w:bottom w:val="single" w:color="000000" w:sz="4" w:space="0"/>
              <w:right w:val="single" w:color="000000" w:sz="4" w:space="0"/>
            </w:tcBorders>
            <w:noWrap w:val="0"/>
            <w:vAlign w:val="top"/>
          </w:tcPr>
          <w:p w14:paraId="48F3D51F">
            <w:pPr>
              <w:pageBreakBefore w:val="0"/>
              <w:widowControl/>
              <w:kinsoku/>
              <w:overflowPunct/>
              <w:topLinePunct w:val="0"/>
              <w:bidi w:val="0"/>
              <w:spacing w:line="240" w:lineRule="auto"/>
              <w:jc w:val="left"/>
              <w:rPr>
                <w:rFonts w:hint="eastAsia" w:ascii="楷体" w:eastAsia="楷体" w:cs="仿宋"/>
                <w:bCs/>
                <w:kern w:val="2"/>
                <w:szCs w:val="21"/>
                <w:lang w:bidi="ar-SA"/>
              </w:rPr>
            </w:pPr>
            <w:r>
              <w:rPr>
                <w:rFonts w:hint="eastAsia" w:ascii="楷体" w:eastAsia="楷体" w:cs="仿宋"/>
                <w:bCs/>
                <w:kern w:val="2"/>
                <w:szCs w:val="21"/>
                <w:lang w:bidi="ar-SA"/>
              </w:rPr>
              <w:t>能够掌握中国音乐各个时期、各个不同阶段的音乐文化，包括音乐现象、音乐作品、音乐流派等知识点。并掌握中国音乐发展历史与变迁脉络。</w:t>
            </w:r>
          </w:p>
        </w:tc>
        <w:tc>
          <w:tcPr>
            <w:tcW w:w="1666" w:type="dxa"/>
            <w:tcBorders>
              <w:top w:val="single" w:color="000000" w:sz="4" w:space="0"/>
              <w:left w:val="single" w:color="000000" w:sz="4" w:space="0"/>
              <w:bottom w:val="single" w:color="000000" w:sz="4" w:space="0"/>
              <w:right w:val="single" w:color="000000" w:sz="4" w:space="0"/>
            </w:tcBorders>
            <w:noWrap w:val="0"/>
            <w:vAlign w:val="top"/>
          </w:tcPr>
          <w:p w14:paraId="7221DD7D">
            <w:pPr>
              <w:pageBreakBefore w:val="0"/>
              <w:widowControl/>
              <w:kinsoku/>
              <w:overflowPunct/>
              <w:topLinePunct w:val="0"/>
              <w:bidi w:val="0"/>
              <w:spacing w:line="240" w:lineRule="auto"/>
              <w:jc w:val="left"/>
              <w:rPr>
                <w:rFonts w:hint="eastAsia" w:ascii="楷体" w:eastAsia="楷体" w:cs="仿宋"/>
                <w:bCs/>
                <w:kern w:val="2"/>
                <w:szCs w:val="21"/>
                <w:lang w:bidi="ar-SA"/>
              </w:rPr>
            </w:pPr>
            <w:r>
              <w:rPr>
                <w:rFonts w:hint="eastAsia" w:ascii="楷体" w:eastAsia="楷体" w:cs="仿宋"/>
                <w:bCs/>
                <w:kern w:val="2"/>
                <w:szCs w:val="21"/>
                <w:lang w:bidi="ar-SA"/>
              </w:rPr>
              <w:t>能够基本掌握中国音乐各个时期、各个不同阶段的音乐文化，包括音乐现象、音乐作品、音乐流派等知识点。并基本上掌握中国音乐发展历史与变迁脉络。</w:t>
            </w:r>
          </w:p>
        </w:tc>
        <w:tc>
          <w:tcPr>
            <w:tcW w:w="1540" w:type="dxa"/>
            <w:tcBorders>
              <w:top w:val="single" w:color="000000" w:sz="4" w:space="0"/>
              <w:left w:val="single" w:color="000000" w:sz="4" w:space="0"/>
              <w:bottom w:val="single" w:color="000000" w:sz="4" w:space="0"/>
              <w:right w:val="single" w:color="000000" w:sz="4" w:space="0"/>
            </w:tcBorders>
            <w:noWrap w:val="0"/>
            <w:vAlign w:val="top"/>
          </w:tcPr>
          <w:p w14:paraId="6E13C7B2">
            <w:pPr>
              <w:pageBreakBefore w:val="0"/>
              <w:widowControl/>
              <w:kinsoku/>
              <w:overflowPunct/>
              <w:topLinePunct w:val="0"/>
              <w:bidi w:val="0"/>
              <w:spacing w:line="240" w:lineRule="auto"/>
              <w:jc w:val="left"/>
              <w:rPr>
                <w:rFonts w:hint="eastAsia" w:ascii="楷体" w:eastAsia="楷体" w:cs="仿宋"/>
                <w:bCs/>
                <w:kern w:val="2"/>
                <w:szCs w:val="21"/>
                <w:lang w:bidi="ar-SA"/>
              </w:rPr>
            </w:pPr>
            <w:r>
              <w:rPr>
                <w:rFonts w:hint="eastAsia" w:ascii="楷体" w:eastAsia="楷体" w:cs="仿宋"/>
                <w:bCs/>
                <w:kern w:val="2"/>
                <w:szCs w:val="21"/>
                <w:lang w:bidi="ar-SA"/>
              </w:rPr>
              <w:t>未能掌握中国音乐各个时期、各个不同阶段的音乐文化，包括音乐现象、音乐作品、音乐流派等知识点。并不能掌握中国音乐发展历史与变迁脉络。</w:t>
            </w:r>
          </w:p>
        </w:tc>
      </w:tr>
      <w:tr w14:paraId="7F3E3BB9">
        <w:trPr>
          <w:trHeight w:val="624" w:hRule="atLeast"/>
          <w:jc w:val="center"/>
        </w:trPr>
        <w:tc>
          <w:tcPr>
            <w:tcW w:w="1596" w:type="dxa"/>
            <w:tcBorders>
              <w:top w:val="single" w:color="000000" w:sz="4" w:space="0"/>
              <w:left w:val="single" w:color="000000" w:sz="4" w:space="0"/>
              <w:bottom w:val="single" w:color="000000" w:sz="4" w:space="0"/>
              <w:right w:val="single" w:color="000000" w:sz="4" w:space="0"/>
            </w:tcBorders>
            <w:noWrap w:val="0"/>
            <w:vAlign w:val="top"/>
          </w:tcPr>
          <w:p w14:paraId="68E3E7E7">
            <w:pPr>
              <w:pageBreakBefore w:val="0"/>
              <w:widowControl/>
              <w:kinsoku/>
              <w:overflowPunct/>
              <w:topLinePunct w:val="0"/>
              <w:bidi w:val="0"/>
              <w:spacing w:line="240" w:lineRule="auto"/>
              <w:jc w:val="left"/>
              <w:rPr>
                <w:rFonts w:hint="eastAsia" w:ascii="楷体" w:eastAsia="楷体" w:cs="仿宋"/>
                <w:kern w:val="2"/>
                <w:szCs w:val="21"/>
                <w:lang w:bidi="ar-SA"/>
              </w:rPr>
            </w:pPr>
            <w:r>
              <w:rPr>
                <w:rFonts w:hint="eastAsia" w:ascii="楷体" w:eastAsia="楷体" w:cs="仿宋"/>
                <w:kern w:val="2"/>
                <w:szCs w:val="21"/>
                <w:lang w:bidi="ar-SA"/>
              </w:rPr>
              <w:t>课程目标2.</w:t>
            </w:r>
          </w:p>
          <w:p w14:paraId="3AF264A0">
            <w:pPr>
              <w:pageBreakBefore w:val="0"/>
              <w:widowControl/>
              <w:kinsoku/>
              <w:overflowPunct/>
              <w:topLinePunct w:val="0"/>
              <w:bidi w:val="0"/>
              <w:spacing w:line="240" w:lineRule="auto"/>
              <w:jc w:val="left"/>
              <w:rPr>
                <w:rFonts w:hint="eastAsia" w:ascii="楷体" w:eastAsia="楷体" w:cs="仿宋"/>
                <w:kern w:val="2"/>
                <w:szCs w:val="21"/>
                <w:lang w:bidi="ar-SA"/>
              </w:rPr>
            </w:pPr>
            <w:r>
              <w:rPr>
                <w:rFonts w:hint="eastAsia" w:ascii="楷体" w:eastAsia="楷体" w:cs="仿宋"/>
                <w:kern w:val="2"/>
                <w:szCs w:val="21"/>
                <w:lang w:bidi="ar-SA"/>
              </w:rPr>
              <w:t>能够利用课程所学知识分析和解决音乐问题，应用于艺术实践领域，</w:t>
            </w:r>
            <w:r>
              <w:rPr>
                <w:rFonts w:hint="eastAsia" w:ascii="楷体" w:eastAsia="楷体" w:cs="仿宋"/>
                <w:kern w:val="2"/>
                <w:szCs w:val="21"/>
                <w:lang w:eastAsia="zh-Hans" w:bidi="ar-SA"/>
              </w:rPr>
              <w:t>具有传承传统音乐文化意识</w:t>
            </w:r>
            <w:r>
              <w:rPr>
                <w:rFonts w:hint="eastAsia" w:ascii="楷体" w:eastAsia="楷体" w:cs="仿宋"/>
                <w:kern w:val="2"/>
                <w:szCs w:val="21"/>
                <w:lang w:bidi="ar-SA"/>
              </w:rPr>
              <w:t>。</w:t>
            </w:r>
          </w:p>
        </w:tc>
        <w:tc>
          <w:tcPr>
            <w:tcW w:w="1572" w:type="dxa"/>
            <w:tcBorders>
              <w:top w:val="single" w:color="000000" w:sz="4" w:space="0"/>
              <w:left w:val="single" w:color="000000" w:sz="4" w:space="0"/>
              <w:bottom w:val="single" w:color="000000" w:sz="4" w:space="0"/>
              <w:right w:val="single" w:color="000000" w:sz="4" w:space="0"/>
            </w:tcBorders>
            <w:noWrap w:val="0"/>
            <w:vAlign w:val="top"/>
          </w:tcPr>
          <w:p w14:paraId="76F409BE">
            <w:pPr>
              <w:pageBreakBefore w:val="0"/>
              <w:widowControl/>
              <w:kinsoku/>
              <w:overflowPunct/>
              <w:topLinePunct w:val="0"/>
              <w:bidi w:val="0"/>
              <w:spacing w:line="240" w:lineRule="auto"/>
              <w:jc w:val="left"/>
              <w:rPr>
                <w:rFonts w:hint="eastAsia" w:ascii="楷体" w:eastAsia="楷体" w:cs="仿宋"/>
                <w:bCs/>
                <w:kern w:val="2"/>
                <w:szCs w:val="21"/>
                <w:lang w:bidi="ar-SA"/>
              </w:rPr>
            </w:pPr>
            <w:r>
              <w:rPr>
                <w:rFonts w:hint="eastAsia" w:ascii="楷体" w:eastAsia="楷体" w:cs="仿宋"/>
                <w:bCs/>
                <w:kern w:val="2"/>
                <w:szCs w:val="21"/>
                <w:lang w:bidi="ar-SA"/>
              </w:rPr>
              <w:t>能够扎实的综合利用中国音乐史的各个知识点及其其文化审美特征。并熟练掌握中国音乐史研究方法和综合运用，</w:t>
            </w:r>
            <w:r>
              <w:rPr>
                <w:rFonts w:hint="eastAsia" w:ascii="楷体" w:eastAsia="楷体" w:cs="仿宋"/>
                <w:bCs/>
                <w:kern w:val="2"/>
                <w:szCs w:val="21"/>
                <w:lang w:eastAsia="zh-Hans" w:bidi="ar-SA"/>
              </w:rPr>
              <w:t>具有传承中国传统文化的意识</w:t>
            </w:r>
            <w:r>
              <w:rPr>
                <w:rFonts w:hint="eastAsia" w:ascii="楷体" w:eastAsia="楷体" w:cs="仿宋"/>
                <w:bCs/>
                <w:kern w:val="2"/>
                <w:szCs w:val="21"/>
                <w:lang w:bidi="ar-SA"/>
              </w:rPr>
              <w:t>。</w:t>
            </w:r>
          </w:p>
        </w:tc>
        <w:tc>
          <w:tcPr>
            <w:tcW w:w="1563" w:type="dxa"/>
            <w:tcBorders>
              <w:top w:val="single" w:color="000000" w:sz="4" w:space="0"/>
              <w:left w:val="single" w:color="000000" w:sz="4" w:space="0"/>
              <w:bottom w:val="single" w:color="000000" w:sz="4" w:space="0"/>
              <w:right w:val="single" w:color="000000" w:sz="4" w:space="0"/>
            </w:tcBorders>
            <w:noWrap w:val="0"/>
            <w:vAlign w:val="top"/>
          </w:tcPr>
          <w:p w14:paraId="32CA2931">
            <w:pPr>
              <w:pageBreakBefore w:val="0"/>
              <w:widowControl/>
              <w:kinsoku/>
              <w:overflowPunct/>
              <w:topLinePunct w:val="0"/>
              <w:bidi w:val="0"/>
              <w:spacing w:line="240" w:lineRule="auto"/>
              <w:jc w:val="left"/>
              <w:rPr>
                <w:rFonts w:hint="eastAsia" w:ascii="楷体" w:eastAsia="楷体" w:cs="仿宋"/>
                <w:bCs/>
                <w:kern w:val="2"/>
                <w:szCs w:val="21"/>
                <w:lang w:bidi="ar-SA"/>
              </w:rPr>
            </w:pPr>
            <w:r>
              <w:rPr>
                <w:rFonts w:hint="eastAsia" w:ascii="楷体" w:eastAsia="楷体" w:cs="仿宋"/>
                <w:bCs/>
                <w:kern w:val="2"/>
                <w:szCs w:val="21"/>
                <w:lang w:bidi="ar-SA"/>
              </w:rPr>
              <w:t>能够</w:t>
            </w:r>
            <w:r>
              <w:rPr>
                <w:rFonts w:hint="eastAsia" w:ascii="楷体" w:eastAsia="楷体" w:cs="仿宋"/>
                <w:bCs/>
                <w:kern w:val="2"/>
                <w:szCs w:val="21"/>
                <w:lang w:eastAsia="zh-Hans" w:bidi="ar-SA"/>
              </w:rPr>
              <w:t>较好的</w:t>
            </w:r>
            <w:r>
              <w:rPr>
                <w:rFonts w:hint="eastAsia" w:ascii="楷体" w:eastAsia="楷体" w:cs="仿宋"/>
                <w:bCs/>
                <w:kern w:val="2"/>
                <w:szCs w:val="21"/>
                <w:lang w:bidi="ar-SA"/>
              </w:rPr>
              <w:t>综合利用中国音乐史的各个知识点及其其文化审美特征。并较好的掌握中国音乐史研究方法和综合运用，</w:t>
            </w:r>
            <w:r>
              <w:rPr>
                <w:rFonts w:hint="eastAsia" w:ascii="楷体" w:eastAsia="楷体" w:cs="仿宋"/>
                <w:bCs/>
                <w:kern w:val="2"/>
                <w:szCs w:val="21"/>
                <w:lang w:eastAsia="zh-Hans" w:bidi="ar-SA"/>
              </w:rPr>
              <w:t>具有传承中国传统文化的意识</w:t>
            </w:r>
            <w:r>
              <w:rPr>
                <w:rFonts w:hint="eastAsia" w:ascii="楷体" w:eastAsia="楷体" w:cs="仿宋"/>
                <w:bCs/>
                <w:kern w:val="2"/>
                <w:szCs w:val="21"/>
                <w:lang w:bidi="ar-SA"/>
              </w:rPr>
              <w:t>。</w:t>
            </w:r>
          </w:p>
        </w:tc>
        <w:tc>
          <w:tcPr>
            <w:tcW w:w="1567" w:type="dxa"/>
            <w:tcBorders>
              <w:top w:val="single" w:color="000000" w:sz="4" w:space="0"/>
              <w:left w:val="single" w:color="000000" w:sz="4" w:space="0"/>
              <w:bottom w:val="single" w:color="000000" w:sz="4" w:space="0"/>
              <w:right w:val="single" w:color="000000" w:sz="4" w:space="0"/>
            </w:tcBorders>
            <w:noWrap w:val="0"/>
            <w:vAlign w:val="top"/>
          </w:tcPr>
          <w:p w14:paraId="62394A24">
            <w:pPr>
              <w:pageBreakBefore w:val="0"/>
              <w:widowControl/>
              <w:kinsoku/>
              <w:overflowPunct/>
              <w:topLinePunct w:val="0"/>
              <w:bidi w:val="0"/>
              <w:spacing w:line="240" w:lineRule="auto"/>
              <w:jc w:val="left"/>
              <w:rPr>
                <w:rFonts w:hint="eastAsia" w:ascii="楷体" w:eastAsia="楷体" w:cs="仿宋"/>
                <w:bCs/>
                <w:kern w:val="2"/>
                <w:szCs w:val="21"/>
                <w:lang w:bidi="ar-SA"/>
              </w:rPr>
            </w:pPr>
            <w:r>
              <w:rPr>
                <w:rFonts w:hint="eastAsia" w:ascii="楷体" w:eastAsia="楷体" w:cs="仿宋"/>
                <w:bCs/>
                <w:kern w:val="2"/>
                <w:szCs w:val="21"/>
                <w:lang w:bidi="ar-SA"/>
              </w:rPr>
              <w:t>能够综合利用中国音乐史的各个知识点及其其文化审美特征。并掌握中国音乐史研究方法和综合运用，</w:t>
            </w:r>
            <w:r>
              <w:rPr>
                <w:rFonts w:hint="eastAsia" w:ascii="楷体" w:eastAsia="楷体" w:cs="仿宋"/>
                <w:bCs/>
                <w:kern w:val="2"/>
                <w:szCs w:val="21"/>
                <w:lang w:eastAsia="zh-Hans" w:bidi="ar-SA"/>
              </w:rPr>
              <w:t>具有传承中国传统文化的意识</w:t>
            </w:r>
            <w:r>
              <w:rPr>
                <w:rFonts w:hint="eastAsia" w:ascii="楷体" w:eastAsia="楷体" w:cs="仿宋"/>
                <w:bCs/>
                <w:kern w:val="2"/>
                <w:szCs w:val="21"/>
                <w:lang w:bidi="ar-SA"/>
              </w:rPr>
              <w:t>。</w:t>
            </w:r>
          </w:p>
        </w:tc>
        <w:tc>
          <w:tcPr>
            <w:tcW w:w="1666" w:type="dxa"/>
            <w:tcBorders>
              <w:top w:val="single" w:color="000000" w:sz="4" w:space="0"/>
              <w:left w:val="single" w:color="000000" w:sz="4" w:space="0"/>
              <w:bottom w:val="single" w:color="000000" w:sz="4" w:space="0"/>
              <w:right w:val="single" w:color="000000" w:sz="4" w:space="0"/>
            </w:tcBorders>
            <w:noWrap w:val="0"/>
            <w:vAlign w:val="top"/>
          </w:tcPr>
          <w:p w14:paraId="5436B492">
            <w:pPr>
              <w:pageBreakBefore w:val="0"/>
              <w:widowControl/>
              <w:kinsoku/>
              <w:overflowPunct/>
              <w:topLinePunct w:val="0"/>
              <w:bidi w:val="0"/>
              <w:spacing w:line="240" w:lineRule="auto"/>
              <w:jc w:val="left"/>
              <w:rPr>
                <w:rFonts w:hint="eastAsia" w:ascii="楷体" w:eastAsia="楷体" w:cs="仿宋"/>
                <w:bCs/>
                <w:kern w:val="2"/>
                <w:szCs w:val="21"/>
                <w:lang w:bidi="ar-SA"/>
              </w:rPr>
            </w:pPr>
            <w:r>
              <w:rPr>
                <w:rFonts w:hint="eastAsia" w:ascii="楷体" w:eastAsia="楷体" w:cs="仿宋"/>
                <w:bCs/>
                <w:kern w:val="2"/>
                <w:szCs w:val="21"/>
                <w:lang w:bidi="ar-SA"/>
              </w:rPr>
              <w:t>能够</w:t>
            </w:r>
            <w:r>
              <w:rPr>
                <w:rFonts w:hint="eastAsia" w:ascii="楷体" w:eastAsia="楷体" w:cs="仿宋"/>
                <w:bCs/>
                <w:kern w:val="2"/>
                <w:szCs w:val="21"/>
                <w:lang w:eastAsia="zh-Hans" w:bidi="ar-SA"/>
              </w:rPr>
              <w:t>基本上</w:t>
            </w:r>
            <w:r>
              <w:rPr>
                <w:rFonts w:hint="eastAsia" w:ascii="楷体" w:eastAsia="楷体" w:cs="仿宋"/>
                <w:bCs/>
                <w:kern w:val="2"/>
                <w:szCs w:val="21"/>
                <w:lang w:bidi="ar-SA"/>
              </w:rPr>
              <w:t>利用中国音乐史的各个知识点及其其文化审美特征。并基本上掌握中国音乐史研究方法和综合运用</w:t>
            </w:r>
            <w:r>
              <w:rPr>
                <w:rFonts w:hint="eastAsia" w:ascii="楷体" w:eastAsia="楷体" w:cs="仿宋"/>
                <w:bCs/>
                <w:kern w:val="2"/>
                <w:szCs w:val="21"/>
                <w:lang w:eastAsia="zh-Hans" w:bidi="ar-SA"/>
              </w:rPr>
              <w:t>具有传承中国传统文化的意识</w:t>
            </w:r>
            <w:r>
              <w:rPr>
                <w:rFonts w:hint="eastAsia" w:ascii="楷体" w:eastAsia="楷体" w:cs="仿宋"/>
                <w:bCs/>
                <w:kern w:val="2"/>
                <w:szCs w:val="21"/>
                <w:lang w:bidi="ar-SA"/>
              </w:rPr>
              <w:t>。</w:t>
            </w:r>
          </w:p>
        </w:tc>
        <w:tc>
          <w:tcPr>
            <w:tcW w:w="1540" w:type="dxa"/>
            <w:tcBorders>
              <w:top w:val="single" w:color="000000" w:sz="4" w:space="0"/>
              <w:left w:val="single" w:color="000000" w:sz="4" w:space="0"/>
              <w:bottom w:val="single" w:color="000000" w:sz="4" w:space="0"/>
              <w:right w:val="single" w:color="000000" w:sz="4" w:space="0"/>
            </w:tcBorders>
            <w:noWrap w:val="0"/>
            <w:vAlign w:val="top"/>
          </w:tcPr>
          <w:p w14:paraId="319FED26">
            <w:pPr>
              <w:pageBreakBefore w:val="0"/>
              <w:widowControl/>
              <w:kinsoku/>
              <w:overflowPunct/>
              <w:topLinePunct w:val="0"/>
              <w:bidi w:val="0"/>
              <w:spacing w:line="240" w:lineRule="auto"/>
              <w:jc w:val="left"/>
              <w:rPr>
                <w:rFonts w:hint="eastAsia" w:ascii="楷体" w:eastAsia="楷体" w:cs="仿宋"/>
                <w:bCs/>
                <w:kern w:val="2"/>
                <w:szCs w:val="21"/>
                <w:lang w:bidi="ar-SA"/>
              </w:rPr>
            </w:pPr>
            <w:r>
              <w:rPr>
                <w:rFonts w:hint="eastAsia" w:ascii="楷体" w:eastAsia="楷体" w:cs="仿宋"/>
                <w:bCs/>
                <w:kern w:val="2"/>
                <w:szCs w:val="21"/>
                <w:lang w:eastAsia="zh-Hans" w:bidi="ar-SA"/>
              </w:rPr>
              <w:t>不</w:t>
            </w:r>
            <w:r>
              <w:rPr>
                <w:rFonts w:hint="eastAsia" w:ascii="楷体" w:eastAsia="楷体" w:cs="仿宋"/>
                <w:bCs/>
                <w:kern w:val="2"/>
                <w:szCs w:val="21"/>
                <w:lang w:bidi="ar-SA"/>
              </w:rPr>
              <w:t>能综合利用中国音乐史的各个知识点及其其文化审美特征。并不能掌握中国音乐史研究方法和综合运用，</w:t>
            </w:r>
            <w:r>
              <w:rPr>
                <w:rFonts w:hint="eastAsia" w:ascii="楷体" w:eastAsia="楷体" w:cs="仿宋"/>
                <w:bCs/>
                <w:kern w:val="2"/>
                <w:szCs w:val="21"/>
                <w:lang w:eastAsia="zh-Hans" w:bidi="ar-SA"/>
              </w:rPr>
              <w:t>传承中国传统文化的意识淡薄</w:t>
            </w:r>
            <w:r>
              <w:rPr>
                <w:rFonts w:hint="eastAsia" w:ascii="楷体" w:eastAsia="楷体" w:cs="仿宋"/>
                <w:bCs/>
                <w:kern w:val="2"/>
                <w:szCs w:val="21"/>
                <w:lang w:bidi="ar-SA"/>
              </w:rPr>
              <w:t>。</w:t>
            </w:r>
          </w:p>
        </w:tc>
      </w:tr>
      <w:tr w14:paraId="6951E930">
        <w:trPr>
          <w:trHeight w:val="624" w:hRule="atLeast"/>
          <w:jc w:val="center"/>
        </w:trPr>
        <w:tc>
          <w:tcPr>
            <w:tcW w:w="1596" w:type="dxa"/>
            <w:tcBorders>
              <w:top w:val="single" w:color="000000" w:sz="4" w:space="0"/>
              <w:left w:val="single" w:color="000000" w:sz="4" w:space="0"/>
              <w:bottom w:val="single" w:color="000000" w:sz="4" w:space="0"/>
              <w:right w:val="single" w:color="000000" w:sz="4" w:space="0"/>
            </w:tcBorders>
            <w:noWrap w:val="0"/>
            <w:vAlign w:val="top"/>
          </w:tcPr>
          <w:p w14:paraId="435A0C66">
            <w:pPr>
              <w:pageBreakBefore w:val="0"/>
              <w:widowControl/>
              <w:kinsoku/>
              <w:overflowPunct/>
              <w:topLinePunct w:val="0"/>
              <w:bidi w:val="0"/>
              <w:spacing w:line="240" w:lineRule="auto"/>
              <w:jc w:val="left"/>
              <w:rPr>
                <w:rFonts w:hint="eastAsia" w:ascii="楷体" w:eastAsia="楷体" w:cs="仿宋"/>
                <w:kern w:val="2"/>
                <w:szCs w:val="21"/>
                <w:lang w:bidi="ar-SA"/>
              </w:rPr>
            </w:pPr>
            <w:r>
              <w:rPr>
                <w:rFonts w:hint="eastAsia" w:ascii="楷体" w:eastAsia="楷体" w:cs="仿宋"/>
                <w:kern w:val="2"/>
                <w:szCs w:val="21"/>
                <w:lang w:bidi="ar-SA"/>
              </w:rPr>
              <w:t>课程目标3.</w:t>
            </w:r>
          </w:p>
          <w:p w14:paraId="267A01B4">
            <w:pPr>
              <w:pageBreakBefore w:val="0"/>
              <w:widowControl/>
              <w:kinsoku/>
              <w:overflowPunct/>
              <w:topLinePunct w:val="0"/>
              <w:bidi w:val="0"/>
              <w:spacing w:line="240" w:lineRule="auto"/>
              <w:jc w:val="left"/>
              <w:rPr>
                <w:rFonts w:hint="eastAsia" w:ascii="楷体" w:eastAsia="楷体" w:cs="仿宋"/>
                <w:kern w:val="2"/>
                <w:szCs w:val="21"/>
                <w:lang w:bidi="ar-SA"/>
              </w:rPr>
            </w:pPr>
            <w:r>
              <w:rPr>
                <w:rFonts w:hint="eastAsia" w:ascii="楷体" w:eastAsia="楷体" w:cs="仿宋"/>
                <w:kern w:val="2"/>
                <w:szCs w:val="21"/>
                <w:lang w:bidi="ar-SA"/>
              </w:rPr>
              <w:t>领会音乐教师在立德树人上的工作意义，重视中国音乐史的课程思政的融入，能够对中国音乐史古代、近现代音乐基础理论与实践创作产生研究兴趣，</w:t>
            </w:r>
            <w:r>
              <w:rPr>
                <w:rFonts w:hint="eastAsia" w:ascii="楷体" w:eastAsia="楷体" w:cs="仿宋"/>
                <w:kern w:val="2"/>
                <w:szCs w:val="21"/>
                <w:lang w:eastAsia="zh-Hans" w:bidi="ar-SA"/>
              </w:rPr>
              <w:t>提高文化自信意识</w:t>
            </w:r>
            <w:r>
              <w:rPr>
                <w:rFonts w:hint="eastAsia" w:ascii="楷体" w:eastAsia="楷体" w:cs="仿宋"/>
                <w:kern w:val="2"/>
                <w:szCs w:val="21"/>
                <w:lang w:bidi="ar-SA"/>
              </w:rPr>
              <w:t>。</w:t>
            </w:r>
          </w:p>
        </w:tc>
        <w:tc>
          <w:tcPr>
            <w:tcW w:w="1572" w:type="dxa"/>
            <w:tcBorders>
              <w:top w:val="single" w:color="000000" w:sz="4" w:space="0"/>
              <w:left w:val="single" w:color="000000" w:sz="4" w:space="0"/>
              <w:bottom w:val="single" w:color="000000" w:sz="4" w:space="0"/>
              <w:right w:val="single" w:color="000000" w:sz="4" w:space="0"/>
            </w:tcBorders>
            <w:noWrap w:val="0"/>
            <w:vAlign w:val="top"/>
          </w:tcPr>
          <w:p w14:paraId="216CD25C">
            <w:pPr>
              <w:pageBreakBefore w:val="0"/>
              <w:widowControl/>
              <w:kinsoku/>
              <w:overflowPunct/>
              <w:topLinePunct w:val="0"/>
              <w:bidi w:val="0"/>
              <w:spacing w:line="240" w:lineRule="auto"/>
              <w:jc w:val="left"/>
              <w:rPr>
                <w:rFonts w:hint="eastAsia" w:ascii="楷体" w:eastAsia="楷体" w:cs="仿宋"/>
                <w:bCs/>
                <w:kern w:val="2"/>
                <w:szCs w:val="21"/>
                <w:lang w:bidi="ar-SA"/>
              </w:rPr>
            </w:pPr>
            <w:r>
              <w:rPr>
                <w:rFonts w:hint="eastAsia" w:ascii="楷体" w:eastAsia="楷体" w:cs="仿宋"/>
                <w:bCs/>
                <w:kern w:val="2"/>
                <w:szCs w:val="21"/>
                <w:lang w:bidi="ar-SA"/>
              </w:rPr>
              <w:t>能够</w:t>
            </w:r>
            <w:r>
              <w:rPr>
                <w:rFonts w:hint="eastAsia" w:ascii="楷体" w:eastAsia="楷体" w:cs="仿宋"/>
                <w:bCs/>
                <w:kern w:val="2"/>
                <w:szCs w:val="21"/>
                <w:lang w:eastAsia="zh-Hans" w:bidi="ar-SA"/>
              </w:rPr>
              <w:t>很好地</w:t>
            </w:r>
            <w:r>
              <w:rPr>
                <w:rFonts w:hint="eastAsia" w:ascii="楷体" w:eastAsia="楷体" w:cs="仿宋"/>
                <w:bCs/>
                <w:kern w:val="2"/>
                <w:szCs w:val="21"/>
                <w:lang w:bidi="ar-SA"/>
              </w:rPr>
              <w:t>对中国音乐史古代、近现代音乐基础理论与实践创作产生研究兴趣，</w:t>
            </w:r>
            <w:r>
              <w:rPr>
                <w:rFonts w:hint="eastAsia" w:ascii="楷体" w:eastAsia="楷体" w:cs="仿宋"/>
                <w:bCs/>
                <w:kern w:val="2"/>
                <w:szCs w:val="21"/>
                <w:lang w:eastAsia="zh-Hans" w:bidi="ar-SA"/>
              </w:rPr>
              <w:t>提高文化自信意识。</w:t>
            </w:r>
          </w:p>
        </w:tc>
        <w:tc>
          <w:tcPr>
            <w:tcW w:w="1563" w:type="dxa"/>
            <w:tcBorders>
              <w:top w:val="single" w:color="000000" w:sz="4" w:space="0"/>
              <w:left w:val="single" w:color="000000" w:sz="4" w:space="0"/>
              <w:bottom w:val="single" w:color="000000" w:sz="4" w:space="0"/>
              <w:right w:val="single" w:color="000000" w:sz="4" w:space="0"/>
            </w:tcBorders>
            <w:noWrap w:val="0"/>
            <w:vAlign w:val="top"/>
          </w:tcPr>
          <w:p w14:paraId="48E8F966">
            <w:pPr>
              <w:pageBreakBefore w:val="0"/>
              <w:widowControl/>
              <w:kinsoku/>
              <w:overflowPunct/>
              <w:topLinePunct w:val="0"/>
              <w:bidi w:val="0"/>
              <w:spacing w:line="240" w:lineRule="auto"/>
              <w:jc w:val="left"/>
              <w:rPr>
                <w:rFonts w:hint="eastAsia" w:ascii="楷体" w:eastAsia="楷体" w:cs="仿宋"/>
                <w:bCs/>
                <w:kern w:val="2"/>
                <w:szCs w:val="21"/>
                <w:lang w:bidi="ar-SA"/>
              </w:rPr>
            </w:pPr>
            <w:r>
              <w:rPr>
                <w:rFonts w:hint="eastAsia" w:ascii="楷体" w:eastAsia="楷体" w:cs="仿宋"/>
                <w:bCs/>
                <w:kern w:val="2"/>
                <w:szCs w:val="21"/>
                <w:lang w:bidi="ar-SA"/>
              </w:rPr>
              <w:t>能够较好</w:t>
            </w:r>
            <w:r>
              <w:rPr>
                <w:rFonts w:hint="eastAsia" w:ascii="楷体" w:eastAsia="楷体" w:cs="仿宋"/>
                <w:bCs/>
                <w:kern w:val="2"/>
                <w:szCs w:val="21"/>
                <w:lang w:eastAsia="zh-Hans" w:bidi="ar-SA"/>
              </w:rPr>
              <w:t>地掌握</w:t>
            </w:r>
            <w:r>
              <w:rPr>
                <w:rFonts w:hint="eastAsia" w:ascii="楷体" w:eastAsia="楷体" w:cs="仿宋"/>
                <w:bCs/>
                <w:kern w:val="2"/>
                <w:szCs w:val="21"/>
                <w:lang w:bidi="ar-SA"/>
              </w:rPr>
              <w:t>对中国音乐史古代、近现代音乐基础理论与实践创作产生研究兴趣，</w:t>
            </w:r>
            <w:r>
              <w:rPr>
                <w:rFonts w:hint="eastAsia" w:ascii="楷体" w:eastAsia="楷体" w:cs="仿宋"/>
                <w:bCs/>
                <w:kern w:val="2"/>
                <w:szCs w:val="21"/>
                <w:lang w:eastAsia="zh-Hans" w:bidi="ar-SA"/>
              </w:rPr>
              <w:t>提高文化自信意识。</w:t>
            </w:r>
          </w:p>
        </w:tc>
        <w:tc>
          <w:tcPr>
            <w:tcW w:w="1567" w:type="dxa"/>
            <w:tcBorders>
              <w:top w:val="single" w:color="000000" w:sz="4" w:space="0"/>
              <w:left w:val="single" w:color="000000" w:sz="4" w:space="0"/>
              <w:bottom w:val="single" w:color="000000" w:sz="4" w:space="0"/>
              <w:right w:val="single" w:color="000000" w:sz="4" w:space="0"/>
            </w:tcBorders>
            <w:noWrap w:val="0"/>
            <w:vAlign w:val="top"/>
          </w:tcPr>
          <w:p w14:paraId="32415C76">
            <w:pPr>
              <w:pageBreakBefore w:val="0"/>
              <w:widowControl/>
              <w:kinsoku/>
              <w:overflowPunct/>
              <w:topLinePunct w:val="0"/>
              <w:bidi w:val="0"/>
              <w:spacing w:line="240" w:lineRule="auto"/>
              <w:jc w:val="left"/>
              <w:rPr>
                <w:rFonts w:hint="eastAsia" w:ascii="楷体" w:eastAsia="楷体" w:cs="仿宋"/>
                <w:bCs/>
                <w:kern w:val="2"/>
                <w:szCs w:val="21"/>
                <w:lang w:bidi="ar-SA"/>
              </w:rPr>
            </w:pPr>
            <w:r>
              <w:rPr>
                <w:rFonts w:hint="eastAsia" w:ascii="楷体" w:eastAsia="楷体" w:cs="仿宋"/>
                <w:bCs/>
                <w:kern w:val="2"/>
                <w:szCs w:val="21"/>
                <w:lang w:bidi="ar-SA"/>
              </w:rPr>
              <w:t>能够对中国音乐史古代、近现代音乐基础理论与实践创作产生研究兴趣，</w:t>
            </w:r>
            <w:r>
              <w:rPr>
                <w:rFonts w:hint="eastAsia" w:ascii="楷体" w:eastAsia="楷体" w:cs="仿宋"/>
                <w:bCs/>
                <w:kern w:val="2"/>
                <w:szCs w:val="21"/>
                <w:lang w:eastAsia="zh-Hans" w:bidi="ar-SA"/>
              </w:rPr>
              <w:t>提高文化自信意识。</w:t>
            </w:r>
          </w:p>
        </w:tc>
        <w:tc>
          <w:tcPr>
            <w:tcW w:w="1666" w:type="dxa"/>
            <w:tcBorders>
              <w:top w:val="single" w:color="000000" w:sz="4" w:space="0"/>
              <w:left w:val="single" w:color="000000" w:sz="4" w:space="0"/>
              <w:bottom w:val="single" w:color="000000" w:sz="4" w:space="0"/>
              <w:right w:val="single" w:color="000000" w:sz="4" w:space="0"/>
            </w:tcBorders>
            <w:noWrap w:val="0"/>
            <w:vAlign w:val="top"/>
          </w:tcPr>
          <w:p w14:paraId="332B1184">
            <w:pPr>
              <w:pageBreakBefore w:val="0"/>
              <w:widowControl/>
              <w:kinsoku/>
              <w:overflowPunct/>
              <w:topLinePunct w:val="0"/>
              <w:bidi w:val="0"/>
              <w:spacing w:line="240" w:lineRule="auto"/>
              <w:jc w:val="left"/>
              <w:rPr>
                <w:rFonts w:hint="eastAsia" w:ascii="楷体" w:eastAsia="楷体" w:cs="仿宋"/>
                <w:bCs/>
                <w:kern w:val="2"/>
                <w:szCs w:val="21"/>
                <w:lang w:bidi="ar-SA"/>
              </w:rPr>
            </w:pPr>
            <w:r>
              <w:rPr>
                <w:rFonts w:hint="eastAsia" w:ascii="楷体" w:eastAsia="楷体" w:cs="仿宋"/>
                <w:bCs/>
                <w:kern w:val="2"/>
                <w:szCs w:val="21"/>
                <w:lang w:bidi="ar-SA"/>
              </w:rPr>
              <w:t>基本上能够对中国音乐史古代、近现代音乐基础理论与实践创作产生研究兴趣，</w:t>
            </w:r>
            <w:r>
              <w:rPr>
                <w:rFonts w:hint="eastAsia" w:ascii="楷体" w:eastAsia="楷体" w:cs="仿宋"/>
                <w:bCs/>
                <w:kern w:val="2"/>
                <w:szCs w:val="21"/>
                <w:lang w:eastAsia="zh-Hans" w:bidi="ar-SA"/>
              </w:rPr>
              <w:t>提高文化自信意识。</w:t>
            </w:r>
          </w:p>
        </w:tc>
        <w:tc>
          <w:tcPr>
            <w:tcW w:w="1540" w:type="dxa"/>
            <w:tcBorders>
              <w:top w:val="single" w:color="000000" w:sz="4" w:space="0"/>
              <w:left w:val="single" w:color="000000" w:sz="4" w:space="0"/>
              <w:bottom w:val="single" w:color="000000" w:sz="4" w:space="0"/>
              <w:right w:val="single" w:color="000000" w:sz="4" w:space="0"/>
            </w:tcBorders>
            <w:noWrap w:val="0"/>
            <w:vAlign w:val="top"/>
          </w:tcPr>
          <w:p w14:paraId="7C4A863F">
            <w:pPr>
              <w:pageBreakBefore w:val="0"/>
              <w:widowControl/>
              <w:kinsoku/>
              <w:overflowPunct/>
              <w:topLinePunct w:val="0"/>
              <w:bidi w:val="0"/>
              <w:spacing w:line="240" w:lineRule="auto"/>
              <w:jc w:val="left"/>
              <w:rPr>
                <w:rFonts w:hint="eastAsia" w:ascii="楷体" w:eastAsia="楷体" w:cs="仿宋"/>
                <w:bCs/>
                <w:kern w:val="2"/>
                <w:szCs w:val="21"/>
                <w:lang w:bidi="ar-SA"/>
              </w:rPr>
            </w:pPr>
            <w:r>
              <w:rPr>
                <w:rFonts w:hint="eastAsia" w:ascii="楷体" w:eastAsia="楷体" w:cs="仿宋"/>
                <w:bCs/>
                <w:kern w:val="2"/>
                <w:szCs w:val="21"/>
                <w:lang w:bidi="ar-SA"/>
              </w:rPr>
              <w:t>未能够对中国音乐史古代、近现代音乐基础理论与实践创作产生研究兴趣，</w:t>
            </w:r>
            <w:r>
              <w:rPr>
                <w:rFonts w:hint="eastAsia" w:ascii="楷体" w:eastAsia="楷体" w:cs="仿宋"/>
                <w:bCs/>
                <w:kern w:val="2"/>
                <w:szCs w:val="21"/>
                <w:lang w:eastAsia="zh-Hans" w:bidi="ar-SA"/>
              </w:rPr>
              <w:t>提高文化自信意识。</w:t>
            </w:r>
          </w:p>
        </w:tc>
      </w:tr>
    </w:tbl>
    <w:p w14:paraId="53477F30">
      <w:pPr>
        <w:rPr>
          <w:sz w:val="2"/>
          <w:szCs w:val="2"/>
        </w:rPr>
        <w:sectPr>
          <w:headerReference r:id="rId19" w:type="default"/>
          <w:footerReference r:id="rId20" w:type="default"/>
          <w:pgSz w:w="11906" w:h="16838"/>
          <w:pgMar w:top="1440" w:right="1800" w:bottom="1440" w:left="1800" w:header="851" w:footer="992" w:gutter="0"/>
          <w:cols w:space="425" w:num="1"/>
          <w:docGrid w:type="lines" w:linePitch="312" w:charSpace="0"/>
        </w:sectPr>
      </w:pPr>
    </w:p>
    <w:p w14:paraId="45496497">
      <w:pPr>
        <w:spacing w:line="560" w:lineRule="exact"/>
        <w:jc w:val="center"/>
        <w:rPr>
          <w:rFonts w:hint="eastAsia" w:eastAsia="方正小标宋简体"/>
          <w:sz w:val="44"/>
          <w:szCs w:val="44"/>
        </w:rPr>
      </w:pPr>
      <w:r>
        <w:rPr>
          <w:rFonts w:hint="eastAsia" w:eastAsia="方正小标宋简体"/>
          <w:sz w:val="44"/>
          <w:szCs w:val="44"/>
        </w:rPr>
        <w:t>三明学院音乐学（音乐教育）专业</w:t>
      </w:r>
    </w:p>
    <w:p w14:paraId="11B24D68">
      <w:pPr>
        <w:spacing w:line="560" w:lineRule="exact"/>
        <w:jc w:val="center"/>
        <w:rPr>
          <w:rFonts w:hint="eastAsia" w:eastAsia="方正小标宋简体"/>
          <w:sz w:val="24"/>
          <w:szCs w:val="24"/>
        </w:rPr>
      </w:pPr>
      <w:r>
        <w:rPr>
          <w:rFonts w:hint="eastAsia" w:eastAsia="方正小标宋简体"/>
          <w:sz w:val="44"/>
          <w:szCs w:val="44"/>
        </w:rPr>
        <w:t>《和声》课程教学大纲</w:t>
      </w:r>
    </w:p>
    <w:tbl>
      <w:tblPr>
        <w:tblStyle w:val="22"/>
        <w:tblW w:w="9148"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28" w:type="dxa"/>
        </w:tblCellMar>
      </w:tblPr>
      <w:tblGrid>
        <w:gridCol w:w="1376"/>
        <w:gridCol w:w="1032"/>
        <w:gridCol w:w="291"/>
        <w:gridCol w:w="1134"/>
        <w:gridCol w:w="133"/>
        <w:gridCol w:w="30"/>
        <w:gridCol w:w="1249"/>
        <w:gridCol w:w="113"/>
        <w:gridCol w:w="297"/>
        <w:gridCol w:w="824"/>
        <w:gridCol w:w="77"/>
        <w:gridCol w:w="60"/>
        <w:gridCol w:w="7"/>
        <w:gridCol w:w="96"/>
        <w:gridCol w:w="872"/>
        <w:gridCol w:w="4"/>
        <w:gridCol w:w="964"/>
        <w:gridCol w:w="26"/>
        <w:gridCol w:w="563"/>
      </w:tblGrid>
      <w:tr w14:paraId="5E35D2E7">
        <w:trPr>
          <w:trHeight w:val="0" w:hRule="atLeast"/>
        </w:trPr>
        <w:tc>
          <w:tcPr>
            <w:tcW w:w="1376" w:type="dxa"/>
            <w:vAlign w:val="center"/>
          </w:tcPr>
          <w:p w14:paraId="46FCF1CF">
            <w:pPr>
              <w:numPr>
                <w:ilvl w:val="0"/>
                <w:numId w:val="14"/>
              </w:numPr>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课程名称</w:t>
            </w:r>
          </w:p>
        </w:tc>
        <w:tc>
          <w:tcPr>
            <w:tcW w:w="5103" w:type="dxa"/>
            <w:gridSpan w:val="9"/>
            <w:vAlign w:val="center"/>
          </w:tcPr>
          <w:p w14:paraId="7C2B6D4A">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eastAsia="en-US"/>
              </w:rPr>
              <w:t>和声</w:t>
            </w:r>
            <w:r>
              <w:rPr>
                <w:rFonts w:hint="eastAsia" w:ascii="仿宋" w:hAnsi="仿宋" w:eastAsia="仿宋" w:cs="仿宋"/>
                <w:sz w:val="24"/>
                <w:szCs w:val="24"/>
              </w:rPr>
              <w:t>》</w:t>
            </w:r>
          </w:p>
        </w:tc>
        <w:tc>
          <w:tcPr>
            <w:tcW w:w="1116" w:type="dxa"/>
            <w:gridSpan w:val="6"/>
            <w:vAlign w:val="center"/>
          </w:tcPr>
          <w:p w14:paraId="75000D43">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w:t>
            </w:r>
          </w:p>
          <w:p w14:paraId="4FDBAA45">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代码</w:t>
            </w:r>
          </w:p>
        </w:tc>
        <w:tc>
          <w:tcPr>
            <w:tcW w:w="1553" w:type="dxa"/>
            <w:gridSpan w:val="3"/>
            <w:vAlign w:val="center"/>
          </w:tcPr>
          <w:p w14:paraId="3A79206B">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1211304602</w:t>
            </w:r>
          </w:p>
          <w:p w14:paraId="57F86E72">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1211304603</w:t>
            </w:r>
          </w:p>
        </w:tc>
      </w:tr>
      <w:tr w14:paraId="74A526FB">
        <w:trPr>
          <w:trHeight w:val="0" w:hRule="atLeast"/>
        </w:trPr>
        <w:tc>
          <w:tcPr>
            <w:tcW w:w="1376" w:type="dxa"/>
            <w:vAlign w:val="center"/>
          </w:tcPr>
          <w:p w14:paraId="5A6EF373">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课程类型</w:t>
            </w:r>
          </w:p>
        </w:tc>
        <w:tc>
          <w:tcPr>
            <w:tcW w:w="7772" w:type="dxa"/>
            <w:gridSpan w:val="18"/>
            <w:vAlign w:val="center"/>
          </w:tcPr>
          <w:p w14:paraId="36AC9D31">
            <w:pPr>
              <w:spacing w:line="240" w:lineRule="atLeast"/>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通识必修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通识选修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专业必修 </w:t>
            </w:r>
          </w:p>
          <w:p w14:paraId="4F12EED7">
            <w:pPr>
              <w:spacing w:line="240" w:lineRule="atLeast"/>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专业选修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教师教育必修 </w:t>
            </w:r>
            <w:r>
              <w:rPr>
                <w:rFonts w:hint="eastAsia" w:ascii="仿宋" w:hAnsi="仿宋" w:eastAsia="仿宋" w:cs="仿宋"/>
                <w:sz w:val="24"/>
                <w:szCs w:val="24"/>
              </w:rPr>
              <w:sym w:font="Wingdings" w:char="00A8"/>
            </w:r>
            <w:r>
              <w:rPr>
                <w:rFonts w:hint="eastAsia" w:ascii="仿宋" w:hAnsi="仿宋" w:eastAsia="仿宋" w:cs="仿宋"/>
                <w:sz w:val="24"/>
                <w:szCs w:val="24"/>
              </w:rPr>
              <w:t>教师教育选修</w:t>
            </w:r>
          </w:p>
        </w:tc>
      </w:tr>
      <w:tr w14:paraId="2C7F8254">
        <w:trPr>
          <w:trHeight w:val="0" w:hRule="atLeast"/>
        </w:trPr>
        <w:tc>
          <w:tcPr>
            <w:tcW w:w="1376" w:type="dxa"/>
            <w:vAlign w:val="center"/>
          </w:tcPr>
          <w:p w14:paraId="22925742">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开课学期</w:t>
            </w:r>
          </w:p>
        </w:tc>
        <w:tc>
          <w:tcPr>
            <w:tcW w:w="1323" w:type="dxa"/>
            <w:gridSpan w:val="2"/>
            <w:vAlign w:val="center"/>
          </w:tcPr>
          <w:p w14:paraId="14CB57FE">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第</w:t>
            </w:r>
            <w:r>
              <w:rPr>
                <w:rFonts w:ascii="仿宋" w:hAnsi="仿宋" w:eastAsia="仿宋" w:cs="仿宋"/>
                <w:sz w:val="24"/>
                <w:szCs w:val="24"/>
              </w:rPr>
              <w:t>2</w:t>
            </w:r>
            <w:r>
              <w:rPr>
                <w:rFonts w:hint="eastAsia" w:ascii="仿宋" w:hAnsi="仿宋" w:eastAsia="仿宋" w:cs="仿宋"/>
                <w:sz w:val="24"/>
                <w:szCs w:val="24"/>
              </w:rPr>
              <w:t>、</w:t>
            </w:r>
            <w:r>
              <w:rPr>
                <w:rFonts w:ascii="仿宋" w:hAnsi="仿宋" w:eastAsia="仿宋" w:cs="仿宋"/>
                <w:sz w:val="24"/>
                <w:szCs w:val="24"/>
              </w:rPr>
              <w:t>3</w:t>
            </w:r>
            <w:r>
              <w:rPr>
                <w:rFonts w:hint="eastAsia" w:ascii="仿宋" w:hAnsi="仿宋" w:eastAsia="仿宋" w:cs="仿宋"/>
                <w:sz w:val="24"/>
                <w:szCs w:val="24"/>
              </w:rPr>
              <w:t>学期</w:t>
            </w:r>
          </w:p>
        </w:tc>
        <w:tc>
          <w:tcPr>
            <w:tcW w:w="1134" w:type="dxa"/>
            <w:vAlign w:val="center"/>
          </w:tcPr>
          <w:p w14:paraId="0D2CA730">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学分</w:t>
            </w:r>
          </w:p>
        </w:tc>
        <w:tc>
          <w:tcPr>
            <w:tcW w:w="1525" w:type="dxa"/>
            <w:gridSpan w:val="4"/>
            <w:vAlign w:val="center"/>
          </w:tcPr>
          <w:p w14:paraId="684AFF6C">
            <w:pPr>
              <w:spacing w:line="240" w:lineRule="atLeast"/>
              <w:jc w:val="center"/>
              <w:rPr>
                <w:rFonts w:hint="eastAsia" w:ascii="仿宋" w:hAnsi="仿宋" w:eastAsia="仿宋" w:cs="仿宋"/>
                <w:sz w:val="24"/>
                <w:szCs w:val="24"/>
              </w:rPr>
            </w:pPr>
            <w:r>
              <w:rPr>
                <w:rFonts w:ascii="仿宋" w:hAnsi="仿宋" w:eastAsia="仿宋" w:cs="仿宋"/>
                <w:sz w:val="24"/>
                <w:szCs w:val="24"/>
              </w:rPr>
              <w:t>4</w:t>
            </w:r>
          </w:p>
        </w:tc>
        <w:tc>
          <w:tcPr>
            <w:tcW w:w="1361" w:type="dxa"/>
            <w:gridSpan w:val="6"/>
            <w:vAlign w:val="center"/>
          </w:tcPr>
          <w:p w14:paraId="3BF95021">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课程负责人</w:t>
            </w:r>
          </w:p>
        </w:tc>
        <w:tc>
          <w:tcPr>
            <w:tcW w:w="2429" w:type="dxa"/>
            <w:gridSpan w:val="5"/>
            <w:vAlign w:val="center"/>
          </w:tcPr>
          <w:p w14:paraId="52E59EA7">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司季发</w:t>
            </w:r>
          </w:p>
        </w:tc>
      </w:tr>
      <w:tr w14:paraId="640FDDD8">
        <w:trPr>
          <w:trHeight w:val="0" w:hRule="atLeast"/>
        </w:trPr>
        <w:tc>
          <w:tcPr>
            <w:tcW w:w="1376" w:type="dxa"/>
            <w:vAlign w:val="center"/>
          </w:tcPr>
          <w:p w14:paraId="0864AE70">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总学时</w:t>
            </w:r>
          </w:p>
        </w:tc>
        <w:tc>
          <w:tcPr>
            <w:tcW w:w="1323" w:type="dxa"/>
            <w:gridSpan w:val="2"/>
            <w:vAlign w:val="center"/>
          </w:tcPr>
          <w:p w14:paraId="00800DBA">
            <w:pPr>
              <w:spacing w:line="240" w:lineRule="atLeast"/>
              <w:jc w:val="center"/>
              <w:rPr>
                <w:rFonts w:hint="eastAsia" w:ascii="仿宋" w:hAnsi="仿宋" w:eastAsia="仿宋" w:cs="仿宋"/>
                <w:sz w:val="24"/>
                <w:szCs w:val="24"/>
              </w:rPr>
            </w:pPr>
            <w:r>
              <w:rPr>
                <w:rFonts w:ascii="仿宋" w:hAnsi="仿宋" w:eastAsia="仿宋" w:cs="仿宋"/>
                <w:sz w:val="24"/>
                <w:szCs w:val="24"/>
              </w:rPr>
              <w:t>64</w:t>
            </w:r>
          </w:p>
        </w:tc>
        <w:tc>
          <w:tcPr>
            <w:tcW w:w="1134" w:type="dxa"/>
            <w:vAlign w:val="center"/>
          </w:tcPr>
          <w:p w14:paraId="3657519F">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理论学时</w:t>
            </w:r>
          </w:p>
        </w:tc>
        <w:tc>
          <w:tcPr>
            <w:tcW w:w="1525" w:type="dxa"/>
            <w:gridSpan w:val="4"/>
            <w:vAlign w:val="center"/>
          </w:tcPr>
          <w:p w14:paraId="2F67E19D">
            <w:pPr>
              <w:spacing w:line="240" w:lineRule="atLeast"/>
              <w:jc w:val="center"/>
              <w:rPr>
                <w:rFonts w:hint="eastAsia" w:ascii="仿宋" w:hAnsi="仿宋" w:eastAsia="仿宋" w:cs="仿宋"/>
                <w:sz w:val="24"/>
                <w:szCs w:val="24"/>
              </w:rPr>
            </w:pPr>
            <w:r>
              <w:rPr>
                <w:rFonts w:ascii="仿宋" w:hAnsi="仿宋" w:eastAsia="仿宋" w:cs="仿宋"/>
                <w:sz w:val="24"/>
                <w:szCs w:val="24"/>
              </w:rPr>
              <w:t>64</w:t>
            </w:r>
          </w:p>
        </w:tc>
        <w:tc>
          <w:tcPr>
            <w:tcW w:w="1361" w:type="dxa"/>
            <w:gridSpan w:val="6"/>
            <w:tcBorders>
              <w:right w:val="single" w:color="000000" w:sz="4" w:space="0"/>
            </w:tcBorders>
            <w:vAlign w:val="center"/>
          </w:tcPr>
          <w:p w14:paraId="64364CB2">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实践学时</w:t>
            </w:r>
          </w:p>
        </w:tc>
        <w:tc>
          <w:tcPr>
            <w:tcW w:w="2429" w:type="dxa"/>
            <w:gridSpan w:val="5"/>
            <w:tcBorders>
              <w:left w:val="single" w:color="000000" w:sz="4" w:space="0"/>
            </w:tcBorders>
            <w:vAlign w:val="center"/>
          </w:tcPr>
          <w:p w14:paraId="3F6EA915">
            <w:pPr>
              <w:spacing w:line="240" w:lineRule="atLeast"/>
              <w:jc w:val="center"/>
              <w:rPr>
                <w:rFonts w:hint="eastAsia" w:ascii="仿宋" w:hAnsi="仿宋" w:eastAsia="仿宋" w:cs="仿宋"/>
                <w:sz w:val="24"/>
                <w:szCs w:val="24"/>
              </w:rPr>
            </w:pPr>
            <w:r>
              <w:rPr>
                <w:rFonts w:ascii="仿宋" w:hAnsi="仿宋" w:eastAsia="仿宋" w:cs="仿宋"/>
                <w:sz w:val="24"/>
                <w:szCs w:val="24"/>
              </w:rPr>
              <w:t>0</w:t>
            </w:r>
          </w:p>
        </w:tc>
      </w:tr>
      <w:tr w14:paraId="369D82DC">
        <w:trPr>
          <w:trHeight w:val="0" w:hRule="atLeast"/>
        </w:trPr>
        <w:tc>
          <w:tcPr>
            <w:tcW w:w="1376" w:type="dxa"/>
            <w:vAlign w:val="center"/>
          </w:tcPr>
          <w:p w14:paraId="29EDE35B">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先修课程与后续课程</w:t>
            </w:r>
          </w:p>
        </w:tc>
        <w:tc>
          <w:tcPr>
            <w:tcW w:w="7772" w:type="dxa"/>
            <w:gridSpan w:val="18"/>
            <w:vAlign w:val="center"/>
          </w:tcPr>
          <w:p w14:paraId="3212CB49">
            <w:pPr>
              <w:tabs>
                <w:tab w:val="left" w:pos="720"/>
              </w:tabs>
              <w:jc w:val="left"/>
              <w:rPr>
                <w:rFonts w:hint="eastAsia" w:ascii="仿宋" w:hAnsi="仿宋" w:eastAsia="仿宋" w:cs="仿宋"/>
                <w:sz w:val="24"/>
                <w:szCs w:val="24"/>
              </w:rPr>
            </w:pPr>
            <w:bookmarkStart w:id="79" w:name="OLE_LINK2"/>
            <w:bookmarkStart w:id="80" w:name="OLE_LINK1"/>
            <w:r>
              <w:rPr>
                <w:rFonts w:hint="eastAsia" w:ascii="仿宋" w:hAnsi="仿宋" w:eastAsia="仿宋" w:cs="仿宋"/>
                <w:sz w:val="24"/>
                <w:szCs w:val="24"/>
              </w:rPr>
              <w:t>先修课程：《基本乐理》</w:t>
            </w:r>
          </w:p>
          <w:p w14:paraId="255979E1">
            <w:pPr>
              <w:tabs>
                <w:tab w:val="left" w:pos="720"/>
              </w:tabs>
              <w:jc w:val="left"/>
              <w:rPr>
                <w:rFonts w:hint="eastAsia" w:ascii="仿宋" w:hAnsi="仿宋" w:eastAsia="仿宋" w:cs="仿宋"/>
                <w:sz w:val="24"/>
                <w:szCs w:val="24"/>
              </w:rPr>
            </w:pPr>
            <w:r>
              <w:rPr>
                <w:rFonts w:hint="eastAsia" w:ascii="仿宋" w:hAnsi="仿宋" w:eastAsia="仿宋" w:cs="仿宋"/>
                <w:sz w:val="24"/>
                <w:szCs w:val="24"/>
              </w:rPr>
              <w:t>后续课程：《曲式与作品分析》《复调》《音乐分析》</w:t>
            </w:r>
            <w:bookmarkEnd w:id="79"/>
            <w:bookmarkEnd w:id="80"/>
          </w:p>
        </w:tc>
      </w:tr>
      <w:tr w14:paraId="5B517724">
        <w:trPr>
          <w:trHeight w:val="0" w:hRule="atLeast"/>
        </w:trPr>
        <w:tc>
          <w:tcPr>
            <w:tcW w:w="1376" w:type="dxa"/>
            <w:vAlign w:val="center"/>
          </w:tcPr>
          <w:p w14:paraId="79C9C91E">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适用专业</w:t>
            </w:r>
          </w:p>
        </w:tc>
        <w:tc>
          <w:tcPr>
            <w:tcW w:w="7772" w:type="dxa"/>
            <w:gridSpan w:val="18"/>
            <w:vAlign w:val="center"/>
          </w:tcPr>
          <w:p w14:paraId="4C76C8B4">
            <w:pPr>
              <w:spacing w:line="240" w:lineRule="atLeast"/>
              <w:jc w:val="both"/>
              <w:rPr>
                <w:rFonts w:hint="eastAsia" w:ascii="仿宋" w:hAnsi="仿宋" w:eastAsia="仿宋" w:cs="仿宋"/>
                <w:sz w:val="24"/>
                <w:szCs w:val="24"/>
              </w:rPr>
            </w:pPr>
            <w:r>
              <w:rPr>
                <w:rFonts w:hint="eastAsia" w:ascii="仿宋" w:hAnsi="仿宋" w:eastAsia="仿宋" w:cs="仿宋"/>
                <w:sz w:val="24"/>
                <w:szCs w:val="24"/>
              </w:rPr>
              <w:t>音乐学专业</w:t>
            </w:r>
          </w:p>
        </w:tc>
      </w:tr>
      <w:tr w14:paraId="3FF416EE">
        <w:trPr>
          <w:trHeight w:val="0" w:hRule="atLeast"/>
        </w:trPr>
        <w:tc>
          <w:tcPr>
            <w:tcW w:w="1376" w:type="dxa"/>
            <w:tcBorders>
              <w:bottom w:val="single" w:color="auto" w:sz="4" w:space="0"/>
            </w:tcBorders>
            <w:vAlign w:val="center"/>
          </w:tcPr>
          <w:p w14:paraId="4524AE85">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A</w:t>
            </w:r>
          </w:p>
          <w:p w14:paraId="5C4F1706">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参考教材</w:t>
            </w:r>
          </w:p>
        </w:tc>
        <w:tc>
          <w:tcPr>
            <w:tcW w:w="7772" w:type="dxa"/>
            <w:gridSpan w:val="18"/>
            <w:tcBorders>
              <w:bottom w:val="single" w:color="auto" w:sz="4" w:space="0"/>
            </w:tcBorders>
            <w:vAlign w:val="center"/>
          </w:tcPr>
          <w:p w14:paraId="01001B75">
            <w:pPr>
              <w:tabs>
                <w:tab w:val="left" w:pos="720"/>
              </w:tabs>
              <w:rPr>
                <w:rFonts w:hint="eastAsia" w:ascii="仿宋" w:hAnsi="仿宋" w:eastAsia="仿宋" w:cs="仿宋"/>
                <w:kern w:val="0"/>
                <w:sz w:val="24"/>
                <w:szCs w:val="24"/>
              </w:rPr>
            </w:pPr>
            <w:r>
              <w:rPr>
                <w:rFonts w:hint="eastAsia" w:ascii="仿宋" w:hAnsi="仿宋" w:eastAsia="仿宋" w:cs="仿宋"/>
                <w:sz w:val="24"/>
                <w:szCs w:val="24"/>
              </w:rPr>
              <w:t>和声学教程（上下册）（增订重译版）， [苏] 伊·杜波夫斯基、斯·叶甫谢耶夫、伊·斯波索宾、符·索科洛夫，人民音乐出版社，2008.3</w:t>
            </w:r>
          </w:p>
        </w:tc>
      </w:tr>
      <w:tr w14:paraId="418EA8DB">
        <w:trPr>
          <w:trHeight w:val="0" w:hRule="atLeast"/>
        </w:trPr>
        <w:tc>
          <w:tcPr>
            <w:tcW w:w="1376" w:type="dxa"/>
            <w:tcBorders>
              <w:bottom w:val="single" w:color="auto" w:sz="4" w:space="0"/>
            </w:tcBorders>
            <w:vAlign w:val="center"/>
          </w:tcPr>
          <w:p w14:paraId="7A6C7B33">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B</w:t>
            </w:r>
          </w:p>
          <w:p w14:paraId="4EE49B8C">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主要参考书籍</w:t>
            </w:r>
          </w:p>
        </w:tc>
        <w:tc>
          <w:tcPr>
            <w:tcW w:w="7772" w:type="dxa"/>
            <w:gridSpan w:val="18"/>
            <w:tcBorders>
              <w:bottom w:val="single" w:color="auto" w:sz="4" w:space="0"/>
            </w:tcBorders>
            <w:vAlign w:val="center"/>
          </w:tcPr>
          <w:p w14:paraId="7BE53950">
            <w:pPr>
              <w:tabs>
                <w:tab w:val="left" w:pos="720"/>
              </w:tabs>
              <w:rPr>
                <w:rFonts w:ascii="仿宋" w:hAnsi="仿宋" w:eastAsia="仿宋" w:cs="仿宋"/>
                <w:sz w:val="24"/>
                <w:szCs w:val="24"/>
              </w:rPr>
            </w:pPr>
            <w:r>
              <w:rPr>
                <w:rFonts w:hint="eastAsia" w:ascii="仿宋" w:hAnsi="仿宋" w:eastAsia="仿宋" w:cs="仿宋"/>
                <w:sz w:val="24"/>
                <w:szCs w:val="24"/>
              </w:rPr>
              <w:t>1、和声分析351例，</w:t>
            </w:r>
            <w:r>
              <w:rPr>
                <w:rFonts w:ascii="仿宋" w:hAnsi="仿宋" w:eastAsia="仿宋" w:cs="仿宋"/>
                <w:sz w:val="24"/>
                <w:szCs w:val="24"/>
              </w:rPr>
              <w:fldChar w:fldCharType="begin"/>
            </w:r>
            <w:r>
              <w:rPr>
                <w:rFonts w:ascii="仿宋" w:hAnsi="仿宋" w:eastAsia="仿宋" w:cs="仿宋"/>
                <w:sz w:val="24"/>
                <w:szCs w:val="24"/>
              </w:rPr>
              <w:instrText xml:space="preserve"> HYPERLINK "http://search.dangdang.com/?key2=%CE%E2%CA%BD%EF%C7&amp;medium=01&amp;category_path=01.00.00.00.00.00" \t "/Users/minorseventh/Documents\\x/_blank" </w:instrText>
            </w:r>
            <w:r>
              <w:rPr>
                <w:rFonts w:ascii="仿宋" w:hAnsi="仿宋" w:eastAsia="仿宋" w:cs="仿宋"/>
                <w:sz w:val="24"/>
                <w:szCs w:val="24"/>
              </w:rPr>
              <w:fldChar w:fldCharType="separate"/>
            </w:r>
            <w:r>
              <w:rPr>
                <w:rFonts w:hint="eastAsia" w:ascii="仿宋" w:hAnsi="仿宋" w:eastAsia="仿宋" w:cs="仿宋"/>
                <w:sz w:val="24"/>
                <w:szCs w:val="24"/>
              </w:rPr>
              <w:t>吴式锴</w:t>
            </w:r>
            <w:r>
              <w:rPr>
                <w:rFonts w:ascii="仿宋" w:hAnsi="仿宋" w:eastAsia="仿宋" w:cs="仿宋"/>
                <w:sz w:val="24"/>
                <w:szCs w:val="24"/>
              </w:rPr>
              <w:fldChar w:fldCharType="end"/>
            </w:r>
            <w:r>
              <w:rPr>
                <w:rFonts w:hint="eastAsia" w:ascii="仿宋" w:hAnsi="仿宋" w:eastAsia="仿宋" w:cs="仿宋"/>
                <w:sz w:val="24"/>
                <w:szCs w:val="24"/>
              </w:rPr>
              <w:t>，</w:t>
            </w:r>
            <w:r>
              <w:rPr>
                <w:rFonts w:ascii="仿宋" w:hAnsi="仿宋" w:eastAsia="仿宋" w:cs="仿宋"/>
                <w:sz w:val="24"/>
                <w:szCs w:val="24"/>
              </w:rPr>
              <w:fldChar w:fldCharType="begin"/>
            </w:r>
            <w:r>
              <w:rPr>
                <w:rFonts w:ascii="仿宋" w:hAnsi="仿宋" w:eastAsia="仿宋" w:cs="仿宋"/>
                <w:sz w:val="24"/>
                <w:szCs w:val="24"/>
              </w:rPr>
              <w:instrText xml:space="preserve"> HYPERLINK "http://search.dangdang.com/?key3=%CA%C0%BD%E7%CD%BC%CA%E9%B3%F6%B0%E6%B9%AB%CB%BE&amp;medium=01&amp;category_path=01.00.00.00.00.00" \t "/Users/minorseventh/Documents\\x/_blank" </w:instrText>
            </w:r>
            <w:r>
              <w:rPr>
                <w:rFonts w:ascii="仿宋" w:hAnsi="仿宋" w:eastAsia="仿宋" w:cs="仿宋"/>
                <w:sz w:val="24"/>
                <w:szCs w:val="24"/>
              </w:rPr>
              <w:fldChar w:fldCharType="separate"/>
            </w:r>
            <w:r>
              <w:rPr>
                <w:rFonts w:hint="eastAsia" w:ascii="仿宋" w:hAnsi="仿宋" w:eastAsia="仿宋" w:cs="仿宋"/>
                <w:sz w:val="24"/>
                <w:szCs w:val="24"/>
              </w:rPr>
              <w:t>世界图书出版公司</w:t>
            </w:r>
            <w:r>
              <w:rPr>
                <w:rFonts w:ascii="仿宋" w:hAnsi="仿宋" w:eastAsia="仿宋" w:cs="仿宋"/>
                <w:sz w:val="24"/>
                <w:szCs w:val="24"/>
              </w:rPr>
              <w:fldChar w:fldCharType="end"/>
            </w:r>
            <w:r>
              <w:rPr>
                <w:rFonts w:hint="eastAsia" w:ascii="仿宋" w:hAnsi="仿宋" w:eastAsia="仿宋" w:cs="仿宋"/>
                <w:sz w:val="24"/>
                <w:szCs w:val="24"/>
              </w:rPr>
              <w:t>，2020</w:t>
            </w:r>
          </w:p>
          <w:p w14:paraId="2BF233BB">
            <w:pPr>
              <w:tabs>
                <w:tab w:val="left" w:pos="720"/>
              </w:tabs>
              <w:rPr>
                <w:rFonts w:hint="eastAsia" w:ascii="仿宋" w:hAnsi="仿宋" w:eastAsia="仿宋" w:cs="仿宋"/>
                <w:sz w:val="24"/>
                <w:szCs w:val="24"/>
              </w:rPr>
            </w:pPr>
            <w:r>
              <w:rPr>
                <w:rFonts w:hint="eastAsia" w:ascii="仿宋" w:hAnsi="仿宋" w:eastAsia="仿宋" w:cs="仿宋"/>
                <w:sz w:val="24"/>
                <w:szCs w:val="24"/>
              </w:rPr>
              <w:t>2、基础和声学，王瑞年，人民音乐出版社，2016.8</w:t>
            </w:r>
          </w:p>
          <w:p w14:paraId="68275E70">
            <w:pPr>
              <w:tabs>
                <w:tab w:val="left" w:pos="720"/>
              </w:tabs>
              <w:rPr>
                <w:rFonts w:hint="eastAsia" w:ascii="仿宋" w:hAnsi="仿宋" w:eastAsia="仿宋" w:cs="仿宋"/>
                <w:kern w:val="0"/>
                <w:sz w:val="24"/>
                <w:szCs w:val="24"/>
              </w:rPr>
            </w:pPr>
            <w:r>
              <w:rPr>
                <w:rFonts w:hint="eastAsia" w:ascii="仿宋" w:hAnsi="仿宋" w:eastAsia="仿宋" w:cs="仿宋"/>
                <w:sz w:val="24"/>
                <w:szCs w:val="24"/>
              </w:rPr>
              <w:t>3、和声分析：谱例分析与和弦标记,王瑞年,人民音乐出版社，2013.5</w:t>
            </w:r>
          </w:p>
        </w:tc>
      </w:tr>
      <w:tr w14:paraId="40D064C8">
        <w:trPr>
          <w:trHeight w:val="0" w:hRule="atLeast"/>
        </w:trPr>
        <w:tc>
          <w:tcPr>
            <w:tcW w:w="1376" w:type="dxa"/>
            <w:tcBorders>
              <w:bottom w:val="single" w:color="auto" w:sz="4" w:space="0"/>
            </w:tcBorders>
            <w:vAlign w:val="center"/>
          </w:tcPr>
          <w:p w14:paraId="6307FCAE">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C</w:t>
            </w:r>
          </w:p>
          <w:p w14:paraId="378044E1">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线上学习资源</w:t>
            </w:r>
          </w:p>
        </w:tc>
        <w:tc>
          <w:tcPr>
            <w:tcW w:w="7772" w:type="dxa"/>
            <w:gridSpan w:val="18"/>
            <w:tcBorders>
              <w:bottom w:val="single" w:color="auto" w:sz="4" w:space="0"/>
            </w:tcBorders>
            <w:vAlign w:val="center"/>
          </w:tcPr>
          <w:p w14:paraId="39E53FC5">
            <w:pPr>
              <w:rPr>
                <w:rFonts w:hint="eastAsia" w:ascii="仿宋" w:hAnsi="仿宋" w:eastAsia="仿宋" w:cs="仿宋"/>
                <w:kern w:val="0"/>
                <w:sz w:val="24"/>
                <w:szCs w:val="24"/>
              </w:rPr>
            </w:pPr>
            <w:r>
              <w:rPr>
                <w:rFonts w:hint="eastAsia" w:ascii="仿宋" w:hAnsi="仿宋" w:eastAsia="仿宋" w:cs="仿宋"/>
                <w:sz w:val="24"/>
                <w:szCs w:val="24"/>
              </w:rPr>
              <w:t>相关音乐的网络音频、视频资源。</w:t>
            </w:r>
          </w:p>
        </w:tc>
      </w:tr>
      <w:tr w14:paraId="756129C6">
        <w:trPr>
          <w:trHeight w:val="0" w:hRule="atLeast"/>
        </w:trPr>
        <w:tc>
          <w:tcPr>
            <w:tcW w:w="1376" w:type="dxa"/>
            <w:vAlign w:val="center"/>
          </w:tcPr>
          <w:p w14:paraId="31005E43">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D</w:t>
            </w:r>
          </w:p>
          <w:p w14:paraId="67CAAF3E">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 xml:space="preserve">课程描述 </w:t>
            </w:r>
          </w:p>
          <w:p w14:paraId="512BAD63">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(含性质、地位和任务)</w:t>
            </w:r>
          </w:p>
        </w:tc>
        <w:tc>
          <w:tcPr>
            <w:tcW w:w="7772" w:type="dxa"/>
            <w:gridSpan w:val="18"/>
            <w:tcBorders>
              <w:bottom w:val="single" w:color="auto" w:sz="4" w:space="0"/>
            </w:tcBorders>
            <w:vAlign w:val="center"/>
          </w:tcPr>
          <w:p w14:paraId="2396955B">
            <w:pPr>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本</w:t>
            </w:r>
            <w:r>
              <w:rPr>
                <w:rFonts w:hint="eastAsia" w:ascii="仿宋" w:hAnsi="仿宋" w:eastAsia="仿宋" w:cs="仿宋"/>
                <w:kern w:val="0"/>
                <w:sz w:val="24"/>
                <w:szCs w:val="24"/>
              </w:rPr>
              <w:t>课程是音乐专业的专业基础课，是学习多声音乐中的和声规律及其应用的一门基础理论课程。通过教学使学生比较系统地理解基础和声理论及其应用：能分析一般中、外乐曲中常见的和声现象，掌握初步的和声写作技能，为音乐表演、编写歌曲伴奏与小型合唱学习有关作曲技术理论课程打下基础。</w:t>
            </w:r>
          </w:p>
        </w:tc>
      </w:tr>
      <w:tr w14:paraId="26E14FF2">
        <w:trPr>
          <w:trHeight w:val="0" w:hRule="atLeast"/>
        </w:trPr>
        <w:tc>
          <w:tcPr>
            <w:tcW w:w="1376" w:type="dxa"/>
            <w:vMerge w:val="restart"/>
            <w:vAlign w:val="center"/>
          </w:tcPr>
          <w:p w14:paraId="18F601D1">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E</w:t>
            </w:r>
          </w:p>
          <w:p w14:paraId="5A80FCFC">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课程学习目标及其与毕业要求的对应关系</w:t>
            </w:r>
          </w:p>
        </w:tc>
        <w:tc>
          <w:tcPr>
            <w:tcW w:w="7772" w:type="dxa"/>
            <w:gridSpan w:val="18"/>
            <w:tcBorders>
              <w:bottom w:val="single" w:color="auto" w:sz="4" w:space="0"/>
            </w:tcBorders>
            <w:vAlign w:val="center"/>
          </w:tcPr>
          <w:p w14:paraId="03FDE01D">
            <w:pPr>
              <w:jc w:val="left"/>
              <w:rPr>
                <w:rFonts w:hint="eastAsia" w:ascii="仿宋" w:hAnsi="仿宋" w:eastAsia="仿宋" w:cs="仿宋"/>
                <w:sz w:val="24"/>
                <w:szCs w:val="24"/>
              </w:rPr>
            </w:pPr>
            <w:r>
              <w:rPr>
                <w:rFonts w:hint="eastAsia" w:ascii="仿宋" w:hAnsi="仿宋" w:eastAsia="仿宋" w:cs="仿宋"/>
                <w:sz w:val="24"/>
                <w:szCs w:val="24"/>
              </w:rPr>
              <w:t>通过本课程的学习，学生具备如下知识、能力及情感态度价值观：</w:t>
            </w:r>
          </w:p>
          <w:p w14:paraId="791D6279">
            <w:pPr>
              <w:rPr>
                <w:rFonts w:hint="eastAsia" w:ascii="仿宋" w:hAnsi="仿宋" w:eastAsia="仿宋" w:cs="仿宋"/>
                <w:sz w:val="24"/>
                <w:szCs w:val="24"/>
              </w:rPr>
            </w:pPr>
            <w:r>
              <w:rPr>
                <w:rFonts w:hint="eastAsia" w:ascii="仿宋" w:hAnsi="仿宋" w:eastAsia="仿宋" w:cs="仿宋"/>
                <w:b/>
                <w:bCs/>
                <w:kern w:val="0"/>
                <w:sz w:val="24"/>
                <w:szCs w:val="24"/>
              </w:rPr>
              <w:t>课程目标1：</w:t>
            </w:r>
            <w:r>
              <w:rPr>
                <w:rFonts w:hint="eastAsia" w:ascii="仿宋" w:hAnsi="仿宋" w:eastAsia="仿宋" w:cs="仿宋"/>
                <w:kern w:val="0"/>
                <w:sz w:val="24"/>
                <w:szCs w:val="24"/>
              </w:rPr>
              <w:t>通过学习多声部音乐中的</w:t>
            </w:r>
            <w:r>
              <w:rPr>
                <w:rFonts w:hint="eastAsia" w:ascii="仿宋" w:hAnsi="仿宋" w:eastAsia="仿宋" w:cs="仿宋"/>
                <w:color w:val="000000"/>
                <w:kern w:val="0"/>
                <w:sz w:val="24"/>
                <w:szCs w:val="24"/>
              </w:rPr>
              <w:t>和声材料、和声手法以及和声功能逻辑，</w:t>
            </w:r>
            <w:r>
              <w:rPr>
                <w:rFonts w:hint="eastAsia" w:ascii="仿宋" w:hAnsi="仿宋" w:eastAsia="仿宋" w:cs="仿宋"/>
                <w:color w:val="000000"/>
                <w:kern w:val="0"/>
                <w:sz w:val="24"/>
                <w:szCs w:val="24"/>
                <w:lang w:val="en-US" w:eastAsia="en-US"/>
              </w:rPr>
              <w:t>初步</w:t>
            </w:r>
            <w:r>
              <w:rPr>
                <w:rFonts w:hint="eastAsia" w:ascii="仿宋" w:hAnsi="仿宋" w:eastAsia="仿宋" w:cs="仿宋"/>
                <w:color w:val="000000"/>
                <w:kern w:val="0"/>
                <w:sz w:val="24"/>
                <w:szCs w:val="24"/>
              </w:rPr>
              <w:t>掌握主调音乐写作基本方法；通过分析一般中、外乐曲中常见的和声现象，</w:t>
            </w:r>
            <w:r>
              <w:rPr>
                <w:rFonts w:hint="eastAsia" w:ascii="仿宋" w:hAnsi="仿宋" w:eastAsia="仿宋" w:cs="仿宋"/>
                <w:color w:val="000000"/>
                <w:kern w:val="0"/>
                <w:sz w:val="24"/>
                <w:szCs w:val="24"/>
                <w:lang w:val="en-US" w:eastAsia="en-US"/>
              </w:rPr>
              <w:t>初步</w:t>
            </w:r>
            <w:r>
              <w:rPr>
                <w:rFonts w:hint="eastAsia" w:ascii="仿宋" w:hAnsi="仿宋" w:eastAsia="仿宋" w:cs="仿宋"/>
                <w:color w:val="000000"/>
                <w:kern w:val="0"/>
                <w:sz w:val="24"/>
                <w:szCs w:val="24"/>
              </w:rPr>
              <w:t>掌握和声</w:t>
            </w:r>
            <w:r>
              <w:rPr>
                <w:rFonts w:hint="eastAsia" w:ascii="仿宋" w:hAnsi="仿宋" w:eastAsia="仿宋" w:cs="仿宋"/>
                <w:color w:val="000000"/>
                <w:kern w:val="0"/>
                <w:sz w:val="24"/>
                <w:szCs w:val="24"/>
                <w:lang w:eastAsia="en-US"/>
              </w:rPr>
              <w:t>分析</w:t>
            </w:r>
            <w:r>
              <w:rPr>
                <w:rFonts w:hint="eastAsia" w:ascii="仿宋" w:hAnsi="仿宋" w:eastAsia="仿宋" w:cs="仿宋"/>
                <w:color w:val="000000"/>
                <w:kern w:val="0"/>
                <w:sz w:val="24"/>
                <w:szCs w:val="24"/>
              </w:rPr>
              <w:t>技能。</w:t>
            </w:r>
            <w:r>
              <w:rPr>
                <w:rFonts w:hint="eastAsia" w:ascii="仿宋" w:hAnsi="仿宋" w:eastAsia="仿宋" w:cs="仿宋"/>
                <w:kern w:val="0"/>
                <w:sz w:val="24"/>
                <w:szCs w:val="24"/>
              </w:rPr>
              <w:t>（支撑毕业要求</w:t>
            </w:r>
            <w:r>
              <w:rPr>
                <w:rFonts w:ascii="仿宋" w:hAnsi="仿宋" w:eastAsia="仿宋" w:cs="仿宋"/>
                <w:sz w:val="24"/>
                <w:szCs w:val="24"/>
              </w:rPr>
              <w:t>3.2</w:t>
            </w:r>
            <w:r>
              <w:rPr>
                <w:rFonts w:hint="eastAsia" w:ascii="仿宋" w:hAnsi="仿宋" w:eastAsia="仿宋" w:cs="仿宋"/>
                <w:sz w:val="24"/>
                <w:szCs w:val="24"/>
              </w:rPr>
              <w:t>）</w:t>
            </w:r>
          </w:p>
          <w:p w14:paraId="67356F99">
            <w:pPr>
              <w:rPr>
                <w:rFonts w:hint="eastAsia" w:ascii="仿宋" w:hAnsi="仿宋" w:eastAsia="仿宋" w:cs="仿宋"/>
                <w:kern w:val="0"/>
                <w:sz w:val="24"/>
                <w:szCs w:val="24"/>
              </w:rPr>
            </w:pPr>
            <w:r>
              <w:rPr>
                <w:rFonts w:hint="eastAsia" w:ascii="仿宋" w:hAnsi="仿宋" w:eastAsia="仿宋" w:cs="仿宋"/>
                <w:b/>
                <w:bCs/>
                <w:kern w:val="0"/>
                <w:sz w:val="24"/>
                <w:szCs w:val="24"/>
              </w:rPr>
              <w:t>课程目标2：</w:t>
            </w:r>
            <w:r>
              <w:rPr>
                <w:rFonts w:hint="eastAsia" w:ascii="仿宋" w:hAnsi="仿宋" w:eastAsia="仿宋" w:cs="仿宋"/>
                <w:kern w:val="0"/>
                <w:sz w:val="24"/>
                <w:szCs w:val="24"/>
              </w:rPr>
              <w:t>通过本课程的学习</w:t>
            </w:r>
            <w:r>
              <w:rPr>
                <w:rFonts w:hint="eastAsia" w:ascii="仿宋" w:hAnsi="仿宋" w:eastAsia="仿宋" w:cs="仿宋"/>
                <w:kern w:val="0"/>
                <w:sz w:val="24"/>
                <w:szCs w:val="24"/>
                <w:lang w:eastAsia="zh-CN"/>
              </w:rPr>
              <w:t>，</w:t>
            </w:r>
            <w:r>
              <w:rPr>
                <w:rFonts w:hint="eastAsia" w:ascii="仿宋" w:hAnsi="仿宋" w:eastAsia="仿宋" w:cs="仿宋"/>
                <w:kern w:val="0"/>
                <w:sz w:val="24"/>
                <w:szCs w:val="24"/>
              </w:rPr>
              <w:t>理解中、外作品中常见的和声风格特征</w:t>
            </w:r>
            <w:r>
              <w:rPr>
                <w:rFonts w:hint="eastAsia" w:ascii="仿宋" w:hAnsi="仿宋" w:eastAsia="仿宋" w:cs="仿宋"/>
                <w:kern w:val="0"/>
                <w:sz w:val="24"/>
                <w:szCs w:val="24"/>
                <w:lang w:eastAsia="zh-CN"/>
              </w:rPr>
              <w:t>，</w:t>
            </w:r>
            <w:r>
              <w:rPr>
                <w:rFonts w:hint="eastAsia" w:ascii="仿宋" w:hAnsi="仿宋" w:eastAsia="仿宋" w:cs="仿宋"/>
                <w:kern w:val="0"/>
                <w:sz w:val="24"/>
                <w:szCs w:val="24"/>
                <w:lang w:val="en-US" w:eastAsia="en-US"/>
              </w:rPr>
              <w:t>初步具备对</w:t>
            </w:r>
            <w:r>
              <w:rPr>
                <w:rFonts w:hint="eastAsia" w:ascii="仿宋" w:hAnsi="仿宋" w:eastAsia="仿宋" w:cs="仿宋"/>
                <w:kern w:val="0"/>
                <w:sz w:val="24"/>
                <w:szCs w:val="24"/>
              </w:rPr>
              <w:t>音乐作品</w:t>
            </w:r>
            <w:r>
              <w:rPr>
                <w:rFonts w:hint="eastAsia" w:ascii="仿宋" w:hAnsi="仿宋" w:eastAsia="仿宋" w:cs="仿宋"/>
                <w:kern w:val="0"/>
                <w:sz w:val="24"/>
                <w:szCs w:val="24"/>
                <w:lang w:val="en-US" w:eastAsia="en-US"/>
              </w:rPr>
              <w:t>进行</w:t>
            </w:r>
            <w:r>
              <w:rPr>
                <w:rFonts w:hint="eastAsia" w:ascii="仿宋" w:hAnsi="仿宋" w:eastAsia="仿宋" w:cs="仿宋"/>
                <w:kern w:val="0"/>
                <w:sz w:val="24"/>
                <w:szCs w:val="24"/>
              </w:rPr>
              <w:t>和声布局设计，</w:t>
            </w:r>
            <w:r>
              <w:rPr>
                <w:rFonts w:hint="eastAsia" w:ascii="仿宋" w:hAnsi="仿宋" w:eastAsia="仿宋" w:cs="仿宋"/>
                <w:kern w:val="0"/>
                <w:sz w:val="24"/>
                <w:szCs w:val="24"/>
                <w:lang w:val="en-US" w:eastAsia="en-US"/>
              </w:rPr>
              <w:t>以及对合唱和小型器乐曲的</w:t>
            </w:r>
            <w:r>
              <w:rPr>
                <w:rFonts w:hint="eastAsia" w:ascii="仿宋" w:hAnsi="仿宋" w:eastAsia="仿宋" w:cs="仿宋"/>
                <w:kern w:val="0"/>
                <w:sz w:val="24"/>
                <w:szCs w:val="24"/>
                <w:lang w:val="en-US" w:eastAsia="zh-CN"/>
              </w:rPr>
              <w:t>和声</w:t>
            </w:r>
            <w:r>
              <w:rPr>
                <w:rFonts w:hint="eastAsia" w:ascii="仿宋" w:hAnsi="仿宋" w:eastAsia="仿宋" w:cs="仿宋"/>
                <w:kern w:val="0"/>
                <w:sz w:val="24"/>
                <w:szCs w:val="24"/>
                <w:lang w:val="en-US" w:eastAsia="en-US"/>
              </w:rPr>
              <w:t>编配基本能力</w:t>
            </w:r>
            <w:r>
              <w:rPr>
                <w:rFonts w:hint="eastAsia" w:ascii="仿宋" w:hAnsi="仿宋" w:eastAsia="仿宋" w:cs="仿宋"/>
                <w:kern w:val="0"/>
                <w:sz w:val="24"/>
                <w:szCs w:val="24"/>
                <w:lang w:eastAsia="en-US"/>
              </w:rPr>
              <w:t>。</w:t>
            </w:r>
            <w:r>
              <w:rPr>
                <w:rFonts w:hint="eastAsia" w:ascii="仿宋" w:hAnsi="仿宋" w:eastAsia="仿宋" w:cs="仿宋"/>
                <w:kern w:val="0"/>
                <w:sz w:val="24"/>
                <w:szCs w:val="24"/>
              </w:rPr>
              <w:t>（支撑毕业要求</w:t>
            </w:r>
            <w:r>
              <w:rPr>
                <w:rFonts w:ascii="仿宋" w:hAnsi="仿宋" w:eastAsia="仿宋" w:cs="仿宋"/>
                <w:kern w:val="0"/>
                <w:sz w:val="24"/>
                <w:szCs w:val="24"/>
              </w:rPr>
              <w:t>4</w:t>
            </w:r>
            <w:r>
              <w:rPr>
                <w:rFonts w:hint="eastAsia" w:ascii="仿宋" w:hAnsi="仿宋" w:eastAsia="仿宋" w:cs="仿宋"/>
                <w:kern w:val="0"/>
                <w:sz w:val="24"/>
                <w:szCs w:val="24"/>
                <w:lang w:val="en-US" w:eastAsia="en-US"/>
              </w:rPr>
              <w:t>.</w:t>
            </w:r>
            <w:r>
              <w:rPr>
                <w:rFonts w:ascii="仿宋" w:hAnsi="仿宋" w:eastAsia="仿宋" w:cs="仿宋"/>
                <w:kern w:val="0"/>
                <w:sz w:val="24"/>
                <w:szCs w:val="24"/>
                <w:lang w:eastAsia="en-US"/>
              </w:rPr>
              <w:t>1</w:t>
            </w:r>
            <w:r>
              <w:rPr>
                <w:rFonts w:hint="eastAsia" w:ascii="仿宋" w:hAnsi="仿宋" w:eastAsia="仿宋" w:cs="仿宋"/>
                <w:kern w:val="0"/>
                <w:sz w:val="24"/>
                <w:szCs w:val="24"/>
              </w:rPr>
              <w:t>）</w:t>
            </w:r>
          </w:p>
          <w:p w14:paraId="4BEE2AF3">
            <w:pPr>
              <w:rPr>
                <w:rFonts w:hint="eastAsia" w:ascii="仿宋" w:hAnsi="仿宋" w:eastAsia="仿宋" w:cs="仿宋"/>
                <w:sz w:val="24"/>
                <w:szCs w:val="24"/>
              </w:rPr>
            </w:pPr>
            <w:r>
              <w:rPr>
                <w:rFonts w:hint="eastAsia" w:ascii="仿宋" w:hAnsi="仿宋" w:eastAsia="仿宋" w:cs="仿宋"/>
                <w:b/>
                <w:bCs/>
                <w:kern w:val="0"/>
                <w:sz w:val="24"/>
                <w:szCs w:val="24"/>
              </w:rPr>
              <w:t>课程目标3：</w:t>
            </w:r>
            <w:r>
              <w:rPr>
                <w:rFonts w:hint="eastAsia" w:ascii="仿宋" w:hAnsi="仿宋" w:eastAsia="仿宋" w:cs="仿宋"/>
                <w:kern w:val="0"/>
                <w:sz w:val="24"/>
                <w:szCs w:val="24"/>
              </w:rPr>
              <w:t>通过本课程的学习</w:t>
            </w:r>
            <w:r>
              <w:rPr>
                <w:rFonts w:hint="eastAsia" w:ascii="仿宋" w:hAnsi="仿宋" w:eastAsia="仿宋" w:cs="仿宋"/>
                <w:kern w:val="0"/>
                <w:sz w:val="24"/>
                <w:szCs w:val="24"/>
                <w:lang w:eastAsia="zh-CN"/>
              </w:rPr>
              <w:t>，</w:t>
            </w:r>
            <w:r>
              <w:rPr>
                <w:rFonts w:hint="eastAsia" w:ascii="仿宋" w:hAnsi="仿宋" w:eastAsia="仿宋" w:cs="仿宋"/>
                <w:kern w:val="0"/>
                <w:sz w:val="24"/>
                <w:szCs w:val="24"/>
              </w:rPr>
              <w:t>理解中、外作品中所蕴含的丰富人文情感，培养良好的审美情趣，</w:t>
            </w:r>
            <w:r>
              <w:rPr>
                <w:rFonts w:hint="eastAsia" w:ascii="仿宋" w:hAnsi="仿宋" w:eastAsia="仿宋" w:cs="仿宋"/>
                <w:kern w:val="0"/>
                <w:sz w:val="24"/>
                <w:szCs w:val="24"/>
                <w:lang w:val="en-US" w:eastAsia="en-US"/>
              </w:rPr>
              <w:t>初步掌握多声音乐审美中的</w:t>
            </w:r>
            <w:r>
              <w:rPr>
                <w:rFonts w:hint="eastAsia" w:ascii="仿宋" w:hAnsi="仿宋" w:eastAsia="仿宋" w:cs="仿宋"/>
                <w:kern w:val="0"/>
                <w:sz w:val="24"/>
                <w:szCs w:val="24"/>
              </w:rPr>
              <w:t>批判性思维</w:t>
            </w:r>
            <w:r>
              <w:rPr>
                <w:rFonts w:hint="eastAsia" w:ascii="仿宋" w:hAnsi="仿宋" w:eastAsia="仿宋" w:cs="仿宋"/>
                <w:kern w:val="0"/>
                <w:sz w:val="24"/>
                <w:szCs w:val="24"/>
                <w:lang w:eastAsia="en-US"/>
              </w:rPr>
              <w:t>，</w:t>
            </w:r>
            <w:r>
              <w:rPr>
                <w:rFonts w:hint="eastAsia" w:ascii="仿宋" w:hAnsi="仿宋" w:eastAsia="仿宋" w:cs="仿宋"/>
                <w:kern w:val="0"/>
                <w:sz w:val="24"/>
                <w:szCs w:val="24"/>
                <w:lang w:val="en-US" w:eastAsia="en-US"/>
              </w:rPr>
              <w:t>初步具备多元化的音乐价值观</w:t>
            </w:r>
            <w:r>
              <w:rPr>
                <w:rFonts w:hint="eastAsia" w:ascii="仿宋" w:hAnsi="仿宋" w:eastAsia="仿宋" w:cs="仿宋"/>
                <w:kern w:val="0"/>
                <w:sz w:val="24"/>
                <w:szCs w:val="24"/>
              </w:rPr>
              <w:t>。（支撑毕业要求</w:t>
            </w:r>
            <w:r>
              <w:rPr>
                <w:rFonts w:ascii="仿宋" w:hAnsi="仿宋" w:eastAsia="仿宋" w:cs="仿宋"/>
                <w:kern w:val="0"/>
                <w:sz w:val="24"/>
                <w:szCs w:val="24"/>
              </w:rPr>
              <w:t>7</w:t>
            </w:r>
            <w:r>
              <w:rPr>
                <w:rFonts w:hint="eastAsia" w:ascii="仿宋" w:hAnsi="仿宋" w:eastAsia="仿宋" w:cs="仿宋"/>
                <w:kern w:val="0"/>
                <w:sz w:val="24"/>
                <w:szCs w:val="24"/>
                <w:lang w:val="en-US" w:eastAsia="en-US"/>
              </w:rPr>
              <w:t>.</w:t>
            </w:r>
            <w:r>
              <w:rPr>
                <w:rFonts w:ascii="仿宋" w:hAnsi="仿宋" w:eastAsia="仿宋" w:cs="仿宋"/>
                <w:kern w:val="0"/>
                <w:sz w:val="24"/>
                <w:szCs w:val="24"/>
                <w:lang w:eastAsia="en-US"/>
              </w:rPr>
              <w:t>1</w:t>
            </w:r>
            <w:r>
              <w:rPr>
                <w:rFonts w:hint="eastAsia" w:ascii="仿宋" w:hAnsi="仿宋" w:eastAsia="仿宋" w:cs="仿宋"/>
                <w:kern w:val="0"/>
                <w:sz w:val="24"/>
                <w:szCs w:val="24"/>
              </w:rPr>
              <w:t>）</w:t>
            </w:r>
          </w:p>
        </w:tc>
      </w:tr>
      <w:tr w14:paraId="3FAA5AFD">
        <w:trPr>
          <w:trHeight w:val="0" w:hRule="atLeast"/>
        </w:trPr>
        <w:tc>
          <w:tcPr>
            <w:tcW w:w="1376" w:type="dxa"/>
            <w:vMerge w:val="continue"/>
            <w:vAlign w:val="center"/>
          </w:tcPr>
          <w:p w14:paraId="20B6EC9C">
            <w:pPr>
              <w:spacing w:line="240" w:lineRule="atLeast"/>
              <w:jc w:val="center"/>
              <w:rPr>
                <w:rFonts w:hint="eastAsia" w:ascii="仿宋" w:hAnsi="仿宋" w:eastAsia="仿宋" w:cs="仿宋"/>
                <w:sz w:val="24"/>
                <w:szCs w:val="24"/>
              </w:rPr>
            </w:pPr>
          </w:p>
        </w:tc>
        <w:tc>
          <w:tcPr>
            <w:tcW w:w="1323" w:type="dxa"/>
            <w:gridSpan w:val="2"/>
            <w:tcBorders>
              <w:bottom w:val="single" w:color="auto" w:sz="4" w:space="0"/>
            </w:tcBorders>
            <w:vAlign w:val="center"/>
          </w:tcPr>
          <w:p w14:paraId="5BE4717F">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课程目标</w:t>
            </w:r>
          </w:p>
        </w:tc>
        <w:tc>
          <w:tcPr>
            <w:tcW w:w="4896" w:type="dxa"/>
            <w:gridSpan w:val="13"/>
            <w:tcBorders>
              <w:bottom w:val="single" w:color="auto" w:sz="4" w:space="0"/>
            </w:tcBorders>
            <w:vAlign w:val="center"/>
          </w:tcPr>
          <w:p w14:paraId="264F41D2">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毕业要求分解指标点</w:t>
            </w:r>
          </w:p>
        </w:tc>
        <w:tc>
          <w:tcPr>
            <w:tcW w:w="1553" w:type="dxa"/>
            <w:gridSpan w:val="3"/>
            <w:tcBorders>
              <w:bottom w:val="single" w:color="auto" w:sz="4" w:space="0"/>
            </w:tcBorders>
            <w:vAlign w:val="center"/>
          </w:tcPr>
          <w:p w14:paraId="5980E477">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毕业要求</w:t>
            </w:r>
          </w:p>
        </w:tc>
      </w:tr>
      <w:tr w14:paraId="009BF1FF">
        <w:trPr>
          <w:trHeight w:val="0" w:hRule="atLeast"/>
        </w:trPr>
        <w:tc>
          <w:tcPr>
            <w:tcW w:w="1376" w:type="dxa"/>
            <w:vMerge w:val="continue"/>
            <w:vAlign w:val="center"/>
          </w:tcPr>
          <w:p w14:paraId="36651945">
            <w:pPr>
              <w:spacing w:line="240" w:lineRule="atLeast"/>
              <w:jc w:val="center"/>
              <w:rPr>
                <w:rFonts w:hint="eastAsia" w:ascii="仿宋" w:hAnsi="仿宋" w:eastAsia="仿宋" w:cs="仿宋"/>
                <w:sz w:val="24"/>
                <w:szCs w:val="24"/>
              </w:rPr>
            </w:pPr>
          </w:p>
        </w:tc>
        <w:tc>
          <w:tcPr>
            <w:tcW w:w="1323" w:type="dxa"/>
            <w:gridSpan w:val="2"/>
            <w:tcBorders>
              <w:bottom w:val="single" w:color="auto" w:sz="4" w:space="0"/>
            </w:tcBorders>
            <w:vAlign w:val="center"/>
          </w:tcPr>
          <w:p w14:paraId="0BED08DA">
            <w:pPr>
              <w:jc w:val="center"/>
              <w:rPr>
                <w:rFonts w:hint="eastAsia" w:ascii="仿宋" w:hAnsi="仿宋" w:eastAsia="仿宋" w:cs="仿宋"/>
                <w:sz w:val="24"/>
                <w:szCs w:val="24"/>
              </w:rPr>
            </w:pPr>
            <w:r>
              <w:rPr>
                <w:rFonts w:hint="eastAsia" w:ascii="仿宋" w:hAnsi="仿宋" w:eastAsia="仿宋" w:cs="仿宋"/>
                <w:sz w:val="24"/>
                <w:szCs w:val="24"/>
              </w:rPr>
              <w:t>课程目标1</w:t>
            </w:r>
          </w:p>
        </w:tc>
        <w:tc>
          <w:tcPr>
            <w:tcW w:w="4896" w:type="dxa"/>
            <w:gridSpan w:val="13"/>
            <w:vAlign w:val="center"/>
          </w:tcPr>
          <w:p w14:paraId="4EF99055">
            <w:pPr>
              <w:rPr>
                <w:rFonts w:hint="eastAsia" w:ascii="仿宋" w:hAnsi="仿宋" w:eastAsia="仿宋" w:cs="仿宋"/>
                <w:kern w:val="0"/>
                <w:sz w:val="24"/>
                <w:szCs w:val="24"/>
              </w:rPr>
            </w:pPr>
            <w:r>
              <w:rPr>
                <w:rFonts w:hint="eastAsia" w:ascii="仿宋" w:hAnsi="仿宋" w:eastAsia="仿宋" w:cs="仿宋"/>
                <w:kern w:val="0"/>
                <w:sz w:val="24"/>
                <w:szCs w:val="24"/>
              </w:rPr>
              <w:t>3.2【</w:t>
            </w:r>
            <w:r>
              <w:rPr>
                <w:rFonts w:hint="eastAsia" w:ascii="仿宋" w:hAnsi="仿宋" w:eastAsia="仿宋" w:cs="仿宋"/>
                <w:kern w:val="0"/>
                <w:sz w:val="24"/>
                <w:szCs w:val="24"/>
                <w:lang w:val="en-US" w:eastAsia="en-US"/>
              </w:rPr>
              <w:t>理论</w:t>
            </w:r>
            <w:r>
              <w:rPr>
                <w:rFonts w:hint="eastAsia" w:ascii="仿宋" w:hAnsi="仿宋" w:eastAsia="仿宋" w:cs="仿宋"/>
                <w:kern w:val="0"/>
                <w:sz w:val="24"/>
                <w:szCs w:val="24"/>
              </w:rPr>
              <w:t>素养】掌握</w:t>
            </w:r>
            <w:r>
              <w:rPr>
                <w:rFonts w:hint="eastAsia" w:ascii="仿宋" w:hAnsi="仿宋" w:eastAsia="仿宋" w:cs="仿宋"/>
                <w:kern w:val="0"/>
                <w:sz w:val="24"/>
                <w:szCs w:val="24"/>
                <w:lang w:val="en-US" w:eastAsia="en-US"/>
              </w:rPr>
              <w:t>音乐</w:t>
            </w:r>
            <w:r>
              <w:rPr>
                <w:rFonts w:hint="eastAsia" w:ascii="仿宋" w:hAnsi="仿宋" w:eastAsia="仿宋" w:cs="仿宋"/>
                <w:kern w:val="0"/>
                <w:sz w:val="24"/>
                <w:szCs w:val="24"/>
              </w:rPr>
              <w:t>理论的基本知识，了解中外音乐史的总体框架，</w:t>
            </w:r>
            <w:r>
              <w:rPr>
                <w:rFonts w:hint="eastAsia" w:ascii="仿宋" w:hAnsi="仿宋" w:eastAsia="仿宋" w:cs="仿宋"/>
                <w:kern w:val="0"/>
                <w:sz w:val="24"/>
                <w:szCs w:val="24"/>
                <w:lang w:val="en-US" w:eastAsia="en-US"/>
              </w:rPr>
              <w:t>理解</w:t>
            </w:r>
            <w:r>
              <w:rPr>
                <w:rFonts w:hint="eastAsia" w:ascii="仿宋" w:hAnsi="仿宋" w:eastAsia="仿宋" w:cs="仿宋"/>
                <w:kern w:val="0"/>
                <w:sz w:val="24"/>
                <w:szCs w:val="24"/>
              </w:rPr>
              <w:t>音乐理论课程之间的相互关联，形成</w:t>
            </w:r>
            <w:r>
              <w:rPr>
                <w:rFonts w:hint="eastAsia" w:ascii="仿宋" w:hAnsi="仿宋" w:eastAsia="仿宋" w:cs="仿宋"/>
                <w:kern w:val="0"/>
                <w:sz w:val="24"/>
                <w:szCs w:val="24"/>
                <w:lang w:val="en-US" w:eastAsia="en-US"/>
              </w:rPr>
              <w:t>初步的音乐</w:t>
            </w:r>
            <w:r>
              <w:rPr>
                <w:rFonts w:hint="eastAsia" w:ascii="仿宋" w:hAnsi="仿宋" w:eastAsia="仿宋" w:cs="仿宋"/>
                <w:kern w:val="0"/>
                <w:sz w:val="24"/>
                <w:szCs w:val="24"/>
              </w:rPr>
              <w:t>理论知识体系，</w:t>
            </w:r>
            <w:r>
              <w:rPr>
                <w:rFonts w:hint="eastAsia" w:ascii="仿宋" w:hAnsi="仿宋" w:eastAsia="仿宋" w:cs="仿宋"/>
                <w:kern w:val="0"/>
                <w:sz w:val="24"/>
                <w:szCs w:val="24"/>
                <w:lang w:val="en-US" w:eastAsia="en-US"/>
              </w:rPr>
              <w:t>能够</w:t>
            </w:r>
            <w:r>
              <w:rPr>
                <w:rFonts w:hint="eastAsia" w:ascii="仿宋" w:hAnsi="仿宋" w:eastAsia="仿宋" w:cs="仿宋"/>
                <w:kern w:val="0"/>
                <w:sz w:val="24"/>
                <w:szCs w:val="24"/>
              </w:rPr>
              <w:t>综合运用音乐理论知识解决</w:t>
            </w:r>
            <w:r>
              <w:rPr>
                <w:rFonts w:hint="eastAsia" w:ascii="仿宋" w:hAnsi="仿宋" w:eastAsia="仿宋" w:cs="仿宋"/>
                <w:kern w:val="0"/>
                <w:sz w:val="24"/>
                <w:szCs w:val="24"/>
                <w:lang w:val="en-US" w:eastAsia="en-US"/>
              </w:rPr>
              <w:t>相关</w:t>
            </w:r>
            <w:r>
              <w:rPr>
                <w:rFonts w:hint="eastAsia" w:ascii="仿宋" w:hAnsi="仿宋" w:eastAsia="仿宋" w:cs="仿宋"/>
                <w:kern w:val="0"/>
                <w:sz w:val="24"/>
                <w:szCs w:val="24"/>
              </w:rPr>
              <w:t>教学问题。</w:t>
            </w:r>
          </w:p>
        </w:tc>
        <w:tc>
          <w:tcPr>
            <w:tcW w:w="1553" w:type="dxa"/>
            <w:gridSpan w:val="3"/>
            <w:vAlign w:val="center"/>
          </w:tcPr>
          <w:p w14:paraId="0192BAB4">
            <w:pPr>
              <w:jc w:val="center"/>
              <w:rPr>
                <w:rFonts w:hint="eastAsia" w:ascii="仿宋" w:hAnsi="仿宋" w:eastAsia="仿宋"/>
                <w:sz w:val="24"/>
              </w:rPr>
            </w:pPr>
            <w:r>
              <w:rPr>
                <w:rFonts w:hint="eastAsia" w:ascii="仿宋" w:hAnsi="仿宋" w:eastAsia="仿宋"/>
                <w:sz w:val="24"/>
              </w:rPr>
              <w:t>学科素养</w:t>
            </w:r>
          </w:p>
          <w:p w14:paraId="78B2E4FA">
            <w:pPr>
              <w:jc w:val="center"/>
              <w:rPr>
                <w:rFonts w:hint="eastAsia" w:ascii="仿宋" w:hAnsi="仿宋" w:eastAsia="仿宋"/>
                <w:sz w:val="24"/>
              </w:rPr>
            </w:pPr>
            <w:r>
              <w:rPr>
                <w:rFonts w:hint="eastAsia" w:ascii="仿宋" w:hAnsi="仿宋" w:eastAsia="仿宋"/>
                <w:sz w:val="24"/>
              </w:rPr>
              <w:t>（</w:t>
            </w:r>
            <w:r>
              <w:rPr>
                <w:rFonts w:ascii="仿宋" w:hAnsi="仿宋" w:eastAsia="仿宋"/>
                <w:sz w:val="24"/>
              </w:rPr>
              <w:t>H</w:t>
            </w:r>
            <w:r>
              <w:rPr>
                <w:rFonts w:hint="eastAsia" w:ascii="仿宋" w:hAnsi="仿宋" w:eastAsia="仿宋"/>
                <w:sz w:val="24"/>
              </w:rPr>
              <w:t>）</w:t>
            </w:r>
          </w:p>
        </w:tc>
      </w:tr>
      <w:tr w14:paraId="726422BC">
        <w:trPr>
          <w:trHeight w:val="0" w:hRule="atLeast"/>
        </w:trPr>
        <w:tc>
          <w:tcPr>
            <w:tcW w:w="1376" w:type="dxa"/>
            <w:vMerge w:val="continue"/>
            <w:vAlign w:val="center"/>
          </w:tcPr>
          <w:p w14:paraId="55135A22">
            <w:pPr>
              <w:spacing w:line="240" w:lineRule="atLeast"/>
              <w:jc w:val="center"/>
              <w:rPr>
                <w:rFonts w:hint="eastAsia" w:ascii="仿宋" w:hAnsi="仿宋" w:eastAsia="仿宋" w:cs="仿宋"/>
                <w:sz w:val="24"/>
                <w:szCs w:val="24"/>
              </w:rPr>
            </w:pPr>
          </w:p>
        </w:tc>
        <w:tc>
          <w:tcPr>
            <w:tcW w:w="1323" w:type="dxa"/>
            <w:gridSpan w:val="2"/>
            <w:vAlign w:val="center"/>
          </w:tcPr>
          <w:p w14:paraId="2A93C99F">
            <w:pPr>
              <w:jc w:val="center"/>
              <w:rPr>
                <w:rFonts w:hint="eastAsia" w:ascii="仿宋" w:hAnsi="仿宋" w:eastAsia="仿宋" w:cs="仿宋"/>
                <w:sz w:val="24"/>
                <w:szCs w:val="24"/>
              </w:rPr>
            </w:pPr>
            <w:r>
              <w:rPr>
                <w:rFonts w:hint="eastAsia" w:ascii="仿宋" w:hAnsi="仿宋" w:eastAsia="仿宋" w:cs="仿宋"/>
                <w:sz w:val="24"/>
                <w:szCs w:val="24"/>
              </w:rPr>
              <w:t>课程目标2</w:t>
            </w:r>
          </w:p>
        </w:tc>
        <w:tc>
          <w:tcPr>
            <w:tcW w:w="4896" w:type="dxa"/>
            <w:gridSpan w:val="13"/>
            <w:vAlign w:val="center"/>
          </w:tcPr>
          <w:p w14:paraId="2AEE715B">
            <w:pPr>
              <w:rPr>
                <w:rFonts w:hint="eastAsia" w:ascii="仿宋" w:hAnsi="仿宋" w:eastAsia="仿宋" w:cs="仿宋"/>
                <w:kern w:val="0"/>
                <w:sz w:val="24"/>
                <w:szCs w:val="24"/>
              </w:rPr>
            </w:pPr>
            <w:r>
              <w:rPr>
                <w:rFonts w:hint="eastAsia" w:ascii="仿宋" w:hAnsi="仿宋" w:eastAsia="仿宋" w:cs="仿宋"/>
                <w:kern w:val="0"/>
                <w:sz w:val="24"/>
                <w:szCs w:val="24"/>
              </w:rPr>
              <w:t>4.1【教学设计与实施】熟悉中学音乐课程标准和教材，能够正确处理课标和教材的关系，科学合理地进行教学设计并实施教学，准确把握教学内容，分析学情，合理安排教学过程和环节，科学设计评价内容和方式，根据学生音乐认知的特征和个体差异，注重差异化教学。课后能够及时反思、总结形成初步的教研能力。</w:t>
            </w:r>
          </w:p>
        </w:tc>
        <w:tc>
          <w:tcPr>
            <w:tcW w:w="1553" w:type="dxa"/>
            <w:gridSpan w:val="3"/>
            <w:vAlign w:val="center"/>
          </w:tcPr>
          <w:p w14:paraId="5DB9ECB6">
            <w:pPr>
              <w:jc w:val="center"/>
              <w:rPr>
                <w:rFonts w:hint="eastAsia" w:ascii="仿宋" w:hAnsi="仿宋" w:eastAsia="仿宋"/>
                <w:sz w:val="24"/>
              </w:rPr>
            </w:pPr>
            <w:r>
              <w:rPr>
                <w:rFonts w:hint="eastAsia" w:ascii="仿宋" w:hAnsi="仿宋" w:eastAsia="仿宋"/>
                <w:sz w:val="24"/>
              </w:rPr>
              <w:t>教学能力</w:t>
            </w:r>
          </w:p>
          <w:p w14:paraId="549D4EF4">
            <w:pPr>
              <w:jc w:val="center"/>
              <w:rPr>
                <w:rFonts w:hint="eastAsia" w:ascii="仿宋" w:hAnsi="仿宋" w:eastAsia="仿宋"/>
                <w:sz w:val="24"/>
              </w:rPr>
            </w:pPr>
            <w:r>
              <w:rPr>
                <w:rFonts w:hint="eastAsia" w:ascii="仿宋" w:hAnsi="仿宋" w:eastAsia="仿宋"/>
                <w:sz w:val="24"/>
              </w:rPr>
              <w:t>（</w:t>
            </w:r>
            <w:r>
              <w:rPr>
                <w:rFonts w:ascii="仿宋" w:hAnsi="仿宋" w:eastAsia="仿宋"/>
                <w:sz w:val="24"/>
              </w:rPr>
              <w:t>M</w:t>
            </w:r>
            <w:r>
              <w:rPr>
                <w:rFonts w:hint="eastAsia" w:ascii="仿宋" w:hAnsi="仿宋" w:eastAsia="仿宋"/>
                <w:sz w:val="24"/>
              </w:rPr>
              <w:t>）</w:t>
            </w:r>
          </w:p>
        </w:tc>
      </w:tr>
      <w:tr w14:paraId="10DD8559">
        <w:trPr>
          <w:trHeight w:val="0" w:hRule="atLeast"/>
        </w:trPr>
        <w:tc>
          <w:tcPr>
            <w:tcW w:w="1376" w:type="dxa"/>
            <w:vMerge w:val="continue"/>
            <w:vAlign w:val="center"/>
          </w:tcPr>
          <w:p w14:paraId="31C8B4D8">
            <w:pPr>
              <w:spacing w:line="240" w:lineRule="atLeast"/>
              <w:jc w:val="center"/>
              <w:rPr>
                <w:rFonts w:hint="eastAsia" w:ascii="仿宋" w:hAnsi="仿宋" w:eastAsia="仿宋" w:cs="仿宋"/>
                <w:sz w:val="24"/>
                <w:szCs w:val="24"/>
              </w:rPr>
            </w:pPr>
          </w:p>
        </w:tc>
        <w:tc>
          <w:tcPr>
            <w:tcW w:w="1323" w:type="dxa"/>
            <w:gridSpan w:val="2"/>
            <w:vAlign w:val="center"/>
          </w:tcPr>
          <w:p w14:paraId="064B5F6D">
            <w:pPr>
              <w:jc w:val="center"/>
              <w:rPr>
                <w:rFonts w:hint="eastAsia" w:ascii="仿宋" w:hAnsi="仿宋" w:eastAsia="仿宋" w:cs="仿宋"/>
                <w:sz w:val="24"/>
                <w:szCs w:val="24"/>
              </w:rPr>
            </w:pPr>
            <w:r>
              <w:rPr>
                <w:rFonts w:hint="eastAsia" w:ascii="仿宋" w:hAnsi="仿宋" w:eastAsia="仿宋" w:cs="仿宋"/>
                <w:sz w:val="24"/>
                <w:szCs w:val="24"/>
              </w:rPr>
              <w:t>课程目标3</w:t>
            </w:r>
          </w:p>
        </w:tc>
        <w:tc>
          <w:tcPr>
            <w:tcW w:w="4896" w:type="dxa"/>
            <w:gridSpan w:val="13"/>
            <w:vAlign w:val="center"/>
          </w:tcPr>
          <w:p w14:paraId="5C3A5BDD">
            <w:pPr>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rPr>
              <w:t>7.1【反思改进】具有反思意识和批评性思维素养，初步掌握教育教学反思的基本方法和策略，能够对音乐教育教学实践活动进行有效的自我诊断，提出改进思路。</w:t>
            </w:r>
          </w:p>
        </w:tc>
        <w:tc>
          <w:tcPr>
            <w:tcW w:w="1553" w:type="dxa"/>
            <w:gridSpan w:val="3"/>
            <w:vAlign w:val="center"/>
          </w:tcPr>
          <w:p w14:paraId="1112CB63">
            <w:pPr>
              <w:jc w:val="center"/>
              <w:rPr>
                <w:rFonts w:hint="eastAsia" w:ascii="仿宋" w:hAnsi="仿宋" w:eastAsia="仿宋"/>
                <w:sz w:val="24"/>
              </w:rPr>
            </w:pPr>
            <w:r>
              <w:rPr>
                <w:rFonts w:hint="eastAsia" w:ascii="仿宋" w:hAnsi="仿宋" w:eastAsia="仿宋"/>
                <w:sz w:val="24"/>
              </w:rPr>
              <w:t>学会反思</w:t>
            </w:r>
          </w:p>
          <w:p w14:paraId="09F248A5">
            <w:pPr>
              <w:jc w:val="center"/>
              <w:rPr>
                <w:rFonts w:hint="eastAsia" w:ascii="仿宋" w:hAnsi="仿宋" w:eastAsia="仿宋"/>
                <w:kern w:val="2"/>
                <w:sz w:val="24"/>
                <w:szCs w:val="22"/>
                <w:lang w:val="en-US" w:eastAsia="zh-CN" w:bidi="ar-SA"/>
              </w:rPr>
            </w:pPr>
            <w:r>
              <w:rPr>
                <w:rFonts w:hint="eastAsia" w:ascii="仿宋" w:hAnsi="仿宋" w:eastAsia="仿宋"/>
                <w:sz w:val="24"/>
              </w:rPr>
              <w:t>（</w:t>
            </w:r>
            <w:r>
              <w:rPr>
                <w:rFonts w:ascii="仿宋" w:hAnsi="仿宋" w:eastAsia="仿宋"/>
                <w:sz w:val="24"/>
              </w:rPr>
              <w:t>L</w:t>
            </w:r>
            <w:r>
              <w:rPr>
                <w:rFonts w:hint="eastAsia" w:ascii="仿宋" w:hAnsi="仿宋" w:eastAsia="仿宋"/>
                <w:sz w:val="24"/>
              </w:rPr>
              <w:t>）</w:t>
            </w:r>
          </w:p>
        </w:tc>
      </w:tr>
      <w:tr w14:paraId="1938213B">
        <w:trPr>
          <w:trHeight w:val="0" w:hRule="atLeast"/>
        </w:trPr>
        <w:tc>
          <w:tcPr>
            <w:tcW w:w="1376" w:type="dxa"/>
            <w:vMerge w:val="restart"/>
            <w:vAlign w:val="center"/>
          </w:tcPr>
          <w:p w14:paraId="02CBAAF7">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F</w:t>
            </w:r>
          </w:p>
          <w:p w14:paraId="5E5A5A1B">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理论学习内容</w:t>
            </w:r>
          </w:p>
        </w:tc>
        <w:tc>
          <w:tcPr>
            <w:tcW w:w="6219" w:type="dxa"/>
            <w:gridSpan w:val="15"/>
            <w:vAlign w:val="center"/>
          </w:tcPr>
          <w:p w14:paraId="67354D89">
            <w:pPr>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章节学习内容与学习要求</w:t>
            </w:r>
          </w:p>
        </w:tc>
        <w:tc>
          <w:tcPr>
            <w:tcW w:w="990" w:type="dxa"/>
            <w:gridSpan w:val="2"/>
            <w:vAlign w:val="center"/>
          </w:tcPr>
          <w:p w14:paraId="1C641172">
            <w:pPr>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支撑课程</w:t>
            </w:r>
          </w:p>
          <w:p w14:paraId="77018539">
            <w:pPr>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563" w:type="dxa"/>
            <w:vAlign w:val="center"/>
          </w:tcPr>
          <w:p w14:paraId="6FEC36E7">
            <w:pPr>
              <w:spacing w:line="240" w:lineRule="atLeast"/>
              <w:jc w:val="center"/>
              <w:rPr>
                <w:rFonts w:ascii="仿宋" w:hAnsi="仿宋" w:eastAsia="仿宋" w:cs="仿宋"/>
                <w:kern w:val="0"/>
                <w:sz w:val="24"/>
                <w:szCs w:val="24"/>
              </w:rPr>
            </w:pPr>
            <w:r>
              <w:rPr>
                <w:rFonts w:hint="eastAsia" w:ascii="仿宋" w:hAnsi="仿宋" w:eastAsia="仿宋" w:cs="仿宋"/>
                <w:kern w:val="0"/>
                <w:sz w:val="24"/>
                <w:szCs w:val="24"/>
              </w:rPr>
              <w:t>学时</w:t>
            </w:r>
          </w:p>
          <w:p w14:paraId="42808CA6">
            <w:pPr>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分配</w:t>
            </w:r>
          </w:p>
        </w:tc>
      </w:tr>
      <w:tr w14:paraId="475B2005">
        <w:trPr>
          <w:trHeight w:val="0" w:hRule="atLeast"/>
        </w:trPr>
        <w:tc>
          <w:tcPr>
            <w:tcW w:w="1376" w:type="dxa"/>
            <w:vMerge w:val="continue"/>
            <w:vAlign w:val="center"/>
          </w:tcPr>
          <w:p w14:paraId="255F162A">
            <w:pPr>
              <w:spacing w:line="240" w:lineRule="atLeast"/>
              <w:jc w:val="right"/>
              <w:rPr>
                <w:rFonts w:hint="eastAsia" w:ascii="仿宋" w:hAnsi="仿宋" w:eastAsia="仿宋" w:cs="仿宋"/>
                <w:sz w:val="24"/>
                <w:szCs w:val="24"/>
              </w:rPr>
            </w:pPr>
          </w:p>
        </w:tc>
        <w:tc>
          <w:tcPr>
            <w:tcW w:w="6219" w:type="dxa"/>
            <w:gridSpan w:val="15"/>
            <w:vAlign w:val="center"/>
          </w:tcPr>
          <w:p w14:paraId="4B4FB7CE">
            <w:pPr>
              <w:rPr>
                <w:rFonts w:hint="eastAsia" w:ascii="仿宋" w:hAnsi="仿宋" w:eastAsia="仿宋" w:cs="仿宋"/>
                <w:kern w:val="0"/>
                <w:sz w:val="24"/>
                <w:szCs w:val="24"/>
              </w:rPr>
            </w:pPr>
            <w:r>
              <w:rPr>
                <w:rFonts w:hint="eastAsia" w:ascii="仿宋" w:hAnsi="仿宋" w:eastAsia="仿宋" w:cs="仿宋"/>
                <w:kern w:val="0"/>
                <w:sz w:val="24"/>
                <w:szCs w:val="24"/>
              </w:rPr>
              <w:t>第一章 四部和声</w:t>
            </w:r>
          </w:p>
          <w:p w14:paraId="009ED641">
            <w:pPr>
              <w:rPr>
                <w:rFonts w:hint="eastAsia" w:ascii="仿宋" w:hAnsi="仿宋" w:eastAsia="仿宋" w:cs="仿宋"/>
                <w:kern w:val="0"/>
                <w:sz w:val="24"/>
                <w:szCs w:val="24"/>
              </w:rPr>
            </w:pPr>
            <w:r>
              <w:rPr>
                <w:rFonts w:hint="eastAsia" w:ascii="仿宋" w:hAnsi="仿宋" w:eastAsia="仿宋" w:cs="仿宋"/>
                <w:kern w:val="0"/>
                <w:sz w:val="24"/>
                <w:szCs w:val="24"/>
              </w:rPr>
              <w:t>知道层次：</w:t>
            </w:r>
          </w:p>
          <w:p w14:paraId="33BD63FC">
            <w:pPr>
              <w:rPr>
                <w:rFonts w:hint="eastAsia" w:ascii="仿宋" w:hAnsi="仿宋" w:eastAsia="仿宋" w:cs="仿宋"/>
                <w:kern w:val="0"/>
                <w:sz w:val="24"/>
                <w:szCs w:val="24"/>
              </w:rPr>
            </w:pPr>
            <w:r>
              <w:rPr>
                <w:rFonts w:hint="eastAsia" w:ascii="仿宋" w:hAnsi="仿宋" w:eastAsia="仿宋" w:cs="仿宋"/>
                <w:kern w:val="0"/>
                <w:sz w:val="24"/>
                <w:szCs w:val="24"/>
              </w:rPr>
              <w:t>1.掌握多声音乐、和声的概念，了解和声的发展历程2.掌握各种三、七和弦的结构、重复音与省略音原则与原、转位的名称及意义；</w:t>
            </w:r>
          </w:p>
          <w:p w14:paraId="2ACBCF0A">
            <w:pPr>
              <w:rPr>
                <w:rFonts w:hint="eastAsia" w:ascii="仿宋" w:hAnsi="仿宋" w:eastAsia="仿宋" w:cs="仿宋"/>
                <w:kern w:val="0"/>
                <w:sz w:val="24"/>
                <w:szCs w:val="24"/>
              </w:rPr>
            </w:pPr>
            <w:r>
              <w:rPr>
                <w:rFonts w:hint="eastAsia" w:ascii="仿宋" w:hAnsi="仿宋" w:eastAsia="仿宋" w:cs="仿宋"/>
                <w:kern w:val="0"/>
                <w:sz w:val="24"/>
                <w:szCs w:val="24"/>
              </w:rPr>
              <w:t>3.准确认识四部和声，熟练掌握密集与开放排列法两种排列法，正确进行旋律位置的设置，避免各种禁忌，为和弦连接做好准备。</w:t>
            </w:r>
          </w:p>
          <w:p w14:paraId="60735801">
            <w:pPr>
              <w:rPr>
                <w:rFonts w:hint="eastAsia" w:ascii="仿宋" w:hAnsi="仿宋" w:eastAsia="仿宋" w:cs="仿宋"/>
                <w:kern w:val="0"/>
                <w:sz w:val="24"/>
                <w:szCs w:val="24"/>
              </w:rPr>
            </w:pPr>
            <w:r>
              <w:rPr>
                <w:rFonts w:hint="eastAsia" w:ascii="仿宋" w:hAnsi="仿宋" w:eastAsia="仿宋" w:cs="仿宋"/>
                <w:kern w:val="0"/>
                <w:sz w:val="24"/>
                <w:szCs w:val="24"/>
              </w:rPr>
              <w:t>领会层次：</w:t>
            </w:r>
          </w:p>
          <w:p w14:paraId="712EED7A">
            <w:pPr>
              <w:rPr>
                <w:rFonts w:hint="eastAsia" w:ascii="仿宋" w:hAnsi="仿宋" w:eastAsia="仿宋" w:cs="仿宋"/>
                <w:kern w:val="0"/>
                <w:sz w:val="24"/>
                <w:szCs w:val="24"/>
              </w:rPr>
            </w:pPr>
            <w:r>
              <w:rPr>
                <w:rFonts w:hint="eastAsia" w:ascii="仿宋" w:hAnsi="仿宋" w:eastAsia="仿宋" w:cs="仿宋"/>
                <w:kern w:val="0"/>
                <w:sz w:val="24"/>
                <w:szCs w:val="24"/>
              </w:rPr>
              <w:t>1.什么是多声音乐、什么是和声、和声学的发展历程。</w:t>
            </w:r>
          </w:p>
          <w:p w14:paraId="65640337">
            <w:pPr>
              <w:rPr>
                <w:rFonts w:hint="eastAsia" w:ascii="仿宋" w:hAnsi="仿宋" w:eastAsia="仿宋" w:cs="仿宋"/>
                <w:kern w:val="0"/>
                <w:sz w:val="24"/>
                <w:szCs w:val="24"/>
              </w:rPr>
            </w:pPr>
            <w:r>
              <w:rPr>
                <w:rFonts w:hint="eastAsia" w:ascii="仿宋" w:hAnsi="仿宋" w:eastAsia="仿宋" w:cs="仿宋"/>
                <w:kern w:val="0"/>
                <w:sz w:val="24"/>
                <w:szCs w:val="24"/>
              </w:rPr>
              <w:t>2.熟练掌握各种和弦的结构，原转位、重复音与省略音原则。</w:t>
            </w:r>
          </w:p>
          <w:p w14:paraId="057B701E">
            <w:pPr>
              <w:rPr>
                <w:rFonts w:hint="eastAsia" w:ascii="仿宋" w:hAnsi="仿宋" w:eastAsia="仿宋" w:cs="仿宋"/>
                <w:kern w:val="0"/>
                <w:sz w:val="24"/>
                <w:szCs w:val="24"/>
              </w:rPr>
            </w:pPr>
            <w:r>
              <w:rPr>
                <w:rFonts w:hint="eastAsia" w:ascii="仿宋" w:hAnsi="仿宋" w:eastAsia="仿宋" w:cs="仿宋"/>
                <w:kern w:val="0"/>
                <w:sz w:val="24"/>
                <w:szCs w:val="24"/>
              </w:rPr>
              <w:t>3.大小调式音阶中各级和弦的名称。</w:t>
            </w:r>
          </w:p>
          <w:p w14:paraId="2E2405BF">
            <w:pPr>
              <w:rPr>
                <w:rFonts w:hint="eastAsia" w:ascii="仿宋" w:hAnsi="仿宋" w:eastAsia="仿宋" w:cs="仿宋"/>
                <w:kern w:val="0"/>
                <w:sz w:val="24"/>
                <w:szCs w:val="24"/>
              </w:rPr>
            </w:pPr>
            <w:r>
              <w:rPr>
                <w:rFonts w:hint="eastAsia" w:ascii="仿宋" w:hAnsi="仿宋" w:eastAsia="仿宋" w:cs="仿宋"/>
                <w:kern w:val="0"/>
                <w:sz w:val="24"/>
                <w:szCs w:val="24"/>
              </w:rPr>
              <w:t>4.能熟练运用密集排列法、开放排列法准确进行四部和声的排列。</w:t>
            </w:r>
          </w:p>
          <w:p w14:paraId="2925742F">
            <w:pPr>
              <w:rPr>
                <w:rFonts w:hint="eastAsia" w:ascii="仿宋" w:hAnsi="仿宋" w:eastAsia="仿宋" w:cs="仿宋"/>
                <w:kern w:val="0"/>
                <w:sz w:val="24"/>
                <w:szCs w:val="24"/>
              </w:rPr>
            </w:pPr>
            <w:r>
              <w:rPr>
                <w:rFonts w:hint="eastAsia" w:ascii="仿宋" w:hAnsi="仿宋" w:eastAsia="仿宋" w:cs="仿宋"/>
                <w:kern w:val="0"/>
                <w:sz w:val="24"/>
                <w:szCs w:val="24"/>
              </w:rPr>
              <w:t>5.清楚知道排列时的禁忌，避免交错和上三声部相邻声部之间的超八度。</w:t>
            </w:r>
          </w:p>
          <w:p w14:paraId="67F1D72A">
            <w:pPr>
              <w:rPr>
                <w:rFonts w:hint="eastAsia" w:ascii="仿宋" w:hAnsi="仿宋" w:eastAsia="仿宋" w:cs="仿宋"/>
                <w:kern w:val="0"/>
                <w:sz w:val="24"/>
                <w:szCs w:val="24"/>
              </w:rPr>
            </w:pPr>
            <w:r>
              <w:rPr>
                <w:rFonts w:hint="eastAsia" w:ascii="仿宋" w:hAnsi="仿宋" w:eastAsia="仿宋" w:cs="仿宋"/>
                <w:kern w:val="0"/>
                <w:sz w:val="24"/>
                <w:szCs w:val="24"/>
              </w:rPr>
              <w:t>应用层次：</w:t>
            </w:r>
          </w:p>
          <w:p w14:paraId="4EFD3029">
            <w:pPr>
              <w:rPr>
                <w:rFonts w:hint="eastAsia" w:ascii="仿宋" w:hAnsi="仿宋" w:eastAsia="仿宋" w:cs="仿宋"/>
                <w:kern w:val="0"/>
                <w:sz w:val="24"/>
                <w:szCs w:val="24"/>
              </w:rPr>
            </w:pPr>
            <w:r>
              <w:rPr>
                <w:rFonts w:hint="eastAsia" w:ascii="仿宋" w:hAnsi="仿宋" w:eastAsia="仿宋" w:cs="仿宋"/>
                <w:kern w:val="0"/>
                <w:sz w:val="24"/>
                <w:szCs w:val="24"/>
              </w:rPr>
              <w:t xml:space="preserve">1.需要掌握的是各种和弦的结构、转位；特别需要重视的是大小调音阶中各级和弦的名称和级数标记。   </w:t>
            </w:r>
          </w:p>
          <w:p w14:paraId="3980E035">
            <w:pPr>
              <w:rPr>
                <w:rFonts w:hint="eastAsia" w:ascii="仿宋" w:hAnsi="仿宋" w:eastAsia="仿宋" w:cs="仿宋"/>
                <w:kern w:val="0"/>
                <w:sz w:val="24"/>
                <w:szCs w:val="24"/>
              </w:rPr>
            </w:pPr>
            <w:r>
              <w:rPr>
                <w:rFonts w:hint="eastAsia" w:ascii="仿宋" w:hAnsi="仿宋" w:eastAsia="仿宋" w:cs="仿宋"/>
                <w:kern w:val="0"/>
                <w:sz w:val="24"/>
                <w:szCs w:val="24"/>
              </w:rPr>
              <w:t>2.四个声部的名称与排列；符干的书写也非常重要。</w:t>
            </w:r>
          </w:p>
          <w:p w14:paraId="3A2D4DB9">
            <w:pPr>
              <w:rPr>
                <w:rFonts w:hint="eastAsia" w:ascii="仿宋" w:hAnsi="仿宋" w:eastAsia="仿宋" w:cs="仿宋"/>
                <w:kern w:val="0"/>
                <w:sz w:val="24"/>
                <w:szCs w:val="24"/>
              </w:rPr>
            </w:pPr>
            <w:r>
              <w:rPr>
                <w:rFonts w:hint="eastAsia" w:ascii="仿宋" w:hAnsi="仿宋" w:eastAsia="仿宋" w:cs="仿宋"/>
                <w:kern w:val="0"/>
                <w:sz w:val="24"/>
                <w:szCs w:val="24"/>
              </w:rPr>
              <w:t>3.掌握两种排列法、清楚旋律位置</w:t>
            </w:r>
          </w:p>
          <w:p w14:paraId="129711C1">
            <w:pP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思政元素：通过讲解四部和声的结构与排列规则，引导学生理解规则与秩序在艺术创作中的重要性，培养严谨、规范的学习态度。</w:t>
            </w:r>
          </w:p>
        </w:tc>
        <w:tc>
          <w:tcPr>
            <w:tcW w:w="990" w:type="dxa"/>
            <w:gridSpan w:val="2"/>
            <w:vAlign w:val="center"/>
          </w:tcPr>
          <w:p w14:paraId="25BC146F">
            <w:pPr>
              <w:jc w:val="center"/>
              <w:rPr>
                <w:rFonts w:hint="eastAsia" w:ascii="仿宋" w:hAnsi="仿宋" w:eastAsia="仿宋" w:cs="仿宋"/>
                <w:kern w:val="0"/>
                <w:sz w:val="24"/>
                <w:szCs w:val="24"/>
              </w:rPr>
            </w:pPr>
            <w:r>
              <w:rPr>
                <w:rFonts w:hint="eastAsia" w:ascii="仿宋" w:hAnsi="仿宋" w:eastAsia="仿宋" w:cs="仿宋"/>
                <w:kern w:val="0"/>
                <w:sz w:val="24"/>
                <w:szCs w:val="24"/>
              </w:rPr>
              <w:t>支撑课程目标1、2、3</w:t>
            </w:r>
          </w:p>
        </w:tc>
        <w:tc>
          <w:tcPr>
            <w:tcW w:w="563" w:type="dxa"/>
            <w:vAlign w:val="center"/>
          </w:tcPr>
          <w:p w14:paraId="7E015939">
            <w:pPr>
              <w:jc w:val="center"/>
              <w:rPr>
                <w:rFonts w:hint="eastAsia" w:ascii="仿宋" w:hAnsi="仿宋" w:eastAsia="仿宋" w:cs="仿宋"/>
                <w:kern w:val="0"/>
                <w:sz w:val="24"/>
                <w:szCs w:val="24"/>
              </w:rPr>
            </w:pPr>
            <w:r>
              <w:rPr>
                <w:rFonts w:hint="eastAsia" w:ascii="仿宋" w:hAnsi="仿宋" w:eastAsia="仿宋" w:cs="仿宋"/>
                <w:kern w:val="0"/>
                <w:sz w:val="24"/>
                <w:szCs w:val="24"/>
              </w:rPr>
              <w:t>2</w:t>
            </w:r>
          </w:p>
        </w:tc>
      </w:tr>
      <w:tr w14:paraId="67E0EB6E">
        <w:trPr>
          <w:trHeight w:val="0" w:hRule="atLeast"/>
        </w:trPr>
        <w:tc>
          <w:tcPr>
            <w:tcW w:w="1376" w:type="dxa"/>
            <w:vMerge w:val="continue"/>
            <w:vAlign w:val="center"/>
          </w:tcPr>
          <w:p w14:paraId="50EDDAEC">
            <w:pPr>
              <w:spacing w:line="240" w:lineRule="atLeast"/>
              <w:jc w:val="right"/>
              <w:rPr>
                <w:rFonts w:hint="eastAsia" w:ascii="仿宋" w:hAnsi="仿宋" w:eastAsia="仿宋" w:cs="仿宋"/>
                <w:sz w:val="24"/>
                <w:szCs w:val="24"/>
              </w:rPr>
            </w:pPr>
          </w:p>
        </w:tc>
        <w:tc>
          <w:tcPr>
            <w:tcW w:w="6219" w:type="dxa"/>
            <w:gridSpan w:val="15"/>
            <w:vAlign w:val="center"/>
          </w:tcPr>
          <w:p w14:paraId="1E242A15">
            <w:pPr>
              <w:rPr>
                <w:rFonts w:hint="eastAsia" w:ascii="仿宋" w:hAnsi="仿宋" w:eastAsia="仿宋" w:cs="仿宋"/>
                <w:kern w:val="0"/>
                <w:sz w:val="24"/>
                <w:szCs w:val="24"/>
              </w:rPr>
            </w:pPr>
            <w:r>
              <w:rPr>
                <w:rFonts w:hint="eastAsia" w:ascii="仿宋" w:hAnsi="仿宋" w:eastAsia="仿宋" w:cs="仿宋"/>
                <w:kern w:val="0"/>
                <w:sz w:val="24"/>
                <w:szCs w:val="24"/>
              </w:rPr>
              <w:t>第二章 原位正三和弦的连接</w:t>
            </w:r>
          </w:p>
          <w:p w14:paraId="552BDB0C">
            <w:pPr>
              <w:rPr>
                <w:rFonts w:hint="eastAsia" w:ascii="仿宋" w:hAnsi="仿宋" w:eastAsia="仿宋" w:cs="仿宋"/>
                <w:kern w:val="0"/>
                <w:sz w:val="24"/>
                <w:szCs w:val="24"/>
              </w:rPr>
            </w:pPr>
            <w:r>
              <w:rPr>
                <w:rFonts w:hint="eastAsia" w:ascii="仿宋" w:hAnsi="仿宋" w:eastAsia="仿宋" w:cs="仿宋"/>
                <w:kern w:val="0"/>
                <w:sz w:val="24"/>
                <w:szCs w:val="24"/>
              </w:rPr>
              <w:t>知道层次：</w:t>
            </w:r>
          </w:p>
          <w:p w14:paraId="75016A29">
            <w:pPr>
              <w:rPr>
                <w:rFonts w:hint="eastAsia" w:ascii="仿宋" w:hAnsi="仿宋" w:eastAsia="仿宋" w:cs="仿宋"/>
                <w:kern w:val="0"/>
                <w:sz w:val="24"/>
                <w:szCs w:val="24"/>
              </w:rPr>
            </w:pPr>
            <w:r>
              <w:rPr>
                <w:rFonts w:hint="eastAsia" w:ascii="仿宋" w:hAnsi="仿宋" w:eastAsia="仿宋" w:cs="仿宋"/>
                <w:kern w:val="0"/>
                <w:sz w:val="24"/>
                <w:szCs w:val="24"/>
              </w:rPr>
              <w:t>1.熟练掌握和声、旋律两种连接法。</w:t>
            </w:r>
          </w:p>
          <w:p w14:paraId="42565E36">
            <w:pPr>
              <w:rPr>
                <w:rFonts w:hint="eastAsia" w:ascii="仿宋" w:hAnsi="仿宋" w:eastAsia="仿宋" w:cs="仿宋"/>
                <w:kern w:val="0"/>
                <w:sz w:val="24"/>
                <w:szCs w:val="24"/>
              </w:rPr>
            </w:pPr>
            <w:r>
              <w:rPr>
                <w:rFonts w:hint="eastAsia" w:ascii="仿宋" w:hAnsi="仿宋" w:eastAsia="仿宋" w:cs="仿宋"/>
                <w:kern w:val="0"/>
                <w:sz w:val="24"/>
                <w:szCs w:val="24"/>
              </w:rPr>
              <w:t>2.熟练掌握三音跳进、同和弦变位两种跳进连接方法，避免和弦连接中的各种不良进行。</w:t>
            </w:r>
          </w:p>
          <w:p w14:paraId="72731881">
            <w:pPr>
              <w:rPr>
                <w:rFonts w:hint="eastAsia" w:ascii="仿宋" w:hAnsi="仿宋" w:eastAsia="仿宋" w:cs="仿宋"/>
                <w:kern w:val="0"/>
                <w:sz w:val="24"/>
                <w:szCs w:val="24"/>
              </w:rPr>
            </w:pPr>
            <w:r>
              <w:rPr>
                <w:rFonts w:hint="eastAsia" w:ascii="仿宋" w:hAnsi="仿宋" w:eastAsia="仿宋" w:cs="仿宋"/>
                <w:kern w:val="0"/>
                <w:sz w:val="24"/>
                <w:szCs w:val="24"/>
              </w:rPr>
              <w:t>3.通过对终止式的学习，掌握各种终止式的名称和用途。</w:t>
            </w:r>
          </w:p>
          <w:p w14:paraId="1B9509BC">
            <w:pPr>
              <w:rPr>
                <w:rFonts w:hint="eastAsia" w:ascii="仿宋" w:hAnsi="仿宋" w:eastAsia="仿宋" w:cs="仿宋"/>
                <w:kern w:val="0"/>
                <w:sz w:val="24"/>
                <w:szCs w:val="24"/>
              </w:rPr>
            </w:pPr>
            <w:r>
              <w:rPr>
                <w:rFonts w:hint="eastAsia" w:ascii="仿宋" w:hAnsi="仿宋" w:eastAsia="仿宋" w:cs="仿宋"/>
                <w:kern w:val="0"/>
                <w:sz w:val="24"/>
                <w:szCs w:val="24"/>
              </w:rPr>
              <w:t>4.正确使用终止四六和弦。</w:t>
            </w:r>
          </w:p>
          <w:p w14:paraId="56E4229E">
            <w:pPr>
              <w:rPr>
                <w:rFonts w:hint="eastAsia" w:ascii="仿宋" w:hAnsi="仿宋" w:eastAsia="仿宋" w:cs="仿宋"/>
                <w:kern w:val="0"/>
                <w:sz w:val="24"/>
                <w:szCs w:val="24"/>
              </w:rPr>
            </w:pPr>
            <w:r>
              <w:rPr>
                <w:rFonts w:hint="eastAsia" w:ascii="仿宋" w:hAnsi="仿宋" w:eastAsia="仿宋" w:cs="仿宋"/>
                <w:kern w:val="0"/>
                <w:sz w:val="24"/>
                <w:szCs w:val="24"/>
              </w:rPr>
              <w:t>领会层次：</w:t>
            </w:r>
          </w:p>
          <w:p w14:paraId="1D2F0B74">
            <w:pPr>
              <w:rPr>
                <w:rFonts w:hint="eastAsia" w:ascii="仿宋" w:hAnsi="仿宋" w:eastAsia="仿宋" w:cs="仿宋"/>
                <w:kern w:val="0"/>
                <w:sz w:val="24"/>
                <w:szCs w:val="24"/>
              </w:rPr>
            </w:pPr>
            <w:r>
              <w:rPr>
                <w:rFonts w:hint="eastAsia" w:ascii="仿宋" w:hAnsi="仿宋" w:eastAsia="仿宋" w:cs="仿宋"/>
                <w:kern w:val="0"/>
                <w:sz w:val="24"/>
                <w:szCs w:val="24"/>
              </w:rPr>
              <w:t>1.和声连接法、旋律连接法。</w:t>
            </w:r>
          </w:p>
          <w:p w14:paraId="09967AED">
            <w:pPr>
              <w:rPr>
                <w:rFonts w:hint="eastAsia" w:ascii="仿宋" w:hAnsi="仿宋" w:eastAsia="仿宋" w:cs="仿宋"/>
                <w:kern w:val="0"/>
                <w:sz w:val="24"/>
                <w:szCs w:val="24"/>
              </w:rPr>
            </w:pPr>
            <w:r>
              <w:rPr>
                <w:rFonts w:hint="eastAsia" w:ascii="仿宋" w:hAnsi="仿宋" w:eastAsia="仿宋" w:cs="仿宋"/>
                <w:kern w:val="0"/>
                <w:sz w:val="24"/>
                <w:szCs w:val="24"/>
              </w:rPr>
              <w:t>2.了解各种不良音响效果是由于不良和声连接造成。</w:t>
            </w:r>
          </w:p>
          <w:p w14:paraId="0332758B">
            <w:pPr>
              <w:rPr>
                <w:rFonts w:hint="eastAsia" w:ascii="仿宋" w:hAnsi="仿宋" w:eastAsia="仿宋" w:cs="仿宋"/>
                <w:kern w:val="0"/>
                <w:sz w:val="24"/>
                <w:szCs w:val="24"/>
              </w:rPr>
            </w:pPr>
            <w:r>
              <w:rPr>
                <w:rFonts w:hint="eastAsia" w:ascii="仿宋" w:hAnsi="仿宋" w:eastAsia="仿宋" w:cs="仿宋"/>
                <w:kern w:val="0"/>
                <w:sz w:val="24"/>
                <w:szCs w:val="24"/>
              </w:rPr>
              <w:t>3.使用三音跳进、同和弦变位的具体方法。</w:t>
            </w:r>
          </w:p>
          <w:p w14:paraId="382C5F26">
            <w:pPr>
              <w:rPr>
                <w:rFonts w:hint="eastAsia" w:ascii="仿宋" w:hAnsi="仿宋" w:eastAsia="仿宋" w:cs="仿宋"/>
                <w:kern w:val="0"/>
                <w:sz w:val="24"/>
                <w:szCs w:val="24"/>
              </w:rPr>
            </w:pPr>
            <w:r>
              <w:rPr>
                <w:rFonts w:hint="eastAsia" w:ascii="仿宋" w:hAnsi="仿宋" w:eastAsia="仿宋" w:cs="仿宋"/>
                <w:kern w:val="0"/>
                <w:sz w:val="24"/>
                <w:szCs w:val="24"/>
              </w:rPr>
              <w:t>4.熟练掌握终止式的使用方法、准确运用和弦。</w:t>
            </w:r>
          </w:p>
          <w:p w14:paraId="775DCFE9">
            <w:pPr>
              <w:rPr>
                <w:rFonts w:hint="eastAsia" w:ascii="仿宋" w:hAnsi="仿宋" w:eastAsia="仿宋" w:cs="仿宋"/>
                <w:kern w:val="0"/>
                <w:sz w:val="24"/>
                <w:szCs w:val="24"/>
              </w:rPr>
            </w:pPr>
            <w:r>
              <w:rPr>
                <w:rFonts w:hint="eastAsia" w:ascii="仿宋" w:hAnsi="仿宋" w:eastAsia="仿宋" w:cs="仿宋"/>
                <w:kern w:val="0"/>
                <w:sz w:val="24"/>
                <w:szCs w:val="24"/>
              </w:rPr>
              <w:t>应用层次：</w:t>
            </w:r>
          </w:p>
          <w:p w14:paraId="28E47A02">
            <w:pPr>
              <w:rPr>
                <w:rFonts w:hint="eastAsia" w:ascii="仿宋" w:hAnsi="仿宋" w:eastAsia="仿宋" w:cs="仿宋"/>
                <w:kern w:val="0"/>
                <w:sz w:val="24"/>
                <w:szCs w:val="24"/>
              </w:rPr>
            </w:pPr>
            <w:r>
              <w:rPr>
                <w:rFonts w:hint="eastAsia" w:ascii="仿宋" w:hAnsi="仿宋" w:eastAsia="仿宋" w:cs="仿宋"/>
                <w:kern w:val="0"/>
                <w:sz w:val="24"/>
                <w:szCs w:val="24"/>
              </w:rPr>
              <w:t>1．要记住几个概念：主功能、属功能、下属功能、正格进行、变格进行、四五度根音关系、二度根音关系、平稳进行、跳进。</w:t>
            </w:r>
          </w:p>
          <w:p w14:paraId="5E834315">
            <w:pPr>
              <w:rPr>
                <w:rFonts w:hint="eastAsia" w:ascii="仿宋" w:hAnsi="仿宋" w:eastAsia="仿宋" w:cs="仿宋"/>
                <w:kern w:val="0"/>
                <w:sz w:val="24"/>
                <w:szCs w:val="24"/>
              </w:rPr>
            </w:pPr>
            <w:r>
              <w:rPr>
                <w:rFonts w:hint="eastAsia" w:ascii="仿宋" w:hAnsi="仿宋" w:eastAsia="仿宋" w:cs="仿宋"/>
                <w:kern w:val="0"/>
                <w:sz w:val="24"/>
                <w:szCs w:val="24"/>
              </w:rPr>
              <w:t>2．为旋律编配和声</w:t>
            </w:r>
          </w:p>
          <w:p w14:paraId="43ED0B1F">
            <w:pPr>
              <w:rPr>
                <w:rFonts w:hint="eastAsia" w:ascii="仿宋" w:hAnsi="仿宋" w:eastAsia="仿宋" w:cs="仿宋"/>
                <w:kern w:val="0"/>
                <w:sz w:val="24"/>
                <w:szCs w:val="24"/>
              </w:rPr>
            </w:pPr>
            <w:r>
              <w:rPr>
                <w:rFonts w:hint="eastAsia" w:ascii="仿宋" w:hAnsi="仿宋" w:eastAsia="仿宋" w:cs="仿宋"/>
                <w:kern w:val="0"/>
                <w:sz w:val="24"/>
                <w:szCs w:val="24"/>
              </w:rPr>
              <w:t>3．为低音声部编配和声</w:t>
            </w:r>
          </w:p>
        </w:tc>
        <w:tc>
          <w:tcPr>
            <w:tcW w:w="990" w:type="dxa"/>
            <w:gridSpan w:val="2"/>
            <w:vAlign w:val="center"/>
          </w:tcPr>
          <w:p w14:paraId="4B243555">
            <w:pPr>
              <w:jc w:val="center"/>
              <w:rPr>
                <w:rFonts w:hint="eastAsia" w:ascii="仿宋" w:hAnsi="仿宋" w:eastAsia="仿宋" w:cs="仿宋"/>
                <w:kern w:val="0"/>
                <w:sz w:val="24"/>
                <w:szCs w:val="24"/>
              </w:rPr>
            </w:pPr>
            <w:r>
              <w:rPr>
                <w:rFonts w:hint="eastAsia" w:ascii="仿宋" w:hAnsi="仿宋" w:eastAsia="仿宋" w:cs="仿宋"/>
                <w:kern w:val="0"/>
                <w:sz w:val="24"/>
                <w:szCs w:val="24"/>
              </w:rPr>
              <w:t>支撑课程目标1、2、3</w:t>
            </w:r>
          </w:p>
        </w:tc>
        <w:tc>
          <w:tcPr>
            <w:tcW w:w="563" w:type="dxa"/>
            <w:vAlign w:val="center"/>
          </w:tcPr>
          <w:p w14:paraId="4258A5C7">
            <w:pPr>
              <w:jc w:val="center"/>
              <w:rPr>
                <w:rFonts w:hint="eastAsia" w:ascii="仿宋" w:hAnsi="仿宋" w:eastAsia="仿宋" w:cs="仿宋"/>
                <w:kern w:val="0"/>
                <w:sz w:val="24"/>
                <w:szCs w:val="24"/>
              </w:rPr>
            </w:pPr>
            <w:r>
              <w:rPr>
                <w:rFonts w:hint="eastAsia" w:ascii="仿宋" w:hAnsi="仿宋" w:eastAsia="仿宋" w:cs="仿宋"/>
                <w:kern w:val="0"/>
                <w:sz w:val="24"/>
                <w:szCs w:val="24"/>
              </w:rPr>
              <w:t>10</w:t>
            </w:r>
          </w:p>
        </w:tc>
      </w:tr>
      <w:tr w14:paraId="22DCB623">
        <w:trPr>
          <w:trHeight w:val="0" w:hRule="atLeast"/>
        </w:trPr>
        <w:tc>
          <w:tcPr>
            <w:tcW w:w="1376" w:type="dxa"/>
            <w:vMerge w:val="continue"/>
            <w:vAlign w:val="center"/>
          </w:tcPr>
          <w:p w14:paraId="27AC6DC6">
            <w:pPr>
              <w:spacing w:line="240" w:lineRule="atLeast"/>
              <w:jc w:val="right"/>
              <w:rPr>
                <w:rFonts w:hint="eastAsia" w:ascii="仿宋" w:hAnsi="仿宋" w:eastAsia="仿宋" w:cs="仿宋"/>
                <w:sz w:val="24"/>
                <w:szCs w:val="24"/>
              </w:rPr>
            </w:pPr>
          </w:p>
        </w:tc>
        <w:tc>
          <w:tcPr>
            <w:tcW w:w="6219" w:type="dxa"/>
            <w:gridSpan w:val="15"/>
            <w:vAlign w:val="center"/>
          </w:tcPr>
          <w:p w14:paraId="619716FF">
            <w:pPr>
              <w:rPr>
                <w:rFonts w:hint="eastAsia" w:ascii="仿宋" w:hAnsi="仿宋" w:eastAsia="仿宋" w:cs="仿宋"/>
                <w:kern w:val="0"/>
                <w:sz w:val="24"/>
                <w:szCs w:val="24"/>
              </w:rPr>
            </w:pPr>
            <w:r>
              <w:rPr>
                <w:rFonts w:hint="eastAsia" w:ascii="仿宋" w:hAnsi="仿宋" w:eastAsia="仿宋" w:cs="仿宋"/>
                <w:kern w:val="0"/>
                <w:sz w:val="24"/>
                <w:szCs w:val="24"/>
              </w:rPr>
              <w:t>第三章 转位正三和弦的连接</w:t>
            </w:r>
          </w:p>
          <w:p w14:paraId="1AE45722">
            <w:pPr>
              <w:rPr>
                <w:rFonts w:hint="eastAsia" w:ascii="仿宋" w:hAnsi="仿宋" w:eastAsia="仿宋" w:cs="仿宋"/>
                <w:kern w:val="0"/>
                <w:sz w:val="24"/>
                <w:szCs w:val="24"/>
              </w:rPr>
            </w:pPr>
            <w:r>
              <w:rPr>
                <w:rFonts w:hint="eastAsia" w:ascii="仿宋" w:hAnsi="仿宋" w:eastAsia="仿宋" w:cs="仿宋"/>
                <w:kern w:val="0"/>
                <w:sz w:val="24"/>
                <w:szCs w:val="24"/>
              </w:rPr>
              <w:t>知道层次：</w:t>
            </w:r>
          </w:p>
          <w:p w14:paraId="2893860F">
            <w:pPr>
              <w:rPr>
                <w:rFonts w:hint="eastAsia" w:ascii="仿宋" w:hAnsi="仿宋" w:eastAsia="仿宋" w:cs="仿宋"/>
                <w:kern w:val="0"/>
                <w:sz w:val="24"/>
                <w:szCs w:val="24"/>
              </w:rPr>
            </w:pPr>
            <w:r>
              <w:rPr>
                <w:rFonts w:hint="eastAsia" w:ascii="仿宋" w:hAnsi="仿宋" w:eastAsia="仿宋" w:cs="仿宋"/>
                <w:kern w:val="0"/>
                <w:sz w:val="24"/>
                <w:szCs w:val="24"/>
              </w:rPr>
              <w:t>1.掌握六和弦、四六和弦的重复、省略音和使用方法；</w:t>
            </w:r>
          </w:p>
          <w:p w14:paraId="46014573">
            <w:pPr>
              <w:rPr>
                <w:rFonts w:hint="eastAsia" w:ascii="仿宋" w:hAnsi="仿宋" w:eastAsia="仿宋" w:cs="仿宋"/>
                <w:kern w:val="0"/>
                <w:sz w:val="24"/>
                <w:szCs w:val="24"/>
              </w:rPr>
            </w:pPr>
            <w:r>
              <w:rPr>
                <w:rFonts w:hint="eastAsia" w:ascii="仿宋" w:hAnsi="仿宋" w:eastAsia="仿宋" w:cs="仿宋"/>
                <w:kern w:val="0"/>
                <w:sz w:val="24"/>
                <w:szCs w:val="24"/>
              </w:rPr>
              <w:t>2.区别转位和弦与原位和弦在排列上、连接上的异同；</w:t>
            </w:r>
          </w:p>
          <w:p w14:paraId="1811833D">
            <w:pPr>
              <w:rPr>
                <w:rFonts w:hint="eastAsia" w:ascii="仿宋" w:hAnsi="仿宋" w:eastAsia="仿宋" w:cs="仿宋"/>
                <w:kern w:val="0"/>
                <w:sz w:val="24"/>
                <w:szCs w:val="24"/>
              </w:rPr>
            </w:pPr>
            <w:r>
              <w:rPr>
                <w:rFonts w:hint="eastAsia" w:ascii="仿宋" w:hAnsi="仿宋" w:eastAsia="仿宋" w:cs="仿宋"/>
                <w:kern w:val="0"/>
                <w:sz w:val="24"/>
                <w:szCs w:val="24"/>
              </w:rPr>
              <w:t>3.准确掌握一原一转的连接方法，能正确运用六和弦进行平稳连接与跳进连接；</w:t>
            </w:r>
          </w:p>
          <w:p w14:paraId="7513F536">
            <w:pPr>
              <w:rPr>
                <w:rFonts w:hint="eastAsia" w:ascii="仿宋" w:hAnsi="仿宋" w:eastAsia="仿宋" w:cs="仿宋"/>
                <w:kern w:val="0"/>
                <w:sz w:val="24"/>
                <w:szCs w:val="24"/>
              </w:rPr>
            </w:pPr>
            <w:r>
              <w:rPr>
                <w:rFonts w:hint="eastAsia" w:ascii="仿宋" w:hAnsi="仿宋" w:eastAsia="仿宋" w:cs="仿宋"/>
                <w:kern w:val="0"/>
                <w:sz w:val="24"/>
                <w:szCs w:val="24"/>
              </w:rPr>
              <w:t>4.能运用转位和弦的各种连接方法配置四部和声。</w:t>
            </w:r>
          </w:p>
          <w:p w14:paraId="2EFC4813">
            <w:pPr>
              <w:rPr>
                <w:rFonts w:hint="eastAsia" w:ascii="仿宋" w:hAnsi="仿宋" w:eastAsia="仿宋" w:cs="仿宋"/>
                <w:kern w:val="0"/>
                <w:sz w:val="24"/>
                <w:szCs w:val="24"/>
              </w:rPr>
            </w:pPr>
            <w:r>
              <w:rPr>
                <w:rFonts w:hint="eastAsia" w:ascii="仿宋" w:hAnsi="仿宋" w:eastAsia="仿宋" w:cs="仿宋"/>
                <w:kern w:val="0"/>
                <w:sz w:val="24"/>
                <w:szCs w:val="24"/>
              </w:rPr>
              <w:t>领会层次：</w:t>
            </w:r>
          </w:p>
          <w:p w14:paraId="59F60FF6">
            <w:pPr>
              <w:rPr>
                <w:rFonts w:hint="eastAsia" w:ascii="仿宋" w:hAnsi="仿宋" w:eastAsia="仿宋" w:cs="仿宋"/>
                <w:kern w:val="0"/>
                <w:sz w:val="24"/>
                <w:szCs w:val="24"/>
              </w:rPr>
            </w:pPr>
            <w:r>
              <w:rPr>
                <w:rFonts w:hint="eastAsia" w:ascii="仿宋" w:hAnsi="仿宋" w:eastAsia="仿宋" w:cs="仿宋"/>
                <w:kern w:val="0"/>
                <w:sz w:val="24"/>
                <w:szCs w:val="24"/>
              </w:rPr>
              <w:t>1. 了解正三和弦在转位后的功能、连接关系。</w:t>
            </w:r>
          </w:p>
          <w:p w14:paraId="657519F6">
            <w:pPr>
              <w:rPr>
                <w:rFonts w:hint="eastAsia" w:ascii="仿宋" w:hAnsi="仿宋" w:eastAsia="仿宋" w:cs="仿宋"/>
                <w:kern w:val="0"/>
                <w:sz w:val="24"/>
                <w:szCs w:val="24"/>
              </w:rPr>
            </w:pPr>
            <w:r>
              <w:rPr>
                <w:rFonts w:hint="eastAsia" w:ascii="仿宋" w:hAnsi="仿宋" w:eastAsia="仿宋" w:cs="仿宋"/>
                <w:kern w:val="0"/>
                <w:sz w:val="24"/>
                <w:szCs w:val="24"/>
              </w:rPr>
              <w:t>2. 能正确运用六和弦与原位三和弦、六和弦进行平稳连接与跳进连接。</w:t>
            </w:r>
          </w:p>
          <w:p w14:paraId="04938B1F">
            <w:pPr>
              <w:rPr>
                <w:rFonts w:hint="eastAsia" w:ascii="仿宋" w:hAnsi="仿宋" w:eastAsia="仿宋" w:cs="仿宋"/>
                <w:kern w:val="0"/>
                <w:sz w:val="24"/>
                <w:szCs w:val="24"/>
              </w:rPr>
            </w:pPr>
            <w:r>
              <w:rPr>
                <w:rFonts w:hint="eastAsia" w:ascii="仿宋" w:hAnsi="仿宋" w:eastAsia="仿宋" w:cs="仿宋"/>
                <w:kern w:val="0"/>
                <w:sz w:val="24"/>
                <w:szCs w:val="24"/>
              </w:rPr>
              <w:t>3. 熟练掌握四六和弦的运用模式。</w:t>
            </w:r>
          </w:p>
          <w:p w14:paraId="3EBBDC71">
            <w:pPr>
              <w:rPr>
                <w:rFonts w:hint="eastAsia" w:ascii="仿宋" w:hAnsi="仿宋" w:eastAsia="仿宋" w:cs="仿宋"/>
                <w:kern w:val="0"/>
                <w:sz w:val="24"/>
                <w:szCs w:val="24"/>
              </w:rPr>
            </w:pPr>
            <w:r>
              <w:rPr>
                <w:rFonts w:hint="eastAsia" w:ascii="仿宋" w:hAnsi="仿宋" w:eastAsia="仿宋" w:cs="仿宋"/>
                <w:kern w:val="0"/>
                <w:sz w:val="24"/>
                <w:szCs w:val="24"/>
              </w:rPr>
              <w:t>应用层次：</w:t>
            </w:r>
          </w:p>
          <w:p w14:paraId="7E9F7A4B">
            <w:pPr>
              <w:rPr>
                <w:rFonts w:hint="eastAsia" w:ascii="仿宋" w:hAnsi="仿宋" w:eastAsia="仿宋" w:cs="仿宋"/>
                <w:kern w:val="0"/>
                <w:sz w:val="24"/>
                <w:szCs w:val="24"/>
              </w:rPr>
            </w:pPr>
            <w:r>
              <w:rPr>
                <w:rFonts w:hint="eastAsia" w:ascii="仿宋" w:hAnsi="仿宋" w:eastAsia="仿宋" w:cs="仿宋"/>
                <w:kern w:val="0"/>
                <w:sz w:val="24"/>
                <w:szCs w:val="24"/>
              </w:rPr>
              <w:t>1.转位后变化较多，旋律变化可以变化，和弦可以多种配置，连接较为方便；</w:t>
            </w:r>
          </w:p>
          <w:p w14:paraId="5DDCC6A2">
            <w:pPr>
              <w:rPr>
                <w:rFonts w:hint="eastAsia" w:ascii="仿宋" w:hAnsi="仿宋" w:eastAsia="仿宋" w:cs="仿宋"/>
                <w:kern w:val="0"/>
                <w:sz w:val="24"/>
                <w:szCs w:val="24"/>
              </w:rPr>
            </w:pPr>
            <w:r>
              <w:rPr>
                <w:rFonts w:hint="eastAsia" w:ascii="仿宋" w:hAnsi="仿宋" w:eastAsia="仿宋" w:cs="仿宋"/>
                <w:kern w:val="0"/>
                <w:sz w:val="24"/>
                <w:szCs w:val="24"/>
              </w:rPr>
              <w:t>2.注意六和弦可多用和声连接。</w:t>
            </w:r>
          </w:p>
          <w:p w14:paraId="3F3A0C1A">
            <w:pPr>
              <w:rPr>
                <w:rFonts w:hint="eastAsia" w:ascii="仿宋" w:hAnsi="仿宋" w:eastAsia="仿宋" w:cs="仿宋"/>
                <w:kern w:val="0"/>
                <w:sz w:val="24"/>
                <w:szCs w:val="24"/>
              </w:rPr>
            </w:pPr>
            <w:r>
              <w:rPr>
                <w:rFonts w:hint="eastAsia" w:ascii="仿宋" w:hAnsi="仿宋" w:eastAsia="仿宋" w:cs="仿宋"/>
                <w:kern w:val="0"/>
                <w:sz w:val="24"/>
                <w:szCs w:val="24"/>
              </w:rPr>
              <w:t>3.四六和弦不能单独使用，只有几种较规范的格式，特别不能作结束和弦使用。</w:t>
            </w:r>
          </w:p>
        </w:tc>
        <w:tc>
          <w:tcPr>
            <w:tcW w:w="990" w:type="dxa"/>
            <w:gridSpan w:val="2"/>
            <w:vAlign w:val="center"/>
          </w:tcPr>
          <w:p w14:paraId="449521AA">
            <w:pPr>
              <w:jc w:val="center"/>
              <w:rPr>
                <w:rFonts w:hint="eastAsia" w:ascii="仿宋" w:hAnsi="仿宋" w:eastAsia="仿宋" w:cs="仿宋"/>
                <w:kern w:val="0"/>
                <w:sz w:val="24"/>
                <w:szCs w:val="24"/>
              </w:rPr>
            </w:pPr>
            <w:r>
              <w:rPr>
                <w:rFonts w:hint="eastAsia" w:ascii="仿宋" w:hAnsi="仿宋" w:eastAsia="仿宋" w:cs="仿宋"/>
                <w:kern w:val="0"/>
                <w:sz w:val="24"/>
                <w:szCs w:val="24"/>
              </w:rPr>
              <w:t>支撑课程目标1、2、3</w:t>
            </w:r>
          </w:p>
        </w:tc>
        <w:tc>
          <w:tcPr>
            <w:tcW w:w="563" w:type="dxa"/>
            <w:vAlign w:val="center"/>
          </w:tcPr>
          <w:p w14:paraId="3DF1F1D0">
            <w:pPr>
              <w:jc w:val="center"/>
              <w:rPr>
                <w:rFonts w:hint="eastAsia" w:ascii="仿宋" w:hAnsi="仿宋" w:eastAsia="仿宋" w:cs="仿宋"/>
                <w:kern w:val="0"/>
                <w:sz w:val="24"/>
                <w:szCs w:val="24"/>
              </w:rPr>
            </w:pPr>
            <w:r>
              <w:rPr>
                <w:rFonts w:hint="eastAsia" w:ascii="仿宋" w:hAnsi="仿宋" w:eastAsia="仿宋" w:cs="仿宋"/>
                <w:kern w:val="0"/>
                <w:sz w:val="24"/>
                <w:szCs w:val="24"/>
              </w:rPr>
              <w:t>14</w:t>
            </w:r>
          </w:p>
        </w:tc>
      </w:tr>
      <w:tr w14:paraId="5A33B553">
        <w:trPr>
          <w:trHeight w:val="0" w:hRule="atLeast"/>
        </w:trPr>
        <w:tc>
          <w:tcPr>
            <w:tcW w:w="1376" w:type="dxa"/>
            <w:vMerge w:val="continue"/>
            <w:vAlign w:val="center"/>
          </w:tcPr>
          <w:p w14:paraId="131D2DD5">
            <w:pPr>
              <w:spacing w:line="240" w:lineRule="atLeast"/>
              <w:jc w:val="right"/>
              <w:rPr>
                <w:rFonts w:hint="eastAsia" w:ascii="仿宋" w:hAnsi="仿宋" w:eastAsia="仿宋" w:cs="仿宋"/>
                <w:sz w:val="24"/>
                <w:szCs w:val="24"/>
              </w:rPr>
            </w:pPr>
          </w:p>
        </w:tc>
        <w:tc>
          <w:tcPr>
            <w:tcW w:w="6219" w:type="dxa"/>
            <w:gridSpan w:val="15"/>
            <w:vAlign w:val="center"/>
          </w:tcPr>
          <w:p w14:paraId="3A2F5CCA">
            <w:pPr>
              <w:rPr>
                <w:rFonts w:hint="eastAsia" w:ascii="仿宋" w:hAnsi="仿宋" w:eastAsia="仿宋" w:cs="仿宋"/>
                <w:bCs/>
                <w:sz w:val="24"/>
                <w:szCs w:val="24"/>
              </w:rPr>
            </w:pPr>
            <w:r>
              <w:rPr>
                <w:rFonts w:hint="eastAsia" w:ascii="仿宋" w:hAnsi="仿宋" w:eastAsia="仿宋" w:cs="仿宋"/>
                <w:bCs/>
                <w:sz w:val="24"/>
                <w:szCs w:val="24"/>
              </w:rPr>
              <w:t>第四章 属七和弦的的连接</w:t>
            </w:r>
          </w:p>
          <w:p w14:paraId="74FFC8AF">
            <w:pPr>
              <w:rPr>
                <w:rFonts w:hint="eastAsia" w:ascii="仿宋" w:hAnsi="仿宋" w:eastAsia="仿宋" w:cs="仿宋"/>
                <w:bCs/>
                <w:sz w:val="24"/>
                <w:szCs w:val="24"/>
              </w:rPr>
            </w:pPr>
            <w:r>
              <w:rPr>
                <w:rFonts w:hint="eastAsia" w:ascii="仿宋" w:hAnsi="仿宋" w:eastAsia="仿宋" w:cs="仿宋"/>
                <w:bCs/>
                <w:sz w:val="24"/>
                <w:szCs w:val="24"/>
              </w:rPr>
              <w:t>知道层次：</w:t>
            </w:r>
          </w:p>
          <w:p w14:paraId="51B2BC0E">
            <w:pPr>
              <w:rPr>
                <w:rFonts w:hint="eastAsia" w:ascii="仿宋" w:hAnsi="仿宋" w:eastAsia="仿宋" w:cs="仿宋"/>
                <w:bCs/>
                <w:sz w:val="24"/>
                <w:szCs w:val="24"/>
              </w:rPr>
            </w:pPr>
            <w:r>
              <w:rPr>
                <w:rFonts w:hint="eastAsia" w:ascii="仿宋" w:hAnsi="仿宋" w:eastAsia="仿宋" w:cs="仿宋"/>
                <w:bCs/>
                <w:sz w:val="24"/>
                <w:szCs w:val="24"/>
              </w:rPr>
              <w:t>1.掌握原位属七和弦的各种特点，特别是属七和弦七音的引入与解决；</w:t>
            </w:r>
          </w:p>
          <w:p w14:paraId="18BE3C3E">
            <w:pPr>
              <w:rPr>
                <w:rFonts w:hint="eastAsia" w:ascii="仿宋" w:hAnsi="仿宋" w:eastAsia="仿宋" w:cs="仿宋"/>
                <w:bCs/>
                <w:sz w:val="24"/>
                <w:szCs w:val="24"/>
              </w:rPr>
            </w:pPr>
            <w:r>
              <w:rPr>
                <w:rFonts w:hint="eastAsia" w:ascii="仿宋" w:hAnsi="仿宋" w:eastAsia="仿宋" w:cs="仿宋"/>
                <w:bCs/>
                <w:sz w:val="24"/>
                <w:szCs w:val="24"/>
              </w:rPr>
              <w:t>2.掌握属七和弦的各种转位情况，能熟练运用属七和弦的各种转位。</w:t>
            </w:r>
          </w:p>
          <w:p w14:paraId="556D2F40">
            <w:pPr>
              <w:rPr>
                <w:rFonts w:hint="eastAsia" w:ascii="仿宋" w:hAnsi="仿宋" w:eastAsia="仿宋" w:cs="仿宋"/>
                <w:bCs/>
                <w:sz w:val="24"/>
                <w:szCs w:val="24"/>
              </w:rPr>
            </w:pPr>
            <w:r>
              <w:rPr>
                <w:rFonts w:hint="eastAsia" w:ascii="仿宋" w:hAnsi="仿宋" w:eastAsia="仿宋" w:cs="仿宋"/>
                <w:bCs/>
                <w:sz w:val="24"/>
                <w:szCs w:val="24"/>
              </w:rPr>
              <w:t>领会层次：</w:t>
            </w:r>
          </w:p>
          <w:p w14:paraId="52484759">
            <w:pPr>
              <w:rPr>
                <w:rFonts w:hint="eastAsia" w:ascii="仿宋" w:hAnsi="仿宋" w:eastAsia="仿宋" w:cs="仿宋"/>
                <w:bCs/>
                <w:sz w:val="24"/>
                <w:szCs w:val="24"/>
              </w:rPr>
            </w:pPr>
            <w:r>
              <w:rPr>
                <w:rFonts w:hint="eastAsia" w:ascii="仿宋" w:hAnsi="仿宋" w:eastAsia="仿宋" w:cs="仿宋"/>
                <w:bCs/>
                <w:sz w:val="24"/>
                <w:szCs w:val="24"/>
              </w:rPr>
              <w:t>1.属七和弦的性质及结构及功能。</w:t>
            </w:r>
          </w:p>
          <w:p w14:paraId="3FA5951E">
            <w:pPr>
              <w:rPr>
                <w:rFonts w:hint="eastAsia" w:ascii="仿宋" w:hAnsi="仿宋" w:eastAsia="仿宋" w:cs="仿宋"/>
                <w:bCs/>
                <w:sz w:val="24"/>
                <w:szCs w:val="24"/>
              </w:rPr>
            </w:pPr>
            <w:r>
              <w:rPr>
                <w:rFonts w:hint="eastAsia" w:ascii="仿宋" w:hAnsi="仿宋" w:eastAsia="仿宋" w:cs="仿宋"/>
                <w:bCs/>
                <w:sz w:val="24"/>
                <w:szCs w:val="24"/>
              </w:rPr>
              <w:t>2.属七和弦的重复音与省略音。</w:t>
            </w:r>
          </w:p>
          <w:p w14:paraId="1B335516">
            <w:pPr>
              <w:rPr>
                <w:rFonts w:hint="eastAsia" w:ascii="仿宋" w:hAnsi="仿宋" w:eastAsia="仿宋" w:cs="仿宋"/>
                <w:bCs/>
                <w:sz w:val="24"/>
                <w:szCs w:val="24"/>
              </w:rPr>
            </w:pPr>
            <w:r>
              <w:rPr>
                <w:rFonts w:hint="eastAsia" w:ascii="仿宋" w:hAnsi="仿宋" w:eastAsia="仿宋" w:cs="仿宋"/>
                <w:bCs/>
                <w:sz w:val="24"/>
                <w:szCs w:val="24"/>
              </w:rPr>
              <w:t>3.属七和弦对调性的指示作用。</w:t>
            </w:r>
          </w:p>
          <w:p w14:paraId="44133260">
            <w:pPr>
              <w:rPr>
                <w:rFonts w:hint="eastAsia" w:ascii="仿宋" w:hAnsi="仿宋" w:eastAsia="仿宋" w:cs="仿宋"/>
                <w:bCs/>
                <w:sz w:val="24"/>
                <w:szCs w:val="24"/>
              </w:rPr>
            </w:pPr>
            <w:r>
              <w:rPr>
                <w:rFonts w:hint="eastAsia" w:ascii="仿宋" w:hAnsi="仿宋" w:eastAsia="仿宋" w:cs="仿宋"/>
                <w:bCs/>
                <w:sz w:val="24"/>
                <w:szCs w:val="24"/>
              </w:rPr>
              <w:t>4.属七和弦的引入、解决。</w:t>
            </w:r>
          </w:p>
          <w:p w14:paraId="08B1A3D0">
            <w:pPr>
              <w:rPr>
                <w:rFonts w:hint="eastAsia" w:ascii="仿宋" w:hAnsi="仿宋" w:eastAsia="仿宋" w:cs="仿宋"/>
                <w:bCs/>
                <w:sz w:val="24"/>
                <w:szCs w:val="24"/>
              </w:rPr>
            </w:pPr>
            <w:r>
              <w:rPr>
                <w:rFonts w:hint="eastAsia" w:ascii="仿宋" w:hAnsi="仿宋" w:eastAsia="仿宋" w:cs="仿宋"/>
                <w:bCs/>
                <w:sz w:val="24"/>
                <w:szCs w:val="24"/>
              </w:rPr>
              <w:t>5.属七和弦的转位。</w:t>
            </w:r>
          </w:p>
          <w:p w14:paraId="43C84247">
            <w:pPr>
              <w:rPr>
                <w:rFonts w:hint="eastAsia" w:ascii="仿宋" w:hAnsi="仿宋" w:eastAsia="仿宋" w:cs="仿宋"/>
                <w:bCs/>
                <w:sz w:val="24"/>
                <w:szCs w:val="24"/>
              </w:rPr>
            </w:pPr>
            <w:r>
              <w:rPr>
                <w:rFonts w:hint="eastAsia" w:ascii="仿宋" w:hAnsi="仿宋" w:eastAsia="仿宋" w:cs="仿宋"/>
                <w:bCs/>
                <w:sz w:val="24"/>
                <w:szCs w:val="24"/>
              </w:rPr>
              <w:t>应用层次：</w:t>
            </w:r>
          </w:p>
          <w:p w14:paraId="26072828">
            <w:pPr>
              <w:rPr>
                <w:rFonts w:hint="eastAsia" w:ascii="仿宋" w:hAnsi="仿宋" w:eastAsia="仿宋" w:cs="仿宋"/>
                <w:bCs/>
                <w:sz w:val="24"/>
                <w:szCs w:val="24"/>
              </w:rPr>
            </w:pPr>
            <w:r>
              <w:rPr>
                <w:rFonts w:hint="eastAsia" w:ascii="仿宋" w:hAnsi="仿宋" w:eastAsia="仿宋" w:cs="仿宋"/>
                <w:bCs/>
                <w:sz w:val="24"/>
                <w:szCs w:val="24"/>
              </w:rPr>
              <w:t>1.注意属七和弦的七音需下行二度解决；</w:t>
            </w:r>
          </w:p>
          <w:p w14:paraId="35955700">
            <w:pPr>
              <w:rPr>
                <w:rFonts w:hint="eastAsia" w:ascii="仿宋" w:hAnsi="仿宋" w:eastAsia="仿宋" w:cs="仿宋"/>
                <w:bCs/>
                <w:sz w:val="24"/>
                <w:szCs w:val="24"/>
              </w:rPr>
            </w:pPr>
            <w:r>
              <w:rPr>
                <w:rFonts w:hint="eastAsia" w:ascii="仿宋" w:hAnsi="仿宋" w:eastAsia="仿宋" w:cs="仿宋"/>
                <w:bCs/>
                <w:sz w:val="24"/>
                <w:szCs w:val="24"/>
              </w:rPr>
              <w:t>2.一般来说属七和弦转位不省略也不重复音，偶尔为了</w:t>
            </w:r>
          </w:p>
          <w:p w14:paraId="11031738">
            <w:pPr>
              <w:rPr>
                <w:rFonts w:hint="eastAsia" w:ascii="仿宋" w:hAnsi="仿宋" w:eastAsia="仿宋" w:cs="仿宋"/>
                <w:bCs/>
                <w:sz w:val="24"/>
                <w:szCs w:val="24"/>
              </w:rPr>
            </w:pPr>
            <w:r>
              <w:rPr>
                <w:rFonts w:hint="eastAsia" w:ascii="仿宋" w:hAnsi="仿宋" w:eastAsia="仿宋" w:cs="仿宋"/>
                <w:bCs/>
                <w:sz w:val="24"/>
                <w:szCs w:val="24"/>
              </w:rPr>
              <w:t>声部进行也可省略五音重复根音。</w:t>
            </w:r>
          </w:p>
          <w:p w14:paraId="630135CD">
            <w:pPr>
              <w:rPr>
                <w:rFonts w:hint="eastAsia" w:ascii="仿宋" w:hAnsi="仿宋" w:eastAsia="仿宋" w:cs="仿宋"/>
                <w:bCs/>
                <w:sz w:val="24"/>
                <w:szCs w:val="24"/>
              </w:rPr>
            </w:pPr>
            <w:r>
              <w:rPr>
                <w:rFonts w:hint="eastAsia" w:ascii="仿宋" w:hAnsi="仿宋" w:eastAsia="仿宋" w:cs="仿宋"/>
                <w:bCs/>
                <w:sz w:val="24"/>
                <w:szCs w:val="24"/>
              </w:rPr>
              <w:t>3. 记住完全属七到不完全主三，不完全属七到完全主三。</w:t>
            </w:r>
          </w:p>
        </w:tc>
        <w:tc>
          <w:tcPr>
            <w:tcW w:w="990" w:type="dxa"/>
            <w:gridSpan w:val="2"/>
            <w:vAlign w:val="center"/>
          </w:tcPr>
          <w:p w14:paraId="6A57ED36">
            <w:pPr>
              <w:jc w:val="center"/>
              <w:rPr>
                <w:rFonts w:hint="eastAsia" w:ascii="仿宋" w:hAnsi="仿宋" w:eastAsia="仿宋" w:cs="仿宋"/>
                <w:bCs/>
                <w:sz w:val="21"/>
                <w:szCs w:val="21"/>
              </w:rPr>
            </w:pPr>
            <w:r>
              <w:rPr>
                <w:rFonts w:hint="eastAsia" w:ascii="仿宋" w:hAnsi="仿宋" w:eastAsia="仿宋" w:cs="仿宋"/>
                <w:bCs/>
                <w:color w:val="000000"/>
                <w:sz w:val="21"/>
                <w:szCs w:val="21"/>
              </w:rPr>
              <w:t>支撑课程目标1、2、3</w:t>
            </w:r>
          </w:p>
        </w:tc>
        <w:tc>
          <w:tcPr>
            <w:tcW w:w="563" w:type="dxa"/>
            <w:vAlign w:val="center"/>
          </w:tcPr>
          <w:p w14:paraId="40AFAAE5">
            <w:pPr>
              <w:jc w:val="center"/>
              <w:rPr>
                <w:rFonts w:ascii="仿宋" w:hAnsi="仿宋" w:eastAsia="仿宋" w:cs="仿宋"/>
                <w:sz w:val="21"/>
                <w:szCs w:val="21"/>
              </w:rPr>
            </w:pPr>
            <w:r>
              <w:rPr>
                <w:rFonts w:ascii="仿宋" w:hAnsi="仿宋" w:eastAsia="仿宋" w:cs="仿宋"/>
                <w:sz w:val="21"/>
                <w:szCs w:val="21"/>
              </w:rPr>
              <w:t>6</w:t>
            </w:r>
          </w:p>
        </w:tc>
      </w:tr>
      <w:tr w14:paraId="45CD2428">
        <w:trPr>
          <w:trHeight w:val="0" w:hRule="atLeast"/>
        </w:trPr>
        <w:tc>
          <w:tcPr>
            <w:tcW w:w="1376" w:type="dxa"/>
            <w:vMerge w:val="continue"/>
            <w:vAlign w:val="center"/>
          </w:tcPr>
          <w:p w14:paraId="25F778E0">
            <w:pPr>
              <w:spacing w:line="240" w:lineRule="atLeast"/>
              <w:jc w:val="right"/>
              <w:rPr>
                <w:rFonts w:hint="eastAsia" w:ascii="仿宋" w:hAnsi="仿宋" w:eastAsia="仿宋" w:cs="仿宋"/>
                <w:sz w:val="24"/>
                <w:szCs w:val="24"/>
              </w:rPr>
            </w:pPr>
          </w:p>
        </w:tc>
        <w:tc>
          <w:tcPr>
            <w:tcW w:w="6219" w:type="dxa"/>
            <w:gridSpan w:val="15"/>
            <w:vAlign w:val="center"/>
          </w:tcPr>
          <w:p w14:paraId="002B8C92">
            <w:pPr>
              <w:rPr>
                <w:rFonts w:hint="eastAsia" w:ascii="仿宋" w:hAnsi="仿宋" w:eastAsia="仿宋" w:cs="仿宋"/>
                <w:bCs/>
                <w:sz w:val="24"/>
                <w:szCs w:val="24"/>
                <w:lang w:val="en-US" w:eastAsia="zh-CN"/>
              </w:rPr>
            </w:pPr>
            <w:r>
              <w:rPr>
                <w:rFonts w:hint="eastAsia" w:ascii="仿宋" w:hAnsi="仿宋" w:eastAsia="仿宋" w:cs="仿宋"/>
                <w:bCs/>
                <w:sz w:val="24"/>
                <w:szCs w:val="24"/>
              </w:rPr>
              <w:t>第五章</w:t>
            </w:r>
            <w:r>
              <w:rPr>
                <w:rFonts w:hint="eastAsia" w:ascii="仿宋" w:hAnsi="仿宋" w:eastAsia="仿宋" w:cs="仿宋"/>
                <w:bCs/>
                <w:sz w:val="24"/>
                <w:szCs w:val="24"/>
                <w:lang w:val="en-US" w:eastAsia="zh-CN"/>
              </w:rPr>
              <w:t xml:space="preserve"> 大调与和声小调的完全功能体系、</w:t>
            </w:r>
            <w:r>
              <w:rPr>
                <w:rFonts w:hint="eastAsia" w:ascii="宋体" w:hAnsi="宋体" w:eastAsia="宋体" w:cs="宋体"/>
                <w:bCs/>
                <w:sz w:val="24"/>
                <w:szCs w:val="24"/>
                <w:lang w:val="en-US" w:eastAsia="zh-CN"/>
              </w:rPr>
              <w:t>Ⅱ</w:t>
            </w:r>
            <w:r>
              <w:rPr>
                <w:rFonts w:hint="eastAsia" w:ascii="仿宋" w:hAnsi="仿宋" w:eastAsia="仿宋" w:cs="仿宋"/>
                <w:bCs/>
                <w:sz w:val="24"/>
                <w:szCs w:val="24"/>
                <w:lang w:val="en-US" w:eastAsia="zh-CN"/>
              </w:rPr>
              <w:t>级六和弦与大调</w:t>
            </w:r>
            <w:r>
              <w:rPr>
                <w:rFonts w:hint="eastAsia" w:ascii="宋体" w:hAnsi="宋体" w:eastAsia="宋体" w:cs="宋体"/>
                <w:bCs/>
                <w:sz w:val="24"/>
                <w:szCs w:val="24"/>
                <w:lang w:val="en-US" w:eastAsia="zh-CN"/>
              </w:rPr>
              <w:t>Ⅱ</w:t>
            </w:r>
            <w:r>
              <w:rPr>
                <w:rFonts w:hint="eastAsia" w:ascii="仿宋" w:hAnsi="仿宋" w:eastAsia="仿宋" w:cs="仿宋"/>
                <w:bCs/>
                <w:sz w:val="24"/>
                <w:szCs w:val="24"/>
                <w:lang w:val="en-US" w:eastAsia="zh-CN"/>
              </w:rPr>
              <w:t>级和弦</w:t>
            </w:r>
          </w:p>
          <w:p w14:paraId="3B73D96D">
            <w:pPr>
              <w:rPr>
                <w:rFonts w:hint="eastAsia" w:ascii="仿宋" w:hAnsi="仿宋" w:eastAsia="仿宋" w:cs="仿宋"/>
                <w:bCs/>
                <w:sz w:val="24"/>
                <w:szCs w:val="24"/>
              </w:rPr>
            </w:pPr>
            <w:r>
              <w:rPr>
                <w:rFonts w:hint="eastAsia" w:ascii="仿宋" w:hAnsi="仿宋" w:eastAsia="仿宋" w:cs="仿宋"/>
                <w:bCs/>
                <w:sz w:val="24"/>
                <w:szCs w:val="24"/>
              </w:rPr>
              <w:t>知道层次：</w:t>
            </w:r>
          </w:p>
          <w:p w14:paraId="1ED9F146">
            <w:pPr>
              <w:rPr>
                <w:rFonts w:ascii="仿宋" w:hAnsi="仿宋" w:eastAsia="仿宋" w:cs="仿宋"/>
                <w:bCs/>
                <w:sz w:val="24"/>
                <w:szCs w:val="24"/>
                <w:lang w:val="en-US" w:eastAsia="zh-CN"/>
              </w:rPr>
            </w:pPr>
            <w:r>
              <w:rPr>
                <w:rFonts w:ascii="仿宋" w:hAnsi="仿宋" w:eastAsia="仿宋" w:cs="仿宋"/>
                <w:bCs/>
                <w:sz w:val="24"/>
                <w:szCs w:val="24"/>
                <w:lang w:val="en-US" w:eastAsia="zh-CN"/>
              </w:rPr>
              <w:t>1.</w:t>
            </w:r>
            <w:r>
              <w:rPr>
                <w:rFonts w:hint="eastAsia" w:ascii="仿宋" w:hAnsi="仿宋" w:eastAsia="仿宋" w:cs="仿宋"/>
                <w:bCs/>
                <w:sz w:val="24"/>
                <w:szCs w:val="24"/>
              </w:rPr>
              <w:t>了解</w:t>
            </w:r>
            <w:r>
              <w:rPr>
                <w:rFonts w:hint="eastAsia" w:ascii="仿宋" w:hAnsi="仿宋" w:eastAsia="仿宋" w:cs="仿宋"/>
                <w:bCs/>
                <w:sz w:val="24"/>
                <w:szCs w:val="24"/>
                <w:lang w:val="en-US" w:eastAsia="zh-CN"/>
              </w:rPr>
              <w:t>副三和弦的功能划分及其音响特点</w:t>
            </w:r>
          </w:p>
          <w:p w14:paraId="3E974E3F">
            <w:pPr>
              <w:rPr>
                <w:rFonts w:ascii="仿宋" w:hAnsi="仿宋" w:eastAsia="仿宋" w:cs="仿宋"/>
                <w:bCs/>
                <w:sz w:val="24"/>
                <w:szCs w:val="24"/>
                <w:lang w:val="en-US" w:eastAsia="zh-CN"/>
              </w:rPr>
            </w:pPr>
            <w:r>
              <w:rPr>
                <w:rFonts w:ascii="仿宋" w:hAnsi="仿宋" w:eastAsia="仿宋" w:cs="仿宋"/>
                <w:bCs/>
                <w:sz w:val="24"/>
                <w:szCs w:val="24"/>
                <w:lang w:val="en-US" w:eastAsia="zh-CN"/>
              </w:rPr>
              <w:t>2.</w:t>
            </w:r>
            <w:r>
              <w:rPr>
                <w:rFonts w:hint="eastAsia" w:ascii="仿宋" w:hAnsi="仿宋" w:eastAsia="仿宋" w:cs="仿宋"/>
                <w:bCs/>
                <w:sz w:val="24"/>
                <w:szCs w:val="24"/>
              </w:rPr>
              <w:t>了解</w:t>
            </w:r>
            <w:r>
              <w:rPr>
                <w:rFonts w:hint="eastAsia" w:ascii="仿宋" w:hAnsi="仿宋" w:eastAsia="仿宋" w:cs="仿宋"/>
                <w:bCs/>
                <w:sz w:val="24"/>
                <w:szCs w:val="24"/>
                <w:lang w:val="en-US" w:eastAsia="zh-CN"/>
              </w:rPr>
              <w:t>副三和弦在实际作品中的用法</w:t>
            </w:r>
          </w:p>
          <w:p w14:paraId="6927BFE2">
            <w:pPr>
              <w:rPr>
                <w:rFonts w:hint="eastAsia" w:ascii="仿宋" w:hAnsi="仿宋" w:eastAsia="仿宋" w:cs="仿宋"/>
                <w:bCs/>
                <w:sz w:val="24"/>
                <w:szCs w:val="24"/>
              </w:rPr>
            </w:pPr>
            <w:r>
              <w:rPr>
                <w:rFonts w:hint="eastAsia" w:ascii="仿宋" w:hAnsi="仿宋" w:eastAsia="仿宋" w:cs="仿宋"/>
                <w:bCs/>
                <w:sz w:val="24"/>
                <w:szCs w:val="24"/>
              </w:rPr>
              <w:t>领会层次：</w:t>
            </w:r>
          </w:p>
          <w:p w14:paraId="3D4836B7">
            <w:pPr>
              <w:rPr>
                <w:rFonts w:ascii="仿宋" w:hAnsi="仿宋" w:eastAsia="仿宋" w:cs="仿宋"/>
                <w:bCs/>
                <w:sz w:val="24"/>
                <w:szCs w:val="24"/>
                <w:lang w:val="en-US" w:eastAsia="zh-CN"/>
              </w:rPr>
            </w:pPr>
            <w:r>
              <w:rPr>
                <w:rFonts w:ascii="仿宋" w:hAnsi="仿宋" w:eastAsia="仿宋" w:cs="仿宋"/>
                <w:bCs/>
                <w:sz w:val="24"/>
                <w:szCs w:val="24"/>
                <w:lang w:val="en-US" w:eastAsia="zh-CN"/>
              </w:rPr>
              <w:t>1</w:t>
            </w:r>
            <w:r>
              <w:rPr>
                <w:rFonts w:hint="eastAsia" w:ascii="仿宋" w:hAnsi="仿宋" w:eastAsia="仿宋" w:cs="仿宋"/>
                <w:bCs/>
                <w:sz w:val="24"/>
                <w:szCs w:val="24"/>
                <w:lang w:val="en-US" w:eastAsia="zh-CN"/>
              </w:rPr>
              <w:t>.完全功能体系划分</w:t>
            </w:r>
          </w:p>
          <w:p w14:paraId="0792AE0E">
            <w:pPr>
              <w:rPr>
                <w:rFonts w:ascii="仿宋" w:hAnsi="仿宋" w:eastAsia="仿宋" w:cs="仿宋"/>
                <w:bCs/>
                <w:sz w:val="24"/>
                <w:szCs w:val="24"/>
                <w:lang w:val="en-US" w:eastAsia="zh-CN"/>
              </w:rPr>
            </w:pPr>
            <w:r>
              <w:rPr>
                <w:rFonts w:ascii="仿宋" w:hAnsi="仿宋" w:eastAsia="仿宋" w:cs="仿宋"/>
                <w:bCs/>
                <w:sz w:val="24"/>
                <w:szCs w:val="24"/>
                <w:lang w:val="en-US" w:eastAsia="zh-CN"/>
              </w:rPr>
              <w:t>2</w:t>
            </w:r>
            <w:r>
              <w:rPr>
                <w:rFonts w:hint="eastAsia" w:ascii="仿宋" w:hAnsi="仿宋" w:eastAsia="仿宋" w:cs="仿宋"/>
                <w:bCs/>
                <w:sz w:val="24"/>
                <w:szCs w:val="24"/>
                <w:lang w:val="en-US" w:eastAsia="zh-CN"/>
              </w:rPr>
              <w:t>.副三和弦的结构与音响特点</w:t>
            </w:r>
          </w:p>
          <w:p w14:paraId="061342A0">
            <w:pPr>
              <w:rPr>
                <w:rFonts w:ascii="仿宋" w:hAnsi="仿宋" w:eastAsia="仿宋" w:cs="仿宋"/>
                <w:bCs/>
                <w:sz w:val="24"/>
                <w:szCs w:val="24"/>
                <w:lang w:val="en-US" w:eastAsia="zh-CN"/>
              </w:rPr>
            </w:pPr>
            <w:r>
              <w:rPr>
                <w:rFonts w:ascii="仿宋" w:hAnsi="仿宋" w:eastAsia="仿宋" w:cs="仿宋"/>
                <w:bCs/>
                <w:sz w:val="24"/>
                <w:szCs w:val="24"/>
                <w:lang w:val="en-US" w:eastAsia="zh-CN"/>
              </w:rPr>
              <w:t>3</w:t>
            </w:r>
            <w:r>
              <w:rPr>
                <w:rFonts w:hint="eastAsia" w:ascii="仿宋" w:hAnsi="仿宋" w:eastAsia="仿宋" w:cs="仿宋"/>
                <w:bCs/>
                <w:sz w:val="24"/>
                <w:szCs w:val="24"/>
                <w:lang w:val="en-US" w:eastAsia="zh-CN"/>
              </w:rPr>
              <w:t>.和弦的根音关系与功能力度等级</w:t>
            </w:r>
          </w:p>
          <w:p w14:paraId="40DA2259">
            <w:pPr>
              <w:rPr>
                <w:rFonts w:ascii="仿宋" w:hAnsi="仿宋" w:eastAsia="仿宋" w:cs="仿宋"/>
                <w:bCs/>
                <w:sz w:val="24"/>
                <w:szCs w:val="24"/>
                <w:lang w:val="en-US" w:eastAsia="zh-CN"/>
              </w:rPr>
            </w:pPr>
            <w:r>
              <w:rPr>
                <w:rFonts w:ascii="仿宋" w:hAnsi="仿宋" w:eastAsia="仿宋" w:cs="仿宋"/>
                <w:bCs/>
                <w:sz w:val="24"/>
                <w:szCs w:val="24"/>
                <w:lang w:val="en-US" w:eastAsia="zh-CN"/>
              </w:rPr>
              <w:t>4</w:t>
            </w:r>
            <w:r>
              <w:rPr>
                <w:rFonts w:hint="eastAsia" w:ascii="仿宋" w:hAnsi="仿宋" w:eastAsia="仿宋" w:cs="仿宋"/>
                <w:bCs/>
                <w:sz w:val="24"/>
                <w:szCs w:val="24"/>
                <w:lang w:val="en-US" w:eastAsia="zh-CN"/>
              </w:rPr>
              <w:t>.使用副三和弦的意义与价值</w:t>
            </w:r>
          </w:p>
          <w:p w14:paraId="367CA85B">
            <w:pPr>
              <w:rPr>
                <w:rFonts w:ascii="仿宋" w:hAnsi="仿宋" w:eastAsia="仿宋" w:cs="仿宋"/>
                <w:bCs/>
                <w:sz w:val="24"/>
                <w:szCs w:val="24"/>
                <w:lang w:val="en-US" w:eastAsia="zh-CN"/>
              </w:rPr>
            </w:pPr>
            <w:r>
              <w:rPr>
                <w:rFonts w:ascii="仿宋" w:hAnsi="仿宋" w:eastAsia="仿宋" w:cs="仿宋"/>
                <w:bCs/>
                <w:sz w:val="24"/>
                <w:szCs w:val="24"/>
                <w:lang w:val="en-US" w:eastAsia="zh-CN"/>
              </w:rPr>
              <w:t>5</w:t>
            </w:r>
            <w:r>
              <w:rPr>
                <w:rFonts w:hint="eastAsia" w:ascii="仿宋" w:hAnsi="仿宋" w:eastAsia="仿宋" w:cs="仿宋"/>
                <w:bCs/>
                <w:sz w:val="24"/>
                <w:szCs w:val="24"/>
                <w:lang w:val="en-US" w:eastAsia="zh-CN"/>
              </w:rPr>
              <w:t>.副三和弦的基本用法</w:t>
            </w:r>
          </w:p>
          <w:p w14:paraId="612E92B6">
            <w:pPr>
              <w:rPr>
                <w:rFonts w:hint="eastAsia" w:ascii="仿宋" w:hAnsi="仿宋" w:eastAsia="仿宋" w:cs="仿宋"/>
                <w:bCs/>
                <w:sz w:val="24"/>
                <w:szCs w:val="24"/>
              </w:rPr>
            </w:pPr>
            <w:r>
              <w:rPr>
                <w:rFonts w:hint="eastAsia" w:ascii="仿宋" w:hAnsi="仿宋" w:eastAsia="仿宋" w:cs="仿宋"/>
                <w:bCs/>
                <w:sz w:val="24"/>
                <w:szCs w:val="24"/>
              </w:rPr>
              <w:t>应用层次：</w:t>
            </w:r>
          </w:p>
          <w:p w14:paraId="5BFAB0B2">
            <w:pPr>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Ⅱ级和弦的基本特点，重复音及其和各种和弦的连接方法，以及大小调中Ⅱ级和弦的分析方法</w:t>
            </w:r>
          </w:p>
        </w:tc>
        <w:tc>
          <w:tcPr>
            <w:tcW w:w="990" w:type="dxa"/>
            <w:gridSpan w:val="2"/>
            <w:vAlign w:val="center"/>
          </w:tcPr>
          <w:p w14:paraId="63137FEE">
            <w:pPr>
              <w:jc w:val="center"/>
              <w:rPr>
                <w:rFonts w:hint="eastAsia" w:ascii="仿宋" w:hAnsi="仿宋" w:eastAsia="仿宋" w:cs="仿宋"/>
                <w:bCs/>
                <w:kern w:val="2"/>
                <w:sz w:val="21"/>
                <w:szCs w:val="21"/>
                <w:lang w:val="en-US" w:eastAsia="zh-CN" w:bidi="ar-SA"/>
              </w:rPr>
            </w:pPr>
            <w:r>
              <w:rPr>
                <w:rFonts w:hint="eastAsia" w:ascii="仿宋" w:hAnsi="仿宋" w:eastAsia="仿宋" w:cs="仿宋"/>
                <w:bCs/>
                <w:sz w:val="24"/>
                <w:szCs w:val="24"/>
                <w:lang w:eastAsia="zh-CN"/>
              </w:rPr>
              <w:t>支撑课程目标1、2、3</w:t>
            </w:r>
          </w:p>
        </w:tc>
        <w:tc>
          <w:tcPr>
            <w:tcW w:w="563" w:type="dxa"/>
            <w:vAlign w:val="center"/>
          </w:tcPr>
          <w:p w14:paraId="3874B7BA">
            <w:pPr>
              <w:keepNext w:val="0"/>
              <w:keepLines w:val="0"/>
              <w:widowControl/>
              <w:suppressLineNumbers w:val="0"/>
              <w:jc w:val="center"/>
              <w:rPr>
                <w:rFonts w:ascii="仿宋" w:hAnsi="仿宋" w:eastAsia="仿宋" w:cs="仿宋"/>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6</w:t>
            </w:r>
          </w:p>
        </w:tc>
      </w:tr>
      <w:tr w14:paraId="7EBBAA6A">
        <w:trPr>
          <w:trHeight w:val="0" w:hRule="atLeast"/>
        </w:trPr>
        <w:tc>
          <w:tcPr>
            <w:tcW w:w="1376" w:type="dxa"/>
            <w:vMerge w:val="continue"/>
            <w:vAlign w:val="center"/>
          </w:tcPr>
          <w:p w14:paraId="1DC8EF53">
            <w:pPr>
              <w:spacing w:line="240" w:lineRule="atLeast"/>
              <w:jc w:val="right"/>
              <w:rPr>
                <w:rFonts w:hint="eastAsia" w:ascii="仿宋" w:hAnsi="仿宋" w:eastAsia="仿宋" w:cs="仿宋"/>
                <w:sz w:val="24"/>
                <w:szCs w:val="24"/>
              </w:rPr>
            </w:pPr>
          </w:p>
        </w:tc>
        <w:tc>
          <w:tcPr>
            <w:tcW w:w="6219" w:type="dxa"/>
            <w:gridSpan w:val="15"/>
            <w:vAlign w:val="center"/>
          </w:tcPr>
          <w:p w14:paraId="49385C44">
            <w:pPr>
              <w:rPr>
                <w:rFonts w:hint="eastAsia" w:ascii="仿宋" w:hAnsi="仿宋" w:eastAsia="仿宋" w:cs="仿宋"/>
                <w:bCs/>
                <w:sz w:val="24"/>
                <w:szCs w:val="24"/>
              </w:rPr>
            </w:pPr>
            <w:r>
              <w:rPr>
                <w:rFonts w:hint="eastAsia" w:ascii="仿宋" w:hAnsi="仿宋" w:eastAsia="仿宋" w:cs="仿宋"/>
                <w:bCs/>
                <w:sz w:val="24"/>
                <w:szCs w:val="24"/>
              </w:rPr>
              <w:t>第</w:t>
            </w:r>
            <w:r>
              <w:rPr>
                <w:rFonts w:hint="eastAsia" w:ascii="仿宋" w:hAnsi="仿宋" w:eastAsia="仿宋" w:cs="仿宋"/>
                <w:bCs/>
                <w:sz w:val="24"/>
                <w:szCs w:val="24"/>
                <w:lang w:val="en-US" w:eastAsia="zh-CN"/>
              </w:rPr>
              <w:t>六</w:t>
            </w:r>
            <w:r>
              <w:rPr>
                <w:rFonts w:hint="eastAsia" w:ascii="仿宋" w:hAnsi="仿宋" w:eastAsia="仿宋" w:cs="仿宋"/>
                <w:bCs/>
                <w:sz w:val="24"/>
                <w:szCs w:val="24"/>
              </w:rPr>
              <w:t>章</w:t>
            </w:r>
            <w:r>
              <w:rPr>
                <w:rFonts w:hint="eastAsia" w:ascii="仿宋" w:hAnsi="仿宋" w:eastAsia="仿宋" w:cs="仿宋"/>
                <w:bCs/>
                <w:sz w:val="24"/>
                <w:szCs w:val="24"/>
                <w:lang w:val="en-US" w:eastAsia="zh-CN"/>
              </w:rPr>
              <w:t xml:space="preserve"> </w:t>
            </w:r>
            <w:r>
              <w:rPr>
                <w:rFonts w:hint="eastAsia" w:ascii="仿宋" w:hAnsi="仿宋" w:eastAsia="仿宋" w:cs="仿宋"/>
                <w:bCs/>
                <w:sz w:val="24"/>
                <w:szCs w:val="24"/>
              </w:rPr>
              <w:t>VI级和弦的应用</w:t>
            </w:r>
          </w:p>
          <w:p w14:paraId="7E810152">
            <w:pPr>
              <w:rPr>
                <w:rFonts w:hint="eastAsia" w:ascii="仿宋" w:hAnsi="仿宋" w:eastAsia="仿宋" w:cs="仿宋"/>
                <w:bCs/>
                <w:sz w:val="24"/>
                <w:szCs w:val="24"/>
              </w:rPr>
            </w:pPr>
            <w:r>
              <w:rPr>
                <w:rFonts w:hint="eastAsia" w:ascii="仿宋" w:hAnsi="仿宋" w:eastAsia="仿宋" w:cs="仿宋"/>
                <w:bCs/>
                <w:sz w:val="24"/>
                <w:szCs w:val="24"/>
              </w:rPr>
              <w:t>知道层次：</w:t>
            </w:r>
          </w:p>
          <w:p w14:paraId="2E766839">
            <w:pPr>
              <w:rPr>
                <w:rFonts w:hint="eastAsia" w:ascii="仿宋" w:hAnsi="仿宋" w:eastAsia="仿宋" w:cs="仿宋"/>
                <w:bCs/>
                <w:sz w:val="24"/>
                <w:szCs w:val="24"/>
              </w:rPr>
            </w:pPr>
            <w:r>
              <w:rPr>
                <w:rFonts w:hint="eastAsia" w:ascii="仿宋" w:hAnsi="仿宋" w:eastAsia="仿宋" w:cs="仿宋"/>
                <w:bCs/>
                <w:sz w:val="24"/>
                <w:szCs w:val="24"/>
              </w:rPr>
              <w:t>了解Ⅵ级和弦的基本特点，重复音、和各种和弦的连接方法</w:t>
            </w:r>
          </w:p>
          <w:p w14:paraId="53B5F300">
            <w:pPr>
              <w:rPr>
                <w:rFonts w:hint="eastAsia" w:ascii="仿宋" w:hAnsi="仿宋" w:eastAsia="仿宋" w:cs="仿宋"/>
                <w:bCs/>
                <w:sz w:val="24"/>
                <w:szCs w:val="24"/>
              </w:rPr>
            </w:pPr>
            <w:r>
              <w:rPr>
                <w:rFonts w:hint="eastAsia" w:ascii="仿宋" w:hAnsi="仿宋" w:eastAsia="仿宋" w:cs="仿宋"/>
                <w:bCs/>
                <w:sz w:val="24"/>
                <w:szCs w:val="24"/>
              </w:rPr>
              <w:t>领会层次：</w:t>
            </w:r>
          </w:p>
          <w:p w14:paraId="272D538F">
            <w:pPr>
              <w:rPr>
                <w:rFonts w:hint="eastAsia" w:ascii="仿宋" w:hAnsi="仿宋" w:eastAsia="仿宋" w:cs="仿宋"/>
                <w:bCs/>
                <w:sz w:val="24"/>
                <w:szCs w:val="24"/>
              </w:rPr>
            </w:pPr>
            <w:r>
              <w:rPr>
                <w:rFonts w:hint="eastAsia" w:ascii="仿宋" w:hAnsi="仿宋" w:eastAsia="仿宋" w:cs="仿宋"/>
                <w:bCs/>
                <w:sz w:val="24"/>
                <w:szCs w:val="24"/>
                <w:lang w:val="en-US" w:eastAsia="zh-CN"/>
              </w:rPr>
              <w:t>1.</w:t>
            </w:r>
            <w:r>
              <w:rPr>
                <w:rFonts w:hint="eastAsia" w:ascii="仿宋" w:hAnsi="仿宋" w:eastAsia="仿宋" w:cs="仿宋"/>
                <w:bCs/>
                <w:sz w:val="24"/>
                <w:szCs w:val="24"/>
              </w:rPr>
              <w:t>功能特点</w:t>
            </w:r>
          </w:p>
          <w:p w14:paraId="30239326">
            <w:pPr>
              <w:rPr>
                <w:rFonts w:hint="eastAsia" w:ascii="仿宋" w:hAnsi="仿宋" w:eastAsia="仿宋" w:cs="仿宋"/>
                <w:bCs/>
                <w:sz w:val="24"/>
                <w:szCs w:val="24"/>
              </w:rPr>
            </w:pPr>
            <w:r>
              <w:rPr>
                <w:rFonts w:hint="eastAsia" w:ascii="仿宋" w:hAnsi="仿宋" w:eastAsia="仿宋" w:cs="仿宋"/>
                <w:bCs/>
                <w:sz w:val="24"/>
                <w:szCs w:val="24"/>
              </w:rPr>
              <w:t>2</w:t>
            </w:r>
            <w:r>
              <w:rPr>
                <w:rFonts w:hint="eastAsia" w:ascii="仿宋" w:hAnsi="仿宋" w:eastAsia="仿宋" w:cs="仿宋"/>
                <w:bCs/>
                <w:sz w:val="24"/>
                <w:szCs w:val="24"/>
                <w:lang w:eastAsia="zh-CN"/>
              </w:rPr>
              <w:t>.</w:t>
            </w:r>
            <w:r>
              <w:rPr>
                <w:rFonts w:hint="eastAsia" w:ascii="仿宋" w:hAnsi="仿宋" w:eastAsia="仿宋" w:cs="仿宋"/>
                <w:bCs/>
                <w:sz w:val="24"/>
                <w:szCs w:val="24"/>
              </w:rPr>
              <w:t>结构的扩充与阻碍终止</w:t>
            </w:r>
          </w:p>
          <w:p w14:paraId="7574B1BD">
            <w:pPr>
              <w:rPr>
                <w:rFonts w:hint="eastAsia" w:ascii="仿宋" w:hAnsi="仿宋" w:eastAsia="仿宋" w:cs="仿宋"/>
                <w:bCs/>
                <w:sz w:val="24"/>
                <w:szCs w:val="24"/>
              </w:rPr>
            </w:pPr>
            <w:r>
              <w:rPr>
                <w:rFonts w:hint="eastAsia" w:ascii="仿宋" w:hAnsi="仿宋" w:eastAsia="仿宋" w:cs="仿宋"/>
                <w:bCs/>
                <w:sz w:val="24"/>
                <w:szCs w:val="24"/>
              </w:rPr>
              <w:t>3</w:t>
            </w:r>
            <w:r>
              <w:rPr>
                <w:rFonts w:hint="eastAsia" w:ascii="仿宋" w:hAnsi="仿宋" w:eastAsia="仿宋" w:cs="仿宋"/>
                <w:bCs/>
                <w:sz w:val="24"/>
                <w:szCs w:val="24"/>
                <w:lang w:eastAsia="zh-CN"/>
              </w:rPr>
              <w:t>.</w:t>
            </w:r>
            <w:r>
              <w:rPr>
                <w:rFonts w:hint="eastAsia" w:ascii="仿宋" w:hAnsi="仿宋" w:eastAsia="仿宋" w:cs="仿宋"/>
                <w:bCs/>
                <w:sz w:val="24"/>
                <w:szCs w:val="24"/>
              </w:rPr>
              <w:t>VI前缀与后续和弦的连接</w:t>
            </w:r>
          </w:p>
          <w:p w14:paraId="6FE6667B">
            <w:pPr>
              <w:rPr>
                <w:rFonts w:hint="eastAsia" w:ascii="仿宋" w:hAnsi="仿宋" w:eastAsia="仿宋" w:cs="仿宋"/>
                <w:bCs/>
                <w:sz w:val="24"/>
                <w:szCs w:val="24"/>
              </w:rPr>
            </w:pPr>
            <w:r>
              <w:rPr>
                <w:rFonts w:hint="eastAsia" w:ascii="仿宋" w:hAnsi="仿宋" w:eastAsia="仿宋" w:cs="仿宋"/>
                <w:bCs/>
                <w:sz w:val="24"/>
                <w:szCs w:val="24"/>
              </w:rPr>
              <w:t>4</w:t>
            </w:r>
            <w:r>
              <w:rPr>
                <w:rFonts w:hint="eastAsia" w:ascii="仿宋" w:hAnsi="仿宋" w:eastAsia="仿宋" w:cs="仿宋"/>
                <w:bCs/>
                <w:sz w:val="24"/>
                <w:szCs w:val="24"/>
                <w:lang w:eastAsia="zh-CN"/>
              </w:rPr>
              <w:t>.</w:t>
            </w:r>
            <w:r>
              <w:rPr>
                <w:rFonts w:hint="eastAsia" w:ascii="仿宋" w:hAnsi="仿宋" w:eastAsia="仿宋" w:cs="仿宋"/>
                <w:bCs/>
                <w:sz w:val="24"/>
                <w:szCs w:val="24"/>
              </w:rPr>
              <w:t>扩展乐段的其他方法</w:t>
            </w:r>
          </w:p>
          <w:p w14:paraId="1516C6D1">
            <w:pPr>
              <w:rPr>
                <w:rFonts w:hint="eastAsia" w:ascii="仿宋" w:hAnsi="仿宋" w:eastAsia="仿宋" w:cs="仿宋"/>
                <w:bCs/>
                <w:sz w:val="24"/>
                <w:szCs w:val="24"/>
              </w:rPr>
            </w:pPr>
            <w:r>
              <w:rPr>
                <w:rFonts w:hint="eastAsia" w:ascii="仿宋" w:hAnsi="仿宋" w:eastAsia="仿宋" w:cs="仿宋"/>
                <w:bCs/>
                <w:sz w:val="24"/>
                <w:szCs w:val="24"/>
              </w:rPr>
              <w:t>应用层次：</w:t>
            </w:r>
          </w:p>
          <w:p w14:paraId="355657EC">
            <w:pPr>
              <w:rPr>
                <w:rFonts w:hint="eastAsia" w:ascii="仿宋" w:hAnsi="仿宋" w:eastAsia="仿宋" w:cs="仿宋"/>
                <w:bCs/>
                <w:kern w:val="2"/>
                <w:sz w:val="21"/>
                <w:szCs w:val="21"/>
                <w:lang w:val="en-US" w:eastAsia="zh-CN" w:bidi="ar-SA"/>
              </w:rPr>
            </w:pPr>
            <w:r>
              <w:rPr>
                <w:rFonts w:hint="eastAsia" w:ascii="仿宋" w:hAnsi="仿宋" w:eastAsia="仿宋" w:cs="仿宋"/>
                <w:bCs/>
                <w:sz w:val="24"/>
                <w:szCs w:val="24"/>
              </w:rPr>
              <w:t>VI级和弦在实际作品中的应用</w:t>
            </w:r>
            <w:r>
              <w:rPr>
                <w:rFonts w:hint="eastAsia" w:ascii="仿宋" w:hAnsi="仿宋" w:eastAsia="仿宋" w:cs="仿宋"/>
                <w:bCs/>
                <w:sz w:val="24"/>
                <w:szCs w:val="24"/>
                <w:lang w:val="en-US" w:eastAsia="zh-CN"/>
              </w:rPr>
              <w:t>分析</w:t>
            </w:r>
            <w:r>
              <w:rPr>
                <w:rFonts w:hint="eastAsia" w:ascii="仿宋" w:hAnsi="仿宋" w:eastAsia="仿宋" w:cs="仿宋"/>
                <w:bCs/>
                <w:sz w:val="24"/>
                <w:szCs w:val="24"/>
              </w:rPr>
              <w:t>。</w:t>
            </w:r>
          </w:p>
        </w:tc>
        <w:tc>
          <w:tcPr>
            <w:tcW w:w="990" w:type="dxa"/>
            <w:gridSpan w:val="2"/>
            <w:vAlign w:val="center"/>
          </w:tcPr>
          <w:p w14:paraId="4DADDC80">
            <w:pPr>
              <w:jc w:val="center"/>
              <w:rPr>
                <w:rFonts w:hint="eastAsia" w:ascii="仿宋" w:hAnsi="仿宋" w:eastAsia="仿宋" w:cs="仿宋"/>
                <w:bCs/>
                <w:kern w:val="2"/>
                <w:sz w:val="21"/>
                <w:szCs w:val="21"/>
                <w:lang w:val="en-US" w:eastAsia="zh-CN" w:bidi="ar-SA"/>
              </w:rPr>
            </w:pPr>
            <w:r>
              <w:rPr>
                <w:rFonts w:hint="eastAsia" w:ascii="仿宋" w:hAnsi="仿宋" w:eastAsia="仿宋" w:cs="仿宋"/>
                <w:bCs/>
                <w:sz w:val="24"/>
                <w:szCs w:val="24"/>
                <w:lang w:eastAsia="zh-CN"/>
              </w:rPr>
              <w:t>支撑课程目标1、2、3</w:t>
            </w:r>
          </w:p>
        </w:tc>
        <w:tc>
          <w:tcPr>
            <w:tcW w:w="563" w:type="dxa"/>
            <w:vAlign w:val="center"/>
          </w:tcPr>
          <w:p w14:paraId="28D82604">
            <w:pPr>
              <w:keepNext w:val="0"/>
              <w:keepLines w:val="0"/>
              <w:widowControl/>
              <w:suppressLineNumbers w:val="0"/>
              <w:jc w:val="center"/>
              <w:rPr>
                <w:rFonts w:ascii="仿宋" w:hAnsi="仿宋" w:eastAsia="仿宋" w:cs="仿宋"/>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2</w:t>
            </w:r>
          </w:p>
        </w:tc>
      </w:tr>
      <w:tr w14:paraId="127A3CFB">
        <w:trPr>
          <w:trHeight w:val="0" w:hRule="atLeast"/>
        </w:trPr>
        <w:tc>
          <w:tcPr>
            <w:tcW w:w="1376" w:type="dxa"/>
            <w:vMerge w:val="continue"/>
            <w:vAlign w:val="center"/>
          </w:tcPr>
          <w:p w14:paraId="737D8897">
            <w:pPr>
              <w:spacing w:line="240" w:lineRule="atLeast"/>
              <w:jc w:val="right"/>
              <w:rPr>
                <w:rFonts w:hint="eastAsia" w:ascii="仿宋" w:hAnsi="仿宋" w:eastAsia="仿宋" w:cs="仿宋"/>
                <w:sz w:val="24"/>
                <w:szCs w:val="24"/>
              </w:rPr>
            </w:pPr>
          </w:p>
        </w:tc>
        <w:tc>
          <w:tcPr>
            <w:tcW w:w="6219" w:type="dxa"/>
            <w:gridSpan w:val="15"/>
            <w:vAlign w:val="center"/>
          </w:tcPr>
          <w:p w14:paraId="4FC8693A">
            <w:pPr>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第七章 下属七和弦</w:t>
            </w:r>
          </w:p>
          <w:p w14:paraId="7483F5DF">
            <w:pPr>
              <w:rPr>
                <w:rFonts w:hint="eastAsia" w:ascii="仿宋" w:hAnsi="仿宋" w:eastAsia="仿宋" w:cs="仿宋"/>
                <w:bCs/>
                <w:sz w:val="24"/>
                <w:szCs w:val="24"/>
                <w:lang w:val="en-US" w:eastAsia="zh-CN"/>
              </w:rPr>
            </w:pPr>
            <w:r>
              <w:rPr>
                <w:rFonts w:hint="eastAsia" w:ascii="仿宋" w:hAnsi="仿宋" w:eastAsia="仿宋" w:cs="仿宋"/>
                <w:bCs/>
                <w:sz w:val="24"/>
                <w:szCs w:val="24"/>
              </w:rPr>
              <w:t>知道层次</w:t>
            </w:r>
            <w:r>
              <w:rPr>
                <w:rFonts w:hint="eastAsia" w:ascii="仿宋" w:hAnsi="仿宋" w:eastAsia="仿宋" w:cs="仿宋"/>
                <w:bCs/>
                <w:sz w:val="24"/>
                <w:szCs w:val="24"/>
                <w:lang w:eastAsia="zh-CN"/>
              </w:rPr>
              <w:t>：</w:t>
            </w:r>
          </w:p>
          <w:p w14:paraId="0F2ECBF1">
            <w:pPr>
              <w:rPr>
                <w:rFonts w:ascii="仿宋" w:hAnsi="仿宋" w:eastAsia="仿宋" w:cs="仿宋"/>
                <w:bCs/>
                <w:sz w:val="24"/>
                <w:szCs w:val="24"/>
                <w:lang w:val="en-US" w:eastAsia="zh-CN"/>
              </w:rPr>
            </w:pPr>
            <w:r>
              <w:rPr>
                <w:rFonts w:hint="eastAsia" w:ascii="仿宋" w:hAnsi="仿宋" w:eastAsia="仿宋" w:cs="仿宋"/>
                <w:bCs/>
                <w:sz w:val="24"/>
                <w:szCs w:val="24"/>
              </w:rPr>
              <w:t>了解</w:t>
            </w:r>
            <w:r>
              <w:rPr>
                <w:rFonts w:hint="eastAsia" w:ascii="仿宋" w:hAnsi="仿宋" w:eastAsia="仿宋" w:cs="仿宋"/>
                <w:bCs/>
                <w:sz w:val="24"/>
                <w:szCs w:val="24"/>
                <w:lang w:val="en-US" w:eastAsia="zh-CN"/>
              </w:rPr>
              <w:t>Ⅱ级七和弦的基本功能性质，重复音、和各种和弦的连接方法</w:t>
            </w:r>
          </w:p>
          <w:p w14:paraId="34D81BAE">
            <w:pPr>
              <w:rPr>
                <w:rFonts w:hint="eastAsia" w:ascii="仿宋" w:hAnsi="仿宋" w:eastAsia="仿宋" w:cs="仿宋"/>
                <w:bCs/>
                <w:sz w:val="24"/>
                <w:szCs w:val="24"/>
              </w:rPr>
            </w:pPr>
            <w:r>
              <w:rPr>
                <w:rFonts w:hint="eastAsia" w:ascii="仿宋" w:hAnsi="仿宋" w:eastAsia="仿宋" w:cs="仿宋"/>
                <w:bCs/>
                <w:sz w:val="24"/>
                <w:szCs w:val="24"/>
              </w:rPr>
              <w:t>领会层次：</w:t>
            </w:r>
          </w:p>
          <w:p w14:paraId="4D071016">
            <w:pPr>
              <w:rPr>
                <w:rFonts w:ascii="仿宋" w:hAnsi="仿宋" w:eastAsia="仿宋" w:cs="仿宋"/>
                <w:bCs/>
                <w:sz w:val="24"/>
                <w:szCs w:val="24"/>
                <w:lang w:val="en-US" w:eastAsia="zh-CN"/>
              </w:rPr>
            </w:pPr>
            <w:r>
              <w:rPr>
                <w:rFonts w:ascii="仿宋" w:hAnsi="仿宋" w:eastAsia="仿宋" w:cs="仿宋"/>
                <w:bCs/>
                <w:sz w:val="24"/>
                <w:szCs w:val="24"/>
                <w:lang w:val="en-US" w:eastAsia="zh-CN"/>
              </w:rPr>
              <w:t>1</w:t>
            </w:r>
            <w:r>
              <w:rPr>
                <w:rFonts w:hint="eastAsia" w:ascii="仿宋" w:hAnsi="仿宋" w:eastAsia="仿宋" w:cs="仿宋"/>
                <w:bCs/>
                <w:sz w:val="24"/>
                <w:szCs w:val="24"/>
                <w:lang w:val="en-US" w:eastAsia="zh-CN"/>
              </w:rPr>
              <w:t>.Ⅱ级七和弦的功能性质</w:t>
            </w:r>
          </w:p>
          <w:p w14:paraId="46CDCD81">
            <w:pPr>
              <w:rPr>
                <w:rFonts w:ascii="仿宋" w:hAnsi="仿宋" w:eastAsia="仿宋" w:cs="仿宋"/>
                <w:bCs/>
                <w:sz w:val="24"/>
                <w:szCs w:val="24"/>
                <w:lang w:val="en-US" w:eastAsia="zh-CN"/>
              </w:rPr>
            </w:pPr>
            <w:r>
              <w:rPr>
                <w:rFonts w:ascii="仿宋" w:hAnsi="仿宋" w:eastAsia="仿宋" w:cs="仿宋"/>
                <w:bCs/>
                <w:sz w:val="24"/>
                <w:szCs w:val="24"/>
                <w:lang w:val="en-US" w:eastAsia="zh-CN"/>
              </w:rPr>
              <w:t>2</w:t>
            </w:r>
            <w:r>
              <w:rPr>
                <w:rFonts w:hint="eastAsia" w:ascii="仿宋" w:hAnsi="仿宋" w:eastAsia="仿宋" w:cs="仿宋"/>
                <w:bCs/>
                <w:sz w:val="24"/>
                <w:szCs w:val="24"/>
                <w:lang w:val="en-US" w:eastAsia="zh-CN"/>
              </w:rPr>
              <w:t>.Ⅱ级七和弦的解决方式</w:t>
            </w:r>
          </w:p>
          <w:p w14:paraId="477356E5">
            <w:pPr>
              <w:rPr>
                <w:rFonts w:ascii="仿宋" w:hAnsi="仿宋" w:eastAsia="仿宋" w:cs="仿宋"/>
                <w:bCs/>
                <w:sz w:val="24"/>
                <w:szCs w:val="24"/>
                <w:lang w:val="en-US" w:eastAsia="zh-CN"/>
              </w:rPr>
            </w:pPr>
            <w:r>
              <w:rPr>
                <w:rFonts w:ascii="仿宋" w:hAnsi="仿宋" w:eastAsia="仿宋" w:cs="仿宋"/>
                <w:bCs/>
                <w:sz w:val="24"/>
                <w:szCs w:val="24"/>
                <w:lang w:val="en-US" w:eastAsia="zh-CN"/>
              </w:rPr>
              <w:t>3</w:t>
            </w:r>
            <w:r>
              <w:rPr>
                <w:rFonts w:hint="eastAsia" w:ascii="仿宋" w:hAnsi="仿宋" w:eastAsia="仿宋" w:cs="仿宋"/>
                <w:bCs/>
                <w:sz w:val="24"/>
                <w:szCs w:val="24"/>
                <w:lang w:val="en-US" w:eastAsia="zh-CN"/>
              </w:rPr>
              <w:t>.Ⅱ级七和弦夹带经过和弦的用法</w:t>
            </w:r>
          </w:p>
          <w:p w14:paraId="50581FB3">
            <w:pPr>
              <w:rPr>
                <w:rFonts w:ascii="仿宋" w:hAnsi="仿宋" w:eastAsia="仿宋" w:cs="仿宋"/>
                <w:bCs/>
                <w:sz w:val="24"/>
                <w:szCs w:val="24"/>
                <w:lang w:val="en-US" w:eastAsia="zh-CN"/>
              </w:rPr>
            </w:pPr>
            <w:r>
              <w:rPr>
                <w:rFonts w:ascii="仿宋" w:hAnsi="仿宋" w:eastAsia="仿宋" w:cs="仿宋"/>
                <w:bCs/>
                <w:sz w:val="24"/>
                <w:szCs w:val="24"/>
                <w:lang w:val="en-US" w:eastAsia="zh-CN"/>
              </w:rPr>
              <w:t>4</w:t>
            </w:r>
            <w:r>
              <w:rPr>
                <w:rFonts w:hint="eastAsia" w:ascii="仿宋" w:hAnsi="仿宋" w:eastAsia="仿宋" w:cs="仿宋"/>
                <w:bCs/>
                <w:sz w:val="24"/>
                <w:szCs w:val="24"/>
                <w:lang w:val="en-US" w:eastAsia="zh-CN"/>
              </w:rPr>
              <w:t>.Ⅱ级七和弦的变格进行</w:t>
            </w:r>
          </w:p>
          <w:p w14:paraId="076EB8D6">
            <w:pPr>
              <w:rPr>
                <w:rFonts w:ascii="仿宋" w:hAnsi="仿宋" w:eastAsia="仿宋" w:cs="仿宋"/>
                <w:bCs/>
                <w:kern w:val="2"/>
                <w:sz w:val="21"/>
                <w:szCs w:val="21"/>
                <w:lang w:val="en-US" w:eastAsia="zh-CN" w:bidi="ar-SA"/>
              </w:rPr>
            </w:pPr>
            <w:r>
              <w:rPr>
                <w:rFonts w:hint="eastAsia" w:ascii="仿宋" w:hAnsi="仿宋" w:eastAsia="仿宋" w:cs="仿宋"/>
                <w:bCs/>
                <w:sz w:val="24"/>
                <w:szCs w:val="24"/>
              </w:rPr>
              <w:t>应用层次：</w:t>
            </w:r>
            <w:r>
              <w:rPr>
                <w:rFonts w:hint="eastAsia" w:ascii="仿宋" w:hAnsi="仿宋" w:eastAsia="仿宋" w:cs="仿宋"/>
                <w:bCs/>
                <w:sz w:val="24"/>
                <w:szCs w:val="24"/>
                <w:lang w:val="en-US" w:eastAsia="zh-CN"/>
              </w:rPr>
              <w:t>Ⅱ级七和弦</w:t>
            </w:r>
            <w:r>
              <w:rPr>
                <w:rFonts w:hint="eastAsia" w:ascii="仿宋" w:hAnsi="仿宋" w:eastAsia="仿宋" w:cs="仿宋"/>
                <w:bCs/>
                <w:sz w:val="24"/>
                <w:szCs w:val="24"/>
              </w:rPr>
              <w:t>在实际作品中的应用</w:t>
            </w:r>
            <w:r>
              <w:rPr>
                <w:rFonts w:hint="eastAsia" w:ascii="仿宋" w:hAnsi="仿宋" w:eastAsia="仿宋" w:cs="仿宋"/>
                <w:bCs/>
                <w:sz w:val="24"/>
                <w:szCs w:val="24"/>
                <w:lang w:val="en-US" w:eastAsia="zh-CN"/>
              </w:rPr>
              <w:t>分析</w:t>
            </w:r>
            <w:r>
              <w:rPr>
                <w:rFonts w:hint="eastAsia" w:ascii="仿宋" w:hAnsi="仿宋" w:eastAsia="仿宋" w:cs="仿宋"/>
                <w:bCs/>
                <w:sz w:val="24"/>
                <w:szCs w:val="24"/>
              </w:rPr>
              <w:t>。</w:t>
            </w:r>
          </w:p>
        </w:tc>
        <w:tc>
          <w:tcPr>
            <w:tcW w:w="990" w:type="dxa"/>
            <w:gridSpan w:val="2"/>
            <w:vAlign w:val="center"/>
          </w:tcPr>
          <w:p w14:paraId="1037FD1A">
            <w:pPr>
              <w:jc w:val="center"/>
              <w:rPr>
                <w:rFonts w:hint="eastAsia" w:ascii="仿宋" w:hAnsi="仿宋" w:eastAsia="仿宋" w:cs="仿宋"/>
                <w:bCs/>
                <w:kern w:val="2"/>
                <w:sz w:val="21"/>
                <w:szCs w:val="21"/>
                <w:lang w:val="en-US" w:eastAsia="zh-CN" w:bidi="ar-SA"/>
              </w:rPr>
            </w:pPr>
            <w:r>
              <w:rPr>
                <w:rFonts w:hint="eastAsia" w:ascii="仿宋" w:hAnsi="仿宋" w:eastAsia="仿宋" w:cs="仿宋"/>
                <w:bCs/>
                <w:sz w:val="24"/>
                <w:szCs w:val="24"/>
                <w:lang w:eastAsia="zh-CN"/>
              </w:rPr>
              <w:t>支撑课程目标1、2、3</w:t>
            </w:r>
          </w:p>
        </w:tc>
        <w:tc>
          <w:tcPr>
            <w:tcW w:w="563" w:type="dxa"/>
            <w:vAlign w:val="center"/>
          </w:tcPr>
          <w:p w14:paraId="7BEFA1ED">
            <w:pPr>
              <w:keepNext w:val="0"/>
              <w:keepLines w:val="0"/>
              <w:widowControl/>
              <w:suppressLineNumbers w:val="0"/>
              <w:jc w:val="center"/>
              <w:rPr>
                <w:rFonts w:ascii="仿宋" w:hAnsi="仿宋" w:eastAsia="仿宋" w:cs="仿宋"/>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2</w:t>
            </w:r>
          </w:p>
        </w:tc>
      </w:tr>
      <w:tr w14:paraId="04FED71A">
        <w:trPr>
          <w:trHeight w:val="0" w:hRule="atLeast"/>
        </w:trPr>
        <w:tc>
          <w:tcPr>
            <w:tcW w:w="1376" w:type="dxa"/>
            <w:vMerge w:val="continue"/>
            <w:vAlign w:val="center"/>
          </w:tcPr>
          <w:p w14:paraId="4558723F">
            <w:pPr>
              <w:spacing w:line="240" w:lineRule="atLeast"/>
              <w:jc w:val="right"/>
              <w:rPr>
                <w:rFonts w:hint="eastAsia" w:ascii="仿宋" w:hAnsi="仿宋" w:eastAsia="仿宋" w:cs="仿宋"/>
                <w:sz w:val="24"/>
                <w:szCs w:val="24"/>
              </w:rPr>
            </w:pPr>
          </w:p>
        </w:tc>
        <w:tc>
          <w:tcPr>
            <w:tcW w:w="6219" w:type="dxa"/>
            <w:gridSpan w:val="15"/>
            <w:vAlign w:val="center"/>
          </w:tcPr>
          <w:p w14:paraId="40C87471">
            <w:pPr>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第八章 导七和弦及属功能组不常用的和弦</w:t>
            </w:r>
          </w:p>
          <w:p w14:paraId="7502EB98">
            <w:pPr>
              <w:rPr>
                <w:rFonts w:hint="eastAsia" w:ascii="仿宋" w:hAnsi="仿宋" w:eastAsia="仿宋" w:cs="仿宋"/>
                <w:bCs/>
                <w:sz w:val="24"/>
                <w:szCs w:val="24"/>
                <w:lang w:val="en-US" w:eastAsia="zh-CN"/>
              </w:rPr>
            </w:pPr>
            <w:r>
              <w:rPr>
                <w:rFonts w:hint="eastAsia" w:ascii="仿宋" w:hAnsi="仿宋" w:eastAsia="仿宋" w:cs="仿宋"/>
                <w:bCs/>
                <w:sz w:val="24"/>
                <w:szCs w:val="24"/>
              </w:rPr>
              <w:t>知道层次</w:t>
            </w:r>
            <w:r>
              <w:rPr>
                <w:rFonts w:hint="eastAsia" w:ascii="仿宋" w:hAnsi="仿宋" w:eastAsia="仿宋" w:cs="仿宋"/>
                <w:bCs/>
                <w:sz w:val="24"/>
                <w:szCs w:val="24"/>
                <w:lang w:eastAsia="zh-CN"/>
              </w:rPr>
              <w:t>：</w:t>
            </w:r>
          </w:p>
          <w:p w14:paraId="0091D24A">
            <w:pPr>
              <w:rPr>
                <w:rFonts w:ascii="仿宋" w:hAnsi="仿宋" w:eastAsia="仿宋" w:cs="仿宋"/>
                <w:bCs/>
                <w:sz w:val="24"/>
                <w:szCs w:val="24"/>
                <w:lang w:val="en-US" w:eastAsia="zh-CN"/>
              </w:rPr>
            </w:pPr>
            <w:r>
              <w:rPr>
                <w:rFonts w:hint="eastAsia" w:ascii="仿宋" w:hAnsi="仿宋" w:eastAsia="仿宋" w:cs="仿宋"/>
                <w:bCs/>
                <w:sz w:val="24"/>
                <w:szCs w:val="24"/>
              </w:rPr>
              <w:t>了解</w:t>
            </w:r>
            <w:r>
              <w:rPr>
                <w:rFonts w:hint="eastAsia" w:ascii="仿宋" w:hAnsi="仿宋" w:eastAsia="仿宋" w:cs="仿宋"/>
                <w:bCs/>
                <w:sz w:val="24"/>
                <w:szCs w:val="24"/>
                <w:lang w:val="en-US" w:eastAsia="zh-CN"/>
              </w:rPr>
              <w:t>Ⅶ级七和弦的基本功能性质，重复音、和各种和弦的连接方法</w:t>
            </w:r>
          </w:p>
          <w:p w14:paraId="355809D1">
            <w:pPr>
              <w:rPr>
                <w:rFonts w:hint="eastAsia" w:ascii="仿宋" w:hAnsi="仿宋" w:eastAsia="仿宋" w:cs="仿宋"/>
                <w:bCs/>
                <w:sz w:val="24"/>
                <w:szCs w:val="24"/>
              </w:rPr>
            </w:pPr>
            <w:r>
              <w:rPr>
                <w:rFonts w:hint="eastAsia" w:ascii="仿宋" w:hAnsi="仿宋" w:eastAsia="仿宋" w:cs="仿宋"/>
                <w:bCs/>
                <w:sz w:val="24"/>
                <w:szCs w:val="24"/>
              </w:rPr>
              <w:t>领会层次：</w:t>
            </w:r>
          </w:p>
          <w:p w14:paraId="20F64122">
            <w:pPr>
              <w:rPr>
                <w:rFonts w:ascii="仿宋" w:hAnsi="仿宋" w:eastAsia="仿宋" w:cs="仿宋"/>
                <w:bCs/>
                <w:sz w:val="24"/>
                <w:szCs w:val="24"/>
                <w:lang w:val="en-US" w:eastAsia="zh-CN"/>
              </w:rPr>
            </w:pPr>
            <w:r>
              <w:rPr>
                <w:rFonts w:ascii="仿宋" w:hAnsi="仿宋" w:eastAsia="仿宋" w:cs="仿宋"/>
                <w:bCs/>
                <w:sz w:val="24"/>
                <w:szCs w:val="24"/>
                <w:lang w:val="en-US" w:eastAsia="zh-CN"/>
              </w:rPr>
              <w:t>1</w:t>
            </w:r>
            <w:r>
              <w:rPr>
                <w:rFonts w:hint="eastAsia" w:ascii="仿宋" w:hAnsi="仿宋" w:eastAsia="仿宋" w:cs="仿宋"/>
                <w:bCs/>
                <w:sz w:val="24"/>
                <w:szCs w:val="24"/>
                <w:lang w:val="en-US" w:eastAsia="zh-CN"/>
              </w:rPr>
              <w:t>.导七和弦的功能性质</w:t>
            </w:r>
          </w:p>
          <w:p w14:paraId="1A248F74">
            <w:pPr>
              <w:rPr>
                <w:rFonts w:ascii="仿宋" w:hAnsi="仿宋" w:eastAsia="仿宋" w:cs="仿宋"/>
                <w:bCs/>
                <w:sz w:val="24"/>
                <w:szCs w:val="24"/>
                <w:lang w:val="en-US" w:eastAsia="zh-CN"/>
              </w:rPr>
            </w:pPr>
            <w:r>
              <w:rPr>
                <w:rFonts w:ascii="仿宋" w:hAnsi="仿宋" w:eastAsia="仿宋" w:cs="仿宋"/>
                <w:bCs/>
                <w:sz w:val="24"/>
                <w:szCs w:val="24"/>
                <w:lang w:val="en-US" w:eastAsia="zh-CN"/>
              </w:rPr>
              <w:t>2</w:t>
            </w:r>
            <w:r>
              <w:rPr>
                <w:rFonts w:hint="eastAsia" w:ascii="仿宋" w:hAnsi="仿宋" w:eastAsia="仿宋" w:cs="仿宋"/>
                <w:bCs/>
                <w:sz w:val="24"/>
                <w:szCs w:val="24"/>
                <w:lang w:val="en-US" w:eastAsia="zh-CN"/>
              </w:rPr>
              <w:t>.到七和弦的解决方式</w:t>
            </w:r>
          </w:p>
          <w:p w14:paraId="7ED5CF7C">
            <w:pPr>
              <w:rPr>
                <w:rFonts w:ascii="仿宋" w:hAnsi="仿宋" w:eastAsia="仿宋" w:cs="仿宋"/>
                <w:bCs/>
                <w:sz w:val="24"/>
                <w:szCs w:val="24"/>
                <w:lang w:val="en-US" w:eastAsia="zh-CN"/>
              </w:rPr>
            </w:pPr>
            <w:r>
              <w:rPr>
                <w:rFonts w:ascii="仿宋" w:hAnsi="仿宋" w:eastAsia="仿宋" w:cs="仿宋"/>
                <w:bCs/>
                <w:sz w:val="24"/>
                <w:szCs w:val="24"/>
                <w:lang w:val="en-US" w:eastAsia="zh-CN"/>
              </w:rPr>
              <w:t>3</w:t>
            </w:r>
            <w:r>
              <w:rPr>
                <w:rFonts w:hint="eastAsia" w:ascii="仿宋" w:hAnsi="仿宋" w:eastAsia="仿宋" w:cs="仿宋"/>
                <w:bCs/>
                <w:sz w:val="24"/>
                <w:szCs w:val="24"/>
                <w:lang w:val="en-US" w:eastAsia="zh-CN"/>
              </w:rPr>
              <w:t>.导七和弦夹带经过和弦的用法</w:t>
            </w:r>
          </w:p>
          <w:p w14:paraId="68248D21">
            <w:pPr>
              <w:rPr>
                <w:rFonts w:ascii="仿宋" w:hAnsi="仿宋" w:eastAsia="仿宋" w:cs="仿宋"/>
                <w:bCs/>
                <w:sz w:val="24"/>
                <w:szCs w:val="24"/>
                <w:lang w:val="en-US" w:eastAsia="zh-CN"/>
              </w:rPr>
            </w:pPr>
            <w:r>
              <w:rPr>
                <w:rFonts w:ascii="仿宋" w:hAnsi="仿宋" w:eastAsia="仿宋" w:cs="仿宋"/>
                <w:bCs/>
                <w:sz w:val="24"/>
                <w:szCs w:val="24"/>
                <w:lang w:val="en-US" w:eastAsia="zh-CN"/>
              </w:rPr>
              <w:t>4</w:t>
            </w:r>
            <w:r>
              <w:rPr>
                <w:rFonts w:hint="eastAsia" w:ascii="仿宋" w:hAnsi="仿宋" w:eastAsia="仿宋" w:cs="仿宋"/>
                <w:bCs/>
                <w:sz w:val="24"/>
                <w:szCs w:val="24"/>
                <w:lang w:val="en-US" w:eastAsia="zh-CN"/>
              </w:rPr>
              <w:t>.导七和弦的基本用法</w:t>
            </w:r>
          </w:p>
          <w:p w14:paraId="17F2E85C">
            <w:pPr>
              <w:rPr>
                <w:rFonts w:ascii="仿宋" w:hAnsi="仿宋" w:eastAsia="仿宋" w:cs="仿宋"/>
                <w:bCs/>
                <w:sz w:val="24"/>
                <w:szCs w:val="24"/>
                <w:lang w:val="en-US" w:eastAsia="zh-CN"/>
              </w:rPr>
            </w:pPr>
            <w:r>
              <w:rPr>
                <w:rFonts w:hint="eastAsia" w:ascii="仿宋" w:hAnsi="仿宋" w:eastAsia="仿宋" w:cs="仿宋"/>
                <w:bCs/>
                <w:sz w:val="24"/>
                <w:szCs w:val="24"/>
                <w:lang w:val="en-US" w:eastAsia="zh-CN"/>
              </w:rPr>
              <w:t>5.大调III级与小调III级的应用</w:t>
            </w:r>
          </w:p>
          <w:p w14:paraId="4415FAFB">
            <w:pPr>
              <w:rPr>
                <w:rFonts w:ascii="仿宋" w:hAnsi="仿宋" w:eastAsia="仿宋" w:cs="仿宋"/>
                <w:bCs/>
                <w:sz w:val="24"/>
                <w:szCs w:val="24"/>
                <w:lang w:val="en-US" w:eastAsia="zh-CN"/>
              </w:rPr>
            </w:pPr>
            <w:r>
              <w:rPr>
                <w:rFonts w:hint="eastAsia" w:ascii="仿宋" w:hAnsi="仿宋" w:eastAsia="仿宋" w:cs="仿宋"/>
                <w:bCs/>
                <w:sz w:val="24"/>
                <w:szCs w:val="24"/>
                <w:lang w:val="en-US" w:eastAsia="zh-CN"/>
              </w:rPr>
              <w:t>6.导六和弦的应用</w:t>
            </w:r>
          </w:p>
          <w:p w14:paraId="022FCB98">
            <w:pPr>
              <w:rPr>
                <w:rFonts w:ascii="仿宋" w:hAnsi="仿宋" w:eastAsia="仿宋" w:cs="仿宋"/>
                <w:bCs/>
                <w:sz w:val="24"/>
                <w:szCs w:val="24"/>
                <w:lang w:val="en-US" w:eastAsia="zh-CN"/>
              </w:rPr>
            </w:pPr>
            <w:r>
              <w:rPr>
                <w:rFonts w:hint="eastAsia" w:ascii="仿宋" w:hAnsi="仿宋" w:eastAsia="仿宋" w:cs="仿宋"/>
                <w:bCs/>
                <w:sz w:val="24"/>
                <w:szCs w:val="24"/>
                <w:lang w:val="en-US" w:eastAsia="zh-CN"/>
              </w:rPr>
              <w:t>7.附加六度的属和弦、属七和弦的应用</w:t>
            </w:r>
          </w:p>
          <w:p w14:paraId="499F5A7F">
            <w:pPr>
              <w:rPr>
                <w:rFonts w:hint="eastAsia" w:ascii="仿宋" w:hAnsi="仿宋" w:eastAsia="仿宋" w:cs="仿宋"/>
                <w:bCs/>
                <w:sz w:val="24"/>
                <w:szCs w:val="24"/>
              </w:rPr>
            </w:pPr>
            <w:r>
              <w:rPr>
                <w:rFonts w:hint="eastAsia" w:ascii="仿宋" w:hAnsi="仿宋" w:eastAsia="仿宋" w:cs="仿宋"/>
                <w:bCs/>
                <w:sz w:val="24"/>
                <w:szCs w:val="24"/>
              </w:rPr>
              <w:t>应用层次：</w:t>
            </w:r>
          </w:p>
          <w:p w14:paraId="07B2E5AC">
            <w:pPr>
              <w:rPr>
                <w:rFonts w:ascii="仿宋" w:hAnsi="仿宋" w:eastAsia="仿宋" w:cs="仿宋"/>
                <w:bCs/>
                <w:kern w:val="2"/>
                <w:sz w:val="21"/>
                <w:szCs w:val="21"/>
                <w:lang w:val="en-US" w:eastAsia="en-US" w:bidi="ar-SA"/>
              </w:rPr>
            </w:pPr>
            <w:r>
              <w:rPr>
                <w:rFonts w:hint="eastAsia" w:ascii="仿宋" w:hAnsi="仿宋" w:eastAsia="仿宋" w:cs="仿宋"/>
                <w:bCs/>
                <w:sz w:val="24"/>
                <w:szCs w:val="24"/>
                <w:lang w:val="en-US" w:eastAsia="zh-CN"/>
              </w:rPr>
              <w:t>导七和弦及属功能组不常用的和弦</w:t>
            </w:r>
            <w:r>
              <w:rPr>
                <w:rFonts w:hint="eastAsia" w:ascii="仿宋" w:hAnsi="仿宋" w:eastAsia="仿宋" w:cs="仿宋"/>
                <w:bCs/>
                <w:sz w:val="24"/>
                <w:szCs w:val="24"/>
              </w:rPr>
              <w:t>在实际作品中的应用</w:t>
            </w:r>
            <w:r>
              <w:rPr>
                <w:rFonts w:hint="eastAsia" w:ascii="仿宋" w:hAnsi="仿宋" w:eastAsia="仿宋" w:cs="仿宋"/>
                <w:bCs/>
                <w:sz w:val="24"/>
                <w:szCs w:val="24"/>
                <w:lang w:val="en-US" w:eastAsia="zh-CN"/>
              </w:rPr>
              <w:t>分析</w:t>
            </w:r>
            <w:r>
              <w:rPr>
                <w:rFonts w:hint="eastAsia" w:ascii="仿宋" w:hAnsi="仿宋" w:eastAsia="仿宋" w:cs="仿宋"/>
                <w:bCs/>
                <w:sz w:val="24"/>
                <w:szCs w:val="24"/>
              </w:rPr>
              <w:t>。</w:t>
            </w:r>
          </w:p>
        </w:tc>
        <w:tc>
          <w:tcPr>
            <w:tcW w:w="990" w:type="dxa"/>
            <w:gridSpan w:val="2"/>
            <w:vAlign w:val="center"/>
          </w:tcPr>
          <w:p w14:paraId="1E580EF3">
            <w:pPr>
              <w:jc w:val="center"/>
              <w:rPr>
                <w:rFonts w:hint="eastAsia" w:ascii="仿宋" w:hAnsi="仿宋" w:eastAsia="仿宋" w:cs="仿宋"/>
                <w:bCs/>
                <w:kern w:val="2"/>
                <w:sz w:val="21"/>
                <w:szCs w:val="21"/>
                <w:lang w:val="en-US" w:eastAsia="zh-CN" w:bidi="ar-SA"/>
              </w:rPr>
            </w:pPr>
            <w:r>
              <w:rPr>
                <w:rFonts w:hint="eastAsia" w:ascii="仿宋" w:hAnsi="仿宋" w:eastAsia="仿宋" w:cs="仿宋"/>
                <w:bCs/>
                <w:sz w:val="24"/>
                <w:szCs w:val="24"/>
                <w:lang w:eastAsia="zh-CN"/>
              </w:rPr>
              <w:t>支撑课程目标1、2、3</w:t>
            </w:r>
          </w:p>
        </w:tc>
        <w:tc>
          <w:tcPr>
            <w:tcW w:w="563" w:type="dxa"/>
            <w:vAlign w:val="center"/>
          </w:tcPr>
          <w:p w14:paraId="7B2374D4">
            <w:pPr>
              <w:keepNext w:val="0"/>
              <w:keepLines w:val="0"/>
              <w:widowControl/>
              <w:suppressLineNumbers w:val="0"/>
              <w:jc w:val="center"/>
              <w:rPr>
                <w:rFonts w:ascii="仿宋" w:hAnsi="仿宋" w:eastAsia="仿宋" w:cs="仿宋"/>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4</w:t>
            </w:r>
          </w:p>
        </w:tc>
      </w:tr>
      <w:tr w14:paraId="0F2B7077">
        <w:trPr>
          <w:trHeight w:val="0" w:hRule="atLeast"/>
        </w:trPr>
        <w:tc>
          <w:tcPr>
            <w:tcW w:w="1376" w:type="dxa"/>
            <w:vMerge w:val="continue"/>
            <w:vAlign w:val="center"/>
          </w:tcPr>
          <w:p w14:paraId="45833F59">
            <w:pPr>
              <w:spacing w:line="240" w:lineRule="atLeast"/>
              <w:jc w:val="right"/>
              <w:rPr>
                <w:rFonts w:hint="eastAsia" w:ascii="仿宋" w:hAnsi="仿宋" w:eastAsia="仿宋" w:cs="仿宋"/>
                <w:sz w:val="24"/>
                <w:szCs w:val="24"/>
              </w:rPr>
            </w:pPr>
          </w:p>
        </w:tc>
        <w:tc>
          <w:tcPr>
            <w:tcW w:w="6219" w:type="dxa"/>
            <w:gridSpan w:val="15"/>
            <w:vAlign w:val="center"/>
          </w:tcPr>
          <w:p w14:paraId="204E5F6F">
            <w:pPr>
              <w:rPr>
                <w:rFonts w:ascii="仿宋" w:hAnsi="仿宋" w:eastAsia="仿宋" w:cs="仿宋"/>
                <w:bCs/>
                <w:sz w:val="24"/>
                <w:szCs w:val="24"/>
                <w:lang w:val="en-US" w:eastAsia="zh-CN"/>
              </w:rPr>
            </w:pPr>
            <w:r>
              <w:rPr>
                <w:rFonts w:hint="eastAsia" w:ascii="仿宋" w:hAnsi="仿宋" w:eastAsia="仿宋" w:cs="仿宋"/>
                <w:bCs/>
                <w:sz w:val="24"/>
                <w:szCs w:val="24"/>
                <w:lang w:val="en-US" w:eastAsia="zh-CN"/>
              </w:rPr>
              <w:t>第九章 重属、重导和弦及重属增六和弦</w:t>
            </w:r>
          </w:p>
          <w:p w14:paraId="571C8EE0">
            <w:pPr>
              <w:rPr>
                <w:rFonts w:hint="eastAsia" w:ascii="仿宋" w:hAnsi="仿宋" w:eastAsia="仿宋" w:cs="仿宋"/>
                <w:bCs/>
                <w:sz w:val="24"/>
                <w:szCs w:val="24"/>
              </w:rPr>
            </w:pPr>
            <w:r>
              <w:rPr>
                <w:rFonts w:hint="eastAsia" w:ascii="仿宋" w:hAnsi="仿宋" w:eastAsia="仿宋" w:cs="仿宋"/>
                <w:bCs/>
                <w:sz w:val="24"/>
                <w:szCs w:val="24"/>
              </w:rPr>
              <w:t>知道层次：</w:t>
            </w:r>
          </w:p>
          <w:p w14:paraId="26A4E44F">
            <w:pPr>
              <w:rPr>
                <w:rFonts w:ascii="仿宋" w:hAnsi="仿宋" w:eastAsia="仿宋" w:cs="仿宋"/>
                <w:bCs/>
                <w:sz w:val="24"/>
                <w:szCs w:val="24"/>
                <w:lang w:val="en-US" w:eastAsia="zh-CN"/>
              </w:rPr>
            </w:pPr>
            <w:r>
              <w:rPr>
                <w:rFonts w:hint="eastAsia" w:ascii="仿宋" w:hAnsi="仿宋" w:eastAsia="仿宋" w:cs="仿宋"/>
                <w:bCs/>
                <w:sz w:val="24"/>
                <w:szCs w:val="24"/>
                <w:lang w:val="en-US" w:eastAsia="zh-CN"/>
              </w:rPr>
              <w:t>了解结构中和终止中的重属、重导和弦的基本功能性质、和各种和弦的连接方法；了解重属增六和弦的结构与音响特点、预备与解决方式。</w:t>
            </w:r>
          </w:p>
          <w:p w14:paraId="6C7A40C8">
            <w:pPr>
              <w:rPr>
                <w:rFonts w:hint="eastAsia" w:ascii="仿宋" w:hAnsi="仿宋" w:eastAsia="仿宋" w:cs="仿宋"/>
                <w:bCs/>
                <w:sz w:val="24"/>
                <w:szCs w:val="24"/>
              </w:rPr>
            </w:pPr>
            <w:r>
              <w:rPr>
                <w:rFonts w:hint="eastAsia" w:ascii="仿宋" w:hAnsi="仿宋" w:eastAsia="仿宋" w:cs="仿宋"/>
                <w:bCs/>
                <w:sz w:val="24"/>
                <w:szCs w:val="24"/>
              </w:rPr>
              <w:t>领会层次：</w:t>
            </w:r>
          </w:p>
          <w:p w14:paraId="41F489E0">
            <w:pPr>
              <w:rPr>
                <w:rFonts w:ascii="仿宋" w:hAnsi="仿宋" w:eastAsia="仿宋" w:cs="仿宋"/>
                <w:bCs/>
                <w:sz w:val="24"/>
                <w:szCs w:val="24"/>
                <w:lang w:val="en-US" w:eastAsia="zh-CN"/>
              </w:rPr>
            </w:pPr>
            <w:r>
              <w:rPr>
                <w:rFonts w:ascii="仿宋" w:hAnsi="仿宋" w:eastAsia="仿宋" w:cs="仿宋"/>
                <w:bCs/>
                <w:sz w:val="24"/>
                <w:szCs w:val="24"/>
                <w:lang w:val="en-US" w:eastAsia="zh-CN"/>
              </w:rPr>
              <w:t>1</w:t>
            </w:r>
            <w:r>
              <w:rPr>
                <w:rFonts w:hint="eastAsia" w:ascii="仿宋" w:hAnsi="仿宋" w:eastAsia="仿宋" w:cs="仿宋"/>
                <w:bCs/>
                <w:sz w:val="24"/>
                <w:szCs w:val="24"/>
                <w:lang w:val="en-US" w:eastAsia="zh-CN"/>
              </w:rPr>
              <w:t>.重属、重导的结构与功能性质</w:t>
            </w:r>
          </w:p>
          <w:p w14:paraId="258770F9">
            <w:pPr>
              <w:rPr>
                <w:rFonts w:ascii="仿宋" w:hAnsi="仿宋" w:eastAsia="仿宋" w:cs="仿宋"/>
                <w:bCs/>
                <w:sz w:val="24"/>
                <w:szCs w:val="24"/>
                <w:lang w:val="en-US" w:eastAsia="zh-CN"/>
              </w:rPr>
            </w:pPr>
            <w:r>
              <w:rPr>
                <w:rFonts w:ascii="仿宋" w:hAnsi="仿宋" w:eastAsia="仿宋" w:cs="仿宋"/>
                <w:bCs/>
                <w:sz w:val="24"/>
                <w:szCs w:val="24"/>
                <w:lang w:val="en-US" w:eastAsia="zh-CN"/>
              </w:rPr>
              <w:t>2</w:t>
            </w:r>
            <w:r>
              <w:rPr>
                <w:rFonts w:hint="eastAsia" w:ascii="仿宋" w:hAnsi="仿宋" w:eastAsia="仿宋" w:cs="仿宋"/>
                <w:bCs/>
                <w:sz w:val="24"/>
                <w:szCs w:val="24"/>
                <w:lang w:val="en-US" w:eastAsia="zh-CN"/>
              </w:rPr>
              <w:t>.终止中重属、重导的低音定位</w:t>
            </w:r>
          </w:p>
          <w:p w14:paraId="78C80F90">
            <w:pPr>
              <w:rPr>
                <w:rFonts w:ascii="仿宋" w:hAnsi="仿宋" w:eastAsia="仿宋" w:cs="仿宋"/>
                <w:bCs/>
                <w:sz w:val="24"/>
                <w:szCs w:val="24"/>
                <w:lang w:val="en-US" w:eastAsia="zh-CN"/>
              </w:rPr>
            </w:pPr>
            <w:r>
              <w:rPr>
                <w:rFonts w:ascii="仿宋" w:hAnsi="仿宋" w:eastAsia="仿宋" w:cs="仿宋"/>
                <w:bCs/>
                <w:sz w:val="24"/>
                <w:szCs w:val="24"/>
                <w:lang w:val="en-US" w:eastAsia="zh-CN"/>
              </w:rPr>
              <w:t>3</w:t>
            </w:r>
            <w:r>
              <w:rPr>
                <w:rFonts w:hint="eastAsia" w:ascii="仿宋" w:hAnsi="仿宋" w:eastAsia="仿宋" w:cs="仿宋"/>
                <w:bCs/>
                <w:sz w:val="24"/>
                <w:szCs w:val="24"/>
                <w:lang w:val="en-US" w:eastAsia="zh-CN"/>
              </w:rPr>
              <w:t>.重属、重导和弦预备与解决</w:t>
            </w:r>
          </w:p>
          <w:p w14:paraId="3F13162E">
            <w:pPr>
              <w:rPr>
                <w:rFonts w:ascii="仿宋" w:hAnsi="仿宋" w:eastAsia="仿宋" w:cs="仿宋"/>
                <w:bCs/>
                <w:sz w:val="24"/>
                <w:szCs w:val="24"/>
                <w:lang w:val="en-US" w:eastAsia="zh-CN"/>
              </w:rPr>
            </w:pPr>
            <w:r>
              <w:rPr>
                <w:rFonts w:hint="eastAsia" w:ascii="仿宋" w:hAnsi="仿宋" w:eastAsia="仿宋" w:cs="仿宋"/>
                <w:bCs/>
                <w:sz w:val="24"/>
                <w:szCs w:val="24"/>
                <w:lang w:val="en-US" w:eastAsia="zh-CN"/>
              </w:rPr>
              <w:t>4.结构内与终止处用法的不同</w:t>
            </w:r>
          </w:p>
          <w:p w14:paraId="725A3947">
            <w:pPr>
              <w:rPr>
                <w:rFonts w:ascii="仿宋" w:hAnsi="仿宋" w:eastAsia="仿宋" w:cs="仿宋"/>
                <w:bCs/>
                <w:sz w:val="24"/>
                <w:szCs w:val="24"/>
                <w:lang w:val="en-US" w:eastAsia="zh-CN"/>
              </w:rPr>
            </w:pPr>
            <w:r>
              <w:rPr>
                <w:rFonts w:hint="eastAsia" w:ascii="仿宋" w:hAnsi="仿宋" w:eastAsia="仿宋" w:cs="仿宋"/>
                <w:bCs/>
                <w:sz w:val="24"/>
                <w:szCs w:val="24"/>
                <w:lang w:val="en-US" w:eastAsia="zh-CN"/>
              </w:rPr>
              <w:t>5.解决到属功能组不协和和弦</w:t>
            </w:r>
          </w:p>
          <w:p w14:paraId="5695812E">
            <w:pPr>
              <w:rPr>
                <w:rFonts w:ascii="仿宋" w:hAnsi="仿宋" w:eastAsia="仿宋" w:cs="仿宋"/>
                <w:bCs/>
                <w:sz w:val="24"/>
                <w:szCs w:val="24"/>
                <w:lang w:val="en-US" w:eastAsia="zh-CN"/>
              </w:rPr>
            </w:pPr>
            <w:r>
              <w:rPr>
                <w:rFonts w:hint="eastAsia" w:ascii="仿宋" w:hAnsi="仿宋" w:eastAsia="仿宋" w:cs="仿宋"/>
                <w:bCs/>
                <w:sz w:val="24"/>
                <w:szCs w:val="24"/>
                <w:lang w:val="en-US" w:eastAsia="zh-CN"/>
              </w:rPr>
              <w:t>6.解决到下属功能组不协和和弦</w:t>
            </w:r>
          </w:p>
          <w:p w14:paraId="1D24ACE1">
            <w:pPr>
              <w:rPr>
                <w:rFonts w:hint="eastAsia" w:ascii="仿宋" w:hAnsi="仿宋" w:eastAsia="仿宋" w:cs="仿宋"/>
                <w:bCs/>
                <w:sz w:val="24"/>
                <w:szCs w:val="24"/>
              </w:rPr>
            </w:pPr>
            <w:r>
              <w:rPr>
                <w:rFonts w:hint="eastAsia" w:ascii="仿宋" w:hAnsi="仿宋" w:eastAsia="仿宋" w:cs="仿宋"/>
                <w:bCs/>
                <w:sz w:val="24"/>
                <w:szCs w:val="24"/>
              </w:rPr>
              <w:t>应用层次：</w:t>
            </w:r>
          </w:p>
          <w:p w14:paraId="4DDE4A88">
            <w:pPr>
              <w:rPr>
                <w:rFonts w:hint="eastAsia" w:ascii="仿宋" w:hAnsi="仿宋" w:eastAsia="仿宋" w:cs="仿宋"/>
                <w:bCs/>
                <w:sz w:val="24"/>
                <w:szCs w:val="24"/>
              </w:rPr>
            </w:pPr>
            <w:r>
              <w:rPr>
                <w:rFonts w:hint="eastAsia" w:ascii="仿宋" w:hAnsi="仿宋" w:eastAsia="仿宋" w:cs="仿宋"/>
                <w:bCs/>
                <w:sz w:val="24"/>
                <w:szCs w:val="24"/>
                <w:lang w:val="en-US" w:eastAsia="zh-CN"/>
              </w:rPr>
              <w:t>重属、重导和弦及重属增六和弦</w:t>
            </w:r>
            <w:r>
              <w:rPr>
                <w:rFonts w:hint="eastAsia" w:ascii="仿宋" w:hAnsi="仿宋" w:eastAsia="仿宋" w:cs="仿宋"/>
                <w:bCs/>
                <w:sz w:val="24"/>
                <w:szCs w:val="24"/>
              </w:rPr>
              <w:t>在实际作品中的应用</w:t>
            </w:r>
            <w:r>
              <w:rPr>
                <w:rFonts w:hint="eastAsia" w:ascii="仿宋" w:hAnsi="仿宋" w:eastAsia="仿宋" w:cs="仿宋"/>
                <w:bCs/>
                <w:sz w:val="24"/>
                <w:szCs w:val="24"/>
                <w:lang w:val="en-US" w:eastAsia="zh-CN"/>
              </w:rPr>
              <w:t>分析</w:t>
            </w:r>
            <w:r>
              <w:rPr>
                <w:rFonts w:hint="eastAsia" w:ascii="仿宋" w:hAnsi="仿宋" w:eastAsia="仿宋" w:cs="仿宋"/>
                <w:bCs/>
                <w:sz w:val="24"/>
                <w:szCs w:val="24"/>
              </w:rPr>
              <w:t>。</w:t>
            </w:r>
          </w:p>
          <w:p w14:paraId="2DC81FE6">
            <w:pPr>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思政元素：学习和声中的复杂结构与增强表现力手法，引导学生理解深度思考与复杂问题处理能力在专业学习中的意义。</w:t>
            </w:r>
          </w:p>
        </w:tc>
        <w:tc>
          <w:tcPr>
            <w:tcW w:w="990" w:type="dxa"/>
            <w:gridSpan w:val="2"/>
            <w:vAlign w:val="center"/>
          </w:tcPr>
          <w:p w14:paraId="250F46BE">
            <w:pPr>
              <w:jc w:val="center"/>
              <w:rPr>
                <w:rFonts w:hint="eastAsia" w:ascii="仿宋" w:hAnsi="仿宋" w:eastAsia="仿宋" w:cs="仿宋"/>
                <w:bCs/>
                <w:kern w:val="2"/>
                <w:sz w:val="21"/>
                <w:szCs w:val="21"/>
                <w:lang w:val="en-US" w:eastAsia="zh-CN" w:bidi="ar-SA"/>
              </w:rPr>
            </w:pPr>
            <w:r>
              <w:rPr>
                <w:rFonts w:hint="eastAsia" w:ascii="仿宋" w:hAnsi="仿宋" w:eastAsia="仿宋" w:cs="仿宋"/>
                <w:bCs/>
                <w:sz w:val="24"/>
                <w:szCs w:val="24"/>
                <w:lang w:eastAsia="zh-CN"/>
              </w:rPr>
              <w:t>支撑课程目标1、2、3</w:t>
            </w:r>
          </w:p>
        </w:tc>
        <w:tc>
          <w:tcPr>
            <w:tcW w:w="563" w:type="dxa"/>
            <w:vAlign w:val="center"/>
          </w:tcPr>
          <w:p w14:paraId="0E67D00F">
            <w:pPr>
              <w:keepNext w:val="0"/>
              <w:keepLines w:val="0"/>
              <w:widowControl/>
              <w:suppressLineNumbers w:val="0"/>
              <w:jc w:val="center"/>
              <w:rPr>
                <w:rFonts w:ascii="仿宋" w:hAnsi="仿宋" w:eastAsia="仿宋" w:cs="仿宋"/>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4</w:t>
            </w:r>
          </w:p>
        </w:tc>
      </w:tr>
      <w:tr w14:paraId="7EAA4DB2">
        <w:trPr>
          <w:trHeight w:val="0" w:hRule="atLeast"/>
        </w:trPr>
        <w:tc>
          <w:tcPr>
            <w:tcW w:w="1376" w:type="dxa"/>
            <w:vMerge w:val="continue"/>
            <w:vAlign w:val="center"/>
          </w:tcPr>
          <w:p w14:paraId="6BDFA699">
            <w:pPr>
              <w:spacing w:line="240" w:lineRule="atLeast"/>
              <w:jc w:val="right"/>
              <w:rPr>
                <w:rFonts w:hint="eastAsia" w:ascii="仿宋" w:hAnsi="仿宋" w:eastAsia="仿宋" w:cs="仿宋"/>
                <w:sz w:val="24"/>
                <w:szCs w:val="24"/>
              </w:rPr>
            </w:pPr>
          </w:p>
        </w:tc>
        <w:tc>
          <w:tcPr>
            <w:tcW w:w="6219" w:type="dxa"/>
            <w:gridSpan w:val="15"/>
            <w:vAlign w:val="center"/>
          </w:tcPr>
          <w:p w14:paraId="00CE65F7">
            <w:pPr>
              <w:rPr>
                <w:rFonts w:hint="eastAsia" w:ascii="仿宋" w:hAnsi="仿宋" w:eastAsia="仿宋" w:cs="仿宋"/>
                <w:bCs/>
                <w:sz w:val="24"/>
                <w:szCs w:val="24"/>
              </w:rPr>
            </w:pPr>
            <w:r>
              <w:rPr>
                <w:rFonts w:hint="eastAsia" w:ascii="仿宋" w:hAnsi="仿宋" w:eastAsia="仿宋" w:cs="仿宋"/>
                <w:bCs/>
                <w:sz w:val="24"/>
                <w:szCs w:val="24"/>
              </w:rPr>
              <w:t>第</w:t>
            </w:r>
            <w:r>
              <w:rPr>
                <w:rFonts w:hint="eastAsia" w:ascii="仿宋" w:hAnsi="仿宋" w:eastAsia="仿宋" w:cs="仿宋"/>
                <w:bCs/>
                <w:sz w:val="24"/>
                <w:szCs w:val="24"/>
                <w:lang w:val="en-US" w:eastAsia="zh-CN"/>
              </w:rPr>
              <w:t>十</w:t>
            </w:r>
            <w:r>
              <w:rPr>
                <w:rFonts w:hint="eastAsia" w:ascii="仿宋" w:hAnsi="仿宋" w:eastAsia="仿宋" w:cs="仿宋"/>
                <w:bCs/>
                <w:sz w:val="24"/>
                <w:szCs w:val="24"/>
              </w:rPr>
              <w:t>章  副属和弦与离调</w:t>
            </w:r>
          </w:p>
          <w:p w14:paraId="377DF9AA">
            <w:pPr>
              <w:rPr>
                <w:rFonts w:ascii="仿宋" w:hAnsi="仿宋" w:eastAsia="仿宋" w:cs="仿宋"/>
                <w:bCs/>
                <w:sz w:val="24"/>
                <w:szCs w:val="24"/>
              </w:rPr>
            </w:pPr>
            <w:r>
              <w:rPr>
                <w:rFonts w:hint="eastAsia" w:ascii="仿宋" w:hAnsi="仿宋" w:eastAsia="仿宋" w:cs="仿宋"/>
                <w:bCs/>
                <w:sz w:val="24"/>
                <w:szCs w:val="24"/>
              </w:rPr>
              <w:t>知道层次：</w:t>
            </w:r>
          </w:p>
          <w:p w14:paraId="045822EE">
            <w:pPr>
              <w:rPr>
                <w:rFonts w:ascii="仿宋" w:hAnsi="仿宋" w:eastAsia="仿宋" w:cs="仿宋"/>
                <w:bCs/>
                <w:sz w:val="24"/>
                <w:szCs w:val="24"/>
              </w:rPr>
            </w:pPr>
            <w:r>
              <w:rPr>
                <w:rFonts w:ascii="仿宋" w:hAnsi="仿宋" w:eastAsia="仿宋" w:cs="仿宋"/>
                <w:bCs/>
                <w:sz w:val="24"/>
                <w:szCs w:val="24"/>
              </w:rPr>
              <w:t>1.</w:t>
            </w:r>
            <w:r>
              <w:rPr>
                <w:rFonts w:hint="eastAsia" w:ascii="仿宋" w:hAnsi="仿宋" w:eastAsia="仿宋" w:cs="仿宋"/>
                <w:bCs/>
                <w:sz w:val="24"/>
                <w:szCs w:val="24"/>
              </w:rPr>
              <w:t>通过副属和弦的学习，正确理解离调的涵义，熟悉副属和弦的构成、标记，清楚副属和弦的作用</w:t>
            </w:r>
          </w:p>
          <w:p w14:paraId="70B70C09">
            <w:pPr>
              <w:rPr>
                <w:rFonts w:hint="eastAsia" w:ascii="仿宋" w:hAnsi="仿宋" w:eastAsia="仿宋" w:cs="仿宋"/>
                <w:bCs/>
                <w:sz w:val="24"/>
                <w:szCs w:val="24"/>
              </w:rPr>
            </w:pPr>
            <w:r>
              <w:rPr>
                <w:rFonts w:ascii="仿宋" w:hAnsi="仿宋" w:eastAsia="仿宋" w:cs="仿宋"/>
                <w:bCs/>
                <w:sz w:val="24"/>
                <w:szCs w:val="24"/>
              </w:rPr>
              <w:t>2.</w:t>
            </w:r>
            <w:r>
              <w:rPr>
                <w:rFonts w:hint="eastAsia" w:ascii="仿宋" w:hAnsi="仿宋" w:eastAsia="仿宋" w:cs="仿宋"/>
                <w:bCs/>
                <w:sz w:val="24"/>
                <w:szCs w:val="24"/>
              </w:rPr>
              <w:t>掌握副属三、七和弦的处理方法，了解离调与模进的结合。</w:t>
            </w:r>
          </w:p>
          <w:p w14:paraId="25C87F10">
            <w:pPr>
              <w:rPr>
                <w:rFonts w:ascii="仿宋" w:hAnsi="仿宋" w:eastAsia="仿宋" w:cs="仿宋"/>
                <w:bCs/>
                <w:sz w:val="24"/>
                <w:szCs w:val="24"/>
              </w:rPr>
            </w:pPr>
            <w:r>
              <w:rPr>
                <w:rFonts w:hint="eastAsia" w:ascii="仿宋" w:hAnsi="仿宋" w:eastAsia="仿宋" w:cs="仿宋"/>
                <w:bCs/>
                <w:sz w:val="24"/>
                <w:szCs w:val="24"/>
              </w:rPr>
              <w:t>领会层次：</w:t>
            </w:r>
          </w:p>
          <w:p w14:paraId="196AFFD8">
            <w:pPr>
              <w:rPr>
                <w:rFonts w:hint="eastAsia" w:ascii="仿宋" w:hAnsi="仿宋" w:eastAsia="仿宋" w:cs="仿宋"/>
                <w:bCs/>
                <w:sz w:val="24"/>
                <w:szCs w:val="24"/>
              </w:rPr>
            </w:pPr>
            <w:r>
              <w:rPr>
                <w:rFonts w:ascii="仿宋" w:hAnsi="仿宋" w:eastAsia="仿宋" w:cs="仿宋"/>
                <w:bCs/>
                <w:sz w:val="24"/>
                <w:szCs w:val="24"/>
              </w:rPr>
              <w:t>1.</w:t>
            </w:r>
            <w:r>
              <w:rPr>
                <w:rFonts w:hint="eastAsia" w:ascii="仿宋" w:hAnsi="仿宋" w:eastAsia="仿宋" w:cs="仿宋"/>
                <w:bCs/>
                <w:sz w:val="24"/>
                <w:szCs w:val="24"/>
              </w:rPr>
              <w:t>熟悉副属和弦、构成和特征。</w:t>
            </w:r>
          </w:p>
          <w:p w14:paraId="7CEC7EC0">
            <w:pPr>
              <w:rPr>
                <w:rFonts w:hint="eastAsia" w:ascii="仿宋" w:hAnsi="仿宋" w:eastAsia="仿宋" w:cs="仿宋"/>
                <w:bCs/>
                <w:sz w:val="24"/>
                <w:szCs w:val="24"/>
              </w:rPr>
            </w:pPr>
            <w:r>
              <w:rPr>
                <w:rFonts w:hint="eastAsia" w:ascii="仿宋" w:hAnsi="仿宋" w:eastAsia="仿宋" w:cs="仿宋"/>
                <w:bCs/>
                <w:sz w:val="24"/>
                <w:szCs w:val="24"/>
              </w:rPr>
              <w:t>2</w:t>
            </w:r>
            <w:r>
              <w:rPr>
                <w:rFonts w:ascii="仿宋" w:hAnsi="仿宋" w:eastAsia="仿宋" w:cs="仿宋"/>
                <w:bCs/>
                <w:sz w:val="24"/>
                <w:szCs w:val="24"/>
              </w:rPr>
              <w:t>.</w:t>
            </w:r>
            <w:r>
              <w:rPr>
                <w:rFonts w:hint="eastAsia" w:ascii="仿宋" w:hAnsi="仿宋" w:eastAsia="仿宋" w:cs="仿宋"/>
                <w:bCs/>
                <w:sz w:val="24"/>
                <w:szCs w:val="24"/>
              </w:rPr>
              <w:t>副属和弦的其他形式的构造。</w:t>
            </w:r>
          </w:p>
          <w:p w14:paraId="49710031">
            <w:pPr>
              <w:rPr>
                <w:rFonts w:hint="eastAsia" w:ascii="仿宋" w:hAnsi="仿宋" w:eastAsia="仿宋" w:cs="仿宋"/>
                <w:bCs/>
                <w:sz w:val="24"/>
                <w:szCs w:val="24"/>
              </w:rPr>
            </w:pPr>
            <w:r>
              <w:rPr>
                <w:rFonts w:hint="eastAsia" w:ascii="仿宋" w:hAnsi="仿宋" w:eastAsia="仿宋" w:cs="仿宋"/>
                <w:bCs/>
                <w:sz w:val="24"/>
                <w:szCs w:val="24"/>
              </w:rPr>
              <w:t>3</w:t>
            </w:r>
            <w:r>
              <w:rPr>
                <w:rFonts w:ascii="仿宋" w:hAnsi="仿宋" w:eastAsia="仿宋" w:cs="仿宋"/>
                <w:bCs/>
                <w:sz w:val="24"/>
                <w:szCs w:val="24"/>
              </w:rPr>
              <w:t>.</w:t>
            </w:r>
            <w:r>
              <w:rPr>
                <w:rFonts w:hint="eastAsia" w:ascii="仿宋" w:hAnsi="仿宋" w:eastAsia="仿宋" w:cs="仿宋"/>
                <w:bCs/>
                <w:sz w:val="24"/>
                <w:szCs w:val="24"/>
              </w:rPr>
              <w:t>副属和弦的连接。</w:t>
            </w:r>
          </w:p>
          <w:p w14:paraId="05DE7262">
            <w:pPr>
              <w:rPr>
                <w:rFonts w:hint="eastAsia" w:ascii="仿宋" w:hAnsi="仿宋" w:eastAsia="仿宋" w:cs="仿宋"/>
                <w:bCs/>
                <w:sz w:val="24"/>
                <w:szCs w:val="24"/>
              </w:rPr>
            </w:pPr>
            <w:r>
              <w:rPr>
                <w:rFonts w:hint="eastAsia" w:ascii="仿宋" w:hAnsi="仿宋" w:eastAsia="仿宋" w:cs="仿宋"/>
                <w:bCs/>
                <w:sz w:val="24"/>
                <w:szCs w:val="24"/>
              </w:rPr>
              <w:t>4</w:t>
            </w:r>
            <w:r>
              <w:rPr>
                <w:rFonts w:ascii="仿宋" w:hAnsi="仿宋" w:eastAsia="仿宋" w:cs="仿宋"/>
                <w:bCs/>
                <w:sz w:val="24"/>
                <w:szCs w:val="24"/>
              </w:rPr>
              <w:t>.</w:t>
            </w:r>
            <w:r>
              <w:rPr>
                <w:rFonts w:hint="eastAsia" w:ascii="仿宋" w:hAnsi="仿宋" w:eastAsia="仿宋" w:cs="仿宋"/>
                <w:bCs/>
                <w:sz w:val="24"/>
                <w:szCs w:val="24"/>
              </w:rPr>
              <w:t>离调模进的运用。</w:t>
            </w:r>
          </w:p>
          <w:p w14:paraId="4EAC9CAD">
            <w:pPr>
              <w:rPr>
                <w:rFonts w:ascii="仿宋" w:hAnsi="仿宋" w:eastAsia="仿宋" w:cs="仿宋"/>
                <w:bCs/>
                <w:sz w:val="24"/>
                <w:szCs w:val="24"/>
              </w:rPr>
            </w:pPr>
            <w:r>
              <w:rPr>
                <w:rFonts w:hint="eastAsia" w:ascii="仿宋" w:hAnsi="仿宋" w:eastAsia="仿宋" w:cs="仿宋"/>
                <w:bCs/>
                <w:sz w:val="24"/>
                <w:szCs w:val="24"/>
              </w:rPr>
              <w:t>应用层次：</w:t>
            </w:r>
          </w:p>
          <w:p w14:paraId="2B6CFBF6">
            <w:pPr>
              <w:rPr>
                <w:rFonts w:ascii="仿宋" w:hAnsi="仿宋" w:eastAsia="仿宋" w:cs="仿宋"/>
                <w:bCs/>
                <w:sz w:val="24"/>
                <w:szCs w:val="24"/>
                <w:lang w:eastAsia="en-US"/>
              </w:rPr>
            </w:pPr>
            <w:r>
              <w:rPr>
                <w:rFonts w:ascii="仿宋" w:hAnsi="仿宋" w:eastAsia="仿宋" w:cs="仿宋"/>
                <w:bCs/>
                <w:sz w:val="24"/>
                <w:szCs w:val="24"/>
              </w:rPr>
              <w:t>1.</w:t>
            </w:r>
            <w:r>
              <w:rPr>
                <w:rFonts w:hint="eastAsia" w:ascii="仿宋" w:hAnsi="仿宋" w:eastAsia="仿宋" w:cs="仿宋"/>
                <w:bCs/>
                <w:sz w:val="24"/>
                <w:szCs w:val="24"/>
                <w:lang w:val="en-US" w:eastAsia="en-US"/>
              </w:rPr>
              <w:t>在乐曲分析中</w:t>
            </w:r>
            <w:r>
              <w:rPr>
                <w:rFonts w:hint="eastAsia" w:ascii="仿宋" w:hAnsi="仿宋" w:eastAsia="仿宋" w:cs="仿宋"/>
                <w:bCs/>
                <w:sz w:val="24"/>
                <w:szCs w:val="24"/>
                <w:lang w:eastAsia="en-US"/>
              </w:rPr>
              <w:t>，</w:t>
            </w:r>
            <w:r>
              <w:rPr>
                <w:rFonts w:hint="eastAsia" w:ascii="仿宋" w:hAnsi="仿宋" w:eastAsia="仿宋" w:cs="仿宋"/>
                <w:bCs/>
                <w:sz w:val="24"/>
                <w:szCs w:val="24"/>
                <w:lang w:val="en-US" w:eastAsia="en-US"/>
              </w:rPr>
              <w:t>理解副属和弦的用法</w:t>
            </w:r>
            <w:r>
              <w:rPr>
                <w:rFonts w:hint="eastAsia" w:ascii="仿宋" w:hAnsi="仿宋" w:eastAsia="仿宋" w:cs="仿宋"/>
                <w:bCs/>
                <w:sz w:val="24"/>
                <w:szCs w:val="24"/>
                <w:lang w:eastAsia="en-US"/>
              </w:rPr>
              <w:t>。</w:t>
            </w:r>
          </w:p>
          <w:p w14:paraId="6C159AE1">
            <w:pPr>
              <w:rPr>
                <w:rFonts w:ascii="仿宋" w:hAnsi="仿宋" w:eastAsia="仿宋" w:cs="仿宋"/>
                <w:bCs/>
                <w:sz w:val="24"/>
                <w:szCs w:val="24"/>
                <w:lang w:eastAsia="en-US"/>
              </w:rPr>
            </w:pPr>
            <w:r>
              <w:rPr>
                <w:rFonts w:ascii="仿宋" w:hAnsi="仿宋" w:eastAsia="仿宋" w:cs="仿宋"/>
                <w:bCs/>
                <w:sz w:val="24"/>
                <w:szCs w:val="24"/>
                <w:lang w:eastAsia="en-US"/>
              </w:rPr>
              <w:t>2</w:t>
            </w:r>
            <w:r>
              <w:rPr>
                <w:rFonts w:hint="eastAsia" w:ascii="仿宋" w:hAnsi="仿宋" w:eastAsia="仿宋" w:cs="仿宋"/>
                <w:bCs/>
                <w:sz w:val="24"/>
                <w:szCs w:val="24"/>
                <w:lang w:val="en-US" w:eastAsia="en-US"/>
              </w:rPr>
              <w:t>.掌握副属和弦的分析方法</w:t>
            </w:r>
            <w:r>
              <w:rPr>
                <w:rFonts w:hint="eastAsia" w:ascii="仿宋" w:hAnsi="仿宋" w:eastAsia="仿宋" w:cs="仿宋"/>
                <w:bCs/>
                <w:sz w:val="24"/>
                <w:szCs w:val="24"/>
                <w:lang w:eastAsia="en-US"/>
              </w:rPr>
              <w:t>。</w:t>
            </w:r>
          </w:p>
          <w:p w14:paraId="6106D7F6">
            <w:pPr>
              <w:rPr>
                <w:rFonts w:ascii="仿宋" w:hAnsi="仿宋" w:eastAsia="仿宋" w:cs="仿宋"/>
                <w:bCs/>
                <w:sz w:val="24"/>
                <w:szCs w:val="24"/>
                <w:lang w:val="en-US" w:eastAsia="zh-CN"/>
              </w:rPr>
            </w:pPr>
            <w:r>
              <w:rPr>
                <w:rFonts w:hint="eastAsia" w:ascii="仿宋" w:hAnsi="仿宋" w:eastAsia="仿宋" w:cs="仿宋"/>
                <w:bCs/>
                <w:sz w:val="24"/>
                <w:szCs w:val="24"/>
                <w:lang w:val="en-US" w:eastAsia="zh-CN"/>
              </w:rPr>
              <w:t>思政元素：通过离调手法的学习，引导学生理解跨界思维与拓展视野的重要性，鼓励勇于探索、开放创新的精神。</w:t>
            </w:r>
          </w:p>
        </w:tc>
        <w:tc>
          <w:tcPr>
            <w:tcW w:w="990" w:type="dxa"/>
            <w:gridSpan w:val="2"/>
            <w:vAlign w:val="center"/>
          </w:tcPr>
          <w:p w14:paraId="7EDF9E82">
            <w:pPr>
              <w:jc w:val="center"/>
              <w:rPr>
                <w:rFonts w:hint="eastAsia" w:ascii="仿宋" w:hAnsi="仿宋" w:eastAsia="仿宋" w:cs="仿宋"/>
                <w:bCs/>
                <w:sz w:val="24"/>
                <w:szCs w:val="24"/>
                <w:lang w:eastAsia="zh-CN"/>
              </w:rPr>
            </w:pPr>
            <w:r>
              <w:rPr>
                <w:rFonts w:hint="eastAsia" w:ascii="仿宋" w:hAnsi="仿宋" w:eastAsia="仿宋" w:cs="仿宋"/>
                <w:bCs/>
                <w:sz w:val="24"/>
                <w:szCs w:val="24"/>
                <w:lang w:eastAsia="zh-CN"/>
              </w:rPr>
              <w:t>支撑课程目标1、2、3</w:t>
            </w:r>
          </w:p>
        </w:tc>
        <w:tc>
          <w:tcPr>
            <w:tcW w:w="563" w:type="dxa"/>
            <w:vAlign w:val="center"/>
          </w:tcPr>
          <w:p w14:paraId="447716F9">
            <w:pPr>
              <w:keepNext w:val="0"/>
              <w:keepLines w:val="0"/>
              <w:widowControl/>
              <w:suppressLineNumbers w:val="0"/>
              <w:jc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r>
      <w:tr w14:paraId="7A165C27">
        <w:trPr>
          <w:trHeight w:val="0" w:hRule="atLeast"/>
        </w:trPr>
        <w:tc>
          <w:tcPr>
            <w:tcW w:w="1376" w:type="dxa"/>
            <w:vMerge w:val="continue"/>
            <w:vAlign w:val="center"/>
          </w:tcPr>
          <w:p w14:paraId="232CEC8F">
            <w:pPr>
              <w:spacing w:line="240" w:lineRule="atLeast"/>
              <w:jc w:val="right"/>
              <w:rPr>
                <w:rFonts w:hint="eastAsia" w:ascii="仿宋" w:hAnsi="仿宋" w:eastAsia="仿宋" w:cs="仿宋"/>
                <w:sz w:val="24"/>
                <w:szCs w:val="24"/>
              </w:rPr>
            </w:pPr>
          </w:p>
        </w:tc>
        <w:tc>
          <w:tcPr>
            <w:tcW w:w="6219" w:type="dxa"/>
            <w:gridSpan w:val="15"/>
            <w:vAlign w:val="center"/>
          </w:tcPr>
          <w:p w14:paraId="1EADEDE2">
            <w:pPr>
              <w:rPr>
                <w:rFonts w:hint="eastAsia" w:ascii="仿宋" w:hAnsi="仿宋" w:eastAsia="仿宋" w:cs="仿宋"/>
                <w:bCs/>
                <w:sz w:val="24"/>
                <w:szCs w:val="24"/>
              </w:rPr>
            </w:pPr>
            <w:r>
              <w:rPr>
                <w:rFonts w:hint="eastAsia" w:ascii="仿宋" w:hAnsi="仿宋" w:eastAsia="仿宋" w:cs="仿宋"/>
                <w:bCs/>
                <w:sz w:val="24"/>
                <w:szCs w:val="24"/>
              </w:rPr>
              <w:t>第</w:t>
            </w:r>
            <w:r>
              <w:rPr>
                <w:rFonts w:hint="eastAsia" w:ascii="仿宋" w:hAnsi="仿宋" w:eastAsia="仿宋" w:cs="仿宋"/>
                <w:bCs/>
                <w:sz w:val="24"/>
                <w:szCs w:val="24"/>
                <w:lang w:val="en-US" w:eastAsia="zh-CN"/>
              </w:rPr>
              <w:t>十一</w:t>
            </w:r>
            <w:r>
              <w:rPr>
                <w:rFonts w:hint="eastAsia" w:ascii="仿宋" w:hAnsi="仿宋" w:eastAsia="仿宋" w:cs="仿宋"/>
                <w:bCs/>
                <w:sz w:val="24"/>
                <w:szCs w:val="24"/>
              </w:rPr>
              <w:t>章 近关系转调</w:t>
            </w:r>
          </w:p>
          <w:p w14:paraId="43111DA7">
            <w:pPr>
              <w:rPr>
                <w:rFonts w:hint="eastAsia" w:ascii="仿宋" w:hAnsi="仿宋" w:eastAsia="仿宋" w:cs="仿宋"/>
                <w:bCs/>
                <w:sz w:val="24"/>
                <w:szCs w:val="24"/>
              </w:rPr>
            </w:pPr>
            <w:r>
              <w:rPr>
                <w:rFonts w:hint="eastAsia" w:ascii="仿宋" w:hAnsi="仿宋" w:eastAsia="仿宋" w:cs="仿宋"/>
                <w:bCs/>
                <w:sz w:val="24"/>
                <w:szCs w:val="24"/>
              </w:rPr>
              <w:t>知道层次：</w:t>
            </w:r>
          </w:p>
          <w:p w14:paraId="5EA543D4">
            <w:pPr>
              <w:rPr>
                <w:rFonts w:hint="eastAsia" w:ascii="仿宋" w:hAnsi="仿宋" w:eastAsia="仿宋" w:cs="仿宋"/>
                <w:bCs/>
                <w:sz w:val="24"/>
                <w:szCs w:val="24"/>
                <w:lang w:eastAsia="zh-CN"/>
              </w:rPr>
            </w:pPr>
            <w:r>
              <w:rPr>
                <w:rFonts w:hint="eastAsia" w:ascii="仿宋" w:hAnsi="仿宋" w:eastAsia="仿宋" w:cs="仿宋"/>
                <w:bCs/>
                <w:sz w:val="24"/>
                <w:szCs w:val="24"/>
                <w:lang w:val="en-US" w:eastAsia="zh-CN"/>
              </w:rPr>
              <w:t>了解</w:t>
            </w:r>
            <w:r>
              <w:rPr>
                <w:rFonts w:hint="eastAsia" w:ascii="仿宋" w:hAnsi="仿宋" w:eastAsia="仿宋" w:cs="仿宋"/>
                <w:bCs/>
                <w:sz w:val="24"/>
                <w:szCs w:val="24"/>
              </w:rPr>
              <w:t>近关系转调的范畴、共同和弦有哪些以及转调的步骤与环节</w:t>
            </w:r>
            <w:r>
              <w:rPr>
                <w:rFonts w:hint="eastAsia" w:ascii="仿宋" w:hAnsi="仿宋" w:eastAsia="仿宋" w:cs="仿宋"/>
                <w:bCs/>
                <w:sz w:val="24"/>
                <w:szCs w:val="24"/>
                <w:lang w:eastAsia="zh-CN"/>
              </w:rPr>
              <w:t>。</w:t>
            </w:r>
          </w:p>
          <w:p w14:paraId="03E5FB66">
            <w:pPr>
              <w:rPr>
                <w:rFonts w:hint="eastAsia" w:ascii="仿宋" w:hAnsi="仿宋" w:eastAsia="仿宋" w:cs="仿宋"/>
                <w:bCs/>
                <w:sz w:val="24"/>
                <w:szCs w:val="24"/>
              </w:rPr>
            </w:pPr>
            <w:r>
              <w:rPr>
                <w:rFonts w:hint="eastAsia" w:ascii="仿宋" w:hAnsi="仿宋" w:eastAsia="仿宋" w:cs="仿宋"/>
                <w:bCs/>
                <w:sz w:val="24"/>
                <w:szCs w:val="24"/>
              </w:rPr>
              <w:t>领会层次：</w:t>
            </w:r>
          </w:p>
          <w:p w14:paraId="13FCA0FD">
            <w:pPr>
              <w:rPr>
                <w:rFonts w:hint="eastAsia" w:ascii="仿宋" w:hAnsi="仿宋" w:eastAsia="仿宋" w:cs="仿宋"/>
                <w:bCs/>
                <w:sz w:val="24"/>
                <w:szCs w:val="24"/>
              </w:rPr>
            </w:pPr>
            <w:r>
              <w:rPr>
                <w:rFonts w:hint="eastAsia" w:ascii="仿宋" w:hAnsi="仿宋" w:eastAsia="仿宋" w:cs="仿宋"/>
                <w:bCs/>
                <w:sz w:val="24"/>
                <w:szCs w:val="24"/>
              </w:rPr>
              <w:t>1</w:t>
            </w:r>
            <w:r>
              <w:rPr>
                <w:rFonts w:hint="eastAsia" w:ascii="仿宋" w:hAnsi="仿宋" w:eastAsia="仿宋" w:cs="仿宋"/>
                <w:bCs/>
                <w:sz w:val="24"/>
                <w:szCs w:val="24"/>
                <w:lang w:eastAsia="zh-CN"/>
              </w:rPr>
              <w:t>.</w:t>
            </w:r>
            <w:r>
              <w:rPr>
                <w:rFonts w:hint="eastAsia" w:ascii="仿宋" w:hAnsi="仿宋" w:eastAsia="仿宋" w:cs="仿宋"/>
                <w:bCs/>
                <w:sz w:val="24"/>
                <w:szCs w:val="24"/>
              </w:rPr>
              <w:t>调关系的远近</w:t>
            </w:r>
          </w:p>
          <w:p w14:paraId="4DC83D9D">
            <w:pPr>
              <w:rPr>
                <w:rFonts w:hint="eastAsia" w:ascii="仿宋" w:hAnsi="仿宋" w:eastAsia="仿宋" w:cs="仿宋"/>
                <w:bCs/>
                <w:sz w:val="24"/>
                <w:szCs w:val="24"/>
              </w:rPr>
            </w:pPr>
            <w:r>
              <w:rPr>
                <w:rFonts w:hint="eastAsia" w:ascii="仿宋" w:hAnsi="仿宋" w:eastAsia="仿宋" w:cs="仿宋"/>
                <w:bCs/>
                <w:sz w:val="24"/>
                <w:szCs w:val="24"/>
              </w:rPr>
              <w:t>2</w:t>
            </w:r>
            <w:r>
              <w:rPr>
                <w:rFonts w:hint="eastAsia" w:ascii="仿宋" w:hAnsi="仿宋" w:eastAsia="仿宋" w:cs="仿宋"/>
                <w:bCs/>
                <w:sz w:val="24"/>
                <w:szCs w:val="24"/>
                <w:lang w:eastAsia="zh-CN"/>
              </w:rPr>
              <w:t>.</w:t>
            </w:r>
            <w:r>
              <w:rPr>
                <w:rFonts w:hint="eastAsia" w:ascii="仿宋" w:hAnsi="仿宋" w:eastAsia="仿宋" w:cs="仿宋"/>
                <w:bCs/>
                <w:sz w:val="24"/>
                <w:szCs w:val="24"/>
              </w:rPr>
              <w:t>近关系调的范畴</w:t>
            </w:r>
          </w:p>
          <w:p w14:paraId="38CE9D97">
            <w:pPr>
              <w:rPr>
                <w:rFonts w:hint="eastAsia" w:ascii="仿宋" w:hAnsi="仿宋" w:eastAsia="仿宋" w:cs="仿宋"/>
                <w:bCs/>
                <w:sz w:val="24"/>
                <w:szCs w:val="24"/>
              </w:rPr>
            </w:pPr>
            <w:r>
              <w:rPr>
                <w:rFonts w:hint="eastAsia" w:ascii="仿宋" w:hAnsi="仿宋" w:eastAsia="仿宋" w:cs="仿宋"/>
                <w:bCs/>
                <w:sz w:val="24"/>
                <w:szCs w:val="24"/>
              </w:rPr>
              <w:t>3</w:t>
            </w:r>
            <w:r>
              <w:rPr>
                <w:rFonts w:hint="eastAsia" w:ascii="仿宋" w:hAnsi="仿宋" w:eastAsia="仿宋" w:cs="仿宋"/>
                <w:bCs/>
                <w:sz w:val="24"/>
                <w:szCs w:val="24"/>
                <w:lang w:eastAsia="zh-CN"/>
              </w:rPr>
              <w:t>.</w:t>
            </w:r>
            <w:r>
              <w:rPr>
                <w:rFonts w:hint="eastAsia" w:ascii="仿宋" w:hAnsi="仿宋" w:eastAsia="仿宋" w:cs="仿宋"/>
                <w:bCs/>
                <w:sz w:val="24"/>
                <w:szCs w:val="24"/>
              </w:rPr>
              <w:t>近关系转调共同和弦</w:t>
            </w:r>
          </w:p>
          <w:p w14:paraId="74A614E2">
            <w:pPr>
              <w:rPr>
                <w:rFonts w:hint="eastAsia" w:ascii="仿宋" w:hAnsi="仿宋" w:eastAsia="仿宋" w:cs="仿宋"/>
                <w:bCs/>
                <w:sz w:val="24"/>
                <w:szCs w:val="24"/>
              </w:rPr>
            </w:pPr>
            <w:r>
              <w:rPr>
                <w:rFonts w:hint="eastAsia" w:ascii="仿宋" w:hAnsi="仿宋" w:eastAsia="仿宋" w:cs="仿宋"/>
                <w:bCs/>
                <w:sz w:val="24"/>
                <w:szCs w:val="24"/>
              </w:rPr>
              <w:t>4</w:t>
            </w:r>
            <w:r>
              <w:rPr>
                <w:rFonts w:hint="eastAsia" w:ascii="仿宋" w:hAnsi="仿宋" w:eastAsia="仿宋" w:cs="仿宋"/>
                <w:bCs/>
                <w:sz w:val="24"/>
                <w:szCs w:val="24"/>
                <w:lang w:eastAsia="zh-CN"/>
              </w:rPr>
              <w:t>.</w:t>
            </w:r>
            <w:r>
              <w:rPr>
                <w:rFonts w:hint="eastAsia" w:ascii="仿宋" w:hAnsi="仿宋" w:eastAsia="仿宋" w:cs="仿宋"/>
                <w:bCs/>
                <w:sz w:val="24"/>
                <w:szCs w:val="24"/>
              </w:rPr>
              <w:t>转调的步骤与环节</w:t>
            </w:r>
          </w:p>
          <w:p w14:paraId="3971775F">
            <w:pPr>
              <w:rPr>
                <w:rFonts w:hint="eastAsia" w:ascii="仿宋" w:hAnsi="仿宋" w:eastAsia="仿宋" w:cs="仿宋"/>
                <w:bCs/>
                <w:sz w:val="24"/>
                <w:szCs w:val="24"/>
              </w:rPr>
            </w:pPr>
            <w:r>
              <w:rPr>
                <w:rFonts w:hint="eastAsia" w:ascii="仿宋" w:hAnsi="仿宋" w:eastAsia="仿宋" w:cs="仿宋"/>
                <w:bCs/>
                <w:sz w:val="24"/>
                <w:szCs w:val="24"/>
              </w:rPr>
              <w:t>应用层次：</w:t>
            </w:r>
          </w:p>
          <w:p w14:paraId="597B8046">
            <w:pPr>
              <w:rPr>
                <w:rFonts w:ascii="仿宋" w:hAnsi="仿宋" w:eastAsia="仿宋" w:cs="仿宋"/>
                <w:bCs/>
                <w:sz w:val="24"/>
                <w:szCs w:val="24"/>
                <w:lang w:val="en-US" w:eastAsia="zh-CN"/>
              </w:rPr>
            </w:pPr>
            <w:r>
              <w:rPr>
                <w:rFonts w:hint="eastAsia" w:ascii="仿宋" w:hAnsi="仿宋" w:eastAsia="仿宋" w:cs="仿宋"/>
                <w:bCs/>
                <w:sz w:val="24"/>
                <w:szCs w:val="24"/>
              </w:rPr>
              <w:t>近关系转调在实际作品中的应用</w:t>
            </w:r>
            <w:r>
              <w:rPr>
                <w:rFonts w:hint="eastAsia" w:ascii="仿宋" w:hAnsi="仿宋" w:eastAsia="仿宋" w:cs="仿宋"/>
                <w:bCs/>
                <w:sz w:val="24"/>
                <w:szCs w:val="24"/>
                <w:lang w:val="en-US" w:eastAsia="zh-CN"/>
              </w:rPr>
              <w:t>分析</w:t>
            </w:r>
            <w:r>
              <w:rPr>
                <w:rFonts w:hint="eastAsia" w:ascii="仿宋" w:hAnsi="仿宋" w:eastAsia="仿宋" w:cs="仿宋"/>
                <w:bCs/>
                <w:sz w:val="24"/>
                <w:szCs w:val="24"/>
              </w:rPr>
              <w:t>。</w:t>
            </w:r>
          </w:p>
        </w:tc>
        <w:tc>
          <w:tcPr>
            <w:tcW w:w="990" w:type="dxa"/>
            <w:gridSpan w:val="2"/>
            <w:vAlign w:val="center"/>
          </w:tcPr>
          <w:p w14:paraId="1AC85745">
            <w:pPr>
              <w:jc w:val="center"/>
              <w:rPr>
                <w:rFonts w:hint="eastAsia" w:ascii="仿宋" w:hAnsi="仿宋" w:eastAsia="仿宋" w:cs="仿宋"/>
                <w:bCs/>
                <w:sz w:val="24"/>
                <w:szCs w:val="24"/>
              </w:rPr>
            </w:pPr>
          </w:p>
        </w:tc>
        <w:tc>
          <w:tcPr>
            <w:tcW w:w="563" w:type="dxa"/>
            <w:vAlign w:val="center"/>
          </w:tcPr>
          <w:p w14:paraId="60635E3A">
            <w:pPr>
              <w:keepNext w:val="0"/>
              <w:keepLines w:val="0"/>
              <w:widowControl/>
              <w:suppressLineNumbers w:val="0"/>
              <w:jc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w:t>
            </w:r>
          </w:p>
        </w:tc>
      </w:tr>
      <w:tr w14:paraId="75A5A020">
        <w:trPr>
          <w:trHeight w:val="0" w:hRule="atLeast"/>
        </w:trPr>
        <w:tc>
          <w:tcPr>
            <w:tcW w:w="1376" w:type="dxa"/>
            <w:vMerge w:val="continue"/>
            <w:vAlign w:val="center"/>
          </w:tcPr>
          <w:p w14:paraId="4F82E4F2">
            <w:pPr>
              <w:spacing w:line="240" w:lineRule="atLeast"/>
              <w:jc w:val="right"/>
              <w:rPr>
                <w:rFonts w:hint="eastAsia" w:ascii="仿宋" w:hAnsi="仿宋" w:eastAsia="仿宋" w:cs="仿宋"/>
                <w:sz w:val="24"/>
                <w:szCs w:val="24"/>
              </w:rPr>
            </w:pPr>
          </w:p>
        </w:tc>
        <w:tc>
          <w:tcPr>
            <w:tcW w:w="6219" w:type="dxa"/>
            <w:gridSpan w:val="15"/>
            <w:vAlign w:val="center"/>
          </w:tcPr>
          <w:p w14:paraId="1B25CD61">
            <w:pPr>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第十二章 转调模进</w:t>
            </w:r>
          </w:p>
          <w:p w14:paraId="4DE671F8">
            <w:pPr>
              <w:rPr>
                <w:rFonts w:hint="eastAsia" w:ascii="仿宋" w:hAnsi="仿宋" w:eastAsia="仿宋" w:cs="仿宋"/>
                <w:bCs/>
                <w:sz w:val="24"/>
                <w:szCs w:val="24"/>
              </w:rPr>
            </w:pPr>
            <w:r>
              <w:rPr>
                <w:rFonts w:hint="eastAsia" w:ascii="仿宋" w:hAnsi="仿宋" w:eastAsia="仿宋" w:cs="仿宋"/>
                <w:bCs/>
                <w:sz w:val="24"/>
                <w:szCs w:val="24"/>
              </w:rPr>
              <w:t>知道层次：</w:t>
            </w:r>
          </w:p>
          <w:p w14:paraId="308EA07E">
            <w:pPr>
              <w:rPr>
                <w:rFonts w:hint="eastAsia" w:ascii="仿宋" w:hAnsi="仿宋" w:eastAsia="仿宋" w:cs="仿宋"/>
                <w:bCs/>
                <w:sz w:val="24"/>
                <w:szCs w:val="24"/>
                <w:lang w:eastAsia="zh-CN"/>
              </w:rPr>
            </w:pPr>
            <w:r>
              <w:rPr>
                <w:rFonts w:hint="eastAsia" w:ascii="仿宋" w:hAnsi="仿宋" w:eastAsia="仿宋" w:cs="仿宋"/>
                <w:bCs/>
                <w:sz w:val="24"/>
                <w:szCs w:val="24"/>
                <w:lang w:val="en-US" w:eastAsia="zh-CN"/>
              </w:rPr>
              <w:t>了解转调模进</w:t>
            </w:r>
            <w:r>
              <w:rPr>
                <w:rFonts w:hint="eastAsia" w:ascii="仿宋" w:hAnsi="仿宋" w:eastAsia="仿宋" w:cs="仿宋"/>
                <w:bCs/>
                <w:sz w:val="24"/>
                <w:szCs w:val="24"/>
              </w:rPr>
              <w:t>的范畴、</w:t>
            </w:r>
            <w:r>
              <w:rPr>
                <w:rFonts w:hint="eastAsia" w:ascii="仿宋" w:hAnsi="仿宋" w:eastAsia="仿宋" w:cs="仿宋"/>
                <w:bCs/>
                <w:sz w:val="24"/>
                <w:szCs w:val="24"/>
                <w:lang w:val="en-US" w:eastAsia="zh-CN"/>
              </w:rPr>
              <w:t>转调模进</w:t>
            </w:r>
            <w:r>
              <w:rPr>
                <w:rFonts w:hint="eastAsia" w:ascii="仿宋" w:hAnsi="仿宋" w:eastAsia="仿宋" w:cs="仿宋"/>
                <w:bCs/>
                <w:sz w:val="24"/>
                <w:szCs w:val="24"/>
              </w:rPr>
              <w:t>的</w:t>
            </w:r>
            <w:r>
              <w:rPr>
                <w:rFonts w:hint="eastAsia" w:ascii="仿宋" w:hAnsi="仿宋" w:eastAsia="仿宋" w:cs="仿宋"/>
                <w:bCs/>
                <w:sz w:val="24"/>
                <w:szCs w:val="24"/>
                <w:lang w:val="en-US" w:eastAsia="zh-CN"/>
              </w:rPr>
              <w:t>特征、</w:t>
            </w:r>
            <w:r>
              <w:rPr>
                <w:rFonts w:hint="eastAsia" w:ascii="仿宋" w:hAnsi="仿宋" w:eastAsia="仿宋" w:cs="仿宋"/>
                <w:bCs/>
                <w:sz w:val="24"/>
                <w:szCs w:val="24"/>
              </w:rPr>
              <w:t>步骤与环节</w:t>
            </w:r>
            <w:r>
              <w:rPr>
                <w:rFonts w:hint="eastAsia" w:ascii="仿宋" w:hAnsi="仿宋" w:eastAsia="仿宋" w:cs="仿宋"/>
                <w:bCs/>
                <w:sz w:val="24"/>
                <w:szCs w:val="24"/>
                <w:lang w:eastAsia="zh-CN"/>
              </w:rPr>
              <w:t>。</w:t>
            </w:r>
          </w:p>
          <w:p w14:paraId="653E9B98">
            <w:pPr>
              <w:rPr>
                <w:rFonts w:hint="eastAsia" w:ascii="仿宋" w:hAnsi="仿宋" w:eastAsia="仿宋" w:cs="仿宋"/>
                <w:bCs/>
                <w:sz w:val="24"/>
                <w:szCs w:val="24"/>
              </w:rPr>
            </w:pPr>
            <w:r>
              <w:rPr>
                <w:rFonts w:hint="eastAsia" w:ascii="仿宋" w:hAnsi="仿宋" w:eastAsia="仿宋" w:cs="仿宋"/>
                <w:bCs/>
                <w:sz w:val="24"/>
                <w:szCs w:val="24"/>
              </w:rPr>
              <w:t>领会层次：</w:t>
            </w:r>
          </w:p>
          <w:p w14:paraId="16F12867">
            <w:pPr>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1.转调模进的特征</w:t>
            </w:r>
          </w:p>
          <w:p w14:paraId="2DC8453D">
            <w:pPr>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2.转调模进中的调性布局</w:t>
            </w:r>
          </w:p>
          <w:p w14:paraId="2482BDF2">
            <w:pPr>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3.转调模进中的和声特点</w:t>
            </w:r>
          </w:p>
          <w:p w14:paraId="6FCA8868">
            <w:pPr>
              <w:rPr>
                <w:rFonts w:hint="eastAsia" w:ascii="仿宋" w:hAnsi="仿宋" w:eastAsia="仿宋" w:cs="仿宋"/>
                <w:bCs/>
                <w:sz w:val="24"/>
                <w:szCs w:val="24"/>
              </w:rPr>
            </w:pPr>
            <w:r>
              <w:rPr>
                <w:rFonts w:hint="eastAsia" w:ascii="仿宋" w:hAnsi="仿宋" w:eastAsia="仿宋" w:cs="仿宋"/>
                <w:bCs/>
                <w:sz w:val="24"/>
                <w:szCs w:val="24"/>
              </w:rPr>
              <w:t>应用层次：</w:t>
            </w:r>
          </w:p>
          <w:p w14:paraId="6D90E48F">
            <w:pPr>
              <w:rPr>
                <w:rFonts w:ascii="仿宋" w:hAnsi="仿宋" w:eastAsia="仿宋" w:cs="仿宋"/>
                <w:bCs/>
                <w:sz w:val="24"/>
                <w:szCs w:val="24"/>
                <w:lang w:val="en-US" w:eastAsia="zh-CN"/>
              </w:rPr>
            </w:pPr>
            <w:r>
              <w:rPr>
                <w:rFonts w:hint="eastAsia" w:ascii="仿宋" w:hAnsi="仿宋" w:eastAsia="仿宋" w:cs="仿宋"/>
                <w:bCs/>
                <w:sz w:val="24"/>
                <w:szCs w:val="24"/>
                <w:lang w:val="en-US" w:eastAsia="zh-CN"/>
              </w:rPr>
              <w:t>转调模进</w:t>
            </w:r>
            <w:r>
              <w:rPr>
                <w:rFonts w:hint="eastAsia" w:ascii="仿宋" w:hAnsi="仿宋" w:eastAsia="仿宋" w:cs="仿宋"/>
                <w:bCs/>
                <w:sz w:val="24"/>
                <w:szCs w:val="24"/>
              </w:rPr>
              <w:t>在实际作品中的应用</w:t>
            </w:r>
            <w:r>
              <w:rPr>
                <w:rFonts w:hint="eastAsia" w:ascii="仿宋" w:hAnsi="仿宋" w:eastAsia="仿宋" w:cs="仿宋"/>
                <w:bCs/>
                <w:sz w:val="24"/>
                <w:szCs w:val="24"/>
                <w:lang w:val="en-US" w:eastAsia="zh-CN"/>
              </w:rPr>
              <w:t>分析</w:t>
            </w:r>
            <w:r>
              <w:rPr>
                <w:rFonts w:hint="eastAsia" w:ascii="仿宋" w:hAnsi="仿宋" w:eastAsia="仿宋" w:cs="仿宋"/>
                <w:bCs/>
                <w:sz w:val="24"/>
                <w:szCs w:val="24"/>
              </w:rPr>
              <w:t>。</w:t>
            </w:r>
          </w:p>
        </w:tc>
        <w:tc>
          <w:tcPr>
            <w:tcW w:w="990" w:type="dxa"/>
            <w:gridSpan w:val="2"/>
            <w:vAlign w:val="center"/>
          </w:tcPr>
          <w:p w14:paraId="29DCD78F">
            <w:pPr>
              <w:jc w:val="center"/>
              <w:rPr>
                <w:rFonts w:hint="eastAsia" w:ascii="仿宋" w:hAnsi="仿宋" w:eastAsia="仿宋" w:cs="仿宋"/>
                <w:bCs/>
                <w:sz w:val="24"/>
                <w:szCs w:val="24"/>
              </w:rPr>
            </w:pPr>
          </w:p>
        </w:tc>
        <w:tc>
          <w:tcPr>
            <w:tcW w:w="563" w:type="dxa"/>
            <w:vAlign w:val="center"/>
          </w:tcPr>
          <w:p w14:paraId="76869F39">
            <w:pPr>
              <w:keepNext w:val="0"/>
              <w:keepLines w:val="0"/>
              <w:widowControl/>
              <w:suppressLineNumbers w:val="0"/>
              <w:jc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r>
      <w:tr w14:paraId="6687F460">
        <w:trPr>
          <w:trHeight w:val="0" w:hRule="atLeast"/>
        </w:trPr>
        <w:tc>
          <w:tcPr>
            <w:tcW w:w="1376" w:type="dxa"/>
            <w:vMerge w:val="continue"/>
            <w:vAlign w:val="center"/>
          </w:tcPr>
          <w:p w14:paraId="536E1782">
            <w:pPr>
              <w:spacing w:line="240" w:lineRule="atLeast"/>
              <w:jc w:val="right"/>
              <w:rPr>
                <w:rFonts w:hint="eastAsia" w:ascii="仿宋" w:hAnsi="仿宋" w:eastAsia="仿宋" w:cs="仿宋"/>
                <w:sz w:val="24"/>
                <w:szCs w:val="24"/>
              </w:rPr>
            </w:pPr>
          </w:p>
        </w:tc>
        <w:tc>
          <w:tcPr>
            <w:tcW w:w="6219" w:type="dxa"/>
            <w:gridSpan w:val="15"/>
            <w:vAlign w:val="center"/>
          </w:tcPr>
          <w:p w14:paraId="2F86AE16">
            <w:pPr>
              <w:rPr>
                <w:rFonts w:hint="eastAsia" w:ascii="仿宋" w:hAnsi="仿宋" w:eastAsia="仿宋" w:cs="仿宋"/>
                <w:bCs/>
                <w:sz w:val="24"/>
                <w:szCs w:val="24"/>
              </w:rPr>
            </w:pPr>
            <w:r>
              <w:rPr>
                <w:rFonts w:hint="eastAsia" w:ascii="仿宋" w:hAnsi="仿宋" w:eastAsia="仿宋" w:cs="仿宋"/>
                <w:bCs/>
                <w:sz w:val="24"/>
                <w:szCs w:val="24"/>
              </w:rPr>
              <w:t>第</w:t>
            </w:r>
            <w:r>
              <w:rPr>
                <w:rFonts w:hint="eastAsia" w:ascii="仿宋" w:hAnsi="仿宋" w:eastAsia="仿宋" w:cs="仿宋"/>
                <w:bCs/>
                <w:sz w:val="24"/>
                <w:szCs w:val="24"/>
                <w:lang w:val="en-US" w:eastAsia="zh-CN"/>
              </w:rPr>
              <w:t>十三</w:t>
            </w:r>
            <w:r>
              <w:rPr>
                <w:rFonts w:hint="eastAsia" w:ascii="仿宋" w:hAnsi="仿宋" w:eastAsia="仿宋" w:cs="仿宋"/>
                <w:bCs/>
                <w:sz w:val="24"/>
                <w:szCs w:val="24"/>
              </w:rPr>
              <w:t>章 和弦外音</w:t>
            </w:r>
          </w:p>
          <w:p w14:paraId="52D6BCE8">
            <w:pPr>
              <w:rPr>
                <w:rFonts w:hint="eastAsia" w:ascii="仿宋" w:hAnsi="仿宋" w:eastAsia="仿宋" w:cs="仿宋"/>
                <w:bCs/>
                <w:sz w:val="24"/>
                <w:szCs w:val="24"/>
              </w:rPr>
            </w:pPr>
            <w:r>
              <w:rPr>
                <w:rFonts w:hint="eastAsia" w:ascii="仿宋" w:hAnsi="仿宋" w:eastAsia="仿宋" w:cs="仿宋"/>
                <w:bCs/>
                <w:sz w:val="24"/>
                <w:szCs w:val="24"/>
              </w:rPr>
              <w:t>知道层次：</w:t>
            </w:r>
          </w:p>
          <w:p w14:paraId="7F2A042D">
            <w:pPr>
              <w:rPr>
                <w:rFonts w:hint="eastAsia" w:ascii="仿宋" w:hAnsi="仿宋" w:eastAsia="仿宋" w:cs="仿宋"/>
                <w:bCs/>
                <w:sz w:val="24"/>
                <w:szCs w:val="24"/>
              </w:rPr>
            </w:pPr>
            <w:r>
              <w:rPr>
                <w:rFonts w:hint="eastAsia" w:ascii="仿宋" w:hAnsi="仿宋" w:eastAsia="仿宋" w:cs="仿宋"/>
                <w:bCs/>
                <w:sz w:val="24"/>
                <w:szCs w:val="24"/>
              </w:rPr>
              <w:t>1.了解和弦外音在和声中的地位、准确把握各种外音的特征、能运用外音美化旋律.</w:t>
            </w:r>
          </w:p>
          <w:p w14:paraId="7D4D7395">
            <w:pPr>
              <w:rPr>
                <w:rFonts w:hint="eastAsia" w:ascii="仿宋" w:hAnsi="仿宋" w:eastAsia="仿宋" w:cs="仿宋"/>
                <w:bCs/>
                <w:sz w:val="24"/>
                <w:szCs w:val="24"/>
              </w:rPr>
            </w:pPr>
            <w:r>
              <w:rPr>
                <w:rFonts w:hint="eastAsia" w:ascii="仿宋" w:hAnsi="仿宋" w:eastAsia="仿宋" w:cs="仿宋"/>
                <w:bCs/>
                <w:sz w:val="24"/>
                <w:szCs w:val="24"/>
              </w:rPr>
              <w:t>2.正确区分各种不同的和弦外音。</w:t>
            </w:r>
          </w:p>
          <w:p w14:paraId="203CF4B6">
            <w:pPr>
              <w:rPr>
                <w:rFonts w:hint="eastAsia" w:ascii="仿宋" w:hAnsi="仿宋" w:eastAsia="仿宋" w:cs="仿宋"/>
                <w:bCs/>
                <w:sz w:val="24"/>
                <w:szCs w:val="24"/>
              </w:rPr>
            </w:pPr>
            <w:r>
              <w:rPr>
                <w:rFonts w:hint="eastAsia" w:ascii="仿宋" w:hAnsi="仿宋" w:eastAsia="仿宋" w:cs="仿宋"/>
                <w:bCs/>
                <w:sz w:val="24"/>
                <w:szCs w:val="24"/>
              </w:rPr>
              <w:t>领会层次：</w:t>
            </w:r>
          </w:p>
          <w:p w14:paraId="7C97ED19">
            <w:pPr>
              <w:rPr>
                <w:rFonts w:hint="eastAsia" w:ascii="仿宋" w:hAnsi="仿宋" w:eastAsia="仿宋" w:cs="仿宋"/>
                <w:bCs/>
                <w:sz w:val="24"/>
                <w:szCs w:val="24"/>
              </w:rPr>
            </w:pPr>
            <w:r>
              <w:rPr>
                <w:rFonts w:hint="eastAsia" w:ascii="仿宋" w:hAnsi="仿宋" w:eastAsia="仿宋" w:cs="仿宋"/>
                <w:bCs/>
                <w:sz w:val="24"/>
                <w:szCs w:val="24"/>
              </w:rPr>
              <w:t>1.使用外音的目的。</w:t>
            </w:r>
          </w:p>
          <w:p w14:paraId="0CDCE5ED">
            <w:pPr>
              <w:rPr>
                <w:rFonts w:hint="eastAsia" w:ascii="仿宋" w:hAnsi="仿宋" w:eastAsia="仿宋" w:cs="仿宋"/>
                <w:bCs/>
                <w:sz w:val="24"/>
                <w:szCs w:val="24"/>
              </w:rPr>
            </w:pPr>
            <w:r>
              <w:rPr>
                <w:rFonts w:hint="eastAsia" w:ascii="仿宋" w:hAnsi="仿宋" w:eastAsia="仿宋" w:cs="仿宋"/>
                <w:bCs/>
                <w:sz w:val="24"/>
                <w:szCs w:val="24"/>
              </w:rPr>
              <w:t>2.外音的种类。</w:t>
            </w:r>
          </w:p>
          <w:p w14:paraId="1CD5BE66">
            <w:pPr>
              <w:rPr>
                <w:rFonts w:hint="eastAsia" w:ascii="仿宋" w:hAnsi="仿宋" w:eastAsia="仿宋" w:cs="仿宋"/>
                <w:bCs/>
                <w:sz w:val="24"/>
                <w:szCs w:val="24"/>
              </w:rPr>
            </w:pPr>
            <w:r>
              <w:rPr>
                <w:rFonts w:hint="eastAsia" w:ascii="仿宋" w:hAnsi="仿宋" w:eastAsia="仿宋" w:cs="仿宋"/>
                <w:bCs/>
                <w:sz w:val="24"/>
                <w:szCs w:val="24"/>
              </w:rPr>
              <w:t>3.外音的形态。</w:t>
            </w:r>
          </w:p>
          <w:p w14:paraId="7F74584F">
            <w:pPr>
              <w:rPr>
                <w:rFonts w:hint="eastAsia" w:ascii="仿宋" w:hAnsi="仿宋" w:eastAsia="仿宋" w:cs="仿宋"/>
                <w:bCs/>
                <w:sz w:val="24"/>
                <w:szCs w:val="24"/>
              </w:rPr>
            </w:pPr>
            <w:r>
              <w:rPr>
                <w:rFonts w:hint="eastAsia" w:ascii="仿宋" w:hAnsi="仿宋" w:eastAsia="仿宋" w:cs="仿宋"/>
                <w:bCs/>
                <w:sz w:val="24"/>
                <w:szCs w:val="24"/>
              </w:rPr>
              <w:t>4.如何避免因外音而形成新的不良进行。</w:t>
            </w:r>
          </w:p>
          <w:p w14:paraId="22232FCA">
            <w:pPr>
              <w:rPr>
                <w:rFonts w:hint="eastAsia" w:ascii="仿宋" w:hAnsi="仿宋" w:eastAsia="仿宋" w:cs="仿宋"/>
                <w:bCs/>
                <w:sz w:val="24"/>
                <w:szCs w:val="24"/>
              </w:rPr>
            </w:pPr>
            <w:r>
              <w:rPr>
                <w:rFonts w:hint="eastAsia" w:ascii="仿宋" w:hAnsi="仿宋" w:eastAsia="仿宋" w:cs="仿宋"/>
                <w:bCs/>
                <w:sz w:val="24"/>
                <w:szCs w:val="24"/>
              </w:rPr>
              <w:t>应用层次：</w:t>
            </w:r>
          </w:p>
          <w:p w14:paraId="02913AAC">
            <w:pPr>
              <w:rPr>
                <w:rFonts w:ascii="仿宋" w:hAnsi="仿宋" w:eastAsia="仿宋" w:cs="仿宋"/>
                <w:bCs/>
                <w:sz w:val="24"/>
                <w:szCs w:val="24"/>
                <w:lang w:val="en-US" w:eastAsia="zh-CN"/>
              </w:rPr>
            </w:pPr>
            <w:r>
              <w:rPr>
                <w:rFonts w:hint="eastAsia" w:ascii="仿宋" w:hAnsi="仿宋" w:eastAsia="仿宋" w:cs="仿宋"/>
                <w:bCs/>
                <w:sz w:val="24"/>
                <w:szCs w:val="24"/>
                <w:lang w:val="en-US" w:eastAsia="en-US"/>
              </w:rPr>
              <w:t>分析乐曲中</w:t>
            </w:r>
            <w:r>
              <w:rPr>
                <w:rFonts w:hint="eastAsia" w:ascii="仿宋" w:hAnsi="仿宋" w:eastAsia="仿宋" w:cs="仿宋"/>
                <w:bCs/>
                <w:sz w:val="24"/>
                <w:szCs w:val="24"/>
              </w:rPr>
              <w:t>各种外音出现的方式，</w:t>
            </w:r>
            <w:r>
              <w:rPr>
                <w:rFonts w:hint="eastAsia" w:ascii="仿宋" w:hAnsi="仿宋" w:eastAsia="仿宋" w:cs="仿宋"/>
                <w:bCs/>
                <w:sz w:val="24"/>
                <w:szCs w:val="24"/>
                <w:lang w:val="en-US" w:eastAsia="en-US"/>
              </w:rPr>
              <w:t>进一步掌握理解和弦外音在和声进行中带来的不协和所形成的动力与表现方面的特点</w:t>
            </w:r>
            <w:r>
              <w:rPr>
                <w:rFonts w:hint="eastAsia" w:ascii="仿宋" w:hAnsi="仿宋" w:eastAsia="仿宋" w:cs="仿宋"/>
                <w:bCs/>
                <w:sz w:val="24"/>
                <w:szCs w:val="24"/>
              </w:rPr>
              <w:t>。</w:t>
            </w:r>
          </w:p>
        </w:tc>
        <w:tc>
          <w:tcPr>
            <w:tcW w:w="990" w:type="dxa"/>
            <w:gridSpan w:val="2"/>
            <w:vAlign w:val="center"/>
          </w:tcPr>
          <w:p w14:paraId="1A7873D0">
            <w:pPr>
              <w:jc w:val="center"/>
              <w:rPr>
                <w:rFonts w:hint="eastAsia" w:ascii="仿宋" w:hAnsi="仿宋" w:eastAsia="仿宋" w:cs="仿宋"/>
                <w:bCs/>
                <w:sz w:val="24"/>
                <w:szCs w:val="24"/>
                <w:lang w:eastAsia="zh-CN"/>
              </w:rPr>
            </w:pPr>
            <w:r>
              <w:rPr>
                <w:rFonts w:hint="eastAsia" w:ascii="仿宋" w:hAnsi="仿宋" w:eastAsia="仿宋" w:cs="仿宋"/>
                <w:bCs/>
                <w:sz w:val="24"/>
                <w:szCs w:val="24"/>
                <w:lang w:eastAsia="zh-CN"/>
              </w:rPr>
              <w:t>支撑课程目标1、2、3</w:t>
            </w:r>
          </w:p>
        </w:tc>
        <w:tc>
          <w:tcPr>
            <w:tcW w:w="563" w:type="dxa"/>
            <w:vAlign w:val="center"/>
          </w:tcPr>
          <w:p w14:paraId="67DD234B">
            <w:pPr>
              <w:keepNext w:val="0"/>
              <w:keepLines w:val="0"/>
              <w:widowControl/>
              <w:suppressLineNumbers w:val="0"/>
              <w:jc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r>
      <w:tr w14:paraId="72048CF6">
        <w:trPr>
          <w:trHeight w:val="0" w:hRule="atLeast"/>
        </w:trPr>
        <w:tc>
          <w:tcPr>
            <w:tcW w:w="1376" w:type="dxa"/>
            <w:vMerge w:val="continue"/>
            <w:vAlign w:val="center"/>
          </w:tcPr>
          <w:p w14:paraId="4C82FB79">
            <w:pPr>
              <w:spacing w:line="240" w:lineRule="atLeast"/>
              <w:jc w:val="right"/>
              <w:rPr>
                <w:rFonts w:hint="eastAsia" w:ascii="仿宋" w:hAnsi="仿宋" w:eastAsia="仿宋" w:cs="仿宋"/>
                <w:sz w:val="24"/>
                <w:szCs w:val="24"/>
              </w:rPr>
            </w:pPr>
          </w:p>
        </w:tc>
        <w:tc>
          <w:tcPr>
            <w:tcW w:w="6219" w:type="dxa"/>
            <w:gridSpan w:val="15"/>
            <w:vAlign w:val="center"/>
          </w:tcPr>
          <w:p w14:paraId="7A4F7E82">
            <w:pPr>
              <w:rPr>
                <w:rFonts w:hint="eastAsia" w:ascii="仿宋" w:hAnsi="仿宋" w:eastAsia="仿宋" w:cs="仿宋"/>
                <w:bCs/>
                <w:sz w:val="24"/>
                <w:szCs w:val="24"/>
                <w:lang w:val="en-US" w:eastAsia="en-US"/>
              </w:rPr>
            </w:pPr>
            <w:r>
              <w:rPr>
                <w:rFonts w:hint="eastAsia" w:ascii="仿宋" w:hAnsi="仿宋" w:eastAsia="仿宋" w:cs="仿宋"/>
                <w:bCs/>
                <w:sz w:val="24"/>
                <w:szCs w:val="24"/>
                <w:lang w:val="en-US" w:eastAsia="zh-CN"/>
              </w:rPr>
              <w:t>思政元素：</w:t>
            </w:r>
            <w:r>
              <w:rPr>
                <w:rFonts w:hint="eastAsia" w:ascii="仿宋" w:hAnsi="仿宋" w:eastAsia="仿宋" w:cs="仿宋"/>
                <w:bCs/>
                <w:sz w:val="24"/>
                <w:szCs w:val="24"/>
                <w:lang w:val="en-US" w:eastAsia="en-US"/>
              </w:rPr>
              <w:t>每章教学可结合中外优秀音乐作品（尤其是中国作品）进行分析，增强文化自信与民族认同。</w:t>
            </w:r>
          </w:p>
          <w:p w14:paraId="28C859CE">
            <w:pPr>
              <w:rPr>
                <w:rFonts w:hint="eastAsia" w:ascii="仿宋" w:hAnsi="仿宋" w:eastAsia="仿宋" w:cs="仿宋"/>
                <w:bCs/>
                <w:sz w:val="24"/>
                <w:szCs w:val="24"/>
                <w:lang w:val="en-US" w:eastAsia="en-US"/>
              </w:rPr>
            </w:pPr>
            <w:r>
              <w:rPr>
                <w:rFonts w:hint="eastAsia" w:ascii="仿宋" w:hAnsi="仿宋" w:eastAsia="仿宋" w:cs="仿宋"/>
                <w:bCs/>
                <w:sz w:val="24"/>
                <w:szCs w:val="24"/>
                <w:lang w:val="en-US" w:eastAsia="en-US"/>
              </w:rPr>
              <w:t>鼓励学生通过和声分析理解作品中的情感表达、时代精神与文化内涵，提升审美素养与人文情怀。</w:t>
            </w:r>
          </w:p>
        </w:tc>
        <w:tc>
          <w:tcPr>
            <w:tcW w:w="990" w:type="dxa"/>
            <w:gridSpan w:val="2"/>
            <w:vAlign w:val="center"/>
          </w:tcPr>
          <w:p w14:paraId="545A31C9">
            <w:pPr>
              <w:jc w:val="center"/>
              <w:rPr>
                <w:rFonts w:hint="eastAsia" w:ascii="仿宋" w:hAnsi="仿宋" w:eastAsia="仿宋" w:cs="仿宋"/>
                <w:bCs/>
                <w:sz w:val="24"/>
                <w:szCs w:val="24"/>
                <w:lang w:eastAsia="zh-CN"/>
              </w:rPr>
            </w:pPr>
          </w:p>
        </w:tc>
        <w:tc>
          <w:tcPr>
            <w:tcW w:w="563" w:type="dxa"/>
            <w:vAlign w:val="center"/>
          </w:tcPr>
          <w:p w14:paraId="1013FA4C">
            <w:pPr>
              <w:keepNext w:val="0"/>
              <w:keepLines w:val="0"/>
              <w:widowControl/>
              <w:suppressLineNumbers w:val="0"/>
              <w:jc w:val="center"/>
              <w:rPr>
                <w:rFonts w:hint="eastAsia" w:ascii="宋体" w:hAnsi="宋体" w:eastAsia="宋体" w:cs="宋体"/>
                <w:i w:val="0"/>
                <w:iCs w:val="0"/>
                <w:color w:val="000000"/>
                <w:kern w:val="0"/>
                <w:sz w:val="24"/>
                <w:szCs w:val="24"/>
                <w:u w:val="none"/>
                <w:lang w:val="en-US" w:eastAsia="zh-CN" w:bidi="ar"/>
              </w:rPr>
            </w:pPr>
          </w:p>
        </w:tc>
      </w:tr>
      <w:tr w14:paraId="3A4F17B4">
        <w:trPr>
          <w:trHeight w:val="0" w:hRule="atLeast"/>
        </w:trPr>
        <w:tc>
          <w:tcPr>
            <w:tcW w:w="1376" w:type="dxa"/>
            <w:vMerge w:val="continue"/>
            <w:vAlign w:val="center"/>
          </w:tcPr>
          <w:p w14:paraId="7D7BB870">
            <w:pPr>
              <w:spacing w:line="240" w:lineRule="atLeast"/>
              <w:jc w:val="center"/>
              <w:rPr>
                <w:rFonts w:hint="eastAsia" w:ascii="仿宋" w:hAnsi="仿宋" w:eastAsia="仿宋" w:cs="仿宋"/>
                <w:sz w:val="24"/>
                <w:szCs w:val="24"/>
              </w:rPr>
            </w:pPr>
          </w:p>
        </w:tc>
        <w:tc>
          <w:tcPr>
            <w:tcW w:w="6219" w:type="dxa"/>
            <w:gridSpan w:val="15"/>
            <w:vAlign w:val="center"/>
          </w:tcPr>
          <w:p w14:paraId="649C5AB6">
            <w:pPr>
              <w:jc w:val="center"/>
              <w:rPr>
                <w:rFonts w:hint="eastAsia" w:ascii="仿宋" w:hAnsi="仿宋" w:eastAsia="仿宋" w:cs="仿宋"/>
                <w:bCs/>
                <w:sz w:val="24"/>
                <w:szCs w:val="24"/>
              </w:rPr>
            </w:pPr>
            <w:r>
              <w:rPr>
                <w:rFonts w:hint="eastAsia" w:ascii="仿宋" w:hAnsi="仿宋" w:eastAsia="仿宋" w:cs="仿宋"/>
                <w:bCs/>
                <w:sz w:val="24"/>
                <w:szCs w:val="24"/>
              </w:rPr>
              <w:t>合计</w:t>
            </w:r>
          </w:p>
        </w:tc>
        <w:tc>
          <w:tcPr>
            <w:tcW w:w="1553" w:type="dxa"/>
            <w:gridSpan w:val="3"/>
            <w:vAlign w:val="center"/>
          </w:tcPr>
          <w:p w14:paraId="63B0F4E4">
            <w:pPr>
              <w:jc w:val="center"/>
              <w:rPr>
                <w:rFonts w:hint="eastAsia" w:ascii="仿宋" w:hAnsi="仿宋" w:eastAsia="仿宋" w:cs="仿宋"/>
                <w:sz w:val="24"/>
                <w:szCs w:val="24"/>
              </w:rPr>
            </w:pPr>
            <w:r>
              <w:rPr>
                <w:rFonts w:ascii="仿宋" w:hAnsi="仿宋" w:eastAsia="仿宋" w:cs="仿宋"/>
                <w:sz w:val="24"/>
                <w:szCs w:val="24"/>
              </w:rPr>
              <w:t>64</w:t>
            </w:r>
          </w:p>
        </w:tc>
      </w:tr>
      <w:tr w14:paraId="098E5F10">
        <w:trPr>
          <w:trHeight w:val="0" w:hRule="atLeast"/>
        </w:trPr>
        <w:tc>
          <w:tcPr>
            <w:tcW w:w="1376" w:type="dxa"/>
            <w:vMerge w:val="restart"/>
            <w:vAlign w:val="center"/>
          </w:tcPr>
          <w:p w14:paraId="6ADD62A2">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G</w:t>
            </w:r>
          </w:p>
          <w:p w14:paraId="7AC9BA30">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实验（实训）内容</w:t>
            </w:r>
          </w:p>
        </w:tc>
        <w:tc>
          <w:tcPr>
            <w:tcW w:w="2620" w:type="dxa"/>
            <w:gridSpan w:val="5"/>
            <w:vAlign w:val="center"/>
          </w:tcPr>
          <w:p w14:paraId="5F663239">
            <w:pPr>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项目名称、主要内容及开设要求</w:t>
            </w:r>
          </w:p>
        </w:tc>
        <w:tc>
          <w:tcPr>
            <w:tcW w:w="2620" w:type="dxa"/>
            <w:gridSpan w:val="6"/>
            <w:vAlign w:val="center"/>
          </w:tcPr>
          <w:p w14:paraId="02174916">
            <w:pPr>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支撑课程</w:t>
            </w:r>
          </w:p>
          <w:p w14:paraId="6F6C4ABA">
            <w:pPr>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2532" w:type="dxa"/>
            <w:gridSpan w:val="7"/>
            <w:vAlign w:val="center"/>
          </w:tcPr>
          <w:p w14:paraId="77A6F562">
            <w:pPr>
              <w:jc w:val="center"/>
              <w:rPr>
                <w:rFonts w:ascii="仿宋" w:hAnsi="仿宋" w:eastAsia="仿宋" w:cs="仿宋"/>
                <w:kern w:val="0"/>
                <w:sz w:val="24"/>
                <w:szCs w:val="24"/>
              </w:rPr>
            </w:pPr>
            <w:r>
              <w:rPr>
                <w:rFonts w:hint="eastAsia" w:ascii="仿宋" w:hAnsi="仿宋" w:eastAsia="仿宋" w:cs="仿宋"/>
                <w:kern w:val="0"/>
                <w:sz w:val="24"/>
                <w:szCs w:val="24"/>
              </w:rPr>
              <w:t xml:space="preserve">学时 </w:t>
            </w:r>
          </w:p>
          <w:p w14:paraId="5A4EADBD">
            <w:pPr>
              <w:jc w:val="center"/>
              <w:rPr>
                <w:rFonts w:hint="eastAsia" w:ascii="仿宋" w:hAnsi="仿宋" w:eastAsia="仿宋" w:cs="仿宋"/>
                <w:sz w:val="24"/>
                <w:szCs w:val="24"/>
              </w:rPr>
            </w:pPr>
            <w:r>
              <w:rPr>
                <w:rFonts w:hint="eastAsia" w:ascii="仿宋" w:hAnsi="仿宋" w:eastAsia="仿宋" w:cs="仿宋"/>
                <w:kern w:val="0"/>
                <w:sz w:val="24"/>
                <w:szCs w:val="24"/>
              </w:rPr>
              <w:t>分配</w:t>
            </w:r>
          </w:p>
        </w:tc>
      </w:tr>
      <w:tr w14:paraId="7EA61893">
        <w:trPr>
          <w:trHeight w:val="0" w:hRule="atLeast"/>
        </w:trPr>
        <w:tc>
          <w:tcPr>
            <w:tcW w:w="1376" w:type="dxa"/>
            <w:vMerge w:val="continue"/>
            <w:vAlign w:val="center"/>
          </w:tcPr>
          <w:p w14:paraId="3CF159EF">
            <w:pPr>
              <w:spacing w:line="240" w:lineRule="atLeast"/>
              <w:jc w:val="center"/>
              <w:rPr>
                <w:rFonts w:hint="eastAsia" w:ascii="仿宋" w:hAnsi="仿宋" w:eastAsia="仿宋" w:cs="仿宋"/>
                <w:sz w:val="24"/>
                <w:szCs w:val="24"/>
              </w:rPr>
            </w:pPr>
          </w:p>
        </w:tc>
        <w:tc>
          <w:tcPr>
            <w:tcW w:w="2620" w:type="dxa"/>
            <w:gridSpan w:val="5"/>
            <w:vAlign w:val="center"/>
          </w:tcPr>
          <w:p w14:paraId="25D5E62D">
            <w:pPr>
              <w:jc w:val="center"/>
              <w:rPr>
                <w:rFonts w:hint="eastAsia" w:ascii="仿宋" w:hAnsi="仿宋" w:eastAsia="仿宋" w:cs="仿宋"/>
                <w:bCs/>
                <w:sz w:val="24"/>
                <w:szCs w:val="24"/>
              </w:rPr>
            </w:pPr>
            <w:r>
              <w:rPr>
                <w:rFonts w:hint="eastAsia" w:ascii="仿宋" w:hAnsi="仿宋" w:eastAsia="仿宋" w:cs="仿宋"/>
                <w:bCs/>
                <w:sz w:val="24"/>
                <w:szCs w:val="24"/>
              </w:rPr>
              <w:t>……</w:t>
            </w:r>
          </w:p>
        </w:tc>
        <w:tc>
          <w:tcPr>
            <w:tcW w:w="2620" w:type="dxa"/>
            <w:gridSpan w:val="6"/>
            <w:vAlign w:val="center"/>
          </w:tcPr>
          <w:p w14:paraId="2EBA1453">
            <w:pPr>
              <w:jc w:val="center"/>
              <w:rPr>
                <w:rFonts w:hint="eastAsia" w:ascii="仿宋" w:hAnsi="仿宋" w:eastAsia="仿宋" w:cs="仿宋"/>
                <w:bCs/>
                <w:sz w:val="24"/>
                <w:szCs w:val="24"/>
              </w:rPr>
            </w:pPr>
            <w:r>
              <w:rPr>
                <w:rFonts w:hint="eastAsia" w:ascii="仿宋" w:hAnsi="仿宋" w:eastAsia="仿宋" w:cs="仿宋"/>
                <w:bCs/>
                <w:sz w:val="24"/>
                <w:szCs w:val="24"/>
              </w:rPr>
              <w:t>……</w:t>
            </w:r>
          </w:p>
        </w:tc>
        <w:tc>
          <w:tcPr>
            <w:tcW w:w="2532" w:type="dxa"/>
            <w:gridSpan w:val="7"/>
            <w:vAlign w:val="center"/>
          </w:tcPr>
          <w:p w14:paraId="17828649">
            <w:pPr>
              <w:jc w:val="center"/>
              <w:rPr>
                <w:rFonts w:hint="eastAsia" w:ascii="仿宋" w:hAnsi="仿宋" w:eastAsia="仿宋" w:cs="仿宋"/>
                <w:sz w:val="24"/>
                <w:szCs w:val="24"/>
              </w:rPr>
            </w:pPr>
            <w:r>
              <w:rPr>
                <w:rFonts w:hint="eastAsia" w:ascii="仿宋" w:hAnsi="仿宋" w:eastAsia="仿宋" w:cs="仿宋"/>
                <w:bCs/>
                <w:sz w:val="24"/>
                <w:szCs w:val="24"/>
              </w:rPr>
              <w:t>……</w:t>
            </w:r>
          </w:p>
        </w:tc>
      </w:tr>
      <w:tr w14:paraId="250E58FF">
        <w:trPr>
          <w:trHeight w:val="0" w:hRule="atLeast"/>
        </w:trPr>
        <w:tc>
          <w:tcPr>
            <w:tcW w:w="1376" w:type="dxa"/>
            <w:vMerge w:val="continue"/>
            <w:vAlign w:val="center"/>
          </w:tcPr>
          <w:p w14:paraId="7A3AFCC6">
            <w:pPr>
              <w:spacing w:line="240" w:lineRule="atLeast"/>
              <w:jc w:val="center"/>
              <w:rPr>
                <w:rFonts w:hint="eastAsia" w:ascii="仿宋" w:hAnsi="仿宋" w:eastAsia="仿宋" w:cs="仿宋"/>
                <w:sz w:val="24"/>
                <w:szCs w:val="24"/>
              </w:rPr>
            </w:pPr>
          </w:p>
        </w:tc>
        <w:tc>
          <w:tcPr>
            <w:tcW w:w="6219" w:type="dxa"/>
            <w:gridSpan w:val="15"/>
            <w:vAlign w:val="center"/>
          </w:tcPr>
          <w:p w14:paraId="63029EC4">
            <w:pPr>
              <w:jc w:val="center"/>
              <w:rPr>
                <w:rFonts w:hint="eastAsia" w:ascii="仿宋" w:hAnsi="仿宋" w:eastAsia="仿宋" w:cs="仿宋"/>
                <w:bCs/>
                <w:sz w:val="24"/>
                <w:szCs w:val="24"/>
              </w:rPr>
            </w:pPr>
            <w:r>
              <w:rPr>
                <w:rFonts w:hint="eastAsia" w:ascii="仿宋" w:hAnsi="仿宋" w:eastAsia="仿宋" w:cs="仿宋"/>
                <w:bCs/>
                <w:sz w:val="24"/>
                <w:szCs w:val="24"/>
              </w:rPr>
              <w:t>合计</w:t>
            </w:r>
          </w:p>
        </w:tc>
        <w:tc>
          <w:tcPr>
            <w:tcW w:w="1553" w:type="dxa"/>
            <w:gridSpan w:val="3"/>
            <w:vAlign w:val="center"/>
          </w:tcPr>
          <w:p w14:paraId="27934EC9">
            <w:pPr>
              <w:jc w:val="center"/>
              <w:rPr>
                <w:rFonts w:hint="eastAsia" w:ascii="仿宋" w:hAnsi="仿宋" w:eastAsia="仿宋" w:cs="仿宋"/>
                <w:sz w:val="24"/>
                <w:szCs w:val="24"/>
              </w:rPr>
            </w:pPr>
          </w:p>
        </w:tc>
      </w:tr>
      <w:tr w14:paraId="459FBF47">
        <w:trPr>
          <w:trHeight w:val="0" w:hRule="atLeast"/>
        </w:trPr>
        <w:tc>
          <w:tcPr>
            <w:tcW w:w="1376" w:type="dxa"/>
            <w:vMerge w:val="restart"/>
            <w:vAlign w:val="center"/>
          </w:tcPr>
          <w:p w14:paraId="284BE873">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H</w:t>
            </w:r>
          </w:p>
          <w:p w14:paraId="2B94D103">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实践内容（含教育实习、见习、研习，专业实习、毕业论文或毕业设计等）</w:t>
            </w:r>
          </w:p>
        </w:tc>
        <w:tc>
          <w:tcPr>
            <w:tcW w:w="2590" w:type="dxa"/>
            <w:gridSpan w:val="4"/>
            <w:vAlign w:val="center"/>
          </w:tcPr>
          <w:p w14:paraId="782FC5AE">
            <w:pPr>
              <w:jc w:val="center"/>
              <w:rPr>
                <w:rFonts w:hint="eastAsia" w:ascii="仿宋" w:hAnsi="仿宋" w:eastAsia="仿宋" w:cs="仿宋"/>
                <w:sz w:val="24"/>
                <w:szCs w:val="24"/>
              </w:rPr>
            </w:pPr>
            <w:r>
              <w:rPr>
                <w:rFonts w:hint="eastAsia" w:ascii="仿宋" w:hAnsi="仿宋" w:eastAsia="仿宋" w:cs="仿宋"/>
                <w:sz w:val="24"/>
                <w:szCs w:val="24"/>
              </w:rPr>
              <w:t>实践主要内容和要求</w:t>
            </w:r>
          </w:p>
        </w:tc>
        <w:tc>
          <w:tcPr>
            <w:tcW w:w="2590" w:type="dxa"/>
            <w:gridSpan w:val="6"/>
            <w:vAlign w:val="center"/>
          </w:tcPr>
          <w:p w14:paraId="2558A56B">
            <w:pPr>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支撑课程</w:t>
            </w:r>
          </w:p>
          <w:p w14:paraId="0824FD20">
            <w:pPr>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2592" w:type="dxa"/>
            <w:gridSpan w:val="8"/>
            <w:vAlign w:val="center"/>
          </w:tcPr>
          <w:p w14:paraId="70C89CE6">
            <w:pPr>
              <w:jc w:val="center"/>
              <w:rPr>
                <w:rFonts w:ascii="仿宋" w:hAnsi="仿宋" w:eastAsia="仿宋" w:cs="仿宋"/>
                <w:kern w:val="0"/>
                <w:sz w:val="24"/>
                <w:szCs w:val="24"/>
              </w:rPr>
            </w:pPr>
            <w:r>
              <w:rPr>
                <w:rFonts w:hint="eastAsia" w:ascii="仿宋" w:hAnsi="仿宋" w:eastAsia="仿宋" w:cs="仿宋"/>
                <w:kern w:val="0"/>
                <w:sz w:val="24"/>
                <w:szCs w:val="24"/>
              </w:rPr>
              <w:t>时长</w:t>
            </w:r>
          </w:p>
          <w:p w14:paraId="5BAD1AD6">
            <w:pPr>
              <w:jc w:val="center"/>
              <w:rPr>
                <w:rFonts w:hint="eastAsia" w:ascii="仿宋" w:hAnsi="仿宋" w:eastAsia="仿宋" w:cs="仿宋"/>
                <w:sz w:val="24"/>
                <w:szCs w:val="24"/>
              </w:rPr>
            </w:pPr>
            <w:r>
              <w:rPr>
                <w:rFonts w:hint="eastAsia" w:ascii="仿宋" w:hAnsi="仿宋" w:eastAsia="仿宋" w:cs="仿宋"/>
                <w:kern w:val="0"/>
                <w:sz w:val="24"/>
                <w:szCs w:val="24"/>
              </w:rPr>
              <w:t>分配</w:t>
            </w:r>
          </w:p>
        </w:tc>
      </w:tr>
      <w:tr w14:paraId="323025ED">
        <w:trPr>
          <w:trHeight w:val="0" w:hRule="atLeast"/>
        </w:trPr>
        <w:tc>
          <w:tcPr>
            <w:tcW w:w="1376" w:type="dxa"/>
            <w:vMerge w:val="continue"/>
            <w:vAlign w:val="center"/>
          </w:tcPr>
          <w:p w14:paraId="3E018851">
            <w:pPr>
              <w:spacing w:line="240" w:lineRule="atLeast"/>
              <w:jc w:val="center"/>
              <w:rPr>
                <w:rFonts w:hint="eastAsia" w:ascii="仿宋" w:hAnsi="仿宋" w:eastAsia="仿宋" w:cs="仿宋"/>
                <w:sz w:val="24"/>
                <w:szCs w:val="24"/>
              </w:rPr>
            </w:pPr>
          </w:p>
        </w:tc>
        <w:tc>
          <w:tcPr>
            <w:tcW w:w="2590" w:type="dxa"/>
            <w:gridSpan w:val="4"/>
            <w:vAlign w:val="center"/>
          </w:tcPr>
          <w:p w14:paraId="27250A4B">
            <w:pPr>
              <w:widowControl/>
              <w:autoSpaceDE w:val="0"/>
              <w:autoSpaceDN w:val="0"/>
              <w:jc w:val="center"/>
              <w:rPr>
                <w:rFonts w:hint="eastAsia" w:ascii="仿宋" w:hAnsi="仿宋" w:eastAsia="仿宋" w:cs="仿宋"/>
                <w:sz w:val="24"/>
                <w:szCs w:val="24"/>
              </w:rPr>
            </w:pPr>
            <w:r>
              <w:rPr>
                <w:rFonts w:hint="eastAsia" w:ascii="仿宋" w:hAnsi="仿宋" w:eastAsia="仿宋" w:cs="仿宋"/>
                <w:bCs/>
                <w:sz w:val="24"/>
                <w:szCs w:val="24"/>
              </w:rPr>
              <w:t>……</w:t>
            </w:r>
          </w:p>
        </w:tc>
        <w:tc>
          <w:tcPr>
            <w:tcW w:w="2590" w:type="dxa"/>
            <w:gridSpan w:val="6"/>
            <w:vAlign w:val="center"/>
          </w:tcPr>
          <w:p w14:paraId="2FB8ABCD">
            <w:pPr>
              <w:jc w:val="center"/>
              <w:rPr>
                <w:rFonts w:hint="eastAsia" w:ascii="仿宋" w:hAnsi="仿宋" w:eastAsia="仿宋" w:cs="仿宋"/>
                <w:sz w:val="24"/>
                <w:szCs w:val="24"/>
              </w:rPr>
            </w:pPr>
            <w:r>
              <w:rPr>
                <w:rFonts w:hint="eastAsia" w:ascii="仿宋" w:hAnsi="仿宋" w:eastAsia="仿宋" w:cs="仿宋"/>
                <w:bCs/>
                <w:sz w:val="24"/>
                <w:szCs w:val="24"/>
              </w:rPr>
              <w:t>……</w:t>
            </w:r>
          </w:p>
        </w:tc>
        <w:tc>
          <w:tcPr>
            <w:tcW w:w="2592" w:type="dxa"/>
            <w:gridSpan w:val="8"/>
            <w:vAlign w:val="center"/>
          </w:tcPr>
          <w:p w14:paraId="1094F3CF">
            <w:pPr>
              <w:jc w:val="center"/>
              <w:rPr>
                <w:rFonts w:hint="eastAsia" w:ascii="仿宋" w:hAnsi="仿宋" w:eastAsia="仿宋" w:cs="仿宋"/>
                <w:sz w:val="24"/>
                <w:szCs w:val="24"/>
              </w:rPr>
            </w:pPr>
            <w:r>
              <w:rPr>
                <w:rFonts w:hint="eastAsia" w:ascii="仿宋" w:hAnsi="仿宋" w:eastAsia="仿宋" w:cs="仿宋"/>
                <w:bCs/>
                <w:sz w:val="24"/>
                <w:szCs w:val="24"/>
              </w:rPr>
              <w:t>……</w:t>
            </w:r>
          </w:p>
        </w:tc>
      </w:tr>
      <w:tr w14:paraId="294F2E3E">
        <w:trPr>
          <w:trHeight w:val="0" w:hRule="atLeast"/>
        </w:trPr>
        <w:tc>
          <w:tcPr>
            <w:tcW w:w="1376" w:type="dxa"/>
            <w:vAlign w:val="center"/>
          </w:tcPr>
          <w:p w14:paraId="19F34049">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I</w:t>
            </w:r>
          </w:p>
          <w:p w14:paraId="4FAC54D6">
            <w:pPr>
              <w:spacing w:line="240" w:lineRule="atLeast"/>
              <w:jc w:val="center"/>
              <w:rPr>
                <w:rFonts w:hint="eastAsia" w:ascii="仿宋" w:hAnsi="仿宋" w:eastAsia="仿宋" w:cs="仿宋"/>
                <w:sz w:val="24"/>
                <w:szCs w:val="24"/>
                <w:lang w:eastAsia="zh-TW"/>
              </w:rPr>
            </w:pPr>
            <w:r>
              <w:rPr>
                <w:rFonts w:hint="eastAsia" w:ascii="仿宋" w:hAnsi="仿宋" w:eastAsia="仿宋" w:cs="仿宋"/>
                <w:sz w:val="24"/>
                <w:szCs w:val="24"/>
              </w:rPr>
              <w:t>教学方法与教学方式</w:t>
            </w:r>
          </w:p>
        </w:tc>
        <w:tc>
          <w:tcPr>
            <w:tcW w:w="7772" w:type="dxa"/>
            <w:gridSpan w:val="18"/>
            <w:tcBorders>
              <w:bottom w:val="single" w:color="auto" w:sz="4" w:space="0"/>
            </w:tcBorders>
            <w:vAlign w:val="center"/>
          </w:tcPr>
          <w:p w14:paraId="26DEF7ED">
            <w:pPr>
              <w:numPr>
                <w:ilvl w:val="0"/>
                <w:numId w:val="15"/>
              </w:numPr>
              <w:rPr>
                <w:rFonts w:hint="eastAsia" w:ascii="仿宋" w:hAnsi="仿宋" w:eastAsia="仿宋" w:cs="仿宋"/>
                <w:sz w:val="24"/>
                <w:szCs w:val="24"/>
              </w:rPr>
            </w:pPr>
            <w:r>
              <w:rPr>
                <w:rFonts w:hint="eastAsia" w:ascii="仿宋" w:hAnsi="仿宋" w:eastAsia="仿宋" w:cs="仿宋"/>
                <w:sz w:val="24"/>
                <w:szCs w:val="24"/>
              </w:rPr>
              <w:t>理论课全部采用多媒体教学，应用</w:t>
            </w:r>
            <w:r>
              <w:rPr>
                <w:rFonts w:hint="eastAsia" w:ascii="仿宋" w:hAnsi="仿宋" w:eastAsia="仿宋" w:cs="仿宋"/>
                <w:sz w:val="24"/>
                <w:szCs w:val="24"/>
                <w:lang w:eastAsia="en-US"/>
              </w:rPr>
              <w:t>打谱软件</w:t>
            </w:r>
            <w:r>
              <w:rPr>
                <w:rFonts w:hint="eastAsia" w:ascii="仿宋" w:hAnsi="仿宋" w:eastAsia="仿宋" w:cs="仿宋"/>
                <w:sz w:val="24"/>
                <w:szCs w:val="24"/>
              </w:rPr>
              <w:t>，改善理论课的枯燥和沉闷，吸引学生的注意力，加强授课效果。</w:t>
            </w:r>
          </w:p>
          <w:p w14:paraId="1FAE2BF9">
            <w:pPr>
              <w:numPr>
                <w:ilvl w:val="0"/>
                <w:numId w:val="15"/>
              </w:numPr>
              <w:rPr>
                <w:rFonts w:hint="eastAsia" w:ascii="仿宋" w:hAnsi="仿宋" w:eastAsia="仿宋" w:cs="仿宋"/>
                <w:sz w:val="24"/>
                <w:szCs w:val="24"/>
              </w:rPr>
            </w:pPr>
            <w:r>
              <w:rPr>
                <w:rFonts w:hint="eastAsia" w:ascii="仿宋" w:hAnsi="仿宋" w:eastAsia="仿宋" w:cs="仿宋"/>
                <w:sz w:val="24"/>
                <w:szCs w:val="24"/>
              </w:rPr>
              <w:t>开通网络课堂，达到与学生及时沟通、交流的目的。同时重视师生互动与小组活动，组织课堂小组讨论等活动，将课堂教学变为师生共同活动的过程。</w:t>
            </w:r>
          </w:p>
          <w:p w14:paraId="441FDB9E">
            <w:pPr>
              <w:numPr>
                <w:ilvl w:val="0"/>
                <w:numId w:val="15"/>
              </w:numPr>
              <w:rPr>
                <w:rFonts w:hint="eastAsia" w:ascii="仿宋" w:hAnsi="仿宋" w:eastAsia="仿宋" w:cs="仿宋"/>
                <w:sz w:val="24"/>
                <w:szCs w:val="24"/>
              </w:rPr>
            </w:pPr>
            <w:r>
              <w:rPr>
                <w:rFonts w:hint="eastAsia" w:ascii="仿宋" w:hAnsi="仿宋" w:eastAsia="仿宋" w:cs="仿宋"/>
                <w:sz w:val="24"/>
                <w:szCs w:val="24"/>
              </w:rPr>
              <w:t>主要方式：</w:t>
            </w:r>
          </w:p>
          <w:p w14:paraId="387A69DE">
            <w:pPr>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讲授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网络学习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讨论或座谈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问题导向学  </w:t>
            </w:r>
          </w:p>
          <w:p w14:paraId="513547FD">
            <w:pPr>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分组合作学习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专题学习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实作学习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发表学习  </w:t>
            </w:r>
          </w:p>
          <w:p w14:paraId="4E7F09E0">
            <w:pPr>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实习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参观访问  </w:t>
            </w:r>
            <w:r>
              <w:rPr>
                <w:rFonts w:hint="eastAsia" w:ascii="仿宋" w:hAnsi="仿宋" w:eastAsia="仿宋" w:cs="仿宋"/>
                <w:sz w:val="24"/>
                <w:szCs w:val="24"/>
              </w:rPr>
              <w:sym w:font="Wingdings" w:char="00A8"/>
            </w:r>
            <w:r>
              <w:rPr>
                <w:rFonts w:hint="eastAsia" w:ascii="仿宋" w:hAnsi="仿宋" w:eastAsia="仿宋" w:cs="仿宋"/>
                <w:sz w:val="24"/>
                <w:szCs w:val="24"/>
              </w:rPr>
              <w:t>其它：</w:t>
            </w:r>
            <w:r>
              <w:rPr>
                <w:rFonts w:hint="eastAsia" w:ascii="仿宋" w:hAnsi="仿宋" w:eastAsia="仿宋" w:cs="仿宋"/>
                <w:sz w:val="24"/>
                <w:szCs w:val="24"/>
                <w:u w:val="single"/>
              </w:rPr>
              <w:t xml:space="preserve">        </w:t>
            </w:r>
            <w:r>
              <w:rPr>
                <w:rFonts w:hint="eastAsia" w:ascii="仿宋" w:hAnsi="仿宋" w:eastAsia="仿宋" w:cs="仿宋"/>
                <w:sz w:val="24"/>
                <w:szCs w:val="24"/>
              </w:rPr>
              <w:t>(如口头训练等)</w:t>
            </w:r>
          </w:p>
        </w:tc>
      </w:tr>
      <w:tr w14:paraId="3FFCE691">
        <w:trPr>
          <w:trHeight w:val="0" w:hRule="atLeast"/>
        </w:trPr>
        <w:tc>
          <w:tcPr>
            <w:tcW w:w="1376" w:type="dxa"/>
            <w:vAlign w:val="center"/>
          </w:tcPr>
          <w:p w14:paraId="375889BE">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J</w:t>
            </w:r>
          </w:p>
          <w:p w14:paraId="5E75406D">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教学条件</w:t>
            </w:r>
          </w:p>
          <w:p w14:paraId="219152B2">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需求</w:t>
            </w:r>
          </w:p>
        </w:tc>
        <w:tc>
          <w:tcPr>
            <w:tcW w:w="7772" w:type="dxa"/>
            <w:gridSpan w:val="18"/>
            <w:tcBorders>
              <w:bottom w:val="single" w:color="auto" w:sz="4" w:space="0"/>
            </w:tcBorders>
            <w:vAlign w:val="center"/>
          </w:tcPr>
          <w:p w14:paraId="51CB8B5F">
            <w:pPr>
              <w:tabs>
                <w:tab w:val="left" w:pos="720"/>
              </w:tabs>
              <w:spacing w:line="240" w:lineRule="atLeast"/>
              <w:rPr>
                <w:rFonts w:hint="eastAsia" w:ascii="仿宋" w:hAnsi="仿宋" w:eastAsia="仿宋" w:cs="仿宋"/>
                <w:kern w:val="0"/>
                <w:sz w:val="24"/>
                <w:szCs w:val="24"/>
              </w:rPr>
            </w:pPr>
            <w:r>
              <w:rPr>
                <w:rFonts w:hint="eastAsia" w:ascii="仿宋" w:hAnsi="仿宋" w:eastAsia="仿宋" w:cs="仿宋"/>
                <w:kern w:val="0"/>
                <w:sz w:val="24"/>
                <w:szCs w:val="24"/>
              </w:rPr>
              <w:t>（如时间、地点安排与“一课双师”等教师配备需求等）</w:t>
            </w:r>
          </w:p>
          <w:p w14:paraId="61FAF0EB">
            <w:pPr>
              <w:tabs>
                <w:tab w:val="left" w:pos="720"/>
              </w:tabs>
              <w:rPr>
                <w:rFonts w:ascii="仿宋" w:hAnsi="仿宋" w:eastAsia="仿宋" w:cs="仿宋"/>
                <w:sz w:val="24"/>
                <w:szCs w:val="24"/>
              </w:rPr>
            </w:pPr>
            <w:r>
              <w:rPr>
                <w:rFonts w:hint="eastAsia" w:ascii="仿宋" w:hAnsi="仿宋" w:eastAsia="仿宋" w:cs="仿宋"/>
                <w:sz w:val="24"/>
                <w:szCs w:val="24"/>
              </w:rPr>
              <w:t>1.多媒体教室。</w:t>
            </w:r>
          </w:p>
          <w:p w14:paraId="4590E919">
            <w:pPr>
              <w:tabs>
                <w:tab w:val="left" w:pos="720"/>
              </w:tabs>
              <w:rPr>
                <w:rFonts w:hint="eastAsia" w:ascii="仿宋" w:hAnsi="仿宋" w:eastAsia="仿宋" w:cs="仿宋"/>
                <w:kern w:val="0"/>
                <w:sz w:val="24"/>
                <w:szCs w:val="24"/>
              </w:rPr>
            </w:pPr>
            <w:r>
              <w:rPr>
                <w:rFonts w:hint="eastAsia" w:ascii="仿宋" w:hAnsi="仿宋" w:eastAsia="仿宋" w:cs="仿宋"/>
                <w:kern w:val="0"/>
                <w:sz w:val="24"/>
                <w:szCs w:val="24"/>
              </w:rPr>
              <w:t>2</w:t>
            </w:r>
            <w:r>
              <w:rPr>
                <w:rFonts w:ascii="仿宋" w:hAnsi="仿宋" w:eastAsia="仿宋" w:cs="仿宋"/>
                <w:kern w:val="0"/>
                <w:sz w:val="24"/>
                <w:szCs w:val="24"/>
              </w:rPr>
              <w:t>.</w:t>
            </w:r>
            <w:r>
              <w:rPr>
                <w:rFonts w:hint="eastAsia" w:ascii="仿宋" w:hAnsi="仿宋" w:eastAsia="仿宋" w:cs="仿宋"/>
                <w:kern w:val="0"/>
                <w:sz w:val="24"/>
                <w:szCs w:val="24"/>
              </w:rPr>
              <w:t>iPad屏幕共享与教师电脑相连设备</w:t>
            </w:r>
          </w:p>
          <w:p w14:paraId="11EF686E">
            <w:pPr>
              <w:tabs>
                <w:tab w:val="left" w:pos="720"/>
              </w:tabs>
              <w:rPr>
                <w:rFonts w:hint="eastAsia" w:ascii="仿宋" w:hAnsi="仿宋" w:eastAsia="仿宋" w:cs="仿宋"/>
                <w:kern w:val="0"/>
                <w:sz w:val="24"/>
                <w:szCs w:val="24"/>
              </w:rPr>
            </w:pPr>
            <w:r>
              <w:rPr>
                <w:rFonts w:hint="eastAsia" w:ascii="仿宋" w:hAnsi="仿宋" w:eastAsia="仿宋" w:cs="仿宋"/>
                <w:kern w:val="0"/>
                <w:sz w:val="24"/>
                <w:szCs w:val="24"/>
              </w:rPr>
              <w:t>3</w:t>
            </w:r>
            <w:r>
              <w:rPr>
                <w:rFonts w:ascii="仿宋" w:hAnsi="仿宋" w:eastAsia="仿宋" w:cs="仿宋"/>
                <w:kern w:val="0"/>
                <w:sz w:val="24"/>
                <w:szCs w:val="24"/>
              </w:rPr>
              <w:t>.</w:t>
            </w:r>
            <w:r>
              <w:rPr>
                <w:rFonts w:hint="eastAsia" w:ascii="仿宋" w:hAnsi="仿宋" w:eastAsia="仿宋" w:cs="仿宋"/>
                <w:kern w:val="0"/>
                <w:sz w:val="24"/>
                <w:szCs w:val="24"/>
              </w:rPr>
              <w:t>打谱软件</w:t>
            </w:r>
          </w:p>
        </w:tc>
      </w:tr>
      <w:tr w14:paraId="3D454A9F">
        <w:trPr>
          <w:trHeight w:val="0" w:hRule="atLeast"/>
        </w:trPr>
        <w:tc>
          <w:tcPr>
            <w:tcW w:w="1376" w:type="dxa"/>
            <w:vMerge w:val="restart"/>
            <w:vAlign w:val="center"/>
          </w:tcPr>
          <w:p w14:paraId="18CFCEA8">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K</w:t>
            </w:r>
          </w:p>
          <w:p w14:paraId="1D55C7C8">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课程目标及其考核内容、考核方式及评分占比</w:t>
            </w:r>
          </w:p>
        </w:tc>
        <w:tc>
          <w:tcPr>
            <w:tcW w:w="1032" w:type="dxa"/>
            <w:vMerge w:val="restart"/>
            <w:vAlign w:val="center"/>
          </w:tcPr>
          <w:p w14:paraId="51AACE39">
            <w:pPr>
              <w:rPr>
                <w:rFonts w:hint="eastAsia" w:ascii="仿宋" w:hAnsi="仿宋" w:eastAsia="仿宋" w:cs="仿宋"/>
                <w:sz w:val="24"/>
                <w:szCs w:val="24"/>
              </w:rPr>
            </w:pPr>
            <w:r>
              <w:rPr>
                <w:rFonts w:hint="eastAsia" w:ascii="仿宋" w:hAnsi="仿宋" w:eastAsia="仿宋" w:cs="仿宋"/>
                <w:sz w:val="24"/>
                <w:szCs w:val="24"/>
              </w:rPr>
              <w:t>课程目标及评分占比</w:t>
            </w:r>
          </w:p>
        </w:tc>
        <w:tc>
          <w:tcPr>
            <w:tcW w:w="3247" w:type="dxa"/>
            <w:gridSpan w:val="7"/>
            <w:vMerge w:val="restart"/>
            <w:tcBorders>
              <w:right w:val="single" w:color="000000" w:sz="4" w:space="0"/>
            </w:tcBorders>
            <w:vAlign w:val="center"/>
          </w:tcPr>
          <w:p w14:paraId="1F137ED2">
            <w:pPr>
              <w:tabs>
                <w:tab w:val="left" w:pos="720"/>
              </w:tabs>
              <w:jc w:val="center"/>
              <w:rPr>
                <w:rFonts w:hint="eastAsia" w:ascii="仿宋" w:hAnsi="仿宋" w:eastAsia="仿宋" w:cs="仿宋"/>
                <w:kern w:val="0"/>
                <w:sz w:val="24"/>
                <w:szCs w:val="24"/>
              </w:rPr>
            </w:pPr>
            <w:r>
              <w:rPr>
                <w:rFonts w:hint="eastAsia" w:ascii="仿宋" w:hAnsi="仿宋" w:eastAsia="仿宋" w:cs="仿宋"/>
                <w:kern w:val="0"/>
                <w:sz w:val="24"/>
                <w:szCs w:val="24"/>
              </w:rPr>
              <w:t>考核内容</w:t>
            </w:r>
          </w:p>
        </w:tc>
        <w:tc>
          <w:tcPr>
            <w:tcW w:w="2904" w:type="dxa"/>
            <w:gridSpan w:val="8"/>
            <w:tcBorders>
              <w:left w:val="single" w:color="000000" w:sz="4" w:space="0"/>
              <w:right w:val="single" w:color="000000" w:sz="4" w:space="0"/>
            </w:tcBorders>
            <w:vAlign w:val="center"/>
          </w:tcPr>
          <w:p w14:paraId="4A4B8067">
            <w:pPr>
              <w:jc w:val="center"/>
              <w:rPr>
                <w:rFonts w:hint="eastAsia" w:ascii="仿宋" w:hAnsi="仿宋" w:eastAsia="仿宋" w:cs="仿宋"/>
                <w:sz w:val="24"/>
                <w:szCs w:val="24"/>
              </w:rPr>
            </w:pPr>
            <w:r>
              <w:rPr>
                <w:rFonts w:hint="eastAsia" w:ascii="仿宋" w:hAnsi="仿宋" w:eastAsia="仿宋" w:cs="仿宋"/>
                <w:sz w:val="24"/>
                <w:szCs w:val="24"/>
              </w:rPr>
              <w:t>考核方式</w:t>
            </w:r>
          </w:p>
        </w:tc>
        <w:tc>
          <w:tcPr>
            <w:tcW w:w="589" w:type="dxa"/>
            <w:gridSpan w:val="2"/>
            <w:vMerge w:val="restart"/>
            <w:tcBorders>
              <w:left w:val="single" w:color="000000" w:sz="4" w:space="0"/>
            </w:tcBorders>
            <w:vAlign w:val="center"/>
          </w:tcPr>
          <w:p w14:paraId="1E9C119C">
            <w:pPr>
              <w:tabs>
                <w:tab w:val="left" w:pos="720"/>
              </w:tabs>
              <w:jc w:val="center"/>
              <w:rPr>
                <w:rFonts w:hint="eastAsia" w:ascii="仿宋" w:hAnsi="仿宋" w:eastAsia="仿宋" w:cs="仿宋"/>
                <w:kern w:val="0"/>
                <w:sz w:val="24"/>
                <w:szCs w:val="24"/>
              </w:rPr>
            </w:pPr>
            <w:r>
              <w:rPr>
                <w:rFonts w:hint="eastAsia" w:ascii="仿宋" w:hAnsi="仿宋" w:eastAsia="仿宋" w:cs="仿宋"/>
                <w:sz w:val="24"/>
                <w:szCs w:val="24"/>
              </w:rPr>
              <w:t>课程分目标的达成度</w:t>
            </w:r>
          </w:p>
        </w:tc>
      </w:tr>
      <w:tr w14:paraId="546F82D4">
        <w:trPr>
          <w:trHeight w:val="0" w:hRule="atLeast"/>
        </w:trPr>
        <w:tc>
          <w:tcPr>
            <w:tcW w:w="1376" w:type="dxa"/>
            <w:vMerge w:val="continue"/>
            <w:vAlign w:val="center"/>
          </w:tcPr>
          <w:p w14:paraId="63788111">
            <w:pPr>
              <w:spacing w:line="240" w:lineRule="atLeast"/>
              <w:jc w:val="center"/>
              <w:rPr>
                <w:rFonts w:hint="eastAsia" w:ascii="仿宋" w:hAnsi="仿宋" w:eastAsia="仿宋" w:cs="仿宋"/>
                <w:sz w:val="24"/>
                <w:szCs w:val="24"/>
              </w:rPr>
            </w:pPr>
          </w:p>
        </w:tc>
        <w:tc>
          <w:tcPr>
            <w:tcW w:w="1032" w:type="dxa"/>
            <w:vMerge w:val="continue"/>
            <w:vAlign w:val="center"/>
          </w:tcPr>
          <w:p w14:paraId="27EA480C">
            <w:pPr>
              <w:jc w:val="right"/>
              <w:rPr>
                <w:rFonts w:hint="eastAsia" w:ascii="仿宋" w:hAnsi="仿宋" w:eastAsia="仿宋" w:cs="仿宋"/>
                <w:sz w:val="24"/>
                <w:szCs w:val="24"/>
              </w:rPr>
            </w:pPr>
          </w:p>
        </w:tc>
        <w:tc>
          <w:tcPr>
            <w:tcW w:w="3247" w:type="dxa"/>
            <w:gridSpan w:val="7"/>
            <w:vMerge w:val="continue"/>
            <w:tcBorders>
              <w:right w:val="single" w:color="000000" w:sz="4" w:space="0"/>
            </w:tcBorders>
            <w:vAlign w:val="center"/>
          </w:tcPr>
          <w:p w14:paraId="6A14310F">
            <w:pPr>
              <w:tabs>
                <w:tab w:val="left" w:pos="720"/>
              </w:tabs>
              <w:jc w:val="center"/>
              <w:rPr>
                <w:rFonts w:hint="eastAsia" w:ascii="仿宋" w:hAnsi="仿宋" w:eastAsia="仿宋" w:cs="仿宋"/>
                <w:kern w:val="0"/>
                <w:sz w:val="24"/>
                <w:szCs w:val="24"/>
              </w:rPr>
            </w:pPr>
          </w:p>
        </w:tc>
        <w:tc>
          <w:tcPr>
            <w:tcW w:w="968" w:type="dxa"/>
            <w:gridSpan w:val="4"/>
            <w:tcBorders>
              <w:left w:val="single" w:color="000000" w:sz="4" w:space="0"/>
              <w:right w:val="single" w:color="000000" w:sz="4" w:space="0"/>
            </w:tcBorders>
            <w:vAlign w:val="center"/>
          </w:tcPr>
          <w:p w14:paraId="65D88397">
            <w:pPr>
              <w:jc w:val="center"/>
              <w:rPr>
                <w:rFonts w:hint="eastAsia" w:ascii="仿宋" w:hAnsi="仿宋" w:eastAsia="仿宋" w:cs="仿宋"/>
                <w:sz w:val="24"/>
                <w:szCs w:val="24"/>
              </w:rPr>
            </w:pPr>
            <w:r>
              <w:rPr>
                <w:rFonts w:hint="eastAsia" w:ascii="仿宋" w:hAnsi="仿宋" w:eastAsia="仿宋" w:cs="仿宋"/>
                <w:sz w:val="24"/>
                <w:szCs w:val="24"/>
                <w:lang w:val="en-US" w:eastAsia="en-US"/>
              </w:rPr>
              <w:t>平时</w:t>
            </w:r>
            <w:r>
              <w:rPr>
                <w:rFonts w:hint="eastAsia" w:ascii="仿宋" w:hAnsi="仿宋" w:eastAsia="仿宋" w:cs="仿宋"/>
                <w:sz w:val="24"/>
                <w:szCs w:val="24"/>
                <w:lang w:eastAsia="en-US"/>
              </w:rPr>
              <w:t>（</w:t>
            </w:r>
            <w:r>
              <w:rPr>
                <w:rFonts w:hint="eastAsia" w:ascii="仿宋" w:hAnsi="仿宋" w:eastAsia="仿宋" w:cs="仿宋"/>
                <w:sz w:val="24"/>
                <w:szCs w:val="24"/>
              </w:rPr>
              <w:t>作业）评分占比（</w:t>
            </w:r>
            <w:r>
              <w:rPr>
                <w:rFonts w:ascii="仿宋" w:hAnsi="仿宋" w:eastAsia="仿宋" w:cs="仿宋"/>
                <w:sz w:val="24"/>
                <w:szCs w:val="24"/>
              </w:rPr>
              <w:t>20</w:t>
            </w:r>
            <w:r>
              <w:rPr>
                <w:rFonts w:hint="eastAsia" w:ascii="仿宋" w:hAnsi="仿宋" w:eastAsia="仿宋" w:cs="仿宋"/>
                <w:sz w:val="24"/>
                <w:szCs w:val="24"/>
              </w:rPr>
              <w:t>%）</w:t>
            </w:r>
          </w:p>
        </w:tc>
        <w:tc>
          <w:tcPr>
            <w:tcW w:w="968" w:type="dxa"/>
            <w:gridSpan w:val="2"/>
            <w:tcBorders>
              <w:left w:val="single" w:color="000000" w:sz="4" w:space="0"/>
              <w:bottom w:val="single" w:color="auto" w:sz="4" w:space="0"/>
            </w:tcBorders>
            <w:vAlign w:val="center"/>
          </w:tcPr>
          <w:p w14:paraId="2310A37F">
            <w:pPr>
              <w:jc w:val="center"/>
              <w:rPr>
                <w:rFonts w:hint="eastAsia" w:ascii="仿宋" w:hAnsi="仿宋" w:eastAsia="仿宋" w:cs="仿宋"/>
                <w:sz w:val="21"/>
                <w:szCs w:val="21"/>
              </w:rPr>
            </w:pPr>
            <w:r>
              <w:rPr>
                <w:rFonts w:hint="eastAsia" w:ascii="仿宋" w:hAnsi="仿宋" w:eastAsia="仿宋" w:cs="仿宋"/>
                <w:kern w:val="0"/>
                <w:sz w:val="24"/>
                <w:szCs w:val="24"/>
              </w:rPr>
              <w:t>期中考试评分占比</w:t>
            </w:r>
            <w:r>
              <w:rPr>
                <w:rFonts w:hint="eastAsia" w:ascii="仿宋" w:hAnsi="仿宋" w:eastAsia="仿宋" w:cs="仿宋"/>
                <w:sz w:val="24"/>
                <w:szCs w:val="24"/>
              </w:rPr>
              <w:t>（</w:t>
            </w:r>
            <w:r>
              <w:rPr>
                <w:rFonts w:ascii="仿宋" w:hAnsi="仿宋" w:eastAsia="仿宋" w:cs="仿宋"/>
                <w:sz w:val="24"/>
                <w:szCs w:val="24"/>
              </w:rPr>
              <w:t>40</w:t>
            </w:r>
            <w:r>
              <w:rPr>
                <w:rFonts w:hint="eastAsia" w:ascii="仿宋" w:hAnsi="仿宋" w:eastAsia="仿宋" w:cs="仿宋"/>
                <w:sz w:val="24"/>
                <w:szCs w:val="24"/>
              </w:rPr>
              <w:t>%）</w:t>
            </w:r>
          </w:p>
        </w:tc>
        <w:tc>
          <w:tcPr>
            <w:tcW w:w="968" w:type="dxa"/>
            <w:gridSpan w:val="2"/>
            <w:tcBorders>
              <w:bottom w:val="single" w:color="auto" w:sz="4" w:space="0"/>
              <w:right w:val="single" w:color="000000" w:sz="4" w:space="0"/>
            </w:tcBorders>
            <w:vAlign w:val="center"/>
          </w:tcPr>
          <w:p w14:paraId="7E29DC46">
            <w:pPr>
              <w:jc w:val="center"/>
              <w:rPr>
                <w:rFonts w:hint="eastAsia" w:ascii="仿宋" w:hAnsi="仿宋" w:eastAsia="仿宋" w:cs="仿宋"/>
                <w:sz w:val="24"/>
                <w:szCs w:val="24"/>
              </w:rPr>
            </w:pPr>
            <w:r>
              <w:rPr>
                <w:rFonts w:hint="eastAsia" w:ascii="仿宋" w:hAnsi="仿宋" w:eastAsia="仿宋" w:cs="仿宋"/>
                <w:sz w:val="24"/>
                <w:szCs w:val="24"/>
              </w:rPr>
              <w:t>期末考试评分占比（</w:t>
            </w:r>
            <w:r>
              <w:rPr>
                <w:rFonts w:ascii="仿宋" w:hAnsi="仿宋" w:eastAsia="仿宋" w:cs="仿宋"/>
                <w:sz w:val="24"/>
                <w:szCs w:val="24"/>
              </w:rPr>
              <w:t>40</w:t>
            </w:r>
            <w:r>
              <w:rPr>
                <w:rFonts w:hint="eastAsia" w:ascii="仿宋" w:hAnsi="仿宋" w:eastAsia="仿宋" w:cs="仿宋"/>
                <w:sz w:val="24"/>
                <w:szCs w:val="24"/>
              </w:rPr>
              <w:t>%）</w:t>
            </w:r>
          </w:p>
        </w:tc>
        <w:tc>
          <w:tcPr>
            <w:tcW w:w="589" w:type="dxa"/>
            <w:gridSpan w:val="2"/>
            <w:vMerge w:val="continue"/>
            <w:tcBorders>
              <w:left w:val="single" w:color="000000" w:sz="4" w:space="0"/>
              <w:bottom w:val="single" w:color="auto" w:sz="4" w:space="0"/>
            </w:tcBorders>
            <w:vAlign w:val="center"/>
          </w:tcPr>
          <w:p w14:paraId="229C0D47">
            <w:pPr>
              <w:tabs>
                <w:tab w:val="left" w:pos="720"/>
              </w:tabs>
              <w:jc w:val="center"/>
              <w:rPr>
                <w:rFonts w:hint="eastAsia" w:ascii="仿宋" w:hAnsi="仿宋" w:eastAsia="仿宋" w:cs="仿宋"/>
                <w:sz w:val="24"/>
                <w:szCs w:val="24"/>
              </w:rPr>
            </w:pPr>
          </w:p>
        </w:tc>
      </w:tr>
      <w:tr w14:paraId="37684736">
        <w:trPr>
          <w:trHeight w:val="0" w:hRule="atLeast"/>
        </w:trPr>
        <w:tc>
          <w:tcPr>
            <w:tcW w:w="1376" w:type="dxa"/>
            <w:vMerge w:val="continue"/>
            <w:vAlign w:val="center"/>
          </w:tcPr>
          <w:p w14:paraId="07C88546">
            <w:pPr>
              <w:spacing w:line="240" w:lineRule="atLeast"/>
              <w:jc w:val="center"/>
              <w:rPr>
                <w:rFonts w:hint="eastAsia" w:ascii="仿宋" w:hAnsi="仿宋" w:eastAsia="仿宋" w:cs="仿宋"/>
                <w:sz w:val="24"/>
                <w:szCs w:val="24"/>
              </w:rPr>
            </w:pPr>
          </w:p>
        </w:tc>
        <w:tc>
          <w:tcPr>
            <w:tcW w:w="1032" w:type="dxa"/>
            <w:tcBorders>
              <w:bottom w:val="single" w:color="auto" w:sz="4" w:space="0"/>
            </w:tcBorders>
            <w:vAlign w:val="center"/>
          </w:tcPr>
          <w:p w14:paraId="784B3168">
            <w:pPr>
              <w:jc w:val="center"/>
              <w:rPr>
                <w:rFonts w:hint="eastAsia" w:ascii="仿宋" w:hAnsi="仿宋" w:eastAsia="仿宋" w:cs="仿宋"/>
                <w:sz w:val="24"/>
                <w:szCs w:val="24"/>
              </w:rPr>
            </w:pPr>
            <w:r>
              <w:rPr>
                <w:rFonts w:hint="eastAsia" w:ascii="仿宋" w:hAnsi="仿宋" w:eastAsia="仿宋" w:cs="仿宋"/>
                <w:kern w:val="0"/>
                <w:sz w:val="24"/>
                <w:szCs w:val="24"/>
              </w:rPr>
              <w:t>课程目标1（</w:t>
            </w:r>
            <w:r>
              <w:rPr>
                <w:rFonts w:ascii="仿宋" w:hAnsi="仿宋" w:eastAsia="仿宋" w:cs="仿宋"/>
                <w:kern w:val="0"/>
                <w:sz w:val="24"/>
                <w:szCs w:val="24"/>
              </w:rPr>
              <w:t>50</w:t>
            </w:r>
            <w:r>
              <w:rPr>
                <w:rFonts w:hint="eastAsia" w:ascii="仿宋" w:hAnsi="仿宋" w:eastAsia="仿宋" w:cs="仿宋"/>
                <w:kern w:val="0"/>
                <w:sz w:val="24"/>
                <w:szCs w:val="24"/>
              </w:rPr>
              <w:t>%）</w:t>
            </w:r>
          </w:p>
        </w:tc>
        <w:tc>
          <w:tcPr>
            <w:tcW w:w="3247" w:type="dxa"/>
            <w:gridSpan w:val="7"/>
            <w:tcBorders>
              <w:bottom w:val="single" w:color="auto" w:sz="4" w:space="0"/>
              <w:right w:val="single" w:color="000000" w:sz="4" w:space="0"/>
            </w:tcBorders>
            <w:vAlign w:val="center"/>
          </w:tcPr>
          <w:p w14:paraId="469408E9">
            <w:pPr>
              <w:jc w:val="left"/>
              <w:rPr>
                <w:rFonts w:hint="eastAsia" w:ascii="仿宋" w:hAnsi="仿宋" w:eastAsia="仿宋" w:cs="仿宋"/>
                <w:kern w:val="0"/>
                <w:sz w:val="24"/>
                <w:szCs w:val="24"/>
              </w:rPr>
            </w:pPr>
            <w:r>
              <w:rPr>
                <w:rFonts w:hint="eastAsia" w:ascii="仿宋" w:hAnsi="仿宋" w:eastAsia="仿宋" w:cs="仿宋"/>
                <w:kern w:val="0"/>
                <w:sz w:val="24"/>
                <w:szCs w:val="24"/>
                <w:lang w:val="en-US" w:eastAsia="en-US"/>
              </w:rPr>
              <w:t>四部和声写作</w:t>
            </w:r>
            <w:r>
              <w:rPr>
                <w:rFonts w:hint="eastAsia" w:ascii="仿宋" w:hAnsi="仿宋" w:eastAsia="仿宋" w:cs="仿宋"/>
                <w:kern w:val="0"/>
                <w:sz w:val="24"/>
                <w:szCs w:val="24"/>
                <w:lang w:eastAsia="en-US"/>
              </w:rPr>
              <w:t>；</w:t>
            </w:r>
            <w:r>
              <w:rPr>
                <w:rFonts w:hint="eastAsia" w:ascii="仿宋" w:hAnsi="仿宋" w:eastAsia="仿宋" w:cs="仿宋"/>
                <w:bCs/>
                <w:sz w:val="24"/>
                <w:szCs w:val="24"/>
              </w:rPr>
              <w:t>对音乐作品进行和声分析，明确认识作品的调式调性、和声语言的技法。</w:t>
            </w:r>
          </w:p>
        </w:tc>
        <w:tc>
          <w:tcPr>
            <w:tcW w:w="968" w:type="dxa"/>
            <w:gridSpan w:val="4"/>
            <w:tcBorders>
              <w:left w:val="single" w:color="000000" w:sz="4" w:space="0"/>
              <w:bottom w:val="single" w:color="auto" w:sz="4" w:space="0"/>
              <w:right w:val="single" w:color="000000" w:sz="4" w:space="0"/>
            </w:tcBorders>
            <w:vAlign w:val="center"/>
          </w:tcPr>
          <w:p w14:paraId="2BCF969B">
            <w:pPr>
              <w:jc w:val="center"/>
              <w:rPr>
                <w:rFonts w:hint="eastAsia" w:ascii="仿宋" w:hAnsi="仿宋" w:eastAsia="仿宋" w:cs="仿宋"/>
                <w:kern w:val="0"/>
                <w:sz w:val="24"/>
                <w:szCs w:val="24"/>
              </w:rPr>
            </w:pPr>
            <w:r>
              <w:rPr>
                <w:rFonts w:ascii="仿宋" w:hAnsi="仿宋" w:eastAsia="仿宋" w:cs="仿宋"/>
                <w:kern w:val="0"/>
                <w:sz w:val="24"/>
                <w:szCs w:val="24"/>
              </w:rPr>
              <w:t>9</w:t>
            </w:r>
          </w:p>
        </w:tc>
        <w:tc>
          <w:tcPr>
            <w:tcW w:w="968" w:type="dxa"/>
            <w:gridSpan w:val="2"/>
            <w:tcBorders>
              <w:left w:val="single" w:color="000000" w:sz="4" w:space="0"/>
              <w:bottom w:val="single" w:color="auto" w:sz="4" w:space="0"/>
              <w:right w:val="single" w:color="auto" w:sz="4" w:space="0"/>
            </w:tcBorders>
            <w:vAlign w:val="center"/>
          </w:tcPr>
          <w:p w14:paraId="12EC08A1">
            <w:pPr>
              <w:tabs>
                <w:tab w:val="left" w:pos="720"/>
              </w:tabs>
              <w:jc w:val="center"/>
              <w:rPr>
                <w:rFonts w:hint="eastAsia" w:ascii="仿宋" w:hAnsi="仿宋" w:eastAsia="仿宋" w:cs="仿宋"/>
                <w:kern w:val="0"/>
                <w:sz w:val="21"/>
                <w:szCs w:val="21"/>
              </w:rPr>
            </w:pPr>
            <w:r>
              <w:rPr>
                <w:rFonts w:ascii="仿宋" w:hAnsi="仿宋" w:eastAsia="仿宋" w:cs="仿宋"/>
                <w:kern w:val="0"/>
                <w:sz w:val="24"/>
                <w:szCs w:val="24"/>
                <w:lang w:eastAsia="zh-CN" w:bidi="ar-SA"/>
              </w:rPr>
              <w:t>15</w:t>
            </w:r>
          </w:p>
        </w:tc>
        <w:tc>
          <w:tcPr>
            <w:tcW w:w="968" w:type="dxa"/>
            <w:gridSpan w:val="2"/>
            <w:tcBorders>
              <w:left w:val="single" w:color="auto" w:sz="4" w:space="0"/>
              <w:bottom w:val="single" w:color="auto" w:sz="4" w:space="0"/>
              <w:right w:val="single" w:color="auto" w:sz="4" w:space="0"/>
            </w:tcBorders>
            <w:vAlign w:val="center"/>
          </w:tcPr>
          <w:p w14:paraId="152F6658">
            <w:pPr>
              <w:jc w:val="center"/>
              <w:rPr>
                <w:rFonts w:ascii="仿宋" w:hAnsi="仿宋" w:eastAsia="仿宋" w:cs="仿宋"/>
                <w:kern w:val="0"/>
                <w:sz w:val="24"/>
                <w:szCs w:val="24"/>
                <w:lang w:eastAsia="zh-CN" w:bidi="ar-SA"/>
              </w:rPr>
            </w:pPr>
            <w:r>
              <w:rPr>
                <w:rFonts w:ascii="仿宋" w:hAnsi="仿宋" w:eastAsia="仿宋" w:cs="仿宋"/>
                <w:kern w:val="0"/>
                <w:sz w:val="24"/>
                <w:szCs w:val="24"/>
                <w:lang w:eastAsia="zh-CN" w:bidi="ar-SA"/>
              </w:rPr>
              <w:t>26</w:t>
            </w:r>
          </w:p>
        </w:tc>
        <w:tc>
          <w:tcPr>
            <w:tcW w:w="589" w:type="dxa"/>
            <w:gridSpan w:val="2"/>
            <w:tcBorders>
              <w:left w:val="single" w:color="auto" w:sz="4" w:space="0"/>
              <w:bottom w:val="single" w:color="auto" w:sz="4" w:space="0"/>
            </w:tcBorders>
            <w:vAlign w:val="center"/>
          </w:tcPr>
          <w:p w14:paraId="2206F1D1">
            <w:pPr>
              <w:tabs>
                <w:tab w:val="left" w:pos="720"/>
              </w:tabs>
              <w:jc w:val="center"/>
              <w:rPr>
                <w:rFonts w:ascii="仿宋" w:hAnsi="仿宋" w:eastAsia="仿宋" w:cs="仿宋"/>
                <w:kern w:val="0"/>
                <w:sz w:val="24"/>
                <w:szCs w:val="24"/>
                <w:lang w:val="en-US" w:eastAsia="zh-CN"/>
              </w:rPr>
            </w:pPr>
            <w:r>
              <w:rPr>
                <w:rFonts w:ascii="仿宋" w:hAnsi="仿宋" w:eastAsia="仿宋" w:cs="仿宋"/>
                <w:kern w:val="0"/>
                <w:sz w:val="24"/>
                <w:szCs w:val="24"/>
              </w:rPr>
              <w:t>0</w:t>
            </w:r>
            <w:r>
              <w:rPr>
                <w:rFonts w:hint="eastAsia" w:ascii="仿宋" w:hAnsi="仿宋" w:eastAsia="仿宋" w:cs="仿宋"/>
                <w:kern w:val="0"/>
                <w:sz w:val="24"/>
                <w:szCs w:val="24"/>
                <w:lang w:val="en-US" w:eastAsia="en-US"/>
              </w:rPr>
              <w:t>.</w:t>
            </w:r>
            <w:r>
              <w:rPr>
                <w:rFonts w:hint="eastAsia" w:ascii="仿宋" w:hAnsi="仿宋" w:eastAsia="仿宋" w:cs="仿宋"/>
                <w:kern w:val="0"/>
                <w:sz w:val="24"/>
                <w:szCs w:val="24"/>
                <w:lang w:val="en-US" w:eastAsia="zh-CN"/>
              </w:rPr>
              <w:t>6</w:t>
            </w:r>
          </w:p>
        </w:tc>
      </w:tr>
      <w:tr w14:paraId="323797E9">
        <w:trPr>
          <w:trHeight w:val="0" w:hRule="atLeast"/>
        </w:trPr>
        <w:tc>
          <w:tcPr>
            <w:tcW w:w="1376" w:type="dxa"/>
            <w:vMerge w:val="continue"/>
            <w:vAlign w:val="center"/>
          </w:tcPr>
          <w:p w14:paraId="076E41D4">
            <w:pPr>
              <w:spacing w:line="240" w:lineRule="atLeast"/>
              <w:jc w:val="center"/>
              <w:rPr>
                <w:rFonts w:hint="eastAsia" w:ascii="仿宋" w:hAnsi="仿宋" w:eastAsia="仿宋" w:cs="仿宋"/>
                <w:sz w:val="24"/>
                <w:szCs w:val="24"/>
                <w:lang w:eastAsia="zh-TW"/>
              </w:rPr>
            </w:pPr>
          </w:p>
        </w:tc>
        <w:tc>
          <w:tcPr>
            <w:tcW w:w="1032" w:type="dxa"/>
            <w:vAlign w:val="center"/>
          </w:tcPr>
          <w:p w14:paraId="79C974CE">
            <w:pPr>
              <w:jc w:val="center"/>
              <w:rPr>
                <w:rFonts w:hint="eastAsia" w:ascii="仿宋" w:hAnsi="仿宋" w:eastAsia="仿宋" w:cs="仿宋"/>
                <w:kern w:val="0"/>
                <w:sz w:val="24"/>
                <w:szCs w:val="24"/>
              </w:rPr>
            </w:pPr>
            <w:r>
              <w:rPr>
                <w:rFonts w:hint="eastAsia" w:ascii="仿宋" w:hAnsi="仿宋" w:eastAsia="仿宋" w:cs="仿宋"/>
                <w:kern w:val="0"/>
                <w:sz w:val="24"/>
                <w:szCs w:val="24"/>
              </w:rPr>
              <w:t>课程目标2（</w:t>
            </w:r>
            <w:r>
              <w:rPr>
                <w:rFonts w:ascii="仿宋" w:hAnsi="仿宋" w:eastAsia="仿宋" w:cs="仿宋"/>
                <w:kern w:val="0"/>
                <w:sz w:val="24"/>
                <w:szCs w:val="24"/>
              </w:rPr>
              <w:t>30</w:t>
            </w:r>
            <w:r>
              <w:rPr>
                <w:rFonts w:hint="eastAsia" w:ascii="仿宋" w:hAnsi="仿宋" w:eastAsia="仿宋" w:cs="仿宋"/>
                <w:kern w:val="0"/>
                <w:sz w:val="24"/>
                <w:szCs w:val="24"/>
              </w:rPr>
              <w:t>%）</w:t>
            </w:r>
          </w:p>
        </w:tc>
        <w:tc>
          <w:tcPr>
            <w:tcW w:w="3247" w:type="dxa"/>
            <w:gridSpan w:val="7"/>
            <w:tcBorders>
              <w:right w:val="single" w:color="000000" w:sz="4" w:space="0"/>
            </w:tcBorders>
            <w:vAlign w:val="center"/>
          </w:tcPr>
          <w:p w14:paraId="19141BE1">
            <w:pPr>
              <w:jc w:val="left"/>
              <w:rPr>
                <w:rFonts w:ascii="仿宋" w:hAnsi="仿宋" w:eastAsia="仿宋" w:cs="仿宋"/>
                <w:kern w:val="0"/>
                <w:sz w:val="24"/>
                <w:szCs w:val="24"/>
                <w:lang w:val="en-US" w:eastAsia="zh-CN"/>
              </w:rPr>
            </w:pPr>
            <w:r>
              <w:rPr>
                <w:rFonts w:hint="eastAsia" w:ascii="仿宋" w:hAnsi="仿宋" w:eastAsia="仿宋" w:cs="仿宋"/>
                <w:kern w:val="0"/>
                <w:sz w:val="24"/>
                <w:szCs w:val="24"/>
                <w:lang w:val="en-US" w:eastAsia="en-US"/>
              </w:rPr>
              <w:t>为</w:t>
            </w:r>
            <w:r>
              <w:rPr>
                <w:rFonts w:hint="eastAsia" w:ascii="仿宋" w:hAnsi="仿宋" w:eastAsia="仿宋" w:cs="仿宋"/>
                <w:kern w:val="0"/>
                <w:sz w:val="24"/>
                <w:szCs w:val="24"/>
                <w:lang w:val="en-US" w:eastAsia="zh-CN"/>
              </w:rPr>
              <w:t>中学相关音乐作品</w:t>
            </w:r>
            <w:r>
              <w:rPr>
                <w:rFonts w:hint="eastAsia" w:ascii="仿宋" w:hAnsi="仿宋" w:eastAsia="仿宋" w:cs="仿宋"/>
                <w:kern w:val="0"/>
                <w:sz w:val="24"/>
                <w:szCs w:val="24"/>
                <w:lang w:val="en-US" w:eastAsia="en-US"/>
              </w:rPr>
              <w:t>旋律</w:t>
            </w:r>
            <w:r>
              <w:rPr>
                <w:rFonts w:hint="eastAsia" w:ascii="仿宋" w:hAnsi="仿宋" w:eastAsia="仿宋" w:cs="仿宋"/>
                <w:kern w:val="0"/>
                <w:sz w:val="24"/>
                <w:szCs w:val="24"/>
                <w:lang w:val="en-US" w:eastAsia="zh-CN"/>
              </w:rPr>
              <w:t>编配和声。</w:t>
            </w:r>
          </w:p>
        </w:tc>
        <w:tc>
          <w:tcPr>
            <w:tcW w:w="968" w:type="dxa"/>
            <w:gridSpan w:val="4"/>
            <w:tcBorders>
              <w:left w:val="single" w:color="000000" w:sz="4" w:space="0"/>
              <w:right w:val="single" w:color="000000" w:sz="4" w:space="0"/>
            </w:tcBorders>
            <w:vAlign w:val="center"/>
          </w:tcPr>
          <w:p w14:paraId="62CB93EA">
            <w:pPr>
              <w:jc w:val="center"/>
              <w:rPr>
                <w:rFonts w:hint="eastAsia" w:ascii="仿宋" w:hAnsi="仿宋" w:eastAsia="仿宋" w:cs="仿宋"/>
                <w:kern w:val="0"/>
                <w:sz w:val="24"/>
                <w:szCs w:val="24"/>
              </w:rPr>
            </w:pPr>
            <w:r>
              <w:rPr>
                <w:rFonts w:ascii="仿宋" w:hAnsi="仿宋" w:eastAsia="仿宋" w:cs="仿宋"/>
                <w:kern w:val="0"/>
                <w:sz w:val="24"/>
                <w:szCs w:val="24"/>
              </w:rPr>
              <w:t>6</w:t>
            </w:r>
          </w:p>
        </w:tc>
        <w:tc>
          <w:tcPr>
            <w:tcW w:w="968" w:type="dxa"/>
            <w:gridSpan w:val="2"/>
            <w:tcBorders>
              <w:left w:val="single" w:color="000000" w:sz="4" w:space="0"/>
              <w:bottom w:val="single" w:color="000000" w:sz="4" w:space="0"/>
            </w:tcBorders>
            <w:vAlign w:val="center"/>
          </w:tcPr>
          <w:p w14:paraId="65AC0BAC">
            <w:pPr>
              <w:tabs>
                <w:tab w:val="left" w:pos="720"/>
              </w:tabs>
              <w:jc w:val="center"/>
              <w:rPr>
                <w:rFonts w:hint="eastAsia" w:ascii="仿宋" w:hAnsi="仿宋" w:eastAsia="仿宋" w:cs="仿宋"/>
                <w:kern w:val="0"/>
                <w:sz w:val="21"/>
                <w:szCs w:val="21"/>
              </w:rPr>
            </w:pPr>
            <w:r>
              <w:rPr>
                <w:rFonts w:ascii="仿宋" w:hAnsi="仿宋" w:eastAsia="仿宋" w:cs="仿宋"/>
                <w:kern w:val="0"/>
                <w:sz w:val="24"/>
                <w:szCs w:val="24"/>
                <w:lang w:eastAsia="zh-CN" w:bidi="ar-SA"/>
              </w:rPr>
              <w:t>20</w:t>
            </w:r>
          </w:p>
        </w:tc>
        <w:tc>
          <w:tcPr>
            <w:tcW w:w="968" w:type="dxa"/>
            <w:gridSpan w:val="2"/>
            <w:tcBorders>
              <w:bottom w:val="single" w:color="000000" w:sz="4" w:space="0"/>
              <w:right w:val="single" w:color="000000" w:sz="4" w:space="0"/>
            </w:tcBorders>
            <w:vAlign w:val="center"/>
          </w:tcPr>
          <w:p w14:paraId="4F489271">
            <w:pPr>
              <w:jc w:val="center"/>
              <w:rPr>
                <w:rFonts w:ascii="仿宋" w:hAnsi="仿宋" w:eastAsia="仿宋" w:cs="仿宋"/>
                <w:kern w:val="0"/>
                <w:sz w:val="24"/>
                <w:szCs w:val="24"/>
                <w:lang w:eastAsia="zh-CN" w:bidi="ar-SA"/>
              </w:rPr>
            </w:pPr>
            <w:r>
              <w:rPr>
                <w:rFonts w:ascii="仿宋" w:hAnsi="仿宋" w:eastAsia="仿宋" w:cs="仿宋"/>
                <w:kern w:val="0"/>
                <w:sz w:val="24"/>
                <w:szCs w:val="24"/>
                <w:lang w:eastAsia="zh-CN" w:bidi="ar-SA"/>
              </w:rPr>
              <w:t>4</w:t>
            </w:r>
          </w:p>
        </w:tc>
        <w:tc>
          <w:tcPr>
            <w:tcW w:w="589" w:type="dxa"/>
            <w:gridSpan w:val="2"/>
            <w:tcBorders>
              <w:left w:val="single" w:color="000000" w:sz="4" w:space="0"/>
              <w:bottom w:val="single" w:color="000000" w:sz="4" w:space="0"/>
            </w:tcBorders>
            <w:vAlign w:val="center"/>
          </w:tcPr>
          <w:p w14:paraId="544D6888">
            <w:pPr>
              <w:jc w:val="center"/>
              <w:rPr>
                <w:rFonts w:ascii="仿宋" w:hAnsi="仿宋" w:eastAsia="仿宋" w:cs="仿宋"/>
                <w:kern w:val="0"/>
                <w:sz w:val="24"/>
                <w:szCs w:val="24"/>
                <w:lang w:val="en-US" w:eastAsia="zh-CN"/>
              </w:rPr>
            </w:pPr>
            <w:r>
              <w:rPr>
                <w:rFonts w:ascii="仿宋" w:hAnsi="仿宋" w:eastAsia="仿宋" w:cs="仿宋"/>
                <w:kern w:val="0"/>
                <w:sz w:val="24"/>
                <w:szCs w:val="24"/>
              </w:rPr>
              <w:t>0</w:t>
            </w:r>
            <w:r>
              <w:rPr>
                <w:rFonts w:hint="eastAsia" w:ascii="仿宋" w:hAnsi="仿宋" w:eastAsia="仿宋" w:cs="仿宋"/>
                <w:kern w:val="0"/>
                <w:sz w:val="24"/>
                <w:szCs w:val="24"/>
                <w:lang w:val="en-US" w:eastAsia="en-US"/>
              </w:rPr>
              <w:t>.</w:t>
            </w:r>
            <w:r>
              <w:rPr>
                <w:rFonts w:hint="eastAsia" w:ascii="仿宋" w:hAnsi="仿宋" w:eastAsia="仿宋" w:cs="仿宋"/>
                <w:kern w:val="0"/>
                <w:sz w:val="24"/>
                <w:szCs w:val="24"/>
                <w:lang w:val="en-US" w:eastAsia="zh-CN"/>
              </w:rPr>
              <w:t>6</w:t>
            </w:r>
          </w:p>
        </w:tc>
      </w:tr>
      <w:tr w14:paraId="7B921DD4">
        <w:trPr>
          <w:trHeight w:val="0" w:hRule="atLeast"/>
        </w:trPr>
        <w:tc>
          <w:tcPr>
            <w:tcW w:w="1376" w:type="dxa"/>
            <w:vMerge w:val="continue"/>
            <w:vAlign w:val="center"/>
          </w:tcPr>
          <w:p w14:paraId="3911AAFD">
            <w:pPr>
              <w:spacing w:line="240" w:lineRule="atLeast"/>
              <w:jc w:val="center"/>
              <w:rPr>
                <w:rFonts w:hint="eastAsia" w:ascii="仿宋" w:hAnsi="仿宋" w:eastAsia="仿宋" w:cs="仿宋"/>
                <w:sz w:val="24"/>
                <w:szCs w:val="24"/>
                <w:lang w:eastAsia="zh-TW"/>
              </w:rPr>
            </w:pPr>
          </w:p>
        </w:tc>
        <w:tc>
          <w:tcPr>
            <w:tcW w:w="1032" w:type="dxa"/>
            <w:tcBorders>
              <w:bottom w:val="single" w:color="auto" w:sz="4" w:space="0"/>
            </w:tcBorders>
            <w:vAlign w:val="center"/>
          </w:tcPr>
          <w:p w14:paraId="1286CC37">
            <w:pPr>
              <w:jc w:val="center"/>
              <w:rPr>
                <w:rFonts w:hint="eastAsia" w:ascii="仿宋" w:hAnsi="仿宋" w:eastAsia="仿宋" w:cs="仿宋"/>
                <w:sz w:val="24"/>
                <w:szCs w:val="24"/>
              </w:rPr>
            </w:pPr>
            <w:r>
              <w:rPr>
                <w:rFonts w:hint="eastAsia" w:ascii="仿宋" w:hAnsi="仿宋" w:eastAsia="仿宋" w:cs="仿宋"/>
                <w:kern w:val="0"/>
                <w:sz w:val="24"/>
                <w:szCs w:val="24"/>
              </w:rPr>
              <w:t>课程目标3（</w:t>
            </w:r>
            <w:r>
              <w:rPr>
                <w:rFonts w:ascii="仿宋" w:hAnsi="仿宋" w:eastAsia="仿宋" w:cs="仿宋"/>
                <w:kern w:val="0"/>
                <w:sz w:val="24"/>
                <w:szCs w:val="24"/>
              </w:rPr>
              <w:t>20</w:t>
            </w:r>
            <w:r>
              <w:rPr>
                <w:rFonts w:hint="eastAsia" w:ascii="仿宋" w:hAnsi="仿宋" w:eastAsia="仿宋" w:cs="仿宋"/>
                <w:kern w:val="0"/>
                <w:sz w:val="24"/>
                <w:szCs w:val="24"/>
              </w:rPr>
              <w:t>%）</w:t>
            </w:r>
          </w:p>
        </w:tc>
        <w:tc>
          <w:tcPr>
            <w:tcW w:w="3247" w:type="dxa"/>
            <w:gridSpan w:val="7"/>
            <w:tcBorders>
              <w:bottom w:val="single" w:color="auto" w:sz="4" w:space="0"/>
              <w:right w:val="single" w:color="000000" w:sz="4" w:space="0"/>
            </w:tcBorders>
            <w:vAlign w:val="center"/>
          </w:tcPr>
          <w:p w14:paraId="3A48FEF1">
            <w:pPr>
              <w:jc w:val="left"/>
              <w:rPr>
                <w:rFonts w:ascii="仿宋" w:hAnsi="仿宋" w:eastAsia="仿宋" w:cs="仿宋"/>
                <w:kern w:val="0"/>
                <w:sz w:val="24"/>
                <w:szCs w:val="24"/>
              </w:rPr>
            </w:pPr>
            <w:r>
              <w:rPr>
                <w:rFonts w:hint="eastAsia" w:ascii="仿宋" w:hAnsi="仿宋" w:eastAsia="仿宋" w:cs="仿宋"/>
                <w:kern w:val="0"/>
                <w:sz w:val="24"/>
                <w:szCs w:val="24"/>
              </w:rPr>
              <w:t>分析、</w:t>
            </w:r>
            <w:r>
              <w:rPr>
                <w:rFonts w:hint="eastAsia" w:ascii="仿宋" w:hAnsi="仿宋" w:eastAsia="仿宋" w:cs="仿宋"/>
                <w:kern w:val="0"/>
                <w:sz w:val="24"/>
                <w:szCs w:val="24"/>
                <w:lang w:val="en-US" w:eastAsia="en-US"/>
              </w:rPr>
              <w:t>写作</w:t>
            </w:r>
            <w:r>
              <w:rPr>
                <w:rFonts w:hint="eastAsia" w:ascii="仿宋" w:hAnsi="仿宋" w:eastAsia="仿宋" w:cs="仿宋"/>
                <w:kern w:val="0"/>
                <w:sz w:val="24"/>
                <w:szCs w:val="24"/>
              </w:rPr>
              <w:t>中外乐曲的和声技法与风格特点。</w:t>
            </w:r>
          </w:p>
        </w:tc>
        <w:tc>
          <w:tcPr>
            <w:tcW w:w="968" w:type="dxa"/>
            <w:gridSpan w:val="4"/>
            <w:tcBorders>
              <w:left w:val="single" w:color="000000" w:sz="4" w:space="0"/>
              <w:bottom w:val="single" w:color="auto" w:sz="4" w:space="0"/>
              <w:right w:val="single" w:color="000000" w:sz="4" w:space="0"/>
            </w:tcBorders>
            <w:vAlign w:val="center"/>
          </w:tcPr>
          <w:p w14:paraId="1F2D24BB">
            <w:pPr>
              <w:jc w:val="center"/>
              <w:rPr>
                <w:rFonts w:hint="eastAsia" w:ascii="仿宋" w:hAnsi="仿宋" w:eastAsia="仿宋" w:cs="仿宋"/>
                <w:kern w:val="0"/>
                <w:sz w:val="24"/>
                <w:szCs w:val="24"/>
              </w:rPr>
            </w:pPr>
            <w:r>
              <w:rPr>
                <w:rFonts w:ascii="仿宋" w:hAnsi="仿宋" w:eastAsia="仿宋" w:cs="仿宋"/>
                <w:kern w:val="0"/>
                <w:sz w:val="24"/>
                <w:szCs w:val="24"/>
              </w:rPr>
              <w:t>5</w:t>
            </w:r>
          </w:p>
        </w:tc>
        <w:tc>
          <w:tcPr>
            <w:tcW w:w="968" w:type="dxa"/>
            <w:gridSpan w:val="2"/>
            <w:tcBorders>
              <w:top w:val="single" w:color="000000" w:sz="4" w:space="0"/>
              <w:left w:val="single" w:color="000000" w:sz="4" w:space="0"/>
              <w:bottom w:val="single" w:color="auto" w:sz="4" w:space="0"/>
            </w:tcBorders>
            <w:vAlign w:val="center"/>
          </w:tcPr>
          <w:p w14:paraId="60864E4A">
            <w:pPr>
              <w:tabs>
                <w:tab w:val="left" w:pos="720"/>
              </w:tabs>
              <w:jc w:val="center"/>
              <w:rPr>
                <w:rFonts w:hint="eastAsia" w:ascii="仿宋" w:hAnsi="仿宋" w:eastAsia="仿宋" w:cs="仿宋"/>
                <w:kern w:val="0"/>
                <w:sz w:val="21"/>
                <w:szCs w:val="21"/>
              </w:rPr>
            </w:pPr>
            <w:r>
              <w:rPr>
                <w:rFonts w:ascii="仿宋" w:hAnsi="仿宋" w:eastAsia="仿宋" w:cs="仿宋"/>
                <w:kern w:val="0"/>
                <w:sz w:val="24"/>
                <w:szCs w:val="24"/>
                <w:lang w:eastAsia="zh-CN" w:bidi="ar-SA"/>
              </w:rPr>
              <w:t>5</w:t>
            </w:r>
          </w:p>
        </w:tc>
        <w:tc>
          <w:tcPr>
            <w:tcW w:w="968" w:type="dxa"/>
            <w:gridSpan w:val="2"/>
            <w:tcBorders>
              <w:top w:val="single" w:color="000000" w:sz="4" w:space="0"/>
              <w:bottom w:val="single" w:color="auto" w:sz="4" w:space="0"/>
              <w:right w:val="single" w:color="000000" w:sz="4" w:space="0"/>
            </w:tcBorders>
            <w:vAlign w:val="center"/>
          </w:tcPr>
          <w:p w14:paraId="6BA5EC40">
            <w:pPr>
              <w:jc w:val="center"/>
              <w:rPr>
                <w:rFonts w:ascii="仿宋" w:hAnsi="仿宋" w:eastAsia="仿宋" w:cs="仿宋"/>
                <w:kern w:val="0"/>
                <w:sz w:val="24"/>
                <w:szCs w:val="24"/>
                <w:lang w:eastAsia="zh-CN" w:bidi="ar-SA"/>
              </w:rPr>
            </w:pPr>
            <w:r>
              <w:rPr>
                <w:rFonts w:ascii="仿宋" w:hAnsi="仿宋" w:eastAsia="仿宋" w:cs="仿宋"/>
                <w:kern w:val="0"/>
                <w:sz w:val="24"/>
                <w:szCs w:val="24"/>
                <w:lang w:eastAsia="zh-CN" w:bidi="ar-SA"/>
              </w:rPr>
              <w:t>10</w:t>
            </w:r>
          </w:p>
        </w:tc>
        <w:tc>
          <w:tcPr>
            <w:tcW w:w="589" w:type="dxa"/>
            <w:gridSpan w:val="2"/>
            <w:tcBorders>
              <w:top w:val="single" w:color="000000" w:sz="4" w:space="0"/>
              <w:left w:val="single" w:color="000000" w:sz="4" w:space="0"/>
              <w:bottom w:val="single" w:color="auto" w:sz="4" w:space="0"/>
            </w:tcBorders>
            <w:vAlign w:val="center"/>
          </w:tcPr>
          <w:p w14:paraId="709197C8">
            <w:pPr>
              <w:jc w:val="center"/>
              <w:rPr>
                <w:rFonts w:ascii="仿宋" w:hAnsi="仿宋" w:eastAsia="仿宋" w:cs="仿宋"/>
                <w:kern w:val="0"/>
                <w:sz w:val="24"/>
                <w:szCs w:val="24"/>
                <w:lang w:val="en-US" w:eastAsia="zh-CN"/>
              </w:rPr>
            </w:pPr>
            <w:r>
              <w:rPr>
                <w:rFonts w:ascii="仿宋" w:hAnsi="仿宋" w:eastAsia="仿宋" w:cs="仿宋"/>
                <w:kern w:val="0"/>
                <w:sz w:val="24"/>
                <w:szCs w:val="24"/>
              </w:rPr>
              <w:t>0</w:t>
            </w:r>
            <w:r>
              <w:rPr>
                <w:rFonts w:hint="eastAsia" w:ascii="仿宋" w:hAnsi="仿宋" w:eastAsia="仿宋" w:cs="仿宋"/>
                <w:kern w:val="0"/>
                <w:sz w:val="24"/>
                <w:szCs w:val="24"/>
                <w:lang w:val="en-US" w:eastAsia="en-US"/>
              </w:rPr>
              <w:t>.</w:t>
            </w:r>
            <w:r>
              <w:rPr>
                <w:rFonts w:hint="eastAsia" w:ascii="仿宋" w:hAnsi="仿宋" w:eastAsia="仿宋" w:cs="仿宋"/>
                <w:kern w:val="0"/>
                <w:sz w:val="24"/>
                <w:szCs w:val="24"/>
                <w:lang w:val="en-US" w:eastAsia="zh-CN"/>
              </w:rPr>
              <w:t>6</w:t>
            </w:r>
          </w:p>
        </w:tc>
      </w:tr>
      <w:tr w14:paraId="46971856">
        <w:trPr>
          <w:trHeight w:val="0" w:hRule="atLeast"/>
        </w:trPr>
        <w:tc>
          <w:tcPr>
            <w:tcW w:w="1376" w:type="dxa"/>
            <w:vMerge w:val="continue"/>
            <w:vAlign w:val="center"/>
          </w:tcPr>
          <w:p w14:paraId="5A740FD4">
            <w:pPr>
              <w:spacing w:line="240" w:lineRule="atLeast"/>
              <w:jc w:val="center"/>
              <w:rPr>
                <w:rFonts w:hint="eastAsia" w:ascii="仿宋" w:hAnsi="仿宋" w:eastAsia="仿宋" w:cs="仿宋"/>
                <w:sz w:val="24"/>
                <w:szCs w:val="24"/>
                <w:lang w:eastAsia="zh-TW"/>
              </w:rPr>
            </w:pPr>
          </w:p>
        </w:tc>
        <w:tc>
          <w:tcPr>
            <w:tcW w:w="4279" w:type="dxa"/>
            <w:gridSpan w:val="8"/>
            <w:tcBorders>
              <w:bottom w:val="single" w:color="auto" w:sz="4" w:space="0"/>
              <w:right w:val="single" w:color="000000" w:sz="4" w:space="0"/>
            </w:tcBorders>
            <w:vAlign w:val="center"/>
          </w:tcPr>
          <w:p w14:paraId="5D10EE52">
            <w:pPr>
              <w:widowControl/>
              <w:autoSpaceDE w:val="0"/>
              <w:autoSpaceDN w:val="0"/>
              <w:jc w:val="center"/>
              <w:rPr>
                <w:rFonts w:hint="eastAsia" w:ascii="仿宋" w:hAnsi="仿宋" w:eastAsia="仿宋" w:cs="仿宋"/>
                <w:sz w:val="24"/>
                <w:szCs w:val="24"/>
              </w:rPr>
            </w:pPr>
            <w:r>
              <w:rPr>
                <w:rFonts w:hint="eastAsia" w:ascii="仿宋" w:hAnsi="仿宋" w:eastAsia="仿宋" w:cs="仿宋"/>
                <w:sz w:val="24"/>
                <w:szCs w:val="24"/>
              </w:rPr>
              <w:t>总分</w:t>
            </w:r>
          </w:p>
        </w:tc>
        <w:tc>
          <w:tcPr>
            <w:tcW w:w="968" w:type="dxa"/>
            <w:gridSpan w:val="4"/>
            <w:tcBorders>
              <w:left w:val="single" w:color="000000" w:sz="4" w:space="0"/>
              <w:bottom w:val="single" w:color="auto" w:sz="4" w:space="0"/>
              <w:right w:val="single" w:color="000000" w:sz="4" w:space="0"/>
            </w:tcBorders>
            <w:vAlign w:val="center"/>
          </w:tcPr>
          <w:p w14:paraId="443B6C58">
            <w:pPr>
              <w:jc w:val="center"/>
              <w:rPr>
                <w:rFonts w:hint="eastAsia" w:ascii="仿宋" w:hAnsi="仿宋" w:eastAsia="仿宋" w:cs="仿宋"/>
                <w:kern w:val="0"/>
                <w:sz w:val="24"/>
                <w:szCs w:val="24"/>
              </w:rPr>
            </w:pPr>
            <w:r>
              <w:rPr>
                <w:rFonts w:ascii="仿宋" w:hAnsi="仿宋" w:eastAsia="仿宋" w:cs="仿宋"/>
                <w:kern w:val="0"/>
                <w:sz w:val="24"/>
                <w:szCs w:val="24"/>
              </w:rPr>
              <w:t>20</w:t>
            </w:r>
          </w:p>
        </w:tc>
        <w:tc>
          <w:tcPr>
            <w:tcW w:w="968" w:type="dxa"/>
            <w:gridSpan w:val="2"/>
            <w:tcBorders>
              <w:top w:val="single" w:color="000000" w:sz="4" w:space="0"/>
              <w:left w:val="single" w:color="000000" w:sz="4" w:space="0"/>
              <w:bottom w:val="single" w:color="auto" w:sz="4" w:space="0"/>
            </w:tcBorders>
            <w:vAlign w:val="center"/>
          </w:tcPr>
          <w:p w14:paraId="4FDBCEDE">
            <w:pPr>
              <w:tabs>
                <w:tab w:val="left" w:pos="720"/>
              </w:tabs>
              <w:jc w:val="center"/>
              <w:rPr>
                <w:rFonts w:hint="eastAsia" w:ascii="仿宋" w:hAnsi="仿宋" w:eastAsia="仿宋" w:cs="仿宋"/>
                <w:kern w:val="0"/>
                <w:sz w:val="21"/>
                <w:szCs w:val="21"/>
              </w:rPr>
            </w:pPr>
            <w:r>
              <w:rPr>
                <w:rFonts w:ascii="仿宋" w:hAnsi="仿宋" w:eastAsia="仿宋" w:cs="仿宋"/>
                <w:kern w:val="0"/>
                <w:sz w:val="24"/>
                <w:szCs w:val="24"/>
              </w:rPr>
              <w:t>40</w:t>
            </w:r>
          </w:p>
        </w:tc>
        <w:tc>
          <w:tcPr>
            <w:tcW w:w="968" w:type="dxa"/>
            <w:gridSpan w:val="2"/>
            <w:tcBorders>
              <w:top w:val="single" w:color="000000" w:sz="4" w:space="0"/>
              <w:bottom w:val="single" w:color="auto" w:sz="4" w:space="0"/>
              <w:right w:val="single" w:color="000000" w:sz="4" w:space="0"/>
            </w:tcBorders>
            <w:vAlign w:val="center"/>
          </w:tcPr>
          <w:p w14:paraId="3683C89D">
            <w:pPr>
              <w:tabs>
                <w:tab w:val="left" w:pos="720"/>
              </w:tabs>
              <w:jc w:val="center"/>
              <w:rPr>
                <w:rFonts w:ascii="仿宋" w:hAnsi="仿宋" w:eastAsia="仿宋" w:cs="仿宋"/>
                <w:kern w:val="0"/>
                <w:sz w:val="24"/>
                <w:szCs w:val="24"/>
              </w:rPr>
            </w:pPr>
            <w:r>
              <w:rPr>
                <w:rFonts w:ascii="仿宋" w:hAnsi="仿宋" w:eastAsia="仿宋" w:cs="仿宋"/>
                <w:kern w:val="0"/>
                <w:sz w:val="24"/>
                <w:szCs w:val="24"/>
              </w:rPr>
              <w:t>40</w:t>
            </w:r>
          </w:p>
        </w:tc>
        <w:tc>
          <w:tcPr>
            <w:tcW w:w="589" w:type="dxa"/>
            <w:gridSpan w:val="2"/>
            <w:tcBorders>
              <w:top w:val="single" w:color="000000" w:sz="4" w:space="0"/>
              <w:left w:val="single" w:color="000000" w:sz="4" w:space="0"/>
              <w:bottom w:val="single" w:color="auto" w:sz="4" w:space="0"/>
            </w:tcBorders>
            <w:vAlign w:val="center"/>
          </w:tcPr>
          <w:p w14:paraId="5F940614">
            <w:pPr>
              <w:tabs>
                <w:tab w:val="left" w:pos="720"/>
              </w:tabs>
              <w:jc w:val="center"/>
              <w:rPr>
                <w:rFonts w:ascii="仿宋" w:hAnsi="仿宋" w:eastAsia="仿宋" w:cs="仿宋"/>
                <w:kern w:val="0"/>
                <w:sz w:val="24"/>
                <w:szCs w:val="24"/>
                <w:lang w:val="en-US" w:eastAsia="zh-CN"/>
              </w:rPr>
            </w:pPr>
            <w:r>
              <w:rPr>
                <w:rFonts w:ascii="仿宋" w:hAnsi="仿宋" w:eastAsia="仿宋" w:cs="仿宋"/>
                <w:kern w:val="0"/>
                <w:sz w:val="24"/>
                <w:szCs w:val="24"/>
              </w:rPr>
              <w:t>0</w:t>
            </w:r>
            <w:r>
              <w:rPr>
                <w:rFonts w:hint="eastAsia" w:ascii="仿宋" w:hAnsi="仿宋" w:eastAsia="仿宋" w:cs="仿宋"/>
                <w:kern w:val="0"/>
                <w:sz w:val="24"/>
                <w:szCs w:val="24"/>
                <w:lang w:val="en-US" w:eastAsia="zh-CN"/>
              </w:rPr>
              <w:t>.6</w:t>
            </w:r>
          </w:p>
        </w:tc>
      </w:tr>
      <w:tr w14:paraId="4EA7EA67">
        <w:trPr>
          <w:trHeight w:val="0" w:hRule="atLeast"/>
        </w:trPr>
        <w:tc>
          <w:tcPr>
            <w:tcW w:w="1376" w:type="dxa"/>
            <w:vAlign w:val="center"/>
          </w:tcPr>
          <w:p w14:paraId="46F0F016">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L</w:t>
            </w:r>
          </w:p>
          <w:p w14:paraId="6F827986">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学习建议</w:t>
            </w:r>
          </w:p>
        </w:tc>
        <w:tc>
          <w:tcPr>
            <w:tcW w:w="7772" w:type="dxa"/>
            <w:gridSpan w:val="18"/>
            <w:tcBorders>
              <w:bottom w:val="single" w:color="auto" w:sz="4" w:space="0"/>
            </w:tcBorders>
            <w:vAlign w:val="center"/>
          </w:tcPr>
          <w:p w14:paraId="4E5B9DBA">
            <w:pPr>
              <w:rPr>
                <w:rFonts w:hint="eastAsia" w:ascii="仿宋" w:hAnsi="仿宋" w:eastAsia="仿宋" w:cs="仿宋"/>
                <w:bCs/>
                <w:sz w:val="24"/>
                <w:szCs w:val="24"/>
              </w:rPr>
            </w:pPr>
            <w:r>
              <w:rPr>
                <w:rFonts w:hint="eastAsia" w:ascii="仿宋" w:hAnsi="仿宋" w:eastAsia="仿宋" w:cs="仿宋"/>
                <w:bCs/>
                <w:sz w:val="24"/>
                <w:szCs w:val="24"/>
              </w:rPr>
              <w:t>1.自主学习。建议学生通过预习教材，并通过网络、图书馆自主查阅课程中涉及的学习资源，独立规划自己的课程学习计划，充分发挥自身的学习能动性。</w:t>
            </w:r>
          </w:p>
          <w:p w14:paraId="41D778DE">
            <w:pPr>
              <w:rPr>
                <w:rFonts w:hint="eastAsia" w:ascii="仿宋" w:hAnsi="仿宋" w:eastAsia="仿宋" w:cs="仿宋"/>
                <w:kern w:val="0"/>
                <w:sz w:val="24"/>
                <w:szCs w:val="24"/>
              </w:rPr>
            </w:pPr>
            <w:r>
              <w:rPr>
                <w:rFonts w:hint="eastAsia" w:ascii="仿宋" w:hAnsi="仿宋" w:eastAsia="仿宋" w:cs="仿宋"/>
                <w:bCs/>
                <w:sz w:val="24"/>
                <w:szCs w:val="24"/>
              </w:rPr>
              <w:t>2.研究性学习。鼓励学生针对课程教学内容，尝试理论课结合专题报告的教学方式，开阔学生的视野。</w:t>
            </w:r>
          </w:p>
        </w:tc>
      </w:tr>
      <w:tr w14:paraId="7E571ECA">
        <w:trPr>
          <w:trHeight w:val="0" w:hRule="atLeast"/>
        </w:trPr>
        <w:tc>
          <w:tcPr>
            <w:tcW w:w="1376" w:type="dxa"/>
            <w:vAlign w:val="center"/>
          </w:tcPr>
          <w:p w14:paraId="46A6D55C">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M</w:t>
            </w:r>
          </w:p>
          <w:p w14:paraId="51D8A144">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评分量表</w:t>
            </w:r>
          </w:p>
        </w:tc>
        <w:tc>
          <w:tcPr>
            <w:tcW w:w="7772" w:type="dxa"/>
            <w:gridSpan w:val="18"/>
            <w:vAlign w:val="center"/>
          </w:tcPr>
          <w:p w14:paraId="71ACF239">
            <w:pPr>
              <w:tabs>
                <w:tab w:val="left" w:pos="720"/>
              </w:tabs>
              <w:rPr>
                <w:rFonts w:hint="eastAsia" w:ascii="仿宋" w:hAnsi="仿宋" w:eastAsia="仿宋" w:cs="仿宋"/>
                <w:kern w:val="0"/>
                <w:sz w:val="24"/>
                <w:szCs w:val="24"/>
              </w:rPr>
            </w:pPr>
            <w:r>
              <w:rPr>
                <w:rFonts w:hint="eastAsia" w:ascii="仿宋" w:hAnsi="仿宋" w:eastAsia="仿宋" w:cs="仿宋"/>
                <w:kern w:val="0"/>
                <w:sz w:val="24"/>
                <w:szCs w:val="24"/>
              </w:rPr>
              <w:t>《</w:t>
            </w:r>
            <w:r>
              <w:rPr>
                <w:rFonts w:hint="eastAsia" w:ascii="仿宋" w:hAnsi="仿宋" w:eastAsia="仿宋" w:cs="仿宋"/>
                <w:bCs/>
                <w:sz w:val="24"/>
                <w:szCs w:val="24"/>
                <w:lang w:eastAsia="en-US"/>
              </w:rPr>
              <w:t>和声</w:t>
            </w:r>
            <w:r>
              <w:rPr>
                <w:rFonts w:hint="eastAsia" w:ascii="仿宋" w:hAnsi="仿宋" w:eastAsia="仿宋" w:cs="仿宋"/>
                <w:kern w:val="0"/>
                <w:sz w:val="24"/>
                <w:szCs w:val="24"/>
              </w:rPr>
              <w:t>》课程目标评分量表见附表。</w:t>
            </w:r>
          </w:p>
        </w:tc>
      </w:tr>
      <w:tr w14:paraId="2B232582">
        <w:trPr>
          <w:trHeight w:val="0" w:hRule="atLeast"/>
        </w:trPr>
        <w:tc>
          <w:tcPr>
            <w:tcW w:w="1376" w:type="dxa"/>
            <w:vAlign w:val="center"/>
          </w:tcPr>
          <w:p w14:paraId="18EA78EF">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备注</w:t>
            </w:r>
          </w:p>
        </w:tc>
        <w:tc>
          <w:tcPr>
            <w:tcW w:w="7772" w:type="dxa"/>
            <w:gridSpan w:val="18"/>
            <w:vAlign w:val="center"/>
          </w:tcPr>
          <w:p w14:paraId="31B5140E">
            <w:pPr>
              <w:rPr>
                <w:rFonts w:hint="eastAsia" w:ascii="仿宋" w:hAnsi="仿宋" w:eastAsia="仿宋" w:cs="仿宋"/>
                <w:sz w:val="24"/>
                <w:szCs w:val="24"/>
              </w:rPr>
            </w:pPr>
            <w:r>
              <w:rPr>
                <w:rFonts w:hint="eastAsia" w:ascii="仿宋" w:hAnsi="仿宋" w:eastAsia="仿宋" w:cs="仿宋"/>
                <w:sz w:val="24"/>
                <w:szCs w:val="24"/>
              </w:rPr>
              <w:t>课程大纲A—M项由开课学院审批通过，任课教师不能自行更改。</w:t>
            </w:r>
          </w:p>
        </w:tc>
      </w:tr>
      <w:tr w14:paraId="4E25577B">
        <w:trPr>
          <w:trHeight w:val="0" w:hRule="atLeast"/>
        </w:trPr>
        <w:tc>
          <w:tcPr>
            <w:tcW w:w="1376" w:type="dxa"/>
            <w:vAlign w:val="center"/>
          </w:tcPr>
          <w:p w14:paraId="58AEDABD">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审批</w:t>
            </w:r>
          </w:p>
          <w:p w14:paraId="3F06C86A">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意见</w:t>
            </w:r>
          </w:p>
        </w:tc>
        <w:tc>
          <w:tcPr>
            <w:tcW w:w="3869" w:type="dxa"/>
            <w:gridSpan w:val="6"/>
            <w:vAlign w:val="center"/>
          </w:tcPr>
          <w:p w14:paraId="4C9414FE">
            <w:pPr>
              <w:widowControl/>
              <w:jc w:val="left"/>
              <w:rPr>
                <w:rFonts w:hint="eastAsia" w:ascii="仿宋" w:hAnsi="仿宋" w:eastAsia="仿宋" w:cs="仿宋"/>
                <w:kern w:val="0"/>
                <w:sz w:val="24"/>
                <w:szCs w:val="24"/>
              </w:rPr>
            </w:pPr>
            <w:r>
              <w:rPr>
                <w:rFonts w:hint="eastAsia" w:ascii="仿宋" w:hAnsi="仿宋" w:eastAsia="仿宋" w:cs="仿宋"/>
                <w:kern w:val="0"/>
                <w:sz w:val="24"/>
                <w:szCs w:val="24"/>
              </w:rPr>
              <w:t>课程教学大纲修订负责人及教学团队成员</w:t>
            </w:r>
            <w:r>
              <w:rPr>
                <w:rFonts w:hint="eastAsia" w:ascii="仿宋" w:hAnsi="仿宋" w:eastAsia="仿宋" w:cs="仿宋"/>
                <w:sz w:val="24"/>
                <w:szCs w:val="24"/>
              </w:rPr>
              <w:t>签名</w:t>
            </w:r>
            <w:r>
              <w:rPr>
                <w:rFonts w:hint="eastAsia" w:ascii="仿宋" w:hAnsi="仿宋" w:eastAsia="仿宋" w:cs="仿宋"/>
                <w:kern w:val="0"/>
                <w:sz w:val="24"/>
                <w:szCs w:val="24"/>
              </w:rPr>
              <w:t xml:space="preserve">：   </w:t>
            </w:r>
          </w:p>
          <w:p w14:paraId="6F5D2ECF">
            <w:pPr>
              <w:widowControl/>
              <w:jc w:val="left"/>
              <w:rPr>
                <w:rFonts w:hint="eastAsia" w:ascii="仿宋" w:hAnsi="仿宋" w:eastAsia="仿宋" w:cs="仿宋"/>
                <w:kern w:val="0"/>
                <w:sz w:val="24"/>
                <w:szCs w:val="24"/>
              </w:rPr>
            </w:pPr>
          </w:p>
          <w:p w14:paraId="13C9DECE">
            <w:pPr>
              <w:widowControl/>
              <w:jc w:val="left"/>
              <w:rPr>
                <w:rFonts w:hint="eastAsia" w:ascii="仿宋" w:hAnsi="仿宋" w:eastAsia="仿宋" w:cs="仿宋"/>
                <w:kern w:val="0"/>
                <w:sz w:val="24"/>
                <w:szCs w:val="24"/>
              </w:rPr>
            </w:pPr>
            <w:r>
              <w:pict>
                <v:shape id="_x0000_i1025" o:spt="75" type="#_x0000_t75" style="height:36.5pt;width:67.9pt;" filled="f" stroked="f" coordsize="21600,21600">
                  <v:path/>
                  <v:fill on="f" focussize="0,0"/>
                  <v:stroke on="f" joinstyle="miter"/>
                  <v:imagedata r:id="rId152" o:title=""/>
                  <o:lock v:ext="edit" aspectratio="t"/>
                  <w10:wrap type="none"/>
                  <w10:anchorlock/>
                </v:shape>
              </w:pict>
            </w:r>
          </w:p>
          <w:p w14:paraId="35F186B8">
            <w:pPr>
              <w:widowControl/>
              <w:jc w:val="left"/>
              <w:rPr>
                <w:rFonts w:hint="eastAsia" w:ascii="仿宋" w:hAnsi="仿宋" w:eastAsia="仿宋" w:cs="仿宋"/>
                <w:kern w:val="0"/>
                <w:sz w:val="24"/>
                <w:szCs w:val="24"/>
              </w:rPr>
            </w:pPr>
          </w:p>
          <w:p w14:paraId="035FBAFE">
            <w:pPr>
              <w:widowControl/>
              <w:jc w:val="right"/>
              <w:rPr>
                <w:rFonts w:hint="eastAsia" w:ascii="仿宋" w:hAnsi="仿宋" w:eastAsia="仿宋" w:cs="仿宋"/>
                <w:kern w:val="0"/>
                <w:sz w:val="24"/>
                <w:szCs w:val="24"/>
              </w:rPr>
            </w:pPr>
            <w:r>
              <w:rPr>
                <w:rFonts w:hint="eastAsia" w:ascii="仿宋" w:hAnsi="仿宋" w:eastAsia="仿宋" w:cs="仿宋"/>
                <w:kern w:val="0"/>
                <w:sz w:val="24"/>
                <w:szCs w:val="24"/>
              </w:rPr>
              <w:t xml:space="preserve">                                                   </w:t>
            </w:r>
            <w:r>
              <w:rPr>
                <w:rFonts w:hint="eastAsia" w:ascii="仿宋" w:hAnsi="仿宋" w:eastAsia="仿宋" w:cs="仿宋"/>
                <w:kern w:val="0"/>
                <w:sz w:val="24"/>
                <w:szCs w:val="24"/>
                <w:lang w:val="en-US" w:eastAsia="zh-CN"/>
              </w:rPr>
              <w:t>2026年3月4日</w:t>
            </w:r>
            <w:r>
              <w:rPr>
                <w:rFonts w:hint="eastAsia" w:ascii="仿宋" w:hAnsi="仿宋" w:eastAsia="仿宋" w:cs="仿宋"/>
                <w:kern w:val="0"/>
                <w:sz w:val="24"/>
                <w:szCs w:val="24"/>
              </w:rPr>
              <w:t xml:space="preserve"> </w:t>
            </w:r>
          </w:p>
          <w:p w14:paraId="25179AE8">
            <w:pPr>
              <w:widowControl/>
              <w:jc w:val="right"/>
              <w:rPr>
                <w:rFonts w:hint="eastAsia" w:ascii="仿宋" w:hAnsi="仿宋" w:eastAsia="仿宋" w:cs="仿宋"/>
                <w:kern w:val="0"/>
                <w:sz w:val="24"/>
                <w:szCs w:val="24"/>
              </w:rPr>
            </w:pPr>
          </w:p>
        </w:tc>
        <w:tc>
          <w:tcPr>
            <w:tcW w:w="3903" w:type="dxa"/>
            <w:gridSpan w:val="12"/>
            <w:vAlign w:val="center"/>
          </w:tcPr>
          <w:p w14:paraId="57F42B4B">
            <w:pPr>
              <w:widowControl/>
              <w:jc w:val="left"/>
              <w:rPr>
                <w:rFonts w:hint="eastAsia" w:ascii="仿宋" w:hAnsi="仿宋" w:eastAsia="仿宋" w:cs="仿宋"/>
                <w:kern w:val="0"/>
                <w:sz w:val="24"/>
                <w:szCs w:val="24"/>
              </w:rPr>
            </w:pPr>
            <w:r>
              <w:rPr>
                <w:rFonts w:hint="eastAsia" w:ascii="仿宋" w:hAnsi="仿宋" w:eastAsia="仿宋" w:cs="仿宋"/>
                <w:kern w:val="0"/>
                <w:sz w:val="24"/>
                <w:szCs w:val="24"/>
              </w:rPr>
              <w:t>系主任审核意见：</w:t>
            </w:r>
          </w:p>
          <w:p w14:paraId="79BF1BBB">
            <w:pPr>
              <w:widowControl/>
              <w:jc w:val="left"/>
              <w:rPr>
                <w:rFonts w:hint="eastAsia" w:ascii="仿宋" w:hAnsi="仿宋" w:eastAsia="仿宋" w:cs="仿宋"/>
                <w:kern w:val="0"/>
                <w:sz w:val="24"/>
                <w:szCs w:val="24"/>
              </w:rPr>
            </w:pPr>
          </w:p>
          <w:p w14:paraId="1B86F3CA">
            <w:pPr>
              <w:widowControl/>
              <w:jc w:val="left"/>
              <w:rPr>
                <w:rFonts w:hint="eastAsia" w:ascii="仿宋" w:hAnsi="仿宋" w:eastAsia="仿宋" w:cs="仿宋"/>
                <w:kern w:val="0"/>
                <w:sz w:val="24"/>
                <w:szCs w:val="24"/>
              </w:rPr>
            </w:pPr>
          </w:p>
          <w:p w14:paraId="0939B446">
            <w:pPr>
              <w:widowControl/>
              <w:jc w:val="left"/>
              <w:rPr>
                <w:rFonts w:hint="eastAsia" w:ascii="仿宋" w:hAnsi="仿宋" w:eastAsia="仿宋" w:cs="仿宋"/>
                <w:kern w:val="0"/>
                <w:sz w:val="24"/>
                <w:szCs w:val="24"/>
                <w:lang w:eastAsia="zh-CN"/>
              </w:rPr>
            </w:pPr>
            <w:r>
              <w:rPr>
                <w:rFonts w:hint="eastAsia" w:ascii="仿宋" w:hAnsi="仿宋" w:eastAsia="仿宋" w:cs="仿宋"/>
                <w:kern w:val="0"/>
                <w:sz w:val="24"/>
                <w:szCs w:val="24"/>
              </w:rPr>
              <w:t>系主任签名：</w:t>
            </w:r>
            <w:r>
              <w:rPr>
                <w:rFonts w:hint="eastAsia" w:ascii="仿宋" w:hAnsi="仿宋" w:eastAsia="仿宋" w:cs="仿宋"/>
                <w:kern w:val="0"/>
                <w:sz w:val="24"/>
                <w:szCs w:val="24"/>
                <w:lang w:eastAsia="zh-CN"/>
              </w:rPr>
              <w:pict>
                <v:shape id="_x0000_i1026" o:spt="75" type="#_x0000_t75" style="height:56.9pt;width:97.5pt;" filled="f" stroked="f" coordsize="21600,21600">
                  <v:path/>
                  <v:fill on="f" focussize="0,0"/>
                  <v:stroke on="f" joinstyle="miter"/>
                  <v:imagedata r:id="rId153" o:title=""/>
                  <o:lock v:ext="edit" aspectratio="t"/>
                  <w10:wrap type="none"/>
                  <w10:anchorlock/>
                </v:shape>
              </w:pict>
            </w:r>
          </w:p>
          <w:p w14:paraId="2B718848">
            <w:pPr>
              <w:widowControl/>
              <w:jc w:val="right"/>
              <w:rPr>
                <w:rFonts w:hint="eastAsia" w:ascii="仿宋" w:hAnsi="仿宋" w:eastAsia="仿宋" w:cs="仿宋"/>
                <w:kern w:val="0"/>
                <w:sz w:val="24"/>
                <w:szCs w:val="24"/>
              </w:rPr>
            </w:pPr>
          </w:p>
          <w:p w14:paraId="5A9C3AE9">
            <w:pPr>
              <w:widowControl/>
              <w:jc w:val="right"/>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2026年3月4日</w:t>
            </w:r>
          </w:p>
        </w:tc>
      </w:tr>
    </w:tbl>
    <w:p w14:paraId="4270992F">
      <w:pPr>
        <w:widowControl/>
        <w:spacing w:line="360" w:lineRule="auto"/>
        <w:ind w:right="480"/>
        <w:rPr>
          <w:rFonts w:hint="eastAsia" w:cs="黑体"/>
        </w:rPr>
        <w:sectPr>
          <w:headerReference r:id="rId21" w:type="default"/>
          <w:footerReference r:id="rId22" w:type="default"/>
          <w:pgSz w:w="11906" w:h="16838"/>
          <w:pgMar w:top="1134" w:right="1417" w:bottom="1134" w:left="1417" w:header="851" w:footer="992" w:gutter="0"/>
          <w:cols w:space="720" w:num="1"/>
          <w:docGrid w:type="lines" w:linePitch="312" w:charSpace="0"/>
        </w:sectPr>
      </w:pPr>
    </w:p>
    <w:p w14:paraId="5B5B51F1">
      <w:pPr>
        <w:spacing w:line="360" w:lineRule="auto"/>
        <w:jc w:val="center"/>
        <w:rPr>
          <w:rFonts w:hint="eastAsia" w:cs="黑体"/>
          <w:sz w:val="16"/>
          <w:szCs w:val="18"/>
        </w:rPr>
      </w:pPr>
      <w:r>
        <w:rPr>
          <w:rFonts w:hint="eastAsia" w:eastAsia="方正小标宋简体"/>
          <w:sz w:val="32"/>
          <w:szCs w:val="32"/>
        </w:rPr>
        <w:t>《和声》课程目标评分量表</w:t>
      </w:r>
    </w:p>
    <w:tbl>
      <w:tblPr>
        <w:tblStyle w:val="22"/>
        <w:tblW w:w="4997"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28" w:type="dxa"/>
        </w:tblCellMar>
      </w:tblPr>
      <w:tblGrid>
        <w:gridCol w:w="903"/>
        <w:gridCol w:w="1573"/>
        <w:gridCol w:w="1202"/>
        <w:gridCol w:w="1355"/>
        <w:gridCol w:w="1355"/>
        <w:gridCol w:w="1355"/>
        <w:gridCol w:w="1357"/>
      </w:tblGrid>
      <w:tr w14:paraId="7FF0582C">
        <w:trPr>
          <w:trHeight w:val="90" w:hRule="atLeast"/>
          <w:jc w:val="center"/>
        </w:trPr>
        <w:tc>
          <w:tcPr>
            <w:tcW w:w="496" w:type="dxa"/>
            <w:vMerge w:val="restart"/>
            <w:vAlign w:val="center"/>
          </w:tcPr>
          <w:p w14:paraId="3EE34116">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M</w:t>
            </w:r>
          </w:p>
          <w:p w14:paraId="49109585">
            <w:pPr>
              <w:spacing w:line="240" w:lineRule="atLeast"/>
              <w:jc w:val="center"/>
              <w:rPr>
                <w:rFonts w:hint="eastAsia" w:ascii="宋体" w:hAnsi="宋体" w:cs="宋体"/>
                <w:sz w:val="24"/>
                <w:szCs w:val="24"/>
              </w:rPr>
            </w:pPr>
            <w:r>
              <w:rPr>
                <w:rFonts w:hint="eastAsia" w:ascii="仿宋" w:hAnsi="仿宋" w:eastAsia="仿宋" w:cs="仿宋"/>
                <w:sz w:val="24"/>
                <w:szCs w:val="24"/>
              </w:rPr>
              <w:t>评分量表</w:t>
            </w:r>
          </w:p>
        </w:tc>
        <w:tc>
          <w:tcPr>
            <w:tcW w:w="864" w:type="dxa"/>
            <w:vAlign w:val="center"/>
          </w:tcPr>
          <w:p w14:paraId="7249508A">
            <w:pPr>
              <w:tabs>
                <w:tab w:val="left" w:pos="720"/>
              </w:tabs>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课程目标</w:t>
            </w:r>
          </w:p>
        </w:tc>
        <w:tc>
          <w:tcPr>
            <w:tcW w:w="660" w:type="dxa"/>
            <w:vAlign w:val="center"/>
          </w:tcPr>
          <w:p w14:paraId="02667F1C">
            <w:pPr>
              <w:tabs>
                <w:tab w:val="left" w:pos="720"/>
              </w:tabs>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优（X≧90）</w:t>
            </w:r>
          </w:p>
        </w:tc>
        <w:tc>
          <w:tcPr>
            <w:tcW w:w="744" w:type="dxa"/>
            <w:vAlign w:val="center"/>
          </w:tcPr>
          <w:p w14:paraId="79C75FE6">
            <w:pPr>
              <w:tabs>
                <w:tab w:val="left" w:pos="720"/>
              </w:tabs>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良（80≦X＜90）</w:t>
            </w:r>
          </w:p>
        </w:tc>
        <w:tc>
          <w:tcPr>
            <w:tcW w:w="744" w:type="dxa"/>
            <w:vAlign w:val="center"/>
          </w:tcPr>
          <w:p w14:paraId="6F573CCB">
            <w:pPr>
              <w:tabs>
                <w:tab w:val="left" w:pos="720"/>
              </w:tabs>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中（70≦X＜80）</w:t>
            </w:r>
          </w:p>
        </w:tc>
        <w:tc>
          <w:tcPr>
            <w:tcW w:w="744" w:type="dxa"/>
            <w:vAlign w:val="center"/>
          </w:tcPr>
          <w:p w14:paraId="647DE15C">
            <w:pPr>
              <w:tabs>
                <w:tab w:val="left" w:pos="720"/>
              </w:tabs>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及格（60≦X＜70）</w:t>
            </w:r>
          </w:p>
        </w:tc>
        <w:tc>
          <w:tcPr>
            <w:tcW w:w="745" w:type="dxa"/>
            <w:vAlign w:val="center"/>
          </w:tcPr>
          <w:p w14:paraId="1648D424">
            <w:pPr>
              <w:tabs>
                <w:tab w:val="left" w:pos="720"/>
              </w:tabs>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不及格（＜60）</w:t>
            </w:r>
          </w:p>
        </w:tc>
      </w:tr>
      <w:tr w14:paraId="267F3B7B">
        <w:trPr>
          <w:trHeight w:val="2320" w:hRule="atLeast"/>
          <w:jc w:val="center"/>
        </w:trPr>
        <w:tc>
          <w:tcPr>
            <w:tcW w:w="496" w:type="dxa"/>
            <w:vMerge w:val="continue"/>
            <w:vAlign w:val="center"/>
          </w:tcPr>
          <w:p w14:paraId="7D22CA60">
            <w:pPr>
              <w:spacing w:line="240" w:lineRule="atLeast"/>
              <w:jc w:val="center"/>
              <w:rPr>
                <w:rFonts w:ascii="宋体" w:hAnsi="宋体" w:cs="宋体"/>
                <w:sz w:val="24"/>
                <w:szCs w:val="24"/>
              </w:rPr>
            </w:pPr>
          </w:p>
        </w:tc>
        <w:tc>
          <w:tcPr>
            <w:tcW w:w="864" w:type="dxa"/>
            <w:vAlign w:val="top"/>
          </w:tcPr>
          <w:p w14:paraId="2F90965F">
            <w:pPr>
              <w:tabs>
                <w:tab w:val="left" w:pos="720"/>
              </w:tabs>
              <w:spacing w:line="240" w:lineRule="atLeast"/>
              <w:jc w:val="left"/>
              <w:rPr>
                <w:rFonts w:hint="eastAsia" w:ascii="仿宋" w:hAnsi="仿宋" w:eastAsia="仿宋" w:cs="仿宋"/>
                <w:kern w:val="0"/>
                <w:sz w:val="22"/>
                <w:szCs w:val="22"/>
                <w:lang w:val="en-US" w:eastAsia="zh-CN"/>
              </w:rPr>
            </w:pPr>
            <w:r>
              <w:rPr>
                <w:rFonts w:hint="eastAsia" w:ascii="仿宋" w:hAnsi="仿宋" w:eastAsia="仿宋" w:cs="仿宋"/>
                <w:kern w:val="0"/>
                <w:sz w:val="22"/>
                <w:szCs w:val="22"/>
              </w:rPr>
              <w:t>程目标1：通过学习多声部音乐中的和声材料、和声手法以及和声功能逻辑，</w:t>
            </w:r>
            <w:r>
              <w:rPr>
                <w:rFonts w:hint="eastAsia" w:ascii="仿宋" w:hAnsi="仿宋" w:eastAsia="仿宋" w:cs="仿宋"/>
                <w:kern w:val="0"/>
                <w:sz w:val="22"/>
                <w:szCs w:val="22"/>
                <w:lang w:val="en-US" w:eastAsia="en-US"/>
              </w:rPr>
              <w:t>初步</w:t>
            </w:r>
            <w:r>
              <w:rPr>
                <w:rFonts w:hint="eastAsia" w:ascii="仿宋" w:hAnsi="仿宋" w:eastAsia="仿宋" w:cs="仿宋"/>
                <w:kern w:val="0"/>
                <w:sz w:val="22"/>
                <w:szCs w:val="22"/>
              </w:rPr>
              <w:t>掌握主调音乐写作基本方法；通过分析一般中、外乐曲中常见的和声现象，</w:t>
            </w:r>
            <w:r>
              <w:rPr>
                <w:rFonts w:hint="eastAsia" w:ascii="仿宋" w:hAnsi="仿宋" w:eastAsia="仿宋" w:cs="仿宋"/>
                <w:kern w:val="0"/>
                <w:sz w:val="22"/>
                <w:szCs w:val="22"/>
                <w:lang w:val="en-US" w:eastAsia="en-US"/>
              </w:rPr>
              <w:t>初步</w:t>
            </w:r>
            <w:r>
              <w:rPr>
                <w:rFonts w:hint="eastAsia" w:ascii="仿宋" w:hAnsi="仿宋" w:eastAsia="仿宋" w:cs="仿宋"/>
                <w:kern w:val="0"/>
                <w:sz w:val="22"/>
                <w:szCs w:val="22"/>
              </w:rPr>
              <w:t>掌握和声</w:t>
            </w:r>
            <w:r>
              <w:rPr>
                <w:rFonts w:hint="eastAsia" w:ascii="仿宋" w:hAnsi="仿宋" w:eastAsia="仿宋" w:cs="仿宋"/>
                <w:kern w:val="0"/>
                <w:sz w:val="22"/>
                <w:szCs w:val="22"/>
                <w:lang w:eastAsia="en-US"/>
              </w:rPr>
              <w:t>分析</w:t>
            </w:r>
            <w:r>
              <w:rPr>
                <w:rFonts w:hint="eastAsia" w:ascii="仿宋" w:hAnsi="仿宋" w:eastAsia="仿宋" w:cs="仿宋"/>
                <w:kern w:val="0"/>
                <w:sz w:val="22"/>
                <w:szCs w:val="22"/>
              </w:rPr>
              <w:t>技能。</w:t>
            </w:r>
          </w:p>
        </w:tc>
        <w:tc>
          <w:tcPr>
            <w:tcW w:w="660" w:type="dxa"/>
            <w:vAlign w:val="top"/>
          </w:tcPr>
          <w:p w14:paraId="44C74226">
            <w:pPr>
              <w:tabs>
                <w:tab w:val="left" w:pos="720"/>
              </w:tabs>
              <w:spacing w:line="240" w:lineRule="atLeast"/>
              <w:jc w:val="left"/>
              <w:rPr>
                <w:rFonts w:hint="eastAsia" w:ascii="仿宋" w:hAnsi="仿宋" w:eastAsia="仿宋" w:cs="仿宋"/>
                <w:kern w:val="0"/>
                <w:sz w:val="22"/>
                <w:szCs w:val="22"/>
                <w:lang w:val="en-US" w:eastAsia="zh-CN"/>
              </w:rPr>
            </w:pPr>
            <w:r>
              <w:rPr>
                <w:rFonts w:hint="eastAsia" w:ascii="仿宋" w:hAnsi="仿宋" w:eastAsia="仿宋" w:cs="仿宋"/>
                <w:kern w:val="0"/>
                <w:sz w:val="22"/>
                <w:szCs w:val="22"/>
              </w:rPr>
              <w:t>能够扎实地掌握音乐中的和声材料、和声手法以及和声功能逻辑，掌握主调音乐写作与分析的基本方法。</w:t>
            </w:r>
          </w:p>
        </w:tc>
        <w:tc>
          <w:tcPr>
            <w:tcW w:w="744" w:type="dxa"/>
            <w:vAlign w:val="top"/>
          </w:tcPr>
          <w:p w14:paraId="14A374FB">
            <w:pPr>
              <w:tabs>
                <w:tab w:val="left" w:pos="720"/>
              </w:tabs>
              <w:spacing w:line="240" w:lineRule="atLeast"/>
              <w:jc w:val="left"/>
              <w:rPr>
                <w:rFonts w:hint="eastAsia" w:ascii="仿宋" w:hAnsi="仿宋" w:eastAsia="仿宋" w:cs="仿宋"/>
                <w:kern w:val="0"/>
                <w:sz w:val="22"/>
                <w:szCs w:val="22"/>
                <w:lang w:val="en-US" w:eastAsia="zh-CN"/>
              </w:rPr>
            </w:pPr>
            <w:r>
              <w:rPr>
                <w:rFonts w:hint="eastAsia" w:ascii="仿宋" w:hAnsi="仿宋" w:eastAsia="仿宋" w:cs="仿宋"/>
                <w:kern w:val="0"/>
                <w:sz w:val="22"/>
                <w:szCs w:val="22"/>
              </w:rPr>
              <w:t>能够掌握音乐中的和声材料、和声手法以及和声功能逻辑，掌握主调音乐写作与分析的基本方法。</w:t>
            </w:r>
          </w:p>
        </w:tc>
        <w:tc>
          <w:tcPr>
            <w:tcW w:w="744" w:type="dxa"/>
            <w:vAlign w:val="top"/>
          </w:tcPr>
          <w:p w14:paraId="28FFEFDD">
            <w:pPr>
              <w:tabs>
                <w:tab w:val="left" w:pos="720"/>
              </w:tabs>
              <w:spacing w:line="240" w:lineRule="atLeast"/>
              <w:jc w:val="left"/>
              <w:rPr>
                <w:rFonts w:hint="eastAsia" w:ascii="仿宋" w:hAnsi="仿宋" w:eastAsia="仿宋" w:cs="仿宋"/>
                <w:kern w:val="0"/>
                <w:sz w:val="22"/>
                <w:szCs w:val="22"/>
                <w:lang w:val="en-US" w:eastAsia="zh-CN"/>
              </w:rPr>
            </w:pPr>
            <w:r>
              <w:rPr>
                <w:rFonts w:hint="eastAsia" w:ascii="仿宋" w:hAnsi="仿宋" w:eastAsia="仿宋" w:cs="仿宋"/>
                <w:kern w:val="0"/>
                <w:sz w:val="22"/>
                <w:szCs w:val="22"/>
              </w:rPr>
              <w:t>能够</w:t>
            </w:r>
            <w:r>
              <w:rPr>
                <w:rFonts w:hint="eastAsia" w:ascii="仿宋" w:hAnsi="仿宋" w:eastAsia="仿宋" w:cs="仿宋"/>
                <w:kern w:val="0"/>
                <w:sz w:val="22"/>
                <w:szCs w:val="22"/>
                <w:lang w:val="en-US" w:eastAsia="en-US"/>
              </w:rPr>
              <w:t>掌握</w:t>
            </w:r>
            <w:r>
              <w:rPr>
                <w:rFonts w:hint="eastAsia" w:ascii="仿宋" w:hAnsi="仿宋" w:eastAsia="仿宋" w:cs="仿宋"/>
                <w:kern w:val="0"/>
                <w:sz w:val="22"/>
                <w:szCs w:val="22"/>
              </w:rPr>
              <w:t>音乐中的和声材料、和声手法以及和声功能逻辑，</w:t>
            </w:r>
            <w:r>
              <w:rPr>
                <w:rFonts w:hint="eastAsia" w:ascii="仿宋" w:hAnsi="仿宋" w:eastAsia="仿宋" w:cs="仿宋"/>
                <w:kern w:val="0"/>
                <w:sz w:val="22"/>
                <w:szCs w:val="22"/>
                <w:lang w:val="en-US" w:eastAsia="en-US"/>
              </w:rPr>
              <w:t>基本</w:t>
            </w:r>
            <w:r>
              <w:rPr>
                <w:rFonts w:hint="eastAsia" w:ascii="仿宋" w:hAnsi="仿宋" w:eastAsia="仿宋" w:cs="仿宋"/>
                <w:kern w:val="0"/>
                <w:sz w:val="22"/>
                <w:szCs w:val="22"/>
              </w:rPr>
              <w:t>掌握主调音乐写作与分析的基本方法。</w:t>
            </w:r>
          </w:p>
        </w:tc>
        <w:tc>
          <w:tcPr>
            <w:tcW w:w="744" w:type="dxa"/>
            <w:vAlign w:val="top"/>
          </w:tcPr>
          <w:p w14:paraId="01EA8001">
            <w:pPr>
              <w:tabs>
                <w:tab w:val="left" w:pos="720"/>
              </w:tabs>
              <w:spacing w:line="240" w:lineRule="atLeast"/>
              <w:jc w:val="left"/>
              <w:rPr>
                <w:rFonts w:hint="eastAsia" w:ascii="仿宋" w:hAnsi="仿宋" w:eastAsia="仿宋" w:cs="仿宋"/>
                <w:kern w:val="0"/>
                <w:sz w:val="22"/>
                <w:szCs w:val="22"/>
                <w:lang w:val="en-US" w:eastAsia="zh-CN"/>
              </w:rPr>
            </w:pPr>
            <w:r>
              <w:rPr>
                <w:rFonts w:hint="eastAsia" w:ascii="仿宋" w:hAnsi="仿宋" w:eastAsia="仿宋" w:cs="仿宋"/>
                <w:kern w:val="0"/>
                <w:sz w:val="22"/>
                <w:szCs w:val="22"/>
              </w:rPr>
              <w:t>基本了解音乐中的和声材料、和声手法以及和声功能逻辑，</w:t>
            </w:r>
            <w:r>
              <w:rPr>
                <w:rFonts w:hint="eastAsia" w:ascii="仿宋" w:hAnsi="仿宋" w:eastAsia="仿宋" w:cs="仿宋"/>
                <w:kern w:val="0"/>
                <w:sz w:val="22"/>
                <w:szCs w:val="22"/>
                <w:lang w:val="en-US" w:eastAsia="en-US"/>
              </w:rPr>
              <w:t>对</w:t>
            </w:r>
            <w:r>
              <w:rPr>
                <w:rFonts w:hint="eastAsia" w:ascii="仿宋" w:hAnsi="仿宋" w:eastAsia="仿宋" w:cs="仿宋"/>
                <w:kern w:val="0"/>
                <w:sz w:val="22"/>
                <w:szCs w:val="22"/>
              </w:rPr>
              <w:t>主调音乐写作与分析的基本方法有一定的了解。</w:t>
            </w:r>
          </w:p>
        </w:tc>
        <w:tc>
          <w:tcPr>
            <w:tcW w:w="745" w:type="dxa"/>
            <w:vAlign w:val="top"/>
          </w:tcPr>
          <w:p w14:paraId="1538FD3F">
            <w:pPr>
              <w:tabs>
                <w:tab w:val="left" w:pos="720"/>
              </w:tabs>
              <w:spacing w:line="240" w:lineRule="atLeast"/>
              <w:jc w:val="left"/>
              <w:rPr>
                <w:rFonts w:hint="eastAsia" w:ascii="仿宋" w:hAnsi="仿宋" w:eastAsia="仿宋" w:cs="仿宋"/>
                <w:kern w:val="0"/>
                <w:sz w:val="22"/>
                <w:szCs w:val="22"/>
                <w:lang w:val="en-US" w:eastAsia="zh-CN"/>
              </w:rPr>
            </w:pPr>
            <w:r>
              <w:rPr>
                <w:rFonts w:hint="eastAsia" w:ascii="仿宋" w:hAnsi="仿宋" w:eastAsia="仿宋" w:cs="仿宋"/>
                <w:kern w:val="0"/>
                <w:sz w:val="22"/>
                <w:szCs w:val="22"/>
              </w:rPr>
              <w:t>不能了解音乐中的和声材料、和声手法以及和声功能逻辑，</w:t>
            </w:r>
            <w:r>
              <w:rPr>
                <w:rFonts w:hint="eastAsia" w:ascii="仿宋" w:hAnsi="仿宋" w:eastAsia="仿宋" w:cs="仿宋"/>
                <w:kern w:val="0"/>
                <w:sz w:val="22"/>
                <w:szCs w:val="22"/>
                <w:lang w:val="en-US" w:eastAsia="en-US"/>
              </w:rPr>
              <w:t>不能</w:t>
            </w:r>
            <w:r>
              <w:rPr>
                <w:rFonts w:hint="eastAsia" w:ascii="仿宋" w:hAnsi="仿宋" w:eastAsia="仿宋" w:cs="仿宋"/>
                <w:kern w:val="0"/>
                <w:sz w:val="22"/>
                <w:szCs w:val="22"/>
              </w:rPr>
              <w:t>掌握主调音乐写作与分析的基本方法。</w:t>
            </w:r>
          </w:p>
        </w:tc>
      </w:tr>
      <w:tr w14:paraId="4D3F473F">
        <w:trPr>
          <w:trHeight w:val="2131" w:hRule="atLeast"/>
          <w:jc w:val="center"/>
        </w:trPr>
        <w:tc>
          <w:tcPr>
            <w:tcW w:w="496" w:type="dxa"/>
            <w:vMerge w:val="continue"/>
            <w:vAlign w:val="center"/>
          </w:tcPr>
          <w:p w14:paraId="7AE6A1CD">
            <w:pPr>
              <w:spacing w:line="240" w:lineRule="atLeast"/>
              <w:jc w:val="center"/>
              <w:rPr>
                <w:rFonts w:ascii="宋体" w:hAnsi="宋体" w:cs="宋体"/>
                <w:sz w:val="24"/>
                <w:szCs w:val="24"/>
              </w:rPr>
            </w:pPr>
          </w:p>
        </w:tc>
        <w:tc>
          <w:tcPr>
            <w:tcW w:w="864" w:type="dxa"/>
            <w:vAlign w:val="top"/>
          </w:tcPr>
          <w:p w14:paraId="3EDF3544">
            <w:pPr>
              <w:tabs>
                <w:tab w:val="left" w:pos="720"/>
              </w:tabs>
              <w:spacing w:line="240" w:lineRule="atLeast"/>
              <w:jc w:val="left"/>
              <w:rPr>
                <w:rFonts w:hint="eastAsia" w:ascii="仿宋" w:hAnsi="仿宋" w:eastAsia="仿宋" w:cs="仿宋"/>
                <w:kern w:val="0"/>
                <w:sz w:val="22"/>
                <w:szCs w:val="22"/>
                <w:lang w:val="en-US" w:eastAsia="zh-CN"/>
              </w:rPr>
            </w:pPr>
            <w:r>
              <w:rPr>
                <w:rFonts w:hint="eastAsia" w:ascii="仿宋" w:hAnsi="仿宋" w:eastAsia="仿宋" w:cs="仿宋"/>
                <w:kern w:val="0"/>
                <w:sz w:val="22"/>
                <w:szCs w:val="22"/>
              </w:rPr>
              <w:t>课程目标2：结合</w:t>
            </w:r>
            <w:r>
              <w:rPr>
                <w:rFonts w:hint="eastAsia" w:ascii="仿宋" w:hAnsi="仿宋" w:eastAsia="仿宋" w:cs="仿宋"/>
                <w:kern w:val="0"/>
                <w:sz w:val="22"/>
                <w:szCs w:val="22"/>
                <w:lang w:val="en-US" w:eastAsia="en-US"/>
              </w:rPr>
              <w:t>中学</w:t>
            </w:r>
            <w:r>
              <w:rPr>
                <w:rFonts w:hint="eastAsia" w:ascii="仿宋" w:hAnsi="仿宋" w:eastAsia="仿宋" w:cs="仿宋"/>
                <w:kern w:val="0"/>
                <w:sz w:val="22"/>
                <w:szCs w:val="22"/>
              </w:rPr>
              <w:t>音乐课堂教学与开展课外音乐活动的实际情况与需求，</w:t>
            </w:r>
            <w:r>
              <w:rPr>
                <w:rFonts w:hint="eastAsia" w:ascii="仿宋" w:hAnsi="仿宋" w:eastAsia="仿宋" w:cs="仿宋"/>
                <w:kern w:val="0"/>
                <w:sz w:val="22"/>
                <w:szCs w:val="22"/>
                <w:lang w:val="en-US" w:eastAsia="en-US"/>
              </w:rPr>
              <w:t>初步具备对</w:t>
            </w:r>
            <w:r>
              <w:rPr>
                <w:rFonts w:hint="eastAsia" w:ascii="仿宋" w:hAnsi="仿宋" w:eastAsia="仿宋" w:cs="仿宋"/>
                <w:kern w:val="0"/>
                <w:sz w:val="22"/>
                <w:szCs w:val="22"/>
              </w:rPr>
              <w:t>音乐作品</w:t>
            </w:r>
            <w:r>
              <w:rPr>
                <w:rFonts w:hint="eastAsia" w:ascii="仿宋" w:hAnsi="仿宋" w:eastAsia="仿宋" w:cs="仿宋"/>
                <w:kern w:val="0"/>
                <w:sz w:val="22"/>
                <w:szCs w:val="22"/>
                <w:lang w:val="en-US" w:eastAsia="en-US"/>
              </w:rPr>
              <w:t>进行</w:t>
            </w:r>
            <w:r>
              <w:rPr>
                <w:rFonts w:hint="eastAsia" w:ascii="仿宋" w:hAnsi="仿宋" w:eastAsia="仿宋" w:cs="仿宋"/>
                <w:kern w:val="0"/>
                <w:sz w:val="22"/>
                <w:szCs w:val="22"/>
              </w:rPr>
              <w:t>和声布局设计，</w:t>
            </w:r>
            <w:r>
              <w:rPr>
                <w:rFonts w:hint="eastAsia" w:ascii="仿宋" w:hAnsi="仿宋" w:eastAsia="仿宋" w:cs="仿宋"/>
                <w:kern w:val="0"/>
                <w:sz w:val="22"/>
                <w:szCs w:val="22"/>
                <w:lang w:val="en-US" w:eastAsia="en-US"/>
              </w:rPr>
              <w:t>以及对合唱和小型器乐曲的编配的基本能力</w:t>
            </w:r>
            <w:r>
              <w:rPr>
                <w:rFonts w:hint="eastAsia" w:ascii="仿宋" w:hAnsi="仿宋" w:eastAsia="仿宋" w:cs="仿宋"/>
                <w:kern w:val="0"/>
                <w:sz w:val="22"/>
                <w:szCs w:val="22"/>
                <w:lang w:eastAsia="en-US"/>
              </w:rPr>
              <w:t>。</w:t>
            </w:r>
          </w:p>
        </w:tc>
        <w:tc>
          <w:tcPr>
            <w:tcW w:w="660" w:type="dxa"/>
            <w:vAlign w:val="top"/>
          </w:tcPr>
          <w:p w14:paraId="10B47C02">
            <w:pPr>
              <w:tabs>
                <w:tab w:val="left" w:pos="720"/>
              </w:tabs>
              <w:spacing w:line="240" w:lineRule="atLeast"/>
              <w:jc w:val="left"/>
              <w:rPr>
                <w:rFonts w:ascii="仿宋" w:hAnsi="仿宋" w:eastAsia="仿宋" w:cs="仿宋"/>
                <w:kern w:val="0"/>
                <w:sz w:val="22"/>
                <w:szCs w:val="22"/>
                <w:lang w:val="en-US" w:eastAsia="en-US"/>
              </w:rPr>
            </w:pPr>
            <w:r>
              <w:rPr>
                <w:rFonts w:hint="eastAsia" w:ascii="仿宋" w:hAnsi="仿宋" w:eastAsia="仿宋" w:cs="仿宋"/>
                <w:kern w:val="0"/>
                <w:sz w:val="22"/>
                <w:szCs w:val="22"/>
              </w:rPr>
              <w:t>能够</w:t>
            </w:r>
            <w:r>
              <w:rPr>
                <w:rFonts w:hint="eastAsia" w:ascii="仿宋" w:hAnsi="仿宋" w:eastAsia="仿宋" w:cs="仿宋"/>
                <w:kern w:val="0"/>
                <w:sz w:val="22"/>
                <w:szCs w:val="22"/>
                <w:lang w:eastAsia="en-US"/>
              </w:rPr>
              <w:t>熟练运用和声学知识编写歌曲伴奏、小型合唱曲，</w:t>
            </w:r>
            <w:r>
              <w:rPr>
                <w:rFonts w:hint="eastAsia" w:ascii="仿宋" w:hAnsi="仿宋" w:eastAsia="仿宋" w:cs="仿宋"/>
                <w:kern w:val="0"/>
                <w:sz w:val="22"/>
                <w:szCs w:val="22"/>
              </w:rPr>
              <w:t>能够很好的将理论知识转化为</w:t>
            </w:r>
            <w:r>
              <w:rPr>
                <w:rFonts w:hint="eastAsia" w:ascii="仿宋" w:hAnsi="仿宋" w:eastAsia="仿宋" w:cs="仿宋"/>
                <w:kern w:val="0"/>
                <w:sz w:val="22"/>
                <w:szCs w:val="22"/>
                <w:lang w:eastAsia="zh-CN"/>
              </w:rPr>
              <w:t>中学</w:t>
            </w:r>
            <w:r>
              <w:rPr>
                <w:rFonts w:hint="eastAsia" w:ascii="仿宋" w:hAnsi="仿宋" w:eastAsia="仿宋" w:cs="仿宋"/>
                <w:kern w:val="0"/>
                <w:sz w:val="22"/>
                <w:szCs w:val="22"/>
              </w:rPr>
              <w:t>音乐教学。</w:t>
            </w:r>
          </w:p>
        </w:tc>
        <w:tc>
          <w:tcPr>
            <w:tcW w:w="744" w:type="dxa"/>
            <w:vAlign w:val="top"/>
          </w:tcPr>
          <w:p w14:paraId="60CF27CF">
            <w:pPr>
              <w:tabs>
                <w:tab w:val="left" w:pos="720"/>
              </w:tabs>
              <w:spacing w:line="240" w:lineRule="atLeast"/>
              <w:jc w:val="left"/>
              <w:rPr>
                <w:rFonts w:hint="eastAsia" w:ascii="仿宋" w:hAnsi="仿宋" w:eastAsia="仿宋" w:cs="仿宋"/>
                <w:kern w:val="0"/>
                <w:sz w:val="22"/>
                <w:szCs w:val="22"/>
                <w:lang w:val="en-US" w:eastAsia="zh-CN"/>
              </w:rPr>
            </w:pPr>
            <w:r>
              <w:rPr>
                <w:rFonts w:hint="eastAsia" w:ascii="仿宋" w:hAnsi="仿宋" w:eastAsia="仿宋" w:cs="仿宋"/>
                <w:kern w:val="0"/>
                <w:sz w:val="22"/>
                <w:szCs w:val="22"/>
              </w:rPr>
              <w:t>能够运用和声学知识编写歌曲伴奏、小型合唱曲，</w:t>
            </w:r>
            <w:r>
              <w:rPr>
                <w:rFonts w:hint="eastAsia" w:ascii="仿宋" w:hAnsi="仿宋" w:eastAsia="仿宋" w:cs="仿宋"/>
                <w:kern w:val="0"/>
                <w:sz w:val="22"/>
                <w:szCs w:val="22"/>
                <w:lang w:eastAsia="en-US"/>
              </w:rPr>
              <w:t>且较好</w:t>
            </w:r>
            <w:r>
              <w:rPr>
                <w:rFonts w:hint="eastAsia" w:ascii="仿宋" w:hAnsi="仿宋" w:eastAsia="仿宋" w:cs="仿宋"/>
                <w:kern w:val="0"/>
                <w:sz w:val="22"/>
                <w:szCs w:val="22"/>
              </w:rPr>
              <w:t>很好</w:t>
            </w:r>
            <w:r>
              <w:rPr>
                <w:rFonts w:hint="eastAsia" w:ascii="仿宋" w:hAnsi="仿宋" w:eastAsia="仿宋" w:cs="仿宋"/>
                <w:kern w:val="0"/>
                <w:sz w:val="22"/>
                <w:szCs w:val="22"/>
                <w:lang w:eastAsia="en-US"/>
              </w:rPr>
              <w:t>地</w:t>
            </w:r>
            <w:r>
              <w:rPr>
                <w:rFonts w:hint="eastAsia" w:ascii="仿宋" w:hAnsi="仿宋" w:eastAsia="仿宋" w:cs="仿宋"/>
                <w:kern w:val="0"/>
                <w:sz w:val="22"/>
                <w:szCs w:val="22"/>
              </w:rPr>
              <w:t>将理论知识转化为</w:t>
            </w:r>
            <w:r>
              <w:rPr>
                <w:rFonts w:hint="eastAsia" w:ascii="仿宋" w:hAnsi="仿宋" w:eastAsia="仿宋" w:cs="仿宋"/>
                <w:kern w:val="0"/>
                <w:sz w:val="22"/>
                <w:szCs w:val="22"/>
                <w:lang w:eastAsia="zh-CN"/>
              </w:rPr>
              <w:t>中学</w:t>
            </w:r>
            <w:r>
              <w:rPr>
                <w:rFonts w:hint="eastAsia" w:ascii="仿宋" w:hAnsi="仿宋" w:eastAsia="仿宋" w:cs="仿宋"/>
                <w:kern w:val="0"/>
                <w:sz w:val="22"/>
                <w:szCs w:val="22"/>
              </w:rPr>
              <w:t>音乐教学</w:t>
            </w:r>
            <w:r>
              <w:rPr>
                <w:rFonts w:hint="eastAsia" w:ascii="仿宋" w:hAnsi="仿宋" w:eastAsia="仿宋" w:cs="仿宋"/>
                <w:kern w:val="0"/>
                <w:sz w:val="22"/>
                <w:szCs w:val="22"/>
                <w:lang w:eastAsia="en-US"/>
              </w:rPr>
              <w:t>。</w:t>
            </w:r>
          </w:p>
        </w:tc>
        <w:tc>
          <w:tcPr>
            <w:tcW w:w="744" w:type="dxa"/>
            <w:vAlign w:val="top"/>
          </w:tcPr>
          <w:p w14:paraId="7D0202A5">
            <w:pPr>
              <w:tabs>
                <w:tab w:val="left" w:pos="720"/>
              </w:tabs>
              <w:spacing w:line="240" w:lineRule="atLeast"/>
              <w:jc w:val="left"/>
              <w:rPr>
                <w:rFonts w:hint="eastAsia" w:ascii="仿宋" w:hAnsi="仿宋" w:eastAsia="仿宋" w:cs="仿宋"/>
                <w:kern w:val="0"/>
                <w:sz w:val="22"/>
                <w:szCs w:val="22"/>
                <w:lang w:val="en-US" w:eastAsia="zh-CN"/>
              </w:rPr>
            </w:pPr>
            <w:r>
              <w:rPr>
                <w:rFonts w:hint="eastAsia" w:ascii="仿宋" w:hAnsi="仿宋" w:eastAsia="仿宋" w:cs="仿宋"/>
                <w:kern w:val="0"/>
                <w:sz w:val="22"/>
                <w:szCs w:val="22"/>
              </w:rPr>
              <w:t>对运用和声学知识编写歌曲伴奏、小型合唱曲</w:t>
            </w:r>
            <w:r>
              <w:rPr>
                <w:rFonts w:hint="eastAsia" w:ascii="仿宋" w:hAnsi="仿宋" w:eastAsia="仿宋" w:cs="仿宋"/>
                <w:kern w:val="0"/>
                <w:sz w:val="22"/>
                <w:szCs w:val="22"/>
                <w:lang w:eastAsia="en-US"/>
              </w:rPr>
              <w:t>的方法</w:t>
            </w:r>
            <w:r>
              <w:rPr>
                <w:rFonts w:hint="eastAsia" w:ascii="仿宋" w:hAnsi="仿宋" w:eastAsia="仿宋" w:cs="仿宋"/>
                <w:kern w:val="0"/>
                <w:sz w:val="22"/>
                <w:szCs w:val="22"/>
              </w:rPr>
              <w:t>有一定的了解，并一定程度上能够将理论知识转化为</w:t>
            </w:r>
            <w:r>
              <w:rPr>
                <w:rFonts w:hint="eastAsia" w:ascii="仿宋" w:hAnsi="仿宋" w:eastAsia="仿宋" w:cs="仿宋"/>
                <w:kern w:val="0"/>
                <w:sz w:val="22"/>
                <w:szCs w:val="22"/>
                <w:lang w:eastAsia="zh-CN"/>
              </w:rPr>
              <w:t>中学</w:t>
            </w:r>
            <w:r>
              <w:rPr>
                <w:rFonts w:hint="eastAsia" w:ascii="仿宋" w:hAnsi="仿宋" w:eastAsia="仿宋" w:cs="仿宋"/>
                <w:kern w:val="0"/>
                <w:sz w:val="22"/>
                <w:szCs w:val="22"/>
              </w:rPr>
              <w:t>音乐教学</w:t>
            </w:r>
            <w:r>
              <w:rPr>
                <w:rFonts w:hint="eastAsia" w:ascii="仿宋" w:hAnsi="仿宋" w:eastAsia="仿宋" w:cs="仿宋"/>
                <w:kern w:val="0"/>
                <w:sz w:val="22"/>
                <w:szCs w:val="22"/>
                <w:lang w:eastAsia="en-US"/>
              </w:rPr>
              <w:t>。</w:t>
            </w:r>
          </w:p>
        </w:tc>
        <w:tc>
          <w:tcPr>
            <w:tcW w:w="744" w:type="dxa"/>
            <w:vAlign w:val="top"/>
          </w:tcPr>
          <w:p w14:paraId="258209BD">
            <w:pPr>
              <w:tabs>
                <w:tab w:val="left" w:pos="720"/>
              </w:tabs>
              <w:spacing w:line="240" w:lineRule="atLeast"/>
              <w:jc w:val="left"/>
              <w:rPr>
                <w:rFonts w:hint="eastAsia" w:ascii="仿宋" w:hAnsi="仿宋" w:eastAsia="仿宋" w:cs="仿宋"/>
                <w:kern w:val="0"/>
                <w:sz w:val="22"/>
                <w:szCs w:val="22"/>
                <w:lang w:val="en-US" w:eastAsia="zh-CN"/>
              </w:rPr>
            </w:pPr>
            <w:r>
              <w:rPr>
                <w:rFonts w:hint="eastAsia" w:ascii="仿宋" w:hAnsi="仿宋" w:eastAsia="仿宋" w:cs="仿宋"/>
                <w:kern w:val="0"/>
                <w:sz w:val="22"/>
                <w:szCs w:val="22"/>
              </w:rPr>
              <w:t>基本能够运用和声学知识编写歌曲伴奏、小型合唱曲，并一定程度上能够将理论知识转化为</w:t>
            </w:r>
            <w:r>
              <w:rPr>
                <w:rFonts w:hint="eastAsia" w:ascii="仿宋" w:hAnsi="仿宋" w:eastAsia="仿宋" w:cs="仿宋"/>
                <w:kern w:val="0"/>
                <w:sz w:val="22"/>
                <w:szCs w:val="22"/>
                <w:lang w:eastAsia="zh-CN"/>
              </w:rPr>
              <w:t>中学</w:t>
            </w:r>
            <w:r>
              <w:rPr>
                <w:rFonts w:hint="eastAsia" w:ascii="仿宋" w:hAnsi="仿宋" w:eastAsia="仿宋" w:cs="仿宋"/>
                <w:kern w:val="0"/>
                <w:sz w:val="22"/>
                <w:szCs w:val="22"/>
              </w:rPr>
              <w:t>音乐教学</w:t>
            </w:r>
            <w:r>
              <w:rPr>
                <w:rFonts w:hint="eastAsia" w:ascii="仿宋" w:hAnsi="仿宋" w:eastAsia="仿宋" w:cs="仿宋"/>
                <w:kern w:val="0"/>
                <w:sz w:val="22"/>
                <w:szCs w:val="22"/>
                <w:lang w:eastAsia="en-US"/>
              </w:rPr>
              <w:t>。</w:t>
            </w:r>
          </w:p>
        </w:tc>
        <w:tc>
          <w:tcPr>
            <w:tcW w:w="745" w:type="dxa"/>
            <w:vAlign w:val="top"/>
          </w:tcPr>
          <w:p w14:paraId="777040E8">
            <w:pPr>
              <w:tabs>
                <w:tab w:val="left" w:pos="720"/>
              </w:tabs>
              <w:spacing w:line="240" w:lineRule="atLeast"/>
              <w:jc w:val="left"/>
              <w:rPr>
                <w:rFonts w:hint="eastAsia" w:ascii="仿宋" w:hAnsi="仿宋" w:eastAsia="仿宋" w:cs="仿宋"/>
                <w:kern w:val="0"/>
                <w:sz w:val="22"/>
                <w:szCs w:val="22"/>
                <w:lang w:val="en-US" w:eastAsia="zh-CN"/>
              </w:rPr>
            </w:pPr>
            <w:r>
              <w:rPr>
                <w:rFonts w:hint="eastAsia" w:ascii="仿宋" w:hAnsi="仿宋" w:eastAsia="仿宋" w:cs="仿宋"/>
                <w:kern w:val="0"/>
                <w:sz w:val="22"/>
                <w:szCs w:val="22"/>
              </w:rPr>
              <w:t>不能运用和声学知识编写歌曲伴奏、小型合唱曲，并且不能够将理论知识转化为</w:t>
            </w:r>
            <w:r>
              <w:rPr>
                <w:rFonts w:hint="eastAsia" w:ascii="仿宋" w:hAnsi="仿宋" w:eastAsia="仿宋" w:cs="仿宋"/>
                <w:kern w:val="0"/>
                <w:sz w:val="22"/>
                <w:szCs w:val="22"/>
                <w:lang w:eastAsia="zh-CN"/>
              </w:rPr>
              <w:t>中学</w:t>
            </w:r>
            <w:r>
              <w:rPr>
                <w:rFonts w:hint="eastAsia" w:ascii="仿宋" w:hAnsi="仿宋" w:eastAsia="仿宋" w:cs="仿宋"/>
                <w:kern w:val="0"/>
                <w:sz w:val="22"/>
                <w:szCs w:val="22"/>
              </w:rPr>
              <w:t>音乐教学</w:t>
            </w:r>
            <w:r>
              <w:rPr>
                <w:rFonts w:hint="eastAsia" w:ascii="仿宋" w:hAnsi="仿宋" w:eastAsia="仿宋" w:cs="仿宋"/>
                <w:kern w:val="0"/>
                <w:sz w:val="22"/>
                <w:szCs w:val="22"/>
                <w:lang w:eastAsia="en-US"/>
              </w:rPr>
              <w:t>。</w:t>
            </w:r>
          </w:p>
        </w:tc>
      </w:tr>
      <w:tr w14:paraId="49EF414D">
        <w:trPr>
          <w:trHeight w:val="245" w:hRule="atLeast"/>
          <w:jc w:val="center"/>
        </w:trPr>
        <w:tc>
          <w:tcPr>
            <w:tcW w:w="496" w:type="dxa"/>
            <w:vMerge w:val="continue"/>
            <w:vAlign w:val="center"/>
          </w:tcPr>
          <w:p w14:paraId="5194D4D7">
            <w:pPr>
              <w:spacing w:line="240" w:lineRule="atLeast"/>
              <w:jc w:val="center"/>
              <w:rPr>
                <w:rFonts w:ascii="宋体" w:hAnsi="宋体" w:cs="宋体"/>
                <w:sz w:val="24"/>
                <w:szCs w:val="24"/>
              </w:rPr>
            </w:pPr>
          </w:p>
        </w:tc>
        <w:tc>
          <w:tcPr>
            <w:tcW w:w="864" w:type="dxa"/>
            <w:vAlign w:val="top"/>
          </w:tcPr>
          <w:p w14:paraId="51021065">
            <w:pPr>
              <w:tabs>
                <w:tab w:val="left" w:pos="720"/>
              </w:tabs>
              <w:spacing w:line="240" w:lineRule="atLeast"/>
              <w:jc w:val="left"/>
              <w:rPr>
                <w:rFonts w:hint="eastAsia" w:ascii="仿宋" w:hAnsi="仿宋" w:eastAsia="仿宋" w:cs="仿宋"/>
                <w:kern w:val="0"/>
                <w:sz w:val="22"/>
                <w:szCs w:val="22"/>
              </w:rPr>
            </w:pPr>
            <w:r>
              <w:rPr>
                <w:rFonts w:hint="eastAsia" w:ascii="仿宋" w:hAnsi="仿宋" w:eastAsia="仿宋" w:cs="仿宋"/>
                <w:kern w:val="0"/>
                <w:sz w:val="22"/>
                <w:szCs w:val="22"/>
              </w:rPr>
              <w:t>课程目标3：通过学习多声部音乐，并结合中国优秀音乐作品，培养良好的审美情趣，初步掌握多声音乐审美中的批判性思维，初步具备多元化的音乐价值观。</w:t>
            </w:r>
          </w:p>
        </w:tc>
        <w:tc>
          <w:tcPr>
            <w:tcW w:w="660" w:type="dxa"/>
            <w:vAlign w:val="top"/>
          </w:tcPr>
          <w:p w14:paraId="56105668">
            <w:pPr>
              <w:widowControl/>
              <w:jc w:val="left"/>
              <w:rPr>
                <w:rFonts w:hint="eastAsia" w:ascii="仿宋" w:hAnsi="仿宋" w:eastAsia="仿宋" w:cs="仿宋"/>
                <w:kern w:val="0"/>
                <w:sz w:val="22"/>
                <w:szCs w:val="22"/>
                <w:lang w:val="en-US" w:eastAsia="en-US" w:bidi="ar-SA"/>
              </w:rPr>
            </w:pPr>
            <w:r>
              <w:rPr>
                <w:rFonts w:hint="eastAsia" w:ascii="仿宋" w:hAnsi="仿宋" w:eastAsia="仿宋" w:cs="仿宋"/>
                <w:kern w:val="0"/>
                <w:sz w:val="22"/>
                <w:szCs w:val="22"/>
                <w:lang w:val="en-US" w:eastAsia="en-US"/>
              </w:rPr>
              <w:t>能够灵活地将和声学习中培养的</w:t>
            </w:r>
            <w:r>
              <w:rPr>
                <w:rFonts w:hint="eastAsia" w:ascii="仿宋" w:hAnsi="仿宋" w:eastAsia="仿宋" w:cs="仿宋"/>
                <w:kern w:val="0"/>
                <w:sz w:val="22"/>
                <w:szCs w:val="22"/>
              </w:rPr>
              <w:t>多声思维</w:t>
            </w:r>
            <w:r>
              <w:rPr>
                <w:rFonts w:hint="eastAsia" w:ascii="仿宋" w:hAnsi="仿宋" w:eastAsia="仿宋" w:cs="仿宋"/>
                <w:kern w:val="0"/>
                <w:sz w:val="22"/>
                <w:szCs w:val="22"/>
                <w:lang w:val="en-US" w:eastAsia="en-US"/>
              </w:rPr>
              <w:t>迁移到专业实践中</w:t>
            </w:r>
            <w:r>
              <w:rPr>
                <w:rFonts w:hint="eastAsia" w:ascii="仿宋" w:hAnsi="仿宋" w:eastAsia="仿宋" w:cs="仿宋"/>
                <w:kern w:val="0"/>
                <w:sz w:val="22"/>
                <w:szCs w:val="22"/>
                <w:lang w:eastAsia="en-US"/>
              </w:rPr>
              <w:t>，</w:t>
            </w:r>
            <w:r>
              <w:rPr>
                <w:rFonts w:hint="eastAsia" w:ascii="仿宋" w:hAnsi="仿宋" w:eastAsia="仿宋" w:cs="仿宋"/>
                <w:kern w:val="0"/>
                <w:sz w:val="22"/>
                <w:szCs w:val="22"/>
                <w:lang w:val="en-US" w:eastAsia="en-US"/>
              </w:rPr>
              <w:t>并能够批判性地赏析中外音乐作品中的和声风格</w:t>
            </w:r>
            <w:r>
              <w:rPr>
                <w:rFonts w:hint="eastAsia" w:ascii="仿宋" w:hAnsi="仿宋" w:eastAsia="仿宋" w:cs="仿宋"/>
                <w:kern w:val="0"/>
                <w:sz w:val="22"/>
                <w:szCs w:val="22"/>
                <w:lang w:eastAsia="en-US"/>
              </w:rPr>
              <w:t>。</w:t>
            </w:r>
          </w:p>
        </w:tc>
        <w:tc>
          <w:tcPr>
            <w:tcW w:w="744" w:type="dxa"/>
            <w:vAlign w:val="top"/>
          </w:tcPr>
          <w:p w14:paraId="18B74C3B">
            <w:pPr>
              <w:widowControl/>
              <w:jc w:val="left"/>
              <w:rPr>
                <w:rFonts w:hint="eastAsia" w:ascii="仿宋" w:hAnsi="仿宋" w:eastAsia="仿宋" w:cs="仿宋"/>
                <w:kern w:val="0"/>
                <w:sz w:val="22"/>
                <w:szCs w:val="22"/>
                <w:lang w:val="en-US" w:eastAsia="zh-CN" w:bidi="ar-SA"/>
              </w:rPr>
            </w:pPr>
            <w:r>
              <w:rPr>
                <w:rFonts w:hint="eastAsia" w:ascii="仿宋" w:hAnsi="仿宋" w:eastAsia="仿宋" w:cs="仿宋"/>
                <w:kern w:val="0"/>
                <w:sz w:val="22"/>
                <w:szCs w:val="22"/>
                <w:lang w:val="en-US" w:eastAsia="en-US"/>
              </w:rPr>
              <w:t>能够将和声学习中培养的</w:t>
            </w:r>
            <w:r>
              <w:rPr>
                <w:rFonts w:hint="eastAsia" w:ascii="仿宋" w:hAnsi="仿宋" w:eastAsia="仿宋" w:cs="仿宋"/>
                <w:kern w:val="0"/>
                <w:sz w:val="22"/>
                <w:szCs w:val="22"/>
              </w:rPr>
              <w:t>多声思维</w:t>
            </w:r>
            <w:r>
              <w:rPr>
                <w:rFonts w:hint="eastAsia" w:ascii="仿宋" w:hAnsi="仿宋" w:eastAsia="仿宋" w:cs="仿宋"/>
                <w:kern w:val="0"/>
                <w:sz w:val="22"/>
                <w:szCs w:val="22"/>
                <w:lang w:val="en-US" w:eastAsia="en-US"/>
              </w:rPr>
              <w:t>迁移到专业实践中</w:t>
            </w:r>
            <w:r>
              <w:rPr>
                <w:rFonts w:hint="eastAsia" w:ascii="仿宋" w:hAnsi="仿宋" w:eastAsia="仿宋" w:cs="仿宋"/>
                <w:kern w:val="0"/>
                <w:sz w:val="22"/>
                <w:szCs w:val="22"/>
                <w:lang w:eastAsia="en-US"/>
              </w:rPr>
              <w:t>，</w:t>
            </w:r>
            <w:r>
              <w:rPr>
                <w:rFonts w:hint="eastAsia" w:ascii="仿宋" w:hAnsi="仿宋" w:eastAsia="仿宋" w:cs="仿宋"/>
                <w:kern w:val="0"/>
                <w:sz w:val="22"/>
                <w:szCs w:val="22"/>
                <w:lang w:val="en-US" w:eastAsia="en-US"/>
              </w:rPr>
              <w:t>并在赏析中外音乐作品的和声风格中具有一定的批判性思维</w:t>
            </w:r>
            <w:r>
              <w:rPr>
                <w:rFonts w:hint="eastAsia" w:ascii="仿宋" w:hAnsi="仿宋" w:eastAsia="仿宋" w:cs="仿宋"/>
                <w:kern w:val="0"/>
                <w:sz w:val="22"/>
                <w:szCs w:val="22"/>
                <w:lang w:eastAsia="en-US"/>
              </w:rPr>
              <w:t>。</w:t>
            </w:r>
          </w:p>
        </w:tc>
        <w:tc>
          <w:tcPr>
            <w:tcW w:w="744" w:type="dxa"/>
            <w:vAlign w:val="top"/>
          </w:tcPr>
          <w:p w14:paraId="15346F15">
            <w:pPr>
              <w:widowControl/>
              <w:jc w:val="left"/>
              <w:rPr>
                <w:rFonts w:hint="eastAsia" w:ascii="仿宋" w:hAnsi="仿宋" w:eastAsia="仿宋" w:cs="仿宋"/>
                <w:kern w:val="0"/>
                <w:sz w:val="22"/>
                <w:szCs w:val="22"/>
                <w:lang w:val="en-US" w:eastAsia="en-US" w:bidi="ar-SA"/>
              </w:rPr>
            </w:pPr>
            <w:r>
              <w:rPr>
                <w:rFonts w:hint="eastAsia" w:ascii="仿宋" w:hAnsi="仿宋" w:eastAsia="仿宋" w:cs="仿宋"/>
                <w:kern w:val="0"/>
                <w:sz w:val="22"/>
                <w:szCs w:val="22"/>
                <w:lang w:val="en-US" w:eastAsia="en-US"/>
              </w:rPr>
              <w:t>基本能够将和声学习中培养的</w:t>
            </w:r>
            <w:r>
              <w:rPr>
                <w:rFonts w:hint="eastAsia" w:ascii="仿宋" w:hAnsi="仿宋" w:eastAsia="仿宋" w:cs="仿宋"/>
                <w:kern w:val="0"/>
                <w:sz w:val="22"/>
                <w:szCs w:val="22"/>
              </w:rPr>
              <w:t>多声思维</w:t>
            </w:r>
            <w:r>
              <w:rPr>
                <w:rFonts w:hint="eastAsia" w:ascii="仿宋" w:hAnsi="仿宋" w:eastAsia="仿宋" w:cs="仿宋"/>
                <w:kern w:val="0"/>
                <w:sz w:val="22"/>
                <w:szCs w:val="22"/>
                <w:lang w:val="en-US" w:eastAsia="en-US"/>
              </w:rPr>
              <w:t>迁移到专业实践中</w:t>
            </w:r>
            <w:r>
              <w:rPr>
                <w:rFonts w:hint="eastAsia" w:ascii="仿宋" w:hAnsi="仿宋" w:eastAsia="仿宋" w:cs="仿宋"/>
                <w:kern w:val="0"/>
                <w:sz w:val="22"/>
                <w:szCs w:val="22"/>
                <w:lang w:eastAsia="en-US"/>
              </w:rPr>
              <w:t>，</w:t>
            </w:r>
            <w:r>
              <w:rPr>
                <w:rFonts w:hint="eastAsia" w:ascii="仿宋" w:hAnsi="仿宋" w:eastAsia="仿宋" w:cs="仿宋"/>
                <w:kern w:val="0"/>
                <w:sz w:val="22"/>
                <w:szCs w:val="22"/>
                <w:lang w:val="en-US" w:eastAsia="en-US"/>
              </w:rPr>
              <w:t>并在赏析中外音乐作品的和声风格中具有一定的批判性思维</w:t>
            </w:r>
            <w:r>
              <w:rPr>
                <w:rFonts w:hint="eastAsia" w:ascii="仿宋" w:hAnsi="仿宋" w:eastAsia="仿宋" w:cs="仿宋"/>
                <w:kern w:val="0"/>
                <w:sz w:val="22"/>
                <w:szCs w:val="22"/>
                <w:lang w:eastAsia="en-US"/>
              </w:rPr>
              <w:t>。</w:t>
            </w:r>
          </w:p>
        </w:tc>
        <w:tc>
          <w:tcPr>
            <w:tcW w:w="744" w:type="dxa"/>
            <w:vAlign w:val="top"/>
          </w:tcPr>
          <w:p w14:paraId="39C90DBC">
            <w:pPr>
              <w:widowControl/>
              <w:jc w:val="left"/>
              <w:rPr>
                <w:rFonts w:hint="eastAsia" w:ascii="仿宋" w:hAnsi="仿宋" w:eastAsia="仿宋" w:cs="仿宋"/>
                <w:kern w:val="0"/>
                <w:sz w:val="22"/>
                <w:szCs w:val="22"/>
                <w:lang w:val="en-US" w:eastAsia="zh-CN" w:bidi="ar-SA"/>
              </w:rPr>
            </w:pPr>
            <w:r>
              <w:rPr>
                <w:rFonts w:hint="eastAsia" w:ascii="仿宋" w:hAnsi="仿宋" w:eastAsia="仿宋" w:cs="仿宋"/>
                <w:kern w:val="0"/>
                <w:sz w:val="22"/>
                <w:szCs w:val="22"/>
                <w:lang w:val="en-US" w:eastAsia="en-US"/>
              </w:rPr>
              <w:t>基本能够将和声学习中培养的</w:t>
            </w:r>
            <w:r>
              <w:rPr>
                <w:rFonts w:hint="eastAsia" w:ascii="仿宋" w:hAnsi="仿宋" w:eastAsia="仿宋" w:cs="仿宋"/>
                <w:kern w:val="0"/>
                <w:sz w:val="22"/>
                <w:szCs w:val="22"/>
              </w:rPr>
              <w:t>多声思维</w:t>
            </w:r>
            <w:r>
              <w:rPr>
                <w:rFonts w:hint="eastAsia" w:ascii="仿宋" w:hAnsi="仿宋" w:eastAsia="仿宋" w:cs="仿宋"/>
                <w:kern w:val="0"/>
                <w:sz w:val="22"/>
                <w:szCs w:val="22"/>
                <w:lang w:val="en-US" w:eastAsia="en-US"/>
              </w:rPr>
              <w:t>迁移到专业实践中</w:t>
            </w:r>
            <w:r>
              <w:rPr>
                <w:rFonts w:hint="eastAsia" w:ascii="仿宋" w:hAnsi="仿宋" w:eastAsia="仿宋" w:cs="仿宋"/>
                <w:kern w:val="0"/>
                <w:sz w:val="22"/>
                <w:szCs w:val="22"/>
                <w:lang w:eastAsia="en-US"/>
              </w:rPr>
              <w:t>，</w:t>
            </w:r>
            <w:r>
              <w:rPr>
                <w:rFonts w:hint="eastAsia" w:ascii="仿宋" w:hAnsi="仿宋" w:eastAsia="仿宋" w:cs="仿宋"/>
                <w:kern w:val="0"/>
                <w:sz w:val="22"/>
                <w:szCs w:val="22"/>
                <w:lang w:val="en-US" w:eastAsia="en-US"/>
              </w:rPr>
              <w:t>但在赏析中外音乐作品的和声风格中缺乏批判性思维</w:t>
            </w:r>
            <w:r>
              <w:rPr>
                <w:rFonts w:hint="eastAsia" w:ascii="仿宋" w:hAnsi="仿宋" w:eastAsia="仿宋" w:cs="仿宋"/>
                <w:kern w:val="0"/>
                <w:sz w:val="22"/>
                <w:szCs w:val="22"/>
                <w:lang w:eastAsia="en-US"/>
              </w:rPr>
              <w:t>。</w:t>
            </w:r>
          </w:p>
        </w:tc>
        <w:tc>
          <w:tcPr>
            <w:tcW w:w="745" w:type="dxa"/>
            <w:vAlign w:val="top"/>
          </w:tcPr>
          <w:p w14:paraId="0111FAA9">
            <w:pPr>
              <w:widowControl/>
              <w:jc w:val="left"/>
              <w:rPr>
                <w:rFonts w:hint="eastAsia" w:ascii="仿宋" w:hAnsi="仿宋" w:eastAsia="仿宋" w:cs="仿宋"/>
                <w:kern w:val="0"/>
                <w:sz w:val="22"/>
                <w:szCs w:val="22"/>
                <w:lang w:val="en-US" w:eastAsia="en-US" w:bidi="ar-SA"/>
              </w:rPr>
            </w:pPr>
            <w:r>
              <w:rPr>
                <w:rFonts w:hint="eastAsia" w:ascii="仿宋" w:hAnsi="仿宋" w:eastAsia="仿宋" w:cs="仿宋"/>
                <w:kern w:val="0"/>
                <w:sz w:val="22"/>
                <w:szCs w:val="22"/>
                <w:lang w:val="en-US" w:eastAsia="en-US"/>
              </w:rPr>
              <w:t>不能将和声学习中培养的</w:t>
            </w:r>
            <w:r>
              <w:rPr>
                <w:rFonts w:hint="eastAsia" w:ascii="仿宋" w:hAnsi="仿宋" w:eastAsia="仿宋" w:cs="仿宋"/>
                <w:kern w:val="0"/>
                <w:sz w:val="22"/>
                <w:szCs w:val="22"/>
              </w:rPr>
              <w:t>多声思维</w:t>
            </w:r>
            <w:r>
              <w:rPr>
                <w:rFonts w:hint="eastAsia" w:ascii="仿宋" w:hAnsi="仿宋" w:eastAsia="仿宋" w:cs="仿宋"/>
                <w:kern w:val="0"/>
                <w:sz w:val="22"/>
                <w:szCs w:val="22"/>
                <w:lang w:val="en-US" w:eastAsia="en-US"/>
              </w:rPr>
              <w:t>迁移到专业实践中</w:t>
            </w:r>
            <w:r>
              <w:rPr>
                <w:rFonts w:hint="eastAsia" w:ascii="仿宋" w:hAnsi="仿宋" w:eastAsia="仿宋" w:cs="仿宋"/>
                <w:kern w:val="0"/>
                <w:sz w:val="22"/>
                <w:szCs w:val="22"/>
                <w:lang w:eastAsia="en-US"/>
              </w:rPr>
              <w:t>，</w:t>
            </w:r>
            <w:r>
              <w:rPr>
                <w:rFonts w:hint="eastAsia" w:ascii="仿宋" w:hAnsi="仿宋" w:eastAsia="仿宋" w:cs="仿宋"/>
                <w:kern w:val="0"/>
                <w:sz w:val="22"/>
                <w:szCs w:val="22"/>
                <w:lang w:val="en-US" w:eastAsia="en-US"/>
              </w:rPr>
              <w:t>并在赏析中外音乐作品的和声风格中缺乏批判性思维</w:t>
            </w:r>
            <w:r>
              <w:rPr>
                <w:rFonts w:hint="eastAsia" w:ascii="仿宋" w:hAnsi="仿宋" w:eastAsia="仿宋" w:cs="仿宋"/>
                <w:kern w:val="0"/>
                <w:sz w:val="22"/>
                <w:szCs w:val="22"/>
                <w:lang w:eastAsia="en-US"/>
              </w:rPr>
              <w:t>。</w:t>
            </w:r>
          </w:p>
        </w:tc>
      </w:tr>
    </w:tbl>
    <w:p w14:paraId="11062792">
      <w:pPr>
        <w:rPr>
          <w:sz w:val="2"/>
          <w:szCs w:val="2"/>
        </w:rPr>
        <w:sectPr>
          <w:headerReference r:id="rId23" w:type="default"/>
          <w:footerReference r:id="rId24" w:type="default"/>
          <w:pgSz w:w="11906" w:h="16838"/>
          <w:pgMar w:top="1134" w:right="1417" w:bottom="1134" w:left="1417" w:header="851" w:footer="992" w:gutter="0"/>
          <w:cols w:space="720" w:num="1"/>
          <w:docGrid w:type="lines" w:linePitch="312" w:charSpace="0"/>
        </w:sectPr>
      </w:pPr>
    </w:p>
    <w:p w14:paraId="3E15B6A5">
      <w:pPr>
        <w:jc w:val="center"/>
        <w:rPr>
          <w:rFonts w:hint="eastAsia" w:eastAsia="方正小标宋简体"/>
          <w:sz w:val="44"/>
          <w:szCs w:val="44"/>
        </w:rPr>
      </w:pPr>
      <w:r>
        <w:rPr>
          <w:rFonts w:hint="eastAsia" w:eastAsia="方正小标宋简体"/>
          <w:sz w:val="44"/>
          <w:szCs w:val="44"/>
        </w:rPr>
        <w:t>三明学院音乐学（音乐教育）专业</w:t>
      </w:r>
    </w:p>
    <w:p w14:paraId="643ADA29">
      <w:pPr>
        <w:jc w:val="center"/>
        <w:rPr>
          <w:rFonts w:hint="eastAsia" w:eastAsia="方正小标宋简体"/>
          <w:sz w:val="28"/>
          <w:szCs w:val="28"/>
        </w:rPr>
      </w:pPr>
      <w:r>
        <w:rPr>
          <w:rFonts w:hint="eastAsia" w:eastAsia="方正小标宋简体"/>
          <w:sz w:val="44"/>
          <w:szCs w:val="44"/>
        </w:rPr>
        <w:t>《声乐基础》课程教学大纲</w:t>
      </w:r>
    </w:p>
    <w:p w14:paraId="6532D5FF">
      <w:pPr>
        <w:jc w:val="center"/>
        <w:rPr>
          <w:rFonts w:hint="eastAsia" w:eastAsia="方正小标宋简体"/>
          <w:sz w:val="24"/>
          <w:szCs w:val="24"/>
        </w:rPr>
      </w:pPr>
    </w:p>
    <w:tbl>
      <w:tblPr>
        <w:tblStyle w:val="22"/>
        <w:tblW w:w="9148"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28" w:type="dxa"/>
        </w:tblCellMar>
      </w:tblPr>
      <w:tblGrid>
        <w:gridCol w:w="1375"/>
        <w:gridCol w:w="1166"/>
        <w:gridCol w:w="1208"/>
        <w:gridCol w:w="1497"/>
        <w:gridCol w:w="108"/>
        <w:gridCol w:w="38"/>
        <w:gridCol w:w="845"/>
        <w:gridCol w:w="426"/>
        <w:gridCol w:w="117"/>
        <w:gridCol w:w="286"/>
        <w:gridCol w:w="731"/>
        <w:gridCol w:w="422"/>
        <w:gridCol w:w="335"/>
        <w:gridCol w:w="594"/>
      </w:tblGrid>
      <w:tr w14:paraId="3784413A">
        <w:trPr>
          <w:trHeight w:val="454" w:hRule="atLeast"/>
        </w:trPr>
        <w:tc>
          <w:tcPr>
            <w:tcW w:w="1375" w:type="dxa"/>
            <w:vAlign w:val="center"/>
          </w:tcPr>
          <w:p w14:paraId="1A6B915C">
            <w:pPr>
              <w:numPr>
                <w:ilvl w:val="0"/>
                <w:numId w:val="16"/>
              </w:numPr>
              <w:jc w:val="center"/>
              <w:rPr>
                <w:rFonts w:hint="eastAsia" w:ascii="仿宋" w:hAnsi="仿宋" w:eastAsia="仿宋" w:cs="仿宋"/>
                <w:sz w:val="24"/>
                <w:szCs w:val="24"/>
              </w:rPr>
            </w:pPr>
            <w:r>
              <w:rPr>
                <w:rFonts w:hint="eastAsia" w:ascii="仿宋" w:hAnsi="仿宋" w:eastAsia="仿宋" w:cs="仿宋"/>
                <w:sz w:val="24"/>
                <w:szCs w:val="24"/>
              </w:rPr>
              <w:t>课程名称</w:t>
            </w:r>
          </w:p>
        </w:tc>
        <w:tc>
          <w:tcPr>
            <w:tcW w:w="4862" w:type="dxa"/>
            <w:gridSpan w:val="6"/>
            <w:vAlign w:val="center"/>
          </w:tcPr>
          <w:p w14:paraId="0C3254D8">
            <w:pPr>
              <w:jc w:val="center"/>
              <w:rPr>
                <w:rFonts w:hint="eastAsia" w:ascii="仿宋" w:hAnsi="仿宋" w:eastAsia="仿宋" w:cs="仿宋"/>
                <w:sz w:val="24"/>
                <w:szCs w:val="24"/>
              </w:rPr>
            </w:pPr>
            <w:r>
              <w:rPr>
                <w:rFonts w:hint="eastAsia" w:ascii="仿宋" w:hAnsi="仿宋" w:eastAsia="仿宋" w:cs="仿宋"/>
                <w:sz w:val="24"/>
                <w:szCs w:val="24"/>
              </w:rPr>
              <w:t>《声乐基础》</w:t>
            </w:r>
          </w:p>
        </w:tc>
        <w:tc>
          <w:tcPr>
            <w:tcW w:w="543" w:type="dxa"/>
            <w:gridSpan w:val="2"/>
            <w:vAlign w:val="center"/>
          </w:tcPr>
          <w:p w14:paraId="0512BAD6">
            <w:pPr>
              <w:jc w:val="center"/>
              <w:rPr>
                <w:rFonts w:hint="eastAsia" w:ascii="仿宋" w:hAnsi="仿宋" w:eastAsia="仿宋" w:cs="仿宋"/>
                <w:sz w:val="24"/>
                <w:szCs w:val="24"/>
              </w:rPr>
            </w:pPr>
            <w:r>
              <w:rPr>
                <w:rFonts w:hint="eastAsia" w:ascii="仿宋" w:hAnsi="仿宋" w:eastAsia="仿宋" w:cs="仿宋"/>
                <w:sz w:val="24"/>
                <w:szCs w:val="24"/>
              </w:rPr>
              <w:t>课程</w:t>
            </w:r>
          </w:p>
          <w:p w14:paraId="5F92F2B5">
            <w:pPr>
              <w:jc w:val="center"/>
              <w:rPr>
                <w:rFonts w:hint="eastAsia" w:ascii="仿宋" w:hAnsi="仿宋" w:eastAsia="仿宋" w:cs="仿宋"/>
                <w:sz w:val="24"/>
                <w:szCs w:val="24"/>
              </w:rPr>
            </w:pPr>
            <w:r>
              <w:rPr>
                <w:rFonts w:hint="eastAsia" w:ascii="仿宋" w:hAnsi="仿宋" w:eastAsia="仿宋" w:cs="仿宋"/>
                <w:sz w:val="24"/>
                <w:szCs w:val="24"/>
              </w:rPr>
              <w:t>代码</w:t>
            </w:r>
          </w:p>
        </w:tc>
        <w:tc>
          <w:tcPr>
            <w:tcW w:w="2368" w:type="dxa"/>
            <w:gridSpan w:val="5"/>
            <w:vAlign w:val="center"/>
          </w:tcPr>
          <w:p w14:paraId="4A65ABFF">
            <w:pPr>
              <w:jc w:val="center"/>
              <w:rPr>
                <w:rFonts w:hint="eastAsia" w:ascii="宋体" w:hAnsi="宋体" w:cs="宋体"/>
                <w:kern w:val="0"/>
                <w:szCs w:val="21"/>
                <w:lang w:bidi="ar"/>
              </w:rPr>
            </w:pPr>
            <w:r>
              <w:rPr>
                <w:rFonts w:hint="eastAsia" w:ascii="宋体" w:hAnsi="宋体" w:cs="宋体"/>
                <w:kern w:val="0"/>
                <w:szCs w:val="21"/>
                <w:lang w:bidi="ar"/>
              </w:rPr>
              <w:t>1213302603</w:t>
            </w:r>
          </w:p>
          <w:p w14:paraId="5FF0E05A">
            <w:pPr>
              <w:jc w:val="center"/>
              <w:rPr>
                <w:rFonts w:hint="eastAsia" w:ascii="宋体" w:hAnsi="宋体" w:cs="宋体"/>
                <w:kern w:val="0"/>
                <w:szCs w:val="21"/>
                <w:lang w:bidi="ar"/>
              </w:rPr>
            </w:pPr>
            <w:r>
              <w:rPr>
                <w:rFonts w:hint="eastAsia" w:ascii="宋体" w:hAnsi="宋体" w:cs="宋体"/>
                <w:kern w:val="0"/>
                <w:szCs w:val="21"/>
                <w:lang w:bidi="ar"/>
              </w:rPr>
              <w:t>1213302604</w:t>
            </w:r>
          </w:p>
          <w:p w14:paraId="2DE0DF68">
            <w:pPr>
              <w:jc w:val="center"/>
              <w:rPr>
                <w:rFonts w:hint="eastAsia" w:ascii="宋体" w:hAnsi="宋体" w:cs="宋体"/>
                <w:kern w:val="0"/>
                <w:szCs w:val="21"/>
                <w:lang w:bidi="ar"/>
              </w:rPr>
            </w:pPr>
            <w:r>
              <w:rPr>
                <w:rFonts w:hint="eastAsia" w:ascii="宋体" w:hAnsi="宋体" w:cs="宋体"/>
                <w:kern w:val="0"/>
                <w:szCs w:val="21"/>
                <w:lang w:bidi="ar"/>
              </w:rPr>
              <w:t>1213302605</w:t>
            </w:r>
          </w:p>
          <w:p w14:paraId="7C312D0B">
            <w:pPr>
              <w:jc w:val="center"/>
              <w:rPr>
                <w:rFonts w:hint="eastAsia" w:ascii="宋体" w:hAnsi="宋体" w:cs="宋体"/>
                <w:kern w:val="0"/>
                <w:szCs w:val="21"/>
                <w:lang w:bidi="ar"/>
              </w:rPr>
            </w:pPr>
            <w:r>
              <w:rPr>
                <w:rFonts w:hint="eastAsia" w:ascii="宋体" w:hAnsi="宋体" w:cs="宋体"/>
                <w:kern w:val="0"/>
                <w:szCs w:val="21"/>
                <w:lang w:bidi="ar"/>
              </w:rPr>
              <w:t>1213302606</w:t>
            </w:r>
          </w:p>
        </w:tc>
      </w:tr>
      <w:tr w14:paraId="7E64A287">
        <w:trPr>
          <w:trHeight w:val="454" w:hRule="atLeast"/>
        </w:trPr>
        <w:tc>
          <w:tcPr>
            <w:tcW w:w="1375" w:type="dxa"/>
            <w:vAlign w:val="center"/>
          </w:tcPr>
          <w:p w14:paraId="02B9E462">
            <w:pPr>
              <w:jc w:val="center"/>
              <w:rPr>
                <w:rFonts w:hint="eastAsia" w:ascii="仿宋" w:hAnsi="仿宋" w:eastAsia="仿宋" w:cs="仿宋"/>
                <w:sz w:val="24"/>
                <w:szCs w:val="24"/>
              </w:rPr>
            </w:pPr>
            <w:r>
              <w:rPr>
                <w:rFonts w:hint="eastAsia" w:ascii="仿宋" w:hAnsi="仿宋" w:eastAsia="仿宋" w:cs="仿宋"/>
                <w:sz w:val="24"/>
                <w:szCs w:val="24"/>
              </w:rPr>
              <w:t>课程类型</w:t>
            </w:r>
          </w:p>
        </w:tc>
        <w:tc>
          <w:tcPr>
            <w:tcW w:w="7773" w:type="dxa"/>
            <w:gridSpan w:val="13"/>
            <w:vAlign w:val="center"/>
          </w:tcPr>
          <w:p w14:paraId="5F003643">
            <w:pPr>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通识必修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通识选修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专业必修 </w:t>
            </w:r>
          </w:p>
          <w:p w14:paraId="784926E6">
            <w:pPr>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专业选修</w:t>
            </w:r>
            <w:r>
              <w:rPr>
                <w:rFonts w:hint="eastAsia" w:ascii="仿宋" w:hAnsi="仿宋" w:eastAsia="仿宋" w:cs="仿宋"/>
                <w:sz w:val="24"/>
                <w:szCs w:val="24"/>
                <w:lang w:eastAsia="zh-TW"/>
              </w:rPr>
              <w:t xml:space="preserve">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教师教育必修 </w:t>
            </w:r>
            <w:r>
              <w:rPr>
                <w:rFonts w:hint="eastAsia" w:ascii="仿宋" w:hAnsi="仿宋" w:eastAsia="仿宋" w:cs="仿宋"/>
                <w:sz w:val="24"/>
                <w:szCs w:val="24"/>
              </w:rPr>
              <w:sym w:font="Wingdings" w:char="00A8"/>
            </w:r>
            <w:r>
              <w:rPr>
                <w:rFonts w:hint="eastAsia" w:ascii="仿宋" w:hAnsi="仿宋" w:eastAsia="仿宋" w:cs="仿宋"/>
                <w:sz w:val="24"/>
                <w:szCs w:val="24"/>
              </w:rPr>
              <w:t>教师教育选修</w:t>
            </w:r>
          </w:p>
        </w:tc>
      </w:tr>
      <w:tr w14:paraId="71F67628">
        <w:trPr>
          <w:trHeight w:val="406" w:hRule="atLeast"/>
        </w:trPr>
        <w:tc>
          <w:tcPr>
            <w:tcW w:w="1375" w:type="dxa"/>
            <w:vAlign w:val="center"/>
          </w:tcPr>
          <w:p w14:paraId="4BC97895">
            <w:pPr>
              <w:jc w:val="center"/>
              <w:rPr>
                <w:rFonts w:hint="eastAsia" w:ascii="仿宋" w:hAnsi="仿宋" w:eastAsia="仿宋" w:cs="仿宋"/>
                <w:sz w:val="24"/>
                <w:szCs w:val="24"/>
              </w:rPr>
            </w:pPr>
            <w:r>
              <w:rPr>
                <w:rFonts w:hint="eastAsia" w:ascii="仿宋" w:hAnsi="仿宋" w:eastAsia="仿宋" w:cs="仿宋"/>
                <w:sz w:val="24"/>
                <w:szCs w:val="24"/>
              </w:rPr>
              <w:t>开课学期</w:t>
            </w:r>
          </w:p>
        </w:tc>
        <w:tc>
          <w:tcPr>
            <w:tcW w:w="1166" w:type="dxa"/>
            <w:vAlign w:val="center"/>
          </w:tcPr>
          <w:p w14:paraId="5BECA10D">
            <w:pPr>
              <w:jc w:val="center"/>
              <w:rPr>
                <w:rFonts w:hint="eastAsia" w:ascii="仿宋" w:hAnsi="仿宋" w:eastAsia="仿宋" w:cs="仿宋"/>
                <w:sz w:val="24"/>
                <w:szCs w:val="24"/>
              </w:rPr>
            </w:pPr>
            <w:r>
              <w:rPr>
                <w:rFonts w:hint="eastAsia" w:ascii="仿宋" w:hAnsi="仿宋" w:eastAsia="仿宋" w:cs="仿宋"/>
                <w:sz w:val="24"/>
                <w:szCs w:val="24"/>
              </w:rPr>
              <w:t>1、2、3、4</w:t>
            </w:r>
          </w:p>
        </w:tc>
        <w:tc>
          <w:tcPr>
            <w:tcW w:w="1208" w:type="dxa"/>
            <w:vAlign w:val="center"/>
          </w:tcPr>
          <w:p w14:paraId="5400350F">
            <w:pPr>
              <w:jc w:val="center"/>
              <w:rPr>
                <w:rFonts w:hint="eastAsia" w:ascii="仿宋" w:hAnsi="仿宋" w:eastAsia="仿宋" w:cs="仿宋"/>
                <w:sz w:val="24"/>
                <w:szCs w:val="24"/>
              </w:rPr>
            </w:pPr>
            <w:r>
              <w:rPr>
                <w:rFonts w:hint="eastAsia" w:ascii="仿宋" w:hAnsi="仿宋" w:eastAsia="仿宋" w:cs="仿宋"/>
                <w:sz w:val="24"/>
                <w:szCs w:val="24"/>
              </w:rPr>
              <w:t>学分</w:t>
            </w:r>
          </w:p>
        </w:tc>
        <w:tc>
          <w:tcPr>
            <w:tcW w:w="1605" w:type="dxa"/>
            <w:gridSpan w:val="2"/>
            <w:vAlign w:val="center"/>
          </w:tcPr>
          <w:p w14:paraId="20A4BC91">
            <w:pPr>
              <w:jc w:val="center"/>
              <w:rPr>
                <w:rFonts w:hint="eastAsia" w:ascii="仿宋" w:hAnsi="仿宋" w:eastAsia="仿宋" w:cs="仿宋"/>
                <w:sz w:val="24"/>
                <w:szCs w:val="24"/>
              </w:rPr>
            </w:pPr>
            <w:r>
              <w:rPr>
                <w:rFonts w:hint="eastAsia" w:ascii="仿宋" w:hAnsi="仿宋" w:eastAsia="仿宋" w:cs="仿宋"/>
                <w:sz w:val="24"/>
                <w:szCs w:val="24"/>
              </w:rPr>
              <w:t>2（每学期0</w:t>
            </w:r>
            <w:r>
              <w:rPr>
                <w:rFonts w:ascii="仿宋" w:hAnsi="仿宋" w:eastAsia="仿宋" w:cs="仿宋"/>
                <w:sz w:val="24"/>
                <w:szCs w:val="24"/>
              </w:rPr>
              <w:t>.5</w:t>
            </w:r>
            <w:r>
              <w:rPr>
                <w:rFonts w:hint="eastAsia" w:ascii="仿宋" w:hAnsi="仿宋" w:eastAsia="仿宋" w:cs="仿宋"/>
                <w:sz w:val="24"/>
                <w:szCs w:val="24"/>
              </w:rPr>
              <w:t>）</w:t>
            </w:r>
          </w:p>
        </w:tc>
        <w:tc>
          <w:tcPr>
            <w:tcW w:w="1426" w:type="dxa"/>
            <w:gridSpan w:val="4"/>
            <w:vAlign w:val="center"/>
          </w:tcPr>
          <w:p w14:paraId="743C8424">
            <w:pPr>
              <w:jc w:val="center"/>
              <w:rPr>
                <w:rFonts w:hint="eastAsia" w:ascii="仿宋" w:hAnsi="仿宋" w:eastAsia="仿宋" w:cs="仿宋"/>
                <w:sz w:val="24"/>
                <w:szCs w:val="24"/>
              </w:rPr>
            </w:pPr>
            <w:r>
              <w:rPr>
                <w:rFonts w:hint="eastAsia" w:ascii="仿宋" w:hAnsi="仿宋" w:eastAsia="仿宋" w:cs="仿宋"/>
                <w:sz w:val="24"/>
                <w:szCs w:val="24"/>
              </w:rPr>
              <w:t>课程负责人</w:t>
            </w:r>
          </w:p>
        </w:tc>
        <w:tc>
          <w:tcPr>
            <w:tcW w:w="2368" w:type="dxa"/>
            <w:gridSpan w:val="5"/>
            <w:vAlign w:val="center"/>
          </w:tcPr>
          <w:p w14:paraId="0B15DA64">
            <w:pPr>
              <w:jc w:val="center"/>
              <w:rPr>
                <w:rFonts w:hint="eastAsia" w:ascii="仿宋" w:hAnsi="仿宋" w:eastAsia="仿宋" w:cs="仿宋"/>
                <w:sz w:val="24"/>
                <w:szCs w:val="24"/>
              </w:rPr>
            </w:pPr>
            <w:r>
              <w:rPr>
                <w:rFonts w:hint="eastAsia" w:ascii="仿宋" w:hAnsi="仿宋" w:eastAsia="仿宋" w:cs="仿宋"/>
                <w:sz w:val="24"/>
                <w:szCs w:val="24"/>
              </w:rPr>
              <w:t>邓滨涛</w:t>
            </w:r>
          </w:p>
        </w:tc>
      </w:tr>
      <w:tr w14:paraId="7C35C82F">
        <w:trPr>
          <w:trHeight w:val="485" w:hRule="atLeast"/>
        </w:trPr>
        <w:tc>
          <w:tcPr>
            <w:tcW w:w="1375" w:type="dxa"/>
            <w:vAlign w:val="center"/>
          </w:tcPr>
          <w:p w14:paraId="40C96BED">
            <w:pPr>
              <w:jc w:val="center"/>
              <w:rPr>
                <w:rFonts w:hint="eastAsia" w:ascii="仿宋" w:hAnsi="仿宋" w:eastAsia="仿宋" w:cs="仿宋"/>
                <w:sz w:val="24"/>
                <w:szCs w:val="24"/>
              </w:rPr>
            </w:pPr>
            <w:r>
              <w:rPr>
                <w:rFonts w:hint="eastAsia" w:ascii="仿宋" w:hAnsi="仿宋" w:eastAsia="仿宋" w:cs="仿宋"/>
                <w:sz w:val="24"/>
                <w:szCs w:val="24"/>
              </w:rPr>
              <w:t>总学时</w:t>
            </w:r>
          </w:p>
        </w:tc>
        <w:tc>
          <w:tcPr>
            <w:tcW w:w="1166" w:type="dxa"/>
            <w:vAlign w:val="center"/>
          </w:tcPr>
          <w:p w14:paraId="39F2ABCF">
            <w:pPr>
              <w:jc w:val="center"/>
              <w:rPr>
                <w:rFonts w:ascii="仿宋" w:hAnsi="仿宋" w:eastAsia="仿宋" w:cs="仿宋"/>
                <w:sz w:val="24"/>
                <w:szCs w:val="24"/>
              </w:rPr>
            </w:pPr>
            <w:r>
              <w:rPr>
                <w:rFonts w:hint="eastAsia" w:ascii="仿宋" w:hAnsi="仿宋" w:eastAsia="仿宋" w:cs="仿宋"/>
                <w:sz w:val="24"/>
                <w:szCs w:val="24"/>
              </w:rPr>
              <w:t>64</w:t>
            </w:r>
          </w:p>
        </w:tc>
        <w:tc>
          <w:tcPr>
            <w:tcW w:w="1208" w:type="dxa"/>
            <w:vAlign w:val="center"/>
          </w:tcPr>
          <w:p w14:paraId="6EA4824C">
            <w:pPr>
              <w:jc w:val="center"/>
              <w:rPr>
                <w:rFonts w:hint="eastAsia" w:ascii="仿宋" w:hAnsi="仿宋" w:eastAsia="仿宋" w:cs="仿宋"/>
                <w:sz w:val="24"/>
                <w:szCs w:val="24"/>
              </w:rPr>
            </w:pPr>
            <w:r>
              <w:rPr>
                <w:rFonts w:hint="eastAsia" w:ascii="仿宋" w:hAnsi="仿宋" w:eastAsia="仿宋" w:cs="仿宋"/>
                <w:sz w:val="24"/>
                <w:szCs w:val="24"/>
              </w:rPr>
              <w:t>理论学时</w:t>
            </w:r>
          </w:p>
        </w:tc>
        <w:tc>
          <w:tcPr>
            <w:tcW w:w="1605" w:type="dxa"/>
            <w:gridSpan w:val="2"/>
            <w:vAlign w:val="center"/>
          </w:tcPr>
          <w:p w14:paraId="49001043">
            <w:pPr>
              <w:jc w:val="center"/>
              <w:rPr>
                <w:rFonts w:hint="eastAsia" w:ascii="仿宋" w:hAnsi="仿宋" w:eastAsia="仿宋" w:cs="仿宋"/>
                <w:sz w:val="24"/>
                <w:szCs w:val="24"/>
              </w:rPr>
            </w:pPr>
            <w:r>
              <w:rPr>
                <w:rFonts w:hint="eastAsia" w:ascii="仿宋" w:hAnsi="仿宋" w:eastAsia="仿宋" w:cs="仿宋"/>
                <w:sz w:val="24"/>
                <w:szCs w:val="24"/>
              </w:rPr>
              <w:t>0</w:t>
            </w:r>
          </w:p>
        </w:tc>
        <w:tc>
          <w:tcPr>
            <w:tcW w:w="1426" w:type="dxa"/>
            <w:gridSpan w:val="4"/>
            <w:tcBorders>
              <w:right w:val="single" w:color="000000" w:sz="4" w:space="0"/>
            </w:tcBorders>
            <w:vAlign w:val="center"/>
          </w:tcPr>
          <w:p w14:paraId="7E4BCAD6">
            <w:pPr>
              <w:jc w:val="center"/>
              <w:rPr>
                <w:rFonts w:hint="eastAsia" w:ascii="仿宋" w:hAnsi="仿宋" w:eastAsia="仿宋" w:cs="仿宋"/>
                <w:sz w:val="24"/>
                <w:szCs w:val="24"/>
              </w:rPr>
            </w:pPr>
            <w:r>
              <w:rPr>
                <w:rFonts w:hint="eastAsia" w:ascii="仿宋" w:hAnsi="仿宋" w:eastAsia="仿宋" w:cs="仿宋"/>
                <w:sz w:val="24"/>
                <w:szCs w:val="24"/>
              </w:rPr>
              <w:t>实践学时</w:t>
            </w:r>
          </w:p>
        </w:tc>
        <w:tc>
          <w:tcPr>
            <w:tcW w:w="2368" w:type="dxa"/>
            <w:gridSpan w:val="5"/>
            <w:tcBorders>
              <w:left w:val="single" w:color="000000" w:sz="4" w:space="0"/>
            </w:tcBorders>
            <w:vAlign w:val="center"/>
          </w:tcPr>
          <w:p w14:paraId="772B6D50">
            <w:pPr>
              <w:jc w:val="center"/>
              <w:rPr>
                <w:rFonts w:ascii="仿宋" w:hAnsi="仿宋" w:eastAsia="仿宋" w:cs="仿宋"/>
                <w:sz w:val="24"/>
                <w:szCs w:val="24"/>
              </w:rPr>
            </w:pPr>
            <w:r>
              <w:rPr>
                <w:rFonts w:hint="eastAsia" w:ascii="仿宋" w:hAnsi="仿宋" w:eastAsia="仿宋" w:cs="仿宋"/>
                <w:sz w:val="24"/>
                <w:szCs w:val="24"/>
              </w:rPr>
              <w:t>64</w:t>
            </w:r>
          </w:p>
        </w:tc>
      </w:tr>
      <w:tr w14:paraId="0BBBDE62">
        <w:trPr>
          <w:trHeight w:val="454" w:hRule="atLeast"/>
        </w:trPr>
        <w:tc>
          <w:tcPr>
            <w:tcW w:w="1375" w:type="dxa"/>
            <w:vAlign w:val="center"/>
          </w:tcPr>
          <w:p w14:paraId="62C92DEE">
            <w:pPr>
              <w:jc w:val="center"/>
              <w:rPr>
                <w:rFonts w:hint="eastAsia" w:ascii="仿宋" w:hAnsi="仿宋" w:eastAsia="仿宋" w:cs="仿宋"/>
                <w:sz w:val="24"/>
                <w:szCs w:val="24"/>
              </w:rPr>
            </w:pPr>
            <w:r>
              <w:rPr>
                <w:rFonts w:hint="eastAsia" w:ascii="仿宋" w:hAnsi="仿宋" w:eastAsia="仿宋" w:cs="仿宋"/>
                <w:sz w:val="24"/>
                <w:szCs w:val="24"/>
              </w:rPr>
              <w:t>先修课程与后续课程</w:t>
            </w:r>
          </w:p>
        </w:tc>
        <w:tc>
          <w:tcPr>
            <w:tcW w:w="7773" w:type="dxa"/>
            <w:gridSpan w:val="13"/>
            <w:vAlign w:val="center"/>
          </w:tcPr>
          <w:p w14:paraId="3E006C87">
            <w:pPr>
              <w:tabs>
                <w:tab w:val="left" w:pos="720"/>
              </w:tabs>
              <w:jc w:val="left"/>
              <w:rPr>
                <w:rFonts w:hint="eastAsia" w:ascii="仿宋" w:hAnsi="仿宋" w:eastAsia="仿宋" w:cs="仿宋"/>
                <w:sz w:val="24"/>
                <w:szCs w:val="24"/>
              </w:rPr>
            </w:pPr>
            <w:r>
              <w:rPr>
                <w:rFonts w:hint="eastAsia" w:ascii="仿宋" w:hAnsi="仿宋" w:eastAsia="仿宋" w:cs="仿宋"/>
                <w:sz w:val="24"/>
                <w:szCs w:val="24"/>
              </w:rPr>
              <w:t>先修课程：乐理、视唱练耳、意大利语等</w:t>
            </w:r>
          </w:p>
          <w:p w14:paraId="753E342C">
            <w:pPr>
              <w:tabs>
                <w:tab w:val="left" w:pos="720"/>
              </w:tabs>
              <w:jc w:val="left"/>
              <w:rPr>
                <w:rFonts w:hint="eastAsia" w:ascii="仿宋" w:hAnsi="仿宋" w:eastAsia="仿宋" w:cs="仿宋"/>
                <w:sz w:val="24"/>
                <w:szCs w:val="24"/>
              </w:rPr>
            </w:pPr>
            <w:r>
              <w:rPr>
                <w:rFonts w:hint="eastAsia" w:ascii="仿宋" w:hAnsi="仿宋" w:eastAsia="仿宋" w:cs="仿宋"/>
                <w:sz w:val="24"/>
                <w:szCs w:val="24"/>
              </w:rPr>
              <w:t>后续课程：重唱与表演唱、舞台表演、戏曲鉴赏等</w:t>
            </w:r>
          </w:p>
        </w:tc>
      </w:tr>
      <w:tr w14:paraId="78363197">
        <w:trPr>
          <w:trHeight w:val="454" w:hRule="atLeast"/>
        </w:trPr>
        <w:tc>
          <w:tcPr>
            <w:tcW w:w="1375" w:type="dxa"/>
            <w:vAlign w:val="center"/>
          </w:tcPr>
          <w:p w14:paraId="49B25CD6">
            <w:pPr>
              <w:jc w:val="center"/>
              <w:rPr>
                <w:rFonts w:hint="eastAsia" w:ascii="仿宋" w:hAnsi="仿宋" w:eastAsia="仿宋" w:cs="仿宋"/>
                <w:sz w:val="24"/>
                <w:szCs w:val="24"/>
              </w:rPr>
            </w:pPr>
            <w:r>
              <w:rPr>
                <w:rFonts w:hint="eastAsia" w:ascii="仿宋" w:hAnsi="仿宋" w:eastAsia="仿宋" w:cs="仿宋"/>
                <w:sz w:val="24"/>
                <w:szCs w:val="24"/>
              </w:rPr>
              <w:t>适用专业</w:t>
            </w:r>
          </w:p>
        </w:tc>
        <w:tc>
          <w:tcPr>
            <w:tcW w:w="7773" w:type="dxa"/>
            <w:gridSpan w:val="13"/>
            <w:vAlign w:val="center"/>
          </w:tcPr>
          <w:p w14:paraId="60801656">
            <w:pPr>
              <w:jc w:val="center"/>
              <w:rPr>
                <w:rFonts w:hint="eastAsia" w:ascii="仿宋" w:hAnsi="仿宋" w:eastAsia="仿宋" w:cs="仿宋"/>
                <w:sz w:val="24"/>
                <w:szCs w:val="24"/>
              </w:rPr>
            </w:pPr>
            <w:r>
              <w:rPr>
                <w:rFonts w:hint="eastAsia" w:ascii="仿宋" w:hAnsi="仿宋" w:eastAsia="仿宋" w:cs="仿宋"/>
                <w:sz w:val="24"/>
                <w:szCs w:val="24"/>
              </w:rPr>
              <w:t>音乐学</w:t>
            </w:r>
          </w:p>
        </w:tc>
      </w:tr>
      <w:tr w14:paraId="3132AB78">
        <w:tc>
          <w:tcPr>
            <w:tcW w:w="1375" w:type="dxa"/>
            <w:tcBorders>
              <w:bottom w:val="single" w:color="auto" w:sz="4" w:space="0"/>
            </w:tcBorders>
            <w:vAlign w:val="center"/>
          </w:tcPr>
          <w:p w14:paraId="59BC8444">
            <w:pPr>
              <w:jc w:val="center"/>
              <w:rPr>
                <w:rFonts w:hint="eastAsia" w:ascii="仿宋" w:hAnsi="仿宋" w:eastAsia="仿宋" w:cs="仿宋"/>
                <w:sz w:val="24"/>
                <w:szCs w:val="24"/>
              </w:rPr>
            </w:pPr>
            <w:r>
              <w:rPr>
                <w:rFonts w:hint="eastAsia" w:ascii="仿宋" w:hAnsi="仿宋" w:eastAsia="仿宋" w:cs="仿宋"/>
                <w:sz w:val="24"/>
                <w:szCs w:val="24"/>
              </w:rPr>
              <w:t>A</w:t>
            </w:r>
          </w:p>
          <w:p w14:paraId="70924DCC">
            <w:pPr>
              <w:jc w:val="center"/>
              <w:rPr>
                <w:rFonts w:hint="eastAsia" w:ascii="仿宋" w:hAnsi="仿宋" w:eastAsia="仿宋" w:cs="仿宋"/>
                <w:sz w:val="24"/>
                <w:szCs w:val="24"/>
              </w:rPr>
            </w:pPr>
            <w:r>
              <w:rPr>
                <w:rFonts w:hint="eastAsia" w:ascii="仿宋" w:hAnsi="仿宋" w:eastAsia="仿宋" w:cs="仿宋"/>
                <w:sz w:val="24"/>
                <w:szCs w:val="24"/>
              </w:rPr>
              <w:t>参考教材</w:t>
            </w:r>
          </w:p>
        </w:tc>
        <w:tc>
          <w:tcPr>
            <w:tcW w:w="7773" w:type="dxa"/>
            <w:gridSpan w:val="13"/>
            <w:tcBorders>
              <w:bottom w:val="single" w:color="auto" w:sz="4" w:space="0"/>
            </w:tcBorders>
            <w:vAlign w:val="center"/>
          </w:tcPr>
          <w:p w14:paraId="3F379C88">
            <w:pPr>
              <w:rPr>
                <w:rFonts w:hint="eastAsia" w:ascii="仿宋" w:hAnsi="仿宋" w:eastAsia="仿宋" w:cs="仿宋"/>
                <w:sz w:val="24"/>
                <w:szCs w:val="24"/>
              </w:rPr>
            </w:pPr>
            <w:r>
              <w:rPr>
                <w:rFonts w:hint="eastAsia" w:ascii="仿宋" w:hAnsi="仿宋" w:eastAsia="仿宋" w:cs="仿宋"/>
                <w:sz w:val="24"/>
                <w:szCs w:val="24"/>
              </w:rPr>
              <w:t>1、《全国高等师范试用教材》，声乐曲选集，共八册， 人民音乐出版社1988年，第一版。</w:t>
            </w:r>
          </w:p>
          <w:p w14:paraId="6192A6C2">
            <w:pPr>
              <w:rPr>
                <w:rFonts w:hint="eastAsia" w:ascii="仿宋" w:hAnsi="仿宋" w:eastAsia="仿宋" w:cs="仿宋"/>
                <w:sz w:val="24"/>
                <w:szCs w:val="24"/>
              </w:rPr>
            </w:pPr>
            <w:r>
              <w:rPr>
                <w:rFonts w:hint="eastAsia" w:ascii="仿宋" w:hAnsi="仿宋" w:eastAsia="仿宋" w:cs="仿宋"/>
                <w:sz w:val="24"/>
                <w:szCs w:val="24"/>
              </w:rPr>
              <w:t>2、尚家襄，《古典意大利歌曲集》，人民音乐出版社1988年，第一版。</w:t>
            </w:r>
          </w:p>
          <w:p w14:paraId="5D490498">
            <w:pPr>
              <w:rPr>
                <w:rFonts w:hint="eastAsia" w:ascii="仿宋" w:hAnsi="仿宋" w:eastAsia="仿宋" w:cs="仿宋"/>
                <w:sz w:val="24"/>
                <w:szCs w:val="24"/>
              </w:rPr>
            </w:pPr>
            <w:r>
              <w:rPr>
                <w:rFonts w:hint="eastAsia" w:ascii="仿宋" w:hAnsi="仿宋" w:eastAsia="仿宋" w:cs="仿宋"/>
                <w:sz w:val="24"/>
                <w:szCs w:val="24"/>
              </w:rPr>
              <w:t>3、胡郁青主编，《中外声乐曲选集》，西南师范大学出版社，2008年第一版。</w:t>
            </w:r>
          </w:p>
        </w:tc>
      </w:tr>
      <w:tr w14:paraId="62B479B9">
        <w:tc>
          <w:tcPr>
            <w:tcW w:w="1375" w:type="dxa"/>
            <w:tcBorders>
              <w:bottom w:val="single" w:color="auto" w:sz="4" w:space="0"/>
            </w:tcBorders>
            <w:vAlign w:val="center"/>
          </w:tcPr>
          <w:p w14:paraId="57969686">
            <w:pPr>
              <w:jc w:val="center"/>
              <w:rPr>
                <w:rFonts w:hint="eastAsia" w:ascii="仿宋" w:hAnsi="仿宋" w:eastAsia="仿宋" w:cs="仿宋"/>
                <w:sz w:val="24"/>
                <w:szCs w:val="24"/>
              </w:rPr>
            </w:pPr>
            <w:r>
              <w:rPr>
                <w:rFonts w:hint="eastAsia" w:ascii="仿宋" w:hAnsi="仿宋" w:eastAsia="仿宋" w:cs="仿宋"/>
                <w:sz w:val="24"/>
                <w:szCs w:val="24"/>
              </w:rPr>
              <w:t>B</w:t>
            </w:r>
          </w:p>
          <w:p w14:paraId="2B1FBE38">
            <w:pPr>
              <w:jc w:val="center"/>
              <w:rPr>
                <w:rFonts w:hint="eastAsia" w:ascii="仿宋" w:hAnsi="仿宋" w:eastAsia="仿宋" w:cs="仿宋"/>
                <w:sz w:val="24"/>
                <w:szCs w:val="24"/>
              </w:rPr>
            </w:pPr>
            <w:r>
              <w:rPr>
                <w:rFonts w:hint="eastAsia" w:ascii="仿宋" w:hAnsi="仿宋" w:eastAsia="仿宋" w:cs="仿宋"/>
                <w:sz w:val="24"/>
                <w:szCs w:val="24"/>
              </w:rPr>
              <w:t>主要参考书籍</w:t>
            </w:r>
          </w:p>
        </w:tc>
        <w:tc>
          <w:tcPr>
            <w:tcW w:w="7773" w:type="dxa"/>
            <w:gridSpan w:val="13"/>
            <w:tcBorders>
              <w:bottom w:val="single" w:color="auto" w:sz="4" w:space="0"/>
            </w:tcBorders>
            <w:vAlign w:val="top"/>
          </w:tcPr>
          <w:p w14:paraId="1E139348">
            <w:pPr>
              <w:rPr>
                <w:rFonts w:hint="eastAsia" w:ascii="仿宋" w:hAnsi="仿宋" w:eastAsia="仿宋" w:cs="仿宋"/>
                <w:sz w:val="24"/>
                <w:szCs w:val="24"/>
              </w:rPr>
            </w:pPr>
            <w:r>
              <w:rPr>
                <w:rFonts w:hint="eastAsia" w:ascii="仿宋" w:hAnsi="仿宋" w:eastAsia="仿宋" w:cs="仿宋"/>
                <w:sz w:val="24"/>
                <w:szCs w:val="24"/>
              </w:rPr>
              <w:t>1、邹本初著，《歌唱学--沈湘歌唱学体系研究》，人民音乐出版社2000年第一版。</w:t>
            </w:r>
          </w:p>
          <w:p w14:paraId="41FEF00E">
            <w:pPr>
              <w:rPr>
                <w:rFonts w:hint="eastAsia" w:ascii="仿宋" w:hAnsi="仿宋" w:eastAsia="仿宋" w:cs="仿宋"/>
                <w:sz w:val="24"/>
                <w:szCs w:val="24"/>
              </w:rPr>
            </w:pPr>
            <w:r>
              <w:rPr>
                <w:rFonts w:hint="eastAsia" w:ascii="仿宋" w:hAnsi="仿宋" w:eastAsia="仿宋" w:cs="仿宋"/>
                <w:sz w:val="24"/>
                <w:szCs w:val="24"/>
              </w:rPr>
              <w:t>2、李晋玮著，《沈湘声乐教学艺术》、人民音乐出版社1998年第一版。</w:t>
            </w:r>
          </w:p>
          <w:p w14:paraId="3C497F38">
            <w:pPr>
              <w:rPr>
                <w:rFonts w:hint="eastAsia" w:ascii="仿宋" w:hAnsi="仿宋" w:eastAsia="仿宋" w:cs="仿宋"/>
                <w:sz w:val="24"/>
                <w:szCs w:val="24"/>
              </w:rPr>
            </w:pPr>
            <w:r>
              <w:rPr>
                <w:rFonts w:hint="eastAsia" w:ascii="仿宋" w:hAnsi="仿宋" w:eastAsia="仿宋" w:cs="仿宋"/>
                <w:sz w:val="24"/>
                <w:szCs w:val="24"/>
              </w:rPr>
              <w:t xml:space="preserve">3、管林 著，《中国民族声乐史》，中国文联出版公司，1998年，第一版。 </w:t>
            </w:r>
          </w:p>
          <w:p w14:paraId="6FE54085">
            <w:pPr>
              <w:rPr>
                <w:rFonts w:hint="eastAsia" w:ascii="仿宋" w:hAnsi="仿宋" w:eastAsia="仿宋" w:cs="仿宋"/>
                <w:sz w:val="24"/>
                <w:szCs w:val="24"/>
              </w:rPr>
            </w:pPr>
            <w:r>
              <w:rPr>
                <w:rFonts w:hint="eastAsia" w:ascii="仿宋" w:hAnsi="仿宋" w:eastAsia="仿宋" w:cs="仿宋"/>
                <w:sz w:val="24"/>
                <w:szCs w:val="24"/>
              </w:rPr>
              <w:t>4、杰罗姆.汉涅斯著，《大歌唱家谈精湛的演唱技巧》，中国青年出版社，1996年第一版。</w:t>
            </w:r>
          </w:p>
          <w:p w14:paraId="622545C5">
            <w:pPr>
              <w:rPr>
                <w:rFonts w:hint="eastAsia" w:ascii="仿宋" w:hAnsi="仿宋" w:eastAsia="仿宋" w:cs="仿宋"/>
                <w:sz w:val="24"/>
                <w:szCs w:val="24"/>
              </w:rPr>
            </w:pPr>
            <w:r>
              <w:rPr>
                <w:rFonts w:hint="eastAsia" w:ascii="仿宋" w:hAnsi="仿宋" w:eastAsia="仿宋" w:cs="仿宋"/>
                <w:sz w:val="24"/>
                <w:szCs w:val="24"/>
              </w:rPr>
              <w:t>5、王如湘编著，《跟我学唱歌——民族、美声卷》，湖南文艺出版社，2004年新一版。</w:t>
            </w:r>
          </w:p>
          <w:p w14:paraId="0DC96F96">
            <w:pPr>
              <w:rPr>
                <w:rFonts w:hint="eastAsia" w:ascii="仿宋" w:hAnsi="仿宋" w:eastAsia="仿宋" w:cs="仿宋"/>
                <w:sz w:val="24"/>
                <w:szCs w:val="24"/>
              </w:rPr>
            </w:pPr>
            <w:r>
              <w:rPr>
                <w:rFonts w:hint="eastAsia" w:ascii="仿宋" w:hAnsi="仿宋" w:eastAsia="仿宋" w:cs="仿宋"/>
                <w:sz w:val="24"/>
                <w:szCs w:val="24"/>
              </w:rPr>
              <w:t>6、俞子正，《21世纪声乐教学论》．西师出版社，2000.。</w:t>
            </w:r>
          </w:p>
          <w:p w14:paraId="177731A8">
            <w:pPr>
              <w:rPr>
                <w:rFonts w:hint="eastAsia" w:ascii="仿宋" w:hAnsi="仿宋" w:eastAsia="仿宋" w:cs="仿宋"/>
                <w:sz w:val="24"/>
                <w:szCs w:val="24"/>
              </w:rPr>
            </w:pPr>
            <w:r>
              <w:rPr>
                <w:rFonts w:hint="eastAsia" w:ascii="仿宋" w:hAnsi="仿宋" w:eastAsia="仿宋" w:cs="仿宋"/>
                <w:sz w:val="24"/>
                <w:szCs w:val="24"/>
              </w:rPr>
              <w:t>7、赵震民．《声乐理论与教学》．上海音乐出版社，2002。</w:t>
            </w:r>
          </w:p>
          <w:p w14:paraId="12DBABF6">
            <w:pPr>
              <w:rPr>
                <w:rFonts w:hint="eastAsia" w:ascii="仿宋" w:hAnsi="仿宋" w:eastAsia="仿宋" w:cs="仿宋"/>
                <w:sz w:val="24"/>
                <w:szCs w:val="24"/>
              </w:rPr>
            </w:pPr>
            <w:r>
              <w:rPr>
                <w:rFonts w:hint="eastAsia" w:ascii="仿宋" w:hAnsi="仿宋" w:eastAsia="仿宋" w:cs="仿宋"/>
                <w:sz w:val="24"/>
                <w:szCs w:val="24"/>
              </w:rPr>
              <w:t>8、金铁霖主编，《金铁霖声乐教学曲选》，人民音乐出版社2006年第一版等。</w:t>
            </w:r>
          </w:p>
        </w:tc>
      </w:tr>
      <w:tr w14:paraId="425D35A0">
        <w:tc>
          <w:tcPr>
            <w:tcW w:w="1375" w:type="dxa"/>
            <w:tcBorders>
              <w:bottom w:val="single" w:color="auto" w:sz="4" w:space="0"/>
            </w:tcBorders>
            <w:vAlign w:val="center"/>
          </w:tcPr>
          <w:p w14:paraId="0A3B1428">
            <w:pPr>
              <w:jc w:val="center"/>
              <w:rPr>
                <w:rFonts w:hint="eastAsia" w:ascii="仿宋" w:hAnsi="仿宋" w:eastAsia="仿宋" w:cs="仿宋"/>
                <w:sz w:val="24"/>
                <w:szCs w:val="24"/>
              </w:rPr>
            </w:pPr>
            <w:r>
              <w:rPr>
                <w:rFonts w:hint="eastAsia" w:ascii="仿宋" w:hAnsi="仿宋" w:eastAsia="仿宋" w:cs="仿宋"/>
                <w:sz w:val="24"/>
                <w:szCs w:val="24"/>
              </w:rPr>
              <w:t>C</w:t>
            </w:r>
          </w:p>
          <w:p w14:paraId="5EBB2C9D">
            <w:pPr>
              <w:jc w:val="center"/>
              <w:rPr>
                <w:rFonts w:hint="eastAsia" w:ascii="仿宋" w:hAnsi="仿宋" w:eastAsia="仿宋" w:cs="仿宋"/>
                <w:sz w:val="24"/>
                <w:szCs w:val="24"/>
              </w:rPr>
            </w:pPr>
            <w:r>
              <w:rPr>
                <w:rFonts w:hint="eastAsia" w:ascii="仿宋" w:hAnsi="仿宋" w:eastAsia="仿宋" w:cs="仿宋"/>
                <w:sz w:val="24"/>
                <w:szCs w:val="24"/>
              </w:rPr>
              <w:t>线上学习资源</w:t>
            </w:r>
          </w:p>
        </w:tc>
        <w:tc>
          <w:tcPr>
            <w:tcW w:w="7773" w:type="dxa"/>
            <w:gridSpan w:val="13"/>
            <w:tcBorders>
              <w:bottom w:val="single" w:color="auto" w:sz="4" w:space="0"/>
            </w:tcBorders>
            <w:vAlign w:val="center"/>
          </w:tcPr>
          <w:p w14:paraId="05C96A80">
            <w:pPr>
              <w:rPr>
                <w:rFonts w:hint="eastAsia" w:ascii="仿宋" w:hAnsi="仿宋" w:eastAsia="仿宋" w:cs="仿宋"/>
                <w:sz w:val="24"/>
                <w:szCs w:val="24"/>
              </w:rPr>
            </w:pPr>
            <w:r>
              <w:rPr>
                <w:rFonts w:hint="eastAsia" w:ascii="仿宋" w:hAnsi="仿宋" w:eastAsia="仿宋" w:cs="仿宋"/>
                <w:sz w:val="24"/>
                <w:szCs w:val="24"/>
              </w:rPr>
              <w:t>1.本课程已经建立超星平台网络课程，同学们依据学校提供的帐号与密码登录课程网站，可查看教学大纲、授课计划、考核方法、课程PPT、教学视频、电子教材、音频、阅读资料、仿真软件、网络文献链接网址等教学资源。</w:t>
            </w:r>
          </w:p>
          <w:p w14:paraId="1B64D36B">
            <w:pPr>
              <w:rPr>
                <w:rFonts w:hint="eastAsia" w:ascii="仿宋" w:hAnsi="仿宋" w:eastAsia="仿宋" w:cs="仿宋"/>
                <w:sz w:val="24"/>
                <w:szCs w:val="24"/>
              </w:rPr>
            </w:pPr>
            <w:r>
              <w:rPr>
                <w:rFonts w:hint="eastAsia" w:ascii="仿宋" w:hAnsi="仿宋" w:eastAsia="仿宋" w:cs="仿宋"/>
                <w:sz w:val="24"/>
                <w:szCs w:val="24"/>
              </w:rPr>
              <w:t>2.中国大学MOOC平台、三明学院网络课程平台等。</w:t>
            </w:r>
          </w:p>
        </w:tc>
      </w:tr>
      <w:tr w14:paraId="7CA0DB5D">
        <w:trPr>
          <w:trHeight w:val="90" w:hRule="atLeast"/>
        </w:trPr>
        <w:tc>
          <w:tcPr>
            <w:tcW w:w="1375" w:type="dxa"/>
            <w:shd w:val="clear" w:color="auto" w:fill="FFFFFF"/>
            <w:vAlign w:val="center"/>
          </w:tcPr>
          <w:p w14:paraId="104922AD">
            <w:pPr>
              <w:jc w:val="center"/>
              <w:rPr>
                <w:rFonts w:hint="eastAsia" w:ascii="仿宋" w:hAnsi="仿宋" w:eastAsia="仿宋" w:cs="仿宋"/>
                <w:sz w:val="24"/>
                <w:szCs w:val="24"/>
              </w:rPr>
            </w:pPr>
            <w:r>
              <w:rPr>
                <w:rFonts w:hint="eastAsia" w:ascii="仿宋" w:hAnsi="仿宋" w:eastAsia="仿宋" w:cs="仿宋"/>
                <w:sz w:val="24"/>
                <w:szCs w:val="24"/>
              </w:rPr>
              <w:t>D</w:t>
            </w:r>
          </w:p>
          <w:p w14:paraId="4581CCCE">
            <w:pPr>
              <w:jc w:val="center"/>
              <w:rPr>
                <w:rFonts w:hint="eastAsia" w:ascii="仿宋" w:hAnsi="仿宋" w:eastAsia="仿宋" w:cs="仿宋"/>
                <w:sz w:val="24"/>
                <w:szCs w:val="24"/>
              </w:rPr>
            </w:pPr>
            <w:r>
              <w:rPr>
                <w:rFonts w:hint="eastAsia" w:ascii="仿宋" w:hAnsi="仿宋" w:eastAsia="仿宋" w:cs="仿宋"/>
                <w:sz w:val="24"/>
                <w:szCs w:val="24"/>
              </w:rPr>
              <w:t xml:space="preserve">课程描述 </w:t>
            </w:r>
          </w:p>
          <w:p w14:paraId="30128DC9">
            <w:pPr>
              <w:jc w:val="center"/>
              <w:rPr>
                <w:rFonts w:hint="eastAsia" w:ascii="仿宋" w:hAnsi="仿宋" w:eastAsia="仿宋" w:cs="仿宋"/>
                <w:sz w:val="24"/>
                <w:szCs w:val="24"/>
              </w:rPr>
            </w:pPr>
            <w:r>
              <w:rPr>
                <w:rFonts w:hint="eastAsia" w:ascii="仿宋" w:hAnsi="仿宋" w:eastAsia="仿宋" w:cs="仿宋"/>
                <w:sz w:val="24"/>
                <w:szCs w:val="24"/>
                <w:lang w:eastAsia="zh-TW"/>
              </w:rPr>
              <w:t>(</w:t>
            </w:r>
            <w:r>
              <w:rPr>
                <w:rFonts w:hint="eastAsia" w:ascii="仿宋" w:hAnsi="仿宋" w:eastAsia="仿宋" w:cs="仿宋"/>
                <w:sz w:val="24"/>
                <w:szCs w:val="24"/>
              </w:rPr>
              <w:t>含</w:t>
            </w:r>
            <w:r>
              <w:rPr>
                <w:rFonts w:hint="eastAsia" w:ascii="仿宋" w:hAnsi="仿宋" w:eastAsia="仿宋" w:cs="仿宋"/>
                <w:sz w:val="24"/>
                <w:szCs w:val="24"/>
                <w:lang w:eastAsia="zh-TW"/>
              </w:rPr>
              <w:t>性质、地位和任务)</w:t>
            </w:r>
          </w:p>
        </w:tc>
        <w:tc>
          <w:tcPr>
            <w:tcW w:w="7773" w:type="dxa"/>
            <w:gridSpan w:val="13"/>
            <w:tcBorders>
              <w:bottom w:val="single" w:color="auto" w:sz="4" w:space="0"/>
            </w:tcBorders>
            <w:shd w:val="clear" w:color="auto" w:fill="FFFFFF"/>
            <w:vAlign w:val="center"/>
          </w:tcPr>
          <w:p w14:paraId="1DFA882E">
            <w:pPr>
              <w:rPr>
                <w:rFonts w:hint="eastAsia" w:ascii="仿宋" w:hAnsi="仿宋" w:eastAsia="仿宋" w:cs="仿宋"/>
                <w:sz w:val="24"/>
                <w:szCs w:val="24"/>
              </w:rPr>
            </w:pPr>
            <w:r>
              <w:rPr>
                <w:rFonts w:hint="eastAsia" w:ascii="仿宋" w:hAnsi="仿宋" w:eastAsia="仿宋" w:cs="仿宋"/>
                <w:sz w:val="24"/>
                <w:szCs w:val="24"/>
              </w:rPr>
              <w:t>本课程为音乐学声乐方向开设的专业必修课,是训练学生掌握科学的歌唱发声方法,运用人声进行艺术表现的一门学科. 通过本课程的学习使学生逐步树立正确的声音概念，建立正确的歌唱状态，掌握科学的发声方法、技能技巧和声乐基础理论知识，形成</w:t>
            </w:r>
            <w:r>
              <w:rPr>
                <w:rFonts w:hint="eastAsia" w:ascii="仿宋" w:hAnsi="仿宋" w:eastAsia="仿宋" w:cs="仿宋"/>
                <w:sz w:val="24"/>
                <w:szCs w:val="24"/>
                <w:lang w:eastAsia="en-US"/>
              </w:rPr>
              <w:t>初步的音乐</w:t>
            </w:r>
            <w:r>
              <w:rPr>
                <w:rFonts w:hint="eastAsia" w:ascii="仿宋" w:hAnsi="仿宋" w:eastAsia="仿宋" w:cs="仿宋"/>
                <w:sz w:val="24"/>
                <w:szCs w:val="24"/>
              </w:rPr>
              <w:t>理论知识体系；能分析处理一般声乐作品;能较好地演唱和表现不同体裁、不同风格的中外声乐作品。努力培养具有民族文化传承志向之才，发挥文化自信力。</w:t>
            </w:r>
          </w:p>
        </w:tc>
      </w:tr>
      <w:tr w14:paraId="71E4EAB3">
        <w:trPr>
          <w:trHeight w:val="3071" w:hRule="atLeast"/>
        </w:trPr>
        <w:tc>
          <w:tcPr>
            <w:tcW w:w="1375" w:type="dxa"/>
            <w:vMerge w:val="restart"/>
            <w:shd w:val="clear" w:color="auto" w:fill="FFFFFF"/>
            <w:vAlign w:val="center"/>
          </w:tcPr>
          <w:p w14:paraId="1ADCE671">
            <w:pPr>
              <w:jc w:val="center"/>
              <w:rPr>
                <w:rFonts w:hint="eastAsia" w:ascii="仿宋" w:hAnsi="仿宋" w:eastAsia="仿宋" w:cs="仿宋"/>
                <w:sz w:val="24"/>
                <w:szCs w:val="24"/>
              </w:rPr>
            </w:pPr>
            <w:r>
              <w:rPr>
                <w:rFonts w:hint="eastAsia" w:ascii="仿宋" w:hAnsi="仿宋" w:eastAsia="仿宋" w:cs="仿宋"/>
                <w:sz w:val="24"/>
                <w:szCs w:val="24"/>
              </w:rPr>
              <w:t>E</w:t>
            </w:r>
          </w:p>
          <w:p w14:paraId="54F8D0B3">
            <w:pPr>
              <w:jc w:val="center"/>
              <w:rPr>
                <w:rFonts w:hint="eastAsia" w:ascii="仿宋" w:hAnsi="仿宋" w:eastAsia="仿宋" w:cs="仿宋"/>
                <w:sz w:val="24"/>
                <w:szCs w:val="24"/>
              </w:rPr>
            </w:pPr>
            <w:r>
              <w:rPr>
                <w:rFonts w:hint="eastAsia" w:ascii="仿宋" w:hAnsi="仿宋" w:eastAsia="仿宋" w:cs="仿宋"/>
                <w:sz w:val="24"/>
                <w:szCs w:val="24"/>
              </w:rPr>
              <w:t>课程学习目标及其与毕业要求的对应关系</w:t>
            </w:r>
          </w:p>
        </w:tc>
        <w:tc>
          <w:tcPr>
            <w:tcW w:w="7773" w:type="dxa"/>
            <w:gridSpan w:val="13"/>
            <w:tcBorders>
              <w:bottom w:val="single" w:color="auto" w:sz="4" w:space="0"/>
            </w:tcBorders>
            <w:shd w:val="clear" w:color="auto" w:fill="FFFFFF"/>
            <w:vAlign w:val="center"/>
          </w:tcPr>
          <w:p w14:paraId="7DAC3B45">
            <w:pPr>
              <w:rPr>
                <w:rFonts w:hint="eastAsia" w:ascii="仿宋" w:hAnsi="仿宋" w:eastAsia="仿宋" w:cs="仿宋"/>
                <w:sz w:val="24"/>
                <w:szCs w:val="24"/>
                <w:lang w:eastAsia="zh-TW"/>
              </w:rPr>
            </w:pPr>
            <w:r>
              <w:rPr>
                <w:rFonts w:hint="eastAsia" w:ascii="仿宋" w:hAnsi="仿宋" w:eastAsia="仿宋" w:cs="仿宋"/>
                <w:sz w:val="24"/>
                <w:szCs w:val="24"/>
              </w:rPr>
              <w:t>通过本课程的学习，学生具备如下知识、能力及情感态度价值观：</w:t>
            </w:r>
          </w:p>
          <w:p w14:paraId="4EB52964">
            <w:pPr>
              <w:rPr>
                <w:rFonts w:hint="eastAsia" w:ascii="仿宋" w:hAnsi="仿宋" w:eastAsia="仿宋" w:cs="仿宋"/>
                <w:sz w:val="24"/>
                <w:szCs w:val="24"/>
              </w:rPr>
            </w:pPr>
            <w:r>
              <w:rPr>
                <w:rFonts w:hint="eastAsia" w:ascii="仿宋" w:hAnsi="仿宋" w:eastAsia="仿宋" w:cs="仿宋"/>
                <w:sz w:val="24"/>
                <w:szCs w:val="24"/>
              </w:rPr>
              <w:t>课程目标1：领会立德树人的理念，掌握立德树人的途径与方法，能践行社会主义核心价值观，贯彻党的教育方针，遵守中小学教师职业道德规范。（支撑毕业要求 1.2）热爱音乐教育事业，具有从教意愿，认同教师工作的价值和意义，理解教师是学生学习的促进者与学生成长的引路人。具有正确的教育观、学生观、教师观、课程观、教学观。（支撑毕业要求 2.1）</w:t>
            </w:r>
          </w:p>
          <w:p w14:paraId="37B2540F">
            <w:pPr>
              <w:rPr>
                <w:rFonts w:hint="eastAsia" w:ascii="仿宋" w:hAnsi="仿宋" w:eastAsia="仿宋" w:cs="仿宋"/>
                <w:sz w:val="24"/>
                <w:szCs w:val="24"/>
              </w:rPr>
            </w:pPr>
            <w:r>
              <w:rPr>
                <w:rFonts w:hint="eastAsia" w:ascii="仿宋" w:hAnsi="仿宋" w:eastAsia="仿宋" w:cs="仿宋"/>
                <w:sz w:val="24"/>
                <w:szCs w:val="24"/>
              </w:rPr>
              <w:t>课程目标2：师范生能够掌握系统、规范的基础发声方法，学习丰富的优秀民族声乐作品，提升民族认同感；扎实掌握科学的声乐原理、学习经典作品，充分理解声音的个体差异性，能够在艺术实践中举一反三，并能够学会综合育人，促进学生音乐素养的全面发展。（支撑毕业要求3.1）掌握</w:t>
            </w:r>
            <w:r>
              <w:rPr>
                <w:rFonts w:hint="eastAsia" w:ascii="仿宋" w:hAnsi="仿宋" w:eastAsia="仿宋" w:cs="仿宋"/>
                <w:sz w:val="24"/>
                <w:szCs w:val="24"/>
                <w:lang w:eastAsia="en-US"/>
              </w:rPr>
              <w:t>音乐</w:t>
            </w:r>
            <w:r>
              <w:rPr>
                <w:rFonts w:hint="eastAsia" w:ascii="仿宋" w:hAnsi="仿宋" w:eastAsia="仿宋" w:cs="仿宋"/>
                <w:sz w:val="24"/>
                <w:szCs w:val="24"/>
              </w:rPr>
              <w:t>理论的基本知识，了解中外音乐史的总体框架，</w:t>
            </w:r>
            <w:r>
              <w:rPr>
                <w:rFonts w:hint="eastAsia" w:ascii="仿宋" w:hAnsi="仿宋" w:eastAsia="仿宋" w:cs="仿宋"/>
                <w:sz w:val="24"/>
                <w:szCs w:val="24"/>
                <w:lang w:eastAsia="en-US"/>
              </w:rPr>
              <w:t>理解</w:t>
            </w:r>
            <w:r>
              <w:rPr>
                <w:rFonts w:hint="eastAsia" w:ascii="仿宋" w:hAnsi="仿宋" w:eastAsia="仿宋" w:cs="仿宋"/>
                <w:sz w:val="24"/>
                <w:szCs w:val="24"/>
              </w:rPr>
              <w:t>音乐理论课程之间的相互关联，形成</w:t>
            </w:r>
            <w:r>
              <w:rPr>
                <w:rFonts w:hint="eastAsia" w:ascii="仿宋" w:hAnsi="仿宋" w:eastAsia="仿宋" w:cs="仿宋"/>
                <w:sz w:val="24"/>
                <w:szCs w:val="24"/>
                <w:lang w:eastAsia="en-US"/>
              </w:rPr>
              <w:t>初步的音乐</w:t>
            </w:r>
            <w:r>
              <w:rPr>
                <w:rFonts w:hint="eastAsia" w:ascii="仿宋" w:hAnsi="仿宋" w:eastAsia="仿宋" w:cs="仿宋"/>
                <w:sz w:val="24"/>
                <w:szCs w:val="24"/>
              </w:rPr>
              <w:t>理论知识体系，</w:t>
            </w:r>
            <w:r>
              <w:rPr>
                <w:rFonts w:hint="eastAsia" w:ascii="仿宋" w:hAnsi="仿宋" w:eastAsia="仿宋" w:cs="仿宋"/>
                <w:sz w:val="24"/>
                <w:szCs w:val="24"/>
                <w:lang w:eastAsia="en-US"/>
              </w:rPr>
              <w:t>能够</w:t>
            </w:r>
            <w:r>
              <w:rPr>
                <w:rFonts w:hint="eastAsia" w:ascii="仿宋" w:hAnsi="仿宋" w:eastAsia="仿宋" w:cs="仿宋"/>
                <w:sz w:val="24"/>
                <w:szCs w:val="24"/>
              </w:rPr>
              <w:t>综合运用音乐理论知识解决实践教学问题。（支撑毕业要求3.2）</w:t>
            </w:r>
          </w:p>
          <w:p w14:paraId="39924B2A">
            <w:pPr>
              <w:rPr>
                <w:rFonts w:hint="eastAsia" w:ascii="仿宋" w:hAnsi="仿宋" w:eastAsia="仿宋" w:cs="仿宋"/>
                <w:b/>
                <w:bCs/>
                <w:kern w:val="0"/>
                <w:sz w:val="24"/>
                <w:szCs w:val="24"/>
              </w:rPr>
            </w:pPr>
            <w:r>
              <w:rPr>
                <w:rFonts w:hint="eastAsia" w:ascii="仿宋" w:hAnsi="仿宋" w:eastAsia="仿宋" w:cs="仿宋"/>
                <w:sz w:val="24"/>
                <w:szCs w:val="24"/>
              </w:rPr>
              <w:t>课程目标3： 师范生需要根据自身身体、嗓音条件及综合课堂表现，积极总结自身发声特点，对出现的问题及时改进并能够触类旁通。学习、掌握声乐机理，适当尝试声乐教学实践，对教学中可能出现的问题进行预判，实际中出现的问题深究原因，提出具体解决对策，真正做到教学相长。（支撑毕业要求7.1）</w:t>
            </w:r>
          </w:p>
        </w:tc>
      </w:tr>
      <w:tr w14:paraId="1FA8D475">
        <w:trPr>
          <w:trHeight w:val="642" w:hRule="atLeast"/>
        </w:trPr>
        <w:tc>
          <w:tcPr>
            <w:tcW w:w="1375" w:type="dxa"/>
            <w:vMerge w:val="continue"/>
            <w:shd w:val="clear" w:color="auto" w:fill="FFFFFF"/>
            <w:vAlign w:val="center"/>
          </w:tcPr>
          <w:p w14:paraId="55D883C7">
            <w:pPr>
              <w:jc w:val="center"/>
              <w:rPr>
                <w:rFonts w:hint="eastAsia" w:ascii="仿宋" w:hAnsi="仿宋" w:eastAsia="仿宋" w:cs="仿宋"/>
                <w:sz w:val="24"/>
                <w:szCs w:val="24"/>
              </w:rPr>
            </w:pPr>
          </w:p>
        </w:tc>
        <w:tc>
          <w:tcPr>
            <w:tcW w:w="1166" w:type="dxa"/>
            <w:tcBorders>
              <w:bottom w:val="single" w:color="auto" w:sz="4" w:space="0"/>
            </w:tcBorders>
            <w:shd w:val="clear" w:color="auto" w:fill="FFFFFF"/>
            <w:vAlign w:val="center"/>
          </w:tcPr>
          <w:p w14:paraId="4E5C7298">
            <w:pPr>
              <w:jc w:val="center"/>
              <w:rPr>
                <w:rFonts w:hint="eastAsia" w:ascii="仿宋" w:hAnsi="仿宋" w:eastAsia="仿宋" w:cs="仿宋"/>
                <w:sz w:val="24"/>
                <w:szCs w:val="24"/>
              </w:rPr>
            </w:pPr>
            <w:r>
              <w:rPr>
                <w:rFonts w:hint="eastAsia" w:ascii="仿宋" w:hAnsi="仿宋" w:eastAsia="仿宋" w:cs="仿宋"/>
                <w:sz w:val="24"/>
                <w:szCs w:val="24"/>
              </w:rPr>
              <w:t>课程目标</w:t>
            </w:r>
          </w:p>
        </w:tc>
        <w:tc>
          <w:tcPr>
            <w:tcW w:w="4525" w:type="dxa"/>
            <w:gridSpan w:val="8"/>
            <w:tcBorders>
              <w:bottom w:val="single" w:color="auto" w:sz="4" w:space="0"/>
            </w:tcBorders>
            <w:shd w:val="clear" w:color="auto" w:fill="FFFFFF"/>
            <w:vAlign w:val="center"/>
          </w:tcPr>
          <w:p w14:paraId="12CB657B">
            <w:pPr>
              <w:jc w:val="center"/>
              <w:rPr>
                <w:rFonts w:hint="eastAsia" w:ascii="仿宋" w:hAnsi="仿宋" w:eastAsia="仿宋" w:cs="仿宋"/>
                <w:sz w:val="24"/>
                <w:szCs w:val="24"/>
              </w:rPr>
            </w:pPr>
            <w:r>
              <w:rPr>
                <w:rFonts w:hint="eastAsia" w:ascii="仿宋" w:hAnsi="仿宋" w:eastAsia="仿宋" w:cs="仿宋"/>
                <w:sz w:val="24"/>
                <w:szCs w:val="24"/>
              </w:rPr>
              <w:t>毕业要求分解指标点</w:t>
            </w:r>
          </w:p>
        </w:tc>
        <w:tc>
          <w:tcPr>
            <w:tcW w:w="2082" w:type="dxa"/>
            <w:gridSpan w:val="4"/>
            <w:tcBorders>
              <w:bottom w:val="single" w:color="auto" w:sz="4" w:space="0"/>
            </w:tcBorders>
            <w:shd w:val="clear" w:color="auto" w:fill="FFFFFF"/>
            <w:vAlign w:val="center"/>
          </w:tcPr>
          <w:p w14:paraId="4800821E">
            <w:pPr>
              <w:jc w:val="center"/>
              <w:rPr>
                <w:rFonts w:hint="eastAsia" w:ascii="仿宋" w:hAnsi="仿宋" w:eastAsia="仿宋" w:cs="仿宋"/>
                <w:sz w:val="24"/>
                <w:szCs w:val="24"/>
              </w:rPr>
            </w:pPr>
            <w:r>
              <w:rPr>
                <w:rFonts w:hint="eastAsia" w:ascii="仿宋" w:hAnsi="仿宋" w:eastAsia="仿宋" w:cs="仿宋"/>
                <w:sz w:val="24"/>
                <w:szCs w:val="24"/>
              </w:rPr>
              <w:t>毕业要求</w:t>
            </w:r>
          </w:p>
        </w:tc>
      </w:tr>
      <w:tr w14:paraId="442503D0">
        <w:trPr>
          <w:trHeight w:val="817" w:hRule="atLeast"/>
        </w:trPr>
        <w:tc>
          <w:tcPr>
            <w:tcW w:w="1375" w:type="dxa"/>
            <w:vMerge w:val="continue"/>
            <w:shd w:val="clear" w:color="auto" w:fill="FFFFFF"/>
            <w:vAlign w:val="center"/>
          </w:tcPr>
          <w:p w14:paraId="22A51D8E">
            <w:pPr>
              <w:jc w:val="center"/>
              <w:rPr>
                <w:rFonts w:hint="eastAsia" w:ascii="仿宋" w:hAnsi="仿宋" w:eastAsia="仿宋" w:cs="仿宋"/>
                <w:sz w:val="24"/>
                <w:szCs w:val="24"/>
              </w:rPr>
            </w:pPr>
          </w:p>
        </w:tc>
        <w:tc>
          <w:tcPr>
            <w:tcW w:w="1166" w:type="dxa"/>
            <w:tcBorders>
              <w:bottom w:val="single" w:color="auto" w:sz="4" w:space="0"/>
            </w:tcBorders>
            <w:shd w:val="clear" w:color="auto" w:fill="FFFFFF"/>
            <w:vAlign w:val="center"/>
          </w:tcPr>
          <w:p w14:paraId="7E2DF573">
            <w:pPr>
              <w:jc w:val="center"/>
              <w:rPr>
                <w:rFonts w:hint="eastAsia" w:ascii="仿宋" w:hAnsi="仿宋" w:eastAsia="仿宋" w:cs="仿宋"/>
                <w:sz w:val="24"/>
                <w:szCs w:val="24"/>
              </w:rPr>
            </w:pPr>
            <w:r>
              <w:rPr>
                <w:rFonts w:hint="eastAsia" w:ascii="仿宋" w:hAnsi="仿宋" w:eastAsia="仿宋" w:cs="仿宋"/>
                <w:sz w:val="24"/>
                <w:szCs w:val="24"/>
              </w:rPr>
              <w:t>课程目标1</w:t>
            </w:r>
          </w:p>
        </w:tc>
        <w:tc>
          <w:tcPr>
            <w:tcW w:w="4525" w:type="dxa"/>
            <w:gridSpan w:val="8"/>
            <w:shd w:val="clear" w:color="auto" w:fill="FFFFFF"/>
            <w:vAlign w:val="center"/>
          </w:tcPr>
          <w:p w14:paraId="702D331F">
            <w:pPr>
              <w:rPr>
                <w:rFonts w:hint="eastAsia" w:ascii="仿宋" w:hAnsi="仿宋" w:eastAsia="仿宋" w:cs="仿宋"/>
                <w:sz w:val="24"/>
                <w:szCs w:val="24"/>
              </w:rPr>
            </w:pPr>
            <w:r>
              <w:rPr>
                <w:rFonts w:hint="eastAsia" w:ascii="仿宋" w:hAnsi="仿宋" w:eastAsia="仿宋" w:cs="仿宋"/>
                <w:sz w:val="24"/>
                <w:szCs w:val="24"/>
              </w:rPr>
              <w:t>1.2 【立德树人】具有正确的学生观、教师观、教育观、艺术观，形成立德树人的理念，掌握立德树人的途径与方法，能够依据德智体美劳全面发展的教育方针开展教育教学，培育发展学生的核心素养。</w:t>
            </w:r>
          </w:p>
          <w:p w14:paraId="54D655AB">
            <w:pPr>
              <w:rPr>
                <w:rFonts w:hint="eastAsia" w:ascii="仿宋" w:hAnsi="仿宋" w:eastAsia="仿宋" w:cs="仿宋"/>
                <w:sz w:val="24"/>
                <w:szCs w:val="24"/>
              </w:rPr>
            </w:pPr>
            <w:r>
              <w:rPr>
                <w:rFonts w:hint="eastAsia" w:ascii="仿宋" w:hAnsi="仿宋" w:eastAsia="仿宋" w:cs="仿宋"/>
                <w:sz w:val="24"/>
                <w:szCs w:val="24"/>
              </w:rPr>
              <w:t>2.1 【职业认同】热爱音乐教育事业，具有从教意愿，认同教师工作的价值和意义，理解教师是学生学习的促进者与学生成长的引路人。解中学教师的职业特征，领会中学教育对学生发展的价值和意义。</w:t>
            </w:r>
          </w:p>
        </w:tc>
        <w:tc>
          <w:tcPr>
            <w:tcW w:w="2082" w:type="dxa"/>
            <w:gridSpan w:val="4"/>
            <w:shd w:val="clear" w:color="auto" w:fill="FFFFFF"/>
            <w:vAlign w:val="center"/>
          </w:tcPr>
          <w:p w14:paraId="0117E5CC">
            <w:pPr>
              <w:widowControl/>
              <w:autoSpaceDE w:val="0"/>
              <w:ind w:firstLine="360" w:firstLineChars="150"/>
              <w:jc w:val="left"/>
              <w:rPr>
                <w:rFonts w:ascii="仿宋" w:hAnsi="仿宋" w:eastAsia="仿宋"/>
                <w:sz w:val="24"/>
                <w:szCs w:val="24"/>
              </w:rPr>
            </w:pPr>
            <w:r>
              <w:rPr>
                <w:rFonts w:hint="eastAsia" w:ascii="仿宋" w:hAnsi="仿宋" w:eastAsia="仿宋"/>
                <w:sz w:val="24"/>
                <w:szCs w:val="24"/>
              </w:rPr>
              <w:t>师德规范</w:t>
            </w:r>
          </w:p>
          <w:p w14:paraId="7AF7B94E">
            <w:pPr>
              <w:pStyle w:val="108"/>
              <w:autoSpaceDE w:val="0"/>
              <w:ind w:firstLine="588" w:firstLineChars="245"/>
              <w:rPr>
                <w:rFonts w:hint="eastAsia" w:ascii="仿宋" w:hAnsi="仿宋" w:eastAsia="仿宋"/>
                <w:sz w:val="24"/>
                <w:szCs w:val="24"/>
              </w:rPr>
            </w:pPr>
            <w:r>
              <w:rPr>
                <w:rFonts w:hint="eastAsia" w:ascii="仿宋" w:hAnsi="仿宋" w:eastAsia="仿宋"/>
                <w:bCs/>
                <w:sz w:val="24"/>
                <w:szCs w:val="24"/>
              </w:rPr>
              <w:t>（L）</w:t>
            </w:r>
          </w:p>
          <w:p w14:paraId="1100B242">
            <w:pPr>
              <w:widowControl/>
              <w:autoSpaceDE w:val="0"/>
              <w:ind w:firstLine="360" w:firstLineChars="150"/>
              <w:jc w:val="left"/>
              <w:rPr>
                <w:rFonts w:hint="eastAsia" w:ascii="仿宋" w:hAnsi="仿宋" w:eastAsia="仿宋"/>
                <w:sz w:val="24"/>
                <w:szCs w:val="24"/>
              </w:rPr>
            </w:pPr>
            <w:r>
              <w:rPr>
                <w:rFonts w:hint="eastAsia" w:ascii="仿宋" w:hAnsi="仿宋" w:eastAsia="仿宋"/>
                <w:sz w:val="24"/>
                <w:szCs w:val="24"/>
              </w:rPr>
              <w:t>教育情怀</w:t>
            </w:r>
          </w:p>
          <w:p w14:paraId="0AFC00D8">
            <w:pPr>
              <w:autoSpaceDE w:val="0"/>
              <w:ind w:firstLine="600" w:firstLineChars="250"/>
              <w:rPr>
                <w:rFonts w:hint="eastAsia" w:ascii="仿宋" w:hAnsi="仿宋" w:eastAsia="仿宋"/>
                <w:bCs/>
                <w:sz w:val="24"/>
                <w:szCs w:val="24"/>
              </w:rPr>
            </w:pPr>
            <w:r>
              <w:rPr>
                <w:rFonts w:hint="eastAsia" w:ascii="仿宋" w:hAnsi="仿宋" w:eastAsia="仿宋"/>
                <w:bCs/>
                <w:sz w:val="24"/>
                <w:szCs w:val="24"/>
              </w:rPr>
              <w:t>（M）</w:t>
            </w:r>
          </w:p>
          <w:p w14:paraId="283524C9">
            <w:pPr>
              <w:jc w:val="center"/>
              <w:rPr>
                <w:rFonts w:hint="eastAsia" w:ascii="仿宋" w:hAnsi="仿宋" w:eastAsia="仿宋" w:cs="仿宋"/>
                <w:bCs/>
                <w:sz w:val="24"/>
                <w:szCs w:val="24"/>
              </w:rPr>
            </w:pPr>
          </w:p>
        </w:tc>
      </w:tr>
      <w:tr w14:paraId="5BDBA37D">
        <w:trPr>
          <w:trHeight w:val="817" w:hRule="atLeast"/>
        </w:trPr>
        <w:tc>
          <w:tcPr>
            <w:tcW w:w="1375" w:type="dxa"/>
            <w:vMerge w:val="continue"/>
            <w:shd w:val="clear" w:color="auto" w:fill="FFFFFF"/>
            <w:vAlign w:val="center"/>
          </w:tcPr>
          <w:p w14:paraId="03D972D6">
            <w:pPr>
              <w:jc w:val="center"/>
              <w:rPr>
                <w:rFonts w:hint="eastAsia" w:ascii="仿宋" w:hAnsi="仿宋" w:eastAsia="仿宋" w:cs="仿宋"/>
                <w:sz w:val="24"/>
                <w:szCs w:val="24"/>
              </w:rPr>
            </w:pPr>
          </w:p>
        </w:tc>
        <w:tc>
          <w:tcPr>
            <w:tcW w:w="1166" w:type="dxa"/>
            <w:tcBorders>
              <w:bottom w:val="single" w:color="auto" w:sz="4" w:space="0"/>
            </w:tcBorders>
            <w:shd w:val="clear" w:color="auto" w:fill="FFFFFF"/>
            <w:vAlign w:val="center"/>
          </w:tcPr>
          <w:p w14:paraId="5E499379">
            <w:pPr>
              <w:jc w:val="center"/>
              <w:rPr>
                <w:rFonts w:hint="eastAsia" w:ascii="仿宋" w:hAnsi="仿宋" w:eastAsia="仿宋" w:cs="仿宋"/>
                <w:sz w:val="24"/>
                <w:szCs w:val="24"/>
              </w:rPr>
            </w:pPr>
            <w:r>
              <w:rPr>
                <w:rFonts w:hint="eastAsia" w:ascii="仿宋" w:hAnsi="仿宋" w:eastAsia="仿宋" w:cs="仿宋"/>
                <w:sz w:val="24"/>
                <w:szCs w:val="24"/>
              </w:rPr>
              <w:t>课程目标2</w:t>
            </w:r>
          </w:p>
        </w:tc>
        <w:tc>
          <w:tcPr>
            <w:tcW w:w="4525" w:type="dxa"/>
            <w:gridSpan w:val="8"/>
            <w:shd w:val="clear" w:color="auto" w:fill="FFFFFF"/>
            <w:vAlign w:val="center"/>
          </w:tcPr>
          <w:p w14:paraId="42332A2E">
            <w:pPr>
              <w:rPr>
                <w:rFonts w:hint="eastAsia" w:ascii="仿宋" w:hAnsi="仿宋" w:eastAsia="仿宋" w:cs="仿宋"/>
                <w:sz w:val="24"/>
                <w:szCs w:val="24"/>
              </w:rPr>
            </w:pPr>
            <w:r>
              <w:rPr>
                <w:rFonts w:hint="eastAsia" w:ascii="仿宋" w:hAnsi="仿宋" w:eastAsia="仿宋" w:cs="仿宋"/>
                <w:sz w:val="24"/>
                <w:szCs w:val="24"/>
              </w:rPr>
              <w:t>3.1【专业技能】掌握音乐学科技法技能多项基本功，掌握音乐学科基础知识、基本理论、体系结构与思想方法，理解音乐学科的核心素养的内涵，形成音乐学科核心素养。</w:t>
            </w:r>
          </w:p>
          <w:p w14:paraId="506D6974">
            <w:pPr>
              <w:rPr>
                <w:rFonts w:hint="eastAsia" w:ascii="仿宋" w:hAnsi="仿宋" w:eastAsia="仿宋" w:cs="仿宋"/>
                <w:sz w:val="24"/>
                <w:szCs w:val="24"/>
              </w:rPr>
            </w:pPr>
            <w:r>
              <w:rPr>
                <w:rFonts w:hint="eastAsia" w:ascii="仿宋" w:hAnsi="仿宋" w:eastAsia="仿宋" w:cs="仿宋"/>
                <w:sz w:val="24"/>
                <w:szCs w:val="24"/>
              </w:rPr>
              <w:t>3.2【</w:t>
            </w:r>
            <w:r>
              <w:rPr>
                <w:rFonts w:hint="eastAsia" w:ascii="仿宋" w:hAnsi="仿宋" w:eastAsia="仿宋" w:cs="仿宋"/>
                <w:sz w:val="24"/>
                <w:szCs w:val="24"/>
                <w:lang w:eastAsia="en-US"/>
              </w:rPr>
              <w:t>理论</w:t>
            </w:r>
            <w:r>
              <w:rPr>
                <w:rFonts w:hint="eastAsia" w:ascii="仿宋" w:hAnsi="仿宋" w:eastAsia="仿宋" w:cs="仿宋"/>
                <w:sz w:val="24"/>
                <w:szCs w:val="24"/>
              </w:rPr>
              <w:t>素养】掌握</w:t>
            </w:r>
            <w:r>
              <w:rPr>
                <w:rFonts w:hint="eastAsia" w:ascii="仿宋" w:hAnsi="仿宋" w:eastAsia="仿宋" w:cs="仿宋"/>
                <w:sz w:val="24"/>
                <w:szCs w:val="24"/>
                <w:lang w:eastAsia="en-US"/>
              </w:rPr>
              <w:t>音乐</w:t>
            </w:r>
            <w:r>
              <w:rPr>
                <w:rFonts w:hint="eastAsia" w:ascii="仿宋" w:hAnsi="仿宋" w:eastAsia="仿宋" w:cs="仿宋"/>
                <w:sz w:val="24"/>
                <w:szCs w:val="24"/>
              </w:rPr>
              <w:t>理论的基本知识，了解中外音乐史的总体框架，</w:t>
            </w:r>
            <w:r>
              <w:rPr>
                <w:rFonts w:hint="eastAsia" w:ascii="仿宋" w:hAnsi="仿宋" w:eastAsia="仿宋" w:cs="仿宋"/>
                <w:sz w:val="24"/>
                <w:szCs w:val="24"/>
                <w:lang w:eastAsia="en-US"/>
              </w:rPr>
              <w:t>理解</w:t>
            </w:r>
            <w:r>
              <w:rPr>
                <w:rFonts w:hint="eastAsia" w:ascii="仿宋" w:hAnsi="仿宋" w:eastAsia="仿宋" w:cs="仿宋"/>
                <w:sz w:val="24"/>
                <w:szCs w:val="24"/>
              </w:rPr>
              <w:t>音乐理论课程之间的相互关联，形成</w:t>
            </w:r>
            <w:r>
              <w:rPr>
                <w:rFonts w:hint="eastAsia" w:ascii="仿宋" w:hAnsi="仿宋" w:eastAsia="仿宋" w:cs="仿宋"/>
                <w:sz w:val="24"/>
                <w:szCs w:val="24"/>
                <w:lang w:eastAsia="en-US"/>
              </w:rPr>
              <w:t>初步的音乐</w:t>
            </w:r>
            <w:r>
              <w:rPr>
                <w:rFonts w:hint="eastAsia" w:ascii="仿宋" w:hAnsi="仿宋" w:eastAsia="仿宋" w:cs="仿宋"/>
                <w:sz w:val="24"/>
                <w:szCs w:val="24"/>
              </w:rPr>
              <w:t>理论知识体系，</w:t>
            </w:r>
            <w:r>
              <w:rPr>
                <w:rFonts w:hint="eastAsia" w:ascii="仿宋" w:hAnsi="仿宋" w:eastAsia="仿宋" w:cs="仿宋"/>
                <w:sz w:val="24"/>
                <w:szCs w:val="24"/>
                <w:lang w:eastAsia="en-US"/>
              </w:rPr>
              <w:t>能够</w:t>
            </w:r>
            <w:r>
              <w:rPr>
                <w:rFonts w:hint="eastAsia" w:ascii="仿宋" w:hAnsi="仿宋" w:eastAsia="仿宋" w:cs="仿宋"/>
                <w:sz w:val="24"/>
                <w:szCs w:val="24"/>
              </w:rPr>
              <w:t>综合运用音乐理论知识解决实践教学问题。</w:t>
            </w:r>
          </w:p>
        </w:tc>
        <w:tc>
          <w:tcPr>
            <w:tcW w:w="2082" w:type="dxa"/>
            <w:gridSpan w:val="4"/>
            <w:shd w:val="clear" w:color="auto" w:fill="FFFFFF"/>
            <w:vAlign w:val="center"/>
          </w:tcPr>
          <w:p w14:paraId="0CDC11E3">
            <w:pPr>
              <w:jc w:val="center"/>
              <w:rPr>
                <w:rFonts w:hint="eastAsia" w:ascii="仿宋" w:hAnsi="仿宋" w:eastAsia="仿宋" w:cs="仿宋"/>
                <w:bCs/>
                <w:sz w:val="24"/>
                <w:szCs w:val="24"/>
              </w:rPr>
            </w:pPr>
            <w:r>
              <w:rPr>
                <w:rFonts w:hint="eastAsia" w:ascii="仿宋" w:hAnsi="仿宋" w:eastAsia="仿宋" w:cs="仿宋"/>
                <w:bCs/>
                <w:sz w:val="24"/>
                <w:szCs w:val="24"/>
              </w:rPr>
              <w:t>学科素养</w:t>
            </w:r>
          </w:p>
          <w:p w14:paraId="07B97D9C">
            <w:pPr>
              <w:jc w:val="center"/>
              <w:rPr>
                <w:rFonts w:hint="eastAsia" w:ascii="仿宋" w:hAnsi="仿宋" w:eastAsia="仿宋" w:cs="仿宋"/>
                <w:sz w:val="24"/>
                <w:szCs w:val="24"/>
              </w:rPr>
            </w:pPr>
            <w:r>
              <w:rPr>
                <w:rFonts w:hint="eastAsia" w:ascii="仿宋" w:hAnsi="仿宋" w:eastAsia="仿宋" w:cs="仿宋"/>
                <w:bCs/>
                <w:sz w:val="24"/>
                <w:szCs w:val="24"/>
              </w:rPr>
              <w:t>（H）</w:t>
            </w:r>
          </w:p>
        </w:tc>
      </w:tr>
      <w:tr w14:paraId="29E7337C">
        <w:trPr>
          <w:trHeight w:val="817" w:hRule="atLeast"/>
        </w:trPr>
        <w:tc>
          <w:tcPr>
            <w:tcW w:w="1375" w:type="dxa"/>
            <w:vMerge w:val="continue"/>
            <w:shd w:val="clear" w:color="auto" w:fill="FFFFFF"/>
            <w:vAlign w:val="center"/>
          </w:tcPr>
          <w:p w14:paraId="58643128">
            <w:pPr>
              <w:jc w:val="center"/>
              <w:rPr>
                <w:rFonts w:hint="eastAsia" w:ascii="仿宋" w:hAnsi="仿宋" w:eastAsia="仿宋" w:cs="仿宋"/>
                <w:sz w:val="24"/>
                <w:szCs w:val="24"/>
              </w:rPr>
            </w:pPr>
          </w:p>
        </w:tc>
        <w:tc>
          <w:tcPr>
            <w:tcW w:w="1166" w:type="dxa"/>
            <w:shd w:val="clear" w:color="auto" w:fill="FFFFFF"/>
            <w:vAlign w:val="center"/>
          </w:tcPr>
          <w:p w14:paraId="35EC70BD">
            <w:pPr>
              <w:jc w:val="center"/>
              <w:rPr>
                <w:rFonts w:hint="eastAsia" w:ascii="仿宋" w:hAnsi="仿宋" w:eastAsia="仿宋" w:cs="仿宋"/>
                <w:sz w:val="24"/>
                <w:szCs w:val="24"/>
              </w:rPr>
            </w:pPr>
            <w:r>
              <w:rPr>
                <w:rFonts w:hint="eastAsia" w:ascii="仿宋" w:hAnsi="仿宋" w:eastAsia="仿宋" w:cs="仿宋"/>
                <w:sz w:val="24"/>
                <w:szCs w:val="24"/>
              </w:rPr>
              <w:t>课程目标3</w:t>
            </w:r>
          </w:p>
        </w:tc>
        <w:tc>
          <w:tcPr>
            <w:tcW w:w="4525" w:type="dxa"/>
            <w:gridSpan w:val="8"/>
            <w:shd w:val="clear" w:color="auto" w:fill="FFFFFF"/>
            <w:vAlign w:val="center"/>
          </w:tcPr>
          <w:p w14:paraId="0E1262A5">
            <w:pPr>
              <w:rPr>
                <w:rFonts w:hint="eastAsia" w:ascii="仿宋" w:hAnsi="仿宋" w:eastAsia="仿宋" w:cs="仿宋"/>
                <w:sz w:val="24"/>
                <w:szCs w:val="24"/>
              </w:rPr>
            </w:pPr>
            <w:r>
              <w:rPr>
                <w:rFonts w:hint="eastAsia" w:ascii="仿宋" w:hAnsi="仿宋" w:eastAsia="仿宋" w:cs="仿宋"/>
                <w:sz w:val="24"/>
                <w:szCs w:val="24"/>
              </w:rPr>
              <w:t>7.1【反思改进】具有反思意识和批评性思维素养，初步掌握教育教学反思的基本方法和策略，能够对音乐教育教学实践活动进行有效的自我诊断，提出改进思路。</w:t>
            </w:r>
          </w:p>
        </w:tc>
        <w:tc>
          <w:tcPr>
            <w:tcW w:w="2082" w:type="dxa"/>
            <w:gridSpan w:val="4"/>
            <w:shd w:val="clear" w:color="auto" w:fill="FFFFFF"/>
            <w:vAlign w:val="center"/>
          </w:tcPr>
          <w:p w14:paraId="45488396">
            <w:pPr>
              <w:jc w:val="center"/>
              <w:rPr>
                <w:rFonts w:hint="eastAsia" w:ascii="仿宋" w:hAnsi="仿宋" w:eastAsia="仿宋" w:cs="仿宋"/>
                <w:sz w:val="24"/>
                <w:szCs w:val="24"/>
              </w:rPr>
            </w:pPr>
            <w:r>
              <w:rPr>
                <w:rFonts w:hint="eastAsia" w:ascii="仿宋" w:hAnsi="仿宋" w:eastAsia="仿宋" w:cs="仿宋"/>
                <w:sz w:val="24"/>
                <w:szCs w:val="24"/>
              </w:rPr>
              <w:t>学会反思</w:t>
            </w:r>
          </w:p>
          <w:p w14:paraId="3C131394">
            <w:pPr>
              <w:jc w:val="center"/>
              <w:rPr>
                <w:rFonts w:hint="eastAsia" w:ascii="仿宋" w:hAnsi="仿宋" w:eastAsia="仿宋" w:cs="仿宋"/>
                <w:sz w:val="24"/>
                <w:szCs w:val="24"/>
              </w:rPr>
            </w:pPr>
            <w:r>
              <w:rPr>
                <w:rFonts w:hint="eastAsia" w:ascii="仿宋" w:hAnsi="仿宋" w:eastAsia="仿宋" w:cs="仿宋"/>
                <w:sz w:val="24"/>
                <w:szCs w:val="24"/>
              </w:rPr>
              <w:t>（M）</w:t>
            </w:r>
          </w:p>
        </w:tc>
      </w:tr>
      <w:tr w14:paraId="39CA8AF9">
        <w:trPr>
          <w:trHeight w:val="582" w:hRule="atLeast"/>
        </w:trPr>
        <w:tc>
          <w:tcPr>
            <w:tcW w:w="1375" w:type="dxa"/>
            <w:vMerge w:val="restart"/>
            <w:shd w:val="clear" w:color="auto" w:fill="FFFFFF"/>
            <w:vAlign w:val="center"/>
          </w:tcPr>
          <w:p w14:paraId="3773A39A">
            <w:pPr>
              <w:jc w:val="center"/>
              <w:rPr>
                <w:rFonts w:hint="eastAsia" w:ascii="仿宋" w:hAnsi="仿宋" w:eastAsia="仿宋" w:cs="仿宋"/>
                <w:sz w:val="24"/>
                <w:szCs w:val="24"/>
              </w:rPr>
            </w:pPr>
            <w:r>
              <w:rPr>
                <w:rFonts w:hint="eastAsia" w:ascii="仿宋" w:hAnsi="仿宋" w:eastAsia="仿宋" w:cs="仿宋"/>
                <w:sz w:val="24"/>
                <w:szCs w:val="24"/>
              </w:rPr>
              <w:t>F</w:t>
            </w:r>
          </w:p>
          <w:p w14:paraId="00F2600F">
            <w:pPr>
              <w:jc w:val="center"/>
              <w:rPr>
                <w:rFonts w:hint="eastAsia" w:ascii="仿宋" w:hAnsi="仿宋" w:eastAsia="仿宋" w:cs="仿宋"/>
                <w:sz w:val="24"/>
                <w:szCs w:val="24"/>
              </w:rPr>
            </w:pPr>
            <w:r>
              <w:rPr>
                <w:rFonts w:hint="eastAsia" w:ascii="仿宋" w:hAnsi="仿宋" w:eastAsia="仿宋" w:cs="仿宋"/>
                <w:sz w:val="24"/>
                <w:szCs w:val="24"/>
              </w:rPr>
              <w:t>理论学习内容</w:t>
            </w:r>
          </w:p>
        </w:tc>
        <w:tc>
          <w:tcPr>
            <w:tcW w:w="1166" w:type="dxa"/>
            <w:shd w:val="clear" w:color="auto" w:fill="FFFFFF"/>
            <w:vAlign w:val="center"/>
          </w:tcPr>
          <w:p w14:paraId="0BC99A99">
            <w:pPr>
              <w:jc w:val="center"/>
              <w:rPr>
                <w:rFonts w:hint="eastAsia" w:ascii="仿宋" w:hAnsi="仿宋" w:eastAsia="仿宋" w:cs="仿宋"/>
                <w:kern w:val="0"/>
                <w:sz w:val="24"/>
                <w:szCs w:val="24"/>
              </w:rPr>
            </w:pPr>
            <w:r>
              <w:rPr>
                <w:rFonts w:hint="eastAsia" w:ascii="仿宋" w:hAnsi="仿宋" w:eastAsia="仿宋" w:cs="仿宋"/>
                <w:kern w:val="0"/>
                <w:sz w:val="24"/>
                <w:szCs w:val="24"/>
              </w:rPr>
              <w:t>章节学习内容与学习要求</w:t>
            </w:r>
          </w:p>
        </w:tc>
        <w:tc>
          <w:tcPr>
            <w:tcW w:w="5678" w:type="dxa"/>
            <w:gridSpan w:val="10"/>
            <w:shd w:val="clear" w:color="auto" w:fill="FFFFFF"/>
            <w:vAlign w:val="center"/>
          </w:tcPr>
          <w:p w14:paraId="4681ADA6">
            <w:pPr>
              <w:jc w:val="center"/>
              <w:rPr>
                <w:rFonts w:hint="eastAsia" w:ascii="仿宋" w:hAnsi="仿宋" w:eastAsia="仿宋" w:cs="仿宋"/>
                <w:kern w:val="0"/>
                <w:sz w:val="24"/>
                <w:szCs w:val="24"/>
              </w:rPr>
            </w:pPr>
            <w:r>
              <w:rPr>
                <w:rFonts w:hint="eastAsia" w:ascii="仿宋" w:hAnsi="仿宋" w:eastAsia="仿宋" w:cs="仿宋"/>
                <w:kern w:val="0"/>
                <w:sz w:val="24"/>
                <w:szCs w:val="24"/>
              </w:rPr>
              <w:t>支撑课程</w:t>
            </w:r>
          </w:p>
          <w:p w14:paraId="1B2D45D9">
            <w:pPr>
              <w:jc w:val="center"/>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929" w:type="dxa"/>
            <w:gridSpan w:val="2"/>
            <w:shd w:val="clear" w:color="auto" w:fill="FFFFFF"/>
            <w:vAlign w:val="center"/>
          </w:tcPr>
          <w:p w14:paraId="1200D5D3">
            <w:pPr>
              <w:jc w:val="center"/>
              <w:rPr>
                <w:rFonts w:ascii="仿宋" w:hAnsi="仿宋" w:eastAsia="仿宋" w:cs="仿宋"/>
                <w:kern w:val="0"/>
                <w:sz w:val="24"/>
                <w:szCs w:val="24"/>
              </w:rPr>
            </w:pPr>
            <w:r>
              <w:rPr>
                <w:rFonts w:hint="eastAsia" w:ascii="仿宋" w:hAnsi="仿宋" w:eastAsia="仿宋" w:cs="仿宋"/>
                <w:kern w:val="0"/>
                <w:sz w:val="24"/>
                <w:szCs w:val="24"/>
              </w:rPr>
              <w:t>学时</w:t>
            </w:r>
          </w:p>
          <w:p w14:paraId="74A6DE51">
            <w:pPr>
              <w:jc w:val="center"/>
              <w:rPr>
                <w:rFonts w:hint="eastAsia" w:ascii="仿宋" w:hAnsi="仿宋" w:eastAsia="仿宋" w:cs="仿宋"/>
                <w:kern w:val="0"/>
                <w:sz w:val="24"/>
                <w:szCs w:val="24"/>
              </w:rPr>
            </w:pPr>
            <w:r>
              <w:rPr>
                <w:rFonts w:hint="eastAsia" w:ascii="仿宋" w:hAnsi="仿宋" w:eastAsia="仿宋" w:cs="仿宋"/>
                <w:kern w:val="0"/>
                <w:sz w:val="24"/>
                <w:szCs w:val="24"/>
              </w:rPr>
              <w:t>分配</w:t>
            </w:r>
          </w:p>
        </w:tc>
      </w:tr>
      <w:tr w14:paraId="3C33B5FE">
        <w:trPr>
          <w:trHeight w:val="454" w:hRule="atLeast"/>
        </w:trPr>
        <w:tc>
          <w:tcPr>
            <w:tcW w:w="1375" w:type="dxa"/>
            <w:vMerge w:val="continue"/>
            <w:shd w:val="clear" w:color="auto" w:fill="FFFFFF"/>
            <w:vAlign w:val="center"/>
          </w:tcPr>
          <w:p w14:paraId="49FE507E">
            <w:pPr>
              <w:jc w:val="right"/>
              <w:rPr>
                <w:rFonts w:hint="eastAsia" w:ascii="仿宋" w:hAnsi="仿宋" w:eastAsia="仿宋" w:cs="仿宋"/>
                <w:sz w:val="24"/>
                <w:szCs w:val="24"/>
              </w:rPr>
            </w:pPr>
          </w:p>
        </w:tc>
        <w:tc>
          <w:tcPr>
            <w:tcW w:w="1166" w:type="dxa"/>
            <w:vAlign w:val="center"/>
          </w:tcPr>
          <w:p w14:paraId="0C4F995F">
            <w:pPr>
              <w:widowControl/>
              <w:rPr>
                <w:rFonts w:hint="eastAsia" w:ascii="仿宋" w:hAnsi="仿宋" w:eastAsia="仿宋" w:cs="仿宋"/>
                <w:sz w:val="24"/>
                <w:szCs w:val="24"/>
              </w:rPr>
            </w:pPr>
          </w:p>
        </w:tc>
        <w:tc>
          <w:tcPr>
            <w:tcW w:w="5678" w:type="dxa"/>
            <w:gridSpan w:val="10"/>
            <w:vAlign w:val="center"/>
          </w:tcPr>
          <w:p w14:paraId="40DFC63C">
            <w:pPr>
              <w:widowControl/>
              <w:jc w:val="center"/>
              <w:rPr>
                <w:rFonts w:hint="eastAsia" w:ascii="仿宋" w:hAnsi="仿宋" w:eastAsia="仿宋" w:cs="仿宋"/>
                <w:bCs/>
                <w:sz w:val="24"/>
                <w:szCs w:val="24"/>
              </w:rPr>
            </w:pPr>
          </w:p>
        </w:tc>
        <w:tc>
          <w:tcPr>
            <w:tcW w:w="929" w:type="dxa"/>
            <w:gridSpan w:val="2"/>
            <w:shd w:val="clear" w:color="auto" w:fill="FFFFFF"/>
            <w:vAlign w:val="center"/>
          </w:tcPr>
          <w:p w14:paraId="04AFF6C1">
            <w:pPr>
              <w:jc w:val="center"/>
              <w:rPr>
                <w:rFonts w:hint="eastAsia" w:ascii="仿宋" w:hAnsi="仿宋" w:eastAsia="仿宋" w:cs="仿宋"/>
                <w:sz w:val="24"/>
                <w:szCs w:val="24"/>
              </w:rPr>
            </w:pPr>
          </w:p>
        </w:tc>
      </w:tr>
      <w:tr w14:paraId="5C339D79">
        <w:trPr>
          <w:trHeight w:val="454" w:hRule="atLeast"/>
        </w:trPr>
        <w:tc>
          <w:tcPr>
            <w:tcW w:w="1375" w:type="dxa"/>
            <w:vMerge w:val="continue"/>
            <w:shd w:val="clear" w:color="auto" w:fill="FFFFFF"/>
            <w:vAlign w:val="center"/>
          </w:tcPr>
          <w:p w14:paraId="59F7B8CC">
            <w:pPr>
              <w:jc w:val="right"/>
              <w:rPr>
                <w:rFonts w:hint="eastAsia" w:ascii="仿宋" w:hAnsi="仿宋" w:eastAsia="仿宋" w:cs="仿宋"/>
                <w:sz w:val="24"/>
                <w:szCs w:val="24"/>
              </w:rPr>
            </w:pPr>
          </w:p>
        </w:tc>
        <w:tc>
          <w:tcPr>
            <w:tcW w:w="1166" w:type="dxa"/>
            <w:vAlign w:val="center"/>
          </w:tcPr>
          <w:p w14:paraId="1C674ECB">
            <w:pPr>
              <w:rPr>
                <w:rFonts w:hint="eastAsia" w:ascii="仿宋" w:hAnsi="仿宋" w:eastAsia="仿宋" w:cs="仿宋"/>
                <w:sz w:val="24"/>
                <w:szCs w:val="24"/>
              </w:rPr>
            </w:pPr>
          </w:p>
        </w:tc>
        <w:tc>
          <w:tcPr>
            <w:tcW w:w="5678" w:type="dxa"/>
            <w:gridSpan w:val="10"/>
            <w:vAlign w:val="center"/>
          </w:tcPr>
          <w:p w14:paraId="50171E4A">
            <w:pPr>
              <w:jc w:val="center"/>
              <w:rPr>
                <w:rFonts w:hint="eastAsia" w:ascii="仿宋" w:hAnsi="仿宋" w:eastAsia="仿宋" w:cs="仿宋"/>
                <w:bCs/>
                <w:sz w:val="24"/>
                <w:szCs w:val="24"/>
              </w:rPr>
            </w:pPr>
          </w:p>
        </w:tc>
        <w:tc>
          <w:tcPr>
            <w:tcW w:w="929" w:type="dxa"/>
            <w:gridSpan w:val="2"/>
            <w:shd w:val="clear" w:color="auto" w:fill="FFFFFF"/>
            <w:vAlign w:val="center"/>
          </w:tcPr>
          <w:p w14:paraId="1480AF55">
            <w:pPr>
              <w:jc w:val="center"/>
              <w:rPr>
                <w:rFonts w:hint="eastAsia" w:ascii="仿宋" w:hAnsi="仿宋" w:eastAsia="仿宋" w:cs="仿宋"/>
                <w:sz w:val="24"/>
                <w:szCs w:val="24"/>
              </w:rPr>
            </w:pPr>
          </w:p>
        </w:tc>
      </w:tr>
      <w:tr w14:paraId="2C7D1526">
        <w:trPr>
          <w:trHeight w:val="454" w:hRule="atLeast"/>
        </w:trPr>
        <w:tc>
          <w:tcPr>
            <w:tcW w:w="1375" w:type="dxa"/>
            <w:vMerge w:val="continue"/>
            <w:shd w:val="clear" w:color="auto" w:fill="FFFFFF"/>
            <w:vAlign w:val="center"/>
          </w:tcPr>
          <w:p w14:paraId="69EEC757">
            <w:pPr>
              <w:jc w:val="center"/>
              <w:rPr>
                <w:rFonts w:hint="eastAsia" w:ascii="仿宋" w:hAnsi="仿宋" w:eastAsia="仿宋" w:cs="仿宋"/>
                <w:sz w:val="24"/>
                <w:szCs w:val="24"/>
              </w:rPr>
            </w:pPr>
          </w:p>
        </w:tc>
        <w:tc>
          <w:tcPr>
            <w:tcW w:w="6844" w:type="dxa"/>
            <w:gridSpan w:val="11"/>
            <w:vAlign w:val="center"/>
          </w:tcPr>
          <w:p w14:paraId="600177A9">
            <w:pPr>
              <w:jc w:val="center"/>
              <w:rPr>
                <w:rFonts w:hint="eastAsia" w:ascii="仿宋" w:hAnsi="仿宋" w:eastAsia="仿宋" w:cs="仿宋"/>
                <w:bCs/>
                <w:sz w:val="24"/>
                <w:szCs w:val="24"/>
              </w:rPr>
            </w:pPr>
            <w:r>
              <w:rPr>
                <w:rFonts w:hint="eastAsia" w:ascii="仿宋" w:hAnsi="仿宋" w:eastAsia="仿宋" w:cs="仿宋"/>
                <w:bCs/>
                <w:sz w:val="24"/>
                <w:szCs w:val="24"/>
              </w:rPr>
              <w:t>合计</w:t>
            </w:r>
          </w:p>
        </w:tc>
        <w:tc>
          <w:tcPr>
            <w:tcW w:w="929" w:type="dxa"/>
            <w:gridSpan w:val="2"/>
            <w:shd w:val="clear" w:color="auto" w:fill="FFFFFF"/>
            <w:vAlign w:val="center"/>
          </w:tcPr>
          <w:p w14:paraId="24B1A7EA">
            <w:pPr>
              <w:jc w:val="center"/>
              <w:rPr>
                <w:rFonts w:hint="eastAsia" w:ascii="仿宋" w:hAnsi="仿宋" w:eastAsia="仿宋" w:cs="仿宋"/>
                <w:sz w:val="24"/>
                <w:szCs w:val="24"/>
              </w:rPr>
            </w:pPr>
          </w:p>
        </w:tc>
      </w:tr>
      <w:tr w14:paraId="2309F977">
        <w:trPr>
          <w:trHeight w:val="454" w:hRule="atLeast"/>
        </w:trPr>
        <w:tc>
          <w:tcPr>
            <w:tcW w:w="1375" w:type="dxa"/>
            <w:vMerge w:val="restart"/>
            <w:shd w:val="clear" w:color="auto" w:fill="FFFFFF"/>
            <w:vAlign w:val="center"/>
          </w:tcPr>
          <w:p w14:paraId="1FD9F7A3">
            <w:pPr>
              <w:jc w:val="center"/>
              <w:rPr>
                <w:rFonts w:hint="eastAsia" w:ascii="仿宋" w:hAnsi="仿宋" w:eastAsia="仿宋" w:cs="仿宋"/>
                <w:sz w:val="24"/>
                <w:szCs w:val="24"/>
              </w:rPr>
            </w:pPr>
            <w:r>
              <w:rPr>
                <w:rFonts w:hint="eastAsia" w:ascii="仿宋" w:hAnsi="仿宋" w:eastAsia="仿宋" w:cs="仿宋"/>
                <w:sz w:val="24"/>
                <w:szCs w:val="24"/>
              </w:rPr>
              <w:t>G</w:t>
            </w:r>
          </w:p>
          <w:p w14:paraId="2FD89E3E">
            <w:pPr>
              <w:jc w:val="center"/>
              <w:rPr>
                <w:rFonts w:hint="eastAsia" w:ascii="仿宋" w:hAnsi="仿宋" w:eastAsia="仿宋" w:cs="仿宋"/>
                <w:sz w:val="24"/>
                <w:szCs w:val="24"/>
              </w:rPr>
            </w:pPr>
            <w:r>
              <w:rPr>
                <w:rFonts w:hint="eastAsia" w:ascii="仿宋" w:hAnsi="仿宋" w:eastAsia="仿宋" w:cs="仿宋"/>
                <w:sz w:val="24"/>
                <w:szCs w:val="24"/>
              </w:rPr>
              <w:t>技能（实训）内容</w:t>
            </w:r>
          </w:p>
        </w:tc>
        <w:tc>
          <w:tcPr>
            <w:tcW w:w="5691" w:type="dxa"/>
            <w:gridSpan w:val="9"/>
            <w:vAlign w:val="center"/>
          </w:tcPr>
          <w:p w14:paraId="3FEB4684">
            <w:pPr>
              <w:jc w:val="center"/>
              <w:rPr>
                <w:rFonts w:hint="eastAsia" w:ascii="仿宋" w:hAnsi="仿宋" w:eastAsia="仿宋" w:cs="仿宋"/>
                <w:kern w:val="0"/>
                <w:sz w:val="24"/>
                <w:szCs w:val="24"/>
              </w:rPr>
            </w:pPr>
            <w:r>
              <w:rPr>
                <w:rFonts w:hint="eastAsia" w:ascii="仿宋" w:hAnsi="仿宋" w:eastAsia="仿宋" w:cs="仿宋"/>
                <w:kern w:val="0"/>
                <w:sz w:val="24"/>
                <w:szCs w:val="24"/>
              </w:rPr>
              <w:t>实训目的及任务</w:t>
            </w:r>
          </w:p>
        </w:tc>
        <w:tc>
          <w:tcPr>
            <w:tcW w:w="1153" w:type="dxa"/>
            <w:gridSpan w:val="2"/>
            <w:vAlign w:val="center"/>
          </w:tcPr>
          <w:p w14:paraId="6A93B987">
            <w:pPr>
              <w:jc w:val="center"/>
              <w:rPr>
                <w:rFonts w:hint="eastAsia" w:ascii="仿宋" w:hAnsi="仿宋" w:eastAsia="仿宋" w:cs="仿宋"/>
                <w:kern w:val="0"/>
                <w:sz w:val="24"/>
                <w:szCs w:val="24"/>
              </w:rPr>
            </w:pPr>
            <w:r>
              <w:rPr>
                <w:rFonts w:hint="eastAsia" w:ascii="仿宋" w:hAnsi="仿宋" w:eastAsia="仿宋" w:cs="仿宋"/>
                <w:kern w:val="0"/>
                <w:sz w:val="24"/>
                <w:szCs w:val="24"/>
              </w:rPr>
              <w:t>支撑课程</w:t>
            </w:r>
          </w:p>
          <w:p w14:paraId="4FF30916">
            <w:pPr>
              <w:jc w:val="center"/>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929" w:type="dxa"/>
            <w:gridSpan w:val="2"/>
            <w:shd w:val="clear" w:color="auto" w:fill="FFFFFF"/>
            <w:vAlign w:val="center"/>
          </w:tcPr>
          <w:p w14:paraId="64DAC593">
            <w:pPr>
              <w:jc w:val="center"/>
              <w:rPr>
                <w:rFonts w:ascii="仿宋" w:hAnsi="仿宋" w:eastAsia="仿宋" w:cs="仿宋"/>
                <w:kern w:val="0"/>
                <w:sz w:val="24"/>
                <w:szCs w:val="24"/>
              </w:rPr>
            </w:pPr>
            <w:r>
              <w:rPr>
                <w:rFonts w:hint="eastAsia" w:ascii="仿宋" w:hAnsi="仿宋" w:eastAsia="仿宋" w:cs="仿宋"/>
                <w:kern w:val="0"/>
                <w:sz w:val="24"/>
                <w:szCs w:val="24"/>
              </w:rPr>
              <w:t xml:space="preserve">学时 </w:t>
            </w:r>
          </w:p>
          <w:p w14:paraId="39CA2D2A">
            <w:pPr>
              <w:jc w:val="center"/>
              <w:rPr>
                <w:rFonts w:hint="eastAsia" w:ascii="仿宋" w:hAnsi="仿宋" w:eastAsia="仿宋" w:cs="仿宋"/>
                <w:sz w:val="24"/>
                <w:szCs w:val="24"/>
              </w:rPr>
            </w:pPr>
            <w:r>
              <w:rPr>
                <w:rFonts w:hint="eastAsia" w:ascii="仿宋" w:hAnsi="仿宋" w:eastAsia="仿宋" w:cs="仿宋"/>
                <w:kern w:val="0"/>
                <w:sz w:val="24"/>
                <w:szCs w:val="24"/>
              </w:rPr>
              <w:t>分配</w:t>
            </w:r>
          </w:p>
        </w:tc>
      </w:tr>
      <w:tr w14:paraId="10B5B1D1">
        <w:trPr>
          <w:trHeight w:val="1757" w:hRule="atLeast"/>
        </w:trPr>
        <w:tc>
          <w:tcPr>
            <w:tcW w:w="1375" w:type="dxa"/>
            <w:vMerge w:val="continue"/>
            <w:shd w:val="clear" w:color="auto" w:fill="FFFFFF"/>
            <w:vAlign w:val="center"/>
          </w:tcPr>
          <w:p w14:paraId="1372687D">
            <w:pPr>
              <w:jc w:val="center"/>
              <w:rPr>
                <w:rFonts w:hint="eastAsia" w:ascii="仿宋" w:hAnsi="仿宋" w:eastAsia="仿宋" w:cs="仿宋"/>
                <w:sz w:val="24"/>
                <w:szCs w:val="24"/>
              </w:rPr>
            </w:pPr>
          </w:p>
        </w:tc>
        <w:tc>
          <w:tcPr>
            <w:tcW w:w="5691" w:type="dxa"/>
            <w:gridSpan w:val="9"/>
            <w:vAlign w:val="center"/>
          </w:tcPr>
          <w:p w14:paraId="59BEFC51">
            <w:pPr>
              <w:rPr>
                <w:rFonts w:hint="eastAsia" w:ascii="仿宋" w:hAnsi="仿宋" w:eastAsia="仿宋" w:cs="仿宋"/>
                <w:b/>
                <w:bCs/>
                <w:sz w:val="24"/>
                <w:szCs w:val="24"/>
              </w:rPr>
            </w:pPr>
            <w:r>
              <w:rPr>
                <w:rFonts w:hint="eastAsia" w:ascii="仿宋" w:hAnsi="仿宋" w:eastAsia="仿宋" w:cs="仿宋"/>
                <w:b/>
                <w:bCs/>
                <w:sz w:val="24"/>
                <w:szCs w:val="24"/>
              </w:rPr>
              <w:t>训练一：建立正确的歌唱状态</w:t>
            </w:r>
          </w:p>
          <w:p w14:paraId="798F537D">
            <w:pPr>
              <w:rPr>
                <w:rFonts w:hint="eastAsia" w:ascii="仿宋" w:hAnsi="仿宋" w:eastAsia="仿宋" w:cs="仿宋"/>
                <w:b/>
                <w:bCs/>
                <w:sz w:val="24"/>
                <w:szCs w:val="24"/>
              </w:rPr>
            </w:pPr>
            <w:r>
              <w:rPr>
                <w:rFonts w:hint="eastAsia" w:ascii="仿宋" w:hAnsi="仿宋" w:eastAsia="仿宋" w:cs="仿宋"/>
                <w:b/>
                <w:bCs/>
                <w:sz w:val="24"/>
                <w:szCs w:val="24"/>
              </w:rPr>
              <w:t>实训目的：</w:t>
            </w:r>
            <w:r>
              <w:rPr>
                <w:rFonts w:hint="eastAsia" w:ascii="仿宋" w:hAnsi="仿宋" w:eastAsia="仿宋" w:cs="仿宋"/>
                <w:sz w:val="24"/>
                <w:szCs w:val="24"/>
              </w:rPr>
              <w:t>了解声乐的发声及歌唱状态</w:t>
            </w:r>
          </w:p>
          <w:p w14:paraId="3F950216">
            <w:pPr>
              <w:widowControl/>
              <w:rPr>
                <w:rFonts w:hint="eastAsia" w:ascii="仿宋" w:hAnsi="仿宋" w:eastAsia="仿宋" w:cs="仿宋"/>
                <w:sz w:val="24"/>
                <w:szCs w:val="24"/>
              </w:rPr>
            </w:pPr>
            <w:r>
              <w:rPr>
                <w:rFonts w:hint="eastAsia" w:ascii="仿宋" w:hAnsi="仿宋" w:eastAsia="仿宋" w:cs="仿宋"/>
                <w:b/>
                <w:sz w:val="24"/>
                <w:szCs w:val="24"/>
              </w:rPr>
              <w:t>实训任务：1.</w:t>
            </w:r>
            <w:r>
              <w:rPr>
                <w:rFonts w:hint="eastAsia" w:ascii="仿宋" w:hAnsi="仿宋" w:eastAsia="仿宋" w:cs="仿宋"/>
                <w:sz w:val="24"/>
                <w:szCs w:val="24"/>
              </w:rPr>
              <w:t>归纳声乐发声的基本原理</w:t>
            </w:r>
          </w:p>
          <w:p w14:paraId="0AD8AE12">
            <w:pPr>
              <w:widowControl/>
              <w:ind w:firstLine="1205" w:firstLineChars="500"/>
              <w:rPr>
                <w:rFonts w:hint="eastAsia" w:ascii="仿宋" w:hAnsi="仿宋" w:eastAsia="仿宋" w:cs="仿宋"/>
                <w:bCs/>
                <w:sz w:val="24"/>
                <w:szCs w:val="24"/>
              </w:rPr>
            </w:pPr>
            <w:r>
              <w:rPr>
                <w:rFonts w:hint="eastAsia" w:ascii="仿宋" w:hAnsi="仿宋" w:eastAsia="仿宋" w:cs="仿宋"/>
                <w:b/>
                <w:sz w:val="24"/>
                <w:szCs w:val="24"/>
              </w:rPr>
              <w:t>2.</w:t>
            </w:r>
            <w:r>
              <w:rPr>
                <w:rFonts w:hint="eastAsia" w:ascii="仿宋" w:hAnsi="仿宋" w:eastAsia="仿宋" w:cs="仿宋"/>
                <w:sz w:val="24"/>
                <w:szCs w:val="24"/>
              </w:rPr>
              <w:t xml:space="preserve">运用声乐基础理论进行初步演唱实践     </w:t>
            </w:r>
          </w:p>
        </w:tc>
        <w:tc>
          <w:tcPr>
            <w:tcW w:w="1153" w:type="dxa"/>
            <w:gridSpan w:val="2"/>
            <w:vAlign w:val="center"/>
          </w:tcPr>
          <w:p w14:paraId="1D81D7E6">
            <w:pPr>
              <w:widowControl/>
              <w:jc w:val="center"/>
              <w:rPr>
                <w:rFonts w:hint="eastAsia" w:ascii="仿宋" w:hAnsi="仿宋" w:eastAsia="仿宋" w:cs="仿宋"/>
                <w:bCs/>
                <w:sz w:val="24"/>
                <w:szCs w:val="24"/>
              </w:rPr>
            </w:pPr>
            <w:r>
              <w:rPr>
                <w:rFonts w:hint="eastAsia" w:ascii="仿宋" w:hAnsi="仿宋" w:eastAsia="仿宋" w:cs="仿宋"/>
                <w:bCs/>
                <w:sz w:val="24"/>
                <w:szCs w:val="24"/>
              </w:rPr>
              <w:t>支撑课程目标1、2、3</w:t>
            </w:r>
          </w:p>
        </w:tc>
        <w:tc>
          <w:tcPr>
            <w:tcW w:w="929" w:type="dxa"/>
            <w:gridSpan w:val="2"/>
            <w:shd w:val="clear" w:color="auto" w:fill="FFFFFF"/>
            <w:vAlign w:val="center"/>
          </w:tcPr>
          <w:p w14:paraId="14A427D8">
            <w:pPr>
              <w:jc w:val="center"/>
              <w:rPr>
                <w:rFonts w:ascii="仿宋" w:hAnsi="仿宋" w:eastAsia="仿宋" w:cs="仿宋"/>
                <w:sz w:val="24"/>
                <w:szCs w:val="24"/>
              </w:rPr>
            </w:pPr>
            <w:r>
              <w:rPr>
                <w:rFonts w:hint="eastAsia" w:ascii="仿宋" w:hAnsi="仿宋" w:eastAsia="仿宋" w:cs="仿宋"/>
                <w:sz w:val="24"/>
                <w:szCs w:val="24"/>
              </w:rPr>
              <w:t>10</w:t>
            </w:r>
          </w:p>
        </w:tc>
      </w:tr>
      <w:tr w14:paraId="10F9B6ED">
        <w:trPr>
          <w:trHeight w:val="1285" w:hRule="atLeast"/>
        </w:trPr>
        <w:tc>
          <w:tcPr>
            <w:tcW w:w="1375" w:type="dxa"/>
            <w:vMerge w:val="continue"/>
            <w:shd w:val="clear" w:color="auto" w:fill="FFFFFF"/>
            <w:vAlign w:val="center"/>
          </w:tcPr>
          <w:p w14:paraId="6E014853">
            <w:pPr>
              <w:jc w:val="center"/>
              <w:rPr>
                <w:rFonts w:hint="eastAsia" w:ascii="仿宋" w:hAnsi="仿宋" w:eastAsia="仿宋" w:cs="仿宋"/>
                <w:sz w:val="24"/>
                <w:szCs w:val="24"/>
              </w:rPr>
            </w:pPr>
          </w:p>
        </w:tc>
        <w:tc>
          <w:tcPr>
            <w:tcW w:w="5691" w:type="dxa"/>
            <w:gridSpan w:val="9"/>
            <w:vAlign w:val="center"/>
          </w:tcPr>
          <w:p w14:paraId="1E56E1F6">
            <w:pPr>
              <w:rPr>
                <w:rFonts w:hint="eastAsia" w:ascii="仿宋" w:hAnsi="仿宋" w:eastAsia="仿宋" w:cs="仿宋"/>
                <w:b/>
                <w:bCs/>
                <w:sz w:val="24"/>
                <w:szCs w:val="24"/>
              </w:rPr>
            </w:pPr>
            <w:r>
              <w:rPr>
                <w:rFonts w:hint="eastAsia" w:ascii="仿宋" w:hAnsi="仿宋" w:eastAsia="仿宋" w:cs="仿宋"/>
                <w:b/>
                <w:bCs/>
                <w:sz w:val="24"/>
                <w:szCs w:val="24"/>
              </w:rPr>
              <w:t>训练二：巩固与提高歌唱的技能技巧，掌握声乐教学方法</w:t>
            </w:r>
          </w:p>
          <w:p w14:paraId="13FAE0BA">
            <w:pPr>
              <w:widowControl/>
              <w:rPr>
                <w:rFonts w:hint="eastAsia" w:ascii="仿宋" w:hAnsi="仿宋" w:eastAsia="仿宋" w:cs="仿宋"/>
                <w:sz w:val="24"/>
                <w:szCs w:val="24"/>
              </w:rPr>
            </w:pPr>
            <w:r>
              <w:rPr>
                <w:rFonts w:hint="eastAsia" w:ascii="仿宋" w:hAnsi="仿宋" w:eastAsia="仿宋" w:cs="仿宋"/>
                <w:b/>
                <w:bCs/>
                <w:sz w:val="24"/>
                <w:szCs w:val="24"/>
              </w:rPr>
              <w:t>实训目的：学习</w:t>
            </w:r>
            <w:r>
              <w:rPr>
                <w:rFonts w:hint="eastAsia" w:ascii="仿宋" w:hAnsi="仿宋" w:eastAsia="仿宋" w:cs="仿宋"/>
                <w:sz w:val="24"/>
                <w:szCs w:val="24"/>
              </w:rPr>
              <w:t>声乐基础所应具备的基本素质</w:t>
            </w:r>
          </w:p>
          <w:p w14:paraId="4E931B81">
            <w:pPr>
              <w:widowControl/>
              <w:rPr>
                <w:rFonts w:hint="eastAsia" w:ascii="仿宋" w:hAnsi="仿宋" w:eastAsia="仿宋" w:cs="仿宋"/>
                <w:b/>
                <w:sz w:val="24"/>
                <w:szCs w:val="24"/>
              </w:rPr>
            </w:pPr>
            <w:r>
              <w:rPr>
                <w:rFonts w:hint="eastAsia" w:ascii="仿宋" w:hAnsi="仿宋" w:eastAsia="仿宋" w:cs="仿宋"/>
                <w:b/>
                <w:sz w:val="24"/>
                <w:szCs w:val="24"/>
              </w:rPr>
              <w:t>实训任务：</w:t>
            </w:r>
          </w:p>
          <w:p w14:paraId="0781C2FE">
            <w:pPr>
              <w:widowControl/>
              <w:rPr>
                <w:rFonts w:hint="eastAsia" w:ascii="仿宋" w:hAnsi="仿宋" w:eastAsia="仿宋" w:cs="仿宋"/>
                <w:sz w:val="24"/>
                <w:szCs w:val="24"/>
              </w:rPr>
            </w:pPr>
            <w:r>
              <w:rPr>
                <w:rFonts w:hint="eastAsia" w:ascii="仿宋" w:hAnsi="仿宋" w:eastAsia="仿宋" w:cs="仿宋"/>
                <w:b/>
                <w:sz w:val="24"/>
                <w:szCs w:val="24"/>
              </w:rPr>
              <w:t>1.</w:t>
            </w:r>
            <w:r>
              <w:rPr>
                <w:rFonts w:hint="eastAsia" w:ascii="仿宋" w:hAnsi="仿宋" w:eastAsia="仿宋" w:cs="仿宋"/>
                <w:sz w:val="24"/>
                <w:szCs w:val="24"/>
              </w:rPr>
              <w:t>根据自身情况，找出调整声音的办法及思路；</w:t>
            </w:r>
          </w:p>
          <w:p w14:paraId="79074042">
            <w:pPr>
              <w:rPr>
                <w:rFonts w:hint="eastAsia" w:ascii="仿宋" w:hAnsi="仿宋" w:eastAsia="仿宋" w:cs="仿宋"/>
                <w:sz w:val="24"/>
                <w:szCs w:val="24"/>
              </w:rPr>
            </w:pPr>
            <w:r>
              <w:rPr>
                <w:rFonts w:hint="eastAsia" w:ascii="仿宋" w:hAnsi="仿宋" w:eastAsia="仿宋" w:cs="仿宋"/>
                <w:b/>
                <w:sz w:val="24"/>
                <w:szCs w:val="24"/>
              </w:rPr>
              <w:t>2.</w:t>
            </w:r>
            <w:r>
              <w:rPr>
                <w:rFonts w:hint="eastAsia" w:ascii="仿宋" w:hAnsi="仿宋" w:eastAsia="仿宋" w:cs="仿宋"/>
                <w:sz w:val="24"/>
                <w:szCs w:val="24"/>
              </w:rPr>
              <w:t>能够通过理论知识分析自身演唱不足之处</w:t>
            </w:r>
          </w:p>
          <w:p w14:paraId="36150DE7">
            <w:pPr>
              <w:rPr>
                <w:rFonts w:hint="eastAsia" w:ascii="仿宋" w:hAnsi="仿宋" w:eastAsia="仿宋" w:cs="仿宋"/>
                <w:sz w:val="24"/>
                <w:szCs w:val="24"/>
              </w:rPr>
            </w:pPr>
            <w:r>
              <w:rPr>
                <w:rFonts w:hint="eastAsia" w:ascii="仿宋" w:hAnsi="仿宋" w:eastAsia="仿宋" w:cs="仿宋"/>
                <w:sz w:val="24"/>
                <w:szCs w:val="24"/>
              </w:rPr>
              <w:t>通过系统的学习，掌握方法，熟练运用低中高不同音区的声音及音色，熟练掌握不同风格的作品，有发现问题及提出解决方案的基本能力</w:t>
            </w:r>
          </w:p>
          <w:p w14:paraId="687EA8DC">
            <w:pPr>
              <w:rPr>
                <w:rFonts w:hint="eastAsia" w:ascii="仿宋" w:hAnsi="仿宋" w:eastAsia="仿宋" w:cs="仿宋"/>
                <w:bCs/>
                <w:sz w:val="24"/>
                <w:szCs w:val="24"/>
              </w:rPr>
            </w:pPr>
            <w:r>
              <w:rPr>
                <w:rFonts w:hint="eastAsia" w:ascii="仿宋" w:hAnsi="仿宋" w:eastAsia="仿宋" w:cs="仿宋"/>
                <w:b/>
                <w:sz w:val="24"/>
                <w:szCs w:val="24"/>
              </w:rPr>
              <w:t>评价：</w:t>
            </w:r>
            <w:r>
              <w:rPr>
                <w:rFonts w:hint="eastAsia" w:ascii="仿宋" w:hAnsi="仿宋" w:eastAsia="仿宋" w:cs="仿宋"/>
                <w:sz w:val="24"/>
                <w:szCs w:val="24"/>
              </w:rPr>
              <w:t>根据学生的自身情况提出评价办法</w:t>
            </w:r>
          </w:p>
        </w:tc>
        <w:tc>
          <w:tcPr>
            <w:tcW w:w="1153" w:type="dxa"/>
            <w:gridSpan w:val="2"/>
            <w:vAlign w:val="center"/>
          </w:tcPr>
          <w:p w14:paraId="711783D0">
            <w:pPr>
              <w:widowControl/>
              <w:jc w:val="center"/>
              <w:rPr>
                <w:rFonts w:hint="eastAsia" w:ascii="仿宋" w:hAnsi="仿宋" w:eastAsia="仿宋" w:cs="仿宋"/>
                <w:bCs/>
                <w:sz w:val="24"/>
                <w:szCs w:val="24"/>
              </w:rPr>
            </w:pPr>
            <w:r>
              <w:rPr>
                <w:rFonts w:hint="eastAsia" w:ascii="仿宋" w:hAnsi="仿宋" w:eastAsia="仿宋" w:cs="仿宋"/>
                <w:bCs/>
                <w:sz w:val="24"/>
                <w:szCs w:val="24"/>
              </w:rPr>
              <w:t>支撑课程目标1、2、3</w:t>
            </w:r>
          </w:p>
        </w:tc>
        <w:tc>
          <w:tcPr>
            <w:tcW w:w="929" w:type="dxa"/>
            <w:gridSpan w:val="2"/>
            <w:shd w:val="clear" w:color="auto" w:fill="FFFFFF"/>
            <w:vAlign w:val="center"/>
          </w:tcPr>
          <w:p w14:paraId="76362BD6">
            <w:pPr>
              <w:jc w:val="center"/>
              <w:rPr>
                <w:rFonts w:ascii="仿宋" w:hAnsi="仿宋" w:eastAsia="仿宋" w:cs="仿宋"/>
                <w:sz w:val="24"/>
                <w:szCs w:val="24"/>
              </w:rPr>
            </w:pPr>
            <w:r>
              <w:rPr>
                <w:rFonts w:hint="eastAsia" w:ascii="仿宋" w:hAnsi="仿宋" w:eastAsia="仿宋" w:cs="仿宋"/>
                <w:sz w:val="24"/>
                <w:szCs w:val="24"/>
              </w:rPr>
              <w:t>22</w:t>
            </w:r>
          </w:p>
        </w:tc>
      </w:tr>
      <w:tr w14:paraId="01633F2E">
        <w:trPr>
          <w:trHeight w:val="1692" w:hRule="atLeast"/>
        </w:trPr>
        <w:tc>
          <w:tcPr>
            <w:tcW w:w="1375" w:type="dxa"/>
            <w:vMerge w:val="continue"/>
            <w:shd w:val="clear" w:color="auto" w:fill="FFFFFF"/>
            <w:vAlign w:val="center"/>
          </w:tcPr>
          <w:p w14:paraId="4C9E83A5">
            <w:pPr>
              <w:jc w:val="center"/>
              <w:rPr>
                <w:rFonts w:hint="eastAsia" w:ascii="仿宋" w:hAnsi="仿宋" w:eastAsia="仿宋" w:cs="仿宋"/>
                <w:sz w:val="24"/>
                <w:szCs w:val="24"/>
              </w:rPr>
            </w:pPr>
          </w:p>
        </w:tc>
        <w:tc>
          <w:tcPr>
            <w:tcW w:w="5691" w:type="dxa"/>
            <w:gridSpan w:val="9"/>
            <w:vAlign w:val="center"/>
          </w:tcPr>
          <w:p w14:paraId="3301C8EF">
            <w:pPr>
              <w:rPr>
                <w:rFonts w:hint="eastAsia" w:ascii="仿宋" w:hAnsi="仿宋" w:eastAsia="仿宋" w:cs="仿宋"/>
                <w:b/>
                <w:sz w:val="24"/>
                <w:szCs w:val="24"/>
              </w:rPr>
            </w:pPr>
            <w:r>
              <w:rPr>
                <w:rFonts w:hint="eastAsia" w:ascii="仿宋" w:hAnsi="仿宋" w:eastAsia="仿宋" w:cs="仿宋"/>
                <w:b/>
                <w:sz w:val="24"/>
                <w:szCs w:val="24"/>
              </w:rPr>
              <w:t>训练三：开展习唱活动</w:t>
            </w:r>
          </w:p>
          <w:p w14:paraId="6BB5EF7A">
            <w:pPr>
              <w:rPr>
                <w:rFonts w:hint="eastAsia" w:ascii="仿宋" w:hAnsi="仿宋" w:eastAsia="仿宋" w:cs="仿宋"/>
                <w:bCs/>
                <w:sz w:val="24"/>
                <w:szCs w:val="24"/>
              </w:rPr>
            </w:pPr>
            <w:r>
              <w:rPr>
                <w:rFonts w:hint="eastAsia" w:ascii="仿宋" w:hAnsi="仿宋" w:eastAsia="仿宋" w:cs="仿宋"/>
                <w:b/>
                <w:bCs/>
                <w:sz w:val="24"/>
                <w:szCs w:val="24"/>
              </w:rPr>
              <w:t>实训目的：</w:t>
            </w:r>
            <w:r>
              <w:rPr>
                <w:rFonts w:hint="eastAsia" w:ascii="仿宋" w:hAnsi="仿宋" w:eastAsia="仿宋" w:cs="仿宋"/>
                <w:bCs/>
                <w:sz w:val="24"/>
                <w:szCs w:val="24"/>
              </w:rPr>
              <w:t>让学生真正熟悉舞台，熟练展示所掌握业务水平，在舞台上发现不足并解决。</w:t>
            </w:r>
          </w:p>
          <w:p w14:paraId="09ED2963">
            <w:pPr>
              <w:rPr>
                <w:rFonts w:hint="eastAsia" w:ascii="仿宋" w:hAnsi="仿宋" w:eastAsia="仿宋" w:cs="仿宋"/>
                <w:bCs/>
                <w:sz w:val="24"/>
                <w:szCs w:val="24"/>
              </w:rPr>
            </w:pPr>
            <w:r>
              <w:rPr>
                <w:rFonts w:hint="eastAsia" w:ascii="仿宋" w:hAnsi="仿宋" w:eastAsia="仿宋" w:cs="仿宋"/>
                <w:b/>
                <w:bCs/>
                <w:sz w:val="24"/>
                <w:szCs w:val="24"/>
              </w:rPr>
              <w:t>实训任务：</w:t>
            </w:r>
            <w:r>
              <w:rPr>
                <w:rFonts w:hint="eastAsia" w:ascii="仿宋" w:hAnsi="仿宋" w:eastAsia="仿宋" w:cs="仿宋"/>
                <w:bCs/>
                <w:sz w:val="24"/>
                <w:szCs w:val="24"/>
              </w:rPr>
              <w:t>每学期举办至少两次习唱会；带有一定表演的完整演唱每首作品。</w:t>
            </w:r>
          </w:p>
        </w:tc>
        <w:tc>
          <w:tcPr>
            <w:tcW w:w="1153" w:type="dxa"/>
            <w:gridSpan w:val="2"/>
            <w:vAlign w:val="center"/>
          </w:tcPr>
          <w:p w14:paraId="1E244D15">
            <w:pPr>
              <w:jc w:val="center"/>
              <w:rPr>
                <w:rFonts w:hint="eastAsia" w:ascii="仿宋" w:hAnsi="仿宋" w:eastAsia="仿宋" w:cs="仿宋"/>
                <w:bCs/>
                <w:sz w:val="24"/>
                <w:szCs w:val="24"/>
              </w:rPr>
            </w:pPr>
            <w:r>
              <w:rPr>
                <w:rFonts w:hint="eastAsia" w:ascii="仿宋" w:hAnsi="仿宋" w:eastAsia="仿宋" w:cs="仿宋"/>
                <w:bCs/>
                <w:sz w:val="24"/>
                <w:szCs w:val="24"/>
              </w:rPr>
              <w:t>支撑课程目标1、2、3</w:t>
            </w:r>
          </w:p>
        </w:tc>
        <w:tc>
          <w:tcPr>
            <w:tcW w:w="929" w:type="dxa"/>
            <w:gridSpan w:val="2"/>
            <w:shd w:val="clear" w:color="auto" w:fill="FFFFFF"/>
            <w:vAlign w:val="center"/>
          </w:tcPr>
          <w:p w14:paraId="1748AD1B">
            <w:pPr>
              <w:jc w:val="center"/>
              <w:rPr>
                <w:rFonts w:hint="eastAsia" w:ascii="仿宋" w:hAnsi="仿宋" w:eastAsia="仿宋" w:cs="仿宋"/>
                <w:sz w:val="24"/>
                <w:szCs w:val="24"/>
              </w:rPr>
            </w:pPr>
            <w:r>
              <w:rPr>
                <w:rFonts w:hint="eastAsia" w:ascii="仿宋" w:hAnsi="仿宋" w:eastAsia="仿宋" w:cs="仿宋"/>
                <w:sz w:val="24"/>
                <w:szCs w:val="24"/>
              </w:rPr>
              <w:t>32</w:t>
            </w:r>
          </w:p>
        </w:tc>
      </w:tr>
      <w:tr w14:paraId="381AC13B">
        <w:trPr>
          <w:trHeight w:val="454" w:hRule="atLeast"/>
        </w:trPr>
        <w:tc>
          <w:tcPr>
            <w:tcW w:w="1375" w:type="dxa"/>
            <w:vMerge w:val="continue"/>
            <w:shd w:val="clear" w:color="auto" w:fill="FFFFFF"/>
            <w:vAlign w:val="center"/>
          </w:tcPr>
          <w:p w14:paraId="6DACC282">
            <w:pPr>
              <w:jc w:val="center"/>
              <w:rPr>
                <w:rFonts w:hint="eastAsia" w:ascii="仿宋" w:hAnsi="仿宋" w:eastAsia="仿宋" w:cs="仿宋"/>
                <w:sz w:val="24"/>
                <w:szCs w:val="24"/>
              </w:rPr>
            </w:pPr>
          </w:p>
        </w:tc>
        <w:tc>
          <w:tcPr>
            <w:tcW w:w="6844" w:type="dxa"/>
            <w:gridSpan w:val="11"/>
            <w:vAlign w:val="center"/>
          </w:tcPr>
          <w:p w14:paraId="62C8748C">
            <w:pPr>
              <w:jc w:val="center"/>
              <w:rPr>
                <w:rFonts w:hint="eastAsia" w:ascii="仿宋" w:hAnsi="仿宋" w:eastAsia="仿宋" w:cs="仿宋"/>
                <w:bCs/>
                <w:sz w:val="24"/>
                <w:szCs w:val="24"/>
              </w:rPr>
            </w:pPr>
            <w:r>
              <w:rPr>
                <w:rFonts w:hint="eastAsia" w:ascii="仿宋" w:hAnsi="仿宋" w:eastAsia="仿宋" w:cs="仿宋"/>
                <w:bCs/>
                <w:sz w:val="24"/>
                <w:szCs w:val="24"/>
              </w:rPr>
              <w:t>合计</w:t>
            </w:r>
          </w:p>
        </w:tc>
        <w:tc>
          <w:tcPr>
            <w:tcW w:w="929" w:type="dxa"/>
            <w:gridSpan w:val="2"/>
            <w:shd w:val="clear" w:color="auto" w:fill="FFFFFF"/>
            <w:vAlign w:val="center"/>
          </w:tcPr>
          <w:p w14:paraId="5B132A8E">
            <w:pPr>
              <w:jc w:val="center"/>
              <w:rPr>
                <w:rFonts w:hint="eastAsia" w:ascii="仿宋" w:hAnsi="仿宋" w:eastAsia="仿宋" w:cs="仿宋"/>
                <w:sz w:val="24"/>
                <w:szCs w:val="24"/>
              </w:rPr>
            </w:pPr>
            <w:r>
              <w:rPr>
                <w:rFonts w:hint="eastAsia" w:ascii="仿宋" w:hAnsi="仿宋" w:eastAsia="仿宋" w:cs="仿宋"/>
                <w:sz w:val="24"/>
                <w:szCs w:val="24"/>
              </w:rPr>
              <w:t>64</w:t>
            </w:r>
          </w:p>
        </w:tc>
      </w:tr>
      <w:tr w14:paraId="2760592A">
        <w:trPr>
          <w:trHeight w:val="495" w:hRule="atLeast"/>
        </w:trPr>
        <w:tc>
          <w:tcPr>
            <w:tcW w:w="1375" w:type="dxa"/>
            <w:vMerge w:val="restart"/>
            <w:shd w:val="clear" w:color="auto" w:fill="FFFFFF"/>
            <w:vAlign w:val="center"/>
          </w:tcPr>
          <w:p w14:paraId="50F38870">
            <w:pPr>
              <w:jc w:val="center"/>
              <w:rPr>
                <w:rFonts w:hint="eastAsia" w:ascii="仿宋" w:hAnsi="仿宋" w:eastAsia="仿宋" w:cs="仿宋"/>
                <w:sz w:val="24"/>
                <w:szCs w:val="24"/>
              </w:rPr>
            </w:pPr>
            <w:r>
              <w:rPr>
                <w:rFonts w:hint="eastAsia" w:ascii="仿宋" w:hAnsi="仿宋" w:eastAsia="仿宋" w:cs="仿宋"/>
                <w:sz w:val="24"/>
                <w:szCs w:val="24"/>
              </w:rPr>
              <w:t>H</w:t>
            </w:r>
          </w:p>
          <w:p w14:paraId="5F58515C">
            <w:pPr>
              <w:jc w:val="center"/>
              <w:rPr>
                <w:rFonts w:hint="eastAsia" w:ascii="仿宋" w:hAnsi="仿宋" w:eastAsia="仿宋" w:cs="仿宋"/>
                <w:sz w:val="24"/>
                <w:szCs w:val="24"/>
              </w:rPr>
            </w:pPr>
            <w:r>
              <w:rPr>
                <w:rFonts w:hint="eastAsia" w:ascii="仿宋" w:hAnsi="仿宋" w:eastAsia="仿宋" w:cs="仿宋"/>
                <w:sz w:val="24"/>
                <w:szCs w:val="24"/>
              </w:rPr>
              <w:t>实践内容（含教育实习、见习、研习，专业实习、毕业论文或毕业设计等）</w:t>
            </w:r>
          </w:p>
        </w:tc>
        <w:tc>
          <w:tcPr>
            <w:tcW w:w="1166" w:type="dxa"/>
            <w:vAlign w:val="center"/>
          </w:tcPr>
          <w:p w14:paraId="20AF65B7">
            <w:pPr>
              <w:jc w:val="center"/>
              <w:rPr>
                <w:rFonts w:hint="eastAsia" w:ascii="仿宋" w:hAnsi="仿宋" w:eastAsia="仿宋" w:cs="仿宋"/>
                <w:sz w:val="24"/>
                <w:szCs w:val="24"/>
              </w:rPr>
            </w:pPr>
            <w:r>
              <w:rPr>
                <w:rFonts w:hint="eastAsia" w:ascii="仿宋" w:hAnsi="仿宋" w:eastAsia="仿宋" w:cs="仿宋"/>
                <w:sz w:val="24"/>
                <w:szCs w:val="24"/>
              </w:rPr>
              <w:t>实践主要内容和要求</w:t>
            </w:r>
          </w:p>
        </w:tc>
        <w:tc>
          <w:tcPr>
            <w:tcW w:w="5678" w:type="dxa"/>
            <w:gridSpan w:val="10"/>
            <w:vAlign w:val="center"/>
          </w:tcPr>
          <w:p w14:paraId="2587619F">
            <w:pPr>
              <w:jc w:val="center"/>
              <w:rPr>
                <w:rFonts w:hint="eastAsia" w:ascii="仿宋" w:hAnsi="仿宋" w:eastAsia="仿宋" w:cs="仿宋"/>
                <w:kern w:val="0"/>
                <w:sz w:val="24"/>
                <w:szCs w:val="24"/>
              </w:rPr>
            </w:pPr>
            <w:r>
              <w:rPr>
                <w:rFonts w:hint="eastAsia" w:ascii="仿宋" w:hAnsi="仿宋" w:eastAsia="仿宋" w:cs="仿宋"/>
                <w:kern w:val="0"/>
                <w:sz w:val="24"/>
                <w:szCs w:val="24"/>
              </w:rPr>
              <w:t>支撑课程</w:t>
            </w:r>
          </w:p>
          <w:p w14:paraId="30813D22">
            <w:pPr>
              <w:jc w:val="center"/>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929" w:type="dxa"/>
            <w:gridSpan w:val="2"/>
            <w:vAlign w:val="center"/>
          </w:tcPr>
          <w:p w14:paraId="29A45EE9">
            <w:pPr>
              <w:jc w:val="center"/>
              <w:rPr>
                <w:rFonts w:ascii="仿宋" w:hAnsi="仿宋" w:eastAsia="仿宋" w:cs="仿宋"/>
                <w:kern w:val="0"/>
                <w:sz w:val="24"/>
                <w:szCs w:val="24"/>
              </w:rPr>
            </w:pPr>
            <w:r>
              <w:rPr>
                <w:rFonts w:hint="eastAsia" w:ascii="仿宋" w:hAnsi="仿宋" w:eastAsia="仿宋" w:cs="仿宋"/>
                <w:kern w:val="0"/>
                <w:sz w:val="24"/>
                <w:szCs w:val="24"/>
              </w:rPr>
              <w:t>时长</w:t>
            </w:r>
          </w:p>
          <w:p w14:paraId="0F01D6BF">
            <w:pPr>
              <w:jc w:val="center"/>
              <w:rPr>
                <w:rFonts w:hint="eastAsia" w:ascii="仿宋" w:hAnsi="仿宋" w:eastAsia="仿宋" w:cs="仿宋"/>
                <w:sz w:val="24"/>
                <w:szCs w:val="24"/>
              </w:rPr>
            </w:pPr>
            <w:r>
              <w:rPr>
                <w:rFonts w:hint="eastAsia" w:ascii="仿宋" w:hAnsi="仿宋" w:eastAsia="仿宋" w:cs="仿宋"/>
                <w:kern w:val="0"/>
                <w:sz w:val="24"/>
                <w:szCs w:val="24"/>
              </w:rPr>
              <w:t>分配</w:t>
            </w:r>
          </w:p>
        </w:tc>
      </w:tr>
      <w:tr w14:paraId="45CB4F65">
        <w:trPr>
          <w:trHeight w:val="1206" w:hRule="atLeast"/>
        </w:trPr>
        <w:tc>
          <w:tcPr>
            <w:tcW w:w="1375" w:type="dxa"/>
            <w:vMerge w:val="continue"/>
            <w:shd w:val="clear" w:color="auto" w:fill="FFFFFF"/>
            <w:vAlign w:val="center"/>
          </w:tcPr>
          <w:p w14:paraId="62E5A80E">
            <w:pPr>
              <w:jc w:val="center"/>
              <w:rPr>
                <w:rFonts w:hint="eastAsia" w:ascii="仿宋" w:hAnsi="仿宋" w:eastAsia="仿宋" w:cs="仿宋"/>
                <w:sz w:val="24"/>
                <w:szCs w:val="24"/>
              </w:rPr>
            </w:pPr>
          </w:p>
        </w:tc>
        <w:tc>
          <w:tcPr>
            <w:tcW w:w="1166" w:type="dxa"/>
            <w:vAlign w:val="top"/>
          </w:tcPr>
          <w:p w14:paraId="26151F0D">
            <w:pPr>
              <w:widowControl/>
              <w:autoSpaceDE w:val="0"/>
              <w:autoSpaceDN w:val="0"/>
              <w:jc w:val="left"/>
              <w:rPr>
                <w:rFonts w:hint="eastAsia" w:ascii="仿宋" w:hAnsi="仿宋" w:eastAsia="仿宋" w:cs="仿宋"/>
                <w:sz w:val="24"/>
                <w:szCs w:val="24"/>
              </w:rPr>
            </w:pPr>
          </w:p>
        </w:tc>
        <w:tc>
          <w:tcPr>
            <w:tcW w:w="5678" w:type="dxa"/>
            <w:gridSpan w:val="10"/>
            <w:vAlign w:val="top"/>
          </w:tcPr>
          <w:p w14:paraId="5B816E08">
            <w:pPr>
              <w:jc w:val="left"/>
              <w:rPr>
                <w:rFonts w:hint="eastAsia" w:ascii="仿宋" w:hAnsi="仿宋" w:eastAsia="仿宋" w:cs="仿宋"/>
                <w:sz w:val="24"/>
                <w:szCs w:val="24"/>
              </w:rPr>
            </w:pPr>
          </w:p>
        </w:tc>
        <w:tc>
          <w:tcPr>
            <w:tcW w:w="929" w:type="dxa"/>
            <w:gridSpan w:val="2"/>
            <w:vAlign w:val="top"/>
          </w:tcPr>
          <w:p w14:paraId="1F32BF0B">
            <w:pPr>
              <w:jc w:val="left"/>
              <w:rPr>
                <w:rFonts w:hint="eastAsia" w:ascii="仿宋" w:hAnsi="仿宋" w:eastAsia="仿宋" w:cs="仿宋"/>
                <w:sz w:val="24"/>
                <w:szCs w:val="24"/>
              </w:rPr>
            </w:pPr>
          </w:p>
        </w:tc>
      </w:tr>
      <w:tr w14:paraId="4B013520">
        <w:trPr>
          <w:trHeight w:val="921" w:hRule="atLeast"/>
        </w:trPr>
        <w:tc>
          <w:tcPr>
            <w:tcW w:w="1375" w:type="dxa"/>
            <w:vAlign w:val="center"/>
          </w:tcPr>
          <w:p w14:paraId="14CA1F01">
            <w:pPr>
              <w:jc w:val="center"/>
              <w:rPr>
                <w:rFonts w:hint="eastAsia" w:ascii="仿宋" w:hAnsi="仿宋" w:eastAsia="仿宋" w:cs="仿宋"/>
                <w:sz w:val="24"/>
                <w:szCs w:val="24"/>
              </w:rPr>
            </w:pPr>
            <w:r>
              <w:rPr>
                <w:rFonts w:hint="eastAsia" w:ascii="仿宋" w:hAnsi="仿宋" w:eastAsia="仿宋" w:cs="仿宋"/>
                <w:sz w:val="24"/>
                <w:szCs w:val="24"/>
              </w:rPr>
              <w:t>I</w:t>
            </w:r>
          </w:p>
          <w:p w14:paraId="46138E10">
            <w:pPr>
              <w:jc w:val="center"/>
              <w:rPr>
                <w:rFonts w:hint="eastAsia" w:ascii="仿宋" w:hAnsi="仿宋" w:eastAsia="仿宋" w:cs="仿宋"/>
                <w:sz w:val="24"/>
                <w:szCs w:val="24"/>
                <w:lang w:eastAsia="zh-TW"/>
              </w:rPr>
            </w:pPr>
            <w:r>
              <w:rPr>
                <w:rFonts w:hint="eastAsia" w:ascii="仿宋" w:hAnsi="仿宋" w:eastAsia="仿宋" w:cs="仿宋"/>
                <w:sz w:val="24"/>
                <w:szCs w:val="24"/>
              </w:rPr>
              <w:t>教学方法与教学方式</w:t>
            </w:r>
          </w:p>
        </w:tc>
        <w:tc>
          <w:tcPr>
            <w:tcW w:w="7773" w:type="dxa"/>
            <w:gridSpan w:val="13"/>
            <w:tcBorders>
              <w:bottom w:val="single" w:color="auto" w:sz="4" w:space="0"/>
            </w:tcBorders>
            <w:vAlign w:val="center"/>
          </w:tcPr>
          <w:p w14:paraId="6378780B">
            <w:pPr>
              <w:numPr>
                <w:ilvl w:val="0"/>
                <w:numId w:val="15"/>
              </w:numPr>
              <w:rPr>
                <w:rFonts w:hint="eastAsia" w:ascii="仿宋" w:hAnsi="仿宋" w:eastAsia="仿宋" w:cs="仿宋"/>
                <w:sz w:val="24"/>
                <w:szCs w:val="24"/>
              </w:rPr>
            </w:pPr>
            <w:r>
              <w:rPr>
                <w:rFonts w:hint="eastAsia" w:ascii="仿宋" w:hAnsi="仿宋" w:eastAsia="仿宋" w:cs="仿宋"/>
                <w:sz w:val="24"/>
                <w:szCs w:val="24"/>
              </w:rPr>
              <w:t>本课程以课堂讲授与练习相结合，采用小组课的授课方式，对学生的表演、演唱技巧及与声乐相关的其他相关的知识进行细致详尽的讲解、示范与辅导。</w:t>
            </w:r>
          </w:p>
          <w:p w14:paraId="0D80E6E3">
            <w:pPr>
              <w:numPr>
                <w:ilvl w:val="0"/>
                <w:numId w:val="15"/>
              </w:numPr>
              <w:rPr>
                <w:rFonts w:hint="eastAsia" w:ascii="仿宋" w:hAnsi="仿宋" w:eastAsia="仿宋" w:cs="仿宋"/>
                <w:sz w:val="24"/>
                <w:szCs w:val="24"/>
              </w:rPr>
            </w:pPr>
            <w:r>
              <w:rPr>
                <w:rFonts w:hint="eastAsia" w:ascii="仿宋" w:hAnsi="仿宋" w:eastAsia="仿宋" w:cs="仿宋"/>
                <w:sz w:val="24"/>
                <w:szCs w:val="24"/>
              </w:rPr>
              <w:t>开通网络课堂，达到与学生及时沟通、交流的目的。同时重视师生互动与小组活动，组织课堂小组讨论和小组练习，将课堂教学变为师生共同活动的过程。</w:t>
            </w:r>
          </w:p>
          <w:p w14:paraId="38D6791C">
            <w:pPr>
              <w:numPr>
                <w:ilvl w:val="0"/>
                <w:numId w:val="15"/>
              </w:numPr>
              <w:rPr>
                <w:rFonts w:hint="eastAsia" w:ascii="仿宋" w:hAnsi="仿宋" w:eastAsia="仿宋" w:cs="仿宋"/>
                <w:sz w:val="24"/>
                <w:szCs w:val="24"/>
              </w:rPr>
            </w:pPr>
            <w:r>
              <w:rPr>
                <w:rFonts w:hint="eastAsia" w:ascii="仿宋" w:hAnsi="仿宋" w:eastAsia="仿宋" w:cs="仿宋"/>
                <w:sz w:val="24"/>
                <w:szCs w:val="24"/>
              </w:rPr>
              <w:t>主要方式：</w:t>
            </w:r>
          </w:p>
          <w:p w14:paraId="2B033C98">
            <w:pPr>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讲授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网络学习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讨论或座谈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问题导向学  </w:t>
            </w:r>
          </w:p>
          <w:p w14:paraId="53EE9AFB">
            <w:pPr>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分组合作学习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专题学习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实作学习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发表学习  </w:t>
            </w:r>
          </w:p>
          <w:p w14:paraId="3D49C4FA">
            <w:pPr>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实习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参观访问  </w:t>
            </w:r>
            <w:r>
              <w:rPr>
                <w:rFonts w:hint="eastAsia" w:ascii="仿宋" w:hAnsi="仿宋" w:eastAsia="仿宋" w:cs="仿宋"/>
                <w:sz w:val="24"/>
                <w:szCs w:val="24"/>
              </w:rPr>
              <w:sym w:font="Wingdings" w:char="00A8"/>
            </w:r>
            <w:r>
              <w:rPr>
                <w:rFonts w:hint="eastAsia" w:ascii="仿宋" w:hAnsi="仿宋" w:eastAsia="仿宋" w:cs="仿宋"/>
                <w:sz w:val="24"/>
                <w:szCs w:val="24"/>
              </w:rPr>
              <w:t>其它：        (如口头训练等)</w:t>
            </w:r>
          </w:p>
        </w:tc>
      </w:tr>
      <w:tr w14:paraId="7A0E4DD3">
        <w:trPr>
          <w:trHeight w:val="1252" w:hRule="atLeast"/>
        </w:trPr>
        <w:tc>
          <w:tcPr>
            <w:tcW w:w="1375" w:type="dxa"/>
            <w:vAlign w:val="center"/>
          </w:tcPr>
          <w:p w14:paraId="20944EE1">
            <w:pPr>
              <w:jc w:val="center"/>
              <w:rPr>
                <w:rFonts w:hint="eastAsia" w:ascii="仿宋" w:hAnsi="仿宋" w:eastAsia="仿宋" w:cs="仿宋"/>
                <w:sz w:val="24"/>
                <w:szCs w:val="24"/>
              </w:rPr>
            </w:pPr>
            <w:r>
              <w:rPr>
                <w:rFonts w:hint="eastAsia" w:ascii="仿宋" w:hAnsi="仿宋" w:eastAsia="仿宋" w:cs="仿宋"/>
                <w:sz w:val="24"/>
                <w:szCs w:val="24"/>
              </w:rPr>
              <w:t>J</w:t>
            </w:r>
          </w:p>
          <w:p w14:paraId="4EBA8F8F">
            <w:pPr>
              <w:jc w:val="center"/>
              <w:rPr>
                <w:rFonts w:hint="eastAsia" w:ascii="仿宋" w:hAnsi="仿宋" w:eastAsia="仿宋" w:cs="仿宋"/>
                <w:sz w:val="24"/>
                <w:szCs w:val="24"/>
              </w:rPr>
            </w:pPr>
            <w:r>
              <w:rPr>
                <w:rFonts w:hint="eastAsia" w:ascii="仿宋" w:hAnsi="仿宋" w:eastAsia="仿宋" w:cs="仿宋"/>
                <w:sz w:val="24"/>
                <w:szCs w:val="24"/>
              </w:rPr>
              <w:t>教学条件</w:t>
            </w:r>
          </w:p>
          <w:p w14:paraId="23CA173C">
            <w:pPr>
              <w:jc w:val="center"/>
              <w:rPr>
                <w:rFonts w:hint="eastAsia" w:ascii="仿宋" w:hAnsi="仿宋" w:eastAsia="仿宋" w:cs="仿宋"/>
                <w:sz w:val="24"/>
                <w:szCs w:val="24"/>
              </w:rPr>
            </w:pPr>
            <w:r>
              <w:rPr>
                <w:rFonts w:hint="eastAsia" w:ascii="仿宋" w:hAnsi="仿宋" w:eastAsia="仿宋" w:cs="仿宋"/>
                <w:sz w:val="24"/>
                <w:szCs w:val="24"/>
              </w:rPr>
              <w:t>需求</w:t>
            </w:r>
          </w:p>
        </w:tc>
        <w:tc>
          <w:tcPr>
            <w:tcW w:w="7773" w:type="dxa"/>
            <w:gridSpan w:val="13"/>
            <w:tcBorders>
              <w:bottom w:val="single" w:color="auto" w:sz="4" w:space="0"/>
            </w:tcBorders>
            <w:vAlign w:val="center"/>
          </w:tcPr>
          <w:p w14:paraId="5315DE5D">
            <w:pPr>
              <w:tabs>
                <w:tab w:val="left" w:pos="720"/>
              </w:tabs>
              <w:rPr>
                <w:rFonts w:hint="eastAsia" w:ascii="仿宋" w:hAnsi="仿宋" w:eastAsia="仿宋" w:cs="仿宋"/>
                <w:kern w:val="0"/>
                <w:sz w:val="24"/>
                <w:szCs w:val="24"/>
              </w:rPr>
            </w:pPr>
            <w:r>
              <w:rPr>
                <w:rFonts w:hint="eastAsia" w:ascii="仿宋" w:hAnsi="仿宋" w:eastAsia="仿宋" w:cs="仿宋"/>
                <w:kern w:val="0"/>
                <w:sz w:val="24"/>
                <w:szCs w:val="24"/>
              </w:rPr>
              <w:t>（如时间、地点安排与“一课双师”等教师配备需求等）</w:t>
            </w:r>
          </w:p>
          <w:p w14:paraId="033C64E2">
            <w:pPr>
              <w:tabs>
                <w:tab w:val="left" w:pos="720"/>
              </w:tabs>
              <w:rPr>
                <w:rFonts w:hint="eastAsia" w:ascii="仿宋" w:hAnsi="仿宋" w:eastAsia="仿宋" w:cs="仿宋"/>
                <w:sz w:val="24"/>
                <w:szCs w:val="24"/>
              </w:rPr>
            </w:pPr>
            <w:r>
              <w:rPr>
                <w:rFonts w:hint="eastAsia" w:ascii="仿宋" w:hAnsi="仿宋" w:eastAsia="仿宋" w:cs="仿宋"/>
                <w:sz w:val="24"/>
                <w:szCs w:val="24"/>
              </w:rPr>
              <w:t>1.需要钢琴、演艺厅、教学琴房等教学场所、工具需求。</w:t>
            </w:r>
          </w:p>
          <w:p w14:paraId="7714DA36">
            <w:pPr>
              <w:tabs>
                <w:tab w:val="left" w:pos="720"/>
              </w:tabs>
              <w:rPr>
                <w:rFonts w:hint="eastAsia" w:ascii="仿宋" w:hAnsi="仿宋" w:eastAsia="仿宋" w:cs="仿宋"/>
                <w:kern w:val="0"/>
                <w:sz w:val="24"/>
                <w:szCs w:val="24"/>
              </w:rPr>
            </w:pPr>
            <w:r>
              <w:rPr>
                <w:rFonts w:hint="eastAsia" w:ascii="仿宋" w:hAnsi="仿宋" w:eastAsia="仿宋" w:cs="仿宋"/>
                <w:kern w:val="0"/>
                <w:sz w:val="24"/>
                <w:szCs w:val="24"/>
              </w:rPr>
              <w:t>2.根据课程特点，需要相关声乐专家进行“一课双师”授课。</w:t>
            </w:r>
          </w:p>
        </w:tc>
      </w:tr>
      <w:tr w14:paraId="46468094">
        <w:trPr>
          <w:trHeight w:val="1125" w:hRule="atLeast"/>
        </w:trPr>
        <w:tc>
          <w:tcPr>
            <w:tcW w:w="1375" w:type="dxa"/>
            <w:vMerge w:val="restart"/>
            <w:vAlign w:val="center"/>
          </w:tcPr>
          <w:p w14:paraId="6EF378F0">
            <w:pPr>
              <w:jc w:val="center"/>
              <w:rPr>
                <w:rFonts w:hint="eastAsia" w:ascii="仿宋" w:hAnsi="仿宋" w:eastAsia="仿宋" w:cs="仿宋"/>
                <w:sz w:val="24"/>
                <w:szCs w:val="24"/>
              </w:rPr>
            </w:pPr>
            <w:r>
              <w:rPr>
                <w:rFonts w:hint="eastAsia" w:ascii="仿宋" w:hAnsi="仿宋" w:eastAsia="仿宋" w:cs="仿宋"/>
                <w:sz w:val="24"/>
                <w:szCs w:val="24"/>
              </w:rPr>
              <w:t>K</w:t>
            </w:r>
          </w:p>
          <w:p w14:paraId="639169B0">
            <w:pPr>
              <w:jc w:val="center"/>
              <w:rPr>
                <w:rFonts w:hint="eastAsia" w:ascii="仿宋" w:hAnsi="仿宋" w:eastAsia="仿宋" w:cs="仿宋"/>
                <w:sz w:val="24"/>
                <w:szCs w:val="24"/>
              </w:rPr>
            </w:pPr>
            <w:r>
              <w:rPr>
                <w:rFonts w:hint="eastAsia" w:ascii="仿宋" w:hAnsi="仿宋" w:eastAsia="仿宋" w:cs="仿宋"/>
                <w:sz w:val="24"/>
                <w:szCs w:val="24"/>
              </w:rPr>
              <w:t>课程目标及其考核内容、考核方式及评分占比</w:t>
            </w:r>
          </w:p>
        </w:tc>
        <w:tc>
          <w:tcPr>
            <w:tcW w:w="1166" w:type="dxa"/>
            <w:vMerge w:val="restart"/>
            <w:vAlign w:val="center"/>
          </w:tcPr>
          <w:p w14:paraId="37FE78C1">
            <w:pPr>
              <w:rPr>
                <w:rFonts w:hint="eastAsia" w:ascii="仿宋" w:hAnsi="仿宋" w:eastAsia="仿宋" w:cs="仿宋"/>
                <w:sz w:val="24"/>
                <w:szCs w:val="24"/>
              </w:rPr>
            </w:pPr>
            <w:r>
              <w:rPr>
                <w:rFonts w:hint="eastAsia" w:ascii="仿宋" w:hAnsi="仿宋" w:eastAsia="仿宋" w:cs="仿宋"/>
                <w:sz w:val="24"/>
                <w:szCs w:val="24"/>
              </w:rPr>
              <w:t>课程目标及评分占比</w:t>
            </w:r>
          </w:p>
        </w:tc>
        <w:tc>
          <w:tcPr>
            <w:tcW w:w="2851" w:type="dxa"/>
            <w:gridSpan w:val="4"/>
            <w:vMerge w:val="restart"/>
            <w:tcBorders>
              <w:right w:val="single" w:color="000000" w:sz="4" w:space="0"/>
            </w:tcBorders>
            <w:vAlign w:val="center"/>
          </w:tcPr>
          <w:p w14:paraId="622CC74A">
            <w:pPr>
              <w:tabs>
                <w:tab w:val="left" w:pos="720"/>
              </w:tabs>
              <w:jc w:val="center"/>
              <w:rPr>
                <w:rFonts w:hint="eastAsia" w:ascii="仿宋" w:hAnsi="仿宋" w:eastAsia="仿宋" w:cs="仿宋"/>
                <w:kern w:val="0"/>
                <w:sz w:val="24"/>
                <w:szCs w:val="24"/>
              </w:rPr>
            </w:pPr>
            <w:r>
              <w:rPr>
                <w:rFonts w:hint="eastAsia" w:ascii="仿宋" w:hAnsi="仿宋" w:eastAsia="仿宋" w:cs="仿宋"/>
                <w:kern w:val="0"/>
                <w:sz w:val="24"/>
                <w:szCs w:val="24"/>
              </w:rPr>
              <w:t>考核内容</w:t>
            </w:r>
          </w:p>
        </w:tc>
        <w:tc>
          <w:tcPr>
            <w:tcW w:w="3162" w:type="dxa"/>
            <w:gridSpan w:val="7"/>
            <w:tcBorders>
              <w:left w:val="single" w:color="000000" w:sz="4" w:space="0"/>
              <w:right w:val="single" w:color="000000" w:sz="4" w:space="0"/>
            </w:tcBorders>
            <w:vAlign w:val="center"/>
          </w:tcPr>
          <w:p w14:paraId="1D5C67AC">
            <w:pPr>
              <w:jc w:val="center"/>
              <w:rPr>
                <w:rFonts w:hint="eastAsia" w:ascii="仿宋" w:hAnsi="仿宋" w:eastAsia="仿宋" w:cs="仿宋"/>
                <w:sz w:val="24"/>
                <w:szCs w:val="24"/>
              </w:rPr>
            </w:pPr>
            <w:r>
              <w:rPr>
                <w:rFonts w:hint="eastAsia" w:ascii="仿宋" w:hAnsi="仿宋" w:eastAsia="仿宋" w:cs="仿宋"/>
                <w:sz w:val="24"/>
                <w:szCs w:val="24"/>
              </w:rPr>
              <w:t>考核方式</w:t>
            </w:r>
          </w:p>
        </w:tc>
        <w:tc>
          <w:tcPr>
            <w:tcW w:w="594" w:type="dxa"/>
            <w:vMerge w:val="restart"/>
            <w:tcBorders>
              <w:left w:val="single" w:color="000000" w:sz="4" w:space="0"/>
            </w:tcBorders>
            <w:vAlign w:val="center"/>
          </w:tcPr>
          <w:p w14:paraId="60C85F24">
            <w:pPr>
              <w:tabs>
                <w:tab w:val="left" w:pos="720"/>
              </w:tabs>
              <w:jc w:val="center"/>
              <w:rPr>
                <w:rFonts w:hint="eastAsia" w:ascii="仿宋" w:hAnsi="仿宋" w:eastAsia="仿宋" w:cs="仿宋"/>
                <w:kern w:val="0"/>
                <w:sz w:val="24"/>
                <w:szCs w:val="24"/>
              </w:rPr>
            </w:pPr>
            <w:r>
              <w:rPr>
                <w:rFonts w:hint="eastAsia" w:ascii="仿宋" w:hAnsi="仿宋" w:eastAsia="仿宋" w:cs="仿宋"/>
                <w:sz w:val="24"/>
                <w:szCs w:val="24"/>
              </w:rPr>
              <w:t>课程分目标的达成度</w:t>
            </w:r>
          </w:p>
        </w:tc>
      </w:tr>
      <w:tr w14:paraId="62ADC079">
        <w:trPr>
          <w:trHeight w:val="184" w:hRule="atLeast"/>
        </w:trPr>
        <w:tc>
          <w:tcPr>
            <w:tcW w:w="1375" w:type="dxa"/>
            <w:vMerge w:val="continue"/>
            <w:vAlign w:val="center"/>
          </w:tcPr>
          <w:p w14:paraId="45ACE769">
            <w:pPr>
              <w:jc w:val="center"/>
              <w:rPr>
                <w:rFonts w:hint="eastAsia" w:ascii="仿宋" w:hAnsi="仿宋" w:eastAsia="仿宋" w:cs="仿宋"/>
                <w:sz w:val="24"/>
                <w:szCs w:val="24"/>
              </w:rPr>
            </w:pPr>
          </w:p>
        </w:tc>
        <w:tc>
          <w:tcPr>
            <w:tcW w:w="1166" w:type="dxa"/>
            <w:vMerge w:val="continue"/>
            <w:vAlign w:val="center"/>
          </w:tcPr>
          <w:p w14:paraId="79DEE694">
            <w:pPr>
              <w:jc w:val="right"/>
              <w:rPr>
                <w:rFonts w:hint="eastAsia" w:ascii="仿宋" w:hAnsi="仿宋" w:eastAsia="仿宋" w:cs="仿宋"/>
                <w:sz w:val="24"/>
                <w:szCs w:val="24"/>
              </w:rPr>
            </w:pPr>
          </w:p>
        </w:tc>
        <w:tc>
          <w:tcPr>
            <w:tcW w:w="2851" w:type="dxa"/>
            <w:gridSpan w:val="4"/>
            <w:vMerge w:val="continue"/>
            <w:tcBorders>
              <w:right w:val="single" w:color="000000" w:sz="4" w:space="0"/>
            </w:tcBorders>
            <w:vAlign w:val="center"/>
          </w:tcPr>
          <w:p w14:paraId="7CC2D291">
            <w:pPr>
              <w:tabs>
                <w:tab w:val="left" w:pos="720"/>
              </w:tabs>
              <w:jc w:val="center"/>
              <w:rPr>
                <w:rFonts w:hint="eastAsia" w:ascii="仿宋" w:hAnsi="仿宋" w:eastAsia="仿宋" w:cs="仿宋"/>
                <w:kern w:val="0"/>
                <w:sz w:val="24"/>
                <w:szCs w:val="24"/>
              </w:rPr>
            </w:pPr>
          </w:p>
        </w:tc>
        <w:tc>
          <w:tcPr>
            <w:tcW w:w="1271" w:type="dxa"/>
            <w:gridSpan w:val="2"/>
            <w:tcBorders>
              <w:left w:val="single" w:color="000000" w:sz="4" w:space="0"/>
            </w:tcBorders>
            <w:vAlign w:val="center"/>
          </w:tcPr>
          <w:p w14:paraId="5E3545FE">
            <w:pPr>
              <w:jc w:val="center"/>
              <w:rPr>
                <w:rFonts w:hint="eastAsia" w:ascii="仿宋" w:hAnsi="仿宋" w:eastAsia="仿宋" w:cs="仿宋"/>
                <w:kern w:val="0"/>
                <w:sz w:val="24"/>
                <w:szCs w:val="24"/>
              </w:rPr>
            </w:pPr>
            <w:r>
              <w:rPr>
                <w:rFonts w:hint="eastAsia" w:ascii="仿宋" w:hAnsi="仿宋" w:eastAsia="仿宋" w:cs="仿宋"/>
                <w:kern w:val="0"/>
                <w:sz w:val="24"/>
                <w:szCs w:val="24"/>
              </w:rPr>
              <w:t>期中考试评分占比</w:t>
            </w:r>
            <w:r>
              <w:rPr>
                <w:rFonts w:hint="eastAsia" w:ascii="仿宋" w:hAnsi="仿宋" w:eastAsia="仿宋" w:cs="仿宋"/>
                <w:sz w:val="24"/>
                <w:szCs w:val="24"/>
              </w:rPr>
              <w:t>（20%）</w:t>
            </w:r>
          </w:p>
        </w:tc>
        <w:tc>
          <w:tcPr>
            <w:tcW w:w="1134" w:type="dxa"/>
            <w:gridSpan w:val="3"/>
            <w:tcBorders>
              <w:left w:val="single" w:color="000000" w:sz="4" w:space="0"/>
              <w:bottom w:val="single" w:color="auto" w:sz="4" w:space="0"/>
            </w:tcBorders>
            <w:vAlign w:val="center"/>
          </w:tcPr>
          <w:p w14:paraId="30E4AAE9">
            <w:pPr>
              <w:jc w:val="center"/>
              <w:rPr>
                <w:rFonts w:hint="eastAsia" w:ascii="仿宋" w:hAnsi="仿宋" w:eastAsia="仿宋" w:cs="仿宋"/>
                <w:sz w:val="24"/>
                <w:szCs w:val="24"/>
              </w:rPr>
            </w:pPr>
            <w:r>
              <w:rPr>
                <w:rFonts w:hint="eastAsia" w:ascii="仿宋" w:hAnsi="仿宋" w:eastAsia="仿宋" w:cs="仿宋"/>
                <w:sz w:val="24"/>
                <w:szCs w:val="24"/>
              </w:rPr>
              <w:t>课堂表现/考勤/作业练习评分占比（20%）</w:t>
            </w:r>
          </w:p>
        </w:tc>
        <w:tc>
          <w:tcPr>
            <w:tcW w:w="757" w:type="dxa"/>
            <w:gridSpan w:val="2"/>
            <w:tcBorders>
              <w:bottom w:val="single" w:color="auto" w:sz="4" w:space="0"/>
              <w:right w:val="single" w:color="000000" w:sz="4" w:space="0"/>
            </w:tcBorders>
            <w:vAlign w:val="center"/>
          </w:tcPr>
          <w:p w14:paraId="7BADC3C0">
            <w:pPr>
              <w:jc w:val="center"/>
              <w:rPr>
                <w:rFonts w:hint="eastAsia" w:ascii="仿宋" w:hAnsi="仿宋" w:eastAsia="仿宋" w:cs="仿宋"/>
                <w:sz w:val="24"/>
                <w:szCs w:val="24"/>
              </w:rPr>
            </w:pPr>
            <w:r>
              <w:rPr>
                <w:rFonts w:hint="eastAsia" w:ascii="仿宋" w:hAnsi="仿宋" w:eastAsia="仿宋" w:cs="仿宋"/>
                <w:sz w:val="24"/>
                <w:szCs w:val="24"/>
              </w:rPr>
              <w:t>期末考试评分占比（60%）</w:t>
            </w:r>
          </w:p>
        </w:tc>
        <w:tc>
          <w:tcPr>
            <w:tcW w:w="594" w:type="dxa"/>
            <w:vMerge w:val="continue"/>
            <w:tcBorders>
              <w:left w:val="single" w:color="000000" w:sz="4" w:space="0"/>
              <w:bottom w:val="single" w:color="auto" w:sz="4" w:space="0"/>
            </w:tcBorders>
            <w:vAlign w:val="center"/>
          </w:tcPr>
          <w:p w14:paraId="3F010BDD">
            <w:pPr>
              <w:tabs>
                <w:tab w:val="left" w:pos="720"/>
              </w:tabs>
              <w:jc w:val="center"/>
              <w:rPr>
                <w:rFonts w:hint="eastAsia" w:ascii="仿宋" w:hAnsi="仿宋" w:eastAsia="仿宋" w:cs="仿宋"/>
                <w:sz w:val="24"/>
                <w:szCs w:val="24"/>
              </w:rPr>
            </w:pPr>
          </w:p>
        </w:tc>
      </w:tr>
      <w:tr w14:paraId="4B27F240">
        <w:tc>
          <w:tcPr>
            <w:tcW w:w="1375" w:type="dxa"/>
            <w:vMerge w:val="continue"/>
            <w:vAlign w:val="center"/>
          </w:tcPr>
          <w:p w14:paraId="14A6B34B">
            <w:pPr>
              <w:jc w:val="center"/>
              <w:rPr>
                <w:rFonts w:hint="eastAsia" w:ascii="仿宋" w:hAnsi="仿宋" w:eastAsia="仿宋" w:cs="仿宋"/>
                <w:sz w:val="24"/>
                <w:szCs w:val="24"/>
                <w:lang w:eastAsia="zh-TW"/>
              </w:rPr>
            </w:pPr>
          </w:p>
        </w:tc>
        <w:tc>
          <w:tcPr>
            <w:tcW w:w="1166" w:type="dxa"/>
            <w:tcBorders>
              <w:bottom w:val="single" w:color="auto" w:sz="4" w:space="0"/>
            </w:tcBorders>
            <w:vAlign w:val="center"/>
          </w:tcPr>
          <w:p w14:paraId="79D82AE6">
            <w:pPr>
              <w:rPr>
                <w:rFonts w:hint="eastAsia" w:ascii="仿宋" w:hAnsi="仿宋" w:eastAsia="仿宋" w:cs="仿宋"/>
                <w:kern w:val="0"/>
                <w:sz w:val="24"/>
                <w:szCs w:val="24"/>
              </w:rPr>
            </w:pPr>
            <w:r>
              <w:rPr>
                <w:rFonts w:hint="eastAsia" w:ascii="仿宋" w:hAnsi="仿宋" w:eastAsia="仿宋" w:cs="仿宋"/>
                <w:kern w:val="0"/>
                <w:sz w:val="24"/>
                <w:szCs w:val="24"/>
              </w:rPr>
              <w:t>课程目标1（20%）</w:t>
            </w:r>
          </w:p>
        </w:tc>
        <w:tc>
          <w:tcPr>
            <w:tcW w:w="2851" w:type="dxa"/>
            <w:gridSpan w:val="4"/>
            <w:tcBorders>
              <w:bottom w:val="single" w:color="auto" w:sz="4" w:space="0"/>
              <w:right w:val="single" w:color="000000" w:sz="4" w:space="0"/>
            </w:tcBorders>
            <w:vAlign w:val="center"/>
          </w:tcPr>
          <w:p w14:paraId="3BCE6189">
            <w:pPr>
              <w:rPr>
                <w:rFonts w:hint="eastAsia" w:ascii="仿宋" w:hAnsi="仿宋" w:eastAsia="仿宋" w:cs="仿宋"/>
                <w:sz w:val="24"/>
                <w:szCs w:val="24"/>
              </w:rPr>
            </w:pPr>
            <w:r>
              <w:rPr>
                <w:rFonts w:hint="eastAsia" w:ascii="仿宋" w:hAnsi="仿宋" w:eastAsia="仿宋" w:cs="仿宋"/>
                <w:sz w:val="24"/>
                <w:szCs w:val="24"/>
              </w:rPr>
              <w:t xml:space="preserve">1.全面发展教育观、素质教育观。 </w:t>
            </w:r>
          </w:p>
          <w:p w14:paraId="1693D79D">
            <w:pPr>
              <w:rPr>
                <w:rFonts w:hint="eastAsia" w:ascii="仿宋" w:hAnsi="仿宋" w:eastAsia="仿宋" w:cs="仿宋"/>
                <w:sz w:val="24"/>
                <w:szCs w:val="24"/>
              </w:rPr>
            </w:pPr>
            <w:r>
              <w:rPr>
                <w:rFonts w:hint="eastAsia" w:ascii="仿宋" w:hAnsi="仿宋" w:eastAsia="仿宋" w:cs="仿宋"/>
                <w:sz w:val="24"/>
                <w:szCs w:val="24"/>
              </w:rPr>
              <w:t xml:space="preserve">2.教师专业素质、新课改倡导的教师观。    </w:t>
            </w:r>
          </w:p>
        </w:tc>
        <w:tc>
          <w:tcPr>
            <w:tcW w:w="1271" w:type="dxa"/>
            <w:gridSpan w:val="2"/>
            <w:tcBorders>
              <w:left w:val="single" w:color="000000" w:sz="4" w:space="0"/>
              <w:bottom w:val="single" w:color="auto" w:sz="4" w:space="0"/>
              <w:right w:val="single" w:color="auto" w:sz="4" w:space="0"/>
            </w:tcBorders>
            <w:vAlign w:val="center"/>
          </w:tcPr>
          <w:p w14:paraId="6BF3D820">
            <w:pPr>
              <w:tabs>
                <w:tab w:val="left" w:pos="720"/>
              </w:tabs>
              <w:jc w:val="center"/>
              <w:rPr>
                <w:rFonts w:hint="eastAsia" w:ascii="仿宋" w:hAnsi="仿宋" w:eastAsia="仿宋" w:cs="仿宋"/>
                <w:kern w:val="0"/>
                <w:sz w:val="24"/>
                <w:szCs w:val="24"/>
              </w:rPr>
            </w:pPr>
            <w:r>
              <w:rPr>
                <w:rFonts w:hint="eastAsia" w:ascii="仿宋" w:hAnsi="仿宋" w:eastAsia="仿宋" w:cs="仿宋"/>
                <w:kern w:val="0"/>
                <w:sz w:val="24"/>
                <w:szCs w:val="24"/>
              </w:rPr>
              <w:t>4</w:t>
            </w:r>
          </w:p>
        </w:tc>
        <w:tc>
          <w:tcPr>
            <w:tcW w:w="1134" w:type="dxa"/>
            <w:gridSpan w:val="3"/>
            <w:tcBorders>
              <w:left w:val="single" w:color="000000" w:sz="4" w:space="0"/>
              <w:bottom w:val="single" w:color="auto" w:sz="4" w:space="0"/>
              <w:right w:val="single" w:color="auto" w:sz="4" w:space="0"/>
            </w:tcBorders>
            <w:vAlign w:val="center"/>
          </w:tcPr>
          <w:p w14:paraId="415867FC">
            <w:pPr>
              <w:tabs>
                <w:tab w:val="left" w:pos="720"/>
              </w:tabs>
              <w:jc w:val="center"/>
              <w:rPr>
                <w:rFonts w:hint="eastAsia" w:ascii="仿宋" w:hAnsi="仿宋" w:eastAsia="仿宋" w:cs="仿宋"/>
                <w:kern w:val="0"/>
                <w:sz w:val="24"/>
                <w:szCs w:val="24"/>
              </w:rPr>
            </w:pPr>
            <w:r>
              <w:rPr>
                <w:rFonts w:hint="eastAsia" w:ascii="仿宋" w:hAnsi="仿宋" w:eastAsia="仿宋" w:cs="仿宋"/>
                <w:kern w:val="0"/>
                <w:sz w:val="24"/>
                <w:szCs w:val="24"/>
              </w:rPr>
              <w:t>4</w:t>
            </w:r>
          </w:p>
        </w:tc>
        <w:tc>
          <w:tcPr>
            <w:tcW w:w="757" w:type="dxa"/>
            <w:gridSpan w:val="2"/>
            <w:tcBorders>
              <w:left w:val="single" w:color="auto" w:sz="4" w:space="0"/>
              <w:bottom w:val="single" w:color="auto" w:sz="4" w:space="0"/>
              <w:right w:val="single" w:color="auto" w:sz="4" w:space="0"/>
            </w:tcBorders>
            <w:vAlign w:val="center"/>
          </w:tcPr>
          <w:p w14:paraId="796AF9C2">
            <w:pPr>
              <w:tabs>
                <w:tab w:val="left" w:pos="720"/>
              </w:tabs>
              <w:jc w:val="center"/>
              <w:rPr>
                <w:rFonts w:hint="eastAsia" w:ascii="仿宋" w:hAnsi="仿宋" w:eastAsia="仿宋" w:cs="仿宋"/>
                <w:kern w:val="0"/>
                <w:sz w:val="24"/>
                <w:szCs w:val="24"/>
              </w:rPr>
            </w:pPr>
            <w:r>
              <w:rPr>
                <w:rFonts w:hint="eastAsia" w:ascii="仿宋" w:hAnsi="仿宋" w:eastAsia="仿宋" w:cs="仿宋"/>
                <w:kern w:val="0"/>
                <w:sz w:val="24"/>
                <w:szCs w:val="24"/>
              </w:rPr>
              <w:t>12</w:t>
            </w:r>
          </w:p>
        </w:tc>
        <w:tc>
          <w:tcPr>
            <w:tcW w:w="594" w:type="dxa"/>
            <w:tcBorders>
              <w:left w:val="single" w:color="auto" w:sz="4" w:space="0"/>
              <w:bottom w:val="single" w:color="auto" w:sz="4" w:space="0"/>
            </w:tcBorders>
            <w:vAlign w:val="center"/>
          </w:tcPr>
          <w:p w14:paraId="73249654">
            <w:pPr>
              <w:tabs>
                <w:tab w:val="left" w:pos="720"/>
              </w:tabs>
              <w:jc w:val="center"/>
              <w:rPr>
                <w:rFonts w:hint="eastAsia" w:ascii="仿宋" w:hAnsi="仿宋" w:eastAsia="仿宋" w:cs="仿宋"/>
                <w:kern w:val="0"/>
                <w:sz w:val="24"/>
                <w:szCs w:val="24"/>
              </w:rPr>
            </w:pPr>
            <w:r>
              <w:rPr>
                <w:rFonts w:hint="eastAsia" w:ascii="仿宋" w:hAnsi="仿宋" w:eastAsia="仿宋" w:cs="仿宋"/>
                <w:kern w:val="0"/>
                <w:sz w:val="24"/>
                <w:szCs w:val="24"/>
              </w:rPr>
              <w:t>0.70</w:t>
            </w:r>
          </w:p>
        </w:tc>
      </w:tr>
      <w:tr w14:paraId="5EB27398">
        <w:tc>
          <w:tcPr>
            <w:tcW w:w="1375" w:type="dxa"/>
            <w:vMerge w:val="continue"/>
            <w:vAlign w:val="center"/>
          </w:tcPr>
          <w:p w14:paraId="488100C8">
            <w:pPr>
              <w:jc w:val="center"/>
              <w:rPr>
                <w:rFonts w:hint="eastAsia" w:ascii="仿宋" w:hAnsi="仿宋" w:eastAsia="仿宋" w:cs="仿宋"/>
                <w:sz w:val="24"/>
                <w:szCs w:val="24"/>
                <w:lang w:eastAsia="zh-TW"/>
              </w:rPr>
            </w:pPr>
          </w:p>
        </w:tc>
        <w:tc>
          <w:tcPr>
            <w:tcW w:w="1166" w:type="dxa"/>
            <w:tcBorders>
              <w:bottom w:val="single" w:color="auto" w:sz="4" w:space="0"/>
            </w:tcBorders>
            <w:vAlign w:val="center"/>
          </w:tcPr>
          <w:p w14:paraId="321CBE7A">
            <w:pPr>
              <w:rPr>
                <w:rFonts w:hint="eastAsia" w:ascii="仿宋" w:hAnsi="仿宋" w:eastAsia="仿宋" w:cs="仿宋"/>
                <w:sz w:val="24"/>
                <w:szCs w:val="24"/>
              </w:rPr>
            </w:pPr>
            <w:r>
              <w:rPr>
                <w:rFonts w:hint="eastAsia" w:ascii="仿宋" w:hAnsi="仿宋" w:eastAsia="仿宋" w:cs="仿宋"/>
                <w:kern w:val="0"/>
                <w:sz w:val="24"/>
                <w:szCs w:val="24"/>
              </w:rPr>
              <w:t>课程目标</w:t>
            </w:r>
            <w:r>
              <w:rPr>
                <w:rFonts w:hint="eastAsia" w:ascii="仿宋" w:hAnsi="仿宋" w:eastAsia="仿宋" w:cs="仿宋"/>
                <w:kern w:val="0"/>
                <w:sz w:val="24"/>
                <w:szCs w:val="24"/>
                <w:lang w:val="en-US" w:eastAsia="zh-CN"/>
              </w:rPr>
              <w:t>2</w:t>
            </w:r>
            <w:r>
              <w:rPr>
                <w:rFonts w:hint="eastAsia" w:ascii="仿宋" w:hAnsi="仿宋" w:eastAsia="仿宋" w:cs="仿宋"/>
                <w:kern w:val="0"/>
                <w:sz w:val="24"/>
                <w:szCs w:val="24"/>
              </w:rPr>
              <w:t>（</w:t>
            </w:r>
            <w:r>
              <w:rPr>
                <w:rFonts w:ascii="仿宋" w:hAnsi="仿宋" w:eastAsia="仿宋" w:cs="仿宋"/>
                <w:kern w:val="0"/>
                <w:sz w:val="24"/>
                <w:szCs w:val="24"/>
              </w:rPr>
              <w:t>5</w:t>
            </w:r>
            <w:r>
              <w:rPr>
                <w:rFonts w:hint="eastAsia" w:ascii="仿宋" w:hAnsi="仿宋" w:eastAsia="仿宋" w:cs="仿宋"/>
                <w:kern w:val="0"/>
                <w:sz w:val="24"/>
                <w:szCs w:val="24"/>
              </w:rPr>
              <w:t>0%）</w:t>
            </w:r>
          </w:p>
        </w:tc>
        <w:tc>
          <w:tcPr>
            <w:tcW w:w="2851" w:type="dxa"/>
            <w:gridSpan w:val="4"/>
            <w:tcBorders>
              <w:bottom w:val="single" w:color="auto" w:sz="4" w:space="0"/>
              <w:right w:val="single" w:color="000000" w:sz="4" w:space="0"/>
            </w:tcBorders>
            <w:vAlign w:val="center"/>
          </w:tcPr>
          <w:p w14:paraId="38C822E4">
            <w:pPr>
              <w:rPr>
                <w:rFonts w:hint="eastAsia" w:ascii="仿宋" w:hAnsi="仿宋" w:eastAsia="仿宋" w:cs="仿宋"/>
                <w:sz w:val="24"/>
                <w:szCs w:val="24"/>
              </w:rPr>
            </w:pPr>
            <w:r>
              <w:rPr>
                <w:rFonts w:hint="eastAsia" w:ascii="仿宋" w:hAnsi="仿宋" w:eastAsia="仿宋" w:cs="仿宋"/>
                <w:sz w:val="24"/>
                <w:szCs w:val="24"/>
              </w:rPr>
              <w:t>1.掌握</w:t>
            </w:r>
            <w:r>
              <w:rPr>
                <w:rFonts w:hint="eastAsia" w:ascii="仿宋" w:hAnsi="仿宋" w:eastAsia="仿宋" w:cs="仿宋"/>
                <w:sz w:val="24"/>
                <w:szCs w:val="24"/>
                <w:lang w:eastAsia="en-US"/>
              </w:rPr>
              <w:t>音乐</w:t>
            </w:r>
            <w:r>
              <w:rPr>
                <w:rFonts w:hint="eastAsia" w:ascii="仿宋" w:hAnsi="仿宋" w:eastAsia="仿宋" w:cs="仿宋"/>
                <w:sz w:val="24"/>
                <w:szCs w:val="24"/>
              </w:rPr>
              <w:t>理论的基本知识，了解中外音乐史的总体框架，</w:t>
            </w:r>
            <w:r>
              <w:rPr>
                <w:rFonts w:hint="eastAsia" w:ascii="仿宋" w:hAnsi="仿宋" w:eastAsia="仿宋" w:cs="仿宋"/>
                <w:sz w:val="24"/>
                <w:szCs w:val="24"/>
                <w:lang w:eastAsia="en-US"/>
              </w:rPr>
              <w:t>理解</w:t>
            </w:r>
            <w:r>
              <w:rPr>
                <w:rFonts w:hint="eastAsia" w:ascii="仿宋" w:hAnsi="仿宋" w:eastAsia="仿宋" w:cs="仿宋"/>
                <w:sz w:val="24"/>
                <w:szCs w:val="24"/>
              </w:rPr>
              <w:t>音乐理论课程之间的相互关联，形成</w:t>
            </w:r>
            <w:r>
              <w:rPr>
                <w:rFonts w:hint="eastAsia" w:ascii="仿宋" w:hAnsi="仿宋" w:eastAsia="仿宋" w:cs="仿宋"/>
                <w:sz w:val="24"/>
                <w:szCs w:val="24"/>
                <w:lang w:eastAsia="en-US"/>
              </w:rPr>
              <w:t>初步的音乐</w:t>
            </w:r>
            <w:r>
              <w:rPr>
                <w:rFonts w:hint="eastAsia" w:ascii="仿宋" w:hAnsi="仿宋" w:eastAsia="仿宋" w:cs="仿宋"/>
                <w:sz w:val="24"/>
                <w:szCs w:val="24"/>
              </w:rPr>
              <w:t>理论知识体系。</w:t>
            </w:r>
          </w:p>
          <w:p w14:paraId="169F6F9D">
            <w:pPr>
              <w:rPr>
                <w:rFonts w:hint="eastAsia" w:ascii="仿宋" w:hAnsi="仿宋" w:eastAsia="仿宋" w:cs="仿宋"/>
                <w:sz w:val="24"/>
                <w:szCs w:val="24"/>
              </w:rPr>
            </w:pPr>
            <w:r>
              <w:rPr>
                <w:rFonts w:hint="eastAsia" w:ascii="仿宋" w:hAnsi="仿宋" w:eastAsia="仿宋" w:cs="仿宋"/>
                <w:sz w:val="24"/>
                <w:szCs w:val="24"/>
              </w:rPr>
              <w:t>2.对演唱发声基本要求掌握和综合运用。重视发声中呼吸、共鸣、咬字、吐字、语言等基本要求。</w:t>
            </w:r>
            <w:r>
              <w:rPr>
                <w:rFonts w:hint="eastAsia" w:ascii="仿宋" w:hAnsi="仿宋" w:eastAsia="仿宋" w:cs="仿宋"/>
                <w:sz w:val="24"/>
                <w:szCs w:val="24"/>
              </w:rPr>
              <w:tab/>
            </w:r>
          </w:p>
        </w:tc>
        <w:tc>
          <w:tcPr>
            <w:tcW w:w="1271" w:type="dxa"/>
            <w:gridSpan w:val="2"/>
            <w:tcBorders>
              <w:left w:val="single" w:color="000000" w:sz="4" w:space="0"/>
              <w:bottom w:val="single" w:color="auto" w:sz="4" w:space="0"/>
              <w:right w:val="single" w:color="auto" w:sz="4" w:space="0"/>
            </w:tcBorders>
            <w:vAlign w:val="center"/>
          </w:tcPr>
          <w:p w14:paraId="1FFECF9F">
            <w:pPr>
              <w:tabs>
                <w:tab w:val="left" w:pos="720"/>
              </w:tabs>
              <w:jc w:val="center"/>
              <w:rPr>
                <w:rFonts w:hint="eastAsia" w:ascii="仿宋" w:hAnsi="仿宋" w:eastAsia="仿宋" w:cs="仿宋"/>
                <w:kern w:val="0"/>
                <w:sz w:val="24"/>
                <w:szCs w:val="24"/>
              </w:rPr>
            </w:pPr>
            <w:r>
              <w:rPr>
                <w:rFonts w:hint="eastAsia" w:ascii="仿宋" w:hAnsi="仿宋" w:eastAsia="仿宋" w:cs="仿宋"/>
                <w:kern w:val="0"/>
                <w:sz w:val="24"/>
                <w:szCs w:val="24"/>
              </w:rPr>
              <w:t>10</w:t>
            </w:r>
          </w:p>
        </w:tc>
        <w:tc>
          <w:tcPr>
            <w:tcW w:w="1134" w:type="dxa"/>
            <w:gridSpan w:val="3"/>
            <w:tcBorders>
              <w:left w:val="single" w:color="000000" w:sz="4" w:space="0"/>
              <w:bottom w:val="single" w:color="auto" w:sz="4" w:space="0"/>
              <w:right w:val="single" w:color="auto" w:sz="4" w:space="0"/>
            </w:tcBorders>
            <w:vAlign w:val="center"/>
          </w:tcPr>
          <w:p w14:paraId="18DE2F99">
            <w:pPr>
              <w:tabs>
                <w:tab w:val="left" w:pos="720"/>
              </w:tabs>
              <w:jc w:val="center"/>
              <w:rPr>
                <w:rFonts w:hint="eastAsia" w:ascii="仿宋" w:hAnsi="仿宋" w:eastAsia="仿宋" w:cs="仿宋"/>
                <w:kern w:val="0"/>
                <w:sz w:val="24"/>
                <w:szCs w:val="24"/>
              </w:rPr>
            </w:pPr>
            <w:r>
              <w:rPr>
                <w:rFonts w:hint="eastAsia" w:ascii="仿宋" w:hAnsi="仿宋" w:eastAsia="仿宋" w:cs="仿宋"/>
                <w:kern w:val="0"/>
                <w:sz w:val="24"/>
                <w:szCs w:val="24"/>
              </w:rPr>
              <w:t>10</w:t>
            </w:r>
          </w:p>
        </w:tc>
        <w:tc>
          <w:tcPr>
            <w:tcW w:w="757" w:type="dxa"/>
            <w:gridSpan w:val="2"/>
            <w:tcBorders>
              <w:left w:val="single" w:color="auto" w:sz="4" w:space="0"/>
              <w:bottom w:val="single" w:color="auto" w:sz="4" w:space="0"/>
              <w:right w:val="single" w:color="auto" w:sz="4" w:space="0"/>
            </w:tcBorders>
            <w:vAlign w:val="center"/>
          </w:tcPr>
          <w:p w14:paraId="013DAC83">
            <w:pPr>
              <w:tabs>
                <w:tab w:val="left" w:pos="720"/>
              </w:tabs>
              <w:jc w:val="center"/>
              <w:rPr>
                <w:rFonts w:hint="eastAsia" w:ascii="仿宋" w:hAnsi="仿宋" w:eastAsia="仿宋" w:cs="仿宋"/>
                <w:kern w:val="0"/>
                <w:sz w:val="24"/>
                <w:szCs w:val="24"/>
              </w:rPr>
            </w:pPr>
            <w:r>
              <w:rPr>
                <w:rFonts w:hint="eastAsia" w:ascii="仿宋" w:hAnsi="仿宋" w:eastAsia="仿宋" w:cs="仿宋"/>
                <w:kern w:val="0"/>
                <w:sz w:val="24"/>
                <w:szCs w:val="24"/>
              </w:rPr>
              <w:t>30</w:t>
            </w:r>
          </w:p>
        </w:tc>
        <w:tc>
          <w:tcPr>
            <w:tcW w:w="594" w:type="dxa"/>
            <w:tcBorders>
              <w:left w:val="single" w:color="auto" w:sz="4" w:space="0"/>
              <w:bottom w:val="single" w:color="auto" w:sz="4" w:space="0"/>
            </w:tcBorders>
            <w:vAlign w:val="center"/>
          </w:tcPr>
          <w:p w14:paraId="36913E86">
            <w:pPr>
              <w:tabs>
                <w:tab w:val="left" w:pos="720"/>
              </w:tabs>
              <w:jc w:val="center"/>
              <w:rPr>
                <w:rFonts w:hint="eastAsia" w:ascii="仿宋" w:hAnsi="仿宋" w:eastAsia="仿宋" w:cs="仿宋"/>
                <w:kern w:val="0"/>
                <w:sz w:val="24"/>
                <w:szCs w:val="24"/>
              </w:rPr>
            </w:pPr>
            <w:r>
              <w:rPr>
                <w:rFonts w:hint="eastAsia" w:ascii="仿宋" w:hAnsi="仿宋" w:eastAsia="仿宋" w:cs="仿宋"/>
                <w:kern w:val="0"/>
                <w:sz w:val="24"/>
                <w:szCs w:val="24"/>
              </w:rPr>
              <w:t>0.70</w:t>
            </w:r>
          </w:p>
        </w:tc>
      </w:tr>
      <w:tr w14:paraId="42D50E53">
        <w:trPr>
          <w:trHeight w:val="745" w:hRule="atLeast"/>
        </w:trPr>
        <w:tc>
          <w:tcPr>
            <w:tcW w:w="1375" w:type="dxa"/>
            <w:vMerge w:val="continue"/>
            <w:vAlign w:val="center"/>
          </w:tcPr>
          <w:p w14:paraId="11357417">
            <w:pPr>
              <w:jc w:val="center"/>
              <w:rPr>
                <w:rFonts w:hint="eastAsia" w:ascii="仿宋" w:hAnsi="仿宋" w:eastAsia="仿宋" w:cs="仿宋"/>
                <w:sz w:val="24"/>
                <w:szCs w:val="24"/>
                <w:lang w:eastAsia="zh-TW"/>
              </w:rPr>
            </w:pPr>
          </w:p>
        </w:tc>
        <w:tc>
          <w:tcPr>
            <w:tcW w:w="1166" w:type="dxa"/>
            <w:vAlign w:val="center"/>
          </w:tcPr>
          <w:p w14:paraId="0C5BA61D">
            <w:pPr>
              <w:jc w:val="center"/>
              <w:rPr>
                <w:rFonts w:hint="eastAsia" w:ascii="仿宋" w:hAnsi="仿宋" w:eastAsia="仿宋" w:cs="仿宋"/>
                <w:kern w:val="0"/>
                <w:sz w:val="24"/>
                <w:szCs w:val="24"/>
              </w:rPr>
            </w:pPr>
            <w:r>
              <w:rPr>
                <w:rFonts w:hint="eastAsia" w:ascii="仿宋" w:hAnsi="仿宋" w:eastAsia="仿宋" w:cs="仿宋"/>
                <w:kern w:val="0"/>
                <w:sz w:val="24"/>
                <w:szCs w:val="24"/>
              </w:rPr>
              <w:t>课程目标</w:t>
            </w:r>
            <w:r>
              <w:rPr>
                <w:rFonts w:hint="eastAsia" w:ascii="仿宋" w:hAnsi="仿宋" w:eastAsia="仿宋" w:cs="仿宋"/>
                <w:kern w:val="0"/>
                <w:sz w:val="24"/>
                <w:szCs w:val="24"/>
                <w:lang w:val="en-US" w:eastAsia="zh-CN"/>
              </w:rPr>
              <w:t>3</w:t>
            </w:r>
            <w:r>
              <w:rPr>
                <w:rFonts w:hint="eastAsia" w:ascii="仿宋" w:hAnsi="仿宋" w:eastAsia="仿宋" w:cs="仿宋"/>
                <w:kern w:val="0"/>
                <w:sz w:val="24"/>
                <w:szCs w:val="24"/>
              </w:rPr>
              <w:t>（30%）</w:t>
            </w:r>
          </w:p>
        </w:tc>
        <w:tc>
          <w:tcPr>
            <w:tcW w:w="2851" w:type="dxa"/>
            <w:gridSpan w:val="4"/>
            <w:tcBorders>
              <w:right w:val="single" w:color="000000" w:sz="4" w:space="0"/>
            </w:tcBorders>
            <w:vAlign w:val="center"/>
          </w:tcPr>
          <w:p w14:paraId="04B2DC53">
            <w:pPr>
              <w:widowControl/>
              <w:autoSpaceDE w:val="0"/>
              <w:autoSpaceDN w:val="0"/>
              <w:jc w:val="left"/>
              <w:rPr>
                <w:rFonts w:hint="eastAsia" w:ascii="仿宋" w:hAnsi="仿宋" w:eastAsia="仿宋" w:cs="仿宋"/>
                <w:sz w:val="24"/>
                <w:szCs w:val="24"/>
              </w:rPr>
            </w:pPr>
            <w:r>
              <w:rPr>
                <w:rFonts w:hint="eastAsia" w:ascii="仿宋" w:hAnsi="仿宋" w:eastAsia="仿宋" w:cs="仿宋"/>
                <w:sz w:val="24"/>
                <w:szCs w:val="24"/>
              </w:rPr>
              <w:t>1声乐问题的改进能力。</w:t>
            </w:r>
          </w:p>
          <w:p w14:paraId="61483BD1">
            <w:pPr>
              <w:widowControl/>
              <w:autoSpaceDE w:val="0"/>
              <w:autoSpaceDN w:val="0"/>
              <w:jc w:val="left"/>
              <w:rPr>
                <w:rFonts w:hint="eastAsia" w:ascii="仿宋" w:hAnsi="仿宋" w:eastAsia="仿宋" w:cs="仿宋"/>
                <w:sz w:val="24"/>
                <w:szCs w:val="24"/>
              </w:rPr>
            </w:pPr>
            <w:r>
              <w:rPr>
                <w:rFonts w:hint="eastAsia" w:ascii="仿宋" w:hAnsi="仿宋" w:eastAsia="仿宋" w:cs="仿宋"/>
                <w:sz w:val="24"/>
                <w:szCs w:val="24"/>
              </w:rPr>
              <w:t>2.对于发声机理和自身发声特点的把握。</w:t>
            </w:r>
          </w:p>
          <w:p w14:paraId="44E7A218">
            <w:pPr>
              <w:jc w:val="left"/>
              <w:rPr>
                <w:rFonts w:hint="eastAsia" w:ascii="仿宋" w:hAnsi="仿宋" w:eastAsia="仿宋" w:cs="仿宋"/>
                <w:kern w:val="0"/>
                <w:sz w:val="24"/>
                <w:szCs w:val="24"/>
              </w:rPr>
            </w:pPr>
            <w:r>
              <w:rPr>
                <w:rFonts w:ascii="仿宋" w:hAnsi="仿宋" w:eastAsia="仿宋" w:cs="仿宋"/>
                <w:sz w:val="24"/>
                <w:szCs w:val="24"/>
              </w:rPr>
              <w:t>3</w:t>
            </w:r>
            <w:r>
              <w:rPr>
                <w:rFonts w:hint="eastAsia" w:ascii="仿宋" w:hAnsi="仿宋" w:eastAsia="仿宋" w:cs="仿宋"/>
                <w:sz w:val="24"/>
                <w:szCs w:val="24"/>
              </w:rPr>
              <w:t>.对声乐教学实践的尝试评价。</w:t>
            </w:r>
          </w:p>
        </w:tc>
        <w:tc>
          <w:tcPr>
            <w:tcW w:w="1271" w:type="dxa"/>
            <w:gridSpan w:val="2"/>
            <w:tcBorders>
              <w:left w:val="single" w:color="000000" w:sz="4" w:space="0"/>
            </w:tcBorders>
            <w:vAlign w:val="center"/>
          </w:tcPr>
          <w:p w14:paraId="2F3E7CF4">
            <w:pPr>
              <w:tabs>
                <w:tab w:val="left" w:pos="720"/>
              </w:tabs>
              <w:jc w:val="center"/>
              <w:rPr>
                <w:rFonts w:hint="eastAsia" w:ascii="仿宋" w:hAnsi="仿宋" w:eastAsia="仿宋" w:cs="仿宋"/>
                <w:kern w:val="0"/>
                <w:sz w:val="24"/>
                <w:szCs w:val="24"/>
              </w:rPr>
            </w:pPr>
            <w:r>
              <w:rPr>
                <w:rFonts w:hint="eastAsia" w:ascii="仿宋" w:hAnsi="仿宋" w:eastAsia="仿宋" w:cs="仿宋"/>
                <w:kern w:val="0"/>
                <w:sz w:val="24"/>
                <w:szCs w:val="24"/>
              </w:rPr>
              <w:t>6</w:t>
            </w:r>
          </w:p>
        </w:tc>
        <w:tc>
          <w:tcPr>
            <w:tcW w:w="1134" w:type="dxa"/>
            <w:gridSpan w:val="3"/>
            <w:tcBorders>
              <w:left w:val="single" w:color="000000" w:sz="4" w:space="0"/>
              <w:bottom w:val="single" w:color="000000" w:sz="4" w:space="0"/>
            </w:tcBorders>
            <w:vAlign w:val="center"/>
          </w:tcPr>
          <w:p w14:paraId="0996C937">
            <w:pPr>
              <w:tabs>
                <w:tab w:val="left" w:pos="720"/>
              </w:tabs>
              <w:jc w:val="center"/>
              <w:rPr>
                <w:rFonts w:hint="eastAsia" w:ascii="仿宋" w:hAnsi="仿宋" w:eastAsia="仿宋" w:cs="仿宋"/>
                <w:kern w:val="0"/>
                <w:sz w:val="24"/>
                <w:szCs w:val="24"/>
              </w:rPr>
            </w:pPr>
            <w:r>
              <w:rPr>
                <w:rFonts w:hint="eastAsia" w:ascii="仿宋" w:hAnsi="仿宋" w:eastAsia="仿宋" w:cs="仿宋"/>
                <w:kern w:val="0"/>
                <w:sz w:val="24"/>
                <w:szCs w:val="24"/>
              </w:rPr>
              <w:t>6</w:t>
            </w:r>
          </w:p>
        </w:tc>
        <w:tc>
          <w:tcPr>
            <w:tcW w:w="757" w:type="dxa"/>
            <w:gridSpan w:val="2"/>
            <w:tcBorders>
              <w:bottom w:val="single" w:color="000000" w:sz="4" w:space="0"/>
              <w:right w:val="single" w:color="000000" w:sz="4" w:space="0"/>
            </w:tcBorders>
            <w:vAlign w:val="center"/>
          </w:tcPr>
          <w:p w14:paraId="72B6D509">
            <w:pPr>
              <w:tabs>
                <w:tab w:val="left" w:pos="720"/>
              </w:tabs>
              <w:jc w:val="center"/>
              <w:rPr>
                <w:rFonts w:hint="eastAsia" w:ascii="仿宋" w:hAnsi="仿宋" w:eastAsia="仿宋" w:cs="仿宋"/>
                <w:kern w:val="0"/>
                <w:sz w:val="24"/>
                <w:szCs w:val="24"/>
              </w:rPr>
            </w:pPr>
            <w:r>
              <w:rPr>
                <w:rFonts w:hint="eastAsia" w:ascii="仿宋" w:hAnsi="仿宋" w:eastAsia="仿宋" w:cs="仿宋"/>
                <w:kern w:val="0"/>
                <w:sz w:val="24"/>
                <w:szCs w:val="24"/>
              </w:rPr>
              <w:t>18</w:t>
            </w:r>
          </w:p>
        </w:tc>
        <w:tc>
          <w:tcPr>
            <w:tcW w:w="594" w:type="dxa"/>
            <w:tcBorders>
              <w:left w:val="single" w:color="000000" w:sz="4" w:space="0"/>
              <w:bottom w:val="single" w:color="000000" w:sz="4" w:space="0"/>
            </w:tcBorders>
            <w:vAlign w:val="center"/>
          </w:tcPr>
          <w:p w14:paraId="3895BA00">
            <w:pPr>
              <w:tabs>
                <w:tab w:val="left" w:pos="720"/>
              </w:tabs>
              <w:jc w:val="center"/>
              <w:rPr>
                <w:rFonts w:hint="eastAsia" w:ascii="仿宋" w:hAnsi="仿宋" w:eastAsia="仿宋" w:cs="仿宋"/>
                <w:kern w:val="0"/>
                <w:sz w:val="24"/>
                <w:szCs w:val="24"/>
              </w:rPr>
            </w:pPr>
            <w:r>
              <w:rPr>
                <w:rFonts w:hint="eastAsia" w:ascii="仿宋" w:hAnsi="仿宋" w:eastAsia="仿宋" w:cs="仿宋"/>
                <w:kern w:val="0"/>
                <w:sz w:val="24"/>
                <w:szCs w:val="24"/>
              </w:rPr>
              <w:t>0.70</w:t>
            </w:r>
          </w:p>
        </w:tc>
      </w:tr>
      <w:tr w14:paraId="25C9472E">
        <w:trPr>
          <w:trHeight w:val="390" w:hRule="atLeast"/>
        </w:trPr>
        <w:tc>
          <w:tcPr>
            <w:tcW w:w="1375" w:type="dxa"/>
            <w:vMerge w:val="continue"/>
            <w:vAlign w:val="center"/>
          </w:tcPr>
          <w:p w14:paraId="0239FDFD">
            <w:pPr>
              <w:jc w:val="center"/>
              <w:rPr>
                <w:rFonts w:hint="eastAsia" w:ascii="仿宋" w:hAnsi="仿宋" w:eastAsia="仿宋" w:cs="仿宋"/>
                <w:sz w:val="24"/>
                <w:szCs w:val="24"/>
                <w:lang w:eastAsia="zh-TW"/>
              </w:rPr>
            </w:pPr>
          </w:p>
        </w:tc>
        <w:tc>
          <w:tcPr>
            <w:tcW w:w="4017" w:type="dxa"/>
            <w:gridSpan w:val="5"/>
            <w:tcBorders>
              <w:bottom w:val="single" w:color="auto" w:sz="4" w:space="0"/>
              <w:right w:val="single" w:color="000000" w:sz="4" w:space="0"/>
            </w:tcBorders>
            <w:vAlign w:val="center"/>
          </w:tcPr>
          <w:p w14:paraId="0B1D5DBF">
            <w:pPr>
              <w:widowControl/>
              <w:autoSpaceDE w:val="0"/>
              <w:autoSpaceDN w:val="0"/>
              <w:jc w:val="center"/>
              <w:rPr>
                <w:rFonts w:hint="eastAsia" w:ascii="仿宋" w:hAnsi="仿宋" w:eastAsia="仿宋" w:cs="仿宋"/>
                <w:sz w:val="24"/>
                <w:szCs w:val="24"/>
              </w:rPr>
            </w:pPr>
            <w:r>
              <w:rPr>
                <w:rFonts w:hint="eastAsia" w:ascii="仿宋" w:hAnsi="仿宋" w:eastAsia="仿宋" w:cs="仿宋"/>
                <w:sz w:val="24"/>
                <w:szCs w:val="24"/>
              </w:rPr>
              <w:t>总分</w:t>
            </w:r>
          </w:p>
        </w:tc>
        <w:tc>
          <w:tcPr>
            <w:tcW w:w="1271" w:type="dxa"/>
            <w:gridSpan w:val="2"/>
            <w:tcBorders>
              <w:left w:val="single" w:color="000000" w:sz="4" w:space="0"/>
              <w:bottom w:val="single" w:color="auto" w:sz="4" w:space="0"/>
            </w:tcBorders>
            <w:vAlign w:val="center"/>
          </w:tcPr>
          <w:p w14:paraId="74F13971">
            <w:pPr>
              <w:tabs>
                <w:tab w:val="left" w:pos="720"/>
              </w:tabs>
              <w:jc w:val="center"/>
              <w:rPr>
                <w:rFonts w:hint="eastAsia" w:ascii="仿宋" w:hAnsi="仿宋" w:eastAsia="仿宋" w:cs="仿宋"/>
                <w:kern w:val="0"/>
                <w:sz w:val="24"/>
                <w:szCs w:val="24"/>
              </w:rPr>
            </w:pPr>
            <w:r>
              <w:rPr>
                <w:rFonts w:hint="eastAsia" w:ascii="仿宋" w:hAnsi="仿宋" w:eastAsia="仿宋" w:cs="仿宋"/>
                <w:kern w:val="0"/>
                <w:sz w:val="24"/>
                <w:szCs w:val="24"/>
              </w:rPr>
              <w:t>20</w:t>
            </w:r>
          </w:p>
        </w:tc>
        <w:tc>
          <w:tcPr>
            <w:tcW w:w="1134" w:type="dxa"/>
            <w:gridSpan w:val="3"/>
            <w:tcBorders>
              <w:top w:val="single" w:color="000000" w:sz="4" w:space="0"/>
              <w:left w:val="single" w:color="000000" w:sz="4" w:space="0"/>
              <w:bottom w:val="single" w:color="auto" w:sz="4" w:space="0"/>
            </w:tcBorders>
            <w:vAlign w:val="center"/>
          </w:tcPr>
          <w:p w14:paraId="7DDADEBB">
            <w:pPr>
              <w:tabs>
                <w:tab w:val="left" w:pos="720"/>
              </w:tabs>
              <w:jc w:val="center"/>
              <w:rPr>
                <w:rFonts w:hint="eastAsia" w:ascii="仿宋" w:hAnsi="仿宋" w:eastAsia="仿宋" w:cs="仿宋"/>
                <w:kern w:val="0"/>
                <w:sz w:val="24"/>
                <w:szCs w:val="24"/>
              </w:rPr>
            </w:pPr>
            <w:r>
              <w:rPr>
                <w:rFonts w:hint="eastAsia" w:ascii="仿宋" w:hAnsi="仿宋" w:eastAsia="仿宋" w:cs="仿宋"/>
                <w:kern w:val="0"/>
                <w:sz w:val="24"/>
                <w:szCs w:val="24"/>
              </w:rPr>
              <w:t>20</w:t>
            </w:r>
          </w:p>
        </w:tc>
        <w:tc>
          <w:tcPr>
            <w:tcW w:w="757" w:type="dxa"/>
            <w:gridSpan w:val="2"/>
            <w:tcBorders>
              <w:top w:val="single" w:color="000000" w:sz="4" w:space="0"/>
              <w:bottom w:val="single" w:color="auto" w:sz="4" w:space="0"/>
              <w:right w:val="single" w:color="000000" w:sz="4" w:space="0"/>
            </w:tcBorders>
            <w:vAlign w:val="center"/>
          </w:tcPr>
          <w:p w14:paraId="66BA7CE5">
            <w:pPr>
              <w:tabs>
                <w:tab w:val="left" w:pos="720"/>
              </w:tabs>
              <w:jc w:val="center"/>
              <w:rPr>
                <w:rFonts w:hint="eastAsia" w:ascii="仿宋" w:hAnsi="仿宋" w:eastAsia="仿宋" w:cs="仿宋"/>
                <w:kern w:val="0"/>
                <w:sz w:val="24"/>
                <w:szCs w:val="24"/>
              </w:rPr>
            </w:pPr>
            <w:r>
              <w:rPr>
                <w:rFonts w:hint="eastAsia" w:ascii="仿宋" w:hAnsi="仿宋" w:eastAsia="仿宋" w:cs="仿宋"/>
                <w:kern w:val="0"/>
                <w:sz w:val="24"/>
                <w:szCs w:val="24"/>
              </w:rPr>
              <w:t>60</w:t>
            </w:r>
          </w:p>
        </w:tc>
        <w:tc>
          <w:tcPr>
            <w:tcW w:w="594" w:type="dxa"/>
            <w:tcBorders>
              <w:top w:val="single" w:color="000000" w:sz="4" w:space="0"/>
              <w:left w:val="single" w:color="000000" w:sz="4" w:space="0"/>
              <w:bottom w:val="single" w:color="auto" w:sz="4" w:space="0"/>
            </w:tcBorders>
            <w:vAlign w:val="center"/>
          </w:tcPr>
          <w:p w14:paraId="2B13CEA6">
            <w:pPr>
              <w:tabs>
                <w:tab w:val="left" w:pos="720"/>
              </w:tabs>
              <w:jc w:val="center"/>
              <w:rPr>
                <w:rFonts w:hint="eastAsia" w:ascii="仿宋" w:hAnsi="仿宋" w:eastAsia="仿宋" w:cs="仿宋"/>
                <w:kern w:val="0"/>
                <w:sz w:val="24"/>
                <w:szCs w:val="24"/>
              </w:rPr>
            </w:pPr>
            <w:r>
              <w:rPr>
                <w:rFonts w:hint="eastAsia" w:ascii="仿宋" w:hAnsi="仿宋" w:eastAsia="仿宋" w:cs="仿宋"/>
                <w:kern w:val="0"/>
                <w:sz w:val="24"/>
                <w:szCs w:val="24"/>
              </w:rPr>
              <w:t>0.70</w:t>
            </w:r>
          </w:p>
        </w:tc>
      </w:tr>
      <w:tr w14:paraId="622702FC">
        <w:tc>
          <w:tcPr>
            <w:tcW w:w="1375" w:type="dxa"/>
            <w:vAlign w:val="center"/>
          </w:tcPr>
          <w:p w14:paraId="14CA4854">
            <w:pPr>
              <w:jc w:val="center"/>
              <w:rPr>
                <w:rFonts w:hint="eastAsia" w:ascii="仿宋" w:hAnsi="仿宋" w:eastAsia="仿宋" w:cs="仿宋"/>
                <w:sz w:val="24"/>
                <w:szCs w:val="24"/>
              </w:rPr>
            </w:pPr>
            <w:r>
              <w:rPr>
                <w:rFonts w:hint="eastAsia" w:ascii="仿宋" w:hAnsi="仿宋" w:eastAsia="仿宋" w:cs="仿宋"/>
                <w:sz w:val="24"/>
                <w:szCs w:val="24"/>
              </w:rPr>
              <w:t>L</w:t>
            </w:r>
          </w:p>
          <w:p w14:paraId="3BEC87DC">
            <w:pPr>
              <w:jc w:val="center"/>
              <w:rPr>
                <w:rFonts w:hint="eastAsia" w:ascii="仿宋" w:hAnsi="仿宋" w:eastAsia="仿宋" w:cs="仿宋"/>
                <w:sz w:val="24"/>
                <w:szCs w:val="24"/>
              </w:rPr>
            </w:pPr>
            <w:r>
              <w:rPr>
                <w:rFonts w:hint="eastAsia" w:ascii="仿宋" w:hAnsi="仿宋" w:eastAsia="仿宋" w:cs="仿宋"/>
                <w:sz w:val="24"/>
                <w:szCs w:val="24"/>
              </w:rPr>
              <w:t>学习建议</w:t>
            </w:r>
          </w:p>
        </w:tc>
        <w:tc>
          <w:tcPr>
            <w:tcW w:w="7773" w:type="dxa"/>
            <w:gridSpan w:val="13"/>
            <w:tcBorders>
              <w:bottom w:val="single" w:color="auto" w:sz="4" w:space="0"/>
            </w:tcBorders>
            <w:vAlign w:val="center"/>
          </w:tcPr>
          <w:p w14:paraId="1C136220">
            <w:pPr>
              <w:rPr>
                <w:rFonts w:hint="eastAsia" w:ascii="仿宋" w:hAnsi="仿宋" w:eastAsia="仿宋" w:cs="仿宋"/>
                <w:bCs/>
                <w:sz w:val="24"/>
                <w:szCs w:val="24"/>
              </w:rPr>
            </w:pPr>
            <w:r>
              <w:rPr>
                <w:rFonts w:hint="eastAsia" w:ascii="仿宋" w:hAnsi="仿宋" w:eastAsia="仿宋" w:cs="仿宋"/>
                <w:bCs/>
                <w:sz w:val="24"/>
                <w:szCs w:val="24"/>
              </w:rPr>
              <w:t>1.自主学习。建议学生通过预习教材，并通过网络、图书馆自主查阅课程中涉及的学习资源，独立规划自己的课程学习计划，充分发挥自身的学习能动性。</w:t>
            </w:r>
          </w:p>
          <w:p w14:paraId="51480D67">
            <w:pPr>
              <w:rPr>
                <w:rFonts w:hint="eastAsia" w:ascii="仿宋" w:hAnsi="仿宋" w:eastAsia="仿宋" w:cs="仿宋"/>
                <w:bCs/>
                <w:sz w:val="24"/>
                <w:szCs w:val="24"/>
              </w:rPr>
            </w:pPr>
            <w:r>
              <w:rPr>
                <w:rFonts w:hint="eastAsia" w:ascii="仿宋" w:hAnsi="仿宋" w:eastAsia="仿宋" w:cs="仿宋"/>
                <w:bCs/>
                <w:sz w:val="24"/>
                <w:szCs w:val="24"/>
              </w:rPr>
              <w:t>2.研究性学习。鼓励学生针对课程教学内容，尝试理论课结合专题报告的教学方式，开展相关的声乐艺术的进展和专题讲座，提高学生的学习兴趣，了解国内外最新生化知识，开阔学生的视野。</w:t>
            </w:r>
          </w:p>
          <w:p w14:paraId="32312C31">
            <w:pPr>
              <w:rPr>
                <w:rFonts w:hint="eastAsia" w:ascii="仿宋" w:hAnsi="仿宋" w:eastAsia="仿宋" w:cs="仿宋"/>
                <w:kern w:val="0"/>
                <w:sz w:val="24"/>
                <w:szCs w:val="24"/>
              </w:rPr>
            </w:pPr>
            <w:r>
              <w:rPr>
                <w:rFonts w:hint="eastAsia" w:ascii="仿宋" w:hAnsi="仿宋" w:eastAsia="仿宋" w:cs="仿宋"/>
                <w:bCs/>
                <w:sz w:val="24"/>
                <w:szCs w:val="24"/>
              </w:rPr>
              <w:t>3.小组讨论学习。鼓励学生二人或多人一组进行讨论学习，通过交流自己演唱时的身体上的状态，或进行适当的示范，来相互加深对声乐方法或感觉的理解。</w:t>
            </w:r>
          </w:p>
        </w:tc>
      </w:tr>
      <w:tr w14:paraId="4153CA3C">
        <w:trPr>
          <w:trHeight w:val="492" w:hRule="atLeast"/>
        </w:trPr>
        <w:tc>
          <w:tcPr>
            <w:tcW w:w="1375" w:type="dxa"/>
            <w:vAlign w:val="center"/>
          </w:tcPr>
          <w:p w14:paraId="3ADA4DFB">
            <w:pPr>
              <w:jc w:val="center"/>
              <w:rPr>
                <w:rFonts w:hint="eastAsia" w:ascii="仿宋" w:hAnsi="仿宋" w:eastAsia="仿宋" w:cs="仿宋"/>
                <w:sz w:val="24"/>
                <w:szCs w:val="24"/>
              </w:rPr>
            </w:pPr>
            <w:r>
              <w:rPr>
                <w:rFonts w:hint="eastAsia" w:ascii="仿宋" w:hAnsi="仿宋" w:eastAsia="仿宋" w:cs="仿宋"/>
                <w:sz w:val="24"/>
                <w:szCs w:val="24"/>
              </w:rPr>
              <w:t>M</w:t>
            </w:r>
          </w:p>
          <w:p w14:paraId="422C95A1">
            <w:pPr>
              <w:jc w:val="center"/>
              <w:rPr>
                <w:rFonts w:hint="eastAsia" w:ascii="仿宋" w:hAnsi="仿宋" w:eastAsia="仿宋" w:cs="仿宋"/>
                <w:sz w:val="24"/>
                <w:szCs w:val="24"/>
              </w:rPr>
            </w:pPr>
            <w:r>
              <w:rPr>
                <w:rFonts w:hint="eastAsia" w:ascii="仿宋" w:hAnsi="仿宋" w:eastAsia="仿宋" w:cs="仿宋"/>
                <w:sz w:val="24"/>
                <w:szCs w:val="24"/>
              </w:rPr>
              <w:t>评分量表</w:t>
            </w:r>
          </w:p>
        </w:tc>
        <w:tc>
          <w:tcPr>
            <w:tcW w:w="7773" w:type="dxa"/>
            <w:gridSpan w:val="13"/>
            <w:vAlign w:val="center"/>
          </w:tcPr>
          <w:p w14:paraId="2E6AC647">
            <w:pPr>
              <w:tabs>
                <w:tab w:val="left" w:pos="720"/>
              </w:tabs>
              <w:rPr>
                <w:rFonts w:hint="eastAsia" w:ascii="仿宋" w:hAnsi="仿宋" w:eastAsia="仿宋" w:cs="仿宋"/>
                <w:kern w:val="0"/>
                <w:sz w:val="24"/>
                <w:szCs w:val="24"/>
              </w:rPr>
            </w:pPr>
            <w:r>
              <w:rPr>
                <w:rFonts w:hint="eastAsia" w:ascii="仿宋" w:hAnsi="仿宋" w:eastAsia="仿宋" w:cs="仿宋"/>
                <w:kern w:val="0"/>
                <w:sz w:val="24"/>
                <w:szCs w:val="24"/>
              </w:rPr>
              <w:t>《</w:t>
            </w:r>
            <w:r>
              <w:rPr>
                <w:rFonts w:hint="eastAsia" w:ascii="仿宋" w:hAnsi="仿宋" w:eastAsia="仿宋" w:cs="仿宋"/>
                <w:bCs/>
                <w:sz w:val="24"/>
                <w:szCs w:val="24"/>
              </w:rPr>
              <w:t>声乐基础</w:t>
            </w:r>
            <w:r>
              <w:rPr>
                <w:rFonts w:hint="eastAsia" w:ascii="仿宋" w:hAnsi="仿宋" w:eastAsia="仿宋" w:cs="仿宋"/>
                <w:kern w:val="0"/>
                <w:sz w:val="24"/>
                <w:szCs w:val="24"/>
              </w:rPr>
              <w:t>》课程目标评分量表见附表。</w:t>
            </w:r>
          </w:p>
        </w:tc>
      </w:tr>
      <w:tr w14:paraId="1029896D">
        <w:trPr>
          <w:trHeight w:val="454" w:hRule="atLeast"/>
        </w:trPr>
        <w:tc>
          <w:tcPr>
            <w:tcW w:w="1375" w:type="dxa"/>
            <w:vAlign w:val="center"/>
          </w:tcPr>
          <w:p w14:paraId="37487FC5">
            <w:pPr>
              <w:jc w:val="center"/>
              <w:rPr>
                <w:rFonts w:hint="eastAsia" w:ascii="仿宋" w:hAnsi="仿宋" w:eastAsia="仿宋" w:cs="仿宋"/>
                <w:sz w:val="24"/>
                <w:szCs w:val="24"/>
              </w:rPr>
            </w:pPr>
            <w:r>
              <w:rPr>
                <w:rFonts w:hint="eastAsia" w:ascii="仿宋" w:hAnsi="仿宋" w:eastAsia="仿宋" w:cs="仿宋"/>
                <w:sz w:val="24"/>
                <w:szCs w:val="24"/>
              </w:rPr>
              <w:t>备注</w:t>
            </w:r>
          </w:p>
        </w:tc>
        <w:tc>
          <w:tcPr>
            <w:tcW w:w="7773" w:type="dxa"/>
            <w:gridSpan w:val="13"/>
            <w:vAlign w:val="center"/>
          </w:tcPr>
          <w:p w14:paraId="6E679834">
            <w:pPr>
              <w:rPr>
                <w:rFonts w:hint="eastAsia" w:ascii="仿宋" w:hAnsi="仿宋" w:eastAsia="仿宋" w:cs="仿宋"/>
                <w:sz w:val="24"/>
                <w:szCs w:val="24"/>
              </w:rPr>
            </w:pPr>
            <w:r>
              <w:rPr>
                <w:rFonts w:hint="eastAsia" w:ascii="仿宋" w:hAnsi="仿宋" w:eastAsia="仿宋" w:cs="仿宋"/>
                <w:sz w:val="24"/>
                <w:szCs w:val="24"/>
              </w:rPr>
              <w:t>课程大纲A—M项由开课学院审批通过，任课教师不能自行更改。</w:t>
            </w:r>
          </w:p>
        </w:tc>
      </w:tr>
      <w:tr w14:paraId="0469352F">
        <w:trPr>
          <w:trHeight w:val="753" w:hRule="atLeast"/>
        </w:trPr>
        <w:tc>
          <w:tcPr>
            <w:tcW w:w="1375" w:type="dxa"/>
            <w:vAlign w:val="center"/>
          </w:tcPr>
          <w:p w14:paraId="776F2184">
            <w:pPr>
              <w:jc w:val="center"/>
              <w:rPr>
                <w:rFonts w:hint="eastAsia" w:ascii="仿宋" w:hAnsi="仿宋" w:eastAsia="仿宋" w:cs="仿宋"/>
                <w:sz w:val="24"/>
                <w:szCs w:val="24"/>
              </w:rPr>
            </w:pPr>
            <w:r>
              <w:rPr>
                <w:rFonts w:hint="eastAsia" w:ascii="仿宋" w:hAnsi="仿宋" w:eastAsia="仿宋" w:cs="仿宋"/>
                <w:sz w:val="24"/>
                <w:szCs w:val="24"/>
              </w:rPr>
              <w:t>审批</w:t>
            </w:r>
          </w:p>
          <w:p w14:paraId="51B49400">
            <w:pPr>
              <w:jc w:val="center"/>
              <w:rPr>
                <w:rFonts w:hint="eastAsia" w:ascii="仿宋" w:hAnsi="仿宋" w:eastAsia="仿宋" w:cs="仿宋"/>
                <w:sz w:val="24"/>
                <w:szCs w:val="24"/>
              </w:rPr>
            </w:pPr>
            <w:r>
              <w:rPr>
                <w:rFonts w:hint="eastAsia" w:ascii="仿宋" w:hAnsi="仿宋" w:eastAsia="仿宋" w:cs="仿宋"/>
                <w:sz w:val="24"/>
                <w:szCs w:val="24"/>
              </w:rPr>
              <w:t>意见</w:t>
            </w:r>
          </w:p>
        </w:tc>
        <w:tc>
          <w:tcPr>
            <w:tcW w:w="3871" w:type="dxa"/>
            <w:gridSpan w:val="3"/>
            <w:vAlign w:val="center"/>
          </w:tcPr>
          <w:p w14:paraId="63EA4338">
            <w:pPr>
              <w:widowControl/>
              <w:jc w:val="left"/>
              <w:rPr>
                <w:rFonts w:hint="eastAsia" w:ascii="仿宋" w:hAnsi="仿宋" w:eastAsia="仿宋" w:cs="仿宋"/>
                <w:kern w:val="0"/>
                <w:sz w:val="24"/>
                <w:szCs w:val="24"/>
              </w:rPr>
            </w:pPr>
            <w:r>
              <w:rPr>
                <w:rFonts w:hint="eastAsia" w:ascii="仿宋" w:hAnsi="仿宋" w:eastAsia="仿宋" w:cs="仿宋"/>
                <w:kern w:val="0"/>
                <w:sz w:val="24"/>
                <w:szCs w:val="24"/>
              </w:rPr>
              <w:t>课程教学大纲修订负责人及教学团队成员</w:t>
            </w:r>
            <w:r>
              <w:rPr>
                <w:rFonts w:hint="eastAsia" w:ascii="仿宋" w:hAnsi="仿宋" w:eastAsia="仿宋" w:cs="仿宋"/>
                <w:sz w:val="24"/>
                <w:szCs w:val="24"/>
              </w:rPr>
              <w:t>签名</w:t>
            </w:r>
            <w:r>
              <w:rPr>
                <w:rFonts w:hint="eastAsia" w:ascii="仿宋" w:hAnsi="仿宋" w:eastAsia="仿宋" w:cs="仿宋"/>
                <w:kern w:val="0"/>
                <w:sz w:val="24"/>
                <w:szCs w:val="24"/>
              </w:rPr>
              <w:t xml:space="preserve">：  </w:t>
            </w:r>
            <w:r>
              <w:pict>
                <v:shape id="_x0000_i1027" o:spt="75" type="#_x0000_t75" style="height:36.75pt;width:91.5pt;" filled="f" stroked="f" coordsize="21600,21600">
                  <v:path/>
                  <v:fill on="f" focussize="0,0"/>
                  <v:stroke on="f" joinstyle="miter"/>
                  <v:imagedata r:id="rId154" o:title=""/>
                  <o:lock v:ext="edit" aspectratio="t"/>
                  <w10:wrap type="none"/>
                  <w10:anchorlock/>
                </v:shape>
              </w:pict>
            </w:r>
          </w:p>
          <w:p w14:paraId="68D6D602">
            <w:pPr>
              <w:widowControl/>
              <w:ind w:right="960"/>
              <w:jc w:val="right"/>
              <w:rPr>
                <w:rFonts w:hint="eastAsia" w:ascii="仿宋" w:hAnsi="仿宋" w:eastAsia="仿宋" w:cs="仿宋"/>
                <w:kern w:val="0"/>
                <w:sz w:val="24"/>
                <w:szCs w:val="24"/>
              </w:rPr>
            </w:pPr>
            <w:r>
              <w:rPr>
                <w:rFonts w:hint="eastAsia" w:ascii="仿宋" w:hAnsi="仿宋" w:eastAsia="仿宋" w:cs="仿宋"/>
                <w:kern w:val="0"/>
                <w:sz w:val="24"/>
                <w:szCs w:val="24"/>
              </w:rPr>
              <w:t xml:space="preserve">                                              2024年 7月10日 </w:t>
            </w:r>
          </w:p>
          <w:p w14:paraId="760ECE85">
            <w:pPr>
              <w:widowControl/>
              <w:jc w:val="right"/>
              <w:rPr>
                <w:rFonts w:hint="eastAsia" w:ascii="仿宋" w:hAnsi="仿宋" w:eastAsia="仿宋" w:cs="仿宋"/>
                <w:kern w:val="0"/>
                <w:sz w:val="24"/>
                <w:szCs w:val="24"/>
              </w:rPr>
            </w:pPr>
          </w:p>
        </w:tc>
        <w:tc>
          <w:tcPr>
            <w:tcW w:w="3902" w:type="dxa"/>
            <w:gridSpan w:val="10"/>
            <w:vAlign w:val="center"/>
          </w:tcPr>
          <w:p w14:paraId="243DDFF5">
            <w:pPr>
              <w:widowControl/>
              <w:jc w:val="left"/>
              <w:rPr>
                <w:rFonts w:hint="eastAsia" w:ascii="仿宋" w:hAnsi="仿宋" w:eastAsia="仿宋" w:cs="仿宋"/>
                <w:kern w:val="0"/>
                <w:sz w:val="24"/>
                <w:szCs w:val="24"/>
              </w:rPr>
            </w:pPr>
            <w:r>
              <w:rPr>
                <w:rFonts w:hint="eastAsia" w:ascii="仿宋" w:hAnsi="仿宋" w:eastAsia="仿宋" w:cs="仿宋"/>
                <w:kern w:val="0"/>
                <w:sz w:val="24"/>
                <w:szCs w:val="24"/>
              </w:rPr>
              <w:t>系主任审核意见：</w:t>
            </w:r>
          </w:p>
          <w:p w14:paraId="01CA572B">
            <w:pPr>
              <w:widowControl/>
              <w:ind w:firstLine="480" w:firstLineChars="200"/>
              <w:jc w:val="left"/>
              <w:rPr>
                <w:rFonts w:hint="eastAsia" w:ascii="仿宋" w:hAnsi="仿宋" w:eastAsia="仿宋" w:cs="仿宋"/>
                <w:kern w:val="0"/>
                <w:sz w:val="24"/>
                <w:szCs w:val="24"/>
              </w:rPr>
            </w:pPr>
            <w:r>
              <w:rPr>
                <w:rFonts w:hint="eastAsia" w:ascii="仿宋" w:hAnsi="仿宋" w:eastAsia="仿宋" w:cs="仿宋"/>
                <w:kern w:val="0"/>
                <w:sz w:val="24"/>
                <w:szCs w:val="24"/>
              </w:rPr>
              <w:t>同意</w:t>
            </w:r>
          </w:p>
          <w:p w14:paraId="7382D72F">
            <w:pPr>
              <w:widowControl/>
              <w:jc w:val="left"/>
              <w:rPr>
                <w:rFonts w:hint="eastAsia" w:ascii="仿宋" w:hAnsi="仿宋" w:eastAsia="仿宋" w:cs="仿宋"/>
                <w:kern w:val="0"/>
                <w:sz w:val="24"/>
                <w:szCs w:val="24"/>
              </w:rPr>
            </w:pPr>
            <w:r>
              <w:rPr>
                <w:rFonts w:hint="eastAsia" w:ascii="仿宋" w:hAnsi="仿宋" w:eastAsia="仿宋" w:cs="仿宋"/>
                <w:kern w:val="0"/>
                <w:sz w:val="24"/>
                <w:szCs w:val="24"/>
              </w:rPr>
              <w:t>系主任签名：</w:t>
            </w:r>
            <w:r>
              <w:pict>
                <v:shape id="_x0000_i1028" o:spt="75" type="#_x0000_t75" style="height:46.1pt;width:88.1pt;" filled="f" stroked="f" coordsize="21600,21600">
                  <v:path/>
                  <v:fill on="f" focussize="0,0"/>
                  <v:stroke on="f" joinstyle="miter"/>
                  <v:imagedata r:id="rId148" o:title=""/>
                  <o:lock v:ext="edit" aspectratio="t"/>
                  <w10:wrap type="none"/>
                  <w10:anchorlock/>
                </v:shape>
              </w:pict>
            </w:r>
          </w:p>
          <w:p w14:paraId="6D33854A">
            <w:pPr>
              <w:widowControl/>
              <w:ind w:right="960"/>
              <w:jc w:val="right"/>
              <w:rPr>
                <w:rFonts w:hint="eastAsia" w:ascii="仿宋" w:hAnsi="仿宋" w:eastAsia="仿宋" w:cs="仿宋"/>
                <w:kern w:val="0"/>
                <w:sz w:val="24"/>
                <w:szCs w:val="24"/>
              </w:rPr>
            </w:pPr>
            <w:r>
              <w:rPr>
                <w:rFonts w:hint="eastAsia" w:ascii="仿宋" w:hAnsi="仿宋" w:eastAsia="仿宋" w:cs="仿宋"/>
                <w:kern w:val="0"/>
                <w:sz w:val="24"/>
                <w:szCs w:val="24"/>
              </w:rPr>
              <w:t>2024年 7月10日</w:t>
            </w:r>
          </w:p>
          <w:p w14:paraId="0B7A5979">
            <w:pPr>
              <w:widowControl/>
              <w:jc w:val="right"/>
              <w:rPr>
                <w:rFonts w:hint="eastAsia" w:ascii="仿宋" w:hAnsi="仿宋" w:eastAsia="仿宋" w:cs="仿宋"/>
                <w:kern w:val="0"/>
                <w:sz w:val="24"/>
                <w:szCs w:val="24"/>
              </w:rPr>
            </w:pPr>
          </w:p>
        </w:tc>
      </w:tr>
    </w:tbl>
    <w:p w14:paraId="6622FC91">
      <w:pPr>
        <w:widowControl/>
        <w:ind w:right="480" w:firstLine="420" w:firstLineChars="200"/>
        <w:rPr>
          <w:rFonts w:cs="黑体"/>
        </w:rPr>
      </w:pPr>
    </w:p>
    <w:p w14:paraId="12014A2F">
      <w:pPr>
        <w:pageBreakBefore w:val="0"/>
        <w:kinsoku/>
        <w:overflowPunct/>
        <w:topLinePunct w:val="0"/>
        <w:bidi w:val="0"/>
        <w:spacing w:before="240" w:line="240" w:lineRule="auto"/>
        <w:jc w:val="center"/>
        <w:rPr>
          <w:rFonts w:hint="eastAsia" w:ascii="仿宋" w:eastAsia="仿宋" w:cs="仿宋"/>
          <w:b/>
          <w:kern w:val="2"/>
          <w:sz w:val="28"/>
          <w:szCs w:val="28"/>
          <w:lang w:bidi="ar-SA"/>
        </w:rPr>
      </w:pPr>
      <w:r>
        <w:rPr>
          <w:rFonts w:hint="eastAsia" w:ascii="仿宋" w:eastAsia="仿宋" w:cs="仿宋"/>
          <w:b/>
          <w:kern w:val="2"/>
          <w:sz w:val="28"/>
          <w:szCs w:val="28"/>
          <w:lang w:bidi="ar-SA"/>
        </w:rPr>
        <w:t>附表：《</w:t>
      </w:r>
      <w:r>
        <w:rPr>
          <w:rFonts w:hint="eastAsia" w:ascii="仿宋" w:eastAsia="仿宋" w:cs="仿宋"/>
          <w:b/>
          <w:bCs/>
          <w:kern w:val="2"/>
          <w:sz w:val="28"/>
          <w:szCs w:val="28"/>
          <w:lang w:bidi="ar-SA"/>
        </w:rPr>
        <w:t>声乐基础</w:t>
      </w:r>
      <w:r>
        <w:rPr>
          <w:rFonts w:hint="eastAsia" w:ascii="仿宋" w:eastAsia="仿宋" w:cs="仿宋"/>
          <w:b/>
          <w:kern w:val="2"/>
          <w:sz w:val="28"/>
          <w:szCs w:val="28"/>
          <w:lang w:bidi="ar-SA"/>
        </w:rPr>
        <w:t>》课程目标评分量表</w:t>
      </w:r>
    </w:p>
    <w:p w14:paraId="304872DE">
      <w:pPr>
        <w:widowControl/>
        <w:ind w:right="480" w:firstLine="420" w:firstLineChars="200"/>
        <w:rPr>
          <w:rFonts w:cs="黑体"/>
        </w:rPr>
      </w:pPr>
    </w:p>
    <w:tbl>
      <w:tblPr>
        <w:tblStyle w:val="22"/>
        <w:tblW w:w="9439" w:type="dxa"/>
        <w:jc w:val="center"/>
        <w:tblLayout w:type="autofit"/>
        <w:tblCellMar>
          <w:top w:w="0" w:type="dxa"/>
          <w:left w:w="108" w:type="dxa"/>
          <w:bottom w:w="0" w:type="dxa"/>
          <w:right w:w="108" w:type="dxa"/>
        </w:tblCellMar>
      </w:tblPr>
      <w:tblGrid>
        <w:gridCol w:w="1522"/>
        <w:gridCol w:w="1571"/>
        <w:gridCol w:w="1624"/>
        <w:gridCol w:w="1653"/>
        <w:gridCol w:w="1636"/>
        <w:gridCol w:w="1433"/>
      </w:tblGrid>
      <w:tr w14:paraId="49A45EB1">
        <w:trPr>
          <w:trHeight w:val="624" w:hRule="atLeast"/>
          <w:jc w:val="center"/>
        </w:trPr>
        <w:tc>
          <w:tcPr>
            <w:tcW w:w="1523" w:type="dxa"/>
            <w:tcBorders>
              <w:top w:val="single" w:color="000000" w:sz="4" w:space="0"/>
              <w:left w:val="single" w:color="000000" w:sz="4" w:space="0"/>
              <w:bottom w:val="single" w:color="000000" w:sz="4" w:space="0"/>
              <w:right w:val="single" w:color="000000" w:sz="4" w:space="0"/>
            </w:tcBorders>
            <w:vAlign w:val="center"/>
          </w:tcPr>
          <w:p w14:paraId="669ECAA3">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课程目标</w:t>
            </w:r>
          </w:p>
        </w:tc>
        <w:tc>
          <w:tcPr>
            <w:tcW w:w="1571" w:type="dxa"/>
            <w:tcBorders>
              <w:top w:val="single" w:color="000000" w:sz="4" w:space="0"/>
              <w:left w:val="single" w:color="000000" w:sz="4" w:space="0"/>
              <w:bottom w:val="single" w:color="000000" w:sz="4" w:space="0"/>
              <w:right w:val="single" w:color="000000" w:sz="4" w:space="0"/>
            </w:tcBorders>
            <w:vAlign w:val="center"/>
          </w:tcPr>
          <w:p w14:paraId="40665B68">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优</w:t>
            </w:r>
          </w:p>
          <w:p w14:paraId="14EFFB97">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（X≧90）</w:t>
            </w:r>
          </w:p>
        </w:tc>
        <w:tc>
          <w:tcPr>
            <w:tcW w:w="1624" w:type="dxa"/>
            <w:tcBorders>
              <w:top w:val="single" w:color="000000" w:sz="4" w:space="0"/>
              <w:left w:val="single" w:color="000000" w:sz="4" w:space="0"/>
              <w:bottom w:val="single" w:color="000000" w:sz="4" w:space="0"/>
              <w:right w:val="single" w:color="000000" w:sz="4" w:space="0"/>
            </w:tcBorders>
            <w:vAlign w:val="center"/>
          </w:tcPr>
          <w:p w14:paraId="71B7ABF9">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良</w:t>
            </w:r>
          </w:p>
          <w:p w14:paraId="2F91331E">
            <w:pPr>
              <w:pageBreakBefore w:val="0"/>
              <w:tabs>
                <w:tab w:val="left" w:pos="720"/>
              </w:tabs>
              <w:kinsoku/>
              <w:overflowPunct/>
              <w:topLinePunct w:val="0"/>
              <w:bidi w:val="0"/>
              <w:spacing w:line="240" w:lineRule="auto"/>
              <w:ind w:left="-93" w:right="-75" w:hanging="12"/>
              <w:jc w:val="center"/>
              <w:rPr>
                <w:rFonts w:hint="eastAsia" w:ascii="仿宋" w:eastAsia="仿宋" w:cs="仿宋"/>
                <w:b/>
                <w:kern w:val="2"/>
                <w:szCs w:val="21"/>
                <w:lang w:bidi="ar-SA"/>
              </w:rPr>
            </w:pPr>
            <w:r>
              <w:rPr>
                <w:rFonts w:hint="eastAsia" w:ascii="仿宋" w:eastAsia="仿宋" w:cs="仿宋"/>
                <w:b/>
                <w:kern w:val="2"/>
                <w:szCs w:val="21"/>
                <w:lang w:bidi="ar-SA"/>
              </w:rPr>
              <w:t>（80≦X＜90）</w:t>
            </w:r>
          </w:p>
        </w:tc>
        <w:tc>
          <w:tcPr>
            <w:tcW w:w="1653" w:type="dxa"/>
            <w:tcBorders>
              <w:top w:val="single" w:color="000000" w:sz="4" w:space="0"/>
              <w:left w:val="single" w:color="000000" w:sz="4" w:space="0"/>
              <w:bottom w:val="single" w:color="000000" w:sz="4" w:space="0"/>
              <w:right w:val="single" w:color="000000" w:sz="4" w:space="0"/>
            </w:tcBorders>
            <w:vAlign w:val="center"/>
          </w:tcPr>
          <w:p w14:paraId="096D828F">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中</w:t>
            </w:r>
          </w:p>
          <w:p w14:paraId="27386D6A">
            <w:pPr>
              <w:pageBreakBefore w:val="0"/>
              <w:tabs>
                <w:tab w:val="left" w:pos="720"/>
              </w:tabs>
              <w:kinsoku/>
              <w:overflowPunct/>
              <w:topLinePunct w:val="0"/>
              <w:bidi w:val="0"/>
              <w:spacing w:line="240" w:lineRule="auto"/>
              <w:ind w:left="-93" w:right="-75" w:hanging="12"/>
              <w:jc w:val="center"/>
              <w:rPr>
                <w:rFonts w:hint="eastAsia" w:ascii="仿宋" w:eastAsia="仿宋" w:cs="仿宋"/>
                <w:b/>
                <w:kern w:val="2"/>
                <w:szCs w:val="21"/>
                <w:lang w:bidi="ar-SA"/>
              </w:rPr>
            </w:pPr>
            <w:r>
              <w:rPr>
                <w:rFonts w:hint="eastAsia" w:ascii="仿宋" w:eastAsia="仿宋" w:cs="仿宋"/>
                <w:b/>
                <w:kern w:val="2"/>
                <w:szCs w:val="21"/>
                <w:lang w:bidi="ar-SA"/>
              </w:rPr>
              <w:t>（70≦X＜80）</w:t>
            </w:r>
          </w:p>
        </w:tc>
        <w:tc>
          <w:tcPr>
            <w:tcW w:w="1636" w:type="dxa"/>
            <w:tcBorders>
              <w:top w:val="single" w:color="000000" w:sz="4" w:space="0"/>
              <w:left w:val="single" w:color="000000" w:sz="4" w:space="0"/>
              <w:bottom w:val="single" w:color="000000" w:sz="4" w:space="0"/>
              <w:right w:val="single" w:color="000000" w:sz="4" w:space="0"/>
            </w:tcBorders>
            <w:vAlign w:val="center"/>
          </w:tcPr>
          <w:p w14:paraId="2E1C8DA0">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及格</w:t>
            </w:r>
          </w:p>
          <w:p w14:paraId="5FC83DB0">
            <w:pPr>
              <w:pageBreakBefore w:val="0"/>
              <w:tabs>
                <w:tab w:val="left" w:pos="720"/>
              </w:tabs>
              <w:kinsoku/>
              <w:overflowPunct/>
              <w:topLinePunct w:val="0"/>
              <w:bidi w:val="0"/>
              <w:spacing w:line="240" w:lineRule="auto"/>
              <w:ind w:left="-93" w:right="-75" w:hanging="12"/>
              <w:jc w:val="center"/>
              <w:rPr>
                <w:rFonts w:hint="eastAsia" w:ascii="仿宋" w:eastAsia="仿宋" w:cs="仿宋"/>
                <w:b/>
                <w:kern w:val="2"/>
                <w:szCs w:val="21"/>
                <w:lang w:bidi="ar-SA"/>
              </w:rPr>
            </w:pPr>
            <w:r>
              <w:rPr>
                <w:rFonts w:hint="eastAsia" w:ascii="仿宋" w:eastAsia="仿宋" w:cs="仿宋"/>
                <w:b/>
                <w:kern w:val="2"/>
                <w:szCs w:val="21"/>
                <w:lang w:bidi="ar-SA"/>
              </w:rPr>
              <w:t>（60≦X＜70）</w:t>
            </w:r>
          </w:p>
        </w:tc>
        <w:tc>
          <w:tcPr>
            <w:tcW w:w="1433" w:type="dxa"/>
            <w:tcBorders>
              <w:top w:val="single" w:color="000000" w:sz="4" w:space="0"/>
              <w:left w:val="single" w:color="000000" w:sz="4" w:space="0"/>
              <w:bottom w:val="single" w:color="000000" w:sz="4" w:space="0"/>
              <w:right w:val="single" w:color="000000" w:sz="4" w:space="0"/>
            </w:tcBorders>
            <w:vAlign w:val="center"/>
          </w:tcPr>
          <w:p w14:paraId="64CBA149">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不及格</w:t>
            </w:r>
          </w:p>
          <w:p w14:paraId="494AE0FE">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（X＜60）</w:t>
            </w:r>
          </w:p>
        </w:tc>
      </w:tr>
      <w:tr w14:paraId="7839CD00">
        <w:trPr>
          <w:trHeight w:val="995" w:hRule="atLeast"/>
          <w:jc w:val="center"/>
        </w:trPr>
        <w:tc>
          <w:tcPr>
            <w:tcW w:w="1523" w:type="dxa"/>
            <w:tcBorders>
              <w:top w:val="single" w:color="000000" w:sz="4" w:space="0"/>
              <w:left w:val="single" w:color="000000" w:sz="4" w:space="0"/>
              <w:bottom w:val="single" w:color="000000" w:sz="4" w:space="0"/>
              <w:right w:val="single" w:color="000000" w:sz="4" w:space="0"/>
            </w:tcBorders>
            <w:vAlign w:val="top"/>
          </w:tcPr>
          <w:p w14:paraId="1F7DD0AC">
            <w:pPr>
              <w:pageBreakBefore w:val="0"/>
              <w:widowControl/>
              <w:kinsoku/>
              <w:overflowPunct/>
              <w:topLinePunct w:val="0"/>
              <w:bidi w:val="0"/>
              <w:spacing w:line="240" w:lineRule="auto"/>
              <w:rPr>
                <w:rFonts w:hint="eastAsia" w:ascii="楷体" w:eastAsia="楷体" w:cs="仿宋"/>
                <w:kern w:val="2"/>
                <w:szCs w:val="21"/>
                <w:lang w:bidi="ar-SA"/>
              </w:rPr>
            </w:pPr>
            <w:r>
              <w:rPr>
                <w:rFonts w:hint="eastAsia" w:ascii="楷体" w:eastAsia="楷体" w:cs="仿宋"/>
                <w:bCs/>
                <w:kern w:val="2"/>
                <w:szCs w:val="21"/>
                <w:lang w:bidi="ar-SA"/>
              </w:rPr>
              <w:t>课程目标1.能够掌握规范、系统的基础发声方法，学习丰富的优秀民族声乐作品，提升民族认同感；充分理解声音的个体差异性，能够在教育实践中举一反三，并能够学会综合育人，促进音乐素养的全面发展。</w:t>
            </w:r>
          </w:p>
        </w:tc>
        <w:tc>
          <w:tcPr>
            <w:tcW w:w="1571" w:type="dxa"/>
            <w:tcBorders>
              <w:top w:val="single" w:color="000000" w:sz="4" w:space="0"/>
              <w:left w:val="single" w:color="000000" w:sz="4" w:space="0"/>
              <w:bottom w:val="single" w:color="000000" w:sz="4" w:space="0"/>
              <w:right w:val="single" w:color="000000" w:sz="4" w:space="0"/>
            </w:tcBorders>
            <w:vAlign w:val="top"/>
          </w:tcPr>
          <w:p w14:paraId="2A451A21">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bidi="ar-SA"/>
              </w:rPr>
              <w:t>能够扎实掌握规范、系统的基础发声方法，学习丰富的优秀民族声乐作品，提升民族认同感；充分理解声音的个体差异性，能够在教育实践中举一反三，并能够学会综合育人，促进学生音乐素养的全面发展。</w:t>
            </w:r>
          </w:p>
        </w:tc>
        <w:tc>
          <w:tcPr>
            <w:tcW w:w="1624" w:type="dxa"/>
            <w:tcBorders>
              <w:top w:val="single" w:color="000000" w:sz="4" w:space="0"/>
              <w:left w:val="single" w:color="000000" w:sz="4" w:space="0"/>
              <w:bottom w:val="single" w:color="000000" w:sz="4" w:space="0"/>
              <w:right w:val="single" w:color="000000" w:sz="4" w:space="0"/>
            </w:tcBorders>
            <w:vAlign w:val="top"/>
          </w:tcPr>
          <w:p w14:paraId="5E110FBB">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bidi="ar-SA"/>
              </w:rPr>
              <w:t>掌握规范、系统的基础发声方法，学习一定的优秀民族声乐作品，提升民族认同感；理解声音的个体差异性，能够在教育实践中举一反三，并能够学会综合育人，促进学生音乐素养的全面发展。</w:t>
            </w:r>
          </w:p>
        </w:tc>
        <w:tc>
          <w:tcPr>
            <w:tcW w:w="1653" w:type="dxa"/>
            <w:tcBorders>
              <w:top w:val="single" w:color="000000" w:sz="4" w:space="0"/>
              <w:left w:val="single" w:color="000000" w:sz="4" w:space="0"/>
              <w:bottom w:val="single" w:color="000000" w:sz="4" w:space="0"/>
              <w:right w:val="single" w:color="000000" w:sz="4" w:space="0"/>
            </w:tcBorders>
            <w:vAlign w:val="top"/>
          </w:tcPr>
          <w:p w14:paraId="189F32BF">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bidi="ar-SA"/>
              </w:rPr>
              <w:t>基本掌握规范、系统的基础发声方法，学习一定的优秀民族声乐作品，提升民族认同感；基本理解声音的个体差异性，能够在教育实践中举一反三，并能够学会综合育人，促进学生音乐素养的全面发展。</w:t>
            </w:r>
          </w:p>
        </w:tc>
        <w:tc>
          <w:tcPr>
            <w:tcW w:w="1636" w:type="dxa"/>
            <w:tcBorders>
              <w:top w:val="single" w:color="000000" w:sz="4" w:space="0"/>
              <w:left w:val="single" w:color="000000" w:sz="4" w:space="0"/>
              <w:bottom w:val="single" w:color="000000" w:sz="4" w:space="0"/>
              <w:right w:val="single" w:color="000000" w:sz="4" w:space="0"/>
            </w:tcBorders>
            <w:vAlign w:val="top"/>
          </w:tcPr>
          <w:p w14:paraId="64E63102">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bidi="ar-SA"/>
              </w:rPr>
              <w:t>基本掌握规范、系统的基础发声方法，学习部分的优秀民族声乐作品，提升民族认同感；但在理解声音的个体差异性、在教育实践中举一反三、并学会综合育人、促进学生音乐素养的全面发展等方面不足。</w:t>
            </w:r>
          </w:p>
        </w:tc>
        <w:tc>
          <w:tcPr>
            <w:tcW w:w="1433" w:type="dxa"/>
            <w:tcBorders>
              <w:top w:val="single" w:color="000000" w:sz="4" w:space="0"/>
              <w:left w:val="single" w:color="000000" w:sz="4" w:space="0"/>
              <w:bottom w:val="single" w:color="000000" w:sz="4" w:space="0"/>
              <w:right w:val="single" w:color="000000" w:sz="4" w:space="0"/>
            </w:tcBorders>
            <w:vAlign w:val="top"/>
          </w:tcPr>
          <w:p w14:paraId="6A371F36">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bidi="ar-SA"/>
              </w:rPr>
              <w:t>未能够掌握规范、系统的基础发声方法，未能够学习优秀民族声乐作品，未能提升民族认同感；未能充分理解声音的个体差异性，不能在教育实践中举一反三，未能学会综合育人，未能促进学生音乐素养的全面发展。</w:t>
            </w:r>
          </w:p>
        </w:tc>
      </w:tr>
      <w:tr w14:paraId="44EC1EAC">
        <w:trPr>
          <w:trHeight w:val="624" w:hRule="atLeast"/>
          <w:jc w:val="center"/>
        </w:trPr>
        <w:tc>
          <w:tcPr>
            <w:tcW w:w="1523" w:type="dxa"/>
            <w:tcBorders>
              <w:top w:val="single" w:color="000000" w:sz="4" w:space="0"/>
              <w:left w:val="single" w:color="000000" w:sz="4" w:space="0"/>
              <w:bottom w:val="single" w:color="000000" w:sz="4" w:space="0"/>
              <w:right w:val="single" w:color="000000" w:sz="4" w:space="0"/>
            </w:tcBorders>
            <w:vAlign w:val="top"/>
          </w:tcPr>
          <w:p w14:paraId="7A3D34A1">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bidi="ar-SA"/>
              </w:rPr>
              <w:t>课程目标2.</w:t>
            </w:r>
          </w:p>
          <w:p w14:paraId="77A32675">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bidi="ar-SA"/>
              </w:rPr>
              <w:t>需要根据自身身体、嗓音条件及综合课堂表现，积极总结自身发声特点，对出现的问题及时改进并能够触类旁通。学习、掌握声乐机理，适当尝试声乐教学实践，对教学中可能出现的问题进行预判，实际中出现的问题深究原因，提出具体解决对策，真正做到教学相长。</w:t>
            </w:r>
          </w:p>
        </w:tc>
        <w:tc>
          <w:tcPr>
            <w:tcW w:w="1571" w:type="dxa"/>
            <w:tcBorders>
              <w:top w:val="single" w:color="000000" w:sz="4" w:space="0"/>
              <w:left w:val="single" w:color="000000" w:sz="4" w:space="0"/>
              <w:bottom w:val="single" w:color="000000" w:sz="4" w:space="0"/>
              <w:right w:val="single" w:color="000000" w:sz="4" w:space="0"/>
            </w:tcBorders>
            <w:vAlign w:val="top"/>
          </w:tcPr>
          <w:p w14:paraId="67D56726">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bidi="ar-SA"/>
              </w:rPr>
              <w:t>师范生能够很好地根据自身身体、嗓音条件及综合课堂表现，积极总结自身发声特点，对出现的问题很好地及时改进并能够触类旁通。学习、掌握声乐机理，适当尝试声乐教学实践，对教学中可能出现的问题进行良好预判，实际中出现的问题深究原因，能够提出具体解决对策，能够真正做到教学相长。</w:t>
            </w:r>
          </w:p>
        </w:tc>
        <w:tc>
          <w:tcPr>
            <w:tcW w:w="1624" w:type="dxa"/>
            <w:tcBorders>
              <w:top w:val="single" w:color="000000" w:sz="4" w:space="0"/>
              <w:left w:val="single" w:color="000000" w:sz="4" w:space="0"/>
              <w:bottom w:val="single" w:color="000000" w:sz="4" w:space="0"/>
              <w:right w:val="single" w:color="000000" w:sz="4" w:space="0"/>
            </w:tcBorders>
            <w:vAlign w:val="top"/>
          </w:tcPr>
          <w:p w14:paraId="2A11477B">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bidi="ar-SA"/>
              </w:rPr>
              <w:t>师范生能够根据自身身体、嗓音条件及综合课堂表现，能够总结自身发声特点，对出现的问题及时改进并能够触类旁通。能够学习、掌握声乐机理，适当尝试声乐教学实践，对教学中可能出现的问题能够进行预判，实际中出现的问题深究原因，能够提出具体解决对策，真正做到教学相长。</w:t>
            </w:r>
          </w:p>
        </w:tc>
        <w:tc>
          <w:tcPr>
            <w:tcW w:w="1653" w:type="dxa"/>
            <w:tcBorders>
              <w:top w:val="single" w:color="000000" w:sz="4" w:space="0"/>
              <w:left w:val="single" w:color="000000" w:sz="4" w:space="0"/>
              <w:bottom w:val="single" w:color="000000" w:sz="4" w:space="0"/>
              <w:right w:val="single" w:color="000000" w:sz="4" w:space="0"/>
            </w:tcBorders>
            <w:vAlign w:val="top"/>
          </w:tcPr>
          <w:p w14:paraId="025876C5">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bidi="ar-SA"/>
              </w:rPr>
              <w:t>师范生基本能够根据自身身体、嗓音条件及综合课堂表现，基本能够总结自身发声特点，对出现的问题及时改进并能够触类旁通。基本能够学习、掌握声乐机理，适当尝试声乐教学实践，对教学中可能出现的问题基本能够进行预判，实际中出现的问题深究原因，基本能够提出具体解决对策，真正做到教学相长。</w:t>
            </w:r>
          </w:p>
        </w:tc>
        <w:tc>
          <w:tcPr>
            <w:tcW w:w="1636" w:type="dxa"/>
            <w:tcBorders>
              <w:top w:val="single" w:color="000000" w:sz="4" w:space="0"/>
              <w:left w:val="single" w:color="000000" w:sz="4" w:space="0"/>
              <w:bottom w:val="single" w:color="000000" w:sz="4" w:space="0"/>
              <w:right w:val="single" w:color="000000" w:sz="4" w:space="0"/>
            </w:tcBorders>
            <w:vAlign w:val="top"/>
          </w:tcPr>
          <w:p w14:paraId="5C3E2D74">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bidi="ar-SA"/>
              </w:rPr>
              <w:t>师范生基本能够根据自身身体、嗓音条件及综合课堂表现，不太积极地总结自身发声特点，对出现的问题基本能够改进但不能够触类旁通。基本能够学习、掌握声乐机理，适当尝试声乐教学实践，但对教学中可能出现的问题不能进行预判，实际中出现的问题不能深究原因，不能提出具体解决对策，不能做到教学相长。</w:t>
            </w:r>
          </w:p>
        </w:tc>
        <w:tc>
          <w:tcPr>
            <w:tcW w:w="1433" w:type="dxa"/>
            <w:tcBorders>
              <w:top w:val="single" w:color="000000" w:sz="4" w:space="0"/>
              <w:left w:val="single" w:color="000000" w:sz="4" w:space="0"/>
              <w:bottom w:val="single" w:color="000000" w:sz="4" w:space="0"/>
              <w:right w:val="single" w:color="000000" w:sz="4" w:space="0"/>
            </w:tcBorders>
            <w:vAlign w:val="top"/>
          </w:tcPr>
          <w:p w14:paraId="71825D24">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bidi="ar-SA"/>
              </w:rPr>
              <w:t>师范生未能根据自身身体、嗓音条件及综合课堂表现，不能总结自身发声特点，对出现的问题不能及时改进，做不到够触类旁通。未能学习、掌握声乐机理，不能尝试进行声乐教学实践，对教学中可能出现的问题不能进行预判，实际中出现的问题不能深究原因，不能提出具体解决对策，不能做到教学相长。</w:t>
            </w:r>
          </w:p>
        </w:tc>
      </w:tr>
    </w:tbl>
    <w:p w14:paraId="03F823EB">
      <w:pPr>
        <w:rPr>
          <w:sz w:val="2"/>
          <w:szCs w:val="2"/>
        </w:rPr>
        <w:sectPr>
          <w:headerReference r:id="rId25" w:type="default"/>
          <w:footerReference r:id="rId26" w:type="default"/>
          <w:pgSz w:w="11906" w:h="16838"/>
          <w:pgMar w:top="1134" w:right="1417" w:bottom="1134" w:left="1417" w:header="851" w:footer="992" w:gutter="0"/>
          <w:cols w:space="720" w:num="1"/>
          <w:docGrid w:type="lines" w:linePitch="312" w:charSpace="0"/>
        </w:sectPr>
      </w:pPr>
    </w:p>
    <w:p w14:paraId="0FB6D1DD">
      <w:pPr>
        <w:spacing w:line="560" w:lineRule="exact"/>
        <w:jc w:val="center"/>
        <w:rPr>
          <w:rFonts w:hint="eastAsia" w:eastAsia="方正小标宋简体"/>
          <w:sz w:val="44"/>
          <w:szCs w:val="44"/>
        </w:rPr>
      </w:pPr>
      <w:r>
        <w:rPr>
          <w:rFonts w:hint="eastAsia" w:eastAsia="方正小标宋简体"/>
          <w:sz w:val="44"/>
          <w:szCs w:val="44"/>
        </w:rPr>
        <w:t>三明学院音乐学（音乐教育）专业</w:t>
      </w:r>
    </w:p>
    <w:p w14:paraId="3EF0F0F4">
      <w:pPr>
        <w:spacing w:line="560" w:lineRule="exact"/>
        <w:jc w:val="center"/>
        <w:rPr>
          <w:rFonts w:hint="eastAsia" w:eastAsia="方正小标宋简体"/>
          <w:sz w:val="24"/>
          <w:szCs w:val="24"/>
        </w:rPr>
      </w:pPr>
      <w:r>
        <w:rPr>
          <w:rFonts w:hint="eastAsia" w:eastAsia="方正小标宋简体"/>
          <w:sz w:val="44"/>
          <w:szCs w:val="44"/>
        </w:rPr>
        <w:t>《钢琴基础》课程教学大纲</w:t>
      </w:r>
    </w:p>
    <w:p w14:paraId="6028E064">
      <w:pPr>
        <w:spacing w:line="560" w:lineRule="exact"/>
        <w:jc w:val="center"/>
        <w:rPr>
          <w:rFonts w:hint="eastAsia" w:eastAsia="方正小标宋简体"/>
          <w:sz w:val="24"/>
          <w:szCs w:val="24"/>
        </w:rPr>
      </w:pPr>
    </w:p>
    <w:tbl>
      <w:tblPr>
        <w:tblStyle w:val="22"/>
        <w:tblW w:w="0" w:type="auto"/>
        <w:tblInd w:w="-5" w:type="dxa"/>
        <w:tblLayout w:type="fixed"/>
        <w:tblCellMar>
          <w:top w:w="0" w:type="dxa"/>
          <w:left w:w="0" w:type="dxa"/>
          <w:bottom w:w="0" w:type="dxa"/>
          <w:right w:w="28" w:type="dxa"/>
        </w:tblCellMar>
      </w:tblPr>
      <w:tblGrid>
        <w:gridCol w:w="1376"/>
        <w:gridCol w:w="1174"/>
        <w:gridCol w:w="7"/>
        <w:gridCol w:w="1195"/>
        <w:gridCol w:w="1493"/>
        <w:gridCol w:w="113"/>
        <w:gridCol w:w="297"/>
        <w:gridCol w:w="587"/>
        <w:gridCol w:w="543"/>
        <w:gridCol w:w="286"/>
        <w:gridCol w:w="314"/>
        <w:gridCol w:w="600"/>
        <w:gridCol w:w="239"/>
        <w:gridCol w:w="335"/>
        <w:gridCol w:w="589"/>
      </w:tblGrid>
      <w:tr w14:paraId="4AA22B27">
        <w:trPr>
          <w:trHeight w:val="454" w:hRule="atLeast"/>
        </w:trPr>
        <w:tc>
          <w:tcPr>
            <w:tcW w:w="1376" w:type="dxa"/>
            <w:tcBorders>
              <w:top w:val="single" w:color="auto" w:sz="4" w:space="0"/>
              <w:left w:val="single" w:color="auto" w:sz="4" w:space="0"/>
              <w:bottom w:val="single" w:color="auto" w:sz="4" w:space="0"/>
              <w:right w:val="single" w:color="auto" w:sz="4" w:space="0"/>
            </w:tcBorders>
            <w:vAlign w:val="center"/>
          </w:tcPr>
          <w:p w14:paraId="32957F0B">
            <w:pPr>
              <w:spacing w:line="240" w:lineRule="atLeast"/>
              <w:jc w:val="center"/>
            </w:pPr>
            <w:r>
              <w:rPr>
                <w:rFonts w:hint="eastAsia" w:ascii="仿宋" w:hAnsi="仿宋" w:eastAsia="仿宋" w:cs="仿宋"/>
                <w:sz w:val="24"/>
                <w:szCs w:val="24"/>
              </w:rPr>
              <w:t>课程名称</w:t>
            </w:r>
          </w:p>
        </w:tc>
        <w:tc>
          <w:tcPr>
            <w:tcW w:w="4866" w:type="dxa"/>
            <w:gridSpan w:val="7"/>
            <w:tcBorders>
              <w:top w:val="single" w:color="auto" w:sz="4" w:space="0"/>
              <w:left w:val="single" w:color="auto" w:sz="4" w:space="0"/>
              <w:bottom w:val="single" w:color="auto" w:sz="4" w:space="0"/>
              <w:right w:val="single" w:color="auto" w:sz="4" w:space="0"/>
            </w:tcBorders>
            <w:vAlign w:val="center"/>
          </w:tcPr>
          <w:p w14:paraId="7307C109">
            <w:pPr>
              <w:spacing w:line="240" w:lineRule="atLeast"/>
              <w:jc w:val="center"/>
            </w:pPr>
            <w:r>
              <w:rPr>
                <w:rFonts w:hint="eastAsia" w:ascii="仿宋" w:hAnsi="仿宋" w:eastAsia="仿宋" w:cs="仿宋"/>
                <w:sz w:val="24"/>
                <w:szCs w:val="24"/>
              </w:rPr>
              <w:t>《钢琴基础》</w:t>
            </w:r>
          </w:p>
        </w:tc>
        <w:tc>
          <w:tcPr>
            <w:tcW w:w="543" w:type="dxa"/>
            <w:tcBorders>
              <w:top w:val="single" w:color="auto" w:sz="4" w:space="0"/>
              <w:left w:val="single" w:color="auto" w:sz="4" w:space="0"/>
              <w:bottom w:val="single" w:color="auto" w:sz="4" w:space="0"/>
              <w:right w:val="single" w:color="auto" w:sz="4" w:space="0"/>
            </w:tcBorders>
            <w:vAlign w:val="center"/>
          </w:tcPr>
          <w:p w14:paraId="087BB274">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w:t>
            </w:r>
          </w:p>
          <w:p w14:paraId="71F6A94F">
            <w:pPr>
              <w:spacing w:line="240" w:lineRule="atLeast"/>
              <w:jc w:val="center"/>
            </w:pPr>
            <w:r>
              <w:rPr>
                <w:rFonts w:hint="eastAsia" w:ascii="仿宋" w:hAnsi="仿宋" w:eastAsia="仿宋" w:cs="仿宋"/>
                <w:sz w:val="24"/>
                <w:szCs w:val="24"/>
              </w:rPr>
              <w:t>代码</w:t>
            </w:r>
          </w:p>
        </w:tc>
        <w:tc>
          <w:tcPr>
            <w:tcW w:w="2363" w:type="dxa"/>
            <w:gridSpan w:val="6"/>
            <w:tcBorders>
              <w:top w:val="single" w:color="auto" w:sz="4" w:space="0"/>
              <w:left w:val="single" w:color="auto" w:sz="4" w:space="0"/>
              <w:bottom w:val="single" w:color="auto" w:sz="4" w:space="0"/>
              <w:right w:val="single" w:color="auto" w:sz="4" w:space="0"/>
            </w:tcBorders>
            <w:vAlign w:val="center"/>
          </w:tcPr>
          <w:p w14:paraId="16800A0A">
            <w:pPr>
              <w:keepNext w:val="0"/>
              <w:keepLines w:val="0"/>
              <w:widowControl/>
              <w:suppressLineNumbers w:val="0"/>
              <w:jc w:val="left"/>
            </w:pPr>
            <w:r>
              <w:rPr>
                <w:rFonts w:hint="eastAsia" w:ascii="宋体" w:hAnsi="宋体" w:eastAsia="宋体" w:cs="宋体"/>
                <w:i w:val="0"/>
                <w:iCs w:val="0"/>
                <w:color w:val="000000"/>
                <w:kern w:val="0"/>
                <w:sz w:val="21"/>
                <w:szCs w:val="21"/>
                <w:u w:val="none"/>
                <w:lang w:val="en-US" w:eastAsia="zh-CN" w:bidi="ar"/>
              </w:rPr>
              <w:t>1213302607</w:t>
            </w:r>
          </w:p>
          <w:p w14:paraId="5F439CD1">
            <w:pPr>
              <w:keepNext w:val="0"/>
              <w:keepLines w:val="0"/>
              <w:widowControl/>
              <w:suppressLineNumbers w:val="0"/>
              <w:jc w:val="left"/>
            </w:pPr>
            <w:r>
              <w:rPr>
                <w:rFonts w:hint="eastAsia" w:ascii="宋体" w:hAnsi="宋体" w:eastAsia="宋体" w:cs="宋体"/>
                <w:i w:val="0"/>
                <w:iCs w:val="0"/>
                <w:color w:val="000000"/>
                <w:kern w:val="0"/>
                <w:sz w:val="21"/>
                <w:szCs w:val="21"/>
                <w:u w:val="none"/>
                <w:lang w:val="en-US" w:eastAsia="zh-CN" w:bidi="ar"/>
              </w:rPr>
              <w:t>1213302608</w:t>
            </w:r>
          </w:p>
          <w:p w14:paraId="6350BF6D">
            <w:pPr>
              <w:keepNext w:val="0"/>
              <w:keepLines w:val="0"/>
              <w:widowControl/>
              <w:suppressLineNumbers w:val="0"/>
              <w:jc w:val="left"/>
            </w:pPr>
            <w:r>
              <w:rPr>
                <w:rFonts w:hint="eastAsia" w:ascii="宋体" w:hAnsi="宋体" w:eastAsia="宋体" w:cs="宋体"/>
                <w:i w:val="0"/>
                <w:iCs w:val="0"/>
                <w:color w:val="000000"/>
                <w:kern w:val="0"/>
                <w:sz w:val="21"/>
                <w:szCs w:val="21"/>
                <w:u w:val="none"/>
                <w:lang w:val="en-US" w:eastAsia="zh-CN" w:bidi="ar"/>
              </w:rPr>
              <w:t>1213302609</w:t>
            </w:r>
          </w:p>
          <w:p w14:paraId="0919D168">
            <w:pPr>
              <w:keepNext w:val="0"/>
              <w:keepLines w:val="0"/>
              <w:widowControl/>
              <w:suppressLineNumbers w:val="0"/>
              <w:jc w:val="left"/>
            </w:pPr>
            <w:r>
              <w:rPr>
                <w:rFonts w:hint="eastAsia" w:ascii="宋体" w:hAnsi="宋体" w:eastAsia="宋体" w:cs="宋体"/>
                <w:i w:val="0"/>
                <w:iCs w:val="0"/>
                <w:color w:val="000000"/>
                <w:kern w:val="0"/>
                <w:sz w:val="21"/>
                <w:szCs w:val="21"/>
                <w:u w:val="none"/>
                <w:lang w:val="en-US" w:eastAsia="zh-CN" w:bidi="ar"/>
              </w:rPr>
              <w:t>1213302610</w:t>
            </w:r>
          </w:p>
        </w:tc>
      </w:tr>
      <w:tr w14:paraId="6AC609B9">
        <w:trPr>
          <w:trHeight w:val="454" w:hRule="atLeast"/>
        </w:trPr>
        <w:tc>
          <w:tcPr>
            <w:tcW w:w="1376" w:type="dxa"/>
            <w:tcBorders>
              <w:top w:val="single" w:color="auto" w:sz="4" w:space="0"/>
              <w:left w:val="single" w:color="auto" w:sz="4" w:space="0"/>
              <w:bottom w:val="single" w:color="auto" w:sz="4" w:space="0"/>
              <w:right w:val="single" w:color="auto" w:sz="4" w:space="0"/>
            </w:tcBorders>
            <w:vAlign w:val="center"/>
          </w:tcPr>
          <w:p w14:paraId="6A001A87">
            <w:pPr>
              <w:spacing w:line="240" w:lineRule="atLeast"/>
              <w:jc w:val="center"/>
            </w:pPr>
            <w:r>
              <w:rPr>
                <w:rFonts w:hint="eastAsia" w:ascii="仿宋" w:hAnsi="仿宋" w:eastAsia="仿宋" w:cs="仿宋"/>
                <w:sz w:val="24"/>
                <w:szCs w:val="24"/>
              </w:rPr>
              <w:t>课程类型</w:t>
            </w:r>
          </w:p>
        </w:tc>
        <w:tc>
          <w:tcPr>
            <w:tcW w:w="7772" w:type="dxa"/>
            <w:gridSpan w:val="14"/>
            <w:tcBorders>
              <w:top w:val="single" w:color="auto" w:sz="4" w:space="0"/>
              <w:left w:val="single" w:color="auto" w:sz="4" w:space="0"/>
              <w:bottom w:val="single" w:color="auto" w:sz="4" w:space="0"/>
              <w:right w:val="single" w:color="auto" w:sz="4" w:space="0"/>
            </w:tcBorders>
            <w:vAlign w:val="center"/>
          </w:tcPr>
          <w:p w14:paraId="46C935A1">
            <w:pPr>
              <w:spacing w:line="240" w:lineRule="atLeast"/>
              <w:rPr>
                <w:rFonts w:hint="eastAsia" w:ascii="Wingdings" w:hAnsi="Wingdings" w:eastAsia="Wingdings" w:cs="Wingdings"/>
                <w:sz w:val="24"/>
                <w:szCs w:val="24"/>
              </w:rPr>
            </w:pPr>
            <w:r>
              <w:rPr>
                <w:rFonts w:hint="eastAsia" w:ascii="Wingdings" w:hAnsi="Wingdings" w:eastAsia="Wingdings" w:cs="Wingdings"/>
                <w:sz w:val="24"/>
                <w:szCs w:val="24"/>
              </w:rPr>
              <w:t>¨</w:t>
            </w:r>
            <w:r>
              <w:rPr>
                <w:rFonts w:hint="eastAsia" w:ascii="仿宋" w:hAnsi="仿宋" w:eastAsia="仿宋" w:cs="仿宋"/>
                <w:sz w:val="24"/>
                <w:szCs w:val="24"/>
              </w:rPr>
              <w:t xml:space="preserve">通识必修 </w:t>
            </w:r>
            <w:r>
              <w:rPr>
                <w:rFonts w:hint="eastAsia" w:ascii="Wingdings" w:hAnsi="Wingdings" w:eastAsia="Wingdings" w:cs="Wingdings"/>
                <w:sz w:val="24"/>
                <w:szCs w:val="24"/>
              </w:rPr>
              <w:t>¨</w:t>
            </w:r>
            <w:r>
              <w:rPr>
                <w:rFonts w:hint="eastAsia" w:ascii="仿宋" w:hAnsi="仿宋" w:eastAsia="仿宋" w:cs="仿宋"/>
                <w:sz w:val="24"/>
                <w:szCs w:val="24"/>
              </w:rPr>
              <w:t xml:space="preserve">通识选修 </w:t>
            </w:r>
            <w:r>
              <w:rPr>
                <w:rFonts w:hint="eastAsia" w:ascii="Wingdings" w:hAnsi="Wingdings" w:eastAsia="Wingdings" w:cs="Wingdings"/>
                <w:sz w:val="24"/>
                <w:szCs w:val="24"/>
              </w:rPr>
              <w:t>þ</w:t>
            </w:r>
            <w:r>
              <w:rPr>
                <w:rFonts w:hint="eastAsia" w:ascii="仿宋" w:hAnsi="仿宋" w:eastAsia="仿宋" w:cs="仿宋"/>
                <w:sz w:val="24"/>
                <w:szCs w:val="24"/>
              </w:rPr>
              <w:t xml:space="preserve">专业必修 </w:t>
            </w:r>
          </w:p>
          <w:p w14:paraId="1D17007F">
            <w:pPr>
              <w:spacing w:line="240" w:lineRule="atLeast"/>
            </w:pPr>
            <w:r>
              <w:rPr>
                <w:rFonts w:hint="eastAsia" w:ascii="Wingdings" w:hAnsi="Wingdings" w:eastAsia="Wingdings" w:cs="Wingdings"/>
                <w:sz w:val="24"/>
                <w:szCs w:val="24"/>
              </w:rPr>
              <w:t>¨</w:t>
            </w:r>
            <w:r>
              <w:rPr>
                <w:rFonts w:hint="eastAsia" w:ascii="仿宋" w:hAnsi="仿宋" w:eastAsia="仿宋" w:cs="仿宋"/>
                <w:sz w:val="24"/>
                <w:szCs w:val="24"/>
              </w:rPr>
              <w:t>专业选修</w:t>
            </w:r>
            <w:r>
              <w:rPr>
                <w:rFonts w:hint="eastAsia" w:ascii="仿宋" w:hAnsi="仿宋" w:eastAsia="仿宋" w:cs="仿宋"/>
                <w:sz w:val="24"/>
                <w:szCs w:val="24"/>
                <w:lang w:eastAsia="zh-TW"/>
              </w:rPr>
              <w:t xml:space="preserve"> </w:t>
            </w:r>
            <w:r>
              <w:rPr>
                <w:rFonts w:hint="eastAsia" w:ascii="Wingdings" w:hAnsi="Wingdings" w:eastAsia="Wingdings" w:cs="Wingdings"/>
                <w:sz w:val="24"/>
                <w:szCs w:val="24"/>
              </w:rPr>
              <w:t>¨</w:t>
            </w:r>
            <w:r>
              <w:rPr>
                <w:rFonts w:hint="eastAsia" w:ascii="仿宋" w:hAnsi="仿宋" w:eastAsia="仿宋" w:cs="仿宋"/>
                <w:sz w:val="24"/>
                <w:szCs w:val="24"/>
              </w:rPr>
              <w:t xml:space="preserve">教师教育必修 </w:t>
            </w:r>
            <w:r>
              <w:rPr>
                <w:rFonts w:hint="eastAsia" w:ascii="Wingdings" w:hAnsi="Wingdings" w:eastAsia="Wingdings" w:cs="Wingdings"/>
                <w:sz w:val="24"/>
                <w:szCs w:val="24"/>
              </w:rPr>
              <w:t>¨</w:t>
            </w:r>
            <w:r>
              <w:rPr>
                <w:rFonts w:hint="eastAsia" w:ascii="仿宋" w:hAnsi="仿宋" w:eastAsia="仿宋" w:cs="仿宋"/>
                <w:sz w:val="24"/>
                <w:szCs w:val="24"/>
              </w:rPr>
              <w:t>教师教育选修</w:t>
            </w:r>
          </w:p>
        </w:tc>
      </w:tr>
      <w:tr w14:paraId="0034B6DC">
        <w:trPr>
          <w:trHeight w:val="406" w:hRule="atLeast"/>
        </w:trPr>
        <w:tc>
          <w:tcPr>
            <w:tcW w:w="1376" w:type="dxa"/>
            <w:tcBorders>
              <w:top w:val="single" w:color="auto" w:sz="4" w:space="0"/>
              <w:left w:val="single" w:color="auto" w:sz="4" w:space="0"/>
              <w:bottom w:val="single" w:color="auto" w:sz="4" w:space="0"/>
              <w:right w:val="single" w:color="auto" w:sz="4" w:space="0"/>
            </w:tcBorders>
            <w:vAlign w:val="center"/>
          </w:tcPr>
          <w:p w14:paraId="32800FCF">
            <w:pPr>
              <w:spacing w:line="240" w:lineRule="atLeast"/>
              <w:jc w:val="center"/>
            </w:pPr>
            <w:r>
              <w:rPr>
                <w:rFonts w:hint="eastAsia" w:ascii="仿宋" w:hAnsi="仿宋" w:eastAsia="仿宋" w:cs="仿宋"/>
                <w:sz w:val="24"/>
                <w:szCs w:val="24"/>
              </w:rPr>
              <w:t>开课学期</w:t>
            </w:r>
          </w:p>
        </w:tc>
        <w:tc>
          <w:tcPr>
            <w:tcW w:w="1174" w:type="dxa"/>
            <w:tcBorders>
              <w:top w:val="single" w:color="auto" w:sz="4" w:space="0"/>
              <w:left w:val="single" w:color="auto" w:sz="4" w:space="0"/>
              <w:bottom w:val="single" w:color="auto" w:sz="4" w:space="0"/>
              <w:right w:val="single" w:color="auto" w:sz="4" w:space="0"/>
            </w:tcBorders>
            <w:vAlign w:val="center"/>
          </w:tcPr>
          <w:p w14:paraId="4292465B">
            <w:pPr>
              <w:spacing w:line="240" w:lineRule="atLeast"/>
              <w:jc w:val="center"/>
            </w:pPr>
            <w:r>
              <w:rPr>
                <w:rFonts w:hint="eastAsia" w:ascii="仿宋" w:hAnsi="仿宋" w:eastAsia="仿宋" w:cs="仿宋"/>
                <w:sz w:val="24"/>
                <w:szCs w:val="24"/>
              </w:rPr>
              <w:t>1、2、3、4</w:t>
            </w:r>
          </w:p>
        </w:tc>
        <w:tc>
          <w:tcPr>
            <w:tcW w:w="1202" w:type="dxa"/>
            <w:gridSpan w:val="2"/>
            <w:tcBorders>
              <w:top w:val="single" w:color="auto" w:sz="4" w:space="0"/>
              <w:left w:val="single" w:color="auto" w:sz="4" w:space="0"/>
              <w:bottom w:val="single" w:color="auto" w:sz="4" w:space="0"/>
              <w:right w:val="single" w:color="auto" w:sz="4" w:space="0"/>
            </w:tcBorders>
            <w:vAlign w:val="center"/>
          </w:tcPr>
          <w:p w14:paraId="0121984A">
            <w:pPr>
              <w:spacing w:line="240" w:lineRule="atLeast"/>
              <w:jc w:val="center"/>
            </w:pPr>
            <w:r>
              <w:rPr>
                <w:rFonts w:hint="eastAsia" w:ascii="仿宋" w:hAnsi="仿宋" w:eastAsia="仿宋" w:cs="仿宋"/>
                <w:sz w:val="24"/>
                <w:szCs w:val="24"/>
              </w:rPr>
              <w:t>学分</w:t>
            </w:r>
          </w:p>
        </w:tc>
        <w:tc>
          <w:tcPr>
            <w:tcW w:w="1606" w:type="dxa"/>
            <w:gridSpan w:val="2"/>
            <w:tcBorders>
              <w:top w:val="single" w:color="auto" w:sz="4" w:space="0"/>
              <w:left w:val="single" w:color="auto" w:sz="4" w:space="0"/>
              <w:bottom w:val="single" w:color="auto" w:sz="4" w:space="0"/>
              <w:right w:val="single" w:color="auto" w:sz="4" w:space="0"/>
            </w:tcBorders>
            <w:vAlign w:val="center"/>
          </w:tcPr>
          <w:p w14:paraId="5851AF16">
            <w:pPr>
              <w:spacing w:line="240" w:lineRule="atLeast"/>
              <w:jc w:val="center"/>
            </w:pPr>
            <w:r>
              <w:rPr>
                <w:rFonts w:hint="eastAsia" w:ascii="仿宋" w:hAnsi="仿宋" w:eastAsia="仿宋" w:cs="仿宋"/>
                <w:sz w:val="24"/>
                <w:szCs w:val="24"/>
              </w:rPr>
              <w:t>2（每学期0</w:t>
            </w:r>
            <w:r>
              <w:rPr>
                <w:rFonts w:ascii="仿宋" w:hAnsi="仿宋" w:eastAsia="仿宋" w:cs="仿宋"/>
                <w:sz w:val="24"/>
                <w:szCs w:val="24"/>
              </w:rPr>
              <w:t>.5</w:t>
            </w:r>
            <w:r>
              <w:rPr>
                <w:rFonts w:hint="eastAsia" w:ascii="仿宋" w:hAnsi="仿宋" w:eastAsia="仿宋" w:cs="仿宋"/>
                <w:sz w:val="24"/>
                <w:szCs w:val="24"/>
              </w:rPr>
              <w:t>）</w:t>
            </w:r>
          </w:p>
        </w:tc>
        <w:tc>
          <w:tcPr>
            <w:tcW w:w="1427" w:type="dxa"/>
            <w:gridSpan w:val="3"/>
            <w:tcBorders>
              <w:top w:val="single" w:color="auto" w:sz="4" w:space="0"/>
              <w:left w:val="single" w:color="auto" w:sz="4" w:space="0"/>
              <w:bottom w:val="single" w:color="auto" w:sz="4" w:space="0"/>
              <w:right w:val="single" w:color="auto" w:sz="4" w:space="0"/>
            </w:tcBorders>
            <w:vAlign w:val="center"/>
          </w:tcPr>
          <w:p w14:paraId="752A9290">
            <w:pPr>
              <w:spacing w:line="240" w:lineRule="atLeast"/>
              <w:jc w:val="center"/>
            </w:pPr>
            <w:r>
              <w:rPr>
                <w:rFonts w:hint="eastAsia" w:ascii="仿宋" w:hAnsi="仿宋" w:eastAsia="仿宋" w:cs="仿宋"/>
                <w:sz w:val="24"/>
                <w:szCs w:val="24"/>
              </w:rPr>
              <w:t>课程负责人</w:t>
            </w:r>
          </w:p>
        </w:tc>
        <w:tc>
          <w:tcPr>
            <w:tcW w:w="2363" w:type="dxa"/>
            <w:gridSpan w:val="6"/>
            <w:tcBorders>
              <w:top w:val="single" w:color="auto" w:sz="4" w:space="0"/>
              <w:left w:val="single" w:color="auto" w:sz="4" w:space="0"/>
              <w:bottom w:val="single" w:color="auto" w:sz="4" w:space="0"/>
              <w:right w:val="single" w:color="auto" w:sz="4" w:space="0"/>
            </w:tcBorders>
            <w:vAlign w:val="center"/>
          </w:tcPr>
          <w:p w14:paraId="72F729BE">
            <w:pPr>
              <w:spacing w:line="240" w:lineRule="atLeast"/>
              <w:jc w:val="center"/>
            </w:pPr>
            <w:r>
              <w:rPr>
                <w:rFonts w:hint="eastAsia" w:ascii="仿宋" w:hAnsi="仿宋" w:eastAsia="仿宋" w:cs="仿宋"/>
                <w:sz w:val="24"/>
                <w:szCs w:val="24"/>
              </w:rPr>
              <w:t>朱凌杰</w:t>
            </w:r>
          </w:p>
        </w:tc>
      </w:tr>
      <w:tr w14:paraId="28379D8D">
        <w:trPr>
          <w:trHeight w:val="485" w:hRule="atLeast"/>
        </w:trPr>
        <w:tc>
          <w:tcPr>
            <w:tcW w:w="1376" w:type="dxa"/>
            <w:tcBorders>
              <w:top w:val="single" w:color="auto" w:sz="4" w:space="0"/>
              <w:left w:val="single" w:color="auto" w:sz="4" w:space="0"/>
              <w:bottom w:val="single" w:color="auto" w:sz="4" w:space="0"/>
              <w:right w:val="single" w:color="auto" w:sz="4" w:space="0"/>
            </w:tcBorders>
            <w:vAlign w:val="center"/>
          </w:tcPr>
          <w:p w14:paraId="2780129B">
            <w:pPr>
              <w:spacing w:line="240" w:lineRule="atLeast"/>
              <w:jc w:val="center"/>
            </w:pPr>
            <w:r>
              <w:rPr>
                <w:rFonts w:hint="eastAsia" w:ascii="仿宋" w:hAnsi="仿宋" w:eastAsia="仿宋" w:cs="仿宋"/>
                <w:sz w:val="24"/>
                <w:szCs w:val="24"/>
              </w:rPr>
              <w:t>总学时</w:t>
            </w:r>
          </w:p>
        </w:tc>
        <w:tc>
          <w:tcPr>
            <w:tcW w:w="1174" w:type="dxa"/>
            <w:tcBorders>
              <w:top w:val="single" w:color="auto" w:sz="4" w:space="0"/>
              <w:left w:val="single" w:color="auto" w:sz="4" w:space="0"/>
              <w:bottom w:val="single" w:color="auto" w:sz="4" w:space="0"/>
              <w:right w:val="single" w:color="auto" w:sz="4" w:space="0"/>
            </w:tcBorders>
            <w:vAlign w:val="center"/>
          </w:tcPr>
          <w:p w14:paraId="4CF919E1">
            <w:pPr>
              <w:spacing w:line="240" w:lineRule="atLeast"/>
              <w:jc w:val="center"/>
            </w:pPr>
            <w:r>
              <w:rPr>
                <w:rFonts w:hint="eastAsia" w:ascii="仿宋" w:hAnsi="仿宋" w:eastAsia="仿宋" w:cs="仿宋"/>
                <w:sz w:val="24"/>
                <w:szCs w:val="24"/>
              </w:rPr>
              <w:t>64</w:t>
            </w:r>
          </w:p>
        </w:tc>
        <w:tc>
          <w:tcPr>
            <w:tcW w:w="1202" w:type="dxa"/>
            <w:gridSpan w:val="2"/>
            <w:tcBorders>
              <w:top w:val="single" w:color="auto" w:sz="4" w:space="0"/>
              <w:left w:val="single" w:color="auto" w:sz="4" w:space="0"/>
              <w:bottom w:val="single" w:color="auto" w:sz="4" w:space="0"/>
              <w:right w:val="single" w:color="auto" w:sz="4" w:space="0"/>
            </w:tcBorders>
            <w:vAlign w:val="center"/>
          </w:tcPr>
          <w:p w14:paraId="5664A0A7">
            <w:pPr>
              <w:spacing w:line="240" w:lineRule="atLeast"/>
              <w:jc w:val="center"/>
            </w:pPr>
            <w:r>
              <w:rPr>
                <w:rFonts w:hint="eastAsia" w:ascii="仿宋" w:hAnsi="仿宋" w:eastAsia="仿宋" w:cs="仿宋"/>
                <w:sz w:val="24"/>
                <w:szCs w:val="24"/>
              </w:rPr>
              <w:t>理论学时</w:t>
            </w:r>
          </w:p>
        </w:tc>
        <w:tc>
          <w:tcPr>
            <w:tcW w:w="1606" w:type="dxa"/>
            <w:gridSpan w:val="2"/>
            <w:tcBorders>
              <w:top w:val="single" w:color="auto" w:sz="4" w:space="0"/>
              <w:left w:val="single" w:color="auto" w:sz="4" w:space="0"/>
              <w:bottom w:val="single" w:color="auto" w:sz="4" w:space="0"/>
              <w:right w:val="single" w:color="auto" w:sz="4" w:space="0"/>
            </w:tcBorders>
            <w:vAlign w:val="center"/>
          </w:tcPr>
          <w:p w14:paraId="30C95361">
            <w:pPr>
              <w:spacing w:line="240" w:lineRule="atLeast"/>
              <w:jc w:val="center"/>
            </w:pPr>
            <w:r>
              <w:rPr>
                <w:rFonts w:hint="eastAsia" w:ascii="仿宋" w:hAnsi="仿宋" w:eastAsia="仿宋" w:cs="仿宋"/>
                <w:sz w:val="24"/>
                <w:szCs w:val="24"/>
              </w:rPr>
              <w:t>0</w:t>
            </w:r>
          </w:p>
        </w:tc>
        <w:tc>
          <w:tcPr>
            <w:tcW w:w="1427" w:type="dxa"/>
            <w:gridSpan w:val="3"/>
            <w:tcBorders>
              <w:top w:val="single" w:color="auto" w:sz="4" w:space="0"/>
              <w:left w:val="single" w:color="auto" w:sz="4" w:space="0"/>
              <w:bottom w:val="single" w:color="auto" w:sz="4" w:space="0"/>
              <w:right w:val="single" w:color="auto" w:sz="4" w:space="0"/>
            </w:tcBorders>
            <w:vAlign w:val="center"/>
          </w:tcPr>
          <w:p w14:paraId="667DD838">
            <w:pPr>
              <w:spacing w:line="240" w:lineRule="atLeast"/>
              <w:jc w:val="center"/>
            </w:pPr>
            <w:r>
              <w:rPr>
                <w:rFonts w:hint="eastAsia" w:ascii="仿宋" w:hAnsi="仿宋" w:eastAsia="仿宋" w:cs="仿宋"/>
                <w:sz w:val="24"/>
                <w:szCs w:val="24"/>
              </w:rPr>
              <w:t>实践学时</w:t>
            </w:r>
          </w:p>
        </w:tc>
        <w:tc>
          <w:tcPr>
            <w:tcW w:w="2363" w:type="dxa"/>
            <w:gridSpan w:val="6"/>
            <w:tcBorders>
              <w:top w:val="single" w:color="auto" w:sz="4" w:space="0"/>
              <w:left w:val="single" w:color="auto" w:sz="4" w:space="0"/>
              <w:bottom w:val="single" w:color="auto" w:sz="4" w:space="0"/>
              <w:right w:val="single" w:color="auto" w:sz="4" w:space="0"/>
            </w:tcBorders>
            <w:vAlign w:val="center"/>
          </w:tcPr>
          <w:p w14:paraId="5E927BFE">
            <w:pPr>
              <w:spacing w:line="240" w:lineRule="atLeast"/>
              <w:jc w:val="center"/>
            </w:pPr>
            <w:r>
              <w:rPr>
                <w:rFonts w:hint="eastAsia" w:ascii="仿宋" w:hAnsi="仿宋" w:eastAsia="仿宋" w:cs="仿宋"/>
                <w:sz w:val="24"/>
                <w:szCs w:val="24"/>
              </w:rPr>
              <w:t>64</w:t>
            </w:r>
          </w:p>
        </w:tc>
      </w:tr>
      <w:tr w14:paraId="42059632">
        <w:trPr>
          <w:trHeight w:val="454" w:hRule="atLeast"/>
        </w:trPr>
        <w:tc>
          <w:tcPr>
            <w:tcW w:w="1376" w:type="dxa"/>
            <w:tcBorders>
              <w:top w:val="single" w:color="auto" w:sz="4" w:space="0"/>
              <w:left w:val="single" w:color="auto" w:sz="4" w:space="0"/>
              <w:bottom w:val="single" w:color="auto" w:sz="4" w:space="0"/>
              <w:right w:val="single" w:color="auto" w:sz="4" w:space="0"/>
            </w:tcBorders>
            <w:vAlign w:val="center"/>
          </w:tcPr>
          <w:p w14:paraId="5A685601">
            <w:pPr>
              <w:spacing w:line="240" w:lineRule="atLeast"/>
              <w:jc w:val="center"/>
            </w:pPr>
            <w:r>
              <w:rPr>
                <w:rFonts w:hint="eastAsia" w:ascii="仿宋" w:hAnsi="仿宋" w:eastAsia="仿宋" w:cs="仿宋"/>
                <w:sz w:val="24"/>
                <w:szCs w:val="24"/>
              </w:rPr>
              <w:t>先修课程与后续课程</w:t>
            </w:r>
          </w:p>
        </w:tc>
        <w:tc>
          <w:tcPr>
            <w:tcW w:w="7772" w:type="dxa"/>
            <w:gridSpan w:val="14"/>
            <w:tcBorders>
              <w:top w:val="single" w:color="auto" w:sz="4" w:space="0"/>
              <w:left w:val="single" w:color="auto" w:sz="4" w:space="0"/>
              <w:bottom w:val="single" w:color="auto" w:sz="4" w:space="0"/>
              <w:right w:val="single" w:color="auto" w:sz="4" w:space="0"/>
            </w:tcBorders>
            <w:vAlign w:val="center"/>
          </w:tcPr>
          <w:p w14:paraId="3BBB1CB7">
            <w:pPr>
              <w:rPr>
                <w:rFonts w:hint="eastAsia" w:ascii="仿宋" w:hAnsi="仿宋" w:eastAsia="仿宋" w:cs="仿宋"/>
                <w:sz w:val="24"/>
                <w:szCs w:val="24"/>
              </w:rPr>
            </w:pPr>
            <w:r>
              <w:rPr>
                <w:rFonts w:hint="eastAsia" w:ascii="仿宋" w:hAnsi="仿宋" w:eastAsia="仿宋" w:cs="仿宋"/>
                <w:sz w:val="24"/>
                <w:szCs w:val="24"/>
              </w:rPr>
              <w:t>先修课程：无</w:t>
            </w:r>
          </w:p>
          <w:p w14:paraId="7B963E84">
            <w:pPr>
              <w:tabs>
                <w:tab w:val="left" w:pos="720"/>
              </w:tabs>
              <w:jc w:val="left"/>
            </w:pPr>
            <w:r>
              <w:rPr>
                <w:rFonts w:hint="eastAsia" w:ascii="仿宋" w:hAnsi="仿宋" w:eastAsia="仿宋" w:cs="仿宋"/>
                <w:sz w:val="24"/>
                <w:szCs w:val="24"/>
              </w:rPr>
              <w:t>后续课程：《钢琴即兴伴奏》、《钢琴演奏》、《钢琴重奏》、《钢琴艺术史》</w:t>
            </w:r>
          </w:p>
        </w:tc>
      </w:tr>
      <w:tr w14:paraId="2F63A541">
        <w:trPr>
          <w:trHeight w:val="454" w:hRule="atLeast"/>
        </w:trPr>
        <w:tc>
          <w:tcPr>
            <w:tcW w:w="1376" w:type="dxa"/>
            <w:tcBorders>
              <w:top w:val="single" w:color="auto" w:sz="4" w:space="0"/>
              <w:left w:val="single" w:color="auto" w:sz="4" w:space="0"/>
              <w:bottom w:val="single" w:color="auto" w:sz="4" w:space="0"/>
              <w:right w:val="single" w:color="auto" w:sz="4" w:space="0"/>
            </w:tcBorders>
            <w:vAlign w:val="center"/>
          </w:tcPr>
          <w:p w14:paraId="4E2E5712">
            <w:pPr>
              <w:spacing w:line="240" w:lineRule="atLeast"/>
              <w:jc w:val="center"/>
            </w:pPr>
            <w:r>
              <w:rPr>
                <w:rFonts w:hint="eastAsia" w:ascii="仿宋" w:hAnsi="仿宋" w:eastAsia="仿宋" w:cs="仿宋"/>
                <w:sz w:val="24"/>
                <w:szCs w:val="24"/>
              </w:rPr>
              <w:t>适用专业</w:t>
            </w:r>
          </w:p>
        </w:tc>
        <w:tc>
          <w:tcPr>
            <w:tcW w:w="7772" w:type="dxa"/>
            <w:gridSpan w:val="14"/>
            <w:tcBorders>
              <w:top w:val="single" w:color="auto" w:sz="4" w:space="0"/>
              <w:left w:val="single" w:color="auto" w:sz="4" w:space="0"/>
              <w:bottom w:val="single" w:color="auto" w:sz="4" w:space="0"/>
              <w:right w:val="single" w:color="auto" w:sz="4" w:space="0"/>
            </w:tcBorders>
            <w:vAlign w:val="center"/>
          </w:tcPr>
          <w:p w14:paraId="1A594E61">
            <w:r>
              <w:rPr>
                <w:rFonts w:hint="eastAsia" w:ascii="仿宋" w:hAnsi="仿宋" w:eastAsia="仿宋" w:cs="仿宋"/>
                <w:sz w:val="24"/>
                <w:szCs w:val="24"/>
              </w:rPr>
              <w:t>音乐学（师范）专业</w:t>
            </w:r>
          </w:p>
        </w:tc>
      </w:tr>
      <w:tr w14:paraId="5AE41BC2">
        <w:tc>
          <w:tcPr>
            <w:tcW w:w="1376" w:type="dxa"/>
            <w:tcBorders>
              <w:top w:val="single" w:color="auto" w:sz="4" w:space="0"/>
              <w:left w:val="single" w:color="auto" w:sz="4" w:space="0"/>
              <w:bottom w:val="single" w:color="auto" w:sz="4" w:space="0"/>
              <w:right w:val="single" w:color="auto" w:sz="4" w:space="0"/>
            </w:tcBorders>
            <w:vAlign w:val="center"/>
          </w:tcPr>
          <w:p w14:paraId="1365A8BB">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A</w:t>
            </w:r>
          </w:p>
          <w:p w14:paraId="2A4936F5">
            <w:pPr>
              <w:spacing w:line="240" w:lineRule="atLeast"/>
              <w:jc w:val="center"/>
            </w:pPr>
            <w:r>
              <w:rPr>
                <w:rFonts w:hint="eastAsia" w:ascii="仿宋" w:hAnsi="仿宋" w:eastAsia="仿宋" w:cs="仿宋"/>
                <w:sz w:val="24"/>
                <w:szCs w:val="24"/>
              </w:rPr>
              <w:t>参考教材</w:t>
            </w:r>
          </w:p>
        </w:tc>
        <w:tc>
          <w:tcPr>
            <w:tcW w:w="7772" w:type="dxa"/>
            <w:gridSpan w:val="14"/>
            <w:tcBorders>
              <w:top w:val="single" w:color="auto" w:sz="4" w:space="0"/>
              <w:left w:val="single" w:color="auto" w:sz="4" w:space="0"/>
              <w:bottom w:val="single" w:color="auto" w:sz="4" w:space="0"/>
              <w:right w:val="single" w:color="auto" w:sz="4" w:space="0"/>
            </w:tcBorders>
            <w:vAlign w:val="center"/>
          </w:tcPr>
          <w:p w14:paraId="1792F12B">
            <w:pPr>
              <w:rPr>
                <w:rFonts w:hint="eastAsia" w:ascii="仿宋" w:hAnsi="仿宋" w:eastAsia="仿宋" w:cs="仿宋"/>
                <w:sz w:val="24"/>
                <w:szCs w:val="24"/>
              </w:rPr>
            </w:pPr>
            <w:r>
              <w:rPr>
                <w:rFonts w:hint="eastAsia" w:ascii="仿宋" w:hAnsi="仿宋" w:eastAsia="仿宋" w:cs="仿宋"/>
                <w:sz w:val="24"/>
                <w:szCs w:val="24"/>
              </w:rPr>
              <w:t>[1]韩林申《钢琴基础教程》（1</w:t>
            </w:r>
            <w:r>
              <w:rPr>
                <w:rFonts w:ascii="仿宋" w:hAnsi="仿宋" w:eastAsia="仿宋" w:cs="仿宋"/>
                <w:sz w:val="24"/>
                <w:szCs w:val="24"/>
              </w:rPr>
              <w:t>-4</w:t>
            </w:r>
            <w:r>
              <w:rPr>
                <w:rFonts w:hint="eastAsia" w:ascii="仿宋" w:hAnsi="仿宋" w:eastAsia="仿宋" w:cs="仿宋"/>
                <w:sz w:val="24"/>
                <w:szCs w:val="24"/>
              </w:rPr>
              <w:t>），上海音乐出版社</w:t>
            </w:r>
          </w:p>
          <w:p w14:paraId="41497922">
            <w:pPr>
              <w:spacing w:line="360" w:lineRule="auto"/>
              <w:rPr>
                <w:rFonts w:hint="eastAsia" w:ascii="仿宋" w:hAnsi="仿宋" w:eastAsia="仿宋" w:cs="仿宋"/>
                <w:sz w:val="24"/>
                <w:szCs w:val="24"/>
              </w:rPr>
            </w:pPr>
            <w:r>
              <w:rPr>
                <w:rFonts w:hint="eastAsia" w:ascii="仿宋" w:hAnsi="仿宋" w:eastAsia="仿宋" w:cs="仿宋"/>
                <w:sz w:val="24"/>
                <w:szCs w:val="24"/>
              </w:rPr>
              <w:t>[2]车尔尼《钢琴初步教程 作品599》，人民音乐出版社</w:t>
            </w:r>
            <w:r>
              <w:rPr>
                <w:rFonts w:hint="eastAsia" w:ascii="仿宋" w:hAnsi="仿宋" w:eastAsia="仿宋" w:cs="仿宋"/>
                <w:sz w:val="24"/>
                <w:szCs w:val="24"/>
                <w:lang w:eastAsia="zh-CN"/>
              </w:rPr>
              <w:t>，ISBN：9787103020609</w:t>
            </w:r>
          </w:p>
          <w:p w14:paraId="64259692">
            <w:pPr>
              <w:spacing w:line="360" w:lineRule="auto"/>
              <w:rPr>
                <w:rFonts w:hint="eastAsia" w:ascii="仿宋" w:hAnsi="仿宋" w:eastAsia="仿宋" w:cs="仿宋"/>
                <w:sz w:val="24"/>
                <w:szCs w:val="24"/>
              </w:rPr>
            </w:pPr>
            <w:r>
              <w:rPr>
                <w:rFonts w:hint="eastAsia" w:ascii="仿宋" w:hAnsi="仿宋" w:eastAsia="仿宋" w:cs="仿宋"/>
                <w:sz w:val="24"/>
                <w:szCs w:val="24"/>
              </w:rPr>
              <w:t>[3]车尔尼《24首钢琴左手练习曲 作品718》，人民音乐出版社</w:t>
            </w:r>
            <w:r>
              <w:rPr>
                <w:rFonts w:hint="eastAsia" w:ascii="仿宋" w:hAnsi="仿宋" w:eastAsia="仿宋" w:cs="仿宋"/>
                <w:sz w:val="24"/>
                <w:szCs w:val="24"/>
                <w:lang w:eastAsia="zh-CN"/>
              </w:rPr>
              <w:t>，ISBN：9787103026915</w:t>
            </w:r>
          </w:p>
          <w:p w14:paraId="58E5B356">
            <w:pPr>
              <w:spacing w:line="360" w:lineRule="auto"/>
              <w:rPr>
                <w:rFonts w:hint="eastAsia" w:ascii="仿宋" w:hAnsi="仿宋" w:eastAsia="仿宋" w:cs="仿宋"/>
                <w:sz w:val="24"/>
                <w:szCs w:val="24"/>
              </w:rPr>
            </w:pPr>
            <w:r>
              <w:rPr>
                <w:rFonts w:hint="eastAsia" w:ascii="仿宋" w:hAnsi="仿宋" w:eastAsia="仿宋" w:cs="仿宋"/>
                <w:sz w:val="24"/>
                <w:szCs w:val="24"/>
              </w:rPr>
              <w:t>[4]巴赫《初级钢琴曲集 》，人民音乐出版社</w:t>
            </w:r>
            <w:r>
              <w:rPr>
                <w:rFonts w:hint="eastAsia" w:ascii="仿宋" w:hAnsi="仿宋" w:eastAsia="仿宋" w:cs="仿宋"/>
                <w:sz w:val="24"/>
                <w:szCs w:val="24"/>
                <w:lang w:eastAsia="zh-CN"/>
              </w:rPr>
              <w:t>，ISBN：9787103020944</w:t>
            </w:r>
          </w:p>
          <w:p w14:paraId="4E3DADF2">
            <w:pPr>
              <w:spacing w:line="360" w:lineRule="auto"/>
              <w:rPr>
                <w:rFonts w:hint="eastAsia" w:ascii="仿宋" w:hAnsi="仿宋" w:eastAsia="仿宋" w:cs="仿宋"/>
                <w:sz w:val="24"/>
                <w:szCs w:val="24"/>
                <w:lang w:val="en-US" w:eastAsia="zh-CN"/>
              </w:rPr>
            </w:pPr>
            <w:r>
              <w:rPr>
                <w:rFonts w:hint="eastAsia" w:ascii="仿宋" w:hAnsi="仿宋" w:eastAsia="仿宋" w:cs="仿宋"/>
                <w:sz w:val="24"/>
                <w:szCs w:val="24"/>
              </w:rPr>
              <w:t>[5]哈农《哈农钢琴练指法》，人民音乐出版社</w:t>
            </w:r>
            <w:r>
              <w:rPr>
                <w:rFonts w:hint="eastAsia" w:ascii="仿宋" w:hAnsi="仿宋" w:eastAsia="仿宋" w:cs="仿宋"/>
                <w:sz w:val="24"/>
                <w:szCs w:val="24"/>
                <w:lang w:eastAsia="zh-CN"/>
              </w:rPr>
              <w:t>，</w:t>
            </w:r>
            <w:r>
              <w:rPr>
                <w:rFonts w:ascii="宋体" w:hAnsi="宋体" w:eastAsia="宋体" w:cs="宋体"/>
                <w:sz w:val="24"/>
                <w:szCs w:val="24"/>
              </w:rPr>
              <w:t>ISBN</w:t>
            </w:r>
            <w:r>
              <w:rPr>
                <w:rFonts w:hint="eastAsia" w:ascii="宋体" w:hAnsi="宋体" w:cs="宋体"/>
                <w:sz w:val="24"/>
                <w:szCs w:val="24"/>
              </w:rPr>
              <w:t>：</w:t>
            </w:r>
            <w:r>
              <w:rPr>
                <w:rFonts w:ascii="宋体" w:hAnsi="宋体" w:eastAsia="宋体" w:cs="宋体"/>
                <w:sz w:val="24"/>
                <w:szCs w:val="24"/>
              </w:rPr>
              <w:t>9787103021767</w:t>
            </w:r>
          </w:p>
          <w:p w14:paraId="26CB5176">
            <w:pPr>
              <w:spacing w:line="360" w:lineRule="auto"/>
              <w:rPr>
                <w:rFonts w:hint="eastAsia" w:ascii="仿宋" w:hAnsi="仿宋" w:eastAsia="仿宋" w:cs="仿宋"/>
                <w:sz w:val="24"/>
                <w:szCs w:val="24"/>
              </w:rPr>
            </w:pPr>
            <w:r>
              <w:rPr>
                <w:rFonts w:hint="eastAsia" w:ascii="仿宋" w:hAnsi="仿宋" w:eastAsia="仿宋" w:cs="仿宋"/>
                <w:sz w:val="24"/>
                <w:szCs w:val="24"/>
                <w:lang w:val="en-US" w:eastAsia="zh-CN"/>
              </w:rPr>
              <w:t>[6]韩林申，李晓平，徐斐，周荷君，上海音乐出版社，《钢琴基础教程1 -4》，ISBN：9787806672693</w:t>
            </w:r>
          </w:p>
          <w:p w14:paraId="4FFAD1A1">
            <w:pPr>
              <w:tabs>
                <w:tab w:val="left" w:pos="2219"/>
              </w:tabs>
              <w:suppressAutoHyphens/>
              <w:autoSpaceDE w:val="0"/>
              <w:ind w:leftChars="0" w:rightChars="55" w:firstLineChars="0"/>
            </w:pPr>
            <w:r>
              <w:rPr>
                <w:rFonts w:hint="eastAsia" w:ascii="仿宋" w:hAnsi="仿宋" w:eastAsia="仿宋" w:cs="仿宋"/>
                <w:sz w:val="24"/>
                <w:szCs w:val="24"/>
              </w:rPr>
              <w:t>等国内外钢琴练习曲与作品。</w:t>
            </w:r>
          </w:p>
        </w:tc>
      </w:tr>
      <w:tr w14:paraId="6C143678">
        <w:tc>
          <w:tcPr>
            <w:tcW w:w="1376" w:type="dxa"/>
            <w:tcBorders>
              <w:top w:val="single" w:color="auto" w:sz="4" w:space="0"/>
              <w:left w:val="single" w:color="auto" w:sz="4" w:space="0"/>
              <w:bottom w:val="single" w:color="auto" w:sz="4" w:space="0"/>
              <w:right w:val="single" w:color="auto" w:sz="4" w:space="0"/>
            </w:tcBorders>
            <w:vAlign w:val="center"/>
          </w:tcPr>
          <w:p w14:paraId="46E5426F">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B</w:t>
            </w:r>
          </w:p>
          <w:p w14:paraId="1A6DC2F0">
            <w:pPr>
              <w:spacing w:line="240" w:lineRule="atLeast"/>
              <w:jc w:val="center"/>
            </w:pPr>
            <w:r>
              <w:rPr>
                <w:rFonts w:hint="eastAsia" w:ascii="仿宋" w:hAnsi="仿宋" w:eastAsia="仿宋" w:cs="仿宋"/>
                <w:sz w:val="24"/>
                <w:szCs w:val="24"/>
              </w:rPr>
              <w:t>主要参考书籍</w:t>
            </w:r>
          </w:p>
        </w:tc>
        <w:tc>
          <w:tcPr>
            <w:tcW w:w="7772" w:type="dxa"/>
            <w:gridSpan w:val="14"/>
            <w:tcBorders>
              <w:top w:val="single" w:color="auto" w:sz="4" w:space="0"/>
              <w:left w:val="single" w:color="auto" w:sz="4" w:space="0"/>
              <w:bottom w:val="single" w:color="auto" w:sz="4" w:space="0"/>
              <w:right w:val="single" w:color="auto" w:sz="4" w:space="0"/>
            </w:tcBorders>
            <w:vAlign w:val="center"/>
          </w:tcPr>
          <w:p w14:paraId="01490AE2">
            <w:pPr>
              <w:rPr>
                <w:rFonts w:hint="eastAsia" w:ascii="仿宋" w:hAnsi="仿宋" w:eastAsia="仿宋" w:cs="仿宋"/>
                <w:sz w:val="24"/>
                <w:szCs w:val="24"/>
              </w:rPr>
            </w:pPr>
            <w:r>
              <w:rPr>
                <w:rFonts w:hint="eastAsia" w:ascii="仿宋" w:hAnsi="仿宋" w:eastAsia="仿宋" w:cs="仿宋"/>
                <w:sz w:val="24"/>
                <w:szCs w:val="24"/>
              </w:rPr>
              <w:t>[1]周薇《西方钢琴艺术史》  ，上海教育出版社 ，2003.</w:t>
            </w:r>
          </w:p>
          <w:p w14:paraId="469386ED">
            <w:pPr>
              <w:rPr>
                <w:rFonts w:hint="eastAsia" w:ascii="仿宋" w:hAnsi="仿宋" w:eastAsia="仿宋" w:cs="仿宋"/>
                <w:sz w:val="24"/>
                <w:szCs w:val="24"/>
              </w:rPr>
            </w:pPr>
            <w:r>
              <w:rPr>
                <w:rFonts w:hint="eastAsia" w:ascii="仿宋" w:hAnsi="仿宋" w:eastAsia="仿宋" w:cs="仿宋"/>
                <w:sz w:val="24"/>
                <w:szCs w:val="24"/>
              </w:rPr>
              <w:t>[</w:t>
            </w:r>
            <w:r>
              <w:rPr>
                <w:rFonts w:ascii="仿宋" w:hAnsi="仿宋" w:eastAsia="仿宋" w:cs="仿宋"/>
                <w:sz w:val="24"/>
                <w:szCs w:val="24"/>
              </w:rPr>
              <w:t>2</w:t>
            </w:r>
            <w:r>
              <w:rPr>
                <w:rFonts w:hint="eastAsia" w:ascii="仿宋" w:hAnsi="仿宋" w:eastAsia="仿宋" w:cs="仿宋"/>
                <w:sz w:val="24"/>
                <w:szCs w:val="24"/>
              </w:rPr>
              <w:t>]舒伯特《舒伯特钢琴奏鸣曲集》，人民音乐出版社，1982.</w:t>
            </w:r>
          </w:p>
          <w:p w14:paraId="14AE871E">
            <w:pPr>
              <w:rPr>
                <w:rFonts w:hint="eastAsia" w:ascii="仿宋" w:hAnsi="仿宋" w:eastAsia="仿宋" w:cs="仿宋"/>
                <w:sz w:val="24"/>
                <w:szCs w:val="24"/>
              </w:rPr>
            </w:pPr>
            <w:r>
              <w:rPr>
                <w:rFonts w:hint="eastAsia" w:ascii="仿宋" w:hAnsi="仿宋" w:eastAsia="仿宋" w:cs="仿宋"/>
                <w:sz w:val="24"/>
                <w:szCs w:val="24"/>
              </w:rPr>
              <w:t>[</w:t>
            </w:r>
            <w:r>
              <w:rPr>
                <w:rFonts w:ascii="仿宋" w:hAnsi="仿宋" w:eastAsia="仿宋" w:cs="仿宋"/>
                <w:sz w:val="24"/>
                <w:szCs w:val="24"/>
              </w:rPr>
              <w:t>3</w:t>
            </w:r>
            <w:r>
              <w:rPr>
                <w:rFonts w:hint="eastAsia" w:ascii="仿宋" w:hAnsi="仿宋" w:eastAsia="仿宋" w:cs="仿宋"/>
                <w:sz w:val="24"/>
                <w:szCs w:val="24"/>
              </w:rPr>
              <w:t>]巴赫《巴赫法国组曲》，上海音乐出版社，1994.</w:t>
            </w:r>
          </w:p>
          <w:p w14:paraId="00C95D5A">
            <w:pPr>
              <w:rPr>
                <w:rFonts w:hint="eastAsia" w:ascii="仿宋" w:hAnsi="仿宋" w:eastAsia="仿宋" w:cs="仿宋"/>
                <w:sz w:val="24"/>
                <w:szCs w:val="24"/>
              </w:rPr>
            </w:pPr>
            <w:r>
              <w:rPr>
                <w:rFonts w:hint="eastAsia" w:ascii="仿宋" w:hAnsi="仿宋" w:eastAsia="仿宋" w:cs="仿宋"/>
                <w:sz w:val="24"/>
                <w:szCs w:val="24"/>
              </w:rPr>
              <w:t>[</w:t>
            </w:r>
            <w:r>
              <w:rPr>
                <w:rFonts w:ascii="仿宋" w:hAnsi="仿宋" w:eastAsia="仿宋" w:cs="仿宋"/>
                <w:sz w:val="24"/>
                <w:szCs w:val="24"/>
              </w:rPr>
              <w:t>4</w:t>
            </w:r>
            <w:r>
              <w:rPr>
                <w:rFonts w:hint="eastAsia" w:ascii="仿宋" w:hAnsi="仿宋" w:eastAsia="仿宋" w:cs="仿宋"/>
                <w:sz w:val="24"/>
                <w:szCs w:val="24"/>
              </w:rPr>
              <w:t xml:space="preserve">]肖邦《肖邦练习曲》，人民音乐出版社 ，1995. </w:t>
            </w:r>
          </w:p>
          <w:p w14:paraId="67646A5C">
            <w:pPr>
              <w:rPr>
                <w:rFonts w:hint="eastAsia" w:ascii="仿宋" w:hAnsi="仿宋" w:eastAsia="仿宋" w:cs="仿宋"/>
                <w:sz w:val="24"/>
                <w:szCs w:val="24"/>
              </w:rPr>
            </w:pPr>
            <w:r>
              <w:rPr>
                <w:rFonts w:hint="eastAsia" w:ascii="仿宋" w:hAnsi="仿宋" w:eastAsia="仿宋" w:cs="仿宋"/>
                <w:sz w:val="24"/>
                <w:szCs w:val="24"/>
              </w:rPr>
              <w:t>[</w:t>
            </w:r>
            <w:r>
              <w:rPr>
                <w:rFonts w:ascii="仿宋" w:hAnsi="仿宋" w:eastAsia="仿宋" w:cs="仿宋"/>
                <w:sz w:val="24"/>
                <w:szCs w:val="24"/>
              </w:rPr>
              <w:t>5</w:t>
            </w:r>
            <w:r>
              <w:rPr>
                <w:rFonts w:hint="eastAsia" w:ascii="仿宋" w:hAnsi="仿宋" w:eastAsia="仿宋" w:cs="仿宋"/>
                <w:sz w:val="24"/>
                <w:szCs w:val="24"/>
              </w:rPr>
              <w:t>]舒伯特《舒伯特钢琴奏鸣曲集》，人民音乐出版社 ，1982.</w:t>
            </w:r>
          </w:p>
          <w:p w14:paraId="5A645EEC">
            <w:pPr>
              <w:rPr>
                <w:rFonts w:hint="eastAsia" w:ascii="仿宋" w:hAnsi="仿宋" w:eastAsia="仿宋" w:cs="仿宋"/>
                <w:sz w:val="24"/>
                <w:szCs w:val="24"/>
              </w:rPr>
            </w:pPr>
            <w:r>
              <w:rPr>
                <w:rFonts w:hint="eastAsia" w:ascii="仿宋" w:hAnsi="仿宋" w:eastAsia="仿宋" w:cs="仿宋"/>
                <w:sz w:val="24"/>
                <w:szCs w:val="24"/>
              </w:rPr>
              <w:t>[6] 莫什科夫斯基《莫什科夫斯基钢琴技巧练习曲15首》，人民音乐出版社，1981</w:t>
            </w:r>
          </w:p>
          <w:p w14:paraId="49F28749">
            <w:pPr>
              <w:rPr>
                <w:rFonts w:hint="eastAsia" w:ascii="仿宋" w:hAnsi="仿宋" w:eastAsia="仿宋" w:cs="仿宋"/>
                <w:sz w:val="24"/>
                <w:szCs w:val="24"/>
              </w:rPr>
            </w:pPr>
            <w:r>
              <w:rPr>
                <w:rFonts w:hint="eastAsia" w:ascii="仿宋" w:hAnsi="仿宋" w:eastAsia="仿宋" w:cs="仿宋"/>
                <w:sz w:val="24"/>
                <w:szCs w:val="24"/>
              </w:rPr>
              <w:t>[7]巴赫《巴赫十二平均律》，湖南文艺出版社，2001.</w:t>
            </w:r>
          </w:p>
          <w:p w14:paraId="7146803F">
            <w:pPr>
              <w:rPr>
                <w:rFonts w:hint="eastAsia" w:ascii="仿宋" w:hAnsi="仿宋" w:eastAsia="仿宋" w:cs="仿宋"/>
                <w:sz w:val="24"/>
                <w:szCs w:val="24"/>
              </w:rPr>
            </w:pPr>
            <w:r>
              <w:rPr>
                <w:rFonts w:hint="eastAsia" w:ascii="仿宋" w:hAnsi="仿宋" w:eastAsia="仿宋" w:cs="仿宋"/>
                <w:sz w:val="24"/>
                <w:szCs w:val="24"/>
              </w:rPr>
              <w:t>[8]贺绿汀《中国钢琴名曲曲库一至四册》，时代文艺出版社 ，1995.</w:t>
            </w:r>
          </w:p>
          <w:p w14:paraId="6EEC72DE">
            <w:pPr>
              <w:rPr>
                <w:rFonts w:hint="eastAsia" w:ascii="仿宋" w:hAnsi="仿宋" w:eastAsia="仿宋" w:cs="仿宋"/>
                <w:sz w:val="24"/>
                <w:szCs w:val="24"/>
              </w:rPr>
            </w:pPr>
            <w:r>
              <w:rPr>
                <w:rFonts w:hint="eastAsia" w:ascii="仿宋" w:hAnsi="仿宋" w:eastAsia="仿宋" w:cs="仿宋"/>
                <w:sz w:val="24"/>
                <w:szCs w:val="24"/>
              </w:rPr>
              <w:t>[9]李斯特《李斯特钢琴曲选》，北京人民音乐出版社 ，1998.</w:t>
            </w:r>
          </w:p>
          <w:p w14:paraId="17804E21">
            <w:pPr>
              <w:rPr>
                <w:rFonts w:hint="eastAsia" w:ascii="仿宋" w:hAnsi="仿宋" w:eastAsia="仿宋" w:cs="仿宋"/>
                <w:sz w:val="24"/>
                <w:szCs w:val="24"/>
              </w:rPr>
            </w:pPr>
            <w:r>
              <w:rPr>
                <w:rFonts w:hint="eastAsia" w:ascii="仿宋" w:hAnsi="仿宋" w:eastAsia="仿宋" w:cs="仿宋"/>
                <w:sz w:val="24"/>
                <w:szCs w:val="24"/>
              </w:rPr>
              <w:t>[10]舒曼《舒曼钢琴曲选》，北京人民音乐出版社，1960.</w:t>
            </w:r>
          </w:p>
          <w:p w14:paraId="0AD9721B">
            <w:pPr>
              <w:rPr>
                <w:rFonts w:hint="eastAsia" w:ascii="仿宋" w:hAnsi="仿宋" w:eastAsia="仿宋" w:cs="仿宋"/>
                <w:sz w:val="24"/>
                <w:szCs w:val="24"/>
              </w:rPr>
            </w:pPr>
            <w:r>
              <w:rPr>
                <w:rFonts w:hint="eastAsia" w:ascii="仿宋" w:hAnsi="仿宋" w:eastAsia="仿宋" w:cs="仿宋"/>
                <w:sz w:val="24"/>
                <w:szCs w:val="24"/>
              </w:rPr>
              <w:t>[11]德彪西《德彪西练习曲》，北京人民音乐出版社，1998.</w:t>
            </w:r>
            <w:r>
              <w:rPr>
                <w:rFonts w:hint="eastAsia" w:ascii="仿宋" w:hAnsi="仿宋" w:eastAsia="仿宋" w:cs="仿宋"/>
                <w:sz w:val="24"/>
                <w:szCs w:val="24"/>
              </w:rPr>
              <w:br w:type="textWrapping"/>
            </w:r>
            <w:r>
              <w:rPr>
                <w:rFonts w:hint="eastAsia" w:ascii="仿宋" w:hAnsi="仿宋" w:eastAsia="仿宋" w:cs="仿宋"/>
                <w:sz w:val="24"/>
                <w:szCs w:val="24"/>
              </w:rPr>
              <w:t>[12]肖邦《肖邦钢琴曲选》，北京人民音乐出版社，1998.</w:t>
            </w:r>
            <w:r>
              <w:rPr>
                <w:rFonts w:hint="eastAsia" w:ascii="仿宋" w:hAnsi="仿宋" w:eastAsia="仿宋" w:cs="仿宋"/>
                <w:sz w:val="24"/>
                <w:szCs w:val="24"/>
              </w:rPr>
              <w:br w:type="textWrapping"/>
            </w:r>
            <w:r>
              <w:rPr>
                <w:rFonts w:hint="eastAsia" w:ascii="仿宋" w:hAnsi="仿宋" w:eastAsia="仿宋" w:cs="仿宋"/>
                <w:sz w:val="24"/>
                <w:szCs w:val="24"/>
              </w:rPr>
              <w:t>[13]拉威尔《拉威尔钢琴曲选》 ，北京人民音乐出版社，1988.</w:t>
            </w:r>
          </w:p>
          <w:p w14:paraId="64FF283F">
            <w:pPr>
              <w:rPr>
                <w:rFonts w:hint="eastAsia" w:ascii="仿宋" w:hAnsi="仿宋" w:eastAsia="仿宋" w:cs="仿宋"/>
                <w:sz w:val="24"/>
                <w:szCs w:val="24"/>
              </w:rPr>
            </w:pPr>
            <w:r>
              <w:rPr>
                <w:rFonts w:hint="eastAsia" w:ascii="仿宋" w:hAnsi="仿宋" w:eastAsia="仿宋" w:cs="仿宋"/>
                <w:sz w:val="24"/>
                <w:szCs w:val="24"/>
              </w:rPr>
              <w:t>[14]舒曼《舒曼交响练习曲》，北京人民音乐出版社，1980.</w:t>
            </w:r>
            <w:r>
              <w:rPr>
                <w:rFonts w:hint="eastAsia" w:ascii="仿宋" w:hAnsi="仿宋" w:eastAsia="仿宋" w:cs="仿宋"/>
                <w:sz w:val="24"/>
                <w:szCs w:val="24"/>
              </w:rPr>
              <w:br w:type="textWrapping"/>
            </w:r>
            <w:r>
              <w:rPr>
                <w:rFonts w:hint="eastAsia" w:ascii="仿宋" w:hAnsi="仿宋" w:eastAsia="仿宋" w:cs="仿宋"/>
                <w:sz w:val="24"/>
                <w:szCs w:val="24"/>
              </w:rPr>
              <w:t>[15]德彪西《德彪西钢琴前奏曲集》，安徽文艺出版社，2000.</w:t>
            </w:r>
            <w:r>
              <w:rPr>
                <w:rFonts w:hint="eastAsia" w:ascii="仿宋" w:hAnsi="仿宋" w:eastAsia="仿宋" w:cs="仿宋"/>
                <w:sz w:val="24"/>
                <w:szCs w:val="24"/>
              </w:rPr>
              <w:br w:type="textWrapping"/>
            </w:r>
            <w:r>
              <w:rPr>
                <w:rFonts w:hint="eastAsia" w:ascii="仿宋" w:hAnsi="仿宋" w:eastAsia="仿宋" w:cs="仿宋"/>
                <w:sz w:val="24"/>
                <w:szCs w:val="24"/>
              </w:rPr>
              <w:t>[16] 斯克里亚宾《斯克里亚宾钢琴奏鸣曲全集》，安徽文艺出版社     ，2001.</w:t>
            </w:r>
          </w:p>
          <w:p w14:paraId="0524F55F">
            <w:pPr>
              <w:widowControl/>
              <w:tabs>
                <w:tab w:val="left" w:pos="2219"/>
              </w:tabs>
              <w:suppressAutoHyphens/>
              <w:autoSpaceDE w:val="0"/>
              <w:ind w:leftChars="0" w:rightChars="55" w:firstLineChars="0"/>
            </w:pPr>
            <w:r>
              <w:rPr>
                <w:rFonts w:hint="eastAsia" w:ascii="仿宋" w:hAnsi="仿宋" w:eastAsia="仿宋" w:cs="仿宋"/>
                <w:sz w:val="24"/>
                <w:szCs w:val="24"/>
              </w:rPr>
              <w:t>[17]贝多芬《贝多芬钢琴奏鸣曲集》，北京人民音乐出版社，1981.</w:t>
            </w:r>
          </w:p>
        </w:tc>
      </w:tr>
      <w:tr w14:paraId="75AFF03C">
        <w:tc>
          <w:tcPr>
            <w:tcW w:w="1376" w:type="dxa"/>
            <w:tcBorders>
              <w:top w:val="single" w:color="auto" w:sz="4" w:space="0"/>
              <w:left w:val="single" w:color="auto" w:sz="4" w:space="0"/>
              <w:bottom w:val="single" w:color="auto" w:sz="4" w:space="0"/>
              <w:right w:val="single" w:color="auto" w:sz="4" w:space="0"/>
            </w:tcBorders>
            <w:vAlign w:val="center"/>
          </w:tcPr>
          <w:p w14:paraId="02005959">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C</w:t>
            </w:r>
          </w:p>
          <w:p w14:paraId="5683F9E1">
            <w:pPr>
              <w:spacing w:line="240" w:lineRule="atLeast"/>
              <w:jc w:val="center"/>
            </w:pPr>
            <w:r>
              <w:rPr>
                <w:rFonts w:hint="eastAsia" w:ascii="仿宋" w:hAnsi="仿宋" w:eastAsia="仿宋" w:cs="仿宋"/>
                <w:sz w:val="24"/>
                <w:szCs w:val="24"/>
              </w:rPr>
              <w:t>线上学习资源</w:t>
            </w:r>
          </w:p>
        </w:tc>
        <w:tc>
          <w:tcPr>
            <w:tcW w:w="7772" w:type="dxa"/>
            <w:gridSpan w:val="14"/>
            <w:tcBorders>
              <w:top w:val="single" w:color="auto" w:sz="4" w:space="0"/>
              <w:left w:val="single" w:color="auto" w:sz="4" w:space="0"/>
              <w:bottom w:val="single" w:color="auto" w:sz="4" w:space="0"/>
              <w:right w:val="single" w:color="auto" w:sz="4" w:space="0"/>
            </w:tcBorders>
            <w:vAlign w:val="center"/>
          </w:tcPr>
          <w:p w14:paraId="456C5709">
            <w:pPr>
              <w:rPr>
                <w:rFonts w:hint="eastAsia" w:ascii="仿宋" w:hAnsi="仿宋" w:eastAsia="仿宋" w:cs="仿宋"/>
                <w:sz w:val="24"/>
                <w:szCs w:val="24"/>
              </w:rPr>
            </w:pPr>
            <w:r>
              <w:rPr>
                <w:rFonts w:hint="eastAsia" w:ascii="仿宋" w:hAnsi="仿宋" w:eastAsia="仿宋" w:cs="仿宋"/>
                <w:sz w:val="24"/>
                <w:szCs w:val="24"/>
              </w:rPr>
              <w:t>任课教师建立微信学习群，与学生进行多媒体沟通；</w:t>
            </w:r>
          </w:p>
          <w:p w14:paraId="657FF825">
            <w:pPr>
              <w:rPr>
                <w:rFonts w:hint="eastAsia" w:ascii="仿宋" w:hAnsi="仿宋" w:eastAsia="仿宋" w:cs="仿宋"/>
                <w:sz w:val="24"/>
                <w:szCs w:val="24"/>
              </w:rPr>
            </w:pPr>
            <w:r>
              <w:rPr>
                <w:rFonts w:hint="eastAsia" w:ascii="仿宋" w:hAnsi="仿宋" w:eastAsia="仿宋" w:cs="仿宋"/>
                <w:sz w:val="24"/>
                <w:szCs w:val="24"/>
              </w:rPr>
              <w:t>使用企业微信微盘上传下载学习资料；</w:t>
            </w:r>
          </w:p>
          <w:p w14:paraId="70ED1177">
            <w:r>
              <w:rPr>
                <w:rFonts w:hint="eastAsia" w:ascii="仿宋" w:hAnsi="仿宋" w:eastAsia="仿宋" w:cs="仿宋"/>
                <w:sz w:val="24"/>
                <w:szCs w:val="24"/>
              </w:rPr>
              <w:t>中国大学MOOC平台、三明学院网络课程平台等辅助提交作业。</w:t>
            </w:r>
          </w:p>
        </w:tc>
      </w:tr>
      <w:tr w14:paraId="663ACC6A">
        <w:trPr>
          <w:trHeight w:val="3676" w:hRule="atLeast"/>
        </w:trPr>
        <w:tc>
          <w:tcPr>
            <w:tcW w:w="1376" w:type="dxa"/>
            <w:tcBorders>
              <w:top w:val="single" w:color="auto" w:sz="4" w:space="0"/>
              <w:left w:val="single" w:color="auto" w:sz="4" w:space="0"/>
              <w:bottom w:val="single" w:color="auto" w:sz="4" w:space="0"/>
              <w:right w:val="single" w:color="auto" w:sz="4" w:space="0"/>
            </w:tcBorders>
            <w:shd w:val="clear" w:color="auto" w:fill="FFFFFF"/>
            <w:vAlign w:val="center"/>
          </w:tcPr>
          <w:p w14:paraId="6800A0A9">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D</w:t>
            </w:r>
          </w:p>
          <w:p w14:paraId="22BB84E0">
            <w:pPr>
              <w:spacing w:line="240" w:lineRule="atLeast"/>
              <w:jc w:val="center"/>
              <w:rPr>
                <w:rFonts w:hint="eastAsia" w:ascii="仿宋" w:hAnsi="仿宋" w:eastAsia="仿宋" w:cs="仿宋"/>
                <w:sz w:val="24"/>
                <w:szCs w:val="24"/>
                <w:lang w:eastAsia="zh-TW"/>
              </w:rPr>
            </w:pPr>
            <w:r>
              <w:rPr>
                <w:rFonts w:hint="eastAsia" w:ascii="仿宋" w:hAnsi="仿宋" w:eastAsia="仿宋" w:cs="仿宋"/>
                <w:sz w:val="24"/>
                <w:szCs w:val="24"/>
              </w:rPr>
              <w:t xml:space="preserve">课程描述 </w:t>
            </w:r>
          </w:p>
          <w:p w14:paraId="09E4D3B2">
            <w:pPr>
              <w:spacing w:line="240" w:lineRule="atLeast"/>
              <w:jc w:val="center"/>
            </w:pPr>
            <w:r>
              <w:rPr>
                <w:rFonts w:hint="eastAsia" w:ascii="仿宋" w:hAnsi="仿宋" w:eastAsia="仿宋" w:cs="仿宋"/>
                <w:sz w:val="24"/>
                <w:szCs w:val="24"/>
                <w:lang w:eastAsia="zh-TW"/>
              </w:rPr>
              <w:t>(</w:t>
            </w:r>
            <w:r>
              <w:rPr>
                <w:rFonts w:hint="eastAsia" w:ascii="仿宋" w:hAnsi="仿宋" w:eastAsia="仿宋" w:cs="仿宋"/>
                <w:sz w:val="24"/>
                <w:szCs w:val="24"/>
              </w:rPr>
              <w:t>含</w:t>
            </w:r>
            <w:r>
              <w:rPr>
                <w:rFonts w:hint="eastAsia" w:ascii="仿宋" w:hAnsi="仿宋" w:eastAsia="仿宋" w:cs="仿宋"/>
                <w:sz w:val="24"/>
                <w:szCs w:val="24"/>
                <w:lang w:eastAsia="zh-TW"/>
              </w:rPr>
              <w:t>性质、地位和任务)</w:t>
            </w:r>
          </w:p>
        </w:tc>
        <w:tc>
          <w:tcPr>
            <w:tcW w:w="7772" w:type="dxa"/>
            <w:gridSpan w:val="14"/>
            <w:tcBorders>
              <w:top w:val="single" w:color="auto" w:sz="4" w:space="0"/>
              <w:left w:val="single" w:color="auto" w:sz="4" w:space="0"/>
              <w:bottom w:val="single" w:color="auto" w:sz="4" w:space="0"/>
              <w:right w:val="single" w:color="auto" w:sz="4" w:space="0"/>
            </w:tcBorders>
            <w:shd w:val="clear" w:color="auto" w:fill="FFFFFF"/>
            <w:vAlign w:val="center"/>
          </w:tcPr>
          <w:p w14:paraId="47EE2FFD">
            <w:pPr>
              <w:rPr>
                <w:rFonts w:hint="eastAsia" w:ascii="仿宋" w:hAnsi="仿宋" w:eastAsia="仿宋" w:cs="仿宋"/>
                <w:sz w:val="24"/>
                <w:szCs w:val="24"/>
              </w:rPr>
            </w:pPr>
            <w:r>
              <w:rPr>
                <w:rFonts w:hint="eastAsia" w:ascii="仿宋" w:hAnsi="仿宋" w:eastAsia="仿宋" w:cs="仿宋"/>
                <w:sz w:val="24"/>
                <w:szCs w:val="24"/>
              </w:rPr>
              <w:t>课程性质：《钢琴基础》是普通高等学校音乐教育的本科生必修的专业基础课，也是学生所要掌握的基本技能之一。本课程具有集知识性，音乐性，与技能型为一体的特点，是学生学习音乐理论和技能必不可少的基础课。钢琴基础课不仅与钢琴各课（钢琴演奏课、即兴伴奏课、钢琴艺术史、钢琴教法课等）有密切关联，有广泛的横向联系，同时还是各门音乐学科的基础，体现了音乐学科之间的纵向联系，是在校每位音乐专业本科学生的一门必修课。</w:t>
            </w:r>
          </w:p>
          <w:p w14:paraId="573B341C">
            <w:pPr>
              <w:rPr>
                <w:rFonts w:hint="eastAsia" w:ascii="仿宋" w:hAnsi="仿宋" w:eastAsia="仿宋" w:cs="仿宋"/>
                <w:sz w:val="24"/>
                <w:szCs w:val="24"/>
              </w:rPr>
            </w:pPr>
            <w:r>
              <w:rPr>
                <w:rFonts w:hint="eastAsia" w:ascii="仿宋" w:hAnsi="仿宋" w:eastAsia="仿宋" w:cs="仿宋"/>
                <w:sz w:val="24"/>
                <w:szCs w:val="24"/>
              </w:rPr>
              <w:t>教学目的：通过本课程教学，使学生初步熟悉不同类型的钢琴作品，并同时具备必要的钢琴弹奏技能、音乐的表达能力及相应的视奏水平。通过两年钢琴基础课训练，在钢琴技巧方面要求达到相当于车尔尼849中部程度，并能弹奏相应程度的乐曲，能正确的分析和处理一般的钢琴作品；初步了解和掌握不同作曲家不同类型的钢琴作品及风格，提高艺术修养和音乐表达能力。能为歌曲配弹简易的钢琴伴奏，以适应辅导社会音乐文化和普通中小学的课外音乐活动工作需要，使钢琴成为教学工作中一个工具。</w:t>
            </w:r>
          </w:p>
          <w:p w14:paraId="03DABE20">
            <w:pPr>
              <w:rPr>
                <w:rFonts w:ascii="仿宋" w:hAnsi="仿宋" w:eastAsia="仿宋" w:cs="仿宋"/>
                <w:kern w:val="0"/>
                <w:sz w:val="24"/>
                <w:szCs w:val="24"/>
              </w:rPr>
            </w:pPr>
            <w:r>
              <w:rPr>
                <w:rFonts w:hint="eastAsia" w:ascii="仿宋" w:hAnsi="仿宋" w:eastAsia="仿宋" w:cs="仿宋"/>
                <w:sz w:val="24"/>
                <w:szCs w:val="24"/>
              </w:rPr>
              <w:t>教学历程和结果：将音乐基本知识和对音乐形象的理解力、表现力以及钢琴弹奏技巧三方面的教学密切地结合起来，使学生在了解钢琴乐器的发展与演变过程、了解钢琴艺术发展历史以及钢琴演奏的基本理论和基本知识、了解钢琴演奏家和钢琴教育家的风格特点、掌握钢琴弹奏基本方法与演奏技巧的同时，初步熟悉不同类型的钢琴作品。</w:t>
            </w:r>
          </w:p>
          <w:p w14:paraId="218096A2">
            <w:pPr>
              <w:widowControl/>
              <w:numPr>
                <w:ilvl w:val="0"/>
                <w:numId w:val="0"/>
              </w:numPr>
              <w:spacing w:line="360" w:lineRule="exact"/>
              <w:ind w:leftChars="0" w:rightChars="0" w:firstLineChars="200"/>
              <w:jc w:val="left"/>
              <w:outlineLvl w:val="2"/>
              <w:rPr>
                <w:rFonts w:ascii="仿宋" w:hAnsi="仿宋" w:eastAsia="仿宋" w:cs="仿宋"/>
                <w:kern w:val="0"/>
                <w:sz w:val="24"/>
                <w:szCs w:val="24"/>
              </w:rPr>
            </w:pPr>
          </w:p>
        </w:tc>
      </w:tr>
      <w:tr w14:paraId="7CBA5F53">
        <w:trPr>
          <w:trHeight w:val="3071" w:hRule="atLeast"/>
        </w:trPr>
        <w:tc>
          <w:tcPr>
            <w:tcW w:w="1376"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14:paraId="1AAC04E8">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E</w:t>
            </w:r>
          </w:p>
          <w:p w14:paraId="5892FE0F">
            <w:pPr>
              <w:spacing w:line="240" w:lineRule="atLeast"/>
              <w:jc w:val="center"/>
            </w:pPr>
            <w:r>
              <w:rPr>
                <w:rFonts w:hint="eastAsia" w:ascii="仿宋" w:hAnsi="仿宋" w:eastAsia="仿宋" w:cs="仿宋"/>
                <w:sz w:val="24"/>
                <w:szCs w:val="24"/>
              </w:rPr>
              <w:t>课程学习目标及其与毕业要求的对应关系</w:t>
            </w:r>
          </w:p>
        </w:tc>
        <w:tc>
          <w:tcPr>
            <w:tcW w:w="7772" w:type="dxa"/>
            <w:gridSpan w:val="14"/>
            <w:tcBorders>
              <w:top w:val="single" w:color="auto" w:sz="4" w:space="0"/>
              <w:left w:val="single" w:color="auto" w:sz="4" w:space="0"/>
              <w:bottom w:val="single" w:color="auto" w:sz="4" w:space="0"/>
              <w:right w:val="single" w:color="auto" w:sz="4" w:space="0"/>
            </w:tcBorders>
            <w:shd w:val="clear" w:color="auto" w:fill="FFFFFF"/>
            <w:vAlign w:val="center"/>
          </w:tcPr>
          <w:p w14:paraId="26A566E4">
            <w:pPr>
              <w:rPr>
                <w:rFonts w:hint="eastAsia" w:ascii="仿宋" w:hAnsi="仿宋" w:eastAsia="仿宋" w:cs="仿宋"/>
                <w:sz w:val="24"/>
                <w:szCs w:val="24"/>
              </w:rPr>
            </w:pPr>
            <w:r>
              <w:rPr>
                <w:rFonts w:hint="eastAsia" w:ascii="仿宋" w:hAnsi="仿宋" w:eastAsia="仿宋" w:cs="仿宋"/>
                <w:b/>
                <w:sz w:val="24"/>
                <w:szCs w:val="24"/>
              </w:rPr>
              <w:t>课程目标1:</w:t>
            </w:r>
            <w:r>
              <w:rPr>
                <w:rFonts w:hint="eastAsia" w:ascii="仿宋" w:hAnsi="仿宋" w:eastAsia="仿宋" w:cs="仿宋"/>
                <w:b/>
                <w:bCs/>
                <w:sz w:val="24"/>
                <w:szCs w:val="24"/>
              </w:rPr>
              <w:t xml:space="preserve"> （H高支撑）</w:t>
            </w:r>
          </w:p>
          <w:p w14:paraId="2056C3DB">
            <w:pPr>
              <w:rPr>
                <w:rFonts w:hint="eastAsia" w:ascii="仿宋" w:hAnsi="仿宋" w:eastAsia="仿宋" w:cs="仿宋"/>
                <w:b/>
                <w:sz w:val="24"/>
                <w:szCs w:val="24"/>
              </w:rPr>
            </w:pPr>
            <w:r>
              <w:rPr>
                <w:rFonts w:hint="eastAsia" w:ascii="仿宋" w:hAnsi="仿宋" w:eastAsia="仿宋" w:cs="仿宋"/>
                <w:sz w:val="24"/>
                <w:szCs w:val="24"/>
              </w:rPr>
              <w:t xml:space="preserve">    掌握钢琴基本功，形成音乐学科基础核心素养。将音乐的一些基本理念通过实践表现出来,且能综合运用学过的理论、实践知识，分析和解决问题。</w:t>
            </w:r>
            <w:r>
              <w:rPr>
                <w:rFonts w:hint="eastAsia" w:ascii="仿宋" w:hAnsi="仿宋" w:eastAsia="仿宋" w:cs="仿宋"/>
                <w:sz w:val="24"/>
                <w:szCs w:val="24"/>
                <w:lang w:val="en-US" w:eastAsia="zh-CN"/>
              </w:rPr>
              <w:t>课程中应当涉猎一定比例的民族钢琴曲目，以及有思政教育意义的钢琴曲目。通过课程学习，学生能够对于中国钢琴作品概貌有一定程度的了解，对于具有良好群众基础的红色钢琴作品、有思政教育意义的中国钢琴作品有正确的认识和诠释能力。</w:t>
            </w:r>
          </w:p>
          <w:p w14:paraId="4F364440">
            <w:pPr>
              <w:rPr>
                <w:rFonts w:hint="eastAsia" w:ascii="仿宋" w:hAnsi="仿宋" w:eastAsia="仿宋" w:cs="仿宋"/>
                <w:sz w:val="24"/>
                <w:szCs w:val="24"/>
              </w:rPr>
            </w:pPr>
            <w:r>
              <w:rPr>
                <w:rFonts w:hint="eastAsia" w:ascii="仿宋" w:hAnsi="仿宋" w:eastAsia="仿宋" w:cs="仿宋"/>
                <w:b/>
                <w:sz w:val="24"/>
                <w:szCs w:val="24"/>
              </w:rPr>
              <w:t>课程目标</w:t>
            </w:r>
            <w:r>
              <w:rPr>
                <w:rFonts w:ascii="仿宋" w:hAnsi="仿宋" w:eastAsia="仿宋" w:cs="仿宋"/>
                <w:b/>
                <w:sz w:val="24"/>
                <w:szCs w:val="24"/>
              </w:rPr>
              <w:t>2</w:t>
            </w:r>
            <w:r>
              <w:rPr>
                <w:rFonts w:hint="eastAsia" w:ascii="仿宋" w:hAnsi="仿宋" w:eastAsia="仿宋" w:cs="仿宋"/>
                <w:b/>
                <w:sz w:val="24"/>
                <w:szCs w:val="24"/>
              </w:rPr>
              <w:t>:</w:t>
            </w:r>
            <w:r>
              <w:rPr>
                <w:rFonts w:hint="eastAsia" w:ascii="仿宋" w:hAnsi="仿宋" w:eastAsia="仿宋" w:cs="仿宋"/>
                <w:b/>
                <w:bCs/>
                <w:sz w:val="24"/>
                <w:szCs w:val="24"/>
              </w:rPr>
              <w:t xml:space="preserve"> （M中支撑）</w:t>
            </w:r>
          </w:p>
          <w:p w14:paraId="7125FCE3">
            <w:pPr>
              <w:ind w:leftChars="0" w:rightChars="0" w:firstLineChars="200"/>
              <w:rPr>
                <w:rFonts w:hint="eastAsia" w:ascii="仿宋" w:hAnsi="仿宋" w:eastAsia="仿宋" w:cs="仿宋"/>
                <w:b/>
                <w:sz w:val="24"/>
                <w:szCs w:val="24"/>
              </w:rPr>
            </w:pPr>
            <w:r>
              <w:rPr>
                <w:rFonts w:hint="eastAsia" w:ascii="仿宋" w:hAnsi="仿宋" w:eastAsia="仿宋" w:cs="仿宋"/>
                <w:sz w:val="24"/>
                <w:szCs w:val="24"/>
              </w:rPr>
              <w:t>因材施教，让不同初始程度的学生依据自己的能力，弹奏一定量的中小学音乐课曲目伴奏，对于一些弹过的曲目，能够比较熟悉地弹唱，旋律节奏基本准确。</w:t>
            </w:r>
            <w:r>
              <w:rPr>
                <w:rFonts w:hint="eastAsia" w:ascii="仿宋" w:hAnsi="仿宋" w:eastAsia="仿宋" w:cs="仿宋"/>
                <w:sz w:val="24"/>
                <w:szCs w:val="24"/>
                <w:lang w:val="en-US" w:eastAsia="zh-CN"/>
              </w:rPr>
              <w:t>对于有思政教育意义的曲目能够有正确的理解和认识，并能够正确地弹奏。</w:t>
            </w:r>
          </w:p>
          <w:p w14:paraId="243BF055">
            <w:pPr>
              <w:rPr>
                <w:rFonts w:hint="eastAsia" w:ascii="仿宋" w:hAnsi="仿宋" w:eastAsia="仿宋" w:cs="仿宋"/>
                <w:sz w:val="24"/>
                <w:szCs w:val="24"/>
              </w:rPr>
            </w:pPr>
            <w:r>
              <w:rPr>
                <w:rFonts w:hint="eastAsia" w:ascii="仿宋" w:hAnsi="仿宋" w:eastAsia="仿宋" w:cs="仿宋"/>
                <w:b/>
                <w:sz w:val="24"/>
                <w:szCs w:val="24"/>
              </w:rPr>
              <w:t>课程目标</w:t>
            </w:r>
            <w:r>
              <w:rPr>
                <w:rFonts w:ascii="仿宋" w:hAnsi="仿宋" w:eastAsia="仿宋" w:cs="仿宋"/>
                <w:b/>
                <w:sz w:val="24"/>
                <w:szCs w:val="24"/>
              </w:rPr>
              <w:t>3</w:t>
            </w:r>
            <w:r>
              <w:rPr>
                <w:rFonts w:hint="eastAsia" w:ascii="仿宋" w:hAnsi="仿宋" w:eastAsia="仿宋" w:cs="仿宋"/>
                <w:b/>
                <w:sz w:val="24"/>
                <w:szCs w:val="24"/>
              </w:rPr>
              <w:t>:</w:t>
            </w:r>
            <w:r>
              <w:rPr>
                <w:rFonts w:hint="eastAsia" w:ascii="仿宋" w:hAnsi="仿宋" w:eastAsia="仿宋" w:cs="仿宋"/>
                <w:b/>
                <w:bCs/>
                <w:sz w:val="24"/>
                <w:szCs w:val="24"/>
              </w:rPr>
              <w:t xml:space="preserve"> （</w:t>
            </w:r>
            <w:r>
              <w:rPr>
                <w:rFonts w:ascii="仿宋" w:hAnsi="仿宋" w:eastAsia="仿宋" w:cs="仿宋"/>
                <w:b/>
                <w:bCs/>
                <w:sz w:val="24"/>
                <w:szCs w:val="24"/>
              </w:rPr>
              <w:t>L</w:t>
            </w:r>
            <w:r>
              <w:rPr>
                <w:rFonts w:hint="eastAsia" w:ascii="仿宋" w:hAnsi="仿宋" w:eastAsia="仿宋" w:cs="仿宋"/>
                <w:b/>
                <w:bCs/>
                <w:sz w:val="24"/>
                <w:szCs w:val="24"/>
              </w:rPr>
              <w:t>低支撑）</w:t>
            </w:r>
          </w:p>
          <w:p w14:paraId="39E469E8">
            <w:pPr>
              <w:ind w:leftChars="0" w:rightChars="0" w:firstLineChars="200"/>
            </w:pPr>
            <w:r>
              <w:rPr>
                <w:rFonts w:hint="eastAsia" w:ascii="仿宋" w:hAnsi="仿宋" w:eastAsia="仿宋" w:cs="仿宋"/>
                <w:sz w:val="24"/>
                <w:szCs w:val="24"/>
              </w:rPr>
              <w:t>通过教师反馈与自我反思，形成对于学生自身实践的客观认识，并进行改进。</w:t>
            </w:r>
          </w:p>
        </w:tc>
      </w:tr>
      <w:tr w14:paraId="296295A8">
        <w:trPr>
          <w:trHeight w:val="642"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1C03C482">
            <w:pPr>
              <w:spacing w:line="240" w:lineRule="atLeast"/>
              <w:jc w:val="center"/>
              <w:rPr>
                <w:rFonts w:hint="eastAsia" w:ascii="仿宋" w:hAnsi="仿宋" w:eastAsia="仿宋" w:cs="仿宋"/>
                <w:sz w:val="24"/>
                <w:szCs w:val="24"/>
                <w:lang w:eastAsia="zh-TW"/>
              </w:rPr>
            </w:pPr>
          </w:p>
        </w:tc>
        <w:tc>
          <w:tcPr>
            <w:tcW w:w="1174" w:type="dxa"/>
            <w:tcBorders>
              <w:top w:val="single" w:color="auto" w:sz="4" w:space="0"/>
              <w:left w:val="single" w:color="auto" w:sz="4" w:space="0"/>
              <w:bottom w:val="single" w:color="auto" w:sz="4" w:space="0"/>
              <w:right w:val="single" w:color="auto" w:sz="4" w:space="0"/>
            </w:tcBorders>
            <w:shd w:val="clear" w:color="auto" w:fill="FFFFFF"/>
            <w:vAlign w:val="center"/>
          </w:tcPr>
          <w:p w14:paraId="6F9FE09E">
            <w:pPr>
              <w:spacing w:line="240" w:lineRule="atLeast"/>
              <w:jc w:val="center"/>
            </w:pPr>
            <w:r>
              <w:rPr>
                <w:rFonts w:hint="eastAsia" w:ascii="仿宋" w:hAnsi="仿宋" w:eastAsia="仿宋" w:cs="仿宋"/>
                <w:sz w:val="24"/>
                <w:szCs w:val="24"/>
              </w:rPr>
              <w:t>课程目标</w:t>
            </w:r>
          </w:p>
        </w:tc>
        <w:tc>
          <w:tcPr>
            <w:tcW w:w="4521" w:type="dxa"/>
            <w:gridSpan w:val="8"/>
            <w:tcBorders>
              <w:top w:val="single" w:color="auto" w:sz="4" w:space="0"/>
              <w:left w:val="single" w:color="auto" w:sz="4" w:space="0"/>
              <w:bottom w:val="single" w:color="auto" w:sz="4" w:space="0"/>
              <w:right w:val="single" w:color="auto" w:sz="4" w:space="0"/>
            </w:tcBorders>
            <w:shd w:val="clear" w:color="auto" w:fill="FFFFFF"/>
            <w:vAlign w:val="center"/>
          </w:tcPr>
          <w:p w14:paraId="6A98BD0C">
            <w:pPr>
              <w:spacing w:line="240" w:lineRule="atLeast"/>
              <w:jc w:val="center"/>
            </w:pPr>
            <w:r>
              <w:rPr>
                <w:rFonts w:hint="eastAsia" w:ascii="仿宋" w:hAnsi="仿宋" w:eastAsia="仿宋" w:cs="仿宋"/>
                <w:sz w:val="24"/>
                <w:szCs w:val="24"/>
              </w:rPr>
              <w:t>毕业要求分解指标点</w:t>
            </w:r>
          </w:p>
        </w:tc>
        <w:tc>
          <w:tcPr>
            <w:tcW w:w="2077" w:type="dxa"/>
            <w:gridSpan w:val="5"/>
            <w:tcBorders>
              <w:top w:val="single" w:color="auto" w:sz="4" w:space="0"/>
              <w:left w:val="single" w:color="auto" w:sz="4" w:space="0"/>
              <w:bottom w:val="single" w:color="auto" w:sz="4" w:space="0"/>
              <w:right w:val="single" w:color="auto" w:sz="4" w:space="0"/>
            </w:tcBorders>
            <w:shd w:val="clear" w:color="auto" w:fill="FFFFFF"/>
            <w:vAlign w:val="center"/>
          </w:tcPr>
          <w:p w14:paraId="4B36FC70">
            <w:pPr>
              <w:spacing w:line="240" w:lineRule="atLeast"/>
              <w:jc w:val="center"/>
            </w:pPr>
            <w:r>
              <w:rPr>
                <w:rFonts w:hint="eastAsia" w:ascii="仿宋" w:hAnsi="仿宋" w:eastAsia="仿宋" w:cs="仿宋"/>
                <w:sz w:val="24"/>
                <w:szCs w:val="24"/>
              </w:rPr>
              <w:t>毕业要求</w:t>
            </w:r>
          </w:p>
        </w:tc>
      </w:tr>
      <w:tr w14:paraId="3ED54B3F">
        <w:trPr>
          <w:trHeight w:val="817"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2D9D37B4">
            <w:pPr>
              <w:spacing w:line="240" w:lineRule="atLeast"/>
              <w:jc w:val="center"/>
              <w:rPr>
                <w:rFonts w:hint="eastAsia" w:ascii="仿宋" w:hAnsi="仿宋" w:eastAsia="仿宋" w:cs="仿宋"/>
                <w:sz w:val="24"/>
                <w:szCs w:val="24"/>
              </w:rPr>
            </w:pPr>
          </w:p>
        </w:tc>
        <w:tc>
          <w:tcPr>
            <w:tcW w:w="1174" w:type="dxa"/>
            <w:tcBorders>
              <w:top w:val="single" w:color="auto" w:sz="4" w:space="0"/>
              <w:left w:val="single" w:color="auto" w:sz="4" w:space="0"/>
              <w:bottom w:val="single" w:color="auto" w:sz="4" w:space="0"/>
              <w:right w:val="single" w:color="auto" w:sz="4" w:space="0"/>
            </w:tcBorders>
            <w:shd w:val="clear" w:color="auto" w:fill="FFFFFF"/>
            <w:vAlign w:val="center"/>
          </w:tcPr>
          <w:p w14:paraId="79150F23">
            <w:pPr>
              <w:jc w:val="center"/>
            </w:pPr>
            <w:r>
              <w:rPr>
                <w:rFonts w:hint="eastAsia" w:ascii="仿宋" w:hAnsi="仿宋" w:eastAsia="仿宋" w:cs="仿宋"/>
                <w:sz w:val="24"/>
                <w:szCs w:val="24"/>
              </w:rPr>
              <w:t>课程目标1</w:t>
            </w:r>
          </w:p>
        </w:tc>
        <w:tc>
          <w:tcPr>
            <w:tcW w:w="4521" w:type="dxa"/>
            <w:gridSpan w:val="8"/>
            <w:tcBorders>
              <w:top w:val="single" w:color="auto" w:sz="4" w:space="0"/>
              <w:left w:val="single" w:color="auto" w:sz="4" w:space="0"/>
              <w:bottom w:val="single" w:color="auto" w:sz="4" w:space="0"/>
              <w:right w:val="single" w:color="auto" w:sz="4" w:space="0"/>
            </w:tcBorders>
            <w:shd w:val="clear" w:color="auto" w:fill="FFFFFF"/>
            <w:vAlign w:val="center"/>
          </w:tcPr>
          <w:p w14:paraId="5A83511B">
            <w:pPr>
              <w:widowControl/>
              <w:rPr>
                <w:rFonts w:hint="eastAsia" w:ascii="仿宋_GB2312" w:hAnsi="仿宋_GB2312" w:eastAsia="仿宋_GB2312" w:cs="楷体"/>
                <w:bCs/>
                <w:color w:val="000000"/>
                <w:szCs w:val="21"/>
              </w:rPr>
            </w:pPr>
            <w:r>
              <w:rPr>
                <w:rFonts w:ascii="仿宋_GB2312" w:hAnsi="仿宋_GB2312" w:eastAsia="仿宋_GB2312" w:cs="楷体"/>
                <w:b/>
                <w:bCs/>
                <w:color w:val="000000"/>
                <w:szCs w:val="21"/>
              </w:rPr>
              <w:t>3.1</w:t>
            </w:r>
            <w:r>
              <w:rPr>
                <w:rFonts w:hint="eastAsia" w:ascii="仿宋_GB2312" w:hAnsi="仿宋_GB2312" w:eastAsia="仿宋_GB2312" w:cs="楷体"/>
                <w:b/>
                <w:bCs/>
                <w:color w:val="000000"/>
                <w:szCs w:val="21"/>
              </w:rPr>
              <w:t>学科素养</w:t>
            </w:r>
            <w:r>
              <w:rPr>
                <w:rFonts w:hint="eastAsia" w:ascii="仿宋_GB2312" w:hAnsi="仿宋_GB2312" w:eastAsia="仿宋_GB2312" w:cs="楷体"/>
                <w:bCs/>
                <w:color w:val="000000"/>
                <w:szCs w:val="21"/>
              </w:rPr>
              <w:t>（专业基本功）</w:t>
            </w:r>
          </w:p>
          <w:p w14:paraId="543D26CD">
            <w:pPr>
              <w:widowControl/>
              <w:ind w:leftChars="0" w:rightChars="0" w:firstLineChars="200"/>
            </w:pPr>
            <w:r>
              <w:rPr>
                <w:rFonts w:hint="eastAsia" w:ascii="仿宋_GB2312" w:hAnsi="仿宋_GB2312" w:eastAsia="仿宋_GB2312" w:cs="楷体"/>
                <w:bCs/>
                <w:color w:val="000000"/>
                <w:szCs w:val="21"/>
              </w:rPr>
              <w:t>掌握音乐学科的基本原理和专业技能，初步形成音乐学知识体系。对学习科学相关知识有一定的了解，了解音乐学科之间的相互关系，了解音乐学科与其他学科的联系，具有跨学科意识，形成初步的融合、综合学习的能力，能解决理论联系实际的问题。</w:t>
            </w:r>
          </w:p>
        </w:tc>
        <w:tc>
          <w:tcPr>
            <w:tcW w:w="2077" w:type="dxa"/>
            <w:gridSpan w:val="5"/>
            <w:tcBorders>
              <w:top w:val="single" w:color="auto" w:sz="4" w:space="0"/>
              <w:left w:val="single" w:color="auto" w:sz="4" w:space="0"/>
              <w:bottom w:val="single" w:color="auto" w:sz="4" w:space="0"/>
              <w:right w:val="single" w:color="auto" w:sz="4" w:space="0"/>
            </w:tcBorders>
            <w:shd w:val="clear" w:color="auto" w:fill="FFFFFF"/>
            <w:vAlign w:val="center"/>
          </w:tcPr>
          <w:p w14:paraId="2DEEBF70">
            <w:pPr>
              <w:jc w:val="center"/>
              <w:rPr>
                <w:rFonts w:hint="eastAsia" w:ascii="仿宋" w:hAnsi="仿宋" w:eastAsia="仿宋" w:cs="仿宋"/>
                <w:bCs/>
                <w:sz w:val="24"/>
                <w:szCs w:val="24"/>
              </w:rPr>
            </w:pPr>
            <w:r>
              <w:rPr>
                <w:rFonts w:hint="eastAsia" w:ascii="仿宋" w:hAnsi="仿宋" w:eastAsia="仿宋" w:cs="仿宋"/>
                <w:bCs/>
                <w:sz w:val="24"/>
                <w:szCs w:val="24"/>
              </w:rPr>
              <w:t>学科素养（</w:t>
            </w:r>
            <w:r>
              <w:rPr>
                <w:rFonts w:ascii="仿宋" w:hAnsi="仿宋" w:eastAsia="仿宋" w:cs="仿宋"/>
                <w:bCs/>
                <w:sz w:val="24"/>
                <w:szCs w:val="24"/>
              </w:rPr>
              <w:t>3</w:t>
            </w:r>
            <w:r>
              <w:rPr>
                <w:rFonts w:hint="eastAsia" w:ascii="仿宋" w:hAnsi="仿宋" w:eastAsia="仿宋" w:cs="仿宋"/>
                <w:bCs/>
                <w:sz w:val="24"/>
                <w:szCs w:val="24"/>
              </w:rPr>
              <w:t>）</w:t>
            </w:r>
          </w:p>
          <w:p w14:paraId="615CEE4D">
            <w:pPr>
              <w:jc w:val="center"/>
            </w:pPr>
            <w:r>
              <w:rPr>
                <w:rFonts w:hint="eastAsia" w:ascii="仿宋" w:hAnsi="仿宋" w:eastAsia="仿宋" w:cs="仿宋"/>
                <w:bCs/>
                <w:sz w:val="24"/>
                <w:szCs w:val="24"/>
              </w:rPr>
              <w:t>H</w:t>
            </w:r>
          </w:p>
        </w:tc>
      </w:tr>
      <w:tr w14:paraId="26FB84FE">
        <w:trPr>
          <w:trHeight w:val="817"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3A80C8B8">
            <w:pPr>
              <w:spacing w:line="240" w:lineRule="atLeast"/>
              <w:jc w:val="center"/>
              <w:rPr>
                <w:rFonts w:hint="eastAsia" w:ascii="仿宋" w:hAnsi="仿宋" w:eastAsia="仿宋" w:cs="仿宋"/>
                <w:sz w:val="24"/>
                <w:szCs w:val="24"/>
              </w:rPr>
            </w:pPr>
          </w:p>
        </w:tc>
        <w:tc>
          <w:tcPr>
            <w:tcW w:w="1174" w:type="dxa"/>
            <w:tcBorders>
              <w:top w:val="single" w:color="auto" w:sz="4" w:space="0"/>
              <w:left w:val="single" w:color="auto" w:sz="4" w:space="0"/>
              <w:bottom w:val="single" w:color="auto" w:sz="4" w:space="0"/>
              <w:right w:val="single" w:color="auto" w:sz="4" w:space="0"/>
            </w:tcBorders>
            <w:shd w:val="clear" w:color="auto" w:fill="FFFFFF"/>
            <w:vAlign w:val="center"/>
          </w:tcPr>
          <w:p w14:paraId="170FDEC2">
            <w:pPr>
              <w:jc w:val="center"/>
            </w:pPr>
            <w:r>
              <w:rPr>
                <w:rFonts w:hint="eastAsia" w:ascii="仿宋" w:hAnsi="仿宋" w:eastAsia="仿宋" w:cs="仿宋"/>
                <w:sz w:val="24"/>
                <w:szCs w:val="24"/>
              </w:rPr>
              <w:t>课程目标</w:t>
            </w:r>
            <w:r>
              <w:rPr>
                <w:rFonts w:ascii="仿宋" w:hAnsi="仿宋" w:eastAsia="仿宋" w:cs="仿宋"/>
                <w:sz w:val="24"/>
                <w:szCs w:val="24"/>
              </w:rPr>
              <w:t>2</w:t>
            </w:r>
          </w:p>
        </w:tc>
        <w:tc>
          <w:tcPr>
            <w:tcW w:w="4521" w:type="dxa"/>
            <w:gridSpan w:val="8"/>
            <w:tcBorders>
              <w:top w:val="single" w:color="auto" w:sz="4" w:space="0"/>
              <w:left w:val="single" w:color="auto" w:sz="4" w:space="0"/>
              <w:bottom w:val="single" w:color="auto" w:sz="4" w:space="0"/>
              <w:right w:val="single" w:color="auto" w:sz="4" w:space="0"/>
            </w:tcBorders>
            <w:shd w:val="clear" w:color="auto" w:fill="FFFFFF"/>
            <w:vAlign w:val="center"/>
          </w:tcPr>
          <w:p w14:paraId="5AE4D9D7">
            <w:pPr>
              <w:widowControl/>
              <w:rPr>
                <w:rFonts w:hint="eastAsia" w:ascii="仿宋" w:hAnsi="仿宋" w:eastAsia="仿宋" w:cs="仿宋"/>
                <w:sz w:val="24"/>
                <w:szCs w:val="24"/>
              </w:rPr>
            </w:pPr>
            <w:r>
              <w:rPr>
                <w:rFonts w:hint="eastAsia" w:ascii="仿宋_GB2312" w:hAnsi="仿宋_GB2312" w:eastAsia="仿宋_GB2312" w:cs="楷体"/>
                <w:b/>
                <w:bCs/>
                <w:color w:val="000000"/>
                <w:szCs w:val="21"/>
              </w:rPr>
              <w:t>4</w:t>
            </w:r>
            <w:r>
              <w:rPr>
                <w:rFonts w:ascii="仿宋_GB2312" w:hAnsi="仿宋_GB2312" w:eastAsia="仿宋_GB2312" w:cs="楷体"/>
                <w:b/>
                <w:bCs/>
                <w:color w:val="000000"/>
                <w:szCs w:val="21"/>
              </w:rPr>
              <w:t>.1</w:t>
            </w:r>
            <w:r>
              <w:rPr>
                <w:rFonts w:hint="eastAsia" w:ascii="仿宋_GB2312" w:hAnsi="仿宋_GB2312" w:eastAsia="仿宋_GB2312" w:cs="楷体"/>
                <w:b/>
                <w:bCs/>
                <w:color w:val="000000"/>
                <w:szCs w:val="21"/>
              </w:rPr>
              <w:t>音乐教学能力</w:t>
            </w:r>
          </w:p>
          <w:p w14:paraId="53928525">
            <w:pPr>
              <w:ind w:leftChars="0" w:rightChars="0" w:firstLineChars="200"/>
              <w:jc w:val="left"/>
            </w:pPr>
            <w:r>
              <w:rPr>
                <w:rFonts w:hint="eastAsia" w:ascii="仿宋" w:hAnsi="仿宋" w:eastAsia="仿宋" w:cs="仿宋"/>
                <w:sz w:val="24"/>
                <w:szCs w:val="24"/>
              </w:rPr>
              <w:t>熟悉中学音乐课程标准和教材，能够正确处理课标和教材的关系，科学合理地进行教学设计并实施教学，准确把握教学内容，分析学情，合理安排教学过程和环节，科学设计评价内容和方式，根据学生音乐认知的特征和个体差异，注重差异化教学。课后能够及时反思、总结形成初步的教研能力。</w:t>
            </w:r>
          </w:p>
        </w:tc>
        <w:tc>
          <w:tcPr>
            <w:tcW w:w="2077" w:type="dxa"/>
            <w:gridSpan w:val="5"/>
            <w:tcBorders>
              <w:top w:val="single" w:color="auto" w:sz="4" w:space="0"/>
              <w:left w:val="single" w:color="auto" w:sz="4" w:space="0"/>
              <w:bottom w:val="single" w:color="auto" w:sz="4" w:space="0"/>
              <w:right w:val="single" w:color="auto" w:sz="4" w:space="0"/>
            </w:tcBorders>
            <w:shd w:val="clear" w:color="auto" w:fill="FFFFFF"/>
            <w:vAlign w:val="center"/>
          </w:tcPr>
          <w:p w14:paraId="63A5FDA8">
            <w:pPr>
              <w:jc w:val="center"/>
              <w:rPr>
                <w:rFonts w:hint="eastAsia" w:ascii="仿宋" w:hAnsi="仿宋" w:eastAsia="仿宋" w:cs="仿宋"/>
                <w:sz w:val="24"/>
                <w:szCs w:val="24"/>
              </w:rPr>
            </w:pPr>
            <w:r>
              <w:rPr>
                <w:rFonts w:hint="eastAsia" w:ascii="仿宋" w:hAnsi="仿宋" w:eastAsia="仿宋" w:cs="仿宋"/>
                <w:sz w:val="24"/>
                <w:szCs w:val="24"/>
              </w:rPr>
              <w:t>教学能力（</w:t>
            </w:r>
            <w:r>
              <w:rPr>
                <w:rFonts w:ascii="仿宋" w:hAnsi="仿宋" w:eastAsia="仿宋" w:cs="仿宋"/>
                <w:sz w:val="24"/>
                <w:szCs w:val="24"/>
              </w:rPr>
              <w:t>4</w:t>
            </w:r>
            <w:r>
              <w:rPr>
                <w:rFonts w:hint="eastAsia" w:ascii="仿宋" w:hAnsi="仿宋" w:eastAsia="仿宋" w:cs="仿宋"/>
                <w:sz w:val="24"/>
                <w:szCs w:val="24"/>
              </w:rPr>
              <w:t>）</w:t>
            </w:r>
          </w:p>
          <w:p w14:paraId="27D62A6B">
            <w:pPr>
              <w:jc w:val="center"/>
            </w:pPr>
            <w:r>
              <w:rPr>
                <w:rFonts w:hint="eastAsia" w:ascii="仿宋" w:hAnsi="仿宋" w:eastAsia="仿宋" w:cs="仿宋"/>
                <w:sz w:val="24"/>
                <w:szCs w:val="24"/>
              </w:rPr>
              <w:t>M</w:t>
            </w:r>
          </w:p>
        </w:tc>
      </w:tr>
      <w:tr w14:paraId="0F0164B3">
        <w:trPr>
          <w:trHeight w:val="817"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7AB18450">
            <w:pPr>
              <w:spacing w:line="240" w:lineRule="atLeast"/>
              <w:jc w:val="center"/>
              <w:rPr>
                <w:rFonts w:hint="eastAsia" w:ascii="仿宋" w:hAnsi="仿宋" w:eastAsia="仿宋" w:cs="仿宋"/>
                <w:sz w:val="24"/>
                <w:szCs w:val="24"/>
              </w:rPr>
            </w:pPr>
          </w:p>
        </w:tc>
        <w:tc>
          <w:tcPr>
            <w:tcW w:w="1174" w:type="dxa"/>
            <w:tcBorders>
              <w:top w:val="single" w:color="auto" w:sz="4" w:space="0"/>
              <w:left w:val="single" w:color="auto" w:sz="4" w:space="0"/>
              <w:bottom w:val="single" w:color="auto" w:sz="4" w:space="0"/>
              <w:right w:val="single" w:color="auto" w:sz="4" w:space="0"/>
            </w:tcBorders>
            <w:shd w:val="clear" w:color="auto" w:fill="FFFFFF"/>
            <w:vAlign w:val="center"/>
          </w:tcPr>
          <w:p w14:paraId="56369CCF">
            <w:pPr>
              <w:jc w:val="center"/>
            </w:pPr>
            <w:r>
              <w:rPr>
                <w:rFonts w:hint="eastAsia" w:ascii="仿宋" w:hAnsi="仿宋" w:eastAsia="仿宋" w:cs="仿宋"/>
                <w:sz w:val="24"/>
                <w:szCs w:val="24"/>
              </w:rPr>
              <w:t>课程目标</w:t>
            </w:r>
            <w:r>
              <w:rPr>
                <w:rFonts w:ascii="仿宋" w:hAnsi="仿宋" w:eastAsia="仿宋" w:cs="仿宋"/>
                <w:sz w:val="24"/>
                <w:szCs w:val="24"/>
              </w:rPr>
              <w:t>3</w:t>
            </w:r>
          </w:p>
        </w:tc>
        <w:tc>
          <w:tcPr>
            <w:tcW w:w="4521" w:type="dxa"/>
            <w:gridSpan w:val="8"/>
            <w:tcBorders>
              <w:top w:val="single" w:color="auto" w:sz="4" w:space="0"/>
              <w:left w:val="single" w:color="auto" w:sz="4" w:space="0"/>
              <w:bottom w:val="single" w:color="auto" w:sz="4" w:space="0"/>
              <w:right w:val="single" w:color="auto" w:sz="4" w:space="0"/>
            </w:tcBorders>
            <w:shd w:val="clear" w:color="auto" w:fill="FFFFFF"/>
            <w:vAlign w:val="center"/>
          </w:tcPr>
          <w:p w14:paraId="663FF458">
            <w:pPr>
              <w:widowControl/>
              <w:rPr>
                <w:rFonts w:hint="eastAsia" w:ascii="仿宋" w:hAnsi="仿宋" w:eastAsia="仿宋" w:cs="仿宋"/>
                <w:sz w:val="24"/>
                <w:szCs w:val="24"/>
              </w:rPr>
            </w:pPr>
            <w:r>
              <w:rPr>
                <w:rFonts w:ascii="仿宋_GB2312" w:hAnsi="仿宋_GB2312" w:eastAsia="仿宋_GB2312" w:cs="楷体"/>
                <w:b/>
                <w:bCs/>
                <w:color w:val="000000"/>
                <w:szCs w:val="21"/>
              </w:rPr>
              <w:t>7.1</w:t>
            </w:r>
            <w:r>
              <w:rPr>
                <w:rFonts w:hint="eastAsia" w:ascii="仿宋_GB2312" w:hAnsi="仿宋_GB2312" w:eastAsia="仿宋_GB2312" w:cs="楷体"/>
                <w:b/>
                <w:bCs/>
                <w:color w:val="000000"/>
                <w:szCs w:val="21"/>
              </w:rPr>
              <w:t>反思改进</w:t>
            </w:r>
          </w:p>
          <w:p w14:paraId="0E1185A5">
            <w:r>
              <w:rPr>
                <w:rFonts w:hint="eastAsia" w:ascii="仿宋" w:hAnsi="仿宋" w:eastAsia="仿宋" w:cs="仿宋"/>
                <w:sz w:val="24"/>
                <w:szCs w:val="24"/>
              </w:rPr>
              <w:t xml:space="preserve">    学会反思。具有终身学习和专业发展意识，了解国内外音乐基础教育改革发展的动态，进行职业生涯发展规划。具有一定的创新意识，初步掌握反思方法和技能，能够运用评判性思维方法，对学习和职业状态进行反思改进。</w:t>
            </w:r>
          </w:p>
        </w:tc>
        <w:tc>
          <w:tcPr>
            <w:tcW w:w="2077" w:type="dxa"/>
            <w:gridSpan w:val="5"/>
            <w:tcBorders>
              <w:top w:val="single" w:color="auto" w:sz="4" w:space="0"/>
              <w:left w:val="single" w:color="auto" w:sz="4" w:space="0"/>
              <w:bottom w:val="single" w:color="auto" w:sz="4" w:space="0"/>
              <w:right w:val="single" w:color="auto" w:sz="4" w:space="0"/>
            </w:tcBorders>
            <w:shd w:val="clear" w:color="auto" w:fill="FFFFFF"/>
            <w:vAlign w:val="center"/>
          </w:tcPr>
          <w:p w14:paraId="7595F8A4">
            <w:pPr>
              <w:jc w:val="center"/>
              <w:rPr>
                <w:rFonts w:hint="eastAsia" w:ascii="仿宋" w:hAnsi="仿宋" w:eastAsia="仿宋" w:cs="仿宋"/>
                <w:sz w:val="24"/>
                <w:szCs w:val="24"/>
              </w:rPr>
            </w:pPr>
            <w:r>
              <w:rPr>
                <w:rFonts w:hint="eastAsia" w:ascii="仿宋" w:hAnsi="仿宋" w:eastAsia="仿宋" w:cs="仿宋"/>
                <w:sz w:val="24"/>
                <w:szCs w:val="24"/>
              </w:rPr>
              <w:t>学会反思（</w:t>
            </w:r>
            <w:r>
              <w:rPr>
                <w:rFonts w:ascii="仿宋" w:hAnsi="仿宋" w:eastAsia="仿宋" w:cs="仿宋"/>
                <w:sz w:val="24"/>
                <w:szCs w:val="24"/>
              </w:rPr>
              <w:t>7</w:t>
            </w:r>
            <w:r>
              <w:rPr>
                <w:rFonts w:hint="eastAsia" w:ascii="仿宋" w:hAnsi="仿宋" w:eastAsia="仿宋" w:cs="仿宋"/>
                <w:sz w:val="24"/>
                <w:szCs w:val="24"/>
              </w:rPr>
              <w:t>）</w:t>
            </w:r>
          </w:p>
          <w:p w14:paraId="52BA1C7A">
            <w:pPr>
              <w:jc w:val="center"/>
            </w:pPr>
            <w:r>
              <w:rPr>
                <w:rFonts w:hint="eastAsia" w:ascii="仿宋" w:hAnsi="仿宋" w:eastAsia="仿宋" w:cs="仿宋"/>
                <w:sz w:val="24"/>
                <w:szCs w:val="24"/>
              </w:rPr>
              <w:t>L</w:t>
            </w:r>
          </w:p>
        </w:tc>
      </w:tr>
      <w:tr w14:paraId="7856CA74">
        <w:trPr>
          <w:trHeight w:val="582" w:hRule="atLeast"/>
        </w:trPr>
        <w:tc>
          <w:tcPr>
            <w:tcW w:w="1376"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14:paraId="4BDAE23C">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F</w:t>
            </w:r>
          </w:p>
          <w:p w14:paraId="275BA28F">
            <w:pPr>
              <w:spacing w:line="240" w:lineRule="atLeast"/>
              <w:jc w:val="center"/>
            </w:pPr>
            <w:r>
              <w:rPr>
                <w:rFonts w:hint="eastAsia" w:ascii="仿宋" w:hAnsi="仿宋" w:eastAsia="仿宋" w:cs="仿宋"/>
                <w:sz w:val="24"/>
                <w:szCs w:val="24"/>
              </w:rPr>
              <w:t>理论学习内容</w:t>
            </w:r>
          </w:p>
        </w:tc>
        <w:tc>
          <w:tcPr>
            <w:tcW w:w="5695" w:type="dxa"/>
            <w:gridSpan w:val="9"/>
            <w:tcBorders>
              <w:top w:val="single" w:color="auto" w:sz="4" w:space="0"/>
              <w:left w:val="single" w:color="auto" w:sz="4" w:space="0"/>
              <w:bottom w:val="single" w:color="auto" w:sz="4" w:space="0"/>
              <w:right w:val="single" w:color="auto" w:sz="4" w:space="0"/>
            </w:tcBorders>
            <w:shd w:val="clear" w:color="auto" w:fill="FFFFFF"/>
            <w:vAlign w:val="center"/>
          </w:tcPr>
          <w:p w14:paraId="2F729BE5">
            <w:pPr>
              <w:spacing w:line="240" w:lineRule="atLeast"/>
              <w:jc w:val="center"/>
            </w:pPr>
            <w:r>
              <w:rPr>
                <w:rFonts w:hint="eastAsia" w:ascii="仿宋" w:hAnsi="仿宋" w:eastAsia="仿宋" w:cs="仿宋"/>
                <w:kern w:val="0"/>
                <w:sz w:val="24"/>
                <w:szCs w:val="24"/>
              </w:rPr>
              <w:t>章节学习内容与学习要求</w:t>
            </w:r>
          </w:p>
        </w:tc>
        <w:tc>
          <w:tcPr>
            <w:tcW w:w="1153"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59C85324">
            <w:pPr>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支撑课程</w:t>
            </w:r>
          </w:p>
          <w:p w14:paraId="3F644079">
            <w:pPr>
              <w:spacing w:line="240" w:lineRule="atLeast"/>
              <w:jc w:val="center"/>
            </w:pPr>
            <w:r>
              <w:rPr>
                <w:rFonts w:hint="eastAsia" w:ascii="仿宋" w:hAnsi="仿宋" w:eastAsia="仿宋" w:cs="仿宋"/>
                <w:kern w:val="0"/>
                <w:sz w:val="24"/>
                <w:szCs w:val="24"/>
              </w:rPr>
              <w:t>目标</w:t>
            </w:r>
          </w:p>
        </w:tc>
        <w:tc>
          <w:tcPr>
            <w:tcW w:w="924"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3449D2B3">
            <w:pPr>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学时</w:t>
            </w:r>
          </w:p>
          <w:p w14:paraId="0BFC40CD">
            <w:pPr>
              <w:spacing w:line="240" w:lineRule="atLeast"/>
              <w:jc w:val="center"/>
            </w:pPr>
            <w:r>
              <w:rPr>
                <w:rFonts w:hint="eastAsia" w:ascii="仿宋" w:hAnsi="仿宋" w:eastAsia="仿宋" w:cs="仿宋"/>
                <w:kern w:val="0"/>
                <w:sz w:val="24"/>
                <w:szCs w:val="24"/>
              </w:rPr>
              <w:t>分配</w:t>
            </w:r>
          </w:p>
        </w:tc>
      </w:tr>
      <w:tr w14:paraId="6DBF100C">
        <w:trPr>
          <w:trHeight w:val="45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6E8152D8">
            <w:pPr>
              <w:spacing w:line="240" w:lineRule="atLeast"/>
              <w:jc w:val="right"/>
              <w:rPr>
                <w:rFonts w:hint="eastAsia" w:ascii="仿宋" w:hAnsi="仿宋" w:eastAsia="仿宋" w:cs="仿宋"/>
                <w:kern w:val="0"/>
                <w:sz w:val="24"/>
                <w:szCs w:val="24"/>
              </w:rPr>
            </w:pPr>
          </w:p>
        </w:tc>
        <w:tc>
          <w:tcPr>
            <w:tcW w:w="5695" w:type="dxa"/>
            <w:gridSpan w:val="9"/>
            <w:tcBorders>
              <w:top w:val="single" w:color="auto" w:sz="4" w:space="0"/>
              <w:left w:val="single" w:color="auto" w:sz="4" w:space="0"/>
              <w:bottom w:val="single" w:color="auto" w:sz="4" w:space="0"/>
              <w:right w:val="single" w:color="auto" w:sz="4" w:space="0"/>
            </w:tcBorders>
            <w:vAlign w:val="center"/>
          </w:tcPr>
          <w:p w14:paraId="22168ABF">
            <w:pPr>
              <w:widowControl/>
              <w:rPr>
                <w:rFonts w:hint="eastAsia" w:ascii="仿宋" w:hAnsi="仿宋" w:eastAsia="仿宋" w:cs="仿宋"/>
                <w:sz w:val="24"/>
                <w:szCs w:val="24"/>
              </w:rPr>
            </w:pPr>
          </w:p>
        </w:tc>
        <w:tc>
          <w:tcPr>
            <w:tcW w:w="1153" w:type="dxa"/>
            <w:gridSpan w:val="3"/>
            <w:tcBorders>
              <w:top w:val="single" w:color="auto" w:sz="4" w:space="0"/>
              <w:left w:val="single" w:color="auto" w:sz="4" w:space="0"/>
              <w:bottom w:val="single" w:color="auto" w:sz="4" w:space="0"/>
              <w:right w:val="single" w:color="auto" w:sz="4" w:space="0"/>
            </w:tcBorders>
            <w:vAlign w:val="center"/>
          </w:tcPr>
          <w:p w14:paraId="6664C15E">
            <w:pPr>
              <w:widowControl/>
              <w:jc w:val="center"/>
              <w:rPr>
                <w:rFonts w:hint="eastAsia" w:ascii="仿宋" w:hAnsi="仿宋" w:eastAsia="仿宋" w:cs="仿宋"/>
                <w:bCs/>
                <w:sz w:val="24"/>
                <w:szCs w:val="24"/>
              </w:rPr>
            </w:pPr>
          </w:p>
        </w:tc>
        <w:tc>
          <w:tcPr>
            <w:tcW w:w="924"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1BF60841">
            <w:pPr>
              <w:jc w:val="center"/>
              <w:rPr>
                <w:rFonts w:hint="eastAsia" w:ascii="仿宋" w:hAnsi="仿宋" w:eastAsia="仿宋" w:cs="仿宋"/>
                <w:bCs/>
                <w:sz w:val="24"/>
                <w:szCs w:val="24"/>
              </w:rPr>
            </w:pPr>
          </w:p>
        </w:tc>
      </w:tr>
      <w:tr w14:paraId="19020053">
        <w:trPr>
          <w:trHeight w:val="45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59A952E3">
            <w:pPr>
              <w:spacing w:line="240" w:lineRule="atLeast"/>
              <w:jc w:val="right"/>
              <w:rPr>
                <w:rFonts w:hint="eastAsia" w:ascii="仿宋" w:hAnsi="仿宋" w:eastAsia="仿宋" w:cs="仿宋"/>
                <w:sz w:val="24"/>
                <w:szCs w:val="24"/>
              </w:rPr>
            </w:pPr>
          </w:p>
        </w:tc>
        <w:tc>
          <w:tcPr>
            <w:tcW w:w="5695" w:type="dxa"/>
            <w:gridSpan w:val="9"/>
            <w:tcBorders>
              <w:top w:val="single" w:color="auto" w:sz="4" w:space="0"/>
              <w:left w:val="single" w:color="auto" w:sz="4" w:space="0"/>
              <w:bottom w:val="single" w:color="auto" w:sz="4" w:space="0"/>
              <w:right w:val="single" w:color="auto" w:sz="4" w:space="0"/>
            </w:tcBorders>
            <w:vAlign w:val="center"/>
          </w:tcPr>
          <w:p w14:paraId="32EC41CB">
            <w:pPr>
              <w:rPr>
                <w:rFonts w:hint="eastAsia" w:ascii="仿宋" w:hAnsi="仿宋" w:eastAsia="仿宋" w:cs="仿宋"/>
                <w:sz w:val="24"/>
                <w:szCs w:val="24"/>
              </w:rPr>
            </w:pPr>
          </w:p>
        </w:tc>
        <w:tc>
          <w:tcPr>
            <w:tcW w:w="1153" w:type="dxa"/>
            <w:gridSpan w:val="3"/>
            <w:tcBorders>
              <w:top w:val="single" w:color="auto" w:sz="4" w:space="0"/>
              <w:left w:val="single" w:color="auto" w:sz="4" w:space="0"/>
              <w:bottom w:val="single" w:color="auto" w:sz="4" w:space="0"/>
              <w:right w:val="single" w:color="auto" w:sz="4" w:space="0"/>
            </w:tcBorders>
            <w:vAlign w:val="center"/>
          </w:tcPr>
          <w:p w14:paraId="767E19D4">
            <w:pPr>
              <w:jc w:val="center"/>
              <w:rPr>
                <w:rFonts w:hint="eastAsia" w:ascii="仿宋" w:hAnsi="仿宋" w:eastAsia="仿宋" w:cs="仿宋"/>
                <w:bCs/>
                <w:sz w:val="24"/>
                <w:szCs w:val="24"/>
              </w:rPr>
            </w:pPr>
          </w:p>
        </w:tc>
        <w:tc>
          <w:tcPr>
            <w:tcW w:w="924"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2BCFF1F1">
            <w:pPr>
              <w:jc w:val="center"/>
              <w:rPr>
                <w:rFonts w:hint="eastAsia" w:ascii="仿宋" w:hAnsi="仿宋" w:eastAsia="仿宋" w:cs="仿宋"/>
                <w:bCs/>
                <w:sz w:val="24"/>
                <w:szCs w:val="24"/>
              </w:rPr>
            </w:pPr>
          </w:p>
        </w:tc>
      </w:tr>
      <w:tr w14:paraId="4AAE8AB4">
        <w:trPr>
          <w:trHeight w:val="45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01644E37">
            <w:pPr>
              <w:spacing w:line="240" w:lineRule="atLeast"/>
              <w:jc w:val="center"/>
              <w:rPr>
                <w:rFonts w:hint="eastAsia" w:ascii="仿宋" w:hAnsi="仿宋" w:eastAsia="仿宋" w:cs="仿宋"/>
                <w:sz w:val="24"/>
                <w:szCs w:val="24"/>
              </w:rPr>
            </w:pPr>
          </w:p>
        </w:tc>
        <w:tc>
          <w:tcPr>
            <w:tcW w:w="6848" w:type="dxa"/>
            <w:gridSpan w:val="12"/>
            <w:tcBorders>
              <w:top w:val="single" w:color="auto" w:sz="4" w:space="0"/>
              <w:left w:val="single" w:color="auto" w:sz="4" w:space="0"/>
              <w:bottom w:val="single" w:color="auto" w:sz="4" w:space="0"/>
              <w:right w:val="single" w:color="auto" w:sz="4" w:space="0"/>
            </w:tcBorders>
            <w:vAlign w:val="center"/>
          </w:tcPr>
          <w:p w14:paraId="0678B069">
            <w:pPr>
              <w:jc w:val="center"/>
            </w:pPr>
            <w:r>
              <w:rPr>
                <w:rFonts w:hint="eastAsia" w:ascii="仿宋" w:hAnsi="仿宋" w:eastAsia="仿宋" w:cs="仿宋"/>
                <w:bCs/>
                <w:sz w:val="24"/>
                <w:szCs w:val="24"/>
              </w:rPr>
              <w:t>合计</w:t>
            </w:r>
          </w:p>
        </w:tc>
        <w:tc>
          <w:tcPr>
            <w:tcW w:w="924"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3BE69964">
            <w:pPr>
              <w:jc w:val="center"/>
              <w:rPr>
                <w:rFonts w:hint="eastAsia" w:ascii="仿宋" w:hAnsi="仿宋" w:eastAsia="仿宋" w:cs="仿宋"/>
                <w:bCs/>
                <w:sz w:val="24"/>
                <w:szCs w:val="24"/>
              </w:rPr>
            </w:pPr>
          </w:p>
        </w:tc>
      </w:tr>
      <w:tr w14:paraId="71F71423">
        <w:trPr>
          <w:trHeight w:val="454" w:hRule="atLeast"/>
        </w:trPr>
        <w:tc>
          <w:tcPr>
            <w:tcW w:w="1376"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14:paraId="01277935">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G</w:t>
            </w:r>
          </w:p>
          <w:p w14:paraId="40B19490">
            <w:pPr>
              <w:spacing w:line="240" w:lineRule="atLeast"/>
              <w:jc w:val="center"/>
            </w:pPr>
            <w:r>
              <w:rPr>
                <w:rFonts w:hint="eastAsia" w:ascii="仿宋" w:hAnsi="仿宋" w:eastAsia="仿宋" w:cs="仿宋"/>
                <w:sz w:val="24"/>
                <w:szCs w:val="24"/>
              </w:rPr>
              <w:t>实验（实训）内容</w:t>
            </w:r>
          </w:p>
        </w:tc>
        <w:tc>
          <w:tcPr>
            <w:tcW w:w="5695" w:type="dxa"/>
            <w:gridSpan w:val="9"/>
            <w:tcBorders>
              <w:top w:val="single" w:color="auto" w:sz="4" w:space="0"/>
              <w:left w:val="single" w:color="auto" w:sz="4" w:space="0"/>
              <w:bottom w:val="single" w:color="auto" w:sz="4" w:space="0"/>
              <w:right w:val="single" w:color="auto" w:sz="4" w:space="0"/>
            </w:tcBorders>
            <w:vAlign w:val="center"/>
          </w:tcPr>
          <w:p w14:paraId="2F3C4797">
            <w:pPr>
              <w:spacing w:line="240" w:lineRule="atLeast"/>
              <w:jc w:val="center"/>
            </w:pPr>
            <w:r>
              <w:rPr>
                <w:rFonts w:hint="eastAsia" w:ascii="仿宋" w:hAnsi="仿宋" w:eastAsia="仿宋" w:cs="仿宋"/>
                <w:kern w:val="0"/>
                <w:sz w:val="24"/>
                <w:szCs w:val="24"/>
              </w:rPr>
              <w:t>项目名称、主要内容及开设要求</w:t>
            </w:r>
          </w:p>
        </w:tc>
        <w:tc>
          <w:tcPr>
            <w:tcW w:w="1153" w:type="dxa"/>
            <w:gridSpan w:val="3"/>
            <w:tcBorders>
              <w:top w:val="single" w:color="auto" w:sz="4" w:space="0"/>
              <w:left w:val="single" w:color="auto" w:sz="4" w:space="0"/>
              <w:bottom w:val="single" w:color="auto" w:sz="4" w:space="0"/>
              <w:right w:val="single" w:color="auto" w:sz="4" w:space="0"/>
            </w:tcBorders>
            <w:vAlign w:val="center"/>
          </w:tcPr>
          <w:p w14:paraId="586B96B2">
            <w:pPr>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支撑课程</w:t>
            </w:r>
          </w:p>
          <w:p w14:paraId="433D3BEC">
            <w:pPr>
              <w:spacing w:line="240" w:lineRule="atLeast"/>
              <w:jc w:val="center"/>
            </w:pPr>
            <w:r>
              <w:rPr>
                <w:rFonts w:hint="eastAsia" w:ascii="仿宋" w:hAnsi="仿宋" w:eastAsia="仿宋" w:cs="仿宋"/>
                <w:kern w:val="0"/>
                <w:sz w:val="24"/>
                <w:szCs w:val="24"/>
              </w:rPr>
              <w:t>目标</w:t>
            </w:r>
          </w:p>
        </w:tc>
        <w:tc>
          <w:tcPr>
            <w:tcW w:w="924"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5624C6AE">
            <w:pPr>
              <w:jc w:val="center"/>
              <w:rPr>
                <w:rFonts w:hint="eastAsia" w:ascii="仿宋" w:hAnsi="仿宋" w:eastAsia="仿宋" w:cs="仿宋"/>
                <w:kern w:val="0"/>
                <w:sz w:val="24"/>
                <w:szCs w:val="24"/>
              </w:rPr>
            </w:pPr>
            <w:r>
              <w:rPr>
                <w:rFonts w:hint="eastAsia" w:ascii="仿宋" w:hAnsi="仿宋" w:eastAsia="仿宋" w:cs="仿宋"/>
                <w:kern w:val="0"/>
                <w:sz w:val="24"/>
                <w:szCs w:val="24"/>
              </w:rPr>
              <w:t xml:space="preserve">学时 </w:t>
            </w:r>
          </w:p>
          <w:p w14:paraId="2D81285E">
            <w:pPr>
              <w:jc w:val="center"/>
            </w:pPr>
            <w:r>
              <w:rPr>
                <w:rFonts w:hint="eastAsia" w:ascii="仿宋" w:hAnsi="仿宋" w:eastAsia="仿宋" w:cs="仿宋"/>
                <w:kern w:val="0"/>
                <w:sz w:val="24"/>
                <w:szCs w:val="24"/>
              </w:rPr>
              <w:t>分配</w:t>
            </w:r>
          </w:p>
        </w:tc>
      </w:tr>
      <w:tr w14:paraId="3D310D18">
        <w:trPr>
          <w:trHeight w:val="1757"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03257569">
            <w:pPr>
              <w:spacing w:line="240" w:lineRule="atLeast"/>
              <w:jc w:val="center"/>
              <w:rPr>
                <w:rFonts w:hint="eastAsia" w:ascii="仿宋" w:hAnsi="仿宋" w:eastAsia="仿宋" w:cs="仿宋"/>
                <w:sz w:val="24"/>
                <w:szCs w:val="24"/>
              </w:rPr>
            </w:pPr>
          </w:p>
        </w:tc>
        <w:tc>
          <w:tcPr>
            <w:tcW w:w="5695" w:type="dxa"/>
            <w:gridSpan w:val="9"/>
            <w:tcBorders>
              <w:top w:val="single" w:color="auto" w:sz="4" w:space="0"/>
              <w:left w:val="single" w:color="auto" w:sz="4" w:space="0"/>
              <w:bottom w:val="single" w:color="auto" w:sz="4" w:space="0"/>
              <w:right w:val="single" w:color="auto" w:sz="4" w:space="0"/>
            </w:tcBorders>
            <w:vAlign w:val="center"/>
          </w:tcPr>
          <w:p w14:paraId="32D605D6">
            <w:pPr>
              <w:rPr>
                <w:rFonts w:hint="eastAsia" w:ascii="仿宋" w:hAnsi="仿宋" w:eastAsia="仿宋" w:cs="仿宋"/>
                <w:bCs/>
                <w:sz w:val="24"/>
                <w:szCs w:val="24"/>
              </w:rPr>
            </w:pPr>
            <w:r>
              <w:rPr>
                <w:rFonts w:hint="eastAsia" w:ascii="仿宋" w:hAnsi="仿宋" w:eastAsia="仿宋" w:cs="仿宋"/>
                <w:bCs/>
                <w:sz w:val="24"/>
                <w:szCs w:val="24"/>
              </w:rPr>
              <w:t>第一学年第一学期</w:t>
            </w:r>
          </w:p>
          <w:p w14:paraId="2300DA45">
            <w:pPr>
              <w:ind w:left="840" w:right="0"/>
              <w:rPr>
                <w:rFonts w:hint="eastAsia" w:ascii="仿宋" w:hAnsi="仿宋" w:eastAsia="仿宋" w:cs="仿宋"/>
                <w:bCs/>
                <w:sz w:val="24"/>
                <w:szCs w:val="24"/>
              </w:rPr>
            </w:pPr>
            <w:r>
              <w:rPr>
                <w:rFonts w:hint="eastAsia" w:ascii="仿宋" w:hAnsi="仿宋" w:eastAsia="仿宋" w:cs="仿宋"/>
                <w:bCs/>
                <w:sz w:val="24"/>
                <w:szCs w:val="24"/>
              </w:rPr>
              <w:t>本学期教学导论</w:t>
            </w:r>
          </w:p>
          <w:p w14:paraId="16B7245F">
            <w:pPr>
              <w:rPr>
                <w:rFonts w:hint="eastAsia" w:ascii="仿宋" w:hAnsi="仿宋" w:eastAsia="仿宋" w:cs="仿宋"/>
                <w:bCs/>
                <w:sz w:val="24"/>
                <w:szCs w:val="24"/>
              </w:rPr>
            </w:pPr>
            <w:r>
              <w:rPr>
                <w:rFonts w:hint="eastAsia" w:ascii="仿宋" w:hAnsi="仿宋" w:eastAsia="仿宋" w:cs="仿宋"/>
                <w:bCs/>
                <w:sz w:val="24"/>
                <w:szCs w:val="24"/>
              </w:rPr>
              <w:t>钢琴弹奏基础体系的构建</w:t>
            </w:r>
          </w:p>
          <w:p w14:paraId="31B56B36">
            <w:pPr>
              <w:ind w:left="840" w:right="0"/>
              <w:rPr>
                <w:rFonts w:hint="eastAsia" w:ascii="仿宋" w:hAnsi="仿宋" w:eastAsia="仿宋" w:cs="仿宋"/>
                <w:bCs/>
                <w:sz w:val="24"/>
                <w:szCs w:val="24"/>
              </w:rPr>
            </w:pPr>
            <w:r>
              <w:rPr>
                <w:rFonts w:hint="eastAsia" w:ascii="仿宋" w:hAnsi="仿宋" w:eastAsia="仿宋" w:cs="仿宋"/>
                <w:bCs/>
                <w:sz w:val="24"/>
                <w:szCs w:val="24"/>
              </w:rPr>
              <w:t>布置音阶和练习曲及练习修改</w:t>
            </w:r>
          </w:p>
          <w:p w14:paraId="23F5CA4E">
            <w:pPr>
              <w:ind w:left="840" w:right="0"/>
              <w:rPr>
                <w:rFonts w:hint="eastAsia" w:ascii="仿宋" w:hAnsi="仿宋" w:eastAsia="仿宋" w:cs="仿宋"/>
                <w:bCs/>
                <w:sz w:val="24"/>
                <w:szCs w:val="24"/>
                <w:lang w:val="en-US" w:eastAsia="zh-CN"/>
              </w:rPr>
            </w:pPr>
            <w:r>
              <w:rPr>
                <w:rFonts w:hint="eastAsia" w:ascii="仿宋" w:hAnsi="仿宋" w:eastAsia="仿宋" w:cs="仿宋"/>
                <w:bCs/>
                <w:sz w:val="24"/>
                <w:szCs w:val="24"/>
              </w:rPr>
              <w:t>布置乐曲及练习修改</w:t>
            </w:r>
          </w:p>
          <w:p w14:paraId="1C00ED0D">
            <w:pPr>
              <w:ind w:left="840" w:right="0"/>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曲目范围：</w:t>
            </w:r>
          </w:p>
          <w:p w14:paraId="01D9C6F3">
            <w:pPr>
              <w:ind w:left="840" w:right="0"/>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无升无降大小调音阶、琶音，教师对学生应有一定的速度要求；</w:t>
            </w:r>
          </w:p>
          <w:p w14:paraId="41F6991A">
            <w:pPr>
              <w:ind w:left="840" w:right="0"/>
              <w:rPr>
                <w:rFonts w:hint="eastAsia" w:ascii="仿宋" w:hAnsi="仿宋" w:eastAsia="仿宋" w:cs="仿宋"/>
                <w:sz w:val="24"/>
                <w:szCs w:val="24"/>
                <w:lang w:val="en-US" w:eastAsia="zh-CN"/>
              </w:rPr>
            </w:pPr>
            <w:r>
              <w:rPr>
                <w:rFonts w:hint="eastAsia" w:ascii="仿宋" w:hAnsi="仿宋" w:eastAsia="仿宋" w:cs="仿宋"/>
                <w:bCs/>
                <w:sz w:val="24"/>
                <w:szCs w:val="24"/>
                <w:lang w:val="en-US" w:eastAsia="zh-CN"/>
              </w:rPr>
              <w:t xml:space="preserve">车尔尼初级钢琴 </w:t>
            </w:r>
            <w:r>
              <w:rPr>
                <w:rFonts w:hint="eastAsia" w:ascii="仿宋" w:hAnsi="仿宋" w:eastAsia="仿宋" w:cs="仿宋"/>
                <w:bCs/>
                <w:i/>
                <w:iCs/>
                <w:sz w:val="24"/>
                <w:szCs w:val="24"/>
                <w:lang w:val="en-US" w:eastAsia="zh-CN"/>
              </w:rPr>
              <w:t>OP.599</w:t>
            </w:r>
            <w:r>
              <w:rPr>
                <w:rFonts w:hint="eastAsia" w:ascii="仿宋" w:hAnsi="仿宋" w:eastAsia="仿宋" w:cs="仿宋"/>
                <w:bCs/>
                <w:sz w:val="24"/>
                <w:szCs w:val="24"/>
                <w:lang w:val="en-US" w:eastAsia="zh-CN"/>
              </w:rPr>
              <w:t>，下学期，或程度相近的同类曲目或复调曲目；</w:t>
            </w:r>
          </w:p>
          <w:p w14:paraId="6893F2FB">
            <w:pPr>
              <w:ind w:left="840" w:right="0"/>
              <w:rPr>
                <w:rFonts w:hint="eastAsia" w:ascii="仿宋" w:hAnsi="仿宋" w:eastAsia="仿宋" w:cs="仿宋"/>
                <w:bCs/>
                <w:sz w:val="24"/>
                <w:szCs w:val="24"/>
              </w:rPr>
            </w:pPr>
            <w:r>
              <w:rPr>
                <w:rFonts w:hint="eastAsia" w:ascii="仿宋" w:hAnsi="仿宋" w:eastAsia="仿宋" w:cs="仿宋"/>
                <w:sz w:val="24"/>
                <w:szCs w:val="24"/>
                <w:lang w:val="en-US" w:eastAsia="zh-CN"/>
              </w:rPr>
              <w:t>《钢琴基础教程1-2》</w:t>
            </w:r>
            <w:r>
              <w:rPr>
                <w:rFonts w:hint="eastAsia" w:ascii="仿宋" w:hAnsi="仿宋" w:eastAsia="仿宋" w:cs="仿宋"/>
                <w:bCs/>
                <w:sz w:val="24"/>
                <w:szCs w:val="24"/>
                <w:lang w:val="en-US" w:eastAsia="zh-CN"/>
              </w:rPr>
              <w:t>中较简单的曲目，或程度相近的同类曲目；</w:t>
            </w:r>
          </w:p>
          <w:p w14:paraId="78831B6F">
            <w:pPr>
              <w:rPr>
                <w:rFonts w:hint="eastAsia" w:ascii="仿宋" w:hAnsi="仿宋" w:eastAsia="仿宋" w:cs="仿宋"/>
                <w:bCs/>
                <w:sz w:val="24"/>
                <w:szCs w:val="24"/>
              </w:rPr>
            </w:pPr>
            <w:r>
              <w:rPr>
                <w:rFonts w:hint="eastAsia" w:ascii="仿宋" w:hAnsi="仿宋" w:eastAsia="仿宋" w:cs="仿宋"/>
                <w:bCs/>
                <w:sz w:val="24"/>
                <w:szCs w:val="24"/>
              </w:rPr>
              <w:t>第一学年第二学期</w:t>
            </w:r>
          </w:p>
          <w:p w14:paraId="21812A48">
            <w:pPr>
              <w:ind w:left="840" w:right="0"/>
              <w:rPr>
                <w:rFonts w:hint="eastAsia" w:ascii="仿宋" w:hAnsi="仿宋" w:eastAsia="仿宋" w:cs="仿宋"/>
                <w:bCs/>
                <w:sz w:val="24"/>
                <w:szCs w:val="24"/>
              </w:rPr>
            </w:pPr>
            <w:r>
              <w:rPr>
                <w:rFonts w:hint="eastAsia" w:ascii="仿宋" w:hAnsi="仿宋" w:eastAsia="仿宋" w:cs="仿宋"/>
                <w:bCs/>
                <w:sz w:val="24"/>
                <w:szCs w:val="24"/>
              </w:rPr>
              <w:t>布置音阶和常见技术项目训练</w:t>
            </w:r>
          </w:p>
          <w:p w14:paraId="4A8F78BD">
            <w:pPr>
              <w:ind w:left="840" w:right="0"/>
              <w:rPr>
                <w:rFonts w:hint="eastAsia" w:ascii="仿宋" w:hAnsi="仿宋" w:eastAsia="仿宋" w:cs="仿宋"/>
                <w:bCs/>
                <w:sz w:val="24"/>
                <w:szCs w:val="24"/>
              </w:rPr>
            </w:pPr>
            <w:r>
              <w:rPr>
                <w:rFonts w:hint="eastAsia" w:ascii="仿宋" w:hAnsi="仿宋" w:eastAsia="仿宋" w:cs="仿宋"/>
                <w:bCs/>
                <w:sz w:val="24"/>
                <w:szCs w:val="24"/>
              </w:rPr>
              <w:t>练习曲（或复调）及练习修改</w:t>
            </w:r>
          </w:p>
          <w:p w14:paraId="7CDF8DDD">
            <w:pPr>
              <w:ind w:left="840" w:right="0"/>
              <w:rPr>
                <w:rFonts w:hint="eastAsia" w:ascii="仿宋" w:hAnsi="仿宋" w:eastAsia="仿宋" w:cs="仿宋"/>
                <w:bCs/>
                <w:sz w:val="24"/>
                <w:szCs w:val="24"/>
                <w:lang w:val="en-US" w:eastAsia="zh-CN"/>
              </w:rPr>
            </w:pPr>
            <w:r>
              <w:rPr>
                <w:rFonts w:hint="eastAsia" w:ascii="仿宋" w:hAnsi="仿宋" w:eastAsia="仿宋" w:cs="仿宋"/>
                <w:bCs/>
                <w:sz w:val="24"/>
                <w:szCs w:val="24"/>
              </w:rPr>
              <w:t>布置乐曲及练习修改</w:t>
            </w:r>
          </w:p>
          <w:p w14:paraId="366EE1BA">
            <w:pPr>
              <w:ind w:left="840" w:right="0"/>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曲目范围：</w:t>
            </w:r>
          </w:p>
          <w:p w14:paraId="33DBCFAA">
            <w:pPr>
              <w:ind w:left="840" w:right="0"/>
              <w:rPr>
                <w:rFonts w:hint="eastAsia" w:ascii="仿宋" w:hAnsi="仿宋" w:eastAsia="仿宋" w:cs="仿宋"/>
                <w:bCs/>
                <w:i w:val="0"/>
                <w:iCs w:val="0"/>
                <w:sz w:val="24"/>
                <w:szCs w:val="24"/>
                <w:lang w:val="en-US" w:eastAsia="zh-CN"/>
              </w:rPr>
            </w:pPr>
            <w:r>
              <w:rPr>
                <w:rFonts w:hint="eastAsia" w:ascii="仿宋" w:hAnsi="仿宋" w:eastAsia="仿宋" w:cs="仿宋"/>
                <w:bCs/>
                <w:sz w:val="24"/>
                <w:szCs w:val="24"/>
                <w:lang w:val="en-US" w:eastAsia="zh-CN"/>
              </w:rPr>
              <w:t>基础练习：1升1降大小调音阶、琶音，教师对学生应有一定的速度要求；</w:t>
            </w:r>
          </w:p>
          <w:p w14:paraId="2ED7DA26">
            <w:pPr>
              <w:ind w:left="840" w:right="0"/>
              <w:rPr>
                <w:rFonts w:hint="eastAsia" w:ascii="仿宋" w:hAnsi="仿宋" w:eastAsia="仿宋" w:cs="仿宋"/>
                <w:bCs/>
                <w:sz w:val="24"/>
                <w:szCs w:val="24"/>
                <w:lang w:val="en-US" w:eastAsia="zh-CN"/>
              </w:rPr>
            </w:pPr>
            <w:r>
              <w:rPr>
                <w:rFonts w:hint="eastAsia" w:ascii="仿宋" w:hAnsi="仿宋" w:eastAsia="仿宋" w:cs="仿宋"/>
                <w:bCs/>
                <w:i w:val="0"/>
                <w:iCs w:val="0"/>
                <w:sz w:val="24"/>
                <w:szCs w:val="24"/>
                <w:lang w:val="en-US" w:eastAsia="zh-CN"/>
              </w:rPr>
              <w:t>练习曲：车尔尼钢琴流畅练习曲</w:t>
            </w:r>
            <w:r>
              <w:rPr>
                <w:rFonts w:hint="eastAsia" w:ascii="仿宋" w:hAnsi="仿宋" w:eastAsia="仿宋" w:cs="仿宋"/>
                <w:bCs/>
                <w:i/>
                <w:iCs/>
                <w:sz w:val="24"/>
                <w:szCs w:val="24"/>
                <w:lang w:val="en-US" w:eastAsia="zh-CN"/>
              </w:rPr>
              <w:t>OP.849 16</w:t>
            </w:r>
            <w:r>
              <w:rPr>
                <w:rFonts w:hint="eastAsia" w:ascii="仿宋" w:hAnsi="仿宋" w:eastAsia="仿宋" w:cs="仿宋"/>
                <w:bCs/>
                <w:sz w:val="24"/>
                <w:szCs w:val="24"/>
                <w:lang w:val="en-US" w:eastAsia="zh-CN"/>
              </w:rPr>
              <w:t xml:space="preserve"> 前或程度相近的同类曲目或复调曲目；</w:t>
            </w:r>
          </w:p>
          <w:p w14:paraId="094A2A94">
            <w:pPr>
              <w:ind w:left="840" w:right="0"/>
              <w:rPr>
                <w:rFonts w:hint="eastAsia" w:ascii="仿宋" w:hAnsi="仿宋" w:eastAsia="仿宋" w:cs="仿宋"/>
                <w:bCs/>
                <w:sz w:val="24"/>
                <w:szCs w:val="24"/>
              </w:rPr>
            </w:pPr>
            <w:r>
              <w:rPr>
                <w:rFonts w:hint="eastAsia" w:ascii="仿宋" w:hAnsi="仿宋" w:eastAsia="仿宋" w:cs="仿宋"/>
                <w:bCs/>
                <w:sz w:val="24"/>
                <w:szCs w:val="24"/>
                <w:lang w:val="en-US" w:eastAsia="zh-CN"/>
              </w:rPr>
              <w:t>乐曲：</w:t>
            </w:r>
            <w:r>
              <w:rPr>
                <w:rFonts w:hint="eastAsia" w:ascii="仿宋" w:hAnsi="仿宋" w:eastAsia="仿宋" w:cs="仿宋"/>
                <w:sz w:val="24"/>
                <w:szCs w:val="24"/>
                <w:lang w:val="en-US" w:eastAsia="zh-CN"/>
              </w:rPr>
              <w:t>《钢琴基础教程1-2》</w:t>
            </w:r>
            <w:r>
              <w:rPr>
                <w:rFonts w:hint="eastAsia" w:ascii="仿宋" w:hAnsi="仿宋" w:eastAsia="仿宋" w:cs="仿宋"/>
                <w:bCs/>
                <w:sz w:val="24"/>
                <w:szCs w:val="24"/>
                <w:lang w:val="en-US" w:eastAsia="zh-CN"/>
              </w:rPr>
              <w:t>中较难的曲目，或程度相近的同类曲目；</w:t>
            </w:r>
          </w:p>
          <w:p w14:paraId="194BF51A">
            <w:pPr>
              <w:rPr>
                <w:rFonts w:hint="eastAsia" w:ascii="仿宋" w:hAnsi="仿宋" w:eastAsia="仿宋" w:cs="仿宋"/>
                <w:bCs/>
                <w:sz w:val="24"/>
                <w:szCs w:val="24"/>
              </w:rPr>
            </w:pPr>
            <w:r>
              <w:rPr>
                <w:rFonts w:hint="eastAsia" w:ascii="仿宋" w:hAnsi="仿宋" w:eastAsia="仿宋" w:cs="仿宋"/>
                <w:bCs/>
                <w:sz w:val="24"/>
                <w:szCs w:val="24"/>
              </w:rPr>
              <w:t>第二学年第三学期</w:t>
            </w:r>
          </w:p>
          <w:p w14:paraId="42585633">
            <w:pPr>
              <w:ind w:left="840" w:right="0"/>
              <w:rPr>
                <w:rFonts w:hint="eastAsia" w:ascii="仿宋" w:hAnsi="仿宋" w:eastAsia="仿宋" w:cs="仿宋"/>
                <w:bCs/>
                <w:sz w:val="24"/>
                <w:szCs w:val="24"/>
              </w:rPr>
            </w:pPr>
            <w:r>
              <w:rPr>
                <w:rFonts w:hint="eastAsia" w:ascii="仿宋" w:hAnsi="仿宋" w:eastAsia="仿宋" w:cs="仿宋"/>
                <w:bCs/>
                <w:sz w:val="24"/>
                <w:szCs w:val="24"/>
              </w:rPr>
              <w:t>布置音阶和常见技术项目训练</w:t>
            </w:r>
          </w:p>
          <w:p w14:paraId="6B4850C4">
            <w:pPr>
              <w:ind w:left="840" w:right="0"/>
              <w:rPr>
                <w:rFonts w:hint="eastAsia" w:ascii="仿宋" w:hAnsi="仿宋" w:eastAsia="仿宋" w:cs="仿宋"/>
                <w:bCs/>
                <w:sz w:val="24"/>
                <w:szCs w:val="24"/>
              </w:rPr>
            </w:pPr>
            <w:r>
              <w:rPr>
                <w:rFonts w:hint="eastAsia" w:ascii="仿宋" w:hAnsi="仿宋" w:eastAsia="仿宋" w:cs="仿宋"/>
                <w:bCs/>
                <w:sz w:val="24"/>
                <w:szCs w:val="24"/>
              </w:rPr>
              <w:t>练习曲（或复调）及练习修改</w:t>
            </w:r>
          </w:p>
          <w:p w14:paraId="7CE89A60">
            <w:pPr>
              <w:ind w:left="840" w:right="0"/>
              <w:rPr>
                <w:rFonts w:hint="eastAsia" w:ascii="仿宋" w:hAnsi="仿宋" w:eastAsia="仿宋" w:cs="仿宋"/>
                <w:bCs/>
                <w:sz w:val="24"/>
                <w:szCs w:val="24"/>
                <w:lang w:val="en-US" w:eastAsia="zh-CN"/>
              </w:rPr>
            </w:pPr>
            <w:r>
              <w:rPr>
                <w:rFonts w:hint="eastAsia" w:ascii="仿宋" w:hAnsi="仿宋" w:eastAsia="仿宋" w:cs="仿宋"/>
                <w:bCs/>
                <w:sz w:val="24"/>
                <w:szCs w:val="24"/>
              </w:rPr>
              <w:t>布置乐曲及练习修改</w:t>
            </w:r>
          </w:p>
          <w:p w14:paraId="57EF87ED">
            <w:pPr>
              <w:ind w:left="840" w:right="0"/>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曲目范围：</w:t>
            </w:r>
          </w:p>
          <w:p w14:paraId="3B249D0F">
            <w:pPr>
              <w:ind w:left="840" w:right="0"/>
              <w:rPr>
                <w:rFonts w:hint="eastAsia" w:ascii="仿宋" w:hAnsi="仿宋" w:eastAsia="仿宋" w:cs="仿宋"/>
                <w:bCs/>
                <w:i w:val="0"/>
                <w:iCs w:val="0"/>
                <w:sz w:val="24"/>
                <w:szCs w:val="24"/>
                <w:lang w:val="en-US" w:eastAsia="zh-CN"/>
              </w:rPr>
            </w:pPr>
            <w:r>
              <w:rPr>
                <w:rFonts w:hint="eastAsia" w:ascii="仿宋" w:hAnsi="仿宋" w:eastAsia="仿宋" w:cs="仿宋"/>
                <w:bCs/>
                <w:sz w:val="24"/>
                <w:szCs w:val="24"/>
                <w:lang w:val="en-US" w:eastAsia="zh-CN"/>
              </w:rPr>
              <w:t>2升2降大小调音阶、琶音，教师对学生应有一定的速度要求；</w:t>
            </w:r>
          </w:p>
          <w:p w14:paraId="4C66A7D7">
            <w:pPr>
              <w:ind w:left="840" w:right="0"/>
              <w:rPr>
                <w:rFonts w:hint="eastAsia" w:ascii="仿宋" w:hAnsi="仿宋" w:eastAsia="仿宋" w:cs="仿宋"/>
                <w:sz w:val="24"/>
                <w:szCs w:val="24"/>
                <w:lang w:val="en-US" w:eastAsia="zh-CN"/>
              </w:rPr>
            </w:pPr>
            <w:r>
              <w:rPr>
                <w:rFonts w:hint="eastAsia" w:ascii="仿宋" w:hAnsi="仿宋" w:eastAsia="仿宋" w:cs="仿宋"/>
                <w:bCs/>
                <w:i w:val="0"/>
                <w:iCs w:val="0"/>
                <w:sz w:val="24"/>
                <w:szCs w:val="24"/>
                <w:lang w:val="en-US" w:eastAsia="zh-CN"/>
              </w:rPr>
              <w:t>车尔尼钢琴流畅练习曲</w:t>
            </w:r>
            <w:r>
              <w:rPr>
                <w:rFonts w:hint="eastAsia" w:ascii="仿宋" w:hAnsi="仿宋" w:eastAsia="仿宋" w:cs="仿宋"/>
                <w:bCs/>
                <w:i/>
                <w:iCs/>
                <w:sz w:val="24"/>
                <w:szCs w:val="24"/>
                <w:lang w:val="en-US" w:eastAsia="zh-CN"/>
              </w:rPr>
              <w:t>OP.849 16</w:t>
            </w:r>
            <w:r>
              <w:rPr>
                <w:rFonts w:hint="eastAsia" w:ascii="仿宋" w:hAnsi="仿宋" w:eastAsia="仿宋" w:cs="仿宋"/>
                <w:bCs/>
                <w:i w:val="0"/>
                <w:iCs w:val="0"/>
                <w:sz w:val="24"/>
                <w:szCs w:val="24"/>
                <w:lang w:val="en-US" w:eastAsia="zh-CN"/>
              </w:rPr>
              <w:t>后</w:t>
            </w:r>
            <w:r>
              <w:rPr>
                <w:rFonts w:hint="eastAsia" w:ascii="仿宋" w:hAnsi="仿宋" w:eastAsia="仿宋" w:cs="仿宋"/>
                <w:bCs/>
                <w:sz w:val="24"/>
                <w:szCs w:val="24"/>
                <w:lang w:val="en-US" w:eastAsia="zh-CN"/>
              </w:rPr>
              <w:t>，或程度相近的同类曲目或复调曲目；</w:t>
            </w:r>
          </w:p>
          <w:p w14:paraId="2BE4BA19">
            <w:pPr>
              <w:ind w:left="840" w:right="0"/>
              <w:rPr>
                <w:rFonts w:hint="eastAsia" w:ascii="仿宋" w:hAnsi="仿宋" w:eastAsia="仿宋" w:cs="仿宋"/>
                <w:bCs/>
                <w:sz w:val="24"/>
                <w:szCs w:val="24"/>
              </w:rPr>
            </w:pPr>
            <w:r>
              <w:rPr>
                <w:rFonts w:hint="eastAsia" w:ascii="仿宋" w:hAnsi="仿宋" w:eastAsia="仿宋" w:cs="仿宋"/>
                <w:sz w:val="24"/>
                <w:szCs w:val="24"/>
                <w:lang w:val="en-US" w:eastAsia="zh-CN"/>
              </w:rPr>
              <w:t>《钢琴基础教程3》</w:t>
            </w:r>
            <w:r>
              <w:rPr>
                <w:rFonts w:hint="eastAsia" w:ascii="仿宋" w:hAnsi="仿宋" w:eastAsia="仿宋" w:cs="仿宋"/>
                <w:bCs/>
                <w:sz w:val="24"/>
                <w:szCs w:val="24"/>
                <w:lang w:val="en-US" w:eastAsia="zh-CN"/>
              </w:rPr>
              <w:t>中曲目，或程度相近的同类曲目；</w:t>
            </w:r>
          </w:p>
          <w:p w14:paraId="1F2CC56E">
            <w:pPr>
              <w:rPr>
                <w:rFonts w:hint="eastAsia" w:ascii="仿宋" w:hAnsi="仿宋" w:eastAsia="仿宋" w:cs="仿宋"/>
                <w:bCs/>
                <w:sz w:val="24"/>
                <w:szCs w:val="24"/>
              </w:rPr>
            </w:pPr>
            <w:r>
              <w:rPr>
                <w:rFonts w:hint="eastAsia" w:ascii="仿宋" w:hAnsi="仿宋" w:eastAsia="仿宋" w:cs="仿宋"/>
                <w:bCs/>
                <w:sz w:val="24"/>
                <w:szCs w:val="24"/>
              </w:rPr>
              <w:t>第二学年第四学期</w:t>
            </w:r>
          </w:p>
          <w:p w14:paraId="64DAE6F4">
            <w:pPr>
              <w:ind w:left="840" w:right="0"/>
              <w:rPr>
                <w:rFonts w:hint="eastAsia" w:ascii="仿宋" w:hAnsi="仿宋" w:eastAsia="仿宋" w:cs="仿宋"/>
                <w:bCs/>
                <w:sz w:val="24"/>
                <w:szCs w:val="24"/>
              </w:rPr>
            </w:pPr>
            <w:r>
              <w:rPr>
                <w:rFonts w:hint="eastAsia" w:ascii="仿宋" w:hAnsi="仿宋" w:eastAsia="仿宋" w:cs="仿宋"/>
                <w:bCs/>
                <w:sz w:val="24"/>
                <w:szCs w:val="24"/>
              </w:rPr>
              <w:t>布置音阶和常见技术项目训练</w:t>
            </w:r>
          </w:p>
          <w:p w14:paraId="0DCA27DF">
            <w:pPr>
              <w:ind w:left="840" w:right="0"/>
              <w:rPr>
                <w:rFonts w:hint="eastAsia" w:ascii="仿宋" w:hAnsi="仿宋" w:eastAsia="仿宋" w:cs="仿宋"/>
                <w:bCs/>
                <w:sz w:val="24"/>
                <w:szCs w:val="24"/>
              </w:rPr>
            </w:pPr>
            <w:r>
              <w:rPr>
                <w:rFonts w:hint="eastAsia" w:ascii="仿宋" w:hAnsi="仿宋" w:eastAsia="仿宋" w:cs="仿宋"/>
                <w:bCs/>
                <w:sz w:val="24"/>
                <w:szCs w:val="24"/>
              </w:rPr>
              <w:t>练习曲（或复调）及练习修改</w:t>
            </w:r>
          </w:p>
          <w:p w14:paraId="3F92D773">
            <w:pPr>
              <w:widowControl/>
              <w:ind w:left="840" w:right="0"/>
              <w:rPr>
                <w:rFonts w:hint="eastAsia" w:ascii="仿宋" w:hAnsi="仿宋" w:eastAsia="仿宋" w:cs="仿宋"/>
                <w:bCs/>
                <w:sz w:val="24"/>
                <w:szCs w:val="24"/>
                <w:lang w:val="en-US" w:eastAsia="zh-CN"/>
              </w:rPr>
            </w:pPr>
            <w:r>
              <w:rPr>
                <w:rFonts w:hint="eastAsia" w:ascii="仿宋" w:hAnsi="仿宋" w:eastAsia="仿宋" w:cs="仿宋"/>
                <w:bCs/>
                <w:sz w:val="24"/>
                <w:szCs w:val="24"/>
              </w:rPr>
              <w:t>布置乐曲及练习修改</w:t>
            </w:r>
          </w:p>
          <w:p w14:paraId="6A4824C6">
            <w:pPr>
              <w:ind w:left="840" w:right="0"/>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曲目范围：</w:t>
            </w:r>
          </w:p>
          <w:p w14:paraId="51EF4A9A">
            <w:pPr>
              <w:ind w:left="840" w:right="0"/>
              <w:rPr>
                <w:rFonts w:hint="eastAsia" w:ascii="仿宋" w:hAnsi="仿宋" w:eastAsia="仿宋" w:cs="仿宋"/>
                <w:bCs/>
                <w:i w:val="0"/>
                <w:iCs w:val="0"/>
                <w:sz w:val="24"/>
                <w:szCs w:val="24"/>
                <w:lang w:val="en-US" w:eastAsia="zh-CN"/>
              </w:rPr>
            </w:pPr>
            <w:r>
              <w:rPr>
                <w:rFonts w:hint="eastAsia" w:ascii="仿宋" w:hAnsi="仿宋" w:eastAsia="仿宋" w:cs="仿宋"/>
                <w:bCs/>
                <w:sz w:val="24"/>
                <w:szCs w:val="24"/>
                <w:lang w:val="en-US" w:eastAsia="zh-CN"/>
              </w:rPr>
              <w:t>3升3降大小调音阶、琶音，教师对学生应有一定的速度要求；</w:t>
            </w:r>
          </w:p>
          <w:p w14:paraId="473344A6">
            <w:pPr>
              <w:ind w:left="840" w:right="0"/>
              <w:rPr>
                <w:rFonts w:hint="eastAsia" w:ascii="仿宋" w:hAnsi="仿宋" w:eastAsia="仿宋" w:cs="仿宋"/>
                <w:sz w:val="24"/>
                <w:szCs w:val="24"/>
                <w:lang w:val="en-US" w:eastAsia="zh-CN"/>
              </w:rPr>
            </w:pPr>
            <w:r>
              <w:rPr>
                <w:rFonts w:hint="eastAsia" w:ascii="仿宋" w:hAnsi="仿宋" w:eastAsia="仿宋" w:cs="仿宋"/>
                <w:bCs/>
                <w:i w:val="0"/>
                <w:iCs w:val="0"/>
                <w:sz w:val="24"/>
                <w:szCs w:val="24"/>
                <w:lang w:val="en-US" w:eastAsia="zh-CN"/>
              </w:rPr>
              <w:t>车尔尼钢琴流畅练习曲</w:t>
            </w:r>
            <w:r>
              <w:rPr>
                <w:rFonts w:hint="eastAsia" w:ascii="仿宋" w:hAnsi="仿宋" w:eastAsia="仿宋" w:cs="仿宋"/>
                <w:bCs/>
                <w:i/>
                <w:iCs/>
                <w:sz w:val="24"/>
                <w:szCs w:val="24"/>
                <w:lang w:val="en-US" w:eastAsia="zh-CN"/>
              </w:rPr>
              <w:t>OP.849 16</w:t>
            </w:r>
            <w:r>
              <w:rPr>
                <w:rFonts w:hint="eastAsia" w:ascii="仿宋" w:hAnsi="仿宋" w:eastAsia="仿宋" w:cs="仿宋"/>
                <w:bCs/>
                <w:i w:val="0"/>
                <w:iCs w:val="0"/>
                <w:sz w:val="24"/>
                <w:szCs w:val="24"/>
                <w:lang w:val="en-US" w:eastAsia="zh-CN"/>
              </w:rPr>
              <w:t>后</w:t>
            </w:r>
            <w:r>
              <w:rPr>
                <w:rFonts w:hint="eastAsia" w:ascii="仿宋" w:hAnsi="仿宋" w:eastAsia="仿宋" w:cs="仿宋"/>
                <w:bCs/>
                <w:sz w:val="24"/>
                <w:szCs w:val="24"/>
                <w:lang w:val="en-US" w:eastAsia="zh-CN"/>
              </w:rPr>
              <w:t>，下学期，或程度相近的同类曲目或复调曲目；</w:t>
            </w:r>
          </w:p>
          <w:p w14:paraId="68810832">
            <w:pPr>
              <w:ind w:left="840" w:right="0"/>
              <w:rPr>
                <w:rFonts w:hint="eastAsia" w:ascii="仿宋" w:hAnsi="仿宋" w:eastAsia="仿宋" w:cs="仿宋"/>
                <w:bCs/>
                <w:sz w:val="24"/>
                <w:szCs w:val="24"/>
                <w:lang w:val="en-US" w:eastAsia="zh-CN"/>
              </w:rPr>
            </w:pPr>
            <w:r>
              <w:rPr>
                <w:rFonts w:hint="eastAsia" w:ascii="仿宋" w:hAnsi="仿宋" w:eastAsia="仿宋" w:cs="仿宋"/>
                <w:sz w:val="24"/>
                <w:szCs w:val="24"/>
                <w:lang w:val="en-US" w:eastAsia="zh-CN"/>
              </w:rPr>
              <w:t>《钢琴基础教程4》</w:t>
            </w:r>
            <w:r>
              <w:rPr>
                <w:rFonts w:hint="eastAsia" w:ascii="仿宋" w:hAnsi="仿宋" w:eastAsia="仿宋" w:cs="仿宋"/>
                <w:bCs/>
                <w:sz w:val="24"/>
                <w:szCs w:val="24"/>
                <w:lang w:val="en-US" w:eastAsia="zh-CN"/>
              </w:rPr>
              <w:t>中的曲目，或程度相近的同类曲目；</w:t>
            </w:r>
          </w:p>
          <w:p w14:paraId="76C81CB1">
            <w:pPr>
              <w:widowControl/>
              <w:ind w:left="840" w:right="0"/>
              <w:rPr>
                <w:rFonts w:hint="eastAsia" w:ascii="仿宋" w:hAnsi="仿宋" w:eastAsia="仿宋" w:cs="仿宋"/>
                <w:bCs/>
                <w:sz w:val="24"/>
                <w:szCs w:val="24"/>
                <w:lang w:val="en-US" w:eastAsia="zh-CN"/>
              </w:rPr>
            </w:pPr>
          </w:p>
        </w:tc>
        <w:tc>
          <w:tcPr>
            <w:tcW w:w="1153" w:type="dxa"/>
            <w:gridSpan w:val="3"/>
            <w:tcBorders>
              <w:top w:val="single" w:color="auto" w:sz="4" w:space="0"/>
              <w:left w:val="single" w:color="auto" w:sz="4" w:space="0"/>
              <w:bottom w:val="single" w:color="auto" w:sz="4" w:space="0"/>
              <w:right w:val="single" w:color="auto" w:sz="4" w:space="0"/>
            </w:tcBorders>
            <w:vAlign w:val="center"/>
          </w:tcPr>
          <w:p w14:paraId="4317D660">
            <w:pPr>
              <w:widowControl/>
              <w:jc w:val="center"/>
            </w:pPr>
            <w:r>
              <w:rPr>
                <w:rFonts w:hint="eastAsia" w:ascii="仿宋" w:hAnsi="仿宋" w:eastAsia="仿宋" w:cs="仿宋"/>
                <w:bCs/>
                <w:sz w:val="24"/>
                <w:szCs w:val="24"/>
              </w:rPr>
              <w:t>支撑课程目标1、</w:t>
            </w:r>
            <w:r>
              <w:rPr>
                <w:rFonts w:ascii="仿宋" w:hAnsi="仿宋" w:eastAsia="仿宋" w:cs="仿宋"/>
                <w:bCs/>
                <w:sz w:val="24"/>
                <w:szCs w:val="24"/>
              </w:rPr>
              <w:t>2</w:t>
            </w:r>
          </w:p>
        </w:tc>
        <w:tc>
          <w:tcPr>
            <w:tcW w:w="924"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4C77402A">
            <w:pPr>
              <w:jc w:val="center"/>
            </w:pPr>
            <w:r>
              <w:rPr>
                <w:rFonts w:ascii="仿宋" w:hAnsi="仿宋" w:eastAsia="仿宋" w:cs="仿宋"/>
                <w:sz w:val="24"/>
                <w:szCs w:val="24"/>
              </w:rPr>
              <w:t>56</w:t>
            </w:r>
          </w:p>
        </w:tc>
      </w:tr>
      <w:tr w14:paraId="5149B9EF">
        <w:trPr>
          <w:trHeight w:val="1692"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06E9F38C">
            <w:pPr>
              <w:spacing w:line="240" w:lineRule="atLeast"/>
              <w:jc w:val="center"/>
              <w:rPr>
                <w:rFonts w:hint="eastAsia" w:ascii="仿宋" w:hAnsi="仿宋" w:eastAsia="仿宋" w:cs="仿宋"/>
                <w:sz w:val="24"/>
                <w:szCs w:val="24"/>
              </w:rPr>
            </w:pPr>
          </w:p>
        </w:tc>
        <w:tc>
          <w:tcPr>
            <w:tcW w:w="5695" w:type="dxa"/>
            <w:gridSpan w:val="9"/>
            <w:tcBorders>
              <w:top w:val="single" w:color="auto" w:sz="4" w:space="0"/>
              <w:left w:val="single" w:color="auto" w:sz="4" w:space="0"/>
              <w:bottom w:val="single" w:color="auto" w:sz="4" w:space="0"/>
              <w:right w:val="single" w:color="auto" w:sz="4" w:space="0"/>
            </w:tcBorders>
            <w:vAlign w:val="center"/>
          </w:tcPr>
          <w:p w14:paraId="55934C81">
            <w:pPr>
              <w:rPr>
                <w:rFonts w:hint="eastAsia" w:ascii="仿宋" w:hAnsi="仿宋" w:eastAsia="仿宋" w:cs="仿宋"/>
                <w:bCs/>
                <w:sz w:val="24"/>
                <w:szCs w:val="24"/>
              </w:rPr>
            </w:pPr>
            <w:r>
              <w:rPr>
                <w:rFonts w:hint="eastAsia" w:ascii="仿宋" w:hAnsi="仿宋" w:eastAsia="仿宋" w:cs="仿宋"/>
                <w:sz w:val="24"/>
                <w:szCs w:val="24"/>
              </w:rPr>
              <w:t>实训习奏实践</w:t>
            </w:r>
          </w:p>
          <w:p w14:paraId="0A824580">
            <w:r>
              <w:rPr>
                <w:rFonts w:hint="eastAsia" w:ascii="仿宋" w:hAnsi="仿宋" w:eastAsia="仿宋" w:cs="仿宋"/>
                <w:bCs/>
                <w:sz w:val="24"/>
                <w:szCs w:val="24"/>
              </w:rPr>
              <w:t xml:space="preserve">    通过在模拟演奏情境下的实践，让学生适应实践中可能遇到的心理挑战以及其它问题，并在教师指导下、与同学交流中寻求解决的方法。</w:t>
            </w:r>
          </w:p>
        </w:tc>
        <w:tc>
          <w:tcPr>
            <w:tcW w:w="1153" w:type="dxa"/>
            <w:gridSpan w:val="3"/>
            <w:tcBorders>
              <w:top w:val="single" w:color="auto" w:sz="4" w:space="0"/>
              <w:left w:val="single" w:color="auto" w:sz="4" w:space="0"/>
              <w:bottom w:val="single" w:color="auto" w:sz="4" w:space="0"/>
              <w:right w:val="single" w:color="auto" w:sz="4" w:space="0"/>
            </w:tcBorders>
            <w:vAlign w:val="center"/>
          </w:tcPr>
          <w:p w14:paraId="26959515">
            <w:pPr>
              <w:jc w:val="center"/>
            </w:pPr>
            <w:r>
              <w:rPr>
                <w:rFonts w:hint="eastAsia" w:ascii="仿宋" w:hAnsi="仿宋" w:eastAsia="仿宋" w:cs="仿宋"/>
                <w:bCs/>
                <w:sz w:val="24"/>
                <w:szCs w:val="24"/>
              </w:rPr>
              <w:t>支撑课程目标3</w:t>
            </w:r>
          </w:p>
        </w:tc>
        <w:tc>
          <w:tcPr>
            <w:tcW w:w="924"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76F31D24">
            <w:pPr>
              <w:jc w:val="center"/>
            </w:pPr>
            <w:r>
              <w:rPr>
                <w:rFonts w:ascii="仿宋" w:hAnsi="仿宋" w:eastAsia="仿宋" w:cs="仿宋"/>
                <w:sz w:val="24"/>
                <w:szCs w:val="24"/>
              </w:rPr>
              <w:t>8</w:t>
            </w:r>
          </w:p>
        </w:tc>
      </w:tr>
      <w:tr w14:paraId="1AA4E7B7">
        <w:trPr>
          <w:trHeight w:val="45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79086076">
            <w:pPr>
              <w:spacing w:line="240" w:lineRule="atLeast"/>
              <w:jc w:val="center"/>
              <w:rPr>
                <w:rFonts w:hint="eastAsia" w:ascii="仿宋" w:hAnsi="仿宋" w:eastAsia="仿宋" w:cs="仿宋"/>
                <w:sz w:val="24"/>
                <w:szCs w:val="24"/>
              </w:rPr>
            </w:pPr>
          </w:p>
        </w:tc>
        <w:tc>
          <w:tcPr>
            <w:tcW w:w="6848" w:type="dxa"/>
            <w:gridSpan w:val="12"/>
            <w:tcBorders>
              <w:top w:val="single" w:color="auto" w:sz="4" w:space="0"/>
              <w:left w:val="single" w:color="auto" w:sz="4" w:space="0"/>
              <w:bottom w:val="single" w:color="auto" w:sz="4" w:space="0"/>
              <w:right w:val="single" w:color="auto" w:sz="4" w:space="0"/>
            </w:tcBorders>
            <w:vAlign w:val="center"/>
          </w:tcPr>
          <w:p w14:paraId="46B92AC1">
            <w:pPr>
              <w:jc w:val="center"/>
            </w:pPr>
            <w:r>
              <w:rPr>
                <w:rFonts w:hint="eastAsia" w:ascii="仿宋" w:hAnsi="仿宋" w:eastAsia="仿宋" w:cs="仿宋"/>
                <w:bCs/>
                <w:sz w:val="24"/>
                <w:szCs w:val="24"/>
              </w:rPr>
              <w:t>合计</w:t>
            </w:r>
          </w:p>
        </w:tc>
        <w:tc>
          <w:tcPr>
            <w:tcW w:w="924"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7B266503">
            <w:pPr>
              <w:jc w:val="center"/>
            </w:pPr>
            <w:r>
              <w:rPr>
                <w:rFonts w:ascii="仿宋" w:hAnsi="仿宋" w:eastAsia="仿宋" w:cs="仿宋"/>
                <w:sz w:val="24"/>
                <w:szCs w:val="24"/>
              </w:rPr>
              <w:t>64</w:t>
            </w:r>
          </w:p>
        </w:tc>
      </w:tr>
      <w:tr w14:paraId="36D58C27">
        <w:trPr>
          <w:trHeight w:val="495" w:hRule="atLeast"/>
        </w:trPr>
        <w:tc>
          <w:tcPr>
            <w:tcW w:w="1376"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14:paraId="6401110D">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H</w:t>
            </w:r>
          </w:p>
          <w:p w14:paraId="677AC7F9">
            <w:pPr>
              <w:spacing w:line="240" w:lineRule="atLeast"/>
              <w:jc w:val="center"/>
            </w:pPr>
            <w:r>
              <w:rPr>
                <w:rFonts w:hint="eastAsia" w:ascii="仿宋" w:hAnsi="仿宋" w:eastAsia="仿宋" w:cs="仿宋"/>
                <w:sz w:val="24"/>
                <w:szCs w:val="24"/>
              </w:rPr>
              <w:t>实践内容（含教育实习、见习、研习，专业实习、毕业论文或毕业设计等）</w:t>
            </w:r>
          </w:p>
        </w:tc>
        <w:tc>
          <w:tcPr>
            <w:tcW w:w="5695" w:type="dxa"/>
            <w:gridSpan w:val="9"/>
            <w:tcBorders>
              <w:top w:val="single" w:color="auto" w:sz="4" w:space="0"/>
              <w:left w:val="single" w:color="auto" w:sz="4" w:space="0"/>
              <w:bottom w:val="single" w:color="auto" w:sz="4" w:space="0"/>
              <w:right w:val="single" w:color="auto" w:sz="4" w:space="0"/>
            </w:tcBorders>
            <w:vAlign w:val="center"/>
          </w:tcPr>
          <w:p w14:paraId="34E5DF48">
            <w:pPr>
              <w:jc w:val="center"/>
            </w:pPr>
            <w:r>
              <w:rPr>
                <w:rFonts w:hint="eastAsia" w:ascii="仿宋" w:hAnsi="仿宋" w:eastAsia="仿宋" w:cs="仿宋"/>
                <w:sz w:val="24"/>
                <w:szCs w:val="24"/>
              </w:rPr>
              <w:t>实践主要内容和要求</w:t>
            </w:r>
          </w:p>
        </w:tc>
        <w:tc>
          <w:tcPr>
            <w:tcW w:w="1153" w:type="dxa"/>
            <w:gridSpan w:val="3"/>
            <w:tcBorders>
              <w:top w:val="single" w:color="auto" w:sz="4" w:space="0"/>
              <w:left w:val="single" w:color="auto" w:sz="4" w:space="0"/>
              <w:bottom w:val="single" w:color="auto" w:sz="4" w:space="0"/>
              <w:right w:val="single" w:color="auto" w:sz="4" w:space="0"/>
            </w:tcBorders>
            <w:vAlign w:val="center"/>
          </w:tcPr>
          <w:p w14:paraId="79314CF1">
            <w:pPr>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支撑课程</w:t>
            </w:r>
          </w:p>
          <w:p w14:paraId="449CE6B7">
            <w:pPr>
              <w:spacing w:line="240" w:lineRule="atLeast"/>
              <w:jc w:val="center"/>
            </w:pPr>
            <w:r>
              <w:rPr>
                <w:rFonts w:hint="eastAsia" w:ascii="仿宋" w:hAnsi="仿宋" w:eastAsia="仿宋" w:cs="仿宋"/>
                <w:kern w:val="0"/>
                <w:sz w:val="24"/>
                <w:szCs w:val="24"/>
              </w:rPr>
              <w:t>目标</w:t>
            </w:r>
          </w:p>
        </w:tc>
        <w:tc>
          <w:tcPr>
            <w:tcW w:w="924" w:type="dxa"/>
            <w:gridSpan w:val="2"/>
            <w:tcBorders>
              <w:top w:val="single" w:color="auto" w:sz="4" w:space="0"/>
              <w:left w:val="single" w:color="auto" w:sz="4" w:space="0"/>
              <w:bottom w:val="single" w:color="auto" w:sz="4" w:space="0"/>
              <w:right w:val="single" w:color="auto" w:sz="4" w:space="0"/>
            </w:tcBorders>
            <w:vAlign w:val="center"/>
          </w:tcPr>
          <w:p w14:paraId="4DBF5465">
            <w:pPr>
              <w:jc w:val="center"/>
              <w:rPr>
                <w:rFonts w:hint="eastAsia" w:ascii="仿宋" w:hAnsi="仿宋" w:eastAsia="仿宋" w:cs="仿宋"/>
                <w:kern w:val="0"/>
                <w:sz w:val="24"/>
                <w:szCs w:val="24"/>
              </w:rPr>
            </w:pPr>
            <w:r>
              <w:rPr>
                <w:rFonts w:hint="eastAsia" w:ascii="仿宋" w:hAnsi="仿宋" w:eastAsia="仿宋" w:cs="仿宋"/>
                <w:kern w:val="0"/>
                <w:sz w:val="24"/>
                <w:szCs w:val="24"/>
              </w:rPr>
              <w:t>时长</w:t>
            </w:r>
          </w:p>
          <w:p w14:paraId="17176120">
            <w:pPr>
              <w:jc w:val="center"/>
            </w:pPr>
            <w:r>
              <w:rPr>
                <w:rFonts w:hint="eastAsia" w:ascii="仿宋" w:hAnsi="仿宋" w:eastAsia="仿宋" w:cs="仿宋"/>
                <w:kern w:val="0"/>
                <w:sz w:val="24"/>
                <w:szCs w:val="24"/>
              </w:rPr>
              <w:t>分配</w:t>
            </w:r>
          </w:p>
        </w:tc>
      </w:tr>
      <w:tr w14:paraId="79011CD6">
        <w:trPr>
          <w:trHeight w:val="90"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72C811AB">
            <w:pPr>
              <w:spacing w:line="240" w:lineRule="atLeast"/>
              <w:jc w:val="center"/>
              <w:rPr>
                <w:rFonts w:hint="eastAsia" w:ascii="仿宋" w:hAnsi="仿宋" w:eastAsia="仿宋" w:cs="仿宋"/>
                <w:sz w:val="24"/>
                <w:szCs w:val="24"/>
              </w:rPr>
            </w:pPr>
          </w:p>
        </w:tc>
        <w:tc>
          <w:tcPr>
            <w:tcW w:w="5695" w:type="dxa"/>
            <w:gridSpan w:val="9"/>
            <w:tcBorders>
              <w:top w:val="single" w:color="auto" w:sz="4" w:space="0"/>
              <w:left w:val="single" w:color="auto" w:sz="4" w:space="0"/>
              <w:bottom w:val="single" w:color="auto" w:sz="4" w:space="0"/>
              <w:right w:val="single" w:color="auto" w:sz="4" w:space="0"/>
            </w:tcBorders>
            <w:vAlign w:val="top"/>
          </w:tcPr>
          <w:p w14:paraId="12FD6080">
            <w:pPr>
              <w:widowControl/>
              <w:autoSpaceDE w:val="0"/>
              <w:jc w:val="left"/>
              <w:rPr>
                <w:rFonts w:hint="eastAsia" w:ascii="仿宋" w:hAnsi="仿宋" w:eastAsia="仿宋" w:cs="仿宋"/>
                <w:sz w:val="24"/>
                <w:szCs w:val="24"/>
              </w:rPr>
            </w:pPr>
            <w:r>
              <w:rPr>
                <w:rFonts w:hint="eastAsia" w:ascii="仿宋" w:hAnsi="仿宋" w:eastAsia="仿宋" w:cs="仿宋"/>
                <w:sz w:val="24"/>
                <w:szCs w:val="24"/>
              </w:rPr>
              <w:t>课堂进行中学唱歌课片段教学模拟；</w:t>
            </w:r>
          </w:p>
          <w:p w14:paraId="04BA4494">
            <w:pPr>
              <w:widowControl/>
              <w:autoSpaceDE w:val="0"/>
              <w:jc w:val="left"/>
              <w:rPr>
                <w:rFonts w:hint="eastAsia" w:ascii="仿宋" w:hAnsi="仿宋" w:eastAsia="仿宋" w:cs="仿宋"/>
                <w:sz w:val="24"/>
                <w:szCs w:val="24"/>
              </w:rPr>
            </w:pPr>
            <w:r>
              <w:rPr>
                <w:rFonts w:hint="eastAsia" w:ascii="仿宋" w:hAnsi="仿宋" w:eastAsia="仿宋" w:cs="仿宋"/>
                <w:sz w:val="24"/>
                <w:szCs w:val="24"/>
              </w:rPr>
              <w:t>课堂弹唱展示；</w:t>
            </w:r>
          </w:p>
          <w:p w14:paraId="3E890881">
            <w:pPr>
              <w:widowControl/>
              <w:autoSpaceDE w:val="0"/>
              <w:jc w:val="left"/>
            </w:pPr>
            <w:r>
              <w:rPr>
                <w:rFonts w:hint="eastAsia" w:ascii="仿宋" w:hAnsi="仿宋" w:eastAsia="仿宋" w:cs="仿宋"/>
                <w:sz w:val="24"/>
                <w:szCs w:val="24"/>
              </w:rPr>
              <w:t>课堂分组讨论。</w:t>
            </w:r>
          </w:p>
        </w:tc>
        <w:tc>
          <w:tcPr>
            <w:tcW w:w="1153" w:type="dxa"/>
            <w:gridSpan w:val="3"/>
            <w:tcBorders>
              <w:top w:val="single" w:color="auto" w:sz="4" w:space="0"/>
              <w:left w:val="single" w:color="auto" w:sz="4" w:space="0"/>
              <w:bottom w:val="single" w:color="auto" w:sz="4" w:space="0"/>
              <w:right w:val="single" w:color="auto" w:sz="4" w:space="0"/>
            </w:tcBorders>
            <w:vAlign w:val="top"/>
          </w:tcPr>
          <w:p w14:paraId="32F333FD">
            <w:pPr>
              <w:jc w:val="left"/>
              <w:rPr>
                <w:rFonts w:hint="eastAsia" w:ascii="仿宋" w:hAnsi="仿宋" w:eastAsia="仿宋" w:cs="仿宋"/>
                <w:sz w:val="24"/>
                <w:szCs w:val="24"/>
              </w:rPr>
            </w:pPr>
          </w:p>
        </w:tc>
        <w:tc>
          <w:tcPr>
            <w:tcW w:w="924" w:type="dxa"/>
            <w:gridSpan w:val="2"/>
            <w:tcBorders>
              <w:top w:val="single" w:color="auto" w:sz="4" w:space="0"/>
              <w:left w:val="single" w:color="auto" w:sz="4" w:space="0"/>
              <w:bottom w:val="single" w:color="auto" w:sz="4" w:space="0"/>
              <w:right w:val="single" w:color="auto" w:sz="4" w:space="0"/>
            </w:tcBorders>
            <w:vAlign w:val="top"/>
          </w:tcPr>
          <w:p w14:paraId="7E5C8BA1">
            <w:pPr>
              <w:jc w:val="left"/>
              <w:rPr>
                <w:rFonts w:hint="eastAsia" w:ascii="仿宋" w:hAnsi="仿宋" w:eastAsia="仿宋" w:cs="仿宋"/>
                <w:sz w:val="24"/>
                <w:szCs w:val="24"/>
              </w:rPr>
            </w:pPr>
          </w:p>
        </w:tc>
      </w:tr>
      <w:tr w14:paraId="49D32FB0">
        <w:trPr>
          <w:trHeight w:val="921" w:hRule="atLeast"/>
        </w:trPr>
        <w:tc>
          <w:tcPr>
            <w:tcW w:w="1376" w:type="dxa"/>
            <w:tcBorders>
              <w:top w:val="single" w:color="auto" w:sz="4" w:space="0"/>
              <w:left w:val="single" w:color="auto" w:sz="4" w:space="0"/>
              <w:bottom w:val="single" w:color="auto" w:sz="4" w:space="0"/>
              <w:right w:val="single" w:color="auto" w:sz="4" w:space="0"/>
            </w:tcBorders>
            <w:vAlign w:val="center"/>
          </w:tcPr>
          <w:p w14:paraId="67B80B5F">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I</w:t>
            </w:r>
          </w:p>
          <w:p w14:paraId="1564B8F4">
            <w:pPr>
              <w:spacing w:line="240" w:lineRule="atLeast"/>
              <w:jc w:val="center"/>
            </w:pPr>
            <w:r>
              <w:rPr>
                <w:rFonts w:hint="eastAsia" w:ascii="仿宋" w:hAnsi="仿宋" w:eastAsia="仿宋" w:cs="仿宋"/>
                <w:sz w:val="24"/>
                <w:szCs w:val="24"/>
              </w:rPr>
              <w:t>教学方法与教学方式</w:t>
            </w:r>
          </w:p>
        </w:tc>
        <w:tc>
          <w:tcPr>
            <w:tcW w:w="7772" w:type="dxa"/>
            <w:gridSpan w:val="14"/>
            <w:tcBorders>
              <w:top w:val="single" w:color="auto" w:sz="4" w:space="0"/>
              <w:left w:val="single" w:color="auto" w:sz="4" w:space="0"/>
              <w:bottom w:val="single" w:color="auto" w:sz="4" w:space="0"/>
              <w:right w:val="single" w:color="auto" w:sz="4" w:space="0"/>
            </w:tcBorders>
            <w:vAlign w:val="center"/>
          </w:tcPr>
          <w:p w14:paraId="381CA795">
            <w:pPr>
              <w:numPr>
                <w:ilvl w:val="0"/>
                <w:numId w:val="7"/>
              </w:numPr>
              <w:rPr>
                <w:rFonts w:hint="eastAsia" w:ascii="仿宋" w:hAnsi="仿宋" w:eastAsia="仿宋" w:cs="仿宋"/>
                <w:sz w:val="24"/>
                <w:szCs w:val="24"/>
              </w:rPr>
            </w:pPr>
            <w:r>
              <w:rPr>
                <w:rFonts w:hint="eastAsia" w:ascii="仿宋" w:hAnsi="仿宋" w:eastAsia="仿宋" w:cs="仿宋"/>
                <w:sz w:val="24"/>
                <w:szCs w:val="24"/>
              </w:rPr>
              <w:t>本课程以课堂讲授与练习相结合，采用小组课的授课方式，对学生进行有针对性的集体教学。</w:t>
            </w:r>
          </w:p>
          <w:p w14:paraId="5CFCB3A1">
            <w:pPr>
              <w:numPr>
                <w:ilvl w:val="0"/>
                <w:numId w:val="7"/>
              </w:numPr>
              <w:rPr>
                <w:rFonts w:hint="eastAsia" w:ascii="仿宋" w:hAnsi="仿宋" w:eastAsia="仿宋" w:cs="仿宋"/>
                <w:sz w:val="24"/>
                <w:szCs w:val="24"/>
              </w:rPr>
            </w:pPr>
            <w:r>
              <w:rPr>
                <w:rFonts w:hint="eastAsia" w:ascii="仿宋" w:hAnsi="仿宋" w:eastAsia="仿宋" w:cs="仿宋"/>
                <w:sz w:val="24"/>
                <w:szCs w:val="24"/>
              </w:rPr>
              <w:t>开通网络课堂，达到与学生及时沟通、交流的目的。同时重视师生互动与小组活动，组织课堂小组讨论和小组练习，将课堂教学变为师生共同活动的过程。</w:t>
            </w:r>
          </w:p>
          <w:p w14:paraId="67E1D50F">
            <w:pPr>
              <w:numPr>
                <w:ilvl w:val="0"/>
                <w:numId w:val="7"/>
              </w:numPr>
              <w:rPr>
                <w:rFonts w:hint="eastAsia" w:ascii="Wingdings" w:hAnsi="Wingdings" w:eastAsia="Wingdings" w:cs="Wingdings"/>
                <w:sz w:val="24"/>
                <w:szCs w:val="24"/>
              </w:rPr>
            </w:pPr>
            <w:r>
              <w:rPr>
                <w:rFonts w:hint="eastAsia" w:ascii="仿宋" w:hAnsi="仿宋" w:eastAsia="仿宋" w:cs="仿宋"/>
                <w:sz w:val="24"/>
                <w:szCs w:val="24"/>
              </w:rPr>
              <w:t>主要方式：</w:t>
            </w:r>
          </w:p>
          <w:p w14:paraId="7EA57D14">
            <w:pPr>
              <w:ind w:leftChars="0" w:rightChars="0" w:firstLineChars="200"/>
              <w:rPr>
                <w:rFonts w:hint="eastAsia" w:ascii="Wingdings" w:hAnsi="Wingdings" w:eastAsia="Wingdings" w:cs="Wingdings"/>
                <w:sz w:val="24"/>
                <w:szCs w:val="24"/>
              </w:rPr>
            </w:pPr>
            <w:r>
              <w:rPr>
                <w:rFonts w:hint="eastAsia" w:ascii="Wingdings" w:hAnsi="Wingdings" w:eastAsia="Wingdings" w:cs="Wingdings"/>
                <w:sz w:val="24"/>
                <w:szCs w:val="24"/>
              </w:rPr>
              <w:t>þ</w:t>
            </w:r>
            <w:r>
              <w:rPr>
                <w:rFonts w:hint="eastAsia" w:ascii="仿宋" w:hAnsi="仿宋" w:eastAsia="仿宋" w:cs="仿宋"/>
                <w:sz w:val="24"/>
                <w:szCs w:val="24"/>
              </w:rPr>
              <w:t xml:space="preserve">讲授  </w:t>
            </w:r>
            <w:r>
              <w:rPr>
                <w:rFonts w:hint="eastAsia" w:ascii="Wingdings" w:hAnsi="Wingdings" w:eastAsia="Wingdings" w:cs="Wingdings"/>
                <w:sz w:val="24"/>
                <w:szCs w:val="24"/>
              </w:rPr>
              <w:t>þ</w:t>
            </w:r>
            <w:r>
              <w:rPr>
                <w:rFonts w:hint="eastAsia" w:ascii="仿宋" w:hAnsi="仿宋" w:eastAsia="仿宋" w:cs="仿宋"/>
                <w:sz w:val="24"/>
                <w:szCs w:val="24"/>
              </w:rPr>
              <w:t xml:space="preserve">网络学习  </w:t>
            </w:r>
            <w:r>
              <w:rPr>
                <w:rFonts w:hint="eastAsia" w:ascii="Wingdings" w:hAnsi="Wingdings" w:eastAsia="Wingdings" w:cs="Wingdings"/>
                <w:sz w:val="24"/>
                <w:szCs w:val="24"/>
              </w:rPr>
              <w:t>þ</w:t>
            </w:r>
            <w:r>
              <w:rPr>
                <w:rFonts w:hint="eastAsia" w:ascii="仿宋" w:hAnsi="仿宋" w:eastAsia="仿宋" w:cs="仿宋"/>
                <w:sz w:val="24"/>
                <w:szCs w:val="24"/>
              </w:rPr>
              <w:t xml:space="preserve">讨论或座谈  </w:t>
            </w:r>
            <w:r>
              <w:rPr>
                <w:rFonts w:hint="eastAsia" w:ascii="Wingdings" w:hAnsi="Wingdings" w:eastAsia="Wingdings" w:cs="Wingdings"/>
                <w:sz w:val="24"/>
                <w:szCs w:val="24"/>
              </w:rPr>
              <w:t>¨</w:t>
            </w:r>
            <w:r>
              <w:rPr>
                <w:rFonts w:hint="eastAsia" w:ascii="仿宋" w:hAnsi="仿宋" w:eastAsia="仿宋" w:cs="仿宋"/>
                <w:sz w:val="24"/>
                <w:szCs w:val="24"/>
              </w:rPr>
              <w:t xml:space="preserve">问题导向学  </w:t>
            </w:r>
          </w:p>
          <w:p w14:paraId="290167C5">
            <w:pPr>
              <w:ind w:leftChars="0" w:rightChars="0" w:firstLineChars="200"/>
              <w:rPr>
                <w:rFonts w:hint="eastAsia" w:ascii="Wingdings" w:hAnsi="Wingdings" w:eastAsia="Wingdings" w:cs="Wingdings"/>
                <w:sz w:val="24"/>
                <w:szCs w:val="24"/>
              </w:rPr>
            </w:pPr>
            <w:r>
              <w:rPr>
                <w:rFonts w:hint="eastAsia" w:ascii="Wingdings" w:hAnsi="Wingdings" w:eastAsia="Wingdings" w:cs="Wingdings"/>
                <w:sz w:val="24"/>
                <w:szCs w:val="24"/>
              </w:rPr>
              <w:t>þ</w:t>
            </w:r>
            <w:r>
              <w:rPr>
                <w:rFonts w:hint="eastAsia" w:ascii="仿宋" w:hAnsi="仿宋" w:eastAsia="仿宋" w:cs="仿宋"/>
                <w:sz w:val="24"/>
                <w:szCs w:val="24"/>
              </w:rPr>
              <w:t xml:space="preserve">分组合作学习  </w:t>
            </w:r>
            <w:r>
              <w:rPr>
                <w:rFonts w:hint="eastAsia" w:ascii="Wingdings" w:hAnsi="Wingdings" w:eastAsia="Wingdings" w:cs="Wingdings"/>
                <w:sz w:val="24"/>
                <w:szCs w:val="24"/>
              </w:rPr>
              <w:t>¨</w:t>
            </w:r>
            <w:r>
              <w:rPr>
                <w:rFonts w:hint="eastAsia" w:ascii="仿宋" w:hAnsi="仿宋" w:eastAsia="仿宋" w:cs="仿宋"/>
                <w:sz w:val="24"/>
                <w:szCs w:val="24"/>
              </w:rPr>
              <w:t xml:space="preserve">专题学习  </w:t>
            </w:r>
            <w:r>
              <w:rPr>
                <w:rFonts w:hint="eastAsia" w:ascii="Wingdings" w:hAnsi="Wingdings" w:eastAsia="Wingdings" w:cs="Wingdings"/>
                <w:sz w:val="24"/>
                <w:szCs w:val="24"/>
              </w:rPr>
              <w:t>þ</w:t>
            </w:r>
            <w:r>
              <w:rPr>
                <w:rFonts w:hint="eastAsia" w:ascii="仿宋" w:hAnsi="仿宋" w:eastAsia="仿宋" w:cs="仿宋"/>
                <w:sz w:val="24"/>
                <w:szCs w:val="24"/>
              </w:rPr>
              <w:t xml:space="preserve">实作学习  </w:t>
            </w:r>
            <w:r>
              <w:rPr>
                <w:rFonts w:hint="eastAsia" w:ascii="Wingdings" w:hAnsi="Wingdings" w:eastAsia="Wingdings" w:cs="Wingdings"/>
                <w:sz w:val="24"/>
                <w:szCs w:val="24"/>
              </w:rPr>
              <w:t>¨</w:t>
            </w:r>
            <w:r>
              <w:rPr>
                <w:rFonts w:hint="eastAsia" w:ascii="仿宋" w:hAnsi="仿宋" w:eastAsia="仿宋" w:cs="仿宋"/>
                <w:sz w:val="24"/>
                <w:szCs w:val="24"/>
              </w:rPr>
              <w:t xml:space="preserve">发表学习  </w:t>
            </w:r>
          </w:p>
          <w:p w14:paraId="0C2F7DB6">
            <w:pPr>
              <w:ind w:leftChars="0" w:rightChars="0" w:firstLineChars="200"/>
            </w:pPr>
            <w:r>
              <w:rPr>
                <w:rFonts w:hint="eastAsia" w:ascii="Wingdings" w:hAnsi="Wingdings" w:eastAsia="Wingdings" w:cs="Wingdings"/>
                <w:sz w:val="24"/>
                <w:szCs w:val="24"/>
              </w:rPr>
              <w:t>¨</w:t>
            </w:r>
            <w:r>
              <w:rPr>
                <w:rFonts w:hint="eastAsia" w:ascii="仿宋" w:hAnsi="仿宋" w:eastAsia="仿宋" w:cs="仿宋"/>
                <w:sz w:val="24"/>
                <w:szCs w:val="24"/>
              </w:rPr>
              <w:t xml:space="preserve">实习  </w:t>
            </w:r>
            <w:r>
              <w:rPr>
                <w:rFonts w:hint="eastAsia" w:ascii="Wingdings" w:hAnsi="Wingdings" w:eastAsia="Wingdings" w:cs="Wingdings"/>
                <w:sz w:val="24"/>
                <w:szCs w:val="24"/>
              </w:rPr>
              <w:t>¨</w:t>
            </w:r>
            <w:r>
              <w:rPr>
                <w:rFonts w:hint="eastAsia" w:ascii="仿宋" w:hAnsi="仿宋" w:eastAsia="仿宋" w:cs="仿宋"/>
                <w:sz w:val="24"/>
                <w:szCs w:val="24"/>
              </w:rPr>
              <w:t xml:space="preserve">参观访问  </w:t>
            </w:r>
            <w:r>
              <w:rPr>
                <w:rFonts w:hint="eastAsia" w:ascii="Wingdings" w:hAnsi="Wingdings" w:eastAsia="Wingdings" w:cs="Wingdings"/>
                <w:sz w:val="24"/>
                <w:szCs w:val="24"/>
              </w:rPr>
              <w:t>¨</w:t>
            </w:r>
            <w:r>
              <w:rPr>
                <w:rFonts w:hint="eastAsia" w:ascii="仿宋" w:hAnsi="仿宋" w:eastAsia="仿宋" w:cs="仿宋"/>
                <w:sz w:val="24"/>
                <w:szCs w:val="24"/>
              </w:rPr>
              <w:t>其它：        (如口头训练等)</w:t>
            </w:r>
          </w:p>
        </w:tc>
      </w:tr>
      <w:tr w14:paraId="54FDAC92">
        <w:trPr>
          <w:trHeight w:val="580" w:hRule="atLeast"/>
        </w:trPr>
        <w:tc>
          <w:tcPr>
            <w:tcW w:w="1376" w:type="dxa"/>
            <w:tcBorders>
              <w:top w:val="single" w:color="auto" w:sz="4" w:space="0"/>
              <w:left w:val="single" w:color="auto" w:sz="4" w:space="0"/>
              <w:bottom w:val="single" w:color="auto" w:sz="4" w:space="0"/>
              <w:right w:val="single" w:color="auto" w:sz="4" w:space="0"/>
            </w:tcBorders>
            <w:vAlign w:val="center"/>
          </w:tcPr>
          <w:p w14:paraId="2DFA225F">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J</w:t>
            </w:r>
          </w:p>
          <w:p w14:paraId="1C01550D">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教学条件</w:t>
            </w:r>
          </w:p>
          <w:p w14:paraId="66AE4278">
            <w:pPr>
              <w:spacing w:line="240" w:lineRule="atLeast"/>
              <w:jc w:val="center"/>
            </w:pPr>
            <w:r>
              <w:rPr>
                <w:rFonts w:hint="eastAsia" w:ascii="仿宋" w:hAnsi="仿宋" w:eastAsia="仿宋" w:cs="仿宋"/>
                <w:sz w:val="24"/>
                <w:szCs w:val="24"/>
              </w:rPr>
              <w:t>需求</w:t>
            </w:r>
          </w:p>
        </w:tc>
        <w:tc>
          <w:tcPr>
            <w:tcW w:w="7772" w:type="dxa"/>
            <w:gridSpan w:val="14"/>
            <w:tcBorders>
              <w:top w:val="single" w:color="auto" w:sz="4" w:space="0"/>
              <w:left w:val="single" w:color="auto" w:sz="4" w:space="0"/>
              <w:bottom w:val="single" w:color="auto" w:sz="4" w:space="0"/>
              <w:right w:val="single" w:color="auto" w:sz="4" w:space="0"/>
            </w:tcBorders>
            <w:vAlign w:val="center"/>
          </w:tcPr>
          <w:p w14:paraId="16B31BD3">
            <w:pPr>
              <w:tabs>
                <w:tab w:val="left" w:pos="720"/>
              </w:tabs>
              <w:spacing w:line="240" w:lineRule="atLeast"/>
              <w:rPr>
                <w:rFonts w:hint="eastAsia" w:ascii="仿宋" w:hAnsi="仿宋" w:eastAsia="仿宋" w:cs="仿宋"/>
                <w:sz w:val="24"/>
                <w:szCs w:val="24"/>
              </w:rPr>
            </w:pPr>
            <w:r>
              <w:rPr>
                <w:rFonts w:hint="eastAsia" w:ascii="仿宋" w:hAnsi="仿宋" w:eastAsia="仿宋" w:cs="仿宋"/>
                <w:kern w:val="0"/>
                <w:sz w:val="24"/>
                <w:szCs w:val="24"/>
              </w:rPr>
              <w:t>（如时间、地点安排与“一课双师”等教师配备需求等）</w:t>
            </w:r>
          </w:p>
          <w:p w14:paraId="1A367457">
            <w:pPr>
              <w:tabs>
                <w:tab w:val="left" w:pos="720"/>
              </w:tabs>
            </w:pPr>
            <w:r>
              <w:rPr>
                <w:rFonts w:hint="eastAsia" w:ascii="仿宋" w:hAnsi="仿宋" w:eastAsia="仿宋" w:cs="仿宋"/>
                <w:sz w:val="24"/>
                <w:szCs w:val="24"/>
              </w:rPr>
              <w:t>需要钢琴、演艺厅、教学琴房等教学场所等工具需求。</w:t>
            </w:r>
          </w:p>
        </w:tc>
      </w:tr>
      <w:tr w14:paraId="1B119C73">
        <w:trPr>
          <w:trHeight w:val="711" w:hRule="atLeast"/>
        </w:trPr>
        <w:tc>
          <w:tcPr>
            <w:tcW w:w="1376" w:type="dxa"/>
            <w:vMerge w:val="restart"/>
            <w:tcBorders>
              <w:top w:val="single" w:color="auto" w:sz="4" w:space="0"/>
              <w:left w:val="single" w:color="auto" w:sz="4" w:space="0"/>
              <w:bottom w:val="single" w:color="auto" w:sz="4" w:space="0"/>
              <w:right w:val="single" w:color="auto" w:sz="4" w:space="0"/>
            </w:tcBorders>
            <w:vAlign w:val="center"/>
          </w:tcPr>
          <w:p w14:paraId="0566C1E5">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K</w:t>
            </w:r>
          </w:p>
          <w:p w14:paraId="0F2ECC83">
            <w:pPr>
              <w:spacing w:line="240" w:lineRule="atLeast"/>
              <w:jc w:val="center"/>
            </w:pPr>
            <w:r>
              <w:rPr>
                <w:rFonts w:hint="eastAsia" w:ascii="仿宋" w:hAnsi="仿宋" w:eastAsia="仿宋" w:cs="仿宋"/>
                <w:sz w:val="24"/>
                <w:szCs w:val="24"/>
              </w:rPr>
              <w:t>课程目标及其考核内容、考核方式及评分占比</w:t>
            </w:r>
          </w:p>
        </w:tc>
        <w:tc>
          <w:tcPr>
            <w:tcW w:w="1181" w:type="dxa"/>
            <w:gridSpan w:val="2"/>
            <w:vMerge w:val="restart"/>
            <w:tcBorders>
              <w:top w:val="single" w:color="auto" w:sz="4" w:space="0"/>
              <w:left w:val="single" w:color="auto" w:sz="4" w:space="0"/>
              <w:bottom w:val="single" w:color="auto" w:sz="4" w:space="0"/>
              <w:right w:val="single" w:color="auto" w:sz="4" w:space="0"/>
            </w:tcBorders>
            <w:vAlign w:val="center"/>
          </w:tcPr>
          <w:p w14:paraId="5A81D616">
            <w:r>
              <w:rPr>
                <w:rFonts w:hint="eastAsia" w:ascii="仿宋" w:hAnsi="仿宋" w:eastAsia="仿宋" w:cs="仿宋"/>
                <w:sz w:val="24"/>
                <w:szCs w:val="24"/>
              </w:rPr>
              <w:t>课程目标及评分占比</w:t>
            </w:r>
          </w:p>
        </w:tc>
        <w:tc>
          <w:tcPr>
            <w:tcW w:w="3098" w:type="dxa"/>
            <w:gridSpan w:val="4"/>
            <w:vMerge w:val="restart"/>
            <w:tcBorders>
              <w:top w:val="single" w:color="auto" w:sz="4" w:space="0"/>
              <w:left w:val="single" w:color="auto" w:sz="4" w:space="0"/>
              <w:bottom w:val="single" w:color="auto" w:sz="4" w:space="0"/>
              <w:right w:val="single" w:color="auto" w:sz="4" w:space="0"/>
            </w:tcBorders>
            <w:vAlign w:val="center"/>
          </w:tcPr>
          <w:p w14:paraId="5475DBBB">
            <w:pPr>
              <w:tabs>
                <w:tab w:val="left" w:pos="720"/>
              </w:tabs>
              <w:jc w:val="center"/>
            </w:pPr>
            <w:r>
              <w:rPr>
                <w:rFonts w:hint="eastAsia" w:ascii="仿宋" w:hAnsi="仿宋" w:eastAsia="仿宋" w:cs="仿宋"/>
                <w:kern w:val="0"/>
                <w:sz w:val="24"/>
                <w:szCs w:val="24"/>
              </w:rPr>
              <w:t>考核内容</w:t>
            </w:r>
          </w:p>
        </w:tc>
        <w:tc>
          <w:tcPr>
            <w:tcW w:w="2904" w:type="dxa"/>
            <w:gridSpan w:val="7"/>
            <w:tcBorders>
              <w:top w:val="single" w:color="auto" w:sz="4" w:space="0"/>
              <w:left w:val="single" w:color="auto" w:sz="4" w:space="0"/>
              <w:bottom w:val="single" w:color="auto" w:sz="4" w:space="0"/>
              <w:right w:val="single" w:color="auto" w:sz="4" w:space="0"/>
            </w:tcBorders>
            <w:vAlign w:val="center"/>
          </w:tcPr>
          <w:p w14:paraId="34348460">
            <w:pPr>
              <w:jc w:val="center"/>
            </w:pPr>
            <w:r>
              <w:rPr>
                <w:rFonts w:hint="eastAsia" w:ascii="仿宋" w:hAnsi="仿宋" w:eastAsia="仿宋" w:cs="仿宋"/>
                <w:sz w:val="24"/>
                <w:szCs w:val="24"/>
              </w:rPr>
              <w:t>考核方式</w:t>
            </w:r>
          </w:p>
        </w:tc>
        <w:tc>
          <w:tcPr>
            <w:tcW w:w="589" w:type="dxa"/>
            <w:vMerge w:val="restart"/>
            <w:tcBorders>
              <w:top w:val="single" w:color="auto" w:sz="4" w:space="0"/>
              <w:left w:val="single" w:color="auto" w:sz="4" w:space="0"/>
              <w:bottom w:val="single" w:color="auto" w:sz="4" w:space="0"/>
              <w:right w:val="single" w:color="auto" w:sz="4" w:space="0"/>
            </w:tcBorders>
            <w:vAlign w:val="center"/>
          </w:tcPr>
          <w:p w14:paraId="0393FEB3">
            <w:pPr>
              <w:tabs>
                <w:tab w:val="left" w:pos="720"/>
              </w:tabs>
              <w:jc w:val="center"/>
            </w:pPr>
            <w:r>
              <w:rPr>
                <w:rFonts w:hint="eastAsia" w:ascii="仿宋" w:hAnsi="仿宋" w:eastAsia="仿宋" w:cs="仿宋"/>
                <w:sz w:val="24"/>
                <w:szCs w:val="24"/>
              </w:rPr>
              <w:t>课程分目标的达成度</w:t>
            </w:r>
          </w:p>
        </w:tc>
      </w:tr>
      <w:tr w14:paraId="3AF0AB4E">
        <w:trPr>
          <w:trHeight w:val="184" w:hRule="atLeast"/>
        </w:trPr>
        <w:tc>
          <w:tcPr>
            <w:tcW w:w="1376" w:type="dxa"/>
            <w:vMerge w:val="continue"/>
            <w:tcBorders>
              <w:top w:val="single" w:color="auto" w:sz="4" w:space="0"/>
              <w:left w:val="single" w:color="auto" w:sz="4" w:space="0"/>
              <w:bottom w:val="single" w:color="auto" w:sz="4" w:space="0"/>
              <w:right w:val="single" w:color="auto" w:sz="4" w:space="0"/>
            </w:tcBorders>
            <w:vAlign w:val="center"/>
          </w:tcPr>
          <w:p w14:paraId="56E991DD">
            <w:pPr>
              <w:spacing w:line="240" w:lineRule="atLeast"/>
              <w:jc w:val="center"/>
              <w:rPr>
                <w:rFonts w:hint="eastAsia" w:ascii="仿宋" w:hAnsi="仿宋" w:eastAsia="仿宋" w:cs="仿宋"/>
                <w:kern w:val="0"/>
                <w:sz w:val="24"/>
                <w:szCs w:val="24"/>
              </w:rPr>
            </w:pPr>
          </w:p>
        </w:tc>
        <w:tc>
          <w:tcPr>
            <w:tcW w:w="1181" w:type="dxa"/>
            <w:gridSpan w:val="2"/>
            <w:vMerge w:val="continue"/>
            <w:tcBorders>
              <w:top w:val="single" w:color="auto" w:sz="4" w:space="0"/>
              <w:left w:val="single" w:color="auto" w:sz="4" w:space="0"/>
              <w:bottom w:val="single" w:color="auto" w:sz="4" w:space="0"/>
              <w:right w:val="single" w:color="auto" w:sz="4" w:space="0"/>
            </w:tcBorders>
            <w:vAlign w:val="center"/>
          </w:tcPr>
          <w:p w14:paraId="28837449">
            <w:pPr>
              <w:jc w:val="right"/>
              <w:rPr>
                <w:rFonts w:hint="eastAsia" w:ascii="仿宋" w:hAnsi="仿宋" w:eastAsia="仿宋" w:cs="仿宋"/>
                <w:sz w:val="24"/>
                <w:szCs w:val="24"/>
              </w:rPr>
            </w:pPr>
          </w:p>
        </w:tc>
        <w:tc>
          <w:tcPr>
            <w:tcW w:w="3098" w:type="dxa"/>
            <w:gridSpan w:val="4"/>
            <w:vMerge w:val="continue"/>
            <w:tcBorders>
              <w:top w:val="single" w:color="auto" w:sz="4" w:space="0"/>
              <w:left w:val="single" w:color="auto" w:sz="4" w:space="0"/>
              <w:bottom w:val="single" w:color="auto" w:sz="4" w:space="0"/>
              <w:right w:val="single" w:color="auto" w:sz="4" w:space="0"/>
            </w:tcBorders>
            <w:vAlign w:val="center"/>
          </w:tcPr>
          <w:p w14:paraId="54131544">
            <w:pPr>
              <w:tabs>
                <w:tab w:val="left" w:pos="720"/>
              </w:tabs>
              <w:jc w:val="center"/>
              <w:rPr>
                <w:rFonts w:hint="eastAsia" w:ascii="仿宋" w:hAnsi="仿宋" w:eastAsia="仿宋" w:cs="仿宋"/>
                <w:kern w:val="0"/>
                <w:sz w:val="24"/>
                <w:szCs w:val="24"/>
              </w:rPr>
            </w:pPr>
          </w:p>
        </w:tc>
        <w:tc>
          <w:tcPr>
            <w:tcW w:w="587" w:type="dxa"/>
            <w:tcBorders>
              <w:top w:val="single" w:color="auto" w:sz="4" w:space="0"/>
              <w:left w:val="single" w:color="auto" w:sz="4" w:space="0"/>
              <w:bottom w:val="single" w:color="auto" w:sz="4" w:space="0"/>
              <w:right w:val="single" w:color="auto" w:sz="4" w:space="0"/>
            </w:tcBorders>
            <w:vAlign w:val="center"/>
          </w:tcPr>
          <w:p w14:paraId="48ADA55C">
            <w:pPr>
              <w:tabs>
                <w:tab w:val="left" w:pos="720"/>
              </w:tabs>
              <w:jc w:val="center"/>
            </w:pPr>
            <w:r>
              <w:rPr>
                <w:rFonts w:hint="eastAsia" w:ascii="仿宋" w:hAnsi="仿宋" w:eastAsia="仿宋" w:cs="仿宋"/>
                <w:sz w:val="24"/>
                <w:szCs w:val="24"/>
              </w:rPr>
              <w:t>作业/练习评分占比（30%）</w:t>
            </w:r>
          </w:p>
        </w:tc>
        <w:tc>
          <w:tcPr>
            <w:tcW w:w="543" w:type="dxa"/>
            <w:tcBorders>
              <w:top w:val="single" w:color="auto" w:sz="4" w:space="0"/>
              <w:left w:val="single" w:color="auto" w:sz="4" w:space="0"/>
              <w:bottom w:val="single" w:color="auto" w:sz="4" w:space="0"/>
              <w:right w:val="single" w:color="auto" w:sz="4" w:space="0"/>
            </w:tcBorders>
            <w:vAlign w:val="center"/>
          </w:tcPr>
          <w:p w14:paraId="222F329A">
            <w:pPr>
              <w:jc w:val="center"/>
            </w:pPr>
            <w:r>
              <w:rPr>
                <w:rFonts w:hint="eastAsia" w:ascii="仿宋" w:hAnsi="仿宋" w:eastAsia="仿宋" w:cs="仿宋"/>
                <w:sz w:val="24"/>
                <w:szCs w:val="24"/>
              </w:rPr>
              <w:t>实验评分占比（0%）</w:t>
            </w:r>
          </w:p>
        </w:tc>
        <w:tc>
          <w:tcPr>
            <w:tcW w:w="600" w:type="dxa"/>
            <w:gridSpan w:val="2"/>
            <w:tcBorders>
              <w:top w:val="single" w:color="auto" w:sz="4" w:space="0"/>
              <w:left w:val="single" w:color="auto" w:sz="4" w:space="0"/>
              <w:bottom w:val="single" w:color="auto" w:sz="4" w:space="0"/>
              <w:right w:val="single" w:color="auto" w:sz="4" w:space="0"/>
            </w:tcBorders>
            <w:vAlign w:val="center"/>
          </w:tcPr>
          <w:p w14:paraId="79664A03">
            <w:pPr>
              <w:jc w:val="center"/>
            </w:pPr>
            <w:r>
              <w:rPr>
                <w:rFonts w:hint="eastAsia" w:ascii="仿宋" w:hAnsi="仿宋" w:eastAsia="仿宋" w:cs="仿宋"/>
                <w:kern w:val="0"/>
                <w:sz w:val="24"/>
                <w:szCs w:val="24"/>
              </w:rPr>
              <w:t>期中考试评分占比</w:t>
            </w:r>
            <w:r>
              <w:rPr>
                <w:rFonts w:hint="eastAsia" w:ascii="仿宋" w:hAnsi="仿宋" w:eastAsia="仿宋" w:cs="仿宋"/>
                <w:sz w:val="24"/>
                <w:szCs w:val="24"/>
              </w:rPr>
              <w:t>（30%）</w:t>
            </w:r>
          </w:p>
        </w:tc>
        <w:tc>
          <w:tcPr>
            <w:tcW w:w="600" w:type="dxa"/>
            <w:tcBorders>
              <w:top w:val="single" w:color="auto" w:sz="4" w:space="0"/>
              <w:left w:val="single" w:color="auto" w:sz="4" w:space="0"/>
              <w:bottom w:val="single" w:color="auto" w:sz="4" w:space="0"/>
              <w:right w:val="single" w:color="auto" w:sz="4" w:space="0"/>
            </w:tcBorders>
            <w:vAlign w:val="center"/>
          </w:tcPr>
          <w:p w14:paraId="7B4DA2AB">
            <w:pPr>
              <w:jc w:val="center"/>
            </w:pPr>
            <w:r>
              <w:rPr>
                <w:rFonts w:hint="eastAsia" w:ascii="仿宋" w:hAnsi="仿宋" w:eastAsia="仿宋" w:cs="仿宋"/>
                <w:sz w:val="24"/>
                <w:szCs w:val="24"/>
              </w:rPr>
              <w:t>课堂表现/考勤评分占比（0%）</w:t>
            </w:r>
          </w:p>
        </w:tc>
        <w:tc>
          <w:tcPr>
            <w:tcW w:w="574" w:type="dxa"/>
            <w:gridSpan w:val="2"/>
            <w:tcBorders>
              <w:top w:val="single" w:color="auto" w:sz="4" w:space="0"/>
              <w:left w:val="single" w:color="auto" w:sz="4" w:space="0"/>
              <w:bottom w:val="single" w:color="auto" w:sz="4" w:space="0"/>
              <w:right w:val="single" w:color="auto" w:sz="4" w:space="0"/>
            </w:tcBorders>
            <w:vAlign w:val="center"/>
          </w:tcPr>
          <w:p w14:paraId="3E034632">
            <w:pPr>
              <w:jc w:val="center"/>
            </w:pPr>
            <w:r>
              <w:rPr>
                <w:rFonts w:hint="eastAsia" w:ascii="仿宋" w:hAnsi="仿宋" w:eastAsia="仿宋" w:cs="仿宋"/>
                <w:sz w:val="24"/>
                <w:szCs w:val="24"/>
              </w:rPr>
              <w:t>期末考试评分占比（40%）</w:t>
            </w:r>
          </w:p>
        </w:tc>
        <w:tc>
          <w:tcPr>
            <w:tcW w:w="589" w:type="dxa"/>
            <w:vMerge w:val="continue"/>
            <w:tcBorders>
              <w:top w:val="single" w:color="auto" w:sz="4" w:space="0"/>
              <w:left w:val="single" w:color="auto" w:sz="4" w:space="0"/>
              <w:bottom w:val="single" w:color="auto" w:sz="4" w:space="0"/>
              <w:right w:val="single" w:color="auto" w:sz="4" w:space="0"/>
            </w:tcBorders>
            <w:vAlign w:val="center"/>
          </w:tcPr>
          <w:p w14:paraId="7DF31153">
            <w:pPr>
              <w:tabs>
                <w:tab w:val="left" w:pos="720"/>
              </w:tabs>
              <w:jc w:val="center"/>
              <w:rPr>
                <w:rFonts w:hint="eastAsia" w:ascii="仿宋" w:hAnsi="仿宋" w:eastAsia="仿宋" w:cs="仿宋"/>
                <w:sz w:val="24"/>
                <w:szCs w:val="24"/>
              </w:rPr>
            </w:pPr>
          </w:p>
        </w:tc>
      </w:tr>
      <w:tr w14:paraId="0DB77AEB">
        <w:tc>
          <w:tcPr>
            <w:tcW w:w="1376" w:type="dxa"/>
            <w:vMerge w:val="continue"/>
            <w:tcBorders>
              <w:top w:val="single" w:color="auto" w:sz="4" w:space="0"/>
              <w:left w:val="single" w:color="auto" w:sz="4" w:space="0"/>
              <w:bottom w:val="single" w:color="auto" w:sz="4" w:space="0"/>
              <w:right w:val="single" w:color="auto" w:sz="4" w:space="0"/>
            </w:tcBorders>
            <w:vAlign w:val="center"/>
          </w:tcPr>
          <w:p w14:paraId="47339C7A">
            <w:pPr>
              <w:spacing w:line="240" w:lineRule="atLeast"/>
              <w:jc w:val="center"/>
              <w:rPr>
                <w:rFonts w:hint="eastAsia" w:ascii="仿宋" w:hAnsi="仿宋" w:eastAsia="仿宋" w:cs="仿宋"/>
                <w:sz w:val="24"/>
                <w:szCs w:val="24"/>
                <w:lang w:eastAsia="zh-TW"/>
              </w:rPr>
            </w:pPr>
          </w:p>
        </w:tc>
        <w:tc>
          <w:tcPr>
            <w:tcW w:w="1181" w:type="dxa"/>
            <w:gridSpan w:val="2"/>
            <w:tcBorders>
              <w:top w:val="single" w:color="auto" w:sz="4" w:space="0"/>
              <w:left w:val="single" w:color="auto" w:sz="4" w:space="0"/>
              <w:bottom w:val="single" w:color="auto" w:sz="4" w:space="0"/>
              <w:right w:val="single" w:color="auto" w:sz="4" w:space="0"/>
            </w:tcBorders>
            <w:vAlign w:val="center"/>
          </w:tcPr>
          <w:p w14:paraId="2BBC84C0">
            <w:pPr>
              <w:jc w:val="center"/>
              <w:rPr>
                <w:rFonts w:hint="eastAsia" w:ascii="仿宋" w:hAnsi="仿宋" w:eastAsia="仿宋" w:cs="仿宋"/>
                <w:sz w:val="24"/>
                <w:szCs w:val="24"/>
              </w:rPr>
            </w:pPr>
            <w:r>
              <w:rPr>
                <w:rFonts w:hint="eastAsia" w:ascii="仿宋" w:hAnsi="仿宋" w:eastAsia="仿宋" w:cs="仿宋"/>
                <w:bCs/>
                <w:sz w:val="24"/>
                <w:szCs w:val="24"/>
              </w:rPr>
              <w:t>课程目标1</w:t>
            </w:r>
          </w:p>
          <w:p w14:paraId="3B815C72">
            <w:pPr>
              <w:jc w:val="center"/>
            </w:pPr>
            <w:r>
              <w:rPr>
                <w:rFonts w:hint="eastAsia" w:ascii="仿宋" w:hAnsi="仿宋" w:eastAsia="仿宋" w:cs="仿宋"/>
                <w:sz w:val="24"/>
                <w:szCs w:val="24"/>
              </w:rPr>
              <w:t>高支撑（50%）</w:t>
            </w:r>
          </w:p>
        </w:tc>
        <w:tc>
          <w:tcPr>
            <w:tcW w:w="3098" w:type="dxa"/>
            <w:gridSpan w:val="4"/>
            <w:tcBorders>
              <w:top w:val="single" w:color="auto" w:sz="4" w:space="0"/>
              <w:left w:val="single" w:color="auto" w:sz="4" w:space="0"/>
              <w:bottom w:val="single" w:color="auto" w:sz="4" w:space="0"/>
              <w:right w:val="single" w:color="auto" w:sz="4" w:space="0"/>
            </w:tcBorders>
            <w:vAlign w:val="center"/>
          </w:tcPr>
          <w:p w14:paraId="5CD82FE7">
            <w:pPr>
              <w:rPr>
                <w:rFonts w:hint="eastAsia" w:ascii="仿宋" w:hAnsi="仿宋" w:eastAsia="仿宋" w:cs="仿宋"/>
                <w:bCs/>
                <w:sz w:val="24"/>
                <w:szCs w:val="24"/>
                <w:lang w:val="en-US" w:eastAsia="zh-CN"/>
              </w:rPr>
            </w:pPr>
            <w:r>
              <w:rPr>
                <w:rFonts w:hint="eastAsia" w:ascii="仿宋" w:hAnsi="仿宋" w:eastAsia="仿宋" w:cs="仿宋"/>
                <w:sz w:val="24"/>
                <w:szCs w:val="24"/>
              </w:rPr>
              <w:t>掌握钢琴基本功，形成音乐学科基础核心素养。将音乐的一些基本理念通过实践表现出来,且能综合运用学过的理论、实践知识，分析和解决问题。</w:t>
            </w:r>
            <w:r>
              <w:rPr>
                <w:rFonts w:hint="eastAsia" w:ascii="仿宋" w:hAnsi="仿宋" w:eastAsia="仿宋" w:cs="仿宋"/>
                <w:sz w:val="24"/>
                <w:szCs w:val="24"/>
                <w:lang w:val="en-US" w:eastAsia="zh-CN"/>
              </w:rPr>
              <w:t>通过课程学习，学生能够对于中国钢琴作品概貌有一定程度的了解，对于具有良好群众基础的红色钢琴作品、有思政教育意义的中国钢琴作品有正确的认识和诠释能力。</w:t>
            </w:r>
          </w:p>
          <w:p w14:paraId="7F1107E7">
            <w:pPr>
              <w:ind w:leftChars="0" w:rightChars="0" w:firstLineChars="200"/>
              <w:rPr>
                <w:rFonts w:hint="eastAsia" w:ascii="仿宋" w:hAnsi="仿宋" w:eastAsia="仿宋" w:cs="仿宋"/>
                <w:bCs/>
                <w:sz w:val="24"/>
                <w:szCs w:val="24"/>
                <w:lang w:val="en-US" w:eastAsia="zh-CN"/>
              </w:rPr>
            </w:pPr>
          </w:p>
        </w:tc>
        <w:tc>
          <w:tcPr>
            <w:tcW w:w="587" w:type="dxa"/>
            <w:tcBorders>
              <w:top w:val="single" w:color="auto" w:sz="4" w:space="0"/>
              <w:left w:val="single" w:color="auto" w:sz="4" w:space="0"/>
              <w:bottom w:val="single" w:color="auto" w:sz="4" w:space="0"/>
              <w:right w:val="single" w:color="auto" w:sz="4" w:space="0"/>
            </w:tcBorders>
            <w:vAlign w:val="center"/>
          </w:tcPr>
          <w:p w14:paraId="67CAB455">
            <w:r>
              <w:rPr>
                <w:rFonts w:hint="eastAsia" w:ascii="仿宋" w:hAnsi="仿宋" w:eastAsia="仿宋" w:cs="仿宋"/>
                <w:bCs/>
                <w:sz w:val="24"/>
                <w:szCs w:val="24"/>
                <w:lang w:val="en-US" w:eastAsia="zh-CN"/>
              </w:rPr>
              <w:t>15</w:t>
            </w:r>
          </w:p>
        </w:tc>
        <w:tc>
          <w:tcPr>
            <w:tcW w:w="543" w:type="dxa"/>
            <w:tcBorders>
              <w:top w:val="single" w:color="auto" w:sz="4" w:space="0"/>
              <w:left w:val="single" w:color="auto" w:sz="4" w:space="0"/>
              <w:bottom w:val="single" w:color="auto" w:sz="4" w:space="0"/>
              <w:right w:val="single" w:color="auto" w:sz="4" w:space="0"/>
            </w:tcBorders>
            <w:vAlign w:val="center"/>
          </w:tcPr>
          <w:p w14:paraId="42930E73">
            <w:r>
              <w:rPr>
                <w:rFonts w:hint="eastAsia" w:ascii="仿宋" w:hAnsi="仿宋" w:eastAsia="仿宋" w:cs="仿宋"/>
                <w:bCs/>
                <w:sz w:val="24"/>
                <w:szCs w:val="24"/>
              </w:rPr>
              <w:t>0</w:t>
            </w:r>
          </w:p>
        </w:tc>
        <w:tc>
          <w:tcPr>
            <w:tcW w:w="600" w:type="dxa"/>
            <w:gridSpan w:val="2"/>
            <w:tcBorders>
              <w:top w:val="single" w:color="auto" w:sz="4" w:space="0"/>
              <w:left w:val="single" w:color="auto" w:sz="4" w:space="0"/>
              <w:bottom w:val="single" w:color="auto" w:sz="4" w:space="0"/>
              <w:right w:val="single" w:color="auto" w:sz="4" w:space="0"/>
            </w:tcBorders>
            <w:vAlign w:val="center"/>
          </w:tcPr>
          <w:p w14:paraId="4BBBEC39">
            <w:r>
              <w:rPr>
                <w:rFonts w:hint="eastAsia" w:ascii="仿宋" w:hAnsi="仿宋" w:eastAsia="仿宋" w:cs="仿宋"/>
                <w:bCs/>
                <w:sz w:val="24"/>
                <w:szCs w:val="24"/>
                <w:lang w:val="en-US" w:eastAsia="zh-CN"/>
              </w:rPr>
              <w:t>15</w:t>
            </w:r>
          </w:p>
        </w:tc>
        <w:tc>
          <w:tcPr>
            <w:tcW w:w="600" w:type="dxa"/>
            <w:tcBorders>
              <w:top w:val="single" w:color="auto" w:sz="4" w:space="0"/>
              <w:left w:val="single" w:color="auto" w:sz="4" w:space="0"/>
              <w:bottom w:val="single" w:color="auto" w:sz="4" w:space="0"/>
              <w:right w:val="single" w:color="auto" w:sz="4" w:space="0"/>
            </w:tcBorders>
            <w:vAlign w:val="center"/>
          </w:tcPr>
          <w:p w14:paraId="161306CC">
            <w:r>
              <w:rPr>
                <w:rFonts w:ascii="仿宋" w:hAnsi="仿宋" w:eastAsia="仿宋" w:cs="仿宋"/>
                <w:bCs/>
                <w:sz w:val="24"/>
                <w:szCs w:val="24"/>
              </w:rPr>
              <w:t>0</w:t>
            </w:r>
          </w:p>
        </w:tc>
        <w:tc>
          <w:tcPr>
            <w:tcW w:w="574" w:type="dxa"/>
            <w:gridSpan w:val="2"/>
            <w:tcBorders>
              <w:top w:val="single" w:color="auto" w:sz="4" w:space="0"/>
              <w:left w:val="single" w:color="auto" w:sz="4" w:space="0"/>
              <w:bottom w:val="single" w:color="auto" w:sz="4" w:space="0"/>
              <w:right w:val="single" w:color="auto" w:sz="4" w:space="0"/>
            </w:tcBorders>
            <w:vAlign w:val="center"/>
          </w:tcPr>
          <w:p w14:paraId="1F3A94CE">
            <w:r>
              <w:rPr>
                <w:rFonts w:hint="eastAsia" w:ascii="仿宋" w:hAnsi="仿宋" w:eastAsia="仿宋" w:cs="仿宋"/>
                <w:bCs/>
                <w:sz w:val="24"/>
                <w:szCs w:val="24"/>
                <w:lang w:val="en-US" w:eastAsia="zh-CN"/>
              </w:rPr>
              <w:t>20</w:t>
            </w:r>
          </w:p>
        </w:tc>
        <w:tc>
          <w:tcPr>
            <w:tcW w:w="589" w:type="dxa"/>
            <w:tcBorders>
              <w:top w:val="single" w:color="auto" w:sz="4" w:space="0"/>
              <w:left w:val="single" w:color="auto" w:sz="4" w:space="0"/>
              <w:bottom w:val="single" w:color="auto" w:sz="4" w:space="0"/>
              <w:right w:val="single" w:color="auto" w:sz="4" w:space="0"/>
            </w:tcBorders>
            <w:vAlign w:val="center"/>
          </w:tcPr>
          <w:p w14:paraId="07DAE548">
            <w:pPr>
              <w:tabs>
                <w:tab w:val="left" w:pos="720"/>
              </w:tabs>
            </w:pPr>
            <w:r>
              <w:rPr>
                <w:rFonts w:hint="eastAsia" w:ascii="仿宋" w:hAnsi="仿宋" w:eastAsia="仿宋" w:cs="仿宋"/>
                <w:bCs/>
                <w:sz w:val="24"/>
                <w:szCs w:val="24"/>
                <w:lang w:val="en-US" w:eastAsia="zh-CN"/>
              </w:rPr>
              <w:t>50</w:t>
            </w:r>
          </w:p>
        </w:tc>
      </w:tr>
      <w:tr w14:paraId="4AD61542">
        <w:trPr>
          <w:trHeight w:val="745" w:hRule="atLeast"/>
        </w:trPr>
        <w:tc>
          <w:tcPr>
            <w:tcW w:w="1376" w:type="dxa"/>
            <w:vMerge w:val="continue"/>
            <w:tcBorders>
              <w:top w:val="single" w:color="auto" w:sz="4" w:space="0"/>
              <w:left w:val="single" w:color="auto" w:sz="4" w:space="0"/>
              <w:bottom w:val="single" w:color="auto" w:sz="4" w:space="0"/>
              <w:right w:val="single" w:color="auto" w:sz="4" w:space="0"/>
            </w:tcBorders>
            <w:vAlign w:val="center"/>
          </w:tcPr>
          <w:p w14:paraId="62CABD53">
            <w:pPr>
              <w:spacing w:line="240" w:lineRule="atLeast"/>
              <w:jc w:val="center"/>
              <w:rPr>
                <w:rFonts w:hint="eastAsia" w:ascii="仿宋" w:hAnsi="仿宋" w:eastAsia="仿宋" w:cs="仿宋"/>
                <w:bCs/>
                <w:sz w:val="24"/>
                <w:szCs w:val="24"/>
                <w:lang w:val="en-US" w:eastAsia="zh-TW"/>
              </w:rPr>
            </w:pPr>
          </w:p>
        </w:tc>
        <w:tc>
          <w:tcPr>
            <w:tcW w:w="1181" w:type="dxa"/>
            <w:gridSpan w:val="2"/>
            <w:tcBorders>
              <w:top w:val="single" w:color="auto" w:sz="4" w:space="0"/>
              <w:left w:val="single" w:color="auto" w:sz="4" w:space="0"/>
              <w:bottom w:val="single" w:color="auto" w:sz="4" w:space="0"/>
              <w:right w:val="single" w:color="auto" w:sz="4" w:space="0"/>
            </w:tcBorders>
            <w:vAlign w:val="center"/>
          </w:tcPr>
          <w:p w14:paraId="365595F7">
            <w:pPr>
              <w:jc w:val="center"/>
              <w:rPr>
                <w:rFonts w:hint="eastAsia" w:ascii="仿宋" w:hAnsi="仿宋" w:eastAsia="仿宋" w:cs="仿宋"/>
                <w:sz w:val="24"/>
                <w:szCs w:val="24"/>
              </w:rPr>
            </w:pPr>
            <w:r>
              <w:rPr>
                <w:rFonts w:hint="eastAsia" w:ascii="仿宋" w:hAnsi="仿宋" w:eastAsia="仿宋" w:cs="仿宋"/>
                <w:bCs/>
                <w:sz w:val="24"/>
                <w:szCs w:val="24"/>
              </w:rPr>
              <w:t>课程目标2</w:t>
            </w:r>
          </w:p>
          <w:p w14:paraId="46483D6B">
            <w:pPr>
              <w:jc w:val="center"/>
            </w:pPr>
            <w:r>
              <w:rPr>
                <w:rFonts w:hint="eastAsia" w:ascii="仿宋" w:hAnsi="仿宋" w:eastAsia="仿宋" w:cs="仿宋"/>
                <w:sz w:val="24"/>
                <w:szCs w:val="24"/>
              </w:rPr>
              <w:t>中支撑（30%）</w:t>
            </w:r>
          </w:p>
        </w:tc>
        <w:tc>
          <w:tcPr>
            <w:tcW w:w="3098" w:type="dxa"/>
            <w:gridSpan w:val="4"/>
            <w:tcBorders>
              <w:top w:val="single" w:color="auto" w:sz="4" w:space="0"/>
              <w:left w:val="single" w:color="auto" w:sz="4" w:space="0"/>
              <w:bottom w:val="single" w:color="auto" w:sz="4" w:space="0"/>
              <w:right w:val="single" w:color="auto" w:sz="4" w:space="0"/>
            </w:tcBorders>
            <w:vAlign w:val="center"/>
          </w:tcPr>
          <w:p w14:paraId="1807761C">
            <w:pPr>
              <w:ind w:leftChars="0" w:rightChars="0" w:firstLineChars="200"/>
            </w:pPr>
            <w:r>
              <w:rPr>
                <w:rFonts w:hint="eastAsia" w:ascii="仿宋" w:hAnsi="仿宋" w:eastAsia="仿宋" w:cs="仿宋"/>
                <w:sz w:val="24"/>
                <w:szCs w:val="24"/>
              </w:rPr>
              <w:t>因材施教，让不同初始程度的学生依据自己的能力，弹奏一定量的中小学音乐课曲目伴奏，对于一些弹过的曲目，能够比较熟悉地弹唱，旋律节奏基本准确。</w:t>
            </w:r>
            <w:r>
              <w:rPr>
                <w:rFonts w:hint="eastAsia" w:ascii="仿宋" w:hAnsi="仿宋" w:eastAsia="仿宋" w:cs="仿宋"/>
                <w:sz w:val="24"/>
                <w:szCs w:val="24"/>
                <w:lang w:val="en-US" w:eastAsia="zh-CN"/>
              </w:rPr>
              <w:t>对于有思政教育意义的曲目能够有正确的理解和认识，并能够正确地弹奏。</w:t>
            </w:r>
          </w:p>
        </w:tc>
        <w:tc>
          <w:tcPr>
            <w:tcW w:w="587" w:type="dxa"/>
            <w:tcBorders>
              <w:top w:val="single" w:color="auto" w:sz="4" w:space="0"/>
              <w:left w:val="single" w:color="auto" w:sz="4" w:space="0"/>
              <w:bottom w:val="single" w:color="auto" w:sz="4" w:space="0"/>
              <w:right w:val="single" w:color="auto" w:sz="4" w:space="0"/>
            </w:tcBorders>
            <w:vAlign w:val="center"/>
          </w:tcPr>
          <w:p w14:paraId="67BE3C88">
            <w:r>
              <w:rPr>
                <w:rFonts w:hint="eastAsia" w:ascii="仿宋" w:hAnsi="仿宋" w:eastAsia="仿宋" w:cs="仿宋"/>
                <w:bCs/>
                <w:sz w:val="24"/>
                <w:szCs w:val="24"/>
                <w:lang w:val="en-US" w:eastAsia="zh-CN"/>
              </w:rPr>
              <w:t>9</w:t>
            </w:r>
          </w:p>
        </w:tc>
        <w:tc>
          <w:tcPr>
            <w:tcW w:w="543" w:type="dxa"/>
            <w:tcBorders>
              <w:top w:val="single" w:color="auto" w:sz="4" w:space="0"/>
              <w:left w:val="single" w:color="auto" w:sz="4" w:space="0"/>
              <w:bottom w:val="single" w:color="auto" w:sz="4" w:space="0"/>
              <w:right w:val="single" w:color="auto" w:sz="4" w:space="0"/>
            </w:tcBorders>
            <w:vAlign w:val="center"/>
          </w:tcPr>
          <w:p w14:paraId="4D56F93F">
            <w:r>
              <w:rPr>
                <w:rFonts w:hint="eastAsia" w:ascii="仿宋" w:hAnsi="仿宋" w:eastAsia="仿宋" w:cs="仿宋"/>
                <w:bCs/>
                <w:sz w:val="24"/>
                <w:szCs w:val="24"/>
              </w:rPr>
              <w:t>0</w:t>
            </w:r>
          </w:p>
        </w:tc>
        <w:tc>
          <w:tcPr>
            <w:tcW w:w="600" w:type="dxa"/>
            <w:gridSpan w:val="2"/>
            <w:tcBorders>
              <w:top w:val="single" w:color="auto" w:sz="4" w:space="0"/>
              <w:left w:val="single" w:color="auto" w:sz="4" w:space="0"/>
              <w:bottom w:val="single" w:color="auto" w:sz="4" w:space="0"/>
              <w:right w:val="single" w:color="auto" w:sz="4" w:space="0"/>
            </w:tcBorders>
            <w:vAlign w:val="center"/>
          </w:tcPr>
          <w:p w14:paraId="28110E91">
            <w:r>
              <w:rPr>
                <w:rFonts w:hint="eastAsia" w:ascii="仿宋" w:hAnsi="仿宋" w:eastAsia="仿宋" w:cs="仿宋"/>
                <w:bCs/>
                <w:sz w:val="24"/>
                <w:szCs w:val="24"/>
                <w:lang w:val="en-US" w:eastAsia="zh-CN"/>
              </w:rPr>
              <w:t>9</w:t>
            </w:r>
          </w:p>
        </w:tc>
        <w:tc>
          <w:tcPr>
            <w:tcW w:w="600" w:type="dxa"/>
            <w:tcBorders>
              <w:top w:val="single" w:color="auto" w:sz="4" w:space="0"/>
              <w:left w:val="single" w:color="auto" w:sz="4" w:space="0"/>
              <w:bottom w:val="single" w:color="auto" w:sz="4" w:space="0"/>
              <w:right w:val="single" w:color="auto" w:sz="4" w:space="0"/>
            </w:tcBorders>
            <w:vAlign w:val="center"/>
          </w:tcPr>
          <w:p w14:paraId="77B4641A">
            <w:r>
              <w:rPr>
                <w:rFonts w:ascii="仿宋" w:hAnsi="仿宋" w:eastAsia="仿宋" w:cs="仿宋"/>
                <w:bCs/>
                <w:sz w:val="24"/>
                <w:szCs w:val="24"/>
              </w:rPr>
              <w:t>0</w:t>
            </w:r>
          </w:p>
        </w:tc>
        <w:tc>
          <w:tcPr>
            <w:tcW w:w="574" w:type="dxa"/>
            <w:gridSpan w:val="2"/>
            <w:tcBorders>
              <w:top w:val="single" w:color="auto" w:sz="4" w:space="0"/>
              <w:left w:val="single" w:color="auto" w:sz="4" w:space="0"/>
              <w:bottom w:val="single" w:color="auto" w:sz="4" w:space="0"/>
              <w:right w:val="single" w:color="auto" w:sz="4" w:space="0"/>
            </w:tcBorders>
            <w:vAlign w:val="center"/>
          </w:tcPr>
          <w:p w14:paraId="7C91F624">
            <w:r>
              <w:rPr>
                <w:rFonts w:hint="eastAsia" w:ascii="仿宋" w:hAnsi="仿宋" w:eastAsia="仿宋" w:cs="仿宋"/>
                <w:bCs/>
                <w:sz w:val="24"/>
                <w:szCs w:val="24"/>
                <w:lang w:val="en-US" w:eastAsia="zh-CN"/>
              </w:rPr>
              <w:t>12</w:t>
            </w:r>
          </w:p>
        </w:tc>
        <w:tc>
          <w:tcPr>
            <w:tcW w:w="589" w:type="dxa"/>
            <w:tcBorders>
              <w:top w:val="single" w:color="auto" w:sz="4" w:space="0"/>
              <w:left w:val="single" w:color="auto" w:sz="4" w:space="0"/>
              <w:bottom w:val="single" w:color="auto" w:sz="4" w:space="0"/>
              <w:right w:val="single" w:color="auto" w:sz="4" w:space="0"/>
            </w:tcBorders>
            <w:vAlign w:val="center"/>
          </w:tcPr>
          <w:p w14:paraId="647589E6">
            <w:pPr>
              <w:tabs>
                <w:tab w:val="left" w:pos="720"/>
              </w:tabs>
            </w:pPr>
            <w:r>
              <w:rPr>
                <w:rFonts w:hint="eastAsia" w:ascii="仿宋" w:hAnsi="仿宋" w:eastAsia="仿宋" w:cs="仿宋"/>
                <w:bCs/>
                <w:sz w:val="24"/>
                <w:szCs w:val="24"/>
                <w:lang w:val="en-US" w:eastAsia="zh-CN"/>
              </w:rPr>
              <w:t>30</w:t>
            </w:r>
          </w:p>
        </w:tc>
      </w:tr>
      <w:tr w14:paraId="55F8865A">
        <w:trPr>
          <w:trHeight w:val="515" w:hRule="atLeast"/>
        </w:trPr>
        <w:tc>
          <w:tcPr>
            <w:tcW w:w="1376" w:type="dxa"/>
            <w:vMerge w:val="continue"/>
            <w:tcBorders>
              <w:top w:val="single" w:color="auto" w:sz="4" w:space="0"/>
              <w:left w:val="single" w:color="auto" w:sz="4" w:space="0"/>
              <w:bottom w:val="single" w:color="auto" w:sz="4" w:space="0"/>
              <w:right w:val="single" w:color="auto" w:sz="4" w:space="0"/>
            </w:tcBorders>
            <w:vAlign w:val="center"/>
          </w:tcPr>
          <w:p w14:paraId="138FD4E2">
            <w:pPr>
              <w:spacing w:line="240" w:lineRule="atLeast"/>
              <w:jc w:val="center"/>
              <w:rPr>
                <w:rFonts w:hint="eastAsia" w:ascii="仿宋" w:hAnsi="仿宋" w:eastAsia="仿宋" w:cs="仿宋"/>
                <w:bCs/>
                <w:sz w:val="24"/>
                <w:szCs w:val="24"/>
                <w:lang w:val="en-US" w:eastAsia="zh-TW"/>
              </w:rPr>
            </w:pPr>
          </w:p>
        </w:tc>
        <w:tc>
          <w:tcPr>
            <w:tcW w:w="1181" w:type="dxa"/>
            <w:gridSpan w:val="2"/>
            <w:tcBorders>
              <w:top w:val="single" w:color="auto" w:sz="4" w:space="0"/>
              <w:left w:val="single" w:color="auto" w:sz="4" w:space="0"/>
              <w:bottom w:val="single" w:color="auto" w:sz="4" w:space="0"/>
              <w:right w:val="single" w:color="auto" w:sz="4" w:space="0"/>
            </w:tcBorders>
            <w:vAlign w:val="center"/>
          </w:tcPr>
          <w:p w14:paraId="17933533">
            <w:pPr>
              <w:jc w:val="center"/>
              <w:rPr>
                <w:rFonts w:hint="eastAsia" w:ascii="仿宋" w:hAnsi="仿宋" w:eastAsia="仿宋" w:cs="仿宋"/>
                <w:sz w:val="24"/>
                <w:szCs w:val="24"/>
              </w:rPr>
            </w:pPr>
            <w:r>
              <w:rPr>
                <w:rFonts w:hint="eastAsia" w:ascii="仿宋" w:hAnsi="仿宋" w:eastAsia="仿宋" w:cs="仿宋"/>
                <w:bCs/>
                <w:sz w:val="24"/>
                <w:szCs w:val="24"/>
              </w:rPr>
              <w:t>课程目标3</w:t>
            </w:r>
          </w:p>
          <w:p w14:paraId="27A3C2BF">
            <w:pPr>
              <w:jc w:val="center"/>
            </w:pPr>
            <w:r>
              <w:rPr>
                <w:rFonts w:hint="eastAsia" w:ascii="仿宋" w:hAnsi="仿宋" w:eastAsia="仿宋" w:cs="仿宋"/>
                <w:sz w:val="24"/>
                <w:szCs w:val="24"/>
              </w:rPr>
              <w:t>中支撑（20%）</w:t>
            </w:r>
          </w:p>
        </w:tc>
        <w:tc>
          <w:tcPr>
            <w:tcW w:w="3098" w:type="dxa"/>
            <w:gridSpan w:val="4"/>
            <w:tcBorders>
              <w:top w:val="single" w:color="auto" w:sz="4" w:space="0"/>
              <w:left w:val="single" w:color="auto" w:sz="4" w:space="0"/>
              <w:bottom w:val="single" w:color="auto" w:sz="4" w:space="0"/>
              <w:right w:val="single" w:color="auto" w:sz="4" w:space="0"/>
            </w:tcBorders>
            <w:vAlign w:val="center"/>
          </w:tcPr>
          <w:p w14:paraId="2387A809">
            <w:pPr>
              <w:ind w:leftChars="0" w:rightChars="0" w:firstLineChars="200"/>
            </w:pPr>
            <w:r>
              <w:rPr>
                <w:rFonts w:hint="eastAsia" w:ascii="仿宋" w:hAnsi="仿宋" w:eastAsia="仿宋" w:cs="仿宋"/>
                <w:sz w:val="24"/>
                <w:szCs w:val="24"/>
              </w:rPr>
              <w:t>学生通过聆听教师反馈与自我反思，形成对于自身实践的客观认识，并进行改进。</w:t>
            </w:r>
          </w:p>
        </w:tc>
        <w:tc>
          <w:tcPr>
            <w:tcW w:w="587" w:type="dxa"/>
            <w:tcBorders>
              <w:top w:val="single" w:color="auto" w:sz="4" w:space="0"/>
              <w:left w:val="single" w:color="auto" w:sz="4" w:space="0"/>
              <w:bottom w:val="single" w:color="auto" w:sz="4" w:space="0"/>
              <w:right w:val="single" w:color="auto" w:sz="4" w:space="0"/>
            </w:tcBorders>
            <w:vAlign w:val="center"/>
          </w:tcPr>
          <w:p w14:paraId="095FED82">
            <w:r>
              <w:rPr>
                <w:rFonts w:hint="eastAsia" w:ascii="仿宋" w:hAnsi="仿宋" w:eastAsia="仿宋" w:cs="仿宋"/>
                <w:bCs/>
                <w:sz w:val="24"/>
                <w:szCs w:val="24"/>
                <w:lang w:val="en-US" w:eastAsia="zh-CN"/>
              </w:rPr>
              <w:t>6</w:t>
            </w:r>
          </w:p>
        </w:tc>
        <w:tc>
          <w:tcPr>
            <w:tcW w:w="543" w:type="dxa"/>
            <w:tcBorders>
              <w:top w:val="single" w:color="auto" w:sz="4" w:space="0"/>
              <w:left w:val="single" w:color="auto" w:sz="4" w:space="0"/>
              <w:bottom w:val="single" w:color="auto" w:sz="4" w:space="0"/>
              <w:right w:val="single" w:color="auto" w:sz="4" w:space="0"/>
            </w:tcBorders>
            <w:vAlign w:val="center"/>
          </w:tcPr>
          <w:p w14:paraId="54378502">
            <w:r>
              <w:rPr>
                <w:rFonts w:hint="eastAsia" w:ascii="仿宋" w:hAnsi="仿宋" w:eastAsia="仿宋" w:cs="仿宋"/>
                <w:bCs/>
                <w:sz w:val="24"/>
                <w:szCs w:val="24"/>
              </w:rPr>
              <w:t>0</w:t>
            </w:r>
          </w:p>
        </w:tc>
        <w:tc>
          <w:tcPr>
            <w:tcW w:w="600" w:type="dxa"/>
            <w:gridSpan w:val="2"/>
            <w:tcBorders>
              <w:top w:val="single" w:color="auto" w:sz="4" w:space="0"/>
              <w:left w:val="single" w:color="auto" w:sz="4" w:space="0"/>
              <w:bottom w:val="single" w:color="auto" w:sz="4" w:space="0"/>
              <w:right w:val="single" w:color="auto" w:sz="4" w:space="0"/>
            </w:tcBorders>
            <w:vAlign w:val="center"/>
          </w:tcPr>
          <w:p w14:paraId="33EF7199">
            <w:r>
              <w:rPr>
                <w:rFonts w:hint="eastAsia" w:ascii="仿宋" w:hAnsi="仿宋" w:eastAsia="仿宋" w:cs="仿宋"/>
                <w:bCs/>
                <w:sz w:val="24"/>
                <w:szCs w:val="24"/>
                <w:lang w:val="en-US" w:eastAsia="zh-CN"/>
              </w:rPr>
              <w:t>6</w:t>
            </w:r>
          </w:p>
        </w:tc>
        <w:tc>
          <w:tcPr>
            <w:tcW w:w="600" w:type="dxa"/>
            <w:tcBorders>
              <w:top w:val="single" w:color="auto" w:sz="4" w:space="0"/>
              <w:left w:val="single" w:color="auto" w:sz="4" w:space="0"/>
              <w:bottom w:val="single" w:color="auto" w:sz="4" w:space="0"/>
              <w:right w:val="single" w:color="auto" w:sz="4" w:space="0"/>
            </w:tcBorders>
            <w:vAlign w:val="center"/>
          </w:tcPr>
          <w:p w14:paraId="1914A637">
            <w:r>
              <w:rPr>
                <w:rFonts w:ascii="仿宋" w:hAnsi="仿宋" w:eastAsia="仿宋" w:cs="仿宋"/>
                <w:bCs/>
                <w:sz w:val="24"/>
                <w:szCs w:val="24"/>
              </w:rPr>
              <w:t>0</w:t>
            </w:r>
          </w:p>
        </w:tc>
        <w:tc>
          <w:tcPr>
            <w:tcW w:w="574" w:type="dxa"/>
            <w:gridSpan w:val="2"/>
            <w:tcBorders>
              <w:top w:val="single" w:color="auto" w:sz="4" w:space="0"/>
              <w:left w:val="single" w:color="auto" w:sz="4" w:space="0"/>
              <w:bottom w:val="single" w:color="auto" w:sz="4" w:space="0"/>
              <w:right w:val="single" w:color="auto" w:sz="4" w:space="0"/>
            </w:tcBorders>
            <w:vAlign w:val="center"/>
          </w:tcPr>
          <w:p w14:paraId="64B8CD70">
            <w:r>
              <w:rPr>
                <w:rFonts w:hint="eastAsia" w:ascii="仿宋" w:hAnsi="仿宋" w:eastAsia="仿宋" w:cs="仿宋"/>
                <w:bCs/>
                <w:sz w:val="24"/>
                <w:szCs w:val="24"/>
                <w:lang w:val="en-US" w:eastAsia="zh-CN"/>
              </w:rPr>
              <w:t>8</w:t>
            </w:r>
          </w:p>
        </w:tc>
        <w:tc>
          <w:tcPr>
            <w:tcW w:w="589" w:type="dxa"/>
            <w:tcBorders>
              <w:top w:val="single" w:color="auto" w:sz="4" w:space="0"/>
              <w:left w:val="single" w:color="auto" w:sz="4" w:space="0"/>
              <w:bottom w:val="single" w:color="auto" w:sz="4" w:space="0"/>
              <w:right w:val="single" w:color="auto" w:sz="4" w:space="0"/>
            </w:tcBorders>
            <w:vAlign w:val="center"/>
          </w:tcPr>
          <w:p w14:paraId="6D9C6EAA">
            <w:pPr>
              <w:tabs>
                <w:tab w:val="left" w:pos="720"/>
              </w:tabs>
            </w:pPr>
            <w:r>
              <w:rPr>
                <w:rFonts w:hint="eastAsia" w:ascii="仿宋" w:hAnsi="仿宋" w:eastAsia="仿宋" w:cs="仿宋"/>
                <w:bCs/>
                <w:sz w:val="24"/>
                <w:szCs w:val="24"/>
                <w:lang w:val="en-US" w:eastAsia="zh-CN"/>
              </w:rPr>
              <w:t>20</w:t>
            </w:r>
          </w:p>
        </w:tc>
      </w:tr>
      <w:tr w14:paraId="2759A601">
        <w:trPr>
          <w:trHeight w:val="515" w:hRule="atLeast"/>
        </w:trPr>
        <w:tc>
          <w:tcPr>
            <w:tcW w:w="1376" w:type="dxa"/>
            <w:vMerge w:val="continue"/>
            <w:tcBorders>
              <w:top w:val="single" w:color="auto" w:sz="4" w:space="0"/>
              <w:left w:val="single" w:color="auto" w:sz="4" w:space="0"/>
              <w:bottom w:val="single" w:color="auto" w:sz="4" w:space="0"/>
              <w:right w:val="single" w:color="auto" w:sz="4" w:space="0"/>
            </w:tcBorders>
            <w:vAlign w:val="center"/>
          </w:tcPr>
          <w:p w14:paraId="48C8351B">
            <w:pPr>
              <w:spacing w:line="240" w:lineRule="atLeast"/>
              <w:jc w:val="center"/>
              <w:rPr>
                <w:rFonts w:hint="eastAsia" w:ascii="仿宋" w:hAnsi="仿宋" w:eastAsia="仿宋" w:cs="仿宋"/>
                <w:bCs/>
                <w:sz w:val="24"/>
                <w:szCs w:val="24"/>
                <w:lang w:val="en-US" w:eastAsia="zh-TW"/>
              </w:rPr>
            </w:pPr>
          </w:p>
        </w:tc>
        <w:tc>
          <w:tcPr>
            <w:tcW w:w="4279" w:type="dxa"/>
            <w:gridSpan w:val="6"/>
            <w:tcBorders>
              <w:top w:val="single" w:color="auto" w:sz="4" w:space="0"/>
              <w:left w:val="single" w:color="auto" w:sz="4" w:space="0"/>
              <w:bottom w:val="single" w:color="auto" w:sz="4" w:space="0"/>
              <w:right w:val="single" w:color="auto" w:sz="4" w:space="0"/>
            </w:tcBorders>
            <w:vAlign w:val="center"/>
          </w:tcPr>
          <w:p w14:paraId="3015E721">
            <w:r>
              <w:rPr>
                <w:rFonts w:hint="eastAsia" w:ascii="仿宋" w:hAnsi="仿宋" w:eastAsia="仿宋" w:cs="仿宋"/>
                <w:bCs/>
                <w:sz w:val="24"/>
                <w:szCs w:val="24"/>
              </w:rPr>
              <w:t>总分</w:t>
            </w:r>
          </w:p>
        </w:tc>
        <w:tc>
          <w:tcPr>
            <w:tcW w:w="587" w:type="dxa"/>
            <w:tcBorders>
              <w:top w:val="single" w:color="auto" w:sz="4" w:space="0"/>
              <w:left w:val="single" w:color="auto" w:sz="4" w:space="0"/>
              <w:bottom w:val="single" w:color="auto" w:sz="4" w:space="0"/>
              <w:right w:val="single" w:color="auto" w:sz="4" w:space="0"/>
            </w:tcBorders>
            <w:vAlign w:val="center"/>
          </w:tcPr>
          <w:p w14:paraId="028B6F4A">
            <w:r>
              <w:rPr>
                <w:rFonts w:ascii="仿宋" w:hAnsi="仿宋" w:eastAsia="仿宋" w:cs="仿宋"/>
                <w:bCs/>
                <w:sz w:val="24"/>
                <w:szCs w:val="24"/>
              </w:rPr>
              <w:t>30</w:t>
            </w:r>
          </w:p>
        </w:tc>
        <w:tc>
          <w:tcPr>
            <w:tcW w:w="543" w:type="dxa"/>
            <w:tcBorders>
              <w:top w:val="single" w:color="auto" w:sz="4" w:space="0"/>
              <w:left w:val="single" w:color="auto" w:sz="4" w:space="0"/>
              <w:bottom w:val="single" w:color="auto" w:sz="4" w:space="0"/>
              <w:right w:val="single" w:color="auto" w:sz="4" w:space="0"/>
            </w:tcBorders>
            <w:vAlign w:val="center"/>
          </w:tcPr>
          <w:p w14:paraId="04ACBC6D">
            <w:pPr>
              <w:tabs>
                <w:tab w:val="left" w:pos="720"/>
              </w:tabs>
            </w:pPr>
            <w:r>
              <w:rPr>
                <w:rFonts w:hint="eastAsia" w:ascii="仿宋" w:hAnsi="仿宋" w:eastAsia="仿宋" w:cs="仿宋"/>
                <w:bCs/>
                <w:sz w:val="24"/>
                <w:szCs w:val="24"/>
              </w:rPr>
              <w:t>0</w:t>
            </w:r>
          </w:p>
        </w:tc>
        <w:tc>
          <w:tcPr>
            <w:tcW w:w="600" w:type="dxa"/>
            <w:gridSpan w:val="2"/>
            <w:tcBorders>
              <w:top w:val="single" w:color="auto" w:sz="4" w:space="0"/>
              <w:left w:val="single" w:color="auto" w:sz="4" w:space="0"/>
              <w:bottom w:val="single" w:color="auto" w:sz="4" w:space="0"/>
              <w:right w:val="single" w:color="auto" w:sz="4" w:space="0"/>
            </w:tcBorders>
            <w:vAlign w:val="center"/>
          </w:tcPr>
          <w:p w14:paraId="0D931FB3">
            <w:pPr>
              <w:tabs>
                <w:tab w:val="left" w:pos="720"/>
              </w:tabs>
            </w:pPr>
            <w:r>
              <w:rPr>
                <w:rFonts w:hint="eastAsia" w:ascii="仿宋" w:hAnsi="仿宋" w:eastAsia="仿宋" w:cs="仿宋"/>
                <w:bCs/>
                <w:sz w:val="24"/>
                <w:szCs w:val="24"/>
              </w:rPr>
              <w:t>30</w:t>
            </w:r>
          </w:p>
        </w:tc>
        <w:tc>
          <w:tcPr>
            <w:tcW w:w="600" w:type="dxa"/>
            <w:tcBorders>
              <w:top w:val="single" w:color="auto" w:sz="4" w:space="0"/>
              <w:left w:val="single" w:color="auto" w:sz="4" w:space="0"/>
              <w:bottom w:val="single" w:color="auto" w:sz="4" w:space="0"/>
              <w:right w:val="single" w:color="auto" w:sz="4" w:space="0"/>
            </w:tcBorders>
            <w:vAlign w:val="center"/>
          </w:tcPr>
          <w:p w14:paraId="6B3467FA">
            <w:pPr>
              <w:tabs>
                <w:tab w:val="left" w:pos="720"/>
              </w:tabs>
            </w:pPr>
            <w:r>
              <w:rPr>
                <w:rFonts w:ascii="仿宋" w:hAnsi="仿宋" w:eastAsia="仿宋" w:cs="仿宋"/>
                <w:bCs/>
                <w:sz w:val="24"/>
                <w:szCs w:val="24"/>
              </w:rPr>
              <w:t>0</w:t>
            </w:r>
          </w:p>
        </w:tc>
        <w:tc>
          <w:tcPr>
            <w:tcW w:w="574" w:type="dxa"/>
            <w:gridSpan w:val="2"/>
            <w:tcBorders>
              <w:top w:val="single" w:color="auto" w:sz="4" w:space="0"/>
              <w:left w:val="single" w:color="auto" w:sz="4" w:space="0"/>
              <w:bottom w:val="single" w:color="auto" w:sz="4" w:space="0"/>
              <w:right w:val="single" w:color="auto" w:sz="4" w:space="0"/>
            </w:tcBorders>
            <w:vAlign w:val="center"/>
          </w:tcPr>
          <w:p w14:paraId="501337C4">
            <w:pPr>
              <w:tabs>
                <w:tab w:val="left" w:pos="720"/>
              </w:tabs>
            </w:pPr>
            <w:r>
              <w:rPr>
                <w:rFonts w:hint="eastAsia" w:ascii="仿宋" w:hAnsi="仿宋" w:eastAsia="仿宋" w:cs="仿宋"/>
                <w:bCs/>
                <w:sz w:val="24"/>
                <w:szCs w:val="24"/>
              </w:rPr>
              <w:t>4</w:t>
            </w:r>
            <w:r>
              <w:rPr>
                <w:rFonts w:ascii="仿宋" w:hAnsi="仿宋" w:eastAsia="仿宋" w:cs="仿宋"/>
                <w:bCs/>
                <w:sz w:val="24"/>
                <w:szCs w:val="24"/>
              </w:rPr>
              <w:t>0</w:t>
            </w:r>
          </w:p>
        </w:tc>
        <w:tc>
          <w:tcPr>
            <w:tcW w:w="589" w:type="dxa"/>
            <w:tcBorders>
              <w:top w:val="single" w:color="auto" w:sz="4" w:space="0"/>
              <w:left w:val="single" w:color="auto" w:sz="4" w:space="0"/>
              <w:bottom w:val="single" w:color="auto" w:sz="4" w:space="0"/>
              <w:right w:val="single" w:color="auto" w:sz="4" w:space="0"/>
            </w:tcBorders>
            <w:vAlign w:val="center"/>
          </w:tcPr>
          <w:p w14:paraId="7B03BC44">
            <w:pPr>
              <w:tabs>
                <w:tab w:val="left" w:pos="720"/>
              </w:tabs>
            </w:pPr>
            <w:r>
              <w:rPr>
                <w:rFonts w:hint="eastAsia" w:ascii="仿宋" w:hAnsi="仿宋" w:eastAsia="仿宋" w:cs="仿宋"/>
                <w:bCs/>
                <w:sz w:val="24"/>
                <w:szCs w:val="24"/>
                <w:lang w:val="en-US" w:eastAsia="zh-CN"/>
              </w:rPr>
              <w:t>100</w:t>
            </w:r>
          </w:p>
        </w:tc>
      </w:tr>
      <w:tr w14:paraId="33C9B402">
        <w:tc>
          <w:tcPr>
            <w:tcW w:w="1376" w:type="dxa"/>
            <w:tcBorders>
              <w:top w:val="single" w:color="auto" w:sz="4" w:space="0"/>
              <w:left w:val="single" w:color="auto" w:sz="4" w:space="0"/>
              <w:bottom w:val="single" w:color="auto" w:sz="4" w:space="0"/>
              <w:right w:val="single" w:color="auto" w:sz="4" w:space="0"/>
            </w:tcBorders>
            <w:vAlign w:val="center"/>
          </w:tcPr>
          <w:p w14:paraId="063148D7">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L</w:t>
            </w:r>
          </w:p>
          <w:p w14:paraId="0B1114D1">
            <w:pPr>
              <w:spacing w:line="240" w:lineRule="atLeast"/>
              <w:jc w:val="center"/>
            </w:pPr>
            <w:r>
              <w:rPr>
                <w:rFonts w:hint="eastAsia" w:ascii="仿宋" w:hAnsi="仿宋" w:eastAsia="仿宋" w:cs="仿宋"/>
                <w:sz w:val="24"/>
                <w:szCs w:val="24"/>
              </w:rPr>
              <w:t>学习建议</w:t>
            </w:r>
          </w:p>
        </w:tc>
        <w:tc>
          <w:tcPr>
            <w:tcW w:w="7772" w:type="dxa"/>
            <w:gridSpan w:val="14"/>
            <w:tcBorders>
              <w:top w:val="single" w:color="auto" w:sz="4" w:space="0"/>
              <w:left w:val="single" w:color="auto" w:sz="4" w:space="0"/>
              <w:bottom w:val="single" w:color="auto" w:sz="4" w:space="0"/>
              <w:right w:val="single" w:color="auto" w:sz="4" w:space="0"/>
            </w:tcBorders>
            <w:vAlign w:val="center"/>
          </w:tcPr>
          <w:p w14:paraId="683A345E">
            <w:pPr>
              <w:rPr>
                <w:rFonts w:hint="eastAsia" w:ascii="仿宋" w:hAnsi="仿宋" w:eastAsia="仿宋" w:cs="仿宋"/>
                <w:bCs/>
                <w:sz w:val="24"/>
                <w:szCs w:val="24"/>
              </w:rPr>
            </w:pPr>
            <w:r>
              <w:rPr>
                <w:rFonts w:hint="eastAsia" w:ascii="仿宋" w:hAnsi="仿宋" w:eastAsia="仿宋" w:cs="仿宋"/>
                <w:bCs/>
                <w:sz w:val="24"/>
                <w:szCs w:val="24"/>
              </w:rPr>
              <w:t>1.自主学习。建议学生通过预习教材，并通过网络、图书馆自主查阅课程中涉及的学习资源，独立规划自己的课程学习计划，充分发挥自身的学习能动性。</w:t>
            </w:r>
          </w:p>
          <w:p w14:paraId="465A0546">
            <w:r>
              <w:rPr>
                <w:rFonts w:hint="eastAsia" w:ascii="仿宋" w:hAnsi="仿宋" w:eastAsia="仿宋" w:cs="仿宋"/>
                <w:bCs/>
                <w:sz w:val="24"/>
                <w:szCs w:val="24"/>
              </w:rPr>
              <w:t>2.研究性学习。鼓励学生针对课程教学内容，尝试理论课结合专题报告的教学方式，开展相关的学科进展和专题讲座，提高学生的学习兴趣，了解国内外最新学科知识，开阔学生的视野。</w:t>
            </w:r>
          </w:p>
        </w:tc>
      </w:tr>
      <w:tr w14:paraId="45CC568B">
        <w:trPr>
          <w:trHeight w:val="454" w:hRule="atLeast"/>
        </w:trPr>
        <w:tc>
          <w:tcPr>
            <w:tcW w:w="1376" w:type="dxa"/>
            <w:tcBorders>
              <w:top w:val="single" w:color="auto" w:sz="4" w:space="0"/>
              <w:left w:val="single" w:color="auto" w:sz="4" w:space="0"/>
              <w:bottom w:val="single" w:color="auto" w:sz="4" w:space="0"/>
              <w:right w:val="single" w:color="auto" w:sz="4" w:space="0"/>
            </w:tcBorders>
            <w:vAlign w:val="center"/>
          </w:tcPr>
          <w:p w14:paraId="4D03E944">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M</w:t>
            </w:r>
          </w:p>
          <w:p w14:paraId="561C52FB">
            <w:pPr>
              <w:spacing w:line="240" w:lineRule="atLeast"/>
              <w:jc w:val="center"/>
            </w:pPr>
            <w:r>
              <w:rPr>
                <w:rFonts w:hint="eastAsia" w:ascii="仿宋" w:hAnsi="仿宋" w:eastAsia="仿宋" w:cs="仿宋"/>
                <w:sz w:val="24"/>
                <w:szCs w:val="24"/>
              </w:rPr>
              <w:t>评分量表</w:t>
            </w:r>
          </w:p>
        </w:tc>
        <w:tc>
          <w:tcPr>
            <w:tcW w:w="7772" w:type="dxa"/>
            <w:gridSpan w:val="14"/>
            <w:tcBorders>
              <w:top w:val="single" w:color="auto" w:sz="4" w:space="0"/>
              <w:left w:val="single" w:color="auto" w:sz="4" w:space="0"/>
              <w:bottom w:val="single" w:color="auto" w:sz="4" w:space="0"/>
              <w:right w:val="single" w:color="auto" w:sz="4" w:space="0"/>
            </w:tcBorders>
            <w:vAlign w:val="center"/>
          </w:tcPr>
          <w:p w14:paraId="0F2DB3A1">
            <w:pPr>
              <w:tabs>
                <w:tab w:val="left" w:pos="720"/>
              </w:tabs>
            </w:pPr>
            <w:r>
              <w:rPr>
                <w:rFonts w:hint="eastAsia" w:ascii="仿宋" w:hAnsi="仿宋" w:eastAsia="仿宋" w:cs="仿宋"/>
                <w:bCs/>
                <w:sz w:val="24"/>
                <w:szCs w:val="24"/>
              </w:rPr>
              <w:t>课程目标评分量表见附表。</w:t>
            </w:r>
          </w:p>
        </w:tc>
      </w:tr>
      <w:tr w14:paraId="0081EA35">
        <w:trPr>
          <w:trHeight w:val="454" w:hRule="atLeast"/>
        </w:trPr>
        <w:tc>
          <w:tcPr>
            <w:tcW w:w="1376" w:type="dxa"/>
            <w:tcBorders>
              <w:top w:val="single" w:color="auto" w:sz="4" w:space="0"/>
              <w:left w:val="single" w:color="auto" w:sz="4" w:space="0"/>
              <w:bottom w:val="single" w:color="auto" w:sz="4" w:space="0"/>
              <w:right w:val="single" w:color="auto" w:sz="4" w:space="0"/>
            </w:tcBorders>
            <w:vAlign w:val="center"/>
          </w:tcPr>
          <w:p w14:paraId="10260328">
            <w:pPr>
              <w:spacing w:line="240" w:lineRule="atLeast"/>
              <w:jc w:val="center"/>
            </w:pPr>
            <w:r>
              <w:rPr>
                <w:rFonts w:hint="eastAsia" w:ascii="仿宋" w:hAnsi="仿宋" w:eastAsia="仿宋" w:cs="仿宋"/>
                <w:sz w:val="24"/>
                <w:szCs w:val="24"/>
              </w:rPr>
              <w:t>备注</w:t>
            </w:r>
          </w:p>
        </w:tc>
        <w:tc>
          <w:tcPr>
            <w:tcW w:w="7772" w:type="dxa"/>
            <w:gridSpan w:val="14"/>
            <w:tcBorders>
              <w:top w:val="single" w:color="auto" w:sz="4" w:space="0"/>
              <w:left w:val="single" w:color="auto" w:sz="4" w:space="0"/>
              <w:bottom w:val="single" w:color="auto" w:sz="4" w:space="0"/>
              <w:right w:val="single" w:color="auto" w:sz="4" w:space="0"/>
            </w:tcBorders>
            <w:vAlign w:val="center"/>
          </w:tcPr>
          <w:p w14:paraId="4F4E91E8">
            <w:r>
              <w:rPr>
                <w:rFonts w:hint="eastAsia" w:ascii="仿宋" w:hAnsi="仿宋" w:eastAsia="仿宋" w:cs="仿宋"/>
                <w:sz w:val="24"/>
                <w:szCs w:val="24"/>
              </w:rPr>
              <w:t>课程大纲A—M项由开课学院审批通过，任课教师不能自行更改。</w:t>
            </w:r>
          </w:p>
        </w:tc>
      </w:tr>
      <w:tr w14:paraId="49D4B101">
        <w:trPr>
          <w:trHeight w:val="771" w:hRule="atLeast"/>
        </w:trPr>
        <w:tc>
          <w:tcPr>
            <w:tcW w:w="1376" w:type="dxa"/>
            <w:tcBorders>
              <w:top w:val="single" w:color="auto" w:sz="4" w:space="0"/>
              <w:left w:val="single" w:color="auto" w:sz="4" w:space="0"/>
              <w:bottom w:val="single" w:color="auto" w:sz="4" w:space="0"/>
              <w:right w:val="single" w:color="auto" w:sz="4" w:space="0"/>
            </w:tcBorders>
            <w:vAlign w:val="center"/>
          </w:tcPr>
          <w:p w14:paraId="50256D21">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审批</w:t>
            </w:r>
          </w:p>
          <w:p w14:paraId="3E819664">
            <w:pPr>
              <w:spacing w:line="240" w:lineRule="atLeast"/>
              <w:jc w:val="center"/>
            </w:pPr>
            <w:r>
              <w:rPr>
                <w:rFonts w:hint="eastAsia" w:ascii="仿宋" w:hAnsi="仿宋" w:eastAsia="仿宋" w:cs="仿宋"/>
                <w:sz w:val="24"/>
                <w:szCs w:val="24"/>
              </w:rPr>
              <w:t>意见</w:t>
            </w:r>
          </w:p>
        </w:tc>
        <w:tc>
          <w:tcPr>
            <w:tcW w:w="3869" w:type="dxa"/>
            <w:gridSpan w:val="4"/>
            <w:tcBorders>
              <w:top w:val="single" w:color="auto" w:sz="4" w:space="0"/>
              <w:left w:val="single" w:color="auto" w:sz="4" w:space="0"/>
              <w:bottom w:val="single" w:color="auto" w:sz="4" w:space="0"/>
              <w:right w:val="single" w:color="auto" w:sz="4" w:space="0"/>
            </w:tcBorders>
            <w:vAlign w:val="center"/>
          </w:tcPr>
          <w:p w14:paraId="4CF447DB">
            <w:pPr>
              <w:widowControl/>
              <w:jc w:val="left"/>
              <w:rPr>
                <w:rFonts w:hint="eastAsia" w:ascii="仿宋" w:hAnsi="仿宋" w:eastAsia="仿宋" w:cs="仿宋"/>
                <w:kern w:val="0"/>
                <w:sz w:val="24"/>
                <w:szCs w:val="24"/>
              </w:rPr>
            </w:pPr>
            <w:r>
              <w:rPr>
                <w:rFonts w:hint="eastAsia" w:ascii="仿宋" w:hAnsi="仿宋" w:eastAsia="仿宋" w:cs="仿宋"/>
                <w:kern w:val="0"/>
                <w:sz w:val="24"/>
                <w:szCs w:val="24"/>
              </w:rPr>
              <w:t>课程教学大纲修订负责人及教学团队成员</w:t>
            </w:r>
            <w:r>
              <w:rPr>
                <w:rFonts w:hint="eastAsia" w:ascii="仿宋" w:hAnsi="仿宋" w:eastAsia="仿宋" w:cs="仿宋"/>
                <w:sz w:val="24"/>
                <w:szCs w:val="24"/>
              </w:rPr>
              <w:t>签名</w:t>
            </w:r>
            <w:r>
              <w:rPr>
                <w:rFonts w:hint="eastAsia" w:ascii="仿宋" w:hAnsi="仿宋" w:eastAsia="仿宋" w:cs="仿宋"/>
                <w:kern w:val="0"/>
                <w:sz w:val="24"/>
                <w:szCs w:val="24"/>
              </w:rPr>
              <w:t xml:space="preserve">：   </w:t>
            </w:r>
          </w:p>
          <w:p w14:paraId="6EBB9FD3">
            <w:pPr>
              <w:widowControl/>
              <w:jc w:val="left"/>
              <w:rPr>
                <w:rFonts w:hint="eastAsia" w:ascii="仿宋" w:hAnsi="仿宋" w:eastAsia="仿宋" w:cs="仿宋"/>
                <w:kern w:val="0"/>
                <w:sz w:val="24"/>
                <w:szCs w:val="24"/>
              </w:rPr>
            </w:pPr>
          </w:p>
          <w:p w14:paraId="08837033">
            <w:pPr>
              <w:widowControl/>
              <w:jc w:val="left"/>
              <w:rPr>
                <w:rFonts w:hint="eastAsia" w:ascii="仿宋" w:hAnsi="仿宋" w:eastAsia="仿宋" w:cs="仿宋"/>
                <w:kern w:val="0"/>
                <w:sz w:val="24"/>
                <w:szCs w:val="24"/>
              </w:rPr>
            </w:pPr>
          </w:p>
          <w:p w14:paraId="29484FB0">
            <w:pPr>
              <w:widowControl/>
              <w:jc w:val="left"/>
              <w:rPr>
                <w:rFonts w:hint="eastAsia" w:ascii="仿宋" w:hAnsi="仿宋" w:eastAsia="仿宋" w:cs="仿宋"/>
                <w:kern w:val="0"/>
                <w:sz w:val="24"/>
                <w:szCs w:val="24"/>
              </w:rPr>
            </w:pPr>
          </w:p>
          <w:p w14:paraId="4B132752">
            <w:pPr>
              <w:widowControl/>
              <w:jc w:val="left"/>
              <w:rPr>
                <w:rFonts w:hint="eastAsia" w:ascii="仿宋" w:hAnsi="仿宋" w:eastAsia="仿宋" w:cs="仿宋"/>
                <w:kern w:val="0"/>
                <w:sz w:val="24"/>
                <w:szCs w:val="24"/>
              </w:rPr>
            </w:pPr>
          </w:p>
          <w:p w14:paraId="6E7FD9F0">
            <w:pPr>
              <w:widowControl/>
              <w:jc w:val="right"/>
              <w:rPr>
                <w:rFonts w:hint="eastAsia" w:ascii="仿宋" w:hAnsi="仿宋" w:eastAsia="仿宋" w:cs="仿宋"/>
                <w:kern w:val="0"/>
                <w:sz w:val="24"/>
                <w:szCs w:val="24"/>
              </w:rPr>
            </w:pPr>
            <w:r>
              <w:rPr>
                <w:rFonts w:hint="eastAsia" w:ascii="仿宋" w:hAnsi="仿宋" w:eastAsia="仿宋" w:cs="仿宋"/>
                <w:kern w:val="0"/>
                <w:sz w:val="24"/>
                <w:szCs w:val="24"/>
              </w:rPr>
              <w:t xml:space="preserve">                                                   年   月   日 </w:t>
            </w:r>
          </w:p>
          <w:p w14:paraId="3BB16BD2">
            <w:pPr>
              <w:widowControl/>
              <w:jc w:val="right"/>
              <w:rPr>
                <w:rFonts w:hint="eastAsia" w:ascii="仿宋" w:hAnsi="仿宋" w:eastAsia="仿宋" w:cs="仿宋"/>
                <w:kern w:val="0"/>
                <w:sz w:val="24"/>
                <w:szCs w:val="24"/>
              </w:rPr>
            </w:pPr>
          </w:p>
        </w:tc>
        <w:tc>
          <w:tcPr>
            <w:tcW w:w="3903" w:type="dxa"/>
            <w:gridSpan w:val="10"/>
            <w:tcBorders>
              <w:top w:val="single" w:color="auto" w:sz="4" w:space="0"/>
              <w:left w:val="single" w:color="auto" w:sz="4" w:space="0"/>
              <w:bottom w:val="single" w:color="auto" w:sz="4" w:space="0"/>
              <w:right w:val="single" w:color="auto" w:sz="4" w:space="0"/>
            </w:tcBorders>
            <w:vAlign w:val="center"/>
          </w:tcPr>
          <w:p w14:paraId="559C42C7">
            <w:pPr>
              <w:widowControl/>
              <w:jc w:val="left"/>
              <w:rPr>
                <w:rFonts w:hint="eastAsia" w:ascii="仿宋" w:hAnsi="仿宋" w:eastAsia="仿宋" w:cs="仿宋"/>
                <w:kern w:val="0"/>
                <w:sz w:val="24"/>
                <w:szCs w:val="24"/>
              </w:rPr>
            </w:pPr>
            <w:r>
              <w:rPr>
                <w:rFonts w:hint="eastAsia" w:ascii="仿宋" w:hAnsi="仿宋" w:eastAsia="仿宋" w:cs="仿宋"/>
                <w:kern w:val="0"/>
                <w:sz w:val="24"/>
                <w:szCs w:val="24"/>
              </w:rPr>
              <w:t>系主任审核意见：</w:t>
            </w:r>
          </w:p>
          <w:p w14:paraId="77DB6AC6">
            <w:pPr>
              <w:widowControl/>
              <w:jc w:val="left"/>
              <w:rPr>
                <w:rFonts w:hint="eastAsia" w:ascii="仿宋" w:hAnsi="仿宋" w:eastAsia="仿宋" w:cs="仿宋"/>
                <w:kern w:val="0"/>
                <w:sz w:val="24"/>
                <w:szCs w:val="24"/>
              </w:rPr>
            </w:pPr>
          </w:p>
          <w:p w14:paraId="11038AC4">
            <w:pPr>
              <w:widowControl/>
              <w:jc w:val="left"/>
              <w:rPr>
                <w:rFonts w:hint="eastAsia" w:ascii="仿宋" w:hAnsi="仿宋" w:eastAsia="仿宋" w:cs="仿宋"/>
                <w:kern w:val="0"/>
                <w:sz w:val="24"/>
                <w:szCs w:val="24"/>
              </w:rPr>
            </w:pPr>
          </w:p>
          <w:p w14:paraId="334BB2C5">
            <w:pPr>
              <w:widowControl/>
              <w:jc w:val="left"/>
              <w:rPr>
                <w:rFonts w:hint="eastAsia" w:ascii="仿宋" w:hAnsi="仿宋" w:eastAsia="仿宋" w:cs="仿宋"/>
                <w:kern w:val="0"/>
                <w:sz w:val="24"/>
                <w:szCs w:val="24"/>
              </w:rPr>
            </w:pPr>
          </w:p>
          <w:p w14:paraId="5CB3D4F9">
            <w:pPr>
              <w:widowControl/>
              <w:jc w:val="left"/>
              <w:rPr>
                <w:rFonts w:hint="eastAsia" w:ascii="仿宋" w:hAnsi="仿宋" w:eastAsia="仿宋" w:cs="仿宋"/>
                <w:kern w:val="0"/>
                <w:sz w:val="24"/>
                <w:szCs w:val="24"/>
              </w:rPr>
            </w:pPr>
          </w:p>
          <w:p w14:paraId="21337D72">
            <w:pPr>
              <w:widowControl/>
              <w:jc w:val="left"/>
              <w:rPr>
                <w:rFonts w:hint="eastAsia" w:ascii="仿宋" w:hAnsi="仿宋" w:eastAsia="仿宋" w:cs="仿宋"/>
                <w:kern w:val="0"/>
                <w:sz w:val="24"/>
                <w:szCs w:val="24"/>
              </w:rPr>
            </w:pPr>
            <w:r>
              <w:rPr>
                <w:rFonts w:hint="eastAsia" w:ascii="仿宋" w:hAnsi="仿宋" w:eastAsia="仿宋" w:cs="仿宋"/>
                <w:kern w:val="0"/>
                <w:sz w:val="24"/>
                <w:szCs w:val="24"/>
              </w:rPr>
              <w:t>系主任签名：</w:t>
            </w:r>
          </w:p>
          <w:p w14:paraId="437A197D">
            <w:pPr>
              <w:widowControl/>
              <w:jc w:val="right"/>
              <w:rPr>
                <w:rFonts w:hint="eastAsia" w:ascii="仿宋" w:hAnsi="仿宋" w:eastAsia="仿宋" w:cs="仿宋"/>
                <w:kern w:val="0"/>
                <w:sz w:val="24"/>
                <w:szCs w:val="24"/>
              </w:rPr>
            </w:pPr>
          </w:p>
          <w:p w14:paraId="7CB565E2">
            <w:pPr>
              <w:widowControl/>
              <w:jc w:val="right"/>
              <w:rPr>
                <w:rFonts w:hint="eastAsia" w:ascii="仿宋" w:hAnsi="仿宋" w:eastAsia="仿宋" w:cs="仿宋"/>
                <w:kern w:val="0"/>
                <w:sz w:val="24"/>
                <w:szCs w:val="24"/>
              </w:rPr>
            </w:pPr>
            <w:r>
              <w:rPr>
                <w:rFonts w:hint="eastAsia" w:ascii="仿宋" w:hAnsi="仿宋" w:eastAsia="仿宋" w:cs="仿宋"/>
                <w:kern w:val="0"/>
                <w:sz w:val="24"/>
                <w:szCs w:val="24"/>
              </w:rPr>
              <w:t>年   月   日</w:t>
            </w:r>
          </w:p>
          <w:p w14:paraId="1E8199AC">
            <w:pPr>
              <w:widowControl/>
              <w:jc w:val="right"/>
              <w:rPr>
                <w:rFonts w:hint="eastAsia" w:ascii="仿宋" w:hAnsi="仿宋" w:eastAsia="仿宋" w:cs="仿宋"/>
                <w:kern w:val="0"/>
                <w:sz w:val="24"/>
                <w:szCs w:val="24"/>
              </w:rPr>
            </w:pPr>
          </w:p>
        </w:tc>
      </w:tr>
    </w:tbl>
    <w:p w14:paraId="05ADFD6A">
      <w:pPr>
        <w:widowControl/>
        <w:spacing w:line="360" w:lineRule="auto"/>
        <w:ind w:leftChars="0" w:rightChars="0" w:firstLineChars="200"/>
        <w:rPr>
          <w:rFonts w:hint="eastAsia" w:eastAsia="PMingLiU" w:cs="黑体"/>
          <w:lang w:eastAsia="zh-TW"/>
        </w:rPr>
      </w:pPr>
    </w:p>
    <w:p w14:paraId="27F5C174">
      <w:pPr>
        <w:widowControl/>
        <w:spacing w:line="360" w:lineRule="auto"/>
        <w:ind w:leftChars="0" w:rightChars="0" w:firstLineChars="200"/>
        <w:rPr>
          <w:rFonts w:hint="eastAsia" w:eastAsia="PMingLiU" w:cs="黑体"/>
          <w:lang w:eastAsia="zh-TW"/>
        </w:rPr>
      </w:pPr>
    </w:p>
    <w:p w14:paraId="413DAC75">
      <w:pPr>
        <w:sectPr>
          <w:headerReference r:id="rId27" w:type="default"/>
          <w:footerReference r:id="rId28" w:type="default"/>
          <w:footnotePr/>
          <w:pgSz w:w="11906" w:h="16838"/>
          <w:pgMar w:top="1134" w:right="1417" w:bottom="1134" w:left="1417" w:header="720" w:footer="720" w:gutter="0"/>
          <w:cols w:space="720" w:num="1"/>
          <w:docGrid w:type="lines" w:linePitch="312" w:charSpace="0"/>
        </w:sectPr>
      </w:pPr>
    </w:p>
    <w:p w14:paraId="15B6A508">
      <w:pPr>
        <w:spacing w:line="360" w:lineRule="auto"/>
        <w:jc w:val="left"/>
        <w:rPr>
          <w:rFonts w:hint="eastAsia" w:eastAsia="方正小标宋简体" w:cs="黑体"/>
          <w:sz w:val="44"/>
          <w:szCs w:val="44"/>
        </w:rPr>
      </w:pPr>
      <w:r>
        <w:rPr>
          <w:rFonts w:hint="eastAsia" w:ascii="仿宋" w:hAnsi="仿宋" w:eastAsia="仿宋" w:cs="仿宋"/>
          <w:sz w:val="32"/>
          <w:szCs w:val="32"/>
        </w:rPr>
        <w:t xml:space="preserve">附表  </w:t>
      </w:r>
      <w:r>
        <w:rPr>
          <w:rFonts w:hint="eastAsia" w:cs="黑体"/>
        </w:rPr>
        <w:t xml:space="preserve">  </w:t>
      </w:r>
    </w:p>
    <w:p w14:paraId="688FBF9F">
      <w:pPr>
        <w:spacing w:line="360" w:lineRule="auto"/>
        <w:jc w:val="center"/>
        <w:rPr>
          <w:rFonts w:hint="eastAsia" w:ascii="仿宋" w:hAnsi="仿宋" w:eastAsia="仿宋" w:cs="仿宋"/>
          <w:sz w:val="24"/>
          <w:szCs w:val="24"/>
        </w:rPr>
      </w:pPr>
      <w:r>
        <w:rPr>
          <w:rFonts w:hint="eastAsia" w:eastAsia="方正小标宋简体" w:cs="黑体"/>
          <w:sz w:val="44"/>
          <w:szCs w:val="44"/>
        </w:rPr>
        <w:t>《钢琴基础》课程目标评分量表</w:t>
      </w:r>
    </w:p>
    <w:tbl>
      <w:tblPr>
        <w:tblStyle w:val="22"/>
        <w:tblW w:w="0" w:type="auto"/>
        <w:jc w:val="center"/>
        <w:tblLayout w:type="fixed"/>
        <w:tblCellMar>
          <w:top w:w="0" w:type="dxa"/>
          <w:left w:w="0" w:type="dxa"/>
          <w:bottom w:w="0" w:type="dxa"/>
          <w:right w:w="28" w:type="dxa"/>
        </w:tblCellMar>
      </w:tblPr>
      <w:tblGrid>
        <w:gridCol w:w="940"/>
        <w:gridCol w:w="1840"/>
        <w:gridCol w:w="1584"/>
        <w:gridCol w:w="1736"/>
        <w:gridCol w:w="1605"/>
        <w:gridCol w:w="1987"/>
        <w:gridCol w:w="1507"/>
      </w:tblGrid>
      <w:tr w14:paraId="4082534D">
        <w:trPr>
          <w:trHeight w:val="90" w:hRule="atLeast"/>
          <w:jc w:val="center"/>
        </w:trPr>
        <w:tc>
          <w:tcPr>
            <w:tcW w:w="940" w:type="dxa"/>
            <w:vMerge w:val="restart"/>
            <w:tcBorders>
              <w:top w:val="single" w:color="auto" w:sz="4" w:space="0"/>
              <w:left w:val="single" w:color="auto" w:sz="4" w:space="0"/>
              <w:bottom w:val="single" w:color="auto" w:sz="4" w:space="0"/>
              <w:right w:val="single" w:color="auto" w:sz="4" w:space="0"/>
            </w:tcBorders>
            <w:vAlign w:val="center"/>
          </w:tcPr>
          <w:p w14:paraId="362677ED">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M</w:t>
            </w:r>
          </w:p>
          <w:p w14:paraId="5EC8FF9B">
            <w:pPr>
              <w:spacing w:line="240" w:lineRule="atLeast"/>
              <w:jc w:val="center"/>
            </w:pPr>
            <w:r>
              <w:rPr>
                <w:rFonts w:hint="eastAsia" w:ascii="仿宋" w:hAnsi="仿宋" w:eastAsia="仿宋" w:cs="仿宋"/>
                <w:sz w:val="24"/>
                <w:szCs w:val="24"/>
              </w:rPr>
              <w:t>评分量表</w:t>
            </w:r>
          </w:p>
        </w:tc>
        <w:tc>
          <w:tcPr>
            <w:tcW w:w="1840" w:type="dxa"/>
            <w:tcBorders>
              <w:top w:val="single" w:color="auto" w:sz="4" w:space="0"/>
              <w:left w:val="single" w:color="auto" w:sz="4" w:space="0"/>
              <w:bottom w:val="single" w:color="auto" w:sz="4" w:space="0"/>
              <w:right w:val="single" w:color="auto" w:sz="4" w:space="0"/>
            </w:tcBorders>
            <w:vAlign w:val="center"/>
          </w:tcPr>
          <w:p w14:paraId="01818EA4">
            <w:pPr>
              <w:tabs>
                <w:tab w:val="left" w:pos="720"/>
              </w:tabs>
              <w:spacing w:line="240" w:lineRule="atLeast"/>
              <w:jc w:val="center"/>
            </w:pPr>
            <w:r>
              <w:rPr>
                <w:rFonts w:hint="eastAsia" w:ascii="仿宋" w:hAnsi="仿宋" w:eastAsia="仿宋" w:cs="仿宋"/>
                <w:bCs/>
                <w:sz w:val="24"/>
                <w:szCs w:val="24"/>
              </w:rPr>
              <w:t>课程目标</w:t>
            </w:r>
          </w:p>
        </w:tc>
        <w:tc>
          <w:tcPr>
            <w:tcW w:w="1584" w:type="dxa"/>
            <w:tcBorders>
              <w:top w:val="single" w:color="auto" w:sz="4" w:space="0"/>
              <w:left w:val="single" w:color="auto" w:sz="4" w:space="0"/>
              <w:bottom w:val="single" w:color="auto" w:sz="4" w:space="0"/>
              <w:right w:val="single" w:color="auto" w:sz="4" w:space="0"/>
            </w:tcBorders>
            <w:vAlign w:val="center"/>
          </w:tcPr>
          <w:p w14:paraId="11915632">
            <w:pPr>
              <w:tabs>
                <w:tab w:val="left" w:pos="720"/>
              </w:tabs>
              <w:spacing w:line="240" w:lineRule="atLeast"/>
              <w:jc w:val="center"/>
            </w:pPr>
            <w:r>
              <w:rPr>
                <w:rFonts w:hint="eastAsia" w:ascii="仿宋" w:hAnsi="仿宋" w:eastAsia="仿宋" w:cs="仿宋"/>
                <w:bCs/>
                <w:sz w:val="24"/>
                <w:szCs w:val="24"/>
              </w:rPr>
              <w:t>优（X≧90）</w:t>
            </w:r>
          </w:p>
        </w:tc>
        <w:tc>
          <w:tcPr>
            <w:tcW w:w="1736" w:type="dxa"/>
            <w:tcBorders>
              <w:top w:val="single" w:color="auto" w:sz="4" w:space="0"/>
              <w:left w:val="single" w:color="auto" w:sz="4" w:space="0"/>
              <w:bottom w:val="single" w:color="auto" w:sz="4" w:space="0"/>
              <w:right w:val="single" w:color="auto" w:sz="4" w:space="0"/>
            </w:tcBorders>
            <w:vAlign w:val="center"/>
          </w:tcPr>
          <w:p w14:paraId="0F0385FC">
            <w:pPr>
              <w:tabs>
                <w:tab w:val="left" w:pos="720"/>
              </w:tabs>
              <w:spacing w:line="240" w:lineRule="atLeast"/>
              <w:jc w:val="center"/>
            </w:pPr>
            <w:r>
              <w:rPr>
                <w:rFonts w:hint="eastAsia" w:ascii="仿宋" w:hAnsi="仿宋" w:eastAsia="仿宋" w:cs="仿宋"/>
                <w:bCs/>
                <w:sz w:val="24"/>
                <w:szCs w:val="24"/>
              </w:rPr>
              <w:t>良（80≦X＜90）</w:t>
            </w:r>
          </w:p>
        </w:tc>
        <w:tc>
          <w:tcPr>
            <w:tcW w:w="1605" w:type="dxa"/>
            <w:tcBorders>
              <w:top w:val="single" w:color="auto" w:sz="4" w:space="0"/>
              <w:left w:val="single" w:color="auto" w:sz="4" w:space="0"/>
              <w:bottom w:val="single" w:color="auto" w:sz="4" w:space="0"/>
              <w:right w:val="single" w:color="auto" w:sz="4" w:space="0"/>
            </w:tcBorders>
            <w:vAlign w:val="center"/>
          </w:tcPr>
          <w:p w14:paraId="2A7E3D2E">
            <w:pPr>
              <w:tabs>
                <w:tab w:val="left" w:pos="720"/>
              </w:tabs>
              <w:spacing w:line="240" w:lineRule="atLeast"/>
              <w:jc w:val="center"/>
            </w:pPr>
            <w:r>
              <w:rPr>
                <w:rFonts w:hint="eastAsia" w:ascii="仿宋" w:hAnsi="仿宋" w:eastAsia="仿宋" w:cs="仿宋"/>
                <w:bCs/>
                <w:sz w:val="24"/>
                <w:szCs w:val="24"/>
              </w:rPr>
              <w:t>中（70≦X＜80）</w:t>
            </w:r>
          </w:p>
        </w:tc>
        <w:tc>
          <w:tcPr>
            <w:tcW w:w="1987" w:type="dxa"/>
            <w:tcBorders>
              <w:top w:val="single" w:color="auto" w:sz="4" w:space="0"/>
              <w:left w:val="single" w:color="auto" w:sz="4" w:space="0"/>
              <w:bottom w:val="single" w:color="auto" w:sz="4" w:space="0"/>
              <w:right w:val="single" w:color="auto" w:sz="4" w:space="0"/>
            </w:tcBorders>
            <w:vAlign w:val="center"/>
          </w:tcPr>
          <w:p w14:paraId="73A51C7A">
            <w:pPr>
              <w:tabs>
                <w:tab w:val="left" w:pos="720"/>
              </w:tabs>
              <w:spacing w:line="240" w:lineRule="atLeast"/>
              <w:jc w:val="center"/>
            </w:pPr>
            <w:r>
              <w:rPr>
                <w:rFonts w:hint="eastAsia" w:ascii="仿宋" w:hAnsi="仿宋" w:eastAsia="仿宋" w:cs="仿宋"/>
                <w:bCs/>
                <w:sz w:val="24"/>
                <w:szCs w:val="24"/>
              </w:rPr>
              <w:t>及格（60≦X＜70）</w:t>
            </w:r>
          </w:p>
        </w:tc>
        <w:tc>
          <w:tcPr>
            <w:tcW w:w="1507" w:type="dxa"/>
            <w:tcBorders>
              <w:top w:val="single" w:color="auto" w:sz="4" w:space="0"/>
              <w:left w:val="single" w:color="auto" w:sz="4" w:space="0"/>
              <w:bottom w:val="single" w:color="auto" w:sz="4" w:space="0"/>
              <w:right w:val="single" w:color="auto" w:sz="4" w:space="0"/>
            </w:tcBorders>
            <w:vAlign w:val="center"/>
          </w:tcPr>
          <w:p w14:paraId="2D868319">
            <w:pPr>
              <w:tabs>
                <w:tab w:val="left" w:pos="720"/>
              </w:tabs>
              <w:spacing w:line="240" w:lineRule="atLeast"/>
              <w:jc w:val="center"/>
            </w:pPr>
            <w:r>
              <w:rPr>
                <w:rFonts w:hint="eastAsia" w:ascii="仿宋" w:hAnsi="仿宋" w:eastAsia="仿宋" w:cs="仿宋"/>
                <w:bCs/>
                <w:sz w:val="24"/>
                <w:szCs w:val="24"/>
              </w:rPr>
              <w:t>不及格（＜60）</w:t>
            </w:r>
          </w:p>
        </w:tc>
      </w:tr>
      <w:tr w14:paraId="65BD185F">
        <w:trPr>
          <w:trHeight w:val="2732" w:hRule="atLeast"/>
          <w:jc w:val="center"/>
        </w:trPr>
        <w:tc>
          <w:tcPr>
            <w:tcW w:w="940" w:type="dxa"/>
            <w:vMerge w:val="continue"/>
            <w:tcBorders>
              <w:top w:val="single" w:color="auto" w:sz="4" w:space="0"/>
              <w:left w:val="single" w:color="auto" w:sz="4" w:space="0"/>
              <w:bottom w:val="single" w:color="auto" w:sz="4" w:space="0"/>
              <w:right w:val="single" w:color="auto" w:sz="4" w:space="0"/>
            </w:tcBorders>
            <w:vAlign w:val="center"/>
          </w:tcPr>
          <w:p w14:paraId="0AEE1382">
            <w:pPr>
              <w:spacing w:line="240" w:lineRule="atLeast"/>
              <w:jc w:val="center"/>
              <w:rPr>
                <w:rFonts w:hint="eastAsia" w:ascii="宋体" w:hAnsi="宋体" w:eastAsia="仿宋" w:cs="宋体"/>
                <w:bCs/>
                <w:sz w:val="24"/>
                <w:szCs w:val="24"/>
              </w:rPr>
            </w:pPr>
          </w:p>
        </w:tc>
        <w:tc>
          <w:tcPr>
            <w:tcW w:w="1840" w:type="dxa"/>
            <w:tcBorders>
              <w:top w:val="single" w:color="auto" w:sz="4" w:space="0"/>
              <w:left w:val="single" w:color="auto" w:sz="4" w:space="0"/>
              <w:bottom w:val="single" w:color="auto" w:sz="4" w:space="0"/>
              <w:right w:val="single" w:color="auto" w:sz="4" w:space="0"/>
            </w:tcBorders>
            <w:vAlign w:val="center"/>
          </w:tcPr>
          <w:p w14:paraId="7C94CDAC">
            <w:pPr>
              <w:widowControl/>
              <w:kinsoku/>
              <w:overflowPunct/>
              <w:bidi w:val="0"/>
              <w:spacing w:line="240" w:lineRule="auto"/>
              <w:rPr>
                <w:rFonts w:hint="eastAsia" w:ascii="楷体" w:hAnsi="楷体" w:eastAsia="楷体" w:cs="楷体"/>
                <w:color w:val="000000"/>
                <w:kern w:val="2"/>
                <w:szCs w:val="21"/>
                <w:lang w:bidi="ar-SA"/>
              </w:rPr>
            </w:pPr>
            <w:r>
              <w:rPr>
                <w:rFonts w:hint="eastAsia" w:ascii="楷体" w:hAnsi="楷体" w:eastAsia="楷体" w:cs="楷体"/>
                <w:color w:val="000000"/>
                <w:kern w:val="2"/>
                <w:szCs w:val="21"/>
                <w:lang w:bidi="ar-SA"/>
              </w:rPr>
              <w:t>3.1学科素养（专业基本功）</w:t>
            </w:r>
          </w:p>
          <w:p w14:paraId="3D208E59">
            <w:pPr>
              <w:widowControl/>
              <w:kinsoku/>
              <w:overflowPunct/>
              <w:bidi w:val="0"/>
              <w:spacing w:line="240" w:lineRule="auto"/>
            </w:pPr>
            <w:r>
              <w:rPr>
                <w:rFonts w:hint="eastAsia" w:ascii="楷体" w:hAnsi="楷体" w:eastAsia="楷体" w:cs="楷体"/>
                <w:color w:val="000000"/>
                <w:kern w:val="2"/>
                <w:szCs w:val="21"/>
                <w:lang w:bidi="ar-SA"/>
              </w:rPr>
              <w:t>通过本课程学习，将音乐的一些基本理念通过实践表现出来,且能综合运用学过的理论、实践知识，分析和解决问题。</w:t>
            </w:r>
          </w:p>
        </w:tc>
        <w:tc>
          <w:tcPr>
            <w:tcW w:w="1584" w:type="dxa"/>
            <w:tcBorders>
              <w:top w:val="single" w:color="auto" w:sz="4" w:space="0"/>
              <w:left w:val="single" w:color="auto" w:sz="4" w:space="0"/>
              <w:bottom w:val="single" w:color="auto" w:sz="4" w:space="0"/>
              <w:right w:val="single" w:color="auto" w:sz="4" w:space="0"/>
            </w:tcBorders>
            <w:vAlign w:val="top"/>
          </w:tcPr>
          <w:p w14:paraId="29E338D5">
            <w:pPr>
              <w:widowControl/>
              <w:kinsoku/>
              <w:overflowPunct/>
              <w:bidi w:val="0"/>
              <w:spacing w:line="240" w:lineRule="auto"/>
              <w:rPr>
                <w:rFonts w:hint="eastAsia" w:ascii="楷体" w:hAnsi="楷体" w:eastAsia="楷体" w:cs="楷体"/>
                <w:color w:val="000000"/>
                <w:kern w:val="2"/>
                <w:szCs w:val="21"/>
                <w:lang w:bidi="ar-SA"/>
              </w:rPr>
            </w:pPr>
            <w:r>
              <w:rPr>
                <w:rFonts w:hint="eastAsia" w:ascii="楷体" w:hAnsi="楷体" w:eastAsia="楷体" w:cs="楷体"/>
                <w:color w:val="000000"/>
                <w:kern w:val="2"/>
                <w:szCs w:val="21"/>
                <w:lang w:bidi="ar-SA"/>
              </w:rPr>
              <w:t>无技术碍障，节奏正确，技巧纯熟而且演奏音色控制得宜，作品演出完整，能准确地诠释音乐风格，将音乐演绎得生动出色，有想象力演奏有较高的欣赏价值，</w:t>
            </w:r>
          </w:p>
          <w:p w14:paraId="4F71D3D0">
            <w:pPr>
              <w:widowControl/>
              <w:kinsoku/>
              <w:overflowPunct/>
              <w:bidi w:val="0"/>
              <w:spacing w:line="240" w:lineRule="auto"/>
              <w:rPr>
                <w:rFonts w:hint="eastAsia" w:ascii="楷体" w:hAnsi="楷体" w:eastAsia="楷体" w:cs="楷体"/>
                <w:color w:val="000000"/>
                <w:kern w:val="2"/>
                <w:szCs w:val="21"/>
                <w:lang w:bidi="ar-SA"/>
              </w:rPr>
            </w:pPr>
          </w:p>
        </w:tc>
        <w:tc>
          <w:tcPr>
            <w:tcW w:w="1736" w:type="dxa"/>
            <w:tcBorders>
              <w:top w:val="single" w:color="auto" w:sz="4" w:space="0"/>
              <w:left w:val="single" w:color="auto" w:sz="4" w:space="0"/>
              <w:bottom w:val="single" w:color="auto" w:sz="4" w:space="0"/>
              <w:right w:val="single" w:color="auto" w:sz="4" w:space="0"/>
            </w:tcBorders>
            <w:vAlign w:val="top"/>
          </w:tcPr>
          <w:p w14:paraId="1001B751">
            <w:pPr>
              <w:widowControl/>
              <w:kinsoku/>
              <w:overflowPunct/>
              <w:bidi w:val="0"/>
              <w:spacing w:line="240" w:lineRule="auto"/>
              <w:rPr>
                <w:rFonts w:hint="eastAsia" w:ascii="楷体" w:hAnsi="楷体" w:eastAsia="楷体" w:cs="楷体"/>
                <w:color w:val="000000"/>
                <w:kern w:val="2"/>
                <w:szCs w:val="21"/>
                <w:lang w:bidi="ar-SA"/>
              </w:rPr>
            </w:pPr>
            <w:r>
              <w:rPr>
                <w:rFonts w:hint="eastAsia" w:ascii="楷体" w:hAnsi="楷体" w:eastAsia="楷体" w:cs="楷体"/>
                <w:color w:val="000000"/>
                <w:kern w:val="2"/>
                <w:szCs w:val="21"/>
                <w:lang w:bidi="ar-SA"/>
              </w:rPr>
              <w:t>总体无技术障碍，节奏基本正确，作品演出总体完整，对音乐风格的诠释大致准确，作品演奏多有亮点，演奏有一定的欣赏价值</w:t>
            </w:r>
          </w:p>
          <w:p w14:paraId="36D99E70">
            <w:pPr>
              <w:widowControl/>
              <w:kinsoku/>
              <w:overflowPunct/>
              <w:bidi w:val="0"/>
              <w:spacing w:line="240" w:lineRule="auto"/>
              <w:rPr>
                <w:rFonts w:hint="eastAsia" w:ascii="楷体" w:hAnsi="楷体" w:eastAsia="楷体" w:cs="楷体"/>
                <w:color w:val="000000"/>
                <w:kern w:val="2"/>
                <w:szCs w:val="21"/>
                <w:lang w:bidi="ar-SA"/>
              </w:rPr>
            </w:pPr>
          </w:p>
        </w:tc>
        <w:tc>
          <w:tcPr>
            <w:tcW w:w="1605" w:type="dxa"/>
            <w:tcBorders>
              <w:top w:val="single" w:color="auto" w:sz="4" w:space="0"/>
              <w:left w:val="single" w:color="auto" w:sz="4" w:space="0"/>
              <w:bottom w:val="single" w:color="auto" w:sz="4" w:space="0"/>
              <w:right w:val="single" w:color="auto" w:sz="4" w:space="0"/>
            </w:tcBorders>
            <w:vAlign w:val="top"/>
          </w:tcPr>
          <w:p w14:paraId="49AA2DAE">
            <w:pPr>
              <w:widowControl/>
              <w:kinsoku/>
              <w:overflowPunct/>
              <w:bidi w:val="0"/>
              <w:spacing w:line="240" w:lineRule="auto"/>
              <w:rPr>
                <w:rFonts w:hint="eastAsia" w:ascii="楷体" w:hAnsi="楷体" w:eastAsia="楷体" w:cs="楷体"/>
                <w:color w:val="000000"/>
                <w:kern w:val="2"/>
                <w:szCs w:val="21"/>
                <w:lang w:bidi="ar-SA"/>
              </w:rPr>
            </w:pPr>
            <w:r>
              <w:rPr>
                <w:rFonts w:hint="eastAsia" w:ascii="楷体" w:hAnsi="楷体" w:eastAsia="楷体" w:cs="楷体"/>
                <w:color w:val="000000"/>
                <w:kern w:val="2"/>
                <w:szCs w:val="21"/>
                <w:lang w:bidi="ar-SA"/>
              </w:rPr>
              <w:t>偶有技术性障碍，节奏基本正确，作品演出过程中有少量破绽，</w:t>
            </w:r>
          </w:p>
          <w:p w14:paraId="008F93BF">
            <w:pPr>
              <w:widowControl/>
              <w:kinsoku/>
              <w:overflowPunct/>
              <w:bidi w:val="0"/>
              <w:spacing w:line="240" w:lineRule="auto"/>
              <w:rPr>
                <w:rFonts w:hint="eastAsia" w:ascii="楷体" w:hAnsi="楷体" w:eastAsia="楷体" w:cs="楷体"/>
                <w:color w:val="000000"/>
                <w:kern w:val="2"/>
                <w:szCs w:val="21"/>
                <w:lang w:bidi="ar-SA"/>
              </w:rPr>
            </w:pPr>
            <w:r>
              <w:rPr>
                <w:rFonts w:hint="eastAsia" w:ascii="楷体" w:hAnsi="楷体" w:eastAsia="楷体" w:cs="楷体"/>
                <w:color w:val="000000"/>
                <w:kern w:val="2"/>
                <w:szCs w:val="21"/>
                <w:lang w:bidi="ar-SA"/>
              </w:rPr>
              <w:t>对作品风格诠释不够到位，作品演奏平庸，弹奏奏具有一定的学习价值</w:t>
            </w:r>
          </w:p>
          <w:p w14:paraId="26C7B330">
            <w:pPr>
              <w:widowControl/>
              <w:kinsoku/>
              <w:overflowPunct/>
              <w:bidi w:val="0"/>
              <w:spacing w:line="240" w:lineRule="auto"/>
              <w:rPr>
                <w:rFonts w:hint="eastAsia" w:ascii="楷体" w:hAnsi="楷体" w:eastAsia="楷体" w:cs="楷体"/>
                <w:color w:val="000000"/>
                <w:kern w:val="2"/>
                <w:szCs w:val="21"/>
                <w:lang w:bidi="ar-SA"/>
              </w:rPr>
            </w:pPr>
          </w:p>
          <w:p w14:paraId="5A9917C1">
            <w:pPr>
              <w:widowControl/>
              <w:kinsoku/>
              <w:overflowPunct/>
              <w:bidi w:val="0"/>
              <w:spacing w:line="240" w:lineRule="auto"/>
              <w:rPr>
                <w:rFonts w:hint="eastAsia" w:ascii="楷体" w:hAnsi="楷体" w:eastAsia="楷体" w:cs="楷体"/>
                <w:color w:val="000000"/>
                <w:kern w:val="2"/>
                <w:szCs w:val="21"/>
                <w:lang w:bidi="ar-SA"/>
              </w:rPr>
            </w:pPr>
          </w:p>
        </w:tc>
        <w:tc>
          <w:tcPr>
            <w:tcW w:w="1987" w:type="dxa"/>
            <w:tcBorders>
              <w:top w:val="single" w:color="auto" w:sz="4" w:space="0"/>
              <w:left w:val="single" w:color="auto" w:sz="4" w:space="0"/>
              <w:bottom w:val="single" w:color="auto" w:sz="4" w:space="0"/>
              <w:right w:val="single" w:color="auto" w:sz="4" w:space="0"/>
            </w:tcBorders>
            <w:vAlign w:val="top"/>
          </w:tcPr>
          <w:p w14:paraId="0E5A2FAB">
            <w:pPr>
              <w:widowControl/>
              <w:kinsoku/>
              <w:overflowPunct/>
              <w:bidi w:val="0"/>
              <w:spacing w:line="240" w:lineRule="auto"/>
            </w:pPr>
            <w:r>
              <w:rPr>
                <w:rFonts w:hint="eastAsia" w:ascii="楷体" w:hAnsi="楷体" w:eastAsia="楷体" w:cs="楷体"/>
                <w:color w:val="000000"/>
                <w:kern w:val="2"/>
                <w:szCs w:val="21"/>
                <w:lang w:bidi="ar-SA"/>
              </w:rPr>
              <w:t>技术障碍明显，有明显节奏错误，作品演出有明显破绽，对作品风格诠释不够到位，作品演奏平庸，弹奏奏基本无学习价值。</w:t>
            </w:r>
          </w:p>
        </w:tc>
        <w:tc>
          <w:tcPr>
            <w:tcW w:w="1507" w:type="dxa"/>
            <w:tcBorders>
              <w:top w:val="single" w:color="auto" w:sz="4" w:space="0"/>
              <w:left w:val="single" w:color="auto" w:sz="4" w:space="0"/>
              <w:bottom w:val="single" w:color="auto" w:sz="4" w:space="0"/>
              <w:right w:val="single" w:color="auto" w:sz="4" w:space="0"/>
            </w:tcBorders>
            <w:vAlign w:val="top"/>
          </w:tcPr>
          <w:p w14:paraId="6E49B8C5">
            <w:pPr>
              <w:widowControl/>
              <w:kinsoku/>
              <w:overflowPunct/>
              <w:bidi w:val="0"/>
              <w:spacing w:line="240" w:lineRule="auto"/>
            </w:pPr>
            <w:r>
              <w:rPr>
                <w:rFonts w:hint="eastAsia" w:ascii="楷体" w:hAnsi="楷体" w:eastAsia="楷体" w:cs="楷体"/>
                <w:color w:val="000000"/>
                <w:kern w:val="2"/>
                <w:szCs w:val="21"/>
                <w:lang w:bidi="ar-SA"/>
              </w:rPr>
              <w:t>基本未掌握应有技巧，节拍不准确，作品完整性差，对作品风格无把握，对乐器声音错误地运用，弹奏无音乐欣赏性。</w:t>
            </w:r>
          </w:p>
        </w:tc>
      </w:tr>
      <w:tr w14:paraId="4947F880">
        <w:trPr>
          <w:trHeight w:val="416" w:hRule="atLeast"/>
          <w:jc w:val="center"/>
        </w:trPr>
        <w:tc>
          <w:tcPr>
            <w:tcW w:w="940" w:type="dxa"/>
            <w:vMerge w:val="continue"/>
            <w:tcBorders>
              <w:top w:val="single" w:color="auto" w:sz="4" w:space="0"/>
              <w:left w:val="single" w:color="auto" w:sz="4" w:space="0"/>
              <w:bottom w:val="single" w:color="auto" w:sz="4" w:space="0"/>
              <w:right w:val="single" w:color="auto" w:sz="4" w:space="0"/>
            </w:tcBorders>
            <w:vAlign w:val="center"/>
          </w:tcPr>
          <w:p w14:paraId="31E57A40">
            <w:pPr>
              <w:spacing w:line="240" w:lineRule="atLeast"/>
              <w:jc w:val="center"/>
              <w:rPr>
                <w:rFonts w:hint="eastAsia" w:ascii="宋体" w:hAnsi="宋体" w:eastAsia="楷体" w:cs="宋体"/>
                <w:color w:val="000000"/>
                <w:kern w:val="2"/>
                <w:sz w:val="24"/>
                <w:szCs w:val="24"/>
                <w:lang w:bidi="ar-SA"/>
              </w:rPr>
            </w:pPr>
          </w:p>
        </w:tc>
        <w:tc>
          <w:tcPr>
            <w:tcW w:w="1840" w:type="dxa"/>
            <w:tcBorders>
              <w:top w:val="single" w:color="auto" w:sz="4" w:space="0"/>
              <w:left w:val="single" w:color="auto" w:sz="4" w:space="0"/>
              <w:bottom w:val="single" w:color="auto" w:sz="4" w:space="0"/>
              <w:right w:val="single" w:color="auto" w:sz="4" w:space="0"/>
            </w:tcBorders>
            <w:vAlign w:val="center"/>
          </w:tcPr>
          <w:p w14:paraId="057B8BF0">
            <w:pPr>
              <w:widowControl/>
              <w:kinsoku/>
              <w:overflowPunct/>
              <w:bidi w:val="0"/>
              <w:spacing w:line="240" w:lineRule="auto"/>
              <w:rPr>
                <w:rFonts w:hint="eastAsia" w:ascii="楷体" w:hAnsi="楷体" w:eastAsia="楷体" w:cs="楷体"/>
                <w:color w:val="000000"/>
                <w:kern w:val="2"/>
                <w:szCs w:val="21"/>
                <w:lang w:bidi="ar-SA"/>
              </w:rPr>
            </w:pPr>
            <w:r>
              <w:rPr>
                <w:rFonts w:hint="eastAsia" w:ascii="楷体" w:hAnsi="楷体" w:eastAsia="楷体" w:cs="楷体"/>
                <w:color w:val="000000"/>
                <w:kern w:val="2"/>
                <w:szCs w:val="21"/>
                <w:lang w:bidi="ar-SA"/>
              </w:rPr>
              <w:t>4.1音乐教学能力</w:t>
            </w:r>
          </w:p>
          <w:p w14:paraId="43632E35">
            <w:pPr>
              <w:widowControl/>
              <w:kinsoku/>
              <w:overflowPunct/>
              <w:bidi w:val="0"/>
              <w:spacing w:line="240" w:lineRule="auto"/>
            </w:pPr>
            <w:r>
              <w:rPr>
                <w:rFonts w:hint="eastAsia" w:ascii="楷体" w:hAnsi="楷体" w:eastAsia="楷体" w:cs="楷体"/>
                <w:color w:val="000000"/>
                <w:kern w:val="2"/>
                <w:szCs w:val="21"/>
                <w:lang w:bidi="ar-SA"/>
              </w:rPr>
              <w:t>因材施教，让不同初始程度的学生依据自己的能力，弹奏一定量的中小学音乐课曲目伴奏，对于一些弹奏过的曲目，能够比较熟悉，旋律节奏基本准确，为今后的</w:t>
            </w:r>
            <w:r>
              <w:rPr>
                <w:rFonts w:hint="eastAsia" w:ascii="楷体" w:hAnsi="楷体" w:eastAsia="楷体" w:cs="楷体"/>
                <w:color w:val="000000"/>
                <w:kern w:val="2"/>
                <w:szCs w:val="21"/>
                <w:lang w:val="en-US" w:eastAsia="zh-CN" w:bidi="ar-SA"/>
              </w:rPr>
              <w:t>师范类相关课程</w:t>
            </w:r>
            <w:r>
              <w:rPr>
                <w:rFonts w:hint="eastAsia" w:ascii="楷体" w:hAnsi="楷体" w:eastAsia="楷体" w:cs="楷体"/>
                <w:color w:val="000000"/>
                <w:kern w:val="2"/>
                <w:szCs w:val="21"/>
                <w:lang w:bidi="ar-SA"/>
              </w:rPr>
              <w:t>打下</w:t>
            </w:r>
            <w:r>
              <w:rPr>
                <w:rFonts w:hint="eastAsia" w:ascii="楷体" w:hAnsi="楷体" w:eastAsia="楷体" w:cs="楷体"/>
                <w:color w:val="000000"/>
                <w:kern w:val="2"/>
                <w:szCs w:val="21"/>
                <w:lang w:val="en-US" w:eastAsia="zh-CN" w:bidi="ar-SA"/>
              </w:rPr>
              <w:t>一定的</w:t>
            </w:r>
            <w:r>
              <w:rPr>
                <w:rFonts w:hint="eastAsia" w:ascii="楷体" w:hAnsi="楷体" w:eastAsia="楷体" w:cs="楷体"/>
                <w:color w:val="000000"/>
                <w:kern w:val="2"/>
                <w:szCs w:val="21"/>
                <w:lang w:bidi="ar-SA"/>
              </w:rPr>
              <w:t>基础。</w:t>
            </w:r>
          </w:p>
        </w:tc>
        <w:tc>
          <w:tcPr>
            <w:tcW w:w="1584" w:type="dxa"/>
            <w:tcBorders>
              <w:top w:val="single" w:color="auto" w:sz="4" w:space="0"/>
              <w:left w:val="single" w:color="auto" w:sz="4" w:space="0"/>
              <w:bottom w:val="single" w:color="auto" w:sz="4" w:space="0"/>
              <w:right w:val="single" w:color="auto" w:sz="4" w:space="0"/>
            </w:tcBorders>
            <w:vAlign w:val="top"/>
          </w:tcPr>
          <w:p w14:paraId="07AA7190">
            <w:pPr>
              <w:widowControl/>
              <w:kinsoku/>
              <w:overflowPunct/>
              <w:bidi w:val="0"/>
              <w:spacing w:line="240" w:lineRule="auto"/>
            </w:pPr>
            <w:r>
              <w:rPr>
                <w:rFonts w:hint="eastAsia" w:ascii="楷体" w:hAnsi="楷体" w:eastAsia="楷体" w:cs="楷体"/>
                <w:color w:val="000000"/>
                <w:kern w:val="2"/>
                <w:szCs w:val="21"/>
                <w:lang w:bidi="ar-SA"/>
              </w:rPr>
              <w:t>熟练弹奏已布置的歌曲伴奏，风格表情准确。</w:t>
            </w:r>
          </w:p>
        </w:tc>
        <w:tc>
          <w:tcPr>
            <w:tcW w:w="1736" w:type="dxa"/>
            <w:tcBorders>
              <w:top w:val="single" w:color="auto" w:sz="4" w:space="0"/>
              <w:left w:val="single" w:color="auto" w:sz="4" w:space="0"/>
              <w:bottom w:val="single" w:color="auto" w:sz="4" w:space="0"/>
              <w:right w:val="single" w:color="auto" w:sz="4" w:space="0"/>
            </w:tcBorders>
            <w:vAlign w:val="top"/>
          </w:tcPr>
          <w:p w14:paraId="314783FB">
            <w:pPr>
              <w:widowControl/>
              <w:kinsoku/>
              <w:overflowPunct/>
              <w:bidi w:val="0"/>
              <w:spacing w:line="240" w:lineRule="auto"/>
            </w:pPr>
            <w:r>
              <w:rPr>
                <w:rFonts w:hint="eastAsia" w:ascii="楷体" w:hAnsi="楷体" w:eastAsia="楷体" w:cs="楷体"/>
                <w:color w:val="000000"/>
                <w:kern w:val="2"/>
                <w:szCs w:val="21"/>
                <w:lang w:bidi="ar-SA"/>
              </w:rPr>
              <w:t>基本熟练弹奏已布置的歌曲伴奏，风格表情准确。</w:t>
            </w:r>
          </w:p>
        </w:tc>
        <w:tc>
          <w:tcPr>
            <w:tcW w:w="1605" w:type="dxa"/>
            <w:tcBorders>
              <w:top w:val="single" w:color="auto" w:sz="4" w:space="0"/>
              <w:left w:val="single" w:color="auto" w:sz="4" w:space="0"/>
              <w:bottom w:val="single" w:color="auto" w:sz="4" w:space="0"/>
              <w:right w:val="single" w:color="auto" w:sz="4" w:space="0"/>
            </w:tcBorders>
            <w:vAlign w:val="top"/>
          </w:tcPr>
          <w:p w14:paraId="335D6ACB">
            <w:pPr>
              <w:widowControl/>
              <w:kinsoku/>
              <w:overflowPunct/>
              <w:bidi w:val="0"/>
              <w:spacing w:line="240" w:lineRule="auto"/>
            </w:pPr>
            <w:r>
              <w:rPr>
                <w:rFonts w:hint="eastAsia" w:ascii="楷体" w:hAnsi="楷体" w:eastAsia="楷体" w:cs="楷体"/>
                <w:color w:val="000000"/>
                <w:kern w:val="2"/>
                <w:szCs w:val="21"/>
                <w:lang w:bidi="ar-SA"/>
              </w:rPr>
              <w:t>基本熟练弹奏已布置的歌曲伴奏。</w:t>
            </w:r>
          </w:p>
        </w:tc>
        <w:tc>
          <w:tcPr>
            <w:tcW w:w="1987" w:type="dxa"/>
            <w:tcBorders>
              <w:top w:val="single" w:color="auto" w:sz="4" w:space="0"/>
              <w:left w:val="single" w:color="auto" w:sz="4" w:space="0"/>
              <w:bottom w:val="single" w:color="auto" w:sz="4" w:space="0"/>
              <w:right w:val="single" w:color="auto" w:sz="4" w:space="0"/>
            </w:tcBorders>
            <w:vAlign w:val="top"/>
          </w:tcPr>
          <w:p w14:paraId="60ABC6AE">
            <w:pPr>
              <w:widowControl/>
              <w:kinsoku/>
              <w:overflowPunct/>
              <w:bidi w:val="0"/>
              <w:spacing w:line="240" w:lineRule="auto"/>
            </w:pPr>
            <w:r>
              <w:rPr>
                <w:rFonts w:hint="eastAsia" w:ascii="楷体" w:hAnsi="楷体" w:eastAsia="楷体" w:cs="楷体"/>
                <w:color w:val="000000"/>
                <w:kern w:val="2"/>
                <w:szCs w:val="21"/>
                <w:lang w:bidi="ar-SA"/>
              </w:rPr>
              <w:t>对于考查的歌曲伴奏曲目，练习不足，有3处以内错断。</w:t>
            </w:r>
          </w:p>
        </w:tc>
        <w:tc>
          <w:tcPr>
            <w:tcW w:w="1507" w:type="dxa"/>
            <w:tcBorders>
              <w:top w:val="single" w:color="auto" w:sz="4" w:space="0"/>
              <w:left w:val="single" w:color="auto" w:sz="4" w:space="0"/>
              <w:bottom w:val="single" w:color="auto" w:sz="4" w:space="0"/>
              <w:right w:val="single" w:color="auto" w:sz="4" w:space="0"/>
            </w:tcBorders>
            <w:vAlign w:val="top"/>
          </w:tcPr>
          <w:p w14:paraId="4711E785">
            <w:pPr>
              <w:widowControl/>
              <w:kinsoku/>
              <w:overflowPunct/>
              <w:bidi w:val="0"/>
              <w:spacing w:line="240" w:lineRule="auto"/>
            </w:pPr>
            <w:r>
              <w:rPr>
                <w:rFonts w:hint="eastAsia" w:ascii="楷体" w:hAnsi="楷体" w:eastAsia="楷体" w:cs="楷体"/>
                <w:color w:val="000000"/>
                <w:kern w:val="2"/>
                <w:szCs w:val="21"/>
                <w:lang w:bidi="ar-SA"/>
              </w:rPr>
              <w:t>无法完成歌曲伴奏，明显错断超过3处。</w:t>
            </w:r>
          </w:p>
        </w:tc>
      </w:tr>
      <w:tr w14:paraId="1859D360">
        <w:trPr>
          <w:trHeight w:val="1131" w:hRule="atLeast"/>
          <w:jc w:val="center"/>
        </w:trPr>
        <w:tc>
          <w:tcPr>
            <w:tcW w:w="940" w:type="dxa"/>
            <w:vMerge w:val="continue"/>
            <w:tcBorders>
              <w:top w:val="single" w:color="auto" w:sz="4" w:space="0"/>
              <w:left w:val="single" w:color="auto" w:sz="4" w:space="0"/>
              <w:bottom w:val="single" w:color="auto" w:sz="4" w:space="0"/>
              <w:right w:val="single" w:color="auto" w:sz="4" w:space="0"/>
            </w:tcBorders>
            <w:vAlign w:val="center"/>
          </w:tcPr>
          <w:p w14:paraId="29943E03">
            <w:pPr>
              <w:spacing w:line="240" w:lineRule="atLeast"/>
              <w:jc w:val="center"/>
              <w:rPr>
                <w:rFonts w:hint="eastAsia" w:ascii="宋体" w:hAnsi="宋体" w:eastAsia="楷体" w:cs="宋体"/>
                <w:color w:val="000000"/>
                <w:kern w:val="2"/>
                <w:sz w:val="24"/>
                <w:szCs w:val="24"/>
                <w:lang w:bidi="ar-SA"/>
              </w:rPr>
            </w:pPr>
          </w:p>
        </w:tc>
        <w:tc>
          <w:tcPr>
            <w:tcW w:w="1840" w:type="dxa"/>
            <w:tcBorders>
              <w:top w:val="single" w:color="auto" w:sz="4" w:space="0"/>
              <w:left w:val="single" w:color="auto" w:sz="4" w:space="0"/>
              <w:bottom w:val="single" w:color="auto" w:sz="4" w:space="0"/>
              <w:right w:val="single" w:color="auto" w:sz="4" w:space="0"/>
            </w:tcBorders>
            <w:vAlign w:val="center"/>
          </w:tcPr>
          <w:p w14:paraId="398ED69F">
            <w:pPr>
              <w:widowControl/>
              <w:kinsoku/>
              <w:overflowPunct/>
              <w:bidi w:val="0"/>
              <w:spacing w:line="240" w:lineRule="auto"/>
              <w:rPr>
                <w:rFonts w:hint="eastAsia" w:ascii="楷体" w:hAnsi="楷体" w:eastAsia="楷体" w:cs="楷体"/>
                <w:color w:val="000000"/>
                <w:kern w:val="2"/>
                <w:szCs w:val="21"/>
                <w:lang w:bidi="ar-SA"/>
              </w:rPr>
            </w:pPr>
            <w:r>
              <w:rPr>
                <w:rFonts w:hint="eastAsia" w:ascii="楷体" w:hAnsi="楷体" w:eastAsia="楷体" w:cs="楷体"/>
                <w:color w:val="000000"/>
                <w:kern w:val="2"/>
                <w:szCs w:val="21"/>
                <w:lang w:bidi="ar-SA"/>
              </w:rPr>
              <w:t>7.1反思改进</w:t>
            </w:r>
          </w:p>
          <w:p w14:paraId="3C5A42C9">
            <w:pPr>
              <w:widowControl/>
              <w:kinsoku/>
              <w:overflowPunct/>
              <w:bidi w:val="0"/>
              <w:spacing w:line="240" w:lineRule="auto"/>
            </w:pPr>
            <w:r>
              <w:rPr>
                <w:rFonts w:hint="eastAsia" w:ascii="楷体" w:hAnsi="楷体" w:eastAsia="楷体" w:cs="楷体"/>
                <w:color w:val="000000"/>
                <w:kern w:val="2"/>
                <w:szCs w:val="21"/>
                <w:lang w:bidi="ar-SA"/>
              </w:rPr>
              <w:t>课后通过教师反馈与自我反思，形成对于学生自身实践的客观认识，并进行改进.。</w:t>
            </w:r>
          </w:p>
        </w:tc>
        <w:tc>
          <w:tcPr>
            <w:tcW w:w="1584" w:type="dxa"/>
            <w:tcBorders>
              <w:top w:val="single" w:color="auto" w:sz="4" w:space="0"/>
              <w:left w:val="single" w:color="auto" w:sz="4" w:space="0"/>
              <w:bottom w:val="single" w:color="auto" w:sz="4" w:space="0"/>
              <w:right w:val="single" w:color="auto" w:sz="4" w:space="0"/>
            </w:tcBorders>
            <w:vAlign w:val="top"/>
          </w:tcPr>
          <w:p w14:paraId="2FD5DFC7">
            <w:pPr>
              <w:widowControl/>
              <w:kinsoku/>
              <w:overflowPunct/>
              <w:bidi w:val="0"/>
              <w:spacing w:line="240" w:lineRule="auto"/>
            </w:pPr>
            <w:r>
              <w:rPr>
                <w:rFonts w:hint="eastAsia" w:ascii="楷体" w:hAnsi="楷体" w:eastAsia="楷体" w:cs="楷体"/>
                <w:color w:val="000000"/>
                <w:kern w:val="2"/>
                <w:szCs w:val="21"/>
                <w:lang w:bidi="ar-SA"/>
              </w:rPr>
              <w:t>教学活动后能够很好地及时总结与反思，对教学过程、重难点、教学目标达成、师生互动、学生主体等方面检查自己的问题，自我诊断、追溯原因，提出下一步改进的具体措施。</w:t>
            </w:r>
          </w:p>
        </w:tc>
        <w:tc>
          <w:tcPr>
            <w:tcW w:w="1736" w:type="dxa"/>
            <w:tcBorders>
              <w:top w:val="single" w:color="auto" w:sz="4" w:space="0"/>
              <w:left w:val="single" w:color="auto" w:sz="4" w:space="0"/>
              <w:bottom w:val="single" w:color="auto" w:sz="4" w:space="0"/>
              <w:right w:val="single" w:color="auto" w:sz="4" w:space="0"/>
            </w:tcBorders>
            <w:vAlign w:val="top"/>
          </w:tcPr>
          <w:p w14:paraId="34F52348">
            <w:pPr>
              <w:widowControl/>
              <w:kinsoku/>
              <w:overflowPunct/>
              <w:bidi w:val="0"/>
              <w:spacing w:line="240" w:lineRule="auto"/>
            </w:pPr>
            <w:r>
              <w:rPr>
                <w:rFonts w:hint="eastAsia" w:ascii="楷体" w:hAnsi="楷体" w:eastAsia="楷体" w:cs="楷体"/>
                <w:color w:val="000000"/>
                <w:kern w:val="2"/>
                <w:szCs w:val="21"/>
                <w:lang w:bidi="ar-SA"/>
              </w:rPr>
              <w:t>教学活动后能够及时总结与反思，对教学过程、重难点、教学目标达成、师生互动、学生主体等方面检查自己的问题，自我诊断、追溯原因，提出下一步改进的具体措施。</w:t>
            </w:r>
          </w:p>
        </w:tc>
        <w:tc>
          <w:tcPr>
            <w:tcW w:w="1605" w:type="dxa"/>
            <w:tcBorders>
              <w:top w:val="single" w:color="auto" w:sz="4" w:space="0"/>
              <w:left w:val="single" w:color="auto" w:sz="4" w:space="0"/>
              <w:bottom w:val="single" w:color="auto" w:sz="4" w:space="0"/>
              <w:right w:val="single" w:color="auto" w:sz="4" w:space="0"/>
            </w:tcBorders>
            <w:vAlign w:val="top"/>
          </w:tcPr>
          <w:p w14:paraId="0258A631">
            <w:pPr>
              <w:widowControl/>
              <w:kinsoku/>
              <w:overflowPunct/>
              <w:bidi w:val="0"/>
              <w:spacing w:line="240" w:lineRule="auto"/>
            </w:pPr>
            <w:r>
              <w:rPr>
                <w:rFonts w:hint="eastAsia" w:ascii="楷体" w:hAnsi="楷体" w:eastAsia="楷体" w:cs="楷体"/>
                <w:color w:val="000000"/>
                <w:kern w:val="2"/>
                <w:szCs w:val="21"/>
                <w:lang w:bidi="ar-SA"/>
              </w:rPr>
              <w:t>教学活动后基本能够及时总结与反思，对教学过程、重难点、教学目标达成、师生互动、学生主体等方面检查自己的问题，自我诊断、追溯原因，提出下一步改进的具体措施。</w:t>
            </w:r>
          </w:p>
        </w:tc>
        <w:tc>
          <w:tcPr>
            <w:tcW w:w="1987" w:type="dxa"/>
            <w:tcBorders>
              <w:top w:val="single" w:color="auto" w:sz="4" w:space="0"/>
              <w:left w:val="single" w:color="auto" w:sz="4" w:space="0"/>
              <w:bottom w:val="single" w:color="auto" w:sz="4" w:space="0"/>
              <w:right w:val="single" w:color="auto" w:sz="4" w:space="0"/>
            </w:tcBorders>
            <w:vAlign w:val="top"/>
          </w:tcPr>
          <w:p w14:paraId="03D6F65B">
            <w:pPr>
              <w:widowControl/>
              <w:kinsoku/>
              <w:overflowPunct/>
              <w:bidi w:val="0"/>
              <w:spacing w:line="240" w:lineRule="auto"/>
            </w:pPr>
            <w:r>
              <w:rPr>
                <w:rFonts w:hint="eastAsia" w:ascii="楷体" w:hAnsi="楷体" w:eastAsia="楷体" w:cs="楷体"/>
                <w:color w:val="000000"/>
                <w:kern w:val="2"/>
                <w:szCs w:val="21"/>
                <w:lang w:bidi="ar-SA"/>
              </w:rPr>
              <w:t>教学活动后基本能够及时总结与反思，对教学过程、重难点、教学目标达成、师生互动、学生主体等方面检查自己的问题，基本能够自我诊断、追溯原因，在提出下一步改进的具体措施方面需加强。</w:t>
            </w:r>
          </w:p>
        </w:tc>
        <w:tc>
          <w:tcPr>
            <w:tcW w:w="1507" w:type="dxa"/>
            <w:tcBorders>
              <w:top w:val="single" w:color="auto" w:sz="4" w:space="0"/>
              <w:left w:val="single" w:color="auto" w:sz="4" w:space="0"/>
              <w:bottom w:val="single" w:color="auto" w:sz="4" w:space="0"/>
              <w:right w:val="single" w:color="auto" w:sz="4" w:space="0"/>
            </w:tcBorders>
            <w:vAlign w:val="top"/>
          </w:tcPr>
          <w:p w14:paraId="352F425A">
            <w:pPr>
              <w:widowControl/>
              <w:kinsoku/>
              <w:overflowPunct/>
              <w:bidi w:val="0"/>
              <w:spacing w:line="240" w:lineRule="auto"/>
            </w:pPr>
            <w:r>
              <w:rPr>
                <w:rFonts w:hint="eastAsia" w:ascii="楷体" w:hAnsi="楷体" w:eastAsia="楷体" w:cs="楷体"/>
                <w:color w:val="000000"/>
                <w:kern w:val="2"/>
                <w:szCs w:val="21"/>
                <w:lang w:bidi="ar-SA"/>
              </w:rPr>
              <w:t>教学活动后未能够及时总结与反思，未能对教学过程、重难点、教学目标达成、师生互动、学生主体等方面检查自己的问题，自我诊断、追溯原因，未能提出下一步改进的具体措施。</w:t>
            </w:r>
          </w:p>
        </w:tc>
      </w:tr>
    </w:tbl>
    <w:p w14:paraId="0705E38E">
      <w:pPr>
        <w:rPr>
          <w:sz w:val="2"/>
          <w:szCs w:val="2"/>
        </w:rPr>
        <w:sectPr>
          <w:headerReference r:id="rId29" w:type="default"/>
          <w:footerReference r:id="rId30" w:type="default"/>
          <w:footnotePr/>
          <w:pgSz w:w="11906" w:h="16838" w:orient="landscape"/>
          <w:pgMar w:top="1134" w:right="1417" w:bottom="1134" w:left="1417" w:header="720" w:footer="720" w:gutter="0"/>
          <w:cols w:space="720" w:num="1"/>
          <w:docGrid w:type="lines" w:linePitch="312" w:charSpace="0"/>
        </w:sectPr>
      </w:pPr>
    </w:p>
    <w:p w14:paraId="6F62C61E">
      <w:pPr>
        <w:jc w:val="center"/>
        <w:rPr>
          <w:rFonts w:hint="eastAsia" w:ascii="微软雅黑" w:hAnsi="微软雅黑" w:eastAsia="微软雅黑" w:cs="微软雅黑"/>
          <w:sz w:val="44"/>
          <w:szCs w:val="44"/>
          <w:lang w:eastAsia="zh-CN"/>
        </w:rPr>
      </w:pPr>
      <w:r>
        <w:rPr>
          <w:rFonts w:hint="eastAsia" w:ascii="微软雅黑" w:hAnsi="微软雅黑" w:eastAsia="微软雅黑" w:cs="微软雅黑"/>
          <w:sz w:val="44"/>
          <w:szCs w:val="44"/>
        </w:rPr>
        <w:t>三明学院音乐学（音乐教育）专业</w:t>
      </w:r>
    </w:p>
    <w:p w14:paraId="5097062D">
      <w:pPr>
        <w:pStyle w:val="261"/>
        <w:bidi w:val="0"/>
        <w:jc w:val="center"/>
        <w:rPr>
          <w:rFonts w:hint="eastAsia"/>
        </w:rPr>
      </w:pPr>
      <w:bookmarkStart w:id="81" w:name="_Toc119286353"/>
      <w:r>
        <w:rPr>
          <w:rFonts w:hint="eastAsia"/>
        </w:rPr>
        <w:t>《管乐》课程教学大纲</w:t>
      </w:r>
      <w:bookmarkEnd w:id="81"/>
    </w:p>
    <w:tbl>
      <w:tblPr>
        <w:tblStyle w:val="22"/>
        <w:tblW w:w="92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025"/>
        <w:gridCol w:w="547"/>
        <w:gridCol w:w="69"/>
        <w:gridCol w:w="1503"/>
        <w:gridCol w:w="725"/>
        <w:gridCol w:w="396"/>
        <w:gridCol w:w="451"/>
        <w:gridCol w:w="553"/>
        <w:gridCol w:w="417"/>
        <w:gridCol w:w="9"/>
        <w:gridCol w:w="6"/>
        <w:gridCol w:w="572"/>
        <w:gridCol w:w="15"/>
        <w:gridCol w:w="560"/>
        <w:gridCol w:w="430"/>
        <w:gridCol w:w="586"/>
      </w:tblGrid>
      <w:tr w14:paraId="36303BF4">
        <w:trPr>
          <w:trHeight w:val="454" w:hRule="atLeast"/>
          <w:jc w:val="center"/>
        </w:trPr>
        <w:tc>
          <w:tcPr>
            <w:tcW w:w="1376" w:type="dxa"/>
            <w:vAlign w:val="center"/>
          </w:tcPr>
          <w:p w14:paraId="061CBFD7">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课程名称</w:t>
            </w:r>
          </w:p>
        </w:tc>
        <w:tc>
          <w:tcPr>
            <w:tcW w:w="4716" w:type="dxa"/>
            <w:gridSpan w:val="7"/>
            <w:vAlign w:val="center"/>
          </w:tcPr>
          <w:p w14:paraId="13F7636B">
            <w:pPr>
              <w:adjustRightInd w:val="0"/>
              <w:snapToGrid w:val="0"/>
              <w:spacing w:line="240" w:lineRule="atLeast"/>
              <w:jc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lang w:val="en-US" w:eastAsia="zh-CN"/>
              </w:rPr>
              <w:t>管乐》</w:t>
            </w:r>
          </w:p>
        </w:tc>
        <w:tc>
          <w:tcPr>
            <w:tcW w:w="1572" w:type="dxa"/>
            <w:gridSpan w:val="6"/>
            <w:vAlign w:val="center"/>
          </w:tcPr>
          <w:p w14:paraId="7BE40735">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课程代码</w:t>
            </w:r>
          </w:p>
        </w:tc>
        <w:tc>
          <w:tcPr>
            <w:tcW w:w="1576" w:type="dxa"/>
            <w:gridSpan w:val="3"/>
            <w:vAlign w:val="center"/>
          </w:tcPr>
          <w:p w14:paraId="3833BD94">
            <w:pPr>
              <w:adjustRightInd w:val="0"/>
              <w:snapToGrid w:val="0"/>
              <w:spacing w:line="240" w:lineRule="atLeast"/>
              <w:jc w:val="center"/>
              <w:rPr>
                <w:rFonts w:hint="default" w:ascii="仿宋" w:hAnsi="仿宋" w:eastAsia="仿宋" w:cs="仿宋"/>
                <w:color w:val="000000"/>
                <w:sz w:val="24"/>
                <w:szCs w:val="24"/>
              </w:rPr>
            </w:pPr>
            <w:r>
              <w:rPr>
                <w:rFonts w:hint="default" w:ascii="仿宋" w:hAnsi="仿宋" w:eastAsia="仿宋" w:cs="仿宋"/>
                <w:color w:val="000000"/>
                <w:sz w:val="24"/>
                <w:szCs w:val="24"/>
              </w:rPr>
              <w:t>1213504612</w:t>
            </w:r>
          </w:p>
          <w:p w14:paraId="1A04C706">
            <w:pPr>
              <w:adjustRightInd w:val="0"/>
              <w:snapToGrid w:val="0"/>
              <w:spacing w:line="240" w:lineRule="atLeast"/>
              <w:jc w:val="center"/>
              <w:rPr>
                <w:rFonts w:hint="default" w:ascii="仿宋" w:hAnsi="仿宋" w:eastAsia="仿宋" w:cs="仿宋"/>
                <w:color w:val="000000"/>
                <w:sz w:val="24"/>
                <w:szCs w:val="24"/>
              </w:rPr>
            </w:pPr>
            <w:r>
              <w:rPr>
                <w:rFonts w:hint="default" w:ascii="仿宋" w:hAnsi="仿宋" w:eastAsia="仿宋" w:cs="仿宋"/>
                <w:color w:val="000000"/>
                <w:sz w:val="24"/>
                <w:szCs w:val="24"/>
              </w:rPr>
              <w:t>1213504613</w:t>
            </w:r>
          </w:p>
          <w:p w14:paraId="72A4E79B">
            <w:pPr>
              <w:adjustRightInd w:val="0"/>
              <w:snapToGrid w:val="0"/>
              <w:spacing w:line="240" w:lineRule="atLeast"/>
              <w:jc w:val="center"/>
              <w:rPr>
                <w:rFonts w:hint="default" w:ascii="仿宋" w:hAnsi="仿宋" w:eastAsia="仿宋" w:cs="仿宋"/>
                <w:color w:val="000000"/>
                <w:sz w:val="24"/>
                <w:szCs w:val="24"/>
              </w:rPr>
            </w:pPr>
            <w:r>
              <w:rPr>
                <w:rFonts w:hint="default" w:ascii="仿宋" w:hAnsi="仿宋" w:eastAsia="仿宋" w:cs="仿宋"/>
                <w:color w:val="000000"/>
                <w:sz w:val="24"/>
                <w:szCs w:val="24"/>
              </w:rPr>
              <w:t>1213504614</w:t>
            </w:r>
          </w:p>
          <w:p w14:paraId="5D05E54E">
            <w:pPr>
              <w:adjustRightInd w:val="0"/>
              <w:snapToGrid w:val="0"/>
              <w:spacing w:line="240" w:lineRule="atLeast"/>
              <w:jc w:val="center"/>
              <w:rPr>
                <w:rFonts w:hint="default" w:ascii="仿宋" w:hAnsi="仿宋" w:eastAsia="仿宋" w:cs="仿宋"/>
                <w:color w:val="000000"/>
                <w:sz w:val="24"/>
                <w:szCs w:val="24"/>
              </w:rPr>
            </w:pPr>
            <w:r>
              <w:rPr>
                <w:rFonts w:hint="default" w:ascii="仿宋" w:hAnsi="仿宋" w:eastAsia="仿宋" w:cs="仿宋"/>
                <w:color w:val="000000"/>
                <w:sz w:val="24"/>
                <w:szCs w:val="24"/>
              </w:rPr>
              <w:t>1213504615</w:t>
            </w:r>
          </w:p>
        </w:tc>
      </w:tr>
      <w:tr w14:paraId="0C0145BD">
        <w:trPr>
          <w:trHeight w:val="454" w:hRule="atLeast"/>
          <w:jc w:val="center"/>
        </w:trPr>
        <w:tc>
          <w:tcPr>
            <w:tcW w:w="1376" w:type="dxa"/>
            <w:vAlign w:val="center"/>
          </w:tcPr>
          <w:p w14:paraId="33D710ED">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课程类型</w:t>
            </w:r>
          </w:p>
        </w:tc>
        <w:tc>
          <w:tcPr>
            <w:tcW w:w="7864" w:type="dxa"/>
            <w:gridSpan w:val="16"/>
            <w:vAlign w:val="center"/>
          </w:tcPr>
          <w:p w14:paraId="6F76CC92">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通识必修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通识选修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专业必修 </w:t>
            </w:r>
          </w:p>
          <w:p w14:paraId="3D7644FC">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专业选修</w:t>
            </w:r>
            <w:r>
              <w:rPr>
                <w:rFonts w:hint="eastAsia" w:ascii="仿宋" w:hAnsi="仿宋" w:eastAsia="仿宋" w:cs="仿宋"/>
                <w:color w:val="000000"/>
                <w:sz w:val="24"/>
                <w:szCs w:val="24"/>
                <w:lang w:eastAsia="zh-TW"/>
              </w:rPr>
              <w:t xml:space="preserve">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教师教育必修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教师教育选修</w:t>
            </w:r>
          </w:p>
        </w:tc>
      </w:tr>
      <w:tr w14:paraId="5D204956">
        <w:trPr>
          <w:trHeight w:val="406" w:hRule="atLeast"/>
          <w:jc w:val="center"/>
        </w:trPr>
        <w:tc>
          <w:tcPr>
            <w:tcW w:w="1376" w:type="dxa"/>
            <w:vAlign w:val="center"/>
          </w:tcPr>
          <w:p w14:paraId="3E122B69">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开课学期</w:t>
            </w:r>
          </w:p>
        </w:tc>
        <w:tc>
          <w:tcPr>
            <w:tcW w:w="1572" w:type="dxa"/>
            <w:gridSpan w:val="2"/>
            <w:vAlign w:val="center"/>
          </w:tcPr>
          <w:p w14:paraId="2569F267">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第</w:t>
            </w:r>
            <w:r>
              <w:rPr>
                <w:rFonts w:hint="default" w:ascii="仿宋" w:hAnsi="仿宋" w:eastAsia="仿宋" w:cs="仿宋"/>
                <w:color w:val="000000"/>
                <w:sz w:val="24"/>
                <w:szCs w:val="24"/>
                <w:lang w:val="en-US"/>
              </w:rPr>
              <w:t>1</w:t>
            </w:r>
            <w:r>
              <w:rPr>
                <w:rFonts w:hint="eastAsia" w:ascii="仿宋" w:hAnsi="仿宋" w:eastAsia="仿宋" w:cs="仿宋"/>
                <w:color w:val="000000"/>
                <w:sz w:val="24"/>
                <w:szCs w:val="24"/>
                <w:lang w:val="en-US" w:eastAsia="zh-CN"/>
              </w:rPr>
              <w:t>、2、3、4</w:t>
            </w:r>
            <w:r>
              <w:rPr>
                <w:rFonts w:hint="eastAsia" w:ascii="仿宋" w:hAnsi="仿宋" w:eastAsia="仿宋" w:cs="仿宋"/>
                <w:color w:val="000000"/>
                <w:sz w:val="24"/>
                <w:szCs w:val="24"/>
              </w:rPr>
              <w:t>学期</w:t>
            </w:r>
          </w:p>
        </w:tc>
        <w:tc>
          <w:tcPr>
            <w:tcW w:w="1572" w:type="dxa"/>
            <w:gridSpan w:val="2"/>
            <w:vAlign w:val="center"/>
          </w:tcPr>
          <w:p w14:paraId="5A2B68B5">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学分</w:t>
            </w:r>
          </w:p>
        </w:tc>
        <w:tc>
          <w:tcPr>
            <w:tcW w:w="1572" w:type="dxa"/>
            <w:gridSpan w:val="3"/>
            <w:vAlign w:val="center"/>
          </w:tcPr>
          <w:p w14:paraId="606028A9">
            <w:pPr>
              <w:adjustRightInd w:val="0"/>
              <w:snapToGrid w:val="0"/>
              <w:spacing w:line="240" w:lineRule="atLeast"/>
              <w:jc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4</w:t>
            </w:r>
          </w:p>
        </w:tc>
        <w:tc>
          <w:tcPr>
            <w:tcW w:w="1572" w:type="dxa"/>
            <w:gridSpan w:val="6"/>
            <w:vAlign w:val="center"/>
          </w:tcPr>
          <w:p w14:paraId="3881E65C">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课程负责人</w:t>
            </w:r>
          </w:p>
        </w:tc>
        <w:tc>
          <w:tcPr>
            <w:tcW w:w="1576" w:type="dxa"/>
            <w:gridSpan w:val="3"/>
            <w:vAlign w:val="center"/>
          </w:tcPr>
          <w:p w14:paraId="36FE5490">
            <w:pPr>
              <w:adjustRightInd w:val="0"/>
              <w:snapToGrid w:val="0"/>
              <w:spacing w:line="240" w:lineRule="atLeast"/>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元凯</w:t>
            </w:r>
          </w:p>
        </w:tc>
      </w:tr>
      <w:tr w14:paraId="6DF19031">
        <w:trPr>
          <w:trHeight w:val="485" w:hRule="atLeast"/>
          <w:jc w:val="center"/>
        </w:trPr>
        <w:tc>
          <w:tcPr>
            <w:tcW w:w="1376" w:type="dxa"/>
            <w:vAlign w:val="center"/>
          </w:tcPr>
          <w:p w14:paraId="5E412FD2">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总学时</w:t>
            </w:r>
          </w:p>
        </w:tc>
        <w:tc>
          <w:tcPr>
            <w:tcW w:w="1572" w:type="dxa"/>
            <w:gridSpan w:val="2"/>
            <w:vAlign w:val="center"/>
          </w:tcPr>
          <w:p w14:paraId="6C17A054">
            <w:pPr>
              <w:adjustRightInd w:val="0"/>
              <w:snapToGrid w:val="0"/>
              <w:spacing w:line="240" w:lineRule="atLeast"/>
              <w:jc w:val="center"/>
              <w:rPr>
                <w:rFonts w:hint="default" w:ascii="仿宋" w:hAnsi="仿宋" w:eastAsia="仿宋" w:cs="仿宋"/>
                <w:color w:val="000000"/>
                <w:sz w:val="24"/>
                <w:szCs w:val="24"/>
              </w:rPr>
            </w:pPr>
            <w:r>
              <w:rPr>
                <w:rFonts w:hint="eastAsia" w:ascii="仿宋" w:hAnsi="仿宋" w:eastAsia="仿宋" w:cs="仿宋"/>
                <w:color w:val="000000"/>
                <w:sz w:val="24"/>
                <w:szCs w:val="24"/>
                <w:lang w:val="en-US" w:eastAsia="zh-CN"/>
              </w:rPr>
              <w:t>12</w:t>
            </w:r>
            <w:r>
              <w:rPr>
                <w:rFonts w:hint="default" w:ascii="仿宋" w:hAnsi="仿宋" w:eastAsia="仿宋" w:cs="仿宋"/>
                <w:color w:val="000000"/>
                <w:sz w:val="24"/>
                <w:szCs w:val="24"/>
                <w:lang w:eastAsia="zh-CN"/>
              </w:rPr>
              <w:t>8</w:t>
            </w:r>
          </w:p>
        </w:tc>
        <w:tc>
          <w:tcPr>
            <w:tcW w:w="1572" w:type="dxa"/>
            <w:gridSpan w:val="2"/>
            <w:vAlign w:val="center"/>
          </w:tcPr>
          <w:p w14:paraId="52D43A93">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理论学时</w:t>
            </w:r>
          </w:p>
        </w:tc>
        <w:tc>
          <w:tcPr>
            <w:tcW w:w="1572" w:type="dxa"/>
            <w:gridSpan w:val="3"/>
            <w:vAlign w:val="center"/>
          </w:tcPr>
          <w:p w14:paraId="72116CA0">
            <w:pPr>
              <w:adjustRightInd w:val="0"/>
              <w:snapToGrid w:val="0"/>
              <w:spacing w:line="240" w:lineRule="atLeast"/>
              <w:jc w:val="center"/>
              <w:rPr>
                <w:rFonts w:hint="default" w:ascii="仿宋" w:hAnsi="仿宋" w:eastAsia="仿宋" w:cs="仿宋"/>
                <w:color w:val="000000"/>
                <w:sz w:val="24"/>
                <w:szCs w:val="24"/>
                <w:lang w:val="en-US" w:eastAsia="zh-CN"/>
              </w:rPr>
            </w:pPr>
            <w:r>
              <w:rPr>
                <w:rFonts w:hint="default" w:ascii="仿宋" w:hAnsi="仿宋" w:eastAsia="仿宋" w:cs="仿宋"/>
                <w:color w:val="000000"/>
                <w:sz w:val="24"/>
                <w:szCs w:val="24"/>
                <w:lang w:val="en-US" w:eastAsia="zh-CN"/>
              </w:rPr>
              <w:t>0</w:t>
            </w:r>
          </w:p>
        </w:tc>
        <w:tc>
          <w:tcPr>
            <w:tcW w:w="1572" w:type="dxa"/>
            <w:gridSpan w:val="6"/>
            <w:tcBorders>
              <w:right w:val="single" w:color="000000" w:sz="4" w:space="0"/>
            </w:tcBorders>
            <w:vAlign w:val="center"/>
          </w:tcPr>
          <w:p w14:paraId="64548F73">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实践学时</w:t>
            </w:r>
          </w:p>
        </w:tc>
        <w:tc>
          <w:tcPr>
            <w:tcW w:w="1576" w:type="dxa"/>
            <w:gridSpan w:val="3"/>
            <w:tcBorders>
              <w:left w:val="single" w:color="000000" w:sz="4" w:space="0"/>
            </w:tcBorders>
            <w:vAlign w:val="center"/>
          </w:tcPr>
          <w:p w14:paraId="4B90B639">
            <w:pPr>
              <w:adjustRightInd w:val="0"/>
              <w:snapToGrid w:val="0"/>
              <w:spacing w:line="240" w:lineRule="atLeast"/>
              <w:jc w:val="center"/>
              <w:rPr>
                <w:rFonts w:hint="default" w:ascii="仿宋" w:hAnsi="仿宋" w:eastAsia="仿宋" w:cs="仿宋"/>
                <w:color w:val="000000"/>
                <w:sz w:val="24"/>
                <w:szCs w:val="24"/>
                <w:lang w:eastAsia="zh-CN"/>
              </w:rPr>
            </w:pPr>
            <w:r>
              <w:rPr>
                <w:rFonts w:hint="default" w:ascii="仿宋" w:hAnsi="仿宋" w:eastAsia="仿宋" w:cs="仿宋"/>
                <w:color w:val="000000"/>
                <w:sz w:val="24"/>
                <w:szCs w:val="24"/>
                <w:lang w:val="en-US" w:eastAsia="zh-CN"/>
              </w:rPr>
              <w:t>12</w:t>
            </w:r>
            <w:r>
              <w:rPr>
                <w:rFonts w:hint="default" w:ascii="仿宋" w:hAnsi="仿宋" w:eastAsia="仿宋" w:cs="仿宋"/>
                <w:color w:val="000000"/>
                <w:sz w:val="24"/>
                <w:szCs w:val="24"/>
                <w:lang w:eastAsia="zh-CN"/>
              </w:rPr>
              <w:t>8</w:t>
            </w:r>
          </w:p>
        </w:tc>
      </w:tr>
      <w:tr w14:paraId="45C3ECCB">
        <w:trPr>
          <w:trHeight w:val="454" w:hRule="atLeast"/>
          <w:jc w:val="center"/>
        </w:trPr>
        <w:tc>
          <w:tcPr>
            <w:tcW w:w="1376" w:type="dxa"/>
            <w:vAlign w:val="center"/>
          </w:tcPr>
          <w:p w14:paraId="763BBBC8">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先修课程与后续课程</w:t>
            </w:r>
          </w:p>
        </w:tc>
        <w:tc>
          <w:tcPr>
            <w:tcW w:w="7864" w:type="dxa"/>
            <w:gridSpan w:val="16"/>
            <w:vAlign w:val="center"/>
          </w:tcPr>
          <w:p w14:paraId="64B969B3">
            <w:pPr>
              <w:adjustRightInd w:val="0"/>
              <w:snapToGrid w:val="0"/>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rPr>
              <w:t>先修课程：</w:t>
            </w:r>
            <w:r>
              <w:rPr>
                <w:rFonts w:hint="default" w:ascii="仿宋" w:hAnsi="仿宋" w:eastAsia="仿宋" w:cs="仿宋"/>
                <w:color w:val="000000"/>
                <w:sz w:val="24"/>
                <w:szCs w:val="24"/>
                <w:lang w:val="en-US"/>
              </w:rPr>
              <w:t>《乐器演奏基础》、</w:t>
            </w:r>
            <w:r>
              <w:rPr>
                <w:rFonts w:hint="eastAsia" w:ascii="仿宋" w:hAnsi="仿宋" w:eastAsia="仿宋" w:cs="仿宋"/>
                <w:color w:val="000000"/>
                <w:sz w:val="24"/>
                <w:szCs w:val="24"/>
              </w:rPr>
              <w:t>《基本乐理》、《视唱练耳》</w:t>
            </w:r>
          </w:p>
          <w:p w14:paraId="7868C1E3">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后续课程：和声、曲式与作品分析、中外音乐史、《</w:t>
            </w:r>
            <w:r>
              <w:rPr>
                <w:rFonts w:hint="eastAsia" w:ascii="仿宋" w:hAnsi="仿宋" w:eastAsia="仿宋" w:cs="仿宋"/>
                <w:color w:val="000000"/>
                <w:sz w:val="24"/>
                <w:szCs w:val="24"/>
                <w:lang w:val="en-US" w:eastAsia="zh-CN"/>
              </w:rPr>
              <w:t>乐器演奏</w:t>
            </w:r>
            <w:r>
              <w:rPr>
                <w:rFonts w:hint="eastAsia" w:ascii="仿宋" w:hAnsi="仿宋" w:eastAsia="仿宋" w:cs="仿宋"/>
                <w:color w:val="000000"/>
                <w:sz w:val="24"/>
                <w:szCs w:val="24"/>
              </w:rPr>
              <w:t>》《西方音乐史与欣赏》等</w:t>
            </w:r>
          </w:p>
        </w:tc>
      </w:tr>
      <w:tr w14:paraId="4E7BD997">
        <w:trPr>
          <w:trHeight w:val="454" w:hRule="atLeast"/>
          <w:jc w:val="center"/>
        </w:trPr>
        <w:tc>
          <w:tcPr>
            <w:tcW w:w="1376" w:type="dxa"/>
            <w:vAlign w:val="center"/>
          </w:tcPr>
          <w:p w14:paraId="2404D0BE">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适用专业</w:t>
            </w:r>
          </w:p>
        </w:tc>
        <w:tc>
          <w:tcPr>
            <w:tcW w:w="7864" w:type="dxa"/>
            <w:gridSpan w:val="16"/>
            <w:vAlign w:val="center"/>
          </w:tcPr>
          <w:p w14:paraId="389FC151">
            <w:pPr>
              <w:adjustRightInd w:val="0"/>
              <w:snapToGrid w:val="0"/>
              <w:jc w:val="center"/>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val="en-US" w:eastAsia="zh-CN"/>
              </w:rPr>
              <w:t>音乐学</w:t>
            </w:r>
          </w:p>
        </w:tc>
      </w:tr>
      <w:tr w14:paraId="47C42862">
        <w:trPr>
          <w:trHeight w:val="1878" w:hRule="atLeast"/>
          <w:jc w:val="center"/>
        </w:trPr>
        <w:tc>
          <w:tcPr>
            <w:tcW w:w="1376" w:type="dxa"/>
            <w:tcBorders>
              <w:bottom w:val="single" w:color="auto" w:sz="4" w:space="0"/>
            </w:tcBorders>
            <w:vAlign w:val="center"/>
          </w:tcPr>
          <w:p w14:paraId="6ACDAAD7">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A</w:t>
            </w:r>
          </w:p>
          <w:p w14:paraId="16D806E0">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参考教材</w:t>
            </w:r>
          </w:p>
        </w:tc>
        <w:tc>
          <w:tcPr>
            <w:tcW w:w="7864" w:type="dxa"/>
            <w:gridSpan w:val="16"/>
            <w:tcBorders>
              <w:bottom w:val="single" w:color="auto" w:sz="4" w:space="0"/>
            </w:tcBorders>
            <w:vAlign w:val="center"/>
          </w:tcPr>
          <w:p w14:paraId="53C08D53">
            <w:pPr>
              <w:adjustRightInd w:val="0"/>
              <w:snapToGrid w:val="0"/>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1.</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lang w:val="en-US" w:eastAsia="zh-CN"/>
              </w:rPr>
              <w:t>管乐队标准化训练教程1</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上海音乐出版社</w:t>
            </w:r>
          </w:p>
          <w:p w14:paraId="5697B4D1">
            <w:pPr>
              <w:adjustRightInd w:val="0"/>
              <w:snapToGrid w:val="0"/>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2.</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lang w:val="en-US" w:eastAsia="zh-CN"/>
              </w:rPr>
              <w:t>管乐队标准化训练教程2</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上海音乐出版社</w:t>
            </w:r>
          </w:p>
          <w:p w14:paraId="3CD8E3EB">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3.</w:t>
            </w:r>
            <w:r>
              <w:rPr>
                <w:rFonts w:hint="eastAsia" w:ascii="仿宋" w:hAnsi="仿宋" w:eastAsia="仿宋" w:cs="仿宋"/>
                <w:color w:val="000000"/>
                <w:sz w:val="24"/>
                <w:szCs w:val="24"/>
              </w:rPr>
              <w:t>《管乐合奏世界名曲集》中国青年出版社</w:t>
            </w:r>
          </w:p>
          <w:p w14:paraId="7B2655DE">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4.</w:t>
            </w:r>
            <w:r>
              <w:rPr>
                <w:rFonts w:hint="eastAsia" w:ascii="仿宋" w:hAnsi="仿宋" w:eastAsia="仿宋" w:cs="仿宋"/>
                <w:color w:val="000000"/>
                <w:sz w:val="24"/>
                <w:szCs w:val="24"/>
              </w:rPr>
              <w:t>《西方管乐合奏曲精选》上海音乐出版社</w:t>
            </w:r>
          </w:p>
        </w:tc>
      </w:tr>
      <w:tr w14:paraId="29AF8EC1">
        <w:trPr>
          <w:trHeight w:val="1991" w:hRule="atLeast"/>
          <w:jc w:val="center"/>
        </w:trPr>
        <w:tc>
          <w:tcPr>
            <w:tcW w:w="1376" w:type="dxa"/>
            <w:tcBorders>
              <w:bottom w:val="single" w:color="auto" w:sz="4" w:space="0"/>
            </w:tcBorders>
            <w:vAlign w:val="center"/>
          </w:tcPr>
          <w:p w14:paraId="4AB958E6">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B</w:t>
            </w:r>
          </w:p>
          <w:p w14:paraId="136F504A">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主要参考书籍</w:t>
            </w:r>
          </w:p>
        </w:tc>
        <w:tc>
          <w:tcPr>
            <w:tcW w:w="7864" w:type="dxa"/>
            <w:gridSpan w:val="16"/>
            <w:tcBorders>
              <w:bottom w:val="single" w:color="auto" w:sz="4" w:space="0"/>
            </w:tcBorders>
            <w:vAlign w:val="center"/>
          </w:tcPr>
          <w:p w14:paraId="548D400B">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[1]张新林《铜管乐重奏曲精选》人民音乐出版社2006年 </w:t>
            </w:r>
          </w:p>
          <w:p w14:paraId="3D1755C6">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[2]林邦恩 《中国革命历史歌曲管乐合奏曲集》上海出版社 2003年</w:t>
            </w:r>
          </w:p>
          <w:p w14:paraId="22CCFFA0">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[3]乔展文 《世界名曲联奏》 上海音乐出版社 2003年</w:t>
            </w:r>
          </w:p>
          <w:p w14:paraId="56B726AA">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4</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lang w:val="en-US" w:eastAsia="zh-CN"/>
              </w:rPr>
              <w:t>管乐队标准化训练教程1</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lang w:val="en-US" w:eastAsia="zh-CN"/>
              </w:rPr>
              <w:t xml:space="preserve"> </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lang w:val="en-US" w:eastAsia="zh-CN"/>
              </w:rPr>
              <w:t>管乐队标准化训练教程2</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lang w:val="en-US" w:eastAsia="zh-CN"/>
              </w:rPr>
              <w:t xml:space="preserve"> </w:t>
            </w:r>
            <w:r>
              <w:rPr>
                <w:rFonts w:hint="eastAsia" w:ascii="仿宋" w:hAnsi="仿宋" w:eastAsia="仿宋" w:cs="仿宋"/>
                <w:color w:val="000000"/>
                <w:sz w:val="24"/>
                <w:szCs w:val="24"/>
              </w:rPr>
              <w:t>上海音乐出版社</w:t>
            </w:r>
          </w:p>
        </w:tc>
      </w:tr>
      <w:tr w14:paraId="298F349E">
        <w:trPr>
          <w:trHeight w:val="1675" w:hRule="atLeast"/>
          <w:jc w:val="center"/>
        </w:trPr>
        <w:tc>
          <w:tcPr>
            <w:tcW w:w="1376" w:type="dxa"/>
            <w:tcBorders>
              <w:bottom w:val="single" w:color="auto" w:sz="4" w:space="0"/>
            </w:tcBorders>
            <w:vAlign w:val="center"/>
          </w:tcPr>
          <w:p w14:paraId="3525CFAD">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C</w:t>
            </w:r>
          </w:p>
          <w:p w14:paraId="2C5975A0">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线上学习资源</w:t>
            </w:r>
          </w:p>
        </w:tc>
        <w:tc>
          <w:tcPr>
            <w:tcW w:w="7864" w:type="dxa"/>
            <w:gridSpan w:val="16"/>
            <w:tcBorders>
              <w:bottom w:val="single" w:color="auto" w:sz="4" w:space="0"/>
            </w:tcBorders>
            <w:vAlign w:val="center"/>
          </w:tcPr>
          <w:p w14:paraId="64340E66">
            <w:pPr>
              <w:adjustRightInd w:val="0"/>
              <w:snapToGrid w:val="0"/>
              <w:rPr>
                <w:rFonts w:ascii="仿宋" w:hAnsi="仿宋" w:eastAsia="仿宋" w:cs="仿宋"/>
                <w:color w:val="000000"/>
                <w:sz w:val="24"/>
                <w:szCs w:val="24"/>
              </w:rPr>
            </w:pPr>
            <w:r>
              <w:rPr>
                <w:rFonts w:hint="eastAsia" w:ascii="仿宋" w:hAnsi="仿宋" w:eastAsia="仿宋" w:cs="仿宋"/>
                <w:color w:val="000000"/>
                <w:sz w:val="24"/>
                <w:szCs w:val="24"/>
              </w:rPr>
              <w:t>1.本课程已经建立校网络课程，同学们依据学校提供的帐号与密码登录课程网站，可查看教学大纲、授课计划、考核方法、教学视频、电子教材、音频、阅读资料、网络文献链接网址等教学资源。</w:t>
            </w:r>
          </w:p>
          <w:p w14:paraId="2E19E569">
            <w:pPr>
              <w:adjustRightInd w:val="0"/>
              <w:snapToGrid w:val="0"/>
              <w:rPr>
                <w:rFonts w:hint="default" w:ascii="仿宋" w:hAnsi="仿宋" w:eastAsia="仿宋" w:cs="仿宋"/>
                <w:color w:val="4472C4"/>
                <w:kern w:val="0"/>
                <w:sz w:val="24"/>
                <w:szCs w:val="24"/>
                <w:lang w:val="en-US" w:eastAsia="zh-CN"/>
              </w:rPr>
            </w:pPr>
            <w:r>
              <w:rPr>
                <w:rFonts w:hint="eastAsia" w:ascii="仿宋" w:hAnsi="仿宋" w:eastAsia="仿宋" w:cs="仿宋"/>
                <w:color w:val="000000"/>
                <w:kern w:val="0"/>
                <w:sz w:val="24"/>
                <w:szCs w:val="24"/>
              </w:rPr>
              <w:t>2.微信平台</w:t>
            </w:r>
            <w:r>
              <w:rPr>
                <w:rFonts w:hint="eastAsia" w:ascii="仿宋" w:hAnsi="仿宋" w:eastAsia="仿宋" w:cs="仿宋"/>
                <w:color w:val="000000"/>
                <w:kern w:val="0"/>
                <w:sz w:val="24"/>
                <w:szCs w:val="24"/>
                <w:lang w:val="en-US" w:eastAsia="zh-CN"/>
              </w:rPr>
              <w:t>管乐学习群</w:t>
            </w:r>
          </w:p>
        </w:tc>
      </w:tr>
      <w:tr w14:paraId="76AEFB50">
        <w:trPr>
          <w:trHeight w:val="2656" w:hRule="atLeast"/>
          <w:jc w:val="center"/>
        </w:trPr>
        <w:tc>
          <w:tcPr>
            <w:tcW w:w="1376" w:type="dxa"/>
            <w:shd w:val="clear" w:color="auto" w:fill="FFFFFF"/>
            <w:vAlign w:val="center"/>
          </w:tcPr>
          <w:p w14:paraId="1CCE16E1">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D</w:t>
            </w:r>
          </w:p>
          <w:p w14:paraId="23A56B83">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课程描述 </w:t>
            </w:r>
          </w:p>
          <w:p w14:paraId="5D8C1F82">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lang w:eastAsia="zh-TW"/>
              </w:rPr>
              <w:t>(</w:t>
            </w:r>
            <w:r>
              <w:rPr>
                <w:rFonts w:hint="eastAsia" w:ascii="仿宋" w:hAnsi="仿宋" w:eastAsia="仿宋" w:cs="仿宋"/>
                <w:color w:val="000000"/>
                <w:sz w:val="24"/>
                <w:szCs w:val="24"/>
              </w:rPr>
              <w:t>含</w:t>
            </w:r>
            <w:r>
              <w:rPr>
                <w:rFonts w:hint="eastAsia" w:ascii="仿宋" w:hAnsi="仿宋" w:eastAsia="仿宋" w:cs="仿宋"/>
                <w:color w:val="000000"/>
                <w:sz w:val="24"/>
                <w:szCs w:val="24"/>
                <w:lang w:eastAsia="zh-TW"/>
              </w:rPr>
              <w:t>性质、地位和任务)</w:t>
            </w:r>
          </w:p>
        </w:tc>
        <w:tc>
          <w:tcPr>
            <w:tcW w:w="7864" w:type="dxa"/>
            <w:gridSpan w:val="16"/>
            <w:tcBorders>
              <w:bottom w:val="single" w:color="auto" w:sz="4" w:space="0"/>
            </w:tcBorders>
            <w:shd w:val="clear" w:color="auto" w:fill="FFFFFF"/>
            <w:vAlign w:val="center"/>
          </w:tcPr>
          <w:p w14:paraId="5915CBA3">
            <w:pPr>
              <w:adjustRightInd w:val="0"/>
              <w:snapToGrid w:val="0"/>
              <w:rPr>
                <w:rFonts w:hint="default" w:ascii="仿宋" w:hAnsi="仿宋" w:eastAsia="仿宋" w:cs="仿宋"/>
                <w:color w:val="4472C4"/>
                <w:kern w:val="0"/>
                <w:sz w:val="24"/>
                <w:szCs w:val="24"/>
                <w:lang w:val="en-US" w:eastAsia="zh-CN"/>
              </w:rPr>
            </w:pPr>
            <w:r>
              <w:rPr>
                <w:rFonts w:hint="eastAsia" w:ascii="仿宋" w:hAnsi="仿宋" w:eastAsia="仿宋" w:cs="仿宋"/>
                <w:color w:val="000000"/>
                <w:sz w:val="24"/>
                <w:szCs w:val="24"/>
              </w:rPr>
              <w:t>本课程是音乐学专业学生的专业技术选修课程之一，是音乐学（器乐）专业学生的一门重要课程，是专业技巧综合训练及舞台表演相结合的课程。将</w:t>
            </w:r>
            <w:r>
              <w:rPr>
                <w:rFonts w:hint="eastAsia" w:ascii="仿宋" w:hAnsi="仿宋" w:eastAsia="仿宋" w:cs="仿宋"/>
                <w:color w:val="000000"/>
                <w:sz w:val="24"/>
                <w:szCs w:val="24"/>
                <w:lang w:val="en-US" w:eastAsia="zh-CN"/>
              </w:rPr>
              <w:t>喜欢</w:t>
            </w:r>
            <w:r>
              <w:rPr>
                <w:rFonts w:hint="eastAsia" w:ascii="仿宋" w:hAnsi="仿宋" w:eastAsia="仿宋" w:cs="仿宋"/>
                <w:color w:val="000000"/>
                <w:sz w:val="24"/>
                <w:szCs w:val="24"/>
              </w:rPr>
              <w:t>乐器演奏的同学组合在一起，共同演奏乐曲。除了合奏之外，还加以了重奏及协奏训练。通过本课程的学习，除了加强学生专业课的基本功外，还为丰富了学生的独奏合奏能力，丰富了学生的个人舞台表演能力，为学生走向工作岗位奠定了扎实的基础。</w:t>
            </w:r>
          </w:p>
        </w:tc>
      </w:tr>
      <w:tr w14:paraId="11235CFE">
        <w:trPr>
          <w:trHeight w:val="3048" w:hRule="atLeast"/>
          <w:jc w:val="center"/>
        </w:trPr>
        <w:tc>
          <w:tcPr>
            <w:tcW w:w="1376" w:type="dxa"/>
            <w:vMerge w:val="restart"/>
            <w:shd w:val="clear" w:color="auto" w:fill="FFFFFF"/>
            <w:vAlign w:val="center"/>
          </w:tcPr>
          <w:p w14:paraId="49C85B57">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E</w:t>
            </w:r>
          </w:p>
          <w:p w14:paraId="07FBC5A9">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课程学习目标及其与毕业要求的对应关系</w:t>
            </w:r>
          </w:p>
        </w:tc>
        <w:tc>
          <w:tcPr>
            <w:tcW w:w="7864" w:type="dxa"/>
            <w:gridSpan w:val="16"/>
            <w:tcBorders>
              <w:bottom w:val="single" w:color="auto" w:sz="4" w:space="0"/>
            </w:tcBorders>
            <w:shd w:val="clear" w:color="auto" w:fill="FFFFFF"/>
            <w:vAlign w:val="center"/>
          </w:tcPr>
          <w:p w14:paraId="1CC6DA12">
            <w:pPr>
              <w:adjustRightInd w:val="0"/>
              <w:snapToGrid w:val="0"/>
              <w:jc w:val="left"/>
              <w:rPr>
                <w:rFonts w:hint="eastAsia" w:ascii="仿宋" w:hAnsi="仿宋" w:eastAsia="仿宋" w:cs="仿宋"/>
                <w:color w:val="000000"/>
                <w:sz w:val="24"/>
                <w:szCs w:val="24"/>
                <w:lang w:eastAsia="zh-TW"/>
              </w:rPr>
            </w:pPr>
            <w:r>
              <w:rPr>
                <w:rFonts w:hint="eastAsia" w:ascii="仿宋" w:hAnsi="仿宋" w:eastAsia="仿宋" w:cs="仿宋"/>
                <w:color w:val="000000"/>
                <w:sz w:val="24"/>
                <w:szCs w:val="24"/>
              </w:rPr>
              <w:t>通过本课程的学习，学生具备如下知识、能力及情感态度价值观：</w:t>
            </w:r>
          </w:p>
          <w:p w14:paraId="05FAC66D">
            <w:pPr>
              <w:keepNext w:val="0"/>
              <w:keepLines w:val="0"/>
              <w:pageBreakBefore w:val="0"/>
              <w:kinsoku/>
              <w:wordWrap/>
              <w:overflowPunct/>
              <w:topLinePunct w:val="0"/>
              <w:bidi w:val="0"/>
              <w:adjustRightInd w:val="0"/>
              <w:snapToGrid w:val="0"/>
              <w:spacing w:line="240" w:lineRule="auto"/>
              <w:rPr>
                <w:rFonts w:hint="default" w:ascii="仿宋" w:hAnsi="仿宋" w:eastAsia="仿宋" w:cs="仿宋"/>
                <w:b w:val="0"/>
                <w:bCs w:val="0"/>
                <w:color w:val="auto"/>
                <w:sz w:val="24"/>
                <w:szCs w:val="24"/>
              </w:rPr>
            </w:pPr>
            <w:r>
              <w:rPr>
                <w:rFonts w:hint="eastAsia" w:ascii="仿宋" w:hAnsi="仿宋" w:eastAsia="仿宋" w:cs="仿宋"/>
                <w:b/>
                <w:bCs/>
                <w:color w:val="000000"/>
                <w:kern w:val="0"/>
                <w:sz w:val="24"/>
                <w:szCs w:val="24"/>
              </w:rPr>
              <w:t>课程目标1：</w:t>
            </w:r>
            <w:r>
              <w:rPr>
                <w:rFonts w:hint="eastAsia" w:ascii="仿宋" w:hAnsi="仿宋" w:eastAsia="仿宋" w:cs="仿宋"/>
                <w:color w:val="000000"/>
                <w:kern w:val="0"/>
                <w:sz w:val="24"/>
                <w:szCs w:val="24"/>
              </w:rPr>
              <w:t xml:space="preserve"> </w:t>
            </w:r>
            <w:r>
              <w:rPr>
                <w:rFonts w:hint="eastAsia" w:ascii="仿宋" w:hAnsi="仿宋" w:eastAsia="仿宋" w:cs="仿宋"/>
                <w:b w:val="0"/>
                <w:bCs w:val="0"/>
                <w:color w:val="000000"/>
                <w:kern w:val="0"/>
                <w:sz w:val="24"/>
                <w:szCs w:val="24"/>
              </w:rPr>
              <w:t>领会</w:t>
            </w:r>
            <w:r>
              <w:rPr>
                <w:rFonts w:hint="eastAsia" w:ascii="仿宋" w:hAnsi="仿宋" w:eastAsia="仿宋" w:cs="仿宋"/>
                <w:b w:val="0"/>
                <w:bCs w:val="0"/>
                <w:color w:val="000000"/>
                <w:kern w:val="0"/>
                <w:sz w:val="24"/>
                <w:szCs w:val="24"/>
                <w:lang w:val="en-US" w:eastAsia="zh-CN"/>
              </w:rPr>
              <w:t>管乐</w:t>
            </w:r>
            <w:r>
              <w:rPr>
                <w:rFonts w:hint="eastAsia" w:ascii="仿宋" w:hAnsi="仿宋" w:eastAsia="仿宋" w:cs="仿宋"/>
                <w:b w:val="0"/>
                <w:bCs w:val="0"/>
                <w:color w:val="000000"/>
                <w:kern w:val="0"/>
                <w:sz w:val="24"/>
                <w:szCs w:val="24"/>
              </w:rPr>
              <w:t>的基本理论和基本技术</w:t>
            </w:r>
            <w:r>
              <w:rPr>
                <w:rFonts w:hint="eastAsia" w:ascii="仿宋" w:hAnsi="仿宋" w:eastAsia="仿宋" w:cs="仿宋"/>
                <w:b w:val="0"/>
                <w:bCs w:val="0"/>
                <w:color w:val="000000"/>
                <w:kern w:val="0"/>
                <w:sz w:val="24"/>
                <w:szCs w:val="24"/>
                <w:lang w:eastAsia="zh-CN"/>
              </w:rPr>
              <w:t>，</w:t>
            </w:r>
            <w:r>
              <w:rPr>
                <w:rFonts w:hint="eastAsia" w:ascii="仿宋" w:hAnsi="仿宋" w:eastAsia="仿宋" w:cs="仿宋"/>
                <w:b w:val="0"/>
                <w:bCs w:val="0"/>
                <w:color w:val="000000"/>
                <w:kern w:val="0"/>
                <w:sz w:val="24"/>
                <w:szCs w:val="24"/>
                <w:lang w:val="en-US" w:eastAsia="zh-CN"/>
              </w:rPr>
              <w:t>提高专业知识与水平。</w:t>
            </w:r>
            <w:r>
              <w:rPr>
                <w:rFonts w:hint="eastAsia" w:ascii="仿宋" w:hAnsi="仿宋" w:eastAsia="仿宋" w:cs="仿宋"/>
                <w:color w:val="000000"/>
                <w:kern w:val="0"/>
                <w:sz w:val="24"/>
                <w:szCs w:val="24"/>
                <w:lang w:val="en-US" w:eastAsia="zh-CN"/>
              </w:rPr>
              <w:t>乐器的</w:t>
            </w:r>
            <w:r>
              <w:rPr>
                <w:rFonts w:hint="eastAsia" w:ascii="仿宋" w:hAnsi="仿宋" w:eastAsia="仿宋" w:cs="仿宋"/>
                <w:color w:val="000000"/>
                <w:kern w:val="0"/>
                <w:sz w:val="24"/>
                <w:szCs w:val="24"/>
              </w:rPr>
              <w:t>演奏与</w:t>
            </w:r>
            <w:r>
              <w:rPr>
                <w:rFonts w:hint="eastAsia" w:ascii="仿宋" w:hAnsi="仿宋" w:eastAsia="仿宋" w:cs="仿宋"/>
                <w:color w:val="000000"/>
                <w:sz w:val="24"/>
                <w:szCs w:val="24"/>
              </w:rPr>
              <w:t>学习，</w:t>
            </w:r>
            <w:r>
              <w:rPr>
                <w:rFonts w:hint="eastAsia" w:ascii="仿宋" w:hAnsi="仿宋" w:eastAsia="仿宋" w:cs="仿宋"/>
                <w:color w:val="000000"/>
                <w:kern w:val="0"/>
                <w:sz w:val="24"/>
                <w:szCs w:val="24"/>
              </w:rPr>
              <w:t>使</w:t>
            </w:r>
            <w:r>
              <w:rPr>
                <w:rFonts w:hint="eastAsia" w:ascii="仿宋" w:hAnsi="仿宋" w:eastAsia="仿宋" w:cs="仿宋"/>
                <w:color w:val="000000"/>
                <w:sz w:val="24"/>
                <w:szCs w:val="24"/>
              </w:rPr>
              <w:t>学生能够</w:t>
            </w:r>
            <w:r>
              <w:rPr>
                <w:rFonts w:hint="eastAsia" w:ascii="仿宋" w:hAnsi="仿宋" w:eastAsia="仿宋" w:cs="仿宋"/>
                <w:color w:val="000000"/>
                <w:kern w:val="0"/>
                <w:sz w:val="24"/>
                <w:szCs w:val="24"/>
              </w:rPr>
              <w:t>较为完整的表现作品的风格和情感，</w:t>
            </w:r>
            <w:r>
              <w:rPr>
                <w:rFonts w:hint="eastAsia" w:ascii="仿宋" w:hAnsi="仿宋" w:eastAsia="仿宋" w:cs="仿宋"/>
                <w:color w:val="000000"/>
                <w:kern w:val="0"/>
                <w:sz w:val="24"/>
                <w:szCs w:val="24"/>
                <w:lang w:val="en-US" w:eastAsia="zh-CN"/>
              </w:rPr>
              <w:t>加强管乐队的团体配合协作</w:t>
            </w:r>
            <w:r>
              <w:rPr>
                <w:rFonts w:hint="eastAsia" w:ascii="仿宋" w:hAnsi="仿宋" w:eastAsia="仿宋" w:cs="仿宋"/>
                <w:color w:val="000000"/>
                <w:kern w:val="0"/>
                <w:sz w:val="24"/>
                <w:szCs w:val="24"/>
              </w:rPr>
              <w:t>。</w:t>
            </w:r>
            <w:r>
              <w:rPr>
                <w:rFonts w:hint="default" w:ascii="仿宋" w:hAnsi="仿宋" w:eastAsia="仿宋" w:cs="仿宋"/>
                <w:b w:val="0"/>
                <w:bCs w:val="0"/>
                <w:color w:val="auto"/>
                <w:sz w:val="24"/>
                <w:szCs w:val="24"/>
              </w:rPr>
              <w:t>（</w:t>
            </w:r>
            <w:r>
              <w:rPr>
                <w:rFonts w:hint="eastAsia" w:ascii="仿宋" w:hAnsi="仿宋" w:eastAsia="仿宋" w:cs="仿宋"/>
                <w:kern w:val="0"/>
                <w:sz w:val="24"/>
                <w:szCs w:val="24"/>
              </w:rPr>
              <w:t>支撑毕业要求</w:t>
            </w:r>
            <w:r>
              <w:rPr>
                <w:rFonts w:hint="default" w:ascii="仿宋" w:hAnsi="仿宋" w:eastAsia="仿宋" w:cs="仿宋"/>
                <w:kern w:val="0"/>
                <w:sz w:val="24"/>
                <w:szCs w:val="24"/>
              </w:rPr>
              <w:t>3.1</w:t>
            </w:r>
            <w:r>
              <w:rPr>
                <w:rFonts w:hint="default" w:ascii="仿宋" w:hAnsi="仿宋" w:eastAsia="仿宋" w:cs="仿宋"/>
                <w:b w:val="0"/>
                <w:bCs w:val="0"/>
                <w:color w:val="auto"/>
                <w:sz w:val="24"/>
                <w:szCs w:val="24"/>
              </w:rPr>
              <w:t>）</w:t>
            </w:r>
          </w:p>
          <w:p w14:paraId="20986E14">
            <w:pPr>
              <w:keepNext w:val="0"/>
              <w:keepLines w:val="0"/>
              <w:pageBreakBefore w:val="0"/>
              <w:kinsoku/>
              <w:wordWrap/>
              <w:overflowPunct/>
              <w:topLinePunct w:val="0"/>
              <w:bidi w:val="0"/>
              <w:adjustRightInd w:val="0"/>
              <w:snapToGrid w:val="0"/>
              <w:spacing w:line="240" w:lineRule="auto"/>
              <w:rPr>
                <w:rFonts w:hint="default" w:ascii="仿宋" w:hAnsi="仿宋" w:eastAsia="仿宋" w:cs="仿宋"/>
                <w:b w:val="0"/>
                <w:bCs w:val="0"/>
                <w:color w:val="auto"/>
                <w:sz w:val="24"/>
                <w:szCs w:val="24"/>
              </w:rPr>
            </w:pPr>
            <w:r>
              <w:rPr>
                <w:rFonts w:hint="eastAsia" w:ascii="仿宋" w:hAnsi="仿宋" w:eastAsia="仿宋" w:cs="仿宋"/>
                <w:b/>
                <w:bCs/>
                <w:color w:val="000000"/>
                <w:kern w:val="0"/>
                <w:sz w:val="24"/>
                <w:szCs w:val="24"/>
              </w:rPr>
              <w:t>课程目标</w:t>
            </w:r>
            <w:r>
              <w:rPr>
                <w:rFonts w:hint="default" w:ascii="仿宋" w:hAnsi="仿宋" w:eastAsia="仿宋" w:cs="仿宋"/>
                <w:b/>
                <w:bCs/>
                <w:color w:val="000000"/>
                <w:kern w:val="0"/>
                <w:sz w:val="24"/>
                <w:szCs w:val="24"/>
                <w:lang w:val="en-US"/>
              </w:rPr>
              <w:t>2</w:t>
            </w:r>
            <w:r>
              <w:rPr>
                <w:rFonts w:hint="eastAsia" w:ascii="仿宋" w:hAnsi="仿宋" w:eastAsia="仿宋" w:cs="仿宋"/>
                <w:b/>
                <w:bCs/>
                <w:color w:val="000000"/>
                <w:kern w:val="0"/>
                <w:sz w:val="24"/>
                <w:szCs w:val="24"/>
              </w:rPr>
              <w:t>：</w:t>
            </w:r>
            <w:r>
              <w:rPr>
                <w:rFonts w:hAnsi="仿宋" w:eastAsia="仿宋" w:cs="黑体"/>
                <w:color w:val="000000"/>
                <w:sz w:val="21"/>
                <w:szCs w:val="21"/>
                <w:lang w:val="en-US" w:eastAsia="zh-TW"/>
              </w:rPr>
              <w:t>能够扎实掌握管乐课堂教学方法与教学规律</w:t>
            </w:r>
            <w:r>
              <w:rPr>
                <w:rFonts w:cs="黑体"/>
                <w:color w:val="000000"/>
                <w:sz w:val="21"/>
                <w:szCs w:val="21"/>
                <w:lang w:val="en-US" w:eastAsia="zh-TW"/>
              </w:rPr>
              <w:t>，</w:t>
            </w:r>
            <w:r>
              <w:rPr>
                <w:rFonts w:hAnsi="仿宋" w:eastAsia="仿宋" w:cs="黑体"/>
                <w:color w:val="000000"/>
                <w:sz w:val="21"/>
                <w:szCs w:val="21"/>
                <w:lang w:val="en-US" w:eastAsia="zh-TW"/>
              </w:rPr>
              <w:t>具备协助集体</w:t>
            </w:r>
            <w:r>
              <w:rPr>
                <w:rFonts w:cs="黑体"/>
                <w:color w:val="000000"/>
                <w:sz w:val="21"/>
                <w:szCs w:val="21"/>
                <w:lang w:val="en-US" w:eastAsia="zh-TW"/>
              </w:rPr>
              <w:t>、</w:t>
            </w:r>
            <w:r>
              <w:rPr>
                <w:rFonts w:hAnsi="仿宋" w:eastAsia="仿宋" w:cs="黑体"/>
                <w:color w:val="000000"/>
                <w:sz w:val="21"/>
                <w:szCs w:val="21"/>
                <w:lang w:val="en-US" w:eastAsia="zh-TW"/>
              </w:rPr>
              <w:t>编排管乐活动较强能力</w:t>
            </w:r>
            <w:r>
              <w:rPr>
                <w:rFonts w:hint="default" w:ascii="仿宋" w:hAnsi="仿宋" w:eastAsia="仿宋" w:cs="仿宋"/>
                <w:color w:val="000000"/>
                <w:kern w:val="0"/>
                <w:sz w:val="24"/>
                <w:szCs w:val="24"/>
              </w:rPr>
              <w:t>。</w:t>
            </w:r>
            <w:r>
              <w:rPr>
                <w:rFonts w:hint="default" w:ascii="仿宋" w:hAnsi="仿宋" w:eastAsia="仿宋" w:cs="仿宋"/>
                <w:b w:val="0"/>
                <w:bCs w:val="0"/>
                <w:color w:val="auto"/>
                <w:sz w:val="24"/>
                <w:szCs w:val="24"/>
              </w:rPr>
              <w:t>（</w:t>
            </w:r>
            <w:r>
              <w:rPr>
                <w:rFonts w:hint="eastAsia" w:ascii="仿宋" w:hAnsi="仿宋" w:eastAsia="仿宋" w:cs="仿宋"/>
                <w:kern w:val="0"/>
                <w:sz w:val="24"/>
                <w:szCs w:val="24"/>
              </w:rPr>
              <w:t>支撑毕业要求</w:t>
            </w:r>
            <w:r>
              <w:rPr>
                <w:rFonts w:hint="default" w:ascii="仿宋" w:hAnsi="仿宋" w:eastAsia="仿宋" w:cs="仿宋"/>
                <w:kern w:val="0"/>
                <w:sz w:val="24"/>
                <w:szCs w:val="24"/>
              </w:rPr>
              <w:t>4.1</w:t>
            </w:r>
            <w:r>
              <w:rPr>
                <w:rFonts w:hint="default" w:ascii="仿宋" w:hAnsi="仿宋" w:eastAsia="仿宋" w:cs="仿宋"/>
                <w:b w:val="0"/>
                <w:bCs w:val="0"/>
                <w:color w:val="auto"/>
                <w:sz w:val="24"/>
                <w:szCs w:val="24"/>
              </w:rPr>
              <w:t>）</w:t>
            </w:r>
          </w:p>
          <w:p w14:paraId="7A6B4AED">
            <w:pPr>
              <w:adjustRightInd w:val="0"/>
              <w:snapToGrid w:val="0"/>
              <w:rPr>
                <w:rFonts w:hint="eastAsia" w:ascii="仿宋" w:hAnsi="仿宋" w:eastAsia="仿宋" w:cs="仿宋"/>
                <w:color w:val="000000"/>
                <w:sz w:val="24"/>
                <w:szCs w:val="24"/>
                <w:lang w:eastAsia="zh-TW"/>
              </w:rPr>
            </w:pPr>
            <w:r>
              <w:rPr>
                <w:rFonts w:hint="eastAsia" w:ascii="仿宋" w:hAnsi="仿宋" w:eastAsia="仿宋" w:cs="仿宋"/>
                <w:b/>
                <w:bCs/>
                <w:color w:val="000000"/>
                <w:kern w:val="0"/>
                <w:sz w:val="24"/>
                <w:szCs w:val="24"/>
              </w:rPr>
              <w:t>课程目标</w:t>
            </w:r>
            <w:r>
              <w:rPr>
                <w:rFonts w:hint="default" w:ascii="仿宋" w:hAnsi="仿宋" w:eastAsia="仿宋" w:cs="仿宋"/>
                <w:b/>
                <w:bCs/>
                <w:color w:val="000000"/>
                <w:kern w:val="0"/>
                <w:sz w:val="24"/>
                <w:szCs w:val="24"/>
                <w:lang w:val="en-US"/>
              </w:rPr>
              <w:t>3</w:t>
            </w:r>
            <w:r>
              <w:rPr>
                <w:rFonts w:hint="eastAsia" w:ascii="仿宋" w:hAnsi="仿宋" w:eastAsia="仿宋" w:cs="仿宋"/>
                <w:b/>
                <w:bCs/>
                <w:color w:val="000000"/>
                <w:kern w:val="0"/>
                <w:sz w:val="24"/>
                <w:szCs w:val="24"/>
              </w:rPr>
              <w:t>：</w:t>
            </w:r>
            <w:r>
              <w:rPr>
                <w:rFonts w:hint="eastAsia" w:ascii="仿宋" w:hAnsi="仿宋" w:eastAsia="仿宋" w:cs="仿宋"/>
                <w:color w:val="000000"/>
                <w:kern w:val="0"/>
                <w:sz w:val="24"/>
                <w:szCs w:val="24"/>
              </w:rPr>
              <w:t>能够知晓</w:t>
            </w:r>
            <w:r>
              <w:rPr>
                <w:rFonts w:hint="eastAsia" w:ascii="仿宋" w:hAnsi="仿宋" w:eastAsia="仿宋" w:cs="仿宋"/>
                <w:color w:val="000000"/>
                <w:kern w:val="0"/>
                <w:sz w:val="24"/>
                <w:szCs w:val="24"/>
                <w:lang w:val="en-US" w:eastAsia="zh-CN"/>
              </w:rPr>
              <w:t>管乐</w:t>
            </w:r>
            <w:r>
              <w:rPr>
                <w:rFonts w:hint="eastAsia" w:ascii="仿宋" w:hAnsi="仿宋" w:eastAsia="仿宋" w:cs="仿宋"/>
                <w:color w:val="000000"/>
                <w:kern w:val="0"/>
                <w:sz w:val="24"/>
                <w:szCs w:val="24"/>
              </w:rPr>
              <w:t>发展的趋势、动态以及与生产实践和社会生活的联系</w:t>
            </w:r>
            <w:r>
              <w:rPr>
                <w:rFonts w:hint="eastAsia" w:ascii="仿宋" w:hAnsi="仿宋" w:eastAsia="仿宋" w:cs="仿宋"/>
                <w:color w:val="000000"/>
                <w:kern w:val="0"/>
                <w:sz w:val="24"/>
                <w:szCs w:val="24"/>
                <w:lang w:eastAsia="zh-CN"/>
              </w:rPr>
              <w:t>。</w:t>
            </w:r>
            <w:r>
              <w:rPr>
                <w:rFonts w:hint="eastAsia" w:ascii="仿宋" w:hAnsi="仿宋" w:eastAsia="仿宋" w:cs="仿宋"/>
                <w:color w:val="000000"/>
                <w:kern w:val="0"/>
                <w:sz w:val="24"/>
                <w:szCs w:val="24"/>
              </w:rPr>
              <w:t>对</w:t>
            </w:r>
            <w:r>
              <w:rPr>
                <w:rFonts w:hint="eastAsia" w:ascii="仿宋" w:hAnsi="仿宋" w:eastAsia="仿宋" w:cs="仿宋"/>
                <w:color w:val="000000"/>
                <w:kern w:val="0"/>
                <w:sz w:val="24"/>
                <w:szCs w:val="24"/>
                <w:lang w:val="en-US" w:eastAsia="zh-CN"/>
              </w:rPr>
              <w:t>管乐</w:t>
            </w:r>
            <w:r>
              <w:rPr>
                <w:rFonts w:hint="eastAsia" w:ascii="仿宋" w:hAnsi="仿宋" w:eastAsia="仿宋" w:cs="仿宋"/>
                <w:color w:val="000000"/>
                <w:kern w:val="0"/>
                <w:sz w:val="24"/>
                <w:szCs w:val="24"/>
              </w:rPr>
              <w:t>基础理论与实践产生研究兴趣</w:t>
            </w:r>
            <w:r>
              <w:rPr>
                <w:rFonts w:hint="eastAsia" w:ascii="仿宋" w:hAnsi="仿宋" w:eastAsia="仿宋" w:cs="仿宋"/>
                <w:color w:val="000000"/>
                <w:kern w:val="0"/>
                <w:sz w:val="24"/>
                <w:szCs w:val="24"/>
                <w:lang w:eastAsia="zh-CN"/>
              </w:rPr>
              <w:t>。</w:t>
            </w:r>
            <w:r>
              <w:rPr>
                <w:rFonts w:hint="default" w:ascii="仿宋" w:hAnsi="仿宋" w:eastAsia="仿宋" w:cs="仿宋"/>
                <w:b w:val="0"/>
                <w:bCs w:val="0"/>
                <w:color w:val="auto"/>
                <w:sz w:val="24"/>
                <w:szCs w:val="24"/>
              </w:rPr>
              <w:t>（</w:t>
            </w:r>
            <w:r>
              <w:rPr>
                <w:rFonts w:hint="eastAsia" w:ascii="仿宋" w:hAnsi="仿宋" w:eastAsia="仿宋" w:cs="仿宋"/>
                <w:kern w:val="0"/>
                <w:sz w:val="24"/>
                <w:szCs w:val="24"/>
              </w:rPr>
              <w:t>支撑毕业要求</w:t>
            </w:r>
            <w:r>
              <w:rPr>
                <w:rFonts w:hint="default" w:ascii="仿宋" w:hAnsi="仿宋" w:eastAsia="仿宋" w:cs="仿宋"/>
                <w:kern w:val="0"/>
                <w:sz w:val="24"/>
                <w:szCs w:val="24"/>
              </w:rPr>
              <w:t>8</w:t>
            </w:r>
            <w:r>
              <w:rPr>
                <w:rFonts w:hint="eastAsia" w:ascii="仿宋" w:hAnsi="仿宋" w:eastAsia="仿宋" w:cs="仿宋"/>
                <w:kern w:val="0"/>
                <w:sz w:val="24"/>
                <w:szCs w:val="24"/>
                <w:lang w:val="en-US" w:eastAsia="zh-Hans"/>
              </w:rPr>
              <w:t>.</w:t>
            </w:r>
            <w:r>
              <w:rPr>
                <w:rFonts w:hint="default" w:ascii="仿宋" w:hAnsi="仿宋" w:eastAsia="仿宋" w:cs="仿宋"/>
                <w:kern w:val="0"/>
                <w:sz w:val="24"/>
                <w:szCs w:val="24"/>
                <w:lang w:eastAsia="zh-Hans"/>
              </w:rPr>
              <w:t>2</w:t>
            </w:r>
            <w:r>
              <w:rPr>
                <w:rFonts w:hint="default" w:ascii="仿宋" w:hAnsi="仿宋" w:eastAsia="仿宋" w:cs="仿宋"/>
                <w:b w:val="0"/>
                <w:bCs w:val="0"/>
                <w:color w:val="auto"/>
                <w:sz w:val="24"/>
                <w:szCs w:val="24"/>
              </w:rPr>
              <w:t>）</w:t>
            </w:r>
          </w:p>
        </w:tc>
      </w:tr>
      <w:tr w14:paraId="70DC0E24">
        <w:trPr>
          <w:trHeight w:val="642" w:hRule="atLeast"/>
          <w:jc w:val="center"/>
        </w:trPr>
        <w:tc>
          <w:tcPr>
            <w:tcW w:w="1376" w:type="dxa"/>
            <w:vMerge w:val="continue"/>
            <w:shd w:val="clear" w:color="auto" w:fill="FFFFFF"/>
            <w:vAlign w:val="center"/>
          </w:tcPr>
          <w:p w14:paraId="49B38B4E">
            <w:pPr>
              <w:adjustRightInd w:val="0"/>
              <w:snapToGrid w:val="0"/>
              <w:spacing w:line="240" w:lineRule="atLeast"/>
              <w:jc w:val="center"/>
              <w:rPr>
                <w:rFonts w:hint="eastAsia" w:ascii="仿宋" w:hAnsi="仿宋" w:eastAsia="仿宋" w:cs="仿宋"/>
                <w:color w:val="000000"/>
                <w:sz w:val="24"/>
                <w:szCs w:val="24"/>
              </w:rPr>
            </w:pPr>
          </w:p>
        </w:tc>
        <w:tc>
          <w:tcPr>
            <w:tcW w:w="1641" w:type="dxa"/>
            <w:gridSpan w:val="3"/>
            <w:tcBorders>
              <w:bottom w:val="single" w:color="auto" w:sz="4" w:space="0"/>
            </w:tcBorders>
            <w:shd w:val="clear" w:color="auto" w:fill="FFFFFF"/>
            <w:vAlign w:val="center"/>
          </w:tcPr>
          <w:p w14:paraId="206F4B11">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w:t>
            </w:r>
          </w:p>
        </w:tc>
        <w:tc>
          <w:tcPr>
            <w:tcW w:w="4054" w:type="dxa"/>
            <w:gridSpan w:val="7"/>
            <w:tcBorders>
              <w:bottom w:val="single" w:color="auto" w:sz="4" w:space="0"/>
            </w:tcBorders>
            <w:shd w:val="clear" w:color="auto" w:fill="FFFFFF"/>
            <w:vAlign w:val="center"/>
          </w:tcPr>
          <w:p w14:paraId="0EA0EA8C">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毕业要求分解指标点</w:t>
            </w:r>
          </w:p>
        </w:tc>
        <w:tc>
          <w:tcPr>
            <w:tcW w:w="2169" w:type="dxa"/>
            <w:gridSpan w:val="6"/>
            <w:tcBorders>
              <w:bottom w:val="single" w:color="auto" w:sz="4" w:space="0"/>
            </w:tcBorders>
            <w:shd w:val="clear" w:color="auto" w:fill="FFFFFF"/>
            <w:vAlign w:val="center"/>
          </w:tcPr>
          <w:p w14:paraId="5F683B4E">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毕业要求</w:t>
            </w:r>
          </w:p>
        </w:tc>
      </w:tr>
      <w:tr w14:paraId="6A1D538C">
        <w:trPr>
          <w:trHeight w:val="2050" w:hRule="atLeast"/>
          <w:jc w:val="center"/>
        </w:trPr>
        <w:tc>
          <w:tcPr>
            <w:tcW w:w="1376" w:type="dxa"/>
            <w:vMerge w:val="continue"/>
            <w:shd w:val="clear" w:color="auto" w:fill="FFFFFF"/>
            <w:vAlign w:val="center"/>
          </w:tcPr>
          <w:p w14:paraId="4D7D6DA6">
            <w:pPr>
              <w:adjustRightInd w:val="0"/>
              <w:snapToGrid w:val="0"/>
              <w:spacing w:line="240" w:lineRule="atLeast"/>
              <w:jc w:val="center"/>
              <w:rPr>
                <w:rFonts w:hint="eastAsia" w:ascii="仿宋" w:hAnsi="仿宋" w:eastAsia="仿宋" w:cs="仿宋"/>
                <w:color w:val="000000"/>
                <w:sz w:val="24"/>
                <w:szCs w:val="24"/>
              </w:rPr>
            </w:pPr>
          </w:p>
        </w:tc>
        <w:tc>
          <w:tcPr>
            <w:tcW w:w="1641" w:type="dxa"/>
            <w:gridSpan w:val="3"/>
            <w:tcBorders>
              <w:bottom w:val="single" w:color="auto" w:sz="4" w:space="0"/>
            </w:tcBorders>
            <w:shd w:val="clear" w:color="auto" w:fill="FFFFFF"/>
            <w:vAlign w:val="center"/>
          </w:tcPr>
          <w:p w14:paraId="12251CB7">
            <w:pPr>
              <w:adjustRightInd w:val="0"/>
              <w:snapToGrid w:val="0"/>
              <w:jc w:val="center"/>
              <w:rPr>
                <w:rFonts w:hint="eastAsia" w:ascii="仿宋" w:hAnsi="仿宋" w:eastAsia="仿宋" w:cs="仿宋"/>
                <w:color w:val="000000"/>
                <w:sz w:val="24"/>
                <w:szCs w:val="24"/>
              </w:rPr>
            </w:pPr>
            <w:r>
              <w:rPr>
                <w:rFonts w:hint="default" w:ascii="仿宋" w:hAnsi="仿宋" w:eastAsia="仿宋" w:cs="仿宋"/>
                <w:color w:val="000000"/>
                <w:sz w:val="24"/>
                <w:szCs w:val="24"/>
                <w:lang w:val="en-US"/>
              </w:rPr>
              <w:t>课程目标1（40%）</w:t>
            </w:r>
          </w:p>
        </w:tc>
        <w:tc>
          <w:tcPr>
            <w:tcW w:w="4060" w:type="dxa"/>
            <w:gridSpan w:val="8"/>
            <w:tcBorders>
              <w:bottom w:val="single" w:color="auto" w:sz="4" w:space="0"/>
            </w:tcBorders>
            <w:shd w:val="clear" w:color="auto" w:fill="FFFFFF"/>
            <w:vAlign w:val="center"/>
          </w:tcPr>
          <w:p w14:paraId="007CC62F">
            <w:pPr>
              <w:adjustRightInd w:val="0"/>
              <w:snapToGrid w:val="0"/>
              <w:rPr>
                <w:rFonts w:hint="eastAsia" w:ascii="仿宋" w:hAnsi="仿宋" w:eastAsia="仿宋" w:cs="仿宋"/>
                <w:color w:val="000000"/>
                <w:kern w:val="0"/>
                <w:sz w:val="24"/>
                <w:szCs w:val="24"/>
                <w:lang w:val="en-US" w:eastAsia="zh-CN"/>
              </w:rPr>
            </w:pPr>
            <w:r>
              <w:rPr>
                <w:rFonts w:hint="default" w:ascii="仿宋" w:hAnsi="仿宋" w:eastAsia="仿宋" w:cs="仿宋"/>
                <w:color w:val="000000"/>
                <w:kern w:val="0"/>
                <w:sz w:val="24"/>
                <w:szCs w:val="24"/>
                <w:lang w:val="en-US" w:eastAsia="zh-CN"/>
              </w:rPr>
              <w:t>【专业技能】掌握音乐学科技法技能多项基本功，掌握音乐学科基础知识、基本理论、体系结构与思想方法，理解音乐学科的核心素养的内涵，形成音乐学科核心素养。</w:t>
            </w:r>
          </w:p>
        </w:tc>
        <w:tc>
          <w:tcPr>
            <w:tcW w:w="2163" w:type="dxa"/>
            <w:gridSpan w:val="5"/>
            <w:tcBorders>
              <w:bottom w:val="single" w:color="auto" w:sz="4" w:space="0"/>
            </w:tcBorders>
            <w:shd w:val="clear" w:color="auto" w:fill="FFFFFF"/>
            <w:vAlign w:val="center"/>
          </w:tcPr>
          <w:p w14:paraId="01F8F7DA">
            <w:pPr>
              <w:adjustRightInd w:val="0"/>
              <w:snapToGrid w:val="0"/>
              <w:jc w:val="center"/>
              <w:rPr>
                <w:rFonts w:hint="default" w:ascii="仿宋" w:hAnsi="仿宋" w:eastAsia="仿宋" w:cs="仿宋"/>
                <w:color w:val="000000"/>
                <w:sz w:val="24"/>
                <w:szCs w:val="24"/>
                <w:lang w:val="en-US"/>
              </w:rPr>
            </w:pPr>
            <w:r>
              <w:rPr>
                <w:rFonts w:hint="default" w:ascii="仿宋" w:hAnsi="仿宋" w:eastAsia="仿宋" w:cs="仿宋"/>
                <w:color w:val="000000"/>
                <w:sz w:val="24"/>
                <w:szCs w:val="24"/>
                <w:lang w:val="en-US"/>
              </w:rPr>
              <w:t>学科素养</w:t>
            </w:r>
          </w:p>
          <w:p w14:paraId="090B77E4">
            <w:pPr>
              <w:adjustRightInd w:val="0"/>
              <w:snapToGrid w:val="0"/>
              <w:jc w:val="center"/>
              <w:rPr>
                <w:rFonts w:hint="default" w:ascii="仿宋" w:hAnsi="仿宋" w:eastAsia="仿宋" w:cs="仿宋"/>
                <w:color w:val="000000"/>
                <w:sz w:val="24"/>
                <w:szCs w:val="24"/>
              </w:rPr>
            </w:pPr>
            <w:r>
              <w:rPr>
                <w:rFonts w:hint="default" w:ascii="仿宋" w:hAnsi="仿宋" w:eastAsia="仿宋" w:cs="仿宋"/>
                <w:color w:val="000000"/>
                <w:sz w:val="24"/>
                <w:szCs w:val="24"/>
              </w:rPr>
              <w:t>（</w:t>
            </w:r>
            <w:r>
              <w:rPr>
                <w:rFonts w:hint="default" w:ascii="仿宋" w:hAnsi="仿宋" w:eastAsia="仿宋" w:cs="仿宋"/>
                <w:color w:val="000000"/>
                <w:sz w:val="24"/>
                <w:szCs w:val="24"/>
                <w:lang w:val="en-US"/>
              </w:rPr>
              <w:t>H</w:t>
            </w:r>
            <w:r>
              <w:rPr>
                <w:rFonts w:hint="default" w:ascii="仿宋" w:hAnsi="仿宋" w:eastAsia="仿宋" w:cs="仿宋"/>
                <w:color w:val="000000"/>
                <w:sz w:val="24"/>
                <w:szCs w:val="24"/>
              </w:rPr>
              <w:t>）</w:t>
            </w:r>
          </w:p>
        </w:tc>
      </w:tr>
      <w:tr w14:paraId="1650FEDF">
        <w:trPr>
          <w:trHeight w:val="817" w:hRule="atLeast"/>
          <w:jc w:val="center"/>
        </w:trPr>
        <w:tc>
          <w:tcPr>
            <w:tcW w:w="1376" w:type="dxa"/>
            <w:vMerge w:val="continue"/>
            <w:shd w:val="clear" w:color="auto" w:fill="FFFFFF"/>
            <w:vAlign w:val="center"/>
          </w:tcPr>
          <w:p w14:paraId="71C6E493">
            <w:pPr>
              <w:adjustRightInd w:val="0"/>
              <w:snapToGrid w:val="0"/>
              <w:spacing w:line="240" w:lineRule="atLeast"/>
              <w:jc w:val="center"/>
              <w:rPr>
                <w:rFonts w:hint="eastAsia" w:ascii="仿宋" w:hAnsi="仿宋" w:eastAsia="仿宋" w:cs="仿宋"/>
                <w:color w:val="000000"/>
                <w:sz w:val="24"/>
                <w:szCs w:val="24"/>
              </w:rPr>
            </w:pPr>
          </w:p>
        </w:tc>
        <w:tc>
          <w:tcPr>
            <w:tcW w:w="1641" w:type="dxa"/>
            <w:gridSpan w:val="3"/>
            <w:tcBorders>
              <w:bottom w:val="single" w:color="auto" w:sz="4" w:space="0"/>
            </w:tcBorders>
            <w:shd w:val="clear" w:color="auto" w:fill="FFFFFF"/>
            <w:vAlign w:val="center"/>
          </w:tcPr>
          <w:p w14:paraId="52A59501">
            <w:pPr>
              <w:adjustRightInd w:val="0"/>
              <w:snapToGrid w:val="0"/>
              <w:jc w:val="center"/>
              <w:rPr>
                <w:rFonts w:hint="eastAsia" w:ascii="仿宋" w:hAnsi="仿宋" w:eastAsia="仿宋" w:cs="仿宋"/>
                <w:color w:val="000000"/>
                <w:sz w:val="24"/>
                <w:szCs w:val="24"/>
              </w:rPr>
            </w:pPr>
            <w:r>
              <w:rPr>
                <w:rFonts w:hint="default" w:ascii="仿宋" w:hAnsi="仿宋" w:eastAsia="仿宋" w:cs="仿宋"/>
                <w:color w:val="000000"/>
                <w:sz w:val="24"/>
                <w:szCs w:val="24"/>
                <w:lang w:val="en-US"/>
              </w:rPr>
              <w:t>课程目标2（30%）</w:t>
            </w:r>
          </w:p>
        </w:tc>
        <w:tc>
          <w:tcPr>
            <w:tcW w:w="4060" w:type="dxa"/>
            <w:gridSpan w:val="8"/>
            <w:tcBorders>
              <w:bottom w:val="single" w:color="auto" w:sz="4" w:space="0"/>
            </w:tcBorders>
            <w:shd w:val="clear" w:color="auto" w:fill="FFFFFF"/>
            <w:vAlign w:val="center"/>
          </w:tcPr>
          <w:p w14:paraId="3F0B72A6">
            <w:pPr>
              <w:adjustRightInd w:val="0"/>
              <w:snapToGrid w:val="0"/>
              <w:rPr>
                <w:rFonts w:hint="eastAsia" w:ascii="仿宋" w:hAnsi="仿宋" w:eastAsia="仿宋" w:cs="仿宋"/>
                <w:color w:val="000000"/>
                <w:kern w:val="0"/>
                <w:sz w:val="24"/>
                <w:szCs w:val="24"/>
                <w:lang w:val="en-US" w:eastAsia="zh-CN"/>
              </w:rPr>
            </w:pPr>
            <w:r>
              <w:rPr>
                <w:rFonts w:hint="default" w:ascii="仿宋" w:hAnsi="仿宋" w:eastAsia="仿宋" w:cs="仿宋"/>
                <w:color w:val="000000"/>
                <w:kern w:val="0"/>
                <w:sz w:val="24"/>
                <w:szCs w:val="24"/>
                <w:lang w:val="en-US" w:eastAsia="zh-CN"/>
              </w:rPr>
              <w:t>【教学设计与实施】熟悉中学音乐课程标准和教材，能够正确处理课标和教材的关系，科学合理地进行教学设计并实施教学，准确把握教学内容，分析学情，合理安排教学过程和环节，科学设计评价内容和方式，根据学生音乐认知的特征和个体差异，注重差异化教学。课后能够及时反思、总结形成初步的教研能力。</w:t>
            </w:r>
          </w:p>
        </w:tc>
        <w:tc>
          <w:tcPr>
            <w:tcW w:w="2163" w:type="dxa"/>
            <w:gridSpan w:val="5"/>
            <w:tcBorders>
              <w:bottom w:val="single" w:color="auto" w:sz="4" w:space="0"/>
            </w:tcBorders>
            <w:shd w:val="clear" w:color="auto" w:fill="FFFFFF"/>
            <w:vAlign w:val="center"/>
          </w:tcPr>
          <w:p w14:paraId="6589AC3E">
            <w:pPr>
              <w:adjustRightInd w:val="0"/>
              <w:snapToGrid w:val="0"/>
              <w:jc w:val="center"/>
              <w:rPr>
                <w:rFonts w:hint="default" w:ascii="仿宋" w:hAnsi="仿宋" w:eastAsia="仿宋" w:cs="仿宋"/>
                <w:color w:val="000000"/>
                <w:sz w:val="24"/>
                <w:szCs w:val="24"/>
                <w:lang w:val="en-US"/>
              </w:rPr>
            </w:pPr>
            <w:r>
              <w:rPr>
                <w:rFonts w:hint="default" w:ascii="仿宋" w:hAnsi="仿宋" w:eastAsia="仿宋" w:cs="仿宋"/>
                <w:color w:val="000000"/>
                <w:sz w:val="24"/>
                <w:szCs w:val="24"/>
                <w:lang w:val="en-US"/>
              </w:rPr>
              <w:t>教学能力</w:t>
            </w:r>
          </w:p>
          <w:p w14:paraId="40A61327">
            <w:pPr>
              <w:adjustRightInd w:val="0"/>
              <w:snapToGrid w:val="0"/>
              <w:jc w:val="center"/>
              <w:rPr>
                <w:rFonts w:hint="default" w:ascii="仿宋" w:hAnsi="仿宋" w:eastAsia="仿宋" w:cs="仿宋"/>
                <w:color w:val="000000"/>
                <w:sz w:val="24"/>
                <w:szCs w:val="24"/>
              </w:rPr>
            </w:pPr>
            <w:r>
              <w:rPr>
                <w:rFonts w:hint="default" w:ascii="仿宋" w:hAnsi="仿宋" w:eastAsia="仿宋" w:cs="仿宋"/>
                <w:color w:val="000000"/>
                <w:sz w:val="24"/>
                <w:szCs w:val="24"/>
              </w:rPr>
              <w:t>（</w:t>
            </w:r>
            <w:r>
              <w:rPr>
                <w:rFonts w:hint="default" w:ascii="仿宋" w:hAnsi="仿宋" w:eastAsia="仿宋" w:cs="仿宋"/>
                <w:color w:val="000000"/>
                <w:sz w:val="24"/>
                <w:szCs w:val="24"/>
                <w:lang w:val="en-US"/>
              </w:rPr>
              <w:t>M</w:t>
            </w:r>
            <w:r>
              <w:rPr>
                <w:rFonts w:hint="default" w:ascii="仿宋" w:hAnsi="仿宋" w:eastAsia="仿宋" w:cs="仿宋"/>
                <w:color w:val="000000"/>
                <w:sz w:val="24"/>
                <w:szCs w:val="24"/>
              </w:rPr>
              <w:t>）</w:t>
            </w:r>
          </w:p>
        </w:tc>
      </w:tr>
      <w:tr w14:paraId="2A1F44FF">
        <w:trPr>
          <w:trHeight w:val="1726" w:hRule="atLeast"/>
          <w:jc w:val="center"/>
        </w:trPr>
        <w:tc>
          <w:tcPr>
            <w:tcW w:w="1376" w:type="dxa"/>
            <w:vMerge w:val="continue"/>
            <w:shd w:val="clear" w:color="auto" w:fill="FFFFFF"/>
            <w:vAlign w:val="center"/>
          </w:tcPr>
          <w:p w14:paraId="1AE905E7">
            <w:pPr>
              <w:adjustRightInd w:val="0"/>
              <w:snapToGrid w:val="0"/>
              <w:spacing w:line="240" w:lineRule="atLeast"/>
              <w:jc w:val="center"/>
              <w:rPr>
                <w:rFonts w:hint="eastAsia" w:ascii="仿宋" w:hAnsi="仿宋" w:eastAsia="仿宋" w:cs="仿宋"/>
                <w:color w:val="000000"/>
                <w:sz w:val="24"/>
                <w:szCs w:val="24"/>
              </w:rPr>
            </w:pPr>
          </w:p>
        </w:tc>
        <w:tc>
          <w:tcPr>
            <w:tcW w:w="1641" w:type="dxa"/>
            <w:gridSpan w:val="3"/>
            <w:tcBorders>
              <w:bottom w:val="single" w:color="auto" w:sz="4" w:space="0"/>
            </w:tcBorders>
            <w:shd w:val="clear" w:color="auto" w:fill="FFFFFF"/>
            <w:vAlign w:val="center"/>
          </w:tcPr>
          <w:p w14:paraId="348436F2">
            <w:pPr>
              <w:adjustRightInd w:val="0"/>
              <w:snapToGrid w:val="0"/>
              <w:jc w:val="center"/>
              <w:rPr>
                <w:rFonts w:hint="eastAsia" w:ascii="仿宋" w:hAnsi="仿宋" w:eastAsia="仿宋" w:cs="仿宋"/>
                <w:color w:val="000000"/>
                <w:sz w:val="24"/>
                <w:szCs w:val="24"/>
              </w:rPr>
            </w:pPr>
            <w:r>
              <w:rPr>
                <w:rFonts w:hint="default" w:ascii="仿宋" w:hAnsi="仿宋" w:eastAsia="仿宋" w:cs="仿宋"/>
                <w:color w:val="000000"/>
                <w:sz w:val="24"/>
                <w:szCs w:val="24"/>
                <w:lang w:val="en-US"/>
              </w:rPr>
              <w:t>课程目标3（30%）</w:t>
            </w:r>
          </w:p>
        </w:tc>
        <w:tc>
          <w:tcPr>
            <w:tcW w:w="4060" w:type="dxa"/>
            <w:gridSpan w:val="8"/>
            <w:tcBorders>
              <w:bottom w:val="single" w:color="auto" w:sz="4" w:space="0"/>
            </w:tcBorders>
            <w:shd w:val="clear" w:color="auto" w:fill="FFFFFF"/>
            <w:vAlign w:val="center"/>
          </w:tcPr>
          <w:p w14:paraId="19777846">
            <w:pPr>
              <w:adjustRightInd w:val="0"/>
              <w:snapToGrid w:val="0"/>
              <w:rPr>
                <w:rFonts w:hint="eastAsia" w:ascii="仿宋" w:hAnsi="仿宋" w:eastAsia="仿宋" w:cs="仿宋"/>
                <w:color w:val="000000"/>
                <w:kern w:val="0"/>
                <w:sz w:val="24"/>
                <w:szCs w:val="24"/>
                <w:lang w:val="en-US" w:eastAsia="zh-CN"/>
              </w:rPr>
            </w:pPr>
            <w:r>
              <w:rPr>
                <w:rFonts w:hint="default" w:ascii="仿宋" w:hAnsi="仿宋" w:eastAsia="仿宋" w:cs="仿宋"/>
                <w:color w:val="000000"/>
                <w:kern w:val="0"/>
                <w:sz w:val="24"/>
                <w:szCs w:val="24"/>
                <w:lang w:val="en-US" w:eastAsia="zh-CN"/>
              </w:rPr>
              <w:t>【团队协作】理解学习共同体的作用，掌握团队协作的基本策略，在课程学习、教育实践、艺术实践等活动中，具有良好的团队协作精神。</w:t>
            </w:r>
          </w:p>
        </w:tc>
        <w:tc>
          <w:tcPr>
            <w:tcW w:w="2163" w:type="dxa"/>
            <w:gridSpan w:val="5"/>
            <w:tcBorders>
              <w:bottom w:val="single" w:color="auto" w:sz="4" w:space="0"/>
            </w:tcBorders>
            <w:shd w:val="clear" w:color="auto" w:fill="FFFFFF"/>
            <w:vAlign w:val="center"/>
          </w:tcPr>
          <w:p w14:paraId="4D5EE5DD">
            <w:pPr>
              <w:adjustRightInd w:val="0"/>
              <w:snapToGrid w:val="0"/>
              <w:jc w:val="center"/>
              <w:rPr>
                <w:rFonts w:hint="default" w:ascii="仿宋" w:hAnsi="仿宋" w:eastAsia="仿宋" w:cs="仿宋"/>
                <w:color w:val="000000"/>
                <w:sz w:val="24"/>
                <w:szCs w:val="24"/>
                <w:lang w:val="en-US"/>
              </w:rPr>
            </w:pPr>
            <w:r>
              <w:rPr>
                <w:rFonts w:hint="default" w:ascii="仿宋" w:hAnsi="仿宋" w:eastAsia="仿宋" w:cs="仿宋"/>
                <w:color w:val="000000"/>
                <w:sz w:val="24"/>
                <w:szCs w:val="24"/>
                <w:lang w:val="en-US"/>
              </w:rPr>
              <w:t>沟通合作</w:t>
            </w:r>
          </w:p>
          <w:p w14:paraId="537702CF">
            <w:pPr>
              <w:adjustRightInd w:val="0"/>
              <w:snapToGrid w:val="0"/>
              <w:jc w:val="center"/>
              <w:rPr>
                <w:rFonts w:hint="default" w:ascii="仿宋" w:hAnsi="仿宋" w:eastAsia="仿宋" w:cs="仿宋"/>
                <w:color w:val="000000"/>
                <w:sz w:val="24"/>
                <w:szCs w:val="24"/>
              </w:rPr>
            </w:pPr>
            <w:r>
              <w:rPr>
                <w:rFonts w:hint="default" w:ascii="仿宋" w:hAnsi="仿宋" w:eastAsia="仿宋" w:cs="仿宋"/>
                <w:color w:val="000000"/>
                <w:sz w:val="24"/>
                <w:szCs w:val="24"/>
              </w:rPr>
              <w:t>（</w:t>
            </w:r>
            <w:r>
              <w:rPr>
                <w:rFonts w:hint="default" w:ascii="仿宋" w:hAnsi="仿宋" w:eastAsia="仿宋" w:cs="仿宋"/>
                <w:color w:val="000000"/>
                <w:sz w:val="24"/>
                <w:szCs w:val="24"/>
                <w:lang w:val="en-US"/>
              </w:rPr>
              <w:t>M</w:t>
            </w:r>
            <w:r>
              <w:rPr>
                <w:rFonts w:hint="default" w:ascii="仿宋" w:hAnsi="仿宋" w:eastAsia="仿宋" w:cs="仿宋"/>
                <w:color w:val="000000"/>
                <w:sz w:val="24"/>
                <w:szCs w:val="24"/>
              </w:rPr>
              <w:t>）</w:t>
            </w:r>
          </w:p>
        </w:tc>
      </w:tr>
      <w:tr w14:paraId="0EC53BC8">
        <w:trPr>
          <w:trHeight w:val="1047" w:hRule="atLeast"/>
          <w:jc w:val="center"/>
        </w:trPr>
        <w:tc>
          <w:tcPr>
            <w:tcW w:w="1376" w:type="dxa"/>
            <w:vMerge w:val="restart"/>
            <w:shd w:val="clear" w:color="auto" w:fill="FFFFFF"/>
            <w:vAlign w:val="center"/>
          </w:tcPr>
          <w:p w14:paraId="09187104">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G</w:t>
            </w:r>
          </w:p>
          <w:p w14:paraId="5B08B84E">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sz w:val="24"/>
                <w:szCs w:val="24"/>
                <w:highlight w:val="none"/>
                <w:lang w:val="en-US" w:eastAsia="zh-Hans"/>
              </w:rPr>
              <w:t>技能</w:t>
            </w:r>
            <w:r>
              <w:rPr>
                <w:rFonts w:hint="eastAsia" w:ascii="仿宋" w:hAnsi="仿宋" w:eastAsia="仿宋" w:cs="仿宋"/>
                <w:sz w:val="24"/>
                <w:szCs w:val="24"/>
              </w:rPr>
              <w:t>（实训）内容</w:t>
            </w:r>
          </w:p>
        </w:tc>
        <w:tc>
          <w:tcPr>
            <w:tcW w:w="5686" w:type="dxa"/>
            <w:gridSpan w:val="9"/>
            <w:shd w:val="clear" w:color="auto" w:fill="auto"/>
            <w:vAlign w:val="center"/>
          </w:tcPr>
          <w:p w14:paraId="31B3AD84">
            <w:pPr>
              <w:keepNext w:val="0"/>
              <w:keepLines w:val="0"/>
              <w:pageBreakBefore w:val="0"/>
              <w:kinsoku/>
              <w:wordWrap/>
              <w:overflowPunct/>
              <w:topLinePunct w:val="0"/>
              <w:bidi w:val="0"/>
              <w:adjustRightInd w:val="0"/>
              <w:snapToGrid w:val="0"/>
              <w:spacing w:line="240" w:lineRule="auto"/>
              <w:jc w:val="center"/>
              <w:textAlignment w:val="baseline"/>
              <w:rPr>
                <w:rFonts w:hint="eastAsia" w:ascii="仿宋" w:hAnsi="仿宋" w:eastAsia="仿宋" w:cs="仿宋"/>
                <w:bCs/>
                <w:color w:val="000000"/>
                <w:sz w:val="24"/>
                <w:szCs w:val="24"/>
              </w:rPr>
            </w:pPr>
            <w:r>
              <w:rPr>
                <w:rFonts w:hint="eastAsia" w:ascii="仿宋" w:hAnsi="仿宋" w:eastAsia="仿宋" w:cs="仿宋"/>
                <w:color w:val="auto"/>
                <w:kern w:val="0"/>
                <w:sz w:val="24"/>
                <w:szCs w:val="24"/>
                <w:highlight w:val="none"/>
                <w:lang w:val="en-US" w:eastAsia="zh-Hans"/>
              </w:rPr>
              <w:t>实训目的及任务</w:t>
            </w:r>
          </w:p>
        </w:tc>
        <w:tc>
          <w:tcPr>
            <w:tcW w:w="1162" w:type="dxa"/>
            <w:gridSpan w:val="5"/>
            <w:shd w:val="clear" w:color="auto" w:fill="auto"/>
            <w:vAlign w:val="center"/>
          </w:tcPr>
          <w:p w14:paraId="7D13BF03">
            <w:pPr>
              <w:keepNext w:val="0"/>
              <w:keepLines w:val="0"/>
              <w:pageBreakBefore w:val="0"/>
              <w:kinsoku/>
              <w:wordWrap/>
              <w:overflowPunct/>
              <w:topLinePunct w:val="0"/>
              <w:bidi w:val="0"/>
              <w:adjustRightInd w:val="0"/>
              <w:snapToGrid w:val="0"/>
              <w:spacing w:line="240" w:lineRule="auto"/>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支撑课程</w:t>
            </w:r>
          </w:p>
          <w:p w14:paraId="7123A326">
            <w:pPr>
              <w:keepNext w:val="0"/>
              <w:keepLines w:val="0"/>
              <w:pageBreakBefore w:val="0"/>
              <w:kinsoku/>
              <w:wordWrap/>
              <w:overflowPunct/>
              <w:topLinePunct w:val="0"/>
              <w:bidi w:val="0"/>
              <w:adjustRightInd w:val="0"/>
              <w:snapToGrid w:val="0"/>
              <w:spacing w:line="240" w:lineRule="auto"/>
              <w:jc w:val="center"/>
              <w:textAlignment w:val="baseline"/>
              <w:rPr>
                <w:rFonts w:hint="eastAsia" w:ascii="仿宋" w:hAnsi="仿宋" w:eastAsia="仿宋" w:cs="仿宋"/>
                <w:bCs/>
                <w:color w:val="000000"/>
                <w:sz w:val="24"/>
                <w:szCs w:val="24"/>
              </w:rPr>
            </w:pPr>
            <w:r>
              <w:rPr>
                <w:rFonts w:hint="eastAsia" w:ascii="仿宋" w:hAnsi="仿宋" w:eastAsia="仿宋" w:cs="仿宋"/>
                <w:color w:val="auto"/>
                <w:kern w:val="0"/>
                <w:sz w:val="24"/>
                <w:szCs w:val="24"/>
              </w:rPr>
              <w:t>目标</w:t>
            </w:r>
          </w:p>
        </w:tc>
        <w:tc>
          <w:tcPr>
            <w:tcW w:w="1016" w:type="dxa"/>
            <w:gridSpan w:val="2"/>
            <w:shd w:val="clear" w:color="auto" w:fill="FFFFFF"/>
            <w:vAlign w:val="center"/>
          </w:tcPr>
          <w:p w14:paraId="5369CFFB">
            <w:pPr>
              <w:keepNext w:val="0"/>
              <w:keepLines w:val="0"/>
              <w:pageBreakBefore w:val="0"/>
              <w:kinsoku/>
              <w:wordWrap/>
              <w:overflowPunct/>
              <w:topLinePunct w:val="0"/>
              <w:bidi w:val="0"/>
              <w:adjustRightInd w:val="0"/>
              <w:snapToGrid w:val="0"/>
              <w:spacing w:line="240" w:lineRule="auto"/>
              <w:jc w:val="center"/>
              <w:rPr>
                <w:rFonts w:ascii="仿宋" w:hAnsi="仿宋" w:eastAsia="仿宋" w:cs="仿宋"/>
                <w:color w:val="auto"/>
                <w:kern w:val="0"/>
                <w:sz w:val="24"/>
                <w:szCs w:val="24"/>
              </w:rPr>
            </w:pPr>
            <w:r>
              <w:rPr>
                <w:rFonts w:hint="eastAsia" w:ascii="仿宋" w:hAnsi="仿宋" w:eastAsia="仿宋" w:cs="仿宋"/>
                <w:color w:val="auto"/>
                <w:kern w:val="0"/>
                <w:sz w:val="24"/>
                <w:szCs w:val="24"/>
              </w:rPr>
              <w:t xml:space="preserve">学时 </w:t>
            </w:r>
          </w:p>
          <w:p w14:paraId="25443756">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4472C4"/>
                <w:sz w:val="24"/>
                <w:szCs w:val="24"/>
                <w:lang w:val="en-US" w:eastAsia="zh-CN"/>
              </w:rPr>
            </w:pPr>
            <w:r>
              <w:rPr>
                <w:rFonts w:hint="eastAsia" w:ascii="仿宋" w:hAnsi="仿宋" w:eastAsia="仿宋" w:cs="仿宋"/>
                <w:color w:val="auto"/>
                <w:kern w:val="0"/>
                <w:sz w:val="24"/>
                <w:szCs w:val="24"/>
              </w:rPr>
              <w:t>分配</w:t>
            </w:r>
          </w:p>
        </w:tc>
      </w:tr>
      <w:tr w14:paraId="20085268">
        <w:trPr>
          <w:trHeight w:val="470" w:hRule="atLeast"/>
          <w:jc w:val="center"/>
        </w:trPr>
        <w:tc>
          <w:tcPr>
            <w:tcW w:w="1376" w:type="dxa"/>
            <w:vMerge w:val="continue"/>
            <w:shd w:val="clear" w:color="auto" w:fill="FFFFFF"/>
            <w:vAlign w:val="center"/>
          </w:tcPr>
          <w:p w14:paraId="1983F4DD">
            <w:pPr>
              <w:adjustRightInd w:val="0"/>
              <w:snapToGrid w:val="0"/>
              <w:spacing w:line="240" w:lineRule="atLeast"/>
              <w:jc w:val="center"/>
              <w:rPr>
                <w:rFonts w:hint="eastAsia" w:ascii="仿宋" w:hAnsi="仿宋" w:eastAsia="仿宋" w:cs="仿宋"/>
                <w:color w:val="000000"/>
                <w:sz w:val="24"/>
                <w:szCs w:val="24"/>
              </w:rPr>
            </w:pPr>
          </w:p>
        </w:tc>
        <w:tc>
          <w:tcPr>
            <w:tcW w:w="5686" w:type="dxa"/>
            <w:gridSpan w:val="9"/>
            <w:shd w:val="clear" w:color="auto" w:fill="auto"/>
            <w:vAlign w:val="center"/>
          </w:tcPr>
          <w:p w14:paraId="0B849A84">
            <w:pPr>
              <w:adjustRightInd w:val="0"/>
              <w:snapToGrid w:val="0"/>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第一章 乐团合奏训练——音准训练 识谱能力</w:t>
            </w:r>
          </w:p>
          <w:p w14:paraId="617143B4">
            <w:pPr>
              <w:adjustRightInd w:val="0"/>
              <w:snapToGrid w:val="0"/>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1．学习目的：解决学生合奏中音准的问题</w:t>
            </w:r>
          </w:p>
          <w:p w14:paraId="4716E8FE">
            <w:pPr>
              <w:adjustRightInd w:val="0"/>
              <w:snapToGrid w:val="0"/>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2．基本内容要求：通过适当的乐曲训练，主要解决在合奏中的音准问题。</w:t>
            </w:r>
          </w:p>
          <w:p w14:paraId="7550BCB8">
            <w:pPr>
              <w:adjustRightInd w:val="0"/>
              <w:snapToGrid w:val="0"/>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3.重点和难点：培养乐队合奏默契。</w:t>
            </w:r>
          </w:p>
          <w:p w14:paraId="185F1420">
            <w:pPr>
              <w:adjustRightInd w:val="0"/>
              <w:snapToGrid w:val="0"/>
              <w:rPr>
                <w:rFonts w:hint="eastAsia" w:ascii="仿宋" w:hAnsi="仿宋" w:eastAsia="仿宋" w:cs="仿宋"/>
                <w:color w:val="000000"/>
                <w:kern w:val="0"/>
                <w:sz w:val="24"/>
                <w:szCs w:val="24"/>
                <w:lang w:val="en-US" w:eastAsia="zh-CN"/>
              </w:rPr>
            </w:pPr>
          </w:p>
          <w:p w14:paraId="4231227B">
            <w:pPr>
              <w:adjustRightInd w:val="0"/>
              <w:snapToGrid w:val="0"/>
              <w:rPr>
                <w:rFonts w:hint="eastAsia" w:ascii="仿宋" w:hAnsi="仿宋" w:eastAsia="仿宋" w:cs="仿宋"/>
                <w:color w:val="000000"/>
                <w:kern w:val="0"/>
                <w:sz w:val="24"/>
                <w:szCs w:val="24"/>
                <w:lang w:val="en-US" w:eastAsia="zh-CN"/>
              </w:rPr>
            </w:pPr>
            <w:r>
              <w:rPr>
                <w:rFonts w:hint="default" w:ascii="仿宋" w:hAnsi="仿宋" w:eastAsia="仿宋" w:cs="仿宋"/>
                <w:color w:val="000000"/>
                <w:kern w:val="0"/>
                <w:sz w:val="24"/>
                <w:szCs w:val="24"/>
                <w:lang w:val="en-US" w:eastAsia="zh-CN"/>
              </w:rPr>
              <w:t>知道层次：掌握乐曲训练合奏中的音准问题</w:t>
            </w:r>
          </w:p>
          <w:p w14:paraId="65D24002">
            <w:pPr>
              <w:adjustRightInd w:val="0"/>
              <w:snapToGrid w:val="0"/>
              <w:rPr>
                <w:rFonts w:hint="eastAsia" w:ascii="仿宋" w:hAnsi="仿宋" w:eastAsia="仿宋" w:cs="仿宋"/>
                <w:color w:val="000000"/>
                <w:kern w:val="0"/>
                <w:sz w:val="24"/>
                <w:szCs w:val="24"/>
                <w:lang w:val="en-US" w:eastAsia="zh-CN"/>
              </w:rPr>
            </w:pPr>
            <w:r>
              <w:rPr>
                <w:rFonts w:hint="default" w:ascii="仿宋" w:hAnsi="仿宋" w:eastAsia="仿宋" w:cs="仿宋"/>
                <w:color w:val="000000"/>
                <w:kern w:val="0"/>
                <w:sz w:val="24"/>
                <w:szCs w:val="24"/>
                <w:lang w:val="en-US" w:eastAsia="zh-CN"/>
              </w:rPr>
              <w:t>领会层次：掌握合奏中音准问题及乐队间的默契</w:t>
            </w:r>
          </w:p>
          <w:p w14:paraId="231EFC00">
            <w:pPr>
              <w:adjustRightInd w:val="0"/>
              <w:snapToGrid w:val="0"/>
              <w:rPr>
                <w:rFonts w:hint="eastAsia" w:ascii="仿宋" w:hAnsi="仿宋" w:eastAsia="仿宋" w:cs="仿宋"/>
                <w:color w:val="000000"/>
                <w:kern w:val="0"/>
                <w:sz w:val="24"/>
                <w:szCs w:val="24"/>
                <w:lang w:val="en-US" w:eastAsia="zh-CN"/>
              </w:rPr>
            </w:pPr>
            <w:r>
              <w:rPr>
                <w:rFonts w:hint="default" w:ascii="仿宋" w:hAnsi="仿宋" w:eastAsia="仿宋" w:cs="仿宋"/>
                <w:color w:val="000000"/>
                <w:kern w:val="0"/>
                <w:sz w:val="24"/>
                <w:szCs w:val="24"/>
                <w:lang w:val="en-US" w:eastAsia="zh-CN"/>
              </w:rPr>
              <w:t>应用层次：应用的乐队的学习训练中</w:t>
            </w:r>
          </w:p>
        </w:tc>
        <w:tc>
          <w:tcPr>
            <w:tcW w:w="1162" w:type="dxa"/>
            <w:gridSpan w:val="5"/>
            <w:shd w:val="clear" w:color="auto" w:fill="auto"/>
            <w:vAlign w:val="center"/>
          </w:tcPr>
          <w:p w14:paraId="496C3291">
            <w:pPr>
              <w:widowControl/>
              <w:adjustRightInd w:val="0"/>
              <w:snapToGrid w:val="0"/>
              <w:jc w:val="center"/>
              <w:rPr>
                <w:rFonts w:hint="eastAsia" w:ascii="仿宋" w:hAnsi="仿宋" w:eastAsia="仿宋" w:cs="仿宋"/>
                <w:bCs/>
                <w:color w:val="4472C4"/>
                <w:kern w:val="2"/>
                <w:sz w:val="24"/>
                <w:szCs w:val="24"/>
                <w:lang w:val="en-US" w:eastAsia="zh-CN" w:bidi="ar-SA"/>
              </w:rPr>
            </w:pPr>
            <w:r>
              <w:rPr>
                <w:rFonts w:hint="eastAsia" w:ascii="仿宋" w:hAnsi="仿宋" w:eastAsia="仿宋" w:cs="仿宋"/>
                <w:bCs/>
                <w:color w:val="000000"/>
                <w:sz w:val="24"/>
                <w:szCs w:val="24"/>
              </w:rPr>
              <w:t>支撑课程目标1、2</w:t>
            </w:r>
          </w:p>
        </w:tc>
        <w:tc>
          <w:tcPr>
            <w:tcW w:w="1016" w:type="dxa"/>
            <w:gridSpan w:val="2"/>
            <w:shd w:val="clear" w:color="auto" w:fill="FFFFFF"/>
            <w:vAlign w:val="center"/>
          </w:tcPr>
          <w:p w14:paraId="566CDD27">
            <w:pPr>
              <w:adjustRightInd w:val="0"/>
              <w:snapToGrid w:val="0"/>
              <w:jc w:val="center"/>
              <w:rPr>
                <w:rFonts w:hint="default" w:ascii="仿宋" w:hAnsi="仿宋" w:eastAsia="仿宋" w:cs="仿宋"/>
                <w:color w:val="4472C4"/>
                <w:kern w:val="2"/>
                <w:sz w:val="24"/>
                <w:szCs w:val="24"/>
                <w:lang w:val="en-US" w:eastAsia="zh-CN" w:bidi="ar-SA"/>
              </w:rPr>
            </w:pPr>
            <w:r>
              <w:rPr>
                <w:rFonts w:hint="default" w:ascii="仿宋" w:hAnsi="仿宋" w:eastAsia="仿宋" w:cs="仿宋"/>
                <w:color w:val="000000"/>
                <w:sz w:val="24"/>
                <w:szCs w:val="24"/>
                <w:lang w:eastAsia="zh-CN"/>
              </w:rPr>
              <w:t>3</w:t>
            </w:r>
            <w:r>
              <w:rPr>
                <w:rFonts w:hint="eastAsia" w:ascii="仿宋" w:hAnsi="仿宋" w:eastAsia="仿宋" w:cs="仿宋"/>
                <w:color w:val="000000"/>
                <w:sz w:val="24"/>
                <w:szCs w:val="24"/>
                <w:lang w:val="en-US" w:eastAsia="zh-CN"/>
              </w:rPr>
              <w:t>9</w:t>
            </w:r>
          </w:p>
        </w:tc>
      </w:tr>
      <w:tr w14:paraId="335C46C8">
        <w:trPr>
          <w:trHeight w:val="5250" w:hRule="atLeast"/>
          <w:jc w:val="center"/>
        </w:trPr>
        <w:tc>
          <w:tcPr>
            <w:tcW w:w="1376" w:type="dxa"/>
            <w:vMerge w:val="continue"/>
            <w:shd w:val="clear" w:color="auto" w:fill="FFFFFF"/>
            <w:vAlign w:val="center"/>
          </w:tcPr>
          <w:p w14:paraId="36BFCFBD">
            <w:pPr>
              <w:adjustRightInd w:val="0"/>
              <w:snapToGrid w:val="0"/>
              <w:spacing w:line="240" w:lineRule="atLeast"/>
              <w:jc w:val="center"/>
              <w:rPr>
                <w:rFonts w:hint="eastAsia" w:ascii="仿宋" w:hAnsi="仿宋" w:eastAsia="仿宋" w:cs="仿宋"/>
                <w:color w:val="000000"/>
                <w:sz w:val="24"/>
                <w:szCs w:val="24"/>
              </w:rPr>
            </w:pPr>
          </w:p>
        </w:tc>
        <w:tc>
          <w:tcPr>
            <w:tcW w:w="5686" w:type="dxa"/>
            <w:gridSpan w:val="9"/>
            <w:shd w:val="clear" w:color="auto" w:fill="auto"/>
            <w:vAlign w:val="center"/>
          </w:tcPr>
          <w:p w14:paraId="75483DCA">
            <w:pPr>
              <w:adjustRightInd w:val="0"/>
              <w:snapToGrid w:val="0"/>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第二章 乐团合奏训练——节奏训练各声部交接训练</w:t>
            </w:r>
          </w:p>
          <w:p w14:paraId="7960A7A0">
            <w:pPr>
              <w:adjustRightInd w:val="0"/>
              <w:snapToGrid w:val="0"/>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1. 学习目的：加强学生的音准训练、节奏训练。</w:t>
            </w:r>
          </w:p>
          <w:p w14:paraId="018E6308">
            <w:pPr>
              <w:adjustRightInd w:val="0"/>
              <w:snapToGrid w:val="0"/>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2. 基本内容要求：通过合奏，加强学生的音准训练、节奏训练。</w:t>
            </w:r>
          </w:p>
          <w:p w14:paraId="16585889">
            <w:pPr>
              <w:adjustRightInd w:val="0"/>
              <w:snapToGrid w:val="0"/>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3. 重点和难点：节奏节拍的一致性，达到默契。</w:t>
            </w:r>
          </w:p>
          <w:p w14:paraId="26CDF73C">
            <w:pPr>
              <w:adjustRightInd w:val="0"/>
              <w:snapToGrid w:val="0"/>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4.学习目的：使学生了解各个声部的交接处理，在排练中丰富自己的舞台经验。</w:t>
            </w:r>
          </w:p>
          <w:p w14:paraId="748F61D4">
            <w:pPr>
              <w:adjustRightInd w:val="0"/>
              <w:snapToGrid w:val="0"/>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5.基本内容要求：通过适当乐曲，让各声部乐器之间进行交接训练。</w:t>
            </w:r>
          </w:p>
          <w:p w14:paraId="5322DAC2">
            <w:pPr>
              <w:adjustRightInd w:val="0"/>
              <w:snapToGrid w:val="0"/>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6.重点和难点：丰富学生的舞台经验。</w:t>
            </w:r>
          </w:p>
          <w:p w14:paraId="6FF5D5DA">
            <w:pPr>
              <w:adjustRightInd w:val="0"/>
              <w:snapToGrid w:val="0"/>
              <w:rPr>
                <w:rFonts w:hint="eastAsia" w:ascii="仿宋" w:hAnsi="仿宋" w:eastAsia="仿宋" w:cs="仿宋"/>
                <w:color w:val="000000"/>
                <w:kern w:val="0"/>
                <w:sz w:val="24"/>
                <w:szCs w:val="24"/>
                <w:lang w:val="en-US" w:eastAsia="zh-CN"/>
              </w:rPr>
            </w:pPr>
            <w:r>
              <w:rPr>
                <w:rFonts w:hint="default" w:ascii="仿宋" w:hAnsi="仿宋" w:eastAsia="仿宋" w:cs="仿宋"/>
                <w:color w:val="000000"/>
                <w:kern w:val="0"/>
                <w:sz w:val="24"/>
                <w:szCs w:val="24"/>
                <w:lang w:val="en-US" w:eastAsia="zh-CN"/>
              </w:rPr>
              <w:t>知道层次：掌握各声部音准、节拍、默契</w:t>
            </w:r>
          </w:p>
          <w:p w14:paraId="61E1CAB0">
            <w:pPr>
              <w:adjustRightInd w:val="0"/>
              <w:snapToGrid w:val="0"/>
              <w:rPr>
                <w:rFonts w:hint="eastAsia" w:ascii="仿宋" w:hAnsi="仿宋" w:eastAsia="仿宋" w:cs="仿宋"/>
                <w:color w:val="000000"/>
                <w:kern w:val="0"/>
                <w:sz w:val="24"/>
                <w:szCs w:val="24"/>
                <w:lang w:val="en-US" w:eastAsia="zh-CN"/>
              </w:rPr>
            </w:pPr>
            <w:r>
              <w:rPr>
                <w:rFonts w:hint="default" w:ascii="仿宋" w:hAnsi="仿宋" w:eastAsia="仿宋" w:cs="仿宋"/>
                <w:color w:val="000000"/>
                <w:kern w:val="0"/>
                <w:sz w:val="24"/>
                <w:szCs w:val="24"/>
                <w:lang w:val="en-US" w:eastAsia="zh-CN"/>
              </w:rPr>
              <w:t>领会层次：掌握各声部乐器之间的交接处理</w:t>
            </w:r>
          </w:p>
          <w:p w14:paraId="5B8DF15E">
            <w:pPr>
              <w:adjustRightInd w:val="0"/>
              <w:snapToGrid w:val="0"/>
              <w:rPr>
                <w:rFonts w:hint="eastAsia" w:ascii="仿宋" w:hAnsi="仿宋" w:eastAsia="仿宋" w:cs="仿宋"/>
                <w:color w:val="000000"/>
                <w:kern w:val="0"/>
                <w:sz w:val="24"/>
                <w:szCs w:val="24"/>
                <w:lang w:val="en-US" w:eastAsia="zh-CN"/>
              </w:rPr>
            </w:pPr>
            <w:r>
              <w:rPr>
                <w:rFonts w:hint="default" w:ascii="仿宋" w:hAnsi="仿宋" w:eastAsia="仿宋" w:cs="仿宋"/>
                <w:color w:val="000000"/>
                <w:kern w:val="0"/>
                <w:sz w:val="24"/>
                <w:szCs w:val="24"/>
                <w:lang w:val="en-US" w:eastAsia="zh-CN"/>
              </w:rPr>
              <w:t>应用层次：运用到乐队的排练与学习中及在舞台上的表现</w:t>
            </w:r>
          </w:p>
        </w:tc>
        <w:tc>
          <w:tcPr>
            <w:tcW w:w="1162" w:type="dxa"/>
            <w:gridSpan w:val="5"/>
            <w:shd w:val="clear" w:color="auto" w:fill="auto"/>
            <w:vAlign w:val="center"/>
          </w:tcPr>
          <w:p w14:paraId="65B633DE">
            <w:pPr>
              <w:adjustRightInd w:val="0"/>
              <w:snapToGrid w:val="0"/>
              <w:jc w:val="center"/>
              <w:rPr>
                <w:rFonts w:hint="eastAsia" w:ascii="仿宋" w:hAnsi="仿宋" w:eastAsia="仿宋" w:cs="仿宋"/>
                <w:bCs/>
                <w:color w:val="000000"/>
                <w:sz w:val="24"/>
                <w:szCs w:val="24"/>
              </w:rPr>
            </w:pPr>
          </w:p>
          <w:p w14:paraId="72E62C84">
            <w:pPr>
              <w:widowControl/>
              <w:adjustRightInd w:val="0"/>
              <w:snapToGrid w:val="0"/>
              <w:jc w:val="center"/>
              <w:rPr>
                <w:rFonts w:hint="eastAsia" w:ascii="仿宋" w:hAnsi="仿宋" w:eastAsia="仿宋" w:cs="仿宋"/>
                <w:bCs/>
                <w:color w:val="000000"/>
                <w:sz w:val="24"/>
                <w:szCs w:val="24"/>
              </w:rPr>
            </w:pPr>
          </w:p>
          <w:p w14:paraId="266818BE">
            <w:pPr>
              <w:widowControl/>
              <w:adjustRightInd w:val="0"/>
              <w:snapToGrid w:val="0"/>
              <w:jc w:val="center"/>
              <w:rPr>
                <w:rFonts w:hint="eastAsia" w:ascii="仿宋" w:hAnsi="仿宋" w:eastAsia="仿宋" w:cs="仿宋"/>
                <w:bCs/>
                <w:color w:val="000000"/>
                <w:sz w:val="24"/>
                <w:szCs w:val="24"/>
              </w:rPr>
            </w:pPr>
            <w:r>
              <w:rPr>
                <w:rFonts w:hint="eastAsia" w:ascii="仿宋" w:hAnsi="仿宋" w:eastAsia="仿宋" w:cs="仿宋"/>
                <w:bCs/>
                <w:color w:val="000000"/>
                <w:sz w:val="24"/>
                <w:szCs w:val="24"/>
              </w:rPr>
              <w:t>支撑课程目标1、2、3</w:t>
            </w:r>
          </w:p>
          <w:p w14:paraId="37D42D07">
            <w:pPr>
              <w:widowControl/>
              <w:adjustRightInd w:val="0"/>
              <w:snapToGrid w:val="0"/>
              <w:jc w:val="center"/>
              <w:rPr>
                <w:rFonts w:hint="eastAsia" w:ascii="仿宋" w:hAnsi="仿宋" w:eastAsia="仿宋" w:cs="仿宋"/>
                <w:bCs/>
                <w:color w:val="000000"/>
                <w:sz w:val="24"/>
                <w:szCs w:val="24"/>
              </w:rPr>
            </w:pPr>
          </w:p>
          <w:p w14:paraId="3FC52F2A">
            <w:pPr>
              <w:adjustRightInd w:val="0"/>
              <w:snapToGrid w:val="0"/>
              <w:jc w:val="center"/>
              <w:rPr>
                <w:rFonts w:hint="eastAsia" w:ascii="仿宋" w:hAnsi="仿宋" w:eastAsia="仿宋" w:cs="仿宋"/>
                <w:bCs/>
                <w:color w:val="000000"/>
                <w:kern w:val="2"/>
                <w:sz w:val="24"/>
                <w:szCs w:val="24"/>
                <w:lang w:val="en-US" w:eastAsia="zh-CN" w:bidi="ar-SA"/>
              </w:rPr>
            </w:pPr>
          </w:p>
        </w:tc>
        <w:tc>
          <w:tcPr>
            <w:tcW w:w="1016" w:type="dxa"/>
            <w:gridSpan w:val="2"/>
            <w:shd w:val="clear" w:color="auto" w:fill="FFFFFF"/>
            <w:vAlign w:val="center"/>
          </w:tcPr>
          <w:p w14:paraId="48D4F9F5">
            <w:pPr>
              <w:adjustRightInd w:val="0"/>
              <w:snapToGrid w:val="0"/>
              <w:jc w:val="center"/>
              <w:rPr>
                <w:rFonts w:hint="default" w:ascii="仿宋" w:hAnsi="仿宋" w:eastAsia="仿宋" w:cs="仿宋"/>
                <w:color w:val="000000"/>
                <w:kern w:val="2"/>
                <w:sz w:val="24"/>
                <w:szCs w:val="24"/>
                <w:lang w:eastAsia="zh-CN" w:bidi="ar-SA"/>
              </w:rPr>
            </w:pPr>
            <w:r>
              <w:rPr>
                <w:rFonts w:hint="default" w:ascii="仿宋" w:hAnsi="仿宋" w:eastAsia="仿宋" w:cs="仿宋"/>
                <w:color w:val="000000"/>
                <w:sz w:val="24"/>
                <w:szCs w:val="24"/>
                <w:lang w:eastAsia="zh-CN"/>
              </w:rPr>
              <w:t>39</w:t>
            </w:r>
          </w:p>
        </w:tc>
      </w:tr>
      <w:tr w14:paraId="0BAACB48">
        <w:trPr>
          <w:trHeight w:val="6270" w:hRule="atLeast"/>
          <w:jc w:val="center"/>
        </w:trPr>
        <w:tc>
          <w:tcPr>
            <w:tcW w:w="1376" w:type="dxa"/>
            <w:vMerge w:val="continue"/>
            <w:shd w:val="clear" w:color="auto" w:fill="FFFFFF"/>
            <w:vAlign w:val="center"/>
          </w:tcPr>
          <w:p w14:paraId="72DC7B35">
            <w:pPr>
              <w:adjustRightInd w:val="0"/>
              <w:snapToGrid w:val="0"/>
              <w:spacing w:line="240" w:lineRule="atLeast"/>
              <w:jc w:val="center"/>
              <w:rPr>
                <w:rFonts w:hint="eastAsia" w:ascii="仿宋" w:hAnsi="仿宋" w:eastAsia="仿宋" w:cs="仿宋"/>
                <w:color w:val="000000"/>
                <w:sz w:val="24"/>
                <w:szCs w:val="24"/>
              </w:rPr>
            </w:pPr>
          </w:p>
        </w:tc>
        <w:tc>
          <w:tcPr>
            <w:tcW w:w="5686" w:type="dxa"/>
            <w:gridSpan w:val="9"/>
            <w:shd w:val="clear" w:color="auto" w:fill="auto"/>
            <w:vAlign w:val="center"/>
          </w:tcPr>
          <w:p w14:paraId="7840CEB0">
            <w:pPr>
              <w:adjustRightInd w:val="0"/>
              <w:snapToGrid w:val="0"/>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第三章 乐团合奏训练——音色的对比及音响的平衡处理 乐团乐曲合奏训练</w:t>
            </w:r>
          </w:p>
          <w:p w14:paraId="4E1383DC">
            <w:pPr>
              <w:adjustRightInd w:val="0"/>
              <w:snapToGrid w:val="0"/>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1.学习目的：使学生了解各个声部的音色平衡处理,提高学生个人演奏技巧。</w:t>
            </w:r>
          </w:p>
          <w:p w14:paraId="19039FDB">
            <w:pPr>
              <w:adjustRightInd w:val="0"/>
              <w:snapToGrid w:val="0"/>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2.基本内容要求：通过选择适当的乐曲让各声部乐器之间进行平衡训练。</w:t>
            </w:r>
          </w:p>
          <w:p w14:paraId="2FFC56C5">
            <w:pPr>
              <w:adjustRightInd w:val="0"/>
              <w:snapToGrid w:val="0"/>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3.重点和难点：提高学生自己的演奏技巧。</w:t>
            </w:r>
          </w:p>
          <w:p w14:paraId="1491D7A3">
            <w:pPr>
              <w:adjustRightInd w:val="0"/>
              <w:snapToGrid w:val="0"/>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4.学习目的：通过适当的大型乐曲的训练，了解合奏作品的背景，让学生掌握不同风格作品的演奏，培养学生合奏默契。</w:t>
            </w:r>
          </w:p>
          <w:p w14:paraId="531B14F8">
            <w:pPr>
              <w:adjustRightInd w:val="0"/>
              <w:snapToGrid w:val="0"/>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5.基本内容要求：组织各个声部排练大型合奏乐曲，学习各种演奏技巧。</w:t>
            </w:r>
          </w:p>
          <w:p w14:paraId="76483215">
            <w:pPr>
              <w:adjustRightInd w:val="0"/>
              <w:snapToGrid w:val="0"/>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6. 重点和难点：通过作品了解中国作品的装饰音和滑音的演奏技巧。</w:t>
            </w:r>
          </w:p>
          <w:p w14:paraId="0D5A5566">
            <w:pPr>
              <w:adjustRightInd w:val="0"/>
              <w:snapToGrid w:val="0"/>
              <w:rPr>
                <w:rFonts w:hint="eastAsia" w:ascii="仿宋" w:hAnsi="仿宋" w:eastAsia="仿宋" w:cs="仿宋"/>
                <w:color w:val="000000"/>
                <w:kern w:val="0"/>
                <w:sz w:val="24"/>
                <w:szCs w:val="24"/>
                <w:lang w:val="en-US" w:eastAsia="zh-CN"/>
              </w:rPr>
            </w:pPr>
            <w:r>
              <w:rPr>
                <w:rFonts w:hint="default" w:ascii="仿宋" w:hAnsi="仿宋" w:eastAsia="仿宋" w:cs="仿宋"/>
                <w:color w:val="000000"/>
                <w:kern w:val="0"/>
                <w:sz w:val="24"/>
                <w:szCs w:val="24"/>
                <w:lang w:val="en-US" w:eastAsia="zh-CN"/>
              </w:rPr>
              <w:t>知道层次：各个声部的配合，平衡各个声部</w:t>
            </w:r>
          </w:p>
          <w:p w14:paraId="7FD65EE1">
            <w:pPr>
              <w:adjustRightInd w:val="0"/>
              <w:snapToGrid w:val="0"/>
              <w:rPr>
                <w:rFonts w:hint="eastAsia" w:ascii="仿宋" w:hAnsi="仿宋" w:eastAsia="仿宋" w:cs="仿宋"/>
                <w:color w:val="000000"/>
                <w:kern w:val="0"/>
                <w:sz w:val="24"/>
                <w:szCs w:val="24"/>
                <w:lang w:val="en-US" w:eastAsia="zh-CN"/>
              </w:rPr>
            </w:pPr>
            <w:r>
              <w:rPr>
                <w:rFonts w:hint="default" w:ascii="仿宋" w:hAnsi="仿宋" w:eastAsia="仿宋" w:cs="仿宋"/>
                <w:color w:val="000000"/>
                <w:kern w:val="0"/>
                <w:sz w:val="24"/>
                <w:szCs w:val="24"/>
                <w:lang w:val="en-US" w:eastAsia="zh-CN"/>
              </w:rPr>
              <w:t>领会层次：学生的演奏技巧以及之间的默契</w:t>
            </w:r>
          </w:p>
          <w:p w14:paraId="792518D2">
            <w:pPr>
              <w:adjustRightInd w:val="0"/>
              <w:snapToGrid w:val="0"/>
              <w:rPr>
                <w:rFonts w:hint="eastAsia" w:ascii="仿宋" w:hAnsi="仿宋" w:eastAsia="仿宋" w:cs="仿宋"/>
                <w:color w:val="000000"/>
                <w:kern w:val="0"/>
                <w:sz w:val="24"/>
                <w:szCs w:val="24"/>
                <w:lang w:val="en-US" w:eastAsia="zh-CN"/>
              </w:rPr>
            </w:pPr>
            <w:r>
              <w:rPr>
                <w:rFonts w:hint="default" w:ascii="仿宋" w:hAnsi="仿宋" w:eastAsia="仿宋" w:cs="仿宋"/>
                <w:color w:val="000000"/>
                <w:kern w:val="0"/>
                <w:sz w:val="24"/>
                <w:szCs w:val="24"/>
                <w:lang w:val="en-US" w:eastAsia="zh-CN"/>
              </w:rPr>
              <w:t>应用层次：应用到各个类型的乐曲演奏</w:t>
            </w:r>
          </w:p>
        </w:tc>
        <w:tc>
          <w:tcPr>
            <w:tcW w:w="1162" w:type="dxa"/>
            <w:gridSpan w:val="5"/>
            <w:shd w:val="clear" w:color="auto" w:fill="auto"/>
            <w:vAlign w:val="center"/>
          </w:tcPr>
          <w:p w14:paraId="0D2DBBAC">
            <w:pPr>
              <w:widowControl/>
              <w:adjustRightInd w:val="0"/>
              <w:snapToGrid w:val="0"/>
              <w:jc w:val="center"/>
              <w:rPr>
                <w:rFonts w:ascii="仿宋" w:hAnsi="仿宋" w:eastAsia="仿宋" w:cs="仿宋"/>
                <w:bCs/>
                <w:color w:val="000000"/>
                <w:sz w:val="24"/>
                <w:szCs w:val="24"/>
              </w:rPr>
            </w:pPr>
            <w:r>
              <w:rPr>
                <w:rFonts w:hint="eastAsia" w:ascii="仿宋" w:hAnsi="仿宋" w:eastAsia="仿宋" w:cs="仿宋"/>
                <w:bCs/>
                <w:color w:val="000000"/>
                <w:sz w:val="24"/>
                <w:szCs w:val="24"/>
              </w:rPr>
              <w:t>支撑课程目标1、2、3</w:t>
            </w:r>
          </w:p>
          <w:p w14:paraId="3DB54605">
            <w:pPr>
              <w:adjustRightInd w:val="0"/>
              <w:snapToGrid w:val="0"/>
              <w:ind w:firstLine="960" w:firstLineChars="400"/>
              <w:jc w:val="center"/>
              <w:rPr>
                <w:rFonts w:hint="eastAsia" w:ascii="仿宋" w:hAnsi="仿宋" w:eastAsia="仿宋" w:cs="仿宋"/>
                <w:bCs/>
                <w:color w:val="000000"/>
                <w:kern w:val="2"/>
                <w:sz w:val="24"/>
                <w:szCs w:val="24"/>
                <w:lang w:val="en-US" w:eastAsia="zh-CN" w:bidi="ar-SA"/>
              </w:rPr>
            </w:pPr>
          </w:p>
        </w:tc>
        <w:tc>
          <w:tcPr>
            <w:tcW w:w="1016" w:type="dxa"/>
            <w:gridSpan w:val="2"/>
            <w:shd w:val="clear" w:color="auto" w:fill="FFFFFF"/>
            <w:vAlign w:val="center"/>
          </w:tcPr>
          <w:p w14:paraId="46079BFB">
            <w:pPr>
              <w:adjustRightInd w:val="0"/>
              <w:snapToGrid w:val="0"/>
              <w:jc w:val="center"/>
              <w:rPr>
                <w:rFonts w:hint="default" w:ascii="仿宋" w:hAnsi="仿宋" w:eastAsia="仿宋" w:cs="仿宋"/>
                <w:color w:val="000000"/>
                <w:kern w:val="2"/>
                <w:sz w:val="24"/>
                <w:szCs w:val="24"/>
                <w:lang w:val="en-US" w:eastAsia="zh-CN" w:bidi="ar-SA"/>
              </w:rPr>
            </w:pPr>
            <w:r>
              <w:rPr>
                <w:rFonts w:hint="default" w:ascii="仿宋" w:hAnsi="仿宋" w:eastAsia="仿宋" w:cs="仿宋"/>
                <w:color w:val="000000"/>
                <w:sz w:val="24"/>
                <w:szCs w:val="24"/>
                <w:lang w:eastAsia="zh-CN"/>
              </w:rPr>
              <w:t>50</w:t>
            </w:r>
          </w:p>
        </w:tc>
      </w:tr>
      <w:tr w14:paraId="332F559C">
        <w:trPr>
          <w:trHeight w:val="90" w:hRule="atLeast"/>
          <w:jc w:val="center"/>
        </w:trPr>
        <w:tc>
          <w:tcPr>
            <w:tcW w:w="1376" w:type="dxa"/>
            <w:vMerge w:val="continue"/>
            <w:shd w:val="clear" w:color="auto" w:fill="FFFFFF"/>
            <w:vAlign w:val="center"/>
          </w:tcPr>
          <w:p w14:paraId="23A7324E">
            <w:pPr>
              <w:adjustRightInd w:val="0"/>
              <w:snapToGrid w:val="0"/>
              <w:spacing w:line="240" w:lineRule="atLeast"/>
              <w:jc w:val="center"/>
              <w:rPr>
                <w:rFonts w:hint="eastAsia" w:ascii="仿宋" w:hAnsi="仿宋" w:eastAsia="仿宋" w:cs="仿宋"/>
                <w:color w:val="000000"/>
                <w:sz w:val="24"/>
                <w:szCs w:val="24"/>
              </w:rPr>
            </w:pPr>
          </w:p>
        </w:tc>
        <w:tc>
          <w:tcPr>
            <w:tcW w:w="6848" w:type="dxa"/>
            <w:gridSpan w:val="14"/>
            <w:shd w:val="clear" w:color="auto" w:fill="auto"/>
            <w:vAlign w:val="center"/>
          </w:tcPr>
          <w:p w14:paraId="6A684FB6">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bCs/>
                <w:color w:val="auto"/>
                <w:kern w:val="2"/>
                <w:sz w:val="24"/>
                <w:szCs w:val="24"/>
                <w:lang w:val="en-US" w:eastAsia="zh-CN" w:bidi="ar-SA"/>
              </w:rPr>
            </w:pPr>
            <w:r>
              <w:rPr>
                <w:rFonts w:hint="eastAsia" w:ascii="仿宋" w:hAnsi="仿宋" w:eastAsia="仿宋" w:cs="仿宋"/>
                <w:bCs/>
                <w:color w:val="auto"/>
                <w:sz w:val="24"/>
                <w:szCs w:val="24"/>
              </w:rPr>
              <w:t>合计</w:t>
            </w:r>
          </w:p>
          <w:p w14:paraId="717FDE38">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kern w:val="2"/>
                <w:sz w:val="24"/>
                <w:szCs w:val="24"/>
                <w:lang w:val="en-US" w:eastAsia="zh-CN" w:bidi="ar-SA"/>
              </w:rPr>
            </w:pPr>
          </w:p>
        </w:tc>
        <w:tc>
          <w:tcPr>
            <w:tcW w:w="1016" w:type="dxa"/>
            <w:gridSpan w:val="2"/>
            <w:shd w:val="clear" w:color="auto" w:fill="FFFFFF"/>
            <w:vAlign w:val="center"/>
          </w:tcPr>
          <w:p w14:paraId="49AF98DE">
            <w:pPr>
              <w:adjustRightInd w:val="0"/>
              <w:snapToGrid w:val="0"/>
              <w:jc w:val="center"/>
              <w:rPr>
                <w:rFonts w:hint="default" w:ascii="仿宋" w:hAnsi="仿宋" w:eastAsia="仿宋" w:cs="仿宋"/>
                <w:color w:val="4472C4"/>
                <w:sz w:val="24"/>
                <w:szCs w:val="24"/>
                <w:lang w:val="en-US" w:eastAsia="zh-CN"/>
              </w:rPr>
            </w:pPr>
            <w:r>
              <w:rPr>
                <w:rFonts w:hint="eastAsia" w:ascii="仿宋" w:hAnsi="仿宋" w:eastAsia="仿宋" w:cs="仿宋"/>
                <w:color w:val="000000" w:themeColor="text1"/>
                <w:sz w:val="24"/>
                <w:szCs w:val="24"/>
                <w:lang w:val="en-US" w:eastAsia="zh-CN"/>
                <w14:textFill>
                  <w14:solidFill>
                    <w14:schemeClr w14:val="tx1"/>
                  </w14:solidFill>
                </w14:textFill>
              </w:rPr>
              <w:t>6</w:t>
            </w:r>
          </w:p>
        </w:tc>
      </w:tr>
      <w:tr w14:paraId="2086F1F4">
        <w:trPr>
          <w:trHeight w:val="921" w:hRule="atLeast"/>
          <w:jc w:val="center"/>
        </w:trPr>
        <w:tc>
          <w:tcPr>
            <w:tcW w:w="1376" w:type="dxa"/>
            <w:vAlign w:val="center"/>
          </w:tcPr>
          <w:p w14:paraId="5FB05C83">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I</w:t>
            </w:r>
          </w:p>
          <w:p w14:paraId="3C91EF4A">
            <w:pPr>
              <w:adjustRightInd w:val="0"/>
              <w:snapToGrid w:val="0"/>
              <w:spacing w:line="240" w:lineRule="atLeast"/>
              <w:jc w:val="center"/>
              <w:rPr>
                <w:rFonts w:hint="eastAsia" w:ascii="仿宋" w:hAnsi="仿宋" w:eastAsia="仿宋" w:cs="仿宋"/>
                <w:color w:val="000000"/>
                <w:sz w:val="24"/>
                <w:szCs w:val="24"/>
                <w:lang w:eastAsia="zh-TW"/>
              </w:rPr>
            </w:pPr>
            <w:r>
              <w:rPr>
                <w:rFonts w:hint="eastAsia" w:ascii="仿宋" w:hAnsi="仿宋" w:eastAsia="仿宋" w:cs="仿宋"/>
                <w:color w:val="000000"/>
                <w:sz w:val="24"/>
                <w:szCs w:val="24"/>
              </w:rPr>
              <w:t>教学方法与教学方式</w:t>
            </w:r>
          </w:p>
        </w:tc>
        <w:tc>
          <w:tcPr>
            <w:tcW w:w="7864" w:type="dxa"/>
            <w:gridSpan w:val="16"/>
            <w:tcBorders>
              <w:bottom w:val="single" w:color="auto" w:sz="4" w:space="0"/>
            </w:tcBorders>
            <w:vAlign w:val="center"/>
          </w:tcPr>
          <w:p w14:paraId="0DA76E71">
            <w:pPr>
              <w:numPr>
                <w:ilvl w:val="0"/>
                <w:numId w:val="0"/>
              </w:numPr>
              <w:adjustRightInd w:val="0"/>
              <w:snapToGrid w:val="0"/>
              <w:ind w:leftChars="0" w:firstLine="240" w:firstLineChars="100"/>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1.课程</w:t>
            </w:r>
            <w:r>
              <w:rPr>
                <w:rFonts w:hint="eastAsia" w:ascii="仿宋" w:hAnsi="仿宋" w:eastAsia="仿宋" w:cs="仿宋"/>
                <w:color w:val="000000"/>
                <w:sz w:val="24"/>
                <w:szCs w:val="24"/>
              </w:rPr>
              <w:t>采用</w:t>
            </w:r>
            <w:r>
              <w:rPr>
                <w:rFonts w:hint="eastAsia" w:ascii="仿宋" w:hAnsi="仿宋" w:eastAsia="仿宋" w:cs="仿宋"/>
                <w:color w:val="000000"/>
                <w:sz w:val="24"/>
                <w:szCs w:val="24"/>
                <w:lang w:val="en-US" w:eastAsia="zh-CN"/>
              </w:rPr>
              <w:t>集体式</w:t>
            </w:r>
            <w:r>
              <w:rPr>
                <w:rFonts w:hint="eastAsia" w:ascii="仿宋" w:hAnsi="仿宋" w:eastAsia="仿宋" w:cs="仿宋"/>
                <w:color w:val="000000"/>
                <w:sz w:val="24"/>
                <w:szCs w:val="24"/>
              </w:rPr>
              <w:t>教学，改善理论课</w:t>
            </w:r>
            <w:r>
              <w:rPr>
                <w:rFonts w:hint="eastAsia" w:ascii="仿宋" w:hAnsi="仿宋" w:eastAsia="仿宋" w:cs="仿宋"/>
                <w:color w:val="000000"/>
                <w:sz w:val="24"/>
                <w:szCs w:val="24"/>
                <w:lang w:val="en-US" w:eastAsia="zh-CN"/>
              </w:rPr>
              <w:t>与实践</w:t>
            </w:r>
            <w:r>
              <w:rPr>
                <w:rFonts w:hint="eastAsia" w:ascii="仿宋" w:hAnsi="仿宋" w:eastAsia="仿宋" w:cs="仿宋"/>
                <w:color w:val="000000"/>
                <w:sz w:val="24"/>
                <w:szCs w:val="24"/>
              </w:rPr>
              <w:t>的枯燥和沉闷，吸引学生的注意力，加强授课效果。</w:t>
            </w:r>
          </w:p>
          <w:p w14:paraId="0011578E">
            <w:pPr>
              <w:numPr>
                <w:ilvl w:val="0"/>
                <w:numId w:val="0"/>
              </w:numPr>
              <w:adjustRightInd w:val="0"/>
              <w:snapToGrid w:val="0"/>
              <w:ind w:leftChars="0" w:firstLine="240" w:firstLineChars="100"/>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2.</w:t>
            </w:r>
            <w:r>
              <w:rPr>
                <w:rFonts w:hint="eastAsia" w:ascii="仿宋" w:hAnsi="仿宋" w:eastAsia="仿宋" w:cs="仿宋"/>
                <w:color w:val="000000"/>
                <w:sz w:val="24"/>
                <w:szCs w:val="24"/>
              </w:rPr>
              <w:t>开通网络课堂，达到与学生及时沟通、交流的目的。同时重视师生互动与小组活动，组织课堂小组讨论和论文写作等活动，将课堂教学变为师生共同活动的过程。</w:t>
            </w:r>
          </w:p>
          <w:p w14:paraId="3C95FA21">
            <w:pPr>
              <w:numPr>
                <w:ilvl w:val="0"/>
                <w:numId w:val="0"/>
              </w:numPr>
              <w:adjustRightInd w:val="0"/>
              <w:snapToGrid w:val="0"/>
              <w:ind w:leftChars="0" w:firstLine="240" w:firstLineChars="100"/>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3.</w:t>
            </w:r>
            <w:r>
              <w:rPr>
                <w:rFonts w:hint="eastAsia" w:ascii="仿宋" w:hAnsi="仿宋" w:eastAsia="仿宋" w:cs="仿宋"/>
                <w:color w:val="000000"/>
                <w:sz w:val="24"/>
                <w:szCs w:val="24"/>
              </w:rPr>
              <w:t>主要方式：</w:t>
            </w:r>
          </w:p>
          <w:p w14:paraId="5B414CBD">
            <w:pPr>
              <w:numPr>
                <w:ilvl w:val="0"/>
                <w:numId w:val="0"/>
              </w:numPr>
              <w:adjustRightInd w:val="0"/>
              <w:snapToGrid w:val="0"/>
              <w:ind w:leftChars="0"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讲授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网络学习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讨论或座谈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问题导向学  </w:t>
            </w:r>
          </w:p>
          <w:p w14:paraId="23BC2A6B">
            <w:pPr>
              <w:numPr>
                <w:ilvl w:val="0"/>
                <w:numId w:val="0"/>
              </w:numPr>
              <w:adjustRightInd w:val="0"/>
              <w:snapToGrid w:val="0"/>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分组合作学习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专题学习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实作学习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发表学习  </w:t>
            </w:r>
          </w:p>
          <w:p w14:paraId="64869A0A">
            <w:pPr>
              <w:numPr>
                <w:ilvl w:val="0"/>
                <w:numId w:val="0"/>
              </w:numPr>
              <w:adjustRightInd w:val="0"/>
              <w:snapToGrid w:val="0"/>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实习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参观访问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其它</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u w:val="single"/>
                <w:lang w:val="en-US" w:eastAsia="zh-CN"/>
              </w:rPr>
              <w:t xml:space="preserve">        </w:t>
            </w: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如</w:t>
            </w:r>
            <w:r>
              <w:rPr>
                <w:rFonts w:hint="eastAsia" w:ascii="仿宋" w:hAnsi="仿宋" w:eastAsia="仿宋" w:cs="仿宋"/>
                <w:color w:val="000000"/>
                <w:sz w:val="24"/>
                <w:szCs w:val="24"/>
              </w:rPr>
              <w:t>口头训练</w:t>
            </w:r>
            <w:r>
              <w:rPr>
                <w:rFonts w:hint="eastAsia" w:ascii="仿宋" w:hAnsi="仿宋" w:eastAsia="仿宋" w:cs="仿宋"/>
                <w:color w:val="000000"/>
                <w:sz w:val="24"/>
                <w:szCs w:val="24"/>
                <w:lang w:val="en-US" w:eastAsia="zh-CN"/>
              </w:rPr>
              <w:t>等</w:t>
            </w:r>
            <w:r>
              <w:rPr>
                <w:rFonts w:hint="eastAsia" w:ascii="仿宋" w:hAnsi="仿宋" w:eastAsia="仿宋" w:cs="仿宋"/>
                <w:color w:val="000000"/>
                <w:sz w:val="24"/>
                <w:szCs w:val="24"/>
              </w:rPr>
              <w:t>)</w:t>
            </w:r>
          </w:p>
        </w:tc>
      </w:tr>
      <w:tr w14:paraId="01C6E760">
        <w:trPr>
          <w:trHeight w:val="3799" w:hRule="atLeast"/>
          <w:jc w:val="center"/>
        </w:trPr>
        <w:tc>
          <w:tcPr>
            <w:tcW w:w="1376" w:type="dxa"/>
            <w:vAlign w:val="center"/>
          </w:tcPr>
          <w:p w14:paraId="0DEA5ED2">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J</w:t>
            </w:r>
          </w:p>
          <w:p w14:paraId="76DE76DC">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教学条件</w:t>
            </w:r>
          </w:p>
          <w:p w14:paraId="7F578B1C">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需求</w:t>
            </w:r>
          </w:p>
        </w:tc>
        <w:tc>
          <w:tcPr>
            <w:tcW w:w="7864" w:type="dxa"/>
            <w:gridSpan w:val="16"/>
            <w:tcBorders>
              <w:bottom w:val="single" w:color="auto" w:sz="4" w:space="0"/>
            </w:tcBorders>
            <w:vAlign w:val="center"/>
          </w:tcPr>
          <w:p w14:paraId="5E685F42">
            <w:pPr>
              <w:tabs>
                <w:tab w:val="left" w:pos="720"/>
              </w:tabs>
              <w:adjustRightInd w:val="0"/>
              <w:snapToGrid w:val="0"/>
              <w:spacing w:line="240" w:lineRule="atLeas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（如时间、地点安排与“一课双师”等教师配备需求等）</w:t>
            </w:r>
          </w:p>
          <w:p w14:paraId="389D5FB2">
            <w:pPr>
              <w:numPr>
                <w:ilvl w:val="0"/>
                <w:numId w:val="0"/>
              </w:numPr>
              <w:tabs>
                <w:tab w:val="left" w:pos="720"/>
              </w:tabs>
              <w:adjustRightInd w:val="0"/>
              <w:snapToGrid w:val="0"/>
              <w:ind w:leftChars="0" w:firstLine="240" w:firstLineChars="100"/>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1.需要有好的乐器设备，利于课堂的学习与课后的练习，以此达到更好的效果。</w:t>
            </w:r>
          </w:p>
          <w:p w14:paraId="1E671176">
            <w:pPr>
              <w:numPr>
                <w:ilvl w:val="0"/>
                <w:numId w:val="0"/>
              </w:numPr>
              <w:tabs>
                <w:tab w:val="left" w:pos="720"/>
              </w:tabs>
              <w:adjustRightInd w:val="0"/>
              <w:snapToGrid w:val="0"/>
              <w:ind w:leftChars="0" w:firstLine="240" w:firstLineChars="100"/>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2.提供好的艺术实践，积极参与比赛活动，增强管乐应用。</w:t>
            </w:r>
          </w:p>
          <w:p w14:paraId="1B934B75">
            <w:pPr>
              <w:adjustRightInd w:val="0"/>
              <w:snapToGrid w:val="0"/>
              <w:rPr>
                <w:rFonts w:hint="default" w:ascii="仿宋" w:hAnsi="仿宋" w:eastAsia="仿宋" w:cs="仿宋"/>
                <w:bCs/>
                <w:color w:val="000000"/>
                <w:sz w:val="24"/>
                <w:szCs w:val="24"/>
                <w:lang w:val="en-US"/>
              </w:rPr>
            </w:pPr>
            <w:r>
              <w:rPr>
                <w:rFonts w:hint="default" w:ascii="仿宋" w:hAnsi="仿宋" w:eastAsia="仿宋" w:cs="仿宋"/>
                <w:bCs/>
                <w:color w:val="000000"/>
                <w:sz w:val="24"/>
                <w:szCs w:val="24"/>
                <w:lang w:val="en-US"/>
              </w:rPr>
              <w:t>1</w:t>
            </w:r>
            <w:r>
              <w:rPr>
                <w:rFonts w:hint="eastAsia" w:ascii="仿宋" w:hAnsi="仿宋" w:eastAsia="仿宋" w:cs="仿宋"/>
                <w:bCs/>
                <w:color w:val="000000"/>
                <w:sz w:val="24"/>
                <w:szCs w:val="24"/>
                <w:lang w:val="en-US"/>
              </w:rPr>
              <w:t>、每学期举办习奏会。</w:t>
            </w:r>
          </w:p>
          <w:p w14:paraId="726D43F5">
            <w:pPr>
              <w:adjustRightInd w:val="0"/>
              <w:snapToGrid w:val="0"/>
              <w:rPr>
                <w:rFonts w:hint="default" w:ascii="仿宋" w:hAnsi="仿宋" w:eastAsia="仿宋" w:cs="仿宋"/>
                <w:bCs/>
                <w:color w:val="000000"/>
                <w:sz w:val="24"/>
                <w:szCs w:val="24"/>
                <w:lang w:val="en-US"/>
              </w:rPr>
            </w:pPr>
            <w:r>
              <w:rPr>
                <w:rFonts w:hint="default" w:ascii="仿宋" w:hAnsi="仿宋" w:eastAsia="仿宋" w:cs="仿宋"/>
                <w:bCs/>
                <w:color w:val="000000"/>
                <w:sz w:val="24"/>
                <w:szCs w:val="24"/>
                <w:lang w:val="en-US"/>
              </w:rPr>
              <w:t>2</w:t>
            </w:r>
            <w:r>
              <w:rPr>
                <w:rFonts w:hint="eastAsia" w:ascii="仿宋" w:hAnsi="仿宋" w:eastAsia="仿宋" w:cs="仿宋"/>
                <w:bCs/>
                <w:color w:val="000000"/>
                <w:sz w:val="24"/>
                <w:szCs w:val="24"/>
                <w:lang w:val="en-US"/>
              </w:rPr>
              <w:t>、参与排练重奏、齐奏、合奏等多种形式的演出。</w:t>
            </w:r>
          </w:p>
          <w:p w14:paraId="0E3EC4D5">
            <w:pPr>
              <w:adjustRightInd w:val="0"/>
              <w:snapToGrid w:val="0"/>
              <w:rPr>
                <w:rFonts w:hint="default" w:ascii="仿宋" w:hAnsi="仿宋" w:eastAsia="仿宋" w:cs="仿宋"/>
                <w:bCs/>
                <w:color w:val="000000"/>
                <w:sz w:val="24"/>
                <w:szCs w:val="24"/>
                <w:lang w:val="en-US"/>
              </w:rPr>
            </w:pPr>
            <w:r>
              <w:rPr>
                <w:rFonts w:hint="default" w:ascii="仿宋" w:hAnsi="仿宋" w:eastAsia="仿宋" w:cs="仿宋"/>
                <w:bCs/>
                <w:color w:val="000000"/>
                <w:sz w:val="24"/>
                <w:szCs w:val="24"/>
                <w:lang w:val="en-US"/>
              </w:rPr>
              <w:t>3</w:t>
            </w:r>
            <w:r>
              <w:rPr>
                <w:rFonts w:hint="eastAsia" w:ascii="仿宋" w:hAnsi="仿宋" w:eastAsia="仿宋" w:cs="仿宋"/>
                <w:bCs/>
                <w:color w:val="000000"/>
                <w:sz w:val="24"/>
                <w:szCs w:val="24"/>
                <w:lang w:val="en-US"/>
              </w:rPr>
              <w:t>、创造舞台实践的机会。</w:t>
            </w:r>
          </w:p>
          <w:p w14:paraId="2B8FE0A3">
            <w:pPr>
              <w:adjustRightInd w:val="0"/>
              <w:snapToGrid w:val="0"/>
              <w:rPr>
                <w:rFonts w:hint="eastAsia" w:ascii="仿宋" w:hAnsi="仿宋" w:eastAsia="仿宋" w:cs="仿宋"/>
                <w:color w:val="000000"/>
                <w:kern w:val="0"/>
                <w:sz w:val="24"/>
                <w:szCs w:val="24"/>
                <w:lang w:val="en-US" w:eastAsia="zh-CN"/>
              </w:rPr>
            </w:pPr>
            <w:r>
              <w:rPr>
                <w:rFonts w:hint="default" w:ascii="仿宋" w:hAnsi="仿宋" w:eastAsia="仿宋" w:cs="仿宋"/>
                <w:bCs/>
                <w:color w:val="000000"/>
                <w:sz w:val="24"/>
                <w:szCs w:val="24"/>
                <w:lang w:val="en-US"/>
              </w:rPr>
              <w:t>4</w:t>
            </w:r>
            <w:r>
              <w:rPr>
                <w:rFonts w:hint="eastAsia" w:ascii="仿宋" w:hAnsi="仿宋" w:eastAsia="仿宋" w:cs="仿宋"/>
                <w:bCs/>
                <w:color w:val="000000"/>
                <w:sz w:val="24"/>
                <w:szCs w:val="24"/>
                <w:lang w:val="en-US"/>
              </w:rPr>
              <w:t>、通过第二课堂，如演奏会、艺术实践，参与比赛等活动提高本课程的教学质量。</w:t>
            </w:r>
          </w:p>
        </w:tc>
      </w:tr>
      <w:tr w14:paraId="0DAC1EB9">
        <w:trPr>
          <w:trHeight w:val="711" w:hRule="atLeast"/>
          <w:jc w:val="center"/>
        </w:trPr>
        <w:tc>
          <w:tcPr>
            <w:tcW w:w="1376" w:type="dxa"/>
            <w:vMerge w:val="restart"/>
            <w:vAlign w:val="center"/>
          </w:tcPr>
          <w:p w14:paraId="15C9042E">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K</w:t>
            </w:r>
          </w:p>
          <w:p w14:paraId="208690F3">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课程目标及其考核内容、考核方式及评分占比</w:t>
            </w:r>
          </w:p>
        </w:tc>
        <w:tc>
          <w:tcPr>
            <w:tcW w:w="1025" w:type="dxa"/>
            <w:vMerge w:val="restart"/>
            <w:vAlign w:val="center"/>
          </w:tcPr>
          <w:p w14:paraId="29BD8A87">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课程目标及评分占比</w:t>
            </w:r>
          </w:p>
        </w:tc>
        <w:tc>
          <w:tcPr>
            <w:tcW w:w="3240" w:type="dxa"/>
            <w:gridSpan w:val="5"/>
            <w:vMerge w:val="restart"/>
            <w:tcBorders>
              <w:right w:val="single" w:color="000000" w:sz="4" w:space="0"/>
            </w:tcBorders>
            <w:vAlign w:val="center"/>
          </w:tcPr>
          <w:p w14:paraId="3CA7A7B2">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考核内容</w:t>
            </w:r>
          </w:p>
        </w:tc>
        <w:tc>
          <w:tcPr>
            <w:tcW w:w="3013" w:type="dxa"/>
            <w:gridSpan w:val="9"/>
            <w:tcBorders>
              <w:left w:val="single" w:color="000000" w:sz="4" w:space="0"/>
              <w:right w:val="single" w:color="000000" w:sz="4" w:space="0"/>
            </w:tcBorders>
            <w:vAlign w:val="center"/>
          </w:tcPr>
          <w:p w14:paraId="0120E5BE">
            <w:pPr>
              <w:adjustRightInd w:val="0"/>
              <w:snapToGrid w:val="0"/>
              <w:jc w:val="center"/>
              <w:rPr>
                <w:rFonts w:hint="eastAsia" w:ascii="仿宋" w:hAnsi="仿宋" w:eastAsia="仿宋" w:cs="仿宋"/>
                <w:color w:val="4472C4"/>
                <w:sz w:val="24"/>
                <w:szCs w:val="24"/>
              </w:rPr>
            </w:pPr>
            <w:r>
              <w:rPr>
                <w:rFonts w:hint="eastAsia" w:ascii="仿宋" w:hAnsi="仿宋" w:eastAsia="仿宋" w:cs="仿宋"/>
                <w:color w:val="000000"/>
                <w:sz w:val="24"/>
                <w:szCs w:val="24"/>
              </w:rPr>
              <w:t>考核方式</w:t>
            </w:r>
          </w:p>
        </w:tc>
        <w:tc>
          <w:tcPr>
            <w:tcW w:w="586" w:type="dxa"/>
            <w:vMerge w:val="restart"/>
            <w:tcBorders>
              <w:left w:val="single" w:color="000000" w:sz="4" w:space="0"/>
            </w:tcBorders>
            <w:vAlign w:val="center"/>
          </w:tcPr>
          <w:p w14:paraId="6E27F455">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sz w:val="24"/>
                <w:szCs w:val="24"/>
              </w:rPr>
              <w:t>课程分目标的达成度</w:t>
            </w:r>
          </w:p>
        </w:tc>
      </w:tr>
      <w:tr w14:paraId="399CE7CF">
        <w:trPr>
          <w:trHeight w:val="635" w:hRule="atLeast"/>
          <w:jc w:val="center"/>
        </w:trPr>
        <w:tc>
          <w:tcPr>
            <w:tcW w:w="1376" w:type="dxa"/>
            <w:vMerge w:val="continue"/>
            <w:vAlign w:val="center"/>
          </w:tcPr>
          <w:p w14:paraId="04ECE79D">
            <w:pPr>
              <w:adjustRightInd w:val="0"/>
              <w:snapToGrid w:val="0"/>
              <w:spacing w:line="240" w:lineRule="atLeast"/>
              <w:jc w:val="center"/>
              <w:rPr>
                <w:rFonts w:hint="eastAsia" w:ascii="仿宋" w:hAnsi="仿宋" w:eastAsia="仿宋" w:cs="仿宋"/>
                <w:color w:val="000000"/>
                <w:sz w:val="24"/>
                <w:szCs w:val="24"/>
              </w:rPr>
            </w:pPr>
          </w:p>
        </w:tc>
        <w:tc>
          <w:tcPr>
            <w:tcW w:w="1025" w:type="dxa"/>
            <w:vMerge w:val="continue"/>
            <w:tcBorders>
              <w:tl2br w:val="single" w:color="auto" w:sz="4" w:space="0"/>
            </w:tcBorders>
            <w:vAlign w:val="center"/>
          </w:tcPr>
          <w:p w14:paraId="03E09DAC">
            <w:pPr>
              <w:adjustRightInd w:val="0"/>
              <w:snapToGrid w:val="0"/>
              <w:jc w:val="right"/>
              <w:rPr>
                <w:rFonts w:hint="eastAsia" w:ascii="仿宋" w:hAnsi="仿宋" w:eastAsia="仿宋" w:cs="仿宋"/>
                <w:color w:val="000000"/>
                <w:sz w:val="24"/>
                <w:szCs w:val="24"/>
              </w:rPr>
            </w:pPr>
          </w:p>
        </w:tc>
        <w:tc>
          <w:tcPr>
            <w:tcW w:w="3240" w:type="dxa"/>
            <w:gridSpan w:val="5"/>
            <w:vMerge w:val="continue"/>
            <w:tcBorders>
              <w:right w:val="single" w:color="000000" w:sz="4" w:space="0"/>
            </w:tcBorders>
            <w:vAlign w:val="center"/>
          </w:tcPr>
          <w:p w14:paraId="48879C3F">
            <w:pPr>
              <w:tabs>
                <w:tab w:val="left" w:pos="720"/>
              </w:tabs>
              <w:adjustRightInd w:val="0"/>
              <w:snapToGrid w:val="0"/>
              <w:jc w:val="center"/>
              <w:rPr>
                <w:rFonts w:hint="eastAsia" w:ascii="仿宋" w:hAnsi="仿宋" w:eastAsia="仿宋" w:cs="仿宋"/>
                <w:color w:val="000000"/>
                <w:kern w:val="0"/>
                <w:sz w:val="24"/>
                <w:szCs w:val="24"/>
              </w:rPr>
            </w:pPr>
          </w:p>
        </w:tc>
        <w:tc>
          <w:tcPr>
            <w:tcW w:w="1004" w:type="dxa"/>
            <w:gridSpan w:val="2"/>
            <w:tcBorders>
              <w:left w:val="single" w:color="000000" w:sz="4" w:space="0"/>
              <w:right w:val="single" w:color="000000" w:sz="4" w:space="0"/>
            </w:tcBorders>
            <w:vAlign w:val="center"/>
          </w:tcPr>
          <w:p w14:paraId="2864E991">
            <w:pPr>
              <w:adjustRightInd w:val="0"/>
              <w:snapToGrid w:val="0"/>
              <w:jc w:val="center"/>
              <w:rPr>
                <w:rFonts w:hint="eastAsia" w:ascii="仿宋" w:hAnsi="仿宋" w:eastAsia="仿宋" w:cs="仿宋"/>
                <w:color w:val="4472C4"/>
                <w:sz w:val="24"/>
                <w:szCs w:val="24"/>
              </w:rPr>
            </w:pPr>
            <w:r>
              <w:rPr>
                <w:rFonts w:hint="default" w:ascii="仿宋" w:hAnsi="仿宋" w:eastAsia="仿宋" w:cs="仿宋"/>
                <w:color w:val="000000"/>
                <w:kern w:val="0"/>
                <w:sz w:val="24"/>
                <w:szCs w:val="24"/>
                <w:lang w:val="en-US"/>
              </w:rPr>
              <w:t>作业</w:t>
            </w:r>
            <w:r>
              <w:rPr>
                <w:rFonts w:hint="eastAsia" w:ascii="仿宋" w:hAnsi="仿宋" w:eastAsia="仿宋" w:cs="仿宋"/>
                <w:color w:val="000000"/>
                <w:kern w:val="0"/>
                <w:sz w:val="24"/>
                <w:szCs w:val="24"/>
              </w:rPr>
              <w:t>评分占比</w:t>
            </w:r>
            <w:r>
              <w:rPr>
                <w:rFonts w:hint="eastAsia" w:ascii="仿宋" w:hAnsi="仿宋" w:eastAsia="仿宋" w:cs="仿宋"/>
                <w:color w:val="000000"/>
                <w:sz w:val="24"/>
                <w:szCs w:val="24"/>
              </w:rPr>
              <w:t>（</w:t>
            </w:r>
            <w:r>
              <w:rPr>
                <w:rFonts w:hint="default" w:ascii="仿宋" w:hAnsi="仿宋" w:eastAsia="仿宋" w:cs="仿宋"/>
                <w:color w:val="000000"/>
                <w:sz w:val="24"/>
                <w:szCs w:val="24"/>
              </w:rPr>
              <w:t>20</w:t>
            </w:r>
            <w:r>
              <w:rPr>
                <w:rFonts w:hint="eastAsia" w:ascii="仿宋" w:hAnsi="仿宋" w:eastAsia="仿宋" w:cs="仿宋"/>
                <w:color w:val="000000"/>
                <w:sz w:val="24"/>
                <w:szCs w:val="24"/>
              </w:rPr>
              <w:t>%）</w:t>
            </w:r>
          </w:p>
        </w:tc>
        <w:tc>
          <w:tcPr>
            <w:tcW w:w="1004" w:type="dxa"/>
            <w:gridSpan w:val="4"/>
            <w:tcBorders>
              <w:left w:val="single" w:color="000000" w:sz="4" w:space="0"/>
              <w:right w:val="single" w:color="000000" w:sz="4" w:space="0"/>
            </w:tcBorders>
            <w:vAlign w:val="center"/>
          </w:tcPr>
          <w:p w14:paraId="59C9CB92">
            <w:pPr>
              <w:adjustRightInd w:val="0"/>
              <w:snapToGrid w:val="0"/>
              <w:jc w:val="center"/>
              <w:rPr>
                <w:rFonts w:hint="eastAsia" w:ascii="仿宋" w:hAnsi="仿宋" w:eastAsia="仿宋" w:cs="仿宋"/>
                <w:color w:val="000000"/>
                <w:sz w:val="24"/>
                <w:szCs w:val="24"/>
              </w:rPr>
            </w:pPr>
            <w:r>
              <w:rPr>
                <w:rFonts w:hint="default" w:ascii="仿宋" w:hAnsi="仿宋" w:eastAsia="仿宋" w:cs="仿宋"/>
                <w:color w:val="000000"/>
                <w:sz w:val="24"/>
                <w:szCs w:val="24"/>
                <w:lang w:val="en-US"/>
              </w:rPr>
              <w:t>期中考试评分占比（</w:t>
            </w:r>
            <w:r>
              <w:rPr>
                <w:rFonts w:hint="default" w:ascii="仿宋" w:hAnsi="仿宋" w:eastAsia="仿宋" w:cs="仿宋"/>
                <w:color w:val="000000"/>
                <w:sz w:val="24"/>
                <w:szCs w:val="24"/>
              </w:rPr>
              <w:t>40</w:t>
            </w:r>
            <w:r>
              <w:rPr>
                <w:rFonts w:hint="default" w:ascii="仿宋" w:hAnsi="仿宋" w:eastAsia="仿宋" w:cs="仿宋"/>
                <w:color w:val="000000"/>
                <w:sz w:val="24"/>
                <w:szCs w:val="24"/>
                <w:lang w:val="en-US"/>
              </w:rPr>
              <w:t>%）</w:t>
            </w:r>
          </w:p>
        </w:tc>
        <w:tc>
          <w:tcPr>
            <w:tcW w:w="1005" w:type="dxa"/>
            <w:gridSpan w:val="3"/>
            <w:tcBorders>
              <w:left w:val="single" w:color="000000" w:sz="4" w:space="0"/>
              <w:right w:val="single" w:color="000000" w:sz="4" w:space="0"/>
            </w:tcBorders>
            <w:vAlign w:val="center"/>
          </w:tcPr>
          <w:p w14:paraId="10AAD1EA">
            <w:pPr>
              <w:adjustRightInd w:val="0"/>
              <w:snapToGrid w:val="0"/>
              <w:jc w:val="center"/>
              <w:rPr>
                <w:rFonts w:hint="eastAsia" w:ascii="仿宋" w:hAnsi="仿宋" w:eastAsia="仿宋" w:cs="仿宋"/>
                <w:color w:val="000000"/>
                <w:sz w:val="24"/>
                <w:szCs w:val="24"/>
              </w:rPr>
            </w:pPr>
            <w:r>
              <w:rPr>
                <w:rFonts w:hint="default" w:ascii="仿宋" w:hAnsi="仿宋" w:eastAsia="仿宋" w:cs="仿宋"/>
                <w:color w:val="000000"/>
                <w:sz w:val="24"/>
                <w:szCs w:val="24"/>
                <w:lang w:val="en-US"/>
              </w:rPr>
              <w:t>期末考试评分占比（</w:t>
            </w:r>
            <w:r>
              <w:rPr>
                <w:rFonts w:hint="default" w:ascii="仿宋" w:hAnsi="仿宋" w:eastAsia="仿宋" w:cs="仿宋"/>
                <w:color w:val="000000"/>
                <w:sz w:val="24"/>
                <w:szCs w:val="24"/>
              </w:rPr>
              <w:t>40</w:t>
            </w:r>
            <w:r>
              <w:rPr>
                <w:rFonts w:hint="default" w:ascii="仿宋" w:hAnsi="仿宋" w:eastAsia="仿宋" w:cs="仿宋"/>
                <w:color w:val="000000"/>
                <w:sz w:val="24"/>
                <w:szCs w:val="24"/>
                <w:lang w:val="en-US"/>
              </w:rPr>
              <w:t>%）</w:t>
            </w:r>
          </w:p>
        </w:tc>
        <w:tc>
          <w:tcPr>
            <w:tcW w:w="586" w:type="dxa"/>
            <w:vMerge w:val="continue"/>
            <w:tcBorders>
              <w:left w:val="single" w:color="000000" w:sz="4" w:space="0"/>
              <w:bottom w:val="single" w:color="auto" w:sz="4" w:space="0"/>
            </w:tcBorders>
            <w:vAlign w:val="center"/>
          </w:tcPr>
          <w:p w14:paraId="6B30A821">
            <w:pPr>
              <w:tabs>
                <w:tab w:val="left" w:pos="720"/>
              </w:tabs>
              <w:adjustRightInd w:val="0"/>
              <w:snapToGrid w:val="0"/>
              <w:jc w:val="center"/>
              <w:rPr>
                <w:rFonts w:hint="eastAsia" w:ascii="仿宋" w:hAnsi="仿宋" w:eastAsia="仿宋" w:cs="仿宋"/>
                <w:color w:val="000000"/>
                <w:sz w:val="24"/>
                <w:szCs w:val="24"/>
              </w:rPr>
            </w:pPr>
          </w:p>
        </w:tc>
      </w:tr>
      <w:tr w14:paraId="331B2283">
        <w:trPr>
          <w:jc w:val="center"/>
        </w:trPr>
        <w:tc>
          <w:tcPr>
            <w:tcW w:w="1376" w:type="dxa"/>
            <w:vMerge w:val="continue"/>
            <w:vAlign w:val="center"/>
          </w:tcPr>
          <w:p w14:paraId="596DF508">
            <w:pPr>
              <w:adjustRightInd w:val="0"/>
              <w:snapToGrid w:val="0"/>
              <w:spacing w:line="240" w:lineRule="atLeast"/>
              <w:jc w:val="center"/>
              <w:rPr>
                <w:rFonts w:hint="eastAsia" w:ascii="仿宋" w:hAnsi="仿宋" w:eastAsia="仿宋" w:cs="仿宋"/>
                <w:color w:val="000000"/>
                <w:sz w:val="24"/>
                <w:szCs w:val="24"/>
                <w:lang w:eastAsia="zh-TW"/>
              </w:rPr>
            </w:pPr>
          </w:p>
        </w:tc>
        <w:tc>
          <w:tcPr>
            <w:tcW w:w="1025" w:type="dxa"/>
            <w:tcBorders>
              <w:bottom w:val="single" w:color="auto" w:sz="4" w:space="0"/>
            </w:tcBorders>
            <w:vAlign w:val="center"/>
          </w:tcPr>
          <w:p w14:paraId="71973078">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rPr>
              <w:t>课程目标</w:t>
            </w:r>
            <w:r>
              <w:rPr>
                <w:rFonts w:hint="default" w:ascii="仿宋" w:hAnsi="仿宋" w:eastAsia="仿宋" w:cs="仿宋"/>
                <w:color w:val="000000"/>
                <w:kern w:val="0"/>
                <w:sz w:val="24"/>
                <w:szCs w:val="24"/>
                <w:lang w:val="en-US"/>
              </w:rPr>
              <w:t>1</w:t>
            </w:r>
            <w:r>
              <w:rPr>
                <w:rFonts w:hint="eastAsia" w:ascii="仿宋" w:hAnsi="仿宋" w:eastAsia="仿宋" w:cs="仿宋"/>
                <w:color w:val="000000"/>
                <w:kern w:val="0"/>
                <w:sz w:val="24"/>
                <w:szCs w:val="24"/>
              </w:rPr>
              <w:t>（</w:t>
            </w:r>
            <w:r>
              <w:rPr>
                <w:rFonts w:hint="default" w:ascii="仿宋" w:hAnsi="仿宋" w:eastAsia="仿宋" w:cs="仿宋"/>
                <w:color w:val="000000"/>
                <w:kern w:val="0"/>
                <w:sz w:val="24"/>
                <w:szCs w:val="24"/>
                <w:lang w:val="en-US"/>
              </w:rPr>
              <w:t>40%</w:t>
            </w:r>
            <w:r>
              <w:rPr>
                <w:rFonts w:hint="eastAsia" w:ascii="仿宋" w:hAnsi="仿宋" w:eastAsia="仿宋" w:cs="仿宋"/>
                <w:color w:val="000000"/>
                <w:kern w:val="0"/>
                <w:sz w:val="24"/>
                <w:szCs w:val="24"/>
              </w:rPr>
              <w:t>）</w:t>
            </w:r>
          </w:p>
        </w:tc>
        <w:tc>
          <w:tcPr>
            <w:tcW w:w="3240" w:type="dxa"/>
            <w:gridSpan w:val="5"/>
            <w:tcBorders>
              <w:bottom w:val="single" w:color="auto" w:sz="4" w:space="0"/>
              <w:right w:val="single" w:color="000000" w:sz="4" w:space="0"/>
            </w:tcBorders>
            <w:vAlign w:val="center"/>
          </w:tcPr>
          <w:p w14:paraId="7808C5AA">
            <w:pPr>
              <w:adjustRightInd w:val="0"/>
              <w:snapToGrid w:val="0"/>
              <w:rPr>
                <w:rFonts w:hint="eastAsia" w:ascii="仿宋" w:hAnsi="仿宋" w:eastAsia="仿宋" w:cs="仿宋"/>
                <w:bCs/>
                <w:color w:val="000000"/>
                <w:sz w:val="24"/>
                <w:szCs w:val="24"/>
              </w:rPr>
            </w:pPr>
            <w:r>
              <w:rPr>
                <w:rFonts w:hint="default" w:ascii="仿宋" w:hAnsi="仿宋" w:eastAsia="仿宋" w:cs="仿宋"/>
                <w:bCs/>
                <w:color w:val="000000"/>
                <w:sz w:val="24"/>
                <w:szCs w:val="24"/>
                <w:lang w:val="en-US"/>
              </w:rPr>
              <w:t>能够较为扎实掌握管乐基础知识、基本技术，熟练掌握正确，规范乐器演奏与学习，较为完整的表达作品的风格和情感</w:t>
            </w:r>
          </w:p>
          <w:p w14:paraId="7B3CE9A3">
            <w:pPr>
              <w:adjustRightInd w:val="0"/>
              <w:snapToGrid w:val="0"/>
              <w:rPr>
                <w:rFonts w:hint="eastAsia" w:ascii="仿宋" w:hAnsi="仿宋" w:eastAsia="仿宋" w:cs="仿宋"/>
                <w:bCs/>
                <w:color w:val="000000"/>
                <w:sz w:val="24"/>
                <w:szCs w:val="24"/>
              </w:rPr>
            </w:pPr>
          </w:p>
        </w:tc>
        <w:tc>
          <w:tcPr>
            <w:tcW w:w="1004" w:type="dxa"/>
            <w:gridSpan w:val="2"/>
            <w:tcBorders>
              <w:left w:val="single" w:color="000000" w:sz="4" w:space="0"/>
              <w:bottom w:val="single" w:color="auto" w:sz="4" w:space="0"/>
              <w:right w:val="single" w:color="auto" w:sz="4" w:space="0"/>
            </w:tcBorders>
            <w:vAlign w:val="center"/>
          </w:tcPr>
          <w:p w14:paraId="57A8A65B">
            <w:pPr>
              <w:adjustRightInd w:val="0"/>
              <w:snapToGrid w:val="0"/>
              <w:jc w:val="center"/>
              <w:rPr>
                <w:rFonts w:hint="default" w:ascii="仿宋" w:hAnsi="仿宋" w:eastAsia="仿宋" w:cs="仿宋"/>
                <w:color w:val="000000"/>
                <w:kern w:val="0"/>
                <w:sz w:val="24"/>
                <w:szCs w:val="24"/>
                <w:lang w:val="en-US" w:eastAsia="zh-CN"/>
              </w:rPr>
            </w:pPr>
            <w:r>
              <w:rPr>
                <w:rFonts w:hint="default" w:ascii="仿宋" w:hAnsi="仿宋" w:eastAsia="仿宋" w:cs="仿宋"/>
                <w:color w:val="000000"/>
                <w:kern w:val="0"/>
                <w:sz w:val="24"/>
                <w:szCs w:val="24"/>
                <w:lang w:eastAsia="zh-CN"/>
              </w:rPr>
              <w:t>8</w:t>
            </w:r>
          </w:p>
        </w:tc>
        <w:tc>
          <w:tcPr>
            <w:tcW w:w="1004" w:type="dxa"/>
            <w:gridSpan w:val="4"/>
            <w:tcBorders>
              <w:left w:val="single" w:color="000000" w:sz="4" w:space="0"/>
              <w:bottom w:val="single" w:color="auto" w:sz="4" w:space="0"/>
              <w:right w:val="single" w:color="auto" w:sz="4" w:space="0"/>
            </w:tcBorders>
            <w:vAlign w:val="center"/>
          </w:tcPr>
          <w:p w14:paraId="1A3D093F">
            <w:pPr>
              <w:adjustRightInd w:val="0"/>
              <w:snapToGrid w:val="0"/>
              <w:jc w:val="center"/>
              <w:rPr>
                <w:rFonts w:hint="eastAsia" w:ascii="仿宋" w:hAnsi="仿宋" w:eastAsia="仿宋" w:cs="仿宋"/>
                <w:color w:val="000000"/>
                <w:kern w:val="0"/>
                <w:sz w:val="24"/>
                <w:szCs w:val="24"/>
                <w:lang w:val="en-US" w:eastAsia="zh-CN"/>
              </w:rPr>
            </w:pPr>
            <w:r>
              <w:rPr>
                <w:rFonts w:hint="default" w:ascii="仿宋" w:hAnsi="仿宋" w:eastAsia="仿宋" w:cs="仿宋"/>
                <w:color w:val="000000"/>
                <w:kern w:val="0"/>
                <w:sz w:val="24"/>
                <w:szCs w:val="24"/>
                <w:lang w:eastAsia="zh-CN"/>
              </w:rPr>
              <w:t>16</w:t>
            </w:r>
          </w:p>
        </w:tc>
        <w:tc>
          <w:tcPr>
            <w:tcW w:w="1005" w:type="dxa"/>
            <w:gridSpan w:val="3"/>
            <w:tcBorders>
              <w:left w:val="single" w:color="000000" w:sz="4" w:space="0"/>
              <w:bottom w:val="single" w:color="auto" w:sz="4" w:space="0"/>
              <w:right w:val="single" w:color="auto" w:sz="4" w:space="0"/>
            </w:tcBorders>
            <w:vAlign w:val="center"/>
          </w:tcPr>
          <w:p w14:paraId="63D7666D">
            <w:pPr>
              <w:adjustRightInd w:val="0"/>
              <w:snapToGrid w:val="0"/>
              <w:jc w:val="center"/>
              <w:rPr>
                <w:rFonts w:hint="default" w:ascii="仿宋" w:hAnsi="仿宋" w:eastAsia="仿宋" w:cs="仿宋"/>
                <w:color w:val="000000"/>
                <w:kern w:val="0"/>
                <w:sz w:val="24"/>
                <w:szCs w:val="24"/>
                <w:lang w:eastAsia="zh-CN"/>
              </w:rPr>
            </w:pPr>
            <w:r>
              <w:rPr>
                <w:rFonts w:hint="default" w:ascii="仿宋" w:hAnsi="仿宋" w:eastAsia="仿宋" w:cs="仿宋"/>
                <w:color w:val="000000"/>
                <w:kern w:val="0"/>
                <w:sz w:val="24"/>
                <w:szCs w:val="24"/>
                <w:lang w:eastAsia="zh-CN"/>
              </w:rPr>
              <w:t>16</w:t>
            </w:r>
          </w:p>
        </w:tc>
        <w:tc>
          <w:tcPr>
            <w:tcW w:w="586" w:type="dxa"/>
            <w:tcBorders>
              <w:left w:val="single" w:color="auto" w:sz="4" w:space="0"/>
              <w:bottom w:val="single" w:color="auto" w:sz="4" w:space="0"/>
            </w:tcBorders>
            <w:vAlign w:val="center"/>
          </w:tcPr>
          <w:p w14:paraId="6B5153BD">
            <w:pPr>
              <w:tabs>
                <w:tab w:val="left" w:pos="720"/>
              </w:tabs>
              <w:adjustRightInd w:val="0"/>
              <w:snapToGrid w:val="0"/>
              <w:jc w:val="center"/>
              <w:rPr>
                <w:rFonts w:hint="default" w:ascii="仿宋" w:hAnsi="仿宋" w:eastAsia="仿宋" w:cs="仿宋"/>
                <w:color w:val="000000"/>
                <w:kern w:val="0"/>
                <w:sz w:val="24"/>
                <w:szCs w:val="24"/>
                <w:lang w:eastAsia="zh-Hans"/>
              </w:rPr>
            </w:pPr>
            <w:r>
              <w:rPr>
                <w:rFonts w:hint="default" w:ascii="仿宋" w:hAnsi="仿宋" w:eastAsia="仿宋" w:cs="仿宋"/>
                <w:color w:val="000000"/>
                <w:kern w:val="0"/>
                <w:sz w:val="24"/>
                <w:szCs w:val="24"/>
                <w:lang w:eastAsia="zh-CN"/>
              </w:rPr>
              <w:t>0</w:t>
            </w:r>
            <w:r>
              <w:rPr>
                <w:rFonts w:hint="eastAsia" w:ascii="仿宋" w:hAnsi="仿宋" w:eastAsia="仿宋" w:cs="仿宋"/>
                <w:color w:val="000000"/>
                <w:kern w:val="0"/>
                <w:sz w:val="24"/>
                <w:szCs w:val="24"/>
                <w:lang w:val="en-US" w:eastAsia="zh-Hans"/>
              </w:rPr>
              <w:t>.</w:t>
            </w:r>
            <w:r>
              <w:rPr>
                <w:rFonts w:hint="default" w:ascii="仿宋" w:hAnsi="仿宋" w:eastAsia="仿宋" w:cs="仿宋"/>
                <w:color w:val="000000"/>
                <w:kern w:val="0"/>
                <w:sz w:val="24"/>
                <w:szCs w:val="24"/>
                <w:lang w:eastAsia="zh-Hans"/>
              </w:rPr>
              <w:t>7</w:t>
            </w:r>
          </w:p>
        </w:tc>
      </w:tr>
      <w:tr w14:paraId="66177355">
        <w:trPr>
          <w:jc w:val="center"/>
        </w:trPr>
        <w:tc>
          <w:tcPr>
            <w:tcW w:w="1376" w:type="dxa"/>
            <w:vMerge w:val="continue"/>
            <w:vAlign w:val="center"/>
          </w:tcPr>
          <w:p w14:paraId="6238F038">
            <w:pPr>
              <w:adjustRightInd w:val="0"/>
              <w:snapToGrid w:val="0"/>
              <w:spacing w:line="240" w:lineRule="atLeast"/>
              <w:jc w:val="center"/>
              <w:rPr>
                <w:rFonts w:hint="eastAsia" w:ascii="仿宋" w:hAnsi="仿宋" w:eastAsia="仿宋" w:cs="仿宋"/>
                <w:color w:val="000000"/>
                <w:sz w:val="24"/>
                <w:szCs w:val="24"/>
              </w:rPr>
            </w:pPr>
          </w:p>
        </w:tc>
        <w:tc>
          <w:tcPr>
            <w:tcW w:w="1025" w:type="dxa"/>
            <w:tcBorders>
              <w:bottom w:val="single" w:color="auto" w:sz="4" w:space="0"/>
            </w:tcBorders>
            <w:vAlign w:val="center"/>
          </w:tcPr>
          <w:p w14:paraId="10673D2B">
            <w:pPr>
              <w:adjustRightInd w:val="0"/>
              <w:snapToGrid w:val="0"/>
              <w:rPr>
                <w:rFonts w:hint="eastAsia" w:ascii="仿宋" w:hAnsi="仿宋" w:eastAsia="仿宋" w:cs="仿宋"/>
                <w:color w:val="000000"/>
                <w:sz w:val="24"/>
                <w:szCs w:val="24"/>
              </w:rPr>
            </w:pPr>
            <w:r>
              <w:rPr>
                <w:rFonts w:hint="default" w:ascii="仿宋" w:hAnsi="仿宋" w:eastAsia="仿宋" w:cs="仿宋"/>
                <w:color w:val="000000"/>
                <w:sz w:val="24"/>
                <w:szCs w:val="24"/>
                <w:lang w:val="en-US"/>
              </w:rPr>
              <w:t>课程目标2（30%）</w:t>
            </w:r>
          </w:p>
        </w:tc>
        <w:tc>
          <w:tcPr>
            <w:tcW w:w="3240" w:type="dxa"/>
            <w:gridSpan w:val="5"/>
            <w:tcBorders>
              <w:bottom w:val="single" w:color="auto" w:sz="4" w:space="0"/>
            </w:tcBorders>
            <w:vAlign w:val="center"/>
          </w:tcPr>
          <w:p w14:paraId="6ACC09D6">
            <w:pPr>
              <w:adjustRightInd w:val="0"/>
              <w:snapToGrid w:val="0"/>
              <w:rPr>
                <w:rFonts w:hint="eastAsia" w:ascii="仿宋" w:hAnsi="仿宋" w:eastAsia="仿宋" w:cs="仿宋"/>
                <w:bCs/>
                <w:color w:val="000000"/>
                <w:sz w:val="24"/>
                <w:szCs w:val="24"/>
              </w:rPr>
            </w:pPr>
          </w:p>
          <w:p w14:paraId="40116756">
            <w:pPr>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lang w:val="en-US" w:eastAsia="zh-TW"/>
              </w:rPr>
              <w:t>能够扎实掌握管乐课堂教学方法与教学规律，具备协助集体、编排管乐活动较强能力</w:t>
            </w:r>
          </w:p>
        </w:tc>
        <w:tc>
          <w:tcPr>
            <w:tcW w:w="1004" w:type="dxa"/>
            <w:gridSpan w:val="2"/>
            <w:tcBorders>
              <w:bottom w:val="single" w:color="auto" w:sz="4" w:space="0"/>
            </w:tcBorders>
            <w:vAlign w:val="center"/>
          </w:tcPr>
          <w:p w14:paraId="73EEFBF8">
            <w:pPr>
              <w:adjustRightInd w:val="0"/>
              <w:snapToGrid w:val="0"/>
              <w:jc w:val="center"/>
              <w:rPr>
                <w:rFonts w:hint="eastAsia" w:ascii="仿宋" w:hAnsi="仿宋" w:eastAsia="仿宋" w:cs="仿宋"/>
                <w:color w:val="000000"/>
                <w:sz w:val="24"/>
                <w:szCs w:val="24"/>
              </w:rPr>
            </w:pPr>
            <w:r>
              <w:rPr>
                <w:rFonts w:hint="default" w:ascii="仿宋" w:hAnsi="仿宋" w:eastAsia="仿宋" w:cs="仿宋"/>
                <w:color w:val="000000"/>
                <w:sz w:val="24"/>
                <w:szCs w:val="24"/>
              </w:rPr>
              <w:t>6</w:t>
            </w:r>
          </w:p>
        </w:tc>
        <w:tc>
          <w:tcPr>
            <w:tcW w:w="1004" w:type="dxa"/>
            <w:gridSpan w:val="4"/>
            <w:tcBorders>
              <w:bottom w:val="single" w:color="auto" w:sz="4" w:space="0"/>
            </w:tcBorders>
            <w:vAlign w:val="center"/>
          </w:tcPr>
          <w:p w14:paraId="183D97E0">
            <w:pPr>
              <w:adjustRightInd w:val="0"/>
              <w:snapToGrid w:val="0"/>
              <w:jc w:val="center"/>
              <w:rPr>
                <w:rFonts w:hint="eastAsia" w:ascii="仿宋" w:hAnsi="仿宋" w:eastAsia="仿宋" w:cs="仿宋"/>
                <w:color w:val="000000"/>
                <w:sz w:val="24"/>
                <w:szCs w:val="24"/>
              </w:rPr>
            </w:pPr>
            <w:r>
              <w:rPr>
                <w:rFonts w:hint="default" w:ascii="仿宋" w:hAnsi="仿宋" w:eastAsia="仿宋" w:cs="仿宋"/>
                <w:color w:val="000000"/>
                <w:sz w:val="24"/>
                <w:szCs w:val="24"/>
                <w:lang w:val="en-US"/>
              </w:rPr>
              <w:t>1</w:t>
            </w:r>
            <w:r>
              <w:rPr>
                <w:rFonts w:hint="default" w:ascii="仿宋" w:hAnsi="仿宋" w:eastAsia="仿宋" w:cs="仿宋"/>
                <w:color w:val="000000"/>
                <w:sz w:val="24"/>
                <w:szCs w:val="24"/>
              </w:rPr>
              <w:t>2</w:t>
            </w:r>
          </w:p>
        </w:tc>
        <w:tc>
          <w:tcPr>
            <w:tcW w:w="1005" w:type="dxa"/>
            <w:gridSpan w:val="3"/>
            <w:tcBorders>
              <w:bottom w:val="single" w:color="auto" w:sz="4" w:space="0"/>
            </w:tcBorders>
            <w:vAlign w:val="center"/>
          </w:tcPr>
          <w:p w14:paraId="3E06C47C">
            <w:pPr>
              <w:adjustRightInd w:val="0"/>
              <w:snapToGrid w:val="0"/>
              <w:jc w:val="center"/>
              <w:rPr>
                <w:rFonts w:hint="default" w:ascii="仿宋" w:hAnsi="仿宋" w:eastAsia="仿宋" w:cs="仿宋"/>
                <w:color w:val="000000"/>
                <w:sz w:val="24"/>
                <w:szCs w:val="24"/>
              </w:rPr>
            </w:pPr>
            <w:r>
              <w:rPr>
                <w:rFonts w:hint="default" w:ascii="仿宋" w:hAnsi="仿宋" w:eastAsia="仿宋" w:cs="仿宋"/>
                <w:color w:val="000000"/>
                <w:sz w:val="24"/>
                <w:szCs w:val="24"/>
                <w:lang w:val="en-US"/>
              </w:rPr>
              <w:t>1</w:t>
            </w:r>
            <w:r>
              <w:rPr>
                <w:rFonts w:hint="default" w:ascii="仿宋" w:hAnsi="仿宋" w:eastAsia="仿宋" w:cs="仿宋"/>
                <w:color w:val="000000"/>
                <w:sz w:val="24"/>
                <w:szCs w:val="24"/>
              </w:rPr>
              <w:t>2</w:t>
            </w:r>
          </w:p>
        </w:tc>
        <w:tc>
          <w:tcPr>
            <w:tcW w:w="586" w:type="dxa"/>
            <w:tcBorders>
              <w:bottom w:val="single" w:color="auto" w:sz="4" w:space="0"/>
            </w:tcBorders>
            <w:vAlign w:val="center"/>
          </w:tcPr>
          <w:p w14:paraId="6011D12D">
            <w:pPr>
              <w:adjustRightInd w:val="0"/>
              <w:snapToGrid w:val="0"/>
              <w:jc w:val="center"/>
              <w:rPr>
                <w:rFonts w:hint="default" w:ascii="仿宋" w:hAnsi="仿宋" w:eastAsia="仿宋" w:cs="仿宋"/>
                <w:color w:val="000000"/>
                <w:sz w:val="24"/>
                <w:szCs w:val="24"/>
                <w:lang w:eastAsia="zh-Hans"/>
              </w:rPr>
            </w:pPr>
            <w:r>
              <w:rPr>
                <w:rFonts w:hint="default" w:ascii="仿宋" w:hAnsi="仿宋" w:eastAsia="仿宋" w:cs="仿宋"/>
                <w:color w:val="000000"/>
                <w:sz w:val="24"/>
                <w:szCs w:val="24"/>
                <w:lang w:eastAsia="zh-Hans"/>
              </w:rPr>
              <w:t>0</w:t>
            </w:r>
            <w:r>
              <w:rPr>
                <w:rFonts w:hint="eastAsia" w:ascii="仿宋" w:hAnsi="仿宋" w:eastAsia="仿宋" w:cs="仿宋"/>
                <w:color w:val="000000"/>
                <w:sz w:val="24"/>
                <w:szCs w:val="24"/>
                <w:lang w:val="en-US" w:eastAsia="zh-Hans"/>
              </w:rPr>
              <w:t>.</w:t>
            </w:r>
            <w:r>
              <w:rPr>
                <w:rFonts w:hint="default" w:ascii="仿宋" w:hAnsi="仿宋" w:eastAsia="仿宋" w:cs="仿宋"/>
                <w:color w:val="000000"/>
                <w:sz w:val="24"/>
                <w:szCs w:val="24"/>
                <w:lang w:eastAsia="zh-Hans"/>
              </w:rPr>
              <w:t>7</w:t>
            </w:r>
          </w:p>
        </w:tc>
      </w:tr>
      <w:tr w14:paraId="6D588EB4">
        <w:trPr>
          <w:jc w:val="center"/>
        </w:trPr>
        <w:tc>
          <w:tcPr>
            <w:tcW w:w="1376" w:type="dxa"/>
            <w:vMerge w:val="continue"/>
            <w:vAlign w:val="center"/>
          </w:tcPr>
          <w:p w14:paraId="2A2EF071">
            <w:pPr>
              <w:adjustRightInd w:val="0"/>
              <w:snapToGrid w:val="0"/>
              <w:spacing w:line="240" w:lineRule="atLeast"/>
              <w:jc w:val="center"/>
              <w:rPr>
                <w:rFonts w:hint="eastAsia" w:ascii="仿宋" w:hAnsi="仿宋" w:eastAsia="仿宋" w:cs="仿宋"/>
                <w:color w:val="000000"/>
                <w:sz w:val="24"/>
                <w:szCs w:val="24"/>
              </w:rPr>
            </w:pPr>
          </w:p>
        </w:tc>
        <w:tc>
          <w:tcPr>
            <w:tcW w:w="1025" w:type="dxa"/>
            <w:tcBorders>
              <w:bottom w:val="single" w:color="auto" w:sz="4" w:space="0"/>
            </w:tcBorders>
            <w:vAlign w:val="center"/>
          </w:tcPr>
          <w:p w14:paraId="2C860976">
            <w:pPr>
              <w:adjustRightInd w:val="0"/>
              <w:snapToGrid w:val="0"/>
              <w:rPr>
                <w:rFonts w:hint="eastAsia" w:ascii="仿宋" w:hAnsi="仿宋" w:eastAsia="仿宋" w:cs="仿宋"/>
                <w:color w:val="000000"/>
                <w:sz w:val="24"/>
                <w:szCs w:val="24"/>
              </w:rPr>
            </w:pPr>
            <w:r>
              <w:rPr>
                <w:rFonts w:hint="default" w:ascii="仿宋" w:hAnsi="仿宋" w:eastAsia="仿宋" w:cs="仿宋"/>
                <w:color w:val="000000"/>
                <w:sz w:val="24"/>
                <w:szCs w:val="24"/>
                <w:lang w:val="en-US"/>
              </w:rPr>
              <w:t>课程目标3（30%）</w:t>
            </w:r>
          </w:p>
        </w:tc>
        <w:tc>
          <w:tcPr>
            <w:tcW w:w="3240" w:type="dxa"/>
            <w:gridSpan w:val="5"/>
            <w:tcBorders>
              <w:bottom w:val="single" w:color="auto" w:sz="4" w:space="0"/>
            </w:tcBorders>
            <w:vAlign w:val="center"/>
          </w:tcPr>
          <w:p w14:paraId="163B2846">
            <w:pPr>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lang w:val="en-US" w:eastAsia="zh-TW"/>
              </w:rPr>
              <w:t>具备运用各乐器在集体中来表达情感和理解音乐的能力，充分领会管乐教学的意义，在管乐的基础理论与实践中具有较强理解能力</w:t>
            </w:r>
          </w:p>
        </w:tc>
        <w:tc>
          <w:tcPr>
            <w:tcW w:w="1004" w:type="dxa"/>
            <w:gridSpan w:val="2"/>
            <w:tcBorders>
              <w:bottom w:val="single" w:color="auto" w:sz="4" w:space="0"/>
            </w:tcBorders>
            <w:vAlign w:val="center"/>
          </w:tcPr>
          <w:p w14:paraId="5116E252">
            <w:pPr>
              <w:adjustRightInd w:val="0"/>
              <w:snapToGrid w:val="0"/>
              <w:jc w:val="center"/>
              <w:rPr>
                <w:rFonts w:hint="eastAsia" w:ascii="仿宋" w:hAnsi="仿宋" w:eastAsia="仿宋" w:cs="仿宋"/>
                <w:color w:val="000000"/>
                <w:sz w:val="24"/>
                <w:szCs w:val="24"/>
              </w:rPr>
            </w:pPr>
            <w:r>
              <w:rPr>
                <w:rFonts w:hint="default" w:ascii="仿宋" w:hAnsi="仿宋" w:eastAsia="仿宋" w:cs="仿宋"/>
                <w:color w:val="000000"/>
                <w:sz w:val="24"/>
                <w:szCs w:val="24"/>
              </w:rPr>
              <w:t>6</w:t>
            </w:r>
          </w:p>
        </w:tc>
        <w:tc>
          <w:tcPr>
            <w:tcW w:w="1004" w:type="dxa"/>
            <w:gridSpan w:val="4"/>
            <w:tcBorders>
              <w:bottom w:val="single" w:color="auto" w:sz="4" w:space="0"/>
            </w:tcBorders>
            <w:vAlign w:val="center"/>
          </w:tcPr>
          <w:p w14:paraId="6C37D98B">
            <w:pPr>
              <w:adjustRightInd w:val="0"/>
              <w:snapToGrid w:val="0"/>
              <w:jc w:val="center"/>
              <w:rPr>
                <w:rFonts w:hint="eastAsia" w:ascii="仿宋" w:hAnsi="仿宋" w:eastAsia="仿宋" w:cs="仿宋"/>
                <w:color w:val="000000"/>
                <w:sz w:val="24"/>
                <w:szCs w:val="24"/>
              </w:rPr>
            </w:pPr>
            <w:r>
              <w:rPr>
                <w:rFonts w:hint="default" w:ascii="仿宋" w:hAnsi="仿宋" w:eastAsia="仿宋" w:cs="仿宋"/>
                <w:color w:val="000000"/>
                <w:sz w:val="24"/>
                <w:szCs w:val="24"/>
              </w:rPr>
              <w:t>12</w:t>
            </w:r>
          </w:p>
        </w:tc>
        <w:tc>
          <w:tcPr>
            <w:tcW w:w="1005" w:type="dxa"/>
            <w:gridSpan w:val="3"/>
            <w:tcBorders>
              <w:bottom w:val="single" w:color="auto" w:sz="4" w:space="0"/>
            </w:tcBorders>
            <w:vAlign w:val="center"/>
          </w:tcPr>
          <w:p w14:paraId="02B146AF">
            <w:pPr>
              <w:adjustRightInd w:val="0"/>
              <w:snapToGrid w:val="0"/>
              <w:jc w:val="center"/>
              <w:rPr>
                <w:rFonts w:hint="default" w:ascii="仿宋" w:hAnsi="仿宋" w:eastAsia="仿宋" w:cs="仿宋"/>
                <w:color w:val="000000"/>
                <w:sz w:val="24"/>
                <w:szCs w:val="24"/>
              </w:rPr>
            </w:pPr>
            <w:r>
              <w:rPr>
                <w:rFonts w:hint="default" w:ascii="仿宋" w:hAnsi="仿宋" w:eastAsia="仿宋" w:cs="仿宋"/>
                <w:color w:val="000000"/>
                <w:sz w:val="24"/>
                <w:szCs w:val="24"/>
                <w:lang w:val="en-US"/>
              </w:rPr>
              <w:t>1</w:t>
            </w:r>
            <w:r>
              <w:rPr>
                <w:rFonts w:hint="default" w:ascii="仿宋" w:hAnsi="仿宋" w:eastAsia="仿宋" w:cs="仿宋"/>
                <w:color w:val="000000"/>
                <w:sz w:val="24"/>
                <w:szCs w:val="24"/>
              </w:rPr>
              <w:t>2</w:t>
            </w:r>
          </w:p>
        </w:tc>
        <w:tc>
          <w:tcPr>
            <w:tcW w:w="586" w:type="dxa"/>
            <w:tcBorders>
              <w:bottom w:val="single" w:color="auto" w:sz="4" w:space="0"/>
            </w:tcBorders>
            <w:vAlign w:val="center"/>
          </w:tcPr>
          <w:p w14:paraId="793C60AE">
            <w:pPr>
              <w:adjustRightInd w:val="0"/>
              <w:snapToGrid w:val="0"/>
              <w:jc w:val="center"/>
              <w:rPr>
                <w:rFonts w:hint="default" w:ascii="仿宋" w:hAnsi="仿宋" w:eastAsia="仿宋" w:cs="仿宋"/>
                <w:color w:val="000000"/>
                <w:sz w:val="24"/>
                <w:szCs w:val="24"/>
                <w:lang w:eastAsia="zh-Hans"/>
              </w:rPr>
            </w:pPr>
            <w:r>
              <w:rPr>
                <w:rFonts w:hint="default" w:ascii="仿宋" w:hAnsi="仿宋" w:eastAsia="仿宋" w:cs="仿宋"/>
                <w:color w:val="000000"/>
                <w:sz w:val="24"/>
                <w:szCs w:val="24"/>
              </w:rPr>
              <w:t>0</w:t>
            </w:r>
            <w:r>
              <w:rPr>
                <w:rFonts w:hint="eastAsia" w:ascii="仿宋" w:hAnsi="仿宋" w:eastAsia="仿宋" w:cs="仿宋"/>
                <w:color w:val="000000"/>
                <w:sz w:val="24"/>
                <w:szCs w:val="24"/>
                <w:lang w:val="en-US" w:eastAsia="zh-Hans"/>
              </w:rPr>
              <w:t>.</w:t>
            </w:r>
            <w:r>
              <w:rPr>
                <w:rFonts w:hint="default" w:ascii="仿宋" w:hAnsi="仿宋" w:eastAsia="仿宋" w:cs="仿宋"/>
                <w:color w:val="000000"/>
                <w:sz w:val="24"/>
                <w:szCs w:val="24"/>
                <w:lang w:eastAsia="zh-Hans"/>
              </w:rPr>
              <w:t>7</w:t>
            </w:r>
          </w:p>
        </w:tc>
      </w:tr>
      <w:tr w14:paraId="51FB816D">
        <w:trPr>
          <w:trHeight w:val="629" w:hRule="atLeast"/>
          <w:jc w:val="center"/>
        </w:trPr>
        <w:tc>
          <w:tcPr>
            <w:tcW w:w="1376" w:type="dxa"/>
            <w:vMerge w:val="continue"/>
            <w:vAlign w:val="center"/>
          </w:tcPr>
          <w:p w14:paraId="1EA89705">
            <w:pPr>
              <w:adjustRightInd w:val="0"/>
              <w:snapToGrid w:val="0"/>
              <w:spacing w:line="240" w:lineRule="atLeast"/>
              <w:jc w:val="center"/>
              <w:rPr>
                <w:rFonts w:hint="eastAsia" w:ascii="仿宋" w:hAnsi="仿宋" w:eastAsia="仿宋" w:cs="仿宋"/>
                <w:color w:val="000000"/>
                <w:sz w:val="24"/>
                <w:szCs w:val="24"/>
              </w:rPr>
            </w:pPr>
          </w:p>
        </w:tc>
        <w:tc>
          <w:tcPr>
            <w:tcW w:w="4265" w:type="dxa"/>
            <w:gridSpan w:val="6"/>
            <w:tcBorders>
              <w:bottom w:val="single" w:color="auto" w:sz="4" w:space="0"/>
            </w:tcBorders>
            <w:vAlign w:val="center"/>
          </w:tcPr>
          <w:p w14:paraId="25041092">
            <w:pPr>
              <w:adjustRightInd w:val="0"/>
              <w:snapToGrid w:val="0"/>
              <w:jc w:val="center"/>
              <w:rPr>
                <w:rFonts w:hint="eastAsia" w:ascii="仿宋" w:hAnsi="仿宋" w:eastAsia="仿宋" w:cs="仿宋"/>
                <w:color w:val="000000"/>
                <w:sz w:val="24"/>
                <w:szCs w:val="24"/>
              </w:rPr>
            </w:pPr>
            <w:r>
              <w:rPr>
                <w:rFonts w:hint="default" w:ascii="仿宋" w:hAnsi="仿宋" w:eastAsia="仿宋" w:cs="仿宋"/>
                <w:color w:val="000000"/>
                <w:sz w:val="24"/>
                <w:szCs w:val="24"/>
                <w:lang w:val="en-US"/>
              </w:rPr>
              <w:t>总分</w:t>
            </w:r>
          </w:p>
        </w:tc>
        <w:tc>
          <w:tcPr>
            <w:tcW w:w="1004" w:type="dxa"/>
            <w:gridSpan w:val="2"/>
            <w:tcBorders>
              <w:bottom w:val="single" w:color="auto" w:sz="4" w:space="0"/>
            </w:tcBorders>
            <w:vAlign w:val="center"/>
          </w:tcPr>
          <w:p w14:paraId="7AFEC9D7">
            <w:pPr>
              <w:adjustRightInd w:val="0"/>
              <w:snapToGrid w:val="0"/>
              <w:jc w:val="center"/>
              <w:rPr>
                <w:rFonts w:hint="eastAsia" w:ascii="仿宋" w:hAnsi="仿宋" w:eastAsia="仿宋" w:cs="仿宋"/>
                <w:color w:val="000000"/>
                <w:sz w:val="24"/>
                <w:szCs w:val="24"/>
              </w:rPr>
            </w:pPr>
            <w:r>
              <w:rPr>
                <w:rFonts w:hint="default" w:ascii="仿宋" w:hAnsi="仿宋" w:eastAsia="仿宋" w:cs="仿宋"/>
                <w:color w:val="000000"/>
                <w:sz w:val="24"/>
                <w:szCs w:val="24"/>
                <w:lang w:val="en-US"/>
              </w:rPr>
              <w:t>20</w:t>
            </w:r>
          </w:p>
        </w:tc>
        <w:tc>
          <w:tcPr>
            <w:tcW w:w="1004" w:type="dxa"/>
            <w:gridSpan w:val="4"/>
            <w:tcBorders>
              <w:bottom w:val="single" w:color="auto" w:sz="4" w:space="0"/>
            </w:tcBorders>
            <w:vAlign w:val="center"/>
          </w:tcPr>
          <w:p w14:paraId="74B900C3">
            <w:pPr>
              <w:adjustRightInd w:val="0"/>
              <w:snapToGrid w:val="0"/>
              <w:jc w:val="center"/>
              <w:rPr>
                <w:rFonts w:hint="eastAsia" w:ascii="仿宋" w:hAnsi="仿宋" w:eastAsia="仿宋" w:cs="仿宋"/>
                <w:color w:val="000000"/>
                <w:sz w:val="24"/>
                <w:szCs w:val="24"/>
              </w:rPr>
            </w:pPr>
            <w:r>
              <w:rPr>
                <w:rFonts w:hint="default" w:ascii="仿宋" w:hAnsi="仿宋" w:eastAsia="仿宋" w:cs="仿宋"/>
                <w:color w:val="000000"/>
                <w:sz w:val="24"/>
                <w:szCs w:val="24"/>
                <w:lang w:val="en-US"/>
              </w:rPr>
              <w:t>40</w:t>
            </w:r>
          </w:p>
        </w:tc>
        <w:tc>
          <w:tcPr>
            <w:tcW w:w="1005" w:type="dxa"/>
            <w:gridSpan w:val="3"/>
            <w:tcBorders>
              <w:bottom w:val="single" w:color="auto" w:sz="4" w:space="0"/>
            </w:tcBorders>
            <w:vAlign w:val="center"/>
          </w:tcPr>
          <w:p w14:paraId="0AAE5900">
            <w:pPr>
              <w:adjustRightInd w:val="0"/>
              <w:snapToGrid w:val="0"/>
              <w:jc w:val="center"/>
              <w:rPr>
                <w:rFonts w:hint="eastAsia" w:ascii="仿宋" w:hAnsi="仿宋" w:eastAsia="仿宋" w:cs="仿宋"/>
                <w:color w:val="000000"/>
                <w:sz w:val="24"/>
                <w:szCs w:val="24"/>
              </w:rPr>
            </w:pPr>
            <w:r>
              <w:rPr>
                <w:rFonts w:hint="default" w:ascii="仿宋" w:hAnsi="仿宋" w:eastAsia="仿宋" w:cs="仿宋"/>
                <w:color w:val="000000"/>
                <w:sz w:val="24"/>
                <w:szCs w:val="24"/>
                <w:lang w:val="en-US"/>
              </w:rPr>
              <w:t>40</w:t>
            </w:r>
          </w:p>
        </w:tc>
        <w:tc>
          <w:tcPr>
            <w:tcW w:w="586" w:type="dxa"/>
            <w:tcBorders>
              <w:bottom w:val="single" w:color="auto" w:sz="4" w:space="0"/>
            </w:tcBorders>
            <w:vAlign w:val="center"/>
          </w:tcPr>
          <w:p w14:paraId="3D655E0F">
            <w:pPr>
              <w:adjustRightInd w:val="0"/>
              <w:snapToGrid w:val="0"/>
              <w:jc w:val="center"/>
              <w:rPr>
                <w:rFonts w:hint="default" w:ascii="仿宋" w:hAnsi="仿宋" w:eastAsia="仿宋" w:cs="仿宋"/>
                <w:color w:val="000000"/>
                <w:sz w:val="24"/>
                <w:szCs w:val="24"/>
                <w:lang w:eastAsia="zh-Hans"/>
              </w:rPr>
            </w:pPr>
            <w:r>
              <w:rPr>
                <w:rFonts w:hint="default" w:ascii="仿宋" w:hAnsi="仿宋" w:eastAsia="仿宋" w:cs="仿宋"/>
                <w:color w:val="000000"/>
                <w:sz w:val="24"/>
                <w:szCs w:val="24"/>
              </w:rPr>
              <w:t>0</w:t>
            </w:r>
            <w:r>
              <w:rPr>
                <w:rFonts w:hint="eastAsia" w:ascii="仿宋" w:hAnsi="仿宋" w:eastAsia="仿宋" w:cs="仿宋"/>
                <w:color w:val="000000"/>
                <w:sz w:val="24"/>
                <w:szCs w:val="24"/>
                <w:lang w:val="en-US" w:eastAsia="zh-Hans"/>
              </w:rPr>
              <w:t>.</w:t>
            </w:r>
            <w:r>
              <w:rPr>
                <w:rFonts w:hint="default" w:ascii="仿宋" w:hAnsi="仿宋" w:eastAsia="仿宋" w:cs="仿宋"/>
                <w:color w:val="000000"/>
                <w:sz w:val="24"/>
                <w:szCs w:val="24"/>
                <w:lang w:eastAsia="zh-Hans"/>
              </w:rPr>
              <w:t>7</w:t>
            </w:r>
          </w:p>
        </w:tc>
      </w:tr>
      <w:tr w14:paraId="6AF4B7A4">
        <w:trPr>
          <w:trHeight w:val="2705" w:hRule="atLeast"/>
          <w:jc w:val="center"/>
        </w:trPr>
        <w:tc>
          <w:tcPr>
            <w:tcW w:w="1376" w:type="dxa"/>
            <w:vAlign w:val="center"/>
          </w:tcPr>
          <w:p w14:paraId="338AE6D4">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L</w:t>
            </w:r>
          </w:p>
          <w:p w14:paraId="254EFF64">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学习建议</w:t>
            </w:r>
          </w:p>
        </w:tc>
        <w:tc>
          <w:tcPr>
            <w:tcW w:w="7864" w:type="dxa"/>
            <w:gridSpan w:val="16"/>
            <w:tcBorders>
              <w:bottom w:val="single" w:color="auto" w:sz="4" w:space="0"/>
            </w:tcBorders>
            <w:vAlign w:val="center"/>
          </w:tcPr>
          <w:p w14:paraId="4701DA08">
            <w:pPr>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rPr>
              <w:t>1.自主学习。建议学生通过预习教材，并通过网络、图书馆自主查阅课程中涉及的学习资源，独立规划自己的课程学习计划，充分发挥自身的学习能动性。</w:t>
            </w:r>
          </w:p>
          <w:p w14:paraId="5704E2A7">
            <w:pPr>
              <w:adjustRightInd w:val="0"/>
              <w:snapToGrid w:val="0"/>
              <w:spacing w:line="320" w:lineRule="exact"/>
              <w:jc w:val="left"/>
              <w:rPr>
                <w:rFonts w:hint="eastAsia" w:ascii="仿宋" w:hAnsi="仿宋" w:eastAsia="仿宋" w:cs="仿宋"/>
                <w:color w:val="4472C4"/>
                <w:kern w:val="0"/>
                <w:sz w:val="24"/>
                <w:szCs w:val="24"/>
              </w:rPr>
            </w:pPr>
            <w:r>
              <w:rPr>
                <w:rFonts w:hint="eastAsia" w:ascii="仿宋" w:hAnsi="仿宋" w:eastAsia="仿宋" w:cs="仿宋"/>
                <w:bCs/>
                <w:color w:val="000000"/>
                <w:sz w:val="24"/>
                <w:szCs w:val="24"/>
              </w:rPr>
              <w:t>2.研究性学习。鼓励学生针对课程教学内容，尝试理论课结合专题报告的教学方式，开展相关的</w:t>
            </w:r>
            <w:r>
              <w:rPr>
                <w:rFonts w:hint="eastAsia" w:ascii="仿宋" w:hAnsi="仿宋" w:eastAsia="仿宋" w:cs="仿宋"/>
                <w:bCs/>
                <w:color w:val="000000"/>
                <w:sz w:val="24"/>
                <w:szCs w:val="24"/>
                <w:lang w:val="en-US" w:eastAsia="zh-CN"/>
              </w:rPr>
              <w:t>管乐</w:t>
            </w:r>
            <w:r>
              <w:rPr>
                <w:rFonts w:hint="eastAsia" w:ascii="仿宋" w:hAnsi="仿宋" w:eastAsia="仿宋" w:cs="仿宋"/>
                <w:bCs/>
                <w:color w:val="000000"/>
                <w:sz w:val="24"/>
                <w:szCs w:val="24"/>
              </w:rPr>
              <w:t>进展和专题讲座，提高学生的学习兴趣，了解国内外最新</w:t>
            </w:r>
            <w:r>
              <w:rPr>
                <w:rFonts w:hint="eastAsia" w:ascii="仿宋" w:hAnsi="仿宋" w:eastAsia="仿宋" w:cs="仿宋"/>
                <w:bCs/>
                <w:color w:val="000000"/>
                <w:sz w:val="24"/>
                <w:szCs w:val="24"/>
                <w:lang w:val="en-US" w:eastAsia="zh-CN"/>
              </w:rPr>
              <w:t>管乐</w:t>
            </w:r>
            <w:r>
              <w:rPr>
                <w:rFonts w:hint="eastAsia" w:ascii="仿宋" w:hAnsi="仿宋" w:eastAsia="仿宋" w:cs="仿宋"/>
                <w:bCs/>
                <w:color w:val="000000"/>
                <w:sz w:val="24"/>
                <w:szCs w:val="24"/>
              </w:rPr>
              <w:t>知识，开阔学生的视野。</w:t>
            </w:r>
          </w:p>
        </w:tc>
      </w:tr>
      <w:tr w14:paraId="66D7868A">
        <w:trPr>
          <w:trHeight w:val="5296" w:hRule="atLeast"/>
          <w:jc w:val="center"/>
        </w:trPr>
        <w:tc>
          <w:tcPr>
            <w:tcW w:w="1376" w:type="dxa"/>
            <w:vAlign w:val="center"/>
          </w:tcPr>
          <w:p w14:paraId="47033C5A">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M</w:t>
            </w:r>
          </w:p>
          <w:p w14:paraId="69A6CA2E">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评分量表</w:t>
            </w:r>
          </w:p>
        </w:tc>
        <w:tc>
          <w:tcPr>
            <w:tcW w:w="7864" w:type="dxa"/>
            <w:gridSpan w:val="16"/>
            <w:vAlign w:val="center"/>
          </w:tcPr>
          <w:p w14:paraId="62E3E6CE">
            <w:pPr>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lang w:val="en-US" w:eastAsia="zh-CN"/>
              </w:rPr>
              <w:t>管乐</w:t>
            </w:r>
            <w:r>
              <w:rPr>
                <w:rFonts w:hint="eastAsia" w:ascii="仿宋" w:hAnsi="仿宋" w:eastAsia="仿宋" w:cs="仿宋"/>
                <w:bCs/>
                <w:color w:val="000000"/>
                <w:sz w:val="24"/>
                <w:szCs w:val="24"/>
              </w:rPr>
              <w:t>考核方法  现场演奏</w:t>
            </w:r>
          </w:p>
          <w:p w14:paraId="3A12726A">
            <w:pPr>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rPr>
              <w:t>课程</w:t>
            </w:r>
            <w:r>
              <w:rPr>
                <w:rFonts w:hint="eastAsia" w:ascii="仿宋" w:hAnsi="仿宋" w:eastAsia="仿宋" w:cs="仿宋"/>
                <w:bCs/>
                <w:color w:val="000000"/>
                <w:sz w:val="24"/>
                <w:szCs w:val="24"/>
                <w:lang w:val="en-US" w:eastAsia="zh-CN"/>
              </w:rPr>
              <w:t>的</w:t>
            </w:r>
            <w:r>
              <w:rPr>
                <w:rFonts w:hint="eastAsia" w:ascii="仿宋" w:hAnsi="仿宋" w:eastAsia="仿宋" w:cs="仿宋"/>
                <w:bCs/>
                <w:color w:val="000000"/>
                <w:sz w:val="24"/>
                <w:szCs w:val="24"/>
              </w:rPr>
              <w:t>考核内容为教师指定的器乐曲目。</w:t>
            </w:r>
            <w:r>
              <w:rPr>
                <w:rFonts w:hint="eastAsia" w:ascii="仿宋" w:hAnsi="仿宋" w:eastAsia="仿宋" w:cs="仿宋"/>
                <w:bCs/>
                <w:color w:val="000000"/>
                <w:sz w:val="24"/>
                <w:szCs w:val="24"/>
              </w:rPr>
              <w:tab/>
            </w:r>
          </w:p>
          <w:p w14:paraId="19F6A549">
            <w:pPr>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rPr>
              <w:t>考试成绩由</w:t>
            </w:r>
            <w:r>
              <w:rPr>
                <w:rFonts w:hint="eastAsia" w:ascii="仿宋" w:hAnsi="仿宋" w:eastAsia="仿宋" w:cs="仿宋"/>
                <w:bCs/>
                <w:color w:val="000000"/>
                <w:sz w:val="24"/>
                <w:szCs w:val="24"/>
                <w:lang w:val="en-US" w:eastAsia="zh-CN"/>
              </w:rPr>
              <w:t>课程</w:t>
            </w:r>
            <w:r>
              <w:rPr>
                <w:rFonts w:hint="eastAsia" w:ascii="仿宋" w:hAnsi="仿宋" w:eastAsia="仿宋" w:cs="仿宋"/>
                <w:bCs/>
                <w:color w:val="000000"/>
                <w:sz w:val="24"/>
                <w:szCs w:val="24"/>
              </w:rPr>
              <w:t>教师</w:t>
            </w:r>
            <w:r>
              <w:rPr>
                <w:rFonts w:hint="eastAsia" w:ascii="仿宋" w:hAnsi="仿宋" w:eastAsia="仿宋" w:cs="仿宋"/>
                <w:bCs/>
                <w:color w:val="000000"/>
                <w:sz w:val="24"/>
                <w:szCs w:val="24"/>
                <w:lang w:val="en-US" w:eastAsia="zh-CN"/>
              </w:rPr>
              <w:t>进行</w:t>
            </w:r>
            <w:r>
              <w:rPr>
                <w:rFonts w:hint="eastAsia" w:ascii="仿宋" w:hAnsi="仿宋" w:eastAsia="仿宋" w:cs="仿宋"/>
                <w:bCs/>
                <w:color w:val="000000"/>
                <w:sz w:val="24"/>
                <w:szCs w:val="24"/>
              </w:rPr>
              <w:t>考核评议</w:t>
            </w:r>
            <w:r>
              <w:rPr>
                <w:rFonts w:hint="eastAsia" w:ascii="仿宋" w:hAnsi="仿宋" w:eastAsia="仿宋" w:cs="仿宋"/>
                <w:bCs/>
                <w:color w:val="000000"/>
                <w:sz w:val="24"/>
                <w:szCs w:val="24"/>
                <w:lang w:eastAsia="zh-CN"/>
              </w:rPr>
              <w:t>。</w:t>
            </w:r>
            <w:r>
              <w:rPr>
                <w:rFonts w:hint="eastAsia" w:ascii="仿宋" w:hAnsi="仿宋" w:eastAsia="仿宋" w:cs="仿宋"/>
                <w:bCs/>
                <w:color w:val="000000"/>
                <w:sz w:val="24"/>
                <w:szCs w:val="24"/>
              </w:rPr>
              <w:t>凡考试中演奏的曲目及内容不符合要求者，在最后的总评成绩中扣除10分。凡考试演奏中有明显失误者，以及无正当理由缺考、误考者，均需补考。</w:t>
            </w:r>
          </w:p>
          <w:p w14:paraId="03ACAE07">
            <w:pPr>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rPr>
              <w:t>考试成绩以最后修毕成绩为准。期末考试成绩作为学习成绩记录在案，以备参考。</w:t>
            </w:r>
          </w:p>
          <w:p w14:paraId="786E84E2">
            <w:pPr>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rPr>
              <w:t>1）要求：</w:t>
            </w:r>
            <w:r>
              <w:rPr>
                <w:rFonts w:hint="eastAsia" w:ascii="仿宋" w:hAnsi="仿宋" w:eastAsia="仿宋" w:cs="仿宋"/>
                <w:bCs/>
                <w:color w:val="000000"/>
                <w:sz w:val="24"/>
                <w:szCs w:val="24"/>
                <w:lang w:val="en-US" w:eastAsia="zh-Hans"/>
              </w:rPr>
              <w:t>中外曲子</w:t>
            </w:r>
            <w:r>
              <w:rPr>
                <w:rFonts w:hint="eastAsia" w:ascii="仿宋" w:hAnsi="仿宋" w:eastAsia="仿宋" w:cs="仿宋"/>
                <w:bCs/>
                <w:color w:val="000000"/>
                <w:sz w:val="24"/>
                <w:szCs w:val="24"/>
              </w:rPr>
              <w:t>各考一首乐曲，</w:t>
            </w:r>
            <w:r>
              <w:rPr>
                <w:rFonts w:hint="eastAsia" w:ascii="仿宋" w:hAnsi="仿宋" w:eastAsia="仿宋" w:cs="仿宋"/>
                <w:bCs/>
                <w:color w:val="000000"/>
                <w:sz w:val="24"/>
                <w:szCs w:val="24"/>
                <w:lang w:val="en-US" w:eastAsia="zh-CN"/>
              </w:rPr>
              <w:t>曲目由教师所指定</w:t>
            </w:r>
            <w:r>
              <w:rPr>
                <w:rFonts w:hint="eastAsia" w:ascii="仿宋" w:hAnsi="仿宋" w:eastAsia="仿宋" w:cs="仿宋"/>
                <w:bCs/>
                <w:color w:val="000000"/>
                <w:sz w:val="24"/>
                <w:szCs w:val="24"/>
              </w:rPr>
              <w:t>。</w:t>
            </w:r>
          </w:p>
          <w:p w14:paraId="5057B164">
            <w:pPr>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rPr>
              <w:t>2）范围：教师根据学生的程度在曲集中选择。</w:t>
            </w:r>
          </w:p>
          <w:p w14:paraId="56F29836">
            <w:pPr>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rPr>
              <w:t>3）分数评定办法：考试一律采用百分制，现学习的第一学期最高</w:t>
            </w:r>
            <w:r>
              <w:rPr>
                <w:rFonts w:hint="default" w:ascii="仿宋" w:hAnsi="仿宋" w:eastAsia="仿宋" w:cs="仿宋"/>
                <w:bCs/>
                <w:color w:val="000000"/>
                <w:sz w:val="24"/>
                <w:szCs w:val="24"/>
              </w:rPr>
              <w:t>80</w:t>
            </w:r>
            <w:r>
              <w:rPr>
                <w:rFonts w:hint="eastAsia" w:ascii="仿宋" w:hAnsi="仿宋" w:eastAsia="仿宋" w:cs="仿宋"/>
                <w:bCs/>
                <w:color w:val="000000"/>
                <w:sz w:val="24"/>
                <w:szCs w:val="24"/>
              </w:rPr>
              <w:t>分，最低不封底；第二至第四学期最高</w:t>
            </w:r>
            <w:r>
              <w:rPr>
                <w:rFonts w:hint="default" w:ascii="仿宋" w:hAnsi="仿宋" w:eastAsia="仿宋" w:cs="仿宋"/>
                <w:bCs/>
                <w:color w:val="000000"/>
                <w:sz w:val="24"/>
                <w:szCs w:val="24"/>
              </w:rPr>
              <w:t>85</w:t>
            </w:r>
            <w:r>
              <w:rPr>
                <w:rFonts w:hint="eastAsia" w:ascii="仿宋" w:hAnsi="仿宋" w:eastAsia="仿宋" w:cs="仿宋"/>
                <w:bCs/>
                <w:color w:val="000000"/>
                <w:sz w:val="24"/>
                <w:szCs w:val="24"/>
              </w:rPr>
              <w:t>，最低不封底。</w:t>
            </w:r>
          </w:p>
          <w:p w14:paraId="29C8B619">
            <w:pPr>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rPr>
              <w:t>4）评分依据：从乐曲的完整性、难易程度、演奏技术、音乐表现力四个方面来把握。</w:t>
            </w:r>
          </w:p>
          <w:p w14:paraId="7B661961">
            <w:pPr>
              <w:adjustRightInd w:val="0"/>
              <w:snapToGrid w:val="0"/>
              <w:rPr>
                <w:rFonts w:hint="eastAsia" w:ascii="仿宋" w:hAnsi="仿宋" w:eastAsia="仿宋" w:cs="仿宋"/>
                <w:color w:val="000000"/>
                <w:kern w:val="0"/>
                <w:sz w:val="24"/>
                <w:szCs w:val="24"/>
              </w:rPr>
            </w:pPr>
            <w:r>
              <w:rPr>
                <w:rFonts w:hint="eastAsia" w:ascii="仿宋" w:hAnsi="仿宋" w:eastAsia="仿宋" w:cs="仿宋"/>
                <w:bCs/>
                <w:color w:val="000000"/>
                <w:sz w:val="24"/>
                <w:szCs w:val="24"/>
              </w:rPr>
              <w:t>5）计分：</w:t>
            </w:r>
            <w:r>
              <w:rPr>
                <w:rFonts w:hint="eastAsia" w:ascii="仿宋" w:hAnsi="仿宋" w:eastAsia="仿宋" w:cs="仿宋"/>
                <w:bCs/>
                <w:color w:val="000000"/>
                <w:sz w:val="24"/>
                <w:szCs w:val="24"/>
                <w:lang w:val="en-US" w:eastAsia="zh-CN"/>
              </w:rPr>
              <w:t>课程教师的最终评定</w:t>
            </w:r>
            <w:r>
              <w:rPr>
                <w:rFonts w:hint="eastAsia" w:ascii="仿宋" w:hAnsi="仿宋" w:eastAsia="仿宋" w:cs="仿宋"/>
                <w:bCs/>
                <w:color w:val="000000"/>
                <w:sz w:val="24"/>
                <w:szCs w:val="24"/>
              </w:rPr>
              <w:t>分为考生的考试成绩。</w:t>
            </w:r>
          </w:p>
        </w:tc>
      </w:tr>
      <w:tr w14:paraId="3B2CDF34">
        <w:trPr>
          <w:trHeight w:val="454" w:hRule="atLeast"/>
          <w:jc w:val="center"/>
        </w:trPr>
        <w:tc>
          <w:tcPr>
            <w:tcW w:w="1376" w:type="dxa"/>
            <w:vAlign w:val="center"/>
          </w:tcPr>
          <w:p w14:paraId="2FBE2606">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备注</w:t>
            </w:r>
          </w:p>
        </w:tc>
        <w:tc>
          <w:tcPr>
            <w:tcW w:w="7864" w:type="dxa"/>
            <w:gridSpan w:val="16"/>
            <w:vAlign w:val="center"/>
          </w:tcPr>
          <w:p w14:paraId="01CF9915">
            <w:pPr>
              <w:adjustRightInd w:val="0"/>
              <w:snapToGrid w:val="0"/>
              <w:rPr>
                <w:rFonts w:hint="eastAsia" w:ascii="仿宋" w:hAnsi="仿宋" w:eastAsia="仿宋" w:cs="仿宋"/>
                <w:color w:val="000000"/>
                <w:kern w:val="0"/>
                <w:sz w:val="24"/>
                <w:szCs w:val="24"/>
              </w:rPr>
            </w:pPr>
          </w:p>
        </w:tc>
      </w:tr>
      <w:tr w14:paraId="12805C79">
        <w:trPr>
          <w:trHeight w:val="771" w:hRule="atLeast"/>
          <w:jc w:val="center"/>
        </w:trPr>
        <w:tc>
          <w:tcPr>
            <w:tcW w:w="1376" w:type="dxa"/>
            <w:vAlign w:val="center"/>
          </w:tcPr>
          <w:p w14:paraId="6734EA0D">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审批</w:t>
            </w:r>
          </w:p>
          <w:p w14:paraId="72AFF2D5">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意见</w:t>
            </w:r>
          </w:p>
        </w:tc>
        <w:tc>
          <w:tcPr>
            <w:tcW w:w="3869" w:type="dxa"/>
            <w:gridSpan w:val="5"/>
            <w:vAlign w:val="center"/>
          </w:tcPr>
          <w:p w14:paraId="5D2DDFC2">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课程</w:t>
            </w:r>
            <w:r>
              <w:rPr>
                <w:rFonts w:hint="eastAsia" w:ascii="仿宋" w:hAnsi="仿宋" w:eastAsia="仿宋" w:cs="仿宋"/>
                <w:kern w:val="0"/>
                <w:sz w:val="24"/>
                <w:szCs w:val="24"/>
                <w:lang w:val="en-US" w:eastAsia="zh-CN"/>
              </w:rPr>
              <w:t>教学</w:t>
            </w:r>
            <w:r>
              <w:rPr>
                <w:rFonts w:hint="eastAsia" w:ascii="仿宋" w:hAnsi="仿宋" w:eastAsia="仿宋" w:cs="仿宋"/>
                <w:kern w:val="0"/>
                <w:sz w:val="24"/>
                <w:szCs w:val="24"/>
              </w:rPr>
              <w:t>大纲</w:t>
            </w:r>
            <w:r>
              <w:rPr>
                <w:rFonts w:hint="eastAsia" w:ascii="仿宋" w:hAnsi="仿宋" w:eastAsia="仿宋" w:cs="仿宋"/>
                <w:kern w:val="0"/>
                <w:sz w:val="24"/>
                <w:szCs w:val="24"/>
                <w:lang w:val="en-US" w:eastAsia="zh-CN"/>
              </w:rPr>
              <w:t>修订</w:t>
            </w:r>
            <w:r>
              <w:rPr>
                <w:rFonts w:hint="eastAsia" w:ascii="仿宋" w:hAnsi="仿宋" w:eastAsia="仿宋" w:cs="仿宋"/>
                <w:kern w:val="0"/>
                <w:sz w:val="24"/>
                <w:szCs w:val="24"/>
              </w:rPr>
              <w:t>负责人</w:t>
            </w:r>
            <w:r>
              <w:rPr>
                <w:rFonts w:hint="eastAsia" w:ascii="仿宋" w:hAnsi="仿宋" w:eastAsia="仿宋" w:cs="仿宋"/>
                <w:kern w:val="0"/>
                <w:sz w:val="24"/>
                <w:szCs w:val="24"/>
                <w:lang w:val="en-US" w:eastAsia="zh-CN"/>
              </w:rPr>
              <w:t>及教学团队成员</w:t>
            </w:r>
            <w:r>
              <w:rPr>
                <w:rFonts w:hint="eastAsia" w:ascii="仿宋" w:hAnsi="仿宋" w:eastAsia="仿宋" w:cs="仿宋"/>
                <w:color w:val="000000"/>
                <w:sz w:val="24"/>
                <w:szCs w:val="24"/>
              </w:rPr>
              <w:t>签名</w:t>
            </w:r>
            <w:r>
              <w:rPr>
                <w:rFonts w:hint="eastAsia" w:ascii="仿宋" w:hAnsi="仿宋" w:eastAsia="仿宋" w:cs="仿宋"/>
                <w:kern w:val="0"/>
                <w:sz w:val="24"/>
                <w:szCs w:val="24"/>
              </w:rPr>
              <w:t xml:space="preserve">：   </w:t>
            </w:r>
          </w:p>
          <w:p w14:paraId="00433C79">
            <w:pPr>
              <w:pStyle w:val="258"/>
              <w:rPr>
                <w:rFonts w:hint="eastAsia"/>
              </w:rPr>
            </w:pPr>
            <w:r>
              <w:drawing>
                <wp:inline distT="0" distB="0" distL="114300" distR="114300">
                  <wp:extent cx="904875" cy="447675"/>
                  <wp:effectExtent l="0" t="0" r="9525" b="9525"/>
                  <wp:docPr id="11"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6"/>
                          <pic:cNvPicPr>
                            <a:picLocks noChangeAspect="1"/>
                          </pic:cNvPicPr>
                        </pic:nvPicPr>
                        <pic:blipFill>
                          <a:blip r:embed="rId147"/>
                          <a:stretch>
                            <a:fillRect/>
                          </a:stretch>
                        </pic:blipFill>
                        <pic:spPr>
                          <a:xfrm>
                            <a:off x="0" y="0"/>
                            <a:ext cx="904875" cy="447675"/>
                          </a:xfrm>
                          <a:prstGeom prst="rect">
                            <a:avLst/>
                          </a:prstGeom>
                          <a:noFill/>
                          <a:ln>
                            <a:noFill/>
                          </a:ln>
                        </pic:spPr>
                      </pic:pic>
                    </a:graphicData>
                  </a:graphic>
                </wp:inline>
              </w:drawing>
            </w:r>
          </w:p>
          <w:p w14:paraId="2252C821">
            <w:pPr>
              <w:widowControl/>
              <w:adjustRightInd w:val="0"/>
              <w:snapToGrid w:val="0"/>
              <w:jc w:val="left"/>
              <w:rPr>
                <w:rFonts w:hint="eastAsia" w:ascii="仿宋" w:hAnsi="仿宋" w:eastAsia="仿宋" w:cs="仿宋"/>
                <w:kern w:val="0"/>
                <w:sz w:val="24"/>
                <w:szCs w:val="24"/>
              </w:rPr>
            </w:pPr>
          </w:p>
          <w:p w14:paraId="1EF0682D">
            <w:pPr>
              <w:widowControl/>
              <w:adjustRightInd w:val="0"/>
              <w:snapToGrid w:val="0"/>
              <w:jc w:val="right"/>
              <w:rPr>
                <w:rFonts w:hint="eastAsia" w:ascii="仿宋" w:hAnsi="仿宋" w:eastAsia="仿宋" w:cs="仿宋"/>
                <w:kern w:val="0"/>
                <w:sz w:val="24"/>
                <w:szCs w:val="24"/>
                <w:lang w:val="en-US" w:eastAsia="zh-CN"/>
              </w:rPr>
            </w:pPr>
            <w:r>
              <w:rPr>
                <w:rFonts w:hint="eastAsia" w:ascii="仿宋" w:hAnsi="仿宋" w:eastAsia="仿宋" w:cs="仿宋"/>
                <w:kern w:val="0"/>
                <w:sz w:val="24"/>
                <w:szCs w:val="24"/>
              </w:rPr>
              <w:t xml:space="preserve">                                                   年   月   日</w:t>
            </w:r>
            <w:r>
              <w:rPr>
                <w:rFonts w:hint="eastAsia" w:ascii="仿宋" w:hAnsi="仿宋" w:eastAsia="仿宋" w:cs="仿宋"/>
                <w:kern w:val="0"/>
                <w:sz w:val="24"/>
                <w:szCs w:val="24"/>
                <w:lang w:val="en-US" w:eastAsia="zh-CN"/>
              </w:rPr>
              <w:t xml:space="preserve"> </w:t>
            </w:r>
          </w:p>
          <w:p w14:paraId="3C60B663">
            <w:pPr>
              <w:widowControl/>
              <w:adjustRightInd w:val="0"/>
              <w:snapToGrid w:val="0"/>
              <w:jc w:val="right"/>
              <w:rPr>
                <w:rFonts w:hint="eastAsia" w:ascii="仿宋" w:hAnsi="仿宋" w:eastAsia="仿宋" w:cs="仿宋"/>
                <w:kern w:val="0"/>
                <w:sz w:val="24"/>
                <w:szCs w:val="24"/>
              </w:rPr>
            </w:pPr>
          </w:p>
        </w:tc>
        <w:tc>
          <w:tcPr>
            <w:tcW w:w="3995" w:type="dxa"/>
            <w:gridSpan w:val="11"/>
            <w:vAlign w:val="center"/>
          </w:tcPr>
          <w:p w14:paraId="095180FD">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系主任审核</w:t>
            </w:r>
            <w:r>
              <w:rPr>
                <w:rFonts w:hint="eastAsia" w:ascii="仿宋" w:hAnsi="仿宋" w:eastAsia="仿宋" w:cs="仿宋"/>
                <w:kern w:val="0"/>
                <w:sz w:val="24"/>
                <w:szCs w:val="24"/>
              </w:rPr>
              <w:t>意见：</w:t>
            </w:r>
          </w:p>
          <w:p w14:paraId="4D11D5E6">
            <w:pPr>
              <w:widowControl/>
              <w:adjustRightInd w:val="0"/>
              <w:snapToGrid w:val="0"/>
              <w:jc w:val="left"/>
              <w:rPr>
                <w:rFonts w:hint="eastAsia" w:ascii="仿宋" w:hAnsi="仿宋" w:eastAsia="仿宋" w:cs="仿宋"/>
                <w:kern w:val="0"/>
                <w:sz w:val="24"/>
                <w:szCs w:val="24"/>
              </w:rPr>
            </w:pPr>
          </w:p>
          <w:p w14:paraId="57D9B244">
            <w:pPr>
              <w:pStyle w:val="258"/>
              <w:rPr>
                <w:rFonts w:hint="eastAsia"/>
              </w:rPr>
            </w:pPr>
            <w:r>
              <w:rPr>
                <w:rFonts w:hint="eastAsia" w:ascii="仿宋" w:hAnsi="仿宋" w:eastAsia="仿宋" w:cs="仿宋"/>
                <w:kern w:val="0"/>
                <w:sz w:val="24"/>
                <w:szCs w:val="24"/>
                <w:lang w:val="en-US" w:eastAsia="zh-Hans"/>
              </w:rPr>
              <w:t>同意</w:t>
            </w:r>
          </w:p>
          <w:p w14:paraId="0ED4B569">
            <w:pPr>
              <w:widowControl/>
              <w:adjustRightInd w:val="0"/>
              <w:snapToGrid w:val="0"/>
              <w:jc w:val="left"/>
              <w:rPr>
                <w:rFonts w:hint="eastAsia" w:ascii="仿宋" w:hAnsi="仿宋" w:eastAsia="仿宋" w:cs="仿宋"/>
                <w:kern w:val="0"/>
                <w:sz w:val="24"/>
                <w:szCs w:val="24"/>
              </w:rPr>
            </w:pPr>
          </w:p>
          <w:p w14:paraId="0F29F5A0">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系主任</w:t>
            </w:r>
            <w:r>
              <w:rPr>
                <w:rFonts w:hint="eastAsia" w:ascii="仿宋" w:hAnsi="仿宋" w:eastAsia="仿宋" w:cs="仿宋"/>
                <w:kern w:val="0"/>
                <w:sz w:val="24"/>
                <w:szCs w:val="24"/>
              </w:rPr>
              <w:t>签名：</w:t>
            </w:r>
            <w:r>
              <w:drawing>
                <wp:inline distT="0" distB="0" distL="114300" distR="114300">
                  <wp:extent cx="1238250" cy="647700"/>
                  <wp:effectExtent l="0" t="0" r="6350" b="12700"/>
                  <wp:docPr id="12"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7"/>
                          <pic:cNvPicPr>
                            <a:picLocks noChangeAspect="1"/>
                          </pic:cNvPicPr>
                        </pic:nvPicPr>
                        <pic:blipFill>
                          <a:blip r:embed="rId148"/>
                          <a:stretch>
                            <a:fillRect/>
                          </a:stretch>
                        </pic:blipFill>
                        <pic:spPr>
                          <a:xfrm>
                            <a:off x="0" y="0"/>
                            <a:ext cx="1238250" cy="647700"/>
                          </a:xfrm>
                          <a:prstGeom prst="rect">
                            <a:avLst/>
                          </a:prstGeom>
                          <a:noFill/>
                          <a:ln>
                            <a:noFill/>
                          </a:ln>
                        </pic:spPr>
                      </pic:pic>
                    </a:graphicData>
                  </a:graphic>
                </wp:inline>
              </w:drawing>
            </w:r>
          </w:p>
          <w:p w14:paraId="37B60FF1">
            <w:pPr>
              <w:widowControl/>
              <w:adjustRightInd w:val="0"/>
              <w:snapToGrid w:val="0"/>
              <w:jc w:val="right"/>
              <w:rPr>
                <w:rFonts w:hint="eastAsia" w:ascii="仿宋" w:hAnsi="仿宋" w:eastAsia="仿宋" w:cs="仿宋"/>
                <w:kern w:val="0"/>
                <w:sz w:val="24"/>
                <w:szCs w:val="24"/>
              </w:rPr>
            </w:pPr>
          </w:p>
          <w:p w14:paraId="35261BB9">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年   月   日</w:t>
            </w:r>
          </w:p>
          <w:p w14:paraId="50F6FE7C">
            <w:pPr>
              <w:widowControl/>
              <w:adjustRightInd w:val="0"/>
              <w:snapToGrid w:val="0"/>
              <w:jc w:val="right"/>
              <w:rPr>
                <w:rFonts w:hint="eastAsia" w:ascii="仿宋" w:hAnsi="仿宋" w:eastAsia="仿宋" w:cs="仿宋"/>
                <w:kern w:val="0"/>
                <w:sz w:val="24"/>
                <w:szCs w:val="24"/>
              </w:rPr>
            </w:pPr>
          </w:p>
        </w:tc>
      </w:tr>
    </w:tbl>
    <w:p w14:paraId="3BA40FC1">
      <w:pPr>
        <w:adjustRightInd w:val="0"/>
        <w:snapToGrid w:val="0"/>
        <w:spacing w:line="360" w:lineRule="auto"/>
        <w:jc w:val="center"/>
        <w:rPr>
          <w:rFonts w:hint="eastAsia" w:ascii="仿宋" w:hAnsi="仿宋" w:eastAsia="仿宋" w:cs="仿宋"/>
          <w:b/>
          <w:bCs/>
          <w:color w:val="000000"/>
          <w:sz w:val="28"/>
          <w:szCs w:val="28"/>
        </w:rPr>
      </w:pPr>
    </w:p>
    <w:p w14:paraId="7198EC2C">
      <w:pPr>
        <w:adjustRightInd w:val="0"/>
        <w:snapToGrid w:val="0"/>
        <w:spacing w:line="360" w:lineRule="auto"/>
        <w:jc w:val="center"/>
        <w:outlineLvl w:val="9"/>
        <w:rPr>
          <w:rFonts w:hint="eastAsia" w:ascii="仿宋" w:hAnsi="仿宋" w:eastAsia="仿宋" w:cs="仿宋"/>
          <w:b/>
          <w:bCs/>
          <w:sz w:val="28"/>
          <w:szCs w:val="28"/>
        </w:rPr>
      </w:pPr>
      <w:r>
        <w:rPr>
          <w:rFonts w:hint="eastAsia" w:ascii="仿宋" w:hAnsi="仿宋" w:eastAsia="仿宋" w:cs="仿宋"/>
          <w:b/>
          <w:bCs/>
          <w:color w:val="000000"/>
          <w:sz w:val="28"/>
          <w:szCs w:val="28"/>
        </w:rPr>
        <w:t>附表：</w:t>
      </w:r>
      <w:r>
        <w:rPr>
          <w:rFonts w:hint="eastAsia" w:ascii="仿宋" w:hAnsi="仿宋" w:eastAsia="仿宋" w:cs="仿宋"/>
          <w:b/>
          <w:bCs/>
          <w:sz w:val="28"/>
          <w:szCs w:val="28"/>
        </w:rPr>
        <w:t>《</w:t>
      </w:r>
      <w:r>
        <w:rPr>
          <w:rFonts w:hint="eastAsia" w:ascii="仿宋" w:hAnsi="仿宋" w:eastAsia="仿宋" w:cs="仿宋"/>
          <w:b/>
          <w:bCs/>
          <w:sz w:val="28"/>
          <w:szCs w:val="28"/>
          <w:lang w:val="en-US" w:eastAsia="zh-CN"/>
        </w:rPr>
        <w:t>管乐</w:t>
      </w:r>
      <w:r>
        <w:rPr>
          <w:rFonts w:hint="eastAsia" w:ascii="仿宋" w:hAnsi="仿宋" w:eastAsia="仿宋" w:cs="仿宋"/>
          <w:b/>
          <w:bCs/>
          <w:sz w:val="28"/>
          <w:szCs w:val="28"/>
        </w:rPr>
        <w:t>》课程目标评分量表</w:t>
      </w:r>
    </w:p>
    <w:tbl>
      <w:tblPr>
        <w:tblStyle w:val="22"/>
        <w:tblW w:w="94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567"/>
        <w:gridCol w:w="1567"/>
        <w:gridCol w:w="1567"/>
        <w:gridCol w:w="1567"/>
        <w:gridCol w:w="1567"/>
        <w:gridCol w:w="1568"/>
      </w:tblGrid>
      <w:tr w14:paraId="3F4D99C1">
        <w:trPr>
          <w:trHeight w:val="90" w:hRule="atLeast"/>
          <w:jc w:val="center"/>
        </w:trPr>
        <w:tc>
          <w:tcPr>
            <w:tcW w:w="1567" w:type="dxa"/>
            <w:vAlign w:val="center"/>
          </w:tcPr>
          <w:p w14:paraId="61B64BE8">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课程目标</w:t>
            </w:r>
          </w:p>
        </w:tc>
        <w:tc>
          <w:tcPr>
            <w:tcW w:w="1567" w:type="dxa"/>
            <w:vAlign w:val="center"/>
          </w:tcPr>
          <w:p w14:paraId="04753210">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优（X≧90）</w:t>
            </w:r>
          </w:p>
        </w:tc>
        <w:tc>
          <w:tcPr>
            <w:tcW w:w="1567" w:type="dxa"/>
            <w:vAlign w:val="center"/>
          </w:tcPr>
          <w:p w14:paraId="2B0912F3">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良（80≦X＜90）</w:t>
            </w:r>
          </w:p>
        </w:tc>
        <w:tc>
          <w:tcPr>
            <w:tcW w:w="1567" w:type="dxa"/>
            <w:vAlign w:val="center"/>
          </w:tcPr>
          <w:p w14:paraId="60470D19">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中（70≦X＜80）</w:t>
            </w:r>
          </w:p>
        </w:tc>
        <w:tc>
          <w:tcPr>
            <w:tcW w:w="1567" w:type="dxa"/>
            <w:vAlign w:val="center"/>
          </w:tcPr>
          <w:p w14:paraId="7758FC37">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及格（60≦X＜70）</w:t>
            </w:r>
          </w:p>
        </w:tc>
        <w:tc>
          <w:tcPr>
            <w:tcW w:w="1568" w:type="dxa"/>
            <w:vAlign w:val="center"/>
          </w:tcPr>
          <w:p w14:paraId="1B85B233">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不及格（＜60）</w:t>
            </w:r>
          </w:p>
        </w:tc>
      </w:tr>
      <w:tr w14:paraId="6FEC19C9">
        <w:trPr>
          <w:trHeight w:val="4074" w:hRule="atLeast"/>
          <w:jc w:val="center"/>
        </w:trPr>
        <w:tc>
          <w:tcPr>
            <w:tcW w:w="1567" w:type="dxa"/>
          </w:tcPr>
          <w:p w14:paraId="074BD4C8">
            <w:pPr>
              <w:widowControl/>
              <w:adjustRightInd w:val="0"/>
              <w:snapToGrid w:val="0"/>
              <w:jc w:val="left"/>
              <w:rPr>
                <w:rFonts w:hint="eastAsia" w:ascii="楷体" w:hAnsi="楷体" w:eastAsia="楷体" w:cs="楷体"/>
                <w:color w:val="000000"/>
                <w:sz w:val="21"/>
                <w:szCs w:val="21"/>
              </w:rPr>
            </w:pPr>
            <w:r>
              <w:rPr>
                <w:rFonts w:hint="eastAsia" w:ascii="楷体" w:hAnsi="楷体" w:eastAsia="楷体" w:cs="楷体"/>
                <w:color w:val="000000"/>
                <w:sz w:val="21"/>
                <w:szCs w:val="21"/>
                <w:lang w:val="en-US"/>
              </w:rPr>
              <w:t xml:space="preserve">  课程目标1： 领会管乐的基本理论和基本技术，提高专业知识与水平。乐器的演奏与学习，使学生能够较为完整的表现作品的风格和情感，加强管乐队的团体配合协作。</w:t>
            </w:r>
          </w:p>
        </w:tc>
        <w:tc>
          <w:tcPr>
            <w:tcW w:w="1567" w:type="dxa"/>
          </w:tcPr>
          <w:p w14:paraId="79376CEC">
            <w:pPr>
              <w:widowControl/>
              <w:adjustRightInd w:val="0"/>
              <w:snapToGrid w:val="0"/>
              <w:spacing w:line="280" w:lineRule="exact"/>
              <w:jc w:val="left"/>
              <w:rPr>
                <w:rFonts w:hint="eastAsia" w:ascii="楷体" w:hAnsi="楷体" w:eastAsia="楷体" w:cs="楷体"/>
                <w:color w:val="000000"/>
                <w:kern w:val="0"/>
                <w:sz w:val="21"/>
                <w:szCs w:val="21"/>
              </w:rPr>
            </w:pPr>
            <w:r>
              <w:rPr>
                <w:rFonts w:hint="eastAsia" w:ascii="楷体" w:hAnsi="楷体" w:eastAsia="楷体" w:cs="楷体"/>
                <w:color w:val="000000"/>
                <w:kern w:val="0"/>
                <w:sz w:val="21"/>
                <w:szCs w:val="21"/>
                <w:lang w:val="en-US"/>
              </w:rPr>
              <w:t xml:space="preserve">  能够较为扎实掌握管乐基础知识、基本技术，熟练掌握正确，规范，乐器演奏与学习，较为完整的表达作品的风格和情感</w:t>
            </w:r>
          </w:p>
          <w:p w14:paraId="5FD4BF02">
            <w:pPr>
              <w:widowControl/>
              <w:adjustRightInd w:val="0"/>
              <w:snapToGrid w:val="0"/>
              <w:ind w:firstLine="420" w:firstLineChars="200"/>
              <w:jc w:val="left"/>
              <w:rPr>
                <w:rFonts w:hint="eastAsia" w:ascii="楷体" w:hAnsi="楷体" w:eastAsia="楷体" w:cs="楷体"/>
                <w:bCs/>
                <w:color w:val="000000"/>
                <w:sz w:val="21"/>
                <w:szCs w:val="21"/>
              </w:rPr>
            </w:pPr>
          </w:p>
        </w:tc>
        <w:tc>
          <w:tcPr>
            <w:tcW w:w="1567" w:type="dxa"/>
          </w:tcPr>
          <w:p w14:paraId="4B7E1D07">
            <w:pPr>
              <w:widowControl/>
              <w:adjustRightInd w:val="0"/>
              <w:snapToGrid w:val="0"/>
              <w:jc w:val="left"/>
              <w:rPr>
                <w:rFonts w:hint="eastAsia" w:ascii="楷体" w:hAnsi="楷体" w:eastAsia="楷体" w:cs="楷体"/>
                <w:bCs/>
                <w:color w:val="000000"/>
                <w:sz w:val="21"/>
                <w:szCs w:val="21"/>
              </w:rPr>
            </w:pPr>
            <w:r>
              <w:rPr>
                <w:rFonts w:hint="eastAsia" w:ascii="楷体" w:hAnsi="楷体" w:eastAsia="楷体" w:cs="楷体"/>
                <w:bCs/>
                <w:color w:val="000000"/>
                <w:sz w:val="21"/>
                <w:szCs w:val="21"/>
                <w:lang w:val="en-US"/>
              </w:rPr>
              <w:t xml:space="preserve">  能够较好掌握管乐基础理论知识、基本技术，熟练掌握正确，规范，乐器演奏与学习，较为完整的表达作品的风格和情感</w:t>
            </w:r>
          </w:p>
        </w:tc>
        <w:tc>
          <w:tcPr>
            <w:tcW w:w="1567" w:type="dxa"/>
          </w:tcPr>
          <w:p w14:paraId="15E0875C">
            <w:pPr>
              <w:widowControl/>
              <w:adjustRightInd w:val="0"/>
              <w:snapToGrid w:val="0"/>
              <w:spacing w:line="280" w:lineRule="exact"/>
              <w:jc w:val="left"/>
              <w:rPr>
                <w:rFonts w:hint="eastAsia" w:ascii="楷体" w:hAnsi="楷体" w:eastAsia="楷体" w:cs="楷体"/>
                <w:color w:val="000000"/>
                <w:kern w:val="0"/>
                <w:sz w:val="21"/>
                <w:szCs w:val="21"/>
              </w:rPr>
            </w:pPr>
            <w:r>
              <w:rPr>
                <w:rFonts w:hint="eastAsia" w:ascii="楷体" w:hAnsi="楷体" w:eastAsia="楷体" w:cs="楷体"/>
                <w:color w:val="000000"/>
                <w:kern w:val="0"/>
                <w:sz w:val="21"/>
                <w:szCs w:val="21"/>
                <w:lang w:val="en-US"/>
              </w:rPr>
              <w:t xml:space="preserve">  能够较好掌握管乐基础理论知识、基本技术，熟练掌握正确，规范，乐器演奏与学习，较为完整的表达作品的风格和情感</w:t>
            </w:r>
          </w:p>
          <w:p w14:paraId="1EF0A1F3">
            <w:pPr>
              <w:widowControl/>
              <w:adjustRightInd w:val="0"/>
              <w:snapToGrid w:val="0"/>
              <w:ind w:firstLine="420" w:firstLineChars="200"/>
              <w:jc w:val="left"/>
              <w:rPr>
                <w:rFonts w:hint="eastAsia" w:ascii="楷体" w:hAnsi="楷体" w:eastAsia="楷体" w:cs="楷体"/>
                <w:color w:val="000000"/>
                <w:sz w:val="21"/>
                <w:szCs w:val="21"/>
              </w:rPr>
            </w:pPr>
          </w:p>
        </w:tc>
        <w:tc>
          <w:tcPr>
            <w:tcW w:w="1567" w:type="dxa"/>
          </w:tcPr>
          <w:p w14:paraId="0358FCDA">
            <w:pPr>
              <w:widowControl/>
              <w:adjustRightInd w:val="0"/>
              <w:snapToGrid w:val="0"/>
              <w:jc w:val="left"/>
              <w:rPr>
                <w:rFonts w:hint="eastAsia" w:ascii="楷体" w:hAnsi="楷体" w:eastAsia="楷体" w:cs="楷体"/>
                <w:color w:val="000000"/>
                <w:sz w:val="21"/>
                <w:szCs w:val="21"/>
              </w:rPr>
            </w:pPr>
            <w:r>
              <w:rPr>
                <w:rFonts w:hint="eastAsia" w:ascii="楷体" w:hAnsi="楷体" w:eastAsia="楷体" w:cs="楷体"/>
                <w:color w:val="000000"/>
                <w:sz w:val="21"/>
                <w:szCs w:val="21"/>
                <w:lang w:val="en-US"/>
              </w:rPr>
              <w:t xml:space="preserve">  能够基本掌握管乐基础理论知识、基本技术，熟练掌握正确，规范，乐器演奏与学习，较为完整的表达作品的风格和情感</w:t>
            </w:r>
          </w:p>
        </w:tc>
        <w:tc>
          <w:tcPr>
            <w:tcW w:w="1568" w:type="dxa"/>
          </w:tcPr>
          <w:p w14:paraId="0A6514EF">
            <w:pPr>
              <w:widowControl/>
              <w:adjustRightInd w:val="0"/>
              <w:snapToGrid w:val="0"/>
              <w:spacing w:line="280" w:lineRule="exact"/>
              <w:jc w:val="left"/>
              <w:rPr>
                <w:rFonts w:hint="eastAsia" w:ascii="楷体" w:hAnsi="楷体" w:eastAsia="楷体" w:cs="楷体"/>
                <w:color w:val="000000"/>
                <w:kern w:val="0"/>
                <w:sz w:val="21"/>
                <w:szCs w:val="21"/>
              </w:rPr>
            </w:pPr>
            <w:r>
              <w:rPr>
                <w:rFonts w:hint="eastAsia" w:ascii="楷体" w:hAnsi="楷体" w:eastAsia="楷体" w:cs="楷体"/>
                <w:color w:val="000000"/>
                <w:kern w:val="0"/>
                <w:sz w:val="21"/>
                <w:szCs w:val="21"/>
                <w:lang w:val="en-US"/>
              </w:rPr>
              <w:t xml:space="preserve">  未能够掌握管乐基础理论知识、基本技术，不熟练掌握正确，规范，乐器演奏与学习，未能完整的表达作品的风格和情感</w:t>
            </w:r>
          </w:p>
          <w:p w14:paraId="1DAD6BF2">
            <w:pPr>
              <w:widowControl/>
              <w:adjustRightInd w:val="0"/>
              <w:snapToGrid w:val="0"/>
              <w:ind w:firstLine="420" w:firstLineChars="200"/>
              <w:jc w:val="left"/>
              <w:rPr>
                <w:rFonts w:hint="eastAsia" w:ascii="楷体" w:hAnsi="楷体" w:eastAsia="楷体" w:cs="楷体"/>
                <w:b/>
                <w:color w:val="000000"/>
                <w:kern w:val="0"/>
                <w:sz w:val="21"/>
                <w:szCs w:val="21"/>
              </w:rPr>
            </w:pPr>
          </w:p>
        </w:tc>
      </w:tr>
      <w:tr w14:paraId="4DF193BC">
        <w:trPr>
          <w:trHeight w:val="2337" w:hRule="atLeast"/>
          <w:jc w:val="center"/>
        </w:trPr>
        <w:tc>
          <w:tcPr>
            <w:tcW w:w="1567" w:type="dxa"/>
          </w:tcPr>
          <w:p w14:paraId="56049DAD">
            <w:pPr>
              <w:adjustRightInd w:val="0"/>
              <w:snapToGrid w:val="0"/>
              <w:spacing w:line="280" w:lineRule="exact"/>
              <w:jc w:val="left"/>
              <w:rPr>
                <w:rFonts w:hint="eastAsia" w:ascii="楷体" w:hAnsi="楷体" w:eastAsia="楷体" w:cs="楷体"/>
                <w:color w:val="000000"/>
                <w:sz w:val="21"/>
                <w:szCs w:val="21"/>
                <w:lang w:eastAsia="zh-TW"/>
              </w:rPr>
            </w:pPr>
            <w:r>
              <w:rPr>
                <w:rFonts w:hint="eastAsia" w:ascii="楷体" w:hAnsi="楷体" w:eastAsia="楷体" w:cs="楷体"/>
                <w:color w:val="000000"/>
                <w:sz w:val="21"/>
                <w:szCs w:val="21"/>
                <w:lang w:val="en-US" w:eastAsia="zh-TW"/>
              </w:rPr>
              <w:t xml:space="preserve">  课程目标2：对掌握了一定基础的学生加强训练，使其会初步的基础教学。</w:t>
            </w:r>
          </w:p>
        </w:tc>
        <w:tc>
          <w:tcPr>
            <w:tcW w:w="1567" w:type="dxa"/>
          </w:tcPr>
          <w:p w14:paraId="2A9B5D1C">
            <w:pPr>
              <w:widowControl/>
              <w:adjustRightInd w:val="0"/>
              <w:snapToGrid w:val="0"/>
              <w:spacing w:line="280" w:lineRule="exact"/>
              <w:ind w:firstLine="420"/>
              <w:jc w:val="left"/>
              <w:rPr>
                <w:rFonts w:hint="eastAsia" w:ascii="楷体" w:hAnsi="楷体" w:eastAsia="楷体" w:cs="楷体"/>
                <w:color w:val="000000"/>
                <w:sz w:val="21"/>
                <w:szCs w:val="21"/>
                <w:lang w:eastAsia="zh-TW"/>
              </w:rPr>
            </w:pPr>
            <w:r>
              <w:rPr>
                <w:rFonts w:hint="eastAsia" w:ascii="楷体" w:hAnsi="楷体" w:eastAsia="楷体" w:cs="楷体"/>
                <w:color w:val="000000"/>
                <w:sz w:val="21"/>
                <w:szCs w:val="21"/>
                <w:lang w:val="en-US" w:eastAsia="zh-TW"/>
              </w:rPr>
              <w:t>能够扎实掌握管乐课堂教学方法与教学规律，具备协助集体、编排管乐活动较强能力</w:t>
            </w:r>
          </w:p>
        </w:tc>
        <w:tc>
          <w:tcPr>
            <w:tcW w:w="1567" w:type="dxa"/>
          </w:tcPr>
          <w:p w14:paraId="6916C81E">
            <w:pPr>
              <w:widowControl/>
              <w:adjustRightInd w:val="0"/>
              <w:snapToGrid w:val="0"/>
              <w:ind w:firstLine="420" w:firstLineChars="200"/>
              <w:rPr>
                <w:rFonts w:hint="eastAsia" w:ascii="楷体" w:hAnsi="楷体" w:eastAsia="楷体" w:cs="楷体"/>
                <w:color w:val="000000"/>
                <w:sz w:val="21"/>
                <w:szCs w:val="21"/>
                <w:lang w:eastAsia="zh-TW"/>
              </w:rPr>
            </w:pPr>
            <w:r>
              <w:rPr>
                <w:rFonts w:hint="eastAsia" w:ascii="楷体" w:hAnsi="楷体" w:eastAsia="楷体" w:cs="楷体"/>
                <w:color w:val="000000"/>
                <w:sz w:val="21"/>
                <w:szCs w:val="21"/>
                <w:lang w:val="en-US" w:eastAsia="zh-TW"/>
              </w:rPr>
              <w:t>能够较好掌握管乐课堂教学方法与教学规律，具备协助集体、编排管乐活动较强能力</w:t>
            </w:r>
          </w:p>
        </w:tc>
        <w:tc>
          <w:tcPr>
            <w:tcW w:w="1567" w:type="dxa"/>
          </w:tcPr>
          <w:p w14:paraId="3D3B038D">
            <w:pPr>
              <w:widowControl/>
              <w:adjustRightInd w:val="0"/>
              <w:snapToGrid w:val="0"/>
              <w:spacing w:line="280" w:lineRule="exact"/>
              <w:ind w:firstLine="420"/>
              <w:jc w:val="left"/>
              <w:rPr>
                <w:rFonts w:hint="eastAsia" w:ascii="楷体" w:hAnsi="楷体" w:eastAsia="楷体" w:cs="楷体"/>
                <w:color w:val="000000"/>
                <w:sz w:val="21"/>
                <w:szCs w:val="21"/>
                <w:lang w:eastAsia="zh-TW"/>
              </w:rPr>
            </w:pPr>
            <w:r>
              <w:rPr>
                <w:rFonts w:hint="eastAsia" w:ascii="楷体" w:hAnsi="楷体" w:eastAsia="楷体" w:cs="楷体"/>
                <w:color w:val="000000"/>
                <w:sz w:val="21"/>
                <w:szCs w:val="21"/>
                <w:lang w:val="en-US" w:eastAsia="zh-TW"/>
              </w:rPr>
              <w:t>能够较好掌握管乐课堂教学方法与教学规律，具备协助集体、编排管乐活动较强能力</w:t>
            </w:r>
          </w:p>
        </w:tc>
        <w:tc>
          <w:tcPr>
            <w:tcW w:w="1567" w:type="dxa"/>
          </w:tcPr>
          <w:p w14:paraId="40C2F943">
            <w:pPr>
              <w:widowControl/>
              <w:adjustRightInd w:val="0"/>
              <w:snapToGrid w:val="0"/>
              <w:spacing w:line="280" w:lineRule="exact"/>
              <w:ind w:firstLine="420"/>
              <w:jc w:val="left"/>
              <w:rPr>
                <w:rFonts w:hint="eastAsia" w:ascii="楷体" w:hAnsi="楷体" w:eastAsia="楷体" w:cs="楷体"/>
                <w:color w:val="000000"/>
                <w:sz w:val="21"/>
                <w:szCs w:val="21"/>
                <w:lang w:eastAsia="zh-TW"/>
              </w:rPr>
            </w:pPr>
            <w:r>
              <w:rPr>
                <w:rFonts w:hint="eastAsia" w:ascii="楷体" w:hAnsi="楷体" w:eastAsia="楷体" w:cs="楷体"/>
                <w:color w:val="000000"/>
                <w:sz w:val="21"/>
                <w:szCs w:val="21"/>
                <w:lang w:val="en-US" w:eastAsia="zh-TW"/>
              </w:rPr>
              <w:t>能够基本掌握管乐课堂教学方法与教学规律，具备协助集体、编排管乐活动较强能力</w:t>
            </w:r>
          </w:p>
        </w:tc>
        <w:tc>
          <w:tcPr>
            <w:tcW w:w="1568" w:type="dxa"/>
          </w:tcPr>
          <w:p w14:paraId="1DD8963B">
            <w:pPr>
              <w:widowControl/>
              <w:adjustRightInd w:val="0"/>
              <w:snapToGrid w:val="0"/>
              <w:spacing w:line="280" w:lineRule="exact"/>
              <w:ind w:firstLine="315" w:firstLineChars="150"/>
              <w:jc w:val="left"/>
              <w:rPr>
                <w:rFonts w:hint="eastAsia" w:ascii="楷体" w:hAnsi="楷体" w:eastAsia="楷体" w:cs="楷体"/>
                <w:color w:val="000000"/>
                <w:sz w:val="21"/>
                <w:szCs w:val="21"/>
                <w:lang w:eastAsia="zh-TW"/>
              </w:rPr>
            </w:pPr>
            <w:r>
              <w:rPr>
                <w:rFonts w:hint="eastAsia" w:ascii="楷体" w:hAnsi="楷体" w:eastAsia="楷体" w:cs="楷体"/>
                <w:color w:val="000000"/>
                <w:sz w:val="21"/>
                <w:szCs w:val="21"/>
                <w:lang w:val="en-US" w:eastAsia="zh-TW"/>
              </w:rPr>
              <w:t>未能掌握管乐课堂教学方法与教学规律，具备协助集体、编排管乐活动较强能力欠缺</w:t>
            </w:r>
          </w:p>
        </w:tc>
      </w:tr>
      <w:tr w14:paraId="73B103E6">
        <w:trPr>
          <w:trHeight w:val="857" w:hRule="atLeast"/>
          <w:jc w:val="center"/>
        </w:trPr>
        <w:tc>
          <w:tcPr>
            <w:tcW w:w="1567" w:type="dxa"/>
          </w:tcPr>
          <w:p w14:paraId="3527F253">
            <w:pPr>
              <w:adjustRightInd w:val="0"/>
              <w:snapToGrid w:val="0"/>
              <w:spacing w:line="280" w:lineRule="exact"/>
              <w:jc w:val="left"/>
              <w:rPr>
                <w:rFonts w:hint="eastAsia" w:ascii="楷体" w:hAnsi="楷体" w:eastAsia="楷体" w:cs="楷体"/>
                <w:color w:val="000000"/>
                <w:sz w:val="21"/>
                <w:szCs w:val="21"/>
                <w:lang w:eastAsia="zh-TW"/>
              </w:rPr>
            </w:pPr>
            <w:r>
              <w:rPr>
                <w:rFonts w:hint="eastAsia" w:ascii="楷体" w:hAnsi="楷体" w:eastAsia="楷体" w:cs="楷体"/>
                <w:color w:val="000000"/>
                <w:sz w:val="21"/>
                <w:szCs w:val="21"/>
                <w:lang w:val="en-US" w:eastAsia="zh-TW"/>
              </w:rPr>
              <w:t xml:space="preserve">  课程目标3：能够知晓管乐发展的趋势、动态以及与生产实践和社会生活的联系。对管乐基础理论与实践产生研究兴趣。</w:t>
            </w:r>
          </w:p>
        </w:tc>
        <w:tc>
          <w:tcPr>
            <w:tcW w:w="1567" w:type="dxa"/>
          </w:tcPr>
          <w:p w14:paraId="1135EF1D">
            <w:pPr>
              <w:widowControl/>
              <w:adjustRightInd w:val="0"/>
              <w:snapToGrid w:val="0"/>
              <w:spacing w:line="280" w:lineRule="exact"/>
              <w:ind w:firstLine="420"/>
              <w:jc w:val="left"/>
              <w:rPr>
                <w:rFonts w:hint="eastAsia" w:ascii="楷体" w:hAnsi="楷体" w:eastAsia="楷体" w:cs="楷体"/>
                <w:color w:val="000000"/>
                <w:sz w:val="21"/>
                <w:szCs w:val="21"/>
                <w:lang w:eastAsia="zh-TW"/>
              </w:rPr>
            </w:pPr>
            <w:r>
              <w:rPr>
                <w:rFonts w:hint="eastAsia" w:ascii="楷体" w:hAnsi="楷体" w:eastAsia="楷体" w:cs="楷体"/>
                <w:color w:val="000000"/>
                <w:sz w:val="21"/>
                <w:szCs w:val="21"/>
                <w:lang w:val="en-US" w:eastAsia="zh-TW"/>
              </w:rPr>
              <w:t>具备运用各乐器在集体中来表达情感和理解音乐的能力，充分领会管乐教学的意义，在管乐的基础理论与实践中具有较强理解能力</w:t>
            </w:r>
          </w:p>
        </w:tc>
        <w:tc>
          <w:tcPr>
            <w:tcW w:w="1567" w:type="dxa"/>
          </w:tcPr>
          <w:p w14:paraId="65A82F0B">
            <w:pPr>
              <w:widowControl/>
              <w:adjustRightInd w:val="0"/>
              <w:snapToGrid w:val="0"/>
              <w:ind w:firstLine="420" w:firstLineChars="200"/>
              <w:rPr>
                <w:rFonts w:hint="eastAsia" w:ascii="楷体" w:hAnsi="楷体" w:eastAsia="楷体" w:cs="楷体"/>
                <w:color w:val="000000"/>
                <w:sz w:val="21"/>
                <w:szCs w:val="21"/>
                <w:lang w:eastAsia="zh-TW"/>
              </w:rPr>
            </w:pPr>
            <w:r>
              <w:rPr>
                <w:rFonts w:hint="eastAsia" w:ascii="楷体" w:hAnsi="楷体" w:eastAsia="楷体" w:cs="楷体"/>
                <w:color w:val="000000"/>
                <w:sz w:val="21"/>
                <w:szCs w:val="21"/>
                <w:lang w:val="en-US" w:eastAsia="zh-TW"/>
              </w:rPr>
              <w:t>具备运用各乐器在集体中来表达情感和理解音乐的能力，充分领会管乐教学的意义，在管乐的基础理论与实践中具有较强理解能力</w:t>
            </w:r>
          </w:p>
        </w:tc>
        <w:tc>
          <w:tcPr>
            <w:tcW w:w="1567" w:type="dxa"/>
          </w:tcPr>
          <w:p w14:paraId="6A3BBC5A">
            <w:pPr>
              <w:widowControl/>
              <w:adjustRightInd w:val="0"/>
              <w:snapToGrid w:val="0"/>
              <w:spacing w:line="280" w:lineRule="exact"/>
              <w:ind w:firstLine="420"/>
              <w:jc w:val="left"/>
              <w:rPr>
                <w:rFonts w:hint="eastAsia" w:ascii="楷体" w:hAnsi="楷体" w:eastAsia="楷体" w:cs="楷体"/>
                <w:color w:val="000000"/>
                <w:sz w:val="21"/>
                <w:szCs w:val="21"/>
                <w:lang w:eastAsia="zh-TW"/>
              </w:rPr>
            </w:pPr>
            <w:r>
              <w:rPr>
                <w:rFonts w:hint="eastAsia" w:ascii="楷体" w:hAnsi="楷体" w:eastAsia="楷体" w:cs="楷体"/>
                <w:color w:val="000000"/>
                <w:sz w:val="21"/>
                <w:szCs w:val="21"/>
                <w:lang w:val="en-US" w:eastAsia="zh-TW"/>
              </w:rPr>
              <w:t>具备运用各乐器在集体中来表达情感和理解音乐的能力，充分领会管乐教学的意义，在管乐的基础理论与实践中具有较强理解能力</w:t>
            </w:r>
          </w:p>
        </w:tc>
        <w:tc>
          <w:tcPr>
            <w:tcW w:w="1567" w:type="dxa"/>
          </w:tcPr>
          <w:p w14:paraId="406D1B77">
            <w:pPr>
              <w:widowControl/>
              <w:adjustRightInd w:val="0"/>
              <w:snapToGrid w:val="0"/>
              <w:spacing w:line="280" w:lineRule="exact"/>
              <w:ind w:firstLine="420"/>
              <w:jc w:val="left"/>
              <w:rPr>
                <w:rFonts w:hint="eastAsia" w:ascii="楷体" w:hAnsi="楷体" w:eastAsia="楷体" w:cs="楷体"/>
                <w:color w:val="000000"/>
                <w:sz w:val="21"/>
                <w:szCs w:val="21"/>
                <w:lang w:eastAsia="zh-TW"/>
              </w:rPr>
            </w:pPr>
            <w:r>
              <w:rPr>
                <w:rFonts w:hint="eastAsia" w:ascii="楷体" w:hAnsi="楷体" w:eastAsia="楷体" w:cs="楷体"/>
                <w:color w:val="000000"/>
                <w:sz w:val="21"/>
                <w:szCs w:val="21"/>
                <w:lang w:val="en-US" w:eastAsia="zh-TW"/>
              </w:rPr>
              <w:t>具备运用各乐器在集体中来表达情感和理解音乐的能力，充分领会管乐教学的意义，在管乐的基础理论与实践中具有较强理解能力</w:t>
            </w:r>
          </w:p>
        </w:tc>
        <w:tc>
          <w:tcPr>
            <w:tcW w:w="1568" w:type="dxa"/>
          </w:tcPr>
          <w:p w14:paraId="2F946E2F">
            <w:pPr>
              <w:widowControl/>
              <w:adjustRightInd w:val="0"/>
              <w:snapToGrid w:val="0"/>
              <w:spacing w:line="280" w:lineRule="exact"/>
              <w:ind w:firstLine="315" w:firstLineChars="150"/>
              <w:jc w:val="left"/>
              <w:rPr>
                <w:rFonts w:hint="eastAsia" w:ascii="楷体" w:hAnsi="楷体" w:eastAsia="楷体" w:cs="楷体"/>
                <w:color w:val="000000"/>
                <w:sz w:val="21"/>
                <w:szCs w:val="21"/>
                <w:lang w:eastAsia="zh-TW"/>
              </w:rPr>
            </w:pPr>
            <w:r>
              <w:rPr>
                <w:rFonts w:hint="eastAsia" w:ascii="楷体" w:hAnsi="楷体" w:eastAsia="楷体" w:cs="楷体"/>
                <w:color w:val="000000"/>
                <w:sz w:val="21"/>
                <w:szCs w:val="21"/>
                <w:lang w:val="en-US" w:eastAsia="zh-TW"/>
              </w:rPr>
              <w:t>不具备运用各乐器在集体中来表达情感和理解音乐的能力，未能充分领会管乐教学的意义，在管乐的基础理论与实践中理解能力有限</w:t>
            </w:r>
          </w:p>
        </w:tc>
      </w:tr>
    </w:tbl>
    <w:p w14:paraId="30C6D30C">
      <w:pPr>
        <w:rPr>
          <w:sz w:val="2"/>
          <w:szCs w:val="2"/>
        </w:rPr>
        <w:sectPr>
          <w:headerReference r:id="rId31" w:type="default"/>
          <w:footerReference r:id="rId32" w:type="default"/>
          <w:pgSz w:w="11906" w:h="16838"/>
          <w:pgMar w:top="1440" w:right="1800" w:bottom="1440" w:left="1800" w:header="851" w:footer="992" w:gutter="0"/>
          <w:cols w:space="425" w:num="1"/>
          <w:docGrid w:type="lines" w:linePitch="312" w:charSpace="0"/>
        </w:sectPr>
      </w:pPr>
    </w:p>
    <w:p w14:paraId="7F891B56">
      <w:pPr>
        <w:spacing w:line="560" w:lineRule="exact"/>
        <w:jc w:val="center"/>
        <w:rPr>
          <w:rFonts w:hint="eastAsia" w:eastAsia="方正小标宋简体"/>
          <w:sz w:val="44"/>
          <w:szCs w:val="44"/>
        </w:rPr>
      </w:pPr>
      <w:r>
        <w:rPr>
          <w:rFonts w:hint="eastAsia" w:ascii="方正小标宋简体" w:hAnsi="方正小标宋简体" w:eastAsia="方正小标宋简体" w:cs="方正小标宋简体"/>
          <w:b w:val="0"/>
          <w:bCs w:val="0"/>
          <w:kern w:val="44"/>
          <w:sz w:val="44"/>
          <w:szCs w:val="44"/>
          <w:lang w:val="en-US" w:eastAsia="zh-CN" w:bidi="ar-SA"/>
        </w:rPr>
        <w:t>三明学院音乐学（音乐教育）专业</w:t>
      </w:r>
    </w:p>
    <w:p w14:paraId="06FB0BCF">
      <w:pPr>
        <w:pStyle w:val="2"/>
        <w:spacing w:before="0" w:beforeAutospacing="0" w:after="0" w:afterAutospacing="0" w:line="520" w:lineRule="exact"/>
        <w:jc w:val="center"/>
        <w:rPr>
          <w:rFonts w:hint="eastAsia" w:ascii="方正小标宋简体" w:hAnsi="方正小标宋简体" w:eastAsia="方正小标宋简体" w:cs="方正小标宋简体"/>
          <w:b w:val="0"/>
          <w:bCs w:val="0"/>
          <w:kern w:val="2"/>
          <w:sz w:val="44"/>
          <w:szCs w:val="44"/>
          <w:lang w:val="en-US" w:eastAsia="zh-CN"/>
        </w:rPr>
      </w:pPr>
      <w:bookmarkStart w:id="82" w:name="_Toc369382017"/>
      <w:r>
        <w:rPr>
          <w:rFonts w:hint="eastAsia" w:ascii="方正小标宋简体" w:hAnsi="方正小标宋简体" w:eastAsia="方正小标宋简体" w:cs="方正小标宋简体"/>
          <w:b w:val="0"/>
          <w:bCs w:val="0"/>
          <w:kern w:val="2"/>
          <w:sz w:val="44"/>
          <w:szCs w:val="44"/>
          <w:lang w:val="en-US" w:eastAsia="zh-CN"/>
        </w:rPr>
        <w:t>《师德与法规》课程教学大纲</w:t>
      </w:r>
      <w:bookmarkEnd w:id="82"/>
    </w:p>
    <w:p w14:paraId="24C0223F">
      <w:pPr>
        <w:spacing w:line="560" w:lineRule="exact"/>
        <w:jc w:val="center"/>
        <w:rPr>
          <w:rFonts w:hint="eastAsia" w:eastAsia="方正小标宋简体"/>
          <w:sz w:val="24"/>
          <w:szCs w:val="24"/>
        </w:rPr>
      </w:pPr>
    </w:p>
    <w:tbl>
      <w:tblPr>
        <w:tblStyle w:val="22"/>
        <w:tblW w:w="9148"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28" w:type="dxa"/>
        </w:tblCellMar>
      </w:tblPr>
      <w:tblGrid>
        <w:gridCol w:w="1376"/>
        <w:gridCol w:w="1032"/>
        <w:gridCol w:w="142"/>
        <w:gridCol w:w="335"/>
        <w:gridCol w:w="1260"/>
        <w:gridCol w:w="1100"/>
        <w:gridCol w:w="113"/>
        <w:gridCol w:w="106"/>
        <w:gridCol w:w="70"/>
        <w:gridCol w:w="830"/>
        <w:gridCol w:w="445"/>
        <w:gridCol w:w="545"/>
        <w:gridCol w:w="870"/>
        <w:gridCol w:w="145"/>
        <w:gridCol w:w="779"/>
      </w:tblGrid>
      <w:tr w14:paraId="17A3F93E">
        <w:trPr>
          <w:trHeight w:val="454" w:hRule="atLeast"/>
        </w:trPr>
        <w:tc>
          <w:tcPr>
            <w:tcW w:w="1376" w:type="dxa"/>
            <w:vAlign w:val="center"/>
          </w:tcPr>
          <w:p w14:paraId="7A0B1B52">
            <w:pPr>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课程名称</w:t>
            </w:r>
          </w:p>
        </w:tc>
        <w:tc>
          <w:tcPr>
            <w:tcW w:w="4988" w:type="dxa"/>
            <w:gridSpan w:val="9"/>
            <w:vAlign w:val="center"/>
          </w:tcPr>
          <w:p w14:paraId="6A7B42A4">
            <w:pPr>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rPr>
              <w:t>《师德与法规》</w:t>
            </w:r>
          </w:p>
        </w:tc>
        <w:tc>
          <w:tcPr>
            <w:tcW w:w="445" w:type="dxa"/>
            <w:vAlign w:val="center"/>
          </w:tcPr>
          <w:p w14:paraId="6352EC66">
            <w:pPr>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w:t>
            </w:r>
          </w:p>
          <w:p w14:paraId="5D89416A">
            <w:pPr>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代码</w:t>
            </w:r>
          </w:p>
        </w:tc>
        <w:tc>
          <w:tcPr>
            <w:tcW w:w="2339" w:type="dxa"/>
            <w:gridSpan w:val="4"/>
            <w:vAlign w:val="center"/>
          </w:tcPr>
          <w:p w14:paraId="2809790F">
            <w:pPr>
              <w:spacing w:line="240" w:lineRule="atLeast"/>
              <w:jc w:val="center"/>
              <w:rPr>
                <w:rFonts w:hint="eastAsia" w:ascii="仿宋" w:hAnsi="仿宋" w:eastAsia="仿宋" w:cs="仿宋"/>
                <w:color w:val="000000"/>
                <w:sz w:val="24"/>
              </w:rPr>
            </w:pPr>
            <w:r>
              <w:rPr>
                <w:rFonts w:hint="eastAsia" w:ascii="仿宋" w:hAnsi="仿宋" w:eastAsia="仿宋" w:cs="仿宋"/>
                <w:color w:val="000000"/>
                <w:sz w:val="24"/>
              </w:rPr>
              <w:t>1212301611</w:t>
            </w:r>
          </w:p>
        </w:tc>
      </w:tr>
      <w:tr w14:paraId="48B4A319">
        <w:trPr>
          <w:trHeight w:val="454" w:hRule="atLeast"/>
        </w:trPr>
        <w:tc>
          <w:tcPr>
            <w:tcW w:w="1376" w:type="dxa"/>
            <w:vAlign w:val="center"/>
          </w:tcPr>
          <w:p w14:paraId="1BB71E83">
            <w:pPr>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课程类型</w:t>
            </w:r>
          </w:p>
        </w:tc>
        <w:tc>
          <w:tcPr>
            <w:tcW w:w="7772" w:type="dxa"/>
            <w:gridSpan w:val="14"/>
            <w:vAlign w:val="center"/>
          </w:tcPr>
          <w:p w14:paraId="7856FFE2">
            <w:pPr>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通识必修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通识选修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专业必修 </w:t>
            </w:r>
          </w:p>
          <w:p w14:paraId="108B0D47">
            <w:pPr>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专业选修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教师教育必修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教师教育选修</w:t>
            </w:r>
          </w:p>
        </w:tc>
      </w:tr>
      <w:tr w14:paraId="23273817">
        <w:trPr>
          <w:trHeight w:val="406" w:hRule="atLeast"/>
        </w:trPr>
        <w:tc>
          <w:tcPr>
            <w:tcW w:w="1376" w:type="dxa"/>
            <w:vAlign w:val="center"/>
          </w:tcPr>
          <w:p w14:paraId="440B35B2">
            <w:pPr>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开课学期</w:t>
            </w:r>
          </w:p>
        </w:tc>
        <w:tc>
          <w:tcPr>
            <w:tcW w:w="1509" w:type="dxa"/>
            <w:gridSpan w:val="3"/>
            <w:vAlign w:val="center"/>
          </w:tcPr>
          <w:p w14:paraId="12D2A1AF">
            <w:pPr>
              <w:spacing w:line="240" w:lineRule="atLeast"/>
              <w:jc w:val="center"/>
              <w:rPr>
                <w:rFonts w:hint="eastAsia" w:ascii="仿宋" w:hAnsi="仿宋" w:eastAsia="仿宋" w:cs="仿宋"/>
                <w:color w:val="4472C4"/>
                <w:sz w:val="24"/>
                <w:szCs w:val="24"/>
              </w:rPr>
            </w:pPr>
            <w:r>
              <w:rPr>
                <w:rFonts w:hint="eastAsia" w:ascii="仿宋" w:hAnsi="仿宋" w:eastAsia="仿宋" w:cs="仿宋"/>
                <w:color w:val="000000"/>
                <w:sz w:val="24"/>
              </w:rPr>
              <w:t>第1/2/4学期</w:t>
            </w:r>
          </w:p>
        </w:tc>
        <w:tc>
          <w:tcPr>
            <w:tcW w:w="1260" w:type="dxa"/>
            <w:vAlign w:val="center"/>
          </w:tcPr>
          <w:p w14:paraId="6BFAF26D">
            <w:pPr>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学分</w:t>
            </w:r>
          </w:p>
        </w:tc>
        <w:tc>
          <w:tcPr>
            <w:tcW w:w="1213" w:type="dxa"/>
            <w:gridSpan w:val="2"/>
            <w:vAlign w:val="center"/>
          </w:tcPr>
          <w:p w14:paraId="4652A138">
            <w:pPr>
              <w:spacing w:line="240" w:lineRule="atLeast"/>
              <w:jc w:val="center"/>
              <w:rPr>
                <w:rFonts w:hint="eastAsia" w:ascii="仿宋" w:hAnsi="仿宋" w:eastAsia="仿宋" w:cs="仿宋"/>
                <w:color w:val="000000"/>
                <w:sz w:val="24"/>
              </w:rPr>
            </w:pPr>
            <w:r>
              <w:rPr>
                <w:rFonts w:hint="eastAsia" w:ascii="仿宋" w:hAnsi="仿宋" w:eastAsia="仿宋" w:cs="仿宋"/>
                <w:color w:val="000000"/>
                <w:sz w:val="24"/>
              </w:rPr>
              <w:t>1</w:t>
            </w:r>
          </w:p>
        </w:tc>
        <w:tc>
          <w:tcPr>
            <w:tcW w:w="1451" w:type="dxa"/>
            <w:gridSpan w:val="4"/>
            <w:vAlign w:val="center"/>
          </w:tcPr>
          <w:p w14:paraId="3935E295">
            <w:pPr>
              <w:spacing w:line="240" w:lineRule="atLeast"/>
              <w:jc w:val="center"/>
              <w:rPr>
                <w:rFonts w:hint="eastAsia" w:ascii="仿宋" w:hAnsi="仿宋" w:eastAsia="仿宋" w:cs="仿宋"/>
                <w:color w:val="4472C4"/>
                <w:sz w:val="24"/>
                <w:szCs w:val="24"/>
              </w:rPr>
            </w:pPr>
            <w:r>
              <w:rPr>
                <w:rFonts w:hint="eastAsia" w:ascii="仿宋" w:hAnsi="仿宋" w:eastAsia="仿宋" w:cs="仿宋"/>
                <w:color w:val="000000"/>
                <w:sz w:val="24"/>
              </w:rPr>
              <w:t>课程负责人</w:t>
            </w:r>
          </w:p>
        </w:tc>
        <w:tc>
          <w:tcPr>
            <w:tcW w:w="2339" w:type="dxa"/>
            <w:gridSpan w:val="4"/>
            <w:vAlign w:val="center"/>
          </w:tcPr>
          <w:p w14:paraId="50406B06">
            <w:pPr>
              <w:spacing w:line="240" w:lineRule="atLeast"/>
              <w:jc w:val="center"/>
              <w:rPr>
                <w:rFonts w:hint="eastAsia" w:ascii="仿宋" w:hAnsi="仿宋" w:eastAsia="仿宋" w:cs="仿宋"/>
                <w:color w:val="4472C4"/>
                <w:sz w:val="24"/>
                <w:szCs w:val="24"/>
              </w:rPr>
            </w:pPr>
            <w:r>
              <w:rPr>
                <w:rFonts w:hint="eastAsia" w:ascii="仿宋" w:hAnsi="仿宋" w:eastAsia="仿宋" w:cs="仿宋"/>
                <w:color w:val="000000"/>
                <w:sz w:val="24"/>
              </w:rPr>
              <w:t>郭晓琳</w:t>
            </w:r>
          </w:p>
        </w:tc>
      </w:tr>
      <w:tr w14:paraId="011F5293">
        <w:trPr>
          <w:trHeight w:val="485" w:hRule="atLeast"/>
        </w:trPr>
        <w:tc>
          <w:tcPr>
            <w:tcW w:w="1376" w:type="dxa"/>
            <w:vAlign w:val="center"/>
          </w:tcPr>
          <w:p w14:paraId="669EF003">
            <w:pPr>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总学时</w:t>
            </w:r>
          </w:p>
        </w:tc>
        <w:tc>
          <w:tcPr>
            <w:tcW w:w="1509" w:type="dxa"/>
            <w:gridSpan w:val="3"/>
            <w:vAlign w:val="center"/>
          </w:tcPr>
          <w:p w14:paraId="7E7C820A">
            <w:pPr>
              <w:spacing w:line="240" w:lineRule="atLeast"/>
              <w:jc w:val="center"/>
              <w:rPr>
                <w:rFonts w:hint="eastAsia" w:ascii="仿宋" w:hAnsi="仿宋" w:eastAsia="仿宋" w:cs="仿宋"/>
                <w:color w:val="000000"/>
                <w:sz w:val="24"/>
              </w:rPr>
            </w:pPr>
            <w:r>
              <w:rPr>
                <w:rFonts w:hint="eastAsia" w:ascii="仿宋" w:hAnsi="仿宋" w:eastAsia="仿宋" w:cs="仿宋"/>
                <w:color w:val="000000"/>
                <w:sz w:val="24"/>
              </w:rPr>
              <w:t>16</w:t>
            </w:r>
          </w:p>
        </w:tc>
        <w:tc>
          <w:tcPr>
            <w:tcW w:w="1260" w:type="dxa"/>
            <w:vAlign w:val="center"/>
          </w:tcPr>
          <w:p w14:paraId="34AFE36F">
            <w:pPr>
              <w:spacing w:line="240" w:lineRule="atLeast"/>
              <w:jc w:val="center"/>
              <w:rPr>
                <w:rFonts w:hint="eastAsia" w:ascii="仿宋" w:hAnsi="仿宋" w:eastAsia="仿宋" w:cs="仿宋"/>
                <w:color w:val="000000"/>
                <w:sz w:val="24"/>
              </w:rPr>
            </w:pPr>
            <w:r>
              <w:rPr>
                <w:rFonts w:hint="eastAsia" w:ascii="仿宋" w:hAnsi="仿宋" w:eastAsia="仿宋" w:cs="仿宋"/>
                <w:color w:val="000000"/>
                <w:sz w:val="24"/>
              </w:rPr>
              <w:t>理论学时</w:t>
            </w:r>
          </w:p>
        </w:tc>
        <w:tc>
          <w:tcPr>
            <w:tcW w:w="1213" w:type="dxa"/>
            <w:gridSpan w:val="2"/>
            <w:vAlign w:val="center"/>
          </w:tcPr>
          <w:p w14:paraId="0D8F3329">
            <w:pPr>
              <w:spacing w:line="240" w:lineRule="atLeast"/>
              <w:jc w:val="center"/>
              <w:rPr>
                <w:rFonts w:hint="eastAsia" w:ascii="仿宋" w:hAnsi="仿宋" w:eastAsia="仿宋" w:cs="仿宋"/>
                <w:color w:val="000000"/>
                <w:sz w:val="24"/>
              </w:rPr>
            </w:pPr>
            <w:r>
              <w:rPr>
                <w:rFonts w:hint="eastAsia" w:ascii="仿宋" w:hAnsi="仿宋" w:eastAsia="仿宋" w:cs="仿宋"/>
                <w:color w:val="000000"/>
                <w:sz w:val="24"/>
              </w:rPr>
              <w:t>16</w:t>
            </w:r>
          </w:p>
        </w:tc>
        <w:tc>
          <w:tcPr>
            <w:tcW w:w="1451" w:type="dxa"/>
            <w:gridSpan w:val="4"/>
            <w:tcBorders>
              <w:right w:val="single" w:color="000000" w:sz="4" w:space="0"/>
            </w:tcBorders>
            <w:vAlign w:val="center"/>
          </w:tcPr>
          <w:p w14:paraId="42FEDAE2">
            <w:pPr>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实践学时</w:t>
            </w:r>
          </w:p>
        </w:tc>
        <w:tc>
          <w:tcPr>
            <w:tcW w:w="2339" w:type="dxa"/>
            <w:gridSpan w:val="4"/>
            <w:tcBorders>
              <w:left w:val="single" w:color="000000" w:sz="4" w:space="0"/>
            </w:tcBorders>
            <w:vAlign w:val="center"/>
          </w:tcPr>
          <w:p w14:paraId="3D96D8B9">
            <w:pPr>
              <w:spacing w:line="240" w:lineRule="atLeast"/>
              <w:jc w:val="center"/>
              <w:rPr>
                <w:rFonts w:hint="eastAsia" w:ascii="仿宋" w:hAnsi="仿宋" w:eastAsia="仿宋" w:cs="仿宋"/>
                <w:color w:val="4472C4"/>
                <w:sz w:val="24"/>
                <w:szCs w:val="24"/>
              </w:rPr>
            </w:pPr>
            <w:r>
              <w:rPr>
                <w:rFonts w:hint="eastAsia" w:ascii="仿宋" w:hAnsi="仿宋" w:eastAsia="仿宋" w:cs="仿宋"/>
                <w:color w:val="4472C4"/>
                <w:sz w:val="24"/>
                <w:szCs w:val="24"/>
              </w:rPr>
              <w:t>0</w:t>
            </w:r>
          </w:p>
        </w:tc>
      </w:tr>
      <w:tr w14:paraId="0745340A">
        <w:trPr>
          <w:trHeight w:val="454" w:hRule="atLeast"/>
        </w:trPr>
        <w:tc>
          <w:tcPr>
            <w:tcW w:w="1376" w:type="dxa"/>
            <w:vAlign w:val="center"/>
          </w:tcPr>
          <w:p w14:paraId="07093DCB">
            <w:pPr>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先修课程与后续课程</w:t>
            </w:r>
          </w:p>
        </w:tc>
        <w:tc>
          <w:tcPr>
            <w:tcW w:w="7772" w:type="dxa"/>
            <w:gridSpan w:val="14"/>
            <w:vAlign w:val="center"/>
          </w:tcPr>
          <w:p w14:paraId="273B8EF4">
            <w:pPr>
              <w:tabs>
                <w:tab w:val="left" w:pos="720"/>
              </w:tabs>
              <w:jc w:val="left"/>
              <w:rPr>
                <w:rFonts w:hint="eastAsia" w:ascii="仿宋" w:hAnsi="仿宋" w:eastAsia="仿宋" w:cs="仿宋"/>
                <w:color w:val="000000"/>
                <w:sz w:val="24"/>
              </w:rPr>
            </w:pPr>
            <w:r>
              <w:rPr>
                <w:rFonts w:hint="eastAsia" w:ascii="仿宋" w:hAnsi="仿宋" w:eastAsia="仿宋" w:cs="仿宋"/>
                <w:color w:val="000000"/>
                <w:sz w:val="24"/>
              </w:rPr>
              <w:t>先修课程：思想道德修养与法律基础</w:t>
            </w:r>
          </w:p>
          <w:p w14:paraId="5732C766">
            <w:pPr>
              <w:tabs>
                <w:tab w:val="left" w:pos="720"/>
              </w:tabs>
              <w:jc w:val="left"/>
              <w:rPr>
                <w:rFonts w:hint="eastAsia" w:ascii="仿宋" w:hAnsi="仿宋" w:eastAsia="仿宋" w:cs="仿宋"/>
                <w:color w:val="000000"/>
                <w:sz w:val="24"/>
                <w:szCs w:val="24"/>
              </w:rPr>
            </w:pPr>
            <w:r>
              <w:rPr>
                <w:rFonts w:hint="eastAsia" w:ascii="仿宋" w:hAnsi="仿宋" w:eastAsia="仿宋" w:cs="仿宋"/>
                <w:color w:val="000000"/>
                <w:sz w:val="24"/>
              </w:rPr>
              <w:t>后续课程：教育学</w:t>
            </w:r>
          </w:p>
        </w:tc>
      </w:tr>
      <w:tr w14:paraId="04F20C1F">
        <w:trPr>
          <w:trHeight w:val="454" w:hRule="atLeast"/>
        </w:trPr>
        <w:tc>
          <w:tcPr>
            <w:tcW w:w="1376" w:type="dxa"/>
            <w:vAlign w:val="center"/>
          </w:tcPr>
          <w:p w14:paraId="0BB24FF3">
            <w:pPr>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适用专业</w:t>
            </w:r>
          </w:p>
        </w:tc>
        <w:tc>
          <w:tcPr>
            <w:tcW w:w="7772" w:type="dxa"/>
            <w:gridSpan w:val="14"/>
            <w:vAlign w:val="center"/>
          </w:tcPr>
          <w:p w14:paraId="230F7916">
            <w:pPr>
              <w:tabs>
                <w:tab w:val="left" w:pos="720"/>
              </w:tabs>
              <w:jc w:val="center"/>
              <w:rPr>
                <w:rFonts w:hint="eastAsia" w:ascii="仿宋" w:hAnsi="仿宋" w:eastAsia="仿宋" w:cs="仿宋"/>
                <w:color w:val="000000"/>
                <w:sz w:val="24"/>
              </w:rPr>
            </w:pPr>
            <w:r>
              <w:rPr>
                <w:rFonts w:hint="eastAsia" w:ascii="仿宋" w:hAnsi="仿宋" w:eastAsia="仿宋" w:cs="仿宋"/>
                <w:color w:val="000000"/>
                <w:sz w:val="24"/>
              </w:rPr>
              <w:t>除小学教育、学前教育之外的其他师范类专业</w:t>
            </w:r>
          </w:p>
        </w:tc>
      </w:tr>
      <w:tr w14:paraId="533E7105">
        <w:tc>
          <w:tcPr>
            <w:tcW w:w="1376" w:type="dxa"/>
            <w:tcBorders>
              <w:bottom w:val="single" w:color="auto" w:sz="4" w:space="0"/>
            </w:tcBorders>
            <w:vAlign w:val="center"/>
          </w:tcPr>
          <w:p w14:paraId="3C6F9D14">
            <w:pPr>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A</w:t>
            </w:r>
          </w:p>
          <w:p w14:paraId="537751E4">
            <w:pPr>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参考教材</w:t>
            </w:r>
          </w:p>
        </w:tc>
        <w:tc>
          <w:tcPr>
            <w:tcW w:w="7772" w:type="dxa"/>
            <w:gridSpan w:val="14"/>
            <w:tcBorders>
              <w:bottom w:val="single" w:color="auto" w:sz="4" w:space="0"/>
            </w:tcBorders>
            <w:vAlign w:val="center"/>
          </w:tcPr>
          <w:p w14:paraId="0A400A5E">
            <w:pPr>
              <w:rPr>
                <w:rFonts w:hint="eastAsia" w:ascii="仿宋" w:hAnsi="仿宋" w:eastAsia="仿宋" w:cs="仿宋"/>
                <w:color w:val="000000"/>
                <w:sz w:val="24"/>
              </w:rPr>
            </w:pPr>
            <w:r>
              <w:rPr>
                <w:rFonts w:hint="eastAsia" w:ascii="仿宋" w:hAnsi="仿宋" w:eastAsia="仿宋" w:cs="仿宋"/>
                <w:color w:val="000000"/>
                <w:sz w:val="24"/>
              </w:rPr>
              <w:t>郭晓琳，基于教师资格和招聘考试的教育法律法规与政策，厦门大学出版社，2019年</w:t>
            </w:r>
          </w:p>
        </w:tc>
      </w:tr>
      <w:tr w14:paraId="1A2A7FBF">
        <w:tc>
          <w:tcPr>
            <w:tcW w:w="1376" w:type="dxa"/>
            <w:tcBorders>
              <w:bottom w:val="single" w:color="auto" w:sz="4" w:space="0"/>
            </w:tcBorders>
            <w:vAlign w:val="center"/>
          </w:tcPr>
          <w:p w14:paraId="039B649F">
            <w:pPr>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B</w:t>
            </w:r>
          </w:p>
          <w:p w14:paraId="77ECACEB">
            <w:pPr>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主要参考书籍</w:t>
            </w:r>
          </w:p>
        </w:tc>
        <w:tc>
          <w:tcPr>
            <w:tcW w:w="7772" w:type="dxa"/>
            <w:gridSpan w:val="14"/>
            <w:tcBorders>
              <w:bottom w:val="single" w:color="auto" w:sz="4" w:space="0"/>
            </w:tcBorders>
            <w:vAlign w:val="center"/>
          </w:tcPr>
          <w:p w14:paraId="186778A3">
            <w:pPr>
              <w:tabs>
                <w:tab w:val="left" w:pos="720"/>
              </w:tabs>
              <w:rPr>
                <w:rFonts w:hint="eastAsia" w:ascii="仿宋" w:hAnsi="仿宋" w:eastAsia="仿宋" w:cs="仿宋"/>
                <w:color w:val="000000"/>
                <w:sz w:val="24"/>
              </w:rPr>
            </w:pPr>
            <w:r>
              <w:rPr>
                <w:rFonts w:hint="eastAsia" w:ascii="仿宋" w:hAnsi="仿宋" w:eastAsia="仿宋" w:cs="仿宋"/>
                <w:color w:val="000000"/>
                <w:sz w:val="24"/>
              </w:rPr>
              <w:t>[1]陈惠津，教师职业道德与教育法规，华中师范大学出版社，2017</w:t>
            </w:r>
          </w:p>
          <w:p w14:paraId="297CFECE">
            <w:pPr>
              <w:rPr>
                <w:rFonts w:hint="eastAsia" w:ascii="仿宋" w:hAnsi="仿宋" w:eastAsia="仿宋" w:cs="仿宋"/>
                <w:color w:val="000000"/>
                <w:sz w:val="24"/>
              </w:rPr>
            </w:pPr>
            <w:r>
              <w:rPr>
                <w:rFonts w:hint="eastAsia" w:ascii="仿宋" w:hAnsi="仿宋" w:eastAsia="仿宋" w:cs="仿宋"/>
                <w:color w:val="000000"/>
                <w:sz w:val="24"/>
              </w:rPr>
              <w:t>[2]陈玉祥，教师职业道德，南京大学出版社，2018</w:t>
            </w:r>
          </w:p>
          <w:p w14:paraId="60393ABB">
            <w:pPr>
              <w:tabs>
                <w:tab w:val="left" w:pos="720"/>
              </w:tabs>
              <w:rPr>
                <w:rFonts w:hint="eastAsia" w:ascii="仿宋" w:hAnsi="仿宋" w:eastAsia="仿宋" w:cs="仿宋"/>
                <w:color w:val="000000"/>
                <w:sz w:val="24"/>
              </w:rPr>
            </w:pPr>
            <w:r>
              <w:rPr>
                <w:rFonts w:hint="eastAsia" w:ascii="仿宋" w:hAnsi="仿宋" w:eastAsia="仿宋" w:cs="仿宋"/>
                <w:color w:val="000000"/>
                <w:sz w:val="24"/>
              </w:rPr>
              <w:t>[3]张乐天，教育政策法规的理论与实践（第三版），华东师范大学出版社，2016</w:t>
            </w:r>
          </w:p>
        </w:tc>
      </w:tr>
      <w:tr w14:paraId="3A8721B5">
        <w:tc>
          <w:tcPr>
            <w:tcW w:w="1376" w:type="dxa"/>
            <w:tcBorders>
              <w:bottom w:val="single" w:color="auto" w:sz="4" w:space="0"/>
            </w:tcBorders>
            <w:vAlign w:val="center"/>
          </w:tcPr>
          <w:p w14:paraId="78D6DB75">
            <w:pPr>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C</w:t>
            </w:r>
          </w:p>
          <w:p w14:paraId="2CAFBB19">
            <w:pPr>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线上学习资源</w:t>
            </w:r>
          </w:p>
        </w:tc>
        <w:tc>
          <w:tcPr>
            <w:tcW w:w="7772" w:type="dxa"/>
            <w:gridSpan w:val="14"/>
            <w:tcBorders>
              <w:bottom w:val="single" w:color="auto" w:sz="4" w:space="0"/>
            </w:tcBorders>
            <w:vAlign w:val="center"/>
          </w:tcPr>
          <w:p w14:paraId="4A09670B">
            <w:pPr>
              <w:rPr>
                <w:rFonts w:hint="eastAsia" w:ascii="仿宋" w:hAnsi="仿宋" w:eastAsia="仿宋" w:cs="仿宋"/>
                <w:color w:val="4472C4"/>
                <w:sz w:val="24"/>
                <w:szCs w:val="24"/>
              </w:rPr>
            </w:pPr>
            <w:r>
              <w:rPr>
                <w:rFonts w:hint="eastAsia" w:ascii="仿宋" w:hAnsi="仿宋" w:eastAsia="仿宋" w:cs="仿宋"/>
                <w:color w:val="000000"/>
                <w:sz w:val="24"/>
              </w:rPr>
              <w:t>本课程授课教师已自行准备教学资源上传至超星网络学习平台，学生登陆可查看教学大纲、授课计划、考核方法、课程PPT、教学视频、电子教材等教学资源。</w:t>
            </w:r>
          </w:p>
        </w:tc>
      </w:tr>
      <w:tr w14:paraId="54A6BEE5">
        <w:trPr>
          <w:trHeight w:val="90" w:hRule="atLeast"/>
        </w:trPr>
        <w:tc>
          <w:tcPr>
            <w:tcW w:w="1376" w:type="dxa"/>
            <w:shd w:val="clear" w:color="auto" w:fill="FFFFFF"/>
            <w:vAlign w:val="center"/>
          </w:tcPr>
          <w:p w14:paraId="456EF70D">
            <w:pPr>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D</w:t>
            </w:r>
          </w:p>
          <w:p w14:paraId="181F74EE">
            <w:pPr>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课程描述 </w:t>
            </w:r>
          </w:p>
          <w:p w14:paraId="657E4628">
            <w:pPr>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lang w:eastAsia="zh-TW"/>
              </w:rPr>
              <w:t>(</w:t>
            </w:r>
            <w:r>
              <w:rPr>
                <w:rFonts w:hint="eastAsia" w:ascii="仿宋" w:hAnsi="仿宋" w:eastAsia="仿宋" w:cs="仿宋"/>
                <w:color w:val="000000"/>
                <w:sz w:val="24"/>
                <w:szCs w:val="24"/>
              </w:rPr>
              <w:t>含</w:t>
            </w:r>
            <w:r>
              <w:rPr>
                <w:rFonts w:hint="eastAsia" w:ascii="仿宋" w:hAnsi="仿宋" w:eastAsia="仿宋" w:cs="仿宋"/>
                <w:color w:val="000000"/>
                <w:sz w:val="24"/>
                <w:szCs w:val="24"/>
                <w:lang w:eastAsia="zh-TW"/>
              </w:rPr>
              <w:t>性质、地位和任务)</w:t>
            </w:r>
          </w:p>
        </w:tc>
        <w:tc>
          <w:tcPr>
            <w:tcW w:w="7772" w:type="dxa"/>
            <w:gridSpan w:val="14"/>
            <w:tcBorders>
              <w:bottom w:val="single" w:color="auto" w:sz="4" w:space="0"/>
            </w:tcBorders>
            <w:shd w:val="clear" w:color="auto" w:fill="FFFFFF"/>
            <w:vAlign w:val="center"/>
          </w:tcPr>
          <w:p w14:paraId="630B14B2">
            <w:pPr>
              <w:rPr>
                <w:rFonts w:hint="eastAsia" w:ascii="仿宋" w:hAnsi="仿宋" w:eastAsia="仿宋" w:cs="仿宋"/>
                <w:color w:val="000000"/>
                <w:sz w:val="24"/>
              </w:rPr>
            </w:pPr>
            <w:r>
              <w:rPr>
                <w:rFonts w:hint="eastAsia" w:ascii="仿宋" w:hAnsi="仿宋" w:eastAsia="仿宋" w:cs="仿宋"/>
                <w:color w:val="000000"/>
                <w:sz w:val="24"/>
              </w:rPr>
              <w:t>本课程是师范类专业一门重要的教师教育课程，是师范生的教师教育基础必修课程，是国家教师资格考试和教师招聘考试的必考内容。师德即教师职业道德，是教师在从事教育劳动中所遵循的行为准则和必备的道德品质，是教师行业的特殊道德要求。促进学生对师德和教育法律法规的了解,培养学生良好的教师职业道德，提高执行教育法律法规的水平,并增进学生在这两个领域的理论知识修养；提高依法执教、依法治教能力，培养有较高理论水平、较强实践能力的高素质教育人才。</w:t>
            </w:r>
          </w:p>
        </w:tc>
      </w:tr>
      <w:tr w14:paraId="2F9829BA">
        <w:trPr>
          <w:trHeight w:val="769" w:hRule="atLeast"/>
        </w:trPr>
        <w:tc>
          <w:tcPr>
            <w:tcW w:w="1376" w:type="dxa"/>
            <w:vMerge w:val="restart"/>
            <w:shd w:val="clear" w:color="auto" w:fill="FFFFFF"/>
            <w:vAlign w:val="center"/>
          </w:tcPr>
          <w:p w14:paraId="7A32A6F8">
            <w:pPr>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E</w:t>
            </w:r>
          </w:p>
          <w:p w14:paraId="381CFC17">
            <w:pPr>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课程学习目标及其与毕业要求的对应关系</w:t>
            </w:r>
          </w:p>
        </w:tc>
        <w:tc>
          <w:tcPr>
            <w:tcW w:w="7772" w:type="dxa"/>
            <w:gridSpan w:val="14"/>
            <w:tcBorders>
              <w:bottom w:val="single" w:color="auto" w:sz="4" w:space="0"/>
            </w:tcBorders>
            <w:shd w:val="clear" w:color="auto" w:fill="FFFFFF"/>
            <w:vAlign w:val="center"/>
          </w:tcPr>
          <w:p w14:paraId="4089C1C4">
            <w:pPr>
              <w:rPr>
                <w:rFonts w:hint="eastAsia" w:ascii="仿宋" w:hAnsi="仿宋" w:eastAsia="仿宋" w:cs="仿宋"/>
                <w:color w:val="000000"/>
                <w:sz w:val="24"/>
              </w:rPr>
            </w:pPr>
            <w:r>
              <w:rPr>
                <w:rFonts w:hint="eastAsia" w:ascii="仿宋" w:hAnsi="仿宋" w:eastAsia="仿宋" w:cs="仿宋"/>
                <w:color w:val="000000"/>
                <w:sz w:val="24"/>
              </w:rPr>
              <w:t>通过本课程的学习，学生具备如下知识、能力及情感态度价值观：</w:t>
            </w:r>
          </w:p>
          <w:p w14:paraId="78B22FB3">
            <w:pPr>
              <w:rPr>
                <w:rFonts w:hint="eastAsia" w:ascii="仿宋" w:hAnsi="仿宋" w:eastAsia="仿宋" w:cs="仿宋"/>
                <w:color w:val="000000"/>
                <w:sz w:val="24"/>
              </w:rPr>
            </w:pPr>
            <w:r>
              <w:rPr>
                <w:rFonts w:hint="eastAsia" w:ascii="仿宋" w:hAnsi="仿宋" w:eastAsia="仿宋" w:cs="仿宋"/>
                <w:color w:val="000000"/>
                <w:sz w:val="24"/>
              </w:rPr>
              <w:t>课程目标1：理解并掌握师德规范和教育法律法规；能践行社会主义核心价值观，贯彻党的教育方针，坚定立德树人的理念，严格遵守教育法律法规，牢固树立依法执教的意识。（支撑毕业要求1.1，1.2）</w:t>
            </w:r>
          </w:p>
          <w:p w14:paraId="611D5CDB">
            <w:pPr>
              <w:rPr>
                <w:rFonts w:hint="eastAsia" w:ascii="仿宋" w:hAnsi="仿宋" w:eastAsia="仿宋" w:cs="仿宋"/>
                <w:color w:val="000000"/>
                <w:sz w:val="24"/>
              </w:rPr>
            </w:pPr>
            <w:r>
              <w:rPr>
                <w:rFonts w:hint="eastAsia" w:ascii="仿宋" w:hAnsi="仿宋" w:eastAsia="仿宋" w:cs="仿宋"/>
                <w:color w:val="000000"/>
                <w:sz w:val="24"/>
              </w:rPr>
              <w:t>课程目标2：在掌握师德规范、教育法律法规的基础上，树立德育为先理念，认同教师在立德树人上的工作意义，尊重学生人格，关爱学生，严格依法执教。（支撑毕业要求2.2，5.1）</w:t>
            </w:r>
          </w:p>
        </w:tc>
      </w:tr>
      <w:tr w14:paraId="25AD7651">
        <w:trPr>
          <w:trHeight w:val="642" w:hRule="atLeast"/>
        </w:trPr>
        <w:tc>
          <w:tcPr>
            <w:tcW w:w="1376" w:type="dxa"/>
            <w:vMerge w:val="continue"/>
            <w:shd w:val="clear" w:color="auto" w:fill="FFFFFF"/>
            <w:vAlign w:val="center"/>
          </w:tcPr>
          <w:p w14:paraId="5C8AD2E9">
            <w:pPr>
              <w:spacing w:line="240" w:lineRule="atLeast"/>
              <w:jc w:val="center"/>
              <w:rPr>
                <w:rFonts w:hint="eastAsia" w:ascii="仿宋" w:hAnsi="仿宋" w:eastAsia="仿宋" w:cs="仿宋"/>
                <w:color w:val="000000"/>
                <w:sz w:val="24"/>
                <w:szCs w:val="24"/>
              </w:rPr>
            </w:pPr>
          </w:p>
        </w:tc>
        <w:tc>
          <w:tcPr>
            <w:tcW w:w="1174" w:type="dxa"/>
            <w:gridSpan w:val="2"/>
            <w:tcBorders>
              <w:bottom w:val="single" w:color="auto" w:sz="4" w:space="0"/>
            </w:tcBorders>
            <w:shd w:val="clear" w:color="auto" w:fill="FFFFFF"/>
            <w:vAlign w:val="center"/>
          </w:tcPr>
          <w:p w14:paraId="11D2746F">
            <w:pPr>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w:t>
            </w:r>
          </w:p>
        </w:tc>
        <w:tc>
          <w:tcPr>
            <w:tcW w:w="4804" w:type="dxa"/>
            <w:gridSpan w:val="9"/>
            <w:tcBorders>
              <w:bottom w:val="single" w:color="auto" w:sz="4" w:space="0"/>
            </w:tcBorders>
            <w:shd w:val="clear" w:color="auto" w:fill="FFFFFF"/>
            <w:vAlign w:val="center"/>
          </w:tcPr>
          <w:p w14:paraId="5D327D95">
            <w:pPr>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毕业要求分解指标点</w:t>
            </w:r>
          </w:p>
        </w:tc>
        <w:tc>
          <w:tcPr>
            <w:tcW w:w="1794" w:type="dxa"/>
            <w:gridSpan w:val="3"/>
            <w:tcBorders>
              <w:bottom w:val="single" w:color="auto" w:sz="4" w:space="0"/>
            </w:tcBorders>
            <w:shd w:val="clear" w:color="auto" w:fill="FFFFFF"/>
            <w:vAlign w:val="center"/>
          </w:tcPr>
          <w:p w14:paraId="17890984">
            <w:pPr>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毕业要求</w:t>
            </w:r>
          </w:p>
        </w:tc>
      </w:tr>
      <w:tr w14:paraId="1CF15275">
        <w:trPr>
          <w:trHeight w:val="2811" w:hRule="atLeast"/>
        </w:trPr>
        <w:tc>
          <w:tcPr>
            <w:tcW w:w="1376" w:type="dxa"/>
            <w:vMerge w:val="continue"/>
            <w:shd w:val="clear" w:color="auto" w:fill="FFFFFF"/>
            <w:vAlign w:val="center"/>
          </w:tcPr>
          <w:p w14:paraId="4D3CA601">
            <w:pPr>
              <w:spacing w:line="240" w:lineRule="atLeast"/>
              <w:jc w:val="center"/>
              <w:rPr>
                <w:rFonts w:hint="eastAsia" w:ascii="仿宋" w:hAnsi="仿宋" w:eastAsia="仿宋" w:cs="仿宋"/>
                <w:color w:val="000000"/>
                <w:sz w:val="24"/>
                <w:szCs w:val="24"/>
              </w:rPr>
            </w:pPr>
          </w:p>
        </w:tc>
        <w:tc>
          <w:tcPr>
            <w:tcW w:w="1174" w:type="dxa"/>
            <w:gridSpan w:val="2"/>
            <w:shd w:val="clear" w:color="auto" w:fill="FFFFFF"/>
            <w:vAlign w:val="center"/>
          </w:tcPr>
          <w:p w14:paraId="21A5FE8C">
            <w:pPr>
              <w:jc w:val="center"/>
              <w:rPr>
                <w:rFonts w:hint="eastAsia" w:ascii="仿宋" w:hAnsi="仿宋" w:eastAsia="仿宋" w:cs="仿宋"/>
                <w:color w:val="000000"/>
                <w:sz w:val="24"/>
              </w:rPr>
            </w:pPr>
            <w:r>
              <w:rPr>
                <w:rFonts w:hint="eastAsia" w:ascii="仿宋" w:hAnsi="仿宋" w:eastAsia="仿宋" w:cs="仿宋"/>
                <w:color w:val="000000"/>
                <w:sz w:val="24"/>
              </w:rPr>
              <w:t>课程目标1</w:t>
            </w:r>
          </w:p>
        </w:tc>
        <w:tc>
          <w:tcPr>
            <w:tcW w:w="4804" w:type="dxa"/>
            <w:gridSpan w:val="9"/>
            <w:shd w:val="clear" w:color="auto" w:fill="FFFFFF"/>
            <w:vAlign w:val="center"/>
          </w:tcPr>
          <w:p w14:paraId="396CDB00">
            <w:pPr>
              <w:jc w:val="left"/>
              <w:rPr>
                <w:rFonts w:hint="eastAsia" w:ascii="仿宋" w:hAnsi="仿宋" w:eastAsia="仿宋" w:cs="仿宋"/>
                <w:color w:val="000000"/>
                <w:sz w:val="24"/>
              </w:rPr>
            </w:pPr>
            <w:r>
              <w:rPr>
                <w:rFonts w:hint="eastAsia" w:ascii="仿宋" w:hAnsi="仿宋" w:eastAsia="仿宋" w:cs="仿宋"/>
                <w:color w:val="000000"/>
                <w:sz w:val="24"/>
              </w:rPr>
              <w:t>1.1【坚定信念】认同和践行社会主义核心价值观，遵守师德规范，具有依法执教意识，自觉维护学生与自身的合法权益，树立职业理想，立志成为“四有”好老师。</w:t>
            </w:r>
          </w:p>
          <w:p w14:paraId="6C337E78">
            <w:pPr>
              <w:jc w:val="left"/>
              <w:rPr>
                <w:rFonts w:hint="eastAsia" w:ascii="仿宋" w:hAnsi="仿宋" w:eastAsia="仿宋" w:cs="仿宋"/>
                <w:color w:val="000000"/>
                <w:sz w:val="24"/>
              </w:rPr>
            </w:pPr>
            <w:r>
              <w:rPr>
                <w:rFonts w:hint="eastAsia" w:ascii="仿宋" w:hAnsi="仿宋" w:eastAsia="仿宋" w:cs="仿宋"/>
                <w:color w:val="000000"/>
                <w:sz w:val="24"/>
              </w:rPr>
              <w:t>1.2【立德树人】具有正确的学生观、教师观、教育观、艺术观，坚定立德树人的理念，掌握立德树人的途径与方法，能够依据德智体美劳全面发展的教育方针开展教育教学。</w:t>
            </w:r>
          </w:p>
        </w:tc>
        <w:tc>
          <w:tcPr>
            <w:tcW w:w="1794" w:type="dxa"/>
            <w:gridSpan w:val="3"/>
            <w:shd w:val="clear" w:color="auto" w:fill="FFFFFF"/>
            <w:vAlign w:val="center"/>
          </w:tcPr>
          <w:p w14:paraId="1C4046FA">
            <w:pPr>
              <w:jc w:val="center"/>
              <w:rPr>
                <w:rFonts w:hint="eastAsia" w:ascii="仿宋" w:hAnsi="仿宋" w:eastAsia="仿宋" w:cs="仿宋"/>
                <w:color w:val="4472C4"/>
                <w:sz w:val="24"/>
                <w:szCs w:val="24"/>
              </w:rPr>
            </w:pPr>
            <w:r>
              <w:rPr>
                <w:rFonts w:hint="eastAsia" w:ascii="仿宋" w:hAnsi="仿宋" w:eastAsia="仿宋" w:cs="仿宋"/>
                <w:sz w:val="24"/>
              </w:rPr>
              <w:t>师德规范(1)</w:t>
            </w:r>
          </w:p>
        </w:tc>
      </w:tr>
      <w:tr w14:paraId="3CF688CF">
        <w:trPr>
          <w:trHeight w:val="817" w:hRule="atLeast"/>
        </w:trPr>
        <w:tc>
          <w:tcPr>
            <w:tcW w:w="1376" w:type="dxa"/>
            <w:vMerge w:val="continue"/>
            <w:shd w:val="clear" w:color="auto" w:fill="FFFFFF"/>
            <w:vAlign w:val="center"/>
          </w:tcPr>
          <w:p w14:paraId="7B9D5C0A">
            <w:pPr>
              <w:spacing w:line="240" w:lineRule="atLeast"/>
              <w:jc w:val="center"/>
              <w:rPr>
                <w:rFonts w:hint="eastAsia" w:ascii="仿宋" w:hAnsi="仿宋" w:eastAsia="仿宋" w:cs="仿宋"/>
                <w:color w:val="000000"/>
                <w:sz w:val="24"/>
                <w:szCs w:val="24"/>
              </w:rPr>
            </w:pPr>
          </w:p>
        </w:tc>
        <w:tc>
          <w:tcPr>
            <w:tcW w:w="1174" w:type="dxa"/>
            <w:gridSpan w:val="2"/>
            <w:shd w:val="clear" w:color="auto" w:fill="FFFFFF"/>
            <w:vAlign w:val="center"/>
          </w:tcPr>
          <w:p w14:paraId="2FE5359F">
            <w:pPr>
              <w:jc w:val="center"/>
              <w:rPr>
                <w:rFonts w:hint="eastAsia" w:ascii="仿宋" w:hAnsi="仿宋" w:eastAsia="仿宋" w:cs="仿宋"/>
                <w:color w:val="000000"/>
                <w:sz w:val="24"/>
              </w:rPr>
            </w:pPr>
            <w:r>
              <w:rPr>
                <w:rFonts w:hint="eastAsia" w:ascii="仿宋" w:hAnsi="仿宋" w:eastAsia="仿宋" w:cs="仿宋"/>
                <w:color w:val="000000"/>
                <w:sz w:val="24"/>
              </w:rPr>
              <w:t>课程目标2</w:t>
            </w:r>
          </w:p>
        </w:tc>
        <w:tc>
          <w:tcPr>
            <w:tcW w:w="4804" w:type="dxa"/>
            <w:gridSpan w:val="9"/>
            <w:shd w:val="clear" w:color="auto" w:fill="FFFFFF"/>
            <w:vAlign w:val="center"/>
          </w:tcPr>
          <w:p w14:paraId="5D1F6C6E">
            <w:pPr>
              <w:rPr>
                <w:rFonts w:ascii="仿宋" w:hAnsi="仿宋" w:eastAsia="仿宋" w:cs="仿宋"/>
                <w:color w:val="000000"/>
                <w:sz w:val="24"/>
              </w:rPr>
            </w:pPr>
            <w:r>
              <w:rPr>
                <w:rFonts w:hint="eastAsia" w:ascii="仿宋" w:hAnsi="仿宋" w:eastAsia="仿宋" w:cs="仿宋"/>
                <w:color w:val="000000"/>
                <w:sz w:val="24"/>
              </w:rPr>
              <w:t>2.2【用心从教】树立爱岗敬业精神，了解学生的身心发展特点和音乐的认知规律，关爱学生，保护学生安全，促进学生身心健康发展，在教育实践中能够认真履行工作职责、富有爱心、责任心，建立良好师生关系。</w:t>
            </w:r>
          </w:p>
          <w:p w14:paraId="75F7B2BA">
            <w:pPr>
              <w:rPr>
                <w:rFonts w:hint="eastAsia" w:ascii="仿宋" w:hAnsi="仿宋" w:eastAsia="仿宋" w:cs="仿宋"/>
                <w:color w:val="000000"/>
                <w:sz w:val="24"/>
              </w:rPr>
            </w:pPr>
            <w:r>
              <w:rPr>
                <w:rFonts w:hint="eastAsia" w:ascii="仿宋" w:hAnsi="仿宋" w:eastAsia="仿宋" w:cs="仿宋"/>
                <w:color w:val="000000"/>
                <w:sz w:val="24"/>
              </w:rPr>
              <w:t>5.1【育德意识】树立德育为先理念，了解中学德育原理与方法，利用音乐手段进行德育教育，有效地把美育和德育结合起来，针对中学生思想品德发展的规律和个性特征，有意识、有针对性的开展德育工作。</w:t>
            </w:r>
          </w:p>
        </w:tc>
        <w:tc>
          <w:tcPr>
            <w:tcW w:w="1794" w:type="dxa"/>
            <w:gridSpan w:val="3"/>
            <w:shd w:val="clear" w:color="auto" w:fill="FFFFFF"/>
            <w:vAlign w:val="center"/>
          </w:tcPr>
          <w:p w14:paraId="6508EDCF">
            <w:pPr>
              <w:jc w:val="center"/>
              <w:rPr>
                <w:rFonts w:hint="eastAsia" w:ascii="仿宋" w:hAnsi="仿宋" w:eastAsia="仿宋" w:cs="仿宋"/>
                <w:sz w:val="24"/>
              </w:rPr>
            </w:pPr>
            <w:r>
              <w:rPr>
                <w:rFonts w:hint="eastAsia" w:ascii="仿宋" w:hAnsi="仿宋" w:eastAsia="仿宋" w:cs="仿宋"/>
                <w:sz w:val="24"/>
              </w:rPr>
              <w:t>教育情怀(2)</w:t>
            </w:r>
          </w:p>
          <w:p w14:paraId="7BAE01AC">
            <w:pPr>
              <w:jc w:val="center"/>
              <w:rPr>
                <w:rFonts w:hint="eastAsia" w:ascii="仿宋" w:hAnsi="仿宋" w:eastAsia="仿宋" w:cs="仿宋"/>
                <w:color w:val="4472C4"/>
                <w:sz w:val="24"/>
                <w:szCs w:val="24"/>
              </w:rPr>
            </w:pPr>
            <w:r>
              <w:rPr>
                <w:rFonts w:hint="eastAsia" w:ascii="仿宋" w:hAnsi="仿宋" w:eastAsia="仿宋" w:cs="仿宋"/>
                <w:sz w:val="24"/>
              </w:rPr>
              <w:t>班级指导(5)</w:t>
            </w:r>
          </w:p>
        </w:tc>
      </w:tr>
      <w:tr w14:paraId="6E400477">
        <w:trPr>
          <w:trHeight w:val="582" w:hRule="atLeast"/>
        </w:trPr>
        <w:tc>
          <w:tcPr>
            <w:tcW w:w="1376" w:type="dxa"/>
            <w:vMerge w:val="restart"/>
            <w:shd w:val="clear" w:color="auto" w:fill="FFFFFF"/>
            <w:vAlign w:val="center"/>
          </w:tcPr>
          <w:p w14:paraId="7289B16A">
            <w:pPr>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F</w:t>
            </w:r>
          </w:p>
          <w:p w14:paraId="271A90E4">
            <w:pPr>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理论学习内容</w:t>
            </w:r>
          </w:p>
        </w:tc>
        <w:tc>
          <w:tcPr>
            <w:tcW w:w="5978" w:type="dxa"/>
            <w:gridSpan w:val="11"/>
            <w:shd w:val="clear" w:color="auto" w:fill="FFFFFF"/>
            <w:vAlign w:val="center"/>
          </w:tcPr>
          <w:p w14:paraId="2EF3EFB8">
            <w:pPr>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章节学习内容与学习要求</w:t>
            </w:r>
          </w:p>
        </w:tc>
        <w:tc>
          <w:tcPr>
            <w:tcW w:w="870" w:type="dxa"/>
            <w:shd w:val="clear" w:color="auto" w:fill="FFFFFF"/>
            <w:vAlign w:val="center"/>
          </w:tcPr>
          <w:p w14:paraId="61245F81">
            <w:pPr>
              <w:spacing w:line="240" w:lineRule="atLeas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支撑课程</w:t>
            </w:r>
          </w:p>
          <w:p w14:paraId="5EC0D70A">
            <w:pPr>
              <w:spacing w:line="240" w:lineRule="atLeas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目标</w:t>
            </w:r>
          </w:p>
        </w:tc>
        <w:tc>
          <w:tcPr>
            <w:tcW w:w="924" w:type="dxa"/>
            <w:gridSpan w:val="2"/>
            <w:shd w:val="clear" w:color="auto" w:fill="FFFFFF"/>
            <w:vAlign w:val="center"/>
          </w:tcPr>
          <w:p w14:paraId="55AC4774">
            <w:pPr>
              <w:spacing w:line="240" w:lineRule="atLeast"/>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学时</w:t>
            </w:r>
          </w:p>
          <w:p w14:paraId="33404EB1">
            <w:pPr>
              <w:spacing w:line="240" w:lineRule="atLeas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分配</w:t>
            </w:r>
          </w:p>
        </w:tc>
      </w:tr>
      <w:tr w14:paraId="05CD8E53">
        <w:trPr>
          <w:trHeight w:val="454" w:hRule="atLeast"/>
        </w:trPr>
        <w:tc>
          <w:tcPr>
            <w:tcW w:w="1376" w:type="dxa"/>
            <w:vMerge w:val="continue"/>
            <w:shd w:val="clear" w:color="auto" w:fill="FFFFFF"/>
            <w:vAlign w:val="center"/>
          </w:tcPr>
          <w:p w14:paraId="681D2017">
            <w:pPr>
              <w:spacing w:line="240" w:lineRule="atLeast"/>
              <w:jc w:val="right"/>
              <w:rPr>
                <w:rFonts w:hint="eastAsia" w:ascii="仿宋" w:hAnsi="仿宋" w:eastAsia="仿宋" w:cs="仿宋"/>
                <w:kern w:val="0"/>
                <w:sz w:val="24"/>
                <w:szCs w:val="24"/>
              </w:rPr>
            </w:pPr>
          </w:p>
        </w:tc>
        <w:tc>
          <w:tcPr>
            <w:tcW w:w="5978" w:type="dxa"/>
            <w:gridSpan w:val="11"/>
            <w:vAlign w:val="center"/>
          </w:tcPr>
          <w:p w14:paraId="08C071FF">
            <w:pPr>
              <w:pageBreakBefore w:val="0"/>
              <w:widowControl/>
              <w:kinsoku/>
              <w:overflowPunct/>
              <w:topLinePunct w:val="0"/>
              <w:bidi w:val="0"/>
              <w:spacing w:line="240" w:lineRule="auto"/>
              <w:rPr>
                <w:rFonts w:hint="eastAsia" w:ascii="仿宋" w:hAnsi="Times New Roman" w:eastAsia="仿宋" w:cs="Times New Roman"/>
                <w:sz w:val="24"/>
                <w:szCs w:val="24"/>
              </w:rPr>
            </w:pPr>
            <w:r>
              <w:rPr>
                <w:rFonts w:hint="eastAsia" w:ascii="仿宋" w:hAnsi="Times New Roman" w:eastAsia="仿宋" w:cs="Times New Roman"/>
                <w:sz w:val="24"/>
                <w:szCs w:val="24"/>
              </w:rPr>
              <w:t>第一章教育法律法规与政策基本原理</w:t>
            </w:r>
          </w:p>
          <w:p w14:paraId="41D60854">
            <w:pPr>
              <w:pageBreakBefore w:val="0"/>
              <w:widowControl/>
              <w:kinsoku/>
              <w:overflowPunct/>
              <w:topLinePunct w:val="0"/>
              <w:bidi w:val="0"/>
              <w:spacing w:line="240" w:lineRule="auto"/>
              <w:rPr>
                <w:rFonts w:hint="eastAsia" w:ascii="仿宋" w:hAnsi="Times New Roman" w:eastAsia="仿宋" w:cs="Times New Roman"/>
                <w:sz w:val="24"/>
                <w:szCs w:val="24"/>
              </w:rPr>
            </w:pPr>
            <w:r>
              <w:rPr>
                <w:rFonts w:hint="eastAsia" w:ascii="仿宋" w:hAnsi="Times New Roman" w:eastAsia="仿宋" w:cs="Times New Roman"/>
                <w:sz w:val="24"/>
                <w:szCs w:val="24"/>
              </w:rPr>
              <w:t>知道：教育法律法规的含义及与教育政策的区别。</w:t>
            </w:r>
          </w:p>
          <w:p w14:paraId="2664C01C">
            <w:pPr>
              <w:pageBreakBefore w:val="0"/>
              <w:widowControl/>
              <w:kinsoku/>
              <w:overflowPunct/>
              <w:topLinePunct w:val="0"/>
              <w:bidi w:val="0"/>
              <w:spacing w:line="240" w:lineRule="auto"/>
              <w:rPr>
                <w:rFonts w:hint="eastAsia" w:ascii="仿宋" w:hAnsi="Times New Roman" w:eastAsia="仿宋" w:cs="Times New Roman"/>
                <w:sz w:val="24"/>
                <w:szCs w:val="24"/>
              </w:rPr>
            </w:pPr>
            <w:r>
              <w:rPr>
                <w:rFonts w:hint="eastAsia" w:ascii="仿宋" w:hAnsi="Times New Roman" w:eastAsia="仿宋" w:cs="Times New Roman"/>
                <w:sz w:val="24"/>
                <w:szCs w:val="24"/>
              </w:rPr>
              <w:t>领会: 教育法律法规的重要性。</w:t>
            </w:r>
          </w:p>
          <w:p w14:paraId="667D6663">
            <w:pPr>
              <w:pageBreakBefore w:val="0"/>
              <w:widowControl/>
              <w:kinsoku/>
              <w:overflowPunct/>
              <w:topLinePunct w:val="0"/>
              <w:bidi w:val="0"/>
              <w:spacing w:line="240" w:lineRule="auto"/>
              <w:rPr>
                <w:rFonts w:hint="eastAsia" w:ascii="仿宋" w:hAnsi="Times New Roman" w:eastAsia="仿宋" w:cs="Times New Roman"/>
                <w:sz w:val="24"/>
                <w:szCs w:val="24"/>
              </w:rPr>
            </w:pPr>
            <w:r>
              <w:rPr>
                <w:rFonts w:hint="eastAsia" w:ascii="仿宋" w:hAnsi="Times New Roman" w:eastAsia="仿宋" w:cs="Times New Roman"/>
                <w:sz w:val="24"/>
                <w:szCs w:val="24"/>
              </w:rPr>
              <w:t xml:space="preserve">应用: 运用法律法规的教育功能促进学生初步树立依法执教意识。     </w:t>
            </w:r>
          </w:p>
          <w:p w14:paraId="5BED7317">
            <w:pPr>
              <w:pageBreakBefore w:val="0"/>
              <w:widowControl/>
              <w:kinsoku/>
              <w:overflowPunct/>
              <w:topLinePunct w:val="0"/>
              <w:bidi w:val="0"/>
              <w:spacing w:line="240" w:lineRule="auto"/>
              <w:rPr>
                <w:rFonts w:hint="eastAsia" w:ascii="仿宋" w:hAnsi="Times New Roman" w:eastAsia="仿宋" w:cs="Times New Roman"/>
                <w:sz w:val="24"/>
                <w:szCs w:val="24"/>
              </w:rPr>
            </w:pPr>
            <w:r>
              <w:rPr>
                <w:rFonts w:hint="eastAsia" w:ascii="仿宋" w:hAnsi="Times New Roman" w:eastAsia="仿宋" w:cs="Times New Roman"/>
                <w:sz w:val="24"/>
                <w:szCs w:val="24"/>
              </w:rPr>
              <w:t>课程思政元素：通过课程导论内容，解释什么是法，传播正确的法治理念和法治观念，培养学生基本的法治意识和法治素养，引导学生遵守法律、尊重法律、维护法律。</w:t>
            </w:r>
          </w:p>
        </w:tc>
        <w:tc>
          <w:tcPr>
            <w:tcW w:w="870" w:type="dxa"/>
            <w:vAlign w:val="center"/>
          </w:tcPr>
          <w:p w14:paraId="08406BBA">
            <w:pPr>
              <w:widowControl/>
              <w:jc w:val="center"/>
              <w:rPr>
                <w:rFonts w:hint="eastAsia" w:ascii="仿宋" w:hAnsi="仿宋" w:eastAsia="仿宋" w:cs="仿宋"/>
                <w:bCs/>
                <w:color w:val="4472C4"/>
                <w:sz w:val="24"/>
                <w:szCs w:val="24"/>
              </w:rPr>
            </w:pPr>
            <w:r>
              <w:rPr>
                <w:rFonts w:hint="eastAsia" w:ascii="仿宋" w:hAnsi="仿宋" w:eastAsia="仿宋" w:cs="仿宋"/>
                <w:kern w:val="0"/>
                <w:sz w:val="24"/>
                <w:szCs w:val="24"/>
              </w:rPr>
              <w:t>支撑课程目标1、</w:t>
            </w:r>
            <w:r>
              <w:rPr>
                <w:rFonts w:ascii="仿宋" w:hAnsi="仿宋" w:eastAsia="仿宋" w:cs="仿宋"/>
                <w:kern w:val="0"/>
                <w:sz w:val="24"/>
                <w:szCs w:val="24"/>
              </w:rPr>
              <w:t>2</w:t>
            </w:r>
          </w:p>
        </w:tc>
        <w:tc>
          <w:tcPr>
            <w:tcW w:w="924" w:type="dxa"/>
            <w:gridSpan w:val="2"/>
            <w:shd w:val="clear" w:color="auto" w:fill="FFFFFF"/>
            <w:vAlign w:val="center"/>
          </w:tcPr>
          <w:p w14:paraId="62FD13ED">
            <w:pPr>
              <w:jc w:val="center"/>
              <w:rPr>
                <w:rFonts w:hint="eastAsia" w:ascii="仿宋" w:hAnsi="仿宋" w:eastAsia="仿宋" w:cs="仿宋"/>
                <w:color w:val="4472C4"/>
                <w:sz w:val="24"/>
                <w:szCs w:val="24"/>
              </w:rPr>
            </w:pPr>
            <w:r>
              <w:rPr>
                <w:rFonts w:hint="eastAsia" w:ascii="仿宋" w:hAnsi="仿宋" w:eastAsia="仿宋" w:cs="仿宋"/>
                <w:kern w:val="0"/>
                <w:sz w:val="24"/>
                <w:szCs w:val="24"/>
              </w:rPr>
              <w:t>2</w:t>
            </w:r>
          </w:p>
        </w:tc>
      </w:tr>
      <w:tr w14:paraId="78900FE0">
        <w:trPr>
          <w:trHeight w:val="454" w:hRule="atLeast"/>
        </w:trPr>
        <w:tc>
          <w:tcPr>
            <w:tcW w:w="1376" w:type="dxa"/>
            <w:vMerge w:val="continue"/>
            <w:shd w:val="clear" w:color="auto" w:fill="FFFFFF"/>
            <w:vAlign w:val="center"/>
          </w:tcPr>
          <w:p w14:paraId="459683DF">
            <w:pPr>
              <w:spacing w:line="240" w:lineRule="atLeast"/>
              <w:jc w:val="right"/>
              <w:rPr>
                <w:rFonts w:hint="eastAsia" w:ascii="仿宋" w:hAnsi="仿宋" w:eastAsia="仿宋" w:cs="仿宋"/>
                <w:kern w:val="0"/>
                <w:sz w:val="24"/>
                <w:szCs w:val="24"/>
              </w:rPr>
            </w:pPr>
          </w:p>
        </w:tc>
        <w:tc>
          <w:tcPr>
            <w:tcW w:w="5978" w:type="dxa"/>
            <w:gridSpan w:val="11"/>
            <w:vAlign w:val="center"/>
          </w:tcPr>
          <w:p w14:paraId="5747E35B">
            <w:pPr>
              <w:pageBreakBefore w:val="0"/>
              <w:widowControl/>
              <w:kinsoku/>
              <w:overflowPunct/>
              <w:topLinePunct w:val="0"/>
              <w:bidi w:val="0"/>
              <w:spacing w:line="240" w:lineRule="auto"/>
              <w:rPr>
                <w:rFonts w:hint="eastAsia" w:ascii="仿宋" w:hAnsi="Times New Roman" w:eastAsia="仿宋" w:cs="Times New Roman"/>
                <w:sz w:val="24"/>
                <w:szCs w:val="24"/>
              </w:rPr>
            </w:pPr>
            <w:r>
              <w:rPr>
                <w:rFonts w:hint="eastAsia" w:ascii="仿宋" w:hAnsi="Times New Roman" w:eastAsia="仿宋" w:cs="Times New Roman"/>
                <w:sz w:val="24"/>
                <w:szCs w:val="24"/>
              </w:rPr>
              <w:t>第二章教育法</w:t>
            </w:r>
          </w:p>
          <w:p w14:paraId="32D61D54">
            <w:pPr>
              <w:pageBreakBefore w:val="0"/>
              <w:widowControl/>
              <w:kinsoku/>
              <w:overflowPunct/>
              <w:topLinePunct w:val="0"/>
              <w:bidi w:val="0"/>
              <w:spacing w:line="240" w:lineRule="auto"/>
              <w:rPr>
                <w:rFonts w:hint="eastAsia" w:ascii="仿宋" w:hAnsi="Times New Roman" w:eastAsia="仿宋" w:cs="Times New Roman"/>
                <w:sz w:val="24"/>
                <w:szCs w:val="24"/>
              </w:rPr>
            </w:pPr>
            <w:r>
              <w:rPr>
                <w:rFonts w:hint="eastAsia" w:ascii="仿宋" w:hAnsi="Times New Roman" w:eastAsia="仿宋" w:cs="Times New Roman"/>
                <w:sz w:val="24"/>
                <w:szCs w:val="24"/>
              </w:rPr>
              <w:t>知道：教育法的地位和主要内容。</w:t>
            </w:r>
          </w:p>
          <w:p w14:paraId="6FD35F08">
            <w:pPr>
              <w:pageBreakBefore w:val="0"/>
              <w:widowControl/>
              <w:kinsoku/>
              <w:overflowPunct/>
              <w:topLinePunct w:val="0"/>
              <w:bidi w:val="0"/>
              <w:spacing w:line="240" w:lineRule="auto"/>
              <w:rPr>
                <w:rFonts w:hint="eastAsia" w:ascii="仿宋" w:hAnsi="Times New Roman" w:eastAsia="仿宋" w:cs="Times New Roman"/>
                <w:sz w:val="24"/>
                <w:szCs w:val="24"/>
              </w:rPr>
            </w:pPr>
            <w:r>
              <w:rPr>
                <w:rFonts w:hint="eastAsia" w:ascii="仿宋" w:hAnsi="Times New Roman" w:eastAsia="仿宋" w:cs="Times New Roman"/>
                <w:sz w:val="24"/>
                <w:szCs w:val="24"/>
              </w:rPr>
              <w:t>领会：教育法的基本原则、学校和学生的权利义务。</w:t>
            </w:r>
          </w:p>
          <w:p w14:paraId="26C1A66D">
            <w:pPr>
              <w:pageBreakBefore w:val="0"/>
              <w:widowControl/>
              <w:kinsoku/>
              <w:overflowPunct/>
              <w:topLinePunct w:val="0"/>
              <w:bidi w:val="0"/>
              <w:spacing w:line="240" w:lineRule="auto"/>
              <w:rPr>
                <w:rFonts w:hint="eastAsia" w:ascii="仿宋" w:hAnsi="Times New Roman" w:eastAsia="仿宋" w:cs="Times New Roman"/>
                <w:sz w:val="24"/>
                <w:szCs w:val="24"/>
              </w:rPr>
            </w:pPr>
            <w:r>
              <w:rPr>
                <w:rFonts w:hint="eastAsia" w:ascii="仿宋" w:hAnsi="Times New Roman" w:eastAsia="仿宋" w:cs="Times New Roman"/>
                <w:sz w:val="24"/>
                <w:szCs w:val="24"/>
              </w:rPr>
              <w:t>应用：运用教育法的内容进一步树立依法执教意识</w:t>
            </w:r>
          </w:p>
          <w:p w14:paraId="655F6C48">
            <w:pPr>
              <w:pageBreakBefore w:val="0"/>
              <w:widowControl/>
              <w:kinsoku/>
              <w:overflowPunct/>
              <w:topLinePunct w:val="0"/>
              <w:bidi w:val="0"/>
              <w:spacing w:line="240" w:lineRule="auto"/>
              <w:rPr>
                <w:rFonts w:hint="eastAsia" w:ascii="仿宋" w:hAnsi="Times New Roman" w:eastAsia="仿宋" w:cs="Times New Roman"/>
                <w:sz w:val="24"/>
                <w:szCs w:val="24"/>
              </w:rPr>
            </w:pPr>
            <w:r>
              <w:rPr>
                <w:rFonts w:hint="eastAsia" w:ascii="仿宋" w:hAnsi="Times New Roman" w:eastAsia="仿宋" w:cs="Times New Roman"/>
                <w:sz w:val="24"/>
                <w:szCs w:val="24"/>
              </w:rPr>
              <w:t>分析：如何处理学校、教师、学生的关系</w:t>
            </w:r>
          </w:p>
          <w:p w14:paraId="3C41A4E5">
            <w:pPr>
              <w:pageBreakBefore w:val="0"/>
              <w:widowControl/>
              <w:kinsoku/>
              <w:overflowPunct/>
              <w:topLinePunct w:val="0"/>
              <w:bidi w:val="0"/>
              <w:spacing w:line="240" w:lineRule="auto"/>
              <w:rPr>
                <w:rFonts w:hint="eastAsia" w:ascii="仿宋" w:hAnsi="Times New Roman" w:eastAsia="仿宋" w:cs="Times New Roman"/>
                <w:sz w:val="24"/>
                <w:szCs w:val="24"/>
              </w:rPr>
            </w:pPr>
            <w:r>
              <w:rPr>
                <w:rFonts w:hint="eastAsia" w:ascii="仿宋" w:hAnsi="Times New Roman" w:eastAsia="仿宋" w:cs="Times New Roman"/>
                <w:sz w:val="24"/>
                <w:szCs w:val="24"/>
              </w:rPr>
              <w:t>综合：与其他相关法律法规的关系及如何分析案例</w:t>
            </w:r>
          </w:p>
          <w:p w14:paraId="06F2D332">
            <w:pPr>
              <w:pageBreakBefore w:val="0"/>
              <w:widowControl/>
              <w:kinsoku/>
              <w:overflowPunct/>
              <w:topLinePunct w:val="0"/>
              <w:bidi w:val="0"/>
              <w:spacing w:line="240" w:lineRule="auto"/>
              <w:rPr>
                <w:rFonts w:hint="eastAsia" w:ascii="仿宋" w:hAnsi="Times New Roman" w:eastAsia="仿宋" w:cs="Times New Roman"/>
                <w:sz w:val="24"/>
                <w:szCs w:val="24"/>
              </w:rPr>
            </w:pPr>
            <w:r>
              <w:rPr>
                <w:rFonts w:hint="eastAsia" w:ascii="仿宋" w:hAnsi="Times New Roman" w:eastAsia="仿宋" w:cs="Times New Roman"/>
                <w:sz w:val="24"/>
                <w:szCs w:val="24"/>
              </w:rPr>
              <w:t>评价：教育公平的重要性</w:t>
            </w:r>
          </w:p>
        </w:tc>
        <w:tc>
          <w:tcPr>
            <w:tcW w:w="870" w:type="dxa"/>
            <w:vAlign w:val="center"/>
          </w:tcPr>
          <w:p w14:paraId="4B72239F">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支撑课程目标1、2</w:t>
            </w:r>
          </w:p>
        </w:tc>
        <w:tc>
          <w:tcPr>
            <w:tcW w:w="924" w:type="dxa"/>
            <w:gridSpan w:val="2"/>
            <w:shd w:val="clear" w:color="auto" w:fill="FFFFFF"/>
            <w:vAlign w:val="center"/>
          </w:tcPr>
          <w:p w14:paraId="2DD3D00D">
            <w:pPr>
              <w:jc w:val="center"/>
              <w:rPr>
                <w:rFonts w:hint="eastAsia" w:ascii="仿宋" w:hAnsi="仿宋" w:eastAsia="仿宋" w:cs="仿宋"/>
                <w:kern w:val="0"/>
                <w:sz w:val="24"/>
                <w:szCs w:val="24"/>
              </w:rPr>
            </w:pPr>
            <w:r>
              <w:rPr>
                <w:rFonts w:hint="eastAsia" w:ascii="仿宋" w:hAnsi="仿宋" w:eastAsia="仿宋" w:cs="仿宋"/>
                <w:kern w:val="0"/>
                <w:sz w:val="24"/>
                <w:szCs w:val="24"/>
              </w:rPr>
              <w:t>3</w:t>
            </w:r>
          </w:p>
        </w:tc>
      </w:tr>
      <w:tr w14:paraId="6ADA0A66">
        <w:trPr>
          <w:trHeight w:val="454" w:hRule="atLeast"/>
        </w:trPr>
        <w:tc>
          <w:tcPr>
            <w:tcW w:w="1376" w:type="dxa"/>
            <w:vMerge w:val="continue"/>
            <w:shd w:val="clear" w:color="auto" w:fill="FFFFFF"/>
            <w:vAlign w:val="center"/>
          </w:tcPr>
          <w:p w14:paraId="003B42B8">
            <w:pPr>
              <w:spacing w:line="240" w:lineRule="atLeast"/>
              <w:jc w:val="right"/>
              <w:rPr>
                <w:rFonts w:hint="eastAsia" w:ascii="仿宋" w:hAnsi="仿宋" w:eastAsia="仿宋" w:cs="仿宋"/>
                <w:kern w:val="0"/>
                <w:sz w:val="24"/>
                <w:szCs w:val="24"/>
              </w:rPr>
            </w:pPr>
          </w:p>
        </w:tc>
        <w:tc>
          <w:tcPr>
            <w:tcW w:w="5978" w:type="dxa"/>
            <w:gridSpan w:val="11"/>
            <w:vAlign w:val="center"/>
          </w:tcPr>
          <w:p w14:paraId="56E45A97">
            <w:pPr>
              <w:rPr>
                <w:rFonts w:ascii="仿宋" w:hAnsi="仿宋" w:eastAsia="仿宋" w:cs="仿宋"/>
                <w:kern w:val="0"/>
                <w:sz w:val="24"/>
                <w:szCs w:val="24"/>
              </w:rPr>
            </w:pPr>
            <w:r>
              <w:rPr>
                <w:rFonts w:hint="eastAsia" w:ascii="仿宋" w:hAnsi="仿宋" w:eastAsia="仿宋" w:cs="仿宋"/>
                <w:kern w:val="0"/>
                <w:sz w:val="24"/>
                <w:szCs w:val="24"/>
              </w:rPr>
              <w:t>第三章义务教育法</w:t>
            </w:r>
          </w:p>
          <w:p w14:paraId="6DFE7E3A">
            <w:pPr>
              <w:rPr>
                <w:rFonts w:hint="eastAsia" w:ascii="仿宋" w:hAnsi="仿宋" w:eastAsia="仿宋" w:cs="仿宋"/>
                <w:kern w:val="0"/>
                <w:sz w:val="24"/>
                <w:szCs w:val="24"/>
              </w:rPr>
            </w:pPr>
            <w:r>
              <w:rPr>
                <w:rFonts w:hint="eastAsia" w:ascii="仿宋" w:hAnsi="仿宋" w:eastAsia="仿宋" w:cs="仿宋"/>
                <w:kern w:val="0"/>
                <w:sz w:val="24"/>
                <w:szCs w:val="24"/>
              </w:rPr>
              <w:t>知道：义务教育的特点及义务教育法的主要内容。</w:t>
            </w:r>
          </w:p>
          <w:p w14:paraId="5A3E3FA1">
            <w:pPr>
              <w:widowControl/>
              <w:rPr>
                <w:rFonts w:hint="eastAsia" w:ascii="仿宋" w:hAnsi="仿宋" w:eastAsia="仿宋" w:cs="仿宋"/>
                <w:kern w:val="0"/>
                <w:sz w:val="24"/>
                <w:szCs w:val="24"/>
              </w:rPr>
            </w:pPr>
            <w:r>
              <w:rPr>
                <w:rFonts w:hint="eastAsia" w:ascii="仿宋" w:hAnsi="仿宋" w:eastAsia="仿宋" w:cs="仿宋"/>
                <w:kern w:val="0"/>
                <w:sz w:val="24"/>
                <w:szCs w:val="24"/>
              </w:rPr>
              <w:t>领会：义务教育的入学条件、对学校和教师的要求。</w:t>
            </w:r>
          </w:p>
          <w:p w14:paraId="5DD22407">
            <w:pPr>
              <w:rPr>
                <w:rFonts w:hint="eastAsia" w:ascii="仿宋" w:hAnsi="仿宋" w:eastAsia="仿宋" w:cs="仿宋"/>
                <w:kern w:val="0"/>
                <w:sz w:val="24"/>
                <w:szCs w:val="24"/>
              </w:rPr>
            </w:pPr>
            <w:r>
              <w:rPr>
                <w:rFonts w:hint="eastAsia" w:ascii="仿宋" w:hAnsi="仿宋" w:eastAsia="仿宋" w:cs="仿宋"/>
                <w:kern w:val="0"/>
                <w:sz w:val="24"/>
                <w:szCs w:val="24"/>
              </w:rPr>
              <w:t>应用：运用义务教育法的内容进行案例分析。</w:t>
            </w:r>
          </w:p>
          <w:p w14:paraId="212502B5">
            <w:pPr>
              <w:rPr>
                <w:rFonts w:hint="eastAsia" w:ascii="仿宋" w:hAnsi="仿宋" w:eastAsia="仿宋" w:cs="仿宋"/>
                <w:kern w:val="0"/>
                <w:sz w:val="24"/>
                <w:szCs w:val="24"/>
              </w:rPr>
            </w:pPr>
            <w:r>
              <w:rPr>
                <w:rFonts w:hint="eastAsia" w:ascii="仿宋" w:hAnsi="仿宋" w:eastAsia="仿宋" w:cs="仿宋"/>
                <w:kern w:val="0"/>
                <w:sz w:val="24"/>
                <w:szCs w:val="24"/>
              </w:rPr>
              <w:t>分析：分析义务教育法与教育法的关系及其与其他法律的不同。</w:t>
            </w:r>
          </w:p>
        </w:tc>
        <w:tc>
          <w:tcPr>
            <w:tcW w:w="870" w:type="dxa"/>
            <w:vAlign w:val="center"/>
          </w:tcPr>
          <w:p w14:paraId="154073C4">
            <w:pPr>
              <w:widowControl/>
              <w:jc w:val="center"/>
              <w:rPr>
                <w:rFonts w:hint="eastAsia" w:ascii="仿宋" w:hAnsi="仿宋" w:eastAsia="仿宋" w:cs="仿宋"/>
                <w:bCs/>
                <w:color w:val="000000"/>
                <w:sz w:val="24"/>
                <w:szCs w:val="24"/>
              </w:rPr>
            </w:pPr>
            <w:r>
              <w:rPr>
                <w:rFonts w:hint="eastAsia" w:ascii="仿宋" w:hAnsi="仿宋" w:eastAsia="仿宋" w:cs="仿宋"/>
                <w:kern w:val="0"/>
                <w:sz w:val="24"/>
                <w:szCs w:val="24"/>
              </w:rPr>
              <w:t>支撑课程目标1、2</w:t>
            </w:r>
          </w:p>
        </w:tc>
        <w:tc>
          <w:tcPr>
            <w:tcW w:w="924" w:type="dxa"/>
            <w:gridSpan w:val="2"/>
            <w:shd w:val="clear" w:color="auto" w:fill="FFFFFF"/>
            <w:vAlign w:val="center"/>
          </w:tcPr>
          <w:p w14:paraId="482703C0">
            <w:pPr>
              <w:jc w:val="center"/>
              <w:rPr>
                <w:rFonts w:hint="eastAsia" w:ascii="仿宋" w:hAnsi="仿宋" w:eastAsia="仿宋" w:cs="仿宋"/>
                <w:color w:val="000000"/>
                <w:sz w:val="24"/>
                <w:szCs w:val="24"/>
              </w:rPr>
            </w:pPr>
            <w:r>
              <w:rPr>
                <w:rFonts w:hint="eastAsia" w:ascii="仿宋" w:hAnsi="仿宋" w:eastAsia="仿宋" w:cs="仿宋"/>
                <w:kern w:val="0"/>
                <w:sz w:val="24"/>
                <w:szCs w:val="24"/>
              </w:rPr>
              <w:t>2</w:t>
            </w:r>
          </w:p>
        </w:tc>
      </w:tr>
      <w:tr w14:paraId="0357A751">
        <w:trPr>
          <w:trHeight w:val="454" w:hRule="atLeast"/>
        </w:trPr>
        <w:tc>
          <w:tcPr>
            <w:tcW w:w="1376" w:type="dxa"/>
            <w:vMerge w:val="continue"/>
            <w:shd w:val="clear" w:color="auto" w:fill="FFFFFF"/>
            <w:vAlign w:val="center"/>
          </w:tcPr>
          <w:p w14:paraId="238FFBBD">
            <w:pPr>
              <w:spacing w:line="240" w:lineRule="atLeast"/>
              <w:jc w:val="right"/>
              <w:rPr>
                <w:rFonts w:hint="eastAsia" w:ascii="仿宋" w:hAnsi="仿宋" w:eastAsia="仿宋" w:cs="仿宋"/>
                <w:color w:val="000000"/>
                <w:sz w:val="24"/>
                <w:szCs w:val="24"/>
              </w:rPr>
            </w:pPr>
          </w:p>
        </w:tc>
        <w:tc>
          <w:tcPr>
            <w:tcW w:w="5978" w:type="dxa"/>
            <w:gridSpan w:val="11"/>
            <w:vAlign w:val="center"/>
          </w:tcPr>
          <w:p w14:paraId="3C40B2B1">
            <w:pPr>
              <w:rPr>
                <w:rFonts w:ascii="仿宋" w:hAnsi="仿宋" w:eastAsia="仿宋" w:cs="仿宋"/>
                <w:kern w:val="0"/>
                <w:sz w:val="24"/>
                <w:szCs w:val="24"/>
              </w:rPr>
            </w:pPr>
            <w:r>
              <w:rPr>
                <w:rFonts w:hint="eastAsia" w:ascii="仿宋" w:hAnsi="仿宋" w:eastAsia="仿宋" w:cs="仿宋"/>
                <w:kern w:val="0"/>
                <w:sz w:val="24"/>
                <w:szCs w:val="24"/>
              </w:rPr>
              <w:t>第四章教师法</w:t>
            </w:r>
          </w:p>
          <w:p w14:paraId="072DDD67">
            <w:pPr>
              <w:rPr>
                <w:rFonts w:hint="eastAsia" w:ascii="仿宋" w:hAnsi="仿宋" w:eastAsia="仿宋" w:cs="仿宋"/>
                <w:kern w:val="0"/>
                <w:sz w:val="24"/>
                <w:szCs w:val="24"/>
              </w:rPr>
            </w:pPr>
            <w:r>
              <w:rPr>
                <w:rFonts w:hint="eastAsia" w:ascii="仿宋" w:hAnsi="仿宋" w:eastAsia="仿宋" w:cs="仿宋"/>
                <w:kern w:val="0"/>
                <w:sz w:val="24"/>
                <w:szCs w:val="24"/>
              </w:rPr>
              <w:t>知道：教师法的主要内容</w:t>
            </w:r>
          </w:p>
          <w:p w14:paraId="457B0600">
            <w:pPr>
              <w:widowControl/>
              <w:shd w:val="clear" w:color="auto" w:fill="FFFFFF"/>
              <w:jc w:val="left"/>
              <w:rPr>
                <w:rFonts w:hint="eastAsia" w:ascii="仿宋" w:hAnsi="仿宋" w:eastAsia="仿宋" w:cs="仿宋"/>
                <w:kern w:val="0"/>
                <w:sz w:val="24"/>
                <w:szCs w:val="24"/>
              </w:rPr>
            </w:pPr>
            <w:r>
              <w:rPr>
                <w:rFonts w:hint="eastAsia" w:ascii="仿宋" w:hAnsi="仿宋" w:eastAsia="仿宋" w:cs="仿宋"/>
                <w:kern w:val="0"/>
                <w:sz w:val="24"/>
                <w:szCs w:val="24"/>
              </w:rPr>
              <w:t>领会：教师的权利义务和教师管理制度。</w:t>
            </w:r>
          </w:p>
          <w:p w14:paraId="3AD27421">
            <w:pPr>
              <w:rPr>
                <w:rFonts w:ascii="仿宋" w:hAnsi="仿宋" w:eastAsia="仿宋" w:cs="仿宋"/>
                <w:kern w:val="0"/>
                <w:sz w:val="24"/>
                <w:szCs w:val="24"/>
              </w:rPr>
            </w:pPr>
            <w:r>
              <w:rPr>
                <w:rFonts w:hint="eastAsia" w:ascii="仿宋" w:hAnsi="仿宋" w:eastAsia="仿宋" w:cs="仿宋"/>
                <w:kern w:val="0"/>
                <w:sz w:val="24"/>
                <w:szCs w:val="24"/>
              </w:rPr>
              <w:t>应用：运用教师法分析教师行为是否合法。</w:t>
            </w:r>
          </w:p>
          <w:p w14:paraId="0C40964F">
            <w:pPr>
              <w:rPr>
                <w:rFonts w:ascii="仿宋" w:hAnsi="仿宋" w:eastAsia="仿宋" w:cs="仿宋"/>
                <w:kern w:val="0"/>
                <w:sz w:val="24"/>
                <w:szCs w:val="24"/>
              </w:rPr>
            </w:pPr>
            <w:r>
              <w:rPr>
                <w:rFonts w:hint="eastAsia" w:ascii="仿宋" w:hAnsi="仿宋" w:eastAsia="仿宋" w:cs="仿宋"/>
                <w:kern w:val="0"/>
                <w:sz w:val="24"/>
                <w:szCs w:val="24"/>
              </w:rPr>
              <w:t>分析：教师法的不足之处</w:t>
            </w:r>
          </w:p>
          <w:p w14:paraId="289AE03E">
            <w:pPr>
              <w:rPr>
                <w:rFonts w:hint="eastAsia" w:ascii="仿宋" w:hAnsi="仿宋" w:eastAsia="仿宋" w:cs="仿宋"/>
                <w:kern w:val="0"/>
                <w:sz w:val="24"/>
                <w:szCs w:val="24"/>
              </w:rPr>
            </w:pPr>
            <w:r>
              <w:rPr>
                <w:rFonts w:hint="eastAsia" w:ascii="仿宋" w:hAnsi="仿宋" w:eastAsia="仿宋" w:cs="仿宋"/>
                <w:kern w:val="0"/>
                <w:sz w:val="24"/>
                <w:szCs w:val="24"/>
              </w:rPr>
              <w:t>课程思政元素：关爱学生不仅是教师职业道德重要内涵之一，更是教师最基本的法定义务，让学生树立意识，并将关爱学生贯彻到将来的教育教学工作中。</w:t>
            </w:r>
          </w:p>
        </w:tc>
        <w:tc>
          <w:tcPr>
            <w:tcW w:w="870" w:type="dxa"/>
            <w:vAlign w:val="center"/>
          </w:tcPr>
          <w:p w14:paraId="1CE51155">
            <w:pPr>
              <w:widowControl/>
              <w:jc w:val="center"/>
              <w:rPr>
                <w:rFonts w:hint="eastAsia" w:ascii="仿宋" w:hAnsi="仿宋" w:eastAsia="仿宋" w:cs="仿宋"/>
                <w:bCs/>
                <w:color w:val="4472C4"/>
                <w:sz w:val="24"/>
                <w:szCs w:val="24"/>
              </w:rPr>
            </w:pPr>
            <w:r>
              <w:rPr>
                <w:rFonts w:hint="eastAsia" w:ascii="仿宋" w:hAnsi="仿宋" w:eastAsia="仿宋" w:cs="仿宋"/>
                <w:kern w:val="0"/>
                <w:sz w:val="24"/>
                <w:szCs w:val="24"/>
              </w:rPr>
              <w:t>支撑课程目标1、2</w:t>
            </w:r>
          </w:p>
        </w:tc>
        <w:tc>
          <w:tcPr>
            <w:tcW w:w="924" w:type="dxa"/>
            <w:gridSpan w:val="2"/>
            <w:shd w:val="clear" w:color="auto" w:fill="FFFFFF"/>
            <w:vAlign w:val="center"/>
          </w:tcPr>
          <w:p w14:paraId="718E6157">
            <w:pPr>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0868CFC4">
        <w:trPr>
          <w:trHeight w:val="454" w:hRule="atLeast"/>
        </w:trPr>
        <w:tc>
          <w:tcPr>
            <w:tcW w:w="1376" w:type="dxa"/>
            <w:vMerge w:val="continue"/>
            <w:shd w:val="clear" w:color="auto" w:fill="FFFFFF"/>
            <w:vAlign w:val="center"/>
          </w:tcPr>
          <w:p w14:paraId="2A564DB4">
            <w:pPr>
              <w:spacing w:line="240" w:lineRule="atLeast"/>
              <w:jc w:val="right"/>
              <w:rPr>
                <w:rFonts w:hint="eastAsia" w:ascii="仿宋" w:hAnsi="仿宋" w:eastAsia="仿宋" w:cs="仿宋"/>
                <w:color w:val="000000"/>
                <w:sz w:val="24"/>
                <w:szCs w:val="24"/>
              </w:rPr>
            </w:pPr>
          </w:p>
        </w:tc>
        <w:tc>
          <w:tcPr>
            <w:tcW w:w="5978" w:type="dxa"/>
            <w:gridSpan w:val="11"/>
            <w:vAlign w:val="center"/>
          </w:tcPr>
          <w:p w14:paraId="3CC78E7E">
            <w:pPr>
              <w:rPr>
                <w:rFonts w:ascii="仿宋" w:hAnsi="仿宋" w:eastAsia="仿宋" w:cs="仿宋"/>
                <w:kern w:val="0"/>
                <w:sz w:val="24"/>
                <w:szCs w:val="24"/>
              </w:rPr>
            </w:pPr>
            <w:r>
              <w:rPr>
                <w:rFonts w:hint="eastAsia" w:ascii="仿宋" w:hAnsi="仿宋" w:eastAsia="仿宋" w:cs="仿宋"/>
                <w:kern w:val="0"/>
                <w:sz w:val="24"/>
                <w:szCs w:val="24"/>
              </w:rPr>
              <w:t>第五章未成年人保护法</w:t>
            </w:r>
          </w:p>
          <w:p w14:paraId="3EAD1760">
            <w:pPr>
              <w:rPr>
                <w:rFonts w:hint="eastAsia" w:ascii="仿宋" w:hAnsi="仿宋" w:eastAsia="仿宋" w:cs="仿宋"/>
                <w:kern w:val="0"/>
                <w:sz w:val="24"/>
                <w:szCs w:val="24"/>
              </w:rPr>
            </w:pPr>
            <w:r>
              <w:rPr>
                <w:rFonts w:hint="eastAsia" w:ascii="仿宋" w:hAnsi="仿宋" w:eastAsia="仿宋" w:cs="仿宋"/>
                <w:kern w:val="0"/>
                <w:sz w:val="24"/>
                <w:szCs w:val="24"/>
              </w:rPr>
              <w:t>知道：未成年人保护法的主要内容。</w:t>
            </w:r>
          </w:p>
          <w:p w14:paraId="1A32D779">
            <w:pPr>
              <w:rPr>
                <w:rFonts w:hint="eastAsia" w:ascii="仿宋" w:hAnsi="仿宋" w:eastAsia="仿宋" w:cs="仿宋"/>
                <w:kern w:val="0"/>
                <w:sz w:val="24"/>
                <w:szCs w:val="24"/>
              </w:rPr>
            </w:pPr>
            <w:r>
              <w:rPr>
                <w:rFonts w:hint="eastAsia" w:ascii="仿宋" w:hAnsi="仿宋" w:eastAsia="仿宋" w:cs="仿宋"/>
                <w:kern w:val="0"/>
                <w:sz w:val="24"/>
                <w:szCs w:val="24"/>
              </w:rPr>
              <w:t>领会：保护未成年人的主要措施。</w:t>
            </w:r>
          </w:p>
          <w:p w14:paraId="175239E1">
            <w:pPr>
              <w:rPr>
                <w:rFonts w:ascii="仿宋" w:hAnsi="仿宋" w:eastAsia="仿宋" w:cs="仿宋"/>
                <w:kern w:val="0"/>
                <w:sz w:val="24"/>
                <w:szCs w:val="24"/>
              </w:rPr>
            </w:pPr>
            <w:r>
              <w:rPr>
                <w:rFonts w:hint="eastAsia" w:ascii="仿宋" w:hAnsi="仿宋" w:eastAsia="仿宋" w:cs="仿宋"/>
                <w:kern w:val="0"/>
                <w:sz w:val="24"/>
                <w:szCs w:val="24"/>
              </w:rPr>
              <w:t>应用：运用未成年人保护法保护未成年人的合法权益。</w:t>
            </w:r>
          </w:p>
          <w:p w14:paraId="69B6CB43">
            <w:pPr>
              <w:rPr>
                <w:rFonts w:ascii="仿宋" w:hAnsi="仿宋" w:eastAsia="仿宋" w:cs="仿宋"/>
                <w:kern w:val="0"/>
                <w:sz w:val="24"/>
                <w:szCs w:val="24"/>
              </w:rPr>
            </w:pPr>
            <w:r>
              <w:rPr>
                <w:rFonts w:hint="eastAsia" w:ascii="仿宋" w:hAnsi="仿宋" w:eastAsia="仿宋" w:cs="仿宋"/>
                <w:kern w:val="0"/>
                <w:sz w:val="24"/>
                <w:szCs w:val="24"/>
              </w:rPr>
              <w:t>分析：学校保护与其他保护措施的不同之处。</w:t>
            </w:r>
          </w:p>
          <w:p w14:paraId="2F3646CE">
            <w:pPr>
              <w:rPr>
                <w:rFonts w:hint="eastAsia" w:ascii="仿宋" w:hAnsi="仿宋" w:eastAsia="仿宋" w:cs="仿宋"/>
                <w:kern w:val="0"/>
                <w:sz w:val="24"/>
                <w:szCs w:val="24"/>
              </w:rPr>
            </w:pPr>
            <w:r>
              <w:rPr>
                <w:rFonts w:hint="eastAsia" w:ascii="仿宋" w:hAnsi="仿宋" w:eastAsia="仿宋" w:cs="仿宋"/>
                <w:kern w:val="0"/>
                <w:sz w:val="24"/>
                <w:szCs w:val="24"/>
              </w:rPr>
              <w:t>课程思政元素：未成年人享有受教育的权利，要加强对未成年人的思想道德教育，在教育的过程中，学校有责任引导促进未成年人树立正确的世界观、人生观和价值观，养成其良好的行为习惯和道德品质。</w:t>
            </w:r>
          </w:p>
        </w:tc>
        <w:tc>
          <w:tcPr>
            <w:tcW w:w="870" w:type="dxa"/>
            <w:vAlign w:val="center"/>
          </w:tcPr>
          <w:p w14:paraId="129EB07A">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支撑课程目标1、2</w:t>
            </w:r>
          </w:p>
        </w:tc>
        <w:tc>
          <w:tcPr>
            <w:tcW w:w="924" w:type="dxa"/>
            <w:gridSpan w:val="2"/>
            <w:shd w:val="clear" w:color="auto" w:fill="FFFFFF"/>
            <w:vAlign w:val="center"/>
          </w:tcPr>
          <w:p w14:paraId="7436C521">
            <w:pPr>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56C08456">
        <w:trPr>
          <w:trHeight w:val="454" w:hRule="atLeast"/>
        </w:trPr>
        <w:tc>
          <w:tcPr>
            <w:tcW w:w="1376" w:type="dxa"/>
            <w:vMerge w:val="continue"/>
            <w:shd w:val="clear" w:color="auto" w:fill="FFFFFF"/>
            <w:vAlign w:val="center"/>
          </w:tcPr>
          <w:p w14:paraId="29ED2DA7">
            <w:pPr>
              <w:spacing w:line="240" w:lineRule="atLeast"/>
              <w:jc w:val="right"/>
              <w:rPr>
                <w:rFonts w:hint="eastAsia" w:ascii="仿宋" w:hAnsi="仿宋" w:eastAsia="仿宋" w:cs="仿宋"/>
                <w:color w:val="000000"/>
                <w:sz w:val="24"/>
                <w:szCs w:val="24"/>
              </w:rPr>
            </w:pPr>
          </w:p>
        </w:tc>
        <w:tc>
          <w:tcPr>
            <w:tcW w:w="5978" w:type="dxa"/>
            <w:gridSpan w:val="11"/>
            <w:vAlign w:val="center"/>
          </w:tcPr>
          <w:p w14:paraId="76FD5A89">
            <w:pPr>
              <w:rPr>
                <w:rFonts w:ascii="仿宋" w:hAnsi="仿宋" w:eastAsia="仿宋" w:cs="仿宋"/>
                <w:kern w:val="0"/>
                <w:sz w:val="24"/>
                <w:szCs w:val="24"/>
              </w:rPr>
            </w:pPr>
            <w:r>
              <w:rPr>
                <w:rFonts w:hint="eastAsia" w:ascii="仿宋" w:hAnsi="仿宋" w:eastAsia="仿宋" w:cs="仿宋"/>
                <w:kern w:val="0"/>
                <w:sz w:val="24"/>
                <w:szCs w:val="24"/>
              </w:rPr>
              <w:t>第六章预防未成年人犯罪法</w:t>
            </w:r>
          </w:p>
          <w:p w14:paraId="342B6316">
            <w:pPr>
              <w:rPr>
                <w:rFonts w:hint="eastAsia" w:ascii="仿宋" w:hAnsi="仿宋" w:eastAsia="仿宋" w:cs="仿宋"/>
                <w:kern w:val="0"/>
                <w:sz w:val="24"/>
                <w:szCs w:val="24"/>
              </w:rPr>
            </w:pPr>
            <w:r>
              <w:rPr>
                <w:rFonts w:hint="eastAsia" w:ascii="仿宋" w:hAnsi="仿宋" w:eastAsia="仿宋" w:cs="仿宋"/>
                <w:kern w:val="0"/>
                <w:sz w:val="24"/>
                <w:szCs w:val="24"/>
              </w:rPr>
              <w:t>知道：预防未成年人犯罪法的主要内容。</w:t>
            </w:r>
          </w:p>
          <w:p w14:paraId="2FFC02C9">
            <w:pPr>
              <w:rPr>
                <w:rFonts w:hint="eastAsia" w:ascii="仿宋" w:hAnsi="仿宋" w:eastAsia="仿宋" w:cs="仿宋"/>
                <w:kern w:val="0"/>
                <w:sz w:val="24"/>
                <w:szCs w:val="24"/>
              </w:rPr>
            </w:pPr>
            <w:r>
              <w:rPr>
                <w:rFonts w:hint="eastAsia" w:ascii="仿宋" w:hAnsi="仿宋" w:eastAsia="仿宋" w:cs="仿宋"/>
                <w:kern w:val="0"/>
                <w:sz w:val="24"/>
                <w:szCs w:val="24"/>
              </w:rPr>
              <w:t>领会：不良行为与严重不良行为的类型及区别。</w:t>
            </w:r>
          </w:p>
          <w:p w14:paraId="1A40AE5C">
            <w:pPr>
              <w:rPr>
                <w:rFonts w:hint="eastAsia" w:ascii="仿宋" w:hAnsi="仿宋" w:eastAsia="仿宋" w:cs="仿宋"/>
                <w:kern w:val="0"/>
                <w:sz w:val="24"/>
                <w:szCs w:val="24"/>
              </w:rPr>
            </w:pPr>
            <w:r>
              <w:rPr>
                <w:rFonts w:hint="eastAsia" w:ascii="仿宋" w:hAnsi="仿宋" w:eastAsia="仿宋" w:cs="仿宋"/>
                <w:kern w:val="0"/>
                <w:sz w:val="24"/>
                <w:szCs w:val="24"/>
              </w:rPr>
              <w:t>应用：运用预防未成年人犯罪法预防未成年人犯罪。</w:t>
            </w:r>
          </w:p>
        </w:tc>
        <w:tc>
          <w:tcPr>
            <w:tcW w:w="870" w:type="dxa"/>
            <w:vAlign w:val="center"/>
          </w:tcPr>
          <w:p w14:paraId="4E24072D">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支撑课程目标1、2</w:t>
            </w:r>
          </w:p>
        </w:tc>
        <w:tc>
          <w:tcPr>
            <w:tcW w:w="924" w:type="dxa"/>
            <w:gridSpan w:val="2"/>
            <w:shd w:val="clear" w:color="auto" w:fill="FFFFFF"/>
            <w:vAlign w:val="center"/>
          </w:tcPr>
          <w:p w14:paraId="2341FF73">
            <w:pPr>
              <w:jc w:val="center"/>
              <w:rPr>
                <w:rFonts w:hint="eastAsia" w:ascii="仿宋" w:hAnsi="仿宋" w:eastAsia="仿宋" w:cs="仿宋"/>
                <w:color w:val="000000"/>
                <w:sz w:val="24"/>
                <w:szCs w:val="24"/>
              </w:rPr>
            </w:pPr>
            <w:r>
              <w:rPr>
                <w:rFonts w:hint="eastAsia" w:ascii="仿宋" w:hAnsi="仿宋" w:eastAsia="仿宋" w:cs="仿宋"/>
                <w:color w:val="000000"/>
                <w:sz w:val="24"/>
                <w:szCs w:val="24"/>
              </w:rPr>
              <w:t>1</w:t>
            </w:r>
          </w:p>
        </w:tc>
      </w:tr>
      <w:tr w14:paraId="04DA1F17">
        <w:trPr>
          <w:trHeight w:val="454" w:hRule="atLeast"/>
        </w:trPr>
        <w:tc>
          <w:tcPr>
            <w:tcW w:w="1376" w:type="dxa"/>
            <w:vMerge w:val="continue"/>
            <w:shd w:val="clear" w:color="auto" w:fill="FFFFFF"/>
            <w:vAlign w:val="center"/>
          </w:tcPr>
          <w:p w14:paraId="04E5260A">
            <w:pPr>
              <w:spacing w:line="240" w:lineRule="atLeast"/>
              <w:jc w:val="right"/>
              <w:rPr>
                <w:rFonts w:hint="eastAsia" w:ascii="仿宋" w:hAnsi="仿宋" w:eastAsia="仿宋" w:cs="仿宋"/>
                <w:color w:val="000000"/>
                <w:sz w:val="24"/>
                <w:szCs w:val="24"/>
              </w:rPr>
            </w:pPr>
          </w:p>
        </w:tc>
        <w:tc>
          <w:tcPr>
            <w:tcW w:w="5978" w:type="dxa"/>
            <w:gridSpan w:val="11"/>
            <w:vAlign w:val="center"/>
          </w:tcPr>
          <w:p w14:paraId="61732612">
            <w:pPr>
              <w:rPr>
                <w:rFonts w:hint="eastAsia" w:ascii="仿宋" w:hAnsi="仿宋" w:eastAsia="仿宋" w:cs="仿宋"/>
                <w:kern w:val="0"/>
                <w:sz w:val="24"/>
                <w:szCs w:val="24"/>
              </w:rPr>
            </w:pPr>
            <w:r>
              <w:rPr>
                <w:rFonts w:hint="eastAsia" w:ascii="仿宋" w:hAnsi="仿宋" w:eastAsia="仿宋" w:cs="仿宋"/>
                <w:kern w:val="0"/>
                <w:sz w:val="24"/>
                <w:szCs w:val="24"/>
              </w:rPr>
              <w:t>第七章教师职业道德法规与政策</w:t>
            </w:r>
          </w:p>
          <w:p w14:paraId="68A4FC62">
            <w:pPr>
              <w:rPr>
                <w:rFonts w:hint="eastAsia" w:ascii="仿宋" w:hAnsi="仿宋" w:eastAsia="仿宋" w:cs="仿宋"/>
                <w:kern w:val="0"/>
                <w:sz w:val="24"/>
                <w:szCs w:val="24"/>
              </w:rPr>
            </w:pPr>
            <w:r>
              <w:rPr>
                <w:rFonts w:hint="eastAsia" w:ascii="仿宋" w:hAnsi="仿宋" w:eastAsia="仿宋" w:cs="仿宋"/>
                <w:kern w:val="0"/>
                <w:sz w:val="24"/>
                <w:szCs w:val="24"/>
              </w:rPr>
              <w:t>知道：师德的核心与灵魂。</w:t>
            </w:r>
          </w:p>
          <w:p w14:paraId="23D6B021">
            <w:pPr>
              <w:rPr>
                <w:rFonts w:hint="eastAsia" w:ascii="仿宋" w:hAnsi="仿宋" w:eastAsia="仿宋" w:cs="仿宋"/>
                <w:kern w:val="0"/>
                <w:sz w:val="24"/>
                <w:szCs w:val="24"/>
              </w:rPr>
            </w:pPr>
            <w:r>
              <w:rPr>
                <w:rFonts w:hint="eastAsia" w:ascii="仿宋" w:hAnsi="仿宋" w:eastAsia="仿宋" w:cs="仿宋"/>
                <w:kern w:val="0"/>
                <w:sz w:val="24"/>
                <w:szCs w:val="24"/>
              </w:rPr>
              <w:t>领会：⑴爱国守法；⑵爱岗敬业；⑶关爱学生；⑷教书育人；⑸为人师表；⑹终身学习。</w:t>
            </w:r>
          </w:p>
          <w:p w14:paraId="02240997">
            <w:pPr>
              <w:rPr>
                <w:rFonts w:hint="eastAsia" w:ascii="仿宋" w:hAnsi="仿宋" w:eastAsia="仿宋" w:cs="仿宋"/>
                <w:kern w:val="0"/>
                <w:sz w:val="24"/>
                <w:szCs w:val="24"/>
              </w:rPr>
            </w:pPr>
            <w:r>
              <w:rPr>
                <w:rFonts w:hint="eastAsia" w:ascii="仿宋" w:hAnsi="仿宋" w:eastAsia="仿宋" w:cs="仿宋"/>
                <w:kern w:val="0"/>
                <w:sz w:val="24"/>
                <w:szCs w:val="24"/>
              </w:rPr>
              <w:t>应用：运用中小学教师职业道德规范分析教育教学实践中存在的师德现象与问题。</w:t>
            </w:r>
          </w:p>
          <w:p w14:paraId="2D247EED">
            <w:pPr>
              <w:rPr>
                <w:rFonts w:hint="eastAsia" w:ascii="仿宋" w:hAnsi="仿宋" w:eastAsia="仿宋" w:cs="仿宋"/>
                <w:kern w:val="0"/>
                <w:sz w:val="24"/>
                <w:szCs w:val="24"/>
              </w:rPr>
            </w:pPr>
            <w:r>
              <w:rPr>
                <w:rFonts w:hint="eastAsia" w:ascii="仿宋" w:hAnsi="仿宋" w:eastAsia="仿宋" w:cs="仿宋"/>
                <w:kern w:val="0"/>
                <w:sz w:val="24"/>
                <w:szCs w:val="24"/>
              </w:rPr>
              <w:t xml:space="preserve">分析：没有爱就没有教育。 </w:t>
            </w:r>
          </w:p>
        </w:tc>
        <w:tc>
          <w:tcPr>
            <w:tcW w:w="870" w:type="dxa"/>
            <w:vAlign w:val="center"/>
          </w:tcPr>
          <w:p w14:paraId="618A4ED0">
            <w:pPr>
              <w:jc w:val="center"/>
              <w:rPr>
                <w:rFonts w:hint="eastAsia" w:ascii="仿宋" w:hAnsi="仿宋" w:eastAsia="仿宋" w:cs="仿宋"/>
                <w:kern w:val="0"/>
                <w:sz w:val="24"/>
                <w:szCs w:val="24"/>
              </w:rPr>
            </w:pPr>
          </w:p>
          <w:p w14:paraId="33D65F43">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支撑课程目标1、2</w:t>
            </w:r>
          </w:p>
        </w:tc>
        <w:tc>
          <w:tcPr>
            <w:tcW w:w="924" w:type="dxa"/>
            <w:gridSpan w:val="2"/>
            <w:shd w:val="clear" w:color="auto" w:fill="FFFFFF"/>
            <w:vAlign w:val="center"/>
          </w:tcPr>
          <w:p w14:paraId="166EE7C4">
            <w:pPr>
              <w:jc w:val="center"/>
              <w:rPr>
                <w:rFonts w:hint="eastAsia" w:ascii="仿宋" w:hAnsi="仿宋" w:eastAsia="仿宋" w:cs="仿宋"/>
                <w:color w:val="000000"/>
                <w:sz w:val="24"/>
                <w:szCs w:val="24"/>
              </w:rPr>
            </w:pPr>
            <w:r>
              <w:rPr>
                <w:rFonts w:hint="eastAsia" w:ascii="仿宋" w:hAnsi="仿宋" w:eastAsia="仿宋" w:cs="仿宋"/>
                <w:kern w:val="0"/>
                <w:sz w:val="24"/>
                <w:szCs w:val="24"/>
              </w:rPr>
              <w:t>4</w:t>
            </w:r>
          </w:p>
        </w:tc>
      </w:tr>
      <w:tr w14:paraId="62ED868B">
        <w:trPr>
          <w:trHeight w:val="454" w:hRule="atLeast"/>
        </w:trPr>
        <w:tc>
          <w:tcPr>
            <w:tcW w:w="1376" w:type="dxa"/>
            <w:vMerge w:val="continue"/>
            <w:shd w:val="clear" w:color="auto" w:fill="FFFFFF"/>
            <w:vAlign w:val="center"/>
          </w:tcPr>
          <w:p w14:paraId="4D088FC8">
            <w:pPr>
              <w:spacing w:line="240" w:lineRule="atLeast"/>
              <w:jc w:val="center"/>
              <w:rPr>
                <w:rFonts w:hint="eastAsia" w:ascii="仿宋" w:hAnsi="仿宋" w:eastAsia="仿宋" w:cs="仿宋"/>
                <w:color w:val="000000"/>
                <w:sz w:val="24"/>
                <w:szCs w:val="24"/>
              </w:rPr>
            </w:pPr>
          </w:p>
        </w:tc>
        <w:tc>
          <w:tcPr>
            <w:tcW w:w="6848" w:type="dxa"/>
            <w:gridSpan w:val="12"/>
            <w:vAlign w:val="center"/>
          </w:tcPr>
          <w:p w14:paraId="45D76836">
            <w:pPr>
              <w:jc w:val="center"/>
              <w:rPr>
                <w:rFonts w:hint="eastAsia" w:ascii="仿宋" w:hAnsi="仿宋" w:eastAsia="仿宋" w:cs="仿宋"/>
                <w:bCs/>
                <w:color w:val="000000"/>
                <w:sz w:val="24"/>
                <w:szCs w:val="24"/>
              </w:rPr>
            </w:pPr>
            <w:r>
              <w:rPr>
                <w:rFonts w:hint="eastAsia" w:ascii="仿宋" w:hAnsi="仿宋" w:eastAsia="仿宋" w:cs="仿宋"/>
                <w:bCs/>
                <w:color w:val="000000"/>
                <w:sz w:val="24"/>
                <w:szCs w:val="24"/>
              </w:rPr>
              <w:t>合计</w:t>
            </w:r>
          </w:p>
        </w:tc>
        <w:tc>
          <w:tcPr>
            <w:tcW w:w="924" w:type="dxa"/>
            <w:gridSpan w:val="2"/>
            <w:shd w:val="clear" w:color="auto" w:fill="FFFFFF"/>
            <w:vAlign w:val="center"/>
          </w:tcPr>
          <w:p w14:paraId="5AF7EE74">
            <w:pPr>
              <w:jc w:val="center"/>
              <w:rPr>
                <w:rFonts w:hint="eastAsia" w:ascii="仿宋" w:hAnsi="仿宋" w:eastAsia="仿宋" w:cs="仿宋"/>
                <w:color w:val="4472C4"/>
                <w:sz w:val="24"/>
                <w:szCs w:val="24"/>
              </w:rPr>
            </w:pPr>
            <w:r>
              <w:rPr>
                <w:rFonts w:hint="eastAsia" w:ascii="仿宋" w:hAnsi="仿宋" w:eastAsia="仿宋" w:cs="仿宋"/>
                <w:kern w:val="0"/>
                <w:sz w:val="24"/>
                <w:szCs w:val="24"/>
              </w:rPr>
              <w:t>16</w:t>
            </w:r>
          </w:p>
        </w:tc>
      </w:tr>
      <w:tr w14:paraId="64B3C60F">
        <w:trPr>
          <w:trHeight w:val="454" w:hRule="atLeast"/>
        </w:trPr>
        <w:tc>
          <w:tcPr>
            <w:tcW w:w="1376" w:type="dxa"/>
            <w:vMerge w:val="restart"/>
            <w:shd w:val="clear" w:color="auto" w:fill="FFFFFF"/>
            <w:vAlign w:val="center"/>
          </w:tcPr>
          <w:p w14:paraId="53964C3A">
            <w:pPr>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G</w:t>
            </w:r>
          </w:p>
          <w:p w14:paraId="438884A8">
            <w:pPr>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实验（实训）内容</w:t>
            </w:r>
          </w:p>
        </w:tc>
        <w:tc>
          <w:tcPr>
            <w:tcW w:w="4088" w:type="dxa"/>
            <w:gridSpan w:val="7"/>
            <w:vAlign w:val="center"/>
          </w:tcPr>
          <w:p w14:paraId="2F2D5587">
            <w:pPr>
              <w:spacing w:line="240" w:lineRule="atLeast"/>
              <w:jc w:val="center"/>
              <w:rPr>
                <w:rFonts w:hint="eastAsia" w:ascii="仿宋" w:hAnsi="仿宋" w:eastAsia="仿宋" w:cs="仿宋"/>
                <w:bCs/>
                <w:color w:val="000000"/>
                <w:sz w:val="24"/>
                <w:szCs w:val="24"/>
              </w:rPr>
            </w:pPr>
            <w:r>
              <w:rPr>
                <w:rFonts w:hint="eastAsia" w:ascii="仿宋" w:hAnsi="仿宋" w:eastAsia="仿宋" w:cs="仿宋"/>
                <w:color w:val="000000"/>
                <w:kern w:val="0"/>
                <w:sz w:val="24"/>
                <w:szCs w:val="24"/>
              </w:rPr>
              <w:t>项目名称、主要内容及开设要求</w:t>
            </w:r>
          </w:p>
        </w:tc>
        <w:tc>
          <w:tcPr>
            <w:tcW w:w="2760" w:type="dxa"/>
            <w:gridSpan w:val="5"/>
            <w:vAlign w:val="center"/>
          </w:tcPr>
          <w:p w14:paraId="7852A89A">
            <w:pPr>
              <w:spacing w:line="240" w:lineRule="atLeas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支撑课程</w:t>
            </w:r>
          </w:p>
          <w:p w14:paraId="5F337D12">
            <w:pPr>
              <w:spacing w:line="240" w:lineRule="atLeast"/>
              <w:jc w:val="center"/>
              <w:rPr>
                <w:rFonts w:hint="eastAsia" w:ascii="仿宋" w:hAnsi="仿宋" w:eastAsia="仿宋" w:cs="仿宋"/>
                <w:bCs/>
                <w:color w:val="000000"/>
                <w:sz w:val="24"/>
                <w:szCs w:val="24"/>
              </w:rPr>
            </w:pPr>
            <w:r>
              <w:rPr>
                <w:rFonts w:hint="eastAsia" w:ascii="仿宋" w:hAnsi="仿宋" w:eastAsia="仿宋" w:cs="仿宋"/>
                <w:color w:val="000000"/>
                <w:kern w:val="0"/>
                <w:sz w:val="24"/>
                <w:szCs w:val="24"/>
              </w:rPr>
              <w:t>目标</w:t>
            </w:r>
          </w:p>
        </w:tc>
        <w:tc>
          <w:tcPr>
            <w:tcW w:w="924" w:type="dxa"/>
            <w:gridSpan w:val="2"/>
            <w:shd w:val="clear" w:color="auto" w:fill="FFFFFF"/>
            <w:vAlign w:val="center"/>
          </w:tcPr>
          <w:p w14:paraId="761BF49E">
            <w:pPr>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 xml:space="preserve">学时 </w:t>
            </w:r>
          </w:p>
          <w:p w14:paraId="2C8A3B2E">
            <w:pPr>
              <w:jc w:val="center"/>
              <w:rPr>
                <w:rFonts w:hint="eastAsia" w:ascii="仿宋" w:hAnsi="仿宋" w:eastAsia="仿宋" w:cs="仿宋"/>
                <w:kern w:val="0"/>
                <w:sz w:val="24"/>
                <w:szCs w:val="24"/>
              </w:rPr>
            </w:pPr>
            <w:r>
              <w:rPr>
                <w:rFonts w:hint="eastAsia" w:ascii="仿宋" w:hAnsi="仿宋" w:eastAsia="仿宋" w:cs="仿宋"/>
                <w:color w:val="000000"/>
                <w:kern w:val="0"/>
                <w:sz w:val="24"/>
                <w:szCs w:val="24"/>
              </w:rPr>
              <w:t>分配</w:t>
            </w:r>
          </w:p>
        </w:tc>
      </w:tr>
      <w:tr w14:paraId="436C6DC7">
        <w:trPr>
          <w:trHeight w:val="454" w:hRule="atLeast"/>
        </w:trPr>
        <w:tc>
          <w:tcPr>
            <w:tcW w:w="1376" w:type="dxa"/>
            <w:vMerge w:val="continue"/>
            <w:shd w:val="clear" w:color="auto" w:fill="FFFFFF"/>
            <w:vAlign w:val="center"/>
          </w:tcPr>
          <w:p w14:paraId="03327A61">
            <w:pPr>
              <w:spacing w:line="240" w:lineRule="atLeast"/>
              <w:jc w:val="center"/>
              <w:rPr>
                <w:rFonts w:hint="eastAsia" w:ascii="仿宋" w:hAnsi="仿宋" w:eastAsia="仿宋" w:cs="仿宋"/>
                <w:color w:val="000000"/>
                <w:sz w:val="24"/>
                <w:szCs w:val="24"/>
              </w:rPr>
            </w:pPr>
          </w:p>
        </w:tc>
        <w:tc>
          <w:tcPr>
            <w:tcW w:w="4088" w:type="dxa"/>
            <w:gridSpan w:val="7"/>
            <w:vAlign w:val="center"/>
          </w:tcPr>
          <w:p w14:paraId="47A43362">
            <w:pPr>
              <w:jc w:val="center"/>
              <w:rPr>
                <w:rFonts w:hint="eastAsia" w:ascii="仿宋" w:hAnsi="仿宋" w:eastAsia="仿宋" w:cs="仿宋"/>
                <w:bCs/>
                <w:color w:val="000000"/>
                <w:sz w:val="24"/>
                <w:szCs w:val="24"/>
              </w:rPr>
            </w:pPr>
          </w:p>
        </w:tc>
        <w:tc>
          <w:tcPr>
            <w:tcW w:w="2760" w:type="dxa"/>
            <w:gridSpan w:val="5"/>
            <w:vAlign w:val="center"/>
          </w:tcPr>
          <w:p w14:paraId="180ADBBB">
            <w:pPr>
              <w:jc w:val="center"/>
              <w:rPr>
                <w:rFonts w:hint="eastAsia" w:ascii="仿宋" w:hAnsi="仿宋" w:eastAsia="仿宋" w:cs="仿宋"/>
                <w:bCs/>
                <w:color w:val="000000"/>
                <w:sz w:val="24"/>
                <w:szCs w:val="24"/>
              </w:rPr>
            </w:pPr>
          </w:p>
        </w:tc>
        <w:tc>
          <w:tcPr>
            <w:tcW w:w="924" w:type="dxa"/>
            <w:gridSpan w:val="2"/>
            <w:shd w:val="clear" w:color="auto" w:fill="FFFFFF"/>
            <w:vAlign w:val="center"/>
          </w:tcPr>
          <w:p w14:paraId="5CF883D8">
            <w:pPr>
              <w:jc w:val="center"/>
              <w:rPr>
                <w:rFonts w:hint="eastAsia" w:ascii="仿宋" w:hAnsi="仿宋" w:eastAsia="仿宋" w:cs="仿宋"/>
                <w:kern w:val="0"/>
                <w:sz w:val="24"/>
                <w:szCs w:val="24"/>
              </w:rPr>
            </w:pPr>
          </w:p>
        </w:tc>
      </w:tr>
      <w:tr w14:paraId="2F1A543C">
        <w:trPr>
          <w:trHeight w:val="454" w:hRule="atLeast"/>
        </w:trPr>
        <w:tc>
          <w:tcPr>
            <w:tcW w:w="1376" w:type="dxa"/>
            <w:vMerge w:val="restart"/>
            <w:shd w:val="clear" w:color="auto" w:fill="FFFFFF"/>
            <w:vAlign w:val="center"/>
          </w:tcPr>
          <w:p w14:paraId="55D573D6">
            <w:pPr>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H</w:t>
            </w:r>
          </w:p>
          <w:p w14:paraId="50A41C26">
            <w:pPr>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实践内容（含教育实习、见习、研习，专业实习、毕业论文或毕业设计等）</w:t>
            </w:r>
          </w:p>
        </w:tc>
        <w:tc>
          <w:tcPr>
            <w:tcW w:w="4088" w:type="dxa"/>
            <w:gridSpan w:val="7"/>
            <w:vAlign w:val="center"/>
          </w:tcPr>
          <w:p w14:paraId="05398693">
            <w:pPr>
              <w:jc w:val="center"/>
              <w:rPr>
                <w:rFonts w:hint="eastAsia" w:ascii="仿宋" w:hAnsi="仿宋" w:eastAsia="仿宋" w:cs="仿宋"/>
                <w:bCs/>
                <w:color w:val="000000"/>
                <w:sz w:val="24"/>
                <w:szCs w:val="24"/>
              </w:rPr>
            </w:pPr>
            <w:r>
              <w:rPr>
                <w:rFonts w:hint="eastAsia" w:ascii="仿宋" w:hAnsi="仿宋" w:eastAsia="仿宋" w:cs="仿宋"/>
                <w:color w:val="000000"/>
                <w:sz w:val="24"/>
                <w:szCs w:val="24"/>
              </w:rPr>
              <w:t>实践主要内容和要求</w:t>
            </w:r>
          </w:p>
        </w:tc>
        <w:tc>
          <w:tcPr>
            <w:tcW w:w="2760" w:type="dxa"/>
            <w:gridSpan w:val="5"/>
            <w:vAlign w:val="center"/>
          </w:tcPr>
          <w:p w14:paraId="5EC1B88C">
            <w:pPr>
              <w:spacing w:line="240" w:lineRule="atLeas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支撑课程</w:t>
            </w:r>
          </w:p>
          <w:p w14:paraId="35257E1F">
            <w:pPr>
              <w:spacing w:line="240" w:lineRule="atLeast"/>
              <w:jc w:val="center"/>
              <w:rPr>
                <w:rFonts w:hint="eastAsia" w:ascii="仿宋" w:hAnsi="仿宋" w:eastAsia="仿宋" w:cs="仿宋"/>
                <w:bCs/>
                <w:color w:val="000000"/>
                <w:sz w:val="24"/>
                <w:szCs w:val="24"/>
              </w:rPr>
            </w:pPr>
            <w:r>
              <w:rPr>
                <w:rFonts w:hint="eastAsia" w:ascii="仿宋" w:hAnsi="仿宋" w:eastAsia="仿宋" w:cs="仿宋"/>
                <w:color w:val="000000"/>
                <w:kern w:val="0"/>
                <w:sz w:val="24"/>
                <w:szCs w:val="24"/>
              </w:rPr>
              <w:t>目标</w:t>
            </w:r>
          </w:p>
        </w:tc>
        <w:tc>
          <w:tcPr>
            <w:tcW w:w="924" w:type="dxa"/>
            <w:gridSpan w:val="2"/>
            <w:shd w:val="clear" w:color="auto" w:fill="FFFFFF"/>
            <w:vAlign w:val="center"/>
          </w:tcPr>
          <w:p w14:paraId="0A40D819">
            <w:pPr>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时长</w:t>
            </w:r>
          </w:p>
          <w:p w14:paraId="60BAC78B">
            <w:pPr>
              <w:jc w:val="center"/>
              <w:rPr>
                <w:rFonts w:hint="eastAsia" w:ascii="仿宋" w:hAnsi="仿宋" w:eastAsia="仿宋" w:cs="仿宋"/>
                <w:kern w:val="0"/>
                <w:sz w:val="24"/>
                <w:szCs w:val="24"/>
              </w:rPr>
            </w:pPr>
            <w:r>
              <w:rPr>
                <w:rFonts w:hint="eastAsia" w:ascii="仿宋" w:hAnsi="仿宋" w:eastAsia="仿宋" w:cs="仿宋"/>
                <w:color w:val="000000"/>
                <w:kern w:val="0"/>
                <w:sz w:val="24"/>
                <w:szCs w:val="24"/>
              </w:rPr>
              <w:t>分配</w:t>
            </w:r>
          </w:p>
        </w:tc>
      </w:tr>
      <w:tr w14:paraId="5F6B42CA">
        <w:trPr>
          <w:trHeight w:val="454" w:hRule="atLeast"/>
        </w:trPr>
        <w:tc>
          <w:tcPr>
            <w:tcW w:w="1376" w:type="dxa"/>
            <w:vMerge w:val="continue"/>
            <w:shd w:val="clear" w:color="auto" w:fill="FFFFFF"/>
            <w:vAlign w:val="center"/>
          </w:tcPr>
          <w:p w14:paraId="470A4FF0">
            <w:pPr>
              <w:spacing w:line="240" w:lineRule="atLeast"/>
              <w:jc w:val="center"/>
              <w:rPr>
                <w:rFonts w:hint="eastAsia" w:ascii="仿宋" w:hAnsi="仿宋" w:eastAsia="仿宋" w:cs="仿宋"/>
                <w:color w:val="000000"/>
                <w:sz w:val="24"/>
                <w:szCs w:val="24"/>
              </w:rPr>
            </w:pPr>
          </w:p>
        </w:tc>
        <w:tc>
          <w:tcPr>
            <w:tcW w:w="4088" w:type="dxa"/>
            <w:gridSpan w:val="7"/>
            <w:vAlign w:val="center"/>
          </w:tcPr>
          <w:p w14:paraId="2A6C6F22">
            <w:pPr>
              <w:widowControl/>
              <w:autoSpaceDE w:val="0"/>
              <w:autoSpaceDN w:val="0"/>
              <w:jc w:val="left"/>
              <w:rPr>
                <w:rFonts w:hint="eastAsia" w:ascii="仿宋" w:hAnsi="仿宋" w:eastAsia="仿宋" w:cs="仿宋"/>
                <w:sz w:val="24"/>
                <w:szCs w:val="24"/>
              </w:rPr>
            </w:pPr>
            <w:r>
              <w:rPr>
                <w:rFonts w:hint="eastAsia" w:ascii="仿宋" w:hAnsi="仿宋" w:eastAsia="仿宋" w:cs="仿宋"/>
                <w:sz w:val="24"/>
                <w:szCs w:val="24"/>
              </w:rPr>
              <w:t>（一）实习形式与准备</w:t>
            </w:r>
          </w:p>
          <w:p w14:paraId="3BAD0D2E">
            <w:pPr>
              <w:widowControl/>
              <w:autoSpaceDE w:val="0"/>
              <w:autoSpaceDN w:val="0"/>
              <w:jc w:val="left"/>
              <w:rPr>
                <w:rFonts w:hint="eastAsia" w:ascii="仿宋" w:hAnsi="仿宋" w:eastAsia="仿宋" w:cs="仿宋"/>
                <w:sz w:val="24"/>
                <w:szCs w:val="24"/>
              </w:rPr>
            </w:pPr>
            <w:r>
              <w:rPr>
                <w:rFonts w:hint="eastAsia" w:ascii="仿宋" w:hAnsi="仿宋" w:eastAsia="仿宋" w:cs="仿宋"/>
                <w:sz w:val="24"/>
                <w:szCs w:val="24"/>
              </w:rPr>
              <w:t>（二）实习内容</w:t>
            </w:r>
          </w:p>
          <w:p w14:paraId="2B41D5BC">
            <w:pPr>
              <w:widowControl/>
              <w:autoSpaceDE w:val="0"/>
              <w:autoSpaceDN w:val="0"/>
              <w:jc w:val="left"/>
              <w:rPr>
                <w:rFonts w:hint="eastAsia" w:ascii="仿宋" w:hAnsi="仿宋" w:eastAsia="仿宋" w:cs="仿宋"/>
                <w:sz w:val="24"/>
                <w:szCs w:val="24"/>
              </w:rPr>
            </w:pPr>
            <w:r>
              <w:rPr>
                <w:rFonts w:hint="eastAsia" w:ascii="仿宋" w:hAnsi="仿宋" w:eastAsia="仿宋" w:cs="仿宋"/>
                <w:sz w:val="24"/>
                <w:szCs w:val="24"/>
              </w:rPr>
              <w:t>1.教学工作实习</w:t>
            </w:r>
          </w:p>
          <w:p w14:paraId="1CAC2957">
            <w:pPr>
              <w:widowControl/>
              <w:autoSpaceDE w:val="0"/>
              <w:autoSpaceDN w:val="0"/>
              <w:jc w:val="left"/>
              <w:rPr>
                <w:rFonts w:hint="eastAsia" w:ascii="仿宋" w:hAnsi="仿宋" w:eastAsia="仿宋" w:cs="仿宋"/>
                <w:sz w:val="24"/>
                <w:szCs w:val="24"/>
              </w:rPr>
            </w:pPr>
            <w:r>
              <w:rPr>
                <w:rFonts w:hint="eastAsia" w:ascii="仿宋" w:hAnsi="仿宋" w:eastAsia="仿宋" w:cs="仿宋"/>
                <w:sz w:val="24"/>
                <w:szCs w:val="24"/>
              </w:rPr>
              <w:t xml:space="preserve">2.班主任工作实习 </w:t>
            </w:r>
          </w:p>
          <w:p w14:paraId="4B242A28">
            <w:pPr>
              <w:widowControl/>
              <w:autoSpaceDE w:val="0"/>
              <w:autoSpaceDN w:val="0"/>
              <w:jc w:val="left"/>
              <w:rPr>
                <w:rFonts w:hint="eastAsia" w:ascii="仿宋" w:hAnsi="仿宋" w:eastAsia="仿宋" w:cs="仿宋"/>
                <w:sz w:val="24"/>
                <w:szCs w:val="24"/>
              </w:rPr>
            </w:pPr>
            <w:r>
              <w:rPr>
                <w:rFonts w:hint="eastAsia" w:ascii="仿宋" w:hAnsi="仿宋" w:eastAsia="仿宋" w:cs="仿宋"/>
                <w:sz w:val="24"/>
                <w:szCs w:val="24"/>
              </w:rPr>
              <w:t>3.教研实习</w:t>
            </w:r>
          </w:p>
          <w:p w14:paraId="59F70A2C">
            <w:pPr>
              <w:rPr>
                <w:rFonts w:hint="eastAsia" w:ascii="仿宋" w:hAnsi="仿宋" w:eastAsia="仿宋" w:cs="仿宋"/>
                <w:bCs/>
                <w:color w:val="000000"/>
                <w:sz w:val="24"/>
                <w:szCs w:val="24"/>
              </w:rPr>
            </w:pPr>
            <w:r>
              <w:rPr>
                <w:rFonts w:hint="eastAsia" w:ascii="仿宋" w:hAnsi="仿宋" w:eastAsia="仿宋" w:cs="仿宋"/>
                <w:sz w:val="24"/>
                <w:szCs w:val="24"/>
              </w:rPr>
              <w:t>（三）实习要求</w:t>
            </w:r>
          </w:p>
        </w:tc>
        <w:tc>
          <w:tcPr>
            <w:tcW w:w="2760" w:type="dxa"/>
            <w:gridSpan w:val="5"/>
            <w:vAlign w:val="center"/>
          </w:tcPr>
          <w:p w14:paraId="1D40B36F">
            <w:pPr>
              <w:jc w:val="center"/>
              <w:rPr>
                <w:rFonts w:hint="eastAsia" w:ascii="仿宋" w:hAnsi="仿宋" w:eastAsia="仿宋" w:cs="仿宋"/>
                <w:bCs/>
                <w:color w:val="000000"/>
                <w:sz w:val="24"/>
                <w:szCs w:val="24"/>
              </w:rPr>
            </w:pPr>
          </w:p>
        </w:tc>
        <w:tc>
          <w:tcPr>
            <w:tcW w:w="924" w:type="dxa"/>
            <w:gridSpan w:val="2"/>
            <w:shd w:val="clear" w:color="auto" w:fill="FFFFFF"/>
            <w:vAlign w:val="center"/>
          </w:tcPr>
          <w:p w14:paraId="5ED6E46E">
            <w:pPr>
              <w:jc w:val="center"/>
              <w:rPr>
                <w:rFonts w:hint="eastAsia" w:ascii="仿宋" w:hAnsi="仿宋" w:eastAsia="仿宋" w:cs="仿宋"/>
                <w:kern w:val="0"/>
                <w:sz w:val="24"/>
                <w:szCs w:val="24"/>
              </w:rPr>
            </w:pPr>
          </w:p>
        </w:tc>
      </w:tr>
      <w:tr w14:paraId="13487CA0">
        <w:trPr>
          <w:trHeight w:val="921" w:hRule="atLeast"/>
        </w:trPr>
        <w:tc>
          <w:tcPr>
            <w:tcW w:w="1376" w:type="dxa"/>
            <w:vAlign w:val="center"/>
          </w:tcPr>
          <w:p w14:paraId="57B65230">
            <w:pPr>
              <w:spacing w:line="240" w:lineRule="atLeast"/>
              <w:jc w:val="center"/>
              <w:rPr>
                <w:rFonts w:hint="eastAsia" w:ascii="仿宋" w:hAnsi="仿宋" w:eastAsia="仿宋" w:cs="仿宋"/>
                <w:color w:val="000000"/>
                <w:sz w:val="24"/>
              </w:rPr>
            </w:pPr>
            <w:r>
              <w:rPr>
                <w:rFonts w:hint="eastAsia" w:ascii="仿宋" w:hAnsi="仿宋" w:eastAsia="仿宋" w:cs="仿宋"/>
                <w:color w:val="000000"/>
                <w:sz w:val="24"/>
              </w:rPr>
              <w:t>I</w:t>
            </w:r>
          </w:p>
          <w:p w14:paraId="79D1BB07">
            <w:pPr>
              <w:spacing w:line="240" w:lineRule="atLeast"/>
              <w:jc w:val="center"/>
              <w:rPr>
                <w:rFonts w:hint="eastAsia" w:ascii="仿宋" w:hAnsi="仿宋" w:eastAsia="仿宋" w:cs="仿宋"/>
                <w:color w:val="000000"/>
                <w:sz w:val="24"/>
              </w:rPr>
            </w:pPr>
            <w:r>
              <w:rPr>
                <w:rFonts w:hint="eastAsia" w:ascii="仿宋" w:hAnsi="仿宋" w:eastAsia="仿宋" w:cs="仿宋"/>
                <w:color w:val="000000"/>
                <w:sz w:val="24"/>
              </w:rPr>
              <w:t>教学方法与教学方式</w:t>
            </w:r>
          </w:p>
        </w:tc>
        <w:tc>
          <w:tcPr>
            <w:tcW w:w="7772" w:type="dxa"/>
            <w:gridSpan w:val="14"/>
            <w:tcBorders>
              <w:bottom w:val="single" w:color="auto" w:sz="4" w:space="0"/>
            </w:tcBorders>
            <w:vAlign w:val="center"/>
          </w:tcPr>
          <w:p w14:paraId="4A8BA12B">
            <w:pPr>
              <w:widowControl/>
              <w:autoSpaceDE w:val="0"/>
              <w:autoSpaceDN w:val="0"/>
              <w:jc w:val="left"/>
              <w:rPr>
                <w:rFonts w:hint="eastAsia" w:ascii="仿宋" w:hAnsi="仿宋" w:eastAsia="仿宋" w:cs="仿宋"/>
                <w:sz w:val="24"/>
                <w:szCs w:val="24"/>
              </w:rPr>
            </w:pPr>
            <w:r>
              <w:rPr>
                <w:rFonts w:hint="eastAsia" w:ascii="仿宋" w:hAnsi="仿宋" w:eastAsia="仿宋" w:cs="仿宋"/>
                <w:sz w:val="24"/>
                <w:szCs w:val="24"/>
              </w:rPr>
              <w:t>1.本课程采用线上线下混合式教学，即把在线教学和传统教学的优势相互结合。通过两种教学组织形式的有机结合，合理利用翻转课堂，可以充分利用课外时间，并由浅入深地将学生引向深度学习。教学过程中加强案例讨论，合理利用翻转课堂，首先让学生明确这次课的学习目标、内容、方法和要求等，并提出问题让学生以小组方式思考讨论；其次，学生利用教师提供的学习材料课前自学；第三，学生及时利用提供的关联练习检验并巩固所学知识；最后：教师进行总结，并对重难点进行讲授，同时布置必要且适量的课外练习，并把预习下次课的内容作为每次课的常规要求。此外，注重学生学习方法指导，培养学习能力。</w:t>
            </w:r>
          </w:p>
          <w:p w14:paraId="583285CF">
            <w:pPr>
              <w:widowControl/>
              <w:autoSpaceDE w:val="0"/>
              <w:autoSpaceDN w:val="0"/>
              <w:jc w:val="left"/>
              <w:rPr>
                <w:rFonts w:hint="eastAsia" w:ascii="仿宋" w:hAnsi="仿宋" w:eastAsia="仿宋" w:cs="仿宋"/>
                <w:sz w:val="24"/>
                <w:szCs w:val="24"/>
              </w:rPr>
            </w:pPr>
            <w:r>
              <w:rPr>
                <w:rFonts w:hint="eastAsia" w:ascii="仿宋" w:hAnsi="仿宋" w:eastAsia="仿宋" w:cs="仿宋"/>
                <w:sz w:val="24"/>
                <w:szCs w:val="24"/>
              </w:rPr>
              <w:t>2.主要方式：</w:t>
            </w:r>
          </w:p>
          <w:p w14:paraId="4E9FD79E">
            <w:pPr>
              <w:ind w:firstLine="480" w:firstLineChars="200"/>
              <w:rPr>
                <w:rFonts w:hint="eastAsia" w:ascii="仿宋" w:hAnsi="仿宋" w:eastAsia="仿宋" w:cs="仿宋"/>
                <w:color w:val="000000"/>
                <w:sz w:val="24"/>
              </w:rPr>
            </w:pPr>
            <w:r>
              <w:rPr>
                <w:rFonts w:hint="eastAsia" w:ascii="仿宋" w:hAnsi="仿宋" w:eastAsia="仿宋" w:cs="仿宋"/>
                <w:color w:val="000000"/>
                <w:sz w:val="24"/>
              </w:rPr>
              <w:sym w:font="Wingdings" w:char="00FE"/>
            </w:r>
            <w:r>
              <w:rPr>
                <w:rFonts w:hint="eastAsia" w:ascii="仿宋" w:hAnsi="仿宋" w:eastAsia="仿宋" w:cs="仿宋"/>
                <w:color w:val="000000"/>
                <w:sz w:val="24"/>
              </w:rPr>
              <w:t xml:space="preserve">讲授  </w:t>
            </w:r>
            <w:r>
              <w:rPr>
                <w:rFonts w:hint="eastAsia" w:ascii="仿宋" w:hAnsi="仿宋" w:eastAsia="仿宋" w:cs="仿宋"/>
                <w:color w:val="000000"/>
                <w:sz w:val="24"/>
              </w:rPr>
              <w:sym w:font="Wingdings" w:char="00FE"/>
            </w:r>
            <w:r>
              <w:rPr>
                <w:rFonts w:hint="eastAsia" w:ascii="仿宋" w:hAnsi="仿宋" w:eastAsia="仿宋" w:cs="仿宋"/>
                <w:color w:val="000000"/>
                <w:sz w:val="24"/>
              </w:rPr>
              <w:t xml:space="preserve">网络学习  </w:t>
            </w:r>
            <w:r>
              <w:rPr>
                <w:rFonts w:hint="eastAsia" w:ascii="仿宋" w:hAnsi="仿宋" w:eastAsia="仿宋" w:cs="仿宋"/>
                <w:color w:val="000000"/>
                <w:sz w:val="24"/>
              </w:rPr>
              <w:sym w:font="Wingdings" w:char="00FE"/>
            </w:r>
            <w:r>
              <w:rPr>
                <w:rFonts w:hint="eastAsia" w:ascii="仿宋" w:hAnsi="仿宋" w:eastAsia="仿宋" w:cs="仿宋"/>
                <w:color w:val="000000"/>
                <w:sz w:val="24"/>
              </w:rPr>
              <w:t xml:space="preserve">讨论或座谈  </w:t>
            </w:r>
            <w:r>
              <w:rPr>
                <w:rFonts w:hint="eastAsia" w:ascii="仿宋" w:hAnsi="仿宋" w:eastAsia="仿宋" w:cs="仿宋"/>
                <w:color w:val="000000"/>
                <w:sz w:val="24"/>
              </w:rPr>
              <w:sym w:font="Wingdings" w:char="00FE"/>
            </w:r>
            <w:r>
              <w:rPr>
                <w:rFonts w:hint="eastAsia" w:ascii="仿宋" w:hAnsi="仿宋" w:eastAsia="仿宋" w:cs="仿宋"/>
                <w:color w:val="000000"/>
                <w:sz w:val="24"/>
              </w:rPr>
              <w:t xml:space="preserve">问题导向学习  </w:t>
            </w:r>
          </w:p>
          <w:p w14:paraId="15C0C972">
            <w:pPr>
              <w:ind w:firstLine="480" w:firstLineChars="200"/>
              <w:rPr>
                <w:rFonts w:hint="eastAsia" w:ascii="仿宋" w:hAnsi="仿宋" w:eastAsia="仿宋" w:cs="仿宋"/>
                <w:color w:val="000000"/>
                <w:sz w:val="24"/>
              </w:rPr>
            </w:pPr>
            <w:r>
              <w:rPr>
                <w:rFonts w:hint="eastAsia" w:ascii="仿宋" w:hAnsi="仿宋" w:eastAsia="仿宋" w:cs="仿宋"/>
                <w:color w:val="000000"/>
                <w:sz w:val="24"/>
              </w:rPr>
              <w:sym w:font="Wingdings" w:char="00FE"/>
            </w:r>
            <w:r>
              <w:rPr>
                <w:rFonts w:hint="eastAsia" w:ascii="仿宋" w:hAnsi="仿宋" w:eastAsia="仿宋" w:cs="仿宋"/>
                <w:color w:val="000000"/>
                <w:sz w:val="24"/>
              </w:rPr>
              <w:t xml:space="preserve">分组合作学习  </w:t>
            </w:r>
            <w:r>
              <w:rPr>
                <w:rFonts w:hint="eastAsia" w:ascii="仿宋" w:hAnsi="仿宋" w:eastAsia="仿宋" w:cs="仿宋"/>
                <w:color w:val="000000"/>
                <w:sz w:val="24"/>
              </w:rPr>
              <w:sym w:font="Wingdings" w:char="00A8"/>
            </w:r>
            <w:r>
              <w:rPr>
                <w:rFonts w:hint="eastAsia" w:ascii="仿宋" w:hAnsi="仿宋" w:eastAsia="仿宋" w:cs="仿宋"/>
                <w:color w:val="000000"/>
                <w:sz w:val="24"/>
              </w:rPr>
              <w:t xml:space="preserve">专题学习  </w:t>
            </w:r>
            <w:r>
              <w:rPr>
                <w:rFonts w:hint="eastAsia" w:ascii="仿宋" w:hAnsi="仿宋" w:eastAsia="仿宋" w:cs="仿宋"/>
                <w:color w:val="000000"/>
                <w:sz w:val="24"/>
              </w:rPr>
              <w:sym w:font="Wingdings" w:char="00A8"/>
            </w:r>
            <w:r>
              <w:rPr>
                <w:rFonts w:hint="eastAsia" w:ascii="仿宋" w:hAnsi="仿宋" w:eastAsia="仿宋" w:cs="仿宋"/>
                <w:color w:val="000000"/>
                <w:sz w:val="24"/>
              </w:rPr>
              <w:t xml:space="preserve">实作学习  </w:t>
            </w:r>
            <w:r>
              <w:rPr>
                <w:rFonts w:hint="eastAsia" w:ascii="仿宋" w:hAnsi="仿宋" w:eastAsia="仿宋" w:cs="仿宋"/>
                <w:color w:val="000000"/>
                <w:sz w:val="24"/>
              </w:rPr>
              <w:sym w:font="Wingdings" w:char="00A8"/>
            </w:r>
            <w:r>
              <w:rPr>
                <w:rFonts w:hint="eastAsia" w:ascii="仿宋" w:hAnsi="仿宋" w:eastAsia="仿宋" w:cs="仿宋"/>
                <w:color w:val="000000"/>
                <w:sz w:val="24"/>
              </w:rPr>
              <w:t xml:space="preserve">发表学习  </w:t>
            </w:r>
          </w:p>
          <w:p w14:paraId="61A4D8F8">
            <w:pPr>
              <w:ind w:firstLine="480" w:firstLineChars="200"/>
              <w:rPr>
                <w:rFonts w:hint="eastAsia" w:ascii="仿宋" w:hAnsi="仿宋" w:eastAsia="仿宋" w:cs="仿宋"/>
                <w:color w:val="000000"/>
                <w:sz w:val="24"/>
              </w:rPr>
            </w:pPr>
            <w:r>
              <w:rPr>
                <w:rFonts w:hint="eastAsia" w:ascii="仿宋" w:hAnsi="仿宋" w:eastAsia="仿宋" w:cs="仿宋"/>
                <w:color w:val="000000"/>
                <w:sz w:val="24"/>
              </w:rPr>
              <w:sym w:font="Wingdings" w:char="00A8"/>
            </w:r>
            <w:r>
              <w:rPr>
                <w:rFonts w:hint="eastAsia" w:ascii="仿宋" w:hAnsi="仿宋" w:eastAsia="仿宋" w:cs="仿宋"/>
                <w:color w:val="000000"/>
                <w:sz w:val="24"/>
              </w:rPr>
              <w:t xml:space="preserve">实习  </w:t>
            </w:r>
            <w:r>
              <w:rPr>
                <w:rFonts w:hint="eastAsia" w:ascii="仿宋" w:hAnsi="仿宋" w:eastAsia="仿宋" w:cs="仿宋"/>
                <w:color w:val="000000"/>
                <w:sz w:val="24"/>
              </w:rPr>
              <w:sym w:font="Wingdings" w:char="00A8"/>
            </w:r>
            <w:r>
              <w:rPr>
                <w:rFonts w:hint="eastAsia" w:ascii="仿宋" w:hAnsi="仿宋" w:eastAsia="仿宋" w:cs="仿宋"/>
                <w:color w:val="000000"/>
                <w:sz w:val="24"/>
              </w:rPr>
              <w:t xml:space="preserve">参观访问  </w:t>
            </w:r>
            <w:r>
              <w:rPr>
                <w:rFonts w:hint="eastAsia" w:ascii="仿宋" w:hAnsi="仿宋" w:eastAsia="仿宋" w:cs="仿宋"/>
                <w:color w:val="000000"/>
                <w:sz w:val="24"/>
              </w:rPr>
              <w:sym w:font="Wingdings" w:char="00A8"/>
            </w:r>
            <w:r>
              <w:rPr>
                <w:rFonts w:hint="eastAsia" w:ascii="仿宋" w:hAnsi="仿宋" w:eastAsia="仿宋" w:cs="仿宋"/>
                <w:color w:val="000000"/>
                <w:sz w:val="24"/>
              </w:rPr>
              <w:t>其它：(如口头训练等)</w:t>
            </w:r>
          </w:p>
        </w:tc>
      </w:tr>
      <w:tr w14:paraId="1651E149">
        <w:trPr>
          <w:trHeight w:val="580" w:hRule="atLeast"/>
        </w:trPr>
        <w:tc>
          <w:tcPr>
            <w:tcW w:w="1376" w:type="dxa"/>
            <w:vAlign w:val="center"/>
          </w:tcPr>
          <w:p w14:paraId="79787B42">
            <w:pPr>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J</w:t>
            </w:r>
          </w:p>
          <w:p w14:paraId="1199F04A">
            <w:pPr>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教学条件</w:t>
            </w:r>
          </w:p>
          <w:p w14:paraId="7731833E">
            <w:pPr>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需求</w:t>
            </w:r>
          </w:p>
        </w:tc>
        <w:tc>
          <w:tcPr>
            <w:tcW w:w="7772" w:type="dxa"/>
            <w:gridSpan w:val="14"/>
            <w:tcBorders>
              <w:bottom w:val="single" w:color="auto" w:sz="4" w:space="0"/>
            </w:tcBorders>
            <w:vAlign w:val="center"/>
          </w:tcPr>
          <w:p w14:paraId="0AA44BDF">
            <w:pPr>
              <w:tabs>
                <w:tab w:val="left" w:pos="720"/>
              </w:tabs>
              <w:spacing w:line="240" w:lineRule="atLeast"/>
              <w:rPr>
                <w:rFonts w:hint="eastAsia" w:ascii="仿宋" w:hAnsi="仿宋" w:eastAsia="仿宋" w:cs="仿宋"/>
                <w:color w:val="000000"/>
                <w:kern w:val="0"/>
                <w:sz w:val="24"/>
                <w:szCs w:val="24"/>
              </w:rPr>
            </w:pPr>
          </w:p>
          <w:p w14:paraId="45E6E33A">
            <w:pPr>
              <w:tabs>
                <w:tab w:val="left" w:pos="720"/>
              </w:tabs>
              <w:rPr>
                <w:rFonts w:hint="eastAsia" w:ascii="仿宋" w:hAnsi="仿宋" w:eastAsia="仿宋" w:cs="仿宋"/>
                <w:kern w:val="0"/>
                <w:sz w:val="24"/>
                <w:szCs w:val="24"/>
              </w:rPr>
            </w:pPr>
            <w:r>
              <w:rPr>
                <w:rFonts w:hint="eastAsia" w:ascii="仿宋" w:hAnsi="仿宋" w:eastAsia="仿宋" w:cs="仿宋"/>
                <w:kern w:val="0"/>
                <w:sz w:val="24"/>
                <w:szCs w:val="24"/>
              </w:rPr>
              <w:t>多媒体教室</w:t>
            </w:r>
          </w:p>
          <w:p w14:paraId="673CDBA8">
            <w:pPr>
              <w:tabs>
                <w:tab w:val="left" w:pos="720"/>
              </w:tabs>
              <w:rPr>
                <w:rFonts w:hint="eastAsia" w:ascii="仿宋" w:hAnsi="仿宋" w:eastAsia="仿宋" w:cs="仿宋"/>
                <w:color w:val="000000"/>
                <w:kern w:val="0"/>
                <w:sz w:val="24"/>
                <w:szCs w:val="24"/>
              </w:rPr>
            </w:pPr>
          </w:p>
        </w:tc>
      </w:tr>
      <w:tr w14:paraId="5DBC077A">
        <w:trPr>
          <w:trHeight w:val="711" w:hRule="atLeast"/>
        </w:trPr>
        <w:tc>
          <w:tcPr>
            <w:tcW w:w="1376" w:type="dxa"/>
            <w:vMerge w:val="restart"/>
            <w:vAlign w:val="center"/>
          </w:tcPr>
          <w:p w14:paraId="7E187862">
            <w:pPr>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K</w:t>
            </w:r>
          </w:p>
          <w:p w14:paraId="73B86A0E">
            <w:pPr>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课程目标及其考核内容、考核方式及评分占比</w:t>
            </w:r>
          </w:p>
        </w:tc>
        <w:tc>
          <w:tcPr>
            <w:tcW w:w="1032" w:type="dxa"/>
            <w:vMerge w:val="restart"/>
            <w:vAlign w:val="center"/>
          </w:tcPr>
          <w:p w14:paraId="27DD7973">
            <w:pPr>
              <w:rPr>
                <w:rFonts w:hint="eastAsia" w:ascii="仿宋" w:hAnsi="仿宋" w:eastAsia="仿宋" w:cs="仿宋"/>
                <w:color w:val="000000"/>
                <w:sz w:val="24"/>
                <w:szCs w:val="24"/>
              </w:rPr>
            </w:pPr>
            <w:r>
              <w:rPr>
                <w:rFonts w:hint="eastAsia" w:ascii="仿宋" w:hAnsi="仿宋" w:eastAsia="仿宋" w:cs="仿宋"/>
                <w:color w:val="000000"/>
                <w:sz w:val="24"/>
                <w:szCs w:val="24"/>
              </w:rPr>
              <w:t>课程目标及评分占比</w:t>
            </w:r>
          </w:p>
        </w:tc>
        <w:tc>
          <w:tcPr>
            <w:tcW w:w="3126" w:type="dxa"/>
            <w:gridSpan w:val="7"/>
            <w:vMerge w:val="restart"/>
            <w:tcBorders>
              <w:right w:val="single" w:color="000000" w:sz="4" w:space="0"/>
            </w:tcBorders>
            <w:vAlign w:val="center"/>
          </w:tcPr>
          <w:p w14:paraId="726CC698">
            <w:pPr>
              <w:tabs>
                <w:tab w:val="left" w:pos="720"/>
              </w:tabs>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考核内容</w:t>
            </w:r>
          </w:p>
        </w:tc>
        <w:tc>
          <w:tcPr>
            <w:tcW w:w="2835" w:type="dxa"/>
            <w:gridSpan w:val="5"/>
            <w:tcBorders>
              <w:left w:val="single" w:color="000000" w:sz="4" w:space="0"/>
              <w:right w:val="single" w:color="000000" w:sz="4" w:space="0"/>
            </w:tcBorders>
            <w:vAlign w:val="center"/>
          </w:tcPr>
          <w:p w14:paraId="0CBB66A1">
            <w:pPr>
              <w:tabs>
                <w:tab w:val="left" w:pos="720"/>
              </w:tabs>
              <w:jc w:val="center"/>
              <w:rPr>
                <w:rFonts w:hint="eastAsia" w:ascii="仿宋" w:hAnsi="仿宋" w:eastAsia="仿宋" w:cs="仿宋"/>
                <w:color w:val="4472C4"/>
                <w:sz w:val="24"/>
                <w:szCs w:val="24"/>
              </w:rPr>
            </w:pPr>
            <w:r>
              <w:rPr>
                <w:rFonts w:hint="eastAsia" w:ascii="仿宋" w:hAnsi="仿宋" w:eastAsia="仿宋" w:cs="仿宋"/>
                <w:color w:val="000000"/>
                <w:kern w:val="0"/>
                <w:sz w:val="24"/>
                <w:szCs w:val="24"/>
              </w:rPr>
              <w:t>考核方式</w:t>
            </w:r>
          </w:p>
        </w:tc>
        <w:tc>
          <w:tcPr>
            <w:tcW w:w="779" w:type="dxa"/>
            <w:vMerge w:val="restart"/>
            <w:tcBorders>
              <w:left w:val="single" w:color="000000" w:sz="4" w:space="0"/>
            </w:tcBorders>
            <w:vAlign w:val="center"/>
          </w:tcPr>
          <w:p w14:paraId="70C35FDE">
            <w:pPr>
              <w:tabs>
                <w:tab w:val="left" w:pos="720"/>
              </w:tabs>
              <w:jc w:val="center"/>
              <w:rPr>
                <w:rFonts w:hint="eastAsia" w:ascii="仿宋" w:hAnsi="仿宋" w:eastAsia="仿宋" w:cs="仿宋"/>
                <w:color w:val="000000"/>
                <w:kern w:val="0"/>
                <w:sz w:val="24"/>
                <w:szCs w:val="24"/>
              </w:rPr>
            </w:pPr>
            <w:r>
              <w:rPr>
                <w:rFonts w:hint="eastAsia" w:ascii="仿宋" w:hAnsi="仿宋" w:eastAsia="仿宋" w:cs="仿宋"/>
                <w:color w:val="000000"/>
                <w:sz w:val="24"/>
                <w:szCs w:val="24"/>
              </w:rPr>
              <w:t>课程分目标的达成度</w:t>
            </w:r>
          </w:p>
        </w:tc>
      </w:tr>
      <w:tr w14:paraId="50C169AF">
        <w:trPr>
          <w:trHeight w:val="184" w:hRule="atLeast"/>
        </w:trPr>
        <w:tc>
          <w:tcPr>
            <w:tcW w:w="1376" w:type="dxa"/>
            <w:vMerge w:val="continue"/>
            <w:vAlign w:val="center"/>
          </w:tcPr>
          <w:p w14:paraId="55AAE7CE">
            <w:pPr>
              <w:spacing w:line="240" w:lineRule="atLeast"/>
              <w:jc w:val="center"/>
              <w:rPr>
                <w:rFonts w:hint="eastAsia" w:ascii="仿宋" w:hAnsi="仿宋" w:eastAsia="仿宋" w:cs="仿宋"/>
                <w:color w:val="000000"/>
                <w:sz w:val="24"/>
                <w:szCs w:val="24"/>
              </w:rPr>
            </w:pPr>
          </w:p>
        </w:tc>
        <w:tc>
          <w:tcPr>
            <w:tcW w:w="1032" w:type="dxa"/>
            <w:vMerge w:val="continue"/>
            <w:vAlign w:val="center"/>
          </w:tcPr>
          <w:p w14:paraId="6934E7C9">
            <w:pPr>
              <w:jc w:val="right"/>
              <w:rPr>
                <w:rFonts w:hint="eastAsia" w:ascii="仿宋" w:hAnsi="仿宋" w:eastAsia="仿宋" w:cs="仿宋"/>
                <w:color w:val="000000"/>
                <w:sz w:val="24"/>
                <w:szCs w:val="24"/>
              </w:rPr>
            </w:pPr>
          </w:p>
        </w:tc>
        <w:tc>
          <w:tcPr>
            <w:tcW w:w="3126" w:type="dxa"/>
            <w:gridSpan w:val="7"/>
            <w:vMerge w:val="continue"/>
            <w:tcBorders>
              <w:right w:val="single" w:color="000000" w:sz="4" w:space="0"/>
            </w:tcBorders>
            <w:vAlign w:val="center"/>
          </w:tcPr>
          <w:p w14:paraId="2D41364C">
            <w:pPr>
              <w:tabs>
                <w:tab w:val="left" w:pos="720"/>
              </w:tabs>
              <w:jc w:val="center"/>
              <w:rPr>
                <w:rFonts w:hint="eastAsia" w:ascii="仿宋" w:hAnsi="仿宋" w:eastAsia="仿宋" w:cs="仿宋"/>
                <w:color w:val="000000"/>
                <w:kern w:val="0"/>
                <w:sz w:val="24"/>
                <w:szCs w:val="24"/>
              </w:rPr>
            </w:pPr>
          </w:p>
        </w:tc>
        <w:tc>
          <w:tcPr>
            <w:tcW w:w="830" w:type="dxa"/>
            <w:tcBorders>
              <w:left w:val="single" w:color="000000" w:sz="4" w:space="0"/>
            </w:tcBorders>
            <w:vAlign w:val="center"/>
          </w:tcPr>
          <w:p w14:paraId="109C40F7">
            <w:pPr>
              <w:tabs>
                <w:tab w:val="left" w:pos="720"/>
              </w:tabs>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作业占比</w:t>
            </w:r>
            <w:r>
              <w:rPr>
                <w:rFonts w:hint="eastAsia" w:ascii="仿宋" w:hAnsi="仿宋" w:eastAsia="仿宋" w:cs="仿宋"/>
                <w:color w:val="000000"/>
                <w:kern w:val="0"/>
                <w:sz w:val="18"/>
                <w:szCs w:val="18"/>
              </w:rPr>
              <w:t>（20%）</w:t>
            </w:r>
          </w:p>
        </w:tc>
        <w:tc>
          <w:tcPr>
            <w:tcW w:w="990" w:type="dxa"/>
            <w:gridSpan w:val="2"/>
            <w:tcBorders>
              <w:bottom w:val="single" w:color="auto" w:sz="4" w:space="0"/>
            </w:tcBorders>
            <w:vAlign w:val="center"/>
          </w:tcPr>
          <w:p w14:paraId="07E76621">
            <w:pPr>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在线学习占比</w:t>
            </w:r>
            <w:r>
              <w:rPr>
                <w:rFonts w:hint="eastAsia" w:ascii="仿宋" w:hAnsi="仿宋" w:eastAsia="仿宋" w:cs="仿宋"/>
                <w:color w:val="000000"/>
                <w:kern w:val="0"/>
                <w:sz w:val="18"/>
                <w:szCs w:val="18"/>
              </w:rPr>
              <w:t>（20%）</w:t>
            </w:r>
          </w:p>
        </w:tc>
        <w:tc>
          <w:tcPr>
            <w:tcW w:w="1015" w:type="dxa"/>
            <w:gridSpan w:val="2"/>
            <w:tcBorders>
              <w:left w:val="single" w:color="000000" w:sz="4" w:space="0"/>
              <w:bottom w:val="single" w:color="auto" w:sz="4" w:space="0"/>
              <w:right w:val="single" w:color="000000" w:sz="4" w:space="0"/>
            </w:tcBorders>
            <w:vAlign w:val="center"/>
          </w:tcPr>
          <w:p w14:paraId="0F2EBC8B">
            <w:pPr>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期末考试占比</w:t>
            </w:r>
            <w:r>
              <w:rPr>
                <w:rFonts w:hint="eastAsia" w:ascii="仿宋" w:hAnsi="仿宋" w:eastAsia="仿宋" w:cs="仿宋"/>
                <w:color w:val="000000"/>
                <w:kern w:val="0"/>
                <w:sz w:val="18"/>
                <w:szCs w:val="18"/>
              </w:rPr>
              <w:t>（60%）</w:t>
            </w:r>
          </w:p>
        </w:tc>
        <w:tc>
          <w:tcPr>
            <w:tcW w:w="779" w:type="dxa"/>
            <w:vMerge w:val="continue"/>
            <w:tcBorders>
              <w:left w:val="single" w:color="000000" w:sz="4" w:space="0"/>
              <w:bottom w:val="single" w:color="auto" w:sz="4" w:space="0"/>
            </w:tcBorders>
            <w:vAlign w:val="center"/>
          </w:tcPr>
          <w:p w14:paraId="42BCC288">
            <w:pPr>
              <w:tabs>
                <w:tab w:val="left" w:pos="720"/>
              </w:tabs>
              <w:jc w:val="center"/>
              <w:rPr>
                <w:rFonts w:hint="eastAsia" w:ascii="仿宋" w:hAnsi="仿宋" w:eastAsia="仿宋" w:cs="仿宋"/>
                <w:color w:val="000000"/>
                <w:sz w:val="24"/>
                <w:szCs w:val="24"/>
              </w:rPr>
            </w:pPr>
          </w:p>
        </w:tc>
      </w:tr>
      <w:tr w14:paraId="113CC6A7">
        <w:tc>
          <w:tcPr>
            <w:tcW w:w="1376" w:type="dxa"/>
            <w:vMerge w:val="continue"/>
            <w:vAlign w:val="center"/>
          </w:tcPr>
          <w:p w14:paraId="27C13504">
            <w:pPr>
              <w:spacing w:line="240" w:lineRule="atLeast"/>
              <w:jc w:val="center"/>
              <w:rPr>
                <w:rFonts w:hint="eastAsia" w:ascii="仿宋" w:hAnsi="仿宋" w:eastAsia="仿宋" w:cs="仿宋"/>
                <w:color w:val="000000"/>
                <w:sz w:val="24"/>
                <w:szCs w:val="24"/>
                <w:lang w:eastAsia="zh-TW"/>
              </w:rPr>
            </w:pPr>
          </w:p>
        </w:tc>
        <w:tc>
          <w:tcPr>
            <w:tcW w:w="1032" w:type="dxa"/>
            <w:tcBorders>
              <w:bottom w:val="single" w:color="auto" w:sz="4" w:space="0"/>
            </w:tcBorders>
            <w:vAlign w:val="center"/>
          </w:tcPr>
          <w:p w14:paraId="0D752313">
            <w:pPr>
              <w:rPr>
                <w:rFonts w:hint="eastAsia" w:ascii="仿宋_GB2312" w:hAnsi="仿宋" w:eastAsia="仿宋_GB2312" w:cs="仿宋"/>
                <w:color w:val="000000"/>
                <w:kern w:val="0"/>
                <w:sz w:val="24"/>
                <w:szCs w:val="24"/>
              </w:rPr>
            </w:pPr>
            <w:r>
              <w:rPr>
                <w:rFonts w:hint="eastAsia" w:ascii="仿宋" w:hAnsi="仿宋" w:eastAsia="仿宋" w:cs="仿宋"/>
                <w:color w:val="000000"/>
                <w:sz w:val="24"/>
                <w:szCs w:val="24"/>
              </w:rPr>
              <w:t>课程目标1（</w:t>
            </w:r>
            <w:r>
              <w:rPr>
                <w:rFonts w:ascii="仿宋" w:hAnsi="仿宋" w:eastAsia="仿宋" w:cs="仿宋"/>
                <w:color w:val="000000"/>
                <w:sz w:val="24"/>
                <w:szCs w:val="24"/>
              </w:rPr>
              <w:t>6</w:t>
            </w:r>
            <w:r>
              <w:rPr>
                <w:rFonts w:hint="eastAsia" w:ascii="仿宋" w:hAnsi="仿宋" w:eastAsia="仿宋" w:cs="仿宋"/>
                <w:color w:val="000000"/>
                <w:sz w:val="24"/>
                <w:szCs w:val="24"/>
              </w:rPr>
              <w:t>0%）</w:t>
            </w:r>
          </w:p>
        </w:tc>
        <w:tc>
          <w:tcPr>
            <w:tcW w:w="3126" w:type="dxa"/>
            <w:gridSpan w:val="7"/>
            <w:tcBorders>
              <w:bottom w:val="single" w:color="auto" w:sz="4" w:space="0"/>
              <w:right w:val="single" w:color="000000" w:sz="4" w:space="0"/>
            </w:tcBorders>
            <w:vAlign w:val="center"/>
          </w:tcPr>
          <w:p w14:paraId="22D1F1CE">
            <w:pPr>
              <w:tabs>
                <w:tab w:val="left" w:pos="720"/>
              </w:tabs>
              <w:rPr>
                <w:rFonts w:hint="eastAsia" w:ascii="仿宋_GB2312" w:hAnsi="仿宋" w:eastAsia="仿宋_GB2312" w:cs="仿宋"/>
                <w:color w:val="000000"/>
                <w:kern w:val="0"/>
                <w:sz w:val="24"/>
                <w:szCs w:val="24"/>
              </w:rPr>
            </w:pPr>
            <w:r>
              <w:rPr>
                <w:rFonts w:hint="eastAsia" w:ascii="仿宋" w:hAnsi="仿宋" w:eastAsia="仿宋" w:cs="仿宋"/>
                <w:color w:val="000000"/>
                <w:kern w:val="0"/>
                <w:sz w:val="24"/>
                <w:szCs w:val="24"/>
              </w:rPr>
              <w:t>教育法、义务教育法、教师法、未成年人保护法、预防未成年人犯罪法、师德规范。</w:t>
            </w:r>
          </w:p>
        </w:tc>
        <w:tc>
          <w:tcPr>
            <w:tcW w:w="830" w:type="dxa"/>
            <w:tcBorders>
              <w:left w:val="single" w:color="000000" w:sz="4" w:space="0"/>
              <w:bottom w:val="single" w:color="auto" w:sz="4" w:space="0"/>
            </w:tcBorders>
            <w:vAlign w:val="center"/>
          </w:tcPr>
          <w:p w14:paraId="39F605D0">
            <w:pPr>
              <w:tabs>
                <w:tab w:val="left" w:pos="720"/>
              </w:tabs>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12</w:t>
            </w:r>
          </w:p>
        </w:tc>
        <w:tc>
          <w:tcPr>
            <w:tcW w:w="990" w:type="dxa"/>
            <w:gridSpan w:val="2"/>
            <w:tcBorders>
              <w:bottom w:val="single" w:color="auto" w:sz="4" w:space="0"/>
              <w:right w:val="single" w:color="auto" w:sz="4" w:space="0"/>
            </w:tcBorders>
            <w:vAlign w:val="center"/>
          </w:tcPr>
          <w:p w14:paraId="3126B46A">
            <w:pPr>
              <w:tabs>
                <w:tab w:val="left" w:pos="720"/>
              </w:tabs>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12</w:t>
            </w:r>
          </w:p>
        </w:tc>
        <w:tc>
          <w:tcPr>
            <w:tcW w:w="1015" w:type="dxa"/>
            <w:gridSpan w:val="2"/>
            <w:tcBorders>
              <w:left w:val="single" w:color="000000" w:sz="4" w:space="0"/>
              <w:bottom w:val="single" w:color="auto" w:sz="4" w:space="0"/>
              <w:right w:val="single" w:color="auto" w:sz="4" w:space="0"/>
            </w:tcBorders>
            <w:vAlign w:val="center"/>
          </w:tcPr>
          <w:p w14:paraId="0840E623">
            <w:pPr>
              <w:tabs>
                <w:tab w:val="left" w:pos="720"/>
              </w:tabs>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36</w:t>
            </w:r>
          </w:p>
        </w:tc>
        <w:tc>
          <w:tcPr>
            <w:tcW w:w="779" w:type="dxa"/>
            <w:tcBorders>
              <w:left w:val="single" w:color="auto" w:sz="4" w:space="0"/>
              <w:bottom w:val="single" w:color="auto" w:sz="4" w:space="0"/>
            </w:tcBorders>
            <w:vAlign w:val="center"/>
          </w:tcPr>
          <w:p w14:paraId="42F606E6">
            <w:pPr>
              <w:tabs>
                <w:tab w:val="left" w:pos="720"/>
              </w:tabs>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0</w:t>
            </w:r>
            <w:r>
              <w:rPr>
                <w:rFonts w:ascii="仿宋" w:hAnsi="仿宋" w:eastAsia="仿宋" w:cs="仿宋"/>
                <w:color w:val="000000"/>
                <w:kern w:val="0"/>
                <w:sz w:val="24"/>
                <w:szCs w:val="24"/>
              </w:rPr>
              <w:t>.6</w:t>
            </w:r>
            <w:r>
              <w:rPr>
                <w:rFonts w:hint="eastAsia" w:ascii="仿宋" w:hAnsi="仿宋" w:eastAsia="仿宋" w:cs="仿宋"/>
                <w:color w:val="000000"/>
                <w:kern w:val="0"/>
                <w:sz w:val="24"/>
                <w:szCs w:val="24"/>
              </w:rPr>
              <w:t>0</w:t>
            </w:r>
          </w:p>
        </w:tc>
      </w:tr>
      <w:tr w14:paraId="203D5ABC">
        <w:trPr>
          <w:trHeight w:val="745" w:hRule="atLeast"/>
        </w:trPr>
        <w:tc>
          <w:tcPr>
            <w:tcW w:w="1376" w:type="dxa"/>
            <w:vMerge w:val="continue"/>
            <w:vAlign w:val="center"/>
          </w:tcPr>
          <w:p w14:paraId="37AFEEB6">
            <w:pPr>
              <w:spacing w:line="240" w:lineRule="atLeast"/>
              <w:jc w:val="center"/>
              <w:rPr>
                <w:rFonts w:hint="eastAsia" w:ascii="仿宋" w:hAnsi="仿宋" w:eastAsia="仿宋" w:cs="仿宋"/>
                <w:color w:val="000000"/>
                <w:sz w:val="24"/>
                <w:szCs w:val="24"/>
                <w:lang w:eastAsia="zh-TW"/>
              </w:rPr>
            </w:pPr>
          </w:p>
        </w:tc>
        <w:tc>
          <w:tcPr>
            <w:tcW w:w="1032" w:type="dxa"/>
            <w:vAlign w:val="center"/>
          </w:tcPr>
          <w:p w14:paraId="0240EF8D">
            <w:pPr>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课程目标2（</w:t>
            </w:r>
            <w:r>
              <w:rPr>
                <w:rFonts w:ascii="仿宋" w:hAnsi="仿宋" w:eastAsia="仿宋" w:cs="仿宋"/>
                <w:color w:val="000000"/>
                <w:kern w:val="0"/>
                <w:sz w:val="24"/>
                <w:szCs w:val="24"/>
              </w:rPr>
              <w:t>4</w:t>
            </w:r>
            <w:r>
              <w:rPr>
                <w:rFonts w:hint="eastAsia" w:ascii="仿宋" w:hAnsi="仿宋" w:eastAsia="仿宋" w:cs="仿宋"/>
                <w:color w:val="000000"/>
                <w:kern w:val="0"/>
                <w:sz w:val="24"/>
                <w:szCs w:val="24"/>
              </w:rPr>
              <w:t>0%）</w:t>
            </w:r>
          </w:p>
        </w:tc>
        <w:tc>
          <w:tcPr>
            <w:tcW w:w="3126" w:type="dxa"/>
            <w:gridSpan w:val="7"/>
            <w:tcBorders>
              <w:right w:val="single" w:color="000000" w:sz="4" w:space="0"/>
            </w:tcBorders>
            <w:vAlign w:val="center"/>
          </w:tcPr>
          <w:p w14:paraId="2C9CB448">
            <w:pPr>
              <w:tabs>
                <w:tab w:val="left" w:pos="720"/>
              </w:tabs>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教育法、义务教育法、教师法、未成年人保护法、预防未成年人犯罪法、师德规范。</w:t>
            </w:r>
          </w:p>
        </w:tc>
        <w:tc>
          <w:tcPr>
            <w:tcW w:w="830" w:type="dxa"/>
            <w:tcBorders>
              <w:left w:val="single" w:color="000000" w:sz="4" w:space="0"/>
            </w:tcBorders>
            <w:vAlign w:val="center"/>
          </w:tcPr>
          <w:p w14:paraId="1740E17D">
            <w:pPr>
              <w:tabs>
                <w:tab w:val="left" w:pos="720"/>
              </w:tabs>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8</w:t>
            </w:r>
          </w:p>
        </w:tc>
        <w:tc>
          <w:tcPr>
            <w:tcW w:w="990" w:type="dxa"/>
            <w:gridSpan w:val="2"/>
            <w:tcBorders>
              <w:bottom w:val="single" w:color="000000" w:sz="4" w:space="0"/>
            </w:tcBorders>
            <w:vAlign w:val="center"/>
          </w:tcPr>
          <w:p w14:paraId="722AB143">
            <w:pPr>
              <w:tabs>
                <w:tab w:val="left" w:pos="720"/>
              </w:tabs>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8</w:t>
            </w:r>
          </w:p>
        </w:tc>
        <w:tc>
          <w:tcPr>
            <w:tcW w:w="1015" w:type="dxa"/>
            <w:gridSpan w:val="2"/>
            <w:tcBorders>
              <w:left w:val="single" w:color="000000" w:sz="4" w:space="0"/>
              <w:bottom w:val="single" w:color="000000" w:sz="4" w:space="0"/>
              <w:right w:val="single" w:color="000000" w:sz="4" w:space="0"/>
            </w:tcBorders>
            <w:vAlign w:val="center"/>
          </w:tcPr>
          <w:p w14:paraId="7AC120C9">
            <w:pPr>
              <w:tabs>
                <w:tab w:val="left" w:pos="720"/>
              </w:tabs>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24</w:t>
            </w:r>
          </w:p>
        </w:tc>
        <w:tc>
          <w:tcPr>
            <w:tcW w:w="779" w:type="dxa"/>
            <w:tcBorders>
              <w:left w:val="single" w:color="000000" w:sz="4" w:space="0"/>
              <w:bottom w:val="single" w:color="000000" w:sz="4" w:space="0"/>
            </w:tcBorders>
            <w:vAlign w:val="center"/>
          </w:tcPr>
          <w:p w14:paraId="001E04B0">
            <w:pPr>
              <w:tabs>
                <w:tab w:val="left" w:pos="720"/>
              </w:tabs>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0</w:t>
            </w:r>
            <w:r>
              <w:rPr>
                <w:rFonts w:ascii="仿宋" w:hAnsi="仿宋" w:eastAsia="仿宋" w:cs="仿宋"/>
                <w:color w:val="000000"/>
                <w:kern w:val="0"/>
                <w:sz w:val="24"/>
                <w:szCs w:val="24"/>
              </w:rPr>
              <w:t>.6</w:t>
            </w:r>
            <w:r>
              <w:rPr>
                <w:rFonts w:hint="eastAsia" w:ascii="仿宋" w:hAnsi="仿宋" w:eastAsia="仿宋" w:cs="仿宋"/>
                <w:color w:val="000000"/>
                <w:kern w:val="0"/>
                <w:sz w:val="24"/>
                <w:szCs w:val="24"/>
              </w:rPr>
              <w:t>0</w:t>
            </w:r>
          </w:p>
        </w:tc>
      </w:tr>
      <w:tr w14:paraId="233F130A">
        <w:trPr>
          <w:trHeight w:val="745" w:hRule="atLeast"/>
        </w:trPr>
        <w:tc>
          <w:tcPr>
            <w:tcW w:w="1376" w:type="dxa"/>
            <w:vMerge w:val="continue"/>
            <w:vAlign w:val="center"/>
          </w:tcPr>
          <w:p w14:paraId="6AF17B75">
            <w:pPr>
              <w:spacing w:line="240" w:lineRule="atLeast"/>
              <w:jc w:val="center"/>
              <w:rPr>
                <w:rFonts w:hint="eastAsia" w:ascii="仿宋" w:hAnsi="仿宋" w:eastAsia="仿宋" w:cs="仿宋"/>
                <w:color w:val="000000"/>
                <w:sz w:val="24"/>
                <w:szCs w:val="24"/>
                <w:lang w:eastAsia="zh-TW"/>
              </w:rPr>
            </w:pPr>
          </w:p>
        </w:tc>
        <w:tc>
          <w:tcPr>
            <w:tcW w:w="1032" w:type="dxa"/>
            <w:tcBorders>
              <w:bottom w:val="single" w:color="auto" w:sz="4" w:space="0"/>
            </w:tcBorders>
            <w:vAlign w:val="center"/>
          </w:tcPr>
          <w:p w14:paraId="37645268">
            <w:pPr>
              <w:jc w:val="center"/>
              <w:rPr>
                <w:rFonts w:hint="eastAsia" w:ascii="仿宋" w:hAnsi="仿宋" w:eastAsia="仿宋" w:cs="仿宋"/>
                <w:color w:val="000000"/>
                <w:kern w:val="0"/>
                <w:sz w:val="24"/>
                <w:szCs w:val="24"/>
              </w:rPr>
            </w:pPr>
          </w:p>
        </w:tc>
        <w:tc>
          <w:tcPr>
            <w:tcW w:w="3126" w:type="dxa"/>
            <w:gridSpan w:val="7"/>
            <w:tcBorders>
              <w:bottom w:val="single" w:color="auto" w:sz="4" w:space="0"/>
              <w:right w:val="single" w:color="000000" w:sz="4" w:space="0"/>
            </w:tcBorders>
            <w:vAlign w:val="center"/>
          </w:tcPr>
          <w:p w14:paraId="3008CC22">
            <w:pPr>
              <w:tabs>
                <w:tab w:val="left" w:pos="720"/>
              </w:tabs>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总分</w:t>
            </w:r>
          </w:p>
        </w:tc>
        <w:tc>
          <w:tcPr>
            <w:tcW w:w="830" w:type="dxa"/>
            <w:tcBorders>
              <w:left w:val="single" w:color="000000" w:sz="4" w:space="0"/>
              <w:bottom w:val="single" w:color="auto" w:sz="4" w:space="0"/>
            </w:tcBorders>
            <w:vAlign w:val="center"/>
          </w:tcPr>
          <w:p w14:paraId="39376BEC">
            <w:pPr>
              <w:tabs>
                <w:tab w:val="left" w:pos="720"/>
              </w:tabs>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20</w:t>
            </w:r>
          </w:p>
        </w:tc>
        <w:tc>
          <w:tcPr>
            <w:tcW w:w="990" w:type="dxa"/>
            <w:gridSpan w:val="2"/>
            <w:tcBorders>
              <w:top w:val="single" w:color="000000" w:sz="4" w:space="0"/>
              <w:bottom w:val="single" w:color="auto" w:sz="4" w:space="0"/>
            </w:tcBorders>
            <w:vAlign w:val="center"/>
          </w:tcPr>
          <w:p w14:paraId="01D7A82E">
            <w:pPr>
              <w:tabs>
                <w:tab w:val="left" w:pos="720"/>
              </w:tabs>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20</w:t>
            </w:r>
          </w:p>
        </w:tc>
        <w:tc>
          <w:tcPr>
            <w:tcW w:w="1015" w:type="dxa"/>
            <w:gridSpan w:val="2"/>
            <w:tcBorders>
              <w:top w:val="single" w:color="000000" w:sz="4" w:space="0"/>
              <w:left w:val="single" w:color="000000" w:sz="4" w:space="0"/>
              <w:bottom w:val="single" w:color="auto" w:sz="4" w:space="0"/>
              <w:right w:val="single" w:color="000000" w:sz="4" w:space="0"/>
            </w:tcBorders>
            <w:vAlign w:val="center"/>
          </w:tcPr>
          <w:p w14:paraId="0AF60A70">
            <w:pPr>
              <w:tabs>
                <w:tab w:val="left" w:pos="720"/>
              </w:tabs>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60</w:t>
            </w:r>
          </w:p>
        </w:tc>
        <w:tc>
          <w:tcPr>
            <w:tcW w:w="779" w:type="dxa"/>
            <w:tcBorders>
              <w:top w:val="single" w:color="000000" w:sz="4" w:space="0"/>
              <w:left w:val="single" w:color="000000" w:sz="4" w:space="0"/>
              <w:bottom w:val="single" w:color="auto" w:sz="4" w:space="0"/>
            </w:tcBorders>
            <w:vAlign w:val="center"/>
          </w:tcPr>
          <w:p w14:paraId="50373B0A">
            <w:pPr>
              <w:tabs>
                <w:tab w:val="left" w:pos="720"/>
              </w:tabs>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0.</w:t>
            </w:r>
            <w:r>
              <w:rPr>
                <w:rFonts w:ascii="仿宋" w:hAnsi="仿宋" w:eastAsia="仿宋" w:cs="仿宋"/>
                <w:color w:val="000000"/>
                <w:kern w:val="0"/>
                <w:sz w:val="24"/>
                <w:szCs w:val="24"/>
              </w:rPr>
              <w:t>6</w:t>
            </w:r>
            <w:r>
              <w:rPr>
                <w:rFonts w:hint="eastAsia" w:ascii="仿宋" w:hAnsi="仿宋" w:eastAsia="仿宋" w:cs="仿宋"/>
                <w:color w:val="000000"/>
                <w:kern w:val="0"/>
                <w:sz w:val="24"/>
                <w:szCs w:val="24"/>
              </w:rPr>
              <w:t>0</w:t>
            </w:r>
          </w:p>
        </w:tc>
      </w:tr>
      <w:tr w14:paraId="21B6B104">
        <w:tc>
          <w:tcPr>
            <w:tcW w:w="1376" w:type="dxa"/>
            <w:vAlign w:val="center"/>
          </w:tcPr>
          <w:p w14:paraId="58D69900">
            <w:pPr>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L</w:t>
            </w:r>
          </w:p>
          <w:p w14:paraId="40416289">
            <w:pPr>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学习建议</w:t>
            </w:r>
          </w:p>
        </w:tc>
        <w:tc>
          <w:tcPr>
            <w:tcW w:w="7772" w:type="dxa"/>
            <w:gridSpan w:val="14"/>
            <w:tcBorders>
              <w:bottom w:val="single" w:color="auto" w:sz="4" w:space="0"/>
            </w:tcBorders>
            <w:vAlign w:val="center"/>
          </w:tcPr>
          <w:p w14:paraId="210FC5B4">
            <w:pPr>
              <w:tabs>
                <w:tab w:val="left" w:pos="720"/>
              </w:tabs>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1.自主学习。建议学生通过预习教材，并通过网络、图书馆自主查阅课程中涉及的学习资源，独立规划自己的课程学习计划，充分发挥自身的学习能动性。</w:t>
            </w:r>
          </w:p>
          <w:p w14:paraId="7FB61D31">
            <w:pPr>
              <w:tabs>
                <w:tab w:val="left" w:pos="720"/>
              </w:tabs>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2.研究性学习。鼓励学生针对课程教学内容，尝试理论课结合专题报告的教学方式，开展相关的师德与法规专题讲座，提高学生的学习兴趣，了解国内外最新知识，开阔学生的视野。</w:t>
            </w:r>
          </w:p>
        </w:tc>
      </w:tr>
      <w:tr w14:paraId="0A0EDEA3">
        <w:trPr>
          <w:trHeight w:val="454" w:hRule="atLeast"/>
        </w:trPr>
        <w:tc>
          <w:tcPr>
            <w:tcW w:w="1376" w:type="dxa"/>
            <w:vAlign w:val="center"/>
          </w:tcPr>
          <w:p w14:paraId="78A780FB">
            <w:pPr>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M</w:t>
            </w:r>
          </w:p>
          <w:p w14:paraId="6FB83686">
            <w:pPr>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评分量表</w:t>
            </w:r>
          </w:p>
        </w:tc>
        <w:tc>
          <w:tcPr>
            <w:tcW w:w="7772" w:type="dxa"/>
            <w:gridSpan w:val="14"/>
            <w:vAlign w:val="center"/>
          </w:tcPr>
          <w:p w14:paraId="69184C6E">
            <w:pPr>
              <w:tabs>
                <w:tab w:val="left" w:pos="720"/>
              </w:tabs>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《师德与法规》课程目标评分量表见附表。</w:t>
            </w:r>
          </w:p>
        </w:tc>
      </w:tr>
      <w:tr w14:paraId="04D66B54">
        <w:trPr>
          <w:trHeight w:val="454" w:hRule="atLeast"/>
        </w:trPr>
        <w:tc>
          <w:tcPr>
            <w:tcW w:w="1376" w:type="dxa"/>
            <w:vAlign w:val="center"/>
          </w:tcPr>
          <w:p w14:paraId="100A16DA">
            <w:pPr>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备注</w:t>
            </w:r>
          </w:p>
        </w:tc>
        <w:tc>
          <w:tcPr>
            <w:tcW w:w="7772" w:type="dxa"/>
            <w:gridSpan w:val="14"/>
            <w:vAlign w:val="center"/>
          </w:tcPr>
          <w:p w14:paraId="29B1EABD">
            <w:pPr>
              <w:rPr>
                <w:rFonts w:hint="eastAsia" w:ascii="仿宋" w:hAnsi="仿宋" w:eastAsia="仿宋" w:cs="仿宋"/>
                <w:color w:val="000000"/>
                <w:sz w:val="24"/>
                <w:szCs w:val="24"/>
              </w:rPr>
            </w:pPr>
            <w:r>
              <w:rPr>
                <w:rFonts w:hint="eastAsia" w:ascii="仿宋" w:hAnsi="仿宋" w:eastAsia="仿宋" w:cs="仿宋"/>
                <w:color w:val="000000"/>
                <w:sz w:val="24"/>
                <w:szCs w:val="24"/>
              </w:rPr>
              <w:t>课程大纲A—M项由开课学院审批通过，任课教师不能自行更改。</w:t>
            </w:r>
          </w:p>
        </w:tc>
      </w:tr>
      <w:tr w14:paraId="4AFD8DDA">
        <w:trPr>
          <w:trHeight w:val="771" w:hRule="atLeast"/>
        </w:trPr>
        <w:tc>
          <w:tcPr>
            <w:tcW w:w="1376" w:type="dxa"/>
            <w:vAlign w:val="center"/>
          </w:tcPr>
          <w:p w14:paraId="504174E3">
            <w:pPr>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审批</w:t>
            </w:r>
          </w:p>
          <w:p w14:paraId="3BFE8AA1">
            <w:pPr>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意见</w:t>
            </w:r>
          </w:p>
        </w:tc>
        <w:tc>
          <w:tcPr>
            <w:tcW w:w="3869" w:type="dxa"/>
            <w:gridSpan w:val="5"/>
            <w:vAlign w:val="center"/>
          </w:tcPr>
          <w:p w14:paraId="2C083289">
            <w:pPr>
              <w:widowControl/>
              <w:jc w:val="left"/>
              <w:rPr>
                <w:rFonts w:hint="eastAsia" w:ascii="仿宋" w:hAnsi="仿宋" w:eastAsia="仿宋" w:cs="仿宋"/>
                <w:kern w:val="0"/>
                <w:sz w:val="24"/>
                <w:szCs w:val="24"/>
              </w:rPr>
            </w:pPr>
            <w:r>
              <w:rPr>
                <w:rFonts w:hint="eastAsia" w:ascii="仿宋" w:hAnsi="仿宋" w:eastAsia="仿宋" w:cs="仿宋"/>
                <w:kern w:val="0"/>
                <w:sz w:val="24"/>
                <w:szCs w:val="24"/>
              </w:rPr>
              <w:t>课程教学大纲修订负责人及教学团队成员</w:t>
            </w:r>
            <w:r>
              <w:rPr>
                <w:rFonts w:hint="eastAsia" w:ascii="仿宋" w:hAnsi="仿宋" w:eastAsia="仿宋" w:cs="仿宋"/>
                <w:color w:val="000000"/>
                <w:sz w:val="24"/>
                <w:szCs w:val="24"/>
              </w:rPr>
              <w:t>签名</w:t>
            </w:r>
            <w:r>
              <w:rPr>
                <w:rFonts w:hint="eastAsia" w:ascii="仿宋" w:hAnsi="仿宋" w:eastAsia="仿宋" w:cs="仿宋"/>
                <w:kern w:val="0"/>
                <w:sz w:val="24"/>
                <w:szCs w:val="24"/>
              </w:rPr>
              <w:t xml:space="preserve">：   </w:t>
            </w:r>
          </w:p>
          <w:p w14:paraId="4BD1531A">
            <w:pPr>
              <w:widowControl/>
              <w:jc w:val="left"/>
              <w:rPr>
                <w:rFonts w:hint="eastAsia" w:ascii="仿宋" w:hAnsi="仿宋" w:eastAsia="仿宋" w:cs="仿宋"/>
                <w:kern w:val="0"/>
                <w:sz w:val="24"/>
                <w:szCs w:val="24"/>
              </w:rPr>
            </w:pPr>
          </w:p>
          <w:p w14:paraId="699E888C">
            <w:pPr>
              <w:widowControl/>
              <w:jc w:val="left"/>
              <w:rPr>
                <w:rFonts w:hint="eastAsia" w:ascii="仿宋" w:hAnsi="仿宋" w:eastAsia="仿宋" w:cs="仿宋"/>
                <w:kern w:val="0"/>
                <w:sz w:val="24"/>
                <w:szCs w:val="24"/>
              </w:rPr>
            </w:pPr>
          </w:p>
          <w:p w14:paraId="17A47CF2">
            <w:pPr>
              <w:widowControl/>
              <w:jc w:val="left"/>
              <w:rPr>
                <w:rFonts w:hint="eastAsia" w:ascii="仿宋" w:hAnsi="仿宋" w:eastAsia="仿宋" w:cs="仿宋"/>
                <w:kern w:val="0"/>
                <w:sz w:val="24"/>
                <w:szCs w:val="24"/>
              </w:rPr>
            </w:pPr>
          </w:p>
          <w:p w14:paraId="356D40F3">
            <w:pPr>
              <w:widowControl/>
              <w:jc w:val="left"/>
              <w:rPr>
                <w:rFonts w:hint="eastAsia" w:ascii="仿宋" w:hAnsi="仿宋" w:eastAsia="仿宋" w:cs="仿宋"/>
                <w:kern w:val="0"/>
                <w:sz w:val="24"/>
                <w:szCs w:val="24"/>
              </w:rPr>
            </w:pPr>
          </w:p>
          <w:p w14:paraId="6624972E">
            <w:pPr>
              <w:widowControl/>
              <w:jc w:val="right"/>
              <w:rPr>
                <w:rFonts w:hint="eastAsia" w:ascii="仿宋" w:hAnsi="仿宋" w:eastAsia="仿宋" w:cs="仿宋"/>
                <w:kern w:val="0"/>
                <w:sz w:val="24"/>
                <w:szCs w:val="24"/>
              </w:rPr>
            </w:pPr>
            <w:r>
              <w:rPr>
                <w:rFonts w:hint="eastAsia" w:ascii="仿宋" w:hAnsi="仿宋" w:eastAsia="仿宋" w:cs="仿宋"/>
                <w:kern w:val="0"/>
                <w:sz w:val="24"/>
                <w:szCs w:val="24"/>
              </w:rPr>
              <w:t xml:space="preserve">                                                   年   月   日 </w:t>
            </w:r>
          </w:p>
          <w:p w14:paraId="045F7C91">
            <w:pPr>
              <w:widowControl/>
              <w:jc w:val="right"/>
              <w:rPr>
                <w:rFonts w:hint="eastAsia" w:ascii="仿宋" w:hAnsi="仿宋" w:eastAsia="仿宋" w:cs="仿宋"/>
                <w:kern w:val="0"/>
                <w:sz w:val="24"/>
                <w:szCs w:val="24"/>
              </w:rPr>
            </w:pPr>
          </w:p>
        </w:tc>
        <w:tc>
          <w:tcPr>
            <w:tcW w:w="3903" w:type="dxa"/>
            <w:gridSpan w:val="9"/>
            <w:vAlign w:val="center"/>
          </w:tcPr>
          <w:p w14:paraId="52886886">
            <w:pPr>
              <w:widowControl/>
              <w:jc w:val="left"/>
              <w:rPr>
                <w:rFonts w:hint="eastAsia" w:ascii="仿宋" w:hAnsi="仿宋" w:eastAsia="仿宋" w:cs="仿宋"/>
                <w:kern w:val="0"/>
                <w:sz w:val="24"/>
                <w:szCs w:val="24"/>
              </w:rPr>
            </w:pPr>
            <w:r>
              <w:rPr>
                <w:rFonts w:hint="eastAsia" w:ascii="仿宋" w:hAnsi="仿宋" w:eastAsia="仿宋" w:cs="仿宋"/>
                <w:kern w:val="0"/>
                <w:sz w:val="24"/>
                <w:szCs w:val="24"/>
              </w:rPr>
              <w:t>系主任审核意见：</w:t>
            </w:r>
          </w:p>
          <w:p w14:paraId="70B77500">
            <w:pPr>
              <w:widowControl/>
              <w:jc w:val="left"/>
              <w:rPr>
                <w:rFonts w:hint="eastAsia" w:ascii="仿宋" w:hAnsi="仿宋" w:eastAsia="仿宋" w:cs="仿宋"/>
                <w:kern w:val="0"/>
                <w:sz w:val="24"/>
                <w:szCs w:val="24"/>
              </w:rPr>
            </w:pPr>
          </w:p>
          <w:p w14:paraId="1EFE9187">
            <w:pPr>
              <w:widowControl/>
              <w:jc w:val="left"/>
              <w:rPr>
                <w:rFonts w:hint="eastAsia" w:ascii="仿宋" w:hAnsi="仿宋" w:eastAsia="仿宋" w:cs="仿宋"/>
                <w:kern w:val="0"/>
                <w:sz w:val="24"/>
                <w:szCs w:val="24"/>
              </w:rPr>
            </w:pPr>
          </w:p>
          <w:p w14:paraId="3F24B607">
            <w:pPr>
              <w:widowControl/>
              <w:jc w:val="left"/>
              <w:rPr>
                <w:rFonts w:hint="eastAsia" w:ascii="仿宋" w:hAnsi="仿宋" w:eastAsia="仿宋" w:cs="仿宋"/>
                <w:kern w:val="0"/>
                <w:sz w:val="24"/>
                <w:szCs w:val="24"/>
              </w:rPr>
            </w:pPr>
          </w:p>
          <w:p w14:paraId="5D6CCD84">
            <w:pPr>
              <w:widowControl/>
              <w:jc w:val="left"/>
              <w:rPr>
                <w:rFonts w:hint="eastAsia" w:ascii="仿宋" w:hAnsi="仿宋" w:eastAsia="仿宋" w:cs="仿宋"/>
                <w:kern w:val="0"/>
                <w:sz w:val="24"/>
                <w:szCs w:val="24"/>
              </w:rPr>
            </w:pPr>
          </w:p>
          <w:p w14:paraId="0EF54A13">
            <w:pPr>
              <w:widowControl/>
              <w:jc w:val="left"/>
              <w:rPr>
                <w:rFonts w:hint="eastAsia" w:ascii="仿宋" w:hAnsi="仿宋" w:eastAsia="仿宋" w:cs="仿宋"/>
                <w:kern w:val="0"/>
                <w:sz w:val="24"/>
                <w:szCs w:val="24"/>
              </w:rPr>
            </w:pPr>
            <w:r>
              <w:rPr>
                <w:rFonts w:hint="eastAsia" w:ascii="仿宋" w:hAnsi="仿宋" w:eastAsia="仿宋" w:cs="仿宋"/>
                <w:kern w:val="0"/>
                <w:sz w:val="24"/>
                <w:szCs w:val="24"/>
              </w:rPr>
              <w:t>系主任签名：</w:t>
            </w:r>
          </w:p>
          <w:p w14:paraId="2F0E61B3">
            <w:pPr>
              <w:widowControl/>
              <w:jc w:val="right"/>
              <w:rPr>
                <w:rFonts w:hint="eastAsia" w:ascii="仿宋" w:hAnsi="仿宋" w:eastAsia="仿宋" w:cs="仿宋"/>
                <w:kern w:val="0"/>
                <w:sz w:val="24"/>
                <w:szCs w:val="24"/>
              </w:rPr>
            </w:pPr>
          </w:p>
          <w:p w14:paraId="7D517CA0">
            <w:pPr>
              <w:widowControl/>
              <w:jc w:val="right"/>
              <w:rPr>
                <w:rFonts w:hint="eastAsia" w:ascii="仿宋" w:hAnsi="仿宋" w:eastAsia="仿宋" w:cs="仿宋"/>
                <w:kern w:val="0"/>
                <w:sz w:val="24"/>
                <w:szCs w:val="24"/>
              </w:rPr>
            </w:pPr>
            <w:r>
              <w:rPr>
                <w:rFonts w:hint="eastAsia" w:ascii="仿宋" w:hAnsi="仿宋" w:eastAsia="仿宋" w:cs="仿宋"/>
                <w:kern w:val="0"/>
                <w:sz w:val="24"/>
                <w:szCs w:val="24"/>
              </w:rPr>
              <w:t>年   月   日</w:t>
            </w:r>
          </w:p>
          <w:p w14:paraId="1B9A9021">
            <w:pPr>
              <w:widowControl/>
              <w:jc w:val="right"/>
              <w:rPr>
                <w:rFonts w:hint="eastAsia" w:ascii="仿宋" w:hAnsi="仿宋" w:eastAsia="仿宋" w:cs="仿宋"/>
                <w:kern w:val="0"/>
                <w:sz w:val="24"/>
                <w:szCs w:val="24"/>
              </w:rPr>
            </w:pPr>
          </w:p>
        </w:tc>
      </w:tr>
    </w:tbl>
    <w:p w14:paraId="026C93C3">
      <w:pPr>
        <w:spacing w:line="360" w:lineRule="auto"/>
        <w:jc w:val="center"/>
        <w:rPr>
          <w:rFonts w:hint="eastAsia" w:ascii="仿宋" w:hAnsi="仿宋" w:eastAsia="仿宋" w:cs="仿宋"/>
          <w:sz w:val="28"/>
          <w:szCs w:val="28"/>
        </w:rPr>
      </w:pPr>
      <w:r>
        <w:rPr>
          <w:rFonts w:hint="eastAsia" w:ascii="仿宋" w:hAnsi="仿宋" w:eastAsia="仿宋" w:cs="仿宋"/>
          <w:color w:val="000000"/>
          <w:sz w:val="28"/>
          <w:szCs w:val="28"/>
        </w:rPr>
        <w:t>附表</w:t>
      </w:r>
      <w:r>
        <w:rPr>
          <w:rFonts w:hint="eastAsia" w:ascii="仿宋" w:hAnsi="仿宋" w:eastAsia="仿宋" w:cs="仿宋"/>
          <w:color w:val="000000"/>
          <w:sz w:val="28"/>
          <w:szCs w:val="28"/>
          <w:lang w:eastAsia="zh-CN"/>
        </w:rPr>
        <w:t>：</w:t>
      </w:r>
      <w:r>
        <w:rPr>
          <w:rFonts w:hint="eastAsia" w:ascii="仿宋" w:hAnsi="仿宋" w:eastAsia="仿宋" w:cs="仿宋"/>
          <w:sz w:val="28"/>
          <w:szCs w:val="28"/>
        </w:rPr>
        <w:t>《师德与法规》课程目标评分量表</w:t>
      </w:r>
    </w:p>
    <w:tbl>
      <w:tblPr>
        <w:tblStyle w:val="2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28" w:type="dxa"/>
        </w:tblCellMar>
      </w:tblPr>
      <w:tblGrid>
        <w:gridCol w:w="284"/>
        <w:gridCol w:w="1429"/>
        <w:gridCol w:w="1498"/>
        <w:gridCol w:w="1443"/>
        <w:gridCol w:w="1484"/>
        <w:gridCol w:w="1511"/>
        <w:gridCol w:w="1456"/>
      </w:tblGrid>
      <w:tr w14:paraId="5A90308C">
        <w:trPr>
          <w:trHeight w:val="90" w:hRule="atLeast"/>
          <w:jc w:val="center"/>
        </w:trPr>
        <w:tc>
          <w:tcPr>
            <w:tcW w:w="284" w:type="dxa"/>
            <w:vMerge w:val="restart"/>
            <w:vAlign w:val="center"/>
          </w:tcPr>
          <w:p w14:paraId="6CC30058">
            <w:pPr>
              <w:spacing w:line="240" w:lineRule="atLeast"/>
              <w:jc w:val="center"/>
              <w:rPr>
                <w:rFonts w:hint="eastAsia" w:ascii="楷体" w:hAnsi="楷体" w:eastAsia="楷体" w:cs="楷体"/>
                <w:sz w:val="21"/>
                <w:szCs w:val="21"/>
              </w:rPr>
            </w:pPr>
            <w:r>
              <w:rPr>
                <w:rFonts w:hint="eastAsia" w:ascii="楷体" w:hAnsi="楷体" w:eastAsia="楷体" w:cs="楷体"/>
                <w:sz w:val="21"/>
                <w:szCs w:val="21"/>
              </w:rPr>
              <w:t>M</w:t>
            </w:r>
          </w:p>
          <w:p w14:paraId="142D5B4F">
            <w:pPr>
              <w:spacing w:line="240" w:lineRule="atLeast"/>
              <w:jc w:val="center"/>
              <w:rPr>
                <w:rFonts w:hint="eastAsia" w:ascii="楷体" w:hAnsi="楷体" w:eastAsia="楷体" w:cs="楷体"/>
                <w:sz w:val="21"/>
                <w:szCs w:val="21"/>
              </w:rPr>
            </w:pPr>
            <w:r>
              <w:rPr>
                <w:rFonts w:hint="eastAsia" w:ascii="楷体" w:hAnsi="楷体" w:eastAsia="楷体" w:cs="楷体"/>
                <w:sz w:val="21"/>
                <w:szCs w:val="21"/>
              </w:rPr>
              <w:t>评分量表</w:t>
            </w:r>
          </w:p>
        </w:tc>
        <w:tc>
          <w:tcPr>
            <w:tcW w:w="1429" w:type="dxa"/>
            <w:vAlign w:val="center"/>
          </w:tcPr>
          <w:p w14:paraId="5B7DF2E8">
            <w:pPr>
              <w:tabs>
                <w:tab w:val="left" w:pos="720"/>
              </w:tabs>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课程目标</w:t>
            </w:r>
          </w:p>
        </w:tc>
        <w:tc>
          <w:tcPr>
            <w:tcW w:w="1498" w:type="dxa"/>
            <w:vAlign w:val="center"/>
          </w:tcPr>
          <w:p w14:paraId="4B762A66">
            <w:pPr>
              <w:tabs>
                <w:tab w:val="left" w:pos="720"/>
              </w:tabs>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优（X≧90）</w:t>
            </w:r>
          </w:p>
        </w:tc>
        <w:tc>
          <w:tcPr>
            <w:tcW w:w="1443" w:type="dxa"/>
            <w:vAlign w:val="center"/>
          </w:tcPr>
          <w:p w14:paraId="25E79008">
            <w:pPr>
              <w:tabs>
                <w:tab w:val="left" w:pos="720"/>
              </w:tabs>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良（80≦X＜90）</w:t>
            </w:r>
          </w:p>
        </w:tc>
        <w:tc>
          <w:tcPr>
            <w:tcW w:w="1484" w:type="dxa"/>
            <w:vAlign w:val="center"/>
          </w:tcPr>
          <w:p w14:paraId="3E36C60D">
            <w:pPr>
              <w:tabs>
                <w:tab w:val="left" w:pos="720"/>
              </w:tabs>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中（70≦X＜80）</w:t>
            </w:r>
          </w:p>
        </w:tc>
        <w:tc>
          <w:tcPr>
            <w:tcW w:w="1511" w:type="dxa"/>
            <w:vAlign w:val="center"/>
          </w:tcPr>
          <w:p w14:paraId="29083FA6">
            <w:pPr>
              <w:tabs>
                <w:tab w:val="left" w:pos="720"/>
              </w:tabs>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及格（60≦X＜70）</w:t>
            </w:r>
          </w:p>
        </w:tc>
        <w:tc>
          <w:tcPr>
            <w:tcW w:w="1456" w:type="dxa"/>
            <w:vAlign w:val="center"/>
          </w:tcPr>
          <w:p w14:paraId="473C8F72">
            <w:pPr>
              <w:tabs>
                <w:tab w:val="left" w:pos="720"/>
              </w:tabs>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不及格（＜60）</w:t>
            </w:r>
          </w:p>
        </w:tc>
      </w:tr>
      <w:tr w14:paraId="1A8177D8">
        <w:trPr>
          <w:trHeight w:val="4638" w:hRule="atLeast"/>
          <w:jc w:val="center"/>
        </w:trPr>
        <w:tc>
          <w:tcPr>
            <w:tcW w:w="284" w:type="dxa"/>
            <w:vMerge w:val="continue"/>
            <w:vAlign w:val="center"/>
          </w:tcPr>
          <w:p w14:paraId="2043075E">
            <w:pPr>
              <w:spacing w:line="240" w:lineRule="atLeast"/>
              <w:jc w:val="center"/>
              <w:rPr>
                <w:rFonts w:hint="eastAsia" w:ascii="楷体" w:hAnsi="楷体" w:eastAsia="楷体" w:cs="楷体"/>
                <w:sz w:val="21"/>
                <w:szCs w:val="21"/>
              </w:rPr>
            </w:pPr>
          </w:p>
        </w:tc>
        <w:tc>
          <w:tcPr>
            <w:tcW w:w="1429" w:type="dxa"/>
            <w:vAlign w:val="top"/>
          </w:tcPr>
          <w:p w14:paraId="50534CC0">
            <w:pPr>
              <w:widowControl/>
              <w:jc w:val="left"/>
              <w:rPr>
                <w:rFonts w:hint="eastAsia" w:ascii="楷体" w:hAnsi="楷体" w:eastAsia="楷体" w:cs="楷体"/>
                <w:bCs/>
                <w:color w:val="000000"/>
                <w:sz w:val="21"/>
                <w:szCs w:val="21"/>
              </w:rPr>
            </w:pPr>
            <w:r>
              <w:rPr>
                <w:rFonts w:hint="eastAsia" w:ascii="楷体" w:hAnsi="楷体" w:eastAsia="楷体" w:cs="楷体"/>
                <w:bCs/>
                <w:color w:val="000000"/>
                <w:sz w:val="21"/>
                <w:szCs w:val="21"/>
              </w:rPr>
              <w:t>课程目标1.</w:t>
            </w:r>
            <w:r>
              <w:rPr>
                <w:rFonts w:hint="eastAsia" w:ascii="楷体" w:hAnsi="楷体" w:eastAsia="楷体" w:cs="楷体"/>
                <w:bCs/>
                <w:color w:val="000000"/>
                <w:sz w:val="21"/>
                <w:szCs w:val="21"/>
              </w:rPr>
              <w:tab/>
            </w:r>
          </w:p>
          <w:p w14:paraId="5C37D27A">
            <w:pPr>
              <w:widowControl/>
              <w:ind w:firstLine="420" w:firstLineChars="200"/>
              <w:jc w:val="left"/>
              <w:rPr>
                <w:rFonts w:hint="eastAsia" w:ascii="楷体" w:hAnsi="楷体" w:eastAsia="楷体" w:cs="楷体"/>
                <w:color w:val="000000"/>
                <w:sz w:val="21"/>
                <w:szCs w:val="21"/>
              </w:rPr>
            </w:pPr>
            <w:r>
              <w:rPr>
                <w:rFonts w:hint="eastAsia" w:ascii="楷体" w:hAnsi="楷体" w:eastAsia="楷体" w:cs="楷体"/>
                <w:color w:val="000000"/>
                <w:sz w:val="21"/>
                <w:szCs w:val="21"/>
              </w:rPr>
              <w:t>理解并掌握师德和教育法律法规；能践行社会主义核心价值观，贯彻党的教育方针。</w:t>
            </w:r>
          </w:p>
          <w:p w14:paraId="044136FE">
            <w:pPr>
              <w:widowControl/>
              <w:ind w:firstLine="420" w:firstLineChars="200"/>
              <w:rPr>
                <w:rFonts w:hint="eastAsia" w:ascii="楷体" w:hAnsi="楷体" w:eastAsia="楷体" w:cs="楷体"/>
                <w:color w:val="4472C4"/>
                <w:sz w:val="21"/>
                <w:szCs w:val="21"/>
              </w:rPr>
            </w:pPr>
            <w:r>
              <w:rPr>
                <w:rFonts w:hint="eastAsia" w:ascii="楷体" w:hAnsi="楷体" w:eastAsia="楷体" w:cs="楷体"/>
                <w:bCs/>
                <w:color w:val="000000"/>
                <w:sz w:val="21"/>
                <w:szCs w:val="21"/>
              </w:rPr>
              <w:t>在掌握师德规范、教育法律法规的基础上，认真贯彻执行党的教育方针政策，严格遵守教育法律法规，牢固树立依法执教的意识。</w:t>
            </w:r>
          </w:p>
        </w:tc>
        <w:tc>
          <w:tcPr>
            <w:tcW w:w="1498" w:type="dxa"/>
            <w:vAlign w:val="top"/>
          </w:tcPr>
          <w:p w14:paraId="33B5AE26">
            <w:pPr>
              <w:widowControl/>
              <w:ind w:firstLine="420" w:firstLineChars="200"/>
              <w:rPr>
                <w:rFonts w:hint="eastAsia" w:ascii="楷体" w:hAnsi="楷体" w:eastAsia="楷体" w:cs="楷体"/>
                <w:color w:val="000000"/>
                <w:sz w:val="21"/>
                <w:szCs w:val="21"/>
              </w:rPr>
            </w:pPr>
            <w:r>
              <w:rPr>
                <w:rFonts w:hint="eastAsia" w:ascii="楷体" w:hAnsi="楷体" w:eastAsia="楷体" w:cs="楷体"/>
                <w:color w:val="000000"/>
                <w:sz w:val="21"/>
                <w:szCs w:val="21"/>
              </w:rPr>
              <w:t>能够扎实地理解并掌握师德和教育法律法规；能很好地践行社会主义核心价值观，贯彻党的教育方针。</w:t>
            </w:r>
          </w:p>
          <w:p w14:paraId="0077610A">
            <w:pPr>
              <w:widowControl/>
              <w:ind w:firstLine="420" w:firstLineChars="200"/>
              <w:rPr>
                <w:rFonts w:hint="eastAsia" w:ascii="楷体" w:hAnsi="楷体" w:eastAsia="楷体" w:cs="楷体"/>
                <w:bCs/>
                <w:color w:val="4472C4"/>
                <w:sz w:val="21"/>
                <w:szCs w:val="21"/>
              </w:rPr>
            </w:pPr>
            <w:r>
              <w:rPr>
                <w:rFonts w:hint="eastAsia" w:ascii="楷体" w:hAnsi="楷体" w:eastAsia="楷体" w:cs="楷体"/>
                <w:color w:val="000000"/>
                <w:sz w:val="21"/>
                <w:szCs w:val="21"/>
              </w:rPr>
              <w:t>能够在扎实地掌握师德规范、教育法律法规的基础上，认真贯彻执行党的教育方针政策，严格遵守教育法律法规，牢固树立依法执教的意识。</w:t>
            </w:r>
          </w:p>
        </w:tc>
        <w:tc>
          <w:tcPr>
            <w:tcW w:w="1443" w:type="dxa"/>
            <w:vAlign w:val="top"/>
          </w:tcPr>
          <w:p w14:paraId="1E53D040">
            <w:pPr>
              <w:widowControl/>
              <w:ind w:firstLine="420" w:firstLineChars="200"/>
              <w:rPr>
                <w:rFonts w:hint="eastAsia" w:ascii="楷体" w:hAnsi="楷体" w:eastAsia="楷体" w:cs="楷体"/>
                <w:color w:val="000000"/>
                <w:sz w:val="21"/>
                <w:szCs w:val="21"/>
              </w:rPr>
            </w:pPr>
            <w:r>
              <w:rPr>
                <w:rFonts w:hint="eastAsia" w:ascii="楷体" w:hAnsi="楷体" w:eastAsia="楷体" w:cs="楷体"/>
                <w:color w:val="000000"/>
                <w:sz w:val="21"/>
                <w:szCs w:val="21"/>
              </w:rPr>
              <w:t>能够理解并掌握师德规范和教育法律法规；能较好地践行社会主义核心价值观，贯彻党的教育方针。</w:t>
            </w:r>
          </w:p>
          <w:p w14:paraId="64749BE6">
            <w:pPr>
              <w:widowControl/>
              <w:ind w:firstLine="420" w:firstLineChars="200"/>
              <w:rPr>
                <w:rFonts w:hint="eastAsia" w:ascii="楷体" w:hAnsi="楷体" w:eastAsia="楷体" w:cs="楷体"/>
                <w:bCs/>
                <w:color w:val="4472C4"/>
                <w:sz w:val="21"/>
                <w:szCs w:val="21"/>
              </w:rPr>
            </w:pPr>
            <w:r>
              <w:rPr>
                <w:rFonts w:hint="eastAsia" w:ascii="楷体" w:hAnsi="楷体" w:eastAsia="楷体" w:cs="楷体"/>
                <w:color w:val="000000"/>
                <w:sz w:val="21"/>
                <w:szCs w:val="21"/>
              </w:rPr>
              <w:t>能够掌握师德规范、教育法律法规的基础上，认真贯彻执行党的教育方针政策，严格遵守教育法律法规，牢固树立依法执教的意识。</w:t>
            </w:r>
          </w:p>
        </w:tc>
        <w:tc>
          <w:tcPr>
            <w:tcW w:w="1484" w:type="dxa"/>
            <w:vAlign w:val="top"/>
          </w:tcPr>
          <w:p w14:paraId="10A5B4E2">
            <w:pPr>
              <w:widowControl/>
              <w:ind w:firstLine="420" w:firstLineChars="200"/>
              <w:rPr>
                <w:rFonts w:hint="eastAsia" w:ascii="楷体" w:hAnsi="楷体" w:eastAsia="楷体" w:cs="楷体"/>
                <w:color w:val="000000"/>
                <w:sz w:val="21"/>
                <w:szCs w:val="21"/>
              </w:rPr>
            </w:pPr>
            <w:r>
              <w:rPr>
                <w:rFonts w:hint="eastAsia" w:ascii="楷体" w:hAnsi="楷体" w:eastAsia="楷体" w:cs="楷体"/>
                <w:color w:val="000000"/>
                <w:sz w:val="21"/>
                <w:szCs w:val="21"/>
              </w:rPr>
              <w:t>能够基本理解并掌握师德规范和教育法律法规；能基本践行社会主义核心价值观，贯彻党的教育方针。</w:t>
            </w:r>
          </w:p>
          <w:p w14:paraId="46536540">
            <w:pPr>
              <w:widowControl/>
              <w:ind w:firstLine="420" w:firstLineChars="200"/>
              <w:rPr>
                <w:rFonts w:hint="eastAsia" w:ascii="楷体" w:hAnsi="楷体" w:eastAsia="楷体" w:cs="楷体"/>
                <w:color w:val="4472C4"/>
                <w:sz w:val="21"/>
                <w:szCs w:val="21"/>
              </w:rPr>
            </w:pPr>
            <w:r>
              <w:rPr>
                <w:rFonts w:hint="eastAsia" w:ascii="楷体" w:hAnsi="楷体" w:eastAsia="楷体" w:cs="楷体"/>
                <w:color w:val="000000"/>
                <w:sz w:val="21"/>
                <w:szCs w:val="21"/>
              </w:rPr>
              <w:t>能够在基本掌握师德规范、教育法律法规的基础上，认真贯彻执行党的教育方针政策，严格遵守教育法律法规，牢固树立依法执教的意识。</w:t>
            </w:r>
          </w:p>
        </w:tc>
        <w:tc>
          <w:tcPr>
            <w:tcW w:w="1511" w:type="dxa"/>
            <w:vAlign w:val="top"/>
          </w:tcPr>
          <w:p w14:paraId="3ED7211D">
            <w:pPr>
              <w:widowControl/>
              <w:ind w:firstLine="420" w:firstLineChars="200"/>
              <w:rPr>
                <w:rFonts w:hint="eastAsia" w:ascii="楷体" w:hAnsi="楷体" w:eastAsia="楷体" w:cs="楷体"/>
                <w:color w:val="000000"/>
                <w:sz w:val="21"/>
                <w:szCs w:val="21"/>
              </w:rPr>
            </w:pPr>
            <w:r>
              <w:rPr>
                <w:rFonts w:hint="eastAsia" w:ascii="楷体" w:hAnsi="楷体" w:eastAsia="楷体" w:cs="楷体"/>
                <w:color w:val="000000"/>
                <w:sz w:val="21"/>
                <w:szCs w:val="21"/>
              </w:rPr>
              <w:t>能够基本理解并掌握部分师德规范和教育法律法规；能基本践行社会主义核心价值观，贯彻党的教育方针。</w:t>
            </w:r>
          </w:p>
          <w:p w14:paraId="282DC17F">
            <w:pPr>
              <w:widowControl/>
              <w:ind w:firstLine="420" w:firstLineChars="200"/>
              <w:rPr>
                <w:rFonts w:hint="eastAsia" w:ascii="楷体" w:hAnsi="楷体" w:eastAsia="楷体" w:cs="楷体"/>
                <w:color w:val="4472C4"/>
                <w:sz w:val="21"/>
                <w:szCs w:val="21"/>
              </w:rPr>
            </w:pPr>
            <w:r>
              <w:rPr>
                <w:rFonts w:hint="eastAsia" w:ascii="楷体" w:hAnsi="楷体" w:eastAsia="楷体" w:cs="楷体"/>
                <w:color w:val="000000"/>
                <w:sz w:val="21"/>
                <w:szCs w:val="21"/>
              </w:rPr>
              <w:t>能够在基本掌握部分掌握师德规范、教育法律法规的基础上，认真贯彻执行党的教育方针政策，遵守教育法律法规，牢固树立依法执教的意识。</w:t>
            </w:r>
          </w:p>
        </w:tc>
        <w:tc>
          <w:tcPr>
            <w:tcW w:w="1456" w:type="dxa"/>
            <w:vAlign w:val="top"/>
          </w:tcPr>
          <w:p w14:paraId="7EADBBD0">
            <w:pPr>
              <w:widowControl/>
              <w:ind w:firstLine="420" w:firstLineChars="200"/>
              <w:rPr>
                <w:rFonts w:hint="eastAsia" w:ascii="楷体" w:hAnsi="楷体" w:eastAsia="楷体" w:cs="楷体"/>
                <w:color w:val="000000"/>
                <w:sz w:val="21"/>
                <w:szCs w:val="21"/>
              </w:rPr>
            </w:pPr>
            <w:r>
              <w:rPr>
                <w:rFonts w:hint="eastAsia" w:ascii="楷体" w:hAnsi="楷体" w:eastAsia="楷体" w:cs="楷体"/>
                <w:color w:val="000000"/>
                <w:sz w:val="21"/>
                <w:szCs w:val="21"/>
              </w:rPr>
              <w:t>未能理解并掌握师德规范和教育法律法规；未能践行社会主义核心价值观，贯彻党的教育方针。</w:t>
            </w:r>
          </w:p>
          <w:p w14:paraId="63F71E0D">
            <w:pPr>
              <w:widowControl/>
              <w:ind w:firstLine="420" w:firstLineChars="200"/>
              <w:rPr>
                <w:rFonts w:hint="eastAsia" w:ascii="楷体" w:hAnsi="楷体" w:eastAsia="楷体" w:cs="楷体"/>
                <w:b/>
                <w:color w:val="4472C4"/>
                <w:kern w:val="0"/>
                <w:sz w:val="21"/>
                <w:szCs w:val="21"/>
              </w:rPr>
            </w:pPr>
            <w:r>
              <w:rPr>
                <w:rFonts w:hint="eastAsia" w:ascii="楷体" w:hAnsi="楷体" w:eastAsia="楷体" w:cs="楷体"/>
                <w:color w:val="000000"/>
                <w:sz w:val="21"/>
                <w:szCs w:val="21"/>
              </w:rPr>
              <w:t>未能在掌握师德规范、教育法律法规的基础上，认真贯彻执行党的教育方针政策，严格遵守教育法律法规，牢固树立依法执教的意识。</w:t>
            </w:r>
          </w:p>
        </w:tc>
      </w:tr>
      <w:tr w14:paraId="3AF33D81">
        <w:trPr>
          <w:trHeight w:val="132" w:hRule="atLeast"/>
          <w:jc w:val="center"/>
        </w:trPr>
        <w:tc>
          <w:tcPr>
            <w:tcW w:w="284" w:type="dxa"/>
            <w:vMerge w:val="continue"/>
            <w:vAlign w:val="center"/>
          </w:tcPr>
          <w:p w14:paraId="495F87F0">
            <w:pPr>
              <w:spacing w:line="240" w:lineRule="atLeast"/>
              <w:jc w:val="center"/>
              <w:rPr>
                <w:rFonts w:hint="eastAsia" w:ascii="楷体" w:hAnsi="楷体" w:eastAsia="楷体" w:cs="楷体"/>
                <w:sz w:val="21"/>
                <w:szCs w:val="21"/>
              </w:rPr>
            </w:pPr>
          </w:p>
        </w:tc>
        <w:tc>
          <w:tcPr>
            <w:tcW w:w="1429" w:type="dxa"/>
            <w:vAlign w:val="top"/>
          </w:tcPr>
          <w:p w14:paraId="5F9EE764">
            <w:pPr>
              <w:widowControl/>
              <w:rPr>
                <w:rFonts w:hint="eastAsia" w:ascii="楷体" w:hAnsi="楷体" w:eastAsia="楷体" w:cs="楷体"/>
                <w:bCs/>
                <w:color w:val="000000"/>
                <w:sz w:val="21"/>
                <w:szCs w:val="21"/>
              </w:rPr>
            </w:pPr>
            <w:r>
              <w:rPr>
                <w:rFonts w:hint="eastAsia" w:ascii="楷体" w:hAnsi="楷体" w:eastAsia="楷体" w:cs="楷体"/>
                <w:bCs/>
                <w:color w:val="000000"/>
                <w:sz w:val="21"/>
                <w:szCs w:val="21"/>
              </w:rPr>
              <w:t>课程目标2.</w:t>
            </w:r>
          </w:p>
          <w:p w14:paraId="586D8BB0">
            <w:pPr>
              <w:widowControl/>
              <w:ind w:firstLine="420" w:firstLineChars="200"/>
              <w:rPr>
                <w:rFonts w:hint="eastAsia" w:ascii="楷体" w:hAnsi="楷体" w:eastAsia="楷体" w:cs="楷体"/>
                <w:color w:val="4472C4"/>
                <w:sz w:val="21"/>
                <w:szCs w:val="21"/>
              </w:rPr>
            </w:pPr>
            <w:r>
              <w:rPr>
                <w:rFonts w:hint="eastAsia" w:ascii="楷体" w:hAnsi="楷体" w:eastAsia="楷体" w:cs="楷体"/>
                <w:color w:val="000000"/>
                <w:sz w:val="21"/>
                <w:szCs w:val="21"/>
              </w:rPr>
              <w:t>在掌握师德规范、教育法律法规的基础上，认同教师在立德树人上的工作意义，尊重学生人格，关爱学生，严格依法执教。</w:t>
            </w:r>
          </w:p>
        </w:tc>
        <w:tc>
          <w:tcPr>
            <w:tcW w:w="1498" w:type="dxa"/>
            <w:vAlign w:val="top"/>
          </w:tcPr>
          <w:p w14:paraId="28338E50">
            <w:pPr>
              <w:widowControl/>
              <w:ind w:firstLine="420" w:firstLineChars="200"/>
              <w:rPr>
                <w:rFonts w:hint="eastAsia" w:ascii="楷体" w:hAnsi="楷体" w:eastAsia="楷体" w:cs="楷体"/>
                <w:bCs/>
                <w:color w:val="4472C4"/>
                <w:sz w:val="21"/>
                <w:szCs w:val="21"/>
              </w:rPr>
            </w:pPr>
            <w:r>
              <w:rPr>
                <w:rFonts w:hint="eastAsia" w:ascii="楷体" w:hAnsi="楷体" w:eastAsia="楷体" w:cs="楷体"/>
                <w:color w:val="000000"/>
                <w:sz w:val="21"/>
                <w:szCs w:val="21"/>
              </w:rPr>
              <w:t>在扎实地掌握师德规范、教育法律法规的基础上，能很好地认同教师在立德树人上的工作意义，尊重学生人格，关爱学生，严格依法执教。</w:t>
            </w:r>
          </w:p>
        </w:tc>
        <w:tc>
          <w:tcPr>
            <w:tcW w:w="1443" w:type="dxa"/>
            <w:vAlign w:val="top"/>
          </w:tcPr>
          <w:p w14:paraId="53510CBB">
            <w:pPr>
              <w:widowControl/>
              <w:ind w:firstLine="420" w:firstLineChars="200"/>
              <w:rPr>
                <w:rFonts w:hint="eastAsia" w:ascii="楷体" w:hAnsi="楷体" w:eastAsia="楷体" w:cs="楷体"/>
                <w:b/>
                <w:color w:val="4472C4"/>
                <w:kern w:val="0"/>
                <w:sz w:val="21"/>
                <w:szCs w:val="21"/>
              </w:rPr>
            </w:pPr>
            <w:r>
              <w:rPr>
                <w:rFonts w:hint="eastAsia" w:ascii="楷体" w:hAnsi="楷体" w:eastAsia="楷体" w:cs="楷体"/>
                <w:color w:val="000000"/>
                <w:sz w:val="21"/>
                <w:szCs w:val="21"/>
              </w:rPr>
              <w:t>在掌握师德规范、教育法律法规的基础上，能较好地认同教师在立德树人上的工作意义，尊重学生人格，关爱学生，严格依法执教。</w:t>
            </w:r>
          </w:p>
        </w:tc>
        <w:tc>
          <w:tcPr>
            <w:tcW w:w="1484" w:type="dxa"/>
            <w:vAlign w:val="top"/>
          </w:tcPr>
          <w:p w14:paraId="603EBE88">
            <w:pPr>
              <w:widowControl/>
              <w:ind w:firstLine="420" w:firstLineChars="200"/>
              <w:rPr>
                <w:rFonts w:hint="eastAsia" w:ascii="楷体" w:hAnsi="楷体" w:eastAsia="楷体" w:cs="楷体"/>
                <w:b/>
                <w:color w:val="4472C4"/>
                <w:kern w:val="0"/>
                <w:sz w:val="21"/>
                <w:szCs w:val="21"/>
              </w:rPr>
            </w:pPr>
            <w:r>
              <w:rPr>
                <w:rFonts w:hint="eastAsia" w:ascii="楷体" w:hAnsi="楷体" w:eastAsia="楷体" w:cs="楷体"/>
                <w:color w:val="000000"/>
                <w:sz w:val="21"/>
                <w:szCs w:val="21"/>
              </w:rPr>
              <w:t>在基本掌握师德规范、教育法律法规的基础上，能基本认同教师在立德树人上的工作意义，尊重学生人格，关爱学生，严格依法执教。</w:t>
            </w:r>
          </w:p>
        </w:tc>
        <w:tc>
          <w:tcPr>
            <w:tcW w:w="1511" w:type="dxa"/>
            <w:vAlign w:val="top"/>
          </w:tcPr>
          <w:p w14:paraId="7142D0A8">
            <w:pPr>
              <w:widowControl/>
              <w:ind w:firstLine="420" w:firstLineChars="200"/>
              <w:rPr>
                <w:rFonts w:hint="eastAsia" w:ascii="楷体" w:hAnsi="楷体" w:eastAsia="楷体" w:cs="楷体"/>
                <w:b/>
                <w:color w:val="4472C4"/>
                <w:kern w:val="0"/>
                <w:sz w:val="21"/>
                <w:szCs w:val="21"/>
              </w:rPr>
            </w:pPr>
            <w:r>
              <w:rPr>
                <w:rFonts w:hint="eastAsia" w:ascii="楷体" w:hAnsi="楷体" w:eastAsia="楷体" w:cs="楷体"/>
                <w:color w:val="000000"/>
                <w:sz w:val="21"/>
                <w:szCs w:val="21"/>
              </w:rPr>
              <w:t>在基本掌握部分师德规范、教育法律法规的基础上，能基本认同教师在立德树人上的工作意义，尊重学生人格，关爱学生，严格依法执教。</w:t>
            </w:r>
          </w:p>
        </w:tc>
        <w:tc>
          <w:tcPr>
            <w:tcW w:w="1456" w:type="dxa"/>
            <w:vAlign w:val="top"/>
          </w:tcPr>
          <w:p w14:paraId="743115DE">
            <w:pPr>
              <w:widowControl/>
              <w:ind w:firstLine="420" w:firstLineChars="200"/>
              <w:rPr>
                <w:rFonts w:hint="eastAsia" w:ascii="楷体" w:hAnsi="楷体" w:eastAsia="楷体" w:cs="楷体"/>
                <w:b/>
                <w:color w:val="4472C4"/>
                <w:kern w:val="0"/>
                <w:sz w:val="21"/>
                <w:szCs w:val="21"/>
              </w:rPr>
            </w:pPr>
            <w:r>
              <w:rPr>
                <w:rFonts w:hint="eastAsia" w:ascii="楷体" w:hAnsi="楷体" w:eastAsia="楷体" w:cs="楷体"/>
                <w:color w:val="000000"/>
                <w:sz w:val="21"/>
                <w:szCs w:val="21"/>
              </w:rPr>
              <w:t>未能在掌握师德规范的基础上，认同教师在立德树人上的工作意义，尊重学生人格，关爱学生，严格依法执教。</w:t>
            </w:r>
          </w:p>
        </w:tc>
      </w:tr>
    </w:tbl>
    <w:p w14:paraId="6B71F1CE">
      <w:pPr>
        <w:rPr>
          <w:sz w:val="2"/>
          <w:szCs w:val="2"/>
        </w:rPr>
        <w:sectPr>
          <w:headerReference r:id="rId33" w:type="default"/>
          <w:footerReference r:id="rId34" w:type="default"/>
          <w:pgSz w:w="11906" w:h="16838"/>
          <w:pgMar w:top="1134" w:right="1417" w:bottom="1134" w:left="1417" w:header="851" w:footer="992" w:gutter="0"/>
          <w:cols w:space="720" w:num="1"/>
          <w:docGrid w:type="lines" w:linePitch="312" w:charSpace="0"/>
        </w:sectPr>
      </w:pPr>
    </w:p>
    <w:p w14:paraId="436B2915">
      <w:pPr>
        <w:adjustRightInd w:val="0"/>
        <w:snapToGrid w:val="0"/>
        <w:spacing w:line="560" w:lineRule="exact"/>
        <w:jc w:val="center"/>
        <w:rPr>
          <w:rFonts w:eastAsia="方正小标宋简体"/>
          <w:sz w:val="44"/>
          <w:szCs w:val="44"/>
        </w:rPr>
      </w:pPr>
      <w:r>
        <w:rPr>
          <w:rFonts w:eastAsia="方正小标宋简体"/>
          <w:sz w:val="44"/>
          <w:szCs w:val="44"/>
        </w:rPr>
        <w:t>三明学院音乐学（音乐教育）专业</w:t>
      </w:r>
    </w:p>
    <w:p w14:paraId="4F3B6A69">
      <w:pPr>
        <w:pStyle w:val="197"/>
        <w:bidi w:val="0"/>
        <w:jc w:val="center"/>
        <w:rPr>
          <w:rFonts w:eastAsia="方正小标宋简体"/>
          <w:sz w:val="24"/>
          <w:szCs w:val="24"/>
        </w:rPr>
      </w:pPr>
      <w:bookmarkStart w:id="83" w:name="_Toc533930159"/>
      <w:r>
        <w:t>《教师口语》课程教学大纲</w:t>
      </w:r>
      <w:bookmarkEnd w:id="83"/>
    </w:p>
    <w:tbl>
      <w:tblPr>
        <w:tblStyle w:val="22"/>
        <w:tblW w:w="91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423"/>
        <w:gridCol w:w="985"/>
        <w:gridCol w:w="142"/>
        <w:gridCol w:w="1202"/>
        <w:gridCol w:w="1493"/>
        <w:gridCol w:w="113"/>
        <w:gridCol w:w="297"/>
        <w:gridCol w:w="555"/>
        <w:gridCol w:w="575"/>
        <w:gridCol w:w="286"/>
        <w:gridCol w:w="314"/>
        <w:gridCol w:w="600"/>
        <w:gridCol w:w="239"/>
        <w:gridCol w:w="335"/>
        <w:gridCol w:w="589"/>
      </w:tblGrid>
      <w:tr w14:paraId="2C0AA115">
        <w:trPr>
          <w:trHeight w:val="454" w:hRule="atLeast"/>
          <w:jc w:val="center"/>
        </w:trPr>
        <w:tc>
          <w:tcPr>
            <w:tcW w:w="1423" w:type="dxa"/>
            <w:noWrap w:val="0"/>
            <w:vAlign w:val="center"/>
          </w:tcPr>
          <w:p w14:paraId="5DB528B5">
            <w:pPr>
              <w:adjustRightInd w:val="0"/>
              <w:snapToGrid w:val="0"/>
              <w:spacing w:line="240" w:lineRule="atLeast"/>
              <w:jc w:val="center"/>
              <w:rPr>
                <w:rFonts w:eastAsia="仿宋"/>
                <w:sz w:val="24"/>
                <w:szCs w:val="24"/>
              </w:rPr>
            </w:pPr>
            <w:r>
              <w:rPr>
                <w:rFonts w:hAnsi="仿宋" w:eastAsia="仿宋"/>
                <w:sz w:val="24"/>
                <w:szCs w:val="24"/>
              </w:rPr>
              <w:t>课程名称</w:t>
            </w:r>
          </w:p>
        </w:tc>
        <w:tc>
          <w:tcPr>
            <w:tcW w:w="4787" w:type="dxa"/>
            <w:gridSpan w:val="7"/>
            <w:noWrap w:val="0"/>
            <w:vAlign w:val="center"/>
          </w:tcPr>
          <w:p w14:paraId="72AA1CFF">
            <w:pPr>
              <w:adjustRightInd w:val="0"/>
              <w:snapToGrid w:val="0"/>
              <w:spacing w:line="240" w:lineRule="atLeast"/>
              <w:jc w:val="center"/>
              <w:rPr>
                <w:rFonts w:eastAsia="仿宋"/>
                <w:sz w:val="24"/>
                <w:szCs w:val="24"/>
              </w:rPr>
            </w:pPr>
            <w:r>
              <w:rPr>
                <w:rFonts w:hAnsi="仿宋" w:eastAsia="仿宋"/>
                <w:sz w:val="24"/>
                <w:szCs w:val="24"/>
              </w:rPr>
              <w:t>教师口语</w:t>
            </w:r>
          </w:p>
        </w:tc>
        <w:tc>
          <w:tcPr>
            <w:tcW w:w="575" w:type="dxa"/>
            <w:noWrap w:val="0"/>
            <w:vAlign w:val="center"/>
          </w:tcPr>
          <w:p w14:paraId="30986EB2">
            <w:pPr>
              <w:adjustRightInd w:val="0"/>
              <w:snapToGrid w:val="0"/>
              <w:spacing w:line="240" w:lineRule="atLeast"/>
              <w:jc w:val="center"/>
              <w:rPr>
                <w:rFonts w:eastAsia="仿宋"/>
                <w:sz w:val="24"/>
                <w:szCs w:val="24"/>
              </w:rPr>
            </w:pPr>
            <w:r>
              <w:rPr>
                <w:rFonts w:hAnsi="仿宋" w:eastAsia="仿宋"/>
                <w:sz w:val="24"/>
                <w:szCs w:val="24"/>
              </w:rPr>
              <w:t>课程</w:t>
            </w:r>
          </w:p>
          <w:p w14:paraId="51DDDF2B">
            <w:pPr>
              <w:adjustRightInd w:val="0"/>
              <w:snapToGrid w:val="0"/>
              <w:spacing w:line="240" w:lineRule="atLeast"/>
              <w:jc w:val="center"/>
              <w:rPr>
                <w:rFonts w:eastAsia="仿宋"/>
                <w:sz w:val="24"/>
                <w:szCs w:val="24"/>
              </w:rPr>
            </w:pPr>
            <w:r>
              <w:rPr>
                <w:rFonts w:hAnsi="仿宋" w:eastAsia="仿宋"/>
                <w:sz w:val="24"/>
                <w:szCs w:val="24"/>
              </w:rPr>
              <w:t>代码</w:t>
            </w:r>
          </w:p>
        </w:tc>
        <w:tc>
          <w:tcPr>
            <w:tcW w:w="2363" w:type="dxa"/>
            <w:gridSpan w:val="6"/>
            <w:noWrap w:val="0"/>
            <w:vAlign w:val="center"/>
          </w:tcPr>
          <w:p w14:paraId="1A40D716">
            <w:pPr>
              <w:adjustRightInd w:val="0"/>
              <w:snapToGrid w:val="0"/>
              <w:spacing w:line="240" w:lineRule="atLeast"/>
              <w:jc w:val="center"/>
              <w:rPr>
                <w:rFonts w:eastAsia="仿宋"/>
                <w:color w:val="FF0000"/>
                <w:sz w:val="24"/>
                <w:szCs w:val="24"/>
              </w:rPr>
            </w:pPr>
            <w:r>
              <w:rPr>
                <w:rFonts w:hint="eastAsia" w:eastAsia="仿宋"/>
                <w:color w:val="000000"/>
                <w:sz w:val="24"/>
                <w:szCs w:val="24"/>
              </w:rPr>
              <w:t>1212302614</w:t>
            </w:r>
          </w:p>
          <w:p w14:paraId="2AA2BF56">
            <w:pPr>
              <w:adjustRightInd w:val="0"/>
              <w:snapToGrid w:val="0"/>
              <w:spacing w:line="240" w:lineRule="atLeast"/>
              <w:jc w:val="center"/>
              <w:rPr>
                <w:rFonts w:eastAsia="仿宋"/>
                <w:color w:val="FF0000"/>
                <w:sz w:val="24"/>
                <w:szCs w:val="24"/>
              </w:rPr>
            </w:pPr>
            <w:r>
              <w:rPr>
                <w:rFonts w:hint="eastAsia" w:eastAsia="仿宋"/>
                <w:color w:val="000000"/>
                <w:sz w:val="24"/>
                <w:szCs w:val="24"/>
              </w:rPr>
              <w:t>1212302615</w:t>
            </w:r>
          </w:p>
        </w:tc>
      </w:tr>
      <w:tr w14:paraId="1279F548">
        <w:trPr>
          <w:trHeight w:val="454" w:hRule="atLeast"/>
          <w:jc w:val="center"/>
        </w:trPr>
        <w:tc>
          <w:tcPr>
            <w:tcW w:w="1423" w:type="dxa"/>
            <w:noWrap w:val="0"/>
            <w:vAlign w:val="center"/>
          </w:tcPr>
          <w:p w14:paraId="20EF375D">
            <w:pPr>
              <w:adjustRightInd w:val="0"/>
              <w:snapToGrid w:val="0"/>
              <w:spacing w:line="240" w:lineRule="atLeast"/>
              <w:jc w:val="center"/>
              <w:rPr>
                <w:rFonts w:eastAsia="仿宋"/>
                <w:sz w:val="24"/>
                <w:szCs w:val="24"/>
              </w:rPr>
            </w:pPr>
            <w:r>
              <w:rPr>
                <w:rFonts w:hAnsi="仿宋" w:eastAsia="仿宋"/>
                <w:sz w:val="24"/>
                <w:szCs w:val="24"/>
              </w:rPr>
              <w:t>课程类型</w:t>
            </w:r>
          </w:p>
        </w:tc>
        <w:tc>
          <w:tcPr>
            <w:tcW w:w="7725" w:type="dxa"/>
            <w:gridSpan w:val="14"/>
            <w:noWrap w:val="0"/>
            <w:vAlign w:val="center"/>
          </w:tcPr>
          <w:p w14:paraId="36197B46">
            <w:pPr>
              <w:adjustRightInd w:val="0"/>
              <w:snapToGrid w:val="0"/>
              <w:spacing w:line="240" w:lineRule="atLeast"/>
              <w:rPr>
                <w:rFonts w:eastAsia="仿宋"/>
                <w:sz w:val="24"/>
                <w:szCs w:val="24"/>
              </w:rPr>
            </w:pPr>
            <w:r>
              <w:rPr>
                <w:rFonts w:eastAsia="仿宋"/>
                <w:sz w:val="24"/>
                <w:szCs w:val="24"/>
              </w:rPr>
              <w:sym w:font="Wingdings" w:char="00A8"/>
            </w:r>
            <w:r>
              <w:rPr>
                <w:rFonts w:hAnsi="仿宋" w:eastAsia="仿宋"/>
                <w:sz w:val="24"/>
                <w:szCs w:val="24"/>
              </w:rPr>
              <w:t>通识必修</w:t>
            </w:r>
            <w:r>
              <w:rPr>
                <w:rFonts w:eastAsia="仿宋"/>
                <w:sz w:val="24"/>
                <w:szCs w:val="24"/>
              </w:rPr>
              <w:t xml:space="preserve"> </w:t>
            </w:r>
            <w:r>
              <w:rPr>
                <w:rFonts w:eastAsia="仿宋"/>
                <w:sz w:val="24"/>
                <w:szCs w:val="24"/>
              </w:rPr>
              <w:sym w:font="Wingdings" w:char="00A8"/>
            </w:r>
            <w:r>
              <w:rPr>
                <w:rFonts w:hAnsi="仿宋" w:eastAsia="仿宋"/>
                <w:sz w:val="24"/>
                <w:szCs w:val="24"/>
              </w:rPr>
              <w:t>通识选修</w:t>
            </w:r>
            <w:r>
              <w:rPr>
                <w:rFonts w:eastAsia="仿宋"/>
                <w:sz w:val="24"/>
                <w:szCs w:val="24"/>
              </w:rPr>
              <w:t xml:space="preserve"> </w:t>
            </w:r>
            <w:r>
              <w:rPr>
                <w:rFonts w:eastAsia="仿宋"/>
                <w:sz w:val="24"/>
                <w:szCs w:val="24"/>
              </w:rPr>
              <w:sym w:font="Wingdings" w:char="00A8"/>
            </w:r>
            <w:r>
              <w:rPr>
                <w:rFonts w:hAnsi="仿宋" w:eastAsia="仿宋"/>
                <w:sz w:val="24"/>
                <w:szCs w:val="24"/>
              </w:rPr>
              <w:t>专业必修</w:t>
            </w:r>
            <w:r>
              <w:rPr>
                <w:rFonts w:eastAsia="仿宋"/>
                <w:sz w:val="24"/>
                <w:szCs w:val="24"/>
              </w:rPr>
              <w:t xml:space="preserve"> </w:t>
            </w:r>
          </w:p>
          <w:p w14:paraId="1CA7443A">
            <w:pPr>
              <w:adjustRightInd w:val="0"/>
              <w:snapToGrid w:val="0"/>
              <w:spacing w:line="240" w:lineRule="atLeast"/>
              <w:rPr>
                <w:rFonts w:eastAsia="仿宋"/>
                <w:sz w:val="24"/>
                <w:szCs w:val="24"/>
              </w:rPr>
            </w:pPr>
            <w:r>
              <w:rPr>
                <w:rFonts w:eastAsia="仿宋"/>
                <w:sz w:val="24"/>
                <w:szCs w:val="24"/>
              </w:rPr>
              <w:sym w:font="Wingdings" w:char="00A8"/>
            </w:r>
            <w:r>
              <w:rPr>
                <w:rFonts w:hAnsi="仿宋" w:eastAsia="仿宋"/>
                <w:sz w:val="24"/>
                <w:szCs w:val="24"/>
              </w:rPr>
              <w:t>专业选修</w:t>
            </w:r>
            <w:r>
              <w:rPr>
                <w:rFonts w:eastAsia="仿宋"/>
                <w:sz w:val="24"/>
                <w:szCs w:val="24"/>
                <w:lang w:eastAsia="zh-TW"/>
              </w:rPr>
              <w:t xml:space="preserve"> </w:t>
            </w:r>
            <w:r>
              <w:rPr>
                <w:rFonts w:eastAsia="仿宋"/>
                <w:sz w:val="24"/>
                <w:szCs w:val="24"/>
              </w:rPr>
              <w:sym w:font="Wingdings" w:char="00FE"/>
            </w:r>
            <w:r>
              <w:rPr>
                <w:rFonts w:hAnsi="仿宋" w:eastAsia="仿宋"/>
                <w:sz w:val="24"/>
                <w:szCs w:val="24"/>
              </w:rPr>
              <w:t>教师教育必修</w:t>
            </w:r>
            <w:r>
              <w:rPr>
                <w:rFonts w:eastAsia="仿宋"/>
                <w:sz w:val="24"/>
                <w:szCs w:val="24"/>
              </w:rPr>
              <w:t xml:space="preserve"> </w:t>
            </w:r>
            <w:r>
              <w:rPr>
                <w:rFonts w:eastAsia="仿宋"/>
                <w:sz w:val="24"/>
                <w:szCs w:val="24"/>
              </w:rPr>
              <w:sym w:font="Wingdings" w:char="00A8"/>
            </w:r>
            <w:r>
              <w:rPr>
                <w:rFonts w:hAnsi="仿宋" w:eastAsia="仿宋"/>
                <w:sz w:val="24"/>
                <w:szCs w:val="24"/>
              </w:rPr>
              <w:t>教师教育选修</w:t>
            </w:r>
          </w:p>
        </w:tc>
      </w:tr>
      <w:tr w14:paraId="79BD0955">
        <w:trPr>
          <w:trHeight w:val="406" w:hRule="atLeast"/>
          <w:jc w:val="center"/>
        </w:trPr>
        <w:tc>
          <w:tcPr>
            <w:tcW w:w="1423" w:type="dxa"/>
            <w:noWrap w:val="0"/>
            <w:vAlign w:val="center"/>
          </w:tcPr>
          <w:p w14:paraId="749AA545">
            <w:pPr>
              <w:adjustRightInd w:val="0"/>
              <w:snapToGrid w:val="0"/>
              <w:spacing w:line="240" w:lineRule="atLeast"/>
              <w:jc w:val="center"/>
              <w:rPr>
                <w:rFonts w:eastAsia="仿宋"/>
                <w:sz w:val="24"/>
                <w:szCs w:val="24"/>
              </w:rPr>
            </w:pPr>
            <w:r>
              <w:rPr>
                <w:rFonts w:hAnsi="仿宋" w:eastAsia="仿宋"/>
                <w:sz w:val="24"/>
                <w:szCs w:val="24"/>
              </w:rPr>
              <w:t>开课学期</w:t>
            </w:r>
          </w:p>
        </w:tc>
        <w:tc>
          <w:tcPr>
            <w:tcW w:w="1127" w:type="dxa"/>
            <w:gridSpan w:val="2"/>
            <w:noWrap w:val="0"/>
            <w:vAlign w:val="center"/>
          </w:tcPr>
          <w:p w14:paraId="793260FC">
            <w:pPr>
              <w:adjustRightInd w:val="0"/>
              <w:snapToGrid w:val="0"/>
              <w:spacing w:line="240" w:lineRule="atLeast"/>
              <w:jc w:val="center"/>
              <w:rPr>
                <w:rFonts w:eastAsia="仿宋"/>
                <w:sz w:val="24"/>
                <w:szCs w:val="24"/>
              </w:rPr>
            </w:pPr>
            <w:r>
              <w:rPr>
                <w:rFonts w:hAnsi="仿宋" w:eastAsia="仿宋"/>
                <w:sz w:val="24"/>
                <w:szCs w:val="24"/>
              </w:rPr>
              <w:t>第</w:t>
            </w:r>
            <w:r>
              <w:rPr>
                <w:rFonts w:eastAsia="仿宋"/>
                <w:sz w:val="24"/>
                <w:szCs w:val="24"/>
              </w:rPr>
              <w:t>1</w:t>
            </w:r>
            <w:r>
              <w:rPr>
                <w:rFonts w:hint="eastAsia" w:hAnsi="仿宋" w:eastAsia="仿宋"/>
                <w:sz w:val="24"/>
                <w:szCs w:val="24"/>
              </w:rPr>
              <w:t>/</w:t>
            </w:r>
            <w:r>
              <w:rPr>
                <w:rFonts w:eastAsia="仿宋"/>
                <w:sz w:val="24"/>
                <w:szCs w:val="24"/>
              </w:rPr>
              <w:t>2</w:t>
            </w:r>
            <w:r>
              <w:rPr>
                <w:rFonts w:hAnsi="仿宋" w:eastAsia="仿宋"/>
                <w:sz w:val="24"/>
                <w:szCs w:val="24"/>
              </w:rPr>
              <w:t>学期</w:t>
            </w:r>
          </w:p>
        </w:tc>
        <w:tc>
          <w:tcPr>
            <w:tcW w:w="1202" w:type="dxa"/>
            <w:noWrap w:val="0"/>
            <w:vAlign w:val="center"/>
          </w:tcPr>
          <w:p w14:paraId="4600FF8D">
            <w:pPr>
              <w:adjustRightInd w:val="0"/>
              <w:snapToGrid w:val="0"/>
              <w:spacing w:line="240" w:lineRule="atLeast"/>
              <w:jc w:val="center"/>
              <w:rPr>
                <w:rFonts w:eastAsia="仿宋"/>
                <w:sz w:val="24"/>
                <w:szCs w:val="24"/>
              </w:rPr>
            </w:pPr>
            <w:r>
              <w:rPr>
                <w:rFonts w:hAnsi="仿宋" w:eastAsia="仿宋"/>
                <w:sz w:val="24"/>
                <w:szCs w:val="24"/>
              </w:rPr>
              <w:t>学分</w:t>
            </w:r>
          </w:p>
        </w:tc>
        <w:tc>
          <w:tcPr>
            <w:tcW w:w="1606" w:type="dxa"/>
            <w:gridSpan w:val="2"/>
            <w:noWrap w:val="0"/>
            <w:vAlign w:val="center"/>
          </w:tcPr>
          <w:p w14:paraId="22CF131B">
            <w:pPr>
              <w:adjustRightInd w:val="0"/>
              <w:snapToGrid w:val="0"/>
              <w:spacing w:line="240" w:lineRule="atLeast"/>
              <w:jc w:val="center"/>
              <w:rPr>
                <w:rFonts w:eastAsia="仿宋"/>
                <w:sz w:val="24"/>
                <w:szCs w:val="24"/>
              </w:rPr>
            </w:pPr>
            <w:r>
              <w:rPr>
                <w:rFonts w:eastAsia="仿宋"/>
                <w:sz w:val="24"/>
                <w:szCs w:val="24"/>
              </w:rPr>
              <w:t>2</w:t>
            </w:r>
          </w:p>
        </w:tc>
        <w:tc>
          <w:tcPr>
            <w:tcW w:w="1427" w:type="dxa"/>
            <w:gridSpan w:val="3"/>
            <w:noWrap w:val="0"/>
            <w:vAlign w:val="center"/>
          </w:tcPr>
          <w:p w14:paraId="651BB2C0">
            <w:pPr>
              <w:adjustRightInd w:val="0"/>
              <w:snapToGrid w:val="0"/>
              <w:spacing w:line="240" w:lineRule="atLeast"/>
              <w:jc w:val="center"/>
              <w:rPr>
                <w:rFonts w:eastAsia="仿宋"/>
                <w:sz w:val="24"/>
                <w:szCs w:val="24"/>
              </w:rPr>
            </w:pPr>
            <w:r>
              <w:rPr>
                <w:rFonts w:hAnsi="仿宋" w:eastAsia="仿宋"/>
                <w:sz w:val="24"/>
                <w:szCs w:val="24"/>
              </w:rPr>
              <w:t>课程负责人</w:t>
            </w:r>
          </w:p>
        </w:tc>
        <w:tc>
          <w:tcPr>
            <w:tcW w:w="2363" w:type="dxa"/>
            <w:gridSpan w:val="6"/>
            <w:noWrap w:val="0"/>
            <w:vAlign w:val="center"/>
          </w:tcPr>
          <w:p w14:paraId="1CF88CD8">
            <w:pPr>
              <w:adjustRightInd w:val="0"/>
              <w:snapToGrid w:val="0"/>
              <w:spacing w:line="240" w:lineRule="atLeast"/>
              <w:jc w:val="center"/>
              <w:rPr>
                <w:rFonts w:eastAsia="仿宋"/>
                <w:sz w:val="24"/>
                <w:szCs w:val="24"/>
              </w:rPr>
            </w:pPr>
            <w:r>
              <w:rPr>
                <w:rFonts w:hAnsi="仿宋" w:eastAsia="仿宋"/>
                <w:sz w:val="24"/>
                <w:szCs w:val="24"/>
              </w:rPr>
              <w:t>李福颖</w:t>
            </w:r>
          </w:p>
        </w:tc>
      </w:tr>
      <w:tr w14:paraId="5E4969C1">
        <w:trPr>
          <w:trHeight w:val="485" w:hRule="atLeast"/>
          <w:jc w:val="center"/>
        </w:trPr>
        <w:tc>
          <w:tcPr>
            <w:tcW w:w="1423" w:type="dxa"/>
            <w:noWrap w:val="0"/>
            <w:vAlign w:val="center"/>
          </w:tcPr>
          <w:p w14:paraId="3F0606B1">
            <w:pPr>
              <w:adjustRightInd w:val="0"/>
              <w:snapToGrid w:val="0"/>
              <w:spacing w:line="240" w:lineRule="atLeast"/>
              <w:jc w:val="center"/>
              <w:rPr>
                <w:rFonts w:eastAsia="仿宋"/>
                <w:sz w:val="24"/>
                <w:szCs w:val="24"/>
              </w:rPr>
            </w:pPr>
            <w:r>
              <w:rPr>
                <w:rFonts w:hAnsi="仿宋" w:eastAsia="仿宋"/>
                <w:sz w:val="24"/>
                <w:szCs w:val="24"/>
              </w:rPr>
              <w:t>总学时</w:t>
            </w:r>
          </w:p>
        </w:tc>
        <w:tc>
          <w:tcPr>
            <w:tcW w:w="1127" w:type="dxa"/>
            <w:gridSpan w:val="2"/>
            <w:noWrap w:val="0"/>
            <w:vAlign w:val="center"/>
          </w:tcPr>
          <w:p w14:paraId="5EB79DB8">
            <w:pPr>
              <w:adjustRightInd w:val="0"/>
              <w:snapToGrid w:val="0"/>
              <w:spacing w:line="240" w:lineRule="atLeast"/>
              <w:jc w:val="center"/>
              <w:rPr>
                <w:rFonts w:eastAsia="仿宋"/>
                <w:sz w:val="24"/>
                <w:szCs w:val="24"/>
              </w:rPr>
            </w:pPr>
            <w:r>
              <w:rPr>
                <w:rFonts w:eastAsia="仿宋"/>
                <w:sz w:val="24"/>
                <w:szCs w:val="24"/>
              </w:rPr>
              <w:t>64</w:t>
            </w:r>
          </w:p>
        </w:tc>
        <w:tc>
          <w:tcPr>
            <w:tcW w:w="1202" w:type="dxa"/>
            <w:noWrap w:val="0"/>
            <w:vAlign w:val="center"/>
          </w:tcPr>
          <w:p w14:paraId="6CF72F0C">
            <w:pPr>
              <w:adjustRightInd w:val="0"/>
              <w:snapToGrid w:val="0"/>
              <w:spacing w:line="240" w:lineRule="atLeast"/>
              <w:jc w:val="center"/>
              <w:rPr>
                <w:rFonts w:eastAsia="仿宋"/>
                <w:sz w:val="24"/>
                <w:szCs w:val="24"/>
              </w:rPr>
            </w:pPr>
            <w:r>
              <w:rPr>
                <w:rFonts w:hAnsi="仿宋" w:eastAsia="仿宋"/>
                <w:sz w:val="24"/>
                <w:szCs w:val="24"/>
              </w:rPr>
              <w:t>理论学时</w:t>
            </w:r>
          </w:p>
        </w:tc>
        <w:tc>
          <w:tcPr>
            <w:tcW w:w="1606" w:type="dxa"/>
            <w:gridSpan w:val="2"/>
            <w:noWrap w:val="0"/>
            <w:vAlign w:val="center"/>
          </w:tcPr>
          <w:p w14:paraId="3AF71495">
            <w:pPr>
              <w:adjustRightInd w:val="0"/>
              <w:snapToGrid w:val="0"/>
              <w:spacing w:line="240" w:lineRule="atLeast"/>
              <w:jc w:val="center"/>
              <w:rPr>
                <w:rFonts w:eastAsia="仿宋"/>
                <w:sz w:val="24"/>
                <w:szCs w:val="24"/>
              </w:rPr>
            </w:pPr>
            <w:r>
              <w:rPr>
                <w:rFonts w:hint="eastAsia" w:eastAsia="仿宋"/>
                <w:sz w:val="24"/>
                <w:szCs w:val="24"/>
              </w:rPr>
              <w:t>22</w:t>
            </w:r>
          </w:p>
        </w:tc>
        <w:tc>
          <w:tcPr>
            <w:tcW w:w="1427" w:type="dxa"/>
            <w:gridSpan w:val="3"/>
            <w:tcBorders>
              <w:right w:val="single" w:color="000000" w:sz="4" w:space="0"/>
            </w:tcBorders>
            <w:noWrap w:val="0"/>
            <w:vAlign w:val="center"/>
          </w:tcPr>
          <w:p w14:paraId="296A6D65">
            <w:pPr>
              <w:adjustRightInd w:val="0"/>
              <w:snapToGrid w:val="0"/>
              <w:spacing w:line="240" w:lineRule="atLeast"/>
              <w:jc w:val="center"/>
              <w:rPr>
                <w:rFonts w:eastAsia="仿宋"/>
                <w:sz w:val="24"/>
                <w:szCs w:val="24"/>
              </w:rPr>
            </w:pPr>
            <w:r>
              <w:rPr>
                <w:rFonts w:hAnsi="仿宋" w:eastAsia="仿宋"/>
                <w:sz w:val="24"/>
                <w:szCs w:val="24"/>
              </w:rPr>
              <w:t>实践学时</w:t>
            </w:r>
          </w:p>
        </w:tc>
        <w:tc>
          <w:tcPr>
            <w:tcW w:w="2363" w:type="dxa"/>
            <w:gridSpan w:val="6"/>
            <w:tcBorders>
              <w:left w:val="single" w:color="000000" w:sz="4" w:space="0"/>
            </w:tcBorders>
            <w:noWrap w:val="0"/>
            <w:vAlign w:val="center"/>
          </w:tcPr>
          <w:p w14:paraId="4A59D069">
            <w:pPr>
              <w:adjustRightInd w:val="0"/>
              <w:snapToGrid w:val="0"/>
              <w:spacing w:line="240" w:lineRule="atLeast"/>
              <w:jc w:val="center"/>
              <w:rPr>
                <w:rFonts w:eastAsia="仿宋"/>
                <w:sz w:val="24"/>
                <w:szCs w:val="24"/>
              </w:rPr>
            </w:pPr>
            <w:r>
              <w:rPr>
                <w:rFonts w:hint="eastAsia" w:eastAsia="仿宋"/>
                <w:sz w:val="24"/>
                <w:szCs w:val="24"/>
              </w:rPr>
              <w:t>42</w:t>
            </w:r>
          </w:p>
        </w:tc>
      </w:tr>
      <w:tr w14:paraId="38E0A509">
        <w:trPr>
          <w:trHeight w:val="454" w:hRule="atLeast"/>
          <w:jc w:val="center"/>
        </w:trPr>
        <w:tc>
          <w:tcPr>
            <w:tcW w:w="1423" w:type="dxa"/>
            <w:noWrap w:val="0"/>
            <w:vAlign w:val="center"/>
          </w:tcPr>
          <w:p w14:paraId="2DF57BE1">
            <w:pPr>
              <w:adjustRightInd w:val="0"/>
              <w:snapToGrid w:val="0"/>
              <w:spacing w:line="240" w:lineRule="atLeast"/>
              <w:jc w:val="center"/>
              <w:rPr>
                <w:rFonts w:eastAsia="仿宋"/>
                <w:sz w:val="24"/>
                <w:szCs w:val="24"/>
              </w:rPr>
            </w:pPr>
            <w:r>
              <w:rPr>
                <w:rFonts w:hAnsi="仿宋" w:eastAsia="仿宋"/>
                <w:sz w:val="24"/>
                <w:szCs w:val="24"/>
              </w:rPr>
              <w:t>先修课程与后续课程</w:t>
            </w:r>
          </w:p>
        </w:tc>
        <w:tc>
          <w:tcPr>
            <w:tcW w:w="7725" w:type="dxa"/>
            <w:gridSpan w:val="14"/>
            <w:noWrap w:val="0"/>
            <w:vAlign w:val="center"/>
          </w:tcPr>
          <w:p w14:paraId="0E172F5C">
            <w:pPr>
              <w:tabs>
                <w:tab w:val="left" w:pos="720"/>
              </w:tabs>
              <w:adjustRightInd w:val="0"/>
              <w:snapToGrid w:val="0"/>
              <w:jc w:val="left"/>
              <w:rPr>
                <w:rFonts w:eastAsia="仿宋"/>
                <w:sz w:val="24"/>
                <w:szCs w:val="24"/>
              </w:rPr>
            </w:pPr>
            <w:r>
              <w:rPr>
                <w:rFonts w:hAnsi="仿宋" w:eastAsia="仿宋"/>
                <w:sz w:val="24"/>
                <w:szCs w:val="24"/>
              </w:rPr>
              <w:t>先修课程：无</w:t>
            </w:r>
          </w:p>
          <w:p w14:paraId="36D3B87F">
            <w:pPr>
              <w:tabs>
                <w:tab w:val="left" w:pos="720"/>
              </w:tabs>
              <w:adjustRightInd w:val="0"/>
              <w:snapToGrid w:val="0"/>
              <w:jc w:val="left"/>
              <w:rPr>
                <w:rFonts w:eastAsia="仿宋"/>
                <w:sz w:val="24"/>
                <w:szCs w:val="24"/>
              </w:rPr>
            </w:pPr>
            <w:r>
              <w:rPr>
                <w:rFonts w:hAnsi="仿宋" w:eastAsia="仿宋"/>
                <w:sz w:val="24"/>
                <w:szCs w:val="24"/>
              </w:rPr>
              <w:t>后续课程：</w:t>
            </w:r>
            <w:r>
              <w:rPr>
                <w:rFonts w:hint="eastAsia" w:eastAsia="仿宋"/>
                <w:sz w:val="24"/>
                <w:szCs w:val="24"/>
              </w:rPr>
              <w:t>教学论，教学设计与实施</w:t>
            </w:r>
          </w:p>
        </w:tc>
      </w:tr>
      <w:tr w14:paraId="05D70D02">
        <w:trPr>
          <w:trHeight w:val="454" w:hRule="atLeast"/>
          <w:jc w:val="center"/>
        </w:trPr>
        <w:tc>
          <w:tcPr>
            <w:tcW w:w="1423" w:type="dxa"/>
            <w:noWrap w:val="0"/>
            <w:vAlign w:val="center"/>
          </w:tcPr>
          <w:p w14:paraId="46BADDA6">
            <w:pPr>
              <w:adjustRightInd w:val="0"/>
              <w:snapToGrid w:val="0"/>
              <w:spacing w:line="240" w:lineRule="atLeast"/>
              <w:jc w:val="center"/>
              <w:rPr>
                <w:rFonts w:eastAsia="仿宋"/>
                <w:sz w:val="24"/>
                <w:szCs w:val="24"/>
              </w:rPr>
            </w:pPr>
            <w:r>
              <w:rPr>
                <w:rFonts w:hAnsi="仿宋" w:eastAsia="仿宋"/>
                <w:sz w:val="24"/>
                <w:szCs w:val="24"/>
              </w:rPr>
              <w:t>适用专业</w:t>
            </w:r>
          </w:p>
        </w:tc>
        <w:tc>
          <w:tcPr>
            <w:tcW w:w="7725" w:type="dxa"/>
            <w:gridSpan w:val="14"/>
            <w:noWrap w:val="0"/>
            <w:vAlign w:val="center"/>
          </w:tcPr>
          <w:p w14:paraId="76FAF454">
            <w:pPr>
              <w:adjustRightInd w:val="0"/>
              <w:snapToGrid w:val="0"/>
              <w:spacing w:line="240" w:lineRule="atLeast"/>
              <w:jc w:val="center"/>
              <w:rPr>
                <w:rFonts w:eastAsia="仿宋"/>
                <w:sz w:val="24"/>
                <w:szCs w:val="24"/>
              </w:rPr>
            </w:pPr>
            <w:r>
              <w:rPr>
                <w:rFonts w:hint="eastAsia" w:hAnsi="仿宋" w:eastAsia="仿宋"/>
                <w:sz w:val="24"/>
                <w:szCs w:val="24"/>
              </w:rPr>
              <w:t>音乐学</w:t>
            </w:r>
            <w:r>
              <w:rPr>
                <w:rFonts w:hAnsi="仿宋" w:eastAsia="仿宋"/>
                <w:sz w:val="24"/>
                <w:szCs w:val="24"/>
              </w:rPr>
              <w:t>（师范）专业</w:t>
            </w:r>
          </w:p>
        </w:tc>
      </w:tr>
      <w:tr w14:paraId="2953AADF">
        <w:trPr>
          <w:jc w:val="center"/>
        </w:trPr>
        <w:tc>
          <w:tcPr>
            <w:tcW w:w="1423" w:type="dxa"/>
            <w:tcBorders>
              <w:bottom w:val="single" w:color="auto" w:sz="4" w:space="0"/>
            </w:tcBorders>
            <w:noWrap w:val="0"/>
            <w:vAlign w:val="center"/>
          </w:tcPr>
          <w:p w14:paraId="487DB197">
            <w:pPr>
              <w:adjustRightInd w:val="0"/>
              <w:snapToGrid w:val="0"/>
              <w:spacing w:line="240" w:lineRule="atLeast"/>
              <w:jc w:val="center"/>
              <w:rPr>
                <w:rFonts w:eastAsia="仿宋"/>
                <w:sz w:val="24"/>
                <w:szCs w:val="24"/>
              </w:rPr>
            </w:pPr>
            <w:r>
              <w:rPr>
                <w:rFonts w:eastAsia="仿宋"/>
                <w:sz w:val="24"/>
                <w:szCs w:val="24"/>
              </w:rPr>
              <w:t>A</w:t>
            </w:r>
          </w:p>
          <w:p w14:paraId="20652ACD">
            <w:pPr>
              <w:adjustRightInd w:val="0"/>
              <w:snapToGrid w:val="0"/>
              <w:spacing w:line="240" w:lineRule="atLeast"/>
              <w:jc w:val="center"/>
              <w:rPr>
                <w:rFonts w:eastAsia="仿宋"/>
                <w:sz w:val="24"/>
                <w:szCs w:val="24"/>
              </w:rPr>
            </w:pPr>
            <w:r>
              <w:rPr>
                <w:rFonts w:hAnsi="仿宋" w:eastAsia="仿宋"/>
                <w:sz w:val="24"/>
                <w:szCs w:val="24"/>
              </w:rPr>
              <w:t>参考教材</w:t>
            </w:r>
          </w:p>
        </w:tc>
        <w:tc>
          <w:tcPr>
            <w:tcW w:w="7725" w:type="dxa"/>
            <w:gridSpan w:val="14"/>
            <w:tcBorders>
              <w:bottom w:val="single" w:color="auto" w:sz="4" w:space="0"/>
            </w:tcBorders>
            <w:noWrap w:val="0"/>
            <w:vAlign w:val="center"/>
          </w:tcPr>
          <w:p w14:paraId="6235BA4D">
            <w:pPr>
              <w:pStyle w:val="2"/>
              <w:widowControl/>
              <w:shd w:val="clear" w:color="auto" w:fill="FFFFFF"/>
              <w:spacing w:before="0" w:beforeAutospacing="0" w:after="0" w:afterAutospacing="0" w:line="240" w:lineRule="atLeast"/>
              <w:rPr>
                <w:rFonts w:hint="default" w:ascii="Times New Roman" w:hAnsi="Times New Roman" w:eastAsia="仿宋"/>
                <w:b w:val="0"/>
                <w:color w:val="000000"/>
                <w:kern w:val="0"/>
                <w:sz w:val="24"/>
                <w:szCs w:val="24"/>
              </w:rPr>
            </w:pPr>
            <w:bookmarkStart w:id="84" w:name="_Toc147224918"/>
            <w:bookmarkStart w:id="85" w:name="_Toc403034706"/>
            <w:r>
              <w:rPr>
                <w:rFonts w:ascii="Times New Roman" w:hAnsi="仿宋" w:eastAsia="仿宋"/>
                <w:b w:val="0"/>
                <w:color w:val="000000"/>
                <w:sz w:val="24"/>
              </w:rPr>
              <w:t>《教师口语实用技能训练教程》，章晓琴，北京师范大学出版社，2013年，第二版。</w:t>
            </w:r>
            <w:bookmarkEnd w:id="84"/>
            <w:bookmarkEnd w:id="85"/>
          </w:p>
        </w:tc>
      </w:tr>
      <w:tr w14:paraId="4357F6FC">
        <w:trPr>
          <w:jc w:val="center"/>
        </w:trPr>
        <w:tc>
          <w:tcPr>
            <w:tcW w:w="1423" w:type="dxa"/>
            <w:tcBorders>
              <w:bottom w:val="single" w:color="auto" w:sz="4" w:space="0"/>
            </w:tcBorders>
            <w:noWrap w:val="0"/>
            <w:vAlign w:val="center"/>
          </w:tcPr>
          <w:p w14:paraId="625D44C8">
            <w:pPr>
              <w:adjustRightInd w:val="0"/>
              <w:snapToGrid w:val="0"/>
              <w:spacing w:line="240" w:lineRule="atLeast"/>
              <w:jc w:val="center"/>
              <w:rPr>
                <w:rFonts w:eastAsia="仿宋"/>
                <w:sz w:val="24"/>
                <w:szCs w:val="24"/>
              </w:rPr>
            </w:pPr>
            <w:r>
              <w:rPr>
                <w:rFonts w:eastAsia="仿宋"/>
                <w:sz w:val="24"/>
                <w:szCs w:val="24"/>
              </w:rPr>
              <w:t>B</w:t>
            </w:r>
          </w:p>
          <w:p w14:paraId="24727131">
            <w:pPr>
              <w:adjustRightInd w:val="0"/>
              <w:snapToGrid w:val="0"/>
              <w:spacing w:line="240" w:lineRule="atLeast"/>
              <w:jc w:val="center"/>
              <w:rPr>
                <w:rFonts w:eastAsia="仿宋"/>
                <w:sz w:val="24"/>
                <w:szCs w:val="24"/>
              </w:rPr>
            </w:pPr>
            <w:r>
              <w:rPr>
                <w:rFonts w:hAnsi="仿宋" w:eastAsia="仿宋"/>
                <w:sz w:val="24"/>
                <w:szCs w:val="24"/>
              </w:rPr>
              <w:t>主要参考书籍</w:t>
            </w:r>
          </w:p>
        </w:tc>
        <w:tc>
          <w:tcPr>
            <w:tcW w:w="7725" w:type="dxa"/>
            <w:gridSpan w:val="14"/>
            <w:tcBorders>
              <w:bottom w:val="single" w:color="auto" w:sz="4" w:space="0"/>
            </w:tcBorders>
            <w:noWrap w:val="0"/>
            <w:vAlign w:val="center"/>
          </w:tcPr>
          <w:p w14:paraId="11F58BE9">
            <w:pPr>
              <w:rPr>
                <w:rFonts w:eastAsia="仿宋_GB2312"/>
                <w:sz w:val="24"/>
              </w:rPr>
            </w:pPr>
            <w:r>
              <w:rPr>
                <w:rFonts w:hAnsi="Univers Condensed" w:eastAsia="仿宋_GB2312"/>
                <w:sz w:val="24"/>
              </w:rPr>
              <w:t>《普通话水平等级测试实施纲要》，国家语委普通话培训测试中心编制，商务印书馆</w:t>
            </w:r>
            <w:r>
              <w:rPr>
                <w:rFonts w:eastAsia="仿宋_GB2312"/>
                <w:sz w:val="24"/>
              </w:rPr>
              <w:t>2017</w:t>
            </w:r>
            <w:r>
              <w:rPr>
                <w:rFonts w:hAnsi="Univers Condensed" w:eastAsia="仿宋_GB2312"/>
                <w:sz w:val="24"/>
              </w:rPr>
              <w:t>年。</w:t>
            </w:r>
          </w:p>
          <w:p w14:paraId="3BCBC4C2">
            <w:pPr>
              <w:adjustRightInd w:val="0"/>
              <w:snapToGrid w:val="0"/>
              <w:rPr>
                <w:rFonts w:eastAsia="仿宋"/>
                <w:kern w:val="0"/>
                <w:sz w:val="24"/>
              </w:rPr>
            </w:pPr>
            <w:r>
              <w:rPr>
                <w:rFonts w:hAnsi="仿宋" w:eastAsia="仿宋"/>
                <w:sz w:val="24"/>
              </w:rPr>
              <w:t>《教师口语训练教程》（第三版），刘伯奎，中国人民大学出版社，</w:t>
            </w:r>
            <w:r>
              <w:rPr>
                <w:rFonts w:eastAsia="仿宋"/>
                <w:sz w:val="24"/>
              </w:rPr>
              <w:t>2017</w:t>
            </w:r>
            <w:r>
              <w:rPr>
                <w:rFonts w:hAnsi="仿宋" w:eastAsia="仿宋"/>
                <w:sz w:val="24"/>
              </w:rPr>
              <w:t>年。</w:t>
            </w:r>
          </w:p>
          <w:p w14:paraId="6DF47A03">
            <w:pPr>
              <w:adjustRightInd w:val="0"/>
              <w:snapToGrid w:val="0"/>
              <w:rPr>
                <w:rFonts w:eastAsia="仿宋"/>
                <w:sz w:val="24"/>
              </w:rPr>
            </w:pPr>
            <w:r>
              <w:rPr>
                <w:rFonts w:hAnsi="仿宋" w:eastAsia="仿宋"/>
                <w:sz w:val="24"/>
              </w:rPr>
              <w:t>《普通话训练教程》（第二版），曾志华，中国传播大学出版社，</w:t>
            </w:r>
            <w:r>
              <w:rPr>
                <w:rFonts w:eastAsia="仿宋"/>
                <w:sz w:val="24"/>
              </w:rPr>
              <w:t>2018</w:t>
            </w:r>
            <w:r>
              <w:rPr>
                <w:rFonts w:hAnsi="仿宋" w:eastAsia="仿宋"/>
                <w:sz w:val="24"/>
              </w:rPr>
              <w:t>年。</w:t>
            </w:r>
          </w:p>
          <w:p w14:paraId="409E480C">
            <w:pPr>
              <w:adjustRightInd w:val="0"/>
              <w:snapToGrid w:val="0"/>
              <w:rPr>
                <w:rFonts w:eastAsia="仿宋"/>
                <w:kern w:val="0"/>
                <w:sz w:val="24"/>
                <w:szCs w:val="24"/>
              </w:rPr>
            </w:pPr>
            <w:r>
              <w:rPr>
                <w:rFonts w:hAnsi="仿宋" w:eastAsia="仿宋"/>
                <w:sz w:val="24"/>
              </w:rPr>
              <w:t>《口语训练教程》，高廉平，高教出版社，</w:t>
            </w:r>
            <w:r>
              <w:rPr>
                <w:rFonts w:eastAsia="仿宋"/>
                <w:sz w:val="24"/>
              </w:rPr>
              <w:t>2011</w:t>
            </w:r>
            <w:r>
              <w:rPr>
                <w:rFonts w:hAnsi="仿宋" w:eastAsia="仿宋"/>
                <w:sz w:val="24"/>
              </w:rPr>
              <w:t>年。</w:t>
            </w:r>
          </w:p>
        </w:tc>
      </w:tr>
      <w:tr w14:paraId="4187EF3F">
        <w:trPr>
          <w:trHeight w:val="1484" w:hRule="atLeast"/>
          <w:jc w:val="center"/>
        </w:trPr>
        <w:tc>
          <w:tcPr>
            <w:tcW w:w="1423" w:type="dxa"/>
            <w:tcBorders>
              <w:bottom w:val="single" w:color="auto" w:sz="4" w:space="0"/>
            </w:tcBorders>
            <w:noWrap w:val="0"/>
            <w:vAlign w:val="center"/>
          </w:tcPr>
          <w:p w14:paraId="03E3A3BD">
            <w:pPr>
              <w:adjustRightInd w:val="0"/>
              <w:snapToGrid w:val="0"/>
              <w:spacing w:line="240" w:lineRule="atLeast"/>
              <w:jc w:val="center"/>
              <w:rPr>
                <w:rFonts w:eastAsia="仿宋"/>
                <w:sz w:val="24"/>
                <w:szCs w:val="24"/>
              </w:rPr>
            </w:pPr>
            <w:r>
              <w:rPr>
                <w:rFonts w:eastAsia="仿宋"/>
                <w:sz w:val="24"/>
                <w:szCs w:val="24"/>
              </w:rPr>
              <w:t>C</w:t>
            </w:r>
          </w:p>
          <w:p w14:paraId="0BEDA985">
            <w:pPr>
              <w:adjustRightInd w:val="0"/>
              <w:snapToGrid w:val="0"/>
              <w:spacing w:line="240" w:lineRule="atLeast"/>
              <w:jc w:val="center"/>
              <w:rPr>
                <w:rFonts w:eastAsia="仿宋"/>
                <w:sz w:val="24"/>
                <w:szCs w:val="24"/>
              </w:rPr>
            </w:pPr>
            <w:r>
              <w:rPr>
                <w:rFonts w:hAnsi="仿宋" w:eastAsia="仿宋"/>
                <w:sz w:val="24"/>
                <w:szCs w:val="24"/>
              </w:rPr>
              <w:t>线上学习资源</w:t>
            </w:r>
          </w:p>
        </w:tc>
        <w:tc>
          <w:tcPr>
            <w:tcW w:w="7725" w:type="dxa"/>
            <w:gridSpan w:val="14"/>
            <w:tcBorders>
              <w:bottom w:val="single" w:color="auto" w:sz="4" w:space="0"/>
            </w:tcBorders>
            <w:noWrap w:val="0"/>
            <w:vAlign w:val="center"/>
          </w:tcPr>
          <w:p w14:paraId="5A5C5ABD">
            <w:pPr>
              <w:adjustRightInd w:val="0"/>
              <w:snapToGrid w:val="0"/>
              <w:ind w:firstLine="480" w:firstLineChars="200"/>
              <w:rPr>
                <w:rFonts w:eastAsia="仿宋"/>
                <w:kern w:val="0"/>
                <w:sz w:val="24"/>
                <w:szCs w:val="24"/>
              </w:rPr>
            </w:pPr>
            <w:r>
              <w:rPr>
                <w:rFonts w:hAnsi="仿宋" w:eastAsia="仿宋"/>
                <w:sz w:val="24"/>
                <w:szCs w:val="24"/>
              </w:rPr>
              <w:t>本课程已经建立超星平台网络课程，同学们依据学校提供的帐号与密码登录课程网站，可查看教学大纲、授课计划、考核方法、课程</w:t>
            </w:r>
            <w:r>
              <w:rPr>
                <w:rFonts w:eastAsia="仿宋"/>
                <w:sz w:val="24"/>
                <w:szCs w:val="24"/>
              </w:rPr>
              <w:t>PPT</w:t>
            </w:r>
            <w:r>
              <w:rPr>
                <w:rFonts w:hAnsi="仿宋" w:eastAsia="仿宋"/>
                <w:sz w:val="24"/>
                <w:szCs w:val="24"/>
              </w:rPr>
              <w:t>、电子教材、音频资料、阅读资料、拓展阅读资料等教学资源，可以参与章节测验、话题讨论等线上活动。</w:t>
            </w:r>
          </w:p>
        </w:tc>
      </w:tr>
      <w:tr w14:paraId="65278C83">
        <w:trPr>
          <w:trHeight w:val="2128" w:hRule="atLeast"/>
          <w:jc w:val="center"/>
        </w:trPr>
        <w:tc>
          <w:tcPr>
            <w:tcW w:w="1423" w:type="dxa"/>
            <w:shd w:val="clear" w:color="auto" w:fill="FFFFFF"/>
            <w:noWrap w:val="0"/>
            <w:vAlign w:val="center"/>
          </w:tcPr>
          <w:p w14:paraId="0BD52B90">
            <w:pPr>
              <w:adjustRightInd w:val="0"/>
              <w:snapToGrid w:val="0"/>
              <w:spacing w:line="240" w:lineRule="atLeast"/>
              <w:jc w:val="center"/>
              <w:rPr>
                <w:rFonts w:eastAsia="仿宋"/>
                <w:sz w:val="24"/>
                <w:szCs w:val="24"/>
              </w:rPr>
            </w:pPr>
            <w:r>
              <w:rPr>
                <w:rFonts w:eastAsia="仿宋"/>
                <w:sz w:val="24"/>
                <w:szCs w:val="24"/>
              </w:rPr>
              <w:t>D</w:t>
            </w:r>
          </w:p>
          <w:p w14:paraId="7091C750">
            <w:pPr>
              <w:adjustRightInd w:val="0"/>
              <w:snapToGrid w:val="0"/>
              <w:spacing w:line="240" w:lineRule="atLeast"/>
              <w:jc w:val="center"/>
              <w:rPr>
                <w:rFonts w:eastAsia="仿宋"/>
                <w:sz w:val="24"/>
                <w:szCs w:val="24"/>
              </w:rPr>
            </w:pPr>
            <w:r>
              <w:rPr>
                <w:rFonts w:hAnsi="仿宋" w:eastAsia="仿宋"/>
                <w:sz w:val="24"/>
                <w:szCs w:val="24"/>
              </w:rPr>
              <w:t>课程描述</w:t>
            </w:r>
            <w:r>
              <w:rPr>
                <w:rFonts w:eastAsia="仿宋"/>
                <w:sz w:val="24"/>
                <w:szCs w:val="24"/>
              </w:rPr>
              <w:t xml:space="preserve"> </w:t>
            </w:r>
          </w:p>
          <w:p w14:paraId="334D098C">
            <w:pPr>
              <w:adjustRightInd w:val="0"/>
              <w:snapToGrid w:val="0"/>
              <w:spacing w:line="240" w:lineRule="atLeast"/>
              <w:jc w:val="center"/>
              <w:rPr>
                <w:rFonts w:eastAsia="仿宋"/>
                <w:sz w:val="24"/>
                <w:szCs w:val="24"/>
              </w:rPr>
            </w:pPr>
            <w:r>
              <w:rPr>
                <w:rFonts w:eastAsia="仿宋"/>
                <w:sz w:val="24"/>
                <w:szCs w:val="24"/>
                <w:lang w:eastAsia="zh-TW"/>
              </w:rPr>
              <w:t>(</w:t>
            </w:r>
            <w:r>
              <w:rPr>
                <w:rFonts w:hAnsi="仿宋" w:eastAsia="仿宋"/>
                <w:sz w:val="24"/>
                <w:szCs w:val="24"/>
              </w:rPr>
              <w:t>含</w:t>
            </w:r>
            <w:r>
              <w:rPr>
                <w:rFonts w:hAnsi="仿宋" w:eastAsia="仿宋"/>
                <w:sz w:val="24"/>
                <w:szCs w:val="24"/>
                <w:lang w:eastAsia="zh-TW"/>
              </w:rPr>
              <w:t>性质、地位和任务</w:t>
            </w:r>
            <w:r>
              <w:rPr>
                <w:rFonts w:eastAsia="仿宋"/>
                <w:sz w:val="24"/>
                <w:szCs w:val="24"/>
                <w:lang w:eastAsia="zh-TW"/>
              </w:rPr>
              <w:t>)</w:t>
            </w:r>
          </w:p>
        </w:tc>
        <w:tc>
          <w:tcPr>
            <w:tcW w:w="7725" w:type="dxa"/>
            <w:gridSpan w:val="14"/>
            <w:tcBorders>
              <w:bottom w:val="single" w:color="auto" w:sz="4" w:space="0"/>
            </w:tcBorders>
            <w:shd w:val="clear" w:color="auto" w:fill="FFFFFF"/>
            <w:noWrap w:val="0"/>
            <w:vAlign w:val="center"/>
          </w:tcPr>
          <w:p w14:paraId="73102C63">
            <w:pPr>
              <w:adjustRightInd w:val="0"/>
              <w:snapToGrid w:val="0"/>
              <w:ind w:firstLine="480" w:firstLineChars="200"/>
              <w:rPr>
                <w:rFonts w:eastAsia="仿宋"/>
                <w:kern w:val="0"/>
                <w:sz w:val="24"/>
                <w:szCs w:val="24"/>
              </w:rPr>
            </w:pPr>
            <w:r>
              <w:rPr>
                <w:rFonts w:hAnsi="仿宋" w:eastAsia="仿宋"/>
                <w:kern w:val="0"/>
                <w:sz w:val="24"/>
                <w:szCs w:val="24"/>
              </w:rPr>
              <w:t>本课程是</w:t>
            </w:r>
            <w:r>
              <w:rPr>
                <w:rFonts w:hint="eastAsia" w:hAnsi="仿宋" w:eastAsia="仿宋"/>
                <w:kern w:val="0"/>
                <w:sz w:val="24"/>
                <w:szCs w:val="24"/>
              </w:rPr>
              <w:t>音乐学</w:t>
            </w:r>
            <w:r>
              <w:rPr>
                <w:rFonts w:hAnsi="仿宋" w:eastAsia="仿宋"/>
                <w:kern w:val="0"/>
                <w:sz w:val="24"/>
                <w:szCs w:val="24"/>
              </w:rPr>
              <w:t>专业（师范类）的必修课程，是培养师范学生在教育、教学过程中口语表达能力的实践性课程。课程以训练为手段，培养学生的普通话发音能力和口语表达能力。通过本课程的学习，学生能够运用标准或比较标准的普通话进行教师口语表达，能够顺利通过普通话水平等级测试；能够在一般口语交际中做到说话清晰、流畅，语态自然大方；在教师职业口语表达中做到规范、得体，有一定应变能力。</w:t>
            </w:r>
          </w:p>
        </w:tc>
      </w:tr>
      <w:tr w14:paraId="75E8A94D">
        <w:trPr>
          <w:trHeight w:val="1501" w:hRule="atLeast"/>
          <w:jc w:val="center"/>
        </w:trPr>
        <w:tc>
          <w:tcPr>
            <w:tcW w:w="1423" w:type="dxa"/>
            <w:vMerge w:val="restart"/>
            <w:shd w:val="clear" w:color="auto" w:fill="FFFFFF"/>
            <w:noWrap w:val="0"/>
            <w:vAlign w:val="center"/>
          </w:tcPr>
          <w:p w14:paraId="45322C02">
            <w:pPr>
              <w:adjustRightInd w:val="0"/>
              <w:snapToGrid w:val="0"/>
              <w:spacing w:line="240" w:lineRule="atLeast"/>
              <w:jc w:val="center"/>
              <w:rPr>
                <w:rFonts w:eastAsia="仿宋"/>
                <w:sz w:val="24"/>
                <w:szCs w:val="24"/>
              </w:rPr>
            </w:pPr>
            <w:r>
              <w:rPr>
                <w:rFonts w:eastAsia="仿宋"/>
                <w:sz w:val="24"/>
                <w:szCs w:val="24"/>
              </w:rPr>
              <w:t>E</w:t>
            </w:r>
          </w:p>
          <w:p w14:paraId="7B7CD034">
            <w:pPr>
              <w:adjustRightInd w:val="0"/>
              <w:snapToGrid w:val="0"/>
              <w:spacing w:line="240" w:lineRule="atLeast"/>
              <w:jc w:val="center"/>
              <w:rPr>
                <w:rFonts w:eastAsia="仿宋"/>
                <w:sz w:val="24"/>
                <w:szCs w:val="24"/>
              </w:rPr>
            </w:pPr>
            <w:r>
              <w:rPr>
                <w:rFonts w:hAnsi="仿宋" w:eastAsia="仿宋"/>
                <w:sz w:val="24"/>
                <w:szCs w:val="24"/>
              </w:rPr>
              <w:t>课程学习目标及其与毕业要求的对应关系</w:t>
            </w:r>
          </w:p>
        </w:tc>
        <w:tc>
          <w:tcPr>
            <w:tcW w:w="7725" w:type="dxa"/>
            <w:gridSpan w:val="14"/>
            <w:tcBorders>
              <w:bottom w:val="single" w:color="auto" w:sz="4" w:space="0"/>
            </w:tcBorders>
            <w:shd w:val="clear" w:color="auto" w:fill="FFFFFF"/>
            <w:noWrap w:val="0"/>
            <w:vAlign w:val="center"/>
          </w:tcPr>
          <w:p w14:paraId="28E1CDC3">
            <w:pPr>
              <w:adjustRightInd w:val="0"/>
              <w:snapToGrid w:val="0"/>
              <w:ind w:firstLine="480" w:firstLineChars="200"/>
              <w:jc w:val="left"/>
              <w:rPr>
                <w:rFonts w:eastAsia="仿宋"/>
                <w:sz w:val="24"/>
                <w:szCs w:val="24"/>
                <w:lang w:eastAsia="zh-TW"/>
              </w:rPr>
            </w:pPr>
            <w:r>
              <w:rPr>
                <w:rFonts w:hAnsi="仿宋" w:eastAsia="仿宋"/>
                <w:sz w:val="24"/>
                <w:szCs w:val="24"/>
              </w:rPr>
              <w:t>通过本课程的学习，学生具备如下知识、能力及情感态度、价值观：</w:t>
            </w:r>
          </w:p>
          <w:p w14:paraId="2A097635">
            <w:pPr>
              <w:adjustRightInd w:val="0"/>
              <w:snapToGrid w:val="0"/>
              <w:ind w:firstLine="480" w:firstLineChars="200"/>
              <w:rPr>
                <w:rFonts w:eastAsia="仿宋"/>
                <w:kern w:val="0"/>
                <w:sz w:val="24"/>
                <w:szCs w:val="24"/>
              </w:rPr>
            </w:pPr>
            <w:r>
              <w:rPr>
                <w:rFonts w:hAnsi="仿宋" w:eastAsia="仿宋"/>
                <w:kern w:val="0"/>
                <w:sz w:val="24"/>
                <w:szCs w:val="24"/>
              </w:rPr>
              <w:t>课程目标</w:t>
            </w:r>
            <w:r>
              <w:rPr>
                <w:rFonts w:eastAsia="仿宋"/>
                <w:kern w:val="0"/>
                <w:sz w:val="24"/>
                <w:szCs w:val="24"/>
              </w:rPr>
              <w:t>1</w:t>
            </w:r>
            <w:r>
              <w:rPr>
                <w:rFonts w:hAnsi="仿宋" w:eastAsia="仿宋"/>
                <w:kern w:val="0"/>
                <w:sz w:val="24"/>
                <w:szCs w:val="24"/>
              </w:rPr>
              <w:t>：掌握基本的普通话语音知识和科学的发声方法，能够运用标准或比较标准的普通话进行一般口语表达和课堂教学</w:t>
            </w:r>
            <w:r>
              <w:rPr>
                <w:rFonts w:eastAsia="仿宋"/>
                <w:kern w:val="0"/>
                <w:sz w:val="24"/>
                <w:szCs w:val="24"/>
              </w:rPr>
              <w:t>;</w:t>
            </w:r>
            <w:r>
              <w:rPr>
                <w:rFonts w:hAnsi="仿宋" w:eastAsia="仿宋"/>
                <w:kern w:val="0"/>
                <w:sz w:val="24"/>
                <w:szCs w:val="24"/>
              </w:rPr>
              <w:t>掌握一般口语表达和职业口语表达技巧，能够在众人面前自信大方地说话和演讲，说话清晰、流畅，语态自然；能够在教学和教育工作中表达流畅、规范、得体，有一定应变能力。（支撑毕业要求</w:t>
            </w:r>
            <w:r>
              <w:rPr>
                <w:rFonts w:eastAsia="仿宋"/>
                <w:sz w:val="24"/>
                <w:szCs w:val="24"/>
              </w:rPr>
              <w:t>4.3</w:t>
            </w:r>
            <w:r>
              <w:rPr>
                <w:rFonts w:hAnsi="仿宋" w:eastAsia="仿宋"/>
                <w:sz w:val="24"/>
                <w:szCs w:val="24"/>
              </w:rPr>
              <w:t>）</w:t>
            </w:r>
          </w:p>
          <w:p w14:paraId="3772A0B5">
            <w:pPr>
              <w:adjustRightInd w:val="0"/>
              <w:snapToGrid w:val="0"/>
              <w:ind w:firstLine="480" w:firstLineChars="200"/>
              <w:rPr>
                <w:rFonts w:eastAsia="仿宋"/>
                <w:kern w:val="0"/>
                <w:sz w:val="24"/>
                <w:szCs w:val="24"/>
              </w:rPr>
            </w:pPr>
            <w:r>
              <w:rPr>
                <w:rFonts w:hAnsi="仿宋" w:eastAsia="仿宋"/>
                <w:kern w:val="0"/>
                <w:sz w:val="24"/>
                <w:szCs w:val="24"/>
              </w:rPr>
              <w:t>课程目标</w:t>
            </w:r>
            <w:r>
              <w:rPr>
                <w:rFonts w:eastAsia="仿宋"/>
                <w:kern w:val="0"/>
                <w:sz w:val="24"/>
                <w:szCs w:val="24"/>
              </w:rPr>
              <w:t>2</w:t>
            </w:r>
            <w:r>
              <w:rPr>
                <w:rFonts w:hAnsi="仿宋" w:eastAsia="仿宋"/>
                <w:kern w:val="0"/>
                <w:sz w:val="24"/>
                <w:szCs w:val="24"/>
              </w:rPr>
              <w:t>：</w:t>
            </w:r>
            <w:r>
              <w:rPr>
                <w:rFonts w:hAnsi="仿宋" w:eastAsia="仿宋"/>
                <w:sz w:val="24"/>
                <w:szCs w:val="24"/>
              </w:rPr>
              <w:t>具有良好的教育情怀。</w:t>
            </w:r>
            <w:r>
              <w:rPr>
                <w:rFonts w:hAnsi="仿宋" w:eastAsia="仿宋"/>
                <w:kern w:val="0"/>
                <w:sz w:val="24"/>
                <w:szCs w:val="24"/>
              </w:rPr>
              <w:t>以学生为本，尊重学生人格，关心学生成长。（支撑毕业要求</w:t>
            </w:r>
            <w:r>
              <w:rPr>
                <w:rFonts w:eastAsia="仿宋"/>
                <w:sz w:val="24"/>
                <w:szCs w:val="24"/>
              </w:rPr>
              <w:t>2.2</w:t>
            </w:r>
            <w:r>
              <w:rPr>
                <w:rFonts w:hAnsi="仿宋" w:eastAsia="仿宋"/>
                <w:sz w:val="24"/>
                <w:szCs w:val="24"/>
              </w:rPr>
              <w:t>）</w:t>
            </w:r>
          </w:p>
          <w:p w14:paraId="2C46670E">
            <w:pPr>
              <w:adjustRightInd w:val="0"/>
              <w:snapToGrid w:val="0"/>
              <w:ind w:firstLine="480" w:firstLineChars="200"/>
              <w:rPr>
                <w:rFonts w:eastAsia="仿宋"/>
                <w:sz w:val="24"/>
                <w:szCs w:val="24"/>
                <w:lang w:eastAsia="zh-TW"/>
              </w:rPr>
            </w:pPr>
            <w:r>
              <w:rPr>
                <w:rFonts w:hAnsi="仿宋" w:eastAsia="仿宋"/>
                <w:kern w:val="0"/>
                <w:sz w:val="24"/>
                <w:szCs w:val="24"/>
              </w:rPr>
              <w:t>课程目标</w:t>
            </w:r>
            <w:r>
              <w:rPr>
                <w:rFonts w:eastAsia="仿宋"/>
                <w:kern w:val="0"/>
                <w:sz w:val="24"/>
                <w:szCs w:val="24"/>
              </w:rPr>
              <w:t>3</w:t>
            </w:r>
            <w:r>
              <w:rPr>
                <w:rFonts w:hAnsi="仿宋" w:eastAsia="仿宋"/>
                <w:kern w:val="0"/>
                <w:sz w:val="24"/>
                <w:szCs w:val="24"/>
              </w:rPr>
              <w:t>：</w:t>
            </w:r>
            <w:r>
              <w:rPr>
                <w:rFonts w:hAnsi="仿宋" w:eastAsia="仿宋"/>
                <w:sz w:val="24"/>
                <w:szCs w:val="24"/>
              </w:rPr>
              <w:t>掌握人际沟通技巧，积极主动与他人进行交流，</w:t>
            </w:r>
            <w:r>
              <w:rPr>
                <w:rFonts w:hAnsi="仿宋" w:eastAsia="仿宋"/>
                <w:kern w:val="0"/>
                <w:sz w:val="24"/>
                <w:szCs w:val="24"/>
              </w:rPr>
              <w:t>具备良好的人际沟通能力和团队协作精神。（支撑毕业要求</w:t>
            </w:r>
            <w:r>
              <w:rPr>
                <w:rFonts w:eastAsia="仿宋"/>
                <w:kern w:val="0"/>
                <w:sz w:val="24"/>
                <w:szCs w:val="24"/>
              </w:rPr>
              <w:t>8.2</w:t>
            </w:r>
            <w:r>
              <w:rPr>
                <w:rFonts w:hAnsi="仿宋" w:eastAsia="仿宋"/>
                <w:sz w:val="24"/>
                <w:szCs w:val="24"/>
              </w:rPr>
              <w:t>）</w:t>
            </w:r>
          </w:p>
        </w:tc>
      </w:tr>
      <w:tr w14:paraId="4B3DE97B">
        <w:trPr>
          <w:trHeight w:val="642" w:hRule="atLeast"/>
          <w:jc w:val="center"/>
        </w:trPr>
        <w:tc>
          <w:tcPr>
            <w:tcW w:w="1423" w:type="dxa"/>
            <w:vMerge w:val="continue"/>
            <w:shd w:val="clear" w:color="auto" w:fill="FFFFFF"/>
            <w:noWrap w:val="0"/>
            <w:vAlign w:val="center"/>
          </w:tcPr>
          <w:p w14:paraId="43940907">
            <w:pPr>
              <w:adjustRightInd w:val="0"/>
              <w:snapToGrid w:val="0"/>
              <w:spacing w:line="240" w:lineRule="atLeast"/>
              <w:jc w:val="center"/>
              <w:rPr>
                <w:rFonts w:eastAsia="仿宋"/>
                <w:sz w:val="24"/>
                <w:szCs w:val="24"/>
              </w:rPr>
            </w:pPr>
          </w:p>
        </w:tc>
        <w:tc>
          <w:tcPr>
            <w:tcW w:w="1127" w:type="dxa"/>
            <w:gridSpan w:val="2"/>
            <w:tcBorders>
              <w:bottom w:val="single" w:color="auto" w:sz="4" w:space="0"/>
            </w:tcBorders>
            <w:shd w:val="clear" w:color="auto" w:fill="FFFFFF"/>
            <w:noWrap w:val="0"/>
            <w:vAlign w:val="center"/>
          </w:tcPr>
          <w:p w14:paraId="72BC7584">
            <w:pPr>
              <w:adjustRightInd w:val="0"/>
              <w:snapToGrid w:val="0"/>
              <w:spacing w:line="240" w:lineRule="atLeast"/>
              <w:jc w:val="center"/>
              <w:rPr>
                <w:rFonts w:eastAsia="仿宋"/>
                <w:sz w:val="24"/>
                <w:szCs w:val="24"/>
              </w:rPr>
            </w:pPr>
            <w:r>
              <w:rPr>
                <w:rFonts w:hAnsi="仿宋" w:eastAsia="仿宋"/>
                <w:sz w:val="24"/>
                <w:szCs w:val="24"/>
              </w:rPr>
              <w:t>课程目标</w:t>
            </w:r>
          </w:p>
        </w:tc>
        <w:tc>
          <w:tcPr>
            <w:tcW w:w="4521" w:type="dxa"/>
            <w:gridSpan w:val="7"/>
            <w:tcBorders>
              <w:bottom w:val="single" w:color="auto" w:sz="4" w:space="0"/>
            </w:tcBorders>
            <w:shd w:val="clear" w:color="auto" w:fill="FFFFFF"/>
            <w:noWrap w:val="0"/>
            <w:vAlign w:val="center"/>
          </w:tcPr>
          <w:p w14:paraId="4528D5DE">
            <w:pPr>
              <w:adjustRightInd w:val="0"/>
              <w:snapToGrid w:val="0"/>
              <w:spacing w:line="240" w:lineRule="atLeast"/>
              <w:jc w:val="center"/>
              <w:rPr>
                <w:rFonts w:eastAsia="仿宋"/>
                <w:sz w:val="24"/>
                <w:szCs w:val="24"/>
              </w:rPr>
            </w:pPr>
            <w:r>
              <w:rPr>
                <w:rFonts w:hAnsi="仿宋" w:eastAsia="仿宋"/>
                <w:sz w:val="24"/>
                <w:szCs w:val="24"/>
              </w:rPr>
              <w:t>毕业要求分解指标点</w:t>
            </w:r>
          </w:p>
        </w:tc>
        <w:tc>
          <w:tcPr>
            <w:tcW w:w="2077" w:type="dxa"/>
            <w:gridSpan w:val="5"/>
            <w:tcBorders>
              <w:bottom w:val="single" w:color="auto" w:sz="4" w:space="0"/>
            </w:tcBorders>
            <w:shd w:val="clear" w:color="auto" w:fill="FFFFFF"/>
            <w:noWrap w:val="0"/>
            <w:vAlign w:val="center"/>
          </w:tcPr>
          <w:p w14:paraId="0B499FA1">
            <w:pPr>
              <w:adjustRightInd w:val="0"/>
              <w:snapToGrid w:val="0"/>
              <w:spacing w:line="240" w:lineRule="atLeast"/>
              <w:jc w:val="center"/>
              <w:rPr>
                <w:rFonts w:eastAsia="仿宋"/>
                <w:sz w:val="24"/>
                <w:szCs w:val="24"/>
              </w:rPr>
            </w:pPr>
            <w:r>
              <w:rPr>
                <w:rFonts w:hAnsi="仿宋" w:eastAsia="仿宋"/>
                <w:sz w:val="24"/>
                <w:szCs w:val="24"/>
              </w:rPr>
              <w:t>毕业要求</w:t>
            </w:r>
          </w:p>
        </w:tc>
      </w:tr>
      <w:tr w14:paraId="43428010">
        <w:trPr>
          <w:trHeight w:val="1817" w:hRule="atLeast"/>
          <w:jc w:val="center"/>
        </w:trPr>
        <w:tc>
          <w:tcPr>
            <w:tcW w:w="1423" w:type="dxa"/>
            <w:vMerge w:val="continue"/>
            <w:tcBorders>
              <w:bottom w:val="single" w:color="auto" w:sz="4" w:space="0"/>
            </w:tcBorders>
            <w:shd w:val="clear" w:color="auto" w:fill="FFFFFF"/>
            <w:noWrap w:val="0"/>
            <w:vAlign w:val="center"/>
          </w:tcPr>
          <w:p w14:paraId="3CAFD73E">
            <w:pPr>
              <w:adjustRightInd w:val="0"/>
              <w:snapToGrid w:val="0"/>
              <w:spacing w:line="240" w:lineRule="atLeast"/>
              <w:jc w:val="center"/>
              <w:rPr>
                <w:rFonts w:eastAsia="仿宋"/>
                <w:sz w:val="24"/>
                <w:szCs w:val="24"/>
              </w:rPr>
            </w:pPr>
          </w:p>
        </w:tc>
        <w:tc>
          <w:tcPr>
            <w:tcW w:w="1127" w:type="dxa"/>
            <w:gridSpan w:val="2"/>
            <w:tcBorders>
              <w:bottom w:val="single" w:color="auto" w:sz="4" w:space="0"/>
            </w:tcBorders>
            <w:shd w:val="clear" w:color="auto" w:fill="FFFFFF"/>
            <w:noWrap w:val="0"/>
            <w:vAlign w:val="center"/>
          </w:tcPr>
          <w:p w14:paraId="67429853">
            <w:pPr>
              <w:adjustRightInd w:val="0"/>
              <w:snapToGrid w:val="0"/>
              <w:jc w:val="center"/>
              <w:rPr>
                <w:rFonts w:eastAsia="仿宋"/>
                <w:sz w:val="24"/>
                <w:szCs w:val="24"/>
              </w:rPr>
            </w:pPr>
            <w:r>
              <w:rPr>
                <w:rFonts w:hAnsi="仿宋" w:eastAsia="仿宋"/>
                <w:sz w:val="24"/>
                <w:szCs w:val="24"/>
              </w:rPr>
              <w:t>课程目标</w:t>
            </w:r>
            <w:r>
              <w:rPr>
                <w:rFonts w:eastAsia="仿宋"/>
                <w:sz w:val="24"/>
                <w:szCs w:val="24"/>
              </w:rPr>
              <w:t>1</w:t>
            </w:r>
          </w:p>
        </w:tc>
        <w:tc>
          <w:tcPr>
            <w:tcW w:w="4521" w:type="dxa"/>
            <w:gridSpan w:val="7"/>
            <w:tcBorders>
              <w:bottom w:val="single" w:color="auto" w:sz="4" w:space="0"/>
            </w:tcBorders>
            <w:shd w:val="clear" w:color="auto" w:fill="FFFFFF"/>
            <w:noWrap w:val="0"/>
            <w:vAlign w:val="center"/>
          </w:tcPr>
          <w:p w14:paraId="41B25D70">
            <w:pPr>
              <w:adjustRightInd w:val="0"/>
              <w:snapToGrid w:val="0"/>
              <w:jc w:val="left"/>
              <w:rPr>
                <w:rFonts w:eastAsia="仿宋"/>
                <w:sz w:val="24"/>
                <w:szCs w:val="24"/>
              </w:rPr>
            </w:pPr>
            <w:r>
              <w:rPr>
                <w:rFonts w:eastAsia="仿宋"/>
                <w:kern w:val="0"/>
                <w:sz w:val="24"/>
                <w:szCs w:val="24"/>
              </w:rPr>
              <w:t>4.3</w:t>
            </w:r>
            <w:r>
              <w:rPr>
                <w:rFonts w:hAnsi="仿宋" w:eastAsia="仿宋"/>
                <w:kern w:val="0"/>
                <w:sz w:val="24"/>
                <w:szCs w:val="24"/>
              </w:rPr>
              <w:t>掌握基本的普通话语音知识和科学的发声方法，能够运用标准或比较标准的普通话进行一般口语表达和课堂教学</w:t>
            </w:r>
            <w:r>
              <w:rPr>
                <w:rFonts w:eastAsia="仿宋"/>
                <w:kern w:val="0"/>
                <w:sz w:val="24"/>
                <w:szCs w:val="24"/>
              </w:rPr>
              <w:t>;</w:t>
            </w:r>
            <w:r>
              <w:rPr>
                <w:rFonts w:hAnsi="仿宋" w:eastAsia="仿宋"/>
                <w:kern w:val="0"/>
                <w:sz w:val="24"/>
                <w:szCs w:val="24"/>
              </w:rPr>
              <w:t>掌握一般口语表达和职业口语表达技巧，能够在众人面前自信大方地说话和演讲，说话清晰、流畅，语态自然；能够在教学和教育工作中表达流畅、规范、得体，有一定应变能力。</w:t>
            </w:r>
          </w:p>
        </w:tc>
        <w:tc>
          <w:tcPr>
            <w:tcW w:w="2077" w:type="dxa"/>
            <w:gridSpan w:val="5"/>
            <w:tcBorders>
              <w:bottom w:val="single" w:color="auto" w:sz="4" w:space="0"/>
            </w:tcBorders>
            <w:shd w:val="clear" w:color="auto" w:fill="FFFFFF"/>
            <w:noWrap w:val="0"/>
            <w:vAlign w:val="center"/>
          </w:tcPr>
          <w:p w14:paraId="51747DE5">
            <w:pPr>
              <w:adjustRightInd w:val="0"/>
              <w:snapToGrid w:val="0"/>
              <w:jc w:val="center"/>
              <w:rPr>
                <w:rFonts w:eastAsia="仿宋"/>
                <w:bCs/>
                <w:sz w:val="24"/>
                <w:szCs w:val="24"/>
              </w:rPr>
            </w:pPr>
            <w:r>
              <w:rPr>
                <w:rFonts w:eastAsia="仿宋"/>
                <w:sz w:val="24"/>
                <w:szCs w:val="24"/>
              </w:rPr>
              <w:t>4</w:t>
            </w:r>
            <w:r>
              <w:rPr>
                <w:rFonts w:hAnsi="仿宋" w:eastAsia="仿宋"/>
                <w:sz w:val="24"/>
                <w:szCs w:val="24"/>
              </w:rPr>
              <w:t>保教能力</w:t>
            </w:r>
          </w:p>
          <w:p w14:paraId="3555AA35">
            <w:pPr>
              <w:adjustRightInd w:val="0"/>
              <w:snapToGrid w:val="0"/>
              <w:jc w:val="center"/>
              <w:rPr>
                <w:rFonts w:eastAsia="仿宋"/>
                <w:sz w:val="24"/>
                <w:szCs w:val="24"/>
              </w:rPr>
            </w:pPr>
          </w:p>
        </w:tc>
      </w:tr>
      <w:tr w14:paraId="26D9020D">
        <w:trPr>
          <w:trHeight w:val="1404" w:hRule="atLeast"/>
          <w:jc w:val="center"/>
        </w:trPr>
        <w:tc>
          <w:tcPr>
            <w:tcW w:w="1423" w:type="dxa"/>
            <w:vMerge w:val="continue"/>
            <w:shd w:val="clear" w:color="auto" w:fill="FFFFFF"/>
            <w:noWrap w:val="0"/>
            <w:vAlign w:val="center"/>
          </w:tcPr>
          <w:p w14:paraId="27E9BB6C">
            <w:pPr>
              <w:adjustRightInd w:val="0"/>
              <w:snapToGrid w:val="0"/>
              <w:spacing w:line="240" w:lineRule="atLeast"/>
              <w:jc w:val="center"/>
              <w:rPr>
                <w:rFonts w:eastAsia="仿宋"/>
                <w:sz w:val="24"/>
                <w:szCs w:val="24"/>
              </w:rPr>
            </w:pPr>
          </w:p>
        </w:tc>
        <w:tc>
          <w:tcPr>
            <w:tcW w:w="1127" w:type="dxa"/>
            <w:gridSpan w:val="2"/>
            <w:shd w:val="clear" w:color="auto" w:fill="FFFFFF"/>
            <w:noWrap w:val="0"/>
            <w:vAlign w:val="center"/>
          </w:tcPr>
          <w:p w14:paraId="0D36600F">
            <w:pPr>
              <w:adjustRightInd w:val="0"/>
              <w:snapToGrid w:val="0"/>
              <w:jc w:val="center"/>
              <w:rPr>
                <w:rFonts w:eastAsia="仿宋"/>
                <w:sz w:val="24"/>
                <w:szCs w:val="24"/>
              </w:rPr>
            </w:pPr>
            <w:r>
              <w:rPr>
                <w:rFonts w:hAnsi="仿宋" w:eastAsia="仿宋"/>
                <w:sz w:val="24"/>
                <w:szCs w:val="24"/>
              </w:rPr>
              <w:t>课程目标</w:t>
            </w:r>
            <w:r>
              <w:rPr>
                <w:rFonts w:eastAsia="仿宋"/>
                <w:sz w:val="24"/>
                <w:szCs w:val="24"/>
              </w:rPr>
              <w:t>2</w:t>
            </w:r>
          </w:p>
        </w:tc>
        <w:tc>
          <w:tcPr>
            <w:tcW w:w="4521" w:type="dxa"/>
            <w:gridSpan w:val="7"/>
            <w:shd w:val="clear" w:color="auto" w:fill="FFFFFF"/>
            <w:noWrap w:val="0"/>
            <w:vAlign w:val="center"/>
          </w:tcPr>
          <w:p w14:paraId="4E964FC7">
            <w:pPr>
              <w:adjustRightInd w:val="0"/>
              <w:snapToGrid w:val="0"/>
              <w:rPr>
                <w:rFonts w:eastAsia="仿宋"/>
                <w:sz w:val="24"/>
                <w:szCs w:val="24"/>
              </w:rPr>
            </w:pPr>
            <w:r>
              <w:rPr>
                <w:rFonts w:eastAsia="仿宋"/>
                <w:sz w:val="24"/>
                <w:szCs w:val="24"/>
              </w:rPr>
              <w:t>2.2</w:t>
            </w:r>
            <w:r>
              <w:rPr>
                <w:rFonts w:hAnsi="仿宋" w:eastAsia="仿宋"/>
                <w:sz w:val="24"/>
                <w:szCs w:val="24"/>
              </w:rPr>
              <w:t>热爱教师职业，具有良好的教育情怀。</w:t>
            </w:r>
            <w:r>
              <w:rPr>
                <w:rFonts w:hAnsi="仿宋" w:eastAsia="仿宋"/>
                <w:kern w:val="0"/>
                <w:sz w:val="24"/>
                <w:szCs w:val="24"/>
              </w:rPr>
              <w:t>以学生为本，师生沟通中尊重学生人格，关心学生成长。</w:t>
            </w:r>
            <w:r>
              <w:rPr>
                <w:rFonts w:hAnsi="仿宋" w:eastAsia="仿宋"/>
                <w:sz w:val="24"/>
                <w:szCs w:val="24"/>
              </w:rPr>
              <w:t>在教师口语表达中具有积极的情感、端正的态度。</w:t>
            </w:r>
          </w:p>
        </w:tc>
        <w:tc>
          <w:tcPr>
            <w:tcW w:w="2077" w:type="dxa"/>
            <w:gridSpan w:val="5"/>
            <w:shd w:val="clear" w:color="auto" w:fill="FFFFFF"/>
            <w:noWrap w:val="0"/>
            <w:vAlign w:val="center"/>
          </w:tcPr>
          <w:p w14:paraId="2905545F">
            <w:pPr>
              <w:adjustRightInd w:val="0"/>
              <w:snapToGrid w:val="0"/>
              <w:jc w:val="center"/>
              <w:rPr>
                <w:rFonts w:eastAsia="仿宋"/>
                <w:sz w:val="24"/>
                <w:szCs w:val="24"/>
              </w:rPr>
            </w:pPr>
            <w:r>
              <w:rPr>
                <w:rFonts w:eastAsia="仿宋"/>
                <w:sz w:val="24"/>
                <w:szCs w:val="24"/>
              </w:rPr>
              <w:t>2</w:t>
            </w:r>
            <w:r>
              <w:rPr>
                <w:rFonts w:hAnsi="仿宋" w:eastAsia="仿宋"/>
                <w:sz w:val="24"/>
                <w:szCs w:val="24"/>
              </w:rPr>
              <w:t>教育情怀</w:t>
            </w:r>
          </w:p>
          <w:p w14:paraId="072056FC">
            <w:pPr>
              <w:adjustRightInd w:val="0"/>
              <w:snapToGrid w:val="0"/>
              <w:jc w:val="center"/>
              <w:rPr>
                <w:rFonts w:eastAsia="仿宋"/>
                <w:sz w:val="24"/>
                <w:szCs w:val="24"/>
              </w:rPr>
            </w:pPr>
          </w:p>
        </w:tc>
      </w:tr>
      <w:tr w14:paraId="0B39E312">
        <w:trPr>
          <w:trHeight w:val="968" w:hRule="atLeast"/>
          <w:jc w:val="center"/>
        </w:trPr>
        <w:tc>
          <w:tcPr>
            <w:tcW w:w="1423" w:type="dxa"/>
            <w:vMerge w:val="continue"/>
            <w:shd w:val="clear" w:color="auto" w:fill="FFFFFF"/>
            <w:noWrap w:val="0"/>
            <w:vAlign w:val="center"/>
          </w:tcPr>
          <w:p w14:paraId="34FBDBB9">
            <w:pPr>
              <w:adjustRightInd w:val="0"/>
              <w:snapToGrid w:val="0"/>
              <w:spacing w:line="240" w:lineRule="atLeast"/>
              <w:jc w:val="center"/>
              <w:rPr>
                <w:rFonts w:eastAsia="仿宋"/>
                <w:sz w:val="24"/>
                <w:szCs w:val="24"/>
              </w:rPr>
            </w:pPr>
          </w:p>
        </w:tc>
        <w:tc>
          <w:tcPr>
            <w:tcW w:w="1127" w:type="dxa"/>
            <w:gridSpan w:val="2"/>
            <w:tcBorders>
              <w:bottom w:val="single" w:color="auto" w:sz="4" w:space="0"/>
            </w:tcBorders>
            <w:shd w:val="clear" w:color="auto" w:fill="FFFFFF"/>
            <w:noWrap w:val="0"/>
            <w:vAlign w:val="center"/>
          </w:tcPr>
          <w:p w14:paraId="7480A4BD">
            <w:pPr>
              <w:adjustRightInd w:val="0"/>
              <w:snapToGrid w:val="0"/>
              <w:jc w:val="center"/>
              <w:rPr>
                <w:rFonts w:eastAsia="仿宋"/>
                <w:sz w:val="24"/>
                <w:szCs w:val="24"/>
              </w:rPr>
            </w:pPr>
            <w:r>
              <w:rPr>
                <w:rFonts w:hAnsi="仿宋" w:eastAsia="仿宋"/>
                <w:sz w:val="24"/>
                <w:szCs w:val="24"/>
              </w:rPr>
              <w:t>课程目标</w:t>
            </w:r>
            <w:r>
              <w:rPr>
                <w:rFonts w:eastAsia="仿宋"/>
                <w:sz w:val="24"/>
                <w:szCs w:val="24"/>
              </w:rPr>
              <w:t>3</w:t>
            </w:r>
          </w:p>
        </w:tc>
        <w:tc>
          <w:tcPr>
            <w:tcW w:w="4521" w:type="dxa"/>
            <w:gridSpan w:val="7"/>
            <w:tcBorders>
              <w:bottom w:val="single" w:color="auto" w:sz="4" w:space="0"/>
            </w:tcBorders>
            <w:shd w:val="clear" w:color="auto" w:fill="FFFFFF"/>
            <w:noWrap w:val="0"/>
            <w:vAlign w:val="center"/>
          </w:tcPr>
          <w:p w14:paraId="1D5489F5">
            <w:pPr>
              <w:adjustRightInd w:val="0"/>
              <w:snapToGrid w:val="0"/>
              <w:rPr>
                <w:rFonts w:eastAsia="仿宋"/>
                <w:sz w:val="24"/>
                <w:szCs w:val="24"/>
              </w:rPr>
            </w:pPr>
            <w:r>
              <w:rPr>
                <w:rFonts w:eastAsia="仿宋"/>
                <w:sz w:val="24"/>
                <w:szCs w:val="24"/>
              </w:rPr>
              <w:t>8.2</w:t>
            </w:r>
            <w:r>
              <w:rPr>
                <w:rFonts w:hAnsi="仿宋" w:eastAsia="仿宋"/>
                <w:sz w:val="24"/>
                <w:szCs w:val="24"/>
              </w:rPr>
              <w:t>掌握人际沟通技巧，能够积极主动与他人进行交流，具备良好的人际沟通能力和团队协作精神。</w:t>
            </w:r>
          </w:p>
        </w:tc>
        <w:tc>
          <w:tcPr>
            <w:tcW w:w="2077" w:type="dxa"/>
            <w:gridSpan w:val="5"/>
            <w:tcBorders>
              <w:bottom w:val="single" w:color="auto" w:sz="4" w:space="0"/>
            </w:tcBorders>
            <w:shd w:val="clear" w:color="auto" w:fill="FFFFFF"/>
            <w:noWrap w:val="0"/>
            <w:vAlign w:val="center"/>
          </w:tcPr>
          <w:p w14:paraId="03AD1095">
            <w:pPr>
              <w:adjustRightInd w:val="0"/>
              <w:snapToGrid w:val="0"/>
              <w:jc w:val="center"/>
              <w:rPr>
                <w:rFonts w:eastAsia="仿宋"/>
                <w:sz w:val="24"/>
                <w:szCs w:val="24"/>
              </w:rPr>
            </w:pPr>
            <w:r>
              <w:rPr>
                <w:rFonts w:eastAsia="仿宋"/>
                <w:sz w:val="24"/>
                <w:szCs w:val="24"/>
              </w:rPr>
              <w:t>8</w:t>
            </w:r>
            <w:r>
              <w:rPr>
                <w:rFonts w:hAnsi="仿宋" w:eastAsia="仿宋"/>
                <w:sz w:val="24"/>
                <w:szCs w:val="24"/>
              </w:rPr>
              <w:t>沟通合作</w:t>
            </w:r>
          </w:p>
        </w:tc>
      </w:tr>
      <w:tr w14:paraId="3B9B66FE">
        <w:trPr>
          <w:trHeight w:val="582" w:hRule="atLeast"/>
          <w:jc w:val="center"/>
        </w:trPr>
        <w:tc>
          <w:tcPr>
            <w:tcW w:w="1423" w:type="dxa"/>
            <w:vMerge w:val="restart"/>
            <w:shd w:val="clear" w:color="auto" w:fill="FFFFFF"/>
            <w:noWrap w:val="0"/>
            <w:vAlign w:val="center"/>
          </w:tcPr>
          <w:p w14:paraId="004733F9">
            <w:pPr>
              <w:adjustRightInd w:val="0"/>
              <w:snapToGrid w:val="0"/>
              <w:spacing w:line="240" w:lineRule="atLeast"/>
              <w:jc w:val="center"/>
              <w:rPr>
                <w:rFonts w:eastAsia="仿宋"/>
                <w:sz w:val="24"/>
                <w:szCs w:val="24"/>
              </w:rPr>
            </w:pPr>
            <w:r>
              <w:rPr>
                <w:rFonts w:eastAsia="仿宋"/>
                <w:sz w:val="24"/>
                <w:szCs w:val="24"/>
              </w:rPr>
              <w:t>F</w:t>
            </w:r>
          </w:p>
          <w:p w14:paraId="3B5059DA">
            <w:pPr>
              <w:adjustRightInd w:val="0"/>
              <w:snapToGrid w:val="0"/>
              <w:spacing w:line="240" w:lineRule="atLeast"/>
              <w:jc w:val="center"/>
              <w:rPr>
                <w:rFonts w:eastAsia="仿宋"/>
                <w:sz w:val="24"/>
                <w:szCs w:val="24"/>
              </w:rPr>
            </w:pPr>
            <w:r>
              <w:rPr>
                <w:rFonts w:hAnsi="仿宋" w:eastAsia="仿宋"/>
                <w:sz w:val="24"/>
                <w:szCs w:val="24"/>
              </w:rPr>
              <w:t>理论学习内容</w:t>
            </w:r>
          </w:p>
        </w:tc>
        <w:tc>
          <w:tcPr>
            <w:tcW w:w="5648" w:type="dxa"/>
            <w:gridSpan w:val="9"/>
            <w:shd w:val="clear" w:color="auto" w:fill="FFFFFF"/>
            <w:noWrap w:val="0"/>
            <w:vAlign w:val="center"/>
          </w:tcPr>
          <w:p w14:paraId="0DD19A5E">
            <w:pPr>
              <w:adjustRightInd w:val="0"/>
              <w:snapToGrid w:val="0"/>
              <w:spacing w:line="240" w:lineRule="atLeast"/>
              <w:jc w:val="center"/>
              <w:textAlignment w:val="baseline"/>
              <w:rPr>
                <w:rFonts w:eastAsia="仿宋"/>
                <w:kern w:val="0"/>
                <w:sz w:val="24"/>
                <w:szCs w:val="24"/>
              </w:rPr>
            </w:pPr>
            <w:r>
              <w:rPr>
                <w:rFonts w:hAnsi="仿宋" w:eastAsia="仿宋"/>
                <w:kern w:val="0"/>
                <w:sz w:val="24"/>
                <w:szCs w:val="24"/>
              </w:rPr>
              <w:t>章节学习内容与学习要求</w:t>
            </w:r>
          </w:p>
        </w:tc>
        <w:tc>
          <w:tcPr>
            <w:tcW w:w="1153" w:type="dxa"/>
            <w:gridSpan w:val="3"/>
            <w:shd w:val="clear" w:color="auto" w:fill="FFFFFF"/>
            <w:noWrap w:val="0"/>
            <w:vAlign w:val="center"/>
          </w:tcPr>
          <w:p w14:paraId="6BDB768D">
            <w:pPr>
              <w:adjustRightInd w:val="0"/>
              <w:snapToGrid w:val="0"/>
              <w:spacing w:line="240" w:lineRule="atLeast"/>
              <w:jc w:val="center"/>
              <w:textAlignment w:val="baseline"/>
              <w:rPr>
                <w:rFonts w:eastAsia="仿宋"/>
                <w:kern w:val="0"/>
                <w:sz w:val="24"/>
                <w:szCs w:val="24"/>
              </w:rPr>
            </w:pPr>
            <w:r>
              <w:rPr>
                <w:rFonts w:hAnsi="仿宋" w:eastAsia="仿宋"/>
                <w:kern w:val="0"/>
                <w:sz w:val="24"/>
                <w:szCs w:val="24"/>
              </w:rPr>
              <w:t>支撑课程</w:t>
            </w:r>
          </w:p>
          <w:p w14:paraId="70EBC85E">
            <w:pPr>
              <w:adjustRightInd w:val="0"/>
              <w:snapToGrid w:val="0"/>
              <w:spacing w:line="240" w:lineRule="atLeast"/>
              <w:jc w:val="center"/>
              <w:textAlignment w:val="baseline"/>
              <w:rPr>
                <w:rFonts w:eastAsia="仿宋"/>
                <w:kern w:val="0"/>
                <w:sz w:val="24"/>
                <w:szCs w:val="24"/>
              </w:rPr>
            </w:pPr>
            <w:r>
              <w:rPr>
                <w:rFonts w:hAnsi="仿宋" w:eastAsia="仿宋"/>
                <w:kern w:val="0"/>
                <w:sz w:val="24"/>
                <w:szCs w:val="24"/>
              </w:rPr>
              <w:t>目标</w:t>
            </w:r>
          </w:p>
        </w:tc>
        <w:tc>
          <w:tcPr>
            <w:tcW w:w="924" w:type="dxa"/>
            <w:gridSpan w:val="2"/>
            <w:shd w:val="clear" w:color="auto" w:fill="FFFFFF"/>
            <w:noWrap w:val="0"/>
            <w:vAlign w:val="center"/>
          </w:tcPr>
          <w:p w14:paraId="6F5D7AB6">
            <w:pPr>
              <w:adjustRightInd w:val="0"/>
              <w:snapToGrid w:val="0"/>
              <w:spacing w:line="240" w:lineRule="atLeast"/>
              <w:jc w:val="center"/>
              <w:textAlignment w:val="baseline"/>
              <w:rPr>
                <w:rFonts w:eastAsia="仿宋"/>
                <w:kern w:val="0"/>
                <w:sz w:val="24"/>
                <w:szCs w:val="24"/>
              </w:rPr>
            </w:pPr>
            <w:r>
              <w:rPr>
                <w:rFonts w:hAnsi="仿宋" w:eastAsia="仿宋"/>
                <w:kern w:val="0"/>
                <w:sz w:val="24"/>
                <w:szCs w:val="24"/>
              </w:rPr>
              <w:t>学时</w:t>
            </w:r>
          </w:p>
          <w:p w14:paraId="2FA48090">
            <w:pPr>
              <w:adjustRightInd w:val="0"/>
              <w:snapToGrid w:val="0"/>
              <w:spacing w:line="240" w:lineRule="atLeast"/>
              <w:jc w:val="center"/>
              <w:textAlignment w:val="baseline"/>
              <w:rPr>
                <w:rFonts w:eastAsia="仿宋"/>
                <w:kern w:val="0"/>
                <w:sz w:val="24"/>
                <w:szCs w:val="24"/>
              </w:rPr>
            </w:pPr>
            <w:r>
              <w:rPr>
                <w:rFonts w:hAnsi="仿宋" w:eastAsia="仿宋"/>
                <w:kern w:val="0"/>
                <w:sz w:val="24"/>
                <w:szCs w:val="24"/>
              </w:rPr>
              <w:t>分配</w:t>
            </w:r>
          </w:p>
        </w:tc>
      </w:tr>
      <w:tr w14:paraId="4D907170">
        <w:trPr>
          <w:trHeight w:val="2284" w:hRule="atLeast"/>
          <w:jc w:val="center"/>
        </w:trPr>
        <w:tc>
          <w:tcPr>
            <w:tcW w:w="1423" w:type="dxa"/>
            <w:vMerge w:val="continue"/>
            <w:shd w:val="clear" w:color="auto" w:fill="FFFFFF"/>
            <w:noWrap w:val="0"/>
            <w:vAlign w:val="center"/>
          </w:tcPr>
          <w:p w14:paraId="40D33CF5">
            <w:pPr>
              <w:adjustRightInd w:val="0"/>
              <w:snapToGrid w:val="0"/>
              <w:spacing w:line="240" w:lineRule="atLeast"/>
              <w:jc w:val="right"/>
              <w:rPr>
                <w:rFonts w:eastAsia="仿宋"/>
                <w:sz w:val="24"/>
                <w:szCs w:val="24"/>
              </w:rPr>
            </w:pPr>
          </w:p>
        </w:tc>
        <w:tc>
          <w:tcPr>
            <w:tcW w:w="5648" w:type="dxa"/>
            <w:gridSpan w:val="9"/>
            <w:shd w:val="clear" w:color="auto" w:fill="auto"/>
            <w:noWrap w:val="0"/>
            <w:vAlign w:val="center"/>
          </w:tcPr>
          <w:p w14:paraId="0236C47F">
            <w:pPr>
              <w:adjustRightInd w:val="0"/>
              <w:snapToGrid w:val="0"/>
              <w:rPr>
                <w:rFonts w:eastAsia="仿宋"/>
                <w:bCs/>
                <w:sz w:val="24"/>
                <w:szCs w:val="24"/>
              </w:rPr>
            </w:pPr>
            <w:r>
              <w:rPr>
                <w:rFonts w:hAnsi="仿宋" w:eastAsia="仿宋"/>
                <w:bCs/>
                <w:sz w:val="24"/>
                <w:szCs w:val="24"/>
              </w:rPr>
              <w:t>第一章</w:t>
            </w:r>
            <w:r>
              <w:rPr>
                <w:rFonts w:eastAsia="仿宋"/>
                <w:bCs/>
                <w:sz w:val="24"/>
                <w:szCs w:val="24"/>
              </w:rPr>
              <w:t xml:space="preserve">  </w:t>
            </w:r>
            <w:r>
              <w:rPr>
                <w:rFonts w:hAnsi="仿宋" w:eastAsia="仿宋"/>
                <w:bCs/>
                <w:sz w:val="24"/>
                <w:szCs w:val="24"/>
              </w:rPr>
              <w:t>教师口语与发声技能训练</w:t>
            </w:r>
          </w:p>
          <w:p w14:paraId="238927C1">
            <w:pPr>
              <w:adjustRightInd w:val="0"/>
              <w:snapToGrid w:val="0"/>
              <w:ind w:firstLine="480" w:firstLineChars="200"/>
              <w:rPr>
                <w:rFonts w:eastAsia="仿宋"/>
                <w:bCs/>
                <w:sz w:val="24"/>
                <w:szCs w:val="24"/>
              </w:rPr>
            </w:pPr>
            <w:r>
              <w:rPr>
                <w:rFonts w:hAnsi="仿宋" w:eastAsia="仿宋"/>
                <w:bCs/>
                <w:sz w:val="24"/>
                <w:szCs w:val="24"/>
              </w:rPr>
              <w:t>知道层面：教师口语的内涵与特点；语音的基本概念；发声技能：气息控制、共鸣控制、吐字归音。</w:t>
            </w:r>
          </w:p>
          <w:p w14:paraId="410B054F">
            <w:pPr>
              <w:adjustRightInd w:val="0"/>
              <w:snapToGrid w:val="0"/>
              <w:ind w:firstLine="480" w:firstLineChars="200"/>
              <w:rPr>
                <w:rFonts w:eastAsia="仿宋"/>
                <w:bCs/>
                <w:sz w:val="24"/>
                <w:szCs w:val="24"/>
              </w:rPr>
            </w:pPr>
            <w:r>
              <w:rPr>
                <w:rFonts w:hAnsi="仿宋" w:eastAsia="仿宋"/>
                <w:bCs/>
                <w:sz w:val="24"/>
                <w:szCs w:val="24"/>
              </w:rPr>
              <w:t>领会层面：普通话发音器官和发音原理，科学的发声方法和训练步骤。</w:t>
            </w:r>
          </w:p>
          <w:p w14:paraId="75CBB4DC">
            <w:pPr>
              <w:adjustRightInd w:val="0"/>
              <w:snapToGrid w:val="0"/>
              <w:ind w:firstLine="480" w:firstLineChars="200"/>
              <w:rPr>
                <w:rFonts w:eastAsia="仿宋"/>
                <w:bCs/>
                <w:sz w:val="24"/>
                <w:szCs w:val="24"/>
              </w:rPr>
            </w:pPr>
            <w:r>
              <w:rPr>
                <w:rFonts w:hAnsi="仿宋" w:eastAsia="仿宋"/>
                <w:bCs/>
                <w:sz w:val="24"/>
                <w:szCs w:val="24"/>
              </w:rPr>
              <w:t>运用层面：口语表达中自然运用发声技能，使说话声音响亮、清晰。</w:t>
            </w:r>
          </w:p>
        </w:tc>
        <w:tc>
          <w:tcPr>
            <w:tcW w:w="1153" w:type="dxa"/>
            <w:gridSpan w:val="3"/>
            <w:shd w:val="clear" w:color="auto" w:fill="auto"/>
            <w:noWrap w:val="0"/>
            <w:vAlign w:val="center"/>
          </w:tcPr>
          <w:p w14:paraId="2CE90B30">
            <w:pPr>
              <w:widowControl/>
              <w:adjustRightInd w:val="0"/>
              <w:snapToGrid w:val="0"/>
              <w:jc w:val="center"/>
              <w:rPr>
                <w:rFonts w:eastAsia="仿宋"/>
                <w:bCs/>
                <w:sz w:val="24"/>
                <w:szCs w:val="24"/>
              </w:rPr>
            </w:pPr>
            <w:r>
              <w:rPr>
                <w:rFonts w:hAnsi="仿宋" w:eastAsia="仿宋"/>
                <w:bCs/>
                <w:sz w:val="24"/>
                <w:szCs w:val="24"/>
              </w:rPr>
              <w:t>支撑课程目标</w:t>
            </w:r>
            <w:r>
              <w:rPr>
                <w:rFonts w:eastAsia="仿宋"/>
                <w:bCs/>
                <w:sz w:val="24"/>
                <w:szCs w:val="24"/>
              </w:rPr>
              <w:t>1</w:t>
            </w:r>
            <w:r>
              <w:rPr>
                <w:rFonts w:hAnsi="仿宋" w:eastAsia="仿宋"/>
                <w:bCs/>
                <w:sz w:val="24"/>
                <w:szCs w:val="24"/>
              </w:rPr>
              <w:t>、</w:t>
            </w:r>
            <w:r>
              <w:rPr>
                <w:rFonts w:eastAsia="仿宋"/>
                <w:bCs/>
                <w:sz w:val="24"/>
                <w:szCs w:val="24"/>
              </w:rPr>
              <w:t>3</w:t>
            </w:r>
          </w:p>
        </w:tc>
        <w:tc>
          <w:tcPr>
            <w:tcW w:w="924" w:type="dxa"/>
            <w:gridSpan w:val="2"/>
            <w:shd w:val="clear" w:color="auto" w:fill="FFFFFF"/>
            <w:noWrap w:val="0"/>
            <w:vAlign w:val="center"/>
          </w:tcPr>
          <w:p w14:paraId="35DB8D6E">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1</w:t>
            </w:r>
          </w:p>
        </w:tc>
      </w:tr>
      <w:tr w14:paraId="4338C95E">
        <w:trPr>
          <w:trHeight w:val="822" w:hRule="atLeast"/>
          <w:jc w:val="center"/>
        </w:trPr>
        <w:tc>
          <w:tcPr>
            <w:tcW w:w="1423" w:type="dxa"/>
            <w:vMerge w:val="continue"/>
            <w:shd w:val="clear" w:color="auto" w:fill="FFFFFF"/>
            <w:noWrap w:val="0"/>
            <w:vAlign w:val="center"/>
          </w:tcPr>
          <w:p w14:paraId="1F488EDF">
            <w:pPr>
              <w:adjustRightInd w:val="0"/>
              <w:snapToGrid w:val="0"/>
              <w:spacing w:line="240" w:lineRule="atLeast"/>
              <w:jc w:val="right"/>
              <w:rPr>
                <w:rFonts w:eastAsia="仿宋"/>
                <w:sz w:val="24"/>
                <w:szCs w:val="24"/>
              </w:rPr>
            </w:pPr>
          </w:p>
        </w:tc>
        <w:tc>
          <w:tcPr>
            <w:tcW w:w="5648" w:type="dxa"/>
            <w:gridSpan w:val="9"/>
            <w:shd w:val="clear" w:color="auto" w:fill="auto"/>
            <w:noWrap w:val="0"/>
            <w:vAlign w:val="center"/>
          </w:tcPr>
          <w:p w14:paraId="0CDEF2E9">
            <w:pPr>
              <w:adjustRightInd w:val="0"/>
              <w:snapToGrid w:val="0"/>
              <w:rPr>
                <w:rFonts w:eastAsia="仿宋"/>
                <w:bCs/>
                <w:sz w:val="24"/>
                <w:szCs w:val="24"/>
              </w:rPr>
            </w:pPr>
            <w:r>
              <w:rPr>
                <w:rFonts w:hAnsi="仿宋" w:eastAsia="仿宋"/>
                <w:bCs/>
                <w:sz w:val="24"/>
                <w:szCs w:val="24"/>
              </w:rPr>
              <w:t>第二章</w:t>
            </w:r>
            <w:r>
              <w:rPr>
                <w:rFonts w:eastAsia="仿宋"/>
                <w:bCs/>
                <w:sz w:val="24"/>
                <w:szCs w:val="24"/>
              </w:rPr>
              <w:t xml:space="preserve"> </w:t>
            </w:r>
            <w:r>
              <w:rPr>
                <w:rFonts w:hAnsi="仿宋" w:eastAsia="仿宋"/>
                <w:bCs/>
                <w:sz w:val="24"/>
                <w:szCs w:val="24"/>
              </w:rPr>
              <w:t>普通话训练</w:t>
            </w:r>
          </w:p>
          <w:p w14:paraId="0D169DC0">
            <w:pPr>
              <w:adjustRightInd w:val="0"/>
              <w:snapToGrid w:val="0"/>
              <w:ind w:firstLine="480" w:firstLineChars="200"/>
              <w:rPr>
                <w:rFonts w:eastAsia="仿宋"/>
                <w:bCs/>
                <w:sz w:val="24"/>
                <w:szCs w:val="24"/>
              </w:rPr>
            </w:pPr>
            <w:r>
              <w:rPr>
                <w:rFonts w:hAnsi="仿宋" w:eastAsia="仿宋"/>
                <w:bCs/>
                <w:sz w:val="24"/>
                <w:szCs w:val="24"/>
              </w:rPr>
              <w:t>知道层面：普通话</w:t>
            </w:r>
            <w:r>
              <w:rPr>
                <w:rFonts w:eastAsia="仿宋"/>
                <w:bCs/>
                <w:sz w:val="24"/>
                <w:szCs w:val="24"/>
              </w:rPr>
              <w:t>21</w:t>
            </w:r>
            <w:r>
              <w:rPr>
                <w:rFonts w:hAnsi="仿宋" w:eastAsia="仿宋"/>
                <w:bCs/>
                <w:sz w:val="24"/>
                <w:szCs w:val="24"/>
              </w:rPr>
              <w:t>个声母的发音部位和发音方法；普通话</w:t>
            </w:r>
            <w:r>
              <w:rPr>
                <w:rFonts w:eastAsia="仿宋"/>
                <w:bCs/>
                <w:sz w:val="24"/>
                <w:szCs w:val="24"/>
              </w:rPr>
              <w:t>39</w:t>
            </w:r>
            <w:r>
              <w:rPr>
                <w:rFonts w:hAnsi="仿宋" w:eastAsia="仿宋"/>
                <w:bCs/>
                <w:sz w:val="24"/>
                <w:szCs w:val="24"/>
              </w:rPr>
              <w:t>个韵母的发音部位和发音方法；普通话声调的发音特点；轻声、儿化等语流音变现象；普通话水平测试的目的要求、评分细则。</w:t>
            </w:r>
          </w:p>
          <w:p w14:paraId="6DAAE90C">
            <w:pPr>
              <w:adjustRightInd w:val="0"/>
              <w:snapToGrid w:val="0"/>
              <w:ind w:firstLine="480" w:firstLineChars="200"/>
              <w:rPr>
                <w:rFonts w:eastAsia="仿宋"/>
                <w:bCs/>
                <w:sz w:val="24"/>
                <w:szCs w:val="24"/>
              </w:rPr>
            </w:pPr>
            <w:r>
              <w:rPr>
                <w:rFonts w:hAnsi="仿宋" w:eastAsia="仿宋"/>
                <w:bCs/>
                <w:sz w:val="24"/>
                <w:szCs w:val="24"/>
              </w:rPr>
              <w:t>领会层面：普通话声母、韵母、声调的发音原理，平翘舌音、前后鼻音的辨正；轻声、儿化等语流音变的发音规律；普通话水平测试的应试技巧。</w:t>
            </w:r>
          </w:p>
          <w:p w14:paraId="14795A60">
            <w:pPr>
              <w:adjustRightInd w:val="0"/>
              <w:snapToGrid w:val="0"/>
              <w:ind w:firstLine="480" w:firstLineChars="200"/>
              <w:rPr>
                <w:rFonts w:eastAsia="仿宋"/>
                <w:bCs/>
                <w:sz w:val="24"/>
                <w:szCs w:val="24"/>
              </w:rPr>
            </w:pPr>
            <w:r>
              <w:rPr>
                <w:rFonts w:hAnsi="仿宋" w:eastAsia="仿宋"/>
                <w:bCs/>
                <w:sz w:val="24"/>
                <w:szCs w:val="24"/>
              </w:rPr>
              <w:t>运用层面：能够运用标准或比较标准的普通话进行口语表达。</w:t>
            </w:r>
          </w:p>
        </w:tc>
        <w:tc>
          <w:tcPr>
            <w:tcW w:w="1153" w:type="dxa"/>
            <w:gridSpan w:val="3"/>
            <w:shd w:val="clear" w:color="auto" w:fill="auto"/>
            <w:noWrap w:val="0"/>
            <w:vAlign w:val="center"/>
          </w:tcPr>
          <w:p w14:paraId="4BDCA0F0">
            <w:pPr>
              <w:widowControl/>
              <w:adjustRightInd w:val="0"/>
              <w:snapToGrid w:val="0"/>
              <w:jc w:val="center"/>
              <w:rPr>
                <w:rFonts w:eastAsia="仿宋"/>
                <w:bCs/>
                <w:sz w:val="24"/>
                <w:szCs w:val="24"/>
              </w:rPr>
            </w:pPr>
            <w:r>
              <w:rPr>
                <w:rFonts w:hAnsi="仿宋" w:eastAsia="仿宋"/>
                <w:bCs/>
                <w:sz w:val="24"/>
                <w:szCs w:val="24"/>
              </w:rPr>
              <w:t>支撑课程目标</w:t>
            </w:r>
            <w:r>
              <w:rPr>
                <w:rFonts w:eastAsia="仿宋"/>
                <w:bCs/>
                <w:sz w:val="24"/>
                <w:szCs w:val="24"/>
              </w:rPr>
              <w:t>1</w:t>
            </w:r>
            <w:r>
              <w:rPr>
                <w:rFonts w:hAnsi="仿宋" w:eastAsia="仿宋"/>
                <w:bCs/>
                <w:sz w:val="24"/>
                <w:szCs w:val="24"/>
              </w:rPr>
              <w:t>、</w:t>
            </w:r>
            <w:r>
              <w:rPr>
                <w:rFonts w:eastAsia="仿宋"/>
                <w:bCs/>
                <w:sz w:val="24"/>
                <w:szCs w:val="24"/>
              </w:rPr>
              <w:t>3</w:t>
            </w:r>
          </w:p>
        </w:tc>
        <w:tc>
          <w:tcPr>
            <w:tcW w:w="924" w:type="dxa"/>
            <w:gridSpan w:val="2"/>
            <w:shd w:val="clear" w:color="auto" w:fill="FFFFFF"/>
            <w:noWrap w:val="0"/>
            <w:vAlign w:val="center"/>
          </w:tcPr>
          <w:p w14:paraId="10C41C29">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7</w:t>
            </w:r>
          </w:p>
        </w:tc>
      </w:tr>
      <w:tr w14:paraId="72C016D5">
        <w:trPr>
          <w:trHeight w:val="3750" w:hRule="atLeast"/>
          <w:jc w:val="center"/>
        </w:trPr>
        <w:tc>
          <w:tcPr>
            <w:tcW w:w="1423" w:type="dxa"/>
            <w:vMerge w:val="continue"/>
            <w:shd w:val="clear" w:color="auto" w:fill="FFFFFF"/>
            <w:noWrap w:val="0"/>
            <w:vAlign w:val="center"/>
          </w:tcPr>
          <w:p w14:paraId="5F3B36B1">
            <w:pPr>
              <w:adjustRightInd w:val="0"/>
              <w:snapToGrid w:val="0"/>
              <w:spacing w:line="240" w:lineRule="atLeast"/>
              <w:jc w:val="right"/>
              <w:rPr>
                <w:rFonts w:eastAsia="仿宋"/>
                <w:sz w:val="24"/>
                <w:szCs w:val="24"/>
              </w:rPr>
            </w:pPr>
          </w:p>
        </w:tc>
        <w:tc>
          <w:tcPr>
            <w:tcW w:w="5648" w:type="dxa"/>
            <w:gridSpan w:val="9"/>
            <w:shd w:val="clear" w:color="auto" w:fill="auto"/>
            <w:noWrap w:val="0"/>
            <w:vAlign w:val="center"/>
          </w:tcPr>
          <w:p w14:paraId="00CA2E54">
            <w:pPr>
              <w:adjustRightInd w:val="0"/>
              <w:snapToGrid w:val="0"/>
              <w:rPr>
                <w:rFonts w:eastAsia="仿宋"/>
                <w:bCs/>
                <w:sz w:val="24"/>
                <w:szCs w:val="24"/>
              </w:rPr>
            </w:pPr>
            <w:r>
              <w:rPr>
                <w:rFonts w:hAnsi="仿宋" w:eastAsia="仿宋"/>
                <w:bCs/>
                <w:sz w:val="24"/>
                <w:szCs w:val="24"/>
              </w:rPr>
              <w:t>第三章</w:t>
            </w:r>
            <w:r>
              <w:rPr>
                <w:rFonts w:eastAsia="仿宋"/>
                <w:bCs/>
                <w:sz w:val="24"/>
                <w:szCs w:val="24"/>
              </w:rPr>
              <w:t xml:space="preserve"> </w:t>
            </w:r>
            <w:r>
              <w:rPr>
                <w:rFonts w:hAnsi="仿宋" w:eastAsia="仿宋"/>
                <w:bCs/>
                <w:sz w:val="24"/>
                <w:szCs w:val="24"/>
              </w:rPr>
              <w:t>朗读技能训练</w:t>
            </w:r>
          </w:p>
          <w:p w14:paraId="18E37569">
            <w:pPr>
              <w:adjustRightInd w:val="0"/>
              <w:snapToGrid w:val="0"/>
              <w:ind w:firstLine="480" w:firstLineChars="200"/>
              <w:rPr>
                <w:rFonts w:eastAsia="仿宋"/>
                <w:bCs/>
                <w:sz w:val="24"/>
                <w:szCs w:val="24"/>
              </w:rPr>
            </w:pPr>
            <w:r>
              <w:rPr>
                <w:rFonts w:hAnsi="仿宋" w:eastAsia="仿宋"/>
                <w:bCs/>
                <w:sz w:val="24"/>
                <w:szCs w:val="24"/>
              </w:rPr>
              <w:t>知道层面：朗读的基本要求；朗读内部技巧（情景再现与内在语）和朗读外部技巧（语调、重音、顿连、节奏）。</w:t>
            </w:r>
            <w:r>
              <w:rPr>
                <w:rFonts w:eastAsia="仿宋"/>
                <w:bCs/>
                <w:sz w:val="24"/>
                <w:szCs w:val="24"/>
              </w:rPr>
              <w:t xml:space="preserve"> </w:t>
            </w:r>
          </w:p>
          <w:p w14:paraId="527341AF">
            <w:pPr>
              <w:adjustRightInd w:val="0"/>
              <w:snapToGrid w:val="0"/>
              <w:ind w:firstLine="480" w:firstLineChars="200"/>
              <w:rPr>
                <w:rFonts w:eastAsia="仿宋"/>
                <w:bCs/>
                <w:sz w:val="24"/>
                <w:szCs w:val="24"/>
              </w:rPr>
            </w:pPr>
            <w:r>
              <w:rPr>
                <w:rFonts w:hAnsi="仿宋" w:eastAsia="仿宋"/>
                <w:bCs/>
                <w:sz w:val="24"/>
                <w:szCs w:val="24"/>
              </w:rPr>
              <w:t>领会层面：正确的朗读方式；诗歌、散文等文体的诵读技巧；准确感受和理解蕴含在作品中的家国情怀和教育情怀。</w:t>
            </w:r>
          </w:p>
          <w:p w14:paraId="56E638EF">
            <w:pPr>
              <w:adjustRightInd w:val="0"/>
              <w:snapToGrid w:val="0"/>
              <w:ind w:firstLine="480" w:firstLineChars="200"/>
              <w:rPr>
                <w:rFonts w:eastAsia="仿宋"/>
                <w:bCs/>
                <w:sz w:val="24"/>
                <w:szCs w:val="24"/>
              </w:rPr>
            </w:pPr>
            <w:r>
              <w:rPr>
                <w:rFonts w:hAnsi="仿宋" w:eastAsia="仿宋"/>
                <w:bCs/>
                <w:sz w:val="24"/>
                <w:szCs w:val="24"/>
              </w:rPr>
              <w:t>运用层面：学会运用朗读的语调、重音、顿连、节奏等多种技能技巧，生动、有感情地朗读名篇佳作。</w:t>
            </w:r>
          </w:p>
        </w:tc>
        <w:tc>
          <w:tcPr>
            <w:tcW w:w="1153" w:type="dxa"/>
            <w:gridSpan w:val="3"/>
            <w:shd w:val="clear" w:color="auto" w:fill="auto"/>
            <w:noWrap w:val="0"/>
            <w:vAlign w:val="center"/>
          </w:tcPr>
          <w:p w14:paraId="57FEFEA2">
            <w:pPr>
              <w:widowControl/>
              <w:adjustRightInd w:val="0"/>
              <w:snapToGrid w:val="0"/>
              <w:jc w:val="center"/>
              <w:rPr>
                <w:rFonts w:eastAsia="仿宋"/>
                <w:bCs/>
                <w:sz w:val="24"/>
                <w:szCs w:val="24"/>
              </w:rPr>
            </w:pPr>
            <w:r>
              <w:rPr>
                <w:rFonts w:hAnsi="仿宋" w:eastAsia="仿宋"/>
                <w:bCs/>
                <w:sz w:val="24"/>
                <w:szCs w:val="24"/>
              </w:rPr>
              <w:t>支撑课程目标</w:t>
            </w:r>
            <w:r>
              <w:rPr>
                <w:rFonts w:eastAsia="仿宋"/>
                <w:bCs/>
                <w:sz w:val="24"/>
                <w:szCs w:val="24"/>
              </w:rPr>
              <w:t>1</w:t>
            </w:r>
            <w:r>
              <w:rPr>
                <w:rFonts w:hAnsi="仿宋" w:eastAsia="仿宋"/>
                <w:bCs/>
                <w:sz w:val="24"/>
                <w:szCs w:val="24"/>
              </w:rPr>
              <w:t>、</w:t>
            </w:r>
            <w:r>
              <w:rPr>
                <w:rFonts w:eastAsia="仿宋"/>
                <w:bCs/>
                <w:sz w:val="24"/>
                <w:szCs w:val="24"/>
              </w:rPr>
              <w:t>2</w:t>
            </w:r>
          </w:p>
        </w:tc>
        <w:tc>
          <w:tcPr>
            <w:tcW w:w="924" w:type="dxa"/>
            <w:gridSpan w:val="2"/>
            <w:shd w:val="clear" w:color="auto" w:fill="FFFFFF"/>
            <w:noWrap w:val="0"/>
            <w:vAlign w:val="center"/>
          </w:tcPr>
          <w:p w14:paraId="7B548AFE">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2</w:t>
            </w:r>
          </w:p>
        </w:tc>
      </w:tr>
      <w:tr w14:paraId="453E2FE2">
        <w:trPr>
          <w:trHeight w:val="4148" w:hRule="atLeast"/>
          <w:jc w:val="center"/>
        </w:trPr>
        <w:tc>
          <w:tcPr>
            <w:tcW w:w="1423" w:type="dxa"/>
            <w:vMerge w:val="continue"/>
            <w:shd w:val="clear" w:color="auto" w:fill="FFFFFF"/>
            <w:noWrap w:val="0"/>
            <w:vAlign w:val="center"/>
          </w:tcPr>
          <w:p w14:paraId="34A75505">
            <w:pPr>
              <w:adjustRightInd w:val="0"/>
              <w:snapToGrid w:val="0"/>
              <w:spacing w:line="240" w:lineRule="atLeast"/>
              <w:jc w:val="right"/>
              <w:rPr>
                <w:rFonts w:eastAsia="仿宋"/>
                <w:sz w:val="24"/>
                <w:szCs w:val="24"/>
              </w:rPr>
            </w:pPr>
          </w:p>
        </w:tc>
        <w:tc>
          <w:tcPr>
            <w:tcW w:w="5648" w:type="dxa"/>
            <w:gridSpan w:val="9"/>
            <w:shd w:val="clear" w:color="auto" w:fill="auto"/>
            <w:noWrap w:val="0"/>
            <w:vAlign w:val="center"/>
          </w:tcPr>
          <w:p w14:paraId="016E4622">
            <w:pPr>
              <w:adjustRightInd w:val="0"/>
              <w:snapToGrid w:val="0"/>
              <w:rPr>
                <w:rFonts w:eastAsia="仿宋"/>
                <w:bCs/>
                <w:sz w:val="24"/>
                <w:szCs w:val="24"/>
              </w:rPr>
            </w:pPr>
            <w:r>
              <w:rPr>
                <w:rFonts w:hAnsi="仿宋" w:eastAsia="仿宋"/>
                <w:bCs/>
                <w:sz w:val="24"/>
                <w:szCs w:val="24"/>
              </w:rPr>
              <w:t>第四章</w:t>
            </w:r>
            <w:r>
              <w:rPr>
                <w:rFonts w:eastAsia="仿宋"/>
                <w:bCs/>
                <w:sz w:val="24"/>
                <w:szCs w:val="24"/>
              </w:rPr>
              <w:t xml:space="preserve"> </w:t>
            </w:r>
            <w:r>
              <w:rPr>
                <w:rFonts w:hAnsi="仿宋" w:eastAsia="仿宋"/>
                <w:bCs/>
                <w:sz w:val="24"/>
                <w:szCs w:val="24"/>
              </w:rPr>
              <w:t>一般口语表达技能训练</w:t>
            </w:r>
          </w:p>
          <w:p w14:paraId="04F89BCA">
            <w:pPr>
              <w:adjustRightInd w:val="0"/>
              <w:snapToGrid w:val="0"/>
              <w:ind w:firstLine="480" w:firstLineChars="200"/>
              <w:rPr>
                <w:rFonts w:eastAsia="仿宋"/>
                <w:bCs/>
                <w:sz w:val="24"/>
                <w:szCs w:val="24"/>
              </w:rPr>
            </w:pPr>
            <w:r>
              <w:rPr>
                <w:rFonts w:hAnsi="仿宋" w:eastAsia="仿宋"/>
                <w:bCs/>
                <w:sz w:val="24"/>
                <w:szCs w:val="24"/>
              </w:rPr>
              <w:t>知道层面：复述、命题演讲、即兴演讲、人际沟通等一般口语表达活动的特点、要求；体态语的特点和作用。</w:t>
            </w:r>
          </w:p>
          <w:p w14:paraId="390DC60F">
            <w:pPr>
              <w:adjustRightInd w:val="0"/>
              <w:snapToGrid w:val="0"/>
              <w:ind w:firstLine="480" w:firstLineChars="200"/>
              <w:rPr>
                <w:rFonts w:eastAsia="仿宋"/>
                <w:bCs/>
                <w:sz w:val="24"/>
                <w:szCs w:val="24"/>
              </w:rPr>
            </w:pPr>
            <w:r>
              <w:rPr>
                <w:rFonts w:hAnsi="仿宋" w:eastAsia="仿宋"/>
                <w:bCs/>
                <w:sz w:val="24"/>
                <w:szCs w:val="24"/>
              </w:rPr>
              <w:t>领会层面：复述（讲故事）技巧、命题演讲和即兴演讲的结构技巧和心理控制技巧；介绍、交谈、说服等言语交际技能。</w:t>
            </w:r>
          </w:p>
          <w:p w14:paraId="19538992">
            <w:pPr>
              <w:adjustRightInd w:val="0"/>
              <w:snapToGrid w:val="0"/>
              <w:ind w:firstLine="480" w:firstLineChars="200"/>
              <w:rPr>
                <w:rFonts w:eastAsia="仿宋"/>
                <w:bCs/>
                <w:sz w:val="24"/>
                <w:szCs w:val="24"/>
              </w:rPr>
            </w:pPr>
            <w:r>
              <w:rPr>
                <w:rFonts w:hAnsi="仿宋" w:eastAsia="仿宋"/>
                <w:bCs/>
                <w:sz w:val="24"/>
                <w:szCs w:val="24"/>
              </w:rPr>
              <w:t>运用层面：适当运用体态语和有声语言表达技巧，做到在众人面前敢于表达，在一般口语交际中说话清晰、流畅，语态自然大方、得体，有一定应变能力。</w:t>
            </w:r>
          </w:p>
        </w:tc>
        <w:tc>
          <w:tcPr>
            <w:tcW w:w="1153" w:type="dxa"/>
            <w:gridSpan w:val="3"/>
            <w:shd w:val="clear" w:color="auto" w:fill="auto"/>
            <w:noWrap w:val="0"/>
            <w:vAlign w:val="center"/>
          </w:tcPr>
          <w:p w14:paraId="233CE44F">
            <w:pPr>
              <w:widowControl/>
              <w:adjustRightInd w:val="0"/>
              <w:snapToGrid w:val="0"/>
              <w:jc w:val="center"/>
              <w:rPr>
                <w:rFonts w:eastAsia="仿宋"/>
                <w:bCs/>
                <w:sz w:val="24"/>
                <w:szCs w:val="24"/>
              </w:rPr>
            </w:pPr>
            <w:r>
              <w:rPr>
                <w:rFonts w:hAnsi="仿宋" w:eastAsia="仿宋"/>
                <w:bCs/>
                <w:sz w:val="24"/>
                <w:szCs w:val="24"/>
              </w:rPr>
              <w:t>支撑课程目标</w:t>
            </w:r>
            <w:r>
              <w:rPr>
                <w:rFonts w:eastAsia="仿宋"/>
                <w:bCs/>
                <w:sz w:val="24"/>
                <w:szCs w:val="24"/>
              </w:rPr>
              <w:t>1</w:t>
            </w:r>
            <w:r>
              <w:rPr>
                <w:rFonts w:hAnsi="仿宋" w:eastAsia="仿宋"/>
                <w:bCs/>
                <w:sz w:val="24"/>
                <w:szCs w:val="24"/>
              </w:rPr>
              <w:t>、</w:t>
            </w:r>
            <w:r>
              <w:rPr>
                <w:rFonts w:eastAsia="仿宋"/>
                <w:bCs/>
                <w:sz w:val="24"/>
                <w:szCs w:val="24"/>
              </w:rPr>
              <w:t>2</w:t>
            </w:r>
            <w:r>
              <w:rPr>
                <w:rFonts w:hAnsi="仿宋" w:eastAsia="仿宋"/>
                <w:bCs/>
                <w:sz w:val="24"/>
                <w:szCs w:val="24"/>
              </w:rPr>
              <w:t>、</w:t>
            </w:r>
            <w:r>
              <w:rPr>
                <w:rFonts w:eastAsia="仿宋"/>
                <w:bCs/>
                <w:sz w:val="24"/>
                <w:szCs w:val="24"/>
              </w:rPr>
              <w:t>3</w:t>
            </w:r>
          </w:p>
        </w:tc>
        <w:tc>
          <w:tcPr>
            <w:tcW w:w="924" w:type="dxa"/>
            <w:gridSpan w:val="2"/>
            <w:shd w:val="clear" w:color="auto" w:fill="FFFFFF"/>
            <w:noWrap w:val="0"/>
            <w:vAlign w:val="center"/>
          </w:tcPr>
          <w:p w14:paraId="6AAE5FD8">
            <w:pPr>
              <w:adjustRightInd w:val="0"/>
              <w:snapToGrid w:val="0"/>
              <w:jc w:val="center"/>
              <w:rPr>
                <w:rFonts w:eastAsia="仿宋"/>
                <w:sz w:val="24"/>
                <w:szCs w:val="24"/>
              </w:rPr>
            </w:pPr>
            <w:r>
              <w:rPr>
                <w:rFonts w:hint="eastAsia" w:eastAsia="仿宋"/>
                <w:sz w:val="24"/>
                <w:szCs w:val="24"/>
              </w:rPr>
              <w:t>8</w:t>
            </w:r>
          </w:p>
        </w:tc>
      </w:tr>
      <w:tr w14:paraId="4A70F772">
        <w:trPr>
          <w:trHeight w:val="3948" w:hRule="atLeast"/>
          <w:jc w:val="center"/>
        </w:trPr>
        <w:tc>
          <w:tcPr>
            <w:tcW w:w="1423" w:type="dxa"/>
            <w:vMerge w:val="continue"/>
            <w:shd w:val="clear" w:color="auto" w:fill="FFFFFF"/>
            <w:noWrap w:val="0"/>
            <w:vAlign w:val="center"/>
          </w:tcPr>
          <w:p w14:paraId="7369EF53">
            <w:pPr>
              <w:adjustRightInd w:val="0"/>
              <w:snapToGrid w:val="0"/>
              <w:spacing w:line="240" w:lineRule="atLeast"/>
              <w:jc w:val="right"/>
              <w:rPr>
                <w:rFonts w:eastAsia="仿宋"/>
                <w:sz w:val="24"/>
                <w:szCs w:val="24"/>
              </w:rPr>
            </w:pPr>
          </w:p>
        </w:tc>
        <w:tc>
          <w:tcPr>
            <w:tcW w:w="5648" w:type="dxa"/>
            <w:gridSpan w:val="9"/>
            <w:shd w:val="clear" w:color="auto" w:fill="auto"/>
            <w:noWrap w:val="0"/>
            <w:vAlign w:val="center"/>
          </w:tcPr>
          <w:p w14:paraId="4ABA8725">
            <w:pPr>
              <w:adjustRightInd w:val="0"/>
              <w:snapToGrid w:val="0"/>
              <w:rPr>
                <w:rFonts w:eastAsia="仿宋"/>
                <w:bCs/>
                <w:sz w:val="24"/>
                <w:szCs w:val="24"/>
              </w:rPr>
            </w:pPr>
            <w:r>
              <w:rPr>
                <w:rFonts w:hAnsi="仿宋" w:eastAsia="仿宋"/>
                <w:bCs/>
                <w:sz w:val="24"/>
                <w:szCs w:val="24"/>
              </w:rPr>
              <w:t>第五章</w:t>
            </w:r>
            <w:r>
              <w:rPr>
                <w:rFonts w:eastAsia="仿宋"/>
                <w:bCs/>
                <w:sz w:val="24"/>
                <w:szCs w:val="24"/>
              </w:rPr>
              <w:t xml:space="preserve"> </w:t>
            </w:r>
            <w:r>
              <w:rPr>
                <w:rFonts w:hAnsi="仿宋" w:eastAsia="仿宋"/>
                <w:bCs/>
                <w:sz w:val="24"/>
                <w:szCs w:val="24"/>
              </w:rPr>
              <w:t>教师职业口语训练</w:t>
            </w:r>
          </w:p>
          <w:p w14:paraId="02DDFF0B">
            <w:pPr>
              <w:adjustRightInd w:val="0"/>
              <w:snapToGrid w:val="0"/>
              <w:ind w:firstLine="480" w:firstLineChars="200"/>
              <w:rPr>
                <w:rFonts w:eastAsia="仿宋"/>
                <w:bCs/>
                <w:sz w:val="24"/>
                <w:szCs w:val="24"/>
              </w:rPr>
            </w:pPr>
            <w:r>
              <w:rPr>
                <w:rFonts w:hAnsi="仿宋" w:eastAsia="仿宋"/>
                <w:bCs/>
                <w:sz w:val="24"/>
                <w:szCs w:val="24"/>
              </w:rPr>
              <w:t>知道层面：教师职业口语的内涵；教学口语（导入语、讲授语、提问语、小结语）的的特点和要求；教育口语（沟通语、启迪语、激励语、批评语等）的特点和要求。</w:t>
            </w:r>
          </w:p>
          <w:p w14:paraId="3928AE29">
            <w:pPr>
              <w:adjustRightInd w:val="0"/>
              <w:snapToGrid w:val="0"/>
              <w:ind w:firstLine="480" w:firstLineChars="200"/>
              <w:rPr>
                <w:rFonts w:eastAsia="仿宋"/>
                <w:bCs/>
                <w:sz w:val="24"/>
                <w:szCs w:val="24"/>
              </w:rPr>
            </w:pPr>
            <w:r>
              <w:rPr>
                <w:rFonts w:hAnsi="仿宋" w:eastAsia="仿宋"/>
                <w:bCs/>
                <w:sz w:val="24"/>
                <w:szCs w:val="24"/>
              </w:rPr>
              <w:t>领会层面：导入语等教学口语的设计和表达技巧；激励语等教育口语的表达技巧；教师与学生、家长、同事的沟通技巧。</w:t>
            </w:r>
          </w:p>
          <w:p w14:paraId="20380A93">
            <w:pPr>
              <w:adjustRightInd w:val="0"/>
              <w:snapToGrid w:val="0"/>
              <w:ind w:firstLine="480" w:firstLineChars="200"/>
              <w:rPr>
                <w:rFonts w:eastAsia="仿宋"/>
                <w:bCs/>
                <w:sz w:val="24"/>
                <w:szCs w:val="24"/>
              </w:rPr>
            </w:pPr>
            <w:r>
              <w:rPr>
                <w:rFonts w:hAnsi="仿宋" w:eastAsia="仿宋"/>
                <w:bCs/>
                <w:sz w:val="24"/>
                <w:szCs w:val="24"/>
              </w:rPr>
              <w:t>运用层面：在教学和教育工作中，做到表达流畅、规范、得体，有一定的口语表达能力和应变能力。</w:t>
            </w:r>
          </w:p>
        </w:tc>
        <w:tc>
          <w:tcPr>
            <w:tcW w:w="1153" w:type="dxa"/>
            <w:gridSpan w:val="3"/>
            <w:shd w:val="clear" w:color="auto" w:fill="auto"/>
            <w:noWrap w:val="0"/>
            <w:vAlign w:val="center"/>
          </w:tcPr>
          <w:p w14:paraId="0C416952">
            <w:pPr>
              <w:widowControl/>
              <w:adjustRightInd w:val="0"/>
              <w:snapToGrid w:val="0"/>
              <w:jc w:val="center"/>
              <w:rPr>
                <w:rFonts w:eastAsia="仿宋"/>
                <w:bCs/>
                <w:sz w:val="24"/>
                <w:szCs w:val="24"/>
              </w:rPr>
            </w:pPr>
            <w:r>
              <w:rPr>
                <w:rFonts w:hAnsi="仿宋" w:eastAsia="仿宋"/>
                <w:bCs/>
                <w:sz w:val="24"/>
                <w:szCs w:val="24"/>
              </w:rPr>
              <w:t>支撑课程目标</w:t>
            </w:r>
            <w:r>
              <w:rPr>
                <w:rFonts w:eastAsia="仿宋"/>
                <w:bCs/>
                <w:sz w:val="24"/>
                <w:szCs w:val="24"/>
              </w:rPr>
              <w:t>1</w:t>
            </w:r>
            <w:r>
              <w:rPr>
                <w:rFonts w:hAnsi="仿宋" w:eastAsia="仿宋"/>
                <w:bCs/>
                <w:sz w:val="24"/>
                <w:szCs w:val="24"/>
              </w:rPr>
              <w:t>、</w:t>
            </w:r>
            <w:r>
              <w:rPr>
                <w:rFonts w:eastAsia="仿宋"/>
                <w:bCs/>
                <w:sz w:val="24"/>
                <w:szCs w:val="24"/>
              </w:rPr>
              <w:t>2</w:t>
            </w:r>
            <w:r>
              <w:rPr>
                <w:rFonts w:hAnsi="仿宋" w:eastAsia="仿宋"/>
                <w:bCs/>
                <w:sz w:val="24"/>
                <w:szCs w:val="24"/>
              </w:rPr>
              <w:t>、</w:t>
            </w:r>
            <w:r>
              <w:rPr>
                <w:rFonts w:eastAsia="仿宋"/>
                <w:bCs/>
                <w:sz w:val="24"/>
                <w:szCs w:val="24"/>
              </w:rPr>
              <w:t>3</w:t>
            </w:r>
          </w:p>
        </w:tc>
        <w:tc>
          <w:tcPr>
            <w:tcW w:w="924" w:type="dxa"/>
            <w:gridSpan w:val="2"/>
            <w:shd w:val="clear" w:color="auto" w:fill="FFFFFF"/>
            <w:noWrap w:val="0"/>
            <w:vAlign w:val="center"/>
          </w:tcPr>
          <w:p w14:paraId="506A8ECD">
            <w:pPr>
              <w:adjustRightInd w:val="0"/>
              <w:snapToGrid w:val="0"/>
              <w:jc w:val="center"/>
              <w:rPr>
                <w:rFonts w:eastAsia="仿宋"/>
                <w:sz w:val="24"/>
                <w:szCs w:val="24"/>
              </w:rPr>
            </w:pPr>
            <w:r>
              <w:rPr>
                <w:rFonts w:hint="eastAsia" w:eastAsia="仿宋"/>
                <w:sz w:val="24"/>
                <w:szCs w:val="24"/>
              </w:rPr>
              <w:t>4</w:t>
            </w:r>
          </w:p>
        </w:tc>
      </w:tr>
      <w:tr w14:paraId="57336530">
        <w:trPr>
          <w:trHeight w:val="454" w:hRule="atLeast"/>
          <w:jc w:val="center"/>
        </w:trPr>
        <w:tc>
          <w:tcPr>
            <w:tcW w:w="1423" w:type="dxa"/>
            <w:vMerge w:val="continue"/>
            <w:shd w:val="clear" w:color="auto" w:fill="FFFFFF"/>
            <w:noWrap w:val="0"/>
            <w:vAlign w:val="center"/>
          </w:tcPr>
          <w:p w14:paraId="7E4404A3">
            <w:pPr>
              <w:adjustRightInd w:val="0"/>
              <w:snapToGrid w:val="0"/>
              <w:spacing w:line="240" w:lineRule="atLeast"/>
              <w:jc w:val="center"/>
              <w:rPr>
                <w:rFonts w:eastAsia="仿宋"/>
                <w:sz w:val="24"/>
                <w:szCs w:val="24"/>
              </w:rPr>
            </w:pPr>
          </w:p>
        </w:tc>
        <w:tc>
          <w:tcPr>
            <w:tcW w:w="6801" w:type="dxa"/>
            <w:gridSpan w:val="12"/>
            <w:shd w:val="clear" w:color="auto" w:fill="auto"/>
            <w:noWrap w:val="0"/>
            <w:vAlign w:val="center"/>
          </w:tcPr>
          <w:p w14:paraId="51822EFD">
            <w:pPr>
              <w:adjustRightInd w:val="0"/>
              <w:snapToGrid w:val="0"/>
              <w:jc w:val="center"/>
              <w:rPr>
                <w:rFonts w:eastAsia="仿宋"/>
                <w:bCs/>
                <w:sz w:val="24"/>
                <w:szCs w:val="24"/>
              </w:rPr>
            </w:pPr>
            <w:r>
              <w:rPr>
                <w:rFonts w:hAnsi="仿宋" w:eastAsia="仿宋"/>
                <w:bCs/>
                <w:sz w:val="24"/>
                <w:szCs w:val="24"/>
              </w:rPr>
              <w:t>合计</w:t>
            </w:r>
          </w:p>
        </w:tc>
        <w:tc>
          <w:tcPr>
            <w:tcW w:w="924" w:type="dxa"/>
            <w:gridSpan w:val="2"/>
            <w:shd w:val="clear" w:color="auto" w:fill="FFFFFF"/>
            <w:noWrap w:val="0"/>
            <w:vAlign w:val="center"/>
          </w:tcPr>
          <w:p w14:paraId="76419A2D">
            <w:pPr>
              <w:adjustRightInd w:val="0"/>
              <w:snapToGrid w:val="0"/>
              <w:jc w:val="center"/>
              <w:rPr>
                <w:rFonts w:eastAsia="仿宋"/>
                <w:b/>
                <w:sz w:val="24"/>
                <w:szCs w:val="24"/>
              </w:rPr>
            </w:pPr>
            <w:r>
              <w:rPr>
                <w:rFonts w:hint="eastAsia" w:eastAsia="仿宋"/>
                <w:sz w:val="24"/>
                <w:szCs w:val="24"/>
              </w:rPr>
              <w:t>22</w:t>
            </w:r>
          </w:p>
        </w:tc>
      </w:tr>
      <w:tr w14:paraId="15A3A95C">
        <w:trPr>
          <w:trHeight w:val="454" w:hRule="atLeast"/>
          <w:jc w:val="center"/>
        </w:trPr>
        <w:tc>
          <w:tcPr>
            <w:tcW w:w="1423" w:type="dxa"/>
            <w:vMerge w:val="restart"/>
            <w:shd w:val="clear" w:color="auto" w:fill="FFFFFF"/>
            <w:noWrap w:val="0"/>
            <w:vAlign w:val="center"/>
          </w:tcPr>
          <w:p w14:paraId="7CD6C78E">
            <w:pPr>
              <w:adjustRightInd w:val="0"/>
              <w:snapToGrid w:val="0"/>
              <w:spacing w:line="240" w:lineRule="atLeast"/>
              <w:jc w:val="center"/>
              <w:rPr>
                <w:rFonts w:eastAsia="仿宋"/>
                <w:sz w:val="24"/>
                <w:szCs w:val="24"/>
              </w:rPr>
            </w:pPr>
            <w:r>
              <w:rPr>
                <w:rFonts w:eastAsia="仿宋"/>
                <w:sz w:val="24"/>
                <w:szCs w:val="24"/>
              </w:rPr>
              <w:t>G</w:t>
            </w:r>
          </w:p>
          <w:p w14:paraId="32968CEF">
            <w:pPr>
              <w:adjustRightInd w:val="0"/>
              <w:snapToGrid w:val="0"/>
              <w:spacing w:line="240" w:lineRule="atLeast"/>
              <w:jc w:val="center"/>
              <w:rPr>
                <w:rFonts w:eastAsia="仿宋"/>
                <w:sz w:val="24"/>
                <w:szCs w:val="24"/>
              </w:rPr>
            </w:pPr>
            <w:r>
              <w:rPr>
                <w:rFonts w:hAnsi="仿宋" w:eastAsia="仿宋"/>
                <w:sz w:val="24"/>
                <w:szCs w:val="24"/>
              </w:rPr>
              <w:t>实验（实训）内容</w:t>
            </w:r>
          </w:p>
        </w:tc>
        <w:tc>
          <w:tcPr>
            <w:tcW w:w="5648" w:type="dxa"/>
            <w:gridSpan w:val="9"/>
            <w:shd w:val="clear" w:color="auto" w:fill="auto"/>
            <w:noWrap w:val="0"/>
            <w:vAlign w:val="center"/>
          </w:tcPr>
          <w:p w14:paraId="4D2BCFF8">
            <w:pPr>
              <w:adjustRightInd w:val="0"/>
              <w:snapToGrid w:val="0"/>
              <w:spacing w:line="240" w:lineRule="atLeast"/>
              <w:jc w:val="center"/>
              <w:textAlignment w:val="baseline"/>
              <w:rPr>
                <w:rFonts w:eastAsia="仿宋"/>
                <w:kern w:val="0"/>
                <w:sz w:val="24"/>
                <w:szCs w:val="24"/>
              </w:rPr>
            </w:pPr>
            <w:r>
              <w:rPr>
                <w:rFonts w:hAnsi="仿宋" w:eastAsia="仿宋"/>
                <w:kern w:val="0"/>
                <w:sz w:val="24"/>
                <w:szCs w:val="24"/>
              </w:rPr>
              <w:t>项目名称、主要内容及开设要求</w:t>
            </w:r>
          </w:p>
        </w:tc>
        <w:tc>
          <w:tcPr>
            <w:tcW w:w="1153" w:type="dxa"/>
            <w:gridSpan w:val="3"/>
            <w:shd w:val="clear" w:color="auto" w:fill="auto"/>
            <w:noWrap w:val="0"/>
            <w:vAlign w:val="center"/>
          </w:tcPr>
          <w:p w14:paraId="6C2C85A5">
            <w:pPr>
              <w:adjustRightInd w:val="0"/>
              <w:snapToGrid w:val="0"/>
              <w:spacing w:line="240" w:lineRule="atLeast"/>
              <w:jc w:val="center"/>
              <w:textAlignment w:val="baseline"/>
              <w:rPr>
                <w:rFonts w:eastAsia="仿宋"/>
                <w:kern w:val="0"/>
                <w:sz w:val="24"/>
                <w:szCs w:val="24"/>
              </w:rPr>
            </w:pPr>
            <w:r>
              <w:rPr>
                <w:rFonts w:hAnsi="仿宋" w:eastAsia="仿宋"/>
                <w:kern w:val="0"/>
                <w:sz w:val="24"/>
                <w:szCs w:val="24"/>
              </w:rPr>
              <w:t>支撑课程</w:t>
            </w:r>
          </w:p>
          <w:p w14:paraId="5A846602">
            <w:pPr>
              <w:adjustRightInd w:val="0"/>
              <w:snapToGrid w:val="0"/>
              <w:spacing w:line="240" w:lineRule="atLeast"/>
              <w:jc w:val="center"/>
              <w:textAlignment w:val="baseline"/>
              <w:rPr>
                <w:rFonts w:eastAsia="仿宋"/>
                <w:kern w:val="0"/>
                <w:sz w:val="24"/>
                <w:szCs w:val="24"/>
              </w:rPr>
            </w:pPr>
            <w:r>
              <w:rPr>
                <w:rFonts w:hAnsi="仿宋" w:eastAsia="仿宋"/>
                <w:kern w:val="0"/>
                <w:sz w:val="24"/>
                <w:szCs w:val="24"/>
              </w:rPr>
              <w:t>目标</w:t>
            </w:r>
          </w:p>
        </w:tc>
        <w:tc>
          <w:tcPr>
            <w:tcW w:w="924" w:type="dxa"/>
            <w:gridSpan w:val="2"/>
            <w:shd w:val="clear" w:color="auto" w:fill="FFFFFF"/>
            <w:noWrap w:val="0"/>
            <w:vAlign w:val="center"/>
          </w:tcPr>
          <w:p w14:paraId="555E4D9B">
            <w:pPr>
              <w:adjustRightInd w:val="0"/>
              <w:snapToGrid w:val="0"/>
              <w:jc w:val="center"/>
              <w:rPr>
                <w:rFonts w:eastAsia="仿宋"/>
                <w:kern w:val="0"/>
                <w:sz w:val="24"/>
                <w:szCs w:val="24"/>
              </w:rPr>
            </w:pPr>
            <w:r>
              <w:rPr>
                <w:rFonts w:hAnsi="仿宋" w:eastAsia="仿宋"/>
                <w:kern w:val="0"/>
                <w:sz w:val="24"/>
                <w:szCs w:val="24"/>
              </w:rPr>
              <w:t>学时</w:t>
            </w:r>
            <w:r>
              <w:rPr>
                <w:rFonts w:eastAsia="仿宋"/>
                <w:kern w:val="0"/>
                <w:sz w:val="24"/>
                <w:szCs w:val="24"/>
              </w:rPr>
              <w:t xml:space="preserve"> </w:t>
            </w:r>
          </w:p>
          <w:p w14:paraId="755218FE">
            <w:pPr>
              <w:adjustRightInd w:val="0"/>
              <w:snapToGrid w:val="0"/>
              <w:jc w:val="center"/>
              <w:rPr>
                <w:rFonts w:eastAsia="仿宋"/>
                <w:sz w:val="24"/>
                <w:szCs w:val="24"/>
              </w:rPr>
            </w:pPr>
            <w:r>
              <w:rPr>
                <w:rFonts w:hAnsi="仿宋" w:eastAsia="仿宋"/>
                <w:kern w:val="0"/>
                <w:sz w:val="24"/>
                <w:szCs w:val="24"/>
              </w:rPr>
              <w:t>分配</w:t>
            </w:r>
          </w:p>
        </w:tc>
      </w:tr>
      <w:tr w14:paraId="3F6989CB">
        <w:trPr>
          <w:trHeight w:val="454" w:hRule="atLeast"/>
          <w:jc w:val="center"/>
        </w:trPr>
        <w:tc>
          <w:tcPr>
            <w:tcW w:w="1423" w:type="dxa"/>
            <w:vMerge w:val="continue"/>
            <w:shd w:val="clear" w:color="auto" w:fill="FFFFFF"/>
            <w:noWrap w:val="0"/>
            <w:vAlign w:val="center"/>
          </w:tcPr>
          <w:p w14:paraId="6B950129">
            <w:pPr>
              <w:adjustRightInd w:val="0"/>
              <w:snapToGrid w:val="0"/>
              <w:spacing w:line="240" w:lineRule="atLeast"/>
              <w:jc w:val="center"/>
              <w:rPr>
                <w:rFonts w:eastAsia="仿宋"/>
                <w:sz w:val="24"/>
                <w:szCs w:val="24"/>
              </w:rPr>
            </w:pPr>
          </w:p>
        </w:tc>
        <w:tc>
          <w:tcPr>
            <w:tcW w:w="5648" w:type="dxa"/>
            <w:gridSpan w:val="9"/>
            <w:shd w:val="clear" w:color="auto" w:fill="auto"/>
            <w:noWrap w:val="0"/>
            <w:vAlign w:val="center"/>
          </w:tcPr>
          <w:p w14:paraId="609B89AE">
            <w:pPr>
              <w:adjustRightInd w:val="0"/>
              <w:snapToGrid w:val="0"/>
              <w:jc w:val="left"/>
              <w:rPr>
                <w:rFonts w:eastAsia="仿宋"/>
                <w:bCs/>
                <w:sz w:val="24"/>
                <w:szCs w:val="24"/>
              </w:rPr>
            </w:pPr>
            <w:r>
              <w:rPr>
                <w:rFonts w:hAnsi="仿宋" w:eastAsia="仿宋"/>
                <w:bCs/>
                <w:sz w:val="24"/>
                <w:szCs w:val="24"/>
              </w:rPr>
              <w:t>一、发声技能训练</w:t>
            </w:r>
          </w:p>
          <w:p w14:paraId="04197F7F">
            <w:pPr>
              <w:adjustRightInd w:val="0"/>
              <w:snapToGrid w:val="0"/>
              <w:ind w:firstLine="480" w:firstLineChars="200"/>
              <w:jc w:val="left"/>
              <w:rPr>
                <w:rFonts w:eastAsia="仿宋"/>
                <w:bCs/>
                <w:sz w:val="24"/>
                <w:szCs w:val="24"/>
              </w:rPr>
            </w:pPr>
            <w:r>
              <w:rPr>
                <w:rFonts w:hAnsi="仿宋" w:eastAsia="仿宋"/>
                <w:bCs/>
                <w:sz w:val="24"/>
                <w:szCs w:val="24"/>
              </w:rPr>
              <w:t>主要内容：气息控制、共鸣控制、吐字归音。</w:t>
            </w:r>
          </w:p>
          <w:p w14:paraId="019EB8A0">
            <w:pPr>
              <w:adjustRightInd w:val="0"/>
              <w:snapToGrid w:val="0"/>
              <w:ind w:firstLine="480" w:firstLineChars="200"/>
              <w:jc w:val="left"/>
              <w:rPr>
                <w:rFonts w:eastAsia="仿宋"/>
                <w:bCs/>
                <w:sz w:val="24"/>
                <w:szCs w:val="24"/>
              </w:rPr>
            </w:pPr>
            <w:r>
              <w:rPr>
                <w:rFonts w:hAnsi="仿宋" w:eastAsia="仿宋"/>
                <w:bCs/>
                <w:sz w:val="24"/>
                <w:szCs w:val="24"/>
              </w:rPr>
              <w:t>开设条件：语音室或多媒体教室。</w:t>
            </w:r>
          </w:p>
        </w:tc>
        <w:tc>
          <w:tcPr>
            <w:tcW w:w="1153" w:type="dxa"/>
            <w:gridSpan w:val="3"/>
            <w:shd w:val="clear" w:color="auto" w:fill="auto"/>
            <w:noWrap w:val="0"/>
            <w:vAlign w:val="center"/>
          </w:tcPr>
          <w:p w14:paraId="478F6C69">
            <w:pPr>
              <w:widowControl/>
              <w:adjustRightInd w:val="0"/>
              <w:snapToGrid w:val="0"/>
              <w:jc w:val="center"/>
              <w:rPr>
                <w:rFonts w:eastAsia="仿宋"/>
                <w:bCs/>
                <w:sz w:val="24"/>
                <w:szCs w:val="24"/>
              </w:rPr>
            </w:pPr>
            <w:r>
              <w:rPr>
                <w:rFonts w:hAnsi="仿宋" w:eastAsia="仿宋"/>
                <w:bCs/>
                <w:sz w:val="24"/>
                <w:szCs w:val="24"/>
              </w:rPr>
              <w:t>支撑课程目标</w:t>
            </w:r>
            <w:r>
              <w:rPr>
                <w:rFonts w:eastAsia="仿宋"/>
                <w:bCs/>
                <w:sz w:val="24"/>
                <w:szCs w:val="24"/>
              </w:rPr>
              <w:t>1</w:t>
            </w:r>
            <w:r>
              <w:rPr>
                <w:rFonts w:hAnsi="仿宋" w:eastAsia="仿宋"/>
                <w:bCs/>
                <w:sz w:val="24"/>
                <w:szCs w:val="24"/>
              </w:rPr>
              <w:t>、</w:t>
            </w:r>
            <w:r>
              <w:rPr>
                <w:rFonts w:eastAsia="仿宋"/>
                <w:bCs/>
                <w:sz w:val="24"/>
                <w:szCs w:val="24"/>
              </w:rPr>
              <w:t>3</w:t>
            </w:r>
          </w:p>
        </w:tc>
        <w:tc>
          <w:tcPr>
            <w:tcW w:w="924" w:type="dxa"/>
            <w:gridSpan w:val="2"/>
            <w:shd w:val="clear" w:color="auto" w:fill="FFFFFF"/>
            <w:noWrap w:val="0"/>
            <w:vAlign w:val="center"/>
          </w:tcPr>
          <w:p w14:paraId="17C5468A">
            <w:pPr>
              <w:adjustRightInd w:val="0"/>
              <w:snapToGrid w:val="0"/>
              <w:jc w:val="center"/>
              <w:rPr>
                <w:rFonts w:eastAsia="仿宋"/>
                <w:sz w:val="24"/>
                <w:szCs w:val="24"/>
              </w:rPr>
            </w:pPr>
            <w:r>
              <w:rPr>
                <w:rFonts w:eastAsia="仿宋"/>
                <w:sz w:val="24"/>
                <w:szCs w:val="24"/>
              </w:rPr>
              <w:t>1</w:t>
            </w:r>
          </w:p>
        </w:tc>
      </w:tr>
      <w:tr w14:paraId="20DB21E1">
        <w:trPr>
          <w:trHeight w:val="454" w:hRule="atLeast"/>
          <w:jc w:val="center"/>
        </w:trPr>
        <w:tc>
          <w:tcPr>
            <w:tcW w:w="1423" w:type="dxa"/>
            <w:vMerge w:val="continue"/>
            <w:shd w:val="clear" w:color="auto" w:fill="FFFFFF"/>
            <w:noWrap w:val="0"/>
            <w:vAlign w:val="center"/>
          </w:tcPr>
          <w:p w14:paraId="165D2561">
            <w:pPr>
              <w:adjustRightInd w:val="0"/>
              <w:snapToGrid w:val="0"/>
              <w:spacing w:line="240" w:lineRule="atLeast"/>
              <w:jc w:val="center"/>
              <w:rPr>
                <w:rFonts w:eastAsia="仿宋"/>
                <w:sz w:val="24"/>
                <w:szCs w:val="24"/>
              </w:rPr>
            </w:pPr>
          </w:p>
        </w:tc>
        <w:tc>
          <w:tcPr>
            <w:tcW w:w="5648" w:type="dxa"/>
            <w:gridSpan w:val="9"/>
            <w:shd w:val="clear" w:color="auto" w:fill="auto"/>
            <w:noWrap w:val="0"/>
            <w:vAlign w:val="center"/>
          </w:tcPr>
          <w:p w14:paraId="3CBF7E1E">
            <w:pPr>
              <w:adjustRightInd w:val="0"/>
              <w:snapToGrid w:val="0"/>
              <w:rPr>
                <w:rFonts w:eastAsia="仿宋"/>
                <w:bCs/>
                <w:sz w:val="24"/>
                <w:szCs w:val="24"/>
              </w:rPr>
            </w:pPr>
            <w:r>
              <w:rPr>
                <w:rFonts w:hAnsi="仿宋" w:eastAsia="仿宋"/>
                <w:bCs/>
                <w:sz w:val="24"/>
                <w:szCs w:val="24"/>
              </w:rPr>
              <w:t>二、普通话发音训练</w:t>
            </w:r>
          </w:p>
          <w:p w14:paraId="0CA8D305">
            <w:pPr>
              <w:adjustRightInd w:val="0"/>
              <w:snapToGrid w:val="0"/>
              <w:ind w:firstLine="480" w:firstLineChars="200"/>
              <w:rPr>
                <w:rFonts w:eastAsia="仿宋"/>
                <w:bCs/>
                <w:sz w:val="24"/>
                <w:szCs w:val="24"/>
              </w:rPr>
            </w:pPr>
            <w:r>
              <w:rPr>
                <w:rFonts w:hAnsi="仿宋" w:eastAsia="仿宋"/>
                <w:bCs/>
                <w:sz w:val="24"/>
                <w:szCs w:val="24"/>
              </w:rPr>
              <w:t>主要内容：声母发音训练、韵母发音训练、语流音变发音训练、普通话模拟测试。</w:t>
            </w:r>
          </w:p>
          <w:p w14:paraId="7781C565">
            <w:pPr>
              <w:adjustRightInd w:val="0"/>
              <w:snapToGrid w:val="0"/>
              <w:ind w:firstLine="480" w:firstLineChars="200"/>
              <w:rPr>
                <w:rFonts w:eastAsia="仿宋"/>
                <w:bCs/>
                <w:sz w:val="24"/>
                <w:szCs w:val="24"/>
              </w:rPr>
            </w:pPr>
            <w:r>
              <w:rPr>
                <w:rFonts w:hAnsi="仿宋" w:eastAsia="仿宋"/>
                <w:bCs/>
                <w:sz w:val="24"/>
                <w:szCs w:val="24"/>
              </w:rPr>
              <w:t>开设条件：语音室或多媒体教室。</w:t>
            </w:r>
          </w:p>
        </w:tc>
        <w:tc>
          <w:tcPr>
            <w:tcW w:w="1153" w:type="dxa"/>
            <w:gridSpan w:val="3"/>
            <w:shd w:val="clear" w:color="auto" w:fill="auto"/>
            <w:noWrap w:val="0"/>
            <w:vAlign w:val="center"/>
          </w:tcPr>
          <w:p w14:paraId="15BD50EC">
            <w:pPr>
              <w:widowControl/>
              <w:adjustRightInd w:val="0"/>
              <w:snapToGrid w:val="0"/>
              <w:jc w:val="center"/>
              <w:rPr>
                <w:rFonts w:eastAsia="仿宋"/>
                <w:bCs/>
                <w:sz w:val="24"/>
                <w:szCs w:val="24"/>
              </w:rPr>
            </w:pPr>
            <w:r>
              <w:rPr>
                <w:rFonts w:hAnsi="仿宋" w:eastAsia="仿宋"/>
                <w:bCs/>
                <w:sz w:val="24"/>
                <w:szCs w:val="24"/>
              </w:rPr>
              <w:t>支撑课程目标</w:t>
            </w:r>
            <w:r>
              <w:rPr>
                <w:rFonts w:eastAsia="仿宋"/>
                <w:bCs/>
                <w:sz w:val="24"/>
                <w:szCs w:val="24"/>
              </w:rPr>
              <w:t>1</w:t>
            </w:r>
            <w:r>
              <w:rPr>
                <w:rFonts w:hAnsi="仿宋" w:eastAsia="仿宋"/>
                <w:bCs/>
                <w:sz w:val="24"/>
                <w:szCs w:val="24"/>
              </w:rPr>
              <w:t>、</w:t>
            </w:r>
            <w:r>
              <w:rPr>
                <w:rFonts w:eastAsia="仿宋"/>
                <w:bCs/>
                <w:sz w:val="24"/>
                <w:szCs w:val="24"/>
              </w:rPr>
              <w:t>3</w:t>
            </w:r>
          </w:p>
        </w:tc>
        <w:tc>
          <w:tcPr>
            <w:tcW w:w="924" w:type="dxa"/>
            <w:gridSpan w:val="2"/>
            <w:shd w:val="clear" w:color="auto" w:fill="FFFFFF"/>
            <w:noWrap w:val="0"/>
            <w:vAlign w:val="center"/>
          </w:tcPr>
          <w:p w14:paraId="21F18108">
            <w:pPr>
              <w:adjustRightInd w:val="0"/>
              <w:snapToGrid w:val="0"/>
              <w:jc w:val="center"/>
              <w:rPr>
                <w:rFonts w:eastAsia="仿宋"/>
                <w:sz w:val="24"/>
                <w:szCs w:val="24"/>
              </w:rPr>
            </w:pPr>
            <w:r>
              <w:rPr>
                <w:rFonts w:eastAsia="仿宋"/>
                <w:sz w:val="24"/>
                <w:szCs w:val="24"/>
              </w:rPr>
              <w:t>16</w:t>
            </w:r>
          </w:p>
        </w:tc>
      </w:tr>
      <w:tr w14:paraId="71074C71">
        <w:trPr>
          <w:trHeight w:val="454" w:hRule="atLeast"/>
          <w:jc w:val="center"/>
        </w:trPr>
        <w:tc>
          <w:tcPr>
            <w:tcW w:w="1423" w:type="dxa"/>
            <w:vMerge w:val="continue"/>
            <w:shd w:val="clear" w:color="auto" w:fill="FFFFFF"/>
            <w:noWrap w:val="0"/>
            <w:vAlign w:val="center"/>
          </w:tcPr>
          <w:p w14:paraId="73ED2897">
            <w:pPr>
              <w:adjustRightInd w:val="0"/>
              <w:snapToGrid w:val="0"/>
              <w:spacing w:line="240" w:lineRule="atLeast"/>
              <w:jc w:val="center"/>
              <w:rPr>
                <w:rFonts w:eastAsia="仿宋"/>
                <w:sz w:val="24"/>
                <w:szCs w:val="24"/>
              </w:rPr>
            </w:pPr>
          </w:p>
        </w:tc>
        <w:tc>
          <w:tcPr>
            <w:tcW w:w="5648" w:type="dxa"/>
            <w:gridSpan w:val="9"/>
            <w:shd w:val="clear" w:color="auto" w:fill="auto"/>
            <w:noWrap w:val="0"/>
            <w:vAlign w:val="center"/>
          </w:tcPr>
          <w:p w14:paraId="17307C61">
            <w:pPr>
              <w:adjustRightInd w:val="0"/>
              <w:snapToGrid w:val="0"/>
              <w:rPr>
                <w:rFonts w:eastAsia="仿宋"/>
                <w:bCs/>
                <w:sz w:val="24"/>
                <w:szCs w:val="24"/>
              </w:rPr>
            </w:pPr>
            <w:r>
              <w:rPr>
                <w:rFonts w:hAnsi="仿宋" w:eastAsia="仿宋"/>
                <w:bCs/>
                <w:sz w:val="24"/>
                <w:szCs w:val="24"/>
              </w:rPr>
              <w:t>三、朗读技能训练</w:t>
            </w:r>
          </w:p>
          <w:p w14:paraId="33DBB81A">
            <w:pPr>
              <w:adjustRightInd w:val="0"/>
              <w:snapToGrid w:val="0"/>
              <w:ind w:firstLine="480" w:firstLineChars="200"/>
              <w:rPr>
                <w:rFonts w:eastAsia="仿宋"/>
                <w:bCs/>
                <w:sz w:val="24"/>
                <w:szCs w:val="24"/>
              </w:rPr>
            </w:pPr>
            <w:r>
              <w:rPr>
                <w:rFonts w:hAnsi="仿宋" w:eastAsia="仿宋"/>
                <w:bCs/>
                <w:sz w:val="24"/>
                <w:szCs w:val="24"/>
              </w:rPr>
              <w:t>主要内容：作品的感受和理解；语调、重音、顿连、节奏等朗读技巧的运用训练；诗歌、散文等文体的诵读训练。</w:t>
            </w:r>
          </w:p>
          <w:p w14:paraId="7A6FDD84">
            <w:pPr>
              <w:adjustRightInd w:val="0"/>
              <w:snapToGrid w:val="0"/>
              <w:ind w:firstLine="480" w:firstLineChars="200"/>
              <w:rPr>
                <w:rFonts w:eastAsia="仿宋"/>
                <w:bCs/>
                <w:sz w:val="24"/>
                <w:szCs w:val="24"/>
              </w:rPr>
            </w:pPr>
            <w:r>
              <w:rPr>
                <w:rFonts w:hAnsi="仿宋" w:eastAsia="仿宋"/>
                <w:bCs/>
                <w:sz w:val="24"/>
                <w:szCs w:val="24"/>
              </w:rPr>
              <w:t>开设条件：语音室或多媒体教室。</w:t>
            </w:r>
          </w:p>
        </w:tc>
        <w:tc>
          <w:tcPr>
            <w:tcW w:w="1153" w:type="dxa"/>
            <w:gridSpan w:val="3"/>
            <w:shd w:val="clear" w:color="auto" w:fill="auto"/>
            <w:noWrap w:val="0"/>
            <w:vAlign w:val="center"/>
          </w:tcPr>
          <w:p w14:paraId="5F28464A">
            <w:pPr>
              <w:widowControl/>
              <w:adjustRightInd w:val="0"/>
              <w:snapToGrid w:val="0"/>
              <w:jc w:val="center"/>
              <w:rPr>
                <w:rFonts w:eastAsia="仿宋"/>
                <w:bCs/>
                <w:sz w:val="24"/>
                <w:szCs w:val="24"/>
              </w:rPr>
            </w:pPr>
            <w:r>
              <w:rPr>
                <w:rFonts w:hAnsi="仿宋" w:eastAsia="仿宋"/>
                <w:bCs/>
                <w:sz w:val="24"/>
                <w:szCs w:val="24"/>
              </w:rPr>
              <w:t>支撑课程目标</w:t>
            </w:r>
            <w:r>
              <w:rPr>
                <w:rFonts w:eastAsia="仿宋"/>
                <w:bCs/>
                <w:sz w:val="24"/>
                <w:szCs w:val="24"/>
              </w:rPr>
              <w:t>1</w:t>
            </w:r>
            <w:r>
              <w:rPr>
                <w:rFonts w:hAnsi="仿宋" w:eastAsia="仿宋"/>
                <w:bCs/>
                <w:sz w:val="24"/>
                <w:szCs w:val="24"/>
              </w:rPr>
              <w:t>、</w:t>
            </w:r>
            <w:r>
              <w:rPr>
                <w:rFonts w:eastAsia="仿宋"/>
                <w:bCs/>
                <w:sz w:val="24"/>
                <w:szCs w:val="24"/>
              </w:rPr>
              <w:t>2</w:t>
            </w:r>
          </w:p>
        </w:tc>
        <w:tc>
          <w:tcPr>
            <w:tcW w:w="924" w:type="dxa"/>
            <w:gridSpan w:val="2"/>
            <w:shd w:val="clear" w:color="auto" w:fill="FFFFFF"/>
            <w:noWrap w:val="0"/>
            <w:vAlign w:val="center"/>
          </w:tcPr>
          <w:p w14:paraId="57D69652">
            <w:pPr>
              <w:adjustRightInd w:val="0"/>
              <w:snapToGrid w:val="0"/>
              <w:jc w:val="center"/>
              <w:rPr>
                <w:rFonts w:eastAsia="仿宋"/>
                <w:sz w:val="24"/>
                <w:szCs w:val="24"/>
              </w:rPr>
            </w:pPr>
            <w:r>
              <w:rPr>
                <w:rFonts w:eastAsia="仿宋"/>
                <w:sz w:val="24"/>
                <w:szCs w:val="24"/>
              </w:rPr>
              <w:t>5</w:t>
            </w:r>
          </w:p>
        </w:tc>
      </w:tr>
      <w:tr w14:paraId="73C9D841">
        <w:trPr>
          <w:trHeight w:val="454" w:hRule="atLeast"/>
          <w:jc w:val="center"/>
        </w:trPr>
        <w:tc>
          <w:tcPr>
            <w:tcW w:w="1423" w:type="dxa"/>
            <w:vMerge w:val="continue"/>
            <w:shd w:val="clear" w:color="auto" w:fill="FFFFFF"/>
            <w:noWrap w:val="0"/>
            <w:vAlign w:val="center"/>
          </w:tcPr>
          <w:p w14:paraId="23783B61">
            <w:pPr>
              <w:adjustRightInd w:val="0"/>
              <w:snapToGrid w:val="0"/>
              <w:spacing w:line="240" w:lineRule="atLeast"/>
              <w:jc w:val="center"/>
              <w:rPr>
                <w:rFonts w:eastAsia="仿宋"/>
                <w:sz w:val="24"/>
                <w:szCs w:val="24"/>
              </w:rPr>
            </w:pPr>
          </w:p>
        </w:tc>
        <w:tc>
          <w:tcPr>
            <w:tcW w:w="5648" w:type="dxa"/>
            <w:gridSpan w:val="9"/>
            <w:shd w:val="clear" w:color="auto" w:fill="auto"/>
            <w:noWrap w:val="0"/>
            <w:vAlign w:val="center"/>
          </w:tcPr>
          <w:p w14:paraId="1DB9608F">
            <w:pPr>
              <w:adjustRightInd w:val="0"/>
              <w:snapToGrid w:val="0"/>
              <w:rPr>
                <w:rFonts w:eastAsia="仿宋"/>
                <w:bCs/>
                <w:sz w:val="24"/>
                <w:szCs w:val="24"/>
              </w:rPr>
            </w:pPr>
            <w:r>
              <w:rPr>
                <w:rFonts w:hAnsi="仿宋" w:eastAsia="仿宋"/>
                <w:bCs/>
                <w:sz w:val="24"/>
                <w:szCs w:val="24"/>
              </w:rPr>
              <w:t>四、一般口语表达训练</w:t>
            </w:r>
          </w:p>
          <w:p w14:paraId="67CE035E">
            <w:pPr>
              <w:adjustRightInd w:val="0"/>
              <w:snapToGrid w:val="0"/>
              <w:ind w:firstLine="480" w:firstLineChars="200"/>
              <w:rPr>
                <w:rFonts w:eastAsia="仿宋"/>
                <w:bCs/>
                <w:sz w:val="24"/>
                <w:szCs w:val="24"/>
              </w:rPr>
            </w:pPr>
            <w:r>
              <w:rPr>
                <w:rFonts w:hAnsi="仿宋" w:eastAsia="仿宋"/>
                <w:bCs/>
                <w:sz w:val="24"/>
                <w:szCs w:val="24"/>
              </w:rPr>
              <w:t>主要内容：讲故事训练、当众演讲训练、体态语运用训练、人际沟通技能训练。</w:t>
            </w:r>
          </w:p>
          <w:p w14:paraId="73CF6590">
            <w:pPr>
              <w:adjustRightInd w:val="0"/>
              <w:snapToGrid w:val="0"/>
              <w:ind w:firstLine="480" w:firstLineChars="200"/>
              <w:rPr>
                <w:rFonts w:eastAsia="仿宋"/>
                <w:bCs/>
                <w:sz w:val="24"/>
                <w:szCs w:val="24"/>
              </w:rPr>
            </w:pPr>
            <w:r>
              <w:rPr>
                <w:rFonts w:hAnsi="仿宋" w:eastAsia="仿宋"/>
                <w:bCs/>
                <w:sz w:val="24"/>
                <w:szCs w:val="24"/>
              </w:rPr>
              <w:t>开设条件：语音室或多媒体教室。</w:t>
            </w:r>
          </w:p>
        </w:tc>
        <w:tc>
          <w:tcPr>
            <w:tcW w:w="1153" w:type="dxa"/>
            <w:gridSpan w:val="3"/>
            <w:shd w:val="clear" w:color="auto" w:fill="auto"/>
            <w:noWrap w:val="0"/>
            <w:vAlign w:val="center"/>
          </w:tcPr>
          <w:p w14:paraId="43FCEAA9">
            <w:pPr>
              <w:widowControl/>
              <w:adjustRightInd w:val="0"/>
              <w:snapToGrid w:val="0"/>
              <w:jc w:val="center"/>
              <w:rPr>
                <w:rFonts w:eastAsia="仿宋"/>
                <w:bCs/>
                <w:sz w:val="24"/>
                <w:szCs w:val="24"/>
              </w:rPr>
            </w:pPr>
            <w:r>
              <w:rPr>
                <w:rFonts w:hAnsi="仿宋" w:eastAsia="仿宋"/>
                <w:bCs/>
                <w:sz w:val="24"/>
                <w:szCs w:val="24"/>
              </w:rPr>
              <w:t>支撑课程目标</w:t>
            </w:r>
            <w:r>
              <w:rPr>
                <w:rFonts w:eastAsia="仿宋"/>
                <w:bCs/>
                <w:sz w:val="24"/>
                <w:szCs w:val="24"/>
              </w:rPr>
              <w:t>1</w:t>
            </w:r>
            <w:r>
              <w:rPr>
                <w:rFonts w:hAnsi="仿宋" w:eastAsia="仿宋"/>
                <w:bCs/>
                <w:sz w:val="24"/>
                <w:szCs w:val="24"/>
              </w:rPr>
              <w:t>、</w:t>
            </w:r>
            <w:r>
              <w:rPr>
                <w:rFonts w:eastAsia="仿宋"/>
                <w:bCs/>
                <w:sz w:val="24"/>
                <w:szCs w:val="24"/>
              </w:rPr>
              <w:t>2</w:t>
            </w:r>
            <w:r>
              <w:rPr>
                <w:rFonts w:hAnsi="仿宋" w:eastAsia="仿宋"/>
                <w:bCs/>
                <w:sz w:val="24"/>
                <w:szCs w:val="24"/>
              </w:rPr>
              <w:t>、</w:t>
            </w:r>
            <w:r>
              <w:rPr>
                <w:rFonts w:eastAsia="仿宋"/>
                <w:bCs/>
                <w:sz w:val="24"/>
                <w:szCs w:val="24"/>
              </w:rPr>
              <w:t>3</w:t>
            </w:r>
          </w:p>
        </w:tc>
        <w:tc>
          <w:tcPr>
            <w:tcW w:w="924" w:type="dxa"/>
            <w:gridSpan w:val="2"/>
            <w:shd w:val="clear" w:color="auto" w:fill="FFFFFF"/>
            <w:noWrap w:val="0"/>
            <w:vAlign w:val="center"/>
          </w:tcPr>
          <w:p w14:paraId="10CC37E4">
            <w:pPr>
              <w:adjustRightInd w:val="0"/>
              <w:snapToGrid w:val="0"/>
              <w:jc w:val="center"/>
              <w:rPr>
                <w:rFonts w:eastAsia="仿宋"/>
                <w:bCs/>
                <w:sz w:val="24"/>
                <w:szCs w:val="24"/>
              </w:rPr>
            </w:pPr>
            <w:r>
              <w:rPr>
                <w:rFonts w:eastAsia="仿宋"/>
                <w:bCs/>
                <w:sz w:val="24"/>
                <w:szCs w:val="24"/>
              </w:rPr>
              <w:t>14</w:t>
            </w:r>
          </w:p>
        </w:tc>
      </w:tr>
      <w:tr w14:paraId="66EEBC01">
        <w:trPr>
          <w:trHeight w:val="1621" w:hRule="atLeast"/>
          <w:jc w:val="center"/>
        </w:trPr>
        <w:tc>
          <w:tcPr>
            <w:tcW w:w="1423" w:type="dxa"/>
            <w:vMerge w:val="continue"/>
            <w:shd w:val="clear" w:color="auto" w:fill="FFFFFF"/>
            <w:noWrap w:val="0"/>
            <w:vAlign w:val="center"/>
          </w:tcPr>
          <w:p w14:paraId="751C2CE6">
            <w:pPr>
              <w:adjustRightInd w:val="0"/>
              <w:snapToGrid w:val="0"/>
              <w:spacing w:line="240" w:lineRule="atLeast"/>
              <w:jc w:val="center"/>
              <w:rPr>
                <w:rFonts w:eastAsia="仿宋"/>
                <w:sz w:val="24"/>
                <w:szCs w:val="24"/>
              </w:rPr>
            </w:pPr>
          </w:p>
        </w:tc>
        <w:tc>
          <w:tcPr>
            <w:tcW w:w="5648" w:type="dxa"/>
            <w:gridSpan w:val="9"/>
            <w:shd w:val="clear" w:color="auto" w:fill="auto"/>
            <w:noWrap w:val="0"/>
            <w:vAlign w:val="center"/>
          </w:tcPr>
          <w:p w14:paraId="48F15A89">
            <w:pPr>
              <w:adjustRightInd w:val="0"/>
              <w:snapToGrid w:val="0"/>
              <w:rPr>
                <w:rFonts w:eastAsia="仿宋"/>
                <w:bCs/>
                <w:sz w:val="24"/>
                <w:szCs w:val="24"/>
              </w:rPr>
            </w:pPr>
            <w:r>
              <w:rPr>
                <w:rFonts w:hAnsi="仿宋" w:eastAsia="仿宋"/>
                <w:bCs/>
                <w:sz w:val="24"/>
                <w:szCs w:val="24"/>
              </w:rPr>
              <w:t>五、教师职业口语训练</w:t>
            </w:r>
          </w:p>
          <w:p w14:paraId="72C31773">
            <w:pPr>
              <w:adjustRightInd w:val="0"/>
              <w:snapToGrid w:val="0"/>
              <w:ind w:firstLine="480" w:firstLineChars="200"/>
              <w:rPr>
                <w:rFonts w:eastAsia="仿宋"/>
                <w:bCs/>
                <w:sz w:val="24"/>
                <w:szCs w:val="24"/>
              </w:rPr>
            </w:pPr>
            <w:r>
              <w:rPr>
                <w:rFonts w:hAnsi="仿宋" w:eastAsia="仿宋"/>
                <w:bCs/>
                <w:sz w:val="24"/>
                <w:szCs w:val="24"/>
              </w:rPr>
              <w:t>主要内容：导入语、讲授语等教学口语表达训练、激励语、批评语等教育口语表达训练。</w:t>
            </w:r>
          </w:p>
          <w:p w14:paraId="0F64EBA7">
            <w:pPr>
              <w:adjustRightInd w:val="0"/>
              <w:snapToGrid w:val="0"/>
              <w:ind w:firstLine="480" w:firstLineChars="200"/>
              <w:rPr>
                <w:rFonts w:eastAsia="仿宋"/>
                <w:bCs/>
                <w:sz w:val="24"/>
                <w:szCs w:val="24"/>
              </w:rPr>
            </w:pPr>
            <w:r>
              <w:rPr>
                <w:rFonts w:hAnsi="仿宋" w:eastAsia="仿宋"/>
                <w:bCs/>
                <w:sz w:val="24"/>
                <w:szCs w:val="24"/>
              </w:rPr>
              <w:t>开设条件：语音室或多媒体教室。</w:t>
            </w:r>
          </w:p>
        </w:tc>
        <w:tc>
          <w:tcPr>
            <w:tcW w:w="1153" w:type="dxa"/>
            <w:gridSpan w:val="3"/>
            <w:shd w:val="clear" w:color="auto" w:fill="auto"/>
            <w:noWrap w:val="0"/>
            <w:vAlign w:val="center"/>
          </w:tcPr>
          <w:p w14:paraId="48D075C9">
            <w:pPr>
              <w:widowControl/>
              <w:adjustRightInd w:val="0"/>
              <w:snapToGrid w:val="0"/>
              <w:jc w:val="center"/>
              <w:rPr>
                <w:rFonts w:eastAsia="仿宋"/>
                <w:bCs/>
                <w:sz w:val="24"/>
                <w:szCs w:val="24"/>
              </w:rPr>
            </w:pPr>
            <w:r>
              <w:rPr>
                <w:rFonts w:hAnsi="仿宋" w:eastAsia="仿宋"/>
                <w:bCs/>
                <w:sz w:val="24"/>
                <w:szCs w:val="24"/>
              </w:rPr>
              <w:t>支撑课程目标</w:t>
            </w:r>
            <w:r>
              <w:rPr>
                <w:rFonts w:eastAsia="仿宋"/>
                <w:bCs/>
                <w:sz w:val="24"/>
                <w:szCs w:val="24"/>
              </w:rPr>
              <w:t>1</w:t>
            </w:r>
            <w:r>
              <w:rPr>
                <w:rFonts w:hAnsi="仿宋" w:eastAsia="仿宋"/>
                <w:bCs/>
                <w:sz w:val="24"/>
                <w:szCs w:val="24"/>
              </w:rPr>
              <w:t>、</w:t>
            </w:r>
            <w:r>
              <w:rPr>
                <w:rFonts w:eastAsia="仿宋"/>
                <w:bCs/>
                <w:sz w:val="24"/>
                <w:szCs w:val="24"/>
              </w:rPr>
              <w:t>2</w:t>
            </w:r>
            <w:r>
              <w:rPr>
                <w:rFonts w:hAnsi="仿宋" w:eastAsia="仿宋"/>
                <w:bCs/>
                <w:sz w:val="24"/>
                <w:szCs w:val="24"/>
              </w:rPr>
              <w:t>、</w:t>
            </w:r>
            <w:r>
              <w:rPr>
                <w:rFonts w:eastAsia="仿宋"/>
                <w:bCs/>
                <w:sz w:val="24"/>
                <w:szCs w:val="24"/>
              </w:rPr>
              <w:t>3</w:t>
            </w:r>
          </w:p>
        </w:tc>
        <w:tc>
          <w:tcPr>
            <w:tcW w:w="924" w:type="dxa"/>
            <w:gridSpan w:val="2"/>
            <w:shd w:val="clear" w:color="auto" w:fill="FFFFFF"/>
            <w:noWrap w:val="0"/>
            <w:vAlign w:val="center"/>
          </w:tcPr>
          <w:p w14:paraId="544448EA">
            <w:pPr>
              <w:adjustRightInd w:val="0"/>
              <w:snapToGrid w:val="0"/>
              <w:jc w:val="center"/>
              <w:rPr>
                <w:rFonts w:eastAsia="仿宋"/>
                <w:bCs/>
                <w:sz w:val="24"/>
                <w:szCs w:val="24"/>
              </w:rPr>
            </w:pPr>
            <w:r>
              <w:rPr>
                <w:rFonts w:eastAsia="仿宋"/>
                <w:bCs/>
                <w:sz w:val="24"/>
                <w:szCs w:val="24"/>
              </w:rPr>
              <w:t>6</w:t>
            </w:r>
          </w:p>
        </w:tc>
      </w:tr>
      <w:tr w14:paraId="1D646762">
        <w:trPr>
          <w:trHeight w:val="454" w:hRule="atLeast"/>
          <w:jc w:val="center"/>
        </w:trPr>
        <w:tc>
          <w:tcPr>
            <w:tcW w:w="1423" w:type="dxa"/>
            <w:vMerge w:val="continue"/>
            <w:shd w:val="clear" w:color="auto" w:fill="FFFFFF"/>
            <w:noWrap w:val="0"/>
            <w:vAlign w:val="center"/>
          </w:tcPr>
          <w:p w14:paraId="06833222">
            <w:pPr>
              <w:adjustRightInd w:val="0"/>
              <w:snapToGrid w:val="0"/>
              <w:spacing w:line="240" w:lineRule="atLeast"/>
              <w:jc w:val="center"/>
              <w:rPr>
                <w:rFonts w:eastAsia="仿宋"/>
                <w:sz w:val="24"/>
                <w:szCs w:val="24"/>
              </w:rPr>
            </w:pPr>
          </w:p>
        </w:tc>
        <w:tc>
          <w:tcPr>
            <w:tcW w:w="6801" w:type="dxa"/>
            <w:gridSpan w:val="12"/>
            <w:shd w:val="clear" w:color="auto" w:fill="auto"/>
            <w:noWrap w:val="0"/>
            <w:vAlign w:val="center"/>
          </w:tcPr>
          <w:p w14:paraId="5A77F339">
            <w:pPr>
              <w:adjustRightInd w:val="0"/>
              <w:snapToGrid w:val="0"/>
              <w:jc w:val="center"/>
              <w:rPr>
                <w:rFonts w:eastAsia="仿宋"/>
                <w:bCs/>
                <w:sz w:val="24"/>
                <w:szCs w:val="24"/>
              </w:rPr>
            </w:pPr>
            <w:r>
              <w:rPr>
                <w:rFonts w:hAnsi="仿宋" w:eastAsia="仿宋"/>
                <w:bCs/>
                <w:sz w:val="24"/>
                <w:szCs w:val="24"/>
              </w:rPr>
              <w:t>合计</w:t>
            </w:r>
          </w:p>
        </w:tc>
        <w:tc>
          <w:tcPr>
            <w:tcW w:w="924" w:type="dxa"/>
            <w:gridSpan w:val="2"/>
            <w:shd w:val="clear" w:color="auto" w:fill="FFFFFF"/>
            <w:noWrap w:val="0"/>
            <w:vAlign w:val="center"/>
          </w:tcPr>
          <w:p w14:paraId="00919CDF">
            <w:pPr>
              <w:adjustRightInd w:val="0"/>
              <w:snapToGrid w:val="0"/>
              <w:jc w:val="center"/>
              <w:rPr>
                <w:rFonts w:eastAsia="仿宋"/>
                <w:sz w:val="24"/>
                <w:szCs w:val="24"/>
              </w:rPr>
            </w:pPr>
            <w:r>
              <w:rPr>
                <w:rFonts w:hint="eastAsia" w:eastAsia="仿宋"/>
                <w:sz w:val="24"/>
                <w:szCs w:val="24"/>
              </w:rPr>
              <w:t>42</w:t>
            </w:r>
          </w:p>
        </w:tc>
      </w:tr>
      <w:tr w14:paraId="4CAA7E1A">
        <w:trPr>
          <w:trHeight w:val="2541" w:hRule="atLeast"/>
          <w:jc w:val="center"/>
        </w:trPr>
        <w:tc>
          <w:tcPr>
            <w:tcW w:w="1423" w:type="dxa"/>
            <w:noWrap w:val="0"/>
            <w:vAlign w:val="center"/>
          </w:tcPr>
          <w:p w14:paraId="303452D0">
            <w:pPr>
              <w:adjustRightInd w:val="0"/>
              <w:snapToGrid w:val="0"/>
              <w:spacing w:line="240" w:lineRule="atLeast"/>
              <w:jc w:val="center"/>
              <w:rPr>
                <w:rFonts w:eastAsia="仿宋"/>
                <w:sz w:val="24"/>
                <w:szCs w:val="24"/>
              </w:rPr>
            </w:pPr>
            <w:r>
              <w:rPr>
                <w:rFonts w:eastAsia="仿宋"/>
                <w:sz w:val="24"/>
                <w:szCs w:val="24"/>
              </w:rPr>
              <w:t>I</w:t>
            </w:r>
          </w:p>
          <w:p w14:paraId="603DED65">
            <w:pPr>
              <w:adjustRightInd w:val="0"/>
              <w:snapToGrid w:val="0"/>
              <w:spacing w:line="240" w:lineRule="atLeast"/>
              <w:jc w:val="center"/>
              <w:rPr>
                <w:rFonts w:eastAsia="仿宋"/>
                <w:sz w:val="24"/>
                <w:szCs w:val="24"/>
                <w:lang w:eastAsia="zh-TW"/>
              </w:rPr>
            </w:pPr>
            <w:r>
              <w:rPr>
                <w:rFonts w:hAnsi="仿宋" w:eastAsia="仿宋"/>
                <w:sz w:val="24"/>
                <w:szCs w:val="24"/>
              </w:rPr>
              <w:t>教学方法与教学方式</w:t>
            </w:r>
          </w:p>
        </w:tc>
        <w:tc>
          <w:tcPr>
            <w:tcW w:w="7725" w:type="dxa"/>
            <w:gridSpan w:val="14"/>
            <w:tcBorders>
              <w:bottom w:val="single" w:color="auto" w:sz="4" w:space="0"/>
            </w:tcBorders>
            <w:noWrap w:val="0"/>
            <w:vAlign w:val="center"/>
          </w:tcPr>
          <w:p w14:paraId="2BACA80B">
            <w:pPr>
              <w:numPr>
                <w:ilvl w:val="0"/>
                <w:numId w:val="0"/>
              </w:numPr>
              <w:adjustRightInd w:val="0"/>
              <w:snapToGrid w:val="0"/>
              <w:ind w:leftChars="0"/>
              <w:rPr>
                <w:rFonts w:eastAsia="仿宋"/>
                <w:sz w:val="24"/>
                <w:szCs w:val="24"/>
              </w:rPr>
            </w:pPr>
            <w:r>
              <w:rPr>
                <w:rFonts w:hint="default" w:hAnsi="仿宋" w:eastAsia="仿宋"/>
                <w:sz w:val="24"/>
                <w:szCs w:val="24"/>
              </w:rPr>
              <w:t>1</w:t>
            </w:r>
            <w:r>
              <w:rPr>
                <w:rFonts w:hint="eastAsia" w:hAnsi="仿宋" w:eastAsia="仿宋"/>
                <w:sz w:val="24"/>
                <w:szCs w:val="24"/>
                <w:lang w:val="en-US" w:eastAsia="zh-Hans"/>
              </w:rPr>
              <w:t>.</w:t>
            </w:r>
            <w:r>
              <w:rPr>
                <w:rFonts w:hAnsi="仿宋" w:eastAsia="仿宋"/>
                <w:sz w:val="24"/>
                <w:szCs w:val="24"/>
              </w:rPr>
              <w:t>本课程坚持</w:t>
            </w:r>
            <w:r>
              <w:rPr>
                <w:rFonts w:eastAsia="仿宋"/>
                <w:sz w:val="24"/>
                <w:szCs w:val="24"/>
              </w:rPr>
              <w:t>“</w:t>
            </w:r>
            <w:r>
              <w:rPr>
                <w:rFonts w:hAnsi="仿宋" w:eastAsia="仿宋"/>
                <w:sz w:val="24"/>
                <w:szCs w:val="24"/>
              </w:rPr>
              <w:t>理论为辅，注重实践</w:t>
            </w:r>
            <w:r>
              <w:rPr>
                <w:rFonts w:eastAsia="仿宋"/>
                <w:sz w:val="24"/>
                <w:szCs w:val="24"/>
              </w:rPr>
              <w:t>”</w:t>
            </w:r>
            <w:r>
              <w:rPr>
                <w:rFonts w:hAnsi="仿宋" w:eastAsia="仿宋"/>
                <w:sz w:val="24"/>
                <w:szCs w:val="24"/>
              </w:rPr>
              <w:t>的教学原则，采用技能训练为主、理论讲授为辅的教学方法。</w:t>
            </w:r>
          </w:p>
          <w:p w14:paraId="66ACE58E">
            <w:pPr>
              <w:numPr>
                <w:ilvl w:val="0"/>
                <w:numId w:val="0"/>
              </w:numPr>
              <w:adjustRightInd w:val="0"/>
              <w:snapToGrid w:val="0"/>
              <w:ind w:leftChars="0"/>
              <w:rPr>
                <w:rFonts w:eastAsia="仿宋"/>
                <w:sz w:val="24"/>
                <w:szCs w:val="24"/>
              </w:rPr>
            </w:pPr>
            <w:r>
              <w:rPr>
                <w:rFonts w:hint="default" w:hAnsi="仿宋" w:eastAsia="仿宋"/>
                <w:sz w:val="24"/>
                <w:szCs w:val="24"/>
              </w:rPr>
              <w:t>2</w:t>
            </w:r>
            <w:r>
              <w:rPr>
                <w:rFonts w:hint="eastAsia" w:hAnsi="仿宋" w:eastAsia="仿宋"/>
                <w:sz w:val="24"/>
                <w:szCs w:val="24"/>
                <w:lang w:val="en-US" w:eastAsia="zh-Hans"/>
              </w:rPr>
              <w:t>.</w:t>
            </w:r>
            <w:r>
              <w:rPr>
                <w:rFonts w:hAnsi="仿宋" w:eastAsia="仿宋"/>
                <w:sz w:val="24"/>
                <w:szCs w:val="24"/>
              </w:rPr>
              <w:t>利用多媒体手段、网络课程资源辅助教学，进行线上线下混合教学。</w:t>
            </w:r>
          </w:p>
          <w:p w14:paraId="1BDEDF60">
            <w:pPr>
              <w:numPr>
                <w:ilvl w:val="0"/>
                <w:numId w:val="0"/>
              </w:numPr>
              <w:adjustRightInd w:val="0"/>
              <w:snapToGrid w:val="0"/>
              <w:ind w:leftChars="0"/>
              <w:rPr>
                <w:rFonts w:eastAsia="仿宋"/>
                <w:sz w:val="24"/>
                <w:szCs w:val="24"/>
              </w:rPr>
            </w:pPr>
            <w:r>
              <w:rPr>
                <w:rFonts w:hint="default" w:hAnsi="仿宋" w:eastAsia="仿宋"/>
                <w:sz w:val="24"/>
                <w:szCs w:val="24"/>
              </w:rPr>
              <w:t>3</w:t>
            </w:r>
            <w:r>
              <w:rPr>
                <w:rFonts w:hint="eastAsia" w:hAnsi="仿宋" w:eastAsia="仿宋"/>
                <w:sz w:val="24"/>
                <w:szCs w:val="24"/>
                <w:lang w:val="en-US" w:eastAsia="zh-Hans"/>
              </w:rPr>
              <w:t>.</w:t>
            </w:r>
            <w:r>
              <w:rPr>
                <w:rFonts w:hAnsi="仿宋" w:eastAsia="仿宋"/>
                <w:sz w:val="24"/>
                <w:szCs w:val="24"/>
              </w:rPr>
              <w:t>主要方式：</w:t>
            </w:r>
          </w:p>
          <w:p w14:paraId="0418C151">
            <w:pPr>
              <w:adjustRightInd w:val="0"/>
              <w:snapToGrid w:val="0"/>
              <w:ind w:firstLine="480" w:firstLineChars="200"/>
              <w:rPr>
                <w:rFonts w:eastAsia="仿宋"/>
                <w:sz w:val="24"/>
                <w:szCs w:val="24"/>
              </w:rPr>
            </w:pPr>
            <w:r>
              <w:rPr>
                <w:rFonts w:eastAsia="仿宋"/>
                <w:sz w:val="24"/>
                <w:szCs w:val="24"/>
              </w:rPr>
              <w:sym w:font="Wingdings" w:char="00FE"/>
            </w:r>
            <w:r>
              <w:rPr>
                <w:rFonts w:hAnsi="仿宋" w:eastAsia="仿宋"/>
                <w:sz w:val="24"/>
                <w:szCs w:val="24"/>
              </w:rPr>
              <w:t>讲授</w:t>
            </w:r>
            <w:r>
              <w:rPr>
                <w:rFonts w:eastAsia="仿宋"/>
                <w:sz w:val="24"/>
                <w:szCs w:val="24"/>
              </w:rPr>
              <w:t xml:space="preserve">  </w:t>
            </w:r>
            <w:r>
              <w:rPr>
                <w:rFonts w:eastAsia="仿宋"/>
                <w:sz w:val="24"/>
                <w:szCs w:val="24"/>
              </w:rPr>
              <w:sym w:font="Wingdings" w:char="00FE"/>
            </w:r>
            <w:r>
              <w:rPr>
                <w:rFonts w:hAnsi="仿宋" w:eastAsia="仿宋"/>
                <w:sz w:val="24"/>
                <w:szCs w:val="24"/>
              </w:rPr>
              <w:t>网络学习</w:t>
            </w:r>
            <w:r>
              <w:rPr>
                <w:rFonts w:eastAsia="仿宋"/>
                <w:sz w:val="24"/>
                <w:szCs w:val="24"/>
              </w:rPr>
              <w:t xml:space="preserve">  </w:t>
            </w:r>
            <w:r>
              <w:rPr>
                <w:rFonts w:eastAsia="仿宋"/>
                <w:sz w:val="24"/>
                <w:szCs w:val="24"/>
              </w:rPr>
              <w:sym w:font="Wingdings" w:char="00FE"/>
            </w:r>
            <w:r>
              <w:rPr>
                <w:rFonts w:hAnsi="仿宋" w:eastAsia="仿宋"/>
                <w:sz w:val="24"/>
                <w:szCs w:val="24"/>
              </w:rPr>
              <w:t>讨论或座谈</w:t>
            </w:r>
            <w:r>
              <w:rPr>
                <w:rFonts w:eastAsia="仿宋"/>
                <w:sz w:val="24"/>
                <w:szCs w:val="24"/>
              </w:rPr>
              <w:t xml:space="preserve">  </w:t>
            </w:r>
            <w:r>
              <w:rPr>
                <w:rFonts w:eastAsia="仿宋"/>
                <w:sz w:val="24"/>
                <w:szCs w:val="24"/>
              </w:rPr>
              <w:sym w:font="Wingdings" w:char="00FE"/>
            </w:r>
            <w:r>
              <w:rPr>
                <w:rFonts w:hAnsi="仿宋" w:eastAsia="仿宋"/>
                <w:sz w:val="24"/>
                <w:szCs w:val="24"/>
              </w:rPr>
              <w:t>问题导向学习</w:t>
            </w:r>
          </w:p>
          <w:p w14:paraId="335FF9D2">
            <w:pPr>
              <w:adjustRightInd w:val="0"/>
              <w:snapToGrid w:val="0"/>
              <w:ind w:firstLine="480" w:firstLineChars="200"/>
              <w:rPr>
                <w:rFonts w:eastAsia="仿宋"/>
                <w:sz w:val="24"/>
                <w:szCs w:val="24"/>
              </w:rPr>
            </w:pPr>
            <w:r>
              <w:rPr>
                <w:rFonts w:eastAsia="仿宋"/>
                <w:sz w:val="24"/>
                <w:szCs w:val="24"/>
              </w:rPr>
              <w:sym w:font="Wingdings" w:char="00FE"/>
            </w:r>
            <w:r>
              <w:rPr>
                <w:rFonts w:hAnsi="仿宋" w:eastAsia="仿宋"/>
                <w:sz w:val="24"/>
                <w:szCs w:val="24"/>
              </w:rPr>
              <w:t>分组合作学习</w:t>
            </w:r>
            <w:r>
              <w:rPr>
                <w:rFonts w:eastAsia="仿宋"/>
                <w:sz w:val="24"/>
                <w:szCs w:val="24"/>
              </w:rPr>
              <w:t xml:space="preserve">  </w:t>
            </w:r>
            <w:r>
              <w:rPr>
                <w:rFonts w:eastAsia="仿宋"/>
                <w:sz w:val="24"/>
                <w:szCs w:val="24"/>
              </w:rPr>
              <w:sym w:font="Wingdings" w:char="00A8"/>
            </w:r>
            <w:r>
              <w:rPr>
                <w:rFonts w:hAnsi="仿宋" w:eastAsia="仿宋"/>
                <w:sz w:val="24"/>
                <w:szCs w:val="24"/>
              </w:rPr>
              <w:t>专题学习</w:t>
            </w:r>
            <w:r>
              <w:rPr>
                <w:rFonts w:eastAsia="仿宋"/>
                <w:sz w:val="24"/>
                <w:szCs w:val="24"/>
              </w:rPr>
              <w:t xml:space="preserve"> </w:t>
            </w:r>
            <w:r>
              <w:rPr>
                <w:rFonts w:eastAsia="仿宋"/>
                <w:sz w:val="24"/>
                <w:szCs w:val="24"/>
              </w:rPr>
              <w:sym w:font="Wingdings" w:char="00A8"/>
            </w:r>
            <w:r>
              <w:rPr>
                <w:rFonts w:hAnsi="仿宋" w:eastAsia="仿宋"/>
                <w:sz w:val="24"/>
                <w:szCs w:val="24"/>
              </w:rPr>
              <w:t>实作学习</w:t>
            </w:r>
            <w:r>
              <w:rPr>
                <w:rFonts w:eastAsia="仿宋"/>
                <w:sz w:val="24"/>
                <w:szCs w:val="24"/>
              </w:rPr>
              <w:t xml:space="preserve">  </w:t>
            </w:r>
            <w:r>
              <w:rPr>
                <w:rFonts w:eastAsia="仿宋"/>
                <w:sz w:val="24"/>
                <w:szCs w:val="24"/>
              </w:rPr>
              <w:sym w:font="Wingdings" w:char="00A8"/>
            </w:r>
            <w:r>
              <w:rPr>
                <w:rFonts w:hAnsi="仿宋" w:eastAsia="仿宋"/>
                <w:sz w:val="24"/>
                <w:szCs w:val="24"/>
              </w:rPr>
              <w:t>发表学习</w:t>
            </w:r>
            <w:r>
              <w:rPr>
                <w:rFonts w:eastAsia="仿宋"/>
                <w:sz w:val="24"/>
                <w:szCs w:val="24"/>
              </w:rPr>
              <w:t xml:space="preserve">  </w:t>
            </w:r>
          </w:p>
          <w:p w14:paraId="19921746">
            <w:pPr>
              <w:adjustRightInd w:val="0"/>
              <w:snapToGrid w:val="0"/>
              <w:ind w:firstLine="480" w:firstLineChars="200"/>
              <w:rPr>
                <w:rFonts w:eastAsia="仿宋"/>
                <w:sz w:val="24"/>
                <w:szCs w:val="24"/>
              </w:rPr>
            </w:pPr>
            <w:r>
              <w:rPr>
                <w:rFonts w:eastAsia="仿宋"/>
                <w:sz w:val="24"/>
                <w:szCs w:val="24"/>
              </w:rPr>
              <w:sym w:font="Wingdings" w:char="00A8"/>
            </w:r>
            <w:r>
              <w:rPr>
                <w:rFonts w:hAnsi="仿宋" w:eastAsia="仿宋"/>
                <w:sz w:val="24"/>
                <w:szCs w:val="24"/>
              </w:rPr>
              <w:t>实习</w:t>
            </w:r>
            <w:r>
              <w:rPr>
                <w:rFonts w:eastAsia="仿宋"/>
                <w:sz w:val="24"/>
                <w:szCs w:val="24"/>
              </w:rPr>
              <w:t xml:space="preserve">  </w:t>
            </w:r>
            <w:r>
              <w:rPr>
                <w:rFonts w:eastAsia="仿宋"/>
                <w:sz w:val="24"/>
                <w:szCs w:val="24"/>
              </w:rPr>
              <w:sym w:font="Wingdings" w:char="00A8"/>
            </w:r>
            <w:r>
              <w:rPr>
                <w:rFonts w:hAnsi="仿宋" w:eastAsia="仿宋"/>
                <w:sz w:val="24"/>
                <w:szCs w:val="24"/>
              </w:rPr>
              <w:t>参观访问</w:t>
            </w:r>
            <w:r>
              <w:rPr>
                <w:rFonts w:eastAsia="仿宋"/>
                <w:sz w:val="24"/>
                <w:szCs w:val="24"/>
              </w:rPr>
              <w:t xml:space="preserve">  </w:t>
            </w:r>
            <w:r>
              <w:rPr>
                <w:rFonts w:eastAsia="仿宋"/>
                <w:sz w:val="24"/>
                <w:szCs w:val="24"/>
              </w:rPr>
              <w:sym w:font="Wingdings" w:char="00FE"/>
            </w:r>
            <w:r>
              <w:rPr>
                <w:rFonts w:hAnsi="仿宋" w:eastAsia="仿宋"/>
                <w:sz w:val="24"/>
                <w:szCs w:val="24"/>
              </w:rPr>
              <w:t>其它：</w:t>
            </w:r>
            <w:r>
              <w:rPr>
                <w:rFonts w:eastAsia="仿宋"/>
                <w:sz w:val="24"/>
                <w:szCs w:val="24"/>
                <w:u w:val="single"/>
              </w:rPr>
              <w:t xml:space="preserve"> </w:t>
            </w:r>
            <w:r>
              <w:rPr>
                <w:rFonts w:hint="eastAsia" w:eastAsia="仿宋"/>
                <w:sz w:val="24"/>
                <w:szCs w:val="24"/>
                <w:u w:val="single"/>
              </w:rPr>
              <w:t xml:space="preserve"> </w:t>
            </w:r>
            <w:r>
              <w:rPr>
                <w:rFonts w:hAnsi="仿宋" w:eastAsia="仿宋"/>
                <w:sz w:val="24"/>
                <w:szCs w:val="24"/>
                <w:u w:val="single"/>
              </w:rPr>
              <w:t>口头训练</w:t>
            </w:r>
            <w:r>
              <w:rPr>
                <w:rFonts w:eastAsia="仿宋"/>
                <w:sz w:val="24"/>
                <w:szCs w:val="24"/>
                <w:u w:val="single"/>
              </w:rPr>
              <w:t xml:space="preserve">     </w:t>
            </w:r>
          </w:p>
        </w:tc>
      </w:tr>
      <w:tr w14:paraId="1173CC7C">
        <w:trPr>
          <w:trHeight w:val="1420" w:hRule="atLeast"/>
          <w:jc w:val="center"/>
        </w:trPr>
        <w:tc>
          <w:tcPr>
            <w:tcW w:w="1423" w:type="dxa"/>
            <w:noWrap w:val="0"/>
            <w:vAlign w:val="center"/>
          </w:tcPr>
          <w:p w14:paraId="700D9214">
            <w:pPr>
              <w:adjustRightInd w:val="0"/>
              <w:snapToGrid w:val="0"/>
              <w:spacing w:line="240" w:lineRule="atLeast"/>
              <w:jc w:val="center"/>
              <w:rPr>
                <w:rFonts w:eastAsia="仿宋"/>
                <w:sz w:val="24"/>
                <w:szCs w:val="24"/>
              </w:rPr>
            </w:pPr>
            <w:r>
              <w:rPr>
                <w:rFonts w:eastAsia="仿宋"/>
                <w:sz w:val="24"/>
                <w:szCs w:val="24"/>
              </w:rPr>
              <w:t>J</w:t>
            </w:r>
          </w:p>
          <w:p w14:paraId="5E48CE91">
            <w:pPr>
              <w:adjustRightInd w:val="0"/>
              <w:snapToGrid w:val="0"/>
              <w:spacing w:line="240" w:lineRule="atLeast"/>
              <w:jc w:val="center"/>
              <w:rPr>
                <w:rFonts w:eastAsia="仿宋"/>
                <w:sz w:val="24"/>
                <w:szCs w:val="24"/>
              </w:rPr>
            </w:pPr>
            <w:r>
              <w:rPr>
                <w:rFonts w:hAnsi="仿宋" w:eastAsia="仿宋"/>
                <w:sz w:val="24"/>
                <w:szCs w:val="24"/>
              </w:rPr>
              <w:t>教学条件</w:t>
            </w:r>
          </w:p>
          <w:p w14:paraId="427276C3">
            <w:pPr>
              <w:adjustRightInd w:val="0"/>
              <w:snapToGrid w:val="0"/>
              <w:spacing w:line="240" w:lineRule="atLeast"/>
              <w:jc w:val="center"/>
              <w:rPr>
                <w:rFonts w:eastAsia="仿宋"/>
                <w:sz w:val="24"/>
                <w:szCs w:val="24"/>
              </w:rPr>
            </w:pPr>
            <w:r>
              <w:rPr>
                <w:rFonts w:hAnsi="仿宋" w:eastAsia="仿宋"/>
                <w:sz w:val="24"/>
                <w:szCs w:val="24"/>
              </w:rPr>
              <w:t>需求</w:t>
            </w:r>
          </w:p>
        </w:tc>
        <w:tc>
          <w:tcPr>
            <w:tcW w:w="7725" w:type="dxa"/>
            <w:gridSpan w:val="14"/>
            <w:tcBorders>
              <w:bottom w:val="single" w:color="auto" w:sz="4" w:space="0"/>
            </w:tcBorders>
            <w:noWrap w:val="0"/>
            <w:vAlign w:val="center"/>
          </w:tcPr>
          <w:p w14:paraId="11376A54">
            <w:pPr>
              <w:tabs>
                <w:tab w:val="left" w:pos="720"/>
              </w:tabs>
              <w:adjustRightInd w:val="0"/>
              <w:snapToGrid w:val="0"/>
              <w:spacing w:line="240" w:lineRule="atLeast"/>
              <w:rPr>
                <w:rFonts w:eastAsia="仿宋"/>
                <w:kern w:val="0"/>
                <w:sz w:val="24"/>
                <w:szCs w:val="24"/>
              </w:rPr>
            </w:pPr>
            <w:r>
              <w:rPr>
                <w:rFonts w:hAnsi="仿宋" w:eastAsia="仿宋"/>
                <w:kern w:val="0"/>
                <w:sz w:val="24"/>
                <w:szCs w:val="24"/>
              </w:rPr>
              <w:t>（如时间、地点安排与</w:t>
            </w:r>
            <w:r>
              <w:rPr>
                <w:rFonts w:eastAsia="仿宋"/>
                <w:kern w:val="0"/>
                <w:sz w:val="24"/>
                <w:szCs w:val="24"/>
              </w:rPr>
              <w:t>“</w:t>
            </w:r>
            <w:r>
              <w:rPr>
                <w:rFonts w:hAnsi="仿宋" w:eastAsia="仿宋"/>
                <w:kern w:val="0"/>
                <w:sz w:val="24"/>
                <w:szCs w:val="24"/>
              </w:rPr>
              <w:t>一课双师</w:t>
            </w:r>
            <w:r>
              <w:rPr>
                <w:rFonts w:eastAsia="仿宋"/>
                <w:kern w:val="0"/>
                <w:sz w:val="24"/>
                <w:szCs w:val="24"/>
              </w:rPr>
              <w:t>”</w:t>
            </w:r>
            <w:r>
              <w:rPr>
                <w:rFonts w:hAnsi="仿宋" w:eastAsia="仿宋"/>
                <w:kern w:val="0"/>
                <w:sz w:val="24"/>
                <w:szCs w:val="24"/>
              </w:rPr>
              <w:t>等教师配备需求等）</w:t>
            </w:r>
          </w:p>
          <w:p w14:paraId="065A3DEA">
            <w:pPr>
              <w:tabs>
                <w:tab w:val="left" w:pos="720"/>
              </w:tabs>
              <w:adjustRightInd w:val="0"/>
              <w:snapToGrid w:val="0"/>
              <w:ind w:firstLine="240" w:firstLineChars="100"/>
              <w:rPr>
                <w:rFonts w:eastAsia="仿宋"/>
                <w:sz w:val="24"/>
                <w:szCs w:val="24"/>
              </w:rPr>
            </w:pPr>
            <w:r>
              <w:rPr>
                <w:rFonts w:hAnsi="仿宋" w:eastAsia="仿宋"/>
                <w:sz w:val="24"/>
                <w:szCs w:val="24"/>
              </w:rPr>
              <w:t>语音室（或多媒体教室）。</w:t>
            </w:r>
          </w:p>
        </w:tc>
      </w:tr>
      <w:tr w14:paraId="2B7C5123">
        <w:trPr>
          <w:trHeight w:val="403" w:hRule="atLeast"/>
          <w:jc w:val="center"/>
        </w:trPr>
        <w:tc>
          <w:tcPr>
            <w:tcW w:w="1423" w:type="dxa"/>
            <w:vMerge w:val="restart"/>
            <w:noWrap w:val="0"/>
            <w:vAlign w:val="center"/>
          </w:tcPr>
          <w:p w14:paraId="6A21B7CB">
            <w:pPr>
              <w:adjustRightInd w:val="0"/>
              <w:snapToGrid w:val="0"/>
              <w:spacing w:line="240" w:lineRule="atLeast"/>
              <w:jc w:val="center"/>
              <w:rPr>
                <w:rFonts w:eastAsia="仿宋"/>
                <w:sz w:val="24"/>
                <w:szCs w:val="24"/>
              </w:rPr>
            </w:pPr>
            <w:r>
              <w:rPr>
                <w:rFonts w:eastAsia="仿宋"/>
                <w:sz w:val="24"/>
                <w:szCs w:val="24"/>
              </w:rPr>
              <w:t>K</w:t>
            </w:r>
          </w:p>
          <w:p w14:paraId="43D1B2C7">
            <w:pPr>
              <w:adjustRightInd w:val="0"/>
              <w:snapToGrid w:val="0"/>
              <w:spacing w:line="240" w:lineRule="atLeast"/>
              <w:jc w:val="center"/>
              <w:rPr>
                <w:rFonts w:eastAsia="仿宋"/>
                <w:sz w:val="24"/>
                <w:szCs w:val="24"/>
              </w:rPr>
            </w:pPr>
            <w:r>
              <w:rPr>
                <w:rFonts w:hAnsi="仿宋" w:eastAsia="仿宋"/>
                <w:sz w:val="24"/>
                <w:szCs w:val="24"/>
              </w:rPr>
              <w:t>课程目标及其考核内容、考核方式及评分占比</w:t>
            </w:r>
          </w:p>
        </w:tc>
        <w:tc>
          <w:tcPr>
            <w:tcW w:w="985" w:type="dxa"/>
            <w:vMerge w:val="restart"/>
            <w:noWrap w:val="0"/>
            <w:vAlign w:val="center"/>
          </w:tcPr>
          <w:p w14:paraId="5226766F">
            <w:pPr>
              <w:adjustRightInd w:val="0"/>
              <w:snapToGrid w:val="0"/>
              <w:rPr>
                <w:rFonts w:eastAsia="仿宋"/>
                <w:sz w:val="24"/>
                <w:szCs w:val="24"/>
              </w:rPr>
            </w:pPr>
            <w:r>
              <w:rPr>
                <w:rFonts w:hAnsi="仿宋" w:eastAsia="仿宋"/>
                <w:sz w:val="24"/>
                <w:szCs w:val="24"/>
              </w:rPr>
              <w:t>课程目标及评分占比</w:t>
            </w:r>
          </w:p>
        </w:tc>
        <w:tc>
          <w:tcPr>
            <w:tcW w:w="3247" w:type="dxa"/>
            <w:gridSpan w:val="5"/>
            <w:vMerge w:val="restart"/>
            <w:tcBorders>
              <w:right w:val="single" w:color="000000" w:sz="4" w:space="0"/>
            </w:tcBorders>
            <w:noWrap w:val="0"/>
            <w:vAlign w:val="center"/>
          </w:tcPr>
          <w:p w14:paraId="163B444E">
            <w:pPr>
              <w:tabs>
                <w:tab w:val="left" w:pos="720"/>
              </w:tabs>
              <w:adjustRightInd w:val="0"/>
              <w:snapToGrid w:val="0"/>
              <w:jc w:val="center"/>
              <w:rPr>
                <w:rFonts w:eastAsia="仿宋"/>
                <w:kern w:val="0"/>
                <w:sz w:val="24"/>
                <w:szCs w:val="24"/>
              </w:rPr>
            </w:pPr>
            <w:r>
              <w:rPr>
                <w:rFonts w:hAnsi="仿宋" w:eastAsia="仿宋"/>
                <w:kern w:val="0"/>
                <w:sz w:val="24"/>
                <w:szCs w:val="24"/>
              </w:rPr>
              <w:t>考核内容</w:t>
            </w:r>
          </w:p>
        </w:tc>
        <w:tc>
          <w:tcPr>
            <w:tcW w:w="2904" w:type="dxa"/>
            <w:gridSpan w:val="7"/>
            <w:tcBorders>
              <w:left w:val="single" w:color="000000" w:sz="4" w:space="0"/>
              <w:right w:val="single" w:color="000000" w:sz="4" w:space="0"/>
            </w:tcBorders>
            <w:noWrap w:val="0"/>
            <w:vAlign w:val="center"/>
          </w:tcPr>
          <w:p w14:paraId="5AF3CBDA">
            <w:pPr>
              <w:adjustRightInd w:val="0"/>
              <w:snapToGrid w:val="0"/>
              <w:jc w:val="center"/>
              <w:rPr>
                <w:rFonts w:eastAsia="仿宋"/>
                <w:sz w:val="24"/>
                <w:szCs w:val="24"/>
              </w:rPr>
            </w:pPr>
            <w:r>
              <w:rPr>
                <w:rFonts w:hAnsi="仿宋" w:eastAsia="仿宋"/>
                <w:sz w:val="24"/>
                <w:szCs w:val="24"/>
              </w:rPr>
              <w:t>考核方式（口试为主）</w:t>
            </w:r>
          </w:p>
        </w:tc>
        <w:tc>
          <w:tcPr>
            <w:tcW w:w="589" w:type="dxa"/>
            <w:vMerge w:val="restart"/>
            <w:tcBorders>
              <w:left w:val="single" w:color="000000" w:sz="4" w:space="0"/>
            </w:tcBorders>
            <w:noWrap w:val="0"/>
            <w:vAlign w:val="center"/>
          </w:tcPr>
          <w:p w14:paraId="1F1F7739">
            <w:pPr>
              <w:tabs>
                <w:tab w:val="left" w:pos="720"/>
              </w:tabs>
              <w:adjustRightInd w:val="0"/>
              <w:snapToGrid w:val="0"/>
              <w:jc w:val="center"/>
              <w:rPr>
                <w:rFonts w:eastAsia="仿宋"/>
                <w:kern w:val="0"/>
                <w:sz w:val="24"/>
                <w:szCs w:val="24"/>
              </w:rPr>
            </w:pPr>
            <w:r>
              <w:rPr>
                <w:rFonts w:hAnsi="仿宋" w:eastAsia="仿宋"/>
                <w:sz w:val="24"/>
                <w:szCs w:val="24"/>
              </w:rPr>
              <w:t>课程分目标的达成度</w:t>
            </w:r>
          </w:p>
        </w:tc>
      </w:tr>
      <w:tr w14:paraId="0622D524">
        <w:trPr>
          <w:trHeight w:val="1477" w:hRule="atLeast"/>
          <w:jc w:val="center"/>
        </w:trPr>
        <w:tc>
          <w:tcPr>
            <w:tcW w:w="1423" w:type="dxa"/>
            <w:vMerge w:val="continue"/>
            <w:noWrap w:val="0"/>
            <w:vAlign w:val="center"/>
          </w:tcPr>
          <w:p w14:paraId="0682761E">
            <w:pPr>
              <w:adjustRightInd w:val="0"/>
              <w:snapToGrid w:val="0"/>
              <w:spacing w:line="240" w:lineRule="atLeast"/>
              <w:jc w:val="center"/>
              <w:rPr>
                <w:rFonts w:eastAsia="仿宋"/>
                <w:sz w:val="24"/>
                <w:szCs w:val="24"/>
              </w:rPr>
            </w:pPr>
          </w:p>
        </w:tc>
        <w:tc>
          <w:tcPr>
            <w:tcW w:w="985" w:type="dxa"/>
            <w:vMerge w:val="continue"/>
            <w:tcBorders>
              <w:tl2br w:val="single" w:color="auto" w:sz="4" w:space="0"/>
            </w:tcBorders>
            <w:noWrap w:val="0"/>
            <w:vAlign w:val="center"/>
          </w:tcPr>
          <w:p w14:paraId="4A83BE2A">
            <w:pPr>
              <w:adjustRightInd w:val="0"/>
              <w:snapToGrid w:val="0"/>
              <w:jc w:val="right"/>
              <w:rPr>
                <w:rFonts w:eastAsia="仿宋"/>
                <w:sz w:val="24"/>
                <w:szCs w:val="24"/>
              </w:rPr>
            </w:pPr>
          </w:p>
        </w:tc>
        <w:tc>
          <w:tcPr>
            <w:tcW w:w="3247" w:type="dxa"/>
            <w:gridSpan w:val="5"/>
            <w:vMerge w:val="continue"/>
            <w:tcBorders>
              <w:right w:val="single" w:color="000000" w:sz="4" w:space="0"/>
            </w:tcBorders>
            <w:noWrap w:val="0"/>
            <w:vAlign w:val="center"/>
          </w:tcPr>
          <w:p w14:paraId="6065F6A4">
            <w:pPr>
              <w:tabs>
                <w:tab w:val="left" w:pos="720"/>
              </w:tabs>
              <w:adjustRightInd w:val="0"/>
              <w:snapToGrid w:val="0"/>
              <w:jc w:val="center"/>
              <w:rPr>
                <w:rFonts w:eastAsia="仿宋"/>
                <w:kern w:val="0"/>
                <w:sz w:val="24"/>
                <w:szCs w:val="24"/>
              </w:rPr>
            </w:pPr>
          </w:p>
        </w:tc>
        <w:tc>
          <w:tcPr>
            <w:tcW w:w="555" w:type="dxa"/>
            <w:tcBorders>
              <w:left w:val="single" w:color="000000" w:sz="4" w:space="0"/>
            </w:tcBorders>
            <w:noWrap w:val="0"/>
            <w:vAlign w:val="center"/>
          </w:tcPr>
          <w:p w14:paraId="66A34DFB">
            <w:pPr>
              <w:tabs>
                <w:tab w:val="left" w:pos="720"/>
              </w:tabs>
              <w:adjustRightInd w:val="0"/>
              <w:snapToGrid w:val="0"/>
              <w:jc w:val="center"/>
              <w:rPr>
                <w:rFonts w:eastAsia="仿宋"/>
                <w:sz w:val="24"/>
                <w:szCs w:val="24"/>
              </w:rPr>
            </w:pPr>
            <w:r>
              <w:rPr>
                <w:rFonts w:hAnsi="仿宋" w:eastAsia="仿宋"/>
                <w:sz w:val="24"/>
                <w:szCs w:val="24"/>
              </w:rPr>
              <w:t>作业评分占比</w:t>
            </w:r>
            <w:r>
              <w:rPr>
                <w:rFonts w:hint="eastAsia" w:hAnsi="仿宋" w:eastAsia="仿宋"/>
                <w:sz w:val="24"/>
                <w:szCs w:val="24"/>
              </w:rPr>
              <w:t>(</w:t>
            </w:r>
            <w:r>
              <w:rPr>
                <w:rFonts w:eastAsia="仿宋"/>
                <w:sz w:val="24"/>
                <w:szCs w:val="24"/>
              </w:rPr>
              <w:t>%</w:t>
            </w:r>
            <w:r>
              <w:rPr>
                <w:rFonts w:hint="eastAsia" w:hAnsi="仿宋" w:eastAsia="仿宋"/>
                <w:sz w:val="24"/>
                <w:szCs w:val="24"/>
              </w:rPr>
              <w:t>)</w:t>
            </w:r>
          </w:p>
        </w:tc>
        <w:tc>
          <w:tcPr>
            <w:tcW w:w="575" w:type="dxa"/>
            <w:tcBorders>
              <w:bottom w:val="single" w:color="auto" w:sz="4" w:space="0"/>
              <w:right w:val="single" w:color="000000" w:sz="4" w:space="0"/>
            </w:tcBorders>
            <w:noWrap w:val="0"/>
            <w:vAlign w:val="center"/>
          </w:tcPr>
          <w:p w14:paraId="36D447FB">
            <w:pPr>
              <w:adjustRightInd w:val="0"/>
              <w:snapToGrid w:val="0"/>
              <w:jc w:val="center"/>
              <w:rPr>
                <w:rFonts w:eastAsia="仿宋"/>
                <w:sz w:val="24"/>
                <w:szCs w:val="24"/>
              </w:rPr>
            </w:pPr>
            <w:r>
              <w:rPr>
                <w:rFonts w:hAnsi="仿宋" w:eastAsia="仿宋"/>
                <w:sz w:val="24"/>
                <w:szCs w:val="24"/>
              </w:rPr>
              <w:t>实训评分占比</w:t>
            </w:r>
            <w:r>
              <w:rPr>
                <w:rFonts w:hint="eastAsia" w:hAnsi="仿宋" w:eastAsia="仿宋"/>
                <w:sz w:val="24"/>
                <w:szCs w:val="24"/>
              </w:rPr>
              <w:t>(</w:t>
            </w:r>
            <w:r>
              <w:rPr>
                <w:rFonts w:eastAsia="仿宋"/>
                <w:sz w:val="24"/>
                <w:szCs w:val="24"/>
              </w:rPr>
              <w:t>%</w:t>
            </w:r>
            <w:r>
              <w:rPr>
                <w:rFonts w:hint="eastAsia" w:hAnsi="仿宋" w:eastAsia="仿宋"/>
                <w:sz w:val="24"/>
                <w:szCs w:val="24"/>
              </w:rPr>
              <w:t>)</w:t>
            </w:r>
          </w:p>
        </w:tc>
        <w:tc>
          <w:tcPr>
            <w:tcW w:w="600" w:type="dxa"/>
            <w:gridSpan w:val="2"/>
            <w:tcBorders>
              <w:left w:val="single" w:color="000000" w:sz="4" w:space="0"/>
              <w:bottom w:val="single" w:color="auto" w:sz="4" w:space="0"/>
            </w:tcBorders>
            <w:noWrap w:val="0"/>
            <w:vAlign w:val="center"/>
          </w:tcPr>
          <w:p w14:paraId="7F15CF8B">
            <w:pPr>
              <w:adjustRightInd w:val="0"/>
              <w:snapToGrid w:val="0"/>
              <w:jc w:val="center"/>
              <w:rPr>
                <w:rFonts w:eastAsia="仿宋"/>
                <w:kern w:val="0"/>
                <w:sz w:val="24"/>
                <w:szCs w:val="24"/>
              </w:rPr>
            </w:pPr>
            <w:r>
              <w:rPr>
                <w:rFonts w:hAnsi="仿宋" w:eastAsia="仿宋"/>
                <w:kern w:val="0"/>
                <w:sz w:val="24"/>
                <w:szCs w:val="24"/>
              </w:rPr>
              <w:t>期中考试评分占比</w:t>
            </w:r>
            <w:r>
              <w:rPr>
                <w:rFonts w:hint="eastAsia" w:hAnsi="仿宋" w:eastAsia="仿宋"/>
                <w:sz w:val="24"/>
                <w:szCs w:val="24"/>
              </w:rPr>
              <w:t>(</w:t>
            </w:r>
            <w:r>
              <w:rPr>
                <w:rFonts w:eastAsia="仿宋"/>
                <w:sz w:val="24"/>
                <w:szCs w:val="24"/>
              </w:rPr>
              <w:t>%</w:t>
            </w:r>
            <w:r>
              <w:rPr>
                <w:rFonts w:hint="eastAsia" w:hAnsi="仿宋" w:eastAsia="仿宋"/>
                <w:sz w:val="24"/>
                <w:szCs w:val="24"/>
              </w:rPr>
              <w:t>)</w:t>
            </w:r>
          </w:p>
        </w:tc>
        <w:tc>
          <w:tcPr>
            <w:tcW w:w="600" w:type="dxa"/>
            <w:tcBorders>
              <w:left w:val="single" w:color="000000" w:sz="4" w:space="0"/>
              <w:bottom w:val="single" w:color="auto" w:sz="4" w:space="0"/>
            </w:tcBorders>
            <w:noWrap w:val="0"/>
            <w:vAlign w:val="center"/>
          </w:tcPr>
          <w:p w14:paraId="1CEF25B2">
            <w:pPr>
              <w:adjustRightInd w:val="0"/>
              <w:snapToGrid w:val="0"/>
              <w:jc w:val="center"/>
              <w:rPr>
                <w:rFonts w:eastAsia="仿宋"/>
                <w:sz w:val="24"/>
                <w:szCs w:val="24"/>
              </w:rPr>
            </w:pPr>
            <w:r>
              <w:rPr>
                <w:rFonts w:hAnsi="仿宋" w:eastAsia="仿宋"/>
                <w:sz w:val="24"/>
                <w:szCs w:val="24"/>
              </w:rPr>
              <w:t>课堂表现评分占比</w:t>
            </w:r>
            <w:r>
              <w:rPr>
                <w:rFonts w:hint="eastAsia" w:hAnsi="仿宋" w:eastAsia="仿宋"/>
                <w:sz w:val="24"/>
                <w:szCs w:val="24"/>
              </w:rPr>
              <w:t>(</w:t>
            </w:r>
            <w:r>
              <w:rPr>
                <w:rFonts w:eastAsia="仿宋"/>
                <w:sz w:val="24"/>
                <w:szCs w:val="24"/>
              </w:rPr>
              <w:t>%</w:t>
            </w:r>
            <w:r>
              <w:rPr>
                <w:rFonts w:hint="eastAsia" w:hAnsi="仿宋" w:eastAsia="仿宋"/>
                <w:sz w:val="24"/>
                <w:szCs w:val="24"/>
              </w:rPr>
              <w:t>)</w:t>
            </w:r>
          </w:p>
        </w:tc>
        <w:tc>
          <w:tcPr>
            <w:tcW w:w="574" w:type="dxa"/>
            <w:gridSpan w:val="2"/>
            <w:tcBorders>
              <w:bottom w:val="single" w:color="auto" w:sz="4" w:space="0"/>
              <w:right w:val="single" w:color="000000" w:sz="4" w:space="0"/>
            </w:tcBorders>
            <w:noWrap w:val="0"/>
            <w:vAlign w:val="center"/>
          </w:tcPr>
          <w:p w14:paraId="61A2C2A1">
            <w:pPr>
              <w:adjustRightInd w:val="0"/>
              <w:snapToGrid w:val="0"/>
              <w:jc w:val="center"/>
              <w:rPr>
                <w:rFonts w:eastAsia="仿宋"/>
                <w:sz w:val="24"/>
                <w:szCs w:val="24"/>
              </w:rPr>
            </w:pPr>
            <w:r>
              <w:rPr>
                <w:rFonts w:hAnsi="仿宋" w:eastAsia="仿宋"/>
                <w:sz w:val="24"/>
                <w:szCs w:val="24"/>
              </w:rPr>
              <w:t>期末考试评分占比</w:t>
            </w:r>
            <w:r>
              <w:rPr>
                <w:rFonts w:hint="eastAsia" w:hAnsi="仿宋" w:eastAsia="仿宋"/>
                <w:sz w:val="24"/>
                <w:szCs w:val="24"/>
              </w:rPr>
              <w:t>(</w:t>
            </w:r>
            <w:r>
              <w:rPr>
                <w:rFonts w:eastAsia="仿宋"/>
                <w:sz w:val="24"/>
                <w:szCs w:val="24"/>
              </w:rPr>
              <w:t>%</w:t>
            </w:r>
            <w:r>
              <w:rPr>
                <w:rFonts w:hint="eastAsia" w:hAnsi="仿宋" w:eastAsia="仿宋"/>
                <w:sz w:val="24"/>
                <w:szCs w:val="24"/>
              </w:rPr>
              <w:t>)</w:t>
            </w:r>
          </w:p>
        </w:tc>
        <w:tc>
          <w:tcPr>
            <w:tcW w:w="589" w:type="dxa"/>
            <w:vMerge w:val="continue"/>
            <w:tcBorders>
              <w:left w:val="single" w:color="000000" w:sz="4" w:space="0"/>
              <w:bottom w:val="single" w:color="auto" w:sz="4" w:space="0"/>
            </w:tcBorders>
            <w:noWrap w:val="0"/>
            <w:vAlign w:val="center"/>
          </w:tcPr>
          <w:p w14:paraId="5D7EB333">
            <w:pPr>
              <w:tabs>
                <w:tab w:val="left" w:pos="720"/>
              </w:tabs>
              <w:adjustRightInd w:val="0"/>
              <w:snapToGrid w:val="0"/>
              <w:jc w:val="center"/>
              <w:rPr>
                <w:rFonts w:eastAsia="仿宋"/>
                <w:sz w:val="24"/>
                <w:szCs w:val="24"/>
              </w:rPr>
            </w:pPr>
          </w:p>
        </w:tc>
      </w:tr>
      <w:tr w14:paraId="3FAE0863">
        <w:trPr>
          <w:trHeight w:val="4047" w:hRule="atLeast"/>
          <w:jc w:val="center"/>
        </w:trPr>
        <w:tc>
          <w:tcPr>
            <w:tcW w:w="1423" w:type="dxa"/>
            <w:vMerge w:val="continue"/>
            <w:noWrap w:val="0"/>
            <w:vAlign w:val="center"/>
          </w:tcPr>
          <w:p w14:paraId="47AC9AA3">
            <w:pPr>
              <w:adjustRightInd w:val="0"/>
              <w:snapToGrid w:val="0"/>
              <w:spacing w:line="240" w:lineRule="atLeast"/>
              <w:jc w:val="center"/>
              <w:rPr>
                <w:rFonts w:eastAsia="仿宋"/>
                <w:sz w:val="24"/>
                <w:szCs w:val="24"/>
                <w:lang w:eastAsia="zh-TW"/>
              </w:rPr>
            </w:pPr>
          </w:p>
        </w:tc>
        <w:tc>
          <w:tcPr>
            <w:tcW w:w="985" w:type="dxa"/>
            <w:tcBorders>
              <w:bottom w:val="single" w:color="auto" w:sz="4" w:space="0"/>
            </w:tcBorders>
            <w:noWrap w:val="0"/>
            <w:vAlign w:val="center"/>
          </w:tcPr>
          <w:p w14:paraId="4C1BB370">
            <w:pPr>
              <w:adjustRightInd w:val="0"/>
              <w:snapToGrid w:val="0"/>
              <w:jc w:val="center"/>
              <w:rPr>
                <w:rFonts w:eastAsia="仿宋"/>
                <w:sz w:val="24"/>
                <w:szCs w:val="24"/>
              </w:rPr>
            </w:pPr>
            <w:r>
              <w:rPr>
                <w:rFonts w:hAnsi="仿宋" w:eastAsia="仿宋"/>
                <w:kern w:val="0"/>
                <w:sz w:val="24"/>
                <w:szCs w:val="24"/>
              </w:rPr>
              <w:t>课程目标</w:t>
            </w:r>
            <w:r>
              <w:rPr>
                <w:rFonts w:eastAsia="仿宋"/>
                <w:kern w:val="0"/>
                <w:sz w:val="24"/>
                <w:szCs w:val="24"/>
              </w:rPr>
              <w:t>1</w:t>
            </w:r>
            <w:r>
              <w:rPr>
                <w:rFonts w:hAnsi="仿宋" w:eastAsia="仿宋"/>
                <w:kern w:val="0"/>
                <w:sz w:val="24"/>
                <w:szCs w:val="24"/>
              </w:rPr>
              <w:t>（</w:t>
            </w:r>
            <w:r>
              <w:rPr>
                <w:rFonts w:eastAsia="仿宋"/>
                <w:kern w:val="0"/>
                <w:sz w:val="24"/>
                <w:szCs w:val="24"/>
              </w:rPr>
              <w:t>60%</w:t>
            </w:r>
            <w:r>
              <w:rPr>
                <w:rFonts w:hAnsi="仿宋" w:eastAsia="仿宋"/>
                <w:kern w:val="0"/>
                <w:sz w:val="24"/>
                <w:szCs w:val="24"/>
              </w:rPr>
              <w:t>）</w:t>
            </w:r>
          </w:p>
        </w:tc>
        <w:tc>
          <w:tcPr>
            <w:tcW w:w="3247" w:type="dxa"/>
            <w:gridSpan w:val="5"/>
            <w:tcBorders>
              <w:bottom w:val="single" w:color="auto" w:sz="4" w:space="0"/>
              <w:right w:val="single" w:color="000000" w:sz="4" w:space="0"/>
            </w:tcBorders>
            <w:noWrap w:val="0"/>
            <w:vAlign w:val="center"/>
          </w:tcPr>
          <w:p w14:paraId="62A40079">
            <w:pPr>
              <w:adjustRightInd w:val="0"/>
              <w:snapToGrid w:val="0"/>
              <w:spacing w:line="240" w:lineRule="atLeast"/>
              <w:jc w:val="left"/>
              <w:rPr>
                <w:rFonts w:eastAsia="仿宋"/>
                <w:bCs/>
                <w:sz w:val="24"/>
                <w:szCs w:val="24"/>
              </w:rPr>
            </w:pPr>
            <w:r>
              <w:rPr>
                <w:rFonts w:eastAsia="仿宋"/>
                <w:bCs/>
                <w:sz w:val="24"/>
                <w:szCs w:val="24"/>
              </w:rPr>
              <w:t>1.</w:t>
            </w:r>
            <w:r>
              <w:rPr>
                <w:rFonts w:hAnsi="仿宋" w:eastAsia="仿宋"/>
                <w:bCs/>
                <w:sz w:val="24"/>
                <w:szCs w:val="24"/>
              </w:rPr>
              <w:t>普通话发音规范、自然。能够运用标准或比较标准的普通话进行一般口语表达和教师职业口语表达。</w:t>
            </w:r>
          </w:p>
          <w:p w14:paraId="06089D78">
            <w:pPr>
              <w:adjustRightInd w:val="0"/>
              <w:snapToGrid w:val="0"/>
              <w:spacing w:line="240" w:lineRule="atLeast"/>
              <w:jc w:val="left"/>
              <w:rPr>
                <w:rFonts w:eastAsia="仿宋"/>
                <w:bCs/>
                <w:sz w:val="24"/>
                <w:szCs w:val="24"/>
              </w:rPr>
            </w:pPr>
            <w:r>
              <w:rPr>
                <w:rFonts w:eastAsia="仿宋"/>
                <w:bCs/>
                <w:sz w:val="24"/>
                <w:szCs w:val="24"/>
              </w:rPr>
              <w:t>2.</w:t>
            </w:r>
            <w:r>
              <w:rPr>
                <w:rFonts w:hAnsi="仿宋" w:eastAsia="仿宋"/>
                <w:bCs/>
                <w:sz w:val="24"/>
                <w:szCs w:val="24"/>
              </w:rPr>
              <w:t>在众人面前自信大方地演讲和讲故事，说话响亮、清晰、流畅，语态自然。</w:t>
            </w:r>
          </w:p>
          <w:p w14:paraId="0E089F38">
            <w:pPr>
              <w:adjustRightInd w:val="0"/>
              <w:snapToGrid w:val="0"/>
              <w:spacing w:line="240" w:lineRule="atLeast"/>
              <w:jc w:val="left"/>
              <w:rPr>
                <w:rFonts w:eastAsia="仿宋"/>
                <w:bCs/>
                <w:sz w:val="24"/>
                <w:szCs w:val="24"/>
              </w:rPr>
            </w:pPr>
            <w:r>
              <w:rPr>
                <w:rFonts w:eastAsia="仿宋"/>
                <w:bCs/>
                <w:sz w:val="24"/>
                <w:szCs w:val="24"/>
              </w:rPr>
              <w:t>3.</w:t>
            </w:r>
            <w:r>
              <w:rPr>
                <w:rFonts w:hAnsi="仿宋" w:eastAsia="仿宋"/>
                <w:bCs/>
                <w:sz w:val="24"/>
                <w:szCs w:val="24"/>
              </w:rPr>
              <w:t>生动、有感情地朗读诗文作品。</w:t>
            </w:r>
          </w:p>
          <w:p w14:paraId="5301E267">
            <w:pPr>
              <w:adjustRightInd w:val="0"/>
              <w:snapToGrid w:val="0"/>
              <w:spacing w:line="240" w:lineRule="atLeast"/>
              <w:jc w:val="left"/>
              <w:rPr>
                <w:rFonts w:eastAsia="仿宋"/>
                <w:kern w:val="0"/>
                <w:sz w:val="24"/>
                <w:szCs w:val="24"/>
              </w:rPr>
            </w:pPr>
            <w:r>
              <w:rPr>
                <w:rFonts w:eastAsia="仿宋"/>
                <w:bCs/>
                <w:sz w:val="24"/>
                <w:szCs w:val="24"/>
              </w:rPr>
              <w:t>4.</w:t>
            </w:r>
            <w:r>
              <w:rPr>
                <w:rFonts w:hAnsi="仿宋" w:eastAsia="仿宋"/>
                <w:bCs/>
                <w:sz w:val="24"/>
                <w:szCs w:val="24"/>
              </w:rPr>
              <w:t>在教学演练和教育工作中表达流畅、规范、得体，有一定应变能力。</w:t>
            </w:r>
          </w:p>
        </w:tc>
        <w:tc>
          <w:tcPr>
            <w:tcW w:w="555" w:type="dxa"/>
            <w:tcBorders>
              <w:left w:val="single" w:color="000000" w:sz="4" w:space="0"/>
              <w:bottom w:val="single" w:color="auto" w:sz="4" w:space="0"/>
            </w:tcBorders>
            <w:noWrap w:val="0"/>
            <w:vAlign w:val="center"/>
          </w:tcPr>
          <w:p w14:paraId="0B0AFB19">
            <w:pPr>
              <w:adjustRightInd w:val="0"/>
              <w:snapToGrid w:val="0"/>
              <w:jc w:val="center"/>
              <w:rPr>
                <w:rFonts w:eastAsia="仿宋"/>
                <w:kern w:val="0"/>
                <w:sz w:val="24"/>
                <w:szCs w:val="24"/>
              </w:rPr>
            </w:pPr>
            <w:r>
              <w:rPr>
                <w:rFonts w:eastAsia="仿宋"/>
                <w:kern w:val="0"/>
                <w:sz w:val="24"/>
                <w:szCs w:val="24"/>
              </w:rPr>
              <w:t>12</w:t>
            </w:r>
          </w:p>
        </w:tc>
        <w:tc>
          <w:tcPr>
            <w:tcW w:w="575" w:type="dxa"/>
            <w:tcBorders>
              <w:left w:val="single" w:color="000000" w:sz="4" w:space="0"/>
              <w:bottom w:val="single" w:color="auto" w:sz="4" w:space="0"/>
              <w:right w:val="single" w:color="auto" w:sz="4" w:space="0"/>
            </w:tcBorders>
            <w:noWrap w:val="0"/>
            <w:vAlign w:val="center"/>
          </w:tcPr>
          <w:p w14:paraId="1C316E57">
            <w:pPr>
              <w:tabs>
                <w:tab w:val="left" w:pos="720"/>
              </w:tabs>
              <w:adjustRightInd w:val="0"/>
              <w:snapToGrid w:val="0"/>
              <w:jc w:val="center"/>
              <w:rPr>
                <w:rFonts w:eastAsia="仿宋"/>
                <w:kern w:val="0"/>
                <w:sz w:val="24"/>
                <w:szCs w:val="24"/>
              </w:rPr>
            </w:pPr>
            <w:r>
              <w:rPr>
                <w:rFonts w:eastAsia="仿宋"/>
                <w:kern w:val="0"/>
                <w:sz w:val="24"/>
                <w:szCs w:val="24"/>
              </w:rPr>
              <w:t>6</w:t>
            </w:r>
          </w:p>
        </w:tc>
        <w:tc>
          <w:tcPr>
            <w:tcW w:w="600" w:type="dxa"/>
            <w:gridSpan w:val="2"/>
            <w:tcBorders>
              <w:left w:val="single" w:color="000000" w:sz="4" w:space="0"/>
              <w:bottom w:val="single" w:color="auto" w:sz="4" w:space="0"/>
              <w:right w:val="single" w:color="auto" w:sz="4" w:space="0"/>
            </w:tcBorders>
            <w:noWrap w:val="0"/>
            <w:vAlign w:val="center"/>
          </w:tcPr>
          <w:p w14:paraId="5119B220">
            <w:pPr>
              <w:tabs>
                <w:tab w:val="left" w:pos="720"/>
              </w:tabs>
              <w:adjustRightInd w:val="0"/>
              <w:snapToGrid w:val="0"/>
              <w:jc w:val="center"/>
              <w:rPr>
                <w:rFonts w:eastAsia="仿宋"/>
                <w:kern w:val="0"/>
                <w:sz w:val="24"/>
                <w:szCs w:val="24"/>
              </w:rPr>
            </w:pPr>
            <w:r>
              <w:rPr>
                <w:rFonts w:eastAsia="仿宋"/>
                <w:kern w:val="0"/>
                <w:sz w:val="24"/>
                <w:szCs w:val="24"/>
              </w:rPr>
              <w:t>0</w:t>
            </w:r>
          </w:p>
        </w:tc>
        <w:tc>
          <w:tcPr>
            <w:tcW w:w="600" w:type="dxa"/>
            <w:tcBorders>
              <w:left w:val="single" w:color="000000" w:sz="4" w:space="0"/>
              <w:bottom w:val="single" w:color="auto" w:sz="4" w:space="0"/>
              <w:right w:val="single" w:color="auto" w:sz="4" w:space="0"/>
            </w:tcBorders>
            <w:noWrap w:val="0"/>
            <w:vAlign w:val="center"/>
          </w:tcPr>
          <w:p w14:paraId="3D1B451C">
            <w:pPr>
              <w:tabs>
                <w:tab w:val="left" w:pos="720"/>
              </w:tabs>
              <w:adjustRightInd w:val="0"/>
              <w:snapToGrid w:val="0"/>
              <w:jc w:val="center"/>
              <w:rPr>
                <w:rFonts w:eastAsia="仿宋"/>
                <w:kern w:val="0"/>
                <w:sz w:val="24"/>
                <w:szCs w:val="24"/>
              </w:rPr>
            </w:pPr>
            <w:r>
              <w:rPr>
                <w:rFonts w:eastAsia="仿宋"/>
                <w:kern w:val="0"/>
                <w:sz w:val="24"/>
                <w:szCs w:val="24"/>
              </w:rPr>
              <w:t>6</w:t>
            </w:r>
          </w:p>
        </w:tc>
        <w:tc>
          <w:tcPr>
            <w:tcW w:w="574" w:type="dxa"/>
            <w:gridSpan w:val="2"/>
            <w:tcBorders>
              <w:left w:val="single" w:color="auto" w:sz="4" w:space="0"/>
              <w:bottom w:val="single" w:color="auto" w:sz="4" w:space="0"/>
              <w:right w:val="single" w:color="auto" w:sz="4" w:space="0"/>
            </w:tcBorders>
            <w:noWrap w:val="0"/>
            <w:vAlign w:val="center"/>
          </w:tcPr>
          <w:p w14:paraId="7BF43AAF">
            <w:pPr>
              <w:tabs>
                <w:tab w:val="left" w:pos="720"/>
              </w:tabs>
              <w:adjustRightInd w:val="0"/>
              <w:snapToGrid w:val="0"/>
              <w:jc w:val="center"/>
              <w:rPr>
                <w:rFonts w:eastAsia="仿宋"/>
                <w:kern w:val="0"/>
                <w:sz w:val="24"/>
                <w:szCs w:val="24"/>
              </w:rPr>
            </w:pPr>
            <w:r>
              <w:rPr>
                <w:rFonts w:eastAsia="仿宋"/>
                <w:kern w:val="0"/>
                <w:sz w:val="24"/>
                <w:szCs w:val="24"/>
              </w:rPr>
              <w:t>36</w:t>
            </w:r>
          </w:p>
        </w:tc>
        <w:tc>
          <w:tcPr>
            <w:tcW w:w="589" w:type="dxa"/>
            <w:tcBorders>
              <w:left w:val="single" w:color="auto" w:sz="4" w:space="0"/>
              <w:bottom w:val="single" w:color="auto" w:sz="4" w:space="0"/>
            </w:tcBorders>
            <w:noWrap w:val="0"/>
            <w:vAlign w:val="center"/>
          </w:tcPr>
          <w:p w14:paraId="7EDDFFDB">
            <w:pPr>
              <w:tabs>
                <w:tab w:val="left" w:pos="720"/>
              </w:tabs>
              <w:adjustRightInd w:val="0"/>
              <w:snapToGrid w:val="0"/>
              <w:jc w:val="center"/>
              <w:rPr>
                <w:rFonts w:eastAsia="仿宋"/>
                <w:kern w:val="0"/>
                <w:sz w:val="24"/>
                <w:szCs w:val="24"/>
              </w:rPr>
            </w:pPr>
            <w:r>
              <w:rPr>
                <w:rFonts w:eastAsia="仿宋"/>
                <w:kern w:val="0"/>
                <w:sz w:val="24"/>
                <w:szCs w:val="24"/>
              </w:rPr>
              <w:t>0.75</w:t>
            </w:r>
          </w:p>
        </w:tc>
      </w:tr>
      <w:tr w14:paraId="7619CEB8">
        <w:trPr>
          <w:trHeight w:val="1823" w:hRule="atLeast"/>
          <w:jc w:val="center"/>
        </w:trPr>
        <w:tc>
          <w:tcPr>
            <w:tcW w:w="1423" w:type="dxa"/>
            <w:vMerge w:val="continue"/>
            <w:noWrap w:val="0"/>
            <w:vAlign w:val="center"/>
          </w:tcPr>
          <w:p w14:paraId="4836EDED">
            <w:pPr>
              <w:adjustRightInd w:val="0"/>
              <w:snapToGrid w:val="0"/>
              <w:spacing w:line="240" w:lineRule="atLeast"/>
              <w:jc w:val="center"/>
              <w:rPr>
                <w:rFonts w:eastAsia="仿宋"/>
                <w:sz w:val="24"/>
                <w:szCs w:val="24"/>
                <w:lang w:eastAsia="zh-TW"/>
              </w:rPr>
            </w:pPr>
          </w:p>
        </w:tc>
        <w:tc>
          <w:tcPr>
            <w:tcW w:w="985" w:type="dxa"/>
            <w:noWrap w:val="0"/>
            <w:vAlign w:val="center"/>
          </w:tcPr>
          <w:p w14:paraId="78DE685B">
            <w:pPr>
              <w:adjustRightInd w:val="0"/>
              <w:snapToGrid w:val="0"/>
              <w:jc w:val="center"/>
              <w:rPr>
                <w:rFonts w:eastAsia="仿宋"/>
                <w:kern w:val="0"/>
                <w:sz w:val="24"/>
                <w:szCs w:val="24"/>
              </w:rPr>
            </w:pPr>
            <w:r>
              <w:rPr>
                <w:rFonts w:hAnsi="仿宋" w:eastAsia="仿宋"/>
                <w:kern w:val="0"/>
                <w:sz w:val="24"/>
                <w:szCs w:val="24"/>
              </w:rPr>
              <w:t>课程目标</w:t>
            </w:r>
            <w:r>
              <w:rPr>
                <w:rFonts w:eastAsia="仿宋"/>
                <w:kern w:val="0"/>
                <w:sz w:val="24"/>
                <w:szCs w:val="24"/>
              </w:rPr>
              <w:t>2</w:t>
            </w:r>
            <w:r>
              <w:rPr>
                <w:rFonts w:hAnsi="仿宋" w:eastAsia="仿宋"/>
                <w:kern w:val="0"/>
                <w:sz w:val="24"/>
                <w:szCs w:val="24"/>
              </w:rPr>
              <w:t>（</w:t>
            </w:r>
            <w:r>
              <w:rPr>
                <w:rFonts w:eastAsia="仿宋"/>
                <w:kern w:val="0"/>
                <w:sz w:val="24"/>
                <w:szCs w:val="24"/>
              </w:rPr>
              <w:t>10%</w:t>
            </w:r>
            <w:r>
              <w:rPr>
                <w:rFonts w:hAnsi="仿宋" w:eastAsia="仿宋"/>
                <w:kern w:val="0"/>
                <w:sz w:val="24"/>
                <w:szCs w:val="24"/>
              </w:rPr>
              <w:t>）</w:t>
            </w:r>
          </w:p>
        </w:tc>
        <w:tc>
          <w:tcPr>
            <w:tcW w:w="3247" w:type="dxa"/>
            <w:gridSpan w:val="5"/>
            <w:tcBorders>
              <w:right w:val="single" w:color="000000" w:sz="4" w:space="0"/>
            </w:tcBorders>
            <w:noWrap w:val="0"/>
            <w:vAlign w:val="center"/>
          </w:tcPr>
          <w:p w14:paraId="15103CC6">
            <w:pPr>
              <w:numPr>
                <w:ilvl w:val="0"/>
                <w:numId w:val="17"/>
              </w:numPr>
              <w:adjustRightInd w:val="0"/>
              <w:snapToGrid w:val="0"/>
              <w:spacing w:line="240" w:lineRule="atLeast"/>
              <w:jc w:val="left"/>
              <w:rPr>
                <w:rFonts w:eastAsia="仿宋"/>
                <w:sz w:val="24"/>
                <w:szCs w:val="24"/>
              </w:rPr>
            </w:pPr>
            <w:r>
              <w:rPr>
                <w:rFonts w:hAnsi="仿宋" w:eastAsia="仿宋"/>
                <w:sz w:val="24"/>
                <w:szCs w:val="24"/>
              </w:rPr>
              <w:t>演讲、朗读和教师口语表达具有积极的情感、端正的态度</w:t>
            </w:r>
          </w:p>
          <w:p w14:paraId="502A4DC0">
            <w:pPr>
              <w:numPr>
                <w:ilvl w:val="0"/>
                <w:numId w:val="17"/>
              </w:numPr>
              <w:adjustRightInd w:val="0"/>
              <w:snapToGrid w:val="0"/>
              <w:spacing w:line="240" w:lineRule="atLeast"/>
              <w:jc w:val="left"/>
              <w:rPr>
                <w:rFonts w:eastAsia="仿宋"/>
                <w:kern w:val="0"/>
                <w:sz w:val="24"/>
                <w:szCs w:val="24"/>
              </w:rPr>
            </w:pPr>
            <w:r>
              <w:rPr>
                <w:rFonts w:hAnsi="仿宋" w:eastAsia="仿宋"/>
                <w:sz w:val="24"/>
                <w:szCs w:val="24"/>
              </w:rPr>
              <w:t>教育教学演练活动中能够体现良好的教育情怀，尊重学生人格，关心学生成长。</w:t>
            </w:r>
          </w:p>
        </w:tc>
        <w:tc>
          <w:tcPr>
            <w:tcW w:w="555" w:type="dxa"/>
            <w:tcBorders>
              <w:left w:val="single" w:color="000000" w:sz="4" w:space="0"/>
            </w:tcBorders>
            <w:noWrap w:val="0"/>
            <w:vAlign w:val="center"/>
          </w:tcPr>
          <w:p w14:paraId="47BF1729">
            <w:pPr>
              <w:adjustRightInd w:val="0"/>
              <w:snapToGrid w:val="0"/>
              <w:jc w:val="center"/>
              <w:rPr>
                <w:rFonts w:eastAsia="仿宋"/>
                <w:kern w:val="0"/>
                <w:sz w:val="24"/>
                <w:szCs w:val="24"/>
              </w:rPr>
            </w:pPr>
            <w:r>
              <w:rPr>
                <w:rFonts w:eastAsia="仿宋"/>
                <w:kern w:val="0"/>
                <w:sz w:val="24"/>
                <w:szCs w:val="24"/>
              </w:rPr>
              <w:t>2</w:t>
            </w:r>
          </w:p>
        </w:tc>
        <w:tc>
          <w:tcPr>
            <w:tcW w:w="575" w:type="dxa"/>
            <w:tcBorders>
              <w:left w:val="single" w:color="000000" w:sz="4" w:space="0"/>
              <w:bottom w:val="single" w:color="000000" w:sz="4" w:space="0"/>
            </w:tcBorders>
            <w:noWrap w:val="0"/>
            <w:vAlign w:val="center"/>
          </w:tcPr>
          <w:p w14:paraId="3EABD34F">
            <w:pPr>
              <w:tabs>
                <w:tab w:val="left" w:pos="720"/>
              </w:tabs>
              <w:adjustRightInd w:val="0"/>
              <w:snapToGrid w:val="0"/>
              <w:jc w:val="center"/>
              <w:rPr>
                <w:rFonts w:eastAsia="仿宋"/>
                <w:kern w:val="0"/>
                <w:sz w:val="24"/>
                <w:szCs w:val="24"/>
              </w:rPr>
            </w:pPr>
            <w:r>
              <w:rPr>
                <w:rFonts w:eastAsia="仿宋"/>
                <w:kern w:val="0"/>
                <w:sz w:val="24"/>
                <w:szCs w:val="24"/>
              </w:rPr>
              <w:t>1</w:t>
            </w:r>
          </w:p>
        </w:tc>
        <w:tc>
          <w:tcPr>
            <w:tcW w:w="600" w:type="dxa"/>
            <w:gridSpan w:val="2"/>
            <w:tcBorders>
              <w:left w:val="single" w:color="000000" w:sz="4" w:space="0"/>
              <w:bottom w:val="single" w:color="000000" w:sz="4" w:space="0"/>
            </w:tcBorders>
            <w:noWrap w:val="0"/>
            <w:vAlign w:val="center"/>
          </w:tcPr>
          <w:p w14:paraId="0C3535F8">
            <w:pPr>
              <w:tabs>
                <w:tab w:val="left" w:pos="720"/>
              </w:tabs>
              <w:adjustRightInd w:val="0"/>
              <w:snapToGrid w:val="0"/>
              <w:jc w:val="center"/>
              <w:rPr>
                <w:rFonts w:eastAsia="仿宋"/>
                <w:kern w:val="0"/>
                <w:sz w:val="24"/>
                <w:szCs w:val="24"/>
              </w:rPr>
            </w:pPr>
            <w:r>
              <w:rPr>
                <w:rFonts w:eastAsia="仿宋"/>
                <w:kern w:val="0"/>
                <w:sz w:val="24"/>
                <w:szCs w:val="24"/>
              </w:rPr>
              <w:t>0</w:t>
            </w:r>
          </w:p>
        </w:tc>
        <w:tc>
          <w:tcPr>
            <w:tcW w:w="600" w:type="dxa"/>
            <w:tcBorders>
              <w:left w:val="single" w:color="000000" w:sz="4" w:space="0"/>
              <w:bottom w:val="single" w:color="000000" w:sz="4" w:space="0"/>
            </w:tcBorders>
            <w:noWrap w:val="0"/>
            <w:vAlign w:val="center"/>
          </w:tcPr>
          <w:p w14:paraId="1BAA063D">
            <w:pPr>
              <w:tabs>
                <w:tab w:val="left" w:pos="720"/>
              </w:tabs>
              <w:adjustRightInd w:val="0"/>
              <w:snapToGrid w:val="0"/>
              <w:jc w:val="center"/>
              <w:rPr>
                <w:rFonts w:eastAsia="仿宋"/>
                <w:kern w:val="0"/>
                <w:sz w:val="24"/>
                <w:szCs w:val="24"/>
              </w:rPr>
            </w:pPr>
            <w:r>
              <w:rPr>
                <w:rFonts w:eastAsia="仿宋"/>
                <w:kern w:val="0"/>
                <w:sz w:val="24"/>
                <w:szCs w:val="24"/>
              </w:rPr>
              <w:t>1</w:t>
            </w:r>
          </w:p>
        </w:tc>
        <w:tc>
          <w:tcPr>
            <w:tcW w:w="574" w:type="dxa"/>
            <w:gridSpan w:val="2"/>
            <w:tcBorders>
              <w:bottom w:val="single" w:color="000000" w:sz="4" w:space="0"/>
              <w:right w:val="single" w:color="000000" w:sz="4" w:space="0"/>
            </w:tcBorders>
            <w:noWrap w:val="0"/>
            <w:vAlign w:val="center"/>
          </w:tcPr>
          <w:p w14:paraId="305EB848">
            <w:pPr>
              <w:tabs>
                <w:tab w:val="left" w:pos="720"/>
              </w:tabs>
              <w:adjustRightInd w:val="0"/>
              <w:snapToGrid w:val="0"/>
              <w:jc w:val="center"/>
              <w:rPr>
                <w:rFonts w:eastAsia="仿宋"/>
                <w:kern w:val="0"/>
                <w:sz w:val="24"/>
                <w:szCs w:val="24"/>
              </w:rPr>
            </w:pPr>
            <w:r>
              <w:rPr>
                <w:rFonts w:eastAsia="仿宋"/>
                <w:kern w:val="0"/>
                <w:sz w:val="24"/>
                <w:szCs w:val="24"/>
              </w:rPr>
              <w:t>6</w:t>
            </w:r>
          </w:p>
        </w:tc>
        <w:tc>
          <w:tcPr>
            <w:tcW w:w="589" w:type="dxa"/>
            <w:tcBorders>
              <w:left w:val="single" w:color="000000" w:sz="4" w:space="0"/>
              <w:bottom w:val="single" w:color="000000" w:sz="4" w:space="0"/>
            </w:tcBorders>
            <w:noWrap w:val="0"/>
            <w:vAlign w:val="center"/>
          </w:tcPr>
          <w:p w14:paraId="76736A31">
            <w:pPr>
              <w:tabs>
                <w:tab w:val="left" w:pos="720"/>
              </w:tabs>
              <w:adjustRightInd w:val="0"/>
              <w:snapToGrid w:val="0"/>
              <w:jc w:val="center"/>
              <w:rPr>
                <w:rFonts w:eastAsia="仿宋"/>
                <w:kern w:val="0"/>
                <w:sz w:val="24"/>
                <w:szCs w:val="24"/>
              </w:rPr>
            </w:pPr>
            <w:r>
              <w:rPr>
                <w:rFonts w:eastAsia="仿宋"/>
                <w:kern w:val="0"/>
                <w:sz w:val="24"/>
                <w:szCs w:val="24"/>
              </w:rPr>
              <w:t>0.75</w:t>
            </w:r>
          </w:p>
        </w:tc>
      </w:tr>
      <w:tr w14:paraId="4374BE87">
        <w:trPr>
          <w:trHeight w:val="1956" w:hRule="atLeast"/>
          <w:jc w:val="center"/>
        </w:trPr>
        <w:tc>
          <w:tcPr>
            <w:tcW w:w="1423" w:type="dxa"/>
            <w:vMerge w:val="continue"/>
            <w:noWrap w:val="0"/>
            <w:vAlign w:val="center"/>
          </w:tcPr>
          <w:p w14:paraId="48FF76FD">
            <w:pPr>
              <w:adjustRightInd w:val="0"/>
              <w:snapToGrid w:val="0"/>
              <w:spacing w:line="240" w:lineRule="atLeast"/>
              <w:jc w:val="center"/>
              <w:rPr>
                <w:rFonts w:eastAsia="仿宋"/>
                <w:sz w:val="24"/>
                <w:szCs w:val="24"/>
                <w:lang w:eastAsia="zh-TW"/>
              </w:rPr>
            </w:pPr>
          </w:p>
        </w:tc>
        <w:tc>
          <w:tcPr>
            <w:tcW w:w="985" w:type="dxa"/>
            <w:tcBorders>
              <w:bottom w:val="single" w:color="auto" w:sz="4" w:space="0"/>
            </w:tcBorders>
            <w:noWrap w:val="0"/>
            <w:vAlign w:val="center"/>
          </w:tcPr>
          <w:p w14:paraId="7DB2C3E7">
            <w:pPr>
              <w:adjustRightInd w:val="0"/>
              <w:snapToGrid w:val="0"/>
              <w:jc w:val="center"/>
              <w:rPr>
                <w:rFonts w:eastAsia="仿宋"/>
                <w:kern w:val="0"/>
                <w:sz w:val="24"/>
                <w:szCs w:val="24"/>
              </w:rPr>
            </w:pPr>
            <w:r>
              <w:rPr>
                <w:rFonts w:hAnsi="仿宋" w:eastAsia="仿宋"/>
                <w:kern w:val="0"/>
                <w:sz w:val="24"/>
                <w:szCs w:val="24"/>
              </w:rPr>
              <w:t>课程目标</w:t>
            </w:r>
            <w:r>
              <w:rPr>
                <w:rFonts w:eastAsia="仿宋"/>
                <w:kern w:val="0"/>
                <w:sz w:val="24"/>
                <w:szCs w:val="24"/>
              </w:rPr>
              <w:t>3</w:t>
            </w:r>
            <w:r>
              <w:rPr>
                <w:rFonts w:hAnsi="仿宋" w:eastAsia="仿宋"/>
                <w:kern w:val="0"/>
                <w:sz w:val="24"/>
                <w:szCs w:val="24"/>
              </w:rPr>
              <w:t>（</w:t>
            </w:r>
            <w:r>
              <w:rPr>
                <w:rFonts w:eastAsia="仿宋"/>
                <w:kern w:val="0"/>
                <w:sz w:val="24"/>
                <w:szCs w:val="24"/>
              </w:rPr>
              <w:t>30%</w:t>
            </w:r>
            <w:r>
              <w:rPr>
                <w:rFonts w:hAnsi="仿宋" w:eastAsia="仿宋"/>
                <w:kern w:val="0"/>
                <w:sz w:val="24"/>
                <w:szCs w:val="24"/>
              </w:rPr>
              <w:t>）</w:t>
            </w:r>
          </w:p>
        </w:tc>
        <w:tc>
          <w:tcPr>
            <w:tcW w:w="3247" w:type="dxa"/>
            <w:gridSpan w:val="5"/>
            <w:tcBorders>
              <w:bottom w:val="single" w:color="auto" w:sz="4" w:space="0"/>
              <w:right w:val="single" w:color="000000" w:sz="4" w:space="0"/>
            </w:tcBorders>
            <w:noWrap w:val="0"/>
            <w:vAlign w:val="center"/>
          </w:tcPr>
          <w:p w14:paraId="2EEFAFB8">
            <w:pPr>
              <w:widowControl/>
              <w:autoSpaceDE w:val="0"/>
              <w:autoSpaceDN w:val="0"/>
              <w:adjustRightInd w:val="0"/>
              <w:snapToGrid w:val="0"/>
              <w:spacing w:line="240" w:lineRule="atLeast"/>
              <w:jc w:val="left"/>
              <w:textAlignment w:val="bottom"/>
              <w:rPr>
                <w:rFonts w:eastAsia="仿宋"/>
                <w:sz w:val="24"/>
                <w:szCs w:val="24"/>
              </w:rPr>
            </w:pPr>
            <w:r>
              <w:rPr>
                <w:rFonts w:eastAsia="仿宋"/>
                <w:sz w:val="24"/>
                <w:szCs w:val="24"/>
              </w:rPr>
              <w:t>1.</w:t>
            </w:r>
            <w:r>
              <w:rPr>
                <w:rFonts w:hAnsi="仿宋" w:eastAsia="仿宋"/>
                <w:sz w:val="24"/>
                <w:szCs w:val="24"/>
              </w:rPr>
              <w:t>能够积极主动与他人进行交流，善于沟通。</w:t>
            </w:r>
          </w:p>
          <w:p w14:paraId="2F16EEA9">
            <w:pPr>
              <w:widowControl/>
              <w:autoSpaceDE w:val="0"/>
              <w:autoSpaceDN w:val="0"/>
              <w:adjustRightInd w:val="0"/>
              <w:snapToGrid w:val="0"/>
              <w:spacing w:line="240" w:lineRule="atLeast"/>
              <w:jc w:val="left"/>
              <w:textAlignment w:val="bottom"/>
              <w:rPr>
                <w:rFonts w:eastAsia="仿宋"/>
                <w:sz w:val="24"/>
                <w:szCs w:val="24"/>
              </w:rPr>
            </w:pPr>
            <w:r>
              <w:rPr>
                <w:rFonts w:eastAsia="仿宋"/>
                <w:sz w:val="24"/>
                <w:szCs w:val="24"/>
              </w:rPr>
              <w:t>2.</w:t>
            </w:r>
            <w:r>
              <w:rPr>
                <w:rFonts w:hAnsi="仿宋" w:eastAsia="仿宋"/>
                <w:kern w:val="0"/>
                <w:sz w:val="24"/>
                <w:szCs w:val="24"/>
              </w:rPr>
              <w:t>演讲和模拟教学等教育教学活动中</w:t>
            </w:r>
            <w:r>
              <w:rPr>
                <w:rFonts w:hAnsi="仿宋" w:eastAsia="仿宋"/>
                <w:sz w:val="24"/>
                <w:szCs w:val="24"/>
              </w:rPr>
              <w:t>体现出良好的沟通能力和团队协作意识。</w:t>
            </w:r>
          </w:p>
        </w:tc>
        <w:tc>
          <w:tcPr>
            <w:tcW w:w="555" w:type="dxa"/>
            <w:tcBorders>
              <w:left w:val="single" w:color="000000" w:sz="4" w:space="0"/>
              <w:bottom w:val="single" w:color="auto" w:sz="4" w:space="0"/>
            </w:tcBorders>
            <w:noWrap w:val="0"/>
            <w:vAlign w:val="center"/>
          </w:tcPr>
          <w:p w14:paraId="6D9E213B">
            <w:pPr>
              <w:adjustRightInd w:val="0"/>
              <w:snapToGrid w:val="0"/>
              <w:jc w:val="center"/>
              <w:rPr>
                <w:rFonts w:eastAsia="仿宋"/>
                <w:kern w:val="0"/>
                <w:sz w:val="24"/>
                <w:szCs w:val="24"/>
              </w:rPr>
            </w:pPr>
            <w:r>
              <w:rPr>
                <w:rFonts w:eastAsia="仿宋"/>
                <w:kern w:val="0"/>
                <w:sz w:val="24"/>
                <w:szCs w:val="24"/>
              </w:rPr>
              <w:t>6</w:t>
            </w:r>
          </w:p>
        </w:tc>
        <w:tc>
          <w:tcPr>
            <w:tcW w:w="575" w:type="dxa"/>
            <w:tcBorders>
              <w:top w:val="single" w:color="000000" w:sz="4" w:space="0"/>
              <w:left w:val="single" w:color="000000" w:sz="4" w:space="0"/>
              <w:bottom w:val="single" w:color="auto" w:sz="4" w:space="0"/>
            </w:tcBorders>
            <w:noWrap w:val="0"/>
            <w:vAlign w:val="center"/>
          </w:tcPr>
          <w:p w14:paraId="5BC1C8FE">
            <w:pPr>
              <w:tabs>
                <w:tab w:val="left" w:pos="720"/>
              </w:tabs>
              <w:adjustRightInd w:val="0"/>
              <w:snapToGrid w:val="0"/>
              <w:jc w:val="center"/>
              <w:rPr>
                <w:rFonts w:eastAsia="仿宋"/>
                <w:kern w:val="0"/>
                <w:sz w:val="24"/>
                <w:szCs w:val="24"/>
              </w:rPr>
            </w:pPr>
            <w:r>
              <w:rPr>
                <w:rFonts w:eastAsia="仿宋"/>
                <w:kern w:val="0"/>
                <w:sz w:val="24"/>
                <w:szCs w:val="24"/>
              </w:rPr>
              <w:t>3</w:t>
            </w:r>
          </w:p>
        </w:tc>
        <w:tc>
          <w:tcPr>
            <w:tcW w:w="600" w:type="dxa"/>
            <w:gridSpan w:val="2"/>
            <w:tcBorders>
              <w:top w:val="single" w:color="000000" w:sz="4" w:space="0"/>
              <w:left w:val="single" w:color="000000" w:sz="4" w:space="0"/>
              <w:bottom w:val="single" w:color="auto" w:sz="4" w:space="0"/>
            </w:tcBorders>
            <w:noWrap w:val="0"/>
            <w:vAlign w:val="center"/>
          </w:tcPr>
          <w:p w14:paraId="2D7BDB2D">
            <w:pPr>
              <w:tabs>
                <w:tab w:val="left" w:pos="720"/>
              </w:tabs>
              <w:adjustRightInd w:val="0"/>
              <w:snapToGrid w:val="0"/>
              <w:jc w:val="center"/>
              <w:rPr>
                <w:rFonts w:eastAsia="仿宋"/>
                <w:kern w:val="0"/>
                <w:sz w:val="24"/>
                <w:szCs w:val="24"/>
              </w:rPr>
            </w:pPr>
            <w:r>
              <w:rPr>
                <w:rFonts w:eastAsia="仿宋"/>
                <w:kern w:val="0"/>
                <w:sz w:val="24"/>
                <w:szCs w:val="24"/>
              </w:rPr>
              <w:t>0</w:t>
            </w:r>
          </w:p>
        </w:tc>
        <w:tc>
          <w:tcPr>
            <w:tcW w:w="600" w:type="dxa"/>
            <w:tcBorders>
              <w:top w:val="single" w:color="000000" w:sz="4" w:space="0"/>
              <w:left w:val="single" w:color="000000" w:sz="4" w:space="0"/>
              <w:bottom w:val="single" w:color="auto" w:sz="4" w:space="0"/>
            </w:tcBorders>
            <w:noWrap w:val="0"/>
            <w:vAlign w:val="center"/>
          </w:tcPr>
          <w:p w14:paraId="02184E8B">
            <w:pPr>
              <w:tabs>
                <w:tab w:val="left" w:pos="720"/>
              </w:tabs>
              <w:adjustRightInd w:val="0"/>
              <w:snapToGrid w:val="0"/>
              <w:jc w:val="center"/>
              <w:rPr>
                <w:rFonts w:eastAsia="仿宋"/>
                <w:kern w:val="0"/>
                <w:sz w:val="24"/>
                <w:szCs w:val="24"/>
              </w:rPr>
            </w:pPr>
            <w:r>
              <w:rPr>
                <w:rFonts w:eastAsia="仿宋"/>
                <w:kern w:val="0"/>
                <w:sz w:val="24"/>
                <w:szCs w:val="24"/>
              </w:rPr>
              <w:t>3</w:t>
            </w:r>
          </w:p>
        </w:tc>
        <w:tc>
          <w:tcPr>
            <w:tcW w:w="574" w:type="dxa"/>
            <w:gridSpan w:val="2"/>
            <w:tcBorders>
              <w:top w:val="single" w:color="000000" w:sz="4" w:space="0"/>
              <w:bottom w:val="single" w:color="auto" w:sz="4" w:space="0"/>
              <w:right w:val="single" w:color="000000" w:sz="4" w:space="0"/>
            </w:tcBorders>
            <w:noWrap w:val="0"/>
            <w:vAlign w:val="center"/>
          </w:tcPr>
          <w:p w14:paraId="7FF3297E">
            <w:pPr>
              <w:tabs>
                <w:tab w:val="left" w:pos="720"/>
              </w:tabs>
              <w:adjustRightInd w:val="0"/>
              <w:snapToGrid w:val="0"/>
              <w:jc w:val="center"/>
              <w:rPr>
                <w:rFonts w:eastAsia="仿宋"/>
                <w:kern w:val="0"/>
                <w:sz w:val="24"/>
                <w:szCs w:val="24"/>
              </w:rPr>
            </w:pPr>
            <w:r>
              <w:rPr>
                <w:rFonts w:eastAsia="仿宋"/>
                <w:kern w:val="0"/>
                <w:sz w:val="24"/>
                <w:szCs w:val="24"/>
              </w:rPr>
              <w:t>18</w:t>
            </w:r>
          </w:p>
        </w:tc>
        <w:tc>
          <w:tcPr>
            <w:tcW w:w="589" w:type="dxa"/>
            <w:tcBorders>
              <w:top w:val="single" w:color="000000" w:sz="4" w:space="0"/>
              <w:left w:val="single" w:color="000000" w:sz="4" w:space="0"/>
              <w:bottom w:val="single" w:color="auto" w:sz="4" w:space="0"/>
            </w:tcBorders>
            <w:noWrap w:val="0"/>
            <w:vAlign w:val="center"/>
          </w:tcPr>
          <w:p w14:paraId="71206E8A">
            <w:pPr>
              <w:tabs>
                <w:tab w:val="left" w:pos="720"/>
              </w:tabs>
              <w:adjustRightInd w:val="0"/>
              <w:snapToGrid w:val="0"/>
              <w:jc w:val="center"/>
              <w:rPr>
                <w:rFonts w:eastAsia="仿宋"/>
                <w:kern w:val="0"/>
                <w:sz w:val="24"/>
                <w:szCs w:val="24"/>
              </w:rPr>
            </w:pPr>
            <w:r>
              <w:rPr>
                <w:rFonts w:eastAsia="仿宋"/>
                <w:kern w:val="0"/>
                <w:sz w:val="24"/>
                <w:szCs w:val="24"/>
              </w:rPr>
              <w:t>0.75</w:t>
            </w:r>
          </w:p>
        </w:tc>
      </w:tr>
      <w:tr w14:paraId="3A700AAC">
        <w:trPr>
          <w:trHeight w:val="515" w:hRule="atLeast"/>
          <w:jc w:val="center"/>
        </w:trPr>
        <w:tc>
          <w:tcPr>
            <w:tcW w:w="1423" w:type="dxa"/>
            <w:vMerge w:val="continue"/>
            <w:noWrap w:val="0"/>
            <w:vAlign w:val="center"/>
          </w:tcPr>
          <w:p w14:paraId="5C67AC3E">
            <w:pPr>
              <w:adjustRightInd w:val="0"/>
              <w:snapToGrid w:val="0"/>
              <w:spacing w:line="240" w:lineRule="atLeast"/>
              <w:jc w:val="center"/>
              <w:rPr>
                <w:rFonts w:eastAsia="仿宋"/>
                <w:sz w:val="24"/>
                <w:szCs w:val="24"/>
                <w:lang w:eastAsia="zh-TW"/>
              </w:rPr>
            </w:pPr>
          </w:p>
        </w:tc>
        <w:tc>
          <w:tcPr>
            <w:tcW w:w="4232" w:type="dxa"/>
            <w:gridSpan w:val="6"/>
            <w:tcBorders>
              <w:bottom w:val="single" w:color="auto" w:sz="4" w:space="0"/>
              <w:right w:val="single" w:color="000000" w:sz="4" w:space="0"/>
            </w:tcBorders>
            <w:noWrap w:val="0"/>
            <w:vAlign w:val="center"/>
          </w:tcPr>
          <w:p w14:paraId="1FFC1CA9">
            <w:pPr>
              <w:widowControl/>
              <w:autoSpaceDE w:val="0"/>
              <w:autoSpaceDN w:val="0"/>
              <w:adjustRightInd w:val="0"/>
              <w:snapToGrid w:val="0"/>
              <w:jc w:val="center"/>
              <w:textAlignment w:val="bottom"/>
              <w:rPr>
                <w:rFonts w:eastAsia="仿宋"/>
                <w:sz w:val="24"/>
                <w:szCs w:val="24"/>
              </w:rPr>
            </w:pPr>
            <w:r>
              <w:rPr>
                <w:rFonts w:hAnsi="仿宋" w:eastAsia="仿宋"/>
                <w:sz w:val="24"/>
                <w:szCs w:val="24"/>
              </w:rPr>
              <w:t>总分</w:t>
            </w:r>
          </w:p>
        </w:tc>
        <w:tc>
          <w:tcPr>
            <w:tcW w:w="555" w:type="dxa"/>
            <w:tcBorders>
              <w:left w:val="single" w:color="000000" w:sz="4" w:space="0"/>
              <w:bottom w:val="single" w:color="auto" w:sz="4" w:space="0"/>
            </w:tcBorders>
            <w:noWrap w:val="0"/>
            <w:vAlign w:val="center"/>
          </w:tcPr>
          <w:p w14:paraId="18F79BC4">
            <w:pPr>
              <w:adjustRightInd w:val="0"/>
              <w:snapToGrid w:val="0"/>
              <w:jc w:val="center"/>
              <w:rPr>
                <w:rFonts w:eastAsia="仿宋"/>
                <w:kern w:val="0"/>
                <w:sz w:val="24"/>
                <w:szCs w:val="24"/>
              </w:rPr>
            </w:pPr>
            <w:r>
              <w:rPr>
                <w:rFonts w:eastAsia="仿宋"/>
                <w:kern w:val="0"/>
                <w:sz w:val="24"/>
                <w:szCs w:val="24"/>
              </w:rPr>
              <w:t>20</w:t>
            </w:r>
          </w:p>
        </w:tc>
        <w:tc>
          <w:tcPr>
            <w:tcW w:w="575" w:type="dxa"/>
            <w:tcBorders>
              <w:top w:val="single" w:color="000000" w:sz="4" w:space="0"/>
              <w:bottom w:val="single" w:color="auto" w:sz="4" w:space="0"/>
              <w:right w:val="single" w:color="000000" w:sz="4" w:space="0"/>
            </w:tcBorders>
            <w:noWrap w:val="0"/>
            <w:vAlign w:val="center"/>
          </w:tcPr>
          <w:p w14:paraId="48E9A02C">
            <w:pPr>
              <w:adjustRightInd w:val="0"/>
              <w:snapToGrid w:val="0"/>
              <w:jc w:val="center"/>
              <w:rPr>
                <w:rFonts w:eastAsia="仿宋"/>
                <w:kern w:val="0"/>
                <w:sz w:val="24"/>
                <w:szCs w:val="24"/>
              </w:rPr>
            </w:pPr>
            <w:r>
              <w:rPr>
                <w:rFonts w:eastAsia="仿宋"/>
                <w:kern w:val="0"/>
                <w:sz w:val="24"/>
                <w:szCs w:val="24"/>
              </w:rPr>
              <w:t>10</w:t>
            </w:r>
          </w:p>
        </w:tc>
        <w:tc>
          <w:tcPr>
            <w:tcW w:w="600" w:type="dxa"/>
            <w:gridSpan w:val="2"/>
            <w:tcBorders>
              <w:top w:val="single" w:color="000000" w:sz="4" w:space="0"/>
              <w:left w:val="single" w:color="000000" w:sz="4" w:space="0"/>
              <w:bottom w:val="single" w:color="auto" w:sz="4" w:space="0"/>
            </w:tcBorders>
            <w:noWrap w:val="0"/>
            <w:vAlign w:val="center"/>
          </w:tcPr>
          <w:p w14:paraId="5247D80C">
            <w:pPr>
              <w:tabs>
                <w:tab w:val="left" w:pos="720"/>
              </w:tabs>
              <w:adjustRightInd w:val="0"/>
              <w:snapToGrid w:val="0"/>
              <w:jc w:val="center"/>
              <w:rPr>
                <w:rFonts w:eastAsia="仿宋"/>
                <w:kern w:val="0"/>
                <w:sz w:val="24"/>
                <w:szCs w:val="24"/>
              </w:rPr>
            </w:pPr>
            <w:r>
              <w:rPr>
                <w:rFonts w:eastAsia="仿宋"/>
                <w:kern w:val="0"/>
                <w:sz w:val="24"/>
                <w:szCs w:val="24"/>
              </w:rPr>
              <w:t>0</w:t>
            </w:r>
          </w:p>
        </w:tc>
        <w:tc>
          <w:tcPr>
            <w:tcW w:w="600" w:type="dxa"/>
            <w:tcBorders>
              <w:top w:val="single" w:color="000000" w:sz="4" w:space="0"/>
              <w:left w:val="single" w:color="000000" w:sz="4" w:space="0"/>
              <w:bottom w:val="single" w:color="auto" w:sz="4" w:space="0"/>
            </w:tcBorders>
            <w:noWrap w:val="0"/>
            <w:vAlign w:val="center"/>
          </w:tcPr>
          <w:p w14:paraId="46CE54C3">
            <w:pPr>
              <w:tabs>
                <w:tab w:val="left" w:pos="720"/>
              </w:tabs>
              <w:adjustRightInd w:val="0"/>
              <w:snapToGrid w:val="0"/>
              <w:jc w:val="center"/>
              <w:rPr>
                <w:rFonts w:eastAsia="仿宋"/>
                <w:kern w:val="0"/>
                <w:sz w:val="24"/>
                <w:szCs w:val="24"/>
              </w:rPr>
            </w:pPr>
            <w:r>
              <w:rPr>
                <w:rFonts w:eastAsia="仿宋"/>
                <w:kern w:val="0"/>
                <w:sz w:val="24"/>
                <w:szCs w:val="24"/>
              </w:rPr>
              <w:t>10</w:t>
            </w:r>
          </w:p>
        </w:tc>
        <w:tc>
          <w:tcPr>
            <w:tcW w:w="574" w:type="dxa"/>
            <w:gridSpan w:val="2"/>
            <w:tcBorders>
              <w:top w:val="single" w:color="000000" w:sz="4" w:space="0"/>
              <w:bottom w:val="single" w:color="auto" w:sz="4" w:space="0"/>
              <w:right w:val="single" w:color="000000" w:sz="4" w:space="0"/>
            </w:tcBorders>
            <w:noWrap w:val="0"/>
            <w:vAlign w:val="center"/>
          </w:tcPr>
          <w:p w14:paraId="4CD79D24">
            <w:pPr>
              <w:tabs>
                <w:tab w:val="left" w:pos="720"/>
              </w:tabs>
              <w:adjustRightInd w:val="0"/>
              <w:snapToGrid w:val="0"/>
              <w:jc w:val="center"/>
              <w:rPr>
                <w:rFonts w:eastAsia="仿宋"/>
                <w:kern w:val="0"/>
                <w:sz w:val="24"/>
                <w:szCs w:val="24"/>
              </w:rPr>
            </w:pPr>
            <w:r>
              <w:rPr>
                <w:rFonts w:eastAsia="仿宋"/>
                <w:kern w:val="0"/>
                <w:sz w:val="24"/>
                <w:szCs w:val="24"/>
              </w:rPr>
              <w:t>60</w:t>
            </w:r>
          </w:p>
        </w:tc>
        <w:tc>
          <w:tcPr>
            <w:tcW w:w="589" w:type="dxa"/>
            <w:tcBorders>
              <w:top w:val="single" w:color="000000" w:sz="4" w:space="0"/>
              <w:left w:val="single" w:color="000000" w:sz="4" w:space="0"/>
              <w:bottom w:val="single" w:color="auto" w:sz="4" w:space="0"/>
            </w:tcBorders>
            <w:noWrap w:val="0"/>
            <w:vAlign w:val="center"/>
          </w:tcPr>
          <w:p w14:paraId="278C4C27">
            <w:pPr>
              <w:tabs>
                <w:tab w:val="left" w:pos="720"/>
              </w:tabs>
              <w:adjustRightInd w:val="0"/>
              <w:snapToGrid w:val="0"/>
              <w:jc w:val="center"/>
              <w:rPr>
                <w:rFonts w:eastAsia="仿宋"/>
                <w:kern w:val="0"/>
                <w:sz w:val="24"/>
                <w:szCs w:val="24"/>
              </w:rPr>
            </w:pPr>
            <w:r>
              <w:rPr>
                <w:rFonts w:eastAsia="仿宋"/>
                <w:kern w:val="0"/>
                <w:sz w:val="24"/>
                <w:szCs w:val="24"/>
              </w:rPr>
              <w:t>0.75</w:t>
            </w:r>
          </w:p>
        </w:tc>
      </w:tr>
      <w:tr w14:paraId="0D34B142">
        <w:trPr>
          <w:jc w:val="center"/>
        </w:trPr>
        <w:tc>
          <w:tcPr>
            <w:tcW w:w="1423" w:type="dxa"/>
            <w:noWrap w:val="0"/>
            <w:vAlign w:val="center"/>
          </w:tcPr>
          <w:p w14:paraId="51A5EB13">
            <w:pPr>
              <w:adjustRightInd w:val="0"/>
              <w:snapToGrid w:val="0"/>
              <w:spacing w:line="240" w:lineRule="atLeast"/>
              <w:jc w:val="center"/>
              <w:rPr>
                <w:rFonts w:eastAsia="仿宋"/>
                <w:sz w:val="24"/>
                <w:szCs w:val="24"/>
              </w:rPr>
            </w:pPr>
            <w:r>
              <w:rPr>
                <w:rFonts w:eastAsia="仿宋"/>
                <w:sz w:val="24"/>
                <w:szCs w:val="24"/>
              </w:rPr>
              <w:t>L</w:t>
            </w:r>
          </w:p>
          <w:p w14:paraId="03837850">
            <w:pPr>
              <w:adjustRightInd w:val="0"/>
              <w:snapToGrid w:val="0"/>
              <w:spacing w:line="240" w:lineRule="atLeast"/>
              <w:jc w:val="center"/>
              <w:rPr>
                <w:rFonts w:eastAsia="仿宋"/>
                <w:sz w:val="24"/>
                <w:szCs w:val="24"/>
              </w:rPr>
            </w:pPr>
            <w:r>
              <w:rPr>
                <w:rFonts w:hAnsi="仿宋" w:eastAsia="仿宋"/>
                <w:sz w:val="24"/>
                <w:szCs w:val="24"/>
              </w:rPr>
              <w:t>学习建议</w:t>
            </w:r>
          </w:p>
        </w:tc>
        <w:tc>
          <w:tcPr>
            <w:tcW w:w="7725" w:type="dxa"/>
            <w:gridSpan w:val="14"/>
            <w:tcBorders>
              <w:bottom w:val="single" w:color="auto" w:sz="4" w:space="0"/>
            </w:tcBorders>
            <w:noWrap w:val="0"/>
            <w:vAlign w:val="center"/>
          </w:tcPr>
          <w:p w14:paraId="5E40825C">
            <w:pPr>
              <w:adjustRightInd w:val="0"/>
              <w:snapToGrid w:val="0"/>
              <w:ind w:firstLine="480" w:firstLineChars="200"/>
              <w:rPr>
                <w:rFonts w:eastAsia="仿宋"/>
                <w:bCs/>
                <w:sz w:val="24"/>
                <w:szCs w:val="24"/>
              </w:rPr>
            </w:pPr>
            <w:r>
              <w:rPr>
                <w:rFonts w:eastAsia="仿宋"/>
                <w:bCs/>
                <w:sz w:val="24"/>
                <w:szCs w:val="24"/>
              </w:rPr>
              <w:t>1.</w:t>
            </w:r>
            <w:r>
              <w:rPr>
                <w:rFonts w:hAnsi="仿宋" w:eastAsia="仿宋"/>
                <w:bCs/>
                <w:sz w:val="24"/>
                <w:szCs w:val="24"/>
              </w:rPr>
              <w:t>自主学习。建议学生通过线上课程资源进行自主学习，充分发挥自身的学习能动性。</w:t>
            </w:r>
          </w:p>
          <w:p w14:paraId="311F91D1">
            <w:pPr>
              <w:adjustRightInd w:val="0"/>
              <w:snapToGrid w:val="0"/>
              <w:ind w:firstLine="480" w:firstLineChars="200"/>
              <w:rPr>
                <w:rFonts w:eastAsia="仿宋"/>
                <w:bCs/>
                <w:sz w:val="24"/>
                <w:szCs w:val="24"/>
              </w:rPr>
            </w:pPr>
            <w:r>
              <w:rPr>
                <w:rFonts w:eastAsia="仿宋"/>
                <w:bCs/>
                <w:sz w:val="24"/>
                <w:szCs w:val="24"/>
              </w:rPr>
              <w:t>2.</w:t>
            </w:r>
            <w:r>
              <w:rPr>
                <w:rFonts w:hAnsi="仿宋" w:eastAsia="仿宋"/>
                <w:bCs/>
                <w:sz w:val="24"/>
                <w:szCs w:val="24"/>
              </w:rPr>
              <w:t>注重实践。建议学生多进行口头训练，能够持之以恒地进行发音训练和口语表达训练。</w:t>
            </w:r>
          </w:p>
          <w:p w14:paraId="423A2F73">
            <w:pPr>
              <w:adjustRightInd w:val="0"/>
              <w:snapToGrid w:val="0"/>
              <w:ind w:firstLine="480" w:firstLineChars="200"/>
              <w:rPr>
                <w:rFonts w:eastAsia="仿宋"/>
                <w:kern w:val="0"/>
                <w:sz w:val="24"/>
                <w:szCs w:val="24"/>
              </w:rPr>
            </w:pPr>
            <w:r>
              <w:rPr>
                <w:rFonts w:eastAsia="仿宋"/>
                <w:bCs/>
                <w:sz w:val="24"/>
                <w:szCs w:val="24"/>
              </w:rPr>
              <w:t>3.</w:t>
            </w:r>
            <w:r>
              <w:rPr>
                <w:rFonts w:hAnsi="仿宋" w:eastAsia="仿宋"/>
                <w:bCs/>
                <w:sz w:val="24"/>
                <w:szCs w:val="24"/>
              </w:rPr>
              <w:t>课内课外相结合。建议学生把课程学习拓展到日常生活的口语表达中，要求学生生活中能够有意识地注意普通话发音，运用标准或比较标准的普通话进行一般口语表达和职业口语表达训练。</w:t>
            </w:r>
          </w:p>
        </w:tc>
      </w:tr>
      <w:tr w14:paraId="4A9FCF99">
        <w:trPr>
          <w:trHeight w:val="454" w:hRule="atLeast"/>
          <w:jc w:val="center"/>
        </w:trPr>
        <w:tc>
          <w:tcPr>
            <w:tcW w:w="1423" w:type="dxa"/>
            <w:noWrap w:val="0"/>
            <w:vAlign w:val="center"/>
          </w:tcPr>
          <w:p w14:paraId="54264ED9">
            <w:pPr>
              <w:adjustRightInd w:val="0"/>
              <w:snapToGrid w:val="0"/>
              <w:spacing w:line="240" w:lineRule="atLeast"/>
              <w:jc w:val="center"/>
              <w:rPr>
                <w:rFonts w:eastAsia="仿宋"/>
                <w:sz w:val="24"/>
                <w:szCs w:val="24"/>
              </w:rPr>
            </w:pPr>
            <w:r>
              <w:rPr>
                <w:rFonts w:eastAsia="仿宋"/>
                <w:sz w:val="24"/>
                <w:szCs w:val="24"/>
              </w:rPr>
              <w:t>M</w:t>
            </w:r>
          </w:p>
          <w:p w14:paraId="4322DC08">
            <w:pPr>
              <w:adjustRightInd w:val="0"/>
              <w:snapToGrid w:val="0"/>
              <w:spacing w:line="240" w:lineRule="atLeast"/>
              <w:jc w:val="center"/>
              <w:rPr>
                <w:rFonts w:eastAsia="仿宋"/>
                <w:sz w:val="24"/>
                <w:szCs w:val="24"/>
              </w:rPr>
            </w:pPr>
            <w:r>
              <w:rPr>
                <w:rFonts w:hAnsi="仿宋" w:eastAsia="仿宋"/>
                <w:sz w:val="24"/>
                <w:szCs w:val="24"/>
              </w:rPr>
              <w:t>评分量表</w:t>
            </w:r>
          </w:p>
        </w:tc>
        <w:tc>
          <w:tcPr>
            <w:tcW w:w="7725" w:type="dxa"/>
            <w:gridSpan w:val="14"/>
            <w:noWrap w:val="0"/>
            <w:vAlign w:val="center"/>
          </w:tcPr>
          <w:p w14:paraId="6F93B6B7">
            <w:pPr>
              <w:tabs>
                <w:tab w:val="left" w:pos="720"/>
              </w:tabs>
              <w:adjustRightInd w:val="0"/>
              <w:snapToGrid w:val="0"/>
              <w:rPr>
                <w:rFonts w:eastAsia="仿宋"/>
                <w:kern w:val="0"/>
                <w:sz w:val="24"/>
                <w:szCs w:val="24"/>
              </w:rPr>
            </w:pPr>
            <w:r>
              <w:rPr>
                <w:rFonts w:hAnsi="仿宋" w:eastAsia="仿宋"/>
                <w:kern w:val="0"/>
                <w:sz w:val="24"/>
                <w:szCs w:val="24"/>
              </w:rPr>
              <w:t>《教师口语》课程目标评分量表见附表。</w:t>
            </w:r>
          </w:p>
        </w:tc>
      </w:tr>
      <w:tr w14:paraId="64769ED8">
        <w:trPr>
          <w:trHeight w:val="454" w:hRule="atLeast"/>
          <w:jc w:val="center"/>
        </w:trPr>
        <w:tc>
          <w:tcPr>
            <w:tcW w:w="1423" w:type="dxa"/>
            <w:noWrap w:val="0"/>
            <w:vAlign w:val="center"/>
          </w:tcPr>
          <w:p w14:paraId="58E74B0D">
            <w:pPr>
              <w:adjustRightInd w:val="0"/>
              <w:snapToGrid w:val="0"/>
              <w:spacing w:line="240" w:lineRule="atLeast"/>
              <w:jc w:val="center"/>
              <w:rPr>
                <w:rFonts w:eastAsia="仿宋"/>
                <w:sz w:val="24"/>
                <w:szCs w:val="24"/>
              </w:rPr>
            </w:pPr>
            <w:r>
              <w:rPr>
                <w:rFonts w:hAnsi="仿宋" w:eastAsia="仿宋"/>
                <w:sz w:val="24"/>
                <w:szCs w:val="24"/>
              </w:rPr>
              <w:t>备注</w:t>
            </w:r>
          </w:p>
        </w:tc>
        <w:tc>
          <w:tcPr>
            <w:tcW w:w="7725" w:type="dxa"/>
            <w:gridSpan w:val="14"/>
            <w:noWrap w:val="0"/>
            <w:vAlign w:val="center"/>
          </w:tcPr>
          <w:p w14:paraId="34964777">
            <w:pPr>
              <w:adjustRightInd w:val="0"/>
              <w:snapToGrid w:val="0"/>
              <w:rPr>
                <w:rFonts w:eastAsia="仿宋"/>
                <w:sz w:val="24"/>
                <w:szCs w:val="24"/>
              </w:rPr>
            </w:pPr>
            <w:r>
              <w:rPr>
                <w:rFonts w:hAnsi="仿宋" w:eastAsia="仿宋"/>
                <w:sz w:val="24"/>
                <w:szCs w:val="24"/>
              </w:rPr>
              <w:t>课程大纲</w:t>
            </w:r>
            <w:r>
              <w:rPr>
                <w:rFonts w:eastAsia="仿宋"/>
                <w:sz w:val="24"/>
                <w:szCs w:val="24"/>
              </w:rPr>
              <w:t>A—M</w:t>
            </w:r>
            <w:r>
              <w:rPr>
                <w:rFonts w:hAnsi="仿宋" w:eastAsia="仿宋"/>
                <w:sz w:val="24"/>
                <w:szCs w:val="24"/>
              </w:rPr>
              <w:t>项由开课学院审批通过，任课教师不能自行更改。</w:t>
            </w:r>
          </w:p>
        </w:tc>
      </w:tr>
      <w:tr w14:paraId="0868D728">
        <w:trPr>
          <w:trHeight w:val="771" w:hRule="atLeast"/>
          <w:jc w:val="center"/>
        </w:trPr>
        <w:tc>
          <w:tcPr>
            <w:tcW w:w="1423" w:type="dxa"/>
            <w:noWrap w:val="0"/>
            <w:vAlign w:val="center"/>
          </w:tcPr>
          <w:p w14:paraId="25E2739A">
            <w:pPr>
              <w:adjustRightInd w:val="0"/>
              <w:snapToGrid w:val="0"/>
              <w:spacing w:line="240" w:lineRule="atLeast"/>
              <w:jc w:val="center"/>
              <w:rPr>
                <w:rFonts w:eastAsia="仿宋"/>
                <w:sz w:val="24"/>
                <w:szCs w:val="24"/>
              </w:rPr>
            </w:pPr>
            <w:r>
              <w:rPr>
                <w:rFonts w:hAnsi="仿宋" w:eastAsia="仿宋"/>
                <w:sz w:val="24"/>
                <w:szCs w:val="24"/>
              </w:rPr>
              <w:t>审批</w:t>
            </w:r>
          </w:p>
          <w:p w14:paraId="53295104">
            <w:pPr>
              <w:adjustRightInd w:val="0"/>
              <w:snapToGrid w:val="0"/>
              <w:spacing w:line="240" w:lineRule="atLeast"/>
              <w:jc w:val="center"/>
              <w:rPr>
                <w:rFonts w:eastAsia="仿宋"/>
                <w:sz w:val="24"/>
                <w:szCs w:val="24"/>
              </w:rPr>
            </w:pPr>
            <w:r>
              <w:rPr>
                <w:rFonts w:hAnsi="仿宋" w:eastAsia="仿宋"/>
                <w:sz w:val="24"/>
                <w:szCs w:val="24"/>
              </w:rPr>
              <w:t>意见</w:t>
            </w:r>
          </w:p>
        </w:tc>
        <w:tc>
          <w:tcPr>
            <w:tcW w:w="3822" w:type="dxa"/>
            <w:gridSpan w:val="4"/>
            <w:noWrap w:val="0"/>
            <w:vAlign w:val="center"/>
          </w:tcPr>
          <w:p w14:paraId="65D122FE">
            <w:pPr>
              <w:widowControl/>
              <w:adjustRightInd w:val="0"/>
              <w:snapToGrid w:val="0"/>
              <w:jc w:val="left"/>
              <w:rPr>
                <w:rFonts w:eastAsia="仿宋"/>
                <w:kern w:val="0"/>
                <w:sz w:val="24"/>
                <w:szCs w:val="24"/>
              </w:rPr>
            </w:pPr>
            <w:r>
              <w:rPr>
                <w:rFonts w:hAnsi="仿宋" w:eastAsia="仿宋"/>
                <w:kern w:val="0"/>
                <w:sz w:val="24"/>
                <w:szCs w:val="24"/>
              </w:rPr>
              <w:t>课程教学大纲修订负责人及教学团队成员</w:t>
            </w:r>
            <w:r>
              <w:rPr>
                <w:rFonts w:hAnsi="仿宋" w:eastAsia="仿宋"/>
                <w:sz w:val="24"/>
                <w:szCs w:val="24"/>
              </w:rPr>
              <w:t>签名</w:t>
            </w:r>
            <w:r>
              <w:rPr>
                <w:rFonts w:hAnsi="仿宋" w:eastAsia="仿宋"/>
                <w:kern w:val="0"/>
                <w:sz w:val="24"/>
                <w:szCs w:val="24"/>
              </w:rPr>
              <w:t>：</w:t>
            </w:r>
            <w:r>
              <w:rPr>
                <w:rFonts w:eastAsia="仿宋"/>
                <w:kern w:val="0"/>
                <w:sz w:val="24"/>
                <w:szCs w:val="24"/>
              </w:rPr>
              <w:t xml:space="preserve"> </w:t>
            </w:r>
          </w:p>
          <w:p w14:paraId="3D302BA6">
            <w:pPr>
              <w:widowControl/>
              <w:adjustRightInd w:val="0"/>
              <w:snapToGrid w:val="0"/>
              <w:jc w:val="left"/>
              <w:rPr>
                <w:rFonts w:eastAsia="仿宋"/>
                <w:kern w:val="0"/>
                <w:sz w:val="24"/>
                <w:szCs w:val="24"/>
              </w:rPr>
            </w:pPr>
          </w:p>
          <w:p w14:paraId="08883137">
            <w:pPr>
              <w:widowControl/>
              <w:adjustRightInd w:val="0"/>
              <w:snapToGrid w:val="0"/>
              <w:jc w:val="left"/>
              <w:rPr>
                <w:rFonts w:eastAsia="仿宋"/>
                <w:kern w:val="0"/>
                <w:sz w:val="24"/>
                <w:szCs w:val="24"/>
              </w:rPr>
            </w:pPr>
            <w:r>
              <w:rPr>
                <w:rFonts w:hint="eastAsia" w:eastAsia="仿宋"/>
                <w:kern w:val="0"/>
                <w:sz w:val="24"/>
                <w:szCs w:val="24"/>
              </w:rPr>
              <w:t xml:space="preserve">   </w:t>
            </w:r>
            <w:r>
              <w:rPr>
                <w:rFonts w:eastAsia="仿宋"/>
                <w:kern w:val="0"/>
                <w:sz w:val="24"/>
                <w:szCs w:val="24"/>
              </w:rPr>
              <w:drawing>
                <wp:inline distT="0" distB="0" distL="114300" distR="114300">
                  <wp:extent cx="925830" cy="368300"/>
                  <wp:effectExtent l="0" t="0" r="13970" b="12700"/>
                  <wp:docPr id="13" name="图片 1" descr="ca5f5e6e7ade1fa371df504cd9da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 descr="ca5f5e6e7ade1fa371df504cd9da034"/>
                          <pic:cNvPicPr>
                            <a:picLocks noChangeAspect="1"/>
                          </pic:cNvPicPr>
                        </pic:nvPicPr>
                        <pic:blipFill>
                          <a:blip r:embed="rId155"/>
                          <a:stretch>
                            <a:fillRect/>
                          </a:stretch>
                        </pic:blipFill>
                        <pic:spPr>
                          <a:xfrm>
                            <a:off x="0" y="0"/>
                            <a:ext cx="925830" cy="368300"/>
                          </a:xfrm>
                          <a:prstGeom prst="rect">
                            <a:avLst/>
                          </a:prstGeom>
                          <a:noFill/>
                          <a:ln>
                            <a:noFill/>
                          </a:ln>
                        </pic:spPr>
                      </pic:pic>
                    </a:graphicData>
                  </a:graphic>
                </wp:inline>
              </w:drawing>
            </w:r>
          </w:p>
          <w:p w14:paraId="29FF71E5">
            <w:pPr>
              <w:widowControl/>
              <w:adjustRightInd w:val="0"/>
              <w:snapToGrid w:val="0"/>
              <w:jc w:val="left"/>
              <w:rPr>
                <w:rFonts w:eastAsia="仿宋"/>
                <w:kern w:val="0"/>
                <w:sz w:val="24"/>
                <w:szCs w:val="24"/>
              </w:rPr>
            </w:pPr>
          </w:p>
          <w:p w14:paraId="7D9DC4A2">
            <w:pPr>
              <w:widowControl/>
              <w:adjustRightInd w:val="0"/>
              <w:snapToGrid w:val="0"/>
              <w:jc w:val="left"/>
              <w:rPr>
                <w:rFonts w:eastAsia="仿宋"/>
                <w:kern w:val="0"/>
                <w:sz w:val="24"/>
                <w:szCs w:val="24"/>
              </w:rPr>
            </w:pPr>
          </w:p>
          <w:p w14:paraId="7C870959">
            <w:pPr>
              <w:widowControl/>
              <w:adjustRightInd w:val="0"/>
              <w:snapToGrid w:val="0"/>
              <w:jc w:val="right"/>
              <w:rPr>
                <w:rFonts w:eastAsia="仿宋"/>
                <w:kern w:val="0"/>
                <w:sz w:val="24"/>
                <w:szCs w:val="24"/>
              </w:rPr>
            </w:pPr>
            <w:r>
              <w:rPr>
                <w:rFonts w:eastAsia="仿宋"/>
                <w:kern w:val="0"/>
                <w:sz w:val="24"/>
                <w:szCs w:val="24"/>
              </w:rPr>
              <w:t xml:space="preserve">                                                   </w:t>
            </w:r>
            <w:r>
              <w:rPr>
                <w:rFonts w:hAnsi="仿宋" w:eastAsia="仿宋"/>
                <w:kern w:val="0"/>
                <w:sz w:val="24"/>
                <w:szCs w:val="24"/>
              </w:rPr>
              <w:t>年</w:t>
            </w:r>
            <w:r>
              <w:rPr>
                <w:rFonts w:eastAsia="仿宋"/>
                <w:kern w:val="0"/>
                <w:sz w:val="24"/>
                <w:szCs w:val="24"/>
              </w:rPr>
              <w:t xml:space="preserve">  </w:t>
            </w:r>
            <w:r>
              <w:rPr>
                <w:rFonts w:hAnsi="仿宋" w:eastAsia="仿宋"/>
                <w:kern w:val="0"/>
                <w:sz w:val="24"/>
                <w:szCs w:val="24"/>
              </w:rPr>
              <w:t>月</w:t>
            </w:r>
            <w:r>
              <w:rPr>
                <w:rFonts w:eastAsia="仿宋"/>
                <w:kern w:val="0"/>
                <w:sz w:val="24"/>
                <w:szCs w:val="24"/>
              </w:rPr>
              <w:t xml:space="preserve">  </w:t>
            </w:r>
            <w:r>
              <w:rPr>
                <w:rFonts w:hAnsi="仿宋" w:eastAsia="仿宋"/>
                <w:kern w:val="0"/>
                <w:sz w:val="24"/>
                <w:szCs w:val="24"/>
              </w:rPr>
              <w:t>日</w:t>
            </w:r>
            <w:r>
              <w:rPr>
                <w:rFonts w:eastAsia="仿宋"/>
                <w:kern w:val="0"/>
                <w:sz w:val="24"/>
                <w:szCs w:val="24"/>
              </w:rPr>
              <w:t xml:space="preserve"> </w:t>
            </w:r>
          </w:p>
          <w:p w14:paraId="473858BD">
            <w:pPr>
              <w:widowControl/>
              <w:adjustRightInd w:val="0"/>
              <w:snapToGrid w:val="0"/>
              <w:jc w:val="right"/>
              <w:rPr>
                <w:rFonts w:eastAsia="仿宋"/>
                <w:kern w:val="0"/>
                <w:sz w:val="24"/>
                <w:szCs w:val="24"/>
              </w:rPr>
            </w:pPr>
          </w:p>
        </w:tc>
        <w:tc>
          <w:tcPr>
            <w:tcW w:w="3903" w:type="dxa"/>
            <w:gridSpan w:val="10"/>
            <w:noWrap w:val="0"/>
            <w:vAlign w:val="center"/>
          </w:tcPr>
          <w:p w14:paraId="00D4BC92">
            <w:pPr>
              <w:widowControl/>
              <w:adjustRightInd w:val="0"/>
              <w:snapToGrid w:val="0"/>
              <w:jc w:val="left"/>
              <w:rPr>
                <w:rFonts w:eastAsia="仿宋"/>
                <w:kern w:val="0"/>
                <w:sz w:val="24"/>
                <w:szCs w:val="24"/>
              </w:rPr>
            </w:pPr>
            <w:r>
              <w:rPr>
                <w:rFonts w:hAnsi="仿宋" w:eastAsia="仿宋"/>
                <w:kern w:val="0"/>
                <w:sz w:val="24"/>
                <w:szCs w:val="24"/>
              </w:rPr>
              <w:t>系主任审核意见：</w:t>
            </w:r>
            <w:r>
              <w:rPr>
                <w:rFonts w:hint="eastAsia" w:ascii="仿宋" w:hAnsi="仿宋" w:eastAsia="仿宋" w:cs="仿宋"/>
                <w:kern w:val="0"/>
                <w:sz w:val="24"/>
                <w:szCs w:val="24"/>
                <w:lang w:val="en-US" w:eastAsia="zh-Hans"/>
              </w:rPr>
              <w:t>同意</w:t>
            </w:r>
          </w:p>
          <w:p w14:paraId="3ED6376B">
            <w:pPr>
              <w:widowControl/>
              <w:adjustRightInd w:val="0"/>
              <w:snapToGrid w:val="0"/>
              <w:jc w:val="left"/>
              <w:rPr>
                <w:rFonts w:eastAsia="仿宋"/>
                <w:kern w:val="0"/>
                <w:sz w:val="24"/>
                <w:szCs w:val="24"/>
              </w:rPr>
            </w:pPr>
          </w:p>
          <w:p w14:paraId="45077BC1">
            <w:pPr>
              <w:widowControl/>
              <w:adjustRightInd w:val="0"/>
              <w:snapToGrid w:val="0"/>
              <w:jc w:val="left"/>
              <w:rPr>
                <w:rFonts w:eastAsia="仿宋"/>
                <w:kern w:val="0"/>
                <w:sz w:val="24"/>
                <w:szCs w:val="24"/>
              </w:rPr>
            </w:pPr>
          </w:p>
          <w:p w14:paraId="11829538">
            <w:pPr>
              <w:widowControl/>
              <w:adjustRightInd w:val="0"/>
              <w:snapToGrid w:val="0"/>
              <w:jc w:val="left"/>
              <w:rPr>
                <w:rFonts w:eastAsia="仿宋"/>
                <w:kern w:val="0"/>
                <w:sz w:val="24"/>
                <w:szCs w:val="24"/>
              </w:rPr>
            </w:pPr>
          </w:p>
          <w:p w14:paraId="5AB7353C">
            <w:pPr>
              <w:widowControl/>
              <w:adjustRightInd w:val="0"/>
              <w:snapToGrid w:val="0"/>
              <w:jc w:val="left"/>
              <w:rPr>
                <w:rFonts w:eastAsia="仿宋"/>
                <w:kern w:val="0"/>
                <w:sz w:val="24"/>
                <w:szCs w:val="24"/>
              </w:rPr>
            </w:pPr>
          </w:p>
          <w:p w14:paraId="5BDE53FF">
            <w:pPr>
              <w:widowControl/>
              <w:adjustRightInd w:val="0"/>
              <w:snapToGrid w:val="0"/>
              <w:jc w:val="left"/>
              <w:rPr>
                <w:rFonts w:eastAsia="仿宋"/>
                <w:kern w:val="0"/>
                <w:sz w:val="24"/>
                <w:szCs w:val="24"/>
              </w:rPr>
            </w:pPr>
            <w:r>
              <w:rPr>
                <w:rFonts w:hAnsi="仿宋" w:eastAsia="仿宋"/>
                <w:kern w:val="0"/>
                <w:sz w:val="24"/>
                <w:szCs w:val="24"/>
              </w:rPr>
              <w:t>系主任签名：</w:t>
            </w:r>
            <w:r>
              <w:drawing>
                <wp:inline distT="0" distB="0" distL="114300" distR="114300">
                  <wp:extent cx="1098550" cy="574675"/>
                  <wp:effectExtent l="0" t="0" r="19050" b="9525"/>
                  <wp:docPr id="14"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3"/>
                          <pic:cNvPicPr>
                            <a:picLocks noChangeAspect="1"/>
                          </pic:cNvPicPr>
                        </pic:nvPicPr>
                        <pic:blipFill>
                          <a:blip r:embed="rId148"/>
                          <a:stretch>
                            <a:fillRect/>
                          </a:stretch>
                        </pic:blipFill>
                        <pic:spPr>
                          <a:xfrm>
                            <a:off x="0" y="0"/>
                            <a:ext cx="1098550" cy="574675"/>
                          </a:xfrm>
                          <a:prstGeom prst="rect">
                            <a:avLst/>
                          </a:prstGeom>
                          <a:noFill/>
                          <a:ln>
                            <a:noFill/>
                          </a:ln>
                        </pic:spPr>
                      </pic:pic>
                    </a:graphicData>
                  </a:graphic>
                </wp:inline>
              </w:drawing>
            </w:r>
          </w:p>
          <w:p w14:paraId="540637D2">
            <w:pPr>
              <w:widowControl/>
              <w:adjustRightInd w:val="0"/>
              <w:snapToGrid w:val="0"/>
              <w:jc w:val="right"/>
              <w:rPr>
                <w:rFonts w:eastAsia="仿宋"/>
                <w:kern w:val="0"/>
                <w:sz w:val="24"/>
                <w:szCs w:val="24"/>
              </w:rPr>
            </w:pPr>
          </w:p>
          <w:p w14:paraId="234C6FE0">
            <w:pPr>
              <w:widowControl/>
              <w:adjustRightInd w:val="0"/>
              <w:snapToGrid w:val="0"/>
              <w:jc w:val="right"/>
              <w:rPr>
                <w:rFonts w:eastAsia="仿宋"/>
                <w:kern w:val="0"/>
                <w:sz w:val="24"/>
                <w:szCs w:val="24"/>
              </w:rPr>
            </w:pPr>
            <w:r>
              <w:rPr>
                <w:rFonts w:hAnsi="仿宋" w:eastAsia="仿宋"/>
                <w:kern w:val="0"/>
                <w:sz w:val="24"/>
                <w:szCs w:val="24"/>
              </w:rPr>
              <w:t>年</w:t>
            </w:r>
            <w:r>
              <w:rPr>
                <w:rFonts w:eastAsia="仿宋"/>
                <w:kern w:val="0"/>
                <w:sz w:val="24"/>
                <w:szCs w:val="24"/>
              </w:rPr>
              <w:t xml:space="preserve">   </w:t>
            </w:r>
            <w:r>
              <w:rPr>
                <w:rFonts w:hAnsi="仿宋" w:eastAsia="仿宋"/>
                <w:kern w:val="0"/>
                <w:sz w:val="24"/>
                <w:szCs w:val="24"/>
              </w:rPr>
              <w:t>月</w:t>
            </w:r>
            <w:r>
              <w:rPr>
                <w:rFonts w:eastAsia="仿宋"/>
                <w:kern w:val="0"/>
                <w:sz w:val="24"/>
                <w:szCs w:val="24"/>
              </w:rPr>
              <w:t xml:space="preserve">   </w:t>
            </w:r>
            <w:r>
              <w:rPr>
                <w:rFonts w:hAnsi="仿宋" w:eastAsia="仿宋"/>
                <w:kern w:val="0"/>
                <w:sz w:val="24"/>
                <w:szCs w:val="24"/>
              </w:rPr>
              <w:t>日</w:t>
            </w:r>
          </w:p>
          <w:p w14:paraId="79C6AF98">
            <w:pPr>
              <w:widowControl/>
              <w:adjustRightInd w:val="0"/>
              <w:snapToGrid w:val="0"/>
              <w:jc w:val="right"/>
              <w:rPr>
                <w:rFonts w:eastAsia="仿宋"/>
                <w:kern w:val="0"/>
                <w:sz w:val="24"/>
                <w:szCs w:val="24"/>
              </w:rPr>
            </w:pPr>
          </w:p>
        </w:tc>
      </w:tr>
    </w:tbl>
    <w:p w14:paraId="1B627F3F">
      <w:pPr>
        <w:pStyle w:val="194"/>
      </w:pPr>
    </w:p>
    <w:p w14:paraId="20DEDCD1">
      <w:pPr>
        <w:pStyle w:val="194"/>
      </w:pPr>
    </w:p>
    <w:p w14:paraId="56DA94AD">
      <w:pPr>
        <w:adjustRightInd w:val="0"/>
        <w:snapToGrid w:val="0"/>
        <w:spacing w:line="360" w:lineRule="auto"/>
        <w:jc w:val="center"/>
        <w:rPr>
          <w:rFonts w:hint="eastAsia" w:ascii="仿宋" w:eastAsia="仿宋" w:cs="仿宋"/>
          <w:b/>
          <w:bCs/>
          <w:color w:val="000000"/>
          <w:sz w:val="28"/>
          <w:szCs w:val="28"/>
        </w:rPr>
      </w:pPr>
      <w:r>
        <w:rPr>
          <w:rFonts w:hint="eastAsia" w:ascii="仿宋" w:eastAsia="仿宋" w:cs="仿宋"/>
          <w:b/>
          <w:bCs/>
          <w:color w:val="000000"/>
          <w:sz w:val="28"/>
          <w:szCs w:val="28"/>
        </w:rPr>
        <w:t>附表</w:t>
      </w:r>
      <w:r>
        <w:rPr>
          <w:rFonts w:hint="eastAsia" w:ascii="仿宋" w:eastAsia="仿宋" w:cs="仿宋"/>
          <w:b/>
          <w:bCs/>
          <w:color w:val="000000"/>
          <w:sz w:val="28"/>
          <w:szCs w:val="28"/>
          <w:lang w:eastAsia="zh-CN"/>
        </w:rPr>
        <w:t>：《</w:t>
      </w:r>
      <w:r>
        <w:rPr>
          <w:rFonts w:hint="eastAsia" w:ascii="仿宋" w:eastAsia="仿宋" w:cs="仿宋"/>
          <w:b/>
          <w:bCs/>
          <w:color w:val="000000"/>
          <w:sz w:val="28"/>
          <w:szCs w:val="28"/>
          <w:lang w:val="en-US" w:eastAsia="zh-Hans"/>
        </w:rPr>
        <w:t>教师口语</w:t>
      </w:r>
      <w:r>
        <w:rPr>
          <w:rFonts w:hint="eastAsia" w:ascii="仿宋" w:eastAsia="仿宋" w:cs="仿宋"/>
          <w:b/>
          <w:bCs/>
          <w:color w:val="000000"/>
          <w:sz w:val="28"/>
          <w:szCs w:val="28"/>
        </w:rPr>
        <w:t>》课程目标评分量表</w:t>
      </w:r>
    </w:p>
    <w:tbl>
      <w:tblPr>
        <w:tblStyle w:val="22"/>
        <w:tblW w:w="96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28" w:type="dxa"/>
        </w:tblCellMar>
      </w:tblPr>
      <w:tblGrid>
        <w:gridCol w:w="295"/>
        <w:gridCol w:w="1317"/>
        <w:gridCol w:w="1426"/>
        <w:gridCol w:w="1426"/>
        <w:gridCol w:w="1350"/>
        <w:gridCol w:w="1245"/>
        <w:gridCol w:w="2553"/>
      </w:tblGrid>
      <w:tr w14:paraId="796E7B89">
        <w:trPr>
          <w:trHeight w:val="90" w:hRule="atLeast"/>
          <w:jc w:val="center"/>
        </w:trPr>
        <w:tc>
          <w:tcPr>
            <w:tcW w:w="0" w:type="auto"/>
            <w:vMerge w:val="restart"/>
            <w:noWrap w:val="0"/>
            <w:vAlign w:val="center"/>
          </w:tcPr>
          <w:p w14:paraId="63646CCF">
            <w:pPr>
              <w:adjustRightInd w:val="0"/>
              <w:snapToGrid w:val="0"/>
              <w:spacing w:line="240" w:lineRule="atLeast"/>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K</w:t>
            </w:r>
          </w:p>
          <w:p w14:paraId="282B4483">
            <w:pPr>
              <w:adjustRightInd w:val="0"/>
              <w:snapToGrid w:val="0"/>
              <w:spacing w:line="240" w:lineRule="atLeast"/>
              <w:jc w:val="center"/>
              <w:rPr>
                <w:rFonts w:hint="eastAsia" w:ascii="宋体" w:hAnsi="宋体" w:cs="宋体"/>
                <w:sz w:val="24"/>
                <w:szCs w:val="24"/>
              </w:rPr>
            </w:pPr>
            <w:r>
              <w:rPr>
                <w:rFonts w:hint="eastAsia" w:ascii="仿宋" w:hAnsi="仿宋" w:eastAsia="仿宋" w:cs="仿宋"/>
                <w:sz w:val="24"/>
                <w:szCs w:val="24"/>
              </w:rPr>
              <w:t>评分量表</w:t>
            </w:r>
          </w:p>
        </w:tc>
        <w:tc>
          <w:tcPr>
            <w:tcW w:w="0" w:type="auto"/>
            <w:noWrap w:val="0"/>
            <w:vAlign w:val="center"/>
          </w:tcPr>
          <w:p w14:paraId="0A51E21E">
            <w:pPr>
              <w:widowControl/>
              <w:adjustRightInd w:val="0"/>
              <w:snapToGrid w:val="0"/>
              <w:jc w:val="left"/>
              <w:rPr>
                <w:rFonts w:hint="eastAsia" w:ascii="楷体" w:eastAsia="楷体" w:cs="楷体"/>
                <w:color w:val="000000"/>
                <w:sz w:val="21"/>
                <w:szCs w:val="21"/>
                <w:lang w:val="en-US"/>
              </w:rPr>
            </w:pPr>
            <w:r>
              <w:rPr>
                <w:rFonts w:hint="eastAsia" w:ascii="楷体" w:eastAsia="楷体" w:cs="楷体"/>
                <w:color w:val="000000"/>
                <w:sz w:val="21"/>
                <w:szCs w:val="21"/>
                <w:lang w:val="en-US"/>
              </w:rPr>
              <w:t>课程目标</w:t>
            </w:r>
          </w:p>
        </w:tc>
        <w:tc>
          <w:tcPr>
            <w:tcW w:w="0" w:type="auto"/>
            <w:noWrap w:val="0"/>
            <w:vAlign w:val="center"/>
          </w:tcPr>
          <w:p w14:paraId="50946DB1">
            <w:pPr>
              <w:widowControl/>
              <w:adjustRightInd w:val="0"/>
              <w:snapToGrid w:val="0"/>
              <w:jc w:val="left"/>
              <w:rPr>
                <w:rFonts w:hint="eastAsia" w:ascii="楷体" w:eastAsia="楷体" w:cs="楷体"/>
                <w:color w:val="000000"/>
                <w:sz w:val="21"/>
                <w:szCs w:val="21"/>
                <w:lang w:val="en-US"/>
              </w:rPr>
            </w:pPr>
            <w:r>
              <w:rPr>
                <w:rFonts w:hint="eastAsia" w:ascii="楷体" w:eastAsia="楷体" w:cs="楷体"/>
                <w:color w:val="000000"/>
                <w:sz w:val="21"/>
                <w:szCs w:val="21"/>
                <w:lang w:val="en-US"/>
              </w:rPr>
              <w:t>优（X≧90）</w:t>
            </w:r>
          </w:p>
        </w:tc>
        <w:tc>
          <w:tcPr>
            <w:tcW w:w="0" w:type="auto"/>
            <w:noWrap w:val="0"/>
            <w:vAlign w:val="center"/>
          </w:tcPr>
          <w:p w14:paraId="4460498F">
            <w:pPr>
              <w:widowControl/>
              <w:adjustRightInd w:val="0"/>
              <w:snapToGrid w:val="0"/>
              <w:jc w:val="left"/>
              <w:rPr>
                <w:rFonts w:hint="eastAsia" w:ascii="楷体" w:eastAsia="楷体" w:cs="楷体"/>
                <w:color w:val="000000"/>
                <w:sz w:val="21"/>
                <w:szCs w:val="21"/>
                <w:lang w:val="en-US"/>
              </w:rPr>
            </w:pPr>
            <w:r>
              <w:rPr>
                <w:rFonts w:hint="eastAsia" w:ascii="楷体" w:eastAsia="楷体" w:cs="楷体"/>
                <w:color w:val="000000"/>
                <w:sz w:val="21"/>
                <w:szCs w:val="21"/>
                <w:lang w:val="en-US"/>
              </w:rPr>
              <w:t>良（80≦X＜90）</w:t>
            </w:r>
          </w:p>
        </w:tc>
        <w:tc>
          <w:tcPr>
            <w:tcW w:w="1350" w:type="dxa"/>
            <w:noWrap w:val="0"/>
            <w:vAlign w:val="center"/>
          </w:tcPr>
          <w:p w14:paraId="28B1C08F">
            <w:pPr>
              <w:widowControl/>
              <w:adjustRightInd w:val="0"/>
              <w:snapToGrid w:val="0"/>
              <w:jc w:val="left"/>
              <w:rPr>
                <w:rFonts w:hint="eastAsia" w:ascii="楷体" w:eastAsia="楷体" w:cs="楷体"/>
                <w:color w:val="000000"/>
                <w:sz w:val="21"/>
                <w:szCs w:val="21"/>
                <w:lang w:val="en-US"/>
              </w:rPr>
            </w:pPr>
            <w:r>
              <w:rPr>
                <w:rFonts w:hint="eastAsia" w:ascii="楷体" w:eastAsia="楷体" w:cs="楷体"/>
                <w:color w:val="000000"/>
                <w:sz w:val="21"/>
                <w:szCs w:val="21"/>
                <w:lang w:val="en-US"/>
              </w:rPr>
              <w:t>中（70≦X＜80）</w:t>
            </w:r>
          </w:p>
        </w:tc>
        <w:tc>
          <w:tcPr>
            <w:tcW w:w="1245" w:type="dxa"/>
            <w:noWrap w:val="0"/>
            <w:vAlign w:val="center"/>
          </w:tcPr>
          <w:p w14:paraId="7D876163">
            <w:pPr>
              <w:widowControl/>
              <w:adjustRightInd w:val="0"/>
              <w:snapToGrid w:val="0"/>
              <w:jc w:val="left"/>
              <w:rPr>
                <w:rFonts w:hint="eastAsia" w:ascii="楷体" w:eastAsia="楷体" w:cs="楷体"/>
                <w:color w:val="000000"/>
                <w:sz w:val="21"/>
                <w:szCs w:val="21"/>
                <w:lang w:val="en-US"/>
              </w:rPr>
            </w:pPr>
            <w:r>
              <w:rPr>
                <w:rFonts w:hint="eastAsia" w:ascii="楷体" w:eastAsia="楷体" w:cs="楷体"/>
                <w:color w:val="000000"/>
                <w:sz w:val="21"/>
                <w:szCs w:val="21"/>
                <w:lang w:val="en-US"/>
              </w:rPr>
              <w:t>及格（60≦X＜70）</w:t>
            </w:r>
          </w:p>
        </w:tc>
        <w:tc>
          <w:tcPr>
            <w:tcW w:w="2553" w:type="dxa"/>
            <w:noWrap w:val="0"/>
            <w:vAlign w:val="center"/>
          </w:tcPr>
          <w:p w14:paraId="7D9C58CF">
            <w:pPr>
              <w:widowControl/>
              <w:adjustRightInd w:val="0"/>
              <w:snapToGrid w:val="0"/>
              <w:jc w:val="left"/>
              <w:rPr>
                <w:rFonts w:hint="eastAsia" w:ascii="楷体" w:eastAsia="楷体" w:cs="楷体"/>
                <w:color w:val="000000"/>
                <w:sz w:val="21"/>
                <w:szCs w:val="21"/>
                <w:lang w:val="en-US"/>
              </w:rPr>
            </w:pPr>
            <w:r>
              <w:rPr>
                <w:rFonts w:hint="eastAsia" w:ascii="楷体" w:eastAsia="楷体" w:cs="楷体"/>
                <w:color w:val="000000"/>
                <w:sz w:val="21"/>
                <w:szCs w:val="21"/>
                <w:lang w:val="en-US"/>
              </w:rPr>
              <w:t>不及格（＜60）</w:t>
            </w:r>
          </w:p>
        </w:tc>
      </w:tr>
      <w:tr w14:paraId="587D162B">
        <w:trPr>
          <w:trHeight w:val="1422" w:hRule="atLeast"/>
          <w:jc w:val="center"/>
        </w:trPr>
        <w:tc>
          <w:tcPr>
            <w:tcW w:w="0" w:type="auto"/>
            <w:vMerge w:val="continue"/>
            <w:noWrap w:val="0"/>
            <w:vAlign w:val="center"/>
          </w:tcPr>
          <w:p w14:paraId="65A402CB">
            <w:pPr>
              <w:adjustRightInd w:val="0"/>
              <w:snapToGrid w:val="0"/>
              <w:spacing w:line="240" w:lineRule="atLeast"/>
              <w:jc w:val="center"/>
              <w:rPr>
                <w:rFonts w:ascii="宋体" w:hAnsi="宋体" w:cs="宋体"/>
                <w:sz w:val="24"/>
                <w:szCs w:val="24"/>
              </w:rPr>
            </w:pPr>
          </w:p>
        </w:tc>
        <w:tc>
          <w:tcPr>
            <w:tcW w:w="0" w:type="auto"/>
            <w:noWrap w:val="0"/>
            <w:vAlign w:val="top"/>
          </w:tcPr>
          <w:p w14:paraId="6AB1EAA6">
            <w:pPr>
              <w:pageBreakBefore w:val="0"/>
              <w:widowControl/>
              <w:kinsoku/>
              <w:overflowPunct/>
              <w:topLinePunct w:val="0"/>
              <w:bidi w:val="0"/>
              <w:spacing w:line="240" w:lineRule="auto"/>
              <w:jc w:val="left"/>
              <w:rPr>
                <w:rFonts w:hint="eastAsia" w:ascii="楷体" w:hAnsi="Times New Roman" w:eastAsia="楷体" w:cs="仿宋"/>
                <w:bCs/>
                <w:kern w:val="2"/>
                <w:szCs w:val="21"/>
                <w:lang w:val="en-US" w:eastAsia="zh-CN" w:bidi="ar-SA"/>
              </w:rPr>
            </w:pPr>
            <w:r>
              <w:rPr>
                <w:rFonts w:hint="eastAsia" w:ascii="楷体" w:hAnsi="Times New Roman" w:eastAsia="楷体" w:cs="仿宋"/>
                <w:bCs/>
                <w:kern w:val="2"/>
                <w:szCs w:val="21"/>
                <w:lang w:bidi="ar-SA"/>
              </w:rPr>
              <w:t>课程目标1：掌握基本的普通话语音知识和科学的发声方法，能够运用标准或比较标准的普通话进行一般口语表达和课堂教学;掌握一般口语表达和职业口语表达技巧，能够在众人面前自信大方地说话和演讲，说话清晰、流畅，语态自然；能够在教学和教育工作中表达流畅、规范、得体，有一定应变能力。</w:t>
            </w:r>
          </w:p>
        </w:tc>
        <w:tc>
          <w:tcPr>
            <w:tcW w:w="0" w:type="auto"/>
            <w:noWrap w:val="0"/>
            <w:vAlign w:val="top"/>
          </w:tcPr>
          <w:p w14:paraId="4690D9B5">
            <w:pPr>
              <w:pageBreakBefore w:val="0"/>
              <w:widowControl/>
              <w:kinsoku/>
              <w:overflowPunct/>
              <w:topLinePunct w:val="0"/>
              <w:bidi w:val="0"/>
              <w:spacing w:line="240" w:lineRule="auto"/>
              <w:jc w:val="left"/>
              <w:rPr>
                <w:rFonts w:hint="eastAsia" w:ascii="楷体" w:hAnsi="Times New Roman" w:eastAsia="楷体" w:cs="仿宋"/>
                <w:bCs/>
                <w:kern w:val="2"/>
                <w:szCs w:val="21"/>
                <w:lang w:val="en-US" w:eastAsia="zh-CN" w:bidi="ar-SA"/>
              </w:rPr>
            </w:pPr>
            <w:r>
              <w:rPr>
                <w:rFonts w:hint="eastAsia" w:ascii="楷体" w:hAnsi="Times New Roman" w:eastAsia="楷体" w:cs="仿宋"/>
                <w:bCs/>
                <w:kern w:val="2"/>
                <w:szCs w:val="21"/>
                <w:lang w:bidi="ar-SA"/>
              </w:rPr>
              <w:t>能够扎实地掌握科学的发声方法和训练步骤、普通话语音知识，普通话发音非常规范准确；能够熟练运用标准的普通话进行口语表达。熟练掌握一般口语表达和职业口语表达技巧，能够在众人面前非常自信大方地说话和演讲，说话响亮、清晰、流畅，语态自然；能够非常生动、有感情地朗读诗文作品；在教学和教育工作中表达非常流畅、规范、得体，有优秀的表达能力和应变能力。</w:t>
            </w:r>
          </w:p>
        </w:tc>
        <w:tc>
          <w:tcPr>
            <w:tcW w:w="0" w:type="auto"/>
            <w:noWrap w:val="0"/>
            <w:vAlign w:val="top"/>
          </w:tcPr>
          <w:p w14:paraId="67EA6152">
            <w:pPr>
              <w:pageBreakBefore w:val="0"/>
              <w:widowControl/>
              <w:kinsoku/>
              <w:overflowPunct/>
              <w:topLinePunct w:val="0"/>
              <w:bidi w:val="0"/>
              <w:spacing w:line="240" w:lineRule="auto"/>
              <w:jc w:val="left"/>
              <w:rPr>
                <w:rFonts w:hint="eastAsia" w:ascii="楷体" w:hAnsi="Times New Roman" w:eastAsia="楷体" w:cs="仿宋"/>
                <w:bCs/>
                <w:kern w:val="2"/>
                <w:szCs w:val="21"/>
                <w:lang w:val="en-US" w:eastAsia="zh-CN" w:bidi="ar-SA"/>
              </w:rPr>
            </w:pPr>
            <w:r>
              <w:rPr>
                <w:rFonts w:hint="eastAsia" w:ascii="楷体" w:hAnsi="Times New Roman" w:eastAsia="楷体" w:cs="仿宋"/>
                <w:bCs/>
                <w:kern w:val="2"/>
                <w:szCs w:val="21"/>
                <w:lang w:bidi="ar-SA"/>
              </w:rPr>
              <w:t>能够较好地掌握科学的发声方法和训练步骤、普通话语音知识，普通话发音较为规范；能够熟练运用比较标准的普通话进行口语表达。 较为熟练地掌握一般口语表达和职业口语表达技巧，能够在众人面前大方地说话和演讲，说话清晰、流畅，语态自然；能够生动、有感情地朗读作品；在教学和教育工作中表达较为规范、得体，有良好的表达能力和应变能力。</w:t>
            </w:r>
          </w:p>
        </w:tc>
        <w:tc>
          <w:tcPr>
            <w:tcW w:w="1350" w:type="dxa"/>
            <w:noWrap w:val="0"/>
            <w:vAlign w:val="top"/>
          </w:tcPr>
          <w:p w14:paraId="2DA2A228">
            <w:pPr>
              <w:pageBreakBefore w:val="0"/>
              <w:widowControl/>
              <w:kinsoku/>
              <w:overflowPunct/>
              <w:topLinePunct w:val="0"/>
              <w:bidi w:val="0"/>
              <w:spacing w:line="240" w:lineRule="auto"/>
              <w:jc w:val="left"/>
              <w:rPr>
                <w:rFonts w:hint="eastAsia" w:ascii="楷体" w:hAnsi="Times New Roman" w:eastAsia="楷体" w:cs="仿宋"/>
                <w:bCs/>
                <w:kern w:val="2"/>
                <w:szCs w:val="21"/>
                <w:lang w:val="en-US" w:eastAsia="zh-CN" w:bidi="ar-SA"/>
              </w:rPr>
            </w:pPr>
            <w:r>
              <w:rPr>
                <w:rFonts w:hint="eastAsia" w:ascii="楷体" w:hAnsi="Times New Roman" w:eastAsia="楷体" w:cs="仿宋"/>
                <w:bCs/>
                <w:kern w:val="2"/>
                <w:szCs w:val="21"/>
                <w:lang w:bidi="ar-SA"/>
              </w:rPr>
              <w:t>能够基本掌握科学的发声方法、普通话语音知识，能够运用比较标准的普通话进行口语表达，偶尔出现平翘舌、前后鼻音发音不到位的现象。基本掌握一般口语表达和职业口语表达技巧，能够在众人面前自然地说话和演讲；朗读作品较为生动；在教学和教育工作中表达较为规范得体，有一定的表达能力和应变能力。</w:t>
            </w:r>
          </w:p>
        </w:tc>
        <w:tc>
          <w:tcPr>
            <w:tcW w:w="1245" w:type="dxa"/>
            <w:noWrap w:val="0"/>
            <w:vAlign w:val="top"/>
          </w:tcPr>
          <w:p w14:paraId="6339C125">
            <w:pPr>
              <w:pageBreakBefore w:val="0"/>
              <w:widowControl/>
              <w:kinsoku/>
              <w:overflowPunct/>
              <w:topLinePunct w:val="0"/>
              <w:bidi w:val="0"/>
              <w:spacing w:line="240" w:lineRule="auto"/>
              <w:jc w:val="left"/>
              <w:rPr>
                <w:rFonts w:hint="eastAsia" w:ascii="楷体" w:hAnsi="Times New Roman" w:eastAsia="楷体" w:cs="仿宋"/>
                <w:bCs/>
                <w:kern w:val="2"/>
                <w:szCs w:val="21"/>
                <w:lang w:val="en-US" w:eastAsia="zh-CN" w:bidi="ar-SA"/>
              </w:rPr>
            </w:pPr>
            <w:r>
              <w:rPr>
                <w:rFonts w:hint="eastAsia" w:ascii="楷体" w:hAnsi="Times New Roman" w:eastAsia="楷体" w:cs="仿宋"/>
                <w:bCs/>
                <w:kern w:val="2"/>
                <w:szCs w:val="21"/>
                <w:lang w:bidi="ar-SA"/>
              </w:rPr>
              <w:t xml:space="preserve">能够掌握发声方法和普通话语音知识，能够运用普通话进行口语表达，有系统性的语音缺陷，有方言语调。了解日常口语表达和职业口语表达技巧，心理调控能力尚可，能够在众人面前说话和演讲，语态还算自然；能够流畅地朗读作品；在教学和教育工作中表达流畅、用语规范。 </w:t>
            </w:r>
          </w:p>
        </w:tc>
        <w:tc>
          <w:tcPr>
            <w:tcW w:w="2553" w:type="dxa"/>
            <w:noWrap w:val="0"/>
            <w:vAlign w:val="top"/>
          </w:tcPr>
          <w:p w14:paraId="3FAD7743">
            <w:pPr>
              <w:pageBreakBefore w:val="0"/>
              <w:widowControl/>
              <w:kinsoku/>
              <w:overflowPunct/>
              <w:topLinePunct w:val="0"/>
              <w:bidi w:val="0"/>
              <w:spacing w:line="240" w:lineRule="auto"/>
              <w:jc w:val="left"/>
              <w:rPr>
                <w:rFonts w:hint="eastAsia" w:ascii="楷体" w:hAnsi="Times New Roman" w:eastAsia="楷体" w:cs="仿宋"/>
                <w:bCs/>
                <w:kern w:val="2"/>
                <w:szCs w:val="21"/>
                <w:lang w:val="en-US" w:eastAsia="zh-CN" w:bidi="ar-SA"/>
              </w:rPr>
            </w:pPr>
            <w:r>
              <w:rPr>
                <w:rFonts w:hint="eastAsia" w:ascii="楷体" w:hAnsi="Times New Roman" w:eastAsia="楷体" w:cs="仿宋"/>
                <w:bCs/>
                <w:kern w:val="2"/>
                <w:szCs w:val="21"/>
                <w:lang w:bidi="ar-SA"/>
              </w:rPr>
              <w:t>未能掌握发声方法和普通话语音知识，未能运用普通话进行口语表达，有较多的系统性语音缺陷，方言语调严重。 不了解日常口语表达和职业口语表达技巧，在教学和教育工作中表达不流畅、用语不够规范；朗读作品不够流畅，语调平淡，没有感情；不敢在众人面前演讲，口语交流能力较弱。</w:t>
            </w:r>
          </w:p>
        </w:tc>
      </w:tr>
      <w:tr w14:paraId="6DBA3E17">
        <w:trPr>
          <w:trHeight w:val="416" w:hRule="atLeast"/>
          <w:jc w:val="center"/>
        </w:trPr>
        <w:tc>
          <w:tcPr>
            <w:tcW w:w="0" w:type="auto"/>
            <w:vMerge w:val="continue"/>
            <w:noWrap w:val="0"/>
            <w:vAlign w:val="center"/>
          </w:tcPr>
          <w:p w14:paraId="3359EA05">
            <w:pPr>
              <w:adjustRightInd w:val="0"/>
              <w:snapToGrid w:val="0"/>
              <w:spacing w:line="240" w:lineRule="atLeast"/>
              <w:jc w:val="center"/>
              <w:rPr>
                <w:rFonts w:ascii="宋体" w:hAnsi="宋体" w:cs="宋体"/>
                <w:sz w:val="24"/>
                <w:szCs w:val="24"/>
              </w:rPr>
            </w:pPr>
          </w:p>
        </w:tc>
        <w:tc>
          <w:tcPr>
            <w:tcW w:w="0" w:type="auto"/>
            <w:noWrap w:val="0"/>
            <w:vAlign w:val="top"/>
          </w:tcPr>
          <w:p w14:paraId="39B06E75">
            <w:pPr>
              <w:pageBreakBefore w:val="0"/>
              <w:widowControl/>
              <w:kinsoku/>
              <w:overflowPunct/>
              <w:topLinePunct w:val="0"/>
              <w:bidi w:val="0"/>
              <w:spacing w:line="240" w:lineRule="auto"/>
              <w:jc w:val="left"/>
              <w:rPr>
                <w:rFonts w:hint="eastAsia" w:ascii="楷体" w:hAnsi="Times New Roman" w:eastAsia="楷体" w:cs="仿宋"/>
                <w:bCs/>
                <w:kern w:val="2"/>
                <w:szCs w:val="21"/>
                <w:lang w:val="en-US" w:eastAsia="zh-CN" w:bidi="ar-SA"/>
              </w:rPr>
            </w:pPr>
            <w:r>
              <w:rPr>
                <w:rFonts w:hint="eastAsia" w:ascii="楷体" w:hAnsi="Times New Roman" w:eastAsia="楷体" w:cs="仿宋"/>
                <w:bCs/>
                <w:kern w:val="2"/>
                <w:szCs w:val="21"/>
                <w:lang w:bidi="ar-SA"/>
              </w:rPr>
              <w:t>课程目标2：具有良好的教育情怀。以学生为本，尊重学生人格，关心学生成长。</w:t>
            </w:r>
          </w:p>
        </w:tc>
        <w:tc>
          <w:tcPr>
            <w:tcW w:w="0" w:type="auto"/>
            <w:noWrap w:val="0"/>
            <w:vAlign w:val="top"/>
          </w:tcPr>
          <w:p w14:paraId="7AD1DFD2">
            <w:pPr>
              <w:pageBreakBefore w:val="0"/>
              <w:widowControl/>
              <w:kinsoku/>
              <w:overflowPunct/>
              <w:topLinePunct w:val="0"/>
              <w:bidi w:val="0"/>
              <w:spacing w:line="240" w:lineRule="auto"/>
              <w:jc w:val="left"/>
              <w:rPr>
                <w:rFonts w:hint="eastAsia" w:ascii="楷体" w:hAnsi="Times New Roman" w:eastAsia="楷体" w:cs="仿宋"/>
                <w:bCs/>
                <w:kern w:val="2"/>
                <w:szCs w:val="21"/>
                <w:lang w:val="en-US" w:eastAsia="zh-CN" w:bidi="ar-SA"/>
              </w:rPr>
            </w:pPr>
            <w:r>
              <w:rPr>
                <w:rFonts w:hint="eastAsia" w:ascii="楷体" w:hAnsi="Times New Roman" w:eastAsia="楷体" w:cs="仿宋"/>
                <w:bCs/>
                <w:kern w:val="2"/>
                <w:szCs w:val="21"/>
                <w:lang w:bidi="ar-SA"/>
              </w:rPr>
              <w:t>演讲、朗读和教育教学口语表达具有积极的情感、端正的态度。师生沟通中非常尊重学生人格，关心学生成长。</w:t>
            </w:r>
          </w:p>
        </w:tc>
        <w:tc>
          <w:tcPr>
            <w:tcW w:w="0" w:type="auto"/>
            <w:noWrap w:val="0"/>
            <w:vAlign w:val="top"/>
          </w:tcPr>
          <w:p w14:paraId="1933D450">
            <w:pPr>
              <w:pageBreakBefore w:val="0"/>
              <w:widowControl/>
              <w:kinsoku/>
              <w:overflowPunct/>
              <w:topLinePunct w:val="0"/>
              <w:bidi w:val="0"/>
              <w:spacing w:line="240" w:lineRule="auto"/>
              <w:jc w:val="left"/>
              <w:rPr>
                <w:rFonts w:hint="eastAsia" w:ascii="楷体" w:hAnsi="Times New Roman" w:eastAsia="楷体" w:cs="仿宋"/>
                <w:bCs/>
                <w:kern w:val="2"/>
                <w:szCs w:val="21"/>
                <w:lang w:val="en-US" w:eastAsia="zh-CN" w:bidi="ar-SA"/>
              </w:rPr>
            </w:pPr>
            <w:r>
              <w:rPr>
                <w:rFonts w:hint="eastAsia" w:ascii="楷体" w:hAnsi="Times New Roman" w:eastAsia="楷体" w:cs="仿宋"/>
                <w:bCs/>
                <w:kern w:val="2"/>
                <w:szCs w:val="21"/>
                <w:lang w:bidi="ar-SA"/>
              </w:rPr>
              <w:t>演讲、朗读和教育教学口语表达具有较为积极的情感和态度。师生沟通中能够尊重学生人格，关心学生成长。</w:t>
            </w:r>
          </w:p>
        </w:tc>
        <w:tc>
          <w:tcPr>
            <w:tcW w:w="1350" w:type="dxa"/>
            <w:noWrap w:val="0"/>
            <w:vAlign w:val="top"/>
          </w:tcPr>
          <w:p w14:paraId="6EF5D067">
            <w:pPr>
              <w:pageBreakBefore w:val="0"/>
              <w:widowControl/>
              <w:kinsoku/>
              <w:overflowPunct/>
              <w:topLinePunct w:val="0"/>
              <w:bidi w:val="0"/>
              <w:spacing w:line="240" w:lineRule="auto"/>
              <w:jc w:val="left"/>
              <w:rPr>
                <w:rFonts w:hint="eastAsia" w:ascii="楷体" w:hAnsi="Times New Roman" w:eastAsia="楷体" w:cs="仿宋"/>
                <w:bCs/>
                <w:kern w:val="2"/>
                <w:szCs w:val="21"/>
                <w:lang w:val="en-US" w:eastAsia="zh-CN" w:bidi="ar-SA"/>
              </w:rPr>
            </w:pPr>
            <w:r>
              <w:rPr>
                <w:rFonts w:hint="eastAsia" w:ascii="楷体" w:hAnsi="Times New Roman" w:eastAsia="楷体" w:cs="仿宋"/>
                <w:bCs/>
                <w:kern w:val="2"/>
                <w:szCs w:val="21"/>
                <w:lang w:bidi="ar-SA"/>
              </w:rPr>
              <w:t>演讲、朗读和教育教学口语表达中情感积极健康，态度端正，价值观正确；能够尊重学生人格，关心学生成长。</w:t>
            </w:r>
          </w:p>
        </w:tc>
        <w:tc>
          <w:tcPr>
            <w:tcW w:w="1245" w:type="dxa"/>
            <w:noWrap w:val="0"/>
            <w:vAlign w:val="top"/>
          </w:tcPr>
          <w:p w14:paraId="04FDAB46">
            <w:pPr>
              <w:pageBreakBefore w:val="0"/>
              <w:widowControl/>
              <w:kinsoku/>
              <w:overflowPunct/>
              <w:topLinePunct w:val="0"/>
              <w:bidi w:val="0"/>
              <w:spacing w:line="240" w:lineRule="auto"/>
              <w:jc w:val="left"/>
              <w:rPr>
                <w:rFonts w:hint="eastAsia" w:ascii="楷体" w:hAnsi="Times New Roman" w:eastAsia="楷体" w:cs="仿宋"/>
                <w:bCs/>
                <w:kern w:val="2"/>
                <w:szCs w:val="21"/>
                <w:lang w:val="en-US" w:eastAsia="zh-CN" w:bidi="ar-SA"/>
              </w:rPr>
            </w:pPr>
            <w:r>
              <w:rPr>
                <w:rFonts w:hint="eastAsia" w:ascii="楷体" w:hAnsi="Times New Roman" w:eastAsia="楷体" w:cs="仿宋"/>
                <w:bCs/>
                <w:kern w:val="2"/>
                <w:szCs w:val="21"/>
                <w:lang w:bidi="ar-SA"/>
              </w:rPr>
              <w:t>演讲和教育教学口语表达中体现一定的教师职业认同，态度端正，价值观正确，能尊重学生人格。</w:t>
            </w:r>
          </w:p>
        </w:tc>
        <w:tc>
          <w:tcPr>
            <w:tcW w:w="2553" w:type="dxa"/>
            <w:noWrap w:val="0"/>
            <w:vAlign w:val="top"/>
          </w:tcPr>
          <w:p w14:paraId="00DAF90E">
            <w:pPr>
              <w:pageBreakBefore w:val="0"/>
              <w:widowControl/>
              <w:kinsoku/>
              <w:overflowPunct/>
              <w:topLinePunct w:val="0"/>
              <w:bidi w:val="0"/>
              <w:spacing w:line="240" w:lineRule="auto"/>
              <w:jc w:val="left"/>
              <w:rPr>
                <w:rFonts w:hint="eastAsia" w:ascii="楷体" w:hAnsi="Times New Roman" w:eastAsia="楷体" w:cs="仿宋"/>
                <w:bCs/>
                <w:kern w:val="2"/>
                <w:szCs w:val="21"/>
                <w:lang w:val="en-US" w:eastAsia="zh-CN" w:bidi="ar-SA"/>
              </w:rPr>
            </w:pPr>
            <w:r>
              <w:rPr>
                <w:rFonts w:hint="eastAsia" w:ascii="楷体" w:hAnsi="Times New Roman" w:eastAsia="楷体" w:cs="仿宋"/>
                <w:bCs/>
                <w:kern w:val="2"/>
                <w:szCs w:val="21"/>
                <w:lang w:bidi="ar-SA"/>
              </w:rPr>
              <w:t>演讲和教育教学口语表达中未能认同教师工作的意义和专业性，未能尊重学生，未能与学生有效沟通。</w:t>
            </w:r>
          </w:p>
        </w:tc>
      </w:tr>
      <w:tr w14:paraId="0E9E19D6">
        <w:trPr>
          <w:trHeight w:val="1131" w:hRule="atLeast"/>
          <w:jc w:val="center"/>
        </w:trPr>
        <w:tc>
          <w:tcPr>
            <w:tcW w:w="0" w:type="auto"/>
            <w:vMerge w:val="continue"/>
            <w:noWrap w:val="0"/>
            <w:vAlign w:val="center"/>
          </w:tcPr>
          <w:p w14:paraId="1F4148C6">
            <w:pPr>
              <w:adjustRightInd w:val="0"/>
              <w:snapToGrid w:val="0"/>
              <w:spacing w:line="240" w:lineRule="atLeast"/>
              <w:jc w:val="center"/>
              <w:rPr>
                <w:rFonts w:ascii="宋体" w:hAnsi="宋体" w:cs="宋体"/>
                <w:color w:val="000000"/>
                <w:sz w:val="24"/>
                <w:szCs w:val="24"/>
              </w:rPr>
            </w:pPr>
          </w:p>
        </w:tc>
        <w:tc>
          <w:tcPr>
            <w:tcW w:w="0" w:type="auto"/>
            <w:noWrap w:val="0"/>
            <w:vAlign w:val="top"/>
          </w:tcPr>
          <w:p w14:paraId="6DE13F04">
            <w:pPr>
              <w:pageBreakBefore w:val="0"/>
              <w:widowControl/>
              <w:kinsoku/>
              <w:overflowPunct/>
              <w:topLinePunct w:val="0"/>
              <w:bidi w:val="0"/>
              <w:spacing w:line="240" w:lineRule="auto"/>
              <w:jc w:val="left"/>
              <w:rPr>
                <w:rFonts w:hint="eastAsia" w:ascii="楷体" w:hAnsi="Times New Roman" w:eastAsia="楷体" w:cs="仿宋"/>
                <w:bCs/>
                <w:kern w:val="2"/>
                <w:szCs w:val="21"/>
                <w:lang w:val="en-US" w:eastAsia="zh-CN" w:bidi="ar-SA"/>
              </w:rPr>
            </w:pPr>
            <w:r>
              <w:rPr>
                <w:rFonts w:hint="eastAsia" w:ascii="楷体" w:hAnsi="Times New Roman" w:eastAsia="楷体" w:cs="仿宋"/>
                <w:bCs/>
                <w:kern w:val="2"/>
                <w:szCs w:val="21"/>
                <w:lang w:bidi="ar-SA"/>
              </w:rPr>
              <w:t>课程目标3：掌握人际沟通技巧，积极主动与他人进行交流，具备良好的人际沟通能力和团队协作精神。</w:t>
            </w:r>
          </w:p>
        </w:tc>
        <w:tc>
          <w:tcPr>
            <w:tcW w:w="0" w:type="auto"/>
            <w:noWrap w:val="0"/>
            <w:vAlign w:val="top"/>
          </w:tcPr>
          <w:p w14:paraId="06EE0BBD">
            <w:pPr>
              <w:pageBreakBefore w:val="0"/>
              <w:widowControl/>
              <w:kinsoku/>
              <w:overflowPunct/>
              <w:topLinePunct w:val="0"/>
              <w:bidi w:val="0"/>
              <w:spacing w:line="240" w:lineRule="auto"/>
              <w:jc w:val="left"/>
              <w:rPr>
                <w:rFonts w:hint="eastAsia" w:ascii="楷体" w:hAnsi="Times New Roman" w:eastAsia="楷体" w:cs="仿宋"/>
                <w:bCs/>
                <w:kern w:val="2"/>
                <w:szCs w:val="21"/>
                <w:lang w:val="en-US" w:eastAsia="zh-CN" w:bidi="ar-SA"/>
              </w:rPr>
            </w:pPr>
            <w:r>
              <w:rPr>
                <w:rFonts w:hint="eastAsia" w:ascii="楷体" w:hAnsi="Times New Roman" w:eastAsia="楷体" w:cs="仿宋"/>
                <w:bCs/>
                <w:kern w:val="2"/>
                <w:szCs w:val="21"/>
                <w:lang w:bidi="ar-SA"/>
              </w:rPr>
              <w:t>能够积极主动与他人进行交流和沟通，善于沟通合作。在演讲和模拟教学等教育教学活动中体现优秀的人际沟通能力和团队协作意识。</w:t>
            </w:r>
          </w:p>
        </w:tc>
        <w:tc>
          <w:tcPr>
            <w:tcW w:w="0" w:type="auto"/>
            <w:noWrap w:val="0"/>
            <w:vAlign w:val="top"/>
          </w:tcPr>
          <w:p w14:paraId="1F6403D9">
            <w:pPr>
              <w:pageBreakBefore w:val="0"/>
              <w:widowControl/>
              <w:kinsoku/>
              <w:overflowPunct/>
              <w:topLinePunct w:val="0"/>
              <w:bidi w:val="0"/>
              <w:spacing w:line="240" w:lineRule="auto"/>
              <w:jc w:val="left"/>
              <w:rPr>
                <w:rFonts w:hint="eastAsia" w:ascii="楷体" w:hAnsi="Times New Roman" w:eastAsia="楷体" w:cs="仿宋"/>
                <w:bCs/>
                <w:kern w:val="2"/>
                <w:szCs w:val="21"/>
                <w:lang w:val="en-US" w:eastAsia="zh-CN" w:bidi="ar-SA"/>
              </w:rPr>
            </w:pPr>
            <w:r>
              <w:rPr>
                <w:rFonts w:hint="eastAsia" w:ascii="楷体" w:hAnsi="Times New Roman" w:eastAsia="楷体" w:cs="仿宋"/>
                <w:bCs/>
                <w:kern w:val="2"/>
                <w:szCs w:val="21"/>
                <w:lang w:bidi="ar-SA"/>
              </w:rPr>
              <w:t>能够积极主动与他人进行交流和沟通，在演讲和模拟教学等教育教学活动中体现良好的人际沟通能力和团队协作精神。</w:t>
            </w:r>
          </w:p>
        </w:tc>
        <w:tc>
          <w:tcPr>
            <w:tcW w:w="1350" w:type="dxa"/>
            <w:noWrap w:val="0"/>
            <w:vAlign w:val="top"/>
          </w:tcPr>
          <w:p w14:paraId="0EB3C0F1">
            <w:pPr>
              <w:pageBreakBefore w:val="0"/>
              <w:widowControl/>
              <w:kinsoku/>
              <w:overflowPunct/>
              <w:topLinePunct w:val="0"/>
              <w:bidi w:val="0"/>
              <w:spacing w:line="240" w:lineRule="auto"/>
              <w:jc w:val="left"/>
              <w:rPr>
                <w:rFonts w:hint="eastAsia" w:ascii="楷体" w:hAnsi="Times New Roman" w:eastAsia="楷体" w:cs="仿宋"/>
                <w:bCs/>
                <w:kern w:val="2"/>
                <w:szCs w:val="21"/>
                <w:lang w:val="en-US" w:eastAsia="zh-CN" w:bidi="ar-SA"/>
              </w:rPr>
            </w:pPr>
            <w:r>
              <w:rPr>
                <w:rFonts w:hint="eastAsia" w:ascii="楷体" w:hAnsi="Times New Roman" w:eastAsia="楷体" w:cs="仿宋"/>
                <w:bCs/>
                <w:kern w:val="2"/>
                <w:szCs w:val="21"/>
                <w:lang w:bidi="ar-SA"/>
              </w:rPr>
              <w:t>能够较好地与他人进行交流和沟通，在演讲和和模拟教学等教育教学活动中体现一定的人际沟通和团队协作能力。</w:t>
            </w:r>
          </w:p>
        </w:tc>
        <w:tc>
          <w:tcPr>
            <w:tcW w:w="1245" w:type="dxa"/>
            <w:noWrap w:val="0"/>
            <w:vAlign w:val="top"/>
          </w:tcPr>
          <w:p w14:paraId="0150E369">
            <w:pPr>
              <w:pageBreakBefore w:val="0"/>
              <w:widowControl/>
              <w:kinsoku/>
              <w:overflowPunct/>
              <w:topLinePunct w:val="0"/>
              <w:bidi w:val="0"/>
              <w:spacing w:line="240" w:lineRule="auto"/>
              <w:jc w:val="left"/>
              <w:rPr>
                <w:rFonts w:hint="eastAsia" w:ascii="楷体" w:hAnsi="Times New Roman" w:eastAsia="楷体" w:cs="仿宋"/>
                <w:bCs/>
                <w:kern w:val="2"/>
                <w:szCs w:val="21"/>
                <w:lang w:val="en-US" w:eastAsia="zh-CN" w:bidi="ar-SA"/>
              </w:rPr>
            </w:pPr>
            <w:r>
              <w:rPr>
                <w:rFonts w:hint="eastAsia" w:ascii="楷体" w:hAnsi="Times New Roman" w:eastAsia="楷体" w:cs="仿宋"/>
                <w:bCs/>
                <w:kern w:val="2"/>
                <w:szCs w:val="21"/>
                <w:lang w:bidi="ar-SA"/>
              </w:rPr>
              <w:t>在演讲和和模拟教学等教育教学活动中，能够与同学和老师进行人际沟通，有一定的团队协作能力。</w:t>
            </w:r>
          </w:p>
        </w:tc>
        <w:tc>
          <w:tcPr>
            <w:tcW w:w="2553" w:type="dxa"/>
            <w:noWrap w:val="0"/>
            <w:vAlign w:val="top"/>
          </w:tcPr>
          <w:p w14:paraId="32C0552B">
            <w:pPr>
              <w:pageBreakBefore w:val="0"/>
              <w:widowControl/>
              <w:kinsoku/>
              <w:overflowPunct/>
              <w:topLinePunct w:val="0"/>
              <w:bidi w:val="0"/>
              <w:spacing w:line="240" w:lineRule="auto"/>
              <w:jc w:val="left"/>
              <w:rPr>
                <w:rFonts w:hint="eastAsia" w:ascii="楷体" w:hAnsi="Times New Roman" w:eastAsia="楷体" w:cs="仿宋"/>
                <w:bCs/>
                <w:kern w:val="2"/>
                <w:szCs w:val="21"/>
                <w:lang w:val="en-US" w:eastAsia="zh-CN" w:bidi="ar-SA"/>
              </w:rPr>
            </w:pPr>
            <w:r>
              <w:rPr>
                <w:rFonts w:hint="eastAsia" w:ascii="楷体" w:hAnsi="Times New Roman" w:eastAsia="楷体" w:cs="仿宋"/>
                <w:bCs/>
                <w:kern w:val="2"/>
                <w:szCs w:val="21"/>
                <w:lang w:bidi="ar-SA"/>
              </w:rPr>
              <w:t>在演讲和和模拟教学等教育教学活动中，未能与同学和老师进行有效沟通，人际关系紧张，协作能力差。</w:t>
            </w:r>
          </w:p>
        </w:tc>
      </w:tr>
    </w:tbl>
    <w:p w14:paraId="75C2F512">
      <w:pPr>
        <w:rPr>
          <w:sz w:val="2"/>
          <w:szCs w:val="2"/>
        </w:rPr>
        <w:sectPr>
          <w:headerReference r:id="rId35" w:type="default"/>
          <w:footerReference r:id="rId36" w:type="default"/>
          <w:pgSz w:w="11906" w:h="16838"/>
          <w:pgMar w:top="1440" w:right="1800" w:bottom="1440" w:left="1800" w:header="851" w:footer="992" w:gutter="0"/>
          <w:cols w:space="425" w:num="1"/>
          <w:docGrid w:type="lines" w:linePitch="312" w:charSpace="0"/>
        </w:sectPr>
      </w:pPr>
    </w:p>
    <w:p w14:paraId="41B099BD">
      <w:pPr>
        <w:pStyle w:val="10"/>
        <w:jc w:val="center"/>
        <w:rPr>
          <w:rFonts w:eastAsia="微软雅黑" w:cs="Times New Roman"/>
          <w:sz w:val="44"/>
          <w:szCs w:val="44"/>
        </w:rPr>
      </w:pPr>
      <w:r>
        <w:rPr>
          <w:rFonts w:hint="eastAsia" w:eastAsia="微软雅黑" w:cs="Times New Roman"/>
          <w:sz w:val="44"/>
          <w:szCs w:val="44"/>
        </w:rPr>
        <w:t>三明学院音乐学（音乐教育）专业</w:t>
      </w:r>
    </w:p>
    <w:p w14:paraId="01FCDF7F">
      <w:pPr>
        <w:pStyle w:val="188"/>
        <w:bidi w:val="0"/>
        <w:jc w:val="center"/>
        <w:rPr>
          <w:rFonts w:hint="eastAsia"/>
        </w:rPr>
      </w:pPr>
      <w:bookmarkStart w:id="86" w:name="_Toc1762741164"/>
      <w:r>
        <w:rPr>
          <w:rFonts w:hint="eastAsia"/>
        </w:rPr>
        <w:t>《教师书写技能》课程教学大纲</w:t>
      </w:r>
      <w:bookmarkEnd w:id="86"/>
    </w:p>
    <w:tbl>
      <w:tblPr>
        <w:tblStyle w:val="22"/>
        <w:tblW w:w="9148"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423"/>
        <w:gridCol w:w="1127"/>
        <w:gridCol w:w="7"/>
        <w:gridCol w:w="283"/>
        <w:gridCol w:w="912"/>
        <w:gridCol w:w="1493"/>
        <w:gridCol w:w="113"/>
        <w:gridCol w:w="275"/>
        <w:gridCol w:w="577"/>
        <w:gridCol w:w="458"/>
        <w:gridCol w:w="117"/>
        <w:gridCol w:w="286"/>
        <w:gridCol w:w="314"/>
        <w:gridCol w:w="839"/>
        <w:gridCol w:w="335"/>
        <w:gridCol w:w="589"/>
      </w:tblGrid>
      <w:tr w14:paraId="2C1E6966">
        <w:trPr>
          <w:trHeight w:val="454" w:hRule="atLeast"/>
        </w:trPr>
        <w:tc>
          <w:tcPr>
            <w:tcW w:w="1423" w:type="dxa"/>
            <w:noWrap w:val="0"/>
            <w:vAlign w:val="center"/>
          </w:tcPr>
          <w:p w14:paraId="3E6F51D2">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课程名称</w:t>
            </w:r>
          </w:p>
        </w:tc>
        <w:tc>
          <w:tcPr>
            <w:tcW w:w="4787" w:type="dxa"/>
            <w:gridSpan w:val="8"/>
            <w:noWrap w:val="0"/>
            <w:vAlign w:val="center"/>
          </w:tcPr>
          <w:p w14:paraId="55A43748">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lang w:eastAsia="zh-CN"/>
              </w:rPr>
              <w:t>教师</w:t>
            </w:r>
            <w:r>
              <w:rPr>
                <w:rFonts w:hint="eastAsia" w:ascii="仿宋" w:hAnsi="仿宋" w:eastAsia="仿宋" w:cs="仿宋"/>
                <w:sz w:val="24"/>
                <w:szCs w:val="24"/>
              </w:rPr>
              <w:t>书写技能2</w:t>
            </w:r>
          </w:p>
        </w:tc>
        <w:tc>
          <w:tcPr>
            <w:tcW w:w="575" w:type="dxa"/>
            <w:gridSpan w:val="2"/>
            <w:noWrap w:val="0"/>
            <w:vAlign w:val="center"/>
          </w:tcPr>
          <w:p w14:paraId="417299C8">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w:t>
            </w:r>
          </w:p>
          <w:p w14:paraId="759FBC07">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代码</w:t>
            </w:r>
          </w:p>
        </w:tc>
        <w:tc>
          <w:tcPr>
            <w:tcW w:w="2363" w:type="dxa"/>
            <w:gridSpan w:val="5"/>
            <w:noWrap w:val="0"/>
            <w:vAlign w:val="center"/>
          </w:tcPr>
          <w:p w14:paraId="5DAD9323">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1212302616</w:t>
            </w:r>
          </w:p>
          <w:p w14:paraId="3A63C070">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1212302617</w:t>
            </w:r>
          </w:p>
        </w:tc>
      </w:tr>
      <w:tr w14:paraId="431FFBE7">
        <w:trPr>
          <w:trHeight w:val="454" w:hRule="atLeast"/>
        </w:trPr>
        <w:tc>
          <w:tcPr>
            <w:tcW w:w="1423" w:type="dxa"/>
            <w:noWrap w:val="0"/>
            <w:vAlign w:val="center"/>
          </w:tcPr>
          <w:p w14:paraId="6F7379D7">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课程类型</w:t>
            </w:r>
          </w:p>
        </w:tc>
        <w:tc>
          <w:tcPr>
            <w:tcW w:w="7725" w:type="dxa"/>
            <w:gridSpan w:val="15"/>
            <w:noWrap w:val="0"/>
            <w:vAlign w:val="center"/>
          </w:tcPr>
          <w:p w14:paraId="0A2D24D0">
            <w:pPr>
              <w:adjustRightInd w:val="0"/>
              <w:snapToGrid w:val="0"/>
              <w:spacing w:line="240" w:lineRule="atLeast"/>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通识必修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通识选修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专业必修 </w:t>
            </w:r>
          </w:p>
          <w:p w14:paraId="2F9A21AA">
            <w:pPr>
              <w:adjustRightInd w:val="0"/>
              <w:snapToGrid w:val="0"/>
              <w:spacing w:line="240" w:lineRule="atLeast"/>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专业选修</w:t>
            </w:r>
            <w:r>
              <w:rPr>
                <w:rFonts w:hint="eastAsia" w:ascii="仿宋" w:hAnsi="仿宋" w:eastAsia="仿宋" w:cs="仿宋"/>
                <w:sz w:val="24"/>
                <w:szCs w:val="24"/>
                <w:lang w:eastAsia="zh-TW"/>
              </w:rPr>
              <w:t xml:space="preserve">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教师教育必修 </w:t>
            </w:r>
            <w:r>
              <w:rPr>
                <w:rFonts w:hint="eastAsia" w:ascii="仿宋" w:hAnsi="仿宋" w:eastAsia="仿宋" w:cs="仿宋"/>
                <w:sz w:val="24"/>
                <w:szCs w:val="24"/>
              </w:rPr>
              <w:sym w:font="Wingdings" w:char="00A8"/>
            </w:r>
            <w:r>
              <w:rPr>
                <w:rFonts w:hint="eastAsia" w:ascii="仿宋" w:hAnsi="仿宋" w:eastAsia="仿宋" w:cs="仿宋"/>
                <w:sz w:val="24"/>
                <w:szCs w:val="24"/>
              </w:rPr>
              <w:t>教师教育选修</w:t>
            </w:r>
          </w:p>
        </w:tc>
      </w:tr>
      <w:tr w14:paraId="6F951F5D">
        <w:trPr>
          <w:trHeight w:val="406" w:hRule="atLeast"/>
        </w:trPr>
        <w:tc>
          <w:tcPr>
            <w:tcW w:w="1423" w:type="dxa"/>
            <w:noWrap w:val="0"/>
            <w:vAlign w:val="center"/>
          </w:tcPr>
          <w:p w14:paraId="1E613405">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开课学期</w:t>
            </w:r>
          </w:p>
        </w:tc>
        <w:tc>
          <w:tcPr>
            <w:tcW w:w="1127" w:type="dxa"/>
            <w:noWrap w:val="0"/>
            <w:vAlign w:val="center"/>
          </w:tcPr>
          <w:p w14:paraId="2B03FE36">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color w:val="000000"/>
                <w:sz w:val="24"/>
                <w:szCs w:val="24"/>
              </w:rPr>
              <w:t>第</w:t>
            </w:r>
            <w:r>
              <w:rPr>
                <w:rFonts w:hint="eastAsia" w:ascii="仿宋" w:hAnsi="仿宋" w:eastAsia="仿宋" w:cs="仿宋"/>
                <w:color w:val="000000"/>
                <w:sz w:val="24"/>
                <w:szCs w:val="24"/>
                <w:lang w:val="en-US" w:eastAsia="zh-CN"/>
              </w:rPr>
              <w:t>2</w:t>
            </w:r>
            <w:r>
              <w:rPr>
                <w:rFonts w:hint="eastAsia" w:ascii="仿宋" w:hAnsi="仿宋" w:eastAsia="仿宋" w:cs="仿宋"/>
                <w:color w:val="000000"/>
                <w:sz w:val="24"/>
                <w:szCs w:val="24"/>
              </w:rPr>
              <w:t>学期</w:t>
            </w:r>
          </w:p>
        </w:tc>
        <w:tc>
          <w:tcPr>
            <w:tcW w:w="1202" w:type="dxa"/>
            <w:gridSpan w:val="3"/>
            <w:noWrap w:val="0"/>
            <w:vAlign w:val="center"/>
          </w:tcPr>
          <w:p w14:paraId="7FC3E2C0">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学分</w:t>
            </w:r>
          </w:p>
        </w:tc>
        <w:tc>
          <w:tcPr>
            <w:tcW w:w="1606" w:type="dxa"/>
            <w:gridSpan w:val="2"/>
            <w:noWrap w:val="0"/>
            <w:vAlign w:val="center"/>
          </w:tcPr>
          <w:p w14:paraId="27BFCB1F">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1</w:t>
            </w:r>
          </w:p>
        </w:tc>
        <w:tc>
          <w:tcPr>
            <w:tcW w:w="1427" w:type="dxa"/>
            <w:gridSpan w:val="4"/>
            <w:noWrap w:val="0"/>
            <w:vAlign w:val="center"/>
          </w:tcPr>
          <w:p w14:paraId="742466D8">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课程负责人</w:t>
            </w:r>
          </w:p>
        </w:tc>
        <w:tc>
          <w:tcPr>
            <w:tcW w:w="2363" w:type="dxa"/>
            <w:gridSpan w:val="5"/>
            <w:noWrap w:val="0"/>
            <w:vAlign w:val="center"/>
          </w:tcPr>
          <w:p w14:paraId="435774B5">
            <w:pPr>
              <w:adjustRightInd w:val="0"/>
              <w:snapToGrid w:val="0"/>
              <w:spacing w:line="240" w:lineRule="atLeast"/>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武建中</w:t>
            </w:r>
          </w:p>
        </w:tc>
      </w:tr>
      <w:tr w14:paraId="656EB686">
        <w:trPr>
          <w:trHeight w:val="485" w:hRule="atLeast"/>
        </w:trPr>
        <w:tc>
          <w:tcPr>
            <w:tcW w:w="1423" w:type="dxa"/>
            <w:noWrap w:val="0"/>
            <w:vAlign w:val="center"/>
          </w:tcPr>
          <w:p w14:paraId="22FD7773">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总学时</w:t>
            </w:r>
          </w:p>
        </w:tc>
        <w:tc>
          <w:tcPr>
            <w:tcW w:w="1127" w:type="dxa"/>
            <w:noWrap w:val="0"/>
            <w:vAlign w:val="center"/>
          </w:tcPr>
          <w:p w14:paraId="2000AC97">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32</w:t>
            </w:r>
          </w:p>
        </w:tc>
        <w:tc>
          <w:tcPr>
            <w:tcW w:w="1202" w:type="dxa"/>
            <w:gridSpan w:val="3"/>
            <w:noWrap w:val="0"/>
            <w:vAlign w:val="center"/>
          </w:tcPr>
          <w:p w14:paraId="1572F169">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理论学时</w:t>
            </w:r>
          </w:p>
        </w:tc>
        <w:tc>
          <w:tcPr>
            <w:tcW w:w="1606" w:type="dxa"/>
            <w:gridSpan w:val="2"/>
            <w:noWrap w:val="0"/>
            <w:vAlign w:val="center"/>
          </w:tcPr>
          <w:p w14:paraId="7708C60F">
            <w:pPr>
              <w:adjustRightInd w:val="0"/>
              <w:snapToGrid w:val="0"/>
              <w:spacing w:line="240" w:lineRule="atLeast"/>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10</w:t>
            </w:r>
          </w:p>
        </w:tc>
        <w:tc>
          <w:tcPr>
            <w:tcW w:w="1427" w:type="dxa"/>
            <w:gridSpan w:val="4"/>
            <w:tcBorders>
              <w:right w:val="single" w:color="000000" w:sz="4" w:space="0"/>
            </w:tcBorders>
            <w:noWrap w:val="0"/>
            <w:vAlign w:val="center"/>
          </w:tcPr>
          <w:p w14:paraId="0C6D0AD5">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实践学时</w:t>
            </w:r>
          </w:p>
        </w:tc>
        <w:tc>
          <w:tcPr>
            <w:tcW w:w="2363" w:type="dxa"/>
            <w:gridSpan w:val="5"/>
            <w:tcBorders>
              <w:left w:val="single" w:color="000000" w:sz="4" w:space="0"/>
            </w:tcBorders>
            <w:noWrap w:val="0"/>
            <w:vAlign w:val="center"/>
          </w:tcPr>
          <w:p w14:paraId="5DF6138A">
            <w:pPr>
              <w:adjustRightInd w:val="0"/>
              <w:snapToGrid w:val="0"/>
              <w:spacing w:line="240" w:lineRule="atLeast"/>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22</w:t>
            </w:r>
          </w:p>
        </w:tc>
      </w:tr>
      <w:tr w14:paraId="791351BD">
        <w:trPr>
          <w:trHeight w:val="454" w:hRule="atLeast"/>
        </w:trPr>
        <w:tc>
          <w:tcPr>
            <w:tcW w:w="1423" w:type="dxa"/>
            <w:noWrap w:val="0"/>
            <w:vAlign w:val="center"/>
          </w:tcPr>
          <w:p w14:paraId="2C5F6340">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先修课程与后续课程</w:t>
            </w:r>
          </w:p>
        </w:tc>
        <w:tc>
          <w:tcPr>
            <w:tcW w:w="7725" w:type="dxa"/>
            <w:gridSpan w:val="15"/>
            <w:noWrap w:val="0"/>
            <w:vAlign w:val="center"/>
          </w:tcPr>
          <w:p w14:paraId="7D3470A6">
            <w:pPr>
              <w:tabs>
                <w:tab w:val="left" w:pos="720"/>
              </w:tabs>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先修课程：</w:t>
            </w:r>
            <w:r>
              <w:rPr>
                <w:rFonts w:hint="eastAsia" w:ascii="仿宋" w:hAnsi="仿宋" w:eastAsia="仿宋" w:cs="仿宋"/>
                <w:color w:val="000000"/>
                <w:sz w:val="24"/>
                <w:szCs w:val="24"/>
              </w:rPr>
              <w:t>书写技能1</w:t>
            </w:r>
          </w:p>
          <w:p w14:paraId="533E48C0">
            <w:pPr>
              <w:tabs>
                <w:tab w:val="left" w:pos="720"/>
              </w:tabs>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后续课程：</w:t>
            </w:r>
          </w:p>
        </w:tc>
      </w:tr>
      <w:tr w14:paraId="6093CF8D">
        <w:trPr>
          <w:trHeight w:val="454" w:hRule="atLeast"/>
        </w:trPr>
        <w:tc>
          <w:tcPr>
            <w:tcW w:w="1423" w:type="dxa"/>
            <w:noWrap w:val="0"/>
            <w:vAlign w:val="center"/>
          </w:tcPr>
          <w:p w14:paraId="0DF97146">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适用专业</w:t>
            </w:r>
          </w:p>
        </w:tc>
        <w:tc>
          <w:tcPr>
            <w:tcW w:w="7725" w:type="dxa"/>
            <w:gridSpan w:val="15"/>
            <w:noWrap w:val="0"/>
            <w:vAlign w:val="center"/>
          </w:tcPr>
          <w:p w14:paraId="47DF364F">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lang w:val="en-US" w:eastAsia="zh-CN"/>
              </w:rPr>
              <w:t>音乐学</w:t>
            </w:r>
            <w:r>
              <w:rPr>
                <w:rFonts w:hint="eastAsia" w:ascii="仿宋" w:hAnsi="仿宋" w:eastAsia="仿宋" w:cs="仿宋"/>
                <w:sz w:val="24"/>
                <w:szCs w:val="24"/>
              </w:rPr>
              <w:t>专业</w:t>
            </w:r>
          </w:p>
        </w:tc>
      </w:tr>
      <w:tr w14:paraId="1BC77286">
        <w:tc>
          <w:tcPr>
            <w:tcW w:w="1423" w:type="dxa"/>
            <w:tcBorders>
              <w:bottom w:val="single" w:color="auto" w:sz="4" w:space="0"/>
            </w:tcBorders>
            <w:noWrap w:val="0"/>
            <w:vAlign w:val="center"/>
          </w:tcPr>
          <w:p w14:paraId="7F84BEF5">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A</w:t>
            </w:r>
          </w:p>
          <w:p w14:paraId="0B2531DA">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参考教材</w:t>
            </w:r>
          </w:p>
        </w:tc>
        <w:tc>
          <w:tcPr>
            <w:tcW w:w="7725" w:type="dxa"/>
            <w:gridSpan w:val="15"/>
            <w:tcBorders>
              <w:bottom w:val="single" w:color="auto" w:sz="4" w:space="0"/>
            </w:tcBorders>
            <w:noWrap w:val="0"/>
            <w:vAlign w:val="center"/>
          </w:tcPr>
          <w:p w14:paraId="2D708A4A">
            <w:pPr>
              <w:adjustRightInd w:val="0"/>
              <w:snapToGrid w:val="0"/>
              <w:rPr>
                <w:rFonts w:hint="eastAsia" w:ascii="仿宋" w:hAnsi="仿宋" w:eastAsia="仿宋" w:cs="仿宋"/>
                <w:kern w:val="0"/>
                <w:sz w:val="24"/>
                <w:szCs w:val="24"/>
              </w:rPr>
            </w:pPr>
            <w:r>
              <w:rPr>
                <w:rFonts w:hint="eastAsia" w:ascii="宋体" w:hAnsi="宋体" w:eastAsia="宋体" w:cs="宋体"/>
                <w:sz w:val="24"/>
                <w:szCs w:val="24"/>
                <w:lang w:eastAsia="zh-CN"/>
              </w:rPr>
              <w:t>《三笔字教程》寇学忠</w:t>
            </w:r>
            <w:r>
              <w:rPr>
                <w:rFonts w:hint="eastAsia" w:ascii="宋体" w:hAnsi="宋体" w:eastAsia="宋体" w:cs="宋体"/>
                <w:sz w:val="24"/>
                <w:szCs w:val="24"/>
                <w:lang w:val="en-US" w:eastAsia="zh-CN"/>
              </w:rPr>
              <w:t xml:space="preserve"> 张明利 吕永生</w:t>
            </w:r>
            <w:r>
              <w:rPr>
                <w:rFonts w:hint="eastAsia" w:ascii="宋体" w:hAnsi="宋体" w:eastAsia="宋体" w:cs="宋体"/>
                <w:sz w:val="24"/>
                <w:szCs w:val="24"/>
                <w:lang w:eastAsia="zh-CN"/>
              </w:rPr>
              <w:t>，湖南大学出版社，</w:t>
            </w:r>
            <w:r>
              <w:rPr>
                <w:rFonts w:hint="eastAsia" w:ascii="宋体" w:hAnsi="宋体" w:eastAsia="宋体" w:cs="宋体"/>
                <w:sz w:val="24"/>
                <w:szCs w:val="24"/>
                <w:lang w:val="en-US" w:eastAsia="zh-CN"/>
              </w:rPr>
              <w:t>2021</w:t>
            </w:r>
          </w:p>
        </w:tc>
      </w:tr>
      <w:tr w14:paraId="5ABF66D6">
        <w:tc>
          <w:tcPr>
            <w:tcW w:w="1423" w:type="dxa"/>
            <w:tcBorders>
              <w:bottom w:val="single" w:color="auto" w:sz="4" w:space="0"/>
            </w:tcBorders>
            <w:noWrap w:val="0"/>
            <w:vAlign w:val="center"/>
          </w:tcPr>
          <w:p w14:paraId="6B23225B">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B</w:t>
            </w:r>
          </w:p>
          <w:p w14:paraId="060C26E4">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主要参考书籍</w:t>
            </w:r>
          </w:p>
        </w:tc>
        <w:tc>
          <w:tcPr>
            <w:tcW w:w="7725" w:type="dxa"/>
            <w:gridSpan w:val="15"/>
            <w:tcBorders>
              <w:bottom w:val="single" w:color="auto" w:sz="4" w:space="0"/>
            </w:tcBorders>
            <w:noWrap w:val="0"/>
            <w:vAlign w:val="center"/>
          </w:tcPr>
          <w:p w14:paraId="136563A4">
            <w:pPr>
              <w:adjustRightInd w:val="0"/>
              <w:snapToGrid w:val="0"/>
              <w:rPr>
                <w:rFonts w:hint="eastAsia" w:ascii="仿宋" w:hAnsi="仿宋" w:eastAsia="仿宋" w:cs="仿宋"/>
                <w:kern w:val="0"/>
                <w:sz w:val="24"/>
                <w:szCs w:val="24"/>
              </w:rPr>
            </w:pPr>
            <w:r>
              <w:rPr>
                <w:rFonts w:hint="eastAsia" w:ascii="仿宋" w:hAnsi="仿宋" w:eastAsia="仿宋" w:cs="仿宋"/>
                <w:color w:val="000000"/>
                <w:sz w:val="24"/>
                <w:szCs w:val="24"/>
              </w:rPr>
              <w:t>编著者：田英章，书名：《田英章楷书》，出版社上海交通大学出版社，出版年：</w:t>
            </w:r>
            <w:r>
              <w:rPr>
                <w:rFonts w:ascii="仿宋" w:hAnsi="仿宋" w:eastAsia="仿宋" w:cs="仿宋"/>
                <w:color w:val="000000"/>
                <w:sz w:val="24"/>
                <w:szCs w:val="24"/>
              </w:rPr>
              <w:t>2008</w:t>
            </w:r>
            <w:r>
              <w:rPr>
                <w:rFonts w:hint="eastAsia" w:ascii="仿宋" w:hAnsi="仿宋" w:eastAsia="仿宋" w:cs="仿宋"/>
                <w:color w:val="000000"/>
                <w:sz w:val="24"/>
                <w:szCs w:val="24"/>
              </w:rPr>
              <w:t>年，版次：第二版。</w:t>
            </w:r>
            <w:r>
              <w:rPr>
                <w:rFonts w:ascii="仿宋" w:hAnsi="仿宋" w:eastAsia="仿宋" w:cs="仿宋"/>
                <w:color w:val="000000"/>
                <w:sz w:val="24"/>
                <w:szCs w:val="24"/>
              </w:rPr>
              <w:t>编</w:t>
            </w:r>
            <w:r>
              <w:rPr>
                <w:rFonts w:hint="eastAsia" w:ascii="仿宋" w:hAnsi="仿宋" w:eastAsia="仿宋" w:cs="仿宋"/>
                <w:color w:val="000000"/>
                <w:sz w:val="24"/>
                <w:szCs w:val="24"/>
              </w:rPr>
              <w:t>著</w:t>
            </w:r>
            <w:r>
              <w:rPr>
                <w:rFonts w:ascii="仿宋" w:hAnsi="仿宋" w:eastAsia="仿宋" w:cs="仿宋"/>
                <w:color w:val="000000"/>
                <w:sz w:val="24"/>
                <w:szCs w:val="24"/>
              </w:rPr>
              <w:t>者</w:t>
            </w:r>
            <w:r>
              <w:rPr>
                <w:rFonts w:hint="eastAsia" w:ascii="仿宋" w:hAnsi="仿宋" w:eastAsia="仿宋" w:cs="仿宋"/>
                <w:color w:val="000000"/>
                <w:sz w:val="24"/>
                <w:szCs w:val="24"/>
              </w:rPr>
              <w:t>：欧阳中石，书名《书写与书法教程》，出版社：高等教育出版社</w:t>
            </w:r>
          </w:p>
        </w:tc>
      </w:tr>
      <w:tr w14:paraId="5C56CA52">
        <w:tc>
          <w:tcPr>
            <w:tcW w:w="1423" w:type="dxa"/>
            <w:tcBorders>
              <w:bottom w:val="single" w:color="auto" w:sz="4" w:space="0"/>
            </w:tcBorders>
            <w:noWrap w:val="0"/>
            <w:vAlign w:val="center"/>
          </w:tcPr>
          <w:p w14:paraId="102395FC">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C</w:t>
            </w:r>
          </w:p>
          <w:p w14:paraId="3E5B7C73">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线上学习资源</w:t>
            </w:r>
          </w:p>
        </w:tc>
        <w:tc>
          <w:tcPr>
            <w:tcW w:w="7725" w:type="dxa"/>
            <w:gridSpan w:val="15"/>
            <w:tcBorders>
              <w:bottom w:val="single" w:color="auto" w:sz="4" w:space="0"/>
            </w:tcBorders>
            <w:noWrap w:val="0"/>
            <w:vAlign w:val="center"/>
          </w:tcPr>
          <w:p w14:paraId="763BAA2F">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1.本课程已经建立超星平台网络课程，同学们依据学校提供的帐号与密码登录课程网站，可查看教学大纲、教学视频、网络文献链接网址等教学资源。</w:t>
            </w:r>
          </w:p>
          <w:p w14:paraId="589E6783">
            <w:pPr>
              <w:adjustRightInd w:val="0"/>
              <w:snapToGrid w:val="0"/>
              <w:rPr>
                <w:rFonts w:hint="eastAsia" w:ascii="仿宋" w:hAnsi="仿宋" w:eastAsia="仿宋" w:cs="仿宋"/>
                <w:kern w:val="0"/>
                <w:sz w:val="24"/>
                <w:szCs w:val="24"/>
              </w:rPr>
            </w:pPr>
            <w:r>
              <w:rPr>
                <w:rFonts w:hint="eastAsia" w:ascii="仿宋" w:hAnsi="仿宋" w:eastAsia="仿宋" w:cs="仿宋"/>
                <w:color w:val="000000"/>
                <w:kern w:val="0"/>
                <w:sz w:val="24"/>
                <w:szCs w:val="24"/>
              </w:rPr>
              <w:t>2.田英章楷书的</w:t>
            </w:r>
            <w:r>
              <w:rPr>
                <w:rFonts w:hint="eastAsia" w:ascii="仿宋" w:hAnsi="仿宋" w:eastAsia="仿宋" w:cs="仿宋"/>
                <w:color w:val="000000"/>
                <w:sz w:val="24"/>
                <w:szCs w:val="24"/>
              </w:rPr>
              <w:t>示范书写教学视频。</w:t>
            </w:r>
          </w:p>
        </w:tc>
      </w:tr>
      <w:tr w14:paraId="31218962">
        <w:trPr>
          <w:trHeight w:val="90" w:hRule="atLeast"/>
        </w:trPr>
        <w:tc>
          <w:tcPr>
            <w:tcW w:w="1423" w:type="dxa"/>
            <w:shd w:val="clear" w:color="auto" w:fill="FFFFFF"/>
            <w:noWrap w:val="0"/>
            <w:vAlign w:val="center"/>
          </w:tcPr>
          <w:p w14:paraId="19A07771">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D</w:t>
            </w:r>
          </w:p>
          <w:p w14:paraId="52DE11A5">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 xml:space="preserve">课程描述 </w:t>
            </w:r>
          </w:p>
          <w:p w14:paraId="52DA375C">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lang w:eastAsia="zh-TW"/>
              </w:rPr>
              <w:t>(</w:t>
            </w:r>
            <w:r>
              <w:rPr>
                <w:rFonts w:hint="eastAsia" w:ascii="仿宋" w:hAnsi="仿宋" w:eastAsia="仿宋" w:cs="仿宋"/>
                <w:sz w:val="24"/>
                <w:szCs w:val="24"/>
              </w:rPr>
              <w:t>含</w:t>
            </w:r>
            <w:r>
              <w:rPr>
                <w:rFonts w:hint="eastAsia" w:ascii="仿宋" w:hAnsi="仿宋" w:eastAsia="仿宋" w:cs="仿宋"/>
                <w:sz w:val="24"/>
                <w:szCs w:val="24"/>
                <w:lang w:eastAsia="zh-TW"/>
              </w:rPr>
              <w:t>性质、地位和任务)</w:t>
            </w:r>
          </w:p>
        </w:tc>
        <w:tc>
          <w:tcPr>
            <w:tcW w:w="7725" w:type="dxa"/>
            <w:gridSpan w:val="15"/>
            <w:tcBorders>
              <w:bottom w:val="single" w:color="auto" w:sz="4" w:space="0"/>
            </w:tcBorders>
            <w:shd w:val="clear" w:color="auto" w:fill="FFFFFF"/>
            <w:noWrap w:val="0"/>
            <w:vAlign w:val="center"/>
          </w:tcPr>
          <w:p w14:paraId="6FBCF547">
            <w:pPr>
              <w:adjustRightInd w:val="0"/>
              <w:snapToGrid w:val="0"/>
              <w:ind w:firstLine="480" w:firstLineChars="200"/>
              <w:rPr>
                <w:rFonts w:ascii="仿宋" w:hAnsi="仿宋" w:eastAsia="仿宋" w:cs="仿宋"/>
                <w:kern w:val="0"/>
                <w:sz w:val="24"/>
                <w:szCs w:val="24"/>
              </w:rPr>
            </w:pPr>
            <w:r>
              <w:rPr>
                <w:rFonts w:hint="eastAsia" w:ascii="仿宋" w:hAnsi="仿宋" w:eastAsia="仿宋" w:cs="仿宋"/>
                <w:color w:val="000000"/>
                <w:kern w:val="0"/>
                <w:sz w:val="24"/>
                <w:szCs w:val="24"/>
              </w:rPr>
              <w:t>本课程是一门学科专业必修课程。硬笔</w:t>
            </w:r>
            <w:r>
              <w:rPr>
                <w:rFonts w:hint="eastAsia" w:ascii="仿宋" w:hAnsi="仿宋" w:eastAsia="仿宋" w:cs="仿宋"/>
                <w:color w:val="000000"/>
                <w:sz w:val="24"/>
                <w:szCs w:val="24"/>
              </w:rPr>
              <w:t>书写技能具有广泛的实用价值和鲜明的艺术价值。书法教育是高等院校人文素质教育的基本内容，对继承和发扬中华民族书法艺术的优良传统，提升艺术素质，激发创造精神，陶冶审美情趣，增强爱国情操都有着重要的意义。同时，对于提高将来小学教师的板书能力，同样意义重大。通过本课程的学习，使学生提升自己的硬笔（尤其是粉笔）的书写技能，为将来从事小学教学奠定坚实的基础。（预期结果）</w:t>
            </w:r>
          </w:p>
        </w:tc>
      </w:tr>
      <w:tr w14:paraId="0B6D6137">
        <w:trPr>
          <w:trHeight w:val="1125" w:hRule="atLeast"/>
        </w:trPr>
        <w:tc>
          <w:tcPr>
            <w:tcW w:w="1423" w:type="dxa"/>
            <w:vMerge w:val="restart"/>
            <w:shd w:val="clear" w:color="auto" w:fill="FFFFFF"/>
            <w:noWrap w:val="0"/>
            <w:vAlign w:val="center"/>
          </w:tcPr>
          <w:p w14:paraId="1B2AC424">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E</w:t>
            </w:r>
          </w:p>
          <w:p w14:paraId="2A82285D">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课程学习目标及其与毕业要求的对应关系</w:t>
            </w:r>
          </w:p>
        </w:tc>
        <w:tc>
          <w:tcPr>
            <w:tcW w:w="7725" w:type="dxa"/>
            <w:gridSpan w:val="15"/>
            <w:tcBorders>
              <w:bottom w:val="single" w:color="auto" w:sz="4" w:space="0"/>
            </w:tcBorders>
            <w:shd w:val="clear" w:color="auto" w:fill="FFFFFF"/>
            <w:noWrap w:val="0"/>
            <w:vAlign w:val="center"/>
          </w:tcPr>
          <w:p w14:paraId="049AE6FF">
            <w:pPr>
              <w:adjustRightInd w:val="0"/>
              <w:snapToGrid w:val="0"/>
              <w:jc w:val="left"/>
              <w:rPr>
                <w:rFonts w:hint="eastAsia" w:ascii="仿宋" w:hAnsi="仿宋" w:eastAsia="仿宋" w:cs="仿宋"/>
                <w:color w:val="000000"/>
                <w:sz w:val="24"/>
                <w:szCs w:val="24"/>
                <w:lang w:eastAsia="zh-TW"/>
              </w:rPr>
            </w:pPr>
            <w:r>
              <w:rPr>
                <w:rFonts w:hint="eastAsia" w:ascii="仿宋" w:hAnsi="仿宋" w:eastAsia="仿宋" w:cs="仿宋"/>
                <w:color w:val="000000"/>
                <w:sz w:val="24"/>
                <w:szCs w:val="24"/>
              </w:rPr>
              <w:t>通过本课程的学习，学生具备如下知识、能力及情感态度价值观：</w:t>
            </w:r>
          </w:p>
          <w:p w14:paraId="73172FA2">
            <w:pPr>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sz w:val="24"/>
                <w:szCs w:val="24"/>
              </w:rPr>
              <w:t>课程目标1：具有人文底蕴和科学精神，人格健全，乐观向上，热情开朗，</w:t>
            </w:r>
            <w:r>
              <w:rPr>
                <w:rFonts w:ascii="仿宋" w:hAnsi="仿宋" w:eastAsia="仿宋" w:cs="仿宋"/>
                <w:color w:val="000000"/>
                <w:sz w:val="24"/>
                <w:szCs w:val="24"/>
              </w:rPr>
              <w:t>健康生活，</w:t>
            </w:r>
            <w:r>
              <w:rPr>
                <w:rFonts w:hint="eastAsia" w:ascii="仿宋" w:hAnsi="仿宋" w:eastAsia="仿宋" w:cs="仿宋"/>
                <w:color w:val="000000"/>
                <w:sz w:val="24"/>
                <w:szCs w:val="24"/>
              </w:rPr>
              <w:t>具备勤学进取、认真负责、开拓创新、无私奉献的专业精神，对小学生教育工作细心、耐心。（支撑毕业要求2.</w:t>
            </w:r>
            <w:r>
              <w:rPr>
                <w:rFonts w:hint="eastAsia" w:ascii="仿宋" w:hAnsi="仿宋" w:eastAsia="仿宋" w:cs="仿宋"/>
                <w:color w:val="000000"/>
                <w:sz w:val="24"/>
                <w:szCs w:val="24"/>
                <w:lang w:val="en-US" w:eastAsia="zh-CN"/>
              </w:rPr>
              <w:t>2</w:t>
            </w:r>
            <w:r>
              <w:rPr>
                <w:rFonts w:hint="eastAsia" w:ascii="仿宋" w:hAnsi="仿宋" w:eastAsia="仿宋" w:cs="仿宋"/>
                <w:color w:val="000000"/>
                <w:sz w:val="24"/>
                <w:szCs w:val="24"/>
              </w:rPr>
              <w:t>）</w:t>
            </w:r>
          </w:p>
          <w:p w14:paraId="46C08AD0">
            <w:pPr>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课程目标2：</w:t>
            </w:r>
            <w:r>
              <w:rPr>
                <w:rFonts w:hint="eastAsia" w:ascii="仿宋" w:hAnsi="仿宋" w:eastAsia="仿宋" w:cs="仿宋"/>
                <w:color w:val="000000"/>
                <w:sz w:val="24"/>
                <w:szCs w:val="24"/>
              </w:rPr>
              <w:t>具有较好的人文社会与学科素养，具有较为扎实的硬笔书写基础知识与基本技能。（支撑毕业要求3.1）</w:t>
            </w:r>
          </w:p>
          <w:p w14:paraId="3B9E4C66">
            <w:pPr>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课程目标3：</w:t>
            </w:r>
            <w:r>
              <w:rPr>
                <w:rFonts w:hint="eastAsia" w:ascii="仿宋" w:hAnsi="仿宋" w:eastAsia="仿宋" w:cs="仿宋"/>
                <w:color w:val="000000"/>
                <w:sz w:val="24"/>
                <w:szCs w:val="24"/>
              </w:rPr>
              <w:t>能根据所设计的教学方案，运用准确、规范的教学</w:t>
            </w:r>
            <w:r>
              <w:rPr>
                <w:rFonts w:hint="eastAsia" w:ascii="仿宋" w:hAnsi="仿宋" w:eastAsia="仿宋" w:cs="仿宋"/>
                <w:color w:val="000000"/>
                <w:sz w:val="24"/>
                <w:szCs w:val="24"/>
                <w:lang w:val="en-US" w:eastAsia="zh-CN"/>
              </w:rPr>
              <w:t>技能</w:t>
            </w:r>
            <w:r>
              <w:rPr>
                <w:rFonts w:hint="eastAsia" w:ascii="仿宋" w:hAnsi="仿宋" w:eastAsia="仿宋" w:cs="仿宋"/>
                <w:color w:val="000000"/>
                <w:sz w:val="24"/>
                <w:szCs w:val="24"/>
              </w:rPr>
              <w:t>实施有效的教学，并能实时进行恰当的教学评价，获得积极的教学体验。</w:t>
            </w:r>
            <w:r>
              <w:rPr>
                <w:rFonts w:hint="eastAsia" w:ascii="仿宋" w:hAnsi="仿宋" w:eastAsia="仿宋" w:cs="仿宋"/>
                <w:color w:val="000000"/>
                <w:kern w:val="0"/>
                <w:sz w:val="24"/>
                <w:szCs w:val="24"/>
              </w:rPr>
              <w:t>（支撑毕业要求</w:t>
            </w:r>
            <w:r>
              <w:rPr>
                <w:rFonts w:hint="eastAsia" w:ascii="仿宋" w:hAnsi="仿宋" w:eastAsia="仿宋" w:cs="仿宋"/>
                <w:color w:val="000000"/>
                <w:sz w:val="24"/>
                <w:szCs w:val="24"/>
              </w:rPr>
              <w:t>4.</w:t>
            </w:r>
            <w:r>
              <w:rPr>
                <w:rFonts w:hint="eastAsia" w:ascii="仿宋" w:hAnsi="仿宋" w:eastAsia="仿宋" w:cs="仿宋"/>
                <w:color w:val="000000"/>
                <w:sz w:val="24"/>
                <w:szCs w:val="24"/>
                <w:lang w:val="en-US" w:eastAsia="zh-CN"/>
              </w:rPr>
              <w:t>2</w:t>
            </w:r>
            <w:r>
              <w:rPr>
                <w:rFonts w:hint="eastAsia" w:ascii="仿宋" w:hAnsi="仿宋" w:eastAsia="仿宋" w:cs="仿宋"/>
                <w:color w:val="000000"/>
                <w:sz w:val="24"/>
                <w:szCs w:val="24"/>
              </w:rPr>
              <w:t>）</w:t>
            </w:r>
          </w:p>
          <w:p w14:paraId="2D8D5D2F">
            <w:pPr>
              <w:adjustRightInd w:val="0"/>
              <w:snapToGrid w:val="0"/>
              <w:rPr>
                <w:rFonts w:hint="eastAsia" w:ascii="仿宋" w:hAnsi="仿宋" w:eastAsia="仿宋" w:cs="仿宋"/>
                <w:color w:val="000000"/>
                <w:kern w:val="0"/>
                <w:sz w:val="24"/>
                <w:szCs w:val="24"/>
              </w:rPr>
            </w:pPr>
          </w:p>
          <w:p w14:paraId="1B16ABA2">
            <w:pPr>
              <w:adjustRightInd w:val="0"/>
              <w:snapToGrid w:val="0"/>
              <w:rPr>
                <w:rFonts w:hint="eastAsia" w:ascii="仿宋" w:hAnsi="仿宋" w:eastAsia="仿宋" w:cs="仿宋"/>
                <w:color w:val="000000"/>
                <w:kern w:val="0"/>
                <w:sz w:val="24"/>
                <w:szCs w:val="24"/>
              </w:rPr>
            </w:pPr>
          </w:p>
          <w:p w14:paraId="5D5577A3">
            <w:pPr>
              <w:adjustRightInd w:val="0"/>
              <w:snapToGrid w:val="0"/>
              <w:ind w:firstLine="480" w:firstLineChars="200"/>
              <w:rPr>
                <w:rFonts w:hint="eastAsia" w:ascii="仿宋" w:hAnsi="仿宋" w:eastAsia="仿宋" w:cs="仿宋"/>
                <w:sz w:val="24"/>
                <w:szCs w:val="24"/>
                <w:lang w:eastAsia="zh-TW"/>
              </w:rPr>
            </w:pPr>
          </w:p>
        </w:tc>
      </w:tr>
      <w:tr w14:paraId="77F8FF40">
        <w:trPr>
          <w:trHeight w:val="642" w:hRule="atLeast"/>
        </w:trPr>
        <w:tc>
          <w:tcPr>
            <w:tcW w:w="1423" w:type="dxa"/>
            <w:vMerge w:val="continue"/>
            <w:shd w:val="clear" w:color="auto" w:fill="FFFFFF"/>
            <w:noWrap w:val="0"/>
            <w:vAlign w:val="center"/>
          </w:tcPr>
          <w:p w14:paraId="48115E39">
            <w:pPr>
              <w:adjustRightInd w:val="0"/>
              <w:snapToGrid w:val="0"/>
              <w:spacing w:line="240" w:lineRule="atLeast"/>
              <w:jc w:val="center"/>
              <w:rPr>
                <w:rFonts w:hint="eastAsia" w:ascii="仿宋" w:hAnsi="仿宋" w:eastAsia="仿宋" w:cs="仿宋"/>
                <w:sz w:val="24"/>
                <w:szCs w:val="24"/>
              </w:rPr>
            </w:pPr>
          </w:p>
        </w:tc>
        <w:tc>
          <w:tcPr>
            <w:tcW w:w="1417" w:type="dxa"/>
            <w:gridSpan w:val="3"/>
            <w:tcBorders>
              <w:bottom w:val="single" w:color="auto" w:sz="4" w:space="0"/>
            </w:tcBorders>
            <w:shd w:val="clear" w:color="auto" w:fill="FFFFFF"/>
            <w:noWrap w:val="0"/>
            <w:vAlign w:val="center"/>
          </w:tcPr>
          <w:p w14:paraId="5C35BF0F">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课程目标</w:t>
            </w:r>
          </w:p>
        </w:tc>
        <w:tc>
          <w:tcPr>
            <w:tcW w:w="4231" w:type="dxa"/>
            <w:gridSpan w:val="8"/>
            <w:tcBorders>
              <w:bottom w:val="single" w:color="auto" w:sz="4" w:space="0"/>
            </w:tcBorders>
            <w:shd w:val="clear" w:color="auto" w:fill="FFFFFF"/>
            <w:noWrap w:val="0"/>
            <w:vAlign w:val="center"/>
          </w:tcPr>
          <w:p w14:paraId="5FAD52A9">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毕业要求分解指标点</w:t>
            </w:r>
          </w:p>
        </w:tc>
        <w:tc>
          <w:tcPr>
            <w:tcW w:w="2077" w:type="dxa"/>
            <w:gridSpan w:val="4"/>
            <w:tcBorders>
              <w:bottom w:val="single" w:color="auto" w:sz="4" w:space="0"/>
            </w:tcBorders>
            <w:shd w:val="clear" w:color="auto" w:fill="FFFFFF"/>
            <w:noWrap w:val="0"/>
            <w:vAlign w:val="center"/>
          </w:tcPr>
          <w:p w14:paraId="4B08F7D0">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毕业要求</w:t>
            </w:r>
          </w:p>
        </w:tc>
      </w:tr>
      <w:tr w14:paraId="56E99EFD">
        <w:trPr>
          <w:trHeight w:val="1278" w:hRule="atLeast"/>
        </w:trPr>
        <w:tc>
          <w:tcPr>
            <w:tcW w:w="1423" w:type="dxa"/>
            <w:vMerge w:val="continue"/>
            <w:tcBorders>
              <w:bottom w:val="single" w:color="auto" w:sz="4" w:space="0"/>
            </w:tcBorders>
            <w:shd w:val="clear" w:color="auto" w:fill="FFFFFF"/>
            <w:noWrap w:val="0"/>
            <w:vAlign w:val="center"/>
          </w:tcPr>
          <w:p w14:paraId="5BC31873">
            <w:pPr>
              <w:adjustRightInd w:val="0"/>
              <w:snapToGrid w:val="0"/>
              <w:spacing w:line="240" w:lineRule="atLeast"/>
              <w:jc w:val="center"/>
              <w:rPr>
                <w:rFonts w:hint="eastAsia" w:ascii="仿宋" w:hAnsi="仿宋" w:eastAsia="仿宋" w:cs="仿宋"/>
                <w:sz w:val="24"/>
                <w:szCs w:val="24"/>
              </w:rPr>
            </w:pPr>
          </w:p>
        </w:tc>
        <w:tc>
          <w:tcPr>
            <w:tcW w:w="1417" w:type="dxa"/>
            <w:gridSpan w:val="3"/>
            <w:tcBorders>
              <w:bottom w:val="single" w:color="auto" w:sz="4" w:space="0"/>
            </w:tcBorders>
            <w:shd w:val="clear" w:color="auto" w:fill="FFFFFF"/>
            <w:noWrap w:val="0"/>
            <w:vAlign w:val="center"/>
          </w:tcPr>
          <w:p w14:paraId="0C75CD40">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课程目标1</w:t>
            </w:r>
          </w:p>
          <w:p w14:paraId="4E20AF44">
            <w:pPr>
              <w:adjustRightInd w:val="0"/>
              <w:snapToGrid w:val="0"/>
              <w:jc w:val="center"/>
              <w:rPr>
                <w:rFonts w:hint="eastAsia" w:ascii="仿宋" w:hAnsi="仿宋" w:eastAsia="仿宋" w:cs="仿宋"/>
                <w:sz w:val="24"/>
                <w:szCs w:val="24"/>
              </w:rPr>
            </w:pPr>
            <w:r>
              <w:rPr>
                <w:rFonts w:hint="eastAsia" w:ascii="宋体" w:hAnsi="宋体"/>
                <w:color w:val="000000"/>
                <w:szCs w:val="21"/>
              </w:rPr>
              <w:t>（L低支撑）</w:t>
            </w:r>
          </w:p>
        </w:tc>
        <w:tc>
          <w:tcPr>
            <w:tcW w:w="4231" w:type="dxa"/>
            <w:gridSpan w:val="8"/>
            <w:tcBorders>
              <w:bottom w:val="single" w:color="auto" w:sz="4" w:space="0"/>
            </w:tcBorders>
            <w:shd w:val="clear" w:color="auto" w:fill="FFFFFF"/>
            <w:noWrap w:val="0"/>
            <w:vAlign w:val="center"/>
          </w:tcPr>
          <w:p w14:paraId="7DB6D308">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2.</w:t>
            </w:r>
            <w:r>
              <w:rPr>
                <w:rFonts w:hint="eastAsia" w:ascii="仿宋" w:hAnsi="仿宋" w:eastAsia="仿宋" w:cs="仿宋"/>
                <w:color w:val="000000"/>
                <w:sz w:val="24"/>
                <w:szCs w:val="24"/>
                <w:lang w:val="en-US" w:eastAsia="zh-CN"/>
              </w:rPr>
              <w:t>2</w:t>
            </w:r>
            <w:r>
              <w:rPr>
                <w:rFonts w:hint="eastAsia" w:ascii="仿宋" w:hAnsi="仿宋" w:eastAsia="仿宋" w:cs="仿宋"/>
                <w:color w:val="000000"/>
                <w:sz w:val="24"/>
                <w:szCs w:val="24"/>
              </w:rPr>
              <w:t>具有人文底蕴和科学精神，人格健全，乐观向上，热情开朗，</w:t>
            </w:r>
            <w:r>
              <w:rPr>
                <w:rFonts w:ascii="仿宋" w:hAnsi="仿宋" w:eastAsia="仿宋" w:cs="仿宋"/>
                <w:color w:val="000000"/>
                <w:sz w:val="24"/>
                <w:szCs w:val="24"/>
              </w:rPr>
              <w:t>健康生活，</w:t>
            </w:r>
            <w:r>
              <w:rPr>
                <w:rFonts w:hint="eastAsia" w:ascii="仿宋" w:hAnsi="仿宋" w:eastAsia="仿宋" w:cs="仿宋"/>
                <w:color w:val="000000"/>
                <w:sz w:val="24"/>
                <w:szCs w:val="24"/>
              </w:rPr>
              <w:t>具备勤学进取、认真负责、开拓创新、无私奉献的专业精神，对小学生教育工作细心、耐心。</w:t>
            </w:r>
          </w:p>
        </w:tc>
        <w:tc>
          <w:tcPr>
            <w:tcW w:w="2077" w:type="dxa"/>
            <w:gridSpan w:val="4"/>
            <w:tcBorders>
              <w:bottom w:val="single" w:color="auto" w:sz="4" w:space="0"/>
            </w:tcBorders>
            <w:shd w:val="clear" w:color="auto" w:fill="FFFFFF"/>
            <w:noWrap w:val="0"/>
            <w:vAlign w:val="center"/>
          </w:tcPr>
          <w:p w14:paraId="3CA3AE87">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教育情怀（2）</w:t>
            </w:r>
          </w:p>
        </w:tc>
      </w:tr>
      <w:tr w14:paraId="68E81069">
        <w:trPr>
          <w:trHeight w:val="1396" w:hRule="atLeast"/>
        </w:trPr>
        <w:tc>
          <w:tcPr>
            <w:tcW w:w="1423" w:type="dxa"/>
            <w:vMerge w:val="continue"/>
            <w:shd w:val="clear" w:color="auto" w:fill="FFFFFF"/>
            <w:noWrap w:val="0"/>
            <w:vAlign w:val="center"/>
          </w:tcPr>
          <w:p w14:paraId="132083FC">
            <w:pPr>
              <w:adjustRightInd w:val="0"/>
              <w:snapToGrid w:val="0"/>
              <w:spacing w:line="240" w:lineRule="atLeast"/>
              <w:jc w:val="center"/>
              <w:rPr>
                <w:rFonts w:hint="eastAsia" w:ascii="仿宋" w:hAnsi="仿宋" w:eastAsia="仿宋" w:cs="仿宋"/>
                <w:sz w:val="24"/>
                <w:szCs w:val="24"/>
              </w:rPr>
            </w:pPr>
          </w:p>
        </w:tc>
        <w:tc>
          <w:tcPr>
            <w:tcW w:w="1417" w:type="dxa"/>
            <w:gridSpan w:val="3"/>
            <w:shd w:val="clear" w:color="auto" w:fill="FFFFFF"/>
            <w:noWrap w:val="0"/>
            <w:vAlign w:val="center"/>
          </w:tcPr>
          <w:p w14:paraId="5AD885D3">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课程目标2</w:t>
            </w:r>
          </w:p>
          <w:p w14:paraId="37C766EF">
            <w:pPr>
              <w:adjustRightInd w:val="0"/>
              <w:snapToGrid w:val="0"/>
              <w:jc w:val="center"/>
              <w:rPr>
                <w:rFonts w:hint="eastAsia" w:ascii="仿宋" w:hAnsi="仿宋" w:eastAsia="仿宋" w:cs="仿宋"/>
                <w:sz w:val="24"/>
                <w:szCs w:val="24"/>
              </w:rPr>
            </w:pPr>
            <w:r>
              <w:rPr>
                <w:rFonts w:hint="eastAsia" w:ascii="宋体" w:hAnsi="宋体"/>
                <w:color w:val="000000"/>
                <w:szCs w:val="21"/>
              </w:rPr>
              <w:t>(M中支撑)</w:t>
            </w:r>
          </w:p>
        </w:tc>
        <w:tc>
          <w:tcPr>
            <w:tcW w:w="4231" w:type="dxa"/>
            <w:gridSpan w:val="8"/>
            <w:shd w:val="clear" w:color="auto" w:fill="FFFFFF"/>
            <w:noWrap w:val="0"/>
            <w:vAlign w:val="center"/>
          </w:tcPr>
          <w:p w14:paraId="105BCFFB">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3.1通识性知识素养。能复述一定的人文社会科学知识和自然科学知识，具有人文与科学素养；能分析中国优秀的文化传统和我国教育基本情况，具有相应的艺术欣赏与表现知识。</w:t>
            </w:r>
          </w:p>
        </w:tc>
        <w:tc>
          <w:tcPr>
            <w:tcW w:w="2077" w:type="dxa"/>
            <w:gridSpan w:val="4"/>
            <w:shd w:val="clear" w:color="auto" w:fill="FFFFFF"/>
            <w:noWrap w:val="0"/>
            <w:vAlign w:val="center"/>
          </w:tcPr>
          <w:p w14:paraId="121C5C0B">
            <w:pPr>
              <w:adjustRightInd w:val="0"/>
              <w:snapToGrid w:val="0"/>
              <w:jc w:val="center"/>
              <w:rPr>
                <w:rFonts w:hint="eastAsia" w:ascii="仿宋" w:hAnsi="仿宋" w:eastAsia="仿宋" w:cs="仿宋"/>
                <w:bCs/>
                <w:color w:val="000000"/>
                <w:sz w:val="24"/>
                <w:szCs w:val="24"/>
              </w:rPr>
            </w:pPr>
            <w:r>
              <w:rPr>
                <w:rFonts w:hint="eastAsia" w:ascii="仿宋" w:hAnsi="仿宋" w:eastAsia="仿宋" w:cs="仿宋"/>
                <w:bCs/>
                <w:color w:val="000000"/>
                <w:sz w:val="24"/>
                <w:szCs w:val="24"/>
              </w:rPr>
              <w:t>学科素养（3）</w:t>
            </w:r>
          </w:p>
          <w:p w14:paraId="2AA23BD8">
            <w:pPr>
              <w:adjustRightInd w:val="0"/>
              <w:snapToGrid w:val="0"/>
              <w:jc w:val="center"/>
              <w:rPr>
                <w:rFonts w:hint="eastAsia" w:ascii="仿宋" w:hAnsi="仿宋" w:eastAsia="仿宋" w:cs="仿宋"/>
                <w:sz w:val="24"/>
                <w:szCs w:val="24"/>
              </w:rPr>
            </w:pPr>
          </w:p>
        </w:tc>
      </w:tr>
      <w:tr w14:paraId="1AA7E0AB">
        <w:trPr>
          <w:trHeight w:val="1259" w:hRule="atLeast"/>
        </w:trPr>
        <w:tc>
          <w:tcPr>
            <w:tcW w:w="1423" w:type="dxa"/>
            <w:vMerge w:val="continue"/>
            <w:shd w:val="clear" w:color="auto" w:fill="FFFFFF"/>
            <w:noWrap w:val="0"/>
            <w:vAlign w:val="center"/>
          </w:tcPr>
          <w:p w14:paraId="3C8F4380">
            <w:pPr>
              <w:adjustRightInd w:val="0"/>
              <w:snapToGrid w:val="0"/>
              <w:spacing w:line="240" w:lineRule="atLeast"/>
              <w:jc w:val="center"/>
              <w:rPr>
                <w:rFonts w:hint="eastAsia" w:ascii="仿宋" w:hAnsi="仿宋" w:eastAsia="仿宋" w:cs="仿宋"/>
                <w:sz w:val="24"/>
                <w:szCs w:val="24"/>
              </w:rPr>
            </w:pPr>
          </w:p>
        </w:tc>
        <w:tc>
          <w:tcPr>
            <w:tcW w:w="1417" w:type="dxa"/>
            <w:gridSpan w:val="3"/>
            <w:tcBorders>
              <w:bottom w:val="single" w:color="auto" w:sz="4" w:space="0"/>
            </w:tcBorders>
            <w:shd w:val="clear" w:color="auto" w:fill="FFFFFF"/>
            <w:noWrap w:val="0"/>
            <w:vAlign w:val="center"/>
          </w:tcPr>
          <w:p w14:paraId="55B7DBF6">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课程目标3</w:t>
            </w:r>
          </w:p>
          <w:p w14:paraId="421D168B">
            <w:pPr>
              <w:adjustRightInd w:val="0"/>
              <w:snapToGrid w:val="0"/>
              <w:jc w:val="center"/>
              <w:rPr>
                <w:rFonts w:hint="eastAsia" w:ascii="仿宋" w:hAnsi="仿宋" w:eastAsia="仿宋" w:cs="仿宋"/>
                <w:sz w:val="24"/>
                <w:szCs w:val="24"/>
              </w:rPr>
            </w:pPr>
            <w:r>
              <w:rPr>
                <w:rFonts w:hint="eastAsia" w:ascii="宋体" w:hAnsi="宋体"/>
                <w:color w:val="000000"/>
                <w:szCs w:val="21"/>
              </w:rPr>
              <w:t>（H高支撑）</w:t>
            </w:r>
          </w:p>
        </w:tc>
        <w:tc>
          <w:tcPr>
            <w:tcW w:w="4231" w:type="dxa"/>
            <w:gridSpan w:val="8"/>
            <w:tcBorders>
              <w:bottom w:val="single" w:color="auto" w:sz="4" w:space="0"/>
            </w:tcBorders>
            <w:shd w:val="clear" w:color="auto" w:fill="FFFFFF"/>
            <w:noWrap w:val="0"/>
            <w:vAlign w:val="center"/>
          </w:tcPr>
          <w:p w14:paraId="5286C3FD">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4.</w:t>
            </w:r>
            <w:r>
              <w:rPr>
                <w:rFonts w:hint="eastAsia" w:ascii="仿宋" w:hAnsi="仿宋" w:eastAsia="仿宋" w:cs="仿宋"/>
                <w:color w:val="000000"/>
                <w:sz w:val="24"/>
                <w:szCs w:val="24"/>
                <w:lang w:val="en-US" w:eastAsia="zh-CN"/>
              </w:rPr>
              <w:t>2</w:t>
            </w:r>
            <w:r>
              <w:rPr>
                <w:rFonts w:hint="eastAsia" w:ascii="仿宋" w:hAnsi="仿宋" w:eastAsia="仿宋" w:cs="仿宋"/>
                <w:color w:val="000000"/>
                <w:sz w:val="24"/>
                <w:szCs w:val="24"/>
              </w:rPr>
              <w:t>教学实施能力。能根据所设计的教学方案，运用准确、规范的教学</w:t>
            </w:r>
            <w:r>
              <w:rPr>
                <w:rFonts w:hint="eastAsia" w:ascii="仿宋" w:hAnsi="仿宋" w:eastAsia="仿宋" w:cs="仿宋"/>
                <w:color w:val="000000"/>
                <w:sz w:val="24"/>
                <w:szCs w:val="24"/>
                <w:lang w:val="en-US" w:eastAsia="zh-CN"/>
              </w:rPr>
              <w:t>技能</w:t>
            </w:r>
            <w:r>
              <w:rPr>
                <w:rFonts w:hint="eastAsia" w:ascii="仿宋" w:hAnsi="仿宋" w:eastAsia="仿宋" w:cs="仿宋"/>
                <w:color w:val="000000"/>
                <w:sz w:val="24"/>
                <w:szCs w:val="24"/>
              </w:rPr>
              <w:t>实施有效的教学，并能实时进行恰当的教学评价，获得积极的教学体验。</w:t>
            </w:r>
          </w:p>
        </w:tc>
        <w:tc>
          <w:tcPr>
            <w:tcW w:w="2077" w:type="dxa"/>
            <w:gridSpan w:val="4"/>
            <w:tcBorders>
              <w:bottom w:val="single" w:color="auto" w:sz="4" w:space="0"/>
            </w:tcBorders>
            <w:shd w:val="clear" w:color="auto" w:fill="FFFFFF"/>
            <w:noWrap w:val="0"/>
            <w:vAlign w:val="center"/>
          </w:tcPr>
          <w:p w14:paraId="69685D74">
            <w:pPr>
              <w:adjustRightInd w:val="0"/>
              <w:snapToGrid w:val="0"/>
              <w:jc w:val="center"/>
              <w:rPr>
                <w:rFonts w:hint="eastAsia" w:ascii="仿宋" w:hAnsi="仿宋" w:eastAsia="仿宋" w:cs="仿宋"/>
                <w:sz w:val="24"/>
                <w:szCs w:val="24"/>
              </w:rPr>
            </w:pPr>
            <w:r>
              <w:rPr>
                <w:rFonts w:hint="eastAsia" w:ascii="仿宋" w:hAnsi="仿宋" w:eastAsia="仿宋" w:cs="仿宋"/>
                <w:color w:val="000000"/>
                <w:sz w:val="24"/>
                <w:szCs w:val="24"/>
              </w:rPr>
              <w:t>教学能力（4）</w:t>
            </w:r>
          </w:p>
        </w:tc>
      </w:tr>
      <w:tr w14:paraId="17A632B9">
        <w:trPr>
          <w:trHeight w:val="582" w:hRule="atLeast"/>
        </w:trPr>
        <w:tc>
          <w:tcPr>
            <w:tcW w:w="1423" w:type="dxa"/>
            <w:vMerge w:val="restart"/>
            <w:shd w:val="clear" w:color="auto" w:fill="FFFFFF"/>
            <w:noWrap w:val="0"/>
            <w:vAlign w:val="center"/>
          </w:tcPr>
          <w:p w14:paraId="4AA06B53">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F</w:t>
            </w:r>
          </w:p>
          <w:p w14:paraId="21B41C41">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理论学习内容</w:t>
            </w:r>
          </w:p>
        </w:tc>
        <w:tc>
          <w:tcPr>
            <w:tcW w:w="5648" w:type="dxa"/>
            <w:gridSpan w:val="11"/>
            <w:shd w:val="clear" w:color="auto" w:fill="FFFFFF"/>
            <w:noWrap w:val="0"/>
            <w:vAlign w:val="center"/>
          </w:tcPr>
          <w:p w14:paraId="1BC10BBA">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章节学习内容与学习要求</w:t>
            </w:r>
          </w:p>
        </w:tc>
        <w:tc>
          <w:tcPr>
            <w:tcW w:w="1153" w:type="dxa"/>
            <w:gridSpan w:val="2"/>
            <w:shd w:val="clear" w:color="auto" w:fill="FFFFFF"/>
            <w:noWrap w:val="0"/>
            <w:vAlign w:val="center"/>
          </w:tcPr>
          <w:p w14:paraId="2A28EBA4">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14:paraId="1CF3EB10">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924" w:type="dxa"/>
            <w:gridSpan w:val="2"/>
            <w:shd w:val="clear" w:color="auto" w:fill="FFFFFF"/>
            <w:noWrap w:val="0"/>
            <w:vAlign w:val="center"/>
          </w:tcPr>
          <w:p w14:paraId="42F57FDB">
            <w:pPr>
              <w:adjustRightInd w:val="0"/>
              <w:snapToGrid w:val="0"/>
              <w:spacing w:line="240" w:lineRule="atLeast"/>
              <w:jc w:val="center"/>
              <w:textAlignment w:val="baseline"/>
              <w:rPr>
                <w:rFonts w:ascii="仿宋" w:hAnsi="仿宋" w:eastAsia="仿宋" w:cs="仿宋"/>
                <w:kern w:val="0"/>
                <w:sz w:val="24"/>
                <w:szCs w:val="24"/>
              </w:rPr>
            </w:pPr>
            <w:r>
              <w:rPr>
                <w:rFonts w:hint="eastAsia" w:ascii="仿宋" w:hAnsi="仿宋" w:eastAsia="仿宋" w:cs="仿宋"/>
                <w:kern w:val="0"/>
                <w:sz w:val="24"/>
                <w:szCs w:val="24"/>
              </w:rPr>
              <w:t>学时</w:t>
            </w:r>
          </w:p>
          <w:p w14:paraId="59697521">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分配</w:t>
            </w:r>
          </w:p>
        </w:tc>
      </w:tr>
      <w:tr w14:paraId="51C19693">
        <w:trPr>
          <w:trHeight w:val="2410" w:hRule="atLeast"/>
        </w:trPr>
        <w:tc>
          <w:tcPr>
            <w:tcW w:w="1423" w:type="dxa"/>
            <w:vMerge w:val="continue"/>
            <w:shd w:val="clear" w:color="auto" w:fill="FFFFFF"/>
            <w:noWrap w:val="0"/>
            <w:vAlign w:val="center"/>
          </w:tcPr>
          <w:p w14:paraId="2519A5F8">
            <w:pPr>
              <w:adjustRightInd w:val="0"/>
              <w:snapToGrid w:val="0"/>
              <w:spacing w:line="240" w:lineRule="atLeast"/>
              <w:jc w:val="right"/>
              <w:rPr>
                <w:rFonts w:hint="eastAsia" w:ascii="仿宋" w:hAnsi="仿宋" w:eastAsia="仿宋" w:cs="仿宋"/>
                <w:sz w:val="24"/>
                <w:szCs w:val="24"/>
              </w:rPr>
            </w:pPr>
          </w:p>
        </w:tc>
        <w:tc>
          <w:tcPr>
            <w:tcW w:w="5648" w:type="dxa"/>
            <w:gridSpan w:val="11"/>
            <w:shd w:val="clear" w:color="auto" w:fill="auto"/>
            <w:noWrap w:val="0"/>
            <w:vAlign w:val="center"/>
          </w:tcPr>
          <w:p w14:paraId="5024FD44">
            <w:pPr>
              <w:widowControl/>
              <w:adjustRightInd w:val="0"/>
              <w:snapToGrid w:val="0"/>
              <w:rPr>
                <w:rFonts w:hint="eastAsia" w:ascii="仿宋" w:hAnsi="仿宋" w:eastAsia="仿宋" w:cs="仿宋"/>
                <w:bCs/>
                <w:color w:val="000000"/>
                <w:sz w:val="24"/>
                <w:szCs w:val="24"/>
              </w:rPr>
            </w:pPr>
            <w:r>
              <w:rPr>
                <w:rFonts w:hint="eastAsia" w:ascii="宋体" w:hAnsi="宋体"/>
                <w:color w:val="000000"/>
                <w:szCs w:val="21"/>
              </w:rPr>
              <w:t>第一章  硬笔书法概说及其书写工具与握笔姿势</w:t>
            </w:r>
          </w:p>
          <w:p w14:paraId="4DA8A417">
            <w:pPr>
              <w:widowControl/>
              <w:adjustRightInd w:val="0"/>
              <w:snapToGrid w:val="0"/>
              <w:rPr>
                <w:rFonts w:hint="eastAsia" w:ascii="仿宋" w:hAnsi="仿宋" w:eastAsia="仿宋" w:cs="仿宋"/>
                <w:bCs/>
                <w:color w:val="000000"/>
                <w:sz w:val="24"/>
                <w:szCs w:val="24"/>
              </w:rPr>
            </w:pPr>
            <w:r>
              <w:rPr>
                <w:rFonts w:hint="eastAsia" w:ascii="仿宋" w:hAnsi="仿宋" w:eastAsia="仿宋" w:cs="仿宋"/>
                <w:color w:val="000000"/>
                <w:kern w:val="0"/>
                <w:sz w:val="24"/>
                <w:szCs w:val="24"/>
              </w:rPr>
              <w:t>知道；认同</w:t>
            </w:r>
            <w:r>
              <w:rPr>
                <w:rFonts w:hint="eastAsia" w:ascii="仿宋" w:hAnsi="仿宋" w:eastAsia="仿宋" w:cs="仿宋"/>
                <w:bCs/>
                <w:color w:val="000000"/>
                <w:sz w:val="24"/>
                <w:szCs w:val="24"/>
              </w:rPr>
              <w:t>硬笔书法（粉笔字）是本专业的技能基本功，为能写好一手漂亮的粉笔字</w:t>
            </w:r>
            <w:r>
              <w:rPr>
                <w:rFonts w:hint="eastAsia" w:ascii="仿宋" w:hAnsi="仿宋" w:eastAsia="仿宋" w:cs="仿宋"/>
                <w:color w:val="000000"/>
                <w:sz w:val="24"/>
                <w:szCs w:val="24"/>
              </w:rPr>
              <w:t>感到自豪。</w:t>
            </w:r>
          </w:p>
          <w:p w14:paraId="69ACE102">
            <w:pPr>
              <w:widowControl/>
              <w:adjustRightInd w:val="0"/>
              <w:snapToGrid w:val="0"/>
              <w:rPr>
                <w:rFonts w:hint="eastAsia" w:ascii="仿宋" w:hAnsi="仿宋" w:eastAsia="仿宋" w:cs="仿宋"/>
                <w:bCs/>
                <w:color w:val="000000"/>
                <w:sz w:val="24"/>
                <w:szCs w:val="24"/>
              </w:rPr>
            </w:pPr>
            <w:r>
              <w:rPr>
                <w:rFonts w:hint="eastAsia" w:ascii="仿宋" w:hAnsi="仿宋" w:eastAsia="仿宋" w:cs="仿宋"/>
                <w:color w:val="000000"/>
                <w:kern w:val="0"/>
                <w:sz w:val="24"/>
                <w:szCs w:val="24"/>
              </w:rPr>
              <w:t>领会：</w:t>
            </w:r>
            <w:r>
              <w:rPr>
                <w:rFonts w:hint="eastAsia" w:ascii="仿宋" w:hAnsi="仿宋" w:eastAsia="仿宋" w:cs="仿宋"/>
                <w:bCs/>
                <w:color w:val="000000"/>
                <w:sz w:val="24"/>
                <w:szCs w:val="24"/>
              </w:rPr>
              <w:t>硬笔书法的书写工具与握笔姿势</w:t>
            </w:r>
          </w:p>
          <w:p w14:paraId="5D80A024">
            <w:pPr>
              <w:widowControl/>
              <w:adjustRightInd w:val="0"/>
              <w:snapToGrid w:val="0"/>
              <w:rPr>
                <w:rFonts w:hint="eastAsia" w:ascii="仿宋" w:hAnsi="仿宋" w:eastAsia="仿宋" w:cs="仿宋"/>
                <w:bCs/>
                <w:color w:val="000000"/>
                <w:sz w:val="24"/>
                <w:szCs w:val="24"/>
              </w:rPr>
            </w:pPr>
            <w:r>
              <w:rPr>
                <w:rFonts w:hint="eastAsia" w:ascii="仿宋" w:hAnsi="仿宋" w:eastAsia="仿宋" w:cs="仿宋"/>
                <w:color w:val="000000"/>
                <w:kern w:val="0"/>
                <w:sz w:val="24"/>
                <w:szCs w:val="24"/>
              </w:rPr>
              <w:t>应用：</w:t>
            </w:r>
            <w:r>
              <w:rPr>
                <w:rFonts w:hint="eastAsia" w:ascii="仿宋" w:hAnsi="仿宋" w:eastAsia="仿宋" w:cs="仿宋"/>
                <w:bCs/>
                <w:color w:val="000000"/>
                <w:sz w:val="24"/>
                <w:szCs w:val="24"/>
              </w:rPr>
              <w:t>运用硬笔书法的书写工具与握笔姿势帮助自己学习硬笔书写技能</w:t>
            </w:r>
          </w:p>
          <w:p w14:paraId="032DCA33">
            <w:pPr>
              <w:widowControl/>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rPr>
              <w:t>评价：能对不同的书写工具与书写姿势进行评价。</w:t>
            </w:r>
          </w:p>
          <w:p w14:paraId="454232A3">
            <w:pPr>
              <w:widowControl/>
              <w:adjustRightInd w:val="0"/>
              <w:snapToGrid w:val="0"/>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eastAsia="zh-CN"/>
              </w:rPr>
              <w:t>课程思政：一名合格的小学教师，应该具有优秀的教师技能，要有教育情怀。</w:t>
            </w:r>
          </w:p>
        </w:tc>
        <w:tc>
          <w:tcPr>
            <w:tcW w:w="1153" w:type="dxa"/>
            <w:gridSpan w:val="2"/>
            <w:shd w:val="clear" w:color="auto" w:fill="auto"/>
            <w:noWrap w:val="0"/>
            <w:vAlign w:val="center"/>
          </w:tcPr>
          <w:p w14:paraId="0A44D350">
            <w:pPr>
              <w:widowControl/>
              <w:adjustRightInd w:val="0"/>
              <w:snapToGrid w:val="0"/>
              <w:jc w:val="left"/>
              <w:rPr>
                <w:rFonts w:hint="eastAsia" w:ascii="仿宋" w:hAnsi="仿宋" w:eastAsia="仿宋" w:cs="仿宋"/>
                <w:bCs/>
                <w:color w:val="000000"/>
                <w:sz w:val="24"/>
                <w:szCs w:val="24"/>
              </w:rPr>
            </w:pPr>
            <w:r>
              <w:rPr>
                <w:rFonts w:hint="eastAsia" w:ascii="仿宋" w:hAnsi="仿宋" w:eastAsia="仿宋" w:cs="仿宋"/>
                <w:bCs/>
                <w:color w:val="000000"/>
                <w:sz w:val="24"/>
                <w:szCs w:val="24"/>
              </w:rPr>
              <w:t>支撑课程目标1、2、3</w:t>
            </w:r>
          </w:p>
        </w:tc>
        <w:tc>
          <w:tcPr>
            <w:tcW w:w="924" w:type="dxa"/>
            <w:gridSpan w:val="2"/>
            <w:shd w:val="clear" w:color="auto" w:fill="FFFFFF"/>
            <w:noWrap w:val="0"/>
            <w:vAlign w:val="center"/>
          </w:tcPr>
          <w:p w14:paraId="3ABDF7EB">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1ABC63D3">
        <w:trPr>
          <w:trHeight w:val="1919" w:hRule="atLeast"/>
        </w:trPr>
        <w:tc>
          <w:tcPr>
            <w:tcW w:w="1423" w:type="dxa"/>
            <w:vMerge w:val="continue"/>
            <w:shd w:val="clear" w:color="auto" w:fill="FFFFFF"/>
            <w:noWrap w:val="0"/>
            <w:vAlign w:val="center"/>
          </w:tcPr>
          <w:p w14:paraId="09A8A7B1">
            <w:pPr>
              <w:adjustRightInd w:val="0"/>
              <w:snapToGrid w:val="0"/>
              <w:spacing w:line="240" w:lineRule="atLeast"/>
              <w:jc w:val="right"/>
              <w:rPr>
                <w:rFonts w:hint="eastAsia" w:ascii="仿宋" w:hAnsi="仿宋" w:eastAsia="仿宋" w:cs="仿宋"/>
                <w:sz w:val="24"/>
                <w:szCs w:val="24"/>
              </w:rPr>
            </w:pPr>
          </w:p>
        </w:tc>
        <w:tc>
          <w:tcPr>
            <w:tcW w:w="5648" w:type="dxa"/>
            <w:gridSpan w:val="11"/>
            <w:shd w:val="clear" w:color="auto" w:fill="auto"/>
            <w:noWrap w:val="0"/>
            <w:vAlign w:val="center"/>
          </w:tcPr>
          <w:p w14:paraId="739FD137">
            <w:pPr>
              <w:widowControl/>
              <w:adjustRightInd w:val="0"/>
              <w:snapToGrid w:val="0"/>
              <w:rPr>
                <w:rFonts w:hint="eastAsia" w:ascii="宋体" w:hAnsi="宋体"/>
                <w:color w:val="000000"/>
                <w:szCs w:val="21"/>
              </w:rPr>
            </w:pPr>
            <w:r>
              <w:rPr>
                <w:rFonts w:hint="eastAsia" w:ascii="宋体" w:hAnsi="宋体"/>
                <w:color w:val="000000"/>
                <w:szCs w:val="21"/>
              </w:rPr>
              <w:t>第二章  硬笔书法笔画教学</w:t>
            </w:r>
          </w:p>
          <w:p w14:paraId="28049E49">
            <w:pPr>
              <w:widowControl/>
              <w:adjustRightInd w:val="0"/>
              <w:snapToGrid w:val="0"/>
              <w:rPr>
                <w:rFonts w:hint="eastAsia" w:ascii="仿宋" w:hAnsi="仿宋" w:eastAsia="仿宋" w:cs="仿宋"/>
                <w:bCs/>
                <w:color w:val="000000"/>
                <w:sz w:val="24"/>
                <w:szCs w:val="24"/>
              </w:rPr>
            </w:pPr>
            <w:r>
              <w:rPr>
                <w:rFonts w:hint="eastAsia" w:ascii="仿宋" w:hAnsi="仿宋" w:eastAsia="仿宋" w:cs="仿宋"/>
                <w:color w:val="000000"/>
                <w:kern w:val="0"/>
                <w:sz w:val="24"/>
                <w:szCs w:val="24"/>
              </w:rPr>
              <w:t>知道：</w:t>
            </w:r>
            <w:r>
              <w:rPr>
                <w:rFonts w:hint="eastAsia" w:ascii="仿宋" w:hAnsi="仿宋" w:eastAsia="仿宋" w:cs="仿宋"/>
                <w:bCs/>
                <w:color w:val="000000"/>
                <w:sz w:val="24"/>
                <w:szCs w:val="24"/>
              </w:rPr>
              <w:t>硬笔书法笔画的种类与书写特征</w:t>
            </w:r>
          </w:p>
          <w:p w14:paraId="36570A1A">
            <w:pPr>
              <w:widowControl/>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领会：</w:t>
            </w:r>
            <w:r>
              <w:rPr>
                <w:rFonts w:hint="eastAsia" w:ascii="仿宋" w:hAnsi="仿宋" w:eastAsia="仿宋" w:cs="仿宋"/>
                <w:bCs/>
                <w:color w:val="000000"/>
                <w:sz w:val="24"/>
                <w:szCs w:val="24"/>
              </w:rPr>
              <w:t>各种笔画的书写方法与技巧</w:t>
            </w:r>
          </w:p>
          <w:p w14:paraId="0792962B">
            <w:pPr>
              <w:widowControl/>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应用：</w:t>
            </w:r>
            <w:r>
              <w:rPr>
                <w:rFonts w:hint="eastAsia" w:ascii="仿宋" w:hAnsi="仿宋" w:eastAsia="仿宋" w:cs="仿宋"/>
                <w:bCs/>
                <w:color w:val="000000"/>
                <w:sz w:val="24"/>
                <w:szCs w:val="24"/>
              </w:rPr>
              <w:t>能应用学到的笔画书写技巧学习所有汉字</w:t>
            </w:r>
          </w:p>
          <w:p w14:paraId="1A50AF18">
            <w:pPr>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rPr>
              <w:t>评价：能对笔画书写的好坏进行评价。</w:t>
            </w:r>
          </w:p>
          <w:p w14:paraId="63C361E9">
            <w:pPr>
              <w:adjustRightInd w:val="0"/>
              <w:snapToGrid w:val="0"/>
              <w:rPr>
                <w:rFonts w:hint="eastAsia" w:ascii="仿宋" w:hAnsi="仿宋" w:eastAsia="仿宋" w:cs="仿宋"/>
                <w:bCs/>
                <w:color w:val="000000"/>
                <w:sz w:val="24"/>
                <w:szCs w:val="24"/>
                <w:lang w:eastAsia="zh-CN"/>
              </w:rPr>
            </w:pPr>
            <w:r>
              <w:rPr>
                <w:rFonts w:hint="eastAsia" w:ascii="仿宋" w:hAnsi="仿宋" w:eastAsia="仿宋" w:cs="仿宋"/>
                <w:bCs/>
                <w:color w:val="000000"/>
                <w:sz w:val="24"/>
                <w:szCs w:val="24"/>
                <w:lang w:eastAsia="zh-CN"/>
              </w:rPr>
              <w:t>课程思政：拥有正确的审美观和价值观。</w:t>
            </w:r>
          </w:p>
        </w:tc>
        <w:tc>
          <w:tcPr>
            <w:tcW w:w="1153" w:type="dxa"/>
            <w:gridSpan w:val="2"/>
            <w:shd w:val="clear" w:color="auto" w:fill="auto"/>
            <w:noWrap w:val="0"/>
            <w:vAlign w:val="center"/>
          </w:tcPr>
          <w:p w14:paraId="13ECBA68">
            <w:pPr>
              <w:adjustRightInd w:val="0"/>
              <w:snapToGrid w:val="0"/>
              <w:jc w:val="center"/>
              <w:rPr>
                <w:rFonts w:hint="eastAsia" w:ascii="仿宋" w:hAnsi="仿宋" w:eastAsia="仿宋" w:cs="仿宋"/>
                <w:bCs/>
                <w:color w:val="000000"/>
                <w:sz w:val="24"/>
                <w:szCs w:val="24"/>
              </w:rPr>
            </w:pPr>
          </w:p>
          <w:p w14:paraId="012E1E23">
            <w:pPr>
              <w:widowControl/>
              <w:adjustRightInd w:val="0"/>
              <w:snapToGrid w:val="0"/>
              <w:jc w:val="center"/>
              <w:rPr>
                <w:rFonts w:hint="eastAsia" w:ascii="仿宋" w:hAnsi="仿宋" w:eastAsia="仿宋" w:cs="仿宋"/>
                <w:bCs/>
                <w:color w:val="000000"/>
                <w:sz w:val="24"/>
                <w:szCs w:val="24"/>
              </w:rPr>
            </w:pPr>
          </w:p>
          <w:p w14:paraId="2329055D">
            <w:pPr>
              <w:widowControl/>
              <w:adjustRightInd w:val="0"/>
              <w:snapToGrid w:val="0"/>
              <w:jc w:val="left"/>
              <w:rPr>
                <w:rFonts w:hint="eastAsia" w:ascii="仿宋" w:hAnsi="仿宋" w:eastAsia="仿宋" w:cs="仿宋"/>
                <w:bCs/>
                <w:color w:val="000000"/>
                <w:sz w:val="24"/>
                <w:szCs w:val="24"/>
              </w:rPr>
            </w:pPr>
            <w:r>
              <w:rPr>
                <w:rFonts w:hint="eastAsia" w:ascii="仿宋" w:hAnsi="仿宋" w:eastAsia="仿宋" w:cs="仿宋"/>
                <w:bCs/>
                <w:color w:val="000000"/>
                <w:sz w:val="24"/>
                <w:szCs w:val="24"/>
              </w:rPr>
              <w:t>支撑课程目标1、2、3</w:t>
            </w:r>
          </w:p>
          <w:p w14:paraId="67C58EE8">
            <w:pPr>
              <w:widowControl/>
              <w:adjustRightInd w:val="0"/>
              <w:snapToGrid w:val="0"/>
              <w:jc w:val="center"/>
              <w:rPr>
                <w:rFonts w:hint="eastAsia" w:ascii="仿宋" w:hAnsi="仿宋" w:eastAsia="仿宋" w:cs="仿宋"/>
                <w:bCs/>
                <w:color w:val="000000"/>
                <w:sz w:val="24"/>
                <w:szCs w:val="24"/>
              </w:rPr>
            </w:pPr>
          </w:p>
          <w:p w14:paraId="2C16AF2F">
            <w:pPr>
              <w:adjustRightInd w:val="0"/>
              <w:snapToGrid w:val="0"/>
              <w:jc w:val="center"/>
              <w:rPr>
                <w:rFonts w:hint="eastAsia" w:ascii="仿宋" w:hAnsi="仿宋" w:eastAsia="仿宋" w:cs="仿宋"/>
                <w:bCs/>
                <w:color w:val="000000"/>
                <w:sz w:val="24"/>
                <w:szCs w:val="24"/>
              </w:rPr>
            </w:pPr>
          </w:p>
        </w:tc>
        <w:tc>
          <w:tcPr>
            <w:tcW w:w="924" w:type="dxa"/>
            <w:gridSpan w:val="2"/>
            <w:shd w:val="clear" w:color="auto" w:fill="FFFFFF"/>
            <w:noWrap w:val="0"/>
            <w:vAlign w:val="center"/>
          </w:tcPr>
          <w:p w14:paraId="7D876526">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8</w:t>
            </w:r>
          </w:p>
        </w:tc>
      </w:tr>
      <w:tr w14:paraId="1462B085">
        <w:trPr>
          <w:trHeight w:val="195" w:hRule="atLeast"/>
        </w:trPr>
        <w:tc>
          <w:tcPr>
            <w:tcW w:w="1423" w:type="dxa"/>
            <w:vMerge w:val="continue"/>
            <w:shd w:val="clear" w:color="auto" w:fill="FFFFFF"/>
            <w:noWrap w:val="0"/>
            <w:vAlign w:val="center"/>
          </w:tcPr>
          <w:p w14:paraId="45966C57">
            <w:pPr>
              <w:adjustRightInd w:val="0"/>
              <w:snapToGrid w:val="0"/>
              <w:spacing w:line="240" w:lineRule="atLeast"/>
              <w:jc w:val="right"/>
              <w:rPr>
                <w:rFonts w:hint="eastAsia" w:ascii="仿宋" w:hAnsi="仿宋" w:eastAsia="仿宋" w:cs="仿宋"/>
                <w:sz w:val="24"/>
                <w:szCs w:val="24"/>
              </w:rPr>
            </w:pPr>
          </w:p>
        </w:tc>
        <w:tc>
          <w:tcPr>
            <w:tcW w:w="5648" w:type="dxa"/>
            <w:gridSpan w:val="11"/>
            <w:shd w:val="clear" w:color="auto" w:fill="auto"/>
            <w:noWrap w:val="0"/>
            <w:vAlign w:val="center"/>
          </w:tcPr>
          <w:p w14:paraId="645DCA04">
            <w:pPr>
              <w:widowControl/>
              <w:adjustRightInd w:val="0"/>
              <w:snapToGrid w:val="0"/>
              <w:rPr>
                <w:rFonts w:hint="eastAsia" w:ascii="宋体" w:hAnsi="宋体"/>
                <w:color w:val="000000"/>
                <w:szCs w:val="21"/>
              </w:rPr>
            </w:pPr>
            <w:r>
              <w:rPr>
                <w:rFonts w:hint="eastAsia" w:ascii="宋体" w:hAnsi="宋体"/>
                <w:color w:val="000000"/>
                <w:szCs w:val="21"/>
              </w:rPr>
              <w:t>第三章  硬笔书法偏旁教学</w:t>
            </w:r>
          </w:p>
          <w:p w14:paraId="13A73C34">
            <w:pPr>
              <w:widowControl/>
              <w:adjustRightInd w:val="0"/>
              <w:snapToGrid w:val="0"/>
              <w:rPr>
                <w:rFonts w:hint="eastAsia" w:ascii="仿宋" w:hAnsi="仿宋" w:eastAsia="仿宋" w:cs="仿宋"/>
                <w:bCs/>
                <w:color w:val="000000"/>
                <w:sz w:val="24"/>
                <w:szCs w:val="24"/>
              </w:rPr>
            </w:pPr>
            <w:r>
              <w:rPr>
                <w:rFonts w:hint="eastAsia" w:ascii="仿宋" w:hAnsi="仿宋" w:eastAsia="仿宋" w:cs="仿宋"/>
                <w:color w:val="000000"/>
                <w:kern w:val="0"/>
                <w:sz w:val="24"/>
                <w:szCs w:val="24"/>
              </w:rPr>
              <w:t>知道：</w:t>
            </w:r>
            <w:r>
              <w:rPr>
                <w:rFonts w:hint="eastAsia" w:ascii="仿宋" w:hAnsi="仿宋" w:eastAsia="仿宋" w:cs="仿宋"/>
                <w:bCs/>
                <w:color w:val="000000"/>
                <w:sz w:val="24"/>
                <w:szCs w:val="24"/>
              </w:rPr>
              <w:t>硬笔书法偏旁的种类与书写特征</w:t>
            </w:r>
          </w:p>
          <w:p w14:paraId="708127C4">
            <w:pPr>
              <w:widowControl/>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领会：</w:t>
            </w:r>
            <w:r>
              <w:rPr>
                <w:rFonts w:hint="eastAsia" w:ascii="仿宋" w:hAnsi="仿宋" w:eastAsia="仿宋" w:cs="仿宋"/>
                <w:bCs/>
                <w:color w:val="000000"/>
                <w:sz w:val="24"/>
                <w:szCs w:val="24"/>
              </w:rPr>
              <w:t>各种偏旁的书写方法与技巧</w:t>
            </w:r>
          </w:p>
          <w:p w14:paraId="7793FBCC">
            <w:pPr>
              <w:widowControl/>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应用：</w:t>
            </w:r>
            <w:r>
              <w:rPr>
                <w:rFonts w:hint="eastAsia" w:ascii="仿宋" w:hAnsi="仿宋" w:eastAsia="仿宋" w:cs="仿宋"/>
                <w:bCs/>
                <w:color w:val="000000"/>
                <w:sz w:val="24"/>
                <w:szCs w:val="24"/>
              </w:rPr>
              <w:t>能应用学到的偏旁书写技巧学习所有汉字</w:t>
            </w:r>
          </w:p>
          <w:p w14:paraId="4D4EB5B3">
            <w:pPr>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rPr>
              <w:t>评价：能对偏旁书写的好坏进行评价。</w:t>
            </w:r>
          </w:p>
        </w:tc>
        <w:tc>
          <w:tcPr>
            <w:tcW w:w="1153" w:type="dxa"/>
            <w:gridSpan w:val="2"/>
            <w:shd w:val="clear" w:color="auto" w:fill="auto"/>
            <w:noWrap w:val="0"/>
            <w:vAlign w:val="center"/>
          </w:tcPr>
          <w:p w14:paraId="10AE7C35">
            <w:pPr>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rPr>
              <w:t>支撑课程目标1、2、3</w:t>
            </w:r>
          </w:p>
        </w:tc>
        <w:tc>
          <w:tcPr>
            <w:tcW w:w="924" w:type="dxa"/>
            <w:gridSpan w:val="2"/>
            <w:shd w:val="clear" w:color="auto" w:fill="FFFFFF"/>
            <w:noWrap w:val="0"/>
            <w:vAlign w:val="center"/>
          </w:tcPr>
          <w:p w14:paraId="44902A12">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10</w:t>
            </w:r>
          </w:p>
        </w:tc>
      </w:tr>
      <w:tr w14:paraId="199522AE">
        <w:trPr>
          <w:trHeight w:val="105" w:hRule="atLeast"/>
        </w:trPr>
        <w:tc>
          <w:tcPr>
            <w:tcW w:w="1423" w:type="dxa"/>
            <w:vMerge w:val="continue"/>
            <w:shd w:val="clear" w:color="auto" w:fill="FFFFFF"/>
            <w:noWrap w:val="0"/>
            <w:vAlign w:val="center"/>
          </w:tcPr>
          <w:p w14:paraId="487BEE97">
            <w:pPr>
              <w:adjustRightInd w:val="0"/>
              <w:snapToGrid w:val="0"/>
              <w:spacing w:line="240" w:lineRule="atLeast"/>
              <w:jc w:val="right"/>
              <w:rPr>
                <w:rFonts w:hint="eastAsia" w:ascii="仿宋" w:hAnsi="仿宋" w:eastAsia="仿宋" w:cs="仿宋"/>
                <w:sz w:val="24"/>
                <w:szCs w:val="24"/>
              </w:rPr>
            </w:pPr>
          </w:p>
        </w:tc>
        <w:tc>
          <w:tcPr>
            <w:tcW w:w="5648" w:type="dxa"/>
            <w:gridSpan w:val="11"/>
            <w:shd w:val="clear" w:color="auto" w:fill="auto"/>
            <w:noWrap w:val="0"/>
            <w:vAlign w:val="center"/>
          </w:tcPr>
          <w:p w14:paraId="337BABCD">
            <w:pPr>
              <w:widowControl/>
              <w:adjustRightInd w:val="0"/>
              <w:snapToGrid w:val="0"/>
              <w:rPr>
                <w:rFonts w:hint="eastAsia" w:ascii="宋体" w:hAnsi="宋体"/>
                <w:color w:val="000000"/>
                <w:szCs w:val="21"/>
              </w:rPr>
            </w:pPr>
            <w:r>
              <w:rPr>
                <w:rFonts w:hint="eastAsia" w:ascii="宋体" w:hAnsi="宋体"/>
                <w:color w:val="000000"/>
                <w:szCs w:val="21"/>
              </w:rPr>
              <w:t>第四章  硬笔书法结构教学</w:t>
            </w:r>
          </w:p>
          <w:p w14:paraId="140431B2">
            <w:pPr>
              <w:widowControl/>
              <w:adjustRightInd w:val="0"/>
              <w:snapToGrid w:val="0"/>
              <w:rPr>
                <w:rFonts w:hint="eastAsia" w:ascii="仿宋" w:hAnsi="仿宋" w:eastAsia="仿宋" w:cs="仿宋"/>
                <w:bCs/>
                <w:color w:val="000000"/>
                <w:sz w:val="24"/>
                <w:szCs w:val="24"/>
              </w:rPr>
            </w:pPr>
            <w:r>
              <w:rPr>
                <w:rFonts w:hint="eastAsia" w:ascii="仿宋" w:hAnsi="仿宋" w:eastAsia="仿宋" w:cs="仿宋"/>
                <w:color w:val="000000"/>
                <w:kern w:val="0"/>
                <w:sz w:val="24"/>
                <w:szCs w:val="24"/>
              </w:rPr>
              <w:t>知道：</w:t>
            </w:r>
            <w:r>
              <w:rPr>
                <w:rFonts w:hint="eastAsia" w:ascii="仿宋" w:hAnsi="仿宋" w:eastAsia="仿宋" w:cs="仿宋"/>
                <w:bCs/>
                <w:color w:val="000000"/>
                <w:sz w:val="24"/>
                <w:szCs w:val="24"/>
              </w:rPr>
              <w:t>硬笔书法结构的种类与书写特征</w:t>
            </w:r>
          </w:p>
          <w:p w14:paraId="0A58D53D">
            <w:pPr>
              <w:widowControl/>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领会：</w:t>
            </w:r>
            <w:r>
              <w:rPr>
                <w:rFonts w:hint="eastAsia" w:ascii="仿宋" w:hAnsi="仿宋" w:eastAsia="仿宋" w:cs="仿宋"/>
                <w:bCs/>
                <w:color w:val="000000"/>
                <w:sz w:val="24"/>
                <w:szCs w:val="24"/>
              </w:rPr>
              <w:t>各种结构的书写方法与技巧</w:t>
            </w:r>
          </w:p>
          <w:p w14:paraId="66B535C0">
            <w:pPr>
              <w:widowControl/>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应用：</w:t>
            </w:r>
            <w:r>
              <w:rPr>
                <w:rFonts w:hint="eastAsia" w:ascii="仿宋" w:hAnsi="仿宋" w:eastAsia="仿宋" w:cs="仿宋"/>
                <w:bCs/>
                <w:color w:val="000000"/>
                <w:sz w:val="24"/>
                <w:szCs w:val="24"/>
              </w:rPr>
              <w:t>能应用学到的结构书写技巧学习所有汉字</w:t>
            </w:r>
          </w:p>
          <w:p w14:paraId="029BC034">
            <w:pPr>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rPr>
              <w:t>评价：能对结构书写的好坏进行评价。</w:t>
            </w:r>
          </w:p>
          <w:p w14:paraId="2456E532">
            <w:pPr>
              <w:adjustRightInd w:val="0"/>
              <w:snapToGrid w:val="0"/>
              <w:rPr>
                <w:rFonts w:hint="eastAsia" w:ascii="仿宋" w:hAnsi="仿宋" w:eastAsia="仿宋" w:cs="仿宋"/>
                <w:bCs/>
                <w:color w:val="000000"/>
                <w:sz w:val="24"/>
                <w:szCs w:val="24"/>
              </w:rPr>
            </w:pPr>
            <w:r>
              <w:rPr>
                <w:rFonts w:hint="eastAsia" w:ascii="仿宋" w:hAnsi="仿宋" w:eastAsia="仿宋" w:cs="仿宋"/>
                <w:b w:val="0"/>
                <w:bCs w:val="0"/>
                <w:color w:val="000000"/>
                <w:sz w:val="24"/>
                <w:szCs w:val="24"/>
                <w:lang w:eastAsia="zh-CN"/>
              </w:rPr>
              <w:t>课程思政：能够书写一首漂亮的硬笔字，增强自信</w:t>
            </w:r>
          </w:p>
        </w:tc>
        <w:tc>
          <w:tcPr>
            <w:tcW w:w="1153" w:type="dxa"/>
            <w:gridSpan w:val="2"/>
            <w:shd w:val="clear" w:color="auto" w:fill="auto"/>
            <w:noWrap w:val="0"/>
            <w:vAlign w:val="center"/>
          </w:tcPr>
          <w:p w14:paraId="1E2EEB3E">
            <w:pPr>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rPr>
              <w:t>支撑课程目标1、2、3</w:t>
            </w:r>
          </w:p>
        </w:tc>
        <w:tc>
          <w:tcPr>
            <w:tcW w:w="924" w:type="dxa"/>
            <w:gridSpan w:val="2"/>
            <w:shd w:val="clear" w:color="auto" w:fill="FFFFFF"/>
            <w:noWrap w:val="0"/>
            <w:vAlign w:val="center"/>
          </w:tcPr>
          <w:p w14:paraId="3EFBDF2F">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8</w:t>
            </w:r>
          </w:p>
        </w:tc>
      </w:tr>
      <w:tr w14:paraId="7605A54E">
        <w:trPr>
          <w:trHeight w:val="135" w:hRule="atLeast"/>
        </w:trPr>
        <w:tc>
          <w:tcPr>
            <w:tcW w:w="1423" w:type="dxa"/>
            <w:vMerge w:val="continue"/>
            <w:shd w:val="clear" w:color="auto" w:fill="FFFFFF"/>
            <w:noWrap w:val="0"/>
            <w:vAlign w:val="center"/>
          </w:tcPr>
          <w:p w14:paraId="6CD1FF79">
            <w:pPr>
              <w:adjustRightInd w:val="0"/>
              <w:snapToGrid w:val="0"/>
              <w:spacing w:line="240" w:lineRule="atLeast"/>
              <w:jc w:val="right"/>
              <w:rPr>
                <w:rFonts w:hint="eastAsia" w:ascii="仿宋" w:hAnsi="仿宋" w:eastAsia="仿宋" w:cs="仿宋"/>
                <w:sz w:val="24"/>
                <w:szCs w:val="24"/>
              </w:rPr>
            </w:pPr>
          </w:p>
        </w:tc>
        <w:tc>
          <w:tcPr>
            <w:tcW w:w="5648" w:type="dxa"/>
            <w:gridSpan w:val="11"/>
            <w:shd w:val="clear" w:color="auto" w:fill="auto"/>
            <w:noWrap w:val="0"/>
            <w:vAlign w:val="center"/>
          </w:tcPr>
          <w:p w14:paraId="7B76B4B0">
            <w:pPr>
              <w:widowControl/>
              <w:adjustRightInd w:val="0"/>
              <w:snapToGrid w:val="0"/>
              <w:rPr>
                <w:rFonts w:hint="eastAsia" w:ascii="宋体" w:hAnsi="宋体"/>
                <w:color w:val="000000"/>
                <w:szCs w:val="21"/>
              </w:rPr>
            </w:pPr>
            <w:r>
              <w:rPr>
                <w:rFonts w:hint="eastAsia" w:ascii="宋体" w:hAnsi="宋体"/>
                <w:color w:val="000000"/>
                <w:szCs w:val="21"/>
              </w:rPr>
              <w:t>第五章：硬笔书法的创作与章法</w:t>
            </w:r>
          </w:p>
          <w:p w14:paraId="68BD29F2">
            <w:pPr>
              <w:widowControl/>
              <w:adjustRightInd w:val="0"/>
              <w:snapToGrid w:val="0"/>
              <w:rPr>
                <w:rFonts w:hint="eastAsia" w:ascii="仿宋" w:hAnsi="仿宋" w:eastAsia="仿宋" w:cs="仿宋"/>
                <w:bCs/>
                <w:color w:val="000000"/>
                <w:sz w:val="24"/>
                <w:szCs w:val="24"/>
              </w:rPr>
            </w:pPr>
            <w:r>
              <w:rPr>
                <w:rFonts w:hint="eastAsia" w:ascii="仿宋" w:hAnsi="仿宋" w:eastAsia="仿宋" w:cs="仿宋"/>
                <w:color w:val="000000"/>
                <w:kern w:val="0"/>
                <w:sz w:val="24"/>
                <w:szCs w:val="24"/>
              </w:rPr>
              <w:t>知道：</w:t>
            </w:r>
            <w:r>
              <w:rPr>
                <w:rFonts w:hint="eastAsia" w:ascii="仿宋" w:hAnsi="仿宋" w:eastAsia="仿宋" w:cs="仿宋"/>
                <w:bCs/>
                <w:color w:val="000000"/>
                <w:sz w:val="24"/>
                <w:szCs w:val="24"/>
              </w:rPr>
              <w:t>硬笔书法创作与临摹的区别；各类章法知识。</w:t>
            </w:r>
          </w:p>
          <w:p w14:paraId="665A1CFC">
            <w:pPr>
              <w:widowControl/>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领会：</w:t>
            </w:r>
            <w:r>
              <w:rPr>
                <w:rFonts w:hint="eastAsia" w:ascii="仿宋" w:hAnsi="仿宋" w:eastAsia="仿宋" w:cs="仿宋"/>
                <w:bCs/>
                <w:color w:val="000000"/>
                <w:sz w:val="24"/>
                <w:szCs w:val="24"/>
              </w:rPr>
              <w:t>创作的特征与技巧；章法书写技巧。</w:t>
            </w:r>
          </w:p>
          <w:p w14:paraId="63DB2400">
            <w:pPr>
              <w:widowControl/>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应用：</w:t>
            </w:r>
            <w:r>
              <w:rPr>
                <w:rFonts w:hint="eastAsia" w:ascii="仿宋" w:hAnsi="仿宋" w:eastAsia="仿宋" w:cs="仿宋"/>
                <w:bCs/>
                <w:color w:val="000000"/>
                <w:sz w:val="24"/>
                <w:szCs w:val="24"/>
              </w:rPr>
              <w:t>能应用学到的创作与章法书写技巧提升自己的硬笔书写综合能力。</w:t>
            </w:r>
          </w:p>
          <w:p w14:paraId="1CF8AD49">
            <w:pPr>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rPr>
              <w:t xml:space="preserve">评价：能对创作与章法的好坏进行评价。 </w:t>
            </w:r>
          </w:p>
          <w:p w14:paraId="61425EE6">
            <w:pPr>
              <w:adjustRightInd w:val="0"/>
              <w:snapToGrid w:val="0"/>
              <w:rPr>
                <w:rFonts w:hint="eastAsia" w:ascii="仿宋" w:hAnsi="仿宋" w:eastAsia="仿宋" w:cs="仿宋"/>
                <w:bCs/>
                <w:color w:val="000000"/>
                <w:sz w:val="24"/>
                <w:szCs w:val="24"/>
                <w:lang w:eastAsia="zh-CN"/>
              </w:rPr>
            </w:pPr>
            <w:r>
              <w:rPr>
                <w:rFonts w:hint="eastAsia" w:ascii="仿宋" w:hAnsi="仿宋" w:eastAsia="仿宋" w:cs="仿宋"/>
                <w:bCs/>
                <w:color w:val="000000"/>
                <w:sz w:val="24"/>
                <w:szCs w:val="24"/>
                <w:lang w:eastAsia="zh-CN"/>
              </w:rPr>
              <w:t>课程思政：把书写技能和中华文化经典，中国传统节日结合起来进行书写，增加学生的学习兴趣和对传统文化的热爱。</w:t>
            </w:r>
          </w:p>
        </w:tc>
        <w:tc>
          <w:tcPr>
            <w:tcW w:w="1153" w:type="dxa"/>
            <w:gridSpan w:val="2"/>
            <w:shd w:val="clear" w:color="auto" w:fill="auto"/>
            <w:noWrap w:val="0"/>
            <w:vAlign w:val="center"/>
          </w:tcPr>
          <w:p w14:paraId="37AD4A85">
            <w:pPr>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rPr>
              <w:t>支撑课程目标1、2、3</w:t>
            </w:r>
          </w:p>
        </w:tc>
        <w:tc>
          <w:tcPr>
            <w:tcW w:w="924" w:type="dxa"/>
            <w:gridSpan w:val="2"/>
            <w:shd w:val="clear" w:color="auto" w:fill="FFFFFF"/>
            <w:noWrap w:val="0"/>
            <w:vAlign w:val="center"/>
          </w:tcPr>
          <w:p w14:paraId="59303A23">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7C16DCF3">
        <w:trPr>
          <w:trHeight w:val="135" w:hRule="atLeast"/>
        </w:trPr>
        <w:tc>
          <w:tcPr>
            <w:tcW w:w="1423" w:type="dxa"/>
            <w:vMerge w:val="continue"/>
            <w:shd w:val="clear" w:color="auto" w:fill="FFFFFF"/>
            <w:noWrap w:val="0"/>
            <w:vAlign w:val="center"/>
          </w:tcPr>
          <w:p w14:paraId="7C3524AE">
            <w:pPr>
              <w:adjustRightInd w:val="0"/>
              <w:snapToGrid w:val="0"/>
              <w:spacing w:line="240" w:lineRule="atLeast"/>
              <w:jc w:val="right"/>
              <w:rPr>
                <w:rFonts w:hint="eastAsia" w:ascii="仿宋" w:hAnsi="仿宋" w:eastAsia="仿宋" w:cs="仿宋"/>
                <w:sz w:val="24"/>
                <w:szCs w:val="24"/>
              </w:rPr>
            </w:pPr>
          </w:p>
        </w:tc>
        <w:tc>
          <w:tcPr>
            <w:tcW w:w="5648" w:type="dxa"/>
            <w:gridSpan w:val="11"/>
            <w:shd w:val="clear" w:color="auto" w:fill="auto"/>
            <w:noWrap w:val="0"/>
            <w:vAlign w:val="center"/>
          </w:tcPr>
          <w:p w14:paraId="44C34713">
            <w:pPr>
              <w:adjustRightInd w:val="0"/>
              <w:snapToGrid w:val="0"/>
              <w:jc w:val="left"/>
              <w:rPr>
                <w:rFonts w:hint="eastAsia" w:ascii="宋体" w:hAnsi="宋体"/>
                <w:color w:val="000000"/>
                <w:szCs w:val="21"/>
              </w:rPr>
            </w:pPr>
            <w:r>
              <w:rPr>
                <w:rFonts w:hint="eastAsia" w:ascii="宋体" w:hAnsi="宋体"/>
                <w:color w:val="000000"/>
                <w:szCs w:val="21"/>
              </w:rPr>
              <w:t>随堂考查</w:t>
            </w:r>
          </w:p>
        </w:tc>
        <w:tc>
          <w:tcPr>
            <w:tcW w:w="1153" w:type="dxa"/>
            <w:gridSpan w:val="2"/>
            <w:shd w:val="clear" w:color="auto" w:fill="auto"/>
            <w:noWrap w:val="0"/>
            <w:vAlign w:val="center"/>
          </w:tcPr>
          <w:p w14:paraId="1F7F9A90">
            <w:pPr>
              <w:adjustRightInd w:val="0"/>
              <w:snapToGrid w:val="0"/>
              <w:ind w:firstLine="960" w:firstLineChars="400"/>
              <w:jc w:val="center"/>
              <w:rPr>
                <w:rFonts w:hint="eastAsia" w:ascii="仿宋" w:hAnsi="仿宋" w:eastAsia="仿宋" w:cs="仿宋"/>
                <w:bCs/>
                <w:color w:val="000000"/>
                <w:sz w:val="24"/>
                <w:szCs w:val="24"/>
              </w:rPr>
            </w:pPr>
          </w:p>
        </w:tc>
        <w:tc>
          <w:tcPr>
            <w:tcW w:w="924" w:type="dxa"/>
            <w:gridSpan w:val="2"/>
            <w:shd w:val="clear" w:color="auto" w:fill="FFFFFF"/>
            <w:noWrap w:val="0"/>
            <w:vAlign w:val="center"/>
          </w:tcPr>
          <w:p w14:paraId="226A7DFD">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306ACDA5">
        <w:trPr>
          <w:trHeight w:val="454" w:hRule="atLeast"/>
        </w:trPr>
        <w:tc>
          <w:tcPr>
            <w:tcW w:w="1423" w:type="dxa"/>
            <w:vMerge w:val="continue"/>
            <w:shd w:val="clear" w:color="auto" w:fill="FFFFFF"/>
            <w:noWrap w:val="0"/>
            <w:vAlign w:val="center"/>
          </w:tcPr>
          <w:p w14:paraId="70C47595">
            <w:pPr>
              <w:adjustRightInd w:val="0"/>
              <w:snapToGrid w:val="0"/>
              <w:spacing w:line="240" w:lineRule="atLeast"/>
              <w:jc w:val="center"/>
              <w:rPr>
                <w:rFonts w:hint="eastAsia" w:ascii="仿宋" w:hAnsi="仿宋" w:eastAsia="仿宋" w:cs="仿宋"/>
                <w:sz w:val="24"/>
                <w:szCs w:val="24"/>
              </w:rPr>
            </w:pPr>
          </w:p>
        </w:tc>
        <w:tc>
          <w:tcPr>
            <w:tcW w:w="6801" w:type="dxa"/>
            <w:gridSpan w:val="13"/>
            <w:shd w:val="clear" w:color="auto" w:fill="auto"/>
            <w:noWrap w:val="0"/>
            <w:vAlign w:val="center"/>
          </w:tcPr>
          <w:p w14:paraId="6A41C543">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合计</w:t>
            </w:r>
          </w:p>
        </w:tc>
        <w:tc>
          <w:tcPr>
            <w:tcW w:w="924" w:type="dxa"/>
            <w:gridSpan w:val="2"/>
            <w:shd w:val="clear" w:color="auto" w:fill="FFFFFF"/>
            <w:noWrap w:val="0"/>
            <w:vAlign w:val="center"/>
          </w:tcPr>
          <w:p w14:paraId="6C4658AE">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32</w:t>
            </w:r>
          </w:p>
        </w:tc>
      </w:tr>
      <w:tr w14:paraId="4E4EB153">
        <w:trPr>
          <w:trHeight w:val="454" w:hRule="atLeast"/>
        </w:trPr>
        <w:tc>
          <w:tcPr>
            <w:tcW w:w="1423" w:type="dxa"/>
            <w:vMerge w:val="restart"/>
            <w:shd w:val="clear" w:color="auto" w:fill="FFFFFF"/>
            <w:noWrap w:val="0"/>
            <w:vAlign w:val="center"/>
          </w:tcPr>
          <w:p w14:paraId="09AE275D">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G</w:t>
            </w:r>
          </w:p>
          <w:p w14:paraId="241A80E5">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实验（实训）内容</w:t>
            </w:r>
          </w:p>
        </w:tc>
        <w:tc>
          <w:tcPr>
            <w:tcW w:w="5648" w:type="dxa"/>
            <w:gridSpan w:val="11"/>
            <w:shd w:val="clear" w:color="auto" w:fill="auto"/>
            <w:noWrap w:val="0"/>
            <w:vAlign w:val="center"/>
          </w:tcPr>
          <w:p w14:paraId="28396536">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项目名称、主要内容及开设要求</w:t>
            </w:r>
          </w:p>
        </w:tc>
        <w:tc>
          <w:tcPr>
            <w:tcW w:w="1153" w:type="dxa"/>
            <w:gridSpan w:val="2"/>
            <w:shd w:val="clear" w:color="auto" w:fill="auto"/>
            <w:noWrap w:val="0"/>
            <w:vAlign w:val="center"/>
          </w:tcPr>
          <w:p w14:paraId="1796E881">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14:paraId="2B0D3817">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924" w:type="dxa"/>
            <w:gridSpan w:val="2"/>
            <w:shd w:val="clear" w:color="auto" w:fill="FFFFFF"/>
            <w:noWrap w:val="0"/>
            <w:vAlign w:val="center"/>
          </w:tcPr>
          <w:p w14:paraId="3BFF71ED">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 xml:space="preserve">学时 </w:t>
            </w:r>
          </w:p>
          <w:p w14:paraId="66E08D90">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分配</w:t>
            </w:r>
          </w:p>
        </w:tc>
      </w:tr>
      <w:tr w14:paraId="73201221">
        <w:trPr>
          <w:trHeight w:val="454" w:hRule="atLeast"/>
        </w:trPr>
        <w:tc>
          <w:tcPr>
            <w:tcW w:w="1423" w:type="dxa"/>
            <w:vMerge w:val="continue"/>
            <w:shd w:val="clear" w:color="auto" w:fill="FFFFFF"/>
            <w:noWrap w:val="0"/>
            <w:vAlign w:val="center"/>
          </w:tcPr>
          <w:p w14:paraId="0E5256EC">
            <w:pPr>
              <w:adjustRightInd w:val="0"/>
              <w:snapToGrid w:val="0"/>
              <w:spacing w:line="240" w:lineRule="atLeast"/>
              <w:jc w:val="center"/>
              <w:rPr>
                <w:rFonts w:hint="eastAsia" w:ascii="仿宋" w:hAnsi="仿宋" w:eastAsia="仿宋" w:cs="仿宋"/>
                <w:sz w:val="24"/>
                <w:szCs w:val="24"/>
              </w:rPr>
            </w:pPr>
          </w:p>
        </w:tc>
        <w:tc>
          <w:tcPr>
            <w:tcW w:w="5648" w:type="dxa"/>
            <w:gridSpan w:val="11"/>
            <w:shd w:val="clear" w:color="auto" w:fill="auto"/>
            <w:noWrap w:val="0"/>
            <w:vAlign w:val="top"/>
          </w:tcPr>
          <w:p w14:paraId="52E41730">
            <w:pPr>
              <w:widowControl/>
              <w:autoSpaceDE w:val="0"/>
              <w:autoSpaceDN w:val="0"/>
              <w:adjustRightInd w:val="0"/>
              <w:snapToGrid w:val="0"/>
              <w:jc w:val="left"/>
              <w:textAlignment w:val="bottom"/>
              <w:rPr>
                <w:rFonts w:hint="eastAsia" w:ascii="仿宋" w:hAnsi="仿宋" w:eastAsia="仿宋" w:cs="仿宋"/>
                <w:color w:val="000000"/>
                <w:sz w:val="24"/>
                <w:szCs w:val="24"/>
              </w:rPr>
            </w:pPr>
          </w:p>
        </w:tc>
        <w:tc>
          <w:tcPr>
            <w:tcW w:w="1153" w:type="dxa"/>
            <w:gridSpan w:val="2"/>
            <w:shd w:val="clear" w:color="auto" w:fill="auto"/>
            <w:noWrap w:val="0"/>
            <w:vAlign w:val="top"/>
          </w:tcPr>
          <w:p w14:paraId="66FF3387">
            <w:pPr>
              <w:adjustRightInd w:val="0"/>
              <w:snapToGrid w:val="0"/>
              <w:jc w:val="left"/>
              <w:rPr>
                <w:rFonts w:hint="eastAsia" w:ascii="仿宋" w:hAnsi="仿宋" w:eastAsia="仿宋" w:cs="仿宋"/>
                <w:color w:val="000000"/>
                <w:sz w:val="24"/>
                <w:szCs w:val="24"/>
              </w:rPr>
            </w:pPr>
          </w:p>
        </w:tc>
        <w:tc>
          <w:tcPr>
            <w:tcW w:w="924" w:type="dxa"/>
            <w:gridSpan w:val="2"/>
            <w:shd w:val="clear" w:color="auto" w:fill="FFFFFF"/>
            <w:noWrap w:val="0"/>
            <w:vAlign w:val="top"/>
          </w:tcPr>
          <w:p w14:paraId="1AD687E9">
            <w:pPr>
              <w:adjustRightInd w:val="0"/>
              <w:snapToGrid w:val="0"/>
              <w:jc w:val="left"/>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 </w:t>
            </w:r>
          </w:p>
        </w:tc>
      </w:tr>
      <w:tr w14:paraId="40F315E0">
        <w:trPr>
          <w:trHeight w:val="454" w:hRule="atLeast"/>
        </w:trPr>
        <w:tc>
          <w:tcPr>
            <w:tcW w:w="1423" w:type="dxa"/>
            <w:vMerge w:val="continue"/>
            <w:shd w:val="clear" w:color="auto" w:fill="FFFFFF"/>
            <w:noWrap w:val="0"/>
            <w:vAlign w:val="center"/>
          </w:tcPr>
          <w:p w14:paraId="728780EB">
            <w:pPr>
              <w:adjustRightInd w:val="0"/>
              <w:snapToGrid w:val="0"/>
              <w:spacing w:line="240" w:lineRule="atLeast"/>
              <w:jc w:val="center"/>
              <w:rPr>
                <w:rFonts w:hint="eastAsia" w:ascii="仿宋" w:hAnsi="仿宋" w:eastAsia="仿宋" w:cs="仿宋"/>
                <w:sz w:val="24"/>
                <w:szCs w:val="24"/>
              </w:rPr>
            </w:pPr>
          </w:p>
        </w:tc>
        <w:tc>
          <w:tcPr>
            <w:tcW w:w="6801" w:type="dxa"/>
            <w:gridSpan w:val="13"/>
            <w:shd w:val="clear" w:color="auto" w:fill="auto"/>
            <w:noWrap w:val="0"/>
            <w:vAlign w:val="center"/>
          </w:tcPr>
          <w:p w14:paraId="397A1C95">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合计</w:t>
            </w:r>
          </w:p>
        </w:tc>
        <w:tc>
          <w:tcPr>
            <w:tcW w:w="924" w:type="dxa"/>
            <w:gridSpan w:val="2"/>
            <w:shd w:val="clear" w:color="auto" w:fill="FFFFFF"/>
            <w:noWrap w:val="0"/>
            <w:vAlign w:val="center"/>
          </w:tcPr>
          <w:p w14:paraId="6A5396AE">
            <w:pPr>
              <w:adjustRightInd w:val="0"/>
              <w:snapToGrid w:val="0"/>
              <w:jc w:val="center"/>
              <w:rPr>
                <w:rFonts w:hint="eastAsia" w:ascii="仿宋" w:hAnsi="仿宋" w:eastAsia="仿宋" w:cs="仿宋"/>
                <w:sz w:val="24"/>
                <w:szCs w:val="24"/>
              </w:rPr>
            </w:pPr>
          </w:p>
        </w:tc>
      </w:tr>
      <w:tr w14:paraId="07FC6EF5">
        <w:trPr>
          <w:trHeight w:val="495" w:hRule="atLeast"/>
        </w:trPr>
        <w:tc>
          <w:tcPr>
            <w:tcW w:w="1423" w:type="dxa"/>
            <w:vMerge w:val="restart"/>
            <w:shd w:val="clear" w:color="auto" w:fill="FFFFFF"/>
            <w:noWrap w:val="0"/>
            <w:vAlign w:val="center"/>
          </w:tcPr>
          <w:p w14:paraId="78F50B4D">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H</w:t>
            </w:r>
          </w:p>
          <w:p w14:paraId="64FAA309">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实践内容（含教育实习、见习、研习，专业实习、毕业论文或毕业设计等）</w:t>
            </w:r>
          </w:p>
        </w:tc>
        <w:tc>
          <w:tcPr>
            <w:tcW w:w="5648" w:type="dxa"/>
            <w:gridSpan w:val="11"/>
            <w:noWrap w:val="0"/>
            <w:vAlign w:val="center"/>
          </w:tcPr>
          <w:p w14:paraId="3967FC72">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实践主要内容和要求</w:t>
            </w:r>
          </w:p>
        </w:tc>
        <w:tc>
          <w:tcPr>
            <w:tcW w:w="1153" w:type="dxa"/>
            <w:gridSpan w:val="2"/>
            <w:noWrap w:val="0"/>
            <w:vAlign w:val="center"/>
          </w:tcPr>
          <w:p w14:paraId="496FFE2E">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14:paraId="1DB3D5C1">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924" w:type="dxa"/>
            <w:gridSpan w:val="2"/>
            <w:noWrap w:val="0"/>
            <w:vAlign w:val="center"/>
          </w:tcPr>
          <w:p w14:paraId="72C25528">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时长</w:t>
            </w:r>
          </w:p>
          <w:p w14:paraId="4E2BE570">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分配</w:t>
            </w:r>
          </w:p>
        </w:tc>
      </w:tr>
      <w:tr w14:paraId="7643ADD4">
        <w:trPr>
          <w:trHeight w:val="90" w:hRule="atLeast"/>
        </w:trPr>
        <w:tc>
          <w:tcPr>
            <w:tcW w:w="1423" w:type="dxa"/>
            <w:vMerge w:val="continue"/>
            <w:shd w:val="clear" w:color="auto" w:fill="FFFFFF"/>
            <w:noWrap w:val="0"/>
            <w:vAlign w:val="center"/>
          </w:tcPr>
          <w:p w14:paraId="43634C98">
            <w:pPr>
              <w:adjustRightInd w:val="0"/>
              <w:snapToGrid w:val="0"/>
              <w:spacing w:line="240" w:lineRule="atLeast"/>
              <w:jc w:val="center"/>
              <w:rPr>
                <w:rFonts w:hint="eastAsia" w:ascii="仿宋" w:hAnsi="仿宋" w:eastAsia="仿宋" w:cs="仿宋"/>
                <w:sz w:val="24"/>
                <w:szCs w:val="24"/>
              </w:rPr>
            </w:pPr>
          </w:p>
        </w:tc>
        <w:tc>
          <w:tcPr>
            <w:tcW w:w="5648" w:type="dxa"/>
            <w:gridSpan w:val="11"/>
            <w:noWrap w:val="0"/>
            <w:vAlign w:val="top"/>
          </w:tcPr>
          <w:p w14:paraId="6D7F30D1">
            <w:pPr>
              <w:widowControl/>
              <w:autoSpaceDE w:val="0"/>
              <w:autoSpaceDN w:val="0"/>
              <w:adjustRightInd w:val="0"/>
              <w:snapToGrid w:val="0"/>
              <w:jc w:val="left"/>
              <w:textAlignment w:val="bottom"/>
              <w:rPr>
                <w:rFonts w:hint="eastAsia" w:ascii="仿宋" w:hAnsi="仿宋" w:eastAsia="仿宋" w:cs="仿宋"/>
                <w:color w:val="000000"/>
                <w:sz w:val="24"/>
                <w:szCs w:val="24"/>
              </w:rPr>
            </w:pPr>
            <w:r>
              <w:rPr>
                <w:rFonts w:hint="eastAsia" w:ascii="仿宋" w:hAnsi="仿宋" w:eastAsia="仿宋" w:cs="仿宋"/>
                <w:color w:val="000000"/>
                <w:sz w:val="24"/>
                <w:szCs w:val="24"/>
              </w:rPr>
              <w:t>1.见习中的课堂听课笔记，要求字迹端正，书写流利。</w:t>
            </w:r>
          </w:p>
          <w:p w14:paraId="648D8939">
            <w:pPr>
              <w:widowControl/>
              <w:autoSpaceDE w:val="0"/>
              <w:autoSpaceDN w:val="0"/>
              <w:adjustRightInd w:val="0"/>
              <w:snapToGrid w:val="0"/>
              <w:jc w:val="left"/>
              <w:textAlignment w:val="bottom"/>
              <w:rPr>
                <w:rFonts w:hint="eastAsia" w:ascii="仿宋" w:hAnsi="仿宋" w:eastAsia="仿宋" w:cs="仿宋"/>
                <w:color w:val="000000"/>
                <w:sz w:val="24"/>
                <w:szCs w:val="24"/>
              </w:rPr>
            </w:pPr>
            <w:r>
              <w:rPr>
                <w:rFonts w:hint="eastAsia" w:ascii="仿宋" w:hAnsi="仿宋" w:eastAsia="仿宋" w:cs="仿宋"/>
                <w:color w:val="000000"/>
                <w:sz w:val="24"/>
                <w:szCs w:val="24"/>
              </w:rPr>
              <w:t>2.实习中的课堂板书要求字迹端正，舒展大方，有一定速度。</w:t>
            </w:r>
          </w:p>
          <w:p w14:paraId="59F3A519">
            <w:pPr>
              <w:widowControl/>
              <w:autoSpaceDE w:val="0"/>
              <w:autoSpaceDN w:val="0"/>
              <w:adjustRightInd w:val="0"/>
              <w:snapToGrid w:val="0"/>
              <w:jc w:val="left"/>
              <w:textAlignment w:val="bottom"/>
              <w:rPr>
                <w:rFonts w:hint="eastAsia" w:ascii="仿宋" w:hAnsi="仿宋" w:eastAsia="仿宋" w:cs="仿宋"/>
                <w:color w:val="000000"/>
                <w:sz w:val="24"/>
                <w:szCs w:val="24"/>
              </w:rPr>
            </w:pPr>
            <w:r>
              <w:rPr>
                <w:rFonts w:hint="eastAsia" w:ascii="仿宋" w:hAnsi="仿宋" w:eastAsia="仿宋" w:cs="仿宋"/>
                <w:color w:val="000000"/>
                <w:sz w:val="24"/>
                <w:szCs w:val="24"/>
              </w:rPr>
              <w:t>3.板书长廊的诗词书写要求字迹端正，舒展大方，章法有致。</w:t>
            </w:r>
          </w:p>
          <w:p w14:paraId="0F49018A">
            <w:pPr>
              <w:widowControl/>
              <w:autoSpaceDE w:val="0"/>
              <w:autoSpaceDN w:val="0"/>
              <w:adjustRightInd w:val="0"/>
              <w:snapToGrid w:val="0"/>
              <w:jc w:val="left"/>
              <w:textAlignment w:val="bottom"/>
              <w:rPr>
                <w:rFonts w:hint="eastAsia" w:ascii="仿宋" w:hAnsi="仿宋" w:eastAsia="仿宋" w:cs="仿宋"/>
                <w:color w:val="000000"/>
                <w:sz w:val="24"/>
                <w:szCs w:val="24"/>
              </w:rPr>
            </w:pPr>
          </w:p>
        </w:tc>
        <w:tc>
          <w:tcPr>
            <w:tcW w:w="1153" w:type="dxa"/>
            <w:gridSpan w:val="2"/>
            <w:noWrap w:val="0"/>
            <w:vAlign w:val="top"/>
          </w:tcPr>
          <w:p w14:paraId="23FF5CBF">
            <w:pPr>
              <w:adjustRightInd w:val="0"/>
              <w:snapToGrid w:val="0"/>
              <w:jc w:val="left"/>
              <w:rPr>
                <w:rFonts w:hint="eastAsia" w:ascii="仿宋" w:hAnsi="仿宋" w:eastAsia="仿宋" w:cs="仿宋"/>
                <w:color w:val="000000"/>
                <w:sz w:val="24"/>
                <w:szCs w:val="24"/>
              </w:rPr>
            </w:pPr>
            <w:r>
              <w:rPr>
                <w:rFonts w:hint="eastAsia" w:ascii="仿宋" w:hAnsi="仿宋" w:eastAsia="仿宋" w:cs="仿宋"/>
                <w:bCs/>
                <w:color w:val="000000"/>
                <w:sz w:val="24"/>
                <w:szCs w:val="24"/>
              </w:rPr>
              <w:t>课程目标1、2、3</w:t>
            </w:r>
          </w:p>
        </w:tc>
        <w:tc>
          <w:tcPr>
            <w:tcW w:w="924" w:type="dxa"/>
            <w:gridSpan w:val="2"/>
            <w:noWrap w:val="0"/>
            <w:vAlign w:val="top"/>
          </w:tcPr>
          <w:p w14:paraId="1D1376DC">
            <w:pPr>
              <w:adjustRightInd w:val="0"/>
              <w:snapToGrid w:val="0"/>
              <w:jc w:val="left"/>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 15周</w:t>
            </w:r>
          </w:p>
        </w:tc>
      </w:tr>
      <w:tr w14:paraId="0040E0DD">
        <w:trPr>
          <w:trHeight w:val="921" w:hRule="atLeast"/>
        </w:trPr>
        <w:tc>
          <w:tcPr>
            <w:tcW w:w="1423" w:type="dxa"/>
            <w:noWrap w:val="0"/>
            <w:vAlign w:val="center"/>
          </w:tcPr>
          <w:p w14:paraId="32156094">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I</w:t>
            </w:r>
          </w:p>
          <w:p w14:paraId="4891C608">
            <w:pPr>
              <w:adjustRightInd w:val="0"/>
              <w:snapToGrid w:val="0"/>
              <w:spacing w:line="240" w:lineRule="atLeast"/>
              <w:jc w:val="center"/>
              <w:rPr>
                <w:rFonts w:hint="eastAsia" w:ascii="仿宋" w:hAnsi="仿宋" w:eastAsia="仿宋" w:cs="仿宋"/>
                <w:sz w:val="24"/>
                <w:szCs w:val="24"/>
                <w:lang w:eastAsia="zh-TW"/>
              </w:rPr>
            </w:pPr>
            <w:r>
              <w:rPr>
                <w:rFonts w:hint="eastAsia" w:ascii="仿宋" w:hAnsi="仿宋" w:eastAsia="仿宋" w:cs="仿宋"/>
                <w:sz w:val="24"/>
                <w:szCs w:val="24"/>
              </w:rPr>
              <w:t>教学方法与教学方式</w:t>
            </w:r>
          </w:p>
        </w:tc>
        <w:tc>
          <w:tcPr>
            <w:tcW w:w="7725" w:type="dxa"/>
            <w:gridSpan w:val="15"/>
            <w:tcBorders>
              <w:bottom w:val="single" w:color="auto" w:sz="4" w:space="0"/>
            </w:tcBorders>
            <w:noWrap w:val="0"/>
            <w:vAlign w:val="center"/>
          </w:tcPr>
          <w:p w14:paraId="0E6C197D">
            <w:pPr>
              <w:numPr>
                <w:ilvl w:val="0"/>
                <w:numId w:val="15"/>
              </w:num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课堂粉笔字教学主要采取教师示范投影，学生用小黑板在座位上临摹书写的方式。</w:t>
            </w:r>
          </w:p>
          <w:p w14:paraId="5E2C34C9">
            <w:pPr>
              <w:numPr>
                <w:ilvl w:val="0"/>
                <w:numId w:val="15"/>
              </w:num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课后开通网络课堂，达到与学生及时沟通、交流的目的。同时用作业批改的方式指导学生钢笔字的书写训练。</w:t>
            </w:r>
          </w:p>
          <w:p w14:paraId="01B59D4C">
            <w:pPr>
              <w:numPr>
                <w:ilvl w:val="0"/>
                <w:numId w:val="15"/>
              </w:numPr>
              <w:adjustRightInd w:val="0"/>
              <w:snapToGrid w:val="0"/>
              <w:rPr>
                <w:rFonts w:hint="eastAsia" w:ascii="仿宋" w:hAnsi="仿宋" w:eastAsia="仿宋" w:cs="仿宋"/>
                <w:sz w:val="24"/>
                <w:szCs w:val="24"/>
              </w:rPr>
            </w:pPr>
            <w:r>
              <w:rPr>
                <w:rFonts w:hint="eastAsia" w:ascii="仿宋" w:hAnsi="仿宋" w:eastAsia="仿宋" w:cs="仿宋"/>
                <w:sz w:val="24"/>
                <w:szCs w:val="24"/>
              </w:rPr>
              <w:t>主要方式：</w:t>
            </w:r>
          </w:p>
          <w:p w14:paraId="739B986B">
            <w:pPr>
              <w:adjustRightInd w:val="0"/>
              <w:snapToGrid w:val="0"/>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示范与讲授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网络学习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实作训练</w:t>
            </w:r>
          </w:p>
        </w:tc>
      </w:tr>
      <w:tr w14:paraId="22B1FD9C">
        <w:trPr>
          <w:trHeight w:val="580" w:hRule="atLeast"/>
        </w:trPr>
        <w:tc>
          <w:tcPr>
            <w:tcW w:w="1423" w:type="dxa"/>
            <w:noWrap w:val="0"/>
            <w:vAlign w:val="center"/>
          </w:tcPr>
          <w:p w14:paraId="2D7319B6">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J</w:t>
            </w:r>
          </w:p>
          <w:p w14:paraId="220A9A10">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教学条件</w:t>
            </w:r>
          </w:p>
          <w:p w14:paraId="12EC257E">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需求</w:t>
            </w:r>
          </w:p>
        </w:tc>
        <w:tc>
          <w:tcPr>
            <w:tcW w:w="7725" w:type="dxa"/>
            <w:gridSpan w:val="15"/>
            <w:tcBorders>
              <w:bottom w:val="single" w:color="auto" w:sz="4" w:space="0"/>
            </w:tcBorders>
            <w:noWrap w:val="0"/>
            <w:vAlign w:val="center"/>
          </w:tcPr>
          <w:p w14:paraId="6FBB1D34">
            <w:pPr>
              <w:tabs>
                <w:tab w:val="left" w:pos="720"/>
              </w:tabs>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幻灯实物投影；板书长廊的每周练写</w:t>
            </w:r>
          </w:p>
        </w:tc>
      </w:tr>
      <w:tr w14:paraId="55D9C78D">
        <w:trPr>
          <w:trHeight w:val="711" w:hRule="atLeast"/>
        </w:trPr>
        <w:tc>
          <w:tcPr>
            <w:tcW w:w="1423" w:type="dxa"/>
            <w:vMerge w:val="restart"/>
            <w:noWrap w:val="0"/>
            <w:vAlign w:val="center"/>
          </w:tcPr>
          <w:p w14:paraId="63845B19">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K</w:t>
            </w:r>
          </w:p>
          <w:p w14:paraId="1E355751">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课程目标及其考核内容、考核方式及评分占比</w:t>
            </w:r>
          </w:p>
        </w:tc>
        <w:tc>
          <w:tcPr>
            <w:tcW w:w="1134" w:type="dxa"/>
            <w:gridSpan w:val="2"/>
            <w:vMerge w:val="restart"/>
            <w:noWrap w:val="0"/>
            <w:vAlign w:val="center"/>
          </w:tcPr>
          <w:p w14:paraId="00621508">
            <w:pPr>
              <w:adjustRightInd w:val="0"/>
              <w:snapToGrid w:val="0"/>
              <w:rPr>
                <w:rFonts w:hint="eastAsia" w:ascii="仿宋" w:hAnsi="仿宋" w:eastAsia="仿宋" w:cs="仿宋"/>
                <w:sz w:val="24"/>
                <w:szCs w:val="24"/>
              </w:rPr>
            </w:pPr>
            <w:r>
              <w:rPr>
                <w:rFonts w:hint="eastAsia" w:ascii="仿宋" w:hAnsi="仿宋" w:eastAsia="仿宋" w:cs="仿宋"/>
                <w:sz w:val="24"/>
                <w:szCs w:val="24"/>
              </w:rPr>
              <w:t>课程目标及评分占比</w:t>
            </w:r>
          </w:p>
        </w:tc>
        <w:tc>
          <w:tcPr>
            <w:tcW w:w="3076" w:type="dxa"/>
            <w:gridSpan w:val="5"/>
            <w:vMerge w:val="restart"/>
            <w:tcBorders>
              <w:right w:val="single" w:color="000000" w:sz="4" w:space="0"/>
            </w:tcBorders>
            <w:noWrap w:val="0"/>
            <w:vAlign w:val="center"/>
          </w:tcPr>
          <w:p w14:paraId="7AB7E2F3">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考核内容</w:t>
            </w:r>
          </w:p>
        </w:tc>
        <w:tc>
          <w:tcPr>
            <w:tcW w:w="2926" w:type="dxa"/>
            <w:gridSpan w:val="7"/>
            <w:tcBorders>
              <w:left w:val="single" w:color="000000" w:sz="4" w:space="0"/>
              <w:right w:val="single" w:color="000000" w:sz="4" w:space="0"/>
            </w:tcBorders>
            <w:noWrap w:val="0"/>
            <w:vAlign w:val="center"/>
          </w:tcPr>
          <w:p w14:paraId="4DEA9BF6">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考核方式</w:t>
            </w:r>
          </w:p>
        </w:tc>
        <w:tc>
          <w:tcPr>
            <w:tcW w:w="589" w:type="dxa"/>
            <w:vMerge w:val="restart"/>
            <w:tcBorders>
              <w:left w:val="single" w:color="000000" w:sz="4" w:space="0"/>
            </w:tcBorders>
            <w:noWrap w:val="0"/>
            <w:vAlign w:val="center"/>
          </w:tcPr>
          <w:p w14:paraId="4EC316C4">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sz w:val="24"/>
                <w:szCs w:val="24"/>
              </w:rPr>
              <w:t>课程分目标的达成度</w:t>
            </w:r>
          </w:p>
        </w:tc>
      </w:tr>
      <w:tr w14:paraId="733504AE">
        <w:trPr>
          <w:trHeight w:val="184" w:hRule="atLeast"/>
        </w:trPr>
        <w:tc>
          <w:tcPr>
            <w:tcW w:w="1423" w:type="dxa"/>
            <w:vMerge w:val="continue"/>
            <w:noWrap w:val="0"/>
            <w:vAlign w:val="center"/>
          </w:tcPr>
          <w:p w14:paraId="0F03044E">
            <w:pPr>
              <w:adjustRightInd w:val="0"/>
              <w:snapToGrid w:val="0"/>
              <w:spacing w:line="240" w:lineRule="atLeast"/>
              <w:jc w:val="center"/>
              <w:rPr>
                <w:rFonts w:hint="eastAsia" w:ascii="仿宋" w:hAnsi="仿宋" w:eastAsia="仿宋" w:cs="仿宋"/>
                <w:sz w:val="24"/>
                <w:szCs w:val="24"/>
              </w:rPr>
            </w:pPr>
          </w:p>
        </w:tc>
        <w:tc>
          <w:tcPr>
            <w:tcW w:w="1134" w:type="dxa"/>
            <w:gridSpan w:val="2"/>
            <w:vMerge w:val="continue"/>
            <w:tcBorders>
              <w:tl2br w:val="single" w:color="auto" w:sz="4" w:space="0"/>
            </w:tcBorders>
            <w:noWrap w:val="0"/>
            <w:vAlign w:val="center"/>
          </w:tcPr>
          <w:p w14:paraId="4FDD001C">
            <w:pPr>
              <w:adjustRightInd w:val="0"/>
              <w:snapToGrid w:val="0"/>
              <w:jc w:val="right"/>
              <w:rPr>
                <w:rFonts w:hint="eastAsia" w:ascii="仿宋" w:hAnsi="仿宋" w:eastAsia="仿宋" w:cs="仿宋"/>
                <w:sz w:val="24"/>
                <w:szCs w:val="24"/>
              </w:rPr>
            </w:pPr>
          </w:p>
        </w:tc>
        <w:tc>
          <w:tcPr>
            <w:tcW w:w="3076" w:type="dxa"/>
            <w:gridSpan w:val="5"/>
            <w:vMerge w:val="continue"/>
            <w:tcBorders>
              <w:right w:val="single" w:color="000000" w:sz="4" w:space="0"/>
            </w:tcBorders>
            <w:noWrap w:val="0"/>
            <w:vAlign w:val="center"/>
          </w:tcPr>
          <w:p w14:paraId="01FA3A04">
            <w:pPr>
              <w:tabs>
                <w:tab w:val="left" w:pos="720"/>
              </w:tabs>
              <w:adjustRightInd w:val="0"/>
              <w:snapToGrid w:val="0"/>
              <w:jc w:val="center"/>
              <w:rPr>
                <w:rFonts w:hint="eastAsia" w:ascii="仿宋" w:hAnsi="仿宋" w:eastAsia="仿宋" w:cs="仿宋"/>
                <w:kern w:val="0"/>
                <w:sz w:val="24"/>
                <w:szCs w:val="24"/>
              </w:rPr>
            </w:pPr>
          </w:p>
        </w:tc>
        <w:tc>
          <w:tcPr>
            <w:tcW w:w="1035" w:type="dxa"/>
            <w:gridSpan w:val="2"/>
            <w:tcBorders>
              <w:left w:val="single" w:color="000000" w:sz="4" w:space="0"/>
              <w:right w:val="single" w:color="000000" w:sz="4" w:space="0"/>
            </w:tcBorders>
            <w:noWrap w:val="0"/>
            <w:vAlign w:val="center"/>
          </w:tcPr>
          <w:p w14:paraId="48C66FAF">
            <w:pPr>
              <w:tabs>
                <w:tab w:val="left" w:pos="720"/>
              </w:tabs>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作业评分与平时课堂</w:t>
            </w:r>
            <w:r>
              <w:rPr>
                <w:rFonts w:hint="eastAsia" w:ascii="仿宋" w:hAnsi="仿宋" w:eastAsia="仿宋" w:cs="仿宋"/>
                <w:color w:val="000000"/>
                <w:sz w:val="24"/>
                <w:szCs w:val="24"/>
              </w:rPr>
              <w:t>表现</w:t>
            </w:r>
            <w:r>
              <w:rPr>
                <w:rFonts w:hint="eastAsia" w:ascii="仿宋" w:hAnsi="仿宋" w:eastAsia="仿宋" w:cs="仿宋"/>
                <w:sz w:val="24"/>
                <w:szCs w:val="24"/>
              </w:rPr>
              <w:t>评分占比</w:t>
            </w:r>
            <w:r>
              <w:rPr>
                <w:rFonts w:hint="eastAsia" w:ascii="仿宋" w:hAnsi="仿宋" w:eastAsia="仿宋" w:cs="仿宋"/>
                <w:sz w:val="18"/>
                <w:szCs w:val="18"/>
              </w:rPr>
              <w:t>（20%）</w:t>
            </w:r>
          </w:p>
        </w:tc>
        <w:tc>
          <w:tcPr>
            <w:tcW w:w="717" w:type="dxa"/>
            <w:gridSpan w:val="3"/>
            <w:tcBorders>
              <w:left w:val="single" w:color="000000" w:sz="4" w:space="0"/>
              <w:bottom w:val="single" w:color="auto" w:sz="4" w:space="0"/>
            </w:tcBorders>
            <w:noWrap w:val="0"/>
            <w:vAlign w:val="center"/>
          </w:tcPr>
          <w:p w14:paraId="4FE86415">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期中考试评分占比</w:t>
            </w:r>
            <w:r>
              <w:rPr>
                <w:rFonts w:hint="eastAsia" w:ascii="仿宋" w:hAnsi="仿宋" w:eastAsia="仿宋" w:cs="仿宋"/>
                <w:sz w:val="18"/>
                <w:szCs w:val="18"/>
              </w:rPr>
              <w:t>（20%）</w:t>
            </w:r>
          </w:p>
        </w:tc>
        <w:tc>
          <w:tcPr>
            <w:tcW w:w="1174" w:type="dxa"/>
            <w:gridSpan w:val="2"/>
            <w:tcBorders>
              <w:left w:val="single" w:color="000000" w:sz="4" w:space="0"/>
              <w:bottom w:val="single" w:color="auto" w:sz="4" w:space="0"/>
              <w:right w:val="single" w:color="000000" w:sz="4" w:space="0"/>
            </w:tcBorders>
            <w:noWrap w:val="0"/>
            <w:vAlign w:val="center"/>
          </w:tcPr>
          <w:p w14:paraId="6F599AC2">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期末考试评分占比</w:t>
            </w:r>
            <w:r>
              <w:rPr>
                <w:rFonts w:hint="eastAsia" w:ascii="仿宋" w:hAnsi="仿宋" w:eastAsia="仿宋" w:cs="仿宋"/>
                <w:sz w:val="18"/>
                <w:szCs w:val="18"/>
              </w:rPr>
              <w:t>（60%）</w:t>
            </w:r>
          </w:p>
        </w:tc>
        <w:tc>
          <w:tcPr>
            <w:tcW w:w="589" w:type="dxa"/>
            <w:vMerge w:val="continue"/>
            <w:tcBorders>
              <w:left w:val="single" w:color="000000" w:sz="4" w:space="0"/>
              <w:bottom w:val="single" w:color="auto" w:sz="4" w:space="0"/>
            </w:tcBorders>
            <w:noWrap w:val="0"/>
            <w:vAlign w:val="center"/>
          </w:tcPr>
          <w:p w14:paraId="0FD3CEC5">
            <w:pPr>
              <w:tabs>
                <w:tab w:val="left" w:pos="720"/>
              </w:tabs>
              <w:adjustRightInd w:val="0"/>
              <w:snapToGrid w:val="0"/>
              <w:jc w:val="center"/>
              <w:rPr>
                <w:rFonts w:hint="eastAsia" w:ascii="仿宋" w:hAnsi="仿宋" w:eastAsia="仿宋" w:cs="仿宋"/>
                <w:sz w:val="24"/>
                <w:szCs w:val="24"/>
              </w:rPr>
            </w:pPr>
          </w:p>
        </w:tc>
      </w:tr>
      <w:tr w14:paraId="0160683E">
        <w:tc>
          <w:tcPr>
            <w:tcW w:w="1423" w:type="dxa"/>
            <w:vMerge w:val="continue"/>
            <w:noWrap w:val="0"/>
            <w:vAlign w:val="center"/>
          </w:tcPr>
          <w:p w14:paraId="2EEFF8AC">
            <w:pPr>
              <w:adjustRightInd w:val="0"/>
              <w:snapToGrid w:val="0"/>
              <w:spacing w:line="240" w:lineRule="atLeast"/>
              <w:jc w:val="center"/>
              <w:rPr>
                <w:rFonts w:hint="eastAsia" w:ascii="仿宋" w:hAnsi="仿宋" w:eastAsia="仿宋" w:cs="仿宋"/>
                <w:sz w:val="24"/>
                <w:szCs w:val="24"/>
                <w:lang w:eastAsia="zh-TW"/>
              </w:rPr>
            </w:pPr>
          </w:p>
        </w:tc>
        <w:tc>
          <w:tcPr>
            <w:tcW w:w="1134" w:type="dxa"/>
            <w:gridSpan w:val="2"/>
            <w:tcBorders>
              <w:bottom w:val="single" w:color="auto" w:sz="4" w:space="0"/>
            </w:tcBorders>
            <w:noWrap w:val="0"/>
            <w:vAlign w:val="center"/>
          </w:tcPr>
          <w:p w14:paraId="081DACB7">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课程目标1（10%）</w:t>
            </w:r>
          </w:p>
        </w:tc>
        <w:tc>
          <w:tcPr>
            <w:tcW w:w="3076" w:type="dxa"/>
            <w:gridSpan w:val="5"/>
            <w:tcBorders>
              <w:bottom w:val="single" w:color="auto" w:sz="4" w:space="0"/>
              <w:right w:val="single" w:color="000000" w:sz="4" w:space="0"/>
            </w:tcBorders>
            <w:noWrap w:val="0"/>
            <w:vAlign w:val="center"/>
          </w:tcPr>
          <w:p w14:paraId="60E84111">
            <w:pPr>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rPr>
              <w:t>认同教师工作的意义和专业性，热爱小学教师职业，为即将成为小学教师而感到自豪。</w:t>
            </w:r>
          </w:p>
        </w:tc>
        <w:tc>
          <w:tcPr>
            <w:tcW w:w="1035" w:type="dxa"/>
            <w:gridSpan w:val="2"/>
            <w:tcBorders>
              <w:left w:val="single" w:color="000000" w:sz="4" w:space="0"/>
              <w:bottom w:val="single" w:color="auto" w:sz="4" w:space="0"/>
              <w:right w:val="single" w:color="auto" w:sz="4" w:space="0"/>
            </w:tcBorders>
            <w:noWrap w:val="0"/>
            <w:vAlign w:val="center"/>
          </w:tcPr>
          <w:p w14:paraId="7B604B0F">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2</w:t>
            </w:r>
          </w:p>
        </w:tc>
        <w:tc>
          <w:tcPr>
            <w:tcW w:w="717" w:type="dxa"/>
            <w:gridSpan w:val="3"/>
            <w:tcBorders>
              <w:left w:val="single" w:color="000000" w:sz="4" w:space="0"/>
              <w:bottom w:val="single" w:color="auto" w:sz="4" w:space="0"/>
              <w:right w:val="single" w:color="auto" w:sz="4" w:space="0"/>
            </w:tcBorders>
            <w:noWrap w:val="0"/>
            <w:vAlign w:val="center"/>
          </w:tcPr>
          <w:p w14:paraId="2B5ED21E">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2</w:t>
            </w:r>
          </w:p>
        </w:tc>
        <w:tc>
          <w:tcPr>
            <w:tcW w:w="1174" w:type="dxa"/>
            <w:gridSpan w:val="2"/>
            <w:tcBorders>
              <w:left w:val="single" w:color="000000" w:sz="4" w:space="0"/>
              <w:bottom w:val="single" w:color="auto" w:sz="4" w:space="0"/>
              <w:right w:val="single" w:color="auto" w:sz="4" w:space="0"/>
            </w:tcBorders>
            <w:noWrap w:val="0"/>
            <w:vAlign w:val="center"/>
          </w:tcPr>
          <w:p w14:paraId="3500F853">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6</w:t>
            </w:r>
          </w:p>
        </w:tc>
        <w:tc>
          <w:tcPr>
            <w:tcW w:w="589" w:type="dxa"/>
            <w:tcBorders>
              <w:left w:val="single" w:color="auto" w:sz="4" w:space="0"/>
              <w:bottom w:val="single" w:color="auto" w:sz="4" w:space="0"/>
            </w:tcBorders>
            <w:noWrap w:val="0"/>
            <w:vAlign w:val="center"/>
          </w:tcPr>
          <w:p w14:paraId="37B9D053">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0.75</w:t>
            </w:r>
          </w:p>
        </w:tc>
      </w:tr>
      <w:tr w14:paraId="3FB48DEE">
        <w:trPr>
          <w:trHeight w:val="745" w:hRule="atLeast"/>
        </w:trPr>
        <w:tc>
          <w:tcPr>
            <w:tcW w:w="1423" w:type="dxa"/>
            <w:vMerge w:val="continue"/>
            <w:noWrap w:val="0"/>
            <w:vAlign w:val="center"/>
          </w:tcPr>
          <w:p w14:paraId="20A15BD3">
            <w:pPr>
              <w:adjustRightInd w:val="0"/>
              <w:snapToGrid w:val="0"/>
              <w:spacing w:line="240" w:lineRule="atLeast"/>
              <w:jc w:val="center"/>
              <w:rPr>
                <w:rFonts w:hint="eastAsia" w:ascii="仿宋" w:hAnsi="仿宋" w:eastAsia="仿宋" w:cs="仿宋"/>
                <w:sz w:val="24"/>
                <w:szCs w:val="24"/>
                <w:lang w:eastAsia="zh-TW"/>
              </w:rPr>
            </w:pPr>
          </w:p>
        </w:tc>
        <w:tc>
          <w:tcPr>
            <w:tcW w:w="1134" w:type="dxa"/>
            <w:gridSpan w:val="2"/>
            <w:noWrap w:val="0"/>
            <w:vAlign w:val="center"/>
          </w:tcPr>
          <w:p w14:paraId="3FCE9B80">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课程目标2（</w:t>
            </w:r>
            <w:r>
              <w:rPr>
                <w:rFonts w:hint="eastAsia" w:ascii="仿宋" w:hAnsi="仿宋" w:eastAsia="仿宋" w:cs="仿宋"/>
                <w:kern w:val="0"/>
                <w:sz w:val="24"/>
                <w:szCs w:val="24"/>
                <w:lang w:val="en-US" w:eastAsia="zh-CN"/>
              </w:rPr>
              <w:t>30</w:t>
            </w:r>
            <w:r>
              <w:rPr>
                <w:rFonts w:hint="eastAsia" w:ascii="仿宋" w:hAnsi="仿宋" w:eastAsia="仿宋" w:cs="仿宋"/>
                <w:kern w:val="0"/>
                <w:sz w:val="24"/>
                <w:szCs w:val="24"/>
              </w:rPr>
              <w:t>%）</w:t>
            </w:r>
          </w:p>
        </w:tc>
        <w:tc>
          <w:tcPr>
            <w:tcW w:w="3076" w:type="dxa"/>
            <w:gridSpan w:val="5"/>
            <w:tcBorders>
              <w:right w:val="single" w:color="000000" w:sz="4" w:space="0"/>
            </w:tcBorders>
            <w:noWrap w:val="0"/>
            <w:vAlign w:val="center"/>
          </w:tcPr>
          <w:p w14:paraId="2A3B2874">
            <w:pPr>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rPr>
              <w:t>能运用准确、规范的教学书写符号实施有效的板书教学，批改学生作业。</w:t>
            </w:r>
          </w:p>
        </w:tc>
        <w:tc>
          <w:tcPr>
            <w:tcW w:w="1035" w:type="dxa"/>
            <w:gridSpan w:val="2"/>
            <w:tcBorders>
              <w:left w:val="single" w:color="000000" w:sz="4" w:space="0"/>
            </w:tcBorders>
            <w:noWrap w:val="0"/>
            <w:vAlign w:val="center"/>
          </w:tcPr>
          <w:p w14:paraId="166C071E">
            <w:pPr>
              <w:tabs>
                <w:tab w:val="left" w:pos="720"/>
              </w:tabs>
              <w:adjustRightInd w:val="0"/>
              <w:snapToGrid w:val="0"/>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6</w:t>
            </w:r>
          </w:p>
        </w:tc>
        <w:tc>
          <w:tcPr>
            <w:tcW w:w="717" w:type="dxa"/>
            <w:gridSpan w:val="3"/>
            <w:tcBorders>
              <w:left w:val="single" w:color="000000" w:sz="4" w:space="0"/>
              <w:bottom w:val="single" w:color="000000" w:sz="4" w:space="0"/>
            </w:tcBorders>
            <w:noWrap w:val="0"/>
            <w:vAlign w:val="center"/>
          </w:tcPr>
          <w:p w14:paraId="2C32870C">
            <w:pPr>
              <w:tabs>
                <w:tab w:val="left" w:pos="720"/>
              </w:tabs>
              <w:adjustRightInd w:val="0"/>
              <w:snapToGrid w:val="0"/>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6</w:t>
            </w:r>
          </w:p>
        </w:tc>
        <w:tc>
          <w:tcPr>
            <w:tcW w:w="1174" w:type="dxa"/>
            <w:gridSpan w:val="2"/>
            <w:tcBorders>
              <w:left w:val="single" w:color="000000" w:sz="4" w:space="0"/>
              <w:bottom w:val="single" w:color="000000" w:sz="4" w:space="0"/>
              <w:right w:val="single" w:color="000000" w:sz="4" w:space="0"/>
            </w:tcBorders>
            <w:noWrap w:val="0"/>
            <w:vAlign w:val="center"/>
          </w:tcPr>
          <w:p w14:paraId="63E753FB">
            <w:pPr>
              <w:tabs>
                <w:tab w:val="left" w:pos="720"/>
              </w:tabs>
              <w:adjustRightInd w:val="0"/>
              <w:snapToGrid w:val="0"/>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18</w:t>
            </w:r>
          </w:p>
        </w:tc>
        <w:tc>
          <w:tcPr>
            <w:tcW w:w="589" w:type="dxa"/>
            <w:tcBorders>
              <w:left w:val="single" w:color="000000" w:sz="4" w:space="0"/>
              <w:bottom w:val="single" w:color="000000" w:sz="4" w:space="0"/>
            </w:tcBorders>
            <w:noWrap w:val="0"/>
            <w:vAlign w:val="center"/>
          </w:tcPr>
          <w:p w14:paraId="55C3FD02">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0.75</w:t>
            </w:r>
          </w:p>
        </w:tc>
      </w:tr>
      <w:tr w14:paraId="2E857128">
        <w:trPr>
          <w:trHeight w:val="515" w:hRule="atLeast"/>
        </w:trPr>
        <w:tc>
          <w:tcPr>
            <w:tcW w:w="1423" w:type="dxa"/>
            <w:vMerge w:val="continue"/>
            <w:noWrap w:val="0"/>
            <w:vAlign w:val="center"/>
          </w:tcPr>
          <w:p w14:paraId="5C09B532">
            <w:pPr>
              <w:adjustRightInd w:val="0"/>
              <w:snapToGrid w:val="0"/>
              <w:spacing w:line="240" w:lineRule="atLeast"/>
              <w:jc w:val="center"/>
              <w:rPr>
                <w:rFonts w:hint="eastAsia" w:ascii="仿宋" w:hAnsi="仿宋" w:eastAsia="仿宋" w:cs="仿宋"/>
                <w:sz w:val="24"/>
                <w:szCs w:val="24"/>
                <w:lang w:eastAsia="zh-TW"/>
              </w:rPr>
            </w:pPr>
          </w:p>
        </w:tc>
        <w:tc>
          <w:tcPr>
            <w:tcW w:w="1134" w:type="dxa"/>
            <w:gridSpan w:val="2"/>
            <w:tcBorders>
              <w:bottom w:val="single" w:color="auto" w:sz="4" w:space="0"/>
            </w:tcBorders>
            <w:noWrap w:val="0"/>
            <w:vAlign w:val="center"/>
          </w:tcPr>
          <w:p w14:paraId="5787E54B">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课程目标3（</w:t>
            </w:r>
            <w:r>
              <w:rPr>
                <w:rFonts w:hint="eastAsia" w:ascii="仿宋" w:hAnsi="仿宋" w:eastAsia="仿宋" w:cs="仿宋"/>
                <w:kern w:val="0"/>
                <w:sz w:val="24"/>
                <w:szCs w:val="24"/>
                <w:lang w:val="en-US" w:eastAsia="zh-CN"/>
              </w:rPr>
              <w:t>6</w:t>
            </w:r>
            <w:r>
              <w:rPr>
                <w:rFonts w:hint="eastAsia" w:ascii="仿宋" w:hAnsi="仿宋" w:eastAsia="仿宋" w:cs="仿宋"/>
                <w:kern w:val="0"/>
                <w:sz w:val="24"/>
                <w:szCs w:val="24"/>
              </w:rPr>
              <w:t>0%）</w:t>
            </w:r>
          </w:p>
        </w:tc>
        <w:tc>
          <w:tcPr>
            <w:tcW w:w="3076" w:type="dxa"/>
            <w:gridSpan w:val="5"/>
            <w:tcBorders>
              <w:bottom w:val="single" w:color="auto" w:sz="4" w:space="0"/>
              <w:right w:val="single" w:color="000000" w:sz="4" w:space="0"/>
            </w:tcBorders>
            <w:noWrap w:val="0"/>
            <w:vAlign w:val="center"/>
          </w:tcPr>
          <w:p w14:paraId="341CAE64">
            <w:pPr>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rPr>
              <w:t>具有较好的人文社会与学科素养，具有较为扎实的硬笔书写基本技能。</w:t>
            </w:r>
          </w:p>
        </w:tc>
        <w:tc>
          <w:tcPr>
            <w:tcW w:w="1035" w:type="dxa"/>
            <w:gridSpan w:val="2"/>
            <w:tcBorders>
              <w:left w:val="single" w:color="000000" w:sz="4" w:space="0"/>
              <w:bottom w:val="single" w:color="auto" w:sz="4" w:space="0"/>
            </w:tcBorders>
            <w:noWrap w:val="0"/>
            <w:vAlign w:val="center"/>
          </w:tcPr>
          <w:p w14:paraId="2D747966">
            <w:pPr>
              <w:tabs>
                <w:tab w:val="left" w:pos="720"/>
              </w:tabs>
              <w:adjustRightInd w:val="0"/>
              <w:snapToGrid w:val="0"/>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12</w:t>
            </w:r>
          </w:p>
        </w:tc>
        <w:tc>
          <w:tcPr>
            <w:tcW w:w="717" w:type="dxa"/>
            <w:gridSpan w:val="3"/>
            <w:tcBorders>
              <w:top w:val="single" w:color="000000" w:sz="4" w:space="0"/>
              <w:left w:val="single" w:color="000000" w:sz="4" w:space="0"/>
              <w:bottom w:val="single" w:color="auto" w:sz="4" w:space="0"/>
            </w:tcBorders>
            <w:noWrap w:val="0"/>
            <w:vAlign w:val="center"/>
          </w:tcPr>
          <w:p w14:paraId="4AD6F5B7">
            <w:pPr>
              <w:tabs>
                <w:tab w:val="left" w:pos="720"/>
              </w:tabs>
              <w:adjustRightInd w:val="0"/>
              <w:snapToGrid w:val="0"/>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12</w:t>
            </w:r>
          </w:p>
        </w:tc>
        <w:tc>
          <w:tcPr>
            <w:tcW w:w="1174" w:type="dxa"/>
            <w:gridSpan w:val="2"/>
            <w:tcBorders>
              <w:top w:val="single" w:color="000000" w:sz="4" w:space="0"/>
              <w:left w:val="single" w:color="000000" w:sz="4" w:space="0"/>
              <w:bottom w:val="single" w:color="auto" w:sz="4" w:space="0"/>
              <w:right w:val="single" w:color="000000" w:sz="4" w:space="0"/>
            </w:tcBorders>
            <w:noWrap w:val="0"/>
            <w:vAlign w:val="center"/>
          </w:tcPr>
          <w:p w14:paraId="27AD7764">
            <w:pPr>
              <w:tabs>
                <w:tab w:val="left" w:pos="720"/>
              </w:tabs>
              <w:adjustRightInd w:val="0"/>
              <w:snapToGrid w:val="0"/>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36</w:t>
            </w:r>
          </w:p>
        </w:tc>
        <w:tc>
          <w:tcPr>
            <w:tcW w:w="589" w:type="dxa"/>
            <w:tcBorders>
              <w:top w:val="single" w:color="000000" w:sz="4" w:space="0"/>
              <w:left w:val="single" w:color="000000" w:sz="4" w:space="0"/>
              <w:bottom w:val="single" w:color="auto" w:sz="4" w:space="0"/>
            </w:tcBorders>
            <w:noWrap w:val="0"/>
            <w:vAlign w:val="center"/>
          </w:tcPr>
          <w:p w14:paraId="31A6567E">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0.75</w:t>
            </w:r>
          </w:p>
        </w:tc>
      </w:tr>
      <w:tr w14:paraId="46F6E65D">
        <w:trPr>
          <w:trHeight w:val="515" w:hRule="atLeast"/>
        </w:trPr>
        <w:tc>
          <w:tcPr>
            <w:tcW w:w="1423" w:type="dxa"/>
            <w:vMerge w:val="continue"/>
            <w:noWrap w:val="0"/>
            <w:vAlign w:val="center"/>
          </w:tcPr>
          <w:p w14:paraId="7D2B773C">
            <w:pPr>
              <w:adjustRightInd w:val="0"/>
              <w:snapToGrid w:val="0"/>
              <w:spacing w:line="240" w:lineRule="atLeast"/>
              <w:jc w:val="center"/>
              <w:rPr>
                <w:rFonts w:hint="eastAsia" w:ascii="仿宋" w:hAnsi="仿宋" w:eastAsia="仿宋" w:cs="仿宋"/>
                <w:sz w:val="24"/>
                <w:szCs w:val="24"/>
                <w:lang w:eastAsia="zh-TW"/>
              </w:rPr>
            </w:pPr>
          </w:p>
        </w:tc>
        <w:tc>
          <w:tcPr>
            <w:tcW w:w="4210" w:type="dxa"/>
            <w:gridSpan w:val="7"/>
            <w:tcBorders>
              <w:bottom w:val="single" w:color="auto" w:sz="4" w:space="0"/>
              <w:right w:val="single" w:color="000000" w:sz="4" w:space="0"/>
            </w:tcBorders>
            <w:noWrap w:val="0"/>
            <w:vAlign w:val="center"/>
          </w:tcPr>
          <w:p w14:paraId="4F9DBB8D">
            <w:pPr>
              <w:widowControl/>
              <w:autoSpaceDE w:val="0"/>
              <w:autoSpaceDN w:val="0"/>
              <w:adjustRightInd w:val="0"/>
              <w:snapToGrid w:val="0"/>
              <w:jc w:val="center"/>
              <w:textAlignment w:val="bottom"/>
              <w:rPr>
                <w:rFonts w:hint="eastAsia" w:ascii="仿宋" w:hAnsi="仿宋" w:eastAsia="仿宋" w:cs="仿宋"/>
                <w:sz w:val="24"/>
                <w:szCs w:val="24"/>
              </w:rPr>
            </w:pPr>
            <w:r>
              <w:rPr>
                <w:rFonts w:hint="eastAsia" w:ascii="仿宋" w:hAnsi="仿宋" w:eastAsia="仿宋" w:cs="仿宋"/>
                <w:sz w:val="24"/>
                <w:szCs w:val="24"/>
              </w:rPr>
              <w:t>总分</w:t>
            </w:r>
          </w:p>
        </w:tc>
        <w:tc>
          <w:tcPr>
            <w:tcW w:w="1035" w:type="dxa"/>
            <w:gridSpan w:val="2"/>
            <w:tcBorders>
              <w:left w:val="single" w:color="000000" w:sz="4" w:space="0"/>
              <w:bottom w:val="single" w:color="auto" w:sz="4" w:space="0"/>
              <w:right w:val="single" w:color="000000" w:sz="4" w:space="0"/>
            </w:tcBorders>
            <w:noWrap w:val="0"/>
            <w:vAlign w:val="center"/>
          </w:tcPr>
          <w:p w14:paraId="1D45E5C4">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20</w:t>
            </w:r>
          </w:p>
        </w:tc>
        <w:tc>
          <w:tcPr>
            <w:tcW w:w="717" w:type="dxa"/>
            <w:gridSpan w:val="3"/>
            <w:tcBorders>
              <w:top w:val="single" w:color="000000" w:sz="4" w:space="0"/>
              <w:left w:val="single" w:color="000000" w:sz="4" w:space="0"/>
              <w:bottom w:val="single" w:color="auto" w:sz="4" w:space="0"/>
            </w:tcBorders>
            <w:noWrap w:val="0"/>
            <w:vAlign w:val="center"/>
          </w:tcPr>
          <w:p w14:paraId="4030DEEE">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20</w:t>
            </w:r>
          </w:p>
        </w:tc>
        <w:tc>
          <w:tcPr>
            <w:tcW w:w="1174" w:type="dxa"/>
            <w:gridSpan w:val="2"/>
            <w:tcBorders>
              <w:top w:val="single" w:color="000000" w:sz="4" w:space="0"/>
              <w:left w:val="single" w:color="000000" w:sz="4" w:space="0"/>
              <w:bottom w:val="single" w:color="auto" w:sz="4" w:space="0"/>
              <w:right w:val="single" w:color="000000" w:sz="4" w:space="0"/>
            </w:tcBorders>
            <w:noWrap w:val="0"/>
            <w:vAlign w:val="center"/>
          </w:tcPr>
          <w:p w14:paraId="341D4213">
            <w:pPr>
              <w:tabs>
                <w:tab w:val="left" w:pos="720"/>
              </w:tabs>
              <w:adjustRightInd w:val="0"/>
              <w:snapToGrid w:val="0"/>
              <w:jc w:val="center"/>
              <w:rPr>
                <w:rFonts w:hint="eastAsia" w:ascii="仿宋" w:hAnsi="仿宋" w:eastAsia="仿宋" w:cs="仿宋"/>
                <w:kern w:val="0"/>
                <w:sz w:val="24"/>
                <w:szCs w:val="24"/>
              </w:rPr>
            </w:pPr>
            <w:r>
              <w:rPr>
                <w:rFonts w:ascii="仿宋" w:hAnsi="仿宋" w:eastAsia="仿宋" w:cs="仿宋"/>
                <w:kern w:val="0"/>
                <w:sz w:val="24"/>
                <w:szCs w:val="24"/>
              </w:rPr>
              <w:t>6</w:t>
            </w:r>
            <w:r>
              <w:rPr>
                <w:rFonts w:hint="eastAsia" w:ascii="仿宋" w:hAnsi="仿宋" w:eastAsia="仿宋" w:cs="仿宋"/>
                <w:kern w:val="0"/>
                <w:sz w:val="24"/>
                <w:szCs w:val="24"/>
              </w:rPr>
              <w:t>0</w:t>
            </w:r>
          </w:p>
        </w:tc>
        <w:tc>
          <w:tcPr>
            <w:tcW w:w="589" w:type="dxa"/>
            <w:tcBorders>
              <w:top w:val="single" w:color="000000" w:sz="4" w:space="0"/>
              <w:left w:val="single" w:color="000000" w:sz="4" w:space="0"/>
              <w:bottom w:val="single" w:color="auto" w:sz="4" w:space="0"/>
            </w:tcBorders>
            <w:noWrap w:val="0"/>
            <w:vAlign w:val="center"/>
          </w:tcPr>
          <w:p w14:paraId="6FBA47AB">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0.75</w:t>
            </w:r>
          </w:p>
        </w:tc>
      </w:tr>
      <w:tr w14:paraId="328BCBA6">
        <w:tc>
          <w:tcPr>
            <w:tcW w:w="1423" w:type="dxa"/>
            <w:noWrap w:val="0"/>
            <w:vAlign w:val="center"/>
          </w:tcPr>
          <w:p w14:paraId="188BB7B9">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L</w:t>
            </w:r>
          </w:p>
          <w:p w14:paraId="13240D9C">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学习建议</w:t>
            </w:r>
          </w:p>
        </w:tc>
        <w:tc>
          <w:tcPr>
            <w:tcW w:w="7725" w:type="dxa"/>
            <w:gridSpan w:val="15"/>
            <w:tcBorders>
              <w:bottom w:val="single" w:color="auto" w:sz="4" w:space="0"/>
            </w:tcBorders>
            <w:noWrap w:val="0"/>
            <w:vAlign w:val="center"/>
          </w:tcPr>
          <w:p w14:paraId="150B2B21">
            <w:pPr>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rPr>
              <w:t>1.自主学习。建议学生通过预习教材，并通过网络学习资源，独立规划自己的课程学习计划，坚持粉笔字的课外练习，充分发挥自身的学习能动性。</w:t>
            </w:r>
          </w:p>
          <w:p w14:paraId="2DAE1F01">
            <w:pPr>
              <w:adjustRightInd w:val="0"/>
              <w:snapToGrid w:val="0"/>
              <w:rPr>
                <w:rFonts w:hint="eastAsia" w:ascii="仿宋" w:hAnsi="仿宋" w:eastAsia="仿宋" w:cs="仿宋"/>
                <w:kern w:val="0"/>
                <w:sz w:val="24"/>
                <w:szCs w:val="24"/>
              </w:rPr>
            </w:pPr>
            <w:r>
              <w:rPr>
                <w:rFonts w:hint="eastAsia" w:ascii="仿宋" w:hAnsi="仿宋" w:eastAsia="仿宋" w:cs="仿宋"/>
                <w:bCs/>
                <w:color w:val="000000"/>
                <w:sz w:val="24"/>
                <w:szCs w:val="24"/>
              </w:rPr>
              <w:t>2.实践性学习。鼓励学生针对课程教学内容，尝试通过实习、见习的机会，有意识地训练自己的粉笔字，为将来走向讲台打下坚实的基础。</w:t>
            </w:r>
          </w:p>
        </w:tc>
      </w:tr>
      <w:tr w14:paraId="24829077">
        <w:trPr>
          <w:trHeight w:val="454" w:hRule="atLeast"/>
        </w:trPr>
        <w:tc>
          <w:tcPr>
            <w:tcW w:w="1423" w:type="dxa"/>
            <w:noWrap w:val="0"/>
            <w:vAlign w:val="center"/>
          </w:tcPr>
          <w:p w14:paraId="1D3718CB">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M</w:t>
            </w:r>
          </w:p>
          <w:p w14:paraId="249B99F1">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评分量表</w:t>
            </w:r>
          </w:p>
        </w:tc>
        <w:tc>
          <w:tcPr>
            <w:tcW w:w="7725" w:type="dxa"/>
            <w:gridSpan w:val="15"/>
            <w:noWrap w:val="0"/>
            <w:vAlign w:val="center"/>
          </w:tcPr>
          <w:p w14:paraId="5F49C08F">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color w:val="000000"/>
                <w:kern w:val="0"/>
                <w:sz w:val="24"/>
                <w:szCs w:val="24"/>
              </w:rPr>
              <w:t>《</w:t>
            </w:r>
            <w:r>
              <w:rPr>
                <w:rFonts w:hint="eastAsia" w:ascii="仿宋" w:hAnsi="仿宋" w:eastAsia="仿宋" w:cs="仿宋"/>
                <w:color w:val="000000"/>
                <w:sz w:val="24"/>
                <w:szCs w:val="24"/>
              </w:rPr>
              <w:t>书写技能2</w:t>
            </w:r>
            <w:r>
              <w:rPr>
                <w:rFonts w:hint="eastAsia" w:ascii="仿宋" w:hAnsi="仿宋" w:eastAsia="仿宋" w:cs="仿宋"/>
                <w:color w:val="000000"/>
                <w:kern w:val="0"/>
                <w:sz w:val="24"/>
                <w:szCs w:val="24"/>
              </w:rPr>
              <w:t>》课程目标评分量表见附表。</w:t>
            </w:r>
          </w:p>
        </w:tc>
      </w:tr>
      <w:tr w14:paraId="72D3261E">
        <w:trPr>
          <w:trHeight w:val="454" w:hRule="atLeast"/>
        </w:trPr>
        <w:tc>
          <w:tcPr>
            <w:tcW w:w="1423" w:type="dxa"/>
            <w:noWrap w:val="0"/>
            <w:vAlign w:val="center"/>
          </w:tcPr>
          <w:p w14:paraId="73B21F51">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备注</w:t>
            </w:r>
          </w:p>
        </w:tc>
        <w:tc>
          <w:tcPr>
            <w:tcW w:w="7725" w:type="dxa"/>
            <w:gridSpan w:val="15"/>
            <w:noWrap w:val="0"/>
            <w:vAlign w:val="center"/>
          </w:tcPr>
          <w:p w14:paraId="79C53E81">
            <w:pPr>
              <w:adjustRightInd w:val="0"/>
              <w:snapToGrid w:val="0"/>
              <w:rPr>
                <w:rFonts w:hint="eastAsia" w:ascii="仿宋" w:hAnsi="仿宋" w:eastAsia="仿宋" w:cs="仿宋"/>
                <w:sz w:val="24"/>
                <w:szCs w:val="24"/>
              </w:rPr>
            </w:pPr>
            <w:r>
              <w:rPr>
                <w:rFonts w:hint="eastAsia" w:ascii="仿宋" w:hAnsi="仿宋" w:eastAsia="仿宋" w:cs="仿宋"/>
                <w:sz w:val="24"/>
                <w:szCs w:val="24"/>
              </w:rPr>
              <w:t>课程大纲A—M项由开课学院审批通过，任课教师不能自行更改。</w:t>
            </w:r>
          </w:p>
          <w:p w14:paraId="24176268">
            <w:pPr>
              <w:adjustRightInd w:val="0"/>
              <w:snapToGrid w:val="0"/>
              <w:rPr>
                <w:rFonts w:hint="eastAsia" w:ascii="仿宋" w:hAnsi="仿宋" w:eastAsia="仿宋" w:cs="仿宋"/>
                <w:kern w:val="0"/>
                <w:sz w:val="24"/>
                <w:szCs w:val="24"/>
              </w:rPr>
            </w:pPr>
          </w:p>
        </w:tc>
      </w:tr>
      <w:tr w14:paraId="4139ED82">
        <w:trPr>
          <w:trHeight w:val="3782" w:hRule="atLeast"/>
        </w:trPr>
        <w:tc>
          <w:tcPr>
            <w:tcW w:w="1423" w:type="dxa"/>
            <w:noWrap w:val="0"/>
            <w:vAlign w:val="center"/>
          </w:tcPr>
          <w:p w14:paraId="4073F9E7">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审批</w:t>
            </w:r>
          </w:p>
          <w:p w14:paraId="5FD23041">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意见</w:t>
            </w:r>
          </w:p>
        </w:tc>
        <w:tc>
          <w:tcPr>
            <w:tcW w:w="3822" w:type="dxa"/>
            <w:gridSpan w:val="5"/>
            <w:noWrap w:val="0"/>
            <w:vAlign w:val="center"/>
          </w:tcPr>
          <w:p w14:paraId="415AE0B2">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课程教学大纲修订负责人及教学团队成员</w:t>
            </w:r>
            <w:r>
              <w:rPr>
                <w:rFonts w:hint="eastAsia" w:ascii="仿宋" w:hAnsi="仿宋" w:eastAsia="仿宋" w:cs="仿宋"/>
                <w:sz w:val="24"/>
                <w:szCs w:val="24"/>
              </w:rPr>
              <w:t>签名</w:t>
            </w:r>
            <w:r>
              <w:rPr>
                <w:rFonts w:hint="eastAsia" w:ascii="仿宋" w:hAnsi="仿宋" w:eastAsia="仿宋" w:cs="仿宋"/>
                <w:kern w:val="0"/>
                <w:sz w:val="24"/>
                <w:szCs w:val="24"/>
              </w:rPr>
              <w:t xml:space="preserve">： </w:t>
            </w:r>
          </w:p>
          <w:p w14:paraId="4BB7A2EB">
            <w:pPr>
              <w:widowControl/>
              <w:adjustRightInd w:val="0"/>
              <w:snapToGrid w:val="0"/>
              <w:jc w:val="left"/>
              <w:rPr>
                <w:rFonts w:hint="eastAsia" w:ascii="仿宋" w:hAnsi="仿宋" w:eastAsia="仿宋" w:cs="仿宋"/>
                <w:kern w:val="0"/>
                <w:sz w:val="24"/>
                <w:szCs w:val="24"/>
              </w:rPr>
            </w:pPr>
          </w:p>
          <w:p w14:paraId="5FAEC51A">
            <w:pPr>
              <w:widowControl/>
              <w:adjustRightInd w:val="0"/>
              <w:snapToGrid w:val="0"/>
              <w:jc w:val="left"/>
              <w:rPr>
                <w:rFonts w:hint="eastAsia" w:ascii="仿宋" w:hAnsi="仿宋" w:eastAsia="仿宋" w:cs="仿宋"/>
                <w:kern w:val="0"/>
                <w:sz w:val="24"/>
                <w:szCs w:val="24"/>
              </w:rPr>
            </w:pPr>
          </w:p>
          <w:p w14:paraId="287EABC8">
            <w:pPr>
              <w:widowControl/>
              <w:adjustRightInd w:val="0"/>
              <w:snapToGrid w:val="0"/>
              <w:jc w:val="left"/>
              <w:rPr>
                <w:rFonts w:hint="eastAsia" w:ascii="仿宋" w:hAnsi="仿宋" w:eastAsia="仿宋" w:cs="仿宋"/>
                <w:kern w:val="0"/>
                <w:sz w:val="24"/>
                <w:szCs w:val="24"/>
              </w:rPr>
            </w:pPr>
            <w:r>
              <w:drawing>
                <wp:inline distT="0" distB="0" distL="114300" distR="114300">
                  <wp:extent cx="1533525" cy="677545"/>
                  <wp:effectExtent l="0" t="0" r="15875" b="8255"/>
                  <wp:docPr id="15"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2"/>
                          <pic:cNvPicPr>
                            <a:picLocks noChangeAspect="1"/>
                          </pic:cNvPicPr>
                        </pic:nvPicPr>
                        <pic:blipFill>
                          <a:blip r:embed="rId156"/>
                          <a:stretch>
                            <a:fillRect/>
                          </a:stretch>
                        </pic:blipFill>
                        <pic:spPr>
                          <a:xfrm>
                            <a:off x="0" y="0"/>
                            <a:ext cx="1533525" cy="677545"/>
                          </a:xfrm>
                          <a:prstGeom prst="rect">
                            <a:avLst/>
                          </a:prstGeom>
                          <a:noFill/>
                          <a:ln>
                            <a:noFill/>
                          </a:ln>
                        </pic:spPr>
                      </pic:pic>
                    </a:graphicData>
                  </a:graphic>
                </wp:inline>
              </w:drawing>
            </w:r>
          </w:p>
          <w:p w14:paraId="0F38ACC6">
            <w:pPr>
              <w:widowControl/>
              <w:adjustRightInd w:val="0"/>
              <w:snapToGrid w:val="0"/>
              <w:jc w:val="left"/>
              <w:rPr>
                <w:rFonts w:hint="eastAsia" w:ascii="仿宋" w:hAnsi="仿宋" w:eastAsia="仿宋" w:cs="仿宋"/>
                <w:kern w:val="0"/>
                <w:sz w:val="24"/>
                <w:szCs w:val="24"/>
              </w:rPr>
            </w:pPr>
          </w:p>
          <w:p w14:paraId="64B27ACB">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 xml:space="preserve">                                                   年</w:t>
            </w:r>
            <w:r>
              <w:rPr>
                <w:rFonts w:ascii="仿宋" w:hAnsi="仿宋" w:eastAsia="仿宋" w:cs="仿宋"/>
                <w:kern w:val="0"/>
                <w:sz w:val="24"/>
                <w:szCs w:val="24"/>
              </w:rPr>
              <w:t xml:space="preserve">  </w:t>
            </w:r>
            <w:r>
              <w:rPr>
                <w:rFonts w:hint="eastAsia" w:ascii="仿宋" w:hAnsi="仿宋" w:eastAsia="仿宋" w:cs="仿宋"/>
                <w:kern w:val="0"/>
                <w:sz w:val="24"/>
                <w:szCs w:val="24"/>
              </w:rPr>
              <w:t>月</w:t>
            </w:r>
            <w:r>
              <w:rPr>
                <w:rFonts w:ascii="仿宋" w:hAnsi="仿宋" w:eastAsia="仿宋" w:cs="仿宋"/>
                <w:kern w:val="0"/>
                <w:sz w:val="24"/>
                <w:szCs w:val="24"/>
              </w:rPr>
              <w:t xml:space="preserve">  </w:t>
            </w:r>
            <w:r>
              <w:rPr>
                <w:rFonts w:hint="eastAsia" w:ascii="仿宋" w:hAnsi="仿宋" w:eastAsia="仿宋" w:cs="仿宋"/>
                <w:kern w:val="0"/>
                <w:sz w:val="24"/>
                <w:szCs w:val="24"/>
              </w:rPr>
              <w:t xml:space="preserve">日 </w:t>
            </w:r>
          </w:p>
          <w:p w14:paraId="7CE84BFB">
            <w:pPr>
              <w:widowControl/>
              <w:adjustRightInd w:val="0"/>
              <w:snapToGrid w:val="0"/>
              <w:jc w:val="right"/>
              <w:rPr>
                <w:rFonts w:hint="eastAsia" w:ascii="仿宋" w:hAnsi="仿宋" w:eastAsia="仿宋" w:cs="仿宋"/>
                <w:kern w:val="0"/>
                <w:sz w:val="24"/>
                <w:szCs w:val="24"/>
              </w:rPr>
            </w:pPr>
          </w:p>
        </w:tc>
        <w:tc>
          <w:tcPr>
            <w:tcW w:w="3903" w:type="dxa"/>
            <w:gridSpan w:val="10"/>
            <w:noWrap w:val="0"/>
            <w:vAlign w:val="center"/>
          </w:tcPr>
          <w:p w14:paraId="459F749F">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系主任审核意见：</w:t>
            </w:r>
          </w:p>
          <w:p w14:paraId="546A89C9">
            <w:pPr>
              <w:widowControl/>
              <w:adjustRightInd w:val="0"/>
              <w:snapToGrid w:val="0"/>
              <w:jc w:val="left"/>
              <w:rPr>
                <w:rFonts w:hint="eastAsia" w:ascii="仿宋" w:hAnsi="仿宋" w:eastAsia="仿宋" w:cs="仿宋"/>
                <w:kern w:val="0"/>
                <w:sz w:val="24"/>
                <w:szCs w:val="24"/>
              </w:rPr>
            </w:pPr>
          </w:p>
          <w:p w14:paraId="639A01A8">
            <w:pPr>
              <w:widowControl/>
              <w:adjustRightInd w:val="0"/>
              <w:snapToGrid w:val="0"/>
              <w:jc w:val="left"/>
              <w:rPr>
                <w:rFonts w:hint="eastAsia" w:ascii="仿宋" w:hAnsi="仿宋" w:eastAsia="仿宋" w:cs="仿宋"/>
                <w:kern w:val="0"/>
                <w:sz w:val="24"/>
                <w:szCs w:val="24"/>
              </w:rPr>
            </w:pPr>
          </w:p>
          <w:p w14:paraId="4A773562">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系主任签名：</w:t>
            </w:r>
            <w:r>
              <w:drawing>
                <wp:inline distT="0" distB="0" distL="114300" distR="114300">
                  <wp:extent cx="1238250" cy="647700"/>
                  <wp:effectExtent l="0" t="0" r="6350" b="12700"/>
                  <wp:docPr id="16"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1"/>
                          <pic:cNvPicPr>
                            <a:picLocks noChangeAspect="1"/>
                          </pic:cNvPicPr>
                        </pic:nvPicPr>
                        <pic:blipFill>
                          <a:blip r:embed="rId148"/>
                          <a:stretch>
                            <a:fillRect/>
                          </a:stretch>
                        </pic:blipFill>
                        <pic:spPr>
                          <a:xfrm>
                            <a:off x="0" y="0"/>
                            <a:ext cx="1238250" cy="647700"/>
                          </a:xfrm>
                          <a:prstGeom prst="rect">
                            <a:avLst/>
                          </a:prstGeom>
                          <a:noFill/>
                          <a:ln>
                            <a:noFill/>
                          </a:ln>
                        </pic:spPr>
                      </pic:pic>
                    </a:graphicData>
                  </a:graphic>
                </wp:inline>
              </w:drawing>
            </w:r>
          </w:p>
          <w:p w14:paraId="4F3A28DE">
            <w:pPr>
              <w:widowControl/>
              <w:adjustRightInd w:val="0"/>
              <w:snapToGrid w:val="0"/>
              <w:jc w:val="right"/>
              <w:rPr>
                <w:rFonts w:hint="eastAsia" w:ascii="仿宋" w:hAnsi="仿宋" w:eastAsia="仿宋" w:cs="仿宋"/>
                <w:kern w:val="0"/>
                <w:sz w:val="24"/>
                <w:szCs w:val="24"/>
              </w:rPr>
            </w:pPr>
          </w:p>
          <w:p w14:paraId="7770F3F4">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年   月   日</w:t>
            </w:r>
          </w:p>
          <w:p w14:paraId="2281E556">
            <w:pPr>
              <w:widowControl/>
              <w:adjustRightInd w:val="0"/>
              <w:snapToGrid w:val="0"/>
              <w:jc w:val="right"/>
              <w:rPr>
                <w:rFonts w:hint="eastAsia" w:ascii="仿宋" w:hAnsi="仿宋" w:eastAsia="仿宋" w:cs="仿宋"/>
                <w:kern w:val="0"/>
                <w:sz w:val="24"/>
                <w:szCs w:val="24"/>
              </w:rPr>
            </w:pPr>
          </w:p>
        </w:tc>
      </w:tr>
    </w:tbl>
    <w:p w14:paraId="1FBA3A90">
      <w:pPr>
        <w:pStyle w:val="185"/>
      </w:pPr>
    </w:p>
    <w:p w14:paraId="1CD7F3C5">
      <w:pPr>
        <w:adjustRightInd w:val="0"/>
        <w:snapToGrid w:val="0"/>
        <w:spacing w:line="360" w:lineRule="auto"/>
        <w:jc w:val="both"/>
        <w:rPr>
          <w:rFonts w:hint="eastAsia" w:ascii="仿宋" w:hAnsi="仿宋" w:eastAsia="仿宋" w:cs="仿宋"/>
          <w:b/>
          <w:bCs/>
          <w:sz w:val="28"/>
          <w:szCs w:val="28"/>
        </w:rPr>
      </w:pPr>
    </w:p>
    <w:p w14:paraId="618097AB">
      <w:pPr>
        <w:adjustRightInd w:val="0"/>
        <w:snapToGrid w:val="0"/>
        <w:spacing w:line="360" w:lineRule="auto"/>
        <w:jc w:val="center"/>
        <w:rPr>
          <w:rFonts w:hint="eastAsia" w:ascii="仿宋" w:eastAsia="仿宋" w:cs="仿宋"/>
          <w:b/>
          <w:bCs/>
          <w:color w:val="000000"/>
          <w:sz w:val="28"/>
          <w:szCs w:val="28"/>
        </w:rPr>
      </w:pPr>
      <w:r>
        <w:rPr>
          <w:rFonts w:hint="eastAsia" w:ascii="仿宋" w:hAnsi="仿宋" w:eastAsia="仿宋" w:cs="仿宋"/>
          <w:b/>
          <w:bCs/>
          <w:sz w:val="28"/>
          <w:szCs w:val="28"/>
        </w:rPr>
        <w:t>附表</w:t>
      </w:r>
      <w:r>
        <w:rPr>
          <w:rFonts w:hint="eastAsia" w:ascii="仿宋" w:hAnsi="仿宋" w:eastAsia="仿宋" w:cs="仿宋"/>
          <w:b/>
          <w:bCs/>
          <w:sz w:val="28"/>
          <w:szCs w:val="28"/>
          <w:lang w:eastAsia="zh-CN"/>
        </w:rPr>
        <w:t>：</w:t>
      </w:r>
      <w:r>
        <w:rPr>
          <w:rFonts w:hint="eastAsia" w:ascii="仿宋" w:eastAsia="仿宋" w:cs="仿宋"/>
          <w:b/>
          <w:bCs/>
          <w:color w:val="000000"/>
          <w:sz w:val="28"/>
          <w:szCs w:val="28"/>
        </w:rPr>
        <w:t>《</w:t>
      </w:r>
      <w:r>
        <w:rPr>
          <w:rFonts w:hint="eastAsia" w:ascii="仿宋" w:eastAsia="仿宋" w:cs="仿宋"/>
          <w:b/>
          <w:bCs/>
          <w:color w:val="000000"/>
          <w:sz w:val="28"/>
          <w:szCs w:val="28"/>
          <w:lang w:val="en-US" w:eastAsia="zh-Hans"/>
        </w:rPr>
        <w:t>书写技能</w:t>
      </w:r>
      <w:r>
        <w:rPr>
          <w:rFonts w:hint="default" w:ascii="仿宋" w:eastAsia="仿宋" w:cs="仿宋"/>
          <w:b/>
          <w:bCs/>
          <w:color w:val="000000"/>
          <w:sz w:val="28"/>
          <w:szCs w:val="28"/>
          <w:lang w:eastAsia="zh-Hans"/>
        </w:rPr>
        <w:t>2</w:t>
      </w:r>
      <w:r>
        <w:rPr>
          <w:rFonts w:hint="eastAsia" w:ascii="仿宋" w:eastAsia="仿宋" w:cs="仿宋"/>
          <w:b/>
          <w:bCs/>
          <w:color w:val="000000"/>
          <w:sz w:val="28"/>
          <w:szCs w:val="28"/>
        </w:rPr>
        <w:t>》课程目标评分量表</w:t>
      </w:r>
    </w:p>
    <w:tbl>
      <w:tblPr>
        <w:tblStyle w:val="22"/>
        <w:tblW w:w="92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28" w:type="dxa"/>
        </w:tblCellMar>
      </w:tblPr>
      <w:tblGrid>
        <w:gridCol w:w="280"/>
        <w:gridCol w:w="1493"/>
        <w:gridCol w:w="1493"/>
        <w:gridCol w:w="1493"/>
        <w:gridCol w:w="1493"/>
        <w:gridCol w:w="1493"/>
        <w:gridCol w:w="1495"/>
      </w:tblGrid>
      <w:tr w14:paraId="701604EF">
        <w:trPr>
          <w:trHeight w:val="327" w:hRule="atLeast"/>
          <w:jc w:val="center"/>
        </w:trPr>
        <w:tc>
          <w:tcPr>
            <w:tcW w:w="0" w:type="auto"/>
            <w:vMerge w:val="restart"/>
            <w:vAlign w:val="center"/>
          </w:tcPr>
          <w:p w14:paraId="3266DD9E">
            <w:pPr>
              <w:tabs>
                <w:tab w:val="left" w:pos="720"/>
              </w:tabs>
              <w:adjustRightInd w:val="0"/>
              <w:snapToGrid w:val="0"/>
              <w:spacing w:line="240" w:lineRule="atLeast"/>
              <w:jc w:val="center"/>
              <w:rPr>
                <w:rFonts w:hint="eastAsia" w:ascii="楷体" w:eastAsia="楷体" w:cs="楷体"/>
                <w:kern w:val="0"/>
                <w:sz w:val="21"/>
                <w:szCs w:val="21"/>
              </w:rPr>
            </w:pPr>
            <w:r>
              <w:rPr>
                <w:rFonts w:hint="eastAsia" w:ascii="楷体" w:eastAsia="楷体" w:cs="楷体"/>
                <w:kern w:val="0"/>
                <w:sz w:val="21"/>
                <w:szCs w:val="21"/>
              </w:rPr>
              <w:t>M</w:t>
            </w:r>
          </w:p>
          <w:p w14:paraId="43FCEDA7">
            <w:pPr>
              <w:tabs>
                <w:tab w:val="left" w:pos="720"/>
              </w:tabs>
              <w:adjustRightInd w:val="0"/>
              <w:snapToGrid w:val="0"/>
              <w:spacing w:line="240" w:lineRule="atLeast"/>
              <w:jc w:val="center"/>
              <w:rPr>
                <w:rFonts w:hint="eastAsia" w:ascii="楷体" w:eastAsia="楷体" w:cs="楷体"/>
                <w:kern w:val="0"/>
                <w:sz w:val="21"/>
                <w:szCs w:val="21"/>
              </w:rPr>
            </w:pPr>
            <w:r>
              <w:rPr>
                <w:rFonts w:hint="eastAsia" w:ascii="楷体" w:eastAsia="楷体" w:cs="楷体"/>
                <w:kern w:val="0"/>
                <w:sz w:val="21"/>
                <w:szCs w:val="21"/>
              </w:rPr>
              <w:t>评分量表</w:t>
            </w:r>
          </w:p>
        </w:tc>
        <w:tc>
          <w:tcPr>
            <w:tcW w:w="1493" w:type="dxa"/>
            <w:vAlign w:val="center"/>
          </w:tcPr>
          <w:p w14:paraId="34178E27">
            <w:pPr>
              <w:tabs>
                <w:tab w:val="left" w:pos="720"/>
              </w:tabs>
              <w:adjustRightInd w:val="0"/>
              <w:snapToGrid w:val="0"/>
              <w:spacing w:line="240" w:lineRule="atLeast"/>
              <w:jc w:val="center"/>
              <w:rPr>
                <w:rFonts w:hint="eastAsia" w:ascii="楷体" w:eastAsia="楷体" w:cs="楷体"/>
                <w:kern w:val="0"/>
                <w:sz w:val="21"/>
                <w:szCs w:val="21"/>
              </w:rPr>
            </w:pPr>
            <w:r>
              <w:rPr>
                <w:rFonts w:hint="eastAsia" w:ascii="楷体" w:eastAsia="楷体" w:cs="楷体"/>
                <w:kern w:val="0"/>
                <w:sz w:val="21"/>
                <w:szCs w:val="21"/>
              </w:rPr>
              <w:t>课程目标</w:t>
            </w:r>
          </w:p>
        </w:tc>
        <w:tc>
          <w:tcPr>
            <w:tcW w:w="1493" w:type="dxa"/>
            <w:vAlign w:val="center"/>
          </w:tcPr>
          <w:p w14:paraId="6AA98E52">
            <w:pPr>
              <w:tabs>
                <w:tab w:val="left" w:pos="720"/>
              </w:tabs>
              <w:adjustRightInd w:val="0"/>
              <w:snapToGrid w:val="0"/>
              <w:spacing w:line="240" w:lineRule="atLeast"/>
              <w:jc w:val="center"/>
              <w:rPr>
                <w:rFonts w:hint="eastAsia" w:ascii="楷体" w:eastAsia="楷体" w:cs="楷体"/>
                <w:kern w:val="0"/>
                <w:sz w:val="21"/>
                <w:szCs w:val="21"/>
              </w:rPr>
            </w:pPr>
            <w:r>
              <w:rPr>
                <w:rFonts w:hint="eastAsia" w:ascii="楷体" w:eastAsia="楷体" w:cs="楷体"/>
                <w:kern w:val="0"/>
                <w:sz w:val="21"/>
                <w:szCs w:val="21"/>
              </w:rPr>
              <w:t>优（X≧90）</w:t>
            </w:r>
          </w:p>
        </w:tc>
        <w:tc>
          <w:tcPr>
            <w:tcW w:w="1493" w:type="dxa"/>
            <w:vAlign w:val="center"/>
          </w:tcPr>
          <w:p w14:paraId="5C38EF51">
            <w:pPr>
              <w:tabs>
                <w:tab w:val="left" w:pos="720"/>
              </w:tabs>
              <w:adjustRightInd w:val="0"/>
              <w:snapToGrid w:val="0"/>
              <w:spacing w:line="240" w:lineRule="atLeast"/>
              <w:jc w:val="center"/>
              <w:rPr>
                <w:rFonts w:hint="eastAsia" w:ascii="楷体" w:eastAsia="楷体" w:cs="楷体"/>
                <w:kern w:val="0"/>
                <w:sz w:val="21"/>
                <w:szCs w:val="21"/>
              </w:rPr>
            </w:pPr>
            <w:r>
              <w:rPr>
                <w:rFonts w:hint="eastAsia" w:ascii="楷体" w:eastAsia="楷体" w:cs="楷体"/>
                <w:kern w:val="0"/>
                <w:sz w:val="21"/>
                <w:szCs w:val="21"/>
              </w:rPr>
              <w:t>良（80≦X＜90）</w:t>
            </w:r>
          </w:p>
        </w:tc>
        <w:tc>
          <w:tcPr>
            <w:tcW w:w="1493" w:type="dxa"/>
            <w:vAlign w:val="center"/>
          </w:tcPr>
          <w:p w14:paraId="601E340B">
            <w:pPr>
              <w:tabs>
                <w:tab w:val="left" w:pos="720"/>
              </w:tabs>
              <w:adjustRightInd w:val="0"/>
              <w:snapToGrid w:val="0"/>
              <w:spacing w:line="240" w:lineRule="atLeast"/>
              <w:jc w:val="center"/>
              <w:rPr>
                <w:rFonts w:hint="eastAsia" w:ascii="楷体" w:eastAsia="楷体" w:cs="楷体"/>
                <w:kern w:val="0"/>
                <w:sz w:val="21"/>
                <w:szCs w:val="21"/>
              </w:rPr>
            </w:pPr>
            <w:r>
              <w:rPr>
                <w:rFonts w:hint="eastAsia" w:ascii="楷体" w:eastAsia="楷体" w:cs="楷体"/>
                <w:kern w:val="0"/>
                <w:sz w:val="21"/>
                <w:szCs w:val="21"/>
              </w:rPr>
              <w:t>中（70≦X＜80）</w:t>
            </w:r>
          </w:p>
        </w:tc>
        <w:tc>
          <w:tcPr>
            <w:tcW w:w="1493" w:type="dxa"/>
            <w:vAlign w:val="center"/>
          </w:tcPr>
          <w:p w14:paraId="161195B6">
            <w:pPr>
              <w:tabs>
                <w:tab w:val="left" w:pos="720"/>
              </w:tabs>
              <w:adjustRightInd w:val="0"/>
              <w:snapToGrid w:val="0"/>
              <w:spacing w:line="240" w:lineRule="atLeast"/>
              <w:jc w:val="center"/>
              <w:rPr>
                <w:rFonts w:hint="eastAsia" w:ascii="楷体" w:eastAsia="楷体" w:cs="楷体"/>
                <w:kern w:val="0"/>
                <w:sz w:val="21"/>
                <w:szCs w:val="21"/>
              </w:rPr>
            </w:pPr>
            <w:r>
              <w:rPr>
                <w:rFonts w:hint="eastAsia" w:ascii="楷体" w:eastAsia="楷体" w:cs="楷体"/>
                <w:kern w:val="0"/>
                <w:sz w:val="21"/>
                <w:szCs w:val="21"/>
              </w:rPr>
              <w:t>及格（60≦X＜70）</w:t>
            </w:r>
          </w:p>
        </w:tc>
        <w:tc>
          <w:tcPr>
            <w:tcW w:w="1495" w:type="dxa"/>
            <w:vAlign w:val="center"/>
          </w:tcPr>
          <w:p w14:paraId="1E94B7E6">
            <w:pPr>
              <w:tabs>
                <w:tab w:val="left" w:pos="720"/>
              </w:tabs>
              <w:adjustRightInd w:val="0"/>
              <w:snapToGrid w:val="0"/>
              <w:spacing w:line="240" w:lineRule="atLeast"/>
              <w:jc w:val="center"/>
              <w:rPr>
                <w:rFonts w:hint="eastAsia" w:ascii="楷体" w:eastAsia="楷体" w:cs="楷体"/>
                <w:kern w:val="0"/>
                <w:sz w:val="21"/>
                <w:szCs w:val="21"/>
              </w:rPr>
            </w:pPr>
            <w:r>
              <w:rPr>
                <w:rFonts w:hint="eastAsia" w:ascii="楷体" w:eastAsia="楷体" w:cs="楷体"/>
                <w:kern w:val="0"/>
                <w:sz w:val="21"/>
                <w:szCs w:val="21"/>
              </w:rPr>
              <w:t>不及格（＜60）</w:t>
            </w:r>
          </w:p>
        </w:tc>
      </w:tr>
      <w:tr w14:paraId="5FF1FF59">
        <w:trPr>
          <w:trHeight w:val="2708" w:hRule="atLeast"/>
          <w:jc w:val="center"/>
        </w:trPr>
        <w:tc>
          <w:tcPr>
            <w:tcW w:w="0" w:type="auto"/>
            <w:vMerge w:val="continue"/>
            <w:vAlign w:val="center"/>
          </w:tcPr>
          <w:p w14:paraId="71C0AEAD">
            <w:pPr>
              <w:tabs>
                <w:tab w:val="left" w:pos="720"/>
              </w:tabs>
              <w:adjustRightInd w:val="0"/>
              <w:snapToGrid w:val="0"/>
              <w:spacing w:line="240" w:lineRule="atLeast"/>
              <w:jc w:val="center"/>
              <w:rPr>
                <w:rFonts w:hint="eastAsia" w:ascii="楷体" w:eastAsia="楷体" w:cs="楷体"/>
                <w:kern w:val="0"/>
                <w:sz w:val="21"/>
                <w:szCs w:val="21"/>
              </w:rPr>
            </w:pPr>
          </w:p>
        </w:tc>
        <w:tc>
          <w:tcPr>
            <w:tcW w:w="1493" w:type="dxa"/>
            <w:vAlign w:val="top"/>
          </w:tcPr>
          <w:p w14:paraId="170C1681">
            <w:pPr>
              <w:widowControl/>
              <w:adjustRightInd w:val="0"/>
              <w:snapToGrid w:val="0"/>
              <w:jc w:val="left"/>
              <w:rPr>
                <w:rFonts w:hint="eastAsia" w:ascii="楷体" w:hAnsi="Times New Roman" w:eastAsia="楷体" w:cs="楷体"/>
                <w:color w:val="000000"/>
                <w:sz w:val="21"/>
                <w:szCs w:val="21"/>
                <w:lang w:val="en-US" w:eastAsia="zh-CN"/>
              </w:rPr>
            </w:pPr>
            <w:r>
              <w:rPr>
                <w:rFonts w:hint="eastAsia" w:ascii="楷体" w:hAnsi="Times New Roman" w:eastAsia="楷体" w:cs="楷体"/>
                <w:color w:val="000000"/>
                <w:sz w:val="21"/>
                <w:szCs w:val="21"/>
                <w:lang w:val="en-US" w:eastAsia="zh-CN"/>
              </w:rPr>
              <w:t>课程目标1：具有人文底蕴和科学精神，人格健全，乐观向上，热情开朗，健康生活，具备勤学进取、认真负责、开拓创新、无私奉献的专业精神，对小学生教育工作细心、耐心。</w:t>
            </w:r>
          </w:p>
        </w:tc>
        <w:tc>
          <w:tcPr>
            <w:tcW w:w="1493" w:type="dxa"/>
            <w:vAlign w:val="top"/>
          </w:tcPr>
          <w:p w14:paraId="368720BA">
            <w:pPr>
              <w:widowControl/>
              <w:adjustRightInd w:val="0"/>
              <w:snapToGrid w:val="0"/>
              <w:jc w:val="left"/>
              <w:rPr>
                <w:rFonts w:hint="eastAsia" w:ascii="楷体" w:hAnsi="Times New Roman" w:eastAsia="楷体" w:cs="楷体"/>
                <w:color w:val="000000"/>
                <w:sz w:val="21"/>
                <w:szCs w:val="21"/>
                <w:lang w:val="en-US" w:eastAsia="zh-CN"/>
              </w:rPr>
            </w:pPr>
            <w:r>
              <w:rPr>
                <w:rFonts w:hint="eastAsia" w:ascii="楷体" w:hAnsi="Times New Roman" w:eastAsia="楷体" w:cs="楷体"/>
                <w:color w:val="000000"/>
                <w:sz w:val="21"/>
                <w:szCs w:val="21"/>
                <w:lang w:val="en-US" w:eastAsia="zh-CN"/>
              </w:rPr>
              <w:tab/>
            </w:r>
            <w:r>
              <w:rPr>
                <w:rFonts w:hint="eastAsia" w:ascii="楷体" w:hAnsi="Times New Roman" w:eastAsia="楷体" w:cs="楷体"/>
                <w:color w:val="000000"/>
                <w:sz w:val="21"/>
                <w:szCs w:val="21"/>
                <w:lang w:val="en-US" w:eastAsia="zh-CN"/>
              </w:rPr>
              <w:t>具有很好的人文底蕴和科学精神，人格健全，乐观向上，热情开朗，健康生活，具备勤学进取、认真负责、开拓创新、无私奉献的专业精神，对小学生教育工作细心、耐心。</w:t>
            </w:r>
          </w:p>
        </w:tc>
        <w:tc>
          <w:tcPr>
            <w:tcW w:w="1493" w:type="dxa"/>
            <w:vAlign w:val="top"/>
          </w:tcPr>
          <w:p w14:paraId="3734FD1E">
            <w:pPr>
              <w:widowControl/>
              <w:adjustRightInd w:val="0"/>
              <w:snapToGrid w:val="0"/>
              <w:jc w:val="left"/>
              <w:rPr>
                <w:rFonts w:hint="eastAsia" w:ascii="楷体" w:hAnsi="Times New Roman" w:eastAsia="楷体" w:cs="楷体"/>
                <w:color w:val="000000"/>
                <w:sz w:val="21"/>
                <w:szCs w:val="21"/>
                <w:lang w:val="en-US" w:eastAsia="zh-CN"/>
              </w:rPr>
            </w:pPr>
            <w:r>
              <w:rPr>
                <w:rFonts w:hint="eastAsia" w:ascii="楷体" w:hAnsi="Times New Roman" w:eastAsia="楷体" w:cs="楷体"/>
                <w:color w:val="000000"/>
                <w:sz w:val="21"/>
                <w:szCs w:val="21"/>
                <w:lang w:val="en-US" w:eastAsia="zh-CN"/>
              </w:rPr>
              <w:t>具有较好的人文底蕴和科学精神，人格健全，乐观向上，热情开朗，健康生活，具备勤学进取、认真负责、开拓创新、无私奉献的专业精神，对小学生教育工作细心、耐心。</w:t>
            </w:r>
          </w:p>
        </w:tc>
        <w:tc>
          <w:tcPr>
            <w:tcW w:w="1493" w:type="dxa"/>
            <w:vAlign w:val="top"/>
          </w:tcPr>
          <w:p w14:paraId="44D4E390">
            <w:pPr>
              <w:widowControl/>
              <w:adjustRightInd w:val="0"/>
              <w:snapToGrid w:val="0"/>
              <w:jc w:val="left"/>
              <w:rPr>
                <w:rFonts w:hint="eastAsia" w:ascii="楷体" w:hAnsi="Times New Roman" w:eastAsia="楷体" w:cs="楷体"/>
                <w:color w:val="000000"/>
                <w:sz w:val="21"/>
                <w:szCs w:val="21"/>
                <w:lang w:val="en-US" w:eastAsia="zh-CN"/>
              </w:rPr>
            </w:pPr>
            <w:r>
              <w:rPr>
                <w:rFonts w:hint="eastAsia" w:ascii="楷体" w:hAnsi="Times New Roman" w:eastAsia="楷体" w:cs="楷体"/>
                <w:color w:val="000000"/>
                <w:sz w:val="21"/>
                <w:szCs w:val="21"/>
                <w:lang w:val="en-US" w:eastAsia="zh-CN"/>
              </w:rPr>
              <w:t>具有一般的人文底蕴和科学精神，人格健全，乐观向上，热情开朗，健康生活，具备勤学进取、认真负责、开拓创新、无私奉献的专业精神，对小学生教育工作细心、耐心。</w:t>
            </w:r>
          </w:p>
        </w:tc>
        <w:tc>
          <w:tcPr>
            <w:tcW w:w="1493" w:type="dxa"/>
            <w:vAlign w:val="top"/>
          </w:tcPr>
          <w:p w14:paraId="69CB1615">
            <w:pPr>
              <w:widowControl/>
              <w:adjustRightInd w:val="0"/>
              <w:snapToGrid w:val="0"/>
              <w:jc w:val="left"/>
              <w:rPr>
                <w:rFonts w:hint="eastAsia" w:ascii="楷体" w:hAnsi="Times New Roman" w:eastAsia="楷体" w:cs="楷体"/>
                <w:color w:val="000000"/>
                <w:sz w:val="21"/>
                <w:szCs w:val="21"/>
                <w:lang w:val="en-US" w:eastAsia="zh-CN"/>
              </w:rPr>
            </w:pPr>
            <w:r>
              <w:rPr>
                <w:rFonts w:hint="eastAsia" w:ascii="楷体" w:hAnsi="Times New Roman" w:eastAsia="楷体" w:cs="楷体"/>
                <w:color w:val="000000"/>
                <w:sz w:val="21"/>
                <w:szCs w:val="21"/>
                <w:lang w:val="en-US" w:eastAsia="zh-CN"/>
              </w:rPr>
              <w:t>具有合格的人文底蕴和科学精神，人格健全，乐观向上，热情开朗，健康生活，具备勤学进取、认真负责、开拓创新、无私奉献的专业精神，对小学生教育工作细心、耐心。</w:t>
            </w:r>
          </w:p>
        </w:tc>
        <w:tc>
          <w:tcPr>
            <w:tcW w:w="1495" w:type="dxa"/>
            <w:vAlign w:val="top"/>
          </w:tcPr>
          <w:p w14:paraId="096285A7">
            <w:pPr>
              <w:widowControl/>
              <w:adjustRightInd w:val="0"/>
              <w:snapToGrid w:val="0"/>
              <w:jc w:val="left"/>
              <w:rPr>
                <w:rFonts w:hint="eastAsia" w:ascii="楷体" w:hAnsi="Times New Roman" w:eastAsia="楷体" w:cs="楷体"/>
                <w:color w:val="000000"/>
                <w:sz w:val="21"/>
                <w:szCs w:val="21"/>
                <w:lang w:val="en-US" w:eastAsia="zh-CN"/>
              </w:rPr>
            </w:pPr>
            <w:r>
              <w:rPr>
                <w:rFonts w:hint="eastAsia" w:ascii="楷体" w:hAnsi="Times New Roman" w:eastAsia="楷体" w:cs="楷体"/>
                <w:color w:val="000000"/>
                <w:sz w:val="21"/>
                <w:szCs w:val="21"/>
                <w:lang w:val="en-US" w:eastAsia="zh-CN"/>
              </w:rPr>
              <w:t>不具有人文底蕴和科学精神，人格不健全，不具备勤学进取、认真负责、开拓创新、无私奉献的专业精神，对小学生教育工作不够细心、耐心。</w:t>
            </w:r>
          </w:p>
        </w:tc>
      </w:tr>
      <w:tr w14:paraId="3057828E">
        <w:trPr>
          <w:trHeight w:val="1131" w:hRule="atLeast"/>
          <w:jc w:val="center"/>
        </w:trPr>
        <w:tc>
          <w:tcPr>
            <w:tcW w:w="0" w:type="auto"/>
            <w:vMerge w:val="continue"/>
            <w:vAlign w:val="center"/>
          </w:tcPr>
          <w:p w14:paraId="4AA9A9CF">
            <w:pPr>
              <w:tabs>
                <w:tab w:val="left" w:pos="720"/>
              </w:tabs>
              <w:adjustRightInd w:val="0"/>
              <w:snapToGrid w:val="0"/>
              <w:spacing w:line="240" w:lineRule="atLeast"/>
              <w:jc w:val="center"/>
              <w:rPr>
                <w:rFonts w:hint="eastAsia" w:ascii="楷体" w:eastAsia="楷体" w:cs="楷体"/>
                <w:kern w:val="0"/>
                <w:sz w:val="21"/>
                <w:szCs w:val="21"/>
              </w:rPr>
            </w:pPr>
          </w:p>
        </w:tc>
        <w:tc>
          <w:tcPr>
            <w:tcW w:w="1493" w:type="dxa"/>
            <w:vAlign w:val="top"/>
          </w:tcPr>
          <w:p w14:paraId="274A9EF7">
            <w:pPr>
              <w:widowControl/>
              <w:adjustRightInd w:val="0"/>
              <w:snapToGrid w:val="0"/>
              <w:jc w:val="left"/>
              <w:rPr>
                <w:rFonts w:hint="eastAsia" w:ascii="楷体" w:hAnsi="Times New Roman" w:eastAsia="楷体" w:cs="楷体"/>
                <w:color w:val="000000"/>
                <w:sz w:val="21"/>
                <w:szCs w:val="21"/>
                <w:lang w:val="en-US" w:eastAsia="zh-CN"/>
              </w:rPr>
            </w:pPr>
            <w:r>
              <w:rPr>
                <w:rFonts w:hint="eastAsia" w:ascii="楷体" w:hAnsi="Times New Roman" w:eastAsia="楷体" w:cs="楷体"/>
                <w:color w:val="000000"/>
                <w:sz w:val="21"/>
                <w:szCs w:val="21"/>
                <w:lang w:val="en-US" w:eastAsia="zh-CN"/>
              </w:rPr>
              <w:t>课程目标2：具有较好的人文社会与学科素养，具有较为扎实的硬笔书写基本技能。</w:t>
            </w:r>
          </w:p>
          <w:p w14:paraId="2A1FF5F7">
            <w:pPr>
              <w:widowControl/>
              <w:adjustRightInd w:val="0"/>
              <w:snapToGrid w:val="0"/>
              <w:jc w:val="left"/>
              <w:rPr>
                <w:rFonts w:hint="eastAsia" w:ascii="楷体" w:hAnsi="Times New Roman" w:eastAsia="楷体" w:cs="楷体"/>
                <w:color w:val="000000"/>
                <w:sz w:val="21"/>
                <w:szCs w:val="21"/>
                <w:lang w:val="en-US" w:eastAsia="zh-CN"/>
              </w:rPr>
            </w:pPr>
          </w:p>
        </w:tc>
        <w:tc>
          <w:tcPr>
            <w:tcW w:w="1493" w:type="dxa"/>
            <w:vAlign w:val="top"/>
          </w:tcPr>
          <w:p w14:paraId="33A2C2B1">
            <w:pPr>
              <w:widowControl/>
              <w:adjustRightInd w:val="0"/>
              <w:snapToGrid w:val="0"/>
              <w:jc w:val="left"/>
              <w:rPr>
                <w:rFonts w:hint="eastAsia" w:ascii="楷体" w:hAnsi="Times New Roman" w:eastAsia="楷体" w:cs="楷体"/>
                <w:color w:val="000000"/>
                <w:sz w:val="21"/>
                <w:szCs w:val="21"/>
                <w:lang w:val="en-US" w:eastAsia="zh-CN"/>
              </w:rPr>
            </w:pPr>
            <w:r>
              <w:rPr>
                <w:rFonts w:hint="eastAsia" w:ascii="楷体" w:hAnsi="Times New Roman" w:eastAsia="楷体" w:cs="楷体"/>
                <w:color w:val="000000"/>
                <w:sz w:val="21"/>
                <w:szCs w:val="21"/>
                <w:lang w:val="en-US" w:eastAsia="zh-CN"/>
              </w:rPr>
              <w:t>具有很好的人文社会与学科素养，具有较为扎实的硬笔书写的基础知识与基本技能。</w:t>
            </w:r>
          </w:p>
          <w:p w14:paraId="353D6B83">
            <w:pPr>
              <w:widowControl/>
              <w:adjustRightInd w:val="0"/>
              <w:snapToGrid w:val="0"/>
              <w:jc w:val="left"/>
              <w:rPr>
                <w:rFonts w:hint="eastAsia" w:ascii="楷体" w:hAnsi="Times New Roman" w:eastAsia="楷体" w:cs="楷体"/>
                <w:color w:val="000000"/>
                <w:sz w:val="21"/>
                <w:szCs w:val="21"/>
                <w:lang w:val="en-US" w:eastAsia="zh-CN"/>
              </w:rPr>
            </w:pPr>
          </w:p>
        </w:tc>
        <w:tc>
          <w:tcPr>
            <w:tcW w:w="1493" w:type="dxa"/>
            <w:vAlign w:val="top"/>
          </w:tcPr>
          <w:p w14:paraId="550EA950">
            <w:pPr>
              <w:widowControl/>
              <w:adjustRightInd w:val="0"/>
              <w:snapToGrid w:val="0"/>
              <w:jc w:val="left"/>
              <w:rPr>
                <w:rFonts w:hint="eastAsia" w:ascii="楷体" w:hAnsi="Times New Roman" w:eastAsia="楷体" w:cs="楷体"/>
                <w:color w:val="000000"/>
                <w:sz w:val="21"/>
                <w:szCs w:val="21"/>
                <w:lang w:val="en-US" w:eastAsia="zh-CN"/>
              </w:rPr>
            </w:pPr>
            <w:r>
              <w:rPr>
                <w:rFonts w:hint="eastAsia" w:ascii="楷体" w:hAnsi="Times New Roman" w:eastAsia="楷体" w:cs="楷体"/>
                <w:color w:val="000000"/>
                <w:sz w:val="21"/>
                <w:szCs w:val="21"/>
                <w:lang w:val="en-US" w:eastAsia="zh-CN"/>
              </w:rPr>
              <w:t>具有较好的人文社会与学科素养，具有较为扎实的硬笔书写的基础知识与基本技能。</w:t>
            </w:r>
          </w:p>
        </w:tc>
        <w:tc>
          <w:tcPr>
            <w:tcW w:w="1493" w:type="dxa"/>
            <w:vAlign w:val="top"/>
          </w:tcPr>
          <w:p w14:paraId="6813F65B">
            <w:pPr>
              <w:widowControl/>
              <w:adjustRightInd w:val="0"/>
              <w:snapToGrid w:val="0"/>
              <w:jc w:val="left"/>
              <w:rPr>
                <w:rFonts w:hint="eastAsia" w:ascii="楷体" w:hAnsi="Times New Roman" w:eastAsia="楷体" w:cs="楷体"/>
                <w:color w:val="000000"/>
                <w:sz w:val="21"/>
                <w:szCs w:val="21"/>
                <w:lang w:val="en-US" w:eastAsia="zh-CN"/>
              </w:rPr>
            </w:pPr>
            <w:r>
              <w:rPr>
                <w:rFonts w:hint="eastAsia" w:ascii="楷体" w:hAnsi="Times New Roman" w:eastAsia="楷体" w:cs="楷体"/>
                <w:color w:val="000000"/>
                <w:sz w:val="21"/>
                <w:szCs w:val="21"/>
                <w:lang w:val="en-US" w:eastAsia="zh-CN"/>
              </w:rPr>
              <w:t>总体具有较好的人文社会与学科素养，具有较为扎实的硬笔书写的基础知识与基本技能。</w:t>
            </w:r>
          </w:p>
        </w:tc>
        <w:tc>
          <w:tcPr>
            <w:tcW w:w="1493" w:type="dxa"/>
            <w:vAlign w:val="top"/>
          </w:tcPr>
          <w:p w14:paraId="5243D459">
            <w:pPr>
              <w:widowControl/>
              <w:adjustRightInd w:val="0"/>
              <w:snapToGrid w:val="0"/>
              <w:jc w:val="left"/>
              <w:rPr>
                <w:rFonts w:hint="eastAsia" w:ascii="楷体" w:hAnsi="Times New Roman" w:eastAsia="楷体" w:cs="楷体"/>
                <w:color w:val="000000"/>
                <w:sz w:val="21"/>
                <w:szCs w:val="21"/>
                <w:lang w:val="en-US" w:eastAsia="zh-CN"/>
              </w:rPr>
            </w:pPr>
            <w:r>
              <w:rPr>
                <w:rFonts w:hint="eastAsia" w:ascii="楷体" w:hAnsi="Times New Roman" w:eastAsia="楷体" w:cs="楷体"/>
                <w:color w:val="000000"/>
                <w:sz w:val="21"/>
                <w:szCs w:val="21"/>
                <w:lang w:val="en-US" w:eastAsia="zh-CN"/>
              </w:rPr>
              <w:t>具有基本的人文社会与学科素养，具有较为扎实的硬笔书写的基础知识与基本技能。</w:t>
            </w:r>
          </w:p>
        </w:tc>
        <w:tc>
          <w:tcPr>
            <w:tcW w:w="1495" w:type="dxa"/>
            <w:vAlign w:val="top"/>
          </w:tcPr>
          <w:p w14:paraId="04BBEB1E">
            <w:pPr>
              <w:widowControl/>
              <w:adjustRightInd w:val="0"/>
              <w:snapToGrid w:val="0"/>
              <w:jc w:val="left"/>
              <w:rPr>
                <w:rFonts w:hint="eastAsia" w:ascii="楷体" w:hAnsi="Times New Roman" w:eastAsia="楷体" w:cs="楷体"/>
                <w:color w:val="000000"/>
                <w:sz w:val="21"/>
                <w:szCs w:val="21"/>
                <w:lang w:val="en-US" w:eastAsia="zh-CN"/>
              </w:rPr>
            </w:pPr>
            <w:r>
              <w:rPr>
                <w:rFonts w:hint="eastAsia" w:ascii="楷体" w:hAnsi="Times New Roman" w:eastAsia="楷体" w:cs="楷体"/>
                <w:color w:val="000000"/>
                <w:sz w:val="21"/>
                <w:szCs w:val="21"/>
                <w:lang w:val="en-US" w:eastAsia="zh-CN"/>
              </w:rPr>
              <w:t>不具有较好的人文社会与学科素养，不具有较为扎实的硬笔书写的基础知识与基本技能。</w:t>
            </w:r>
          </w:p>
        </w:tc>
      </w:tr>
      <w:tr w14:paraId="3F80CA0B">
        <w:trPr>
          <w:trHeight w:val="1131" w:hRule="atLeast"/>
          <w:jc w:val="center"/>
        </w:trPr>
        <w:tc>
          <w:tcPr>
            <w:tcW w:w="0" w:type="auto"/>
            <w:vMerge w:val="continue"/>
            <w:vAlign w:val="center"/>
          </w:tcPr>
          <w:p w14:paraId="79C98BCC">
            <w:pPr>
              <w:tabs>
                <w:tab w:val="left" w:pos="720"/>
              </w:tabs>
              <w:adjustRightInd w:val="0"/>
              <w:snapToGrid w:val="0"/>
              <w:spacing w:line="240" w:lineRule="atLeast"/>
              <w:jc w:val="center"/>
              <w:rPr>
                <w:rFonts w:hint="eastAsia" w:ascii="楷体" w:eastAsia="楷体" w:cs="楷体"/>
                <w:kern w:val="0"/>
                <w:sz w:val="21"/>
                <w:szCs w:val="21"/>
              </w:rPr>
            </w:pPr>
          </w:p>
        </w:tc>
        <w:tc>
          <w:tcPr>
            <w:tcW w:w="1493" w:type="dxa"/>
            <w:vAlign w:val="top"/>
          </w:tcPr>
          <w:p w14:paraId="45693487">
            <w:pPr>
              <w:widowControl/>
              <w:adjustRightInd w:val="0"/>
              <w:snapToGrid w:val="0"/>
              <w:jc w:val="left"/>
              <w:rPr>
                <w:rFonts w:hint="eastAsia" w:ascii="楷体" w:hAnsi="Times New Roman" w:eastAsia="楷体" w:cs="楷体"/>
                <w:color w:val="000000"/>
                <w:sz w:val="21"/>
                <w:szCs w:val="21"/>
                <w:lang w:val="en-US" w:eastAsia="zh-CN"/>
              </w:rPr>
            </w:pPr>
            <w:r>
              <w:rPr>
                <w:rFonts w:hint="eastAsia" w:ascii="楷体" w:hAnsi="Times New Roman" w:eastAsia="楷体" w:cs="楷体"/>
                <w:color w:val="000000"/>
                <w:sz w:val="21"/>
                <w:szCs w:val="21"/>
                <w:lang w:val="en-US" w:eastAsia="zh-CN"/>
              </w:rPr>
              <w:t>课程目标3：能运用准确、规范的教学书写技能实施有效的板书教学。批改学生作业。</w:t>
            </w:r>
          </w:p>
        </w:tc>
        <w:tc>
          <w:tcPr>
            <w:tcW w:w="1493" w:type="dxa"/>
            <w:vAlign w:val="top"/>
          </w:tcPr>
          <w:p w14:paraId="49EA0352">
            <w:pPr>
              <w:widowControl/>
              <w:adjustRightInd w:val="0"/>
              <w:snapToGrid w:val="0"/>
              <w:jc w:val="left"/>
              <w:rPr>
                <w:rFonts w:hint="eastAsia" w:ascii="楷体" w:hAnsi="Times New Roman" w:eastAsia="楷体" w:cs="楷体"/>
                <w:color w:val="000000"/>
                <w:sz w:val="21"/>
                <w:szCs w:val="21"/>
                <w:lang w:val="en-US" w:eastAsia="zh-CN"/>
              </w:rPr>
            </w:pPr>
            <w:r>
              <w:rPr>
                <w:rFonts w:hint="eastAsia" w:ascii="楷体" w:hAnsi="Times New Roman" w:eastAsia="楷体" w:cs="楷体"/>
                <w:color w:val="000000"/>
                <w:sz w:val="21"/>
                <w:szCs w:val="21"/>
                <w:lang w:val="en-US" w:eastAsia="zh-CN"/>
              </w:rPr>
              <w:t>能很好地运用准确、规范的教学书写技能实施有效的板书教学。批改学生作业</w:t>
            </w:r>
          </w:p>
        </w:tc>
        <w:tc>
          <w:tcPr>
            <w:tcW w:w="1493" w:type="dxa"/>
            <w:vAlign w:val="top"/>
          </w:tcPr>
          <w:p w14:paraId="4A693078">
            <w:pPr>
              <w:widowControl/>
              <w:adjustRightInd w:val="0"/>
              <w:snapToGrid w:val="0"/>
              <w:jc w:val="left"/>
              <w:rPr>
                <w:rFonts w:hint="eastAsia" w:ascii="楷体" w:hAnsi="Times New Roman" w:eastAsia="楷体" w:cs="楷体"/>
                <w:color w:val="000000"/>
                <w:sz w:val="21"/>
                <w:szCs w:val="21"/>
                <w:lang w:val="en-US" w:eastAsia="zh-CN"/>
              </w:rPr>
            </w:pPr>
            <w:r>
              <w:rPr>
                <w:rFonts w:hint="eastAsia" w:ascii="楷体" w:hAnsi="Times New Roman" w:eastAsia="楷体" w:cs="楷体"/>
                <w:color w:val="000000"/>
                <w:sz w:val="21"/>
                <w:szCs w:val="21"/>
                <w:lang w:val="en-US" w:eastAsia="zh-CN"/>
              </w:rPr>
              <w:t>能较好地运用准确、规范的教学书写技能实施有效的板书教学。批改学生作业。</w:t>
            </w:r>
          </w:p>
          <w:p w14:paraId="66C633C1">
            <w:pPr>
              <w:widowControl/>
              <w:adjustRightInd w:val="0"/>
              <w:snapToGrid w:val="0"/>
              <w:jc w:val="left"/>
              <w:rPr>
                <w:rFonts w:hint="eastAsia" w:ascii="楷体" w:hAnsi="Times New Roman" w:eastAsia="楷体" w:cs="楷体"/>
                <w:color w:val="000000"/>
                <w:sz w:val="21"/>
                <w:szCs w:val="21"/>
                <w:lang w:val="en-US" w:eastAsia="zh-CN"/>
              </w:rPr>
            </w:pPr>
          </w:p>
        </w:tc>
        <w:tc>
          <w:tcPr>
            <w:tcW w:w="1493" w:type="dxa"/>
            <w:vAlign w:val="top"/>
          </w:tcPr>
          <w:p w14:paraId="191A051F">
            <w:pPr>
              <w:widowControl/>
              <w:adjustRightInd w:val="0"/>
              <w:snapToGrid w:val="0"/>
              <w:jc w:val="left"/>
              <w:rPr>
                <w:rFonts w:hint="eastAsia" w:ascii="楷体" w:hAnsi="Times New Roman" w:eastAsia="楷体" w:cs="楷体"/>
                <w:color w:val="000000"/>
                <w:sz w:val="21"/>
                <w:szCs w:val="21"/>
                <w:lang w:val="en-US" w:eastAsia="zh-CN"/>
              </w:rPr>
            </w:pPr>
            <w:r>
              <w:rPr>
                <w:rFonts w:hint="eastAsia" w:ascii="楷体" w:hAnsi="Times New Roman" w:eastAsia="楷体" w:cs="楷体"/>
                <w:color w:val="000000"/>
                <w:sz w:val="21"/>
                <w:szCs w:val="21"/>
                <w:lang w:val="en-US" w:eastAsia="zh-CN"/>
              </w:rPr>
              <w:t>总体上能运用准确、规范的教学书写技能实施有效的板书教学。批改学生作业。</w:t>
            </w:r>
          </w:p>
        </w:tc>
        <w:tc>
          <w:tcPr>
            <w:tcW w:w="1493" w:type="dxa"/>
            <w:vAlign w:val="top"/>
          </w:tcPr>
          <w:p w14:paraId="325B6ABB">
            <w:pPr>
              <w:widowControl/>
              <w:adjustRightInd w:val="0"/>
              <w:snapToGrid w:val="0"/>
              <w:jc w:val="left"/>
              <w:rPr>
                <w:rFonts w:hint="eastAsia" w:ascii="楷体" w:hAnsi="Times New Roman" w:eastAsia="楷体" w:cs="楷体"/>
                <w:color w:val="000000"/>
                <w:sz w:val="21"/>
                <w:szCs w:val="21"/>
                <w:lang w:val="en-US" w:eastAsia="zh-CN"/>
              </w:rPr>
            </w:pPr>
            <w:r>
              <w:rPr>
                <w:rFonts w:hint="eastAsia" w:ascii="楷体" w:hAnsi="Times New Roman" w:eastAsia="楷体" w:cs="楷体"/>
                <w:color w:val="000000"/>
                <w:sz w:val="21"/>
                <w:szCs w:val="21"/>
                <w:lang w:val="en-US" w:eastAsia="zh-CN"/>
              </w:rPr>
              <w:t>能基本运用准确、规范的教学书写技能实施有效的板书教学。批改学生作业。</w:t>
            </w:r>
          </w:p>
          <w:p w14:paraId="482B9BF7">
            <w:pPr>
              <w:widowControl/>
              <w:adjustRightInd w:val="0"/>
              <w:snapToGrid w:val="0"/>
              <w:jc w:val="left"/>
              <w:rPr>
                <w:rFonts w:hint="eastAsia" w:ascii="楷体" w:hAnsi="Times New Roman" w:eastAsia="楷体" w:cs="楷体"/>
                <w:color w:val="000000"/>
                <w:sz w:val="21"/>
                <w:szCs w:val="21"/>
                <w:lang w:val="en-US" w:eastAsia="zh-CN"/>
              </w:rPr>
            </w:pPr>
          </w:p>
        </w:tc>
        <w:tc>
          <w:tcPr>
            <w:tcW w:w="1495" w:type="dxa"/>
            <w:vAlign w:val="top"/>
          </w:tcPr>
          <w:p w14:paraId="49C7BB28">
            <w:pPr>
              <w:widowControl/>
              <w:adjustRightInd w:val="0"/>
              <w:snapToGrid w:val="0"/>
              <w:jc w:val="left"/>
              <w:rPr>
                <w:rFonts w:hint="eastAsia" w:ascii="楷体" w:hAnsi="Times New Roman" w:eastAsia="楷体" w:cs="楷体"/>
                <w:color w:val="000000"/>
                <w:sz w:val="21"/>
                <w:szCs w:val="21"/>
                <w:lang w:val="en-US" w:eastAsia="zh-CN"/>
              </w:rPr>
            </w:pPr>
            <w:r>
              <w:rPr>
                <w:rFonts w:hint="eastAsia" w:ascii="楷体" w:hAnsi="Times New Roman" w:eastAsia="楷体" w:cs="楷体"/>
                <w:color w:val="000000"/>
                <w:sz w:val="21"/>
                <w:szCs w:val="21"/>
                <w:lang w:val="en-US" w:eastAsia="zh-CN"/>
              </w:rPr>
              <w:t>不能运用准确、规范的教学书写技能实施有效的板书教学。批改学生作业。</w:t>
            </w:r>
          </w:p>
        </w:tc>
      </w:tr>
    </w:tbl>
    <w:p w14:paraId="15C29272">
      <w:pPr>
        <w:rPr>
          <w:sz w:val="2"/>
          <w:szCs w:val="2"/>
        </w:rPr>
        <w:sectPr>
          <w:headerReference r:id="rId37" w:type="default"/>
          <w:footerReference r:id="rId38" w:type="default"/>
          <w:pgSz w:w="11906" w:h="16838"/>
          <w:pgMar w:top="1440" w:right="1800" w:bottom="1440" w:left="1800" w:header="851" w:footer="992" w:gutter="0"/>
          <w:cols w:space="425" w:num="1"/>
          <w:docGrid w:type="lines" w:linePitch="312" w:charSpace="0"/>
        </w:sectPr>
      </w:pPr>
    </w:p>
    <w:p w14:paraId="6AEDDAFD">
      <w:pPr>
        <w:ind w:left="420"/>
        <w:rPr>
          <w:rFonts w:hint="eastAsia" w:eastAsia="隶书"/>
          <w:b/>
          <w:bCs/>
          <w:spacing w:val="-20"/>
          <w:sz w:val="72"/>
        </w:rPr>
      </w:pPr>
      <w:r>
        <w:drawing>
          <wp:inline distT="0" distB="0" distL="114300" distR="114300">
            <wp:extent cx="2987040" cy="882650"/>
            <wp:effectExtent l="0" t="0" r="10160" b="6350"/>
            <wp:docPr id="1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
                    <pic:cNvPicPr>
                      <a:picLocks noChangeAspect="1"/>
                    </pic:cNvPicPr>
                  </pic:nvPicPr>
                  <pic:blipFill>
                    <a:blip r:embed="rId144"/>
                    <a:stretch>
                      <a:fillRect/>
                    </a:stretch>
                  </pic:blipFill>
                  <pic:spPr>
                    <a:xfrm>
                      <a:off x="0" y="0"/>
                      <a:ext cx="2987040" cy="882650"/>
                    </a:xfrm>
                    <a:prstGeom prst="rect">
                      <a:avLst/>
                    </a:prstGeom>
                    <a:noFill/>
                    <a:ln>
                      <a:noFill/>
                    </a:ln>
                  </pic:spPr>
                </pic:pic>
              </a:graphicData>
            </a:graphic>
          </wp:inline>
        </w:drawing>
      </w:r>
    </w:p>
    <w:p w14:paraId="0A985A73">
      <w:pPr>
        <w:ind w:left="420"/>
        <w:rPr>
          <w:rFonts w:hint="eastAsia" w:ascii="黑体" w:eastAsia="黑体"/>
          <w:b/>
          <w:bCs/>
          <w:spacing w:val="-20"/>
          <w:szCs w:val="21"/>
        </w:rPr>
      </w:pPr>
    </w:p>
    <w:p w14:paraId="7E8DB645">
      <w:pPr>
        <w:rPr>
          <w:rFonts w:hint="eastAsia"/>
        </w:rPr>
      </w:pPr>
    </w:p>
    <w:p w14:paraId="2A62C880">
      <w:pPr>
        <w:rPr>
          <w:rFonts w:hint="eastAsia"/>
        </w:rPr>
      </w:pPr>
    </w:p>
    <w:p w14:paraId="533A4985">
      <w:pPr>
        <w:rPr>
          <w:rFonts w:hint="eastAsia"/>
        </w:rPr>
      </w:pPr>
    </w:p>
    <w:p w14:paraId="7F2F021A">
      <w:pPr>
        <w:rPr>
          <w:rFonts w:hint="eastAsia"/>
        </w:rPr>
      </w:pPr>
    </w:p>
    <w:p w14:paraId="321D9DE2">
      <w:pPr>
        <w:rPr>
          <w:rFonts w:hint="eastAsia"/>
        </w:rPr>
      </w:pPr>
    </w:p>
    <w:p w14:paraId="0664DA6D">
      <w:pPr>
        <w:rPr>
          <w:rFonts w:hint="eastAsia"/>
        </w:rPr>
      </w:pPr>
    </w:p>
    <w:p w14:paraId="05501E69">
      <w:pPr>
        <w:rPr>
          <w:rFonts w:hint="eastAsia"/>
        </w:rPr>
      </w:pPr>
    </w:p>
    <w:p w14:paraId="0662B06C">
      <w:pPr>
        <w:spacing w:line="360" w:lineRule="auto"/>
        <w:jc w:val="center"/>
        <w:rPr>
          <w:rFonts w:hint="eastAsia" w:ascii="楷体_GB2312" w:hAnsi="宋体" w:eastAsia="楷体_GB2312"/>
          <w:spacing w:val="14"/>
          <w:sz w:val="44"/>
          <w:szCs w:val="44"/>
        </w:rPr>
      </w:pPr>
      <w:r>
        <w:rPr>
          <w:rFonts w:ascii="方正小标宋简体" w:hAnsi="方正小标宋简体" w:eastAsia="方正小标宋简体" w:cs="方正小标宋简体"/>
          <w:b/>
          <w:spacing w:val="14"/>
          <w:sz w:val="44"/>
        </w:rPr>
        <w:t>2025—2026 学年第二学期</w:t>
      </w:r>
    </w:p>
    <w:p w14:paraId="335367FF">
      <w:pPr>
        <w:spacing w:before="156" w:beforeLines="50" w:after="156" w:afterLines="50" w:line="360" w:lineRule="auto"/>
        <w:jc w:val="center"/>
        <w:rPr>
          <w:rFonts w:hint="eastAsia" w:ascii="方正小标宋简体" w:hAnsi="方正小标宋简体" w:eastAsia="方正小标宋简体" w:cs="方正小标宋简体"/>
          <w:b/>
          <w:spacing w:val="14"/>
          <w:sz w:val="72"/>
          <w:szCs w:val="72"/>
        </w:rPr>
      </w:pPr>
      <w:r>
        <w:rPr>
          <w:rFonts w:hint="eastAsia" w:ascii="方正小标宋简体" w:hAnsi="方正小标宋简体" w:eastAsia="方正小标宋简体" w:cs="方正小标宋简体"/>
          <w:b/>
          <w:spacing w:val="14"/>
          <w:sz w:val="72"/>
          <w:szCs w:val="72"/>
        </w:rPr>
        <w:t>音乐学（</w:t>
      </w:r>
      <w:r>
        <w:rPr>
          <w:rFonts w:hint="eastAsia" w:ascii="方正小标宋简体" w:hAnsi="方正小标宋简体" w:eastAsia="方正小标宋简体" w:cs="方正小标宋简体"/>
          <w:b/>
          <w:spacing w:val="14"/>
          <w:sz w:val="72"/>
          <w:szCs w:val="72"/>
          <w:lang w:val="en-US" w:eastAsia="zh-CN"/>
        </w:rPr>
        <w:t>音乐教育</w:t>
      </w:r>
      <w:r>
        <w:rPr>
          <w:rFonts w:hint="eastAsia" w:ascii="方正小标宋简体" w:hAnsi="方正小标宋简体" w:eastAsia="方正小标宋简体" w:cs="方正小标宋简体"/>
          <w:b/>
          <w:spacing w:val="14"/>
          <w:sz w:val="72"/>
          <w:szCs w:val="72"/>
        </w:rPr>
        <w:t>）专业</w:t>
      </w:r>
    </w:p>
    <w:p w14:paraId="5DF0D9F3">
      <w:pPr>
        <w:spacing w:before="156" w:beforeLines="50" w:after="156" w:afterLines="50" w:line="360" w:lineRule="auto"/>
        <w:jc w:val="center"/>
        <w:rPr>
          <w:rFonts w:hint="eastAsia" w:ascii="方正小标宋简体" w:hAnsi="方正小标宋简体" w:eastAsia="方正小标宋简体" w:cs="方正小标宋简体"/>
          <w:b/>
          <w:color w:val="FF0000"/>
          <w:spacing w:val="14"/>
          <w:sz w:val="72"/>
          <w:szCs w:val="72"/>
        </w:rPr>
      </w:pPr>
      <w:r>
        <w:rPr>
          <w:rFonts w:hint="eastAsia" w:ascii="方正小标宋简体" w:hAnsi="方正小标宋简体" w:eastAsia="方正小标宋简体" w:cs="方正小标宋简体"/>
          <w:b/>
          <w:spacing w:val="14"/>
          <w:sz w:val="72"/>
          <w:szCs w:val="72"/>
        </w:rPr>
        <w:t>课程教学大纲</w:t>
      </w:r>
    </w:p>
    <w:p w14:paraId="318A9192">
      <w:pPr>
        <w:spacing w:before="312" w:beforeLines="100" w:after="156" w:afterLines="50" w:line="360" w:lineRule="auto"/>
        <w:jc w:val="center"/>
        <w:rPr>
          <w:rFonts w:hint="eastAsia" w:ascii="宋体" w:hAnsi="宋体"/>
          <w:spacing w:val="14"/>
          <w:sz w:val="44"/>
          <w:szCs w:val="44"/>
        </w:rPr>
      </w:pPr>
    </w:p>
    <w:p w14:paraId="04E3D422">
      <w:pPr>
        <w:rPr>
          <w:rFonts w:hint="eastAsia" w:ascii="Arial" w:hAnsi="Arial" w:eastAsia="楷体_GB2312"/>
          <w:sz w:val="36"/>
        </w:rPr>
      </w:pPr>
    </w:p>
    <w:p w14:paraId="0120A367">
      <w:pPr>
        <w:rPr>
          <w:rFonts w:hint="eastAsia" w:ascii="Arial" w:hAnsi="Arial" w:eastAsia="楷体_GB2312"/>
          <w:sz w:val="36"/>
        </w:rPr>
      </w:pPr>
    </w:p>
    <w:p w14:paraId="0B3B64A4">
      <w:pPr>
        <w:jc w:val="left"/>
        <w:rPr>
          <w:rFonts w:hint="eastAsia" w:ascii="宋体" w:hAnsi="宋体" w:cs="宋体"/>
          <w:sz w:val="44"/>
          <w:szCs w:val="44"/>
        </w:rPr>
      </w:pPr>
    </w:p>
    <w:p w14:paraId="6A2A1328">
      <w:pPr>
        <w:ind w:firstLine="2202" w:firstLineChars="500"/>
        <w:jc w:val="left"/>
        <w:rPr>
          <w:rFonts w:hint="eastAsia" w:ascii="宋体" w:hAnsi="宋体" w:eastAsia="宋体" w:cs="宋体"/>
          <w:b/>
          <w:bCs/>
          <w:sz w:val="44"/>
          <w:szCs w:val="44"/>
          <w:lang w:val="en-US" w:eastAsia="zh-Hans"/>
        </w:rPr>
      </w:pPr>
      <w:r>
        <w:rPr>
          <w:rFonts w:hint="eastAsia" w:ascii="宋体" w:hAnsi="宋体" w:cs="宋体"/>
          <w:b/>
          <w:bCs/>
          <w:sz w:val="44"/>
          <w:szCs w:val="44"/>
        </w:rPr>
        <w:t>开课单位：</w:t>
      </w:r>
      <w:r>
        <w:rPr>
          <w:rFonts w:hint="eastAsia" w:ascii="宋体" w:hAnsi="宋体" w:cs="宋体"/>
          <w:b/>
          <w:bCs/>
          <w:sz w:val="44"/>
          <w:szCs w:val="44"/>
          <w:lang w:val="en-US" w:eastAsia="zh-Hans"/>
        </w:rPr>
        <w:t>教育与音乐学院</w:t>
      </w:r>
    </w:p>
    <w:p w14:paraId="48A360EC">
      <w:pPr>
        <w:ind w:firstLine="2202" w:firstLineChars="500"/>
        <w:jc w:val="left"/>
        <w:rPr>
          <w:rFonts w:hint="default" w:ascii="宋体" w:hAnsi="宋体" w:eastAsia="宋体" w:cs="宋体"/>
          <w:b/>
          <w:bCs/>
          <w:sz w:val="44"/>
          <w:szCs w:val="44"/>
          <w:lang w:val="en-US" w:eastAsia="zh-Hans"/>
        </w:rPr>
      </w:pPr>
      <w:r>
        <w:rPr>
          <w:rFonts w:hint="eastAsia" w:ascii="宋体" w:hAnsi="宋体" w:cs="宋体"/>
          <w:b/>
          <w:bCs/>
          <w:sz w:val="44"/>
          <w:szCs w:val="44"/>
        </w:rPr>
        <w:t>适用年级：2024级音乐学</w:t>
      </w:r>
    </w:p>
    <w:p w14:paraId="7B2BE756">
      <w:pPr>
        <w:rPr>
          <w:rFonts w:hint="eastAsia" w:ascii="Arial" w:hAnsi="Arial" w:eastAsia="楷体_GB2312"/>
          <w:sz w:val="36"/>
        </w:rPr>
      </w:pPr>
    </w:p>
    <w:p w14:paraId="388D5155">
      <w:pPr>
        <w:rPr>
          <w:rFonts w:hint="eastAsia" w:ascii="Arial" w:hAnsi="Arial" w:eastAsia="楷体_GB2312"/>
          <w:sz w:val="36"/>
        </w:rPr>
      </w:pPr>
    </w:p>
    <w:p w14:paraId="3C471FA4">
      <w:pPr>
        <w:jc w:val="center"/>
        <w:rPr>
          <w:rFonts w:hint="eastAsia" w:ascii="楷体" w:hAnsi="楷体" w:eastAsia="楷体" w:cs="楷体"/>
          <w:sz w:val="36"/>
        </w:rPr>
      </w:pPr>
      <w:r>
        <w:rPr>
          <w:rFonts w:hint="eastAsia" w:ascii="楷体" w:hAnsi="楷体" w:eastAsia="楷体" w:cs="楷体"/>
          <w:sz w:val="36"/>
        </w:rPr>
        <w:t>二○二六年二月</w:t>
      </w:r>
    </w:p>
    <w:p w14:paraId="7E2A8BAE">
      <w:pPr>
        <w:rPr>
          <w:sz w:val="2"/>
          <w:szCs w:val="2"/>
        </w:rPr>
        <w:sectPr>
          <w:headerReference r:id="rId39" w:type="default"/>
          <w:footerReference r:id="rId40" w:type="default"/>
          <w:pgSz w:w="11906" w:h="16838"/>
          <w:pgMar w:top="1440" w:right="1800" w:bottom="1440" w:left="1800" w:header="851" w:footer="992" w:gutter="0"/>
          <w:cols w:space="425" w:num="1"/>
          <w:docGrid w:type="lines" w:linePitch="312" w:charSpace="0"/>
        </w:sectPr>
      </w:pPr>
    </w:p>
    <w:p w14:paraId="440A2843">
      <w:pPr>
        <w:spacing w:after="520" w:line="500" w:lineRule="exact"/>
        <w:jc w:val="center"/>
      </w:pPr>
      <w:r>
        <w:rPr>
          <w:rFonts w:ascii="宋体" w:hAnsi="宋体" w:eastAsia="宋体" w:cs="宋体"/>
          <w:b/>
          <w:spacing w:val="14"/>
          <w:sz w:val="28"/>
        </w:rPr>
        <w:t>目录</w:t>
      </w:r>
    </w:p>
    <w:p w14:paraId="2E4F48E6">
      <w:pPr>
        <w:tabs>
          <w:tab w:val="right" w:leader="dot" w:pos="8306"/>
        </w:tabs>
        <w:spacing w:line="480" w:lineRule="exact"/>
      </w:pPr>
      <w:r>
        <w:rPr>
          <w:rFonts w:ascii="宋体" w:hAnsi="宋体" w:eastAsia="宋体" w:cs="宋体"/>
          <w:b w:val="0"/>
          <w:sz w:val="21"/>
        </w:rPr>
        <w:t>《习近平总书记关于教育的重要论述研究》课程教学大纲</w:t>
      </w:r>
      <w:r>
        <w:rPr>
          <w:rFonts w:ascii="宋体" w:hAnsi="宋体" w:eastAsia="宋体" w:cs="宋体"/>
          <w:b w:val="0"/>
          <w:sz w:val="21"/>
        </w:rPr>
        <w:tab/>
      </w:r>
      <w:r>
        <w:rPr>
          <w:rFonts w:ascii="宋体" w:hAnsi="宋体" w:eastAsia="宋体" w:cs="宋体"/>
          <w:b w:val="0"/>
          <w:sz w:val="21"/>
        </w:rPr>
        <w:t>116</w:t>
      </w:r>
    </w:p>
    <w:p w14:paraId="00783689">
      <w:pPr>
        <w:tabs>
          <w:tab w:val="right" w:leader="dot" w:pos="8306"/>
        </w:tabs>
        <w:spacing w:line="480" w:lineRule="exact"/>
      </w:pPr>
      <w:r>
        <w:rPr>
          <w:rFonts w:ascii="宋体" w:hAnsi="宋体" w:eastAsia="宋体" w:cs="宋体"/>
          <w:b w:val="0"/>
          <w:sz w:val="21"/>
        </w:rPr>
        <w:t>《乐器演奏基础》课程教学大纲</w:t>
      </w:r>
      <w:r>
        <w:rPr>
          <w:rFonts w:ascii="宋体" w:hAnsi="宋体" w:eastAsia="宋体" w:cs="宋体"/>
          <w:b w:val="0"/>
          <w:sz w:val="21"/>
        </w:rPr>
        <w:tab/>
      </w:r>
      <w:r>
        <w:rPr>
          <w:rFonts w:ascii="宋体" w:hAnsi="宋体" w:eastAsia="宋体" w:cs="宋体"/>
          <w:b w:val="0"/>
          <w:sz w:val="21"/>
        </w:rPr>
        <w:t>125</w:t>
      </w:r>
    </w:p>
    <w:p w14:paraId="436ADF72">
      <w:pPr>
        <w:tabs>
          <w:tab w:val="right" w:leader="dot" w:pos="8306"/>
        </w:tabs>
        <w:spacing w:line="480" w:lineRule="exact"/>
      </w:pPr>
      <w:r>
        <w:rPr>
          <w:rFonts w:ascii="宋体" w:hAnsi="宋体" w:eastAsia="宋体" w:cs="宋体"/>
          <w:b w:val="0"/>
          <w:sz w:val="21"/>
        </w:rPr>
        <w:t>《视唱练耳》课程教学大纲</w:t>
      </w:r>
      <w:r>
        <w:rPr>
          <w:rFonts w:ascii="宋体" w:hAnsi="宋体" w:eastAsia="宋体" w:cs="宋体"/>
          <w:b w:val="0"/>
          <w:sz w:val="21"/>
        </w:rPr>
        <w:tab/>
      </w:r>
      <w:r>
        <w:rPr>
          <w:rFonts w:ascii="宋体" w:hAnsi="宋体" w:eastAsia="宋体" w:cs="宋体"/>
          <w:b w:val="0"/>
          <w:sz w:val="21"/>
        </w:rPr>
        <w:t>132</w:t>
      </w:r>
    </w:p>
    <w:p w14:paraId="5C287C8E">
      <w:pPr>
        <w:tabs>
          <w:tab w:val="right" w:leader="dot" w:pos="8306"/>
        </w:tabs>
        <w:spacing w:line="480" w:lineRule="exact"/>
      </w:pPr>
      <w:r>
        <w:rPr>
          <w:rFonts w:ascii="宋体" w:hAnsi="宋体" w:eastAsia="宋体" w:cs="宋体"/>
          <w:b w:val="0"/>
          <w:sz w:val="21"/>
        </w:rPr>
        <w:t>《合唱与指挥》课程教学大纲</w:t>
      </w:r>
      <w:r>
        <w:rPr>
          <w:rFonts w:ascii="宋体" w:hAnsi="宋体" w:eastAsia="宋体" w:cs="宋体"/>
          <w:b w:val="0"/>
          <w:sz w:val="21"/>
        </w:rPr>
        <w:tab/>
      </w:r>
      <w:r>
        <w:rPr>
          <w:rFonts w:ascii="宋体" w:hAnsi="宋体" w:eastAsia="宋体" w:cs="宋体"/>
          <w:b w:val="0"/>
          <w:sz w:val="21"/>
        </w:rPr>
        <w:t>145</w:t>
      </w:r>
    </w:p>
    <w:p w14:paraId="0D7EBFB2">
      <w:pPr>
        <w:tabs>
          <w:tab w:val="right" w:leader="dot" w:pos="8306"/>
        </w:tabs>
        <w:spacing w:line="480" w:lineRule="exact"/>
      </w:pPr>
      <w:r>
        <w:rPr>
          <w:rFonts w:ascii="宋体" w:hAnsi="宋体" w:eastAsia="宋体" w:cs="宋体"/>
          <w:b w:val="0"/>
          <w:sz w:val="21"/>
        </w:rPr>
        <w:t>《西方音乐史与欣赏》课程教学大纲</w:t>
      </w:r>
      <w:r>
        <w:rPr>
          <w:rFonts w:ascii="宋体" w:hAnsi="宋体" w:eastAsia="宋体" w:cs="宋体"/>
          <w:b w:val="0"/>
          <w:sz w:val="21"/>
        </w:rPr>
        <w:tab/>
      </w:r>
      <w:r>
        <w:rPr>
          <w:rFonts w:ascii="宋体" w:hAnsi="宋体" w:eastAsia="宋体" w:cs="宋体"/>
          <w:b w:val="0"/>
          <w:sz w:val="21"/>
        </w:rPr>
        <w:t>152</w:t>
      </w:r>
    </w:p>
    <w:p w14:paraId="235451E3">
      <w:pPr>
        <w:tabs>
          <w:tab w:val="right" w:leader="dot" w:pos="8306"/>
        </w:tabs>
        <w:spacing w:line="480" w:lineRule="exact"/>
      </w:pPr>
      <w:r>
        <w:rPr>
          <w:rFonts w:ascii="宋体" w:hAnsi="宋体" w:eastAsia="宋体" w:cs="宋体"/>
          <w:b w:val="0"/>
          <w:sz w:val="21"/>
        </w:rPr>
        <w:t>《曲式与作品分析》课程教学大纲</w:t>
      </w:r>
      <w:r>
        <w:rPr>
          <w:rFonts w:ascii="宋体" w:hAnsi="宋体" w:eastAsia="宋体" w:cs="宋体"/>
          <w:b w:val="0"/>
          <w:sz w:val="21"/>
        </w:rPr>
        <w:tab/>
      </w:r>
      <w:r>
        <w:rPr>
          <w:rFonts w:ascii="宋体" w:hAnsi="宋体" w:eastAsia="宋体" w:cs="宋体"/>
          <w:b w:val="0"/>
          <w:sz w:val="21"/>
        </w:rPr>
        <w:t>165</w:t>
      </w:r>
    </w:p>
    <w:p w14:paraId="4DE525FB">
      <w:pPr>
        <w:tabs>
          <w:tab w:val="right" w:leader="dot" w:pos="8306"/>
        </w:tabs>
        <w:spacing w:line="480" w:lineRule="exact"/>
      </w:pPr>
      <w:r>
        <w:rPr>
          <w:rFonts w:ascii="宋体" w:hAnsi="宋体" w:eastAsia="宋体" w:cs="宋体"/>
          <w:b w:val="0"/>
          <w:sz w:val="21"/>
        </w:rPr>
        <w:t>《声乐基础》课程教学大纲</w:t>
      </w:r>
      <w:r>
        <w:rPr>
          <w:rFonts w:ascii="宋体" w:hAnsi="宋体" w:eastAsia="宋体" w:cs="宋体"/>
          <w:b w:val="0"/>
          <w:sz w:val="21"/>
        </w:rPr>
        <w:tab/>
      </w:r>
      <w:r>
        <w:rPr>
          <w:rFonts w:ascii="宋体" w:hAnsi="宋体" w:eastAsia="宋体" w:cs="宋体"/>
          <w:b w:val="0"/>
          <w:sz w:val="21"/>
        </w:rPr>
        <w:t>171</w:t>
      </w:r>
    </w:p>
    <w:p w14:paraId="181CDA76">
      <w:pPr>
        <w:tabs>
          <w:tab w:val="right" w:leader="dot" w:pos="8306"/>
        </w:tabs>
        <w:spacing w:line="480" w:lineRule="exact"/>
      </w:pPr>
      <w:r>
        <w:rPr>
          <w:rFonts w:ascii="宋体" w:hAnsi="宋体" w:eastAsia="宋体" w:cs="宋体"/>
          <w:b w:val="0"/>
          <w:sz w:val="21"/>
        </w:rPr>
        <w:t>《钢琴基础》课程教学大纲</w:t>
      </w:r>
      <w:r>
        <w:rPr>
          <w:rFonts w:ascii="宋体" w:hAnsi="宋体" w:eastAsia="宋体" w:cs="宋体"/>
          <w:b w:val="0"/>
          <w:sz w:val="21"/>
        </w:rPr>
        <w:tab/>
      </w:r>
      <w:r>
        <w:rPr>
          <w:rFonts w:ascii="宋体" w:hAnsi="宋体" w:eastAsia="宋体" w:cs="宋体"/>
          <w:b w:val="0"/>
          <w:sz w:val="21"/>
        </w:rPr>
        <w:t>181</w:t>
      </w:r>
    </w:p>
    <w:p w14:paraId="2D87E7EA">
      <w:pPr>
        <w:tabs>
          <w:tab w:val="right" w:leader="dot" w:pos="8306"/>
        </w:tabs>
        <w:spacing w:line="480" w:lineRule="exact"/>
      </w:pPr>
      <w:r>
        <w:rPr>
          <w:rFonts w:ascii="宋体" w:hAnsi="宋体" w:eastAsia="宋体" w:cs="宋体"/>
          <w:b w:val="0"/>
          <w:sz w:val="21"/>
        </w:rPr>
        <w:t>《民间舞》课程教学大纲</w:t>
      </w:r>
      <w:r>
        <w:rPr>
          <w:rFonts w:ascii="宋体" w:hAnsi="宋体" w:eastAsia="宋体" w:cs="宋体"/>
          <w:b w:val="0"/>
          <w:sz w:val="21"/>
        </w:rPr>
        <w:tab/>
      </w:r>
      <w:r>
        <w:rPr>
          <w:rFonts w:ascii="宋体" w:hAnsi="宋体" w:eastAsia="宋体" w:cs="宋体"/>
          <w:b w:val="0"/>
          <w:sz w:val="21"/>
        </w:rPr>
        <w:t>194</w:t>
      </w:r>
    </w:p>
    <w:p w14:paraId="00A7DB85">
      <w:pPr>
        <w:tabs>
          <w:tab w:val="right" w:leader="dot" w:pos="8306"/>
        </w:tabs>
        <w:spacing w:line="480" w:lineRule="exact"/>
      </w:pPr>
      <w:r>
        <w:rPr>
          <w:rFonts w:ascii="宋体" w:hAnsi="宋体" w:eastAsia="宋体" w:cs="宋体"/>
          <w:b w:val="0"/>
          <w:sz w:val="21"/>
        </w:rPr>
        <w:t>《管乐》课程教学大纲</w:t>
      </w:r>
      <w:r>
        <w:rPr>
          <w:rFonts w:ascii="宋体" w:hAnsi="宋体" w:eastAsia="宋体" w:cs="宋体"/>
          <w:b w:val="0"/>
          <w:sz w:val="21"/>
        </w:rPr>
        <w:tab/>
      </w:r>
      <w:r>
        <w:rPr>
          <w:rFonts w:ascii="宋体" w:hAnsi="宋体" w:eastAsia="宋体" w:cs="宋体"/>
          <w:b w:val="0"/>
          <w:sz w:val="21"/>
        </w:rPr>
        <w:t>201</w:t>
      </w:r>
    </w:p>
    <w:p w14:paraId="77224EF6">
      <w:pPr>
        <w:tabs>
          <w:tab w:val="right" w:leader="dot" w:pos="8306"/>
        </w:tabs>
        <w:spacing w:line="480" w:lineRule="exact"/>
      </w:pPr>
      <w:r>
        <w:rPr>
          <w:rFonts w:ascii="宋体" w:hAnsi="宋体" w:eastAsia="宋体" w:cs="宋体"/>
          <w:b w:val="0"/>
          <w:sz w:val="21"/>
        </w:rPr>
        <w:t>《戏剧表演》课程教学大纲</w:t>
      </w:r>
      <w:r>
        <w:rPr>
          <w:rFonts w:ascii="宋体" w:hAnsi="宋体" w:eastAsia="宋体" w:cs="宋体"/>
          <w:b w:val="0"/>
          <w:sz w:val="21"/>
        </w:rPr>
        <w:tab/>
      </w:r>
      <w:r>
        <w:rPr>
          <w:rFonts w:ascii="宋体" w:hAnsi="宋体" w:eastAsia="宋体" w:cs="宋体"/>
          <w:b w:val="0"/>
          <w:sz w:val="21"/>
        </w:rPr>
        <w:t>207</w:t>
      </w:r>
    </w:p>
    <w:p w14:paraId="4189461A">
      <w:pPr>
        <w:tabs>
          <w:tab w:val="right" w:leader="dot" w:pos="8306"/>
        </w:tabs>
        <w:spacing w:line="480" w:lineRule="exact"/>
      </w:pPr>
      <w:r>
        <w:rPr>
          <w:rFonts w:ascii="宋体" w:hAnsi="宋体" w:eastAsia="宋体" w:cs="宋体"/>
          <w:b w:val="0"/>
          <w:sz w:val="21"/>
        </w:rPr>
        <w:t>《教育学》课程教学大纲</w:t>
      </w:r>
      <w:r>
        <w:rPr>
          <w:rFonts w:ascii="宋体" w:hAnsi="宋体" w:eastAsia="宋体" w:cs="宋体"/>
          <w:b w:val="0"/>
          <w:sz w:val="21"/>
        </w:rPr>
        <w:tab/>
      </w:r>
      <w:r>
        <w:rPr>
          <w:rFonts w:ascii="宋体" w:hAnsi="宋体" w:eastAsia="宋体" w:cs="宋体"/>
          <w:b w:val="0"/>
          <w:sz w:val="21"/>
        </w:rPr>
        <w:t>215</w:t>
      </w:r>
    </w:p>
    <w:p w14:paraId="0782E824">
      <w:pPr>
        <w:tabs>
          <w:tab w:val="right" w:leader="dot" w:pos="8306"/>
        </w:tabs>
        <w:spacing w:line="480" w:lineRule="exact"/>
      </w:pPr>
      <w:r>
        <w:rPr>
          <w:rFonts w:ascii="宋体" w:hAnsi="宋体" w:eastAsia="宋体" w:cs="宋体"/>
          <w:b w:val="0"/>
          <w:sz w:val="21"/>
        </w:rPr>
        <w:t>《音乐学科教学论》课程教学大纲</w:t>
      </w:r>
      <w:r>
        <w:rPr>
          <w:rFonts w:ascii="宋体" w:hAnsi="宋体" w:eastAsia="宋体" w:cs="宋体"/>
          <w:b w:val="0"/>
          <w:sz w:val="21"/>
        </w:rPr>
        <w:tab/>
      </w:r>
      <w:r>
        <w:rPr>
          <w:rFonts w:ascii="宋体" w:hAnsi="宋体" w:eastAsia="宋体" w:cs="宋体"/>
          <w:b w:val="0"/>
          <w:sz w:val="21"/>
        </w:rPr>
        <w:t>222</w:t>
      </w:r>
    </w:p>
    <w:p w14:paraId="135440F3">
      <w:pPr>
        <w:tabs>
          <w:tab w:val="right" w:leader="dot" w:pos="8306"/>
        </w:tabs>
        <w:spacing w:line="480" w:lineRule="exact"/>
      </w:pPr>
      <w:r>
        <w:rPr>
          <w:rFonts w:ascii="宋体" w:hAnsi="宋体" w:eastAsia="宋体" w:cs="宋体"/>
          <w:b w:val="0"/>
          <w:sz w:val="21"/>
        </w:rPr>
        <w:t>《学校音乐教育实践技能训练(中小学歌曲弹唱)》课程教学大纲</w:t>
      </w:r>
      <w:r>
        <w:rPr>
          <w:rFonts w:ascii="宋体" w:hAnsi="宋体" w:eastAsia="宋体" w:cs="宋体"/>
          <w:b w:val="0"/>
          <w:sz w:val="21"/>
        </w:rPr>
        <w:tab/>
      </w:r>
      <w:r>
        <w:rPr>
          <w:rFonts w:ascii="宋体" w:hAnsi="宋体" w:eastAsia="宋体" w:cs="宋体"/>
          <w:b w:val="0"/>
          <w:sz w:val="21"/>
        </w:rPr>
        <w:t>229</w:t>
      </w:r>
    </w:p>
    <w:p w14:paraId="088A7FD0">
      <w:pPr>
        <w:rPr>
          <w:sz w:val="2"/>
          <w:szCs w:val="2"/>
        </w:rPr>
        <w:sectPr>
          <w:headerReference r:id="rId41" w:type="default"/>
          <w:footerReference r:id="rId42" w:type="default"/>
          <w:pgSz w:w="11906" w:h="16838"/>
          <w:pgMar w:top="1440" w:right="1800" w:bottom="1440" w:left="1800" w:header="851" w:footer="992" w:gutter="0"/>
          <w:cols w:space="425" w:num="1"/>
          <w:docGrid w:type="lines" w:linePitch="312" w:charSpace="0"/>
        </w:sectPr>
      </w:pPr>
    </w:p>
    <w:p w14:paraId="3D8C6344">
      <w:pPr>
        <w:adjustRightInd w:val="0"/>
        <w:snapToGrid w:val="0"/>
        <w:spacing w:line="560" w:lineRule="exact"/>
        <w:jc w:val="center"/>
        <w:rPr>
          <w:rFonts w:hint="eastAsia" w:eastAsia="方正小标宋简体"/>
          <w:sz w:val="44"/>
          <w:szCs w:val="44"/>
        </w:rPr>
      </w:pPr>
      <w:r>
        <w:rPr>
          <w:rFonts w:hint="eastAsia" w:eastAsia="方正小标宋简体"/>
          <w:sz w:val="44"/>
          <w:szCs w:val="44"/>
        </w:rPr>
        <w:t>三明学院音乐学（音乐教育）专业</w:t>
      </w:r>
    </w:p>
    <w:p w14:paraId="15816D1B">
      <w:pPr>
        <w:pStyle w:val="2"/>
        <w:pageBreakBefore w:val="0"/>
        <w:kinsoku/>
        <w:overflowPunct/>
        <w:topLinePunct w:val="0"/>
        <w:bidi w:val="0"/>
        <w:spacing w:before="0" w:beforeAutospacing="0" w:after="0" w:afterAutospacing="0" w:line="240" w:lineRule="auto"/>
        <w:jc w:val="center"/>
        <w:rPr>
          <w:rFonts w:hint="eastAsia" w:eastAsia="方正小标宋简体"/>
          <w:sz w:val="24"/>
          <w:szCs w:val="24"/>
        </w:rPr>
      </w:pPr>
      <w:bookmarkStart w:id="87" w:name="_Toc98203799"/>
      <w:bookmarkStart w:id="88" w:name="_Toc1632157301"/>
      <w:r>
        <w:rPr>
          <w:rFonts w:hint="eastAsia" w:ascii="方正小标宋简体" w:hAnsi="方正小标宋简体" w:eastAsia="方正小标宋简体" w:cs="方正小标宋简体"/>
          <w:b w:val="0"/>
          <w:bCs w:val="0"/>
          <w:sz w:val="44"/>
          <w:szCs w:val="44"/>
          <w:lang w:val="en-US" w:eastAsia="zh-CN"/>
        </w:rPr>
        <w:t>《习近平总书记关于教育的重要论述研究》课程教学大纲</w:t>
      </w:r>
      <w:bookmarkEnd w:id="87"/>
      <w:bookmarkEnd w:id="88"/>
    </w:p>
    <w:tbl>
      <w:tblPr>
        <w:tblStyle w:val="2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28" w:type="dxa"/>
        </w:tblCellMar>
      </w:tblPr>
      <w:tblGrid>
        <w:gridCol w:w="1181"/>
        <w:gridCol w:w="873"/>
        <w:gridCol w:w="66"/>
        <w:gridCol w:w="242"/>
        <w:gridCol w:w="1077"/>
        <w:gridCol w:w="934"/>
        <w:gridCol w:w="40"/>
        <w:gridCol w:w="208"/>
        <w:gridCol w:w="633"/>
        <w:gridCol w:w="633"/>
        <w:gridCol w:w="543"/>
        <w:gridCol w:w="90"/>
        <w:gridCol w:w="634"/>
        <w:gridCol w:w="266"/>
        <w:gridCol w:w="369"/>
        <w:gridCol w:w="547"/>
      </w:tblGrid>
      <w:tr w14:paraId="0DAB12E2">
        <w:trPr>
          <w:trHeight w:val="808" w:hRule="atLeast"/>
        </w:trPr>
        <w:tc>
          <w:tcPr>
            <w:tcW w:w="744" w:type="pct"/>
            <w:noWrap w:val="0"/>
            <w:vAlign w:val="center"/>
          </w:tcPr>
          <w:p w14:paraId="035245D2">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课程名称</w:t>
            </w:r>
          </w:p>
        </w:tc>
        <w:tc>
          <w:tcPr>
            <w:tcW w:w="2616" w:type="pct"/>
            <w:gridSpan w:val="8"/>
            <w:noWrap w:val="0"/>
            <w:vAlign w:val="center"/>
          </w:tcPr>
          <w:p w14:paraId="1B2EE264">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rPr>
              <w:t>习近平总书记关于教育的重要论述研究</w:t>
            </w:r>
          </w:p>
        </w:tc>
        <w:tc>
          <w:tcPr>
            <w:tcW w:w="311" w:type="pct"/>
            <w:noWrap w:val="0"/>
            <w:vAlign w:val="center"/>
          </w:tcPr>
          <w:p w14:paraId="5FBFF0CB">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w:t>
            </w:r>
          </w:p>
          <w:p w14:paraId="23BC822E">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代码</w:t>
            </w:r>
          </w:p>
        </w:tc>
        <w:tc>
          <w:tcPr>
            <w:tcW w:w="1327" w:type="pct"/>
            <w:gridSpan w:val="6"/>
            <w:noWrap w:val="0"/>
            <w:vAlign w:val="center"/>
          </w:tcPr>
          <w:p w14:paraId="4D02ABE5">
            <w:pPr>
              <w:adjustRightInd w:val="0"/>
              <w:snapToGrid w:val="0"/>
              <w:spacing w:line="240" w:lineRule="atLeast"/>
              <w:jc w:val="center"/>
              <w:rPr>
                <w:rFonts w:ascii="仿宋" w:hAnsi="仿宋" w:eastAsia="仿宋" w:cs="仿宋"/>
                <w:color w:val="000000"/>
                <w:sz w:val="24"/>
              </w:rPr>
            </w:pPr>
            <w:r>
              <w:rPr>
                <w:rFonts w:hint="eastAsia" w:ascii="仿宋" w:hAnsi="仿宋" w:eastAsia="仿宋" w:cs="仿宋"/>
                <w:color w:val="000000"/>
                <w:sz w:val="24"/>
              </w:rPr>
              <w:t>5711110001</w:t>
            </w:r>
          </w:p>
        </w:tc>
      </w:tr>
      <w:tr w14:paraId="4672E4C3">
        <w:trPr>
          <w:trHeight w:val="454" w:hRule="atLeast"/>
        </w:trPr>
        <w:tc>
          <w:tcPr>
            <w:tcW w:w="744" w:type="pct"/>
            <w:noWrap w:val="0"/>
            <w:vAlign w:val="center"/>
          </w:tcPr>
          <w:p w14:paraId="071CA117">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课程类型</w:t>
            </w:r>
          </w:p>
        </w:tc>
        <w:tc>
          <w:tcPr>
            <w:tcW w:w="4255" w:type="pct"/>
            <w:gridSpan w:val="15"/>
            <w:noWrap w:val="0"/>
            <w:vAlign w:val="center"/>
          </w:tcPr>
          <w:p w14:paraId="50761A0B">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通识必修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通识选修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专业必修 </w:t>
            </w:r>
          </w:p>
          <w:p w14:paraId="77AC0E30">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专业选修</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教师教育必修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教师教育选修</w:t>
            </w:r>
          </w:p>
        </w:tc>
      </w:tr>
      <w:tr w14:paraId="76F92679">
        <w:trPr>
          <w:trHeight w:val="406" w:hRule="atLeast"/>
        </w:trPr>
        <w:tc>
          <w:tcPr>
            <w:tcW w:w="744" w:type="pct"/>
            <w:noWrap w:val="0"/>
            <w:vAlign w:val="center"/>
          </w:tcPr>
          <w:p w14:paraId="3EA4C360">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开课学期</w:t>
            </w:r>
          </w:p>
        </w:tc>
        <w:tc>
          <w:tcPr>
            <w:tcW w:w="816" w:type="pct"/>
            <w:gridSpan w:val="3"/>
            <w:noWrap w:val="0"/>
            <w:vAlign w:val="center"/>
          </w:tcPr>
          <w:p w14:paraId="376FAF3C">
            <w:pPr>
              <w:adjustRightInd w:val="0"/>
              <w:snapToGrid w:val="0"/>
              <w:spacing w:line="240" w:lineRule="atLeast"/>
              <w:jc w:val="center"/>
              <w:rPr>
                <w:rFonts w:hint="eastAsia" w:ascii="仿宋" w:hAnsi="仿宋" w:eastAsia="仿宋" w:cs="仿宋"/>
                <w:color w:val="4472C4"/>
                <w:sz w:val="24"/>
                <w:szCs w:val="24"/>
              </w:rPr>
            </w:pPr>
            <w:r>
              <w:rPr>
                <w:rFonts w:hint="eastAsia" w:ascii="仿宋" w:hAnsi="仿宋" w:eastAsia="仿宋" w:cs="仿宋"/>
                <w:color w:val="000000"/>
                <w:sz w:val="24"/>
              </w:rPr>
              <w:t>第4学期</w:t>
            </w:r>
          </w:p>
        </w:tc>
        <w:tc>
          <w:tcPr>
            <w:tcW w:w="682" w:type="pct"/>
            <w:noWrap w:val="0"/>
            <w:vAlign w:val="center"/>
          </w:tcPr>
          <w:p w14:paraId="0A15793A">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学分</w:t>
            </w:r>
          </w:p>
        </w:tc>
        <w:tc>
          <w:tcPr>
            <w:tcW w:w="656" w:type="pct"/>
            <w:gridSpan w:val="2"/>
            <w:noWrap w:val="0"/>
            <w:vAlign w:val="center"/>
          </w:tcPr>
          <w:p w14:paraId="3D6471B9">
            <w:pPr>
              <w:adjustRightInd w:val="0"/>
              <w:snapToGrid w:val="0"/>
              <w:spacing w:line="240" w:lineRule="atLeast"/>
              <w:jc w:val="center"/>
              <w:rPr>
                <w:rFonts w:hint="eastAsia" w:ascii="仿宋" w:hAnsi="仿宋" w:eastAsia="仿宋" w:cs="仿宋"/>
                <w:color w:val="000000"/>
                <w:sz w:val="24"/>
              </w:rPr>
            </w:pPr>
            <w:r>
              <w:rPr>
                <w:rFonts w:hint="eastAsia" w:ascii="仿宋" w:hAnsi="仿宋" w:eastAsia="仿宋" w:cs="仿宋"/>
                <w:color w:val="000000"/>
                <w:sz w:val="24"/>
              </w:rPr>
              <w:t>1</w:t>
            </w:r>
          </w:p>
        </w:tc>
        <w:tc>
          <w:tcPr>
            <w:tcW w:w="978" w:type="pct"/>
            <w:gridSpan w:val="4"/>
            <w:noWrap w:val="0"/>
            <w:vAlign w:val="center"/>
          </w:tcPr>
          <w:p w14:paraId="6689C99C">
            <w:pPr>
              <w:adjustRightInd w:val="0"/>
              <w:snapToGrid w:val="0"/>
              <w:spacing w:line="240" w:lineRule="atLeast"/>
              <w:jc w:val="center"/>
              <w:rPr>
                <w:rFonts w:hint="eastAsia" w:ascii="仿宋" w:hAnsi="仿宋" w:eastAsia="仿宋" w:cs="仿宋"/>
                <w:color w:val="4472C4"/>
                <w:sz w:val="24"/>
                <w:szCs w:val="24"/>
              </w:rPr>
            </w:pPr>
            <w:r>
              <w:rPr>
                <w:rFonts w:hint="eastAsia" w:ascii="仿宋" w:hAnsi="仿宋" w:eastAsia="仿宋" w:cs="仿宋"/>
                <w:color w:val="000000"/>
                <w:sz w:val="24"/>
              </w:rPr>
              <w:t>课程负责人</w:t>
            </w:r>
          </w:p>
        </w:tc>
        <w:tc>
          <w:tcPr>
            <w:tcW w:w="1122" w:type="pct"/>
            <w:gridSpan w:val="5"/>
            <w:noWrap w:val="0"/>
            <w:vAlign w:val="center"/>
          </w:tcPr>
          <w:p w14:paraId="18AECC7B">
            <w:pPr>
              <w:adjustRightInd w:val="0"/>
              <w:snapToGrid w:val="0"/>
              <w:spacing w:line="240" w:lineRule="atLeast"/>
              <w:jc w:val="center"/>
              <w:rPr>
                <w:rFonts w:hint="eastAsia" w:ascii="仿宋" w:hAnsi="仿宋" w:eastAsia="仿宋" w:cs="仿宋"/>
                <w:color w:val="4472C4"/>
                <w:sz w:val="24"/>
                <w:szCs w:val="24"/>
              </w:rPr>
            </w:pPr>
            <w:r>
              <w:rPr>
                <w:rFonts w:hint="eastAsia" w:ascii="仿宋" w:hAnsi="仿宋" w:eastAsia="仿宋" w:cs="仿宋"/>
                <w:color w:val="000000"/>
                <w:sz w:val="24"/>
              </w:rPr>
              <w:t>石雪梅</w:t>
            </w:r>
          </w:p>
        </w:tc>
      </w:tr>
      <w:tr w14:paraId="00D8FC13">
        <w:trPr>
          <w:trHeight w:val="485" w:hRule="atLeast"/>
        </w:trPr>
        <w:tc>
          <w:tcPr>
            <w:tcW w:w="744" w:type="pct"/>
            <w:noWrap w:val="0"/>
            <w:vAlign w:val="center"/>
          </w:tcPr>
          <w:p w14:paraId="0560674E">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总学时</w:t>
            </w:r>
          </w:p>
        </w:tc>
        <w:tc>
          <w:tcPr>
            <w:tcW w:w="816" w:type="pct"/>
            <w:gridSpan w:val="3"/>
            <w:noWrap w:val="0"/>
            <w:vAlign w:val="center"/>
          </w:tcPr>
          <w:p w14:paraId="6E5C7D12">
            <w:pPr>
              <w:adjustRightInd w:val="0"/>
              <w:snapToGrid w:val="0"/>
              <w:spacing w:line="240" w:lineRule="atLeast"/>
              <w:jc w:val="center"/>
              <w:rPr>
                <w:rFonts w:ascii="仿宋" w:hAnsi="仿宋" w:eastAsia="仿宋" w:cs="仿宋"/>
                <w:color w:val="000000"/>
                <w:sz w:val="24"/>
              </w:rPr>
            </w:pPr>
            <w:r>
              <w:rPr>
                <w:rFonts w:hint="eastAsia" w:ascii="仿宋" w:hAnsi="仿宋" w:eastAsia="仿宋" w:cs="仿宋"/>
                <w:color w:val="000000"/>
                <w:sz w:val="24"/>
              </w:rPr>
              <w:t>16</w:t>
            </w:r>
          </w:p>
        </w:tc>
        <w:tc>
          <w:tcPr>
            <w:tcW w:w="682" w:type="pct"/>
            <w:noWrap w:val="0"/>
            <w:vAlign w:val="center"/>
          </w:tcPr>
          <w:p w14:paraId="3CBD7B6C">
            <w:pPr>
              <w:adjustRightInd w:val="0"/>
              <w:snapToGrid w:val="0"/>
              <w:spacing w:line="240" w:lineRule="atLeast"/>
              <w:jc w:val="center"/>
              <w:rPr>
                <w:rFonts w:hint="eastAsia" w:ascii="仿宋" w:hAnsi="仿宋" w:eastAsia="仿宋" w:cs="仿宋"/>
                <w:color w:val="000000"/>
                <w:sz w:val="24"/>
              </w:rPr>
            </w:pPr>
            <w:r>
              <w:rPr>
                <w:rFonts w:hint="eastAsia" w:ascii="仿宋" w:hAnsi="仿宋" w:eastAsia="仿宋" w:cs="仿宋"/>
                <w:color w:val="000000"/>
                <w:sz w:val="24"/>
              </w:rPr>
              <w:t>理论学时</w:t>
            </w:r>
          </w:p>
        </w:tc>
        <w:tc>
          <w:tcPr>
            <w:tcW w:w="656" w:type="pct"/>
            <w:gridSpan w:val="2"/>
            <w:noWrap w:val="0"/>
            <w:vAlign w:val="center"/>
          </w:tcPr>
          <w:p w14:paraId="60F606CB">
            <w:pPr>
              <w:adjustRightInd w:val="0"/>
              <w:snapToGrid w:val="0"/>
              <w:spacing w:line="240" w:lineRule="atLeast"/>
              <w:jc w:val="center"/>
              <w:rPr>
                <w:rFonts w:ascii="仿宋" w:hAnsi="仿宋" w:eastAsia="仿宋" w:cs="仿宋"/>
                <w:color w:val="000000"/>
                <w:sz w:val="24"/>
              </w:rPr>
            </w:pPr>
            <w:r>
              <w:rPr>
                <w:rFonts w:hint="eastAsia" w:ascii="仿宋" w:hAnsi="仿宋" w:eastAsia="仿宋" w:cs="仿宋"/>
                <w:color w:val="000000"/>
                <w:sz w:val="24"/>
              </w:rPr>
              <w:t>16</w:t>
            </w:r>
          </w:p>
        </w:tc>
        <w:tc>
          <w:tcPr>
            <w:tcW w:w="978" w:type="pct"/>
            <w:gridSpan w:val="4"/>
            <w:tcBorders>
              <w:right w:val="single" w:color="000000" w:sz="4" w:space="0"/>
            </w:tcBorders>
            <w:noWrap w:val="0"/>
            <w:vAlign w:val="center"/>
          </w:tcPr>
          <w:p w14:paraId="1B45210D">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实践学时</w:t>
            </w:r>
          </w:p>
        </w:tc>
        <w:tc>
          <w:tcPr>
            <w:tcW w:w="1122" w:type="pct"/>
            <w:gridSpan w:val="5"/>
            <w:tcBorders>
              <w:left w:val="single" w:color="000000" w:sz="4" w:space="0"/>
            </w:tcBorders>
            <w:noWrap w:val="0"/>
            <w:vAlign w:val="center"/>
          </w:tcPr>
          <w:p w14:paraId="01FEC7F7">
            <w:pPr>
              <w:adjustRightInd w:val="0"/>
              <w:snapToGrid w:val="0"/>
              <w:spacing w:line="240" w:lineRule="atLeast"/>
              <w:jc w:val="center"/>
              <w:rPr>
                <w:rFonts w:hint="eastAsia" w:ascii="仿宋" w:hAnsi="仿宋" w:eastAsia="仿宋" w:cs="仿宋"/>
                <w:color w:val="4472C4"/>
                <w:sz w:val="24"/>
                <w:szCs w:val="24"/>
              </w:rPr>
            </w:pPr>
            <w:r>
              <w:rPr>
                <w:rFonts w:hint="eastAsia" w:ascii="仿宋" w:hAnsi="仿宋" w:eastAsia="仿宋" w:cs="仿宋"/>
                <w:color w:val="4472C4"/>
                <w:sz w:val="24"/>
                <w:szCs w:val="24"/>
              </w:rPr>
              <w:t>0</w:t>
            </w:r>
          </w:p>
        </w:tc>
      </w:tr>
      <w:tr w14:paraId="5177CE8A">
        <w:trPr>
          <w:trHeight w:val="1407" w:hRule="atLeast"/>
        </w:trPr>
        <w:tc>
          <w:tcPr>
            <w:tcW w:w="744" w:type="pct"/>
            <w:noWrap w:val="0"/>
            <w:vAlign w:val="center"/>
          </w:tcPr>
          <w:p w14:paraId="1332D0BE">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先修课程与后续课程</w:t>
            </w:r>
          </w:p>
        </w:tc>
        <w:tc>
          <w:tcPr>
            <w:tcW w:w="4255" w:type="pct"/>
            <w:gridSpan w:val="15"/>
            <w:noWrap w:val="0"/>
            <w:vAlign w:val="center"/>
          </w:tcPr>
          <w:p w14:paraId="7B526CA0">
            <w:pPr>
              <w:tabs>
                <w:tab w:val="left" w:pos="720"/>
              </w:tabs>
              <w:adjustRightInd w:val="0"/>
              <w:snapToGrid w:val="0"/>
              <w:jc w:val="left"/>
              <w:rPr>
                <w:rFonts w:ascii="仿宋" w:hAnsi="仿宋" w:eastAsia="仿宋" w:cs="仿宋"/>
                <w:color w:val="000000"/>
                <w:sz w:val="24"/>
              </w:rPr>
            </w:pPr>
            <w:r>
              <w:rPr>
                <w:rFonts w:hint="eastAsia" w:ascii="仿宋" w:hAnsi="仿宋" w:eastAsia="仿宋" w:cs="仿宋"/>
                <w:color w:val="000000"/>
                <w:sz w:val="24"/>
              </w:rPr>
              <w:t>先修课程：思想道德与法治、中国近现代史纲要、毛泽东思想和中国特色社会主义理论体系概论</w:t>
            </w:r>
          </w:p>
          <w:p w14:paraId="69BDC610">
            <w:pPr>
              <w:tabs>
                <w:tab w:val="left" w:pos="720"/>
              </w:tabs>
              <w:adjustRightInd w:val="0"/>
              <w:snapToGrid w:val="0"/>
              <w:jc w:val="left"/>
              <w:rPr>
                <w:rFonts w:hint="eastAsia" w:ascii="仿宋" w:hAnsi="仿宋" w:eastAsia="仿宋" w:cs="仿宋"/>
                <w:color w:val="000000"/>
                <w:sz w:val="24"/>
                <w:szCs w:val="24"/>
              </w:rPr>
            </w:pPr>
            <w:r>
              <w:rPr>
                <w:rFonts w:hint="eastAsia" w:ascii="仿宋" w:hAnsi="仿宋" w:eastAsia="仿宋" w:cs="仿宋"/>
                <w:color w:val="000000"/>
                <w:sz w:val="24"/>
              </w:rPr>
              <w:t>后续课程：马克思主义基本原理、习近平新时代中国特色社会主义思想</w:t>
            </w:r>
          </w:p>
        </w:tc>
      </w:tr>
      <w:tr w14:paraId="4EF17A0C">
        <w:trPr>
          <w:trHeight w:val="521" w:hRule="atLeast"/>
        </w:trPr>
        <w:tc>
          <w:tcPr>
            <w:tcW w:w="744" w:type="pct"/>
            <w:noWrap w:val="0"/>
            <w:vAlign w:val="center"/>
          </w:tcPr>
          <w:p w14:paraId="33689CFD">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适用专业</w:t>
            </w:r>
          </w:p>
        </w:tc>
        <w:tc>
          <w:tcPr>
            <w:tcW w:w="4255" w:type="pct"/>
            <w:gridSpan w:val="15"/>
            <w:noWrap w:val="0"/>
            <w:vAlign w:val="center"/>
          </w:tcPr>
          <w:p w14:paraId="24ECEC23">
            <w:pPr>
              <w:tabs>
                <w:tab w:val="left" w:pos="720"/>
              </w:tabs>
              <w:adjustRightInd w:val="0"/>
              <w:snapToGrid w:val="0"/>
              <w:jc w:val="center"/>
              <w:rPr>
                <w:rFonts w:hint="eastAsia" w:ascii="仿宋" w:hAnsi="仿宋" w:eastAsia="仿宋" w:cs="仿宋"/>
                <w:color w:val="000000"/>
                <w:sz w:val="24"/>
              </w:rPr>
            </w:pPr>
            <w:r>
              <w:rPr>
                <w:rFonts w:hint="eastAsia" w:ascii="仿宋" w:hAnsi="仿宋" w:eastAsia="仿宋" w:cs="仿宋"/>
                <w:color w:val="000000"/>
                <w:sz w:val="24"/>
              </w:rPr>
              <w:t>本科所有师范类专业</w:t>
            </w:r>
          </w:p>
        </w:tc>
      </w:tr>
      <w:tr w14:paraId="24AC10C6">
        <w:tc>
          <w:tcPr>
            <w:tcW w:w="744" w:type="pct"/>
            <w:tcBorders>
              <w:bottom w:val="single" w:color="auto" w:sz="4" w:space="0"/>
            </w:tcBorders>
            <w:noWrap w:val="0"/>
            <w:vAlign w:val="center"/>
          </w:tcPr>
          <w:p w14:paraId="1E07AF02">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A</w:t>
            </w:r>
          </w:p>
          <w:p w14:paraId="65D0C5A3">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参考教材</w:t>
            </w:r>
          </w:p>
        </w:tc>
        <w:tc>
          <w:tcPr>
            <w:tcW w:w="4255" w:type="pct"/>
            <w:gridSpan w:val="15"/>
            <w:tcBorders>
              <w:bottom w:val="single" w:color="auto" w:sz="4" w:space="0"/>
            </w:tcBorders>
            <w:noWrap w:val="0"/>
            <w:vAlign w:val="center"/>
          </w:tcPr>
          <w:p w14:paraId="21170670">
            <w:pPr>
              <w:adjustRightInd w:val="0"/>
              <w:snapToGrid w:val="0"/>
              <w:rPr>
                <w:rFonts w:hint="eastAsia" w:ascii="仿宋" w:hAnsi="仿宋" w:eastAsia="仿宋" w:cs="仿宋"/>
                <w:color w:val="000000"/>
                <w:sz w:val="24"/>
              </w:rPr>
            </w:pPr>
            <w:r>
              <w:rPr>
                <w:rFonts w:hint="eastAsia" w:ascii="仿宋" w:hAnsi="仿宋" w:eastAsia="仿宋" w:cs="仿宋"/>
                <w:color w:val="000000"/>
                <w:sz w:val="24"/>
              </w:rPr>
              <w:t>本书编写组.习近平总书记教育重要论述讲义，高等教育出版社，2020年版</w:t>
            </w:r>
          </w:p>
        </w:tc>
      </w:tr>
      <w:tr w14:paraId="54BEBC6A">
        <w:trPr>
          <w:trHeight w:val="3240" w:hRule="atLeast"/>
        </w:trPr>
        <w:tc>
          <w:tcPr>
            <w:tcW w:w="744" w:type="pct"/>
            <w:tcBorders>
              <w:bottom w:val="single" w:color="auto" w:sz="4" w:space="0"/>
            </w:tcBorders>
            <w:noWrap w:val="0"/>
            <w:vAlign w:val="center"/>
          </w:tcPr>
          <w:p w14:paraId="754FEEBD">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B</w:t>
            </w:r>
          </w:p>
          <w:p w14:paraId="7A5922E5">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主要参考书籍</w:t>
            </w:r>
          </w:p>
        </w:tc>
        <w:tc>
          <w:tcPr>
            <w:tcW w:w="4255" w:type="pct"/>
            <w:gridSpan w:val="15"/>
            <w:tcBorders>
              <w:bottom w:val="single" w:color="auto" w:sz="4" w:space="0"/>
            </w:tcBorders>
            <w:noWrap w:val="0"/>
            <w:vAlign w:val="center"/>
          </w:tcPr>
          <w:p w14:paraId="267A2545">
            <w:pPr>
              <w:adjustRightInd w:val="0"/>
              <w:snapToGrid w:val="0"/>
              <w:ind w:firstLine="480" w:firstLineChars="200"/>
              <w:rPr>
                <w:rFonts w:hint="eastAsia" w:ascii="仿宋" w:hAnsi="仿宋" w:eastAsia="仿宋" w:cs="仿宋"/>
                <w:color w:val="000000"/>
                <w:sz w:val="24"/>
              </w:rPr>
            </w:pPr>
          </w:p>
          <w:p w14:paraId="2E0BC183">
            <w:pPr>
              <w:adjustRightInd w:val="0"/>
              <w:snapToGrid w:val="0"/>
              <w:ind w:firstLine="480" w:firstLineChars="200"/>
              <w:rPr>
                <w:rFonts w:hint="eastAsia" w:ascii="仿宋" w:hAnsi="仿宋" w:eastAsia="仿宋" w:cs="仿宋"/>
                <w:color w:val="000000"/>
                <w:sz w:val="24"/>
              </w:rPr>
            </w:pPr>
            <w:r>
              <w:rPr>
                <w:rFonts w:hint="eastAsia" w:ascii="仿宋" w:hAnsi="仿宋" w:eastAsia="仿宋" w:cs="仿宋"/>
                <w:color w:val="000000"/>
                <w:sz w:val="24"/>
              </w:rPr>
              <w:t>[1] 教育部课题组，《深入学习习近平关于教育的重要论述》人民出版社，2019年</w:t>
            </w:r>
          </w:p>
          <w:p w14:paraId="5FE8FF4A">
            <w:pPr>
              <w:adjustRightInd w:val="0"/>
              <w:snapToGrid w:val="0"/>
              <w:ind w:firstLine="480" w:firstLineChars="200"/>
              <w:rPr>
                <w:rFonts w:hint="eastAsia" w:ascii="仿宋" w:hAnsi="仿宋" w:eastAsia="仿宋" w:cs="仿宋"/>
                <w:color w:val="000000"/>
                <w:sz w:val="24"/>
              </w:rPr>
            </w:pPr>
            <w:r>
              <w:rPr>
                <w:rFonts w:hint="eastAsia" w:ascii="仿宋" w:hAnsi="仿宋" w:eastAsia="仿宋" w:cs="仿宋"/>
                <w:color w:val="000000"/>
                <w:sz w:val="24"/>
              </w:rPr>
              <w:t>[2]本书编写组，《习近平与大学生朋友们》，中国青年出版社，2021年</w:t>
            </w:r>
          </w:p>
          <w:p w14:paraId="77691F77">
            <w:pPr>
              <w:adjustRightInd w:val="0"/>
              <w:snapToGrid w:val="0"/>
              <w:ind w:firstLine="480" w:firstLineChars="200"/>
              <w:rPr>
                <w:rFonts w:hint="eastAsia" w:ascii="仿宋" w:hAnsi="仿宋" w:eastAsia="仿宋" w:cs="仿宋"/>
                <w:color w:val="000000"/>
                <w:sz w:val="24"/>
              </w:rPr>
            </w:pPr>
            <w:r>
              <w:rPr>
                <w:rFonts w:hint="eastAsia" w:ascii="仿宋" w:hAnsi="仿宋" w:eastAsia="仿宋" w:cs="仿宋"/>
                <w:color w:val="000000"/>
                <w:sz w:val="24"/>
              </w:rPr>
              <w:t>[3]《习近平在全国教育大会上强调;坚持中国特色社会主义教育发展道路培养德智体美劳全面发展的社会主义建设者和接班人》，人民日报，2018年9月</w:t>
            </w:r>
          </w:p>
          <w:p w14:paraId="185D8AE5">
            <w:pPr>
              <w:adjustRightInd w:val="0"/>
              <w:snapToGrid w:val="0"/>
              <w:ind w:firstLine="480" w:firstLineChars="200"/>
              <w:rPr>
                <w:rFonts w:hint="eastAsia" w:ascii="仿宋" w:hAnsi="仿宋" w:eastAsia="仿宋" w:cs="仿宋"/>
                <w:color w:val="000000"/>
                <w:sz w:val="24"/>
              </w:rPr>
            </w:pPr>
            <w:r>
              <w:rPr>
                <w:rFonts w:hint="eastAsia" w:ascii="仿宋" w:hAnsi="仿宋" w:eastAsia="仿宋" w:cs="仿宋"/>
                <w:color w:val="000000"/>
                <w:sz w:val="24"/>
              </w:rPr>
              <w:t>[4]《习近平在全国高校思想政治工作会议上强调：把思想政治工作贯穿教育教学全过程 开创我国高等教育事业发展新局面》，人民日报，2016年12月</w:t>
            </w:r>
          </w:p>
          <w:p w14:paraId="1C3FE9F1">
            <w:pPr>
              <w:adjustRightInd w:val="0"/>
              <w:snapToGrid w:val="0"/>
              <w:ind w:firstLine="480" w:firstLineChars="200"/>
              <w:rPr>
                <w:rFonts w:hint="eastAsia" w:ascii="仿宋" w:hAnsi="仿宋" w:eastAsia="仿宋" w:cs="仿宋"/>
                <w:color w:val="000000"/>
                <w:sz w:val="24"/>
              </w:rPr>
            </w:pPr>
            <w:r>
              <w:rPr>
                <w:rFonts w:hint="eastAsia" w:ascii="仿宋" w:hAnsi="仿宋" w:eastAsia="仿宋" w:cs="仿宋"/>
                <w:color w:val="000000"/>
                <w:sz w:val="24"/>
              </w:rPr>
              <w:t>[5]习近平，习近平谈治国理政，外文出版社</w:t>
            </w:r>
          </w:p>
          <w:p w14:paraId="18B64B58">
            <w:pPr>
              <w:adjustRightInd w:val="0"/>
              <w:snapToGrid w:val="0"/>
              <w:ind w:firstLine="480" w:firstLineChars="200"/>
              <w:rPr>
                <w:rFonts w:hint="eastAsia" w:ascii="仿宋" w:hAnsi="仿宋" w:eastAsia="仿宋" w:cs="仿宋"/>
                <w:color w:val="000000"/>
                <w:sz w:val="24"/>
              </w:rPr>
            </w:pPr>
          </w:p>
        </w:tc>
      </w:tr>
      <w:tr w14:paraId="4A83AE66">
        <w:trPr>
          <w:trHeight w:val="1152" w:hRule="atLeast"/>
        </w:trPr>
        <w:tc>
          <w:tcPr>
            <w:tcW w:w="744" w:type="pct"/>
            <w:tcBorders>
              <w:bottom w:val="single" w:color="auto" w:sz="4" w:space="0"/>
            </w:tcBorders>
            <w:noWrap w:val="0"/>
            <w:vAlign w:val="center"/>
          </w:tcPr>
          <w:p w14:paraId="65D68B0F">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C</w:t>
            </w:r>
          </w:p>
          <w:p w14:paraId="7BC6146D">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线上学习资源</w:t>
            </w:r>
          </w:p>
        </w:tc>
        <w:tc>
          <w:tcPr>
            <w:tcW w:w="4255" w:type="pct"/>
            <w:gridSpan w:val="15"/>
            <w:tcBorders>
              <w:bottom w:val="single" w:color="auto" w:sz="4" w:space="0"/>
            </w:tcBorders>
            <w:noWrap w:val="0"/>
            <w:vAlign w:val="center"/>
          </w:tcPr>
          <w:p w14:paraId="4DDC132E">
            <w:pPr>
              <w:adjustRightInd w:val="0"/>
              <w:snapToGrid w:val="0"/>
              <w:ind w:firstLine="480" w:firstLineChars="200"/>
              <w:rPr>
                <w:rFonts w:hint="eastAsia" w:ascii="仿宋" w:hAnsi="仿宋" w:eastAsia="仿宋" w:cs="仿宋"/>
                <w:color w:val="000000"/>
                <w:sz w:val="24"/>
              </w:rPr>
            </w:pPr>
            <w:r>
              <w:rPr>
                <w:rFonts w:hint="eastAsia" w:ascii="仿宋" w:hAnsi="仿宋" w:eastAsia="仿宋" w:cs="仿宋"/>
                <w:color w:val="000000"/>
                <w:sz w:val="24"/>
              </w:rPr>
              <w:t>本课程授课教师已将教学资源上传至超星网络学习平台，学生登陆可查看教学大纲、授课计划、考核方法、教学视频等教学资源。</w:t>
            </w:r>
          </w:p>
        </w:tc>
      </w:tr>
      <w:tr w14:paraId="472D7DD0">
        <w:trPr>
          <w:trHeight w:val="3203" w:hRule="atLeast"/>
        </w:trPr>
        <w:tc>
          <w:tcPr>
            <w:tcW w:w="744" w:type="pct"/>
            <w:shd w:val="clear" w:color="auto" w:fill="FFFFFF"/>
            <w:noWrap w:val="0"/>
            <w:vAlign w:val="center"/>
          </w:tcPr>
          <w:p w14:paraId="4E648ACB">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D</w:t>
            </w:r>
          </w:p>
          <w:p w14:paraId="42237D09">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课程描述 </w:t>
            </w:r>
          </w:p>
          <w:p w14:paraId="3660A547">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lang w:eastAsia="zh-TW"/>
              </w:rPr>
              <w:t>(</w:t>
            </w:r>
            <w:r>
              <w:rPr>
                <w:rFonts w:hint="eastAsia" w:ascii="仿宋" w:hAnsi="仿宋" w:eastAsia="仿宋" w:cs="仿宋"/>
                <w:color w:val="000000"/>
                <w:sz w:val="24"/>
                <w:szCs w:val="24"/>
              </w:rPr>
              <w:t>含</w:t>
            </w:r>
            <w:r>
              <w:rPr>
                <w:rFonts w:hint="eastAsia" w:ascii="仿宋" w:hAnsi="仿宋" w:eastAsia="仿宋" w:cs="仿宋"/>
                <w:color w:val="000000"/>
                <w:sz w:val="24"/>
                <w:szCs w:val="24"/>
                <w:lang w:eastAsia="zh-TW"/>
              </w:rPr>
              <w:t>性质、地位和任务)</w:t>
            </w:r>
          </w:p>
        </w:tc>
        <w:tc>
          <w:tcPr>
            <w:tcW w:w="4255" w:type="pct"/>
            <w:gridSpan w:val="15"/>
            <w:tcBorders>
              <w:bottom w:val="single" w:color="auto" w:sz="4" w:space="0"/>
            </w:tcBorders>
            <w:shd w:val="clear" w:color="auto" w:fill="FFFFFF"/>
            <w:noWrap w:val="0"/>
            <w:vAlign w:val="center"/>
          </w:tcPr>
          <w:p w14:paraId="2038ED78">
            <w:pPr>
              <w:adjustRightInd w:val="0"/>
              <w:snapToGrid w:val="0"/>
              <w:ind w:firstLine="480" w:firstLineChars="200"/>
              <w:rPr>
                <w:rFonts w:hint="eastAsia" w:ascii="仿宋" w:hAnsi="仿宋" w:eastAsia="仿宋" w:cs="仿宋"/>
                <w:color w:val="000000"/>
                <w:sz w:val="24"/>
              </w:rPr>
            </w:pPr>
            <w:r>
              <w:rPr>
                <w:rFonts w:hint="eastAsia" w:ascii="仿宋" w:hAnsi="仿宋" w:eastAsia="仿宋" w:cs="仿宋"/>
                <w:color w:val="000000"/>
                <w:sz w:val="24"/>
              </w:rPr>
              <w:t>本课程是所有师范本科专业的通识教育课程，是师范专业学生学习和掌握对习近平总书记关于教育重要论述的核心要义和理论精髓课程。通过系统学习习近平总书记教育重要论述的科学内涵；理解习近平总书记教育重要论述的理论价值与现实意义，能够对习近平总书记关于教育重要论述的核心要义和理论精髓切实学深悟透，提高对中国特色社会主义教育事业建设规律的新认识，真正做到知行合一，善于运用教育规律处理实际教学问题，自觉做习近平总书记关于教育的重要论述的坚定信仰者、忠实实践者，筑牢信仰之基，增强落实立德树人根本任务的责任感、使命感。</w:t>
            </w:r>
          </w:p>
        </w:tc>
      </w:tr>
      <w:tr w14:paraId="77AADF94">
        <w:trPr>
          <w:trHeight w:val="2541" w:hRule="atLeast"/>
        </w:trPr>
        <w:tc>
          <w:tcPr>
            <w:tcW w:w="744" w:type="pct"/>
            <w:vMerge w:val="restart"/>
            <w:shd w:val="clear" w:color="auto" w:fill="FFFFFF"/>
            <w:noWrap w:val="0"/>
            <w:vAlign w:val="center"/>
          </w:tcPr>
          <w:p w14:paraId="300CC747">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E</w:t>
            </w:r>
          </w:p>
          <w:p w14:paraId="56A90C7D">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课程学习目标及其与毕业要求的对应关系</w:t>
            </w:r>
          </w:p>
        </w:tc>
        <w:tc>
          <w:tcPr>
            <w:tcW w:w="4255" w:type="pct"/>
            <w:gridSpan w:val="15"/>
            <w:tcBorders>
              <w:bottom w:val="single" w:color="auto" w:sz="4" w:space="0"/>
            </w:tcBorders>
            <w:shd w:val="clear" w:color="auto" w:fill="FFFFFF"/>
            <w:noWrap w:val="0"/>
            <w:vAlign w:val="center"/>
          </w:tcPr>
          <w:p w14:paraId="404A00FB">
            <w:pPr>
              <w:adjustRightInd w:val="0"/>
              <w:snapToGrid w:val="0"/>
              <w:rPr>
                <w:rFonts w:hint="eastAsia" w:ascii="仿宋" w:hAnsi="仿宋" w:eastAsia="仿宋" w:cs="仿宋"/>
                <w:color w:val="000000"/>
                <w:sz w:val="24"/>
              </w:rPr>
            </w:pPr>
            <w:r>
              <w:rPr>
                <w:rFonts w:hint="eastAsia" w:ascii="仿宋" w:hAnsi="仿宋" w:eastAsia="仿宋" w:cs="仿宋"/>
                <w:color w:val="000000"/>
                <w:sz w:val="24"/>
              </w:rPr>
              <w:t>通过本课程的学习，学生具备如下知识、能力及情感态度价值观：</w:t>
            </w:r>
          </w:p>
          <w:p w14:paraId="32B870A5">
            <w:pPr>
              <w:adjustRightInd w:val="0"/>
              <w:snapToGrid w:val="0"/>
              <w:ind w:firstLine="480" w:firstLineChars="200"/>
              <w:rPr>
                <w:rFonts w:hint="eastAsia" w:ascii="仿宋" w:hAnsi="仿宋" w:eastAsia="仿宋" w:cs="仿宋"/>
                <w:color w:val="000000"/>
                <w:sz w:val="24"/>
              </w:rPr>
            </w:pPr>
            <w:r>
              <w:rPr>
                <w:rFonts w:hint="eastAsia" w:ascii="仿宋" w:hAnsi="仿宋" w:eastAsia="仿宋" w:cs="仿宋"/>
                <w:color w:val="000000"/>
                <w:sz w:val="24"/>
              </w:rPr>
              <w:t>课程目标1：(知识目标)</w:t>
            </w:r>
            <w:r>
              <w:rPr>
                <w:rFonts w:ascii="仿宋" w:hAnsi="仿宋" w:eastAsia="仿宋" w:cs="仿宋"/>
                <w:color w:val="000000"/>
                <w:sz w:val="24"/>
              </w:rPr>
              <w:t>掌握</w:t>
            </w:r>
            <w:r>
              <w:rPr>
                <w:rFonts w:hint="eastAsia" w:ascii="仿宋" w:hAnsi="仿宋" w:eastAsia="仿宋" w:cs="仿宋"/>
                <w:color w:val="000000"/>
                <w:sz w:val="24"/>
              </w:rPr>
              <w:t>习近平总书记关于教育的重要论述的核心内涵，完整的理论体系。</w:t>
            </w:r>
          </w:p>
          <w:p w14:paraId="1829A44F">
            <w:pPr>
              <w:adjustRightInd w:val="0"/>
              <w:snapToGrid w:val="0"/>
              <w:ind w:firstLine="480" w:firstLineChars="200"/>
              <w:rPr>
                <w:rFonts w:ascii="仿宋" w:hAnsi="仿宋" w:eastAsia="仿宋" w:cs="仿宋"/>
                <w:color w:val="000000"/>
                <w:sz w:val="24"/>
              </w:rPr>
            </w:pPr>
            <w:r>
              <w:rPr>
                <w:rFonts w:hint="eastAsia" w:ascii="仿宋" w:hAnsi="仿宋" w:eastAsia="仿宋" w:cs="仿宋"/>
                <w:color w:val="000000"/>
                <w:sz w:val="24"/>
              </w:rPr>
              <w:t>课程目标2：（能力目标）</w:t>
            </w:r>
            <w:r>
              <w:rPr>
                <w:rFonts w:ascii="仿宋" w:hAnsi="仿宋" w:eastAsia="仿宋" w:cs="仿宋"/>
                <w:color w:val="000000"/>
                <w:sz w:val="24"/>
              </w:rPr>
              <w:t>理解习近平总书记教育重要论述的理论价值与现实意义。能够对习近平总书记关于教育重要论述的核心要义和理论精髓切实学深悟透，提高对中国特色社会主义教育事业建设规律的新认识，真正做到知行合一，善于运用</w:t>
            </w:r>
            <w:r>
              <w:rPr>
                <w:rFonts w:hint="eastAsia" w:ascii="仿宋" w:hAnsi="仿宋" w:eastAsia="仿宋" w:cs="仿宋"/>
                <w:color w:val="000000"/>
                <w:sz w:val="24"/>
              </w:rPr>
              <w:t>教育</w:t>
            </w:r>
            <w:r>
              <w:rPr>
                <w:rFonts w:ascii="仿宋" w:hAnsi="仿宋" w:eastAsia="仿宋" w:cs="仿宋"/>
                <w:color w:val="000000"/>
                <w:sz w:val="24"/>
              </w:rPr>
              <w:t>规律处理实际</w:t>
            </w:r>
            <w:r>
              <w:rPr>
                <w:rFonts w:hint="eastAsia" w:ascii="仿宋" w:hAnsi="仿宋" w:eastAsia="仿宋" w:cs="仿宋"/>
                <w:color w:val="000000"/>
                <w:sz w:val="24"/>
              </w:rPr>
              <w:t>教学中遇到的</w:t>
            </w:r>
            <w:r>
              <w:rPr>
                <w:rFonts w:ascii="仿宋" w:hAnsi="仿宋" w:eastAsia="仿宋" w:cs="仿宋"/>
                <w:color w:val="000000"/>
                <w:sz w:val="24"/>
              </w:rPr>
              <w:t>问题。</w:t>
            </w:r>
          </w:p>
          <w:p w14:paraId="24039351">
            <w:pPr>
              <w:adjustRightInd w:val="0"/>
              <w:snapToGrid w:val="0"/>
              <w:ind w:firstLine="480" w:firstLineChars="200"/>
              <w:rPr>
                <w:rFonts w:ascii="仿宋" w:hAnsi="仿宋" w:eastAsia="仿宋" w:cs="仿宋"/>
                <w:color w:val="000000"/>
                <w:sz w:val="24"/>
              </w:rPr>
            </w:pPr>
            <w:r>
              <w:rPr>
                <w:rFonts w:hint="eastAsia" w:ascii="仿宋" w:hAnsi="仿宋" w:eastAsia="仿宋" w:cs="仿宋"/>
                <w:color w:val="000000"/>
                <w:sz w:val="24"/>
              </w:rPr>
              <w:t>课程目标3：（价值目标）</w:t>
            </w:r>
            <w:r>
              <w:rPr>
                <w:rFonts w:ascii="仿宋" w:hAnsi="仿宋" w:eastAsia="仿宋" w:cs="仿宋"/>
                <w:color w:val="000000"/>
                <w:sz w:val="24"/>
              </w:rPr>
              <w:t>能够自觉做习近平总书记关于教育的重要论述的坚定信仰者、忠实实践者，筑牢信仰之基，增强落实立德树人根本任务的责任感、使命感。</w:t>
            </w:r>
            <w:r>
              <w:rPr>
                <w:rFonts w:hint="eastAsia" w:ascii="仿宋" w:hAnsi="仿宋" w:eastAsia="仿宋" w:cs="仿宋"/>
                <w:color w:val="000000"/>
                <w:sz w:val="24"/>
              </w:rPr>
              <w:t>确立正确的价值导向，树立正确的教师职业道德观。</w:t>
            </w:r>
          </w:p>
          <w:p w14:paraId="37229AF9">
            <w:pPr>
              <w:adjustRightInd w:val="0"/>
              <w:snapToGrid w:val="0"/>
              <w:rPr>
                <w:rFonts w:hint="eastAsia" w:ascii="仿宋" w:hAnsi="仿宋" w:eastAsia="仿宋" w:cs="仿宋"/>
                <w:color w:val="000000"/>
                <w:sz w:val="24"/>
              </w:rPr>
            </w:pPr>
          </w:p>
        </w:tc>
      </w:tr>
      <w:tr w14:paraId="14DA6D6F">
        <w:trPr>
          <w:trHeight w:val="642" w:hRule="atLeast"/>
        </w:trPr>
        <w:tc>
          <w:tcPr>
            <w:tcW w:w="744" w:type="pct"/>
            <w:vMerge w:val="continue"/>
            <w:shd w:val="clear" w:color="auto" w:fill="FFFFFF"/>
            <w:noWrap w:val="0"/>
            <w:vAlign w:val="center"/>
          </w:tcPr>
          <w:p w14:paraId="38AA0A06">
            <w:pPr>
              <w:adjustRightInd w:val="0"/>
              <w:snapToGrid w:val="0"/>
              <w:spacing w:line="240" w:lineRule="atLeast"/>
              <w:jc w:val="center"/>
              <w:rPr>
                <w:rFonts w:hint="eastAsia" w:ascii="仿宋" w:hAnsi="仿宋" w:eastAsia="仿宋" w:cs="仿宋"/>
                <w:color w:val="000000"/>
                <w:sz w:val="24"/>
                <w:szCs w:val="24"/>
              </w:rPr>
            </w:pPr>
          </w:p>
        </w:tc>
        <w:tc>
          <w:tcPr>
            <w:tcW w:w="635" w:type="pct"/>
            <w:gridSpan w:val="2"/>
            <w:tcBorders>
              <w:bottom w:val="single" w:color="auto" w:sz="4" w:space="0"/>
            </w:tcBorders>
            <w:shd w:val="clear" w:color="auto" w:fill="FFFFFF"/>
            <w:noWrap w:val="0"/>
            <w:vAlign w:val="center"/>
          </w:tcPr>
          <w:p w14:paraId="47920DC3">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w:t>
            </w:r>
          </w:p>
        </w:tc>
        <w:tc>
          <w:tcPr>
            <w:tcW w:w="2531" w:type="pct"/>
            <w:gridSpan w:val="9"/>
            <w:tcBorders>
              <w:bottom w:val="single" w:color="auto" w:sz="4" w:space="0"/>
            </w:tcBorders>
            <w:shd w:val="clear" w:color="auto" w:fill="FFFFFF"/>
            <w:noWrap w:val="0"/>
            <w:vAlign w:val="center"/>
          </w:tcPr>
          <w:p w14:paraId="6E5563AD">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毕业要求分解指标点</w:t>
            </w:r>
          </w:p>
        </w:tc>
        <w:tc>
          <w:tcPr>
            <w:tcW w:w="1088" w:type="pct"/>
            <w:gridSpan w:val="4"/>
            <w:tcBorders>
              <w:bottom w:val="single" w:color="auto" w:sz="4" w:space="0"/>
            </w:tcBorders>
            <w:shd w:val="clear" w:color="auto" w:fill="FFFFFF"/>
            <w:noWrap w:val="0"/>
            <w:vAlign w:val="center"/>
          </w:tcPr>
          <w:p w14:paraId="19830CC7">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毕业要求</w:t>
            </w:r>
          </w:p>
        </w:tc>
      </w:tr>
      <w:tr w14:paraId="1F0CE943">
        <w:trPr>
          <w:trHeight w:val="1310" w:hRule="atLeast"/>
        </w:trPr>
        <w:tc>
          <w:tcPr>
            <w:tcW w:w="744" w:type="pct"/>
            <w:vMerge w:val="continue"/>
            <w:shd w:val="clear" w:color="auto" w:fill="FFFFFF"/>
            <w:noWrap w:val="0"/>
            <w:vAlign w:val="center"/>
          </w:tcPr>
          <w:p w14:paraId="00E4E70A">
            <w:pPr>
              <w:adjustRightInd w:val="0"/>
              <w:snapToGrid w:val="0"/>
              <w:spacing w:line="240" w:lineRule="atLeast"/>
              <w:jc w:val="center"/>
              <w:rPr>
                <w:rFonts w:hint="eastAsia" w:ascii="仿宋" w:hAnsi="仿宋" w:eastAsia="仿宋" w:cs="仿宋"/>
                <w:color w:val="000000"/>
                <w:sz w:val="24"/>
                <w:szCs w:val="24"/>
              </w:rPr>
            </w:pPr>
          </w:p>
        </w:tc>
        <w:tc>
          <w:tcPr>
            <w:tcW w:w="635" w:type="pct"/>
            <w:gridSpan w:val="2"/>
            <w:tcBorders>
              <w:bottom w:val="single" w:color="auto" w:sz="4" w:space="0"/>
            </w:tcBorders>
            <w:shd w:val="clear" w:color="auto" w:fill="FFFFFF"/>
            <w:noWrap w:val="0"/>
            <w:vAlign w:val="center"/>
          </w:tcPr>
          <w:p w14:paraId="421BA820">
            <w:pPr>
              <w:adjustRightInd w:val="0"/>
              <w:snapToGrid w:val="0"/>
              <w:jc w:val="center"/>
              <w:rPr>
                <w:rFonts w:hint="eastAsia" w:ascii="仿宋" w:hAnsi="仿宋" w:eastAsia="仿宋" w:cs="仿宋"/>
                <w:color w:val="000000"/>
                <w:sz w:val="24"/>
              </w:rPr>
            </w:pPr>
            <w:r>
              <w:rPr>
                <w:rFonts w:hint="eastAsia" w:ascii="仿宋" w:hAnsi="仿宋" w:eastAsia="仿宋" w:cs="仿宋"/>
                <w:color w:val="000000"/>
                <w:sz w:val="24"/>
              </w:rPr>
              <w:t>课程目标1</w:t>
            </w:r>
          </w:p>
        </w:tc>
        <w:tc>
          <w:tcPr>
            <w:tcW w:w="2531" w:type="pct"/>
            <w:gridSpan w:val="9"/>
            <w:shd w:val="clear" w:color="auto" w:fill="FFFFFF"/>
            <w:noWrap w:val="0"/>
            <w:vAlign w:val="center"/>
          </w:tcPr>
          <w:p w14:paraId="22B90716">
            <w:pPr>
              <w:adjustRightInd w:val="0"/>
              <w:snapToGrid w:val="0"/>
              <w:jc w:val="left"/>
              <w:rPr>
                <w:rFonts w:hint="eastAsia" w:ascii="仿宋" w:hAnsi="仿宋" w:eastAsia="仿宋" w:cs="仿宋"/>
                <w:color w:val="000000"/>
                <w:sz w:val="24"/>
              </w:rPr>
            </w:pPr>
            <w:r>
              <w:rPr>
                <w:rFonts w:hint="eastAsia" w:ascii="仿宋" w:hAnsi="仿宋" w:eastAsia="仿宋" w:cs="仿宋"/>
                <w:color w:val="000000"/>
                <w:sz w:val="24"/>
              </w:rPr>
              <w:t>1.</w:t>
            </w:r>
            <w:r>
              <w:rPr>
                <w:rFonts w:ascii="仿宋" w:hAnsi="仿宋" w:eastAsia="仿宋" w:cs="仿宋"/>
                <w:color w:val="000000"/>
                <w:sz w:val="24"/>
              </w:rPr>
              <w:t>掌握</w:t>
            </w:r>
            <w:r>
              <w:rPr>
                <w:rFonts w:hint="eastAsia" w:ascii="仿宋" w:hAnsi="仿宋" w:eastAsia="仿宋" w:cs="仿宋"/>
                <w:color w:val="000000"/>
                <w:sz w:val="24"/>
              </w:rPr>
              <w:t>习近平总书记关于教育的重要论述的核心内涵，熟悉并</w:t>
            </w:r>
            <w:r>
              <w:rPr>
                <w:rFonts w:hint="eastAsia" w:ascii="仿宋" w:hAnsi="仿宋" w:eastAsia="仿宋" w:cs="仿宋"/>
                <w:sz w:val="24"/>
                <w:szCs w:val="24"/>
              </w:rPr>
              <w:t>遵守党和国家的教育方针政策，落实立德树人；理解教师的工作职责担当，领悟“四有”好老师的内涵外延。</w:t>
            </w:r>
          </w:p>
        </w:tc>
        <w:tc>
          <w:tcPr>
            <w:tcW w:w="1088" w:type="pct"/>
            <w:gridSpan w:val="4"/>
            <w:shd w:val="clear" w:color="auto" w:fill="FFFFFF"/>
            <w:noWrap w:val="0"/>
            <w:vAlign w:val="center"/>
          </w:tcPr>
          <w:p w14:paraId="5500D5FB">
            <w:pPr>
              <w:adjustRightInd w:val="0"/>
              <w:snapToGrid w:val="0"/>
              <w:ind w:firstLine="240" w:firstLineChars="100"/>
              <w:rPr>
                <w:rFonts w:ascii="仿宋" w:hAnsi="仿宋" w:eastAsia="仿宋" w:cs="仿宋"/>
                <w:color w:val="000000"/>
                <w:sz w:val="24"/>
              </w:rPr>
            </w:pPr>
            <w:r>
              <w:rPr>
                <w:rFonts w:hint="eastAsia" w:ascii="仿宋" w:hAnsi="仿宋" w:eastAsia="仿宋" w:cs="仿宋"/>
                <w:color w:val="000000"/>
                <w:sz w:val="24"/>
              </w:rPr>
              <w:t>1.师德师范</w:t>
            </w:r>
          </w:p>
        </w:tc>
      </w:tr>
      <w:tr w14:paraId="24C0A95F">
        <w:trPr>
          <w:trHeight w:val="1271" w:hRule="atLeast"/>
        </w:trPr>
        <w:tc>
          <w:tcPr>
            <w:tcW w:w="744" w:type="pct"/>
            <w:vMerge w:val="continue"/>
            <w:shd w:val="clear" w:color="auto" w:fill="FFFFFF"/>
            <w:noWrap w:val="0"/>
            <w:vAlign w:val="center"/>
          </w:tcPr>
          <w:p w14:paraId="31701897">
            <w:pPr>
              <w:adjustRightInd w:val="0"/>
              <w:snapToGrid w:val="0"/>
              <w:spacing w:line="240" w:lineRule="atLeast"/>
              <w:jc w:val="center"/>
              <w:rPr>
                <w:rFonts w:hint="eastAsia" w:ascii="仿宋" w:hAnsi="仿宋" w:eastAsia="仿宋" w:cs="仿宋"/>
                <w:color w:val="000000"/>
                <w:sz w:val="24"/>
                <w:szCs w:val="24"/>
              </w:rPr>
            </w:pPr>
          </w:p>
        </w:tc>
        <w:tc>
          <w:tcPr>
            <w:tcW w:w="635" w:type="pct"/>
            <w:gridSpan w:val="2"/>
            <w:shd w:val="clear" w:color="auto" w:fill="FFFFFF"/>
            <w:noWrap w:val="0"/>
            <w:vAlign w:val="center"/>
          </w:tcPr>
          <w:p w14:paraId="6669EE39">
            <w:pPr>
              <w:adjustRightInd w:val="0"/>
              <w:snapToGrid w:val="0"/>
              <w:jc w:val="center"/>
              <w:rPr>
                <w:rFonts w:hint="eastAsia" w:ascii="仿宋" w:hAnsi="仿宋" w:eastAsia="仿宋" w:cs="仿宋"/>
                <w:color w:val="000000"/>
                <w:sz w:val="24"/>
              </w:rPr>
            </w:pPr>
            <w:r>
              <w:rPr>
                <w:rFonts w:hint="eastAsia" w:ascii="仿宋" w:hAnsi="仿宋" w:eastAsia="仿宋" w:cs="仿宋"/>
                <w:color w:val="000000"/>
                <w:sz w:val="24"/>
              </w:rPr>
              <w:t>课程目标2</w:t>
            </w:r>
          </w:p>
        </w:tc>
        <w:tc>
          <w:tcPr>
            <w:tcW w:w="2531" w:type="pct"/>
            <w:gridSpan w:val="9"/>
            <w:shd w:val="clear" w:color="auto" w:fill="FFFFFF"/>
            <w:noWrap w:val="0"/>
            <w:vAlign w:val="center"/>
          </w:tcPr>
          <w:p w14:paraId="219E44E8">
            <w:pPr>
              <w:adjustRightInd w:val="0"/>
              <w:snapToGrid w:val="0"/>
              <w:jc w:val="left"/>
              <w:rPr>
                <w:rFonts w:hint="eastAsia" w:ascii="仿宋" w:hAnsi="仿宋" w:eastAsia="仿宋" w:cs="仿宋"/>
                <w:color w:val="000000"/>
                <w:sz w:val="24"/>
              </w:rPr>
            </w:pPr>
            <w:r>
              <w:rPr>
                <w:rFonts w:hint="eastAsia" w:ascii="仿宋" w:hAnsi="仿宋" w:eastAsia="仿宋" w:cs="仿宋"/>
                <w:color w:val="000000"/>
                <w:sz w:val="24"/>
              </w:rPr>
              <w:t>1.</w:t>
            </w:r>
            <w:r>
              <w:rPr>
                <w:rFonts w:ascii="仿宋" w:hAnsi="仿宋" w:eastAsia="仿宋" w:cs="仿宋"/>
                <w:sz w:val="24"/>
                <w:szCs w:val="24"/>
              </w:rPr>
              <w:t>全面贯彻国家教育方针，以立德树人为已任</w:t>
            </w:r>
            <w:r>
              <w:rPr>
                <w:rFonts w:hint="eastAsia" w:ascii="仿宋" w:hAnsi="仿宋" w:eastAsia="仿宋" w:cs="仿宋"/>
                <w:sz w:val="24"/>
                <w:szCs w:val="24"/>
              </w:rPr>
              <w:t>，</w:t>
            </w:r>
            <w:r>
              <w:rPr>
                <w:rFonts w:ascii="仿宋" w:hAnsi="仿宋" w:eastAsia="仿宋" w:cs="仿宋"/>
                <w:sz w:val="24"/>
                <w:szCs w:val="24"/>
              </w:rPr>
              <w:t>认同和践行</w:t>
            </w:r>
            <w:r>
              <w:rPr>
                <w:rFonts w:hint="eastAsia" w:ascii="仿宋" w:hAnsi="仿宋" w:eastAsia="仿宋" w:cs="仿宋"/>
                <w:sz w:val="24"/>
                <w:szCs w:val="24"/>
              </w:rPr>
              <w:t>社会主义核心价值观；遵守师德规范，学术规范，教研伦理，树立师德师风具备良好的职业规范，拥有实事求是的工作态度和严谨务实的科学精神。</w:t>
            </w:r>
          </w:p>
        </w:tc>
        <w:tc>
          <w:tcPr>
            <w:tcW w:w="1088" w:type="pct"/>
            <w:gridSpan w:val="4"/>
            <w:shd w:val="clear" w:color="auto" w:fill="FFFFFF"/>
            <w:noWrap w:val="0"/>
            <w:vAlign w:val="center"/>
          </w:tcPr>
          <w:p w14:paraId="76A8E1C9">
            <w:pPr>
              <w:adjustRightInd w:val="0"/>
              <w:snapToGrid w:val="0"/>
              <w:ind w:firstLine="240" w:firstLineChars="100"/>
              <w:rPr>
                <w:rFonts w:ascii="仿宋" w:hAnsi="仿宋" w:eastAsia="仿宋" w:cs="仿宋"/>
                <w:color w:val="000000"/>
                <w:sz w:val="24"/>
              </w:rPr>
            </w:pPr>
            <w:r>
              <w:rPr>
                <w:rFonts w:hint="eastAsia" w:ascii="仿宋" w:hAnsi="仿宋" w:eastAsia="仿宋" w:cs="仿宋"/>
                <w:color w:val="000000"/>
                <w:sz w:val="24"/>
              </w:rPr>
              <w:t>1.师德师范</w:t>
            </w:r>
          </w:p>
        </w:tc>
      </w:tr>
      <w:tr w14:paraId="07F9C5A3">
        <w:trPr>
          <w:trHeight w:val="1981" w:hRule="atLeast"/>
        </w:trPr>
        <w:tc>
          <w:tcPr>
            <w:tcW w:w="744" w:type="pct"/>
            <w:vMerge w:val="continue"/>
            <w:shd w:val="clear" w:color="auto" w:fill="FFFFFF"/>
            <w:noWrap w:val="0"/>
            <w:vAlign w:val="center"/>
          </w:tcPr>
          <w:p w14:paraId="1466204F">
            <w:pPr>
              <w:adjustRightInd w:val="0"/>
              <w:snapToGrid w:val="0"/>
              <w:spacing w:line="240" w:lineRule="atLeast"/>
              <w:jc w:val="center"/>
              <w:rPr>
                <w:rFonts w:hint="eastAsia" w:ascii="仿宋" w:hAnsi="仿宋" w:eastAsia="仿宋" w:cs="仿宋"/>
                <w:color w:val="000000"/>
                <w:sz w:val="24"/>
                <w:szCs w:val="24"/>
              </w:rPr>
            </w:pPr>
          </w:p>
        </w:tc>
        <w:tc>
          <w:tcPr>
            <w:tcW w:w="635" w:type="pct"/>
            <w:gridSpan w:val="2"/>
            <w:shd w:val="clear" w:color="auto" w:fill="FFFFFF"/>
            <w:noWrap w:val="0"/>
            <w:vAlign w:val="center"/>
          </w:tcPr>
          <w:p w14:paraId="1ED23BE4">
            <w:pPr>
              <w:adjustRightInd w:val="0"/>
              <w:snapToGrid w:val="0"/>
              <w:jc w:val="center"/>
              <w:rPr>
                <w:rFonts w:hint="eastAsia" w:ascii="仿宋" w:hAnsi="仿宋" w:eastAsia="仿宋" w:cs="仿宋"/>
                <w:color w:val="000000"/>
                <w:sz w:val="24"/>
              </w:rPr>
            </w:pPr>
            <w:r>
              <w:rPr>
                <w:rFonts w:hint="eastAsia" w:ascii="仿宋" w:hAnsi="仿宋" w:eastAsia="仿宋" w:cs="仿宋"/>
                <w:color w:val="000000"/>
                <w:sz w:val="24"/>
              </w:rPr>
              <w:t>课程目标3</w:t>
            </w:r>
          </w:p>
        </w:tc>
        <w:tc>
          <w:tcPr>
            <w:tcW w:w="2531" w:type="pct"/>
            <w:gridSpan w:val="9"/>
            <w:shd w:val="clear" w:color="auto" w:fill="FFFFFF"/>
            <w:noWrap w:val="0"/>
            <w:vAlign w:val="center"/>
          </w:tcPr>
          <w:p w14:paraId="01207CF7">
            <w:pPr>
              <w:adjustRightInd w:val="0"/>
              <w:snapToGrid w:val="0"/>
              <w:jc w:val="left"/>
              <w:rPr>
                <w:rFonts w:hint="eastAsia" w:ascii="仿宋" w:hAnsi="仿宋" w:eastAsia="仿宋" w:cs="仿宋"/>
                <w:sz w:val="24"/>
                <w:szCs w:val="24"/>
              </w:rPr>
            </w:pPr>
            <w:r>
              <w:rPr>
                <w:rFonts w:hint="eastAsia" w:ascii="仿宋" w:hAnsi="仿宋" w:eastAsia="仿宋" w:cs="仿宋"/>
                <w:color w:val="000000"/>
                <w:sz w:val="24"/>
              </w:rPr>
              <w:t>2.</w:t>
            </w:r>
            <w:r>
              <w:rPr>
                <w:rFonts w:hint="eastAsia" w:ascii="仿宋" w:hAnsi="仿宋" w:eastAsia="仿宋" w:cs="仿宋"/>
                <w:sz w:val="24"/>
                <w:szCs w:val="24"/>
              </w:rPr>
              <w:t>1 职业认同和职业成就：热爱教学、热爱学生、具有积极从教意愿，具备良好的敬业精神，对即将从事的教师工作能全情倾入，全身投入，尽职尽责，全心全意，为自己即将成为一名光荣人民教师而倍感自豪。</w:t>
            </w:r>
          </w:p>
          <w:p w14:paraId="0710A3C0">
            <w:pPr>
              <w:adjustRightInd w:val="0"/>
              <w:snapToGrid w:val="0"/>
              <w:jc w:val="left"/>
              <w:rPr>
                <w:rFonts w:ascii="仿宋" w:hAnsi="仿宋" w:eastAsia="仿宋" w:cs="仿宋"/>
                <w:sz w:val="24"/>
                <w:szCs w:val="24"/>
              </w:rPr>
            </w:pPr>
            <w:r>
              <w:rPr>
                <w:rFonts w:hint="eastAsia" w:ascii="仿宋" w:hAnsi="仿宋" w:eastAsia="仿宋" w:cs="仿宋"/>
                <w:sz w:val="24"/>
                <w:szCs w:val="24"/>
              </w:rPr>
              <w:t>2.3树立终身追求的教师职业信念：持续热情地保持对教育事业的热爱。</w:t>
            </w:r>
          </w:p>
        </w:tc>
        <w:tc>
          <w:tcPr>
            <w:tcW w:w="1088" w:type="pct"/>
            <w:gridSpan w:val="4"/>
            <w:shd w:val="clear" w:color="auto" w:fill="FFFFFF"/>
            <w:noWrap w:val="0"/>
            <w:vAlign w:val="center"/>
          </w:tcPr>
          <w:p w14:paraId="375D93ED">
            <w:pPr>
              <w:adjustRightInd w:val="0"/>
              <w:snapToGrid w:val="0"/>
              <w:ind w:firstLine="240" w:firstLineChars="100"/>
              <w:rPr>
                <w:rFonts w:hint="eastAsia" w:ascii="仿宋" w:hAnsi="仿宋" w:eastAsia="仿宋" w:cs="仿宋"/>
                <w:color w:val="000000"/>
                <w:sz w:val="24"/>
              </w:rPr>
            </w:pPr>
            <w:r>
              <w:rPr>
                <w:rFonts w:hint="eastAsia" w:ascii="仿宋" w:hAnsi="仿宋" w:eastAsia="仿宋" w:cs="仿宋"/>
                <w:color w:val="000000"/>
                <w:sz w:val="24"/>
              </w:rPr>
              <w:t>2.教育情怀</w:t>
            </w:r>
          </w:p>
          <w:p w14:paraId="7908FE20">
            <w:pPr>
              <w:adjustRightInd w:val="0"/>
              <w:snapToGrid w:val="0"/>
              <w:ind w:firstLine="240" w:firstLineChars="100"/>
              <w:rPr>
                <w:rFonts w:hint="eastAsia" w:ascii="仿宋" w:hAnsi="仿宋" w:eastAsia="仿宋" w:cs="仿宋"/>
                <w:color w:val="000000"/>
                <w:sz w:val="24"/>
              </w:rPr>
            </w:pPr>
          </w:p>
        </w:tc>
      </w:tr>
      <w:tr w14:paraId="0DD3F6FF">
        <w:trPr>
          <w:trHeight w:val="582" w:hRule="atLeast"/>
        </w:trPr>
        <w:tc>
          <w:tcPr>
            <w:tcW w:w="744" w:type="pct"/>
            <w:vMerge w:val="restart"/>
            <w:shd w:val="clear" w:color="auto" w:fill="FFFFFF"/>
            <w:noWrap w:val="0"/>
            <w:vAlign w:val="center"/>
          </w:tcPr>
          <w:p w14:paraId="0B209116">
            <w:pPr>
              <w:adjustRightInd w:val="0"/>
              <w:snapToGrid w:val="0"/>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F</w:t>
            </w:r>
          </w:p>
          <w:p w14:paraId="558A8DD2">
            <w:pPr>
              <w:adjustRightInd w:val="0"/>
              <w:snapToGrid w:val="0"/>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理论学习内容</w:t>
            </w:r>
          </w:p>
        </w:tc>
        <w:tc>
          <w:tcPr>
            <w:tcW w:w="3166" w:type="pct"/>
            <w:gridSpan w:val="11"/>
            <w:shd w:val="clear" w:color="auto" w:fill="FFFFFF"/>
            <w:noWrap w:val="0"/>
            <w:vAlign w:val="center"/>
          </w:tcPr>
          <w:p w14:paraId="4235DDCF">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章节学习内容与学习要求</w:t>
            </w:r>
          </w:p>
        </w:tc>
        <w:tc>
          <w:tcPr>
            <w:tcW w:w="540" w:type="pct"/>
            <w:gridSpan w:val="2"/>
            <w:shd w:val="clear" w:color="auto" w:fill="FFFFFF"/>
            <w:noWrap w:val="0"/>
            <w:vAlign w:val="center"/>
          </w:tcPr>
          <w:p w14:paraId="5D0118DC">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支撑课程目标</w:t>
            </w:r>
          </w:p>
        </w:tc>
        <w:tc>
          <w:tcPr>
            <w:tcW w:w="548" w:type="pct"/>
            <w:gridSpan w:val="2"/>
            <w:shd w:val="clear" w:color="auto" w:fill="FFFFFF"/>
            <w:noWrap w:val="0"/>
            <w:vAlign w:val="center"/>
          </w:tcPr>
          <w:p w14:paraId="181CAFD6">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学时</w:t>
            </w:r>
          </w:p>
          <w:p w14:paraId="118C7B0F">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分配</w:t>
            </w:r>
          </w:p>
        </w:tc>
      </w:tr>
      <w:tr w14:paraId="617001A1">
        <w:trPr>
          <w:trHeight w:val="454" w:hRule="atLeast"/>
        </w:trPr>
        <w:tc>
          <w:tcPr>
            <w:tcW w:w="744" w:type="pct"/>
            <w:vMerge w:val="continue"/>
            <w:shd w:val="clear" w:color="auto" w:fill="FFFFFF"/>
            <w:noWrap w:val="0"/>
            <w:vAlign w:val="center"/>
          </w:tcPr>
          <w:p w14:paraId="30C60F2E">
            <w:pPr>
              <w:adjustRightInd w:val="0"/>
              <w:snapToGrid w:val="0"/>
              <w:spacing w:line="240" w:lineRule="atLeast"/>
              <w:jc w:val="right"/>
              <w:rPr>
                <w:rFonts w:hint="eastAsia" w:ascii="仿宋" w:hAnsi="仿宋" w:eastAsia="仿宋" w:cs="仿宋"/>
                <w:kern w:val="0"/>
                <w:sz w:val="24"/>
                <w:szCs w:val="24"/>
              </w:rPr>
            </w:pPr>
          </w:p>
        </w:tc>
        <w:tc>
          <w:tcPr>
            <w:tcW w:w="3166" w:type="pct"/>
            <w:gridSpan w:val="11"/>
            <w:shd w:val="clear" w:color="auto" w:fill="auto"/>
            <w:noWrap w:val="0"/>
            <w:vAlign w:val="center"/>
          </w:tcPr>
          <w:p w14:paraId="477FF3E6">
            <w:pPr>
              <w:jc w:val="left"/>
              <w:rPr>
                <w:rFonts w:ascii="仿宋" w:hAnsi="仿宋" w:eastAsia="仿宋" w:cs="仿宋"/>
                <w:kern w:val="0"/>
                <w:sz w:val="24"/>
                <w:szCs w:val="24"/>
              </w:rPr>
            </w:pPr>
            <w:r>
              <w:rPr>
                <w:rFonts w:hint="eastAsia" w:ascii="仿宋" w:hAnsi="仿宋" w:eastAsia="仿宋" w:cs="仿宋"/>
                <w:kern w:val="0"/>
                <w:sz w:val="24"/>
                <w:szCs w:val="24"/>
              </w:rPr>
              <w:t>导言  新时代建设教育强国的根本遵循</w:t>
            </w:r>
          </w:p>
          <w:p w14:paraId="28A8DD88">
            <w:pPr>
              <w:adjustRightInd w:val="0"/>
              <w:snapToGrid w:val="0"/>
              <w:rPr>
                <w:rFonts w:ascii="仿宋" w:hAnsi="仿宋" w:eastAsia="仿宋" w:cs="仿宋"/>
                <w:kern w:val="0"/>
                <w:sz w:val="24"/>
                <w:szCs w:val="24"/>
              </w:rPr>
            </w:pPr>
            <w:r>
              <w:rPr>
                <w:rFonts w:hint="eastAsia" w:ascii="仿宋" w:hAnsi="仿宋" w:eastAsia="仿宋" w:cs="仿宋"/>
                <w:kern w:val="0"/>
                <w:sz w:val="24"/>
                <w:szCs w:val="24"/>
              </w:rPr>
              <w:t>知道：习近平总书记教育重要论述的时代背景</w:t>
            </w:r>
          </w:p>
          <w:p w14:paraId="4A865DFD">
            <w:pPr>
              <w:adjustRightInd w:val="0"/>
              <w:snapToGrid w:val="0"/>
              <w:rPr>
                <w:rFonts w:ascii="仿宋" w:hAnsi="仿宋" w:eastAsia="仿宋" w:cs="仿宋"/>
                <w:kern w:val="0"/>
                <w:sz w:val="24"/>
                <w:szCs w:val="24"/>
              </w:rPr>
            </w:pPr>
            <w:r>
              <w:rPr>
                <w:rFonts w:hint="eastAsia" w:ascii="仿宋" w:hAnsi="仿宋" w:eastAsia="仿宋" w:cs="仿宋"/>
                <w:kern w:val="0"/>
                <w:sz w:val="24"/>
                <w:szCs w:val="24"/>
              </w:rPr>
              <w:t>领会：习近平总书记教育重要论述的科学内涵</w:t>
            </w:r>
          </w:p>
          <w:p w14:paraId="61DC58A9">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 xml:space="preserve">评价：习近平总书记教育重要论述的重大意义    </w:t>
            </w:r>
          </w:p>
        </w:tc>
        <w:tc>
          <w:tcPr>
            <w:tcW w:w="540" w:type="pct"/>
            <w:gridSpan w:val="2"/>
            <w:shd w:val="clear" w:color="auto" w:fill="auto"/>
            <w:noWrap w:val="0"/>
            <w:vAlign w:val="center"/>
          </w:tcPr>
          <w:p w14:paraId="2E5BB15E">
            <w:pPr>
              <w:widowControl/>
              <w:adjustRightInd w:val="0"/>
              <w:snapToGrid w:val="0"/>
              <w:jc w:val="center"/>
              <w:rPr>
                <w:rFonts w:hint="eastAsia" w:ascii="仿宋" w:hAnsi="仿宋" w:eastAsia="仿宋" w:cs="仿宋"/>
                <w:bCs/>
                <w:color w:val="4472C4"/>
                <w:sz w:val="24"/>
                <w:szCs w:val="24"/>
              </w:rPr>
            </w:pPr>
            <w:r>
              <w:rPr>
                <w:rFonts w:hint="eastAsia" w:ascii="仿宋" w:hAnsi="仿宋" w:eastAsia="仿宋" w:cs="仿宋"/>
                <w:kern w:val="0"/>
                <w:sz w:val="24"/>
                <w:szCs w:val="24"/>
              </w:rPr>
              <w:t>支撑课程目标1、3</w:t>
            </w:r>
          </w:p>
        </w:tc>
        <w:tc>
          <w:tcPr>
            <w:tcW w:w="548" w:type="pct"/>
            <w:gridSpan w:val="2"/>
            <w:shd w:val="clear" w:color="auto" w:fill="FFFFFF"/>
            <w:noWrap w:val="0"/>
            <w:vAlign w:val="center"/>
          </w:tcPr>
          <w:p w14:paraId="2BECF211">
            <w:pPr>
              <w:adjustRightInd w:val="0"/>
              <w:snapToGrid w:val="0"/>
              <w:jc w:val="center"/>
              <w:rPr>
                <w:rFonts w:hint="eastAsia" w:ascii="仿宋" w:hAnsi="仿宋" w:eastAsia="仿宋" w:cs="仿宋"/>
                <w:color w:val="4472C4"/>
                <w:sz w:val="24"/>
                <w:szCs w:val="24"/>
              </w:rPr>
            </w:pPr>
            <w:r>
              <w:rPr>
                <w:rFonts w:hint="eastAsia" w:ascii="仿宋" w:hAnsi="仿宋" w:eastAsia="仿宋" w:cs="仿宋"/>
                <w:kern w:val="0"/>
                <w:sz w:val="24"/>
                <w:szCs w:val="24"/>
              </w:rPr>
              <w:t>2</w:t>
            </w:r>
          </w:p>
        </w:tc>
      </w:tr>
      <w:tr w14:paraId="53C432AB">
        <w:trPr>
          <w:trHeight w:val="454" w:hRule="atLeast"/>
        </w:trPr>
        <w:tc>
          <w:tcPr>
            <w:tcW w:w="744" w:type="pct"/>
            <w:vMerge w:val="continue"/>
            <w:shd w:val="clear" w:color="auto" w:fill="FFFFFF"/>
            <w:noWrap w:val="0"/>
            <w:vAlign w:val="center"/>
          </w:tcPr>
          <w:p w14:paraId="5996A6F3">
            <w:pPr>
              <w:adjustRightInd w:val="0"/>
              <w:snapToGrid w:val="0"/>
              <w:spacing w:line="240" w:lineRule="atLeast"/>
              <w:jc w:val="right"/>
              <w:rPr>
                <w:rFonts w:hint="eastAsia" w:ascii="仿宋" w:hAnsi="仿宋" w:eastAsia="仿宋" w:cs="仿宋"/>
                <w:kern w:val="0"/>
                <w:sz w:val="24"/>
                <w:szCs w:val="24"/>
              </w:rPr>
            </w:pPr>
          </w:p>
        </w:tc>
        <w:tc>
          <w:tcPr>
            <w:tcW w:w="3166" w:type="pct"/>
            <w:gridSpan w:val="11"/>
            <w:shd w:val="clear" w:color="auto" w:fill="auto"/>
            <w:noWrap w:val="0"/>
            <w:vAlign w:val="center"/>
          </w:tcPr>
          <w:p w14:paraId="07425518">
            <w:pPr>
              <w:adjustRightInd w:val="0"/>
              <w:snapToGrid w:val="0"/>
              <w:ind w:left="960" w:hanging="960" w:hangingChars="400"/>
              <w:rPr>
                <w:rFonts w:ascii="仿宋" w:hAnsi="仿宋" w:eastAsia="仿宋" w:cs="仿宋"/>
                <w:kern w:val="0"/>
                <w:sz w:val="24"/>
                <w:szCs w:val="24"/>
              </w:rPr>
            </w:pPr>
            <w:r>
              <w:rPr>
                <w:rFonts w:hint="eastAsia" w:ascii="仿宋" w:hAnsi="仿宋" w:eastAsia="仿宋" w:cs="仿宋"/>
                <w:kern w:val="0"/>
                <w:sz w:val="24"/>
                <w:szCs w:val="24"/>
              </w:rPr>
              <w:t>第一讲  教育事业发展的“定海神针”——坚持党对教育事业的全面领导</w:t>
            </w:r>
          </w:p>
          <w:p w14:paraId="1AB20243">
            <w:pPr>
              <w:adjustRightInd w:val="0"/>
              <w:snapToGrid w:val="0"/>
              <w:ind w:left="720" w:hanging="720" w:hangingChars="300"/>
              <w:rPr>
                <w:rFonts w:hint="eastAsia" w:ascii="仿宋" w:hAnsi="仿宋" w:eastAsia="仿宋" w:cs="仿宋"/>
                <w:kern w:val="0"/>
                <w:sz w:val="24"/>
                <w:szCs w:val="24"/>
              </w:rPr>
            </w:pPr>
            <w:r>
              <w:rPr>
                <w:rFonts w:hint="eastAsia" w:ascii="仿宋" w:hAnsi="仿宋" w:eastAsia="仿宋" w:cs="仿宋"/>
                <w:kern w:val="0"/>
                <w:sz w:val="24"/>
                <w:szCs w:val="24"/>
              </w:rPr>
              <w:t>知道：履行好把方向、管大局、作决策、抓班子、带队伍、保落实的领导职责；健全党对教育事业全面领导的体制机制；全面加强和改进教育系统党的建设。</w:t>
            </w:r>
          </w:p>
          <w:p w14:paraId="7C33D765">
            <w:pPr>
              <w:adjustRightInd w:val="0"/>
              <w:snapToGrid w:val="0"/>
              <w:ind w:left="720" w:hanging="720" w:hangingChars="300"/>
              <w:rPr>
                <w:rFonts w:ascii="仿宋" w:hAnsi="仿宋" w:eastAsia="仿宋" w:cs="仿宋"/>
                <w:kern w:val="0"/>
                <w:sz w:val="24"/>
                <w:szCs w:val="24"/>
              </w:rPr>
            </w:pPr>
            <w:r>
              <w:rPr>
                <w:rFonts w:hint="eastAsia" w:ascii="仿宋" w:hAnsi="仿宋" w:eastAsia="仿宋" w:cs="仿宋"/>
                <w:kern w:val="0"/>
                <w:sz w:val="24"/>
                <w:szCs w:val="24"/>
              </w:rPr>
              <w:t>领会：坚持党对教育工作的全面领导是办好教育的根本保证；增强“四个意识”，坚定“四个自信”，做到“两个维护”；思想政治工作是学校各项工作的生命线</w:t>
            </w:r>
          </w:p>
          <w:p w14:paraId="7AC70757">
            <w:pPr>
              <w:adjustRightInd w:val="0"/>
              <w:snapToGrid w:val="0"/>
              <w:ind w:left="720" w:hanging="720" w:hangingChars="300"/>
              <w:rPr>
                <w:rFonts w:ascii="仿宋" w:hAnsi="仿宋" w:eastAsia="仿宋" w:cs="仿宋"/>
                <w:kern w:val="0"/>
                <w:sz w:val="24"/>
                <w:szCs w:val="24"/>
              </w:rPr>
            </w:pPr>
            <w:r>
              <w:rPr>
                <w:rFonts w:hint="eastAsia" w:ascii="仿宋" w:hAnsi="仿宋" w:eastAsia="仿宋" w:cs="仿宋"/>
                <w:kern w:val="0"/>
                <w:sz w:val="24"/>
                <w:szCs w:val="24"/>
              </w:rPr>
              <w:t>分析评价：必须牢牢掌握党对教育工作的领导权；牢牢掌握党对意识形态工作的领导少出门</w:t>
            </w:r>
          </w:p>
        </w:tc>
        <w:tc>
          <w:tcPr>
            <w:tcW w:w="540" w:type="pct"/>
            <w:gridSpan w:val="2"/>
            <w:shd w:val="clear" w:color="auto" w:fill="auto"/>
            <w:noWrap w:val="0"/>
            <w:vAlign w:val="center"/>
          </w:tcPr>
          <w:p w14:paraId="468FE366">
            <w:pPr>
              <w:widowControl/>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支撑课程目标1、2</w:t>
            </w:r>
          </w:p>
        </w:tc>
        <w:tc>
          <w:tcPr>
            <w:tcW w:w="548" w:type="pct"/>
            <w:gridSpan w:val="2"/>
            <w:shd w:val="clear" w:color="auto" w:fill="FFFFFF"/>
            <w:noWrap w:val="0"/>
            <w:vAlign w:val="center"/>
          </w:tcPr>
          <w:p w14:paraId="60760119">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2</w:t>
            </w:r>
          </w:p>
        </w:tc>
      </w:tr>
      <w:tr w14:paraId="32DC6F2B">
        <w:trPr>
          <w:trHeight w:val="454" w:hRule="atLeast"/>
        </w:trPr>
        <w:tc>
          <w:tcPr>
            <w:tcW w:w="744" w:type="pct"/>
            <w:vMerge w:val="continue"/>
            <w:shd w:val="clear" w:color="auto" w:fill="FFFFFF"/>
            <w:noWrap w:val="0"/>
            <w:vAlign w:val="center"/>
          </w:tcPr>
          <w:p w14:paraId="7505FEA1">
            <w:pPr>
              <w:adjustRightInd w:val="0"/>
              <w:snapToGrid w:val="0"/>
              <w:spacing w:line="240" w:lineRule="atLeast"/>
              <w:jc w:val="right"/>
              <w:rPr>
                <w:rFonts w:hint="eastAsia" w:ascii="仿宋" w:hAnsi="仿宋" w:eastAsia="仿宋" w:cs="仿宋"/>
                <w:kern w:val="0"/>
                <w:sz w:val="24"/>
                <w:szCs w:val="24"/>
              </w:rPr>
            </w:pPr>
          </w:p>
        </w:tc>
        <w:tc>
          <w:tcPr>
            <w:tcW w:w="3166" w:type="pct"/>
            <w:gridSpan w:val="11"/>
            <w:shd w:val="clear" w:color="auto" w:fill="auto"/>
            <w:noWrap w:val="0"/>
            <w:vAlign w:val="center"/>
          </w:tcPr>
          <w:p w14:paraId="67960740">
            <w:pPr>
              <w:adjustRightInd w:val="0"/>
              <w:snapToGrid w:val="0"/>
              <w:ind w:left="960" w:hanging="960" w:hangingChars="400"/>
              <w:rPr>
                <w:rFonts w:ascii="仿宋" w:hAnsi="仿宋" w:eastAsia="仿宋" w:cs="仿宋"/>
                <w:kern w:val="0"/>
                <w:sz w:val="24"/>
                <w:szCs w:val="24"/>
              </w:rPr>
            </w:pPr>
            <w:r>
              <w:rPr>
                <w:rFonts w:hint="eastAsia" w:ascii="仿宋" w:hAnsi="仿宋" w:eastAsia="仿宋" w:cs="仿宋"/>
                <w:kern w:val="0"/>
                <w:sz w:val="24"/>
                <w:szCs w:val="24"/>
              </w:rPr>
              <w:t>第二讲　培养担当民族复兴大任的时代新人——坚持把立德树人作为根本任务</w:t>
            </w:r>
          </w:p>
          <w:p w14:paraId="034CEB3E">
            <w:pPr>
              <w:adjustRightInd w:val="0"/>
              <w:snapToGrid w:val="0"/>
              <w:ind w:left="720" w:hanging="720" w:hangingChars="300"/>
              <w:rPr>
                <w:rFonts w:ascii="仿宋" w:hAnsi="仿宋" w:eastAsia="仿宋" w:cs="仿宋"/>
                <w:kern w:val="0"/>
                <w:sz w:val="24"/>
                <w:szCs w:val="24"/>
              </w:rPr>
            </w:pPr>
            <w:r>
              <w:rPr>
                <w:rFonts w:hint="eastAsia" w:ascii="仿宋" w:hAnsi="仿宋" w:eastAsia="仿宋" w:cs="仿宋"/>
                <w:kern w:val="0"/>
                <w:sz w:val="24"/>
                <w:szCs w:val="24"/>
              </w:rPr>
              <w:t>知道：把培育和践行社会主义核心价值观融入国民教育体系</w:t>
            </w:r>
          </w:p>
          <w:p w14:paraId="3E3BA3FB">
            <w:pPr>
              <w:adjustRightInd w:val="0"/>
              <w:snapToGrid w:val="0"/>
              <w:ind w:left="720" w:hanging="720" w:hangingChars="300"/>
              <w:rPr>
                <w:rFonts w:ascii="仿宋" w:hAnsi="仿宋" w:eastAsia="仿宋" w:cs="仿宋"/>
                <w:kern w:val="0"/>
                <w:sz w:val="24"/>
                <w:szCs w:val="24"/>
              </w:rPr>
            </w:pPr>
            <w:r>
              <w:rPr>
                <w:rFonts w:hint="eastAsia" w:ascii="仿宋" w:hAnsi="仿宋" w:eastAsia="仿宋" w:cs="仿宋"/>
                <w:kern w:val="0"/>
                <w:sz w:val="24"/>
                <w:szCs w:val="24"/>
              </w:rPr>
              <w:t>领会：教育是立德树人的事业；学校立身之本在于立德树人；要把立德树人的成效作为检验学校一切工作的根本标准。</w:t>
            </w:r>
          </w:p>
          <w:p w14:paraId="6F6EDB50">
            <w:pPr>
              <w:adjustRightInd w:val="0"/>
              <w:snapToGrid w:val="0"/>
              <w:ind w:left="720" w:hanging="720" w:hangingChars="300"/>
              <w:rPr>
                <w:rFonts w:ascii="仿宋" w:hAnsi="仿宋" w:eastAsia="仿宋" w:cs="仿宋"/>
                <w:kern w:val="0"/>
                <w:sz w:val="24"/>
                <w:szCs w:val="24"/>
              </w:rPr>
            </w:pPr>
            <w:r>
              <w:rPr>
                <w:rFonts w:hint="eastAsia" w:ascii="仿宋" w:hAnsi="仿宋" w:eastAsia="仿宋" w:cs="仿宋"/>
                <w:kern w:val="0"/>
                <w:sz w:val="24"/>
                <w:szCs w:val="24"/>
              </w:rPr>
              <w:t>分析评价：我们的教育必须把培养社会主义建设者和接班人作为根本目标；要“六下功夫”培养社会主义建设者和接班人</w:t>
            </w:r>
          </w:p>
        </w:tc>
        <w:tc>
          <w:tcPr>
            <w:tcW w:w="540" w:type="pct"/>
            <w:gridSpan w:val="2"/>
            <w:shd w:val="clear" w:color="auto" w:fill="auto"/>
            <w:noWrap w:val="0"/>
            <w:vAlign w:val="center"/>
          </w:tcPr>
          <w:p w14:paraId="0880B13F">
            <w:pPr>
              <w:widowControl/>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支撑课程目标1、2、3</w:t>
            </w:r>
          </w:p>
        </w:tc>
        <w:tc>
          <w:tcPr>
            <w:tcW w:w="548" w:type="pct"/>
            <w:gridSpan w:val="2"/>
            <w:shd w:val="clear" w:color="auto" w:fill="FFFFFF"/>
            <w:noWrap w:val="0"/>
            <w:vAlign w:val="center"/>
          </w:tcPr>
          <w:p w14:paraId="294DD232">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2</w:t>
            </w:r>
          </w:p>
        </w:tc>
      </w:tr>
      <w:tr w14:paraId="56CFE24A">
        <w:trPr>
          <w:trHeight w:val="454" w:hRule="atLeast"/>
        </w:trPr>
        <w:tc>
          <w:tcPr>
            <w:tcW w:w="744" w:type="pct"/>
            <w:vMerge w:val="continue"/>
            <w:shd w:val="clear" w:color="auto" w:fill="FFFFFF"/>
            <w:noWrap w:val="0"/>
            <w:vAlign w:val="center"/>
          </w:tcPr>
          <w:p w14:paraId="3ED3BFAD">
            <w:pPr>
              <w:adjustRightInd w:val="0"/>
              <w:snapToGrid w:val="0"/>
              <w:spacing w:line="240" w:lineRule="atLeast"/>
              <w:jc w:val="right"/>
              <w:rPr>
                <w:rFonts w:hint="eastAsia" w:ascii="仿宋" w:hAnsi="仿宋" w:eastAsia="仿宋" w:cs="仿宋"/>
                <w:kern w:val="0"/>
                <w:sz w:val="24"/>
                <w:szCs w:val="24"/>
              </w:rPr>
            </w:pPr>
          </w:p>
        </w:tc>
        <w:tc>
          <w:tcPr>
            <w:tcW w:w="3166" w:type="pct"/>
            <w:gridSpan w:val="11"/>
            <w:shd w:val="clear" w:color="auto" w:fill="auto"/>
            <w:noWrap w:val="0"/>
            <w:vAlign w:val="center"/>
          </w:tcPr>
          <w:p w14:paraId="2C32A844">
            <w:pPr>
              <w:adjustRightInd w:val="0"/>
              <w:snapToGrid w:val="0"/>
              <w:ind w:left="720" w:hanging="720" w:hangingChars="300"/>
              <w:rPr>
                <w:rFonts w:ascii="仿宋" w:hAnsi="仿宋" w:eastAsia="仿宋" w:cs="仿宋"/>
                <w:kern w:val="0"/>
                <w:sz w:val="24"/>
                <w:szCs w:val="24"/>
              </w:rPr>
            </w:pPr>
            <w:r>
              <w:rPr>
                <w:rFonts w:hint="eastAsia" w:ascii="仿宋" w:hAnsi="仿宋" w:eastAsia="仿宋" w:cs="仿宋"/>
                <w:kern w:val="0"/>
                <w:sz w:val="24"/>
                <w:szCs w:val="24"/>
              </w:rPr>
              <w:t>第三讲　推进党和国家各项事业发展的重要先手棋——坚持优先发展教育事业</w:t>
            </w:r>
          </w:p>
          <w:p w14:paraId="3710254D">
            <w:pPr>
              <w:pStyle w:val="67"/>
              <w:spacing w:line="360" w:lineRule="exact"/>
              <w:rPr>
                <w:rFonts w:ascii="仿宋" w:hAnsi="仿宋" w:eastAsia="仿宋" w:cs="仿宋"/>
                <w:kern w:val="0"/>
                <w:sz w:val="24"/>
              </w:rPr>
            </w:pPr>
            <w:r>
              <w:rPr>
                <w:rFonts w:hint="eastAsia" w:ascii="仿宋" w:hAnsi="仿宋" w:eastAsia="仿宋" w:cs="仿宋"/>
                <w:kern w:val="0"/>
                <w:sz w:val="24"/>
              </w:rPr>
              <w:t>知道：教育决定着人类的今天和未来</w:t>
            </w:r>
          </w:p>
          <w:p w14:paraId="0A330787">
            <w:pPr>
              <w:pStyle w:val="67"/>
              <w:spacing w:line="360" w:lineRule="exact"/>
              <w:rPr>
                <w:rFonts w:hint="eastAsia" w:ascii="仿宋" w:hAnsi="仿宋" w:eastAsia="仿宋" w:cs="仿宋"/>
                <w:kern w:val="0"/>
                <w:sz w:val="24"/>
              </w:rPr>
            </w:pPr>
            <w:r>
              <w:rPr>
                <w:rFonts w:hint="eastAsia" w:ascii="仿宋" w:hAnsi="仿宋" w:eastAsia="仿宋" w:cs="仿宋"/>
                <w:kern w:val="0"/>
                <w:sz w:val="24"/>
              </w:rPr>
              <w:t>领会：教育是国之大计、党之大计</w:t>
            </w:r>
          </w:p>
          <w:p w14:paraId="4940DBA6">
            <w:pPr>
              <w:pStyle w:val="67"/>
              <w:spacing w:line="360" w:lineRule="exact"/>
              <w:rPr>
                <w:rFonts w:ascii="仿宋" w:hAnsi="仿宋" w:eastAsia="仿宋" w:cs="仿宋"/>
                <w:kern w:val="0"/>
                <w:sz w:val="24"/>
              </w:rPr>
            </w:pPr>
            <w:r>
              <w:rPr>
                <w:rFonts w:hint="eastAsia" w:ascii="仿宋" w:hAnsi="仿宋" w:eastAsia="仿宋" w:cs="仿宋"/>
                <w:kern w:val="0"/>
                <w:sz w:val="24"/>
              </w:rPr>
              <w:t>分析：教育在现代化建设中的基础性、先导性、全局性地位和作用；办好教育事业全社会都有责任</w:t>
            </w:r>
          </w:p>
          <w:p w14:paraId="2FABBB83">
            <w:pPr>
              <w:pStyle w:val="67"/>
              <w:spacing w:line="360" w:lineRule="exact"/>
              <w:rPr>
                <w:rFonts w:hint="eastAsia" w:ascii="仿宋" w:hAnsi="仿宋" w:eastAsia="仿宋" w:cs="仿宋"/>
                <w:kern w:val="0"/>
                <w:sz w:val="24"/>
              </w:rPr>
            </w:pPr>
            <w:r>
              <w:rPr>
                <w:rFonts w:hint="eastAsia" w:ascii="仿宋" w:hAnsi="仿宋" w:eastAsia="仿宋" w:cs="仿宋"/>
                <w:kern w:val="0"/>
                <w:sz w:val="24"/>
              </w:rPr>
              <w:t>评价：始终把教育摆在优先发展的战略地位</w:t>
            </w:r>
          </w:p>
        </w:tc>
        <w:tc>
          <w:tcPr>
            <w:tcW w:w="540" w:type="pct"/>
            <w:gridSpan w:val="2"/>
            <w:shd w:val="clear" w:color="auto" w:fill="auto"/>
            <w:noWrap w:val="0"/>
            <w:vAlign w:val="center"/>
          </w:tcPr>
          <w:p w14:paraId="4D872CC1">
            <w:pPr>
              <w:widowControl/>
              <w:adjustRightInd w:val="0"/>
              <w:snapToGrid w:val="0"/>
              <w:jc w:val="center"/>
              <w:rPr>
                <w:rFonts w:ascii="仿宋" w:hAnsi="仿宋" w:eastAsia="仿宋" w:cs="仿宋"/>
                <w:bCs/>
                <w:color w:val="000000"/>
                <w:sz w:val="24"/>
                <w:szCs w:val="24"/>
              </w:rPr>
            </w:pPr>
            <w:r>
              <w:rPr>
                <w:rFonts w:hint="eastAsia" w:ascii="仿宋" w:hAnsi="仿宋" w:eastAsia="仿宋" w:cs="仿宋"/>
                <w:kern w:val="0"/>
                <w:sz w:val="24"/>
                <w:szCs w:val="24"/>
              </w:rPr>
              <w:t>支撑课程目标1、2、3</w:t>
            </w:r>
          </w:p>
        </w:tc>
        <w:tc>
          <w:tcPr>
            <w:tcW w:w="548" w:type="pct"/>
            <w:gridSpan w:val="2"/>
            <w:shd w:val="clear" w:color="auto" w:fill="FFFFFF"/>
            <w:noWrap w:val="0"/>
            <w:vAlign w:val="center"/>
          </w:tcPr>
          <w:p w14:paraId="55C48F29">
            <w:pPr>
              <w:adjustRightInd w:val="0"/>
              <w:snapToGrid w:val="0"/>
              <w:jc w:val="center"/>
              <w:rPr>
                <w:rFonts w:hint="eastAsia" w:ascii="仿宋" w:hAnsi="仿宋" w:eastAsia="仿宋" w:cs="仿宋"/>
                <w:color w:val="000000"/>
                <w:sz w:val="24"/>
                <w:szCs w:val="24"/>
              </w:rPr>
            </w:pPr>
            <w:r>
              <w:rPr>
                <w:rFonts w:hint="eastAsia" w:ascii="仿宋" w:hAnsi="仿宋" w:eastAsia="仿宋" w:cs="仿宋"/>
                <w:kern w:val="0"/>
                <w:sz w:val="24"/>
                <w:szCs w:val="24"/>
              </w:rPr>
              <w:t>1</w:t>
            </w:r>
          </w:p>
        </w:tc>
      </w:tr>
      <w:tr w14:paraId="4084D641">
        <w:trPr>
          <w:trHeight w:val="454" w:hRule="atLeast"/>
        </w:trPr>
        <w:tc>
          <w:tcPr>
            <w:tcW w:w="744" w:type="pct"/>
            <w:vMerge w:val="continue"/>
            <w:shd w:val="clear" w:color="auto" w:fill="FFFFFF"/>
            <w:noWrap w:val="0"/>
            <w:vAlign w:val="center"/>
          </w:tcPr>
          <w:p w14:paraId="7962B6FC">
            <w:pPr>
              <w:adjustRightInd w:val="0"/>
              <w:snapToGrid w:val="0"/>
              <w:spacing w:line="240" w:lineRule="atLeast"/>
              <w:jc w:val="right"/>
              <w:rPr>
                <w:rFonts w:hint="eastAsia" w:ascii="仿宋" w:hAnsi="仿宋" w:eastAsia="仿宋" w:cs="仿宋"/>
                <w:color w:val="000000"/>
                <w:sz w:val="24"/>
                <w:szCs w:val="24"/>
              </w:rPr>
            </w:pPr>
          </w:p>
        </w:tc>
        <w:tc>
          <w:tcPr>
            <w:tcW w:w="3166" w:type="pct"/>
            <w:gridSpan w:val="11"/>
            <w:shd w:val="clear" w:color="auto" w:fill="auto"/>
            <w:noWrap w:val="0"/>
            <w:vAlign w:val="center"/>
          </w:tcPr>
          <w:p w14:paraId="3815461D">
            <w:pPr>
              <w:adjustRightInd w:val="0"/>
              <w:snapToGrid w:val="0"/>
              <w:ind w:left="720" w:hanging="720" w:hangingChars="300"/>
              <w:rPr>
                <w:rFonts w:ascii="仿宋" w:hAnsi="仿宋" w:eastAsia="仿宋" w:cs="仿宋"/>
                <w:kern w:val="0"/>
                <w:sz w:val="24"/>
                <w:szCs w:val="24"/>
              </w:rPr>
            </w:pPr>
            <w:r>
              <w:rPr>
                <w:rFonts w:hint="eastAsia" w:ascii="仿宋" w:hAnsi="仿宋" w:eastAsia="仿宋" w:cs="仿宋"/>
                <w:kern w:val="0"/>
                <w:sz w:val="24"/>
                <w:szCs w:val="24"/>
              </w:rPr>
              <w:t>第四讲　我国教育最鲜亮的底色——坚持社会主义办学方向</w:t>
            </w:r>
          </w:p>
          <w:p w14:paraId="7806363E">
            <w:pPr>
              <w:pStyle w:val="67"/>
              <w:spacing w:line="360" w:lineRule="exact"/>
              <w:ind w:left="720" w:hanging="720" w:hangingChars="300"/>
              <w:rPr>
                <w:rFonts w:ascii="仿宋" w:hAnsi="仿宋" w:eastAsia="仿宋" w:cs="仿宋"/>
                <w:kern w:val="0"/>
                <w:sz w:val="24"/>
              </w:rPr>
            </w:pPr>
            <w:r>
              <w:rPr>
                <w:rFonts w:hint="eastAsia" w:ascii="仿宋" w:hAnsi="仿宋" w:eastAsia="仿宋" w:cs="仿宋"/>
                <w:kern w:val="0"/>
                <w:sz w:val="24"/>
              </w:rPr>
              <w:t>领会：我们办的是社会主义教育：办好教育，方向是第一位的，要在事关办学方向的问题上站稳立场</w:t>
            </w:r>
          </w:p>
          <w:p w14:paraId="759C2BE4">
            <w:pPr>
              <w:pStyle w:val="67"/>
              <w:spacing w:line="360" w:lineRule="exact"/>
              <w:ind w:left="720" w:hanging="720" w:hangingChars="300"/>
              <w:rPr>
                <w:rFonts w:ascii="仿宋" w:hAnsi="仿宋" w:eastAsia="仿宋" w:cs="仿宋"/>
                <w:kern w:val="0"/>
                <w:sz w:val="24"/>
              </w:rPr>
            </w:pPr>
            <w:r>
              <w:rPr>
                <w:rFonts w:hint="eastAsia" w:ascii="仿宋" w:hAnsi="仿宋" w:eastAsia="仿宋" w:cs="仿宋"/>
                <w:kern w:val="0"/>
                <w:sz w:val="24"/>
              </w:rPr>
              <w:t>领会：马克思主义是我国教育最鲜亮的底色，以马克思主义理论教育为学生一生成长奠定科学思想基础</w:t>
            </w:r>
          </w:p>
          <w:p w14:paraId="48BFCE9C">
            <w:pPr>
              <w:pStyle w:val="67"/>
              <w:spacing w:line="360" w:lineRule="exact"/>
              <w:rPr>
                <w:rFonts w:ascii="仿宋" w:hAnsi="仿宋" w:eastAsia="仿宋" w:cs="仿宋"/>
                <w:kern w:val="0"/>
                <w:sz w:val="24"/>
              </w:rPr>
            </w:pPr>
            <w:r>
              <w:rPr>
                <w:rFonts w:hint="eastAsia" w:ascii="仿宋" w:hAnsi="仿宋" w:eastAsia="仿宋" w:cs="仿宋"/>
                <w:kern w:val="0"/>
                <w:sz w:val="24"/>
              </w:rPr>
              <w:t>分析：坚持教育的“四为服务”</w:t>
            </w:r>
          </w:p>
          <w:p w14:paraId="51194EFF">
            <w:pPr>
              <w:pStyle w:val="67"/>
              <w:spacing w:line="360" w:lineRule="exact"/>
              <w:ind w:left="720" w:hanging="720" w:hangingChars="300"/>
              <w:rPr>
                <w:rFonts w:hint="eastAsia" w:ascii="仿宋" w:hAnsi="仿宋" w:eastAsia="仿宋" w:cs="仿宋"/>
                <w:kern w:val="0"/>
                <w:sz w:val="24"/>
              </w:rPr>
            </w:pPr>
            <w:r>
              <w:rPr>
                <w:rFonts w:hint="eastAsia" w:ascii="仿宋" w:hAnsi="仿宋" w:eastAsia="仿宋" w:cs="仿宋"/>
                <w:kern w:val="0"/>
                <w:sz w:val="24"/>
              </w:rPr>
              <w:t>评价、综合：坚持教育为人民服务；坚持教育为中国共产党治国理政服务；坚持教育为巩固和发展中国特色社会主义制度服务；坚持教育为改革开放和社会主义现代化建设服务</w:t>
            </w:r>
          </w:p>
        </w:tc>
        <w:tc>
          <w:tcPr>
            <w:tcW w:w="540" w:type="pct"/>
            <w:gridSpan w:val="2"/>
            <w:shd w:val="clear" w:color="auto" w:fill="auto"/>
            <w:noWrap w:val="0"/>
            <w:vAlign w:val="center"/>
          </w:tcPr>
          <w:p w14:paraId="65F67CDA">
            <w:pPr>
              <w:widowControl/>
              <w:adjustRightInd w:val="0"/>
              <w:snapToGrid w:val="0"/>
              <w:jc w:val="center"/>
              <w:rPr>
                <w:rFonts w:hint="eastAsia" w:ascii="仿宋" w:hAnsi="仿宋" w:eastAsia="仿宋" w:cs="仿宋"/>
                <w:bCs/>
                <w:color w:val="4472C4"/>
                <w:sz w:val="24"/>
                <w:szCs w:val="24"/>
              </w:rPr>
            </w:pPr>
            <w:r>
              <w:rPr>
                <w:rFonts w:hint="eastAsia" w:ascii="仿宋" w:hAnsi="仿宋" w:eastAsia="仿宋" w:cs="仿宋"/>
                <w:kern w:val="0"/>
                <w:sz w:val="24"/>
                <w:szCs w:val="24"/>
              </w:rPr>
              <w:t>支撑课程目标1、2</w:t>
            </w:r>
          </w:p>
        </w:tc>
        <w:tc>
          <w:tcPr>
            <w:tcW w:w="548" w:type="pct"/>
            <w:gridSpan w:val="2"/>
            <w:shd w:val="clear" w:color="auto" w:fill="FFFFFF"/>
            <w:noWrap w:val="0"/>
            <w:vAlign w:val="center"/>
          </w:tcPr>
          <w:p w14:paraId="7DC5DC65">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1</w:t>
            </w:r>
          </w:p>
        </w:tc>
      </w:tr>
      <w:tr w14:paraId="7DEEB463">
        <w:trPr>
          <w:trHeight w:val="454" w:hRule="atLeast"/>
        </w:trPr>
        <w:tc>
          <w:tcPr>
            <w:tcW w:w="744" w:type="pct"/>
            <w:vMerge w:val="continue"/>
            <w:shd w:val="clear" w:color="auto" w:fill="FFFFFF"/>
            <w:noWrap w:val="0"/>
            <w:vAlign w:val="center"/>
          </w:tcPr>
          <w:p w14:paraId="44380B1A">
            <w:pPr>
              <w:adjustRightInd w:val="0"/>
              <w:snapToGrid w:val="0"/>
              <w:spacing w:line="240" w:lineRule="atLeast"/>
              <w:jc w:val="right"/>
              <w:rPr>
                <w:rFonts w:hint="eastAsia" w:ascii="仿宋" w:hAnsi="仿宋" w:eastAsia="仿宋" w:cs="仿宋"/>
                <w:color w:val="000000"/>
                <w:sz w:val="24"/>
                <w:szCs w:val="24"/>
              </w:rPr>
            </w:pPr>
          </w:p>
        </w:tc>
        <w:tc>
          <w:tcPr>
            <w:tcW w:w="3166" w:type="pct"/>
            <w:gridSpan w:val="11"/>
            <w:shd w:val="clear" w:color="auto" w:fill="auto"/>
            <w:noWrap w:val="0"/>
            <w:vAlign w:val="center"/>
          </w:tcPr>
          <w:p w14:paraId="412CA3E9">
            <w:pPr>
              <w:adjustRightInd w:val="0"/>
              <w:snapToGrid w:val="0"/>
              <w:ind w:left="720" w:hanging="720" w:hangingChars="300"/>
              <w:rPr>
                <w:rFonts w:ascii="仿宋" w:hAnsi="仿宋" w:eastAsia="仿宋" w:cs="仿宋"/>
                <w:kern w:val="0"/>
                <w:sz w:val="24"/>
                <w:szCs w:val="24"/>
              </w:rPr>
            </w:pPr>
            <w:r>
              <w:rPr>
                <w:rFonts w:hint="eastAsia" w:ascii="仿宋" w:hAnsi="仿宋" w:eastAsia="仿宋" w:cs="仿宋"/>
                <w:kern w:val="0"/>
                <w:sz w:val="24"/>
                <w:szCs w:val="24"/>
              </w:rPr>
              <w:t>第五讲　教育发展要走自己的路——坚持扎根中国大地办教育</w:t>
            </w:r>
          </w:p>
          <w:p w14:paraId="64AC5B1D">
            <w:pPr>
              <w:pStyle w:val="67"/>
              <w:spacing w:line="360" w:lineRule="exact"/>
              <w:ind w:left="720" w:hanging="720" w:hangingChars="300"/>
              <w:rPr>
                <w:rFonts w:ascii="仿宋" w:hAnsi="仿宋" w:eastAsia="仿宋" w:cs="仿宋"/>
                <w:kern w:val="0"/>
                <w:sz w:val="24"/>
              </w:rPr>
            </w:pPr>
            <w:r>
              <w:rPr>
                <w:rFonts w:hint="eastAsia" w:ascii="仿宋" w:hAnsi="仿宋" w:eastAsia="仿宋" w:cs="仿宋"/>
                <w:kern w:val="0"/>
                <w:sz w:val="24"/>
              </w:rPr>
              <w:t>知道：坚持中国特色社会主义教育发展道路，必须扎根中国、融通中外，立足时代、面向未来</w:t>
            </w:r>
          </w:p>
          <w:p w14:paraId="35F7DB63">
            <w:pPr>
              <w:pStyle w:val="67"/>
              <w:spacing w:line="360" w:lineRule="exact"/>
              <w:rPr>
                <w:rFonts w:ascii="仿宋" w:hAnsi="仿宋" w:eastAsia="仿宋" w:cs="仿宋"/>
                <w:kern w:val="0"/>
                <w:sz w:val="24"/>
              </w:rPr>
            </w:pPr>
            <w:r>
              <w:rPr>
                <w:rFonts w:hint="eastAsia" w:ascii="仿宋" w:hAnsi="仿宋" w:eastAsia="仿宋" w:cs="仿宋"/>
                <w:kern w:val="0"/>
                <w:sz w:val="24"/>
              </w:rPr>
              <w:t>领会：中国的教育必须按中国的特点和中国的实际办</w:t>
            </w:r>
          </w:p>
          <w:p w14:paraId="5979C351">
            <w:pPr>
              <w:pStyle w:val="67"/>
              <w:spacing w:line="360" w:lineRule="exact"/>
              <w:rPr>
                <w:rFonts w:ascii="仿宋" w:hAnsi="仿宋" w:eastAsia="仿宋" w:cs="仿宋"/>
                <w:kern w:val="0"/>
                <w:sz w:val="24"/>
              </w:rPr>
            </w:pPr>
            <w:r>
              <w:rPr>
                <w:rFonts w:hint="eastAsia" w:ascii="仿宋" w:hAnsi="仿宋" w:eastAsia="仿宋" w:cs="仿宋"/>
                <w:kern w:val="0"/>
                <w:sz w:val="24"/>
              </w:rPr>
              <w:t>评价：发展具有中国特色、世界水平的现代教育</w:t>
            </w:r>
          </w:p>
          <w:p w14:paraId="47E9844C">
            <w:pPr>
              <w:adjustRightInd w:val="0"/>
              <w:snapToGrid w:val="0"/>
              <w:ind w:left="720" w:hanging="720" w:hangingChars="300"/>
              <w:rPr>
                <w:rFonts w:ascii="仿宋" w:hAnsi="仿宋" w:eastAsia="仿宋" w:cs="仿宋"/>
                <w:kern w:val="0"/>
                <w:sz w:val="24"/>
                <w:szCs w:val="24"/>
              </w:rPr>
            </w:pPr>
            <w:r>
              <w:rPr>
                <w:rFonts w:hint="eastAsia" w:ascii="仿宋" w:hAnsi="仿宋" w:eastAsia="仿宋" w:cs="仿宋"/>
                <w:kern w:val="0"/>
                <w:sz w:val="24"/>
                <w:szCs w:val="24"/>
              </w:rPr>
              <w:t>综合：办好各级各类教育、建设世界一流大学和一流学科、形成更高水平的人才培养体系。</w:t>
            </w:r>
          </w:p>
        </w:tc>
        <w:tc>
          <w:tcPr>
            <w:tcW w:w="540" w:type="pct"/>
            <w:gridSpan w:val="2"/>
            <w:shd w:val="clear" w:color="auto" w:fill="auto"/>
            <w:noWrap w:val="0"/>
            <w:vAlign w:val="center"/>
          </w:tcPr>
          <w:p w14:paraId="5972990E">
            <w:pPr>
              <w:widowControl/>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支撑课程目标1、2</w:t>
            </w:r>
          </w:p>
        </w:tc>
        <w:tc>
          <w:tcPr>
            <w:tcW w:w="548" w:type="pct"/>
            <w:gridSpan w:val="2"/>
            <w:shd w:val="clear" w:color="auto" w:fill="FFFFFF"/>
            <w:noWrap w:val="0"/>
            <w:vAlign w:val="center"/>
          </w:tcPr>
          <w:p w14:paraId="6234D0D9">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74EC2C57">
        <w:trPr>
          <w:trHeight w:val="454" w:hRule="atLeast"/>
        </w:trPr>
        <w:tc>
          <w:tcPr>
            <w:tcW w:w="744" w:type="pct"/>
            <w:vMerge w:val="continue"/>
            <w:shd w:val="clear" w:color="auto" w:fill="FFFFFF"/>
            <w:noWrap w:val="0"/>
            <w:vAlign w:val="center"/>
          </w:tcPr>
          <w:p w14:paraId="2F152A61">
            <w:pPr>
              <w:adjustRightInd w:val="0"/>
              <w:snapToGrid w:val="0"/>
              <w:spacing w:line="240" w:lineRule="atLeast"/>
              <w:jc w:val="right"/>
              <w:rPr>
                <w:rFonts w:hint="eastAsia" w:ascii="仿宋" w:hAnsi="仿宋" w:eastAsia="仿宋" w:cs="仿宋"/>
                <w:color w:val="000000"/>
                <w:sz w:val="24"/>
                <w:szCs w:val="24"/>
              </w:rPr>
            </w:pPr>
          </w:p>
        </w:tc>
        <w:tc>
          <w:tcPr>
            <w:tcW w:w="3166" w:type="pct"/>
            <w:gridSpan w:val="11"/>
            <w:shd w:val="clear" w:color="auto" w:fill="auto"/>
            <w:noWrap w:val="0"/>
            <w:vAlign w:val="center"/>
          </w:tcPr>
          <w:p w14:paraId="1F7B622B">
            <w:pPr>
              <w:adjustRightInd w:val="0"/>
              <w:snapToGrid w:val="0"/>
              <w:ind w:left="960" w:hanging="960" w:hangingChars="400"/>
              <w:rPr>
                <w:rFonts w:hint="eastAsia" w:ascii="仿宋" w:hAnsi="仿宋" w:eastAsia="仿宋" w:cs="仿宋"/>
                <w:kern w:val="0"/>
                <w:sz w:val="24"/>
                <w:szCs w:val="24"/>
              </w:rPr>
            </w:pPr>
            <w:r>
              <w:rPr>
                <w:rFonts w:hint="eastAsia" w:ascii="仿宋" w:hAnsi="仿宋" w:eastAsia="仿宋" w:cs="仿宋"/>
                <w:kern w:val="0"/>
                <w:sz w:val="24"/>
                <w:szCs w:val="24"/>
              </w:rPr>
              <w:t>第六讲　增强人民的教育获得感——坚持以人民为中心发展教育　</w:t>
            </w:r>
          </w:p>
          <w:p w14:paraId="64528255">
            <w:pPr>
              <w:pStyle w:val="67"/>
              <w:spacing w:line="360" w:lineRule="exact"/>
              <w:ind w:left="720" w:hanging="720" w:hangingChars="300"/>
              <w:rPr>
                <w:rFonts w:ascii="仿宋" w:hAnsi="仿宋" w:eastAsia="仿宋" w:cs="仿宋"/>
                <w:kern w:val="0"/>
                <w:sz w:val="24"/>
              </w:rPr>
            </w:pPr>
            <w:r>
              <w:rPr>
                <w:rFonts w:hint="eastAsia" w:ascii="仿宋" w:hAnsi="仿宋" w:eastAsia="仿宋" w:cs="仿宋"/>
                <w:kern w:val="0"/>
                <w:sz w:val="24"/>
              </w:rPr>
              <w:t>知道：优化教育资源配置、着力提高欠发达地区和贫困地区教育发展水平、发展全民教育、终身教育，加快建设学习型社会</w:t>
            </w:r>
          </w:p>
          <w:p w14:paraId="4F8253D6">
            <w:pPr>
              <w:pStyle w:val="67"/>
              <w:spacing w:line="360" w:lineRule="exact"/>
              <w:rPr>
                <w:rFonts w:ascii="仿宋" w:hAnsi="仿宋" w:eastAsia="仿宋" w:cs="仿宋"/>
                <w:kern w:val="0"/>
                <w:sz w:val="24"/>
              </w:rPr>
            </w:pPr>
            <w:r>
              <w:rPr>
                <w:rFonts w:hint="eastAsia" w:ascii="仿宋" w:hAnsi="仿宋" w:eastAsia="仿宋" w:cs="仿宋"/>
                <w:kern w:val="0"/>
                <w:sz w:val="24"/>
              </w:rPr>
              <w:t>领会：坚持教育的人民立场：不断满足人民对更好教育的期待、保障人民有更多教育获得感、</w:t>
            </w:r>
          </w:p>
          <w:p w14:paraId="456B3B09">
            <w:pPr>
              <w:pStyle w:val="67"/>
              <w:spacing w:line="360" w:lineRule="exact"/>
              <w:rPr>
                <w:rFonts w:ascii="仿宋" w:hAnsi="仿宋" w:eastAsia="仿宋" w:cs="仿宋"/>
                <w:kern w:val="0"/>
                <w:sz w:val="24"/>
              </w:rPr>
            </w:pPr>
            <w:r>
              <w:rPr>
                <w:rFonts w:hint="eastAsia" w:ascii="仿宋" w:hAnsi="仿宋" w:eastAsia="仿宋" w:cs="仿宋"/>
                <w:kern w:val="0"/>
                <w:sz w:val="24"/>
              </w:rPr>
              <w:t>分析、评价：以教育公平促进社会公平正义，教育公平是社全公平的重要基础</w:t>
            </w:r>
          </w:p>
        </w:tc>
        <w:tc>
          <w:tcPr>
            <w:tcW w:w="540" w:type="pct"/>
            <w:gridSpan w:val="2"/>
            <w:shd w:val="clear" w:color="auto" w:fill="auto"/>
            <w:noWrap w:val="0"/>
            <w:vAlign w:val="center"/>
          </w:tcPr>
          <w:p w14:paraId="34C198F0">
            <w:pPr>
              <w:widowControl/>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支撑课程目标1、2、3</w:t>
            </w:r>
          </w:p>
        </w:tc>
        <w:tc>
          <w:tcPr>
            <w:tcW w:w="548" w:type="pct"/>
            <w:gridSpan w:val="2"/>
            <w:shd w:val="clear" w:color="auto" w:fill="FFFFFF"/>
            <w:noWrap w:val="0"/>
            <w:vAlign w:val="center"/>
          </w:tcPr>
          <w:p w14:paraId="21EBE00C">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7631A3B0">
        <w:trPr>
          <w:trHeight w:val="454" w:hRule="atLeast"/>
        </w:trPr>
        <w:tc>
          <w:tcPr>
            <w:tcW w:w="744" w:type="pct"/>
            <w:vMerge w:val="continue"/>
            <w:shd w:val="clear" w:color="auto" w:fill="FFFFFF"/>
            <w:noWrap w:val="0"/>
            <w:vAlign w:val="center"/>
          </w:tcPr>
          <w:p w14:paraId="7B26DEFB">
            <w:pPr>
              <w:adjustRightInd w:val="0"/>
              <w:snapToGrid w:val="0"/>
              <w:spacing w:line="240" w:lineRule="atLeast"/>
              <w:jc w:val="right"/>
              <w:rPr>
                <w:rFonts w:hint="eastAsia" w:ascii="仿宋" w:hAnsi="仿宋" w:eastAsia="仿宋" w:cs="仿宋"/>
                <w:color w:val="000000"/>
                <w:sz w:val="24"/>
                <w:szCs w:val="24"/>
              </w:rPr>
            </w:pPr>
          </w:p>
        </w:tc>
        <w:tc>
          <w:tcPr>
            <w:tcW w:w="3166" w:type="pct"/>
            <w:gridSpan w:val="11"/>
            <w:shd w:val="clear" w:color="auto" w:fill="auto"/>
            <w:noWrap w:val="0"/>
            <w:vAlign w:val="center"/>
          </w:tcPr>
          <w:p w14:paraId="25946A65">
            <w:pPr>
              <w:adjustRightInd w:val="0"/>
              <w:snapToGrid w:val="0"/>
              <w:ind w:left="960" w:hanging="960" w:hangingChars="400"/>
              <w:rPr>
                <w:rFonts w:ascii="仿宋" w:hAnsi="仿宋" w:eastAsia="仿宋" w:cs="仿宋"/>
                <w:kern w:val="0"/>
                <w:sz w:val="24"/>
                <w:szCs w:val="24"/>
              </w:rPr>
            </w:pPr>
            <w:r>
              <w:rPr>
                <w:rFonts w:hint="eastAsia" w:ascii="仿宋" w:hAnsi="仿宋" w:eastAsia="仿宋" w:cs="仿宋"/>
                <w:kern w:val="0"/>
                <w:sz w:val="24"/>
                <w:szCs w:val="24"/>
              </w:rPr>
              <w:t>第七讲  充分激发教育事业发展生机活力——坚持深化教育改革创新</w:t>
            </w:r>
          </w:p>
          <w:p w14:paraId="09C628C0">
            <w:pPr>
              <w:pStyle w:val="67"/>
              <w:spacing w:line="360" w:lineRule="exact"/>
              <w:ind w:left="720" w:hanging="720" w:hangingChars="300"/>
              <w:rPr>
                <w:rFonts w:ascii="仿宋" w:hAnsi="仿宋" w:eastAsia="仿宋" w:cs="仿宋"/>
                <w:kern w:val="0"/>
                <w:sz w:val="24"/>
              </w:rPr>
            </w:pPr>
            <w:r>
              <w:rPr>
                <w:rFonts w:hint="eastAsia" w:ascii="仿宋" w:hAnsi="仿宋" w:eastAsia="仿宋" w:cs="仿宋"/>
                <w:kern w:val="0"/>
                <w:sz w:val="24"/>
              </w:rPr>
              <w:t>知道：深化教育领域综合改革：推进人才培养模式创新、深化办学体制和教育管理改革、从根本上解决教育评价指挥棒问题</w:t>
            </w:r>
          </w:p>
          <w:p w14:paraId="740FC63C">
            <w:pPr>
              <w:pStyle w:val="67"/>
              <w:spacing w:line="360" w:lineRule="exact"/>
              <w:rPr>
                <w:rFonts w:ascii="仿宋" w:hAnsi="仿宋" w:eastAsia="仿宋" w:cs="仿宋"/>
                <w:kern w:val="0"/>
                <w:sz w:val="24"/>
              </w:rPr>
            </w:pPr>
            <w:r>
              <w:rPr>
                <w:rFonts w:hint="eastAsia" w:ascii="仿宋" w:hAnsi="仿宋" w:eastAsia="仿宋" w:cs="仿宋"/>
                <w:kern w:val="0"/>
                <w:sz w:val="24"/>
              </w:rPr>
              <w:t>领会：改革是教育事业发展的根本动力，以教育改革激活力、增动力</w:t>
            </w:r>
          </w:p>
          <w:p w14:paraId="208AE663">
            <w:pPr>
              <w:pStyle w:val="67"/>
              <w:spacing w:line="360" w:lineRule="exact"/>
              <w:rPr>
                <w:rFonts w:hint="eastAsia" w:ascii="仿宋" w:hAnsi="仿宋" w:eastAsia="仿宋" w:cs="仿宋"/>
                <w:kern w:val="0"/>
                <w:sz w:val="24"/>
              </w:rPr>
            </w:pPr>
            <w:r>
              <w:rPr>
                <w:rFonts w:hint="eastAsia" w:ascii="仿宋" w:hAnsi="仿宋" w:eastAsia="仿宋" w:cs="仿宋"/>
                <w:kern w:val="0"/>
                <w:sz w:val="24"/>
              </w:rPr>
              <w:t>综合：以扩大教育开放提升我国教育世界影响力</w:t>
            </w:r>
          </w:p>
        </w:tc>
        <w:tc>
          <w:tcPr>
            <w:tcW w:w="540" w:type="pct"/>
            <w:gridSpan w:val="2"/>
            <w:shd w:val="clear" w:color="auto" w:fill="auto"/>
            <w:noWrap w:val="0"/>
            <w:vAlign w:val="center"/>
          </w:tcPr>
          <w:p w14:paraId="5E23CBED">
            <w:pPr>
              <w:widowControl/>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支撑课程目标1、2</w:t>
            </w:r>
          </w:p>
        </w:tc>
        <w:tc>
          <w:tcPr>
            <w:tcW w:w="548" w:type="pct"/>
            <w:gridSpan w:val="2"/>
            <w:shd w:val="clear" w:color="auto" w:fill="FFFFFF"/>
            <w:noWrap w:val="0"/>
            <w:vAlign w:val="center"/>
          </w:tcPr>
          <w:p w14:paraId="28CF13FD">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1</w:t>
            </w:r>
          </w:p>
        </w:tc>
      </w:tr>
      <w:tr w14:paraId="18F5DACA">
        <w:trPr>
          <w:trHeight w:val="454" w:hRule="atLeast"/>
        </w:trPr>
        <w:tc>
          <w:tcPr>
            <w:tcW w:w="744" w:type="pct"/>
            <w:vMerge w:val="continue"/>
            <w:shd w:val="clear" w:color="auto" w:fill="FFFFFF"/>
            <w:noWrap w:val="0"/>
            <w:vAlign w:val="center"/>
          </w:tcPr>
          <w:p w14:paraId="40A57FB5">
            <w:pPr>
              <w:adjustRightInd w:val="0"/>
              <w:snapToGrid w:val="0"/>
              <w:spacing w:line="240" w:lineRule="atLeast"/>
              <w:jc w:val="right"/>
              <w:rPr>
                <w:rFonts w:hint="eastAsia" w:ascii="仿宋" w:hAnsi="仿宋" w:eastAsia="仿宋" w:cs="仿宋"/>
                <w:color w:val="000000"/>
                <w:sz w:val="24"/>
                <w:szCs w:val="24"/>
              </w:rPr>
            </w:pPr>
          </w:p>
        </w:tc>
        <w:tc>
          <w:tcPr>
            <w:tcW w:w="3166" w:type="pct"/>
            <w:gridSpan w:val="11"/>
            <w:shd w:val="clear" w:color="auto" w:fill="auto"/>
            <w:noWrap w:val="0"/>
            <w:vAlign w:val="center"/>
          </w:tcPr>
          <w:p w14:paraId="54D7110F">
            <w:pPr>
              <w:adjustRightInd w:val="0"/>
              <w:snapToGrid w:val="0"/>
              <w:ind w:left="960" w:hanging="960" w:hangingChars="400"/>
              <w:rPr>
                <w:rFonts w:ascii="仿宋" w:hAnsi="仿宋" w:eastAsia="仿宋" w:cs="仿宋"/>
                <w:kern w:val="0"/>
                <w:sz w:val="24"/>
                <w:szCs w:val="24"/>
              </w:rPr>
            </w:pPr>
            <w:r>
              <w:rPr>
                <w:rFonts w:hint="eastAsia" w:ascii="仿宋" w:hAnsi="仿宋" w:eastAsia="仿宋" w:cs="仿宋"/>
                <w:kern w:val="0"/>
                <w:sz w:val="24"/>
                <w:szCs w:val="24"/>
              </w:rPr>
              <w:t>第八讲  实现中国梦归根到底靠人才靠教育——坚持把服务中华民族伟大复兴作为教育的重要使命</w:t>
            </w:r>
          </w:p>
          <w:p w14:paraId="6FAA9411">
            <w:pPr>
              <w:pStyle w:val="67"/>
              <w:spacing w:line="360" w:lineRule="exact"/>
              <w:rPr>
                <w:rFonts w:ascii="仿宋" w:hAnsi="仿宋" w:eastAsia="仿宋" w:cs="仿宋"/>
                <w:kern w:val="0"/>
                <w:sz w:val="24"/>
              </w:rPr>
            </w:pPr>
            <w:r>
              <w:rPr>
                <w:rFonts w:hint="eastAsia" w:ascii="仿宋" w:hAnsi="仿宋" w:eastAsia="仿宋" w:cs="仿宋"/>
                <w:kern w:val="0"/>
                <w:sz w:val="24"/>
              </w:rPr>
              <w:t>领会：建设教育强国是中华民族伟大复兴的基础工程</w:t>
            </w:r>
          </w:p>
          <w:p w14:paraId="5582BE41">
            <w:pPr>
              <w:pStyle w:val="67"/>
              <w:spacing w:line="360" w:lineRule="exact"/>
              <w:rPr>
                <w:rFonts w:ascii="仿宋" w:hAnsi="仿宋" w:eastAsia="仿宋" w:cs="仿宋"/>
                <w:kern w:val="0"/>
                <w:sz w:val="24"/>
              </w:rPr>
            </w:pPr>
            <w:r>
              <w:rPr>
                <w:rFonts w:hint="eastAsia" w:ascii="仿宋" w:hAnsi="仿宋" w:eastAsia="仿宋" w:cs="仿宋"/>
                <w:kern w:val="0"/>
                <w:sz w:val="24"/>
              </w:rPr>
              <w:t>分析评价：增强教育服务中华民族伟大复兴的使命感</w:t>
            </w:r>
          </w:p>
          <w:p w14:paraId="7D1D7AB7">
            <w:pPr>
              <w:pStyle w:val="67"/>
              <w:spacing w:line="360" w:lineRule="exact"/>
              <w:rPr>
                <w:rFonts w:hint="eastAsia" w:ascii="仿宋" w:hAnsi="仿宋" w:eastAsia="仿宋" w:cs="仿宋"/>
                <w:kern w:val="0"/>
                <w:sz w:val="24"/>
              </w:rPr>
            </w:pPr>
            <w:r>
              <w:rPr>
                <w:rFonts w:hint="eastAsia" w:ascii="仿宋" w:hAnsi="仿宋" w:eastAsia="仿宋" w:cs="仿宋"/>
                <w:kern w:val="0"/>
                <w:sz w:val="24"/>
              </w:rPr>
              <w:t>综合：提升教育服务经济社会发展能力</w:t>
            </w:r>
          </w:p>
        </w:tc>
        <w:tc>
          <w:tcPr>
            <w:tcW w:w="540" w:type="pct"/>
            <w:gridSpan w:val="2"/>
            <w:shd w:val="clear" w:color="auto" w:fill="auto"/>
            <w:noWrap w:val="0"/>
            <w:vAlign w:val="center"/>
          </w:tcPr>
          <w:p w14:paraId="51BB3EC4">
            <w:pPr>
              <w:adjustRightInd w:val="0"/>
              <w:snapToGrid w:val="0"/>
              <w:jc w:val="center"/>
              <w:rPr>
                <w:rFonts w:hint="eastAsia" w:ascii="仿宋" w:hAnsi="仿宋" w:eastAsia="仿宋" w:cs="仿宋"/>
                <w:kern w:val="0"/>
                <w:sz w:val="24"/>
                <w:szCs w:val="24"/>
              </w:rPr>
            </w:pPr>
          </w:p>
          <w:p w14:paraId="0A27FF7A">
            <w:pPr>
              <w:widowControl/>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支撑课程目标1、2、3</w:t>
            </w:r>
          </w:p>
        </w:tc>
        <w:tc>
          <w:tcPr>
            <w:tcW w:w="548" w:type="pct"/>
            <w:gridSpan w:val="2"/>
            <w:shd w:val="clear" w:color="auto" w:fill="FFFFFF"/>
            <w:noWrap w:val="0"/>
            <w:vAlign w:val="center"/>
          </w:tcPr>
          <w:p w14:paraId="747730F3">
            <w:pPr>
              <w:adjustRightInd w:val="0"/>
              <w:snapToGrid w:val="0"/>
              <w:jc w:val="center"/>
              <w:rPr>
                <w:rFonts w:hint="eastAsia" w:ascii="仿宋" w:hAnsi="仿宋" w:eastAsia="仿宋" w:cs="仿宋"/>
                <w:color w:val="000000"/>
                <w:sz w:val="24"/>
                <w:szCs w:val="24"/>
              </w:rPr>
            </w:pPr>
            <w:r>
              <w:rPr>
                <w:rFonts w:hint="eastAsia" w:ascii="仿宋" w:hAnsi="仿宋" w:eastAsia="仿宋" w:cs="仿宋"/>
                <w:kern w:val="0"/>
                <w:sz w:val="24"/>
                <w:szCs w:val="24"/>
              </w:rPr>
              <w:t>1</w:t>
            </w:r>
          </w:p>
        </w:tc>
      </w:tr>
      <w:tr w14:paraId="3847F0E7">
        <w:trPr>
          <w:trHeight w:val="454" w:hRule="atLeast"/>
        </w:trPr>
        <w:tc>
          <w:tcPr>
            <w:tcW w:w="744" w:type="pct"/>
            <w:vMerge w:val="continue"/>
            <w:shd w:val="clear" w:color="auto" w:fill="FFFFFF"/>
            <w:noWrap w:val="0"/>
            <w:vAlign w:val="center"/>
          </w:tcPr>
          <w:p w14:paraId="34DFD999">
            <w:pPr>
              <w:adjustRightInd w:val="0"/>
              <w:snapToGrid w:val="0"/>
              <w:spacing w:line="240" w:lineRule="atLeast"/>
              <w:jc w:val="right"/>
              <w:rPr>
                <w:rFonts w:hint="eastAsia" w:ascii="仿宋" w:hAnsi="仿宋" w:eastAsia="仿宋" w:cs="仿宋"/>
                <w:color w:val="000000"/>
                <w:sz w:val="24"/>
                <w:szCs w:val="24"/>
              </w:rPr>
            </w:pPr>
          </w:p>
        </w:tc>
        <w:tc>
          <w:tcPr>
            <w:tcW w:w="3166" w:type="pct"/>
            <w:gridSpan w:val="11"/>
            <w:shd w:val="clear" w:color="auto" w:fill="auto"/>
            <w:noWrap w:val="0"/>
            <w:vAlign w:val="center"/>
          </w:tcPr>
          <w:p w14:paraId="1D6BDA71">
            <w:pPr>
              <w:adjustRightInd w:val="0"/>
              <w:snapToGrid w:val="0"/>
              <w:ind w:left="960" w:hanging="960" w:hangingChars="400"/>
              <w:rPr>
                <w:rFonts w:ascii="仿宋" w:hAnsi="仿宋" w:eastAsia="仿宋" w:cs="仿宋"/>
                <w:kern w:val="0"/>
                <w:sz w:val="24"/>
                <w:szCs w:val="24"/>
              </w:rPr>
            </w:pPr>
            <w:r>
              <w:rPr>
                <w:rFonts w:hint="eastAsia" w:ascii="仿宋" w:hAnsi="仿宋" w:eastAsia="仿宋" w:cs="仿宋"/>
                <w:kern w:val="0"/>
                <w:sz w:val="24"/>
                <w:szCs w:val="24"/>
              </w:rPr>
              <w:t>第九讲  好老师是民族的希望——坚持把教师队伍建设 作为基础工作</w:t>
            </w:r>
          </w:p>
          <w:p w14:paraId="69AE7102">
            <w:pPr>
              <w:pStyle w:val="67"/>
              <w:spacing w:line="360" w:lineRule="exact"/>
              <w:ind w:left="720" w:hanging="720" w:hangingChars="300"/>
              <w:rPr>
                <w:rFonts w:ascii="仿宋" w:hAnsi="仿宋" w:eastAsia="仿宋" w:cs="仿宋"/>
                <w:kern w:val="0"/>
                <w:sz w:val="24"/>
              </w:rPr>
            </w:pPr>
            <w:r>
              <w:rPr>
                <w:rFonts w:hint="eastAsia" w:ascii="仿宋" w:hAnsi="仿宋" w:eastAsia="仿宋" w:cs="仿宋"/>
                <w:kern w:val="0"/>
                <w:sz w:val="24"/>
              </w:rPr>
              <w:t>知道：健全中国特色教师教育体系</w:t>
            </w:r>
          </w:p>
          <w:p w14:paraId="70A02158">
            <w:pPr>
              <w:pStyle w:val="67"/>
              <w:spacing w:line="360" w:lineRule="exact"/>
              <w:ind w:left="720" w:hanging="720" w:hangingChars="300"/>
              <w:rPr>
                <w:rFonts w:ascii="仿宋" w:hAnsi="仿宋" w:eastAsia="仿宋" w:cs="仿宋"/>
                <w:kern w:val="0"/>
                <w:sz w:val="24"/>
              </w:rPr>
            </w:pPr>
            <w:r>
              <w:rPr>
                <w:rFonts w:hint="eastAsia" w:ascii="仿宋" w:hAnsi="仿宋" w:eastAsia="仿宋" w:cs="仿宋"/>
                <w:kern w:val="0"/>
                <w:sz w:val="24"/>
              </w:rPr>
              <w:t>领会：教师是立教之本、兴教之源，兴国必先强师，教师是教育发展的第一资源，教师是打造中华民族“梦之队”的筑梦人</w:t>
            </w:r>
          </w:p>
          <w:p w14:paraId="44FD2FA6">
            <w:pPr>
              <w:pStyle w:val="67"/>
              <w:spacing w:line="360" w:lineRule="exact"/>
              <w:ind w:left="720" w:hanging="720" w:hangingChars="300"/>
              <w:rPr>
                <w:rFonts w:ascii="仿宋" w:hAnsi="仿宋" w:eastAsia="仿宋" w:cs="仿宋"/>
                <w:kern w:val="0"/>
                <w:sz w:val="24"/>
              </w:rPr>
            </w:pPr>
            <w:r>
              <w:rPr>
                <w:rFonts w:hint="eastAsia" w:ascii="仿宋" w:hAnsi="仿宋" w:eastAsia="仿宋" w:cs="仿宋"/>
                <w:kern w:val="0"/>
                <w:sz w:val="24"/>
              </w:rPr>
              <w:t>应用：做党和人民满意的好老师，成为有理想信念、有道德情操、有扎实学识、有仁爱之心的“四有好老师”</w:t>
            </w:r>
          </w:p>
          <w:p w14:paraId="27D7BB04">
            <w:pPr>
              <w:pStyle w:val="67"/>
              <w:spacing w:line="360" w:lineRule="exact"/>
              <w:rPr>
                <w:rFonts w:hint="eastAsia" w:ascii="仿宋" w:hAnsi="仿宋" w:eastAsia="仿宋" w:cs="仿宋"/>
                <w:kern w:val="0"/>
                <w:sz w:val="24"/>
              </w:rPr>
            </w:pPr>
            <w:r>
              <w:rPr>
                <w:rFonts w:hint="eastAsia" w:ascii="仿宋" w:hAnsi="仿宋" w:eastAsia="仿宋" w:cs="仿宋"/>
                <w:kern w:val="0"/>
                <w:sz w:val="24"/>
              </w:rPr>
              <w:t>分析、评价：把师德明天见作为评价教师队伍素质的第一标准，</w:t>
            </w:r>
          </w:p>
        </w:tc>
        <w:tc>
          <w:tcPr>
            <w:tcW w:w="540" w:type="pct"/>
            <w:gridSpan w:val="2"/>
            <w:shd w:val="clear" w:color="auto" w:fill="auto"/>
            <w:noWrap w:val="0"/>
            <w:vAlign w:val="center"/>
          </w:tcPr>
          <w:p w14:paraId="36FC4723">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支撑课程目标1、2、3</w:t>
            </w:r>
          </w:p>
        </w:tc>
        <w:tc>
          <w:tcPr>
            <w:tcW w:w="548" w:type="pct"/>
            <w:gridSpan w:val="2"/>
            <w:shd w:val="clear" w:color="auto" w:fill="FFFFFF"/>
            <w:noWrap w:val="0"/>
            <w:vAlign w:val="center"/>
          </w:tcPr>
          <w:p w14:paraId="48FD7123">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2</w:t>
            </w:r>
          </w:p>
        </w:tc>
      </w:tr>
      <w:tr w14:paraId="355624E3">
        <w:trPr>
          <w:trHeight w:val="454" w:hRule="atLeast"/>
        </w:trPr>
        <w:tc>
          <w:tcPr>
            <w:tcW w:w="744" w:type="pct"/>
            <w:vMerge w:val="continue"/>
            <w:shd w:val="clear" w:color="auto" w:fill="FFFFFF"/>
            <w:noWrap w:val="0"/>
            <w:vAlign w:val="center"/>
          </w:tcPr>
          <w:p w14:paraId="4FC7242F">
            <w:pPr>
              <w:adjustRightInd w:val="0"/>
              <w:snapToGrid w:val="0"/>
              <w:spacing w:line="240" w:lineRule="atLeast"/>
              <w:jc w:val="center"/>
              <w:rPr>
                <w:rFonts w:hint="eastAsia" w:ascii="仿宋" w:hAnsi="仿宋" w:eastAsia="仿宋" w:cs="仿宋"/>
                <w:color w:val="000000"/>
                <w:sz w:val="24"/>
                <w:szCs w:val="24"/>
              </w:rPr>
            </w:pPr>
          </w:p>
        </w:tc>
        <w:tc>
          <w:tcPr>
            <w:tcW w:w="3166" w:type="pct"/>
            <w:gridSpan w:val="11"/>
            <w:shd w:val="clear" w:color="auto" w:fill="auto"/>
            <w:noWrap w:val="0"/>
            <w:vAlign w:val="center"/>
          </w:tcPr>
          <w:p w14:paraId="23E791EE">
            <w:pPr>
              <w:adjustRightInd w:val="0"/>
              <w:snapToGrid w:val="0"/>
              <w:jc w:val="center"/>
              <w:rPr>
                <w:rFonts w:hint="eastAsia" w:ascii="仿宋" w:hAnsi="仿宋" w:eastAsia="仿宋" w:cs="仿宋"/>
                <w:bCs/>
                <w:color w:val="000000"/>
                <w:sz w:val="24"/>
                <w:szCs w:val="24"/>
              </w:rPr>
            </w:pPr>
            <w:r>
              <w:rPr>
                <w:rFonts w:hint="eastAsia" w:ascii="仿宋" w:hAnsi="仿宋" w:eastAsia="仿宋" w:cs="仿宋"/>
                <w:bCs/>
                <w:color w:val="000000"/>
                <w:sz w:val="24"/>
                <w:szCs w:val="24"/>
              </w:rPr>
              <w:t>合计</w:t>
            </w:r>
          </w:p>
        </w:tc>
        <w:tc>
          <w:tcPr>
            <w:tcW w:w="1088" w:type="pct"/>
            <w:gridSpan w:val="4"/>
            <w:shd w:val="clear" w:color="auto" w:fill="FFFFFF"/>
            <w:noWrap w:val="0"/>
            <w:vAlign w:val="center"/>
          </w:tcPr>
          <w:p w14:paraId="72D0E772">
            <w:pPr>
              <w:adjustRightInd w:val="0"/>
              <w:snapToGrid w:val="0"/>
              <w:jc w:val="center"/>
              <w:rPr>
                <w:rFonts w:ascii="仿宋" w:hAnsi="仿宋" w:eastAsia="仿宋" w:cs="仿宋"/>
                <w:color w:val="4472C4"/>
                <w:sz w:val="24"/>
                <w:szCs w:val="24"/>
              </w:rPr>
            </w:pPr>
            <w:r>
              <w:rPr>
                <w:rFonts w:hint="eastAsia" w:ascii="仿宋" w:hAnsi="仿宋" w:eastAsia="仿宋" w:cs="仿宋"/>
                <w:kern w:val="0"/>
                <w:sz w:val="24"/>
                <w:szCs w:val="24"/>
              </w:rPr>
              <w:t>16</w:t>
            </w:r>
          </w:p>
        </w:tc>
      </w:tr>
      <w:tr w14:paraId="154DD4CC">
        <w:trPr>
          <w:trHeight w:val="668" w:hRule="atLeast"/>
        </w:trPr>
        <w:tc>
          <w:tcPr>
            <w:tcW w:w="744" w:type="pct"/>
            <w:vMerge w:val="restart"/>
            <w:shd w:val="clear" w:color="auto" w:fill="FFFFFF"/>
            <w:noWrap w:val="0"/>
            <w:vAlign w:val="center"/>
          </w:tcPr>
          <w:p w14:paraId="787989D9">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H</w:t>
            </w:r>
          </w:p>
          <w:p w14:paraId="4B585848">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实践内容（含教育实习、见习、研习，专业实习、毕业论文或毕业设计等）</w:t>
            </w:r>
          </w:p>
        </w:tc>
        <w:tc>
          <w:tcPr>
            <w:tcW w:w="3166" w:type="pct"/>
            <w:gridSpan w:val="11"/>
            <w:shd w:val="clear" w:color="auto" w:fill="auto"/>
            <w:noWrap w:val="0"/>
            <w:vAlign w:val="center"/>
          </w:tcPr>
          <w:p w14:paraId="1927D6A9">
            <w:pPr>
              <w:adjustRightInd w:val="0"/>
              <w:snapToGrid w:val="0"/>
              <w:jc w:val="center"/>
              <w:rPr>
                <w:rFonts w:hint="eastAsia" w:ascii="仿宋" w:hAnsi="仿宋" w:eastAsia="仿宋" w:cs="仿宋"/>
                <w:bCs/>
                <w:color w:val="000000"/>
                <w:sz w:val="24"/>
                <w:szCs w:val="24"/>
              </w:rPr>
            </w:pPr>
            <w:r>
              <w:rPr>
                <w:rFonts w:hint="eastAsia" w:ascii="仿宋" w:hAnsi="仿宋" w:eastAsia="仿宋" w:cs="仿宋"/>
                <w:color w:val="000000"/>
                <w:sz w:val="24"/>
                <w:szCs w:val="24"/>
              </w:rPr>
              <w:t>实践主要内容和要求</w:t>
            </w:r>
          </w:p>
        </w:tc>
        <w:tc>
          <w:tcPr>
            <w:tcW w:w="540" w:type="pct"/>
            <w:gridSpan w:val="2"/>
            <w:shd w:val="clear" w:color="auto" w:fill="auto"/>
            <w:noWrap w:val="0"/>
            <w:vAlign w:val="center"/>
          </w:tcPr>
          <w:p w14:paraId="4BF90D78">
            <w:pPr>
              <w:adjustRightInd w:val="0"/>
              <w:snapToGrid w:val="0"/>
              <w:spacing w:line="240" w:lineRule="atLeast"/>
              <w:jc w:val="left"/>
              <w:textAlignment w:val="baseline"/>
              <w:rPr>
                <w:rFonts w:hint="eastAsia" w:ascii="仿宋" w:hAnsi="仿宋" w:eastAsia="仿宋" w:cs="仿宋"/>
                <w:bCs/>
                <w:color w:val="000000"/>
                <w:sz w:val="24"/>
                <w:szCs w:val="24"/>
              </w:rPr>
            </w:pPr>
            <w:r>
              <w:rPr>
                <w:rFonts w:hint="eastAsia" w:ascii="仿宋" w:hAnsi="仿宋" w:eastAsia="仿宋" w:cs="仿宋"/>
                <w:color w:val="000000"/>
                <w:kern w:val="0"/>
                <w:sz w:val="24"/>
                <w:szCs w:val="24"/>
              </w:rPr>
              <w:t>支撑课程目标</w:t>
            </w:r>
          </w:p>
        </w:tc>
        <w:tc>
          <w:tcPr>
            <w:tcW w:w="548" w:type="pct"/>
            <w:gridSpan w:val="2"/>
            <w:shd w:val="clear" w:color="auto" w:fill="FFFFFF"/>
            <w:noWrap w:val="0"/>
            <w:vAlign w:val="center"/>
          </w:tcPr>
          <w:p w14:paraId="2264257E">
            <w:pPr>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时长</w:t>
            </w:r>
          </w:p>
          <w:p w14:paraId="7017D423">
            <w:pPr>
              <w:adjustRightInd w:val="0"/>
              <w:snapToGrid w:val="0"/>
              <w:jc w:val="center"/>
              <w:rPr>
                <w:rFonts w:hint="eastAsia" w:ascii="仿宋" w:hAnsi="仿宋" w:eastAsia="仿宋" w:cs="仿宋"/>
                <w:kern w:val="0"/>
                <w:sz w:val="24"/>
                <w:szCs w:val="24"/>
              </w:rPr>
            </w:pPr>
            <w:r>
              <w:rPr>
                <w:rFonts w:hint="eastAsia" w:ascii="仿宋" w:hAnsi="仿宋" w:eastAsia="仿宋" w:cs="仿宋"/>
                <w:color w:val="000000"/>
                <w:kern w:val="0"/>
                <w:sz w:val="24"/>
                <w:szCs w:val="24"/>
              </w:rPr>
              <w:t>分配</w:t>
            </w:r>
          </w:p>
        </w:tc>
      </w:tr>
      <w:tr w14:paraId="17678868">
        <w:trPr>
          <w:trHeight w:val="454" w:hRule="atLeast"/>
        </w:trPr>
        <w:tc>
          <w:tcPr>
            <w:tcW w:w="744" w:type="pct"/>
            <w:vMerge w:val="continue"/>
            <w:shd w:val="clear" w:color="auto" w:fill="FFFFFF"/>
            <w:noWrap w:val="0"/>
            <w:vAlign w:val="center"/>
          </w:tcPr>
          <w:p w14:paraId="1379D029">
            <w:pPr>
              <w:adjustRightInd w:val="0"/>
              <w:snapToGrid w:val="0"/>
              <w:spacing w:line="240" w:lineRule="atLeast"/>
              <w:jc w:val="center"/>
              <w:rPr>
                <w:rFonts w:hint="eastAsia" w:ascii="仿宋" w:hAnsi="仿宋" w:eastAsia="仿宋" w:cs="仿宋"/>
                <w:color w:val="000000"/>
                <w:sz w:val="24"/>
                <w:szCs w:val="24"/>
              </w:rPr>
            </w:pPr>
          </w:p>
        </w:tc>
        <w:tc>
          <w:tcPr>
            <w:tcW w:w="3166" w:type="pct"/>
            <w:gridSpan w:val="11"/>
            <w:shd w:val="clear" w:color="auto" w:fill="auto"/>
            <w:noWrap w:val="0"/>
            <w:vAlign w:val="center"/>
          </w:tcPr>
          <w:p w14:paraId="3BC90DFE">
            <w:pPr>
              <w:widowControl/>
              <w:spacing w:before="156" w:beforeLines="50" w:line="440" w:lineRule="exact"/>
              <w:ind w:firstLine="480" w:firstLineChars="200"/>
              <w:jc w:val="center"/>
              <w:rPr>
                <w:rFonts w:ascii="仿宋" w:hAnsi="仿宋" w:eastAsia="仿宋" w:cs="仿宋"/>
                <w:kern w:val="0"/>
                <w:sz w:val="24"/>
                <w:szCs w:val="24"/>
              </w:rPr>
            </w:pPr>
            <w:r>
              <w:rPr>
                <w:rFonts w:hint="eastAsia" w:ascii="仿宋" w:hAnsi="仿宋" w:eastAsia="仿宋" w:cs="仿宋"/>
                <w:kern w:val="0"/>
                <w:sz w:val="24"/>
                <w:szCs w:val="24"/>
              </w:rPr>
              <w:t>无</w:t>
            </w:r>
          </w:p>
        </w:tc>
        <w:tc>
          <w:tcPr>
            <w:tcW w:w="540" w:type="pct"/>
            <w:gridSpan w:val="2"/>
            <w:shd w:val="clear" w:color="auto" w:fill="auto"/>
            <w:noWrap w:val="0"/>
            <w:vAlign w:val="center"/>
          </w:tcPr>
          <w:p w14:paraId="7614D281">
            <w:pPr>
              <w:adjustRightInd w:val="0"/>
              <w:snapToGrid w:val="0"/>
              <w:jc w:val="center"/>
              <w:rPr>
                <w:rFonts w:hint="eastAsia" w:ascii="仿宋" w:hAnsi="仿宋" w:eastAsia="仿宋" w:cs="仿宋"/>
                <w:bCs/>
                <w:color w:val="000000"/>
                <w:sz w:val="24"/>
                <w:szCs w:val="24"/>
              </w:rPr>
            </w:pPr>
          </w:p>
        </w:tc>
        <w:tc>
          <w:tcPr>
            <w:tcW w:w="548" w:type="pct"/>
            <w:gridSpan w:val="2"/>
            <w:shd w:val="clear" w:color="auto" w:fill="FFFFFF"/>
            <w:noWrap w:val="0"/>
            <w:vAlign w:val="center"/>
          </w:tcPr>
          <w:p w14:paraId="02C5F301">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0</w:t>
            </w:r>
          </w:p>
        </w:tc>
      </w:tr>
      <w:tr w14:paraId="4FCEA720">
        <w:trPr>
          <w:trHeight w:val="454" w:hRule="atLeast"/>
        </w:trPr>
        <w:tc>
          <w:tcPr>
            <w:tcW w:w="744" w:type="pct"/>
            <w:vMerge w:val="continue"/>
            <w:shd w:val="clear" w:color="auto" w:fill="FFFFFF"/>
            <w:noWrap w:val="0"/>
            <w:vAlign w:val="center"/>
          </w:tcPr>
          <w:p w14:paraId="71DB2E63">
            <w:pPr>
              <w:adjustRightInd w:val="0"/>
              <w:snapToGrid w:val="0"/>
              <w:spacing w:line="240" w:lineRule="atLeast"/>
              <w:jc w:val="center"/>
              <w:rPr>
                <w:rFonts w:hint="eastAsia" w:ascii="仿宋" w:hAnsi="仿宋" w:eastAsia="仿宋" w:cs="仿宋"/>
                <w:color w:val="000000"/>
                <w:sz w:val="24"/>
                <w:szCs w:val="24"/>
              </w:rPr>
            </w:pPr>
          </w:p>
        </w:tc>
        <w:tc>
          <w:tcPr>
            <w:tcW w:w="3166" w:type="pct"/>
            <w:gridSpan w:val="11"/>
            <w:shd w:val="clear" w:color="auto" w:fill="auto"/>
            <w:noWrap w:val="0"/>
            <w:vAlign w:val="center"/>
          </w:tcPr>
          <w:p w14:paraId="6592E84E">
            <w:pPr>
              <w:spacing w:before="156" w:beforeLines="50" w:line="440" w:lineRule="exact"/>
              <w:ind w:firstLine="480" w:firstLineChars="200"/>
              <w:rPr>
                <w:rFonts w:hint="eastAsia" w:ascii="仿宋" w:hAnsi="仿宋" w:eastAsia="仿宋" w:cs="仿宋"/>
                <w:kern w:val="0"/>
                <w:sz w:val="24"/>
                <w:szCs w:val="24"/>
              </w:rPr>
            </w:pPr>
          </w:p>
        </w:tc>
        <w:tc>
          <w:tcPr>
            <w:tcW w:w="540" w:type="pct"/>
            <w:gridSpan w:val="2"/>
            <w:shd w:val="clear" w:color="auto" w:fill="auto"/>
            <w:noWrap w:val="0"/>
            <w:vAlign w:val="center"/>
          </w:tcPr>
          <w:p w14:paraId="5A624444">
            <w:pPr>
              <w:adjustRightInd w:val="0"/>
              <w:snapToGrid w:val="0"/>
              <w:jc w:val="center"/>
              <w:rPr>
                <w:rFonts w:hint="eastAsia" w:ascii="仿宋" w:hAnsi="仿宋" w:eastAsia="仿宋" w:cs="仿宋"/>
                <w:bCs/>
                <w:color w:val="000000"/>
                <w:sz w:val="24"/>
                <w:szCs w:val="24"/>
              </w:rPr>
            </w:pPr>
          </w:p>
        </w:tc>
        <w:tc>
          <w:tcPr>
            <w:tcW w:w="548" w:type="pct"/>
            <w:gridSpan w:val="2"/>
            <w:shd w:val="clear" w:color="auto" w:fill="FFFFFF"/>
            <w:noWrap w:val="0"/>
            <w:vAlign w:val="center"/>
          </w:tcPr>
          <w:p w14:paraId="1450F17A">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0</w:t>
            </w:r>
          </w:p>
        </w:tc>
      </w:tr>
      <w:tr w14:paraId="08B9A526">
        <w:trPr>
          <w:trHeight w:val="454" w:hRule="atLeast"/>
        </w:trPr>
        <w:tc>
          <w:tcPr>
            <w:tcW w:w="744" w:type="pct"/>
            <w:vMerge w:val="continue"/>
            <w:shd w:val="clear" w:color="auto" w:fill="FFFFFF"/>
            <w:noWrap w:val="0"/>
            <w:vAlign w:val="center"/>
          </w:tcPr>
          <w:p w14:paraId="28B06FB4">
            <w:pPr>
              <w:adjustRightInd w:val="0"/>
              <w:snapToGrid w:val="0"/>
              <w:spacing w:line="240" w:lineRule="atLeast"/>
              <w:jc w:val="center"/>
              <w:rPr>
                <w:rFonts w:hint="eastAsia" w:ascii="仿宋" w:hAnsi="仿宋" w:eastAsia="仿宋" w:cs="仿宋"/>
                <w:color w:val="000000"/>
                <w:sz w:val="24"/>
                <w:szCs w:val="24"/>
              </w:rPr>
            </w:pPr>
          </w:p>
        </w:tc>
        <w:tc>
          <w:tcPr>
            <w:tcW w:w="3166" w:type="pct"/>
            <w:gridSpan w:val="11"/>
            <w:shd w:val="clear" w:color="auto" w:fill="auto"/>
            <w:noWrap w:val="0"/>
            <w:vAlign w:val="center"/>
          </w:tcPr>
          <w:p w14:paraId="036371B9">
            <w:pPr>
              <w:spacing w:before="156" w:beforeLines="50" w:line="440" w:lineRule="exact"/>
              <w:jc w:val="center"/>
              <w:rPr>
                <w:rFonts w:hint="eastAsia" w:ascii="仿宋" w:hAnsi="仿宋" w:eastAsia="仿宋" w:cs="仿宋"/>
                <w:kern w:val="0"/>
                <w:sz w:val="24"/>
                <w:szCs w:val="24"/>
              </w:rPr>
            </w:pPr>
          </w:p>
        </w:tc>
        <w:tc>
          <w:tcPr>
            <w:tcW w:w="540" w:type="pct"/>
            <w:gridSpan w:val="2"/>
            <w:shd w:val="clear" w:color="auto" w:fill="auto"/>
            <w:noWrap w:val="0"/>
            <w:vAlign w:val="center"/>
          </w:tcPr>
          <w:p w14:paraId="13C48943">
            <w:pPr>
              <w:adjustRightInd w:val="0"/>
              <w:snapToGrid w:val="0"/>
              <w:jc w:val="center"/>
              <w:rPr>
                <w:rFonts w:hint="eastAsia" w:ascii="仿宋" w:hAnsi="仿宋" w:eastAsia="仿宋" w:cs="仿宋"/>
                <w:bCs/>
                <w:color w:val="000000"/>
                <w:sz w:val="24"/>
                <w:szCs w:val="24"/>
              </w:rPr>
            </w:pPr>
          </w:p>
        </w:tc>
        <w:tc>
          <w:tcPr>
            <w:tcW w:w="548" w:type="pct"/>
            <w:gridSpan w:val="2"/>
            <w:shd w:val="clear" w:color="auto" w:fill="FFFFFF"/>
            <w:noWrap w:val="0"/>
            <w:vAlign w:val="center"/>
          </w:tcPr>
          <w:p w14:paraId="5779AA2A">
            <w:pPr>
              <w:spacing w:before="156" w:beforeLines="50" w:line="440" w:lineRule="exact"/>
              <w:ind w:firstLine="480" w:firstLineChars="200"/>
              <w:jc w:val="left"/>
              <w:rPr>
                <w:rFonts w:hint="eastAsia" w:ascii="仿宋" w:hAnsi="仿宋" w:eastAsia="仿宋" w:cs="仿宋"/>
                <w:kern w:val="0"/>
                <w:sz w:val="24"/>
                <w:szCs w:val="24"/>
              </w:rPr>
            </w:pPr>
            <w:r>
              <w:rPr>
                <w:rFonts w:hint="eastAsia" w:ascii="仿宋" w:hAnsi="仿宋" w:eastAsia="仿宋" w:cs="仿宋"/>
                <w:kern w:val="0"/>
                <w:sz w:val="24"/>
                <w:szCs w:val="24"/>
              </w:rPr>
              <w:t>0</w:t>
            </w:r>
          </w:p>
        </w:tc>
      </w:tr>
      <w:tr w14:paraId="601F390A">
        <w:trPr>
          <w:trHeight w:val="921" w:hRule="atLeast"/>
        </w:trPr>
        <w:tc>
          <w:tcPr>
            <w:tcW w:w="744" w:type="pct"/>
            <w:noWrap w:val="0"/>
            <w:vAlign w:val="center"/>
          </w:tcPr>
          <w:p w14:paraId="4627707A">
            <w:pPr>
              <w:adjustRightInd w:val="0"/>
              <w:snapToGrid w:val="0"/>
              <w:spacing w:line="240" w:lineRule="atLeast"/>
              <w:jc w:val="center"/>
              <w:rPr>
                <w:rFonts w:hint="eastAsia" w:ascii="宋体" w:hAnsi="宋体"/>
                <w:color w:val="000000"/>
                <w:sz w:val="24"/>
              </w:rPr>
            </w:pPr>
            <w:r>
              <w:rPr>
                <w:rFonts w:hint="eastAsia" w:ascii="宋体" w:hAnsi="宋体"/>
                <w:color w:val="000000"/>
                <w:sz w:val="24"/>
              </w:rPr>
              <w:t>I</w:t>
            </w:r>
          </w:p>
          <w:p w14:paraId="5C40B675">
            <w:pPr>
              <w:adjustRightInd w:val="0"/>
              <w:snapToGrid w:val="0"/>
              <w:spacing w:line="240" w:lineRule="atLeast"/>
              <w:jc w:val="center"/>
              <w:rPr>
                <w:rFonts w:hint="eastAsia" w:ascii="宋体" w:hAnsi="宋体"/>
                <w:color w:val="000000"/>
                <w:sz w:val="24"/>
              </w:rPr>
            </w:pPr>
            <w:r>
              <w:rPr>
                <w:rFonts w:hint="eastAsia" w:ascii="仿宋" w:hAnsi="仿宋" w:eastAsia="仿宋" w:cs="仿宋"/>
                <w:kern w:val="0"/>
                <w:sz w:val="24"/>
                <w:szCs w:val="24"/>
              </w:rPr>
              <w:t>教学方法与教学方式</w:t>
            </w:r>
          </w:p>
        </w:tc>
        <w:tc>
          <w:tcPr>
            <w:tcW w:w="4255" w:type="pct"/>
            <w:gridSpan w:val="15"/>
            <w:tcBorders>
              <w:bottom w:val="single" w:color="auto" w:sz="4" w:space="0"/>
            </w:tcBorders>
            <w:noWrap w:val="0"/>
            <w:vAlign w:val="center"/>
          </w:tcPr>
          <w:p w14:paraId="539280D3">
            <w:pPr>
              <w:pStyle w:val="67"/>
              <w:spacing w:line="360" w:lineRule="exact"/>
              <w:ind w:left="720" w:hanging="720" w:hangingChars="300"/>
              <w:rPr>
                <w:rFonts w:hint="eastAsia" w:ascii="仿宋" w:hAnsi="仿宋" w:eastAsia="仿宋" w:cs="仿宋"/>
                <w:kern w:val="0"/>
                <w:sz w:val="24"/>
                <w:lang w:val="en-US" w:eastAsia="zh-CN"/>
              </w:rPr>
            </w:pPr>
            <w:r>
              <w:rPr>
                <w:rFonts w:hint="eastAsia" w:ascii="仿宋" w:hAnsi="仿宋" w:eastAsia="仿宋" w:cs="仿宋"/>
                <w:kern w:val="0"/>
                <w:sz w:val="24"/>
                <w:lang w:val="en-US" w:eastAsia="zh-CN"/>
              </w:rPr>
              <w:t>1.案例教学法：选取代表性案例辅助知识点讲解，加深对理论知识的分析和理解。</w:t>
            </w:r>
          </w:p>
          <w:p w14:paraId="722A8AC8">
            <w:pPr>
              <w:pStyle w:val="67"/>
              <w:spacing w:line="360" w:lineRule="exact"/>
              <w:ind w:left="720" w:hanging="720" w:hangingChars="300"/>
              <w:rPr>
                <w:rFonts w:hint="eastAsia" w:ascii="仿宋" w:hAnsi="仿宋" w:eastAsia="仿宋" w:cs="仿宋"/>
                <w:kern w:val="0"/>
                <w:sz w:val="24"/>
                <w:lang w:val="en-US" w:eastAsia="zh-CN"/>
              </w:rPr>
            </w:pPr>
            <w:r>
              <w:rPr>
                <w:rFonts w:hint="eastAsia" w:ascii="仿宋" w:hAnsi="仿宋" w:eastAsia="仿宋" w:cs="仿宋"/>
                <w:kern w:val="0"/>
                <w:sz w:val="24"/>
                <w:lang w:val="en-US" w:eastAsia="zh-CN"/>
              </w:rPr>
              <w:t>2.视频教学法：选取契合性视频辅助知识点讲解，学生能够提升学习兴趣和热情、培养思维能力、促进学习交流。</w:t>
            </w:r>
          </w:p>
          <w:p w14:paraId="435C05E2">
            <w:pPr>
              <w:pStyle w:val="67"/>
              <w:spacing w:line="360" w:lineRule="exact"/>
              <w:ind w:left="720" w:hanging="720" w:hangingChars="300"/>
              <w:rPr>
                <w:rFonts w:hint="eastAsia" w:ascii="仿宋" w:hAnsi="仿宋" w:eastAsia="仿宋" w:cs="仿宋"/>
                <w:kern w:val="0"/>
                <w:sz w:val="24"/>
                <w:lang w:val="en-US" w:eastAsia="zh-CN"/>
              </w:rPr>
            </w:pPr>
            <w:r>
              <w:rPr>
                <w:rFonts w:hint="eastAsia" w:ascii="仿宋" w:hAnsi="仿宋" w:eastAsia="仿宋" w:cs="仿宋"/>
                <w:kern w:val="0"/>
                <w:sz w:val="24"/>
                <w:lang w:val="en-US" w:eastAsia="zh-CN"/>
              </w:rPr>
              <w:t>3.讨论教学法：通过针对同一知识点设置的一个或者一连串问题链讨论问题，引发学生积极讨论，激发学生的问题意识，提高学生的逻辑思维能力和语言表达能力，使学生在师生交流和生生交流中触动彼此的情感共鸣。</w:t>
            </w:r>
          </w:p>
          <w:p w14:paraId="677EEAAE">
            <w:pPr>
              <w:pStyle w:val="67"/>
              <w:spacing w:line="360" w:lineRule="exact"/>
              <w:ind w:left="720" w:hanging="720" w:hangingChars="300"/>
              <w:rPr>
                <w:rFonts w:hint="eastAsia" w:ascii="仿宋" w:hAnsi="仿宋" w:eastAsia="仿宋" w:cs="仿宋"/>
                <w:kern w:val="0"/>
                <w:sz w:val="24"/>
                <w:lang w:val="en-US" w:eastAsia="zh-CN"/>
              </w:rPr>
            </w:pPr>
            <w:r>
              <w:rPr>
                <w:rFonts w:hint="eastAsia" w:ascii="仿宋" w:hAnsi="仿宋" w:eastAsia="仿宋" w:cs="仿宋"/>
                <w:kern w:val="0"/>
                <w:sz w:val="24"/>
                <w:lang w:val="en-US" w:eastAsia="zh-CN"/>
              </w:rPr>
              <w:t>4. 互动式教学法。在课堂上运用启发、疏导、讨论、辩论等多种教学手段，变教师的单向授课为师生互动、双向交流。让学生在课堂上多看、多听、多动、多想、多说，从而极大提高了学生的学习的兴趣，培养学生的问题意识、反思能力。</w:t>
            </w:r>
          </w:p>
          <w:p w14:paraId="4825D5B0">
            <w:pPr>
              <w:pStyle w:val="19"/>
              <w:spacing w:before="0" w:beforeAutospacing="0" w:after="0" w:afterAutospacing="0"/>
              <w:ind w:firstLine="480" w:firstLineChars="200"/>
              <w:rPr>
                <w:rFonts w:hint="eastAsia" w:ascii="仿宋" w:hAnsi="仿宋" w:eastAsia="仿宋" w:cs="仿宋"/>
              </w:rPr>
            </w:pPr>
            <w:r>
              <w:rPr>
                <w:rFonts w:hint="eastAsia" w:ascii="仿宋" w:hAnsi="仿宋" w:eastAsia="仿宋" w:cs="仿宋"/>
                <w:lang w:val="en-US" w:eastAsia="zh-CN"/>
              </w:rPr>
              <w:t>5</w:t>
            </w:r>
            <w:r>
              <w:rPr>
                <w:rFonts w:hint="eastAsia" w:ascii="仿宋" w:hAnsi="仿宋" w:eastAsia="仿宋" w:cs="仿宋"/>
              </w:rPr>
              <w:t>.主要方式：</w:t>
            </w:r>
          </w:p>
          <w:p w14:paraId="157A7377">
            <w:pPr>
              <w:adjustRightInd w:val="0"/>
              <w:snapToGrid w:val="0"/>
              <w:ind w:firstLine="480" w:firstLineChars="200"/>
              <w:rPr>
                <w:rFonts w:hint="eastAsia" w:ascii="仿宋" w:hAnsi="仿宋" w:eastAsia="仿宋" w:cs="仿宋"/>
                <w:color w:val="000000"/>
                <w:sz w:val="24"/>
              </w:rPr>
            </w:pPr>
            <w:r>
              <w:rPr>
                <w:rFonts w:hint="eastAsia" w:ascii="仿宋" w:hAnsi="仿宋" w:eastAsia="仿宋" w:cs="仿宋"/>
                <w:color w:val="000000"/>
                <w:sz w:val="24"/>
              </w:rPr>
              <w:sym w:font="Wingdings" w:char="00FE"/>
            </w:r>
            <w:r>
              <w:rPr>
                <w:rFonts w:hint="eastAsia" w:ascii="仿宋" w:hAnsi="仿宋" w:eastAsia="仿宋" w:cs="仿宋"/>
                <w:color w:val="000000"/>
                <w:sz w:val="24"/>
              </w:rPr>
              <w:t xml:space="preserve">讲授  </w:t>
            </w:r>
            <w:r>
              <w:rPr>
                <w:rFonts w:hint="eastAsia" w:ascii="仿宋" w:hAnsi="仿宋" w:eastAsia="仿宋" w:cs="仿宋"/>
                <w:color w:val="000000"/>
                <w:sz w:val="24"/>
              </w:rPr>
              <w:sym w:font="Wingdings" w:char="00FE"/>
            </w:r>
            <w:r>
              <w:rPr>
                <w:rFonts w:hint="eastAsia" w:ascii="仿宋" w:hAnsi="仿宋" w:eastAsia="仿宋" w:cs="仿宋"/>
                <w:color w:val="000000"/>
                <w:sz w:val="24"/>
              </w:rPr>
              <w:t xml:space="preserve">网络学习  </w:t>
            </w:r>
            <w:r>
              <w:rPr>
                <w:rFonts w:hint="eastAsia" w:ascii="仿宋" w:hAnsi="仿宋" w:eastAsia="仿宋" w:cs="仿宋"/>
                <w:color w:val="000000"/>
                <w:sz w:val="24"/>
              </w:rPr>
              <w:sym w:font="Wingdings" w:char="00FE"/>
            </w:r>
            <w:r>
              <w:rPr>
                <w:rFonts w:hint="eastAsia" w:ascii="仿宋" w:hAnsi="仿宋" w:eastAsia="仿宋" w:cs="仿宋"/>
                <w:color w:val="000000"/>
                <w:sz w:val="24"/>
              </w:rPr>
              <w:t xml:space="preserve">讨论或座谈  </w:t>
            </w:r>
            <w:r>
              <w:rPr>
                <w:rFonts w:hint="eastAsia" w:ascii="仿宋" w:hAnsi="仿宋" w:eastAsia="仿宋" w:cs="仿宋"/>
                <w:color w:val="000000"/>
                <w:sz w:val="24"/>
              </w:rPr>
              <w:sym w:font="Wingdings" w:char="00FE"/>
            </w:r>
            <w:r>
              <w:rPr>
                <w:rFonts w:hint="eastAsia" w:ascii="仿宋" w:hAnsi="仿宋" w:eastAsia="仿宋" w:cs="仿宋"/>
                <w:color w:val="000000"/>
                <w:sz w:val="24"/>
              </w:rPr>
              <w:t xml:space="preserve">问题导向学习  </w:t>
            </w:r>
          </w:p>
          <w:p w14:paraId="48AE9B59">
            <w:pPr>
              <w:adjustRightInd w:val="0"/>
              <w:snapToGrid w:val="0"/>
              <w:ind w:firstLine="480" w:firstLineChars="200"/>
              <w:rPr>
                <w:rFonts w:hint="eastAsia" w:ascii="仿宋" w:hAnsi="仿宋" w:eastAsia="仿宋" w:cs="仿宋"/>
                <w:color w:val="000000"/>
                <w:sz w:val="24"/>
              </w:rPr>
            </w:pPr>
            <w:r>
              <w:rPr>
                <w:rFonts w:hint="eastAsia" w:ascii="仿宋" w:hAnsi="仿宋" w:eastAsia="仿宋" w:cs="仿宋"/>
                <w:color w:val="000000"/>
                <w:sz w:val="24"/>
              </w:rPr>
              <w:sym w:font="Wingdings" w:char="00FE"/>
            </w:r>
            <w:r>
              <w:rPr>
                <w:rFonts w:hint="eastAsia" w:ascii="仿宋" w:hAnsi="仿宋" w:eastAsia="仿宋" w:cs="仿宋"/>
                <w:color w:val="000000"/>
                <w:sz w:val="24"/>
              </w:rPr>
              <w:t xml:space="preserve">分组合作学习  </w:t>
            </w:r>
            <w:r>
              <w:rPr>
                <w:rFonts w:hint="eastAsia" w:ascii="仿宋" w:hAnsi="仿宋" w:eastAsia="仿宋" w:cs="仿宋"/>
                <w:color w:val="000000"/>
                <w:sz w:val="24"/>
              </w:rPr>
              <w:sym w:font="Wingdings" w:char="00FE"/>
            </w:r>
            <w:r>
              <w:rPr>
                <w:rFonts w:hint="eastAsia" w:ascii="仿宋" w:hAnsi="仿宋" w:eastAsia="仿宋" w:cs="仿宋"/>
                <w:color w:val="000000"/>
                <w:sz w:val="24"/>
              </w:rPr>
              <w:t xml:space="preserve">专题学习  </w:t>
            </w:r>
            <w:r>
              <w:rPr>
                <w:rFonts w:hint="eastAsia" w:ascii="仿宋" w:hAnsi="仿宋" w:eastAsia="仿宋" w:cs="仿宋"/>
                <w:color w:val="000000"/>
                <w:sz w:val="24"/>
              </w:rPr>
              <w:sym w:font="Wingdings" w:char="00A8"/>
            </w:r>
            <w:r>
              <w:rPr>
                <w:rFonts w:hint="eastAsia" w:ascii="仿宋" w:hAnsi="仿宋" w:eastAsia="仿宋" w:cs="仿宋"/>
                <w:color w:val="000000"/>
                <w:sz w:val="24"/>
              </w:rPr>
              <w:t xml:space="preserve">实作学习  </w:t>
            </w:r>
            <w:r>
              <w:rPr>
                <w:rFonts w:hint="eastAsia" w:ascii="仿宋" w:hAnsi="仿宋" w:eastAsia="仿宋" w:cs="仿宋"/>
                <w:color w:val="000000"/>
                <w:sz w:val="24"/>
              </w:rPr>
              <w:sym w:font="Wingdings" w:char="00A8"/>
            </w:r>
            <w:r>
              <w:rPr>
                <w:rFonts w:hint="eastAsia" w:ascii="仿宋" w:hAnsi="仿宋" w:eastAsia="仿宋" w:cs="仿宋"/>
                <w:color w:val="000000"/>
                <w:sz w:val="24"/>
              </w:rPr>
              <w:t xml:space="preserve">发表学习  </w:t>
            </w:r>
          </w:p>
          <w:p w14:paraId="6C07D4FE">
            <w:pPr>
              <w:adjustRightInd w:val="0"/>
              <w:snapToGrid w:val="0"/>
              <w:ind w:firstLine="480" w:firstLineChars="200"/>
              <w:rPr>
                <w:rFonts w:hint="eastAsia" w:ascii="仿宋" w:hAnsi="仿宋" w:eastAsia="仿宋" w:cs="仿宋"/>
                <w:color w:val="000000"/>
                <w:sz w:val="24"/>
              </w:rPr>
            </w:pPr>
            <w:r>
              <w:rPr>
                <w:rFonts w:hint="eastAsia" w:ascii="仿宋" w:hAnsi="仿宋" w:eastAsia="仿宋" w:cs="仿宋"/>
                <w:color w:val="000000"/>
                <w:sz w:val="24"/>
              </w:rPr>
              <w:sym w:font="Wingdings" w:char="00A8"/>
            </w:r>
            <w:r>
              <w:rPr>
                <w:rFonts w:hint="eastAsia" w:ascii="仿宋" w:hAnsi="仿宋" w:eastAsia="仿宋" w:cs="仿宋"/>
                <w:color w:val="000000"/>
                <w:sz w:val="24"/>
              </w:rPr>
              <w:t xml:space="preserve">实习  </w:t>
            </w:r>
            <w:r>
              <w:rPr>
                <w:rFonts w:hint="eastAsia" w:ascii="仿宋" w:hAnsi="仿宋" w:eastAsia="仿宋" w:cs="仿宋"/>
                <w:color w:val="000000"/>
                <w:sz w:val="24"/>
              </w:rPr>
              <w:sym w:font="Wingdings" w:char="00A8"/>
            </w:r>
            <w:r>
              <w:rPr>
                <w:rFonts w:hint="eastAsia" w:ascii="仿宋" w:hAnsi="仿宋" w:eastAsia="仿宋" w:cs="仿宋"/>
                <w:color w:val="000000"/>
                <w:sz w:val="24"/>
              </w:rPr>
              <w:t xml:space="preserve">参观访问  </w:t>
            </w:r>
            <w:r>
              <w:rPr>
                <w:rFonts w:hint="eastAsia" w:ascii="仿宋" w:hAnsi="仿宋" w:eastAsia="仿宋" w:cs="仿宋"/>
                <w:color w:val="000000"/>
                <w:sz w:val="24"/>
              </w:rPr>
              <w:sym w:font="Wingdings" w:char="00A8"/>
            </w:r>
            <w:r>
              <w:rPr>
                <w:rFonts w:hint="eastAsia" w:ascii="仿宋" w:hAnsi="仿宋" w:eastAsia="仿宋" w:cs="仿宋"/>
                <w:color w:val="000000"/>
                <w:sz w:val="24"/>
              </w:rPr>
              <w:t>其它：(如口头训练等)</w:t>
            </w:r>
          </w:p>
        </w:tc>
      </w:tr>
      <w:tr w14:paraId="72B1EF0B">
        <w:trPr>
          <w:trHeight w:val="580" w:hRule="atLeast"/>
        </w:trPr>
        <w:tc>
          <w:tcPr>
            <w:tcW w:w="744" w:type="pct"/>
            <w:noWrap w:val="0"/>
            <w:vAlign w:val="center"/>
          </w:tcPr>
          <w:p w14:paraId="73ACF602">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J</w:t>
            </w:r>
          </w:p>
          <w:p w14:paraId="169CA319">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教学条件</w:t>
            </w:r>
          </w:p>
          <w:p w14:paraId="73374D97">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需求</w:t>
            </w:r>
          </w:p>
        </w:tc>
        <w:tc>
          <w:tcPr>
            <w:tcW w:w="4255" w:type="pct"/>
            <w:gridSpan w:val="15"/>
            <w:tcBorders>
              <w:bottom w:val="single" w:color="auto" w:sz="4" w:space="0"/>
            </w:tcBorders>
            <w:noWrap w:val="0"/>
            <w:vAlign w:val="center"/>
          </w:tcPr>
          <w:p w14:paraId="66956226">
            <w:pPr>
              <w:tabs>
                <w:tab w:val="left" w:pos="720"/>
              </w:tabs>
              <w:adjustRightInd w:val="0"/>
              <w:snapToGrid w:val="0"/>
              <w:spacing w:line="240" w:lineRule="atLeast"/>
              <w:rPr>
                <w:rFonts w:hint="eastAsia" w:ascii="仿宋" w:hAnsi="仿宋" w:eastAsia="仿宋" w:cs="仿宋"/>
                <w:color w:val="000000"/>
                <w:kern w:val="0"/>
                <w:sz w:val="24"/>
                <w:szCs w:val="24"/>
              </w:rPr>
            </w:pPr>
          </w:p>
          <w:p w14:paraId="6529DD82">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多媒体教室；稳定通畅的网络教学平台</w:t>
            </w:r>
          </w:p>
          <w:p w14:paraId="256556CA">
            <w:pPr>
              <w:tabs>
                <w:tab w:val="left" w:pos="720"/>
              </w:tabs>
              <w:adjustRightInd w:val="0"/>
              <w:snapToGrid w:val="0"/>
              <w:rPr>
                <w:rFonts w:hint="eastAsia" w:ascii="仿宋" w:hAnsi="仿宋" w:eastAsia="仿宋" w:cs="仿宋"/>
                <w:color w:val="000000"/>
                <w:kern w:val="0"/>
                <w:sz w:val="24"/>
                <w:szCs w:val="24"/>
              </w:rPr>
            </w:pPr>
          </w:p>
        </w:tc>
      </w:tr>
      <w:tr w14:paraId="5C9A0320">
        <w:trPr>
          <w:trHeight w:val="711" w:hRule="atLeast"/>
        </w:trPr>
        <w:tc>
          <w:tcPr>
            <w:tcW w:w="744" w:type="pct"/>
            <w:vMerge w:val="restart"/>
            <w:noWrap w:val="0"/>
            <w:vAlign w:val="center"/>
          </w:tcPr>
          <w:p w14:paraId="3DDF985A">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K</w:t>
            </w:r>
          </w:p>
          <w:p w14:paraId="4EEADDE3">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课程目标及其考核内容、考核方式及评分占比</w:t>
            </w:r>
          </w:p>
        </w:tc>
        <w:tc>
          <w:tcPr>
            <w:tcW w:w="558" w:type="pct"/>
            <w:vMerge w:val="restart"/>
            <w:noWrap w:val="0"/>
            <w:vAlign w:val="center"/>
          </w:tcPr>
          <w:p w14:paraId="0ED83C46">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课程目标及评分占比</w:t>
            </w:r>
          </w:p>
        </w:tc>
        <w:tc>
          <w:tcPr>
            <w:tcW w:w="1757" w:type="pct"/>
            <w:gridSpan w:val="6"/>
            <w:vMerge w:val="restart"/>
            <w:tcBorders>
              <w:right w:val="single" w:color="000000" w:sz="4" w:space="0"/>
            </w:tcBorders>
            <w:noWrap w:val="0"/>
            <w:vAlign w:val="center"/>
          </w:tcPr>
          <w:p w14:paraId="429C2D54">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考核内容</w:t>
            </w:r>
          </w:p>
        </w:tc>
        <w:tc>
          <w:tcPr>
            <w:tcW w:w="1571" w:type="pct"/>
            <w:gridSpan w:val="7"/>
            <w:tcBorders>
              <w:left w:val="single" w:color="000000" w:sz="4" w:space="0"/>
              <w:right w:val="single" w:color="000000" w:sz="4" w:space="0"/>
            </w:tcBorders>
            <w:noWrap w:val="0"/>
            <w:vAlign w:val="center"/>
          </w:tcPr>
          <w:p w14:paraId="21B94D73">
            <w:pPr>
              <w:tabs>
                <w:tab w:val="left" w:pos="720"/>
              </w:tabs>
              <w:adjustRightInd w:val="0"/>
              <w:snapToGrid w:val="0"/>
              <w:jc w:val="center"/>
              <w:rPr>
                <w:rFonts w:hint="eastAsia" w:ascii="仿宋" w:hAnsi="仿宋" w:eastAsia="仿宋" w:cs="仿宋"/>
                <w:color w:val="4472C4"/>
                <w:sz w:val="24"/>
                <w:szCs w:val="24"/>
              </w:rPr>
            </w:pPr>
            <w:r>
              <w:rPr>
                <w:rFonts w:hint="eastAsia" w:ascii="仿宋" w:hAnsi="仿宋" w:eastAsia="仿宋" w:cs="仿宋"/>
                <w:color w:val="000000"/>
                <w:kern w:val="0"/>
                <w:sz w:val="24"/>
                <w:szCs w:val="24"/>
              </w:rPr>
              <w:t>考核方式</w:t>
            </w:r>
          </w:p>
        </w:tc>
        <w:tc>
          <w:tcPr>
            <w:tcW w:w="367" w:type="pct"/>
            <w:vMerge w:val="restart"/>
            <w:tcBorders>
              <w:left w:val="single" w:color="000000" w:sz="4" w:space="0"/>
            </w:tcBorders>
            <w:noWrap w:val="0"/>
            <w:vAlign w:val="center"/>
          </w:tcPr>
          <w:p w14:paraId="72A0878F">
            <w:pPr>
              <w:tabs>
                <w:tab w:val="left" w:pos="720"/>
              </w:tabs>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课程分目标的达成度</w:t>
            </w:r>
          </w:p>
          <w:p w14:paraId="070ABADD">
            <w:pPr>
              <w:tabs>
                <w:tab w:val="left" w:pos="720"/>
              </w:tabs>
              <w:adjustRightInd w:val="0"/>
              <w:snapToGrid w:val="0"/>
              <w:jc w:val="center"/>
              <w:rPr>
                <w:rFonts w:ascii="仿宋" w:hAnsi="仿宋" w:eastAsia="仿宋" w:cs="仿宋"/>
                <w:color w:val="000000"/>
                <w:kern w:val="0"/>
                <w:sz w:val="24"/>
                <w:szCs w:val="24"/>
              </w:rPr>
            </w:pPr>
            <w:r>
              <w:rPr>
                <w:rFonts w:hint="eastAsia" w:ascii="仿宋" w:hAnsi="仿宋" w:eastAsia="仿宋" w:cs="仿宋"/>
                <w:color w:val="FF0000"/>
                <w:sz w:val="24"/>
                <w:szCs w:val="24"/>
              </w:rPr>
              <w:t>需填</w:t>
            </w:r>
          </w:p>
        </w:tc>
      </w:tr>
      <w:tr w14:paraId="3F84CCA2">
        <w:trPr>
          <w:trHeight w:val="184" w:hRule="atLeast"/>
        </w:trPr>
        <w:tc>
          <w:tcPr>
            <w:tcW w:w="744" w:type="pct"/>
            <w:vMerge w:val="continue"/>
            <w:noWrap w:val="0"/>
            <w:vAlign w:val="center"/>
          </w:tcPr>
          <w:p w14:paraId="62DDB14E">
            <w:pPr>
              <w:adjustRightInd w:val="0"/>
              <w:snapToGrid w:val="0"/>
              <w:spacing w:line="240" w:lineRule="atLeast"/>
              <w:jc w:val="center"/>
              <w:rPr>
                <w:rFonts w:hint="eastAsia" w:ascii="仿宋" w:hAnsi="仿宋" w:eastAsia="仿宋" w:cs="仿宋"/>
                <w:color w:val="000000"/>
                <w:sz w:val="24"/>
                <w:szCs w:val="24"/>
              </w:rPr>
            </w:pPr>
          </w:p>
        </w:tc>
        <w:tc>
          <w:tcPr>
            <w:tcW w:w="558" w:type="pct"/>
            <w:vMerge w:val="continue"/>
            <w:tcBorders>
              <w:tl2br w:val="single" w:color="auto" w:sz="4" w:space="0"/>
            </w:tcBorders>
            <w:noWrap w:val="0"/>
            <w:vAlign w:val="center"/>
          </w:tcPr>
          <w:p w14:paraId="03E5BDE2">
            <w:pPr>
              <w:adjustRightInd w:val="0"/>
              <w:snapToGrid w:val="0"/>
              <w:jc w:val="right"/>
              <w:rPr>
                <w:rFonts w:hint="eastAsia" w:ascii="仿宋" w:hAnsi="仿宋" w:eastAsia="仿宋" w:cs="仿宋"/>
                <w:color w:val="000000"/>
                <w:sz w:val="24"/>
                <w:szCs w:val="24"/>
              </w:rPr>
            </w:pPr>
          </w:p>
        </w:tc>
        <w:tc>
          <w:tcPr>
            <w:tcW w:w="1757" w:type="pct"/>
            <w:gridSpan w:val="6"/>
            <w:vMerge w:val="continue"/>
            <w:tcBorders>
              <w:right w:val="single" w:color="000000" w:sz="4" w:space="0"/>
            </w:tcBorders>
            <w:noWrap w:val="0"/>
            <w:vAlign w:val="center"/>
          </w:tcPr>
          <w:p w14:paraId="07DD7756">
            <w:pPr>
              <w:tabs>
                <w:tab w:val="left" w:pos="720"/>
              </w:tabs>
              <w:adjustRightInd w:val="0"/>
              <w:snapToGrid w:val="0"/>
              <w:jc w:val="center"/>
              <w:rPr>
                <w:rFonts w:hint="eastAsia" w:ascii="仿宋" w:hAnsi="仿宋" w:eastAsia="仿宋" w:cs="仿宋"/>
                <w:color w:val="000000"/>
                <w:kern w:val="0"/>
                <w:sz w:val="24"/>
                <w:szCs w:val="24"/>
              </w:rPr>
            </w:pPr>
          </w:p>
        </w:tc>
        <w:tc>
          <w:tcPr>
            <w:tcW w:w="300" w:type="pct"/>
            <w:tcBorders>
              <w:left w:val="single" w:color="000000" w:sz="4" w:space="0"/>
            </w:tcBorders>
            <w:noWrap w:val="0"/>
            <w:vAlign w:val="center"/>
          </w:tcPr>
          <w:p w14:paraId="00112B68">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平时课堂表现评分占比（%）</w:t>
            </w:r>
          </w:p>
        </w:tc>
        <w:tc>
          <w:tcPr>
            <w:tcW w:w="311" w:type="pct"/>
            <w:tcBorders>
              <w:bottom w:val="single" w:color="auto" w:sz="4" w:space="0"/>
              <w:right w:val="single" w:color="000000" w:sz="4" w:space="0"/>
            </w:tcBorders>
            <w:noWrap w:val="0"/>
            <w:vAlign w:val="center"/>
          </w:tcPr>
          <w:p w14:paraId="4B81D228">
            <w:pPr>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sz w:val="24"/>
                <w:szCs w:val="24"/>
              </w:rPr>
              <w:t>实践评分占比（%）</w:t>
            </w:r>
          </w:p>
        </w:tc>
        <w:tc>
          <w:tcPr>
            <w:tcW w:w="239" w:type="pct"/>
            <w:gridSpan w:val="2"/>
            <w:tcBorders>
              <w:left w:val="single" w:color="000000" w:sz="4" w:space="0"/>
              <w:bottom w:val="single" w:color="auto" w:sz="4" w:space="0"/>
            </w:tcBorders>
            <w:noWrap w:val="0"/>
            <w:vAlign w:val="center"/>
          </w:tcPr>
          <w:p w14:paraId="560B489D">
            <w:pPr>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期中考试评分占比（%）</w:t>
            </w:r>
          </w:p>
        </w:tc>
        <w:tc>
          <w:tcPr>
            <w:tcW w:w="410" w:type="pct"/>
            <w:tcBorders>
              <w:left w:val="single" w:color="000000" w:sz="4" w:space="0"/>
              <w:bottom w:val="single" w:color="auto" w:sz="4" w:space="0"/>
            </w:tcBorders>
            <w:noWrap w:val="0"/>
            <w:vAlign w:val="center"/>
          </w:tcPr>
          <w:p w14:paraId="53FC4CAA">
            <w:pPr>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小组活动评分占比（%）</w:t>
            </w:r>
          </w:p>
        </w:tc>
        <w:tc>
          <w:tcPr>
            <w:tcW w:w="310" w:type="pct"/>
            <w:gridSpan w:val="2"/>
            <w:tcBorders>
              <w:bottom w:val="single" w:color="auto" w:sz="4" w:space="0"/>
              <w:right w:val="single" w:color="000000" w:sz="4" w:space="0"/>
            </w:tcBorders>
            <w:noWrap w:val="0"/>
            <w:vAlign w:val="center"/>
          </w:tcPr>
          <w:p w14:paraId="08B21101">
            <w:pPr>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期末考试评分占比（%）</w:t>
            </w:r>
          </w:p>
        </w:tc>
        <w:tc>
          <w:tcPr>
            <w:tcW w:w="367" w:type="pct"/>
            <w:vMerge w:val="continue"/>
            <w:tcBorders>
              <w:left w:val="single" w:color="000000" w:sz="4" w:space="0"/>
              <w:bottom w:val="single" w:color="auto" w:sz="4" w:space="0"/>
            </w:tcBorders>
            <w:noWrap w:val="0"/>
            <w:vAlign w:val="center"/>
          </w:tcPr>
          <w:p w14:paraId="48E0937D">
            <w:pPr>
              <w:tabs>
                <w:tab w:val="left" w:pos="720"/>
              </w:tabs>
              <w:adjustRightInd w:val="0"/>
              <w:snapToGrid w:val="0"/>
              <w:jc w:val="center"/>
              <w:rPr>
                <w:rFonts w:hint="eastAsia" w:ascii="仿宋" w:hAnsi="仿宋" w:eastAsia="仿宋" w:cs="仿宋"/>
                <w:color w:val="000000"/>
                <w:sz w:val="24"/>
                <w:szCs w:val="24"/>
              </w:rPr>
            </w:pPr>
          </w:p>
        </w:tc>
      </w:tr>
      <w:tr w14:paraId="2352B336">
        <w:tc>
          <w:tcPr>
            <w:tcW w:w="744" w:type="pct"/>
            <w:vMerge w:val="continue"/>
            <w:noWrap w:val="0"/>
            <w:vAlign w:val="center"/>
          </w:tcPr>
          <w:p w14:paraId="7C47271D">
            <w:pPr>
              <w:adjustRightInd w:val="0"/>
              <w:snapToGrid w:val="0"/>
              <w:spacing w:line="240" w:lineRule="atLeast"/>
              <w:jc w:val="center"/>
              <w:rPr>
                <w:rFonts w:hint="eastAsia" w:ascii="仿宋" w:hAnsi="仿宋" w:eastAsia="仿宋" w:cs="仿宋"/>
                <w:color w:val="000000"/>
                <w:sz w:val="24"/>
                <w:szCs w:val="24"/>
                <w:lang w:eastAsia="zh-TW"/>
              </w:rPr>
            </w:pPr>
          </w:p>
        </w:tc>
        <w:tc>
          <w:tcPr>
            <w:tcW w:w="558" w:type="pct"/>
            <w:tcBorders>
              <w:bottom w:val="single" w:color="auto" w:sz="4" w:space="0"/>
            </w:tcBorders>
            <w:noWrap w:val="0"/>
            <w:vAlign w:val="center"/>
          </w:tcPr>
          <w:p w14:paraId="581E1037">
            <w:pPr>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sz w:val="24"/>
                <w:szCs w:val="24"/>
              </w:rPr>
              <w:t>课程目标1（30%）</w:t>
            </w:r>
          </w:p>
        </w:tc>
        <w:tc>
          <w:tcPr>
            <w:tcW w:w="1757" w:type="pct"/>
            <w:gridSpan w:val="6"/>
            <w:tcBorders>
              <w:bottom w:val="single" w:color="auto" w:sz="4" w:space="0"/>
              <w:right w:val="single" w:color="000000" w:sz="4" w:space="0"/>
            </w:tcBorders>
            <w:noWrap w:val="0"/>
            <w:vAlign w:val="center"/>
          </w:tcPr>
          <w:p w14:paraId="24504782">
            <w:pPr>
              <w:adjustRightInd w:val="0"/>
              <w:snapToGrid w:val="0"/>
              <w:jc w:val="left"/>
              <w:rPr>
                <w:rFonts w:ascii="仿宋" w:hAnsi="仿宋" w:eastAsia="仿宋" w:cs="仿宋"/>
                <w:color w:val="000000"/>
                <w:sz w:val="24"/>
              </w:rPr>
            </w:pPr>
            <w:r>
              <w:rPr>
                <w:rFonts w:hint="eastAsia" w:ascii="仿宋" w:hAnsi="仿宋" w:eastAsia="仿宋" w:cs="仿宋"/>
                <w:color w:val="000000"/>
                <w:sz w:val="24"/>
              </w:rPr>
              <w:t>1.习近平总书记教育重要论述的时代背景、重要意义</w:t>
            </w:r>
          </w:p>
          <w:p w14:paraId="64796864">
            <w:pPr>
              <w:adjustRightInd w:val="0"/>
              <w:snapToGrid w:val="0"/>
              <w:jc w:val="left"/>
              <w:rPr>
                <w:rFonts w:hint="eastAsia" w:ascii="仿宋" w:hAnsi="仿宋" w:eastAsia="仿宋" w:cs="仿宋"/>
              </w:rPr>
            </w:pPr>
            <w:r>
              <w:rPr>
                <w:rFonts w:hint="eastAsia" w:ascii="仿宋" w:hAnsi="仿宋" w:eastAsia="仿宋" w:cs="仿宋"/>
                <w:color w:val="000000"/>
                <w:sz w:val="24"/>
              </w:rPr>
              <w:t>2.习近平总书记教育重要论述的核心内涵：九个坚持</w:t>
            </w:r>
            <w:r>
              <w:rPr>
                <w:rFonts w:hint="eastAsia" w:ascii="仿宋" w:hAnsi="仿宋" w:eastAsia="仿宋" w:cs="仿宋"/>
                <w:sz w:val="24"/>
                <w:szCs w:val="24"/>
              </w:rPr>
              <w:t>。</w:t>
            </w:r>
          </w:p>
        </w:tc>
        <w:tc>
          <w:tcPr>
            <w:tcW w:w="300" w:type="pct"/>
            <w:tcBorders>
              <w:left w:val="single" w:color="000000" w:sz="4" w:space="0"/>
              <w:bottom w:val="single" w:color="auto" w:sz="4" w:space="0"/>
            </w:tcBorders>
            <w:noWrap w:val="0"/>
            <w:vAlign w:val="center"/>
          </w:tcPr>
          <w:p w14:paraId="55E08367">
            <w:pPr>
              <w:pStyle w:val="19"/>
              <w:spacing w:before="0" w:beforeAutospacing="0" w:after="0" w:afterAutospacing="0"/>
              <w:rPr>
                <w:rFonts w:hint="eastAsia" w:ascii="仿宋" w:hAnsi="仿宋" w:eastAsia="仿宋" w:cs="仿宋"/>
              </w:rPr>
            </w:pPr>
            <w:r>
              <w:rPr>
                <w:rFonts w:ascii="仿宋" w:hAnsi="仿宋" w:eastAsia="仿宋" w:cs="仿宋"/>
              </w:rPr>
              <w:t>9</w:t>
            </w:r>
          </w:p>
        </w:tc>
        <w:tc>
          <w:tcPr>
            <w:tcW w:w="311" w:type="pct"/>
            <w:tcBorders>
              <w:bottom w:val="single" w:color="auto" w:sz="4" w:space="0"/>
              <w:right w:val="single" w:color="000000" w:sz="4" w:space="0"/>
            </w:tcBorders>
            <w:noWrap w:val="0"/>
            <w:vAlign w:val="center"/>
          </w:tcPr>
          <w:p w14:paraId="2A73C63F">
            <w:pPr>
              <w:pStyle w:val="19"/>
              <w:spacing w:before="0" w:beforeAutospacing="0" w:after="0" w:afterAutospacing="0"/>
              <w:ind w:firstLine="120" w:firstLineChars="50"/>
              <w:rPr>
                <w:rFonts w:hint="eastAsia" w:ascii="仿宋" w:hAnsi="仿宋" w:eastAsia="仿宋" w:cs="仿宋"/>
              </w:rPr>
            </w:pPr>
          </w:p>
        </w:tc>
        <w:tc>
          <w:tcPr>
            <w:tcW w:w="239" w:type="pct"/>
            <w:gridSpan w:val="2"/>
            <w:tcBorders>
              <w:left w:val="single" w:color="000000" w:sz="4" w:space="0"/>
              <w:bottom w:val="single" w:color="auto" w:sz="4" w:space="0"/>
              <w:right w:val="single" w:color="auto" w:sz="4" w:space="0"/>
            </w:tcBorders>
            <w:noWrap w:val="0"/>
            <w:vAlign w:val="center"/>
          </w:tcPr>
          <w:p w14:paraId="2E9DF763">
            <w:pPr>
              <w:pStyle w:val="19"/>
              <w:spacing w:before="0" w:beforeAutospacing="0" w:after="0" w:afterAutospacing="0"/>
              <w:ind w:firstLine="480" w:firstLineChars="200"/>
              <w:rPr>
                <w:rFonts w:hint="eastAsia" w:ascii="仿宋" w:hAnsi="仿宋" w:eastAsia="仿宋" w:cs="仿宋"/>
              </w:rPr>
            </w:pPr>
          </w:p>
        </w:tc>
        <w:tc>
          <w:tcPr>
            <w:tcW w:w="410" w:type="pct"/>
            <w:tcBorders>
              <w:left w:val="single" w:color="000000" w:sz="4" w:space="0"/>
              <w:bottom w:val="single" w:color="auto" w:sz="4" w:space="0"/>
              <w:right w:val="single" w:color="auto" w:sz="4" w:space="0"/>
            </w:tcBorders>
            <w:noWrap w:val="0"/>
            <w:vAlign w:val="center"/>
          </w:tcPr>
          <w:p w14:paraId="0A0AF642">
            <w:pPr>
              <w:pStyle w:val="19"/>
              <w:spacing w:before="0" w:beforeAutospacing="0" w:after="0" w:afterAutospacing="0"/>
              <w:rPr>
                <w:rFonts w:hint="eastAsia" w:ascii="仿宋" w:hAnsi="仿宋" w:eastAsia="仿宋" w:cs="仿宋"/>
              </w:rPr>
            </w:pPr>
          </w:p>
        </w:tc>
        <w:tc>
          <w:tcPr>
            <w:tcW w:w="310" w:type="pct"/>
            <w:gridSpan w:val="2"/>
            <w:tcBorders>
              <w:left w:val="single" w:color="auto" w:sz="4" w:space="0"/>
              <w:bottom w:val="single" w:color="auto" w:sz="4" w:space="0"/>
              <w:right w:val="single" w:color="auto" w:sz="4" w:space="0"/>
            </w:tcBorders>
            <w:noWrap w:val="0"/>
            <w:vAlign w:val="center"/>
          </w:tcPr>
          <w:p w14:paraId="33DFB060">
            <w:pPr>
              <w:pStyle w:val="19"/>
              <w:spacing w:before="0" w:beforeAutospacing="0" w:after="0" w:afterAutospacing="0"/>
              <w:ind w:firstLine="120" w:firstLineChars="50"/>
              <w:rPr>
                <w:rFonts w:ascii="仿宋" w:hAnsi="仿宋" w:eastAsia="仿宋" w:cs="仿宋"/>
              </w:rPr>
            </w:pPr>
            <w:r>
              <w:rPr>
                <w:rFonts w:ascii="仿宋" w:hAnsi="仿宋" w:eastAsia="仿宋" w:cs="仿宋"/>
              </w:rPr>
              <w:t>21</w:t>
            </w:r>
          </w:p>
        </w:tc>
        <w:tc>
          <w:tcPr>
            <w:tcW w:w="367" w:type="pct"/>
            <w:tcBorders>
              <w:left w:val="single" w:color="auto" w:sz="4" w:space="0"/>
              <w:bottom w:val="single" w:color="auto" w:sz="4" w:space="0"/>
            </w:tcBorders>
            <w:noWrap w:val="0"/>
            <w:vAlign w:val="center"/>
          </w:tcPr>
          <w:p w14:paraId="0D4323FE">
            <w:pPr>
              <w:pStyle w:val="19"/>
              <w:spacing w:before="0" w:beforeAutospacing="0" w:after="0" w:afterAutospacing="0"/>
              <w:ind w:firstLine="480" w:firstLineChars="200"/>
              <w:rPr>
                <w:rFonts w:hint="eastAsia" w:ascii="仿宋" w:hAnsi="仿宋" w:eastAsia="仿宋" w:cs="仿宋"/>
              </w:rPr>
            </w:pPr>
          </w:p>
        </w:tc>
      </w:tr>
      <w:tr w14:paraId="0DEF7BEF">
        <w:trPr>
          <w:trHeight w:val="745" w:hRule="atLeast"/>
        </w:trPr>
        <w:tc>
          <w:tcPr>
            <w:tcW w:w="744" w:type="pct"/>
            <w:vMerge w:val="continue"/>
            <w:noWrap w:val="0"/>
            <w:vAlign w:val="center"/>
          </w:tcPr>
          <w:p w14:paraId="1EEE5B4B">
            <w:pPr>
              <w:adjustRightInd w:val="0"/>
              <w:snapToGrid w:val="0"/>
              <w:spacing w:line="240" w:lineRule="atLeast"/>
              <w:jc w:val="center"/>
              <w:rPr>
                <w:rFonts w:hint="eastAsia" w:ascii="仿宋" w:hAnsi="仿宋" w:eastAsia="仿宋" w:cs="仿宋"/>
                <w:color w:val="000000"/>
                <w:sz w:val="24"/>
                <w:szCs w:val="24"/>
                <w:lang w:eastAsia="zh-TW"/>
              </w:rPr>
            </w:pPr>
          </w:p>
        </w:tc>
        <w:tc>
          <w:tcPr>
            <w:tcW w:w="558" w:type="pct"/>
            <w:noWrap w:val="0"/>
            <w:vAlign w:val="center"/>
          </w:tcPr>
          <w:p w14:paraId="6A6B0BDF">
            <w:pPr>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课程目标2（40%）</w:t>
            </w:r>
          </w:p>
        </w:tc>
        <w:tc>
          <w:tcPr>
            <w:tcW w:w="1757" w:type="pct"/>
            <w:gridSpan w:val="6"/>
            <w:tcBorders>
              <w:right w:val="single" w:color="000000" w:sz="4" w:space="0"/>
            </w:tcBorders>
            <w:noWrap w:val="0"/>
            <w:vAlign w:val="center"/>
          </w:tcPr>
          <w:p w14:paraId="4C66AFFE">
            <w:pPr>
              <w:adjustRightInd w:val="0"/>
              <w:snapToGrid w:val="0"/>
              <w:jc w:val="left"/>
              <w:rPr>
                <w:rFonts w:hint="eastAsia" w:ascii="仿宋" w:hAnsi="仿宋" w:eastAsia="仿宋" w:cs="仿宋"/>
              </w:rPr>
            </w:pPr>
            <w:r>
              <w:rPr>
                <w:rFonts w:hint="eastAsia" w:ascii="仿宋" w:hAnsi="仿宋" w:eastAsia="仿宋" w:cs="仿宋"/>
                <w:color w:val="000000"/>
                <w:sz w:val="24"/>
              </w:rPr>
              <w:t>1.</w:t>
            </w:r>
            <w:r>
              <w:rPr>
                <w:rFonts w:ascii="仿宋" w:hAnsi="仿宋" w:eastAsia="仿宋" w:cs="仿宋"/>
                <w:sz w:val="24"/>
                <w:szCs w:val="24"/>
              </w:rPr>
              <w:t>认同和践行</w:t>
            </w:r>
            <w:r>
              <w:rPr>
                <w:rFonts w:hint="eastAsia" w:ascii="仿宋" w:hAnsi="仿宋" w:eastAsia="仿宋" w:cs="仿宋"/>
                <w:sz w:val="24"/>
                <w:szCs w:val="24"/>
              </w:rPr>
              <w:t>社会主义核心价值观；2.</w:t>
            </w:r>
            <w:r>
              <w:rPr>
                <w:rFonts w:ascii="仿宋" w:hAnsi="仿宋" w:eastAsia="仿宋" w:cs="仿宋"/>
                <w:sz w:val="24"/>
                <w:szCs w:val="24"/>
              </w:rPr>
              <w:t>全面贯彻国家教育方针，以立德树人为已任</w:t>
            </w:r>
            <w:r>
              <w:rPr>
                <w:rFonts w:hint="eastAsia" w:ascii="仿宋" w:hAnsi="仿宋" w:eastAsia="仿宋" w:cs="仿宋"/>
                <w:sz w:val="24"/>
                <w:szCs w:val="24"/>
              </w:rPr>
              <w:t>3.遵守师德规范，学术规范，教研伦理，树立师德师风具备良好的职业规范。</w:t>
            </w:r>
          </w:p>
        </w:tc>
        <w:tc>
          <w:tcPr>
            <w:tcW w:w="300" w:type="pct"/>
            <w:tcBorders>
              <w:left w:val="single" w:color="000000" w:sz="4" w:space="0"/>
            </w:tcBorders>
            <w:noWrap w:val="0"/>
            <w:vAlign w:val="center"/>
          </w:tcPr>
          <w:p w14:paraId="75FBFD16">
            <w:pPr>
              <w:pStyle w:val="19"/>
              <w:spacing w:before="0" w:beforeAutospacing="0" w:after="0" w:afterAutospacing="0"/>
              <w:rPr>
                <w:rFonts w:hint="eastAsia" w:ascii="仿宋" w:hAnsi="仿宋" w:eastAsia="仿宋" w:cs="仿宋"/>
              </w:rPr>
            </w:pPr>
            <w:r>
              <w:rPr>
                <w:rFonts w:hint="eastAsia" w:ascii="仿宋" w:hAnsi="仿宋" w:eastAsia="仿宋" w:cs="仿宋"/>
              </w:rPr>
              <w:t>1</w:t>
            </w:r>
            <w:r>
              <w:rPr>
                <w:rFonts w:ascii="仿宋" w:hAnsi="仿宋" w:eastAsia="仿宋" w:cs="仿宋"/>
              </w:rPr>
              <w:t>2</w:t>
            </w:r>
          </w:p>
        </w:tc>
        <w:tc>
          <w:tcPr>
            <w:tcW w:w="311" w:type="pct"/>
            <w:tcBorders>
              <w:bottom w:val="single" w:color="000000" w:sz="4" w:space="0"/>
              <w:right w:val="single" w:color="000000" w:sz="4" w:space="0"/>
            </w:tcBorders>
            <w:noWrap w:val="0"/>
            <w:vAlign w:val="center"/>
          </w:tcPr>
          <w:p w14:paraId="0CFB3959">
            <w:pPr>
              <w:pStyle w:val="19"/>
              <w:spacing w:before="0" w:beforeAutospacing="0" w:after="0" w:afterAutospacing="0"/>
              <w:ind w:firstLine="120" w:firstLineChars="50"/>
              <w:rPr>
                <w:rFonts w:hint="eastAsia" w:ascii="仿宋" w:hAnsi="仿宋" w:eastAsia="仿宋" w:cs="仿宋"/>
              </w:rPr>
            </w:pPr>
            <w:r>
              <w:rPr>
                <w:rFonts w:hint="eastAsia" w:ascii="仿宋" w:hAnsi="仿宋" w:eastAsia="仿宋" w:cs="仿宋"/>
              </w:rPr>
              <w:t>0</w:t>
            </w:r>
          </w:p>
        </w:tc>
        <w:tc>
          <w:tcPr>
            <w:tcW w:w="239" w:type="pct"/>
            <w:gridSpan w:val="2"/>
            <w:tcBorders>
              <w:left w:val="single" w:color="000000" w:sz="4" w:space="0"/>
              <w:bottom w:val="single" w:color="000000" w:sz="4" w:space="0"/>
            </w:tcBorders>
            <w:noWrap w:val="0"/>
            <w:vAlign w:val="center"/>
          </w:tcPr>
          <w:p w14:paraId="35710231">
            <w:pPr>
              <w:pStyle w:val="19"/>
              <w:spacing w:before="0" w:beforeAutospacing="0" w:after="0" w:afterAutospacing="0"/>
              <w:ind w:firstLine="480" w:firstLineChars="200"/>
              <w:rPr>
                <w:rFonts w:hint="eastAsia" w:ascii="仿宋" w:hAnsi="仿宋" w:eastAsia="仿宋" w:cs="仿宋"/>
              </w:rPr>
            </w:pPr>
          </w:p>
        </w:tc>
        <w:tc>
          <w:tcPr>
            <w:tcW w:w="410" w:type="pct"/>
            <w:tcBorders>
              <w:left w:val="single" w:color="000000" w:sz="4" w:space="0"/>
              <w:bottom w:val="single" w:color="000000" w:sz="4" w:space="0"/>
            </w:tcBorders>
            <w:noWrap w:val="0"/>
            <w:vAlign w:val="center"/>
          </w:tcPr>
          <w:p w14:paraId="6341F785">
            <w:pPr>
              <w:pStyle w:val="19"/>
              <w:spacing w:before="0" w:beforeAutospacing="0" w:after="0" w:afterAutospacing="0"/>
              <w:rPr>
                <w:rFonts w:hint="eastAsia" w:ascii="仿宋" w:hAnsi="仿宋" w:eastAsia="仿宋" w:cs="仿宋"/>
              </w:rPr>
            </w:pPr>
          </w:p>
        </w:tc>
        <w:tc>
          <w:tcPr>
            <w:tcW w:w="310" w:type="pct"/>
            <w:gridSpan w:val="2"/>
            <w:tcBorders>
              <w:bottom w:val="single" w:color="000000" w:sz="4" w:space="0"/>
              <w:right w:val="single" w:color="000000" w:sz="4" w:space="0"/>
            </w:tcBorders>
            <w:noWrap w:val="0"/>
            <w:vAlign w:val="center"/>
          </w:tcPr>
          <w:p w14:paraId="0B11EFAE">
            <w:pPr>
              <w:pStyle w:val="19"/>
              <w:spacing w:before="0" w:beforeAutospacing="0" w:after="0" w:afterAutospacing="0"/>
              <w:ind w:firstLine="120" w:firstLineChars="50"/>
              <w:rPr>
                <w:rFonts w:ascii="仿宋" w:hAnsi="仿宋" w:eastAsia="仿宋" w:cs="仿宋"/>
              </w:rPr>
            </w:pPr>
            <w:r>
              <w:rPr>
                <w:rFonts w:ascii="仿宋" w:hAnsi="仿宋" w:eastAsia="仿宋" w:cs="仿宋"/>
              </w:rPr>
              <w:t>28</w:t>
            </w:r>
          </w:p>
        </w:tc>
        <w:tc>
          <w:tcPr>
            <w:tcW w:w="367" w:type="pct"/>
            <w:tcBorders>
              <w:left w:val="single" w:color="000000" w:sz="4" w:space="0"/>
              <w:bottom w:val="single" w:color="000000" w:sz="4" w:space="0"/>
            </w:tcBorders>
            <w:noWrap w:val="0"/>
            <w:vAlign w:val="center"/>
          </w:tcPr>
          <w:p w14:paraId="1C42D9C0">
            <w:pPr>
              <w:pStyle w:val="19"/>
              <w:spacing w:before="0" w:beforeAutospacing="0" w:after="0" w:afterAutospacing="0"/>
              <w:ind w:firstLine="480" w:firstLineChars="200"/>
              <w:rPr>
                <w:rFonts w:hint="eastAsia" w:ascii="仿宋" w:hAnsi="仿宋" w:eastAsia="仿宋" w:cs="仿宋"/>
              </w:rPr>
            </w:pPr>
          </w:p>
        </w:tc>
      </w:tr>
      <w:tr w14:paraId="720AD600">
        <w:trPr>
          <w:trHeight w:val="515" w:hRule="atLeast"/>
        </w:trPr>
        <w:tc>
          <w:tcPr>
            <w:tcW w:w="744" w:type="pct"/>
            <w:vMerge w:val="continue"/>
            <w:noWrap w:val="0"/>
            <w:vAlign w:val="center"/>
          </w:tcPr>
          <w:p w14:paraId="0701F925">
            <w:pPr>
              <w:adjustRightInd w:val="0"/>
              <w:snapToGrid w:val="0"/>
              <w:spacing w:line="240" w:lineRule="atLeast"/>
              <w:jc w:val="center"/>
              <w:rPr>
                <w:rFonts w:hint="eastAsia" w:ascii="仿宋" w:hAnsi="仿宋" w:eastAsia="仿宋" w:cs="仿宋"/>
                <w:color w:val="000000"/>
                <w:sz w:val="24"/>
                <w:szCs w:val="24"/>
                <w:lang w:eastAsia="zh-TW"/>
              </w:rPr>
            </w:pPr>
          </w:p>
        </w:tc>
        <w:tc>
          <w:tcPr>
            <w:tcW w:w="558" w:type="pct"/>
            <w:tcBorders>
              <w:bottom w:val="single" w:color="auto" w:sz="4" w:space="0"/>
            </w:tcBorders>
            <w:noWrap w:val="0"/>
            <w:vAlign w:val="center"/>
          </w:tcPr>
          <w:p w14:paraId="4EFE86CB">
            <w:pPr>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课程目标3（30%）</w:t>
            </w:r>
          </w:p>
        </w:tc>
        <w:tc>
          <w:tcPr>
            <w:tcW w:w="1757" w:type="pct"/>
            <w:gridSpan w:val="6"/>
            <w:tcBorders>
              <w:bottom w:val="single" w:color="auto" w:sz="4" w:space="0"/>
              <w:right w:val="single" w:color="000000" w:sz="4" w:space="0"/>
            </w:tcBorders>
            <w:noWrap w:val="0"/>
            <w:vAlign w:val="center"/>
          </w:tcPr>
          <w:p w14:paraId="73496494">
            <w:pPr>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1. 职业认同和职业成就：热爱教学、热爱学生、为自己即将成为一名光荣人民教师而倍感自豪，对即将从事的教师工作能全情倾入，全身投入。</w:t>
            </w:r>
          </w:p>
          <w:p w14:paraId="4244E5C1">
            <w:pPr>
              <w:adjustRightInd w:val="0"/>
              <w:snapToGrid w:val="0"/>
              <w:jc w:val="left"/>
              <w:rPr>
                <w:rFonts w:hint="eastAsia" w:ascii="仿宋" w:hAnsi="仿宋" w:eastAsia="仿宋" w:cs="仿宋"/>
              </w:rPr>
            </w:pPr>
            <w:r>
              <w:rPr>
                <w:rFonts w:hint="eastAsia" w:ascii="仿宋" w:hAnsi="仿宋" w:eastAsia="仿宋" w:cs="仿宋"/>
                <w:sz w:val="24"/>
                <w:szCs w:val="24"/>
              </w:rPr>
              <w:t>2.树立教师职业信念：持续热情地保持对教育事业的热爱。</w:t>
            </w:r>
          </w:p>
        </w:tc>
        <w:tc>
          <w:tcPr>
            <w:tcW w:w="300" w:type="pct"/>
            <w:tcBorders>
              <w:left w:val="single" w:color="000000" w:sz="4" w:space="0"/>
              <w:bottom w:val="single" w:color="auto" w:sz="4" w:space="0"/>
            </w:tcBorders>
            <w:noWrap w:val="0"/>
            <w:vAlign w:val="center"/>
          </w:tcPr>
          <w:p w14:paraId="18F75B9C">
            <w:pPr>
              <w:pStyle w:val="19"/>
              <w:spacing w:before="0" w:beforeAutospacing="0" w:after="0" w:afterAutospacing="0"/>
              <w:rPr>
                <w:rFonts w:hint="eastAsia" w:ascii="仿宋" w:hAnsi="仿宋" w:eastAsia="仿宋" w:cs="仿宋"/>
              </w:rPr>
            </w:pPr>
            <w:r>
              <w:rPr>
                <w:rFonts w:hint="eastAsia" w:ascii="仿宋" w:hAnsi="仿宋" w:eastAsia="仿宋" w:cs="仿宋"/>
              </w:rPr>
              <w:t>1</w:t>
            </w:r>
            <w:r>
              <w:rPr>
                <w:rFonts w:ascii="仿宋" w:hAnsi="仿宋" w:eastAsia="仿宋" w:cs="仿宋"/>
              </w:rPr>
              <w:t>9</w:t>
            </w:r>
          </w:p>
        </w:tc>
        <w:tc>
          <w:tcPr>
            <w:tcW w:w="311" w:type="pct"/>
            <w:tcBorders>
              <w:top w:val="single" w:color="000000" w:sz="4" w:space="0"/>
              <w:bottom w:val="single" w:color="auto" w:sz="4" w:space="0"/>
              <w:right w:val="single" w:color="000000" w:sz="4" w:space="0"/>
            </w:tcBorders>
            <w:noWrap w:val="0"/>
            <w:vAlign w:val="center"/>
          </w:tcPr>
          <w:p w14:paraId="35EFE337">
            <w:pPr>
              <w:pStyle w:val="19"/>
              <w:spacing w:before="0" w:beforeAutospacing="0" w:after="0" w:afterAutospacing="0"/>
              <w:ind w:firstLine="120" w:firstLineChars="50"/>
              <w:rPr>
                <w:rFonts w:hint="eastAsia" w:ascii="仿宋" w:hAnsi="仿宋" w:eastAsia="仿宋" w:cs="仿宋"/>
              </w:rPr>
            </w:pPr>
            <w:r>
              <w:rPr>
                <w:rFonts w:hint="eastAsia" w:ascii="仿宋" w:hAnsi="仿宋" w:eastAsia="仿宋" w:cs="仿宋"/>
              </w:rPr>
              <w:t>0</w:t>
            </w:r>
          </w:p>
        </w:tc>
        <w:tc>
          <w:tcPr>
            <w:tcW w:w="239" w:type="pct"/>
            <w:gridSpan w:val="2"/>
            <w:tcBorders>
              <w:top w:val="single" w:color="000000" w:sz="4" w:space="0"/>
              <w:left w:val="single" w:color="000000" w:sz="4" w:space="0"/>
              <w:bottom w:val="single" w:color="auto" w:sz="4" w:space="0"/>
            </w:tcBorders>
            <w:noWrap w:val="0"/>
            <w:vAlign w:val="center"/>
          </w:tcPr>
          <w:p w14:paraId="6D06B3FE">
            <w:pPr>
              <w:pStyle w:val="19"/>
              <w:spacing w:before="0" w:beforeAutospacing="0" w:after="0" w:afterAutospacing="0"/>
              <w:ind w:firstLine="480" w:firstLineChars="200"/>
              <w:rPr>
                <w:rFonts w:hint="eastAsia" w:ascii="仿宋" w:hAnsi="仿宋" w:eastAsia="仿宋" w:cs="仿宋"/>
              </w:rPr>
            </w:pPr>
          </w:p>
        </w:tc>
        <w:tc>
          <w:tcPr>
            <w:tcW w:w="410" w:type="pct"/>
            <w:tcBorders>
              <w:top w:val="single" w:color="000000" w:sz="4" w:space="0"/>
              <w:left w:val="single" w:color="000000" w:sz="4" w:space="0"/>
              <w:bottom w:val="single" w:color="auto" w:sz="4" w:space="0"/>
            </w:tcBorders>
            <w:noWrap w:val="0"/>
            <w:vAlign w:val="center"/>
          </w:tcPr>
          <w:p w14:paraId="7D410D60">
            <w:pPr>
              <w:pStyle w:val="19"/>
              <w:spacing w:before="0" w:beforeAutospacing="0" w:after="0" w:afterAutospacing="0"/>
              <w:rPr>
                <w:rFonts w:hint="eastAsia" w:ascii="仿宋" w:hAnsi="仿宋" w:eastAsia="仿宋" w:cs="仿宋"/>
              </w:rPr>
            </w:pPr>
          </w:p>
        </w:tc>
        <w:tc>
          <w:tcPr>
            <w:tcW w:w="310" w:type="pct"/>
            <w:gridSpan w:val="2"/>
            <w:tcBorders>
              <w:top w:val="single" w:color="000000" w:sz="4" w:space="0"/>
              <w:bottom w:val="single" w:color="auto" w:sz="4" w:space="0"/>
              <w:right w:val="single" w:color="000000" w:sz="4" w:space="0"/>
            </w:tcBorders>
            <w:noWrap w:val="0"/>
            <w:vAlign w:val="center"/>
          </w:tcPr>
          <w:p w14:paraId="378705BF">
            <w:pPr>
              <w:pStyle w:val="19"/>
              <w:spacing w:before="0" w:beforeAutospacing="0" w:after="0" w:afterAutospacing="0"/>
              <w:ind w:firstLine="120" w:firstLineChars="50"/>
              <w:rPr>
                <w:rFonts w:ascii="仿宋" w:hAnsi="仿宋" w:eastAsia="仿宋" w:cs="仿宋"/>
              </w:rPr>
            </w:pPr>
            <w:r>
              <w:rPr>
                <w:rFonts w:ascii="仿宋" w:hAnsi="仿宋" w:eastAsia="仿宋" w:cs="仿宋"/>
              </w:rPr>
              <w:t>21</w:t>
            </w:r>
          </w:p>
        </w:tc>
        <w:tc>
          <w:tcPr>
            <w:tcW w:w="367" w:type="pct"/>
            <w:tcBorders>
              <w:top w:val="single" w:color="000000" w:sz="4" w:space="0"/>
              <w:left w:val="single" w:color="000000" w:sz="4" w:space="0"/>
              <w:bottom w:val="single" w:color="auto" w:sz="4" w:space="0"/>
            </w:tcBorders>
            <w:noWrap w:val="0"/>
            <w:vAlign w:val="center"/>
          </w:tcPr>
          <w:p w14:paraId="6786E75A">
            <w:pPr>
              <w:pStyle w:val="19"/>
              <w:spacing w:before="0" w:beforeAutospacing="0" w:after="0" w:afterAutospacing="0"/>
              <w:ind w:firstLine="480" w:firstLineChars="200"/>
              <w:rPr>
                <w:rFonts w:hint="eastAsia" w:ascii="仿宋" w:hAnsi="仿宋" w:eastAsia="仿宋" w:cs="仿宋"/>
              </w:rPr>
            </w:pPr>
          </w:p>
        </w:tc>
      </w:tr>
      <w:tr w14:paraId="38E41840">
        <w:trPr>
          <w:trHeight w:val="515" w:hRule="atLeast"/>
        </w:trPr>
        <w:tc>
          <w:tcPr>
            <w:tcW w:w="744" w:type="pct"/>
            <w:vMerge w:val="continue"/>
            <w:noWrap w:val="0"/>
            <w:vAlign w:val="center"/>
          </w:tcPr>
          <w:p w14:paraId="1E3B8219">
            <w:pPr>
              <w:adjustRightInd w:val="0"/>
              <w:snapToGrid w:val="0"/>
              <w:spacing w:line="240" w:lineRule="atLeast"/>
              <w:jc w:val="center"/>
              <w:rPr>
                <w:rFonts w:hint="eastAsia" w:ascii="仿宋" w:hAnsi="仿宋" w:eastAsia="仿宋" w:cs="仿宋"/>
                <w:color w:val="000000"/>
                <w:sz w:val="24"/>
                <w:szCs w:val="24"/>
                <w:lang w:eastAsia="zh-TW"/>
              </w:rPr>
            </w:pPr>
          </w:p>
        </w:tc>
        <w:tc>
          <w:tcPr>
            <w:tcW w:w="2315" w:type="pct"/>
            <w:gridSpan w:val="7"/>
            <w:tcBorders>
              <w:bottom w:val="single" w:color="auto" w:sz="4" w:space="0"/>
              <w:right w:val="single" w:color="000000" w:sz="4" w:space="0"/>
            </w:tcBorders>
            <w:noWrap w:val="0"/>
            <w:vAlign w:val="center"/>
          </w:tcPr>
          <w:p w14:paraId="242D7C62">
            <w:pPr>
              <w:pStyle w:val="19"/>
              <w:spacing w:before="0" w:beforeAutospacing="0" w:after="0" w:afterAutospacing="0"/>
              <w:ind w:firstLine="480" w:firstLineChars="200"/>
              <w:jc w:val="center"/>
              <w:rPr>
                <w:rFonts w:hint="eastAsia" w:ascii="仿宋" w:hAnsi="仿宋" w:eastAsia="仿宋" w:cs="仿宋"/>
              </w:rPr>
            </w:pPr>
            <w:r>
              <w:rPr>
                <w:rFonts w:hint="eastAsia" w:ascii="仿宋" w:hAnsi="仿宋" w:eastAsia="仿宋" w:cs="仿宋"/>
              </w:rPr>
              <w:t>总分</w:t>
            </w:r>
          </w:p>
        </w:tc>
        <w:tc>
          <w:tcPr>
            <w:tcW w:w="300" w:type="pct"/>
            <w:tcBorders>
              <w:left w:val="single" w:color="000000" w:sz="4" w:space="0"/>
              <w:bottom w:val="single" w:color="auto" w:sz="4" w:space="0"/>
            </w:tcBorders>
            <w:noWrap w:val="0"/>
            <w:vAlign w:val="center"/>
          </w:tcPr>
          <w:p w14:paraId="0F774595">
            <w:pPr>
              <w:pStyle w:val="19"/>
              <w:spacing w:before="0" w:beforeAutospacing="0" w:after="0" w:afterAutospacing="0"/>
              <w:rPr>
                <w:rFonts w:hint="eastAsia" w:ascii="仿宋" w:hAnsi="仿宋" w:eastAsia="仿宋" w:cs="仿宋"/>
              </w:rPr>
            </w:pPr>
            <w:r>
              <w:rPr>
                <w:rFonts w:hint="eastAsia" w:ascii="仿宋" w:hAnsi="仿宋" w:eastAsia="仿宋" w:cs="仿宋"/>
              </w:rPr>
              <w:t>30</w:t>
            </w:r>
          </w:p>
        </w:tc>
        <w:tc>
          <w:tcPr>
            <w:tcW w:w="311" w:type="pct"/>
            <w:tcBorders>
              <w:top w:val="single" w:color="000000" w:sz="4" w:space="0"/>
              <w:bottom w:val="single" w:color="auto" w:sz="4" w:space="0"/>
              <w:right w:val="single" w:color="000000" w:sz="4" w:space="0"/>
            </w:tcBorders>
            <w:noWrap w:val="0"/>
            <w:vAlign w:val="center"/>
          </w:tcPr>
          <w:p w14:paraId="4FDF6CF0">
            <w:pPr>
              <w:pStyle w:val="19"/>
              <w:spacing w:before="0" w:beforeAutospacing="0" w:after="0" w:afterAutospacing="0"/>
              <w:ind w:firstLine="120" w:firstLineChars="50"/>
              <w:rPr>
                <w:rFonts w:hint="eastAsia" w:ascii="仿宋" w:hAnsi="仿宋" w:eastAsia="仿宋" w:cs="仿宋"/>
              </w:rPr>
            </w:pPr>
          </w:p>
        </w:tc>
        <w:tc>
          <w:tcPr>
            <w:tcW w:w="239" w:type="pct"/>
            <w:gridSpan w:val="2"/>
            <w:tcBorders>
              <w:top w:val="single" w:color="000000" w:sz="4" w:space="0"/>
              <w:left w:val="single" w:color="000000" w:sz="4" w:space="0"/>
              <w:bottom w:val="single" w:color="auto" w:sz="4" w:space="0"/>
            </w:tcBorders>
            <w:noWrap w:val="0"/>
            <w:vAlign w:val="center"/>
          </w:tcPr>
          <w:p w14:paraId="29A69E3D">
            <w:pPr>
              <w:pStyle w:val="19"/>
              <w:spacing w:before="0" w:beforeAutospacing="0" w:after="0" w:afterAutospacing="0"/>
              <w:ind w:firstLine="480" w:firstLineChars="200"/>
              <w:rPr>
                <w:rFonts w:hint="eastAsia" w:ascii="仿宋" w:hAnsi="仿宋" w:eastAsia="仿宋" w:cs="仿宋"/>
              </w:rPr>
            </w:pPr>
          </w:p>
        </w:tc>
        <w:tc>
          <w:tcPr>
            <w:tcW w:w="410" w:type="pct"/>
            <w:tcBorders>
              <w:top w:val="single" w:color="000000" w:sz="4" w:space="0"/>
              <w:left w:val="single" w:color="000000" w:sz="4" w:space="0"/>
              <w:bottom w:val="single" w:color="auto" w:sz="4" w:space="0"/>
            </w:tcBorders>
            <w:noWrap w:val="0"/>
            <w:vAlign w:val="center"/>
          </w:tcPr>
          <w:p w14:paraId="041EAFE9">
            <w:pPr>
              <w:pStyle w:val="19"/>
              <w:spacing w:before="0" w:beforeAutospacing="0" w:after="0" w:afterAutospacing="0"/>
              <w:rPr>
                <w:rFonts w:hint="eastAsia" w:ascii="仿宋" w:hAnsi="仿宋" w:eastAsia="仿宋" w:cs="仿宋"/>
              </w:rPr>
            </w:pPr>
          </w:p>
        </w:tc>
        <w:tc>
          <w:tcPr>
            <w:tcW w:w="310" w:type="pct"/>
            <w:gridSpan w:val="2"/>
            <w:tcBorders>
              <w:top w:val="single" w:color="000000" w:sz="4" w:space="0"/>
              <w:bottom w:val="single" w:color="auto" w:sz="4" w:space="0"/>
              <w:right w:val="single" w:color="000000" w:sz="4" w:space="0"/>
            </w:tcBorders>
            <w:noWrap w:val="0"/>
            <w:vAlign w:val="center"/>
          </w:tcPr>
          <w:p w14:paraId="0899C0E9">
            <w:pPr>
              <w:pStyle w:val="19"/>
              <w:spacing w:before="0" w:beforeAutospacing="0" w:after="0" w:afterAutospacing="0"/>
              <w:ind w:firstLine="120" w:firstLineChars="50"/>
              <w:rPr>
                <w:rFonts w:hint="eastAsia" w:ascii="仿宋" w:hAnsi="仿宋" w:eastAsia="仿宋" w:cs="仿宋"/>
              </w:rPr>
            </w:pPr>
            <w:r>
              <w:rPr>
                <w:rFonts w:hint="eastAsia" w:ascii="仿宋" w:hAnsi="仿宋" w:eastAsia="仿宋" w:cs="仿宋"/>
              </w:rPr>
              <w:t>70</w:t>
            </w:r>
          </w:p>
        </w:tc>
        <w:tc>
          <w:tcPr>
            <w:tcW w:w="367" w:type="pct"/>
            <w:tcBorders>
              <w:top w:val="single" w:color="000000" w:sz="4" w:space="0"/>
              <w:left w:val="single" w:color="000000" w:sz="4" w:space="0"/>
              <w:bottom w:val="single" w:color="auto" w:sz="4" w:space="0"/>
            </w:tcBorders>
            <w:noWrap w:val="0"/>
            <w:vAlign w:val="center"/>
          </w:tcPr>
          <w:p w14:paraId="02C331A4">
            <w:pPr>
              <w:pStyle w:val="19"/>
              <w:spacing w:before="0" w:beforeAutospacing="0" w:after="0" w:afterAutospacing="0"/>
              <w:rPr>
                <w:rFonts w:hint="eastAsia" w:ascii="仿宋" w:hAnsi="仿宋" w:eastAsia="仿宋" w:cs="仿宋"/>
              </w:rPr>
            </w:pPr>
          </w:p>
        </w:tc>
      </w:tr>
      <w:tr w14:paraId="1E4C9E4A">
        <w:tc>
          <w:tcPr>
            <w:tcW w:w="744" w:type="pct"/>
            <w:noWrap w:val="0"/>
            <w:vAlign w:val="center"/>
          </w:tcPr>
          <w:p w14:paraId="11BE4AC3">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L</w:t>
            </w:r>
          </w:p>
          <w:p w14:paraId="14A4EAB5">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学习建议</w:t>
            </w:r>
          </w:p>
        </w:tc>
        <w:tc>
          <w:tcPr>
            <w:tcW w:w="4255" w:type="pct"/>
            <w:gridSpan w:val="15"/>
            <w:tcBorders>
              <w:bottom w:val="single" w:color="auto" w:sz="4" w:space="0"/>
            </w:tcBorders>
            <w:noWrap w:val="0"/>
            <w:vAlign w:val="center"/>
          </w:tcPr>
          <w:p w14:paraId="7F7CD4DA">
            <w:pPr>
              <w:pStyle w:val="19"/>
              <w:spacing w:before="0" w:beforeAutospacing="0" w:after="0" w:afterAutospacing="0"/>
              <w:ind w:firstLine="480" w:firstLineChars="200"/>
              <w:rPr>
                <w:rFonts w:hint="eastAsia" w:ascii="仿宋" w:hAnsi="仿宋" w:eastAsia="仿宋" w:cs="仿宋"/>
              </w:rPr>
            </w:pPr>
            <w:r>
              <w:rPr>
                <w:rFonts w:hint="eastAsia" w:ascii="仿宋" w:hAnsi="仿宋" w:eastAsia="仿宋" w:cs="仿宋"/>
              </w:rPr>
              <w:t>1.自主学习。建议学生通过通过网络、图书馆自主查阅课程中涉及的学习资源，独立规划自己的课程学习计划，充分发挥自身的学习能动性。</w:t>
            </w:r>
          </w:p>
          <w:p w14:paraId="37C6D190">
            <w:pPr>
              <w:pStyle w:val="19"/>
              <w:spacing w:before="0" w:beforeAutospacing="0" w:after="0" w:afterAutospacing="0"/>
              <w:ind w:firstLine="480" w:firstLineChars="200"/>
              <w:rPr>
                <w:rFonts w:hint="eastAsia" w:ascii="仿宋" w:hAnsi="仿宋" w:eastAsia="仿宋" w:cs="仿宋"/>
              </w:rPr>
            </w:pPr>
            <w:r>
              <w:rPr>
                <w:rFonts w:hint="eastAsia" w:ascii="仿宋" w:hAnsi="仿宋" w:eastAsia="仿宋" w:cs="仿宋"/>
              </w:rPr>
              <w:t>2.研究性学习。鼓励学生针对课程教学内容，尝试理论课结合专题报告的教学方式，开展相关的教师职业道德专题讲座，提高学生的学习兴趣，开阔学生的视野。</w:t>
            </w:r>
          </w:p>
        </w:tc>
      </w:tr>
      <w:tr w14:paraId="705514E9">
        <w:trPr>
          <w:trHeight w:val="454" w:hRule="atLeast"/>
        </w:trPr>
        <w:tc>
          <w:tcPr>
            <w:tcW w:w="744" w:type="pct"/>
            <w:noWrap w:val="0"/>
            <w:vAlign w:val="center"/>
          </w:tcPr>
          <w:p w14:paraId="11AAD760">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M</w:t>
            </w:r>
          </w:p>
          <w:p w14:paraId="1095B723">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评分量表</w:t>
            </w:r>
          </w:p>
        </w:tc>
        <w:tc>
          <w:tcPr>
            <w:tcW w:w="4255" w:type="pct"/>
            <w:gridSpan w:val="15"/>
            <w:noWrap w:val="0"/>
            <w:vAlign w:val="center"/>
          </w:tcPr>
          <w:p w14:paraId="601766BA">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《习近平总书记关于教育的重要论述》课程目标评分量表见附表。</w:t>
            </w:r>
          </w:p>
        </w:tc>
      </w:tr>
      <w:tr w14:paraId="7A78D882">
        <w:trPr>
          <w:trHeight w:val="454" w:hRule="atLeast"/>
        </w:trPr>
        <w:tc>
          <w:tcPr>
            <w:tcW w:w="744" w:type="pct"/>
            <w:noWrap w:val="0"/>
            <w:vAlign w:val="center"/>
          </w:tcPr>
          <w:p w14:paraId="4B3CD50C">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备注</w:t>
            </w:r>
          </w:p>
        </w:tc>
        <w:tc>
          <w:tcPr>
            <w:tcW w:w="4255" w:type="pct"/>
            <w:gridSpan w:val="15"/>
            <w:noWrap w:val="0"/>
            <w:vAlign w:val="center"/>
          </w:tcPr>
          <w:p w14:paraId="1F773781">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课程大纲A—M项由开课学院审批通过，任课教师不能自行更改。</w:t>
            </w:r>
          </w:p>
        </w:tc>
      </w:tr>
      <w:tr w14:paraId="5CBFDC4F">
        <w:trPr>
          <w:trHeight w:val="771" w:hRule="atLeast"/>
        </w:trPr>
        <w:tc>
          <w:tcPr>
            <w:tcW w:w="744" w:type="pct"/>
            <w:noWrap w:val="0"/>
            <w:vAlign w:val="center"/>
          </w:tcPr>
          <w:p w14:paraId="2F53A1FA">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审批</w:t>
            </w:r>
          </w:p>
          <w:p w14:paraId="28AAE032">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意见</w:t>
            </w:r>
          </w:p>
        </w:tc>
        <w:tc>
          <w:tcPr>
            <w:tcW w:w="2094" w:type="pct"/>
            <w:gridSpan w:val="5"/>
            <w:noWrap w:val="0"/>
            <w:vAlign w:val="center"/>
          </w:tcPr>
          <w:p w14:paraId="2A412AA4">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课程教学大纲修订负责人及教学团队成员</w:t>
            </w:r>
            <w:r>
              <w:rPr>
                <w:rFonts w:hint="eastAsia" w:ascii="仿宋" w:hAnsi="仿宋" w:eastAsia="仿宋" w:cs="仿宋"/>
                <w:color w:val="000000"/>
                <w:sz w:val="24"/>
                <w:szCs w:val="24"/>
              </w:rPr>
              <w:t>签名</w:t>
            </w:r>
            <w:r>
              <w:rPr>
                <w:rFonts w:hint="eastAsia" w:ascii="仿宋" w:hAnsi="仿宋" w:eastAsia="仿宋" w:cs="仿宋"/>
                <w:kern w:val="0"/>
                <w:sz w:val="24"/>
                <w:szCs w:val="24"/>
              </w:rPr>
              <w:t xml:space="preserve">：   </w:t>
            </w:r>
          </w:p>
          <w:p w14:paraId="5B5EB1D5">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 xml:space="preserve">  </w:t>
            </w:r>
          </w:p>
          <w:p w14:paraId="4D57D376">
            <w:pPr>
              <w:widowControl/>
              <w:adjustRightInd w:val="0"/>
              <w:snapToGrid w:val="0"/>
              <w:jc w:val="left"/>
              <w:rPr>
                <w:rFonts w:hint="eastAsia" w:ascii="仿宋" w:hAnsi="仿宋" w:eastAsia="仿宋" w:cs="仿宋"/>
                <w:kern w:val="0"/>
                <w:sz w:val="24"/>
                <w:szCs w:val="24"/>
              </w:rPr>
            </w:pPr>
            <w:r>
              <w:rPr>
                <w:rFonts w:ascii="仿宋" w:hAnsi="仿宋" w:eastAsia="仿宋" w:cs="仿宋"/>
                <w:kern w:val="0"/>
                <w:sz w:val="24"/>
                <w:szCs w:val="24"/>
              </w:rPr>
              <w:drawing>
                <wp:inline distT="0" distB="0" distL="114300" distR="114300">
                  <wp:extent cx="949325" cy="390525"/>
                  <wp:effectExtent l="0" t="0" r="15875" b="15875"/>
                  <wp:docPr id="18" name="图片 1" descr="9c9694e7c7658b01d9123af10caef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 descr="9c9694e7c7658b01d9123af10caeffe"/>
                          <pic:cNvPicPr>
                            <a:picLocks noChangeAspect="1"/>
                          </pic:cNvPicPr>
                        </pic:nvPicPr>
                        <pic:blipFill>
                          <a:blip r:embed="rId157"/>
                          <a:stretch>
                            <a:fillRect/>
                          </a:stretch>
                        </pic:blipFill>
                        <pic:spPr>
                          <a:xfrm>
                            <a:off x="0" y="0"/>
                            <a:ext cx="949325" cy="390525"/>
                          </a:xfrm>
                          <a:prstGeom prst="rect">
                            <a:avLst/>
                          </a:prstGeom>
                          <a:noFill/>
                          <a:ln>
                            <a:noFill/>
                          </a:ln>
                        </pic:spPr>
                      </pic:pic>
                    </a:graphicData>
                  </a:graphic>
                </wp:inline>
              </w:drawing>
            </w:r>
            <w:r>
              <w:rPr>
                <w:rFonts w:hint="eastAsia" w:ascii="仿宋" w:hAnsi="仿宋" w:eastAsia="仿宋" w:cs="仿宋"/>
                <w:kern w:val="0"/>
                <w:sz w:val="24"/>
                <w:szCs w:val="24"/>
              </w:rPr>
              <w:t xml:space="preserve"> </w:t>
            </w:r>
            <w:r>
              <w:rPr>
                <w:rFonts w:ascii="仿宋" w:hAnsi="仿宋" w:eastAsia="仿宋" w:cs="仿宋"/>
                <w:kern w:val="0"/>
                <w:sz w:val="24"/>
                <w:szCs w:val="24"/>
              </w:rPr>
              <w:drawing>
                <wp:inline distT="0" distB="0" distL="114300" distR="114300">
                  <wp:extent cx="723265" cy="368300"/>
                  <wp:effectExtent l="0" t="0" r="13335" b="12700"/>
                  <wp:docPr id="19" name="图片 2" descr="1b98e6773c7e3fb34c52c2ce2094e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2" descr="1b98e6773c7e3fb34c52c2ce2094e76"/>
                          <pic:cNvPicPr>
                            <a:picLocks noChangeAspect="1"/>
                          </pic:cNvPicPr>
                        </pic:nvPicPr>
                        <pic:blipFill>
                          <a:blip r:embed="rId158"/>
                          <a:stretch>
                            <a:fillRect/>
                          </a:stretch>
                        </pic:blipFill>
                        <pic:spPr>
                          <a:xfrm>
                            <a:off x="0" y="0"/>
                            <a:ext cx="723265" cy="368300"/>
                          </a:xfrm>
                          <a:prstGeom prst="rect">
                            <a:avLst/>
                          </a:prstGeom>
                          <a:noFill/>
                          <a:ln>
                            <a:noFill/>
                          </a:ln>
                        </pic:spPr>
                      </pic:pic>
                    </a:graphicData>
                  </a:graphic>
                </wp:inline>
              </w:drawing>
            </w:r>
          </w:p>
          <w:p w14:paraId="70D16C1C">
            <w:pPr>
              <w:widowControl/>
              <w:adjustRightInd w:val="0"/>
              <w:snapToGrid w:val="0"/>
              <w:jc w:val="left"/>
              <w:rPr>
                <w:rFonts w:hint="eastAsia" w:ascii="仿宋" w:hAnsi="仿宋" w:eastAsia="仿宋" w:cs="仿宋"/>
                <w:kern w:val="0"/>
                <w:sz w:val="24"/>
                <w:szCs w:val="24"/>
              </w:rPr>
            </w:pPr>
            <w:r>
              <w:drawing>
                <wp:anchor distT="0" distB="0" distL="114300" distR="114300" simplePos="0" relativeHeight="251660288" behindDoc="1" locked="0" layoutInCell="1" allowOverlap="1">
                  <wp:simplePos x="0" y="0"/>
                  <wp:positionH relativeFrom="column">
                    <wp:posOffset>131445</wp:posOffset>
                  </wp:positionH>
                  <wp:positionV relativeFrom="paragraph">
                    <wp:posOffset>139700</wp:posOffset>
                  </wp:positionV>
                  <wp:extent cx="897255" cy="370840"/>
                  <wp:effectExtent l="0" t="0" r="17145" b="10160"/>
                  <wp:wrapTight wrapText="bothSides">
                    <wp:wrapPolygon>
                      <wp:start x="0" y="0"/>
                      <wp:lineTo x="0" y="20195"/>
                      <wp:lineTo x="20790" y="20195"/>
                      <wp:lineTo x="20790" y="0"/>
                      <wp:lineTo x="0" y="0"/>
                    </wp:wrapPolygon>
                  </wp:wrapTight>
                  <wp:docPr id="20" name="图片 12" descr="89ecb7fb2783a31ef0d3041e6664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2" descr="89ecb7fb2783a31ef0d3041e6664171"/>
                          <pic:cNvPicPr>
                            <a:picLocks noChangeAspect="1"/>
                          </pic:cNvPicPr>
                        </pic:nvPicPr>
                        <pic:blipFill>
                          <a:blip r:embed="rId159"/>
                          <a:stretch>
                            <a:fillRect/>
                          </a:stretch>
                        </pic:blipFill>
                        <pic:spPr>
                          <a:xfrm>
                            <a:off x="0" y="0"/>
                            <a:ext cx="897255" cy="370840"/>
                          </a:xfrm>
                          <a:prstGeom prst="rect">
                            <a:avLst/>
                          </a:prstGeom>
                          <a:noFill/>
                          <a:ln>
                            <a:noFill/>
                          </a:ln>
                        </pic:spPr>
                      </pic:pic>
                    </a:graphicData>
                  </a:graphic>
                </wp:anchor>
              </w:drawing>
            </w:r>
          </w:p>
          <w:p w14:paraId="590CA5EE">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 xml:space="preserve">                                                   2024年 7月 6 日 </w:t>
            </w:r>
          </w:p>
          <w:p w14:paraId="45DB4C39">
            <w:pPr>
              <w:widowControl/>
              <w:adjustRightInd w:val="0"/>
              <w:snapToGrid w:val="0"/>
              <w:jc w:val="right"/>
              <w:rPr>
                <w:rFonts w:hint="eastAsia" w:ascii="仿宋" w:hAnsi="仿宋" w:eastAsia="仿宋" w:cs="仿宋"/>
                <w:kern w:val="0"/>
                <w:sz w:val="24"/>
                <w:szCs w:val="24"/>
              </w:rPr>
            </w:pPr>
          </w:p>
        </w:tc>
        <w:tc>
          <w:tcPr>
            <w:tcW w:w="2160" w:type="pct"/>
            <w:gridSpan w:val="10"/>
            <w:noWrap w:val="0"/>
            <w:vAlign w:val="center"/>
          </w:tcPr>
          <w:p w14:paraId="0F01CCB0">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系主任审核意见：</w:t>
            </w:r>
          </w:p>
          <w:p w14:paraId="707E1ACD">
            <w:pPr>
              <w:widowControl/>
              <w:adjustRightInd w:val="0"/>
              <w:snapToGrid w:val="0"/>
              <w:jc w:val="left"/>
              <w:rPr>
                <w:rFonts w:hint="eastAsia" w:ascii="仿宋" w:hAnsi="仿宋" w:eastAsia="仿宋" w:cs="仿宋"/>
                <w:kern w:val="0"/>
                <w:sz w:val="24"/>
                <w:szCs w:val="24"/>
              </w:rPr>
            </w:pPr>
          </w:p>
          <w:p w14:paraId="29715A54">
            <w:pPr>
              <w:widowControl/>
              <w:adjustRightInd w:val="0"/>
              <w:snapToGrid w:val="0"/>
              <w:jc w:val="left"/>
              <w:rPr>
                <w:rFonts w:hint="eastAsia" w:ascii="仿宋" w:hAnsi="仿宋" w:eastAsia="仿宋" w:cs="仿宋"/>
                <w:kern w:val="0"/>
                <w:sz w:val="24"/>
                <w:szCs w:val="24"/>
              </w:rPr>
            </w:pPr>
          </w:p>
          <w:p w14:paraId="650D0B0F">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系主任签名：</w:t>
            </w:r>
            <w:r>
              <w:rPr>
                <w:rFonts w:ascii="仿宋" w:hAnsi="仿宋" w:eastAsia="仿宋" w:cs="仿宋"/>
                <w:kern w:val="0"/>
                <w:sz w:val="24"/>
                <w:szCs w:val="24"/>
              </w:rPr>
              <w:drawing>
                <wp:inline distT="0" distB="0" distL="114300" distR="114300">
                  <wp:extent cx="949325" cy="390525"/>
                  <wp:effectExtent l="0" t="0" r="15875" b="15875"/>
                  <wp:docPr id="21" name="图片 3" descr="9c9694e7c7658b01d9123af10caef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3" descr="9c9694e7c7658b01d9123af10caeffe"/>
                          <pic:cNvPicPr>
                            <a:picLocks noChangeAspect="1"/>
                          </pic:cNvPicPr>
                        </pic:nvPicPr>
                        <pic:blipFill>
                          <a:blip r:embed="rId157"/>
                          <a:stretch>
                            <a:fillRect/>
                          </a:stretch>
                        </pic:blipFill>
                        <pic:spPr>
                          <a:xfrm>
                            <a:off x="0" y="0"/>
                            <a:ext cx="949325" cy="390525"/>
                          </a:xfrm>
                          <a:prstGeom prst="rect">
                            <a:avLst/>
                          </a:prstGeom>
                          <a:noFill/>
                          <a:ln>
                            <a:noFill/>
                          </a:ln>
                        </pic:spPr>
                      </pic:pic>
                    </a:graphicData>
                  </a:graphic>
                </wp:inline>
              </w:drawing>
            </w:r>
          </w:p>
          <w:p w14:paraId="409C409E">
            <w:pPr>
              <w:widowControl/>
              <w:adjustRightInd w:val="0"/>
              <w:snapToGrid w:val="0"/>
              <w:jc w:val="left"/>
              <w:rPr>
                <w:rFonts w:hint="eastAsia" w:ascii="仿宋" w:hAnsi="仿宋" w:eastAsia="仿宋" w:cs="仿宋"/>
                <w:kern w:val="0"/>
                <w:sz w:val="24"/>
                <w:szCs w:val="24"/>
              </w:rPr>
            </w:pPr>
          </w:p>
          <w:p w14:paraId="3E4CBAE7">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2024年 7 月 7 日</w:t>
            </w:r>
          </w:p>
          <w:p w14:paraId="17735791">
            <w:pPr>
              <w:widowControl/>
              <w:adjustRightInd w:val="0"/>
              <w:snapToGrid w:val="0"/>
              <w:jc w:val="right"/>
              <w:rPr>
                <w:rFonts w:hint="eastAsia" w:ascii="仿宋" w:hAnsi="仿宋" w:eastAsia="仿宋" w:cs="仿宋"/>
                <w:kern w:val="0"/>
                <w:sz w:val="24"/>
                <w:szCs w:val="24"/>
              </w:rPr>
            </w:pPr>
          </w:p>
        </w:tc>
      </w:tr>
    </w:tbl>
    <w:p w14:paraId="5FC825F2">
      <w:pPr>
        <w:adjustRightInd w:val="0"/>
        <w:snapToGrid w:val="0"/>
        <w:spacing w:line="360" w:lineRule="auto"/>
        <w:jc w:val="center"/>
        <w:rPr>
          <w:rFonts w:hint="eastAsia" w:ascii="仿宋" w:hAnsi="仿宋" w:eastAsia="仿宋" w:cs="仿宋"/>
          <w:color w:val="000000"/>
          <w:sz w:val="28"/>
          <w:szCs w:val="28"/>
        </w:rPr>
      </w:pPr>
    </w:p>
    <w:p w14:paraId="77CAFEB5">
      <w:pPr>
        <w:adjustRightInd w:val="0"/>
        <w:snapToGrid w:val="0"/>
        <w:spacing w:line="360" w:lineRule="auto"/>
        <w:jc w:val="center"/>
        <w:rPr>
          <w:rFonts w:hint="eastAsia" w:ascii="仿宋" w:hAnsi="仿宋" w:eastAsia="仿宋" w:cs="仿宋"/>
          <w:sz w:val="28"/>
          <w:szCs w:val="28"/>
        </w:rPr>
      </w:pPr>
      <w:r>
        <w:rPr>
          <w:rFonts w:hint="eastAsia" w:ascii="仿宋" w:hAnsi="仿宋" w:eastAsia="仿宋" w:cs="仿宋"/>
          <w:color w:val="000000"/>
          <w:sz w:val="28"/>
          <w:szCs w:val="28"/>
        </w:rPr>
        <w:t>附表</w:t>
      </w:r>
      <w:r>
        <w:rPr>
          <w:rFonts w:hint="eastAsia" w:ascii="仿宋" w:hAnsi="仿宋" w:eastAsia="仿宋" w:cs="仿宋"/>
          <w:color w:val="000000"/>
          <w:sz w:val="28"/>
          <w:szCs w:val="28"/>
          <w:lang w:eastAsia="zh-CN"/>
        </w:rPr>
        <w:t>：</w:t>
      </w:r>
      <w:r>
        <w:rPr>
          <w:rFonts w:hint="eastAsia" w:ascii="仿宋" w:hAnsi="仿宋" w:eastAsia="仿宋" w:cs="仿宋"/>
          <w:sz w:val="28"/>
          <w:szCs w:val="28"/>
        </w:rPr>
        <w:t>《习近平总书记教育重要论述》课程目标评分量表</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28" w:type="dxa"/>
        </w:tblCellMar>
      </w:tblPr>
      <w:tblGrid>
        <w:gridCol w:w="293"/>
        <w:gridCol w:w="1709"/>
        <w:gridCol w:w="1234"/>
        <w:gridCol w:w="1293"/>
        <w:gridCol w:w="1282"/>
        <w:gridCol w:w="1322"/>
        <w:gridCol w:w="1206"/>
      </w:tblGrid>
      <w:tr w14:paraId="5813CB6A">
        <w:trPr>
          <w:trHeight w:val="90" w:hRule="atLeast"/>
          <w:jc w:val="center"/>
        </w:trPr>
        <w:tc>
          <w:tcPr>
            <w:tcW w:w="0" w:type="auto"/>
            <w:vMerge w:val="restart"/>
            <w:noWrap w:val="0"/>
            <w:vAlign w:val="center"/>
          </w:tcPr>
          <w:p w14:paraId="498F2714">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M</w:t>
            </w:r>
          </w:p>
          <w:p w14:paraId="23518989">
            <w:pPr>
              <w:adjustRightInd w:val="0"/>
              <w:snapToGrid w:val="0"/>
              <w:spacing w:line="240" w:lineRule="atLeast"/>
              <w:jc w:val="center"/>
              <w:rPr>
                <w:rFonts w:hint="eastAsia" w:ascii="宋体" w:hAnsi="宋体" w:cs="宋体"/>
                <w:sz w:val="24"/>
                <w:szCs w:val="24"/>
              </w:rPr>
            </w:pPr>
            <w:r>
              <w:rPr>
                <w:rFonts w:hint="eastAsia" w:ascii="仿宋" w:hAnsi="仿宋" w:eastAsia="仿宋" w:cs="仿宋"/>
                <w:sz w:val="24"/>
                <w:szCs w:val="24"/>
              </w:rPr>
              <w:t>评分量表</w:t>
            </w:r>
          </w:p>
        </w:tc>
        <w:tc>
          <w:tcPr>
            <w:tcW w:w="1709" w:type="dxa"/>
            <w:noWrap w:val="0"/>
            <w:vAlign w:val="center"/>
          </w:tcPr>
          <w:p w14:paraId="1FFA3B16">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课程目标</w:t>
            </w:r>
          </w:p>
        </w:tc>
        <w:tc>
          <w:tcPr>
            <w:tcW w:w="1234" w:type="dxa"/>
            <w:noWrap w:val="0"/>
            <w:vAlign w:val="center"/>
          </w:tcPr>
          <w:p w14:paraId="0A965D1D">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优（X≧90）</w:t>
            </w:r>
          </w:p>
        </w:tc>
        <w:tc>
          <w:tcPr>
            <w:tcW w:w="0" w:type="auto"/>
            <w:noWrap w:val="0"/>
            <w:vAlign w:val="center"/>
          </w:tcPr>
          <w:p w14:paraId="5C5E4587">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良（80≦X＜90）</w:t>
            </w:r>
          </w:p>
        </w:tc>
        <w:tc>
          <w:tcPr>
            <w:tcW w:w="0" w:type="auto"/>
            <w:noWrap w:val="0"/>
            <w:vAlign w:val="center"/>
          </w:tcPr>
          <w:p w14:paraId="59439F81">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中（70≦X＜80）</w:t>
            </w:r>
          </w:p>
        </w:tc>
        <w:tc>
          <w:tcPr>
            <w:tcW w:w="0" w:type="auto"/>
            <w:noWrap w:val="0"/>
            <w:vAlign w:val="center"/>
          </w:tcPr>
          <w:p w14:paraId="1094B76B">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及格（60≦X＜70）</w:t>
            </w:r>
          </w:p>
        </w:tc>
        <w:tc>
          <w:tcPr>
            <w:tcW w:w="0" w:type="auto"/>
            <w:noWrap w:val="0"/>
            <w:vAlign w:val="center"/>
          </w:tcPr>
          <w:p w14:paraId="0FD26AF7">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不及格（＜60）</w:t>
            </w:r>
          </w:p>
        </w:tc>
      </w:tr>
      <w:tr w14:paraId="35D37517">
        <w:trPr>
          <w:trHeight w:val="1849" w:hRule="atLeast"/>
          <w:jc w:val="center"/>
        </w:trPr>
        <w:tc>
          <w:tcPr>
            <w:tcW w:w="0" w:type="auto"/>
            <w:vMerge w:val="continue"/>
            <w:noWrap w:val="0"/>
            <w:vAlign w:val="center"/>
          </w:tcPr>
          <w:p w14:paraId="20382079">
            <w:pPr>
              <w:adjustRightInd w:val="0"/>
              <w:snapToGrid w:val="0"/>
              <w:spacing w:line="240" w:lineRule="atLeast"/>
              <w:jc w:val="center"/>
              <w:rPr>
                <w:rFonts w:ascii="宋体" w:hAnsi="宋体" w:cs="宋体"/>
                <w:sz w:val="24"/>
                <w:szCs w:val="24"/>
              </w:rPr>
            </w:pPr>
          </w:p>
        </w:tc>
        <w:tc>
          <w:tcPr>
            <w:tcW w:w="1709" w:type="dxa"/>
            <w:noWrap w:val="0"/>
            <w:vAlign w:val="center"/>
          </w:tcPr>
          <w:p w14:paraId="20F87B9C">
            <w:pPr>
              <w:adjustRightInd w:val="0"/>
              <w:snapToGrid w:val="0"/>
              <w:jc w:val="left"/>
              <w:rPr>
                <w:rFonts w:hint="eastAsia" w:ascii="楷体" w:hAnsi="楷体" w:eastAsia="楷体" w:cs="楷体"/>
                <w:color w:val="000000"/>
                <w:sz w:val="21"/>
                <w:szCs w:val="21"/>
              </w:rPr>
            </w:pPr>
            <w:r>
              <w:rPr>
                <w:rFonts w:hint="eastAsia" w:ascii="楷体" w:hAnsi="楷体" w:eastAsia="楷体" w:cs="楷体"/>
                <w:color w:val="000000"/>
                <w:sz w:val="21"/>
                <w:szCs w:val="21"/>
              </w:rPr>
              <w:t>课程目标1.</w:t>
            </w:r>
          </w:p>
          <w:p w14:paraId="3C6CEA70">
            <w:pPr>
              <w:adjustRightInd w:val="0"/>
              <w:snapToGrid w:val="0"/>
              <w:ind w:firstLine="420" w:firstLineChars="200"/>
              <w:jc w:val="left"/>
              <w:rPr>
                <w:rFonts w:hint="eastAsia" w:ascii="楷体" w:hAnsi="楷体" w:eastAsia="楷体" w:cs="楷体"/>
                <w:color w:val="4472C4"/>
                <w:sz w:val="21"/>
                <w:szCs w:val="21"/>
              </w:rPr>
            </w:pPr>
            <w:r>
              <w:rPr>
                <w:rFonts w:hint="eastAsia" w:ascii="楷体" w:hAnsi="楷体" w:eastAsia="楷体" w:cs="楷体"/>
                <w:color w:val="000000"/>
                <w:sz w:val="21"/>
                <w:szCs w:val="21"/>
              </w:rPr>
              <w:t>掌握习近平总书记关于教育的重要论述的核心内涵，熟悉并</w:t>
            </w:r>
            <w:r>
              <w:rPr>
                <w:rFonts w:hint="eastAsia" w:ascii="楷体" w:hAnsi="楷体" w:eastAsia="楷体" w:cs="楷体"/>
                <w:sz w:val="21"/>
                <w:szCs w:val="21"/>
              </w:rPr>
              <w:t>遵守党和国家的教育方针政策；理解教师的工作职责担当，领悟“四有”好老师的内涵外延。</w:t>
            </w:r>
          </w:p>
        </w:tc>
        <w:tc>
          <w:tcPr>
            <w:tcW w:w="1234" w:type="dxa"/>
            <w:noWrap w:val="0"/>
            <w:vAlign w:val="top"/>
          </w:tcPr>
          <w:p w14:paraId="130F59BF">
            <w:pPr>
              <w:widowControl/>
              <w:adjustRightInd w:val="0"/>
              <w:snapToGrid w:val="0"/>
              <w:ind w:firstLine="420" w:firstLineChars="200"/>
              <w:rPr>
                <w:rFonts w:hint="eastAsia" w:ascii="楷体" w:hAnsi="楷体" w:eastAsia="楷体" w:cs="楷体"/>
                <w:bCs/>
                <w:color w:val="4472C4"/>
                <w:sz w:val="21"/>
                <w:szCs w:val="21"/>
              </w:rPr>
            </w:pPr>
            <w:r>
              <w:rPr>
                <w:rFonts w:hint="eastAsia" w:ascii="楷体" w:hAnsi="楷体" w:eastAsia="楷体" w:cs="楷体"/>
                <w:color w:val="000000"/>
                <w:sz w:val="21"/>
                <w:szCs w:val="21"/>
              </w:rPr>
              <w:t>能够扎实地理解并掌握习近平总书记关于教育的重要论述的核心内涵，非常熟悉</w:t>
            </w:r>
            <w:r>
              <w:rPr>
                <w:rFonts w:hint="eastAsia" w:ascii="楷体" w:hAnsi="楷体" w:eastAsia="楷体" w:cs="楷体"/>
                <w:sz w:val="21"/>
                <w:szCs w:val="21"/>
              </w:rPr>
              <w:t>党和国家的教育方针政策；</w:t>
            </w:r>
            <w:r>
              <w:rPr>
                <w:rFonts w:hint="eastAsia" w:ascii="楷体" w:hAnsi="楷体" w:eastAsia="楷体" w:cs="楷体"/>
                <w:color w:val="000000"/>
                <w:sz w:val="21"/>
                <w:szCs w:val="21"/>
              </w:rPr>
              <w:t>扎实地</w:t>
            </w:r>
            <w:r>
              <w:rPr>
                <w:rFonts w:hint="eastAsia" w:ascii="楷体" w:hAnsi="楷体" w:eastAsia="楷体" w:cs="楷体"/>
                <w:sz w:val="21"/>
                <w:szCs w:val="21"/>
              </w:rPr>
              <w:t>理解教师的工作职责担当，领悟“四有”好老师的内涵外延</w:t>
            </w:r>
            <w:r>
              <w:rPr>
                <w:rFonts w:hint="eastAsia" w:ascii="楷体" w:hAnsi="楷体" w:eastAsia="楷体" w:cs="楷体"/>
                <w:color w:val="000000"/>
                <w:sz w:val="21"/>
                <w:szCs w:val="21"/>
              </w:rPr>
              <w:t>。</w:t>
            </w:r>
          </w:p>
        </w:tc>
        <w:tc>
          <w:tcPr>
            <w:tcW w:w="0" w:type="auto"/>
            <w:noWrap w:val="0"/>
            <w:vAlign w:val="top"/>
          </w:tcPr>
          <w:p w14:paraId="0F3B9C30">
            <w:pPr>
              <w:widowControl/>
              <w:adjustRightInd w:val="0"/>
              <w:snapToGrid w:val="0"/>
              <w:ind w:firstLine="420" w:firstLineChars="200"/>
              <w:rPr>
                <w:rFonts w:hint="eastAsia" w:ascii="楷体" w:hAnsi="楷体" w:eastAsia="楷体" w:cs="楷体"/>
                <w:bCs/>
                <w:color w:val="4472C4"/>
                <w:sz w:val="21"/>
                <w:szCs w:val="21"/>
              </w:rPr>
            </w:pPr>
            <w:r>
              <w:rPr>
                <w:rFonts w:hint="eastAsia" w:ascii="楷体" w:hAnsi="楷体" w:eastAsia="楷体" w:cs="楷体"/>
                <w:color w:val="000000"/>
                <w:sz w:val="21"/>
                <w:szCs w:val="21"/>
              </w:rPr>
              <w:t>能够理解并掌握习近平总书记关于教育的重要论述的核心内涵，熟悉</w:t>
            </w:r>
            <w:r>
              <w:rPr>
                <w:rFonts w:hint="eastAsia" w:ascii="楷体" w:hAnsi="楷体" w:eastAsia="楷体" w:cs="楷体"/>
                <w:sz w:val="21"/>
                <w:szCs w:val="21"/>
              </w:rPr>
              <w:t>党和国家的教育方针政策；理解教师的工作职责担当，领悟“四有”好老师的内涵外延</w:t>
            </w:r>
            <w:r>
              <w:rPr>
                <w:rFonts w:hint="eastAsia" w:ascii="楷体" w:hAnsi="楷体" w:eastAsia="楷体" w:cs="楷体"/>
                <w:color w:val="000000"/>
                <w:sz w:val="21"/>
                <w:szCs w:val="21"/>
              </w:rPr>
              <w:t>。</w:t>
            </w:r>
          </w:p>
        </w:tc>
        <w:tc>
          <w:tcPr>
            <w:tcW w:w="0" w:type="auto"/>
            <w:noWrap w:val="0"/>
            <w:vAlign w:val="top"/>
          </w:tcPr>
          <w:p w14:paraId="464EA86A">
            <w:pPr>
              <w:widowControl/>
              <w:adjustRightInd w:val="0"/>
              <w:snapToGrid w:val="0"/>
              <w:ind w:firstLine="420" w:firstLineChars="200"/>
              <w:rPr>
                <w:rFonts w:hint="eastAsia" w:ascii="楷体" w:hAnsi="楷体" w:eastAsia="楷体" w:cs="楷体"/>
                <w:color w:val="4472C4"/>
                <w:sz w:val="21"/>
                <w:szCs w:val="21"/>
              </w:rPr>
            </w:pPr>
            <w:r>
              <w:rPr>
                <w:rFonts w:hint="eastAsia" w:ascii="楷体" w:hAnsi="楷体" w:eastAsia="楷体" w:cs="楷体"/>
                <w:color w:val="000000"/>
                <w:sz w:val="21"/>
                <w:szCs w:val="21"/>
              </w:rPr>
              <w:t>能够基本理解并掌握习近平总书记关于教育的重要论述的核心内涵，比较熟悉</w:t>
            </w:r>
            <w:r>
              <w:rPr>
                <w:rFonts w:hint="eastAsia" w:ascii="楷体" w:hAnsi="楷体" w:eastAsia="楷体" w:cs="楷体"/>
                <w:sz w:val="21"/>
                <w:szCs w:val="21"/>
              </w:rPr>
              <w:t>党和国家的教育方针政策；基本理解掌握教师的工作职责担当，领悟“四有”好老师的内涵外延</w:t>
            </w:r>
            <w:r>
              <w:rPr>
                <w:rFonts w:hint="eastAsia" w:ascii="楷体" w:hAnsi="楷体" w:eastAsia="楷体" w:cs="楷体"/>
                <w:color w:val="000000"/>
                <w:sz w:val="21"/>
                <w:szCs w:val="21"/>
              </w:rPr>
              <w:t>。</w:t>
            </w:r>
          </w:p>
        </w:tc>
        <w:tc>
          <w:tcPr>
            <w:tcW w:w="0" w:type="auto"/>
            <w:noWrap w:val="0"/>
            <w:vAlign w:val="top"/>
          </w:tcPr>
          <w:p w14:paraId="1F41F0B2">
            <w:pPr>
              <w:widowControl/>
              <w:adjustRightInd w:val="0"/>
              <w:snapToGrid w:val="0"/>
              <w:ind w:firstLine="420" w:firstLineChars="200"/>
              <w:rPr>
                <w:rFonts w:hint="eastAsia" w:ascii="楷体" w:hAnsi="楷体" w:eastAsia="楷体" w:cs="楷体"/>
                <w:color w:val="4472C4"/>
                <w:sz w:val="21"/>
                <w:szCs w:val="21"/>
              </w:rPr>
            </w:pPr>
            <w:r>
              <w:rPr>
                <w:rFonts w:hint="eastAsia" w:ascii="楷体" w:hAnsi="楷体" w:eastAsia="楷体" w:cs="楷体"/>
                <w:color w:val="000000"/>
                <w:sz w:val="21"/>
                <w:szCs w:val="21"/>
              </w:rPr>
              <w:t>能够基本理解并掌握部分习近平总书记关于教育的重要论述的核心内涵，理解部分</w:t>
            </w:r>
            <w:r>
              <w:rPr>
                <w:rFonts w:hint="eastAsia" w:ascii="楷体" w:hAnsi="楷体" w:eastAsia="楷体" w:cs="楷体"/>
                <w:sz w:val="21"/>
                <w:szCs w:val="21"/>
              </w:rPr>
              <w:t>党和国家的教育方针政策；基本理解掌握教师的部分工作职责担当，领悟“四有”好老师的内涵外延</w:t>
            </w:r>
            <w:r>
              <w:rPr>
                <w:rFonts w:hint="eastAsia" w:ascii="楷体" w:hAnsi="楷体" w:eastAsia="楷体" w:cs="楷体"/>
                <w:color w:val="000000"/>
                <w:sz w:val="21"/>
                <w:szCs w:val="21"/>
              </w:rPr>
              <w:t>。</w:t>
            </w:r>
          </w:p>
        </w:tc>
        <w:tc>
          <w:tcPr>
            <w:tcW w:w="0" w:type="auto"/>
            <w:noWrap w:val="0"/>
            <w:vAlign w:val="top"/>
          </w:tcPr>
          <w:p w14:paraId="7B82F058">
            <w:pPr>
              <w:widowControl/>
              <w:adjustRightInd w:val="0"/>
              <w:snapToGrid w:val="0"/>
              <w:ind w:firstLine="420" w:firstLineChars="200"/>
              <w:rPr>
                <w:rFonts w:hint="eastAsia" w:ascii="楷体" w:hAnsi="楷体" w:eastAsia="楷体" w:cs="楷体"/>
                <w:b/>
                <w:color w:val="4472C4"/>
                <w:kern w:val="0"/>
                <w:sz w:val="21"/>
                <w:szCs w:val="21"/>
              </w:rPr>
            </w:pPr>
            <w:r>
              <w:rPr>
                <w:rFonts w:hint="eastAsia" w:ascii="楷体" w:hAnsi="楷体" w:eastAsia="楷体" w:cs="楷体"/>
                <w:color w:val="000000"/>
                <w:sz w:val="21"/>
                <w:szCs w:val="21"/>
              </w:rPr>
              <w:t>未能理解并掌握习近平总书记关于教育的重要论述的核心内涵、</w:t>
            </w:r>
            <w:r>
              <w:rPr>
                <w:rFonts w:hint="eastAsia" w:ascii="楷体" w:hAnsi="楷体" w:eastAsia="楷体" w:cs="楷体"/>
                <w:sz w:val="21"/>
                <w:szCs w:val="21"/>
              </w:rPr>
              <w:t>党和国家的教育方针政策、教师的工作职责担当，</w:t>
            </w:r>
            <w:r>
              <w:rPr>
                <w:rFonts w:hint="eastAsia" w:ascii="楷体" w:hAnsi="楷体" w:eastAsia="楷体" w:cs="楷体"/>
                <w:color w:val="000000"/>
                <w:sz w:val="21"/>
                <w:szCs w:val="21"/>
              </w:rPr>
              <w:t>未能</w:t>
            </w:r>
            <w:r>
              <w:rPr>
                <w:rFonts w:hint="eastAsia" w:ascii="楷体" w:hAnsi="楷体" w:eastAsia="楷体" w:cs="楷体"/>
                <w:sz w:val="21"/>
                <w:szCs w:val="21"/>
              </w:rPr>
              <w:t>领悟“四有”好老师的内涵外延</w:t>
            </w:r>
            <w:r>
              <w:rPr>
                <w:rFonts w:hint="eastAsia" w:ascii="楷体" w:hAnsi="楷体" w:eastAsia="楷体" w:cs="楷体"/>
                <w:color w:val="000000"/>
                <w:sz w:val="21"/>
                <w:szCs w:val="21"/>
              </w:rPr>
              <w:t>。</w:t>
            </w:r>
          </w:p>
        </w:tc>
      </w:tr>
      <w:tr w14:paraId="70D28038">
        <w:trPr>
          <w:trHeight w:val="416" w:hRule="atLeast"/>
          <w:jc w:val="center"/>
        </w:trPr>
        <w:tc>
          <w:tcPr>
            <w:tcW w:w="0" w:type="auto"/>
            <w:vMerge w:val="continue"/>
            <w:noWrap w:val="0"/>
            <w:vAlign w:val="center"/>
          </w:tcPr>
          <w:p w14:paraId="53E7BBC9">
            <w:pPr>
              <w:adjustRightInd w:val="0"/>
              <w:snapToGrid w:val="0"/>
              <w:spacing w:line="240" w:lineRule="atLeast"/>
              <w:jc w:val="center"/>
              <w:rPr>
                <w:rFonts w:ascii="宋体" w:hAnsi="宋体" w:cs="宋体"/>
                <w:sz w:val="24"/>
                <w:szCs w:val="24"/>
              </w:rPr>
            </w:pPr>
          </w:p>
        </w:tc>
        <w:tc>
          <w:tcPr>
            <w:tcW w:w="1709" w:type="dxa"/>
            <w:noWrap w:val="0"/>
            <w:vAlign w:val="center"/>
          </w:tcPr>
          <w:p w14:paraId="1031E6C0">
            <w:pPr>
              <w:adjustRightInd w:val="0"/>
              <w:snapToGrid w:val="0"/>
              <w:jc w:val="left"/>
              <w:rPr>
                <w:rFonts w:hint="eastAsia" w:ascii="楷体" w:hAnsi="楷体" w:eastAsia="楷体" w:cs="楷体"/>
                <w:color w:val="000000"/>
                <w:sz w:val="21"/>
                <w:szCs w:val="21"/>
              </w:rPr>
            </w:pPr>
            <w:r>
              <w:rPr>
                <w:rFonts w:hint="eastAsia" w:ascii="楷体" w:hAnsi="楷体" w:eastAsia="楷体" w:cs="楷体"/>
                <w:color w:val="000000"/>
                <w:sz w:val="21"/>
                <w:szCs w:val="21"/>
              </w:rPr>
              <w:t>课程目标2.</w:t>
            </w:r>
          </w:p>
          <w:p w14:paraId="5F180921">
            <w:pPr>
              <w:adjustRightInd w:val="0"/>
              <w:snapToGrid w:val="0"/>
              <w:ind w:firstLine="420" w:firstLineChars="200"/>
              <w:jc w:val="left"/>
              <w:rPr>
                <w:rFonts w:hint="eastAsia" w:ascii="楷体" w:hAnsi="楷体" w:eastAsia="楷体" w:cs="楷体"/>
                <w:color w:val="4472C4"/>
                <w:sz w:val="21"/>
                <w:szCs w:val="21"/>
              </w:rPr>
            </w:pPr>
            <w:r>
              <w:rPr>
                <w:rFonts w:hint="eastAsia" w:ascii="楷体" w:hAnsi="楷体" w:eastAsia="楷体" w:cs="楷体"/>
                <w:sz w:val="21"/>
                <w:szCs w:val="21"/>
              </w:rPr>
              <w:t>全面贯彻国家教育方针，以立德树人为已任，认同和践行社会主义核心价值观；遵守师德规范，学术规范，教研伦理，树立师德师风具备良好的职业规范，拥有实事求是的工作态度和严谨务实的科学精神。</w:t>
            </w:r>
          </w:p>
        </w:tc>
        <w:tc>
          <w:tcPr>
            <w:tcW w:w="1234" w:type="dxa"/>
            <w:noWrap w:val="0"/>
            <w:vAlign w:val="top"/>
          </w:tcPr>
          <w:p w14:paraId="607D3A10">
            <w:pPr>
              <w:widowControl/>
              <w:adjustRightInd w:val="0"/>
              <w:snapToGrid w:val="0"/>
              <w:ind w:firstLine="420" w:firstLineChars="200"/>
              <w:rPr>
                <w:rFonts w:hint="eastAsia" w:ascii="楷体" w:hAnsi="楷体" w:eastAsia="楷体" w:cs="楷体"/>
                <w:bCs/>
                <w:color w:val="4472C4"/>
                <w:sz w:val="21"/>
                <w:szCs w:val="21"/>
              </w:rPr>
            </w:pPr>
            <w:r>
              <w:rPr>
                <w:rFonts w:hint="eastAsia" w:ascii="楷体" w:hAnsi="楷体" w:eastAsia="楷体" w:cs="楷体"/>
                <w:color w:val="000000"/>
                <w:sz w:val="21"/>
                <w:szCs w:val="21"/>
              </w:rPr>
              <w:t>能够在扎实地理解并掌握习近平总书记关于教育的重要论述的核心内涵的基础上，理论联系实际，运用习近平总书记关于教育的重要论述，</w:t>
            </w:r>
            <w:r>
              <w:rPr>
                <w:rFonts w:hint="eastAsia" w:ascii="楷体" w:hAnsi="楷体" w:eastAsia="楷体" w:cs="楷体"/>
                <w:sz w:val="21"/>
                <w:szCs w:val="21"/>
              </w:rPr>
              <w:t>全面贯彻国家教育方针，认同和践行社会主义核心价值观；严格遵守师德规范，学术规范，教研伦理，树立师德师风具备良好的职业规范。</w:t>
            </w:r>
          </w:p>
        </w:tc>
        <w:tc>
          <w:tcPr>
            <w:tcW w:w="0" w:type="auto"/>
            <w:noWrap w:val="0"/>
            <w:vAlign w:val="top"/>
          </w:tcPr>
          <w:p w14:paraId="5822D5C9">
            <w:pPr>
              <w:widowControl/>
              <w:adjustRightInd w:val="0"/>
              <w:snapToGrid w:val="0"/>
              <w:ind w:firstLine="420" w:firstLineChars="200"/>
              <w:rPr>
                <w:rFonts w:hint="eastAsia" w:ascii="楷体" w:hAnsi="楷体" w:eastAsia="楷体" w:cs="楷体"/>
                <w:bCs/>
                <w:color w:val="4472C4"/>
                <w:sz w:val="21"/>
                <w:szCs w:val="21"/>
              </w:rPr>
            </w:pPr>
            <w:r>
              <w:rPr>
                <w:rFonts w:hint="eastAsia" w:ascii="楷体" w:hAnsi="楷体" w:eastAsia="楷体" w:cs="楷体"/>
                <w:color w:val="000000"/>
                <w:sz w:val="21"/>
                <w:szCs w:val="21"/>
              </w:rPr>
              <w:t>能够在理解并掌握习近平总书记关于教育的重要论述的核心内涵的基础上，运用习近平总书记关于教育的重要论述，</w:t>
            </w:r>
            <w:r>
              <w:rPr>
                <w:rFonts w:hint="eastAsia" w:ascii="楷体" w:hAnsi="楷体" w:eastAsia="楷体" w:cs="楷体"/>
                <w:sz w:val="21"/>
                <w:szCs w:val="21"/>
              </w:rPr>
              <w:t>贯彻国家教育方针，认同和践行社会主义核心价值观；较好遵守师德规范，学术规范，教研伦理，树立师德师风具备较好的职业规范</w:t>
            </w:r>
          </w:p>
        </w:tc>
        <w:tc>
          <w:tcPr>
            <w:tcW w:w="0" w:type="auto"/>
            <w:noWrap w:val="0"/>
            <w:vAlign w:val="top"/>
          </w:tcPr>
          <w:p w14:paraId="3A7AE59D">
            <w:pPr>
              <w:widowControl/>
              <w:adjustRightInd w:val="0"/>
              <w:snapToGrid w:val="0"/>
              <w:ind w:firstLine="420" w:firstLineChars="200"/>
              <w:rPr>
                <w:rFonts w:hint="eastAsia" w:ascii="楷体" w:hAnsi="楷体" w:eastAsia="楷体" w:cs="楷体"/>
                <w:color w:val="4472C4"/>
                <w:sz w:val="21"/>
                <w:szCs w:val="21"/>
              </w:rPr>
            </w:pPr>
            <w:r>
              <w:rPr>
                <w:rFonts w:hint="eastAsia" w:ascii="楷体" w:hAnsi="楷体" w:eastAsia="楷体" w:cs="楷体"/>
                <w:color w:val="000000"/>
                <w:sz w:val="21"/>
                <w:szCs w:val="21"/>
              </w:rPr>
              <w:t>能够在基本理解并掌握习近平总书记关于教育的重要论述的核心内涵的基础上，逐步运用习近平总书记关于教育的重要论述，</w:t>
            </w:r>
            <w:r>
              <w:rPr>
                <w:rFonts w:hint="eastAsia" w:ascii="楷体" w:hAnsi="楷体" w:eastAsia="楷体" w:cs="楷体"/>
                <w:sz w:val="21"/>
                <w:szCs w:val="21"/>
              </w:rPr>
              <w:t>贯彻国家教育方针，认同和践行社会主义核心价值观；遵守师德规范，学术规范，教研伦理，树立师德师风职业规范</w:t>
            </w:r>
            <w:r>
              <w:rPr>
                <w:rFonts w:hint="eastAsia" w:ascii="楷体" w:hAnsi="楷体" w:eastAsia="楷体" w:cs="楷体"/>
                <w:color w:val="000000"/>
                <w:sz w:val="21"/>
                <w:szCs w:val="21"/>
              </w:rPr>
              <w:t>。</w:t>
            </w:r>
          </w:p>
        </w:tc>
        <w:tc>
          <w:tcPr>
            <w:tcW w:w="0" w:type="auto"/>
            <w:noWrap w:val="0"/>
            <w:vAlign w:val="top"/>
          </w:tcPr>
          <w:p w14:paraId="4E8B5DF6">
            <w:pPr>
              <w:widowControl/>
              <w:adjustRightInd w:val="0"/>
              <w:snapToGrid w:val="0"/>
              <w:ind w:firstLine="420" w:firstLineChars="200"/>
              <w:rPr>
                <w:rFonts w:hint="eastAsia" w:ascii="楷体" w:hAnsi="楷体" w:eastAsia="楷体" w:cs="楷体"/>
                <w:color w:val="4472C4"/>
                <w:sz w:val="21"/>
                <w:szCs w:val="21"/>
              </w:rPr>
            </w:pPr>
            <w:r>
              <w:rPr>
                <w:rFonts w:hint="eastAsia" w:ascii="楷体" w:hAnsi="楷体" w:eastAsia="楷体" w:cs="楷体"/>
                <w:color w:val="000000"/>
                <w:sz w:val="21"/>
                <w:szCs w:val="21"/>
              </w:rPr>
              <w:t>能够在基本理解并掌握部分习近平总书记关于教育的重要论述的核心内涵的基础上，逐步运用习近平总书记关于教育的重要论述，</w:t>
            </w:r>
            <w:r>
              <w:rPr>
                <w:rFonts w:hint="eastAsia" w:ascii="楷体" w:hAnsi="楷体" w:eastAsia="楷体" w:cs="楷体"/>
                <w:sz w:val="21"/>
                <w:szCs w:val="21"/>
              </w:rPr>
              <w:t>基本贯彻国家教育方针，认同和践行社会主义核心价值观；基本遵守师德规范，学术规范，教研伦理，基本树立师德师风职业规范</w:t>
            </w:r>
          </w:p>
        </w:tc>
        <w:tc>
          <w:tcPr>
            <w:tcW w:w="0" w:type="auto"/>
            <w:noWrap w:val="0"/>
            <w:vAlign w:val="top"/>
          </w:tcPr>
          <w:p w14:paraId="047B41C3">
            <w:pPr>
              <w:widowControl/>
              <w:adjustRightInd w:val="0"/>
              <w:snapToGrid w:val="0"/>
              <w:ind w:firstLine="420" w:firstLineChars="200"/>
              <w:rPr>
                <w:rFonts w:hint="eastAsia" w:ascii="楷体" w:hAnsi="楷体" w:eastAsia="楷体" w:cs="楷体"/>
                <w:b/>
                <w:color w:val="4472C4"/>
                <w:kern w:val="0"/>
                <w:sz w:val="21"/>
                <w:szCs w:val="21"/>
              </w:rPr>
            </w:pPr>
            <w:r>
              <w:rPr>
                <w:rFonts w:hint="eastAsia" w:ascii="楷体" w:hAnsi="楷体" w:eastAsia="楷体" w:cs="楷体"/>
                <w:color w:val="000000"/>
                <w:sz w:val="21"/>
                <w:szCs w:val="21"/>
              </w:rPr>
              <w:t>未能理解并掌握习近平总书记关于教育的重要论述的核心内涵的基础上，未能运用习近平总书记关于教育的重要论述，</w:t>
            </w:r>
            <w:r>
              <w:rPr>
                <w:rFonts w:hint="eastAsia" w:ascii="楷体" w:hAnsi="楷体" w:eastAsia="楷体" w:cs="楷体"/>
                <w:sz w:val="21"/>
                <w:szCs w:val="21"/>
              </w:rPr>
              <w:t>不能贯彻国家教育方针，不遵守师德规范，学术规范，教研伦理，无法树立师德师风职业规范</w:t>
            </w:r>
            <w:r>
              <w:rPr>
                <w:rFonts w:hint="eastAsia" w:ascii="楷体" w:hAnsi="楷体" w:eastAsia="楷体" w:cs="楷体"/>
                <w:color w:val="000000"/>
                <w:sz w:val="21"/>
                <w:szCs w:val="21"/>
              </w:rPr>
              <w:t>。</w:t>
            </w:r>
          </w:p>
        </w:tc>
      </w:tr>
      <w:tr w14:paraId="194D0264">
        <w:trPr>
          <w:trHeight w:val="132" w:hRule="atLeast"/>
          <w:jc w:val="center"/>
        </w:trPr>
        <w:tc>
          <w:tcPr>
            <w:tcW w:w="0" w:type="auto"/>
            <w:vMerge w:val="continue"/>
            <w:noWrap w:val="0"/>
            <w:vAlign w:val="center"/>
          </w:tcPr>
          <w:p w14:paraId="077DA741">
            <w:pPr>
              <w:adjustRightInd w:val="0"/>
              <w:snapToGrid w:val="0"/>
              <w:spacing w:line="240" w:lineRule="atLeast"/>
              <w:jc w:val="center"/>
              <w:rPr>
                <w:rFonts w:ascii="宋体" w:hAnsi="宋体" w:cs="宋体"/>
                <w:sz w:val="24"/>
                <w:szCs w:val="24"/>
              </w:rPr>
            </w:pPr>
          </w:p>
        </w:tc>
        <w:tc>
          <w:tcPr>
            <w:tcW w:w="1709" w:type="dxa"/>
            <w:noWrap w:val="0"/>
            <w:vAlign w:val="center"/>
          </w:tcPr>
          <w:p w14:paraId="4FEC27A1">
            <w:pPr>
              <w:adjustRightInd w:val="0"/>
              <w:snapToGrid w:val="0"/>
              <w:jc w:val="left"/>
              <w:rPr>
                <w:rFonts w:hint="eastAsia" w:ascii="楷体" w:hAnsi="楷体" w:eastAsia="楷体" w:cs="楷体"/>
                <w:color w:val="000000"/>
                <w:sz w:val="21"/>
                <w:szCs w:val="21"/>
              </w:rPr>
            </w:pPr>
            <w:r>
              <w:rPr>
                <w:rFonts w:hint="eastAsia" w:ascii="楷体" w:hAnsi="楷体" w:eastAsia="楷体" w:cs="楷体"/>
                <w:color w:val="000000"/>
                <w:sz w:val="21"/>
                <w:szCs w:val="21"/>
              </w:rPr>
              <w:t>课程目标3.</w:t>
            </w:r>
          </w:p>
          <w:p w14:paraId="1F15B13D">
            <w:pPr>
              <w:adjustRightInd w:val="0"/>
              <w:snapToGrid w:val="0"/>
              <w:ind w:firstLine="420" w:firstLineChars="200"/>
              <w:jc w:val="left"/>
              <w:rPr>
                <w:rFonts w:hint="eastAsia" w:ascii="楷体" w:hAnsi="楷体" w:eastAsia="楷体" w:cs="楷体"/>
                <w:sz w:val="21"/>
                <w:szCs w:val="21"/>
              </w:rPr>
            </w:pPr>
            <w:r>
              <w:rPr>
                <w:rFonts w:hint="eastAsia" w:ascii="楷体" w:hAnsi="楷体" w:eastAsia="楷体" w:cs="楷体"/>
                <w:sz w:val="21"/>
                <w:szCs w:val="21"/>
              </w:rPr>
              <w:t xml:space="preserve"> 职业认同和职业成就：热爱教学、热爱学生、具有积极从教意愿，具备良好的敬业精神，对即将从事的教师工作能全情倾入，全身投入，尽职尽责，全心全意，为自己即将成为一名光荣人民教师而倍感自豪。</w:t>
            </w:r>
          </w:p>
          <w:p w14:paraId="5FF3F0B0">
            <w:pPr>
              <w:adjustRightInd w:val="0"/>
              <w:snapToGrid w:val="0"/>
              <w:ind w:firstLine="420" w:firstLineChars="200"/>
              <w:jc w:val="left"/>
              <w:rPr>
                <w:rFonts w:hint="eastAsia" w:ascii="楷体" w:hAnsi="楷体" w:eastAsia="楷体" w:cs="楷体"/>
                <w:color w:val="4472C4"/>
                <w:sz w:val="21"/>
                <w:szCs w:val="21"/>
              </w:rPr>
            </w:pPr>
            <w:r>
              <w:rPr>
                <w:rFonts w:hint="eastAsia" w:ascii="楷体" w:hAnsi="楷体" w:eastAsia="楷体" w:cs="楷体"/>
                <w:sz w:val="21"/>
                <w:szCs w:val="21"/>
              </w:rPr>
              <w:t>树立终身追求的教师职业信念：持续热情地保持对教育事业的热爱。</w:t>
            </w:r>
          </w:p>
        </w:tc>
        <w:tc>
          <w:tcPr>
            <w:tcW w:w="1234" w:type="dxa"/>
            <w:noWrap w:val="0"/>
            <w:vAlign w:val="top"/>
          </w:tcPr>
          <w:p w14:paraId="77F6B9B7">
            <w:pPr>
              <w:widowControl/>
              <w:adjustRightInd w:val="0"/>
              <w:snapToGrid w:val="0"/>
              <w:ind w:firstLine="420" w:firstLineChars="200"/>
              <w:rPr>
                <w:rFonts w:hint="eastAsia" w:ascii="楷体" w:hAnsi="楷体" w:eastAsia="楷体" w:cs="楷体"/>
                <w:bCs/>
                <w:color w:val="4472C4"/>
                <w:sz w:val="21"/>
                <w:szCs w:val="21"/>
              </w:rPr>
            </w:pPr>
            <w:r>
              <w:rPr>
                <w:rFonts w:hint="eastAsia" w:ascii="楷体" w:hAnsi="楷体" w:eastAsia="楷体" w:cs="楷体"/>
                <w:color w:val="000000"/>
                <w:sz w:val="21"/>
                <w:szCs w:val="21"/>
              </w:rPr>
              <w:t>在扎实地理解并掌握习近平总书记关于教育的重要论述的核心内涵的的基础上，良好</w:t>
            </w:r>
            <w:r>
              <w:rPr>
                <w:rFonts w:hint="eastAsia" w:ascii="楷体" w:hAnsi="楷体" w:eastAsia="楷体" w:cs="楷体"/>
                <w:sz w:val="21"/>
                <w:szCs w:val="21"/>
              </w:rPr>
              <w:t>树立终身追求的坚定的教师职业信念</w:t>
            </w:r>
            <w:r>
              <w:rPr>
                <w:rFonts w:hint="eastAsia" w:ascii="楷体" w:hAnsi="楷体" w:eastAsia="楷体" w:cs="楷体"/>
                <w:color w:val="000000"/>
                <w:sz w:val="21"/>
                <w:szCs w:val="21"/>
              </w:rPr>
              <w:t>；树立正确的教师职业道德观。</w:t>
            </w:r>
          </w:p>
        </w:tc>
        <w:tc>
          <w:tcPr>
            <w:tcW w:w="0" w:type="auto"/>
            <w:noWrap w:val="0"/>
            <w:vAlign w:val="top"/>
          </w:tcPr>
          <w:p w14:paraId="2012E7D1">
            <w:pPr>
              <w:widowControl/>
              <w:adjustRightInd w:val="0"/>
              <w:snapToGrid w:val="0"/>
              <w:ind w:firstLine="420" w:firstLineChars="200"/>
              <w:rPr>
                <w:rFonts w:hint="eastAsia" w:ascii="楷体" w:hAnsi="楷体" w:eastAsia="楷体" w:cs="楷体"/>
                <w:bCs/>
                <w:color w:val="4472C4"/>
                <w:sz w:val="21"/>
                <w:szCs w:val="21"/>
              </w:rPr>
            </w:pPr>
            <w:r>
              <w:rPr>
                <w:rFonts w:hint="eastAsia" w:ascii="楷体" w:hAnsi="楷体" w:eastAsia="楷体" w:cs="楷体"/>
                <w:color w:val="000000"/>
                <w:sz w:val="21"/>
                <w:szCs w:val="21"/>
              </w:rPr>
              <w:t>在理解并掌握习近平总书记关于教育的重要论述的核心内涵的的基础上，较好地树立</w:t>
            </w:r>
            <w:r>
              <w:rPr>
                <w:rFonts w:hint="eastAsia" w:ascii="楷体" w:hAnsi="楷体" w:eastAsia="楷体" w:cs="楷体"/>
                <w:sz w:val="21"/>
                <w:szCs w:val="21"/>
              </w:rPr>
              <w:t>终身追求的坚定的教师职业信念</w:t>
            </w:r>
            <w:r>
              <w:rPr>
                <w:rFonts w:hint="eastAsia" w:ascii="楷体" w:hAnsi="楷体" w:eastAsia="楷体" w:cs="楷体"/>
                <w:color w:val="000000"/>
                <w:sz w:val="21"/>
                <w:szCs w:val="21"/>
              </w:rPr>
              <w:t>。树立良好正确的教师职业道德观。</w:t>
            </w:r>
          </w:p>
        </w:tc>
        <w:tc>
          <w:tcPr>
            <w:tcW w:w="0" w:type="auto"/>
            <w:noWrap w:val="0"/>
            <w:vAlign w:val="top"/>
          </w:tcPr>
          <w:p w14:paraId="6B0BAC96">
            <w:pPr>
              <w:widowControl/>
              <w:adjustRightInd w:val="0"/>
              <w:snapToGrid w:val="0"/>
              <w:ind w:firstLine="420" w:firstLineChars="200"/>
              <w:rPr>
                <w:rFonts w:hint="eastAsia" w:ascii="楷体" w:hAnsi="楷体" w:eastAsia="楷体" w:cs="楷体"/>
                <w:color w:val="4472C4"/>
                <w:sz w:val="21"/>
                <w:szCs w:val="21"/>
              </w:rPr>
            </w:pPr>
            <w:r>
              <w:rPr>
                <w:rFonts w:hint="eastAsia" w:ascii="楷体" w:hAnsi="楷体" w:eastAsia="楷体" w:cs="楷体"/>
                <w:color w:val="000000"/>
                <w:sz w:val="21"/>
                <w:szCs w:val="21"/>
              </w:rPr>
              <w:t>在基本理解并掌握习近平总书记关于教育的重要论述的核心内涵的的基础上，树立</w:t>
            </w:r>
            <w:r>
              <w:rPr>
                <w:rFonts w:hint="eastAsia" w:ascii="楷体" w:hAnsi="楷体" w:eastAsia="楷体" w:cs="楷体"/>
                <w:sz w:val="21"/>
                <w:szCs w:val="21"/>
              </w:rPr>
              <w:t>终身追求的坚定的教师职业信念</w:t>
            </w:r>
            <w:r>
              <w:rPr>
                <w:rFonts w:hint="eastAsia" w:ascii="楷体" w:hAnsi="楷体" w:eastAsia="楷体" w:cs="楷体"/>
                <w:color w:val="000000"/>
                <w:sz w:val="21"/>
                <w:szCs w:val="21"/>
              </w:rPr>
              <w:t>；树立较正确的教师职业道德观。</w:t>
            </w:r>
          </w:p>
        </w:tc>
        <w:tc>
          <w:tcPr>
            <w:tcW w:w="0" w:type="auto"/>
            <w:noWrap w:val="0"/>
            <w:vAlign w:val="top"/>
          </w:tcPr>
          <w:p w14:paraId="6D18C950">
            <w:pPr>
              <w:widowControl/>
              <w:adjustRightInd w:val="0"/>
              <w:snapToGrid w:val="0"/>
              <w:ind w:firstLine="420" w:firstLineChars="200"/>
              <w:rPr>
                <w:rFonts w:hint="eastAsia" w:ascii="楷体" w:hAnsi="楷体" w:eastAsia="楷体" w:cs="楷体"/>
                <w:color w:val="4472C4"/>
                <w:sz w:val="21"/>
                <w:szCs w:val="21"/>
              </w:rPr>
            </w:pPr>
            <w:r>
              <w:rPr>
                <w:rFonts w:hint="eastAsia" w:ascii="楷体" w:hAnsi="楷体" w:eastAsia="楷体" w:cs="楷体"/>
                <w:color w:val="000000"/>
                <w:sz w:val="21"/>
                <w:szCs w:val="21"/>
              </w:rPr>
              <w:t>在基本理解并掌握部分习近平总书记关于教育的重要论述的核心内涵的的基础上，基本</w:t>
            </w:r>
            <w:r>
              <w:rPr>
                <w:rFonts w:hint="eastAsia" w:ascii="楷体" w:hAnsi="楷体" w:eastAsia="楷体" w:cs="楷体"/>
                <w:sz w:val="21"/>
                <w:szCs w:val="21"/>
              </w:rPr>
              <w:t>树立终身追求的教师职业信念</w:t>
            </w:r>
            <w:r>
              <w:rPr>
                <w:rFonts w:hint="eastAsia" w:ascii="楷体" w:hAnsi="楷体" w:eastAsia="楷体" w:cs="楷体"/>
                <w:color w:val="000000"/>
                <w:sz w:val="21"/>
                <w:szCs w:val="21"/>
              </w:rPr>
              <w:t>；基本树立教师职业道德观。</w:t>
            </w:r>
          </w:p>
        </w:tc>
        <w:tc>
          <w:tcPr>
            <w:tcW w:w="0" w:type="auto"/>
            <w:noWrap w:val="0"/>
            <w:vAlign w:val="top"/>
          </w:tcPr>
          <w:p w14:paraId="6377E428">
            <w:pPr>
              <w:widowControl/>
              <w:adjustRightInd w:val="0"/>
              <w:snapToGrid w:val="0"/>
              <w:ind w:firstLine="420" w:firstLineChars="200"/>
              <w:rPr>
                <w:rFonts w:hint="eastAsia" w:ascii="楷体" w:hAnsi="楷体" w:eastAsia="楷体" w:cs="楷体"/>
                <w:b/>
                <w:color w:val="4472C4"/>
                <w:kern w:val="0"/>
                <w:sz w:val="21"/>
                <w:szCs w:val="21"/>
              </w:rPr>
            </w:pPr>
            <w:r>
              <w:rPr>
                <w:rFonts w:hint="eastAsia" w:ascii="楷体" w:hAnsi="楷体" w:eastAsia="楷体" w:cs="楷体"/>
                <w:color w:val="000000"/>
                <w:sz w:val="21"/>
                <w:szCs w:val="21"/>
              </w:rPr>
              <w:t>未能理解并掌握习近平总书记关于教育的重要论述的核心内涵的，未能形成正确的教师职业道德观。</w:t>
            </w:r>
          </w:p>
        </w:tc>
      </w:tr>
    </w:tbl>
    <w:p w14:paraId="14EE822F">
      <w:pPr>
        <w:rPr>
          <w:sz w:val="2"/>
          <w:szCs w:val="2"/>
        </w:rPr>
        <w:sectPr>
          <w:headerReference r:id="rId43" w:type="default"/>
          <w:footerReference r:id="rId44" w:type="default"/>
          <w:pgSz w:w="11906" w:h="16838"/>
          <w:pgMar w:top="1440" w:right="1800" w:bottom="1440" w:left="1800" w:header="851" w:footer="992" w:gutter="0"/>
          <w:cols w:space="425" w:num="1"/>
          <w:docGrid w:type="lines" w:linePitch="312" w:charSpace="0"/>
        </w:sectPr>
      </w:pPr>
    </w:p>
    <w:p w14:paraId="537CFE1B">
      <w:pPr>
        <w:adjustRightInd w:val="0"/>
        <w:snapToGrid w:val="0"/>
        <w:spacing w:line="560" w:lineRule="exact"/>
        <w:jc w:val="center"/>
        <w:rPr>
          <w:rFonts w:eastAsia="方正小标宋简体"/>
          <w:sz w:val="44"/>
          <w:szCs w:val="44"/>
        </w:rPr>
      </w:pPr>
      <w:r>
        <w:rPr>
          <w:rFonts w:hint="eastAsia" w:eastAsia="方正小标宋简体"/>
          <w:sz w:val="44"/>
          <w:szCs w:val="44"/>
        </w:rPr>
        <w:t>三明学院音乐学（音乐教育）专业</w:t>
      </w:r>
    </w:p>
    <w:p w14:paraId="24E33A74">
      <w:pPr>
        <w:adjustRightInd w:val="0"/>
        <w:snapToGrid w:val="0"/>
        <w:spacing w:line="560" w:lineRule="exact"/>
        <w:jc w:val="center"/>
        <w:rPr>
          <w:rFonts w:eastAsia="方正小标宋简体"/>
          <w:sz w:val="28"/>
          <w:szCs w:val="28"/>
        </w:rPr>
      </w:pPr>
      <w:r>
        <w:rPr>
          <w:rFonts w:hint="eastAsia" w:eastAsia="方正小标宋简体"/>
          <w:sz w:val="44"/>
          <w:szCs w:val="44"/>
        </w:rPr>
        <w:t>《乐器演奏基础》课程教学大纲</w:t>
      </w:r>
    </w:p>
    <w:p w14:paraId="6CADAB91">
      <w:pPr>
        <w:adjustRightInd w:val="0"/>
        <w:snapToGrid w:val="0"/>
        <w:spacing w:line="560" w:lineRule="exact"/>
        <w:jc w:val="center"/>
        <w:rPr>
          <w:rFonts w:eastAsia="方正小标宋简体"/>
          <w:sz w:val="24"/>
          <w:szCs w:val="24"/>
        </w:rPr>
      </w:pPr>
    </w:p>
    <w:tbl>
      <w:tblPr>
        <w:tblStyle w:val="22"/>
        <w:tblW w:w="9148"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032"/>
        <w:gridCol w:w="142"/>
        <w:gridCol w:w="1202"/>
        <w:gridCol w:w="1493"/>
        <w:gridCol w:w="113"/>
        <w:gridCol w:w="297"/>
        <w:gridCol w:w="555"/>
        <w:gridCol w:w="575"/>
        <w:gridCol w:w="286"/>
        <w:gridCol w:w="14"/>
        <w:gridCol w:w="1139"/>
        <w:gridCol w:w="335"/>
        <w:gridCol w:w="589"/>
      </w:tblGrid>
      <w:tr w14:paraId="26DE92AF">
        <w:trPr>
          <w:trHeight w:val="454" w:hRule="atLeast"/>
        </w:trPr>
        <w:tc>
          <w:tcPr>
            <w:tcW w:w="1376" w:type="dxa"/>
            <w:vAlign w:val="center"/>
          </w:tcPr>
          <w:p w14:paraId="0C26C287">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课程名称</w:t>
            </w:r>
          </w:p>
        </w:tc>
        <w:tc>
          <w:tcPr>
            <w:tcW w:w="4834" w:type="dxa"/>
            <w:gridSpan w:val="7"/>
            <w:vAlign w:val="center"/>
          </w:tcPr>
          <w:p w14:paraId="3B1D1298">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乐器演奏（萨克斯）</w:t>
            </w:r>
          </w:p>
        </w:tc>
        <w:tc>
          <w:tcPr>
            <w:tcW w:w="575" w:type="dxa"/>
            <w:vAlign w:val="center"/>
          </w:tcPr>
          <w:p w14:paraId="4458A860">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w:t>
            </w:r>
          </w:p>
          <w:p w14:paraId="31D571E3">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代码</w:t>
            </w:r>
          </w:p>
        </w:tc>
        <w:tc>
          <w:tcPr>
            <w:tcW w:w="2363" w:type="dxa"/>
            <w:gridSpan w:val="5"/>
            <w:vAlign w:val="center"/>
          </w:tcPr>
          <w:p w14:paraId="7C11F27C">
            <w:pPr>
              <w:adjustRightInd w:val="0"/>
              <w:snapToGrid w:val="0"/>
              <w:spacing w:line="240" w:lineRule="atLeast"/>
              <w:jc w:val="center"/>
              <w:rPr>
                <w:rFonts w:hint="eastAsia" w:ascii="仿宋" w:hAnsi="仿宋" w:eastAsia="仿宋" w:cs="仿宋"/>
                <w:color w:val="000000"/>
                <w:sz w:val="24"/>
                <w:szCs w:val="24"/>
              </w:rPr>
            </w:pPr>
            <w:r>
              <w:rPr>
                <w:rFonts w:hint="eastAsia" w:ascii="宋体" w:hAnsi="宋体"/>
                <w:sz w:val="18"/>
                <w:szCs w:val="18"/>
              </w:rPr>
              <w:t>1213302611</w:t>
            </w:r>
          </w:p>
          <w:p w14:paraId="769E4891">
            <w:pPr>
              <w:adjustRightInd w:val="0"/>
              <w:snapToGrid w:val="0"/>
              <w:spacing w:line="240" w:lineRule="atLeast"/>
              <w:jc w:val="center"/>
              <w:rPr>
                <w:rFonts w:hint="eastAsia" w:ascii="仿宋" w:hAnsi="仿宋" w:eastAsia="仿宋" w:cs="仿宋"/>
                <w:color w:val="000000"/>
                <w:sz w:val="24"/>
                <w:szCs w:val="24"/>
              </w:rPr>
            </w:pPr>
            <w:r>
              <w:rPr>
                <w:rFonts w:hint="eastAsia" w:ascii="宋体" w:hAnsi="宋体"/>
                <w:sz w:val="18"/>
                <w:szCs w:val="18"/>
              </w:rPr>
              <w:t>1213302612</w:t>
            </w:r>
          </w:p>
          <w:p w14:paraId="314F0323">
            <w:pPr>
              <w:adjustRightInd w:val="0"/>
              <w:snapToGrid w:val="0"/>
              <w:spacing w:line="240" w:lineRule="atLeast"/>
              <w:jc w:val="center"/>
              <w:rPr>
                <w:rFonts w:hint="eastAsia" w:ascii="仿宋" w:hAnsi="仿宋" w:eastAsia="仿宋" w:cs="仿宋"/>
                <w:color w:val="000000"/>
                <w:sz w:val="24"/>
                <w:szCs w:val="24"/>
              </w:rPr>
            </w:pPr>
            <w:r>
              <w:rPr>
                <w:rFonts w:hint="eastAsia" w:ascii="宋体" w:hAnsi="宋体"/>
                <w:sz w:val="18"/>
                <w:szCs w:val="18"/>
              </w:rPr>
              <w:t>1213302613</w:t>
            </w:r>
          </w:p>
          <w:p w14:paraId="214F898E">
            <w:pPr>
              <w:adjustRightInd w:val="0"/>
              <w:snapToGrid w:val="0"/>
              <w:spacing w:line="240" w:lineRule="atLeast"/>
              <w:jc w:val="center"/>
              <w:rPr>
                <w:rFonts w:hint="eastAsia" w:ascii="仿宋" w:hAnsi="仿宋" w:eastAsia="仿宋" w:cs="仿宋"/>
                <w:color w:val="000000"/>
                <w:sz w:val="24"/>
                <w:szCs w:val="24"/>
              </w:rPr>
            </w:pPr>
            <w:r>
              <w:rPr>
                <w:rFonts w:hint="eastAsia" w:ascii="宋体" w:hAnsi="宋体"/>
                <w:sz w:val="18"/>
                <w:szCs w:val="18"/>
              </w:rPr>
              <w:t>1213302614</w:t>
            </w:r>
          </w:p>
        </w:tc>
      </w:tr>
      <w:tr w14:paraId="55C2ACFF">
        <w:trPr>
          <w:trHeight w:val="454" w:hRule="atLeast"/>
        </w:trPr>
        <w:tc>
          <w:tcPr>
            <w:tcW w:w="1376" w:type="dxa"/>
            <w:vAlign w:val="center"/>
          </w:tcPr>
          <w:p w14:paraId="19F9DD54">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课程类型</w:t>
            </w:r>
          </w:p>
        </w:tc>
        <w:tc>
          <w:tcPr>
            <w:tcW w:w="7772" w:type="dxa"/>
            <w:gridSpan w:val="13"/>
            <w:vAlign w:val="center"/>
          </w:tcPr>
          <w:p w14:paraId="343EFFC7">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通识必修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通识选修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专业必修 </w:t>
            </w:r>
          </w:p>
          <w:p w14:paraId="584359B1">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专业选修</w:t>
            </w:r>
            <w:r>
              <w:rPr>
                <w:rFonts w:hint="eastAsia" w:ascii="仿宋" w:hAnsi="仿宋" w:eastAsia="仿宋" w:cs="仿宋"/>
                <w:color w:val="000000"/>
                <w:sz w:val="24"/>
                <w:szCs w:val="24"/>
                <w:lang w:eastAsia="zh-TW"/>
              </w:rPr>
              <w:t xml:space="preserve">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教师教育必修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教师教育选修</w:t>
            </w:r>
          </w:p>
        </w:tc>
      </w:tr>
      <w:tr w14:paraId="1A029E9C">
        <w:trPr>
          <w:trHeight w:val="406" w:hRule="atLeast"/>
        </w:trPr>
        <w:tc>
          <w:tcPr>
            <w:tcW w:w="1376" w:type="dxa"/>
            <w:vAlign w:val="center"/>
          </w:tcPr>
          <w:p w14:paraId="47F1B69F">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开课学期</w:t>
            </w:r>
          </w:p>
        </w:tc>
        <w:tc>
          <w:tcPr>
            <w:tcW w:w="1174" w:type="dxa"/>
            <w:gridSpan w:val="2"/>
            <w:vAlign w:val="center"/>
          </w:tcPr>
          <w:p w14:paraId="68240C49">
            <w:pPr>
              <w:adjustRightInd w:val="0"/>
              <w:snapToGrid w:val="0"/>
              <w:spacing w:line="240" w:lineRule="atLeast"/>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五六七</w:t>
            </w:r>
          </w:p>
        </w:tc>
        <w:tc>
          <w:tcPr>
            <w:tcW w:w="1202" w:type="dxa"/>
            <w:vAlign w:val="center"/>
          </w:tcPr>
          <w:p w14:paraId="19678853">
            <w:pPr>
              <w:adjustRightInd w:val="0"/>
              <w:snapToGrid w:val="0"/>
              <w:spacing w:line="240" w:lineRule="atLeast"/>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学分</w:t>
            </w:r>
          </w:p>
        </w:tc>
        <w:tc>
          <w:tcPr>
            <w:tcW w:w="1606" w:type="dxa"/>
            <w:gridSpan w:val="2"/>
            <w:vAlign w:val="center"/>
          </w:tcPr>
          <w:p w14:paraId="0A7D1C89">
            <w:pPr>
              <w:adjustRightInd w:val="0"/>
              <w:snapToGrid w:val="0"/>
              <w:spacing w:line="240" w:lineRule="atLeast"/>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w:t>
            </w:r>
          </w:p>
        </w:tc>
        <w:tc>
          <w:tcPr>
            <w:tcW w:w="1427" w:type="dxa"/>
            <w:gridSpan w:val="3"/>
            <w:vAlign w:val="center"/>
          </w:tcPr>
          <w:p w14:paraId="4C586C95">
            <w:pPr>
              <w:adjustRightInd w:val="0"/>
              <w:snapToGrid w:val="0"/>
              <w:spacing w:line="240" w:lineRule="atLeast"/>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课程负责人</w:t>
            </w:r>
          </w:p>
        </w:tc>
        <w:tc>
          <w:tcPr>
            <w:tcW w:w="2363" w:type="dxa"/>
            <w:gridSpan w:val="5"/>
            <w:vAlign w:val="center"/>
          </w:tcPr>
          <w:p w14:paraId="10C4BDE0">
            <w:pPr>
              <w:adjustRightInd w:val="0"/>
              <w:snapToGrid w:val="0"/>
              <w:spacing w:line="240" w:lineRule="atLeast"/>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梁思宇</w:t>
            </w:r>
          </w:p>
        </w:tc>
      </w:tr>
      <w:tr w14:paraId="28569ECC">
        <w:trPr>
          <w:trHeight w:val="485" w:hRule="atLeast"/>
        </w:trPr>
        <w:tc>
          <w:tcPr>
            <w:tcW w:w="1376" w:type="dxa"/>
            <w:vAlign w:val="center"/>
          </w:tcPr>
          <w:p w14:paraId="58840BA1">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总学时</w:t>
            </w:r>
          </w:p>
        </w:tc>
        <w:tc>
          <w:tcPr>
            <w:tcW w:w="1174" w:type="dxa"/>
            <w:gridSpan w:val="2"/>
            <w:vAlign w:val="center"/>
          </w:tcPr>
          <w:p w14:paraId="3F21E62A">
            <w:pPr>
              <w:adjustRightInd w:val="0"/>
              <w:snapToGrid w:val="0"/>
              <w:spacing w:line="240" w:lineRule="atLeast"/>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48</w:t>
            </w:r>
          </w:p>
        </w:tc>
        <w:tc>
          <w:tcPr>
            <w:tcW w:w="1202" w:type="dxa"/>
            <w:vAlign w:val="center"/>
          </w:tcPr>
          <w:p w14:paraId="54905E25">
            <w:pPr>
              <w:adjustRightInd w:val="0"/>
              <w:snapToGrid w:val="0"/>
              <w:spacing w:line="240" w:lineRule="atLeast"/>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理论学时</w:t>
            </w:r>
          </w:p>
        </w:tc>
        <w:tc>
          <w:tcPr>
            <w:tcW w:w="1606" w:type="dxa"/>
            <w:gridSpan w:val="2"/>
            <w:vAlign w:val="center"/>
          </w:tcPr>
          <w:p w14:paraId="3EE05CD1">
            <w:pPr>
              <w:adjustRightInd w:val="0"/>
              <w:snapToGrid w:val="0"/>
              <w:spacing w:line="240" w:lineRule="atLeast"/>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0</w:t>
            </w:r>
          </w:p>
        </w:tc>
        <w:tc>
          <w:tcPr>
            <w:tcW w:w="1427" w:type="dxa"/>
            <w:gridSpan w:val="3"/>
            <w:tcBorders>
              <w:right w:val="single" w:color="000000" w:sz="4" w:space="0"/>
            </w:tcBorders>
            <w:vAlign w:val="center"/>
          </w:tcPr>
          <w:p w14:paraId="3CC546EC">
            <w:pPr>
              <w:adjustRightInd w:val="0"/>
              <w:snapToGrid w:val="0"/>
              <w:spacing w:line="240" w:lineRule="atLeast"/>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实践学时</w:t>
            </w:r>
          </w:p>
        </w:tc>
        <w:tc>
          <w:tcPr>
            <w:tcW w:w="2363" w:type="dxa"/>
            <w:gridSpan w:val="5"/>
            <w:tcBorders>
              <w:left w:val="single" w:color="000000" w:sz="4" w:space="0"/>
            </w:tcBorders>
            <w:vAlign w:val="center"/>
          </w:tcPr>
          <w:p w14:paraId="4B8D0068">
            <w:pPr>
              <w:adjustRightInd w:val="0"/>
              <w:snapToGrid w:val="0"/>
              <w:spacing w:line="240" w:lineRule="atLeast"/>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48</w:t>
            </w:r>
          </w:p>
        </w:tc>
      </w:tr>
      <w:tr w14:paraId="5F474297">
        <w:trPr>
          <w:trHeight w:val="454" w:hRule="atLeast"/>
        </w:trPr>
        <w:tc>
          <w:tcPr>
            <w:tcW w:w="1376" w:type="dxa"/>
            <w:vAlign w:val="center"/>
          </w:tcPr>
          <w:p w14:paraId="1AE8D410">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先修课程与后续课程</w:t>
            </w:r>
          </w:p>
        </w:tc>
        <w:tc>
          <w:tcPr>
            <w:tcW w:w="7772" w:type="dxa"/>
            <w:gridSpan w:val="13"/>
            <w:vAlign w:val="center"/>
          </w:tcPr>
          <w:p w14:paraId="08C6C405">
            <w:pPr>
              <w:tabs>
                <w:tab w:val="left" w:pos="720"/>
              </w:tabs>
              <w:adjustRightInd w:val="0"/>
              <w:snapToGrid w:val="0"/>
              <w:jc w:val="left"/>
              <w:rPr>
                <w:rFonts w:hint="eastAsia" w:ascii="仿宋" w:hAnsi="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先修课程：</w:t>
            </w:r>
            <w:r>
              <w:rPr>
                <w:rFonts w:hint="eastAsia"/>
                <w:color w:val="000000" w:themeColor="text1"/>
                <w:sz w:val="24"/>
                <w:szCs w:val="24"/>
                <w14:textFill>
                  <w14:solidFill>
                    <w14:schemeClr w14:val="tx1"/>
                  </w14:solidFill>
                </w14:textFill>
              </w:rPr>
              <w:t>《基本乐理》、《视唱练耳》、</w:t>
            </w:r>
            <w:r>
              <w:rPr>
                <w:rFonts w:hint="eastAsia" w:hAnsi="宋体"/>
                <w:color w:val="000000" w:themeColor="text1"/>
                <w:sz w:val="24"/>
                <w:szCs w:val="24"/>
                <w14:textFill>
                  <w14:solidFill>
                    <w14:schemeClr w14:val="tx1"/>
                  </w14:solidFill>
                </w14:textFill>
              </w:rPr>
              <w:t>《乐器演奏基础》、</w:t>
            </w:r>
            <w:r>
              <w:rPr>
                <w:rFonts w:hint="eastAsia" w:hAnsi="宋体"/>
                <w:sz w:val="24"/>
                <w:szCs w:val="24"/>
              </w:rPr>
              <w:t>《中国音乐史与欣赏》</w:t>
            </w:r>
          </w:p>
          <w:p w14:paraId="6766AF44">
            <w:pPr>
              <w:tabs>
                <w:tab w:val="left" w:pos="720"/>
              </w:tabs>
              <w:adjustRightInd w:val="0"/>
              <w:snapToGrid w:val="0"/>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后续课程：</w:t>
            </w:r>
            <w:r>
              <w:rPr>
                <w:rFonts w:hAnsi="宋体"/>
                <w:color w:val="000000" w:themeColor="text1"/>
                <w:kern w:val="0"/>
                <w:sz w:val="24"/>
                <w:szCs w:val="24"/>
                <w:shd w:val="clear" w:color="auto" w:fill="FFFFFF"/>
                <w14:textFill>
                  <w14:solidFill>
                    <w14:schemeClr w14:val="tx1"/>
                  </w14:solidFill>
                </w14:textFill>
              </w:rPr>
              <w:t>和声、曲式与作品分析、中外音乐史、音乐美学</w:t>
            </w:r>
            <w:r>
              <w:rPr>
                <w:rFonts w:hint="eastAsia" w:hAnsi="宋体"/>
                <w:color w:val="000000" w:themeColor="text1"/>
                <w:kern w:val="0"/>
                <w:sz w:val="24"/>
                <w:szCs w:val="24"/>
                <w:shd w:val="clear" w:color="auto" w:fill="FFFFFF"/>
                <w14:textFill>
                  <w14:solidFill>
                    <w14:schemeClr w14:val="tx1"/>
                  </w14:solidFill>
                </w14:textFill>
              </w:rPr>
              <w:t>、</w:t>
            </w:r>
            <w:r>
              <w:rPr>
                <w:rFonts w:hint="eastAsia" w:hAnsi="宋体"/>
                <w:color w:val="000000" w:themeColor="text1"/>
                <w:sz w:val="24"/>
                <w:szCs w:val="24"/>
                <w14:textFill>
                  <w14:solidFill>
                    <w14:schemeClr w14:val="tx1"/>
                  </w14:solidFill>
                </w14:textFill>
              </w:rPr>
              <w:t>《乐器演奏》《西方音乐史与欣赏》等</w:t>
            </w:r>
          </w:p>
        </w:tc>
      </w:tr>
      <w:tr w14:paraId="417247F5">
        <w:trPr>
          <w:trHeight w:val="454" w:hRule="atLeast"/>
        </w:trPr>
        <w:tc>
          <w:tcPr>
            <w:tcW w:w="1376" w:type="dxa"/>
            <w:vAlign w:val="center"/>
          </w:tcPr>
          <w:p w14:paraId="54C3B97B">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适用专业</w:t>
            </w:r>
          </w:p>
        </w:tc>
        <w:tc>
          <w:tcPr>
            <w:tcW w:w="7772" w:type="dxa"/>
            <w:gridSpan w:val="13"/>
            <w:vAlign w:val="center"/>
          </w:tcPr>
          <w:p w14:paraId="061853ED">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themeColor="text1"/>
                <w:sz w:val="24"/>
                <w:szCs w:val="24"/>
                <w14:textFill>
                  <w14:solidFill>
                    <w14:schemeClr w14:val="tx1"/>
                  </w14:solidFill>
                </w14:textFill>
              </w:rPr>
              <w:t>音乐专业</w:t>
            </w:r>
          </w:p>
        </w:tc>
      </w:tr>
      <w:tr w14:paraId="57684709">
        <w:trPr>
          <w:trHeight w:val="1243" w:hRule="atLeast"/>
        </w:trPr>
        <w:tc>
          <w:tcPr>
            <w:tcW w:w="1376" w:type="dxa"/>
            <w:tcBorders>
              <w:bottom w:val="single" w:color="auto" w:sz="4" w:space="0"/>
            </w:tcBorders>
            <w:vAlign w:val="center"/>
          </w:tcPr>
          <w:p w14:paraId="055B7BB8">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A</w:t>
            </w:r>
          </w:p>
          <w:p w14:paraId="497723D3">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参考教材</w:t>
            </w:r>
          </w:p>
        </w:tc>
        <w:tc>
          <w:tcPr>
            <w:tcW w:w="7772" w:type="dxa"/>
            <w:gridSpan w:val="13"/>
            <w:tcBorders>
              <w:bottom w:val="single" w:color="auto" w:sz="4" w:space="0"/>
            </w:tcBorders>
            <w:vAlign w:val="center"/>
          </w:tcPr>
          <w:p w14:paraId="238CC538">
            <w:pPr>
              <w:adjustRightInd w:val="0"/>
              <w:snapToGrid w:val="0"/>
              <w:rPr>
                <w:rFonts w:hint="eastAsia" w:ascii="宋体" w:hAnsi="宋体" w:cs="宋体"/>
                <w:sz w:val="24"/>
                <w:szCs w:val="24"/>
              </w:rPr>
            </w:pPr>
            <w:r>
              <w:rPr>
                <w:rFonts w:hint="eastAsia" w:ascii="宋体" w:hAnsi="宋体" w:cs="宋体"/>
                <w:sz w:val="24"/>
                <w:szCs w:val="24"/>
              </w:rPr>
              <w:t>陆廷荃《爵士乐教学——萨克斯即兴演奏教程》</w:t>
            </w:r>
          </w:p>
          <w:p w14:paraId="28F6B6F3">
            <w:pPr>
              <w:tabs>
                <w:tab w:val="left" w:pos="720"/>
              </w:tabs>
              <w:adjustRightInd w:val="0"/>
              <w:snapToGrid w:val="0"/>
              <w:rPr>
                <w:rFonts w:hint="eastAsia" w:ascii="仿宋" w:hAnsi="仿宋" w:eastAsia="仿宋" w:cs="仿宋"/>
                <w:color w:val="4472C4"/>
                <w:kern w:val="0"/>
                <w:sz w:val="24"/>
                <w:szCs w:val="24"/>
              </w:rPr>
            </w:pPr>
            <w:r>
              <w:rPr>
                <w:rFonts w:hint="eastAsia" w:ascii="宋体" w:hAnsi="宋体" w:cs="宋体"/>
                <w:sz w:val="24"/>
                <w:szCs w:val="24"/>
              </w:rPr>
              <w:t>李承育《萨克斯风即兴教本》</w:t>
            </w:r>
          </w:p>
        </w:tc>
      </w:tr>
      <w:tr w14:paraId="00456D93">
        <w:tc>
          <w:tcPr>
            <w:tcW w:w="1376" w:type="dxa"/>
            <w:tcBorders>
              <w:bottom w:val="single" w:color="auto" w:sz="4" w:space="0"/>
            </w:tcBorders>
            <w:vAlign w:val="center"/>
          </w:tcPr>
          <w:p w14:paraId="06CAE0E0">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B</w:t>
            </w:r>
          </w:p>
          <w:p w14:paraId="59B68B4C">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主要参考书籍</w:t>
            </w:r>
          </w:p>
        </w:tc>
        <w:tc>
          <w:tcPr>
            <w:tcW w:w="7772" w:type="dxa"/>
            <w:gridSpan w:val="13"/>
            <w:tcBorders>
              <w:bottom w:val="single" w:color="auto" w:sz="4" w:space="0"/>
            </w:tcBorders>
            <w:vAlign w:val="center"/>
          </w:tcPr>
          <w:p w14:paraId="17D595D0">
            <w:pPr>
              <w:adjustRightInd w:val="0"/>
              <w:snapToGrid w:val="0"/>
              <w:ind w:left="360" w:hanging="360" w:hangingChars="150"/>
              <w:rPr>
                <w:rFonts w:hint="eastAsia" w:ascii="宋体" w:hAnsi="宋体" w:cs="宋体"/>
                <w:sz w:val="24"/>
                <w:szCs w:val="24"/>
              </w:rPr>
            </w:pPr>
            <w:r>
              <w:rPr>
                <w:rFonts w:hint="eastAsia" w:ascii="宋体" w:hAnsi="宋体" w:cs="宋体"/>
                <w:sz w:val="24"/>
                <w:szCs w:val="24"/>
              </w:rPr>
              <w:t>[1] 章啸路，《爵士萨克斯演奏教程》，上海音乐学院出版社</w:t>
            </w:r>
          </w:p>
          <w:p w14:paraId="05D3B20C">
            <w:pPr>
              <w:tabs>
                <w:tab w:val="left" w:pos="720"/>
              </w:tabs>
              <w:adjustRightInd w:val="0"/>
              <w:snapToGrid w:val="0"/>
              <w:rPr>
                <w:rFonts w:hint="eastAsia" w:ascii="仿宋" w:hAnsi="仿宋" w:eastAsia="仿宋" w:cs="仿宋"/>
                <w:color w:val="4472C4"/>
                <w:kern w:val="0"/>
                <w:sz w:val="24"/>
                <w:szCs w:val="24"/>
              </w:rPr>
            </w:pPr>
            <w:r>
              <w:rPr>
                <w:rFonts w:hint="eastAsia" w:ascii="宋体" w:hAnsi="宋体" w:cs="宋体"/>
                <w:sz w:val="24"/>
                <w:szCs w:val="24"/>
              </w:rPr>
              <w:t>[2] 张智勇，《爵士萨克斯演奏曲集》</w:t>
            </w:r>
          </w:p>
        </w:tc>
      </w:tr>
      <w:tr w14:paraId="21A353C1">
        <w:tc>
          <w:tcPr>
            <w:tcW w:w="1376" w:type="dxa"/>
            <w:tcBorders>
              <w:bottom w:val="single" w:color="auto" w:sz="4" w:space="0"/>
            </w:tcBorders>
            <w:vAlign w:val="center"/>
          </w:tcPr>
          <w:p w14:paraId="0CEBF991">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C</w:t>
            </w:r>
          </w:p>
          <w:p w14:paraId="3E3B69AE">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线上学习资源</w:t>
            </w:r>
          </w:p>
        </w:tc>
        <w:tc>
          <w:tcPr>
            <w:tcW w:w="7772" w:type="dxa"/>
            <w:gridSpan w:val="13"/>
            <w:tcBorders>
              <w:bottom w:val="single" w:color="auto" w:sz="4" w:space="0"/>
            </w:tcBorders>
            <w:vAlign w:val="center"/>
          </w:tcPr>
          <w:p w14:paraId="16AF6826">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1.本课程已经建立校网络课程，同学们依据学校提供的帐号与密码登录课程网站，可查看教学大纲、授课计划、考核方法、教学视频、电子教材、音频、阅读资料、网络文献链接网址等教学资源。</w:t>
            </w:r>
          </w:p>
          <w:p w14:paraId="627A4A67">
            <w:pPr>
              <w:adjustRightInd w:val="0"/>
              <w:snapToGrid w:val="0"/>
              <w:rPr>
                <w:rFonts w:hint="eastAsia" w:ascii="仿宋" w:hAnsi="仿宋" w:eastAsia="仿宋" w:cs="仿宋"/>
                <w:color w:val="4472C4"/>
                <w:kern w:val="0"/>
                <w:sz w:val="24"/>
                <w:szCs w:val="24"/>
              </w:rPr>
            </w:pPr>
            <w:r>
              <w:rPr>
                <w:rFonts w:hint="eastAsia" w:ascii="仿宋" w:hAnsi="仿宋" w:eastAsia="仿宋" w:cs="仿宋"/>
                <w:color w:val="000000"/>
                <w:kern w:val="0"/>
                <w:sz w:val="24"/>
                <w:szCs w:val="24"/>
              </w:rPr>
              <w:t>2.微信平台萨克斯学习群</w:t>
            </w:r>
          </w:p>
        </w:tc>
      </w:tr>
      <w:tr w14:paraId="29502C78">
        <w:trPr>
          <w:trHeight w:val="90" w:hRule="atLeast"/>
        </w:trPr>
        <w:tc>
          <w:tcPr>
            <w:tcW w:w="1376" w:type="dxa"/>
            <w:shd w:val="clear" w:color="auto" w:fill="FFFFFF"/>
            <w:vAlign w:val="center"/>
          </w:tcPr>
          <w:p w14:paraId="303D9997">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D</w:t>
            </w:r>
          </w:p>
          <w:p w14:paraId="7AA6C3D4">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课程描述 </w:t>
            </w:r>
          </w:p>
          <w:p w14:paraId="0A37623D">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lang w:eastAsia="zh-TW"/>
              </w:rPr>
              <w:t>(</w:t>
            </w:r>
            <w:r>
              <w:rPr>
                <w:rFonts w:hint="eastAsia" w:ascii="仿宋" w:hAnsi="仿宋" w:eastAsia="仿宋" w:cs="仿宋"/>
                <w:color w:val="000000"/>
                <w:sz w:val="24"/>
                <w:szCs w:val="24"/>
              </w:rPr>
              <w:t>含</w:t>
            </w:r>
            <w:r>
              <w:rPr>
                <w:rFonts w:hint="eastAsia" w:ascii="仿宋" w:hAnsi="仿宋" w:eastAsia="仿宋" w:cs="仿宋"/>
                <w:color w:val="000000"/>
                <w:sz w:val="24"/>
                <w:szCs w:val="24"/>
                <w:lang w:eastAsia="zh-TW"/>
              </w:rPr>
              <w:t>性质、地位和任务)</w:t>
            </w:r>
          </w:p>
        </w:tc>
        <w:tc>
          <w:tcPr>
            <w:tcW w:w="7772" w:type="dxa"/>
            <w:gridSpan w:val="13"/>
            <w:tcBorders>
              <w:bottom w:val="single" w:color="auto" w:sz="4" w:space="0"/>
            </w:tcBorders>
            <w:shd w:val="clear" w:color="auto" w:fill="FFFFFF"/>
            <w:vAlign w:val="center"/>
          </w:tcPr>
          <w:p w14:paraId="450088FD">
            <w:pPr>
              <w:pStyle w:val="19"/>
              <w:spacing w:before="0" w:beforeAutospacing="0" w:after="0" w:afterAutospacing="0" w:line="360" w:lineRule="exact"/>
              <w:ind w:firstLine="480" w:firstLineChars="200"/>
              <w:rPr>
                <w:rFonts w:hint="eastAsia"/>
                <w:szCs w:val="24"/>
              </w:rPr>
            </w:pPr>
          </w:p>
          <w:p w14:paraId="5D33CF86">
            <w:pPr>
              <w:pStyle w:val="19"/>
              <w:spacing w:before="0" w:beforeAutospacing="0" w:after="0" w:afterAutospacing="0" w:line="360" w:lineRule="exact"/>
              <w:ind w:firstLine="480" w:firstLineChars="200"/>
              <w:rPr>
                <w:rFonts w:hint="eastAsia"/>
                <w:color w:val="000000"/>
                <w:szCs w:val="24"/>
              </w:rPr>
            </w:pPr>
            <w:r>
              <w:rPr>
                <w:rFonts w:hint="eastAsia"/>
                <w:szCs w:val="24"/>
              </w:rPr>
              <w:t>本课程为音乐学专业方向课程。本课程的主要任务在于</w:t>
            </w:r>
            <w:r>
              <w:rPr>
                <w:szCs w:val="24"/>
              </w:rPr>
              <w:t>:</w:t>
            </w:r>
            <w:r>
              <w:rPr>
                <w:rFonts w:hint="eastAsia"/>
                <w:color w:val="000000"/>
                <w:szCs w:val="24"/>
              </w:rPr>
              <w:t>其一，在萨克斯教学中分析演奏技法与乐曲意境、文化内蕴之间的关系；其二，本课程主要目的是在学生进一步掌握萨克斯基本技能技巧的基础上，学习不同的演奏技巧，培养学生更深层次的理解、分析、鉴赏和演奏萨克斯乐曲的能力。</w:t>
            </w:r>
          </w:p>
          <w:p w14:paraId="5BD9CB33">
            <w:pPr>
              <w:adjustRightInd w:val="0"/>
              <w:snapToGrid w:val="0"/>
              <w:rPr>
                <w:rFonts w:hint="eastAsia" w:ascii="仿宋" w:hAnsi="仿宋" w:eastAsia="仿宋" w:cs="仿宋"/>
                <w:color w:val="4472C4"/>
                <w:kern w:val="0"/>
                <w:sz w:val="24"/>
                <w:szCs w:val="24"/>
              </w:rPr>
            </w:pPr>
          </w:p>
        </w:tc>
      </w:tr>
      <w:tr w14:paraId="03898C22">
        <w:trPr>
          <w:trHeight w:val="3071" w:hRule="atLeast"/>
        </w:trPr>
        <w:tc>
          <w:tcPr>
            <w:tcW w:w="1376" w:type="dxa"/>
            <w:vMerge w:val="restart"/>
            <w:shd w:val="clear" w:color="auto" w:fill="FFFFFF"/>
            <w:vAlign w:val="center"/>
          </w:tcPr>
          <w:p w14:paraId="2AFD688A">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E</w:t>
            </w:r>
          </w:p>
          <w:p w14:paraId="6624A8F2">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课程学习目标及其与毕业要求的对应关系</w:t>
            </w:r>
          </w:p>
        </w:tc>
        <w:tc>
          <w:tcPr>
            <w:tcW w:w="7772" w:type="dxa"/>
            <w:gridSpan w:val="13"/>
            <w:tcBorders>
              <w:bottom w:val="single" w:color="auto" w:sz="4" w:space="0"/>
            </w:tcBorders>
            <w:shd w:val="clear" w:color="auto" w:fill="FFFFFF"/>
            <w:vAlign w:val="center"/>
          </w:tcPr>
          <w:p w14:paraId="7D9D5814">
            <w:pPr>
              <w:adjustRightInd w:val="0"/>
              <w:snapToGrid w:val="0"/>
              <w:jc w:val="left"/>
              <w:rPr>
                <w:rFonts w:hint="eastAsia" w:ascii="仿宋" w:hAnsi="仿宋" w:eastAsia="仿宋" w:cs="仿宋"/>
                <w:color w:val="000000"/>
                <w:sz w:val="24"/>
                <w:szCs w:val="24"/>
              </w:rPr>
            </w:pPr>
          </w:p>
          <w:tbl>
            <w:tblPr>
              <w:tblStyle w:val="22"/>
              <w:tblW w:w="91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9148"/>
            </w:tblGrid>
            <w:tr w14:paraId="6EF2A316">
              <w:trPr>
                <w:trHeight w:val="3071" w:hRule="atLeast"/>
              </w:trPr>
              <w:tc>
                <w:tcPr>
                  <w:tcW w:w="7772" w:type="dxa"/>
                  <w:tcBorders>
                    <w:bottom w:val="single" w:color="auto" w:sz="4" w:space="0"/>
                  </w:tcBorders>
                  <w:shd w:val="clear" w:color="auto" w:fill="FFFFFF"/>
                  <w:vAlign w:val="center"/>
                </w:tcPr>
                <w:p w14:paraId="46CA4A64">
                  <w:pPr>
                    <w:adjustRightInd w:val="0"/>
                    <w:snapToGrid w:val="0"/>
                    <w:jc w:val="left"/>
                    <w:rPr>
                      <w:rFonts w:hint="eastAsia" w:ascii="仿宋" w:hAnsi="仿宋" w:eastAsia="仿宋" w:cs="仿宋"/>
                      <w:color w:val="000000"/>
                      <w:sz w:val="24"/>
                      <w:szCs w:val="24"/>
                      <w:lang w:eastAsia="zh-TW"/>
                    </w:rPr>
                  </w:pPr>
                  <w:r>
                    <w:rPr>
                      <w:rFonts w:hint="eastAsia" w:ascii="仿宋" w:hAnsi="仿宋" w:eastAsia="仿宋" w:cs="仿宋"/>
                      <w:color w:val="000000"/>
                      <w:sz w:val="24"/>
                      <w:szCs w:val="24"/>
                    </w:rPr>
                    <w:t>通过本课程的学习，学生具备如下知识、能力及情感态度价值观：</w:t>
                  </w:r>
                </w:p>
                <w:p w14:paraId="441510C9">
                  <w:pPr>
                    <w:adjustRightInd w:val="0"/>
                    <w:snapToGrid w:val="0"/>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kern w:val="0"/>
                      <w:sz w:val="24"/>
                      <w:szCs w:val="24"/>
                    </w:rPr>
                    <w:t xml:space="preserve">课程目标1： </w:t>
                  </w:r>
                  <w:r>
                    <w:rPr>
                      <w:rFonts w:hint="eastAsia" w:ascii="仿宋" w:hAnsi="仿宋" w:eastAsia="仿宋" w:cs="仿宋"/>
                      <w:color w:val="000000" w:themeColor="text1"/>
                      <w:kern w:val="0"/>
                      <w:sz w:val="24"/>
                      <w:szCs w:val="24"/>
                      <w14:textFill>
                        <w14:solidFill>
                          <w14:schemeClr w14:val="tx1"/>
                        </w14:solidFill>
                      </w14:textFill>
                    </w:rPr>
                    <w:t>领会萨克斯的基本理论和基本技术，提高专业知识与水平。（支撑毕业要求</w:t>
                  </w:r>
                  <w:r>
                    <w:rPr>
                      <w:rFonts w:hint="eastAsia" w:ascii="仿宋" w:hAnsi="仿宋" w:eastAsia="仿宋" w:cs="仿宋"/>
                      <w:color w:val="000000" w:themeColor="text1"/>
                      <w:sz w:val="24"/>
                      <w:szCs w:val="24"/>
                      <w14:textFill>
                        <w14:solidFill>
                          <w14:schemeClr w14:val="tx1"/>
                        </w14:solidFill>
                      </w14:textFill>
                    </w:rPr>
                    <w:t>3.1）</w:t>
                  </w:r>
                </w:p>
                <w:p w14:paraId="659BE103">
                  <w:pPr>
                    <w:adjustRightInd w:val="0"/>
                    <w:snapToGrid w:val="0"/>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kern w:val="0"/>
                      <w:sz w:val="24"/>
                      <w:szCs w:val="24"/>
                    </w:rPr>
                    <w:t>课程目标2：萨克斯</w:t>
                  </w:r>
                  <w:r>
                    <w:rPr>
                      <w:rFonts w:hint="eastAsia" w:ascii="仿宋" w:hAnsi="仿宋" w:eastAsia="仿宋" w:cs="仿宋"/>
                      <w:color w:val="000000" w:themeColor="text1"/>
                      <w:kern w:val="0"/>
                      <w:sz w:val="24"/>
                      <w:szCs w:val="24"/>
                      <w14:textFill>
                        <w14:solidFill>
                          <w14:schemeClr w14:val="tx1"/>
                        </w14:solidFill>
                      </w14:textFill>
                    </w:rPr>
                    <w:t>的演奏与</w:t>
                  </w:r>
                  <w:r>
                    <w:rPr>
                      <w:rFonts w:hint="eastAsia" w:ascii="仿宋" w:hAnsi="仿宋" w:eastAsia="仿宋" w:cs="仿宋"/>
                      <w:color w:val="000000" w:themeColor="text1"/>
                      <w:sz w:val="24"/>
                      <w:szCs w:val="24"/>
                      <w14:textFill>
                        <w14:solidFill>
                          <w14:schemeClr w14:val="tx1"/>
                        </w14:solidFill>
                      </w14:textFill>
                    </w:rPr>
                    <w:t>学习，</w:t>
                  </w:r>
                  <w:r>
                    <w:rPr>
                      <w:rFonts w:hint="eastAsia" w:ascii="仿宋" w:hAnsi="仿宋" w:eastAsia="仿宋" w:cs="仿宋"/>
                      <w:color w:val="000000" w:themeColor="text1"/>
                      <w:kern w:val="0"/>
                      <w:sz w:val="24"/>
                      <w:szCs w:val="24"/>
                      <w14:textFill>
                        <w14:solidFill>
                          <w14:schemeClr w14:val="tx1"/>
                        </w14:solidFill>
                      </w14:textFill>
                    </w:rPr>
                    <w:t>使</w:t>
                  </w:r>
                  <w:r>
                    <w:rPr>
                      <w:rFonts w:hint="eastAsia" w:ascii="仿宋" w:hAnsi="仿宋" w:eastAsia="仿宋" w:cs="仿宋"/>
                      <w:color w:val="000000" w:themeColor="text1"/>
                      <w:sz w:val="24"/>
                      <w:szCs w:val="24"/>
                      <w14:textFill>
                        <w14:solidFill>
                          <w14:schemeClr w14:val="tx1"/>
                        </w14:solidFill>
                      </w14:textFill>
                    </w:rPr>
                    <w:t>学生能够</w:t>
                  </w:r>
                  <w:r>
                    <w:rPr>
                      <w:rFonts w:hint="eastAsia" w:ascii="仿宋" w:hAnsi="仿宋" w:eastAsia="仿宋" w:cs="仿宋"/>
                      <w:color w:val="000000" w:themeColor="text1"/>
                      <w:kern w:val="0"/>
                      <w:sz w:val="24"/>
                      <w:szCs w:val="24"/>
                      <w14:textFill>
                        <w14:solidFill>
                          <w14:schemeClr w14:val="tx1"/>
                        </w14:solidFill>
                      </w14:textFill>
                    </w:rPr>
                    <w:t>较为完整的表现作品的风格和情感，加强萨克斯的演奏能力。（支撑毕业要求</w:t>
                  </w:r>
                  <w:r>
                    <w:rPr>
                      <w:rFonts w:hint="eastAsia" w:ascii="仿宋" w:hAnsi="仿宋" w:eastAsia="仿宋" w:cs="仿宋"/>
                      <w:color w:val="000000" w:themeColor="text1"/>
                      <w:sz w:val="24"/>
                      <w:szCs w:val="24"/>
                      <w14:textFill>
                        <w14:solidFill>
                          <w14:schemeClr w14:val="tx1"/>
                        </w14:solidFill>
                      </w14:textFill>
                    </w:rPr>
                    <w:t>3.1）</w:t>
                  </w:r>
                </w:p>
                <w:p w14:paraId="37F75126">
                  <w:pPr>
                    <w:adjustRightInd w:val="0"/>
                    <w:snapToGrid w:val="0"/>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kern w:val="0"/>
                      <w:sz w:val="24"/>
                      <w:szCs w:val="24"/>
                    </w:rPr>
                    <w:t>课程目标3：</w:t>
                  </w:r>
                  <w:r>
                    <w:rPr>
                      <w:rFonts w:hint="eastAsia" w:ascii="仿宋" w:hAnsi="仿宋" w:eastAsia="仿宋" w:cs="仿宋"/>
                      <w:color w:val="000000" w:themeColor="text1"/>
                      <w:kern w:val="0"/>
                      <w:sz w:val="24"/>
                      <w:szCs w:val="24"/>
                      <w14:textFill>
                        <w14:solidFill>
                          <w14:schemeClr w14:val="tx1"/>
                        </w14:solidFill>
                      </w14:textFill>
                    </w:rPr>
                    <w:t>对掌握了一定基础的学生加强训练，使其会初步的基础教学 （支撑毕业要求</w:t>
                  </w:r>
                  <w:r>
                    <w:rPr>
                      <w:rFonts w:hint="eastAsia" w:ascii="仿宋" w:hAnsi="仿宋" w:eastAsia="仿宋" w:cs="仿宋"/>
                      <w:color w:val="000000" w:themeColor="text1"/>
                      <w:sz w:val="24"/>
                      <w:szCs w:val="24"/>
                      <w14:textFill>
                        <w14:solidFill>
                          <w14:schemeClr w14:val="tx1"/>
                        </w14:solidFill>
                      </w14:textFill>
                    </w:rPr>
                    <w:t>2.3）</w:t>
                  </w:r>
                </w:p>
                <w:p w14:paraId="05294A4D">
                  <w:pPr>
                    <w:adjustRightInd w:val="0"/>
                    <w:snapToGrid w:val="0"/>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kern w:val="0"/>
                      <w:sz w:val="24"/>
                      <w:szCs w:val="24"/>
                    </w:rPr>
                    <w:t>课程目标4：</w:t>
                  </w:r>
                  <w:r>
                    <w:rPr>
                      <w:rFonts w:hint="eastAsia" w:ascii="仿宋" w:hAnsi="仿宋" w:eastAsia="仿宋" w:cs="仿宋"/>
                      <w:color w:val="000000" w:themeColor="text1"/>
                      <w:kern w:val="0"/>
                      <w:sz w:val="24"/>
                      <w:szCs w:val="24"/>
                      <w14:textFill>
                        <w14:solidFill>
                          <w14:schemeClr w14:val="tx1"/>
                        </w14:solidFill>
                      </w14:textFill>
                    </w:rPr>
                    <w:t>能够知晓萨克斯发展的趋势、动态以及与生产实践和社会生活的联系。（支撑毕业要求</w:t>
                  </w:r>
                  <w:r>
                    <w:rPr>
                      <w:rFonts w:hint="eastAsia" w:ascii="仿宋" w:hAnsi="仿宋" w:eastAsia="仿宋" w:cs="仿宋"/>
                      <w:color w:val="000000" w:themeColor="text1"/>
                      <w:sz w:val="24"/>
                      <w:szCs w:val="24"/>
                      <w14:textFill>
                        <w14:solidFill>
                          <w14:schemeClr w14:val="tx1"/>
                        </w14:solidFill>
                      </w14:textFill>
                    </w:rPr>
                    <w:t>8.2）</w:t>
                  </w:r>
                </w:p>
                <w:p w14:paraId="2DE5B861">
                  <w:pPr>
                    <w:adjustRightInd w:val="0"/>
                    <w:snapToGrid w:val="0"/>
                    <w:rPr>
                      <w:rFonts w:hint="eastAsia" w:ascii="仿宋" w:hAnsi="仿宋" w:eastAsia="仿宋" w:cs="仿宋"/>
                      <w:color w:val="000000"/>
                      <w:sz w:val="24"/>
                      <w:szCs w:val="24"/>
                      <w:lang w:eastAsia="zh-TW"/>
                    </w:rPr>
                  </w:pPr>
                  <w:r>
                    <w:rPr>
                      <w:rFonts w:hint="eastAsia" w:ascii="仿宋" w:hAnsi="仿宋" w:eastAsia="仿宋" w:cs="仿宋"/>
                      <w:color w:val="000000"/>
                      <w:kern w:val="0"/>
                      <w:sz w:val="24"/>
                      <w:szCs w:val="24"/>
                    </w:rPr>
                    <w:t>课程目标5：对萨克斯基础理论与实践产生研</w:t>
                  </w:r>
                  <w:r>
                    <w:rPr>
                      <w:rFonts w:hint="eastAsia" w:ascii="仿宋" w:hAnsi="仿宋" w:eastAsia="仿宋" w:cs="仿宋"/>
                      <w:color w:val="000000" w:themeColor="text1"/>
                      <w:kern w:val="0"/>
                      <w:sz w:val="24"/>
                      <w:szCs w:val="24"/>
                      <w14:textFill>
                        <w14:solidFill>
                          <w14:schemeClr w14:val="tx1"/>
                        </w14:solidFill>
                      </w14:textFill>
                    </w:rPr>
                    <w:t>究兴趣。（支撑毕业要求</w:t>
                  </w:r>
                  <w:r>
                    <w:rPr>
                      <w:rFonts w:hint="eastAsia" w:ascii="仿宋" w:hAnsi="仿宋" w:eastAsia="仿宋" w:cs="仿宋"/>
                      <w:color w:val="000000" w:themeColor="text1"/>
                      <w:sz w:val="24"/>
                      <w:szCs w:val="24"/>
                      <w14:textFill>
                        <w14:solidFill>
                          <w14:schemeClr w14:val="tx1"/>
                        </w14:solidFill>
                      </w14:textFill>
                    </w:rPr>
                    <w:t>7.1）</w:t>
                  </w:r>
                </w:p>
              </w:tc>
            </w:tr>
          </w:tbl>
          <w:p w14:paraId="089227FF">
            <w:pPr>
              <w:adjustRightInd w:val="0"/>
              <w:snapToGrid w:val="0"/>
              <w:rPr>
                <w:rFonts w:hint="eastAsia" w:ascii="仿宋" w:hAnsi="仿宋" w:eastAsia="仿宋" w:cs="仿宋"/>
                <w:color w:val="000000" w:themeColor="text1"/>
                <w:sz w:val="24"/>
                <w:szCs w:val="24"/>
                <w:lang w:eastAsia="zh-TW"/>
                <w14:textFill>
                  <w14:solidFill>
                    <w14:schemeClr w14:val="tx1"/>
                  </w14:solidFill>
                </w14:textFill>
              </w:rPr>
            </w:pPr>
          </w:p>
        </w:tc>
      </w:tr>
      <w:tr w14:paraId="2E13FA0D">
        <w:trPr>
          <w:trHeight w:val="642" w:hRule="atLeast"/>
        </w:trPr>
        <w:tc>
          <w:tcPr>
            <w:tcW w:w="1376" w:type="dxa"/>
            <w:vMerge w:val="continue"/>
            <w:shd w:val="clear" w:color="auto" w:fill="FFFFFF"/>
            <w:vAlign w:val="center"/>
          </w:tcPr>
          <w:p w14:paraId="4CAA11D5">
            <w:pPr>
              <w:adjustRightInd w:val="0"/>
              <w:snapToGrid w:val="0"/>
              <w:spacing w:line="240" w:lineRule="atLeast"/>
              <w:jc w:val="center"/>
              <w:rPr>
                <w:rFonts w:hint="eastAsia" w:ascii="仿宋" w:hAnsi="仿宋" w:eastAsia="仿宋" w:cs="仿宋"/>
                <w:color w:val="000000"/>
                <w:sz w:val="24"/>
                <w:szCs w:val="24"/>
              </w:rPr>
            </w:pPr>
          </w:p>
        </w:tc>
        <w:tc>
          <w:tcPr>
            <w:tcW w:w="1174" w:type="dxa"/>
            <w:gridSpan w:val="2"/>
            <w:tcBorders>
              <w:bottom w:val="single" w:color="auto" w:sz="4" w:space="0"/>
            </w:tcBorders>
            <w:shd w:val="clear" w:color="auto" w:fill="FFFFFF"/>
            <w:vAlign w:val="center"/>
          </w:tcPr>
          <w:p w14:paraId="3911427A">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w:t>
            </w:r>
          </w:p>
        </w:tc>
        <w:tc>
          <w:tcPr>
            <w:tcW w:w="4521" w:type="dxa"/>
            <w:gridSpan w:val="7"/>
            <w:tcBorders>
              <w:bottom w:val="single" w:color="auto" w:sz="4" w:space="0"/>
            </w:tcBorders>
            <w:shd w:val="clear" w:color="auto" w:fill="FFFFFF"/>
            <w:vAlign w:val="center"/>
          </w:tcPr>
          <w:p w14:paraId="62DB89B0">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毕业要求分解指标点</w:t>
            </w:r>
          </w:p>
        </w:tc>
        <w:tc>
          <w:tcPr>
            <w:tcW w:w="2077" w:type="dxa"/>
            <w:gridSpan w:val="4"/>
            <w:tcBorders>
              <w:bottom w:val="single" w:color="auto" w:sz="4" w:space="0"/>
            </w:tcBorders>
            <w:shd w:val="clear" w:color="auto" w:fill="FFFFFF"/>
            <w:vAlign w:val="center"/>
          </w:tcPr>
          <w:p w14:paraId="434B6EAA">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毕业要求</w:t>
            </w:r>
          </w:p>
        </w:tc>
      </w:tr>
      <w:tr w14:paraId="0B6ED098">
        <w:trPr>
          <w:trHeight w:val="817" w:hRule="atLeast"/>
        </w:trPr>
        <w:tc>
          <w:tcPr>
            <w:tcW w:w="1376" w:type="dxa"/>
            <w:vMerge w:val="continue"/>
            <w:shd w:val="clear" w:color="auto" w:fill="FFFFFF"/>
            <w:vAlign w:val="center"/>
          </w:tcPr>
          <w:p w14:paraId="0C9C34AF">
            <w:pPr>
              <w:adjustRightInd w:val="0"/>
              <w:snapToGrid w:val="0"/>
              <w:spacing w:line="240" w:lineRule="atLeast"/>
              <w:jc w:val="center"/>
              <w:rPr>
                <w:rFonts w:hint="eastAsia" w:ascii="仿宋" w:hAnsi="仿宋" w:eastAsia="仿宋" w:cs="仿宋"/>
                <w:color w:val="000000"/>
                <w:sz w:val="24"/>
                <w:szCs w:val="24"/>
              </w:rPr>
            </w:pPr>
          </w:p>
        </w:tc>
        <w:tc>
          <w:tcPr>
            <w:tcW w:w="1174" w:type="dxa"/>
            <w:gridSpan w:val="2"/>
            <w:tcBorders>
              <w:bottom w:val="single" w:color="auto" w:sz="4" w:space="0"/>
            </w:tcBorders>
            <w:shd w:val="clear" w:color="auto" w:fill="FFFFFF"/>
            <w:vAlign w:val="center"/>
          </w:tcPr>
          <w:p w14:paraId="04007E7B">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课程目标1</w:t>
            </w:r>
          </w:p>
        </w:tc>
        <w:tc>
          <w:tcPr>
            <w:tcW w:w="4521" w:type="dxa"/>
            <w:gridSpan w:val="7"/>
            <w:vMerge w:val="restart"/>
            <w:shd w:val="clear" w:color="auto" w:fill="FFFFFF"/>
            <w:vAlign w:val="center"/>
          </w:tcPr>
          <w:p w14:paraId="77A03F8E">
            <w:pPr>
              <w:adjustRightInd w:val="0"/>
              <w:snapToGrid w:val="0"/>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3.1.熟练掌握萨克斯及相关专业的基本理论、基本知识和基本实验技能，具备一定的整合管乐专业理论知识和实验实践知识的能力。并具备一定的萨克斯实践的探究能力和创新能力。</w:t>
            </w:r>
          </w:p>
        </w:tc>
        <w:tc>
          <w:tcPr>
            <w:tcW w:w="2077" w:type="dxa"/>
            <w:gridSpan w:val="4"/>
            <w:vMerge w:val="restart"/>
            <w:shd w:val="clear" w:color="auto" w:fill="FFFFFF"/>
            <w:vAlign w:val="center"/>
          </w:tcPr>
          <w:p w14:paraId="791CF55C">
            <w:pPr>
              <w:adjustRightInd w:val="0"/>
              <w:snapToGrid w:val="0"/>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学科素养（3）</w:t>
            </w:r>
          </w:p>
        </w:tc>
      </w:tr>
      <w:tr w14:paraId="020EC19D">
        <w:trPr>
          <w:trHeight w:val="817" w:hRule="atLeast"/>
        </w:trPr>
        <w:tc>
          <w:tcPr>
            <w:tcW w:w="1376" w:type="dxa"/>
            <w:vMerge w:val="continue"/>
            <w:shd w:val="clear" w:color="auto" w:fill="FFFFFF"/>
            <w:vAlign w:val="center"/>
          </w:tcPr>
          <w:p w14:paraId="48608AF7">
            <w:pPr>
              <w:adjustRightInd w:val="0"/>
              <w:snapToGrid w:val="0"/>
              <w:spacing w:line="240" w:lineRule="atLeast"/>
              <w:jc w:val="center"/>
              <w:rPr>
                <w:rFonts w:hint="eastAsia" w:ascii="仿宋" w:hAnsi="仿宋" w:eastAsia="仿宋" w:cs="仿宋"/>
                <w:color w:val="000000"/>
                <w:sz w:val="24"/>
                <w:szCs w:val="24"/>
              </w:rPr>
            </w:pPr>
          </w:p>
        </w:tc>
        <w:tc>
          <w:tcPr>
            <w:tcW w:w="1174" w:type="dxa"/>
            <w:gridSpan w:val="2"/>
            <w:tcBorders>
              <w:bottom w:val="single" w:color="auto" w:sz="4" w:space="0"/>
            </w:tcBorders>
            <w:shd w:val="clear" w:color="auto" w:fill="FFFFFF"/>
            <w:vAlign w:val="center"/>
          </w:tcPr>
          <w:p w14:paraId="09C741E1">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课程目标2</w:t>
            </w:r>
          </w:p>
        </w:tc>
        <w:tc>
          <w:tcPr>
            <w:tcW w:w="4521" w:type="dxa"/>
            <w:gridSpan w:val="7"/>
            <w:vMerge w:val="continue"/>
            <w:tcBorders>
              <w:bottom w:val="single" w:color="auto" w:sz="4" w:space="0"/>
            </w:tcBorders>
            <w:shd w:val="clear" w:color="auto" w:fill="FFFFFF"/>
            <w:vAlign w:val="center"/>
          </w:tcPr>
          <w:p w14:paraId="3480F9CF">
            <w:pPr>
              <w:adjustRightInd w:val="0"/>
              <w:snapToGrid w:val="0"/>
              <w:jc w:val="left"/>
              <w:rPr>
                <w:rFonts w:hint="eastAsia" w:ascii="仿宋" w:hAnsi="仿宋" w:eastAsia="仿宋" w:cs="仿宋"/>
                <w:color w:val="000000" w:themeColor="text1"/>
                <w:sz w:val="24"/>
                <w:szCs w:val="24"/>
                <w14:textFill>
                  <w14:solidFill>
                    <w14:schemeClr w14:val="tx1"/>
                  </w14:solidFill>
                </w14:textFill>
              </w:rPr>
            </w:pPr>
          </w:p>
        </w:tc>
        <w:tc>
          <w:tcPr>
            <w:tcW w:w="2077" w:type="dxa"/>
            <w:gridSpan w:val="4"/>
            <w:vMerge w:val="continue"/>
            <w:tcBorders>
              <w:bottom w:val="single" w:color="auto" w:sz="4" w:space="0"/>
            </w:tcBorders>
            <w:shd w:val="clear" w:color="auto" w:fill="FFFFFF"/>
            <w:vAlign w:val="center"/>
          </w:tcPr>
          <w:p w14:paraId="0182FFD6">
            <w:pPr>
              <w:adjustRightInd w:val="0"/>
              <w:snapToGrid w:val="0"/>
              <w:jc w:val="center"/>
              <w:rPr>
                <w:rFonts w:hint="eastAsia" w:ascii="仿宋" w:hAnsi="仿宋" w:eastAsia="仿宋" w:cs="仿宋"/>
                <w:color w:val="000000" w:themeColor="text1"/>
                <w:sz w:val="24"/>
                <w:szCs w:val="24"/>
                <w14:textFill>
                  <w14:solidFill>
                    <w14:schemeClr w14:val="tx1"/>
                  </w14:solidFill>
                </w14:textFill>
              </w:rPr>
            </w:pPr>
          </w:p>
        </w:tc>
      </w:tr>
      <w:tr w14:paraId="1A439AF0">
        <w:trPr>
          <w:trHeight w:val="817" w:hRule="atLeast"/>
        </w:trPr>
        <w:tc>
          <w:tcPr>
            <w:tcW w:w="1376" w:type="dxa"/>
            <w:vMerge w:val="continue"/>
            <w:shd w:val="clear" w:color="auto" w:fill="FFFFFF"/>
            <w:vAlign w:val="center"/>
          </w:tcPr>
          <w:p w14:paraId="2A578FCF">
            <w:pPr>
              <w:adjustRightInd w:val="0"/>
              <w:snapToGrid w:val="0"/>
              <w:spacing w:line="240" w:lineRule="atLeast"/>
              <w:jc w:val="center"/>
              <w:rPr>
                <w:rFonts w:hint="eastAsia" w:ascii="仿宋" w:hAnsi="仿宋" w:eastAsia="仿宋" w:cs="仿宋"/>
                <w:color w:val="000000"/>
                <w:sz w:val="24"/>
                <w:szCs w:val="24"/>
              </w:rPr>
            </w:pPr>
          </w:p>
        </w:tc>
        <w:tc>
          <w:tcPr>
            <w:tcW w:w="1174" w:type="dxa"/>
            <w:gridSpan w:val="2"/>
            <w:shd w:val="clear" w:color="auto" w:fill="FFFFFF"/>
            <w:vAlign w:val="center"/>
          </w:tcPr>
          <w:p w14:paraId="5FD4DFBA">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课程目标3</w:t>
            </w:r>
          </w:p>
        </w:tc>
        <w:tc>
          <w:tcPr>
            <w:tcW w:w="4521" w:type="dxa"/>
            <w:gridSpan w:val="7"/>
            <w:shd w:val="clear" w:color="auto" w:fill="FFFFFF"/>
            <w:vAlign w:val="center"/>
          </w:tcPr>
          <w:p w14:paraId="5D3A758D">
            <w:pPr>
              <w:adjustRightInd w:val="0"/>
              <w:snapToGrid w:val="0"/>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2.3.</w:t>
            </w:r>
            <w:r>
              <w:rPr>
                <w:rFonts w:hint="eastAsia" w:ascii="仿宋" w:hAnsi="仿宋" w:eastAsia="仿宋" w:cs="仿宋"/>
                <w:color w:val="000000" w:themeColor="text1"/>
                <w:kern w:val="0"/>
                <w:sz w:val="24"/>
                <w:szCs w:val="24"/>
                <w14:textFill>
                  <w14:solidFill>
                    <w14:schemeClr w14:val="tx1"/>
                  </w14:solidFill>
                </w14:textFill>
              </w:rPr>
              <w:t xml:space="preserve"> 认同萨克斯教师在立德树人上的工作意义，</w:t>
            </w:r>
            <w:r>
              <w:rPr>
                <w:rFonts w:hint="eastAsia" w:ascii="仿宋" w:hAnsi="仿宋" w:eastAsia="仿宋" w:cs="仿宋"/>
                <w:color w:val="000000" w:themeColor="text1"/>
                <w:sz w:val="24"/>
                <w:szCs w:val="24"/>
                <w14:textFill>
                  <w14:solidFill>
                    <w14:schemeClr w14:val="tx1"/>
                  </w14:solidFill>
                </w14:textFill>
              </w:rPr>
              <w:t>具有终身学习以适应萨克斯学科的发展及社会发展的意识和愿望。</w:t>
            </w:r>
          </w:p>
        </w:tc>
        <w:tc>
          <w:tcPr>
            <w:tcW w:w="2077" w:type="dxa"/>
            <w:gridSpan w:val="4"/>
            <w:shd w:val="clear" w:color="auto" w:fill="FFFFFF"/>
            <w:vAlign w:val="center"/>
          </w:tcPr>
          <w:p w14:paraId="2C2C81AD">
            <w:pPr>
              <w:adjustRightInd w:val="0"/>
              <w:snapToGrid w:val="0"/>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教育情怀（2）</w:t>
            </w:r>
          </w:p>
        </w:tc>
      </w:tr>
      <w:tr w14:paraId="66CEC691">
        <w:trPr>
          <w:trHeight w:val="817" w:hRule="atLeast"/>
        </w:trPr>
        <w:tc>
          <w:tcPr>
            <w:tcW w:w="1376" w:type="dxa"/>
            <w:vMerge w:val="continue"/>
            <w:shd w:val="clear" w:color="auto" w:fill="FFFFFF"/>
            <w:vAlign w:val="center"/>
          </w:tcPr>
          <w:p w14:paraId="5633FA38">
            <w:pPr>
              <w:adjustRightInd w:val="0"/>
              <w:snapToGrid w:val="0"/>
              <w:spacing w:line="240" w:lineRule="atLeast"/>
              <w:jc w:val="center"/>
              <w:rPr>
                <w:rFonts w:hint="eastAsia" w:ascii="仿宋" w:hAnsi="仿宋" w:eastAsia="仿宋" w:cs="仿宋"/>
                <w:color w:val="000000"/>
                <w:sz w:val="24"/>
                <w:szCs w:val="24"/>
              </w:rPr>
            </w:pPr>
          </w:p>
        </w:tc>
        <w:tc>
          <w:tcPr>
            <w:tcW w:w="1174" w:type="dxa"/>
            <w:gridSpan w:val="2"/>
            <w:shd w:val="clear" w:color="auto" w:fill="FFFFFF"/>
            <w:vAlign w:val="center"/>
          </w:tcPr>
          <w:p w14:paraId="1704AC64">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课程目标4</w:t>
            </w:r>
          </w:p>
        </w:tc>
        <w:tc>
          <w:tcPr>
            <w:tcW w:w="4521" w:type="dxa"/>
            <w:gridSpan w:val="7"/>
            <w:shd w:val="clear" w:color="auto" w:fill="FFFFFF"/>
            <w:vAlign w:val="center"/>
          </w:tcPr>
          <w:p w14:paraId="3D8B0421">
            <w:pPr>
              <w:adjustRightInd w:val="0"/>
              <w:snapToGrid w:val="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8.2.能够通过学习、交流等了解国外的教育理念、中学管乐教学改革和发展的前沿动态。</w:t>
            </w:r>
          </w:p>
        </w:tc>
        <w:tc>
          <w:tcPr>
            <w:tcW w:w="2077" w:type="dxa"/>
            <w:gridSpan w:val="4"/>
            <w:shd w:val="clear" w:color="auto" w:fill="FFFFFF"/>
            <w:vAlign w:val="center"/>
          </w:tcPr>
          <w:p w14:paraId="1D8B1DAD">
            <w:pPr>
              <w:adjustRightInd w:val="0"/>
              <w:snapToGrid w:val="0"/>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沟通合作（8）</w:t>
            </w:r>
          </w:p>
        </w:tc>
      </w:tr>
      <w:tr w14:paraId="16F93E5C">
        <w:trPr>
          <w:trHeight w:val="817" w:hRule="atLeast"/>
        </w:trPr>
        <w:tc>
          <w:tcPr>
            <w:tcW w:w="1376" w:type="dxa"/>
            <w:vMerge w:val="continue"/>
            <w:shd w:val="clear" w:color="auto" w:fill="FFFFFF"/>
            <w:vAlign w:val="center"/>
          </w:tcPr>
          <w:p w14:paraId="65022D0F">
            <w:pPr>
              <w:adjustRightInd w:val="0"/>
              <w:snapToGrid w:val="0"/>
              <w:spacing w:line="240" w:lineRule="atLeast"/>
              <w:jc w:val="center"/>
              <w:rPr>
                <w:rFonts w:hint="eastAsia" w:ascii="仿宋" w:hAnsi="仿宋" w:eastAsia="仿宋" w:cs="仿宋"/>
                <w:color w:val="000000"/>
                <w:sz w:val="24"/>
                <w:szCs w:val="24"/>
              </w:rPr>
            </w:pPr>
          </w:p>
        </w:tc>
        <w:tc>
          <w:tcPr>
            <w:tcW w:w="1174" w:type="dxa"/>
            <w:gridSpan w:val="2"/>
            <w:tcBorders>
              <w:bottom w:val="single" w:color="auto" w:sz="4" w:space="0"/>
            </w:tcBorders>
            <w:shd w:val="clear" w:color="auto" w:fill="FFFFFF"/>
            <w:vAlign w:val="center"/>
          </w:tcPr>
          <w:p w14:paraId="61729F8C">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课程目标5</w:t>
            </w:r>
          </w:p>
        </w:tc>
        <w:tc>
          <w:tcPr>
            <w:tcW w:w="4521" w:type="dxa"/>
            <w:gridSpan w:val="7"/>
            <w:tcBorders>
              <w:bottom w:val="single" w:color="auto" w:sz="4" w:space="0"/>
            </w:tcBorders>
            <w:shd w:val="clear" w:color="auto" w:fill="FFFFFF"/>
            <w:vAlign w:val="center"/>
          </w:tcPr>
          <w:p w14:paraId="1E2FAFAD">
            <w:pPr>
              <w:adjustRightInd w:val="0"/>
              <w:snapToGrid w:val="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7.1.具有发现问题，并通过独立思考判断和自主分析解决萨克斯教学中所存在的问题的能力。</w:t>
            </w:r>
          </w:p>
        </w:tc>
        <w:tc>
          <w:tcPr>
            <w:tcW w:w="2077" w:type="dxa"/>
            <w:gridSpan w:val="4"/>
            <w:tcBorders>
              <w:bottom w:val="single" w:color="auto" w:sz="4" w:space="0"/>
            </w:tcBorders>
            <w:shd w:val="clear" w:color="auto" w:fill="FFFFFF"/>
            <w:vAlign w:val="center"/>
          </w:tcPr>
          <w:p w14:paraId="5192AF81">
            <w:pPr>
              <w:adjustRightInd w:val="0"/>
              <w:snapToGrid w:val="0"/>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学会反思（7）</w:t>
            </w:r>
          </w:p>
        </w:tc>
      </w:tr>
      <w:tr w14:paraId="44F5F29E">
        <w:trPr>
          <w:trHeight w:val="582" w:hRule="atLeast"/>
        </w:trPr>
        <w:tc>
          <w:tcPr>
            <w:tcW w:w="1376" w:type="dxa"/>
            <w:vMerge w:val="restart"/>
            <w:shd w:val="clear" w:color="auto" w:fill="FFFFFF"/>
            <w:vAlign w:val="center"/>
          </w:tcPr>
          <w:p w14:paraId="0E22880D">
            <w:pPr>
              <w:adjustRightInd w:val="0"/>
              <w:snapToGrid w:val="0"/>
              <w:spacing w:line="240" w:lineRule="atLeast"/>
              <w:jc w:val="center"/>
              <w:rPr>
                <w:rFonts w:hint="eastAsia" w:ascii="仿宋" w:hAnsi="仿宋" w:eastAsia="仿宋" w:cs="仿宋"/>
                <w:color w:val="000000"/>
                <w:sz w:val="24"/>
                <w:szCs w:val="24"/>
              </w:rPr>
            </w:pPr>
          </w:p>
          <w:p w14:paraId="0C703DAF">
            <w:pPr>
              <w:adjustRightInd w:val="0"/>
              <w:snapToGrid w:val="0"/>
              <w:spacing w:line="240" w:lineRule="atLeast"/>
              <w:jc w:val="center"/>
              <w:rPr>
                <w:rFonts w:hint="eastAsia" w:ascii="仿宋" w:hAnsi="仿宋" w:eastAsia="仿宋" w:cs="仿宋"/>
                <w:color w:val="000000"/>
                <w:sz w:val="24"/>
                <w:szCs w:val="24"/>
              </w:rPr>
            </w:pPr>
          </w:p>
          <w:p w14:paraId="3CE9E97A">
            <w:pPr>
              <w:adjustRightInd w:val="0"/>
              <w:snapToGrid w:val="0"/>
              <w:spacing w:line="240" w:lineRule="atLeast"/>
              <w:jc w:val="center"/>
              <w:rPr>
                <w:rFonts w:hint="eastAsia" w:ascii="仿宋" w:hAnsi="仿宋" w:eastAsia="仿宋" w:cs="仿宋"/>
                <w:color w:val="000000"/>
                <w:sz w:val="24"/>
                <w:szCs w:val="24"/>
              </w:rPr>
            </w:pPr>
          </w:p>
          <w:p w14:paraId="29953A38">
            <w:pPr>
              <w:adjustRightInd w:val="0"/>
              <w:snapToGrid w:val="0"/>
              <w:spacing w:line="240" w:lineRule="atLeast"/>
              <w:jc w:val="center"/>
              <w:rPr>
                <w:rFonts w:hint="eastAsia" w:ascii="仿宋" w:hAnsi="仿宋" w:eastAsia="仿宋" w:cs="仿宋"/>
                <w:color w:val="000000"/>
                <w:sz w:val="24"/>
                <w:szCs w:val="24"/>
              </w:rPr>
            </w:pPr>
          </w:p>
          <w:p w14:paraId="10C81C7E">
            <w:pPr>
              <w:adjustRightInd w:val="0"/>
              <w:snapToGrid w:val="0"/>
              <w:spacing w:line="240" w:lineRule="atLeast"/>
              <w:jc w:val="center"/>
              <w:rPr>
                <w:rFonts w:hint="eastAsia" w:ascii="仿宋" w:hAnsi="仿宋" w:eastAsia="仿宋" w:cs="仿宋"/>
                <w:color w:val="000000"/>
                <w:sz w:val="24"/>
                <w:szCs w:val="24"/>
              </w:rPr>
            </w:pPr>
          </w:p>
          <w:p w14:paraId="7CB67498">
            <w:pPr>
              <w:adjustRightInd w:val="0"/>
              <w:snapToGrid w:val="0"/>
              <w:spacing w:line="240" w:lineRule="atLeast"/>
              <w:jc w:val="center"/>
              <w:rPr>
                <w:rFonts w:hint="eastAsia" w:ascii="仿宋" w:hAnsi="仿宋" w:eastAsia="仿宋" w:cs="仿宋"/>
                <w:color w:val="000000"/>
                <w:sz w:val="24"/>
                <w:szCs w:val="24"/>
              </w:rPr>
            </w:pPr>
          </w:p>
          <w:p w14:paraId="2985C2C9">
            <w:pPr>
              <w:adjustRightInd w:val="0"/>
              <w:snapToGrid w:val="0"/>
              <w:spacing w:line="240" w:lineRule="atLeast"/>
              <w:jc w:val="center"/>
              <w:rPr>
                <w:rFonts w:hint="eastAsia" w:ascii="仿宋" w:hAnsi="仿宋" w:eastAsia="仿宋" w:cs="仿宋"/>
                <w:color w:val="000000"/>
                <w:sz w:val="24"/>
                <w:szCs w:val="24"/>
              </w:rPr>
            </w:pPr>
          </w:p>
          <w:p w14:paraId="5BAA284E">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F</w:t>
            </w:r>
          </w:p>
          <w:p w14:paraId="4476DC4A">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实践教学内容</w:t>
            </w:r>
          </w:p>
          <w:p w14:paraId="744144A7">
            <w:pPr>
              <w:adjustRightInd w:val="0"/>
              <w:snapToGrid w:val="0"/>
              <w:spacing w:line="240" w:lineRule="atLeast"/>
              <w:jc w:val="center"/>
              <w:rPr>
                <w:rFonts w:hint="eastAsia" w:ascii="仿宋" w:hAnsi="仿宋" w:eastAsia="仿宋" w:cs="仿宋"/>
                <w:color w:val="000000"/>
                <w:sz w:val="24"/>
                <w:szCs w:val="24"/>
              </w:rPr>
            </w:pPr>
          </w:p>
          <w:p w14:paraId="05EB427B">
            <w:pPr>
              <w:adjustRightInd w:val="0"/>
              <w:snapToGrid w:val="0"/>
              <w:spacing w:line="240" w:lineRule="atLeast"/>
              <w:jc w:val="center"/>
              <w:rPr>
                <w:rFonts w:hint="eastAsia" w:ascii="仿宋" w:hAnsi="仿宋" w:eastAsia="仿宋" w:cs="仿宋"/>
                <w:color w:val="000000"/>
                <w:sz w:val="24"/>
                <w:szCs w:val="24"/>
              </w:rPr>
            </w:pPr>
          </w:p>
          <w:p w14:paraId="25853FB5">
            <w:pPr>
              <w:adjustRightInd w:val="0"/>
              <w:snapToGrid w:val="0"/>
              <w:spacing w:line="240" w:lineRule="atLeast"/>
              <w:jc w:val="center"/>
              <w:rPr>
                <w:rFonts w:hint="eastAsia" w:ascii="仿宋" w:hAnsi="仿宋" w:eastAsia="仿宋" w:cs="仿宋"/>
                <w:color w:val="000000"/>
                <w:sz w:val="24"/>
                <w:szCs w:val="24"/>
              </w:rPr>
            </w:pPr>
          </w:p>
          <w:p w14:paraId="0062C5FA">
            <w:pPr>
              <w:adjustRightInd w:val="0"/>
              <w:snapToGrid w:val="0"/>
              <w:spacing w:line="240" w:lineRule="atLeast"/>
              <w:jc w:val="center"/>
              <w:rPr>
                <w:rFonts w:hint="eastAsia" w:ascii="仿宋" w:hAnsi="仿宋" w:eastAsia="仿宋" w:cs="仿宋"/>
                <w:color w:val="000000"/>
                <w:sz w:val="24"/>
                <w:szCs w:val="24"/>
              </w:rPr>
            </w:pPr>
          </w:p>
          <w:p w14:paraId="2BA30F95">
            <w:pPr>
              <w:adjustRightInd w:val="0"/>
              <w:snapToGrid w:val="0"/>
              <w:spacing w:line="240" w:lineRule="atLeast"/>
              <w:jc w:val="center"/>
              <w:rPr>
                <w:rFonts w:hint="eastAsia" w:ascii="仿宋" w:hAnsi="仿宋" w:eastAsia="仿宋" w:cs="仿宋"/>
                <w:color w:val="000000"/>
                <w:sz w:val="24"/>
                <w:szCs w:val="24"/>
              </w:rPr>
            </w:pPr>
          </w:p>
          <w:p w14:paraId="7D201AD7">
            <w:pPr>
              <w:adjustRightInd w:val="0"/>
              <w:snapToGrid w:val="0"/>
              <w:spacing w:line="240" w:lineRule="atLeast"/>
              <w:rPr>
                <w:rFonts w:hint="eastAsia" w:ascii="仿宋" w:hAnsi="仿宋" w:eastAsia="仿宋" w:cs="仿宋"/>
                <w:color w:val="000000"/>
                <w:sz w:val="24"/>
                <w:szCs w:val="24"/>
              </w:rPr>
            </w:pPr>
          </w:p>
          <w:p w14:paraId="67BE5F02">
            <w:pPr>
              <w:adjustRightInd w:val="0"/>
              <w:snapToGrid w:val="0"/>
              <w:spacing w:line="240" w:lineRule="atLeast"/>
              <w:jc w:val="center"/>
              <w:rPr>
                <w:rFonts w:hint="eastAsia" w:ascii="仿宋" w:hAnsi="仿宋" w:eastAsia="仿宋" w:cs="仿宋"/>
                <w:color w:val="000000"/>
                <w:sz w:val="24"/>
                <w:szCs w:val="24"/>
              </w:rPr>
            </w:pPr>
          </w:p>
          <w:p w14:paraId="199349FF">
            <w:pPr>
              <w:adjustRightInd w:val="0"/>
              <w:snapToGrid w:val="0"/>
              <w:spacing w:line="240" w:lineRule="atLeast"/>
              <w:jc w:val="center"/>
              <w:rPr>
                <w:rFonts w:hint="eastAsia" w:ascii="仿宋" w:hAnsi="仿宋" w:eastAsia="仿宋" w:cs="仿宋"/>
                <w:color w:val="000000"/>
                <w:sz w:val="24"/>
                <w:szCs w:val="24"/>
              </w:rPr>
            </w:pPr>
          </w:p>
          <w:p w14:paraId="61C5437D">
            <w:pPr>
              <w:adjustRightInd w:val="0"/>
              <w:snapToGrid w:val="0"/>
              <w:spacing w:line="240" w:lineRule="atLeast"/>
              <w:jc w:val="center"/>
              <w:rPr>
                <w:rFonts w:hint="eastAsia" w:ascii="仿宋" w:hAnsi="仿宋" w:eastAsia="仿宋" w:cs="仿宋"/>
                <w:color w:val="000000"/>
                <w:sz w:val="24"/>
                <w:szCs w:val="24"/>
              </w:rPr>
            </w:pPr>
          </w:p>
          <w:p w14:paraId="33A4A0FC">
            <w:pPr>
              <w:adjustRightInd w:val="0"/>
              <w:snapToGrid w:val="0"/>
              <w:spacing w:line="240" w:lineRule="atLeast"/>
              <w:jc w:val="center"/>
              <w:rPr>
                <w:rFonts w:hint="eastAsia" w:ascii="仿宋" w:hAnsi="仿宋" w:eastAsia="仿宋" w:cs="仿宋"/>
                <w:color w:val="000000"/>
                <w:sz w:val="24"/>
                <w:szCs w:val="24"/>
              </w:rPr>
            </w:pPr>
          </w:p>
          <w:p w14:paraId="7EE878FC">
            <w:pPr>
              <w:adjustRightInd w:val="0"/>
              <w:snapToGrid w:val="0"/>
              <w:spacing w:line="240" w:lineRule="atLeast"/>
              <w:jc w:val="center"/>
              <w:rPr>
                <w:rFonts w:hint="eastAsia" w:ascii="仿宋" w:hAnsi="仿宋" w:eastAsia="仿宋" w:cs="仿宋"/>
                <w:color w:val="000000"/>
                <w:sz w:val="24"/>
                <w:szCs w:val="24"/>
              </w:rPr>
            </w:pPr>
          </w:p>
          <w:p w14:paraId="068406B3">
            <w:pPr>
              <w:adjustRightInd w:val="0"/>
              <w:snapToGrid w:val="0"/>
              <w:spacing w:line="240" w:lineRule="atLeast"/>
              <w:rPr>
                <w:rFonts w:hint="eastAsia" w:ascii="仿宋" w:hAnsi="仿宋" w:eastAsia="仿宋" w:cs="仿宋"/>
                <w:color w:val="000000"/>
                <w:sz w:val="24"/>
                <w:szCs w:val="24"/>
              </w:rPr>
            </w:pPr>
          </w:p>
          <w:p w14:paraId="524F50E2">
            <w:pPr>
              <w:adjustRightInd w:val="0"/>
              <w:snapToGrid w:val="0"/>
              <w:spacing w:line="240" w:lineRule="atLeast"/>
              <w:rPr>
                <w:rFonts w:hint="eastAsia" w:ascii="仿宋" w:hAnsi="仿宋" w:eastAsia="仿宋" w:cs="仿宋"/>
                <w:color w:val="000000"/>
                <w:sz w:val="24"/>
                <w:szCs w:val="24"/>
              </w:rPr>
            </w:pPr>
          </w:p>
          <w:p w14:paraId="4F3E5D87">
            <w:pPr>
              <w:adjustRightInd w:val="0"/>
              <w:snapToGrid w:val="0"/>
              <w:spacing w:line="240" w:lineRule="atLeast"/>
              <w:rPr>
                <w:rFonts w:hint="eastAsia" w:ascii="仿宋" w:hAnsi="仿宋" w:eastAsia="仿宋" w:cs="仿宋"/>
                <w:color w:val="000000"/>
                <w:sz w:val="24"/>
                <w:szCs w:val="24"/>
              </w:rPr>
            </w:pPr>
          </w:p>
          <w:p w14:paraId="31CF8A8C">
            <w:pPr>
              <w:adjustRightInd w:val="0"/>
              <w:snapToGrid w:val="0"/>
              <w:spacing w:line="240" w:lineRule="atLeast"/>
              <w:jc w:val="center"/>
              <w:rPr>
                <w:rFonts w:hint="eastAsia" w:ascii="仿宋" w:hAnsi="仿宋" w:eastAsia="仿宋" w:cs="仿宋"/>
                <w:color w:val="000000"/>
                <w:sz w:val="24"/>
                <w:szCs w:val="24"/>
              </w:rPr>
            </w:pPr>
          </w:p>
          <w:p w14:paraId="64B536F3">
            <w:pPr>
              <w:adjustRightInd w:val="0"/>
              <w:snapToGrid w:val="0"/>
              <w:spacing w:line="240" w:lineRule="atLeast"/>
              <w:jc w:val="center"/>
              <w:rPr>
                <w:rFonts w:hint="eastAsia" w:ascii="仿宋" w:hAnsi="仿宋" w:eastAsia="仿宋" w:cs="仿宋"/>
                <w:color w:val="000000"/>
                <w:sz w:val="24"/>
                <w:szCs w:val="24"/>
              </w:rPr>
            </w:pPr>
          </w:p>
          <w:p w14:paraId="1747834C">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G</w:t>
            </w:r>
          </w:p>
        </w:tc>
        <w:tc>
          <w:tcPr>
            <w:tcW w:w="5695" w:type="dxa"/>
            <w:gridSpan w:val="9"/>
            <w:shd w:val="clear" w:color="auto" w:fill="FFFFFF"/>
            <w:vAlign w:val="center"/>
          </w:tcPr>
          <w:p w14:paraId="4EF9F3AB">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章节学习内容与学习要求</w:t>
            </w:r>
          </w:p>
        </w:tc>
        <w:tc>
          <w:tcPr>
            <w:tcW w:w="1153" w:type="dxa"/>
            <w:gridSpan w:val="2"/>
            <w:shd w:val="clear" w:color="auto" w:fill="FFFFFF"/>
            <w:vAlign w:val="center"/>
          </w:tcPr>
          <w:p w14:paraId="49BB96C2">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支撑课程</w:t>
            </w:r>
          </w:p>
          <w:p w14:paraId="725008BA">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目标</w:t>
            </w:r>
          </w:p>
        </w:tc>
        <w:tc>
          <w:tcPr>
            <w:tcW w:w="924" w:type="dxa"/>
            <w:gridSpan w:val="2"/>
            <w:shd w:val="clear" w:color="auto" w:fill="FFFFFF"/>
            <w:vAlign w:val="center"/>
          </w:tcPr>
          <w:p w14:paraId="1DAC1483">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学时</w:t>
            </w:r>
          </w:p>
          <w:p w14:paraId="080BDD56">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分配</w:t>
            </w:r>
          </w:p>
        </w:tc>
      </w:tr>
      <w:tr w14:paraId="6D4BB579">
        <w:trPr>
          <w:trHeight w:val="90" w:hRule="atLeast"/>
        </w:trPr>
        <w:tc>
          <w:tcPr>
            <w:tcW w:w="1376" w:type="dxa"/>
            <w:vMerge w:val="continue"/>
            <w:shd w:val="clear" w:color="auto" w:fill="FFFFFF"/>
            <w:vAlign w:val="center"/>
          </w:tcPr>
          <w:p w14:paraId="51ACEC17">
            <w:pPr>
              <w:adjustRightInd w:val="0"/>
              <w:snapToGrid w:val="0"/>
              <w:spacing w:line="240" w:lineRule="atLeast"/>
              <w:jc w:val="right"/>
              <w:rPr>
                <w:rFonts w:hint="eastAsia" w:ascii="仿宋" w:hAnsi="仿宋" w:eastAsia="仿宋" w:cs="仿宋"/>
                <w:color w:val="000000"/>
                <w:sz w:val="24"/>
                <w:szCs w:val="24"/>
              </w:rPr>
            </w:pPr>
          </w:p>
        </w:tc>
        <w:tc>
          <w:tcPr>
            <w:tcW w:w="5695" w:type="dxa"/>
            <w:gridSpan w:val="9"/>
            <w:vAlign w:val="center"/>
          </w:tcPr>
          <w:p w14:paraId="3F3C4EC9">
            <w:pPr>
              <w:widowControl/>
              <w:ind w:firstLine="470" w:firstLineChars="196"/>
              <w:rPr>
                <w:rFonts w:hint="eastAsia" w:ascii="宋体" w:hAnsi="宋体" w:cs="宋体"/>
                <w:bCs/>
                <w:kern w:val="0"/>
                <w:sz w:val="24"/>
                <w:szCs w:val="24"/>
              </w:rPr>
            </w:pPr>
          </w:p>
          <w:p w14:paraId="48E1BEA6">
            <w:pPr>
              <w:widowControl/>
              <w:rPr>
                <w:rFonts w:hint="eastAsia" w:ascii="宋体" w:hAnsi="宋体"/>
                <w:b/>
                <w:szCs w:val="21"/>
              </w:rPr>
            </w:pPr>
            <w:r>
              <w:rPr>
                <w:rFonts w:hint="eastAsia" w:ascii="宋体" w:hAnsi="宋体" w:cs="宋体"/>
                <w:bCs/>
                <w:kern w:val="0"/>
                <w:sz w:val="24"/>
                <w:szCs w:val="24"/>
              </w:rPr>
              <w:t>第一章</w:t>
            </w:r>
            <w:r>
              <w:rPr>
                <w:rFonts w:ascii="宋体" w:hAnsi="宋体" w:cs="宋体"/>
                <w:bCs/>
                <w:kern w:val="0"/>
                <w:sz w:val="24"/>
                <w:szCs w:val="24"/>
              </w:rPr>
              <w:t xml:space="preserve"> </w:t>
            </w:r>
            <w:r>
              <w:rPr>
                <w:rFonts w:hint="eastAsia" w:ascii="宋体" w:hAnsi="宋体" w:cs="宋体"/>
                <w:bCs/>
                <w:kern w:val="0"/>
                <w:sz w:val="24"/>
                <w:szCs w:val="24"/>
              </w:rPr>
              <w:t xml:space="preserve">爵士演奏法与传统演奏法的区别 </w:t>
            </w:r>
            <w:r>
              <w:rPr>
                <w:rFonts w:hint="eastAsia" w:ascii="宋体" w:hAnsi="宋体"/>
                <w:bCs/>
                <w:sz w:val="24"/>
                <w:szCs w:val="24"/>
              </w:rPr>
              <w:t>典型摇摆节奏练习</w:t>
            </w:r>
          </w:p>
          <w:p w14:paraId="2305DFE5">
            <w:pPr>
              <w:widowControl/>
              <w:ind w:firstLine="480" w:firstLineChars="200"/>
              <w:rPr>
                <w:rFonts w:hint="eastAsia" w:ascii="仿宋" w:hAnsi="仿宋" w:eastAsia="仿宋" w:cs="仿宋"/>
                <w:kern w:val="0"/>
                <w:sz w:val="24"/>
                <w:szCs w:val="24"/>
              </w:rPr>
            </w:pPr>
            <w:r>
              <w:rPr>
                <w:rFonts w:hint="eastAsia" w:ascii="仿宋" w:hAnsi="仿宋" w:eastAsia="仿宋" w:cs="仿宋"/>
                <w:bCs/>
                <w:kern w:val="0"/>
                <w:sz w:val="24"/>
                <w:szCs w:val="24"/>
              </w:rPr>
              <w:t>1．学习目的：通过本章的学习，使学生了解两种演奏法的区别，学习爵士演奏法。</w:t>
            </w:r>
          </w:p>
          <w:p w14:paraId="1A2D305B">
            <w:pPr>
              <w:widowControl/>
              <w:ind w:firstLine="480" w:firstLineChars="200"/>
              <w:rPr>
                <w:rFonts w:hint="eastAsia" w:ascii="仿宋" w:hAnsi="仿宋" w:eastAsia="仿宋" w:cs="仿宋"/>
                <w:kern w:val="0"/>
                <w:sz w:val="24"/>
                <w:szCs w:val="24"/>
              </w:rPr>
            </w:pPr>
            <w:r>
              <w:rPr>
                <w:rFonts w:hint="eastAsia" w:ascii="仿宋" w:hAnsi="仿宋" w:eastAsia="仿宋" w:cs="仿宋"/>
                <w:bCs/>
                <w:kern w:val="0"/>
                <w:sz w:val="24"/>
                <w:szCs w:val="24"/>
              </w:rPr>
              <w:t>2．基本内容</w:t>
            </w:r>
            <w:r>
              <w:rPr>
                <w:rFonts w:hint="eastAsia" w:ascii="仿宋" w:hAnsi="仿宋" w:eastAsia="仿宋" w:cs="仿宋"/>
                <w:kern w:val="0"/>
                <w:sz w:val="24"/>
                <w:szCs w:val="24"/>
              </w:rPr>
              <w:t>要求：爵士演奏法与传统演奏法的不同。</w:t>
            </w:r>
          </w:p>
          <w:p w14:paraId="5BD65D12">
            <w:pPr>
              <w:widowControl/>
              <w:ind w:firstLine="480" w:firstLineChars="200"/>
              <w:rPr>
                <w:rFonts w:hint="eastAsia" w:ascii="仿宋" w:hAnsi="仿宋" w:eastAsia="仿宋" w:cs="仿宋"/>
                <w:kern w:val="0"/>
                <w:sz w:val="24"/>
                <w:szCs w:val="24"/>
              </w:rPr>
            </w:pPr>
            <w:r>
              <w:rPr>
                <w:rFonts w:hint="eastAsia" w:ascii="仿宋" w:hAnsi="仿宋" w:eastAsia="仿宋" w:cs="仿宋"/>
                <w:kern w:val="0"/>
                <w:sz w:val="24"/>
                <w:szCs w:val="24"/>
              </w:rPr>
              <w:t>3. 重点和难点传统演奏法到爵士演奏法的转换。</w:t>
            </w:r>
          </w:p>
          <w:p w14:paraId="603E4BA7">
            <w:pPr>
              <w:widowControl/>
              <w:ind w:firstLine="480" w:firstLineChars="200"/>
              <w:rPr>
                <w:rFonts w:hint="eastAsia" w:ascii="仿宋" w:hAnsi="仿宋" w:eastAsia="仿宋" w:cs="仿宋"/>
                <w:bCs/>
                <w:kern w:val="0"/>
                <w:sz w:val="24"/>
                <w:szCs w:val="24"/>
              </w:rPr>
            </w:pPr>
            <w:r>
              <w:rPr>
                <w:rFonts w:hint="eastAsia" w:ascii="仿宋" w:hAnsi="仿宋" w:eastAsia="仿宋" w:cs="仿宋"/>
                <w:bCs/>
                <w:sz w:val="24"/>
                <w:szCs w:val="24"/>
              </w:rPr>
              <w:t>4.学习目的：</w:t>
            </w:r>
            <w:r>
              <w:rPr>
                <w:rFonts w:hint="eastAsia" w:ascii="仿宋" w:hAnsi="仿宋" w:eastAsia="仿宋" w:cs="仿宋"/>
                <w:kern w:val="0"/>
                <w:sz w:val="24"/>
                <w:szCs w:val="24"/>
              </w:rPr>
              <w:t>通过本章的学习，使学生</w:t>
            </w:r>
            <w:r>
              <w:rPr>
                <w:rFonts w:hint="eastAsia" w:ascii="仿宋" w:hAnsi="仿宋" w:eastAsia="仿宋" w:cs="仿宋"/>
                <w:sz w:val="24"/>
                <w:szCs w:val="24"/>
              </w:rPr>
              <w:t>掌握爵士乐节拍的练习。</w:t>
            </w:r>
          </w:p>
          <w:p w14:paraId="64639860">
            <w:pPr>
              <w:widowControl/>
              <w:ind w:firstLine="480" w:firstLineChars="200"/>
              <w:rPr>
                <w:rFonts w:hint="eastAsia" w:ascii="仿宋" w:hAnsi="仿宋" w:eastAsia="仿宋" w:cs="仿宋"/>
                <w:kern w:val="0"/>
                <w:sz w:val="24"/>
                <w:szCs w:val="24"/>
              </w:rPr>
            </w:pPr>
            <w:r>
              <w:rPr>
                <w:rFonts w:hint="eastAsia" w:ascii="仿宋" w:hAnsi="仿宋" w:eastAsia="仿宋" w:cs="仿宋"/>
                <w:kern w:val="0"/>
                <w:sz w:val="24"/>
                <w:szCs w:val="24"/>
              </w:rPr>
              <w:t xml:space="preserve">5. 基本内容要求：根据音乐进行摇摆练习。 </w:t>
            </w:r>
          </w:p>
          <w:p w14:paraId="5DAE9A73">
            <w:pPr>
              <w:widowControl/>
              <w:ind w:firstLine="480" w:firstLineChars="200"/>
              <w:rPr>
                <w:rFonts w:hint="eastAsia" w:ascii="仿宋" w:hAnsi="仿宋" w:eastAsia="仿宋" w:cs="仿宋"/>
                <w:kern w:val="0"/>
                <w:sz w:val="24"/>
                <w:szCs w:val="24"/>
              </w:rPr>
            </w:pPr>
            <w:r>
              <w:rPr>
                <w:rFonts w:hint="eastAsia" w:ascii="仿宋" w:hAnsi="仿宋" w:eastAsia="仿宋" w:cs="仿宋"/>
                <w:kern w:val="0"/>
                <w:sz w:val="24"/>
                <w:szCs w:val="24"/>
              </w:rPr>
              <w:t>6. 重点和难点：身体协调，自然</w:t>
            </w:r>
          </w:p>
          <w:p w14:paraId="79F4E509">
            <w:pPr>
              <w:widowControl/>
              <w:ind w:firstLine="240" w:firstLineChars="100"/>
              <w:rPr>
                <w:rFonts w:hint="eastAsia" w:ascii="仿宋" w:hAnsi="仿宋" w:cs="仿宋"/>
                <w:bCs/>
                <w:color w:val="4472C4"/>
                <w:sz w:val="24"/>
                <w:szCs w:val="24"/>
              </w:rPr>
            </w:pPr>
          </w:p>
        </w:tc>
        <w:tc>
          <w:tcPr>
            <w:tcW w:w="1153" w:type="dxa"/>
            <w:gridSpan w:val="2"/>
            <w:vAlign w:val="center"/>
          </w:tcPr>
          <w:p w14:paraId="0074552B">
            <w:pPr>
              <w:widowControl/>
              <w:adjustRightInd w:val="0"/>
              <w:snapToGrid w:val="0"/>
              <w:jc w:val="center"/>
              <w:rPr>
                <w:rFonts w:hint="eastAsia" w:ascii="仿宋" w:hAnsi="仿宋" w:eastAsia="仿宋" w:cs="仿宋"/>
                <w:bCs/>
                <w:color w:val="4472C4"/>
                <w:sz w:val="24"/>
                <w:szCs w:val="24"/>
              </w:rPr>
            </w:pPr>
            <w:r>
              <w:rPr>
                <w:rFonts w:hint="eastAsia" w:ascii="仿宋" w:hAnsi="仿宋" w:eastAsia="仿宋" w:cs="仿宋"/>
                <w:bCs/>
                <w:color w:val="000000" w:themeColor="text1"/>
                <w:sz w:val="24"/>
                <w:szCs w:val="24"/>
                <w14:textFill>
                  <w14:solidFill>
                    <w14:schemeClr w14:val="tx1"/>
                  </w14:solidFill>
                </w14:textFill>
              </w:rPr>
              <w:t>支撑课程目标1、2、3</w:t>
            </w:r>
          </w:p>
        </w:tc>
        <w:tc>
          <w:tcPr>
            <w:tcW w:w="924" w:type="dxa"/>
            <w:gridSpan w:val="2"/>
            <w:shd w:val="clear" w:color="auto" w:fill="FFFFFF"/>
            <w:vAlign w:val="center"/>
          </w:tcPr>
          <w:p w14:paraId="590148C1">
            <w:pPr>
              <w:adjustRightInd w:val="0"/>
              <w:snapToGrid w:val="0"/>
              <w:jc w:val="center"/>
              <w:rPr>
                <w:rFonts w:hint="eastAsia" w:ascii="仿宋" w:hAnsi="仿宋" w:eastAsia="仿宋" w:cs="仿宋"/>
                <w:color w:val="4472C4"/>
                <w:sz w:val="24"/>
                <w:szCs w:val="24"/>
              </w:rPr>
            </w:pPr>
            <w:r>
              <w:rPr>
                <w:rFonts w:hint="eastAsia" w:ascii="仿宋" w:hAnsi="仿宋" w:eastAsia="仿宋" w:cs="仿宋"/>
                <w:color w:val="4472C4"/>
                <w:sz w:val="24"/>
                <w:szCs w:val="24"/>
              </w:rPr>
              <w:t>12</w:t>
            </w:r>
          </w:p>
        </w:tc>
      </w:tr>
      <w:tr w14:paraId="7DAB97A1">
        <w:trPr>
          <w:trHeight w:val="454" w:hRule="atLeast"/>
        </w:trPr>
        <w:tc>
          <w:tcPr>
            <w:tcW w:w="1376" w:type="dxa"/>
            <w:vMerge w:val="continue"/>
            <w:shd w:val="clear" w:color="auto" w:fill="FFFFFF"/>
            <w:vAlign w:val="center"/>
          </w:tcPr>
          <w:p w14:paraId="62A3755C">
            <w:pPr>
              <w:adjustRightInd w:val="0"/>
              <w:snapToGrid w:val="0"/>
              <w:spacing w:line="240" w:lineRule="atLeast"/>
              <w:jc w:val="right"/>
              <w:rPr>
                <w:rFonts w:hint="eastAsia" w:ascii="仿宋" w:hAnsi="仿宋" w:eastAsia="仿宋" w:cs="仿宋"/>
                <w:color w:val="000000"/>
                <w:sz w:val="24"/>
                <w:szCs w:val="24"/>
              </w:rPr>
            </w:pPr>
          </w:p>
        </w:tc>
        <w:tc>
          <w:tcPr>
            <w:tcW w:w="5695" w:type="dxa"/>
            <w:gridSpan w:val="9"/>
            <w:vAlign w:val="center"/>
          </w:tcPr>
          <w:p w14:paraId="174D6F48">
            <w:pPr>
              <w:widowControl/>
              <w:rPr>
                <w:rFonts w:hint="eastAsia" w:ascii="宋体" w:hAnsi="宋体" w:cs="宋体"/>
                <w:bCs/>
                <w:sz w:val="24"/>
                <w:szCs w:val="24"/>
              </w:rPr>
            </w:pPr>
          </w:p>
          <w:p w14:paraId="0E4D7B0D">
            <w:pPr>
              <w:widowControl/>
              <w:rPr>
                <w:rFonts w:hint="eastAsia" w:ascii="宋体" w:hAnsi="宋体" w:cs="宋体"/>
                <w:bCs/>
                <w:sz w:val="24"/>
                <w:szCs w:val="24"/>
              </w:rPr>
            </w:pPr>
            <w:r>
              <w:rPr>
                <w:rFonts w:hint="eastAsia" w:ascii="宋体" w:hAnsi="宋体" w:cs="宋体"/>
                <w:bCs/>
                <w:sz w:val="24"/>
                <w:szCs w:val="24"/>
              </w:rPr>
              <w:t xml:space="preserve">第二章 </w:t>
            </w:r>
            <w:r>
              <w:rPr>
                <w:rFonts w:hint="eastAsia" w:ascii="宋体" w:hAnsi="宋体" w:cs="宋体"/>
                <w:bCs/>
                <w:kern w:val="0"/>
                <w:sz w:val="24"/>
                <w:szCs w:val="24"/>
              </w:rPr>
              <w:t xml:space="preserve">爵士音乐结构 </w:t>
            </w:r>
            <w:r>
              <w:rPr>
                <w:rFonts w:hint="eastAsia" w:ascii="宋体" w:hAnsi="宋体" w:cs="宋体"/>
                <w:bCs/>
                <w:sz w:val="24"/>
                <w:szCs w:val="24"/>
              </w:rPr>
              <w:t>各种特殊符号的演奏法</w:t>
            </w:r>
          </w:p>
          <w:p w14:paraId="602AF411">
            <w:pPr>
              <w:widowControl/>
              <w:ind w:firstLine="480" w:firstLineChars="200"/>
              <w:rPr>
                <w:rFonts w:hint="eastAsia" w:ascii="仿宋" w:hAnsi="仿宋" w:eastAsia="仿宋" w:cs="仿宋"/>
                <w:bCs/>
                <w:sz w:val="24"/>
                <w:szCs w:val="24"/>
              </w:rPr>
            </w:pPr>
            <w:r>
              <w:rPr>
                <w:rFonts w:hint="eastAsia" w:ascii="仿宋" w:hAnsi="仿宋" w:eastAsia="仿宋" w:cs="仿宋"/>
                <w:bCs/>
                <w:sz w:val="24"/>
                <w:szCs w:val="24"/>
              </w:rPr>
              <w:t>1. 学习目的：</w:t>
            </w:r>
            <w:r>
              <w:rPr>
                <w:rFonts w:hint="eastAsia" w:ascii="仿宋" w:hAnsi="仿宋" w:eastAsia="仿宋" w:cs="仿宋"/>
                <w:kern w:val="0"/>
                <w:sz w:val="24"/>
                <w:szCs w:val="24"/>
              </w:rPr>
              <w:t>通过本章的学习，使学生掌握</w:t>
            </w:r>
            <w:r>
              <w:rPr>
                <w:rFonts w:hint="eastAsia" w:ascii="仿宋" w:hAnsi="仿宋" w:eastAsia="仿宋" w:cs="仿宋"/>
                <w:sz w:val="24"/>
                <w:szCs w:val="24"/>
              </w:rPr>
              <w:t>爵士乐的音乐结构。</w:t>
            </w:r>
          </w:p>
          <w:p w14:paraId="4AE09C67">
            <w:pPr>
              <w:widowControl/>
              <w:ind w:firstLine="480" w:firstLineChars="200"/>
              <w:rPr>
                <w:rFonts w:hint="eastAsia" w:ascii="仿宋" w:hAnsi="仿宋" w:eastAsia="仿宋" w:cs="仿宋"/>
                <w:bCs/>
                <w:sz w:val="24"/>
                <w:szCs w:val="24"/>
              </w:rPr>
            </w:pPr>
            <w:r>
              <w:rPr>
                <w:rFonts w:hint="eastAsia" w:ascii="仿宋" w:hAnsi="仿宋" w:eastAsia="仿宋" w:cs="仿宋"/>
                <w:kern w:val="0"/>
                <w:sz w:val="24"/>
                <w:szCs w:val="24"/>
              </w:rPr>
              <w:t>2. 基本内容要求：</w:t>
            </w:r>
            <w:r>
              <w:rPr>
                <w:rFonts w:hint="eastAsia" w:ascii="仿宋" w:hAnsi="仿宋" w:eastAsia="仿宋" w:cs="仿宋"/>
                <w:bCs/>
                <w:sz w:val="24"/>
                <w:szCs w:val="24"/>
              </w:rPr>
              <w:t>按照谱子练习，欣赏经典爵士乐</w:t>
            </w:r>
          </w:p>
          <w:p w14:paraId="07104BE1">
            <w:pPr>
              <w:widowControl/>
              <w:ind w:firstLine="480" w:firstLineChars="200"/>
              <w:rPr>
                <w:rFonts w:hint="eastAsia" w:ascii="仿宋" w:hAnsi="仿宋" w:eastAsia="仿宋" w:cs="仿宋"/>
                <w:bCs/>
                <w:sz w:val="24"/>
                <w:szCs w:val="24"/>
              </w:rPr>
            </w:pPr>
            <w:r>
              <w:rPr>
                <w:rFonts w:hint="eastAsia" w:ascii="仿宋" w:hAnsi="仿宋" w:eastAsia="仿宋" w:cs="仿宋"/>
                <w:bCs/>
                <w:sz w:val="24"/>
                <w:szCs w:val="24"/>
              </w:rPr>
              <w:t>3. 重点和难点：音符强弱对比。</w:t>
            </w:r>
          </w:p>
          <w:p w14:paraId="5F6E08D0">
            <w:pPr>
              <w:widowControl/>
              <w:ind w:firstLine="480" w:firstLineChars="200"/>
              <w:rPr>
                <w:rFonts w:hint="eastAsia" w:ascii="仿宋" w:hAnsi="仿宋" w:eastAsia="仿宋" w:cs="仿宋"/>
                <w:bCs/>
                <w:sz w:val="24"/>
                <w:szCs w:val="24"/>
              </w:rPr>
            </w:pPr>
            <w:r>
              <w:rPr>
                <w:rFonts w:hint="eastAsia" w:ascii="仿宋" w:hAnsi="仿宋" w:eastAsia="仿宋" w:cs="仿宋"/>
                <w:bCs/>
                <w:sz w:val="24"/>
                <w:szCs w:val="24"/>
              </w:rPr>
              <w:t>4. 学习目的：通过本章的学习，使学生掌握爵士乐中各种特殊符号的演奏方法。</w:t>
            </w:r>
          </w:p>
          <w:p w14:paraId="63B60753">
            <w:pPr>
              <w:widowControl/>
              <w:ind w:firstLine="480" w:firstLineChars="200"/>
              <w:rPr>
                <w:rFonts w:hint="eastAsia" w:ascii="仿宋" w:hAnsi="仿宋" w:eastAsia="仿宋" w:cs="仿宋"/>
                <w:bCs/>
                <w:sz w:val="24"/>
                <w:szCs w:val="24"/>
              </w:rPr>
            </w:pPr>
            <w:r>
              <w:rPr>
                <w:rFonts w:hint="eastAsia" w:ascii="仿宋" w:hAnsi="仿宋" w:eastAsia="仿宋" w:cs="仿宋"/>
                <w:bCs/>
                <w:sz w:val="24"/>
                <w:szCs w:val="24"/>
              </w:rPr>
              <w:t>5. 基本内容要求：严格按谱演奏。</w:t>
            </w:r>
          </w:p>
          <w:p w14:paraId="0A5F6858">
            <w:pPr>
              <w:widowControl/>
              <w:ind w:firstLine="480" w:firstLineChars="200"/>
              <w:rPr>
                <w:rFonts w:hint="eastAsia" w:ascii="仿宋" w:hAnsi="仿宋" w:eastAsia="仿宋" w:cs="仿宋"/>
                <w:kern w:val="0"/>
                <w:sz w:val="24"/>
                <w:szCs w:val="24"/>
              </w:rPr>
            </w:pPr>
            <w:r>
              <w:rPr>
                <w:rFonts w:hint="eastAsia" w:ascii="仿宋" w:hAnsi="仿宋" w:eastAsia="仿宋" w:cs="仿宋"/>
                <w:bCs/>
                <w:sz w:val="24"/>
                <w:szCs w:val="24"/>
              </w:rPr>
              <w:t>6. 重点和难点：各种符号演奏法与传统演奏法的转换，吐音的解决</w:t>
            </w:r>
          </w:p>
          <w:p w14:paraId="0B15502C">
            <w:pPr>
              <w:adjustRightInd w:val="0"/>
              <w:snapToGrid w:val="0"/>
              <w:rPr>
                <w:rFonts w:hint="eastAsia" w:ascii="仿宋" w:hAnsi="仿宋" w:eastAsia="仿宋" w:cs="仿宋"/>
                <w:bCs/>
                <w:color w:val="4472C4"/>
                <w:sz w:val="24"/>
                <w:szCs w:val="24"/>
              </w:rPr>
            </w:pPr>
          </w:p>
        </w:tc>
        <w:tc>
          <w:tcPr>
            <w:tcW w:w="1153" w:type="dxa"/>
            <w:gridSpan w:val="2"/>
            <w:vAlign w:val="center"/>
          </w:tcPr>
          <w:p w14:paraId="7C468C16">
            <w:pPr>
              <w:adjustRightInd w:val="0"/>
              <w:snapToGrid w:val="0"/>
              <w:jc w:val="center"/>
              <w:rPr>
                <w:rFonts w:hint="eastAsia" w:ascii="仿宋" w:hAnsi="仿宋" w:eastAsia="仿宋" w:cs="仿宋"/>
                <w:bCs/>
                <w:color w:val="000000" w:themeColor="text1"/>
                <w:sz w:val="24"/>
                <w:szCs w:val="24"/>
                <w14:textFill>
                  <w14:solidFill>
                    <w14:schemeClr w14:val="tx1"/>
                  </w14:solidFill>
                </w14:textFill>
              </w:rPr>
            </w:pPr>
          </w:p>
          <w:p w14:paraId="699CE007">
            <w:pPr>
              <w:widowControl/>
              <w:adjustRightInd w:val="0"/>
              <w:snapToGrid w:val="0"/>
              <w:jc w:val="center"/>
              <w:rPr>
                <w:rFonts w:hint="eastAsia" w:ascii="仿宋" w:hAnsi="仿宋" w:eastAsia="仿宋" w:cs="仿宋"/>
                <w:bCs/>
                <w:color w:val="000000" w:themeColor="text1"/>
                <w:sz w:val="24"/>
                <w:szCs w:val="24"/>
                <w14:textFill>
                  <w14:solidFill>
                    <w14:schemeClr w14:val="tx1"/>
                  </w14:solidFill>
                </w14:textFill>
              </w:rPr>
            </w:pPr>
          </w:p>
          <w:p w14:paraId="13FFB235">
            <w:pPr>
              <w:widowControl/>
              <w:adjustRightInd w:val="0"/>
              <w:snapToGrid w:val="0"/>
              <w:jc w:val="center"/>
              <w:rPr>
                <w:rFonts w:hint="eastAsia"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支撑课程目标1、2、3、4</w:t>
            </w:r>
          </w:p>
          <w:p w14:paraId="2208A2AC">
            <w:pPr>
              <w:widowControl/>
              <w:adjustRightInd w:val="0"/>
              <w:snapToGrid w:val="0"/>
              <w:jc w:val="center"/>
              <w:rPr>
                <w:rFonts w:hint="eastAsia" w:ascii="仿宋" w:hAnsi="仿宋" w:eastAsia="仿宋" w:cs="仿宋"/>
                <w:bCs/>
                <w:color w:val="000000" w:themeColor="text1"/>
                <w:sz w:val="24"/>
                <w:szCs w:val="24"/>
                <w14:textFill>
                  <w14:solidFill>
                    <w14:schemeClr w14:val="tx1"/>
                  </w14:solidFill>
                </w14:textFill>
              </w:rPr>
            </w:pPr>
          </w:p>
          <w:p w14:paraId="35D5DF47">
            <w:pPr>
              <w:adjustRightInd w:val="0"/>
              <w:snapToGrid w:val="0"/>
              <w:jc w:val="center"/>
              <w:rPr>
                <w:rFonts w:hint="eastAsia" w:ascii="仿宋" w:hAnsi="仿宋" w:eastAsia="仿宋" w:cs="仿宋"/>
                <w:bCs/>
                <w:color w:val="000000" w:themeColor="text1"/>
                <w:sz w:val="24"/>
                <w:szCs w:val="24"/>
                <w14:textFill>
                  <w14:solidFill>
                    <w14:schemeClr w14:val="tx1"/>
                  </w14:solidFill>
                </w14:textFill>
              </w:rPr>
            </w:pPr>
          </w:p>
        </w:tc>
        <w:tc>
          <w:tcPr>
            <w:tcW w:w="924" w:type="dxa"/>
            <w:gridSpan w:val="2"/>
            <w:shd w:val="clear" w:color="auto" w:fill="FFFFFF"/>
            <w:vAlign w:val="center"/>
          </w:tcPr>
          <w:p w14:paraId="78795570">
            <w:pPr>
              <w:adjustRightInd w:val="0"/>
              <w:snapToGrid w:val="0"/>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12</w:t>
            </w:r>
          </w:p>
        </w:tc>
      </w:tr>
      <w:tr w14:paraId="2B617C9E">
        <w:trPr>
          <w:trHeight w:val="454" w:hRule="atLeast"/>
        </w:trPr>
        <w:tc>
          <w:tcPr>
            <w:tcW w:w="1376" w:type="dxa"/>
            <w:vMerge w:val="continue"/>
            <w:shd w:val="clear" w:color="auto" w:fill="FFFFFF"/>
            <w:vAlign w:val="center"/>
          </w:tcPr>
          <w:p w14:paraId="34EBD38C">
            <w:pPr>
              <w:adjustRightInd w:val="0"/>
              <w:snapToGrid w:val="0"/>
              <w:spacing w:line="240" w:lineRule="atLeast"/>
              <w:jc w:val="right"/>
              <w:rPr>
                <w:rFonts w:hint="eastAsia" w:ascii="仿宋" w:hAnsi="仿宋" w:eastAsia="仿宋" w:cs="仿宋"/>
                <w:color w:val="000000"/>
                <w:sz w:val="24"/>
                <w:szCs w:val="24"/>
              </w:rPr>
            </w:pPr>
          </w:p>
        </w:tc>
        <w:tc>
          <w:tcPr>
            <w:tcW w:w="5695" w:type="dxa"/>
            <w:gridSpan w:val="9"/>
            <w:vAlign w:val="center"/>
          </w:tcPr>
          <w:p w14:paraId="502BF1B3">
            <w:pPr>
              <w:widowControl/>
              <w:rPr>
                <w:rFonts w:hint="eastAsia" w:ascii="宋体" w:hAnsi="宋体"/>
                <w:sz w:val="24"/>
                <w:szCs w:val="24"/>
              </w:rPr>
            </w:pPr>
          </w:p>
          <w:p w14:paraId="12A88B6E">
            <w:pPr>
              <w:widowControl/>
              <w:rPr>
                <w:rFonts w:hint="eastAsia" w:ascii="宋体" w:hAnsi="宋体"/>
                <w:b/>
                <w:bCs/>
                <w:sz w:val="24"/>
                <w:szCs w:val="24"/>
              </w:rPr>
            </w:pPr>
            <w:r>
              <w:rPr>
                <w:rFonts w:hint="eastAsia" w:ascii="宋体" w:hAnsi="宋体"/>
                <w:sz w:val="24"/>
                <w:szCs w:val="24"/>
              </w:rPr>
              <w:t>第三章 横向即兴法与纵向即兴法 爵士布鲁斯即兴演奏技巧</w:t>
            </w:r>
          </w:p>
          <w:p w14:paraId="10F9AD40">
            <w:pPr>
              <w:widowControl/>
              <w:ind w:firstLine="480" w:firstLineChars="200"/>
              <w:rPr>
                <w:rFonts w:hint="eastAsia" w:ascii="仿宋" w:hAnsi="仿宋" w:eastAsia="仿宋" w:cs="仿宋"/>
                <w:bCs/>
                <w:sz w:val="24"/>
                <w:szCs w:val="24"/>
              </w:rPr>
            </w:pPr>
            <w:r>
              <w:rPr>
                <w:rFonts w:hint="eastAsia" w:ascii="仿宋" w:hAnsi="仿宋" w:eastAsia="仿宋" w:cs="仿宋"/>
                <w:bCs/>
                <w:sz w:val="24"/>
                <w:szCs w:val="24"/>
              </w:rPr>
              <w:t>1.学习目的：通过本章的学习，使学生掌握基本爵士乐即兴演奏方法。</w:t>
            </w:r>
          </w:p>
          <w:p w14:paraId="29AA8C7D">
            <w:pPr>
              <w:widowControl/>
              <w:ind w:firstLine="480" w:firstLineChars="200"/>
              <w:rPr>
                <w:rFonts w:hint="eastAsia" w:ascii="仿宋" w:hAnsi="仿宋" w:eastAsia="仿宋" w:cs="仿宋"/>
                <w:bCs/>
                <w:sz w:val="24"/>
                <w:szCs w:val="24"/>
              </w:rPr>
            </w:pPr>
            <w:r>
              <w:rPr>
                <w:rFonts w:hint="eastAsia" w:ascii="仿宋" w:hAnsi="仿宋" w:eastAsia="仿宋" w:cs="仿宋"/>
                <w:bCs/>
                <w:sz w:val="24"/>
                <w:szCs w:val="24"/>
              </w:rPr>
              <w:t>2. 基本内容要求：运用即兴法进行演奏乐曲</w:t>
            </w:r>
          </w:p>
          <w:p w14:paraId="5C4267AF">
            <w:pPr>
              <w:widowControl/>
              <w:ind w:firstLine="480" w:firstLineChars="200"/>
              <w:rPr>
                <w:rFonts w:hint="eastAsia" w:ascii="仿宋" w:hAnsi="仿宋" w:eastAsia="仿宋" w:cs="仿宋"/>
                <w:bCs/>
                <w:sz w:val="24"/>
                <w:szCs w:val="24"/>
              </w:rPr>
            </w:pPr>
            <w:r>
              <w:rPr>
                <w:rFonts w:hint="eastAsia" w:ascii="仿宋" w:hAnsi="仿宋" w:eastAsia="仿宋" w:cs="仿宋"/>
                <w:bCs/>
                <w:sz w:val="24"/>
                <w:szCs w:val="24"/>
              </w:rPr>
              <w:t>3. 重点和难点：对不同风格乐曲进行即兴处理。</w:t>
            </w:r>
          </w:p>
          <w:p w14:paraId="06738A8B">
            <w:pPr>
              <w:widowControl/>
              <w:ind w:firstLine="480" w:firstLineChars="200"/>
              <w:rPr>
                <w:rFonts w:hint="eastAsia" w:ascii="仿宋" w:hAnsi="仿宋" w:eastAsia="仿宋" w:cs="仿宋"/>
                <w:bCs/>
                <w:sz w:val="24"/>
                <w:szCs w:val="24"/>
              </w:rPr>
            </w:pPr>
            <w:r>
              <w:rPr>
                <w:rFonts w:hint="eastAsia" w:ascii="仿宋" w:hAnsi="仿宋" w:eastAsia="仿宋" w:cs="仿宋"/>
                <w:bCs/>
                <w:sz w:val="24"/>
                <w:szCs w:val="24"/>
              </w:rPr>
              <w:t>4.学习目的：通过本章的学习，使学生可以即兴演奏爵士乐。</w:t>
            </w:r>
          </w:p>
          <w:p w14:paraId="0AA8CF77">
            <w:pPr>
              <w:widowControl/>
              <w:ind w:firstLine="480" w:firstLineChars="200"/>
              <w:rPr>
                <w:rFonts w:hint="eastAsia" w:ascii="仿宋" w:hAnsi="仿宋" w:eastAsia="仿宋" w:cs="仿宋"/>
                <w:bCs/>
                <w:sz w:val="24"/>
                <w:szCs w:val="24"/>
              </w:rPr>
            </w:pPr>
            <w:r>
              <w:rPr>
                <w:rFonts w:hint="eastAsia" w:ascii="仿宋" w:hAnsi="仿宋" w:eastAsia="仿宋" w:cs="仿宋"/>
                <w:bCs/>
                <w:sz w:val="24"/>
                <w:szCs w:val="24"/>
              </w:rPr>
              <w:t>5.基本内容要求：演奏爵士乐时加入即兴演奏法</w:t>
            </w:r>
          </w:p>
          <w:p w14:paraId="4874C744">
            <w:pPr>
              <w:widowControl/>
              <w:ind w:firstLine="480" w:firstLineChars="200"/>
              <w:rPr>
                <w:rFonts w:hint="eastAsia" w:ascii="仿宋" w:hAnsi="仿宋" w:eastAsia="仿宋" w:cs="仿宋"/>
                <w:bCs/>
                <w:sz w:val="24"/>
                <w:szCs w:val="24"/>
              </w:rPr>
            </w:pPr>
            <w:r>
              <w:rPr>
                <w:rFonts w:hint="eastAsia" w:ascii="仿宋" w:hAnsi="仿宋" w:eastAsia="仿宋" w:cs="仿宋"/>
                <w:bCs/>
                <w:sz w:val="24"/>
                <w:szCs w:val="24"/>
              </w:rPr>
              <w:t>6. 重点和难点：即兴技巧的使用。</w:t>
            </w:r>
          </w:p>
          <w:p w14:paraId="793EB135">
            <w:pPr>
              <w:widowControl/>
              <w:ind w:firstLine="420" w:firstLineChars="200"/>
              <w:rPr>
                <w:rFonts w:hint="eastAsia" w:ascii="宋体" w:hAnsi="宋体"/>
                <w:bCs/>
                <w:szCs w:val="21"/>
              </w:rPr>
            </w:pPr>
          </w:p>
        </w:tc>
        <w:tc>
          <w:tcPr>
            <w:tcW w:w="1153" w:type="dxa"/>
            <w:gridSpan w:val="2"/>
            <w:vAlign w:val="center"/>
          </w:tcPr>
          <w:p w14:paraId="7DA90BD4">
            <w:pPr>
              <w:widowControl/>
              <w:adjustRightInd w:val="0"/>
              <w:snapToGrid w:val="0"/>
              <w:jc w:val="center"/>
              <w:rPr>
                <w:rFonts w:hint="eastAsia" w:ascii="仿宋" w:hAnsi="仿宋" w:eastAsia="仿宋" w:cs="仿宋"/>
                <w:bCs/>
                <w:color w:val="000000"/>
                <w:sz w:val="24"/>
                <w:szCs w:val="24"/>
              </w:rPr>
            </w:pPr>
            <w:r>
              <w:rPr>
                <w:rFonts w:hint="eastAsia" w:ascii="仿宋" w:hAnsi="仿宋" w:eastAsia="仿宋" w:cs="仿宋"/>
                <w:bCs/>
                <w:color w:val="000000"/>
                <w:sz w:val="24"/>
                <w:szCs w:val="24"/>
              </w:rPr>
              <w:t>支撑课程目标1、2、3、4</w:t>
            </w:r>
          </w:p>
          <w:p w14:paraId="3FA2A913">
            <w:pPr>
              <w:adjustRightInd w:val="0"/>
              <w:snapToGrid w:val="0"/>
              <w:ind w:firstLine="960" w:firstLineChars="400"/>
              <w:jc w:val="center"/>
              <w:rPr>
                <w:rFonts w:hint="eastAsia" w:ascii="仿宋" w:hAnsi="仿宋" w:eastAsia="仿宋" w:cs="仿宋"/>
                <w:bCs/>
                <w:color w:val="000000"/>
                <w:sz w:val="24"/>
                <w:szCs w:val="24"/>
              </w:rPr>
            </w:pPr>
          </w:p>
        </w:tc>
        <w:tc>
          <w:tcPr>
            <w:tcW w:w="924" w:type="dxa"/>
            <w:gridSpan w:val="2"/>
            <w:shd w:val="clear" w:color="auto" w:fill="FFFFFF"/>
            <w:vAlign w:val="center"/>
          </w:tcPr>
          <w:p w14:paraId="18456967">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12</w:t>
            </w:r>
          </w:p>
        </w:tc>
      </w:tr>
      <w:tr w14:paraId="4BDC0C17">
        <w:trPr>
          <w:trHeight w:val="454" w:hRule="atLeast"/>
        </w:trPr>
        <w:tc>
          <w:tcPr>
            <w:tcW w:w="1376" w:type="dxa"/>
            <w:vMerge w:val="continue"/>
            <w:shd w:val="clear" w:color="auto" w:fill="FFFFFF"/>
            <w:vAlign w:val="center"/>
          </w:tcPr>
          <w:p w14:paraId="37BA869E">
            <w:pPr>
              <w:adjustRightInd w:val="0"/>
              <w:snapToGrid w:val="0"/>
              <w:spacing w:line="240" w:lineRule="atLeast"/>
              <w:jc w:val="center"/>
              <w:rPr>
                <w:rFonts w:hint="eastAsia" w:ascii="仿宋" w:hAnsi="仿宋" w:eastAsia="仿宋" w:cs="仿宋"/>
                <w:color w:val="000000"/>
                <w:sz w:val="24"/>
                <w:szCs w:val="24"/>
              </w:rPr>
            </w:pPr>
          </w:p>
        </w:tc>
        <w:tc>
          <w:tcPr>
            <w:tcW w:w="6848" w:type="dxa"/>
            <w:gridSpan w:val="11"/>
            <w:vAlign w:val="center"/>
          </w:tcPr>
          <w:p w14:paraId="38632F3F">
            <w:pPr>
              <w:adjustRightInd w:val="0"/>
              <w:snapToGrid w:val="0"/>
              <w:jc w:val="center"/>
              <w:rPr>
                <w:rFonts w:hint="eastAsia" w:ascii="仿宋" w:hAnsi="仿宋" w:eastAsia="仿宋" w:cs="仿宋"/>
                <w:bCs/>
                <w:color w:val="000000"/>
                <w:sz w:val="24"/>
                <w:szCs w:val="24"/>
              </w:rPr>
            </w:pPr>
            <w:r>
              <w:rPr>
                <w:rFonts w:hint="eastAsia" w:ascii="仿宋" w:hAnsi="仿宋" w:eastAsia="仿宋" w:cs="仿宋"/>
                <w:bCs/>
                <w:color w:val="000000"/>
                <w:sz w:val="24"/>
                <w:szCs w:val="24"/>
              </w:rPr>
              <w:t>合计</w:t>
            </w:r>
          </w:p>
        </w:tc>
        <w:tc>
          <w:tcPr>
            <w:tcW w:w="924" w:type="dxa"/>
            <w:gridSpan w:val="2"/>
            <w:shd w:val="clear" w:color="auto" w:fill="FFFFFF"/>
            <w:vAlign w:val="center"/>
          </w:tcPr>
          <w:p w14:paraId="09592992">
            <w:pPr>
              <w:adjustRightInd w:val="0"/>
              <w:snapToGrid w:val="0"/>
              <w:jc w:val="center"/>
              <w:rPr>
                <w:rFonts w:hint="eastAsia" w:ascii="仿宋" w:hAnsi="仿宋" w:eastAsia="仿宋" w:cs="仿宋"/>
                <w:color w:val="4472C4"/>
                <w:sz w:val="24"/>
                <w:szCs w:val="24"/>
              </w:rPr>
            </w:pPr>
            <w:r>
              <w:rPr>
                <w:rFonts w:hint="eastAsia" w:ascii="仿宋" w:hAnsi="仿宋" w:eastAsia="仿宋" w:cs="仿宋"/>
                <w:color w:val="4472C4"/>
                <w:sz w:val="24"/>
                <w:szCs w:val="24"/>
              </w:rPr>
              <w:t>36</w:t>
            </w:r>
          </w:p>
        </w:tc>
      </w:tr>
      <w:tr w14:paraId="7F1B2298">
        <w:trPr>
          <w:trHeight w:val="495" w:hRule="atLeast"/>
        </w:trPr>
        <w:tc>
          <w:tcPr>
            <w:tcW w:w="1376" w:type="dxa"/>
            <w:vMerge w:val="restart"/>
            <w:shd w:val="clear" w:color="auto" w:fill="FFFFFF"/>
            <w:vAlign w:val="center"/>
          </w:tcPr>
          <w:p w14:paraId="3EEB6C04">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H</w:t>
            </w:r>
          </w:p>
          <w:p w14:paraId="531C49C5">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实践内容（含教育实习、见习、研习，专业实习、毕业论文或毕业设计等）</w:t>
            </w:r>
          </w:p>
        </w:tc>
        <w:tc>
          <w:tcPr>
            <w:tcW w:w="1174" w:type="dxa"/>
            <w:gridSpan w:val="2"/>
            <w:vAlign w:val="center"/>
          </w:tcPr>
          <w:p w14:paraId="387FB565">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支撑课程目标</w:t>
            </w:r>
          </w:p>
        </w:tc>
        <w:tc>
          <w:tcPr>
            <w:tcW w:w="5674" w:type="dxa"/>
            <w:gridSpan w:val="9"/>
            <w:vAlign w:val="center"/>
          </w:tcPr>
          <w:p w14:paraId="102C120A">
            <w:pPr>
              <w:adjustRightInd w:val="0"/>
              <w:snapToGrid w:val="0"/>
              <w:spacing w:line="240" w:lineRule="atLeast"/>
              <w:jc w:val="center"/>
              <w:textAlignment w:val="baseline"/>
              <w:rPr>
                <w:rFonts w:hint="eastAsia" w:ascii="仿宋" w:hAnsi="仿宋" w:eastAsia="仿宋" w:cs="仿宋"/>
                <w:color w:val="000000"/>
                <w:kern w:val="0"/>
                <w:sz w:val="24"/>
                <w:szCs w:val="24"/>
              </w:rPr>
            </w:pPr>
          </w:p>
          <w:p w14:paraId="4F09489C">
            <w:pPr>
              <w:adjustRightInd w:val="0"/>
              <w:snapToGrid w:val="0"/>
              <w:spacing w:line="240" w:lineRule="atLeast"/>
              <w:jc w:val="center"/>
              <w:textAlignment w:val="baseline"/>
            </w:pPr>
            <w:r>
              <w:rPr>
                <w:rFonts w:hint="eastAsia" w:ascii="仿宋" w:hAnsi="仿宋" w:eastAsia="仿宋" w:cs="仿宋"/>
                <w:color w:val="000000"/>
                <w:sz w:val="24"/>
                <w:szCs w:val="24"/>
              </w:rPr>
              <w:t>实践主要内容和要求</w:t>
            </w:r>
          </w:p>
        </w:tc>
        <w:tc>
          <w:tcPr>
            <w:tcW w:w="924" w:type="dxa"/>
            <w:gridSpan w:val="2"/>
            <w:vAlign w:val="center"/>
          </w:tcPr>
          <w:p w14:paraId="5C2E6A7D">
            <w:pPr>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时长</w:t>
            </w:r>
          </w:p>
          <w:p w14:paraId="43E90930">
            <w:pPr>
              <w:adjustRightInd w:val="0"/>
              <w:snapToGrid w:val="0"/>
              <w:jc w:val="center"/>
              <w:rPr>
                <w:rFonts w:hint="eastAsia" w:ascii="仿宋" w:hAnsi="仿宋" w:eastAsia="仿宋" w:cs="仿宋"/>
                <w:color w:val="4472C4"/>
                <w:sz w:val="24"/>
                <w:szCs w:val="24"/>
              </w:rPr>
            </w:pPr>
            <w:r>
              <w:rPr>
                <w:rFonts w:hint="eastAsia" w:ascii="仿宋" w:hAnsi="仿宋" w:eastAsia="仿宋" w:cs="仿宋"/>
                <w:color w:val="000000"/>
                <w:kern w:val="0"/>
                <w:sz w:val="24"/>
                <w:szCs w:val="24"/>
              </w:rPr>
              <w:t>分配</w:t>
            </w:r>
          </w:p>
        </w:tc>
      </w:tr>
      <w:tr w14:paraId="19206356">
        <w:trPr>
          <w:trHeight w:val="90" w:hRule="atLeast"/>
        </w:trPr>
        <w:tc>
          <w:tcPr>
            <w:tcW w:w="1376" w:type="dxa"/>
            <w:vMerge w:val="continue"/>
            <w:shd w:val="clear" w:color="auto" w:fill="FFFFFF"/>
            <w:vAlign w:val="center"/>
          </w:tcPr>
          <w:p w14:paraId="08217799">
            <w:pPr>
              <w:adjustRightInd w:val="0"/>
              <w:snapToGrid w:val="0"/>
              <w:spacing w:line="240" w:lineRule="atLeast"/>
              <w:jc w:val="center"/>
              <w:rPr>
                <w:rFonts w:hint="eastAsia" w:ascii="仿宋" w:hAnsi="仿宋" w:eastAsia="仿宋" w:cs="仿宋"/>
                <w:color w:val="000000"/>
                <w:sz w:val="24"/>
                <w:szCs w:val="24"/>
              </w:rPr>
            </w:pPr>
          </w:p>
        </w:tc>
        <w:tc>
          <w:tcPr>
            <w:tcW w:w="1174" w:type="dxa"/>
            <w:gridSpan w:val="2"/>
          </w:tcPr>
          <w:p w14:paraId="396E5946">
            <w:pPr>
              <w:widowControl/>
              <w:autoSpaceDE w:val="0"/>
              <w:autoSpaceDN w:val="0"/>
              <w:adjustRightInd w:val="0"/>
              <w:snapToGrid w:val="0"/>
              <w:jc w:val="left"/>
              <w:textAlignment w:val="bottom"/>
              <w:rPr>
                <w:rFonts w:hint="eastAsia" w:ascii="仿宋" w:hAnsi="仿宋" w:eastAsia="仿宋" w:cs="仿宋"/>
                <w:color w:val="000000"/>
                <w:sz w:val="24"/>
                <w:szCs w:val="24"/>
              </w:rPr>
            </w:pPr>
          </w:p>
        </w:tc>
        <w:tc>
          <w:tcPr>
            <w:tcW w:w="5674" w:type="dxa"/>
            <w:gridSpan w:val="9"/>
          </w:tcPr>
          <w:p w14:paraId="7872C6E2">
            <w:pPr>
              <w:adjustRightInd w:val="0"/>
              <w:spacing w:line="360" w:lineRule="exact"/>
              <w:ind w:firstLine="240" w:firstLineChars="100"/>
              <w:jc w:val="left"/>
              <w:rPr>
                <w:rFonts w:hint="eastAsia" w:ascii="宋体" w:hAnsi="宋体"/>
                <w:bCs/>
                <w:sz w:val="24"/>
                <w:szCs w:val="24"/>
              </w:rPr>
            </w:pPr>
            <w:r>
              <w:rPr>
                <w:rFonts w:ascii="宋体" w:hAnsi="宋体"/>
                <w:bCs/>
                <w:sz w:val="24"/>
                <w:szCs w:val="24"/>
              </w:rPr>
              <w:t>1</w:t>
            </w:r>
            <w:r>
              <w:rPr>
                <w:rFonts w:hint="eastAsia" w:ascii="宋体" w:hAnsi="宋体"/>
                <w:bCs/>
                <w:sz w:val="24"/>
                <w:szCs w:val="24"/>
              </w:rPr>
              <w:t>、每学期举办习奏会。</w:t>
            </w:r>
          </w:p>
          <w:p w14:paraId="0D9FE80F">
            <w:pPr>
              <w:adjustRightInd w:val="0"/>
              <w:spacing w:line="360" w:lineRule="exact"/>
              <w:ind w:firstLine="240" w:firstLineChars="100"/>
              <w:jc w:val="left"/>
              <w:rPr>
                <w:rFonts w:hint="eastAsia" w:ascii="宋体" w:hAnsi="宋体"/>
                <w:bCs/>
                <w:sz w:val="24"/>
                <w:szCs w:val="24"/>
              </w:rPr>
            </w:pPr>
            <w:r>
              <w:rPr>
                <w:rFonts w:ascii="宋体" w:hAnsi="宋体"/>
                <w:bCs/>
                <w:sz w:val="24"/>
                <w:szCs w:val="24"/>
              </w:rPr>
              <w:t>2</w:t>
            </w:r>
            <w:r>
              <w:rPr>
                <w:rFonts w:hint="eastAsia" w:ascii="宋体" w:hAnsi="宋体"/>
                <w:bCs/>
                <w:sz w:val="24"/>
                <w:szCs w:val="24"/>
              </w:rPr>
              <w:t>、参与排练重奏、齐奏、合奏等多种形式的演出。</w:t>
            </w:r>
          </w:p>
          <w:p w14:paraId="5946E6AF">
            <w:pPr>
              <w:adjustRightInd w:val="0"/>
              <w:spacing w:line="360" w:lineRule="exact"/>
              <w:ind w:firstLine="240" w:firstLineChars="100"/>
              <w:jc w:val="left"/>
              <w:rPr>
                <w:rFonts w:hint="eastAsia" w:ascii="宋体" w:hAnsi="宋体"/>
                <w:bCs/>
                <w:sz w:val="24"/>
                <w:szCs w:val="24"/>
              </w:rPr>
            </w:pPr>
            <w:r>
              <w:rPr>
                <w:rFonts w:ascii="宋体" w:hAnsi="宋体"/>
                <w:bCs/>
                <w:sz w:val="24"/>
                <w:szCs w:val="24"/>
              </w:rPr>
              <w:t>3</w:t>
            </w:r>
            <w:r>
              <w:rPr>
                <w:rFonts w:hint="eastAsia" w:ascii="宋体" w:hAnsi="宋体"/>
                <w:bCs/>
                <w:sz w:val="24"/>
                <w:szCs w:val="24"/>
              </w:rPr>
              <w:t>、创造舞台实践的机会。</w:t>
            </w:r>
          </w:p>
          <w:p w14:paraId="4755457B">
            <w:pPr>
              <w:adjustRightInd w:val="0"/>
              <w:spacing w:line="360" w:lineRule="exact"/>
              <w:ind w:firstLine="240" w:firstLineChars="100"/>
              <w:jc w:val="left"/>
              <w:rPr>
                <w:rFonts w:hint="eastAsia" w:ascii="宋体" w:hAnsi="宋体"/>
                <w:bCs/>
                <w:sz w:val="24"/>
                <w:szCs w:val="24"/>
              </w:rPr>
            </w:pPr>
            <w:r>
              <w:rPr>
                <w:rFonts w:ascii="宋体" w:hAnsi="宋体"/>
                <w:bCs/>
                <w:sz w:val="24"/>
                <w:szCs w:val="24"/>
              </w:rPr>
              <w:t>4</w:t>
            </w:r>
            <w:r>
              <w:rPr>
                <w:rFonts w:hint="eastAsia" w:ascii="宋体" w:hAnsi="宋体"/>
                <w:bCs/>
                <w:sz w:val="24"/>
                <w:szCs w:val="24"/>
              </w:rPr>
              <w:t>、通过第二课堂，如演奏会、艺术实践，参与比赛等活动提高本课程的教学质量。</w:t>
            </w:r>
          </w:p>
          <w:p w14:paraId="188B5435">
            <w:pPr>
              <w:widowControl/>
              <w:adjustRightInd w:val="0"/>
              <w:spacing w:line="360" w:lineRule="exact"/>
              <w:ind w:firstLine="240" w:firstLineChars="100"/>
              <w:jc w:val="left"/>
              <w:rPr>
                <w:rFonts w:hint="eastAsia" w:ascii="宋体" w:hAnsi="宋体" w:cs="宋体"/>
                <w:color w:val="333333"/>
                <w:kern w:val="0"/>
                <w:sz w:val="24"/>
                <w:szCs w:val="24"/>
              </w:rPr>
            </w:pPr>
            <w:r>
              <w:rPr>
                <w:rFonts w:hint="eastAsia" w:ascii="宋体" w:hAnsi="宋体"/>
                <w:bCs/>
                <w:sz w:val="24"/>
                <w:szCs w:val="24"/>
              </w:rPr>
              <w:t>5、</w:t>
            </w:r>
            <w:r>
              <w:rPr>
                <w:rFonts w:hint="eastAsia" w:ascii="宋体" w:hAnsi="宋体" w:cs="宋体"/>
                <w:color w:val="000000"/>
                <w:kern w:val="0"/>
                <w:sz w:val="24"/>
                <w:szCs w:val="24"/>
              </w:rPr>
              <w:t>课内外学时对比1：6</w:t>
            </w:r>
          </w:p>
          <w:p w14:paraId="4AB4AEFA">
            <w:pPr>
              <w:adjustRightInd w:val="0"/>
              <w:snapToGrid w:val="0"/>
              <w:ind w:firstLine="240" w:firstLineChars="100"/>
              <w:jc w:val="left"/>
              <w:rPr>
                <w:rFonts w:hint="eastAsia" w:ascii="仿宋" w:hAnsi="仿宋" w:eastAsia="仿宋" w:cs="仿宋"/>
                <w:color w:val="000000"/>
                <w:sz w:val="24"/>
                <w:szCs w:val="24"/>
              </w:rPr>
            </w:pPr>
            <w:r>
              <w:rPr>
                <w:rFonts w:hint="eastAsia" w:ascii="宋体" w:hAnsi="宋体"/>
                <w:bCs/>
                <w:sz w:val="24"/>
                <w:szCs w:val="24"/>
              </w:rPr>
              <w:t>6、学生实践的成绩列入器乐总成绩的依据之一。</w:t>
            </w:r>
          </w:p>
        </w:tc>
        <w:tc>
          <w:tcPr>
            <w:tcW w:w="924" w:type="dxa"/>
            <w:gridSpan w:val="2"/>
          </w:tcPr>
          <w:p w14:paraId="626229E5">
            <w:pPr>
              <w:adjustRightInd w:val="0"/>
              <w:snapToGrid w:val="0"/>
              <w:jc w:val="left"/>
              <w:rPr>
                <w:rFonts w:hint="eastAsia" w:ascii="仿宋" w:hAnsi="仿宋" w:eastAsia="仿宋" w:cs="仿宋"/>
                <w:color w:val="000000"/>
                <w:sz w:val="24"/>
                <w:szCs w:val="24"/>
              </w:rPr>
            </w:pPr>
          </w:p>
        </w:tc>
      </w:tr>
      <w:tr w14:paraId="0F724234">
        <w:trPr>
          <w:trHeight w:val="921" w:hRule="atLeast"/>
        </w:trPr>
        <w:tc>
          <w:tcPr>
            <w:tcW w:w="1376" w:type="dxa"/>
            <w:vAlign w:val="center"/>
          </w:tcPr>
          <w:p w14:paraId="1FBC2728">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I</w:t>
            </w:r>
          </w:p>
          <w:p w14:paraId="69DE6585">
            <w:pPr>
              <w:adjustRightInd w:val="0"/>
              <w:snapToGrid w:val="0"/>
              <w:spacing w:line="240" w:lineRule="atLeast"/>
              <w:jc w:val="center"/>
              <w:rPr>
                <w:rFonts w:hint="eastAsia" w:ascii="仿宋" w:hAnsi="仿宋" w:eastAsia="仿宋" w:cs="仿宋"/>
                <w:color w:val="000000"/>
                <w:sz w:val="24"/>
                <w:szCs w:val="24"/>
                <w:lang w:eastAsia="zh-TW"/>
              </w:rPr>
            </w:pPr>
            <w:r>
              <w:rPr>
                <w:rFonts w:hint="eastAsia" w:ascii="仿宋" w:hAnsi="仿宋" w:eastAsia="仿宋" w:cs="仿宋"/>
                <w:color w:val="000000"/>
                <w:sz w:val="24"/>
                <w:szCs w:val="24"/>
              </w:rPr>
              <w:t>教学方法与教学方式</w:t>
            </w:r>
          </w:p>
        </w:tc>
        <w:tc>
          <w:tcPr>
            <w:tcW w:w="7772" w:type="dxa"/>
            <w:gridSpan w:val="13"/>
            <w:tcBorders>
              <w:bottom w:val="single" w:color="auto" w:sz="4" w:space="0"/>
            </w:tcBorders>
            <w:vAlign w:val="center"/>
          </w:tcPr>
          <w:p w14:paraId="58886407">
            <w:pPr>
              <w:adjustRightInd w:val="0"/>
              <w:snapToGrid w:val="0"/>
              <w:ind w:firstLine="240" w:firstLineChars="1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1.课程采用集体式教学，改善理论课与实践的枯燥和沉闷，吸引学生的注意力，加强授课效果。</w:t>
            </w:r>
          </w:p>
          <w:p w14:paraId="3E53A772">
            <w:pPr>
              <w:adjustRightInd w:val="0"/>
              <w:snapToGrid w:val="0"/>
              <w:ind w:firstLine="240" w:firstLineChars="1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2.开通网络课堂，达到与学生及时沟通、交流的目的。同时重视师生互动与小组活动，组织课堂小组讨论和论文写作等活动，将课堂教学变为师生共同活动的过程。</w:t>
            </w:r>
          </w:p>
          <w:p w14:paraId="065F772A">
            <w:pPr>
              <w:adjustRightInd w:val="0"/>
              <w:snapToGrid w:val="0"/>
              <w:ind w:firstLine="240" w:firstLineChars="1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3.主要方式：</w:t>
            </w:r>
          </w:p>
          <w:p w14:paraId="7A84FBA0">
            <w:pPr>
              <w:adjustRightInd w:val="0"/>
              <w:snapToGrid w:val="0"/>
              <w:ind w:firstLine="480" w:firstLineChars="2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sym w:font="Wingdings" w:char="00FE"/>
            </w:r>
            <w:r>
              <w:rPr>
                <w:rFonts w:hint="eastAsia" w:ascii="仿宋" w:hAnsi="仿宋" w:eastAsia="仿宋" w:cs="仿宋"/>
                <w:color w:val="000000" w:themeColor="text1"/>
                <w:sz w:val="24"/>
                <w:szCs w:val="24"/>
                <w14:textFill>
                  <w14:solidFill>
                    <w14:schemeClr w14:val="tx1"/>
                  </w14:solidFill>
                </w14:textFill>
              </w:rPr>
              <w:t xml:space="preserve">讲授  </w:t>
            </w:r>
            <w:r>
              <w:rPr>
                <w:rFonts w:hint="eastAsia" w:ascii="仿宋" w:hAnsi="仿宋" w:eastAsia="仿宋" w:cs="仿宋"/>
                <w:color w:val="000000" w:themeColor="text1"/>
                <w:sz w:val="24"/>
                <w:szCs w:val="24"/>
                <w14:textFill>
                  <w14:solidFill>
                    <w14:schemeClr w14:val="tx1"/>
                  </w14:solidFill>
                </w14:textFill>
              </w:rPr>
              <w:sym w:font="Wingdings" w:char="00FE"/>
            </w:r>
            <w:r>
              <w:rPr>
                <w:rFonts w:hint="eastAsia" w:ascii="仿宋" w:hAnsi="仿宋" w:eastAsia="仿宋" w:cs="仿宋"/>
                <w:color w:val="000000" w:themeColor="text1"/>
                <w:sz w:val="24"/>
                <w:szCs w:val="24"/>
                <w14:textFill>
                  <w14:solidFill>
                    <w14:schemeClr w14:val="tx1"/>
                  </w14:solidFill>
                </w14:textFill>
              </w:rPr>
              <w:t xml:space="preserve">网络学习  </w:t>
            </w:r>
            <w:r>
              <w:rPr>
                <w:rFonts w:hint="eastAsia" w:ascii="仿宋" w:hAnsi="仿宋" w:eastAsia="仿宋" w:cs="仿宋"/>
                <w:color w:val="000000" w:themeColor="text1"/>
                <w:sz w:val="24"/>
                <w:szCs w:val="24"/>
                <w14:textFill>
                  <w14:solidFill>
                    <w14:schemeClr w14:val="tx1"/>
                  </w14:solidFill>
                </w14:textFill>
              </w:rPr>
              <w:sym w:font="Wingdings" w:char="00FE"/>
            </w:r>
            <w:r>
              <w:rPr>
                <w:rFonts w:hint="eastAsia" w:ascii="仿宋" w:hAnsi="仿宋" w:eastAsia="仿宋" w:cs="仿宋"/>
                <w:color w:val="000000" w:themeColor="text1"/>
                <w:sz w:val="24"/>
                <w:szCs w:val="24"/>
                <w14:textFill>
                  <w14:solidFill>
                    <w14:schemeClr w14:val="tx1"/>
                  </w14:solidFill>
                </w14:textFill>
              </w:rPr>
              <w:t xml:space="preserve">讨论或座谈  </w:t>
            </w:r>
            <w:r>
              <w:rPr>
                <w:rFonts w:hint="eastAsia" w:ascii="仿宋" w:hAnsi="仿宋" w:eastAsia="仿宋" w:cs="仿宋"/>
                <w:color w:val="000000" w:themeColor="text1"/>
                <w:sz w:val="24"/>
                <w:szCs w:val="24"/>
                <w14:textFill>
                  <w14:solidFill>
                    <w14:schemeClr w14:val="tx1"/>
                  </w14:solidFill>
                </w14:textFill>
              </w:rPr>
              <w:sym w:font="Wingdings" w:char="00A8"/>
            </w:r>
            <w:r>
              <w:rPr>
                <w:rFonts w:hint="eastAsia" w:ascii="仿宋" w:hAnsi="仿宋" w:eastAsia="仿宋" w:cs="仿宋"/>
                <w:color w:val="000000" w:themeColor="text1"/>
                <w:sz w:val="24"/>
                <w:szCs w:val="24"/>
                <w14:textFill>
                  <w14:solidFill>
                    <w14:schemeClr w14:val="tx1"/>
                  </w14:solidFill>
                </w14:textFill>
              </w:rPr>
              <w:t xml:space="preserve">问题导向学  </w:t>
            </w:r>
          </w:p>
          <w:p w14:paraId="1DD2D634">
            <w:pPr>
              <w:adjustRightInd w:val="0"/>
              <w:snapToGrid w:val="0"/>
              <w:ind w:firstLine="480" w:firstLineChars="2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sym w:font="Wingdings" w:char="00FE"/>
            </w:r>
            <w:r>
              <w:rPr>
                <w:rFonts w:hint="eastAsia" w:ascii="仿宋" w:hAnsi="仿宋" w:eastAsia="仿宋" w:cs="仿宋"/>
                <w:color w:val="000000" w:themeColor="text1"/>
                <w:sz w:val="24"/>
                <w:szCs w:val="24"/>
                <w14:textFill>
                  <w14:solidFill>
                    <w14:schemeClr w14:val="tx1"/>
                  </w14:solidFill>
                </w14:textFill>
              </w:rPr>
              <w:t xml:space="preserve">分组合作学习  </w:t>
            </w:r>
            <w:r>
              <w:rPr>
                <w:rFonts w:hint="eastAsia" w:ascii="仿宋" w:hAnsi="仿宋" w:eastAsia="仿宋" w:cs="仿宋"/>
                <w:color w:val="000000" w:themeColor="text1"/>
                <w:sz w:val="24"/>
                <w:szCs w:val="24"/>
                <w14:textFill>
                  <w14:solidFill>
                    <w14:schemeClr w14:val="tx1"/>
                  </w14:solidFill>
                </w14:textFill>
              </w:rPr>
              <w:sym w:font="Wingdings" w:char="00A8"/>
            </w:r>
            <w:r>
              <w:rPr>
                <w:rFonts w:hint="eastAsia" w:ascii="仿宋" w:hAnsi="仿宋" w:eastAsia="仿宋" w:cs="仿宋"/>
                <w:color w:val="000000" w:themeColor="text1"/>
                <w:sz w:val="24"/>
                <w:szCs w:val="24"/>
                <w14:textFill>
                  <w14:solidFill>
                    <w14:schemeClr w14:val="tx1"/>
                  </w14:solidFill>
                </w14:textFill>
              </w:rPr>
              <w:t xml:space="preserve">专题学习  </w:t>
            </w:r>
            <w:r>
              <w:rPr>
                <w:rFonts w:hint="eastAsia" w:ascii="仿宋" w:hAnsi="仿宋" w:eastAsia="仿宋" w:cs="仿宋"/>
                <w:color w:val="000000" w:themeColor="text1"/>
                <w:sz w:val="24"/>
                <w:szCs w:val="24"/>
                <w14:textFill>
                  <w14:solidFill>
                    <w14:schemeClr w14:val="tx1"/>
                  </w14:solidFill>
                </w14:textFill>
              </w:rPr>
              <w:sym w:font="Wingdings" w:char="00FE"/>
            </w:r>
            <w:r>
              <w:rPr>
                <w:rFonts w:hint="eastAsia" w:ascii="仿宋" w:hAnsi="仿宋" w:eastAsia="仿宋" w:cs="仿宋"/>
                <w:color w:val="000000" w:themeColor="text1"/>
                <w:sz w:val="24"/>
                <w:szCs w:val="24"/>
                <w14:textFill>
                  <w14:solidFill>
                    <w14:schemeClr w14:val="tx1"/>
                  </w14:solidFill>
                </w14:textFill>
              </w:rPr>
              <w:t xml:space="preserve">实作学习  </w:t>
            </w:r>
            <w:r>
              <w:rPr>
                <w:rFonts w:hint="eastAsia" w:ascii="仿宋" w:hAnsi="仿宋" w:eastAsia="仿宋" w:cs="仿宋"/>
                <w:color w:val="000000" w:themeColor="text1"/>
                <w:sz w:val="24"/>
                <w:szCs w:val="24"/>
                <w14:textFill>
                  <w14:solidFill>
                    <w14:schemeClr w14:val="tx1"/>
                  </w14:solidFill>
                </w14:textFill>
              </w:rPr>
              <w:sym w:font="Wingdings" w:char="00A8"/>
            </w:r>
            <w:r>
              <w:rPr>
                <w:rFonts w:hint="eastAsia" w:ascii="仿宋" w:hAnsi="仿宋" w:eastAsia="仿宋" w:cs="仿宋"/>
                <w:color w:val="000000" w:themeColor="text1"/>
                <w:sz w:val="24"/>
                <w:szCs w:val="24"/>
                <w14:textFill>
                  <w14:solidFill>
                    <w14:schemeClr w14:val="tx1"/>
                  </w14:solidFill>
                </w14:textFill>
              </w:rPr>
              <w:t xml:space="preserve">发表学习  </w:t>
            </w:r>
          </w:p>
          <w:p w14:paraId="6E3B5013">
            <w:pPr>
              <w:adjustRightInd w:val="0"/>
              <w:snapToGrid w:val="0"/>
              <w:ind w:firstLine="480" w:firstLineChars="200"/>
              <w:rPr>
                <w:rFonts w:hint="eastAsia" w:ascii="仿宋" w:hAnsi="仿宋" w:eastAsia="仿宋" w:cs="仿宋"/>
                <w:color w:val="000000"/>
                <w:sz w:val="24"/>
                <w:szCs w:val="24"/>
              </w:rPr>
            </w:pPr>
            <w:r>
              <w:rPr>
                <w:rFonts w:hint="eastAsia" w:ascii="仿宋" w:hAnsi="仿宋" w:eastAsia="仿宋" w:cs="仿宋"/>
                <w:color w:val="000000" w:themeColor="text1"/>
                <w:sz w:val="24"/>
                <w:szCs w:val="24"/>
                <w14:textFill>
                  <w14:solidFill>
                    <w14:schemeClr w14:val="tx1"/>
                  </w14:solidFill>
                </w14:textFill>
              </w:rPr>
              <w:sym w:font="Wingdings" w:char="00A8"/>
            </w:r>
            <w:r>
              <w:rPr>
                <w:rFonts w:hint="eastAsia" w:ascii="仿宋" w:hAnsi="仿宋" w:eastAsia="仿宋" w:cs="仿宋"/>
                <w:color w:val="000000" w:themeColor="text1"/>
                <w:sz w:val="24"/>
                <w:szCs w:val="24"/>
                <w14:textFill>
                  <w14:solidFill>
                    <w14:schemeClr w14:val="tx1"/>
                  </w14:solidFill>
                </w14:textFill>
              </w:rPr>
              <w:t xml:space="preserve">实习  </w:t>
            </w:r>
            <w:r>
              <w:rPr>
                <w:rFonts w:hint="eastAsia" w:ascii="仿宋" w:hAnsi="仿宋" w:eastAsia="仿宋" w:cs="仿宋"/>
                <w:color w:val="000000" w:themeColor="text1"/>
                <w:sz w:val="24"/>
                <w:szCs w:val="24"/>
                <w14:textFill>
                  <w14:solidFill>
                    <w14:schemeClr w14:val="tx1"/>
                  </w14:solidFill>
                </w14:textFill>
              </w:rPr>
              <w:sym w:font="Wingdings" w:char="00A8"/>
            </w:r>
            <w:r>
              <w:rPr>
                <w:rFonts w:hint="eastAsia" w:ascii="仿宋" w:hAnsi="仿宋" w:eastAsia="仿宋" w:cs="仿宋"/>
                <w:color w:val="000000" w:themeColor="text1"/>
                <w:sz w:val="24"/>
                <w:szCs w:val="24"/>
                <w14:textFill>
                  <w14:solidFill>
                    <w14:schemeClr w14:val="tx1"/>
                  </w14:solidFill>
                </w14:textFill>
              </w:rPr>
              <w:t xml:space="preserve">参观访问  </w:t>
            </w:r>
            <w:r>
              <w:rPr>
                <w:rFonts w:hint="eastAsia" w:ascii="仿宋" w:hAnsi="仿宋" w:eastAsia="仿宋" w:cs="仿宋"/>
                <w:color w:val="000000" w:themeColor="text1"/>
                <w:sz w:val="24"/>
                <w:szCs w:val="24"/>
                <w14:textFill>
                  <w14:solidFill>
                    <w14:schemeClr w14:val="tx1"/>
                  </w14:solidFill>
                </w14:textFill>
              </w:rPr>
              <w:sym w:font="Wingdings" w:char="00A8"/>
            </w:r>
            <w:r>
              <w:rPr>
                <w:rFonts w:hint="eastAsia" w:ascii="仿宋" w:hAnsi="仿宋" w:eastAsia="仿宋" w:cs="仿宋"/>
                <w:color w:val="000000" w:themeColor="text1"/>
                <w:sz w:val="24"/>
                <w:szCs w:val="24"/>
                <w14:textFill>
                  <w14:solidFill>
                    <w14:schemeClr w14:val="tx1"/>
                  </w14:solidFill>
                </w14:textFill>
              </w:rPr>
              <w:t>其它：</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(如口头训练等)</w:t>
            </w:r>
          </w:p>
        </w:tc>
      </w:tr>
      <w:tr w14:paraId="68C8D847">
        <w:trPr>
          <w:trHeight w:val="580" w:hRule="atLeast"/>
        </w:trPr>
        <w:tc>
          <w:tcPr>
            <w:tcW w:w="1376" w:type="dxa"/>
            <w:vAlign w:val="center"/>
          </w:tcPr>
          <w:p w14:paraId="3BE2C971">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J</w:t>
            </w:r>
          </w:p>
          <w:p w14:paraId="08F6D012">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教学条件</w:t>
            </w:r>
          </w:p>
          <w:p w14:paraId="334D51E8">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需求</w:t>
            </w:r>
          </w:p>
        </w:tc>
        <w:tc>
          <w:tcPr>
            <w:tcW w:w="7772" w:type="dxa"/>
            <w:gridSpan w:val="13"/>
            <w:tcBorders>
              <w:bottom w:val="single" w:color="auto" w:sz="4" w:space="0"/>
            </w:tcBorders>
            <w:vAlign w:val="center"/>
          </w:tcPr>
          <w:p w14:paraId="1F8C3536">
            <w:pPr>
              <w:tabs>
                <w:tab w:val="left" w:pos="720"/>
              </w:tabs>
              <w:adjustRightInd w:val="0"/>
              <w:snapToGrid w:val="0"/>
              <w:spacing w:line="240" w:lineRule="atLeas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（如时间、地点安排与“一课双师”等教师配备需求等）</w:t>
            </w:r>
          </w:p>
          <w:p w14:paraId="3061D12A">
            <w:pPr>
              <w:tabs>
                <w:tab w:val="left" w:pos="720"/>
              </w:tabs>
              <w:adjustRightInd w:val="0"/>
              <w:snapToGrid w:val="0"/>
              <w:ind w:firstLine="240" w:firstLineChars="1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1.需要有好的乐器设备，利于课堂的学习与课后的练习，以此达到更好的效果。</w:t>
            </w:r>
          </w:p>
          <w:p w14:paraId="1804B1C2">
            <w:pPr>
              <w:tabs>
                <w:tab w:val="left" w:pos="720"/>
              </w:tabs>
              <w:adjustRightInd w:val="0"/>
              <w:snapToGrid w:val="0"/>
              <w:ind w:firstLine="240" w:firstLineChars="100"/>
              <w:rPr>
                <w:rFonts w:hint="eastAsia" w:ascii="仿宋" w:hAnsi="仿宋" w:eastAsia="仿宋" w:cs="仿宋"/>
                <w:color w:val="000000"/>
                <w:kern w:val="0"/>
                <w:sz w:val="24"/>
                <w:szCs w:val="24"/>
              </w:rPr>
            </w:pPr>
            <w:r>
              <w:rPr>
                <w:rFonts w:hint="eastAsia" w:ascii="仿宋" w:hAnsi="仿宋" w:eastAsia="仿宋" w:cs="仿宋"/>
                <w:color w:val="000000" w:themeColor="text1"/>
                <w:kern w:val="0"/>
                <w:sz w:val="24"/>
                <w:szCs w:val="24"/>
                <w14:textFill>
                  <w14:solidFill>
                    <w14:schemeClr w14:val="tx1"/>
                  </w14:solidFill>
                </w14:textFill>
              </w:rPr>
              <w:t>2.提供好的艺术实践，积极参与比赛活动，增强管乐应用。</w:t>
            </w:r>
          </w:p>
        </w:tc>
      </w:tr>
      <w:tr w14:paraId="59C8E2BE">
        <w:trPr>
          <w:trHeight w:val="711" w:hRule="atLeast"/>
        </w:trPr>
        <w:tc>
          <w:tcPr>
            <w:tcW w:w="1376" w:type="dxa"/>
            <w:vMerge w:val="restart"/>
            <w:vAlign w:val="center"/>
          </w:tcPr>
          <w:p w14:paraId="6196CCD5">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K</w:t>
            </w:r>
          </w:p>
          <w:p w14:paraId="3DE3E106">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课程目标及其考核内容、考核方式及评分占比</w:t>
            </w:r>
          </w:p>
        </w:tc>
        <w:tc>
          <w:tcPr>
            <w:tcW w:w="1032" w:type="dxa"/>
            <w:vMerge w:val="restart"/>
            <w:vAlign w:val="center"/>
          </w:tcPr>
          <w:p w14:paraId="2D4B8E04">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课程目标及评分占比</w:t>
            </w:r>
          </w:p>
        </w:tc>
        <w:tc>
          <w:tcPr>
            <w:tcW w:w="3247" w:type="dxa"/>
            <w:gridSpan w:val="5"/>
            <w:vMerge w:val="restart"/>
            <w:tcBorders>
              <w:right w:val="single" w:color="000000" w:sz="4" w:space="0"/>
            </w:tcBorders>
            <w:vAlign w:val="center"/>
          </w:tcPr>
          <w:p w14:paraId="6033402D">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考核内容</w:t>
            </w:r>
          </w:p>
        </w:tc>
        <w:tc>
          <w:tcPr>
            <w:tcW w:w="2904" w:type="dxa"/>
            <w:gridSpan w:val="6"/>
            <w:tcBorders>
              <w:left w:val="single" w:color="000000" w:sz="4" w:space="0"/>
              <w:right w:val="single" w:color="000000" w:sz="4" w:space="0"/>
            </w:tcBorders>
            <w:vAlign w:val="center"/>
          </w:tcPr>
          <w:p w14:paraId="2A8A07F4">
            <w:pPr>
              <w:adjustRightInd w:val="0"/>
              <w:snapToGrid w:val="0"/>
              <w:jc w:val="center"/>
              <w:rPr>
                <w:rFonts w:hint="eastAsia" w:ascii="仿宋" w:hAnsi="仿宋" w:eastAsia="仿宋" w:cs="仿宋"/>
                <w:color w:val="4472C4"/>
                <w:sz w:val="24"/>
                <w:szCs w:val="24"/>
              </w:rPr>
            </w:pPr>
            <w:r>
              <w:rPr>
                <w:rFonts w:hint="eastAsia" w:ascii="仿宋" w:hAnsi="仿宋" w:eastAsia="仿宋" w:cs="仿宋"/>
                <w:color w:val="000000" w:themeColor="text1"/>
                <w:sz w:val="24"/>
                <w:szCs w:val="24"/>
                <w14:textFill>
                  <w14:solidFill>
                    <w14:schemeClr w14:val="tx1"/>
                  </w14:solidFill>
                </w14:textFill>
              </w:rPr>
              <w:t>考核方式</w:t>
            </w:r>
          </w:p>
        </w:tc>
        <w:tc>
          <w:tcPr>
            <w:tcW w:w="589" w:type="dxa"/>
            <w:vMerge w:val="restart"/>
            <w:tcBorders>
              <w:left w:val="single" w:color="000000" w:sz="4" w:space="0"/>
            </w:tcBorders>
            <w:vAlign w:val="center"/>
          </w:tcPr>
          <w:p w14:paraId="38454CA4">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sz w:val="24"/>
                <w:szCs w:val="24"/>
              </w:rPr>
              <w:t>课程分目标的达成度</w:t>
            </w:r>
          </w:p>
        </w:tc>
      </w:tr>
      <w:tr w14:paraId="7FFE1144">
        <w:trPr>
          <w:trHeight w:val="635" w:hRule="atLeast"/>
        </w:trPr>
        <w:tc>
          <w:tcPr>
            <w:tcW w:w="1376" w:type="dxa"/>
            <w:vMerge w:val="continue"/>
            <w:vAlign w:val="center"/>
          </w:tcPr>
          <w:p w14:paraId="70FE5CD4">
            <w:pPr>
              <w:adjustRightInd w:val="0"/>
              <w:snapToGrid w:val="0"/>
              <w:spacing w:line="240" w:lineRule="atLeast"/>
              <w:jc w:val="center"/>
              <w:rPr>
                <w:rFonts w:hint="eastAsia" w:ascii="仿宋" w:hAnsi="仿宋" w:eastAsia="仿宋" w:cs="仿宋"/>
                <w:color w:val="000000"/>
                <w:sz w:val="24"/>
                <w:szCs w:val="24"/>
              </w:rPr>
            </w:pPr>
          </w:p>
        </w:tc>
        <w:tc>
          <w:tcPr>
            <w:tcW w:w="1032" w:type="dxa"/>
            <w:vMerge w:val="continue"/>
            <w:tcBorders>
              <w:tl2br w:val="single" w:color="auto" w:sz="4" w:space="0"/>
            </w:tcBorders>
            <w:vAlign w:val="center"/>
          </w:tcPr>
          <w:p w14:paraId="228D3E32">
            <w:pPr>
              <w:adjustRightInd w:val="0"/>
              <w:snapToGrid w:val="0"/>
              <w:jc w:val="right"/>
              <w:rPr>
                <w:rFonts w:hint="eastAsia" w:ascii="仿宋" w:hAnsi="仿宋" w:eastAsia="仿宋" w:cs="仿宋"/>
                <w:color w:val="000000"/>
                <w:sz w:val="24"/>
                <w:szCs w:val="24"/>
              </w:rPr>
            </w:pPr>
          </w:p>
        </w:tc>
        <w:tc>
          <w:tcPr>
            <w:tcW w:w="3247" w:type="dxa"/>
            <w:gridSpan w:val="5"/>
            <w:vMerge w:val="continue"/>
            <w:tcBorders>
              <w:right w:val="single" w:color="000000" w:sz="4" w:space="0"/>
            </w:tcBorders>
            <w:vAlign w:val="center"/>
          </w:tcPr>
          <w:p w14:paraId="53574BD8">
            <w:pPr>
              <w:tabs>
                <w:tab w:val="left" w:pos="720"/>
              </w:tabs>
              <w:adjustRightInd w:val="0"/>
              <w:snapToGrid w:val="0"/>
              <w:jc w:val="center"/>
              <w:rPr>
                <w:rFonts w:hint="eastAsia" w:ascii="仿宋" w:hAnsi="仿宋" w:eastAsia="仿宋" w:cs="仿宋"/>
                <w:color w:val="000000"/>
                <w:kern w:val="0"/>
                <w:sz w:val="24"/>
                <w:szCs w:val="24"/>
              </w:rPr>
            </w:pPr>
          </w:p>
        </w:tc>
        <w:tc>
          <w:tcPr>
            <w:tcW w:w="1430" w:type="dxa"/>
            <w:gridSpan w:val="4"/>
            <w:tcBorders>
              <w:left w:val="single" w:color="000000" w:sz="4" w:space="0"/>
            </w:tcBorders>
            <w:vAlign w:val="center"/>
          </w:tcPr>
          <w:p w14:paraId="361B2E2E">
            <w:pPr>
              <w:ind w:firstLine="240" w:firstLineChars="100"/>
            </w:pPr>
            <w:r>
              <w:rPr>
                <w:rFonts w:hint="eastAsia" w:ascii="仿宋" w:hAnsi="仿宋" w:eastAsia="仿宋" w:cs="仿宋"/>
                <w:color w:val="000000"/>
                <w:kern w:val="0"/>
                <w:sz w:val="24"/>
                <w:szCs w:val="24"/>
              </w:rPr>
              <w:t>期中考试评分占比</w:t>
            </w:r>
            <w:r>
              <w:rPr>
                <w:rFonts w:hint="eastAsia" w:ascii="仿宋" w:hAnsi="仿宋" w:eastAsia="仿宋" w:cs="仿宋"/>
                <w:color w:val="000000"/>
                <w:sz w:val="24"/>
                <w:szCs w:val="24"/>
              </w:rPr>
              <w:t>（%）</w:t>
            </w:r>
          </w:p>
        </w:tc>
        <w:tc>
          <w:tcPr>
            <w:tcW w:w="1474" w:type="dxa"/>
            <w:gridSpan w:val="2"/>
            <w:tcBorders>
              <w:left w:val="single" w:color="000000" w:sz="4" w:space="0"/>
              <w:bottom w:val="single" w:color="auto" w:sz="4" w:space="0"/>
              <w:right w:val="single" w:color="000000" w:sz="4" w:space="0"/>
            </w:tcBorders>
            <w:vAlign w:val="center"/>
          </w:tcPr>
          <w:p w14:paraId="1C255423">
            <w:pPr>
              <w:adjustRightInd w:val="0"/>
              <w:snapToGrid w:val="0"/>
              <w:jc w:val="center"/>
              <w:rPr>
                <w:rFonts w:hint="eastAsia" w:ascii="仿宋" w:hAnsi="仿宋" w:eastAsia="仿宋" w:cs="仿宋"/>
                <w:color w:val="4472C4"/>
                <w:sz w:val="24"/>
                <w:szCs w:val="24"/>
              </w:rPr>
            </w:pPr>
            <w:r>
              <w:rPr>
                <w:rFonts w:hint="eastAsia" w:ascii="仿宋" w:hAnsi="仿宋" w:eastAsia="仿宋" w:cs="仿宋"/>
                <w:color w:val="000000"/>
                <w:sz w:val="24"/>
                <w:szCs w:val="24"/>
              </w:rPr>
              <w:t xml:space="preserve"> 期末考试评分占比（%）</w:t>
            </w:r>
          </w:p>
        </w:tc>
        <w:tc>
          <w:tcPr>
            <w:tcW w:w="589" w:type="dxa"/>
            <w:vMerge w:val="continue"/>
            <w:tcBorders>
              <w:left w:val="single" w:color="000000" w:sz="4" w:space="0"/>
              <w:bottom w:val="single" w:color="auto" w:sz="4" w:space="0"/>
            </w:tcBorders>
            <w:vAlign w:val="center"/>
          </w:tcPr>
          <w:p w14:paraId="484CE999">
            <w:pPr>
              <w:tabs>
                <w:tab w:val="left" w:pos="720"/>
              </w:tabs>
              <w:adjustRightInd w:val="0"/>
              <w:snapToGrid w:val="0"/>
              <w:jc w:val="center"/>
              <w:rPr>
                <w:rFonts w:hint="eastAsia" w:ascii="仿宋" w:hAnsi="仿宋" w:eastAsia="仿宋" w:cs="仿宋"/>
                <w:color w:val="000000"/>
                <w:sz w:val="24"/>
                <w:szCs w:val="24"/>
              </w:rPr>
            </w:pPr>
          </w:p>
        </w:tc>
      </w:tr>
      <w:tr w14:paraId="284FFDE6">
        <w:tc>
          <w:tcPr>
            <w:tcW w:w="1376" w:type="dxa"/>
            <w:vMerge w:val="continue"/>
            <w:vAlign w:val="center"/>
          </w:tcPr>
          <w:p w14:paraId="51FFF3E8">
            <w:pPr>
              <w:adjustRightInd w:val="0"/>
              <w:snapToGrid w:val="0"/>
              <w:spacing w:line="240" w:lineRule="atLeast"/>
              <w:jc w:val="center"/>
              <w:rPr>
                <w:rFonts w:hint="eastAsia" w:ascii="仿宋" w:hAnsi="仿宋" w:eastAsia="仿宋" w:cs="仿宋"/>
                <w:color w:val="000000"/>
                <w:sz w:val="24"/>
                <w:szCs w:val="24"/>
                <w:lang w:eastAsia="zh-TW"/>
              </w:rPr>
            </w:pPr>
          </w:p>
        </w:tc>
        <w:tc>
          <w:tcPr>
            <w:tcW w:w="1032" w:type="dxa"/>
            <w:tcBorders>
              <w:bottom w:val="single" w:color="auto" w:sz="4" w:space="0"/>
            </w:tcBorders>
            <w:vAlign w:val="center"/>
          </w:tcPr>
          <w:p w14:paraId="1E31A8B5">
            <w:pPr>
              <w:adjustRightInd w:val="0"/>
              <w:snapToGrid w:val="0"/>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课程目标（100%）</w:t>
            </w:r>
          </w:p>
        </w:tc>
        <w:tc>
          <w:tcPr>
            <w:tcW w:w="3247" w:type="dxa"/>
            <w:gridSpan w:val="5"/>
            <w:tcBorders>
              <w:bottom w:val="single" w:color="auto" w:sz="4" w:space="0"/>
              <w:right w:val="single" w:color="000000" w:sz="4" w:space="0"/>
            </w:tcBorders>
            <w:vAlign w:val="center"/>
          </w:tcPr>
          <w:p w14:paraId="6257BCD0">
            <w:pPr>
              <w:widowControl/>
              <w:autoSpaceDE w:val="0"/>
              <w:autoSpaceDN w:val="0"/>
              <w:adjustRightInd w:val="0"/>
              <w:snapToGrid w:val="0"/>
              <w:jc w:val="left"/>
              <w:textAlignment w:val="bottom"/>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1.对掌握萨克斯的基本理论的掌握。</w:t>
            </w:r>
          </w:p>
          <w:p w14:paraId="45465B1C">
            <w:pPr>
              <w:adjustRightInd w:val="0"/>
              <w:snapToGrid w:val="0"/>
              <w:jc w:val="left"/>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2.对萨克斯基本技术的掌握和综合运用。</w:t>
            </w:r>
          </w:p>
        </w:tc>
        <w:tc>
          <w:tcPr>
            <w:tcW w:w="1430" w:type="dxa"/>
            <w:gridSpan w:val="4"/>
            <w:tcBorders>
              <w:left w:val="single" w:color="000000" w:sz="4" w:space="0"/>
              <w:bottom w:val="single" w:color="auto" w:sz="4" w:space="0"/>
              <w:right w:val="single" w:color="auto" w:sz="4" w:space="0"/>
            </w:tcBorders>
            <w:vAlign w:val="center"/>
          </w:tcPr>
          <w:p w14:paraId="1CC00218">
            <w:pPr>
              <w:adjustRightInd w:val="0"/>
              <w:snapToGrid w:val="0"/>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 xml:space="preserve">     30</w:t>
            </w:r>
          </w:p>
        </w:tc>
        <w:tc>
          <w:tcPr>
            <w:tcW w:w="1474" w:type="dxa"/>
            <w:gridSpan w:val="2"/>
            <w:tcBorders>
              <w:left w:val="single" w:color="000000" w:sz="4" w:space="0"/>
              <w:bottom w:val="single" w:color="auto" w:sz="4" w:space="0"/>
              <w:right w:val="single" w:color="auto" w:sz="4" w:space="0"/>
            </w:tcBorders>
            <w:vAlign w:val="center"/>
          </w:tcPr>
          <w:p w14:paraId="2B045386">
            <w:pPr>
              <w:adjustRightInd w:val="0"/>
              <w:snapToGrid w:val="0"/>
              <w:jc w:val="center"/>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70</w:t>
            </w:r>
          </w:p>
        </w:tc>
        <w:tc>
          <w:tcPr>
            <w:tcW w:w="589" w:type="dxa"/>
            <w:tcBorders>
              <w:left w:val="single" w:color="auto" w:sz="4" w:space="0"/>
              <w:bottom w:val="single" w:color="auto" w:sz="4" w:space="0"/>
            </w:tcBorders>
            <w:vAlign w:val="center"/>
          </w:tcPr>
          <w:p w14:paraId="2E21B8C9">
            <w:pPr>
              <w:tabs>
                <w:tab w:val="left" w:pos="720"/>
              </w:tabs>
              <w:adjustRightInd w:val="0"/>
              <w:snapToGrid w:val="0"/>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 xml:space="preserve">  -</w:t>
            </w:r>
          </w:p>
        </w:tc>
      </w:tr>
      <w:tr w14:paraId="25E1B784">
        <w:tc>
          <w:tcPr>
            <w:tcW w:w="1376" w:type="dxa"/>
            <w:vAlign w:val="center"/>
          </w:tcPr>
          <w:p w14:paraId="6CDC434E">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L</w:t>
            </w:r>
          </w:p>
          <w:p w14:paraId="7B29B7B1">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学习建议</w:t>
            </w:r>
          </w:p>
        </w:tc>
        <w:tc>
          <w:tcPr>
            <w:tcW w:w="7772" w:type="dxa"/>
            <w:gridSpan w:val="13"/>
            <w:tcBorders>
              <w:bottom w:val="single" w:color="auto" w:sz="4" w:space="0"/>
            </w:tcBorders>
            <w:vAlign w:val="center"/>
          </w:tcPr>
          <w:p w14:paraId="135DCA20">
            <w:pPr>
              <w:adjustRightInd w:val="0"/>
              <w:snapToGrid w:val="0"/>
              <w:rPr>
                <w:rFonts w:hint="eastAsia"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1.自主学习。建议学生通过预习教材，并通过网络、图书馆自主查阅课程中涉及的学习资源，独立规划自己的课程学习计划，充分发挥自身的学习能动性。</w:t>
            </w:r>
          </w:p>
          <w:p w14:paraId="1FF3740C">
            <w:pPr>
              <w:adjustRightInd w:val="0"/>
              <w:snapToGrid w:val="0"/>
              <w:rPr>
                <w:rFonts w:hint="eastAsia" w:ascii="仿宋" w:hAnsi="仿宋" w:eastAsia="仿宋" w:cs="仿宋"/>
                <w:color w:val="4472C4"/>
                <w:kern w:val="0"/>
                <w:sz w:val="24"/>
                <w:szCs w:val="24"/>
              </w:rPr>
            </w:pPr>
            <w:r>
              <w:rPr>
                <w:rFonts w:hint="eastAsia" w:ascii="仿宋" w:hAnsi="仿宋" w:eastAsia="仿宋" w:cs="仿宋"/>
                <w:bCs/>
                <w:color w:val="000000" w:themeColor="text1"/>
                <w:sz w:val="24"/>
                <w:szCs w:val="24"/>
                <w14:textFill>
                  <w14:solidFill>
                    <w14:schemeClr w14:val="tx1"/>
                  </w14:solidFill>
                </w14:textFill>
              </w:rPr>
              <w:t>2.研究性学习。鼓励学生针对课程教学内容，尝试理论课结合专题报告的教学方式，开展相关的萨克斯进展和专题讲座，提高学生的学习兴趣，了解国内外最新萨克斯知识，开阔学生的视野。</w:t>
            </w:r>
          </w:p>
        </w:tc>
      </w:tr>
      <w:tr w14:paraId="1A0C9C8B">
        <w:trPr>
          <w:trHeight w:val="454" w:hRule="atLeast"/>
        </w:trPr>
        <w:tc>
          <w:tcPr>
            <w:tcW w:w="1376" w:type="dxa"/>
            <w:vAlign w:val="center"/>
          </w:tcPr>
          <w:p w14:paraId="5000556B">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M</w:t>
            </w:r>
          </w:p>
          <w:p w14:paraId="764B623D">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评分量表</w:t>
            </w:r>
          </w:p>
        </w:tc>
        <w:tc>
          <w:tcPr>
            <w:tcW w:w="7772" w:type="dxa"/>
            <w:gridSpan w:val="13"/>
            <w:vAlign w:val="center"/>
          </w:tcPr>
          <w:p w14:paraId="47576977">
            <w:pPr>
              <w:adjustRightInd w:val="0"/>
              <w:snapToGrid w:val="0"/>
              <w:spacing w:line="320" w:lineRule="exact"/>
              <w:jc w:val="left"/>
              <w:rPr>
                <w:rFonts w:hint="eastAsia" w:ascii="宋体" w:hAnsi="宋体"/>
                <w:bCs/>
                <w:color w:val="000000"/>
                <w:sz w:val="24"/>
                <w:szCs w:val="24"/>
              </w:rPr>
            </w:pPr>
            <w:r>
              <w:rPr>
                <w:rFonts w:hint="eastAsia" w:ascii="宋体" w:hAnsi="宋体"/>
                <w:bCs/>
                <w:color w:val="000000"/>
                <w:sz w:val="24"/>
                <w:szCs w:val="24"/>
              </w:rPr>
              <w:t>萨克斯考核方法  现场演奏</w:t>
            </w:r>
          </w:p>
          <w:p w14:paraId="0B41498D">
            <w:pPr>
              <w:widowControl/>
              <w:tabs>
                <w:tab w:val="left" w:pos="4395"/>
              </w:tabs>
              <w:adjustRightInd w:val="0"/>
              <w:snapToGrid w:val="0"/>
              <w:spacing w:line="320" w:lineRule="exact"/>
              <w:jc w:val="left"/>
              <w:rPr>
                <w:rFonts w:hint="eastAsia"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课程的考核内容为教师指定的器乐曲目。</w:t>
            </w:r>
            <w:r>
              <w:rPr>
                <w:rFonts w:ascii="宋体" w:hAnsi="宋体" w:cs="宋体"/>
                <w:color w:val="000000"/>
                <w:kern w:val="0"/>
                <w:sz w:val="24"/>
                <w:szCs w:val="24"/>
                <w:shd w:val="clear" w:color="auto" w:fill="FFFFFF"/>
              </w:rPr>
              <w:tab/>
            </w:r>
          </w:p>
          <w:p w14:paraId="7AAF325A">
            <w:pPr>
              <w:widowControl/>
              <w:adjustRightInd w:val="0"/>
              <w:snapToGrid w:val="0"/>
              <w:spacing w:line="320" w:lineRule="exact"/>
              <w:jc w:val="left"/>
              <w:rPr>
                <w:rFonts w:hint="eastAsia"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考试成绩由全体教研室教师参与考核评议，按平均值记分。凡考试中演奏的曲目及内容不符合要求者，在最后的总评成绩中扣除10分。凡考试演奏中有明显失误者，以及无正当理由缺考、误考者，均需补考。</w:t>
            </w:r>
          </w:p>
          <w:p w14:paraId="6737B2B2">
            <w:pPr>
              <w:widowControl/>
              <w:adjustRightInd w:val="0"/>
              <w:snapToGrid w:val="0"/>
              <w:spacing w:line="320" w:lineRule="exact"/>
              <w:jc w:val="left"/>
              <w:rPr>
                <w:rFonts w:hint="eastAsia"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考试成绩以最后修毕成绩为准。期末考试成绩作为学习成绩记录在案，以备参考。</w:t>
            </w:r>
          </w:p>
          <w:p w14:paraId="3519ED34">
            <w:pPr>
              <w:adjustRightInd w:val="0"/>
              <w:snapToGrid w:val="0"/>
              <w:spacing w:line="320" w:lineRule="exact"/>
              <w:jc w:val="left"/>
              <w:rPr>
                <w:rFonts w:hint="eastAsia" w:ascii="宋体" w:hAnsi="宋体"/>
                <w:color w:val="000000"/>
                <w:spacing w:val="-2"/>
                <w:kern w:val="0"/>
                <w:sz w:val="24"/>
                <w:szCs w:val="24"/>
              </w:rPr>
            </w:pPr>
            <w:r>
              <w:rPr>
                <w:rFonts w:hint="eastAsia" w:ascii="宋体" w:hAnsi="宋体"/>
                <w:color w:val="000000"/>
                <w:spacing w:val="-2"/>
                <w:kern w:val="0"/>
                <w:sz w:val="24"/>
                <w:szCs w:val="24"/>
              </w:rPr>
              <w:t>1）要求：学习的第一至第四学期各考一首乐曲，曲目由教师所指定。</w:t>
            </w:r>
          </w:p>
          <w:p w14:paraId="41DE4318">
            <w:pPr>
              <w:adjustRightInd w:val="0"/>
              <w:snapToGrid w:val="0"/>
              <w:spacing w:line="320" w:lineRule="exact"/>
              <w:jc w:val="left"/>
              <w:rPr>
                <w:rFonts w:hint="eastAsia" w:ascii="宋体" w:hAnsi="宋体"/>
                <w:color w:val="000000"/>
                <w:spacing w:val="-2"/>
                <w:kern w:val="0"/>
                <w:sz w:val="24"/>
                <w:szCs w:val="24"/>
              </w:rPr>
            </w:pPr>
            <w:r>
              <w:rPr>
                <w:rFonts w:hint="eastAsia" w:ascii="宋体" w:hAnsi="宋体"/>
                <w:color w:val="000000"/>
                <w:spacing w:val="-2"/>
                <w:kern w:val="0"/>
                <w:sz w:val="24"/>
                <w:szCs w:val="24"/>
              </w:rPr>
              <w:t>2）范围：教师根据学生的程度在曲集中选择。</w:t>
            </w:r>
          </w:p>
          <w:p w14:paraId="7F0E3B64">
            <w:pPr>
              <w:adjustRightInd w:val="0"/>
              <w:snapToGrid w:val="0"/>
              <w:spacing w:line="320" w:lineRule="exact"/>
              <w:jc w:val="left"/>
              <w:rPr>
                <w:rFonts w:hint="eastAsia" w:ascii="宋体" w:hAnsi="宋体"/>
                <w:color w:val="000000"/>
                <w:spacing w:val="-2"/>
                <w:kern w:val="0"/>
                <w:sz w:val="24"/>
                <w:szCs w:val="24"/>
              </w:rPr>
            </w:pPr>
            <w:r>
              <w:rPr>
                <w:rFonts w:hint="eastAsia" w:ascii="宋体" w:hAnsi="宋体"/>
                <w:color w:val="000000"/>
                <w:spacing w:val="-2"/>
                <w:kern w:val="0"/>
                <w:sz w:val="24"/>
                <w:szCs w:val="24"/>
              </w:rPr>
              <w:t>3）</w:t>
            </w:r>
            <w:r>
              <w:rPr>
                <w:rFonts w:hint="eastAsia" w:ascii="宋体" w:hAnsi="宋体"/>
                <w:color w:val="000000"/>
                <w:sz w:val="24"/>
                <w:szCs w:val="24"/>
              </w:rPr>
              <w:t>分数评定办法：考试一律采用百分制，现</w:t>
            </w:r>
            <w:r>
              <w:rPr>
                <w:rFonts w:hint="eastAsia" w:ascii="宋体" w:hAnsi="宋体"/>
                <w:color w:val="000000"/>
                <w:spacing w:val="-2"/>
                <w:kern w:val="0"/>
                <w:sz w:val="24"/>
                <w:szCs w:val="24"/>
              </w:rPr>
              <w:t>学习的第</w:t>
            </w:r>
            <w:r>
              <w:rPr>
                <w:rFonts w:hint="eastAsia" w:ascii="宋体" w:hAnsi="宋体"/>
                <w:color w:val="000000"/>
                <w:sz w:val="24"/>
                <w:szCs w:val="24"/>
              </w:rPr>
              <w:t>一学期最高85分，最低不封底；第二至第四学期最高90分、95分，最低不封底。</w:t>
            </w:r>
          </w:p>
          <w:p w14:paraId="2622C5B5">
            <w:pPr>
              <w:adjustRightInd w:val="0"/>
              <w:snapToGrid w:val="0"/>
              <w:spacing w:line="320" w:lineRule="exact"/>
              <w:jc w:val="left"/>
              <w:rPr>
                <w:rFonts w:hint="eastAsia" w:ascii="宋体" w:hAnsi="宋体"/>
                <w:color w:val="000000"/>
                <w:spacing w:val="-2"/>
                <w:kern w:val="0"/>
                <w:sz w:val="24"/>
                <w:szCs w:val="24"/>
              </w:rPr>
            </w:pPr>
            <w:r>
              <w:rPr>
                <w:rFonts w:hint="eastAsia" w:ascii="宋体" w:hAnsi="宋体"/>
                <w:color w:val="000000"/>
                <w:spacing w:val="-2"/>
                <w:kern w:val="0"/>
                <w:sz w:val="24"/>
                <w:szCs w:val="24"/>
              </w:rPr>
              <w:t>4）评分依据：从乐曲的完整性、难易程度、演奏技术、音乐表现力四个方面来把握。</w:t>
            </w:r>
          </w:p>
          <w:p w14:paraId="54BBA7BF">
            <w:pPr>
              <w:tabs>
                <w:tab w:val="left" w:pos="720"/>
              </w:tabs>
              <w:adjustRightInd w:val="0"/>
              <w:snapToGrid w:val="0"/>
              <w:rPr>
                <w:rFonts w:hint="eastAsia" w:ascii="仿宋" w:hAnsi="仿宋" w:eastAsia="仿宋" w:cs="仿宋"/>
                <w:color w:val="000000"/>
                <w:kern w:val="0"/>
                <w:sz w:val="24"/>
                <w:szCs w:val="24"/>
              </w:rPr>
            </w:pPr>
            <w:r>
              <w:rPr>
                <w:rFonts w:hint="eastAsia" w:ascii="宋体" w:hAnsi="宋体"/>
                <w:color w:val="000000"/>
                <w:spacing w:val="-2"/>
                <w:kern w:val="0"/>
                <w:sz w:val="24"/>
                <w:szCs w:val="24"/>
              </w:rPr>
              <w:t>5）计分：取教师的平均分为考生的考试成绩。</w:t>
            </w:r>
          </w:p>
        </w:tc>
      </w:tr>
      <w:tr w14:paraId="0D3820D7">
        <w:trPr>
          <w:trHeight w:val="454" w:hRule="atLeast"/>
        </w:trPr>
        <w:tc>
          <w:tcPr>
            <w:tcW w:w="1376" w:type="dxa"/>
            <w:vAlign w:val="center"/>
          </w:tcPr>
          <w:p w14:paraId="79746DF7">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备注</w:t>
            </w:r>
          </w:p>
        </w:tc>
        <w:tc>
          <w:tcPr>
            <w:tcW w:w="7772" w:type="dxa"/>
            <w:gridSpan w:val="13"/>
            <w:vAlign w:val="center"/>
          </w:tcPr>
          <w:p w14:paraId="63544F91">
            <w:pPr>
              <w:adjustRightInd w:val="0"/>
              <w:snapToGrid w:val="0"/>
              <w:rPr>
                <w:rFonts w:hint="eastAsia" w:ascii="仿宋" w:hAnsi="仿宋" w:eastAsia="仿宋" w:cs="仿宋"/>
                <w:color w:val="000000"/>
                <w:kern w:val="0"/>
                <w:sz w:val="24"/>
                <w:szCs w:val="24"/>
              </w:rPr>
            </w:pPr>
          </w:p>
        </w:tc>
      </w:tr>
      <w:tr w14:paraId="28C2EE8A">
        <w:trPr>
          <w:trHeight w:val="771" w:hRule="atLeast"/>
        </w:trPr>
        <w:tc>
          <w:tcPr>
            <w:tcW w:w="1376" w:type="dxa"/>
            <w:vAlign w:val="center"/>
          </w:tcPr>
          <w:p w14:paraId="5B7563AE">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审批</w:t>
            </w:r>
          </w:p>
          <w:p w14:paraId="236274E4">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意见</w:t>
            </w:r>
          </w:p>
        </w:tc>
        <w:tc>
          <w:tcPr>
            <w:tcW w:w="3869" w:type="dxa"/>
            <w:gridSpan w:val="4"/>
            <w:vAlign w:val="center"/>
          </w:tcPr>
          <w:p w14:paraId="186B6C2B">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课程教学大纲修订负责人及教学团队成员</w:t>
            </w:r>
            <w:r>
              <w:rPr>
                <w:rFonts w:hint="eastAsia" w:ascii="仿宋" w:hAnsi="仿宋" w:eastAsia="仿宋" w:cs="仿宋"/>
                <w:color w:val="000000"/>
                <w:sz w:val="24"/>
                <w:szCs w:val="24"/>
              </w:rPr>
              <w:t>签名</w:t>
            </w:r>
            <w:r>
              <w:rPr>
                <w:rFonts w:hint="eastAsia" w:ascii="仿宋" w:hAnsi="仿宋" w:eastAsia="仿宋" w:cs="仿宋"/>
                <w:kern w:val="0"/>
                <w:sz w:val="24"/>
                <w:szCs w:val="24"/>
              </w:rPr>
              <w:t xml:space="preserve">：   </w:t>
            </w:r>
          </w:p>
          <w:p w14:paraId="2AD342BD">
            <w:pPr>
              <w:widowControl/>
              <w:adjustRightInd w:val="0"/>
              <w:snapToGrid w:val="0"/>
              <w:jc w:val="left"/>
              <w:rPr>
                <w:rFonts w:hint="eastAsia" w:ascii="仿宋" w:hAnsi="仿宋" w:eastAsia="仿宋" w:cs="仿宋"/>
                <w:kern w:val="0"/>
                <w:sz w:val="24"/>
                <w:szCs w:val="24"/>
              </w:rPr>
            </w:pPr>
          </w:p>
          <w:p w14:paraId="4E09EB9C">
            <w:pPr>
              <w:widowControl/>
              <w:adjustRightInd w:val="0"/>
              <w:snapToGrid w:val="0"/>
              <w:jc w:val="left"/>
              <w:rPr>
                <w:rFonts w:hint="eastAsia" w:ascii="仿宋" w:hAnsi="仿宋" w:eastAsia="仿宋" w:cs="仿宋"/>
                <w:kern w:val="0"/>
                <w:sz w:val="24"/>
                <w:szCs w:val="24"/>
              </w:rPr>
            </w:pPr>
          </w:p>
          <w:p w14:paraId="34F32FC6">
            <w:pPr>
              <w:widowControl/>
              <w:adjustRightInd w:val="0"/>
              <w:snapToGrid w:val="0"/>
              <w:jc w:val="left"/>
              <w:rPr>
                <w:rFonts w:hint="eastAsia" w:ascii="仿宋" w:hAnsi="仿宋" w:eastAsia="仿宋" w:cs="仿宋"/>
                <w:kern w:val="0"/>
                <w:sz w:val="24"/>
                <w:szCs w:val="24"/>
              </w:rPr>
            </w:pPr>
          </w:p>
          <w:p w14:paraId="3BFDD73E">
            <w:pPr>
              <w:widowControl/>
              <w:adjustRightInd w:val="0"/>
              <w:snapToGrid w:val="0"/>
              <w:jc w:val="left"/>
              <w:rPr>
                <w:rFonts w:hint="eastAsia" w:ascii="仿宋" w:hAnsi="仿宋" w:eastAsia="仿宋" w:cs="仿宋"/>
                <w:kern w:val="0"/>
                <w:sz w:val="24"/>
                <w:szCs w:val="24"/>
              </w:rPr>
            </w:pPr>
          </w:p>
          <w:p w14:paraId="3BBDE73F">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 xml:space="preserve">                                                   年   月   日 </w:t>
            </w:r>
          </w:p>
          <w:p w14:paraId="69F60362">
            <w:pPr>
              <w:widowControl/>
              <w:adjustRightInd w:val="0"/>
              <w:snapToGrid w:val="0"/>
              <w:jc w:val="right"/>
              <w:rPr>
                <w:rFonts w:hint="eastAsia" w:ascii="仿宋" w:hAnsi="仿宋" w:eastAsia="仿宋" w:cs="仿宋"/>
                <w:kern w:val="0"/>
                <w:sz w:val="24"/>
                <w:szCs w:val="24"/>
              </w:rPr>
            </w:pPr>
          </w:p>
        </w:tc>
        <w:tc>
          <w:tcPr>
            <w:tcW w:w="3903" w:type="dxa"/>
            <w:gridSpan w:val="9"/>
            <w:vAlign w:val="center"/>
          </w:tcPr>
          <w:p w14:paraId="1927EA40">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系主任审核意见：</w:t>
            </w:r>
          </w:p>
          <w:p w14:paraId="0494DCC6">
            <w:pPr>
              <w:widowControl/>
              <w:adjustRightInd w:val="0"/>
              <w:snapToGrid w:val="0"/>
              <w:jc w:val="left"/>
              <w:rPr>
                <w:rFonts w:hint="eastAsia" w:ascii="仿宋" w:hAnsi="仿宋" w:eastAsia="仿宋" w:cs="仿宋"/>
                <w:kern w:val="0"/>
                <w:sz w:val="24"/>
                <w:szCs w:val="24"/>
              </w:rPr>
            </w:pPr>
          </w:p>
          <w:p w14:paraId="6DAAF4D6">
            <w:pPr>
              <w:widowControl/>
              <w:adjustRightInd w:val="0"/>
              <w:snapToGrid w:val="0"/>
              <w:jc w:val="left"/>
              <w:rPr>
                <w:rFonts w:hint="eastAsia" w:ascii="仿宋" w:hAnsi="仿宋" w:eastAsia="仿宋" w:cs="仿宋"/>
                <w:kern w:val="0"/>
                <w:sz w:val="24"/>
                <w:szCs w:val="24"/>
              </w:rPr>
            </w:pPr>
          </w:p>
          <w:p w14:paraId="419AD7AB">
            <w:pPr>
              <w:widowControl/>
              <w:adjustRightInd w:val="0"/>
              <w:snapToGrid w:val="0"/>
              <w:jc w:val="left"/>
              <w:rPr>
                <w:rFonts w:hint="eastAsia" w:ascii="仿宋" w:hAnsi="仿宋" w:eastAsia="仿宋" w:cs="仿宋"/>
                <w:kern w:val="0"/>
                <w:sz w:val="24"/>
                <w:szCs w:val="24"/>
              </w:rPr>
            </w:pPr>
          </w:p>
          <w:p w14:paraId="1A375D5F">
            <w:pPr>
              <w:widowControl/>
              <w:adjustRightInd w:val="0"/>
              <w:snapToGrid w:val="0"/>
              <w:jc w:val="left"/>
              <w:rPr>
                <w:rFonts w:hint="eastAsia" w:ascii="仿宋" w:hAnsi="仿宋" w:eastAsia="仿宋" w:cs="仿宋"/>
                <w:kern w:val="0"/>
                <w:sz w:val="24"/>
                <w:szCs w:val="24"/>
              </w:rPr>
            </w:pPr>
          </w:p>
          <w:p w14:paraId="4D00B5A1">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系主任签名：</w:t>
            </w:r>
          </w:p>
          <w:p w14:paraId="16A408FA">
            <w:pPr>
              <w:widowControl/>
              <w:adjustRightInd w:val="0"/>
              <w:snapToGrid w:val="0"/>
              <w:jc w:val="right"/>
              <w:rPr>
                <w:rFonts w:hint="eastAsia" w:ascii="仿宋" w:hAnsi="仿宋" w:eastAsia="仿宋" w:cs="仿宋"/>
                <w:kern w:val="0"/>
                <w:sz w:val="24"/>
                <w:szCs w:val="24"/>
              </w:rPr>
            </w:pPr>
          </w:p>
          <w:p w14:paraId="60BFFA22">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年   月   日</w:t>
            </w:r>
          </w:p>
          <w:p w14:paraId="111F86FD">
            <w:pPr>
              <w:widowControl/>
              <w:adjustRightInd w:val="0"/>
              <w:snapToGrid w:val="0"/>
              <w:jc w:val="right"/>
              <w:rPr>
                <w:rFonts w:hint="eastAsia" w:ascii="仿宋" w:hAnsi="仿宋" w:eastAsia="仿宋" w:cs="仿宋"/>
                <w:kern w:val="0"/>
                <w:sz w:val="24"/>
                <w:szCs w:val="24"/>
              </w:rPr>
            </w:pPr>
          </w:p>
        </w:tc>
      </w:tr>
    </w:tbl>
    <w:p w14:paraId="5198D436">
      <w:pPr>
        <w:widowControl/>
        <w:spacing w:line="360" w:lineRule="auto"/>
        <w:ind w:right="480" w:firstLine="420" w:firstLineChars="200"/>
        <w:rPr>
          <w:rFonts w:eastAsia="PMingLiU" w:cs="黑体"/>
          <w:lang w:eastAsia="zh-TW"/>
        </w:rPr>
      </w:pPr>
    </w:p>
    <w:p w14:paraId="3EEB5C76">
      <w:pPr>
        <w:widowControl/>
        <w:spacing w:line="360" w:lineRule="auto"/>
        <w:ind w:right="480" w:firstLine="420" w:firstLineChars="200"/>
        <w:rPr>
          <w:rFonts w:eastAsia="PMingLiU" w:cs="黑体"/>
          <w:lang w:eastAsia="zh-TW"/>
        </w:rPr>
      </w:pPr>
    </w:p>
    <w:p w14:paraId="33443FD3">
      <w:pPr>
        <w:widowControl/>
        <w:spacing w:line="360" w:lineRule="auto"/>
        <w:ind w:right="480" w:firstLine="420" w:firstLineChars="200"/>
        <w:rPr>
          <w:rFonts w:cs="黑体"/>
        </w:rPr>
        <w:sectPr>
          <w:headerReference r:id="rId45" w:type="default"/>
          <w:footerReference r:id="rId46" w:type="default"/>
          <w:pgSz w:w="11906" w:h="16838"/>
          <w:pgMar w:top="1134" w:right="1417" w:bottom="1134" w:left="1417" w:header="851" w:footer="992" w:gutter="0"/>
          <w:cols w:space="720" w:num="1"/>
          <w:docGrid w:type="lines" w:linePitch="312" w:charSpace="0"/>
        </w:sectPr>
      </w:pPr>
    </w:p>
    <w:p w14:paraId="1844F528">
      <w:pPr>
        <w:adjustRightInd w:val="0"/>
        <w:snapToGrid w:val="0"/>
        <w:spacing w:line="360" w:lineRule="auto"/>
        <w:jc w:val="left"/>
        <w:rPr>
          <w:rFonts w:cs="黑体"/>
        </w:rPr>
      </w:pPr>
      <w:r>
        <w:rPr>
          <w:rFonts w:hint="eastAsia" w:ascii="仿宋" w:hAnsi="仿宋" w:eastAsia="仿宋" w:cs="仿宋"/>
          <w:color w:val="000000"/>
          <w:sz w:val="32"/>
          <w:szCs w:val="32"/>
        </w:rPr>
        <w:t xml:space="preserve">附表  </w:t>
      </w:r>
      <w:r>
        <w:rPr>
          <w:rFonts w:hint="eastAsia" w:cs="黑体"/>
        </w:rPr>
        <w:t xml:space="preserve">  </w:t>
      </w:r>
    </w:p>
    <w:p w14:paraId="7E509A98">
      <w:pPr>
        <w:adjustRightInd w:val="0"/>
        <w:snapToGrid w:val="0"/>
        <w:spacing w:line="360" w:lineRule="auto"/>
        <w:jc w:val="center"/>
        <w:rPr>
          <w:rFonts w:cs="黑体"/>
        </w:rPr>
      </w:pPr>
      <w:r>
        <w:rPr>
          <w:rFonts w:hint="eastAsia" w:eastAsia="方正小标宋简体"/>
          <w:sz w:val="44"/>
          <w:szCs w:val="44"/>
        </w:rPr>
        <w:t>《乐器演奏（萨克斯）》课程目标评分量表</w:t>
      </w:r>
    </w:p>
    <w:tbl>
      <w:tblPr>
        <w:tblStyle w:val="22"/>
        <w:tblW w:w="146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459"/>
        <w:gridCol w:w="1856"/>
        <w:gridCol w:w="2426"/>
        <w:gridCol w:w="2234"/>
        <w:gridCol w:w="2234"/>
        <w:gridCol w:w="2234"/>
        <w:gridCol w:w="2235"/>
      </w:tblGrid>
      <w:tr w14:paraId="707D1030">
        <w:trPr>
          <w:trHeight w:val="90" w:hRule="atLeast"/>
          <w:jc w:val="center"/>
        </w:trPr>
        <w:tc>
          <w:tcPr>
            <w:tcW w:w="1459" w:type="dxa"/>
            <w:vMerge w:val="restart"/>
            <w:vAlign w:val="center"/>
          </w:tcPr>
          <w:p w14:paraId="13295FED">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M</w:t>
            </w:r>
          </w:p>
          <w:p w14:paraId="4549B23C">
            <w:pPr>
              <w:adjustRightInd w:val="0"/>
              <w:snapToGrid w:val="0"/>
              <w:spacing w:line="240" w:lineRule="atLeast"/>
              <w:jc w:val="center"/>
              <w:rPr>
                <w:rFonts w:hint="eastAsia" w:ascii="宋体" w:hAnsi="宋体" w:cs="宋体"/>
                <w:sz w:val="24"/>
                <w:szCs w:val="24"/>
              </w:rPr>
            </w:pPr>
            <w:r>
              <w:rPr>
                <w:rFonts w:hint="eastAsia" w:ascii="仿宋" w:hAnsi="仿宋" w:eastAsia="仿宋" w:cs="仿宋"/>
                <w:sz w:val="24"/>
                <w:szCs w:val="24"/>
              </w:rPr>
              <w:t>评分量表</w:t>
            </w:r>
          </w:p>
        </w:tc>
        <w:tc>
          <w:tcPr>
            <w:tcW w:w="1856" w:type="dxa"/>
            <w:vAlign w:val="center"/>
          </w:tcPr>
          <w:p w14:paraId="1F77619A">
            <w:pPr>
              <w:tabs>
                <w:tab w:val="left" w:pos="720"/>
              </w:tabs>
              <w:adjustRightInd w:val="0"/>
              <w:snapToGrid w:val="0"/>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课程目标</w:t>
            </w:r>
          </w:p>
        </w:tc>
        <w:tc>
          <w:tcPr>
            <w:tcW w:w="2426" w:type="dxa"/>
            <w:vAlign w:val="center"/>
          </w:tcPr>
          <w:p w14:paraId="3D4DB6EA">
            <w:pPr>
              <w:tabs>
                <w:tab w:val="left" w:pos="720"/>
              </w:tabs>
              <w:adjustRightInd w:val="0"/>
              <w:snapToGrid w:val="0"/>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优（X≧90）</w:t>
            </w:r>
          </w:p>
        </w:tc>
        <w:tc>
          <w:tcPr>
            <w:tcW w:w="2234" w:type="dxa"/>
            <w:vAlign w:val="center"/>
          </w:tcPr>
          <w:p w14:paraId="17F2C63B">
            <w:pPr>
              <w:tabs>
                <w:tab w:val="left" w:pos="720"/>
              </w:tabs>
              <w:adjustRightInd w:val="0"/>
              <w:snapToGrid w:val="0"/>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良（80≦X＜90）</w:t>
            </w:r>
          </w:p>
        </w:tc>
        <w:tc>
          <w:tcPr>
            <w:tcW w:w="2234" w:type="dxa"/>
            <w:vAlign w:val="center"/>
          </w:tcPr>
          <w:p w14:paraId="1A515404">
            <w:pPr>
              <w:tabs>
                <w:tab w:val="left" w:pos="720"/>
              </w:tabs>
              <w:adjustRightInd w:val="0"/>
              <w:snapToGrid w:val="0"/>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中（70≦X＜80）</w:t>
            </w:r>
          </w:p>
        </w:tc>
        <w:tc>
          <w:tcPr>
            <w:tcW w:w="2234" w:type="dxa"/>
            <w:vAlign w:val="center"/>
          </w:tcPr>
          <w:p w14:paraId="4347BFFD">
            <w:pPr>
              <w:tabs>
                <w:tab w:val="left" w:pos="720"/>
              </w:tabs>
              <w:adjustRightInd w:val="0"/>
              <w:snapToGrid w:val="0"/>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及格（60≦X＜70）</w:t>
            </w:r>
          </w:p>
        </w:tc>
        <w:tc>
          <w:tcPr>
            <w:tcW w:w="2235" w:type="dxa"/>
            <w:vAlign w:val="center"/>
          </w:tcPr>
          <w:p w14:paraId="4834350F">
            <w:pPr>
              <w:tabs>
                <w:tab w:val="left" w:pos="720"/>
              </w:tabs>
              <w:adjustRightInd w:val="0"/>
              <w:snapToGrid w:val="0"/>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不及格（＜60）</w:t>
            </w:r>
          </w:p>
        </w:tc>
      </w:tr>
      <w:tr w14:paraId="6D1B4CE7">
        <w:trPr>
          <w:trHeight w:val="857" w:hRule="atLeast"/>
          <w:jc w:val="center"/>
        </w:trPr>
        <w:tc>
          <w:tcPr>
            <w:tcW w:w="1459" w:type="dxa"/>
            <w:vMerge w:val="continue"/>
            <w:vAlign w:val="center"/>
          </w:tcPr>
          <w:p w14:paraId="1832312E">
            <w:pPr>
              <w:adjustRightInd w:val="0"/>
              <w:snapToGrid w:val="0"/>
              <w:spacing w:line="240" w:lineRule="atLeast"/>
              <w:jc w:val="center"/>
              <w:rPr>
                <w:rFonts w:hint="eastAsia" w:ascii="宋体" w:hAnsi="宋体" w:cs="宋体"/>
                <w:sz w:val="24"/>
                <w:szCs w:val="24"/>
              </w:rPr>
            </w:pPr>
          </w:p>
        </w:tc>
        <w:tc>
          <w:tcPr>
            <w:tcW w:w="1856" w:type="dxa"/>
          </w:tcPr>
          <w:p w14:paraId="1E4960DD">
            <w:pPr>
              <w:adjustRightInd w:val="0"/>
              <w:snapToGrid w:val="0"/>
              <w:spacing w:line="280" w:lineRule="exact"/>
              <w:jc w:val="left"/>
              <w:rPr>
                <w:rFonts w:ascii="宋体" w:cs="宋体"/>
                <w:color w:val="000000"/>
                <w:spacing w:val="-2"/>
                <w:kern w:val="0"/>
                <w:sz w:val="24"/>
                <w:szCs w:val="24"/>
              </w:rPr>
            </w:pPr>
            <w:r>
              <w:rPr>
                <w:rFonts w:hint="eastAsia" w:ascii="宋体" w:hAnsi="宋体" w:cs="宋体"/>
                <w:color w:val="000000"/>
                <w:spacing w:val="-2"/>
                <w:kern w:val="0"/>
                <w:sz w:val="24"/>
                <w:szCs w:val="24"/>
              </w:rPr>
              <w:t>一、评分依据</w:t>
            </w:r>
          </w:p>
          <w:p w14:paraId="1A0C9808">
            <w:pPr>
              <w:adjustRightInd w:val="0"/>
              <w:snapToGrid w:val="0"/>
              <w:spacing w:line="280" w:lineRule="exact"/>
              <w:ind w:firstLine="472" w:firstLineChars="200"/>
              <w:jc w:val="left"/>
              <w:rPr>
                <w:rFonts w:hint="eastAsia" w:ascii="仿宋" w:hAnsi="仿宋" w:eastAsia="仿宋" w:cs="仿宋"/>
                <w:color w:val="000000"/>
                <w:spacing w:val="-2"/>
                <w:kern w:val="0"/>
                <w:sz w:val="24"/>
                <w:szCs w:val="24"/>
              </w:rPr>
            </w:pPr>
            <w:r>
              <w:rPr>
                <w:rFonts w:hint="eastAsia" w:ascii="仿宋" w:hAnsi="仿宋" w:eastAsia="仿宋" w:cs="仿宋"/>
                <w:color w:val="000000"/>
                <w:spacing w:val="-2"/>
                <w:kern w:val="0"/>
                <w:sz w:val="24"/>
                <w:szCs w:val="24"/>
              </w:rPr>
              <w:t>主要根据演奏的</w:t>
            </w:r>
            <w:r>
              <w:rPr>
                <w:rFonts w:hint="eastAsia" w:ascii="仿宋" w:hAnsi="仿宋" w:eastAsia="仿宋" w:cs="仿宋"/>
                <w:color w:val="000000"/>
                <w:kern w:val="0"/>
                <w:sz w:val="24"/>
                <w:szCs w:val="24"/>
              </w:rPr>
              <w:t>音准、节奏、技巧难度、乐感</w:t>
            </w:r>
            <w:r>
              <w:rPr>
                <w:rFonts w:hint="eastAsia" w:ascii="仿宋" w:hAnsi="仿宋" w:eastAsia="仿宋" w:cs="仿宋"/>
                <w:color w:val="000000"/>
                <w:spacing w:val="-2"/>
                <w:kern w:val="0"/>
                <w:sz w:val="24"/>
                <w:szCs w:val="24"/>
              </w:rPr>
              <w:t>四个方面的</w:t>
            </w:r>
            <w:r>
              <w:rPr>
                <w:rFonts w:hint="eastAsia" w:ascii="仿宋" w:hAnsi="仿宋" w:eastAsia="仿宋" w:cs="仿宋"/>
                <w:color w:val="000000"/>
                <w:kern w:val="0"/>
                <w:sz w:val="24"/>
                <w:szCs w:val="24"/>
              </w:rPr>
              <w:t>表现</w:t>
            </w:r>
            <w:r>
              <w:rPr>
                <w:rFonts w:hint="eastAsia" w:ascii="仿宋" w:hAnsi="仿宋" w:eastAsia="仿宋" w:cs="仿宋"/>
                <w:color w:val="000000"/>
                <w:spacing w:val="-2"/>
                <w:kern w:val="0"/>
                <w:sz w:val="24"/>
                <w:szCs w:val="24"/>
              </w:rPr>
              <w:t>。</w:t>
            </w:r>
          </w:p>
          <w:p w14:paraId="25C8349B">
            <w:pPr>
              <w:adjustRightInd w:val="0"/>
              <w:snapToGrid w:val="0"/>
              <w:spacing w:line="280" w:lineRule="exact"/>
              <w:jc w:val="left"/>
              <w:rPr>
                <w:rFonts w:hint="eastAsia" w:ascii="宋体" w:hAnsi="宋体" w:cs="宋体"/>
                <w:color w:val="000000"/>
                <w:spacing w:val="-2"/>
                <w:kern w:val="0"/>
                <w:sz w:val="24"/>
                <w:szCs w:val="24"/>
              </w:rPr>
            </w:pPr>
            <w:r>
              <w:rPr>
                <w:rFonts w:hint="eastAsia" w:ascii="宋体" w:hAnsi="宋体" w:cs="宋体"/>
                <w:b/>
                <w:color w:val="000000"/>
                <w:spacing w:val="-2"/>
                <w:kern w:val="0"/>
                <w:sz w:val="24"/>
                <w:szCs w:val="24"/>
              </w:rPr>
              <w:t>二、</w:t>
            </w:r>
            <w:r>
              <w:rPr>
                <w:rFonts w:hint="eastAsia" w:ascii="宋体" w:hAnsi="宋体" w:cs="宋体"/>
                <w:color w:val="000000"/>
                <w:spacing w:val="-2"/>
                <w:kern w:val="0"/>
                <w:sz w:val="24"/>
                <w:szCs w:val="24"/>
              </w:rPr>
              <w:t>总的要求</w:t>
            </w:r>
          </w:p>
          <w:p w14:paraId="2EE03854">
            <w:pPr>
              <w:adjustRightInd w:val="0"/>
              <w:snapToGrid w:val="0"/>
              <w:spacing w:line="280" w:lineRule="exact"/>
              <w:ind w:left="480" w:hanging="480" w:hangingChars="200"/>
              <w:jc w:val="left"/>
              <w:rPr>
                <w:rFonts w:hint="eastAsia" w:ascii="仿宋" w:hAnsi="仿宋" w:eastAsia="仿宋" w:cs="仿宋"/>
                <w:color w:val="000000"/>
                <w:sz w:val="24"/>
                <w:szCs w:val="24"/>
              </w:rPr>
            </w:pPr>
            <w:r>
              <w:rPr>
                <w:rFonts w:hint="eastAsia" w:ascii="仿宋" w:hAnsi="仿宋" w:eastAsia="仿宋" w:cs="仿宋"/>
                <w:color w:val="000000"/>
                <w:sz w:val="24"/>
                <w:szCs w:val="24"/>
              </w:rPr>
              <w:t>（1） 具有正确的演奏方法、演奏姿势和演奏状态。</w:t>
            </w:r>
          </w:p>
          <w:p w14:paraId="5911BFA1">
            <w:pPr>
              <w:adjustRightInd w:val="0"/>
              <w:snapToGrid w:val="0"/>
              <w:spacing w:line="280" w:lineRule="exact"/>
              <w:ind w:left="480" w:hanging="480" w:hangingChars="200"/>
              <w:jc w:val="left"/>
              <w:rPr>
                <w:rFonts w:hint="eastAsia" w:ascii="仿宋" w:hAnsi="仿宋" w:eastAsia="仿宋" w:cs="仿宋"/>
                <w:color w:val="000000"/>
                <w:sz w:val="24"/>
                <w:szCs w:val="24"/>
              </w:rPr>
            </w:pPr>
            <w:r>
              <w:rPr>
                <w:rFonts w:hint="eastAsia" w:ascii="仿宋" w:hAnsi="仿宋" w:eastAsia="仿宋" w:cs="仿宋"/>
                <w:color w:val="000000"/>
                <w:sz w:val="24"/>
                <w:szCs w:val="24"/>
              </w:rPr>
              <w:t>（2）乐曲演奏规范、流畅和完整，基本功扎实，具有正确把握音准、节奏、力度、速度及音色的能力。</w:t>
            </w:r>
          </w:p>
          <w:p w14:paraId="6DBC7E47">
            <w:pPr>
              <w:adjustRightInd w:val="0"/>
              <w:snapToGrid w:val="0"/>
              <w:spacing w:line="280" w:lineRule="exact"/>
              <w:ind w:left="480" w:hanging="480" w:hangingChars="200"/>
              <w:jc w:val="left"/>
              <w:rPr>
                <w:rFonts w:hint="eastAsia" w:ascii="仿宋" w:hAnsi="仿宋" w:eastAsia="仿宋" w:cs="仿宋"/>
                <w:color w:val="000000"/>
                <w:sz w:val="24"/>
                <w:szCs w:val="24"/>
              </w:rPr>
            </w:pPr>
            <w:r>
              <w:rPr>
                <w:rFonts w:hint="eastAsia" w:ascii="仿宋" w:hAnsi="仿宋" w:eastAsia="仿宋" w:cs="仿宋"/>
                <w:color w:val="000000"/>
                <w:sz w:val="24"/>
                <w:szCs w:val="24"/>
              </w:rPr>
              <w:t>（3）能较好地体现乐曲的内容与风格，具有较强的乐感和艺术表现力。</w:t>
            </w:r>
          </w:p>
          <w:p w14:paraId="75EC676F">
            <w:pPr>
              <w:adjustRightInd w:val="0"/>
              <w:snapToGrid w:val="0"/>
              <w:spacing w:line="280" w:lineRule="exact"/>
              <w:ind w:left="480" w:hanging="480" w:hangingChars="200"/>
              <w:jc w:val="left"/>
              <w:rPr>
                <w:rFonts w:hint="eastAsia" w:ascii="仿宋" w:hAnsi="仿宋" w:eastAsia="仿宋" w:cs="仿宋"/>
                <w:color w:val="000000"/>
                <w:sz w:val="24"/>
                <w:szCs w:val="24"/>
              </w:rPr>
            </w:pPr>
            <w:r>
              <w:rPr>
                <w:rFonts w:hint="eastAsia" w:ascii="仿宋" w:hAnsi="仿宋" w:eastAsia="仿宋" w:cs="仿宋"/>
                <w:color w:val="000000"/>
                <w:sz w:val="24"/>
                <w:szCs w:val="24"/>
              </w:rPr>
              <w:t>（4）作品的程度及考生所完成的质量。</w:t>
            </w:r>
          </w:p>
          <w:p w14:paraId="6D1CC9C0">
            <w:pPr>
              <w:widowControl/>
              <w:adjustRightInd w:val="0"/>
              <w:snapToGrid w:val="0"/>
              <w:jc w:val="left"/>
              <w:rPr>
                <w:color w:val="4472C4"/>
                <w:szCs w:val="24"/>
              </w:rPr>
            </w:pPr>
          </w:p>
        </w:tc>
        <w:tc>
          <w:tcPr>
            <w:tcW w:w="2426" w:type="dxa"/>
          </w:tcPr>
          <w:p w14:paraId="7FF6A4DC">
            <w:pPr>
              <w:widowControl/>
              <w:adjustRightInd w:val="0"/>
              <w:snapToGrid w:val="0"/>
              <w:spacing w:line="280" w:lineRule="exact"/>
              <w:ind w:firstLine="420"/>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音准、节奏均好，演奏方法正确，基本功扎实，演奏作品程度较难，演奏技巧高，表现力很强，有良好的乐感，风格把握较为准确，演奏气质良好，形象佳。</w:t>
            </w:r>
          </w:p>
          <w:p w14:paraId="16288050">
            <w:pPr>
              <w:widowControl/>
              <w:adjustRightInd w:val="0"/>
              <w:snapToGrid w:val="0"/>
              <w:ind w:firstLine="420" w:firstLineChars="200"/>
              <w:rPr>
                <w:bCs/>
                <w:color w:val="4472C4"/>
                <w:szCs w:val="21"/>
              </w:rPr>
            </w:pPr>
          </w:p>
        </w:tc>
        <w:tc>
          <w:tcPr>
            <w:tcW w:w="2234" w:type="dxa"/>
          </w:tcPr>
          <w:p w14:paraId="2AA9DEE6">
            <w:pPr>
              <w:widowControl/>
              <w:adjustRightInd w:val="0"/>
              <w:snapToGrid w:val="0"/>
              <w:ind w:firstLine="480" w:firstLineChars="200"/>
              <w:rPr>
                <w:rFonts w:hint="eastAsia" w:ascii="仿宋" w:hAnsi="仿宋" w:eastAsia="仿宋" w:cs="仿宋"/>
                <w:bCs/>
                <w:color w:val="4472C4"/>
                <w:sz w:val="24"/>
                <w:szCs w:val="24"/>
              </w:rPr>
            </w:pPr>
            <w:r>
              <w:rPr>
                <w:rFonts w:hint="eastAsia" w:ascii="仿宋" w:hAnsi="仿宋" w:eastAsia="仿宋" w:cs="仿宋"/>
                <w:color w:val="000000"/>
                <w:kern w:val="0"/>
                <w:sz w:val="24"/>
                <w:szCs w:val="24"/>
              </w:rPr>
              <w:t>音准、节奏较好，演奏方法正确，掌握了一定的演奏技巧，演奏的作品难度一般，表现力强，乐感良好，音乐气质良好，形象较佳。</w:t>
            </w:r>
          </w:p>
        </w:tc>
        <w:tc>
          <w:tcPr>
            <w:tcW w:w="2234" w:type="dxa"/>
          </w:tcPr>
          <w:p w14:paraId="51225AF6">
            <w:pPr>
              <w:widowControl/>
              <w:adjustRightInd w:val="0"/>
              <w:snapToGrid w:val="0"/>
              <w:spacing w:line="280" w:lineRule="exact"/>
              <w:ind w:firstLine="420"/>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音准、节奏尚好，演奏方法正确，掌握了一般的演奏技巧，作品难度一般，演奏完整，表现力尚可，乐感良好，音乐气质良好。</w:t>
            </w:r>
          </w:p>
          <w:p w14:paraId="4BBFF19A">
            <w:pPr>
              <w:widowControl/>
              <w:adjustRightInd w:val="0"/>
              <w:snapToGrid w:val="0"/>
              <w:ind w:firstLine="480" w:firstLineChars="200"/>
              <w:rPr>
                <w:rFonts w:hint="eastAsia" w:ascii="仿宋" w:hAnsi="仿宋" w:eastAsia="仿宋" w:cs="仿宋"/>
                <w:color w:val="4472C4"/>
                <w:sz w:val="24"/>
                <w:szCs w:val="24"/>
              </w:rPr>
            </w:pPr>
          </w:p>
        </w:tc>
        <w:tc>
          <w:tcPr>
            <w:tcW w:w="2234" w:type="dxa"/>
          </w:tcPr>
          <w:p w14:paraId="72B1A678">
            <w:pPr>
              <w:widowControl/>
              <w:adjustRightInd w:val="0"/>
              <w:snapToGrid w:val="0"/>
              <w:spacing w:line="280" w:lineRule="exact"/>
              <w:ind w:firstLine="420"/>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音准、节奏尚好，演奏方法正确，能掌握一般的演奏技巧，演奏完整，表现能力一般。</w:t>
            </w:r>
          </w:p>
          <w:p w14:paraId="603A2B55">
            <w:pPr>
              <w:widowControl/>
              <w:adjustRightInd w:val="0"/>
              <w:snapToGrid w:val="0"/>
              <w:ind w:firstLine="480" w:firstLineChars="200"/>
              <w:rPr>
                <w:rFonts w:hint="eastAsia" w:ascii="仿宋" w:hAnsi="仿宋" w:eastAsia="仿宋" w:cs="仿宋"/>
                <w:color w:val="4472C4"/>
                <w:sz w:val="24"/>
                <w:szCs w:val="24"/>
              </w:rPr>
            </w:pPr>
          </w:p>
        </w:tc>
        <w:tc>
          <w:tcPr>
            <w:tcW w:w="2235" w:type="dxa"/>
          </w:tcPr>
          <w:p w14:paraId="6EB16383">
            <w:pPr>
              <w:widowControl/>
              <w:adjustRightInd w:val="0"/>
              <w:snapToGrid w:val="0"/>
              <w:spacing w:line="280" w:lineRule="exact"/>
              <w:ind w:firstLine="360" w:firstLineChars="150"/>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音准、节奏差，演奏方法不正确，不能较完整地演奏一首乐曲。</w:t>
            </w:r>
          </w:p>
          <w:p w14:paraId="3B63C5D0">
            <w:pPr>
              <w:widowControl/>
              <w:adjustRightInd w:val="0"/>
              <w:snapToGrid w:val="0"/>
              <w:ind w:firstLine="482" w:firstLineChars="200"/>
              <w:rPr>
                <w:rFonts w:hint="eastAsia" w:ascii="仿宋" w:hAnsi="仿宋" w:eastAsia="仿宋" w:cs="仿宋"/>
                <w:b/>
                <w:color w:val="4472C4"/>
                <w:kern w:val="0"/>
                <w:sz w:val="24"/>
                <w:szCs w:val="24"/>
              </w:rPr>
            </w:pPr>
          </w:p>
        </w:tc>
      </w:tr>
    </w:tbl>
    <w:p w14:paraId="4AA502C5">
      <w:pPr>
        <w:rPr>
          <w:sz w:val="2"/>
          <w:szCs w:val="2"/>
        </w:rPr>
        <w:sectPr>
          <w:headerReference r:id="rId47" w:type="default"/>
          <w:footerReference r:id="rId48" w:type="default"/>
          <w:pgSz w:w="16838" w:h="11906" w:orient="landscape"/>
          <w:pgMar w:top="1417" w:right="1134" w:bottom="1417" w:left="1134" w:header="851" w:footer="992" w:gutter="0"/>
          <w:cols w:space="720" w:num="1"/>
          <w:docGrid w:type="lines" w:linePitch="312" w:charSpace="0"/>
        </w:sectPr>
      </w:pPr>
    </w:p>
    <w:p w14:paraId="74D3F9EF">
      <w:pPr>
        <w:keepNext w:val="0"/>
        <w:keepLines w:val="0"/>
        <w:pageBreakBefore w:val="0"/>
        <w:widowControl w:val="0"/>
        <w:kinsoku/>
        <w:wordWrap/>
        <w:overflowPunct/>
        <w:topLinePunct w:val="0"/>
        <w:autoSpaceDE/>
        <w:autoSpaceDN/>
        <w:bidi w:val="0"/>
        <w:spacing w:line="240" w:lineRule="auto"/>
        <w:jc w:val="center"/>
        <w:rPr>
          <w:rFonts w:hint="eastAsia" w:eastAsia="方正小标宋简体"/>
          <w:sz w:val="44"/>
          <w:szCs w:val="44"/>
        </w:rPr>
      </w:pPr>
      <w:r>
        <w:rPr>
          <w:rFonts w:hint="eastAsia" w:eastAsia="方正小标宋简体"/>
          <w:sz w:val="44"/>
          <w:szCs w:val="44"/>
        </w:rPr>
        <w:t>三明学院音乐学（音乐教育）专业</w:t>
      </w:r>
    </w:p>
    <w:p w14:paraId="4E001E2D">
      <w:pPr>
        <w:keepNext w:val="0"/>
        <w:keepLines w:val="0"/>
        <w:pageBreakBefore w:val="0"/>
        <w:widowControl w:val="0"/>
        <w:kinsoku/>
        <w:wordWrap/>
        <w:overflowPunct/>
        <w:topLinePunct w:val="0"/>
        <w:autoSpaceDE/>
        <w:autoSpaceDN/>
        <w:bidi w:val="0"/>
        <w:spacing w:line="240" w:lineRule="auto"/>
        <w:jc w:val="center"/>
        <w:rPr>
          <w:rFonts w:hint="eastAsia" w:eastAsia="方正小标宋简体"/>
          <w:sz w:val="28"/>
          <w:szCs w:val="28"/>
        </w:rPr>
      </w:pPr>
      <w:r>
        <w:rPr>
          <w:rFonts w:hint="eastAsia" w:eastAsia="方正小标宋简体"/>
          <w:sz w:val="44"/>
          <w:szCs w:val="44"/>
        </w:rPr>
        <w:t>《视唱练耳》课程教学大纲</w:t>
      </w:r>
    </w:p>
    <w:p w14:paraId="6C5925BD">
      <w:pPr>
        <w:spacing w:line="560" w:lineRule="exact"/>
        <w:jc w:val="center"/>
        <w:rPr>
          <w:rFonts w:hint="eastAsia" w:eastAsia="方正小标宋简体"/>
          <w:sz w:val="24"/>
          <w:szCs w:val="24"/>
        </w:rPr>
      </w:pPr>
    </w:p>
    <w:tbl>
      <w:tblPr>
        <w:tblStyle w:val="22"/>
        <w:tblW w:w="9148"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28" w:type="dxa"/>
        </w:tblCellMar>
      </w:tblPr>
      <w:tblGrid>
        <w:gridCol w:w="1498"/>
        <w:gridCol w:w="1858"/>
        <w:gridCol w:w="1279"/>
        <w:gridCol w:w="1177"/>
        <w:gridCol w:w="1281"/>
        <w:gridCol w:w="570"/>
        <w:gridCol w:w="1485"/>
      </w:tblGrid>
      <w:tr w14:paraId="7476119E">
        <w:trPr>
          <w:trHeight w:val="454" w:hRule="atLeast"/>
        </w:trPr>
        <w:tc>
          <w:tcPr>
            <w:tcW w:w="1498" w:type="dxa"/>
            <w:vAlign w:val="center"/>
          </w:tcPr>
          <w:p w14:paraId="218005DE">
            <w:pPr>
              <w:spacing w:line="240" w:lineRule="atLeast"/>
              <w:jc w:val="center"/>
              <w:rPr>
                <w:rFonts w:hint="eastAsia" w:ascii="仿宋" w:hAnsi="仿宋" w:eastAsia="仿宋" w:cs="仿宋"/>
                <w:color w:val="000000"/>
                <w:sz w:val="24"/>
                <w:szCs w:val="24"/>
              </w:rPr>
            </w:pPr>
            <w:r>
              <w:rPr>
                <w:rFonts w:hint="eastAsia" w:ascii="仿宋" w:hAnsi="仿宋" w:eastAsia="仿宋" w:cs="仿宋"/>
                <w:sz w:val="24"/>
                <w:szCs w:val="24"/>
              </w:rPr>
              <w:t>课程名称</w:t>
            </w:r>
          </w:p>
        </w:tc>
        <w:tc>
          <w:tcPr>
            <w:tcW w:w="4314" w:type="dxa"/>
            <w:gridSpan w:val="3"/>
            <w:vAlign w:val="center"/>
          </w:tcPr>
          <w:p w14:paraId="134BE142">
            <w:pPr>
              <w:spacing w:line="240" w:lineRule="atLeast"/>
              <w:jc w:val="center"/>
              <w:rPr>
                <w:rFonts w:hint="eastAsia" w:ascii="仿宋" w:hAnsi="仿宋" w:eastAsia="仿宋" w:cs="仿宋"/>
                <w:color w:val="000000"/>
                <w:sz w:val="24"/>
                <w:szCs w:val="24"/>
                <w:lang w:eastAsia="zh-TW"/>
              </w:rPr>
            </w:pPr>
            <w:r>
              <w:rPr>
                <w:rFonts w:hint="eastAsia" w:ascii="仿宋" w:hAnsi="仿宋" w:eastAsia="仿宋" w:cs="仿宋"/>
                <w:sz w:val="24"/>
                <w:szCs w:val="24"/>
              </w:rPr>
              <w:t>《视唱练耳》</w:t>
            </w:r>
          </w:p>
        </w:tc>
        <w:tc>
          <w:tcPr>
            <w:tcW w:w="1281" w:type="dxa"/>
            <w:vAlign w:val="center"/>
          </w:tcPr>
          <w:p w14:paraId="14741CED">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w:t>
            </w:r>
          </w:p>
          <w:p w14:paraId="66CB20F7">
            <w:pPr>
              <w:spacing w:line="240" w:lineRule="atLeast"/>
              <w:jc w:val="center"/>
              <w:rPr>
                <w:rFonts w:hint="eastAsia" w:ascii="仿宋" w:hAnsi="仿宋" w:eastAsia="仿宋" w:cs="仿宋"/>
                <w:color w:val="000000"/>
                <w:sz w:val="24"/>
                <w:szCs w:val="24"/>
              </w:rPr>
            </w:pPr>
            <w:r>
              <w:rPr>
                <w:rFonts w:hint="eastAsia" w:ascii="仿宋" w:hAnsi="仿宋" w:eastAsia="仿宋" w:cs="仿宋"/>
                <w:sz w:val="24"/>
                <w:szCs w:val="24"/>
              </w:rPr>
              <w:t>代码</w:t>
            </w:r>
          </w:p>
        </w:tc>
        <w:tc>
          <w:tcPr>
            <w:tcW w:w="2055" w:type="dxa"/>
            <w:gridSpan w:val="2"/>
            <w:vAlign w:val="center"/>
          </w:tcPr>
          <w:p w14:paraId="51492BA1">
            <w:pPr>
              <w:spacing w:line="240" w:lineRule="atLeast"/>
              <w:jc w:val="center"/>
              <w:rPr>
                <w:rFonts w:hint="eastAsia" w:ascii="仿宋" w:hAnsi="仿宋" w:eastAsia="仿宋" w:cs="仿宋"/>
                <w:color w:val="000000"/>
                <w:sz w:val="28"/>
                <w:szCs w:val="28"/>
              </w:rPr>
            </w:pPr>
            <w:r>
              <w:rPr>
                <w:rFonts w:hint="eastAsia" w:ascii="仿宋_GB2312" w:hAnsi="仿宋_GB2312" w:eastAsia="仿宋_GB2312" w:cs="仿宋_GB2312"/>
                <w:bCs/>
                <w:color w:val="262626"/>
                <w:kern w:val="0"/>
                <w:szCs w:val="21"/>
              </w:rPr>
              <w:t>1212308601</w:t>
            </w:r>
          </w:p>
          <w:p w14:paraId="71DE4F77">
            <w:pPr>
              <w:spacing w:line="240" w:lineRule="atLeast"/>
              <w:jc w:val="center"/>
              <w:rPr>
                <w:rFonts w:hint="eastAsia" w:ascii="仿宋" w:hAnsi="仿宋" w:eastAsia="仿宋" w:cs="仿宋"/>
                <w:color w:val="000000"/>
                <w:sz w:val="28"/>
                <w:szCs w:val="28"/>
              </w:rPr>
            </w:pPr>
            <w:r>
              <w:rPr>
                <w:rFonts w:hint="eastAsia" w:ascii="仿宋_GB2312" w:hAnsi="仿宋_GB2312" w:eastAsia="仿宋_GB2312" w:cs="仿宋_GB2312"/>
                <w:bCs/>
                <w:color w:val="262626"/>
                <w:kern w:val="0"/>
                <w:szCs w:val="21"/>
              </w:rPr>
              <w:t>1212308602</w:t>
            </w:r>
          </w:p>
          <w:p w14:paraId="62258B1A">
            <w:pPr>
              <w:spacing w:line="240" w:lineRule="atLeast"/>
              <w:jc w:val="center"/>
              <w:rPr>
                <w:rFonts w:hint="eastAsia" w:ascii="仿宋" w:hAnsi="仿宋" w:eastAsia="仿宋" w:cs="仿宋"/>
                <w:color w:val="000000"/>
                <w:sz w:val="28"/>
                <w:szCs w:val="28"/>
              </w:rPr>
            </w:pPr>
            <w:r>
              <w:rPr>
                <w:rFonts w:hint="eastAsia" w:ascii="仿宋_GB2312" w:hAnsi="仿宋_GB2312" w:eastAsia="仿宋_GB2312" w:cs="仿宋_GB2312"/>
                <w:bCs/>
                <w:color w:val="262626"/>
                <w:kern w:val="0"/>
                <w:szCs w:val="21"/>
              </w:rPr>
              <w:t>1212308603</w:t>
            </w:r>
          </w:p>
          <w:p w14:paraId="4CB4CA4F">
            <w:pPr>
              <w:spacing w:line="240" w:lineRule="atLeast"/>
              <w:jc w:val="center"/>
              <w:rPr>
                <w:rFonts w:hint="eastAsia" w:ascii="仿宋" w:hAnsi="仿宋" w:eastAsia="仿宋" w:cs="仿宋"/>
                <w:color w:val="000000"/>
                <w:sz w:val="28"/>
                <w:szCs w:val="28"/>
              </w:rPr>
            </w:pPr>
            <w:r>
              <w:rPr>
                <w:rFonts w:hint="eastAsia" w:ascii="仿宋_GB2312" w:hAnsi="仿宋_GB2312" w:eastAsia="仿宋_GB2312" w:cs="仿宋_GB2312"/>
                <w:bCs/>
                <w:color w:val="262626"/>
                <w:kern w:val="0"/>
                <w:szCs w:val="21"/>
              </w:rPr>
              <w:t>1212308604</w:t>
            </w:r>
          </w:p>
        </w:tc>
      </w:tr>
      <w:tr w14:paraId="267AEF16">
        <w:trPr>
          <w:trHeight w:val="454" w:hRule="atLeast"/>
        </w:trPr>
        <w:tc>
          <w:tcPr>
            <w:tcW w:w="1498" w:type="dxa"/>
            <w:vAlign w:val="center"/>
          </w:tcPr>
          <w:p w14:paraId="24D96A2E">
            <w:pPr>
              <w:pStyle w:val="295"/>
              <w:tabs>
                <w:tab w:val="left" w:pos="401"/>
              </w:tabs>
              <w:spacing w:before="70"/>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课程类型</w:t>
            </w:r>
          </w:p>
        </w:tc>
        <w:tc>
          <w:tcPr>
            <w:tcW w:w="7650" w:type="dxa"/>
            <w:gridSpan w:val="6"/>
            <w:vAlign w:val="center"/>
          </w:tcPr>
          <w:p w14:paraId="6327B489">
            <w:pPr>
              <w:pStyle w:val="295"/>
              <w:tabs>
                <w:tab w:val="left" w:pos="401"/>
              </w:tabs>
              <w:spacing w:before="70"/>
              <w:jc w:val="left"/>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通识必修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通识选修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专业必修</w:t>
            </w:r>
          </w:p>
          <w:p w14:paraId="7B95B6A8">
            <w:pPr>
              <w:pStyle w:val="295"/>
              <w:tabs>
                <w:tab w:val="left" w:pos="401"/>
              </w:tabs>
              <w:spacing w:before="70"/>
              <w:jc w:val="left"/>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专业选修</w:t>
            </w:r>
            <w:r>
              <w:rPr>
                <w:rFonts w:hint="eastAsia" w:ascii="仿宋" w:hAnsi="仿宋" w:eastAsia="仿宋" w:cs="仿宋"/>
                <w:color w:val="000000"/>
                <w:sz w:val="24"/>
                <w:szCs w:val="24"/>
                <w:lang w:eastAsia="zh-TW"/>
              </w:rPr>
              <w:t xml:space="preserve">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教师教育必修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教师教育选修</w:t>
            </w:r>
          </w:p>
        </w:tc>
      </w:tr>
      <w:tr w14:paraId="445C1B9F">
        <w:trPr>
          <w:trHeight w:val="454" w:hRule="atLeast"/>
        </w:trPr>
        <w:tc>
          <w:tcPr>
            <w:tcW w:w="1498" w:type="dxa"/>
            <w:vAlign w:val="center"/>
          </w:tcPr>
          <w:p w14:paraId="44A17C2A">
            <w:pPr>
              <w:pStyle w:val="295"/>
              <w:tabs>
                <w:tab w:val="left" w:pos="401"/>
              </w:tabs>
              <w:spacing w:before="7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开课学期</w:t>
            </w:r>
          </w:p>
        </w:tc>
        <w:tc>
          <w:tcPr>
            <w:tcW w:w="1858" w:type="dxa"/>
            <w:vAlign w:val="center"/>
          </w:tcPr>
          <w:p w14:paraId="39BBEFCD">
            <w:pPr>
              <w:pStyle w:val="295"/>
              <w:tabs>
                <w:tab w:val="left" w:pos="401"/>
              </w:tabs>
              <w:spacing w:before="70"/>
              <w:jc w:val="center"/>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第</w:t>
            </w:r>
            <w:r>
              <w:rPr>
                <w:rFonts w:hint="eastAsia" w:ascii="仿宋" w:hAnsi="仿宋" w:eastAsia="仿宋" w:cs="仿宋"/>
                <w:color w:val="000000"/>
                <w:sz w:val="24"/>
                <w:szCs w:val="24"/>
              </w:rPr>
              <w:t>1、2、3、4</w:t>
            </w:r>
            <w:r>
              <w:rPr>
                <w:rFonts w:hint="eastAsia" w:ascii="仿宋" w:hAnsi="仿宋" w:eastAsia="仿宋" w:cs="仿宋"/>
                <w:color w:val="000000"/>
                <w:sz w:val="24"/>
                <w:szCs w:val="24"/>
                <w:lang w:eastAsia="zh-CN"/>
              </w:rPr>
              <w:t>学期</w:t>
            </w:r>
          </w:p>
        </w:tc>
        <w:tc>
          <w:tcPr>
            <w:tcW w:w="1279" w:type="dxa"/>
            <w:vAlign w:val="center"/>
          </w:tcPr>
          <w:p w14:paraId="227FEB8F">
            <w:pPr>
              <w:pStyle w:val="295"/>
              <w:tabs>
                <w:tab w:val="left" w:pos="401"/>
              </w:tabs>
              <w:spacing w:before="7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学分</w:t>
            </w:r>
          </w:p>
        </w:tc>
        <w:tc>
          <w:tcPr>
            <w:tcW w:w="1177" w:type="dxa"/>
            <w:vAlign w:val="center"/>
          </w:tcPr>
          <w:p w14:paraId="1586DFE6">
            <w:pPr>
              <w:pStyle w:val="295"/>
              <w:tabs>
                <w:tab w:val="left" w:pos="401"/>
              </w:tabs>
              <w:spacing w:before="70"/>
              <w:jc w:val="center"/>
              <w:rPr>
                <w:rFonts w:hint="eastAsia" w:ascii="仿宋" w:hAnsi="仿宋" w:eastAsia="仿宋" w:cs="仿宋"/>
                <w:color w:val="000000"/>
                <w:sz w:val="24"/>
                <w:szCs w:val="24"/>
              </w:rPr>
            </w:pPr>
            <w:r>
              <w:rPr>
                <w:rFonts w:hint="eastAsia" w:ascii="仿宋" w:hAnsi="仿宋" w:eastAsia="仿宋" w:cs="仿宋"/>
                <w:color w:val="000000"/>
                <w:sz w:val="24"/>
                <w:szCs w:val="24"/>
              </w:rPr>
              <w:t>6</w:t>
            </w:r>
          </w:p>
        </w:tc>
        <w:tc>
          <w:tcPr>
            <w:tcW w:w="1281" w:type="dxa"/>
            <w:vAlign w:val="center"/>
          </w:tcPr>
          <w:p w14:paraId="60A49EAB">
            <w:pPr>
              <w:pStyle w:val="295"/>
              <w:tabs>
                <w:tab w:val="left" w:pos="401"/>
              </w:tabs>
              <w:spacing w:before="70"/>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课程负责人</w:t>
            </w:r>
          </w:p>
        </w:tc>
        <w:tc>
          <w:tcPr>
            <w:tcW w:w="2055" w:type="dxa"/>
            <w:gridSpan w:val="2"/>
            <w:vAlign w:val="center"/>
          </w:tcPr>
          <w:p w14:paraId="59803CE1">
            <w:pPr>
              <w:pStyle w:val="295"/>
              <w:tabs>
                <w:tab w:val="left" w:pos="401"/>
              </w:tabs>
              <w:spacing w:before="70"/>
              <w:jc w:val="center"/>
              <w:rPr>
                <w:rFonts w:hint="eastAsia" w:ascii="仿宋" w:hAnsi="仿宋" w:eastAsia="仿宋" w:cs="仿宋"/>
                <w:color w:val="000000"/>
                <w:sz w:val="24"/>
                <w:szCs w:val="24"/>
                <w:lang w:eastAsia="zh-TW"/>
              </w:rPr>
            </w:pPr>
            <w:r>
              <w:rPr>
                <w:rFonts w:hint="eastAsia" w:ascii="仿宋" w:hAnsi="仿宋" w:eastAsia="仿宋" w:cs="仿宋"/>
                <w:color w:val="000000"/>
                <w:sz w:val="24"/>
                <w:szCs w:val="24"/>
              </w:rPr>
              <w:t>吴越</w:t>
            </w:r>
          </w:p>
        </w:tc>
      </w:tr>
      <w:tr w14:paraId="707E5FE5">
        <w:trPr>
          <w:trHeight w:val="454" w:hRule="atLeast"/>
        </w:trPr>
        <w:tc>
          <w:tcPr>
            <w:tcW w:w="1498" w:type="dxa"/>
            <w:vAlign w:val="center"/>
          </w:tcPr>
          <w:p w14:paraId="0F7930B6">
            <w:pPr>
              <w:pStyle w:val="295"/>
              <w:tabs>
                <w:tab w:val="left" w:pos="401"/>
              </w:tabs>
              <w:spacing w:before="70"/>
              <w:jc w:val="center"/>
              <w:rPr>
                <w:rFonts w:hint="eastAsia" w:ascii="仿宋" w:hAnsi="仿宋" w:eastAsia="仿宋" w:cs="仿宋"/>
                <w:color w:val="000000"/>
                <w:sz w:val="24"/>
                <w:szCs w:val="24"/>
              </w:rPr>
            </w:pPr>
            <w:r>
              <w:rPr>
                <w:rFonts w:hint="eastAsia" w:ascii="仿宋" w:hAnsi="仿宋" w:eastAsia="仿宋" w:cs="仿宋"/>
                <w:color w:val="000000"/>
                <w:sz w:val="24"/>
                <w:szCs w:val="24"/>
              </w:rPr>
              <w:t>总学时</w:t>
            </w:r>
          </w:p>
        </w:tc>
        <w:tc>
          <w:tcPr>
            <w:tcW w:w="1858" w:type="dxa"/>
            <w:vAlign w:val="center"/>
          </w:tcPr>
          <w:p w14:paraId="265C8613">
            <w:pPr>
              <w:pStyle w:val="295"/>
              <w:tabs>
                <w:tab w:val="left" w:pos="401"/>
              </w:tabs>
              <w:spacing w:before="70"/>
              <w:jc w:val="center"/>
              <w:rPr>
                <w:rFonts w:hint="eastAsia" w:ascii="仿宋" w:hAnsi="仿宋" w:eastAsia="仿宋" w:cs="仿宋"/>
                <w:color w:val="000000"/>
                <w:sz w:val="24"/>
                <w:szCs w:val="24"/>
              </w:rPr>
            </w:pPr>
            <w:r>
              <w:rPr>
                <w:rFonts w:hint="eastAsia" w:ascii="仿宋" w:hAnsi="仿宋" w:eastAsia="仿宋" w:cs="仿宋"/>
                <w:color w:val="000000"/>
                <w:sz w:val="24"/>
                <w:szCs w:val="24"/>
              </w:rPr>
              <w:t>128</w:t>
            </w:r>
          </w:p>
        </w:tc>
        <w:tc>
          <w:tcPr>
            <w:tcW w:w="1279" w:type="dxa"/>
            <w:vAlign w:val="center"/>
          </w:tcPr>
          <w:p w14:paraId="7F588B9A">
            <w:pPr>
              <w:pStyle w:val="295"/>
              <w:tabs>
                <w:tab w:val="left" w:pos="401"/>
              </w:tabs>
              <w:spacing w:before="70"/>
              <w:jc w:val="center"/>
              <w:rPr>
                <w:rFonts w:hint="eastAsia" w:ascii="仿宋" w:hAnsi="仿宋" w:eastAsia="仿宋" w:cs="仿宋"/>
                <w:color w:val="000000"/>
                <w:sz w:val="24"/>
                <w:szCs w:val="24"/>
              </w:rPr>
            </w:pPr>
            <w:r>
              <w:rPr>
                <w:rFonts w:hint="eastAsia" w:ascii="仿宋" w:hAnsi="仿宋" w:eastAsia="仿宋" w:cs="仿宋"/>
                <w:color w:val="000000"/>
                <w:sz w:val="24"/>
                <w:szCs w:val="24"/>
              </w:rPr>
              <w:t>理论学时</w:t>
            </w:r>
          </w:p>
        </w:tc>
        <w:tc>
          <w:tcPr>
            <w:tcW w:w="1177" w:type="dxa"/>
            <w:vAlign w:val="center"/>
          </w:tcPr>
          <w:p w14:paraId="0CC20791">
            <w:pPr>
              <w:pStyle w:val="295"/>
              <w:tabs>
                <w:tab w:val="left" w:pos="401"/>
              </w:tabs>
              <w:spacing w:before="70"/>
              <w:jc w:val="center"/>
              <w:rPr>
                <w:rFonts w:hint="eastAsia" w:ascii="仿宋" w:hAnsi="仿宋" w:eastAsia="仿宋" w:cs="仿宋"/>
                <w:color w:val="000000"/>
                <w:sz w:val="24"/>
                <w:szCs w:val="24"/>
              </w:rPr>
            </w:pPr>
            <w:r>
              <w:rPr>
                <w:rFonts w:hint="eastAsia" w:ascii="仿宋" w:hAnsi="仿宋" w:eastAsia="仿宋" w:cs="仿宋"/>
                <w:color w:val="000000"/>
                <w:sz w:val="24"/>
                <w:szCs w:val="24"/>
              </w:rPr>
              <w:t>64</w:t>
            </w:r>
          </w:p>
        </w:tc>
        <w:tc>
          <w:tcPr>
            <w:tcW w:w="1281" w:type="dxa"/>
            <w:vAlign w:val="center"/>
          </w:tcPr>
          <w:p w14:paraId="09DF320A">
            <w:pPr>
              <w:pStyle w:val="295"/>
              <w:tabs>
                <w:tab w:val="left" w:pos="401"/>
              </w:tabs>
              <w:spacing w:before="7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实践学时</w:t>
            </w:r>
          </w:p>
        </w:tc>
        <w:tc>
          <w:tcPr>
            <w:tcW w:w="2055" w:type="dxa"/>
            <w:gridSpan w:val="2"/>
            <w:vAlign w:val="center"/>
          </w:tcPr>
          <w:p w14:paraId="02FCA030">
            <w:pPr>
              <w:pStyle w:val="295"/>
              <w:tabs>
                <w:tab w:val="left" w:pos="401"/>
              </w:tabs>
              <w:spacing w:before="70"/>
              <w:jc w:val="center"/>
              <w:rPr>
                <w:rFonts w:hint="eastAsia" w:ascii="仿宋" w:hAnsi="仿宋" w:eastAsia="仿宋" w:cs="仿宋"/>
                <w:color w:val="000000"/>
                <w:sz w:val="24"/>
                <w:szCs w:val="24"/>
              </w:rPr>
            </w:pPr>
            <w:r>
              <w:rPr>
                <w:rFonts w:hint="eastAsia" w:ascii="仿宋" w:hAnsi="仿宋" w:eastAsia="仿宋" w:cs="仿宋"/>
                <w:color w:val="000000"/>
                <w:sz w:val="24"/>
                <w:szCs w:val="24"/>
              </w:rPr>
              <w:t>64</w:t>
            </w:r>
          </w:p>
        </w:tc>
      </w:tr>
      <w:tr w14:paraId="5225C216">
        <w:trPr>
          <w:trHeight w:val="454" w:hRule="atLeast"/>
        </w:trPr>
        <w:tc>
          <w:tcPr>
            <w:tcW w:w="1498" w:type="dxa"/>
            <w:vAlign w:val="center"/>
          </w:tcPr>
          <w:p w14:paraId="6D593A62">
            <w:pPr>
              <w:pStyle w:val="295"/>
              <w:tabs>
                <w:tab w:val="left" w:pos="401"/>
              </w:tabs>
              <w:spacing w:before="7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先修课程与后续课程</w:t>
            </w:r>
          </w:p>
        </w:tc>
        <w:tc>
          <w:tcPr>
            <w:tcW w:w="7650" w:type="dxa"/>
            <w:gridSpan w:val="6"/>
            <w:vAlign w:val="center"/>
          </w:tcPr>
          <w:p w14:paraId="43250CAC">
            <w:pPr>
              <w:pStyle w:val="295"/>
              <w:tabs>
                <w:tab w:val="left" w:pos="401"/>
              </w:tabs>
              <w:spacing w:before="70"/>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rPr>
              <w:t>先修课程：</w:t>
            </w:r>
            <w:r>
              <w:rPr>
                <w:rFonts w:hint="eastAsia" w:ascii="仿宋" w:hAnsi="仿宋" w:eastAsia="仿宋" w:cs="仿宋"/>
                <w:color w:val="000000"/>
                <w:sz w:val="24"/>
                <w:szCs w:val="24"/>
                <w:lang w:eastAsia="zh-CN"/>
              </w:rPr>
              <w:t>无</w:t>
            </w:r>
          </w:p>
          <w:p w14:paraId="156C8151">
            <w:pPr>
              <w:pStyle w:val="295"/>
              <w:tabs>
                <w:tab w:val="left" w:pos="401"/>
              </w:tabs>
              <w:spacing w:before="70"/>
              <w:rPr>
                <w:rFonts w:hint="eastAsia" w:ascii="仿宋" w:hAnsi="仿宋" w:eastAsia="仿宋" w:cs="仿宋"/>
                <w:color w:val="000000"/>
                <w:sz w:val="24"/>
                <w:szCs w:val="24"/>
              </w:rPr>
            </w:pPr>
            <w:r>
              <w:rPr>
                <w:rFonts w:hint="eastAsia" w:ascii="仿宋" w:hAnsi="仿宋" w:eastAsia="仿宋" w:cs="仿宋"/>
                <w:color w:val="000000"/>
                <w:sz w:val="24"/>
                <w:szCs w:val="24"/>
              </w:rPr>
              <w:t>后续课程：和声、曲式分析、钢琴弹唱、即兴伴奏</w:t>
            </w:r>
          </w:p>
        </w:tc>
      </w:tr>
      <w:tr w14:paraId="5FD70DDE">
        <w:trPr>
          <w:trHeight w:val="454" w:hRule="atLeast"/>
        </w:trPr>
        <w:tc>
          <w:tcPr>
            <w:tcW w:w="1498" w:type="dxa"/>
            <w:vAlign w:val="center"/>
          </w:tcPr>
          <w:p w14:paraId="69E481AC">
            <w:pPr>
              <w:pStyle w:val="295"/>
              <w:tabs>
                <w:tab w:val="left" w:pos="401"/>
              </w:tabs>
              <w:spacing w:before="70"/>
              <w:jc w:val="center"/>
              <w:rPr>
                <w:rFonts w:hint="eastAsia" w:ascii="仿宋" w:hAnsi="仿宋" w:eastAsia="仿宋" w:cs="仿宋"/>
                <w:color w:val="000000"/>
                <w:sz w:val="24"/>
                <w:szCs w:val="24"/>
              </w:rPr>
            </w:pPr>
            <w:r>
              <w:rPr>
                <w:rFonts w:hint="eastAsia" w:ascii="仿宋" w:hAnsi="仿宋" w:eastAsia="仿宋" w:cs="仿宋"/>
                <w:color w:val="000000"/>
                <w:sz w:val="24"/>
                <w:szCs w:val="24"/>
              </w:rPr>
              <w:t>适用专业</w:t>
            </w:r>
          </w:p>
        </w:tc>
        <w:tc>
          <w:tcPr>
            <w:tcW w:w="7650" w:type="dxa"/>
            <w:gridSpan w:val="6"/>
            <w:vAlign w:val="center"/>
          </w:tcPr>
          <w:p w14:paraId="00EDC91C">
            <w:pPr>
              <w:pStyle w:val="295"/>
              <w:tabs>
                <w:tab w:val="left" w:pos="401"/>
              </w:tabs>
              <w:spacing w:before="70"/>
              <w:jc w:val="center"/>
              <w:rPr>
                <w:rFonts w:hint="eastAsia" w:ascii="仿宋" w:hAnsi="仿宋" w:eastAsia="仿宋" w:cs="仿宋"/>
                <w:color w:val="000000"/>
                <w:sz w:val="24"/>
                <w:szCs w:val="24"/>
              </w:rPr>
            </w:pPr>
            <w:r>
              <w:rPr>
                <w:rFonts w:hint="eastAsia" w:ascii="仿宋" w:hAnsi="仿宋" w:eastAsia="仿宋" w:cs="仿宋"/>
                <w:color w:val="000000"/>
                <w:sz w:val="24"/>
                <w:szCs w:val="24"/>
              </w:rPr>
              <w:t>音乐</w:t>
            </w:r>
            <w:r>
              <w:rPr>
                <w:rFonts w:hint="eastAsia" w:ascii="仿宋" w:hAnsi="仿宋" w:eastAsia="仿宋" w:cs="仿宋"/>
                <w:color w:val="000000"/>
                <w:sz w:val="24"/>
                <w:szCs w:val="24"/>
                <w:lang w:eastAsia="zh-CN"/>
              </w:rPr>
              <w:t>学</w:t>
            </w:r>
          </w:p>
        </w:tc>
      </w:tr>
      <w:tr w14:paraId="756DFA45">
        <w:tc>
          <w:tcPr>
            <w:tcW w:w="1498" w:type="dxa"/>
            <w:tcBorders>
              <w:bottom w:val="single" w:color="auto" w:sz="4" w:space="0"/>
            </w:tcBorders>
            <w:vAlign w:val="center"/>
          </w:tcPr>
          <w:p w14:paraId="70DACE0B">
            <w:pPr>
              <w:pStyle w:val="295"/>
              <w:tabs>
                <w:tab w:val="left" w:pos="401"/>
              </w:tabs>
              <w:spacing w:before="70"/>
              <w:jc w:val="center"/>
              <w:rPr>
                <w:rFonts w:hint="eastAsia" w:ascii="仿宋" w:hAnsi="仿宋" w:eastAsia="仿宋" w:cs="仿宋"/>
                <w:color w:val="000000"/>
                <w:sz w:val="24"/>
                <w:szCs w:val="24"/>
              </w:rPr>
            </w:pPr>
            <w:r>
              <w:rPr>
                <w:rFonts w:hint="eastAsia" w:ascii="仿宋" w:hAnsi="仿宋" w:eastAsia="仿宋" w:cs="仿宋"/>
                <w:color w:val="000000"/>
                <w:sz w:val="24"/>
                <w:szCs w:val="24"/>
              </w:rPr>
              <w:t>A</w:t>
            </w:r>
          </w:p>
          <w:p w14:paraId="10E48093">
            <w:pPr>
              <w:pStyle w:val="295"/>
              <w:tabs>
                <w:tab w:val="left" w:pos="401"/>
              </w:tabs>
              <w:spacing w:before="7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参考教材</w:t>
            </w:r>
          </w:p>
        </w:tc>
        <w:tc>
          <w:tcPr>
            <w:tcW w:w="7650" w:type="dxa"/>
            <w:gridSpan w:val="6"/>
            <w:tcBorders>
              <w:bottom w:val="single" w:color="auto" w:sz="4" w:space="0"/>
            </w:tcBorders>
            <w:vAlign w:val="center"/>
          </w:tcPr>
          <w:p w14:paraId="2372A137">
            <w:pPr>
              <w:pStyle w:val="295"/>
              <w:keepNext w:val="0"/>
              <w:keepLines w:val="0"/>
              <w:pageBreakBefore w:val="0"/>
              <w:widowControl w:val="0"/>
              <w:tabs>
                <w:tab w:val="left" w:pos="401"/>
              </w:tabs>
              <w:kinsoku/>
              <w:wordWrap/>
              <w:overflowPunct/>
              <w:topLinePunct w:val="0"/>
              <w:autoSpaceDE/>
              <w:autoSpaceDN/>
              <w:bidi w:val="0"/>
              <w:spacing w:before="70" w:line="28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t>许敬行、孙虹，《视唱练耳》修订版1、2、3、4册，高等教育出版社出版，2011</w:t>
            </w:r>
            <w:r>
              <w:rPr>
                <w:rFonts w:hint="eastAsia" w:ascii="仿宋" w:hAnsi="仿宋" w:eastAsia="仿宋" w:cs="仿宋"/>
                <w:color w:val="000000"/>
                <w:sz w:val="24"/>
                <w:szCs w:val="24"/>
                <w:lang w:val="en-US" w:eastAsia="en-US"/>
              </w:rPr>
              <w:t>年</w:t>
            </w:r>
            <w:r>
              <w:rPr>
                <w:rFonts w:hint="eastAsia" w:ascii="仿宋" w:hAnsi="仿宋" w:eastAsia="仿宋" w:cs="仿宋"/>
                <w:color w:val="000000"/>
                <w:sz w:val="24"/>
                <w:szCs w:val="24"/>
                <w:lang w:eastAsia="en-US"/>
              </w:rPr>
              <w:t>。</w:t>
            </w:r>
          </w:p>
        </w:tc>
      </w:tr>
      <w:tr w14:paraId="0A95F400">
        <w:tc>
          <w:tcPr>
            <w:tcW w:w="1498" w:type="dxa"/>
            <w:tcBorders>
              <w:bottom w:val="single" w:color="auto" w:sz="4" w:space="0"/>
            </w:tcBorders>
            <w:vAlign w:val="center"/>
          </w:tcPr>
          <w:p w14:paraId="1C12F579">
            <w:pPr>
              <w:pStyle w:val="295"/>
              <w:tabs>
                <w:tab w:val="left" w:pos="401"/>
              </w:tabs>
              <w:spacing w:before="70"/>
              <w:jc w:val="center"/>
              <w:rPr>
                <w:rFonts w:hint="eastAsia" w:ascii="仿宋" w:hAnsi="仿宋" w:eastAsia="仿宋" w:cs="仿宋"/>
                <w:color w:val="000000"/>
                <w:sz w:val="24"/>
                <w:szCs w:val="24"/>
              </w:rPr>
            </w:pPr>
            <w:r>
              <w:rPr>
                <w:rFonts w:hint="eastAsia" w:ascii="仿宋" w:hAnsi="仿宋" w:eastAsia="仿宋" w:cs="仿宋"/>
                <w:color w:val="000000"/>
                <w:sz w:val="24"/>
                <w:szCs w:val="24"/>
              </w:rPr>
              <w:t>B</w:t>
            </w:r>
          </w:p>
          <w:p w14:paraId="4DEBC481">
            <w:pPr>
              <w:pStyle w:val="295"/>
              <w:tabs>
                <w:tab w:val="left" w:pos="401"/>
              </w:tabs>
              <w:spacing w:before="70"/>
              <w:jc w:val="center"/>
              <w:rPr>
                <w:rFonts w:hint="eastAsia" w:ascii="仿宋" w:hAnsi="仿宋" w:eastAsia="仿宋" w:cs="仿宋"/>
                <w:color w:val="000000"/>
                <w:sz w:val="24"/>
                <w:szCs w:val="24"/>
              </w:rPr>
            </w:pPr>
            <w:r>
              <w:rPr>
                <w:rFonts w:hint="eastAsia" w:ascii="仿宋" w:hAnsi="仿宋" w:eastAsia="仿宋" w:cs="仿宋"/>
                <w:color w:val="000000"/>
                <w:sz w:val="24"/>
                <w:szCs w:val="24"/>
              </w:rPr>
              <w:t>主要参考书籍</w:t>
            </w:r>
          </w:p>
        </w:tc>
        <w:tc>
          <w:tcPr>
            <w:tcW w:w="7650" w:type="dxa"/>
            <w:gridSpan w:val="6"/>
            <w:tcBorders>
              <w:bottom w:val="single" w:color="auto" w:sz="4" w:space="0"/>
            </w:tcBorders>
            <w:vAlign w:val="center"/>
          </w:tcPr>
          <w:p w14:paraId="2F3CF41D">
            <w:pPr>
              <w:pStyle w:val="295"/>
              <w:keepNext w:val="0"/>
              <w:keepLines w:val="0"/>
              <w:pageBreakBefore w:val="0"/>
              <w:widowControl w:val="0"/>
              <w:tabs>
                <w:tab w:val="left" w:pos="401"/>
              </w:tabs>
              <w:kinsoku/>
              <w:wordWrap/>
              <w:overflowPunct/>
              <w:topLinePunct w:val="0"/>
              <w:autoSpaceDE/>
              <w:autoSpaceDN/>
              <w:bidi w:val="0"/>
              <w:spacing w:before="70" w:line="320" w:lineRule="exact"/>
              <w:rPr>
                <w:rFonts w:hint="eastAsia" w:ascii="仿宋" w:hAnsi="仿宋" w:eastAsia="仿宋" w:cs="仿宋"/>
                <w:color w:val="000000"/>
                <w:sz w:val="24"/>
                <w:szCs w:val="24"/>
              </w:rPr>
            </w:pPr>
            <w:r>
              <w:rPr>
                <w:rFonts w:hint="eastAsia" w:ascii="仿宋" w:hAnsi="仿宋" w:eastAsia="仿宋" w:cs="仿宋"/>
                <w:color w:val="000000"/>
                <w:sz w:val="24"/>
                <w:szCs w:val="24"/>
              </w:rPr>
              <w:t>1.《单声部视唱》上、下册，上海音乐学院视唱练耳教研组，2006年。</w:t>
            </w:r>
          </w:p>
          <w:p w14:paraId="0632DC59">
            <w:pPr>
              <w:pStyle w:val="295"/>
              <w:keepNext w:val="0"/>
              <w:keepLines w:val="0"/>
              <w:pageBreakBefore w:val="0"/>
              <w:widowControl w:val="0"/>
              <w:tabs>
                <w:tab w:val="left" w:pos="401"/>
              </w:tabs>
              <w:kinsoku/>
              <w:wordWrap/>
              <w:overflowPunct/>
              <w:topLinePunct w:val="0"/>
              <w:autoSpaceDE/>
              <w:autoSpaceDN/>
              <w:bidi w:val="0"/>
              <w:spacing w:before="70" w:line="320" w:lineRule="exact"/>
              <w:rPr>
                <w:rFonts w:hint="eastAsia" w:ascii="仿宋" w:hAnsi="仿宋" w:eastAsia="仿宋" w:cs="仿宋"/>
                <w:color w:val="000000"/>
                <w:sz w:val="24"/>
                <w:szCs w:val="24"/>
              </w:rPr>
            </w:pPr>
            <w:r>
              <w:rPr>
                <w:rFonts w:hint="eastAsia" w:ascii="仿宋" w:hAnsi="仿宋" w:eastAsia="仿宋" w:cs="仿宋"/>
                <w:color w:val="000000"/>
                <w:sz w:val="24"/>
                <w:szCs w:val="24"/>
              </w:rPr>
              <w:t>2.《二声部视唱卷教程》上海音乐学院视唱练耳教研组，上海音乐出版社，1991年。</w:t>
            </w:r>
          </w:p>
          <w:p w14:paraId="365907BE">
            <w:pPr>
              <w:pStyle w:val="295"/>
              <w:keepNext w:val="0"/>
              <w:keepLines w:val="0"/>
              <w:pageBreakBefore w:val="0"/>
              <w:widowControl w:val="0"/>
              <w:tabs>
                <w:tab w:val="left" w:pos="401"/>
              </w:tabs>
              <w:kinsoku/>
              <w:wordWrap/>
              <w:overflowPunct/>
              <w:topLinePunct w:val="0"/>
              <w:autoSpaceDE/>
              <w:autoSpaceDN/>
              <w:bidi w:val="0"/>
              <w:spacing w:before="70" w:line="320" w:lineRule="exact"/>
              <w:rPr>
                <w:rFonts w:ascii="仿宋" w:hAnsi="仿宋" w:eastAsia="仿宋" w:cs="仿宋"/>
                <w:color w:val="000000"/>
                <w:sz w:val="24"/>
                <w:szCs w:val="24"/>
              </w:rPr>
            </w:pPr>
            <w:r>
              <w:rPr>
                <w:rFonts w:hint="eastAsia" w:ascii="仿宋" w:hAnsi="仿宋" w:eastAsia="仿宋" w:cs="仿宋"/>
                <w:color w:val="000000"/>
                <w:sz w:val="24"/>
                <w:szCs w:val="24"/>
                <w:lang w:eastAsia="zh-TW"/>
              </w:rPr>
              <w:t>3.</w:t>
            </w:r>
            <w:r>
              <w:rPr>
                <w:rFonts w:hint="eastAsia" w:ascii="仿宋" w:hAnsi="仿宋" w:eastAsia="仿宋" w:cs="仿宋"/>
                <w:color w:val="000000"/>
                <w:sz w:val="24"/>
                <w:szCs w:val="24"/>
              </w:rPr>
              <w:t>《节奏训练》许新华，广东花城出版社,2013年。</w:t>
            </w:r>
          </w:p>
          <w:p w14:paraId="4027B590">
            <w:pPr>
              <w:pStyle w:val="295"/>
              <w:keepNext w:val="0"/>
              <w:keepLines w:val="0"/>
              <w:pageBreakBefore w:val="0"/>
              <w:widowControl w:val="0"/>
              <w:tabs>
                <w:tab w:val="left" w:pos="401"/>
              </w:tabs>
              <w:kinsoku/>
              <w:wordWrap/>
              <w:overflowPunct/>
              <w:topLinePunct w:val="0"/>
              <w:autoSpaceDE/>
              <w:autoSpaceDN/>
              <w:bidi w:val="0"/>
              <w:spacing w:before="70" w:line="320" w:lineRule="exact"/>
              <w:rPr>
                <w:rFonts w:ascii="仿宋" w:hAnsi="仿宋" w:eastAsia="仿宋" w:cs="仿宋"/>
                <w:color w:val="000000"/>
                <w:sz w:val="24"/>
                <w:szCs w:val="24"/>
              </w:rPr>
            </w:pPr>
            <w:r>
              <w:rPr>
                <w:rFonts w:hint="eastAsia" w:ascii="仿宋" w:hAnsi="仿宋" w:eastAsia="仿宋" w:cs="仿宋"/>
                <w:color w:val="000000"/>
                <w:sz w:val="24"/>
                <w:szCs w:val="24"/>
                <w:lang w:eastAsia="zh-TW"/>
              </w:rPr>
              <w:t>4.</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TW"/>
              </w:rPr>
              <w:t>新曲/听音的练习</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TW"/>
              </w:rPr>
              <w:t>饭田正纪,全音乐谱出版</w:t>
            </w:r>
            <w:r>
              <w:rPr>
                <w:rFonts w:hint="eastAsia" w:ascii="仿宋" w:hAnsi="仿宋" w:eastAsia="仿宋" w:cs="仿宋"/>
                <w:color w:val="000000"/>
                <w:sz w:val="24"/>
                <w:szCs w:val="24"/>
              </w:rPr>
              <w:t>，n.d.</w:t>
            </w:r>
          </w:p>
          <w:p w14:paraId="2C6C93C4">
            <w:pPr>
              <w:pStyle w:val="295"/>
              <w:keepNext w:val="0"/>
              <w:keepLines w:val="0"/>
              <w:pageBreakBefore w:val="0"/>
              <w:widowControl w:val="0"/>
              <w:tabs>
                <w:tab w:val="left" w:pos="401"/>
              </w:tabs>
              <w:kinsoku/>
              <w:wordWrap/>
              <w:overflowPunct/>
              <w:topLinePunct w:val="0"/>
              <w:autoSpaceDE/>
              <w:autoSpaceDN/>
              <w:bidi w:val="0"/>
              <w:spacing w:before="70" w:line="320" w:lineRule="exact"/>
              <w:rPr>
                <w:rFonts w:hint="eastAsia" w:ascii="仿宋" w:hAnsi="仿宋" w:eastAsia="仿宋" w:cs="仿宋"/>
                <w:color w:val="000000"/>
                <w:sz w:val="24"/>
                <w:szCs w:val="24"/>
              </w:rPr>
            </w:pPr>
            <w:r>
              <w:rPr>
                <w:rFonts w:hint="eastAsia" w:ascii="仿宋" w:hAnsi="仿宋" w:eastAsia="仿宋" w:cs="仿宋"/>
                <w:color w:val="000000"/>
                <w:sz w:val="24"/>
                <w:szCs w:val="24"/>
                <w:lang w:eastAsia="zh-TW"/>
              </w:rPr>
              <w:t>5.</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TW"/>
              </w:rPr>
              <w:t>音程视唱-调性篇</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TW"/>
              </w:rPr>
              <w:t>吕玲英,大陆书店,199</w:t>
            </w:r>
            <w:r>
              <w:rPr>
                <w:rFonts w:hint="eastAsia" w:ascii="仿宋" w:hAnsi="仿宋" w:eastAsia="仿宋" w:cs="仿宋"/>
                <w:color w:val="000000"/>
                <w:sz w:val="24"/>
                <w:szCs w:val="24"/>
              </w:rPr>
              <w:t>3年。</w:t>
            </w:r>
          </w:p>
        </w:tc>
      </w:tr>
      <w:tr w14:paraId="6379CCEA">
        <w:tc>
          <w:tcPr>
            <w:tcW w:w="1498" w:type="dxa"/>
            <w:tcBorders>
              <w:bottom w:val="single" w:color="auto" w:sz="4" w:space="0"/>
            </w:tcBorders>
            <w:vAlign w:val="center"/>
          </w:tcPr>
          <w:p w14:paraId="274B03C2">
            <w:pPr>
              <w:pStyle w:val="295"/>
              <w:tabs>
                <w:tab w:val="left" w:pos="401"/>
              </w:tabs>
              <w:spacing w:before="70"/>
              <w:jc w:val="center"/>
              <w:rPr>
                <w:rFonts w:hint="eastAsia" w:ascii="仿宋" w:hAnsi="仿宋" w:eastAsia="仿宋" w:cs="仿宋"/>
                <w:color w:val="000000"/>
                <w:sz w:val="24"/>
                <w:szCs w:val="24"/>
              </w:rPr>
            </w:pPr>
            <w:r>
              <w:rPr>
                <w:rFonts w:hint="eastAsia" w:ascii="仿宋" w:hAnsi="仿宋" w:eastAsia="仿宋" w:cs="仿宋"/>
                <w:color w:val="000000"/>
                <w:sz w:val="24"/>
                <w:szCs w:val="24"/>
              </w:rPr>
              <w:t>C</w:t>
            </w:r>
          </w:p>
          <w:p w14:paraId="78FB007F">
            <w:pPr>
              <w:pStyle w:val="295"/>
              <w:tabs>
                <w:tab w:val="left" w:pos="401"/>
              </w:tabs>
              <w:spacing w:before="70"/>
              <w:jc w:val="center"/>
              <w:rPr>
                <w:rFonts w:hint="eastAsia" w:ascii="仿宋" w:hAnsi="仿宋" w:eastAsia="仿宋" w:cs="仿宋"/>
                <w:color w:val="000000"/>
                <w:sz w:val="24"/>
                <w:szCs w:val="24"/>
              </w:rPr>
            </w:pPr>
            <w:r>
              <w:rPr>
                <w:rFonts w:hint="eastAsia" w:ascii="仿宋" w:hAnsi="仿宋" w:eastAsia="仿宋" w:cs="仿宋"/>
                <w:color w:val="000000"/>
                <w:sz w:val="24"/>
                <w:szCs w:val="24"/>
              </w:rPr>
              <w:t>线上学习资源</w:t>
            </w:r>
          </w:p>
        </w:tc>
        <w:tc>
          <w:tcPr>
            <w:tcW w:w="7650" w:type="dxa"/>
            <w:gridSpan w:val="6"/>
            <w:tcBorders>
              <w:bottom w:val="single" w:color="auto" w:sz="4" w:space="0"/>
            </w:tcBorders>
            <w:vAlign w:val="center"/>
          </w:tcPr>
          <w:p w14:paraId="2349513E">
            <w:pPr>
              <w:pStyle w:val="295"/>
              <w:keepNext w:val="0"/>
              <w:keepLines w:val="0"/>
              <w:pageBreakBefore w:val="0"/>
              <w:widowControl w:val="0"/>
              <w:tabs>
                <w:tab w:val="left" w:pos="401"/>
              </w:tabs>
              <w:kinsoku/>
              <w:wordWrap/>
              <w:overflowPunct/>
              <w:topLinePunct w:val="0"/>
              <w:autoSpaceDE/>
              <w:autoSpaceDN/>
              <w:bidi w:val="0"/>
              <w:spacing w:before="70" w:line="320" w:lineRule="exact"/>
              <w:rPr>
                <w:rFonts w:hint="eastAsia" w:ascii="仿宋" w:hAnsi="仿宋" w:eastAsia="仿宋" w:cs="仿宋"/>
                <w:color w:val="000000"/>
                <w:sz w:val="24"/>
                <w:szCs w:val="24"/>
              </w:rPr>
            </w:pPr>
            <w:r>
              <w:rPr>
                <w:rFonts w:hint="eastAsia" w:ascii="仿宋" w:hAnsi="仿宋" w:eastAsia="仿宋" w:cs="仿宋"/>
                <w:color w:val="000000"/>
                <w:sz w:val="24"/>
                <w:szCs w:val="24"/>
              </w:rPr>
              <w:t>1.本课程已经建立超星平台网络课程，同学们依据学校提供的帐号与密码登录课程网站，可查看教学大纲、授课计划、考核方法、课程PPT、教学视频、电子教材、音频、阅读资料、仿真软件、网络文献链接网址等教学资源。</w:t>
            </w:r>
          </w:p>
          <w:p w14:paraId="2B968B86">
            <w:pPr>
              <w:pStyle w:val="295"/>
              <w:keepNext w:val="0"/>
              <w:keepLines w:val="0"/>
              <w:pageBreakBefore w:val="0"/>
              <w:widowControl w:val="0"/>
              <w:tabs>
                <w:tab w:val="left" w:pos="401"/>
              </w:tabs>
              <w:kinsoku/>
              <w:wordWrap/>
              <w:overflowPunct/>
              <w:topLinePunct w:val="0"/>
              <w:autoSpaceDE/>
              <w:autoSpaceDN/>
              <w:bidi w:val="0"/>
              <w:spacing w:before="70" w:line="320" w:lineRule="exact"/>
              <w:rPr>
                <w:rFonts w:hint="eastAsia" w:ascii="仿宋" w:hAnsi="仿宋" w:eastAsia="仿宋" w:cs="仿宋"/>
                <w:color w:val="000000"/>
                <w:sz w:val="24"/>
                <w:szCs w:val="24"/>
              </w:rPr>
            </w:pPr>
            <w:r>
              <w:rPr>
                <w:rFonts w:hint="eastAsia" w:ascii="仿宋" w:hAnsi="仿宋" w:eastAsia="仿宋" w:cs="仿宋"/>
                <w:color w:val="000000"/>
                <w:sz w:val="24"/>
                <w:szCs w:val="24"/>
              </w:rPr>
              <w:t>2.中国大学MOOC平台</w:t>
            </w:r>
          </w:p>
        </w:tc>
      </w:tr>
      <w:tr w14:paraId="52C684A6">
        <w:trPr>
          <w:trHeight w:val="90" w:hRule="atLeast"/>
        </w:trPr>
        <w:tc>
          <w:tcPr>
            <w:tcW w:w="1498" w:type="dxa"/>
            <w:shd w:val="clear" w:color="auto" w:fill="FFFFFF"/>
            <w:vAlign w:val="center"/>
          </w:tcPr>
          <w:p w14:paraId="22B62B84">
            <w:pPr>
              <w:pStyle w:val="295"/>
              <w:tabs>
                <w:tab w:val="left" w:pos="401"/>
              </w:tabs>
              <w:spacing w:before="70"/>
              <w:jc w:val="center"/>
              <w:rPr>
                <w:rFonts w:hint="eastAsia" w:ascii="仿宋" w:hAnsi="仿宋" w:eastAsia="仿宋" w:cs="仿宋"/>
                <w:color w:val="000000"/>
                <w:sz w:val="24"/>
                <w:szCs w:val="24"/>
              </w:rPr>
            </w:pPr>
            <w:r>
              <w:rPr>
                <w:rFonts w:hint="eastAsia" w:ascii="仿宋" w:hAnsi="仿宋" w:eastAsia="仿宋" w:cs="仿宋"/>
                <w:color w:val="000000"/>
                <w:sz w:val="24"/>
                <w:szCs w:val="24"/>
              </w:rPr>
              <w:t>D</w:t>
            </w:r>
          </w:p>
          <w:p w14:paraId="3B805214">
            <w:pPr>
              <w:pStyle w:val="295"/>
              <w:tabs>
                <w:tab w:val="left" w:pos="401"/>
              </w:tabs>
              <w:spacing w:before="70"/>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课程描述</w:t>
            </w:r>
          </w:p>
          <w:p w14:paraId="24FEB82E">
            <w:pPr>
              <w:pStyle w:val="295"/>
              <w:tabs>
                <w:tab w:val="left" w:pos="401"/>
              </w:tabs>
              <w:spacing w:before="70"/>
              <w:jc w:val="center"/>
              <w:rPr>
                <w:rFonts w:hint="eastAsia" w:ascii="仿宋" w:hAnsi="仿宋" w:eastAsia="仿宋" w:cs="仿宋"/>
                <w:color w:val="000000"/>
                <w:sz w:val="24"/>
                <w:szCs w:val="24"/>
              </w:rPr>
            </w:pPr>
            <w:r>
              <w:rPr>
                <w:rFonts w:hint="eastAsia" w:ascii="仿宋" w:hAnsi="仿宋" w:eastAsia="仿宋" w:cs="仿宋"/>
                <w:color w:val="000000"/>
                <w:sz w:val="24"/>
                <w:szCs w:val="24"/>
                <w:lang w:eastAsia="zh-TW"/>
              </w:rPr>
              <w:t>(</w:t>
            </w:r>
            <w:r>
              <w:rPr>
                <w:rFonts w:hint="eastAsia" w:ascii="仿宋" w:hAnsi="仿宋" w:eastAsia="仿宋" w:cs="仿宋"/>
                <w:color w:val="000000"/>
                <w:sz w:val="24"/>
                <w:szCs w:val="24"/>
              </w:rPr>
              <w:t>含</w:t>
            </w:r>
            <w:r>
              <w:rPr>
                <w:rFonts w:hint="eastAsia" w:ascii="仿宋" w:hAnsi="仿宋" w:eastAsia="仿宋" w:cs="仿宋"/>
                <w:color w:val="000000"/>
                <w:sz w:val="24"/>
                <w:szCs w:val="24"/>
                <w:lang w:eastAsia="zh-TW"/>
              </w:rPr>
              <w:t>性质、地位和任务)</w:t>
            </w:r>
          </w:p>
        </w:tc>
        <w:tc>
          <w:tcPr>
            <w:tcW w:w="7650" w:type="dxa"/>
            <w:gridSpan w:val="6"/>
            <w:tcBorders>
              <w:bottom w:val="single" w:color="auto" w:sz="4" w:space="0"/>
            </w:tcBorders>
            <w:shd w:val="clear" w:color="auto" w:fill="FFFFFF"/>
            <w:vAlign w:val="center"/>
          </w:tcPr>
          <w:p w14:paraId="6EBD5410">
            <w:pPr>
              <w:pStyle w:val="295"/>
              <w:keepNext w:val="0"/>
              <w:keepLines w:val="0"/>
              <w:pageBreakBefore w:val="0"/>
              <w:widowControl w:val="0"/>
              <w:tabs>
                <w:tab w:val="left" w:pos="401"/>
              </w:tabs>
              <w:kinsoku/>
              <w:wordWrap/>
              <w:overflowPunct/>
              <w:topLinePunct w:val="0"/>
              <w:autoSpaceDE/>
              <w:autoSpaceDN/>
              <w:bidi w:val="0"/>
              <w:spacing w:before="70" w:line="320" w:lineRule="exact"/>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视唱练耳是音乐学专业本科的专业课之一，授课对象是该专业全体一、二年级学生。该课程系统讲授有关音乐实践所需最基本的知识能力，使学生获得学习、掌握和理解音乐及其表现方法所必需最基本的知识和技能,未来从事音乐工作所必备的基础能力，为进一步学习其他音乐课程和发展音乐技能奠定基础。</w:t>
            </w:r>
          </w:p>
          <w:p w14:paraId="563F7C70">
            <w:pPr>
              <w:pStyle w:val="295"/>
              <w:keepNext w:val="0"/>
              <w:keepLines w:val="0"/>
              <w:pageBreakBefore w:val="0"/>
              <w:widowControl w:val="0"/>
              <w:tabs>
                <w:tab w:val="left" w:pos="401"/>
              </w:tabs>
              <w:kinsoku/>
              <w:wordWrap/>
              <w:overflowPunct/>
              <w:topLinePunct w:val="0"/>
              <w:autoSpaceDE/>
              <w:autoSpaceDN/>
              <w:bidi w:val="0"/>
              <w:spacing w:before="70" w:line="320" w:lineRule="exact"/>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通过本课程的教学，使学生掌握正确音高，理解各种节奏型态、掌握背唱,视唱及听写的能力，使学生具备能更好地处理音乐表现方法所必须的一般知识和技能；并为进一步学习其他音乐课程、发展音乐才能，在专业上打下牢固的基础。</w:t>
            </w:r>
          </w:p>
        </w:tc>
      </w:tr>
      <w:tr w14:paraId="3C1CCC5E">
        <w:trPr>
          <w:cantSplit/>
          <w:trHeight w:val="2171" w:hRule="atLeast"/>
        </w:trPr>
        <w:tc>
          <w:tcPr>
            <w:tcW w:w="1498" w:type="dxa"/>
            <w:vMerge w:val="restart"/>
            <w:shd w:val="clear" w:color="auto" w:fill="FFFFFF"/>
            <w:vAlign w:val="center"/>
          </w:tcPr>
          <w:p w14:paraId="4F1FC236">
            <w:pPr>
              <w:pStyle w:val="295"/>
              <w:tabs>
                <w:tab w:val="left" w:pos="401"/>
              </w:tabs>
              <w:spacing w:before="70"/>
              <w:jc w:val="center"/>
              <w:rPr>
                <w:rFonts w:hint="eastAsia" w:ascii="仿宋" w:hAnsi="仿宋" w:eastAsia="仿宋" w:cs="仿宋"/>
                <w:color w:val="000000"/>
                <w:sz w:val="24"/>
                <w:szCs w:val="24"/>
              </w:rPr>
            </w:pPr>
            <w:r>
              <w:rPr>
                <w:rFonts w:hint="eastAsia" w:ascii="仿宋" w:hAnsi="仿宋" w:eastAsia="仿宋" w:cs="仿宋"/>
                <w:color w:val="000000"/>
                <w:sz w:val="24"/>
                <w:szCs w:val="24"/>
              </w:rPr>
              <w:t>E</w:t>
            </w:r>
          </w:p>
          <w:p w14:paraId="09359CCF">
            <w:pPr>
              <w:pStyle w:val="295"/>
              <w:tabs>
                <w:tab w:val="left" w:pos="401"/>
              </w:tabs>
              <w:spacing w:before="70"/>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课程学习目标及其与毕业要求的对应关系</w:t>
            </w:r>
          </w:p>
        </w:tc>
        <w:tc>
          <w:tcPr>
            <w:tcW w:w="7650" w:type="dxa"/>
            <w:gridSpan w:val="6"/>
            <w:tcBorders>
              <w:bottom w:val="single" w:color="auto" w:sz="4" w:space="0"/>
            </w:tcBorders>
            <w:shd w:val="clear" w:color="auto" w:fill="FFFFFF"/>
            <w:vAlign w:val="center"/>
          </w:tcPr>
          <w:p w14:paraId="31CB66AD">
            <w:pPr>
              <w:pStyle w:val="295"/>
              <w:keepNext w:val="0"/>
              <w:keepLines w:val="0"/>
              <w:pageBreakBefore w:val="0"/>
              <w:widowControl w:val="0"/>
              <w:tabs>
                <w:tab w:val="left" w:pos="401"/>
              </w:tabs>
              <w:kinsoku/>
              <w:wordWrap/>
              <w:overflowPunct/>
              <w:topLinePunct w:val="0"/>
              <w:autoSpaceDE/>
              <w:autoSpaceDN/>
              <w:bidi w:val="0"/>
              <w:spacing w:before="70" w:line="320" w:lineRule="exact"/>
              <w:rPr>
                <w:rFonts w:hint="eastAsia" w:ascii="仿宋" w:hAnsi="仿宋" w:eastAsia="仿宋" w:cs="仿宋"/>
                <w:color w:val="000000"/>
                <w:sz w:val="24"/>
                <w:szCs w:val="24"/>
                <w:lang w:val="en-US" w:eastAsia="zh-TW"/>
              </w:rPr>
            </w:pPr>
            <w:r>
              <w:rPr>
                <w:rFonts w:hint="eastAsia" w:ascii="仿宋" w:hAnsi="仿宋" w:eastAsia="仿宋" w:cs="仿宋"/>
                <w:color w:val="000000"/>
                <w:sz w:val="24"/>
                <w:szCs w:val="24"/>
                <w:lang w:val="en-US" w:eastAsia="zh-CN"/>
              </w:rPr>
              <w:t>通过本课程的学习，学生具备如下知识、能力及情感态度价值观：</w:t>
            </w:r>
          </w:p>
          <w:p w14:paraId="01377595">
            <w:pPr>
              <w:pStyle w:val="295"/>
              <w:keepNext w:val="0"/>
              <w:keepLines w:val="0"/>
              <w:pageBreakBefore w:val="0"/>
              <w:widowControl w:val="0"/>
              <w:tabs>
                <w:tab w:val="left" w:pos="401"/>
              </w:tabs>
              <w:kinsoku/>
              <w:wordWrap/>
              <w:overflowPunct/>
              <w:topLinePunct w:val="0"/>
              <w:autoSpaceDE/>
              <w:autoSpaceDN/>
              <w:bidi w:val="0"/>
              <w:spacing w:before="70" w:line="320" w:lineRule="exact"/>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课程目标1：了解基本的视唱和听写理论，掌握基本音乐背唱, 视唱和听写技能，具备运用所学技能正确辨认和快速记忆音乐中的曲调，区别不同的音调、和弦、节奏及音高特点的能力。初步形成音乐技能实践体系，掌握音乐基本素养。（支撑毕业要求3.1）</w:t>
            </w:r>
          </w:p>
          <w:p w14:paraId="3A80B514">
            <w:pPr>
              <w:pStyle w:val="295"/>
              <w:keepNext w:val="0"/>
              <w:keepLines w:val="0"/>
              <w:pageBreakBefore w:val="0"/>
              <w:widowControl w:val="0"/>
              <w:tabs>
                <w:tab w:val="left" w:pos="401"/>
              </w:tabs>
              <w:kinsoku/>
              <w:wordWrap/>
              <w:overflowPunct/>
              <w:topLinePunct w:val="0"/>
              <w:autoSpaceDE/>
              <w:autoSpaceDN/>
              <w:bidi w:val="0"/>
              <w:spacing w:before="70" w:line="320" w:lineRule="exact"/>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课程目标2：能够对各种节奏型态进行记忆和构写，能够准确识别正确音高、节奏。具备利用信息技术等辅助手段进行音乐课堂教学设计的基本能力。（支撑毕业要求4.1）</w:t>
            </w:r>
          </w:p>
          <w:p w14:paraId="345C321F">
            <w:pPr>
              <w:pStyle w:val="295"/>
              <w:keepNext w:val="0"/>
              <w:keepLines w:val="0"/>
              <w:pageBreakBefore w:val="0"/>
              <w:widowControl w:val="0"/>
              <w:tabs>
                <w:tab w:val="left" w:pos="401"/>
              </w:tabs>
              <w:kinsoku/>
              <w:wordWrap/>
              <w:overflowPunct/>
              <w:topLinePunct w:val="0"/>
              <w:autoSpaceDE/>
              <w:autoSpaceDN/>
              <w:bidi w:val="0"/>
              <w:spacing w:before="70" w:line="320" w:lineRule="exact"/>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课程目标3：理解并掌握音乐表现各要素的技能，为学习其他音乐课程打下牢固实践基础。同时还要注意提高学生逻辑思维能力，发展音乐自由创作的才能，并培养学生的审美情趣，形成继续教育和终身学习和专业发展意识、自学习惯和能力及反思。有意识培养自己的创造性思维和教师的自我塑造。（支撑毕业要求7.1）</w:t>
            </w:r>
          </w:p>
        </w:tc>
      </w:tr>
      <w:tr w14:paraId="16A6B0A1">
        <w:trPr>
          <w:cantSplit/>
          <w:trHeight w:val="642" w:hRule="atLeast"/>
        </w:trPr>
        <w:tc>
          <w:tcPr>
            <w:tcW w:w="1498" w:type="dxa"/>
            <w:vMerge w:val="continue"/>
            <w:shd w:val="clear" w:color="auto" w:fill="FFFFFF"/>
            <w:vAlign w:val="center"/>
          </w:tcPr>
          <w:p w14:paraId="1100606C">
            <w:pPr>
              <w:pStyle w:val="295"/>
              <w:tabs>
                <w:tab w:val="left" w:pos="401"/>
              </w:tabs>
              <w:spacing w:before="70"/>
              <w:ind w:left="420"/>
              <w:rPr>
                <w:rFonts w:hint="eastAsia" w:ascii="仿宋" w:hAnsi="仿宋" w:eastAsia="仿宋" w:cs="仿宋"/>
                <w:color w:val="000000"/>
                <w:sz w:val="24"/>
                <w:szCs w:val="24"/>
              </w:rPr>
            </w:pPr>
          </w:p>
        </w:tc>
        <w:tc>
          <w:tcPr>
            <w:tcW w:w="1858" w:type="dxa"/>
            <w:tcBorders>
              <w:bottom w:val="single" w:color="auto" w:sz="4" w:space="0"/>
            </w:tcBorders>
            <w:shd w:val="clear" w:color="auto" w:fill="FFFFFF"/>
            <w:vAlign w:val="center"/>
          </w:tcPr>
          <w:p w14:paraId="444A8B8B">
            <w:pPr>
              <w:spacing w:line="240" w:lineRule="atLeast"/>
              <w:jc w:val="center"/>
              <w:rPr>
                <w:rFonts w:hint="eastAsia" w:ascii="仿宋" w:hAnsi="仿宋" w:eastAsia="仿宋" w:cs="仿宋"/>
                <w:color w:val="000000"/>
                <w:sz w:val="24"/>
                <w:szCs w:val="24"/>
              </w:rPr>
            </w:pPr>
            <w:r>
              <w:rPr>
                <w:rFonts w:hint="eastAsia" w:ascii="仿宋" w:hAnsi="仿宋" w:eastAsia="仿宋" w:cs="仿宋"/>
                <w:sz w:val="24"/>
                <w:szCs w:val="24"/>
              </w:rPr>
              <w:t>课程目标</w:t>
            </w:r>
          </w:p>
        </w:tc>
        <w:tc>
          <w:tcPr>
            <w:tcW w:w="4307" w:type="dxa"/>
            <w:gridSpan w:val="4"/>
            <w:tcBorders>
              <w:bottom w:val="single" w:color="auto" w:sz="4" w:space="0"/>
            </w:tcBorders>
            <w:shd w:val="clear" w:color="auto" w:fill="FFFFFF"/>
            <w:vAlign w:val="center"/>
          </w:tcPr>
          <w:p w14:paraId="10BD1406">
            <w:pPr>
              <w:spacing w:line="240" w:lineRule="atLeast"/>
              <w:jc w:val="center"/>
              <w:rPr>
                <w:rFonts w:hint="eastAsia" w:ascii="仿宋" w:hAnsi="仿宋" w:eastAsia="仿宋" w:cs="仿宋"/>
                <w:color w:val="000000"/>
                <w:sz w:val="24"/>
                <w:szCs w:val="24"/>
              </w:rPr>
            </w:pPr>
            <w:r>
              <w:rPr>
                <w:rFonts w:hint="eastAsia" w:ascii="仿宋" w:hAnsi="仿宋" w:eastAsia="仿宋" w:cs="仿宋"/>
                <w:sz w:val="24"/>
                <w:szCs w:val="24"/>
              </w:rPr>
              <w:t>毕业要求分解指标点</w:t>
            </w:r>
          </w:p>
        </w:tc>
        <w:tc>
          <w:tcPr>
            <w:tcW w:w="1485" w:type="dxa"/>
            <w:tcBorders>
              <w:bottom w:val="single" w:color="auto" w:sz="4" w:space="0"/>
            </w:tcBorders>
            <w:shd w:val="clear" w:color="auto" w:fill="FFFFFF"/>
            <w:vAlign w:val="center"/>
          </w:tcPr>
          <w:p w14:paraId="2DF4BC8B">
            <w:pPr>
              <w:spacing w:line="240" w:lineRule="atLeast"/>
              <w:jc w:val="center"/>
              <w:rPr>
                <w:rFonts w:hint="eastAsia" w:ascii="仿宋" w:hAnsi="仿宋" w:eastAsia="仿宋" w:cs="仿宋"/>
                <w:color w:val="000000"/>
                <w:sz w:val="24"/>
                <w:szCs w:val="24"/>
              </w:rPr>
            </w:pPr>
            <w:r>
              <w:rPr>
                <w:rFonts w:hint="eastAsia" w:ascii="仿宋" w:hAnsi="仿宋" w:eastAsia="仿宋" w:cs="仿宋"/>
                <w:sz w:val="24"/>
                <w:szCs w:val="24"/>
              </w:rPr>
              <w:t>毕业要求</w:t>
            </w:r>
          </w:p>
        </w:tc>
      </w:tr>
      <w:tr w14:paraId="2983225F">
        <w:trPr>
          <w:cantSplit/>
          <w:trHeight w:val="1606" w:hRule="atLeast"/>
        </w:trPr>
        <w:tc>
          <w:tcPr>
            <w:tcW w:w="1498" w:type="dxa"/>
            <w:vMerge w:val="continue"/>
            <w:shd w:val="clear" w:color="auto" w:fill="FFFFFF"/>
            <w:vAlign w:val="center"/>
          </w:tcPr>
          <w:p w14:paraId="0989D3E9">
            <w:pPr>
              <w:pStyle w:val="295"/>
              <w:tabs>
                <w:tab w:val="left" w:pos="401"/>
              </w:tabs>
              <w:spacing w:before="70"/>
              <w:ind w:left="420"/>
              <w:rPr>
                <w:rFonts w:hint="eastAsia" w:ascii="仿宋" w:hAnsi="仿宋" w:eastAsia="仿宋" w:cs="仿宋"/>
                <w:color w:val="000000"/>
                <w:sz w:val="24"/>
                <w:szCs w:val="24"/>
              </w:rPr>
            </w:pPr>
          </w:p>
        </w:tc>
        <w:tc>
          <w:tcPr>
            <w:tcW w:w="1858" w:type="dxa"/>
            <w:tcBorders>
              <w:bottom w:val="single" w:color="auto" w:sz="4" w:space="0"/>
            </w:tcBorders>
            <w:shd w:val="clear" w:color="auto" w:fill="FFFFFF"/>
            <w:vAlign w:val="center"/>
          </w:tcPr>
          <w:p w14:paraId="743F546E">
            <w:pPr>
              <w:jc w:val="center"/>
              <w:rPr>
                <w:rFonts w:hint="eastAsia" w:ascii="仿宋" w:hAnsi="仿宋" w:eastAsia="仿宋" w:cs="仿宋"/>
                <w:b/>
                <w:bCs/>
                <w:sz w:val="24"/>
                <w:szCs w:val="24"/>
              </w:rPr>
            </w:pPr>
            <w:r>
              <w:rPr>
                <w:rFonts w:hint="eastAsia" w:ascii="仿宋" w:hAnsi="仿宋" w:eastAsia="仿宋" w:cs="仿宋"/>
                <w:b/>
                <w:bCs/>
                <w:sz w:val="24"/>
                <w:szCs w:val="24"/>
              </w:rPr>
              <w:t>课程目标1</w:t>
            </w:r>
          </w:p>
          <w:p w14:paraId="16778860">
            <w:pPr>
              <w:jc w:val="center"/>
              <w:rPr>
                <w:rFonts w:ascii="仿宋" w:hAnsi="仿宋" w:eastAsia="仿宋" w:cs="仿宋"/>
                <w:b/>
                <w:bCs/>
                <w:color w:val="000000"/>
                <w:sz w:val="24"/>
                <w:szCs w:val="24"/>
              </w:rPr>
            </w:pPr>
          </w:p>
        </w:tc>
        <w:tc>
          <w:tcPr>
            <w:tcW w:w="4307" w:type="dxa"/>
            <w:gridSpan w:val="4"/>
            <w:shd w:val="clear" w:color="auto" w:fill="FFFFFF"/>
            <w:vAlign w:val="top"/>
          </w:tcPr>
          <w:p w14:paraId="6B38C568">
            <w:pPr>
              <w:pStyle w:val="295"/>
              <w:keepNext w:val="0"/>
              <w:keepLines w:val="0"/>
              <w:pageBreakBefore w:val="0"/>
              <w:widowControl w:val="0"/>
              <w:tabs>
                <w:tab w:val="left" w:pos="401"/>
              </w:tabs>
              <w:kinsoku/>
              <w:wordWrap/>
              <w:overflowPunct/>
              <w:topLinePunct w:val="0"/>
              <w:autoSpaceDE/>
              <w:autoSpaceDN/>
              <w:bidi w:val="0"/>
              <w:spacing w:before="70" w:line="320" w:lineRule="exact"/>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3.1【专业技能】掌握音乐学科技法技能多项基本功，掌握音乐学科基础知识、基本理论、体系结构与思想方法，理解音乐学科的核心素养的内涵，形成音乐学科核心素养。</w:t>
            </w:r>
          </w:p>
          <w:p w14:paraId="05FE2066">
            <w:pPr>
              <w:pStyle w:val="295"/>
              <w:keepNext w:val="0"/>
              <w:keepLines w:val="0"/>
              <w:pageBreakBefore w:val="0"/>
              <w:widowControl w:val="0"/>
              <w:tabs>
                <w:tab w:val="left" w:pos="401"/>
              </w:tabs>
              <w:kinsoku/>
              <w:wordWrap/>
              <w:overflowPunct/>
              <w:topLinePunct w:val="0"/>
              <w:autoSpaceDE/>
              <w:autoSpaceDN/>
              <w:bidi w:val="0"/>
              <w:spacing w:before="70" w:line="320" w:lineRule="exact"/>
              <w:rPr>
                <w:rFonts w:hint="eastAsia" w:ascii="仿宋" w:hAnsi="仿宋" w:eastAsia="仿宋" w:cs="仿宋"/>
                <w:color w:val="000000"/>
                <w:sz w:val="24"/>
                <w:szCs w:val="24"/>
                <w:lang w:val="en-US" w:eastAsia="zh-CN"/>
              </w:rPr>
            </w:pPr>
          </w:p>
        </w:tc>
        <w:tc>
          <w:tcPr>
            <w:tcW w:w="1485" w:type="dxa"/>
            <w:shd w:val="clear" w:color="auto" w:fill="FFFFFF"/>
            <w:vAlign w:val="center"/>
          </w:tcPr>
          <w:p w14:paraId="3F4FBD25">
            <w:pPr>
              <w:jc w:val="center"/>
              <w:rPr>
                <w:rFonts w:hint="eastAsia" w:ascii="仿宋" w:hAnsi="仿宋" w:eastAsia="仿宋" w:cs="仿宋"/>
                <w:sz w:val="24"/>
                <w:szCs w:val="24"/>
                <w:lang w:eastAsia="en-US"/>
              </w:rPr>
            </w:pPr>
            <w:r>
              <w:rPr>
                <w:rFonts w:hint="eastAsia" w:ascii="仿宋" w:hAnsi="仿宋" w:eastAsia="仿宋" w:cs="仿宋"/>
                <w:sz w:val="24"/>
                <w:szCs w:val="24"/>
                <w:lang w:eastAsia="en-US"/>
              </w:rPr>
              <w:t>学科素养</w:t>
            </w:r>
          </w:p>
          <w:p w14:paraId="37AFDCEB">
            <w:pPr>
              <w:jc w:val="center"/>
              <w:rPr>
                <w:rFonts w:hint="eastAsia" w:ascii="仿宋" w:hAnsi="仿宋" w:eastAsia="仿宋" w:cs="仿宋"/>
                <w:color w:val="000000"/>
                <w:sz w:val="24"/>
                <w:szCs w:val="24"/>
              </w:rPr>
            </w:pPr>
            <w:r>
              <w:rPr>
                <w:rFonts w:hint="eastAsia" w:ascii="仿宋" w:hAnsi="仿宋" w:eastAsia="仿宋" w:cs="仿宋"/>
                <w:sz w:val="24"/>
                <w:szCs w:val="24"/>
                <w:lang w:eastAsia="en-US"/>
              </w:rPr>
              <w:t>（</w:t>
            </w:r>
            <w:r>
              <w:rPr>
                <w:rFonts w:hint="eastAsia" w:ascii="仿宋" w:hAnsi="仿宋" w:eastAsia="仿宋" w:cs="仿宋"/>
                <w:sz w:val="24"/>
                <w:szCs w:val="24"/>
              </w:rPr>
              <w:t>H</w:t>
            </w:r>
            <w:r>
              <w:rPr>
                <w:rFonts w:hint="eastAsia" w:ascii="仿宋" w:hAnsi="仿宋" w:eastAsia="仿宋" w:cs="仿宋"/>
                <w:sz w:val="24"/>
                <w:szCs w:val="24"/>
                <w:lang w:eastAsia="en-US"/>
              </w:rPr>
              <w:t>）</w:t>
            </w:r>
          </w:p>
        </w:tc>
      </w:tr>
      <w:tr w14:paraId="4038C8E9">
        <w:trPr>
          <w:cantSplit/>
          <w:trHeight w:val="817" w:hRule="atLeast"/>
        </w:trPr>
        <w:tc>
          <w:tcPr>
            <w:tcW w:w="1498" w:type="dxa"/>
            <w:vMerge w:val="continue"/>
            <w:shd w:val="clear" w:color="auto" w:fill="FFFFFF"/>
            <w:vAlign w:val="center"/>
          </w:tcPr>
          <w:p w14:paraId="0CD75AB2">
            <w:pPr>
              <w:pStyle w:val="295"/>
              <w:tabs>
                <w:tab w:val="left" w:pos="401"/>
              </w:tabs>
              <w:spacing w:before="70"/>
              <w:ind w:left="420"/>
              <w:rPr>
                <w:rFonts w:hint="eastAsia" w:ascii="仿宋" w:hAnsi="仿宋" w:eastAsia="仿宋" w:cs="仿宋"/>
                <w:color w:val="000000"/>
                <w:sz w:val="24"/>
                <w:szCs w:val="24"/>
              </w:rPr>
            </w:pPr>
          </w:p>
        </w:tc>
        <w:tc>
          <w:tcPr>
            <w:tcW w:w="1858" w:type="dxa"/>
            <w:shd w:val="clear" w:color="auto" w:fill="FFFFFF"/>
            <w:vAlign w:val="center"/>
          </w:tcPr>
          <w:p w14:paraId="6058CA48">
            <w:pPr>
              <w:jc w:val="center"/>
              <w:rPr>
                <w:rFonts w:hint="eastAsia" w:ascii="仿宋" w:hAnsi="仿宋" w:eastAsia="仿宋" w:cs="仿宋"/>
                <w:b/>
                <w:bCs/>
                <w:sz w:val="24"/>
                <w:szCs w:val="24"/>
              </w:rPr>
            </w:pPr>
            <w:r>
              <w:rPr>
                <w:rFonts w:hint="eastAsia" w:ascii="仿宋" w:hAnsi="仿宋" w:eastAsia="仿宋" w:cs="仿宋"/>
                <w:b/>
                <w:bCs/>
                <w:sz w:val="24"/>
                <w:szCs w:val="24"/>
              </w:rPr>
              <w:t>课程目标2</w:t>
            </w:r>
          </w:p>
          <w:p w14:paraId="021623BE">
            <w:pPr>
              <w:jc w:val="center"/>
              <w:rPr>
                <w:rFonts w:ascii="仿宋" w:hAnsi="仿宋" w:eastAsia="仿宋" w:cs="仿宋"/>
                <w:b/>
                <w:bCs/>
                <w:color w:val="000000"/>
                <w:sz w:val="24"/>
                <w:szCs w:val="24"/>
              </w:rPr>
            </w:pPr>
          </w:p>
        </w:tc>
        <w:tc>
          <w:tcPr>
            <w:tcW w:w="4307" w:type="dxa"/>
            <w:gridSpan w:val="4"/>
            <w:shd w:val="clear" w:color="auto" w:fill="FFFFFF"/>
            <w:vAlign w:val="center"/>
          </w:tcPr>
          <w:p w14:paraId="03D69B75">
            <w:pPr>
              <w:pStyle w:val="295"/>
              <w:keepNext w:val="0"/>
              <w:keepLines w:val="0"/>
              <w:pageBreakBefore w:val="0"/>
              <w:widowControl w:val="0"/>
              <w:tabs>
                <w:tab w:val="left" w:pos="401"/>
              </w:tabs>
              <w:kinsoku/>
              <w:wordWrap/>
              <w:overflowPunct/>
              <w:topLinePunct w:val="0"/>
              <w:autoSpaceDE/>
              <w:autoSpaceDN/>
              <w:bidi w:val="0"/>
              <w:spacing w:before="70" w:line="320" w:lineRule="exact"/>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4.1【教学设计与实施】熟悉中学音乐课程标准和教材，能够正确处理课标和教材的关系，科学合理地进行教学设计并实施教学，准确把握教学内容，分析学情，合理安排教学过程和环节，科学设计评价内容和方式，根据学生音乐认知的特征和个体差异，注重差异化教学。课后能够及时反思、总结形成初步的教研能力。</w:t>
            </w:r>
          </w:p>
          <w:p w14:paraId="1D008A69">
            <w:pPr>
              <w:pStyle w:val="295"/>
              <w:keepNext w:val="0"/>
              <w:keepLines w:val="0"/>
              <w:pageBreakBefore w:val="0"/>
              <w:widowControl w:val="0"/>
              <w:tabs>
                <w:tab w:val="left" w:pos="401"/>
              </w:tabs>
              <w:kinsoku/>
              <w:wordWrap/>
              <w:overflowPunct/>
              <w:topLinePunct w:val="0"/>
              <w:autoSpaceDE/>
              <w:autoSpaceDN/>
              <w:bidi w:val="0"/>
              <w:spacing w:before="70" w:line="320" w:lineRule="exact"/>
              <w:rPr>
                <w:rFonts w:hint="eastAsia" w:ascii="仿宋" w:hAnsi="仿宋" w:eastAsia="仿宋" w:cs="仿宋"/>
                <w:color w:val="000000"/>
                <w:sz w:val="24"/>
                <w:szCs w:val="24"/>
                <w:lang w:val="en-US" w:eastAsia="zh-CN"/>
              </w:rPr>
            </w:pPr>
          </w:p>
        </w:tc>
        <w:tc>
          <w:tcPr>
            <w:tcW w:w="1485" w:type="dxa"/>
            <w:shd w:val="clear" w:color="auto" w:fill="FFFFFF"/>
            <w:vAlign w:val="center"/>
          </w:tcPr>
          <w:p w14:paraId="504EBCE0">
            <w:pPr>
              <w:jc w:val="center"/>
              <w:rPr>
                <w:rFonts w:hint="eastAsia" w:ascii="仿宋" w:hAnsi="仿宋" w:eastAsia="仿宋" w:cs="仿宋"/>
                <w:sz w:val="24"/>
                <w:szCs w:val="24"/>
                <w:lang w:eastAsia="en-US"/>
              </w:rPr>
            </w:pPr>
            <w:r>
              <w:rPr>
                <w:rFonts w:hint="eastAsia" w:ascii="仿宋" w:hAnsi="仿宋" w:eastAsia="仿宋" w:cs="仿宋"/>
                <w:sz w:val="24"/>
                <w:szCs w:val="24"/>
                <w:lang w:eastAsia="en-US"/>
              </w:rPr>
              <w:t>教学能力</w:t>
            </w:r>
          </w:p>
          <w:p w14:paraId="4F6F1ADA">
            <w:pPr>
              <w:jc w:val="center"/>
              <w:rPr>
                <w:rFonts w:hint="eastAsia" w:ascii="仿宋" w:hAnsi="仿宋" w:eastAsia="仿宋" w:cs="仿宋"/>
                <w:color w:val="000000"/>
                <w:sz w:val="24"/>
                <w:szCs w:val="24"/>
              </w:rPr>
            </w:pPr>
            <w:r>
              <w:rPr>
                <w:rFonts w:hint="eastAsia" w:ascii="仿宋" w:hAnsi="仿宋" w:eastAsia="仿宋" w:cs="仿宋"/>
                <w:sz w:val="24"/>
                <w:szCs w:val="24"/>
                <w:lang w:eastAsia="en-US"/>
              </w:rPr>
              <w:t>（H）</w:t>
            </w:r>
          </w:p>
        </w:tc>
      </w:tr>
      <w:tr w14:paraId="3122D9BE">
        <w:trPr>
          <w:cantSplit/>
          <w:trHeight w:val="1667" w:hRule="atLeast"/>
        </w:trPr>
        <w:tc>
          <w:tcPr>
            <w:tcW w:w="1498" w:type="dxa"/>
            <w:vMerge w:val="continue"/>
            <w:shd w:val="clear" w:color="auto" w:fill="FFFFFF"/>
            <w:vAlign w:val="center"/>
          </w:tcPr>
          <w:p w14:paraId="2437E4AB">
            <w:pPr>
              <w:pStyle w:val="295"/>
              <w:tabs>
                <w:tab w:val="left" w:pos="401"/>
              </w:tabs>
              <w:spacing w:before="70"/>
              <w:ind w:left="420"/>
              <w:rPr>
                <w:rFonts w:hint="eastAsia" w:ascii="仿宋" w:hAnsi="仿宋" w:eastAsia="仿宋" w:cs="仿宋"/>
                <w:color w:val="000000"/>
                <w:sz w:val="24"/>
                <w:szCs w:val="24"/>
              </w:rPr>
            </w:pPr>
          </w:p>
        </w:tc>
        <w:tc>
          <w:tcPr>
            <w:tcW w:w="1858" w:type="dxa"/>
            <w:shd w:val="clear" w:color="auto" w:fill="FFFFFF"/>
            <w:vAlign w:val="center"/>
          </w:tcPr>
          <w:p w14:paraId="78BE6C3F">
            <w:pPr>
              <w:jc w:val="center"/>
              <w:rPr>
                <w:rFonts w:hint="eastAsia" w:ascii="仿宋" w:hAnsi="仿宋" w:eastAsia="仿宋" w:cs="仿宋"/>
                <w:b/>
                <w:bCs/>
                <w:sz w:val="24"/>
                <w:szCs w:val="24"/>
              </w:rPr>
            </w:pPr>
            <w:r>
              <w:rPr>
                <w:rFonts w:hint="eastAsia" w:ascii="仿宋" w:hAnsi="仿宋" w:eastAsia="仿宋" w:cs="仿宋"/>
                <w:b/>
                <w:bCs/>
                <w:sz w:val="24"/>
                <w:szCs w:val="24"/>
              </w:rPr>
              <w:t>课程目标3</w:t>
            </w:r>
          </w:p>
          <w:p w14:paraId="1A8089CF">
            <w:pPr>
              <w:jc w:val="center"/>
              <w:rPr>
                <w:rFonts w:ascii="仿宋" w:hAnsi="仿宋" w:eastAsia="仿宋" w:cs="仿宋"/>
                <w:b/>
                <w:bCs/>
                <w:color w:val="000000"/>
                <w:sz w:val="24"/>
                <w:szCs w:val="24"/>
              </w:rPr>
            </w:pPr>
          </w:p>
        </w:tc>
        <w:tc>
          <w:tcPr>
            <w:tcW w:w="4307" w:type="dxa"/>
            <w:gridSpan w:val="4"/>
            <w:shd w:val="clear" w:color="auto" w:fill="FFFFFF"/>
            <w:vAlign w:val="top"/>
          </w:tcPr>
          <w:p w14:paraId="7097495B">
            <w:pPr>
              <w:keepNext w:val="0"/>
              <w:keepLines w:val="0"/>
              <w:pageBreakBefore w:val="0"/>
              <w:widowControl/>
              <w:suppressLineNumbers w:val="0"/>
              <w:kinsoku/>
              <w:wordWrap/>
              <w:overflowPunct/>
              <w:topLinePunct w:val="0"/>
              <w:autoSpaceDE/>
              <w:autoSpaceDN/>
              <w:bidi w:val="0"/>
              <w:spacing w:line="320" w:lineRule="exact"/>
              <w:jc w:val="left"/>
              <w:rPr>
                <w:rFonts w:ascii="仿宋" w:hAnsi="仿宋" w:eastAsia="仿宋" w:cs="仿宋"/>
                <w:color w:val="000000"/>
                <w:sz w:val="24"/>
                <w:szCs w:val="24"/>
              </w:rPr>
            </w:pPr>
            <w:r>
              <w:rPr>
                <w:rFonts w:hint="eastAsia" w:ascii="仿宋" w:hAnsi="仿宋" w:eastAsia="仿宋" w:cs="仿宋"/>
                <w:color w:val="000000"/>
                <w:kern w:val="2"/>
                <w:sz w:val="24"/>
                <w:szCs w:val="24"/>
                <w:lang w:val="en-US" w:eastAsia="zh-CN" w:bidi="ar-SA"/>
              </w:rPr>
              <w:t>7.1【反思改进】具有反思意识和批评性思维素养，初步掌握教育教学反思的基本方法和策略，能够对音乐教育教学实践活动进行有效的自我诊断，提出改进思路。</w:t>
            </w:r>
          </w:p>
        </w:tc>
        <w:tc>
          <w:tcPr>
            <w:tcW w:w="1485" w:type="dxa"/>
            <w:shd w:val="clear" w:color="auto" w:fill="FFFFFF"/>
            <w:vAlign w:val="center"/>
          </w:tcPr>
          <w:p w14:paraId="2B243CB6">
            <w:pPr>
              <w:jc w:val="center"/>
              <w:rPr>
                <w:rFonts w:hint="eastAsia" w:ascii="仿宋" w:hAnsi="仿宋" w:eastAsia="仿宋" w:cs="仿宋"/>
                <w:sz w:val="24"/>
                <w:szCs w:val="24"/>
                <w:lang w:eastAsia="en-US"/>
              </w:rPr>
            </w:pPr>
            <w:r>
              <w:rPr>
                <w:rFonts w:hint="eastAsia" w:ascii="仿宋" w:hAnsi="仿宋" w:eastAsia="仿宋" w:cs="仿宋"/>
                <w:sz w:val="24"/>
                <w:szCs w:val="24"/>
                <w:lang w:eastAsia="en-US"/>
              </w:rPr>
              <w:t>学会反思</w:t>
            </w:r>
          </w:p>
          <w:p w14:paraId="22575AC7">
            <w:pPr>
              <w:jc w:val="center"/>
              <w:rPr>
                <w:rFonts w:hint="eastAsia" w:ascii="仿宋" w:hAnsi="仿宋" w:eastAsia="仿宋" w:cs="仿宋"/>
                <w:color w:val="000000"/>
                <w:sz w:val="24"/>
                <w:szCs w:val="24"/>
              </w:rPr>
            </w:pPr>
            <w:r>
              <w:rPr>
                <w:rFonts w:hint="eastAsia" w:ascii="仿宋" w:hAnsi="仿宋" w:eastAsia="仿宋" w:cs="仿宋"/>
                <w:sz w:val="24"/>
                <w:szCs w:val="24"/>
                <w:lang w:eastAsia="en-US"/>
              </w:rPr>
              <w:t>（</w:t>
            </w:r>
            <w:r>
              <w:rPr>
                <w:rFonts w:hint="eastAsia" w:ascii="仿宋" w:hAnsi="仿宋" w:eastAsia="仿宋" w:cs="仿宋"/>
                <w:sz w:val="24"/>
                <w:szCs w:val="24"/>
              </w:rPr>
              <w:t>M</w:t>
            </w:r>
            <w:r>
              <w:rPr>
                <w:rFonts w:hint="eastAsia" w:ascii="仿宋" w:hAnsi="仿宋" w:eastAsia="仿宋" w:cs="仿宋"/>
                <w:sz w:val="24"/>
                <w:szCs w:val="24"/>
                <w:lang w:eastAsia="en-US"/>
              </w:rPr>
              <w:t>）</w:t>
            </w:r>
          </w:p>
        </w:tc>
      </w:tr>
    </w:tbl>
    <w:p w14:paraId="1976F8C1"/>
    <w:tbl>
      <w:tblPr>
        <w:tblStyle w:val="22"/>
        <w:tblW w:w="9148"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28" w:type="dxa"/>
        </w:tblCellMar>
      </w:tblPr>
      <w:tblGrid>
        <w:gridCol w:w="1376"/>
        <w:gridCol w:w="1032"/>
        <w:gridCol w:w="2837"/>
        <w:gridCol w:w="896"/>
        <w:gridCol w:w="855"/>
        <w:gridCol w:w="508"/>
        <w:gridCol w:w="156"/>
        <w:gridCol w:w="109"/>
        <w:gridCol w:w="662"/>
        <w:gridCol w:w="128"/>
        <w:gridCol w:w="589"/>
      </w:tblGrid>
      <w:tr w14:paraId="5C303988">
        <w:trPr>
          <w:trHeight w:val="582" w:hRule="atLeast"/>
        </w:trPr>
        <w:tc>
          <w:tcPr>
            <w:tcW w:w="1376" w:type="dxa"/>
            <w:vMerge w:val="restart"/>
            <w:shd w:val="clear" w:color="auto" w:fill="FFFFFF"/>
            <w:vAlign w:val="center"/>
          </w:tcPr>
          <w:p w14:paraId="76D8BA43">
            <w:pPr>
              <w:numPr>
                <w:ilvl w:val="0"/>
                <w:numId w:val="18"/>
              </w:numPr>
              <w:spacing w:line="240" w:lineRule="atLeast"/>
              <w:jc w:val="center"/>
              <w:rPr>
                <w:rFonts w:hint="eastAsia" w:ascii="仿宋" w:hAnsi="仿宋" w:eastAsia="仿宋" w:cs="仿宋"/>
                <w:sz w:val="24"/>
                <w:szCs w:val="24"/>
              </w:rPr>
            </w:pPr>
            <w:r>
              <w:rPr>
                <w:rFonts w:hint="eastAsia" w:ascii="仿宋" w:hAnsi="仿宋" w:eastAsia="仿宋" w:cs="仿宋"/>
                <w:sz w:val="24"/>
                <w:szCs w:val="24"/>
              </w:rPr>
              <w:t>F</w:t>
            </w:r>
          </w:p>
          <w:p w14:paraId="4B49EBCE">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理论学习内容</w:t>
            </w:r>
          </w:p>
        </w:tc>
        <w:tc>
          <w:tcPr>
            <w:tcW w:w="6284" w:type="dxa"/>
            <w:gridSpan w:val="6"/>
            <w:shd w:val="clear" w:color="auto" w:fill="FFFFFF"/>
            <w:vAlign w:val="center"/>
          </w:tcPr>
          <w:p w14:paraId="55808062">
            <w:pPr>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章节学习内容与学习要求</w:t>
            </w:r>
          </w:p>
        </w:tc>
        <w:tc>
          <w:tcPr>
            <w:tcW w:w="771" w:type="dxa"/>
            <w:gridSpan w:val="2"/>
            <w:shd w:val="clear" w:color="auto" w:fill="FFFFFF"/>
            <w:vAlign w:val="center"/>
          </w:tcPr>
          <w:p w14:paraId="5D02BD71">
            <w:pPr>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支撑课程</w:t>
            </w:r>
          </w:p>
          <w:p w14:paraId="6573F811">
            <w:pPr>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717" w:type="dxa"/>
            <w:gridSpan w:val="2"/>
            <w:shd w:val="clear" w:color="auto" w:fill="FFFFFF"/>
            <w:vAlign w:val="center"/>
          </w:tcPr>
          <w:p w14:paraId="18C3775D">
            <w:pPr>
              <w:spacing w:line="240" w:lineRule="atLeast"/>
              <w:jc w:val="center"/>
              <w:rPr>
                <w:rFonts w:ascii="仿宋" w:hAnsi="仿宋" w:eastAsia="仿宋" w:cs="仿宋"/>
                <w:kern w:val="0"/>
                <w:sz w:val="24"/>
                <w:szCs w:val="24"/>
              </w:rPr>
            </w:pPr>
            <w:r>
              <w:rPr>
                <w:rFonts w:hint="eastAsia" w:ascii="仿宋" w:hAnsi="仿宋" w:eastAsia="仿宋" w:cs="仿宋"/>
                <w:kern w:val="0"/>
                <w:sz w:val="24"/>
                <w:szCs w:val="24"/>
              </w:rPr>
              <w:t>学时</w:t>
            </w:r>
          </w:p>
          <w:p w14:paraId="30F2598A">
            <w:pPr>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分配</w:t>
            </w:r>
          </w:p>
        </w:tc>
      </w:tr>
      <w:tr w14:paraId="33906AD4">
        <w:trPr>
          <w:trHeight w:val="1617" w:hRule="atLeast"/>
        </w:trPr>
        <w:tc>
          <w:tcPr>
            <w:tcW w:w="1376" w:type="dxa"/>
            <w:vMerge w:val="continue"/>
            <w:shd w:val="clear" w:color="auto" w:fill="FFFFFF"/>
            <w:vAlign w:val="center"/>
          </w:tcPr>
          <w:p w14:paraId="0B92D501">
            <w:pPr>
              <w:spacing w:line="240" w:lineRule="atLeast"/>
              <w:jc w:val="right"/>
              <w:rPr>
                <w:rFonts w:hint="eastAsia" w:ascii="仿宋" w:hAnsi="仿宋" w:eastAsia="仿宋" w:cs="仿宋"/>
                <w:sz w:val="24"/>
                <w:szCs w:val="24"/>
              </w:rPr>
            </w:pPr>
          </w:p>
        </w:tc>
        <w:tc>
          <w:tcPr>
            <w:tcW w:w="6284" w:type="dxa"/>
            <w:gridSpan w:val="6"/>
            <w:vAlign w:val="top"/>
          </w:tcPr>
          <w:p w14:paraId="62A43FBD">
            <w:pPr>
              <w:pStyle w:val="295"/>
              <w:keepNext w:val="0"/>
              <w:keepLines w:val="0"/>
              <w:pageBreakBefore w:val="0"/>
              <w:widowControl w:val="0"/>
              <w:tabs>
                <w:tab w:val="left" w:pos="401"/>
              </w:tabs>
              <w:kinsoku/>
              <w:wordWrap/>
              <w:overflowPunct/>
              <w:topLinePunct w:val="0"/>
              <w:autoSpaceDE/>
              <w:autoSpaceDN/>
              <w:bidi w:val="0"/>
              <w:spacing w:before="70" w:line="320" w:lineRule="exact"/>
              <w:rPr>
                <w:rFonts w:hint="eastAsia" w:ascii="仿宋" w:hAnsi="仿宋" w:eastAsia="仿宋" w:cs="仿宋"/>
                <w:color w:val="000000"/>
                <w:sz w:val="24"/>
                <w:szCs w:val="24"/>
              </w:rPr>
            </w:pPr>
            <w:r>
              <w:rPr>
                <w:rFonts w:hint="eastAsia" w:ascii="仿宋" w:hAnsi="仿宋" w:eastAsia="仿宋" w:cs="仿宋"/>
                <w:color w:val="000000"/>
                <w:sz w:val="24"/>
                <w:szCs w:val="24"/>
              </w:rPr>
              <w:t>第一册第一章：识谱、无升降号的自然大小调和其他调式音程、基本</w:t>
            </w:r>
            <w:r>
              <w:rPr>
                <w:rFonts w:hint="eastAsia" w:ascii="仿宋" w:hAnsi="仿宋" w:eastAsia="仿宋" w:cs="仿宋"/>
                <w:color w:val="000000"/>
                <w:sz w:val="24"/>
                <w:szCs w:val="24"/>
                <w:lang w:eastAsia="zh-TW"/>
              </w:rPr>
              <w:t>音符、休止符和节拍</w:t>
            </w:r>
          </w:p>
          <w:p w14:paraId="56F371FF">
            <w:pPr>
              <w:pStyle w:val="295"/>
              <w:keepNext w:val="0"/>
              <w:keepLines w:val="0"/>
              <w:pageBreakBefore w:val="0"/>
              <w:widowControl w:val="0"/>
              <w:tabs>
                <w:tab w:val="left" w:pos="401"/>
              </w:tabs>
              <w:kinsoku/>
              <w:wordWrap/>
              <w:overflowPunct/>
              <w:topLinePunct w:val="0"/>
              <w:autoSpaceDE/>
              <w:autoSpaceDN/>
              <w:bidi w:val="0"/>
              <w:spacing w:before="70" w:line="320" w:lineRule="exact"/>
              <w:rPr>
                <w:rFonts w:ascii="仿宋" w:hAnsi="仿宋" w:eastAsia="仿宋" w:cs="仿宋"/>
                <w:color w:val="000000"/>
                <w:sz w:val="24"/>
                <w:szCs w:val="24"/>
              </w:rPr>
            </w:pPr>
            <w:r>
              <w:rPr>
                <w:rFonts w:hint="eastAsia" w:ascii="仿宋" w:hAnsi="仿宋" w:eastAsia="仿宋" w:cs="仿宋"/>
                <w:color w:val="000000"/>
                <w:sz w:val="24"/>
                <w:szCs w:val="24"/>
              </w:rPr>
              <w:t>知道层次：</w:t>
            </w:r>
            <w:r>
              <w:rPr>
                <w:rFonts w:hint="eastAsia" w:ascii="仿宋" w:hAnsi="仿宋" w:eastAsia="仿宋" w:cs="仿宋"/>
                <w:color w:val="000000"/>
                <w:sz w:val="24"/>
                <w:szCs w:val="24"/>
                <w:lang w:eastAsia="zh-TW"/>
              </w:rPr>
              <w:t>了解</w:t>
            </w:r>
            <w:r>
              <w:rPr>
                <w:rFonts w:hint="eastAsia" w:ascii="仿宋" w:hAnsi="仿宋" w:eastAsia="仿宋" w:cs="仿宋"/>
                <w:color w:val="000000"/>
                <w:sz w:val="24"/>
                <w:szCs w:val="24"/>
              </w:rPr>
              <w:t>音乐基本组成要素、无升降号调式及音程结构。</w:t>
            </w:r>
          </w:p>
          <w:p w14:paraId="15EC36F0">
            <w:pPr>
              <w:pStyle w:val="295"/>
              <w:keepNext w:val="0"/>
              <w:keepLines w:val="0"/>
              <w:pageBreakBefore w:val="0"/>
              <w:widowControl w:val="0"/>
              <w:tabs>
                <w:tab w:val="left" w:pos="401"/>
              </w:tabs>
              <w:kinsoku/>
              <w:wordWrap/>
              <w:overflowPunct/>
              <w:topLinePunct w:val="0"/>
              <w:autoSpaceDE/>
              <w:autoSpaceDN/>
              <w:bidi w:val="0"/>
              <w:spacing w:before="70" w:line="320" w:lineRule="exact"/>
              <w:rPr>
                <w:rFonts w:ascii="仿宋" w:hAnsi="仿宋" w:eastAsia="仿宋" w:cs="仿宋"/>
                <w:color w:val="000000"/>
                <w:sz w:val="24"/>
                <w:szCs w:val="24"/>
              </w:rPr>
            </w:pPr>
            <w:r>
              <w:rPr>
                <w:rFonts w:hint="eastAsia" w:ascii="仿宋" w:hAnsi="仿宋" w:eastAsia="仿宋" w:cs="仿宋"/>
                <w:color w:val="000000"/>
                <w:sz w:val="24"/>
                <w:szCs w:val="24"/>
              </w:rPr>
              <w:t>领会层次：掌握</w:t>
            </w:r>
            <w:r>
              <w:rPr>
                <w:rFonts w:hint="eastAsia" w:ascii="仿宋" w:hAnsi="仿宋" w:eastAsia="仿宋" w:cs="仿宋"/>
                <w:color w:val="000000"/>
                <w:sz w:val="24"/>
                <w:szCs w:val="24"/>
                <w:lang w:eastAsia="zh-TW"/>
              </w:rPr>
              <w:t>音乐的基础理论；领会这些音乐基本要素的意义及作用。</w:t>
            </w:r>
          </w:p>
          <w:p w14:paraId="20643A38">
            <w:pPr>
              <w:pStyle w:val="295"/>
              <w:keepNext w:val="0"/>
              <w:keepLines w:val="0"/>
              <w:pageBreakBefore w:val="0"/>
              <w:widowControl w:val="0"/>
              <w:tabs>
                <w:tab w:val="left" w:pos="401"/>
              </w:tabs>
              <w:kinsoku/>
              <w:wordWrap/>
              <w:overflowPunct/>
              <w:topLinePunct w:val="0"/>
              <w:autoSpaceDE/>
              <w:autoSpaceDN/>
              <w:bidi w:val="0"/>
              <w:spacing w:before="70" w:line="320" w:lineRule="exact"/>
              <w:rPr>
                <w:rFonts w:hint="eastAsia" w:ascii="仿宋" w:hAnsi="仿宋" w:eastAsia="仿宋" w:cs="仿宋"/>
                <w:color w:val="000000"/>
                <w:sz w:val="24"/>
                <w:szCs w:val="24"/>
              </w:rPr>
            </w:pPr>
            <w:r>
              <w:rPr>
                <w:rFonts w:hint="eastAsia" w:ascii="仿宋" w:hAnsi="仿宋" w:eastAsia="仿宋" w:cs="仿宋"/>
                <w:color w:val="000000"/>
                <w:sz w:val="24"/>
                <w:szCs w:val="24"/>
              </w:rPr>
              <w:t>应用层次：把掌握的音乐基本理论知识运用到音乐教学实践中。</w:t>
            </w:r>
          </w:p>
          <w:p w14:paraId="462D55C9">
            <w:pPr>
              <w:pStyle w:val="295"/>
              <w:keepNext w:val="0"/>
              <w:keepLines w:val="0"/>
              <w:pageBreakBefore w:val="0"/>
              <w:widowControl w:val="0"/>
              <w:tabs>
                <w:tab w:val="left" w:pos="401"/>
              </w:tabs>
              <w:kinsoku/>
              <w:wordWrap/>
              <w:overflowPunct/>
              <w:topLinePunct w:val="0"/>
              <w:autoSpaceDE/>
              <w:autoSpaceDN/>
              <w:bidi w:val="0"/>
              <w:spacing w:before="70" w:line="320" w:lineRule="exact"/>
              <w:rPr>
                <w:rFonts w:hint="eastAsia" w:ascii="仿宋" w:hAnsi="仿宋" w:eastAsia="仿宋" w:cs="仿宋"/>
                <w:color w:val="000000"/>
                <w:sz w:val="24"/>
                <w:szCs w:val="24"/>
              </w:rPr>
            </w:pPr>
          </w:p>
          <w:p w14:paraId="5F5A5697">
            <w:pPr>
              <w:pStyle w:val="295"/>
              <w:keepNext w:val="0"/>
              <w:keepLines w:val="0"/>
              <w:pageBreakBefore w:val="0"/>
              <w:widowControl w:val="0"/>
              <w:tabs>
                <w:tab w:val="left" w:pos="401"/>
              </w:tabs>
              <w:kinsoku/>
              <w:wordWrap/>
              <w:overflowPunct/>
              <w:topLinePunct w:val="0"/>
              <w:autoSpaceDE/>
              <w:autoSpaceDN/>
              <w:bidi w:val="0"/>
              <w:spacing w:before="70" w:line="320" w:lineRule="exact"/>
              <w:rPr>
                <w:rFonts w:ascii="仿宋" w:hAnsi="仿宋" w:eastAsia="仿宋" w:cs="仿宋"/>
                <w:color w:val="000000"/>
                <w:sz w:val="24"/>
                <w:szCs w:val="24"/>
              </w:rPr>
            </w:pPr>
            <w:r>
              <w:rPr>
                <w:rFonts w:hint="eastAsia" w:ascii="仿宋" w:hAnsi="仿宋" w:eastAsia="仿宋" w:cs="仿宋"/>
                <w:color w:val="000000"/>
                <w:sz w:val="24"/>
                <w:szCs w:val="24"/>
              </w:rPr>
              <w:t>第一册第二章：一个升号的大小调及五声调式。</w:t>
            </w:r>
          </w:p>
          <w:p w14:paraId="2E7E59D0">
            <w:pPr>
              <w:pStyle w:val="295"/>
              <w:keepNext w:val="0"/>
              <w:keepLines w:val="0"/>
              <w:pageBreakBefore w:val="0"/>
              <w:widowControl w:val="0"/>
              <w:tabs>
                <w:tab w:val="left" w:pos="401"/>
              </w:tabs>
              <w:kinsoku/>
              <w:wordWrap/>
              <w:overflowPunct/>
              <w:topLinePunct w:val="0"/>
              <w:autoSpaceDE/>
              <w:autoSpaceDN/>
              <w:bidi w:val="0"/>
              <w:spacing w:before="70" w:line="320" w:lineRule="exact"/>
              <w:rPr>
                <w:rFonts w:ascii="仿宋" w:hAnsi="仿宋" w:eastAsia="仿宋" w:cs="仿宋"/>
                <w:color w:val="000000"/>
                <w:sz w:val="24"/>
                <w:szCs w:val="24"/>
                <w:lang w:eastAsia="zh-TW"/>
              </w:rPr>
            </w:pPr>
            <w:r>
              <w:rPr>
                <w:rFonts w:hint="eastAsia" w:ascii="仿宋" w:hAnsi="仿宋" w:eastAsia="仿宋" w:cs="仿宋"/>
                <w:color w:val="000000"/>
                <w:sz w:val="24"/>
                <w:szCs w:val="24"/>
              </w:rPr>
              <w:t>知道层次：</w:t>
            </w:r>
            <w:r>
              <w:rPr>
                <w:rFonts w:hint="eastAsia" w:ascii="仿宋" w:hAnsi="仿宋" w:eastAsia="仿宋" w:cs="仿宋"/>
                <w:color w:val="000000"/>
                <w:sz w:val="24"/>
                <w:szCs w:val="24"/>
                <w:lang w:eastAsia="zh-TW"/>
              </w:rPr>
              <w:t>了解大、小三和弦的构成、</w:t>
            </w:r>
            <w:r>
              <w:rPr>
                <w:rFonts w:hint="eastAsia" w:ascii="仿宋" w:hAnsi="仿宋" w:eastAsia="仿宋" w:cs="仿宋"/>
                <w:color w:val="000000"/>
                <w:sz w:val="24"/>
                <w:szCs w:val="24"/>
              </w:rPr>
              <w:t>五声调式</w:t>
            </w:r>
            <w:r>
              <w:rPr>
                <w:rFonts w:hint="eastAsia" w:ascii="仿宋" w:hAnsi="仿宋" w:eastAsia="仿宋" w:cs="仿宋"/>
                <w:color w:val="000000"/>
                <w:sz w:val="24"/>
                <w:szCs w:val="24"/>
                <w:lang w:eastAsia="zh-TW"/>
              </w:rPr>
              <w:t>和</w:t>
            </w:r>
            <w:r>
              <w:rPr>
                <w:rFonts w:hint="eastAsia" w:ascii="仿宋" w:hAnsi="仿宋" w:eastAsia="仿宋" w:cs="仿宋"/>
                <w:color w:val="000000"/>
                <w:sz w:val="24"/>
                <w:szCs w:val="24"/>
              </w:rPr>
              <w:t>G</w:t>
            </w:r>
            <w:r>
              <w:rPr>
                <w:rFonts w:hint="eastAsia" w:ascii="仿宋" w:hAnsi="仿宋" w:eastAsia="仿宋" w:cs="仿宋"/>
                <w:color w:val="000000"/>
                <w:sz w:val="24"/>
                <w:szCs w:val="24"/>
                <w:lang w:eastAsia="zh-TW"/>
              </w:rPr>
              <w:t>大调、e小调曲调结构及单拍子的基本节奏等。</w:t>
            </w:r>
          </w:p>
          <w:p w14:paraId="78C89192">
            <w:pPr>
              <w:pStyle w:val="295"/>
              <w:keepNext w:val="0"/>
              <w:keepLines w:val="0"/>
              <w:pageBreakBefore w:val="0"/>
              <w:widowControl w:val="0"/>
              <w:tabs>
                <w:tab w:val="left" w:pos="401"/>
              </w:tabs>
              <w:kinsoku/>
              <w:wordWrap/>
              <w:overflowPunct/>
              <w:topLinePunct w:val="0"/>
              <w:autoSpaceDE/>
              <w:autoSpaceDN/>
              <w:bidi w:val="0"/>
              <w:spacing w:before="70" w:line="320" w:lineRule="exact"/>
              <w:rPr>
                <w:rFonts w:ascii="仿宋" w:hAnsi="仿宋" w:eastAsia="仿宋" w:cs="仿宋"/>
                <w:color w:val="000000"/>
                <w:sz w:val="24"/>
                <w:szCs w:val="24"/>
              </w:rPr>
            </w:pPr>
            <w:r>
              <w:rPr>
                <w:rFonts w:hint="eastAsia" w:ascii="仿宋" w:hAnsi="仿宋" w:eastAsia="仿宋" w:cs="仿宋"/>
                <w:color w:val="000000"/>
                <w:sz w:val="24"/>
                <w:szCs w:val="24"/>
              </w:rPr>
              <w:t>领会层次：掌握大、小</w:t>
            </w:r>
            <w:r>
              <w:rPr>
                <w:rFonts w:hint="eastAsia" w:ascii="仿宋" w:hAnsi="仿宋" w:eastAsia="仿宋" w:cs="仿宋"/>
                <w:color w:val="000000"/>
                <w:sz w:val="24"/>
                <w:szCs w:val="24"/>
                <w:lang w:eastAsia="zh-TW"/>
              </w:rPr>
              <w:t>三和弦、</w:t>
            </w:r>
            <w:r>
              <w:rPr>
                <w:rFonts w:hint="eastAsia" w:ascii="仿宋" w:hAnsi="仿宋" w:eastAsia="仿宋" w:cs="仿宋"/>
                <w:color w:val="000000"/>
                <w:sz w:val="24"/>
                <w:szCs w:val="24"/>
              </w:rPr>
              <w:t>五声调式及G</w:t>
            </w:r>
            <w:r>
              <w:rPr>
                <w:rFonts w:hint="eastAsia" w:ascii="仿宋" w:hAnsi="仿宋" w:eastAsia="仿宋" w:cs="仿宋"/>
                <w:color w:val="000000"/>
                <w:sz w:val="24"/>
                <w:szCs w:val="24"/>
                <w:lang w:eastAsia="zh-TW"/>
              </w:rPr>
              <w:t>大调、e小调的听辩。培养音乐感知力、增强视奏及视唱的能力，掌握单拍子中的简单节奏。</w:t>
            </w:r>
          </w:p>
          <w:p w14:paraId="6C6FDF46">
            <w:pPr>
              <w:pStyle w:val="295"/>
              <w:keepNext w:val="0"/>
              <w:keepLines w:val="0"/>
              <w:pageBreakBefore w:val="0"/>
              <w:widowControl w:val="0"/>
              <w:tabs>
                <w:tab w:val="left" w:pos="401"/>
              </w:tabs>
              <w:kinsoku/>
              <w:wordWrap/>
              <w:overflowPunct/>
              <w:topLinePunct w:val="0"/>
              <w:autoSpaceDE/>
              <w:autoSpaceDN/>
              <w:bidi w:val="0"/>
              <w:spacing w:before="70" w:line="320" w:lineRule="exact"/>
              <w:rPr>
                <w:rFonts w:ascii="仿宋" w:hAnsi="仿宋" w:eastAsia="仿宋" w:cs="仿宋"/>
                <w:color w:val="000000"/>
                <w:sz w:val="24"/>
                <w:szCs w:val="24"/>
              </w:rPr>
            </w:pPr>
            <w:r>
              <w:rPr>
                <w:rFonts w:hint="eastAsia" w:ascii="仿宋" w:hAnsi="仿宋" w:eastAsia="仿宋" w:cs="仿宋"/>
                <w:color w:val="000000"/>
                <w:sz w:val="24"/>
                <w:szCs w:val="24"/>
              </w:rPr>
              <w:t>应用层次：把掌握的音乐基本理论知识运用到音乐教学实践中。</w:t>
            </w:r>
          </w:p>
          <w:p w14:paraId="02273744">
            <w:pPr>
              <w:pStyle w:val="295"/>
              <w:keepNext w:val="0"/>
              <w:keepLines w:val="0"/>
              <w:pageBreakBefore w:val="0"/>
              <w:widowControl w:val="0"/>
              <w:tabs>
                <w:tab w:val="left" w:pos="401"/>
              </w:tabs>
              <w:kinsoku/>
              <w:wordWrap/>
              <w:overflowPunct/>
              <w:topLinePunct w:val="0"/>
              <w:autoSpaceDE/>
              <w:autoSpaceDN/>
              <w:bidi w:val="0"/>
              <w:spacing w:before="70" w:line="320" w:lineRule="exact"/>
              <w:rPr>
                <w:rFonts w:hint="eastAsia" w:ascii="仿宋" w:hAnsi="仿宋" w:eastAsia="仿宋" w:cs="仿宋"/>
                <w:color w:val="000000"/>
                <w:sz w:val="24"/>
                <w:szCs w:val="24"/>
                <w:lang w:val="en-US" w:eastAsia="en-US"/>
              </w:rPr>
            </w:pPr>
          </w:p>
          <w:p w14:paraId="00325CB0">
            <w:pPr>
              <w:pStyle w:val="295"/>
              <w:keepNext w:val="0"/>
              <w:keepLines w:val="0"/>
              <w:pageBreakBefore w:val="0"/>
              <w:widowControl w:val="0"/>
              <w:tabs>
                <w:tab w:val="left" w:pos="401"/>
              </w:tabs>
              <w:kinsoku/>
              <w:wordWrap/>
              <w:overflowPunct/>
              <w:topLinePunct w:val="0"/>
              <w:autoSpaceDE/>
              <w:autoSpaceDN/>
              <w:bidi w:val="0"/>
              <w:spacing w:before="70" w:line="320" w:lineRule="exact"/>
              <w:rPr>
                <w:rFonts w:hint="eastAsia" w:ascii="仿宋" w:hAnsi="仿宋" w:eastAsia="仿宋" w:cs="仿宋"/>
                <w:color w:val="000000"/>
                <w:sz w:val="24"/>
                <w:szCs w:val="24"/>
                <w:lang w:val="en-US" w:eastAsia="en-US"/>
              </w:rPr>
            </w:pPr>
            <w:r>
              <w:rPr>
                <w:rFonts w:hint="eastAsia" w:ascii="仿宋" w:hAnsi="仿宋" w:eastAsia="仿宋" w:cs="仿宋"/>
                <w:color w:val="000000"/>
                <w:sz w:val="24"/>
                <w:szCs w:val="24"/>
                <w:lang w:val="en-US" w:eastAsia="en-US"/>
              </w:rPr>
              <w:t>思政融入：</w:t>
            </w:r>
            <w:r>
              <w:rPr>
                <w:rFonts w:hint="eastAsia" w:ascii="仿宋" w:hAnsi="仿宋" w:eastAsia="仿宋" w:cs="仿宋"/>
                <w:color w:val="000000"/>
                <w:sz w:val="24"/>
                <w:szCs w:val="24"/>
                <w:lang w:eastAsia="zh-CN"/>
              </w:rPr>
              <w:t>通过中国民族五声调式的教学，可以让学生们了解中国传统音乐文化的内涵与魅力，从而增强与坚定文化自信</w:t>
            </w:r>
            <w:r>
              <w:rPr>
                <w:rFonts w:hint="eastAsia" w:ascii="仿宋" w:hAnsi="仿宋" w:eastAsia="仿宋" w:cs="仿宋"/>
                <w:color w:val="000000"/>
                <w:sz w:val="24"/>
                <w:szCs w:val="24"/>
                <w:lang w:val="en-US" w:eastAsia="en-US"/>
              </w:rPr>
              <w:t>。</w:t>
            </w:r>
          </w:p>
          <w:p w14:paraId="27ED7113">
            <w:pPr>
              <w:pStyle w:val="295"/>
              <w:keepNext w:val="0"/>
              <w:keepLines w:val="0"/>
              <w:pageBreakBefore w:val="0"/>
              <w:widowControl w:val="0"/>
              <w:tabs>
                <w:tab w:val="left" w:pos="401"/>
              </w:tabs>
              <w:kinsoku/>
              <w:wordWrap/>
              <w:overflowPunct/>
              <w:topLinePunct w:val="0"/>
              <w:autoSpaceDE/>
              <w:autoSpaceDN/>
              <w:bidi w:val="0"/>
              <w:spacing w:before="70" w:line="320" w:lineRule="exact"/>
              <w:rPr>
                <w:rFonts w:ascii="仿宋" w:hAnsi="仿宋" w:eastAsia="仿宋" w:cs="仿宋"/>
                <w:color w:val="000000"/>
                <w:sz w:val="24"/>
                <w:szCs w:val="24"/>
                <w:lang w:eastAsia="en-US"/>
              </w:rPr>
            </w:pPr>
          </w:p>
        </w:tc>
        <w:tc>
          <w:tcPr>
            <w:tcW w:w="771" w:type="dxa"/>
            <w:gridSpan w:val="2"/>
            <w:vAlign w:val="center"/>
          </w:tcPr>
          <w:p w14:paraId="2F36ABA5">
            <w:pPr>
              <w:jc w:val="center"/>
              <w:rPr>
                <w:rFonts w:ascii="仿宋" w:hAnsi="仿宋" w:eastAsia="仿宋" w:cs="仿宋"/>
                <w:bCs/>
                <w:sz w:val="24"/>
                <w:szCs w:val="24"/>
                <w:lang w:val="en-US" w:eastAsia="zh-CN"/>
              </w:rPr>
            </w:pPr>
            <w:r>
              <w:rPr>
                <w:rFonts w:hint="eastAsia" w:ascii="仿宋" w:hAnsi="仿宋" w:eastAsia="仿宋" w:cs="仿宋"/>
                <w:bCs/>
                <w:sz w:val="24"/>
                <w:szCs w:val="24"/>
              </w:rPr>
              <w:t>支撑课程目标1、2</w:t>
            </w:r>
            <w:r>
              <w:rPr>
                <w:rFonts w:hint="eastAsia" w:ascii="仿宋" w:hAnsi="仿宋" w:eastAsia="仿宋" w:cs="仿宋"/>
                <w:bCs/>
                <w:sz w:val="24"/>
                <w:szCs w:val="24"/>
                <w:lang w:eastAsia="zh-CN"/>
              </w:rPr>
              <w:t>、</w:t>
            </w:r>
            <w:r>
              <w:rPr>
                <w:rFonts w:hint="eastAsia" w:ascii="仿宋" w:hAnsi="仿宋" w:eastAsia="仿宋" w:cs="仿宋"/>
                <w:bCs/>
                <w:sz w:val="24"/>
                <w:szCs w:val="24"/>
                <w:lang w:val="en-US" w:eastAsia="zh-CN"/>
              </w:rPr>
              <w:t>3</w:t>
            </w:r>
          </w:p>
        </w:tc>
        <w:tc>
          <w:tcPr>
            <w:tcW w:w="717" w:type="dxa"/>
            <w:gridSpan w:val="2"/>
            <w:shd w:val="clear" w:color="auto" w:fill="FFFFFF"/>
            <w:vAlign w:val="center"/>
          </w:tcPr>
          <w:p w14:paraId="1F449170">
            <w:pPr>
              <w:jc w:val="center"/>
              <w:rPr>
                <w:rFonts w:ascii="仿宋" w:hAnsi="仿宋" w:eastAsia="仿宋" w:cs="仿宋"/>
                <w:sz w:val="24"/>
                <w:szCs w:val="24"/>
              </w:rPr>
            </w:pPr>
            <w:r>
              <w:rPr>
                <w:rFonts w:hint="eastAsia" w:ascii="仿宋" w:hAnsi="仿宋" w:eastAsia="仿宋" w:cs="仿宋"/>
                <w:sz w:val="24"/>
                <w:szCs w:val="24"/>
              </w:rPr>
              <w:t>16</w:t>
            </w:r>
          </w:p>
        </w:tc>
      </w:tr>
      <w:tr w14:paraId="22320872">
        <w:trPr>
          <w:trHeight w:val="886" w:hRule="atLeast"/>
        </w:trPr>
        <w:tc>
          <w:tcPr>
            <w:tcW w:w="1376" w:type="dxa"/>
            <w:vMerge w:val="continue"/>
            <w:shd w:val="clear" w:color="auto" w:fill="FFFFFF"/>
            <w:vAlign w:val="center"/>
          </w:tcPr>
          <w:p w14:paraId="7BAEABD0">
            <w:pPr>
              <w:spacing w:line="240" w:lineRule="atLeast"/>
              <w:jc w:val="right"/>
              <w:rPr>
                <w:rFonts w:hint="eastAsia" w:ascii="仿宋" w:hAnsi="仿宋" w:eastAsia="仿宋" w:cs="仿宋"/>
                <w:sz w:val="24"/>
                <w:szCs w:val="24"/>
              </w:rPr>
            </w:pPr>
          </w:p>
        </w:tc>
        <w:tc>
          <w:tcPr>
            <w:tcW w:w="6284" w:type="dxa"/>
            <w:gridSpan w:val="6"/>
            <w:vAlign w:val="top"/>
          </w:tcPr>
          <w:p w14:paraId="1CDD5257">
            <w:pPr>
              <w:pStyle w:val="295"/>
              <w:keepNext w:val="0"/>
              <w:keepLines w:val="0"/>
              <w:pageBreakBefore w:val="0"/>
              <w:widowControl w:val="0"/>
              <w:tabs>
                <w:tab w:val="left" w:pos="401"/>
              </w:tabs>
              <w:kinsoku/>
              <w:wordWrap/>
              <w:overflowPunct/>
              <w:topLinePunct w:val="0"/>
              <w:autoSpaceDE/>
              <w:autoSpaceDN/>
              <w:bidi w:val="0"/>
              <w:spacing w:before="70" w:line="320" w:lineRule="exact"/>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第一册第三章：一个降号的大小调及五声调式</w:t>
            </w:r>
          </w:p>
          <w:p w14:paraId="633BFC84">
            <w:pPr>
              <w:pStyle w:val="295"/>
              <w:keepNext w:val="0"/>
              <w:keepLines w:val="0"/>
              <w:pageBreakBefore w:val="0"/>
              <w:widowControl w:val="0"/>
              <w:tabs>
                <w:tab w:val="left" w:pos="401"/>
              </w:tabs>
              <w:kinsoku/>
              <w:wordWrap/>
              <w:overflowPunct/>
              <w:topLinePunct w:val="0"/>
              <w:autoSpaceDE/>
              <w:autoSpaceDN/>
              <w:bidi w:val="0"/>
              <w:spacing w:before="70" w:line="320" w:lineRule="exact"/>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知道层次：了解大、小六和弦的构成、五声调式和F大调、d</w:t>
            </w:r>
          </w:p>
          <w:p w14:paraId="7BE5EE6F">
            <w:pPr>
              <w:pStyle w:val="295"/>
              <w:keepNext w:val="0"/>
              <w:keepLines w:val="0"/>
              <w:pageBreakBefore w:val="0"/>
              <w:widowControl w:val="0"/>
              <w:tabs>
                <w:tab w:val="left" w:pos="401"/>
              </w:tabs>
              <w:kinsoku/>
              <w:wordWrap/>
              <w:overflowPunct/>
              <w:topLinePunct w:val="0"/>
              <w:autoSpaceDE/>
              <w:autoSpaceDN/>
              <w:bidi w:val="0"/>
              <w:spacing w:before="70" w:line="320" w:lineRule="exact"/>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小调曲调结构及附点音符与切分音符节奏等等.</w:t>
            </w:r>
          </w:p>
          <w:p w14:paraId="774F81C4">
            <w:pPr>
              <w:pStyle w:val="295"/>
              <w:keepNext w:val="0"/>
              <w:keepLines w:val="0"/>
              <w:pageBreakBefore w:val="0"/>
              <w:widowControl w:val="0"/>
              <w:tabs>
                <w:tab w:val="left" w:pos="401"/>
              </w:tabs>
              <w:kinsoku/>
              <w:wordWrap/>
              <w:overflowPunct/>
              <w:topLinePunct w:val="0"/>
              <w:autoSpaceDE/>
              <w:autoSpaceDN/>
              <w:bidi w:val="0"/>
              <w:spacing w:before="70" w:line="320" w:lineRule="exact"/>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领会层次：掌握大、小六和弦、五声调式及F大调、d</w:t>
            </w:r>
          </w:p>
          <w:p w14:paraId="26AB7C9F">
            <w:pPr>
              <w:pStyle w:val="295"/>
              <w:keepNext w:val="0"/>
              <w:keepLines w:val="0"/>
              <w:pageBreakBefore w:val="0"/>
              <w:widowControl w:val="0"/>
              <w:tabs>
                <w:tab w:val="left" w:pos="401"/>
              </w:tabs>
              <w:kinsoku/>
              <w:wordWrap/>
              <w:overflowPunct/>
              <w:topLinePunct w:val="0"/>
              <w:autoSpaceDE/>
              <w:autoSpaceDN/>
              <w:bidi w:val="0"/>
              <w:spacing w:before="70" w:line="320" w:lineRule="exact"/>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 xml:space="preserve">小调的听辩. 培养音乐感知力、增强视奏及视唱的能力.另外、掌握附点及切分拍子的节奏. </w:t>
            </w:r>
          </w:p>
          <w:p w14:paraId="156C395D">
            <w:pPr>
              <w:pStyle w:val="295"/>
              <w:keepNext w:val="0"/>
              <w:keepLines w:val="0"/>
              <w:pageBreakBefore w:val="0"/>
              <w:widowControl w:val="0"/>
              <w:tabs>
                <w:tab w:val="left" w:pos="401"/>
              </w:tabs>
              <w:kinsoku/>
              <w:wordWrap/>
              <w:overflowPunct/>
              <w:topLinePunct w:val="0"/>
              <w:autoSpaceDE/>
              <w:autoSpaceDN/>
              <w:bidi w:val="0"/>
              <w:spacing w:before="70" w:line="320" w:lineRule="exact"/>
              <w:rPr>
                <w:rFonts w:ascii="仿宋" w:hAnsi="仿宋" w:eastAsia="仿宋" w:cs="仿宋"/>
                <w:color w:val="000000"/>
                <w:sz w:val="24"/>
                <w:szCs w:val="24"/>
                <w:lang w:eastAsia="zh-TW"/>
              </w:rPr>
            </w:pPr>
            <w:r>
              <w:rPr>
                <w:rFonts w:hint="eastAsia" w:ascii="仿宋" w:hAnsi="仿宋" w:eastAsia="仿宋" w:cs="仿宋"/>
                <w:color w:val="000000"/>
                <w:sz w:val="24"/>
                <w:szCs w:val="24"/>
                <w:lang w:eastAsia="zh-TW"/>
              </w:rPr>
              <w:t>应用层次：把掌握的音乐基本理论知识运用到音乐教学实践中。</w:t>
            </w:r>
          </w:p>
          <w:p w14:paraId="2B370D4C">
            <w:pPr>
              <w:pStyle w:val="295"/>
              <w:keepNext w:val="0"/>
              <w:keepLines w:val="0"/>
              <w:pageBreakBefore w:val="0"/>
              <w:widowControl w:val="0"/>
              <w:tabs>
                <w:tab w:val="left" w:pos="401"/>
              </w:tabs>
              <w:kinsoku/>
              <w:wordWrap/>
              <w:overflowPunct/>
              <w:topLinePunct w:val="0"/>
              <w:autoSpaceDE/>
              <w:autoSpaceDN/>
              <w:bidi w:val="0"/>
              <w:spacing w:before="70" w:line="320" w:lineRule="exact"/>
              <w:rPr>
                <w:rFonts w:ascii="仿宋" w:hAnsi="仿宋" w:eastAsia="仿宋" w:cs="仿宋"/>
                <w:color w:val="000000"/>
                <w:sz w:val="24"/>
                <w:szCs w:val="24"/>
                <w:lang w:eastAsia="zh-TW"/>
              </w:rPr>
            </w:pPr>
          </w:p>
          <w:p w14:paraId="7B1AD283">
            <w:pPr>
              <w:pStyle w:val="295"/>
              <w:keepNext w:val="0"/>
              <w:keepLines w:val="0"/>
              <w:pageBreakBefore w:val="0"/>
              <w:widowControl w:val="0"/>
              <w:tabs>
                <w:tab w:val="left" w:pos="401"/>
              </w:tabs>
              <w:kinsoku/>
              <w:wordWrap/>
              <w:overflowPunct/>
              <w:topLinePunct w:val="0"/>
              <w:autoSpaceDE/>
              <w:autoSpaceDN/>
              <w:bidi w:val="0"/>
              <w:spacing w:before="70" w:line="320" w:lineRule="exact"/>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第二册第一章：两个升号的大小调及五声调式</w:t>
            </w:r>
          </w:p>
          <w:p w14:paraId="0A49EABF">
            <w:pPr>
              <w:pStyle w:val="295"/>
              <w:keepNext w:val="0"/>
              <w:keepLines w:val="0"/>
              <w:pageBreakBefore w:val="0"/>
              <w:widowControl w:val="0"/>
              <w:tabs>
                <w:tab w:val="left" w:pos="401"/>
              </w:tabs>
              <w:kinsoku/>
              <w:wordWrap/>
              <w:overflowPunct/>
              <w:topLinePunct w:val="0"/>
              <w:autoSpaceDE/>
              <w:autoSpaceDN/>
              <w:bidi w:val="0"/>
              <w:spacing w:before="70" w:line="320" w:lineRule="exact"/>
              <w:rPr>
                <w:rFonts w:ascii="仿宋" w:hAnsi="仿宋" w:eastAsia="仿宋" w:cs="仿宋"/>
                <w:color w:val="000000"/>
                <w:sz w:val="24"/>
                <w:szCs w:val="24"/>
                <w:lang w:eastAsia="zh-TW"/>
              </w:rPr>
            </w:pPr>
            <w:r>
              <w:rPr>
                <w:rFonts w:hint="eastAsia" w:ascii="仿宋" w:hAnsi="仿宋" w:eastAsia="仿宋" w:cs="仿宋"/>
                <w:color w:val="000000"/>
                <w:sz w:val="24"/>
                <w:szCs w:val="24"/>
                <w:lang w:eastAsia="zh-TW"/>
              </w:rPr>
              <w:t>知道层次：了解五声调式、三全音、大小四六和弦、减三和弦、减四六和弦等等的构成以及连续切分音的节奏。</w:t>
            </w:r>
          </w:p>
          <w:p w14:paraId="7DFBB88F">
            <w:pPr>
              <w:pStyle w:val="295"/>
              <w:keepNext w:val="0"/>
              <w:keepLines w:val="0"/>
              <w:pageBreakBefore w:val="0"/>
              <w:widowControl w:val="0"/>
              <w:tabs>
                <w:tab w:val="left" w:pos="401"/>
              </w:tabs>
              <w:kinsoku/>
              <w:wordWrap/>
              <w:overflowPunct/>
              <w:topLinePunct w:val="0"/>
              <w:autoSpaceDE/>
              <w:autoSpaceDN/>
              <w:bidi w:val="0"/>
              <w:spacing w:before="70" w:line="320" w:lineRule="exact"/>
              <w:rPr>
                <w:rFonts w:ascii="仿宋" w:hAnsi="仿宋" w:eastAsia="仿宋" w:cs="仿宋"/>
                <w:color w:val="000000"/>
                <w:sz w:val="24"/>
                <w:szCs w:val="24"/>
                <w:lang w:eastAsia="zh-TW"/>
              </w:rPr>
            </w:pPr>
            <w:r>
              <w:rPr>
                <w:rFonts w:hint="eastAsia" w:ascii="仿宋" w:hAnsi="仿宋" w:eastAsia="仿宋" w:cs="仿宋"/>
                <w:color w:val="000000"/>
                <w:sz w:val="24"/>
                <w:szCs w:val="24"/>
                <w:lang w:eastAsia="zh-TW"/>
              </w:rPr>
              <w:t>领会层次：掌握三全音、大小四六和弦、减三和弦、减四六和弦的听辩. 培养音乐感知力、增强视奏及视唱的能力.另外、掌握连续切分音的节奏。</w:t>
            </w:r>
          </w:p>
          <w:p w14:paraId="2DEFEA87">
            <w:pPr>
              <w:pStyle w:val="295"/>
              <w:keepNext w:val="0"/>
              <w:keepLines w:val="0"/>
              <w:pageBreakBefore w:val="0"/>
              <w:widowControl w:val="0"/>
              <w:tabs>
                <w:tab w:val="left" w:pos="401"/>
              </w:tabs>
              <w:kinsoku/>
              <w:wordWrap/>
              <w:overflowPunct/>
              <w:topLinePunct w:val="0"/>
              <w:autoSpaceDE/>
              <w:autoSpaceDN/>
              <w:bidi w:val="0"/>
              <w:spacing w:before="70" w:line="320" w:lineRule="exact"/>
              <w:rPr>
                <w:rFonts w:ascii="仿宋" w:hAnsi="仿宋" w:eastAsia="仿宋" w:cs="仿宋"/>
                <w:color w:val="000000"/>
                <w:sz w:val="24"/>
                <w:szCs w:val="24"/>
                <w:lang w:eastAsia="zh-TW"/>
              </w:rPr>
            </w:pPr>
            <w:r>
              <w:rPr>
                <w:rFonts w:hint="eastAsia" w:ascii="仿宋" w:hAnsi="仿宋" w:eastAsia="仿宋" w:cs="仿宋"/>
                <w:color w:val="000000"/>
                <w:sz w:val="24"/>
                <w:szCs w:val="24"/>
                <w:lang w:eastAsia="zh-TW"/>
              </w:rPr>
              <w:t>应用层次：把掌握的音乐基本理论知识运用到音乐教学实践中。</w:t>
            </w:r>
          </w:p>
        </w:tc>
        <w:tc>
          <w:tcPr>
            <w:tcW w:w="771" w:type="dxa"/>
            <w:gridSpan w:val="2"/>
            <w:vAlign w:val="center"/>
          </w:tcPr>
          <w:p w14:paraId="68A7D45B">
            <w:pPr>
              <w:jc w:val="center"/>
              <w:rPr>
                <w:rFonts w:ascii="仿宋" w:hAnsi="仿宋" w:eastAsia="仿宋" w:cs="仿宋"/>
                <w:bCs/>
                <w:sz w:val="24"/>
                <w:szCs w:val="24"/>
                <w:lang w:val="en-US" w:eastAsia="zh-CN"/>
              </w:rPr>
            </w:pPr>
            <w:r>
              <w:rPr>
                <w:rFonts w:hint="eastAsia" w:ascii="仿宋" w:hAnsi="仿宋" w:eastAsia="仿宋" w:cs="仿宋"/>
                <w:bCs/>
                <w:sz w:val="24"/>
                <w:szCs w:val="24"/>
              </w:rPr>
              <w:t>支撑课程目标1、2</w:t>
            </w:r>
            <w:r>
              <w:rPr>
                <w:rFonts w:hint="eastAsia" w:ascii="仿宋" w:hAnsi="仿宋" w:eastAsia="仿宋" w:cs="仿宋"/>
                <w:bCs/>
                <w:sz w:val="24"/>
                <w:szCs w:val="24"/>
                <w:lang w:eastAsia="zh-CN"/>
              </w:rPr>
              <w:t>、</w:t>
            </w:r>
            <w:r>
              <w:rPr>
                <w:rFonts w:hint="eastAsia" w:ascii="仿宋" w:hAnsi="仿宋" w:eastAsia="仿宋" w:cs="仿宋"/>
                <w:bCs/>
                <w:sz w:val="24"/>
                <w:szCs w:val="24"/>
                <w:lang w:val="en-US" w:eastAsia="zh-CN"/>
              </w:rPr>
              <w:t>3</w:t>
            </w:r>
          </w:p>
        </w:tc>
        <w:tc>
          <w:tcPr>
            <w:tcW w:w="717" w:type="dxa"/>
            <w:gridSpan w:val="2"/>
            <w:shd w:val="clear" w:color="auto" w:fill="FFFFFF"/>
            <w:vAlign w:val="center"/>
          </w:tcPr>
          <w:p w14:paraId="63874655">
            <w:pPr>
              <w:jc w:val="center"/>
              <w:rPr>
                <w:rFonts w:ascii="仿宋" w:hAnsi="仿宋" w:eastAsia="仿宋" w:cs="仿宋"/>
                <w:sz w:val="24"/>
                <w:szCs w:val="24"/>
              </w:rPr>
            </w:pPr>
            <w:r>
              <w:rPr>
                <w:rFonts w:hint="eastAsia" w:ascii="仿宋" w:hAnsi="仿宋" w:eastAsia="仿宋" w:cs="仿宋"/>
                <w:sz w:val="24"/>
                <w:szCs w:val="24"/>
              </w:rPr>
              <w:t>16</w:t>
            </w:r>
          </w:p>
        </w:tc>
      </w:tr>
      <w:tr w14:paraId="75AA52B7">
        <w:trPr>
          <w:trHeight w:val="1777" w:hRule="atLeast"/>
        </w:trPr>
        <w:tc>
          <w:tcPr>
            <w:tcW w:w="1376" w:type="dxa"/>
            <w:vMerge w:val="continue"/>
            <w:shd w:val="clear" w:color="auto" w:fill="FFFFFF"/>
            <w:vAlign w:val="center"/>
          </w:tcPr>
          <w:p w14:paraId="453ECDB7">
            <w:pPr>
              <w:spacing w:line="240" w:lineRule="atLeast"/>
              <w:jc w:val="right"/>
              <w:rPr>
                <w:rFonts w:hint="eastAsia" w:ascii="仿宋" w:hAnsi="仿宋" w:eastAsia="仿宋" w:cs="仿宋"/>
                <w:sz w:val="24"/>
                <w:szCs w:val="24"/>
              </w:rPr>
            </w:pPr>
          </w:p>
        </w:tc>
        <w:tc>
          <w:tcPr>
            <w:tcW w:w="6284" w:type="dxa"/>
            <w:gridSpan w:val="6"/>
            <w:vAlign w:val="top"/>
          </w:tcPr>
          <w:p w14:paraId="5C6CDA9D">
            <w:pPr>
              <w:pStyle w:val="295"/>
              <w:keepNext w:val="0"/>
              <w:keepLines w:val="0"/>
              <w:pageBreakBefore w:val="0"/>
              <w:widowControl w:val="0"/>
              <w:tabs>
                <w:tab w:val="left" w:pos="401"/>
              </w:tabs>
              <w:kinsoku/>
              <w:wordWrap/>
              <w:overflowPunct/>
              <w:topLinePunct w:val="0"/>
              <w:autoSpaceDE/>
              <w:autoSpaceDN/>
              <w:bidi w:val="0"/>
              <w:spacing w:before="70" w:line="320" w:lineRule="exact"/>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第二册第二章：两个降号的大小调及五声调式</w:t>
            </w:r>
          </w:p>
          <w:p w14:paraId="17969A70">
            <w:pPr>
              <w:pStyle w:val="295"/>
              <w:keepNext w:val="0"/>
              <w:keepLines w:val="0"/>
              <w:pageBreakBefore w:val="0"/>
              <w:widowControl w:val="0"/>
              <w:tabs>
                <w:tab w:val="left" w:pos="401"/>
              </w:tabs>
              <w:kinsoku/>
              <w:wordWrap/>
              <w:overflowPunct/>
              <w:topLinePunct w:val="0"/>
              <w:autoSpaceDE/>
              <w:autoSpaceDN/>
              <w:bidi w:val="0"/>
              <w:spacing w:before="70" w:line="320" w:lineRule="exact"/>
              <w:rPr>
                <w:rFonts w:ascii="仿宋" w:hAnsi="仿宋" w:eastAsia="仿宋" w:cs="仿宋"/>
                <w:color w:val="000000"/>
                <w:sz w:val="24"/>
                <w:szCs w:val="24"/>
                <w:lang w:eastAsia="zh-TW"/>
              </w:rPr>
            </w:pPr>
            <w:r>
              <w:rPr>
                <w:rFonts w:hint="eastAsia" w:ascii="仿宋" w:hAnsi="仿宋" w:eastAsia="仿宋" w:cs="仿宋"/>
                <w:color w:val="000000"/>
                <w:sz w:val="24"/>
                <w:szCs w:val="24"/>
                <w:lang w:eastAsia="zh-TW"/>
              </w:rPr>
              <w:t>知道层次：了解大、小、增、减三和弦原、转位的构成，五声调式及切分音的节奏组合。</w:t>
            </w:r>
          </w:p>
          <w:p w14:paraId="4AABEEFF">
            <w:pPr>
              <w:pStyle w:val="295"/>
              <w:keepNext w:val="0"/>
              <w:keepLines w:val="0"/>
              <w:pageBreakBefore w:val="0"/>
              <w:widowControl w:val="0"/>
              <w:tabs>
                <w:tab w:val="left" w:pos="401"/>
              </w:tabs>
              <w:kinsoku/>
              <w:wordWrap/>
              <w:overflowPunct/>
              <w:topLinePunct w:val="0"/>
              <w:autoSpaceDE/>
              <w:autoSpaceDN/>
              <w:bidi w:val="0"/>
              <w:spacing w:before="70" w:line="320" w:lineRule="exact"/>
              <w:rPr>
                <w:rFonts w:ascii="仿宋" w:hAnsi="仿宋" w:eastAsia="仿宋" w:cs="仿宋"/>
                <w:color w:val="000000"/>
                <w:sz w:val="24"/>
                <w:szCs w:val="24"/>
                <w:lang w:eastAsia="zh-TW"/>
              </w:rPr>
            </w:pPr>
            <w:r>
              <w:rPr>
                <w:rFonts w:hint="eastAsia" w:ascii="仿宋" w:hAnsi="仿宋" w:eastAsia="仿宋" w:cs="仿宋"/>
                <w:color w:val="000000"/>
                <w:sz w:val="24"/>
                <w:szCs w:val="24"/>
                <w:lang w:eastAsia="zh-TW"/>
              </w:rPr>
              <w:t>领会层次：掌握大、小、增、减三和弦原、转位的听辩. 培养音乐感知力、增强视奏及视唱的能力，掌握二声部的节奏训练。</w:t>
            </w:r>
          </w:p>
          <w:p w14:paraId="3F2C553D">
            <w:pPr>
              <w:pStyle w:val="295"/>
              <w:keepNext w:val="0"/>
              <w:keepLines w:val="0"/>
              <w:pageBreakBefore w:val="0"/>
              <w:widowControl w:val="0"/>
              <w:tabs>
                <w:tab w:val="left" w:pos="401"/>
              </w:tabs>
              <w:kinsoku/>
              <w:wordWrap/>
              <w:overflowPunct/>
              <w:topLinePunct w:val="0"/>
              <w:autoSpaceDE/>
              <w:autoSpaceDN/>
              <w:bidi w:val="0"/>
              <w:spacing w:before="70" w:line="320" w:lineRule="exact"/>
              <w:rPr>
                <w:rFonts w:ascii="仿宋" w:hAnsi="仿宋" w:eastAsia="仿宋" w:cs="仿宋"/>
                <w:color w:val="000000"/>
                <w:sz w:val="24"/>
                <w:szCs w:val="24"/>
                <w:lang w:eastAsia="zh-TW"/>
              </w:rPr>
            </w:pPr>
            <w:r>
              <w:rPr>
                <w:rFonts w:hint="eastAsia" w:ascii="仿宋" w:hAnsi="仿宋" w:eastAsia="仿宋" w:cs="仿宋"/>
                <w:color w:val="000000"/>
                <w:sz w:val="24"/>
                <w:szCs w:val="24"/>
                <w:lang w:eastAsia="zh-TW"/>
              </w:rPr>
              <w:t>应用层次：把掌握的音乐基本理论知识运用到音乐教学实践中。</w:t>
            </w:r>
          </w:p>
          <w:p w14:paraId="511532CD">
            <w:pPr>
              <w:pStyle w:val="295"/>
              <w:keepNext w:val="0"/>
              <w:keepLines w:val="0"/>
              <w:pageBreakBefore w:val="0"/>
              <w:widowControl w:val="0"/>
              <w:tabs>
                <w:tab w:val="left" w:pos="401"/>
              </w:tabs>
              <w:kinsoku/>
              <w:wordWrap/>
              <w:overflowPunct/>
              <w:topLinePunct w:val="0"/>
              <w:autoSpaceDE/>
              <w:autoSpaceDN/>
              <w:bidi w:val="0"/>
              <w:spacing w:before="70" w:line="320" w:lineRule="exact"/>
              <w:rPr>
                <w:rFonts w:ascii="仿宋" w:hAnsi="仿宋" w:eastAsia="仿宋" w:cs="仿宋"/>
                <w:color w:val="000000"/>
                <w:sz w:val="24"/>
                <w:szCs w:val="24"/>
                <w:lang w:eastAsia="zh-TW"/>
              </w:rPr>
            </w:pPr>
          </w:p>
          <w:p w14:paraId="5EE6EFC4">
            <w:pPr>
              <w:pStyle w:val="295"/>
              <w:keepNext w:val="0"/>
              <w:keepLines w:val="0"/>
              <w:pageBreakBefore w:val="0"/>
              <w:widowControl w:val="0"/>
              <w:tabs>
                <w:tab w:val="left" w:pos="401"/>
              </w:tabs>
              <w:kinsoku/>
              <w:wordWrap/>
              <w:overflowPunct/>
              <w:topLinePunct w:val="0"/>
              <w:autoSpaceDE/>
              <w:autoSpaceDN/>
              <w:bidi w:val="0"/>
              <w:spacing w:before="70" w:line="320" w:lineRule="exact"/>
              <w:rPr>
                <w:rFonts w:ascii="仿宋" w:hAnsi="仿宋" w:eastAsia="仿宋" w:cs="仿宋"/>
                <w:color w:val="000000"/>
                <w:sz w:val="24"/>
                <w:szCs w:val="24"/>
                <w:lang w:eastAsia="zh-CN"/>
              </w:rPr>
            </w:pPr>
            <w:r>
              <w:rPr>
                <w:rFonts w:hint="eastAsia" w:ascii="仿宋" w:hAnsi="仿宋" w:eastAsia="仿宋" w:cs="仿宋"/>
                <w:color w:val="000000"/>
                <w:sz w:val="24"/>
                <w:szCs w:val="24"/>
                <w:lang w:val="en-US" w:eastAsia="en-US"/>
              </w:rPr>
              <w:t>思政融入：</w:t>
            </w:r>
            <w:r>
              <w:rPr>
                <w:rFonts w:hint="eastAsia" w:ascii="仿宋" w:hAnsi="仿宋" w:eastAsia="仿宋" w:cs="仿宋"/>
                <w:color w:val="000000"/>
                <w:sz w:val="24"/>
                <w:szCs w:val="24"/>
                <w:lang w:eastAsia="zh-CN"/>
              </w:rPr>
              <w:t>在教学过程中建立学生多元的音乐文化价值观，培养其综合音感。将</w:t>
            </w:r>
            <w:r>
              <w:rPr>
                <w:rFonts w:hint="eastAsia" w:ascii="仿宋" w:hAnsi="仿宋" w:eastAsia="仿宋" w:cs="仿宋"/>
                <w:color w:val="000000"/>
                <w:sz w:val="24"/>
                <w:szCs w:val="24"/>
                <w:lang w:val="en-US" w:eastAsia="en-US"/>
              </w:rPr>
              <w:t>中国传统五声调式</w:t>
            </w:r>
            <w:r>
              <w:rPr>
                <w:rFonts w:hint="eastAsia" w:ascii="仿宋" w:hAnsi="仿宋" w:eastAsia="仿宋" w:cs="仿宋"/>
                <w:color w:val="000000"/>
                <w:sz w:val="24"/>
                <w:szCs w:val="24"/>
                <w:lang w:eastAsia="zh-CN"/>
              </w:rPr>
              <w:t>搬入视唱练耳课堂，更近距离地通过实践感受民间音乐，更好地唱出他的韵味，培养中国音乐的耳朵。</w:t>
            </w:r>
          </w:p>
          <w:p w14:paraId="70DCC646">
            <w:pPr>
              <w:pStyle w:val="295"/>
              <w:keepNext w:val="0"/>
              <w:keepLines w:val="0"/>
              <w:pageBreakBefore w:val="0"/>
              <w:widowControl w:val="0"/>
              <w:tabs>
                <w:tab w:val="left" w:pos="401"/>
              </w:tabs>
              <w:kinsoku/>
              <w:wordWrap/>
              <w:overflowPunct/>
              <w:topLinePunct w:val="0"/>
              <w:autoSpaceDE/>
              <w:autoSpaceDN/>
              <w:bidi w:val="0"/>
              <w:spacing w:before="70" w:line="320" w:lineRule="exact"/>
              <w:rPr>
                <w:rFonts w:ascii="仿宋" w:hAnsi="仿宋" w:eastAsia="仿宋" w:cs="仿宋"/>
                <w:color w:val="000000"/>
                <w:sz w:val="24"/>
                <w:szCs w:val="24"/>
                <w:lang w:eastAsia="zh-TW"/>
              </w:rPr>
            </w:pPr>
          </w:p>
          <w:p w14:paraId="32B68D6D">
            <w:pPr>
              <w:pStyle w:val="295"/>
              <w:keepNext w:val="0"/>
              <w:keepLines w:val="0"/>
              <w:pageBreakBefore w:val="0"/>
              <w:widowControl w:val="0"/>
              <w:tabs>
                <w:tab w:val="left" w:pos="401"/>
              </w:tabs>
              <w:kinsoku/>
              <w:wordWrap/>
              <w:overflowPunct/>
              <w:topLinePunct w:val="0"/>
              <w:autoSpaceDE/>
              <w:autoSpaceDN/>
              <w:bidi w:val="0"/>
              <w:spacing w:before="70" w:line="320" w:lineRule="exact"/>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第二册第三章：两个升、降号内的各调式</w:t>
            </w:r>
          </w:p>
          <w:p w14:paraId="2B875C4B">
            <w:pPr>
              <w:pStyle w:val="295"/>
              <w:keepNext w:val="0"/>
              <w:keepLines w:val="0"/>
              <w:pageBreakBefore w:val="0"/>
              <w:widowControl w:val="0"/>
              <w:tabs>
                <w:tab w:val="left" w:pos="401"/>
              </w:tabs>
              <w:kinsoku/>
              <w:wordWrap/>
              <w:overflowPunct/>
              <w:topLinePunct w:val="0"/>
              <w:autoSpaceDE/>
              <w:autoSpaceDN/>
              <w:bidi w:val="0"/>
              <w:spacing w:before="70" w:line="320" w:lineRule="exact"/>
              <w:rPr>
                <w:rFonts w:ascii="仿宋" w:hAnsi="仿宋" w:eastAsia="仿宋" w:cs="仿宋"/>
                <w:color w:val="000000"/>
                <w:sz w:val="24"/>
                <w:szCs w:val="24"/>
                <w:lang w:eastAsia="zh-TW"/>
              </w:rPr>
            </w:pPr>
            <w:r>
              <w:rPr>
                <w:rFonts w:hint="eastAsia" w:ascii="仿宋" w:hAnsi="仿宋" w:eastAsia="仿宋" w:cs="仿宋"/>
                <w:color w:val="000000"/>
                <w:sz w:val="24"/>
                <w:szCs w:val="24"/>
                <w:lang w:eastAsia="zh-TW"/>
              </w:rPr>
              <w:t>知道层次：了解三连音及复拍子组成、和弦连接。</w:t>
            </w:r>
          </w:p>
          <w:p w14:paraId="4D179DD0">
            <w:pPr>
              <w:pStyle w:val="295"/>
              <w:keepNext w:val="0"/>
              <w:keepLines w:val="0"/>
              <w:pageBreakBefore w:val="0"/>
              <w:widowControl w:val="0"/>
              <w:tabs>
                <w:tab w:val="left" w:pos="401"/>
              </w:tabs>
              <w:kinsoku/>
              <w:wordWrap/>
              <w:overflowPunct/>
              <w:topLinePunct w:val="0"/>
              <w:autoSpaceDE/>
              <w:autoSpaceDN/>
              <w:bidi w:val="0"/>
              <w:spacing w:before="70" w:line="320" w:lineRule="exact"/>
              <w:rPr>
                <w:rFonts w:ascii="仿宋" w:hAnsi="仿宋" w:eastAsia="仿宋" w:cs="仿宋"/>
                <w:color w:val="000000"/>
                <w:sz w:val="24"/>
                <w:szCs w:val="24"/>
                <w:lang w:eastAsia="zh-TW"/>
              </w:rPr>
            </w:pPr>
            <w:r>
              <w:rPr>
                <w:rFonts w:hint="eastAsia" w:ascii="仿宋" w:hAnsi="仿宋" w:eastAsia="仿宋" w:cs="仿宋"/>
                <w:color w:val="000000"/>
                <w:sz w:val="24"/>
                <w:szCs w:val="24"/>
                <w:lang w:eastAsia="zh-TW"/>
              </w:rPr>
              <w:t>领会层次：掌握和弦连接和二声部的听唱及听写、三连音的节奏练习。另外、培养音乐感知力、增强视奏及视唱的能力。</w:t>
            </w:r>
          </w:p>
          <w:p w14:paraId="317A9784">
            <w:pPr>
              <w:pStyle w:val="295"/>
              <w:keepNext w:val="0"/>
              <w:keepLines w:val="0"/>
              <w:pageBreakBefore w:val="0"/>
              <w:widowControl w:val="0"/>
              <w:tabs>
                <w:tab w:val="left" w:pos="401"/>
              </w:tabs>
              <w:kinsoku/>
              <w:wordWrap/>
              <w:overflowPunct/>
              <w:topLinePunct w:val="0"/>
              <w:autoSpaceDE/>
              <w:autoSpaceDN/>
              <w:bidi w:val="0"/>
              <w:spacing w:before="70" w:line="320" w:lineRule="exact"/>
              <w:rPr>
                <w:rFonts w:ascii="仿宋" w:hAnsi="仿宋" w:eastAsia="仿宋" w:cs="仿宋"/>
                <w:color w:val="000000"/>
                <w:sz w:val="24"/>
                <w:szCs w:val="24"/>
                <w:lang w:eastAsia="zh-TW"/>
              </w:rPr>
            </w:pPr>
            <w:r>
              <w:rPr>
                <w:rFonts w:hint="eastAsia" w:ascii="仿宋" w:hAnsi="仿宋" w:eastAsia="仿宋" w:cs="仿宋"/>
                <w:color w:val="000000"/>
                <w:sz w:val="24"/>
                <w:szCs w:val="24"/>
                <w:lang w:eastAsia="zh-TW"/>
              </w:rPr>
              <w:t>应用层次：把掌握的音乐基本理论知识运用到音乐教学实践中。</w:t>
            </w:r>
          </w:p>
          <w:p w14:paraId="50A4CC02">
            <w:pPr>
              <w:pStyle w:val="295"/>
              <w:keepNext w:val="0"/>
              <w:keepLines w:val="0"/>
              <w:pageBreakBefore w:val="0"/>
              <w:widowControl w:val="0"/>
              <w:tabs>
                <w:tab w:val="left" w:pos="401"/>
              </w:tabs>
              <w:kinsoku/>
              <w:wordWrap/>
              <w:overflowPunct/>
              <w:topLinePunct w:val="0"/>
              <w:autoSpaceDE/>
              <w:autoSpaceDN/>
              <w:bidi w:val="0"/>
              <w:spacing w:before="70" w:line="320" w:lineRule="exact"/>
              <w:rPr>
                <w:rFonts w:ascii="仿宋" w:hAnsi="仿宋" w:eastAsia="仿宋" w:cs="仿宋"/>
                <w:color w:val="000000"/>
                <w:sz w:val="24"/>
                <w:szCs w:val="24"/>
                <w:lang w:eastAsia="zh-TW"/>
              </w:rPr>
            </w:pPr>
          </w:p>
          <w:p w14:paraId="686CE13F">
            <w:pPr>
              <w:pStyle w:val="295"/>
              <w:keepNext w:val="0"/>
              <w:keepLines w:val="0"/>
              <w:pageBreakBefore w:val="0"/>
              <w:widowControl w:val="0"/>
              <w:tabs>
                <w:tab w:val="left" w:pos="401"/>
              </w:tabs>
              <w:kinsoku/>
              <w:wordWrap/>
              <w:overflowPunct/>
              <w:topLinePunct w:val="0"/>
              <w:autoSpaceDE/>
              <w:autoSpaceDN/>
              <w:bidi w:val="0"/>
              <w:spacing w:before="70" w:line="320" w:lineRule="exact"/>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第二册第四章：三个升号的大、小调及五声调式</w:t>
            </w:r>
          </w:p>
          <w:p w14:paraId="6DD84A69">
            <w:pPr>
              <w:pStyle w:val="295"/>
              <w:keepNext w:val="0"/>
              <w:keepLines w:val="0"/>
              <w:pageBreakBefore w:val="0"/>
              <w:widowControl w:val="0"/>
              <w:tabs>
                <w:tab w:val="left" w:pos="401"/>
              </w:tabs>
              <w:kinsoku/>
              <w:wordWrap/>
              <w:overflowPunct/>
              <w:topLinePunct w:val="0"/>
              <w:autoSpaceDE/>
              <w:autoSpaceDN/>
              <w:bidi w:val="0"/>
              <w:spacing w:before="70" w:line="320" w:lineRule="exact"/>
              <w:rPr>
                <w:rFonts w:ascii="仿宋" w:hAnsi="仿宋" w:eastAsia="仿宋" w:cs="仿宋"/>
                <w:color w:val="000000"/>
                <w:sz w:val="24"/>
                <w:szCs w:val="24"/>
                <w:lang w:eastAsia="zh-TW"/>
              </w:rPr>
            </w:pPr>
            <w:r>
              <w:rPr>
                <w:rFonts w:hint="eastAsia" w:ascii="仿宋" w:hAnsi="仿宋" w:eastAsia="仿宋" w:cs="仿宋"/>
                <w:color w:val="000000"/>
                <w:sz w:val="24"/>
                <w:szCs w:val="24"/>
                <w:lang w:eastAsia="zh-TW"/>
              </w:rPr>
              <w:t>知道层次：了解和弦连接，各级三和弦的原位及转位的构成、了解混合拍子的构成。</w:t>
            </w:r>
          </w:p>
          <w:p w14:paraId="1380E167">
            <w:pPr>
              <w:pStyle w:val="295"/>
              <w:keepNext w:val="0"/>
              <w:keepLines w:val="0"/>
              <w:pageBreakBefore w:val="0"/>
              <w:widowControl w:val="0"/>
              <w:tabs>
                <w:tab w:val="left" w:pos="401"/>
              </w:tabs>
              <w:kinsoku/>
              <w:wordWrap/>
              <w:overflowPunct/>
              <w:topLinePunct w:val="0"/>
              <w:autoSpaceDE/>
              <w:autoSpaceDN/>
              <w:bidi w:val="0"/>
              <w:spacing w:before="70" w:line="320" w:lineRule="exact"/>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领会层次：掌握调内和弦连接的听辩、听写,及混合拍子节奏训练。另外、掌握二声部曲调的视唱及听写.</w:t>
            </w:r>
          </w:p>
          <w:p w14:paraId="648727D5">
            <w:pPr>
              <w:pStyle w:val="295"/>
              <w:keepNext w:val="0"/>
              <w:keepLines w:val="0"/>
              <w:pageBreakBefore w:val="0"/>
              <w:widowControl w:val="0"/>
              <w:tabs>
                <w:tab w:val="left" w:pos="401"/>
              </w:tabs>
              <w:kinsoku/>
              <w:wordWrap/>
              <w:overflowPunct/>
              <w:topLinePunct w:val="0"/>
              <w:autoSpaceDE/>
              <w:autoSpaceDN/>
              <w:bidi w:val="0"/>
              <w:spacing w:before="70" w:line="320" w:lineRule="exact"/>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应用层次：把掌握的音乐基本理论知识运用到音乐教学实践中</w:t>
            </w:r>
          </w:p>
        </w:tc>
        <w:tc>
          <w:tcPr>
            <w:tcW w:w="771" w:type="dxa"/>
            <w:gridSpan w:val="2"/>
            <w:vAlign w:val="center"/>
          </w:tcPr>
          <w:p w14:paraId="6B5E1EE3">
            <w:pPr>
              <w:jc w:val="center"/>
              <w:rPr>
                <w:rFonts w:ascii="仿宋" w:hAnsi="仿宋" w:eastAsia="仿宋" w:cs="仿宋"/>
                <w:bCs/>
                <w:sz w:val="24"/>
                <w:szCs w:val="24"/>
                <w:lang w:val="en-US" w:eastAsia="zh-CN"/>
              </w:rPr>
            </w:pPr>
            <w:r>
              <w:rPr>
                <w:rFonts w:hint="eastAsia" w:ascii="仿宋" w:hAnsi="仿宋" w:eastAsia="仿宋" w:cs="仿宋"/>
                <w:bCs/>
                <w:sz w:val="24"/>
                <w:szCs w:val="24"/>
              </w:rPr>
              <w:t>支撑课程目标1、2</w:t>
            </w:r>
            <w:r>
              <w:rPr>
                <w:rFonts w:hint="eastAsia" w:ascii="仿宋" w:hAnsi="仿宋" w:eastAsia="仿宋" w:cs="仿宋"/>
                <w:bCs/>
                <w:sz w:val="24"/>
                <w:szCs w:val="24"/>
                <w:lang w:eastAsia="zh-CN"/>
              </w:rPr>
              <w:t>、</w:t>
            </w:r>
            <w:r>
              <w:rPr>
                <w:rFonts w:hint="eastAsia" w:ascii="仿宋" w:hAnsi="仿宋" w:eastAsia="仿宋" w:cs="仿宋"/>
                <w:bCs/>
                <w:sz w:val="24"/>
                <w:szCs w:val="24"/>
                <w:lang w:val="en-US" w:eastAsia="zh-CN"/>
              </w:rPr>
              <w:t>3</w:t>
            </w:r>
          </w:p>
        </w:tc>
        <w:tc>
          <w:tcPr>
            <w:tcW w:w="717" w:type="dxa"/>
            <w:gridSpan w:val="2"/>
            <w:shd w:val="clear" w:color="auto" w:fill="FFFFFF"/>
            <w:vAlign w:val="center"/>
          </w:tcPr>
          <w:p w14:paraId="623EBCA9">
            <w:pPr>
              <w:jc w:val="center"/>
              <w:rPr>
                <w:rFonts w:ascii="仿宋" w:hAnsi="仿宋" w:eastAsia="仿宋" w:cs="仿宋"/>
                <w:sz w:val="24"/>
                <w:szCs w:val="24"/>
                <w:lang w:val="en-US" w:eastAsia="zh-CN"/>
              </w:rPr>
            </w:pPr>
            <w:r>
              <w:rPr>
                <w:rFonts w:hint="eastAsia" w:ascii="仿宋" w:hAnsi="仿宋" w:eastAsia="仿宋" w:cs="仿宋"/>
                <w:sz w:val="24"/>
                <w:szCs w:val="24"/>
                <w:lang w:val="en-US" w:eastAsia="zh-CN"/>
              </w:rPr>
              <w:t>16</w:t>
            </w:r>
          </w:p>
        </w:tc>
      </w:tr>
      <w:tr w14:paraId="284ACD15">
        <w:trPr>
          <w:trHeight w:val="1867" w:hRule="atLeast"/>
        </w:trPr>
        <w:tc>
          <w:tcPr>
            <w:tcW w:w="1376" w:type="dxa"/>
            <w:vMerge w:val="continue"/>
            <w:shd w:val="clear" w:color="auto" w:fill="FFFFFF"/>
            <w:vAlign w:val="center"/>
          </w:tcPr>
          <w:p w14:paraId="747883A4">
            <w:pPr>
              <w:spacing w:line="240" w:lineRule="atLeast"/>
              <w:jc w:val="right"/>
              <w:rPr>
                <w:rFonts w:hint="eastAsia" w:ascii="仿宋" w:hAnsi="仿宋" w:eastAsia="仿宋" w:cs="仿宋"/>
                <w:sz w:val="24"/>
                <w:szCs w:val="24"/>
              </w:rPr>
            </w:pPr>
          </w:p>
        </w:tc>
        <w:tc>
          <w:tcPr>
            <w:tcW w:w="6284" w:type="dxa"/>
            <w:gridSpan w:val="6"/>
            <w:vAlign w:val="center"/>
          </w:tcPr>
          <w:p w14:paraId="0D3260CA">
            <w:pPr>
              <w:pStyle w:val="295"/>
              <w:keepNext w:val="0"/>
              <w:keepLines w:val="0"/>
              <w:pageBreakBefore w:val="0"/>
              <w:widowControl w:val="0"/>
              <w:tabs>
                <w:tab w:val="left" w:pos="401"/>
              </w:tabs>
              <w:kinsoku/>
              <w:wordWrap/>
              <w:overflowPunct/>
              <w:topLinePunct w:val="0"/>
              <w:autoSpaceDE/>
              <w:autoSpaceDN/>
              <w:bidi w:val="0"/>
              <w:spacing w:before="70" w:line="320" w:lineRule="exact"/>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第三册第一章：三个降号的大、小调及五声、六声及七声调式</w:t>
            </w:r>
          </w:p>
          <w:p w14:paraId="5A97A12D">
            <w:pPr>
              <w:pStyle w:val="295"/>
              <w:keepNext w:val="0"/>
              <w:keepLines w:val="0"/>
              <w:pageBreakBefore w:val="0"/>
              <w:widowControl w:val="0"/>
              <w:tabs>
                <w:tab w:val="left" w:pos="401"/>
              </w:tabs>
              <w:kinsoku/>
              <w:wordWrap/>
              <w:overflowPunct/>
              <w:topLinePunct w:val="0"/>
              <w:autoSpaceDE/>
              <w:autoSpaceDN/>
              <w:bidi w:val="0"/>
              <w:spacing w:before="70" w:line="320" w:lineRule="exact"/>
              <w:rPr>
                <w:rFonts w:ascii="仿宋" w:hAnsi="仿宋" w:eastAsia="仿宋" w:cs="仿宋"/>
                <w:color w:val="000000"/>
                <w:sz w:val="24"/>
                <w:szCs w:val="24"/>
                <w:lang w:eastAsia="zh-TW"/>
              </w:rPr>
            </w:pPr>
            <w:r>
              <w:rPr>
                <w:rFonts w:hint="eastAsia" w:ascii="仿宋" w:hAnsi="仿宋" w:eastAsia="仿宋" w:cs="仿宋"/>
                <w:color w:val="000000"/>
                <w:sz w:val="24"/>
                <w:szCs w:val="24"/>
                <w:lang w:eastAsia="zh-TW"/>
              </w:rPr>
              <w:t>知道层次：了解大、小七和弦及其转位的结构，单拍子、复拍子的特点及五声、六声及七声调式。</w:t>
            </w:r>
          </w:p>
          <w:p w14:paraId="5CC878D3">
            <w:pPr>
              <w:pStyle w:val="295"/>
              <w:keepNext w:val="0"/>
              <w:keepLines w:val="0"/>
              <w:pageBreakBefore w:val="0"/>
              <w:widowControl w:val="0"/>
              <w:tabs>
                <w:tab w:val="left" w:pos="401"/>
              </w:tabs>
              <w:kinsoku/>
              <w:wordWrap/>
              <w:overflowPunct/>
              <w:topLinePunct w:val="0"/>
              <w:autoSpaceDE/>
              <w:autoSpaceDN/>
              <w:bidi w:val="0"/>
              <w:spacing w:before="70" w:line="320" w:lineRule="exact"/>
              <w:rPr>
                <w:rFonts w:ascii="仿宋" w:hAnsi="仿宋" w:eastAsia="仿宋" w:cs="仿宋"/>
                <w:color w:val="000000"/>
                <w:sz w:val="24"/>
                <w:szCs w:val="24"/>
                <w:lang w:eastAsia="zh-TW"/>
              </w:rPr>
            </w:pPr>
            <w:r>
              <w:rPr>
                <w:rFonts w:hint="eastAsia" w:ascii="仿宋" w:hAnsi="仿宋" w:eastAsia="仿宋" w:cs="仿宋"/>
                <w:color w:val="000000"/>
                <w:sz w:val="24"/>
                <w:szCs w:val="24"/>
                <w:lang w:eastAsia="zh-TW"/>
              </w:rPr>
              <w:t>领会层次：掌握大、小七和弦及其转位的构唱和听记，以及五声、六声和七声调式视唱,听辩乐曲的解构与节拍节奏等等。</w:t>
            </w:r>
          </w:p>
          <w:p w14:paraId="6B0E7E76">
            <w:pPr>
              <w:pStyle w:val="295"/>
              <w:keepNext w:val="0"/>
              <w:keepLines w:val="0"/>
              <w:pageBreakBefore w:val="0"/>
              <w:widowControl w:val="0"/>
              <w:tabs>
                <w:tab w:val="left" w:pos="401"/>
              </w:tabs>
              <w:kinsoku/>
              <w:wordWrap/>
              <w:overflowPunct/>
              <w:topLinePunct w:val="0"/>
              <w:autoSpaceDE/>
              <w:autoSpaceDN/>
              <w:bidi w:val="0"/>
              <w:spacing w:before="70" w:line="320" w:lineRule="exact"/>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应用层次：把掌握的音乐基本理论知识运用到音乐教学实践中</w:t>
            </w:r>
          </w:p>
          <w:p w14:paraId="38E2ABAD">
            <w:pPr>
              <w:pStyle w:val="295"/>
              <w:keepNext w:val="0"/>
              <w:keepLines w:val="0"/>
              <w:pageBreakBefore w:val="0"/>
              <w:widowControl w:val="0"/>
              <w:tabs>
                <w:tab w:val="left" w:pos="401"/>
              </w:tabs>
              <w:kinsoku/>
              <w:wordWrap/>
              <w:overflowPunct/>
              <w:topLinePunct w:val="0"/>
              <w:autoSpaceDE/>
              <w:autoSpaceDN/>
              <w:bidi w:val="0"/>
              <w:spacing w:before="70" w:line="320" w:lineRule="exact"/>
              <w:rPr>
                <w:rFonts w:hint="eastAsia" w:ascii="仿宋" w:hAnsi="仿宋" w:eastAsia="仿宋" w:cs="仿宋"/>
                <w:color w:val="000000"/>
                <w:sz w:val="24"/>
                <w:szCs w:val="24"/>
                <w:lang w:eastAsia="zh-TW"/>
              </w:rPr>
            </w:pPr>
          </w:p>
          <w:p w14:paraId="1272A886">
            <w:pPr>
              <w:pStyle w:val="295"/>
              <w:keepNext w:val="0"/>
              <w:keepLines w:val="0"/>
              <w:pageBreakBefore w:val="0"/>
              <w:widowControl w:val="0"/>
              <w:tabs>
                <w:tab w:val="left" w:pos="401"/>
              </w:tabs>
              <w:kinsoku/>
              <w:wordWrap/>
              <w:overflowPunct/>
              <w:topLinePunct w:val="0"/>
              <w:autoSpaceDE/>
              <w:autoSpaceDN/>
              <w:bidi w:val="0"/>
              <w:spacing w:before="70" w:line="320" w:lineRule="exact"/>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第三册第二章：四个升号的大、小调及五声、六声及七声调式</w:t>
            </w:r>
          </w:p>
          <w:p w14:paraId="0C96BEDA">
            <w:pPr>
              <w:pStyle w:val="295"/>
              <w:keepNext w:val="0"/>
              <w:keepLines w:val="0"/>
              <w:pageBreakBefore w:val="0"/>
              <w:widowControl w:val="0"/>
              <w:tabs>
                <w:tab w:val="left" w:pos="401"/>
              </w:tabs>
              <w:kinsoku/>
              <w:wordWrap/>
              <w:overflowPunct/>
              <w:topLinePunct w:val="0"/>
              <w:autoSpaceDE/>
              <w:autoSpaceDN/>
              <w:bidi w:val="0"/>
              <w:spacing w:before="70" w:line="320" w:lineRule="exact"/>
              <w:rPr>
                <w:rFonts w:ascii="仿宋" w:hAnsi="仿宋" w:eastAsia="仿宋" w:cs="仿宋"/>
                <w:color w:val="000000"/>
                <w:sz w:val="24"/>
                <w:szCs w:val="24"/>
                <w:lang w:eastAsia="zh-TW"/>
              </w:rPr>
            </w:pPr>
            <w:r>
              <w:rPr>
                <w:rFonts w:hint="eastAsia" w:ascii="仿宋" w:hAnsi="仿宋" w:eastAsia="仿宋" w:cs="仿宋"/>
                <w:color w:val="000000"/>
                <w:sz w:val="24"/>
                <w:szCs w:val="24"/>
                <w:lang w:eastAsia="zh-TW"/>
              </w:rPr>
              <w:t>知道层次：了解小小七及其各转位的构成，了解巴洛克、古典、浪漫时期的音乐风格及特征。</w:t>
            </w:r>
          </w:p>
          <w:p w14:paraId="6D030868">
            <w:pPr>
              <w:pStyle w:val="295"/>
              <w:keepNext w:val="0"/>
              <w:keepLines w:val="0"/>
              <w:pageBreakBefore w:val="0"/>
              <w:widowControl w:val="0"/>
              <w:tabs>
                <w:tab w:val="left" w:pos="401"/>
              </w:tabs>
              <w:kinsoku/>
              <w:wordWrap/>
              <w:overflowPunct/>
              <w:topLinePunct w:val="0"/>
              <w:autoSpaceDE/>
              <w:autoSpaceDN/>
              <w:bidi w:val="0"/>
              <w:spacing w:before="70" w:line="320" w:lineRule="exact"/>
              <w:rPr>
                <w:rFonts w:ascii="仿宋" w:hAnsi="仿宋" w:eastAsia="仿宋" w:cs="仿宋"/>
                <w:color w:val="000000"/>
                <w:sz w:val="24"/>
                <w:szCs w:val="24"/>
                <w:lang w:eastAsia="zh-TW"/>
              </w:rPr>
            </w:pPr>
            <w:r>
              <w:rPr>
                <w:rFonts w:hint="eastAsia" w:ascii="仿宋" w:hAnsi="仿宋" w:eastAsia="仿宋" w:cs="仿宋"/>
                <w:color w:val="000000"/>
                <w:sz w:val="24"/>
                <w:szCs w:val="24"/>
                <w:lang w:eastAsia="zh-TW"/>
              </w:rPr>
              <w:t>领会层次：掌握小小七及其各转位的听写与调内和弦的连接，加强民族调式的视唱能力，掌握单声部、二声部弦律听写。</w:t>
            </w:r>
          </w:p>
          <w:p w14:paraId="50C87BCC">
            <w:pPr>
              <w:pStyle w:val="295"/>
              <w:keepNext w:val="0"/>
              <w:keepLines w:val="0"/>
              <w:pageBreakBefore w:val="0"/>
              <w:widowControl w:val="0"/>
              <w:tabs>
                <w:tab w:val="left" w:pos="401"/>
              </w:tabs>
              <w:kinsoku/>
              <w:wordWrap/>
              <w:overflowPunct/>
              <w:topLinePunct w:val="0"/>
              <w:autoSpaceDE/>
              <w:autoSpaceDN/>
              <w:bidi w:val="0"/>
              <w:spacing w:before="70" w:line="320" w:lineRule="exact"/>
              <w:rPr>
                <w:rFonts w:ascii="仿宋" w:hAnsi="仿宋" w:eastAsia="仿宋" w:cs="仿宋"/>
                <w:color w:val="000000"/>
                <w:sz w:val="24"/>
                <w:szCs w:val="24"/>
                <w:lang w:eastAsia="zh-TW"/>
              </w:rPr>
            </w:pPr>
            <w:r>
              <w:rPr>
                <w:rFonts w:hint="eastAsia" w:ascii="仿宋" w:hAnsi="仿宋" w:eastAsia="仿宋" w:cs="仿宋"/>
                <w:color w:val="000000"/>
                <w:sz w:val="24"/>
                <w:szCs w:val="24"/>
                <w:lang w:eastAsia="zh-TW"/>
              </w:rPr>
              <w:t>应用层次：把掌握的音乐基本理论知识运用到音乐教学实践中。</w:t>
            </w:r>
          </w:p>
        </w:tc>
        <w:tc>
          <w:tcPr>
            <w:tcW w:w="771" w:type="dxa"/>
            <w:gridSpan w:val="2"/>
            <w:vAlign w:val="center"/>
          </w:tcPr>
          <w:p w14:paraId="580F04E8">
            <w:pPr>
              <w:jc w:val="center"/>
              <w:rPr>
                <w:rFonts w:ascii="仿宋" w:hAnsi="仿宋" w:eastAsia="仿宋" w:cs="仿宋"/>
                <w:bCs/>
                <w:sz w:val="24"/>
                <w:szCs w:val="24"/>
                <w:lang w:val="en-US" w:eastAsia="zh-CN"/>
              </w:rPr>
            </w:pPr>
            <w:r>
              <w:rPr>
                <w:rFonts w:hint="eastAsia" w:ascii="仿宋" w:hAnsi="仿宋" w:eastAsia="仿宋" w:cs="仿宋"/>
                <w:bCs/>
                <w:sz w:val="24"/>
                <w:szCs w:val="24"/>
              </w:rPr>
              <w:t>支撑课程目标1、2</w:t>
            </w:r>
            <w:r>
              <w:rPr>
                <w:rFonts w:hint="eastAsia" w:ascii="仿宋" w:hAnsi="仿宋" w:eastAsia="仿宋" w:cs="仿宋"/>
                <w:bCs/>
                <w:sz w:val="24"/>
                <w:szCs w:val="24"/>
                <w:lang w:eastAsia="zh-CN"/>
              </w:rPr>
              <w:t>、</w:t>
            </w:r>
            <w:r>
              <w:rPr>
                <w:rFonts w:hint="eastAsia" w:ascii="仿宋" w:hAnsi="仿宋" w:eastAsia="仿宋" w:cs="仿宋"/>
                <w:bCs/>
                <w:sz w:val="24"/>
                <w:szCs w:val="24"/>
                <w:lang w:val="en-US" w:eastAsia="zh-CN"/>
              </w:rPr>
              <w:t>3</w:t>
            </w:r>
          </w:p>
        </w:tc>
        <w:tc>
          <w:tcPr>
            <w:tcW w:w="717" w:type="dxa"/>
            <w:gridSpan w:val="2"/>
            <w:shd w:val="clear" w:color="auto" w:fill="FFFFFF"/>
            <w:vAlign w:val="center"/>
          </w:tcPr>
          <w:p w14:paraId="5F6F9AA2">
            <w:pPr>
              <w:jc w:val="center"/>
              <w:rPr>
                <w:rFonts w:ascii="仿宋" w:hAnsi="仿宋" w:eastAsia="仿宋" w:cs="仿宋"/>
                <w:sz w:val="24"/>
                <w:szCs w:val="24"/>
              </w:rPr>
            </w:pPr>
            <w:r>
              <w:rPr>
                <w:rFonts w:hint="eastAsia" w:ascii="仿宋" w:hAnsi="仿宋" w:eastAsia="仿宋" w:cs="仿宋"/>
                <w:sz w:val="24"/>
                <w:szCs w:val="24"/>
              </w:rPr>
              <w:t>16</w:t>
            </w:r>
          </w:p>
        </w:tc>
      </w:tr>
      <w:tr w14:paraId="6B3EABCB">
        <w:trPr>
          <w:trHeight w:val="454" w:hRule="atLeast"/>
        </w:trPr>
        <w:tc>
          <w:tcPr>
            <w:tcW w:w="1376" w:type="dxa"/>
            <w:shd w:val="clear" w:color="auto" w:fill="FFFFFF"/>
            <w:vAlign w:val="center"/>
          </w:tcPr>
          <w:p w14:paraId="34871C63">
            <w:pPr>
              <w:spacing w:line="240" w:lineRule="atLeast"/>
              <w:jc w:val="right"/>
              <w:rPr>
                <w:rFonts w:hint="eastAsia" w:ascii="仿宋" w:hAnsi="仿宋" w:eastAsia="仿宋" w:cs="仿宋"/>
                <w:sz w:val="24"/>
                <w:szCs w:val="24"/>
              </w:rPr>
            </w:pPr>
          </w:p>
        </w:tc>
        <w:tc>
          <w:tcPr>
            <w:tcW w:w="7055" w:type="dxa"/>
            <w:gridSpan w:val="8"/>
            <w:vAlign w:val="center"/>
          </w:tcPr>
          <w:p w14:paraId="656E748F">
            <w:pPr>
              <w:rPr>
                <w:rFonts w:hint="eastAsia" w:ascii="仿宋" w:hAnsi="仿宋" w:eastAsia="仿宋" w:cs="仿宋"/>
                <w:bCs/>
                <w:sz w:val="24"/>
                <w:szCs w:val="24"/>
              </w:rPr>
            </w:pPr>
            <w:r>
              <w:rPr>
                <w:rFonts w:hint="eastAsia" w:ascii="仿宋" w:hAnsi="仿宋" w:eastAsia="仿宋" w:cs="仿宋"/>
                <w:bCs/>
                <w:sz w:val="24"/>
                <w:szCs w:val="24"/>
              </w:rPr>
              <w:t>合计</w:t>
            </w:r>
          </w:p>
        </w:tc>
        <w:tc>
          <w:tcPr>
            <w:tcW w:w="717" w:type="dxa"/>
            <w:gridSpan w:val="2"/>
            <w:shd w:val="clear" w:color="auto" w:fill="FFFFFF"/>
            <w:vAlign w:val="center"/>
          </w:tcPr>
          <w:p w14:paraId="22F8D81F">
            <w:pPr>
              <w:ind w:firstLine="240" w:firstLineChars="100"/>
              <w:rPr>
                <w:rFonts w:ascii="仿宋" w:hAnsi="仿宋" w:eastAsia="仿宋" w:cs="仿宋"/>
                <w:sz w:val="24"/>
                <w:szCs w:val="24"/>
                <w:lang w:val="en-US" w:eastAsia="zh-CN"/>
              </w:rPr>
            </w:pPr>
            <w:r>
              <w:rPr>
                <w:rFonts w:hint="eastAsia" w:ascii="仿宋" w:hAnsi="仿宋" w:eastAsia="仿宋" w:cs="仿宋"/>
                <w:sz w:val="24"/>
                <w:szCs w:val="24"/>
                <w:lang w:val="en-US" w:eastAsia="zh-CN"/>
              </w:rPr>
              <w:t>64</w:t>
            </w:r>
          </w:p>
        </w:tc>
      </w:tr>
      <w:tr w14:paraId="68E58C70">
        <w:trPr>
          <w:trHeight w:val="454" w:hRule="atLeast"/>
        </w:trPr>
        <w:tc>
          <w:tcPr>
            <w:tcW w:w="1376" w:type="dxa"/>
            <w:vMerge w:val="restart"/>
            <w:shd w:val="clear" w:color="auto" w:fill="FFFFFF"/>
            <w:vAlign w:val="center"/>
          </w:tcPr>
          <w:p w14:paraId="1A157E1D">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G</w:t>
            </w:r>
          </w:p>
          <w:p w14:paraId="2A010685">
            <w:pPr>
              <w:spacing w:line="240" w:lineRule="atLeast"/>
              <w:jc w:val="center"/>
              <w:rPr>
                <w:rFonts w:hint="eastAsia" w:ascii="仿宋" w:hAnsi="仿宋" w:eastAsia="仿宋" w:cs="仿宋"/>
                <w:sz w:val="24"/>
                <w:szCs w:val="24"/>
              </w:rPr>
            </w:pPr>
            <w:r>
              <w:rPr>
                <w:rFonts w:hint="eastAsia" w:ascii="仿宋" w:hAnsi="仿宋" w:eastAsia="仿宋" w:cs="仿宋"/>
                <w:color w:val="000000"/>
                <w:kern w:val="2"/>
                <w:sz w:val="24"/>
                <w:szCs w:val="24"/>
                <w:lang w:val="en-US" w:eastAsia="zh-CN" w:bidi="ar-SA"/>
              </w:rPr>
              <w:t>技能（实训）内容</w:t>
            </w:r>
          </w:p>
        </w:tc>
        <w:tc>
          <w:tcPr>
            <w:tcW w:w="6128" w:type="dxa"/>
            <w:gridSpan w:val="5"/>
            <w:vAlign w:val="center"/>
          </w:tcPr>
          <w:p w14:paraId="3A32CF31">
            <w:pPr>
              <w:spacing w:line="240" w:lineRule="atLeast"/>
              <w:jc w:val="center"/>
              <w:rPr>
                <w:rFonts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实训目的及任务</w:t>
            </w:r>
          </w:p>
        </w:tc>
        <w:tc>
          <w:tcPr>
            <w:tcW w:w="927" w:type="dxa"/>
            <w:gridSpan w:val="3"/>
            <w:vAlign w:val="center"/>
          </w:tcPr>
          <w:p w14:paraId="74D83E6A">
            <w:pPr>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支撑课程</w:t>
            </w:r>
          </w:p>
          <w:p w14:paraId="4A23F7BE">
            <w:pPr>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717" w:type="dxa"/>
            <w:gridSpan w:val="2"/>
            <w:shd w:val="clear" w:color="auto" w:fill="FFFFFF"/>
            <w:vAlign w:val="center"/>
          </w:tcPr>
          <w:p w14:paraId="1BBE5AA2">
            <w:pPr>
              <w:jc w:val="center"/>
              <w:rPr>
                <w:rFonts w:hint="eastAsia" w:ascii="仿宋" w:hAnsi="仿宋" w:eastAsia="仿宋" w:cs="仿宋"/>
                <w:kern w:val="0"/>
                <w:sz w:val="24"/>
                <w:szCs w:val="24"/>
              </w:rPr>
            </w:pPr>
            <w:r>
              <w:rPr>
                <w:rFonts w:hint="eastAsia" w:ascii="仿宋" w:hAnsi="仿宋" w:eastAsia="仿宋" w:cs="仿宋"/>
                <w:kern w:val="0"/>
                <w:sz w:val="24"/>
                <w:szCs w:val="24"/>
              </w:rPr>
              <w:t xml:space="preserve">学时 </w:t>
            </w:r>
          </w:p>
          <w:p w14:paraId="6EFBB3D8">
            <w:pPr>
              <w:jc w:val="center"/>
              <w:rPr>
                <w:rFonts w:hint="eastAsia" w:ascii="仿宋" w:hAnsi="仿宋" w:eastAsia="仿宋" w:cs="仿宋"/>
                <w:sz w:val="24"/>
                <w:szCs w:val="24"/>
              </w:rPr>
            </w:pPr>
            <w:r>
              <w:rPr>
                <w:rFonts w:hint="eastAsia" w:ascii="仿宋" w:hAnsi="仿宋" w:eastAsia="仿宋" w:cs="仿宋"/>
                <w:kern w:val="0"/>
                <w:sz w:val="24"/>
                <w:szCs w:val="24"/>
              </w:rPr>
              <w:t>分配</w:t>
            </w:r>
          </w:p>
        </w:tc>
      </w:tr>
      <w:tr w14:paraId="04CE4903">
        <w:trPr>
          <w:trHeight w:val="6687" w:hRule="atLeast"/>
        </w:trPr>
        <w:tc>
          <w:tcPr>
            <w:tcW w:w="1376" w:type="dxa"/>
            <w:vMerge w:val="continue"/>
            <w:shd w:val="clear" w:color="auto" w:fill="FFFFFF"/>
            <w:vAlign w:val="center"/>
          </w:tcPr>
          <w:p w14:paraId="12F19050">
            <w:pPr>
              <w:spacing w:line="240" w:lineRule="atLeast"/>
              <w:jc w:val="center"/>
              <w:rPr>
                <w:rFonts w:hint="eastAsia" w:ascii="仿宋" w:hAnsi="仿宋" w:eastAsia="仿宋" w:cs="仿宋"/>
                <w:sz w:val="24"/>
                <w:szCs w:val="24"/>
              </w:rPr>
            </w:pPr>
          </w:p>
        </w:tc>
        <w:tc>
          <w:tcPr>
            <w:tcW w:w="6128" w:type="dxa"/>
            <w:gridSpan w:val="5"/>
            <w:vAlign w:val="top"/>
          </w:tcPr>
          <w:p w14:paraId="676CB1DC">
            <w:pPr>
              <w:pStyle w:val="295"/>
              <w:keepNext w:val="0"/>
              <w:keepLines w:val="0"/>
              <w:pageBreakBefore w:val="0"/>
              <w:widowControl w:val="0"/>
              <w:tabs>
                <w:tab w:val="left" w:pos="401"/>
              </w:tabs>
              <w:kinsoku/>
              <w:wordWrap/>
              <w:overflowPunct/>
              <w:topLinePunct w:val="0"/>
              <w:autoSpaceDE/>
              <w:autoSpaceDN/>
              <w:bidi w:val="0"/>
              <w:spacing w:before="70" w:line="320" w:lineRule="exact"/>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实训一：四个升降号以内的音组听辨、听写训练。</w:t>
            </w:r>
          </w:p>
          <w:p w14:paraId="1725AA03">
            <w:pPr>
              <w:pStyle w:val="295"/>
              <w:keepNext w:val="0"/>
              <w:keepLines w:val="0"/>
              <w:pageBreakBefore w:val="0"/>
              <w:widowControl w:val="0"/>
              <w:tabs>
                <w:tab w:val="left" w:pos="401"/>
              </w:tabs>
              <w:kinsoku/>
              <w:wordWrap/>
              <w:overflowPunct/>
              <w:topLinePunct w:val="0"/>
              <w:autoSpaceDE/>
              <w:autoSpaceDN/>
              <w:bidi w:val="0"/>
              <w:spacing w:before="70" w:line="320" w:lineRule="exact"/>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目标：知晓音乐基本组成要素、四升降号调式及音程结构。</w:t>
            </w:r>
          </w:p>
          <w:p w14:paraId="5E13F2E0">
            <w:pPr>
              <w:pStyle w:val="295"/>
              <w:keepNext w:val="0"/>
              <w:keepLines w:val="0"/>
              <w:pageBreakBefore w:val="0"/>
              <w:widowControl w:val="0"/>
              <w:tabs>
                <w:tab w:val="left" w:pos="401"/>
              </w:tabs>
              <w:kinsoku/>
              <w:wordWrap/>
              <w:overflowPunct/>
              <w:topLinePunct w:val="0"/>
              <w:autoSpaceDE/>
              <w:autoSpaceDN/>
              <w:bidi w:val="0"/>
              <w:spacing w:before="70" w:line="320" w:lineRule="exact"/>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eastAsia="zh-CN"/>
              </w:rPr>
              <w:t>任务：</w:t>
            </w:r>
            <w:r>
              <w:rPr>
                <w:rFonts w:hint="eastAsia" w:ascii="仿宋" w:hAnsi="仿宋" w:eastAsia="仿宋" w:cs="仿宋"/>
                <w:color w:val="000000"/>
                <w:sz w:val="24"/>
                <w:szCs w:val="24"/>
                <w:lang w:val="en-US" w:eastAsia="zh-CN"/>
              </w:rPr>
              <w:t>1、知晓</w:t>
            </w:r>
            <w:r>
              <w:rPr>
                <w:rFonts w:hint="eastAsia" w:ascii="仿宋" w:hAnsi="仿宋" w:eastAsia="仿宋" w:cs="仿宋"/>
                <w:color w:val="000000"/>
                <w:sz w:val="24"/>
                <w:szCs w:val="24"/>
                <w:lang w:eastAsia="zh-CN"/>
              </w:rPr>
              <w:t>应用音乐基本理论知识</w:t>
            </w:r>
            <w:r>
              <w:rPr>
                <w:rFonts w:hint="eastAsia" w:ascii="仿宋" w:hAnsi="仿宋" w:eastAsia="仿宋" w:cs="仿宋"/>
                <w:color w:val="000000"/>
                <w:sz w:val="24"/>
                <w:szCs w:val="24"/>
                <w:lang w:val="en-US" w:eastAsia="zh-CN"/>
              </w:rPr>
              <w:t>的重要性。</w:t>
            </w:r>
          </w:p>
          <w:p w14:paraId="318179D8">
            <w:pPr>
              <w:pStyle w:val="295"/>
              <w:keepNext w:val="0"/>
              <w:keepLines w:val="0"/>
              <w:pageBreakBefore w:val="0"/>
              <w:widowControl w:val="0"/>
              <w:numPr>
                <w:ilvl w:val="0"/>
                <w:numId w:val="19"/>
              </w:numPr>
              <w:tabs>
                <w:tab w:val="left" w:pos="401"/>
              </w:tabs>
              <w:kinsoku/>
              <w:wordWrap/>
              <w:overflowPunct/>
              <w:topLinePunct w:val="0"/>
              <w:autoSpaceDE/>
              <w:autoSpaceDN/>
              <w:bidi w:val="0"/>
              <w:spacing w:before="70" w:line="320" w:lineRule="exact"/>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初步掌握音组听辨、听写的能力。</w:t>
            </w:r>
          </w:p>
          <w:p w14:paraId="5FD86DCE">
            <w:pPr>
              <w:pStyle w:val="295"/>
              <w:keepNext w:val="0"/>
              <w:keepLines w:val="0"/>
              <w:pageBreakBefore w:val="0"/>
              <w:widowControl w:val="0"/>
              <w:numPr>
                <w:ilvl w:val="0"/>
                <w:numId w:val="0"/>
              </w:numPr>
              <w:tabs>
                <w:tab w:val="left" w:pos="401"/>
              </w:tabs>
              <w:kinsoku/>
              <w:wordWrap/>
              <w:overflowPunct/>
              <w:topLinePunct w:val="0"/>
              <w:autoSpaceDE/>
              <w:autoSpaceDN/>
              <w:bidi w:val="0"/>
              <w:spacing w:before="70" w:line="320" w:lineRule="exact"/>
              <w:rPr>
                <w:rFonts w:ascii="仿宋" w:hAnsi="仿宋" w:eastAsia="仿宋" w:cs="仿宋"/>
                <w:color w:val="000000"/>
                <w:sz w:val="24"/>
                <w:szCs w:val="24"/>
                <w:lang w:val="en-US" w:eastAsia="zh-CN"/>
              </w:rPr>
            </w:pPr>
          </w:p>
          <w:p w14:paraId="2AF19396">
            <w:pPr>
              <w:pStyle w:val="295"/>
              <w:keepNext w:val="0"/>
              <w:keepLines w:val="0"/>
              <w:pageBreakBefore w:val="0"/>
              <w:widowControl w:val="0"/>
              <w:tabs>
                <w:tab w:val="left" w:pos="401"/>
              </w:tabs>
              <w:kinsoku/>
              <w:wordWrap/>
              <w:overflowPunct/>
              <w:topLinePunct w:val="0"/>
              <w:autoSpaceDE/>
              <w:autoSpaceDN/>
              <w:bidi w:val="0"/>
              <w:spacing w:before="70" w:line="320" w:lineRule="exact"/>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实训二：</w:t>
            </w:r>
            <w:r>
              <w:rPr>
                <w:rFonts w:hint="eastAsia" w:ascii="仿宋" w:hAnsi="仿宋" w:eastAsia="仿宋" w:cs="仿宋"/>
                <w:color w:val="000000"/>
                <w:sz w:val="24"/>
                <w:szCs w:val="24"/>
                <w:lang w:val="en-US" w:eastAsia="zh-CN"/>
              </w:rPr>
              <w:t>各级大小音程、纯音程、增减音程的听辨、听写训练。</w:t>
            </w:r>
          </w:p>
          <w:p w14:paraId="134819AC">
            <w:pPr>
              <w:pStyle w:val="295"/>
              <w:keepNext w:val="0"/>
              <w:keepLines w:val="0"/>
              <w:pageBreakBefore w:val="0"/>
              <w:widowControl w:val="0"/>
              <w:tabs>
                <w:tab w:val="left" w:pos="401"/>
              </w:tabs>
              <w:kinsoku/>
              <w:wordWrap/>
              <w:overflowPunct/>
              <w:topLinePunct w:val="0"/>
              <w:autoSpaceDE/>
              <w:autoSpaceDN/>
              <w:bidi w:val="0"/>
              <w:spacing w:before="70" w:line="320" w:lineRule="exact"/>
              <w:rPr>
                <w:rFonts w:ascii="仿宋" w:hAnsi="仿宋" w:eastAsia="仿宋" w:cs="仿宋"/>
                <w:color w:val="000000"/>
                <w:sz w:val="24"/>
                <w:szCs w:val="24"/>
                <w:lang w:val="en-US" w:eastAsia="zh-CN"/>
              </w:rPr>
            </w:pPr>
            <w:r>
              <w:rPr>
                <w:rFonts w:hint="eastAsia" w:ascii="仿宋" w:hAnsi="仿宋" w:eastAsia="仿宋" w:cs="仿宋"/>
                <w:color w:val="000000"/>
                <w:sz w:val="24"/>
                <w:szCs w:val="24"/>
                <w:lang w:eastAsia="zh-CN"/>
              </w:rPr>
              <w:t>目的：知晓</w:t>
            </w:r>
            <w:r>
              <w:rPr>
                <w:rFonts w:hint="eastAsia" w:ascii="仿宋" w:hAnsi="仿宋" w:eastAsia="仿宋" w:cs="仿宋"/>
                <w:color w:val="000000"/>
                <w:sz w:val="24"/>
                <w:szCs w:val="24"/>
                <w:lang w:val="en-US" w:eastAsia="zh-CN"/>
              </w:rPr>
              <w:t>大小音程、纯音程、增减音程的结构特征，并且能够掌握其听辨、听写的能力。</w:t>
            </w:r>
          </w:p>
          <w:p w14:paraId="14AD84C6">
            <w:pPr>
              <w:pStyle w:val="295"/>
              <w:keepNext w:val="0"/>
              <w:keepLines w:val="0"/>
              <w:pageBreakBefore w:val="0"/>
              <w:widowControl w:val="0"/>
              <w:tabs>
                <w:tab w:val="left" w:pos="401"/>
              </w:tabs>
              <w:kinsoku/>
              <w:wordWrap/>
              <w:overflowPunct/>
              <w:topLinePunct w:val="0"/>
              <w:autoSpaceDE/>
              <w:autoSpaceDN/>
              <w:bidi w:val="0"/>
              <w:spacing w:before="70" w:line="320" w:lineRule="exact"/>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eastAsia="zh-CN"/>
              </w:rPr>
              <w:t>任务：</w:t>
            </w:r>
            <w:r>
              <w:rPr>
                <w:rFonts w:hint="eastAsia" w:ascii="仿宋" w:hAnsi="仿宋" w:eastAsia="仿宋" w:cs="仿宋"/>
                <w:color w:val="000000"/>
                <w:sz w:val="24"/>
                <w:szCs w:val="24"/>
                <w:lang w:val="en-US" w:eastAsia="zh-CN"/>
              </w:rPr>
              <w:t>1、知晓音程学习的重要性。</w:t>
            </w:r>
          </w:p>
          <w:p w14:paraId="716E636D">
            <w:pPr>
              <w:pStyle w:val="295"/>
              <w:keepNext w:val="0"/>
              <w:keepLines w:val="0"/>
              <w:pageBreakBefore w:val="0"/>
              <w:widowControl w:val="0"/>
              <w:numPr>
                <w:ilvl w:val="0"/>
                <w:numId w:val="20"/>
              </w:numPr>
              <w:tabs>
                <w:tab w:val="left" w:pos="401"/>
              </w:tabs>
              <w:kinsoku/>
              <w:wordWrap/>
              <w:overflowPunct/>
              <w:topLinePunct w:val="0"/>
              <w:autoSpaceDE/>
              <w:autoSpaceDN/>
              <w:bidi w:val="0"/>
              <w:spacing w:before="70" w:line="320" w:lineRule="exact"/>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基本掌握各级各类音程听辨、听写的能力。</w:t>
            </w:r>
          </w:p>
          <w:p w14:paraId="1F278362">
            <w:pPr>
              <w:pStyle w:val="295"/>
              <w:keepNext w:val="0"/>
              <w:keepLines w:val="0"/>
              <w:pageBreakBefore w:val="0"/>
              <w:widowControl w:val="0"/>
              <w:numPr>
                <w:ilvl w:val="0"/>
                <w:numId w:val="0"/>
              </w:numPr>
              <w:tabs>
                <w:tab w:val="left" w:pos="401"/>
              </w:tabs>
              <w:kinsoku/>
              <w:wordWrap/>
              <w:overflowPunct/>
              <w:topLinePunct w:val="0"/>
              <w:autoSpaceDE/>
              <w:autoSpaceDN/>
              <w:bidi w:val="0"/>
              <w:spacing w:before="70" w:line="320" w:lineRule="exact"/>
              <w:rPr>
                <w:rFonts w:hint="eastAsia" w:ascii="仿宋" w:hAnsi="仿宋" w:eastAsia="仿宋" w:cs="仿宋"/>
                <w:color w:val="000000"/>
                <w:sz w:val="24"/>
                <w:szCs w:val="24"/>
                <w:lang w:val="en-US" w:eastAsia="zh-CN"/>
              </w:rPr>
            </w:pPr>
          </w:p>
          <w:p w14:paraId="306C809C">
            <w:pPr>
              <w:pStyle w:val="295"/>
              <w:keepNext w:val="0"/>
              <w:keepLines w:val="0"/>
              <w:pageBreakBefore w:val="0"/>
              <w:widowControl w:val="0"/>
              <w:tabs>
                <w:tab w:val="left" w:pos="401"/>
              </w:tabs>
              <w:kinsoku/>
              <w:wordWrap/>
              <w:overflowPunct/>
              <w:topLinePunct w:val="0"/>
              <w:autoSpaceDE/>
              <w:autoSpaceDN/>
              <w:bidi w:val="0"/>
              <w:spacing w:before="70" w:line="320" w:lineRule="exact"/>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实训三：调内三和弦（大、小、增、减）原位及转位和弦的听辨、听写训练。</w:t>
            </w:r>
          </w:p>
          <w:p w14:paraId="1691F75A">
            <w:pPr>
              <w:pStyle w:val="295"/>
              <w:keepNext w:val="0"/>
              <w:keepLines w:val="0"/>
              <w:pageBreakBefore w:val="0"/>
              <w:widowControl w:val="0"/>
              <w:tabs>
                <w:tab w:val="left" w:pos="401"/>
              </w:tabs>
              <w:kinsoku/>
              <w:wordWrap/>
              <w:overflowPunct/>
              <w:topLinePunct w:val="0"/>
              <w:autoSpaceDE/>
              <w:autoSpaceDN/>
              <w:bidi w:val="0"/>
              <w:spacing w:before="70" w:line="320" w:lineRule="exact"/>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目的：</w:t>
            </w:r>
            <w:r>
              <w:rPr>
                <w:rFonts w:hint="eastAsia" w:ascii="仿宋" w:hAnsi="仿宋" w:eastAsia="仿宋" w:cs="仿宋"/>
                <w:color w:val="000000"/>
                <w:sz w:val="24"/>
                <w:szCs w:val="24"/>
                <w:lang w:val="en-US" w:eastAsia="zh-CN"/>
              </w:rPr>
              <w:t>学会调内三和弦（大、小、增、减）原位及转位和弦的基本形态。</w:t>
            </w:r>
          </w:p>
          <w:p w14:paraId="3711323B">
            <w:pPr>
              <w:pStyle w:val="295"/>
              <w:keepNext w:val="0"/>
              <w:keepLines w:val="0"/>
              <w:pageBreakBefore w:val="0"/>
              <w:widowControl w:val="0"/>
              <w:tabs>
                <w:tab w:val="left" w:pos="401"/>
              </w:tabs>
              <w:kinsoku/>
              <w:wordWrap/>
              <w:overflowPunct/>
              <w:topLinePunct w:val="0"/>
              <w:autoSpaceDE/>
              <w:autoSpaceDN/>
              <w:bidi w:val="0"/>
              <w:spacing w:before="70" w:line="320" w:lineRule="exact"/>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eastAsia="zh-CN"/>
              </w:rPr>
              <w:t>任务：</w:t>
            </w:r>
            <w:r>
              <w:rPr>
                <w:rFonts w:hint="eastAsia" w:ascii="仿宋" w:hAnsi="仿宋" w:eastAsia="仿宋" w:cs="仿宋"/>
                <w:color w:val="000000"/>
                <w:sz w:val="24"/>
                <w:szCs w:val="24"/>
                <w:lang w:val="en-US" w:eastAsia="zh-CN"/>
              </w:rPr>
              <w:t>1、能够听辨及听写调内三和弦（大、小、增、减）原位及转位和弦。</w:t>
            </w:r>
          </w:p>
          <w:p w14:paraId="69F350D3">
            <w:pPr>
              <w:pStyle w:val="295"/>
              <w:keepNext w:val="0"/>
              <w:keepLines w:val="0"/>
              <w:pageBreakBefore w:val="0"/>
              <w:widowControl w:val="0"/>
              <w:tabs>
                <w:tab w:val="left" w:pos="401"/>
              </w:tabs>
              <w:kinsoku/>
              <w:wordWrap/>
              <w:overflowPunct/>
              <w:topLinePunct w:val="0"/>
              <w:autoSpaceDE/>
              <w:autoSpaceDN/>
              <w:bidi w:val="0"/>
              <w:spacing w:before="70" w:line="320" w:lineRule="exact"/>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通过辨认各级各类三和弦的基本结构形态，领会其对后续课程学习的重要性。</w:t>
            </w:r>
          </w:p>
          <w:p w14:paraId="77BA54D2">
            <w:pPr>
              <w:pStyle w:val="295"/>
              <w:keepNext w:val="0"/>
              <w:keepLines w:val="0"/>
              <w:pageBreakBefore w:val="0"/>
              <w:widowControl w:val="0"/>
              <w:tabs>
                <w:tab w:val="left" w:pos="401"/>
              </w:tabs>
              <w:kinsoku/>
              <w:wordWrap/>
              <w:overflowPunct/>
              <w:topLinePunct w:val="0"/>
              <w:autoSpaceDE/>
              <w:autoSpaceDN/>
              <w:bidi w:val="0"/>
              <w:spacing w:before="70" w:line="320" w:lineRule="exact"/>
              <w:rPr>
                <w:rFonts w:hint="eastAsia" w:ascii="仿宋" w:hAnsi="仿宋" w:eastAsia="仿宋" w:cs="仿宋"/>
                <w:color w:val="000000"/>
                <w:sz w:val="24"/>
                <w:szCs w:val="24"/>
                <w:lang w:val="en-US" w:eastAsia="zh-CN"/>
              </w:rPr>
            </w:pPr>
          </w:p>
          <w:p w14:paraId="5C7EC05F">
            <w:pPr>
              <w:pStyle w:val="295"/>
              <w:keepNext w:val="0"/>
              <w:keepLines w:val="0"/>
              <w:pageBreakBefore w:val="0"/>
              <w:widowControl w:val="0"/>
              <w:tabs>
                <w:tab w:val="left" w:pos="401"/>
              </w:tabs>
              <w:kinsoku/>
              <w:wordWrap/>
              <w:overflowPunct/>
              <w:topLinePunct w:val="0"/>
              <w:autoSpaceDE/>
              <w:autoSpaceDN/>
              <w:bidi w:val="0"/>
              <w:spacing w:before="70" w:line="320" w:lineRule="exact"/>
              <w:rPr>
                <w:rFonts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实训四：调内七和弦原位及转位的听辨、听写训练。</w:t>
            </w:r>
          </w:p>
          <w:p w14:paraId="658EE788">
            <w:pPr>
              <w:pStyle w:val="295"/>
              <w:keepNext w:val="0"/>
              <w:keepLines w:val="0"/>
              <w:pageBreakBefore w:val="0"/>
              <w:widowControl w:val="0"/>
              <w:tabs>
                <w:tab w:val="left" w:pos="401"/>
              </w:tabs>
              <w:kinsoku/>
              <w:wordWrap/>
              <w:overflowPunct/>
              <w:topLinePunct w:val="0"/>
              <w:autoSpaceDE/>
              <w:autoSpaceDN/>
              <w:bidi w:val="0"/>
              <w:spacing w:before="70" w:line="320" w:lineRule="exact"/>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目的：</w:t>
            </w:r>
            <w:r>
              <w:rPr>
                <w:rFonts w:hint="eastAsia" w:ascii="仿宋" w:hAnsi="仿宋" w:eastAsia="仿宋" w:cs="仿宋"/>
                <w:color w:val="000000"/>
                <w:sz w:val="24"/>
                <w:szCs w:val="24"/>
                <w:lang w:val="en-US" w:eastAsia="zh-CN"/>
              </w:rPr>
              <w:t>分析调内七和弦原位及转位的基本形态。</w:t>
            </w:r>
          </w:p>
          <w:p w14:paraId="4A6AB6A5">
            <w:pPr>
              <w:pStyle w:val="295"/>
              <w:keepNext w:val="0"/>
              <w:keepLines w:val="0"/>
              <w:pageBreakBefore w:val="0"/>
              <w:widowControl w:val="0"/>
              <w:tabs>
                <w:tab w:val="left" w:pos="401"/>
              </w:tabs>
              <w:kinsoku/>
              <w:wordWrap/>
              <w:overflowPunct/>
              <w:topLinePunct w:val="0"/>
              <w:autoSpaceDE/>
              <w:autoSpaceDN/>
              <w:bidi w:val="0"/>
              <w:spacing w:before="70" w:line="320" w:lineRule="exact"/>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eastAsia="zh-CN"/>
              </w:rPr>
              <w:t>任务：</w:t>
            </w:r>
            <w:r>
              <w:rPr>
                <w:rFonts w:hint="eastAsia" w:ascii="仿宋" w:hAnsi="仿宋" w:eastAsia="仿宋" w:cs="仿宋"/>
                <w:color w:val="000000"/>
                <w:sz w:val="24"/>
                <w:szCs w:val="24"/>
                <w:lang w:val="en-US" w:eastAsia="zh-CN"/>
              </w:rPr>
              <w:t>1、能够听辨及听写调内七和弦原位及转位。</w:t>
            </w:r>
          </w:p>
          <w:p w14:paraId="6D3E7CB6">
            <w:pPr>
              <w:pStyle w:val="295"/>
              <w:keepNext w:val="0"/>
              <w:keepLines w:val="0"/>
              <w:pageBreakBefore w:val="0"/>
              <w:widowControl w:val="0"/>
              <w:numPr>
                <w:ilvl w:val="0"/>
                <w:numId w:val="21"/>
              </w:numPr>
              <w:tabs>
                <w:tab w:val="left" w:pos="401"/>
              </w:tabs>
              <w:kinsoku/>
              <w:wordWrap/>
              <w:overflowPunct/>
              <w:topLinePunct w:val="0"/>
              <w:autoSpaceDE/>
              <w:autoSpaceDN/>
              <w:bidi w:val="0"/>
              <w:spacing w:before="70" w:line="320" w:lineRule="exact"/>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通过辨认各级各类七和弦的基本结构形态，领会其对后续课程学习的重要性。</w:t>
            </w:r>
          </w:p>
          <w:p w14:paraId="0B649054">
            <w:pPr>
              <w:pStyle w:val="295"/>
              <w:keepNext w:val="0"/>
              <w:keepLines w:val="0"/>
              <w:pageBreakBefore w:val="0"/>
              <w:widowControl w:val="0"/>
              <w:numPr>
                <w:ilvl w:val="0"/>
                <w:numId w:val="0"/>
              </w:numPr>
              <w:tabs>
                <w:tab w:val="left" w:pos="401"/>
              </w:tabs>
              <w:kinsoku/>
              <w:wordWrap/>
              <w:overflowPunct/>
              <w:topLinePunct w:val="0"/>
              <w:autoSpaceDE/>
              <w:autoSpaceDN/>
              <w:bidi w:val="0"/>
              <w:spacing w:before="70" w:line="320" w:lineRule="exact"/>
              <w:rPr>
                <w:rFonts w:hint="eastAsia" w:ascii="仿宋" w:hAnsi="仿宋" w:eastAsia="仿宋" w:cs="仿宋"/>
                <w:color w:val="000000"/>
                <w:sz w:val="24"/>
                <w:szCs w:val="24"/>
                <w:lang w:val="en-US" w:eastAsia="zh-CN"/>
              </w:rPr>
            </w:pPr>
          </w:p>
          <w:p w14:paraId="57A64A0E">
            <w:pPr>
              <w:pStyle w:val="295"/>
              <w:keepNext w:val="0"/>
              <w:keepLines w:val="0"/>
              <w:pageBreakBefore w:val="0"/>
              <w:widowControl w:val="0"/>
              <w:tabs>
                <w:tab w:val="left" w:pos="401"/>
              </w:tabs>
              <w:kinsoku/>
              <w:wordWrap/>
              <w:overflowPunct/>
              <w:topLinePunct w:val="0"/>
              <w:autoSpaceDE/>
              <w:autoSpaceDN/>
              <w:bidi w:val="0"/>
              <w:spacing w:before="70" w:line="320" w:lineRule="exact"/>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实训</w:t>
            </w:r>
            <w:r>
              <w:rPr>
                <w:rFonts w:hint="eastAsia" w:ascii="仿宋" w:hAnsi="仿宋" w:eastAsia="仿宋" w:cs="仿宋"/>
                <w:color w:val="000000"/>
                <w:sz w:val="24"/>
                <w:szCs w:val="24"/>
                <w:lang w:val="en-US" w:eastAsia="zh-CN"/>
              </w:rPr>
              <w:t>五</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lang w:val="en-US" w:eastAsia="zh-CN"/>
              </w:rPr>
              <w:t>调内和弦连接的听辨、听写训练。</w:t>
            </w:r>
          </w:p>
          <w:p w14:paraId="6B335D5E">
            <w:pPr>
              <w:pStyle w:val="295"/>
              <w:keepNext w:val="0"/>
              <w:keepLines w:val="0"/>
              <w:pageBreakBefore w:val="0"/>
              <w:widowControl w:val="0"/>
              <w:tabs>
                <w:tab w:val="left" w:pos="401"/>
              </w:tabs>
              <w:kinsoku/>
              <w:wordWrap/>
              <w:overflowPunct/>
              <w:topLinePunct w:val="0"/>
              <w:autoSpaceDE/>
              <w:autoSpaceDN/>
              <w:bidi w:val="0"/>
              <w:spacing w:before="70" w:line="320" w:lineRule="exact"/>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目的：</w:t>
            </w:r>
            <w:r>
              <w:rPr>
                <w:rFonts w:hint="eastAsia" w:ascii="仿宋" w:hAnsi="仿宋" w:eastAsia="仿宋" w:cs="仿宋"/>
                <w:color w:val="000000"/>
                <w:sz w:val="24"/>
                <w:szCs w:val="24"/>
                <w:lang w:val="en-US" w:eastAsia="zh-CN"/>
              </w:rPr>
              <w:t>辨认调内和弦连接的结构特征，并且能够掌握其听辨、听写的能力。</w:t>
            </w:r>
          </w:p>
          <w:p w14:paraId="6C380CAE">
            <w:pPr>
              <w:pStyle w:val="295"/>
              <w:keepNext w:val="0"/>
              <w:keepLines w:val="0"/>
              <w:pageBreakBefore w:val="0"/>
              <w:widowControl w:val="0"/>
              <w:tabs>
                <w:tab w:val="left" w:pos="401"/>
              </w:tabs>
              <w:kinsoku/>
              <w:wordWrap/>
              <w:overflowPunct/>
              <w:topLinePunct w:val="0"/>
              <w:autoSpaceDE/>
              <w:autoSpaceDN/>
              <w:bidi w:val="0"/>
              <w:spacing w:before="70" w:line="320" w:lineRule="exact"/>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eastAsia="zh-CN"/>
              </w:rPr>
              <w:t>任务：</w:t>
            </w:r>
            <w:r>
              <w:rPr>
                <w:rFonts w:hint="eastAsia" w:ascii="仿宋" w:hAnsi="仿宋" w:eastAsia="仿宋" w:cs="仿宋"/>
                <w:color w:val="000000"/>
                <w:sz w:val="24"/>
                <w:szCs w:val="24"/>
                <w:lang w:val="en-US" w:eastAsia="zh-CN"/>
              </w:rPr>
              <w:t>1、知晓调内和弦连接听辨、听写的训练对后续课程学习的重要性。</w:t>
            </w:r>
          </w:p>
          <w:p w14:paraId="489F2D99">
            <w:pPr>
              <w:pStyle w:val="295"/>
              <w:keepNext w:val="0"/>
              <w:keepLines w:val="0"/>
              <w:pageBreakBefore w:val="0"/>
              <w:widowControl w:val="0"/>
              <w:numPr>
                <w:ilvl w:val="0"/>
                <w:numId w:val="22"/>
              </w:numPr>
              <w:tabs>
                <w:tab w:val="left" w:pos="401"/>
              </w:tabs>
              <w:kinsoku/>
              <w:wordWrap/>
              <w:overflowPunct/>
              <w:topLinePunct w:val="0"/>
              <w:autoSpaceDE/>
              <w:autoSpaceDN/>
              <w:bidi w:val="0"/>
              <w:spacing w:before="70" w:line="320" w:lineRule="exact"/>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逐步掌握调内和弦连接听辨、听写的能力。</w:t>
            </w:r>
          </w:p>
          <w:p w14:paraId="6958060A">
            <w:pPr>
              <w:pStyle w:val="295"/>
              <w:keepNext w:val="0"/>
              <w:keepLines w:val="0"/>
              <w:pageBreakBefore w:val="0"/>
              <w:widowControl w:val="0"/>
              <w:numPr>
                <w:ilvl w:val="0"/>
                <w:numId w:val="0"/>
              </w:numPr>
              <w:tabs>
                <w:tab w:val="left" w:pos="401"/>
              </w:tabs>
              <w:kinsoku/>
              <w:wordWrap/>
              <w:overflowPunct/>
              <w:topLinePunct w:val="0"/>
              <w:autoSpaceDE/>
              <w:autoSpaceDN/>
              <w:bidi w:val="0"/>
              <w:spacing w:before="70" w:line="320" w:lineRule="exact"/>
              <w:rPr>
                <w:rFonts w:hint="eastAsia" w:ascii="仿宋" w:hAnsi="仿宋" w:eastAsia="仿宋" w:cs="仿宋"/>
                <w:color w:val="000000"/>
                <w:sz w:val="24"/>
                <w:szCs w:val="24"/>
                <w:lang w:val="en-US" w:eastAsia="zh-CN"/>
              </w:rPr>
            </w:pPr>
          </w:p>
          <w:p w14:paraId="6A03F3F2">
            <w:pPr>
              <w:pStyle w:val="295"/>
              <w:keepNext w:val="0"/>
              <w:keepLines w:val="0"/>
              <w:pageBreakBefore w:val="0"/>
              <w:widowControl w:val="0"/>
              <w:tabs>
                <w:tab w:val="left" w:pos="401"/>
              </w:tabs>
              <w:kinsoku/>
              <w:wordWrap/>
              <w:overflowPunct/>
              <w:topLinePunct w:val="0"/>
              <w:autoSpaceDE/>
              <w:autoSpaceDN/>
              <w:bidi w:val="0"/>
              <w:spacing w:before="70" w:line="320" w:lineRule="exact"/>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实训六：各种类型的节拍、节奏及单声部、二声部的节奏听辨、听写训练。</w:t>
            </w:r>
          </w:p>
          <w:p w14:paraId="3337B57C">
            <w:pPr>
              <w:pStyle w:val="295"/>
              <w:keepNext w:val="0"/>
              <w:keepLines w:val="0"/>
              <w:pageBreakBefore w:val="0"/>
              <w:widowControl w:val="0"/>
              <w:tabs>
                <w:tab w:val="left" w:pos="401"/>
              </w:tabs>
              <w:kinsoku/>
              <w:wordWrap/>
              <w:overflowPunct/>
              <w:topLinePunct w:val="0"/>
              <w:autoSpaceDE/>
              <w:autoSpaceDN/>
              <w:bidi w:val="0"/>
              <w:spacing w:before="70" w:line="320" w:lineRule="exact"/>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目的：</w:t>
            </w:r>
            <w:r>
              <w:rPr>
                <w:rFonts w:hint="eastAsia" w:ascii="仿宋" w:hAnsi="仿宋" w:eastAsia="仿宋" w:cs="仿宋"/>
                <w:color w:val="000000"/>
                <w:sz w:val="24"/>
                <w:szCs w:val="24"/>
                <w:lang w:val="en-US" w:eastAsia="zh-CN"/>
              </w:rPr>
              <w:t>学会各种类型的节拍、节奏及单声部、二声部的节奏的结构特征、应用其节奏形态。</w:t>
            </w:r>
          </w:p>
          <w:p w14:paraId="266A91C1">
            <w:pPr>
              <w:pStyle w:val="295"/>
              <w:keepNext w:val="0"/>
              <w:keepLines w:val="0"/>
              <w:pageBreakBefore w:val="0"/>
              <w:widowControl w:val="0"/>
              <w:tabs>
                <w:tab w:val="left" w:pos="401"/>
              </w:tabs>
              <w:kinsoku/>
              <w:wordWrap/>
              <w:overflowPunct/>
              <w:topLinePunct w:val="0"/>
              <w:autoSpaceDE/>
              <w:autoSpaceDN/>
              <w:bidi w:val="0"/>
              <w:spacing w:before="70" w:line="320" w:lineRule="exact"/>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eastAsia="zh-CN"/>
              </w:rPr>
              <w:t>任务：</w:t>
            </w:r>
            <w:r>
              <w:rPr>
                <w:rFonts w:hint="eastAsia" w:ascii="仿宋" w:hAnsi="仿宋" w:eastAsia="仿宋" w:cs="仿宋"/>
                <w:color w:val="000000"/>
                <w:sz w:val="24"/>
                <w:szCs w:val="24"/>
                <w:lang w:val="en-US" w:eastAsia="zh-CN"/>
              </w:rPr>
              <w:t>1、能够听辨及听写在单声部、二声部中各种类型的节拍、节奏及对后续课程学习的重要性。</w:t>
            </w:r>
          </w:p>
          <w:p w14:paraId="5956FB22">
            <w:pPr>
              <w:pStyle w:val="295"/>
              <w:keepNext w:val="0"/>
              <w:keepLines w:val="0"/>
              <w:pageBreakBefore w:val="0"/>
              <w:widowControl w:val="0"/>
              <w:numPr>
                <w:ilvl w:val="0"/>
                <w:numId w:val="23"/>
              </w:numPr>
              <w:tabs>
                <w:tab w:val="left" w:pos="401"/>
              </w:tabs>
              <w:kinsoku/>
              <w:wordWrap/>
              <w:overflowPunct/>
              <w:topLinePunct w:val="0"/>
              <w:autoSpaceDE/>
              <w:autoSpaceDN/>
              <w:bidi w:val="0"/>
              <w:spacing w:before="70" w:line="320" w:lineRule="exact"/>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基本掌握单声部、二声部中各种类型的节拍、节奏听辨、听写的能力。</w:t>
            </w:r>
          </w:p>
          <w:p w14:paraId="24B8010D">
            <w:pPr>
              <w:pStyle w:val="295"/>
              <w:keepNext w:val="0"/>
              <w:keepLines w:val="0"/>
              <w:pageBreakBefore w:val="0"/>
              <w:widowControl w:val="0"/>
              <w:numPr>
                <w:ilvl w:val="0"/>
                <w:numId w:val="0"/>
              </w:numPr>
              <w:tabs>
                <w:tab w:val="left" w:pos="401"/>
              </w:tabs>
              <w:kinsoku/>
              <w:wordWrap/>
              <w:overflowPunct/>
              <w:topLinePunct w:val="0"/>
              <w:autoSpaceDE/>
              <w:autoSpaceDN/>
              <w:bidi w:val="0"/>
              <w:spacing w:before="70" w:line="320" w:lineRule="exact"/>
              <w:rPr>
                <w:rFonts w:hint="eastAsia" w:ascii="仿宋" w:hAnsi="仿宋" w:eastAsia="仿宋" w:cs="仿宋"/>
                <w:color w:val="000000"/>
                <w:sz w:val="24"/>
                <w:szCs w:val="24"/>
                <w:lang w:eastAsia="zh-TW"/>
              </w:rPr>
            </w:pPr>
          </w:p>
          <w:p w14:paraId="1E25F51D">
            <w:pPr>
              <w:pStyle w:val="295"/>
              <w:keepNext w:val="0"/>
              <w:keepLines w:val="0"/>
              <w:pageBreakBefore w:val="0"/>
              <w:widowControl w:val="0"/>
              <w:numPr>
                <w:ilvl w:val="0"/>
                <w:numId w:val="0"/>
              </w:numPr>
              <w:tabs>
                <w:tab w:val="left" w:pos="401"/>
              </w:tabs>
              <w:kinsoku/>
              <w:wordWrap/>
              <w:overflowPunct/>
              <w:topLinePunct w:val="0"/>
              <w:autoSpaceDE/>
              <w:autoSpaceDN/>
              <w:bidi w:val="0"/>
              <w:spacing w:before="70" w:line="320" w:lineRule="exact"/>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实训</w:t>
            </w:r>
            <w:r>
              <w:rPr>
                <w:rFonts w:hint="eastAsia" w:ascii="仿宋" w:hAnsi="仿宋" w:eastAsia="仿宋" w:cs="仿宋"/>
                <w:color w:val="000000"/>
                <w:sz w:val="24"/>
                <w:szCs w:val="24"/>
                <w:lang w:val="en-US" w:eastAsia="zh-CN"/>
              </w:rPr>
              <w:t>七</w:t>
            </w:r>
            <w:r>
              <w:rPr>
                <w:rFonts w:hint="eastAsia" w:ascii="仿宋" w:hAnsi="仿宋" w:eastAsia="仿宋" w:cs="仿宋"/>
                <w:color w:val="000000"/>
                <w:sz w:val="24"/>
                <w:szCs w:val="24"/>
                <w:lang w:eastAsia="zh-TW"/>
              </w:rPr>
              <w:t>：</w:t>
            </w:r>
            <w:r>
              <w:rPr>
                <w:rFonts w:hint="eastAsia" w:ascii="仿宋" w:hAnsi="仿宋" w:eastAsia="仿宋" w:cs="仿宋"/>
                <w:color w:val="000000"/>
                <w:sz w:val="24"/>
                <w:szCs w:val="24"/>
                <w:lang w:val="en-US" w:eastAsia="zh-CN"/>
              </w:rPr>
              <w:t>四个升降号以内的单声部、二声部的旋律听辨、听写训练。</w:t>
            </w:r>
          </w:p>
          <w:p w14:paraId="0C0147E7">
            <w:pPr>
              <w:pStyle w:val="295"/>
              <w:keepNext w:val="0"/>
              <w:keepLines w:val="0"/>
              <w:pageBreakBefore w:val="0"/>
              <w:widowControl w:val="0"/>
              <w:tabs>
                <w:tab w:val="left" w:pos="401"/>
              </w:tabs>
              <w:kinsoku/>
              <w:wordWrap/>
              <w:overflowPunct/>
              <w:topLinePunct w:val="0"/>
              <w:autoSpaceDE/>
              <w:autoSpaceDN/>
              <w:bidi w:val="0"/>
              <w:spacing w:before="70" w:line="320" w:lineRule="exact"/>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目的：知晓</w:t>
            </w:r>
            <w:r>
              <w:rPr>
                <w:rFonts w:hint="eastAsia" w:ascii="仿宋" w:hAnsi="仿宋" w:eastAsia="仿宋" w:cs="仿宋"/>
                <w:color w:val="000000"/>
                <w:sz w:val="24"/>
                <w:szCs w:val="24"/>
                <w:lang w:val="en-US" w:eastAsia="zh-CN"/>
              </w:rPr>
              <w:t>四个升降号以内的单声部、二声部的旋律的结构特征，并且能够掌握其听辨、听写的能力。</w:t>
            </w:r>
          </w:p>
          <w:p w14:paraId="10C82D7A">
            <w:pPr>
              <w:pStyle w:val="295"/>
              <w:keepNext w:val="0"/>
              <w:keepLines w:val="0"/>
              <w:pageBreakBefore w:val="0"/>
              <w:widowControl w:val="0"/>
              <w:tabs>
                <w:tab w:val="left" w:pos="401"/>
              </w:tabs>
              <w:kinsoku/>
              <w:wordWrap/>
              <w:overflowPunct/>
              <w:topLinePunct w:val="0"/>
              <w:autoSpaceDE/>
              <w:autoSpaceDN/>
              <w:bidi w:val="0"/>
              <w:spacing w:before="70" w:line="320" w:lineRule="exact"/>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eastAsia="zh-CN"/>
              </w:rPr>
              <w:t>任务：</w:t>
            </w:r>
            <w:r>
              <w:rPr>
                <w:rFonts w:hint="eastAsia" w:ascii="仿宋" w:hAnsi="仿宋" w:eastAsia="仿宋" w:cs="仿宋"/>
                <w:color w:val="000000"/>
                <w:sz w:val="24"/>
                <w:szCs w:val="24"/>
                <w:lang w:val="en-US" w:eastAsia="zh-CN"/>
              </w:rPr>
              <w:t>1、知晓四个升降号以内的单声部、二声部的旋律听辨、听写对后续课程学习的重要性。</w:t>
            </w:r>
          </w:p>
          <w:p w14:paraId="6A2C8B4B">
            <w:pPr>
              <w:pStyle w:val="295"/>
              <w:keepNext w:val="0"/>
              <w:keepLines w:val="0"/>
              <w:pageBreakBefore w:val="0"/>
              <w:widowControl w:val="0"/>
              <w:numPr>
                <w:ilvl w:val="0"/>
                <w:numId w:val="24"/>
              </w:numPr>
              <w:tabs>
                <w:tab w:val="left" w:pos="401"/>
              </w:tabs>
              <w:kinsoku/>
              <w:wordWrap/>
              <w:overflowPunct/>
              <w:topLinePunct w:val="0"/>
              <w:autoSpaceDE/>
              <w:autoSpaceDN/>
              <w:bidi w:val="0"/>
              <w:spacing w:before="70" w:line="320" w:lineRule="exact"/>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基本掌握四个升降号以内的单声部、二声部的旋律听辨、听写的能力。</w:t>
            </w:r>
          </w:p>
          <w:p w14:paraId="745A9B73">
            <w:pPr>
              <w:pStyle w:val="295"/>
              <w:keepNext w:val="0"/>
              <w:keepLines w:val="0"/>
              <w:pageBreakBefore w:val="0"/>
              <w:widowControl w:val="0"/>
              <w:numPr>
                <w:ilvl w:val="0"/>
                <w:numId w:val="0"/>
              </w:numPr>
              <w:tabs>
                <w:tab w:val="left" w:pos="401"/>
              </w:tabs>
              <w:kinsoku/>
              <w:wordWrap/>
              <w:overflowPunct/>
              <w:topLinePunct w:val="0"/>
              <w:autoSpaceDE/>
              <w:autoSpaceDN/>
              <w:bidi w:val="0"/>
              <w:spacing w:before="70" w:line="320" w:lineRule="exact"/>
              <w:rPr>
                <w:rFonts w:hint="eastAsia" w:ascii="仿宋" w:hAnsi="仿宋" w:eastAsia="仿宋" w:cs="仿宋"/>
                <w:color w:val="000000"/>
                <w:sz w:val="24"/>
                <w:szCs w:val="24"/>
                <w:lang w:val="en-US" w:eastAsia="zh-TW"/>
              </w:rPr>
            </w:pPr>
          </w:p>
          <w:p w14:paraId="59971DF7">
            <w:pPr>
              <w:pStyle w:val="295"/>
              <w:keepNext w:val="0"/>
              <w:keepLines w:val="0"/>
              <w:pageBreakBefore w:val="0"/>
              <w:widowControl w:val="0"/>
              <w:tabs>
                <w:tab w:val="left" w:pos="401"/>
              </w:tabs>
              <w:kinsoku/>
              <w:wordWrap/>
              <w:overflowPunct/>
              <w:topLinePunct w:val="0"/>
              <w:autoSpaceDE/>
              <w:autoSpaceDN/>
              <w:bidi w:val="0"/>
              <w:spacing w:before="70" w:line="320" w:lineRule="exact"/>
              <w:rPr>
                <w:rFonts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实训八：四个升降号以内的视唱、弹唱、背唱训练。</w:t>
            </w:r>
          </w:p>
          <w:p w14:paraId="00ADB49C">
            <w:pPr>
              <w:pStyle w:val="295"/>
              <w:keepNext w:val="0"/>
              <w:keepLines w:val="0"/>
              <w:pageBreakBefore w:val="0"/>
              <w:widowControl w:val="0"/>
              <w:tabs>
                <w:tab w:val="left" w:pos="401"/>
              </w:tabs>
              <w:kinsoku/>
              <w:wordWrap/>
              <w:overflowPunct/>
              <w:topLinePunct w:val="0"/>
              <w:autoSpaceDE/>
              <w:autoSpaceDN/>
              <w:bidi w:val="0"/>
              <w:spacing w:before="70" w:line="320" w:lineRule="exact"/>
              <w:rPr>
                <w:rFonts w:ascii="仿宋" w:hAnsi="仿宋" w:eastAsia="仿宋" w:cs="仿宋"/>
                <w:color w:val="000000"/>
                <w:sz w:val="24"/>
                <w:szCs w:val="24"/>
                <w:lang w:val="en-US" w:eastAsia="zh-CN"/>
              </w:rPr>
            </w:pPr>
            <w:r>
              <w:rPr>
                <w:rFonts w:hint="eastAsia" w:ascii="仿宋" w:hAnsi="仿宋" w:eastAsia="仿宋" w:cs="仿宋"/>
                <w:color w:val="000000"/>
                <w:sz w:val="24"/>
                <w:szCs w:val="24"/>
                <w:lang w:eastAsia="zh-CN"/>
              </w:rPr>
              <w:t>目的：</w:t>
            </w:r>
            <w:r>
              <w:rPr>
                <w:rFonts w:hint="eastAsia" w:ascii="仿宋" w:hAnsi="仿宋" w:eastAsia="仿宋" w:cs="仿宋"/>
                <w:color w:val="000000"/>
                <w:sz w:val="24"/>
                <w:szCs w:val="24"/>
                <w:lang w:val="en-US" w:eastAsia="zh-CN"/>
              </w:rPr>
              <w:t>练习四个升降号以内的视唱、弹唱、背唱。</w:t>
            </w:r>
          </w:p>
          <w:p w14:paraId="4014964B">
            <w:pPr>
              <w:pStyle w:val="295"/>
              <w:keepNext w:val="0"/>
              <w:keepLines w:val="0"/>
              <w:pageBreakBefore w:val="0"/>
              <w:widowControl w:val="0"/>
              <w:tabs>
                <w:tab w:val="left" w:pos="401"/>
              </w:tabs>
              <w:kinsoku/>
              <w:wordWrap/>
              <w:overflowPunct/>
              <w:topLinePunct w:val="0"/>
              <w:autoSpaceDE/>
              <w:autoSpaceDN/>
              <w:bidi w:val="0"/>
              <w:spacing w:before="70" w:line="320" w:lineRule="exact"/>
              <w:rPr>
                <w:rFonts w:ascii="仿宋" w:hAnsi="仿宋" w:eastAsia="仿宋" w:cs="仿宋"/>
                <w:color w:val="000000"/>
                <w:sz w:val="24"/>
                <w:szCs w:val="24"/>
                <w:lang w:val="en-US" w:eastAsia="zh-CN"/>
              </w:rPr>
            </w:pPr>
            <w:r>
              <w:rPr>
                <w:rFonts w:hint="eastAsia" w:ascii="仿宋" w:hAnsi="仿宋" w:eastAsia="仿宋" w:cs="仿宋"/>
                <w:color w:val="000000"/>
                <w:sz w:val="24"/>
                <w:szCs w:val="24"/>
                <w:lang w:eastAsia="zh-CN"/>
              </w:rPr>
              <w:t>任务：</w:t>
            </w:r>
            <w:r>
              <w:rPr>
                <w:rFonts w:hint="eastAsia" w:ascii="仿宋" w:hAnsi="仿宋" w:eastAsia="仿宋" w:cs="仿宋"/>
                <w:color w:val="000000"/>
                <w:sz w:val="24"/>
                <w:szCs w:val="24"/>
                <w:lang w:val="en-US" w:eastAsia="zh-CN"/>
              </w:rPr>
              <w:t>1、视唱、弹唱、背唱四个升降号以内的节奏节拍、音准、旋律及曲调。</w:t>
            </w:r>
          </w:p>
          <w:p w14:paraId="5E87CB19">
            <w:pPr>
              <w:pStyle w:val="295"/>
              <w:keepNext w:val="0"/>
              <w:keepLines w:val="0"/>
              <w:pageBreakBefore w:val="0"/>
              <w:widowControl w:val="0"/>
              <w:tabs>
                <w:tab w:val="left" w:pos="401"/>
              </w:tabs>
              <w:kinsoku/>
              <w:wordWrap/>
              <w:overflowPunct/>
              <w:topLinePunct w:val="0"/>
              <w:autoSpaceDE/>
              <w:autoSpaceDN/>
              <w:bidi w:val="0"/>
              <w:spacing w:before="70" w:line="320" w:lineRule="exact"/>
              <w:rPr>
                <w:rFonts w:ascii="仿宋" w:hAnsi="仿宋" w:eastAsia="仿宋" w:cs="仿宋"/>
                <w:color w:val="000000"/>
                <w:sz w:val="24"/>
                <w:szCs w:val="24"/>
                <w:lang w:eastAsia="zh-CN"/>
              </w:rPr>
            </w:pPr>
            <w:r>
              <w:rPr>
                <w:rFonts w:hint="eastAsia" w:ascii="仿宋" w:hAnsi="仿宋" w:eastAsia="仿宋" w:cs="仿宋"/>
                <w:color w:val="000000"/>
                <w:sz w:val="24"/>
                <w:szCs w:val="24"/>
                <w:lang w:val="en-US" w:eastAsia="zh-CN"/>
              </w:rPr>
              <w:t>视唱、弹唱、背唱各种民族调式的节奏节拍、音准、旋律及曲调</w:t>
            </w:r>
            <w:r>
              <w:rPr>
                <w:rFonts w:hint="eastAsia" w:ascii="仿宋" w:hAnsi="仿宋" w:eastAsia="仿宋" w:cs="仿宋"/>
                <w:color w:val="000000"/>
                <w:sz w:val="24"/>
                <w:szCs w:val="24"/>
                <w:lang w:eastAsia="zh-CN"/>
              </w:rPr>
              <w:t>。</w:t>
            </w:r>
          </w:p>
          <w:p w14:paraId="795FEA8A">
            <w:pPr>
              <w:pStyle w:val="295"/>
              <w:keepNext w:val="0"/>
              <w:keepLines w:val="0"/>
              <w:pageBreakBefore w:val="0"/>
              <w:widowControl w:val="0"/>
              <w:tabs>
                <w:tab w:val="left" w:pos="401"/>
              </w:tabs>
              <w:kinsoku/>
              <w:wordWrap/>
              <w:overflowPunct/>
              <w:topLinePunct w:val="0"/>
              <w:autoSpaceDE/>
              <w:autoSpaceDN/>
              <w:bidi w:val="0"/>
              <w:spacing w:before="70" w:line="320" w:lineRule="exact"/>
              <w:rPr>
                <w:rFonts w:hint="eastAsia" w:ascii="仿宋" w:hAnsi="仿宋" w:eastAsia="仿宋" w:cs="仿宋"/>
                <w:color w:val="000000"/>
                <w:sz w:val="24"/>
                <w:szCs w:val="24"/>
                <w:lang w:val="en-US" w:eastAsia="en-US"/>
              </w:rPr>
            </w:pPr>
          </w:p>
          <w:p w14:paraId="2EFA21C7">
            <w:pPr>
              <w:pStyle w:val="295"/>
              <w:keepNext w:val="0"/>
              <w:keepLines w:val="0"/>
              <w:pageBreakBefore w:val="0"/>
              <w:widowControl w:val="0"/>
              <w:tabs>
                <w:tab w:val="left" w:pos="401"/>
              </w:tabs>
              <w:kinsoku/>
              <w:wordWrap/>
              <w:overflowPunct/>
              <w:topLinePunct w:val="0"/>
              <w:autoSpaceDE/>
              <w:autoSpaceDN/>
              <w:bidi w:val="0"/>
              <w:spacing w:before="70" w:line="320" w:lineRule="exact"/>
              <w:rPr>
                <w:rFonts w:ascii="仿宋" w:hAnsi="仿宋" w:eastAsia="仿宋" w:cs="仿宋"/>
                <w:color w:val="000000"/>
                <w:sz w:val="24"/>
                <w:szCs w:val="24"/>
                <w:lang w:eastAsia="en-US"/>
              </w:rPr>
            </w:pPr>
            <w:r>
              <w:rPr>
                <w:rFonts w:hint="eastAsia" w:ascii="仿宋" w:hAnsi="仿宋" w:eastAsia="仿宋" w:cs="仿宋"/>
                <w:color w:val="000000"/>
                <w:sz w:val="24"/>
                <w:szCs w:val="24"/>
                <w:lang w:val="en-US" w:eastAsia="en-US"/>
              </w:rPr>
              <w:t>思政融入</w:t>
            </w:r>
            <w:r>
              <w:rPr>
                <w:rFonts w:hint="eastAsia" w:ascii="仿宋" w:hAnsi="仿宋" w:eastAsia="仿宋" w:cs="仿宋"/>
                <w:color w:val="000000"/>
                <w:sz w:val="24"/>
                <w:szCs w:val="24"/>
                <w:lang w:eastAsia="en-US"/>
              </w:rPr>
              <w:t>：</w:t>
            </w:r>
            <w:r>
              <w:rPr>
                <w:rFonts w:hint="eastAsia" w:ascii="仿宋" w:hAnsi="仿宋" w:eastAsia="仿宋" w:cs="仿宋"/>
                <w:color w:val="000000"/>
                <w:sz w:val="24"/>
                <w:szCs w:val="24"/>
                <w:lang w:val="en-US" w:eastAsia="en-US"/>
              </w:rPr>
              <w:t>通过背唱红色歌曲</w:t>
            </w:r>
            <w:r>
              <w:rPr>
                <w:rFonts w:hint="eastAsia" w:ascii="仿宋" w:hAnsi="仿宋" w:eastAsia="仿宋" w:cs="仿宋"/>
                <w:color w:val="000000"/>
                <w:sz w:val="24"/>
                <w:szCs w:val="24"/>
                <w:lang w:eastAsia="en-US"/>
              </w:rPr>
              <w:t>，</w:t>
            </w:r>
            <w:r>
              <w:rPr>
                <w:rFonts w:hint="eastAsia" w:ascii="仿宋" w:hAnsi="仿宋" w:eastAsia="仿宋" w:cs="仿宋"/>
                <w:color w:val="000000"/>
                <w:sz w:val="24"/>
                <w:szCs w:val="24"/>
                <w:lang w:val="en-US" w:eastAsia="en-US"/>
              </w:rPr>
              <w:t>引导</w:t>
            </w:r>
            <w:r>
              <w:rPr>
                <w:rFonts w:hint="eastAsia" w:ascii="仿宋" w:hAnsi="仿宋" w:eastAsia="仿宋" w:cs="仿宋"/>
                <w:color w:val="000000"/>
                <w:sz w:val="24"/>
                <w:szCs w:val="24"/>
                <w:lang w:eastAsia="en-US"/>
              </w:rPr>
              <w:t>学生更好地理解中国革命历史，激发爱国情感和社会责任感。</w:t>
            </w:r>
          </w:p>
          <w:p w14:paraId="48A3BDC7">
            <w:pPr>
              <w:pStyle w:val="295"/>
              <w:keepNext w:val="0"/>
              <w:keepLines w:val="0"/>
              <w:pageBreakBefore w:val="0"/>
              <w:widowControl w:val="0"/>
              <w:tabs>
                <w:tab w:val="left" w:pos="401"/>
              </w:tabs>
              <w:kinsoku/>
              <w:wordWrap/>
              <w:overflowPunct/>
              <w:topLinePunct w:val="0"/>
              <w:autoSpaceDE/>
              <w:autoSpaceDN/>
              <w:bidi w:val="0"/>
              <w:spacing w:before="70" w:line="320" w:lineRule="exact"/>
              <w:rPr>
                <w:rFonts w:hint="eastAsia" w:ascii="仿宋" w:hAnsi="仿宋" w:eastAsia="仿宋" w:cs="仿宋"/>
                <w:color w:val="000000"/>
                <w:sz w:val="24"/>
                <w:szCs w:val="24"/>
                <w:lang w:val="en-US" w:eastAsia="en-US"/>
              </w:rPr>
            </w:pPr>
          </w:p>
        </w:tc>
        <w:tc>
          <w:tcPr>
            <w:tcW w:w="927" w:type="dxa"/>
            <w:gridSpan w:val="3"/>
            <w:vAlign w:val="center"/>
          </w:tcPr>
          <w:p w14:paraId="754B8D46">
            <w:pPr>
              <w:pStyle w:val="295"/>
              <w:tabs>
                <w:tab w:val="left" w:pos="401"/>
              </w:tabs>
              <w:spacing w:before="70"/>
              <w:rPr>
                <w:rFonts w:hint="eastAsia" w:ascii="仿宋" w:hAnsi="仿宋" w:eastAsia="仿宋" w:cs="仿宋"/>
                <w:color w:val="000000"/>
                <w:sz w:val="24"/>
                <w:szCs w:val="24"/>
                <w:lang w:eastAsia="zh-TW"/>
              </w:rPr>
            </w:pPr>
          </w:p>
          <w:p w14:paraId="17037144">
            <w:pPr>
              <w:pStyle w:val="295"/>
              <w:tabs>
                <w:tab w:val="left" w:pos="401"/>
              </w:tabs>
              <w:spacing w:before="70"/>
              <w:rPr>
                <w:rFonts w:hint="eastAsia" w:ascii="仿宋" w:hAnsi="仿宋" w:eastAsia="仿宋" w:cs="仿宋"/>
                <w:color w:val="000000"/>
                <w:sz w:val="24"/>
                <w:szCs w:val="24"/>
                <w:lang w:eastAsia="zh-TW"/>
              </w:rPr>
            </w:pPr>
          </w:p>
          <w:p w14:paraId="31D85E45">
            <w:pPr>
              <w:pStyle w:val="295"/>
              <w:tabs>
                <w:tab w:val="left" w:pos="401"/>
              </w:tabs>
              <w:spacing w:before="70"/>
              <w:rPr>
                <w:rFonts w:hint="eastAsia" w:ascii="仿宋" w:hAnsi="仿宋" w:eastAsia="仿宋" w:cs="仿宋"/>
                <w:color w:val="000000"/>
                <w:sz w:val="24"/>
                <w:szCs w:val="24"/>
                <w:lang w:eastAsia="zh-TW"/>
              </w:rPr>
            </w:pPr>
          </w:p>
          <w:p w14:paraId="53930649">
            <w:pPr>
              <w:pStyle w:val="295"/>
              <w:tabs>
                <w:tab w:val="left" w:pos="401"/>
              </w:tabs>
              <w:spacing w:before="70"/>
              <w:rPr>
                <w:rFonts w:hint="eastAsia" w:ascii="仿宋" w:hAnsi="仿宋" w:eastAsia="仿宋" w:cs="仿宋"/>
                <w:color w:val="000000"/>
                <w:sz w:val="24"/>
                <w:szCs w:val="24"/>
                <w:lang w:eastAsia="zh-TW"/>
              </w:rPr>
            </w:pPr>
          </w:p>
          <w:p w14:paraId="726A2178">
            <w:pPr>
              <w:pStyle w:val="295"/>
              <w:tabs>
                <w:tab w:val="left" w:pos="401"/>
              </w:tabs>
              <w:spacing w:before="70"/>
              <w:rPr>
                <w:rFonts w:hint="eastAsia" w:ascii="仿宋" w:hAnsi="仿宋" w:eastAsia="仿宋" w:cs="仿宋"/>
                <w:color w:val="000000"/>
                <w:sz w:val="24"/>
                <w:szCs w:val="24"/>
                <w:lang w:eastAsia="zh-TW"/>
              </w:rPr>
            </w:pPr>
          </w:p>
          <w:p w14:paraId="1C24C54A">
            <w:pPr>
              <w:pStyle w:val="295"/>
              <w:tabs>
                <w:tab w:val="left" w:pos="401"/>
              </w:tabs>
              <w:spacing w:before="70"/>
              <w:rPr>
                <w:rFonts w:hint="eastAsia" w:ascii="仿宋" w:hAnsi="仿宋" w:eastAsia="仿宋" w:cs="仿宋"/>
                <w:color w:val="000000"/>
                <w:sz w:val="24"/>
                <w:szCs w:val="24"/>
                <w:lang w:eastAsia="zh-TW"/>
              </w:rPr>
            </w:pPr>
          </w:p>
          <w:p w14:paraId="3EFCF85B">
            <w:pPr>
              <w:pStyle w:val="295"/>
              <w:tabs>
                <w:tab w:val="left" w:pos="401"/>
              </w:tabs>
              <w:spacing w:before="70"/>
              <w:rPr>
                <w:rFonts w:hint="eastAsia" w:ascii="仿宋" w:hAnsi="仿宋" w:eastAsia="仿宋" w:cs="仿宋"/>
                <w:color w:val="000000"/>
                <w:sz w:val="24"/>
                <w:szCs w:val="24"/>
                <w:lang w:eastAsia="zh-TW"/>
              </w:rPr>
            </w:pPr>
          </w:p>
          <w:p w14:paraId="58CA9433">
            <w:pPr>
              <w:pStyle w:val="295"/>
              <w:tabs>
                <w:tab w:val="left" w:pos="401"/>
              </w:tabs>
              <w:spacing w:before="70"/>
              <w:rPr>
                <w:rFonts w:hint="eastAsia" w:ascii="仿宋" w:hAnsi="仿宋" w:eastAsia="仿宋" w:cs="仿宋"/>
                <w:color w:val="000000"/>
                <w:sz w:val="24"/>
                <w:szCs w:val="24"/>
                <w:lang w:eastAsia="zh-TW"/>
              </w:rPr>
            </w:pPr>
          </w:p>
          <w:p w14:paraId="7A82B0B2">
            <w:pPr>
              <w:pStyle w:val="295"/>
              <w:tabs>
                <w:tab w:val="left" w:pos="401"/>
              </w:tabs>
              <w:spacing w:before="70"/>
              <w:rPr>
                <w:rFonts w:hint="eastAsia" w:ascii="仿宋" w:hAnsi="仿宋" w:eastAsia="仿宋" w:cs="仿宋"/>
                <w:color w:val="000000"/>
                <w:sz w:val="24"/>
                <w:szCs w:val="24"/>
                <w:lang w:eastAsia="zh-TW"/>
              </w:rPr>
            </w:pPr>
          </w:p>
          <w:p w14:paraId="055836D0">
            <w:pPr>
              <w:pStyle w:val="295"/>
              <w:tabs>
                <w:tab w:val="left" w:pos="401"/>
              </w:tabs>
              <w:spacing w:before="70"/>
              <w:rPr>
                <w:rFonts w:hint="eastAsia" w:ascii="仿宋" w:hAnsi="仿宋" w:eastAsia="仿宋" w:cs="仿宋"/>
                <w:color w:val="000000"/>
                <w:sz w:val="24"/>
                <w:szCs w:val="24"/>
                <w:lang w:eastAsia="zh-TW"/>
              </w:rPr>
            </w:pPr>
          </w:p>
          <w:p w14:paraId="73B59762">
            <w:pPr>
              <w:pStyle w:val="295"/>
              <w:tabs>
                <w:tab w:val="left" w:pos="401"/>
              </w:tabs>
              <w:spacing w:before="70"/>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支撑课程目标</w:t>
            </w:r>
            <w:r>
              <w:rPr>
                <w:rFonts w:hint="eastAsia" w:ascii="仿宋" w:hAnsi="仿宋" w:eastAsia="仿宋" w:cs="仿宋"/>
                <w:color w:val="000000"/>
                <w:sz w:val="24"/>
                <w:szCs w:val="24"/>
                <w:lang w:val="en-US" w:eastAsia="zh-CN"/>
              </w:rPr>
              <w:t>1、2、</w:t>
            </w:r>
            <w:r>
              <w:rPr>
                <w:rFonts w:hint="eastAsia" w:ascii="仿宋" w:hAnsi="仿宋" w:eastAsia="仿宋" w:cs="仿宋"/>
                <w:color w:val="000000"/>
                <w:sz w:val="24"/>
                <w:szCs w:val="24"/>
                <w:lang w:eastAsia="zh-TW"/>
              </w:rPr>
              <w:t>3</w:t>
            </w:r>
          </w:p>
        </w:tc>
        <w:tc>
          <w:tcPr>
            <w:tcW w:w="717" w:type="dxa"/>
            <w:gridSpan w:val="2"/>
            <w:shd w:val="clear" w:color="auto" w:fill="FFFFFF"/>
            <w:vAlign w:val="center"/>
          </w:tcPr>
          <w:p w14:paraId="3C48542B">
            <w:pPr>
              <w:pStyle w:val="295"/>
              <w:tabs>
                <w:tab w:val="left" w:pos="401"/>
              </w:tabs>
              <w:spacing w:before="70"/>
              <w:rPr>
                <w:rFonts w:hint="eastAsia" w:ascii="仿宋" w:hAnsi="仿宋" w:eastAsia="仿宋" w:cs="仿宋"/>
                <w:color w:val="000000"/>
                <w:sz w:val="24"/>
                <w:szCs w:val="24"/>
                <w:lang w:eastAsia="zh-TW"/>
              </w:rPr>
            </w:pPr>
          </w:p>
          <w:p w14:paraId="3BCACA20">
            <w:pPr>
              <w:pStyle w:val="295"/>
              <w:tabs>
                <w:tab w:val="left" w:pos="401"/>
              </w:tabs>
              <w:spacing w:before="70"/>
              <w:rPr>
                <w:rFonts w:hint="eastAsia" w:ascii="仿宋" w:hAnsi="仿宋" w:eastAsia="仿宋" w:cs="仿宋"/>
                <w:color w:val="000000"/>
                <w:sz w:val="24"/>
                <w:szCs w:val="24"/>
                <w:lang w:eastAsia="zh-TW"/>
              </w:rPr>
            </w:pPr>
          </w:p>
          <w:p w14:paraId="78262728">
            <w:pPr>
              <w:pStyle w:val="295"/>
              <w:tabs>
                <w:tab w:val="left" w:pos="401"/>
              </w:tabs>
              <w:spacing w:before="70"/>
              <w:rPr>
                <w:rFonts w:hint="eastAsia" w:ascii="仿宋" w:hAnsi="仿宋" w:eastAsia="仿宋" w:cs="仿宋"/>
                <w:color w:val="000000"/>
                <w:sz w:val="24"/>
                <w:szCs w:val="24"/>
                <w:lang w:eastAsia="zh-TW"/>
              </w:rPr>
            </w:pPr>
          </w:p>
          <w:p w14:paraId="1A5CDF9A">
            <w:pPr>
              <w:pStyle w:val="295"/>
              <w:tabs>
                <w:tab w:val="left" w:pos="401"/>
              </w:tabs>
              <w:spacing w:before="70"/>
              <w:rPr>
                <w:rFonts w:hint="eastAsia" w:ascii="仿宋" w:hAnsi="仿宋" w:eastAsia="仿宋" w:cs="仿宋"/>
                <w:color w:val="000000"/>
                <w:sz w:val="24"/>
                <w:szCs w:val="24"/>
                <w:lang w:eastAsia="zh-TW"/>
              </w:rPr>
            </w:pPr>
          </w:p>
          <w:p w14:paraId="2594E615">
            <w:pPr>
              <w:pStyle w:val="295"/>
              <w:tabs>
                <w:tab w:val="left" w:pos="401"/>
              </w:tabs>
              <w:spacing w:before="70"/>
              <w:rPr>
                <w:rFonts w:hint="eastAsia" w:ascii="仿宋" w:hAnsi="仿宋" w:eastAsia="仿宋" w:cs="仿宋"/>
                <w:color w:val="000000"/>
                <w:sz w:val="24"/>
                <w:szCs w:val="24"/>
                <w:lang w:eastAsia="zh-TW"/>
              </w:rPr>
            </w:pPr>
          </w:p>
          <w:p w14:paraId="47CE8FF5">
            <w:pPr>
              <w:pStyle w:val="295"/>
              <w:tabs>
                <w:tab w:val="left" w:pos="401"/>
              </w:tabs>
              <w:spacing w:before="70"/>
              <w:rPr>
                <w:rFonts w:hint="eastAsia" w:ascii="仿宋" w:hAnsi="仿宋" w:eastAsia="仿宋" w:cs="仿宋"/>
                <w:color w:val="000000"/>
                <w:sz w:val="24"/>
                <w:szCs w:val="24"/>
                <w:lang w:eastAsia="zh-TW"/>
              </w:rPr>
            </w:pPr>
          </w:p>
          <w:p w14:paraId="7ACFF351">
            <w:pPr>
              <w:pStyle w:val="295"/>
              <w:tabs>
                <w:tab w:val="left" w:pos="401"/>
              </w:tabs>
              <w:spacing w:before="70"/>
              <w:rPr>
                <w:rFonts w:hint="eastAsia" w:ascii="仿宋" w:hAnsi="仿宋" w:eastAsia="仿宋" w:cs="仿宋"/>
                <w:color w:val="000000"/>
                <w:sz w:val="24"/>
                <w:szCs w:val="24"/>
                <w:lang w:eastAsia="zh-TW"/>
              </w:rPr>
            </w:pPr>
          </w:p>
          <w:p w14:paraId="03383F90">
            <w:pPr>
              <w:pStyle w:val="295"/>
              <w:tabs>
                <w:tab w:val="left" w:pos="401"/>
              </w:tabs>
              <w:spacing w:before="70"/>
              <w:rPr>
                <w:rFonts w:hint="eastAsia" w:ascii="仿宋" w:hAnsi="仿宋" w:eastAsia="仿宋" w:cs="仿宋"/>
                <w:color w:val="000000"/>
                <w:sz w:val="24"/>
                <w:szCs w:val="24"/>
                <w:lang w:eastAsia="zh-TW"/>
              </w:rPr>
            </w:pPr>
          </w:p>
          <w:p w14:paraId="2D770817">
            <w:pPr>
              <w:pStyle w:val="295"/>
              <w:tabs>
                <w:tab w:val="left" w:pos="401"/>
              </w:tabs>
              <w:spacing w:before="70"/>
              <w:rPr>
                <w:rFonts w:hint="eastAsia" w:ascii="仿宋" w:hAnsi="仿宋" w:eastAsia="仿宋" w:cs="仿宋"/>
                <w:color w:val="000000"/>
                <w:sz w:val="24"/>
                <w:szCs w:val="24"/>
                <w:lang w:eastAsia="zh-TW"/>
              </w:rPr>
            </w:pPr>
          </w:p>
          <w:p w14:paraId="4CAE6FB7">
            <w:pPr>
              <w:pStyle w:val="295"/>
              <w:tabs>
                <w:tab w:val="left" w:pos="401"/>
              </w:tabs>
              <w:spacing w:before="70"/>
              <w:rPr>
                <w:rFonts w:hint="eastAsia" w:ascii="仿宋" w:hAnsi="仿宋" w:eastAsia="仿宋" w:cs="仿宋"/>
                <w:color w:val="000000"/>
                <w:sz w:val="24"/>
                <w:szCs w:val="24"/>
                <w:lang w:eastAsia="zh-TW"/>
              </w:rPr>
            </w:pPr>
          </w:p>
          <w:p w14:paraId="6EE74734">
            <w:pPr>
              <w:pStyle w:val="295"/>
              <w:tabs>
                <w:tab w:val="left" w:pos="401"/>
              </w:tabs>
              <w:spacing w:before="70"/>
              <w:rPr>
                <w:rFonts w:hint="eastAsia" w:ascii="仿宋" w:hAnsi="仿宋" w:eastAsia="仿宋" w:cs="仿宋"/>
                <w:color w:val="000000"/>
                <w:sz w:val="24"/>
                <w:szCs w:val="24"/>
                <w:lang w:eastAsia="zh-TW"/>
              </w:rPr>
            </w:pPr>
          </w:p>
          <w:p w14:paraId="358FAF89">
            <w:pPr>
              <w:pStyle w:val="295"/>
              <w:tabs>
                <w:tab w:val="left" w:pos="401"/>
              </w:tabs>
              <w:spacing w:before="70"/>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64</w:t>
            </w:r>
          </w:p>
        </w:tc>
      </w:tr>
      <w:tr w14:paraId="264BEF3C">
        <w:trPr>
          <w:trHeight w:val="90" w:hRule="atLeast"/>
        </w:trPr>
        <w:tc>
          <w:tcPr>
            <w:tcW w:w="1376" w:type="dxa"/>
            <w:vMerge w:val="continue"/>
            <w:shd w:val="clear" w:color="auto" w:fill="FFFFFF"/>
            <w:vAlign w:val="center"/>
          </w:tcPr>
          <w:p w14:paraId="1327E402">
            <w:pPr>
              <w:spacing w:line="240" w:lineRule="atLeast"/>
              <w:jc w:val="center"/>
              <w:rPr>
                <w:rFonts w:hint="eastAsia" w:ascii="仿宋" w:hAnsi="仿宋" w:eastAsia="仿宋" w:cs="仿宋"/>
                <w:sz w:val="24"/>
                <w:szCs w:val="24"/>
              </w:rPr>
            </w:pPr>
          </w:p>
        </w:tc>
        <w:tc>
          <w:tcPr>
            <w:tcW w:w="6128" w:type="dxa"/>
            <w:gridSpan w:val="5"/>
            <w:vAlign w:val="top"/>
          </w:tcPr>
          <w:p w14:paraId="3A486E8D">
            <w:pPr>
              <w:pStyle w:val="295"/>
              <w:tabs>
                <w:tab w:val="left" w:pos="401"/>
              </w:tabs>
              <w:spacing w:before="70"/>
              <w:rPr>
                <w:rFonts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 xml:space="preserve">合计 </w:t>
            </w:r>
          </w:p>
        </w:tc>
        <w:tc>
          <w:tcPr>
            <w:tcW w:w="927" w:type="dxa"/>
            <w:gridSpan w:val="3"/>
            <w:vAlign w:val="center"/>
          </w:tcPr>
          <w:p w14:paraId="709BDA2C">
            <w:pPr>
              <w:pStyle w:val="295"/>
              <w:tabs>
                <w:tab w:val="left" w:pos="401"/>
              </w:tabs>
              <w:spacing w:before="70"/>
              <w:rPr>
                <w:rFonts w:hint="eastAsia" w:ascii="仿宋" w:hAnsi="仿宋" w:eastAsia="仿宋" w:cs="仿宋"/>
                <w:color w:val="000000"/>
                <w:sz w:val="24"/>
                <w:szCs w:val="24"/>
                <w:lang w:eastAsia="zh-TW"/>
              </w:rPr>
            </w:pPr>
          </w:p>
        </w:tc>
        <w:tc>
          <w:tcPr>
            <w:tcW w:w="717" w:type="dxa"/>
            <w:gridSpan w:val="2"/>
            <w:shd w:val="clear" w:color="auto" w:fill="FFFFFF"/>
            <w:vAlign w:val="center"/>
          </w:tcPr>
          <w:p w14:paraId="6C9EDE8E">
            <w:pPr>
              <w:pStyle w:val="295"/>
              <w:tabs>
                <w:tab w:val="left" w:pos="401"/>
              </w:tabs>
              <w:spacing w:before="70"/>
              <w:jc w:val="center"/>
              <w:rPr>
                <w:rFonts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64</w:t>
            </w:r>
          </w:p>
        </w:tc>
      </w:tr>
      <w:tr w14:paraId="4B920B8B">
        <w:trPr>
          <w:trHeight w:val="1064" w:hRule="atLeast"/>
        </w:trPr>
        <w:tc>
          <w:tcPr>
            <w:tcW w:w="1376" w:type="dxa"/>
            <w:vMerge w:val="restart"/>
            <w:shd w:val="clear" w:color="auto" w:fill="FFFFFF"/>
            <w:vAlign w:val="center"/>
          </w:tcPr>
          <w:p w14:paraId="547D416C">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H</w:t>
            </w:r>
          </w:p>
          <w:p w14:paraId="68EA2858">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实践内容（含教育实习、见习、研习，专业实习、毕业论文或毕业设计等）</w:t>
            </w:r>
          </w:p>
        </w:tc>
        <w:tc>
          <w:tcPr>
            <w:tcW w:w="6128" w:type="dxa"/>
            <w:gridSpan w:val="5"/>
            <w:vAlign w:val="center"/>
          </w:tcPr>
          <w:p w14:paraId="2401ABA7">
            <w:pPr>
              <w:jc w:val="center"/>
              <w:rPr>
                <w:rFonts w:hint="eastAsia" w:ascii="仿宋" w:hAnsi="仿宋" w:eastAsia="仿宋" w:cs="仿宋"/>
                <w:sz w:val="24"/>
                <w:szCs w:val="24"/>
              </w:rPr>
            </w:pPr>
            <w:r>
              <w:rPr>
                <w:rFonts w:hint="eastAsia" w:ascii="仿宋" w:hAnsi="仿宋" w:eastAsia="仿宋" w:cs="仿宋"/>
                <w:sz w:val="24"/>
                <w:szCs w:val="24"/>
              </w:rPr>
              <w:t>实践主要内容和要求</w:t>
            </w:r>
          </w:p>
        </w:tc>
        <w:tc>
          <w:tcPr>
            <w:tcW w:w="927" w:type="dxa"/>
            <w:gridSpan w:val="3"/>
            <w:vAlign w:val="center"/>
          </w:tcPr>
          <w:p w14:paraId="694DBCA2">
            <w:pPr>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支撑课程</w:t>
            </w:r>
          </w:p>
          <w:p w14:paraId="3411722B">
            <w:pPr>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717" w:type="dxa"/>
            <w:gridSpan w:val="2"/>
            <w:vAlign w:val="center"/>
          </w:tcPr>
          <w:p w14:paraId="3D3684ED">
            <w:pPr>
              <w:jc w:val="center"/>
              <w:rPr>
                <w:rFonts w:hint="eastAsia" w:ascii="仿宋" w:hAnsi="仿宋" w:eastAsia="仿宋" w:cs="仿宋"/>
                <w:kern w:val="0"/>
                <w:sz w:val="24"/>
                <w:szCs w:val="24"/>
              </w:rPr>
            </w:pPr>
            <w:r>
              <w:rPr>
                <w:rFonts w:hint="eastAsia" w:ascii="仿宋" w:hAnsi="仿宋" w:eastAsia="仿宋" w:cs="仿宋"/>
                <w:kern w:val="0"/>
                <w:sz w:val="24"/>
                <w:szCs w:val="24"/>
              </w:rPr>
              <w:t>时长</w:t>
            </w:r>
          </w:p>
          <w:p w14:paraId="7CC6FCAC">
            <w:pPr>
              <w:jc w:val="center"/>
              <w:rPr>
                <w:rFonts w:hint="eastAsia" w:ascii="仿宋" w:hAnsi="仿宋" w:eastAsia="仿宋" w:cs="仿宋"/>
                <w:sz w:val="24"/>
                <w:szCs w:val="24"/>
              </w:rPr>
            </w:pPr>
            <w:r>
              <w:rPr>
                <w:rFonts w:hint="eastAsia" w:ascii="仿宋" w:hAnsi="仿宋" w:eastAsia="仿宋" w:cs="仿宋"/>
                <w:kern w:val="0"/>
                <w:sz w:val="24"/>
                <w:szCs w:val="24"/>
              </w:rPr>
              <w:t>分配</w:t>
            </w:r>
          </w:p>
        </w:tc>
      </w:tr>
      <w:tr w14:paraId="59037F3C">
        <w:trPr>
          <w:trHeight w:val="90" w:hRule="atLeast"/>
        </w:trPr>
        <w:tc>
          <w:tcPr>
            <w:tcW w:w="1376" w:type="dxa"/>
            <w:vMerge w:val="continue"/>
            <w:shd w:val="clear" w:color="auto" w:fill="FFFFFF"/>
            <w:vAlign w:val="center"/>
          </w:tcPr>
          <w:p w14:paraId="6674610E">
            <w:pPr>
              <w:spacing w:line="240" w:lineRule="atLeast"/>
              <w:jc w:val="center"/>
              <w:rPr>
                <w:rFonts w:hint="eastAsia" w:ascii="仿宋" w:hAnsi="仿宋" w:eastAsia="仿宋" w:cs="仿宋"/>
                <w:sz w:val="24"/>
                <w:szCs w:val="24"/>
              </w:rPr>
            </w:pPr>
          </w:p>
        </w:tc>
        <w:tc>
          <w:tcPr>
            <w:tcW w:w="6128" w:type="dxa"/>
            <w:gridSpan w:val="5"/>
            <w:vAlign w:val="top"/>
          </w:tcPr>
          <w:p w14:paraId="70601384">
            <w:pPr>
              <w:widowControl/>
              <w:tabs>
                <w:tab w:val="left" w:pos="2010"/>
              </w:tabs>
              <w:autoSpaceDE w:val="0"/>
              <w:autoSpaceDN w:val="0"/>
              <w:ind w:firstLine="1440" w:firstLineChars="600"/>
              <w:jc w:val="left"/>
              <w:rPr>
                <w:rFonts w:hint="eastAsia" w:ascii="仿宋" w:hAnsi="仿宋" w:eastAsia="仿宋" w:cs="仿宋"/>
                <w:sz w:val="24"/>
                <w:szCs w:val="24"/>
                <w:lang w:eastAsia="zh-TW"/>
              </w:rPr>
            </w:pPr>
          </w:p>
          <w:p w14:paraId="6F17110C">
            <w:pPr>
              <w:widowControl/>
              <w:tabs>
                <w:tab w:val="left" w:pos="2010"/>
              </w:tabs>
              <w:autoSpaceDE w:val="0"/>
              <w:autoSpaceDN w:val="0"/>
              <w:ind w:firstLine="2880" w:firstLineChars="1200"/>
              <w:jc w:val="left"/>
              <w:rPr>
                <w:rFonts w:ascii="仿宋" w:hAnsi="仿宋" w:eastAsia="仿宋" w:cs="仿宋"/>
                <w:color w:val="FF0000"/>
                <w:sz w:val="24"/>
                <w:szCs w:val="24"/>
              </w:rPr>
            </w:pPr>
            <w:r>
              <w:rPr>
                <w:rFonts w:hint="eastAsia" w:ascii="仿宋" w:hAnsi="仿宋" w:eastAsia="仿宋" w:cs="仿宋"/>
                <w:sz w:val="24"/>
                <w:szCs w:val="24"/>
                <w:lang w:eastAsia="zh-TW"/>
              </w:rPr>
              <w:t>无</w:t>
            </w:r>
          </w:p>
        </w:tc>
        <w:tc>
          <w:tcPr>
            <w:tcW w:w="927" w:type="dxa"/>
            <w:gridSpan w:val="3"/>
            <w:vAlign w:val="top"/>
          </w:tcPr>
          <w:p w14:paraId="28A7CA03">
            <w:pPr>
              <w:jc w:val="center"/>
              <w:rPr>
                <w:rFonts w:hint="eastAsia" w:ascii="仿宋" w:hAnsi="仿宋" w:eastAsia="仿宋" w:cs="仿宋"/>
                <w:sz w:val="24"/>
                <w:szCs w:val="24"/>
                <w:lang w:eastAsia="en-US"/>
              </w:rPr>
            </w:pPr>
          </w:p>
        </w:tc>
        <w:tc>
          <w:tcPr>
            <w:tcW w:w="717" w:type="dxa"/>
            <w:gridSpan w:val="2"/>
            <w:vAlign w:val="top"/>
          </w:tcPr>
          <w:p w14:paraId="7B927F03">
            <w:pPr>
              <w:ind w:firstLine="360" w:firstLineChars="150"/>
              <w:jc w:val="left"/>
              <w:rPr>
                <w:rFonts w:hint="eastAsia" w:ascii="仿宋" w:hAnsi="仿宋" w:eastAsia="仿宋" w:cs="仿宋"/>
                <w:sz w:val="24"/>
                <w:szCs w:val="24"/>
              </w:rPr>
            </w:pPr>
          </w:p>
        </w:tc>
      </w:tr>
      <w:tr w14:paraId="36F4E998">
        <w:trPr>
          <w:trHeight w:val="921" w:hRule="atLeast"/>
        </w:trPr>
        <w:tc>
          <w:tcPr>
            <w:tcW w:w="1376" w:type="dxa"/>
            <w:vAlign w:val="center"/>
          </w:tcPr>
          <w:p w14:paraId="5DA61508">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I</w:t>
            </w:r>
          </w:p>
          <w:p w14:paraId="0F55863B">
            <w:pPr>
              <w:spacing w:line="240" w:lineRule="atLeast"/>
              <w:jc w:val="center"/>
              <w:rPr>
                <w:rFonts w:hint="eastAsia" w:ascii="仿宋" w:hAnsi="仿宋" w:eastAsia="仿宋" w:cs="仿宋"/>
                <w:sz w:val="24"/>
                <w:szCs w:val="24"/>
                <w:lang w:eastAsia="zh-TW"/>
              </w:rPr>
            </w:pPr>
            <w:r>
              <w:rPr>
                <w:rFonts w:hint="eastAsia" w:ascii="仿宋" w:hAnsi="仿宋" w:eastAsia="仿宋" w:cs="仿宋"/>
                <w:sz w:val="24"/>
                <w:szCs w:val="24"/>
              </w:rPr>
              <w:t>教学方法与教学方式</w:t>
            </w:r>
          </w:p>
        </w:tc>
        <w:tc>
          <w:tcPr>
            <w:tcW w:w="7772" w:type="dxa"/>
            <w:gridSpan w:val="10"/>
            <w:tcBorders>
              <w:bottom w:val="single" w:color="auto" w:sz="4" w:space="0"/>
            </w:tcBorders>
            <w:vAlign w:val="center"/>
          </w:tcPr>
          <w:p w14:paraId="4503490E">
            <w:pPr>
              <w:pStyle w:val="295"/>
              <w:keepNext w:val="0"/>
              <w:keepLines w:val="0"/>
              <w:pageBreakBefore w:val="0"/>
              <w:widowControl w:val="0"/>
              <w:tabs>
                <w:tab w:val="left" w:pos="401"/>
              </w:tabs>
              <w:kinsoku/>
              <w:wordWrap/>
              <w:overflowPunct/>
              <w:topLinePunct w:val="0"/>
              <w:autoSpaceDE/>
              <w:autoSpaceDN/>
              <w:bidi w:val="0"/>
              <w:spacing w:before="70" w:line="320" w:lineRule="exact"/>
              <w:rPr>
                <w:rFonts w:hint="eastAsia" w:ascii="仿宋" w:hAnsi="仿宋" w:eastAsia="仿宋" w:cs="仿宋"/>
                <w:color w:val="000000"/>
                <w:sz w:val="24"/>
                <w:szCs w:val="24"/>
                <w:lang w:val="en-US" w:eastAsia="zh-TW"/>
              </w:rPr>
            </w:pPr>
            <w:r>
              <w:rPr>
                <w:rFonts w:hint="eastAsia" w:ascii="仿宋" w:hAnsi="仿宋" w:eastAsia="仿宋" w:cs="仿宋"/>
                <w:color w:val="000000"/>
                <w:sz w:val="24"/>
                <w:szCs w:val="24"/>
                <w:lang w:val="en-US" w:eastAsia="zh-TW"/>
              </w:rPr>
              <w:t>本课程部份采用多媒体教学，并应用CD多媒体课件，来改善本课程的枯燥和沉闷，并提高学生在课堂上听课效果。</w:t>
            </w:r>
          </w:p>
          <w:p w14:paraId="5703E25C">
            <w:pPr>
              <w:pStyle w:val="295"/>
              <w:keepNext w:val="0"/>
              <w:keepLines w:val="0"/>
              <w:pageBreakBefore w:val="0"/>
              <w:widowControl w:val="0"/>
              <w:tabs>
                <w:tab w:val="left" w:pos="401"/>
              </w:tabs>
              <w:kinsoku/>
              <w:wordWrap/>
              <w:overflowPunct/>
              <w:topLinePunct w:val="0"/>
              <w:autoSpaceDE/>
              <w:autoSpaceDN/>
              <w:bidi w:val="0"/>
              <w:spacing w:before="70" w:line="320" w:lineRule="exact"/>
              <w:rPr>
                <w:rFonts w:hint="eastAsia" w:ascii="仿宋" w:hAnsi="仿宋" w:eastAsia="仿宋" w:cs="仿宋"/>
                <w:color w:val="000000"/>
                <w:sz w:val="24"/>
                <w:szCs w:val="24"/>
                <w:lang w:val="en-US" w:eastAsia="en-US"/>
              </w:rPr>
            </w:pPr>
            <w:r>
              <w:rPr>
                <w:rFonts w:hint="eastAsia" w:ascii="仿宋" w:hAnsi="仿宋" w:eastAsia="仿宋" w:cs="仿宋"/>
                <w:color w:val="000000"/>
                <w:sz w:val="24"/>
                <w:szCs w:val="24"/>
                <w:lang w:val="en-US" w:eastAsia="en-US"/>
              </w:rPr>
              <w:t>开通网络课堂，达到与学生及时沟通、交流的目的。同时重视师生互动与课堂小组讨论等活动，将课堂教学变为师生共同活动的过程。</w:t>
            </w:r>
          </w:p>
          <w:p w14:paraId="1A4A89F3">
            <w:pPr>
              <w:pStyle w:val="295"/>
              <w:tabs>
                <w:tab w:val="left" w:pos="401"/>
              </w:tabs>
              <w:spacing w:before="70"/>
              <w:ind w:left="213"/>
              <w:rPr>
                <w:rFonts w:hint="eastAsia" w:ascii="仿宋" w:hAnsi="仿宋" w:eastAsia="仿宋" w:cs="仿宋"/>
                <w:color w:val="000000"/>
                <w:sz w:val="24"/>
                <w:szCs w:val="24"/>
              </w:rPr>
            </w:pPr>
            <w:r>
              <w:rPr>
                <w:rFonts w:hint="eastAsia" w:ascii="仿宋" w:hAnsi="仿宋" w:eastAsia="仿宋" w:cs="仿宋"/>
                <w:color w:val="000000"/>
                <w:sz w:val="24"/>
                <w:szCs w:val="24"/>
              </w:rPr>
              <w:t>主要方式：</w:t>
            </w:r>
          </w:p>
          <w:p w14:paraId="3561F30F">
            <w:pPr>
              <w:pStyle w:val="295"/>
              <w:tabs>
                <w:tab w:val="left" w:pos="401"/>
              </w:tabs>
              <w:spacing w:before="70"/>
              <w:ind w:left="213"/>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讲授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网络学习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讨论或座谈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问题导向学  </w:t>
            </w:r>
          </w:p>
          <w:p w14:paraId="2D6A0658">
            <w:pPr>
              <w:pStyle w:val="295"/>
              <w:tabs>
                <w:tab w:val="left" w:pos="401"/>
              </w:tabs>
              <w:spacing w:before="70"/>
              <w:ind w:left="213"/>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分组合作学习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专题学习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实作学习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发表学习  </w:t>
            </w:r>
          </w:p>
          <w:p w14:paraId="00C85B5F">
            <w:pPr>
              <w:pStyle w:val="295"/>
              <w:tabs>
                <w:tab w:val="left" w:pos="401"/>
              </w:tabs>
              <w:spacing w:before="70"/>
              <w:ind w:left="213"/>
              <w:rPr>
                <w:rFonts w:hint="eastAsia" w:ascii="仿宋" w:hAnsi="仿宋" w:eastAsia="仿宋" w:cs="仿宋"/>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实习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参观访问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其它：        (如口头训练等)</w:t>
            </w:r>
          </w:p>
        </w:tc>
      </w:tr>
      <w:tr w14:paraId="64E5D630">
        <w:trPr>
          <w:trHeight w:val="580" w:hRule="atLeast"/>
        </w:trPr>
        <w:tc>
          <w:tcPr>
            <w:tcW w:w="1376" w:type="dxa"/>
            <w:vAlign w:val="center"/>
          </w:tcPr>
          <w:p w14:paraId="4AEC18DB">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J</w:t>
            </w:r>
          </w:p>
          <w:p w14:paraId="36479323">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教学条件</w:t>
            </w:r>
          </w:p>
          <w:p w14:paraId="62305576">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需求</w:t>
            </w:r>
          </w:p>
        </w:tc>
        <w:tc>
          <w:tcPr>
            <w:tcW w:w="7772" w:type="dxa"/>
            <w:gridSpan w:val="10"/>
            <w:tcBorders>
              <w:bottom w:val="single" w:color="auto" w:sz="4" w:space="0"/>
            </w:tcBorders>
            <w:vAlign w:val="center"/>
          </w:tcPr>
          <w:p w14:paraId="2E94F9FA">
            <w:pPr>
              <w:tabs>
                <w:tab w:val="left" w:pos="720"/>
              </w:tabs>
              <w:spacing w:line="240" w:lineRule="atLeast"/>
              <w:rPr>
                <w:rFonts w:hint="eastAsia" w:ascii="仿宋" w:hAnsi="仿宋" w:eastAsia="仿宋" w:cs="仿宋"/>
                <w:kern w:val="0"/>
                <w:sz w:val="24"/>
                <w:szCs w:val="24"/>
              </w:rPr>
            </w:pPr>
            <w:r>
              <w:rPr>
                <w:rFonts w:hint="eastAsia" w:ascii="仿宋" w:hAnsi="仿宋" w:eastAsia="仿宋" w:cs="仿宋"/>
                <w:kern w:val="0"/>
                <w:sz w:val="24"/>
                <w:szCs w:val="24"/>
              </w:rPr>
              <w:t>（如时间、地点安排与“一课双师”等教师配备需求等）</w:t>
            </w:r>
          </w:p>
          <w:p w14:paraId="6102597E">
            <w:pPr>
              <w:pStyle w:val="295"/>
              <w:tabs>
                <w:tab w:val="left" w:pos="401"/>
              </w:tabs>
              <w:spacing w:before="70"/>
              <w:ind w:left="213"/>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多媒体教室</w:t>
            </w:r>
          </w:p>
          <w:p w14:paraId="721C4961">
            <w:pPr>
              <w:tabs>
                <w:tab w:val="left" w:pos="720"/>
              </w:tabs>
              <w:rPr>
                <w:rFonts w:ascii="仿宋" w:hAnsi="仿宋" w:eastAsia="仿宋" w:cs="仿宋"/>
                <w:kern w:val="0"/>
                <w:sz w:val="24"/>
                <w:szCs w:val="24"/>
                <w:lang w:eastAsia="en-US"/>
              </w:rPr>
            </w:pPr>
          </w:p>
        </w:tc>
      </w:tr>
      <w:tr w14:paraId="75F0D48A">
        <w:trPr>
          <w:trHeight w:val="711" w:hRule="atLeast"/>
        </w:trPr>
        <w:tc>
          <w:tcPr>
            <w:tcW w:w="1376" w:type="dxa"/>
            <w:vMerge w:val="restart"/>
            <w:vAlign w:val="center"/>
          </w:tcPr>
          <w:p w14:paraId="7931E4A7">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K</w:t>
            </w:r>
          </w:p>
          <w:p w14:paraId="6793FFC9">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课程目标及其考核内容、考核方式及评分占比</w:t>
            </w:r>
          </w:p>
        </w:tc>
        <w:tc>
          <w:tcPr>
            <w:tcW w:w="1032" w:type="dxa"/>
            <w:vMerge w:val="restart"/>
            <w:vAlign w:val="center"/>
          </w:tcPr>
          <w:p w14:paraId="323AF758">
            <w:pPr>
              <w:rPr>
                <w:rFonts w:hint="eastAsia" w:ascii="仿宋" w:hAnsi="仿宋" w:eastAsia="仿宋" w:cs="仿宋"/>
                <w:sz w:val="24"/>
                <w:szCs w:val="24"/>
              </w:rPr>
            </w:pPr>
            <w:r>
              <w:rPr>
                <w:rFonts w:hint="eastAsia" w:ascii="仿宋" w:hAnsi="仿宋" w:eastAsia="仿宋" w:cs="仿宋"/>
                <w:sz w:val="24"/>
                <w:szCs w:val="24"/>
              </w:rPr>
              <w:t>课程目标及评分占比</w:t>
            </w:r>
          </w:p>
        </w:tc>
        <w:tc>
          <w:tcPr>
            <w:tcW w:w="3733" w:type="dxa"/>
            <w:gridSpan w:val="2"/>
            <w:vMerge w:val="restart"/>
            <w:tcBorders>
              <w:right w:val="single" w:color="000000" w:sz="4" w:space="0"/>
            </w:tcBorders>
            <w:vAlign w:val="center"/>
          </w:tcPr>
          <w:p w14:paraId="651446E1">
            <w:pPr>
              <w:tabs>
                <w:tab w:val="left" w:pos="720"/>
              </w:tabs>
              <w:jc w:val="center"/>
              <w:rPr>
                <w:rFonts w:hint="eastAsia" w:ascii="仿宋" w:hAnsi="仿宋" w:eastAsia="仿宋" w:cs="仿宋"/>
                <w:kern w:val="0"/>
                <w:sz w:val="24"/>
                <w:szCs w:val="24"/>
              </w:rPr>
            </w:pPr>
            <w:r>
              <w:rPr>
                <w:rFonts w:hint="eastAsia" w:ascii="仿宋" w:hAnsi="仿宋" w:eastAsia="仿宋" w:cs="仿宋"/>
                <w:kern w:val="0"/>
                <w:sz w:val="24"/>
                <w:szCs w:val="24"/>
              </w:rPr>
              <w:t>考核内容</w:t>
            </w:r>
          </w:p>
        </w:tc>
        <w:tc>
          <w:tcPr>
            <w:tcW w:w="2418" w:type="dxa"/>
            <w:gridSpan w:val="6"/>
            <w:tcBorders>
              <w:left w:val="single" w:color="000000" w:sz="4" w:space="0"/>
              <w:right w:val="single" w:color="000000" w:sz="4" w:space="0"/>
            </w:tcBorders>
            <w:vAlign w:val="center"/>
          </w:tcPr>
          <w:p w14:paraId="2865212A">
            <w:pPr>
              <w:jc w:val="center"/>
              <w:rPr>
                <w:rFonts w:hint="eastAsia" w:ascii="仿宋" w:hAnsi="仿宋" w:eastAsia="仿宋" w:cs="仿宋"/>
                <w:sz w:val="24"/>
                <w:szCs w:val="24"/>
              </w:rPr>
            </w:pPr>
            <w:r>
              <w:rPr>
                <w:rFonts w:hint="eastAsia" w:ascii="仿宋" w:hAnsi="仿宋" w:eastAsia="仿宋" w:cs="仿宋"/>
                <w:sz w:val="24"/>
                <w:szCs w:val="24"/>
              </w:rPr>
              <w:t>考核方式</w:t>
            </w:r>
          </w:p>
        </w:tc>
        <w:tc>
          <w:tcPr>
            <w:tcW w:w="589" w:type="dxa"/>
            <w:vMerge w:val="restart"/>
            <w:tcBorders>
              <w:left w:val="single" w:color="000000" w:sz="4" w:space="0"/>
            </w:tcBorders>
            <w:vAlign w:val="center"/>
          </w:tcPr>
          <w:p w14:paraId="7BC8CDFD">
            <w:pPr>
              <w:tabs>
                <w:tab w:val="left" w:pos="720"/>
              </w:tabs>
              <w:jc w:val="center"/>
              <w:rPr>
                <w:rFonts w:hint="eastAsia" w:ascii="仿宋" w:hAnsi="仿宋" w:eastAsia="仿宋" w:cs="仿宋"/>
                <w:kern w:val="0"/>
                <w:sz w:val="24"/>
                <w:szCs w:val="24"/>
              </w:rPr>
            </w:pPr>
            <w:r>
              <w:rPr>
                <w:rFonts w:hint="eastAsia" w:ascii="仿宋" w:hAnsi="仿宋" w:eastAsia="仿宋" w:cs="仿宋"/>
                <w:sz w:val="24"/>
                <w:szCs w:val="24"/>
              </w:rPr>
              <w:t>课程分目标的达成度</w:t>
            </w:r>
          </w:p>
        </w:tc>
      </w:tr>
      <w:tr w14:paraId="7539B926">
        <w:trPr>
          <w:trHeight w:val="184" w:hRule="atLeast"/>
        </w:trPr>
        <w:tc>
          <w:tcPr>
            <w:tcW w:w="1376" w:type="dxa"/>
            <w:vMerge w:val="continue"/>
            <w:vAlign w:val="center"/>
          </w:tcPr>
          <w:p w14:paraId="41676003">
            <w:pPr>
              <w:spacing w:line="240" w:lineRule="atLeast"/>
              <w:jc w:val="center"/>
              <w:rPr>
                <w:rFonts w:hint="eastAsia" w:ascii="仿宋" w:hAnsi="仿宋" w:eastAsia="仿宋" w:cs="仿宋"/>
                <w:sz w:val="24"/>
                <w:szCs w:val="24"/>
              </w:rPr>
            </w:pPr>
          </w:p>
        </w:tc>
        <w:tc>
          <w:tcPr>
            <w:tcW w:w="1032" w:type="dxa"/>
            <w:vMerge w:val="continue"/>
            <w:vAlign w:val="center"/>
          </w:tcPr>
          <w:p w14:paraId="0CD79902">
            <w:pPr>
              <w:jc w:val="right"/>
              <w:rPr>
                <w:rFonts w:hint="eastAsia" w:ascii="仿宋" w:hAnsi="仿宋" w:eastAsia="仿宋" w:cs="仿宋"/>
                <w:sz w:val="24"/>
                <w:szCs w:val="24"/>
              </w:rPr>
            </w:pPr>
          </w:p>
        </w:tc>
        <w:tc>
          <w:tcPr>
            <w:tcW w:w="3733" w:type="dxa"/>
            <w:gridSpan w:val="2"/>
            <w:vMerge w:val="continue"/>
            <w:tcBorders>
              <w:right w:val="single" w:color="000000" w:sz="4" w:space="0"/>
            </w:tcBorders>
            <w:vAlign w:val="center"/>
          </w:tcPr>
          <w:p w14:paraId="4847D205">
            <w:pPr>
              <w:tabs>
                <w:tab w:val="left" w:pos="720"/>
              </w:tabs>
              <w:jc w:val="center"/>
              <w:rPr>
                <w:rFonts w:hint="eastAsia" w:ascii="仿宋" w:hAnsi="仿宋" w:eastAsia="仿宋" w:cs="仿宋"/>
                <w:kern w:val="0"/>
                <w:sz w:val="24"/>
                <w:szCs w:val="24"/>
              </w:rPr>
            </w:pPr>
          </w:p>
        </w:tc>
        <w:tc>
          <w:tcPr>
            <w:tcW w:w="855" w:type="dxa"/>
            <w:tcBorders>
              <w:left w:val="single" w:color="000000" w:sz="4" w:space="0"/>
            </w:tcBorders>
            <w:vAlign w:val="center"/>
          </w:tcPr>
          <w:p w14:paraId="1BBCDCEA">
            <w:pPr>
              <w:tabs>
                <w:tab w:val="left" w:pos="720"/>
              </w:tabs>
              <w:jc w:val="center"/>
              <w:rPr>
                <w:rFonts w:hint="eastAsia" w:ascii="仿宋" w:hAnsi="仿宋" w:eastAsia="仿宋" w:cs="仿宋"/>
                <w:sz w:val="24"/>
                <w:szCs w:val="24"/>
              </w:rPr>
            </w:pPr>
            <w:r>
              <w:rPr>
                <w:rFonts w:hint="eastAsia" w:ascii="仿宋" w:hAnsi="仿宋" w:eastAsia="仿宋" w:cs="仿宋"/>
                <w:sz w:val="24"/>
                <w:szCs w:val="24"/>
              </w:rPr>
              <w:t>平时占比（30%）</w:t>
            </w:r>
          </w:p>
        </w:tc>
        <w:tc>
          <w:tcPr>
            <w:tcW w:w="773" w:type="dxa"/>
            <w:gridSpan w:val="3"/>
            <w:tcBorders>
              <w:bottom w:val="single" w:color="auto" w:sz="4" w:space="0"/>
            </w:tcBorders>
            <w:vAlign w:val="center"/>
          </w:tcPr>
          <w:p w14:paraId="1365E3DE">
            <w:pPr>
              <w:jc w:val="center"/>
              <w:rPr>
                <w:rFonts w:hint="eastAsia" w:ascii="仿宋" w:hAnsi="仿宋" w:eastAsia="仿宋" w:cs="仿宋"/>
                <w:kern w:val="0"/>
                <w:sz w:val="24"/>
                <w:szCs w:val="24"/>
              </w:rPr>
            </w:pPr>
            <w:r>
              <w:rPr>
                <w:rFonts w:hint="eastAsia" w:ascii="仿宋" w:hAnsi="仿宋" w:eastAsia="仿宋" w:cs="仿宋"/>
                <w:kern w:val="0"/>
                <w:sz w:val="24"/>
                <w:szCs w:val="24"/>
              </w:rPr>
              <w:t>期中考试占比</w:t>
            </w:r>
            <w:r>
              <w:rPr>
                <w:rFonts w:hint="eastAsia" w:ascii="仿宋" w:hAnsi="仿宋" w:eastAsia="仿宋" w:cs="仿宋"/>
                <w:sz w:val="24"/>
                <w:szCs w:val="24"/>
              </w:rPr>
              <w:t>（30%）</w:t>
            </w:r>
          </w:p>
        </w:tc>
        <w:tc>
          <w:tcPr>
            <w:tcW w:w="790" w:type="dxa"/>
            <w:gridSpan w:val="2"/>
            <w:tcBorders>
              <w:left w:val="single" w:color="000000" w:sz="4" w:space="0"/>
              <w:bottom w:val="single" w:color="auto" w:sz="4" w:space="0"/>
              <w:right w:val="single" w:color="000000" w:sz="4" w:space="0"/>
            </w:tcBorders>
            <w:vAlign w:val="center"/>
          </w:tcPr>
          <w:p w14:paraId="437B0C1C">
            <w:pPr>
              <w:jc w:val="center"/>
              <w:rPr>
                <w:rFonts w:hint="eastAsia" w:ascii="仿宋" w:hAnsi="仿宋" w:eastAsia="仿宋" w:cs="仿宋"/>
                <w:sz w:val="24"/>
                <w:szCs w:val="24"/>
              </w:rPr>
            </w:pPr>
            <w:r>
              <w:rPr>
                <w:rFonts w:hint="eastAsia" w:ascii="仿宋" w:hAnsi="仿宋" w:eastAsia="仿宋" w:cs="仿宋"/>
                <w:sz w:val="24"/>
                <w:szCs w:val="24"/>
              </w:rPr>
              <w:t>期末考试评分占比（40%）</w:t>
            </w:r>
          </w:p>
        </w:tc>
        <w:tc>
          <w:tcPr>
            <w:tcW w:w="589" w:type="dxa"/>
            <w:vMerge w:val="continue"/>
            <w:tcBorders>
              <w:left w:val="single" w:color="000000" w:sz="4" w:space="0"/>
              <w:bottom w:val="single" w:color="auto" w:sz="4" w:space="0"/>
            </w:tcBorders>
            <w:vAlign w:val="center"/>
          </w:tcPr>
          <w:p w14:paraId="77E0AF97">
            <w:pPr>
              <w:tabs>
                <w:tab w:val="left" w:pos="720"/>
              </w:tabs>
              <w:jc w:val="center"/>
              <w:rPr>
                <w:rFonts w:hint="eastAsia" w:ascii="仿宋" w:hAnsi="仿宋" w:eastAsia="仿宋" w:cs="仿宋"/>
                <w:sz w:val="24"/>
                <w:szCs w:val="24"/>
              </w:rPr>
            </w:pPr>
          </w:p>
        </w:tc>
      </w:tr>
      <w:tr w14:paraId="56BCCF01">
        <w:trPr>
          <w:trHeight w:val="1579" w:hRule="atLeast"/>
        </w:trPr>
        <w:tc>
          <w:tcPr>
            <w:tcW w:w="1376" w:type="dxa"/>
            <w:vMerge w:val="continue"/>
            <w:vAlign w:val="center"/>
          </w:tcPr>
          <w:p w14:paraId="7EFA08C9">
            <w:pPr>
              <w:spacing w:line="240" w:lineRule="atLeast"/>
              <w:jc w:val="center"/>
              <w:rPr>
                <w:rFonts w:hint="eastAsia" w:ascii="仿宋" w:hAnsi="仿宋" w:eastAsia="仿宋" w:cs="仿宋"/>
                <w:sz w:val="24"/>
                <w:szCs w:val="24"/>
                <w:lang w:eastAsia="zh-TW"/>
              </w:rPr>
            </w:pPr>
          </w:p>
        </w:tc>
        <w:tc>
          <w:tcPr>
            <w:tcW w:w="1032" w:type="dxa"/>
            <w:tcBorders>
              <w:bottom w:val="single" w:color="auto" w:sz="4" w:space="0"/>
            </w:tcBorders>
            <w:vAlign w:val="center"/>
          </w:tcPr>
          <w:p w14:paraId="5458EDAF">
            <w:pPr>
              <w:jc w:val="center"/>
              <w:rPr>
                <w:rFonts w:hint="eastAsia" w:ascii="仿宋" w:hAnsi="仿宋" w:eastAsia="仿宋" w:cs="仿宋"/>
                <w:sz w:val="24"/>
                <w:szCs w:val="24"/>
              </w:rPr>
            </w:pPr>
            <w:r>
              <w:rPr>
                <w:rFonts w:hint="eastAsia" w:ascii="仿宋" w:hAnsi="仿宋" w:eastAsia="仿宋" w:cs="仿宋"/>
                <w:kern w:val="0"/>
                <w:sz w:val="24"/>
                <w:szCs w:val="24"/>
              </w:rPr>
              <w:t>课程目标1（40%）</w:t>
            </w:r>
          </w:p>
        </w:tc>
        <w:tc>
          <w:tcPr>
            <w:tcW w:w="3733" w:type="dxa"/>
            <w:gridSpan w:val="2"/>
            <w:tcBorders>
              <w:bottom w:val="single" w:color="auto" w:sz="4" w:space="0"/>
              <w:right w:val="single" w:color="000000" w:sz="4" w:space="0"/>
            </w:tcBorders>
            <w:vAlign w:val="center"/>
          </w:tcPr>
          <w:p w14:paraId="07DA163E">
            <w:pPr>
              <w:jc w:val="left"/>
              <w:rPr>
                <w:rFonts w:ascii="仿宋" w:hAnsi="仿宋" w:eastAsia="仿宋" w:cs="仿宋"/>
                <w:kern w:val="0"/>
                <w:sz w:val="24"/>
                <w:szCs w:val="24"/>
                <w:lang w:eastAsia="en-US"/>
              </w:rPr>
            </w:pPr>
            <w:r>
              <w:rPr>
                <w:rFonts w:hint="eastAsia" w:ascii="仿宋" w:hAnsi="仿宋" w:eastAsia="仿宋" w:cs="仿宋"/>
                <w:color w:val="000000"/>
                <w:sz w:val="24"/>
                <w:szCs w:val="24"/>
              </w:rPr>
              <w:t>具备一定音乐分析能力，在音乐作品中准确辨认音高、节奏、音程、和弦相关概念及音响色彩。熟练记忆构写节奏、曲调、音程</w:t>
            </w:r>
            <w:r>
              <w:rPr>
                <w:rFonts w:hint="eastAsia" w:ascii="仿宋" w:hAnsi="仿宋" w:eastAsia="仿宋" w:cs="仿宋"/>
                <w:color w:val="000000"/>
                <w:sz w:val="24"/>
                <w:szCs w:val="24"/>
                <w:lang w:eastAsia="zh-TW"/>
              </w:rPr>
              <w:t>、</w:t>
            </w:r>
            <w:r>
              <w:rPr>
                <w:rFonts w:hint="eastAsia" w:ascii="仿宋" w:hAnsi="仿宋" w:eastAsia="仿宋" w:cs="仿宋"/>
                <w:color w:val="000000"/>
                <w:sz w:val="24"/>
                <w:szCs w:val="24"/>
              </w:rPr>
              <w:t>和弦及调式。</w:t>
            </w:r>
          </w:p>
        </w:tc>
        <w:tc>
          <w:tcPr>
            <w:tcW w:w="855" w:type="dxa"/>
            <w:tcBorders>
              <w:left w:val="single" w:color="000000" w:sz="4" w:space="0"/>
              <w:bottom w:val="single" w:color="auto" w:sz="4" w:space="0"/>
            </w:tcBorders>
            <w:vAlign w:val="center"/>
          </w:tcPr>
          <w:p w14:paraId="24E3D8EB">
            <w:pPr>
              <w:ind w:firstLine="120" w:firstLineChars="50"/>
              <w:jc w:val="center"/>
              <w:rPr>
                <w:rFonts w:hint="eastAsia" w:ascii="仿宋" w:hAnsi="仿宋" w:eastAsia="仿宋" w:cs="仿宋"/>
                <w:kern w:val="0"/>
                <w:sz w:val="24"/>
                <w:szCs w:val="24"/>
              </w:rPr>
            </w:pPr>
            <w:r>
              <w:rPr>
                <w:rFonts w:hint="eastAsia" w:ascii="仿宋" w:hAnsi="仿宋" w:eastAsia="仿宋" w:cs="仿宋"/>
                <w:kern w:val="0"/>
                <w:sz w:val="24"/>
                <w:szCs w:val="24"/>
              </w:rPr>
              <w:t>12</w:t>
            </w:r>
          </w:p>
        </w:tc>
        <w:tc>
          <w:tcPr>
            <w:tcW w:w="773" w:type="dxa"/>
            <w:gridSpan w:val="3"/>
            <w:tcBorders>
              <w:top w:val="single" w:color="000000" w:sz="4" w:space="0"/>
              <w:bottom w:val="single" w:color="auto" w:sz="4" w:space="0"/>
            </w:tcBorders>
            <w:vAlign w:val="center"/>
          </w:tcPr>
          <w:p w14:paraId="766315BA">
            <w:pPr>
              <w:tabs>
                <w:tab w:val="left" w:pos="720"/>
              </w:tabs>
              <w:jc w:val="center"/>
              <w:rPr>
                <w:rFonts w:hint="eastAsia" w:ascii="仿宋" w:hAnsi="仿宋" w:eastAsia="仿宋" w:cs="仿宋"/>
                <w:kern w:val="0"/>
                <w:sz w:val="24"/>
                <w:szCs w:val="24"/>
              </w:rPr>
            </w:pPr>
            <w:r>
              <w:rPr>
                <w:rFonts w:hint="eastAsia" w:ascii="仿宋" w:hAnsi="仿宋" w:eastAsia="仿宋" w:cs="仿宋"/>
                <w:kern w:val="0"/>
                <w:sz w:val="24"/>
                <w:szCs w:val="24"/>
              </w:rPr>
              <w:t>12</w:t>
            </w:r>
          </w:p>
        </w:tc>
        <w:tc>
          <w:tcPr>
            <w:tcW w:w="790" w:type="dxa"/>
            <w:gridSpan w:val="2"/>
            <w:tcBorders>
              <w:top w:val="single" w:color="000000" w:sz="4" w:space="0"/>
              <w:left w:val="single" w:color="000000" w:sz="4" w:space="0"/>
              <w:bottom w:val="single" w:color="auto" w:sz="4" w:space="0"/>
              <w:right w:val="single" w:color="000000" w:sz="4" w:space="0"/>
            </w:tcBorders>
            <w:vAlign w:val="center"/>
          </w:tcPr>
          <w:p w14:paraId="31F60128">
            <w:pPr>
              <w:tabs>
                <w:tab w:val="left" w:pos="720"/>
              </w:tabs>
              <w:jc w:val="center"/>
              <w:rPr>
                <w:rFonts w:hint="eastAsia" w:ascii="仿宋" w:hAnsi="仿宋" w:eastAsia="仿宋" w:cs="仿宋"/>
                <w:kern w:val="0"/>
                <w:sz w:val="24"/>
                <w:szCs w:val="24"/>
              </w:rPr>
            </w:pPr>
            <w:r>
              <w:rPr>
                <w:rFonts w:hint="eastAsia" w:ascii="仿宋" w:hAnsi="仿宋" w:eastAsia="仿宋" w:cs="仿宋"/>
                <w:kern w:val="0"/>
                <w:sz w:val="24"/>
                <w:szCs w:val="24"/>
              </w:rPr>
              <w:t>16</w:t>
            </w:r>
          </w:p>
        </w:tc>
        <w:tc>
          <w:tcPr>
            <w:tcW w:w="589" w:type="dxa"/>
            <w:tcBorders>
              <w:top w:val="single" w:color="000000" w:sz="4" w:space="0"/>
              <w:left w:val="single" w:color="000000" w:sz="4" w:space="0"/>
              <w:bottom w:val="single" w:color="auto" w:sz="4" w:space="0"/>
            </w:tcBorders>
            <w:vAlign w:val="center"/>
          </w:tcPr>
          <w:p w14:paraId="200282A7">
            <w:pPr>
              <w:tabs>
                <w:tab w:val="left" w:pos="720"/>
              </w:tabs>
              <w:jc w:val="center"/>
              <w:rPr>
                <w:rFonts w:hint="eastAsia" w:ascii="仿宋" w:hAnsi="仿宋" w:eastAsia="仿宋" w:cs="仿宋"/>
                <w:kern w:val="0"/>
                <w:sz w:val="24"/>
                <w:szCs w:val="24"/>
                <w:lang w:eastAsia="zh-CN"/>
              </w:rPr>
            </w:pPr>
            <w:r>
              <w:rPr>
                <w:rFonts w:hint="eastAsia" w:ascii="仿宋" w:hAnsi="仿宋" w:eastAsia="仿宋" w:cs="仿宋"/>
                <w:kern w:val="0"/>
                <w:sz w:val="24"/>
                <w:szCs w:val="24"/>
              </w:rPr>
              <w:t>0.6</w:t>
            </w:r>
            <w:r>
              <w:rPr>
                <w:rFonts w:hint="eastAsia" w:ascii="仿宋" w:hAnsi="仿宋" w:eastAsia="仿宋" w:cs="仿宋"/>
                <w:kern w:val="0"/>
                <w:sz w:val="24"/>
                <w:szCs w:val="24"/>
                <w:lang w:val="en-US" w:eastAsia="zh-CN"/>
              </w:rPr>
              <w:t>5</w:t>
            </w:r>
          </w:p>
        </w:tc>
      </w:tr>
      <w:tr w14:paraId="1747729B">
        <w:trPr>
          <w:trHeight w:val="1820" w:hRule="atLeast"/>
        </w:trPr>
        <w:tc>
          <w:tcPr>
            <w:tcW w:w="1376" w:type="dxa"/>
            <w:vMerge w:val="continue"/>
            <w:vAlign w:val="center"/>
          </w:tcPr>
          <w:p w14:paraId="0D6A10E6">
            <w:pPr>
              <w:spacing w:line="240" w:lineRule="atLeast"/>
              <w:jc w:val="center"/>
              <w:rPr>
                <w:rFonts w:hint="eastAsia" w:ascii="仿宋" w:hAnsi="仿宋" w:eastAsia="仿宋" w:cs="仿宋"/>
                <w:sz w:val="24"/>
                <w:szCs w:val="24"/>
                <w:lang w:eastAsia="zh-TW"/>
              </w:rPr>
            </w:pPr>
          </w:p>
        </w:tc>
        <w:tc>
          <w:tcPr>
            <w:tcW w:w="1032" w:type="dxa"/>
            <w:tcBorders>
              <w:bottom w:val="single" w:color="auto" w:sz="4" w:space="0"/>
            </w:tcBorders>
            <w:vAlign w:val="center"/>
          </w:tcPr>
          <w:p w14:paraId="107D58D5">
            <w:pPr>
              <w:jc w:val="center"/>
              <w:rPr>
                <w:rFonts w:hint="eastAsia" w:ascii="仿宋" w:hAnsi="仿宋" w:eastAsia="仿宋" w:cs="仿宋"/>
                <w:kern w:val="0"/>
                <w:sz w:val="24"/>
                <w:szCs w:val="24"/>
              </w:rPr>
            </w:pPr>
            <w:r>
              <w:rPr>
                <w:rFonts w:hint="eastAsia" w:ascii="仿宋" w:hAnsi="仿宋" w:eastAsia="仿宋" w:cs="仿宋"/>
                <w:kern w:val="0"/>
                <w:sz w:val="24"/>
                <w:szCs w:val="24"/>
              </w:rPr>
              <w:t>课程目标2（40%）</w:t>
            </w:r>
          </w:p>
          <w:p w14:paraId="04B14B8E">
            <w:pPr>
              <w:jc w:val="center"/>
              <w:rPr>
                <w:rFonts w:hint="eastAsia" w:ascii="仿宋" w:hAnsi="仿宋" w:eastAsia="仿宋" w:cs="仿宋"/>
                <w:kern w:val="0"/>
                <w:sz w:val="24"/>
                <w:szCs w:val="24"/>
              </w:rPr>
            </w:pPr>
          </w:p>
        </w:tc>
        <w:tc>
          <w:tcPr>
            <w:tcW w:w="3733" w:type="dxa"/>
            <w:gridSpan w:val="2"/>
            <w:tcBorders>
              <w:bottom w:val="single" w:color="auto" w:sz="4" w:space="0"/>
              <w:right w:val="single" w:color="000000" w:sz="4" w:space="0"/>
            </w:tcBorders>
            <w:vAlign w:val="center"/>
          </w:tcPr>
          <w:p w14:paraId="715D5958">
            <w:pPr>
              <w:jc w:val="left"/>
              <w:rPr>
                <w:rFonts w:ascii="仿宋" w:hAnsi="仿宋" w:eastAsia="仿宋" w:cs="仿宋"/>
                <w:kern w:val="0"/>
                <w:sz w:val="24"/>
                <w:szCs w:val="24"/>
                <w:lang w:eastAsia="en-US"/>
              </w:rPr>
            </w:pPr>
            <w:r>
              <w:rPr>
                <w:rFonts w:hint="eastAsia" w:ascii="仿宋" w:hAnsi="仿宋" w:eastAsia="仿宋" w:cs="仿宋"/>
                <w:color w:val="000000"/>
                <w:sz w:val="24"/>
                <w:szCs w:val="24"/>
              </w:rPr>
              <w:t>理解基本视唱练耳知识，形成综合的音乐技能实践体系，并具备初步的综合分析、运用与教学能力。</w:t>
            </w:r>
          </w:p>
        </w:tc>
        <w:tc>
          <w:tcPr>
            <w:tcW w:w="855" w:type="dxa"/>
            <w:tcBorders>
              <w:left w:val="single" w:color="000000" w:sz="4" w:space="0"/>
              <w:bottom w:val="single" w:color="auto" w:sz="4" w:space="0"/>
            </w:tcBorders>
            <w:vAlign w:val="center"/>
          </w:tcPr>
          <w:p w14:paraId="546DB70C">
            <w:pPr>
              <w:jc w:val="center"/>
              <w:rPr>
                <w:rFonts w:hint="eastAsia" w:ascii="仿宋" w:hAnsi="仿宋" w:eastAsia="仿宋" w:cs="仿宋"/>
                <w:kern w:val="0"/>
                <w:sz w:val="24"/>
                <w:szCs w:val="24"/>
              </w:rPr>
            </w:pPr>
            <w:r>
              <w:rPr>
                <w:rFonts w:hint="eastAsia" w:ascii="仿宋" w:hAnsi="仿宋" w:eastAsia="仿宋" w:cs="仿宋"/>
                <w:kern w:val="0"/>
                <w:sz w:val="24"/>
                <w:szCs w:val="24"/>
              </w:rPr>
              <w:t>12</w:t>
            </w:r>
          </w:p>
        </w:tc>
        <w:tc>
          <w:tcPr>
            <w:tcW w:w="773" w:type="dxa"/>
            <w:gridSpan w:val="3"/>
            <w:tcBorders>
              <w:top w:val="single" w:color="000000" w:sz="4" w:space="0"/>
              <w:bottom w:val="single" w:color="auto" w:sz="4" w:space="0"/>
            </w:tcBorders>
            <w:vAlign w:val="center"/>
          </w:tcPr>
          <w:p w14:paraId="4EF0C5C6">
            <w:pPr>
              <w:tabs>
                <w:tab w:val="left" w:pos="720"/>
              </w:tabs>
              <w:jc w:val="center"/>
              <w:rPr>
                <w:rFonts w:hint="eastAsia" w:ascii="仿宋" w:hAnsi="仿宋" w:eastAsia="仿宋" w:cs="仿宋"/>
                <w:kern w:val="0"/>
                <w:sz w:val="24"/>
                <w:szCs w:val="24"/>
                <w:lang w:eastAsia="en-US"/>
              </w:rPr>
            </w:pPr>
            <w:r>
              <w:rPr>
                <w:rFonts w:hint="eastAsia" w:ascii="仿宋" w:hAnsi="仿宋" w:eastAsia="仿宋" w:cs="仿宋"/>
                <w:kern w:val="0"/>
                <w:sz w:val="24"/>
                <w:szCs w:val="24"/>
              </w:rPr>
              <w:t>12</w:t>
            </w:r>
          </w:p>
        </w:tc>
        <w:tc>
          <w:tcPr>
            <w:tcW w:w="790" w:type="dxa"/>
            <w:gridSpan w:val="2"/>
            <w:tcBorders>
              <w:top w:val="single" w:color="000000" w:sz="4" w:space="0"/>
              <w:left w:val="single" w:color="000000" w:sz="4" w:space="0"/>
              <w:bottom w:val="single" w:color="auto" w:sz="4" w:space="0"/>
              <w:right w:val="single" w:color="000000" w:sz="4" w:space="0"/>
            </w:tcBorders>
            <w:vAlign w:val="center"/>
          </w:tcPr>
          <w:p w14:paraId="6BE33F4A">
            <w:pPr>
              <w:tabs>
                <w:tab w:val="left" w:pos="720"/>
              </w:tabs>
              <w:jc w:val="center"/>
              <w:rPr>
                <w:rFonts w:hint="eastAsia" w:ascii="仿宋" w:hAnsi="仿宋" w:eastAsia="仿宋" w:cs="仿宋"/>
                <w:kern w:val="0"/>
                <w:sz w:val="24"/>
                <w:szCs w:val="24"/>
              </w:rPr>
            </w:pPr>
            <w:r>
              <w:rPr>
                <w:rFonts w:hint="eastAsia" w:ascii="仿宋" w:hAnsi="仿宋" w:eastAsia="仿宋" w:cs="仿宋"/>
                <w:kern w:val="0"/>
                <w:sz w:val="24"/>
                <w:szCs w:val="24"/>
              </w:rPr>
              <w:t>16</w:t>
            </w:r>
          </w:p>
        </w:tc>
        <w:tc>
          <w:tcPr>
            <w:tcW w:w="589" w:type="dxa"/>
            <w:tcBorders>
              <w:top w:val="single" w:color="000000" w:sz="4" w:space="0"/>
              <w:left w:val="single" w:color="000000" w:sz="4" w:space="0"/>
              <w:bottom w:val="single" w:color="auto" w:sz="4" w:space="0"/>
            </w:tcBorders>
            <w:vAlign w:val="center"/>
          </w:tcPr>
          <w:p w14:paraId="112A2E2D">
            <w:pPr>
              <w:tabs>
                <w:tab w:val="left" w:pos="720"/>
              </w:tabs>
              <w:jc w:val="center"/>
              <w:rPr>
                <w:rFonts w:hint="eastAsia" w:ascii="仿宋" w:hAnsi="仿宋" w:eastAsia="仿宋" w:cs="仿宋"/>
                <w:kern w:val="0"/>
                <w:sz w:val="24"/>
                <w:szCs w:val="24"/>
                <w:lang w:eastAsia="zh-CN"/>
              </w:rPr>
            </w:pPr>
            <w:r>
              <w:rPr>
                <w:rFonts w:hint="eastAsia" w:ascii="仿宋" w:hAnsi="仿宋" w:eastAsia="仿宋" w:cs="仿宋"/>
                <w:kern w:val="0"/>
                <w:sz w:val="24"/>
                <w:szCs w:val="24"/>
              </w:rPr>
              <w:t>0.6</w:t>
            </w:r>
            <w:r>
              <w:rPr>
                <w:rFonts w:hint="eastAsia" w:ascii="仿宋" w:hAnsi="仿宋" w:eastAsia="仿宋" w:cs="仿宋"/>
                <w:kern w:val="0"/>
                <w:sz w:val="24"/>
                <w:szCs w:val="24"/>
                <w:lang w:val="en-US" w:eastAsia="zh-CN"/>
              </w:rPr>
              <w:t>5</w:t>
            </w:r>
          </w:p>
        </w:tc>
      </w:tr>
      <w:tr w14:paraId="391A19CE">
        <w:trPr>
          <w:trHeight w:val="1621" w:hRule="atLeast"/>
        </w:trPr>
        <w:tc>
          <w:tcPr>
            <w:tcW w:w="1376" w:type="dxa"/>
            <w:vMerge w:val="continue"/>
            <w:vAlign w:val="center"/>
          </w:tcPr>
          <w:p w14:paraId="7BFB57D8">
            <w:pPr>
              <w:spacing w:line="240" w:lineRule="atLeast"/>
              <w:jc w:val="center"/>
              <w:rPr>
                <w:rFonts w:hint="eastAsia" w:ascii="仿宋" w:hAnsi="仿宋" w:eastAsia="仿宋" w:cs="仿宋"/>
                <w:sz w:val="24"/>
                <w:szCs w:val="24"/>
                <w:lang w:eastAsia="zh-TW"/>
              </w:rPr>
            </w:pPr>
          </w:p>
        </w:tc>
        <w:tc>
          <w:tcPr>
            <w:tcW w:w="1032" w:type="dxa"/>
            <w:tcBorders>
              <w:bottom w:val="single" w:color="auto" w:sz="4" w:space="0"/>
            </w:tcBorders>
            <w:vAlign w:val="center"/>
          </w:tcPr>
          <w:p w14:paraId="6E5D369A">
            <w:pPr>
              <w:jc w:val="center"/>
              <w:rPr>
                <w:rFonts w:hint="eastAsia" w:ascii="仿宋" w:hAnsi="仿宋" w:eastAsia="仿宋" w:cs="仿宋"/>
                <w:sz w:val="24"/>
                <w:szCs w:val="24"/>
              </w:rPr>
            </w:pPr>
            <w:r>
              <w:rPr>
                <w:rFonts w:hint="eastAsia" w:ascii="仿宋" w:hAnsi="仿宋" w:eastAsia="仿宋" w:cs="仿宋"/>
                <w:kern w:val="0"/>
                <w:sz w:val="24"/>
                <w:szCs w:val="24"/>
              </w:rPr>
              <w:t>课程目标3（20%）</w:t>
            </w:r>
          </w:p>
        </w:tc>
        <w:tc>
          <w:tcPr>
            <w:tcW w:w="3733" w:type="dxa"/>
            <w:gridSpan w:val="2"/>
            <w:tcBorders>
              <w:bottom w:val="single" w:color="auto" w:sz="4" w:space="0"/>
              <w:right w:val="single" w:color="000000" w:sz="4" w:space="0"/>
            </w:tcBorders>
            <w:vAlign w:val="center"/>
          </w:tcPr>
          <w:p w14:paraId="0706997B">
            <w:pPr>
              <w:jc w:val="left"/>
              <w:rPr>
                <w:rFonts w:ascii="仿宋" w:hAnsi="仿宋" w:eastAsia="仿宋" w:cs="仿宋"/>
                <w:kern w:val="0"/>
                <w:sz w:val="24"/>
                <w:szCs w:val="24"/>
                <w:lang w:eastAsia="en-US"/>
              </w:rPr>
            </w:pPr>
            <w:r>
              <w:rPr>
                <w:rFonts w:hint="eastAsia" w:ascii="仿宋" w:hAnsi="仿宋" w:eastAsia="仿宋" w:cs="仿宋"/>
                <w:color w:val="000000"/>
                <w:sz w:val="24"/>
                <w:szCs w:val="24"/>
              </w:rPr>
              <w:t>能够对音乐教育的实践活动进行有效的自我诊断，提出改进思路。</w:t>
            </w:r>
          </w:p>
        </w:tc>
        <w:tc>
          <w:tcPr>
            <w:tcW w:w="855" w:type="dxa"/>
            <w:tcBorders>
              <w:left w:val="single" w:color="000000" w:sz="4" w:space="0"/>
              <w:bottom w:val="single" w:color="auto" w:sz="4" w:space="0"/>
            </w:tcBorders>
            <w:vAlign w:val="center"/>
          </w:tcPr>
          <w:p w14:paraId="69EE1AA2">
            <w:pPr>
              <w:ind w:firstLine="360" w:firstLineChars="150"/>
              <w:jc w:val="left"/>
              <w:rPr>
                <w:rFonts w:hint="eastAsia" w:ascii="仿宋" w:hAnsi="仿宋" w:eastAsia="仿宋" w:cs="仿宋"/>
                <w:kern w:val="0"/>
                <w:sz w:val="24"/>
                <w:szCs w:val="24"/>
              </w:rPr>
            </w:pPr>
            <w:r>
              <w:rPr>
                <w:rFonts w:hint="eastAsia" w:ascii="仿宋" w:hAnsi="仿宋" w:eastAsia="仿宋" w:cs="仿宋"/>
                <w:kern w:val="0"/>
                <w:sz w:val="24"/>
                <w:szCs w:val="24"/>
              </w:rPr>
              <w:t>6</w:t>
            </w:r>
          </w:p>
        </w:tc>
        <w:tc>
          <w:tcPr>
            <w:tcW w:w="773" w:type="dxa"/>
            <w:gridSpan w:val="3"/>
            <w:tcBorders>
              <w:top w:val="single" w:color="000000" w:sz="4" w:space="0"/>
              <w:bottom w:val="single" w:color="auto" w:sz="4" w:space="0"/>
            </w:tcBorders>
            <w:vAlign w:val="center"/>
          </w:tcPr>
          <w:p w14:paraId="4CB6AC25">
            <w:pPr>
              <w:tabs>
                <w:tab w:val="left" w:pos="720"/>
              </w:tabs>
              <w:jc w:val="center"/>
              <w:rPr>
                <w:rFonts w:hint="eastAsia" w:ascii="仿宋" w:hAnsi="仿宋" w:eastAsia="仿宋" w:cs="仿宋"/>
                <w:kern w:val="0"/>
                <w:sz w:val="24"/>
                <w:szCs w:val="24"/>
              </w:rPr>
            </w:pPr>
            <w:r>
              <w:rPr>
                <w:rFonts w:hint="eastAsia" w:ascii="仿宋" w:hAnsi="仿宋" w:eastAsia="仿宋" w:cs="仿宋"/>
                <w:kern w:val="0"/>
                <w:sz w:val="24"/>
                <w:szCs w:val="24"/>
              </w:rPr>
              <w:t>6</w:t>
            </w:r>
          </w:p>
        </w:tc>
        <w:tc>
          <w:tcPr>
            <w:tcW w:w="790" w:type="dxa"/>
            <w:gridSpan w:val="2"/>
            <w:tcBorders>
              <w:top w:val="single" w:color="000000" w:sz="4" w:space="0"/>
              <w:left w:val="single" w:color="000000" w:sz="4" w:space="0"/>
              <w:bottom w:val="single" w:color="auto" w:sz="4" w:space="0"/>
              <w:right w:val="single" w:color="000000" w:sz="4" w:space="0"/>
            </w:tcBorders>
            <w:vAlign w:val="center"/>
          </w:tcPr>
          <w:p w14:paraId="171142E7">
            <w:pPr>
              <w:tabs>
                <w:tab w:val="left" w:pos="720"/>
              </w:tabs>
              <w:jc w:val="center"/>
              <w:rPr>
                <w:rFonts w:hint="eastAsia" w:ascii="仿宋" w:hAnsi="仿宋" w:eastAsia="仿宋" w:cs="仿宋"/>
                <w:kern w:val="0"/>
                <w:sz w:val="24"/>
                <w:szCs w:val="24"/>
              </w:rPr>
            </w:pPr>
            <w:r>
              <w:rPr>
                <w:rFonts w:hint="eastAsia" w:ascii="仿宋" w:hAnsi="仿宋" w:eastAsia="仿宋" w:cs="仿宋"/>
                <w:kern w:val="0"/>
                <w:sz w:val="24"/>
                <w:szCs w:val="24"/>
              </w:rPr>
              <w:t>8</w:t>
            </w:r>
          </w:p>
        </w:tc>
        <w:tc>
          <w:tcPr>
            <w:tcW w:w="589" w:type="dxa"/>
            <w:tcBorders>
              <w:top w:val="single" w:color="000000" w:sz="4" w:space="0"/>
              <w:left w:val="single" w:color="000000" w:sz="4" w:space="0"/>
              <w:bottom w:val="single" w:color="auto" w:sz="4" w:space="0"/>
            </w:tcBorders>
            <w:vAlign w:val="center"/>
          </w:tcPr>
          <w:p w14:paraId="5C49E450">
            <w:pPr>
              <w:tabs>
                <w:tab w:val="left" w:pos="720"/>
              </w:tabs>
              <w:jc w:val="center"/>
              <w:rPr>
                <w:rFonts w:hint="eastAsia" w:ascii="仿宋" w:hAnsi="仿宋" w:eastAsia="仿宋" w:cs="仿宋"/>
                <w:kern w:val="0"/>
                <w:sz w:val="24"/>
                <w:szCs w:val="24"/>
                <w:lang w:eastAsia="zh-CN"/>
              </w:rPr>
            </w:pPr>
            <w:r>
              <w:rPr>
                <w:rFonts w:hint="eastAsia" w:ascii="仿宋" w:hAnsi="仿宋" w:eastAsia="仿宋" w:cs="仿宋"/>
                <w:kern w:val="0"/>
                <w:sz w:val="24"/>
                <w:szCs w:val="24"/>
              </w:rPr>
              <w:t>0.6</w:t>
            </w:r>
            <w:r>
              <w:rPr>
                <w:rFonts w:hint="eastAsia" w:ascii="仿宋" w:hAnsi="仿宋" w:eastAsia="仿宋" w:cs="仿宋"/>
                <w:kern w:val="0"/>
                <w:sz w:val="24"/>
                <w:szCs w:val="24"/>
                <w:lang w:val="en-US" w:eastAsia="zh-CN"/>
              </w:rPr>
              <w:t>5</w:t>
            </w:r>
          </w:p>
        </w:tc>
      </w:tr>
      <w:tr w14:paraId="7A33696E">
        <w:trPr>
          <w:trHeight w:val="515" w:hRule="atLeast"/>
        </w:trPr>
        <w:tc>
          <w:tcPr>
            <w:tcW w:w="1376" w:type="dxa"/>
            <w:vMerge w:val="continue"/>
            <w:vAlign w:val="center"/>
          </w:tcPr>
          <w:p w14:paraId="14371320">
            <w:pPr>
              <w:spacing w:line="240" w:lineRule="atLeast"/>
              <w:jc w:val="center"/>
              <w:rPr>
                <w:rFonts w:hint="eastAsia" w:ascii="仿宋" w:hAnsi="仿宋" w:eastAsia="仿宋" w:cs="仿宋"/>
                <w:sz w:val="24"/>
                <w:szCs w:val="24"/>
                <w:lang w:eastAsia="zh-TW"/>
              </w:rPr>
            </w:pPr>
          </w:p>
        </w:tc>
        <w:tc>
          <w:tcPr>
            <w:tcW w:w="4765" w:type="dxa"/>
            <w:gridSpan w:val="3"/>
            <w:tcBorders>
              <w:bottom w:val="single" w:color="auto" w:sz="4" w:space="0"/>
              <w:right w:val="single" w:color="000000" w:sz="4" w:space="0"/>
            </w:tcBorders>
            <w:vAlign w:val="center"/>
          </w:tcPr>
          <w:p w14:paraId="1FB67842">
            <w:pPr>
              <w:widowControl/>
              <w:autoSpaceDE w:val="0"/>
              <w:autoSpaceDN w:val="0"/>
              <w:jc w:val="center"/>
              <w:rPr>
                <w:rFonts w:hint="eastAsia" w:ascii="仿宋" w:hAnsi="仿宋" w:eastAsia="仿宋" w:cs="仿宋"/>
                <w:sz w:val="24"/>
                <w:szCs w:val="24"/>
              </w:rPr>
            </w:pPr>
            <w:r>
              <w:rPr>
                <w:rFonts w:hint="eastAsia" w:ascii="仿宋" w:hAnsi="仿宋" w:eastAsia="仿宋" w:cs="仿宋"/>
                <w:sz w:val="24"/>
                <w:szCs w:val="24"/>
              </w:rPr>
              <w:t>总分</w:t>
            </w:r>
          </w:p>
        </w:tc>
        <w:tc>
          <w:tcPr>
            <w:tcW w:w="855" w:type="dxa"/>
            <w:tcBorders>
              <w:left w:val="single" w:color="000000" w:sz="4" w:space="0"/>
              <w:bottom w:val="single" w:color="auto" w:sz="4" w:space="0"/>
            </w:tcBorders>
            <w:vAlign w:val="center"/>
          </w:tcPr>
          <w:p w14:paraId="11D62A5E">
            <w:pPr>
              <w:jc w:val="center"/>
              <w:rPr>
                <w:rFonts w:hint="eastAsia" w:ascii="仿宋" w:hAnsi="仿宋" w:eastAsia="仿宋" w:cs="仿宋"/>
                <w:kern w:val="0"/>
                <w:sz w:val="24"/>
                <w:szCs w:val="24"/>
              </w:rPr>
            </w:pPr>
            <w:r>
              <w:rPr>
                <w:rFonts w:hint="eastAsia" w:ascii="仿宋" w:hAnsi="仿宋" w:eastAsia="仿宋" w:cs="仿宋"/>
                <w:kern w:val="0"/>
                <w:sz w:val="24"/>
                <w:szCs w:val="24"/>
              </w:rPr>
              <w:t>30</w:t>
            </w:r>
          </w:p>
        </w:tc>
        <w:tc>
          <w:tcPr>
            <w:tcW w:w="773" w:type="dxa"/>
            <w:gridSpan w:val="3"/>
            <w:tcBorders>
              <w:top w:val="single" w:color="000000" w:sz="4" w:space="0"/>
              <w:bottom w:val="single" w:color="auto" w:sz="4" w:space="0"/>
            </w:tcBorders>
            <w:vAlign w:val="center"/>
          </w:tcPr>
          <w:p w14:paraId="2324B374">
            <w:pPr>
              <w:tabs>
                <w:tab w:val="left" w:pos="720"/>
              </w:tabs>
              <w:jc w:val="center"/>
              <w:rPr>
                <w:rFonts w:hint="eastAsia" w:ascii="仿宋" w:hAnsi="仿宋" w:eastAsia="仿宋" w:cs="仿宋"/>
                <w:kern w:val="0"/>
                <w:sz w:val="24"/>
                <w:szCs w:val="24"/>
              </w:rPr>
            </w:pPr>
            <w:r>
              <w:rPr>
                <w:rFonts w:hint="eastAsia" w:ascii="仿宋" w:hAnsi="仿宋" w:eastAsia="仿宋" w:cs="仿宋"/>
                <w:kern w:val="0"/>
                <w:sz w:val="24"/>
                <w:szCs w:val="24"/>
              </w:rPr>
              <w:t>30</w:t>
            </w:r>
          </w:p>
        </w:tc>
        <w:tc>
          <w:tcPr>
            <w:tcW w:w="790" w:type="dxa"/>
            <w:gridSpan w:val="2"/>
            <w:tcBorders>
              <w:top w:val="single" w:color="000000" w:sz="4" w:space="0"/>
              <w:left w:val="single" w:color="000000" w:sz="4" w:space="0"/>
              <w:bottom w:val="single" w:color="auto" w:sz="4" w:space="0"/>
              <w:right w:val="single" w:color="000000" w:sz="4" w:space="0"/>
            </w:tcBorders>
            <w:vAlign w:val="center"/>
          </w:tcPr>
          <w:p w14:paraId="02DBB273">
            <w:pPr>
              <w:tabs>
                <w:tab w:val="left" w:pos="720"/>
              </w:tabs>
              <w:jc w:val="center"/>
              <w:rPr>
                <w:rFonts w:hint="eastAsia" w:ascii="仿宋" w:hAnsi="仿宋" w:eastAsia="仿宋" w:cs="仿宋"/>
                <w:kern w:val="0"/>
                <w:sz w:val="24"/>
                <w:szCs w:val="24"/>
              </w:rPr>
            </w:pPr>
            <w:r>
              <w:rPr>
                <w:rFonts w:hint="eastAsia" w:ascii="仿宋" w:hAnsi="仿宋" w:eastAsia="仿宋" w:cs="仿宋"/>
                <w:kern w:val="0"/>
                <w:sz w:val="24"/>
                <w:szCs w:val="24"/>
              </w:rPr>
              <w:t>40</w:t>
            </w:r>
          </w:p>
        </w:tc>
        <w:tc>
          <w:tcPr>
            <w:tcW w:w="589" w:type="dxa"/>
            <w:tcBorders>
              <w:top w:val="single" w:color="000000" w:sz="4" w:space="0"/>
              <w:left w:val="single" w:color="000000" w:sz="4" w:space="0"/>
              <w:bottom w:val="single" w:color="auto" w:sz="4" w:space="0"/>
            </w:tcBorders>
            <w:vAlign w:val="center"/>
          </w:tcPr>
          <w:p w14:paraId="0D91B92B">
            <w:pPr>
              <w:tabs>
                <w:tab w:val="left" w:pos="720"/>
              </w:tabs>
              <w:jc w:val="center"/>
              <w:rPr>
                <w:rFonts w:hint="eastAsia" w:ascii="仿宋" w:hAnsi="仿宋" w:eastAsia="仿宋" w:cs="仿宋"/>
                <w:kern w:val="0"/>
                <w:sz w:val="24"/>
                <w:szCs w:val="24"/>
                <w:lang w:eastAsia="zh-CN"/>
              </w:rPr>
            </w:pPr>
            <w:r>
              <w:rPr>
                <w:rFonts w:hint="eastAsia" w:ascii="仿宋" w:hAnsi="仿宋" w:eastAsia="仿宋" w:cs="仿宋"/>
                <w:kern w:val="0"/>
                <w:sz w:val="24"/>
                <w:szCs w:val="24"/>
              </w:rPr>
              <w:t>0.6</w:t>
            </w:r>
            <w:r>
              <w:rPr>
                <w:rFonts w:hint="eastAsia" w:ascii="仿宋" w:hAnsi="仿宋" w:eastAsia="仿宋" w:cs="仿宋"/>
                <w:kern w:val="0"/>
                <w:sz w:val="24"/>
                <w:szCs w:val="24"/>
                <w:lang w:val="en-US" w:eastAsia="zh-CN"/>
              </w:rPr>
              <w:t>5</w:t>
            </w:r>
          </w:p>
        </w:tc>
      </w:tr>
      <w:tr w14:paraId="5C345380">
        <w:tc>
          <w:tcPr>
            <w:tcW w:w="1376" w:type="dxa"/>
            <w:vAlign w:val="center"/>
          </w:tcPr>
          <w:p w14:paraId="30F342A7">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L</w:t>
            </w:r>
          </w:p>
          <w:p w14:paraId="5F828D64">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学习建议</w:t>
            </w:r>
          </w:p>
        </w:tc>
        <w:tc>
          <w:tcPr>
            <w:tcW w:w="7772" w:type="dxa"/>
            <w:gridSpan w:val="10"/>
            <w:tcBorders>
              <w:bottom w:val="single" w:color="auto" w:sz="4" w:space="0"/>
            </w:tcBorders>
            <w:vAlign w:val="center"/>
          </w:tcPr>
          <w:p w14:paraId="69819286">
            <w:pPr>
              <w:pStyle w:val="295"/>
              <w:keepNext w:val="0"/>
              <w:keepLines w:val="0"/>
              <w:pageBreakBefore w:val="0"/>
              <w:widowControl w:val="0"/>
              <w:tabs>
                <w:tab w:val="left" w:pos="401"/>
              </w:tabs>
              <w:kinsoku/>
              <w:wordWrap/>
              <w:overflowPunct/>
              <w:topLinePunct w:val="0"/>
              <w:autoSpaceDE/>
              <w:autoSpaceDN/>
              <w:bidi w:val="0"/>
              <w:spacing w:before="70" w:line="320" w:lineRule="exact"/>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kern w:val="2"/>
                <w:sz w:val="24"/>
                <w:szCs w:val="24"/>
                <w:lang w:val="en-US" w:eastAsia="zh-CN" w:bidi="ar-SA"/>
              </w:rPr>
              <w:t>1.自主学习。建议学生通过预习教材、复习课程，并通过网络、图书馆自主查阅课程中涉及的学习资源，了解国内外最新音乐教育知识，开阔学生的视野，独立规划自己的课程学习计划，充分发挥自身的学习能动性。</w:t>
            </w:r>
          </w:p>
          <w:p w14:paraId="03DAC54F">
            <w:pPr>
              <w:keepNext w:val="0"/>
              <w:keepLines w:val="0"/>
              <w:pageBreakBefore w:val="0"/>
              <w:widowControl w:val="0"/>
              <w:kinsoku/>
              <w:wordWrap/>
              <w:overflowPunct/>
              <w:topLinePunct w:val="0"/>
              <w:autoSpaceDE/>
              <w:autoSpaceDN/>
              <w:bidi w:val="0"/>
              <w:spacing w:line="320" w:lineRule="exact"/>
              <w:rPr>
                <w:rFonts w:hint="eastAsia" w:ascii="仿宋" w:hAnsi="仿宋" w:eastAsia="仿宋" w:cs="仿宋"/>
                <w:kern w:val="0"/>
                <w:sz w:val="24"/>
                <w:szCs w:val="24"/>
              </w:rPr>
            </w:pPr>
            <w:r>
              <w:rPr>
                <w:rFonts w:hint="eastAsia" w:ascii="仿宋" w:hAnsi="仿宋" w:eastAsia="仿宋" w:cs="仿宋"/>
                <w:color w:val="000000"/>
                <w:kern w:val="2"/>
                <w:sz w:val="24"/>
                <w:szCs w:val="24"/>
                <w:lang w:val="en-US" w:eastAsia="zh-CN" w:bidi="ar-SA"/>
              </w:rPr>
              <w:t>2.技能培养学习。鼓励学生针对课程教学内容，尝试创新性实践并提高学生对音乐学习的兴趣及创造力</w:t>
            </w:r>
            <w:r>
              <w:rPr>
                <w:rFonts w:hint="eastAsia" w:ascii="仿宋" w:hAnsi="仿宋" w:eastAsia="仿宋" w:cs="仿宋"/>
                <w:color w:val="000000"/>
                <w:sz w:val="24"/>
                <w:szCs w:val="24"/>
              </w:rPr>
              <w:t>。</w:t>
            </w:r>
          </w:p>
        </w:tc>
      </w:tr>
      <w:tr w14:paraId="3402BF49">
        <w:trPr>
          <w:trHeight w:val="454" w:hRule="atLeast"/>
        </w:trPr>
        <w:tc>
          <w:tcPr>
            <w:tcW w:w="1376" w:type="dxa"/>
            <w:vAlign w:val="center"/>
          </w:tcPr>
          <w:p w14:paraId="04FA3949">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M</w:t>
            </w:r>
          </w:p>
          <w:p w14:paraId="13DB8ED0">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评分量表</w:t>
            </w:r>
          </w:p>
        </w:tc>
        <w:tc>
          <w:tcPr>
            <w:tcW w:w="7772" w:type="dxa"/>
            <w:gridSpan w:val="10"/>
            <w:vAlign w:val="center"/>
          </w:tcPr>
          <w:p w14:paraId="77026F91">
            <w:pPr>
              <w:tabs>
                <w:tab w:val="left" w:pos="720"/>
              </w:tabs>
              <w:rPr>
                <w:rFonts w:hint="eastAsia" w:ascii="仿宋" w:hAnsi="仿宋" w:eastAsia="仿宋" w:cs="仿宋"/>
                <w:kern w:val="0"/>
                <w:sz w:val="24"/>
                <w:szCs w:val="24"/>
              </w:rPr>
            </w:pPr>
            <w:r>
              <w:rPr>
                <w:rFonts w:hint="eastAsia" w:ascii="仿宋" w:hAnsi="仿宋" w:eastAsia="仿宋" w:cs="仿宋"/>
                <w:color w:val="000000"/>
                <w:sz w:val="24"/>
                <w:szCs w:val="24"/>
              </w:rPr>
              <w:t>《视唱练耳》课程目标评分量表见附表。</w:t>
            </w:r>
          </w:p>
        </w:tc>
      </w:tr>
      <w:tr w14:paraId="5448C510">
        <w:trPr>
          <w:trHeight w:val="454" w:hRule="atLeast"/>
        </w:trPr>
        <w:tc>
          <w:tcPr>
            <w:tcW w:w="1376" w:type="dxa"/>
            <w:vAlign w:val="center"/>
          </w:tcPr>
          <w:p w14:paraId="1E15E61F">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备注</w:t>
            </w:r>
          </w:p>
        </w:tc>
        <w:tc>
          <w:tcPr>
            <w:tcW w:w="7772" w:type="dxa"/>
            <w:gridSpan w:val="10"/>
            <w:vAlign w:val="center"/>
          </w:tcPr>
          <w:p w14:paraId="263525FE">
            <w:pPr>
              <w:rPr>
                <w:rFonts w:hint="eastAsia" w:ascii="仿宋" w:hAnsi="仿宋" w:eastAsia="仿宋" w:cs="仿宋"/>
                <w:sz w:val="24"/>
                <w:szCs w:val="24"/>
              </w:rPr>
            </w:pPr>
            <w:r>
              <w:rPr>
                <w:rFonts w:hint="eastAsia" w:ascii="仿宋" w:hAnsi="仿宋" w:eastAsia="仿宋" w:cs="仿宋"/>
                <w:sz w:val="24"/>
                <w:szCs w:val="24"/>
              </w:rPr>
              <w:t>课程大纲A—M项由开课学院审批通过，任课教师不能自行更改。</w:t>
            </w:r>
          </w:p>
        </w:tc>
      </w:tr>
      <w:tr w14:paraId="7A1A8E4E">
        <w:trPr>
          <w:trHeight w:val="994" w:hRule="atLeast"/>
        </w:trPr>
        <w:tc>
          <w:tcPr>
            <w:tcW w:w="1376" w:type="dxa"/>
            <w:vAlign w:val="center"/>
          </w:tcPr>
          <w:p w14:paraId="79CE6D88">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审批</w:t>
            </w:r>
          </w:p>
          <w:p w14:paraId="59B03049">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意见</w:t>
            </w:r>
          </w:p>
        </w:tc>
        <w:tc>
          <w:tcPr>
            <w:tcW w:w="3869" w:type="dxa"/>
            <w:gridSpan w:val="2"/>
            <w:vAlign w:val="center"/>
          </w:tcPr>
          <w:p w14:paraId="3203E22E">
            <w:pPr>
              <w:widowControl/>
              <w:jc w:val="left"/>
              <w:rPr>
                <w:rFonts w:hint="eastAsia" w:ascii="仿宋" w:hAnsi="仿宋" w:eastAsia="仿宋" w:cs="仿宋"/>
                <w:kern w:val="0"/>
                <w:sz w:val="24"/>
                <w:szCs w:val="24"/>
              </w:rPr>
            </w:pPr>
            <w:r>
              <w:rPr>
                <w:rFonts w:hint="eastAsia" w:ascii="仿宋" w:hAnsi="仿宋" w:eastAsia="仿宋" w:cs="仿宋"/>
                <w:kern w:val="0"/>
                <w:sz w:val="24"/>
                <w:szCs w:val="24"/>
              </w:rPr>
              <w:t>课程教学大纲修订负责人及教学团队成员</w:t>
            </w:r>
            <w:r>
              <w:rPr>
                <w:rFonts w:hint="eastAsia" w:ascii="仿宋" w:hAnsi="仿宋" w:eastAsia="仿宋" w:cs="仿宋"/>
                <w:sz w:val="24"/>
                <w:szCs w:val="24"/>
              </w:rPr>
              <w:t>签名</w:t>
            </w:r>
            <w:r>
              <w:rPr>
                <w:rFonts w:hint="eastAsia" w:ascii="仿宋" w:hAnsi="仿宋" w:eastAsia="仿宋" w:cs="仿宋"/>
                <w:kern w:val="0"/>
                <w:sz w:val="24"/>
                <w:szCs w:val="24"/>
              </w:rPr>
              <w:t xml:space="preserve">：   </w:t>
            </w:r>
          </w:p>
          <w:p w14:paraId="0022C797">
            <w:pPr>
              <w:widowControl/>
              <w:jc w:val="left"/>
              <w:rPr>
                <w:rFonts w:hint="eastAsia" w:ascii="仿宋" w:hAnsi="仿宋" w:eastAsia="仿宋" w:cs="仿宋"/>
                <w:kern w:val="0"/>
                <w:sz w:val="24"/>
                <w:szCs w:val="24"/>
              </w:rPr>
            </w:pPr>
          </w:p>
          <w:p w14:paraId="77B3AB6F">
            <w:pPr>
              <w:widowControl/>
              <w:jc w:val="left"/>
              <w:rPr>
                <w:rFonts w:hint="eastAsia" w:ascii="仿宋" w:hAnsi="仿宋" w:eastAsia="仿宋" w:cs="仿宋"/>
                <w:kern w:val="0"/>
                <w:sz w:val="24"/>
                <w:szCs w:val="24"/>
              </w:rPr>
            </w:pPr>
          </w:p>
          <w:p w14:paraId="157A507E">
            <w:pPr>
              <w:widowControl/>
              <w:jc w:val="left"/>
              <w:rPr>
                <w:rFonts w:hint="eastAsia" w:ascii="仿宋" w:hAnsi="仿宋" w:eastAsia="仿宋" w:cs="仿宋"/>
                <w:kern w:val="0"/>
                <w:sz w:val="24"/>
                <w:szCs w:val="24"/>
              </w:rPr>
            </w:pPr>
          </w:p>
          <w:p w14:paraId="3B237460">
            <w:pPr>
              <w:widowControl/>
              <w:jc w:val="left"/>
              <w:rPr>
                <w:rFonts w:hint="eastAsia" w:ascii="仿宋" w:hAnsi="仿宋" w:eastAsia="仿宋" w:cs="仿宋"/>
                <w:kern w:val="0"/>
                <w:sz w:val="24"/>
                <w:szCs w:val="24"/>
              </w:rPr>
            </w:pPr>
          </w:p>
          <w:p w14:paraId="042A374E">
            <w:pPr>
              <w:widowControl/>
              <w:jc w:val="right"/>
              <w:rPr>
                <w:rFonts w:hint="eastAsia" w:ascii="仿宋" w:hAnsi="仿宋" w:eastAsia="仿宋" w:cs="仿宋"/>
                <w:kern w:val="0"/>
                <w:sz w:val="24"/>
                <w:szCs w:val="24"/>
              </w:rPr>
            </w:pPr>
            <w:r>
              <w:rPr>
                <w:rFonts w:hint="eastAsia" w:ascii="仿宋" w:hAnsi="仿宋" w:eastAsia="仿宋" w:cs="仿宋"/>
                <w:kern w:val="0"/>
                <w:sz w:val="24"/>
                <w:szCs w:val="24"/>
              </w:rPr>
              <w:t xml:space="preserve">                                                   年   月   日 </w:t>
            </w:r>
          </w:p>
          <w:p w14:paraId="2A7D1F40">
            <w:pPr>
              <w:widowControl/>
              <w:jc w:val="right"/>
              <w:rPr>
                <w:rFonts w:hint="eastAsia" w:ascii="仿宋" w:hAnsi="仿宋" w:eastAsia="仿宋" w:cs="仿宋"/>
                <w:kern w:val="0"/>
                <w:sz w:val="24"/>
                <w:szCs w:val="24"/>
              </w:rPr>
            </w:pPr>
          </w:p>
        </w:tc>
        <w:tc>
          <w:tcPr>
            <w:tcW w:w="3903" w:type="dxa"/>
            <w:gridSpan w:val="8"/>
            <w:vAlign w:val="center"/>
          </w:tcPr>
          <w:p w14:paraId="5882ACF3">
            <w:pPr>
              <w:widowControl/>
              <w:jc w:val="left"/>
              <w:rPr>
                <w:rFonts w:hint="eastAsia" w:ascii="仿宋" w:hAnsi="仿宋" w:eastAsia="仿宋" w:cs="仿宋"/>
                <w:kern w:val="0"/>
                <w:sz w:val="24"/>
                <w:szCs w:val="24"/>
              </w:rPr>
            </w:pPr>
            <w:r>
              <w:rPr>
                <w:rFonts w:hint="eastAsia" w:ascii="仿宋" w:hAnsi="仿宋" w:eastAsia="仿宋" w:cs="仿宋"/>
                <w:kern w:val="0"/>
                <w:sz w:val="24"/>
                <w:szCs w:val="24"/>
              </w:rPr>
              <w:t>系主任审核意见：</w:t>
            </w:r>
          </w:p>
          <w:p w14:paraId="7EC880F3">
            <w:pPr>
              <w:widowControl/>
              <w:jc w:val="left"/>
              <w:rPr>
                <w:rFonts w:hint="eastAsia" w:ascii="仿宋" w:hAnsi="仿宋" w:eastAsia="仿宋" w:cs="仿宋"/>
                <w:kern w:val="0"/>
                <w:sz w:val="24"/>
                <w:szCs w:val="24"/>
              </w:rPr>
            </w:pPr>
          </w:p>
          <w:p w14:paraId="30AA838D">
            <w:pPr>
              <w:widowControl/>
              <w:jc w:val="left"/>
              <w:rPr>
                <w:rFonts w:hint="eastAsia" w:ascii="仿宋" w:hAnsi="仿宋" w:eastAsia="仿宋" w:cs="仿宋"/>
                <w:kern w:val="0"/>
                <w:sz w:val="24"/>
                <w:szCs w:val="24"/>
              </w:rPr>
            </w:pPr>
          </w:p>
          <w:p w14:paraId="3D5A56D4">
            <w:pPr>
              <w:widowControl/>
              <w:jc w:val="left"/>
              <w:rPr>
                <w:rFonts w:hint="eastAsia" w:ascii="仿宋" w:hAnsi="仿宋" w:eastAsia="仿宋" w:cs="仿宋"/>
                <w:kern w:val="0"/>
                <w:sz w:val="24"/>
                <w:szCs w:val="24"/>
              </w:rPr>
            </w:pPr>
          </w:p>
          <w:p w14:paraId="617AA1E6">
            <w:pPr>
              <w:widowControl/>
              <w:jc w:val="left"/>
              <w:rPr>
                <w:rFonts w:hint="eastAsia" w:ascii="仿宋" w:hAnsi="仿宋" w:eastAsia="仿宋" w:cs="仿宋"/>
                <w:kern w:val="0"/>
                <w:sz w:val="24"/>
                <w:szCs w:val="24"/>
              </w:rPr>
            </w:pPr>
          </w:p>
          <w:p w14:paraId="2CE315A0">
            <w:pPr>
              <w:widowControl/>
              <w:jc w:val="left"/>
              <w:rPr>
                <w:rFonts w:hint="eastAsia" w:ascii="仿宋" w:hAnsi="仿宋" w:eastAsia="仿宋" w:cs="仿宋"/>
                <w:kern w:val="0"/>
                <w:sz w:val="24"/>
                <w:szCs w:val="24"/>
              </w:rPr>
            </w:pPr>
            <w:r>
              <w:rPr>
                <w:rFonts w:hint="eastAsia" w:ascii="仿宋" w:hAnsi="仿宋" w:eastAsia="仿宋" w:cs="仿宋"/>
                <w:kern w:val="0"/>
                <w:sz w:val="24"/>
                <w:szCs w:val="24"/>
              </w:rPr>
              <w:t>系主任签名：</w:t>
            </w:r>
          </w:p>
          <w:p w14:paraId="4D146E21">
            <w:pPr>
              <w:widowControl/>
              <w:jc w:val="right"/>
              <w:rPr>
                <w:rFonts w:hint="eastAsia" w:ascii="仿宋" w:hAnsi="仿宋" w:eastAsia="仿宋" w:cs="仿宋"/>
                <w:kern w:val="0"/>
                <w:sz w:val="24"/>
                <w:szCs w:val="24"/>
              </w:rPr>
            </w:pPr>
          </w:p>
          <w:p w14:paraId="09C7FB39">
            <w:pPr>
              <w:widowControl/>
              <w:jc w:val="right"/>
              <w:rPr>
                <w:rFonts w:hint="eastAsia" w:ascii="仿宋" w:hAnsi="仿宋" w:eastAsia="仿宋" w:cs="仿宋"/>
                <w:kern w:val="0"/>
                <w:sz w:val="24"/>
                <w:szCs w:val="24"/>
              </w:rPr>
            </w:pPr>
            <w:r>
              <w:rPr>
                <w:rFonts w:hint="eastAsia" w:ascii="仿宋" w:hAnsi="仿宋" w:eastAsia="仿宋" w:cs="仿宋"/>
                <w:kern w:val="0"/>
                <w:sz w:val="24"/>
                <w:szCs w:val="24"/>
              </w:rPr>
              <w:t>年   月   日</w:t>
            </w:r>
          </w:p>
          <w:p w14:paraId="01B1659E">
            <w:pPr>
              <w:widowControl/>
              <w:jc w:val="right"/>
              <w:rPr>
                <w:rFonts w:hint="eastAsia" w:ascii="仿宋" w:hAnsi="仿宋" w:eastAsia="仿宋" w:cs="仿宋"/>
                <w:kern w:val="0"/>
                <w:sz w:val="24"/>
                <w:szCs w:val="24"/>
              </w:rPr>
            </w:pPr>
          </w:p>
        </w:tc>
      </w:tr>
    </w:tbl>
    <w:p w14:paraId="085DCA98">
      <w:pPr>
        <w:widowControl/>
        <w:spacing w:line="360" w:lineRule="auto"/>
        <w:ind w:right="480"/>
        <w:rPr>
          <w:rFonts w:hint="eastAsia" w:eastAsia="PMingLiU" w:cs="黑体"/>
          <w:lang w:eastAsia="zh-TW"/>
        </w:rPr>
      </w:pPr>
    </w:p>
    <w:p w14:paraId="2E81EA0E">
      <w:pPr>
        <w:widowControl/>
        <w:spacing w:line="360" w:lineRule="auto"/>
        <w:ind w:right="480" w:firstLine="420" w:firstLineChars="200"/>
        <w:rPr>
          <w:rFonts w:cs="黑体"/>
        </w:rPr>
        <w:sectPr>
          <w:headerReference r:id="rId49" w:type="default"/>
          <w:footerReference r:id="rId50" w:type="default"/>
          <w:pgSz w:w="11906" w:h="16838"/>
          <w:pgMar w:top="1134" w:right="1417" w:bottom="1134" w:left="1417" w:header="851" w:footer="992" w:gutter="0"/>
          <w:cols w:space="720" w:num="1"/>
          <w:docGrid w:type="lines" w:linePitch="312" w:charSpace="0"/>
        </w:sectPr>
      </w:pPr>
    </w:p>
    <w:p w14:paraId="7A1E6A84">
      <w:pPr>
        <w:spacing w:line="360" w:lineRule="auto"/>
        <w:jc w:val="left"/>
        <w:rPr>
          <w:rFonts w:hint="eastAsia" w:cs="黑体"/>
        </w:rPr>
      </w:pPr>
      <w:r>
        <w:rPr>
          <w:rFonts w:hint="eastAsia" w:ascii="仿宋" w:hAnsi="仿宋" w:eastAsia="仿宋" w:cs="仿宋"/>
          <w:sz w:val="32"/>
          <w:szCs w:val="32"/>
        </w:rPr>
        <w:t xml:space="preserve">附表  </w:t>
      </w:r>
      <w:r>
        <w:rPr>
          <w:rFonts w:hint="eastAsia" w:cs="黑体"/>
        </w:rPr>
        <w:t xml:space="preserve">  </w:t>
      </w:r>
    </w:p>
    <w:p w14:paraId="76D1B244">
      <w:pPr>
        <w:spacing w:line="360" w:lineRule="auto"/>
        <w:jc w:val="center"/>
        <w:rPr>
          <w:rFonts w:hint="eastAsia" w:cs="黑体"/>
        </w:rPr>
      </w:pPr>
      <w:r>
        <w:rPr>
          <w:rFonts w:hint="eastAsia" w:eastAsia="方正小标宋简体"/>
          <w:sz w:val="44"/>
          <w:szCs w:val="44"/>
        </w:rPr>
        <w:t>《视唱练耳》课程目标评分量表</w:t>
      </w:r>
    </w:p>
    <w:tbl>
      <w:tblPr>
        <w:tblStyle w:val="22"/>
        <w:tblW w:w="1360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28" w:type="dxa"/>
        </w:tblCellMar>
      </w:tblPr>
      <w:tblGrid>
        <w:gridCol w:w="383"/>
        <w:gridCol w:w="1856"/>
        <w:gridCol w:w="2409"/>
        <w:gridCol w:w="2251"/>
        <w:gridCol w:w="2234"/>
        <w:gridCol w:w="2234"/>
        <w:gridCol w:w="2235"/>
      </w:tblGrid>
      <w:tr w14:paraId="47813B0A">
        <w:trPr>
          <w:cantSplit/>
          <w:trHeight w:val="90" w:hRule="atLeast"/>
          <w:jc w:val="center"/>
        </w:trPr>
        <w:tc>
          <w:tcPr>
            <w:tcW w:w="383" w:type="dxa"/>
            <w:vMerge w:val="restart"/>
            <w:vAlign w:val="center"/>
          </w:tcPr>
          <w:p w14:paraId="1A2F3BA0">
            <w:pPr>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M</w:t>
            </w:r>
          </w:p>
          <w:p w14:paraId="5992130A">
            <w:pPr>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评分量表</w:t>
            </w:r>
          </w:p>
        </w:tc>
        <w:tc>
          <w:tcPr>
            <w:tcW w:w="1856" w:type="dxa"/>
            <w:vAlign w:val="center"/>
          </w:tcPr>
          <w:p w14:paraId="6E3884D1">
            <w:pPr>
              <w:tabs>
                <w:tab w:val="left" w:pos="720"/>
              </w:tabs>
              <w:spacing w:line="240" w:lineRule="atLeas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课程目标</w:t>
            </w:r>
          </w:p>
        </w:tc>
        <w:tc>
          <w:tcPr>
            <w:tcW w:w="2409" w:type="dxa"/>
            <w:vAlign w:val="center"/>
          </w:tcPr>
          <w:p w14:paraId="5AE66275">
            <w:pPr>
              <w:tabs>
                <w:tab w:val="left" w:pos="720"/>
              </w:tabs>
              <w:spacing w:line="240" w:lineRule="atLeas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优（X≧90）</w:t>
            </w:r>
          </w:p>
        </w:tc>
        <w:tc>
          <w:tcPr>
            <w:tcW w:w="2251" w:type="dxa"/>
            <w:vAlign w:val="center"/>
          </w:tcPr>
          <w:p w14:paraId="5348BDD3">
            <w:pPr>
              <w:tabs>
                <w:tab w:val="left" w:pos="720"/>
              </w:tabs>
              <w:spacing w:line="240" w:lineRule="atLeas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良（80≦X＜90）</w:t>
            </w:r>
          </w:p>
        </w:tc>
        <w:tc>
          <w:tcPr>
            <w:tcW w:w="2234" w:type="dxa"/>
            <w:vAlign w:val="center"/>
          </w:tcPr>
          <w:p w14:paraId="45CB501D">
            <w:pPr>
              <w:tabs>
                <w:tab w:val="left" w:pos="720"/>
              </w:tabs>
              <w:spacing w:line="240" w:lineRule="atLeas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中（70≦X＜80）</w:t>
            </w:r>
          </w:p>
        </w:tc>
        <w:tc>
          <w:tcPr>
            <w:tcW w:w="2234" w:type="dxa"/>
            <w:vAlign w:val="center"/>
          </w:tcPr>
          <w:p w14:paraId="5C2C1797">
            <w:pPr>
              <w:tabs>
                <w:tab w:val="left" w:pos="720"/>
              </w:tabs>
              <w:spacing w:line="240" w:lineRule="atLeas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及格（60≦X＜70）</w:t>
            </w:r>
          </w:p>
        </w:tc>
        <w:tc>
          <w:tcPr>
            <w:tcW w:w="2235" w:type="dxa"/>
            <w:vAlign w:val="center"/>
          </w:tcPr>
          <w:p w14:paraId="72F977BA">
            <w:pPr>
              <w:tabs>
                <w:tab w:val="left" w:pos="720"/>
              </w:tabs>
              <w:spacing w:line="240" w:lineRule="atLeas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不及格（＜60）</w:t>
            </w:r>
          </w:p>
        </w:tc>
      </w:tr>
      <w:tr w14:paraId="7E828270">
        <w:trPr>
          <w:cantSplit/>
          <w:trHeight w:val="5192" w:hRule="atLeast"/>
          <w:jc w:val="center"/>
        </w:trPr>
        <w:tc>
          <w:tcPr>
            <w:tcW w:w="383" w:type="dxa"/>
            <w:vMerge w:val="continue"/>
            <w:vAlign w:val="center"/>
          </w:tcPr>
          <w:p w14:paraId="57252F0D">
            <w:pPr>
              <w:spacing w:line="240" w:lineRule="atLeast"/>
              <w:jc w:val="center"/>
              <w:rPr>
                <w:rFonts w:hint="eastAsia" w:ascii="仿宋" w:hAnsi="仿宋" w:eastAsia="仿宋" w:cs="仿宋"/>
                <w:color w:val="000000"/>
                <w:sz w:val="24"/>
                <w:szCs w:val="24"/>
              </w:rPr>
            </w:pPr>
          </w:p>
        </w:tc>
        <w:tc>
          <w:tcPr>
            <w:tcW w:w="1856" w:type="dxa"/>
            <w:vAlign w:val="top"/>
          </w:tcPr>
          <w:p w14:paraId="0BDADB12">
            <w:pPr>
              <w:pStyle w:val="295"/>
              <w:tabs>
                <w:tab w:val="left" w:pos="401"/>
              </w:tabs>
              <w:spacing w:before="70"/>
              <w:rPr>
                <w:rFonts w:hint="eastAsia" w:ascii="仿宋" w:hAnsi="仿宋" w:eastAsia="仿宋" w:cs="仿宋"/>
                <w:color w:val="000000"/>
                <w:sz w:val="24"/>
                <w:szCs w:val="24"/>
              </w:rPr>
            </w:pPr>
            <w:r>
              <w:rPr>
                <w:rFonts w:hint="eastAsia" w:ascii="仿宋" w:hAnsi="仿宋" w:eastAsia="仿宋" w:cs="仿宋"/>
                <w:b/>
                <w:bCs/>
                <w:color w:val="000000"/>
                <w:sz w:val="24"/>
                <w:szCs w:val="24"/>
              </w:rPr>
              <w:t>课程目标1：</w:t>
            </w:r>
            <w:r>
              <w:rPr>
                <w:rFonts w:hint="eastAsia" w:ascii="仿宋" w:hAnsi="仿宋" w:eastAsia="仿宋" w:cs="仿宋"/>
                <w:color w:val="000000"/>
                <w:sz w:val="24"/>
                <w:szCs w:val="24"/>
              </w:rPr>
              <w:t>理解识记基本视唱练耳知识，形成综合的音乐技能实践体系，并具备初步的综合分析、运用与创作能力。（支撑毕业要求3.1）</w:t>
            </w:r>
          </w:p>
        </w:tc>
        <w:tc>
          <w:tcPr>
            <w:tcW w:w="2409" w:type="dxa"/>
            <w:vAlign w:val="top"/>
          </w:tcPr>
          <w:p w14:paraId="0DEA519B">
            <w:pPr>
              <w:widowControl/>
              <w:ind w:firstLine="480" w:firstLineChars="200"/>
              <w:rPr>
                <w:rFonts w:hint="eastAsia" w:ascii="仿宋" w:hAnsi="仿宋" w:eastAsia="仿宋" w:cs="仿宋"/>
                <w:bCs/>
                <w:color w:val="000000"/>
                <w:sz w:val="24"/>
                <w:szCs w:val="24"/>
              </w:rPr>
            </w:pPr>
            <w:r>
              <w:rPr>
                <w:rFonts w:hint="eastAsia" w:ascii="仿宋" w:hAnsi="仿宋" w:eastAsia="仿宋" w:cs="仿宋"/>
                <w:bCs/>
                <w:color w:val="000000"/>
                <w:sz w:val="24"/>
                <w:szCs w:val="24"/>
              </w:rPr>
              <w:t>能够扎实地掌握</w:t>
            </w:r>
            <w:r>
              <w:rPr>
                <w:rFonts w:hint="eastAsia" w:ascii="仿宋" w:hAnsi="仿宋" w:eastAsia="仿宋" w:cs="仿宋"/>
                <w:color w:val="000000"/>
                <w:sz w:val="24"/>
                <w:szCs w:val="24"/>
              </w:rPr>
              <w:t>视唱练耳</w:t>
            </w:r>
            <w:r>
              <w:rPr>
                <w:rFonts w:hint="eastAsia" w:ascii="仿宋" w:hAnsi="仿宋" w:eastAsia="仿宋" w:cs="仿宋"/>
                <w:color w:val="000000"/>
                <w:kern w:val="0"/>
                <w:sz w:val="24"/>
                <w:szCs w:val="24"/>
              </w:rPr>
              <w:t>的基本理论和基本技术。通过视唱训练，掌握正确的音准、节奏和一定的感情表达能力；具有熟练的视谱技能，能视谱即唱和听记一般歌曲和器乐曲的片断；通过听觉判断并准确地唱出各调式的音级和音程（包括大调式、小调式和宫、商、角、征、羽等民族调式）；通过听觉判断四种不同性质的三和弦（大、小、增、减）及转位、大小七和弦。</w:t>
            </w:r>
          </w:p>
        </w:tc>
        <w:tc>
          <w:tcPr>
            <w:tcW w:w="2251" w:type="dxa"/>
            <w:vAlign w:val="top"/>
          </w:tcPr>
          <w:p w14:paraId="116347A0">
            <w:pPr>
              <w:widowControl/>
              <w:ind w:firstLine="480" w:firstLineChars="200"/>
              <w:rPr>
                <w:rFonts w:hint="eastAsia" w:ascii="仿宋" w:hAnsi="仿宋" w:eastAsia="仿宋" w:cs="仿宋"/>
                <w:bCs/>
                <w:color w:val="000000"/>
                <w:sz w:val="24"/>
                <w:szCs w:val="24"/>
              </w:rPr>
            </w:pPr>
            <w:r>
              <w:rPr>
                <w:rFonts w:hint="eastAsia" w:ascii="仿宋" w:hAnsi="仿宋" w:eastAsia="仿宋" w:cs="仿宋"/>
                <w:bCs/>
                <w:color w:val="000000"/>
                <w:sz w:val="24"/>
                <w:szCs w:val="24"/>
              </w:rPr>
              <w:t>能够掌握</w:t>
            </w:r>
            <w:r>
              <w:rPr>
                <w:rFonts w:hint="eastAsia" w:ascii="仿宋" w:hAnsi="仿宋" w:eastAsia="仿宋" w:cs="仿宋"/>
                <w:color w:val="000000"/>
                <w:sz w:val="24"/>
                <w:szCs w:val="24"/>
              </w:rPr>
              <w:t>视唱练耳</w:t>
            </w:r>
            <w:r>
              <w:rPr>
                <w:rFonts w:hint="eastAsia" w:ascii="仿宋" w:hAnsi="仿宋" w:eastAsia="仿宋" w:cs="仿宋"/>
                <w:color w:val="000000"/>
                <w:kern w:val="0"/>
                <w:sz w:val="24"/>
                <w:szCs w:val="24"/>
              </w:rPr>
              <w:t>的基本理论和基本技术。通过视唱训练，掌握正确的音准、节奏和一定的感情表达能力；具有熟练的视谱技能，能视谱即唱和听记一般歌曲和器乐曲的片断；通过听觉判断并准确地唱出各调式的音级和音程（包括大调式、小调式和宫、商、角、征、羽等民族调式）；通过听觉判断四种不同性质的三和弦（大、小、增、减）及转位、大小七和弦。</w:t>
            </w:r>
          </w:p>
        </w:tc>
        <w:tc>
          <w:tcPr>
            <w:tcW w:w="2234" w:type="dxa"/>
            <w:vAlign w:val="top"/>
          </w:tcPr>
          <w:p w14:paraId="740229A6">
            <w:pPr>
              <w:widowControl/>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能够基本掌握视唱练耳</w:t>
            </w:r>
            <w:r>
              <w:rPr>
                <w:rFonts w:hint="eastAsia" w:ascii="仿宋" w:hAnsi="仿宋" w:eastAsia="仿宋" w:cs="仿宋"/>
                <w:color w:val="000000"/>
                <w:kern w:val="0"/>
                <w:sz w:val="24"/>
                <w:szCs w:val="24"/>
              </w:rPr>
              <w:t>的基本理论和基本技术。通过视唱训练，掌握正确的音准、节奏和一定的感情表达能力；具有熟练的视谱技能，能视谱即唱和听记一般歌曲和器乐曲的片断；通过听觉判断并准确地唱出各调式的音级和音程（包括大调式、小调式和宫、商、角、征、羽等民族调式）；通过听觉判断四种不同性质的三和弦（大、小、增、减）及转位、大小七和弦。</w:t>
            </w:r>
          </w:p>
        </w:tc>
        <w:tc>
          <w:tcPr>
            <w:tcW w:w="2234" w:type="dxa"/>
            <w:vAlign w:val="top"/>
          </w:tcPr>
          <w:p w14:paraId="749B35FD">
            <w:pPr>
              <w:widowControl/>
              <w:ind w:firstLine="480" w:firstLineChars="200"/>
              <w:rPr>
                <w:rFonts w:hint="eastAsia" w:ascii="仿宋" w:hAnsi="仿宋" w:eastAsia="仿宋" w:cs="仿宋"/>
                <w:color w:val="000000"/>
                <w:sz w:val="24"/>
                <w:szCs w:val="24"/>
              </w:rPr>
            </w:pPr>
            <w:r>
              <w:rPr>
                <w:rFonts w:hint="eastAsia" w:ascii="仿宋" w:hAnsi="仿宋" w:eastAsia="仿宋" w:cs="仿宋"/>
                <w:color w:val="000000"/>
                <w:kern w:val="0"/>
                <w:sz w:val="24"/>
                <w:szCs w:val="24"/>
              </w:rPr>
              <w:t>掌握部分视唱练耳的基本理论和基本技术。通过视唱训练，基本掌握正确的音准、节奏；具有一般的视谱、听唱及听写技能；通过听觉的判断,</w:t>
            </w:r>
            <w:r>
              <w:rPr>
                <w:rFonts w:hint="eastAsia" w:ascii="仿宋" w:hAnsi="仿宋" w:eastAsia="仿宋" w:cs="仿宋"/>
                <w:color w:val="000000"/>
                <w:kern w:val="0"/>
                <w:sz w:val="24"/>
                <w:szCs w:val="24"/>
                <w:lang w:eastAsia="zh-TW"/>
              </w:rPr>
              <w:t>基本掌握</w:t>
            </w:r>
            <w:r>
              <w:rPr>
                <w:rFonts w:hint="eastAsia" w:ascii="仿宋" w:hAnsi="仿宋" w:eastAsia="仿宋" w:cs="仿宋"/>
                <w:color w:val="000000"/>
                <w:kern w:val="0"/>
                <w:sz w:val="24"/>
                <w:szCs w:val="24"/>
              </w:rPr>
              <w:t>各调式的音级和音程（包括大调式、小调式和宫、商、角、征、羽等民族调式）及四种不同性质的三和弦（大、小、增、减）及转位、大小七和弦。</w:t>
            </w:r>
          </w:p>
        </w:tc>
        <w:tc>
          <w:tcPr>
            <w:tcW w:w="2235" w:type="dxa"/>
            <w:vAlign w:val="top"/>
          </w:tcPr>
          <w:p w14:paraId="7D75D819">
            <w:pPr>
              <w:widowControl/>
              <w:ind w:firstLine="480" w:firstLineChars="200"/>
              <w:rPr>
                <w:rFonts w:hint="eastAsia" w:ascii="仿宋" w:hAnsi="仿宋" w:eastAsia="仿宋" w:cs="仿宋"/>
                <w:b/>
                <w:color w:val="000000"/>
                <w:kern w:val="0"/>
                <w:sz w:val="24"/>
                <w:szCs w:val="24"/>
              </w:rPr>
            </w:pPr>
            <w:r>
              <w:rPr>
                <w:rFonts w:hint="eastAsia" w:ascii="仿宋" w:hAnsi="仿宋" w:eastAsia="仿宋" w:cs="仿宋"/>
                <w:color w:val="000000"/>
                <w:kern w:val="0"/>
                <w:sz w:val="24"/>
                <w:szCs w:val="24"/>
                <w:lang w:eastAsia="zh-TW"/>
              </w:rPr>
              <w:t>无法</w:t>
            </w:r>
            <w:r>
              <w:rPr>
                <w:rFonts w:hint="eastAsia" w:ascii="仿宋" w:hAnsi="仿宋" w:eastAsia="仿宋" w:cs="仿宋"/>
                <w:color w:val="000000"/>
                <w:kern w:val="0"/>
                <w:sz w:val="24"/>
                <w:szCs w:val="24"/>
              </w:rPr>
              <w:t>领会</w:t>
            </w:r>
            <w:r>
              <w:rPr>
                <w:rFonts w:hint="eastAsia" w:ascii="仿宋" w:hAnsi="仿宋" w:eastAsia="仿宋" w:cs="仿宋"/>
                <w:color w:val="000000"/>
                <w:sz w:val="24"/>
                <w:szCs w:val="24"/>
              </w:rPr>
              <w:t>视唱练耳</w:t>
            </w:r>
            <w:r>
              <w:rPr>
                <w:rFonts w:hint="eastAsia" w:ascii="仿宋" w:hAnsi="仿宋" w:eastAsia="仿宋" w:cs="仿宋"/>
                <w:color w:val="000000"/>
                <w:kern w:val="0"/>
                <w:sz w:val="24"/>
                <w:szCs w:val="24"/>
              </w:rPr>
              <w:t>的基本理论和基本技术。无法掌握正确的音准、节奏和一定的感情表达能力；不具有熟练的视谱技能，无法视谱即唱和听记一般歌曲和器乐曲的片断；无法判断并准确地唱出各调式的音级和音程（包括大调式、小调式和宫、商、角、征、羽等民族调式）；无法准确的判断四种不同性质的三和弦（大、小、增、减）及转位、大小七和弦。</w:t>
            </w:r>
          </w:p>
        </w:tc>
      </w:tr>
      <w:tr w14:paraId="143001A8">
        <w:trPr>
          <w:cantSplit/>
          <w:trHeight w:val="3540" w:hRule="atLeast"/>
          <w:jc w:val="center"/>
        </w:trPr>
        <w:tc>
          <w:tcPr>
            <w:tcW w:w="383" w:type="dxa"/>
            <w:vMerge w:val="continue"/>
            <w:vAlign w:val="center"/>
          </w:tcPr>
          <w:p w14:paraId="43D95BEC">
            <w:pPr>
              <w:widowControl/>
              <w:rPr>
                <w:rFonts w:hint="eastAsia" w:ascii="仿宋" w:hAnsi="仿宋" w:eastAsia="仿宋" w:cs="仿宋"/>
                <w:bCs/>
                <w:color w:val="FF0000"/>
                <w:sz w:val="24"/>
                <w:szCs w:val="24"/>
                <w:lang w:eastAsia="zh-TW"/>
              </w:rPr>
            </w:pPr>
          </w:p>
        </w:tc>
        <w:tc>
          <w:tcPr>
            <w:tcW w:w="1856" w:type="dxa"/>
            <w:vAlign w:val="top"/>
          </w:tcPr>
          <w:p w14:paraId="170E16EA">
            <w:pPr>
              <w:widowControl/>
              <w:ind w:firstLine="480" w:firstLineChars="200"/>
              <w:rPr>
                <w:rFonts w:hint="eastAsia" w:ascii="仿宋" w:hAnsi="仿宋" w:eastAsia="仿宋" w:cs="仿宋"/>
                <w:color w:val="000000"/>
                <w:kern w:val="0"/>
                <w:sz w:val="24"/>
                <w:szCs w:val="24"/>
                <w:lang w:eastAsia="zh-TW"/>
              </w:rPr>
            </w:pPr>
            <w:r>
              <w:rPr>
                <w:rFonts w:hint="eastAsia" w:ascii="仿宋" w:hAnsi="仿宋" w:eastAsia="仿宋" w:cs="仿宋"/>
                <w:color w:val="000000"/>
                <w:kern w:val="0"/>
                <w:sz w:val="24"/>
                <w:szCs w:val="24"/>
                <w:lang w:eastAsia="zh-TW"/>
              </w:rPr>
              <w:t>课程目标2：具备一定音乐分析能力，在音乐作品中准确辨认音高、节奏、音程、和弦相关概念及音响色彩。熟练记忆构写节奏、曲调、音程及和弦和弦、调式（支撑毕业要求4.1）</w:t>
            </w:r>
          </w:p>
        </w:tc>
        <w:tc>
          <w:tcPr>
            <w:tcW w:w="2409" w:type="dxa"/>
            <w:vAlign w:val="top"/>
          </w:tcPr>
          <w:p w14:paraId="02020B5E">
            <w:pPr>
              <w:widowControl/>
              <w:ind w:firstLine="480" w:firstLineChars="200"/>
              <w:rPr>
                <w:rFonts w:hint="eastAsia" w:ascii="仿宋" w:hAnsi="仿宋" w:eastAsia="仿宋" w:cs="仿宋"/>
                <w:color w:val="000000"/>
                <w:kern w:val="0"/>
                <w:sz w:val="24"/>
                <w:szCs w:val="24"/>
                <w:lang w:eastAsia="zh-TW"/>
              </w:rPr>
            </w:pPr>
            <w:r>
              <w:rPr>
                <w:rFonts w:hint="eastAsia" w:ascii="仿宋" w:hAnsi="仿宋" w:eastAsia="仿宋" w:cs="仿宋"/>
                <w:color w:val="000000"/>
                <w:kern w:val="0"/>
                <w:sz w:val="24"/>
                <w:szCs w:val="24"/>
                <w:lang w:eastAsia="zh-TW"/>
              </w:rPr>
              <w:t>能够扎实地掌握音乐的分析能力,熟练音乐记忆构写节奏、曲调、音程及和弦和弦、调式.</w:t>
            </w:r>
          </w:p>
          <w:p w14:paraId="24392BAC">
            <w:pPr>
              <w:widowControl/>
              <w:ind w:firstLine="480" w:firstLineChars="200"/>
              <w:rPr>
                <w:rFonts w:hint="eastAsia" w:ascii="仿宋" w:hAnsi="仿宋" w:eastAsia="仿宋" w:cs="仿宋"/>
                <w:color w:val="000000"/>
                <w:kern w:val="0"/>
                <w:sz w:val="24"/>
                <w:szCs w:val="24"/>
                <w:lang w:eastAsia="zh-TW"/>
              </w:rPr>
            </w:pPr>
          </w:p>
        </w:tc>
        <w:tc>
          <w:tcPr>
            <w:tcW w:w="2251" w:type="dxa"/>
            <w:vAlign w:val="top"/>
          </w:tcPr>
          <w:p w14:paraId="74659E63">
            <w:pPr>
              <w:widowControl/>
              <w:ind w:firstLine="480" w:firstLineChars="200"/>
              <w:rPr>
                <w:rFonts w:hint="eastAsia" w:ascii="仿宋" w:hAnsi="仿宋" w:eastAsia="仿宋" w:cs="仿宋"/>
                <w:color w:val="000000"/>
                <w:kern w:val="0"/>
                <w:sz w:val="24"/>
                <w:szCs w:val="24"/>
                <w:lang w:eastAsia="zh-TW"/>
              </w:rPr>
            </w:pPr>
            <w:r>
              <w:rPr>
                <w:rFonts w:hint="eastAsia" w:ascii="仿宋" w:hAnsi="仿宋" w:eastAsia="仿宋" w:cs="仿宋"/>
                <w:color w:val="000000"/>
                <w:kern w:val="0"/>
                <w:sz w:val="24"/>
                <w:szCs w:val="24"/>
                <w:lang w:eastAsia="zh-TW"/>
              </w:rPr>
              <w:t xml:space="preserve">   能够良好地掌握音乐的分析能力,熟练音乐记忆构写节奏、曲调、音程及和弦和弦、调式.</w:t>
            </w:r>
          </w:p>
          <w:p w14:paraId="162C4662">
            <w:pPr>
              <w:widowControl/>
              <w:ind w:firstLine="480" w:firstLineChars="200"/>
              <w:rPr>
                <w:rFonts w:hint="eastAsia" w:ascii="仿宋" w:hAnsi="仿宋" w:eastAsia="仿宋" w:cs="仿宋"/>
                <w:color w:val="000000"/>
                <w:kern w:val="0"/>
                <w:sz w:val="24"/>
                <w:szCs w:val="24"/>
                <w:lang w:eastAsia="zh-TW"/>
              </w:rPr>
            </w:pPr>
          </w:p>
        </w:tc>
        <w:tc>
          <w:tcPr>
            <w:tcW w:w="2234" w:type="dxa"/>
            <w:vAlign w:val="top"/>
          </w:tcPr>
          <w:p w14:paraId="00FC58E6">
            <w:pPr>
              <w:widowControl/>
              <w:ind w:firstLine="480" w:firstLineChars="200"/>
              <w:rPr>
                <w:rFonts w:hint="eastAsia" w:ascii="仿宋" w:hAnsi="仿宋" w:eastAsia="仿宋" w:cs="仿宋"/>
                <w:color w:val="000000"/>
                <w:kern w:val="0"/>
                <w:sz w:val="24"/>
                <w:szCs w:val="24"/>
                <w:lang w:eastAsia="zh-TW"/>
              </w:rPr>
            </w:pPr>
            <w:r>
              <w:rPr>
                <w:rFonts w:hint="eastAsia" w:ascii="仿宋" w:hAnsi="仿宋" w:eastAsia="仿宋" w:cs="仿宋"/>
                <w:color w:val="000000"/>
                <w:kern w:val="0"/>
                <w:sz w:val="24"/>
                <w:szCs w:val="24"/>
                <w:lang w:eastAsia="zh-TW"/>
              </w:rPr>
              <w:t>能够基本地掌握音乐的分析能力,能够构写音乐记忆节奏、曲调、音程及和弦和弦、调式.</w:t>
            </w:r>
          </w:p>
          <w:p w14:paraId="22B57CE4">
            <w:pPr>
              <w:widowControl/>
              <w:ind w:firstLine="480" w:firstLineChars="200"/>
              <w:rPr>
                <w:rFonts w:hint="eastAsia" w:ascii="仿宋" w:hAnsi="仿宋" w:eastAsia="仿宋" w:cs="仿宋"/>
                <w:color w:val="000000"/>
                <w:kern w:val="0"/>
                <w:sz w:val="24"/>
                <w:szCs w:val="24"/>
                <w:lang w:eastAsia="zh-TW"/>
              </w:rPr>
            </w:pPr>
          </w:p>
        </w:tc>
        <w:tc>
          <w:tcPr>
            <w:tcW w:w="2234" w:type="dxa"/>
            <w:vAlign w:val="top"/>
          </w:tcPr>
          <w:p w14:paraId="324D685C">
            <w:pPr>
              <w:widowControl/>
              <w:ind w:firstLine="480" w:firstLineChars="200"/>
              <w:rPr>
                <w:rFonts w:hint="eastAsia" w:ascii="仿宋" w:hAnsi="仿宋" w:eastAsia="仿宋" w:cs="仿宋"/>
                <w:color w:val="000000"/>
                <w:kern w:val="0"/>
                <w:sz w:val="24"/>
                <w:szCs w:val="24"/>
                <w:lang w:eastAsia="zh-TW"/>
              </w:rPr>
            </w:pPr>
            <w:r>
              <w:rPr>
                <w:rFonts w:hint="eastAsia" w:ascii="仿宋" w:hAnsi="仿宋" w:eastAsia="仿宋" w:cs="仿宋"/>
                <w:color w:val="000000"/>
                <w:kern w:val="0"/>
                <w:sz w:val="24"/>
                <w:szCs w:val="24"/>
                <w:lang w:eastAsia="zh-TW"/>
              </w:rPr>
              <w:t>能够部分地掌握音乐的分析能力,构写部分音乐记忆节奏、曲调、音程及和弦和弦、调式.</w:t>
            </w:r>
          </w:p>
          <w:p w14:paraId="5086032D">
            <w:pPr>
              <w:widowControl/>
              <w:ind w:firstLine="480" w:firstLineChars="200"/>
              <w:rPr>
                <w:rFonts w:hint="eastAsia" w:ascii="仿宋" w:hAnsi="仿宋" w:eastAsia="仿宋" w:cs="仿宋"/>
                <w:color w:val="000000"/>
                <w:kern w:val="0"/>
                <w:sz w:val="24"/>
                <w:szCs w:val="24"/>
                <w:lang w:eastAsia="zh-TW"/>
              </w:rPr>
            </w:pPr>
          </w:p>
          <w:p w14:paraId="4ED963B9">
            <w:pPr>
              <w:widowControl/>
              <w:ind w:firstLine="480" w:firstLineChars="200"/>
              <w:rPr>
                <w:rFonts w:hint="eastAsia" w:ascii="仿宋" w:hAnsi="仿宋" w:eastAsia="仿宋" w:cs="仿宋"/>
                <w:color w:val="000000"/>
                <w:kern w:val="0"/>
                <w:sz w:val="24"/>
                <w:szCs w:val="24"/>
                <w:lang w:eastAsia="zh-TW"/>
              </w:rPr>
            </w:pPr>
          </w:p>
        </w:tc>
        <w:tc>
          <w:tcPr>
            <w:tcW w:w="2235" w:type="dxa"/>
            <w:vAlign w:val="top"/>
          </w:tcPr>
          <w:p w14:paraId="6915B19E">
            <w:pPr>
              <w:widowControl/>
              <w:ind w:firstLine="480" w:firstLineChars="200"/>
              <w:rPr>
                <w:rFonts w:hint="eastAsia" w:ascii="仿宋" w:hAnsi="仿宋" w:eastAsia="仿宋" w:cs="仿宋"/>
                <w:color w:val="000000"/>
                <w:kern w:val="0"/>
                <w:sz w:val="24"/>
                <w:szCs w:val="24"/>
                <w:lang w:eastAsia="zh-TW"/>
              </w:rPr>
            </w:pPr>
            <w:r>
              <w:rPr>
                <w:rFonts w:hint="eastAsia" w:ascii="仿宋" w:hAnsi="仿宋" w:eastAsia="仿宋" w:cs="仿宋"/>
                <w:color w:val="000000"/>
                <w:kern w:val="0"/>
                <w:sz w:val="24"/>
                <w:szCs w:val="24"/>
                <w:lang w:eastAsia="zh-TW"/>
              </w:rPr>
              <w:t>无法掌握音乐的分析能力,无法构写音乐记忆节奏、曲调、音程及和弦和弦、调式.</w:t>
            </w:r>
          </w:p>
          <w:p w14:paraId="075D552C">
            <w:pPr>
              <w:widowControl/>
              <w:ind w:firstLine="480" w:firstLineChars="200"/>
              <w:rPr>
                <w:rFonts w:hint="eastAsia" w:ascii="仿宋" w:hAnsi="仿宋" w:eastAsia="仿宋" w:cs="仿宋"/>
                <w:color w:val="000000"/>
                <w:kern w:val="0"/>
                <w:sz w:val="24"/>
                <w:szCs w:val="24"/>
                <w:lang w:eastAsia="zh-TW"/>
              </w:rPr>
            </w:pPr>
          </w:p>
        </w:tc>
      </w:tr>
      <w:tr w14:paraId="5E966809">
        <w:trPr>
          <w:cantSplit/>
          <w:trHeight w:val="1131" w:hRule="atLeast"/>
          <w:jc w:val="center"/>
        </w:trPr>
        <w:tc>
          <w:tcPr>
            <w:tcW w:w="383" w:type="dxa"/>
            <w:vMerge w:val="continue"/>
            <w:vAlign w:val="center"/>
          </w:tcPr>
          <w:p w14:paraId="62305D98">
            <w:pPr>
              <w:widowControl/>
              <w:rPr>
                <w:rFonts w:hint="eastAsia" w:ascii="仿宋" w:hAnsi="仿宋" w:eastAsia="仿宋" w:cs="仿宋"/>
                <w:bCs/>
                <w:color w:val="FF0000"/>
                <w:sz w:val="24"/>
                <w:szCs w:val="24"/>
                <w:lang w:eastAsia="zh-TW"/>
              </w:rPr>
            </w:pPr>
          </w:p>
        </w:tc>
        <w:tc>
          <w:tcPr>
            <w:tcW w:w="1856" w:type="dxa"/>
            <w:vAlign w:val="top"/>
          </w:tcPr>
          <w:p w14:paraId="2AF0C155">
            <w:pPr>
              <w:widowControl/>
              <w:ind w:firstLine="480" w:firstLineChars="200"/>
              <w:rPr>
                <w:rFonts w:hint="eastAsia" w:ascii="仿宋" w:hAnsi="仿宋" w:eastAsia="仿宋" w:cs="仿宋"/>
                <w:color w:val="000000"/>
                <w:kern w:val="0"/>
                <w:sz w:val="24"/>
                <w:szCs w:val="24"/>
                <w:lang w:eastAsia="zh-TW"/>
              </w:rPr>
            </w:pPr>
            <w:r>
              <w:rPr>
                <w:rFonts w:hint="eastAsia" w:ascii="仿宋" w:hAnsi="仿宋" w:eastAsia="仿宋" w:cs="仿宋"/>
                <w:color w:val="000000"/>
                <w:kern w:val="0"/>
                <w:sz w:val="24"/>
                <w:szCs w:val="24"/>
                <w:lang w:eastAsia="zh-TW"/>
              </w:rPr>
              <w:t>课程目标3：能够对音乐教育教学实践活动进行有效的自我诊断，提出改进思路。（支撑毕业要求7.1）</w:t>
            </w:r>
          </w:p>
        </w:tc>
        <w:tc>
          <w:tcPr>
            <w:tcW w:w="2409" w:type="dxa"/>
            <w:vAlign w:val="top"/>
          </w:tcPr>
          <w:p w14:paraId="08A28B6B">
            <w:pPr>
              <w:widowControl/>
              <w:ind w:firstLine="480" w:firstLineChars="200"/>
              <w:rPr>
                <w:rFonts w:hint="eastAsia" w:ascii="仿宋" w:hAnsi="仿宋" w:eastAsia="仿宋" w:cs="仿宋"/>
                <w:color w:val="000000"/>
                <w:kern w:val="0"/>
                <w:sz w:val="24"/>
                <w:szCs w:val="24"/>
                <w:lang w:eastAsia="zh-TW"/>
              </w:rPr>
            </w:pPr>
            <w:r>
              <w:rPr>
                <w:rFonts w:hint="eastAsia" w:ascii="仿宋" w:hAnsi="仿宋" w:eastAsia="仿宋" w:cs="仿宋"/>
                <w:color w:val="000000"/>
                <w:kern w:val="0"/>
                <w:sz w:val="24"/>
                <w:szCs w:val="24"/>
                <w:lang w:eastAsia="zh-TW"/>
              </w:rPr>
              <w:t>具有较强的分析能力，能够自主对其所学的技能进行正确的反思,并自主学习.</w:t>
            </w:r>
          </w:p>
        </w:tc>
        <w:tc>
          <w:tcPr>
            <w:tcW w:w="2251" w:type="dxa"/>
            <w:vAlign w:val="top"/>
          </w:tcPr>
          <w:p w14:paraId="66BDDDAC">
            <w:pPr>
              <w:widowControl/>
              <w:ind w:firstLine="480" w:firstLineChars="200"/>
              <w:rPr>
                <w:rFonts w:hint="eastAsia" w:ascii="仿宋" w:hAnsi="仿宋" w:eastAsia="仿宋" w:cs="仿宋"/>
                <w:color w:val="000000"/>
                <w:kern w:val="0"/>
                <w:sz w:val="24"/>
                <w:szCs w:val="24"/>
                <w:lang w:eastAsia="zh-TW"/>
              </w:rPr>
            </w:pPr>
            <w:r>
              <w:rPr>
                <w:rFonts w:hint="eastAsia" w:ascii="仿宋" w:hAnsi="仿宋" w:eastAsia="仿宋" w:cs="仿宋"/>
                <w:color w:val="000000"/>
                <w:kern w:val="0"/>
                <w:sz w:val="24"/>
                <w:szCs w:val="24"/>
                <w:lang w:eastAsia="zh-TW"/>
              </w:rPr>
              <w:t>具有良好的分析能力，能够自主对其所学的技能进行正确的反思,并自主学习.</w:t>
            </w:r>
          </w:p>
        </w:tc>
        <w:tc>
          <w:tcPr>
            <w:tcW w:w="2234" w:type="dxa"/>
            <w:vAlign w:val="top"/>
          </w:tcPr>
          <w:p w14:paraId="63904FDE">
            <w:pPr>
              <w:widowControl/>
              <w:ind w:firstLine="480" w:firstLineChars="200"/>
              <w:rPr>
                <w:rFonts w:hint="eastAsia" w:ascii="仿宋" w:hAnsi="仿宋" w:eastAsia="仿宋" w:cs="仿宋"/>
                <w:color w:val="000000"/>
                <w:kern w:val="0"/>
                <w:sz w:val="24"/>
                <w:szCs w:val="24"/>
                <w:lang w:eastAsia="zh-TW"/>
              </w:rPr>
            </w:pPr>
            <w:r>
              <w:rPr>
                <w:rFonts w:hint="eastAsia" w:ascii="仿宋" w:hAnsi="仿宋" w:eastAsia="仿宋" w:cs="仿宋"/>
                <w:color w:val="000000"/>
                <w:kern w:val="0"/>
                <w:sz w:val="24"/>
                <w:szCs w:val="24"/>
                <w:lang w:eastAsia="zh-TW"/>
              </w:rPr>
              <w:t>具有一定的分析能力，基本能够自主对其所学的技能进行正确的反思,并自主学习</w:t>
            </w:r>
          </w:p>
        </w:tc>
        <w:tc>
          <w:tcPr>
            <w:tcW w:w="2234" w:type="dxa"/>
            <w:vAlign w:val="top"/>
          </w:tcPr>
          <w:p w14:paraId="7F94A168">
            <w:pPr>
              <w:widowControl/>
              <w:ind w:firstLine="480" w:firstLineChars="200"/>
              <w:rPr>
                <w:rFonts w:hint="eastAsia" w:ascii="仿宋" w:hAnsi="仿宋" w:eastAsia="仿宋" w:cs="仿宋"/>
                <w:color w:val="000000"/>
                <w:kern w:val="0"/>
                <w:sz w:val="24"/>
                <w:szCs w:val="24"/>
                <w:lang w:eastAsia="zh-TW"/>
              </w:rPr>
            </w:pPr>
            <w:r>
              <w:rPr>
                <w:rFonts w:hint="eastAsia" w:ascii="仿宋" w:hAnsi="仿宋" w:eastAsia="仿宋" w:cs="仿宋"/>
                <w:color w:val="000000"/>
                <w:kern w:val="0"/>
                <w:sz w:val="24"/>
                <w:szCs w:val="24"/>
                <w:lang w:eastAsia="zh-TW"/>
              </w:rPr>
              <w:t>具有基本的分析能力，基本能够自主对其所学的技能进行正确的反思,并自主学习</w:t>
            </w:r>
          </w:p>
        </w:tc>
        <w:tc>
          <w:tcPr>
            <w:tcW w:w="2235" w:type="dxa"/>
            <w:vAlign w:val="top"/>
          </w:tcPr>
          <w:p w14:paraId="3FB74351">
            <w:pPr>
              <w:widowControl/>
              <w:ind w:firstLine="480" w:firstLineChars="200"/>
              <w:rPr>
                <w:rFonts w:hint="eastAsia" w:ascii="仿宋" w:hAnsi="仿宋" w:eastAsia="仿宋" w:cs="仿宋"/>
                <w:color w:val="000000"/>
                <w:kern w:val="0"/>
                <w:sz w:val="24"/>
                <w:szCs w:val="24"/>
                <w:lang w:eastAsia="zh-TW"/>
              </w:rPr>
            </w:pPr>
            <w:r>
              <w:rPr>
                <w:rFonts w:hint="eastAsia" w:ascii="仿宋" w:hAnsi="仿宋" w:eastAsia="仿宋" w:cs="仿宋"/>
                <w:color w:val="000000"/>
                <w:kern w:val="0"/>
                <w:sz w:val="24"/>
                <w:szCs w:val="24"/>
                <w:lang w:eastAsia="zh-TW"/>
              </w:rPr>
              <w:t>缺乏基本分析的能力，不能够自主对其所学的技能进行正确的反思及自主学习</w:t>
            </w:r>
          </w:p>
        </w:tc>
      </w:tr>
    </w:tbl>
    <w:p w14:paraId="1CBA02C6">
      <w:pPr>
        <w:rPr>
          <w:sz w:val="2"/>
          <w:szCs w:val="2"/>
        </w:rPr>
        <w:sectPr>
          <w:headerReference r:id="rId51" w:type="default"/>
          <w:footerReference r:id="rId52" w:type="default"/>
          <w:pgSz w:w="16838" w:h="11906" w:orient="landscape"/>
          <w:pgMar w:top="1417" w:right="1134" w:bottom="1417" w:left="1134" w:header="851" w:footer="992" w:gutter="0"/>
          <w:cols w:space="720" w:num="1"/>
          <w:docGrid w:type="lines" w:linePitch="312" w:charSpace="0"/>
        </w:sectPr>
      </w:pPr>
    </w:p>
    <w:p w14:paraId="5E126807">
      <w:pPr>
        <w:adjustRightInd w:val="0"/>
        <w:snapToGrid w:val="0"/>
        <w:spacing w:line="560" w:lineRule="exact"/>
        <w:jc w:val="center"/>
        <w:rPr>
          <w:rFonts w:hint="eastAsia" w:eastAsia="方正小标宋简体"/>
          <w:sz w:val="44"/>
          <w:szCs w:val="44"/>
          <w:lang w:eastAsia="zh-CN"/>
        </w:rPr>
      </w:pPr>
      <w:r>
        <w:t>三明学院音乐学（音乐教育）专业</w:t>
      </w:r>
    </w:p>
    <w:p w14:paraId="5DB8709D">
      <w:pPr>
        <w:pStyle w:val="2"/>
        <w:pageBreakBefore w:val="0"/>
        <w:kinsoku/>
        <w:overflowPunct/>
        <w:topLinePunct w:val="0"/>
        <w:bidi w:val="0"/>
        <w:spacing w:before="0" w:beforeAutospacing="0" w:after="0" w:afterAutospacing="0" w:line="240" w:lineRule="auto"/>
        <w:jc w:val="center"/>
        <w:rPr>
          <w:rFonts w:hint="eastAsia" w:eastAsia="方正小标宋简体"/>
          <w:sz w:val="24"/>
          <w:szCs w:val="24"/>
        </w:rPr>
      </w:pPr>
      <w:bookmarkStart w:id="89" w:name="_Toc1495958468"/>
      <w:bookmarkStart w:id="90" w:name="_Toc592431338"/>
      <w:r>
        <w:rPr>
          <w:rFonts w:hint="eastAsia" w:ascii="方正小标宋简体" w:hAnsi="方正小标宋简体" w:eastAsia="方正小标宋简体" w:cs="方正小标宋简体"/>
          <w:b w:val="0"/>
          <w:bCs w:val="0"/>
          <w:sz w:val="44"/>
          <w:szCs w:val="44"/>
          <w:lang w:val="en-US" w:eastAsia="zh-CN"/>
        </w:rPr>
        <w:t>《合唱与指挥》课程教学大纲</w:t>
      </w:r>
      <w:bookmarkEnd w:id="89"/>
      <w:bookmarkEnd w:id="90"/>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032"/>
        <w:gridCol w:w="142"/>
        <w:gridCol w:w="1094"/>
        <w:gridCol w:w="108"/>
        <w:gridCol w:w="1493"/>
        <w:gridCol w:w="113"/>
        <w:gridCol w:w="297"/>
        <w:gridCol w:w="555"/>
        <w:gridCol w:w="409"/>
        <w:gridCol w:w="166"/>
        <w:gridCol w:w="286"/>
        <w:gridCol w:w="512"/>
        <w:gridCol w:w="256"/>
        <w:gridCol w:w="385"/>
        <w:gridCol w:w="323"/>
        <w:gridCol w:w="12"/>
        <w:gridCol w:w="584"/>
        <w:gridCol w:w="17"/>
      </w:tblGrid>
      <w:tr w14:paraId="2BAE00C3">
        <w:trPr>
          <w:trHeight w:val="454" w:hRule="atLeast"/>
          <w:jc w:val="center"/>
        </w:trPr>
        <w:tc>
          <w:tcPr>
            <w:tcW w:w="1376" w:type="dxa"/>
            <w:noWrap w:val="0"/>
            <w:vAlign w:val="center"/>
          </w:tcPr>
          <w:p w14:paraId="78D34AA7">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课程名称</w:t>
            </w:r>
          </w:p>
        </w:tc>
        <w:tc>
          <w:tcPr>
            <w:tcW w:w="4834" w:type="dxa"/>
            <w:gridSpan w:val="8"/>
            <w:noWrap w:val="0"/>
            <w:vAlign w:val="center"/>
          </w:tcPr>
          <w:p w14:paraId="4C2397F2">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合唱与指挥</w:t>
            </w:r>
            <w:r>
              <w:rPr>
                <w:rFonts w:hint="default" w:ascii="仿宋" w:hAnsi="仿宋" w:eastAsia="仿宋" w:cs="仿宋"/>
                <w:color w:val="auto"/>
                <w:sz w:val="24"/>
                <w:szCs w:val="24"/>
                <w:lang w:val="en-US" w:eastAsia="zh-CN"/>
              </w:rPr>
              <w:t>(</w:t>
            </w:r>
            <w:r>
              <w:rPr>
                <w:rFonts w:hint="eastAsia" w:ascii="仿宋" w:hAnsi="仿宋" w:eastAsia="仿宋" w:cs="仿宋"/>
                <w:color w:val="auto"/>
                <w:sz w:val="24"/>
                <w:szCs w:val="24"/>
                <w:lang w:val="en-US" w:eastAsia="zh-CN"/>
              </w:rPr>
              <w:t>一）</w:t>
            </w:r>
            <w:r>
              <w:rPr>
                <w:rFonts w:hint="eastAsia" w:ascii="仿宋" w:hAnsi="仿宋" w:eastAsia="仿宋" w:cs="仿宋"/>
                <w:color w:val="auto"/>
                <w:sz w:val="24"/>
                <w:szCs w:val="24"/>
                <w:lang w:eastAsia="zh-CN"/>
              </w:rPr>
              <w:t>》</w:t>
            </w:r>
          </w:p>
          <w:p w14:paraId="2C588E9C">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合唱与指挥</w:t>
            </w:r>
            <w:r>
              <w:rPr>
                <w:rFonts w:hint="default" w:ascii="仿宋" w:hAnsi="仿宋" w:eastAsia="仿宋" w:cs="仿宋"/>
                <w:color w:val="auto"/>
                <w:sz w:val="24"/>
                <w:szCs w:val="24"/>
                <w:lang w:val="en-US" w:eastAsia="zh-CN"/>
              </w:rPr>
              <w:t>(</w:t>
            </w:r>
            <w:r>
              <w:rPr>
                <w:rFonts w:hint="eastAsia" w:ascii="仿宋" w:hAnsi="仿宋" w:eastAsia="仿宋" w:cs="仿宋"/>
                <w:color w:val="auto"/>
                <w:sz w:val="24"/>
                <w:szCs w:val="24"/>
                <w:lang w:val="en-US" w:eastAsia="zh-CN"/>
              </w:rPr>
              <w:t>二）</w:t>
            </w:r>
            <w:r>
              <w:rPr>
                <w:rFonts w:hint="eastAsia" w:ascii="仿宋" w:hAnsi="仿宋" w:eastAsia="仿宋" w:cs="仿宋"/>
                <w:color w:val="auto"/>
                <w:sz w:val="24"/>
                <w:szCs w:val="24"/>
                <w:lang w:eastAsia="zh-CN"/>
              </w:rPr>
              <w:t>》</w:t>
            </w:r>
          </w:p>
          <w:p w14:paraId="520EBAB3">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合唱与指挥</w:t>
            </w:r>
            <w:r>
              <w:rPr>
                <w:rFonts w:hint="default" w:ascii="仿宋" w:hAnsi="仿宋" w:eastAsia="仿宋" w:cs="仿宋"/>
                <w:color w:val="auto"/>
                <w:sz w:val="24"/>
                <w:szCs w:val="24"/>
                <w:lang w:val="en-US" w:eastAsia="zh-CN"/>
              </w:rPr>
              <w:t>(</w:t>
            </w:r>
            <w:r>
              <w:rPr>
                <w:rFonts w:hint="eastAsia" w:ascii="仿宋" w:hAnsi="仿宋" w:eastAsia="仿宋" w:cs="仿宋"/>
                <w:color w:val="auto"/>
                <w:sz w:val="24"/>
                <w:szCs w:val="24"/>
                <w:lang w:val="en-US" w:eastAsia="zh-CN"/>
              </w:rPr>
              <w:t>三）</w:t>
            </w:r>
            <w:r>
              <w:rPr>
                <w:rFonts w:hint="eastAsia" w:ascii="仿宋" w:hAnsi="仿宋" w:eastAsia="仿宋" w:cs="仿宋"/>
                <w:color w:val="auto"/>
                <w:sz w:val="24"/>
                <w:szCs w:val="24"/>
                <w:lang w:eastAsia="zh-CN"/>
              </w:rPr>
              <w:t>》</w:t>
            </w:r>
          </w:p>
          <w:p w14:paraId="55BCB7F0">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合唱与指挥</w:t>
            </w:r>
            <w:r>
              <w:rPr>
                <w:rFonts w:hint="default" w:ascii="仿宋" w:hAnsi="仿宋" w:eastAsia="仿宋" w:cs="仿宋"/>
                <w:color w:val="auto"/>
                <w:sz w:val="24"/>
                <w:szCs w:val="24"/>
                <w:lang w:val="en-US" w:eastAsia="zh-CN"/>
              </w:rPr>
              <w:t>(</w:t>
            </w:r>
            <w:r>
              <w:rPr>
                <w:rFonts w:hint="eastAsia" w:ascii="仿宋" w:hAnsi="仿宋" w:eastAsia="仿宋" w:cs="仿宋"/>
                <w:color w:val="auto"/>
                <w:sz w:val="24"/>
                <w:szCs w:val="24"/>
                <w:lang w:val="en-US" w:eastAsia="zh-CN"/>
              </w:rPr>
              <w:t>四）</w:t>
            </w:r>
            <w:r>
              <w:rPr>
                <w:rFonts w:hint="eastAsia" w:ascii="仿宋" w:hAnsi="仿宋" w:eastAsia="仿宋" w:cs="仿宋"/>
                <w:color w:val="auto"/>
                <w:sz w:val="24"/>
                <w:szCs w:val="24"/>
                <w:lang w:eastAsia="zh-CN"/>
              </w:rPr>
              <w:t>》</w:t>
            </w:r>
          </w:p>
        </w:tc>
        <w:tc>
          <w:tcPr>
            <w:tcW w:w="575" w:type="dxa"/>
            <w:gridSpan w:val="2"/>
            <w:noWrap w:val="0"/>
            <w:vAlign w:val="center"/>
          </w:tcPr>
          <w:p w14:paraId="481A56A4">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w:t>
            </w:r>
          </w:p>
          <w:p w14:paraId="2DB5A6A4">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代码</w:t>
            </w:r>
          </w:p>
        </w:tc>
        <w:tc>
          <w:tcPr>
            <w:tcW w:w="2375" w:type="dxa"/>
            <w:gridSpan w:val="8"/>
            <w:noWrap w:val="0"/>
            <w:vAlign w:val="center"/>
          </w:tcPr>
          <w:p w14:paraId="611B8BB3">
            <w:pPr>
              <w:keepNext w:val="0"/>
              <w:keepLines w:val="0"/>
              <w:pageBreakBefore w:val="0"/>
              <w:kinsoku/>
              <w:wordWrap/>
              <w:overflowPunct/>
              <w:topLinePunct w:val="0"/>
              <w:bidi w:val="0"/>
              <w:adjustRightInd w:val="0"/>
              <w:snapToGrid w:val="0"/>
              <w:spacing w:line="240" w:lineRule="auto"/>
              <w:jc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1212304605</w:t>
            </w:r>
          </w:p>
          <w:p w14:paraId="0E43E7D0">
            <w:pPr>
              <w:keepNext w:val="0"/>
              <w:keepLines w:val="0"/>
              <w:pageBreakBefore w:val="0"/>
              <w:kinsoku/>
              <w:wordWrap/>
              <w:overflowPunct/>
              <w:topLinePunct w:val="0"/>
              <w:bidi w:val="0"/>
              <w:adjustRightInd w:val="0"/>
              <w:snapToGrid w:val="0"/>
              <w:spacing w:line="240" w:lineRule="auto"/>
              <w:jc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1212304606</w:t>
            </w:r>
          </w:p>
          <w:p w14:paraId="3ACA82B8">
            <w:pPr>
              <w:keepNext w:val="0"/>
              <w:keepLines w:val="0"/>
              <w:pageBreakBefore w:val="0"/>
              <w:kinsoku/>
              <w:wordWrap/>
              <w:overflowPunct/>
              <w:topLinePunct w:val="0"/>
              <w:bidi w:val="0"/>
              <w:adjustRightInd w:val="0"/>
              <w:snapToGrid w:val="0"/>
              <w:spacing w:line="240" w:lineRule="auto"/>
              <w:jc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1212304607</w:t>
            </w:r>
          </w:p>
          <w:p w14:paraId="49FE55C6">
            <w:pPr>
              <w:keepNext w:val="0"/>
              <w:keepLines w:val="0"/>
              <w:pageBreakBefore w:val="0"/>
              <w:kinsoku/>
              <w:wordWrap/>
              <w:overflowPunct/>
              <w:topLinePunct w:val="0"/>
              <w:bidi w:val="0"/>
              <w:adjustRightInd w:val="0"/>
              <w:snapToGrid w:val="0"/>
              <w:spacing w:line="240" w:lineRule="auto"/>
              <w:jc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1212304608</w:t>
            </w:r>
          </w:p>
        </w:tc>
      </w:tr>
      <w:tr w14:paraId="218A8339">
        <w:trPr>
          <w:trHeight w:val="454" w:hRule="atLeast"/>
          <w:jc w:val="center"/>
        </w:trPr>
        <w:tc>
          <w:tcPr>
            <w:tcW w:w="1376" w:type="dxa"/>
            <w:noWrap w:val="0"/>
            <w:vAlign w:val="center"/>
          </w:tcPr>
          <w:p w14:paraId="52597940">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课程类型</w:t>
            </w:r>
          </w:p>
        </w:tc>
        <w:tc>
          <w:tcPr>
            <w:tcW w:w="7784" w:type="dxa"/>
            <w:gridSpan w:val="18"/>
            <w:noWrap w:val="0"/>
            <w:vAlign w:val="center"/>
          </w:tcPr>
          <w:p w14:paraId="4C87FB8B">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color w:val="auto"/>
                <w:sz w:val="24"/>
                <w:szCs w:val="24"/>
              </w:rPr>
            </w:pP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通识必修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通识选修 </w:t>
            </w: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 xml:space="preserve">专业必修 </w:t>
            </w:r>
          </w:p>
          <w:p w14:paraId="44B72227">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color w:val="auto"/>
                <w:sz w:val="24"/>
                <w:szCs w:val="24"/>
              </w:rPr>
            </w:pP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专业选修</w:t>
            </w:r>
            <w:r>
              <w:rPr>
                <w:rFonts w:hint="eastAsia" w:ascii="仿宋" w:hAnsi="仿宋" w:eastAsia="仿宋" w:cs="仿宋"/>
                <w:color w:val="auto"/>
                <w:sz w:val="24"/>
                <w:szCs w:val="24"/>
                <w:lang w:eastAsia="zh-TW"/>
              </w:rPr>
              <w:t xml:space="preserve">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教师教育必修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教师教育选修</w:t>
            </w:r>
          </w:p>
        </w:tc>
      </w:tr>
      <w:tr w14:paraId="64342DE1">
        <w:trPr>
          <w:trHeight w:val="406" w:hRule="atLeast"/>
          <w:jc w:val="center"/>
        </w:trPr>
        <w:tc>
          <w:tcPr>
            <w:tcW w:w="1376" w:type="dxa"/>
            <w:noWrap w:val="0"/>
            <w:vAlign w:val="center"/>
          </w:tcPr>
          <w:p w14:paraId="3D74E5DC">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开课学期</w:t>
            </w:r>
          </w:p>
        </w:tc>
        <w:tc>
          <w:tcPr>
            <w:tcW w:w="1174" w:type="dxa"/>
            <w:gridSpan w:val="2"/>
            <w:noWrap w:val="0"/>
            <w:vAlign w:val="center"/>
          </w:tcPr>
          <w:p w14:paraId="5181955C">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第3、4、5、6学期</w:t>
            </w:r>
          </w:p>
        </w:tc>
        <w:tc>
          <w:tcPr>
            <w:tcW w:w="1202" w:type="dxa"/>
            <w:gridSpan w:val="2"/>
            <w:noWrap w:val="0"/>
            <w:vAlign w:val="center"/>
          </w:tcPr>
          <w:p w14:paraId="2B2AE5F5">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学分</w:t>
            </w:r>
          </w:p>
        </w:tc>
        <w:tc>
          <w:tcPr>
            <w:tcW w:w="1606" w:type="dxa"/>
            <w:gridSpan w:val="2"/>
            <w:noWrap w:val="0"/>
            <w:vAlign w:val="center"/>
          </w:tcPr>
          <w:p w14:paraId="368DDF88">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8</w:t>
            </w:r>
          </w:p>
        </w:tc>
        <w:tc>
          <w:tcPr>
            <w:tcW w:w="1427" w:type="dxa"/>
            <w:gridSpan w:val="4"/>
            <w:noWrap w:val="0"/>
            <w:vAlign w:val="center"/>
          </w:tcPr>
          <w:p w14:paraId="29F915BF">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课程负责人</w:t>
            </w:r>
          </w:p>
        </w:tc>
        <w:tc>
          <w:tcPr>
            <w:tcW w:w="2375" w:type="dxa"/>
            <w:gridSpan w:val="8"/>
            <w:noWrap w:val="0"/>
            <w:vAlign w:val="center"/>
          </w:tcPr>
          <w:p w14:paraId="37BB45BD">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徐艳萍</w:t>
            </w:r>
          </w:p>
        </w:tc>
      </w:tr>
      <w:tr w14:paraId="0328540C">
        <w:trPr>
          <w:trHeight w:val="485" w:hRule="atLeast"/>
          <w:jc w:val="center"/>
        </w:trPr>
        <w:tc>
          <w:tcPr>
            <w:tcW w:w="1376" w:type="dxa"/>
            <w:noWrap w:val="0"/>
            <w:vAlign w:val="center"/>
          </w:tcPr>
          <w:p w14:paraId="2F7494EF">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总学时</w:t>
            </w:r>
          </w:p>
        </w:tc>
        <w:tc>
          <w:tcPr>
            <w:tcW w:w="1174" w:type="dxa"/>
            <w:gridSpan w:val="2"/>
            <w:noWrap w:val="0"/>
            <w:vAlign w:val="center"/>
          </w:tcPr>
          <w:p w14:paraId="2A8E90AF">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128</w:t>
            </w:r>
          </w:p>
        </w:tc>
        <w:tc>
          <w:tcPr>
            <w:tcW w:w="1202" w:type="dxa"/>
            <w:gridSpan w:val="2"/>
            <w:noWrap w:val="0"/>
            <w:vAlign w:val="center"/>
          </w:tcPr>
          <w:p w14:paraId="017D77D0">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理论学时</w:t>
            </w:r>
          </w:p>
        </w:tc>
        <w:tc>
          <w:tcPr>
            <w:tcW w:w="1606" w:type="dxa"/>
            <w:gridSpan w:val="2"/>
            <w:noWrap w:val="0"/>
            <w:vAlign w:val="center"/>
          </w:tcPr>
          <w:p w14:paraId="37F77BEA">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64</w:t>
            </w:r>
          </w:p>
        </w:tc>
        <w:tc>
          <w:tcPr>
            <w:tcW w:w="1427" w:type="dxa"/>
            <w:gridSpan w:val="4"/>
            <w:tcBorders>
              <w:right w:val="single" w:color="000000" w:sz="4" w:space="0"/>
            </w:tcBorders>
            <w:noWrap w:val="0"/>
            <w:vAlign w:val="center"/>
          </w:tcPr>
          <w:p w14:paraId="323991E3">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实践学时</w:t>
            </w:r>
          </w:p>
        </w:tc>
        <w:tc>
          <w:tcPr>
            <w:tcW w:w="2375" w:type="dxa"/>
            <w:gridSpan w:val="8"/>
            <w:tcBorders>
              <w:left w:val="single" w:color="000000" w:sz="4" w:space="0"/>
            </w:tcBorders>
            <w:noWrap w:val="0"/>
            <w:vAlign w:val="center"/>
          </w:tcPr>
          <w:p w14:paraId="676D16EC">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64</w:t>
            </w:r>
          </w:p>
        </w:tc>
      </w:tr>
      <w:tr w14:paraId="1F1298E0">
        <w:trPr>
          <w:trHeight w:val="454" w:hRule="atLeast"/>
          <w:jc w:val="center"/>
        </w:trPr>
        <w:tc>
          <w:tcPr>
            <w:tcW w:w="1376" w:type="dxa"/>
            <w:noWrap w:val="0"/>
            <w:vAlign w:val="center"/>
          </w:tcPr>
          <w:p w14:paraId="4F07EC6F">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先修课程与后续课程</w:t>
            </w:r>
          </w:p>
        </w:tc>
        <w:tc>
          <w:tcPr>
            <w:tcW w:w="7784" w:type="dxa"/>
            <w:gridSpan w:val="18"/>
            <w:noWrap w:val="0"/>
            <w:vAlign w:val="center"/>
          </w:tcPr>
          <w:p w14:paraId="713E108F">
            <w:pPr>
              <w:keepNext w:val="0"/>
              <w:keepLines w:val="0"/>
              <w:pageBreakBefore w:val="0"/>
              <w:tabs>
                <w:tab w:val="left" w:pos="720"/>
              </w:tabs>
              <w:kinsoku/>
              <w:wordWrap/>
              <w:overflowPunct/>
              <w:topLinePunct w:val="0"/>
              <w:bidi w:val="0"/>
              <w:adjustRightInd w:val="0"/>
              <w:snapToGrid w:val="0"/>
              <w:spacing w:line="240" w:lineRule="auto"/>
              <w:jc w:val="left"/>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rPr>
              <w:t>先修课程：</w:t>
            </w:r>
            <w:r>
              <w:rPr>
                <w:rFonts w:hint="eastAsia" w:ascii="仿宋" w:hAnsi="仿宋" w:eastAsia="仿宋" w:cs="仿宋"/>
                <w:color w:val="auto"/>
                <w:sz w:val="24"/>
                <w:szCs w:val="24"/>
                <w:lang w:val="en-US" w:eastAsia="zh-CN"/>
              </w:rPr>
              <w:t>声乐基础、钢琴基础、基本乐理、视唱练耳</w:t>
            </w:r>
          </w:p>
          <w:p w14:paraId="5C95579B">
            <w:pPr>
              <w:keepNext w:val="0"/>
              <w:keepLines w:val="0"/>
              <w:pageBreakBefore w:val="0"/>
              <w:tabs>
                <w:tab w:val="left" w:pos="720"/>
              </w:tabs>
              <w:kinsoku/>
              <w:wordWrap/>
              <w:overflowPunct/>
              <w:topLinePunct w:val="0"/>
              <w:bidi w:val="0"/>
              <w:adjustRightInd w:val="0"/>
              <w:snapToGrid w:val="0"/>
              <w:spacing w:line="240" w:lineRule="auto"/>
              <w:jc w:val="left"/>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rPr>
              <w:t>后续课程：</w:t>
            </w:r>
            <w:r>
              <w:rPr>
                <w:rFonts w:hint="eastAsia" w:ascii="仿宋" w:hAnsi="仿宋" w:eastAsia="仿宋" w:cs="仿宋"/>
                <w:color w:val="auto"/>
                <w:sz w:val="24"/>
                <w:szCs w:val="24"/>
                <w:lang w:val="en-US" w:eastAsia="zh-CN"/>
              </w:rPr>
              <w:t>和音课、指挥法</w:t>
            </w:r>
          </w:p>
        </w:tc>
      </w:tr>
      <w:tr w14:paraId="2E184697">
        <w:trPr>
          <w:trHeight w:val="454" w:hRule="atLeast"/>
          <w:jc w:val="center"/>
        </w:trPr>
        <w:tc>
          <w:tcPr>
            <w:tcW w:w="1376" w:type="dxa"/>
            <w:noWrap w:val="0"/>
            <w:vAlign w:val="center"/>
          </w:tcPr>
          <w:p w14:paraId="49A4CA09">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适用专业</w:t>
            </w:r>
          </w:p>
        </w:tc>
        <w:tc>
          <w:tcPr>
            <w:tcW w:w="7784" w:type="dxa"/>
            <w:gridSpan w:val="18"/>
            <w:noWrap w:val="0"/>
            <w:vAlign w:val="center"/>
          </w:tcPr>
          <w:p w14:paraId="1B533DE5">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音乐学</w:t>
            </w:r>
          </w:p>
        </w:tc>
      </w:tr>
      <w:tr w14:paraId="19550703">
        <w:trPr>
          <w:jc w:val="center"/>
        </w:trPr>
        <w:tc>
          <w:tcPr>
            <w:tcW w:w="1376" w:type="dxa"/>
            <w:tcBorders>
              <w:bottom w:val="single" w:color="auto" w:sz="4" w:space="0"/>
            </w:tcBorders>
            <w:noWrap w:val="0"/>
            <w:vAlign w:val="center"/>
          </w:tcPr>
          <w:p w14:paraId="30EBA0CF">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A</w:t>
            </w:r>
          </w:p>
          <w:p w14:paraId="14BDE113">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参考教材</w:t>
            </w:r>
          </w:p>
        </w:tc>
        <w:tc>
          <w:tcPr>
            <w:tcW w:w="7784" w:type="dxa"/>
            <w:gridSpan w:val="18"/>
            <w:tcBorders>
              <w:bottom w:val="single" w:color="auto" w:sz="4" w:space="0"/>
            </w:tcBorders>
            <w:noWrap w:val="0"/>
            <w:vAlign w:val="center"/>
          </w:tcPr>
          <w:p w14:paraId="6091E162">
            <w:pPr>
              <w:keepNext w:val="0"/>
              <w:keepLines w:val="0"/>
              <w:pageBreakBefore w:val="0"/>
              <w:kinsoku/>
              <w:wordWrap/>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韩德森，《合唱与指挥教程》，南京师范大学出版社，2010年4月，第1次</w:t>
            </w:r>
          </w:p>
        </w:tc>
      </w:tr>
      <w:tr w14:paraId="5679FFDF">
        <w:trPr>
          <w:jc w:val="center"/>
        </w:trPr>
        <w:tc>
          <w:tcPr>
            <w:tcW w:w="1376" w:type="dxa"/>
            <w:tcBorders>
              <w:bottom w:val="single" w:color="auto" w:sz="4" w:space="0"/>
            </w:tcBorders>
            <w:noWrap w:val="0"/>
            <w:vAlign w:val="center"/>
          </w:tcPr>
          <w:p w14:paraId="5FD6C57E">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B</w:t>
            </w:r>
          </w:p>
          <w:p w14:paraId="32E1A2A9">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主要参考书籍</w:t>
            </w:r>
          </w:p>
        </w:tc>
        <w:tc>
          <w:tcPr>
            <w:tcW w:w="7784" w:type="dxa"/>
            <w:gridSpan w:val="18"/>
            <w:tcBorders>
              <w:bottom w:val="single" w:color="auto" w:sz="4" w:space="0"/>
            </w:tcBorders>
            <w:noWrap w:val="0"/>
            <w:vAlign w:val="center"/>
          </w:tcPr>
          <w:p w14:paraId="56707260">
            <w:pPr>
              <w:keepNext w:val="0"/>
              <w:keepLines w:val="0"/>
              <w:pageBreakBefore w:val="0"/>
              <w:kinsoku/>
              <w:wordWrap/>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杨鸿年，《合唱训练学》（上册、下册），中央音乐学院出版社，2008年3月，第1次</w:t>
            </w:r>
          </w:p>
          <w:p w14:paraId="573F5DC7">
            <w:pPr>
              <w:keepNext w:val="0"/>
              <w:keepLines w:val="0"/>
              <w:pageBreakBefore w:val="0"/>
              <w:kinsoku/>
              <w:wordWrap/>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杨鸿年，《合唱》（1、2、3），上海音乐出版社、人民音乐出版社，2008年10月，第1次</w:t>
            </w:r>
          </w:p>
          <w:p w14:paraId="0F308CA1">
            <w:pPr>
              <w:keepNext w:val="0"/>
              <w:keepLines w:val="0"/>
              <w:pageBreakBefore w:val="0"/>
              <w:kinsoku/>
              <w:wordWrap/>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[3]蓬勃，《指挥》，上海音乐出版社、人民音乐出版社，2020年5月，第1次</w:t>
            </w:r>
          </w:p>
        </w:tc>
      </w:tr>
      <w:tr w14:paraId="4295770D">
        <w:trPr>
          <w:jc w:val="center"/>
        </w:trPr>
        <w:tc>
          <w:tcPr>
            <w:tcW w:w="1376" w:type="dxa"/>
            <w:tcBorders>
              <w:bottom w:val="single" w:color="auto" w:sz="4" w:space="0"/>
            </w:tcBorders>
            <w:noWrap w:val="0"/>
            <w:vAlign w:val="center"/>
          </w:tcPr>
          <w:p w14:paraId="2149AFA0">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C</w:t>
            </w:r>
          </w:p>
          <w:p w14:paraId="2BC9B672">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线上学习资源</w:t>
            </w:r>
          </w:p>
        </w:tc>
        <w:tc>
          <w:tcPr>
            <w:tcW w:w="7784" w:type="dxa"/>
            <w:gridSpan w:val="18"/>
            <w:tcBorders>
              <w:bottom w:val="single" w:color="auto" w:sz="4" w:space="0"/>
            </w:tcBorders>
            <w:noWrap w:val="0"/>
            <w:vAlign w:val="center"/>
          </w:tcPr>
          <w:p w14:paraId="7EC286EC">
            <w:pPr>
              <w:keepNext w:val="0"/>
              <w:keepLines w:val="0"/>
              <w:pageBreakBefore w:val="0"/>
              <w:kinsoku/>
              <w:wordWrap/>
              <w:overflowPunct/>
              <w:topLinePunct w:val="0"/>
              <w:bidi w:val="0"/>
              <w:adjustRightInd w:val="0"/>
              <w:snapToGrid w:val="0"/>
              <w:spacing w:line="240" w:lineRule="auto"/>
              <w:jc w:val="left"/>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学习通平台《合唱与指挥》（怀化学院 刘洁、徐艳萍等）</w:t>
            </w:r>
          </w:p>
        </w:tc>
      </w:tr>
      <w:tr w14:paraId="4AFDD5C8">
        <w:trPr>
          <w:trHeight w:val="90" w:hRule="atLeast"/>
          <w:jc w:val="center"/>
        </w:trPr>
        <w:tc>
          <w:tcPr>
            <w:tcW w:w="1376" w:type="dxa"/>
            <w:shd w:val="clear" w:color="auto" w:fill="FFFFFF"/>
            <w:noWrap w:val="0"/>
            <w:vAlign w:val="center"/>
          </w:tcPr>
          <w:p w14:paraId="7EF27E79">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D</w:t>
            </w:r>
          </w:p>
          <w:p w14:paraId="3F6D51D7">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 xml:space="preserve">课程描述 </w:t>
            </w:r>
          </w:p>
          <w:p w14:paraId="038B2CD9">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lang w:eastAsia="zh-TW"/>
              </w:rPr>
              <w:t>(</w:t>
            </w:r>
            <w:r>
              <w:rPr>
                <w:rFonts w:hint="eastAsia" w:ascii="仿宋" w:hAnsi="仿宋" w:eastAsia="仿宋" w:cs="仿宋"/>
                <w:color w:val="auto"/>
                <w:sz w:val="24"/>
                <w:szCs w:val="24"/>
              </w:rPr>
              <w:t>含</w:t>
            </w:r>
            <w:r>
              <w:rPr>
                <w:rFonts w:hint="eastAsia" w:ascii="仿宋" w:hAnsi="仿宋" w:eastAsia="仿宋" w:cs="仿宋"/>
                <w:color w:val="auto"/>
                <w:sz w:val="24"/>
                <w:szCs w:val="24"/>
                <w:lang w:eastAsia="zh-TW"/>
              </w:rPr>
              <w:t>性质、地位和任务)</w:t>
            </w:r>
          </w:p>
        </w:tc>
        <w:tc>
          <w:tcPr>
            <w:tcW w:w="7784" w:type="dxa"/>
            <w:gridSpan w:val="18"/>
            <w:tcBorders>
              <w:bottom w:val="single" w:color="auto" w:sz="4" w:space="0"/>
            </w:tcBorders>
            <w:shd w:val="clear" w:color="auto" w:fill="FFFFFF"/>
            <w:noWrap w:val="0"/>
            <w:vAlign w:val="center"/>
          </w:tcPr>
          <w:p w14:paraId="4AF737BF">
            <w:pPr>
              <w:keepNext w:val="0"/>
              <w:keepLines w:val="0"/>
              <w:pageBreakBefore w:val="0"/>
              <w:kinsoku/>
              <w:wordWrap/>
              <w:overflowPunct/>
              <w:topLinePunct w:val="0"/>
              <w:bidi w:val="0"/>
              <w:adjustRightInd w:val="0"/>
              <w:snapToGrid w:val="0"/>
              <w:spacing w:line="240" w:lineRule="auto"/>
              <w:jc w:val="left"/>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本课程是音乐学专业的专业必修课，学生通过课堂教学并参与具有教学实践性质的作品排练以及音乐会演出等教学活动，选择具有不同艺术表现风格、有适当技艺难度、主要能够适应中小学教学活动的合唱以及重唱曲目进行训练，并结合声乐发声的训练，在读谱、声部排练、歌曲的处理和分析、交流评价等方面，培养学生不仅具有较为全面的合唱感知和表现能力，同时也能基本掌握合唱歌曲的指挥能力以及相关的作品处理、合唱训练能力，学生除了掌握基本的合唱声音训练方法，同时也能够通过合唱课了解一些合唱指挥的理论和声乐训练的知识。</w:t>
            </w:r>
          </w:p>
        </w:tc>
      </w:tr>
      <w:tr w14:paraId="49B40267">
        <w:trPr>
          <w:trHeight w:val="3071" w:hRule="atLeast"/>
          <w:jc w:val="center"/>
        </w:trPr>
        <w:tc>
          <w:tcPr>
            <w:tcW w:w="1376" w:type="dxa"/>
            <w:vMerge w:val="restart"/>
            <w:shd w:val="clear" w:color="auto" w:fill="FFFFFF"/>
            <w:noWrap w:val="0"/>
            <w:vAlign w:val="center"/>
          </w:tcPr>
          <w:p w14:paraId="11663BA2">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E</w:t>
            </w:r>
          </w:p>
          <w:p w14:paraId="5C87A64E">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课程学习目标及其与毕业要求的对应关系</w:t>
            </w:r>
          </w:p>
        </w:tc>
        <w:tc>
          <w:tcPr>
            <w:tcW w:w="7784" w:type="dxa"/>
            <w:gridSpan w:val="18"/>
            <w:tcBorders>
              <w:bottom w:val="single" w:color="auto" w:sz="4" w:space="0"/>
            </w:tcBorders>
            <w:shd w:val="clear" w:color="auto" w:fill="FFFFFF"/>
            <w:noWrap w:val="0"/>
            <w:vAlign w:val="center"/>
          </w:tcPr>
          <w:p w14:paraId="5340093B">
            <w:pPr>
              <w:keepNext w:val="0"/>
              <w:keepLines w:val="0"/>
              <w:pageBreakBefore w:val="0"/>
              <w:kinsoku/>
              <w:wordWrap/>
              <w:overflowPunct/>
              <w:topLinePunct w:val="0"/>
              <w:bidi w:val="0"/>
              <w:adjustRightInd w:val="0"/>
              <w:snapToGrid w:val="0"/>
              <w:spacing w:line="240" w:lineRule="auto"/>
              <w:jc w:val="left"/>
              <w:rPr>
                <w:rFonts w:hint="eastAsia" w:ascii="仿宋" w:hAnsi="仿宋" w:eastAsia="仿宋" w:cs="仿宋"/>
                <w:color w:val="auto"/>
                <w:sz w:val="24"/>
                <w:szCs w:val="24"/>
                <w:lang w:val="en-US" w:eastAsia="zh-TW"/>
              </w:rPr>
            </w:pPr>
            <w:r>
              <w:rPr>
                <w:rFonts w:hint="eastAsia" w:ascii="仿宋" w:hAnsi="仿宋" w:eastAsia="仿宋" w:cs="仿宋"/>
                <w:color w:val="auto"/>
                <w:sz w:val="24"/>
                <w:szCs w:val="24"/>
                <w:lang w:val="en-US" w:eastAsia="zh-CN"/>
              </w:rPr>
              <w:t>通过本课程的学习，学生具备如下知识、能力及情感态度价值观：</w:t>
            </w:r>
          </w:p>
          <w:p w14:paraId="7B26E201">
            <w:pPr>
              <w:keepNext w:val="0"/>
              <w:keepLines w:val="0"/>
              <w:pageBreakBefore w:val="0"/>
              <w:kinsoku/>
              <w:wordWrap/>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课程目标1：初步掌握基本的合唱指挥理论知识，系统掌握基本的合唱指挥音乐素质，其中包括适应多种音乐风格和表现需要的音准感、节奏感、音律感、声部谐和感、咬字行腔方法以及与音乐情绪表现相关的各种科学发声方法。其次，熟练掌握基本的合唱指挥技能技巧，并具有不同风格合唱作品的艺术处理能力；（支撑毕业要求3.1） </w:t>
            </w:r>
          </w:p>
          <w:p w14:paraId="22638F70">
            <w:pPr>
              <w:keepNext w:val="0"/>
              <w:keepLines w:val="0"/>
              <w:pageBreakBefore w:val="0"/>
              <w:kinsoku/>
              <w:wordWrap/>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课程目标2：比较熟练使用合唱指挥基本技术，运用科学的方法和手段将作品的思想性与艺术性体现在舞台上；（支撑毕业要求4.2）</w:t>
            </w:r>
          </w:p>
          <w:p w14:paraId="63FD72A4">
            <w:pPr>
              <w:keepNext w:val="0"/>
              <w:keepLines w:val="0"/>
              <w:pageBreakBefore w:val="0"/>
              <w:kinsoku/>
              <w:wordWrap/>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知晓合唱指挥发展的趋势、动态以及与合唱指挥教学的联系，进行课堂教学和开展课外活动；（支撑毕业要求4.3）</w:t>
            </w:r>
          </w:p>
          <w:p w14:paraId="37ED06F4">
            <w:pPr>
              <w:keepNext w:val="0"/>
              <w:keepLines w:val="0"/>
              <w:pageBreakBefore w:val="0"/>
              <w:kinsoku/>
              <w:wordWrap/>
              <w:overflowPunct/>
              <w:topLinePunct w:val="0"/>
              <w:bidi w:val="0"/>
              <w:adjustRightInd w:val="0"/>
              <w:snapToGrid w:val="0"/>
              <w:spacing w:line="240" w:lineRule="auto"/>
              <w:jc w:val="left"/>
              <w:rPr>
                <w:rFonts w:hint="eastAsia" w:ascii="仿宋" w:hAnsi="仿宋" w:eastAsia="仿宋" w:cs="仿宋"/>
                <w:color w:val="auto"/>
                <w:sz w:val="24"/>
                <w:szCs w:val="24"/>
                <w:lang w:val="en-US" w:eastAsia="zh-TW"/>
              </w:rPr>
            </w:pPr>
            <w:r>
              <w:rPr>
                <w:rFonts w:hint="eastAsia" w:ascii="仿宋" w:hAnsi="仿宋" w:eastAsia="仿宋" w:cs="仿宋"/>
                <w:color w:val="auto"/>
                <w:sz w:val="24"/>
                <w:szCs w:val="24"/>
                <w:lang w:val="en-US" w:eastAsia="zh-CN"/>
              </w:rPr>
              <w:t>课程目标3：理解合唱合作意识和精神培养具体作用，培养团队合作精神。理解指挥不仅是合唱团的组织者、领导者，而且是艺术的指导者。（支撑毕业要求8.2）</w:t>
            </w:r>
          </w:p>
        </w:tc>
      </w:tr>
      <w:tr w14:paraId="42118E15">
        <w:trPr>
          <w:gridAfter w:val="1"/>
          <w:wAfter w:w="17" w:type="dxa"/>
          <w:trHeight w:val="642" w:hRule="atLeast"/>
          <w:jc w:val="center"/>
        </w:trPr>
        <w:tc>
          <w:tcPr>
            <w:tcW w:w="1376" w:type="dxa"/>
            <w:vMerge w:val="continue"/>
            <w:shd w:val="clear" w:color="auto" w:fill="FFFFFF"/>
            <w:noWrap w:val="0"/>
            <w:vAlign w:val="center"/>
          </w:tcPr>
          <w:p w14:paraId="4E281289">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p>
        </w:tc>
        <w:tc>
          <w:tcPr>
            <w:tcW w:w="2268" w:type="dxa"/>
            <w:gridSpan w:val="3"/>
            <w:tcBorders>
              <w:bottom w:val="single" w:color="auto" w:sz="4" w:space="0"/>
            </w:tcBorders>
            <w:shd w:val="clear" w:color="auto" w:fill="FFFFFF"/>
            <w:noWrap w:val="0"/>
            <w:vAlign w:val="center"/>
          </w:tcPr>
          <w:p w14:paraId="230148FD">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课程目标</w:t>
            </w:r>
          </w:p>
        </w:tc>
        <w:tc>
          <w:tcPr>
            <w:tcW w:w="4195" w:type="dxa"/>
            <w:gridSpan w:val="10"/>
            <w:tcBorders>
              <w:bottom w:val="single" w:color="auto" w:sz="4" w:space="0"/>
            </w:tcBorders>
            <w:shd w:val="clear" w:color="auto" w:fill="FFFFFF"/>
            <w:noWrap w:val="0"/>
            <w:vAlign w:val="center"/>
          </w:tcPr>
          <w:p w14:paraId="4356A3C0">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毕业要求分解指标点</w:t>
            </w:r>
          </w:p>
        </w:tc>
        <w:tc>
          <w:tcPr>
            <w:tcW w:w="1304" w:type="dxa"/>
            <w:gridSpan w:val="4"/>
            <w:tcBorders>
              <w:bottom w:val="single" w:color="auto" w:sz="4" w:space="0"/>
            </w:tcBorders>
            <w:shd w:val="clear" w:color="auto" w:fill="FFFFFF"/>
            <w:noWrap w:val="0"/>
            <w:vAlign w:val="center"/>
          </w:tcPr>
          <w:p w14:paraId="5B07BF42">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毕业要求</w:t>
            </w:r>
          </w:p>
        </w:tc>
      </w:tr>
      <w:tr w14:paraId="45D6D462">
        <w:trPr>
          <w:gridAfter w:val="1"/>
          <w:wAfter w:w="17" w:type="dxa"/>
          <w:trHeight w:val="810" w:hRule="atLeast"/>
          <w:jc w:val="center"/>
        </w:trPr>
        <w:tc>
          <w:tcPr>
            <w:tcW w:w="1376" w:type="dxa"/>
            <w:vMerge w:val="continue"/>
            <w:shd w:val="clear" w:color="auto" w:fill="FFFFFF"/>
            <w:noWrap w:val="0"/>
            <w:vAlign w:val="center"/>
          </w:tcPr>
          <w:p w14:paraId="2F7F2AD4">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p>
        </w:tc>
        <w:tc>
          <w:tcPr>
            <w:tcW w:w="2268" w:type="dxa"/>
            <w:gridSpan w:val="3"/>
            <w:tcBorders>
              <w:bottom w:val="single" w:color="auto" w:sz="4" w:space="0"/>
            </w:tcBorders>
            <w:shd w:val="clear" w:color="auto" w:fill="FFFFFF"/>
            <w:noWrap w:val="0"/>
            <w:vAlign w:val="center"/>
          </w:tcPr>
          <w:p w14:paraId="440EBC73">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课程目标1</w:t>
            </w:r>
          </w:p>
        </w:tc>
        <w:tc>
          <w:tcPr>
            <w:tcW w:w="4195" w:type="dxa"/>
            <w:gridSpan w:val="10"/>
            <w:shd w:val="clear" w:color="auto" w:fill="FFFFFF"/>
            <w:noWrap w:val="0"/>
            <w:vAlign w:val="center"/>
          </w:tcPr>
          <w:p w14:paraId="681318DE">
            <w:pPr>
              <w:keepNext w:val="0"/>
              <w:keepLines w:val="0"/>
              <w:pageBreakBefore w:val="0"/>
              <w:kinsoku/>
              <w:wordWrap/>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default" w:ascii="仿宋" w:hAnsi="仿宋" w:eastAsia="仿宋" w:cs="仿宋"/>
                <w:color w:val="auto"/>
                <w:sz w:val="24"/>
                <w:szCs w:val="24"/>
                <w:lang w:val="en-US" w:eastAsia="zh-CN"/>
              </w:rPr>
              <w:t>3.</w:t>
            </w:r>
            <w:r>
              <w:rPr>
                <w:rFonts w:hint="eastAsia" w:ascii="仿宋" w:hAnsi="仿宋" w:eastAsia="仿宋" w:cs="仿宋"/>
                <w:color w:val="auto"/>
                <w:sz w:val="24"/>
                <w:szCs w:val="24"/>
                <w:lang w:val="en-US" w:eastAsia="zh-CN"/>
              </w:rPr>
              <w:t>1【专业基本功】掌握音乐学科技法技能多项基本功，具备较强的课堂教学能力，形成音乐学科核心素养。</w:t>
            </w:r>
          </w:p>
        </w:tc>
        <w:tc>
          <w:tcPr>
            <w:tcW w:w="1304" w:type="dxa"/>
            <w:gridSpan w:val="4"/>
            <w:shd w:val="clear" w:color="auto" w:fill="FFFFFF"/>
            <w:noWrap w:val="0"/>
            <w:vAlign w:val="center"/>
          </w:tcPr>
          <w:p w14:paraId="34AEA0B6">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bCs/>
                <w:color w:val="auto"/>
                <w:sz w:val="24"/>
                <w:szCs w:val="24"/>
              </w:rPr>
              <w:t>学科素养（</w:t>
            </w:r>
            <w:r>
              <w:rPr>
                <w:rFonts w:hint="eastAsia" w:ascii="仿宋" w:hAnsi="仿宋" w:eastAsia="仿宋" w:cs="仿宋"/>
                <w:bCs/>
                <w:color w:val="auto"/>
                <w:sz w:val="24"/>
                <w:szCs w:val="24"/>
                <w:lang w:val="en-US" w:eastAsia="zh-CN"/>
              </w:rPr>
              <w:t>H</w:t>
            </w:r>
            <w:r>
              <w:rPr>
                <w:rFonts w:hint="eastAsia" w:ascii="仿宋" w:hAnsi="仿宋" w:eastAsia="仿宋" w:cs="仿宋"/>
                <w:bCs/>
                <w:color w:val="auto"/>
                <w:sz w:val="24"/>
                <w:szCs w:val="24"/>
              </w:rPr>
              <w:t>）</w:t>
            </w:r>
          </w:p>
        </w:tc>
      </w:tr>
      <w:tr w14:paraId="708C535D">
        <w:trPr>
          <w:gridAfter w:val="1"/>
          <w:wAfter w:w="17" w:type="dxa"/>
          <w:trHeight w:val="817" w:hRule="atLeast"/>
          <w:jc w:val="center"/>
        </w:trPr>
        <w:tc>
          <w:tcPr>
            <w:tcW w:w="1376" w:type="dxa"/>
            <w:vMerge w:val="continue"/>
            <w:shd w:val="clear" w:color="auto" w:fill="FFFFFF"/>
            <w:noWrap w:val="0"/>
            <w:vAlign w:val="center"/>
          </w:tcPr>
          <w:p w14:paraId="685AB944">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p>
        </w:tc>
        <w:tc>
          <w:tcPr>
            <w:tcW w:w="2268" w:type="dxa"/>
            <w:gridSpan w:val="3"/>
            <w:shd w:val="clear" w:color="auto" w:fill="FFFFFF"/>
            <w:noWrap w:val="0"/>
            <w:vAlign w:val="center"/>
          </w:tcPr>
          <w:p w14:paraId="3A4598A2">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课程目标</w:t>
            </w:r>
            <w:r>
              <w:rPr>
                <w:rFonts w:hint="eastAsia" w:ascii="仿宋" w:hAnsi="仿宋" w:eastAsia="仿宋" w:cs="仿宋"/>
                <w:color w:val="auto"/>
                <w:sz w:val="24"/>
                <w:szCs w:val="24"/>
                <w:lang w:val="en-US" w:eastAsia="zh-CN"/>
              </w:rPr>
              <w:t>2</w:t>
            </w:r>
          </w:p>
        </w:tc>
        <w:tc>
          <w:tcPr>
            <w:tcW w:w="4195" w:type="dxa"/>
            <w:gridSpan w:val="10"/>
            <w:shd w:val="clear" w:color="auto" w:fill="FFFFFF"/>
            <w:noWrap w:val="0"/>
            <w:vAlign w:val="center"/>
          </w:tcPr>
          <w:p w14:paraId="018F3993">
            <w:pPr>
              <w:keepNext w:val="0"/>
              <w:keepLines w:val="0"/>
              <w:pageBreakBefore w:val="0"/>
              <w:kinsoku/>
              <w:wordWrap/>
              <w:overflowPunct/>
              <w:topLinePunct w:val="0"/>
              <w:bidi w:val="0"/>
              <w:adjustRightInd w:val="0"/>
              <w:snapToGrid w:val="0"/>
              <w:spacing w:line="240" w:lineRule="auto"/>
              <w:jc w:val="left"/>
              <w:rPr>
                <w:rFonts w:hint="default" w:ascii="仿宋" w:hAnsi="仿宋" w:eastAsia="仿宋" w:cs="仿宋"/>
                <w:color w:val="auto"/>
                <w:sz w:val="24"/>
                <w:szCs w:val="24"/>
                <w:lang w:val="en-US" w:eastAsia="zh-CN"/>
              </w:rPr>
            </w:pPr>
            <w:r>
              <w:rPr>
                <w:rFonts w:hint="default" w:ascii="仿宋" w:hAnsi="仿宋" w:eastAsia="仿宋" w:cs="仿宋"/>
                <w:color w:val="auto"/>
                <w:sz w:val="24"/>
                <w:szCs w:val="24"/>
                <w:lang w:val="en-US" w:eastAsia="zh-CN"/>
              </w:rPr>
              <w:t>4.</w:t>
            </w:r>
            <w:r>
              <w:rPr>
                <w:rFonts w:hint="eastAsia" w:ascii="仿宋" w:hAnsi="仿宋" w:eastAsia="仿宋" w:cs="仿宋"/>
                <w:color w:val="auto"/>
                <w:sz w:val="24"/>
                <w:szCs w:val="24"/>
                <w:lang w:val="en-US" w:eastAsia="zh-CN"/>
              </w:rPr>
              <w:t xml:space="preserve">2【课外音乐活动策划组织能力】能组织课外音乐活动，编排节目，指导和训练学生艺术团，能配合团队进行校园文化艺术节的策划、组织、编排和指导工作。 </w:t>
            </w:r>
          </w:p>
          <w:p w14:paraId="799F6A66">
            <w:pPr>
              <w:keepNext w:val="0"/>
              <w:keepLines w:val="0"/>
              <w:pageBreakBefore w:val="0"/>
              <w:kinsoku/>
              <w:wordWrap/>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default" w:ascii="仿宋" w:hAnsi="仿宋" w:eastAsia="仿宋" w:cs="仿宋"/>
                <w:color w:val="auto"/>
                <w:sz w:val="24"/>
                <w:szCs w:val="24"/>
                <w:lang w:val="en-US" w:eastAsia="zh-CN"/>
              </w:rPr>
              <w:t>4.</w:t>
            </w:r>
            <w:r>
              <w:rPr>
                <w:rFonts w:hint="eastAsia" w:ascii="仿宋" w:hAnsi="仿宋" w:eastAsia="仿宋" w:cs="仿宋"/>
                <w:color w:val="auto"/>
                <w:sz w:val="24"/>
                <w:szCs w:val="24"/>
                <w:lang w:val="en-US" w:eastAsia="zh-CN"/>
              </w:rPr>
              <w:t>3【中国传统音乐舞蹈文化传承能力】具有传承传统音乐舞蹈文化的意识，能运用传统音乐舞蹈资源进行课堂教学和开展课外音乐舞蹈活动。</w:t>
            </w:r>
            <w:r>
              <w:rPr>
                <w:rFonts w:hint="eastAsia" w:ascii="宋体" w:hAnsi="宋体" w:eastAsia="宋体" w:cs="宋体"/>
                <w:color w:val="auto"/>
                <w:kern w:val="0"/>
                <w:sz w:val="22"/>
                <w:szCs w:val="22"/>
                <w:lang w:val="en-US" w:eastAsia="zh-CN" w:bidi="ar"/>
              </w:rPr>
              <w:t xml:space="preserve"> </w:t>
            </w:r>
          </w:p>
        </w:tc>
        <w:tc>
          <w:tcPr>
            <w:tcW w:w="1304" w:type="dxa"/>
            <w:gridSpan w:val="4"/>
            <w:shd w:val="clear" w:color="auto" w:fill="FFFFFF"/>
            <w:noWrap w:val="0"/>
            <w:vAlign w:val="center"/>
          </w:tcPr>
          <w:p w14:paraId="7FAC716B">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教学能力</w:t>
            </w:r>
            <w:r>
              <w:rPr>
                <w:rFonts w:hint="eastAsia" w:ascii="仿宋" w:hAnsi="仿宋" w:eastAsia="仿宋" w:cs="仿宋"/>
                <w:color w:val="auto"/>
                <w:sz w:val="24"/>
                <w:szCs w:val="24"/>
              </w:rPr>
              <w:t>（</w:t>
            </w:r>
            <w:r>
              <w:rPr>
                <w:rFonts w:hint="eastAsia" w:ascii="仿宋" w:hAnsi="仿宋" w:eastAsia="仿宋" w:cs="仿宋"/>
                <w:color w:val="auto"/>
                <w:sz w:val="24"/>
                <w:szCs w:val="24"/>
                <w:lang w:val="en-US" w:eastAsia="zh-CN"/>
              </w:rPr>
              <w:t>M</w:t>
            </w:r>
            <w:r>
              <w:rPr>
                <w:rFonts w:hint="eastAsia" w:ascii="仿宋" w:hAnsi="仿宋" w:eastAsia="仿宋" w:cs="仿宋"/>
                <w:color w:val="auto"/>
                <w:sz w:val="24"/>
                <w:szCs w:val="24"/>
              </w:rPr>
              <w:t>）</w:t>
            </w:r>
          </w:p>
        </w:tc>
      </w:tr>
      <w:tr w14:paraId="71C8BCD5">
        <w:trPr>
          <w:gridAfter w:val="1"/>
          <w:wAfter w:w="17" w:type="dxa"/>
          <w:trHeight w:val="817" w:hRule="atLeast"/>
          <w:jc w:val="center"/>
        </w:trPr>
        <w:tc>
          <w:tcPr>
            <w:tcW w:w="1376" w:type="dxa"/>
            <w:vMerge w:val="continue"/>
            <w:shd w:val="clear" w:color="auto" w:fill="FFFFFF"/>
            <w:noWrap w:val="0"/>
            <w:vAlign w:val="center"/>
          </w:tcPr>
          <w:p w14:paraId="39C67D76">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p>
        </w:tc>
        <w:tc>
          <w:tcPr>
            <w:tcW w:w="2268" w:type="dxa"/>
            <w:gridSpan w:val="3"/>
            <w:shd w:val="clear" w:color="auto" w:fill="FFFFFF"/>
            <w:noWrap w:val="0"/>
            <w:vAlign w:val="center"/>
          </w:tcPr>
          <w:p w14:paraId="49F71B0F">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课程目标</w:t>
            </w:r>
            <w:r>
              <w:rPr>
                <w:rFonts w:hint="eastAsia" w:ascii="仿宋" w:hAnsi="仿宋" w:eastAsia="仿宋" w:cs="仿宋"/>
                <w:color w:val="auto"/>
                <w:sz w:val="24"/>
                <w:szCs w:val="24"/>
                <w:lang w:val="en-US" w:eastAsia="zh-CN"/>
              </w:rPr>
              <w:t>3</w:t>
            </w:r>
          </w:p>
        </w:tc>
        <w:tc>
          <w:tcPr>
            <w:tcW w:w="4195" w:type="dxa"/>
            <w:gridSpan w:val="10"/>
            <w:shd w:val="clear" w:color="auto" w:fill="FFFFFF"/>
            <w:noWrap w:val="0"/>
            <w:vAlign w:val="center"/>
          </w:tcPr>
          <w:p w14:paraId="281CEAA9">
            <w:pPr>
              <w:keepNext w:val="0"/>
              <w:keepLines w:val="0"/>
              <w:pageBreakBefore w:val="0"/>
              <w:kinsoku/>
              <w:wordWrap/>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default" w:ascii="仿宋" w:hAnsi="仿宋" w:eastAsia="仿宋" w:cs="仿宋"/>
                <w:color w:val="auto"/>
                <w:sz w:val="24"/>
                <w:szCs w:val="24"/>
                <w:lang w:val="en-US" w:eastAsia="zh-CN"/>
              </w:rPr>
              <w:t>8.</w:t>
            </w:r>
            <w:r>
              <w:rPr>
                <w:rFonts w:hint="eastAsia" w:ascii="仿宋" w:hAnsi="仿宋" w:eastAsia="仿宋" w:cs="仿宋"/>
                <w:color w:val="auto"/>
                <w:sz w:val="24"/>
                <w:szCs w:val="24"/>
                <w:lang w:val="en-US" w:eastAsia="zh-CN"/>
              </w:rPr>
              <w:t>2【团队合作精神】理解学习共同体的作用，在课程学习、教育实践、艺术实践等活动中，具有良好的团队合作精神，积极参加团队协助工作，服从团队统一指挥，主动协调和推进团队工作。</w:t>
            </w:r>
          </w:p>
        </w:tc>
        <w:tc>
          <w:tcPr>
            <w:tcW w:w="1304" w:type="dxa"/>
            <w:gridSpan w:val="4"/>
            <w:shd w:val="clear" w:color="auto" w:fill="FFFFFF"/>
            <w:noWrap w:val="0"/>
            <w:vAlign w:val="center"/>
          </w:tcPr>
          <w:p w14:paraId="0EE7EE83">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沟通合作（</w:t>
            </w:r>
            <w:r>
              <w:rPr>
                <w:rFonts w:hint="eastAsia" w:ascii="仿宋" w:hAnsi="仿宋" w:eastAsia="仿宋" w:cs="仿宋"/>
                <w:color w:val="auto"/>
                <w:sz w:val="24"/>
                <w:szCs w:val="24"/>
                <w:lang w:val="en-US" w:eastAsia="zh-CN"/>
              </w:rPr>
              <w:t>M</w:t>
            </w:r>
            <w:r>
              <w:rPr>
                <w:rFonts w:hint="eastAsia" w:ascii="仿宋" w:hAnsi="仿宋" w:eastAsia="仿宋" w:cs="仿宋"/>
                <w:color w:val="auto"/>
                <w:sz w:val="24"/>
                <w:szCs w:val="24"/>
              </w:rPr>
              <w:t>）</w:t>
            </w:r>
          </w:p>
        </w:tc>
      </w:tr>
      <w:tr w14:paraId="6B308C4B">
        <w:trPr>
          <w:trHeight w:val="582" w:hRule="atLeast"/>
          <w:jc w:val="center"/>
        </w:trPr>
        <w:tc>
          <w:tcPr>
            <w:tcW w:w="1376" w:type="dxa"/>
            <w:vMerge w:val="restart"/>
            <w:shd w:val="clear" w:color="auto" w:fill="FFFFFF"/>
            <w:noWrap w:val="0"/>
            <w:vAlign w:val="center"/>
          </w:tcPr>
          <w:p w14:paraId="69CD8412">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F</w:t>
            </w:r>
          </w:p>
          <w:p w14:paraId="4C0E70CE">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理论学习内容</w:t>
            </w:r>
          </w:p>
        </w:tc>
        <w:tc>
          <w:tcPr>
            <w:tcW w:w="5695" w:type="dxa"/>
            <w:gridSpan w:val="11"/>
            <w:shd w:val="clear" w:color="auto" w:fill="FFFFFF"/>
            <w:noWrap w:val="0"/>
            <w:vAlign w:val="center"/>
          </w:tcPr>
          <w:p w14:paraId="01195AFB">
            <w:pPr>
              <w:keepNext w:val="0"/>
              <w:keepLines w:val="0"/>
              <w:pageBreakBefore w:val="0"/>
              <w:kinsoku/>
              <w:wordWrap/>
              <w:overflowPunct/>
              <w:topLinePunct w:val="0"/>
              <w:bidi w:val="0"/>
              <w:adjustRightInd w:val="0"/>
              <w:snapToGrid w:val="0"/>
              <w:spacing w:line="240" w:lineRule="auto"/>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章节学习内容与学习要求</w:t>
            </w:r>
          </w:p>
        </w:tc>
        <w:tc>
          <w:tcPr>
            <w:tcW w:w="1153" w:type="dxa"/>
            <w:gridSpan w:val="3"/>
            <w:shd w:val="clear" w:color="auto" w:fill="FFFFFF"/>
            <w:noWrap w:val="0"/>
            <w:vAlign w:val="center"/>
          </w:tcPr>
          <w:p w14:paraId="363CA2E6">
            <w:pPr>
              <w:keepNext w:val="0"/>
              <w:keepLines w:val="0"/>
              <w:pageBreakBefore w:val="0"/>
              <w:kinsoku/>
              <w:wordWrap/>
              <w:overflowPunct/>
              <w:topLinePunct w:val="0"/>
              <w:bidi w:val="0"/>
              <w:adjustRightInd w:val="0"/>
              <w:snapToGrid w:val="0"/>
              <w:spacing w:line="240" w:lineRule="auto"/>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支撑课程</w:t>
            </w:r>
          </w:p>
          <w:p w14:paraId="18634A57">
            <w:pPr>
              <w:keepNext w:val="0"/>
              <w:keepLines w:val="0"/>
              <w:pageBreakBefore w:val="0"/>
              <w:kinsoku/>
              <w:wordWrap/>
              <w:overflowPunct/>
              <w:topLinePunct w:val="0"/>
              <w:bidi w:val="0"/>
              <w:adjustRightInd w:val="0"/>
              <w:snapToGrid w:val="0"/>
              <w:spacing w:line="240" w:lineRule="auto"/>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目标</w:t>
            </w:r>
          </w:p>
        </w:tc>
        <w:tc>
          <w:tcPr>
            <w:tcW w:w="936" w:type="dxa"/>
            <w:gridSpan w:val="4"/>
            <w:shd w:val="clear" w:color="auto" w:fill="FFFFFF"/>
            <w:noWrap w:val="0"/>
            <w:vAlign w:val="center"/>
          </w:tcPr>
          <w:p w14:paraId="14984333">
            <w:pPr>
              <w:keepNext w:val="0"/>
              <w:keepLines w:val="0"/>
              <w:pageBreakBefore w:val="0"/>
              <w:kinsoku/>
              <w:wordWrap/>
              <w:overflowPunct/>
              <w:topLinePunct w:val="0"/>
              <w:bidi w:val="0"/>
              <w:adjustRightInd w:val="0"/>
              <w:snapToGrid w:val="0"/>
              <w:spacing w:line="240" w:lineRule="auto"/>
              <w:jc w:val="center"/>
              <w:textAlignment w:val="baseline"/>
              <w:rPr>
                <w:rFonts w:ascii="仿宋" w:hAnsi="仿宋" w:eastAsia="仿宋" w:cs="仿宋"/>
                <w:color w:val="auto"/>
                <w:kern w:val="0"/>
                <w:sz w:val="24"/>
                <w:szCs w:val="24"/>
              </w:rPr>
            </w:pPr>
            <w:r>
              <w:rPr>
                <w:rFonts w:hint="eastAsia" w:ascii="仿宋" w:hAnsi="仿宋" w:eastAsia="仿宋" w:cs="仿宋"/>
                <w:color w:val="auto"/>
                <w:kern w:val="0"/>
                <w:sz w:val="24"/>
                <w:szCs w:val="24"/>
              </w:rPr>
              <w:t>学时</w:t>
            </w:r>
          </w:p>
          <w:p w14:paraId="3A0924EA">
            <w:pPr>
              <w:keepNext w:val="0"/>
              <w:keepLines w:val="0"/>
              <w:pageBreakBefore w:val="0"/>
              <w:kinsoku/>
              <w:wordWrap/>
              <w:overflowPunct/>
              <w:topLinePunct w:val="0"/>
              <w:bidi w:val="0"/>
              <w:adjustRightInd w:val="0"/>
              <w:snapToGrid w:val="0"/>
              <w:spacing w:line="240" w:lineRule="auto"/>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分配</w:t>
            </w:r>
          </w:p>
        </w:tc>
      </w:tr>
      <w:tr w14:paraId="77FD2100">
        <w:trPr>
          <w:trHeight w:val="1779" w:hRule="atLeast"/>
          <w:jc w:val="center"/>
        </w:trPr>
        <w:tc>
          <w:tcPr>
            <w:tcW w:w="1376" w:type="dxa"/>
            <w:vMerge w:val="continue"/>
            <w:shd w:val="clear" w:color="auto" w:fill="FFFFFF"/>
            <w:noWrap w:val="0"/>
            <w:vAlign w:val="center"/>
          </w:tcPr>
          <w:p w14:paraId="0E86205D">
            <w:pPr>
              <w:keepNext w:val="0"/>
              <w:keepLines w:val="0"/>
              <w:pageBreakBefore w:val="0"/>
              <w:kinsoku/>
              <w:wordWrap/>
              <w:overflowPunct/>
              <w:topLinePunct w:val="0"/>
              <w:bidi w:val="0"/>
              <w:adjustRightInd w:val="0"/>
              <w:snapToGrid w:val="0"/>
              <w:spacing w:line="240" w:lineRule="auto"/>
              <w:jc w:val="right"/>
              <w:rPr>
                <w:rFonts w:hint="eastAsia" w:ascii="仿宋" w:hAnsi="仿宋" w:eastAsia="仿宋" w:cs="仿宋"/>
                <w:color w:val="auto"/>
                <w:sz w:val="24"/>
                <w:szCs w:val="24"/>
              </w:rPr>
            </w:pPr>
          </w:p>
        </w:tc>
        <w:tc>
          <w:tcPr>
            <w:tcW w:w="5695" w:type="dxa"/>
            <w:gridSpan w:val="11"/>
            <w:shd w:val="clear" w:color="auto" w:fill="auto"/>
            <w:noWrap w:val="0"/>
            <w:vAlign w:val="center"/>
          </w:tcPr>
          <w:p w14:paraId="4847BBBB">
            <w:pPr>
              <w:keepNext w:val="0"/>
              <w:keepLines w:val="0"/>
              <w:pageBreakBefore w:val="0"/>
              <w:numPr>
                <w:ilvl w:val="0"/>
                <w:numId w:val="0"/>
              </w:numPr>
              <w:kinsoku/>
              <w:wordWrap/>
              <w:overflowPunct/>
              <w:topLinePunct w:val="0"/>
              <w:bidi w:val="0"/>
              <w:adjustRightInd w:val="0"/>
              <w:snapToGrid w:val="0"/>
              <w:spacing w:line="240" w:lineRule="auto"/>
              <w:ind w:leftChars="0"/>
              <w:rPr>
                <w:rFonts w:hint="eastAsia" w:ascii="仿宋" w:hAnsi="仿宋" w:eastAsia="仿宋" w:cs="仿宋"/>
                <w:bCs/>
                <w:color w:val="auto"/>
                <w:sz w:val="24"/>
                <w:szCs w:val="24"/>
              </w:rPr>
            </w:pPr>
            <w:r>
              <w:rPr>
                <w:rFonts w:hint="eastAsia" w:ascii="仿宋" w:hAnsi="仿宋" w:eastAsia="仿宋" w:cs="仿宋"/>
                <w:bCs/>
                <w:color w:val="auto"/>
                <w:sz w:val="24"/>
                <w:szCs w:val="24"/>
                <w:lang w:val="en-US" w:eastAsia="zh-CN"/>
              </w:rPr>
              <w:t>合唱篇</w:t>
            </w:r>
          </w:p>
          <w:p w14:paraId="5EFA4540">
            <w:pPr>
              <w:keepNext w:val="0"/>
              <w:keepLines w:val="0"/>
              <w:pageBreakBefore w:val="0"/>
              <w:kinsoku/>
              <w:wordWrap/>
              <w:overflowPunct/>
              <w:topLinePunct w:val="0"/>
              <w:bidi w:val="0"/>
              <w:spacing w:line="240" w:lineRule="auto"/>
              <w:rPr>
                <w:rFonts w:hint="eastAsia" w:ascii="宋体" w:hAnsi="宋体"/>
                <w:color w:val="auto"/>
                <w:szCs w:val="21"/>
              </w:rPr>
            </w:pPr>
            <w:r>
              <w:rPr>
                <w:rFonts w:hint="eastAsia" w:ascii="仿宋" w:hAnsi="仿宋" w:eastAsia="仿宋" w:cs="仿宋"/>
                <w:color w:val="auto"/>
                <w:kern w:val="0"/>
                <w:sz w:val="24"/>
                <w:szCs w:val="24"/>
              </w:rPr>
              <w:t>知道：</w:t>
            </w:r>
            <w:r>
              <w:rPr>
                <w:rFonts w:hint="eastAsia" w:ascii="仿宋" w:hAnsi="仿宋" w:eastAsia="仿宋" w:cs="仿宋"/>
                <w:bCs/>
                <w:color w:val="auto"/>
                <w:sz w:val="24"/>
                <w:szCs w:val="24"/>
              </w:rPr>
              <w:t>合唱的组织</w:t>
            </w:r>
          </w:p>
          <w:p w14:paraId="17EB6670">
            <w:pPr>
              <w:keepNext w:val="0"/>
              <w:keepLines w:val="0"/>
              <w:pageBreakBefore w:val="0"/>
              <w:widowControl/>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color w:val="auto"/>
                <w:kern w:val="0"/>
                <w:sz w:val="24"/>
                <w:szCs w:val="24"/>
              </w:rPr>
              <w:t>领会：</w:t>
            </w:r>
            <w:r>
              <w:rPr>
                <w:rFonts w:hint="eastAsia" w:ascii="仿宋" w:hAnsi="仿宋" w:eastAsia="仿宋" w:cs="仿宋"/>
                <w:bCs/>
                <w:color w:val="auto"/>
                <w:sz w:val="24"/>
                <w:szCs w:val="24"/>
              </w:rPr>
              <w:t>合唱的协调</w:t>
            </w:r>
          </w:p>
          <w:p w14:paraId="4D556C95">
            <w:pPr>
              <w:keepNext w:val="0"/>
              <w:keepLines w:val="0"/>
              <w:pageBreakBefore w:val="0"/>
              <w:widowControl/>
              <w:kinsoku/>
              <w:wordWrap/>
              <w:overflowPunct/>
              <w:topLinePunct w:val="0"/>
              <w:bidi w:val="0"/>
              <w:adjustRightInd w:val="0"/>
              <w:snapToGrid w:val="0"/>
              <w:spacing w:line="240" w:lineRule="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应用：</w:t>
            </w:r>
            <w:r>
              <w:rPr>
                <w:rFonts w:hint="eastAsia" w:ascii="仿宋" w:hAnsi="仿宋" w:eastAsia="仿宋" w:cs="仿宋"/>
                <w:bCs/>
                <w:color w:val="auto"/>
                <w:sz w:val="24"/>
                <w:szCs w:val="24"/>
              </w:rPr>
              <w:t>合唱的字音</w:t>
            </w:r>
            <w:r>
              <w:rPr>
                <w:rFonts w:hint="eastAsia" w:ascii="仿宋" w:hAnsi="仿宋" w:eastAsia="仿宋" w:cs="仿宋"/>
                <w:bCs/>
                <w:color w:val="auto"/>
                <w:sz w:val="24"/>
                <w:szCs w:val="24"/>
                <w:lang w:eastAsia="zh-CN"/>
              </w:rPr>
              <w:t>；</w:t>
            </w:r>
            <w:r>
              <w:rPr>
                <w:rFonts w:hint="eastAsia" w:ascii="仿宋" w:hAnsi="仿宋" w:eastAsia="仿宋" w:cs="仿宋"/>
                <w:bCs/>
                <w:color w:val="auto"/>
                <w:sz w:val="24"/>
                <w:szCs w:val="24"/>
              </w:rPr>
              <w:t>合唱的技能</w:t>
            </w:r>
          </w:p>
          <w:p w14:paraId="43C6B4D5">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color w:val="auto"/>
                <w:kern w:val="0"/>
                <w:sz w:val="24"/>
                <w:szCs w:val="24"/>
              </w:rPr>
              <w:t>分析：</w:t>
            </w:r>
            <w:r>
              <w:rPr>
                <w:rFonts w:hint="eastAsia" w:ascii="仿宋" w:hAnsi="仿宋" w:eastAsia="仿宋" w:cs="仿宋"/>
                <w:bCs/>
                <w:color w:val="auto"/>
                <w:sz w:val="24"/>
                <w:szCs w:val="24"/>
              </w:rPr>
              <w:t>与合唱相关的声乐知识</w:t>
            </w:r>
          </w:p>
          <w:p w14:paraId="28BB86AB">
            <w:pPr>
              <w:keepNext w:val="0"/>
              <w:keepLines w:val="0"/>
              <w:pageBreakBefore w:val="0"/>
              <w:kinsoku/>
              <w:wordWrap/>
              <w:overflowPunct/>
              <w:topLinePunct w:val="0"/>
              <w:bidi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综合：童声合唱</w:t>
            </w:r>
            <w:r>
              <w:rPr>
                <w:rFonts w:hint="eastAsia" w:ascii="仿宋" w:hAnsi="仿宋" w:eastAsia="仿宋" w:cs="仿宋"/>
                <w:bCs/>
                <w:color w:val="auto"/>
                <w:sz w:val="24"/>
                <w:szCs w:val="24"/>
                <w:lang w:eastAsia="zh-CN"/>
              </w:rPr>
              <w:t>；</w:t>
            </w:r>
            <w:r>
              <w:rPr>
                <w:rFonts w:hint="eastAsia" w:ascii="仿宋" w:hAnsi="仿宋" w:eastAsia="仿宋" w:cs="仿宋"/>
                <w:bCs/>
                <w:color w:val="auto"/>
                <w:sz w:val="24"/>
                <w:szCs w:val="24"/>
              </w:rPr>
              <w:t xml:space="preserve">成人及中老年合唱    </w:t>
            </w:r>
          </w:p>
        </w:tc>
        <w:tc>
          <w:tcPr>
            <w:tcW w:w="1153" w:type="dxa"/>
            <w:gridSpan w:val="3"/>
            <w:shd w:val="clear" w:color="auto" w:fill="auto"/>
            <w:noWrap w:val="0"/>
            <w:vAlign w:val="center"/>
          </w:tcPr>
          <w:p w14:paraId="669E0D5D">
            <w:pPr>
              <w:keepNext w:val="0"/>
              <w:keepLines w:val="0"/>
              <w:pageBreakBefore w:val="0"/>
              <w:widowControl/>
              <w:kinsoku/>
              <w:wordWrap/>
              <w:overflowPunct/>
              <w:topLinePunct w:val="0"/>
              <w:bidi w:val="0"/>
              <w:adjustRightInd w:val="0"/>
              <w:snapToGrid w:val="0"/>
              <w:spacing w:line="240" w:lineRule="auto"/>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tc>
        <w:tc>
          <w:tcPr>
            <w:tcW w:w="936" w:type="dxa"/>
            <w:gridSpan w:val="4"/>
            <w:shd w:val="clear" w:color="auto" w:fill="FFFFFF"/>
            <w:noWrap w:val="0"/>
            <w:vAlign w:val="center"/>
          </w:tcPr>
          <w:p w14:paraId="4DBDDDE6">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32</w:t>
            </w:r>
          </w:p>
        </w:tc>
      </w:tr>
      <w:tr w14:paraId="298A7374">
        <w:trPr>
          <w:trHeight w:val="1988" w:hRule="atLeast"/>
          <w:jc w:val="center"/>
        </w:trPr>
        <w:tc>
          <w:tcPr>
            <w:tcW w:w="1376" w:type="dxa"/>
            <w:vMerge w:val="continue"/>
            <w:shd w:val="clear" w:color="auto" w:fill="FFFFFF"/>
            <w:noWrap w:val="0"/>
            <w:vAlign w:val="center"/>
          </w:tcPr>
          <w:p w14:paraId="1CF6960C">
            <w:pPr>
              <w:keepNext w:val="0"/>
              <w:keepLines w:val="0"/>
              <w:pageBreakBefore w:val="0"/>
              <w:kinsoku/>
              <w:wordWrap/>
              <w:overflowPunct/>
              <w:topLinePunct w:val="0"/>
              <w:bidi w:val="0"/>
              <w:adjustRightInd w:val="0"/>
              <w:snapToGrid w:val="0"/>
              <w:spacing w:line="240" w:lineRule="auto"/>
              <w:jc w:val="right"/>
              <w:rPr>
                <w:rFonts w:hint="eastAsia" w:ascii="仿宋" w:hAnsi="仿宋" w:eastAsia="仿宋" w:cs="仿宋"/>
                <w:color w:val="auto"/>
                <w:sz w:val="24"/>
                <w:szCs w:val="24"/>
              </w:rPr>
            </w:pPr>
          </w:p>
        </w:tc>
        <w:tc>
          <w:tcPr>
            <w:tcW w:w="5695" w:type="dxa"/>
            <w:gridSpan w:val="11"/>
            <w:shd w:val="clear" w:color="auto" w:fill="auto"/>
            <w:noWrap w:val="0"/>
            <w:vAlign w:val="center"/>
          </w:tcPr>
          <w:p w14:paraId="2830F899">
            <w:pPr>
              <w:keepNext w:val="0"/>
              <w:keepLines w:val="0"/>
              <w:pageBreakBefore w:val="0"/>
              <w:numPr>
                <w:ilvl w:val="0"/>
                <w:numId w:val="0"/>
              </w:numPr>
              <w:kinsoku/>
              <w:wordWrap/>
              <w:overflowPunct/>
              <w:topLinePunct w:val="0"/>
              <w:bidi w:val="0"/>
              <w:adjustRightInd w:val="0"/>
              <w:snapToGrid w:val="0"/>
              <w:spacing w:line="240" w:lineRule="auto"/>
              <w:ind w:leftChars="0"/>
              <w:rPr>
                <w:rFonts w:hint="default"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指挥篇</w:t>
            </w:r>
          </w:p>
          <w:p w14:paraId="779E12F9">
            <w:pPr>
              <w:keepNext w:val="0"/>
              <w:keepLines w:val="0"/>
              <w:pageBreakBefore w:val="0"/>
              <w:widowControl/>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color w:val="auto"/>
                <w:kern w:val="0"/>
                <w:sz w:val="24"/>
                <w:szCs w:val="24"/>
              </w:rPr>
              <w:t>知道：</w:t>
            </w:r>
            <w:r>
              <w:rPr>
                <w:rFonts w:hint="eastAsia" w:ascii="仿宋" w:hAnsi="仿宋" w:eastAsia="仿宋" w:cs="仿宋"/>
                <w:bCs/>
                <w:color w:val="auto"/>
                <w:sz w:val="24"/>
                <w:szCs w:val="24"/>
              </w:rPr>
              <w:t>指挥的职责</w:t>
            </w:r>
          </w:p>
          <w:p w14:paraId="2DE121D1">
            <w:pPr>
              <w:keepNext w:val="0"/>
              <w:keepLines w:val="0"/>
              <w:pageBreakBefore w:val="0"/>
              <w:widowControl/>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color w:val="auto"/>
                <w:kern w:val="0"/>
                <w:sz w:val="24"/>
                <w:szCs w:val="24"/>
              </w:rPr>
              <w:t>领会：</w:t>
            </w:r>
            <w:r>
              <w:rPr>
                <w:rFonts w:hint="eastAsia" w:ascii="仿宋" w:hAnsi="仿宋" w:eastAsia="仿宋" w:cs="仿宋"/>
                <w:bCs/>
                <w:color w:val="auto"/>
                <w:sz w:val="24"/>
                <w:szCs w:val="24"/>
              </w:rPr>
              <w:t>指挥的手势调控</w:t>
            </w:r>
          </w:p>
          <w:p w14:paraId="04968B17">
            <w:pPr>
              <w:keepNext w:val="0"/>
              <w:keepLines w:val="0"/>
              <w:pageBreakBefore w:val="0"/>
              <w:widowControl/>
              <w:kinsoku/>
              <w:wordWrap/>
              <w:overflowPunct/>
              <w:topLinePunct w:val="0"/>
              <w:bidi w:val="0"/>
              <w:adjustRightInd w:val="0"/>
              <w:snapToGrid w:val="0"/>
              <w:spacing w:line="240" w:lineRule="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应用：</w:t>
            </w:r>
            <w:r>
              <w:rPr>
                <w:rFonts w:hint="eastAsia" w:ascii="仿宋" w:hAnsi="仿宋" w:eastAsia="仿宋" w:cs="仿宋"/>
                <w:bCs/>
                <w:color w:val="auto"/>
                <w:sz w:val="24"/>
                <w:szCs w:val="24"/>
              </w:rPr>
              <w:t>指挥的技能</w:t>
            </w:r>
          </w:p>
          <w:p w14:paraId="21172BCA">
            <w:pPr>
              <w:keepNext w:val="0"/>
              <w:keepLines w:val="0"/>
              <w:pageBreakBefore w:val="0"/>
              <w:kinsoku/>
              <w:wordWrap/>
              <w:overflowPunct/>
              <w:topLinePunct w:val="0"/>
              <w:bidi w:val="0"/>
              <w:spacing w:line="240" w:lineRule="auto"/>
              <w:rPr>
                <w:rFonts w:hint="eastAsia" w:ascii="仿宋" w:hAnsi="仿宋" w:eastAsia="仿宋" w:cs="仿宋"/>
                <w:bCs/>
                <w:color w:val="auto"/>
                <w:sz w:val="24"/>
                <w:szCs w:val="24"/>
              </w:rPr>
            </w:pPr>
            <w:r>
              <w:rPr>
                <w:rFonts w:hint="eastAsia" w:ascii="仿宋" w:hAnsi="仿宋" w:eastAsia="仿宋" w:cs="仿宋"/>
                <w:color w:val="auto"/>
                <w:kern w:val="0"/>
                <w:sz w:val="24"/>
                <w:szCs w:val="24"/>
              </w:rPr>
              <w:t>分析：</w:t>
            </w:r>
            <w:r>
              <w:rPr>
                <w:rFonts w:hint="eastAsia" w:ascii="仿宋" w:hAnsi="仿宋" w:eastAsia="仿宋" w:cs="仿宋"/>
                <w:bCs/>
                <w:color w:val="auto"/>
                <w:sz w:val="24"/>
                <w:szCs w:val="24"/>
              </w:rPr>
              <w:t>合唱的风格表现与艺术处理</w:t>
            </w:r>
          </w:p>
          <w:p w14:paraId="179010E5">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综合：合唱教学及排练、演出事宜的处置</w:t>
            </w:r>
          </w:p>
        </w:tc>
        <w:tc>
          <w:tcPr>
            <w:tcW w:w="1153" w:type="dxa"/>
            <w:gridSpan w:val="3"/>
            <w:shd w:val="clear" w:color="auto" w:fill="auto"/>
            <w:noWrap w:val="0"/>
            <w:vAlign w:val="center"/>
          </w:tcPr>
          <w:p w14:paraId="6E4274DC">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bCs/>
                <w:color w:val="auto"/>
                <w:sz w:val="24"/>
                <w:szCs w:val="24"/>
              </w:rPr>
            </w:pPr>
          </w:p>
          <w:p w14:paraId="780D63A6">
            <w:pPr>
              <w:keepNext w:val="0"/>
              <w:keepLines w:val="0"/>
              <w:pageBreakBefore w:val="0"/>
              <w:widowControl/>
              <w:kinsoku/>
              <w:wordWrap/>
              <w:overflowPunct/>
              <w:topLinePunct w:val="0"/>
              <w:bidi w:val="0"/>
              <w:adjustRightInd w:val="0"/>
              <w:snapToGrid w:val="0"/>
              <w:spacing w:line="240" w:lineRule="auto"/>
              <w:jc w:val="center"/>
              <w:rPr>
                <w:rFonts w:hint="eastAsia" w:ascii="仿宋" w:hAnsi="仿宋" w:eastAsia="仿宋" w:cs="仿宋"/>
                <w:bCs/>
                <w:color w:val="auto"/>
                <w:sz w:val="24"/>
                <w:szCs w:val="24"/>
              </w:rPr>
            </w:pPr>
          </w:p>
          <w:p w14:paraId="2D2E6051">
            <w:pPr>
              <w:keepNext w:val="0"/>
              <w:keepLines w:val="0"/>
              <w:pageBreakBefore w:val="0"/>
              <w:widowControl/>
              <w:kinsoku/>
              <w:wordWrap/>
              <w:overflowPunct/>
              <w:topLinePunct w:val="0"/>
              <w:bidi w:val="0"/>
              <w:adjustRightInd w:val="0"/>
              <w:snapToGrid w:val="0"/>
              <w:spacing w:line="240" w:lineRule="auto"/>
              <w:jc w:val="center"/>
              <w:rPr>
                <w:rFonts w:hint="default" w:ascii="仿宋" w:hAnsi="仿宋" w:eastAsia="仿宋" w:cs="仿宋"/>
                <w:bCs/>
                <w:color w:val="auto"/>
                <w:sz w:val="24"/>
                <w:szCs w:val="24"/>
                <w:lang w:val="en-US" w:eastAsia="zh-CN"/>
              </w:rPr>
            </w:pPr>
            <w:r>
              <w:rPr>
                <w:rFonts w:hint="eastAsia" w:ascii="仿宋" w:hAnsi="仿宋" w:eastAsia="仿宋" w:cs="仿宋"/>
                <w:bCs/>
                <w:color w:val="auto"/>
                <w:sz w:val="24"/>
                <w:szCs w:val="24"/>
              </w:rPr>
              <w:t>支撑课程目标1、2、3</w:t>
            </w:r>
          </w:p>
          <w:p w14:paraId="74483F3F">
            <w:pPr>
              <w:keepNext w:val="0"/>
              <w:keepLines w:val="0"/>
              <w:pageBreakBefore w:val="0"/>
              <w:kinsoku/>
              <w:wordWrap/>
              <w:overflowPunct/>
              <w:topLinePunct w:val="0"/>
              <w:bidi w:val="0"/>
              <w:adjustRightInd w:val="0"/>
              <w:snapToGrid w:val="0"/>
              <w:spacing w:line="240" w:lineRule="auto"/>
              <w:jc w:val="both"/>
              <w:rPr>
                <w:rFonts w:hint="eastAsia" w:ascii="仿宋" w:hAnsi="仿宋" w:eastAsia="仿宋" w:cs="仿宋"/>
                <w:bCs/>
                <w:color w:val="auto"/>
                <w:sz w:val="24"/>
                <w:szCs w:val="24"/>
              </w:rPr>
            </w:pPr>
          </w:p>
        </w:tc>
        <w:tc>
          <w:tcPr>
            <w:tcW w:w="936" w:type="dxa"/>
            <w:gridSpan w:val="4"/>
            <w:shd w:val="clear" w:color="auto" w:fill="FFFFFF"/>
            <w:noWrap w:val="0"/>
            <w:vAlign w:val="center"/>
          </w:tcPr>
          <w:p w14:paraId="7D47DB34">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32</w:t>
            </w:r>
          </w:p>
        </w:tc>
      </w:tr>
      <w:tr w14:paraId="414AC9A9">
        <w:trPr>
          <w:trHeight w:val="454" w:hRule="atLeast"/>
          <w:jc w:val="center"/>
        </w:trPr>
        <w:tc>
          <w:tcPr>
            <w:tcW w:w="1376" w:type="dxa"/>
            <w:vMerge w:val="continue"/>
            <w:shd w:val="clear" w:color="auto" w:fill="FFFFFF"/>
            <w:noWrap w:val="0"/>
            <w:vAlign w:val="center"/>
          </w:tcPr>
          <w:p w14:paraId="0D9ABC37">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p>
        </w:tc>
        <w:tc>
          <w:tcPr>
            <w:tcW w:w="6848" w:type="dxa"/>
            <w:gridSpan w:val="14"/>
            <w:shd w:val="clear" w:color="auto" w:fill="auto"/>
            <w:noWrap w:val="0"/>
            <w:vAlign w:val="center"/>
          </w:tcPr>
          <w:p w14:paraId="1A0B2171">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合计</w:t>
            </w:r>
          </w:p>
        </w:tc>
        <w:tc>
          <w:tcPr>
            <w:tcW w:w="936" w:type="dxa"/>
            <w:gridSpan w:val="4"/>
            <w:shd w:val="clear" w:color="auto" w:fill="FFFFFF"/>
            <w:noWrap w:val="0"/>
            <w:vAlign w:val="center"/>
          </w:tcPr>
          <w:p w14:paraId="59297581">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64</w:t>
            </w:r>
          </w:p>
        </w:tc>
      </w:tr>
      <w:tr w14:paraId="18BF0023">
        <w:trPr>
          <w:trHeight w:val="454" w:hRule="atLeast"/>
          <w:jc w:val="center"/>
        </w:trPr>
        <w:tc>
          <w:tcPr>
            <w:tcW w:w="1376" w:type="dxa"/>
            <w:vMerge w:val="restart"/>
            <w:shd w:val="clear" w:color="auto" w:fill="FFFFFF"/>
            <w:noWrap w:val="0"/>
            <w:vAlign w:val="center"/>
          </w:tcPr>
          <w:p w14:paraId="4118FB88">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G</w:t>
            </w:r>
          </w:p>
          <w:p w14:paraId="15030F4E">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技能（实训）</w:t>
            </w:r>
            <w:r>
              <w:rPr>
                <w:rFonts w:hint="eastAsia" w:ascii="仿宋" w:hAnsi="仿宋" w:eastAsia="仿宋" w:cs="仿宋"/>
                <w:color w:val="auto"/>
                <w:sz w:val="24"/>
                <w:szCs w:val="24"/>
              </w:rPr>
              <w:t>内容</w:t>
            </w:r>
          </w:p>
        </w:tc>
        <w:tc>
          <w:tcPr>
            <w:tcW w:w="5695" w:type="dxa"/>
            <w:gridSpan w:val="11"/>
            <w:shd w:val="clear" w:color="auto" w:fill="auto"/>
            <w:noWrap w:val="0"/>
            <w:vAlign w:val="center"/>
          </w:tcPr>
          <w:p w14:paraId="54D29B94">
            <w:pPr>
              <w:keepNext w:val="0"/>
              <w:keepLines w:val="0"/>
              <w:pageBreakBefore w:val="0"/>
              <w:kinsoku/>
              <w:wordWrap/>
              <w:overflowPunct/>
              <w:topLinePunct w:val="0"/>
              <w:bidi w:val="0"/>
              <w:adjustRightInd w:val="0"/>
              <w:snapToGrid w:val="0"/>
              <w:spacing w:line="240" w:lineRule="auto"/>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实训内容及训练</w:t>
            </w:r>
            <w:r>
              <w:rPr>
                <w:rFonts w:hint="eastAsia" w:ascii="仿宋" w:hAnsi="仿宋" w:eastAsia="仿宋" w:cs="仿宋"/>
                <w:color w:val="auto"/>
                <w:kern w:val="0"/>
                <w:sz w:val="24"/>
                <w:szCs w:val="24"/>
              </w:rPr>
              <w:t>要求</w:t>
            </w:r>
          </w:p>
        </w:tc>
        <w:tc>
          <w:tcPr>
            <w:tcW w:w="1153" w:type="dxa"/>
            <w:gridSpan w:val="3"/>
            <w:shd w:val="clear" w:color="auto" w:fill="auto"/>
            <w:noWrap w:val="0"/>
            <w:vAlign w:val="center"/>
          </w:tcPr>
          <w:p w14:paraId="58885D46">
            <w:pPr>
              <w:keepNext w:val="0"/>
              <w:keepLines w:val="0"/>
              <w:pageBreakBefore w:val="0"/>
              <w:kinsoku/>
              <w:wordWrap/>
              <w:overflowPunct/>
              <w:topLinePunct w:val="0"/>
              <w:bidi w:val="0"/>
              <w:adjustRightInd w:val="0"/>
              <w:snapToGrid w:val="0"/>
              <w:spacing w:line="240" w:lineRule="auto"/>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支撑课程</w:t>
            </w:r>
          </w:p>
          <w:p w14:paraId="4E3F06B8">
            <w:pPr>
              <w:keepNext w:val="0"/>
              <w:keepLines w:val="0"/>
              <w:pageBreakBefore w:val="0"/>
              <w:kinsoku/>
              <w:wordWrap/>
              <w:overflowPunct/>
              <w:topLinePunct w:val="0"/>
              <w:bidi w:val="0"/>
              <w:adjustRightInd w:val="0"/>
              <w:snapToGrid w:val="0"/>
              <w:spacing w:line="240" w:lineRule="auto"/>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目标</w:t>
            </w:r>
          </w:p>
        </w:tc>
        <w:tc>
          <w:tcPr>
            <w:tcW w:w="936" w:type="dxa"/>
            <w:gridSpan w:val="4"/>
            <w:shd w:val="clear" w:color="auto" w:fill="FFFFFF"/>
            <w:noWrap w:val="0"/>
            <w:vAlign w:val="center"/>
          </w:tcPr>
          <w:p w14:paraId="17C210CA">
            <w:pPr>
              <w:keepNext w:val="0"/>
              <w:keepLines w:val="0"/>
              <w:pageBreakBefore w:val="0"/>
              <w:kinsoku/>
              <w:wordWrap/>
              <w:overflowPunct/>
              <w:topLinePunct w:val="0"/>
              <w:bidi w:val="0"/>
              <w:adjustRightInd w:val="0"/>
              <w:snapToGrid w:val="0"/>
              <w:spacing w:line="240" w:lineRule="auto"/>
              <w:jc w:val="center"/>
              <w:rPr>
                <w:rFonts w:ascii="仿宋" w:hAnsi="仿宋" w:eastAsia="仿宋" w:cs="仿宋"/>
                <w:color w:val="auto"/>
                <w:kern w:val="0"/>
                <w:sz w:val="24"/>
                <w:szCs w:val="24"/>
              </w:rPr>
            </w:pPr>
            <w:r>
              <w:rPr>
                <w:rFonts w:hint="eastAsia" w:ascii="仿宋" w:hAnsi="仿宋" w:eastAsia="仿宋" w:cs="仿宋"/>
                <w:color w:val="auto"/>
                <w:kern w:val="0"/>
                <w:sz w:val="24"/>
                <w:szCs w:val="24"/>
              </w:rPr>
              <w:t xml:space="preserve">学时 </w:t>
            </w:r>
          </w:p>
          <w:p w14:paraId="33A7099A">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kern w:val="0"/>
                <w:sz w:val="24"/>
                <w:szCs w:val="24"/>
              </w:rPr>
              <w:t>分配</w:t>
            </w:r>
          </w:p>
        </w:tc>
      </w:tr>
      <w:tr w14:paraId="3F7934D2">
        <w:trPr>
          <w:trHeight w:val="454" w:hRule="atLeast"/>
          <w:jc w:val="center"/>
        </w:trPr>
        <w:tc>
          <w:tcPr>
            <w:tcW w:w="1376" w:type="dxa"/>
            <w:vMerge w:val="continue"/>
            <w:shd w:val="clear" w:color="auto" w:fill="FFFFFF"/>
            <w:noWrap w:val="0"/>
            <w:vAlign w:val="center"/>
          </w:tcPr>
          <w:p w14:paraId="61766A73">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p>
        </w:tc>
        <w:tc>
          <w:tcPr>
            <w:tcW w:w="5695" w:type="dxa"/>
            <w:gridSpan w:val="11"/>
            <w:shd w:val="clear" w:color="auto" w:fill="auto"/>
            <w:noWrap w:val="0"/>
            <w:vAlign w:val="center"/>
          </w:tcPr>
          <w:p w14:paraId="01A2CF17">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实</w:t>
            </w:r>
            <w:r>
              <w:rPr>
                <w:rFonts w:hint="eastAsia" w:ascii="仿宋" w:hAnsi="仿宋" w:eastAsia="仿宋" w:cs="仿宋"/>
                <w:bCs/>
                <w:color w:val="auto"/>
                <w:sz w:val="24"/>
                <w:szCs w:val="24"/>
                <w:lang w:val="en-US" w:eastAsia="zh-CN"/>
              </w:rPr>
              <w:t>训</w:t>
            </w:r>
            <w:r>
              <w:rPr>
                <w:rFonts w:hint="eastAsia" w:ascii="仿宋" w:hAnsi="仿宋" w:eastAsia="仿宋" w:cs="仿宋"/>
                <w:bCs/>
                <w:color w:val="auto"/>
                <w:sz w:val="24"/>
                <w:szCs w:val="24"/>
              </w:rPr>
              <w:t>一</w:t>
            </w:r>
          </w:p>
          <w:p w14:paraId="232F8FF6">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实验目的：</w:t>
            </w:r>
            <w:r>
              <w:rPr>
                <w:rFonts w:hint="eastAsia" w:ascii="仿宋" w:hAnsi="仿宋" w:eastAsia="仿宋" w:cs="仿宋"/>
                <w:bCs/>
                <w:color w:val="auto"/>
                <w:sz w:val="24"/>
                <w:szCs w:val="24"/>
                <w:lang w:val="en-US" w:eastAsia="zh-CN"/>
              </w:rPr>
              <w:t>培养学生的合唱音乐能力、具有综合的合唱音乐素质，通过合唱实践，理解合唱的统一、平衡与和谐，并根据合唱作品的风格和表现的要求，对合唱队各声部的声音及其表现进行调整。</w:t>
            </w:r>
          </w:p>
          <w:p w14:paraId="35882B70">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实</w:t>
            </w:r>
            <w:r>
              <w:rPr>
                <w:rFonts w:hint="eastAsia" w:ascii="仿宋" w:hAnsi="仿宋" w:eastAsia="仿宋" w:cs="仿宋"/>
                <w:bCs/>
                <w:color w:val="auto"/>
                <w:sz w:val="24"/>
                <w:szCs w:val="24"/>
                <w:lang w:val="en-US" w:eastAsia="zh-CN"/>
              </w:rPr>
              <w:t>训</w:t>
            </w:r>
            <w:r>
              <w:rPr>
                <w:rFonts w:hint="eastAsia" w:ascii="仿宋" w:hAnsi="仿宋" w:eastAsia="仿宋" w:cs="仿宋"/>
                <w:bCs/>
                <w:color w:val="auto"/>
                <w:sz w:val="24"/>
                <w:szCs w:val="24"/>
              </w:rPr>
              <w:t>任务：</w:t>
            </w:r>
          </w:p>
          <w:p w14:paraId="64314452">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Ⅰ.  《在太行山上》</w:t>
            </w:r>
          </w:p>
          <w:p w14:paraId="046E9784">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Ⅱ.  《远方的客人请你留下来》</w:t>
            </w:r>
          </w:p>
          <w:p w14:paraId="34FED813">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III. 《美丽的草原我的家》</w:t>
            </w:r>
          </w:p>
          <w:p w14:paraId="2DB3C940">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IV.  《闲聊波尔卡》</w:t>
            </w:r>
          </w:p>
          <w:p w14:paraId="78BB3203">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V.   《青春舞曲》</w:t>
            </w:r>
          </w:p>
          <w:p w14:paraId="7B3D6682">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VI.  《阿拉木汗》</w:t>
            </w:r>
          </w:p>
          <w:p w14:paraId="41117AAB">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VII. 《嘎哦丽泰》</w:t>
            </w:r>
          </w:p>
          <w:p w14:paraId="61D2D0EC">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VIII.《半个月亮爬上来》</w:t>
            </w:r>
          </w:p>
          <w:p w14:paraId="71F8B162">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IX.  《茨岗》</w:t>
            </w:r>
          </w:p>
          <w:p w14:paraId="5F1A10CC">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X.   《哈利路亚》</w:t>
            </w:r>
          </w:p>
          <w:p w14:paraId="73E225CE">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XI.  《乘着歌声的翅膀》</w:t>
            </w:r>
          </w:p>
          <w:p w14:paraId="1612E96C">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XII. 《美丽的梦神》</w:t>
            </w:r>
          </w:p>
          <w:p w14:paraId="638291E8">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XIII.《回忆》</w:t>
            </w:r>
          </w:p>
          <w:p w14:paraId="441083E8">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XIV. 《黄水谣》</w:t>
            </w:r>
          </w:p>
          <w:p w14:paraId="6FC760B0">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XV.  《飞来的花瓣》</w:t>
            </w:r>
          </w:p>
          <w:p w14:paraId="78F87B36">
            <w:pPr>
              <w:keepNext w:val="0"/>
              <w:keepLines w:val="0"/>
              <w:pageBreakBefore w:val="0"/>
              <w:kinsoku/>
              <w:wordWrap/>
              <w:overflowPunct/>
              <w:topLinePunct w:val="0"/>
              <w:bidi w:val="0"/>
              <w:adjustRightInd w:val="0"/>
              <w:snapToGrid w:val="0"/>
              <w:spacing w:line="240" w:lineRule="auto"/>
              <w:rPr>
                <w:rFonts w:hint="default"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w:t>
            </w:r>
          </w:p>
          <w:p w14:paraId="022D1345">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注：教学谱例根据实际需要，不断增补调整。</w:t>
            </w:r>
          </w:p>
        </w:tc>
        <w:tc>
          <w:tcPr>
            <w:tcW w:w="1153" w:type="dxa"/>
            <w:gridSpan w:val="3"/>
            <w:shd w:val="clear" w:color="auto" w:fill="auto"/>
            <w:noWrap w:val="0"/>
            <w:vAlign w:val="center"/>
          </w:tcPr>
          <w:p w14:paraId="635C9BA6">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tc>
        <w:tc>
          <w:tcPr>
            <w:tcW w:w="936" w:type="dxa"/>
            <w:gridSpan w:val="4"/>
            <w:shd w:val="clear" w:color="auto" w:fill="FFFFFF"/>
            <w:noWrap w:val="0"/>
            <w:vAlign w:val="center"/>
          </w:tcPr>
          <w:p w14:paraId="6923C1BF">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32</w:t>
            </w:r>
          </w:p>
        </w:tc>
      </w:tr>
      <w:tr w14:paraId="09951757">
        <w:trPr>
          <w:trHeight w:val="454" w:hRule="atLeast"/>
          <w:jc w:val="center"/>
        </w:trPr>
        <w:tc>
          <w:tcPr>
            <w:tcW w:w="1376" w:type="dxa"/>
            <w:vMerge w:val="continue"/>
            <w:shd w:val="clear" w:color="auto" w:fill="FFFFFF"/>
            <w:noWrap w:val="0"/>
            <w:vAlign w:val="center"/>
          </w:tcPr>
          <w:p w14:paraId="08407643">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p>
        </w:tc>
        <w:tc>
          <w:tcPr>
            <w:tcW w:w="5695" w:type="dxa"/>
            <w:gridSpan w:val="11"/>
            <w:shd w:val="clear" w:color="auto" w:fill="auto"/>
            <w:noWrap w:val="0"/>
            <w:vAlign w:val="center"/>
          </w:tcPr>
          <w:p w14:paraId="68BB2B97">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实</w:t>
            </w:r>
            <w:r>
              <w:rPr>
                <w:rFonts w:hint="eastAsia" w:ascii="仿宋" w:hAnsi="仿宋" w:eastAsia="仿宋" w:cs="仿宋"/>
                <w:bCs/>
                <w:color w:val="auto"/>
                <w:sz w:val="24"/>
                <w:szCs w:val="24"/>
                <w:lang w:val="en-US" w:eastAsia="zh-CN"/>
              </w:rPr>
              <w:t>训</w:t>
            </w:r>
            <w:r>
              <w:rPr>
                <w:rFonts w:hint="eastAsia" w:ascii="仿宋" w:hAnsi="仿宋" w:eastAsia="仿宋" w:cs="仿宋"/>
                <w:bCs/>
                <w:color w:val="auto"/>
                <w:sz w:val="24"/>
                <w:szCs w:val="24"/>
              </w:rPr>
              <w:t>二</w:t>
            </w:r>
          </w:p>
          <w:p w14:paraId="737A583C">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实</w:t>
            </w:r>
            <w:r>
              <w:rPr>
                <w:rFonts w:hint="eastAsia" w:ascii="仿宋" w:hAnsi="仿宋" w:eastAsia="仿宋" w:cs="仿宋"/>
                <w:bCs/>
                <w:color w:val="auto"/>
                <w:sz w:val="24"/>
                <w:szCs w:val="24"/>
                <w:lang w:val="en-US" w:eastAsia="zh-CN"/>
              </w:rPr>
              <w:t>训</w:t>
            </w:r>
            <w:r>
              <w:rPr>
                <w:rFonts w:hint="eastAsia" w:ascii="仿宋" w:hAnsi="仿宋" w:eastAsia="仿宋" w:cs="仿宋"/>
                <w:bCs/>
                <w:color w:val="auto"/>
                <w:sz w:val="24"/>
                <w:szCs w:val="24"/>
              </w:rPr>
              <w:t>目的：介绍常用的指挥技法和处理表现作品设计指挥方案，让学生能熟悉和掌握各种指挥技法，以及对音乐作品理解和诠释的能力。</w:t>
            </w:r>
          </w:p>
          <w:p w14:paraId="202D7234">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实</w:t>
            </w:r>
            <w:r>
              <w:rPr>
                <w:rFonts w:hint="eastAsia" w:ascii="仿宋" w:hAnsi="仿宋" w:eastAsia="仿宋" w:cs="仿宋"/>
                <w:bCs/>
                <w:color w:val="auto"/>
                <w:sz w:val="24"/>
                <w:szCs w:val="24"/>
                <w:lang w:val="en-US" w:eastAsia="zh-CN"/>
              </w:rPr>
              <w:t>训</w:t>
            </w:r>
            <w:r>
              <w:rPr>
                <w:rFonts w:hint="eastAsia" w:ascii="仿宋" w:hAnsi="仿宋" w:eastAsia="仿宋" w:cs="仿宋"/>
                <w:bCs/>
                <w:color w:val="auto"/>
                <w:sz w:val="24"/>
                <w:szCs w:val="24"/>
              </w:rPr>
              <w:t>任务：</w:t>
            </w:r>
          </w:p>
          <w:p w14:paraId="29EE0D31">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I.   《在太行山上》</w:t>
            </w:r>
          </w:p>
          <w:p w14:paraId="5F2D9DBB">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II.  《远方的客人请你留下来》</w:t>
            </w:r>
          </w:p>
          <w:p w14:paraId="468BE1C1">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III. 《渔阳轚鼓动起来》</w:t>
            </w:r>
          </w:p>
          <w:p w14:paraId="5E56EDDD">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IV.  《半个月亮爬上来》</w:t>
            </w:r>
          </w:p>
          <w:p w14:paraId="348E7F90">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V.   《茨岗》</w:t>
            </w:r>
          </w:p>
          <w:p w14:paraId="4DE0C5E7">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VI.  《雨后彩虹》</w:t>
            </w:r>
          </w:p>
          <w:p w14:paraId="59C73E72">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VII. 《乘着歌声的翅膀》</w:t>
            </w:r>
          </w:p>
          <w:p w14:paraId="3E3B7BD5">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VIII.《美丽的梦神》</w:t>
            </w:r>
          </w:p>
          <w:p w14:paraId="29D46E05">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IX.  《黄水谣》</w:t>
            </w:r>
          </w:p>
          <w:p w14:paraId="20F16563">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X.   《飞来的花瓣》</w:t>
            </w:r>
          </w:p>
          <w:p w14:paraId="52209AC1">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w:t>
            </w:r>
          </w:p>
          <w:p w14:paraId="7AED28D6">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注：教学谱例根据实际需要，不断增补调整。</w:t>
            </w:r>
          </w:p>
        </w:tc>
        <w:tc>
          <w:tcPr>
            <w:tcW w:w="1153" w:type="dxa"/>
            <w:gridSpan w:val="3"/>
            <w:shd w:val="clear" w:color="auto" w:fill="auto"/>
            <w:noWrap w:val="0"/>
            <w:vAlign w:val="center"/>
          </w:tcPr>
          <w:p w14:paraId="32ACDDA9">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tc>
        <w:tc>
          <w:tcPr>
            <w:tcW w:w="936" w:type="dxa"/>
            <w:gridSpan w:val="4"/>
            <w:shd w:val="clear" w:color="auto" w:fill="FFFFFF"/>
            <w:noWrap w:val="0"/>
            <w:vAlign w:val="center"/>
          </w:tcPr>
          <w:p w14:paraId="3355A70F">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32</w:t>
            </w:r>
          </w:p>
        </w:tc>
      </w:tr>
      <w:tr w14:paraId="3E7ED34F">
        <w:trPr>
          <w:trHeight w:val="504" w:hRule="atLeast"/>
          <w:jc w:val="center"/>
        </w:trPr>
        <w:tc>
          <w:tcPr>
            <w:tcW w:w="1376" w:type="dxa"/>
            <w:vMerge w:val="continue"/>
            <w:shd w:val="clear" w:color="auto" w:fill="FFFFFF"/>
            <w:noWrap w:val="0"/>
            <w:vAlign w:val="center"/>
          </w:tcPr>
          <w:p w14:paraId="108AED42">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p>
        </w:tc>
        <w:tc>
          <w:tcPr>
            <w:tcW w:w="6848" w:type="dxa"/>
            <w:gridSpan w:val="14"/>
            <w:shd w:val="clear" w:color="auto" w:fill="auto"/>
            <w:noWrap w:val="0"/>
            <w:vAlign w:val="center"/>
          </w:tcPr>
          <w:p w14:paraId="759FB7EF">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合计</w:t>
            </w:r>
          </w:p>
        </w:tc>
        <w:tc>
          <w:tcPr>
            <w:tcW w:w="936" w:type="dxa"/>
            <w:gridSpan w:val="4"/>
            <w:shd w:val="clear" w:color="auto" w:fill="FFFFFF"/>
            <w:noWrap w:val="0"/>
            <w:vAlign w:val="center"/>
          </w:tcPr>
          <w:p w14:paraId="6E285BB6">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64</w:t>
            </w:r>
          </w:p>
        </w:tc>
      </w:tr>
      <w:tr w14:paraId="6D9E8ACC">
        <w:trPr>
          <w:trHeight w:val="495" w:hRule="atLeast"/>
          <w:jc w:val="center"/>
        </w:trPr>
        <w:tc>
          <w:tcPr>
            <w:tcW w:w="1376" w:type="dxa"/>
            <w:vMerge w:val="restart"/>
            <w:shd w:val="clear" w:color="auto" w:fill="FFFFFF"/>
            <w:noWrap w:val="0"/>
            <w:vAlign w:val="center"/>
          </w:tcPr>
          <w:p w14:paraId="3C2F7247">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H</w:t>
            </w:r>
          </w:p>
          <w:p w14:paraId="1B943071">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实践内容（含教育实习、见习、研习，专业实习、毕业论文或毕业设计等）</w:t>
            </w:r>
          </w:p>
        </w:tc>
        <w:tc>
          <w:tcPr>
            <w:tcW w:w="5695" w:type="dxa"/>
            <w:gridSpan w:val="11"/>
            <w:noWrap w:val="0"/>
            <w:vAlign w:val="center"/>
          </w:tcPr>
          <w:p w14:paraId="4772E770">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实践主要内容和要求</w:t>
            </w:r>
          </w:p>
        </w:tc>
        <w:tc>
          <w:tcPr>
            <w:tcW w:w="1153" w:type="dxa"/>
            <w:gridSpan w:val="3"/>
            <w:noWrap w:val="0"/>
            <w:vAlign w:val="center"/>
          </w:tcPr>
          <w:p w14:paraId="67622400">
            <w:pPr>
              <w:keepNext w:val="0"/>
              <w:keepLines w:val="0"/>
              <w:pageBreakBefore w:val="0"/>
              <w:kinsoku/>
              <w:wordWrap/>
              <w:overflowPunct/>
              <w:topLinePunct w:val="0"/>
              <w:bidi w:val="0"/>
              <w:adjustRightInd w:val="0"/>
              <w:snapToGrid w:val="0"/>
              <w:spacing w:line="240" w:lineRule="auto"/>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支撑课程</w:t>
            </w:r>
          </w:p>
          <w:p w14:paraId="3BB337AF">
            <w:pPr>
              <w:keepNext w:val="0"/>
              <w:keepLines w:val="0"/>
              <w:pageBreakBefore w:val="0"/>
              <w:kinsoku/>
              <w:wordWrap/>
              <w:overflowPunct/>
              <w:topLinePunct w:val="0"/>
              <w:bidi w:val="0"/>
              <w:adjustRightInd w:val="0"/>
              <w:snapToGrid w:val="0"/>
              <w:spacing w:line="240" w:lineRule="auto"/>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目标</w:t>
            </w:r>
          </w:p>
        </w:tc>
        <w:tc>
          <w:tcPr>
            <w:tcW w:w="936" w:type="dxa"/>
            <w:gridSpan w:val="4"/>
            <w:noWrap w:val="0"/>
            <w:vAlign w:val="center"/>
          </w:tcPr>
          <w:p w14:paraId="4E6EE3F6">
            <w:pPr>
              <w:keepNext w:val="0"/>
              <w:keepLines w:val="0"/>
              <w:pageBreakBefore w:val="0"/>
              <w:kinsoku/>
              <w:wordWrap/>
              <w:overflowPunct/>
              <w:topLinePunct w:val="0"/>
              <w:bidi w:val="0"/>
              <w:adjustRightInd w:val="0"/>
              <w:snapToGrid w:val="0"/>
              <w:spacing w:line="240" w:lineRule="auto"/>
              <w:jc w:val="center"/>
              <w:rPr>
                <w:rFonts w:ascii="仿宋" w:hAnsi="仿宋" w:eastAsia="仿宋" w:cs="仿宋"/>
                <w:color w:val="auto"/>
                <w:kern w:val="0"/>
                <w:sz w:val="24"/>
                <w:szCs w:val="24"/>
              </w:rPr>
            </w:pPr>
            <w:r>
              <w:rPr>
                <w:rFonts w:hint="eastAsia" w:ascii="仿宋" w:hAnsi="仿宋" w:eastAsia="仿宋" w:cs="仿宋"/>
                <w:color w:val="auto"/>
                <w:kern w:val="0"/>
                <w:sz w:val="24"/>
                <w:szCs w:val="24"/>
              </w:rPr>
              <w:t>时长</w:t>
            </w:r>
          </w:p>
          <w:p w14:paraId="21970373">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kern w:val="0"/>
                <w:sz w:val="24"/>
                <w:szCs w:val="24"/>
              </w:rPr>
              <w:t>分配</w:t>
            </w:r>
          </w:p>
        </w:tc>
      </w:tr>
      <w:tr w14:paraId="1B842DAC">
        <w:trPr>
          <w:trHeight w:val="90" w:hRule="atLeast"/>
          <w:jc w:val="center"/>
        </w:trPr>
        <w:tc>
          <w:tcPr>
            <w:tcW w:w="1376" w:type="dxa"/>
            <w:vMerge w:val="continue"/>
            <w:shd w:val="clear" w:color="auto" w:fill="FFFFFF"/>
            <w:noWrap w:val="0"/>
            <w:vAlign w:val="center"/>
          </w:tcPr>
          <w:p w14:paraId="696FB5B7">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p>
        </w:tc>
        <w:tc>
          <w:tcPr>
            <w:tcW w:w="5695" w:type="dxa"/>
            <w:gridSpan w:val="11"/>
            <w:noWrap w:val="0"/>
            <w:vAlign w:val="top"/>
          </w:tcPr>
          <w:p w14:paraId="0ABE6A9E">
            <w:pPr>
              <w:keepNext w:val="0"/>
              <w:keepLines w:val="0"/>
              <w:pageBreakBefore w:val="0"/>
              <w:widowControl/>
              <w:kinsoku/>
              <w:wordWrap/>
              <w:overflowPunct/>
              <w:topLinePunct w:val="0"/>
              <w:autoSpaceDE w:val="0"/>
              <w:autoSpaceDN w:val="0"/>
              <w:bidi w:val="0"/>
              <w:adjustRightInd w:val="0"/>
              <w:snapToGrid w:val="0"/>
              <w:spacing w:line="240" w:lineRule="auto"/>
              <w:jc w:val="left"/>
              <w:textAlignment w:val="bottom"/>
              <w:rPr>
                <w:rFonts w:hint="eastAsia" w:ascii="仿宋" w:hAnsi="仿宋" w:eastAsia="仿宋" w:cs="仿宋"/>
                <w:color w:val="auto"/>
                <w:sz w:val="24"/>
                <w:szCs w:val="24"/>
              </w:rPr>
            </w:pPr>
          </w:p>
        </w:tc>
        <w:tc>
          <w:tcPr>
            <w:tcW w:w="1153" w:type="dxa"/>
            <w:gridSpan w:val="3"/>
            <w:noWrap w:val="0"/>
            <w:vAlign w:val="top"/>
          </w:tcPr>
          <w:p w14:paraId="53FBFBFE">
            <w:pPr>
              <w:keepNext w:val="0"/>
              <w:keepLines w:val="0"/>
              <w:pageBreakBefore w:val="0"/>
              <w:kinsoku/>
              <w:wordWrap/>
              <w:overflowPunct/>
              <w:topLinePunct w:val="0"/>
              <w:bidi w:val="0"/>
              <w:adjustRightInd w:val="0"/>
              <w:snapToGrid w:val="0"/>
              <w:spacing w:line="240" w:lineRule="auto"/>
              <w:jc w:val="left"/>
              <w:rPr>
                <w:rFonts w:hint="eastAsia" w:ascii="仿宋" w:hAnsi="仿宋" w:eastAsia="仿宋" w:cs="仿宋"/>
                <w:color w:val="auto"/>
                <w:sz w:val="24"/>
                <w:szCs w:val="24"/>
              </w:rPr>
            </w:pPr>
          </w:p>
        </w:tc>
        <w:tc>
          <w:tcPr>
            <w:tcW w:w="936" w:type="dxa"/>
            <w:gridSpan w:val="4"/>
            <w:noWrap w:val="0"/>
            <w:vAlign w:val="top"/>
          </w:tcPr>
          <w:p w14:paraId="16A31AD5">
            <w:pPr>
              <w:keepNext w:val="0"/>
              <w:keepLines w:val="0"/>
              <w:pageBreakBefore w:val="0"/>
              <w:kinsoku/>
              <w:wordWrap/>
              <w:overflowPunct/>
              <w:topLinePunct w:val="0"/>
              <w:bidi w:val="0"/>
              <w:adjustRightInd w:val="0"/>
              <w:snapToGrid w:val="0"/>
              <w:spacing w:line="240" w:lineRule="auto"/>
              <w:jc w:val="left"/>
              <w:rPr>
                <w:rFonts w:hint="eastAsia" w:ascii="仿宋" w:hAnsi="仿宋" w:eastAsia="仿宋" w:cs="仿宋"/>
                <w:color w:val="auto"/>
                <w:sz w:val="24"/>
                <w:szCs w:val="24"/>
              </w:rPr>
            </w:pPr>
          </w:p>
        </w:tc>
      </w:tr>
      <w:tr w14:paraId="0357775F">
        <w:trPr>
          <w:trHeight w:val="921" w:hRule="atLeast"/>
          <w:jc w:val="center"/>
        </w:trPr>
        <w:tc>
          <w:tcPr>
            <w:tcW w:w="1376" w:type="dxa"/>
            <w:noWrap w:val="0"/>
            <w:vAlign w:val="center"/>
          </w:tcPr>
          <w:p w14:paraId="0C469CE2">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I</w:t>
            </w:r>
          </w:p>
          <w:p w14:paraId="7F4FD6DB">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lang w:eastAsia="zh-TW"/>
              </w:rPr>
            </w:pPr>
            <w:r>
              <w:rPr>
                <w:rFonts w:hint="eastAsia" w:ascii="仿宋" w:hAnsi="仿宋" w:eastAsia="仿宋" w:cs="仿宋"/>
                <w:color w:val="auto"/>
                <w:sz w:val="24"/>
                <w:szCs w:val="24"/>
              </w:rPr>
              <w:t>教学方法与教学方式</w:t>
            </w:r>
          </w:p>
        </w:tc>
        <w:tc>
          <w:tcPr>
            <w:tcW w:w="7784" w:type="dxa"/>
            <w:gridSpan w:val="18"/>
            <w:tcBorders>
              <w:bottom w:val="single" w:color="auto" w:sz="4" w:space="0"/>
            </w:tcBorders>
            <w:noWrap w:val="0"/>
            <w:vAlign w:val="center"/>
          </w:tcPr>
          <w:p w14:paraId="221017E9">
            <w:pPr>
              <w:keepNext w:val="0"/>
              <w:keepLines w:val="0"/>
              <w:pageBreakBefore w:val="0"/>
              <w:numPr>
                <w:ilvl w:val="0"/>
                <w:numId w:val="0"/>
              </w:numPr>
              <w:kinsoku/>
              <w:wordWrap/>
              <w:overflowPunct/>
              <w:topLinePunct w:val="0"/>
              <w:bidi w:val="0"/>
              <w:adjustRightInd w:val="0"/>
              <w:snapToGrid w:val="0"/>
              <w:spacing w:line="240" w:lineRule="auto"/>
              <w:ind w:left="240" w:leftChars="0" w:hanging="240" w:hangingChars="100"/>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1.理论课与实践课是</w:t>
            </w:r>
            <w:r>
              <w:rPr>
                <w:rFonts w:hint="default" w:ascii="仿宋" w:hAnsi="仿宋" w:eastAsia="仿宋" w:cs="仿宋"/>
                <w:color w:val="auto"/>
                <w:sz w:val="24"/>
                <w:szCs w:val="24"/>
              </w:rPr>
              <w:t>通过叙述、描绘、解释、推论来传递信息、传授知识、阐明概念、论证定律和公式，引导学生分析和认识问题。</w:t>
            </w:r>
            <w:r>
              <w:rPr>
                <w:rFonts w:hint="eastAsia" w:ascii="仿宋" w:hAnsi="仿宋" w:eastAsia="仿宋" w:cs="仿宋"/>
                <w:color w:val="auto"/>
                <w:sz w:val="24"/>
                <w:szCs w:val="24"/>
              </w:rPr>
              <w:t>学生在教师的指导下巩固知识、运用知识、形成技能技巧。</w:t>
            </w:r>
          </w:p>
          <w:p w14:paraId="1F5EFDA1">
            <w:pPr>
              <w:keepNext w:val="0"/>
              <w:keepLines w:val="0"/>
              <w:pageBreakBefore w:val="0"/>
              <w:numPr>
                <w:ilvl w:val="0"/>
                <w:numId w:val="0"/>
              </w:numPr>
              <w:kinsoku/>
              <w:wordWrap/>
              <w:overflowPunct/>
              <w:topLinePunct w:val="0"/>
              <w:bidi w:val="0"/>
              <w:adjustRightInd w:val="0"/>
              <w:snapToGrid w:val="0"/>
              <w:spacing w:line="240" w:lineRule="auto"/>
              <w:ind w:left="240" w:leftChars="0" w:hanging="240" w:hangingChars="100"/>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2.</w:t>
            </w:r>
            <w:r>
              <w:rPr>
                <w:rFonts w:hint="eastAsia" w:ascii="仿宋" w:hAnsi="仿宋" w:eastAsia="仿宋" w:cs="仿宋"/>
                <w:color w:val="auto"/>
                <w:sz w:val="24"/>
                <w:szCs w:val="24"/>
              </w:rPr>
              <w:t>开通网络课堂，达到与学生及时沟通、交流的目的。同时重视师生互动与小组活动，组织课堂小组讨论和论文写作等活动，将课堂教学变为师生共同活动的过程。</w:t>
            </w:r>
          </w:p>
          <w:p w14:paraId="44C38CC4">
            <w:pPr>
              <w:keepNext w:val="0"/>
              <w:keepLines w:val="0"/>
              <w:pageBreakBefore w:val="0"/>
              <w:numPr>
                <w:ilvl w:val="0"/>
                <w:numId w:val="0"/>
              </w:numPr>
              <w:kinsoku/>
              <w:wordWrap/>
              <w:overflowPunct/>
              <w:topLinePunct w:val="0"/>
              <w:bidi w:val="0"/>
              <w:adjustRightInd w:val="0"/>
              <w:snapToGrid w:val="0"/>
              <w:spacing w:line="240" w:lineRule="auto"/>
              <w:ind w:leftChars="0"/>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3.</w:t>
            </w:r>
            <w:r>
              <w:rPr>
                <w:rFonts w:hint="eastAsia" w:ascii="仿宋" w:hAnsi="仿宋" w:eastAsia="仿宋" w:cs="仿宋"/>
                <w:color w:val="auto"/>
                <w:sz w:val="24"/>
                <w:szCs w:val="24"/>
              </w:rPr>
              <w:t>主要方式：</w:t>
            </w:r>
          </w:p>
          <w:p w14:paraId="5F2C4AE8">
            <w:pPr>
              <w:keepNext w:val="0"/>
              <w:keepLines w:val="0"/>
              <w:pageBreakBefore w:val="0"/>
              <w:numPr>
                <w:ilvl w:val="0"/>
                <w:numId w:val="0"/>
              </w:numPr>
              <w:kinsoku/>
              <w:wordWrap/>
              <w:overflowPunct/>
              <w:topLinePunct w:val="0"/>
              <w:bidi w:val="0"/>
              <w:adjustRightInd w:val="0"/>
              <w:snapToGrid w:val="0"/>
              <w:spacing w:line="240" w:lineRule="auto"/>
              <w:ind w:firstLine="240" w:firstLineChars="100"/>
              <w:rPr>
                <w:rFonts w:hint="eastAsia" w:ascii="仿宋" w:hAnsi="仿宋" w:eastAsia="仿宋" w:cs="仿宋"/>
                <w:color w:val="auto"/>
                <w:sz w:val="24"/>
                <w:szCs w:val="24"/>
              </w:rPr>
            </w:pP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 xml:space="preserve">讲授  </w:t>
            </w: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 xml:space="preserve">网络学习  </w:t>
            </w: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 xml:space="preserve">讨论或座谈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问题导向学</w:t>
            </w:r>
            <w:r>
              <w:rPr>
                <w:rFonts w:hint="eastAsia" w:ascii="仿宋" w:hAnsi="仿宋" w:eastAsia="仿宋" w:cs="仿宋"/>
                <w:color w:val="auto"/>
                <w:sz w:val="24"/>
                <w:szCs w:val="24"/>
                <w:lang w:eastAsia="zh-CN"/>
              </w:rPr>
              <w:t>习</w:t>
            </w:r>
            <w:r>
              <w:rPr>
                <w:rFonts w:hint="eastAsia" w:ascii="仿宋" w:hAnsi="仿宋" w:eastAsia="仿宋" w:cs="仿宋"/>
                <w:color w:val="auto"/>
                <w:sz w:val="24"/>
                <w:szCs w:val="24"/>
              </w:rPr>
              <w:t xml:space="preserve">  </w:t>
            </w:r>
          </w:p>
          <w:p w14:paraId="507F186E">
            <w:pPr>
              <w:keepNext w:val="0"/>
              <w:keepLines w:val="0"/>
              <w:pageBreakBefore w:val="0"/>
              <w:numPr>
                <w:ilvl w:val="0"/>
                <w:numId w:val="0"/>
              </w:numPr>
              <w:kinsoku/>
              <w:wordWrap/>
              <w:overflowPunct/>
              <w:topLinePunct w:val="0"/>
              <w:bidi w:val="0"/>
              <w:adjustRightInd w:val="0"/>
              <w:snapToGrid w:val="0"/>
              <w:spacing w:line="240" w:lineRule="auto"/>
              <w:ind w:firstLine="240" w:firstLineChars="100"/>
              <w:rPr>
                <w:rFonts w:hint="eastAsia" w:ascii="仿宋" w:hAnsi="仿宋" w:eastAsia="仿宋" w:cs="仿宋"/>
                <w:color w:val="auto"/>
                <w:sz w:val="24"/>
                <w:szCs w:val="24"/>
              </w:rPr>
            </w:pP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 xml:space="preserve">分组合作学习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专题学习  </w:t>
            </w: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 xml:space="preserve">实作学习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发表学习  </w:t>
            </w:r>
          </w:p>
          <w:p w14:paraId="5572EBB4">
            <w:pPr>
              <w:keepNext w:val="0"/>
              <w:keepLines w:val="0"/>
              <w:pageBreakBefore w:val="0"/>
              <w:numPr>
                <w:ilvl w:val="0"/>
                <w:numId w:val="0"/>
              </w:numPr>
              <w:kinsoku/>
              <w:wordWrap/>
              <w:overflowPunct/>
              <w:topLinePunct w:val="0"/>
              <w:bidi w:val="0"/>
              <w:adjustRightInd w:val="0"/>
              <w:snapToGrid w:val="0"/>
              <w:spacing w:line="240" w:lineRule="auto"/>
              <w:ind w:firstLine="240" w:firstLineChars="100"/>
              <w:rPr>
                <w:rFonts w:hint="eastAsia" w:ascii="仿宋" w:hAnsi="仿宋" w:eastAsia="仿宋" w:cs="仿宋"/>
                <w:color w:val="auto"/>
                <w:sz w:val="24"/>
                <w:szCs w:val="24"/>
              </w:rPr>
            </w:pP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实习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参观访问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其它</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rPr>
              <w:t>(</w:t>
            </w:r>
            <w:r>
              <w:rPr>
                <w:rFonts w:hint="eastAsia" w:ascii="仿宋" w:hAnsi="仿宋" w:eastAsia="仿宋" w:cs="仿宋"/>
                <w:color w:val="auto"/>
                <w:sz w:val="24"/>
                <w:szCs w:val="24"/>
                <w:lang w:val="en-US" w:eastAsia="zh-CN"/>
              </w:rPr>
              <w:t>如</w:t>
            </w:r>
            <w:r>
              <w:rPr>
                <w:rFonts w:hint="eastAsia" w:ascii="仿宋" w:hAnsi="仿宋" w:eastAsia="仿宋" w:cs="仿宋"/>
                <w:color w:val="auto"/>
                <w:sz w:val="24"/>
                <w:szCs w:val="24"/>
              </w:rPr>
              <w:t>口头训练</w:t>
            </w:r>
            <w:r>
              <w:rPr>
                <w:rFonts w:hint="eastAsia" w:ascii="仿宋" w:hAnsi="仿宋" w:eastAsia="仿宋" w:cs="仿宋"/>
                <w:color w:val="auto"/>
                <w:sz w:val="24"/>
                <w:szCs w:val="24"/>
                <w:lang w:val="en-US" w:eastAsia="zh-CN"/>
              </w:rPr>
              <w:t>等</w:t>
            </w:r>
            <w:r>
              <w:rPr>
                <w:rFonts w:hint="eastAsia" w:ascii="仿宋" w:hAnsi="仿宋" w:eastAsia="仿宋" w:cs="仿宋"/>
                <w:color w:val="auto"/>
                <w:sz w:val="24"/>
                <w:szCs w:val="24"/>
              </w:rPr>
              <w:t>)</w:t>
            </w:r>
          </w:p>
        </w:tc>
      </w:tr>
      <w:tr w14:paraId="284502E7">
        <w:trPr>
          <w:trHeight w:val="580" w:hRule="atLeast"/>
          <w:jc w:val="center"/>
        </w:trPr>
        <w:tc>
          <w:tcPr>
            <w:tcW w:w="1376" w:type="dxa"/>
            <w:noWrap w:val="0"/>
            <w:vAlign w:val="center"/>
          </w:tcPr>
          <w:p w14:paraId="39B5619D">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J</w:t>
            </w:r>
          </w:p>
          <w:p w14:paraId="69D10CDD">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教学条件</w:t>
            </w:r>
          </w:p>
          <w:p w14:paraId="21E6B364">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需求</w:t>
            </w:r>
          </w:p>
        </w:tc>
        <w:tc>
          <w:tcPr>
            <w:tcW w:w="7784" w:type="dxa"/>
            <w:gridSpan w:val="18"/>
            <w:tcBorders>
              <w:bottom w:val="single" w:color="auto" w:sz="4" w:space="0"/>
            </w:tcBorders>
            <w:noWrap w:val="0"/>
            <w:vAlign w:val="center"/>
          </w:tcPr>
          <w:p w14:paraId="26D13747">
            <w:pPr>
              <w:keepNext w:val="0"/>
              <w:keepLines w:val="0"/>
              <w:pageBreakBefore w:val="0"/>
              <w:tabs>
                <w:tab w:val="left" w:pos="720"/>
              </w:tabs>
              <w:kinsoku/>
              <w:wordWrap/>
              <w:overflowPunct/>
              <w:topLinePunct w:val="0"/>
              <w:bidi w:val="0"/>
              <w:adjustRightInd w:val="0"/>
              <w:snapToGrid w:val="0"/>
              <w:spacing w:line="240" w:lineRule="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（如时间、地点安排与“一课双师”等教师配备需求等）</w:t>
            </w:r>
          </w:p>
          <w:p w14:paraId="2636C73F">
            <w:pPr>
              <w:keepNext w:val="0"/>
              <w:keepLines w:val="0"/>
              <w:pageBreakBefore w:val="0"/>
              <w:numPr>
                <w:ilvl w:val="0"/>
                <w:numId w:val="0"/>
              </w:numPr>
              <w:tabs>
                <w:tab w:val="left" w:pos="720"/>
              </w:tabs>
              <w:kinsoku/>
              <w:wordWrap/>
              <w:overflowPunct/>
              <w:topLinePunct w:val="0"/>
              <w:bidi w:val="0"/>
              <w:adjustRightInd w:val="0"/>
              <w:snapToGrid w:val="0"/>
              <w:spacing w:line="240" w:lineRule="auto"/>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1.合唱厅</w:t>
            </w:r>
          </w:p>
          <w:p w14:paraId="73B9CADB">
            <w:pPr>
              <w:keepNext w:val="0"/>
              <w:keepLines w:val="0"/>
              <w:pageBreakBefore w:val="0"/>
              <w:numPr>
                <w:ilvl w:val="0"/>
                <w:numId w:val="0"/>
              </w:numPr>
              <w:tabs>
                <w:tab w:val="left" w:pos="720"/>
              </w:tabs>
              <w:kinsoku/>
              <w:wordWrap/>
              <w:overflowPunct/>
              <w:topLinePunct w:val="0"/>
              <w:bidi w:val="0"/>
              <w:adjustRightInd w:val="0"/>
              <w:snapToGrid w:val="0"/>
              <w:spacing w:line="240" w:lineRule="auto"/>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2.钢琴</w:t>
            </w:r>
          </w:p>
          <w:p w14:paraId="5D68D8EA">
            <w:pPr>
              <w:keepNext w:val="0"/>
              <w:keepLines w:val="0"/>
              <w:pageBreakBefore w:val="0"/>
              <w:numPr>
                <w:ilvl w:val="0"/>
                <w:numId w:val="0"/>
              </w:numPr>
              <w:tabs>
                <w:tab w:val="left" w:pos="720"/>
              </w:tabs>
              <w:kinsoku/>
              <w:wordWrap/>
              <w:overflowPunct/>
              <w:topLinePunct w:val="0"/>
              <w:bidi w:val="0"/>
              <w:adjustRightInd w:val="0"/>
              <w:snapToGrid w:val="0"/>
              <w:spacing w:line="240" w:lineRule="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3.音响</w:t>
            </w:r>
          </w:p>
        </w:tc>
      </w:tr>
      <w:tr w14:paraId="3BEFABD8">
        <w:trPr>
          <w:trHeight w:val="711" w:hRule="atLeast"/>
          <w:jc w:val="center"/>
        </w:trPr>
        <w:tc>
          <w:tcPr>
            <w:tcW w:w="1376" w:type="dxa"/>
            <w:vMerge w:val="restart"/>
            <w:noWrap w:val="0"/>
            <w:vAlign w:val="center"/>
          </w:tcPr>
          <w:p w14:paraId="464B4357">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K</w:t>
            </w:r>
          </w:p>
          <w:p w14:paraId="770BF8C6">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课程目标及其考核内容、考核方式及评分占比</w:t>
            </w:r>
          </w:p>
        </w:tc>
        <w:tc>
          <w:tcPr>
            <w:tcW w:w="1032" w:type="dxa"/>
            <w:vMerge w:val="restart"/>
            <w:noWrap w:val="0"/>
            <w:vAlign w:val="center"/>
          </w:tcPr>
          <w:p w14:paraId="4551A730">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color w:val="auto"/>
                <w:sz w:val="24"/>
                <w:szCs w:val="24"/>
              </w:rPr>
            </w:pPr>
            <w:r>
              <w:rPr>
                <w:rFonts w:hint="eastAsia" w:ascii="仿宋" w:hAnsi="仿宋" w:eastAsia="仿宋" w:cs="仿宋"/>
                <w:color w:val="auto"/>
                <w:sz w:val="24"/>
                <w:szCs w:val="24"/>
              </w:rPr>
              <w:t>课程目标及评分占比</w:t>
            </w:r>
          </w:p>
        </w:tc>
        <w:tc>
          <w:tcPr>
            <w:tcW w:w="3247" w:type="dxa"/>
            <w:gridSpan w:val="6"/>
            <w:vMerge w:val="restart"/>
            <w:tcBorders>
              <w:right w:val="single" w:color="000000" w:sz="4" w:space="0"/>
            </w:tcBorders>
            <w:noWrap w:val="0"/>
            <w:vAlign w:val="center"/>
          </w:tcPr>
          <w:p w14:paraId="34F81FA0">
            <w:pPr>
              <w:keepNext w:val="0"/>
              <w:keepLines w:val="0"/>
              <w:pageBreakBefore w:val="0"/>
              <w:tabs>
                <w:tab w:val="left" w:pos="720"/>
              </w:tabs>
              <w:kinsoku/>
              <w:wordWrap/>
              <w:overflowPunct/>
              <w:topLinePunct w:val="0"/>
              <w:bidi w:val="0"/>
              <w:adjustRightInd w:val="0"/>
              <w:snapToGrid w:val="0"/>
              <w:spacing w:line="240" w:lineRule="auto"/>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考核内容</w:t>
            </w:r>
          </w:p>
        </w:tc>
        <w:tc>
          <w:tcPr>
            <w:tcW w:w="2904" w:type="dxa"/>
            <w:gridSpan w:val="9"/>
            <w:tcBorders>
              <w:left w:val="single" w:color="000000" w:sz="4" w:space="0"/>
              <w:right w:val="single" w:color="000000" w:sz="4" w:space="0"/>
            </w:tcBorders>
            <w:noWrap w:val="0"/>
            <w:vAlign w:val="center"/>
          </w:tcPr>
          <w:p w14:paraId="75EE47EE">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考核方式</w:t>
            </w:r>
          </w:p>
        </w:tc>
        <w:tc>
          <w:tcPr>
            <w:tcW w:w="601" w:type="dxa"/>
            <w:gridSpan w:val="2"/>
            <w:tcBorders>
              <w:left w:val="single" w:color="000000" w:sz="4" w:space="0"/>
            </w:tcBorders>
            <w:noWrap w:val="0"/>
            <w:vAlign w:val="center"/>
          </w:tcPr>
          <w:p w14:paraId="527152BC">
            <w:pPr>
              <w:keepNext w:val="0"/>
              <w:keepLines w:val="0"/>
              <w:pageBreakBefore w:val="0"/>
              <w:tabs>
                <w:tab w:val="left" w:pos="720"/>
              </w:tabs>
              <w:kinsoku/>
              <w:wordWrap/>
              <w:overflowPunct/>
              <w:topLinePunct w:val="0"/>
              <w:bidi w:val="0"/>
              <w:adjustRightInd w:val="0"/>
              <w:snapToGrid w:val="0"/>
              <w:spacing w:line="240" w:lineRule="auto"/>
              <w:jc w:val="center"/>
              <w:rPr>
                <w:rFonts w:hint="eastAsia" w:ascii="仿宋" w:hAnsi="仿宋" w:eastAsia="仿宋" w:cs="仿宋"/>
                <w:color w:val="auto"/>
                <w:kern w:val="0"/>
                <w:sz w:val="24"/>
                <w:szCs w:val="24"/>
              </w:rPr>
            </w:pPr>
            <w:r>
              <w:rPr>
                <w:rFonts w:hint="eastAsia" w:ascii="仿宋" w:hAnsi="仿宋" w:eastAsia="仿宋" w:cs="仿宋"/>
                <w:color w:val="auto"/>
                <w:sz w:val="24"/>
                <w:szCs w:val="24"/>
              </w:rPr>
              <w:t>课程分目标的达成度</w:t>
            </w:r>
          </w:p>
        </w:tc>
      </w:tr>
      <w:tr w14:paraId="6F2955D0">
        <w:trPr>
          <w:trHeight w:val="184" w:hRule="atLeast"/>
          <w:jc w:val="center"/>
        </w:trPr>
        <w:tc>
          <w:tcPr>
            <w:tcW w:w="1376" w:type="dxa"/>
            <w:vMerge w:val="continue"/>
            <w:noWrap w:val="0"/>
            <w:vAlign w:val="center"/>
          </w:tcPr>
          <w:p w14:paraId="0C3D1996">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p>
        </w:tc>
        <w:tc>
          <w:tcPr>
            <w:tcW w:w="1032" w:type="dxa"/>
            <w:vMerge w:val="continue"/>
            <w:tcBorders>
              <w:tl2br w:val="single" w:color="auto" w:sz="4" w:space="0"/>
            </w:tcBorders>
            <w:noWrap w:val="0"/>
            <w:vAlign w:val="center"/>
          </w:tcPr>
          <w:p w14:paraId="323B8BE4">
            <w:pPr>
              <w:keepNext w:val="0"/>
              <w:keepLines w:val="0"/>
              <w:pageBreakBefore w:val="0"/>
              <w:kinsoku/>
              <w:wordWrap/>
              <w:overflowPunct/>
              <w:topLinePunct w:val="0"/>
              <w:bidi w:val="0"/>
              <w:adjustRightInd w:val="0"/>
              <w:snapToGrid w:val="0"/>
              <w:spacing w:line="240" w:lineRule="auto"/>
              <w:jc w:val="right"/>
              <w:rPr>
                <w:rFonts w:hint="eastAsia" w:ascii="仿宋" w:hAnsi="仿宋" w:eastAsia="仿宋" w:cs="仿宋"/>
                <w:color w:val="auto"/>
                <w:sz w:val="24"/>
                <w:szCs w:val="24"/>
              </w:rPr>
            </w:pPr>
          </w:p>
        </w:tc>
        <w:tc>
          <w:tcPr>
            <w:tcW w:w="3247" w:type="dxa"/>
            <w:gridSpan w:val="6"/>
            <w:vMerge w:val="continue"/>
            <w:tcBorders>
              <w:right w:val="single" w:color="000000" w:sz="4" w:space="0"/>
            </w:tcBorders>
            <w:noWrap w:val="0"/>
            <w:vAlign w:val="center"/>
          </w:tcPr>
          <w:p w14:paraId="4B6B1565">
            <w:pPr>
              <w:keepNext w:val="0"/>
              <w:keepLines w:val="0"/>
              <w:pageBreakBefore w:val="0"/>
              <w:tabs>
                <w:tab w:val="left" w:pos="720"/>
              </w:tabs>
              <w:kinsoku/>
              <w:wordWrap/>
              <w:overflowPunct/>
              <w:topLinePunct w:val="0"/>
              <w:bidi w:val="0"/>
              <w:adjustRightInd w:val="0"/>
              <w:snapToGrid w:val="0"/>
              <w:spacing w:line="240" w:lineRule="auto"/>
              <w:jc w:val="center"/>
              <w:rPr>
                <w:rFonts w:hint="eastAsia" w:ascii="仿宋" w:hAnsi="仿宋" w:eastAsia="仿宋" w:cs="仿宋"/>
                <w:color w:val="auto"/>
                <w:kern w:val="0"/>
                <w:sz w:val="24"/>
                <w:szCs w:val="24"/>
              </w:rPr>
            </w:pPr>
          </w:p>
        </w:tc>
        <w:tc>
          <w:tcPr>
            <w:tcW w:w="964" w:type="dxa"/>
            <w:gridSpan w:val="2"/>
            <w:tcBorders>
              <w:left w:val="single" w:color="000000" w:sz="4" w:space="0"/>
              <w:right w:val="single" w:color="000000" w:sz="4" w:space="0"/>
            </w:tcBorders>
            <w:noWrap w:val="0"/>
            <w:vAlign w:val="center"/>
          </w:tcPr>
          <w:p w14:paraId="61E24409">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平时</w:t>
            </w:r>
            <w:r>
              <w:rPr>
                <w:rFonts w:hint="eastAsia" w:ascii="仿宋" w:hAnsi="仿宋" w:eastAsia="仿宋" w:cs="仿宋"/>
                <w:color w:val="auto"/>
                <w:sz w:val="24"/>
                <w:szCs w:val="24"/>
              </w:rPr>
              <w:t>评分占比（</w:t>
            </w:r>
            <w:r>
              <w:rPr>
                <w:rFonts w:hint="eastAsia" w:ascii="仿宋" w:hAnsi="仿宋" w:eastAsia="仿宋" w:cs="仿宋"/>
                <w:color w:val="auto"/>
                <w:sz w:val="24"/>
                <w:szCs w:val="24"/>
                <w:lang w:val="en-US" w:eastAsia="zh-CN"/>
              </w:rPr>
              <w:t>20</w:t>
            </w:r>
            <w:r>
              <w:rPr>
                <w:rFonts w:hint="eastAsia" w:ascii="仿宋" w:hAnsi="仿宋" w:eastAsia="仿宋" w:cs="仿宋"/>
                <w:color w:val="auto"/>
                <w:sz w:val="24"/>
                <w:szCs w:val="24"/>
              </w:rPr>
              <w:t>%）</w:t>
            </w:r>
          </w:p>
        </w:tc>
        <w:tc>
          <w:tcPr>
            <w:tcW w:w="964" w:type="dxa"/>
            <w:gridSpan w:val="3"/>
            <w:tcBorders>
              <w:left w:val="single" w:color="000000" w:sz="4" w:space="0"/>
              <w:bottom w:val="single" w:color="auto" w:sz="4" w:space="0"/>
            </w:tcBorders>
            <w:noWrap w:val="0"/>
            <w:vAlign w:val="center"/>
          </w:tcPr>
          <w:p w14:paraId="1A716220">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期中考试评分占比</w:t>
            </w:r>
            <w:r>
              <w:rPr>
                <w:rFonts w:hint="eastAsia" w:ascii="仿宋" w:hAnsi="仿宋" w:eastAsia="仿宋" w:cs="仿宋"/>
                <w:color w:val="auto"/>
                <w:sz w:val="24"/>
                <w:szCs w:val="24"/>
              </w:rPr>
              <w:t>（</w:t>
            </w:r>
            <w:r>
              <w:rPr>
                <w:rFonts w:hint="eastAsia" w:ascii="仿宋" w:hAnsi="仿宋" w:eastAsia="仿宋" w:cs="仿宋"/>
                <w:color w:val="auto"/>
                <w:sz w:val="24"/>
                <w:szCs w:val="24"/>
                <w:lang w:val="en-US" w:eastAsia="zh-CN"/>
              </w:rPr>
              <w:t>40</w:t>
            </w:r>
            <w:r>
              <w:rPr>
                <w:rFonts w:hint="eastAsia" w:ascii="仿宋" w:hAnsi="仿宋" w:eastAsia="仿宋" w:cs="仿宋"/>
                <w:color w:val="auto"/>
                <w:sz w:val="24"/>
                <w:szCs w:val="24"/>
              </w:rPr>
              <w:t>%）</w:t>
            </w:r>
          </w:p>
        </w:tc>
        <w:tc>
          <w:tcPr>
            <w:tcW w:w="964" w:type="dxa"/>
            <w:gridSpan w:val="3"/>
            <w:tcBorders>
              <w:left w:val="single" w:color="000000" w:sz="4" w:space="0"/>
              <w:bottom w:val="single" w:color="auto" w:sz="4" w:space="0"/>
              <w:right w:val="single" w:color="000000" w:sz="4" w:space="0"/>
            </w:tcBorders>
            <w:noWrap w:val="0"/>
            <w:vAlign w:val="center"/>
          </w:tcPr>
          <w:p w14:paraId="18861582">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期末考试评分占比（</w:t>
            </w:r>
            <w:r>
              <w:rPr>
                <w:rFonts w:hint="eastAsia" w:ascii="仿宋" w:hAnsi="仿宋" w:eastAsia="仿宋" w:cs="仿宋"/>
                <w:color w:val="auto"/>
                <w:sz w:val="24"/>
                <w:szCs w:val="24"/>
                <w:lang w:val="en-US" w:eastAsia="zh-CN"/>
              </w:rPr>
              <w:t>40</w:t>
            </w:r>
            <w:r>
              <w:rPr>
                <w:rFonts w:hint="eastAsia" w:ascii="仿宋" w:hAnsi="仿宋" w:eastAsia="仿宋" w:cs="仿宋"/>
                <w:color w:val="auto"/>
                <w:sz w:val="24"/>
                <w:szCs w:val="24"/>
              </w:rPr>
              <w:t>%）</w:t>
            </w:r>
          </w:p>
        </w:tc>
        <w:tc>
          <w:tcPr>
            <w:tcW w:w="613" w:type="dxa"/>
            <w:gridSpan w:val="3"/>
            <w:tcBorders>
              <w:left w:val="single" w:color="000000" w:sz="4" w:space="0"/>
            </w:tcBorders>
            <w:noWrap w:val="0"/>
            <w:vAlign w:val="center"/>
          </w:tcPr>
          <w:p w14:paraId="0B9F2461">
            <w:pPr>
              <w:keepNext w:val="0"/>
              <w:keepLines w:val="0"/>
              <w:pageBreakBefore w:val="0"/>
              <w:tabs>
                <w:tab w:val="left" w:pos="720"/>
              </w:tabs>
              <w:kinsoku/>
              <w:wordWrap/>
              <w:overflowPunct/>
              <w:topLinePunct w:val="0"/>
              <w:bidi w:val="0"/>
              <w:adjustRightInd w:val="0"/>
              <w:snapToGrid w:val="0"/>
              <w:spacing w:line="240" w:lineRule="auto"/>
              <w:jc w:val="center"/>
              <w:rPr>
                <w:rFonts w:hint="default" w:ascii="仿宋" w:hAnsi="仿宋" w:eastAsia="仿宋" w:cs="仿宋"/>
                <w:color w:val="auto"/>
                <w:sz w:val="24"/>
                <w:szCs w:val="24"/>
                <w:lang w:val="en-US" w:eastAsia="zh-CN"/>
              </w:rPr>
            </w:pPr>
          </w:p>
        </w:tc>
      </w:tr>
      <w:tr w14:paraId="66B271F8">
        <w:trPr>
          <w:jc w:val="center"/>
        </w:trPr>
        <w:tc>
          <w:tcPr>
            <w:tcW w:w="1376" w:type="dxa"/>
            <w:vMerge w:val="continue"/>
            <w:noWrap w:val="0"/>
            <w:vAlign w:val="center"/>
          </w:tcPr>
          <w:p w14:paraId="67AB5CB5">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lang w:eastAsia="zh-TW"/>
              </w:rPr>
            </w:pPr>
          </w:p>
        </w:tc>
        <w:tc>
          <w:tcPr>
            <w:tcW w:w="1032" w:type="dxa"/>
            <w:tcBorders>
              <w:bottom w:val="single" w:color="auto" w:sz="4" w:space="0"/>
            </w:tcBorders>
            <w:noWrap w:val="0"/>
            <w:vAlign w:val="center"/>
          </w:tcPr>
          <w:p w14:paraId="51016B30">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kern w:val="0"/>
                <w:sz w:val="24"/>
                <w:szCs w:val="24"/>
              </w:rPr>
              <w:t>课程目标1（</w:t>
            </w:r>
            <w:r>
              <w:rPr>
                <w:rFonts w:hint="eastAsia" w:ascii="仿宋" w:hAnsi="仿宋" w:eastAsia="仿宋" w:cs="仿宋"/>
                <w:color w:val="auto"/>
                <w:kern w:val="0"/>
                <w:sz w:val="24"/>
                <w:szCs w:val="24"/>
                <w:lang w:val="en-US" w:eastAsia="zh-CN"/>
              </w:rPr>
              <w:t>40</w:t>
            </w:r>
            <w:r>
              <w:rPr>
                <w:rFonts w:hint="eastAsia" w:ascii="仿宋" w:hAnsi="仿宋" w:eastAsia="仿宋" w:cs="仿宋"/>
                <w:color w:val="auto"/>
                <w:kern w:val="0"/>
                <w:sz w:val="24"/>
                <w:szCs w:val="24"/>
              </w:rPr>
              <w:t>%）</w:t>
            </w:r>
          </w:p>
        </w:tc>
        <w:tc>
          <w:tcPr>
            <w:tcW w:w="3247" w:type="dxa"/>
            <w:gridSpan w:val="6"/>
            <w:tcBorders>
              <w:bottom w:val="single" w:color="auto" w:sz="4" w:space="0"/>
              <w:right w:val="single" w:color="000000" w:sz="4" w:space="0"/>
            </w:tcBorders>
            <w:noWrap w:val="0"/>
            <w:vAlign w:val="center"/>
          </w:tcPr>
          <w:p w14:paraId="0557518C">
            <w:pPr>
              <w:keepNext w:val="0"/>
              <w:keepLines w:val="0"/>
              <w:pageBreakBefore w:val="0"/>
              <w:widowControl/>
              <w:numPr>
                <w:ilvl w:val="0"/>
                <w:numId w:val="0"/>
              </w:numPr>
              <w:kinsoku/>
              <w:wordWrap/>
              <w:overflowPunct/>
              <w:topLinePunct w:val="0"/>
              <w:autoSpaceDE w:val="0"/>
              <w:autoSpaceDN w:val="0"/>
              <w:bidi w:val="0"/>
              <w:adjustRightInd w:val="0"/>
              <w:snapToGrid w:val="0"/>
              <w:spacing w:line="240" w:lineRule="auto"/>
              <w:jc w:val="left"/>
              <w:textAlignment w:val="bottom"/>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lang w:val="en-US" w:eastAsia="zh-CN"/>
              </w:rPr>
              <w:t>1.掌握</w:t>
            </w:r>
            <w:r>
              <w:rPr>
                <w:rFonts w:hint="eastAsia" w:ascii="仿宋" w:hAnsi="仿宋" w:eastAsia="仿宋" w:cs="仿宋"/>
                <w:color w:val="auto"/>
                <w:kern w:val="0"/>
                <w:sz w:val="24"/>
                <w:szCs w:val="24"/>
              </w:rPr>
              <w:t>基本的合唱</w:t>
            </w:r>
            <w:r>
              <w:rPr>
                <w:rFonts w:hint="eastAsia" w:ascii="仿宋" w:hAnsi="仿宋" w:eastAsia="仿宋" w:cs="仿宋"/>
                <w:color w:val="auto"/>
                <w:kern w:val="0"/>
                <w:sz w:val="24"/>
                <w:szCs w:val="24"/>
                <w:lang w:val="en-US" w:eastAsia="zh-CN"/>
              </w:rPr>
              <w:t>指挥</w:t>
            </w:r>
            <w:r>
              <w:rPr>
                <w:rFonts w:hint="eastAsia" w:ascii="仿宋" w:hAnsi="仿宋" w:eastAsia="仿宋" w:cs="仿宋"/>
                <w:color w:val="auto"/>
                <w:kern w:val="0"/>
                <w:sz w:val="24"/>
                <w:szCs w:val="24"/>
              </w:rPr>
              <w:t>理论知识</w:t>
            </w:r>
            <w:r>
              <w:rPr>
                <w:rFonts w:hint="eastAsia" w:ascii="仿宋" w:hAnsi="仿宋" w:eastAsia="仿宋" w:cs="仿宋"/>
                <w:color w:val="auto"/>
                <w:kern w:val="0"/>
                <w:sz w:val="24"/>
                <w:szCs w:val="24"/>
                <w:lang w:eastAsia="zh-CN"/>
              </w:rPr>
              <w:t>。</w:t>
            </w:r>
          </w:p>
          <w:p w14:paraId="496DFA52">
            <w:pPr>
              <w:keepNext w:val="0"/>
              <w:keepLines w:val="0"/>
              <w:pageBreakBefore w:val="0"/>
              <w:widowControl/>
              <w:numPr>
                <w:ilvl w:val="0"/>
                <w:numId w:val="0"/>
              </w:numPr>
              <w:kinsoku/>
              <w:wordWrap/>
              <w:overflowPunct/>
              <w:topLinePunct w:val="0"/>
              <w:autoSpaceDE w:val="0"/>
              <w:autoSpaceDN w:val="0"/>
              <w:bidi w:val="0"/>
              <w:adjustRightInd w:val="0"/>
              <w:snapToGrid w:val="0"/>
              <w:spacing w:line="240" w:lineRule="auto"/>
              <w:jc w:val="left"/>
              <w:textAlignment w:val="bottom"/>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lang w:val="en-US" w:eastAsia="zh-CN"/>
              </w:rPr>
              <w:t>2.</w:t>
            </w:r>
            <w:r>
              <w:rPr>
                <w:rFonts w:hint="eastAsia" w:ascii="仿宋" w:hAnsi="仿宋" w:eastAsia="仿宋" w:cs="仿宋"/>
                <w:color w:val="auto"/>
                <w:kern w:val="0"/>
                <w:sz w:val="24"/>
                <w:szCs w:val="24"/>
              </w:rPr>
              <w:t>掌握基本的合唱</w:t>
            </w:r>
            <w:r>
              <w:rPr>
                <w:rFonts w:hint="eastAsia" w:ascii="仿宋" w:hAnsi="仿宋" w:eastAsia="仿宋" w:cs="仿宋"/>
                <w:color w:val="auto"/>
                <w:kern w:val="0"/>
                <w:sz w:val="24"/>
                <w:szCs w:val="24"/>
                <w:lang w:val="en-US" w:eastAsia="zh-CN"/>
              </w:rPr>
              <w:t>指挥</w:t>
            </w:r>
            <w:r>
              <w:rPr>
                <w:rFonts w:hint="eastAsia" w:ascii="仿宋" w:hAnsi="仿宋" w:eastAsia="仿宋" w:cs="仿宋"/>
                <w:color w:val="auto"/>
                <w:kern w:val="0"/>
                <w:sz w:val="24"/>
                <w:szCs w:val="24"/>
              </w:rPr>
              <w:t>音乐素质</w:t>
            </w:r>
            <w:r>
              <w:rPr>
                <w:rFonts w:hint="eastAsia" w:ascii="仿宋" w:hAnsi="仿宋" w:eastAsia="仿宋" w:cs="仿宋"/>
                <w:color w:val="auto"/>
                <w:kern w:val="0"/>
                <w:sz w:val="24"/>
                <w:szCs w:val="24"/>
                <w:lang w:eastAsia="zh-CN"/>
              </w:rPr>
              <w:t>。</w:t>
            </w:r>
          </w:p>
          <w:p w14:paraId="4972B366">
            <w:pPr>
              <w:keepNext w:val="0"/>
              <w:keepLines w:val="0"/>
              <w:pageBreakBefore w:val="0"/>
              <w:widowControl/>
              <w:numPr>
                <w:ilvl w:val="0"/>
                <w:numId w:val="0"/>
              </w:numPr>
              <w:kinsoku/>
              <w:wordWrap/>
              <w:overflowPunct/>
              <w:topLinePunct w:val="0"/>
              <w:autoSpaceDE w:val="0"/>
              <w:autoSpaceDN w:val="0"/>
              <w:bidi w:val="0"/>
              <w:adjustRightInd w:val="0"/>
              <w:snapToGrid w:val="0"/>
              <w:spacing w:line="240" w:lineRule="auto"/>
              <w:jc w:val="left"/>
              <w:textAlignment w:val="bottom"/>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3.</w:t>
            </w:r>
            <w:r>
              <w:rPr>
                <w:rFonts w:hint="eastAsia" w:ascii="仿宋" w:hAnsi="仿宋" w:eastAsia="仿宋" w:cs="仿宋"/>
                <w:color w:val="auto"/>
                <w:kern w:val="0"/>
                <w:sz w:val="24"/>
                <w:szCs w:val="24"/>
              </w:rPr>
              <w:t>掌握</w:t>
            </w:r>
            <w:r>
              <w:rPr>
                <w:rFonts w:hint="eastAsia" w:ascii="仿宋" w:hAnsi="仿宋" w:eastAsia="仿宋" w:cs="仿宋"/>
                <w:color w:val="auto"/>
                <w:kern w:val="0"/>
                <w:sz w:val="24"/>
                <w:szCs w:val="24"/>
                <w:lang w:val="en-US" w:eastAsia="zh-CN"/>
              </w:rPr>
              <w:t>基本的合唱指挥技能技巧。</w:t>
            </w:r>
          </w:p>
          <w:p w14:paraId="301A4CC1">
            <w:pPr>
              <w:keepNext w:val="0"/>
              <w:keepLines w:val="0"/>
              <w:pageBreakBefore w:val="0"/>
              <w:widowControl/>
              <w:numPr>
                <w:ilvl w:val="0"/>
                <w:numId w:val="0"/>
              </w:numPr>
              <w:kinsoku/>
              <w:wordWrap/>
              <w:overflowPunct/>
              <w:topLinePunct w:val="0"/>
              <w:autoSpaceDE w:val="0"/>
              <w:autoSpaceDN w:val="0"/>
              <w:bidi w:val="0"/>
              <w:adjustRightInd w:val="0"/>
              <w:snapToGrid w:val="0"/>
              <w:spacing w:line="240" w:lineRule="auto"/>
              <w:jc w:val="left"/>
              <w:textAlignment w:val="bottom"/>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lang w:val="en-US" w:eastAsia="zh-CN"/>
              </w:rPr>
              <w:t>4.</w:t>
            </w:r>
            <w:r>
              <w:rPr>
                <w:rFonts w:hint="eastAsia" w:ascii="仿宋" w:hAnsi="仿宋" w:eastAsia="仿宋" w:cs="仿宋"/>
                <w:color w:val="auto"/>
                <w:kern w:val="0"/>
                <w:sz w:val="24"/>
                <w:szCs w:val="24"/>
              </w:rPr>
              <w:t>不同风格合唱作品的艺术处理能力</w:t>
            </w:r>
            <w:r>
              <w:rPr>
                <w:rFonts w:hint="eastAsia" w:ascii="仿宋" w:hAnsi="仿宋" w:eastAsia="仿宋" w:cs="仿宋"/>
                <w:color w:val="auto"/>
                <w:kern w:val="0"/>
                <w:sz w:val="24"/>
                <w:szCs w:val="24"/>
                <w:lang w:eastAsia="zh-CN"/>
              </w:rPr>
              <w:t>。</w:t>
            </w:r>
          </w:p>
        </w:tc>
        <w:tc>
          <w:tcPr>
            <w:tcW w:w="964" w:type="dxa"/>
            <w:gridSpan w:val="2"/>
            <w:tcBorders>
              <w:left w:val="single" w:color="000000" w:sz="4" w:space="0"/>
              <w:bottom w:val="single" w:color="auto" w:sz="4" w:space="0"/>
              <w:right w:val="single" w:color="000000" w:sz="4" w:space="0"/>
            </w:tcBorders>
            <w:noWrap w:val="0"/>
            <w:vAlign w:val="center"/>
          </w:tcPr>
          <w:p w14:paraId="1F8AA8C7">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10</w:t>
            </w:r>
          </w:p>
        </w:tc>
        <w:tc>
          <w:tcPr>
            <w:tcW w:w="964" w:type="dxa"/>
            <w:gridSpan w:val="3"/>
            <w:tcBorders>
              <w:left w:val="single" w:color="000000" w:sz="4" w:space="0"/>
              <w:bottom w:val="single" w:color="auto" w:sz="4" w:space="0"/>
              <w:right w:val="single" w:color="auto" w:sz="4" w:space="0"/>
            </w:tcBorders>
            <w:noWrap w:val="0"/>
            <w:vAlign w:val="center"/>
          </w:tcPr>
          <w:p w14:paraId="536B9DE9">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14</w:t>
            </w:r>
          </w:p>
        </w:tc>
        <w:tc>
          <w:tcPr>
            <w:tcW w:w="964" w:type="dxa"/>
            <w:gridSpan w:val="3"/>
            <w:tcBorders>
              <w:left w:val="single" w:color="000000" w:sz="4" w:space="0"/>
              <w:bottom w:val="single" w:color="auto" w:sz="4" w:space="0"/>
              <w:right w:val="single" w:color="auto" w:sz="4" w:space="0"/>
            </w:tcBorders>
            <w:noWrap w:val="0"/>
            <w:vAlign w:val="center"/>
          </w:tcPr>
          <w:p w14:paraId="3DA7DC32">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16</w:t>
            </w:r>
          </w:p>
        </w:tc>
        <w:tc>
          <w:tcPr>
            <w:tcW w:w="613" w:type="dxa"/>
            <w:gridSpan w:val="3"/>
            <w:tcBorders>
              <w:left w:val="single" w:color="auto" w:sz="4" w:space="0"/>
              <w:bottom w:val="single" w:color="auto" w:sz="4" w:space="0"/>
            </w:tcBorders>
            <w:noWrap w:val="0"/>
            <w:vAlign w:val="center"/>
          </w:tcPr>
          <w:p w14:paraId="2E5906A5">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0.70</w:t>
            </w:r>
          </w:p>
        </w:tc>
      </w:tr>
      <w:tr w14:paraId="43B053D1">
        <w:trPr>
          <w:trHeight w:val="745" w:hRule="atLeast"/>
          <w:jc w:val="center"/>
        </w:trPr>
        <w:tc>
          <w:tcPr>
            <w:tcW w:w="1376" w:type="dxa"/>
            <w:vMerge w:val="continue"/>
            <w:noWrap w:val="0"/>
            <w:vAlign w:val="center"/>
          </w:tcPr>
          <w:p w14:paraId="452963DB">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lang w:eastAsia="zh-TW"/>
              </w:rPr>
            </w:pPr>
          </w:p>
        </w:tc>
        <w:tc>
          <w:tcPr>
            <w:tcW w:w="1032" w:type="dxa"/>
            <w:noWrap w:val="0"/>
            <w:vAlign w:val="center"/>
          </w:tcPr>
          <w:p w14:paraId="1B982735">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课程目标2（</w:t>
            </w:r>
            <w:r>
              <w:rPr>
                <w:rFonts w:hint="eastAsia" w:ascii="仿宋" w:hAnsi="仿宋" w:eastAsia="仿宋" w:cs="仿宋"/>
                <w:color w:val="auto"/>
                <w:kern w:val="0"/>
                <w:sz w:val="24"/>
                <w:szCs w:val="24"/>
                <w:lang w:val="en-US" w:eastAsia="zh-CN"/>
              </w:rPr>
              <w:t>30</w:t>
            </w:r>
            <w:r>
              <w:rPr>
                <w:rFonts w:hint="eastAsia" w:ascii="仿宋" w:hAnsi="仿宋" w:eastAsia="仿宋" w:cs="仿宋"/>
                <w:color w:val="auto"/>
                <w:kern w:val="0"/>
                <w:sz w:val="24"/>
                <w:szCs w:val="24"/>
              </w:rPr>
              <w:t>%）</w:t>
            </w:r>
          </w:p>
        </w:tc>
        <w:tc>
          <w:tcPr>
            <w:tcW w:w="3247" w:type="dxa"/>
            <w:gridSpan w:val="6"/>
            <w:tcBorders>
              <w:right w:val="single" w:color="000000" w:sz="4" w:space="0"/>
            </w:tcBorders>
            <w:noWrap w:val="0"/>
            <w:vAlign w:val="center"/>
          </w:tcPr>
          <w:p w14:paraId="401E9331">
            <w:pPr>
              <w:keepNext w:val="0"/>
              <w:keepLines w:val="0"/>
              <w:pageBreakBefore w:val="0"/>
              <w:widowControl/>
              <w:kinsoku/>
              <w:wordWrap/>
              <w:overflowPunct/>
              <w:topLinePunct w:val="0"/>
              <w:autoSpaceDE w:val="0"/>
              <w:autoSpaceDN w:val="0"/>
              <w:bidi w:val="0"/>
              <w:adjustRightInd w:val="0"/>
              <w:snapToGrid w:val="0"/>
              <w:spacing w:line="240" w:lineRule="auto"/>
              <w:jc w:val="left"/>
              <w:textAlignment w:val="bottom"/>
              <w:rPr>
                <w:rFonts w:hint="eastAsia" w:ascii="仿宋" w:hAnsi="仿宋" w:eastAsia="仿宋" w:cs="仿宋"/>
                <w:color w:val="auto"/>
                <w:sz w:val="24"/>
                <w:szCs w:val="24"/>
              </w:rPr>
            </w:pPr>
            <w:r>
              <w:rPr>
                <w:rFonts w:hint="eastAsia" w:ascii="仿宋" w:hAnsi="仿宋" w:eastAsia="仿宋" w:cs="仿宋"/>
                <w:color w:val="auto"/>
                <w:sz w:val="24"/>
                <w:szCs w:val="24"/>
              </w:rPr>
              <w:t>1.对</w:t>
            </w:r>
            <w:r>
              <w:rPr>
                <w:rFonts w:hint="eastAsia" w:ascii="仿宋" w:hAnsi="仿宋" w:eastAsia="仿宋" w:cs="仿宋"/>
                <w:color w:val="auto"/>
                <w:sz w:val="24"/>
                <w:szCs w:val="24"/>
                <w:lang w:val="en-US" w:eastAsia="zh-CN"/>
              </w:rPr>
              <w:t>合唱指挥</w:t>
            </w:r>
            <w:r>
              <w:rPr>
                <w:rFonts w:hint="eastAsia" w:ascii="仿宋" w:hAnsi="仿宋" w:eastAsia="仿宋" w:cs="仿宋"/>
                <w:color w:val="auto"/>
                <w:sz w:val="24"/>
                <w:szCs w:val="24"/>
              </w:rPr>
              <w:t>实际应用案例的理解。</w:t>
            </w:r>
          </w:p>
          <w:p w14:paraId="6454AF48">
            <w:pPr>
              <w:keepNext w:val="0"/>
              <w:keepLines w:val="0"/>
              <w:pageBreakBefore w:val="0"/>
              <w:numPr>
                <w:ilvl w:val="0"/>
                <w:numId w:val="0"/>
              </w:numPr>
              <w:kinsoku/>
              <w:wordWrap/>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2.对</w:t>
            </w:r>
            <w:r>
              <w:rPr>
                <w:rFonts w:hint="eastAsia" w:ascii="仿宋" w:hAnsi="仿宋" w:eastAsia="仿宋" w:cs="仿宋"/>
                <w:color w:val="auto"/>
                <w:sz w:val="24"/>
                <w:szCs w:val="24"/>
                <w:lang w:val="en-US" w:eastAsia="zh-CN"/>
              </w:rPr>
              <w:t>合唱指挥</w:t>
            </w:r>
            <w:r>
              <w:rPr>
                <w:rFonts w:hint="eastAsia" w:ascii="仿宋" w:hAnsi="仿宋" w:eastAsia="仿宋" w:cs="仿宋"/>
                <w:color w:val="auto"/>
                <w:sz w:val="24"/>
                <w:szCs w:val="24"/>
              </w:rPr>
              <w:t>发展史及国内外发展现状和趋势的了解。</w:t>
            </w:r>
          </w:p>
        </w:tc>
        <w:tc>
          <w:tcPr>
            <w:tcW w:w="964" w:type="dxa"/>
            <w:gridSpan w:val="2"/>
            <w:tcBorders>
              <w:left w:val="single" w:color="000000" w:sz="4" w:space="0"/>
              <w:right w:val="single" w:color="000000" w:sz="4" w:space="0"/>
            </w:tcBorders>
            <w:noWrap w:val="0"/>
            <w:vAlign w:val="center"/>
          </w:tcPr>
          <w:p w14:paraId="30527158">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6</w:t>
            </w:r>
          </w:p>
        </w:tc>
        <w:tc>
          <w:tcPr>
            <w:tcW w:w="964" w:type="dxa"/>
            <w:gridSpan w:val="3"/>
            <w:tcBorders>
              <w:left w:val="single" w:color="000000" w:sz="4" w:space="0"/>
              <w:bottom w:val="single" w:color="000000" w:sz="4" w:space="0"/>
            </w:tcBorders>
            <w:noWrap w:val="0"/>
            <w:vAlign w:val="center"/>
          </w:tcPr>
          <w:p w14:paraId="363DF5CD">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14</w:t>
            </w:r>
          </w:p>
        </w:tc>
        <w:tc>
          <w:tcPr>
            <w:tcW w:w="964" w:type="dxa"/>
            <w:gridSpan w:val="3"/>
            <w:tcBorders>
              <w:left w:val="single" w:color="000000" w:sz="4" w:space="0"/>
              <w:bottom w:val="single" w:color="000000" w:sz="4" w:space="0"/>
              <w:right w:val="single" w:color="000000" w:sz="4" w:space="0"/>
            </w:tcBorders>
            <w:noWrap w:val="0"/>
            <w:vAlign w:val="center"/>
          </w:tcPr>
          <w:p w14:paraId="09F7A0D1">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10</w:t>
            </w:r>
          </w:p>
        </w:tc>
        <w:tc>
          <w:tcPr>
            <w:tcW w:w="613" w:type="dxa"/>
            <w:gridSpan w:val="3"/>
            <w:tcBorders>
              <w:left w:val="single" w:color="000000" w:sz="4" w:space="0"/>
              <w:bottom w:val="single" w:color="000000" w:sz="4" w:space="0"/>
            </w:tcBorders>
            <w:noWrap w:val="0"/>
            <w:vAlign w:val="center"/>
          </w:tcPr>
          <w:p w14:paraId="2FF2F39E">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0.70</w:t>
            </w:r>
          </w:p>
        </w:tc>
      </w:tr>
      <w:tr w14:paraId="0348927F">
        <w:trPr>
          <w:trHeight w:val="515" w:hRule="atLeast"/>
          <w:jc w:val="center"/>
        </w:trPr>
        <w:tc>
          <w:tcPr>
            <w:tcW w:w="1376" w:type="dxa"/>
            <w:vMerge w:val="continue"/>
            <w:noWrap w:val="0"/>
            <w:vAlign w:val="center"/>
          </w:tcPr>
          <w:p w14:paraId="29553670">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lang w:eastAsia="zh-TW"/>
              </w:rPr>
            </w:pPr>
          </w:p>
        </w:tc>
        <w:tc>
          <w:tcPr>
            <w:tcW w:w="1032" w:type="dxa"/>
            <w:tcBorders>
              <w:bottom w:val="single" w:color="auto" w:sz="4" w:space="0"/>
            </w:tcBorders>
            <w:noWrap w:val="0"/>
            <w:vAlign w:val="center"/>
          </w:tcPr>
          <w:p w14:paraId="06D27AC3">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kern w:val="0"/>
                <w:sz w:val="24"/>
                <w:szCs w:val="24"/>
              </w:rPr>
              <w:t>课程目标3（</w:t>
            </w:r>
            <w:r>
              <w:rPr>
                <w:rFonts w:hint="eastAsia" w:ascii="仿宋" w:hAnsi="仿宋" w:eastAsia="仿宋" w:cs="仿宋"/>
                <w:color w:val="auto"/>
                <w:kern w:val="0"/>
                <w:sz w:val="24"/>
                <w:szCs w:val="24"/>
                <w:lang w:val="en-US" w:eastAsia="zh-CN"/>
              </w:rPr>
              <w:t>30</w:t>
            </w:r>
            <w:r>
              <w:rPr>
                <w:rFonts w:hint="eastAsia" w:ascii="仿宋" w:hAnsi="仿宋" w:eastAsia="仿宋" w:cs="仿宋"/>
                <w:color w:val="auto"/>
                <w:kern w:val="0"/>
                <w:sz w:val="24"/>
                <w:szCs w:val="24"/>
              </w:rPr>
              <w:t>%）</w:t>
            </w:r>
          </w:p>
        </w:tc>
        <w:tc>
          <w:tcPr>
            <w:tcW w:w="3247" w:type="dxa"/>
            <w:gridSpan w:val="6"/>
            <w:tcBorders>
              <w:bottom w:val="single" w:color="auto" w:sz="4" w:space="0"/>
              <w:right w:val="single" w:color="000000" w:sz="4" w:space="0"/>
            </w:tcBorders>
            <w:noWrap w:val="0"/>
            <w:vAlign w:val="center"/>
          </w:tcPr>
          <w:p w14:paraId="08F52346">
            <w:pPr>
              <w:keepNext w:val="0"/>
              <w:keepLines w:val="0"/>
              <w:pageBreakBefore w:val="0"/>
              <w:widowControl/>
              <w:numPr>
                <w:ilvl w:val="0"/>
                <w:numId w:val="0"/>
              </w:numPr>
              <w:kinsoku/>
              <w:wordWrap/>
              <w:overflowPunct/>
              <w:topLinePunct w:val="0"/>
              <w:autoSpaceDE w:val="0"/>
              <w:autoSpaceDN w:val="0"/>
              <w:bidi w:val="0"/>
              <w:adjustRightInd w:val="0"/>
              <w:snapToGrid w:val="0"/>
              <w:spacing w:line="240" w:lineRule="auto"/>
              <w:jc w:val="left"/>
              <w:textAlignment w:val="bottom"/>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1.团队合作精神。</w:t>
            </w:r>
          </w:p>
          <w:p w14:paraId="65042E1F">
            <w:pPr>
              <w:keepNext w:val="0"/>
              <w:keepLines w:val="0"/>
              <w:pageBreakBefore w:val="0"/>
              <w:widowControl/>
              <w:numPr>
                <w:ilvl w:val="0"/>
                <w:numId w:val="0"/>
              </w:numPr>
              <w:kinsoku/>
              <w:wordWrap/>
              <w:overflowPunct/>
              <w:topLinePunct w:val="0"/>
              <w:autoSpaceDE w:val="0"/>
              <w:autoSpaceDN w:val="0"/>
              <w:bidi w:val="0"/>
              <w:adjustRightInd w:val="0"/>
              <w:snapToGrid w:val="0"/>
              <w:spacing w:line="240" w:lineRule="auto"/>
              <w:jc w:val="left"/>
              <w:textAlignment w:val="bottom"/>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2.指挥</w:t>
            </w:r>
            <w:r>
              <w:rPr>
                <w:rFonts w:hint="eastAsia" w:ascii="仿宋" w:hAnsi="仿宋" w:eastAsia="仿宋" w:cs="仿宋"/>
                <w:color w:val="auto"/>
                <w:kern w:val="0"/>
                <w:sz w:val="24"/>
                <w:szCs w:val="24"/>
              </w:rPr>
              <w:t>指导</w:t>
            </w:r>
            <w:r>
              <w:rPr>
                <w:rFonts w:hint="eastAsia" w:ascii="仿宋" w:hAnsi="仿宋" w:eastAsia="仿宋" w:cs="仿宋"/>
                <w:color w:val="auto"/>
                <w:kern w:val="0"/>
                <w:sz w:val="24"/>
                <w:szCs w:val="24"/>
                <w:lang w:val="en-US" w:eastAsia="zh-CN"/>
              </w:rPr>
              <w:t>艺术</w:t>
            </w:r>
            <w:r>
              <w:rPr>
                <w:rFonts w:hint="eastAsia" w:ascii="仿宋" w:hAnsi="仿宋" w:eastAsia="仿宋" w:cs="仿宋"/>
                <w:color w:val="auto"/>
                <w:kern w:val="0"/>
                <w:sz w:val="24"/>
                <w:szCs w:val="24"/>
                <w:lang w:eastAsia="zh-CN"/>
              </w:rPr>
              <w:t>。</w:t>
            </w:r>
          </w:p>
        </w:tc>
        <w:tc>
          <w:tcPr>
            <w:tcW w:w="964" w:type="dxa"/>
            <w:gridSpan w:val="2"/>
            <w:tcBorders>
              <w:left w:val="single" w:color="000000" w:sz="4" w:space="0"/>
              <w:bottom w:val="single" w:color="auto" w:sz="4" w:space="0"/>
              <w:right w:val="single" w:color="000000" w:sz="4" w:space="0"/>
            </w:tcBorders>
            <w:noWrap w:val="0"/>
            <w:vAlign w:val="center"/>
          </w:tcPr>
          <w:p w14:paraId="60BC5616">
            <w:pPr>
              <w:keepNext w:val="0"/>
              <w:keepLines w:val="0"/>
              <w:pageBreakBefore w:val="0"/>
              <w:tabs>
                <w:tab w:val="left" w:pos="331"/>
              </w:tabs>
              <w:kinsoku/>
              <w:wordWrap/>
              <w:overflowPunct/>
              <w:topLinePunct w:val="0"/>
              <w:bidi w:val="0"/>
              <w:adjustRightInd w:val="0"/>
              <w:snapToGrid w:val="0"/>
              <w:spacing w:line="240" w:lineRule="auto"/>
              <w:jc w:val="left"/>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eastAsia="zh-CN"/>
              </w:rPr>
              <w:tab/>
            </w:r>
            <w:r>
              <w:rPr>
                <w:rFonts w:hint="eastAsia" w:ascii="仿宋" w:hAnsi="仿宋" w:eastAsia="仿宋" w:cs="仿宋"/>
                <w:color w:val="auto"/>
                <w:kern w:val="0"/>
                <w:sz w:val="24"/>
                <w:szCs w:val="24"/>
                <w:lang w:val="en-US" w:eastAsia="zh-CN"/>
              </w:rPr>
              <w:t>4</w:t>
            </w:r>
          </w:p>
        </w:tc>
        <w:tc>
          <w:tcPr>
            <w:tcW w:w="964" w:type="dxa"/>
            <w:gridSpan w:val="3"/>
            <w:tcBorders>
              <w:top w:val="single" w:color="000000" w:sz="4" w:space="0"/>
              <w:left w:val="single" w:color="000000" w:sz="4" w:space="0"/>
              <w:bottom w:val="single" w:color="auto" w:sz="4" w:space="0"/>
            </w:tcBorders>
            <w:noWrap w:val="0"/>
            <w:vAlign w:val="center"/>
          </w:tcPr>
          <w:p w14:paraId="3A53E25D">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12</w:t>
            </w:r>
          </w:p>
        </w:tc>
        <w:tc>
          <w:tcPr>
            <w:tcW w:w="964" w:type="dxa"/>
            <w:gridSpan w:val="3"/>
            <w:tcBorders>
              <w:top w:val="single" w:color="000000" w:sz="4" w:space="0"/>
              <w:left w:val="single" w:color="000000" w:sz="4" w:space="0"/>
              <w:bottom w:val="single" w:color="auto" w:sz="4" w:space="0"/>
              <w:right w:val="single" w:color="000000" w:sz="4" w:space="0"/>
            </w:tcBorders>
            <w:noWrap w:val="0"/>
            <w:vAlign w:val="center"/>
          </w:tcPr>
          <w:p w14:paraId="30DD8D25">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14</w:t>
            </w:r>
          </w:p>
        </w:tc>
        <w:tc>
          <w:tcPr>
            <w:tcW w:w="613" w:type="dxa"/>
            <w:gridSpan w:val="3"/>
            <w:tcBorders>
              <w:top w:val="single" w:color="000000" w:sz="4" w:space="0"/>
              <w:left w:val="single" w:color="000000" w:sz="4" w:space="0"/>
              <w:bottom w:val="single" w:color="auto" w:sz="4" w:space="0"/>
            </w:tcBorders>
            <w:noWrap w:val="0"/>
            <w:vAlign w:val="center"/>
          </w:tcPr>
          <w:p w14:paraId="075A461F">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0.70</w:t>
            </w:r>
          </w:p>
        </w:tc>
      </w:tr>
      <w:tr w14:paraId="02FD4A5B">
        <w:trPr>
          <w:trHeight w:val="515" w:hRule="atLeast"/>
          <w:jc w:val="center"/>
        </w:trPr>
        <w:tc>
          <w:tcPr>
            <w:tcW w:w="1376" w:type="dxa"/>
            <w:vMerge w:val="continue"/>
            <w:noWrap w:val="0"/>
            <w:vAlign w:val="center"/>
          </w:tcPr>
          <w:p w14:paraId="6A359EB5">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lang w:eastAsia="zh-TW"/>
              </w:rPr>
            </w:pPr>
          </w:p>
        </w:tc>
        <w:tc>
          <w:tcPr>
            <w:tcW w:w="4279" w:type="dxa"/>
            <w:gridSpan w:val="7"/>
            <w:tcBorders>
              <w:bottom w:val="single" w:color="auto" w:sz="4" w:space="0"/>
              <w:right w:val="single" w:color="000000" w:sz="4" w:space="0"/>
            </w:tcBorders>
            <w:noWrap w:val="0"/>
            <w:vAlign w:val="center"/>
          </w:tcPr>
          <w:p w14:paraId="290F8BE3">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ottom"/>
              <w:rPr>
                <w:rFonts w:hint="eastAsia" w:ascii="仿宋" w:hAnsi="仿宋" w:eastAsia="仿宋" w:cs="仿宋"/>
                <w:color w:val="auto"/>
                <w:sz w:val="24"/>
                <w:szCs w:val="24"/>
              </w:rPr>
            </w:pPr>
            <w:r>
              <w:rPr>
                <w:rFonts w:hint="eastAsia" w:ascii="仿宋" w:hAnsi="仿宋" w:eastAsia="仿宋" w:cs="仿宋"/>
                <w:color w:val="auto"/>
                <w:sz w:val="24"/>
                <w:szCs w:val="24"/>
              </w:rPr>
              <w:t>总分</w:t>
            </w:r>
          </w:p>
        </w:tc>
        <w:tc>
          <w:tcPr>
            <w:tcW w:w="964" w:type="dxa"/>
            <w:gridSpan w:val="2"/>
            <w:tcBorders>
              <w:left w:val="single" w:color="000000" w:sz="4" w:space="0"/>
              <w:bottom w:val="single" w:color="auto" w:sz="4" w:space="0"/>
              <w:right w:val="single" w:color="000000" w:sz="4" w:space="0"/>
            </w:tcBorders>
            <w:noWrap w:val="0"/>
            <w:vAlign w:val="center"/>
          </w:tcPr>
          <w:p w14:paraId="42094288">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20</w:t>
            </w:r>
          </w:p>
        </w:tc>
        <w:tc>
          <w:tcPr>
            <w:tcW w:w="964" w:type="dxa"/>
            <w:gridSpan w:val="3"/>
            <w:tcBorders>
              <w:top w:val="single" w:color="000000" w:sz="4" w:space="0"/>
              <w:left w:val="single" w:color="000000" w:sz="4" w:space="0"/>
              <w:bottom w:val="single" w:color="auto" w:sz="4" w:space="0"/>
            </w:tcBorders>
            <w:noWrap w:val="0"/>
            <w:vAlign w:val="center"/>
          </w:tcPr>
          <w:p w14:paraId="50836DE7">
            <w:pPr>
              <w:keepNext w:val="0"/>
              <w:keepLines w:val="0"/>
              <w:pageBreakBefore w:val="0"/>
              <w:tabs>
                <w:tab w:val="left" w:pos="720"/>
              </w:tabs>
              <w:kinsoku/>
              <w:wordWrap/>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40</w:t>
            </w:r>
          </w:p>
        </w:tc>
        <w:tc>
          <w:tcPr>
            <w:tcW w:w="964" w:type="dxa"/>
            <w:gridSpan w:val="3"/>
            <w:tcBorders>
              <w:top w:val="single" w:color="000000" w:sz="4" w:space="0"/>
              <w:left w:val="single" w:color="000000" w:sz="4" w:space="0"/>
              <w:bottom w:val="single" w:color="auto" w:sz="4" w:space="0"/>
              <w:right w:val="single" w:color="000000" w:sz="4" w:space="0"/>
            </w:tcBorders>
            <w:noWrap w:val="0"/>
            <w:vAlign w:val="center"/>
          </w:tcPr>
          <w:p w14:paraId="552AC2E1">
            <w:pPr>
              <w:keepNext w:val="0"/>
              <w:keepLines w:val="0"/>
              <w:pageBreakBefore w:val="0"/>
              <w:tabs>
                <w:tab w:val="left" w:pos="720"/>
              </w:tabs>
              <w:kinsoku/>
              <w:wordWrap/>
              <w:overflowPunct/>
              <w:topLinePunct w:val="0"/>
              <w:bidi w:val="0"/>
              <w:adjustRightInd w:val="0"/>
              <w:snapToGrid w:val="0"/>
              <w:spacing w:line="240" w:lineRule="auto"/>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40</w:t>
            </w:r>
          </w:p>
        </w:tc>
        <w:tc>
          <w:tcPr>
            <w:tcW w:w="613" w:type="dxa"/>
            <w:gridSpan w:val="3"/>
            <w:tcBorders>
              <w:top w:val="single" w:color="000000" w:sz="4" w:space="0"/>
              <w:left w:val="single" w:color="000000" w:sz="4" w:space="0"/>
              <w:bottom w:val="single" w:color="auto" w:sz="4" w:space="0"/>
            </w:tcBorders>
            <w:noWrap w:val="0"/>
            <w:vAlign w:val="center"/>
          </w:tcPr>
          <w:p w14:paraId="39580372">
            <w:pPr>
              <w:keepNext w:val="0"/>
              <w:keepLines w:val="0"/>
              <w:pageBreakBefore w:val="0"/>
              <w:tabs>
                <w:tab w:val="left" w:pos="720"/>
              </w:tabs>
              <w:kinsoku/>
              <w:wordWrap/>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0.70</w:t>
            </w:r>
          </w:p>
        </w:tc>
      </w:tr>
      <w:tr w14:paraId="7FA7DAD8">
        <w:trPr>
          <w:jc w:val="center"/>
        </w:trPr>
        <w:tc>
          <w:tcPr>
            <w:tcW w:w="1376" w:type="dxa"/>
            <w:noWrap w:val="0"/>
            <w:vAlign w:val="center"/>
          </w:tcPr>
          <w:p w14:paraId="0718F2C4">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L</w:t>
            </w:r>
          </w:p>
          <w:p w14:paraId="63E6D5A5">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学习建议</w:t>
            </w:r>
          </w:p>
        </w:tc>
        <w:tc>
          <w:tcPr>
            <w:tcW w:w="7784" w:type="dxa"/>
            <w:gridSpan w:val="18"/>
            <w:tcBorders>
              <w:bottom w:val="single" w:color="auto" w:sz="4" w:space="0"/>
            </w:tcBorders>
            <w:noWrap w:val="0"/>
            <w:vAlign w:val="center"/>
          </w:tcPr>
          <w:p w14:paraId="02698558">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1.自主学习。建议学生通过预习教材，并通过网络、图书馆自主查阅课程中涉及的学习资源，独立规划自己的课程学习计划，充分发挥自身的学习能动性。</w:t>
            </w:r>
          </w:p>
          <w:p w14:paraId="79847316">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color w:val="auto"/>
                <w:kern w:val="0"/>
                <w:sz w:val="24"/>
                <w:szCs w:val="24"/>
              </w:rPr>
            </w:pPr>
            <w:r>
              <w:rPr>
                <w:rFonts w:hint="eastAsia" w:ascii="仿宋" w:hAnsi="仿宋" w:eastAsia="仿宋" w:cs="仿宋"/>
                <w:bCs/>
                <w:color w:val="auto"/>
                <w:sz w:val="24"/>
                <w:szCs w:val="24"/>
              </w:rPr>
              <w:t>2.研究性学习。鼓励学生针对课程教学内容，尝试理论课结合</w:t>
            </w:r>
            <w:r>
              <w:rPr>
                <w:rFonts w:hint="eastAsia" w:ascii="仿宋" w:hAnsi="仿宋" w:eastAsia="仿宋" w:cs="仿宋"/>
                <w:bCs/>
                <w:color w:val="auto"/>
                <w:sz w:val="24"/>
                <w:szCs w:val="24"/>
                <w:lang w:val="en-US" w:eastAsia="zh-CN"/>
              </w:rPr>
              <w:t>实践课</w:t>
            </w:r>
            <w:r>
              <w:rPr>
                <w:rFonts w:hint="eastAsia" w:ascii="仿宋" w:hAnsi="仿宋" w:eastAsia="仿宋" w:cs="仿宋"/>
                <w:bCs/>
                <w:color w:val="auto"/>
                <w:sz w:val="24"/>
                <w:szCs w:val="24"/>
              </w:rPr>
              <w:t>的教学方式，开展相关的</w:t>
            </w:r>
            <w:r>
              <w:rPr>
                <w:rFonts w:hint="eastAsia" w:ascii="仿宋" w:hAnsi="仿宋" w:eastAsia="仿宋" w:cs="仿宋"/>
                <w:bCs/>
                <w:color w:val="auto"/>
                <w:sz w:val="24"/>
                <w:szCs w:val="24"/>
                <w:lang w:val="en-US" w:eastAsia="zh-CN"/>
              </w:rPr>
              <w:t>合唱指挥</w:t>
            </w:r>
            <w:r>
              <w:rPr>
                <w:rFonts w:hint="eastAsia" w:ascii="仿宋" w:hAnsi="仿宋" w:eastAsia="仿宋" w:cs="仿宋"/>
                <w:bCs/>
                <w:color w:val="auto"/>
                <w:sz w:val="24"/>
                <w:szCs w:val="24"/>
              </w:rPr>
              <w:t>进展和专题讲座，提高学生的学习兴趣，了解国内外最新</w:t>
            </w:r>
            <w:r>
              <w:rPr>
                <w:rFonts w:hint="eastAsia" w:ascii="仿宋" w:hAnsi="仿宋" w:eastAsia="仿宋" w:cs="仿宋"/>
                <w:bCs/>
                <w:color w:val="auto"/>
                <w:sz w:val="24"/>
                <w:szCs w:val="24"/>
                <w:lang w:val="en-US" w:eastAsia="zh-CN"/>
              </w:rPr>
              <w:t>合唱指挥</w:t>
            </w:r>
            <w:r>
              <w:rPr>
                <w:rFonts w:hint="eastAsia" w:ascii="仿宋" w:hAnsi="仿宋" w:eastAsia="仿宋" w:cs="仿宋"/>
                <w:bCs/>
                <w:color w:val="auto"/>
                <w:sz w:val="24"/>
                <w:szCs w:val="24"/>
              </w:rPr>
              <w:t>知识，开阔学生的视野。</w:t>
            </w:r>
          </w:p>
        </w:tc>
      </w:tr>
      <w:tr w14:paraId="2E282FF9">
        <w:trPr>
          <w:trHeight w:val="454" w:hRule="atLeast"/>
          <w:jc w:val="center"/>
        </w:trPr>
        <w:tc>
          <w:tcPr>
            <w:tcW w:w="1376" w:type="dxa"/>
            <w:noWrap w:val="0"/>
            <w:vAlign w:val="center"/>
          </w:tcPr>
          <w:p w14:paraId="315C65FB">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M</w:t>
            </w:r>
          </w:p>
          <w:p w14:paraId="4047CCBF">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评分量表</w:t>
            </w:r>
          </w:p>
        </w:tc>
        <w:tc>
          <w:tcPr>
            <w:tcW w:w="7784" w:type="dxa"/>
            <w:gridSpan w:val="18"/>
            <w:noWrap w:val="0"/>
            <w:vAlign w:val="center"/>
          </w:tcPr>
          <w:p w14:paraId="172C49F9">
            <w:pPr>
              <w:keepNext w:val="0"/>
              <w:keepLines w:val="0"/>
              <w:pageBreakBefore w:val="0"/>
              <w:tabs>
                <w:tab w:val="left" w:pos="720"/>
              </w:tabs>
              <w:kinsoku/>
              <w:wordWrap/>
              <w:overflowPunct/>
              <w:topLinePunct w:val="0"/>
              <w:bidi w:val="0"/>
              <w:adjustRightInd w:val="0"/>
              <w:snapToGrid w:val="0"/>
              <w:spacing w:line="240" w:lineRule="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w:t>
            </w:r>
            <w:r>
              <w:rPr>
                <w:rFonts w:hint="eastAsia" w:ascii="仿宋" w:hAnsi="仿宋" w:eastAsia="仿宋" w:cs="仿宋"/>
                <w:bCs/>
                <w:color w:val="auto"/>
                <w:sz w:val="24"/>
                <w:szCs w:val="24"/>
                <w:lang w:val="en-US" w:eastAsia="zh-CN"/>
              </w:rPr>
              <w:t>合唱与指挥</w:t>
            </w:r>
            <w:r>
              <w:rPr>
                <w:rFonts w:hint="eastAsia" w:ascii="仿宋" w:hAnsi="仿宋" w:eastAsia="仿宋" w:cs="仿宋"/>
                <w:color w:val="auto"/>
                <w:kern w:val="0"/>
                <w:sz w:val="24"/>
                <w:szCs w:val="24"/>
              </w:rPr>
              <w:t>》课程目标评分量表见附表。</w:t>
            </w:r>
          </w:p>
        </w:tc>
      </w:tr>
      <w:tr w14:paraId="09793505">
        <w:trPr>
          <w:trHeight w:val="454" w:hRule="atLeast"/>
          <w:jc w:val="center"/>
        </w:trPr>
        <w:tc>
          <w:tcPr>
            <w:tcW w:w="1376" w:type="dxa"/>
            <w:noWrap w:val="0"/>
            <w:vAlign w:val="center"/>
          </w:tcPr>
          <w:p w14:paraId="221D4C80">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备注</w:t>
            </w:r>
          </w:p>
        </w:tc>
        <w:tc>
          <w:tcPr>
            <w:tcW w:w="7784" w:type="dxa"/>
            <w:gridSpan w:val="18"/>
            <w:noWrap w:val="0"/>
            <w:vAlign w:val="center"/>
          </w:tcPr>
          <w:p w14:paraId="797C3D11">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color w:val="auto"/>
                <w:kern w:val="0"/>
                <w:sz w:val="24"/>
                <w:szCs w:val="24"/>
              </w:rPr>
            </w:pPr>
            <w:r>
              <w:rPr>
                <w:rFonts w:hint="eastAsia" w:ascii="仿宋" w:hAnsi="仿宋" w:eastAsia="仿宋" w:cs="仿宋"/>
                <w:color w:val="auto"/>
                <w:sz w:val="24"/>
                <w:szCs w:val="24"/>
              </w:rPr>
              <w:t>课程大纲A—M项由开课学院审批通过，任课教师不能自行更改。</w:t>
            </w:r>
          </w:p>
        </w:tc>
      </w:tr>
      <w:tr w14:paraId="51CB0511">
        <w:trPr>
          <w:trHeight w:val="771" w:hRule="atLeast"/>
          <w:jc w:val="center"/>
        </w:trPr>
        <w:tc>
          <w:tcPr>
            <w:tcW w:w="1376" w:type="dxa"/>
            <w:noWrap w:val="0"/>
            <w:vAlign w:val="center"/>
          </w:tcPr>
          <w:p w14:paraId="1B6637E6">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审批</w:t>
            </w:r>
          </w:p>
          <w:p w14:paraId="0C326B6C">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意见</w:t>
            </w:r>
          </w:p>
        </w:tc>
        <w:tc>
          <w:tcPr>
            <w:tcW w:w="3869" w:type="dxa"/>
            <w:gridSpan w:val="5"/>
            <w:noWrap w:val="0"/>
            <w:vAlign w:val="center"/>
          </w:tcPr>
          <w:p w14:paraId="398C50D0">
            <w:pPr>
              <w:keepNext w:val="0"/>
              <w:keepLines w:val="0"/>
              <w:pageBreakBefore w:val="0"/>
              <w:widowControl/>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课程</w:t>
            </w:r>
            <w:r>
              <w:rPr>
                <w:rFonts w:hint="eastAsia" w:ascii="仿宋" w:hAnsi="仿宋" w:eastAsia="仿宋" w:cs="仿宋"/>
                <w:color w:val="auto"/>
                <w:kern w:val="0"/>
                <w:sz w:val="24"/>
                <w:szCs w:val="24"/>
                <w:lang w:val="en-US" w:eastAsia="zh-CN"/>
              </w:rPr>
              <w:t>教学</w:t>
            </w:r>
            <w:r>
              <w:rPr>
                <w:rFonts w:hint="eastAsia" w:ascii="仿宋" w:hAnsi="仿宋" w:eastAsia="仿宋" w:cs="仿宋"/>
                <w:color w:val="auto"/>
                <w:kern w:val="0"/>
                <w:sz w:val="24"/>
                <w:szCs w:val="24"/>
              </w:rPr>
              <w:t>大纲</w:t>
            </w:r>
            <w:r>
              <w:rPr>
                <w:rFonts w:hint="eastAsia" w:ascii="仿宋" w:hAnsi="仿宋" w:eastAsia="仿宋" w:cs="仿宋"/>
                <w:color w:val="auto"/>
                <w:kern w:val="0"/>
                <w:sz w:val="24"/>
                <w:szCs w:val="24"/>
                <w:lang w:val="en-US" w:eastAsia="zh-CN"/>
              </w:rPr>
              <w:t>修订</w:t>
            </w:r>
            <w:r>
              <w:rPr>
                <w:rFonts w:hint="eastAsia" w:ascii="仿宋" w:hAnsi="仿宋" w:eastAsia="仿宋" w:cs="仿宋"/>
                <w:color w:val="auto"/>
                <w:kern w:val="0"/>
                <w:sz w:val="24"/>
                <w:szCs w:val="24"/>
              </w:rPr>
              <w:t>负责人</w:t>
            </w:r>
            <w:r>
              <w:rPr>
                <w:rFonts w:hint="eastAsia" w:ascii="仿宋" w:hAnsi="仿宋" w:eastAsia="仿宋" w:cs="仿宋"/>
                <w:color w:val="auto"/>
                <w:kern w:val="0"/>
                <w:sz w:val="24"/>
                <w:szCs w:val="24"/>
                <w:lang w:val="en-US" w:eastAsia="zh-CN"/>
              </w:rPr>
              <w:t>及教学团队成员</w:t>
            </w:r>
            <w:r>
              <w:rPr>
                <w:rFonts w:hint="eastAsia" w:ascii="仿宋" w:hAnsi="仿宋" w:eastAsia="仿宋" w:cs="仿宋"/>
                <w:color w:val="auto"/>
                <w:sz w:val="24"/>
                <w:szCs w:val="24"/>
              </w:rPr>
              <w:t>签名</w:t>
            </w:r>
            <w:r>
              <w:rPr>
                <w:rFonts w:hint="eastAsia" w:ascii="仿宋" w:hAnsi="仿宋" w:eastAsia="仿宋" w:cs="仿宋"/>
                <w:color w:val="auto"/>
                <w:kern w:val="0"/>
                <w:sz w:val="24"/>
                <w:szCs w:val="24"/>
              </w:rPr>
              <w:t xml:space="preserve">：   </w:t>
            </w:r>
          </w:p>
          <w:p w14:paraId="7EB3101E">
            <w:pPr>
              <w:keepNext w:val="0"/>
              <w:keepLines w:val="0"/>
              <w:pageBreakBefore w:val="0"/>
              <w:widowControl/>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p>
          <w:p w14:paraId="231AF373">
            <w:pPr>
              <w:keepNext w:val="0"/>
              <w:keepLines w:val="0"/>
              <w:pageBreakBefore w:val="0"/>
              <w:widowControl/>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p>
          <w:p w14:paraId="584F9357">
            <w:pPr>
              <w:keepNext w:val="0"/>
              <w:keepLines w:val="0"/>
              <w:pageBreakBefore w:val="0"/>
              <w:widowControl/>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p>
          <w:p w14:paraId="1B09AD46">
            <w:pPr>
              <w:keepNext w:val="0"/>
              <w:keepLines w:val="0"/>
              <w:pageBreakBefore w:val="0"/>
              <w:widowControl/>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p>
          <w:p w14:paraId="01196CB8">
            <w:pPr>
              <w:keepNext w:val="0"/>
              <w:keepLines w:val="0"/>
              <w:pageBreakBefore w:val="0"/>
              <w:widowControl/>
              <w:kinsoku/>
              <w:wordWrap/>
              <w:overflowPunct/>
              <w:topLinePunct w:val="0"/>
              <w:bidi w:val="0"/>
              <w:adjustRightInd w:val="0"/>
              <w:snapToGrid w:val="0"/>
              <w:spacing w:line="240" w:lineRule="auto"/>
              <w:jc w:val="right"/>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rPr>
              <w:t xml:space="preserve">                                                   年   月   日</w:t>
            </w:r>
            <w:r>
              <w:rPr>
                <w:rFonts w:hint="eastAsia" w:ascii="仿宋" w:hAnsi="仿宋" w:eastAsia="仿宋" w:cs="仿宋"/>
                <w:color w:val="auto"/>
                <w:kern w:val="0"/>
                <w:sz w:val="24"/>
                <w:szCs w:val="24"/>
                <w:lang w:val="en-US" w:eastAsia="zh-CN"/>
              </w:rPr>
              <w:t xml:space="preserve"> </w:t>
            </w:r>
          </w:p>
          <w:p w14:paraId="1AD81100">
            <w:pPr>
              <w:keepNext w:val="0"/>
              <w:keepLines w:val="0"/>
              <w:pageBreakBefore w:val="0"/>
              <w:widowControl/>
              <w:kinsoku/>
              <w:wordWrap/>
              <w:overflowPunct/>
              <w:topLinePunct w:val="0"/>
              <w:bidi w:val="0"/>
              <w:adjustRightInd w:val="0"/>
              <w:snapToGrid w:val="0"/>
              <w:spacing w:line="240" w:lineRule="auto"/>
              <w:jc w:val="right"/>
              <w:rPr>
                <w:rFonts w:hint="eastAsia" w:ascii="仿宋" w:hAnsi="仿宋" w:eastAsia="仿宋" w:cs="仿宋"/>
                <w:color w:val="auto"/>
                <w:kern w:val="0"/>
                <w:sz w:val="24"/>
                <w:szCs w:val="24"/>
              </w:rPr>
            </w:pPr>
          </w:p>
        </w:tc>
        <w:tc>
          <w:tcPr>
            <w:tcW w:w="3915" w:type="dxa"/>
            <w:gridSpan w:val="13"/>
            <w:noWrap w:val="0"/>
            <w:vAlign w:val="center"/>
          </w:tcPr>
          <w:p w14:paraId="4134488C">
            <w:pPr>
              <w:keepNext w:val="0"/>
              <w:keepLines w:val="0"/>
              <w:pageBreakBefore w:val="0"/>
              <w:widowControl/>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系主任审核</w:t>
            </w:r>
            <w:r>
              <w:rPr>
                <w:rFonts w:hint="eastAsia" w:ascii="仿宋" w:hAnsi="仿宋" w:eastAsia="仿宋" w:cs="仿宋"/>
                <w:color w:val="auto"/>
                <w:kern w:val="0"/>
                <w:sz w:val="24"/>
                <w:szCs w:val="24"/>
              </w:rPr>
              <w:t>意见：</w:t>
            </w:r>
          </w:p>
          <w:p w14:paraId="4BC49A54">
            <w:pPr>
              <w:keepNext w:val="0"/>
              <w:keepLines w:val="0"/>
              <w:pageBreakBefore w:val="0"/>
              <w:widowControl/>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p>
          <w:p w14:paraId="1D5BB675">
            <w:pPr>
              <w:keepNext w:val="0"/>
              <w:keepLines w:val="0"/>
              <w:pageBreakBefore w:val="0"/>
              <w:widowControl/>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p>
          <w:p w14:paraId="4D281C23">
            <w:pPr>
              <w:keepNext w:val="0"/>
              <w:keepLines w:val="0"/>
              <w:pageBreakBefore w:val="0"/>
              <w:widowControl/>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p>
          <w:p w14:paraId="3A9F55A3">
            <w:pPr>
              <w:keepNext w:val="0"/>
              <w:keepLines w:val="0"/>
              <w:pageBreakBefore w:val="0"/>
              <w:widowControl/>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p>
          <w:p w14:paraId="19436EA5">
            <w:pPr>
              <w:keepNext w:val="0"/>
              <w:keepLines w:val="0"/>
              <w:pageBreakBefore w:val="0"/>
              <w:widowControl/>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系主任</w:t>
            </w:r>
            <w:r>
              <w:rPr>
                <w:rFonts w:hint="eastAsia" w:ascii="仿宋" w:hAnsi="仿宋" w:eastAsia="仿宋" w:cs="仿宋"/>
                <w:color w:val="auto"/>
                <w:kern w:val="0"/>
                <w:sz w:val="24"/>
                <w:szCs w:val="24"/>
              </w:rPr>
              <w:t>签名：</w:t>
            </w:r>
          </w:p>
          <w:p w14:paraId="5DEFE661">
            <w:pPr>
              <w:keepNext w:val="0"/>
              <w:keepLines w:val="0"/>
              <w:pageBreakBefore w:val="0"/>
              <w:widowControl/>
              <w:kinsoku/>
              <w:wordWrap/>
              <w:overflowPunct/>
              <w:topLinePunct w:val="0"/>
              <w:bidi w:val="0"/>
              <w:adjustRightInd w:val="0"/>
              <w:snapToGrid w:val="0"/>
              <w:spacing w:line="240" w:lineRule="auto"/>
              <w:jc w:val="right"/>
              <w:rPr>
                <w:rFonts w:hint="eastAsia" w:ascii="仿宋" w:hAnsi="仿宋" w:eastAsia="仿宋" w:cs="仿宋"/>
                <w:color w:val="auto"/>
                <w:kern w:val="0"/>
                <w:sz w:val="24"/>
                <w:szCs w:val="24"/>
              </w:rPr>
            </w:pPr>
          </w:p>
          <w:p w14:paraId="1246F08F">
            <w:pPr>
              <w:keepNext w:val="0"/>
              <w:keepLines w:val="0"/>
              <w:pageBreakBefore w:val="0"/>
              <w:widowControl/>
              <w:kinsoku/>
              <w:wordWrap/>
              <w:overflowPunct/>
              <w:topLinePunct w:val="0"/>
              <w:bidi w:val="0"/>
              <w:adjustRightInd w:val="0"/>
              <w:snapToGrid w:val="0"/>
              <w:spacing w:line="240" w:lineRule="auto"/>
              <w:jc w:val="righ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年   月   日</w:t>
            </w:r>
          </w:p>
          <w:p w14:paraId="1EBB8956">
            <w:pPr>
              <w:keepNext w:val="0"/>
              <w:keepLines w:val="0"/>
              <w:pageBreakBefore w:val="0"/>
              <w:widowControl/>
              <w:kinsoku/>
              <w:wordWrap/>
              <w:overflowPunct/>
              <w:topLinePunct w:val="0"/>
              <w:bidi w:val="0"/>
              <w:adjustRightInd w:val="0"/>
              <w:snapToGrid w:val="0"/>
              <w:spacing w:line="240" w:lineRule="auto"/>
              <w:jc w:val="right"/>
              <w:rPr>
                <w:rFonts w:hint="eastAsia" w:ascii="仿宋" w:hAnsi="仿宋" w:eastAsia="仿宋" w:cs="仿宋"/>
                <w:color w:val="auto"/>
                <w:kern w:val="0"/>
                <w:sz w:val="24"/>
                <w:szCs w:val="24"/>
              </w:rPr>
            </w:pPr>
          </w:p>
        </w:tc>
      </w:tr>
    </w:tbl>
    <w:p w14:paraId="46623BBB">
      <w:pPr>
        <w:widowControl/>
        <w:spacing w:line="360" w:lineRule="auto"/>
        <w:ind w:right="480" w:firstLine="420" w:firstLineChars="200"/>
        <w:rPr>
          <w:rFonts w:hint="eastAsia" w:eastAsia="PMingLiU" w:cs="黑体"/>
          <w:lang w:eastAsia="zh-TW"/>
        </w:rPr>
      </w:pPr>
    </w:p>
    <w:p w14:paraId="17D1FCA4">
      <w:pPr>
        <w:widowControl/>
        <w:spacing w:line="360" w:lineRule="auto"/>
        <w:ind w:right="480" w:firstLine="420" w:firstLineChars="200"/>
        <w:rPr>
          <w:rFonts w:hint="default" w:eastAsia="宋体" w:cs="黑体"/>
          <w:lang w:val="en-US" w:eastAsia="zh-CN"/>
        </w:rPr>
        <w:sectPr>
          <w:headerReference r:id="rId53" w:type="default"/>
          <w:footerReference r:id="rId54" w:type="default"/>
          <w:pgSz w:w="11906" w:h="16838"/>
          <w:pgMar w:top="1134" w:right="1417" w:bottom="1134" w:left="1417" w:header="851" w:footer="992" w:gutter="0"/>
          <w:cols w:space="720" w:num="1"/>
          <w:rtlGutter w:val="0"/>
          <w:docGrid w:type="lines" w:linePitch="312" w:charSpace="0"/>
        </w:sectPr>
      </w:pPr>
    </w:p>
    <w:p w14:paraId="252AF60F">
      <w:pPr>
        <w:adjustRightInd w:val="0"/>
        <w:snapToGrid w:val="0"/>
        <w:spacing w:line="360" w:lineRule="auto"/>
        <w:jc w:val="center"/>
        <w:rPr>
          <w:rFonts w:hint="eastAsia" w:ascii="仿宋" w:hAnsi="仿宋" w:eastAsia="仿宋" w:cs="仿宋"/>
          <w:color w:val="000000"/>
          <w:sz w:val="28"/>
          <w:szCs w:val="28"/>
        </w:rPr>
      </w:pPr>
      <w:r>
        <w:rPr>
          <w:rFonts w:hint="eastAsia" w:ascii="仿宋" w:hAnsi="仿宋" w:eastAsia="仿宋" w:cs="仿宋"/>
          <w:color w:val="000000"/>
          <w:sz w:val="28"/>
          <w:szCs w:val="28"/>
        </w:rPr>
        <w:t>附表《</w:t>
      </w:r>
      <w:r>
        <w:rPr>
          <w:rFonts w:hint="eastAsia" w:ascii="仿宋" w:hAnsi="仿宋" w:eastAsia="仿宋" w:cs="仿宋"/>
          <w:color w:val="000000"/>
          <w:sz w:val="28"/>
          <w:szCs w:val="28"/>
          <w:lang w:val="en-US" w:eastAsia="zh-CN"/>
        </w:rPr>
        <w:t>合唱与指挥</w:t>
      </w:r>
      <w:r>
        <w:rPr>
          <w:rFonts w:hint="eastAsia" w:ascii="仿宋" w:hAnsi="仿宋" w:eastAsia="仿宋" w:cs="仿宋"/>
          <w:color w:val="000000"/>
          <w:sz w:val="28"/>
          <w:szCs w:val="28"/>
        </w:rPr>
        <w:t>》课程目标评分量表</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28" w:type="dxa"/>
        </w:tblCellMar>
      </w:tblPr>
      <w:tblGrid>
        <w:gridCol w:w="1412"/>
        <w:gridCol w:w="1394"/>
        <w:gridCol w:w="1362"/>
        <w:gridCol w:w="1383"/>
        <w:gridCol w:w="1404"/>
        <w:gridCol w:w="1384"/>
      </w:tblGrid>
      <w:tr w14:paraId="32368124">
        <w:trPr>
          <w:trHeight w:val="90" w:hRule="atLeast"/>
          <w:jc w:val="center"/>
        </w:trPr>
        <w:tc>
          <w:tcPr>
            <w:tcW w:w="0" w:type="auto"/>
            <w:noWrap w:val="0"/>
            <w:vAlign w:val="center"/>
          </w:tcPr>
          <w:p w14:paraId="3C5D2589">
            <w:pPr>
              <w:widowControl/>
              <w:adjustRightInd w:val="0"/>
              <w:snapToGrid w:val="0"/>
              <w:ind w:firstLine="420" w:firstLineChars="200"/>
              <w:rPr>
                <w:rFonts w:hint="eastAsia" w:ascii="楷体" w:hAnsi="楷体" w:eastAsia="楷体" w:cs="楷体"/>
                <w:color w:val="auto"/>
                <w:kern w:val="0"/>
                <w:sz w:val="21"/>
                <w:szCs w:val="21"/>
              </w:rPr>
            </w:pPr>
            <w:r>
              <w:rPr>
                <w:rFonts w:hint="eastAsia" w:ascii="楷体" w:hAnsi="楷体" w:eastAsia="楷体" w:cs="楷体"/>
                <w:color w:val="auto"/>
                <w:kern w:val="0"/>
                <w:sz w:val="21"/>
                <w:szCs w:val="21"/>
              </w:rPr>
              <w:t>课程目标</w:t>
            </w:r>
          </w:p>
        </w:tc>
        <w:tc>
          <w:tcPr>
            <w:tcW w:w="0" w:type="auto"/>
            <w:noWrap w:val="0"/>
            <w:vAlign w:val="center"/>
          </w:tcPr>
          <w:p w14:paraId="72A184E1">
            <w:pPr>
              <w:widowControl/>
              <w:adjustRightInd w:val="0"/>
              <w:snapToGrid w:val="0"/>
              <w:ind w:firstLine="420" w:firstLineChars="200"/>
              <w:rPr>
                <w:rFonts w:hint="eastAsia" w:ascii="楷体" w:hAnsi="楷体" w:eastAsia="楷体" w:cs="楷体"/>
                <w:color w:val="auto"/>
                <w:kern w:val="0"/>
                <w:sz w:val="21"/>
                <w:szCs w:val="21"/>
              </w:rPr>
            </w:pPr>
            <w:r>
              <w:rPr>
                <w:rFonts w:hint="eastAsia" w:ascii="楷体" w:hAnsi="楷体" w:eastAsia="楷体" w:cs="楷体"/>
                <w:color w:val="auto"/>
                <w:kern w:val="0"/>
                <w:sz w:val="21"/>
                <w:szCs w:val="21"/>
              </w:rPr>
              <w:t>优（X≧90）</w:t>
            </w:r>
          </w:p>
        </w:tc>
        <w:tc>
          <w:tcPr>
            <w:tcW w:w="0" w:type="auto"/>
            <w:noWrap w:val="0"/>
            <w:vAlign w:val="center"/>
          </w:tcPr>
          <w:p w14:paraId="0A05136B">
            <w:pPr>
              <w:widowControl/>
              <w:adjustRightInd w:val="0"/>
              <w:snapToGrid w:val="0"/>
              <w:ind w:firstLine="420" w:firstLineChars="200"/>
              <w:rPr>
                <w:rFonts w:hint="eastAsia" w:ascii="楷体" w:hAnsi="楷体" w:eastAsia="楷体" w:cs="楷体"/>
                <w:color w:val="auto"/>
                <w:kern w:val="0"/>
                <w:sz w:val="21"/>
                <w:szCs w:val="21"/>
              </w:rPr>
            </w:pPr>
            <w:r>
              <w:rPr>
                <w:rFonts w:hint="eastAsia" w:ascii="楷体" w:hAnsi="楷体" w:eastAsia="楷体" w:cs="楷体"/>
                <w:color w:val="auto"/>
                <w:kern w:val="0"/>
                <w:sz w:val="21"/>
                <w:szCs w:val="21"/>
              </w:rPr>
              <w:t>良（80≦X＜90）</w:t>
            </w:r>
          </w:p>
        </w:tc>
        <w:tc>
          <w:tcPr>
            <w:tcW w:w="0" w:type="auto"/>
            <w:noWrap w:val="0"/>
            <w:vAlign w:val="center"/>
          </w:tcPr>
          <w:p w14:paraId="7CABAADC">
            <w:pPr>
              <w:widowControl/>
              <w:adjustRightInd w:val="0"/>
              <w:snapToGrid w:val="0"/>
              <w:ind w:firstLine="420" w:firstLineChars="200"/>
              <w:rPr>
                <w:rFonts w:hint="eastAsia" w:ascii="楷体" w:hAnsi="楷体" w:eastAsia="楷体" w:cs="楷体"/>
                <w:color w:val="auto"/>
                <w:kern w:val="0"/>
                <w:sz w:val="21"/>
                <w:szCs w:val="21"/>
              </w:rPr>
            </w:pPr>
            <w:r>
              <w:rPr>
                <w:rFonts w:hint="eastAsia" w:ascii="楷体" w:hAnsi="楷体" w:eastAsia="楷体" w:cs="楷体"/>
                <w:color w:val="auto"/>
                <w:kern w:val="0"/>
                <w:sz w:val="21"/>
                <w:szCs w:val="21"/>
              </w:rPr>
              <w:t>中（70≦X＜80）</w:t>
            </w:r>
          </w:p>
        </w:tc>
        <w:tc>
          <w:tcPr>
            <w:tcW w:w="0" w:type="auto"/>
            <w:noWrap w:val="0"/>
            <w:vAlign w:val="center"/>
          </w:tcPr>
          <w:p w14:paraId="5F229BB2">
            <w:pPr>
              <w:widowControl/>
              <w:adjustRightInd w:val="0"/>
              <w:snapToGrid w:val="0"/>
              <w:ind w:firstLine="420" w:firstLineChars="200"/>
              <w:rPr>
                <w:rFonts w:hint="eastAsia" w:ascii="楷体" w:hAnsi="楷体" w:eastAsia="楷体" w:cs="楷体"/>
                <w:color w:val="auto"/>
                <w:kern w:val="0"/>
                <w:sz w:val="21"/>
                <w:szCs w:val="21"/>
              </w:rPr>
            </w:pPr>
            <w:r>
              <w:rPr>
                <w:rFonts w:hint="eastAsia" w:ascii="楷体" w:hAnsi="楷体" w:eastAsia="楷体" w:cs="楷体"/>
                <w:color w:val="auto"/>
                <w:kern w:val="0"/>
                <w:sz w:val="21"/>
                <w:szCs w:val="21"/>
              </w:rPr>
              <w:t>及格（60≦X＜70）</w:t>
            </w:r>
          </w:p>
        </w:tc>
        <w:tc>
          <w:tcPr>
            <w:tcW w:w="0" w:type="auto"/>
            <w:noWrap w:val="0"/>
            <w:vAlign w:val="center"/>
          </w:tcPr>
          <w:p w14:paraId="200DEB5C">
            <w:pPr>
              <w:widowControl/>
              <w:adjustRightInd w:val="0"/>
              <w:snapToGrid w:val="0"/>
              <w:ind w:firstLine="420" w:firstLineChars="200"/>
              <w:rPr>
                <w:rFonts w:hint="eastAsia" w:ascii="楷体" w:hAnsi="楷体" w:eastAsia="楷体" w:cs="楷体"/>
                <w:color w:val="auto"/>
                <w:kern w:val="0"/>
                <w:sz w:val="21"/>
                <w:szCs w:val="21"/>
              </w:rPr>
            </w:pPr>
            <w:r>
              <w:rPr>
                <w:rFonts w:hint="eastAsia" w:ascii="楷体" w:hAnsi="楷体" w:eastAsia="楷体" w:cs="楷体"/>
                <w:color w:val="auto"/>
                <w:kern w:val="0"/>
                <w:sz w:val="21"/>
                <w:szCs w:val="21"/>
              </w:rPr>
              <w:t>不及格（＜60）</w:t>
            </w:r>
          </w:p>
        </w:tc>
      </w:tr>
      <w:tr w14:paraId="330D35CD">
        <w:trPr>
          <w:trHeight w:val="5192" w:hRule="atLeast"/>
          <w:jc w:val="center"/>
        </w:trPr>
        <w:tc>
          <w:tcPr>
            <w:tcW w:w="0" w:type="auto"/>
            <w:noWrap w:val="0"/>
            <w:vAlign w:val="top"/>
          </w:tcPr>
          <w:p w14:paraId="4F6A830C">
            <w:pPr>
              <w:widowControl/>
              <w:adjustRightInd w:val="0"/>
              <w:snapToGrid w:val="0"/>
              <w:ind w:firstLine="420" w:firstLineChars="200"/>
              <w:rPr>
                <w:rFonts w:hint="eastAsia" w:ascii="楷体" w:hAnsi="楷体" w:eastAsia="楷体" w:cs="楷体"/>
                <w:color w:val="auto"/>
                <w:kern w:val="0"/>
                <w:sz w:val="21"/>
                <w:szCs w:val="21"/>
              </w:rPr>
            </w:pPr>
            <w:r>
              <w:rPr>
                <w:rFonts w:hint="eastAsia" w:ascii="楷体" w:hAnsi="楷体" w:eastAsia="楷体" w:cs="楷体"/>
                <w:color w:val="auto"/>
                <w:kern w:val="0"/>
                <w:sz w:val="21"/>
                <w:szCs w:val="21"/>
              </w:rPr>
              <w:t>课程目标1.</w:t>
            </w:r>
            <w:r>
              <w:rPr>
                <w:rFonts w:hint="eastAsia" w:ascii="楷体" w:hAnsi="楷体" w:eastAsia="楷体" w:cs="楷体"/>
                <w:color w:val="auto"/>
                <w:kern w:val="0"/>
                <w:sz w:val="21"/>
                <w:szCs w:val="21"/>
              </w:rPr>
              <w:tab/>
            </w:r>
          </w:p>
          <w:p w14:paraId="1D13EEB1">
            <w:pPr>
              <w:widowControl/>
              <w:adjustRightInd w:val="0"/>
              <w:snapToGrid w:val="0"/>
              <w:ind w:firstLine="420" w:firstLineChars="200"/>
              <w:rPr>
                <w:rFonts w:hint="eastAsia" w:ascii="楷体" w:hAnsi="楷体" w:eastAsia="楷体" w:cs="楷体"/>
                <w:color w:val="auto"/>
                <w:kern w:val="0"/>
                <w:sz w:val="21"/>
                <w:szCs w:val="21"/>
              </w:rPr>
            </w:pPr>
            <w:r>
              <w:rPr>
                <w:rFonts w:hint="eastAsia" w:ascii="楷体" w:hAnsi="楷体" w:eastAsia="楷体" w:cs="楷体"/>
                <w:color w:val="auto"/>
                <w:kern w:val="0"/>
                <w:sz w:val="21"/>
                <w:szCs w:val="21"/>
                <w:lang w:val="en-US" w:eastAsia="zh-CN"/>
              </w:rPr>
              <w:t>初步掌握</w:t>
            </w:r>
            <w:r>
              <w:rPr>
                <w:rFonts w:hint="eastAsia" w:ascii="楷体" w:hAnsi="楷体" w:eastAsia="楷体" w:cs="楷体"/>
                <w:color w:val="auto"/>
                <w:kern w:val="0"/>
                <w:sz w:val="21"/>
                <w:szCs w:val="21"/>
              </w:rPr>
              <w:t>基本的合唱</w:t>
            </w:r>
            <w:r>
              <w:rPr>
                <w:rFonts w:hint="eastAsia" w:ascii="楷体" w:hAnsi="楷体" w:eastAsia="楷体" w:cs="楷体"/>
                <w:color w:val="auto"/>
                <w:kern w:val="0"/>
                <w:sz w:val="21"/>
                <w:szCs w:val="21"/>
                <w:lang w:val="en-US" w:eastAsia="zh-CN"/>
              </w:rPr>
              <w:t>指挥</w:t>
            </w:r>
            <w:r>
              <w:rPr>
                <w:rFonts w:hint="eastAsia" w:ascii="楷体" w:hAnsi="楷体" w:eastAsia="楷体" w:cs="楷体"/>
                <w:color w:val="auto"/>
                <w:kern w:val="0"/>
                <w:sz w:val="21"/>
                <w:szCs w:val="21"/>
              </w:rPr>
              <w:t>理论知识</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lang w:val="en-US" w:eastAsia="zh-CN"/>
              </w:rPr>
              <w:t>系统</w:t>
            </w:r>
            <w:r>
              <w:rPr>
                <w:rFonts w:hint="eastAsia" w:ascii="楷体" w:hAnsi="楷体" w:eastAsia="楷体" w:cs="楷体"/>
                <w:color w:val="auto"/>
                <w:kern w:val="0"/>
                <w:sz w:val="21"/>
                <w:szCs w:val="21"/>
              </w:rPr>
              <w:t>掌握基本的合唱</w:t>
            </w:r>
            <w:r>
              <w:rPr>
                <w:rFonts w:hint="eastAsia" w:ascii="楷体" w:hAnsi="楷体" w:eastAsia="楷体" w:cs="楷体"/>
                <w:color w:val="auto"/>
                <w:kern w:val="0"/>
                <w:sz w:val="21"/>
                <w:szCs w:val="21"/>
                <w:lang w:val="en-US" w:eastAsia="zh-CN"/>
              </w:rPr>
              <w:t>指挥</w:t>
            </w:r>
            <w:r>
              <w:rPr>
                <w:rFonts w:hint="eastAsia" w:ascii="楷体" w:hAnsi="楷体" w:eastAsia="楷体" w:cs="楷体"/>
                <w:color w:val="auto"/>
                <w:kern w:val="0"/>
                <w:sz w:val="21"/>
                <w:szCs w:val="21"/>
              </w:rPr>
              <w:t>音乐素质，其中包括适应多种音乐风格和表现需要的音准感、节奏感、音律感、声部谐和感、咬字行腔方法以及与音乐情绪表现相关的各种</w:t>
            </w:r>
            <w:r>
              <w:rPr>
                <w:rFonts w:hint="eastAsia" w:ascii="楷体" w:hAnsi="楷体" w:eastAsia="楷体" w:cs="楷体"/>
                <w:color w:val="auto"/>
                <w:kern w:val="0"/>
                <w:sz w:val="21"/>
                <w:szCs w:val="21"/>
                <w:lang w:val="en-US" w:eastAsia="zh-CN"/>
              </w:rPr>
              <w:t>科学发声方法</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lang w:val="en-US" w:eastAsia="zh-CN"/>
              </w:rPr>
              <w:t>其次，熟练</w:t>
            </w:r>
            <w:r>
              <w:rPr>
                <w:rFonts w:hint="eastAsia" w:ascii="楷体" w:hAnsi="楷体" w:eastAsia="楷体" w:cs="楷体"/>
                <w:color w:val="auto"/>
                <w:kern w:val="0"/>
                <w:sz w:val="21"/>
                <w:szCs w:val="21"/>
              </w:rPr>
              <w:t>掌握</w:t>
            </w:r>
            <w:r>
              <w:rPr>
                <w:rFonts w:hint="eastAsia" w:ascii="楷体" w:hAnsi="楷体" w:eastAsia="楷体" w:cs="楷体"/>
                <w:color w:val="auto"/>
                <w:kern w:val="0"/>
                <w:sz w:val="21"/>
                <w:szCs w:val="21"/>
                <w:lang w:val="en-US" w:eastAsia="zh-CN"/>
              </w:rPr>
              <w:t>基本的合唱指挥技能技巧</w:t>
            </w:r>
            <w:r>
              <w:rPr>
                <w:rFonts w:hint="eastAsia" w:ascii="楷体" w:hAnsi="楷体" w:eastAsia="楷体" w:cs="楷体"/>
                <w:color w:val="auto"/>
                <w:kern w:val="0"/>
                <w:sz w:val="21"/>
                <w:szCs w:val="21"/>
              </w:rPr>
              <w:t>，并具有不同风格合唱作品的艺术处理能力</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rPr>
              <w:t xml:space="preserve">（支撑毕业要求3.1） </w:t>
            </w:r>
          </w:p>
        </w:tc>
        <w:tc>
          <w:tcPr>
            <w:tcW w:w="0" w:type="auto"/>
            <w:noWrap w:val="0"/>
            <w:vAlign w:val="top"/>
          </w:tcPr>
          <w:p w14:paraId="51DB2A78">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lang w:val="en-US" w:eastAsia="zh-CN"/>
              </w:rPr>
              <w:t>初步掌握</w:t>
            </w:r>
            <w:r>
              <w:rPr>
                <w:rFonts w:hint="eastAsia" w:ascii="楷体" w:hAnsi="楷体" w:eastAsia="楷体" w:cs="楷体"/>
                <w:color w:val="auto"/>
                <w:kern w:val="0"/>
                <w:sz w:val="21"/>
                <w:szCs w:val="21"/>
              </w:rPr>
              <w:t>基本的合唱</w:t>
            </w:r>
            <w:r>
              <w:rPr>
                <w:rFonts w:hint="eastAsia" w:ascii="楷体" w:hAnsi="楷体" w:eastAsia="楷体" w:cs="楷体"/>
                <w:color w:val="auto"/>
                <w:kern w:val="0"/>
                <w:sz w:val="21"/>
                <w:szCs w:val="21"/>
                <w:lang w:val="en-US" w:eastAsia="zh-CN"/>
              </w:rPr>
              <w:t>指挥</w:t>
            </w:r>
            <w:r>
              <w:rPr>
                <w:rFonts w:hint="eastAsia" w:ascii="楷体" w:hAnsi="楷体" w:eastAsia="楷体" w:cs="楷体"/>
                <w:color w:val="auto"/>
                <w:kern w:val="0"/>
                <w:sz w:val="21"/>
                <w:szCs w:val="21"/>
              </w:rPr>
              <w:t>理论知识</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rPr>
              <w:t>能够扎实地掌握基本的合唱</w:t>
            </w:r>
            <w:r>
              <w:rPr>
                <w:rFonts w:hint="eastAsia" w:ascii="楷体" w:hAnsi="楷体" w:eastAsia="楷体" w:cs="楷体"/>
                <w:color w:val="auto"/>
                <w:kern w:val="0"/>
                <w:sz w:val="21"/>
                <w:szCs w:val="21"/>
                <w:lang w:val="en-US" w:eastAsia="zh-CN"/>
              </w:rPr>
              <w:t>指挥</w:t>
            </w:r>
            <w:r>
              <w:rPr>
                <w:rFonts w:hint="eastAsia" w:ascii="楷体" w:hAnsi="楷体" w:eastAsia="楷体" w:cs="楷体"/>
                <w:color w:val="auto"/>
                <w:kern w:val="0"/>
                <w:sz w:val="21"/>
                <w:szCs w:val="21"/>
              </w:rPr>
              <w:t>音乐素质，其中包括适应多种音乐风格和表现需要的音准感、节奏感、音律感、声部谐和感、咬字行腔方法以及与音乐情绪表现相关的各种</w:t>
            </w:r>
            <w:r>
              <w:rPr>
                <w:rFonts w:hint="eastAsia" w:ascii="楷体" w:hAnsi="楷体" w:eastAsia="楷体" w:cs="楷体"/>
                <w:color w:val="auto"/>
                <w:kern w:val="0"/>
                <w:sz w:val="21"/>
                <w:szCs w:val="21"/>
                <w:lang w:val="en-US" w:eastAsia="zh-CN"/>
              </w:rPr>
              <w:t>科学发声方法</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lang w:val="en-US" w:eastAsia="zh-CN"/>
              </w:rPr>
              <w:t>其次，</w:t>
            </w:r>
            <w:r>
              <w:rPr>
                <w:rFonts w:hint="eastAsia" w:ascii="楷体" w:hAnsi="楷体" w:eastAsia="楷体" w:cs="楷体"/>
                <w:color w:val="auto"/>
                <w:kern w:val="0"/>
                <w:sz w:val="21"/>
                <w:szCs w:val="21"/>
              </w:rPr>
              <w:t>能够扎实地掌握</w:t>
            </w:r>
            <w:r>
              <w:rPr>
                <w:rFonts w:hint="eastAsia" w:ascii="楷体" w:hAnsi="楷体" w:eastAsia="楷体" w:cs="楷体"/>
                <w:color w:val="auto"/>
                <w:kern w:val="0"/>
                <w:sz w:val="21"/>
                <w:szCs w:val="21"/>
                <w:lang w:val="en-US" w:eastAsia="zh-CN"/>
              </w:rPr>
              <w:t>基本的合唱指挥技能技巧</w:t>
            </w:r>
            <w:r>
              <w:rPr>
                <w:rFonts w:hint="eastAsia" w:ascii="楷体" w:hAnsi="楷体" w:eastAsia="楷体" w:cs="楷体"/>
                <w:color w:val="auto"/>
                <w:kern w:val="0"/>
                <w:sz w:val="21"/>
                <w:szCs w:val="21"/>
              </w:rPr>
              <w:t>，并具有不同风格合唱作品的艺术处理能力</w:t>
            </w:r>
            <w:r>
              <w:rPr>
                <w:rFonts w:hint="eastAsia" w:ascii="楷体" w:hAnsi="楷体" w:eastAsia="楷体" w:cs="楷体"/>
                <w:color w:val="auto"/>
                <w:kern w:val="0"/>
                <w:sz w:val="21"/>
                <w:szCs w:val="21"/>
                <w:lang w:eastAsia="zh-CN"/>
              </w:rPr>
              <w:t>。</w:t>
            </w:r>
          </w:p>
          <w:p w14:paraId="3904AE95">
            <w:pPr>
              <w:widowControl/>
              <w:adjustRightInd w:val="0"/>
              <w:snapToGrid w:val="0"/>
              <w:ind w:firstLine="420" w:firstLineChars="200"/>
              <w:rPr>
                <w:rFonts w:hint="eastAsia" w:ascii="楷体" w:hAnsi="楷体" w:eastAsia="楷体" w:cs="楷体"/>
                <w:color w:val="auto"/>
                <w:kern w:val="0"/>
                <w:sz w:val="21"/>
                <w:szCs w:val="21"/>
              </w:rPr>
            </w:pPr>
          </w:p>
        </w:tc>
        <w:tc>
          <w:tcPr>
            <w:tcW w:w="0" w:type="auto"/>
            <w:noWrap w:val="0"/>
            <w:vAlign w:val="top"/>
          </w:tcPr>
          <w:p w14:paraId="4F59CC6B">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lang w:val="en-US" w:eastAsia="zh-CN"/>
              </w:rPr>
              <w:t>初步掌握</w:t>
            </w:r>
            <w:r>
              <w:rPr>
                <w:rFonts w:hint="eastAsia" w:ascii="楷体" w:hAnsi="楷体" w:eastAsia="楷体" w:cs="楷体"/>
                <w:color w:val="auto"/>
                <w:kern w:val="0"/>
                <w:sz w:val="21"/>
                <w:szCs w:val="21"/>
              </w:rPr>
              <w:t>基本的合唱</w:t>
            </w:r>
            <w:r>
              <w:rPr>
                <w:rFonts w:hint="eastAsia" w:ascii="楷体" w:hAnsi="楷体" w:eastAsia="楷体" w:cs="楷体"/>
                <w:color w:val="auto"/>
                <w:kern w:val="0"/>
                <w:sz w:val="21"/>
                <w:szCs w:val="21"/>
                <w:lang w:val="en-US" w:eastAsia="zh-CN"/>
              </w:rPr>
              <w:t>指挥</w:t>
            </w:r>
            <w:r>
              <w:rPr>
                <w:rFonts w:hint="eastAsia" w:ascii="楷体" w:hAnsi="楷体" w:eastAsia="楷体" w:cs="楷体"/>
                <w:color w:val="auto"/>
                <w:kern w:val="0"/>
                <w:sz w:val="21"/>
                <w:szCs w:val="21"/>
              </w:rPr>
              <w:t>理论知识</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rPr>
              <w:t>能够掌握基本的合唱</w:t>
            </w:r>
            <w:r>
              <w:rPr>
                <w:rFonts w:hint="eastAsia" w:ascii="楷体" w:hAnsi="楷体" w:eastAsia="楷体" w:cs="楷体"/>
                <w:color w:val="auto"/>
                <w:kern w:val="0"/>
                <w:sz w:val="21"/>
                <w:szCs w:val="21"/>
                <w:lang w:val="en-US" w:eastAsia="zh-CN"/>
              </w:rPr>
              <w:t>指挥</w:t>
            </w:r>
            <w:r>
              <w:rPr>
                <w:rFonts w:hint="eastAsia" w:ascii="楷体" w:hAnsi="楷体" w:eastAsia="楷体" w:cs="楷体"/>
                <w:color w:val="auto"/>
                <w:kern w:val="0"/>
                <w:sz w:val="21"/>
                <w:szCs w:val="21"/>
              </w:rPr>
              <w:t>音乐素质，其中包括适应多种音乐风格和表现需要的音准感、节奏感、音律感、声部谐和感、咬字行腔方法以及与音乐情绪表现相关的各种</w:t>
            </w:r>
            <w:r>
              <w:rPr>
                <w:rFonts w:hint="eastAsia" w:ascii="楷体" w:hAnsi="楷体" w:eastAsia="楷体" w:cs="楷体"/>
                <w:color w:val="auto"/>
                <w:kern w:val="0"/>
                <w:sz w:val="21"/>
                <w:szCs w:val="21"/>
                <w:lang w:val="en-US" w:eastAsia="zh-CN"/>
              </w:rPr>
              <w:t>科学发声方法</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lang w:val="en-US" w:eastAsia="zh-CN"/>
              </w:rPr>
              <w:t>其次，能够</w:t>
            </w:r>
            <w:r>
              <w:rPr>
                <w:rFonts w:hint="eastAsia" w:ascii="楷体" w:hAnsi="楷体" w:eastAsia="楷体" w:cs="楷体"/>
                <w:color w:val="auto"/>
                <w:kern w:val="0"/>
                <w:sz w:val="21"/>
                <w:szCs w:val="21"/>
              </w:rPr>
              <w:t>掌握</w:t>
            </w:r>
            <w:r>
              <w:rPr>
                <w:rFonts w:hint="eastAsia" w:ascii="楷体" w:hAnsi="楷体" w:eastAsia="楷体" w:cs="楷体"/>
                <w:color w:val="auto"/>
                <w:kern w:val="0"/>
                <w:sz w:val="21"/>
                <w:szCs w:val="21"/>
                <w:lang w:val="en-US" w:eastAsia="zh-CN"/>
              </w:rPr>
              <w:t>基本的合唱指挥技能技巧</w:t>
            </w:r>
            <w:r>
              <w:rPr>
                <w:rFonts w:hint="eastAsia" w:ascii="楷体" w:hAnsi="楷体" w:eastAsia="楷体" w:cs="楷体"/>
                <w:color w:val="auto"/>
                <w:kern w:val="0"/>
                <w:sz w:val="21"/>
                <w:szCs w:val="21"/>
              </w:rPr>
              <w:t>，并具有不同风格合唱作品的艺术处理能力</w:t>
            </w:r>
            <w:r>
              <w:rPr>
                <w:rFonts w:hint="eastAsia" w:ascii="楷体" w:hAnsi="楷体" w:eastAsia="楷体" w:cs="楷体"/>
                <w:color w:val="auto"/>
                <w:kern w:val="0"/>
                <w:sz w:val="21"/>
                <w:szCs w:val="21"/>
                <w:lang w:eastAsia="zh-CN"/>
              </w:rPr>
              <w:t>。</w:t>
            </w:r>
          </w:p>
          <w:p w14:paraId="2E2D37BE">
            <w:pPr>
              <w:widowControl/>
              <w:adjustRightInd w:val="0"/>
              <w:snapToGrid w:val="0"/>
              <w:ind w:firstLine="420" w:firstLineChars="200"/>
              <w:rPr>
                <w:rFonts w:hint="eastAsia" w:ascii="楷体" w:hAnsi="楷体" w:eastAsia="楷体" w:cs="楷体"/>
                <w:color w:val="auto"/>
                <w:kern w:val="0"/>
                <w:sz w:val="21"/>
                <w:szCs w:val="21"/>
              </w:rPr>
            </w:pPr>
          </w:p>
        </w:tc>
        <w:tc>
          <w:tcPr>
            <w:tcW w:w="0" w:type="auto"/>
            <w:noWrap w:val="0"/>
            <w:vAlign w:val="top"/>
          </w:tcPr>
          <w:p w14:paraId="4355782D">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lang w:val="en-US" w:eastAsia="zh-CN"/>
              </w:rPr>
              <w:t>初步掌握</w:t>
            </w:r>
            <w:r>
              <w:rPr>
                <w:rFonts w:hint="eastAsia" w:ascii="楷体" w:hAnsi="楷体" w:eastAsia="楷体" w:cs="楷体"/>
                <w:color w:val="auto"/>
                <w:kern w:val="0"/>
                <w:sz w:val="21"/>
                <w:szCs w:val="21"/>
              </w:rPr>
              <w:t>基本的合唱</w:t>
            </w:r>
            <w:r>
              <w:rPr>
                <w:rFonts w:hint="eastAsia" w:ascii="楷体" w:hAnsi="楷体" w:eastAsia="楷体" w:cs="楷体"/>
                <w:color w:val="auto"/>
                <w:kern w:val="0"/>
                <w:sz w:val="21"/>
                <w:szCs w:val="21"/>
                <w:lang w:val="en-US" w:eastAsia="zh-CN"/>
              </w:rPr>
              <w:t>指挥</w:t>
            </w:r>
            <w:r>
              <w:rPr>
                <w:rFonts w:hint="eastAsia" w:ascii="楷体" w:hAnsi="楷体" w:eastAsia="楷体" w:cs="楷体"/>
                <w:color w:val="auto"/>
                <w:kern w:val="0"/>
                <w:sz w:val="21"/>
                <w:szCs w:val="21"/>
              </w:rPr>
              <w:t>理论知识</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rPr>
              <w:t>能够基本掌握基本的合唱</w:t>
            </w:r>
            <w:r>
              <w:rPr>
                <w:rFonts w:hint="eastAsia" w:ascii="楷体" w:hAnsi="楷体" w:eastAsia="楷体" w:cs="楷体"/>
                <w:color w:val="auto"/>
                <w:kern w:val="0"/>
                <w:sz w:val="21"/>
                <w:szCs w:val="21"/>
                <w:lang w:val="en-US" w:eastAsia="zh-CN"/>
              </w:rPr>
              <w:t>指挥</w:t>
            </w:r>
            <w:r>
              <w:rPr>
                <w:rFonts w:hint="eastAsia" w:ascii="楷体" w:hAnsi="楷体" w:eastAsia="楷体" w:cs="楷体"/>
                <w:color w:val="auto"/>
                <w:kern w:val="0"/>
                <w:sz w:val="21"/>
                <w:szCs w:val="21"/>
              </w:rPr>
              <w:t>音乐素质，其中包括适应多种音乐风格和表现需要的音准感、节奏感、音律感、声部谐和感、咬字行腔方法以及与音乐情绪表现相关的各种</w:t>
            </w:r>
            <w:r>
              <w:rPr>
                <w:rFonts w:hint="eastAsia" w:ascii="楷体" w:hAnsi="楷体" w:eastAsia="楷体" w:cs="楷体"/>
                <w:color w:val="auto"/>
                <w:kern w:val="0"/>
                <w:sz w:val="21"/>
                <w:szCs w:val="21"/>
                <w:lang w:val="en-US" w:eastAsia="zh-CN"/>
              </w:rPr>
              <w:t>科学发声方法</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lang w:val="en-US" w:eastAsia="zh-CN"/>
              </w:rPr>
              <w:t>其次，</w:t>
            </w:r>
            <w:r>
              <w:rPr>
                <w:rFonts w:hint="eastAsia" w:ascii="楷体" w:hAnsi="楷体" w:eastAsia="楷体" w:cs="楷体"/>
                <w:color w:val="auto"/>
                <w:kern w:val="0"/>
                <w:sz w:val="21"/>
                <w:szCs w:val="21"/>
              </w:rPr>
              <w:t>能够基本掌握</w:t>
            </w:r>
            <w:r>
              <w:rPr>
                <w:rFonts w:hint="eastAsia" w:ascii="楷体" w:hAnsi="楷体" w:eastAsia="楷体" w:cs="楷体"/>
                <w:color w:val="auto"/>
                <w:kern w:val="0"/>
                <w:sz w:val="21"/>
                <w:szCs w:val="21"/>
                <w:lang w:val="en-US" w:eastAsia="zh-CN"/>
              </w:rPr>
              <w:t>基本的合唱指挥技能技巧</w:t>
            </w:r>
            <w:r>
              <w:rPr>
                <w:rFonts w:hint="eastAsia" w:ascii="楷体" w:hAnsi="楷体" w:eastAsia="楷体" w:cs="楷体"/>
                <w:color w:val="auto"/>
                <w:kern w:val="0"/>
                <w:sz w:val="21"/>
                <w:szCs w:val="21"/>
              </w:rPr>
              <w:t>，并具有不同风格合唱作品的艺术处理能力</w:t>
            </w:r>
            <w:r>
              <w:rPr>
                <w:rFonts w:hint="eastAsia" w:ascii="楷体" w:hAnsi="楷体" w:eastAsia="楷体" w:cs="楷体"/>
                <w:color w:val="auto"/>
                <w:kern w:val="0"/>
                <w:sz w:val="21"/>
                <w:szCs w:val="21"/>
                <w:lang w:eastAsia="zh-CN"/>
              </w:rPr>
              <w:t>。</w:t>
            </w:r>
          </w:p>
          <w:p w14:paraId="133262F3">
            <w:pPr>
              <w:widowControl/>
              <w:adjustRightInd w:val="0"/>
              <w:snapToGrid w:val="0"/>
              <w:ind w:firstLine="420" w:firstLineChars="200"/>
              <w:rPr>
                <w:rFonts w:hint="eastAsia" w:ascii="楷体" w:hAnsi="楷体" w:eastAsia="楷体" w:cs="楷体"/>
                <w:color w:val="auto"/>
                <w:kern w:val="0"/>
                <w:sz w:val="21"/>
                <w:szCs w:val="21"/>
              </w:rPr>
            </w:pPr>
          </w:p>
        </w:tc>
        <w:tc>
          <w:tcPr>
            <w:tcW w:w="0" w:type="auto"/>
            <w:noWrap w:val="0"/>
            <w:vAlign w:val="top"/>
          </w:tcPr>
          <w:p w14:paraId="09DFD45C">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lang w:val="en-US" w:eastAsia="zh-CN"/>
              </w:rPr>
              <w:t>初步掌握</w:t>
            </w:r>
            <w:r>
              <w:rPr>
                <w:rFonts w:hint="eastAsia" w:ascii="楷体" w:hAnsi="楷体" w:eastAsia="楷体" w:cs="楷体"/>
                <w:color w:val="auto"/>
                <w:kern w:val="0"/>
                <w:sz w:val="21"/>
                <w:szCs w:val="21"/>
              </w:rPr>
              <w:t>基本的合唱</w:t>
            </w:r>
            <w:r>
              <w:rPr>
                <w:rFonts w:hint="eastAsia" w:ascii="楷体" w:hAnsi="楷体" w:eastAsia="楷体" w:cs="楷体"/>
                <w:color w:val="auto"/>
                <w:kern w:val="0"/>
                <w:sz w:val="21"/>
                <w:szCs w:val="21"/>
                <w:lang w:val="en-US" w:eastAsia="zh-CN"/>
              </w:rPr>
              <w:t>指挥</w:t>
            </w:r>
            <w:r>
              <w:rPr>
                <w:rFonts w:hint="eastAsia" w:ascii="楷体" w:hAnsi="楷体" w:eastAsia="楷体" w:cs="楷体"/>
                <w:color w:val="auto"/>
                <w:kern w:val="0"/>
                <w:sz w:val="21"/>
                <w:szCs w:val="21"/>
              </w:rPr>
              <w:t>理论知识</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rPr>
              <w:t>能够基本掌握部分基本的合唱</w:t>
            </w:r>
            <w:r>
              <w:rPr>
                <w:rFonts w:hint="eastAsia" w:ascii="楷体" w:hAnsi="楷体" w:eastAsia="楷体" w:cs="楷体"/>
                <w:color w:val="auto"/>
                <w:kern w:val="0"/>
                <w:sz w:val="21"/>
                <w:szCs w:val="21"/>
                <w:lang w:val="en-US" w:eastAsia="zh-CN"/>
              </w:rPr>
              <w:t>指挥</w:t>
            </w:r>
            <w:r>
              <w:rPr>
                <w:rFonts w:hint="eastAsia" w:ascii="楷体" w:hAnsi="楷体" w:eastAsia="楷体" w:cs="楷体"/>
                <w:color w:val="auto"/>
                <w:kern w:val="0"/>
                <w:sz w:val="21"/>
                <w:szCs w:val="21"/>
              </w:rPr>
              <w:t>音乐素质，其中包括适应多种音乐风格和表现需要的音准感、节奏感、音律感、声部谐和感、咬字行腔方法以及与音乐情绪表现相关的各种</w:t>
            </w:r>
            <w:r>
              <w:rPr>
                <w:rFonts w:hint="eastAsia" w:ascii="楷体" w:hAnsi="楷体" w:eastAsia="楷体" w:cs="楷体"/>
                <w:color w:val="auto"/>
                <w:kern w:val="0"/>
                <w:sz w:val="21"/>
                <w:szCs w:val="21"/>
                <w:lang w:val="en-US" w:eastAsia="zh-CN"/>
              </w:rPr>
              <w:t>科学发声方法</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lang w:val="en-US" w:eastAsia="zh-CN"/>
              </w:rPr>
              <w:t>其次，</w:t>
            </w:r>
            <w:r>
              <w:rPr>
                <w:rFonts w:hint="eastAsia" w:ascii="楷体" w:hAnsi="楷体" w:eastAsia="楷体" w:cs="楷体"/>
                <w:color w:val="auto"/>
                <w:kern w:val="0"/>
                <w:sz w:val="21"/>
                <w:szCs w:val="21"/>
              </w:rPr>
              <w:t>能够基本掌握部分</w:t>
            </w:r>
            <w:r>
              <w:rPr>
                <w:rFonts w:hint="eastAsia" w:ascii="楷体" w:hAnsi="楷体" w:eastAsia="楷体" w:cs="楷体"/>
                <w:color w:val="auto"/>
                <w:kern w:val="0"/>
                <w:sz w:val="21"/>
                <w:szCs w:val="21"/>
                <w:lang w:val="en-US" w:eastAsia="zh-CN"/>
              </w:rPr>
              <w:t>基本的合唱指挥技能技巧</w:t>
            </w:r>
            <w:r>
              <w:rPr>
                <w:rFonts w:hint="eastAsia" w:ascii="楷体" w:hAnsi="楷体" w:eastAsia="楷体" w:cs="楷体"/>
                <w:color w:val="auto"/>
                <w:kern w:val="0"/>
                <w:sz w:val="21"/>
                <w:szCs w:val="21"/>
              </w:rPr>
              <w:t>，并具有不同风格合唱作品的艺术处理能力</w:t>
            </w:r>
            <w:r>
              <w:rPr>
                <w:rFonts w:hint="eastAsia" w:ascii="楷体" w:hAnsi="楷体" w:eastAsia="楷体" w:cs="楷体"/>
                <w:color w:val="auto"/>
                <w:kern w:val="0"/>
                <w:sz w:val="21"/>
                <w:szCs w:val="21"/>
                <w:lang w:eastAsia="zh-CN"/>
              </w:rPr>
              <w:t>。</w:t>
            </w:r>
          </w:p>
          <w:p w14:paraId="69BA8628">
            <w:pPr>
              <w:widowControl/>
              <w:adjustRightInd w:val="0"/>
              <w:snapToGrid w:val="0"/>
              <w:ind w:firstLine="420" w:firstLineChars="200"/>
              <w:rPr>
                <w:rFonts w:hint="eastAsia" w:ascii="楷体" w:hAnsi="楷体" w:eastAsia="楷体" w:cs="楷体"/>
                <w:color w:val="auto"/>
                <w:kern w:val="0"/>
                <w:sz w:val="21"/>
                <w:szCs w:val="21"/>
              </w:rPr>
            </w:pPr>
          </w:p>
        </w:tc>
        <w:tc>
          <w:tcPr>
            <w:tcW w:w="0" w:type="auto"/>
            <w:noWrap w:val="0"/>
            <w:vAlign w:val="top"/>
          </w:tcPr>
          <w:p w14:paraId="1412DD3E">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lang w:val="en-US" w:eastAsia="zh-CN"/>
              </w:rPr>
              <w:t>初步掌握</w:t>
            </w:r>
            <w:r>
              <w:rPr>
                <w:rFonts w:hint="eastAsia" w:ascii="楷体" w:hAnsi="楷体" w:eastAsia="楷体" w:cs="楷体"/>
                <w:color w:val="auto"/>
                <w:kern w:val="0"/>
                <w:sz w:val="21"/>
                <w:szCs w:val="21"/>
              </w:rPr>
              <w:t>基本的合唱</w:t>
            </w:r>
            <w:r>
              <w:rPr>
                <w:rFonts w:hint="eastAsia" w:ascii="楷体" w:hAnsi="楷体" w:eastAsia="楷体" w:cs="楷体"/>
                <w:color w:val="auto"/>
                <w:kern w:val="0"/>
                <w:sz w:val="21"/>
                <w:szCs w:val="21"/>
                <w:lang w:val="en-US" w:eastAsia="zh-CN"/>
              </w:rPr>
              <w:t>指挥</w:t>
            </w:r>
            <w:r>
              <w:rPr>
                <w:rFonts w:hint="eastAsia" w:ascii="楷体" w:hAnsi="楷体" w:eastAsia="楷体" w:cs="楷体"/>
                <w:color w:val="auto"/>
                <w:kern w:val="0"/>
                <w:sz w:val="21"/>
                <w:szCs w:val="21"/>
              </w:rPr>
              <w:t>理论知识</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rPr>
              <w:t>未能很好掌握基本的合唱</w:t>
            </w:r>
            <w:r>
              <w:rPr>
                <w:rFonts w:hint="eastAsia" w:ascii="楷体" w:hAnsi="楷体" w:eastAsia="楷体" w:cs="楷体"/>
                <w:color w:val="auto"/>
                <w:kern w:val="0"/>
                <w:sz w:val="21"/>
                <w:szCs w:val="21"/>
                <w:lang w:val="en-US" w:eastAsia="zh-CN"/>
              </w:rPr>
              <w:t>指挥</w:t>
            </w:r>
            <w:r>
              <w:rPr>
                <w:rFonts w:hint="eastAsia" w:ascii="楷体" w:hAnsi="楷体" w:eastAsia="楷体" w:cs="楷体"/>
                <w:color w:val="auto"/>
                <w:kern w:val="0"/>
                <w:sz w:val="21"/>
                <w:szCs w:val="21"/>
              </w:rPr>
              <w:t>音乐素质，其中包括适应多种音乐风格和表现需要的音准感、节奏感、音律感、声部谐和感、咬字行腔方法以及与音乐情绪表现相关的各种</w:t>
            </w:r>
            <w:r>
              <w:rPr>
                <w:rFonts w:hint="eastAsia" w:ascii="楷体" w:hAnsi="楷体" w:eastAsia="楷体" w:cs="楷体"/>
                <w:color w:val="auto"/>
                <w:kern w:val="0"/>
                <w:sz w:val="21"/>
                <w:szCs w:val="21"/>
                <w:lang w:val="en-US" w:eastAsia="zh-CN"/>
              </w:rPr>
              <w:t>科学发声方法</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lang w:val="en-US" w:eastAsia="zh-CN"/>
              </w:rPr>
              <w:t>其次，</w:t>
            </w:r>
            <w:r>
              <w:rPr>
                <w:rFonts w:hint="eastAsia" w:ascii="楷体" w:hAnsi="楷体" w:eastAsia="楷体" w:cs="楷体"/>
                <w:color w:val="auto"/>
                <w:kern w:val="0"/>
                <w:sz w:val="21"/>
                <w:szCs w:val="21"/>
              </w:rPr>
              <w:t>未能很好掌握</w:t>
            </w:r>
            <w:r>
              <w:rPr>
                <w:rFonts w:hint="eastAsia" w:ascii="楷体" w:hAnsi="楷体" w:eastAsia="楷体" w:cs="楷体"/>
                <w:color w:val="auto"/>
                <w:kern w:val="0"/>
                <w:sz w:val="21"/>
                <w:szCs w:val="21"/>
                <w:lang w:val="en-US" w:eastAsia="zh-CN"/>
              </w:rPr>
              <w:t>基本的合唱指挥技能技巧</w:t>
            </w:r>
            <w:r>
              <w:rPr>
                <w:rFonts w:hint="eastAsia" w:ascii="楷体" w:hAnsi="楷体" w:eastAsia="楷体" w:cs="楷体"/>
                <w:color w:val="auto"/>
                <w:kern w:val="0"/>
                <w:sz w:val="21"/>
                <w:szCs w:val="21"/>
              </w:rPr>
              <w:t>，并具有不同风格合唱作品的艺术处理能力</w:t>
            </w:r>
            <w:r>
              <w:rPr>
                <w:rFonts w:hint="eastAsia" w:ascii="楷体" w:hAnsi="楷体" w:eastAsia="楷体" w:cs="楷体"/>
                <w:color w:val="auto"/>
                <w:kern w:val="0"/>
                <w:sz w:val="21"/>
                <w:szCs w:val="21"/>
                <w:lang w:eastAsia="zh-CN"/>
              </w:rPr>
              <w:t>。</w:t>
            </w:r>
          </w:p>
          <w:p w14:paraId="39AD703A">
            <w:pPr>
              <w:widowControl/>
              <w:adjustRightInd w:val="0"/>
              <w:snapToGrid w:val="0"/>
              <w:ind w:firstLine="420" w:firstLineChars="200"/>
              <w:rPr>
                <w:rFonts w:hint="eastAsia" w:ascii="楷体" w:hAnsi="楷体" w:eastAsia="楷体" w:cs="楷体"/>
                <w:color w:val="auto"/>
                <w:kern w:val="0"/>
                <w:sz w:val="21"/>
                <w:szCs w:val="21"/>
              </w:rPr>
            </w:pPr>
          </w:p>
        </w:tc>
      </w:tr>
      <w:tr w14:paraId="0650ABF2">
        <w:trPr>
          <w:trHeight w:val="416" w:hRule="atLeast"/>
          <w:jc w:val="center"/>
        </w:trPr>
        <w:tc>
          <w:tcPr>
            <w:tcW w:w="0" w:type="auto"/>
            <w:noWrap w:val="0"/>
            <w:vAlign w:val="top"/>
          </w:tcPr>
          <w:p w14:paraId="17B933DB">
            <w:pPr>
              <w:widowControl/>
              <w:adjustRightInd w:val="0"/>
              <w:snapToGrid w:val="0"/>
              <w:ind w:firstLine="420" w:firstLineChars="200"/>
              <w:rPr>
                <w:rFonts w:hint="eastAsia" w:ascii="楷体" w:hAnsi="楷体" w:eastAsia="楷体" w:cs="楷体"/>
                <w:color w:val="auto"/>
                <w:kern w:val="0"/>
                <w:sz w:val="21"/>
                <w:szCs w:val="21"/>
              </w:rPr>
            </w:pPr>
            <w:r>
              <w:rPr>
                <w:rFonts w:hint="eastAsia" w:ascii="楷体" w:hAnsi="楷体" w:eastAsia="楷体" w:cs="楷体"/>
                <w:color w:val="auto"/>
                <w:kern w:val="0"/>
                <w:sz w:val="21"/>
                <w:szCs w:val="21"/>
              </w:rPr>
              <w:t>课程目标2.</w:t>
            </w:r>
          </w:p>
          <w:p w14:paraId="380816DE">
            <w:pPr>
              <w:widowControl/>
              <w:adjustRightInd w:val="0"/>
              <w:snapToGrid w:val="0"/>
              <w:ind w:firstLine="420" w:firstLineChars="200"/>
              <w:rPr>
                <w:rFonts w:hint="eastAsia" w:ascii="楷体" w:hAnsi="楷体" w:eastAsia="楷体" w:cs="楷体"/>
                <w:color w:val="auto"/>
                <w:kern w:val="0"/>
                <w:sz w:val="21"/>
                <w:szCs w:val="21"/>
              </w:rPr>
            </w:pPr>
            <w:r>
              <w:rPr>
                <w:rFonts w:hint="eastAsia" w:ascii="楷体" w:hAnsi="楷体" w:eastAsia="楷体" w:cs="楷体"/>
                <w:color w:val="auto"/>
                <w:kern w:val="0"/>
                <w:sz w:val="21"/>
                <w:szCs w:val="21"/>
                <w:lang w:val="en-US" w:eastAsia="zh-CN"/>
              </w:rPr>
              <w:t>比较熟练使用合唱</w:t>
            </w:r>
            <w:r>
              <w:rPr>
                <w:rFonts w:hint="eastAsia" w:ascii="楷体" w:hAnsi="楷体" w:eastAsia="楷体" w:cs="楷体"/>
                <w:color w:val="auto"/>
                <w:kern w:val="0"/>
                <w:sz w:val="21"/>
                <w:szCs w:val="21"/>
              </w:rPr>
              <w:t>指挥</w:t>
            </w:r>
            <w:r>
              <w:rPr>
                <w:rFonts w:hint="eastAsia" w:ascii="楷体" w:hAnsi="楷体" w:eastAsia="楷体" w:cs="楷体"/>
                <w:color w:val="auto"/>
                <w:kern w:val="0"/>
                <w:sz w:val="21"/>
                <w:szCs w:val="21"/>
                <w:lang w:val="en-US" w:eastAsia="zh-CN"/>
              </w:rPr>
              <w:t>基本</w:t>
            </w:r>
            <w:r>
              <w:rPr>
                <w:rFonts w:hint="eastAsia" w:ascii="楷体" w:hAnsi="楷体" w:eastAsia="楷体" w:cs="楷体"/>
                <w:color w:val="auto"/>
                <w:kern w:val="0"/>
                <w:sz w:val="21"/>
                <w:szCs w:val="21"/>
              </w:rPr>
              <w:t>技术，</w:t>
            </w:r>
            <w:r>
              <w:rPr>
                <w:rFonts w:hint="eastAsia" w:ascii="楷体" w:hAnsi="楷体" w:eastAsia="楷体" w:cs="楷体"/>
                <w:color w:val="auto"/>
                <w:kern w:val="0"/>
                <w:sz w:val="21"/>
                <w:szCs w:val="21"/>
                <w:lang w:val="en-US" w:eastAsia="zh-CN"/>
              </w:rPr>
              <w:t>运</w:t>
            </w:r>
            <w:r>
              <w:rPr>
                <w:rFonts w:hint="eastAsia" w:ascii="楷体" w:hAnsi="楷体" w:eastAsia="楷体" w:cs="楷体"/>
                <w:color w:val="auto"/>
                <w:kern w:val="0"/>
                <w:sz w:val="21"/>
                <w:szCs w:val="21"/>
              </w:rPr>
              <w:t>用科学的方法和手段将作品的思想性与艺术性体现在舞台上</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rPr>
              <w:t>（支撑毕业要求</w:t>
            </w:r>
            <w:r>
              <w:rPr>
                <w:rFonts w:hint="eastAsia" w:ascii="楷体" w:hAnsi="楷体" w:eastAsia="楷体" w:cs="楷体"/>
                <w:color w:val="auto"/>
                <w:kern w:val="0"/>
                <w:sz w:val="21"/>
                <w:szCs w:val="21"/>
                <w:lang w:val="en-US" w:eastAsia="zh-CN"/>
              </w:rPr>
              <w:t>4</w:t>
            </w:r>
            <w:r>
              <w:rPr>
                <w:rFonts w:hint="eastAsia" w:ascii="楷体" w:hAnsi="楷体" w:eastAsia="楷体" w:cs="楷体"/>
                <w:color w:val="auto"/>
                <w:kern w:val="0"/>
                <w:sz w:val="21"/>
                <w:szCs w:val="21"/>
              </w:rPr>
              <w:t>.</w:t>
            </w:r>
            <w:r>
              <w:rPr>
                <w:rFonts w:hint="eastAsia" w:ascii="楷体" w:hAnsi="楷体" w:eastAsia="楷体" w:cs="楷体"/>
                <w:color w:val="auto"/>
                <w:kern w:val="0"/>
                <w:sz w:val="21"/>
                <w:szCs w:val="21"/>
                <w:lang w:val="en-US" w:eastAsia="zh-CN"/>
              </w:rPr>
              <w:t>2</w:t>
            </w:r>
            <w:r>
              <w:rPr>
                <w:rFonts w:hint="eastAsia" w:ascii="楷体" w:hAnsi="楷体" w:eastAsia="楷体" w:cs="楷体"/>
                <w:color w:val="auto"/>
                <w:kern w:val="0"/>
                <w:sz w:val="21"/>
                <w:szCs w:val="21"/>
              </w:rPr>
              <w:t>）</w:t>
            </w:r>
          </w:p>
          <w:p w14:paraId="7AA96AE7">
            <w:pPr>
              <w:widowControl/>
              <w:adjustRightInd w:val="0"/>
              <w:snapToGrid w:val="0"/>
              <w:ind w:firstLine="420" w:firstLineChars="200"/>
              <w:rPr>
                <w:rFonts w:hint="eastAsia" w:ascii="楷体" w:hAnsi="楷体" w:eastAsia="楷体" w:cs="楷体"/>
                <w:color w:val="auto"/>
                <w:kern w:val="0"/>
                <w:sz w:val="21"/>
                <w:szCs w:val="21"/>
              </w:rPr>
            </w:pPr>
            <w:r>
              <w:rPr>
                <w:rFonts w:hint="eastAsia" w:ascii="楷体" w:hAnsi="楷体" w:eastAsia="楷体" w:cs="楷体"/>
                <w:color w:val="auto"/>
                <w:kern w:val="0"/>
                <w:sz w:val="21"/>
                <w:szCs w:val="21"/>
              </w:rPr>
              <w:t>知晓</w:t>
            </w:r>
            <w:r>
              <w:rPr>
                <w:rFonts w:hint="eastAsia" w:ascii="楷体" w:hAnsi="楷体" w:eastAsia="楷体" w:cs="楷体"/>
                <w:color w:val="auto"/>
                <w:kern w:val="0"/>
                <w:sz w:val="21"/>
                <w:szCs w:val="21"/>
                <w:lang w:val="en-US" w:eastAsia="zh-CN"/>
              </w:rPr>
              <w:t>合唱指挥</w:t>
            </w:r>
            <w:r>
              <w:rPr>
                <w:rFonts w:hint="eastAsia" w:ascii="楷体" w:hAnsi="楷体" w:eastAsia="楷体" w:cs="楷体"/>
                <w:color w:val="auto"/>
                <w:kern w:val="0"/>
                <w:sz w:val="21"/>
                <w:szCs w:val="21"/>
              </w:rPr>
              <w:t>发展的趋势、动态以及与</w:t>
            </w:r>
            <w:r>
              <w:rPr>
                <w:rFonts w:hint="eastAsia" w:ascii="楷体" w:hAnsi="楷体" w:eastAsia="楷体" w:cs="楷体"/>
                <w:color w:val="auto"/>
                <w:kern w:val="0"/>
                <w:sz w:val="21"/>
                <w:szCs w:val="21"/>
                <w:lang w:val="en-US" w:eastAsia="zh-CN"/>
              </w:rPr>
              <w:t>合唱指挥教学</w:t>
            </w:r>
            <w:r>
              <w:rPr>
                <w:rFonts w:hint="eastAsia" w:ascii="楷体" w:hAnsi="楷体" w:eastAsia="楷体" w:cs="楷体"/>
                <w:color w:val="auto"/>
                <w:kern w:val="0"/>
                <w:sz w:val="21"/>
                <w:szCs w:val="21"/>
              </w:rPr>
              <w:t>的联系</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lang w:val="en-US" w:eastAsia="zh-CN"/>
              </w:rPr>
              <w:t>进行课堂教学和开展课外活动。</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rPr>
              <w:t>支撑毕业要求</w:t>
            </w:r>
            <w:r>
              <w:rPr>
                <w:rFonts w:hint="eastAsia" w:ascii="楷体" w:hAnsi="楷体" w:eastAsia="楷体" w:cs="楷体"/>
                <w:color w:val="auto"/>
                <w:kern w:val="0"/>
                <w:sz w:val="21"/>
                <w:szCs w:val="21"/>
                <w:lang w:val="en-US" w:eastAsia="zh-CN"/>
              </w:rPr>
              <w:t>4</w:t>
            </w:r>
            <w:r>
              <w:rPr>
                <w:rFonts w:hint="eastAsia" w:ascii="楷体" w:hAnsi="楷体" w:eastAsia="楷体" w:cs="楷体"/>
                <w:color w:val="auto"/>
                <w:kern w:val="0"/>
                <w:sz w:val="21"/>
                <w:szCs w:val="21"/>
              </w:rPr>
              <w:t>.</w:t>
            </w:r>
            <w:r>
              <w:rPr>
                <w:rFonts w:hint="eastAsia" w:ascii="楷体" w:hAnsi="楷体" w:eastAsia="楷体" w:cs="楷体"/>
                <w:color w:val="auto"/>
                <w:kern w:val="0"/>
                <w:sz w:val="21"/>
                <w:szCs w:val="21"/>
                <w:lang w:val="en-US" w:eastAsia="zh-CN"/>
              </w:rPr>
              <w:t>3</w:t>
            </w:r>
            <w:r>
              <w:rPr>
                <w:rFonts w:hint="eastAsia" w:ascii="楷体" w:hAnsi="楷体" w:eastAsia="楷体" w:cs="楷体"/>
                <w:color w:val="auto"/>
                <w:kern w:val="0"/>
                <w:sz w:val="21"/>
                <w:szCs w:val="21"/>
              </w:rPr>
              <w:t>）</w:t>
            </w:r>
          </w:p>
        </w:tc>
        <w:tc>
          <w:tcPr>
            <w:tcW w:w="0" w:type="auto"/>
            <w:noWrap w:val="0"/>
            <w:vAlign w:val="top"/>
          </w:tcPr>
          <w:p w14:paraId="0A573514">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rPr>
              <w:t>能够扎实地掌握纯熟的</w:t>
            </w:r>
            <w:r>
              <w:rPr>
                <w:rFonts w:hint="eastAsia" w:ascii="楷体" w:hAnsi="楷体" w:eastAsia="楷体" w:cs="楷体"/>
                <w:color w:val="auto"/>
                <w:kern w:val="0"/>
                <w:sz w:val="21"/>
                <w:szCs w:val="21"/>
                <w:lang w:val="en-US" w:eastAsia="zh-CN"/>
              </w:rPr>
              <w:t>合唱</w:t>
            </w:r>
            <w:r>
              <w:rPr>
                <w:rFonts w:hint="eastAsia" w:ascii="楷体" w:hAnsi="楷体" w:eastAsia="楷体" w:cs="楷体"/>
                <w:color w:val="auto"/>
                <w:kern w:val="0"/>
                <w:sz w:val="21"/>
                <w:szCs w:val="21"/>
              </w:rPr>
              <w:t>指挥</w:t>
            </w:r>
            <w:r>
              <w:rPr>
                <w:rFonts w:hint="eastAsia" w:ascii="楷体" w:hAnsi="楷体" w:eastAsia="楷体" w:cs="楷体"/>
                <w:color w:val="auto"/>
                <w:kern w:val="0"/>
                <w:sz w:val="21"/>
                <w:szCs w:val="21"/>
                <w:lang w:val="en-US" w:eastAsia="zh-CN"/>
              </w:rPr>
              <w:t>基本</w:t>
            </w:r>
            <w:r>
              <w:rPr>
                <w:rFonts w:hint="eastAsia" w:ascii="楷体" w:hAnsi="楷体" w:eastAsia="楷体" w:cs="楷体"/>
                <w:color w:val="auto"/>
                <w:kern w:val="0"/>
                <w:sz w:val="21"/>
                <w:szCs w:val="21"/>
              </w:rPr>
              <w:t>技术，</w:t>
            </w:r>
            <w:r>
              <w:rPr>
                <w:rFonts w:hint="eastAsia" w:ascii="楷体" w:hAnsi="楷体" w:eastAsia="楷体" w:cs="楷体"/>
                <w:color w:val="auto"/>
                <w:kern w:val="0"/>
                <w:sz w:val="21"/>
                <w:szCs w:val="21"/>
                <w:lang w:val="en-US" w:eastAsia="zh-CN"/>
              </w:rPr>
              <w:t>运</w:t>
            </w:r>
            <w:r>
              <w:rPr>
                <w:rFonts w:hint="eastAsia" w:ascii="楷体" w:hAnsi="楷体" w:eastAsia="楷体" w:cs="楷体"/>
                <w:color w:val="auto"/>
                <w:kern w:val="0"/>
                <w:sz w:val="21"/>
                <w:szCs w:val="21"/>
              </w:rPr>
              <w:t>用科学的方法和手段将作品的思想性与艺术性体现在舞台上</w:t>
            </w:r>
            <w:r>
              <w:rPr>
                <w:rFonts w:hint="eastAsia" w:ascii="楷体" w:hAnsi="楷体" w:eastAsia="楷体" w:cs="楷体"/>
                <w:color w:val="auto"/>
                <w:kern w:val="0"/>
                <w:sz w:val="21"/>
                <w:szCs w:val="21"/>
                <w:lang w:eastAsia="zh-CN"/>
              </w:rPr>
              <w:t>。</w:t>
            </w:r>
          </w:p>
          <w:p w14:paraId="2F3D1952">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lang w:val="en-US" w:eastAsia="zh-CN"/>
              </w:rPr>
              <w:t>很</w:t>
            </w:r>
            <w:r>
              <w:rPr>
                <w:rFonts w:hint="eastAsia" w:ascii="楷体" w:hAnsi="楷体" w:eastAsia="楷体" w:cs="楷体"/>
                <w:color w:val="auto"/>
                <w:kern w:val="0"/>
                <w:sz w:val="21"/>
                <w:szCs w:val="21"/>
              </w:rPr>
              <w:t>好的知晓</w:t>
            </w:r>
            <w:r>
              <w:rPr>
                <w:rFonts w:hint="eastAsia" w:ascii="楷体" w:hAnsi="楷体" w:eastAsia="楷体" w:cs="楷体"/>
                <w:color w:val="auto"/>
                <w:kern w:val="0"/>
                <w:sz w:val="21"/>
                <w:szCs w:val="21"/>
                <w:lang w:val="en-US" w:eastAsia="zh-CN"/>
              </w:rPr>
              <w:t>合唱指挥</w:t>
            </w:r>
            <w:r>
              <w:rPr>
                <w:rFonts w:hint="eastAsia" w:ascii="楷体" w:hAnsi="楷体" w:eastAsia="楷体" w:cs="楷体"/>
                <w:color w:val="auto"/>
                <w:kern w:val="0"/>
                <w:sz w:val="21"/>
                <w:szCs w:val="21"/>
              </w:rPr>
              <w:t>发展的趋势、动态以及与</w:t>
            </w:r>
            <w:r>
              <w:rPr>
                <w:rFonts w:hint="eastAsia" w:ascii="楷体" w:hAnsi="楷体" w:eastAsia="楷体" w:cs="楷体"/>
                <w:color w:val="auto"/>
                <w:kern w:val="0"/>
                <w:sz w:val="21"/>
                <w:szCs w:val="21"/>
                <w:lang w:val="en-US" w:eastAsia="zh-CN"/>
              </w:rPr>
              <w:t>合唱指挥教学</w:t>
            </w:r>
            <w:r>
              <w:rPr>
                <w:rFonts w:hint="eastAsia" w:ascii="楷体" w:hAnsi="楷体" w:eastAsia="楷体" w:cs="楷体"/>
                <w:color w:val="auto"/>
                <w:kern w:val="0"/>
                <w:sz w:val="21"/>
                <w:szCs w:val="21"/>
              </w:rPr>
              <w:t>的联系</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lang w:val="en-US" w:eastAsia="zh-CN"/>
              </w:rPr>
              <w:t>进行课堂教学和开展课外活动</w:t>
            </w:r>
            <w:r>
              <w:rPr>
                <w:rFonts w:hint="eastAsia" w:ascii="楷体" w:hAnsi="楷体" w:eastAsia="楷体" w:cs="楷体"/>
                <w:color w:val="auto"/>
                <w:kern w:val="0"/>
                <w:sz w:val="21"/>
                <w:szCs w:val="21"/>
              </w:rPr>
              <w:t>质量高</w:t>
            </w:r>
            <w:r>
              <w:rPr>
                <w:rFonts w:hint="eastAsia" w:ascii="楷体" w:hAnsi="楷体" w:eastAsia="楷体" w:cs="楷体"/>
                <w:color w:val="auto"/>
                <w:kern w:val="0"/>
                <w:sz w:val="21"/>
                <w:szCs w:val="21"/>
                <w:lang w:val="en-US" w:eastAsia="zh-CN"/>
              </w:rPr>
              <w:t>。</w:t>
            </w:r>
          </w:p>
          <w:p w14:paraId="3E234892">
            <w:pPr>
              <w:widowControl/>
              <w:adjustRightInd w:val="0"/>
              <w:snapToGrid w:val="0"/>
              <w:ind w:firstLine="420" w:firstLineChars="200"/>
              <w:rPr>
                <w:rFonts w:hint="eastAsia" w:ascii="楷体" w:hAnsi="楷体" w:eastAsia="楷体" w:cs="楷体"/>
                <w:color w:val="auto"/>
                <w:kern w:val="0"/>
                <w:sz w:val="21"/>
                <w:szCs w:val="21"/>
                <w:lang w:eastAsia="zh-CN"/>
              </w:rPr>
            </w:pPr>
          </w:p>
        </w:tc>
        <w:tc>
          <w:tcPr>
            <w:tcW w:w="0" w:type="auto"/>
            <w:noWrap w:val="0"/>
            <w:vAlign w:val="top"/>
          </w:tcPr>
          <w:p w14:paraId="4F1FB23C">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lang w:val="en-US" w:eastAsia="zh-CN"/>
              </w:rPr>
              <w:t>能够</w:t>
            </w:r>
            <w:r>
              <w:rPr>
                <w:rFonts w:hint="eastAsia" w:ascii="楷体" w:hAnsi="楷体" w:eastAsia="楷体" w:cs="楷体"/>
                <w:color w:val="auto"/>
                <w:kern w:val="0"/>
                <w:sz w:val="21"/>
                <w:szCs w:val="21"/>
              </w:rPr>
              <w:t>掌握纯熟的</w:t>
            </w:r>
            <w:r>
              <w:rPr>
                <w:rFonts w:hint="eastAsia" w:ascii="楷体" w:hAnsi="楷体" w:eastAsia="楷体" w:cs="楷体"/>
                <w:color w:val="auto"/>
                <w:kern w:val="0"/>
                <w:sz w:val="21"/>
                <w:szCs w:val="21"/>
                <w:lang w:val="en-US" w:eastAsia="zh-CN"/>
              </w:rPr>
              <w:t>合唱</w:t>
            </w:r>
            <w:r>
              <w:rPr>
                <w:rFonts w:hint="eastAsia" w:ascii="楷体" w:hAnsi="楷体" w:eastAsia="楷体" w:cs="楷体"/>
                <w:color w:val="auto"/>
                <w:kern w:val="0"/>
                <w:sz w:val="21"/>
                <w:szCs w:val="21"/>
              </w:rPr>
              <w:t>指挥</w:t>
            </w:r>
            <w:r>
              <w:rPr>
                <w:rFonts w:hint="eastAsia" w:ascii="楷体" w:hAnsi="楷体" w:eastAsia="楷体" w:cs="楷体"/>
                <w:color w:val="auto"/>
                <w:kern w:val="0"/>
                <w:sz w:val="21"/>
                <w:szCs w:val="21"/>
                <w:lang w:val="en-US" w:eastAsia="zh-CN"/>
              </w:rPr>
              <w:t>基本</w:t>
            </w:r>
            <w:r>
              <w:rPr>
                <w:rFonts w:hint="eastAsia" w:ascii="楷体" w:hAnsi="楷体" w:eastAsia="楷体" w:cs="楷体"/>
                <w:color w:val="auto"/>
                <w:kern w:val="0"/>
                <w:sz w:val="21"/>
                <w:szCs w:val="21"/>
              </w:rPr>
              <w:t>技术，</w:t>
            </w:r>
            <w:r>
              <w:rPr>
                <w:rFonts w:hint="eastAsia" w:ascii="楷体" w:hAnsi="楷体" w:eastAsia="楷体" w:cs="楷体"/>
                <w:color w:val="auto"/>
                <w:kern w:val="0"/>
                <w:sz w:val="21"/>
                <w:szCs w:val="21"/>
                <w:lang w:val="en-US" w:eastAsia="zh-CN"/>
              </w:rPr>
              <w:t>运</w:t>
            </w:r>
            <w:r>
              <w:rPr>
                <w:rFonts w:hint="eastAsia" w:ascii="楷体" w:hAnsi="楷体" w:eastAsia="楷体" w:cs="楷体"/>
                <w:color w:val="auto"/>
                <w:kern w:val="0"/>
                <w:sz w:val="21"/>
                <w:szCs w:val="21"/>
              </w:rPr>
              <w:t>用科学的方法和手段将作品的思想性与艺术性体现在舞台上</w:t>
            </w:r>
            <w:r>
              <w:rPr>
                <w:rFonts w:hint="eastAsia" w:ascii="楷体" w:hAnsi="楷体" w:eastAsia="楷体" w:cs="楷体"/>
                <w:color w:val="auto"/>
                <w:kern w:val="0"/>
                <w:sz w:val="21"/>
                <w:szCs w:val="21"/>
                <w:lang w:eastAsia="zh-CN"/>
              </w:rPr>
              <w:t>。</w:t>
            </w:r>
          </w:p>
          <w:p w14:paraId="1F569149">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lang w:val="en-US" w:eastAsia="zh-CN"/>
              </w:rPr>
              <w:t>较</w:t>
            </w:r>
            <w:r>
              <w:rPr>
                <w:rFonts w:hint="eastAsia" w:ascii="楷体" w:hAnsi="楷体" w:eastAsia="楷体" w:cs="楷体"/>
                <w:color w:val="auto"/>
                <w:kern w:val="0"/>
                <w:sz w:val="21"/>
                <w:szCs w:val="21"/>
              </w:rPr>
              <w:t>好的知晓</w:t>
            </w:r>
            <w:r>
              <w:rPr>
                <w:rFonts w:hint="eastAsia" w:ascii="楷体" w:hAnsi="楷体" w:eastAsia="楷体" w:cs="楷体"/>
                <w:color w:val="auto"/>
                <w:kern w:val="0"/>
                <w:sz w:val="21"/>
                <w:szCs w:val="21"/>
                <w:lang w:val="en-US" w:eastAsia="zh-CN"/>
              </w:rPr>
              <w:t>合唱指挥</w:t>
            </w:r>
            <w:r>
              <w:rPr>
                <w:rFonts w:hint="eastAsia" w:ascii="楷体" w:hAnsi="楷体" w:eastAsia="楷体" w:cs="楷体"/>
                <w:color w:val="auto"/>
                <w:kern w:val="0"/>
                <w:sz w:val="21"/>
                <w:szCs w:val="21"/>
              </w:rPr>
              <w:t>发展的趋势、动态以及与</w:t>
            </w:r>
            <w:r>
              <w:rPr>
                <w:rFonts w:hint="eastAsia" w:ascii="楷体" w:hAnsi="楷体" w:eastAsia="楷体" w:cs="楷体"/>
                <w:color w:val="auto"/>
                <w:kern w:val="0"/>
                <w:sz w:val="21"/>
                <w:szCs w:val="21"/>
                <w:lang w:val="en-US" w:eastAsia="zh-CN"/>
              </w:rPr>
              <w:t>合唱指挥教学</w:t>
            </w:r>
            <w:r>
              <w:rPr>
                <w:rFonts w:hint="eastAsia" w:ascii="楷体" w:hAnsi="楷体" w:eastAsia="楷体" w:cs="楷体"/>
                <w:color w:val="auto"/>
                <w:kern w:val="0"/>
                <w:sz w:val="21"/>
                <w:szCs w:val="21"/>
              </w:rPr>
              <w:t>的联系</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lang w:val="en-US" w:eastAsia="zh-CN"/>
              </w:rPr>
              <w:t>进行课堂教学和开展课外活动</w:t>
            </w:r>
            <w:r>
              <w:rPr>
                <w:rFonts w:hint="eastAsia" w:ascii="楷体" w:hAnsi="楷体" w:eastAsia="楷体" w:cs="楷体"/>
                <w:color w:val="auto"/>
                <w:kern w:val="0"/>
                <w:sz w:val="21"/>
                <w:szCs w:val="21"/>
              </w:rPr>
              <w:t>质量较高</w:t>
            </w:r>
            <w:r>
              <w:rPr>
                <w:rFonts w:hint="eastAsia" w:ascii="楷体" w:hAnsi="楷体" w:eastAsia="楷体" w:cs="楷体"/>
                <w:color w:val="auto"/>
                <w:kern w:val="0"/>
                <w:sz w:val="21"/>
                <w:szCs w:val="21"/>
                <w:lang w:val="en-US" w:eastAsia="zh-CN"/>
              </w:rPr>
              <w:t>。</w:t>
            </w:r>
          </w:p>
        </w:tc>
        <w:tc>
          <w:tcPr>
            <w:tcW w:w="0" w:type="auto"/>
            <w:noWrap w:val="0"/>
            <w:vAlign w:val="top"/>
          </w:tcPr>
          <w:p w14:paraId="0D4C9F7A">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rPr>
              <w:t>能够基本掌握纯熟的</w:t>
            </w:r>
            <w:r>
              <w:rPr>
                <w:rFonts w:hint="eastAsia" w:ascii="楷体" w:hAnsi="楷体" w:eastAsia="楷体" w:cs="楷体"/>
                <w:color w:val="auto"/>
                <w:kern w:val="0"/>
                <w:sz w:val="21"/>
                <w:szCs w:val="21"/>
                <w:lang w:val="en-US" w:eastAsia="zh-CN"/>
              </w:rPr>
              <w:t>合唱</w:t>
            </w:r>
            <w:r>
              <w:rPr>
                <w:rFonts w:hint="eastAsia" w:ascii="楷体" w:hAnsi="楷体" w:eastAsia="楷体" w:cs="楷体"/>
                <w:color w:val="auto"/>
                <w:kern w:val="0"/>
                <w:sz w:val="21"/>
                <w:szCs w:val="21"/>
              </w:rPr>
              <w:t>指挥</w:t>
            </w:r>
            <w:r>
              <w:rPr>
                <w:rFonts w:hint="eastAsia" w:ascii="楷体" w:hAnsi="楷体" w:eastAsia="楷体" w:cs="楷体"/>
                <w:color w:val="auto"/>
                <w:kern w:val="0"/>
                <w:sz w:val="21"/>
                <w:szCs w:val="21"/>
                <w:lang w:val="en-US" w:eastAsia="zh-CN"/>
              </w:rPr>
              <w:t>基本</w:t>
            </w:r>
            <w:r>
              <w:rPr>
                <w:rFonts w:hint="eastAsia" w:ascii="楷体" w:hAnsi="楷体" w:eastAsia="楷体" w:cs="楷体"/>
                <w:color w:val="auto"/>
                <w:kern w:val="0"/>
                <w:sz w:val="21"/>
                <w:szCs w:val="21"/>
              </w:rPr>
              <w:t>技术，</w:t>
            </w:r>
            <w:r>
              <w:rPr>
                <w:rFonts w:hint="eastAsia" w:ascii="楷体" w:hAnsi="楷体" w:eastAsia="楷体" w:cs="楷体"/>
                <w:color w:val="auto"/>
                <w:kern w:val="0"/>
                <w:sz w:val="21"/>
                <w:szCs w:val="21"/>
                <w:lang w:val="en-US" w:eastAsia="zh-CN"/>
              </w:rPr>
              <w:t>运</w:t>
            </w:r>
            <w:r>
              <w:rPr>
                <w:rFonts w:hint="eastAsia" w:ascii="楷体" w:hAnsi="楷体" w:eastAsia="楷体" w:cs="楷体"/>
                <w:color w:val="auto"/>
                <w:kern w:val="0"/>
                <w:sz w:val="21"/>
                <w:szCs w:val="21"/>
              </w:rPr>
              <w:t>用科学的方法和手段将作品的思想性与艺术性体现在舞台上</w:t>
            </w:r>
            <w:r>
              <w:rPr>
                <w:rFonts w:hint="eastAsia" w:ascii="楷体" w:hAnsi="楷体" w:eastAsia="楷体" w:cs="楷体"/>
                <w:color w:val="auto"/>
                <w:kern w:val="0"/>
                <w:sz w:val="21"/>
                <w:szCs w:val="21"/>
                <w:lang w:eastAsia="zh-CN"/>
              </w:rPr>
              <w:t>。</w:t>
            </w:r>
          </w:p>
          <w:p w14:paraId="2FB6BB50">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rPr>
              <w:t>知晓</w:t>
            </w:r>
            <w:r>
              <w:rPr>
                <w:rFonts w:hint="eastAsia" w:ascii="楷体" w:hAnsi="楷体" w:eastAsia="楷体" w:cs="楷体"/>
                <w:color w:val="auto"/>
                <w:kern w:val="0"/>
                <w:sz w:val="21"/>
                <w:szCs w:val="21"/>
                <w:lang w:val="en-US" w:eastAsia="zh-CN"/>
              </w:rPr>
              <w:t>合唱指挥</w:t>
            </w:r>
            <w:r>
              <w:rPr>
                <w:rFonts w:hint="eastAsia" w:ascii="楷体" w:hAnsi="楷体" w:eastAsia="楷体" w:cs="楷体"/>
                <w:color w:val="auto"/>
                <w:kern w:val="0"/>
                <w:sz w:val="21"/>
                <w:szCs w:val="21"/>
              </w:rPr>
              <w:t>发展的趋势、动态以及与</w:t>
            </w:r>
            <w:r>
              <w:rPr>
                <w:rFonts w:hint="eastAsia" w:ascii="楷体" w:hAnsi="楷体" w:eastAsia="楷体" w:cs="楷体"/>
                <w:color w:val="auto"/>
                <w:kern w:val="0"/>
                <w:sz w:val="21"/>
                <w:szCs w:val="21"/>
                <w:lang w:val="en-US" w:eastAsia="zh-CN"/>
              </w:rPr>
              <w:t>合唱指挥教学</w:t>
            </w:r>
            <w:r>
              <w:rPr>
                <w:rFonts w:hint="eastAsia" w:ascii="楷体" w:hAnsi="楷体" w:eastAsia="楷体" w:cs="楷体"/>
                <w:color w:val="auto"/>
                <w:kern w:val="0"/>
                <w:sz w:val="21"/>
                <w:szCs w:val="21"/>
              </w:rPr>
              <w:t>的联系</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lang w:val="en-US" w:eastAsia="zh-CN"/>
              </w:rPr>
              <w:t>进行课堂教学和开展课外活动</w:t>
            </w:r>
            <w:r>
              <w:rPr>
                <w:rFonts w:hint="eastAsia" w:ascii="楷体" w:hAnsi="楷体" w:eastAsia="楷体" w:cs="楷体"/>
                <w:color w:val="auto"/>
                <w:kern w:val="0"/>
                <w:sz w:val="21"/>
                <w:szCs w:val="21"/>
              </w:rPr>
              <w:t>质量一般</w:t>
            </w:r>
            <w:r>
              <w:rPr>
                <w:rFonts w:hint="eastAsia" w:ascii="楷体" w:hAnsi="楷体" w:eastAsia="楷体" w:cs="楷体"/>
                <w:color w:val="auto"/>
                <w:kern w:val="0"/>
                <w:sz w:val="21"/>
                <w:szCs w:val="21"/>
                <w:lang w:val="en-US" w:eastAsia="zh-CN"/>
              </w:rPr>
              <w:t>。</w:t>
            </w:r>
          </w:p>
        </w:tc>
        <w:tc>
          <w:tcPr>
            <w:tcW w:w="0" w:type="auto"/>
            <w:noWrap w:val="0"/>
            <w:vAlign w:val="top"/>
          </w:tcPr>
          <w:p w14:paraId="103FCB0B">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rPr>
              <w:t>能够基本掌握纯熟的</w:t>
            </w:r>
            <w:r>
              <w:rPr>
                <w:rFonts w:hint="eastAsia" w:ascii="楷体" w:hAnsi="楷体" w:eastAsia="楷体" w:cs="楷体"/>
                <w:color w:val="auto"/>
                <w:kern w:val="0"/>
                <w:sz w:val="21"/>
                <w:szCs w:val="21"/>
                <w:lang w:val="en-US" w:eastAsia="zh-CN"/>
              </w:rPr>
              <w:t>合唱</w:t>
            </w:r>
            <w:r>
              <w:rPr>
                <w:rFonts w:hint="eastAsia" w:ascii="楷体" w:hAnsi="楷体" w:eastAsia="楷体" w:cs="楷体"/>
                <w:color w:val="auto"/>
                <w:kern w:val="0"/>
                <w:sz w:val="21"/>
                <w:szCs w:val="21"/>
              </w:rPr>
              <w:t>指挥</w:t>
            </w:r>
            <w:r>
              <w:rPr>
                <w:rFonts w:hint="eastAsia" w:ascii="楷体" w:hAnsi="楷体" w:eastAsia="楷体" w:cs="楷体"/>
                <w:color w:val="auto"/>
                <w:kern w:val="0"/>
                <w:sz w:val="21"/>
                <w:szCs w:val="21"/>
                <w:lang w:val="en-US" w:eastAsia="zh-CN"/>
              </w:rPr>
              <w:t>基本</w:t>
            </w:r>
            <w:r>
              <w:rPr>
                <w:rFonts w:hint="eastAsia" w:ascii="楷体" w:hAnsi="楷体" w:eastAsia="楷体" w:cs="楷体"/>
                <w:color w:val="auto"/>
                <w:kern w:val="0"/>
                <w:sz w:val="21"/>
                <w:szCs w:val="21"/>
              </w:rPr>
              <w:t>技术，</w:t>
            </w:r>
            <w:r>
              <w:rPr>
                <w:rFonts w:hint="eastAsia" w:ascii="楷体" w:hAnsi="楷体" w:eastAsia="楷体" w:cs="楷体"/>
                <w:color w:val="auto"/>
                <w:kern w:val="0"/>
                <w:sz w:val="21"/>
                <w:szCs w:val="21"/>
                <w:lang w:val="en-US" w:eastAsia="zh-CN"/>
              </w:rPr>
              <w:t>运</w:t>
            </w:r>
            <w:r>
              <w:rPr>
                <w:rFonts w:hint="eastAsia" w:ascii="楷体" w:hAnsi="楷体" w:eastAsia="楷体" w:cs="楷体"/>
                <w:color w:val="auto"/>
                <w:kern w:val="0"/>
                <w:sz w:val="21"/>
                <w:szCs w:val="21"/>
              </w:rPr>
              <w:t>用科学的方法和手段将作品的思想性与艺术性体现在舞台上</w:t>
            </w:r>
            <w:r>
              <w:rPr>
                <w:rFonts w:hint="eastAsia" w:ascii="楷体" w:hAnsi="楷体" w:eastAsia="楷体" w:cs="楷体"/>
                <w:color w:val="auto"/>
                <w:kern w:val="0"/>
                <w:sz w:val="21"/>
                <w:szCs w:val="21"/>
                <w:lang w:eastAsia="zh-CN"/>
              </w:rPr>
              <w:t>。</w:t>
            </w:r>
          </w:p>
          <w:p w14:paraId="2E026DFB">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rPr>
              <w:t>能够知晓</w:t>
            </w:r>
            <w:r>
              <w:rPr>
                <w:rFonts w:hint="eastAsia" w:ascii="楷体" w:hAnsi="楷体" w:eastAsia="楷体" w:cs="楷体"/>
                <w:color w:val="auto"/>
                <w:kern w:val="0"/>
                <w:sz w:val="21"/>
                <w:szCs w:val="21"/>
                <w:lang w:val="en-US" w:eastAsia="zh-CN"/>
              </w:rPr>
              <w:t>合唱指挥</w:t>
            </w:r>
            <w:r>
              <w:rPr>
                <w:rFonts w:hint="eastAsia" w:ascii="楷体" w:hAnsi="楷体" w:eastAsia="楷体" w:cs="楷体"/>
                <w:color w:val="auto"/>
                <w:kern w:val="0"/>
                <w:sz w:val="21"/>
                <w:szCs w:val="21"/>
              </w:rPr>
              <w:t>发展的趋势、动态以及与</w:t>
            </w:r>
            <w:r>
              <w:rPr>
                <w:rFonts w:hint="eastAsia" w:ascii="楷体" w:hAnsi="楷体" w:eastAsia="楷体" w:cs="楷体"/>
                <w:color w:val="auto"/>
                <w:kern w:val="0"/>
                <w:sz w:val="21"/>
                <w:szCs w:val="21"/>
                <w:lang w:val="en-US" w:eastAsia="zh-CN"/>
              </w:rPr>
              <w:t>合唱指挥教学</w:t>
            </w:r>
            <w:r>
              <w:rPr>
                <w:rFonts w:hint="eastAsia" w:ascii="楷体" w:hAnsi="楷体" w:eastAsia="楷体" w:cs="楷体"/>
                <w:color w:val="auto"/>
                <w:kern w:val="0"/>
                <w:sz w:val="21"/>
                <w:szCs w:val="21"/>
              </w:rPr>
              <w:t>的联系</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lang w:val="en-US" w:eastAsia="zh-CN"/>
              </w:rPr>
              <w:t>进行课堂教学和开展课外活动</w:t>
            </w:r>
            <w:r>
              <w:rPr>
                <w:rFonts w:hint="eastAsia" w:ascii="楷体" w:hAnsi="楷体" w:eastAsia="楷体" w:cs="楷体"/>
                <w:color w:val="auto"/>
                <w:kern w:val="0"/>
                <w:sz w:val="21"/>
                <w:szCs w:val="21"/>
              </w:rPr>
              <w:t>质量一般</w:t>
            </w:r>
            <w:r>
              <w:rPr>
                <w:rFonts w:hint="eastAsia" w:ascii="楷体" w:hAnsi="楷体" w:eastAsia="楷体" w:cs="楷体"/>
                <w:color w:val="auto"/>
                <w:kern w:val="0"/>
                <w:sz w:val="21"/>
                <w:szCs w:val="21"/>
                <w:lang w:val="en-US" w:eastAsia="zh-CN"/>
              </w:rPr>
              <w:t>。</w:t>
            </w:r>
          </w:p>
        </w:tc>
        <w:tc>
          <w:tcPr>
            <w:tcW w:w="0" w:type="auto"/>
            <w:noWrap w:val="0"/>
            <w:vAlign w:val="top"/>
          </w:tcPr>
          <w:p w14:paraId="56154A9A">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rPr>
              <w:t>未能很好掌握纯熟的</w:t>
            </w:r>
            <w:r>
              <w:rPr>
                <w:rFonts w:hint="eastAsia" w:ascii="楷体" w:hAnsi="楷体" w:eastAsia="楷体" w:cs="楷体"/>
                <w:color w:val="auto"/>
                <w:kern w:val="0"/>
                <w:sz w:val="21"/>
                <w:szCs w:val="21"/>
                <w:lang w:val="en-US" w:eastAsia="zh-CN"/>
              </w:rPr>
              <w:t>合唱</w:t>
            </w:r>
            <w:r>
              <w:rPr>
                <w:rFonts w:hint="eastAsia" w:ascii="楷体" w:hAnsi="楷体" w:eastAsia="楷体" w:cs="楷体"/>
                <w:color w:val="auto"/>
                <w:kern w:val="0"/>
                <w:sz w:val="21"/>
                <w:szCs w:val="21"/>
              </w:rPr>
              <w:t>指挥</w:t>
            </w:r>
            <w:r>
              <w:rPr>
                <w:rFonts w:hint="eastAsia" w:ascii="楷体" w:hAnsi="楷体" w:eastAsia="楷体" w:cs="楷体"/>
                <w:color w:val="auto"/>
                <w:kern w:val="0"/>
                <w:sz w:val="21"/>
                <w:szCs w:val="21"/>
                <w:lang w:val="en-US" w:eastAsia="zh-CN"/>
              </w:rPr>
              <w:t>基本</w:t>
            </w:r>
            <w:r>
              <w:rPr>
                <w:rFonts w:hint="eastAsia" w:ascii="楷体" w:hAnsi="楷体" w:eastAsia="楷体" w:cs="楷体"/>
                <w:color w:val="auto"/>
                <w:kern w:val="0"/>
                <w:sz w:val="21"/>
                <w:szCs w:val="21"/>
              </w:rPr>
              <w:t>技术，</w:t>
            </w:r>
            <w:r>
              <w:rPr>
                <w:rFonts w:hint="eastAsia" w:ascii="楷体" w:hAnsi="楷体" w:eastAsia="楷体" w:cs="楷体"/>
                <w:color w:val="auto"/>
                <w:kern w:val="0"/>
                <w:sz w:val="21"/>
                <w:szCs w:val="21"/>
                <w:lang w:val="en-US" w:eastAsia="zh-CN"/>
              </w:rPr>
              <w:t>运</w:t>
            </w:r>
            <w:r>
              <w:rPr>
                <w:rFonts w:hint="eastAsia" w:ascii="楷体" w:hAnsi="楷体" w:eastAsia="楷体" w:cs="楷体"/>
                <w:color w:val="auto"/>
                <w:kern w:val="0"/>
                <w:sz w:val="21"/>
                <w:szCs w:val="21"/>
              </w:rPr>
              <w:t>用科学的方法和手段将作品的思想性与艺术性体现在舞台上</w:t>
            </w:r>
            <w:r>
              <w:rPr>
                <w:rFonts w:hint="eastAsia" w:ascii="楷体" w:hAnsi="楷体" w:eastAsia="楷体" w:cs="楷体"/>
                <w:color w:val="auto"/>
                <w:kern w:val="0"/>
                <w:sz w:val="21"/>
                <w:szCs w:val="21"/>
                <w:lang w:eastAsia="zh-CN"/>
              </w:rPr>
              <w:t>。</w:t>
            </w:r>
          </w:p>
          <w:p w14:paraId="660253E3">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rPr>
              <w:t>能够知晓</w:t>
            </w:r>
            <w:r>
              <w:rPr>
                <w:rFonts w:hint="eastAsia" w:ascii="楷体" w:hAnsi="楷体" w:eastAsia="楷体" w:cs="楷体"/>
                <w:color w:val="auto"/>
                <w:kern w:val="0"/>
                <w:sz w:val="21"/>
                <w:szCs w:val="21"/>
                <w:lang w:val="en-US" w:eastAsia="zh-CN"/>
              </w:rPr>
              <w:t>合唱指挥</w:t>
            </w:r>
            <w:r>
              <w:rPr>
                <w:rFonts w:hint="eastAsia" w:ascii="楷体" w:hAnsi="楷体" w:eastAsia="楷体" w:cs="楷体"/>
                <w:color w:val="auto"/>
                <w:kern w:val="0"/>
                <w:sz w:val="21"/>
                <w:szCs w:val="21"/>
              </w:rPr>
              <w:t>发展的趋势、动态以及与</w:t>
            </w:r>
            <w:r>
              <w:rPr>
                <w:rFonts w:hint="eastAsia" w:ascii="楷体" w:hAnsi="楷体" w:eastAsia="楷体" w:cs="楷体"/>
                <w:color w:val="auto"/>
                <w:kern w:val="0"/>
                <w:sz w:val="21"/>
                <w:szCs w:val="21"/>
                <w:lang w:val="en-US" w:eastAsia="zh-CN"/>
              </w:rPr>
              <w:t>合唱指挥教学</w:t>
            </w:r>
            <w:r>
              <w:rPr>
                <w:rFonts w:hint="eastAsia" w:ascii="楷体" w:hAnsi="楷体" w:eastAsia="楷体" w:cs="楷体"/>
                <w:color w:val="auto"/>
                <w:kern w:val="0"/>
                <w:sz w:val="21"/>
                <w:szCs w:val="21"/>
              </w:rPr>
              <w:t>的联系</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lang w:val="en-US" w:eastAsia="zh-CN"/>
              </w:rPr>
              <w:t>进行课堂教学和开展课外活动</w:t>
            </w:r>
            <w:r>
              <w:rPr>
                <w:rFonts w:hint="eastAsia" w:ascii="楷体" w:hAnsi="楷体" w:eastAsia="楷体" w:cs="楷体"/>
                <w:color w:val="auto"/>
                <w:kern w:val="0"/>
                <w:sz w:val="21"/>
                <w:szCs w:val="21"/>
              </w:rPr>
              <w:t>量较差</w:t>
            </w:r>
            <w:r>
              <w:rPr>
                <w:rFonts w:hint="eastAsia" w:ascii="楷体" w:hAnsi="楷体" w:eastAsia="楷体" w:cs="楷体"/>
                <w:color w:val="auto"/>
                <w:kern w:val="0"/>
                <w:sz w:val="21"/>
                <w:szCs w:val="21"/>
                <w:lang w:val="en-US" w:eastAsia="zh-CN"/>
              </w:rPr>
              <w:t>。</w:t>
            </w:r>
          </w:p>
        </w:tc>
      </w:tr>
      <w:tr w14:paraId="1EE339FD">
        <w:trPr>
          <w:trHeight w:val="1131" w:hRule="atLeast"/>
          <w:jc w:val="center"/>
        </w:trPr>
        <w:tc>
          <w:tcPr>
            <w:tcW w:w="0" w:type="auto"/>
            <w:noWrap w:val="0"/>
            <w:vAlign w:val="top"/>
          </w:tcPr>
          <w:p w14:paraId="1A56FF0A">
            <w:pPr>
              <w:widowControl/>
              <w:adjustRightInd w:val="0"/>
              <w:snapToGrid w:val="0"/>
              <w:ind w:firstLine="420" w:firstLineChars="200"/>
              <w:rPr>
                <w:rFonts w:hint="eastAsia" w:ascii="楷体" w:hAnsi="楷体" w:eastAsia="楷体" w:cs="楷体"/>
                <w:color w:val="auto"/>
                <w:kern w:val="0"/>
                <w:sz w:val="21"/>
                <w:szCs w:val="21"/>
              </w:rPr>
            </w:pPr>
            <w:r>
              <w:rPr>
                <w:rFonts w:hint="eastAsia" w:ascii="楷体" w:hAnsi="楷体" w:eastAsia="楷体" w:cs="楷体"/>
                <w:color w:val="auto"/>
                <w:kern w:val="0"/>
                <w:sz w:val="21"/>
                <w:szCs w:val="21"/>
              </w:rPr>
              <w:t>课程目标3.</w:t>
            </w:r>
          </w:p>
          <w:p w14:paraId="0E1ED817">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lang w:val="en-US" w:eastAsia="zh-CN"/>
              </w:rPr>
              <w:t>理解合唱合作意识和精神培养具体作用，培养团队合作精神。理解指挥不仅是合唱团的组织者、</w:t>
            </w:r>
            <w:r>
              <w:rPr>
                <w:rFonts w:hint="eastAsia" w:ascii="楷体" w:hAnsi="楷体" w:eastAsia="楷体" w:cs="楷体"/>
                <w:color w:val="auto"/>
                <w:kern w:val="0"/>
                <w:sz w:val="21"/>
                <w:szCs w:val="21"/>
              </w:rPr>
              <w:t>领导者，而且是艺术的指导者</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rPr>
              <w:t>（支撑毕业要求8.2）</w:t>
            </w:r>
          </w:p>
        </w:tc>
        <w:tc>
          <w:tcPr>
            <w:tcW w:w="0" w:type="auto"/>
            <w:noWrap w:val="0"/>
            <w:vAlign w:val="top"/>
          </w:tcPr>
          <w:p w14:paraId="7F3FF622">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lang w:val="en-US" w:eastAsia="zh-CN"/>
              </w:rPr>
              <w:t>有深入的理解合唱合作意识和精神培养具体作用，培养团队合作精神。有深入的理解指挥不仅是合唱团的组织者、</w:t>
            </w:r>
            <w:r>
              <w:rPr>
                <w:rFonts w:hint="eastAsia" w:ascii="楷体" w:hAnsi="楷体" w:eastAsia="楷体" w:cs="楷体"/>
                <w:color w:val="auto"/>
                <w:kern w:val="0"/>
                <w:sz w:val="21"/>
                <w:szCs w:val="21"/>
              </w:rPr>
              <w:t>领导者，而且是艺术的指导者</w:t>
            </w:r>
            <w:r>
              <w:rPr>
                <w:rFonts w:hint="eastAsia" w:ascii="楷体" w:hAnsi="楷体" w:eastAsia="楷体" w:cs="楷体"/>
                <w:color w:val="auto"/>
                <w:kern w:val="0"/>
                <w:sz w:val="21"/>
                <w:szCs w:val="21"/>
                <w:lang w:eastAsia="zh-CN"/>
              </w:rPr>
              <w:t>。</w:t>
            </w:r>
          </w:p>
          <w:p w14:paraId="02AAF931">
            <w:pPr>
              <w:widowControl/>
              <w:adjustRightInd w:val="0"/>
              <w:snapToGrid w:val="0"/>
              <w:ind w:firstLine="420" w:firstLineChars="200"/>
              <w:rPr>
                <w:rFonts w:hint="eastAsia" w:ascii="楷体" w:hAnsi="楷体" w:eastAsia="楷体" w:cs="楷体"/>
                <w:color w:val="auto"/>
                <w:kern w:val="0"/>
                <w:sz w:val="21"/>
                <w:szCs w:val="21"/>
                <w:lang w:eastAsia="zh-CN"/>
              </w:rPr>
            </w:pPr>
          </w:p>
        </w:tc>
        <w:tc>
          <w:tcPr>
            <w:tcW w:w="0" w:type="auto"/>
            <w:noWrap w:val="0"/>
            <w:vAlign w:val="top"/>
          </w:tcPr>
          <w:p w14:paraId="21CDDA15">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lang w:val="en-US" w:eastAsia="zh-CN"/>
              </w:rPr>
              <w:t>有</w:t>
            </w:r>
            <w:r>
              <w:rPr>
                <w:rFonts w:hint="eastAsia" w:ascii="楷体" w:hAnsi="楷体" w:eastAsia="楷体" w:cs="楷体"/>
                <w:color w:val="auto"/>
                <w:kern w:val="0"/>
                <w:sz w:val="21"/>
                <w:szCs w:val="21"/>
              </w:rPr>
              <w:t>较深入的</w:t>
            </w:r>
            <w:r>
              <w:rPr>
                <w:rFonts w:hint="eastAsia" w:ascii="楷体" w:hAnsi="楷体" w:eastAsia="楷体" w:cs="楷体"/>
                <w:color w:val="auto"/>
                <w:kern w:val="0"/>
                <w:sz w:val="21"/>
                <w:szCs w:val="21"/>
                <w:lang w:val="en-US" w:eastAsia="zh-CN"/>
              </w:rPr>
              <w:t>理解合唱合作意识和精神培养具体作用，培养团队合作精神。有</w:t>
            </w:r>
            <w:r>
              <w:rPr>
                <w:rFonts w:hint="eastAsia" w:ascii="楷体" w:hAnsi="楷体" w:eastAsia="楷体" w:cs="楷体"/>
                <w:color w:val="auto"/>
                <w:kern w:val="0"/>
                <w:sz w:val="21"/>
                <w:szCs w:val="21"/>
              </w:rPr>
              <w:t>较深入的</w:t>
            </w:r>
            <w:r>
              <w:rPr>
                <w:rFonts w:hint="eastAsia" w:ascii="楷体" w:hAnsi="楷体" w:eastAsia="楷体" w:cs="楷体"/>
                <w:color w:val="auto"/>
                <w:kern w:val="0"/>
                <w:sz w:val="21"/>
                <w:szCs w:val="21"/>
                <w:lang w:val="en-US" w:eastAsia="zh-CN"/>
              </w:rPr>
              <w:t>理解指挥不仅是合唱团的组织者、</w:t>
            </w:r>
            <w:r>
              <w:rPr>
                <w:rFonts w:hint="eastAsia" w:ascii="楷体" w:hAnsi="楷体" w:eastAsia="楷体" w:cs="楷体"/>
                <w:color w:val="auto"/>
                <w:kern w:val="0"/>
                <w:sz w:val="21"/>
                <w:szCs w:val="21"/>
              </w:rPr>
              <w:t>领导者，而且是艺术的指导者</w:t>
            </w:r>
            <w:r>
              <w:rPr>
                <w:rFonts w:hint="eastAsia" w:ascii="楷体" w:hAnsi="楷体" w:eastAsia="楷体" w:cs="楷体"/>
                <w:color w:val="auto"/>
                <w:kern w:val="0"/>
                <w:sz w:val="21"/>
                <w:szCs w:val="21"/>
                <w:lang w:eastAsia="zh-CN"/>
              </w:rPr>
              <w:t>。</w:t>
            </w:r>
          </w:p>
          <w:p w14:paraId="76582714">
            <w:pPr>
              <w:widowControl/>
              <w:adjustRightInd w:val="0"/>
              <w:snapToGrid w:val="0"/>
              <w:ind w:firstLine="420" w:firstLineChars="200"/>
              <w:rPr>
                <w:rFonts w:hint="eastAsia" w:ascii="楷体" w:hAnsi="楷体" w:eastAsia="楷体" w:cs="楷体"/>
                <w:color w:val="auto"/>
                <w:kern w:val="0"/>
                <w:sz w:val="21"/>
                <w:szCs w:val="21"/>
                <w:lang w:eastAsia="zh-CN"/>
              </w:rPr>
            </w:pPr>
          </w:p>
        </w:tc>
        <w:tc>
          <w:tcPr>
            <w:tcW w:w="0" w:type="auto"/>
            <w:noWrap w:val="0"/>
            <w:vAlign w:val="top"/>
          </w:tcPr>
          <w:p w14:paraId="3683878B">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lang w:val="en-US" w:eastAsia="zh-CN"/>
              </w:rPr>
              <w:t>有</w:t>
            </w:r>
            <w:r>
              <w:rPr>
                <w:rFonts w:hint="eastAsia" w:ascii="楷体" w:hAnsi="楷体" w:eastAsia="楷体" w:cs="楷体"/>
                <w:color w:val="auto"/>
                <w:kern w:val="0"/>
                <w:sz w:val="21"/>
                <w:szCs w:val="21"/>
              </w:rPr>
              <w:t>一定的</w:t>
            </w:r>
            <w:r>
              <w:rPr>
                <w:rFonts w:hint="eastAsia" w:ascii="楷体" w:hAnsi="楷体" w:eastAsia="楷体" w:cs="楷体"/>
                <w:color w:val="auto"/>
                <w:kern w:val="0"/>
                <w:sz w:val="21"/>
                <w:szCs w:val="21"/>
                <w:lang w:val="en-US" w:eastAsia="zh-CN"/>
              </w:rPr>
              <w:t>理解合唱合作意识和精神培养具体作用，培养团队合作精神。有</w:t>
            </w:r>
            <w:r>
              <w:rPr>
                <w:rFonts w:hint="eastAsia" w:ascii="楷体" w:hAnsi="楷体" w:eastAsia="楷体" w:cs="楷体"/>
                <w:color w:val="auto"/>
                <w:kern w:val="0"/>
                <w:sz w:val="21"/>
                <w:szCs w:val="21"/>
              </w:rPr>
              <w:t>一定的</w:t>
            </w:r>
            <w:r>
              <w:rPr>
                <w:rFonts w:hint="eastAsia" w:ascii="楷体" w:hAnsi="楷体" w:eastAsia="楷体" w:cs="楷体"/>
                <w:color w:val="auto"/>
                <w:kern w:val="0"/>
                <w:sz w:val="21"/>
                <w:szCs w:val="21"/>
                <w:lang w:val="en-US" w:eastAsia="zh-CN"/>
              </w:rPr>
              <w:t>理解指挥不仅是合唱团的组织者、</w:t>
            </w:r>
            <w:r>
              <w:rPr>
                <w:rFonts w:hint="eastAsia" w:ascii="楷体" w:hAnsi="楷体" w:eastAsia="楷体" w:cs="楷体"/>
                <w:color w:val="auto"/>
                <w:kern w:val="0"/>
                <w:sz w:val="21"/>
                <w:szCs w:val="21"/>
              </w:rPr>
              <w:t>领导者，而且是艺术的指导者</w:t>
            </w:r>
            <w:r>
              <w:rPr>
                <w:rFonts w:hint="eastAsia" w:ascii="楷体" w:hAnsi="楷体" w:eastAsia="楷体" w:cs="楷体"/>
                <w:color w:val="auto"/>
                <w:kern w:val="0"/>
                <w:sz w:val="21"/>
                <w:szCs w:val="21"/>
                <w:lang w:eastAsia="zh-CN"/>
              </w:rPr>
              <w:t>。</w:t>
            </w:r>
          </w:p>
          <w:p w14:paraId="1248FDA5">
            <w:pPr>
              <w:widowControl/>
              <w:adjustRightInd w:val="0"/>
              <w:snapToGrid w:val="0"/>
              <w:ind w:firstLine="420" w:firstLineChars="200"/>
              <w:rPr>
                <w:rFonts w:hint="eastAsia" w:ascii="楷体" w:hAnsi="楷体" w:eastAsia="楷体" w:cs="楷体"/>
                <w:color w:val="auto"/>
                <w:kern w:val="0"/>
                <w:sz w:val="21"/>
                <w:szCs w:val="21"/>
                <w:lang w:eastAsia="zh-CN"/>
              </w:rPr>
            </w:pPr>
          </w:p>
        </w:tc>
        <w:tc>
          <w:tcPr>
            <w:tcW w:w="0" w:type="auto"/>
            <w:noWrap w:val="0"/>
            <w:vAlign w:val="top"/>
          </w:tcPr>
          <w:p w14:paraId="17F84589">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rPr>
              <w:t>有基本的</w:t>
            </w:r>
            <w:r>
              <w:rPr>
                <w:rFonts w:hint="eastAsia" w:ascii="楷体" w:hAnsi="楷体" w:eastAsia="楷体" w:cs="楷体"/>
                <w:color w:val="auto"/>
                <w:kern w:val="0"/>
                <w:sz w:val="21"/>
                <w:szCs w:val="21"/>
                <w:lang w:val="en-US" w:eastAsia="zh-CN"/>
              </w:rPr>
              <w:t>理解合唱合作意识和精神培养具体作用，培养团队合作精神。</w:t>
            </w:r>
            <w:r>
              <w:rPr>
                <w:rFonts w:hint="eastAsia" w:ascii="楷体" w:hAnsi="楷体" w:eastAsia="楷体" w:cs="楷体"/>
                <w:color w:val="auto"/>
                <w:kern w:val="0"/>
                <w:sz w:val="21"/>
                <w:szCs w:val="21"/>
              </w:rPr>
              <w:t>有基本的</w:t>
            </w:r>
            <w:r>
              <w:rPr>
                <w:rFonts w:hint="eastAsia" w:ascii="楷体" w:hAnsi="楷体" w:eastAsia="楷体" w:cs="楷体"/>
                <w:color w:val="auto"/>
                <w:kern w:val="0"/>
                <w:sz w:val="21"/>
                <w:szCs w:val="21"/>
                <w:lang w:val="en-US" w:eastAsia="zh-CN"/>
              </w:rPr>
              <w:t>理解指挥不仅是合唱团的组织者、</w:t>
            </w:r>
            <w:r>
              <w:rPr>
                <w:rFonts w:hint="eastAsia" w:ascii="楷体" w:hAnsi="楷体" w:eastAsia="楷体" w:cs="楷体"/>
                <w:color w:val="auto"/>
                <w:kern w:val="0"/>
                <w:sz w:val="21"/>
                <w:szCs w:val="21"/>
              </w:rPr>
              <w:t>领导者，而且是艺术的指导者</w:t>
            </w:r>
            <w:r>
              <w:rPr>
                <w:rFonts w:hint="eastAsia" w:ascii="楷体" w:hAnsi="楷体" w:eastAsia="楷体" w:cs="楷体"/>
                <w:color w:val="auto"/>
                <w:kern w:val="0"/>
                <w:sz w:val="21"/>
                <w:szCs w:val="21"/>
                <w:lang w:eastAsia="zh-CN"/>
              </w:rPr>
              <w:t>。</w:t>
            </w:r>
          </w:p>
          <w:p w14:paraId="7C40C10D">
            <w:pPr>
              <w:widowControl/>
              <w:adjustRightInd w:val="0"/>
              <w:snapToGrid w:val="0"/>
              <w:ind w:firstLine="420" w:firstLineChars="200"/>
              <w:rPr>
                <w:rFonts w:hint="eastAsia" w:ascii="楷体" w:hAnsi="楷体" w:eastAsia="楷体" w:cs="楷体"/>
                <w:color w:val="auto"/>
                <w:kern w:val="0"/>
                <w:sz w:val="21"/>
                <w:szCs w:val="21"/>
                <w:lang w:eastAsia="zh-CN"/>
              </w:rPr>
            </w:pPr>
          </w:p>
        </w:tc>
        <w:tc>
          <w:tcPr>
            <w:tcW w:w="0" w:type="auto"/>
            <w:noWrap w:val="0"/>
            <w:vAlign w:val="top"/>
          </w:tcPr>
          <w:p w14:paraId="52915DE1">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lang w:val="en-US" w:eastAsia="zh-CN"/>
              </w:rPr>
              <w:t>不够理解合唱合作意识和精神培养具体作用，培养团队合作精神。不够理解指挥不仅是合唱团的组织者、</w:t>
            </w:r>
            <w:r>
              <w:rPr>
                <w:rFonts w:hint="eastAsia" w:ascii="楷体" w:hAnsi="楷体" w:eastAsia="楷体" w:cs="楷体"/>
                <w:color w:val="auto"/>
                <w:kern w:val="0"/>
                <w:sz w:val="21"/>
                <w:szCs w:val="21"/>
              </w:rPr>
              <w:t>领导者，而且是艺术的指导者</w:t>
            </w:r>
            <w:r>
              <w:rPr>
                <w:rFonts w:hint="eastAsia" w:ascii="楷体" w:hAnsi="楷体" w:eastAsia="楷体" w:cs="楷体"/>
                <w:color w:val="auto"/>
                <w:kern w:val="0"/>
                <w:sz w:val="21"/>
                <w:szCs w:val="21"/>
                <w:lang w:eastAsia="zh-CN"/>
              </w:rPr>
              <w:t>。</w:t>
            </w:r>
          </w:p>
          <w:p w14:paraId="2E6343E6">
            <w:pPr>
              <w:widowControl/>
              <w:adjustRightInd w:val="0"/>
              <w:snapToGrid w:val="0"/>
              <w:ind w:firstLine="420" w:firstLineChars="200"/>
              <w:rPr>
                <w:rFonts w:hint="eastAsia" w:ascii="楷体" w:hAnsi="楷体" w:eastAsia="楷体" w:cs="楷体"/>
                <w:color w:val="auto"/>
                <w:kern w:val="0"/>
                <w:sz w:val="21"/>
                <w:szCs w:val="21"/>
                <w:lang w:eastAsia="zh-CN"/>
              </w:rPr>
            </w:pPr>
          </w:p>
        </w:tc>
      </w:tr>
    </w:tbl>
    <w:p w14:paraId="682B2A84">
      <w:pPr>
        <w:rPr>
          <w:sz w:val="2"/>
          <w:szCs w:val="2"/>
        </w:rPr>
        <w:sectPr>
          <w:headerReference r:id="rId55" w:type="default"/>
          <w:footerReference r:id="rId56" w:type="default"/>
          <w:pgSz w:w="11906" w:h="16838"/>
          <w:pgMar w:top="1440" w:right="1800" w:bottom="1440" w:left="1800" w:header="851" w:footer="992" w:gutter="0"/>
          <w:cols w:space="425" w:num="1"/>
          <w:docGrid w:type="lines" w:linePitch="312" w:charSpace="0"/>
        </w:sectPr>
      </w:pPr>
    </w:p>
    <w:p w14:paraId="36CEC135">
      <w:pPr>
        <w:spacing w:line="560" w:lineRule="exact"/>
        <w:jc w:val="center"/>
        <w:rPr>
          <w:rFonts w:hint="eastAsia" w:ascii="宋体" w:hAnsi="宋体" w:eastAsia="宋体" w:cs="宋体"/>
          <w:sz w:val="44"/>
          <w:szCs w:val="44"/>
        </w:rPr>
      </w:pPr>
      <w:r>
        <w:rPr>
          <w:rFonts w:hint="eastAsia" w:ascii="宋体" w:hAnsi="宋体" w:eastAsia="宋体" w:cs="宋体"/>
          <w:sz w:val="44"/>
          <w:szCs w:val="44"/>
        </w:rPr>
        <w:t>三明学院音乐学（音乐教育）专业</w:t>
      </w:r>
    </w:p>
    <w:p w14:paraId="1C9679FD">
      <w:pPr>
        <w:spacing w:line="560" w:lineRule="exact"/>
        <w:jc w:val="center"/>
        <w:rPr>
          <w:rFonts w:hint="eastAsia" w:eastAsia="方正小标宋简体"/>
          <w:sz w:val="24"/>
          <w:szCs w:val="24"/>
        </w:rPr>
      </w:pPr>
      <w:r>
        <w:rPr>
          <w:rFonts w:hint="eastAsia" w:ascii="宋体" w:hAnsi="宋体" w:eastAsia="宋体" w:cs="宋体"/>
          <w:sz w:val="44"/>
          <w:szCs w:val="44"/>
        </w:rPr>
        <w:t>《西方音乐史与欣赏》课程教学大纲</w:t>
      </w:r>
    </w:p>
    <w:tbl>
      <w:tblPr>
        <w:tblStyle w:val="22"/>
        <w:tblW w:w="9148"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28" w:type="dxa"/>
        </w:tblCellMar>
      </w:tblPr>
      <w:tblGrid>
        <w:gridCol w:w="1376"/>
        <w:gridCol w:w="1032"/>
        <w:gridCol w:w="275"/>
        <w:gridCol w:w="247"/>
        <w:gridCol w:w="1554"/>
        <w:gridCol w:w="761"/>
        <w:gridCol w:w="113"/>
        <w:gridCol w:w="195"/>
        <w:gridCol w:w="485"/>
        <w:gridCol w:w="517"/>
        <w:gridCol w:w="188"/>
        <w:gridCol w:w="328"/>
        <w:gridCol w:w="233"/>
        <w:gridCol w:w="253"/>
        <w:gridCol w:w="35"/>
        <w:gridCol w:w="704"/>
        <w:gridCol w:w="263"/>
        <w:gridCol w:w="589"/>
      </w:tblGrid>
      <w:tr w14:paraId="565442C3">
        <w:trPr>
          <w:trHeight w:val="0" w:hRule="atLeast"/>
        </w:trPr>
        <w:tc>
          <w:tcPr>
            <w:tcW w:w="1376" w:type="dxa"/>
            <w:vAlign w:val="center"/>
          </w:tcPr>
          <w:p w14:paraId="78E73A51">
            <w:pPr>
              <w:numPr>
                <w:ilvl w:val="0"/>
                <w:numId w:val="25"/>
              </w:numPr>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课程名称</w:t>
            </w:r>
          </w:p>
        </w:tc>
        <w:tc>
          <w:tcPr>
            <w:tcW w:w="3982" w:type="dxa"/>
            <w:gridSpan w:val="6"/>
            <w:vAlign w:val="center"/>
          </w:tcPr>
          <w:p w14:paraId="62F782FB">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《西方音乐史与欣赏》</w:t>
            </w:r>
          </w:p>
        </w:tc>
        <w:tc>
          <w:tcPr>
            <w:tcW w:w="1946" w:type="dxa"/>
            <w:gridSpan w:val="6"/>
            <w:vAlign w:val="center"/>
          </w:tcPr>
          <w:p w14:paraId="1C003C5A">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课程代码</w:t>
            </w:r>
          </w:p>
        </w:tc>
        <w:tc>
          <w:tcPr>
            <w:tcW w:w="1844" w:type="dxa"/>
            <w:gridSpan w:val="5"/>
            <w:vAlign w:val="center"/>
          </w:tcPr>
          <w:p w14:paraId="06965398">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1211304607</w:t>
            </w:r>
          </w:p>
          <w:p w14:paraId="4EB88E02">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1211304608</w:t>
            </w:r>
          </w:p>
        </w:tc>
      </w:tr>
      <w:tr w14:paraId="61888A0C">
        <w:trPr>
          <w:trHeight w:val="0" w:hRule="atLeast"/>
        </w:trPr>
        <w:tc>
          <w:tcPr>
            <w:tcW w:w="1376" w:type="dxa"/>
            <w:vAlign w:val="center"/>
          </w:tcPr>
          <w:p w14:paraId="2697C284">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课程类型</w:t>
            </w:r>
          </w:p>
        </w:tc>
        <w:tc>
          <w:tcPr>
            <w:tcW w:w="7772" w:type="dxa"/>
            <w:gridSpan w:val="17"/>
            <w:vAlign w:val="center"/>
          </w:tcPr>
          <w:p w14:paraId="2F8333B3">
            <w:pPr>
              <w:spacing w:line="240" w:lineRule="atLeast"/>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通识必修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通识选修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专业必修 </w:t>
            </w:r>
          </w:p>
          <w:p w14:paraId="1BF3C73C">
            <w:pPr>
              <w:spacing w:line="240" w:lineRule="atLeast"/>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专业选修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教师教育必修 </w:t>
            </w:r>
            <w:r>
              <w:rPr>
                <w:rFonts w:hint="eastAsia" w:ascii="仿宋" w:hAnsi="仿宋" w:eastAsia="仿宋" w:cs="仿宋"/>
                <w:sz w:val="24"/>
                <w:szCs w:val="24"/>
              </w:rPr>
              <w:sym w:font="Wingdings" w:char="00A8"/>
            </w:r>
            <w:r>
              <w:rPr>
                <w:rFonts w:hint="eastAsia" w:ascii="仿宋" w:hAnsi="仿宋" w:eastAsia="仿宋" w:cs="仿宋"/>
                <w:sz w:val="24"/>
                <w:szCs w:val="24"/>
              </w:rPr>
              <w:t>教师教育选修</w:t>
            </w:r>
          </w:p>
        </w:tc>
      </w:tr>
      <w:tr w14:paraId="71DDAEAD">
        <w:trPr>
          <w:trHeight w:val="0" w:hRule="atLeast"/>
        </w:trPr>
        <w:tc>
          <w:tcPr>
            <w:tcW w:w="1376" w:type="dxa"/>
            <w:vAlign w:val="center"/>
          </w:tcPr>
          <w:p w14:paraId="6F125FCE">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开课学期</w:t>
            </w:r>
          </w:p>
        </w:tc>
        <w:tc>
          <w:tcPr>
            <w:tcW w:w="1554" w:type="dxa"/>
            <w:gridSpan w:val="3"/>
            <w:vAlign w:val="center"/>
          </w:tcPr>
          <w:p w14:paraId="355C213F">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第3、4学期</w:t>
            </w:r>
          </w:p>
        </w:tc>
        <w:tc>
          <w:tcPr>
            <w:tcW w:w="1554" w:type="dxa"/>
            <w:vAlign w:val="center"/>
          </w:tcPr>
          <w:p w14:paraId="09A6AA8B">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学分</w:t>
            </w:r>
          </w:p>
        </w:tc>
        <w:tc>
          <w:tcPr>
            <w:tcW w:w="1554" w:type="dxa"/>
            <w:gridSpan w:val="4"/>
            <w:vAlign w:val="center"/>
          </w:tcPr>
          <w:p w14:paraId="34DDE6E7">
            <w:pPr>
              <w:spacing w:line="240" w:lineRule="atLeast"/>
              <w:jc w:val="center"/>
              <w:rPr>
                <w:rFonts w:hint="eastAsia" w:ascii="仿宋" w:hAnsi="仿宋" w:eastAsia="仿宋" w:cs="仿宋"/>
                <w:sz w:val="24"/>
                <w:szCs w:val="24"/>
              </w:rPr>
            </w:pPr>
            <w:r>
              <w:rPr>
                <w:rFonts w:ascii="仿宋" w:hAnsi="仿宋" w:eastAsia="仿宋" w:cs="仿宋"/>
                <w:sz w:val="24"/>
                <w:szCs w:val="24"/>
              </w:rPr>
              <w:t>4</w:t>
            </w:r>
          </w:p>
        </w:tc>
        <w:tc>
          <w:tcPr>
            <w:tcW w:w="1554" w:type="dxa"/>
            <w:gridSpan w:val="6"/>
            <w:vAlign w:val="center"/>
          </w:tcPr>
          <w:p w14:paraId="19F0B29C">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课程负责人</w:t>
            </w:r>
          </w:p>
        </w:tc>
        <w:tc>
          <w:tcPr>
            <w:tcW w:w="1556" w:type="dxa"/>
            <w:gridSpan w:val="3"/>
            <w:vAlign w:val="center"/>
          </w:tcPr>
          <w:p w14:paraId="179E7A0E">
            <w:pPr>
              <w:spacing w:line="240" w:lineRule="atLeast"/>
              <w:jc w:val="center"/>
              <w:rPr>
                <w:rFonts w:ascii="仿宋" w:hAnsi="仿宋" w:eastAsia="仿宋" w:cs="仿宋"/>
                <w:sz w:val="24"/>
                <w:szCs w:val="24"/>
                <w:lang w:val="en-US" w:eastAsia="zh-CN"/>
              </w:rPr>
            </w:pPr>
            <w:r>
              <w:rPr>
                <w:rFonts w:hint="eastAsia" w:ascii="仿宋" w:hAnsi="仿宋" w:eastAsia="仿宋" w:cs="仿宋"/>
                <w:sz w:val="24"/>
                <w:szCs w:val="24"/>
              </w:rPr>
              <w:t>伍荣生</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司季发</w:t>
            </w:r>
          </w:p>
        </w:tc>
      </w:tr>
      <w:tr w14:paraId="662385FF">
        <w:trPr>
          <w:trHeight w:val="0" w:hRule="atLeast"/>
        </w:trPr>
        <w:tc>
          <w:tcPr>
            <w:tcW w:w="1376" w:type="dxa"/>
            <w:vAlign w:val="center"/>
          </w:tcPr>
          <w:p w14:paraId="4D2F8509">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总学时</w:t>
            </w:r>
          </w:p>
        </w:tc>
        <w:tc>
          <w:tcPr>
            <w:tcW w:w="1554" w:type="dxa"/>
            <w:gridSpan w:val="3"/>
            <w:vAlign w:val="center"/>
          </w:tcPr>
          <w:p w14:paraId="464F6913">
            <w:pPr>
              <w:spacing w:line="240" w:lineRule="atLeast"/>
              <w:jc w:val="center"/>
              <w:rPr>
                <w:rFonts w:hint="eastAsia" w:ascii="仿宋" w:hAnsi="仿宋" w:eastAsia="仿宋" w:cs="仿宋"/>
                <w:sz w:val="24"/>
                <w:szCs w:val="24"/>
              </w:rPr>
            </w:pPr>
            <w:r>
              <w:rPr>
                <w:rFonts w:ascii="仿宋" w:hAnsi="仿宋" w:eastAsia="仿宋" w:cs="仿宋"/>
                <w:sz w:val="24"/>
                <w:szCs w:val="24"/>
              </w:rPr>
              <w:t>64</w:t>
            </w:r>
          </w:p>
        </w:tc>
        <w:tc>
          <w:tcPr>
            <w:tcW w:w="1554" w:type="dxa"/>
            <w:vAlign w:val="center"/>
          </w:tcPr>
          <w:p w14:paraId="7B00F2F6">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理论学时</w:t>
            </w:r>
          </w:p>
        </w:tc>
        <w:tc>
          <w:tcPr>
            <w:tcW w:w="1554" w:type="dxa"/>
            <w:gridSpan w:val="4"/>
            <w:vAlign w:val="center"/>
          </w:tcPr>
          <w:p w14:paraId="676156F9">
            <w:pPr>
              <w:spacing w:line="240" w:lineRule="atLeast"/>
              <w:jc w:val="center"/>
              <w:rPr>
                <w:rFonts w:hint="eastAsia" w:ascii="仿宋" w:hAnsi="仿宋" w:eastAsia="仿宋" w:cs="仿宋"/>
                <w:sz w:val="24"/>
                <w:szCs w:val="24"/>
              </w:rPr>
            </w:pPr>
            <w:r>
              <w:rPr>
                <w:rFonts w:ascii="仿宋" w:hAnsi="仿宋" w:eastAsia="仿宋" w:cs="仿宋"/>
                <w:sz w:val="24"/>
                <w:szCs w:val="24"/>
              </w:rPr>
              <w:t>64</w:t>
            </w:r>
          </w:p>
        </w:tc>
        <w:tc>
          <w:tcPr>
            <w:tcW w:w="1554" w:type="dxa"/>
            <w:gridSpan w:val="6"/>
            <w:tcBorders>
              <w:right w:val="single" w:color="000000" w:sz="4" w:space="0"/>
            </w:tcBorders>
            <w:vAlign w:val="center"/>
          </w:tcPr>
          <w:p w14:paraId="1F97F4B2">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实践学时</w:t>
            </w:r>
          </w:p>
        </w:tc>
        <w:tc>
          <w:tcPr>
            <w:tcW w:w="1556" w:type="dxa"/>
            <w:gridSpan w:val="3"/>
            <w:tcBorders>
              <w:left w:val="single" w:color="000000" w:sz="4" w:space="0"/>
            </w:tcBorders>
            <w:vAlign w:val="center"/>
          </w:tcPr>
          <w:p w14:paraId="043933AA">
            <w:pPr>
              <w:spacing w:line="240" w:lineRule="atLeast"/>
              <w:jc w:val="center"/>
              <w:rPr>
                <w:rFonts w:hint="eastAsia" w:ascii="仿宋" w:hAnsi="仿宋" w:eastAsia="仿宋" w:cs="仿宋"/>
                <w:sz w:val="24"/>
                <w:szCs w:val="24"/>
              </w:rPr>
            </w:pPr>
            <w:r>
              <w:rPr>
                <w:rFonts w:ascii="仿宋" w:hAnsi="仿宋" w:eastAsia="仿宋" w:cs="仿宋"/>
                <w:sz w:val="24"/>
                <w:szCs w:val="24"/>
              </w:rPr>
              <w:t>0</w:t>
            </w:r>
          </w:p>
        </w:tc>
      </w:tr>
      <w:tr w14:paraId="3284BFF6">
        <w:trPr>
          <w:trHeight w:val="0" w:hRule="atLeast"/>
        </w:trPr>
        <w:tc>
          <w:tcPr>
            <w:tcW w:w="1376" w:type="dxa"/>
            <w:vAlign w:val="center"/>
          </w:tcPr>
          <w:p w14:paraId="12FFB4FA">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先修课程与后续课程</w:t>
            </w:r>
          </w:p>
        </w:tc>
        <w:tc>
          <w:tcPr>
            <w:tcW w:w="7772" w:type="dxa"/>
            <w:gridSpan w:val="17"/>
            <w:vAlign w:val="center"/>
          </w:tcPr>
          <w:p w14:paraId="300C6E12">
            <w:pPr>
              <w:tabs>
                <w:tab w:val="left" w:pos="720"/>
              </w:tabs>
              <w:jc w:val="left"/>
              <w:rPr>
                <w:rFonts w:hint="eastAsia" w:ascii="仿宋" w:hAnsi="仿宋" w:eastAsia="仿宋" w:cs="仿宋"/>
                <w:sz w:val="24"/>
                <w:szCs w:val="24"/>
              </w:rPr>
            </w:pPr>
            <w:r>
              <w:rPr>
                <w:rFonts w:hint="eastAsia" w:ascii="仿宋" w:hAnsi="仿宋" w:eastAsia="仿宋" w:cs="仿宋"/>
                <w:sz w:val="24"/>
                <w:szCs w:val="24"/>
              </w:rPr>
              <w:t>先修课程：《中国民族民间音乐》《中国音乐史》《外国民族音乐》《</w:t>
            </w:r>
            <w:r>
              <w:rPr>
                <w:rFonts w:hint="eastAsia" w:ascii="仿宋" w:hAnsi="仿宋" w:eastAsia="仿宋" w:cs="仿宋"/>
                <w:sz w:val="24"/>
                <w:szCs w:val="24"/>
                <w:lang w:val="en-US" w:eastAsia="zh-CN"/>
              </w:rPr>
              <w:t>曲式与作品分析</w:t>
            </w:r>
            <w:r>
              <w:rPr>
                <w:rFonts w:hint="eastAsia" w:ascii="仿宋" w:hAnsi="仿宋" w:eastAsia="仿宋" w:cs="仿宋"/>
                <w:sz w:val="24"/>
                <w:szCs w:val="24"/>
              </w:rPr>
              <w:t>》</w:t>
            </w:r>
          </w:p>
          <w:p w14:paraId="30F72FB3">
            <w:pPr>
              <w:tabs>
                <w:tab w:val="left" w:pos="720"/>
              </w:tabs>
              <w:jc w:val="left"/>
              <w:rPr>
                <w:rFonts w:hint="eastAsia" w:ascii="仿宋" w:hAnsi="仿宋" w:eastAsia="仿宋" w:cs="仿宋"/>
                <w:sz w:val="24"/>
                <w:szCs w:val="24"/>
              </w:rPr>
            </w:pPr>
            <w:r>
              <w:rPr>
                <w:rFonts w:hint="eastAsia" w:ascii="仿宋" w:hAnsi="仿宋" w:eastAsia="仿宋" w:cs="仿宋"/>
                <w:sz w:val="24"/>
                <w:szCs w:val="24"/>
              </w:rPr>
              <w:t>后续课程：《音乐分析》</w:t>
            </w:r>
          </w:p>
        </w:tc>
      </w:tr>
      <w:tr w14:paraId="4D55CA9E">
        <w:trPr>
          <w:trHeight w:val="0" w:hRule="atLeast"/>
        </w:trPr>
        <w:tc>
          <w:tcPr>
            <w:tcW w:w="1376" w:type="dxa"/>
            <w:vAlign w:val="center"/>
          </w:tcPr>
          <w:p w14:paraId="037EF028">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适用专业</w:t>
            </w:r>
          </w:p>
        </w:tc>
        <w:tc>
          <w:tcPr>
            <w:tcW w:w="7772" w:type="dxa"/>
            <w:gridSpan w:val="17"/>
            <w:vAlign w:val="center"/>
          </w:tcPr>
          <w:p w14:paraId="57C91F62">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音乐学专业</w:t>
            </w:r>
          </w:p>
        </w:tc>
      </w:tr>
      <w:tr w14:paraId="6801CC7B">
        <w:trPr>
          <w:trHeight w:val="0" w:hRule="atLeast"/>
        </w:trPr>
        <w:tc>
          <w:tcPr>
            <w:tcW w:w="1376" w:type="dxa"/>
            <w:tcBorders>
              <w:bottom w:val="single" w:color="auto" w:sz="4" w:space="0"/>
            </w:tcBorders>
            <w:vAlign w:val="center"/>
          </w:tcPr>
          <w:p w14:paraId="5095FED8">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A</w:t>
            </w:r>
          </w:p>
          <w:p w14:paraId="67FD68D0">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参考教材</w:t>
            </w:r>
          </w:p>
        </w:tc>
        <w:tc>
          <w:tcPr>
            <w:tcW w:w="7772" w:type="dxa"/>
            <w:gridSpan w:val="17"/>
            <w:tcBorders>
              <w:bottom w:val="single" w:color="auto" w:sz="4" w:space="0"/>
            </w:tcBorders>
            <w:vAlign w:val="center"/>
          </w:tcPr>
          <w:p w14:paraId="535C8AE4">
            <w:pPr>
              <w:tabs>
                <w:tab w:val="left" w:pos="720"/>
              </w:tabs>
              <w:rPr>
                <w:rFonts w:ascii="仿宋" w:hAnsi="仿宋" w:eastAsia="仿宋" w:cs="仿宋"/>
                <w:kern w:val="0"/>
                <w:sz w:val="24"/>
                <w:szCs w:val="24"/>
                <w:lang w:val="en-US" w:eastAsia="zh-CN"/>
              </w:rPr>
            </w:pPr>
            <w:r>
              <w:rPr>
                <w:rFonts w:hint="eastAsia" w:ascii="仿宋" w:hAnsi="仿宋" w:eastAsia="仿宋" w:cs="仿宋"/>
                <w:kern w:val="0"/>
                <w:sz w:val="24"/>
                <w:szCs w:val="24"/>
              </w:rPr>
              <w:t>黄晓和</w:t>
            </w:r>
            <w:r>
              <w:rPr>
                <w:rFonts w:hint="eastAsia" w:ascii="仿宋" w:hAnsi="仿宋" w:eastAsia="仿宋" w:cs="仿宋"/>
                <w:kern w:val="0"/>
                <w:sz w:val="24"/>
                <w:szCs w:val="24"/>
                <w:lang w:eastAsia="zh-CN"/>
              </w:rPr>
              <w:t>，</w:t>
            </w:r>
            <w:r>
              <w:rPr>
                <w:rFonts w:hint="eastAsia" w:ascii="仿宋" w:hAnsi="仿宋" w:eastAsia="仿宋" w:cs="仿宋"/>
                <w:kern w:val="0"/>
                <w:sz w:val="24"/>
                <w:szCs w:val="24"/>
              </w:rPr>
              <w:t>西方音乐史与名作赏析，人民音乐</w:t>
            </w:r>
            <w:r>
              <w:rPr>
                <w:rFonts w:hint="eastAsia" w:ascii="仿宋" w:hAnsi="仿宋" w:eastAsia="仿宋" w:cs="仿宋"/>
                <w:kern w:val="0"/>
                <w:sz w:val="24"/>
                <w:szCs w:val="24"/>
                <w:lang w:eastAsia="en-US"/>
              </w:rPr>
              <w:t>出版社，2</w:t>
            </w:r>
            <w:r>
              <w:rPr>
                <w:rFonts w:ascii="仿宋" w:hAnsi="仿宋" w:eastAsia="仿宋" w:cs="仿宋"/>
                <w:kern w:val="0"/>
                <w:sz w:val="24"/>
                <w:szCs w:val="24"/>
                <w:lang w:eastAsia="en-US"/>
              </w:rPr>
              <w:t>013</w:t>
            </w:r>
          </w:p>
        </w:tc>
      </w:tr>
      <w:tr w14:paraId="074FDD76">
        <w:trPr>
          <w:trHeight w:val="0" w:hRule="atLeast"/>
        </w:trPr>
        <w:tc>
          <w:tcPr>
            <w:tcW w:w="1376" w:type="dxa"/>
            <w:tcBorders>
              <w:bottom w:val="single" w:color="auto" w:sz="4" w:space="0"/>
            </w:tcBorders>
            <w:vAlign w:val="center"/>
          </w:tcPr>
          <w:p w14:paraId="4CB90C26">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B</w:t>
            </w:r>
          </w:p>
          <w:p w14:paraId="1F390B95">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主要参考书籍</w:t>
            </w:r>
          </w:p>
        </w:tc>
        <w:tc>
          <w:tcPr>
            <w:tcW w:w="7772" w:type="dxa"/>
            <w:gridSpan w:val="17"/>
            <w:tcBorders>
              <w:bottom w:val="single" w:color="auto" w:sz="4" w:space="0"/>
            </w:tcBorders>
            <w:vAlign w:val="center"/>
          </w:tcPr>
          <w:p w14:paraId="05F94061">
            <w:pPr>
              <w:tabs>
                <w:tab w:val="left" w:pos="720"/>
              </w:tabs>
              <w:rPr>
                <w:rFonts w:hint="eastAsia" w:ascii="仿宋" w:hAnsi="仿宋" w:eastAsia="仿宋" w:cs="仿宋"/>
                <w:kern w:val="0"/>
                <w:sz w:val="24"/>
                <w:szCs w:val="24"/>
              </w:rPr>
            </w:pPr>
            <w:r>
              <w:rPr>
                <w:rFonts w:hint="eastAsia" w:ascii="仿宋" w:hAnsi="仿宋" w:eastAsia="仿宋" w:cs="仿宋"/>
                <w:kern w:val="0"/>
                <w:sz w:val="24"/>
                <w:szCs w:val="24"/>
              </w:rPr>
              <w:t>[1]于润洋，西方音乐通史，上海音乐出版社，2003年，第7版</w:t>
            </w:r>
          </w:p>
          <w:p w14:paraId="4CFBB070">
            <w:pPr>
              <w:tabs>
                <w:tab w:val="left" w:pos="720"/>
              </w:tabs>
              <w:rPr>
                <w:rFonts w:hint="eastAsia" w:ascii="仿宋" w:hAnsi="仿宋" w:eastAsia="仿宋" w:cs="仿宋"/>
                <w:kern w:val="0"/>
                <w:sz w:val="24"/>
                <w:szCs w:val="24"/>
              </w:rPr>
            </w:pPr>
            <w:r>
              <w:rPr>
                <w:rFonts w:hint="eastAsia" w:ascii="仿宋" w:hAnsi="仿宋" w:eastAsia="仿宋" w:cs="仿宋"/>
                <w:kern w:val="0"/>
                <w:sz w:val="24"/>
                <w:szCs w:val="24"/>
              </w:rPr>
              <w:t>[2]</w:t>
            </w:r>
            <w:r>
              <w:rPr>
                <w:rFonts w:hint="eastAsia" w:ascii="仿宋" w:hAnsi="仿宋" w:eastAsia="仿宋" w:cs="仿宋"/>
                <w:kern w:val="0"/>
                <w:sz w:val="24"/>
                <w:szCs w:val="24"/>
                <w:lang w:val="en-US" w:eastAsia="zh-CN"/>
              </w:rPr>
              <w:t>余志刚，西方音乐简史，高等教育出版社，2022年，第2版</w:t>
            </w:r>
          </w:p>
          <w:p w14:paraId="12002087">
            <w:pPr>
              <w:tabs>
                <w:tab w:val="left" w:pos="720"/>
              </w:tabs>
              <w:rPr>
                <w:rFonts w:hint="eastAsia" w:ascii="仿宋" w:hAnsi="仿宋" w:eastAsia="仿宋" w:cs="仿宋"/>
                <w:kern w:val="0"/>
                <w:sz w:val="24"/>
                <w:szCs w:val="24"/>
              </w:rPr>
            </w:pPr>
            <w:r>
              <w:rPr>
                <w:rFonts w:hint="eastAsia" w:ascii="仿宋" w:hAnsi="仿宋" w:eastAsia="仿宋" w:cs="仿宋"/>
                <w:kern w:val="0"/>
                <w:sz w:val="24"/>
                <w:szCs w:val="24"/>
              </w:rPr>
              <w:t>[3]王晡主编，《西方音乐史》上下卷 ，上海音乐出版社2020</w:t>
            </w:r>
          </w:p>
          <w:p w14:paraId="28FDC845">
            <w:pPr>
              <w:tabs>
                <w:tab w:val="left" w:pos="720"/>
              </w:tabs>
              <w:rPr>
                <w:rFonts w:ascii="仿宋" w:hAnsi="仿宋" w:eastAsia="仿宋" w:cs="仿宋"/>
                <w:kern w:val="0"/>
                <w:sz w:val="24"/>
                <w:szCs w:val="24"/>
              </w:rPr>
            </w:pPr>
            <w:r>
              <w:rPr>
                <w:rFonts w:hint="eastAsia" w:ascii="仿宋" w:hAnsi="仿宋" w:eastAsia="仿宋" w:cs="仿宋"/>
                <w:kern w:val="0"/>
                <w:sz w:val="24"/>
                <w:szCs w:val="24"/>
              </w:rPr>
              <w:t>[4]</w:t>
            </w:r>
            <w:r>
              <w:rPr>
                <w:rFonts w:hint="eastAsia" w:ascii="仿宋" w:hAnsi="仿宋" w:eastAsia="仿宋" w:cs="仿宋"/>
                <w:kern w:val="0"/>
                <w:sz w:val="24"/>
                <w:szCs w:val="24"/>
              </w:rPr>
              <w:fldChar w:fldCharType="begin"/>
            </w:r>
            <w:r>
              <w:rPr>
                <w:rFonts w:hint="eastAsia" w:ascii="仿宋" w:hAnsi="仿宋" w:eastAsia="仿宋" w:cs="仿宋"/>
                <w:kern w:val="0"/>
                <w:sz w:val="24"/>
                <w:szCs w:val="24"/>
              </w:rPr>
              <w:instrText xml:space="preserve"> HYPERLINK "http://search.dangdang.com/?key2=%C0%ED%B2%E9%B5%C2%A1%A4%BB%F4%C6%BD&amp;medium=01&amp;category_path=01.00.00.00.00.00" \t "/Users/minorseventh/Documents\\x/_blank" </w:instrText>
            </w:r>
            <w:r>
              <w:rPr>
                <w:rFonts w:hint="eastAsia" w:ascii="仿宋" w:hAnsi="仿宋" w:eastAsia="仿宋" w:cs="仿宋"/>
                <w:kern w:val="0"/>
                <w:sz w:val="24"/>
                <w:szCs w:val="24"/>
              </w:rPr>
              <w:fldChar w:fldCharType="separate"/>
            </w:r>
            <w:r>
              <w:rPr>
                <w:rFonts w:hint="eastAsia" w:ascii="仿宋" w:hAnsi="仿宋" w:eastAsia="仿宋" w:cs="仿宋"/>
                <w:kern w:val="0"/>
                <w:sz w:val="24"/>
                <w:szCs w:val="24"/>
              </w:rPr>
              <w:t>理查德·霍平</w:t>
            </w:r>
            <w:r>
              <w:rPr>
                <w:rFonts w:hint="eastAsia" w:ascii="仿宋" w:hAnsi="仿宋" w:eastAsia="仿宋" w:cs="仿宋"/>
                <w:kern w:val="0"/>
                <w:sz w:val="24"/>
                <w:szCs w:val="24"/>
              </w:rPr>
              <w:fldChar w:fldCharType="end"/>
            </w:r>
            <w:r>
              <w:rPr>
                <w:rFonts w:hint="eastAsia" w:ascii="仿宋" w:hAnsi="仿宋" w:eastAsia="仿宋" w:cs="仿宋"/>
                <w:kern w:val="0"/>
                <w:sz w:val="24"/>
                <w:szCs w:val="24"/>
              </w:rPr>
              <w:t>著，</w:t>
            </w:r>
            <w:r>
              <w:rPr>
                <w:rFonts w:hint="eastAsia" w:ascii="仿宋" w:hAnsi="仿宋" w:eastAsia="仿宋" w:cs="仿宋"/>
                <w:kern w:val="0"/>
                <w:sz w:val="24"/>
                <w:szCs w:val="24"/>
              </w:rPr>
              <w:fldChar w:fldCharType="begin"/>
            </w:r>
            <w:r>
              <w:rPr>
                <w:rFonts w:hint="eastAsia" w:ascii="仿宋" w:hAnsi="仿宋" w:eastAsia="仿宋" w:cs="仿宋"/>
                <w:kern w:val="0"/>
                <w:sz w:val="24"/>
                <w:szCs w:val="24"/>
              </w:rPr>
              <w:instrText xml:space="preserve"> HYPERLINK "http://search.dangdang.com/?key2=%CE%E9%CE%AC%EA%D8&amp;medium=01&amp;category_path=01.00.00.00.00.00" \t "/Users/minorseventh/Documents\\x/_blank" </w:instrText>
            </w:r>
            <w:r>
              <w:rPr>
                <w:rFonts w:hint="eastAsia" w:ascii="仿宋" w:hAnsi="仿宋" w:eastAsia="仿宋" w:cs="仿宋"/>
                <w:kern w:val="0"/>
                <w:sz w:val="24"/>
                <w:szCs w:val="24"/>
              </w:rPr>
              <w:fldChar w:fldCharType="separate"/>
            </w:r>
            <w:r>
              <w:rPr>
                <w:rFonts w:hint="eastAsia" w:ascii="仿宋" w:hAnsi="仿宋" w:eastAsia="仿宋" w:cs="仿宋"/>
                <w:kern w:val="0"/>
                <w:sz w:val="24"/>
                <w:szCs w:val="24"/>
              </w:rPr>
              <w:t>伍维曦</w:t>
            </w:r>
            <w:r>
              <w:rPr>
                <w:rFonts w:hint="eastAsia" w:ascii="仿宋" w:hAnsi="仿宋" w:eastAsia="仿宋" w:cs="仿宋"/>
                <w:kern w:val="0"/>
                <w:sz w:val="24"/>
                <w:szCs w:val="24"/>
              </w:rPr>
              <w:fldChar w:fldCharType="end"/>
            </w:r>
            <w:r>
              <w:rPr>
                <w:rFonts w:hint="eastAsia" w:ascii="仿宋" w:hAnsi="仿宋" w:eastAsia="仿宋" w:cs="仿宋"/>
                <w:kern w:val="0"/>
                <w:sz w:val="24"/>
                <w:szCs w:val="24"/>
              </w:rPr>
              <w:t>译，《中世纪音乐》</w:t>
            </w:r>
            <w:r>
              <w:rPr>
                <w:rFonts w:ascii="仿宋" w:hAnsi="仿宋" w:eastAsia="仿宋" w:cs="仿宋"/>
                <w:kern w:val="0"/>
                <w:sz w:val="24"/>
                <w:szCs w:val="24"/>
              </w:rPr>
              <w:fldChar w:fldCharType="begin"/>
            </w:r>
            <w:r>
              <w:rPr>
                <w:rFonts w:ascii="仿宋" w:hAnsi="仿宋" w:eastAsia="仿宋" w:cs="仿宋"/>
                <w:kern w:val="0"/>
                <w:sz w:val="24"/>
                <w:szCs w:val="24"/>
              </w:rPr>
              <w:instrText xml:space="preserve"> HYPERLINK "http://search.dangdang.com/?key3=%C9%CF%BA%A3%D2%F4%C0%D6%B3%F6%B0%E6%C9%E7&amp;medium=01&amp;category_path=01.00.00.00.00.00" \t "/Users/minorseventh/Documents\\x/_blank" </w:instrText>
            </w:r>
            <w:r>
              <w:rPr>
                <w:rFonts w:ascii="仿宋" w:hAnsi="仿宋" w:eastAsia="仿宋" w:cs="仿宋"/>
                <w:kern w:val="0"/>
                <w:sz w:val="24"/>
                <w:szCs w:val="24"/>
              </w:rPr>
              <w:fldChar w:fldCharType="separate"/>
            </w:r>
            <w:r>
              <w:rPr>
                <w:rFonts w:hint="eastAsia" w:ascii="仿宋" w:hAnsi="仿宋" w:eastAsia="仿宋" w:cs="仿宋"/>
                <w:kern w:val="0"/>
                <w:sz w:val="24"/>
                <w:szCs w:val="24"/>
              </w:rPr>
              <w:t>上海音乐出版社</w:t>
            </w:r>
            <w:r>
              <w:rPr>
                <w:rFonts w:ascii="仿宋" w:hAnsi="仿宋" w:eastAsia="仿宋" w:cs="仿宋"/>
                <w:kern w:val="0"/>
                <w:sz w:val="24"/>
                <w:szCs w:val="24"/>
              </w:rPr>
              <w:fldChar w:fldCharType="end"/>
            </w:r>
            <w:r>
              <w:rPr>
                <w:rFonts w:hint="eastAsia" w:ascii="仿宋" w:hAnsi="仿宋" w:eastAsia="仿宋" w:cs="仿宋"/>
                <w:kern w:val="0"/>
                <w:sz w:val="24"/>
                <w:szCs w:val="24"/>
              </w:rPr>
              <w:t>，2018</w:t>
            </w:r>
          </w:p>
          <w:p w14:paraId="23153ADE">
            <w:pPr>
              <w:tabs>
                <w:tab w:val="left" w:pos="720"/>
              </w:tabs>
              <w:rPr>
                <w:rFonts w:hint="eastAsia" w:ascii="仿宋" w:hAnsi="仿宋" w:eastAsia="仿宋" w:cs="仿宋"/>
                <w:kern w:val="0"/>
                <w:sz w:val="24"/>
                <w:szCs w:val="24"/>
              </w:rPr>
            </w:pPr>
            <w:r>
              <w:rPr>
                <w:rFonts w:hint="eastAsia" w:ascii="仿宋" w:hAnsi="仿宋" w:eastAsia="仿宋" w:cs="仿宋"/>
                <w:kern w:val="0"/>
                <w:sz w:val="24"/>
                <w:szCs w:val="24"/>
              </w:rPr>
              <w:t>[5]</w:t>
            </w:r>
            <w:r>
              <w:rPr>
                <w:rFonts w:hint="eastAsia" w:ascii="仿宋" w:hAnsi="仿宋" w:eastAsia="仿宋" w:cs="仿宋"/>
                <w:kern w:val="0"/>
                <w:sz w:val="24"/>
                <w:szCs w:val="24"/>
              </w:rPr>
              <w:fldChar w:fldCharType="begin"/>
            </w:r>
            <w:r>
              <w:rPr>
                <w:rFonts w:hint="eastAsia" w:ascii="仿宋" w:hAnsi="仿宋" w:eastAsia="仿宋" w:cs="仿宋"/>
                <w:kern w:val="0"/>
                <w:sz w:val="24"/>
                <w:szCs w:val="24"/>
              </w:rPr>
              <w:instrText xml:space="preserve"> HYPERLINK "http://search.dangdang.com/?key2=%B7%C6%C0%FB%C6%D5%A1%A4%CC%C6%CB%B9&amp;medium=01&amp;category_path=01.00.00.00.00.00" \t "/Users/minorseventh/Documents\\x/_blank" </w:instrText>
            </w:r>
            <w:r>
              <w:rPr>
                <w:rFonts w:hint="eastAsia" w:ascii="仿宋" w:hAnsi="仿宋" w:eastAsia="仿宋" w:cs="仿宋"/>
                <w:kern w:val="0"/>
                <w:sz w:val="24"/>
                <w:szCs w:val="24"/>
              </w:rPr>
              <w:fldChar w:fldCharType="separate"/>
            </w:r>
            <w:r>
              <w:rPr>
                <w:rFonts w:hint="eastAsia" w:ascii="仿宋" w:hAnsi="仿宋" w:eastAsia="仿宋" w:cs="仿宋"/>
                <w:kern w:val="0"/>
                <w:sz w:val="24"/>
                <w:szCs w:val="24"/>
              </w:rPr>
              <w:t>菲利普·唐斯</w:t>
            </w:r>
            <w:r>
              <w:rPr>
                <w:rFonts w:hint="eastAsia" w:ascii="仿宋" w:hAnsi="仿宋" w:eastAsia="仿宋" w:cs="仿宋"/>
                <w:kern w:val="0"/>
                <w:sz w:val="24"/>
                <w:szCs w:val="24"/>
              </w:rPr>
              <w:fldChar w:fldCharType="end"/>
            </w:r>
            <w:r>
              <w:rPr>
                <w:rFonts w:hint="eastAsia" w:ascii="仿宋" w:hAnsi="仿宋" w:eastAsia="仿宋" w:cs="仿宋"/>
                <w:kern w:val="0"/>
                <w:sz w:val="24"/>
                <w:szCs w:val="24"/>
              </w:rPr>
              <w:t>著，《古典音乐—海顿.莫扎特与贝多芬的时代》</w:t>
            </w:r>
            <w:r>
              <w:rPr>
                <w:rFonts w:hint="eastAsia" w:ascii="仿宋" w:hAnsi="仿宋" w:eastAsia="仿宋" w:cs="仿宋"/>
                <w:kern w:val="0"/>
                <w:sz w:val="24"/>
                <w:szCs w:val="24"/>
              </w:rPr>
              <w:fldChar w:fldCharType="begin"/>
            </w:r>
            <w:r>
              <w:rPr>
                <w:rFonts w:hint="eastAsia" w:ascii="仿宋" w:hAnsi="仿宋" w:eastAsia="仿宋" w:cs="仿宋"/>
                <w:kern w:val="0"/>
                <w:sz w:val="24"/>
                <w:szCs w:val="24"/>
              </w:rPr>
              <w:instrText xml:space="preserve"> HYPERLINK "http://search.dangdang.com/?key3=%C9%CF%BA%A3%D2%F4%C0%D6%B3%F6%B0%E6%C9%E7&amp;medium=01&amp;category_path=01.00.00.00.00.00" \t "/Users/minorseventh/Documents\\x/_blank" </w:instrText>
            </w:r>
            <w:r>
              <w:rPr>
                <w:rFonts w:hint="eastAsia" w:ascii="仿宋" w:hAnsi="仿宋" w:eastAsia="仿宋" w:cs="仿宋"/>
                <w:kern w:val="0"/>
                <w:sz w:val="24"/>
                <w:szCs w:val="24"/>
              </w:rPr>
              <w:fldChar w:fldCharType="separate"/>
            </w:r>
            <w:r>
              <w:rPr>
                <w:rFonts w:hint="eastAsia" w:ascii="仿宋" w:hAnsi="仿宋" w:eastAsia="仿宋" w:cs="仿宋"/>
                <w:kern w:val="0"/>
                <w:sz w:val="24"/>
                <w:szCs w:val="24"/>
              </w:rPr>
              <w:t>上海音乐出版社</w:t>
            </w:r>
            <w:r>
              <w:rPr>
                <w:rFonts w:hint="eastAsia" w:ascii="仿宋" w:hAnsi="仿宋" w:eastAsia="仿宋" w:cs="仿宋"/>
                <w:kern w:val="0"/>
                <w:sz w:val="24"/>
                <w:szCs w:val="24"/>
              </w:rPr>
              <w:fldChar w:fldCharType="end"/>
            </w:r>
            <w:r>
              <w:rPr>
                <w:rFonts w:hint="eastAsia" w:ascii="仿宋" w:hAnsi="仿宋" w:eastAsia="仿宋" w:cs="仿宋"/>
                <w:kern w:val="0"/>
                <w:sz w:val="24"/>
                <w:szCs w:val="24"/>
              </w:rPr>
              <w:t>，2012</w:t>
            </w:r>
          </w:p>
          <w:p w14:paraId="395B6A84">
            <w:pPr>
              <w:tabs>
                <w:tab w:val="left" w:pos="720"/>
              </w:tabs>
              <w:rPr>
                <w:rFonts w:hint="eastAsia" w:ascii="仿宋" w:hAnsi="仿宋" w:eastAsia="仿宋" w:cs="仿宋"/>
                <w:kern w:val="0"/>
                <w:sz w:val="24"/>
                <w:szCs w:val="24"/>
              </w:rPr>
            </w:pPr>
            <w:r>
              <w:rPr>
                <w:rFonts w:hint="eastAsia" w:ascii="仿宋" w:hAnsi="仿宋" w:eastAsia="仿宋" w:cs="仿宋"/>
                <w:kern w:val="0"/>
                <w:sz w:val="24"/>
                <w:szCs w:val="24"/>
              </w:rPr>
              <w:t>[6]</w:t>
            </w:r>
            <w:r>
              <w:rPr>
                <w:rFonts w:hint="eastAsia" w:ascii="仿宋" w:hAnsi="仿宋" w:eastAsia="仿宋" w:cs="仿宋"/>
                <w:kern w:val="0"/>
                <w:sz w:val="24"/>
                <w:szCs w:val="24"/>
              </w:rPr>
              <w:fldChar w:fldCharType="begin"/>
            </w:r>
            <w:r>
              <w:rPr>
                <w:rFonts w:hint="eastAsia" w:ascii="仿宋" w:hAnsi="仿宋" w:eastAsia="仿宋" w:cs="仿宋"/>
                <w:kern w:val="0"/>
                <w:sz w:val="24"/>
                <w:szCs w:val="24"/>
              </w:rPr>
              <w:instrText xml:space="preserve"> HYPERLINK "http://search.dangdang.com/?key2=%C1%D0%B0%BA%A1%A4%C6%D5%C0%BC%CD%A2%BC%D3&amp;medium=01&amp;category_path=01.00.00.00.00.00" \t "/Users/minorseventh/Documents\\x/_blank" </w:instrText>
            </w:r>
            <w:r>
              <w:rPr>
                <w:rFonts w:hint="eastAsia" w:ascii="仿宋" w:hAnsi="仿宋" w:eastAsia="仿宋" w:cs="仿宋"/>
                <w:kern w:val="0"/>
                <w:sz w:val="24"/>
                <w:szCs w:val="24"/>
              </w:rPr>
              <w:fldChar w:fldCharType="separate"/>
            </w:r>
            <w:r>
              <w:rPr>
                <w:rFonts w:hint="eastAsia" w:ascii="仿宋" w:hAnsi="仿宋" w:eastAsia="仿宋" w:cs="仿宋"/>
                <w:kern w:val="0"/>
                <w:sz w:val="24"/>
                <w:szCs w:val="24"/>
              </w:rPr>
              <w:t>列昂·普兰廷加</w:t>
            </w:r>
            <w:r>
              <w:rPr>
                <w:rFonts w:hint="eastAsia" w:ascii="仿宋" w:hAnsi="仿宋" w:eastAsia="仿宋" w:cs="仿宋"/>
                <w:kern w:val="0"/>
                <w:sz w:val="24"/>
                <w:szCs w:val="24"/>
              </w:rPr>
              <w:fldChar w:fldCharType="end"/>
            </w:r>
            <w:r>
              <w:rPr>
                <w:rFonts w:hint="eastAsia" w:ascii="仿宋" w:hAnsi="仿宋" w:eastAsia="仿宋" w:cs="仿宋"/>
                <w:kern w:val="0"/>
                <w:sz w:val="24"/>
                <w:szCs w:val="24"/>
              </w:rPr>
              <w:t>著，</w:t>
            </w:r>
            <w:r>
              <w:rPr>
                <w:rFonts w:hint="eastAsia" w:ascii="仿宋" w:hAnsi="仿宋" w:eastAsia="仿宋" w:cs="仿宋"/>
                <w:kern w:val="0"/>
                <w:sz w:val="24"/>
                <w:szCs w:val="24"/>
                <w:lang w:eastAsia="en-US"/>
              </w:rPr>
              <w:t>《</w:t>
            </w:r>
            <w:r>
              <w:rPr>
                <w:rFonts w:hint="eastAsia" w:ascii="仿宋" w:hAnsi="仿宋" w:eastAsia="仿宋" w:cs="仿宋"/>
                <w:kern w:val="0"/>
                <w:sz w:val="24"/>
                <w:szCs w:val="24"/>
              </w:rPr>
              <w:t>浪漫音乐—十九世纪欧洲音乐风格史》</w:t>
            </w:r>
            <w:r>
              <w:rPr>
                <w:rFonts w:ascii="仿宋" w:hAnsi="仿宋" w:eastAsia="仿宋" w:cs="仿宋"/>
                <w:kern w:val="0"/>
                <w:sz w:val="24"/>
                <w:szCs w:val="24"/>
              </w:rPr>
              <w:fldChar w:fldCharType="begin"/>
            </w:r>
            <w:r>
              <w:rPr>
                <w:rFonts w:ascii="仿宋" w:hAnsi="仿宋" w:eastAsia="仿宋" w:cs="仿宋"/>
                <w:kern w:val="0"/>
                <w:sz w:val="24"/>
                <w:szCs w:val="24"/>
              </w:rPr>
              <w:instrText xml:space="preserve"> HYPERLINK "http://search.dangdang.com/?key3=%C9%CF%BA%A3%D2%F4%C0%D6%B3%F6%B0%E6%C9%E7&amp;medium=01&amp;category_path=01.00.00.00.00.00" \t "/Users/minorseventh/Documents\\x/_blank" </w:instrText>
            </w:r>
            <w:r>
              <w:rPr>
                <w:rFonts w:ascii="仿宋" w:hAnsi="仿宋" w:eastAsia="仿宋" w:cs="仿宋"/>
                <w:kern w:val="0"/>
                <w:sz w:val="24"/>
                <w:szCs w:val="24"/>
              </w:rPr>
              <w:fldChar w:fldCharType="separate"/>
            </w:r>
            <w:r>
              <w:rPr>
                <w:rFonts w:hint="eastAsia" w:ascii="仿宋" w:hAnsi="仿宋" w:eastAsia="仿宋" w:cs="仿宋"/>
                <w:kern w:val="0"/>
                <w:sz w:val="24"/>
                <w:szCs w:val="24"/>
              </w:rPr>
              <w:t>上海音乐出版社</w:t>
            </w:r>
            <w:r>
              <w:rPr>
                <w:rFonts w:ascii="仿宋" w:hAnsi="仿宋" w:eastAsia="仿宋" w:cs="仿宋"/>
                <w:kern w:val="0"/>
                <w:sz w:val="24"/>
                <w:szCs w:val="24"/>
              </w:rPr>
              <w:fldChar w:fldCharType="end"/>
            </w:r>
            <w:r>
              <w:rPr>
                <w:rFonts w:hint="eastAsia" w:ascii="仿宋" w:hAnsi="仿宋" w:eastAsia="仿宋" w:cs="仿宋"/>
                <w:kern w:val="0"/>
                <w:sz w:val="24"/>
                <w:szCs w:val="24"/>
              </w:rPr>
              <w:t>，2016</w:t>
            </w:r>
          </w:p>
          <w:p w14:paraId="132E673D">
            <w:pPr>
              <w:tabs>
                <w:tab w:val="left" w:pos="720"/>
              </w:tabs>
              <w:rPr>
                <w:rFonts w:hint="eastAsia" w:ascii="仿宋" w:hAnsi="仿宋" w:eastAsia="仿宋" w:cs="仿宋"/>
                <w:kern w:val="0"/>
                <w:sz w:val="24"/>
                <w:szCs w:val="24"/>
              </w:rPr>
            </w:pPr>
            <w:r>
              <w:rPr>
                <w:rFonts w:hint="eastAsia" w:ascii="仿宋" w:hAnsi="仿宋" w:eastAsia="仿宋" w:cs="仿宋"/>
                <w:kern w:val="0"/>
                <w:sz w:val="24"/>
                <w:szCs w:val="24"/>
              </w:rPr>
              <w:t>[7]</w:t>
            </w:r>
            <w:r>
              <w:rPr>
                <w:rFonts w:hint="eastAsia" w:ascii="仿宋" w:hAnsi="仿宋" w:eastAsia="仿宋" w:cs="仿宋"/>
                <w:kern w:val="0"/>
                <w:sz w:val="24"/>
                <w:szCs w:val="24"/>
              </w:rPr>
              <w:fldChar w:fldCharType="begin"/>
            </w:r>
            <w:r>
              <w:rPr>
                <w:rFonts w:hint="eastAsia" w:ascii="仿宋" w:hAnsi="仿宋" w:eastAsia="仿宋" w:cs="仿宋"/>
                <w:kern w:val="0"/>
                <w:sz w:val="24"/>
                <w:szCs w:val="24"/>
              </w:rPr>
              <w:instrText xml:space="preserve"> HYPERLINK "http://search.dangdang.com/?key2=%C2%DE%B2%AE%CC%D8%A1%A4%C4%A6%B8%F9&amp;medium=01&amp;category_path=01.00.00.00.00.00" \t "/Users/minorseventh/Documents\\x/_blank" </w:instrText>
            </w:r>
            <w:r>
              <w:rPr>
                <w:rFonts w:hint="eastAsia" w:ascii="仿宋" w:hAnsi="仿宋" w:eastAsia="仿宋" w:cs="仿宋"/>
                <w:kern w:val="0"/>
                <w:sz w:val="24"/>
                <w:szCs w:val="24"/>
              </w:rPr>
              <w:fldChar w:fldCharType="separate"/>
            </w:r>
            <w:r>
              <w:rPr>
                <w:rFonts w:hint="eastAsia" w:ascii="仿宋" w:hAnsi="仿宋" w:eastAsia="仿宋" w:cs="仿宋"/>
                <w:kern w:val="0"/>
                <w:sz w:val="24"/>
                <w:szCs w:val="24"/>
              </w:rPr>
              <w:t>罗伯特·摩根</w:t>
            </w:r>
            <w:r>
              <w:rPr>
                <w:rFonts w:hint="eastAsia" w:ascii="仿宋" w:hAnsi="仿宋" w:eastAsia="仿宋" w:cs="仿宋"/>
                <w:kern w:val="0"/>
                <w:sz w:val="24"/>
                <w:szCs w:val="24"/>
              </w:rPr>
              <w:fldChar w:fldCharType="end"/>
            </w:r>
            <w:r>
              <w:rPr>
                <w:rFonts w:hint="eastAsia" w:ascii="仿宋" w:hAnsi="仿宋" w:eastAsia="仿宋" w:cs="仿宋"/>
                <w:kern w:val="0"/>
                <w:sz w:val="24"/>
                <w:szCs w:val="24"/>
              </w:rPr>
              <w:t>著，</w:t>
            </w:r>
            <w:r>
              <w:rPr>
                <w:rFonts w:hint="eastAsia" w:ascii="仿宋" w:hAnsi="仿宋" w:eastAsia="仿宋" w:cs="仿宋"/>
                <w:kern w:val="0"/>
                <w:sz w:val="24"/>
                <w:szCs w:val="24"/>
              </w:rPr>
              <w:fldChar w:fldCharType="begin"/>
            </w:r>
            <w:r>
              <w:rPr>
                <w:rFonts w:hint="eastAsia" w:ascii="仿宋" w:hAnsi="仿宋" w:eastAsia="仿宋" w:cs="仿宋"/>
                <w:kern w:val="0"/>
                <w:sz w:val="24"/>
                <w:szCs w:val="24"/>
              </w:rPr>
              <w:instrText xml:space="preserve"> HYPERLINK "http://search.dangdang.com/?key2=%D1%EE%D1%E0%B5%CF&amp;medium=01&amp;category_path=01.00.00.00.00.00" \t "/Users/minorseventh/Documents\\x/_blank" </w:instrText>
            </w:r>
            <w:r>
              <w:rPr>
                <w:rFonts w:hint="eastAsia" w:ascii="仿宋" w:hAnsi="仿宋" w:eastAsia="仿宋" w:cs="仿宋"/>
                <w:kern w:val="0"/>
                <w:sz w:val="24"/>
                <w:szCs w:val="24"/>
              </w:rPr>
              <w:fldChar w:fldCharType="separate"/>
            </w:r>
            <w:r>
              <w:rPr>
                <w:rFonts w:hint="eastAsia" w:ascii="仿宋" w:hAnsi="仿宋" w:eastAsia="仿宋" w:cs="仿宋"/>
                <w:kern w:val="0"/>
                <w:sz w:val="24"/>
                <w:szCs w:val="24"/>
              </w:rPr>
              <w:t>杨燕迪</w:t>
            </w:r>
            <w:r>
              <w:rPr>
                <w:rFonts w:hint="eastAsia" w:ascii="仿宋" w:hAnsi="仿宋" w:eastAsia="仿宋" w:cs="仿宋"/>
                <w:kern w:val="0"/>
                <w:sz w:val="24"/>
                <w:szCs w:val="24"/>
              </w:rPr>
              <w:fldChar w:fldCharType="end"/>
            </w:r>
            <w:r>
              <w:rPr>
                <w:rFonts w:hint="eastAsia" w:ascii="仿宋" w:hAnsi="仿宋" w:eastAsia="仿宋" w:cs="仿宋"/>
                <w:kern w:val="0"/>
                <w:sz w:val="24"/>
                <w:szCs w:val="24"/>
              </w:rPr>
              <w:t>译，《二十世纪音乐：现代欧美音乐风格史》</w:t>
            </w:r>
          </w:p>
          <w:p w14:paraId="3A3F045A">
            <w:pPr>
              <w:tabs>
                <w:tab w:val="left" w:pos="720"/>
              </w:tabs>
              <w:rPr>
                <w:rFonts w:hint="eastAsia" w:ascii="仿宋" w:hAnsi="仿宋" w:eastAsia="仿宋" w:cs="仿宋"/>
                <w:kern w:val="0"/>
                <w:sz w:val="24"/>
                <w:szCs w:val="24"/>
              </w:rPr>
            </w:pPr>
            <w:r>
              <w:rPr>
                <w:rFonts w:hint="eastAsia" w:ascii="仿宋" w:hAnsi="仿宋" w:eastAsia="仿宋" w:cs="仿宋"/>
                <w:kern w:val="0"/>
                <w:sz w:val="24"/>
                <w:szCs w:val="24"/>
              </w:rPr>
              <w:fldChar w:fldCharType="begin"/>
            </w:r>
            <w:r>
              <w:rPr>
                <w:rFonts w:hint="eastAsia" w:ascii="仿宋" w:hAnsi="仿宋" w:eastAsia="仿宋" w:cs="仿宋"/>
                <w:kern w:val="0"/>
                <w:sz w:val="24"/>
                <w:szCs w:val="24"/>
              </w:rPr>
              <w:instrText xml:space="preserve"> HYPERLINK "http://search.dangdang.com/?key3=%C9%CF%BA%A3%D2%F4%C0%D6%B3%F6%B0%E6%C9%E7&amp;medium=01&amp;category_path=01.00.00.00.00.00" \t "/Users/minorseventh/Documents\\x/_blank" </w:instrText>
            </w:r>
            <w:r>
              <w:rPr>
                <w:rFonts w:hint="eastAsia" w:ascii="仿宋" w:hAnsi="仿宋" w:eastAsia="仿宋" w:cs="仿宋"/>
                <w:kern w:val="0"/>
                <w:sz w:val="24"/>
                <w:szCs w:val="24"/>
              </w:rPr>
              <w:fldChar w:fldCharType="separate"/>
            </w:r>
            <w:r>
              <w:rPr>
                <w:rFonts w:hint="eastAsia" w:ascii="仿宋" w:hAnsi="仿宋" w:eastAsia="仿宋" w:cs="仿宋"/>
                <w:kern w:val="0"/>
                <w:sz w:val="24"/>
                <w:szCs w:val="24"/>
              </w:rPr>
              <w:t>上海音乐出版社</w:t>
            </w:r>
            <w:r>
              <w:rPr>
                <w:rFonts w:hint="eastAsia" w:ascii="仿宋" w:hAnsi="仿宋" w:eastAsia="仿宋" w:cs="仿宋"/>
                <w:kern w:val="0"/>
                <w:sz w:val="24"/>
                <w:szCs w:val="24"/>
              </w:rPr>
              <w:fldChar w:fldCharType="end"/>
            </w:r>
            <w:r>
              <w:rPr>
                <w:rFonts w:hint="eastAsia" w:ascii="仿宋" w:hAnsi="仿宋" w:eastAsia="仿宋" w:cs="仿宋"/>
                <w:kern w:val="0"/>
                <w:sz w:val="24"/>
                <w:szCs w:val="24"/>
              </w:rPr>
              <w:t>，2014</w:t>
            </w:r>
          </w:p>
          <w:p w14:paraId="6DC8913B">
            <w:pPr>
              <w:tabs>
                <w:tab w:val="left" w:pos="720"/>
              </w:tabs>
              <w:rPr>
                <w:rFonts w:hint="eastAsia" w:ascii="仿宋" w:hAnsi="仿宋" w:eastAsia="仿宋" w:cs="仿宋"/>
                <w:kern w:val="0"/>
                <w:sz w:val="24"/>
                <w:szCs w:val="24"/>
              </w:rPr>
            </w:pPr>
            <w:r>
              <w:rPr>
                <w:rFonts w:hint="eastAsia" w:ascii="仿宋" w:hAnsi="仿宋" w:eastAsia="仿宋" w:cs="仿宋"/>
                <w:kern w:val="0"/>
                <w:sz w:val="24"/>
                <w:szCs w:val="24"/>
              </w:rPr>
              <w:t>[</w:t>
            </w:r>
            <w:r>
              <w:rPr>
                <w:rFonts w:ascii="仿宋" w:hAnsi="仿宋" w:eastAsia="仿宋" w:cs="仿宋"/>
                <w:kern w:val="0"/>
                <w:sz w:val="24"/>
                <w:szCs w:val="24"/>
              </w:rPr>
              <w:t>8</w:t>
            </w:r>
            <w:r>
              <w:rPr>
                <w:rFonts w:hint="eastAsia" w:ascii="仿宋" w:hAnsi="仿宋" w:eastAsia="仿宋" w:cs="仿宋"/>
                <w:kern w:val="0"/>
                <w:sz w:val="24"/>
                <w:szCs w:val="24"/>
              </w:rPr>
              <w:t>]格劳特，西方音乐史，人民音乐出版社，2010年，第6版</w:t>
            </w:r>
          </w:p>
        </w:tc>
      </w:tr>
      <w:tr w14:paraId="36007E54">
        <w:trPr>
          <w:trHeight w:val="0" w:hRule="atLeast"/>
        </w:trPr>
        <w:tc>
          <w:tcPr>
            <w:tcW w:w="1376" w:type="dxa"/>
            <w:tcBorders>
              <w:bottom w:val="single" w:color="auto" w:sz="4" w:space="0"/>
            </w:tcBorders>
            <w:vAlign w:val="center"/>
          </w:tcPr>
          <w:p w14:paraId="64930101">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C</w:t>
            </w:r>
          </w:p>
          <w:p w14:paraId="3173008E">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线上学习资源</w:t>
            </w:r>
          </w:p>
        </w:tc>
        <w:tc>
          <w:tcPr>
            <w:tcW w:w="7772" w:type="dxa"/>
            <w:gridSpan w:val="17"/>
            <w:tcBorders>
              <w:bottom w:val="single" w:color="auto" w:sz="4" w:space="0"/>
            </w:tcBorders>
            <w:vAlign w:val="center"/>
          </w:tcPr>
          <w:p w14:paraId="434E4388">
            <w:pP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无</w:t>
            </w:r>
          </w:p>
        </w:tc>
      </w:tr>
      <w:tr w14:paraId="2A96CF33">
        <w:trPr>
          <w:trHeight w:val="0" w:hRule="atLeast"/>
        </w:trPr>
        <w:tc>
          <w:tcPr>
            <w:tcW w:w="1376" w:type="dxa"/>
            <w:vAlign w:val="center"/>
          </w:tcPr>
          <w:p w14:paraId="0DFD0014">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D</w:t>
            </w:r>
          </w:p>
          <w:p w14:paraId="30DB87AE">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 xml:space="preserve">课程描述 </w:t>
            </w:r>
          </w:p>
          <w:p w14:paraId="70A81480">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(含性质、地位和任务)</w:t>
            </w:r>
          </w:p>
        </w:tc>
        <w:tc>
          <w:tcPr>
            <w:tcW w:w="7772" w:type="dxa"/>
            <w:gridSpan w:val="17"/>
            <w:tcBorders>
              <w:bottom w:val="single" w:color="auto" w:sz="4" w:space="0"/>
            </w:tcBorders>
            <w:vAlign w:val="center"/>
          </w:tcPr>
          <w:p w14:paraId="1C3D34EF">
            <w:pPr>
              <w:rPr>
                <w:rFonts w:ascii="仿宋" w:hAnsi="仿宋" w:eastAsia="仿宋" w:cs="仿宋"/>
                <w:kern w:val="0"/>
                <w:sz w:val="24"/>
                <w:szCs w:val="24"/>
              </w:rPr>
            </w:pPr>
            <w:r>
              <w:rPr>
                <w:rFonts w:hint="eastAsia" w:ascii="仿宋" w:hAnsi="仿宋" w:eastAsia="仿宋" w:cs="仿宋"/>
                <w:kern w:val="0"/>
                <w:sz w:val="24"/>
                <w:szCs w:val="24"/>
              </w:rPr>
              <w:t>本课程是普通高等学校音乐学本科专业的一门必修课程，是讲授西方音乐通史基本知识、融实践与理论为一体的综合性专业必修课。它是《中国民族民间音乐》《中国音乐史》等课程的延续。其特点是将西方音乐作品的欣赏置于西方音乐历史文化的背景中进行，同时使西方音乐史的教学更直观形象，促进学生的历史知识、感知能力与思辨能力得到均衡发展。在教学内容方面，既要讲深讲透西方音乐发展中优秀的美学遗产，又要放眼中西文化比较，将思政润物无声地融入知识点中，增强学生的文化自信，</w:t>
            </w:r>
            <w:r>
              <w:rPr>
                <w:rFonts w:hint="eastAsia" w:ascii="仿宋" w:hAnsi="仿宋" w:eastAsia="仿宋" w:cs="仿宋"/>
                <w:kern w:val="0"/>
                <w:sz w:val="24"/>
                <w:szCs w:val="24"/>
                <w:lang w:eastAsia="en-US"/>
              </w:rPr>
              <w:t>达到链条式层次感的德育教学目标。</w:t>
            </w:r>
          </w:p>
        </w:tc>
      </w:tr>
      <w:tr w14:paraId="766BA929">
        <w:trPr>
          <w:trHeight w:val="0" w:hRule="atLeast"/>
        </w:trPr>
        <w:tc>
          <w:tcPr>
            <w:tcW w:w="1376" w:type="dxa"/>
            <w:vMerge w:val="restart"/>
            <w:vAlign w:val="center"/>
          </w:tcPr>
          <w:p w14:paraId="1511862D">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E</w:t>
            </w:r>
          </w:p>
          <w:p w14:paraId="57074F42">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课程学习目标及其与毕业要求的对应关系</w:t>
            </w:r>
          </w:p>
        </w:tc>
        <w:tc>
          <w:tcPr>
            <w:tcW w:w="7772" w:type="dxa"/>
            <w:gridSpan w:val="17"/>
            <w:tcBorders>
              <w:bottom w:val="single" w:color="auto" w:sz="4" w:space="0"/>
            </w:tcBorders>
            <w:vAlign w:val="center"/>
          </w:tcPr>
          <w:p w14:paraId="7C6DA196">
            <w:pPr>
              <w:jc w:val="left"/>
              <w:rPr>
                <w:rFonts w:hint="eastAsia" w:ascii="仿宋" w:hAnsi="仿宋" w:eastAsia="仿宋" w:cs="仿宋"/>
                <w:sz w:val="24"/>
                <w:szCs w:val="24"/>
              </w:rPr>
            </w:pPr>
            <w:r>
              <w:rPr>
                <w:rFonts w:hint="eastAsia" w:ascii="仿宋" w:hAnsi="仿宋" w:eastAsia="仿宋" w:cs="仿宋"/>
                <w:sz w:val="24"/>
                <w:szCs w:val="24"/>
              </w:rPr>
              <w:t>通过本课程的学习，学生具备如下知识、能力及情感态度价值观：</w:t>
            </w:r>
          </w:p>
          <w:p w14:paraId="42F67956">
            <w:pPr>
              <w:rPr>
                <w:rFonts w:hint="eastAsia" w:ascii="仿宋" w:hAnsi="仿宋" w:eastAsia="仿宋" w:cs="仿宋"/>
                <w:b/>
                <w:bCs/>
                <w:kern w:val="0"/>
                <w:sz w:val="24"/>
                <w:szCs w:val="24"/>
              </w:rPr>
            </w:pPr>
            <w:r>
              <w:rPr>
                <w:rFonts w:hint="eastAsia" w:ascii="仿宋" w:hAnsi="仿宋" w:eastAsia="仿宋" w:cs="仿宋"/>
                <w:b/>
                <w:bCs/>
                <w:kern w:val="0"/>
                <w:sz w:val="24"/>
                <w:szCs w:val="24"/>
              </w:rPr>
              <w:t>课程目标1：</w:t>
            </w:r>
            <w:r>
              <w:rPr>
                <w:rFonts w:hint="eastAsia" w:ascii="仿宋" w:hAnsi="仿宋" w:eastAsia="仿宋" w:cs="仿宋"/>
                <w:kern w:val="0"/>
                <w:sz w:val="24"/>
                <w:szCs w:val="24"/>
              </w:rPr>
              <w:t>了解西方音乐理论及各种音乐体裁的起源和发展过程，掌握主要作曲家的艺术生涯、作品风格特征及其影响。（支撑毕业要求</w:t>
            </w:r>
            <w:r>
              <w:rPr>
                <w:rFonts w:ascii="仿宋" w:hAnsi="仿宋" w:eastAsia="仿宋" w:cs="仿宋"/>
                <w:sz w:val="24"/>
                <w:szCs w:val="24"/>
              </w:rPr>
              <w:t>3.2</w:t>
            </w:r>
            <w:r>
              <w:rPr>
                <w:rFonts w:hint="eastAsia" w:ascii="仿宋" w:hAnsi="仿宋" w:eastAsia="仿宋" w:cs="仿宋"/>
                <w:sz w:val="24"/>
                <w:szCs w:val="24"/>
              </w:rPr>
              <w:t>）</w:t>
            </w:r>
          </w:p>
          <w:p w14:paraId="7F9F2ACD">
            <w:pPr>
              <w:rPr>
                <w:rFonts w:hint="eastAsia" w:ascii="仿宋" w:hAnsi="仿宋" w:eastAsia="仿宋" w:cs="仿宋"/>
                <w:b/>
                <w:bCs/>
                <w:kern w:val="0"/>
                <w:sz w:val="24"/>
                <w:szCs w:val="24"/>
              </w:rPr>
            </w:pPr>
            <w:r>
              <w:rPr>
                <w:rFonts w:hint="eastAsia" w:ascii="仿宋" w:hAnsi="仿宋" w:eastAsia="仿宋" w:cs="仿宋"/>
                <w:b/>
                <w:bCs/>
                <w:kern w:val="0"/>
                <w:sz w:val="24"/>
                <w:szCs w:val="24"/>
              </w:rPr>
              <w:t>课程目标</w:t>
            </w:r>
            <w:r>
              <w:rPr>
                <w:rFonts w:hint="eastAsia" w:ascii="仿宋" w:hAnsi="仿宋" w:eastAsia="仿宋" w:cs="仿宋"/>
                <w:b/>
                <w:bCs/>
                <w:kern w:val="0"/>
                <w:sz w:val="24"/>
                <w:szCs w:val="24"/>
                <w:lang w:val="en-US" w:eastAsia="zh-CN"/>
              </w:rPr>
              <w:t>2</w:t>
            </w:r>
            <w:r>
              <w:rPr>
                <w:rFonts w:hint="eastAsia" w:ascii="仿宋" w:hAnsi="仿宋" w:eastAsia="仿宋" w:cs="仿宋"/>
                <w:b/>
                <w:bCs/>
                <w:kern w:val="0"/>
                <w:sz w:val="24"/>
                <w:szCs w:val="24"/>
              </w:rPr>
              <w:t>：</w:t>
            </w:r>
            <w:r>
              <w:rPr>
                <w:rFonts w:hint="eastAsia" w:ascii="仿宋" w:hAnsi="仿宋" w:eastAsia="仿宋" w:cs="仿宋"/>
                <w:kern w:val="0"/>
                <w:sz w:val="24"/>
                <w:szCs w:val="24"/>
                <w:lang w:val="en-US" w:eastAsia="en-US"/>
              </w:rPr>
              <w:t>通过音乐家与作品、音乐体裁、音乐事件、音乐现象、音乐思想等方面的学习</w:t>
            </w:r>
            <w:r>
              <w:rPr>
                <w:rFonts w:hint="eastAsia" w:ascii="仿宋" w:hAnsi="仿宋" w:eastAsia="仿宋" w:cs="仿宋"/>
                <w:kern w:val="0"/>
                <w:sz w:val="24"/>
                <w:szCs w:val="24"/>
                <w:lang w:eastAsia="en-US"/>
              </w:rPr>
              <w:t>，</w:t>
            </w:r>
            <w:r>
              <w:rPr>
                <w:rFonts w:hint="eastAsia" w:ascii="仿宋" w:hAnsi="仿宋" w:eastAsia="仿宋" w:cs="仿宋"/>
                <w:kern w:val="0"/>
                <w:sz w:val="24"/>
                <w:szCs w:val="24"/>
                <w:lang w:val="en-US" w:eastAsia="en-US"/>
              </w:rPr>
              <w:t>具备</w:t>
            </w:r>
            <w:r>
              <w:rPr>
                <w:rFonts w:hint="eastAsia" w:ascii="仿宋" w:hAnsi="仿宋" w:eastAsia="仿宋" w:cs="仿宋"/>
                <w:kern w:val="0"/>
                <w:sz w:val="24"/>
                <w:szCs w:val="24"/>
              </w:rPr>
              <w:t>音乐审美能力和分析能力，</w:t>
            </w:r>
            <w:r>
              <w:rPr>
                <w:rFonts w:hint="eastAsia" w:ascii="仿宋" w:hAnsi="仿宋" w:eastAsia="仿宋" w:cs="仿宋"/>
                <w:kern w:val="0"/>
                <w:sz w:val="24"/>
                <w:szCs w:val="24"/>
                <w:lang w:val="en-US" w:eastAsia="en-US"/>
              </w:rPr>
              <w:t>并</w:t>
            </w:r>
            <w:r>
              <w:rPr>
                <w:rFonts w:hint="eastAsia" w:ascii="仿宋" w:hAnsi="仿宋" w:eastAsia="仿宋" w:cs="仿宋"/>
                <w:kern w:val="0"/>
                <w:sz w:val="24"/>
                <w:szCs w:val="24"/>
              </w:rPr>
              <w:t>理解音乐的育人价值。（支撑毕业要求</w:t>
            </w:r>
            <w:r>
              <w:rPr>
                <w:rFonts w:ascii="仿宋" w:hAnsi="仿宋" w:eastAsia="仿宋" w:cs="仿宋"/>
                <w:sz w:val="24"/>
                <w:szCs w:val="24"/>
              </w:rPr>
              <w:t>6.1</w:t>
            </w:r>
            <w:r>
              <w:rPr>
                <w:rFonts w:hint="eastAsia" w:ascii="仿宋" w:hAnsi="仿宋" w:eastAsia="仿宋" w:cs="仿宋"/>
                <w:sz w:val="24"/>
                <w:szCs w:val="24"/>
              </w:rPr>
              <w:t>）</w:t>
            </w:r>
          </w:p>
          <w:p w14:paraId="6195BC8C">
            <w:pPr>
              <w:rPr>
                <w:rFonts w:hint="eastAsia" w:ascii="仿宋" w:hAnsi="仿宋" w:eastAsia="仿宋" w:cs="仿宋"/>
                <w:sz w:val="24"/>
                <w:szCs w:val="24"/>
                <w:lang w:eastAsia="zh-TW"/>
              </w:rPr>
            </w:pPr>
            <w:r>
              <w:rPr>
                <w:rFonts w:hint="eastAsia" w:ascii="仿宋" w:hAnsi="仿宋" w:eastAsia="仿宋" w:cs="仿宋"/>
                <w:b/>
                <w:bCs/>
                <w:kern w:val="0"/>
                <w:sz w:val="24"/>
                <w:szCs w:val="24"/>
              </w:rPr>
              <w:t>课程目标3：</w:t>
            </w:r>
            <w:r>
              <w:rPr>
                <w:rFonts w:hint="eastAsia" w:ascii="仿宋" w:hAnsi="仿宋" w:eastAsia="仿宋" w:cs="仿宋"/>
                <w:kern w:val="0"/>
                <w:sz w:val="24"/>
                <w:szCs w:val="24"/>
                <w:lang w:val="en-US" w:eastAsia="en-US"/>
              </w:rPr>
              <w:t>初步具备</w:t>
            </w:r>
            <w:r>
              <w:rPr>
                <w:rFonts w:hint="eastAsia" w:ascii="仿宋" w:hAnsi="仿宋" w:eastAsia="仿宋" w:cs="仿宋"/>
                <w:kern w:val="0"/>
                <w:sz w:val="24"/>
                <w:szCs w:val="24"/>
              </w:rPr>
              <w:t>对西方音乐历史的发展性思维探索</w:t>
            </w:r>
            <w:r>
              <w:rPr>
                <w:rFonts w:hint="eastAsia" w:ascii="仿宋" w:hAnsi="仿宋" w:eastAsia="仿宋" w:cs="仿宋"/>
                <w:kern w:val="0"/>
                <w:sz w:val="24"/>
                <w:szCs w:val="24"/>
                <w:lang w:val="en-US" w:eastAsia="en-US"/>
              </w:rPr>
              <w:t>能力</w:t>
            </w:r>
            <w:r>
              <w:rPr>
                <w:rFonts w:hint="eastAsia" w:ascii="仿宋" w:hAnsi="仿宋" w:eastAsia="仿宋" w:cs="仿宋"/>
                <w:kern w:val="0"/>
                <w:sz w:val="24"/>
                <w:szCs w:val="24"/>
              </w:rPr>
              <w:t>，</w:t>
            </w:r>
            <w:r>
              <w:rPr>
                <w:rFonts w:hint="eastAsia" w:ascii="仿宋" w:hAnsi="仿宋" w:eastAsia="仿宋" w:cs="仿宋"/>
                <w:kern w:val="0"/>
                <w:sz w:val="24"/>
                <w:szCs w:val="24"/>
                <w:lang w:val="en-US" w:eastAsia="en-US"/>
              </w:rPr>
              <w:t>初步具备</w:t>
            </w:r>
            <w:r>
              <w:rPr>
                <w:rFonts w:hint="eastAsia" w:ascii="仿宋" w:hAnsi="仿宋" w:eastAsia="仿宋" w:cs="仿宋"/>
                <w:kern w:val="0"/>
                <w:sz w:val="24"/>
                <w:szCs w:val="24"/>
              </w:rPr>
              <w:t>音乐史发展的审美现时性</w:t>
            </w:r>
            <w:r>
              <w:rPr>
                <w:rFonts w:hint="eastAsia" w:ascii="仿宋" w:hAnsi="仿宋" w:eastAsia="仿宋" w:cs="仿宋"/>
                <w:kern w:val="0"/>
                <w:sz w:val="24"/>
                <w:szCs w:val="24"/>
                <w:lang w:val="en-US" w:eastAsia="en-US"/>
              </w:rPr>
              <w:t>能力</w:t>
            </w:r>
            <w:r>
              <w:rPr>
                <w:rFonts w:hint="eastAsia" w:ascii="仿宋" w:hAnsi="仿宋" w:eastAsia="仿宋" w:cs="仿宋"/>
                <w:kern w:val="0"/>
                <w:sz w:val="24"/>
                <w:szCs w:val="24"/>
              </w:rPr>
              <w:t>，发展性地、批判地认识</w:t>
            </w:r>
            <w:r>
              <w:rPr>
                <w:rFonts w:hint="eastAsia" w:ascii="仿宋" w:hAnsi="仿宋" w:eastAsia="仿宋" w:cs="仿宋"/>
                <w:kern w:val="0"/>
                <w:sz w:val="24"/>
                <w:szCs w:val="24"/>
                <w:lang w:val="en-US" w:eastAsia="en-US"/>
              </w:rPr>
              <w:t>西方音乐</w:t>
            </w:r>
            <w:r>
              <w:rPr>
                <w:rFonts w:hint="eastAsia" w:ascii="仿宋" w:hAnsi="仿宋" w:eastAsia="仿宋" w:cs="仿宋"/>
                <w:kern w:val="0"/>
                <w:sz w:val="24"/>
                <w:szCs w:val="24"/>
              </w:rPr>
              <w:t>历史。（支撑毕业要求</w:t>
            </w:r>
            <w:r>
              <w:rPr>
                <w:rFonts w:ascii="仿宋" w:hAnsi="仿宋" w:eastAsia="仿宋" w:cs="仿宋"/>
                <w:sz w:val="24"/>
                <w:szCs w:val="24"/>
              </w:rPr>
              <w:t>7.1</w:t>
            </w:r>
            <w:r>
              <w:rPr>
                <w:rFonts w:hint="eastAsia" w:ascii="仿宋" w:hAnsi="仿宋" w:eastAsia="仿宋" w:cs="仿宋"/>
                <w:sz w:val="24"/>
                <w:szCs w:val="24"/>
              </w:rPr>
              <w:t>）</w:t>
            </w:r>
          </w:p>
        </w:tc>
      </w:tr>
      <w:tr w14:paraId="6F0EAE2C">
        <w:trPr>
          <w:trHeight w:val="0" w:hRule="atLeast"/>
        </w:trPr>
        <w:tc>
          <w:tcPr>
            <w:tcW w:w="1376" w:type="dxa"/>
            <w:vMerge w:val="continue"/>
            <w:vAlign w:val="center"/>
          </w:tcPr>
          <w:p w14:paraId="28C8C7CC">
            <w:pPr>
              <w:spacing w:line="240" w:lineRule="atLeast"/>
              <w:jc w:val="center"/>
              <w:rPr>
                <w:rFonts w:hint="eastAsia" w:ascii="仿宋" w:hAnsi="仿宋" w:eastAsia="仿宋" w:cs="仿宋"/>
                <w:sz w:val="24"/>
                <w:szCs w:val="24"/>
              </w:rPr>
            </w:pPr>
          </w:p>
        </w:tc>
        <w:tc>
          <w:tcPr>
            <w:tcW w:w="1307" w:type="dxa"/>
            <w:gridSpan w:val="2"/>
            <w:tcBorders>
              <w:bottom w:val="single" w:color="auto" w:sz="4" w:space="0"/>
            </w:tcBorders>
            <w:vAlign w:val="center"/>
          </w:tcPr>
          <w:p w14:paraId="48B3D66A">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课程目标</w:t>
            </w:r>
          </w:p>
        </w:tc>
        <w:tc>
          <w:tcPr>
            <w:tcW w:w="4060" w:type="dxa"/>
            <w:gridSpan w:val="8"/>
            <w:tcBorders>
              <w:bottom w:val="single" w:color="auto" w:sz="4" w:space="0"/>
            </w:tcBorders>
            <w:vAlign w:val="center"/>
          </w:tcPr>
          <w:p w14:paraId="28EC50A2">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毕业要求分解指标点</w:t>
            </w:r>
          </w:p>
        </w:tc>
        <w:tc>
          <w:tcPr>
            <w:tcW w:w="2405" w:type="dxa"/>
            <w:gridSpan w:val="7"/>
            <w:tcBorders>
              <w:bottom w:val="single" w:color="auto" w:sz="4" w:space="0"/>
            </w:tcBorders>
            <w:vAlign w:val="center"/>
          </w:tcPr>
          <w:p w14:paraId="03CB1D61">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毕业要求</w:t>
            </w:r>
          </w:p>
        </w:tc>
      </w:tr>
      <w:tr w14:paraId="4134013C">
        <w:trPr>
          <w:trHeight w:val="0" w:hRule="atLeast"/>
        </w:trPr>
        <w:tc>
          <w:tcPr>
            <w:tcW w:w="1376" w:type="dxa"/>
            <w:vMerge w:val="continue"/>
            <w:vAlign w:val="center"/>
          </w:tcPr>
          <w:p w14:paraId="3523E5E2">
            <w:pPr>
              <w:spacing w:line="240" w:lineRule="atLeast"/>
              <w:jc w:val="center"/>
              <w:rPr>
                <w:rFonts w:hint="eastAsia" w:ascii="仿宋" w:hAnsi="仿宋" w:eastAsia="仿宋" w:cs="仿宋"/>
                <w:sz w:val="24"/>
                <w:szCs w:val="24"/>
              </w:rPr>
            </w:pPr>
          </w:p>
        </w:tc>
        <w:tc>
          <w:tcPr>
            <w:tcW w:w="1307" w:type="dxa"/>
            <w:gridSpan w:val="2"/>
            <w:tcBorders>
              <w:bottom w:val="single" w:color="auto" w:sz="4" w:space="0"/>
            </w:tcBorders>
            <w:vAlign w:val="center"/>
          </w:tcPr>
          <w:p w14:paraId="144A098A">
            <w:pPr>
              <w:jc w:val="center"/>
              <w:rPr>
                <w:rFonts w:hint="eastAsia" w:ascii="仿宋" w:hAnsi="仿宋" w:eastAsia="仿宋" w:cs="仿宋"/>
                <w:sz w:val="24"/>
                <w:szCs w:val="24"/>
              </w:rPr>
            </w:pPr>
            <w:r>
              <w:rPr>
                <w:rFonts w:hint="eastAsia" w:ascii="仿宋" w:hAnsi="仿宋" w:eastAsia="仿宋" w:cs="仿宋"/>
                <w:sz w:val="24"/>
                <w:szCs w:val="24"/>
              </w:rPr>
              <w:t>课程目标1</w:t>
            </w:r>
          </w:p>
        </w:tc>
        <w:tc>
          <w:tcPr>
            <w:tcW w:w="4060" w:type="dxa"/>
            <w:gridSpan w:val="8"/>
            <w:vAlign w:val="center"/>
          </w:tcPr>
          <w:p w14:paraId="5F71A08B">
            <w:pPr>
              <w:rPr>
                <w:rFonts w:hint="eastAsia" w:ascii="仿宋" w:hAnsi="仿宋" w:eastAsia="仿宋" w:cs="仿宋"/>
                <w:kern w:val="2"/>
                <w:sz w:val="24"/>
                <w:szCs w:val="24"/>
                <w:lang w:val="en-US" w:eastAsia="zh-CN" w:bidi="ar-SA"/>
              </w:rPr>
            </w:pPr>
            <w:r>
              <w:rPr>
                <w:rFonts w:hint="eastAsia" w:ascii="仿宋" w:hAnsi="仿宋" w:eastAsia="仿宋" w:cs="仿宋"/>
                <w:kern w:val="0"/>
                <w:sz w:val="24"/>
                <w:szCs w:val="24"/>
              </w:rPr>
              <w:t>3.2【</w:t>
            </w:r>
            <w:r>
              <w:rPr>
                <w:rFonts w:hint="eastAsia" w:ascii="仿宋" w:hAnsi="仿宋" w:eastAsia="仿宋" w:cs="仿宋"/>
                <w:kern w:val="0"/>
                <w:sz w:val="24"/>
                <w:szCs w:val="24"/>
                <w:lang w:val="en-US" w:eastAsia="en-US"/>
              </w:rPr>
              <w:t>理论</w:t>
            </w:r>
            <w:r>
              <w:rPr>
                <w:rFonts w:hint="eastAsia" w:ascii="仿宋" w:hAnsi="仿宋" w:eastAsia="仿宋" w:cs="仿宋"/>
                <w:kern w:val="0"/>
                <w:sz w:val="24"/>
                <w:szCs w:val="24"/>
              </w:rPr>
              <w:t>素养】掌握</w:t>
            </w:r>
            <w:r>
              <w:rPr>
                <w:rFonts w:hint="eastAsia" w:ascii="仿宋" w:hAnsi="仿宋" w:eastAsia="仿宋" w:cs="仿宋"/>
                <w:kern w:val="0"/>
                <w:sz w:val="24"/>
                <w:szCs w:val="24"/>
                <w:lang w:val="en-US" w:eastAsia="en-US"/>
              </w:rPr>
              <w:t>音乐</w:t>
            </w:r>
            <w:r>
              <w:rPr>
                <w:rFonts w:hint="eastAsia" w:ascii="仿宋" w:hAnsi="仿宋" w:eastAsia="仿宋" w:cs="仿宋"/>
                <w:kern w:val="0"/>
                <w:sz w:val="24"/>
                <w:szCs w:val="24"/>
              </w:rPr>
              <w:t>理论的基本知识，了解中外音乐史的总体框架，</w:t>
            </w:r>
            <w:r>
              <w:rPr>
                <w:rFonts w:hint="eastAsia" w:ascii="仿宋" w:hAnsi="仿宋" w:eastAsia="仿宋" w:cs="仿宋"/>
                <w:kern w:val="0"/>
                <w:sz w:val="24"/>
                <w:szCs w:val="24"/>
                <w:lang w:val="en-US" w:eastAsia="en-US"/>
              </w:rPr>
              <w:t>理解</w:t>
            </w:r>
            <w:r>
              <w:rPr>
                <w:rFonts w:hint="eastAsia" w:ascii="仿宋" w:hAnsi="仿宋" w:eastAsia="仿宋" w:cs="仿宋"/>
                <w:kern w:val="0"/>
                <w:sz w:val="24"/>
                <w:szCs w:val="24"/>
              </w:rPr>
              <w:t>音乐理论课程之间的相互关联，形成</w:t>
            </w:r>
            <w:r>
              <w:rPr>
                <w:rFonts w:hint="eastAsia" w:ascii="仿宋" w:hAnsi="仿宋" w:eastAsia="仿宋" w:cs="仿宋"/>
                <w:kern w:val="0"/>
                <w:sz w:val="24"/>
                <w:szCs w:val="24"/>
                <w:lang w:val="en-US" w:eastAsia="en-US"/>
              </w:rPr>
              <w:t>初步的音乐</w:t>
            </w:r>
            <w:r>
              <w:rPr>
                <w:rFonts w:hint="eastAsia" w:ascii="仿宋" w:hAnsi="仿宋" w:eastAsia="仿宋" w:cs="仿宋"/>
                <w:kern w:val="0"/>
                <w:sz w:val="24"/>
                <w:szCs w:val="24"/>
              </w:rPr>
              <w:t>理论知识体系，</w:t>
            </w:r>
            <w:r>
              <w:rPr>
                <w:rFonts w:hint="eastAsia" w:ascii="仿宋" w:hAnsi="仿宋" w:eastAsia="仿宋" w:cs="仿宋"/>
                <w:kern w:val="0"/>
                <w:sz w:val="24"/>
                <w:szCs w:val="24"/>
                <w:lang w:val="en-US" w:eastAsia="en-US"/>
              </w:rPr>
              <w:t>能够</w:t>
            </w:r>
            <w:r>
              <w:rPr>
                <w:rFonts w:hint="eastAsia" w:ascii="仿宋" w:hAnsi="仿宋" w:eastAsia="仿宋" w:cs="仿宋"/>
                <w:kern w:val="0"/>
                <w:sz w:val="24"/>
                <w:szCs w:val="24"/>
              </w:rPr>
              <w:t>综合运用音乐理论知识解决</w:t>
            </w:r>
            <w:r>
              <w:rPr>
                <w:rFonts w:hint="eastAsia" w:ascii="仿宋" w:hAnsi="仿宋" w:eastAsia="仿宋" w:cs="仿宋"/>
                <w:kern w:val="0"/>
                <w:sz w:val="24"/>
                <w:szCs w:val="24"/>
                <w:lang w:val="en-US" w:eastAsia="en-US"/>
              </w:rPr>
              <w:t>相关</w:t>
            </w:r>
            <w:r>
              <w:rPr>
                <w:rFonts w:hint="eastAsia" w:ascii="仿宋" w:hAnsi="仿宋" w:eastAsia="仿宋" w:cs="仿宋"/>
                <w:kern w:val="0"/>
                <w:sz w:val="24"/>
                <w:szCs w:val="24"/>
              </w:rPr>
              <w:t>教学问题。</w:t>
            </w:r>
          </w:p>
        </w:tc>
        <w:tc>
          <w:tcPr>
            <w:tcW w:w="2405" w:type="dxa"/>
            <w:gridSpan w:val="7"/>
            <w:vAlign w:val="center"/>
          </w:tcPr>
          <w:p w14:paraId="6F64A81F">
            <w:pPr>
              <w:jc w:val="center"/>
              <w:rPr>
                <w:rFonts w:hint="eastAsia" w:ascii="仿宋" w:hAnsi="仿宋" w:eastAsia="仿宋" w:cs="仿宋"/>
                <w:kern w:val="2"/>
                <w:sz w:val="24"/>
                <w:szCs w:val="24"/>
                <w:lang w:val="en-US" w:eastAsia="zh-CN" w:bidi="ar-SA"/>
              </w:rPr>
            </w:pPr>
            <w:r>
              <w:rPr>
                <w:rFonts w:hint="eastAsia" w:ascii="仿宋" w:hAnsi="仿宋" w:eastAsia="仿宋"/>
                <w:sz w:val="24"/>
              </w:rPr>
              <w:t>学科素养（</w:t>
            </w:r>
            <w:r>
              <w:rPr>
                <w:rFonts w:ascii="仿宋" w:hAnsi="仿宋" w:eastAsia="仿宋"/>
                <w:sz w:val="24"/>
              </w:rPr>
              <w:t>H</w:t>
            </w:r>
            <w:r>
              <w:rPr>
                <w:rFonts w:hint="eastAsia" w:ascii="仿宋" w:hAnsi="仿宋" w:eastAsia="仿宋"/>
                <w:sz w:val="24"/>
              </w:rPr>
              <w:t>）</w:t>
            </w:r>
          </w:p>
        </w:tc>
      </w:tr>
      <w:tr w14:paraId="62527173">
        <w:trPr>
          <w:trHeight w:val="0" w:hRule="atLeast"/>
        </w:trPr>
        <w:tc>
          <w:tcPr>
            <w:tcW w:w="1376" w:type="dxa"/>
            <w:vMerge w:val="continue"/>
            <w:vAlign w:val="center"/>
          </w:tcPr>
          <w:p w14:paraId="45836F8D">
            <w:pPr>
              <w:spacing w:line="240" w:lineRule="atLeast"/>
              <w:jc w:val="center"/>
              <w:rPr>
                <w:rFonts w:hint="eastAsia" w:ascii="仿宋" w:hAnsi="仿宋" w:eastAsia="仿宋" w:cs="仿宋"/>
                <w:sz w:val="24"/>
                <w:szCs w:val="24"/>
              </w:rPr>
            </w:pPr>
          </w:p>
        </w:tc>
        <w:tc>
          <w:tcPr>
            <w:tcW w:w="1307" w:type="dxa"/>
            <w:gridSpan w:val="2"/>
            <w:tcBorders>
              <w:bottom w:val="single" w:color="auto" w:sz="4" w:space="0"/>
            </w:tcBorders>
            <w:vAlign w:val="center"/>
          </w:tcPr>
          <w:p w14:paraId="3998C1F8">
            <w:pPr>
              <w:jc w:val="center"/>
              <w:rPr>
                <w:rFonts w:hint="eastAsia" w:ascii="仿宋" w:hAnsi="仿宋" w:eastAsia="仿宋" w:cs="仿宋"/>
                <w:kern w:val="2"/>
                <w:sz w:val="24"/>
                <w:szCs w:val="24"/>
                <w:lang w:val="en-US" w:eastAsia="zh-CN" w:bidi="ar-SA"/>
              </w:rPr>
            </w:pPr>
            <w:r>
              <w:rPr>
                <w:rFonts w:hint="eastAsia" w:ascii="仿宋" w:hAnsi="仿宋" w:eastAsia="仿宋" w:cs="仿宋"/>
                <w:sz w:val="24"/>
                <w:szCs w:val="24"/>
              </w:rPr>
              <w:t>课程目标2</w:t>
            </w:r>
          </w:p>
        </w:tc>
        <w:tc>
          <w:tcPr>
            <w:tcW w:w="4060" w:type="dxa"/>
            <w:gridSpan w:val="8"/>
            <w:vAlign w:val="center"/>
          </w:tcPr>
          <w:p w14:paraId="5E011385">
            <w:pPr>
              <w:rPr>
                <w:rFonts w:hint="eastAsia" w:ascii="仿宋" w:hAnsi="仿宋" w:eastAsia="仿宋" w:cs="仿宋"/>
                <w:kern w:val="2"/>
                <w:sz w:val="24"/>
                <w:szCs w:val="24"/>
                <w:lang w:val="en-US" w:eastAsia="zh-CN" w:bidi="ar-SA"/>
              </w:rPr>
            </w:pPr>
            <w:r>
              <w:rPr>
                <w:rFonts w:hint="eastAsia" w:ascii="仿宋" w:hAnsi="仿宋" w:eastAsia="仿宋" w:cs="仿宋"/>
                <w:kern w:val="0"/>
                <w:sz w:val="24"/>
                <w:szCs w:val="24"/>
              </w:rPr>
              <w:t>6.1【育人理念】理解音乐教学与人的全面发展的关系，理解音乐学科的育人价值，具备在音乐教学、课外辅导、学生交往中渗透“以美育人”的理念。</w:t>
            </w:r>
          </w:p>
        </w:tc>
        <w:tc>
          <w:tcPr>
            <w:tcW w:w="2405" w:type="dxa"/>
            <w:gridSpan w:val="7"/>
            <w:vAlign w:val="center"/>
          </w:tcPr>
          <w:p w14:paraId="6396898D">
            <w:pPr>
              <w:jc w:val="center"/>
              <w:rPr>
                <w:rFonts w:hint="eastAsia" w:ascii="仿宋" w:hAnsi="仿宋" w:eastAsia="仿宋" w:cs="Times New Roman"/>
                <w:sz w:val="24"/>
              </w:rPr>
            </w:pPr>
            <w:r>
              <w:rPr>
                <w:rFonts w:hint="eastAsia" w:ascii="仿宋" w:hAnsi="仿宋" w:eastAsia="仿宋" w:cs="Times New Roman"/>
                <w:sz w:val="24"/>
              </w:rPr>
              <w:t>综合育人</w:t>
            </w:r>
          </w:p>
          <w:p w14:paraId="134835E8">
            <w:pPr>
              <w:jc w:val="center"/>
              <w:rPr>
                <w:rFonts w:hint="eastAsia" w:ascii="仿宋" w:hAnsi="仿宋" w:eastAsia="仿宋" w:cs="Times New Roman"/>
                <w:kern w:val="2"/>
                <w:sz w:val="24"/>
                <w:szCs w:val="22"/>
                <w:lang w:val="en-US" w:eastAsia="zh-CN" w:bidi="ar-SA"/>
              </w:rPr>
            </w:pPr>
            <w:r>
              <w:rPr>
                <w:rFonts w:hint="eastAsia" w:ascii="仿宋" w:hAnsi="仿宋" w:eastAsia="仿宋" w:cs="Times New Roman"/>
                <w:sz w:val="24"/>
              </w:rPr>
              <w:t>（</w:t>
            </w:r>
            <w:r>
              <w:rPr>
                <w:rFonts w:ascii="仿宋" w:hAnsi="仿宋" w:eastAsia="仿宋" w:cs="Times New Roman"/>
                <w:sz w:val="24"/>
              </w:rPr>
              <w:t>H</w:t>
            </w:r>
            <w:r>
              <w:rPr>
                <w:rFonts w:hint="eastAsia" w:ascii="仿宋" w:hAnsi="仿宋" w:eastAsia="仿宋" w:cs="Times New Roman"/>
                <w:sz w:val="24"/>
              </w:rPr>
              <w:t>）</w:t>
            </w:r>
          </w:p>
        </w:tc>
      </w:tr>
      <w:tr w14:paraId="6E06D50B">
        <w:trPr>
          <w:trHeight w:val="0" w:hRule="atLeast"/>
        </w:trPr>
        <w:tc>
          <w:tcPr>
            <w:tcW w:w="1376" w:type="dxa"/>
            <w:vMerge w:val="continue"/>
            <w:vAlign w:val="center"/>
          </w:tcPr>
          <w:p w14:paraId="65DA1A3B">
            <w:pPr>
              <w:spacing w:line="240" w:lineRule="atLeast"/>
              <w:jc w:val="center"/>
              <w:rPr>
                <w:rFonts w:hint="eastAsia" w:ascii="仿宋" w:hAnsi="仿宋" w:eastAsia="仿宋" w:cs="仿宋"/>
                <w:sz w:val="24"/>
                <w:szCs w:val="24"/>
              </w:rPr>
            </w:pPr>
          </w:p>
        </w:tc>
        <w:tc>
          <w:tcPr>
            <w:tcW w:w="1307" w:type="dxa"/>
            <w:gridSpan w:val="2"/>
            <w:tcBorders>
              <w:bottom w:val="single" w:color="auto" w:sz="4" w:space="0"/>
            </w:tcBorders>
            <w:vAlign w:val="center"/>
          </w:tcPr>
          <w:p w14:paraId="325A79AF">
            <w:pPr>
              <w:jc w:val="center"/>
              <w:rPr>
                <w:rFonts w:hint="eastAsia" w:ascii="仿宋" w:hAnsi="仿宋" w:eastAsia="仿宋" w:cs="仿宋"/>
                <w:kern w:val="2"/>
                <w:sz w:val="24"/>
                <w:szCs w:val="24"/>
                <w:lang w:val="en-US" w:eastAsia="zh-CN" w:bidi="ar-SA"/>
              </w:rPr>
            </w:pPr>
            <w:r>
              <w:rPr>
                <w:rFonts w:hint="eastAsia" w:ascii="仿宋" w:hAnsi="仿宋" w:eastAsia="仿宋" w:cs="仿宋"/>
                <w:sz w:val="24"/>
                <w:szCs w:val="24"/>
              </w:rPr>
              <w:t>课程目标3</w:t>
            </w:r>
          </w:p>
        </w:tc>
        <w:tc>
          <w:tcPr>
            <w:tcW w:w="4060" w:type="dxa"/>
            <w:gridSpan w:val="8"/>
            <w:vAlign w:val="center"/>
          </w:tcPr>
          <w:p w14:paraId="17AC65BC">
            <w:pPr>
              <w:rPr>
                <w:rFonts w:hint="eastAsia" w:ascii="仿宋" w:hAnsi="仿宋" w:eastAsia="仿宋" w:cs="仿宋"/>
                <w:kern w:val="2"/>
                <w:sz w:val="24"/>
                <w:szCs w:val="24"/>
                <w:lang w:val="en-US" w:eastAsia="zh-CN" w:bidi="ar-SA"/>
              </w:rPr>
            </w:pPr>
            <w:r>
              <w:rPr>
                <w:rFonts w:hint="eastAsia" w:ascii="仿宋" w:hAnsi="仿宋" w:eastAsia="仿宋" w:cs="仿宋"/>
                <w:kern w:val="0"/>
                <w:sz w:val="24"/>
                <w:szCs w:val="24"/>
              </w:rPr>
              <w:t>7.1【反思改进】具有反思意识和批评性思维素养，初步掌握教育教学反思的基本方法和策略，能够对音乐教育教学实践活动进行有效的自我诊断，提出改进思路。</w:t>
            </w:r>
          </w:p>
        </w:tc>
        <w:tc>
          <w:tcPr>
            <w:tcW w:w="2405" w:type="dxa"/>
            <w:gridSpan w:val="7"/>
            <w:vAlign w:val="center"/>
          </w:tcPr>
          <w:p w14:paraId="27CA1D27">
            <w:pPr>
              <w:jc w:val="center"/>
              <w:rPr>
                <w:rFonts w:hint="eastAsia" w:ascii="仿宋" w:hAnsi="仿宋" w:eastAsia="仿宋" w:cs="Times New Roman"/>
                <w:sz w:val="24"/>
                <w:lang w:val="en-US" w:eastAsia="zh-CN"/>
              </w:rPr>
            </w:pPr>
            <w:r>
              <w:rPr>
                <w:rFonts w:hint="eastAsia" w:ascii="仿宋" w:hAnsi="仿宋" w:eastAsia="仿宋" w:cs="Times New Roman"/>
                <w:sz w:val="24"/>
              </w:rPr>
              <w:t>学会反思（</w:t>
            </w:r>
            <w:r>
              <w:rPr>
                <w:rFonts w:ascii="仿宋" w:hAnsi="仿宋" w:eastAsia="仿宋" w:cs="Times New Roman"/>
                <w:sz w:val="24"/>
              </w:rPr>
              <w:t>M</w:t>
            </w:r>
            <w:r>
              <w:rPr>
                <w:rFonts w:hint="eastAsia" w:ascii="仿宋" w:hAnsi="仿宋" w:eastAsia="仿宋" w:cs="Times New Roman"/>
                <w:sz w:val="24"/>
              </w:rPr>
              <w:t>）</w:t>
            </w:r>
          </w:p>
        </w:tc>
      </w:tr>
      <w:tr w14:paraId="4BB18692">
        <w:trPr>
          <w:trHeight w:val="0" w:hRule="atLeast"/>
        </w:trPr>
        <w:tc>
          <w:tcPr>
            <w:tcW w:w="1376" w:type="dxa"/>
            <w:vMerge w:val="restart"/>
            <w:vAlign w:val="center"/>
          </w:tcPr>
          <w:p w14:paraId="1F2ABCF9">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F</w:t>
            </w:r>
          </w:p>
          <w:p w14:paraId="6BAA9472">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理论学习内容</w:t>
            </w:r>
          </w:p>
        </w:tc>
        <w:tc>
          <w:tcPr>
            <w:tcW w:w="5367" w:type="dxa"/>
            <w:gridSpan w:val="10"/>
            <w:vAlign w:val="center"/>
          </w:tcPr>
          <w:p w14:paraId="72F153BA">
            <w:pPr>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章节学习内容与学习要求</w:t>
            </w:r>
          </w:p>
        </w:tc>
        <w:tc>
          <w:tcPr>
            <w:tcW w:w="1553" w:type="dxa"/>
            <w:gridSpan w:val="5"/>
            <w:vAlign w:val="center"/>
          </w:tcPr>
          <w:p w14:paraId="2D582A51">
            <w:pPr>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支撑课程</w:t>
            </w:r>
          </w:p>
          <w:p w14:paraId="02E46B34">
            <w:pPr>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852" w:type="dxa"/>
            <w:gridSpan w:val="2"/>
            <w:vAlign w:val="center"/>
          </w:tcPr>
          <w:p w14:paraId="338C6474">
            <w:pPr>
              <w:spacing w:line="240" w:lineRule="atLeast"/>
              <w:jc w:val="center"/>
              <w:rPr>
                <w:rFonts w:ascii="仿宋" w:hAnsi="仿宋" w:eastAsia="仿宋" w:cs="仿宋"/>
                <w:kern w:val="0"/>
                <w:sz w:val="24"/>
                <w:szCs w:val="24"/>
              </w:rPr>
            </w:pPr>
            <w:r>
              <w:rPr>
                <w:rFonts w:hint="eastAsia" w:ascii="仿宋" w:hAnsi="仿宋" w:eastAsia="仿宋" w:cs="仿宋"/>
                <w:kern w:val="0"/>
                <w:sz w:val="24"/>
                <w:szCs w:val="24"/>
              </w:rPr>
              <w:t>学时</w:t>
            </w:r>
          </w:p>
          <w:p w14:paraId="69FCDA11">
            <w:pPr>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分配</w:t>
            </w:r>
          </w:p>
        </w:tc>
      </w:tr>
      <w:tr w14:paraId="0A68FD2A">
        <w:trPr>
          <w:trHeight w:val="0" w:hRule="atLeast"/>
        </w:trPr>
        <w:tc>
          <w:tcPr>
            <w:tcW w:w="1376" w:type="dxa"/>
            <w:vMerge w:val="continue"/>
            <w:vAlign w:val="center"/>
          </w:tcPr>
          <w:p w14:paraId="56EEC6C6">
            <w:pPr>
              <w:spacing w:line="240" w:lineRule="atLeast"/>
              <w:jc w:val="right"/>
              <w:rPr>
                <w:rFonts w:hint="eastAsia" w:ascii="仿宋" w:hAnsi="仿宋" w:eastAsia="仿宋" w:cs="仿宋"/>
                <w:sz w:val="24"/>
                <w:szCs w:val="24"/>
              </w:rPr>
            </w:pPr>
          </w:p>
        </w:tc>
        <w:tc>
          <w:tcPr>
            <w:tcW w:w="5367" w:type="dxa"/>
            <w:gridSpan w:val="10"/>
            <w:vAlign w:val="center"/>
          </w:tcPr>
          <w:p w14:paraId="2EBD337B">
            <w:pPr>
              <w:numPr>
                <w:ilvl w:val="0"/>
                <w:numId w:val="11"/>
              </w:numPr>
              <w:rPr>
                <w:rFonts w:hint="eastAsia" w:ascii="仿宋" w:hAnsi="仿宋" w:eastAsia="仿宋" w:cs="仿宋"/>
                <w:bCs/>
                <w:sz w:val="24"/>
                <w:szCs w:val="24"/>
              </w:rPr>
            </w:pPr>
            <w:bookmarkStart w:id="91" w:name="OLE_LINK1"/>
            <w:bookmarkStart w:id="92" w:name="OLE_LINK2"/>
            <w:r>
              <w:rPr>
                <w:rFonts w:hint="eastAsia" w:ascii="仿宋" w:hAnsi="仿宋" w:eastAsia="仿宋" w:cs="仿宋"/>
                <w:bCs/>
                <w:sz w:val="24"/>
                <w:szCs w:val="24"/>
              </w:rPr>
              <w:t>绪论</w:t>
            </w:r>
          </w:p>
          <w:bookmarkEnd w:id="91"/>
          <w:bookmarkEnd w:id="92"/>
          <w:p w14:paraId="1CB8E531">
            <w:pPr>
              <w:widowControl/>
              <w:rPr>
                <w:rFonts w:hint="eastAsia" w:ascii="仿宋" w:hAnsi="仿宋" w:eastAsia="仿宋" w:cs="仿宋"/>
                <w:kern w:val="0"/>
                <w:sz w:val="24"/>
                <w:szCs w:val="24"/>
              </w:rPr>
            </w:pPr>
            <w:r>
              <w:rPr>
                <w:rFonts w:hint="eastAsia" w:ascii="仿宋" w:hAnsi="仿宋" w:eastAsia="仿宋" w:cs="仿宋"/>
                <w:kern w:val="0"/>
                <w:sz w:val="24"/>
                <w:szCs w:val="24"/>
              </w:rPr>
              <w:t>知道层次：音乐的材料与形象、音乐的种类与体裁、音乐的形式与意味、音乐的价值与功能音乐的立美与审美音乐与人生、自然、社会的关系的学习。</w:t>
            </w:r>
          </w:p>
          <w:p w14:paraId="1001043D">
            <w:pPr>
              <w:widowControl/>
              <w:rPr>
                <w:rFonts w:hint="eastAsia" w:ascii="仿宋" w:hAnsi="仿宋" w:eastAsia="仿宋" w:cs="仿宋"/>
                <w:kern w:val="0"/>
                <w:sz w:val="24"/>
                <w:szCs w:val="24"/>
              </w:rPr>
            </w:pPr>
            <w:r>
              <w:rPr>
                <w:rFonts w:hint="eastAsia" w:ascii="仿宋" w:hAnsi="仿宋" w:eastAsia="仿宋" w:cs="仿宋"/>
                <w:kern w:val="0"/>
                <w:sz w:val="24"/>
                <w:szCs w:val="24"/>
              </w:rPr>
              <w:t>领会层次：归纳</w:t>
            </w:r>
            <w:r>
              <w:rPr>
                <w:rFonts w:hint="eastAsia" w:ascii="仿宋" w:hAnsi="仿宋" w:eastAsia="仿宋" w:cs="仿宋"/>
                <w:bCs/>
                <w:sz w:val="24"/>
                <w:szCs w:val="24"/>
              </w:rPr>
              <w:t>音乐的形式与意味、音乐的价值与功能音乐的立美与审美。</w:t>
            </w:r>
          </w:p>
          <w:p w14:paraId="6A2F9FB8">
            <w:pPr>
              <w:widowControl/>
              <w:rPr>
                <w:rFonts w:ascii="仿宋" w:hAnsi="仿宋" w:eastAsia="仿宋" w:cs="仿宋"/>
                <w:kern w:val="0"/>
                <w:sz w:val="24"/>
                <w:szCs w:val="24"/>
              </w:rPr>
            </w:pPr>
            <w:r>
              <w:rPr>
                <w:rFonts w:hint="eastAsia" w:ascii="仿宋" w:hAnsi="仿宋" w:eastAsia="仿宋" w:cs="仿宋"/>
                <w:kern w:val="0"/>
                <w:sz w:val="24"/>
                <w:szCs w:val="24"/>
              </w:rPr>
              <w:t>应用层次：了解不同时期音乐思想和音乐理论，懂得其音乐文化发展背景与状况、作品风格与特征，掌握欣赏与分析不同时期音乐作品的初步能力。</w:t>
            </w:r>
          </w:p>
          <w:p w14:paraId="56C81511">
            <w:pPr>
              <w:widowControl/>
              <w:rPr>
                <w:rFonts w:hint="eastAsia" w:ascii="仿宋" w:hAnsi="仿宋" w:eastAsia="仿宋" w:cs="仿宋"/>
                <w:bCs/>
                <w:sz w:val="24"/>
                <w:szCs w:val="24"/>
              </w:rPr>
            </w:pPr>
            <w:r>
              <w:rPr>
                <w:rFonts w:hint="eastAsia" w:ascii="仿宋" w:hAnsi="仿宋" w:eastAsia="仿宋" w:cs="仿宋"/>
                <w:kern w:val="0"/>
                <w:sz w:val="24"/>
                <w:szCs w:val="24"/>
                <w:lang w:val="en-US" w:eastAsia="zh-CN"/>
              </w:rPr>
              <w:t>思政元素：通过对比中西方音乐文化，引导学生认识中华优秀传统文化的独特价值，增强文化自信。在讲解西方音乐史的同时，适当引入中国音乐史的内容，分析中西方音乐文化的异同，帮助学生理解文化多样性，树立开放包容的文化观。</w:t>
            </w:r>
            <w:r>
              <w:rPr>
                <w:rFonts w:hint="eastAsia" w:ascii="仿宋" w:hAnsi="仿宋" w:eastAsia="仿宋" w:cs="仿宋"/>
                <w:bCs/>
                <w:sz w:val="24"/>
                <w:szCs w:val="24"/>
              </w:rPr>
              <w:t xml:space="preserve">    </w:t>
            </w:r>
          </w:p>
        </w:tc>
        <w:tc>
          <w:tcPr>
            <w:tcW w:w="1553" w:type="dxa"/>
            <w:gridSpan w:val="5"/>
            <w:vAlign w:val="center"/>
          </w:tcPr>
          <w:p w14:paraId="6F831EA7">
            <w:pPr>
              <w:widowControl/>
              <w:jc w:val="center"/>
              <w:rPr>
                <w:rFonts w:hint="eastAsia" w:ascii="仿宋" w:hAnsi="仿宋" w:eastAsia="仿宋" w:cs="仿宋"/>
                <w:bCs/>
                <w:sz w:val="24"/>
                <w:szCs w:val="24"/>
                <w:lang w:eastAsia="zh-CN"/>
              </w:rPr>
            </w:pPr>
            <w:r>
              <w:rPr>
                <w:rFonts w:hint="eastAsia" w:ascii="仿宋" w:hAnsi="仿宋" w:eastAsia="仿宋" w:cs="仿宋"/>
                <w:bCs/>
                <w:sz w:val="24"/>
                <w:szCs w:val="24"/>
                <w:lang w:eastAsia="zh-CN"/>
              </w:rPr>
              <w:t>支撑课程目标1、2、3</w:t>
            </w:r>
          </w:p>
        </w:tc>
        <w:tc>
          <w:tcPr>
            <w:tcW w:w="852" w:type="dxa"/>
            <w:gridSpan w:val="2"/>
            <w:vAlign w:val="center"/>
          </w:tcPr>
          <w:p w14:paraId="492BA758">
            <w:pPr>
              <w:jc w:val="center"/>
              <w:rPr>
                <w:rFonts w:hint="eastAsia" w:ascii="仿宋" w:hAnsi="仿宋" w:eastAsia="仿宋" w:cs="仿宋"/>
                <w:sz w:val="24"/>
                <w:szCs w:val="24"/>
              </w:rPr>
            </w:pPr>
            <w:r>
              <w:rPr>
                <w:rFonts w:ascii="仿宋" w:hAnsi="仿宋" w:eastAsia="仿宋" w:cs="仿宋"/>
                <w:sz w:val="24"/>
                <w:szCs w:val="24"/>
              </w:rPr>
              <w:t>1</w:t>
            </w:r>
          </w:p>
        </w:tc>
      </w:tr>
      <w:tr w14:paraId="6F62626F">
        <w:trPr>
          <w:trHeight w:val="0" w:hRule="atLeast"/>
        </w:trPr>
        <w:tc>
          <w:tcPr>
            <w:tcW w:w="1376" w:type="dxa"/>
            <w:vMerge w:val="continue"/>
            <w:vAlign w:val="center"/>
          </w:tcPr>
          <w:p w14:paraId="5260D056">
            <w:pPr>
              <w:spacing w:line="240" w:lineRule="atLeast"/>
              <w:jc w:val="right"/>
              <w:rPr>
                <w:rFonts w:hint="eastAsia" w:ascii="仿宋" w:hAnsi="仿宋" w:eastAsia="仿宋" w:cs="仿宋"/>
                <w:sz w:val="24"/>
                <w:szCs w:val="24"/>
              </w:rPr>
            </w:pPr>
          </w:p>
        </w:tc>
        <w:tc>
          <w:tcPr>
            <w:tcW w:w="5367" w:type="dxa"/>
            <w:gridSpan w:val="10"/>
            <w:vAlign w:val="center"/>
          </w:tcPr>
          <w:p w14:paraId="4BFA3F4E">
            <w:pPr>
              <w:rPr>
                <w:rFonts w:hint="eastAsia" w:ascii="仿宋" w:hAnsi="仿宋" w:eastAsia="仿宋" w:cs="仿宋"/>
                <w:bCs/>
                <w:sz w:val="24"/>
                <w:szCs w:val="24"/>
              </w:rPr>
            </w:pPr>
            <w:r>
              <w:rPr>
                <w:rFonts w:hint="eastAsia" w:ascii="仿宋" w:hAnsi="仿宋" w:eastAsia="仿宋" w:cs="仿宋"/>
                <w:bCs/>
                <w:sz w:val="24"/>
                <w:szCs w:val="24"/>
              </w:rPr>
              <w:t>第二章 远古时代音乐文化</w:t>
            </w:r>
          </w:p>
          <w:p w14:paraId="5F035DE9">
            <w:pPr>
              <w:rPr>
                <w:rFonts w:hint="eastAsia" w:ascii="仿宋" w:hAnsi="仿宋" w:eastAsia="仿宋" w:cs="仿宋"/>
                <w:kern w:val="0"/>
                <w:sz w:val="24"/>
                <w:szCs w:val="24"/>
              </w:rPr>
            </w:pPr>
            <w:r>
              <w:rPr>
                <w:rFonts w:hint="eastAsia" w:ascii="仿宋" w:hAnsi="仿宋" w:eastAsia="仿宋" w:cs="仿宋"/>
                <w:kern w:val="0"/>
                <w:sz w:val="24"/>
                <w:szCs w:val="24"/>
              </w:rPr>
              <w:t>知道层次：古希腊、古罗马音乐的音乐形式和音乐理论等。</w:t>
            </w:r>
          </w:p>
          <w:p w14:paraId="005ABA80">
            <w:pPr>
              <w:rPr>
                <w:rFonts w:hint="eastAsia" w:ascii="仿宋" w:hAnsi="仿宋" w:eastAsia="仿宋" w:cs="仿宋"/>
                <w:kern w:val="0"/>
                <w:sz w:val="24"/>
                <w:szCs w:val="24"/>
              </w:rPr>
            </w:pPr>
            <w:r>
              <w:rPr>
                <w:rFonts w:hint="eastAsia" w:ascii="仿宋" w:hAnsi="仿宋" w:eastAsia="仿宋" w:cs="仿宋"/>
                <w:kern w:val="0"/>
                <w:sz w:val="24"/>
                <w:szCs w:val="24"/>
              </w:rPr>
              <w:t>领会层次：归纳远古音乐的起源，古希腊音乐概况，古罗马音乐概况。</w:t>
            </w:r>
          </w:p>
          <w:p w14:paraId="3F25F91E">
            <w:pPr>
              <w:rPr>
                <w:rFonts w:hint="eastAsia" w:ascii="仿宋" w:hAnsi="仿宋" w:eastAsia="仿宋" w:cs="仿宋"/>
                <w:bCs/>
                <w:sz w:val="24"/>
                <w:szCs w:val="24"/>
              </w:rPr>
            </w:pPr>
            <w:r>
              <w:rPr>
                <w:rFonts w:hint="eastAsia" w:ascii="仿宋" w:hAnsi="仿宋" w:eastAsia="仿宋" w:cs="仿宋"/>
                <w:kern w:val="0"/>
                <w:sz w:val="24"/>
                <w:szCs w:val="24"/>
              </w:rPr>
              <w:t xml:space="preserve">应用层次：掌握该时期音乐发展的主要内容之外，还要了解为什么古希腊、古罗马时期是西方音乐历史发展的源头，该时期的音乐对后世音乐产生了怎样的影响，对整个西方音乐的发展而言有何意义。 </w:t>
            </w:r>
          </w:p>
        </w:tc>
        <w:tc>
          <w:tcPr>
            <w:tcW w:w="1553" w:type="dxa"/>
            <w:gridSpan w:val="5"/>
            <w:vAlign w:val="center"/>
          </w:tcPr>
          <w:p w14:paraId="1EDBDE68">
            <w:pPr>
              <w:jc w:val="center"/>
              <w:rPr>
                <w:rFonts w:hint="eastAsia" w:ascii="仿宋" w:hAnsi="仿宋" w:eastAsia="仿宋" w:cs="仿宋"/>
                <w:bCs/>
                <w:sz w:val="24"/>
                <w:szCs w:val="24"/>
              </w:rPr>
            </w:pPr>
          </w:p>
          <w:p w14:paraId="3CA3F659">
            <w:pPr>
              <w:widowControl/>
              <w:jc w:val="center"/>
              <w:rPr>
                <w:rFonts w:hint="eastAsia" w:ascii="仿宋" w:hAnsi="仿宋" w:eastAsia="仿宋" w:cs="仿宋"/>
                <w:bCs/>
                <w:sz w:val="24"/>
                <w:szCs w:val="24"/>
              </w:rPr>
            </w:pPr>
          </w:p>
          <w:p w14:paraId="0EA9B22C">
            <w:pPr>
              <w:widowControl/>
              <w:jc w:val="center"/>
              <w:rPr>
                <w:rFonts w:hint="eastAsia" w:ascii="仿宋" w:hAnsi="仿宋" w:eastAsia="仿宋" w:cs="仿宋"/>
                <w:bCs/>
                <w:sz w:val="24"/>
                <w:szCs w:val="24"/>
                <w:lang w:eastAsia="zh-CN"/>
              </w:rPr>
            </w:pPr>
            <w:r>
              <w:rPr>
                <w:rFonts w:hint="eastAsia" w:ascii="仿宋" w:hAnsi="仿宋" w:eastAsia="仿宋" w:cs="仿宋"/>
                <w:bCs/>
                <w:sz w:val="24"/>
                <w:szCs w:val="24"/>
                <w:lang w:eastAsia="zh-CN"/>
              </w:rPr>
              <w:t>支撑课程目标1、2、3</w:t>
            </w:r>
          </w:p>
          <w:p w14:paraId="342ACD4F">
            <w:pPr>
              <w:widowControl/>
              <w:jc w:val="center"/>
              <w:rPr>
                <w:rFonts w:hint="eastAsia" w:ascii="仿宋" w:hAnsi="仿宋" w:eastAsia="仿宋" w:cs="仿宋"/>
                <w:bCs/>
                <w:sz w:val="24"/>
                <w:szCs w:val="24"/>
              </w:rPr>
            </w:pPr>
          </w:p>
          <w:p w14:paraId="5264B17F">
            <w:pPr>
              <w:jc w:val="center"/>
              <w:rPr>
                <w:rFonts w:hint="eastAsia" w:ascii="仿宋" w:hAnsi="仿宋" w:eastAsia="仿宋" w:cs="仿宋"/>
                <w:bCs/>
                <w:sz w:val="24"/>
                <w:szCs w:val="24"/>
              </w:rPr>
            </w:pPr>
          </w:p>
        </w:tc>
        <w:tc>
          <w:tcPr>
            <w:tcW w:w="852" w:type="dxa"/>
            <w:gridSpan w:val="2"/>
            <w:vAlign w:val="center"/>
          </w:tcPr>
          <w:p w14:paraId="3F01614D">
            <w:pPr>
              <w:jc w:val="center"/>
              <w:rPr>
                <w:rFonts w:hint="eastAsia" w:ascii="仿宋" w:hAnsi="仿宋" w:eastAsia="仿宋" w:cs="仿宋"/>
                <w:sz w:val="24"/>
                <w:szCs w:val="24"/>
              </w:rPr>
            </w:pPr>
            <w:r>
              <w:rPr>
                <w:rFonts w:ascii="仿宋" w:hAnsi="仿宋" w:eastAsia="仿宋" w:cs="仿宋"/>
                <w:sz w:val="24"/>
                <w:szCs w:val="24"/>
              </w:rPr>
              <w:t>3</w:t>
            </w:r>
          </w:p>
        </w:tc>
      </w:tr>
      <w:tr w14:paraId="6E45A1EC">
        <w:trPr>
          <w:trHeight w:val="0" w:hRule="atLeast"/>
        </w:trPr>
        <w:tc>
          <w:tcPr>
            <w:tcW w:w="1376" w:type="dxa"/>
            <w:vMerge w:val="continue"/>
            <w:vAlign w:val="center"/>
          </w:tcPr>
          <w:p w14:paraId="19A5D4D8">
            <w:pPr>
              <w:spacing w:line="240" w:lineRule="atLeast"/>
              <w:jc w:val="right"/>
              <w:rPr>
                <w:rFonts w:hint="eastAsia" w:ascii="仿宋" w:hAnsi="仿宋" w:eastAsia="仿宋" w:cs="仿宋"/>
                <w:sz w:val="24"/>
                <w:szCs w:val="24"/>
              </w:rPr>
            </w:pPr>
          </w:p>
        </w:tc>
        <w:tc>
          <w:tcPr>
            <w:tcW w:w="5367" w:type="dxa"/>
            <w:gridSpan w:val="10"/>
            <w:vAlign w:val="center"/>
          </w:tcPr>
          <w:p w14:paraId="106EEBA4">
            <w:pPr>
              <w:rPr>
                <w:rFonts w:hint="eastAsia" w:ascii="仿宋" w:hAnsi="仿宋" w:eastAsia="仿宋" w:cs="仿宋"/>
                <w:bCs/>
                <w:sz w:val="24"/>
                <w:szCs w:val="24"/>
              </w:rPr>
            </w:pPr>
            <w:r>
              <w:rPr>
                <w:rFonts w:hint="eastAsia" w:ascii="仿宋" w:hAnsi="仿宋" w:eastAsia="仿宋" w:cs="仿宋"/>
                <w:bCs/>
                <w:sz w:val="24"/>
                <w:szCs w:val="24"/>
              </w:rPr>
              <w:t xml:space="preserve">第三章 </w:t>
            </w:r>
            <w:bookmarkStart w:id="93" w:name="OLE_LINK4"/>
            <w:bookmarkStart w:id="94" w:name="OLE_LINK3"/>
            <w:r>
              <w:rPr>
                <w:rFonts w:hint="eastAsia" w:ascii="仿宋" w:hAnsi="仿宋" w:eastAsia="仿宋" w:cs="仿宋"/>
                <w:bCs/>
                <w:sz w:val="24"/>
                <w:szCs w:val="24"/>
              </w:rPr>
              <w:t>中世纪音乐文化</w:t>
            </w:r>
            <w:bookmarkEnd w:id="93"/>
            <w:bookmarkEnd w:id="94"/>
          </w:p>
          <w:p w14:paraId="73DA4FC8">
            <w:pPr>
              <w:rPr>
                <w:rFonts w:ascii="仿宋" w:hAnsi="仿宋" w:eastAsia="仿宋" w:cs="仿宋"/>
                <w:bCs/>
                <w:sz w:val="24"/>
                <w:szCs w:val="24"/>
              </w:rPr>
            </w:pPr>
            <w:r>
              <w:rPr>
                <w:rFonts w:hint="eastAsia" w:ascii="仿宋" w:hAnsi="仿宋" w:eastAsia="仿宋" w:cs="仿宋"/>
                <w:bCs/>
                <w:sz w:val="24"/>
                <w:szCs w:val="24"/>
              </w:rPr>
              <w:t>知道层次：单声部教会音乐的状况、多声部教会音乐的形成和发展、教会音乐的理论与中世纪的记谱法与调式、两类世俗音乐的状况、“新艺术”时期的音乐。</w:t>
            </w:r>
          </w:p>
          <w:p w14:paraId="241B5F01">
            <w:pPr>
              <w:rPr>
                <w:rFonts w:hint="eastAsia" w:ascii="仿宋" w:hAnsi="仿宋" w:eastAsia="仿宋" w:cs="仿宋"/>
                <w:bCs/>
                <w:sz w:val="24"/>
                <w:szCs w:val="24"/>
              </w:rPr>
            </w:pPr>
            <w:r>
              <w:rPr>
                <w:rFonts w:hint="eastAsia" w:ascii="仿宋" w:hAnsi="仿宋" w:eastAsia="仿宋" w:cs="仿宋"/>
                <w:bCs/>
                <w:sz w:val="24"/>
                <w:szCs w:val="24"/>
              </w:rPr>
              <w:t>领会层次：归纳多声部教会音乐的形成和发展，“新艺术”时期的音乐。</w:t>
            </w:r>
          </w:p>
          <w:p w14:paraId="5481D132">
            <w:pPr>
              <w:rPr>
                <w:rFonts w:hint="eastAsia" w:ascii="仿宋" w:hAnsi="仿宋" w:eastAsia="仿宋" w:cs="仿宋"/>
                <w:bCs/>
                <w:sz w:val="24"/>
                <w:szCs w:val="24"/>
              </w:rPr>
            </w:pPr>
            <w:r>
              <w:rPr>
                <w:rFonts w:hint="eastAsia" w:ascii="仿宋" w:hAnsi="仿宋" w:eastAsia="仿宋" w:cs="仿宋"/>
                <w:bCs/>
                <w:sz w:val="24"/>
                <w:szCs w:val="24"/>
              </w:rPr>
              <w:t>应用层次：了解教会音乐理论、中世纪的乐器。掌握法国的游吟诗人、德国的恋诗歌手的突出特征及所唱歌曲的体裁特征。</w:t>
            </w:r>
          </w:p>
        </w:tc>
        <w:tc>
          <w:tcPr>
            <w:tcW w:w="1553" w:type="dxa"/>
            <w:gridSpan w:val="5"/>
            <w:vAlign w:val="center"/>
          </w:tcPr>
          <w:p w14:paraId="6FBEDDE2">
            <w:pPr>
              <w:widowControl/>
              <w:jc w:val="center"/>
              <w:rPr>
                <w:rFonts w:hint="eastAsia" w:ascii="仿宋" w:hAnsi="仿宋" w:eastAsia="仿宋" w:cs="仿宋"/>
                <w:bCs/>
                <w:sz w:val="24"/>
                <w:szCs w:val="24"/>
                <w:lang w:eastAsia="zh-CN"/>
              </w:rPr>
            </w:pPr>
            <w:r>
              <w:rPr>
                <w:rFonts w:hint="eastAsia" w:ascii="仿宋" w:hAnsi="仿宋" w:eastAsia="仿宋" w:cs="仿宋"/>
                <w:bCs/>
                <w:sz w:val="24"/>
                <w:szCs w:val="24"/>
                <w:lang w:eastAsia="zh-CN"/>
              </w:rPr>
              <w:t>支撑课程目标1、2、3</w:t>
            </w:r>
          </w:p>
        </w:tc>
        <w:tc>
          <w:tcPr>
            <w:tcW w:w="852" w:type="dxa"/>
            <w:gridSpan w:val="2"/>
            <w:vAlign w:val="center"/>
          </w:tcPr>
          <w:p w14:paraId="4817693A">
            <w:pPr>
              <w:jc w:val="center"/>
              <w:rPr>
                <w:rFonts w:hint="eastAsia" w:ascii="仿宋" w:hAnsi="仿宋" w:eastAsia="仿宋" w:cs="仿宋"/>
                <w:sz w:val="24"/>
                <w:szCs w:val="24"/>
              </w:rPr>
            </w:pPr>
            <w:r>
              <w:rPr>
                <w:rFonts w:ascii="仿宋" w:hAnsi="仿宋" w:eastAsia="仿宋" w:cs="仿宋"/>
                <w:sz w:val="24"/>
                <w:szCs w:val="24"/>
              </w:rPr>
              <w:t>4</w:t>
            </w:r>
          </w:p>
        </w:tc>
      </w:tr>
      <w:tr w14:paraId="669F909B">
        <w:trPr>
          <w:trHeight w:val="0" w:hRule="atLeast"/>
        </w:trPr>
        <w:tc>
          <w:tcPr>
            <w:tcW w:w="1376" w:type="dxa"/>
            <w:vMerge w:val="continue"/>
            <w:vAlign w:val="center"/>
          </w:tcPr>
          <w:p w14:paraId="156F896D">
            <w:pPr>
              <w:spacing w:line="240" w:lineRule="atLeast"/>
              <w:jc w:val="right"/>
              <w:rPr>
                <w:rFonts w:hint="eastAsia" w:ascii="仿宋" w:hAnsi="仿宋" w:eastAsia="仿宋" w:cs="仿宋"/>
                <w:sz w:val="24"/>
                <w:szCs w:val="24"/>
              </w:rPr>
            </w:pPr>
          </w:p>
        </w:tc>
        <w:tc>
          <w:tcPr>
            <w:tcW w:w="5367" w:type="dxa"/>
            <w:gridSpan w:val="10"/>
            <w:vAlign w:val="center"/>
          </w:tcPr>
          <w:p w14:paraId="14483705">
            <w:pPr>
              <w:rPr>
                <w:rFonts w:hint="eastAsia" w:ascii="仿宋" w:hAnsi="仿宋" w:eastAsia="仿宋" w:cs="仿宋"/>
                <w:bCs/>
                <w:sz w:val="24"/>
                <w:szCs w:val="24"/>
              </w:rPr>
            </w:pPr>
            <w:r>
              <w:rPr>
                <w:rFonts w:hint="eastAsia" w:ascii="仿宋" w:hAnsi="仿宋" w:eastAsia="仿宋" w:cs="仿宋"/>
                <w:bCs/>
                <w:sz w:val="24"/>
                <w:szCs w:val="24"/>
              </w:rPr>
              <w:t>第四章  文艺复兴时期音乐文化</w:t>
            </w:r>
          </w:p>
          <w:p w14:paraId="2CAD888D">
            <w:pPr>
              <w:rPr>
                <w:rFonts w:hint="eastAsia" w:ascii="仿宋" w:hAnsi="仿宋" w:eastAsia="仿宋" w:cs="仿宋"/>
                <w:bCs/>
                <w:sz w:val="24"/>
                <w:szCs w:val="24"/>
              </w:rPr>
            </w:pPr>
            <w:r>
              <w:rPr>
                <w:rFonts w:hint="eastAsia" w:ascii="仿宋" w:hAnsi="仿宋" w:eastAsia="仿宋" w:cs="仿宋"/>
                <w:bCs/>
                <w:sz w:val="24"/>
                <w:szCs w:val="24"/>
              </w:rPr>
              <w:t>知道层次：佛兰德乐派、16世纪的宗教音乐、世俗声乐音乐、器乐音乐。</w:t>
            </w:r>
          </w:p>
          <w:p w14:paraId="3481488E">
            <w:pPr>
              <w:rPr>
                <w:rFonts w:hint="eastAsia" w:ascii="仿宋" w:hAnsi="仿宋" w:eastAsia="仿宋" w:cs="仿宋"/>
                <w:bCs/>
                <w:sz w:val="24"/>
                <w:szCs w:val="24"/>
              </w:rPr>
            </w:pPr>
            <w:r>
              <w:rPr>
                <w:rFonts w:hint="eastAsia" w:ascii="仿宋" w:hAnsi="仿宋" w:eastAsia="仿宋" w:cs="仿宋"/>
                <w:bCs/>
                <w:sz w:val="24"/>
                <w:szCs w:val="24"/>
              </w:rPr>
              <w:t>领会层次：归纳人文主义精神在音乐中的体现；“新艺术”时期法国音乐的新特征；马丁路德宗教改革后的新教音乐的特点。</w:t>
            </w:r>
          </w:p>
          <w:p w14:paraId="7E78E79B">
            <w:pPr>
              <w:rPr>
                <w:rFonts w:hint="eastAsia" w:ascii="仿宋" w:hAnsi="仿宋" w:eastAsia="仿宋" w:cs="仿宋"/>
                <w:bCs/>
                <w:sz w:val="24"/>
                <w:szCs w:val="24"/>
              </w:rPr>
            </w:pPr>
            <w:r>
              <w:rPr>
                <w:rFonts w:hint="eastAsia" w:ascii="仿宋" w:hAnsi="仿宋" w:eastAsia="仿宋" w:cs="仿宋"/>
                <w:bCs/>
                <w:sz w:val="24"/>
                <w:szCs w:val="24"/>
              </w:rPr>
              <w:t>应用层次：掌握14世纪文艺复兴时期法国、意大利音乐的风格特征、主要体裁。以及尼德兰乐派音乐、16世纪的宗教音乐。</w:t>
            </w:r>
          </w:p>
          <w:p w14:paraId="443104B1">
            <w:pPr>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思政元素：通过分析西方音乐历史中的事件、现象和思想，培养学生用历史唯物主义和辩证思维看待问题。在讲解音乐现象（如文艺复兴、启蒙运动对音乐的影响）时，引导学生从社会、经济、政治等角度分析其成因和影响，理解音乐与社会的互动关系。</w:t>
            </w:r>
          </w:p>
        </w:tc>
        <w:tc>
          <w:tcPr>
            <w:tcW w:w="1553" w:type="dxa"/>
            <w:gridSpan w:val="5"/>
            <w:vAlign w:val="center"/>
          </w:tcPr>
          <w:p w14:paraId="025EA208">
            <w:pPr>
              <w:widowControl/>
              <w:jc w:val="center"/>
              <w:rPr>
                <w:rFonts w:hint="eastAsia" w:ascii="仿宋" w:hAnsi="仿宋" w:eastAsia="仿宋" w:cs="仿宋"/>
                <w:bCs/>
                <w:sz w:val="24"/>
                <w:szCs w:val="24"/>
                <w:lang w:eastAsia="zh-CN"/>
              </w:rPr>
            </w:pPr>
            <w:r>
              <w:rPr>
                <w:rFonts w:hint="eastAsia" w:ascii="仿宋" w:hAnsi="仿宋" w:eastAsia="仿宋" w:cs="仿宋"/>
                <w:bCs/>
                <w:sz w:val="24"/>
                <w:szCs w:val="24"/>
                <w:lang w:eastAsia="zh-CN"/>
              </w:rPr>
              <w:t>支撑课程目标1、2、3</w:t>
            </w:r>
          </w:p>
        </w:tc>
        <w:tc>
          <w:tcPr>
            <w:tcW w:w="852" w:type="dxa"/>
            <w:gridSpan w:val="2"/>
            <w:vAlign w:val="center"/>
          </w:tcPr>
          <w:p w14:paraId="3BBCD7B6">
            <w:pPr>
              <w:jc w:val="center"/>
              <w:rPr>
                <w:rFonts w:hint="eastAsia" w:ascii="仿宋" w:hAnsi="仿宋" w:eastAsia="仿宋" w:cs="仿宋"/>
                <w:sz w:val="24"/>
                <w:szCs w:val="24"/>
              </w:rPr>
            </w:pPr>
            <w:r>
              <w:rPr>
                <w:rFonts w:ascii="仿宋" w:hAnsi="仿宋" w:eastAsia="仿宋" w:cs="仿宋"/>
                <w:sz w:val="24"/>
                <w:szCs w:val="24"/>
              </w:rPr>
              <w:t>4</w:t>
            </w:r>
          </w:p>
        </w:tc>
      </w:tr>
      <w:tr w14:paraId="4098F1E9">
        <w:trPr>
          <w:trHeight w:val="0" w:hRule="atLeast"/>
        </w:trPr>
        <w:tc>
          <w:tcPr>
            <w:tcW w:w="1376" w:type="dxa"/>
            <w:vMerge w:val="continue"/>
            <w:vAlign w:val="center"/>
          </w:tcPr>
          <w:p w14:paraId="06035F52">
            <w:pPr>
              <w:spacing w:line="240" w:lineRule="atLeast"/>
              <w:jc w:val="right"/>
              <w:rPr>
                <w:rFonts w:hint="eastAsia" w:ascii="仿宋" w:hAnsi="仿宋" w:eastAsia="仿宋" w:cs="仿宋"/>
                <w:sz w:val="24"/>
                <w:szCs w:val="24"/>
              </w:rPr>
            </w:pPr>
          </w:p>
        </w:tc>
        <w:tc>
          <w:tcPr>
            <w:tcW w:w="5367" w:type="dxa"/>
            <w:gridSpan w:val="10"/>
            <w:vAlign w:val="center"/>
          </w:tcPr>
          <w:p w14:paraId="390348BC">
            <w:pPr>
              <w:rPr>
                <w:rFonts w:hint="eastAsia" w:ascii="仿宋" w:hAnsi="仿宋" w:eastAsia="仿宋" w:cs="仿宋"/>
                <w:bCs/>
                <w:sz w:val="24"/>
                <w:szCs w:val="24"/>
              </w:rPr>
            </w:pPr>
            <w:r>
              <w:rPr>
                <w:rFonts w:hint="eastAsia" w:ascii="仿宋" w:hAnsi="仿宋" w:eastAsia="仿宋" w:cs="仿宋"/>
                <w:bCs/>
                <w:sz w:val="24"/>
                <w:szCs w:val="24"/>
              </w:rPr>
              <w:t>第五章 巴罗克时期的音乐</w:t>
            </w:r>
          </w:p>
          <w:p w14:paraId="58943AD6">
            <w:pPr>
              <w:rPr>
                <w:rFonts w:hint="eastAsia" w:ascii="仿宋" w:hAnsi="仿宋" w:eastAsia="仿宋" w:cs="仿宋"/>
                <w:bCs/>
                <w:sz w:val="24"/>
                <w:szCs w:val="24"/>
              </w:rPr>
            </w:pPr>
            <w:r>
              <w:rPr>
                <w:rFonts w:hint="eastAsia" w:ascii="仿宋" w:hAnsi="仿宋" w:eastAsia="仿宋" w:cs="仿宋"/>
                <w:bCs/>
                <w:sz w:val="24"/>
                <w:szCs w:val="24"/>
              </w:rPr>
              <w:t>知道层次：意大利歌剧及歌剧的诞生和初创；法国、德国和英国歌剧；巴罗史时期的器尔音乐；巴罗史时期的音乐体裁；亨德尔；巴赫。</w:t>
            </w:r>
          </w:p>
          <w:p w14:paraId="6D1D7FAE">
            <w:pPr>
              <w:rPr>
                <w:rFonts w:hint="eastAsia" w:ascii="仿宋" w:hAnsi="仿宋" w:eastAsia="仿宋" w:cs="仿宋"/>
                <w:bCs/>
                <w:sz w:val="24"/>
                <w:szCs w:val="24"/>
              </w:rPr>
            </w:pPr>
            <w:r>
              <w:rPr>
                <w:rFonts w:hint="eastAsia" w:ascii="仿宋" w:hAnsi="仿宋" w:eastAsia="仿宋" w:cs="仿宋"/>
                <w:bCs/>
                <w:sz w:val="24"/>
                <w:szCs w:val="24"/>
              </w:rPr>
              <w:t>领会层次：归纳巴罗克音乐的主要特点，歌剧的诞生及其早期的发展；巴罗克时期其他大型声乐体裁的发展；亨德尔和巴赫和生平、创作和历史意义。</w:t>
            </w:r>
          </w:p>
          <w:p w14:paraId="2AD872BB">
            <w:pPr>
              <w:rPr>
                <w:rFonts w:hint="eastAsia" w:ascii="仿宋" w:hAnsi="仿宋" w:eastAsia="仿宋" w:cs="仿宋"/>
                <w:bCs/>
                <w:sz w:val="24"/>
                <w:szCs w:val="24"/>
              </w:rPr>
            </w:pPr>
            <w:r>
              <w:rPr>
                <w:rFonts w:hint="eastAsia" w:ascii="仿宋" w:hAnsi="仿宋" w:eastAsia="仿宋" w:cs="仿宋"/>
                <w:bCs/>
                <w:sz w:val="24"/>
                <w:szCs w:val="24"/>
              </w:rPr>
              <w:t>应用层次：掌握巴罗克时期的音乐风格特征；歌剧的诞生和早期发展；器乐的主要体裁；巴赫和亨德尔两位大师的音乐风格及其历史地位。</w:t>
            </w:r>
          </w:p>
        </w:tc>
        <w:tc>
          <w:tcPr>
            <w:tcW w:w="1553" w:type="dxa"/>
            <w:gridSpan w:val="5"/>
            <w:vAlign w:val="center"/>
          </w:tcPr>
          <w:p w14:paraId="63D5FF6D">
            <w:pPr>
              <w:widowControl/>
              <w:jc w:val="center"/>
              <w:rPr>
                <w:rFonts w:hint="eastAsia" w:ascii="仿宋" w:hAnsi="仿宋" w:eastAsia="仿宋" w:cs="仿宋"/>
                <w:bCs/>
                <w:sz w:val="24"/>
                <w:szCs w:val="24"/>
                <w:lang w:eastAsia="zh-CN"/>
              </w:rPr>
            </w:pPr>
            <w:r>
              <w:rPr>
                <w:rFonts w:hint="eastAsia" w:ascii="仿宋" w:hAnsi="仿宋" w:eastAsia="仿宋" w:cs="仿宋"/>
                <w:bCs/>
                <w:sz w:val="24"/>
                <w:szCs w:val="24"/>
                <w:lang w:eastAsia="zh-CN"/>
              </w:rPr>
              <w:t>支撑课程目标1、2、3</w:t>
            </w:r>
          </w:p>
        </w:tc>
        <w:tc>
          <w:tcPr>
            <w:tcW w:w="852" w:type="dxa"/>
            <w:gridSpan w:val="2"/>
            <w:vAlign w:val="center"/>
          </w:tcPr>
          <w:p w14:paraId="132A81BC">
            <w:pPr>
              <w:jc w:val="center"/>
              <w:rPr>
                <w:rFonts w:hint="eastAsia" w:ascii="仿宋" w:hAnsi="仿宋" w:eastAsia="仿宋" w:cs="仿宋"/>
                <w:sz w:val="24"/>
                <w:szCs w:val="24"/>
              </w:rPr>
            </w:pPr>
            <w:r>
              <w:rPr>
                <w:rFonts w:ascii="仿宋" w:hAnsi="仿宋" w:eastAsia="仿宋" w:cs="仿宋"/>
                <w:sz w:val="24"/>
                <w:szCs w:val="24"/>
              </w:rPr>
              <w:t>10</w:t>
            </w:r>
          </w:p>
        </w:tc>
      </w:tr>
      <w:tr w14:paraId="3FAB983E">
        <w:trPr>
          <w:trHeight w:val="0" w:hRule="atLeast"/>
        </w:trPr>
        <w:tc>
          <w:tcPr>
            <w:tcW w:w="1376" w:type="dxa"/>
            <w:vMerge w:val="continue"/>
            <w:vAlign w:val="center"/>
          </w:tcPr>
          <w:p w14:paraId="767FA984">
            <w:pPr>
              <w:spacing w:line="240" w:lineRule="atLeast"/>
              <w:jc w:val="right"/>
              <w:rPr>
                <w:rFonts w:hint="eastAsia" w:ascii="仿宋" w:hAnsi="仿宋" w:eastAsia="仿宋" w:cs="仿宋"/>
                <w:sz w:val="24"/>
                <w:szCs w:val="24"/>
              </w:rPr>
            </w:pPr>
          </w:p>
        </w:tc>
        <w:tc>
          <w:tcPr>
            <w:tcW w:w="5367" w:type="dxa"/>
            <w:gridSpan w:val="10"/>
            <w:vAlign w:val="center"/>
          </w:tcPr>
          <w:p w14:paraId="6D9C24CB">
            <w:pPr>
              <w:rPr>
                <w:rFonts w:hint="eastAsia" w:ascii="仿宋" w:hAnsi="仿宋" w:eastAsia="仿宋" w:cs="仿宋"/>
                <w:bCs/>
                <w:sz w:val="24"/>
                <w:szCs w:val="24"/>
              </w:rPr>
            </w:pPr>
            <w:r>
              <w:rPr>
                <w:rFonts w:hint="eastAsia" w:ascii="仿宋" w:hAnsi="仿宋" w:eastAsia="仿宋" w:cs="仿宋"/>
                <w:bCs/>
                <w:sz w:val="24"/>
                <w:szCs w:val="24"/>
              </w:rPr>
              <w:t>第六章  古典主义时期音乐文化</w:t>
            </w:r>
          </w:p>
          <w:p w14:paraId="223115EB">
            <w:pPr>
              <w:rPr>
                <w:rFonts w:hint="eastAsia" w:ascii="仿宋" w:hAnsi="仿宋" w:eastAsia="仿宋" w:cs="仿宋"/>
                <w:bCs/>
                <w:sz w:val="24"/>
                <w:szCs w:val="24"/>
              </w:rPr>
            </w:pPr>
            <w:r>
              <w:rPr>
                <w:rFonts w:hint="eastAsia" w:ascii="仿宋" w:hAnsi="仿宋" w:eastAsia="仿宋" w:cs="仿宋"/>
                <w:bCs/>
                <w:sz w:val="24"/>
                <w:szCs w:val="24"/>
              </w:rPr>
              <w:t>知道层次：歌剧改革和喜歌剧的发展、器乐独奏音乐和室内乐、管风琴合奏音乐、海顿、莫扎特、贝多芬。</w:t>
            </w:r>
          </w:p>
          <w:p w14:paraId="36DBF94E">
            <w:pPr>
              <w:rPr>
                <w:rFonts w:hint="eastAsia" w:ascii="仿宋" w:hAnsi="仿宋" w:eastAsia="仿宋" w:cs="仿宋"/>
                <w:bCs/>
                <w:sz w:val="24"/>
                <w:szCs w:val="24"/>
              </w:rPr>
            </w:pPr>
            <w:r>
              <w:rPr>
                <w:rFonts w:hint="eastAsia" w:ascii="仿宋" w:hAnsi="仿宋" w:eastAsia="仿宋" w:cs="仿宋"/>
                <w:bCs/>
                <w:sz w:val="24"/>
                <w:szCs w:val="24"/>
              </w:rPr>
              <w:t>领会层次：归纳奏鸣曲与交响曲的发展；以海顿和莫扎特为代表的最典型的古典主义风格；贝多芬的创作及其对浪漫主义音乐的影响。</w:t>
            </w:r>
          </w:p>
          <w:p w14:paraId="4081F96C">
            <w:pPr>
              <w:rPr>
                <w:rFonts w:hint="eastAsia" w:ascii="仿宋" w:hAnsi="仿宋" w:eastAsia="仿宋" w:cs="仿宋"/>
                <w:bCs/>
                <w:sz w:val="24"/>
                <w:szCs w:val="24"/>
              </w:rPr>
            </w:pPr>
            <w:r>
              <w:rPr>
                <w:rFonts w:hint="eastAsia" w:ascii="仿宋" w:hAnsi="仿宋" w:eastAsia="仿宋" w:cs="仿宋"/>
                <w:bCs/>
                <w:sz w:val="24"/>
                <w:szCs w:val="24"/>
              </w:rPr>
              <w:t>应用层次：掌握古典主义时期的音乐风格特征；海顿、莫扎特、贝多芬三位大师的音乐风格及其历史地位；奏鸣曲、交响曲在这个时期的发展。</w:t>
            </w:r>
          </w:p>
          <w:p w14:paraId="77387B8C">
            <w:pPr>
              <w:rPr>
                <w:rFonts w:ascii="仿宋" w:hAnsi="仿宋" w:eastAsia="仿宋" w:cs="仿宋"/>
                <w:bCs/>
                <w:sz w:val="24"/>
                <w:szCs w:val="24"/>
                <w:lang w:val="en-US" w:eastAsia="zh-CN"/>
              </w:rPr>
            </w:pPr>
            <w:r>
              <w:rPr>
                <w:rFonts w:hint="eastAsia" w:ascii="仿宋" w:hAnsi="仿宋" w:eastAsia="仿宋" w:cs="仿宋"/>
                <w:bCs/>
                <w:sz w:val="24"/>
                <w:szCs w:val="24"/>
                <w:lang w:val="en-US" w:eastAsia="zh-CN"/>
              </w:rPr>
              <w:t>思政元素：通过音乐作品的精神内涵，传递人文关怀、爱国主义和社会责任感。在欣赏贝多芬《第九交响曲》（表达人类团结与自由）或肖邦《革命练习曲》（表达爱国主义）时，引导学生思考音乐家如何通过作品表达对社会、民族和人类命运的关切。</w:t>
            </w:r>
          </w:p>
        </w:tc>
        <w:tc>
          <w:tcPr>
            <w:tcW w:w="1553" w:type="dxa"/>
            <w:gridSpan w:val="5"/>
            <w:vAlign w:val="center"/>
          </w:tcPr>
          <w:p w14:paraId="074DAEE2">
            <w:pPr>
              <w:widowControl/>
              <w:jc w:val="center"/>
              <w:rPr>
                <w:rFonts w:hint="eastAsia" w:ascii="仿宋" w:hAnsi="仿宋" w:eastAsia="仿宋" w:cs="仿宋"/>
                <w:bCs/>
                <w:sz w:val="24"/>
                <w:szCs w:val="24"/>
                <w:lang w:eastAsia="zh-CN"/>
              </w:rPr>
            </w:pPr>
            <w:r>
              <w:rPr>
                <w:rFonts w:hint="eastAsia" w:ascii="仿宋" w:hAnsi="仿宋" w:eastAsia="仿宋" w:cs="仿宋"/>
                <w:bCs/>
                <w:sz w:val="24"/>
                <w:szCs w:val="24"/>
                <w:lang w:eastAsia="zh-CN"/>
              </w:rPr>
              <w:t>支撑课程目标1、2、3</w:t>
            </w:r>
          </w:p>
        </w:tc>
        <w:tc>
          <w:tcPr>
            <w:tcW w:w="852" w:type="dxa"/>
            <w:gridSpan w:val="2"/>
            <w:vAlign w:val="center"/>
          </w:tcPr>
          <w:p w14:paraId="0E2E0CB8">
            <w:pPr>
              <w:jc w:val="center"/>
              <w:rPr>
                <w:rFonts w:hint="eastAsia" w:ascii="仿宋" w:hAnsi="仿宋" w:eastAsia="仿宋" w:cs="仿宋"/>
                <w:sz w:val="24"/>
                <w:szCs w:val="24"/>
              </w:rPr>
            </w:pPr>
            <w:r>
              <w:rPr>
                <w:rFonts w:ascii="仿宋" w:hAnsi="仿宋" w:eastAsia="仿宋" w:cs="仿宋"/>
                <w:sz w:val="24"/>
                <w:szCs w:val="24"/>
              </w:rPr>
              <w:t>14</w:t>
            </w:r>
          </w:p>
        </w:tc>
      </w:tr>
      <w:tr w14:paraId="09188BFA">
        <w:trPr>
          <w:trHeight w:val="0" w:hRule="atLeast"/>
        </w:trPr>
        <w:tc>
          <w:tcPr>
            <w:tcW w:w="1376" w:type="dxa"/>
            <w:vMerge w:val="continue"/>
            <w:vAlign w:val="center"/>
          </w:tcPr>
          <w:p w14:paraId="6BD5966D">
            <w:pPr>
              <w:spacing w:line="240" w:lineRule="atLeast"/>
              <w:jc w:val="right"/>
              <w:rPr>
                <w:rFonts w:hint="eastAsia" w:ascii="仿宋" w:hAnsi="仿宋" w:eastAsia="仿宋" w:cs="仿宋"/>
                <w:sz w:val="24"/>
                <w:szCs w:val="24"/>
              </w:rPr>
            </w:pPr>
          </w:p>
        </w:tc>
        <w:tc>
          <w:tcPr>
            <w:tcW w:w="5367" w:type="dxa"/>
            <w:gridSpan w:val="10"/>
            <w:vAlign w:val="center"/>
          </w:tcPr>
          <w:p w14:paraId="2E1FBD84">
            <w:pPr>
              <w:rPr>
                <w:rFonts w:hint="eastAsia" w:ascii="仿宋" w:hAnsi="仿宋" w:eastAsia="仿宋" w:cs="仿宋"/>
                <w:bCs/>
                <w:sz w:val="24"/>
                <w:szCs w:val="24"/>
              </w:rPr>
            </w:pPr>
            <w:r>
              <w:rPr>
                <w:rFonts w:hint="eastAsia" w:ascii="仿宋" w:hAnsi="仿宋" w:eastAsia="仿宋" w:cs="仿宋"/>
                <w:bCs/>
                <w:sz w:val="24"/>
                <w:szCs w:val="24"/>
              </w:rPr>
              <w:t>第七章  浪漫主义音乐文化</w:t>
            </w:r>
          </w:p>
          <w:p w14:paraId="3EDF2E83">
            <w:pPr>
              <w:rPr>
                <w:rFonts w:hint="eastAsia" w:ascii="仿宋" w:hAnsi="仿宋" w:eastAsia="仿宋" w:cs="仿宋"/>
                <w:bCs/>
                <w:sz w:val="24"/>
                <w:szCs w:val="24"/>
              </w:rPr>
            </w:pPr>
            <w:r>
              <w:rPr>
                <w:rFonts w:hint="eastAsia" w:ascii="仿宋" w:hAnsi="仿宋" w:eastAsia="仿宋" w:cs="仿宋"/>
                <w:bCs/>
                <w:sz w:val="24"/>
                <w:szCs w:val="24"/>
              </w:rPr>
              <w:t>知道层次：肖邦、李斯特；柏辽兹和法国民族乐派：弗朗克、丹第、圣—桑、福莱；法国歌剧：古诺和比才；德国歌剧：瓦格纳；意大利歌剧：罗西尼、多尼采蒂、贝里尼、威尔第。</w:t>
            </w:r>
          </w:p>
          <w:p w14:paraId="2C496956">
            <w:pPr>
              <w:rPr>
                <w:rFonts w:hint="eastAsia" w:ascii="仿宋" w:hAnsi="仿宋" w:eastAsia="仿宋" w:cs="仿宋"/>
                <w:bCs/>
                <w:sz w:val="24"/>
                <w:szCs w:val="24"/>
              </w:rPr>
            </w:pPr>
            <w:r>
              <w:rPr>
                <w:rFonts w:hint="eastAsia" w:ascii="仿宋" w:hAnsi="仿宋" w:eastAsia="仿宋" w:cs="仿宋"/>
                <w:bCs/>
                <w:sz w:val="24"/>
                <w:szCs w:val="24"/>
              </w:rPr>
              <w:t>领会层次：归纳浪漫主义代表性作曲家（舒伯特、舒曼、肖邦、李斯特、瓦格纳、柏辽玆、罗西尼、威尔第、柴可夫斯基等）、作表作品以及他们的历史意义；浪漫主义三大综合艺术；十九世纪意大利歌剧的发展脉络。浪漫主义时期的音乐风格特征；旧有音乐体裁的发展以及新体裁的诞生。</w:t>
            </w:r>
          </w:p>
          <w:p w14:paraId="60CF7468">
            <w:pPr>
              <w:rPr>
                <w:rFonts w:hint="eastAsia" w:ascii="仿宋" w:hAnsi="仿宋" w:eastAsia="仿宋" w:cs="仿宋"/>
                <w:bCs/>
                <w:sz w:val="24"/>
                <w:szCs w:val="24"/>
              </w:rPr>
            </w:pPr>
            <w:r>
              <w:rPr>
                <w:rFonts w:hint="eastAsia" w:ascii="仿宋" w:hAnsi="仿宋" w:eastAsia="仿宋" w:cs="仿宋"/>
                <w:bCs/>
                <w:sz w:val="24"/>
                <w:szCs w:val="24"/>
              </w:rPr>
              <w:t>应用层次：掌握浪漫主义时期的音乐风格特征；旧有音乐体裁的发展以及新体裁的诞生；多位大师的音乐风格和历史地位。</w:t>
            </w:r>
          </w:p>
        </w:tc>
        <w:tc>
          <w:tcPr>
            <w:tcW w:w="1553" w:type="dxa"/>
            <w:gridSpan w:val="5"/>
            <w:vAlign w:val="center"/>
          </w:tcPr>
          <w:p w14:paraId="79F43334">
            <w:pPr>
              <w:widowControl/>
              <w:jc w:val="center"/>
              <w:rPr>
                <w:rFonts w:hint="eastAsia" w:ascii="仿宋" w:hAnsi="仿宋" w:eastAsia="仿宋" w:cs="仿宋"/>
                <w:bCs/>
                <w:sz w:val="24"/>
                <w:szCs w:val="24"/>
                <w:lang w:eastAsia="zh-CN"/>
              </w:rPr>
            </w:pPr>
            <w:r>
              <w:rPr>
                <w:rFonts w:hint="eastAsia" w:ascii="仿宋" w:hAnsi="仿宋" w:eastAsia="仿宋" w:cs="仿宋"/>
                <w:bCs/>
                <w:sz w:val="24"/>
                <w:szCs w:val="24"/>
                <w:lang w:eastAsia="zh-CN"/>
              </w:rPr>
              <w:t>支撑课程目标1、2、3</w:t>
            </w:r>
          </w:p>
        </w:tc>
        <w:tc>
          <w:tcPr>
            <w:tcW w:w="852" w:type="dxa"/>
            <w:gridSpan w:val="2"/>
            <w:vAlign w:val="center"/>
          </w:tcPr>
          <w:p w14:paraId="6291C372">
            <w:pPr>
              <w:jc w:val="center"/>
              <w:rPr>
                <w:rFonts w:hint="eastAsia" w:ascii="仿宋" w:hAnsi="仿宋" w:eastAsia="仿宋" w:cs="仿宋"/>
                <w:sz w:val="24"/>
                <w:szCs w:val="24"/>
              </w:rPr>
            </w:pPr>
            <w:r>
              <w:rPr>
                <w:rFonts w:ascii="仿宋" w:hAnsi="仿宋" w:eastAsia="仿宋" w:cs="仿宋"/>
                <w:sz w:val="24"/>
                <w:szCs w:val="24"/>
              </w:rPr>
              <w:t>14</w:t>
            </w:r>
          </w:p>
        </w:tc>
      </w:tr>
      <w:tr w14:paraId="3A77CCE1">
        <w:trPr>
          <w:trHeight w:val="0" w:hRule="atLeast"/>
        </w:trPr>
        <w:tc>
          <w:tcPr>
            <w:tcW w:w="1376" w:type="dxa"/>
            <w:vMerge w:val="continue"/>
            <w:vAlign w:val="center"/>
          </w:tcPr>
          <w:p w14:paraId="456C525A">
            <w:pPr>
              <w:spacing w:line="240" w:lineRule="atLeast"/>
              <w:jc w:val="right"/>
              <w:rPr>
                <w:rFonts w:hint="eastAsia" w:ascii="仿宋" w:hAnsi="仿宋" w:eastAsia="仿宋" w:cs="仿宋"/>
                <w:sz w:val="24"/>
                <w:szCs w:val="24"/>
              </w:rPr>
            </w:pPr>
          </w:p>
        </w:tc>
        <w:tc>
          <w:tcPr>
            <w:tcW w:w="5367" w:type="dxa"/>
            <w:gridSpan w:val="10"/>
            <w:vAlign w:val="center"/>
          </w:tcPr>
          <w:p w14:paraId="0E5D3CB6">
            <w:pPr>
              <w:rPr>
                <w:rFonts w:hint="eastAsia" w:ascii="仿宋" w:hAnsi="仿宋" w:eastAsia="仿宋" w:cs="仿宋"/>
                <w:bCs/>
                <w:sz w:val="24"/>
                <w:szCs w:val="24"/>
              </w:rPr>
            </w:pPr>
            <w:r>
              <w:rPr>
                <w:rFonts w:hint="eastAsia" w:ascii="仿宋" w:hAnsi="仿宋" w:eastAsia="仿宋" w:cs="仿宋"/>
                <w:bCs/>
                <w:sz w:val="24"/>
                <w:szCs w:val="24"/>
              </w:rPr>
              <w:t>第八章  民族主义音乐文化</w:t>
            </w:r>
          </w:p>
          <w:p w14:paraId="2FFE67AF">
            <w:pPr>
              <w:rPr>
                <w:rFonts w:hint="eastAsia" w:ascii="仿宋" w:hAnsi="仿宋" w:eastAsia="仿宋" w:cs="仿宋"/>
                <w:bCs/>
                <w:sz w:val="24"/>
                <w:szCs w:val="24"/>
              </w:rPr>
            </w:pPr>
            <w:r>
              <w:rPr>
                <w:rFonts w:hint="eastAsia" w:ascii="仿宋" w:hAnsi="仿宋" w:eastAsia="仿宋" w:cs="仿宋"/>
                <w:bCs/>
                <w:sz w:val="24"/>
                <w:szCs w:val="24"/>
              </w:rPr>
              <w:t>知道层次：格林卡、强力集团”、柴科夫斯基、格拉祖诺夫、斯克里亚宾、拉赫玛尼诺夫、斯美塔那、德沃夏克、格里格、西贝柳斯。</w:t>
            </w:r>
          </w:p>
          <w:p w14:paraId="6FE30120">
            <w:pPr>
              <w:rPr>
                <w:rFonts w:hint="eastAsia" w:ascii="仿宋" w:hAnsi="仿宋" w:eastAsia="仿宋" w:cs="仿宋"/>
                <w:bCs/>
                <w:sz w:val="24"/>
                <w:szCs w:val="24"/>
              </w:rPr>
            </w:pPr>
            <w:r>
              <w:rPr>
                <w:rFonts w:hint="eastAsia" w:ascii="仿宋" w:hAnsi="仿宋" w:eastAsia="仿宋" w:cs="仿宋"/>
                <w:bCs/>
                <w:sz w:val="24"/>
                <w:szCs w:val="24"/>
              </w:rPr>
              <w:t>领会层次：归纳十九世纪民族乐派的主要成就，作表作品以及他们的历史意义。</w:t>
            </w:r>
          </w:p>
          <w:p w14:paraId="3FC5BC5E">
            <w:pPr>
              <w:rPr>
                <w:rFonts w:hint="eastAsia" w:ascii="仿宋" w:hAnsi="仿宋" w:eastAsia="仿宋" w:cs="仿宋"/>
                <w:bCs/>
                <w:sz w:val="24"/>
                <w:szCs w:val="24"/>
              </w:rPr>
            </w:pPr>
            <w:r>
              <w:rPr>
                <w:rFonts w:hint="eastAsia" w:ascii="仿宋" w:hAnsi="仿宋" w:eastAsia="仿宋" w:cs="仿宋"/>
                <w:bCs/>
                <w:sz w:val="24"/>
                <w:szCs w:val="24"/>
              </w:rPr>
              <w:t>应用层次：掌握俄罗斯民族乐派概述、斯美塔纳和德沃夏克的音乐创作。</w:t>
            </w:r>
          </w:p>
          <w:p w14:paraId="451FADBA">
            <w:pPr>
              <w:rPr>
                <w:rFonts w:ascii="仿宋" w:hAnsi="仿宋" w:eastAsia="仿宋" w:cs="仿宋"/>
                <w:bCs/>
                <w:sz w:val="24"/>
                <w:szCs w:val="24"/>
                <w:lang w:val="en-US" w:eastAsia="zh-CN"/>
              </w:rPr>
            </w:pPr>
            <w:r>
              <w:rPr>
                <w:rFonts w:hint="eastAsia" w:ascii="仿宋" w:hAnsi="仿宋" w:eastAsia="仿宋" w:cs="仿宋"/>
                <w:bCs/>
                <w:sz w:val="24"/>
                <w:szCs w:val="24"/>
                <w:lang w:val="en-US" w:eastAsia="zh-CN"/>
              </w:rPr>
              <w:t>思政元素：通过音乐家的爱国情怀和民族精神，激发学生的爱国热情。在讲解民族乐派（如俄罗斯民族乐派、捷克民族乐派）时，强调音乐家如何通过作品表达对民族文化的热爱和对国家命运的关切。</w:t>
            </w:r>
          </w:p>
        </w:tc>
        <w:tc>
          <w:tcPr>
            <w:tcW w:w="1553" w:type="dxa"/>
            <w:gridSpan w:val="5"/>
            <w:vAlign w:val="center"/>
          </w:tcPr>
          <w:p w14:paraId="666ABC9E">
            <w:pPr>
              <w:widowControl/>
              <w:jc w:val="center"/>
              <w:rPr>
                <w:rFonts w:hint="eastAsia" w:ascii="仿宋" w:hAnsi="仿宋" w:eastAsia="仿宋" w:cs="仿宋"/>
                <w:bCs/>
                <w:sz w:val="24"/>
                <w:szCs w:val="24"/>
                <w:lang w:eastAsia="zh-CN"/>
              </w:rPr>
            </w:pPr>
            <w:r>
              <w:rPr>
                <w:rFonts w:hint="eastAsia" w:ascii="仿宋" w:hAnsi="仿宋" w:eastAsia="仿宋" w:cs="仿宋"/>
                <w:bCs/>
                <w:sz w:val="24"/>
                <w:szCs w:val="24"/>
                <w:lang w:eastAsia="zh-CN"/>
              </w:rPr>
              <w:t>支撑课程目标1、2、3</w:t>
            </w:r>
          </w:p>
        </w:tc>
        <w:tc>
          <w:tcPr>
            <w:tcW w:w="852" w:type="dxa"/>
            <w:gridSpan w:val="2"/>
            <w:vAlign w:val="center"/>
          </w:tcPr>
          <w:p w14:paraId="71D1E77F">
            <w:pPr>
              <w:jc w:val="center"/>
              <w:rPr>
                <w:rFonts w:hint="eastAsia" w:ascii="仿宋" w:hAnsi="仿宋" w:eastAsia="仿宋" w:cs="仿宋"/>
                <w:sz w:val="24"/>
                <w:szCs w:val="24"/>
              </w:rPr>
            </w:pPr>
            <w:r>
              <w:rPr>
                <w:rFonts w:ascii="仿宋" w:hAnsi="仿宋" w:eastAsia="仿宋" w:cs="仿宋"/>
                <w:sz w:val="24"/>
                <w:szCs w:val="24"/>
              </w:rPr>
              <w:t>8</w:t>
            </w:r>
          </w:p>
        </w:tc>
      </w:tr>
      <w:tr w14:paraId="5145572D">
        <w:trPr>
          <w:trHeight w:val="0" w:hRule="atLeast"/>
        </w:trPr>
        <w:tc>
          <w:tcPr>
            <w:tcW w:w="1376" w:type="dxa"/>
            <w:vMerge w:val="continue"/>
            <w:vAlign w:val="center"/>
          </w:tcPr>
          <w:p w14:paraId="0B35EACB">
            <w:pPr>
              <w:spacing w:line="240" w:lineRule="atLeast"/>
              <w:jc w:val="right"/>
              <w:rPr>
                <w:rFonts w:hint="eastAsia" w:ascii="仿宋" w:hAnsi="仿宋" w:eastAsia="仿宋" w:cs="仿宋"/>
                <w:sz w:val="24"/>
                <w:szCs w:val="24"/>
              </w:rPr>
            </w:pPr>
          </w:p>
        </w:tc>
        <w:tc>
          <w:tcPr>
            <w:tcW w:w="5367" w:type="dxa"/>
            <w:gridSpan w:val="10"/>
            <w:vAlign w:val="center"/>
          </w:tcPr>
          <w:p w14:paraId="41CB43D3">
            <w:pPr>
              <w:rPr>
                <w:rFonts w:hint="eastAsia" w:ascii="仿宋" w:hAnsi="仿宋" w:eastAsia="仿宋" w:cs="仿宋"/>
                <w:bCs/>
                <w:sz w:val="24"/>
                <w:szCs w:val="24"/>
              </w:rPr>
            </w:pPr>
            <w:r>
              <w:rPr>
                <w:rFonts w:hint="eastAsia" w:ascii="仿宋" w:hAnsi="仿宋" w:eastAsia="仿宋" w:cs="仿宋"/>
                <w:bCs/>
                <w:sz w:val="24"/>
                <w:szCs w:val="24"/>
              </w:rPr>
              <w:t>第九章  现代主义音乐文化</w:t>
            </w:r>
          </w:p>
          <w:p w14:paraId="5871E045">
            <w:pPr>
              <w:rPr>
                <w:rFonts w:hint="eastAsia" w:ascii="仿宋" w:hAnsi="仿宋" w:eastAsia="仿宋" w:cs="仿宋"/>
                <w:bCs/>
                <w:sz w:val="24"/>
                <w:szCs w:val="24"/>
              </w:rPr>
            </w:pPr>
            <w:r>
              <w:rPr>
                <w:rFonts w:hint="eastAsia" w:ascii="仿宋" w:hAnsi="仿宋" w:eastAsia="仿宋" w:cs="仿宋"/>
                <w:bCs/>
                <w:sz w:val="24"/>
                <w:szCs w:val="24"/>
              </w:rPr>
              <w:t>知道层次：印象主义：德彪西、拉威尔；表现主义：勋伯格、贝尔格和韦伯恩 ；民族主义：匈牙利、捷克、芬兰、英国、俄罗斯、美国；新古典主义：斯特拉文斯基、新德米特、六人团；先锋派：整体序列音乐、偶然音乐、电子音乐、对新音色的追求；折中的作曲家：布里顿、肖斯塔科维奇；先锋派以后：简约派、第三潮流、后现代风格、流行音乐。</w:t>
            </w:r>
          </w:p>
          <w:p w14:paraId="316E4799">
            <w:pPr>
              <w:rPr>
                <w:rFonts w:hint="eastAsia" w:ascii="仿宋" w:hAnsi="仿宋" w:eastAsia="仿宋" w:cs="仿宋"/>
                <w:bCs/>
                <w:sz w:val="24"/>
                <w:szCs w:val="24"/>
              </w:rPr>
            </w:pPr>
            <w:r>
              <w:rPr>
                <w:rFonts w:hint="eastAsia" w:ascii="仿宋" w:hAnsi="仿宋" w:eastAsia="仿宋" w:cs="仿宋"/>
                <w:bCs/>
                <w:sz w:val="24"/>
                <w:szCs w:val="24"/>
              </w:rPr>
              <w:t>领会层次：归纳不同派别的风格特点及代表人物的音乐创作风格特点；勋伯格的每个创作时期的特点和代表作。</w:t>
            </w:r>
          </w:p>
          <w:p w14:paraId="52CB6A68">
            <w:pPr>
              <w:rPr>
                <w:rFonts w:hint="eastAsia" w:ascii="仿宋" w:hAnsi="仿宋" w:eastAsia="仿宋" w:cs="仿宋"/>
                <w:bCs/>
                <w:sz w:val="24"/>
                <w:szCs w:val="24"/>
              </w:rPr>
            </w:pPr>
            <w:r>
              <w:rPr>
                <w:rFonts w:hint="eastAsia" w:ascii="仿宋" w:hAnsi="仿宋" w:eastAsia="仿宋" w:cs="仿宋"/>
                <w:bCs/>
                <w:sz w:val="24"/>
                <w:szCs w:val="24"/>
              </w:rPr>
              <w:t>应用层次：掌握现代主义音乐的各个派别的形成和代表人物和作品音乐风格特征；多位大师的音乐风格和历史地位。</w:t>
            </w:r>
          </w:p>
          <w:p w14:paraId="7C22EE9F">
            <w:pPr>
              <w:rPr>
                <w:rFonts w:hint="eastAsia" w:ascii="仿宋" w:hAnsi="仿宋" w:eastAsia="仿宋" w:cs="仿宋"/>
                <w:bCs/>
                <w:sz w:val="24"/>
                <w:szCs w:val="24"/>
                <w:lang w:eastAsia="zh-CN"/>
              </w:rPr>
            </w:pPr>
            <w:r>
              <w:rPr>
                <w:rFonts w:hint="eastAsia" w:ascii="仿宋" w:hAnsi="仿宋" w:eastAsia="仿宋" w:cs="仿宋"/>
                <w:bCs/>
                <w:sz w:val="24"/>
                <w:szCs w:val="24"/>
                <w:lang w:val="en-US" w:eastAsia="zh-CN"/>
              </w:rPr>
              <w:t>思政元素：通过音乐家的社会责任感，引导学生认识艺术与社会的紧密联系。讲解音乐家的生平和创作背景时，强调他们如何通过音乐反映社会问题、推动社会进步（如肖斯塔科维奇在二战期间的音乐创作）。通过音乐家的创新精神和艺术追求，激励学生勇于探索、追求卓越。讲解现代主义音乐（如斯特拉文斯基、勋伯格）时，强调音乐家如何突破传统、勇于创新，引导学生思考创新精神在艺术和社会发展中的重要性。</w:t>
            </w:r>
          </w:p>
        </w:tc>
        <w:tc>
          <w:tcPr>
            <w:tcW w:w="1553" w:type="dxa"/>
            <w:gridSpan w:val="5"/>
            <w:vAlign w:val="center"/>
          </w:tcPr>
          <w:p w14:paraId="7759B709">
            <w:pPr>
              <w:widowControl/>
              <w:jc w:val="center"/>
              <w:rPr>
                <w:rFonts w:hint="eastAsia" w:ascii="仿宋" w:hAnsi="仿宋" w:eastAsia="仿宋" w:cs="仿宋"/>
                <w:bCs/>
                <w:sz w:val="24"/>
                <w:szCs w:val="24"/>
                <w:lang w:eastAsia="zh-CN"/>
              </w:rPr>
            </w:pPr>
            <w:r>
              <w:rPr>
                <w:rFonts w:hint="eastAsia" w:ascii="仿宋" w:hAnsi="仿宋" w:eastAsia="仿宋" w:cs="仿宋"/>
                <w:bCs/>
                <w:sz w:val="24"/>
                <w:szCs w:val="24"/>
                <w:lang w:eastAsia="zh-CN"/>
              </w:rPr>
              <w:t>支撑课程目标1、2、3</w:t>
            </w:r>
          </w:p>
        </w:tc>
        <w:tc>
          <w:tcPr>
            <w:tcW w:w="852" w:type="dxa"/>
            <w:gridSpan w:val="2"/>
            <w:vAlign w:val="center"/>
          </w:tcPr>
          <w:p w14:paraId="5B4D6F96">
            <w:pPr>
              <w:jc w:val="center"/>
              <w:rPr>
                <w:rFonts w:hint="eastAsia" w:ascii="仿宋" w:hAnsi="仿宋" w:eastAsia="仿宋" w:cs="仿宋"/>
                <w:sz w:val="24"/>
                <w:szCs w:val="24"/>
              </w:rPr>
            </w:pPr>
            <w:r>
              <w:rPr>
                <w:rFonts w:ascii="仿宋" w:hAnsi="仿宋" w:eastAsia="仿宋" w:cs="仿宋"/>
                <w:sz w:val="24"/>
                <w:szCs w:val="24"/>
              </w:rPr>
              <w:t>6</w:t>
            </w:r>
          </w:p>
        </w:tc>
      </w:tr>
      <w:tr w14:paraId="3FF04FE8">
        <w:trPr>
          <w:trHeight w:val="0" w:hRule="atLeast"/>
        </w:trPr>
        <w:tc>
          <w:tcPr>
            <w:tcW w:w="1376" w:type="dxa"/>
            <w:vMerge w:val="continue"/>
            <w:vAlign w:val="center"/>
          </w:tcPr>
          <w:p w14:paraId="21F087F6">
            <w:pPr>
              <w:spacing w:line="240" w:lineRule="atLeast"/>
              <w:jc w:val="center"/>
              <w:rPr>
                <w:rFonts w:hint="eastAsia" w:ascii="仿宋" w:hAnsi="仿宋" w:eastAsia="仿宋" w:cs="仿宋"/>
                <w:sz w:val="24"/>
                <w:szCs w:val="24"/>
              </w:rPr>
            </w:pPr>
          </w:p>
        </w:tc>
        <w:tc>
          <w:tcPr>
            <w:tcW w:w="6920" w:type="dxa"/>
            <w:gridSpan w:val="15"/>
            <w:vAlign w:val="center"/>
          </w:tcPr>
          <w:p w14:paraId="26D72638">
            <w:pPr>
              <w:jc w:val="center"/>
              <w:rPr>
                <w:rFonts w:hint="eastAsia" w:ascii="仿宋" w:hAnsi="仿宋" w:eastAsia="仿宋" w:cs="仿宋"/>
                <w:bCs/>
                <w:sz w:val="24"/>
                <w:szCs w:val="24"/>
              </w:rPr>
            </w:pPr>
            <w:r>
              <w:rPr>
                <w:rFonts w:hint="eastAsia" w:ascii="仿宋" w:hAnsi="仿宋" w:eastAsia="仿宋" w:cs="仿宋"/>
                <w:bCs/>
                <w:sz w:val="24"/>
                <w:szCs w:val="24"/>
              </w:rPr>
              <w:t>合计</w:t>
            </w:r>
          </w:p>
        </w:tc>
        <w:tc>
          <w:tcPr>
            <w:tcW w:w="852" w:type="dxa"/>
            <w:gridSpan w:val="2"/>
            <w:vAlign w:val="center"/>
          </w:tcPr>
          <w:p w14:paraId="2FA65463">
            <w:pPr>
              <w:jc w:val="center"/>
              <w:rPr>
                <w:rFonts w:hint="eastAsia" w:ascii="仿宋" w:hAnsi="仿宋" w:eastAsia="仿宋" w:cs="仿宋"/>
                <w:sz w:val="24"/>
                <w:szCs w:val="24"/>
              </w:rPr>
            </w:pPr>
            <w:r>
              <w:rPr>
                <w:rFonts w:ascii="仿宋" w:hAnsi="仿宋" w:eastAsia="仿宋" w:cs="仿宋"/>
                <w:sz w:val="24"/>
                <w:szCs w:val="24"/>
              </w:rPr>
              <w:t>64</w:t>
            </w:r>
          </w:p>
        </w:tc>
      </w:tr>
      <w:tr w14:paraId="213E88A9">
        <w:trPr>
          <w:trHeight w:val="0" w:hRule="atLeast"/>
        </w:trPr>
        <w:tc>
          <w:tcPr>
            <w:tcW w:w="1376" w:type="dxa"/>
            <w:vMerge w:val="restart"/>
            <w:vAlign w:val="center"/>
          </w:tcPr>
          <w:p w14:paraId="1487C63D">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G</w:t>
            </w:r>
          </w:p>
          <w:p w14:paraId="24908EB2">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实验（实训）内容</w:t>
            </w:r>
          </w:p>
        </w:tc>
        <w:tc>
          <w:tcPr>
            <w:tcW w:w="5695" w:type="dxa"/>
            <w:gridSpan w:val="11"/>
            <w:vAlign w:val="center"/>
          </w:tcPr>
          <w:p w14:paraId="03ED3235">
            <w:pPr>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项目名称、主要内容及开设要求</w:t>
            </w:r>
          </w:p>
        </w:tc>
        <w:tc>
          <w:tcPr>
            <w:tcW w:w="1225" w:type="dxa"/>
            <w:gridSpan w:val="4"/>
            <w:vAlign w:val="center"/>
          </w:tcPr>
          <w:p w14:paraId="4D5AD95C">
            <w:pPr>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支撑课程</w:t>
            </w:r>
          </w:p>
          <w:p w14:paraId="13CB1AA8">
            <w:pPr>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852" w:type="dxa"/>
            <w:gridSpan w:val="2"/>
            <w:vAlign w:val="center"/>
          </w:tcPr>
          <w:p w14:paraId="3B2352E0">
            <w:pPr>
              <w:jc w:val="center"/>
              <w:rPr>
                <w:rFonts w:ascii="仿宋" w:hAnsi="仿宋" w:eastAsia="仿宋" w:cs="仿宋"/>
                <w:kern w:val="0"/>
                <w:sz w:val="24"/>
                <w:szCs w:val="24"/>
              </w:rPr>
            </w:pPr>
            <w:r>
              <w:rPr>
                <w:rFonts w:hint="eastAsia" w:ascii="仿宋" w:hAnsi="仿宋" w:eastAsia="仿宋" w:cs="仿宋"/>
                <w:kern w:val="0"/>
                <w:sz w:val="24"/>
                <w:szCs w:val="24"/>
              </w:rPr>
              <w:t xml:space="preserve">学时 </w:t>
            </w:r>
          </w:p>
          <w:p w14:paraId="0183DAAD">
            <w:pPr>
              <w:jc w:val="center"/>
              <w:rPr>
                <w:rFonts w:hint="eastAsia" w:ascii="仿宋" w:hAnsi="仿宋" w:eastAsia="仿宋" w:cs="仿宋"/>
                <w:sz w:val="24"/>
                <w:szCs w:val="24"/>
              </w:rPr>
            </w:pPr>
            <w:r>
              <w:rPr>
                <w:rFonts w:hint="eastAsia" w:ascii="仿宋" w:hAnsi="仿宋" w:eastAsia="仿宋" w:cs="仿宋"/>
                <w:kern w:val="0"/>
                <w:sz w:val="24"/>
                <w:szCs w:val="24"/>
              </w:rPr>
              <w:t>分配</w:t>
            </w:r>
          </w:p>
        </w:tc>
      </w:tr>
      <w:tr w14:paraId="604FA30D">
        <w:trPr>
          <w:trHeight w:val="0" w:hRule="atLeast"/>
        </w:trPr>
        <w:tc>
          <w:tcPr>
            <w:tcW w:w="1376" w:type="dxa"/>
            <w:vMerge w:val="continue"/>
            <w:vAlign w:val="center"/>
          </w:tcPr>
          <w:p w14:paraId="646BA87B">
            <w:pPr>
              <w:spacing w:line="240" w:lineRule="atLeast"/>
              <w:jc w:val="center"/>
              <w:rPr>
                <w:rFonts w:hint="eastAsia" w:ascii="仿宋" w:hAnsi="仿宋" w:eastAsia="仿宋" w:cs="仿宋"/>
                <w:sz w:val="24"/>
                <w:szCs w:val="24"/>
              </w:rPr>
            </w:pPr>
          </w:p>
        </w:tc>
        <w:tc>
          <w:tcPr>
            <w:tcW w:w="5695" w:type="dxa"/>
            <w:gridSpan w:val="11"/>
            <w:vAlign w:val="center"/>
          </w:tcPr>
          <w:p w14:paraId="4ADB6B92">
            <w:pPr>
              <w:jc w:val="center"/>
              <w:rPr>
                <w:rFonts w:hint="eastAsia" w:ascii="仿宋" w:hAnsi="仿宋" w:eastAsia="仿宋" w:cs="仿宋"/>
                <w:bCs/>
                <w:sz w:val="24"/>
                <w:szCs w:val="24"/>
              </w:rPr>
            </w:pPr>
            <w:r>
              <w:rPr>
                <w:rFonts w:hint="eastAsia" w:ascii="仿宋" w:hAnsi="仿宋" w:eastAsia="仿宋" w:cs="仿宋"/>
                <w:bCs/>
                <w:sz w:val="24"/>
                <w:szCs w:val="24"/>
              </w:rPr>
              <w:t>无</w:t>
            </w:r>
          </w:p>
        </w:tc>
        <w:tc>
          <w:tcPr>
            <w:tcW w:w="1225" w:type="dxa"/>
            <w:gridSpan w:val="4"/>
            <w:vAlign w:val="center"/>
          </w:tcPr>
          <w:p w14:paraId="0F48A3B1">
            <w:pPr>
              <w:jc w:val="center"/>
              <w:rPr>
                <w:rFonts w:hint="eastAsia" w:ascii="仿宋" w:hAnsi="仿宋" w:eastAsia="仿宋" w:cs="仿宋"/>
                <w:bCs/>
                <w:sz w:val="24"/>
                <w:szCs w:val="24"/>
              </w:rPr>
            </w:pPr>
          </w:p>
        </w:tc>
        <w:tc>
          <w:tcPr>
            <w:tcW w:w="852" w:type="dxa"/>
            <w:gridSpan w:val="2"/>
            <w:vAlign w:val="center"/>
          </w:tcPr>
          <w:p w14:paraId="33FAAB94">
            <w:pPr>
              <w:jc w:val="center"/>
              <w:rPr>
                <w:rFonts w:hint="eastAsia" w:ascii="仿宋" w:hAnsi="仿宋" w:eastAsia="仿宋" w:cs="仿宋"/>
                <w:sz w:val="24"/>
                <w:szCs w:val="24"/>
              </w:rPr>
            </w:pPr>
          </w:p>
        </w:tc>
      </w:tr>
      <w:tr w14:paraId="096FB121">
        <w:trPr>
          <w:trHeight w:val="0" w:hRule="atLeast"/>
        </w:trPr>
        <w:tc>
          <w:tcPr>
            <w:tcW w:w="1376" w:type="dxa"/>
            <w:vMerge w:val="continue"/>
            <w:vAlign w:val="center"/>
          </w:tcPr>
          <w:p w14:paraId="16551B08">
            <w:pPr>
              <w:spacing w:line="240" w:lineRule="atLeast"/>
              <w:jc w:val="center"/>
              <w:rPr>
                <w:rFonts w:hint="eastAsia" w:ascii="仿宋" w:hAnsi="仿宋" w:eastAsia="仿宋" w:cs="仿宋"/>
                <w:sz w:val="24"/>
                <w:szCs w:val="24"/>
              </w:rPr>
            </w:pPr>
          </w:p>
        </w:tc>
        <w:tc>
          <w:tcPr>
            <w:tcW w:w="6920" w:type="dxa"/>
            <w:gridSpan w:val="15"/>
            <w:vAlign w:val="center"/>
          </w:tcPr>
          <w:p w14:paraId="1F7A7B01">
            <w:pPr>
              <w:jc w:val="center"/>
              <w:rPr>
                <w:rFonts w:hint="eastAsia" w:ascii="仿宋" w:hAnsi="仿宋" w:eastAsia="仿宋" w:cs="仿宋"/>
                <w:bCs/>
                <w:sz w:val="24"/>
                <w:szCs w:val="24"/>
              </w:rPr>
            </w:pPr>
            <w:r>
              <w:rPr>
                <w:rFonts w:hint="eastAsia" w:ascii="仿宋" w:hAnsi="仿宋" w:eastAsia="仿宋" w:cs="仿宋"/>
                <w:bCs/>
                <w:sz w:val="24"/>
                <w:szCs w:val="24"/>
              </w:rPr>
              <w:t>合计</w:t>
            </w:r>
          </w:p>
        </w:tc>
        <w:tc>
          <w:tcPr>
            <w:tcW w:w="852" w:type="dxa"/>
            <w:gridSpan w:val="2"/>
            <w:vAlign w:val="center"/>
          </w:tcPr>
          <w:p w14:paraId="43F41002">
            <w:pPr>
              <w:jc w:val="center"/>
              <w:rPr>
                <w:rFonts w:hint="eastAsia" w:ascii="仿宋" w:hAnsi="仿宋" w:eastAsia="仿宋" w:cs="仿宋"/>
                <w:sz w:val="24"/>
                <w:szCs w:val="24"/>
              </w:rPr>
            </w:pPr>
          </w:p>
        </w:tc>
      </w:tr>
      <w:tr w14:paraId="31A0A723">
        <w:trPr>
          <w:trHeight w:val="0" w:hRule="atLeast"/>
        </w:trPr>
        <w:tc>
          <w:tcPr>
            <w:tcW w:w="1376" w:type="dxa"/>
            <w:vMerge w:val="restart"/>
            <w:vAlign w:val="center"/>
          </w:tcPr>
          <w:p w14:paraId="48918208">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H</w:t>
            </w:r>
          </w:p>
          <w:p w14:paraId="4448A53C">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实践内容（含教育实习、见习、研习，专业实习、毕业论文或毕业设计等）</w:t>
            </w:r>
          </w:p>
        </w:tc>
        <w:tc>
          <w:tcPr>
            <w:tcW w:w="5695" w:type="dxa"/>
            <w:gridSpan w:val="11"/>
            <w:vAlign w:val="center"/>
          </w:tcPr>
          <w:p w14:paraId="182C3C4C">
            <w:pPr>
              <w:jc w:val="center"/>
              <w:rPr>
                <w:rFonts w:hint="eastAsia" w:ascii="仿宋" w:hAnsi="仿宋" w:eastAsia="仿宋" w:cs="仿宋"/>
                <w:sz w:val="24"/>
                <w:szCs w:val="24"/>
              </w:rPr>
            </w:pPr>
            <w:r>
              <w:rPr>
                <w:rFonts w:hint="eastAsia" w:ascii="仿宋" w:hAnsi="仿宋" w:eastAsia="仿宋" w:cs="仿宋"/>
                <w:sz w:val="24"/>
                <w:szCs w:val="24"/>
              </w:rPr>
              <w:t>实践主要内容和要求</w:t>
            </w:r>
          </w:p>
        </w:tc>
        <w:tc>
          <w:tcPr>
            <w:tcW w:w="1225" w:type="dxa"/>
            <w:gridSpan w:val="4"/>
            <w:vAlign w:val="center"/>
          </w:tcPr>
          <w:p w14:paraId="45E2CF35">
            <w:pPr>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支撑课程</w:t>
            </w:r>
          </w:p>
          <w:p w14:paraId="2802D7E6">
            <w:pPr>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852" w:type="dxa"/>
            <w:gridSpan w:val="2"/>
            <w:vAlign w:val="center"/>
          </w:tcPr>
          <w:p w14:paraId="08FBCB4E">
            <w:pPr>
              <w:jc w:val="center"/>
              <w:rPr>
                <w:rFonts w:ascii="仿宋" w:hAnsi="仿宋" w:eastAsia="仿宋" w:cs="仿宋"/>
                <w:kern w:val="0"/>
                <w:sz w:val="24"/>
                <w:szCs w:val="24"/>
              </w:rPr>
            </w:pPr>
            <w:r>
              <w:rPr>
                <w:rFonts w:hint="eastAsia" w:ascii="仿宋" w:hAnsi="仿宋" w:eastAsia="仿宋" w:cs="仿宋"/>
                <w:kern w:val="0"/>
                <w:sz w:val="24"/>
                <w:szCs w:val="24"/>
              </w:rPr>
              <w:t>时长</w:t>
            </w:r>
          </w:p>
          <w:p w14:paraId="77823C65">
            <w:pPr>
              <w:jc w:val="center"/>
              <w:rPr>
                <w:rFonts w:hint="eastAsia" w:ascii="仿宋" w:hAnsi="仿宋" w:eastAsia="仿宋" w:cs="仿宋"/>
                <w:sz w:val="24"/>
                <w:szCs w:val="24"/>
              </w:rPr>
            </w:pPr>
            <w:r>
              <w:rPr>
                <w:rFonts w:hint="eastAsia" w:ascii="仿宋" w:hAnsi="仿宋" w:eastAsia="仿宋" w:cs="仿宋"/>
                <w:kern w:val="0"/>
                <w:sz w:val="24"/>
                <w:szCs w:val="24"/>
              </w:rPr>
              <w:t>分配</w:t>
            </w:r>
          </w:p>
        </w:tc>
      </w:tr>
      <w:tr w14:paraId="7AD4ED28">
        <w:trPr>
          <w:trHeight w:val="0" w:hRule="atLeast"/>
        </w:trPr>
        <w:tc>
          <w:tcPr>
            <w:tcW w:w="1376" w:type="dxa"/>
            <w:vMerge w:val="continue"/>
            <w:vAlign w:val="center"/>
          </w:tcPr>
          <w:p w14:paraId="5ADBE66B">
            <w:pPr>
              <w:spacing w:line="240" w:lineRule="atLeast"/>
              <w:jc w:val="center"/>
              <w:rPr>
                <w:rFonts w:hint="eastAsia" w:ascii="仿宋" w:hAnsi="仿宋" w:eastAsia="仿宋" w:cs="仿宋"/>
                <w:sz w:val="24"/>
                <w:szCs w:val="24"/>
              </w:rPr>
            </w:pPr>
          </w:p>
        </w:tc>
        <w:tc>
          <w:tcPr>
            <w:tcW w:w="5695" w:type="dxa"/>
            <w:gridSpan w:val="11"/>
            <w:vAlign w:val="center"/>
          </w:tcPr>
          <w:p w14:paraId="217B0F32">
            <w:pPr>
              <w:widowControl/>
              <w:autoSpaceDE w:val="0"/>
              <w:autoSpaceDN w:val="0"/>
              <w:jc w:val="center"/>
              <w:rPr>
                <w:rFonts w:hint="eastAsia" w:ascii="仿宋" w:hAnsi="仿宋" w:eastAsia="仿宋" w:cs="仿宋"/>
                <w:sz w:val="24"/>
                <w:szCs w:val="24"/>
              </w:rPr>
            </w:pPr>
            <w:r>
              <w:rPr>
                <w:rFonts w:hint="eastAsia" w:ascii="仿宋" w:hAnsi="仿宋" w:eastAsia="仿宋" w:cs="仿宋"/>
                <w:bCs/>
                <w:sz w:val="24"/>
                <w:szCs w:val="24"/>
              </w:rPr>
              <w:t>无</w:t>
            </w:r>
          </w:p>
        </w:tc>
        <w:tc>
          <w:tcPr>
            <w:tcW w:w="1225" w:type="dxa"/>
            <w:gridSpan w:val="4"/>
            <w:vAlign w:val="top"/>
          </w:tcPr>
          <w:p w14:paraId="65CB7811">
            <w:pPr>
              <w:jc w:val="left"/>
              <w:rPr>
                <w:rFonts w:hint="eastAsia" w:ascii="仿宋" w:hAnsi="仿宋" w:eastAsia="仿宋" w:cs="仿宋"/>
                <w:sz w:val="24"/>
                <w:szCs w:val="24"/>
              </w:rPr>
            </w:pPr>
          </w:p>
        </w:tc>
        <w:tc>
          <w:tcPr>
            <w:tcW w:w="852" w:type="dxa"/>
            <w:gridSpan w:val="2"/>
            <w:vAlign w:val="top"/>
          </w:tcPr>
          <w:p w14:paraId="265AAEFC">
            <w:pPr>
              <w:jc w:val="left"/>
              <w:rPr>
                <w:rFonts w:hint="eastAsia" w:ascii="仿宋" w:hAnsi="仿宋" w:eastAsia="仿宋" w:cs="仿宋"/>
                <w:sz w:val="24"/>
                <w:szCs w:val="24"/>
              </w:rPr>
            </w:pPr>
          </w:p>
        </w:tc>
      </w:tr>
      <w:tr w14:paraId="5FEDED22">
        <w:trPr>
          <w:trHeight w:val="0" w:hRule="atLeast"/>
        </w:trPr>
        <w:tc>
          <w:tcPr>
            <w:tcW w:w="1376" w:type="dxa"/>
            <w:vAlign w:val="center"/>
          </w:tcPr>
          <w:p w14:paraId="2E82CD3E">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I</w:t>
            </w:r>
          </w:p>
          <w:p w14:paraId="4169E019">
            <w:pPr>
              <w:spacing w:line="240" w:lineRule="atLeast"/>
              <w:jc w:val="center"/>
              <w:rPr>
                <w:rFonts w:hint="eastAsia" w:ascii="仿宋" w:hAnsi="仿宋" w:eastAsia="仿宋" w:cs="仿宋"/>
                <w:sz w:val="24"/>
                <w:szCs w:val="24"/>
                <w:lang w:eastAsia="zh-TW"/>
              </w:rPr>
            </w:pPr>
            <w:r>
              <w:rPr>
                <w:rFonts w:hint="eastAsia" w:ascii="仿宋" w:hAnsi="仿宋" w:eastAsia="仿宋" w:cs="仿宋"/>
                <w:sz w:val="24"/>
                <w:szCs w:val="24"/>
              </w:rPr>
              <w:t>教学方法与教学方式</w:t>
            </w:r>
          </w:p>
        </w:tc>
        <w:tc>
          <w:tcPr>
            <w:tcW w:w="7772" w:type="dxa"/>
            <w:gridSpan w:val="17"/>
            <w:tcBorders>
              <w:bottom w:val="single" w:color="auto" w:sz="4" w:space="0"/>
            </w:tcBorders>
            <w:vAlign w:val="center"/>
          </w:tcPr>
          <w:p w14:paraId="07E34020">
            <w:pPr>
              <w:numPr>
                <w:ilvl w:val="0"/>
                <w:numId w:val="15"/>
              </w:numPr>
              <w:rPr>
                <w:rFonts w:hint="eastAsia" w:ascii="仿宋" w:hAnsi="仿宋" w:eastAsia="仿宋" w:cs="仿宋"/>
                <w:sz w:val="24"/>
                <w:szCs w:val="24"/>
              </w:rPr>
            </w:pPr>
            <w:r>
              <w:rPr>
                <w:rFonts w:hint="eastAsia" w:ascii="仿宋" w:hAnsi="仿宋" w:eastAsia="仿宋" w:cs="仿宋"/>
                <w:sz w:val="24"/>
                <w:szCs w:val="24"/>
              </w:rPr>
              <w:t>理论课全部采用多媒体教学，应用自编或改编的多媒体课件，改善理论课的枯燥和沉闷，吸引学生的注意力，加强授课效果。</w:t>
            </w:r>
          </w:p>
          <w:p w14:paraId="7F59555E">
            <w:pPr>
              <w:numPr>
                <w:ilvl w:val="0"/>
                <w:numId w:val="15"/>
              </w:numPr>
              <w:rPr>
                <w:rFonts w:hint="eastAsia" w:ascii="仿宋" w:hAnsi="仿宋" w:eastAsia="仿宋" w:cs="仿宋"/>
                <w:sz w:val="24"/>
                <w:szCs w:val="24"/>
              </w:rPr>
            </w:pPr>
            <w:r>
              <w:rPr>
                <w:rFonts w:hint="eastAsia" w:ascii="仿宋" w:hAnsi="仿宋" w:eastAsia="仿宋" w:cs="仿宋"/>
                <w:sz w:val="24"/>
                <w:szCs w:val="24"/>
              </w:rPr>
              <w:t>开通网络课堂，达到与学生及时沟通、交流的目的。同时重视师生互动与小组活动，组织课堂小组讨论等活动，将课堂教学变为师生共同活动的过程。</w:t>
            </w:r>
          </w:p>
          <w:p w14:paraId="2981D830">
            <w:pPr>
              <w:numPr>
                <w:ilvl w:val="0"/>
                <w:numId w:val="15"/>
              </w:numPr>
              <w:rPr>
                <w:rFonts w:hint="eastAsia" w:ascii="仿宋" w:hAnsi="仿宋" w:eastAsia="仿宋" w:cs="仿宋"/>
                <w:sz w:val="24"/>
                <w:szCs w:val="24"/>
              </w:rPr>
            </w:pPr>
            <w:r>
              <w:rPr>
                <w:rFonts w:hint="eastAsia" w:ascii="仿宋" w:hAnsi="仿宋" w:eastAsia="仿宋" w:cs="仿宋"/>
                <w:sz w:val="24"/>
                <w:szCs w:val="24"/>
              </w:rPr>
              <w:t>主要方式：</w:t>
            </w:r>
          </w:p>
          <w:p w14:paraId="1D48DB7C">
            <w:pPr>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讲授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网络学习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讨论或座谈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问题导向学  </w:t>
            </w:r>
          </w:p>
          <w:p w14:paraId="32E7BA5F">
            <w:pPr>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分组合作学习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专题学习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实作学习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发表学习  </w:t>
            </w:r>
          </w:p>
          <w:p w14:paraId="6BBD0CF7">
            <w:pPr>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实习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参观访问  </w:t>
            </w:r>
            <w:r>
              <w:rPr>
                <w:rFonts w:hint="eastAsia" w:ascii="仿宋" w:hAnsi="仿宋" w:eastAsia="仿宋" w:cs="仿宋"/>
                <w:sz w:val="24"/>
                <w:szCs w:val="24"/>
              </w:rPr>
              <w:sym w:font="Wingdings" w:char="00A8"/>
            </w:r>
            <w:r>
              <w:rPr>
                <w:rFonts w:hint="eastAsia" w:ascii="仿宋" w:hAnsi="仿宋" w:eastAsia="仿宋" w:cs="仿宋"/>
                <w:sz w:val="24"/>
                <w:szCs w:val="24"/>
              </w:rPr>
              <w:t>其它：</w:t>
            </w:r>
            <w:r>
              <w:rPr>
                <w:rFonts w:hint="eastAsia" w:ascii="仿宋" w:hAnsi="仿宋" w:eastAsia="仿宋" w:cs="仿宋"/>
                <w:sz w:val="24"/>
                <w:szCs w:val="24"/>
                <w:u w:val="single"/>
              </w:rPr>
              <w:t xml:space="preserve">        </w:t>
            </w:r>
            <w:r>
              <w:rPr>
                <w:rFonts w:hint="eastAsia" w:ascii="仿宋" w:hAnsi="仿宋" w:eastAsia="仿宋" w:cs="仿宋"/>
                <w:sz w:val="24"/>
                <w:szCs w:val="24"/>
              </w:rPr>
              <w:t>(如口头训练等)</w:t>
            </w:r>
          </w:p>
        </w:tc>
      </w:tr>
      <w:tr w14:paraId="10451D36">
        <w:trPr>
          <w:trHeight w:val="0" w:hRule="atLeast"/>
        </w:trPr>
        <w:tc>
          <w:tcPr>
            <w:tcW w:w="1376" w:type="dxa"/>
            <w:vAlign w:val="center"/>
          </w:tcPr>
          <w:p w14:paraId="14CB041D">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J</w:t>
            </w:r>
          </w:p>
          <w:p w14:paraId="3FA34FEB">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教学条件</w:t>
            </w:r>
          </w:p>
          <w:p w14:paraId="0503E010">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需求</w:t>
            </w:r>
          </w:p>
        </w:tc>
        <w:tc>
          <w:tcPr>
            <w:tcW w:w="7772" w:type="dxa"/>
            <w:gridSpan w:val="17"/>
            <w:tcBorders>
              <w:bottom w:val="single" w:color="auto" w:sz="4" w:space="0"/>
            </w:tcBorders>
            <w:vAlign w:val="center"/>
          </w:tcPr>
          <w:p w14:paraId="34DD79B9">
            <w:pPr>
              <w:tabs>
                <w:tab w:val="left" w:pos="720"/>
              </w:tabs>
              <w:spacing w:line="240" w:lineRule="atLeast"/>
              <w:rPr>
                <w:rFonts w:hint="eastAsia" w:ascii="仿宋" w:hAnsi="仿宋" w:eastAsia="仿宋" w:cs="仿宋"/>
                <w:kern w:val="0"/>
                <w:sz w:val="24"/>
                <w:szCs w:val="24"/>
              </w:rPr>
            </w:pPr>
            <w:r>
              <w:rPr>
                <w:rFonts w:hint="eastAsia" w:ascii="仿宋" w:hAnsi="仿宋" w:eastAsia="仿宋" w:cs="仿宋"/>
                <w:kern w:val="0"/>
                <w:sz w:val="24"/>
                <w:szCs w:val="24"/>
              </w:rPr>
              <w:t>（如时间、地点安排与“一课双师”等教师配备需求等）</w:t>
            </w:r>
          </w:p>
          <w:p w14:paraId="16B1EAED">
            <w:pPr>
              <w:tabs>
                <w:tab w:val="left" w:pos="720"/>
              </w:tabs>
              <w:rPr>
                <w:rFonts w:hint="eastAsia" w:ascii="仿宋" w:hAnsi="仿宋" w:eastAsia="仿宋" w:cs="仿宋"/>
                <w:sz w:val="24"/>
                <w:szCs w:val="24"/>
              </w:rPr>
            </w:pPr>
            <w:r>
              <w:rPr>
                <w:rFonts w:hint="eastAsia" w:ascii="仿宋" w:hAnsi="仿宋" w:eastAsia="仿宋" w:cs="仿宋"/>
                <w:sz w:val="24"/>
                <w:szCs w:val="24"/>
              </w:rPr>
              <w:t>1.多媒体教室。</w:t>
            </w:r>
          </w:p>
          <w:p w14:paraId="173C5CCB">
            <w:pPr>
              <w:tabs>
                <w:tab w:val="left" w:pos="720"/>
              </w:tabs>
              <w:rPr>
                <w:rFonts w:hint="eastAsia" w:ascii="仿宋" w:hAnsi="仿宋" w:eastAsia="仿宋" w:cs="仿宋"/>
                <w:kern w:val="0"/>
                <w:sz w:val="24"/>
                <w:szCs w:val="24"/>
              </w:rPr>
            </w:pPr>
            <w:r>
              <w:rPr>
                <w:rFonts w:hint="eastAsia" w:ascii="仿宋" w:hAnsi="仿宋" w:eastAsia="仿宋" w:cs="仿宋"/>
                <w:kern w:val="0"/>
                <w:sz w:val="24"/>
                <w:szCs w:val="24"/>
              </w:rPr>
              <w:t>2.良好的音响设备。</w:t>
            </w:r>
          </w:p>
        </w:tc>
      </w:tr>
      <w:tr w14:paraId="548DAA86">
        <w:trPr>
          <w:trHeight w:val="0" w:hRule="atLeast"/>
        </w:trPr>
        <w:tc>
          <w:tcPr>
            <w:tcW w:w="1376" w:type="dxa"/>
            <w:vMerge w:val="restart"/>
            <w:vAlign w:val="center"/>
          </w:tcPr>
          <w:p w14:paraId="1E10BACD">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K</w:t>
            </w:r>
          </w:p>
          <w:p w14:paraId="04B0AC67">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课程目标及其考核内容、考核方式及评分占比</w:t>
            </w:r>
          </w:p>
        </w:tc>
        <w:tc>
          <w:tcPr>
            <w:tcW w:w="1032" w:type="dxa"/>
            <w:vMerge w:val="restart"/>
            <w:vAlign w:val="center"/>
          </w:tcPr>
          <w:p w14:paraId="58DB3512">
            <w:pPr>
              <w:rPr>
                <w:rFonts w:hint="eastAsia" w:ascii="仿宋" w:hAnsi="仿宋" w:eastAsia="仿宋" w:cs="仿宋"/>
                <w:sz w:val="24"/>
                <w:szCs w:val="24"/>
              </w:rPr>
            </w:pPr>
            <w:r>
              <w:rPr>
                <w:rFonts w:hint="eastAsia" w:ascii="仿宋" w:hAnsi="仿宋" w:eastAsia="仿宋" w:cs="仿宋"/>
                <w:sz w:val="24"/>
                <w:szCs w:val="24"/>
              </w:rPr>
              <w:t>课程目标及评分占比</w:t>
            </w:r>
          </w:p>
        </w:tc>
        <w:tc>
          <w:tcPr>
            <w:tcW w:w="3145" w:type="dxa"/>
            <w:gridSpan w:val="6"/>
            <w:vMerge w:val="restart"/>
            <w:tcBorders>
              <w:right w:val="single" w:color="000000" w:sz="4" w:space="0"/>
            </w:tcBorders>
            <w:vAlign w:val="center"/>
          </w:tcPr>
          <w:p w14:paraId="0274307F">
            <w:pPr>
              <w:tabs>
                <w:tab w:val="left" w:pos="720"/>
              </w:tabs>
              <w:jc w:val="center"/>
              <w:rPr>
                <w:rFonts w:hint="eastAsia" w:ascii="仿宋" w:hAnsi="仿宋" w:eastAsia="仿宋" w:cs="仿宋"/>
                <w:kern w:val="0"/>
                <w:sz w:val="24"/>
                <w:szCs w:val="24"/>
              </w:rPr>
            </w:pPr>
            <w:r>
              <w:rPr>
                <w:rFonts w:hint="eastAsia" w:ascii="仿宋" w:hAnsi="仿宋" w:eastAsia="仿宋" w:cs="仿宋"/>
                <w:kern w:val="0"/>
                <w:sz w:val="24"/>
                <w:szCs w:val="24"/>
              </w:rPr>
              <w:t>考核内容</w:t>
            </w:r>
          </w:p>
        </w:tc>
        <w:tc>
          <w:tcPr>
            <w:tcW w:w="3006" w:type="dxa"/>
            <w:gridSpan w:val="9"/>
            <w:tcBorders>
              <w:left w:val="single" w:color="000000" w:sz="4" w:space="0"/>
              <w:right w:val="single" w:color="000000" w:sz="4" w:space="0"/>
            </w:tcBorders>
            <w:vAlign w:val="center"/>
          </w:tcPr>
          <w:p w14:paraId="4DA2D500">
            <w:pPr>
              <w:jc w:val="center"/>
              <w:rPr>
                <w:rFonts w:hint="eastAsia" w:ascii="仿宋" w:hAnsi="仿宋" w:eastAsia="仿宋" w:cs="仿宋"/>
                <w:sz w:val="24"/>
                <w:szCs w:val="24"/>
              </w:rPr>
            </w:pPr>
            <w:r>
              <w:rPr>
                <w:rFonts w:hint="eastAsia" w:ascii="仿宋" w:hAnsi="仿宋" w:eastAsia="仿宋" w:cs="仿宋"/>
                <w:sz w:val="24"/>
                <w:szCs w:val="24"/>
              </w:rPr>
              <w:t>考核方式</w:t>
            </w:r>
          </w:p>
        </w:tc>
        <w:tc>
          <w:tcPr>
            <w:tcW w:w="589" w:type="dxa"/>
            <w:vMerge w:val="restart"/>
            <w:tcBorders>
              <w:left w:val="single" w:color="000000" w:sz="4" w:space="0"/>
            </w:tcBorders>
            <w:vAlign w:val="center"/>
          </w:tcPr>
          <w:p w14:paraId="01C9DC77">
            <w:pPr>
              <w:tabs>
                <w:tab w:val="left" w:pos="720"/>
              </w:tabs>
              <w:jc w:val="center"/>
              <w:rPr>
                <w:rFonts w:hint="eastAsia" w:ascii="仿宋" w:hAnsi="仿宋" w:eastAsia="仿宋" w:cs="仿宋"/>
                <w:kern w:val="0"/>
                <w:sz w:val="24"/>
                <w:szCs w:val="24"/>
              </w:rPr>
            </w:pPr>
            <w:r>
              <w:rPr>
                <w:rFonts w:hint="eastAsia" w:ascii="仿宋" w:hAnsi="仿宋" w:eastAsia="仿宋" w:cs="仿宋"/>
                <w:sz w:val="24"/>
                <w:szCs w:val="24"/>
              </w:rPr>
              <w:t>课程分目标的达成度</w:t>
            </w:r>
          </w:p>
        </w:tc>
      </w:tr>
      <w:tr w14:paraId="5EB1B4F1">
        <w:trPr>
          <w:trHeight w:val="0" w:hRule="atLeast"/>
        </w:trPr>
        <w:tc>
          <w:tcPr>
            <w:tcW w:w="1376" w:type="dxa"/>
            <w:vMerge w:val="continue"/>
            <w:vAlign w:val="center"/>
          </w:tcPr>
          <w:p w14:paraId="66A5D636">
            <w:pPr>
              <w:spacing w:line="240" w:lineRule="atLeast"/>
              <w:jc w:val="center"/>
              <w:rPr>
                <w:rFonts w:hint="eastAsia" w:ascii="仿宋" w:hAnsi="仿宋" w:eastAsia="仿宋" w:cs="仿宋"/>
                <w:sz w:val="24"/>
                <w:szCs w:val="24"/>
              </w:rPr>
            </w:pPr>
          </w:p>
        </w:tc>
        <w:tc>
          <w:tcPr>
            <w:tcW w:w="1032" w:type="dxa"/>
            <w:vMerge w:val="continue"/>
            <w:vAlign w:val="center"/>
          </w:tcPr>
          <w:p w14:paraId="29351529">
            <w:pPr>
              <w:jc w:val="right"/>
              <w:rPr>
                <w:rFonts w:hint="eastAsia" w:ascii="仿宋" w:hAnsi="仿宋" w:eastAsia="仿宋" w:cs="仿宋"/>
                <w:sz w:val="24"/>
                <w:szCs w:val="24"/>
              </w:rPr>
            </w:pPr>
          </w:p>
        </w:tc>
        <w:tc>
          <w:tcPr>
            <w:tcW w:w="3145" w:type="dxa"/>
            <w:gridSpan w:val="6"/>
            <w:vMerge w:val="continue"/>
            <w:tcBorders>
              <w:right w:val="single" w:color="000000" w:sz="4" w:space="0"/>
            </w:tcBorders>
            <w:vAlign w:val="center"/>
          </w:tcPr>
          <w:p w14:paraId="6D4944E4">
            <w:pPr>
              <w:tabs>
                <w:tab w:val="left" w:pos="720"/>
              </w:tabs>
              <w:jc w:val="center"/>
              <w:rPr>
                <w:rFonts w:hint="eastAsia" w:ascii="仿宋" w:hAnsi="仿宋" w:eastAsia="仿宋" w:cs="仿宋"/>
                <w:kern w:val="0"/>
                <w:sz w:val="24"/>
                <w:szCs w:val="24"/>
              </w:rPr>
            </w:pPr>
          </w:p>
        </w:tc>
        <w:tc>
          <w:tcPr>
            <w:tcW w:w="1002" w:type="dxa"/>
            <w:gridSpan w:val="2"/>
            <w:tcBorders>
              <w:left w:val="single" w:color="000000" w:sz="4" w:space="0"/>
              <w:right w:val="single" w:color="000000" w:sz="4" w:space="0"/>
            </w:tcBorders>
            <w:vAlign w:val="center"/>
          </w:tcPr>
          <w:p w14:paraId="640E3FB0">
            <w:pPr>
              <w:jc w:val="center"/>
              <w:rPr>
                <w:rFonts w:hint="eastAsia" w:ascii="仿宋" w:hAnsi="仿宋" w:eastAsia="仿宋" w:cs="仿宋"/>
                <w:sz w:val="24"/>
                <w:szCs w:val="24"/>
              </w:rPr>
            </w:pPr>
            <w:r>
              <w:rPr>
                <w:rFonts w:hint="eastAsia" w:ascii="仿宋" w:hAnsi="仿宋" w:eastAsia="仿宋" w:cs="仿宋"/>
                <w:sz w:val="24"/>
                <w:szCs w:val="24"/>
                <w:lang w:val="en-US" w:eastAsia="en-US"/>
              </w:rPr>
              <w:t>平时</w:t>
            </w:r>
            <w:r>
              <w:rPr>
                <w:rFonts w:hint="eastAsia" w:ascii="仿宋" w:hAnsi="仿宋" w:eastAsia="仿宋" w:cs="仿宋"/>
                <w:sz w:val="24"/>
                <w:szCs w:val="24"/>
              </w:rPr>
              <w:t>评分占比（</w:t>
            </w:r>
            <w:r>
              <w:rPr>
                <w:rFonts w:ascii="仿宋" w:hAnsi="仿宋" w:eastAsia="仿宋" w:cs="仿宋"/>
                <w:sz w:val="24"/>
                <w:szCs w:val="24"/>
              </w:rPr>
              <w:t>20</w:t>
            </w:r>
            <w:r>
              <w:rPr>
                <w:rFonts w:hint="eastAsia" w:ascii="仿宋" w:hAnsi="仿宋" w:eastAsia="仿宋" w:cs="仿宋"/>
                <w:sz w:val="24"/>
                <w:szCs w:val="24"/>
              </w:rPr>
              <w:t>%）</w:t>
            </w:r>
          </w:p>
        </w:tc>
        <w:tc>
          <w:tcPr>
            <w:tcW w:w="1002" w:type="dxa"/>
            <w:gridSpan w:val="4"/>
            <w:tcBorders>
              <w:left w:val="single" w:color="000000" w:sz="4" w:space="0"/>
              <w:bottom w:val="single" w:color="auto" w:sz="4" w:space="0"/>
            </w:tcBorders>
            <w:vAlign w:val="center"/>
          </w:tcPr>
          <w:p w14:paraId="3FD8C647">
            <w:pPr>
              <w:jc w:val="center"/>
              <w:rPr>
                <w:rFonts w:hint="eastAsia" w:ascii="仿宋" w:hAnsi="仿宋" w:eastAsia="仿宋" w:cs="仿宋"/>
                <w:kern w:val="0"/>
                <w:sz w:val="24"/>
                <w:szCs w:val="24"/>
              </w:rPr>
            </w:pPr>
            <w:r>
              <w:rPr>
                <w:rFonts w:hint="eastAsia" w:ascii="仿宋" w:hAnsi="仿宋" w:eastAsia="仿宋" w:cs="仿宋"/>
                <w:kern w:val="0"/>
                <w:sz w:val="24"/>
                <w:szCs w:val="24"/>
              </w:rPr>
              <w:t>期中考试评分占比</w:t>
            </w:r>
            <w:r>
              <w:rPr>
                <w:rFonts w:hint="eastAsia" w:ascii="仿宋" w:hAnsi="仿宋" w:eastAsia="仿宋" w:cs="仿宋"/>
                <w:sz w:val="24"/>
                <w:szCs w:val="24"/>
              </w:rPr>
              <w:t>（</w:t>
            </w:r>
            <w:r>
              <w:rPr>
                <w:rFonts w:ascii="仿宋" w:hAnsi="仿宋" w:eastAsia="仿宋" w:cs="仿宋"/>
                <w:sz w:val="24"/>
                <w:szCs w:val="24"/>
              </w:rPr>
              <w:t>40</w:t>
            </w:r>
            <w:r>
              <w:rPr>
                <w:rFonts w:hint="eastAsia" w:ascii="仿宋" w:hAnsi="仿宋" w:eastAsia="仿宋" w:cs="仿宋"/>
                <w:sz w:val="24"/>
                <w:szCs w:val="24"/>
              </w:rPr>
              <w:t>%）</w:t>
            </w:r>
          </w:p>
        </w:tc>
        <w:tc>
          <w:tcPr>
            <w:tcW w:w="1002" w:type="dxa"/>
            <w:gridSpan w:val="3"/>
            <w:tcBorders>
              <w:left w:val="single" w:color="000000" w:sz="4" w:space="0"/>
              <w:bottom w:val="single" w:color="auto" w:sz="4" w:space="0"/>
              <w:right w:val="single" w:color="000000" w:sz="4" w:space="0"/>
            </w:tcBorders>
            <w:vAlign w:val="center"/>
          </w:tcPr>
          <w:p w14:paraId="7A906D6F">
            <w:pPr>
              <w:jc w:val="center"/>
              <w:rPr>
                <w:rFonts w:hint="eastAsia" w:ascii="仿宋" w:hAnsi="仿宋" w:eastAsia="仿宋" w:cs="仿宋"/>
                <w:sz w:val="24"/>
                <w:szCs w:val="24"/>
              </w:rPr>
            </w:pPr>
            <w:r>
              <w:rPr>
                <w:rFonts w:hint="eastAsia" w:ascii="仿宋" w:hAnsi="仿宋" w:eastAsia="仿宋" w:cs="仿宋"/>
                <w:sz w:val="24"/>
                <w:szCs w:val="24"/>
              </w:rPr>
              <w:t>期末考试评分占比（</w:t>
            </w:r>
            <w:r>
              <w:rPr>
                <w:rFonts w:ascii="仿宋" w:hAnsi="仿宋" w:eastAsia="仿宋" w:cs="仿宋"/>
                <w:sz w:val="24"/>
                <w:szCs w:val="24"/>
              </w:rPr>
              <w:t>40</w:t>
            </w:r>
            <w:r>
              <w:rPr>
                <w:rFonts w:hint="eastAsia" w:ascii="仿宋" w:hAnsi="仿宋" w:eastAsia="仿宋" w:cs="仿宋"/>
                <w:sz w:val="24"/>
                <w:szCs w:val="24"/>
              </w:rPr>
              <w:t>%）</w:t>
            </w:r>
          </w:p>
        </w:tc>
        <w:tc>
          <w:tcPr>
            <w:tcW w:w="589" w:type="dxa"/>
            <w:vMerge w:val="continue"/>
            <w:tcBorders>
              <w:left w:val="single" w:color="000000" w:sz="4" w:space="0"/>
              <w:bottom w:val="single" w:color="auto" w:sz="4" w:space="0"/>
            </w:tcBorders>
            <w:vAlign w:val="center"/>
          </w:tcPr>
          <w:p w14:paraId="3D62BE20">
            <w:pPr>
              <w:tabs>
                <w:tab w:val="left" w:pos="720"/>
              </w:tabs>
              <w:jc w:val="center"/>
              <w:rPr>
                <w:rFonts w:hint="eastAsia" w:ascii="仿宋" w:hAnsi="仿宋" w:eastAsia="仿宋" w:cs="仿宋"/>
                <w:sz w:val="24"/>
                <w:szCs w:val="24"/>
              </w:rPr>
            </w:pPr>
          </w:p>
        </w:tc>
      </w:tr>
      <w:tr w14:paraId="4359294A">
        <w:trPr>
          <w:trHeight w:val="0" w:hRule="atLeast"/>
        </w:trPr>
        <w:tc>
          <w:tcPr>
            <w:tcW w:w="1376" w:type="dxa"/>
            <w:vMerge w:val="continue"/>
            <w:vAlign w:val="center"/>
          </w:tcPr>
          <w:p w14:paraId="0382F59D">
            <w:pPr>
              <w:spacing w:line="240" w:lineRule="atLeast"/>
              <w:jc w:val="center"/>
              <w:rPr>
                <w:rFonts w:hint="eastAsia" w:ascii="仿宋" w:hAnsi="仿宋" w:eastAsia="仿宋" w:cs="仿宋"/>
                <w:sz w:val="24"/>
                <w:szCs w:val="24"/>
              </w:rPr>
            </w:pPr>
          </w:p>
        </w:tc>
        <w:tc>
          <w:tcPr>
            <w:tcW w:w="1032" w:type="dxa"/>
            <w:tcBorders>
              <w:bottom w:val="single" w:color="auto" w:sz="4" w:space="0"/>
            </w:tcBorders>
            <w:vAlign w:val="center"/>
          </w:tcPr>
          <w:p w14:paraId="781BDA97">
            <w:pPr>
              <w:jc w:val="center"/>
              <w:rPr>
                <w:rFonts w:hint="eastAsia" w:ascii="仿宋" w:hAnsi="仿宋" w:eastAsia="仿宋" w:cs="仿宋"/>
                <w:sz w:val="24"/>
                <w:szCs w:val="24"/>
              </w:rPr>
            </w:pPr>
            <w:r>
              <w:rPr>
                <w:rFonts w:hint="eastAsia" w:ascii="仿宋" w:hAnsi="仿宋" w:eastAsia="仿宋" w:cs="仿宋"/>
                <w:kern w:val="0"/>
                <w:sz w:val="24"/>
                <w:szCs w:val="24"/>
              </w:rPr>
              <w:t>课程目标1（</w:t>
            </w:r>
            <w:r>
              <w:rPr>
                <w:rFonts w:hint="eastAsia" w:ascii="仿宋" w:hAnsi="仿宋" w:eastAsia="仿宋" w:cs="仿宋"/>
                <w:kern w:val="0"/>
                <w:sz w:val="24"/>
                <w:szCs w:val="24"/>
                <w:lang w:val="en-US" w:eastAsia="zh-CN"/>
              </w:rPr>
              <w:t>40</w:t>
            </w:r>
            <w:r>
              <w:rPr>
                <w:rFonts w:hint="eastAsia" w:ascii="仿宋" w:hAnsi="仿宋" w:eastAsia="仿宋" w:cs="仿宋"/>
                <w:kern w:val="0"/>
                <w:sz w:val="24"/>
                <w:szCs w:val="24"/>
              </w:rPr>
              <w:t>%）</w:t>
            </w:r>
          </w:p>
        </w:tc>
        <w:tc>
          <w:tcPr>
            <w:tcW w:w="3145" w:type="dxa"/>
            <w:gridSpan w:val="6"/>
            <w:tcBorders>
              <w:bottom w:val="single" w:color="auto" w:sz="4" w:space="0"/>
              <w:right w:val="single" w:color="000000" w:sz="4" w:space="0"/>
            </w:tcBorders>
            <w:vAlign w:val="center"/>
          </w:tcPr>
          <w:p w14:paraId="4AFC3BA2">
            <w:pPr>
              <w:jc w:val="left"/>
              <w:rPr>
                <w:rFonts w:hint="eastAsia" w:ascii="仿宋" w:hAnsi="仿宋" w:eastAsia="仿宋" w:cs="仿宋"/>
                <w:kern w:val="0"/>
                <w:sz w:val="24"/>
                <w:szCs w:val="24"/>
              </w:rPr>
            </w:pPr>
            <w:r>
              <w:rPr>
                <w:rFonts w:hint="eastAsia" w:ascii="仿宋" w:hAnsi="仿宋" w:eastAsia="仿宋" w:cs="仿宋"/>
                <w:kern w:val="0"/>
                <w:sz w:val="24"/>
                <w:szCs w:val="24"/>
              </w:rPr>
              <w:t>作曲家的代表性作品及常见音乐体裁、代表作</w:t>
            </w:r>
            <w:r>
              <w:rPr>
                <w:rFonts w:hint="eastAsia" w:ascii="仿宋" w:hAnsi="仿宋" w:eastAsia="仿宋" w:cs="仿宋"/>
                <w:kern w:val="0"/>
                <w:sz w:val="24"/>
                <w:szCs w:val="24"/>
                <w:lang w:val="en-US" w:eastAsia="en-US"/>
              </w:rPr>
              <w:t>的风格特征</w:t>
            </w:r>
            <w:r>
              <w:rPr>
                <w:rFonts w:hint="eastAsia" w:ascii="仿宋" w:hAnsi="仿宋" w:eastAsia="仿宋" w:cs="仿宋"/>
                <w:kern w:val="0"/>
                <w:sz w:val="24"/>
                <w:szCs w:val="24"/>
              </w:rPr>
              <w:t>。</w:t>
            </w:r>
          </w:p>
        </w:tc>
        <w:tc>
          <w:tcPr>
            <w:tcW w:w="1002" w:type="dxa"/>
            <w:gridSpan w:val="2"/>
            <w:tcBorders>
              <w:left w:val="single" w:color="000000" w:sz="4" w:space="0"/>
              <w:bottom w:val="single" w:color="auto" w:sz="4" w:space="0"/>
              <w:right w:val="single" w:color="000000" w:sz="4" w:space="0"/>
            </w:tcBorders>
            <w:vAlign w:val="center"/>
          </w:tcPr>
          <w:p w14:paraId="2F58CB79">
            <w:pPr>
              <w:jc w:val="center"/>
              <w:rPr>
                <w:rFonts w:hint="eastAsia" w:ascii="仿宋" w:hAnsi="仿宋" w:eastAsia="仿宋" w:cs="仿宋"/>
                <w:kern w:val="0"/>
                <w:sz w:val="24"/>
                <w:szCs w:val="24"/>
              </w:rPr>
            </w:pPr>
            <w:r>
              <w:rPr>
                <w:rFonts w:ascii="仿宋" w:hAnsi="仿宋" w:eastAsia="仿宋" w:cs="仿宋"/>
                <w:kern w:val="0"/>
                <w:sz w:val="24"/>
                <w:szCs w:val="24"/>
              </w:rPr>
              <w:t>9</w:t>
            </w:r>
          </w:p>
        </w:tc>
        <w:tc>
          <w:tcPr>
            <w:tcW w:w="1002" w:type="dxa"/>
            <w:gridSpan w:val="4"/>
            <w:tcBorders>
              <w:left w:val="single" w:color="000000" w:sz="4" w:space="0"/>
              <w:bottom w:val="single" w:color="auto" w:sz="4" w:space="0"/>
              <w:right w:val="single" w:color="auto" w:sz="4" w:space="0"/>
            </w:tcBorders>
            <w:vAlign w:val="center"/>
          </w:tcPr>
          <w:p w14:paraId="16744B37">
            <w:pPr>
              <w:tabs>
                <w:tab w:val="left" w:pos="720"/>
              </w:tabs>
              <w:jc w:val="center"/>
              <w:rPr>
                <w:rFonts w:ascii="仿宋" w:hAnsi="仿宋" w:eastAsia="仿宋" w:cs="仿宋"/>
                <w:kern w:val="0"/>
                <w:sz w:val="24"/>
                <w:szCs w:val="24"/>
                <w:lang w:val="en-US" w:eastAsia="zh-CN" w:bidi="ar-SA"/>
              </w:rPr>
            </w:pPr>
            <w:r>
              <w:rPr>
                <w:rFonts w:ascii="仿宋" w:hAnsi="仿宋" w:eastAsia="仿宋" w:cs="仿宋"/>
                <w:kern w:val="0"/>
                <w:sz w:val="24"/>
                <w:szCs w:val="24"/>
                <w:lang w:eastAsia="zh-CN" w:bidi="ar-SA"/>
              </w:rPr>
              <w:t>15</w:t>
            </w:r>
          </w:p>
        </w:tc>
        <w:tc>
          <w:tcPr>
            <w:tcW w:w="1002" w:type="dxa"/>
            <w:gridSpan w:val="3"/>
            <w:tcBorders>
              <w:left w:val="single" w:color="000000" w:sz="4" w:space="0"/>
              <w:bottom w:val="single" w:color="auto" w:sz="4" w:space="0"/>
              <w:right w:val="single" w:color="auto" w:sz="4" w:space="0"/>
            </w:tcBorders>
            <w:vAlign w:val="center"/>
          </w:tcPr>
          <w:p w14:paraId="1E97A8F5">
            <w:pPr>
              <w:jc w:val="center"/>
              <w:rPr>
                <w:rFonts w:ascii="仿宋" w:hAnsi="仿宋" w:eastAsia="仿宋" w:cs="仿宋"/>
                <w:kern w:val="0"/>
                <w:sz w:val="24"/>
                <w:szCs w:val="24"/>
                <w:lang w:val="en-US" w:eastAsia="zh-CN" w:bidi="ar-SA"/>
              </w:rPr>
            </w:pPr>
            <w:r>
              <w:rPr>
                <w:rFonts w:ascii="仿宋" w:hAnsi="仿宋" w:eastAsia="仿宋" w:cs="仿宋"/>
                <w:kern w:val="0"/>
                <w:sz w:val="24"/>
                <w:szCs w:val="24"/>
                <w:lang w:eastAsia="zh-CN" w:bidi="ar-SA"/>
              </w:rPr>
              <w:t>26</w:t>
            </w:r>
          </w:p>
        </w:tc>
        <w:tc>
          <w:tcPr>
            <w:tcW w:w="589" w:type="dxa"/>
            <w:tcBorders>
              <w:left w:val="single" w:color="auto" w:sz="4" w:space="0"/>
              <w:bottom w:val="single" w:color="auto" w:sz="4" w:space="0"/>
            </w:tcBorders>
            <w:vAlign w:val="center"/>
          </w:tcPr>
          <w:p w14:paraId="267E30BA">
            <w:pPr>
              <w:jc w:val="center"/>
              <w:rPr>
                <w:rFonts w:hint="eastAsia" w:ascii="仿宋" w:hAnsi="仿宋" w:eastAsia="仿宋" w:cs="仿宋"/>
                <w:kern w:val="0"/>
                <w:sz w:val="24"/>
                <w:szCs w:val="24"/>
              </w:rPr>
            </w:pPr>
            <w:r>
              <w:rPr>
                <w:rFonts w:ascii="仿宋" w:hAnsi="仿宋" w:eastAsia="仿宋" w:cs="仿宋"/>
                <w:kern w:val="0"/>
                <w:sz w:val="24"/>
                <w:szCs w:val="24"/>
              </w:rPr>
              <w:t>0</w:t>
            </w:r>
            <w:r>
              <w:rPr>
                <w:rFonts w:hint="eastAsia" w:ascii="仿宋" w:hAnsi="仿宋" w:eastAsia="仿宋" w:cs="仿宋"/>
                <w:kern w:val="0"/>
                <w:sz w:val="24"/>
                <w:szCs w:val="24"/>
                <w:lang w:val="en-US" w:eastAsia="en-US"/>
              </w:rPr>
              <w:t>.</w:t>
            </w:r>
            <w:r>
              <w:rPr>
                <w:rFonts w:ascii="仿宋" w:hAnsi="仿宋" w:eastAsia="仿宋" w:cs="仿宋"/>
                <w:kern w:val="0"/>
                <w:sz w:val="24"/>
                <w:szCs w:val="24"/>
                <w:lang w:eastAsia="en-US"/>
              </w:rPr>
              <w:t>7</w:t>
            </w:r>
          </w:p>
        </w:tc>
      </w:tr>
      <w:tr w14:paraId="318852F7">
        <w:trPr>
          <w:trHeight w:val="0" w:hRule="atLeast"/>
        </w:trPr>
        <w:tc>
          <w:tcPr>
            <w:tcW w:w="1376" w:type="dxa"/>
            <w:vMerge w:val="continue"/>
            <w:vAlign w:val="center"/>
          </w:tcPr>
          <w:p w14:paraId="0C268541">
            <w:pPr>
              <w:spacing w:line="240" w:lineRule="atLeast"/>
              <w:jc w:val="center"/>
              <w:rPr>
                <w:rFonts w:hint="eastAsia" w:ascii="仿宋" w:hAnsi="仿宋" w:eastAsia="仿宋" w:cs="仿宋"/>
                <w:sz w:val="24"/>
                <w:szCs w:val="24"/>
                <w:lang w:eastAsia="zh-TW"/>
              </w:rPr>
            </w:pPr>
          </w:p>
        </w:tc>
        <w:tc>
          <w:tcPr>
            <w:tcW w:w="1032" w:type="dxa"/>
            <w:vAlign w:val="center"/>
          </w:tcPr>
          <w:p w14:paraId="61C955D3">
            <w:pPr>
              <w:jc w:val="center"/>
              <w:rPr>
                <w:rFonts w:hint="eastAsia" w:ascii="仿宋" w:hAnsi="仿宋" w:eastAsia="仿宋" w:cs="仿宋"/>
                <w:kern w:val="0"/>
                <w:sz w:val="24"/>
                <w:szCs w:val="24"/>
              </w:rPr>
            </w:pPr>
            <w:r>
              <w:rPr>
                <w:rFonts w:hint="eastAsia" w:ascii="仿宋" w:hAnsi="仿宋" w:eastAsia="仿宋" w:cs="仿宋"/>
                <w:kern w:val="0"/>
                <w:sz w:val="24"/>
                <w:szCs w:val="24"/>
              </w:rPr>
              <w:t>课程目标2（</w:t>
            </w:r>
            <w:r>
              <w:rPr>
                <w:rFonts w:hint="eastAsia" w:ascii="仿宋" w:hAnsi="仿宋" w:eastAsia="仿宋" w:cs="仿宋"/>
                <w:kern w:val="0"/>
                <w:sz w:val="24"/>
                <w:szCs w:val="24"/>
                <w:lang w:val="en-US" w:eastAsia="zh-CN"/>
              </w:rPr>
              <w:t>40</w:t>
            </w:r>
            <w:r>
              <w:rPr>
                <w:rFonts w:hint="eastAsia" w:ascii="仿宋" w:hAnsi="仿宋" w:eastAsia="仿宋" w:cs="仿宋"/>
                <w:kern w:val="0"/>
                <w:sz w:val="24"/>
                <w:szCs w:val="24"/>
              </w:rPr>
              <w:t>%）</w:t>
            </w:r>
          </w:p>
        </w:tc>
        <w:tc>
          <w:tcPr>
            <w:tcW w:w="3145" w:type="dxa"/>
            <w:gridSpan w:val="6"/>
            <w:tcBorders>
              <w:right w:val="single" w:color="000000" w:sz="4" w:space="0"/>
            </w:tcBorders>
            <w:vAlign w:val="center"/>
          </w:tcPr>
          <w:p w14:paraId="6E3BFF0F">
            <w:pPr>
              <w:jc w:val="left"/>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rPr>
              <w:t>作曲家的代表性作品及常见音乐体裁的代表作</w:t>
            </w:r>
            <w:r>
              <w:rPr>
                <w:rFonts w:hint="eastAsia" w:ascii="仿宋" w:hAnsi="仿宋" w:eastAsia="仿宋" w:cs="仿宋"/>
                <w:kern w:val="0"/>
                <w:sz w:val="24"/>
                <w:szCs w:val="24"/>
                <w:lang w:val="en-US" w:eastAsia="en-US"/>
              </w:rPr>
              <w:t>赏析</w:t>
            </w:r>
            <w:r>
              <w:rPr>
                <w:rFonts w:hint="eastAsia" w:ascii="仿宋" w:hAnsi="仿宋" w:eastAsia="仿宋" w:cs="仿宋"/>
                <w:kern w:val="0"/>
                <w:sz w:val="24"/>
                <w:szCs w:val="24"/>
              </w:rPr>
              <w:t>。</w:t>
            </w:r>
          </w:p>
        </w:tc>
        <w:tc>
          <w:tcPr>
            <w:tcW w:w="1002" w:type="dxa"/>
            <w:gridSpan w:val="2"/>
            <w:tcBorders>
              <w:left w:val="single" w:color="000000" w:sz="4" w:space="0"/>
              <w:right w:val="single" w:color="000000" w:sz="4" w:space="0"/>
            </w:tcBorders>
            <w:vAlign w:val="center"/>
          </w:tcPr>
          <w:p w14:paraId="33CB379C">
            <w:pPr>
              <w:jc w:val="center"/>
              <w:rPr>
                <w:rFonts w:hint="eastAsia" w:ascii="仿宋" w:hAnsi="仿宋" w:eastAsia="仿宋" w:cs="仿宋"/>
                <w:kern w:val="0"/>
                <w:sz w:val="24"/>
                <w:szCs w:val="24"/>
                <w:lang w:val="en-US" w:eastAsia="zh-CN" w:bidi="ar-SA"/>
              </w:rPr>
            </w:pPr>
            <w:r>
              <w:rPr>
                <w:rFonts w:ascii="仿宋" w:hAnsi="仿宋" w:eastAsia="仿宋" w:cs="仿宋"/>
                <w:kern w:val="0"/>
                <w:sz w:val="24"/>
                <w:szCs w:val="24"/>
              </w:rPr>
              <w:t>6</w:t>
            </w:r>
          </w:p>
        </w:tc>
        <w:tc>
          <w:tcPr>
            <w:tcW w:w="1002" w:type="dxa"/>
            <w:gridSpan w:val="4"/>
            <w:tcBorders>
              <w:left w:val="single" w:color="000000" w:sz="4" w:space="0"/>
              <w:bottom w:val="single" w:color="000000" w:sz="4" w:space="0"/>
            </w:tcBorders>
            <w:vAlign w:val="center"/>
          </w:tcPr>
          <w:p w14:paraId="3AAC4782">
            <w:pPr>
              <w:tabs>
                <w:tab w:val="left" w:pos="720"/>
              </w:tabs>
              <w:jc w:val="center"/>
              <w:rPr>
                <w:rFonts w:ascii="仿宋" w:hAnsi="仿宋" w:eastAsia="仿宋" w:cs="仿宋"/>
                <w:kern w:val="0"/>
                <w:sz w:val="24"/>
                <w:szCs w:val="24"/>
                <w:lang w:val="en-US" w:eastAsia="zh-CN" w:bidi="ar-SA"/>
              </w:rPr>
            </w:pPr>
            <w:r>
              <w:rPr>
                <w:rFonts w:ascii="仿宋" w:hAnsi="仿宋" w:eastAsia="仿宋" w:cs="仿宋"/>
                <w:kern w:val="0"/>
                <w:sz w:val="24"/>
                <w:szCs w:val="24"/>
                <w:lang w:eastAsia="zh-CN" w:bidi="ar-SA"/>
              </w:rPr>
              <w:t>20</w:t>
            </w:r>
          </w:p>
        </w:tc>
        <w:tc>
          <w:tcPr>
            <w:tcW w:w="1002" w:type="dxa"/>
            <w:gridSpan w:val="3"/>
            <w:tcBorders>
              <w:left w:val="single" w:color="000000" w:sz="4" w:space="0"/>
              <w:bottom w:val="single" w:color="000000" w:sz="4" w:space="0"/>
              <w:right w:val="single" w:color="000000" w:sz="4" w:space="0"/>
            </w:tcBorders>
            <w:vAlign w:val="center"/>
          </w:tcPr>
          <w:p w14:paraId="0048D00B">
            <w:pPr>
              <w:jc w:val="center"/>
              <w:rPr>
                <w:rFonts w:hint="eastAsia" w:ascii="仿宋" w:hAnsi="仿宋" w:eastAsia="仿宋" w:cs="仿宋"/>
                <w:kern w:val="0"/>
                <w:sz w:val="24"/>
                <w:szCs w:val="24"/>
                <w:lang w:val="en-US" w:eastAsia="zh-CN" w:bidi="ar-SA"/>
              </w:rPr>
            </w:pPr>
            <w:r>
              <w:rPr>
                <w:rFonts w:ascii="仿宋" w:hAnsi="仿宋" w:eastAsia="仿宋" w:cs="仿宋"/>
                <w:kern w:val="0"/>
                <w:sz w:val="24"/>
                <w:szCs w:val="24"/>
                <w:lang w:eastAsia="zh-CN" w:bidi="ar-SA"/>
              </w:rPr>
              <w:t>4</w:t>
            </w:r>
          </w:p>
        </w:tc>
        <w:tc>
          <w:tcPr>
            <w:tcW w:w="589" w:type="dxa"/>
            <w:tcBorders>
              <w:left w:val="single" w:color="000000" w:sz="4" w:space="0"/>
              <w:bottom w:val="single" w:color="000000" w:sz="4" w:space="0"/>
            </w:tcBorders>
            <w:vAlign w:val="center"/>
          </w:tcPr>
          <w:p w14:paraId="294D6696">
            <w:pPr>
              <w:jc w:val="center"/>
              <w:rPr>
                <w:rFonts w:hint="eastAsia" w:ascii="仿宋" w:hAnsi="仿宋" w:eastAsia="仿宋" w:cs="仿宋"/>
                <w:kern w:val="0"/>
                <w:sz w:val="24"/>
                <w:szCs w:val="24"/>
              </w:rPr>
            </w:pPr>
            <w:r>
              <w:rPr>
                <w:rFonts w:ascii="仿宋" w:hAnsi="仿宋" w:eastAsia="仿宋" w:cs="仿宋"/>
                <w:kern w:val="0"/>
                <w:sz w:val="24"/>
                <w:szCs w:val="24"/>
              </w:rPr>
              <w:t>0</w:t>
            </w:r>
            <w:r>
              <w:rPr>
                <w:rFonts w:hint="eastAsia" w:ascii="仿宋" w:hAnsi="仿宋" w:eastAsia="仿宋" w:cs="仿宋"/>
                <w:kern w:val="0"/>
                <w:sz w:val="24"/>
                <w:szCs w:val="24"/>
                <w:lang w:val="en-US" w:eastAsia="en-US"/>
              </w:rPr>
              <w:t>.</w:t>
            </w:r>
            <w:r>
              <w:rPr>
                <w:rFonts w:ascii="仿宋" w:hAnsi="仿宋" w:eastAsia="仿宋" w:cs="仿宋"/>
                <w:kern w:val="0"/>
                <w:sz w:val="24"/>
                <w:szCs w:val="24"/>
                <w:lang w:eastAsia="en-US"/>
              </w:rPr>
              <w:t>7</w:t>
            </w:r>
          </w:p>
        </w:tc>
      </w:tr>
      <w:tr w14:paraId="20328B9B">
        <w:trPr>
          <w:trHeight w:val="0" w:hRule="atLeast"/>
        </w:trPr>
        <w:tc>
          <w:tcPr>
            <w:tcW w:w="1376" w:type="dxa"/>
            <w:vMerge w:val="continue"/>
            <w:vAlign w:val="center"/>
          </w:tcPr>
          <w:p w14:paraId="0E31AC37">
            <w:pPr>
              <w:spacing w:line="240" w:lineRule="atLeast"/>
              <w:jc w:val="center"/>
              <w:rPr>
                <w:rFonts w:hint="eastAsia" w:ascii="仿宋" w:hAnsi="仿宋" w:eastAsia="仿宋" w:cs="仿宋"/>
                <w:sz w:val="24"/>
                <w:szCs w:val="24"/>
                <w:lang w:eastAsia="zh-TW"/>
              </w:rPr>
            </w:pPr>
          </w:p>
        </w:tc>
        <w:tc>
          <w:tcPr>
            <w:tcW w:w="1032" w:type="dxa"/>
            <w:tcBorders>
              <w:bottom w:val="single" w:color="auto" w:sz="4" w:space="0"/>
            </w:tcBorders>
            <w:vAlign w:val="center"/>
          </w:tcPr>
          <w:p w14:paraId="63860E7D">
            <w:pPr>
              <w:jc w:val="center"/>
              <w:rPr>
                <w:rFonts w:hint="eastAsia" w:ascii="仿宋" w:hAnsi="仿宋" w:eastAsia="仿宋" w:cs="仿宋"/>
                <w:sz w:val="24"/>
                <w:szCs w:val="24"/>
              </w:rPr>
            </w:pPr>
            <w:r>
              <w:rPr>
                <w:rFonts w:hint="eastAsia" w:ascii="仿宋" w:hAnsi="仿宋" w:eastAsia="仿宋" w:cs="仿宋"/>
                <w:kern w:val="0"/>
                <w:sz w:val="24"/>
                <w:szCs w:val="24"/>
              </w:rPr>
              <w:t>课程目标3（</w:t>
            </w:r>
            <w:r>
              <w:rPr>
                <w:rFonts w:ascii="仿宋" w:hAnsi="仿宋" w:eastAsia="仿宋" w:cs="仿宋"/>
                <w:kern w:val="0"/>
                <w:sz w:val="24"/>
                <w:szCs w:val="24"/>
              </w:rPr>
              <w:t>20</w:t>
            </w:r>
            <w:r>
              <w:rPr>
                <w:rFonts w:hint="eastAsia" w:ascii="仿宋" w:hAnsi="仿宋" w:eastAsia="仿宋" w:cs="仿宋"/>
                <w:kern w:val="0"/>
                <w:sz w:val="24"/>
                <w:szCs w:val="24"/>
              </w:rPr>
              <w:t>%）</w:t>
            </w:r>
          </w:p>
        </w:tc>
        <w:tc>
          <w:tcPr>
            <w:tcW w:w="3145" w:type="dxa"/>
            <w:gridSpan w:val="6"/>
            <w:tcBorders>
              <w:bottom w:val="single" w:color="auto" w:sz="4" w:space="0"/>
              <w:right w:val="single" w:color="000000" w:sz="4" w:space="0"/>
            </w:tcBorders>
            <w:vAlign w:val="center"/>
          </w:tcPr>
          <w:p w14:paraId="1270D3A8">
            <w:pPr>
              <w:jc w:val="left"/>
              <w:rPr>
                <w:rFonts w:hint="eastAsia" w:ascii="仿宋" w:hAnsi="仿宋" w:eastAsia="仿宋" w:cs="仿宋"/>
                <w:kern w:val="0"/>
                <w:sz w:val="24"/>
                <w:szCs w:val="24"/>
                <w:lang w:val="en-US" w:eastAsia="zh-CN" w:bidi="ar-SA"/>
              </w:rPr>
            </w:pPr>
            <w:r>
              <w:rPr>
                <w:rFonts w:hint="eastAsia" w:ascii="仿宋" w:hAnsi="仿宋" w:eastAsia="仿宋" w:cs="仿宋"/>
                <w:bCs/>
                <w:sz w:val="24"/>
                <w:szCs w:val="24"/>
                <w:lang w:val="en-US" w:eastAsia="en-US"/>
              </w:rPr>
              <w:t>通过</w:t>
            </w:r>
            <w:r>
              <w:rPr>
                <w:rFonts w:hint="eastAsia" w:ascii="仿宋" w:hAnsi="仿宋" w:eastAsia="仿宋" w:cs="仿宋"/>
                <w:bCs/>
                <w:sz w:val="24"/>
                <w:szCs w:val="24"/>
              </w:rPr>
              <w:t>国外音乐史研究的</w:t>
            </w:r>
            <w:r>
              <w:rPr>
                <w:rFonts w:hint="eastAsia" w:ascii="仿宋" w:hAnsi="仿宋" w:eastAsia="仿宋" w:cs="仿宋"/>
                <w:bCs/>
                <w:sz w:val="24"/>
                <w:szCs w:val="24"/>
                <w:lang w:val="en-US" w:eastAsia="en-US"/>
              </w:rPr>
              <w:t>主要</w:t>
            </w:r>
            <w:r>
              <w:rPr>
                <w:rFonts w:hint="eastAsia" w:ascii="仿宋" w:hAnsi="仿宋" w:eastAsia="仿宋" w:cs="仿宋"/>
                <w:bCs/>
                <w:sz w:val="24"/>
                <w:szCs w:val="24"/>
              </w:rPr>
              <w:t>方法论，</w:t>
            </w:r>
            <w:r>
              <w:rPr>
                <w:rFonts w:hint="eastAsia" w:ascii="仿宋" w:hAnsi="仿宋" w:eastAsia="仿宋" w:cs="仿宋"/>
                <w:bCs/>
                <w:sz w:val="24"/>
                <w:szCs w:val="24"/>
                <w:lang w:val="en-US" w:eastAsia="en-US"/>
              </w:rPr>
              <w:t>对</w:t>
            </w:r>
            <w:r>
              <w:rPr>
                <w:rFonts w:hint="eastAsia" w:ascii="仿宋" w:hAnsi="仿宋" w:eastAsia="仿宋" w:cs="仿宋"/>
                <w:kern w:val="0"/>
                <w:sz w:val="24"/>
                <w:szCs w:val="24"/>
              </w:rPr>
              <w:t>作曲家的代表性作品及常见音乐体裁、代表作</w:t>
            </w:r>
            <w:r>
              <w:rPr>
                <w:rFonts w:hint="eastAsia" w:ascii="仿宋" w:hAnsi="仿宋" w:eastAsia="仿宋" w:cs="仿宋"/>
                <w:kern w:val="0"/>
                <w:sz w:val="24"/>
                <w:szCs w:val="24"/>
                <w:lang w:val="en-US" w:eastAsia="en-US"/>
              </w:rPr>
              <w:t>进行分析</w:t>
            </w:r>
            <w:r>
              <w:rPr>
                <w:rFonts w:hint="eastAsia" w:ascii="仿宋" w:hAnsi="仿宋" w:eastAsia="仿宋" w:cs="仿宋"/>
                <w:bCs/>
                <w:sz w:val="24"/>
                <w:szCs w:val="24"/>
              </w:rPr>
              <w:t>。</w:t>
            </w:r>
          </w:p>
        </w:tc>
        <w:tc>
          <w:tcPr>
            <w:tcW w:w="1002" w:type="dxa"/>
            <w:gridSpan w:val="2"/>
            <w:tcBorders>
              <w:left w:val="single" w:color="000000" w:sz="4" w:space="0"/>
              <w:bottom w:val="single" w:color="auto" w:sz="4" w:space="0"/>
              <w:right w:val="single" w:color="000000" w:sz="4" w:space="0"/>
            </w:tcBorders>
            <w:vAlign w:val="center"/>
          </w:tcPr>
          <w:p w14:paraId="779CC313">
            <w:pPr>
              <w:jc w:val="center"/>
              <w:rPr>
                <w:rFonts w:hint="eastAsia" w:ascii="仿宋" w:hAnsi="仿宋" w:eastAsia="仿宋" w:cs="仿宋"/>
                <w:kern w:val="0"/>
                <w:sz w:val="24"/>
                <w:szCs w:val="24"/>
              </w:rPr>
            </w:pPr>
            <w:r>
              <w:rPr>
                <w:rFonts w:ascii="仿宋" w:hAnsi="仿宋" w:eastAsia="仿宋" w:cs="仿宋"/>
                <w:kern w:val="0"/>
                <w:sz w:val="24"/>
                <w:szCs w:val="24"/>
              </w:rPr>
              <w:t>5</w:t>
            </w:r>
          </w:p>
        </w:tc>
        <w:tc>
          <w:tcPr>
            <w:tcW w:w="1002" w:type="dxa"/>
            <w:gridSpan w:val="4"/>
            <w:tcBorders>
              <w:top w:val="single" w:color="000000" w:sz="4" w:space="0"/>
              <w:left w:val="single" w:color="000000" w:sz="4" w:space="0"/>
              <w:bottom w:val="single" w:color="auto" w:sz="4" w:space="0"/>
            </w:tcBorders>
            <w:vAlign w:val="center"/>
          </w:tcPr>
          <w:p w14:paraId="5CCB7B71">
            <w:pPr>
              <w:tabs>
                <w:tab w:val="left" w:pos="720"/>
              </w:tabs>
              <w:jc w:val="center"/>
              <w:rPr>
                <w:rFonts w:ascii="仿宋" w:hAnsi="仿宋" w:eastAsia="仿宋" w:cs="仿宋"/>
                <w:kern w:val="0"/>
                <w:sz w:val="24"/>
                <w:szCs w:val="24"/>
                <w:lang w:val="en-US" w:eastAsia="zh-CN" w:bidi="ar-SA"/>
              </w:rPr>
            </w:pPr>
            <w:r>
              <w:rPr>
                <w:rFonts w:ascii="仿宋" w:hAnsi="仿宋" w:eastAsia="仿宋" w:cs="仿宋"/>
                <w:kern w:val="0"/>
                <w:sz w:val="24"/>
                <w:szCs w:val="24"/>
                <w:lang w:eastAsia="zh-CN" w:bidi="ar-SA"/>
              </w:rPr>
              <w:t>5</w:t>
            </w:r>
          </w:p>
        </w:tc>
        <w:tc>
          <w:tcPr>
            <w:tcW w:w="1002" w:type="dxa"/>
            <w:gridSpan w:val="3"/>
            <w:tcBorders>
              <w:top w:val="single" w:color="000000" w:sz="4" w:space="0"/>
              <w:left w:val="single" w:color="000000" w:sz="4" w:space="0"/>
              <w:bottom w:val="single" w:color="auto" w:sz="4" w:space="0"/>
              <w:right w:val="single" w:color="000000" w:sz="4" w:space="0"/>
            </w:tcBorders>
            <w:vAlign w:val="center"/>
          </w:tcPr>
          <w:p w14:paraId="442BC4B7">
            <w:pPr>
              <w:jc w:val="center"/>
              <w:rPr>
                <w:rFonts w:ascii="仿宋" w:hAnsi="仿宋" w:eastAsia="仿宋" w:cs="仿宋"/>
                <w:kern w:val="0"/>
                <w:sz w:val="24"/>
                <w:szCs w:val="24"/>
                <w:lang w:val="en-US" w:eastAsia="zh-CN" w:bidi="ar-SA"/>
              </w:rPr>
            </w:pPr>
            <w:r>
              <w:rPr>
                <w:rFonts w:ascii="仿宋" w:hAnsi="仿宋" w:eastAsia="仿宋" w:cs="仿宋"/>
                <w:kern w:val="0"/>
                <w:sz w:val="24"/>
                <w:szCs w:val="24"/>
                <w:lang w:eastAsia="zh-CN" w:bidi="ar-SA"/>
              </w:rPr>
              <w:t>10</w:t>
            </w:r>
          </w:p>
        </w:tc>
        <w:tc>
          <w:tcPr>
            <w:tcW w:w="589" w:type="dxa"/>
            <w:tcBorders>
              <w:top w:val="single" w:color="000000" w:sz="4" w:space="0"/>
              <w:left w:val="single" w:color="000000" w:sz="4" w:space="0"/>
              <w:bottom w:val="single" w:color="auto" w:sz="4" w:space="0"/>
            </w:tcBorders>
            <w:vAlign w:val="center"/>
          </w:tcPr>
          <w:p w14:paraId="6D3B8D01">
            <w:pPr>
              <w:jc w:val="center"/>
              <w:rPr>
                <w:rFonts w:hint="eastAsia" w:ascii="仿宋" w:hAnsi="仿宋" w:eastAsia="仿宋" w:cs="仿宋"/>
                <w:kern w:val="0"/>
                <w:sz w:val="24"/>
                <w:szCs w:val="24"/>
              </w:rPr>
            </w:pPr>
            <w:r>
              <w:rPr>
                <w:rFonts w:ascii="仿宋" w:hAnsi="仿宋" w:eastAsia="仿宋" w:cs="仿宋"/>
                <w:kern w:val="0"/>
                <w:sz w:val="24"/>
                <w:szCs w:val="24"/>
              </w:rPr>
              <w:t>0</w:t>
            </w:r>
            <w:r>
              <w:rPr>
                <w:rFonts w:hint="eastAsia" w:ascii="仿宋" w:hAnsi="仿宋" w:eastAsia="仿宋" w:cs="仿宋"/>
                <w:kern w:val="0"/>
                <w:sz w:val="24"/>
                <w:szCs w:val="24"/>
                <w:lang w:val="en-US" w:eastAsia="en-US"/>
              </w:rPr>
              <w:t>.</w:t>
            </w:r>
            <w:r>
              <w:rPr>
                <w:rFonts w:ascii="仿宋" w:hAnsi="仿宋" w:eastAsia="仿宋" w:cs="仿宋"/>
                <w:kern w:val="0"/>
                <w:sz w:val="24"/>
                <w:szCs w:val="24"/>
                <w:lang w:eastAsia="en-US"/>
              </w:rPr>
              <w:t>7</w:t>
            </w:r>
          </w:p>
        </w:tc>
      </w:tr>
      <w:tr w14:paraId="0FCD3DBB">
        <w:trPr>
          <w:trHeight w:val="0" w:hRule="atLeast"/>
        </w:trPr>
        <w:tc>
          <w:tcPr>
            <w:tcW w:w="1376" w:type="dxa"/>
            <w:vMerge w:val="continue"/>
            <w:vAlign w:val="center"/>
          </w:tcPr>
          <w:p w14:paraId="324B6084">
            <w:pPr>
              <w:spacing w:line="240" w:lineRule="atLeast"/>
              <w:jc w:val="center"/>
              <w:rPr>
                <w:rFonts w:hint="eastAsia" w:ascii="仿宋" w:hAnsi="仿宋" w:eastAsia="仿宋" w:cs="仿宋"/>
                <w:sz w:val="24"/>
                <w:szCs w:val="24"/>
                <w:lang w:eastAsia="zh-TW"/>
              </w:rPr>
            </w:pPr>
          </w:p>
        </w:tc>
        <w:tc>
          <w:tcPr>
            <w:tcW w:w="4177" w:type="dxa"/>
            <w:gridSpan w:val="7"/>
            <w:tcBorders>
              <w:bottom w:val="single" w:color="auto" w:sz="4" w:space="0"/>
              <w:right w:val="single" w:color="000000" w:sz="4" w:space="0"/>
            </w:tcBorders>
            <w:vAlign w:val="center"/>
          </w:tcPr>
          <w:p w14:paraId="39AAF27A">
            <w:pPr>
              <w:widowControl/>
              <w:autoSpaceDE w:val="0"/>
              <w:autoSpaceDN w:val="0"/>
              <w:jc w:val="center"/>
              <w:rPr>
                <w:rFonts w:hint="eastAsia" w:ascii="仿宋" w:hAnsi="仿宋" w:eastAsia="仿宋" w:cs="仿宋"/>
                <w:sz w:val="24"/>
                <w:szCs w:val="24"/>
              </w:rPr>
            </w:pPr>
            <w:r>
              <w:rPr>
                <w:rFonts w:hint="eastAsia" w:ascii="仿宋" w:hAnsi="仿宋" w:eastAsia="仿宋" w:cs="仿宋"/>
                <w:sz w:val="24"/>
                <w:szCs w:val="24"/>
              </w:rPr>
              <w:t>总分</w:t>
            </w:r>
          </w:p>
        </w:tc>
        <w:tc>
          <w:tcPr>
            <w:tcW w:w="1002" w:type="dxa"/>
            <w:gridSpan w:val="2"/>
            <w:tcBorders>
              <w:left w:val="single" w:color="000000" w:sz="4" w:space="0"/>
              <w:bottom w:val="single" w:color="auto" w:sz="4" w:space="0"/>
              <w:right w:val="single" w:color="000000" w:sz="4" w:space="0"/>
            </w:tcBorders>
            <w:vAlign w:val="center"/>
          </w:tcPr>
          <w:p w14:paraId="208205B0">
            <w:pPr>
              <w:jc w:val="center"/>
              <w:rPr>
                <w:rFonts w:hint="eastAsia" w:ascii="仿宋" w:hAnsi="仿宋" w:eastAsia="仿宋" w:cs="仿宋"/>
                <w:kern w:val="0"/>
                <w:sz w:val="24"/>
                <w:szCs w:val="24"/>
              </w:rPr>
            </w:pPr>
            <w:r>
              <w:rPr>
                <w:rFonts w:ascii="仿宋" w:hAnsi="仿宋" w:eastAsia="仿宋" w:cs="仿宋"/>
                <w:kern w:val="0"/>
                <w:sz w:val="24"/>
                <w:szCs w:val="24"/>
              </w:rPr>
              <w:t>20</w:t>
            </w:r>
          </w:p>
        </w:tc>
        <w:tc>
          <w:tcPr>
            <w:tcW w:w="1002" w:type="dxa"/>
            <w:gridSpan w:val="4"/>
            <w:tcBorders>
              <w:top w:val="single" w:color="000000" w:sz="4" w:space="0"/>
              <w:left w:val="single" w:color="000000" w:sz="4" w:space="0"/>
              <w:bottom w:val="single" w:color="auto" w:sz="4" w:space="0"/>
            </w:tcBorders>
            <w:vAlign w:val="center"/>
          </w:tcPr>
          <w:p w14:paraId="27EDB9FE">
            <w:pPr>
              <w:tabs>
                <w:tab w:val="left" w:pos="720"/>
              </w:tabs>
              <w:jc w:val="center"/>
              <w:rPr>
                <w:rFonts w:ascii="仿宋" w:hAnsi="仿宋" w:eastAsia="仿宋" w:cs="仿宋"/>
                <w:kern w:val="0"/>
                <w:sz w:val="24"/>
                <w:szCs w:val="24"/>
              </w:rPr>
            </w:pPr>
            <w:r>
              <w:rPr>
                <w:rFonts w:ascii="仿宋" w:hAnsi="仿宋" w:eastAsia="仿宋" w:cs="仿宋"/>
                <w:kern w:val="0"/>
                <w:sz w:val="24"/>
                <w:szCs w:val="24"/>
              </w:rPr>
              <w:t>40</w:t>
            </w:r>
          </w:p>
        </w:tc>
        <w:tc>
          <w:tcPr>
            <w:tcW w:w="1002" w:type="dxa"/>
            <w:gridSpan w:val="3"/>
            <w:tcBorders>
              <w:top w:val="single" w:color="000000" w:sz="4" w:space="0"/>
              <w:left w:val="single" w:color="000000" w:sz="4" w:space="0"/>
              <w:bottom w:val="single" w:color="auto" w:sz="4" w:space="0"/>
              <w:right w:val="single" w:color="000000" w:sz="4" w:space="0"/>
            </w:tcBorders>
            <w:vAlign w:val="center"/>
          </w:tcPr>
          <w:p w14:paraId="2EC9D9BC">
            <w:pPr>
              <w:tabs>
                <w:tab w:val="left" w:pos="720"/>
              </w:tabs>
              <w:jc w:val="center"/>
              <w:rPr>
                <w:rFonts w:hint="eastAsia" w:ascii="仿宋" w:hAnsi="仿宋" w:eastAsia="仿宋" w:cs="仿宋"/>
                <w:kern w:val="0"/>
                <w:sz w:val="24"/>
                <w:szCs w:val="24"/>
              </w:rPr>
            </w:pPr>
            <w:r>
              <w:rPr>
                <w:rFonts w:ascii="仿宋" w:hAnsi="仿宋" w:eastAsia="仿宋" w:cs="仿宋"/>
                <w:kern w:val="0"/>
                <w:sz w:val="24"/>
                <w:szCs w:val="24"/>
              </w:rPr>
              <w:t>40</w:t>
            </w:r>
          </w:p>
        </w:tc>
        <w:tc>
          <w:tcPr>
            <w:tcW w:w="589" w:type="dxa"/>
            <w:tcBorders>
              <w:top w:val="single" w:color="000000" w:sz="4" w:space="0"/>
              <w:left w:val="single" w:color="000000" w:sz="4" w:space="0"/>
              <w:bottom w:val="single" w:color="auto" w:sz="4" w:space="0"/>
            </w:tcBorders>
            <w:vAlign w:val="center"/>
          </w:tcPr>
          <w:p w14:paraId="37F56164">
            <w:pPr>
              <w:tabs>
                <w:tab w:val="left" w:pos="720"/>
              </w:tabs>
              <w:jc w:val="center"/>
              <w:rPr>
                <w:rFonts w:ascii="仿宋" w:hAnsi="仿宋" w:eastAsia="仿宋" w:cs="仿宋"/>
                <w:kern w:val="0"/>
                <w:sz w:val="24"/>
                <w:szCs w:val="24"/>
                <w:lang w:eastAsia="en-US"/>
              </w:rPr>
            </w:pPr>
            <w:r>
              <w:rPr>
                <w:rFonts w:ascii="仿宋" w:hAnsi="仿宋" w:eastAsia="仿宋" w:cs="仿宋"/>
                <w:kern w:val="0"/>
                <w:sz w:val="24"/>
                <w:szCs w:val="24"/>
              </w:rPr>
              <w:t>0</w:t>
            </w:r>
            <w:r>
              <w:rPr>
                <w:rFonts w:hint="eastAsia" w:ascii="仿宋" w:hAnsi="仿宋" w:eastAsia="仿宋" w:cs="仿宋"/>
                <w:kern w:val="0"/>
                <w:sz w:val="24"/>
                <w:szCs w:val="24"/>
                <w:lang w:val="en-US" w:eastAsia="en-US"/>
              </w:rPr>
              <w:t>.</w:t>
            </w:r>
            <w:r>
              <w:rPr>
                <w:rFonts w:ascii="仿宋" w:hAnsi="仿宋" w:eastAsia="仿宋" w:cs="仿宋"/>
                <w:kern w:val="0"/>
                <w:sz w:val="24"/>
                <w:szCs w:val="24"/>
                <w:lang w:eastAsia="en-US"/>
              </w:rPr>
              <w:t>7</w:t>
            </w:r>
          </w:p>
        </w:tc>
      </w:tr>
      <w:tr w14:paraId="6B4F6E5F">
        <w:trPr>
          <w:trHeight w:val="0" w:hRule="atLeast"/>
        </w:trPr>
        <w:tc>
          <w:tcPr>
            <w:tcW w:w="1376" w:type="dxa"/>
            <w:vAlign w:val="center"/>
          </w:tcPr>
          <w:p w14:paraId="3EE6F136">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L</w:t>
            </w:r>
          </w:p>
          <w:p w14:paraId="47FF68D1">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学习建议</w:t>
            </w:r>
          </w:p>
        </w:tc>
        <w:tc>
          <w:tcPr>
            <w:tcW w:w="7772" w:type="dxa"/>
            <w:gridSpan w:val="17"/>
            <w:tcBorders>
              <w:bottom w:val="single" w:color="auto" w:sz="4" w:space="0"/>
            </w:tcBorders>
            <w:vAlign w:val="center"/>
          </w:tcPr>
          <w:p w14:paraId="3971CA62">
            <w:pPr>
              <w:rPr>
                <w:rFonts w:hint="eastAsia" w:ascii="仿宋" w:hAnsi="仿宋" w:eastAsia="仿宋" w:cs="仿宋"/>
                <w:bCs/>
                <w:sz w:val="24"/>
                <w:szCs w:val="24"/>
              </w:rPr>
            </w:pPr>
            <w:r>
              <w:rPr>
                <w:rFonts w:hint="eastAsia" w:ascii="仿宋" w:hAnsi="仿宋" w:eastAsia="仿宋" w:cs="仿宋"/>
                <w:bCs/>
                <w:sz w:val="24"/>
                <w:szCs w:val="24"/>
              </w:rPr>
              <w:t>1.自主学习。建议学生通过预习教材，并通过网络、图书馆自主查阅课程中涉及的学习资源，独立规划自己的课程学习计划，充分发挥自身的学习能动性。</w:t>
            </w:r>
          </w:p>
          <w:p w14:paraId="0CE85668">
            <w:pPr>
              <w:rPr>
                <w:rFonts w:hint="eastAsia" w:ascii="仿宋" w:hAnsi="仿宋" w:eastAsia="仿宋" w:cs="仿宋"/>
                <w:kern w:val="0"/>
                <w:sz w:val="24"/>
                <w:szCs w:val="24"/>
              </w:rPr>
            </w:pPr>
            <w:r>
              <w:rPr>
                <w:rFonts w:hint="eastAsia" w:ascii="仿宋" w:hAnsi="仿宋" w:eastAsia="仿宋" w:cs="仿宋"/>
                <w:bCs/>
                <w:sz w:val="24"/>
                <w:szCs w:val="24"/>
              </w:rPr>
              <w:t>2.研究性学习。鼓励学生针对课程教学内容，尝试理论课结合专题报告的教学方式，开阔学生的视野。</w:t>
            </w:r>
          </w:p>
        </w:tc>
      </w:tr>
      <w:tr w14:paraId="625F9901">
        <w:trPr>
          <w:trHeight w:val="0" w:hRule="atLeast"/>
        </w:trPr>
        <w:tc>
          <w:tcPr>
            <w:tcW w:w="1376" w:type="dxa"/>
            <w:vAlign w:val="center"/>
          </w:tcPr>
          <w:p w14:paraId="3EA28C7B">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M</w:t>
            </w:r>
          </w:p>
          <w:p w14:paraId="55904635">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评分量表</w:t>
            </w:r>
          </w:p>
        </w:tc>
        <w:tc>
          <w:tcPr>
            <w:tcW w:w="7772" w:type="dxa"/>
            <w:gridSpan w:val="17"/>
            <w:vAlign w:val="center"/>
          </w:tcPr>
          <w:p w14:paraId="0A947638">
            <w:pPr>
              <w:tabs>
                <w:tab w:val="left" w:pos="720"/>
              </w:tabs>
              <w:rPr>
                <w:rFonts w:hint="eastAsia" w:ascii="仿宋" w:hAnsi="仿宋" w:eastAsia="仿宋" w:cs="仿宋"/>
                <w:kern w:val="0"/>
                <w:sz w:val="24"/>
                <w:szCs w:val="24"/>
              </w:rPr>
            </w:pPr>
            <w:r>
              <w:rPr>
                <w:rFonts w:hint="eastAsia" w:ascii="仿宋" w:hAnsi="仿宋" w:eastAsia="仿宋" w:cs="仿宋"/>
                <w:kern w:val="0"/>
                <w:sz w:val="24"/>
                <w:szCs w:val="24"/>
              </w:rPr>
              <w:t>《</w:t>
            </w:r>
            <w:r>
              <w:rPr>
                <w:rFonts w:hint="eastAsia" w:ascii="仿宋" w:hAnsi="仿宋" w:eastAsia="仿宋" w:cs="仿宋"/>
                <w:bCs/>
                <w:sz w:val="24"/>
                <w:szCs w:val="24"/>
              </w:rPr>
              <w:t>西方音乐史与欣赏</w:t>
            </w:r>
            <w:r>
              <w:rPr>
                <w:rFonts w:hint="eastAsia" w:ascii="仿宋" w:hAnsi="仿宋" w:eastAsia="仿宋" w:cs="仿宋"/>
                <w:kern w:val="0"/>
                <w:sz w:val="24"/>
                <w:szCs w:val="24"/>
              </w:rPr>
              <w:t>》课程目标评分量表见附表。</w:t>
            </w:r>
          </w:p>
        </w:tc>
      </w:tr>
      <w:tr w14:paraId="6A6A53AC">
        <w:trPr>
          <w:trHeight w:val="0" w:hRule="atLeast"/>
        </w:trPr>
        <w:tc>
          <w:tcPr>
            <w:tcW w:w="1376" w:type="dxa"/>
            <w:vAlign w:val="center"/>
          </w:tcPr>
          <w:p w14:paraId="21A9FC63">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备注</w:t>
            </w:r>
          </w:p>
        </w:tc>
        <w:tc>
          <w:tcPr>
            <w:tcW w:w="7772" w:type="dxa"/>
            <w:gridSpan w:val="17"/>
            <w:vAlign w:val="center"/>
          </w:tcPr>
          <w:p w14:paraId="4AF4D052">
            <w:pPr>
              <w:rPr>
                <w:rFonts w:hint="eastAsia" w:ascii="仿宋" w:hAnsi="仿宋" w:eastAsia="仿宋" w:cs="仿宋"/>
                <w:kern w:val="0"/>
                <w:sz w:val="24"/>
                <w:szCs w:val="24"/>
              </w:rPr>
            </w:pPr>
            <w:r>
              <w:rPr>
                <w:rFonts w:hint="eastAsia" w:ascii="仿宋" w:hAnsi="仿宋" w:eastAsia="仿宋" w:cs="仿宋"/>
                <w:sz w:val="24"/>
                <w:szCs w:val="24"/>
              </w:rPr>
              <w:t>课程大纲A—M项由开课学院审批通过，任课教师不能自行更改。</w:t>
            </w:r>
          </w:p>
        </w:tc>
      </w:tr>
      <w:tr w14:paraId="370FEC7B">
        <w:trPr>
          <w:trHeight w:val="0" w:hRule="atLeast"/>
        </w:trPr>
        <w:tc>
          <w:tcPr>
            <w:tcW w:w="1376" w:type="dxa"/>
            <w:vAlign w:val="center"/>
          </w:tcPr>
          <w:p w14:paraId="61EE9A3A">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审批</w:t>
            </w:r>
          </w:p>
          <w:p w14:paraId="5C0614E5">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意见</w:t>
            </w:r>
          </w:p>
        </w:tc>
        <w:tc>
          <w:tcPr>
            <w:tcW w:w="3869" w:type="dxa"/>
            <w:gridSpan w:val="5"/>
            <w:vAlign w:val="center"/>
          </w:tcPr>
          <w:p w14:paraId="4E6BEB82">
            <w:pPr>
              <w:widowControl/>
              <w:jc w:val="left"/>
              <w:rPr>
                <w:rFonts w:hint="eastAsia" w:ascii="仿宋" w:hAnsi="仿宋" w:eastAsia="仿宋" w:cs="仿宋"/>
                <w:kern w:val="0"/>
                <w:sz w:val="24"/>
                <w:szCs w:val="24"/>
              </w:rPr>
            </w:pPr>
            <w:r>
              <w:rPr>
                <w:rFonts w:hint="eastAsia" w:ascii="仿宋" w:hAnsi="仿宋" w:eastAsia="仿宋" w:cs="仿宋"/>
                <w:kern w:val="0"/>
                <w:sz w:val="24"/>
                <w:szCs w:val="24"/>
              </w:rPr>
              <w:t>课程教学大纲修订负责人及教学团队成员</w:t>
            </w:r>
            <w:r>
              <w:rPr>
                <w:rFonts w:hint="eastAsia" w:ascii="仿宋" w:hAnsi="仿宋" w:eastAsia="仿宋" w:cs="仿宋"/>
                <w:sz w:val="24"/>
                <w:szCs w:val="24"/>
              </w:rPr>
              <w:t>签名</w:t>
            </w:r>
            <w:r>
              <w:rPr>
                <w:rFonts w:hint="eastAsia" w:ascii="仿宋" w:hAnsi="仿宋" w:eastAsia="仿宋" w:cs="仿宋"/>
                <w:kern w:val="0"/>
                <w:sz w:val="24"/>
                <w:szCs w:val="24"/>
              </w:rPr>
              <w:t xml:space="preserve">：   </w:t>
            </w:r>
          </w:p>
          <w:p w14:paraId="6C5BD30C">
            <w:pPr>
              <w:widowControl/>
              <w:jc w:val="left"/>
              <w:rPr>
                <w:rFonts w:hint="eastAsia" w:ascii="仿宋" w:hAnsi="仿宋" w:eastAsia="仿宋" w:cs="仿宋"/>
                <w:kern w:val="0"/>
                <w:sz w:val="24"/>
                <w:szCs w:val="24"/>
              </w:rPr>
            </w:pPr>
          </w:p>
          <w:p w14:paraId="28CB1A0B">
            <w:pPr>
              <w:widowControl/>
              <w:jc w:val="left"/>
              <w:rPr>
                <w:rFonts w:hint="eastAsia" w:ascii="仿宋" w:hAnsi="仿宋" w:eastAsia="仿宋" w:cs="仿宋"/>
                <w:kern w:val="0"/>
                <w:sz w:val="24"/>
                <w:szCs w:val="24"/>
              </w:rPr>
            </w:pPr>
            <w:r>
              <w:pict>
                <v:shape id="_x0000_i1029" o:spt="75" type="#_x0000_t75" style="height:36.5pt;width:67.9pt;" filled="f" stroked="f" coordsize="21600,21600">
                  <v:path/>
                  <v:fill on="f" focussize="0,0"/>
                  <v:stroke on="f" joinstyle="miter"/>
                  <v:imagedata r:id="rId152" o:title=""/>
                  <o:lock v:ext="edit" aspectratio="t"/>
                  <w10:wrap type="none"/>
                  <w10:anchorlock/>
                </v:shape>
              </w:pict>
            </w:r>
          </w:p>
          <w:p w14:paraId="46B04AB8">
            <w:pPr>
              <w:widowControl/>
              <w:jc w:val="left"/>
              <w:rPr>
                <w:rFonts w:hint="eastAsia" w:ascii="仿宋" w:hAnsi="仿宋" w:eastAsia="仿宋" w:cs="仿宋"/>
                <w:kern w:val="0"/>
                <w:sz w:val="24"/>
                <w:szCs w:val="24"/>
              </w:rPr>
            </w:pPr>
          </w:p>
          <w:p w14:paraId="4A3AF516">
            <w:pPr>
              <w:widowControl/>
              <w:jc w:val="right"/>
              <w:rPr>
                <w:rFonts w:hint="eastAsia" w:ascii="仿宋" w:hAnsi="仿宋" w:eastAsia="仿宋" w:cs="仿宋"/>
                <w:kern w:val="0"/>
                <w:sz w:val="24"/>
                <w:szCs w:val="24"/>
              </w:rPr>
            </w:pPr>
            <w:r>
              <w:rPr>
                <w:rFonts w:hint="eastAsia" w:ascii="仿宋" w:hAnsi="仿宋" w:eastAsia="仿宋" w:cs="仿宋"/>
                <w:kern w:val="0"/>
                <w:sz w:val="24"/>
                <w:szCs w:val="24"/>
              </w:rPr>
              <w:t xml:space="preserve">                                                   </w:t>
            </w:r>
            <w:r>
              <w:rPr>
                <w:rFonts w:hint="eastAsia" w:ascii="宋体" w:hAnsi="宋体" w:eastAsia="宋体" w:cs="宋体"/>
                <w:sz w:val="21"/>
                <w:szCs w:val="21"/>
                <w:lang w:val="en-US" w:eastAsia="zh-CN"/>
              </w:rPr>
              <w:t xml:space="preserve"> 2026年3月4日</w:t>
            </w:r>
            <w:r>
              <w:rPr>
                <w:rFonts w:hint="eastAsia" w:ascii="仿宋" w:hAnsi="仿宋" w:eastAsia="仿宋" w:cs="仿宋"/>
                <w:kern w:val="0"/>
                <w:sz w:val="24"/>
                <w:szCs w:val="24"/>
              </w:rPr>
              <w:t xml:space="preserve"> </w:t>
            </w:r>
          </w:p>
          <w:p w14:paraId="74296E1A">
            <w:pPr>
              <w:widowControl/>
              <w:jc w:val="right"/>
              <w:rPr>
                <w:rFonts w:hint="eastAsia" w:ascii="仿宋" w:hAnsi="仿宋" w:eastAsia="仿宋" w:cs="仿宋"/>
                <w:kern w:val="0"/>
                <w:sz w:val="24"/>
                <w:szCs w:val="24"/>
              </w:rPr>
            </w:pPr>
          </w:p>
        </w:tc>
        <w:tc>
          <w:tcPr>
            <w:tcW w:w="3903" w:type="dxa"/>
            <w:gridSpan w:val="12"/>
            <w:vAlign w:val="center"/>
          </w:tcPr>
          <w:p w14:paraId="027B5907">
            <w:pPr>
              <w:widowControl/>
              <w:jc w:val="left"/>
              <w:rPr>
                <w:rFonts w:hint="eastAsia" w:ascii="仿宋" w:hAnsi="仿宋" w:eastAsia="仿宋" w:cs="仿宋"/>
                <w:kern w:val="0"/>
                <w:sz w:val="24"/>
                <w:szCs w:val="24"/>
              </w:rPr>
            </w:pPr>
            <w:r>
              <w:rPr>
                <w:rFonts w:hint="eastAsia" w:ascii="仿宋" w:hAnsi="仿宋" w:eastAsia="仿宋" w:cs="仿宋"/>
                <w:kern w:val="0"/>
                <w:sz w:val="24"/>
                <w:szCs w:val="24"/>
              </w:rPr>
              <w:t>系主任审核意见：</w:t>
            </w:r>
          </w:p>
          <w:p w14:paraId="21827487">
            <w:pPr>
              <w:widowControl/>
              <w:jc w:val="left"/>
              <w:rPr>
                <w:rFonts w:hint="eastAsia" w:ascii="仿宋" w:hAnsi="仿宋" w:eastAsia="仿宋" w:cs="仿宋"/>
                <w:kern w:val="0"/>
                <w:sz w:val="24"/>
                <w:szCs w:val="24"/>
              </w:rPr>
            </w:pPr>
          </w:p>
          <w:p w14:paraId="5FCB7004">
            <w:pPr>
              <w:widowControl/>
              <w:jc w:val="left"/>
              <w:rPr>
                <w:rFonts w:hint="eastAsia" w:ascii="仿宋" w:hAnsi="仿宋" w:eastAsia="仿宋" w:cs="仿宋"/>
                <w:kern w:val="0"/>
                <w:sz w:val="24"/>
                <w:szCs w:val="24"/>
              </w:rPr>
            </w:pPr>
          </w:p>
          <w:p w14:paraId="7D105486">
            <w:pPr>
              <w:widowControl/>
              <w:jc w:val="left"/>
              <w:rPr>
                <w:rFonts w:hint="eastAsia" w:ascii="仿宋" w:hAnsi="仿宋" w:eastAsia="仿宋" w:cs="仿宋"/>
                <w:kern w:val="0"/>
                <w:sz w:val="24"/>
                <w:szCs w:val="24"/>
              </w:rPr>
            </w:pPr>
          </w:p>
          <w:p w14:paraId="1B5BB901">
            <w:pPr>
              <w:widowControl/>
              <w:jc w:val="left"/>
              <w:rPr>
                <w:rFonts w:hint="eastAsia" w:ascii="仿宋" w:hAnsi="仿宋" w:eastAsia="仿宋" w:cs="仿宋"/>
                <w:kern w:val="0"/>
                <w:sz w:val="24"/>
                <w:szCs w:val="24"/>
              </w:rPr>
            </w:pPr>
          </w:p>
          <w:p w14:paraId="6D227D0D">
            <w:pPr>
              <w:widowControl/>
              <w:jc w:val="left"/>
              <w:rPr>
                <w:rFonts w:hint="eastAsia" w:ascii="仿宋" w:hAnsi="仿宋" w:eastAsia="仿宋" w:cs="仿宋"/>
                <w:kern w:val="0"/>
                <w:sz w:val="24"/>
                <w:szCs w:val="24"/>
              </w:rPr>
            </w:pPr>
            <w:r>
              <w:rPr>
                <w:rFonts w:hint="eastAsia" w:ascii="仿宋" w:hAnsi="仿宋" w:eastAsia="仿宋" w:cs="仿宋"/>
                <w:kern w:val="0"/>
                <w:sz w:val="24"/>
                <w:szCs w:val="24"/>
              </w:rPr>
              <w:t>系主任签名：</w:t>
            </w:r>
            <w:r>
              <w:rPr>
                <w:rFonts w:hint="eastAsia" w:ascii="仿宋" w:hAnsi="仿宋" w:eastAsia="仿宋" w:cs="仿宋"/>
                <w:kern w:val="0"/>
                <w:sz w:val="24"/>
                <w:szCs w:val="24"/>
                <w:lang w:eastAsia="zh-CN"/>
              </w:rPr>
              <w:pict>
                <v:shape id="_x0000_i1030" o:spt="75" type="#_x0000_t75" style="height:56.9pt;width:97.5pt;" filled="f" stroked="f" coordsize="21600,21600">
                  <v:path/>
                  <v:fill on="f" focussize="0,0"/>
                  <v:stroke on="f" joinstyle="miter"/>
                  <v:imagedata r:id="rId153" o:title=""/>
                  <o:lock v:ext="edit" aspectratio="t"/>
                  <w10:wrap type="none"/>
                  <w10:anchorlock/>
                </v:shape>
              </w:pict>
            </w:r>
          </w:p>
          <w:p w14:paraId="0B1C61FD">
            <w:pPr>
              <w:widowControl/>
              <w:jc w:val="right"/>
              <w:rPr>
                <w:rFonts w:hint="eastAsia" w:ascii="仿宋" w:hAnsi="仿宋" w:eastAsia="仿宋" w:cs="仿宋"/>
                <w:kern w:val="0"/>
                <w:sz w:val="24"/>
                <w:szCs w:val="24"/>
              </w:rPr>
            </w:pPr>
          </w:p>
          <w:p w14:paraId="78B05D22">
            <w:pPr>
              <w:widowControl/>
              <w:jc w:val="right"/>
              <w:rPr>
                <w:rFonts w:hint="eastAsia" w:ascii="仿宋" w:hAnsi="仿宋" w:eastAsia="仿宋" w:cs="仿宋"/>
                <w:kern w:val="0"/>
                <w:sz w:val="24"/>
                <w:szCs w:val="24"/>
              </w:rPr>
            </w:pPr>
            <w:r>
              <w:rPr>
                <w:rFonts w:hint="eastAsia" w:ascii="宋体" w:hAnsi="宋体" w:eastAsia="宋体" w:cs="宋体"/>
                <w:sz w:val="21"/>
                <w:szCs w:val="21"/>
                <w:lang w:val="en-US" w:eastAsia="zh-CN"/>
              </w:rPr>
              <w:t xml:space="preserve"> 2026年3月4日</w:t>
            </w:r>
          </w:p>
          <w:p w14:paraId="16F9A8A3">
            <w:pPr>
              <w:widowControl/>
              <w:jc w:val="right"/>
              <w:rPr>
                <w:rFonts w:hint="eastAsia" w:ascii="仿宋" w:hAnsi="仿宋" w:eastAsia="仿宋" w:cs="仿宋"/>
                <w:kern w:val="0"/>
                <w:sz w:val="24"/>
                <w:szCs w:val="24"/>
              </w:rPr>
            </w:pPr>
          </w:p>
        </w:tc>
      </w:tr>
    </w:tbl>
    <w:p w14:paraId="6F9DEAE5">
      <w:pPr>
        <w:widowControl/>
        <w:spacing w:line="360" w:lineRule="auto"/>
        <w:ind w:right="480" w:firstLine="420" w:firstLineChars="200"/>
        <w:rPr>
          <w:rFonts w:hint="eastAsia" w:eastAsia="PMingLiU" w:cs="黑体"/>
          <w:lang w:eastAsia="zh-TW"/>
        </w:rPr>
      </w:pPr>
    </w:p>
    <w:p w14:paraId="0DC912E9">
      <w:pPr>
        <w:widowControl/>
        <w:spacing w:line="360" w:lineRule="auto"/>
        <w:ind w:right="480" w:firstLine="420" w:firstLineChars="200"/>
        <w:rPr>
          <w:rFonts w:hint="eastAsia" w:eastAsia="PMingLiU" w:cs="黑体"/>
          <w:lang w:eastAsia="zh-TW"/>
        </w:rPr>
      </w:pPr>
    </w:p>
    <w:p w14:paraId="2B3032D8">
      <w:pPr>
        <w:widowControl/>
        <w:spacing w:line="360" w:lineRule="auto"/>
        <w:ind w:right="480" w:firstLine="420" w:firstLineChars="200"/>
        <w:rPr>
          <w:rFonts w:cs="黑体"/>
        </w:rPr>
        <w:sectPr>
          <w:headerReference r:id="rId57" w:type="default"/>
          <w:footerReference r:id="rId58" w:type="default"/>
          <w:pgSz w:w="11906" w:h="16838"/>
          <w:pgMar w:top="1134" w:right="1417" w:bottom="1134" w:left="1417" w:header="851" w:footer="992" w:gutter="0"/>
          <w:cols w:space="720" w:num="1"/>
          <w:docGrid w:type="lines" w:linePitch="312" w:charSpace="0"/>
        </w:sectPr>
      </w:pPr>
    </w:p>
    <w:p w14:paraId="6907EBBF">
      <w:pPr>
        <w:spacing w:line="360" w:lineRule="auto"/>
        <w:jc w:val="center"/>
        <w:rPr>
          <w:rFonts w:hint="eastAsia" w:ascii="仿宋" w:hAnsi="仿宋" w:eastAsia="仿宋" w:cs="仿宋"/>
          <w:b/>
          <w:bCs/>
          <w:sz w:val="20"/>
          <w:szCs w:val="21"/>
        </w:rPr>
      </w:pPr>
      <w:r>
        <w:rPr>
          <w:rFonts w:hint="eastAsia" w:ascii="仿宋" w:hAnsi="仿宋" w:eastAsia="仿宋" w:cs="仿宋"/>
          <w:b/>
          <w:bCs/>
          <w:sz w:val="40"/>
          <w:szCs w:val="40"/>
        </w:rPr>
        <w:t>《西方音乐史与欣赏》课程目标评分量表</w:t>
      </w:r>
    </w:p>
    <w:tbl>
      <w:tblPr>
        <w:tblStyle w:val="22"/>
        <w:tblW w:w="4997"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28" w:type="dxa"/>
        </w:tblCellMar>
      </w:tblPr>
      <w:tblGrid>
        <w:gridCol w:w="1434"/>
        <w:gridCol w:w="1510"/>
        <w:gridCol w:w="1539"/>
        <w:gridCol w:w="1539"/>
        <w:gridCol w:w="1539"/>
        <w:gridCol w:w="1539"/>
      </w:tblGrid>
      <w:tr w14:paraId="5835930D">
        <w:trPr>
          <w:trHeight w:val="90" w:hRule="atLeast"/>
          <w:jc w:val="center"/>
        </w:trPr>
        <w:tc>
          <w:tcPr>
            <w:tcW w:w="788" w:type="dxa"/>
            <w:vAlign w:val="center"/>
          </w:tcPr>
          <w:p w14:paraId="3A5C1410">
            <w:pPr>
              <w:tabs>
                <w:tab w:val="left" w:pos="720"/>
              </w:tabs>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课程目标</w:t>
            </w:r>
          </w:p>
        </w:tc>
        <w:tc>
          <w:tcPr>
            <w:tcW w:w="829" w:type="dxa"/>
            <w:vAlign w:val="center"/>
          </w:tcPr>
          <w:p w14:paraId="2E390D24">
            <w:pPr>
              <w:tabs>
                <w:tab w:val="left" w:pos="720"/>
              </w:tabs>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优（X≧90）</w:t>
            </w:r>
          </w:p>
        </w:tc>
        <w:tc>
          <w:tcPr>
            <w:tcW w:w="845" w:type="dxa"/>
            <w:vAlign w:val="center"/>
          </w:tcPr>
          <w:p w14:paraId="395D4113">
            <w:pPr>
              <w:tabs>
                <w:tab w:val="left" w:pos="720"/>
              </w:tabs>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良（80≦X＜90）</w:t>
            </w:r>
          </w:p>
        </w:tc>
        <w:tc>
          <w:tcPr>
            <w:tcW w:w="845" w:type="dxa"/>
            <w:vAlign w:val="center"/>
          </w:tcPr>
          <w:p w14:paraId="04E38901">
            <w:pPr>
              <w:tabs>
                <w:tab w:val="left" w:pos="720"/>
              </w:tabs>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中（70≦X＜80）</w:t>
            </w:r>
          </w:p>
        </w:tc>
        <w:tc>
          <w:tcPr>
            <w:tcW w:w="845" w:type="dxa"/>
            <w:vAlign w:val="center"/>
          </w:tcPr>
          <w:p w14:paraId="0DDAD697">
            <w:pPr>
              <w:tabs>
                <w:tab w:val="left" w:pos="720"/>
              </w:tabs>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及格（60≦X＜70）</w:t>
            </w:r>
          </w:p>
        </w:tc>
        <w:tc>
          <w:tcPr>
            <w:tcW w:w="845" w:type="dxa"/>
            <w:vAlign w:val="center"/>
          </w:tcPr>
          <w:p w14:paraId="5BCDC7FC">
            <w:pPr>
              <w:tabs>
                <w:tab w:val="left" w:pos="720"/>
              </w:tabs>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不及格（＜60）</w:t>
            </w:r>
          </w:p>
        </w:tc>
      </w:tr>
      <w:tr w14:paraId="5A4E9B57">
        <w:trPr>
          <w:trHeight w:val="1721" w:hRule="atLeast"/>
          <w:jc w:val="center"/>
        </w:trPr>
        <w:tc>
          <w:tcPr>
            <w:tcW w:w="788" w:type="dxa"/>
            <w:vAlign w:val="top"/>
          </w:tcPr>
          <w:p w14:paraId="03354AF3">
            <w:pPr>
              <w:widowControl/>
              <w:jc w:val="left"/>
              <w:rPr>
                <w:szCs w:val="24"/>
              </w:rPr>
            </w:pPr>
            <w:r>
              <w:rPr>
                <w:rFonts w:hint="eastAsia" w:ascii="仿宋" w:hAnsi="仿宋" w:eastAsia="仿宋" w:cs="仿宋"/>
                <w:bCs/>
                <w:sz w:val="24"/>
                <w:szCs w:val="24"/>
              </w:rPr>
              <w:t>课程目标1：</w:t>
            </w:r>
            <w:r>
              <w:rPr>
                <w:rFonts w:hint="eastAsia" w:ascii="仿宋" w:hAnsi="仿宋" w:eastAsia="仿宋" w:cs="仿宋"/>
                <w:kern w:val="0"/>
                <w:sz w:val="24"/>
                <w:szCs w:val="24"/>
              </w:rPr>
              <w:t>通过对</w:t>
            </w:r>
            <w:r>
              <w:rPr>
                <w:rFonts w:hint="eastAsia" w:ascii="仿宋" w:hAnsi="仿宋" w:eastAsia="仿宋" w:cs="仿宋"/>
                <w:kern w:val="0"/>
                <w:sz w:val="24"/>
                <w:szCs w:val="24"/>
                <w:lang w:val="en-US" w:eastAsia="en-US"/>
              </w:rPr>
              <w:t>西方</w:t>
            </w:r>
            <w:r>
              <w:rPr>
                <w:rFonts w:hint="eastAsia" w:ascii="仿宋" w:hAnsi="仿宋" w:eastAsia="仿宋" w:cs="仿宋"/>
                <w:kern w:val="0"/>
                <w:sz w:val="24"/>
                <w:szCs w:val="24"/>
              </w:rPr>
              <w:t>代表性</w:t>
            </w:r>
            <w:r>
              <w:rPr>
                <w:rFonts w:hint="eastAsia" w:ascii="仿宋" w:hAnsi="仿宋" w:eastAsia="仿宋" w:cs="仿宋"/>
                <w:kern w:val="0"/>
                <w:sz w:val="24"/>
                <w:szCs w:val="24"/>
                <w:lang w:val="en-US" w:eastAsia="en-US"/>
              </w:rPr>
              <w:t>音乐</w:t>
            </w:r>
            <w:r>
              <w:rPr>
                <w:rFonts w:hint="eastAsia" w:ascii="仿宋" w:hAnsi="仿宋" w:eastAsia="仿宋" w:cs="仿宋"/>
                <w:kern w:val="0"/>
                <w:sz w:val="24"/>
                <w:szCs w:val="24"/>
              </w:rPr>
              <w:t>作品进行</w:t>
            </w:r>
            <w:r>
              <w:rPr>
                <w:rFonts w:hint="eastAsia" w:ascii="仿宋" w:hAnsi="仿宋" w:eastAsia="仿宋" w:cs="仿宋"/>
                <w:kern w:val="0"/>
                <w:sz w:val="24"/>
                <w:szCs w:val="24"/>
                <w:lang w:val="en-US" w:eastAsia="en-US"/>
              </w:rPr>
              <w:t>赏析</w:t>
            </w:r>
            <w:r>
              <w:rPr>
                <w:rFonts w:hint="eastAsia" w:ascii="仿宋" w:hAnsi="仿宋" w:eastAsia="仿宋" w:cs="仿宋"/>
                <w:kern w:val="0"/>
                <w:sz w:val="24"/>
                <w:szCs w:val="24"/>
                <w:lang w:eastAsia="en-US"/>
              </w:rPr>
              <w:t>，</w:t>
            </w:r>
            <w:r>
              <w:rPr>
                <w:rFonts w:hint="eastAsia" w:ascii="仿宋" w:hAnsi="仿宋" w:eastAsia="仿宋" w:cs="仿宋"/>
                <w:kern w:val="0"/>
                <w:sz w:val="24"/>
                <w:szCs w:val="24"/>
                <w:lang w:val="en-US" w:eastAsia="en-US"/>
              </w:rPr>
              <w:t>掌握相关</w:t>
            </w:r>
            <w:r>
              <w:rPr>
                <w:rFonts w:hint="eastAsia" w:ascii="仿宋" w:hAnsi="仿宋" w:eastAsia="仿宋" w:cs="仿宋"/>
                <w:kern w:val="0"/>
                <w:sz w:val="24"/>
                <w:szCs w:val="24"/>
              </w:rPr>
              <w:t>音乐知识，</w:t>
            </w:r>
            <w:r>
              <w:rPr>
                <w:rFonts w:hint="eastAsia" w:ascii="仿宋" w:hAnsi="仿宋" w:eastAsia="仿宋" w:cs="仿宋"/>
                <w:kern w:val="0"/>
                <w:sz w:val="24"/>
                <w:szCs w:val="24"/>
                <w:lang w:val="en-US" w:eastAsia="en-US"/>
              </w:rPr>
              <w:t>提升</w:t>
            </w:r>
            <w:r>
              <w:rPr>
                <w:rFonts w:hint="eastAsia" w:ascii="仿宋" w:hAnsi="仿宋" w:eastAsia="仿宋" w:cs="仿宋"/>
                <w:kern w:val="0"/>
                <w:sz w:val="24"/>
                <w:szCs w:val="24"/>
              </w:rPr>
              <w:t>音乐综合素养</w:t>
            </w:r>
            <w:r>
              <w:rPr>
                <w:rFonts w:hint="eastAsia" w:ascii="仿宋" w:hAnsi="仿宋" w:eastAsia="仿宋" w:cs="仿宋"/>
                <w:kern w:val="0"/>
                <w:sz w:val="24"/>
                <w:szCs w:val="24"/>
                <w:lang w:val="en-US" w:eastAsia="en-US"/>
              </w:rPr>
              <w:t>和教学技能</w:t>
            </w:r>
            <w:r>
              <w:rPr>
                <w:rFonts w:hint="eastAsia" w:ascii="仿宋" w:hAnsi="仿宋" w:eastAsia="仿宋" w:cs="仿宋"/>
                <w:kern w:val="0"/>
                <w:sz w:val="24"/>
                <w:szCs w:val="24"/>
                <w:lang w:eastAsia="en-US"/>
              </w:rPr>
              <w:t>。</w:t>
            </w:r>
          </w:p>
        </w:tc>
        <w:tc>
          <w:tcPr>
            <w:tcW w:w="829" w:type="dxa"/>
            <w:vAlign w:val="top"/>
          </w:tcPr>
          <w:p w14:paraId="72905D35">
            <w:pPr>
              <w:widowControl/>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能够扎实地掌握西方音乐内容与形式的演变史；西方音乐理论及各种音乐体裁的起源和发展过程。</w:t>
            </w:r>
          </w:p>
        </w:tc>
        <w:tc>
          <w:tcPr>
            <w:tcW w:w="845" w:type="dxa"/>
            <w:vAlign w:val="top"/>
          </w:tcPr>
          <w:p w14:paraId="49906FBD">
            <w:pPr>
              <w:widowControl/>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能够掌握西方音乐内容与形式的演变史；西方音乐理论及各种音乐体裁的起源和发展过程。</w:t>
            </w:r>
          </w:p>
        </w:tc>
        <w:tc>
          <w:tcPr>
            <w:tcW w:w="845" w:type="dxa"/>
            <w:vAlign w:val="top"/>
          </w:tcPr>
          <w:p w14:paraId="3934B4F8">
            <w:pPr>
              <w:widowControl/>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对西方音乐内容与形式的演变史、西方音乐理论及各种音乐体裁的起源和发展过程有一定的了解。</w:t>
            </w:r>
          </w:p>
        </w:tc>
        <w:tc>
          <w:tcPr>
            <w:tcW w:w="845" w:type="dxa"/>
            <w:vAlign w:val="top"/>
          </w:tcPr>
          <w:p w14:paraId="0C148988">
            <w:pPr>
              <w:widowControl/>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基本了解西方音乐内容与形式的演变史、西方音乐理论及各种音乐体裁的起源和发展过程。</w:t>
            </w:r>
          </w:p>
        </w:tc>
        <w:tc>
          <w:tcPr>
            <w:tcW w:w="845" w:type="dxa"/>
            <w:vAlign w:val="top"/>
          </w:tcPr>
          <w:p w14:paraId="031C9FC8">
            <w:pPr>
              <w:widowControl/>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不能了解西方音乐内容与形式的演变史、西方音乐理论及各种音乐体裁的起源和发展过程。</w:t>
            </w:r>
          </w:p>
        </w:tc>
      </w:tr>
      <w:tr w14:paraId="371574D1">
        <w:trPr>
          <w:trHeight w:val="1131" w:hRule="atLeast"/>
          <w:jc w:val="center"/>
        </w:trPr>
        <w:tc>
          <w:tcPr>
            <w:tcW w:w="788" w:type="dxa"/>
            <w:vAlign w:val="top"/>
          </w:tcPr>
          <w:p w14:paraId="4D4B33E5">
            <w:pPr>
              <w:widowControl/>
              <w:rPr>
                <w:szCs w:val="24"/>
              </w:rPr>
            </w:pPr>
            <w:r>
              <w:rPr>
                <w:rFonts w:hint="eastAsia" w:ascii="仿宋" w:hAnsi="仿宋" w:eastAsia="仿宋" w:cs="仿宋"/>
                <w:bCs/>
                <w:sz w:val="24"/>
                <w:szCs w:val="24"/>
              </w:rPr>
              <w:t>课程目标</w:t>
            </w:r>
            <w:r>
              <w:rPr>
                <w:rFonts w:hint="eastAsia" w:ascii="仿宋" w:hAnsi="仿宋" w:eastAsia="仿宋" w:cs="仿宋"/>
                <w:bCs/>
                <w:sz w:val="24"/>
                <w:szCs w:val="24"/>
                <w:lang w:val="en-US" w:eastAsia="zh-CN"/>
              </w:rPr>
              <w:t>2</w:t>
            </w:r>
            <w:r>
              <w:rPr>
                <w:rFonts w:hint="eastAsia" w:ascii="仿宋" w:hAnsi="仿宋" w:eastAsia="仿宋" w:cs="仿宋"/>
                <w:bCs/>
                <w:sz w:val="24"/>
                <w:szCs w:val="24"/>
              </w:rPr>
              <w:t>：</w:t>
            </w:r>
            <w:r>
              <w:rPr>
                <w:rFonts w:hint="eastAsia" w:ascii="仿宋" w:hAnsi="仿宋" w:eastAsia="仿宋" w:cs="仿宋"/>
                <w:kern w:val="0"/>
                <w:sz w:val="24"/>
                <w:szCs w:val="24"/>
                <w:lang w:val="en-US" w:eastAsia="en-US"/>
              </w:rPr>
              <w:t>初步具备</w:t>
            </w:r>
            <w:r>
              <w:rPr>
                <w:rFonts w:hint="eastAsia" w:ascii="仿宋" w:hAnsi="仿宋" w:eastAsia="仿宋" w:cs="仿宋"/>
                <w:kern w:val="0"/>
                <w:sz w:val="24"/>
                <w:szCs w:val="24"/>
              </w:rPr>
              <w:t>对西方音乐历史的发展性思维探索</w:t>
            </w:r>
            <w:r>
              <w:rPr>
                <w:rFonts w:hint="eastAsia" w:ascii="仿宋" w:hAnsi="仿宋" w:eastAsia="仿宋" w:cs="仿宋"/>
                <w:kern w:val="0"/>
                <w:sz w:val="24"/>
                <w:szCs w:val="24"/>
                <w:lang w:val="en-US" w:eastAsia="en-US"/>
              </w:rPr>
              <w:t>能力</w:t>
            </w:r>
            <w:r>
              <w:rPr>
                <w:rFonts w:hint="eastAsia" w:ascii="仿宋" w:hAnsi="仿宋" w:eastAsia="仿宋" w:cs="仿宋"/>
                <w:kern w:val="0"/>
                <w:sz w:val="24"/>
                <w:szCs w:val="24"/>
              </w:rPr>
              <w:t>，</w:t>
            </w:r>
            <w:r>
              <w:rPr>
                <w:rFonts w:hint="eastAsia" w:ascii="仿宋" w:hAnsi="仿宋" w:eastAsia="仿宋" w:cs="仿宋"/>
                <w:kern w:val="0"/>
                <w:sz w:val="24"/>
                <w:szCs w:val="24"/>
                <w:lang w:val="en-US" w:eastAsia="en-US"/>
              </w:rPr>
              <w:t>初步具备</w:t>
            </w:r>
            <w:r>
              <w:rPr>
                <w:rFonts w:hint="eastAsia" w:ascii="仿宋" w:hAnsi="仿宋" w:eastAsia="仿宋" w:cs="仿宋"/>
                <w:kern w:val="0"/>
                <w:sz w:val="24"/>
                <w:szCs w:val="24"/>
              </w:rPr>
              <w:t>音乐史发展的审美现时性</w:t>
            </w:r>
            <w:r>
              <w:rPr>
                <w:rFonts w:hint="eastAsia" w:ascii="仿宋" w:hAnsi="仿宋" w:eastAsia="仿宋" w:cs="仿宋"/>
                <w:kern w:val="0"/>
                <w:sz w:val="24"/>
                <w:szCs w:val="24"/>
                <w:lang w:val="en-US" w:eastAsia="en-US"/>
              </w:rPr>
              <w:t>能力</w:t>
            </w:r>
            <w:r>
              <w:rPr>
                <w:rFonts w:hint="eastAsia" w:ascii="仿宋" w:hAnsi="仿宋" w:eastAsia="仿宋" w:cs="仿宋"/>
                <w:kern w:val="0"/>
                <w:sz w:val="24"/>
                <w:szCs w:val="24"/>
              </w:rPr>
              <w:t>，发展性地、批判地认识</w:t>
            </w:r>
            <w:r>
              <w:rPr>
                <w:rFonts w:hint="eastAsia" w:ascii="仿宋" w:hAnsi="仿宋" w:eastAsia="仿宋" w:cs="仿宋"/>
                <w:kern w:val="0"/>
                <w:sz w:val="24"/>
                <w:szCs w:val="24"/>
                <w:lang w:val="en-US" w:eastAsia="en-US"/>
              </w:rPr>
              <w:t>西方音乐</w:t>
            </w:r>
            <w:r>
              <w:rPr>
                <w:rFonts w:hint="eastAsia" w:ascii="仿宋" w:hAnsi="仿宋" w:eastAsia="仿宋" w:cs="仿宋"/>
                <w:kern w:val="0"/>
                <w:sz w:val="24"/>
                <w:szCs w:val="24"/>
              </w:rPr>
              <w:t>历史。</w:t>
            </w:r>
          </w:p>
        </w:tc>
        <w:tc>
          <w:tcPr>
            <w:tcW w:w="829" w:type="dxa"/>
            <w:vAlign w:val="top"/>
          </w:tcPr>
          <w:p w14:paraId="427DAF09">
            <w:pPr>
              <w:widowControl/>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能够扎实地掌握国外音乐史研究的一些方法论，注重对史料的研究，并在此基础上，对西方音乐史上的一些主要问题作独立研究。</w:t>
            </w:r>
          </w:p>
        </w:tc>
        <w:tc>
          <w:tcPr>
            <w:tcW w:w="845" w:type="dxa"/>
            <w:vAlign w:val="top"/>
          </w:tcPr>
          <w:p w14:paraId="1FFF98DD">
            <w:pPr>
              <w:widowControl/>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能够掌握国外音乐史研究的一些方法论，注重对史料的研究，并在此基础上，对西方音乐史上的一些主要问题作出一些研究。</w:t>
            </w:r>
          </w:p>
        </w:tc>
        <w:tc>
          <w:tcPr>
            <w:tcW w:w="845" w:type="dxa"/>
            <w:vAlign w:val="top"/>
          </w:tcPr>
          <w:p w14:paraId="54BB5D0A">
            <w:pPr>
              <w:widowControl/>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对国外音乐史研究的一些方法论有一定的了解，并能够对文献进行查阅、整理和分析。</w:t>
            </w:r>
          </w:p>
        </w:tc>
        <w:tc>
          <w:tcPr>
            <w:tcW w:w="845" w:type="dxa"/>
            <w:vAlign w:val="top"/>
          </w:tcPr>
          <w:p w14:paraId="369C97C5">
            <w:pPr>
              <w:widowControl/>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基本了解国外音乐史研究的一些方法论，并能够对文献进行查阅、整理和分析。</w:t>
            </w:r>
          </w:p>
        </w:tc>
        <w:tc>
          <w:tcPr>
            <w:tcW w:w="845" w:type="dxa"/>
            <w:vAlign w:val="top"/>
          </w:tcPr>
          <w:p w14:paraId="2D100186">
            <w:pPr>
              <w:widowControl/>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不能了解国外音乐史研究的一些方法论，并且不能够对文献进行查阅、整理和分析。</w:t>
            </w:r>
          </w:p>
        </w:tc>
      </w:tr>
      <w:tr w14:paraId="24135A1E">
        <w:trPr>
          <w:trHeight w:val="1131" w:hRule="atLeast"/>
          <w:jc w:val="center"/>
        </w:trPr>
        <w:tc>
          <w:tcPr>
            <w:tcW w:w="788" w:type="dxa"/>
            <w:vAlign w:val="top"/>
          </w:tcPr>
          <w:p w14:paraId="7646E9A9">
            <w:pPr>
              <w:widowControl/>
              <w:rPr>
                <w:szCs w:val="24"/>
              </w:rPr>
            </w:pPr>
            <w:r>
              <w:rPr>
                <w:rFonts w:hint="eastAsia" w:ascii="仿宋" w:hAnsi="仿宋" w:eastAsia="仿宋" w:cs="仿宋"/>
                <w:bCs/>
                <w:sz w:val="24"/>
                <w:szCs w:val="24"/>
              </w:rPr>
              <w:t>课程目标</w:t>
            </w:r>
            <w:r>
              <w:rPr>
                <w:rFonts w:hint="eastAsia" w:ascii="仿宋" w:hAnsi="仿宋" w:eastAsia="仿宋" w:cs="仿宋"/>
                <w:bCs/>
                <w:sz w:val="24"/>
                <w:szCs w:val="24"/>
                <w:lang w:val="en-US" w:eastAsia="zh-CN"/>
              </w:rPr>
              <w:t>3</w:t>
            </w:r>
            <w:r>
              <w:rPr>
                <w:rFonts w:hint="eastAsia" w:ascii="仿宋" w:hAnsi="仿宋" w:eastAsia="仿宋" w:cs="仿宋"/>
                <w:bCs/>
                <w:sz w:val="24"/>
                <w:szCs w:val="24"/>
              </w:rPr>
              <w:t>：</w:t>
            </w:r>
            <w:r>
              <w:rPr>
                <w:rFonts w:hint="eastAsia" w:ascii="仿宋" w:hAnsi="仿宋" w:eastAsia="仿宋" w:cs="仿宋"/>
                <w:kern w:val="0"/>
                <w:sz w:val="24"/>
                <w:szCs w:val="24"/>
                <w:lang w:val="en-US" w:eastAsia="en-US"/>
              </w:rPr>
              <w:t>通过音乐家与作品、音乐体裁、音乐事件、音乐现象、音乐思想等方面的学习</w:t>
            </w:r>
            <w:r>
              <w:rPr>
                <w:rFonts w:hint="eastAsia" w:ascii="仿宋" w:hAnsi="仿宋" w:eastAsia="仿宋" w:cs="仿宋"/>
                <w:kern w:val="0"/>
                <w:sz w:val="24"/>
                <w:szCs w:val="24"/>
                <w:lang w:eastAsia="en-US"/>
              </w:rPr>
              <w:t>，</w:t>
            </w:r>
            <w:r>
              <w:rPr>
                <w:rFonts w:hint="eastAsia" w:ascii="仿宋" w:hAnsi="仿宋" w:eastAsia="仿宋" w:cs="仿宋"/>
                <w:kern w:val="0"/>
                <w:sz w:val="24"/>
                <w:szCs w:val="24"/>
                <w:lang w:val="en-US" w:eastAsia="en-US"/>
              </w:rPr>
              <w:t>具备</w:t>
            </w:r>
            <w:r>
              <w:rPr>
                <w:rFonts w:hint="eastAsia" w:ascii="仿宋" w:hAnsi="仿宋" w:eastAsia="仿宋" w:cs="仿宋"/>
                <w:kern w:val="0"/>
                <w:sz w:val="24"/>
                <w:szCs w:val="24"/>
              </w:rPr>
              <w:t>音乐审美能力和分析能力，</w:t>
            </w:r>
            <w:r>
              <w:rPr>
                <w:rFonts w:hint="eastAsia" w:ascii="仿宋" w:hAnsi="仿宋" w:eastAsia="仿宋" w:cs="仿宋"/>
                <w:kern w:val="0"/>
                <w:sz w:val="24"/>
                <w:szCs w:val="24"/>
                <w:lang w:val="en-US" w:eastAsia="en-US"/>
              </w:rPr>
              <w:t>并</w:t>
            </w:r>
            <w:r>
              <w:rPr>
                <w:rFonts w:hint="eastAsia" w:ascii="仿宋" w:hAnsi="仿宋" w:eastAsia="仿宋" w:cs="仿宋"/>
                <w:kern w:val="0"/>
                <w:sz w:val="24"/>
                <w:szCs w:val="24"/>
              </w:rPr>
              <w:t>理解音乐的育人价值。</w:t>
            </w:r>
          </w:p>
        </w:tc>
        <w:tc>
          <w:tcPr>
            <w:tcW w:w="829" w:type="dxa"/>
            <w:vAlign w:val="top"/>
          </w:tcPr>
          <w:p w14:paraId="2162C0EC">
            <w:pPr>
              <w:widowControl/>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能够准确</w:t>
            </w:r>
            <w:r>
              <w:rPr>
                <w:rFonts w:hint="eastAsia" w:ascii="仿宋" w:hAnsi="仿宋" w:eastAsia="仿宋" w:cs="仿宋"/>
                <w:bCs/>
                <w:sz w:val="24"/>
                <w:szCs w:val="24"/>
                <w:lang w:val="en-US" w:eastAsia="en-US"/>
              </w:rPr>
              <w:t>对</w:t>
            </w:r>
            <w:r>
              <w:rPr>
                <w:rFonts w:hint="eastAsia" w:ascii="仿宋" w:hAnsi="仿宋" w:eastAsia="仿宋" w:cs="仿宋"/>
                <w:bCs/>
                <w:sz w:val="24"/>
                <w:szCs w:val="24"/>
              </w:rPr>
              <w:t>作曲家的代表性作品利及常见音乐体裁的代表作</w:t>
            </w:r>
            <w:r>
              <w:rPr>
                <w:rFonts w:hint="eastAsia" w:ascii="仿宋" w:hAnsi="仿宋" w:eastAsia="仿宋" w:cs="仿宋"/>
                <w:bCs/>
                <w:sz w:val="24"/>
                <w:szCs w:val="24"/>
                <w:lang w:val="en-US" w:eastAsia="en-US"/>
              </w:rPr>
              <w:t>进行赏析</w:t>
            </w:r>
            <w:r>
              <w:rPr>
                <w:rFonts w:hint="eastAsia" w:ascii="仿宋" w:hAnsi="仿宋" w:eastAsia="仿宋" w:cs="仿宋"/>
                <w:bCs/>
                <w:sz w:val="24"/>
                <w:szCs w:val="24"/>
              </w:rPr>
              <w:t>，能够</w:t>
            </w:r>
            <w:r>
              <w:rPr>
                <w:rFonts w:hint="eastAsia" w:ascii="仿宋" w:hAnsi="仿宋" w:eastAsia="仿宋" w:cs="仿宋"/>
                <w:bCs/>
                <w:sz w:val="24"/>
                <w:szCs w:val="24"/>
                <w:lang w:val="en-US" w:eastAsia="en-US"/>
              </w:rPr>
              <w:t>理解音乐的育人价值</w:t>
            </w:r>
            <w:r>
              <w:rPr>
                <w:rFonts w:hint="eastAsia" w:ascii="仿宋" w:hAnsi="仿宋" w:eastAsia="仿宋" w:cs="仿宋"/>
                <w:bCs/>
                <w:sz w:val="24"/>
                <w:szCs w:val="24"/>
                <w:lang w:eastAsia="en-US"/>
              </w:rPr>
              <w:t>。</w:t>
            </w:r>
          </w:p>
        </w:tc>
        <w:tc>
          <w:tcPr>
            <w:tcW w:w="845" w:type="dxa"/>
            <w:vAlign w:val="top"/>
          </w:tcPr>
          <w:p w14:paraId="55ACA212">
            <w:pPr>
              <w:widowControl/>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能够</w:t>
            </w:r>
            <w:r>
              <w:rPr>
                <w:rFonts w:hint="eastAsia" w:ascii="仿宋" w:hAnsi="仿宋" w:eastAsia="仿宋" w:cs="仿宋"/>
                <w:bCs/>
                <w:sz w:val="24"/>
                <w:szCs w:val="24"/>
                <w:lang w:val="en-US" w:eastAsia="en-US"/>
              </w:rPr>
              <w:t>对</w:t>
            </w:r>
            <w:r>
              <w:rPr>
                <w:rFonts w:hint="eastAsia" w:ascii="仿宋" w:hAnsi="仿宋" w:eastAsia="仿宋" w:cs="仿宋"/>
                <w:bCs/>
                <w:sz w:val="24"/>
                <w:szCs w:val="24"/>
              </w:rPr>
              <w:t>作曲家的代表性作品利及常见音乐体裁的代表作</w:t>
            </w:r>
            <w:r>
              <w:rPr>
                <w:rFonts w:hint="eastAsia" w:ascii="仿宋" w:hAnsi="仿宋" w:eastAsia="仿宋" w:cs="仿宋"/>
                <w:bCs/>
                <w:sz w:val="24"/>
                <w:szCs w:val="24"/>
                <w:lang w:val="en-US" w:eastAsia="en-US"/>
              </w:rPr>
              <w:t>进行赏析</w:t>
            </w:r>
            <w:r>
              <w:rPr>
                <w:rFonts w:hint="eastAsia" w:ascii="仿宋" w:hAnsi="仿宋" w:eastAsia="仿宋" w:cs="仿宋"/>
                <w:bCs/>
                <w:sz w:val="24"/>
                <w:szCs w:val="24"/>
              </w:rPr>
              <w:t>，能够</w:t>
            </w:r>
            <w:r>
              <w:rPr>
                <w:rFonts w:hint="eastAsia" w:ascii="仿宋" w:hAnsi="仿宋" w:eastAsia="仿宋" w:cs="仿宋"/>
                <w:bCs/>
                <w:sz w:val="24"/>
                <w:szCs w:val="24"/>
                <w:lang w:val="en-US" w:eastAsia="en-US"/>
              </w:rPr>
              <w:t>理解音乐的育人价值</w:t>
            </w:r>
            <w:r>
              <w:rPr>
                <w:rFonts w:hint="eastAsia" w:ascii="仿宋" w:hAnsi="仿宋" w:eastAsia="仿宋" w:cs="仿宋"/>
                <w:bCs/>
                <w:sz w:val="24"/>
                <w:szCs w:val="24"/>
                <w:lang w:eastAsia="en-US"/>
              </w:rPr>
              <w:t>。</w:t>
            </w:r>
          </w:p>
        </w:tc>
        <w:tc>
          <w:tcPr>
            <w:tcW w:w="845" w:type="dxa"/>
            <w:vAlign w:val="top"/>
          </w:tcPr>
          <w:p w14:paraId="5EFDE8BB">
            <w:pPr>
              <w:widowControl/>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对作曲家的代表性作品利及常见音乐体裁的代表作有一定的</w:t>
            </w:r>
            <w:r>
              <w:rPr>
                <w:rFonts w:hint="eastAsia" w:ascii="仿宋" w:hAnsi="仿宋" w:eastAsia="仿宋" w:cs="仿宋"/>
                <w:bCs/>
                <w:sz w:val="24"/>
                <w:szCs w:val="24"/>
                <w:lang w:val="en-US" w:eastAsia="en-US"/>
              </w:rPr>
              <w:t>赏析能力</w:t>
            </w:r>
            <w:r>
              <w:rPr>
                <w:rFonts w:hint="eastAsia" w:ascii="仿宋" w:hAnsi="仿宋" w:eastAsia="仿宋" w:cs="仿宋"/>
                <w:bCs/>
                <w:sz w:val="24"/>
                <w:szCs w:val="24"/>
              </w:rPr>
              <w:t>，并一定程度上能够</w:t>
            </w:r>
            <w:r>
              <w:rPr>
                <w:rFonts w:hint="eastAsia" w:ascii="仿宋" w:hAnsi="仿宋" w:eastAsia="仿宋" w:cs="仿宋"/>
                <w:bCs/>
                <w:sz w:val="24"/>
                <w:szCs w:val="24"/>
                <w:lang w:val="en-US" w:eastAsia="en-US"/>
              </w:rPr>
              <w:t>理解音乐的育人价值</w:t>
            </w:r>
            <w:r>
              <w:rPr>
                <w:rFonts w:hint="eastAsia" w:ascii="仿宋" w:hAnsi="仿宋" w:eastAsia="仿宋" w:cs="仿宋"/>
                <w:bCs/>
                <w:sz w:val="24"/>
                <w:szCs w:val="24"/>
                <w:lang w:eastAsia="en-US"/>
              </w:rPr>
              <w:t>。</w:t>
            </w:r>
          </w:p>
        </w:tc>
        <w:tc>
          <w:tcPr>
            <w:tcW w:w="845" w:type="dxa"/>
            <w:vAlign w:val="top"/>
          </w:tcPr>
          <w:p w14:paraId="58F48191">
            <w:pPr>
              <w:widowControl/>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基本能够对作曲家的代表性作品利及常见音乐体裁的代表作有一定的</w:t>
            </w:r>
            <w:r>
              <w:rPr>
                <w:rFonts w:hint="eastAsia" w:ascii="仿宋" w:hAnsi="仿宋" w:eastAsia="仿宋" w:cs="仿宋"/>
                <w:bCs/>
                <w:sz w:val="24"/>
                <w:szCs w:val="24"/>
                <w:lang w:val="en-US" w:eastAsia="en-US"/>
              </w:rPr>
              <w:t>赏析能力</w:t>
            </w:r>
            <w:r>
              <w:rPr>
                <w:rFonts w:hint="eastAsia" w:ascii="仿宋" w:hAnsi="仿宋" w:eastAsia="仿宋" w:cs="仿宋"/>
                <w:bCs/>
                <w:sz w:val="24"/>
                <w:szCs w:val="24"/>
              </w:rPr>
              <w:t>，并一定程度上能够</w:t>
            </w:r>
            <w:r>
              <w:rPr>
                <w:rFonts w:hint="eastAsia" w:ascii="仿宋" w:hAnsi="仿宋" w:eastAsia="仿宋" w:cs="仿宋"/>
                <w:bCs/>
                <w:sz w:val="24"/>
                <w:szCs w:val="24"/>
                <w:lang w:val="en-US" w:eastAsia="en-US"/>
              </w:rPr>
              <w:t>理解音乐的育人价值</w:t>
            </w:r>
            <w:r>
              <w:rPr>
                <w:rFonts w:hint="eastAsia" w:ascii="仿宋" w:hAnsi="仿宋" w:eastAsia="仿宋" w:cs="仿宋"/>
                <w:bCs/>
                <w:sz w:val="24"/>
                <w:szCs w:val="24"/>
                <w:lang w:eastAsia="en-US"/>
              </w:rPr>
              <w:t>。</w:t>
            </w:r>
          </w:p>
        </w:tc>
        <w:tc>
          <w:tcPr>
            <w:tcW w:w="845" w:type="dxa"/>
            <w:vAlign w:val="top"/>
          </w:tcPr>
          <w:p w14:paraId="4F86E0B1">
            <w:pPr>
              <w:widowControl/>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不能</w:t>
            </w:r>
            <w:r>
              <w:rPr>
                <w:rFonts w:hint="eastAsia" w:ascii="仿宋" w:hAnsi="仿宋" w:eastAsia="仿宋" w:cs="仿宋"/>
                <w:bCs/>
                <w:sz w:val="24"/>
                <w:szCs w:val="24"/>
                <w:lang w:val="en-US" w:eastAsia="en-US"/>
              </w:rPr>
              <w:t>赏析</w:t>
            </w:r>
            <w:r>
              <w:rPr>
                <w:rFonts w:hint="eastAsia" w:ascii="仿宋" w:hAnsi="仿宋" w:eastAsia="仿宋" w:cs="仿宋"/>
                <w:bCs/>
                <w:sz w:val="24"/>
                <w:szCs w:val="24"/>
              </w:rPr>
              <w:t>作曲家的代表性作品利及常见音乐体裁的代表作，并且不能够</w:t>
            </w:r>
            <w:r>
              <w:rPr>
                <w:rFonts w:hint="eastAsia" w:ascii="仿宋" w:hAnsi="仿宋" w:eastAsia="仿宋" w:cs="仿宋"/>
                <w:bCs/>
                <w:sz w:val="24"/>
                <w:szCs w:val="24"/>
                <w:lang w:val="en-US" w:eastAsia="en-US"/>
              </w:rPr>
              <w:t>理解音乐的育人价值</w:t>
            </w:r>
            <w:r>
              <w:rPr>
                <w:rFonts w:hint="eastAsia" w:ascii="仿宋" w:hAnsi="仿宋" w:eastAsia="仿宋" w:cs="仿宋"/>
                <w:bCs/>
                <w:sz w:val="24"/>
                <w:szCs w:val="24"/>
                <w:lang w:eastAsia="en-US"/>
              </w:rPr>
              <w:t>。</w:t>
            </w:r>
          </w:p>
        </w:tc>
      </w:tr>
    </w:tbl>
    <w:p w14:paraId="10966668">
      <w:pPr>
        <w:rPr>
          <w:sz w:val="2"/>
          <w:szCs w:val="2"/>
        </w:rPr>
        <w:sectPr>
          <w:headerReference r:id="rId59" w:type="default"/>
          <w:footerReference r:id="rId60" w:type="default"/>
          <w:pgSz w:w="11906" w:h="16838"/>
          <w:pgMar w:top="1134" w:right="1417" w:bottom="1134" w:left="1417" w:header="851" w:footer="992" w:gutter="0"/>
          <w:cols w:space="720" w:num="1"/>
          <w:docGrid w:type="lines" w:linePitch="312" w:charSpace="0"/>
        </w:sectPr>
      </w:pPr>
    </w:p>
    <w:p w14:paraId="76965D2F">
      <w:pPr>
        <w:adjustRightInd w:val="0"/>
        <w:snapToGrid w:val="0"/>
        <w:spacing w:line="560" w:lineRule="exact"/>
        <w:jc w:val="center"/>
        <w:rPr>
          <w:rFonts w:hint="eastAsia" w:eastAsia="方正小标宋简体"/>
          <w:sz w:val="44"/>
          <w:szCs w:val="44"/>
        </w:rPr>
      </w:pPr>
      <w:r>
        <w:rPr>
          <w:rFonts w:hint="eastAsia" w:eastAsia="方正小标宋简体"/>
          <w:sz w:val="44"/>
          <w:szCs w:val="44"/>
        </w:rPr>
        <w:t>三明学院音乐学（音乐教育）专业</w:t>
      </w:r>
    </w:p>
    <w:p w14:paraId="6055F0C9">
      <w:pPr>
        <w:pStyle w:val="2"/>
        <w:pageBreakBefore w:val="0"/>
        <w:kinsoku/>
        <w:overflowPunct/>
        <w:topLinePunct w:val="0"/>
        <w:bidi w:val="0"/>
        <w:spacing w:before="0" w:beforeAutospacing="0" w:after="0" w:afterAutospacing="0" w:line="240" w:lineRule="auto"/>
        <w:jc w:val="center"/>
        <w:rPr>
          <w:rFonts w:hint="eastAsia" w:ascii="方正小标宋简体" w:hAnsi="方正小标宋简体" w:eastAsia="方正小标宋简体" w:cs="方正小标宋简体"/>
          <w:b w:val="0"/>
          <w:bCs w:val="0"/>
          <w:sz w:val="44"/>
          <w:szCs w:val="44"/>
          <w:lang w:val="en-US" w:eastAsia="zh-CN"/>
        </w:rPr>
      </w:pPr>
      <w:bookmarkStart w:id="95" w:name="_Toc649946811"/>
      <w:bookmarkStart w:id="96" w:name="_Toc437073704"/>
      <w:r>
        <w:rPr>
          <w:rFonts w:hint="eastAsia" w:ascii="方正小标宋简体" w:hAnsi="方正小标宋简体" w:eastAsia="方正小标宋简体" w:cs="方正小标宋简体"/>
          <w:b w:val="0"/>
          <w:bCs w:val="0"/>
          <w:sz w:val="44"/>
          <w:szCs w:val="44"/>
          <w:lang w:val="en-US" w:eastAsia="zh-CN"/>
        </w:rPr>
        <w:t>《曲式与作品分析》课程教学大纲</w:t>
      </w:r>
      <w:bookmarkEnd w:id="95"/>
      <w:bookmarkEnd w:id="96"/>
    </w:p>
    <w:tbl>
      <w:tblPr>
        <w:tblStyle w:val="22"/>
        <w:tblW w:w="914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28" w:type="dxa"/>
        </w:tblCellMar>
      </w:tblPr>
      <w:tblGrid>
        <w:gridCol w:w="1334"/>
        <w:gridCol w:w="1337"/>
        <w:gridCol w:w="225"/>
        <w:gridCol w:w="1562"/>
        <w:gridCol w:w="626"/>
        <w:gridCol w:w="936"/>
        <w:gridCol w:w="253"/>
        <w:gridCol w:w="716"/>
        <w:gridCol w:w="52"/>
        <w:gridCol w:w="541"/>
        <w:gridCol w:w="48"/>
        <w:gridCol w:w="179"/>
        <w:gridCol w:w="657"/>
        <w:gridCol w:w="31"/>
        <w:gridCol w:w="651"/>
      </w:tblGrid>
      <w:tr w14:paraId="18607452">
        <w:trPr>
          <w:trHeight w:val="798" w:hRule="atLeast"/>
          <w:jc w:val="center"/>
        </w:trPr>
        <w:tc>
          <w:tcPr>
            <w:tcW w:w="1334" w:type="dxa"/>
            <w:tcBorders>
              <w:top w:val="single" w:color="000000" w:sz="4" w:space="0"/>
              <w:left w:val="single" w:color="000000" w:sz="4" w:space="0"/>
              <w:bottom w:val="single" w:color="000000" w:sz="4" w:space="0"/>
              <w:right w:val="single" w:color="000000" w:sz="4" w:space="0"/>
            </w:tcBorders>
            <w:noWrap/>
            <w:vAlign w:val="center"/>
          </w:tcPr>
          <w:p w14:paraId="35F1F76B">
            <w:pPr>
              <w:pageBreakBefore w:val="0"/>
              <w:widowControl w:val="0"/>
              <w:kinsoku/>
              <w:overflowPunct/>
              <w:topLinePunct w:val="0"/>
              <w:bidi w:val="0"/>
              <w:spacing w:line="240" w:lineRule="auto"/>
              <w:jc w:val="center"/>
              <w:rPr>
                <w:rFonts w:hint="eastAsia" w:ascii="仿宋" w:eastAsia="仿宋" w:cs="仿宋"/>
                <w:kern w:val="2"/>
                <w:sz w:val="24"/>
                <w:szCs w:val="24"/>
                <w:lang w:bidi="ar-SA"/>
              </w:rPr>
            </w:pPr>
            <w:r>
              <w:rPr>
                <w:rFonts w:hint="eastAsia" w:ascii="仿宋" w:eastAsia="仿宋" w:cs="仿宋"/>
                <w:kern w:val="2"/>
                <w:sz w:val="24"/>
                <w:szCs w:val="24"/>
                <w:lang w:bidi="ar-SA"/>
              </w:rPr>
              <w:t>课程名称</w:t>
            </w:r>
          </w:p>
        </w:tc>
        <w:tc>
          <w:tcPr>
            <w:tcW w:w="4686" w:type="dxa"/>
            <w:gridSpan w:val="5"/>
            <w:tcBorders>
              <w:top w:val="single" w:color="000000" w:sz="4" w:space="0"/>
              <w:left w:val="single" w:color="000000" w:sz="4" w:space="0"/>
              <w:bottom w:val="single" w:color="000000" w:sz="4" w:space="0"/>
              <w:right w:val="single" w:color="000000" w:sz="4" w:space="0"/>
            </w:tcBorders>
            <w:noWrap/>
            <w:vAlign w:val="center"/>
          </w:tcPr>
          <w:p w14:paraId="60249BDD">
            <w:pPr>
              <w:pageBreakBefore w:val="0"/>
              <w:widowControl w:val="0"/>
              <w:kinsoku/>
              <w:overflowPunct/>
              <w:topLinePunct w:val="0"/>
              <w:bidi w:val="0"/>
              <w:adjustRightInd w:val="0"/>
              <w:snapToGrid w:val="0"/>
              <w:spacing w:line="240" w:lineRule="auto"/>
              <w:jc w:val="center"/>
              <w:rPr>
                <w:rFonts w:hint="eastAsia" w:ascii="仿宋" w:eastAsia="仿宋" w:cs="仿宋"/>
                <w:kern w:val="2"/>
                <w:sz w:val="24"/>
                <w:szCs w:val="24"/>
                <w:lang w:bidi="ar-SA"/>
              </w:rPr>
            </w:pPr>
            <w:r>
              <w:rPr>
                <w:rFonts w:hint="eastAsia" w:ascii="仿宋" w:eastAsia="仿宋" w:cs="仿宋"/>
                <w:kern w:val="2"/>
                <w:sz w:val="24"/>
                <w:szCs w:val="24"/>
                <w:lang w:bidi="ar-SA"/>
              </w:rPr>
              <w:t>《曲式与作品分析》</w:t>
            </w:r>
          </w:p>
        </w:tc>
        <w:tc>
          <w:tcPr>
            <w:tcW w:w="1562" w:type="dxa"/>
            <w:gridSpan w:val="4"/>
            <w:tcBorders>
              <w:top w:val="single" w:color="000000" w:sz="4" w:space="0"/>
              <w:left w:val="single" w:color="000000" w:sz="4" w:space="0"/>
              <w:bottom w:val="single" w:color="000000" w:sz="4" w:space="0"/>
              <w:right w:val="single" w:color="000000" w:sz="4" w:space="0"/>
            </w:tcBorders>
            <w:noWrap/>
            <w:vAlign w:val="center"/>
          </w:tcPr>
          <w:p w14:paraId="7E704908">
            <w:pPr>
              <w:pageBreakBefore w:val="0"/>
              <w:widowControl w:val="0"/>
              <w:kinsoku/>
              <w:overflowPunct/>
              <w:topLinePunct w:val="0"/>
              <w:bidi w:val="0"/>
              <w:adjustRightInd w:val="0"/>
              <w:snapToGrid w:val="0"/>
              <w:spacing w:line="240" w:lineRule="auto"/>
              <w:jc w:val="center"/>
              <w:rPr>
                <w:rFonts w:hint="eastAsia" w:ascii="仿宋" w:eastAsia="仿宋" w:cs="仿宋"/>
                <w:kern w:val="2"/>
                <w:sz w:val="24"/>
                <w:szCs w:val="24"/>
                <w:lang w:bidi="ar-SA"/>
              </w:rPr>
            </w:pPr>
            <w:r>
              <w:rPr>
                <w:rFonts w:hint="eastAsia" w:ascii="仿宋" w:eastAsia="仿宋" w:cs="仿宋"/>
                <w:kern w:val="2"/>
                <w:sz w:val="24"/>
                <w:szCs w:val="24"/>
                <w:lang w:bidi="ar-SA"/>
              </w:rPr>
              <w:t>课程代码</w:t>
            </w:r>
          </w:p>
        </w:tc>
        <w:tc>
          <w:tcPr>
            <w:tcW w:w="1566" w:type="dxa"/>
            <w:gridSpan w:val="5"/>
            <w:tcBorders>
              <w:top w:val="single" w:color="000000" w:sz="4" w:space="0"/>
              <w:left w:val="single" w:color="000000" w:sz="4" w:space="0"/>
              <w:bottom w:val="single" w:color="000000" w:sz="4" w:space="0"/>
              <w:right w:val="single" w:color="000000" w:sz="4" w:space="0"/>
            </w:tcBorders>
            <w:noWrap/>
            <w:vAlign w:val="center"/>
          </w:tcPr>
          <w:p w14:paraId="5F82772E">
            <w:pPr>
              <w:pageBreakBefore w:val="0"/>
              <w:widowControl w:val="0"/>
              <w:kinsoku/>
              <w:overflowPunct/>
              <w:topLinePunct w:val="0"/>
              <w:bidi w:val="0"/>
              <w:adjustRightInd w:val="0"/>
              <w:snapToGrid w:val="0"/>
              <w:spacing w:line="240" w:lineRule="auto"/>
              <w:jc w:val="center"/>
              <w:rPr>
                <w:rFonts w:hint="eastAsia" w:ascii="仿宋" w:eastAsia="仿宋" w:cs="仿宋"/>
                <w:kern w:val="2"/>
                <w:sz w:val="24"/>
                <w:szCs w:val="24"/>
                <w:lang w:bidi="ar-SA"/>
              </w:rPr>
            </w:pPr>
            <w:r>
              <w:rPr>
                <w:rFonts w:hint="eastAsia" w:ascii="仿宋" w:eastAsia="仿宋" w:cs="仿宋"/>
                <w:kern w:val="2"/>
                <w:sz w:val="24"/>
                <w:szCs w:val="24"/>
                <w:lang w:bidi="ar-SA"/>
              </w:rPr>
              <w:t>1211302604</w:t>
            </w:r>
          </w:p>
        </w:tc>
      </w:tr>
      <w:tr w14:paraId="15E6E2F0">
        <w:trPr>
          <w:trHeight w:val="884" w:hRule="atLeast"/>
          <w:jc w:val="center"/>
        </w:trPr>
        <w:tc>
          <w:tcPr>
            <w:tcW w:w="1334" w:type="dxa"/>
            <w:tcBorders>
              <w:top w:val="single" w:color="000000" w:sz="4" w:space="0"/>
              <w:left w:val="single" w:color="000000" w:sz="4" w:space="0"/>
              <w:bottom w:val="single" w:color="000000" w:sz="4" w:space="0"/>
              <w:right w:val="single" w:color="000000" w:sz="4" w:space="0"/>
            </w:tcBorders>
            <w:noWrap/>
            <w:vAlign w:val="center"/>
          </w:tcPr>
          <w:p w14:paraId="5304733D">
            <w:pPr>
              <w:pageBreakBefore w:val="0"/>
              <w:widowControl w:val="0"/>
              <w:kinsoku/>
              <w:overflowPunct/>
              <w:topLinePunct w:val="0"/>
              <w:bidi w:val="0"/>
              <w:spacing w:line="240" w:lineRule="auto"/>
              <w:jc w:val="center"/>
              <w:rPr>
                <w:rFonts w:hint="eastAsia" w:ascii="仿宋" w:eastAsia="仿宋" w:cs="仿宋"/>
                <w:kern w:val="2"/>
                <w:sz w:val="24"/>
                <w:szCs w:val="24"/>
                <w:lang w:bidi="ar-SA"/>
              </w:rPr>
            </w:pPr>
            <w:r>
              <w:rPr>
                <w:rFonts w:hint="eastAsia" w:ascii="仿宋" w:eastAsia="仿宋" w:cs="仿宋"/>
                <w:kern w:val="2"/>
                <w:sz w:val="24"/>
                <w:szCs w:val="24"/>
                <w:lang w:bidi="ar-SA"/>
              </w:rPr>
              <w:t>课程类型</w:t>
            </w:r>
          </w:p>
        </w:tc>
        <w:tc>
          <w:tcPr>
            <w:tcW w:w="7814" w:type="dxa"/>
            <w:gridSpan w:val="14"/>
            <w:tcBorders>
              <w:top w:val="single" w:color="000000" w:sz="4" w:space="0"/>
              <w:left w:val="single" w:color="000000" w:sz="4" w:space="0"/>
              <w:bottom w:val="single" w:color="000000" w:sz="4" w:space="0"/>
              <w:right w:val="single" w:color="000000" w:sz="4" w:space="0"/>
            </w:tcBorders>
            <w:noWrap/>
            <w:vAlign w:val="center"/>
          </w:tcPr>
          <w:p w14:paraId="676A409E">
            <w:pPr>
              <w:pageBreakBefore w:val="0"/>
              <w:widowControl w:val="0"/>
              <w:kinsoku/>
              <w:overflowPunct/>
              <w:topLinePunct w:val="0"/>
              <w:bidi w:val="0"/>
              <w:spacing w:line="240" w:lineRule="auto"/>
              <w:rPr>
                <w:rFonts w:hint="eastAsia" w:ascii="仿宋" w:eastAsia="仿宋" w:cs="仿宋"/>
                <w:kern w:val="2"/>
                <w:sz w:val="24"/>
                <w:szCs w:val="24"/>
                <w:lang w:bidi="ar-SA"/>
              </w:rPr>
            </w:pPr>
            <w:r>
              <w:rPr>
                <w:rFonts w:ascii="Wingdings" w:hAnsi="Wingdings" w:eastAsia="仿宋" w:cs="仿宋"/>
                <w:kern w:val="2"/>
                <w:sz w:val="24"/>
                <w:szCs w:val="24"/>
                <w:lang w:bidi="ar-SA"/>
              </w:rPr>
              <w:t>¨</w:t>
            </w:r>
            <w:r>
              <w:rPr>
                <w:rFonts w:hint="eastAsia" w:ascii="仿宋" w:eastAsia="仿宋" w:cs="仿宋"/>
                <w:kern w:val="2"/>
                <w:sz w:val="24"/>
                <w:szCs w:val="24"/>
                <w:lang w:bidi="ar-SA"/>
              </w:rPr>
              <w:t xml:space="preserve">通识必修 </w:t>
            </w:r>
            <w:r>
              <w:rPr>
                <w:rFonts w:ascii="Wingdings" w:hAnsi="Wingdings" w:eastAsia="仿宋" w:cs="仿宋"/>
                <w:kern w:val="2"/>
                <w:sz w:val="24"/>
                <w:szCs w:val="24"/>
                <w:lang w:bidi="ar-SA"/>
              </w:rPr>
              <w:t>þ</w:t>
            </w:r>
            <w:r>
              <w:rPr>
                <w:rFonts w:hint="eastAsia" w:ascii="仿宋" w:eastAsia="仿宋" w:cs="仿宋"/>
                <w:kern w:val="2"/>
                <w:sz w:val="24"/>
                <w:szCs w:val="24"/>
                <w:lang w:bidi="ar-SA"/>
              </w:rPr>
              <w:t xml:space="preserve">专业必修 </w:t>
            </w:r>
            <w:r>
              <w:rPr>
                <w:rFonts w:ascii="Wingdings" w:hAnsi="Wingdings" w:eastAsia="仿宋" w:cs="仿宋"/>
                <w:kern w:val="2"/>
                <w:sz w:val="24"/>
                <w:szCs w:val="24"/>
                <w:lang w:bidi="ar-SA"/>
              </w:rPr>
              <w:t>¨</w:t>
            </w:r>
            <w:r>
              <w:rPr>
                <w:rFonts w:hint="eastAsia" w:ascii="仿宋" w:eastAsia="仿宋" w:cs="仿宋"/>
                <w:kern w:val="2"/>
                <w:sz w:val="24"/>
                <w:szCs w:val="24"/>
                <w:lang w:bidi="ar-SA"/>
              </w:rPr>
              <w:t>教师教育必修</w:t>
            </w:r>
          </w:p>
          <w:p w14:paraId="2CF41E40">
            <w:pPr>
              <w:pageBreakBefore w:val="0"/>
              <w:widowControl w:val="0"/>
              <w:kinsoku/>
              <w:overflowPunct/>
              <w:topLinePunct w:val="0"/>
              <w:bidi w:val="0"/>
              <w:spacing w:line="240" w:lineRule="auto"/>
              <w:rPr>
                <w:rFonts w:hint="eastAsia" w:ascii="仿宋" w:eastAsia="仿宋" w:cs="仿宋"/>
                <w:kern w:val="2"/>
                <w:sz w:val="24"/>
                <w:szCs w:val="24"/>
                <w:lang w:bidi="ar-SA"/>
              </w:rPr>
            </w:pPr>
            <w:r>
              <w:rPr>
                <w:rFonts w:ascii="Wingdings" w:hAnsi="Wingdings" w:eastAsia="仿宋" w:cs="仿宋"/>
                <w:kern w:val="2"/>
                <w:sz w:val="24"/>
                <w:szCs w:val="24"/>
                <w:lang w:bidi="ar-SA"/>
              </w:rPr>
              <w:t>¨</w:t>
            </w:r>
            <w:r>
              <w:rPr>
                <w:rFonts w:hint="eastAsia" w:ascii="仿宋" w:eastAsia="仿宋" w:cs="仿宋"/>
                <w:kern w:val="2"/>
                <w:sz w:val="24"/>
                <w:szCs w:val="24"/>
                <w:lang w:bidi="ar-SA"/>
              </w:rPr>
              <w:t xml:space="preserve">通识选修 </w:t>
            </w:r>
            <w:r>
              <w:rPr>
                <w:rFonts w:ascii="Wingdings" w:hAnsi="Wingdings" w:eastAsia="仿宋" w:cs="仿宋"/>
                <w:kern w:val="2"/>
                <w:sz w:val="24"/>
                <w:szCs w:val="24"/>
                <w:lang w:bidi="ar-SA"/>
              </w:rPr>
              <w:t>¨</w:t>
            </w:r>
            <w:r>
              <w:rPr>
                <w:rFonts w:hint="eastAsia" w:ascii="仿宋" w:eastAsia="仿宋" w:cs="仿宋"/>
                <w:kern w:val="2"/>
                <w:sz w:val="24"/>
                <w:szCs w:val="24"/>
                <w:lang w:bidi="ar-SA"/>
              </w:rPr>
              <w:t>专业选修</w:t>
            </w:r>
            <w:r>
              <w:rPr>
                <w:rFonts w:hint="eastAsia" w:ascii="仿宋" w:eastAsia="仿宋" w:cs="仿宋"/>
                <w:kern w:val="2"/>
                <w:sz w:val="24"/>
                <w:szCs w:val="24"/>
                <w:lang w:eastAsia="zh-TW" w:bidi="ar-SA"/>
              </w:rPr>
              <w:t xml:space="preserve"> </w:t>
            </w:r>
            <w:r>
              <w:rPr>
                <w:rFonts w:ascii="Wingdings" w:hAnsi="Wingdings" w:eastAsia="仿宋" w:cs="仿宋"/>
                <w:kern w:val="2"/>
                <w:sz w:val="24"/>
                <w:szCs w:val="24"/>
                <w:lang w:bidi="ar-SA"/>
              </w:rPr>
              <w:t>¨</w:t>
            </w:r>
            <w:r>
              <w:rPr>
                <w:rFonts w:hint="eastAsia" w:ascii="仿宋" w:eastAsia="仿宋" w:cs="仿宋"/>
                <w:kern w:val="2"/>
                <w:sz w:val="24"/>
                <w:szCs w:val="24"/>
                <w:lang w:bidi="ar-SA"/>
              </w:rPr>
              <w:t>教师教育选修</w:t>
            </w:r>
          </w:p>
        </w:tc>
      </w:tr>
      <w:tr w14:paraId="3D417F07">
        <w:trPr>
          <w:trHeight w:val="624" w:hRule="atLeast"/>
          <w:jc w:val="center"/>
        </w:trPr>
        <w:tc>
          <w:tcPr>
            <w:tcW w:w="1334" w:type="dxa"/>
            <w:tcBorders>
              <w:top w:val="single" w:color="000000" w:sz="4" w:space="0"/>
              <w:left w:val="single" w:color="000000" w:sz="4" w:space="0"/>
              <w:bottom w:val="single" w:color="000000" w:sz="4" w:space="0"/>
              <w:right w:val="single" w:color="000000" w:sz="4" w:space="0"/>
            </w:tcBorders>
            <w:noWrap/>
            <w:vAlign w:val="center"/>
          </w:tcPr>
          <w:p w14:paraId="2E0485FA">
            <w:pPr>
              <w:pageBreakBefore w:val="0"/>
              <w:widowControl w:val="0"/>
              <w:kinsoku/>
              <w:overflowPunct/>
              <w:topLinePunct w:val="0"/>
              <w:bidi w:val="0"/>
              <w:spacing w:line="240" w:lineRule="auto"/>
              <w:jc w:val="center"/>
              <w:rPr>
                <w:rFonts w:hint="eastAsia" w:ascii="仿宋" w:eastAsia="仿宋" w:cs="仿宋"/>
                <w:kern w:val="2"/>
                <w:sz w:val="24"/>
                <w:szCs w:val="24"/>
                <w:lang w:bidi="ar-SA"/>
              </w:rPr>
            </w:pPr>
            <w:r>
              <w:rPr>
                <w:rFonts w:hint="eastAsia" w:ascii="仿宋" w:eastAsia="仿宋" w:cs="仿宋"/>
                <w:kern w:val="2"/>
                <w:sz w:val="24"/>
                <w:szCs w:val="24"/>
                <w:lang w:bidi="ar-SA"/>
              </w:rPr>
              <w:t>开课学期</w:t>
            </w:r>
          </w:p>
        </w:tc>
        <w:tc>
          <w:tcPr>
            <w:tcW w:w="1562" w:type="dxa"/>
            <w:gridSpan w:val="2"/>
            <w:tcBorders>
              <w:top w:val="single" w:color="000000" w:sz="4" w:space="0"/>
              <w:left w:val="single" w:color="000000" w:sz="4" w:space="0"/>
              <w:bottom w:val="single" w:color="000000" w:sz="4" w:space="0"/>
              <w:right w:val="single" w:color="000000" w:sz="4" w:space="0"/>
            </w:tcBorders>
            <w:noWrap/>
            <w:vAlign w:val="center"/>
          </w:tcPr>
          <w:p w14:paraId="4E0A4544">
            <w:pPr>
              <w:pageBreakBefore w:val="0"/>
              <w:widowControl w:val="0"/>
              <w:kinsoku/>
              <w:overflowPunct/>
              <w:topLinePunct w:val="0"/>
              <w:bidi w:val="0"/>
              <w:adjustRightInd w:val="0"/>
              <w:snapToGrid w:val="0"/>
              <w:spacing w:line="240" w:lineRule="auto"/>
              <w:jc w:val="center"/>
              <w:rPr>
                <w:rFonts w:hint="eastAsia" w:ascii="仿宋" w:eastAsia="仿宋" w:cs="仿宋"/>
                <w:sz w:val="24"/>
                <w:lang w:bidi="ar-SA"/>
              </w:rPr>
            </w:pPr>
            <w:r>
              <w:rPr>
                <w:rFonts w:hint="eastAsia" w:ascii="仿宋" w:eastAsia="仿宋" w:cs="仿宋"/>
                <w:sz w:val="24"/>
                <w:lang w:bidi="ar-SA"/>
              </w:rPr>
              <w:t>第5学期</w:t>
            </w:r>
          </w:p>
        </w:tc>
        <w:tc>
          <w:tcPr>
            <w:tcW w:w="1562" w:type="dxa"/>
            <w:tcBorders>
              <w:top w:val="single" w:color="000000" w:sz="4" w:space="0"/>
              <w:left w:val="single" w:color="000000" w:sz="4" w:space="0"/>
              <w:bottom w:val="single" w:color="000000" w:sz="4" w:space="0"/>
              <w:right w:val="single" w:color="000000" w:sz="4" w:space="0"/>
            </w:tcBorders>
            <w:noWrap/>
            <w:vAlign w:val="center"/>
          </w:tcPr>
          <w:p w14:paraId="302E8837">
            <w:pPr>
              <w:pageBreakBefore w:val="0"/>
              <w:widowControl w:val="0"/>
              <w:kinsoku/>
              <w:overflowPunct/>
              <w:topLinePunct w:val="0"/>
              <w:bidi w:val="0"/>
              <w:adjustRightInd w:val="0"/>
              <w:snapToGrid w:val="0"/>
              <w:spacing w:line="240" w:lineRule="auto"/>
              <w:jc w:val="center"/>
              <w:rPr>
                <w:rFonts w:hint="eastAsia" w:ascii="仿宋" w:eastAsia="仿宋" w:cs="仿宋"/>
                <w:sz w:val="24"/>
                <w:lang w:bidi="ar-SA"/>
              </w:rPr>
            </w:pPr>
            <w:r>
              <w:rPr>
                <w:rFonts w:hint="eastAsia" w:ascii="仿宋" w:eastAsia="仿宋" w:cs="仿宋"/>
                <w:sz w:val="24"/>
                <w:lang w:bidi="ar-SA"/>
              </w:rPr>
              <w:t>学分</w:t>
            </w:r>
          </w:p>
        </w:tc>
        <w:tc>
          <w:tcPr>
            <w:tcW w:w="1562" w:type="dxa"/>
            <w:gridSpan w:val="2"/>
            <w:tcBorders>
              <w:top w:val="single" w:color="000000" w:sz="4" w:space="0"/>
              <w:left w:val="single" w:color="000000" w:sz="4" w:space="0"/>
              <w:bottom w:val="single" w:color="000000" w:sz="4" w:space="0"/>
              <w:right w:val="single" w:color="000000" w:sz="4" w:space="0"/>
            </w:tcBorders>
            <w:noWrap/>
            <w:vAlign w:val="center"/>
          </w:tcPr>
          <w:p w14:paraId="1252B66A">
            <w:pPr>
              <w:pageBreakBefore w:val="0"/>
              <w:widowControl w:val="0"/>
              <w:kinsoku/>
              <w:overflowPunct/>
              <w:topLinePunct w:val="0"/>
              <w:bidi w:val="0"/>
              <w:adjustRightInd w:val="0"/>
              <w:snapToGrid w:val="0"/>
              <w:spacing w:line="240" w:lineRule="auto"/>
              <w:jc w:val="center"/>
              <w:rPr>
                <w:rFonts w:hint="eastAsia" w:ascii="仿宋" w:eastAsia="仿宋" w:cs="仿宋"/>
                <w:sz w:val="24"/>
                <w:lang w:bidi="ar-SA"/>
              </w:rPr>
            </w:pPr>
            <w:r>
              <w:rPr>
                <w:rFonts w:hint="eastAsia" w:ascii="仿宋" w:eastAsia="仿宋" w:cs="仿宋"/>
                <w:sz w:val="24"/>
                <w:lang w:bidi="ar-SA"/>
              </w:rPr>
              <w:t>2</w:t>
            </w:r>
          </w:p>
        </w:tc>
        <w:tc>
          <w:tcPr>
            <w:tcW w:w="1562" w:type="dxa"/>
            <w:gridSpan w:val="4"/>
            <w:tcBorders>
              <w:top w:val="single" w:color="000000" w:sz="4" w:space="0"/>
              <w:left w:val="single" w:color="000000" w:sz="4" w:space="0"/>
              <w:bottom w:val="single" w:color="000000" w:sz="4" w:space="0"/>
              <w:right w:val="single" w:color="000000" w:sz="4" w:space="0"/>
            </w:tcBorders>
            <w:noWrap/>
            <w:vAlign w:val="center"/>
          </w:tcPr>
          <w:p w14:paraId="4D59080F">
            <w:pPr>
              <w:pageBreakBefore w:val="0"/>
              <w:widowControl w:val="0"/>
              <w:kinsoku/>
              <w:overflowPunct/>
              <w:topLinePunct w:val="0"/>
              <w:bidi w:val="0"/>
              <w:adjustRightInd w:val="0"/>
              <w:snapToGrid w:val="0"/>
              <w:spacing w:line="240" w:lineRule="auto"/>
              <w:jc w:val="center"/>
              <w:rPr>
                <w:rFonts w:hint="eastAsia" w:ascii="仿宋" w:eastAsia="仿宋" w:cs="仿宋"/>
                <w:sz w:val="24"/>
                <w:lang w:bidi="ar-SA"/>
              </w:rPr>
            </w:pPr>
            <w:r>
              <w:rPr>
                <w:rFonts w:hint="eastAsia" w:ascii="仿宋" w:eastAsia="仿宋" w:cs="仿宋"/>
                <w:sz w:val="24"/>
                <w:lang w:bidi="ar-SA"/>
              </w:rPr>
              <w:t>课程负责人</w:t>
            </w:r>
          </w:p>
        </w:tc>
        <w:tc>
          <w:tcPr>
            <w:tcW w:w="1566" w:type="dxa"/>
            <w:gridSpan w:val="5"/>
            <w:tcBorders>
              <w:top w:val="single" w:color="000000" w:sz="4" w:space="0"/>
              <w:left w:val="single" w:color="000000" w:sz="4" w:space="0"/>
              <w:bottom w:val="single" w:color="000000" w:sz="4" w:space="0"/>
              <w:right w:val="single" w:color="000000" w:sz="4" w:space="0"/>
            </w:tcBorders>
            <w:noWrap/>
            <w:vAlign w:val="center"/>
          </w:tcPr>
          <w:p w14:paraId="37A2242C">
            <w:pPr>
              <w:pageBreakBefore w:val="0"/>
              <w:widowControl w:val="0"/>
              <w:kinsoku/>
              <w:overflowPunct/>
              <w:topLinePunct w:val="0"/>
              <w:bidi w:val="0"/>
              <w:adjustRightInd w:val="0"/>
              <w:snapToGrid w:val="0"/>
              <w:spacing w:line="240" w:lineRule="auto"/>
              <w:jc w:val="center"/>
              <w:rPr>
                <w:rFonts w:hint="eastAsia" w:ascii="仿宋" w:eastAsia="仿宋" w:cs="仿宋"/>
                <w:sz w:val="24"/>
                <w:lang w:eastAsia="zh-CN" w:bidi="ar-SA"/>
              </w:rPr>
            </w:pPr>
            <w:r>
              <w:rPr>
                <w:rFonts w:hint="eastAsia" w:ascii="仿宋" w:eastAsia="仿宋" w:cs="仿宋"/>
                <w:sz w:val="24"/>
                <w:lang w:val="en-US" w:eastAsia="zh-CN" w:bidi="ar-SA"/>
              </w:rPr>
              <w:t>司季发</w:t>
            </w:r>
          </w:p>
        </w:tc>
      </w:tr>
      <w:tr w14:paraId="2B959C4F">
        <w:trPr>
          <w:trHeight w:val="624" w:hRule="atLeast"/>
          <w:jc w:val="center"/>
        </w:trPr>
        <w:tc>
          <w:tcPr>
            <w:tcW w:w="1334" w:type="dxa"/>
            <w:tcBorders>
              <w:top w:val="single" w:color="000000" w:sz="4" w:space="0"/>
              <w:left w:val="single" w:color="000000" w:sz="4" w:space="0"/>
              <w:bottom w:val="single" w:color="000000" w:sz="4" w:space="0"/>
              <w:right w:val="single" w:color="000000" w:sz="4" w:space="0"/>
            </w:tcBorders>
            <w:noWrap/>
            <w:vAlign w:val="center"/>
          </w:tcPr>
          <w:p w14:paraId="752D052D">
            <w:pPr>
              <w:pageBreakBefore w:val="0"/>
              <w:widowControl w:val="0"/>
              <w:kinsoku/>
              <w:overflowPunct/>
              <w:topLinePunct w:val="0"/>
              <w:bidi w:val="0"/>
              <w:spacing w:line="240" w:lineRule="auto"/>
              <w:jc w:val="center"/>
              <w:rPr>
                <w:rFonts w:hint="eastAsia" w:ascii="仿宋" w:eastAsia="仿宋" w:cs="仿宋"/>
                <w:kern w:val="2"/>
                <w:sz w:val="24"/>
                <w:szCs w:val="24"/>
                <w:lang w:bidi="ar-SA"/>
              </w:rPr>
            </w:pPr>
            <w:r>
              <w:rPr>
                <w:rFonts w:hint="eastAsia" w:ascii="仿宋" w:eastAsia="仿宋" w:cs="仿宋"/>
                <w:kern w:val="2"/>
                <w:sz w:val="24"/>
                <w:szCs w:val="24"/>
                <w:lang w:bidi="ar-SA"/>
              </w:rPr>
              <w:t>总学时</w:t>
            </w:r>
          </w:p>
        </w:tc>
        <w:tc>
          <w:tcPr>
            <w:tcW w:w="1562" w:type="dxa"/>
            <w:gridSpan w:val="2"/>
            <w:tcBorders>
              <w:top w:val="single" w:color="000000" w:sz="4" w:space="0"/>
              <w:left w:val="single" w:color="000000" w:sz="4" w:space="0"/>
              <w:bottom w:val="single" w:color="000000" w:sz="4" w:space="0"/>
              <w:right w:val="single" w:color="000000" w:sz="4" w:space="0"/>
            </w:tcBorders>
            <w:noWrap/>
            <w:vAlign w:val="center"/>
          </w:tcPr>
          <w:p w14:paraId="7822B48E">
            <w:pPr>
              <w:pageBreakBefore w:val="0"/>
              <w:widowControl w:val="0"/>
              <w:kinsoku/>
              <w:overflowPunct/>
              <w:topLinePunct w:val="0"/>
              <w:bidi w:val="0"/>
              <w:adjustRightInd w:val="0"/>
              <w:snapToGrid w:val="0"/>
              <w:spacing w:line="240" w:lineRule="auto"/>
              <w:jc w:val="center"/>
              <w:rPr>
                <w:rFonts w:hint="eastAsia" w:ascii="仿宋" w:eastAsia="仿宋" w:cs="仿宋"/>
                <w:sz w:val="24"/>
                <w:lang w:val="en-US" w:eastAsia="zh-CN" w:bidi="ar-SA"/>
              </w:rPr>
            </w:pPr>
            <w:r>
              <w:rPr>
                <w:rFonts w:hint="eastAsia" w:ascii="仿宋" w:eastAsia="仿宋" w:cs="仿宋"/>
                <w:sz w:val="24"/>
                <w:lang w:val="en-US" w:eastAsia="zh-CN" w:bidi="ar-SA"/>
              </w:rPr>
              <w:t>32</w:t>
            </w:r>
          </w:p>
        </w:tc>
        <w:tc>
          <w:tcPr>
            <w:tcW w:w="1562" w:type="dxa"/>
            <w:tcBorders>
              <w:top w:val="single" w:color="000000" w:sz="4" w:space="0"/>
              <w:left w:val="single" w:color="000000" w:sz="4" w:space="0"/>
              <w:bottom w:val="single" w:color="000000" w:sz="4" w:space="0"/>
              <w:right w:val="single" w:color="000000" w:sz="4" w:space="0"/>
            </w:tcBorders>
            <w:noWrap/>
            <w:vAlign w:val="center"/>
          </w:tcPr>
          <w:p w14:paraId="28FA001B">
            <w:pPr>
              <w:pageBreakBefore w:val="0"/>
              <w:widowControl w:val="0"/>
              <w:kinsoku/>
              <w:overflowPunct/>
              <w:topLinePunct w:val="0"/>
              <w:bidi w:val="0"/>
              <w:adjustRightInd w:val="0"/>
              <w:snapToGrid w:val="0"/>
              <w:spacing w:line="240" w:lineRule="auto"/>
              <w:jc w:val="center"/>
              <w:rPr>
                <w:rFonts w:hint="eastAsia" w:ascii="仿宋" w:eastAsia="仿宋" w:cs="仿宋"/>
                <w:sz w:val="24"/>
                <w:lang w:bidi="ar-SA"/>
              </w:rPr>
            </w:pPr>
            <w:r>
              <w:rPr>
                <w:rFonts w:hint="eastAsia" w:ascii="仿宋" w:eastAsia="仿宋" w:cs="仿宋"/>
                <w:sz w:val="24"/>
                <w:lang w:bidi="ar-SA"/>
              </w:rPr>
              <w:t>理论学时</w:t>
            </w:r>
          </w:p>
        </w:tc>
        <w:tc>
          <w:tcPr>
            <w:tcW w:w="1562" w:type="dxa"/>
            <w:gridSpan w:val="2"/>
            <w:tcBorders>
              <w:top w:val="single" w:color="000000" w:sz="4" w:space="0"/>
              <w:left w:val="single" w:color="000000" w:sz="4" w:space="0"/>
              <w:bottom w:val="single" w:color="000000" w:sz="4" w:space="0"/>
              <w:right w:val="single" w:color="000000" w:sz="4" w:space="0"/>
            </w:tcBorders>
            <w:noWrap/>
            <w:vAlign w:val="center"/>
          </w:tcPr>
          <w:p w14:paraId="4ECA8353">
            <w:pPr>
              <w:pageBreakBefore w:val="0"/>
              <w:widowControl w:val="0"/>
              <w:kinsoku/>
              <w:overflowPunct/>
              <w:topLinePunct w:val="0"/>
              <w:bidi w:val="0"/>
              <w:adjustRightInd w:val="0"/>
              <w:snapToGrid w:val="0"/>
              <w:spacing w:line="240" w:lineRule="auto"/>
              <w:jc w:val="center"/>
              <w:rPr>
                <w:rFonts w:hint="eastAsia" w:ascii="仿宋" w:eastAsia="仿宋" w:cs="仿宋"/>
                <w:sz w:val="24"/>
                <w:lang w:val="en-US" w:eastAsia="zh-CN" w:bidi="ar-SA"/>
              </w:rPr>
            </w:pPr>
            <w:r>
              <w:rPr>
                <w:rFonts w:hint="eastAsia" w:ascii="仿宋" w:eastAsia="仿宋" w:cs="仿宋"/>
                <w:sz w:val="24"/>
                <w:lang w:val="en-US" w:eastAsia="zh-CN" w:bidi="ar-SA"/>
              </w:rPr>
              <w:t>32</w:t>
            </w:r>
          </w:p>
        </w:tc>
        <w:tc>
          <w:tcPr>
            <w:tcW w:w="1562" w:type="dxa"/>
            <w:gridSpan w:val="4"/>
            <w:tcBorders>
              <w:top w:val="single" w:color="000000" w:sz="4" w:space="0"/>
              <w:left w:val="single" w:color="000000" w:sz="4" w:space="0"/>
              <w:bottom w:val="single" w:color="000000" w:sz="4" w:space="0"/>
              <w:right w:val="single" w:color="000000" w:sz="4" w:space="0"/>
            </w:tcBorders>
            <w:noWrap/>
            <w:vAlign w:val="center"/>
          </w:tcPr>
          <w:p w14:paraId="0A031B85">
            <w:pPr>
              <w:pageBreakBefore w:val="0"/>
              <w:widowControl w:val="0"/>
              <w:kinsoku/>
              <w:overflowPunct/>
              <w:topLinePunct w:val="0"/>
              <w:bidi w:val="0"/>
              <w:adjustRightInd w:val="0"/>
              <w:snapToGrid w:val="0"/>
              <w:spacing w:line="240" w:lineRule="auto"/>
              <w:jc w:val="center"/>
              <w:rPr>
                <w:rFonts w:hint="eastAsia" w:ascii="仿宋" w:eastAsia="仿宋" w:cs="仿宋"/>
                <w:sz w:val="24"/>
                <w:lang w:bidi="ar-SA"/>
              </w:rPr>
            </w:pPr>
            <w:r>
              <w:rPr>
                <w:rFonts w:hint="eastAsia" w:ascii="仿宋" w:eastAsia="仿宋" w:cs="仿宋"/>
                <w:sz w:val="24"/>
                <w:lang w:bidi="ar-SA"/>
              </w:rPr>
              <w:t>实践学时</w:t>
            </w:r>
          </w:p>
        </w:tc>
        <w:tc>
          <w:tcPr>
            <w:tcW w:w="1566" w:type="dxa"/>
            <w:gridSpan w:val="5"/>
            <w:tcBorders>
              <w:top w:val="single" w:color="000000" w:sz="4" w:space="0"/>
              <w:left w:val="single" w:color="000000" w:sz="4" w:space="0"/>
              <w:bottom w:val="single" w:color="000000" w:sz="4" w:space="0"/>
              <w:right w:val="single" w:color="000000" w:sz="4" w:space="0"/>
            </w:tcBorders>
            <w:noWrap/>
            <w:vAlign w:val="center"/>
          </w:tcPr>
          <w:p w14:paraId="5F8822C3">
            <w:pPr>
              <w:pageBreakBefore w:val="0"/>
              <w:widowControl w:val="0"/>
              <w:kinsoku/>
              <w:overflowPunct/>
              <w:topLinePunct w:val="0"/>
              <w:bidi w:val="0"/>
              <w:adjustRightInd w:val="0"/>
              <w:snapToGrid w:val="0"/>
              <w:spacing w:line="240" w:lineRule="auto"/>
              <w:jc w:val="center"/>
              <w:rPr>
                <w:rFonts w:hint="eastAsia" w:ascii="仿宋" w:eastAsia="仿宋" w:cs="仿宋"/>
                <w:sz w:val="24"/>
                <w:lang w:val="en-US" w:eastAsia="zh-CN" w:bidi="ar-SA"/>
              </w:rPr>
            </w:pPr>
            <w:r>
              <w:rPr>
                <w:rFonts w:hint="eastAsia" w:ascii="仿宋" w:eastAsia="仿宋" w:cs="仿宋"/>
                <w:sz w:val="24"/>
                <w:lang w:val="en-US" w:eastAsia="zh-CN" w:bidi="ar-SA"/>
              </w:rPr>
              <w:t>0</w:t>
            </w:r>
          </w:p>
        </w:tc>
      </w:tr>
      <w:tr w14:paraId="39A54D50">
        <w:trPr>
          <w:trHeight w:val="1091" w:hRule="atLeast"/>
          <w:jc w:val="center"/>
        </w:trPr>
        <w:tc>
          <w:tcPr>
            <w:tcW w:w="1334" w:type="dxa"/>
            <w:tcBorders>
              <w:top w:val="single" w:color="000000" w:sz="4" w:space="0"/>
              <w:left w:val="single" w:color="000000" w:sz="4" w:space="0"/>
              <w:bottom w:val="single" w:color="000000" w:sz="4" w:space="0"/>
              <w:right w:val="single" w:color="000000" w:sz="4" w:space="0"/>
            </w:tcBorders>
            <w:noWrap/>
            <w:vAlign w:val="center"/>
          </w:tcPr>
          <w:p w14:paraId="06F076D2">
            <w:pPr>
              <w:pageBreakBefore w:val="0"/>
              <w:widowControl w:val="0"/>
              <w:kinsoku/>
              <w:overflowPunct/>
              <w:topLinePunct w:val="0"/>
              <w:bidi w:val="0"/>
              <w:adjustRightInd w:val="0"/>
              <w:snapToGrid w:val="0"/>
              <w:spacing w:line="240" w:lineRule="auto"/>
              <w:ind w:left="0"/>
              <w:jc w:val="center"/>
              <w:rPr>
                <w:rFonts w:hint="eastAsia" w:ascii="仿宋" w:eastAsia="仿宋" w:cs="仿宋_GB2312"/>
                <w:sz w:val="24"/>
                <w:lang w:bidi="ar-SA"/>
              </w:rPr>
            </w:pPr>
            <w:r>
              <w:rPr>
                <w:rFonts w:hint="eastAsia" w:ascii="仿宋" w:eastAsia="仿宋" w:cs="仿宋_GB2312"/>
                <w:sz w:val="24"/>
                <w:lang w:bidi="ar-SA"/>
              </w:rPr>
              <w:t>先修课程</w:t>
            </w:r>
          </w:p>
          <w:p w14:paraId="1E8F1DB0">
            <w:pPr>
              <w:pageBreakBefore w:val="0"/>
              <w:widowControl w:val="0"/>
              <w:kinsoku/>
              <w:overflowPunct/>
              <w:topLinePunct w:val="0"/>
              <w:bidi w:val="0"/>
              <w:adjustRightInd w:val="0"/>
              <w:snapToGrid w:val="0"/>
              <w:spacing w:line="240" w:lineRule="auto"/>
              <w:ind w:left="0"/>
              <w:jc w:val="center"/>
              <w:rPr>
                <w:rFonts w:hint="eastAsia" w:ascii="仿宋" w:eastAsia="仿宋" w:cs="仿宋_GB2312"/>
                <w:sz w:val="24"/>
                <w:lang w:bidi="ar-SA"/>
              </w:rPr>
            </w:pPr>
            <w:r>
              <w:rPr>
                <w:rFonts w:hint="eastAsia" w:ascii="仿宋" w:eastAsia="仿宋" w:cs="仿宋_GB2312"/>
                <w:sz w:val="24"/>
                <w:lang w:bidi="ar-SA"/>
              </w:rPr>
              <w:t>后续课程</w:t>
            </w:r>
          </w:p>
        </w:tc>
        <w:tc>
          <w:tcPr>
            <w:tcW w:w="7814" w:type="dxa"/>
            <w:gridSpan w:val="14"/>
            <w:tcBorders>
              <w:top w:val="single" w:color="000000" w:sz="4" w:space="0"/>
              <w:left w:val="single" w:color="000000" w:sz="4" w:space="0"/>
              <w:bottom w:val="single" w:color="000000" w:sz="4" w:space="0"/>
              <w:right w:val="single" w:color="000000" w:sz="4" w:space="0"/>
            </w:tcBorders>
            <w:noWrap/>
            <w:vAlign w:val="center"/>
          </w:tcPr>
          <w:p w14:paraId="31545810">
            <w:pPr>
              <w:pageBreakBefore w:val="0"/>
              <w:widowControl w:val="0"/>
              <w:kinsoku/>
              <w:overflowPunct/>
              <w:topLinePunct w:val="0"/>
              <w:bidi w:val="0"/>
              <w:adjustRightInd w:val="0"/>
              <w:snapToGrid w:val="0"/>
              <w:spacing w:line="240" w:lineRule="auto"/>
              <w:ind w:left="0"/>
              <w:rPr>
                <w:rFonts w:ascii="仿宋" w:eastAsia="仿宋" w:cs="仿宋_GB2312"/>
                <w:sz w:val="24"/>
                <w:lang w:bidi="ar-SA"/>
              </w:rPr>
            </w:pPr>
            <w:r>
              <w:rPr>
                <w:rFonts w:hint="eastAsia" w:ascii="仿宋" w:eastAsia="仿宋" w:cs="仿宋_GB2312"/>
                <w:sz w:val="24"/>
                <w:lang w:val="en-US" w:bidi="ar-SA"/>
              </w:rPr>
              <w:t>先修课程</w:t>
            </w:r>
            <w:r>
              <w:rPr>
                <w:rFonts w:ascii="仿宋" w:eastAsia="仿宋" w:cs="仿宋_GB2312"/>
                <w:sz w:val="24"/>
                <w:lang w:bidi="ar-SA"/>
              </w:rPr>
              <w:t>：《</w:t>
            </w:r>
            <w:r>
              <w:rPr>
                <w:rFonts w:hint="eastAsia" w:ascii="仿宋" w:eastAsia="仿宋" w:cs="仿宋_GB2312"/>
                <w:sz w:val="24"/>
                <w:lang w:val="en-US" w:bidi="ar-SA"/>
              </w:rPr>
              <w:t>基本乐理</w:t>
            </w:r>
            <w:r>
              <w:rPr>
                <w:rFonts w:ascii="仿宋" w:eastAsia="仿宋" w:cs="仿宋_GB2312"/>
                <w:sz w:val="24"/>
                <w:lang w:bidi="ar-SA"/>
              </w:rPr>
              <w:t>》 《</w:t>
            </w:r>
            <w:r>
              <w:rPr>
                <w:rFonts w:hint="eastAsia" w:ascii="仿宋" w:eastAsia="仿宋" w:cs="仿宋_GB2312"/>
                <w:sz w:val="24"/>
                <w:lang w:val="en-US" w:bidi="ar-SA"/>
              </w:rPr>
              <w:t>和声</w:t>
            </w:r>
            <w:r>
              <w:rPr>
                <w:rFonts w:ascii="仿宋" w:eastAsia="仿宋" w:cs="仿宋_GB2312"/>
                <w:sz w:val="24"/>
                <w:lang w:bidi="ar-SA"/>
              </w:rPr>
              <w:t>》</w:t>
            </w:r>
          </w:p>
          <w:p w14:paraId="6DAED5D8">
            <w:pPr>
              <w:pageBreakBefore w:val="0"/>
              <w:widowControl w:val="0"/>
              <w:kinsoku/>
              <w:overflowPunct/>
              <w:topLinePunct w:val="0"/>
              <w:bidi w:val="0"/>
              <w:adjustRightInd w:val="0"/>
              <w:snapToGrid w:val="0"/>
              <w:spacing w:line="240" w:lineRule="auto"/>
              <w:ind w:left="0"/>
              <w:rPr>
                <w:rFonts w:ascii="仿宋" w:eastAsia="仿宋" w:cs="仿宋_GB2312"/>
                <w:sz w:val="24"/>
                <w:lang w:bidi="ar-SA"/>
              </w:rPr>
            </w:pPr>
            <w:r>
              <w:rPr>
                <w:rFonts w:hint="eastAsia" w:ascii="仿宋" w:eastAsia="仿宋" w:cs="仿宋_GB2312"/>
                <w:sz w:val="24"/>
                <w:lang w:val="en-US" w:bidi="ar-SA"/>
              </w:rPr>
              <w:t>后续课程</w:t>
            </w:r>
            <w:r>
              <w:rPr>
                <w:rFonts w:ascii="仿宋" w:eastAsia="仿宋" w:cs="仿宋_GB2312"/>
                <w:sz w:val="24"/>
                <w:lang w:bidi="ar-SA"/>
              </w:rPr>
              <w:t>：《</w:t>
            </w:r>
            <w:r>
              <w:rPr>
                <w:rFonts w:hint="eastAsia" w:ascii="仿宋" w:eastAsia="仿宋" w:cs="仿宋_GB2312"/>
                <w:sz w:val="24"/>
                <w:lang w:val="en-US" w:bidi="ar-SA"/>
              </w:rPr>
              <w:t>复调</w:t>
            </w:r>
            <w:r>
              <w:rPr>
                <w:rFonts w:ascii="仿宋" w:eastAsia="仿宋" w:cs="仿宋_GB2312"/>
                <w:sz w:val="24"/>
                <w:lang w:bidi="ar-SA"/>
              </w:rPr>
              <w:t>》 《</w:t>
            </w:r>
            <w:r>
              <w:rPr>
                <w:rFonts w:hint="eastAsia" w:ascii="仿宋" w:eastAsia="仿宋" w:cs="仿宋_GB2312"/>
                <w:sz w:val="24"/>
                <w:lang w:val="en-US" w:bidi="ar-SA"/>
              </w:rPr>
              <w:t>音乐分析</w:t>
            </w:r>
            <w:r>
              <w:rPr>
                <w:rFonts w:ascii="仿宋" w:eastAsia="仿宋" w:cs="仿宋_GB2312"/>
                <w:sz w:val="24"/>
                <w:lang w:bidi="ar-SA"/>
              </w:rPr>
              <w:t>》 《</w:t>
            </w:r>
            <w:r>
              <w:rPr>
                <w:rFonts w:hint="eastAsia" w:ascii="仿宋" w:eastAsia="仿宋" w:cs="仿宋_GB2312"/>
                <w:sz w:val="24"/>
                <w:lang w:val="en-US" w:bidi="ar-SA"/>
              </w:rPr>
              <w:t>配器</w:t>
            </w:r>
            <w:r>
              <w:rPr>
                <w:rFonts w:ascii="仿宋" w:eastAsia="仿宋" w:cs="仿宋_GB2312"/>
                <w:sz w:val="24"/>
                <w:lang w:bidi="ar-SA"/>
              </w:rPr>
              <w:t>》</w:t>
            </w:r>
          </w:p>
        </w:tc>
      </w:tr>
      <w:tr w14:paraId="1A909EC3">
        <w:trPr>
          <w:trHeight w:val="707" w:hRule="atLeast"/>
          <w:jc w:val="center"/>
        </w:trPr>
        <w:tc>
          <w:tcPr>
            <w:tcW w:w="1334" w:type="dxa"/>
            <w:tcBorders>
              <w:top w:val="single" w:color="000000" w:sz="4" w:space="0"/>
              <w:left w:val="single" w:color="000000" w:sz="4" w:space="0"/>
              <w:bottom w:val="single" w:color="000000" w:sz="4" w:space="0"/>
              <w:right w:val="single" w:color="000000" w:sz="4" w:space="0"/>
            </w:tcBorders>
            <w:noWrap/>
            <w:vAlign w:val="center"/>
          </w:tcPr>
          <w:p w14:paraId="55935DB0">
            <w:pPr>
              <w:pageBreakBefore w:val="0"/>
              <w:widowControl w:val="0"/>
              <w:kinsoku/>
              <w:overflowPunct/>
              <w:topLinePunct w:val="0"/>
              <w:bidi w:val="0"/>
              <w:adjustRightInd w:val="0"/>
              <w:snapToGrid w:val="0"/>
              <w:spacing w:line="240" w:lineRule="auto"/>
              <w:ind w:left="0"/>
              <w:jc w:val="center"/>
              <w:rPr>
                <w:rFonts w:hint="eastAsia" w:ascii="仿宋" w:eastAsia="仿宋" w:cs="仿宋_GB2312"/>
                <w:sz w:val="24"/>
                <w:lang w:bidi="ar-SA"/>
              </w:rPr>
            </w:pPr>
            <w:r>
              <w:rPr>
                <w:rFonts w:hint="eastAsia" w:ascii="仿宋" w:eastAsia="仿宋" w:cs="仿宋_GB2312"/>
                <w:sz w:val="24"/>
                <w:lang w:bidi="ar-SA"/>
              </w:rPr>
              <w:t>适用专业</w:t>
            </w:r>
          </w:p>
        </w:tc>
        <w:tc>
          <w:tcPr>
            <w:tcW w:w="7814" w:type="dxa"/>
            <w:gridSpan w:val="14"/>
            <w:tcBorders>
              <w:top w:val="single" w:color="000000" w:sz="4" w:space="0"/>
              <w:left w:val="single" w:color="000000" w:sz="4" w:space="0"/>
              <w:bottom w:val="single" w:color="000000" w:sz="4" w:space="0"/>
              <w:right w:val="single" w:color="000000" w:sz="4" w:space="0"/>
            </w:tcBorders>
            <w:noWrap/>
            <w:vAlign w:val="center"/>
          </w:tcPr>
          <w:p w14:paraId="646F9654">
            <w:pPr>
              <w:pageBreakBefore w:val="0"/>
              <w:widowControl w:val="0"/>
              <w:kinsoku/>
              <w:overflowPunct/>
              <w:topLinePunct w:val="0"/>
              <w:bidi w:val="0"/>
              <w:adjustRightInd w:val="0"/>
              <w:snapToGrid w:val="0"/>
              <w:spacing w:line="240" w:lineRule="auto"/>
              <w:ind w:left="0"/>
              <w:jc w:val="center"/>
              <w:rPr>
                <w:rFonts w:hint="eastAsia" w:ascii="仿宋" w:eastAsia="仿宋" w:cs="仿宋_GB2312"/>
                <w:sz w:val="24"/>
                <w:lang w:bidi="ar-SA"/>
              </w:rPr>
            </w:pPr>
            <w:r>
              <w:rPr>
                <w:rFonts w:hint="eastAsia" w:ascii="仿宋" w:eastAsia="仿宋" w:cs="仿宋_GB2312"/>
                <w:sz w:val="24"/>
                <w:lang w:bidi="ar-SA"/>
              </w:rPr>
              <w:t>音乐学</w:t>
            </w:r>
          </w:p>
        </w:tc>
      </w:tr>
      <w:tr w14:paraId="216625FD">
        <w:trPr>
          <w:trHeight w:val="885" w:hRule="atLeast"/>
          <w:jc w:val="center"/>
        </w:trPr>
        <w:tc>
          <w:tcPr>
            <w:tcW w:w="1334" w:type="dxa"/>
            <w:tcBorders>
              <w:top w:val="single" w:color="000000" w:sz="4" w:space="0"/>
              <w:left w:val="single" w:color="000000" w:sz="4" w:space="0"/>
              <w:bottom w:val="single" w:color="000000" w:sz="4" w:space="0"/>
              <w:right w:val="single" w:color="000000" w:sz="4" w:space="0"/>
            </w:tcBorders>
            <w:noWrap/>
            <w:vAlign w:val="center"/>
          </w:tcPr>
          <w:p w14:paraId="49FAA6D6">
            <w:pPr>
              <w:pageBreakBefore w:val="0"/>
              <w:widowControl w:val="0"/>
              <w:kinsoku/>
              <w:overflowPunct/>
              <w:topLinePunct w:val="0"/>
              <w:bidi w:val="0"/>
              <w:adjustRightInd w:val="0"/>
              <w:snapToGrid w:val="0"/>
              <w:spacing w:line="240" w:lineRule="auto"/>
              <w:ind w:left="0"/>
              <w:jc w:val="center"/>
              <w:rPr>
                <w:rFonts w:hint="eastAsia" w:ascii="仿宋" w:eastAsia="仿宋" w:cs="仿宋_GB2312"/>
                <w:sz w:val="24"/>
                <w:lang w:bidi="ar-SA"/>
              </w:rPr>
            </w:pPr>
            <w:r>
              <w:rPr>
                <w:rFonts w:hint="eastAsia" w:ascii="仿宋" w:eastAsia="仿宋" w:cs="仿宋_GB2312"/>
                <w:sz w:val="24"/>
                <w:lang w:bidi="ar-SA"/>
              </w:rPr>
              <w:t>A</w:t>
            </w:r>
          </w:p>
          <w:p w14:paraId="4A8C5AEA">
            <w:pPr>
              <w:pageBreakBefore w:val="0"/>
              <w:widowControl w:val="0"/>
              <w:kinsoku/>
              <w:overflowPunct/>
              <w:topLinePunct w:val="0"/>
              <w:bidi w:val="0"/>
              <w:adjustRightInd w:val="0"/>
              <w:snapToGrid w:val="0"/>
              <w:spacing w:line="240" w:lineRule="auto"/>
              <w:ind w:left="0"/>
              <w:jc w:val="center"/>
              <w:rPr>
                <w:rFonts w:hint="eastAsia" w:ascii="仿宋" w:eastAsia="仿宋" w:cs="仿宋_GB2312"/>
                <w:sz w:val="24"/>
                <w:lang w:bidi="ar-SA"/>
              </w:rPr>
            </w:pPr>
            <w:r>
              <w:rPr>
                <w:rFonts w:hint="eastAsia" w:ascii="仿宋" w:eastAsia="仿宋" w:cs="仿宋_GB2312"/>
                <w:sz w:val="24"/>
                <w:lang w:bidi="ar-SA"/>
              </w:rPr>
              <w:t>参考教材</w:t>
            </w:r>
          </w:p>
        </w:tc>
        <w:tc>
          <w:tcPr>
            <w:tcW w:w="7814" w:type="dxa"/>
            <w:gridSpan w:val="14"/>
            <w:tcBorders>
              <w:top w:val="single" w:color="000000" w:sz="4" w:space="0"/>
              <w:left w:val="single" w:color="000000" w:sz="4" w:space="0"/>
              <w:bottom w:val="single" w:color="000000" w:sz="4" w:space="0"/>
              <w:right w:val="single" w:color="000000" w:sz="4" w:space="0"/>
            </w:tcBorders>
            <w:noWrap/>
            <w:vAlign w:val="center"/>
          </w:tcPr>
          <w:p w14:paraId="4639863A">
            <w:pPr>
              <w:pageBreakBefore w:val="0"/>
              <w:widowControl w:val="0"/>
              <w:kinsoku/>
              <w:overflowPunct/>
              <w:topLinePunct w:val="0"/>
              <w:bidi w:val="0"/>
              <w:adjustRightInd w:val="0"/>
              <w:snapToGrid w:val="0"/>
              <w:spacing w:line="240" w:lineRule="auto"/>
              <w:ind w:left="0"/>
              <w:rPr>
                <w:rFonts w:hint="eastAsia" w:ascii="仿宋" w:eastAsia="仿宋" w:cs="仿宋_GB2312"/>
                <w:sz w:val="24"/>
                <w:lang w:val="en-US" w:bidi="ar-SA"/>
              </w:rPr>
            </w:pPr>
            <w:r>
              <w:rPr>
                <w:rFonts w:hint="eastAsia" w:ascii="仿宋" w:eastAsia="仿宋" w:cs="仿宋_GB2312"/>
                <w:sz w:val="24"/>
                <w:lang w:bidi="ar-SA"/>
              </w:rPr>
              <w:t>高为杰，陈丹布，《曲式分析基础教程》高等教育出版社</w:t>
            </w:r>
            <w:r>
              <w:rPr>
                <w:rFonts w:ascii="仿宋" w:eastAsia="仿宋" w:cs="仿宋_GB2312"/>
                <w:sz w:val="24"/>
                <w:lang w:bidi="ar-SA"/>
              </w:rPr>
              <w:t>，2021</w:t>
            </w:r>
            <w:r>
              <w:rPr>
                <w:rFonts w:hint="eastAsia" w:ascii="仿宋" w:eastAsia="仿宋" w:cs="仿宋_GB2312"/>
                <w:sz w:val="24"/>
                <w:lang w:val="en-US" w:bidi="ar-SA"/>
              </w:rPr>
              <w:t>年</w:t>
            </w:r>
          </w:p>
        </w:tc>
      </w:tr>
      <w:tr w14:paraId="1AE33DAA">
        <w:trPr>
          <w:trHeight w:val="1511" w:hRule="atLeast"/>
          <w:jc w:val="center"/>
        </w:trPr>
        <w:tc>
          <w:tcPr>
            <w:tcW w:w="1334" w:type="dxa"/>
            <w:tcBorders>
              <w:top w:val="single" w:color="000000" w:sz="4" w:space="0"/>
              <w:left w:val="single" w:color="000000" w:sz="4" w:space="0"/>
              <w:bottom w:val="single" w:color="000000" w:sz="4" w:space="0"/>
              <w:right w:val="single" w:color="000000" w:sz="4" w:space="0"/>
            </w:tcBorders>
            <w:noWrap/>
            <w:vAlign w:val="center"/>
          </w:tcPr>
          <w:p w14:paraId="0F1B3545">
            <w:pPr>
              <w:pageBreakBefore w:val="0"/>
              <w:widowControl w:val="0"/>
              <w:kinsoku/>
              <w:overflowPunct/>
              <w:topLinePunct w:val="0"/>
              <w:bidi w:val="0"/>
              <w:adjustRightInd w:val="0"/>
              <w:snapToGrid w:val="0"/>
              <w:spacing w:line="240" w:lineRule="auto"/>
              <w:ind w:left="0"/>
              <w:jc w:val="center"/>
              <w:rPr>
                <w:rFonts w:hint="eastAsia" w:ascii="仿宋" w:eastAsia="仿宋" w:cs="仿宋_GB2312"/>
                <w:sz w:val="24"/>
                <w:lang w:bidi="ar-SA"/>
              </w:rPr>
            </w:pPr>
            <w:r>
              <w:rPr>
                <w:rFonts w:hint="eastAsia" w:ascii="仿宋" w:eastAsia="仿宋" w:cs="仿宋_GB2312"/>
                <w:sz w:val="24"/>
                <w:lang w:bidi="ar-SA"/>
              </w:rPr>
              <w:t>B</w:t>
            </w:r>
          </w:p>
          <w:p w14:paraId="7762543B">
            <w:pPr>
              <w:pageBreakBefore w:val="0"/>
              <w:widowControl w:val="0"/>
              <w:kinsoku/>
              <w:overflowPunct/>
              <w:topLinePunct w:val="0"/>
              <w:bidi w:val="0"/>
              <w:adjustRightInd w:val="0"/>
              <w:snapToGrid w:val="0"/>
              <w:spacing w:line="240" w:lineRule="auto"/>
              <w:ind w:left="0"/>
              <w:jc w:val="center"/>
              <w:rPr>
                <w:rFonts w:hint="eastAsia" w:ascii="仿宋" w:eastAsia="仿宋" w:cs="仿宋_GB2312"/>
                <w:sz w:val="24"/>
                <w:lang w:bidi="ar-SA"/>
              </w:rPr>
            </w:pPr>
            <w:r>
              <w:rPr>
                <w:rFonts w:hint="eastAsia" w:ascii="仿宋" w:eastAsia="仿宋" w:cs="仿宋_GB2312"/>
                <w:sz w:val="24"/>
                <w:lang w:bidi="ar-SA"/>
              </w:rPr>
              <w:t>主要参考书籍</w:t>
            </w:r>
          </w:p>
        </w:tc>
        <w:tc>
          <w:tcPr>
            <w:tcW w:w="7814" w:type="dxa"/>
            <w:gridSpan w:val="14"/>
            <w:tcBorders>
              <w:top w:val="single" w:color="000000" w:sz="4" w:space="0"/>
              <w:left w:val="single" w:color="000000" w:sz="4" w:space="0"/>
              <w:bottom w:val="single" w:color="000000" w:sz="4" w:space="0"/>
              <w:right w:val="single" w:color="000000" w:sz="4" w:space="0"/>
            </w:tcBorders>
            <w:noWrap/>
            <w:vAlign w:val="center"/>
          </w:tcPr>
          <w:p w14:paraId="3608707C">
            <w:pPr>
              <w:pageBreakBefore w:val="0"/>
              <w:widowControl w:val="0"/>
              <w:kinsoku/>
              <w:overflowPunct/>
              <w:topLinePunct w:val="0"/>
              <w:bidi w:val="0"/>
              <w:adjustRightInd w:val="0"/>
              <w:snapToGrid w:val="0"/>
              <w:spacing w:line="240" w:lineRule="auto"/>
              <w:ind w:left="0"/>
              <w:rPr>
                <w:rFonts w:hint="eastAsia" w:ascii="仿宋" w:eastAsia="仿宋" w:cs="仿宋_GB2312"/>
                <w:sz w:val="24"/>
                <w:lang w:val="en-US" w:eastAsia="zh-CN" w:bidi="ar-SA"/>
              </w:rPr>
            </w:pPr>
            <w:r>
              <w:rPr>
                <w:rFonts w:hint="eastAsia" w:ascii="仿宋" w:eastAsia="仿宋" w:cs="仿宋_GB2312"/>
                <w:sz w:val="24"/>
                <w:lang w:bidi="ar-SA"/>
              </w:rPr>
              <w:t>[1]谢嘉幸</w:t>
            </w:r>
            <w:r>
              <w:rPr>
                <w:rFonts w:hint="eastAsia" w:ascii="仿宋" w:eastAsia="仿宋" w:cs="仿宋_GB2312"/>
                <w:sz w:val="24"/>
                <w:lang w:eastAsia="zh-CN" w:bidi="ar-SA"/>
              </w:rPr>
              <w:t>，</w:t>
            </w:r>
            <w:r>
              <w:rPr>
                <w:rFonts w:hint="eastAsia" w:ascii="仿宋" w:eastAsia="仿宋" w:cs="仿宋_GB2312"/>
                <w:sz w:val="24"/>
                <w:lang w:bidi="ar-SA"/>
              </w:rPr>
              <w:t>张烁，《音乐分析基础》高等教育出版社</w:t>
            </w:r>
            <w:r>
              <w:rPr>
                <w:rFonts w:ascii="仿宋" w:eastAsia="仿宋" w:cs="仿宋_GB2312"/>
                <w:sz w:val="24"/>
                <w:lang w:bidi="ar-SA"/>
              </w:rPr>
              <w:t>，</w:t>
            </w:r>
            <w:r>
              <w:rPr>
                <w:rFonts w:hint="eastAsia" w:ascii="仿宋" w:eastAsia="仿宋" w:cs="仿宋_GB2312"/>
                <w:sz w:val="24"/>
                <w:lang w:bidi="ar-SA"/>
              </w:rPr>
              <w:t>20</w:t>
            </w:r>
            <w:r>
              <w:rPr>
                <w:rFonts w:hint="eastAsia" w:ascii="仿宋" w:eastAsia="仿宋" w:cs="仿宋_GB2312"/>
                <w:sz w:val="24"/>
                <w:lang w:val="en-US" w:eastAsia="zh-CN" w:bidi="ar-SA"/>
              </w:rPr>
              <w:t>24</w:t>
            </w:r>
            <w:r>
              <w:rPr>
                <w:rFonts w:hint="eastAsia" w:ascii="仿宋" w:eastAsia="仿宋" w:cs="仿宋_GB2312"/>
                <w:sz w:val="24"/>
                <w:lang w:bidi="ar-SA"/>
              </w:rPr>
              <w:t>年</w:t>
            </w:r>
            <w:r>
              <w:rPr>
                <w:rFonts w:hint="eastAsia" w:ascii="仿宋" w:eastAsia="仿宋" w:cs="仿宋_GB2312"/>
                <w:sz w:val="24"/>
                <w:lang w:val="en-US" w:eastAsia="zh-CN" w:bidi="ar-SA"/>
              </w:rPr>
              <w:t>第2版</w:t>
            </w:r>
          </w:p>
          <w:p w14:paraId="5D213321">
            <w:pPr>
              <w:pageBreakBefore w:val="0"/>
              <w:widowControl w:val="0"/>
              <w:kinsoku/>
              <w:overflowPunct/>
              <w:topLinePunct w:val="0"/>
              <w:bidi w:val="0"/>
              <w:adjustRightInd w:val="0"/>
              <w:snapToGrid w:val="0"/>
              <w:spacing w:line="240" w:lineRule="auto"/>
              <w:ind w:left="0"/>
              <w:rPr>
                <w:rFonts w:hint="eastAsia" w:ascii="仿宋" w:eastAsia="仿宋" w:cs="仿宋_GB2312"/>
                <w:sz w:val="24"/>
                <w:lang w:val="en-US" w:eastAsia="zh-CN" w:bidi="ar-SA"/>
              </w:rPr>
            </w:pPr>
            <w:r>
              <w:rPr>
                <w:rFonts w:hint="eastAsia" w:ascii="仿宋" w:eastAsia="仿宋" w:cs="仿宋_GB2312"/>
                <w:sz w:val="24"/>
                <w:lang w:bidi="ar-SA"/>
              </w:rPr>
              <w:t>[2]吴祖强</w:t>
            </w:r>
            <w:r>
              <w:rPr>
                <w:rFonts w:hint="eastAsia" w:ascii="仿宋" w:eastAsia="仿宋" w:cs="仿宋_GB2312"/>
                <w:sz w:val="24"/>
                <w:lang w:val="en-US" w:eastAsia="zh-CN" w:bidi="ar-SA"/>
              </w:rPr>
              <w:t>,《曲式与作品分析》人民音乐出版社</w:t>
            </w:r>
            <w:r>
              <w:rPr>
                <w:rFonts w:ascii="仿宋" w:eastAsia="仿宋" w:cs="仿宋_GB2312"/>
                <w:sz w:val="24"/>
                <w:lang w:eastAsia="zh-CN" w:bidi="ar-SA"/>
              </w:rPr>
              <w:t>，</w:t>
            </w:r>
            <w:r>
              <w:rPr>
                <w:rFonts w:hint="eastAsia" w:ascii="仿宋" w:eastAsia="仿宋" w:cs="仿宋_GB2312"/>
                <w:sz w:val="24"/>
                <w:lang w:val="en-US" w:eastAsia="zh-CN" w:bidi="ar-SA"/>
              </w:rPr>
              <w:t>2003年</w:t>
            </w:r>
          </w:p>
          <w:p w14:paraId="248B424F">
            <w:pPr>
              <w:pageBreakBefore w:val="0"/>
              <w:widowControl w:val="0"/>
              <w:kinsoku/>
              <w:overflowPunct/>
              <w:topLinePunct w:val="0"/>
              <w:bidi w:val="0"/>
              <w:adjustRightInd w:val="0"/>
              <w:snapToGrid w:val="0"/>
              <w:spacing w:line="240" w:lineRule="auto"/>
              <w:ind w:left="0"/>
              <w:rPr>
                <w:rFonts w:hint="eastAsia" w:ascii="仿宋" w:eastAsia="仿宋" w:cs="仿宋_GB2312"/>
                <w:sz w:val="24"/>
                <w:lang w:bidi="ar-SA"/>
              </w:rPr>
            </w:pPr>
            <w:r>
              <w:rPr>
                <w:rFonts w:hint="eastAsia" w:ascii="仿宋" w:eastAsia="仿宋" w:cs="仿宋_GB2312"/>
                <w:sz w:val="24"/>
                <w:lang w:bidi="ar-SA"/>
              </w:rPr>
              <w:t>[3]</w:t>
            </w:r>
            <w:r>
              <w:rPr>
                <w:rFonts w:hint="eastAsia" w:ascii="仿宋" w:eastAsia="仿宋" w:cs="仿宋_GB2312"/>
                <w:sz w:val="24"/>
                <w:lang w:val="en-US" w:eastAsia="zh-CN" w:bidi="ar-SA"/>
              </w:rPr>
              <w:t>茅原，《曲式与作品分析》人民音乐出版社</w:t>
            </w:r>
            <w:r>
              <w:rPr>
                <w:rFonts w:ascii="仿宋" w:eastAsia="仿宋" w:cs="仿宋_GB2312"/>
                <w:sz w:val="24"/>
                <w:lang w:eastAsia="zh-CN" w:bidi="ar-SA"/>
              </w:rPr>
              <w:t>，</w:t>
            </w:r>
            <w:r>
              <w:rPr>
                <w:rFonts w:hint="eastAsia" w:ascii="仿宋" w:eastAsia="仿宋" w:cs="仿宋_GB2312"/>
                <w:sz w:val="24"/>
                <w:lang w:val="en-US" w:eastAsia="zh-CN" w:bidi="ar-SA"/>
              </w:rPr>
              <w:t>2007年</w:t>
            </w:r>
          </w:p>
        </w:tc>
      </w:tr>
      <w:tr w14:paraId="7AFE25F8">
        <w:trPr>
          <w:trHeight w:val="1479" w:hRule="atLeast"/>
          <w:jc w:val="center"/>
        </w:trPr>
        <w:tc>
          <w:tcPr>
            <w:tcW w:w="1334" w:type="dxa"/>
            <w:tcBorders>
              <w:top w:val="single" w:color="000000" w:sz="4" w:space="0"/>
              <w:left w:val="single" w:color="000000" w:sz="4" w:space="0"/>
              <w:bottom w:val="single" w:color="000000" w:sz="4" w:space="0"/>
              <w:right w:val="single" w:color="000000" w:sz="4" w:space="0"/>
            </w:tcBorders>
            <w:noWrap/>
            <w:vAlign w:val="center"/>
          </w:tcPr>
          <w:p w14:paraId="67ECA398">
            <w:pPr>
              <w:pageBreakBefore w:val="0"/>
              <w:widowControl w:val="0"/>
              <w:kinsoku/>
              <w:overflowPunct/>
              <w:topLinePunct w:val="0"/>
              <w:bidi w:val="0"/>
              <w:adjustRightInd w:val="0"/>
              <w:snapToGrid w:val="0"/>
              <w:spacing w:line="240" w:lineRule="auto"/>
              <w:ind w:left="0"/>
              <w:jc w:val="center"/>
              <w:rPr>
                <w:rFonts w:hint="eastAsia" w:ascii="仿宋" w:eastAsia="仿宋" w:cs="仿宋_GB2312"/>
                <w:sz w:val="24"/>
                <w:lang w:bidi="ar-SA"/>
              </w:rPr>
            </w:pPr>
            <w:r>
              <w:rPr>
                <w:rFonts w:hint="eastAsia" w:ascii="仿宋" w:eastAsia="仿宋" w:cs="仿宋_GB2312"/>
                <w:sz w:val="24"/>
                <w:lang w:bidi="ar-SA"/>
              </w:rPr>
              <w:t>C</w:t>
            </w:r>
          </w:p>
          <w:p w14:paraId="509C2EE1">
            <w:pPr>
              <w:pageBreakBefore w:val="0"/>
              <w:widowControl w:val="0"/>
              <w:kinsoku/>
              <w:overflowPunct/>
              <w:topLinePunct w:val="0"/>
              <w:bidi w:val="0"/>
              <w:adjustRightInd w:val="0"/>
              <w:snapToGrid w:val="0"/>
              <w:spacing w:line="240" w:lineRule="auto"/>
              <w:ind w:left="0"/>
              <w:jc w:val="center"/>
              <w:rPr>
                <w:rFonts w:hint="eastAsia" w:ascii="仿宋" w:eastAsia="仿宋" w:cs="仿宋_GB2312"/>
                <w:sz w:val="24"/>
                <w:lang w:bidi="ar-SA"/>
              </w:rPr>
            </w:pPr>
            <w:r>
              <w:rPr>
                <w:rFonts w:hint="eastAsia" w:ascii="仿宋" w:eastAsia="仿宋" w:cs="仿宋_GB2312"/>
                <w:sz w:val="24"/>
                <w:lang w:bidi="ar-SA"/>
              </w:rPr>
              <w:t>线上学习资源</w:t>
            </w:r>
          </w:p>
        </w:tc>
        <w:tc>
          <w:tcPr>
            <w:tcW w:w="7814" w:type="dxa"/>
            <w:gridSpan w:val="14"/>
            <w:tcBorders>
              <w:top w:val="single" w:color="000000" w:sz="4" w:space="0"/>
              <w:left w:val="single" w:color="000000" w:sz="4" w:space="0"/>
              <w:bottom w:val="single" w:color="000000" w:sz="4" w:space="0"/>
              <w:right w:val="single" w:color="000000" w:sz="4" w:space="0"/>
            </w:tcBorders>
            <w:noWrap/>
            <w:vAlign w:val="center"/>
          </w:tcPr>
          <w:p w14:paraId="585087CD">
            <w:pPr>
              <w:pageBreakBefore w:val="0"/>
              <w:widowControl w:val="0"/>
              <w:kinsoku/>
              <w:overflowPunct/>
              <w:topLinePunct w:val="0"/>
              <w:bidi w:val="0"/>
              <w:adjustRightInd w:val="0"/>
              <w:snapToGrid w:val="0"/>
              <w:spacing w:line="240" w:lineRule="auto"/>
              <w:ind w:left="0"/>
              <w:rPr>
                <w:rFonts w:hint="eastAsia" w:ascii="仿宋" w:eastAsia="仿宋" w:cs="仿宋_GB2312"/>
                <w:sz w:val="24"/>
                <w:lang w:eastAsia="zh-CN" w:bidi="ar-SA"/>
              </w:rPr>
            </w:pPr>
            <w:r>
              <w:rPr>
                <w:rFonts w:hint="eastAsia" w:ascii="仿宋" w:eastAsia="仿宋" w:cs="仿宋_GB2312"/>
                <w:sz w:val="24"/>
                <w:lang w:val="en-US" w:eastAsia="zh-CN" w:bidi="ar-SA"/>
              </w:rPr>
              <w:t>无</w:t>
            </w:r>
          </w:p>
        </w:tc>
      </w:tr>
      <w:tr w14:paraId="5453EA14">
        <w:trPr>
          <w:trHeight w:val="3043" w:hRule="atLeast"/>
          <w:jc w:val="center"/>
        </w:trPr>
        <w:tc>
          <w:tcPr>
            <w:tcW w:w="133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D9C048">
            <w:pPr>
              <w:pageBreakBefore w:val="0"/>
              <w:widowControl w:val="0"/>
              <w:kinsoku/>
              <w:overflowPunct/>
              <w:topLinePunct w:val="0"/>
              <w:bidi w:val="0"/>
              <w:adjustRightInd w:val="0"/>
              <w:snapToGrid w:val="0"/>
              <w:spacing w:line="240" w:lineRule="auto"/>
              <w:ind w:left="0"/>
              <w:jc w:val="center"/>
              <w:rPr>
                <w:rFonts w:hint="eastAsia" w:ascii="仿宋" w:eastAsia="仿宋" w:cs="仿宋_GB2312"/>
                <w:sz w:val="24"/>
                <w:lang w:bidi="ar-SA"/>
              </w:rPr>
            </w:pPr>
            <w:r>
              <w:rPr>
                <w:rFonts w:hint="eastAsia" w:ascii="仿宋" w:eastAsia="仿宋" w:cs="仿宋_GB2312"/>
                <w:sz w:val="24"/>
                <w:lang w:bidi="ar-SA"/>
              </w:rPr>
              <w:t>D</w:t>
            </w:r>
          </w:p>
          <w:p w14:paraId="0E7205A6">
            <w:pPr>
              <w:pageBreakBefore w:val="0"/>
              <w:widowControl w:val="0"/>
              <w:kinsoku/>
              <w:overflowPunct/>
              <w:topLinePunct w:val="0"/>
              <w:bidi w:val="0"/>
              <w:adjustRightInd w:val="0"/>
              <w:snapToGrid w:val="0"/>
              <w:spacing w:line="240" w:lineRule="auto"/>
              <w:ind w:left="0"/>
              <w:jc w:val="center"/>
              <w:rPr>
                <w:rFonts w:hint="eastAsia" w:ascii="仿宋" w:eastAsia="仿宋" w:cs="仿宋_GB2312"/>
                <w:sz w:val="24"/>
                <w:lang w:bidi="ar-SA"/>
              </w:rPr>
            </w:pPr>
            <w:r>
              <w:rPr>
                <w:rFonts w:hint="eastAsia" w:ascii="仿宋" w:eastAsia="仿宋" w:cs="仿宋_GB2312"/>
                <w:sz w:val="24"/>
                <w:lang w:bidi="ar-SA"/>
              </w:rPr>
              <w:t>课程描述</w:t>
            </w:r>
          </w:p>
          <w:p w14:paraId="0C9889E3">
            <w:pPr>
              <w:pageBreakBefore w:val="0"/>
              <w:widowControl w:val="0"/>
              <w:kinsoku/>
              <w:overflowPunct/>
              <w:topLinePunct w:val="0"/>
              <w:bidi w:val="0"/>
              <w:adjustRightInd w:val="0"/>
              <w:snapToGrid w:val="0"/>
              <w:spacing w:line="240" w:lineRule="auto"/>
              <w:ind w:left="0"/>
              <w:jc w:val="center"/>
              <w:rPr>
                <w:rFonts w:hint="eastAsia" w:ascii="仿宋" w:eastAsia="仿宋" w:cs="仿宋_GB2312"/>
                <w:sz w:val="24"/>
                <w:lang w:bidi="ar-SA"/>
              </w:rPr>
            </w:pPr>
            <w:r>
              <w:rPr>
                <w:rFonts w:hint="eastAsia" w:ascii="仿宋" w:eastAsia="仿宋" w:cs="仿宋_GB2312"/>
                <w:sz w:val="24"/>
                <w:lang w:eastAsia="zh-TW" w:bidi="ar-SA"/>
              </w:rPr>
              <w:t>(</w:t>
            </w:r>
            <w:r>
              <w:rPr>
                <w:rFonts w:hint="eastAsia" w:ascii="仿宋" w:eastAsia="仿宋" w:cs="仿宋_GB2312"/>
                <w:sz w:val="24"/>
                <w:lang w:bidi="ar-SA"/>
              </w:rPr>
              <w:t>含</w:t>
            </w:r>
            <w:r>
              <w:rPr>
                <w:rFonts w:hint="eastAsia" w:ascii="仿宋" w:eastAsia="仿宋" w:cs="仿宋_GB2312"/>
                <w:sz w:val="24"/>
                <w:lang w:eastAsia="zh-TW" w:bidi="ar-SA"/>
              </w:rPr>
              <w:t>性质、地位和任务)</w:t>
            </w:r>
          </w:p>
        </w:tc>
        <w:tc>
          <w:tcPr>
            <w:tcW w:w="7814" w:type="dxa"/>
            <w:gridSpan w:val="1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5E8215">
            <w:pPr>
              <w:pageBreakBefore w:val="0"/>
              <w:widowControl w:val="0"/>
              <w:kinsoku/>
              <w:overflowPunct/>
              <w:topLinePunct w:val="0"/>
              <w:bidi w:val="0"/>
              <w:adjustRightInd w:val="0"/>
              <w:snapToGrid w:val="0"/>
              <w:spacing w:line="240" w:lineRule="auto"/>
              <w:ind w:left="0"/>
              <w:rPr>
                <w:rFonts w:hint="eastAsia" w:ascii="仿宋" w:eastAsia="仿宋" w:cs="仿宋"/>
                <w:kern w:val="0"/>
                <w:sz w:val="24"/>
                <w:lang w:bidi="ar-SA"/>
              </w:rPr>
            </w:pPr>
            <w:r>
              <w:rPr>
                <w:rFonts w:hint="eastAsia" w:ascii="仿宋" w:eastAsia="仿宋" w:cs="仿宋"/>
                <w:sz w:val="24"/>
                <w:lang w:bidi="ar-SA"/>
              </w:rPr>
              <w:t>本课程是普通高等学校音乐学本科专业的专业必修课程，是实用作曲理论基础系列课程中的一部分，本课程为具备一定的乐理</w:t>
            </w:r>
            <w:r>
              <w:rPr>
                <w:rFonts w:ascii="仿宋" w:eastAsia="仿宋" w:cs="仿宋"/>
                <w:sz w:val="24"/>
                <w:lang w:bidi="ar-SA"/>
              </w:rPr>
              <w:t>、</w:t>
            </w:r>
            <w:r>
              <w:rPr>
                <w:rFonts w:hint="eastAsia" w:ascii="仿宋" w:eastAsia="仿宋" w:cs="仿宋"/>
                <w:sz w:val="24"/>
                <w:lang w:bidi="ar-SA"/>
              </w:rPr>
              <w:t>和声基本知识的学生提供对音乐作品进行曲式分析的基础知识和方法。</w:t>
            </w:r>
            <w:r>
              <w:rPr>
                <w:rFonts w:hint="eastAsia" w:ascii="仿宋" w:eastAsia="仿宋" w:cs="仿宋"/>
                <w:sz w:val="24"/>
                <w:lang w:val="en-US" w:eastAsia="zh-CN" w:bidi="ar-SA"/>
              </w:rPr>
              <w:t>是音乐创作技术理论“四大件”课程之一。其目的旨在使学生了解音乐作品基本的曲式结构，理解曲式在不同风格音乐作品中应用的基本形态，掌握并应用较系统的曲式知识，培养学生具备分析音乐作品结构的基本能力，</w:t>
            </w:r>
            <w:r>
              <w:rPr>
                <w:rFonts w:hint="eastAsia" w:ascii="仿宋" w:eastAsia="仿宋" w:cs="仿宋"/>
                <w:sz w:val="24"/>
                <w:lang w:bidi="ar-SA"/>
              </w:rPr>
              <w:t>对于学生在欣赏方面提供专业的理论知识。</w:t>
            </w:r>
          </w:p>
        </w:tc>
      </w:tr>
      <w:tr w14:paraId="768B1D72">
        <w:trPr>
          <w:trHeight w:val="4358" w:hRule="atLeast"/>
          <w:jc w:val="center"/>
        </w:trPr>
        <w:tc>
          <w:tcPr>
            <w:tcW w:w="1334"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9CC89D">
            <w:pPr>
              <w:pageBreakBefore w:val="0"/>
              <w:widowControl w:val="0"/>
              <w:kinsoku/>
              <w:overflowPunct/>
              <w:topLinePunct w:val="0"/>
              <w:bidi w:val="0"/>
              <w:spacing w:line="240" w:lineRule="auto"/>
              <w:jc w:val="center"/>
              <w:rPr>
                <w:rFonts w:hint="eastAsia" w:ascii="仿宋" w:eastAsia="仿宋" w:cs="仿宋"/>
                <w:kern w:val="2"/>
                <w:sz w:val="24"/>
                <w:szCs w:val="24"/>
                <w:lang w:bidi="ar-SA"/>
              </w:rPr>
            </w:pPr>
            <w:r>
              <w:rPr>
                <w:rFonts w:hint="eastAsia" w:ascii="仿宋" w:eastAsia="仿宋" w:cs="仿宋"/>
                <w:kern w:val="2"/>
                <w:sz w:val="24"/>
                <w:szCs w:val="24"/>
                <w:lang w:bidi="ar-SA"/>
              </w:rPr>
              <w:t>E</w:t>
            </w:r>
          </w:p>
          <w:p w14:paraId="0367893D">
            <w:pPr>
              <w:pageBreakBefore w:val="0"/>
              <w:widowControl w:val="0"/>
              <w:kinsoku/>
              <w:overflowPunct/>
              <w:topLinePunct w:val="0"/>
              <w:bidi w:val="0"/>
              <w:spacing w:line="240" w:lineRule="auto"/>
              <w:jc w:val="center"/>
              <w:rPr>
                <w:rFonts w:hint="eastAsia" w:ascii="仿宋" w:eastAsia="仿宋" w:cs="仿宋"/>
                <w:kern w:val="2"/>
                <w:sz w:val="24"/>
                <w:szCs w:val="24"/>
                <w:lang w:bidi="ar-SA"/>
              </w:rPr>
            </w:pPr>
            <w:r>
              <w:rPr>
                <w:rFonts w:hint="eastAsia" w:ascii="仿宋" w:eastAsia="仿宋" w:cs="仿宋"/>
                <w:kern w:val="2"/>
                <w:sz w:val="24"/>
                <w:szCs w:val="24"/>
                <w:lang w:bidi="ar-SA"/>
              </w:rPr>
              <w:t>课程学习目标及其与毕业要求的对应关系</w:t>
            </w:r>
          </w:p>
        </w:tc>
        <w:tc>
          <w:tcPr>
            <w:tcW w:w="7814" w:type="dxa"/>
            <w:gridSpan w:val="1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269ECE">
            <w:pPr>
              <w:pageBreakBefore w:val="0"/>
              <w:widowControl w:val="0"/>
              <w:kinsoku/>
              <w:overflowPunct/>
              <w:topLinePunct w:val="0"/>
              <w:bidi w:val="0"/>
              <w:adjustRightInd w:val="0"/>
              <w:snapToGrid w:val="0"/>
              <w:spacing w:line="240" w:lineRule="auto"/>
              <w:jc w:val="left"/>
              <w:rPr>
                <w:rFonts w:hint="eastAsia" w:ascii="仿宋" w:eastAsia="仿宋" w:cs="仿宋"/>
                <w:sz w:val="24"/>
                <w:lang w:eastAsia="zh-TW" w:bidi="ar-SA"/>
              </w:rPr>
            </w:pPr>
            <w:r>
              <w:rPr>
                <w:rFonts w:hint="eastAsia" w:ascii="仿宋" w:eastAsia="仿宋" w:cs="仿宋"/>
                <w:sz w:val="24"/>
                <w:lang w:bidi="ar-SA"/>
              </w:rPr>
              <w:t>通过本课程的学习，学生具备如下知识、能力及情感态度价值观：</w:t>
            </w:r>
          </w:p>
          <w:p w14:paraId="4BC0F458">
            <w:pPr>
              <w:pageBreakBefore w:val="0"/>
              <w:widowControl w:val="0"/>
              <w:kinsoku/>
              <w:overflowPunct/>
              <w:topLinePunct w:val="0"/>
              <w:bidi w:val="0"/>
              <w:adjustRightInd w:val="0"/>
              <w:snapToGrid w:val="0"/>
              <w:spacing w:line="240" w:lineRule="auto"/>
              <w:ind w:left="0"/>
              <w:rPr>
                <w:rFonts w:ascii="仿宋" w:eastAsia="仿宋" w:cs="仿宋"/>
                <w:color w:val="000000"/>
                <w:sz w:val="24"/>
                <w:lang w:bidi="ar-SA"/>
              </w:rPr>
            </w:pPr>
            <w:r>
              <w:rPr>
                <w:rFonts w:hint="eastAsia" w:ascii="仿宋" w:eastAsia="仿宋" w:cs="仿宋"/>
                <w:color w:val="000000"/>
                <w:sz w:val="24"/>
                <w:lang w:bidi="ar-SA"/>
              </w:rPr>
              <w:t>课程目标1：</w:t>
            </w:r>
            <w:r>
              <w:rPr>
                <w:rFonts w:hint="eastAsia" w:ascii="仿宋" w:eastAsia="仿宋" w:cs="仿宋_GB2312"/>
                <w:sz w:val="24"/>
                <w:lang w:bidi="ar-SA"/>
              </w:rPr>
              <w:t>热爱音乐教育事业，</w:t>
            </w:r>
            <w:r>
              <w:rPr>
                <w:rFonts w:hint="eastAsia" w:ascii="仿宋" w:eastAsia="仿宋" w:cs="仿宋_GB2312"/>
                <w:sz w:val="24"/>
                <w:lang w:val="en-US" w:bidi="ar-SA"/>
              </w:rPr>
              <w:t>领会该门课程对音乐教育的价值与意义</w:t>
            </w:r>
            <w:r>
              <w:rPr>
                <w:rFonts w:ascii="仿宋" w:eastAsia="仿宋" w:cs="仿宋_GB2312"/>
                <w:sz w:val="24"/>
                <w:lang w:bidi="ar-SA"/>
              </w:rPr>
              <w:t>。</w:t>
            </w:r>
            <w:r>
              <w:rPr>
                <w:rFonts w:hint="eastAsia" w:ascii="仿宋" w:eastAsia="仿宋" w:cs="仿宋"/>
                <w:sz w:val="24"/>
                <w:lang w:bidi="ar-SA"/>
              </w:rPr>
              <w:t>(支撑毕业要求2.1</w:t>
            </w:r>
            <w:r>
              <w:rPr>
                <w:rFonts w:ascii="仿宋" w:eastAsia="仿宋" w:cs="仿宋"/>
                <w:sz w:val="24"/>
                <w:lang w:bidi="ar-SA"/>
              </w:rPr>
              <w:t>）</w:t>
            </w:r>
          </w:p>
          <w:p w14:paraId="22A6036A">
            <w:pPr>
              <w:pageBreakBefore w:val="0"/>
              <w:widowControl w:val="0"/>
              <w:kinsoku/>
              <w:overflowPunct/>
              <w:topLinePunct w:val="0"/>
              <w:bidi w:val="0"/>
              <w:adjustRightInd w:val="0"/>
              <w:snapToGrid w:val="0"/>
              <w:spacing w:line="240" w:lineRule="auto"/>
              <w:ind w:left="0"/>
              <w:rPr>
                <w:rFonts w:hint="eastAsia" w:ascii="仿宋" w:eastAsia="仿宋" w:cs="仿宋"/>
                <w:color w:val="000000"/>
                <w:sz w:val="24"/>
                <w:lang w:bidi="ar-SA"/>
              </w:rPr>
            </w:pPr>
            <w:r>
              <w:rPr>
                <w:rFonts w:hint="eastAsia" w:ascii="仿宋" w:eastAsia="仿宋" w:cs="宋体"/>
                <w:color w:val="000000"/>
                <w:kern w:val="0"/>
                <w:sz w:val="24"/>
                <w:lang w:val="en-US" w:bidi="ar-SA"/>
              </w:rPr>
              <w:t>课程目标</w:t>
            </w:r>
            <w:r>
              <w:rPr>
                <w:rFonts w:ascii="仿宋" w:eastAsia="仿宋" w:cs="宋体"/>
                <w:color w:val="000000"/>
                <w:kern w:val="0"/>
                <w:sz w:val="24"/>
                <w:lang w:bidi="ar-SA"/>
              </w:rPr>
              <w:t>2</w:t>
            </w:r>
            <w:r>
              <w:rPr>
                <w:rFonts w:hint="eastAsia" w:ascii="仿宋" w:eastAsia="仿宋" w:cs="宋体"/>
                <w:color w:val="000000"/>
                <w:kern w:val="0"/>
                <w:sz w:val="24"/>
                <w:lang w:val="en-US" w:bidi="ar-SA"/>
              </w:rPr>
              <w:t>:</w:t>
            </w:r>
            <w:r>
              <w:rPr>
                <w:rFonts w:hint="eastAsia" w:ascii="仿宋" w:eastAsia="仿宋" w:cs="宋体"/>
                <w:color w:val="000000"/>
                <w:kern w:val="0"/>
                <w:sz w:val="24"/>
                <w:lang w:bidi="ar-SA"/>
              </w:rPr>
              <w:t>能够初步掌握</w:t>
            </w:r>
            <w:r>
              <w:rPr>
                <w:rFonts w:hint="eastAsia" w:ascii="仿宋" w:eastAsia="仿宋" w:cs="宋体"/>
                <w:color w:val="000000"/>
                <w:kern w:val="0"/>
                <w:sz w:val="24"/>
                <w:lang w:val="en-US" w:bidi="ar-SA"/>
              </w:rPr>
              <w:t>曲式分析基本</w:t>
            </w:r>
            <w:r>
              <w:rPr>
                <w:rFonts w:hint="eastAsia" w:ascii="仿宋" w:eastAsia="仿宋" w:cs="宋体"/>
                <w:color w:val="000000"/>
                <w:kern w:val="0"/>
                <w:sz w:val="24"/>
                <w:lang w:bidi="ar-SA"/>
              </w:rPr>
              <w:t>理论知识</w:t>
            </w:r>
            <w:r>
              <w:rPr>
                <w:rFonts w:ascii="仿宋" w:eastAsia="仿宋" w:cs="宋体"/>
                <w:color w:val="000000"/>
                <w:kern w:val="0"/>
                <w:sz w:val="24"/>
                <w:lang w:bidi="ar-SA"/>
              </w:rPr>
              <w:t>、</w:t>
            </w:r>
            <w:r>
              <w:rPr>
                <w:rFonts w:hint="eastAsia" w:ascii="仿宋" w:eastAsia="仿宋" w:cs="宋体"/>
                <w:color w:val="000000"/>
                <w:kern w:val="0"/>
                <w:sz w:val="24"/>
                <w:lang w:bidi="ar-SA"/>
              </w:rPr>
              <w:t>基本术语；能够系统掌握</w:t>
            </w:r>
            <w:r>
              <w:rPr>
                <w:rFonts w:hint="eastAsia" w:ascii="仿宋" w:eastAsia="仿宋" w:cs="宋体"/>
                <w:color w:val="000000"/>
                <w:kern w:val="0"/>
                <w:sz w:val="24"/>
                <w:lang w:val="en-US" w:bidi="ar-SA"/>
              </w:rPr>
              <w:t>曲式分析的</w:t>
            </w:r>
            <w:r>
              <w:rPr>
                <w:rFonts w:hint="eastAsia" w:ascii="仿宋" w:eastAsia="仿宋" w:cs="宋体"/>
                <w:color w:val="000000"/>
                <w:kern w:val="0"/>
                <w:sz w:val="24"/>
                <w:lang w:bidi="ar-SA"/>
              </w:rPr>
              <w:t>方法。</w:t>
            </w:r>
            <w:r>
              <w:rPr>
                <w:rFonts w:hint="eastAsia" w:ascii="仿宋" w:eastAsia="仿宋" w:cs="仿宋"/>
                <w:color w:val="000000"/>
                <w:sz w:val="24"/>
                <w:lang w:bidi="ar-SA"/>
              </w:rPr>
              <w:t>（支撑毕业要求3.1）</w:t>
            </w:r>
          </w:p>
          <w:p w14:paraId="0EB886C2">
            <w:pPr>
              <w:pageBreakBefore w:val="0"/>
              <w:widowControl w:val="0"/>
              <w:kinsoku/>
              <w:overflowPunct/>
              <w:topLinePunct w:val="0"/>
              <w:bidi w:val="0"/>
              <w:adjustRightInd w:val="0"/>
              <w:snapToGrid w:val="0"/>
              <w:spacing w:line="240" w:lineRule="auto"/>
              <w:ind w:left="0"/>
              <w:rPr>
                <w:rFonts w:ascii="仿宋" w:eastAsia="仿宋" w:cs="仿宋"/>
                <w:kern w:val="0"/>
                <w:sz w:val="24"/>
                <w:lang w:bidi="ar-SA"/>
              </w:rPr>
            </w:pPr>
            <w:r>
              <w:rPr>
                <w:rFonts w:hint="eastAsia" w:ascii="仿宋" w:eastAsia="仿宋" w:cs="仿宋"/>
                <w:color w:val="000000"/>
                <w:kern w:val="0"/>
                <w:sz w:val="24"/>
                <w:lang w:bidi="ar-SA"/>
              </w:rPr>
              <w:t>课程目标</w:t>
            </w:r>
            <w:r>
              <w:rPr>
                <w:rFonts w:ascii="仿宋" w:eastAsia="仿宋" w:cs="仿宋"/>
                <w:color w:val="000000"/>
                <w:kern w:val="0"/>
                <w:sz w:val="24"/>
                <w:lang w:bidi="ar-SA"/>
              </w:rPr>
              <w:t>3</w:t>
            </w:r>
            <w:r>
              <w:rPr>
                <w:rFonts w:hint="eastAsia" w:ascii="仿宋" w:eastAsia="仿宋" w:cs="仿宋"/>
                <w:color w:val="000000"/>
                <w:kern w:val="0"/>
                <w:sz w:val="24"/>
                <w:lang w:bidi="ar-SA"/>
              </w:rPr>
              <w:t>：</w:t>
            </w:r>
            <w:r>
              <w:rPr>
                <w:rFonts w:hint="eastAsia" w:ascii="仿宋" w:eastAsia="仿宋" w:cs="宋体"/>
                <w:color w:val="000000"/>
                <w:kern w:val="0"/>
                <w:sz w:val="24"/>
                <w:lang w:bidi="ar-SA"/>
              </w:rPr>
              <w:t>了解学科发展动态，熟悉曲式分析课堂教学的基本规律与方法，具备书写</w:t>
            </w:r>
            <w:r>
              <w:rPr>
                <w:rFonts w:hint="eastAsia" w:ascii="仿宋" w:eastAsia="仿宋" w:cs="宋体"/>
                <w:color w:val="000000"/>
                <w:kern w:val="0"/>
                <w:sz w:val="24"/>
                <w:lang w:val="en-US" w:bidi="ar-SA"/>
              </w:rPr>
              <w:t>与</w:t>
            </w:r>
            <w:r>
              <w:rPr>
                <w:rFonts w:hint="eastAsia" w:ascii="仿宋" w:eastAsia="仿宋" w:cs="宋体"/>
                <w:color w:val="000000"/>
                <w:kern w:val="0"/>
                <w:sz w:val="24"/>
                <w:lang w:bidi="ar-SA"/>
              </w:rPr>
              <w:t>曲式分析</w:t>
            </w:r>
            <w:r>
              <w:rPr>
                <w:rFonts w:hint="eastAsia" w:ascii="仿宋" w:eastAsia="仿宋" w:cs="宋体"/>
                <w:color w:val="000000"/>
                <w:kern w:val="0"/>
                <w:sz w:val="24"/>
                <w:lang w:val="en-US" w:bidi="ar-SA"/>
              </w:rPr>
              <w:t>的</w:t>
            </w:r>
            <w:r>
              <w:rPr>
                <w:rFonts w:hint="eastAsia" w:ascii="仿宋" w:eastAsia="仿宋" w:cs="宋体"/>
                <w:color w:val="000000"/>
                <w:kern w:val="0"/>
                <w:sz w:val="24"/>
                <w:lang w:bidi="ar-SA"/>
              </w:rPr>
              <w:t>基本能力。</w:t>
            </w:r>
            <w:r>
              <w:rPr>
                <w:rFonts w:hint="eastAsia" w:ascii="仿宋" w:eastAsia="仿宋" w:cs="仿宋"/>
                <w:kern w:val="0"/>
                <w:sz w:val="24"/>
                <w:lang w:bidi="ar-SA"/>
              </w:rPr>
              <w:t>（支撑毕业要求4.1</w:t>
            </w:r>
            <w:r>
              <w:rPr>
                <w:rFonts w:hint="eastAsia" w:ascii="仿宋" w:eastAsia="仿宋" w:cs="仿宋"/>
                <w:sz w:val="24"/>
                <w:lang w:bidi="ar-SA"/>
              </w:rPr>
              <w:t>）</w:t>
            </w:r>
          </w:p>
          <w:p w14:paraId="6EF88A92">
            <w:pPr>
              <w:pageBreakBefore w:val="0"/>
              <w:widowControl w:val="0"/>
              <w:kinsoku/>
              <w:overflowPunct/>
              <w:topLinePunct w:val="0"/>
              <w:bidi w:val="0"/>
              <w:adjustRightInd w:val="0"/>
              <w:snapToGrid w:val="0"/>
              <w:spacing w:line="240" w:lineRule="auto"/>
              <w:ind w:left="0"/>
              <w:rPr>
                <w:rFonts w:hint="eastAsia" w:ascii="仿宋" w:eastAsia="仿宋" w:cs="仿宋"/>
                <w:kern w:val="0"/>
                <w:sz w:val="24"/>
                <w:lang w:bidi="ar-SA"/>
              </w:rPr>
            </w:pPr>
            <w:r>
              <w:rPr>
                <w:rFonts w:hint="eastAsia" w:ascii="仿宋" w:eastAsia="仿宋" w:cs="仿宋"/>
                <w:kern w:val="0"/>
                <w:sz w:val="24"/>
                <w:lang w:bidi="ar-SA"/>
              </w:rPr>
              <w:t>课程目标</w:t>
            </w:r>
            <w:r>
              <w:rPr>
                <w:rFonts w:ascii="仿宋" w:eastAsia="仿宋" w:cs="仿宋"/>
                <w:kern w:val="0"/>
                <w:sz w:val="24"/>
                <w:lang w:bidi="ar-SA"/>
              </w:rPr>
              <w:t>4</w:t>
            </w:r>
            <w:r>
              <w:rPr>
                <w:rFonts w:hint="eastAsia" w:ascii="仿宋" w:eastAsia="仿宋" w:cs="仿宋"/>
                <w:kern w:val="0"/>
                <w:sz w:val="24"/>
                <w:lang w:bidi="ar-SA"/>
              </w:rPr>
              <w:t>：掌握教育教学反思的基本方法和策略，</w:t>
            </w:r>
            <w:r>
              <w:rPr>
                <w:rFonts w:hint="eastAsia" w:ascii="仿宋" w:eastAsia="仿宋" w:cs="宋体"/>
                <w:kern w:val="0"/>
                <w:sz w:val="24"/>
                <w:lang w:val="en-US" w:bidi="ar-SA"/>
              </w:rPr>
              <w:t>能够在理论学习和曲式分析中进行反思</w:t>
            </w:r>
            <w:r>
              <w:rPr>
                <w:rFonts w:ascii="仿宋" w:eastAsia="仿宋" w:cs="宋体"/>
                <w:kern w:val="0"/>
                <w:sz w:val="24"/>
                <w:lang w:bidi="ar-SA"/>
              </w:rPr>
              <w:t>。</w:t>
            </w:r>
            <w:r>
              <w:rPr>
                <w:rFonts w:hint="eastAsia" w:ascii="仿宋" w:eastAsia="仿宋" w:cs="仿宋"/>
                <w:kern w:val="0"/>
                <w:sz w:val="24"/>
                <w:lang w:bidi="ar-SA"/>
              </w:rPr>
              <w:t>（支撑毕业要求7.1）</w:t>
            </w:r>
          </w:p>
          <w:p w14:paraId="52FAC433">
            <w:pPr>
              <w:pageBreakBefore w:val="0"/>
              <w:widowControl w:val="0"/>
              <w:kinsoku/>
              <w:overflowPunct/>
              <w:topLinePunct w:val="0"/>
              <w:bidi w:val="0"/>
              <w:adjustRightInd w:val="0"/>
              <w:snapToGrid w:val="0"/>
              <w:spacing w:line="240" w:lineRule="auto"/>
              <w:ind w:left="0"/>
              <w:rPr>
                <w:rFonts w:hint="eastAsia" w:ascii="仿宋" w:eastAsia="仿宋" w:cs="仿宋"/>
                <w:sz w:val="24"/>
                <w:lang w:bidi="ar-SA"/>
              </w:rPr>
            </w:pPr>
            <w:r>
              <w:rPr>
                <w:rFonts w:hint="eastAsia" w:ascii="仿宋" w:eastAsia="仿宋" w:cs="仿宋"/>
                <w:kern w:val="0"/>
                <w:sz w:val="24"/>
                <w:lang w:bidi="ar-SA"/>
              </w:rPr>
              <w:t>课程目标5：</w:t>
            </w:r>
            <w:r>
              <w:rPr>
                <w:rFonts w:hint="eastAsia" w:ascii="仿宋" w:eastAsia="仿宋" w:cs="仿宋"/>
                <w:kern w:val="0"/>
                <w:sz w:val="24"/>
                <w:lang w:val="en-US" w:bidi="ar-SA"/>
              </w:rPr>
              <w:t>领会学习共同体的作用</w:t>
            </w:r>
            <w:r>
              <w:rPr>
                <w:rFonts w:ascii="仿宋" w:eastAsia="仿宋" w:cs="仿宋"/>
                <w:kern w:val="0"/>
                <w:sz w:val="24"/>
                <w:lang w:bidi="ar-SA"/>
              </w:rPr>
              <w:t>，</w:t>
            </w:r>
            <w:r>
              <w:rPr>
                <w:rFonts w:hint="eastAsia" w:ascii="仿宋" w:eastAsia="仿宋" w:cs="仿宋"/>
                <w:kern w:val="0"/>
                <w:sz w:val="24"/>
                <w:lang w:val="en-US" w:bidi="ar-SA"/>
              </w:rPr>
              <w:t>能够进行小组互助学习</w:t>
            </w:r>
            <w:r>
              <w:rPr>
                <w:rFonts w:ascii="仿宋" w:eastAsia="仿宋" w:cs="仿宋"/>
                <w:kern w:val="0"/>
                <w:sz w:val="24"/>
                <w:lang w:bidi="ar-SA"/>
              </w:rPr>
              <w:t>，</w:t>
            </w:r>
            <w:r>
              <w:rPr>
                <w:rFonts w:hint="eastAsia" w:ascii="仿宋" w:eastAsia="仿宋" w:cs="仿宋"/>
                <w:kern w:val="0"/>
                <w:sz w:val="24"/>
                <w:lang w:val="en-US" w:bidi="ar-SA"/>
              </w:rPr>
              <w:t>掌握沟通的方法并运用到该课程的学习中</w:t>
            </w:r>
            <w:r>
              <w:rPr>
                <w:rFonts w:hint="eastAsia" w:ascii="仿宋" w:eastAsia="仿宋" w:cs="仿宋"/>
                <w:sz w:val="24"/>
                <w:lang w:bidi="ar-SA"/>
              </w:rPr>
              <w:t>。（支撑毕业要求8.1）</w:t>
            </w:r>
          </w:p>
        </w:tc>
      </w:tr>
      <w:tr w14:paraId="5E558F30">
        <w:trPr>
          <w:trHeight w:val="691" w:hRule="atLeast"/>
          <w:jc w:val="center"/>
        </w:trPr>
        <w:tc>
          <w:tcPr>
            <w:tcW w:w="1334"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6D96D0"/>
        </w:tc>
        <w:tc>
          <w:tcPr>
            <w:tcW w:w="13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C46623">
            <w:pPr>
              <w:pageBreakBefore w:val="0"/>
              <w:widowControl w:val="0"/>
              <w:kinsoku/>
              <w:overflowPunct/>
              <w:topLinePunct w:val="0"/>
              <w:bidi w:val="0"/>
              <w:spacing w:line="240" w:lineRule="auto"/>
              <w:jc w:val="center"/>
              <w:rPr>
                <w:rFonts w:hint="eastAsia" w:ascii="仿宋" w:eastAsia="仿宋" w:cs="仿宋"/>
                <w:kern w:val="2"/>
                <w:sz w:val="24"/>
                <w:szCs w:val="24"/>
                <w:lang w:bidi="ar-SA"/>
              </w:rPr>
            </w:pPr>
            <w:r>
              <w:rPr>
                <w:rFonts w:hint="eastAsia" w:ascii="仿宋" w:eastAsia="仿宋" w:cs="仿宋"/>
                <w:kern w:val="2"/>
                <w:sz w:val="24"/>
                <w:szCs w:val="24"/>
                <w:lang w:bidi="ar-SA"/>
              </w:rPr>
              <w:t>课程目标</w:t>
            </w:r>
          </w:p>
        </w:tc>
        <w:tc>
          <w:tcPr>
            <w:tcW w:w="4959" w:type="dxa"/>
            <w:gridSpan w:val="9"/>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565F9A">
            <w:pPr>
              <w:pageBreakBefore w:val="0"/>
              <w:widowControl w:val="0"/>
              <w:kinsoku/>
              <w:overflowPunct/>
              <w:topLinePunct w:val="0"/>
              <w:bidi w:val="0"/>
              <w:spacing w:line="240" w:lineRule="auto"/>
              <w:jc w:val="center"/>
              <w:rPr>
                <w:rFonts w:hint="eastAsia" w:ascii="仿宋" w:eastAsia="仿宋" w:cs="仿宋"/>
                <w:kern w:val="2"/>
                <w:sz w:val="24"/>
                <w:szCs w:val="24"/>
                <w:lang w:bidi="ar-SA"/>
              </w:rPr>
            </w:pPr>
            <w:r>
              <w:rPr>
                <w:rFonts w:hint="eastAsia" w:ascii="仿宋" w:eastAsia="仿宋" w:cs="仿宋"/>
                <w:kern w:val="2"/>
                <w:sz w:val="24"/>
                <w:szCs w:val="24"/>
                <w:lang w:bidi="ar-SA"/>
              </w:rPr>
              <w:t>毕业要求分解指标点</w:t>
            </w:r>
          </w:p>
        </w:tc>
        <w:tc>
          <w:tcPr>
            <w:tcW w:w="1518" w:type="dxa"/>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A64C9D">
            <w:pPr>
              <w:pageBreakBefore w:val="0"/>
              <w:widowControl w:val="0"/>
              <w:kinsoku/>
              <w:overflowPunct/>
              <w:topLinePunct w:val="0"/>
              <w:bidi w:val="0"/>
              <w:spacing w:line="240" w:lineRule="auto"/>
              <w:jc w:val="center"/>
              <w:rPr>
                <w:rFonts w:hint="eastAsia" w:ascii="仿宋" w:eastAsia="仿宋" w:cs="仿宋"/>
                <w:kern w:val="2"/>
                <w:sz w:val="24"/>
                <w:szCs w:val="24"/>
                <w:lang w:bidi="ar-SA"/>
              </w:rPr>
            </w:pPr>
            <w:r>
              <w:rPr>
                <w:rFonts w:hint="eastAsia" w:ascii="仿宋" w:eastAsia="仿宋" w:cs="仿宋"/>
                <w:kern w:val="2"/>
                <w:sz w:val="24"/>
                <w:szCs w:val="24"/>
                <w:lang w:bidi="ar-SA"/>
              </w:rPr>
              <w:t>毕业要求</w:t>
            </w:r>
          </w:p>
        </w:tc>
      </w:tr>
      <w:tr w14:paraId="36B764CE">
        <w:trPr>
          <w:trHeight w:val="1504" w:hRule="atLeast"/>
          <w:jc w:val="center"/>
        </w:trPr>
        <w:tc>
          <w:tcPr>
            <w:tcW w:w="1334"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31801F"/>
        </w:tc>
        <w:tc>
          <w:tcPr>
            <w:tcW w:w="13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C9B981">
            <w:pPr>
              <w:pageBreakBefore w:val="0"/>
              <w:widowControl w:val="0"/>
              <w:kinsoku/>
              <w:overflowPunct/>
              <w:topLinePunct w:val="0"/>
              <w:bidi w:val="0"/>
              <w:adjustRightInd w:val="0"/>
              <w:snapToGrid w:val="0"/>
              <w:spacing w:line="240" w:lineRule="auto"/>
              <w:jc w:val="center"/>
              <w:rPr>
                <w:rFonts w:hint="eastAsia" w:ascii="仿宋" w:eastAsia="仿宋" w:cs="仿宋"/>
                <w:sz w:val="24"/>
                <w:lang w:bidi="ar-SA"/>
              </w:rPr>
            </w:pPr>
            <w:r>
              <w:rPr>
                <w:rFonts w:hint="eastAsia" w:ascii="仿宋" w:eastAsia="仿宋" w:cs="仿宋"/>
                <w:sz w:val="24"/>
                <w:lang w:bidi="ar-SA"/>
              </w:rPr>
              <w:t>课程目标1</w:t>
            </w:r>
          </w:p>
          <w:p w14:paraId="38CA7E19">
            <w:pPr>
              <w:pageBreakBefore w:val="0"/>
              <w:widowControl w:val="0"/>
              <w:kinsoku/>
              <w:overflowPunct/>
              <w:topLinePunct w:val="0"/>
              <w:bidi w:val="0"/>
              <w:adjustRightInd w:val="0"/>
              <w:snapToGrid w:val="0"/>
              <w:spacing w:line="240" w:lineRule="auto"/>
              <w:jc w:val="center"/>
              <w:rPr>
                <w:rFonts w:hint="eastAsia" w:ascii="仿宋" w:eastAsia="仿宋" w:cs="仿宋"/>
                <w:sz w:val="24"/>
                <w:lang w:bidi="ar-SA"/>
              </w:rPr>
            </w:pPr>
          </w:p>
        </w:tc>
        <w:tc>
          <w:tcPr>
            <w:tcW w:w="4959" w:type="dxa"/>
            <w:gridSpan w:val="9"/>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1F51E7">
            <w:pPr>
              <w:pageBreakBefore w:val="0"/>
              <w:widowControl w:val="0"/>
              <w:kinsoku/>
              <w:overflowPunct/>
              <w:topLinePunct w:val="0"/>
              <w:bidi w:val="0"/>
              <w:adjustRightInd w:val="0"/>
              <w:snapToGrid w:val="0"/>
              <w:spacing w:line="240" w:lineRule="auto"/>
              <w:ind w:left="0"/>
              <w:rPr>
                <w:rFonts w:hint="eastAsia" w:ascii="仿宋" w:eastAsia="仿宋" w:cs="仿宋"/>
                <w:kern w:val="0"/>
                <w:sz w:val="24"/>
                <w:lang w:bidi="ar-SA"/>
              </w:rPr>
            </w:pPr>
            <w:r>
              <w:rPr>
                <w:rFonts w:hint="eastAsia" w:ascii="仿宋" w:eastAsia="仿宋" w:cs="仿宋_GB2312"/>
                <w:sz w:val="24"/>
                <w:lang w:bidi="ar-SA"/>
              </w:rPr>
              <w:t>2.1【职业认同】热爱音乐教育事业，具有从教意愿。认同教师工作的价值和意义，理解教师是学生成长的引路人。了解中学教师的职业特征。领会中学教育对学生发展的价值和意义。</w:t>
            </w:r>
          </w:p>
        </w:tc>
        <w:tc>
          <w:tcPr>
            <w:tcW w:w="1518" w:type="dxa"/>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D19C20">
            <w:pPr>
              <w:pageBreakBefore w:val="0"/>
              <w:widowControl w:val="0"/>
              <w:kinsoku/>
              <w:overflowPunct/>
              <w:topLinePunct w:val="0"/>
              <w:bidi w:val="0"/>
              <w:adjustRightInd w:val="0"/>
              <w:snapToGrid w:val="0"/>
              <w:spacing w:line="240" w:lineRule="auto"/>
              <w:jc w:val="center"/>
              <w:rPr>
                <w:rFonts w:hint="eastAsia" w:ascii="仿宋" w:eastAsia="仿宋" w:cs="仿宋"/>
                <w:sz w:val="24"/>
                <w:lang w:bidi="ar-SA"/>
              </w:rPr>
            </w:pPr>
            <w:r>
              <w:rPr>
                <w:rFonts w:hint="eastAsia" w:ascii="仿宋" w:eastAsia="仿宋" w:cs="仿宋"/>
                <w:sz w:val="24"/>
                <w:lang w:val="en-US" w:bidi="ar-SA"/>
              </w:rPr>
              <w:t>职业认同</w:t>
            </w:r>
          </w:p>
          <w:p w14:paraId="5D0BACAE">
            <w:pPr>
              <w:pageBreakBefore w:val="0"/>
              <w:widowControl w:val="0"/>
              <w:kinsoku/>
              <w:overflowPunct/>
              <w:topLinePunct w:val="0"/>
              <w:bidi w:val="0"/>
              <w:adjustRightInd w:val="0"/>
              <w:snapToGrid w:val="0"/>
              <w:spacing w:line="240" w:lineRule="auto"/>
              <w:jc w:val="center"/>
              <w:rPr>
                <w:rFonts w:hint="eastAsia" w:ascii="仿宋" w:eastAsia="仿宋" w:cs="仿宋"/>
                <w:sz w:val="24"/>
                <w:lang w:bidi="ar-SA"/>
              </w:rPr>
            </w:pPr>
            <w:r>
              <w:rPr>
                <w:rFonts w:hint="eastAsia" w:ascii="仿宋" w:eastAsia="仿宋" w:cs="仿宋"/>
                <w:sz w:val="24"/>
                <w:lang w:bidi="ar-SA"/>
              </w:rPr>
              <w:t>（</w:t>
            </w:r>
            <w:r>
              <w:rPr>
                <w:rFonts w:hint="eastAsia" w:ascii="仿宋" w:eastAsia="仿宋" w:cs="仿宋"/>
                <w:sz w:val="24"/>
                <w:lang w:val="en-US" w:bidi="ar-SA"/>
              </w:rPr>
              <w:t>M</w:t>
            </w:r>
            <w:r>
              <w:rPr>
                <w:rFonts w:hint="eastAsia" w:ascii="仿宋" w:eastAsia="仿宋" w:cs="仿宋"/>
                <w:sz w:val="24"/>
                <w:lang w:bidi="ar-SA"/>
              </w:rPr>
              <w:t>）</w:t>
            </w:r>
          </w:p>
        </w:tc>
      </w:tr>
      <w:tr w14:paraId="2499A721">
        <w:trPr>
          <w:trHeight w:val="1535" w:hRule="atLeast"/>
          <w:jc w:val="center"/>
        </w:trPr>
        <w:tc>
          <w:tcPr>
            <w:tcW w:w="1334"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AE76AE"/>
        </w:tc>
        <w:tc>
          <w:tcPr>
            <w:tcW w:w="13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018181">
            <w:pPr>
              <w:pageBreakBefore w:val="0"/>
              <w:widowControl w:val="0"/>
              <w:kinsoku/>
              <w:overflowPunct/>
              <w:topLinePunct w:val="0"/>
              <w:bidi w:val="0"/>
              <w:adjustRightInd w:val="0"/>
              <w:snapToGrid w:val="0"/>
              <w:spacing w:line="240" w:lineRule="auto"/>
              <w:jc w:val="center"/>
              <w:rPr>
                <w:rFonts w:hint="eastAsia" w:ascii="仿宋" w:eastAsia="仿宋" w:cs="仿宋"/>
                <w:sz w:val="24"/>
                <w:lang w:bidi="ar-SA"/>
              </w:rPr>
            </w:pPr>
            <w:r>
              <w:rPr>
                <w:rFonts w:hint="eastAsia" w:ascii="仿宋" w:eastAsia="仿宋" w:cs="仿宋"/>
                <w:sz w:val="24"/>
                <w:lang w:bidi="ar-SA"/>
              </w:rPr>
              <w:t>课程目标2</w:t>
            </w:r>
          </w:p>
          <w:p w14:paraId="0CF6BB18">
            <w:pPr>
              <w:pageBreakBefore w:val="0"/>
              <w:widowControl w:val="0"/>
              <w:kinsoku/>
              <w:overflowPunct/>
              <w:topLinePunct w:val="0"/>
              <w:bidi w:val="0"/>
              <w:adjustRightInd w:val="0"/>
              <w:snapToGrid w:val="0"/>
              <w:spacing w:line="240" w:lineRule="auto"/>
              <w:jc w:val="center"/>
              <w:rPr>
                <w:rFonts w:hint="eastAsia" w:ascii="仿宋" w:eastAsia="仿宋" w:cs="仿宋"/>
                <w:sz w:val="24"/>
                <w:lang w:bidi="ar-SA"/>
              </w:rPr>
            </w:pPr>
          </w:p>
        </w:tc>
        <w:tc>
          <w:tcPr>
            <w:tcW w:w="4959" w:type="dxa"/>
            <w:gridSpan w:val="9"/>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84A14B">
            <w:pPr>
              <w:pageBreakBefore w:val="0"/>
              <w:widowControl w:val="0"/>
              <w:kinsoku/>
              <w:overflowPunct/>
              <w:topLinePunct w:val="0"/>
              <w:bidi w:val="0"/>
              <w:adjustRightInd w:val="0"/>
              <w:snapToGrid w:val="0"/>
              <w:spacing w:line="240" w:lineRule="auto"/>
              <w:ind w:left="0"/>
              <w:rPr>
                <w:rFonts w:hint="eastAsia" w:ascii="仿宋" w:eastAsia="仿宋" w:cs="仿宋"/>
                <w:kern w:val="0"/>
                <w:sz w:val="24"/>
                <w:lang w:bidi="ar-SA"/>
              </w:rPr>
            </w:pPr>
            <w:r>
              <w:rPr>
                <w:rFonts w:hint="eastAsia" w:ascii="仿宋" w:eastAsia="仿宋" w:cs="仿宋"/>
                <w:kern w:val="0"/>
                <w:sz w:val="24"/>
                <w:lang w:bidi="ar-SA"/>
              </w:rPr>
              <w:t>3.1【专业技能】掌握音乐学科技法技能多项基本功，掌握音乐学科基础知识、基本理论、体系结构与思想方法，理解音乐学科的核心素养的内涵，形成音乐学科核心素养。</w:t>
            </w:r>
          </w:p>
        </w:tc>
        <w:tc>
          <w:tcPr>
            <w:tcW w:w="1518" w:type="dxa"/>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6994B8">
            <w:pPr>
              <w:pageBreakBefore w:val="0"/>
              <w:widowControl w:val="0"/>
              <w:kinsoku/>
              <w:overflowPunct/>
              <w:topLinePunct w:val="0"/>
              <w:bidi w:val="0"/>
              <w:adjustRightInd w:val="0"/>
              <w:snapToGrid w:val="0"/>
              <w:spacing w:line="240" w:lineRule="auto"/>
              <w:jc w:val="center"/>
              <w:rPr>
                <w:rFonts w:hint="eastAsia" w:ascii="仿宋" w:eastAsia="仿宋" w:cs="仿宋"/>
                <w:sz w:val="24"/>
                <w:lang w:bidi="ar-SA"/>
              </w:rPr>
            </w:pPr>
            <w:r>
              <w:rPr>
                <w:rFonts w:hint="eastAsia" w:ascii="仿宋" w:eastAsia="仿宋" w:cs="仿宋"/>
                <w:sz w:val="24"/>
                <w:lang w:bidi="ar-SA"/>
              </w:rPr>
              <w:t>学科素养</w:t>
            </w:r>
          </w:p>
          <w:p w14:paraId="1CF03456">
            <w:pPr>
              <w:pageBreakBefore w:val="0"/>
              <w:widowControl w:val="0"/>
              <w:kinsoku/>
              <w:overflowPunct/>
              <w:topLinePunct w:val="0"/>
              <w:bidi w:val="0"/>
              <w:adjustRightInd w:val="0"/>
              <w:snapToGrid w:val="0"/>
              <w:spacing w:line="240" w:lineRule="auto"/>
              <w:jc w:val="center"/>
              <w:rPr>
                <w:rFonts w:ascii="仿宋" w:eastAsia="仿宋" w:cs="仿宋"/>
                <w:sz w:val="24"/>
                <w:lang w:bidi="ar-SA"/>
              </w:rPr>
            </w:pPr>
            <w:r>
              <w:rPr>
                <w:rFonts w:hint="eastAsia" w:ascii="仿宋" w:eastAsia="仿宋" w:cs="仿宋"/>
                <w:sz w:val="24"/>
                <w:lang w:bidi="ar-SA"/>
              </w:rPr>
              <w:t>（</w:t>
            </w:r>
            <w:r>
              <w:rPr>
                <w:rFonts w:hint="eastAsia" w:ascii="仿宋" w:eastAsia="仿宋" w:cs="仿宋"/>
                <w:sz w:val="24"/>
                <w:lang w:val="en-US" w:bidi="ar-SA"/>
              </w:rPr>
              <w:t>H）</w:t>
            </w:r>
          </w:p>
        </w:tc>
      </w:tr>
      <w:tr w14:paraId="1E5EF57E">
        <w:trPr>
          <w:trHeight w:val="2639" w:hRule="atLeast"/>
          <w:jc w:val="center"/>
        </w:trPr>
        <w:tc>
          <w:tcPr>
            <w:tcW w:w="1334"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E7B3E8"/>
        </w:tc>
        <w:tc>
          <w:tcPr>
            <w:tcW w:w="13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774273">
            <w:pPr>
              <w:pageBreakBefore w:val="0"/>
              <w:widowControl w:val="0"/>
              <w:kinsoku/>
              <w:overflowPunct/>
              <w:topLinePunct w:val="0"/>
              <w:bidi w:val="0"/>
              <w:adjustRightInd w:val="0"/>
              <w:snapToGrid w:val="0"/>
              <w:spacing w:line="240" w:lineRule="auto"/>
              <w:jc w:val="center"/>
              <w:rPr>
                <w:rFonts w:hint="eastAsia" w:ascii="仿宋" w:eastAsia="仿宋" w:cs="仿宋"/>
                <w:sz w:val="24"/>
                <w:lang w:bidi="ar-SA"/>
              </w:rPr>
            </w:pPr>
            <w:r>
              <w:rPr>
                <w:rFonts w:hint="eastAsia" w:ascii="仿宋" w:eastAsia="仿宋" w:cs="仿宋"/>
                <w:sz w:val="24"/>
                <w:lang w:bidi="ar-SA"/>
              </w:rPr>
              <w:t>课程目标3</w:t>
            </w:r>
          </w:p>
          <w:p w14:paraId="250E7321">
            <w:pPr>
              <w:pageBreakBefore w:val="0"/>
              <w:widowControl w:val="0"/>
              <w:kinsoku/>
              <w:overflowPunct/>
              <w:topLinePunct w:val="0"/>
              <w:bidi w:val="0"/>
              <w:adjustRightInd w:val="0"/>
              <w:snapToGrid w:val="0"/>
              <w:spacing w:line="240" w:lineRule="auto"/>
              <w:jc w:val="center"/>
              <w:rPr>
                <w:rFonts w:hint="eastAsia" w:ascii="仿宋" w:eastAsia="仿宋" w:cs="仿宋"/>
                <w:sz w:val="24"/>
                <w:lang w:bidi="ar-SA"/>
              </w:rPr>
            </w:pPr>
          </w:p>
        </w:tc>
        <w:tc>
          <w:tcPr>
            <w:tcW w:w="4959" w:type="dxa"/>
            <w:gridSpan w:val="9"/>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810467">
            <w:pPr>
              <w:pageBreakBefore w:val="0"/>
              <w:widowControl w:val="0"/>
              <w:kinsoku/>
              <w:overflowPunct/>
              <w:topLinePunct w:val="0"/>
              <w:bidi w:val="0"/>
              <w:adjustRightInd w:val="0"/>
              <w:snapToGrid w:val="0"/>
              <w:spacing w:line="240" w:lineRule="auto"/>
              <w:ind w:left="0"/>
              <w:rPr>
                <w:rFonts w:hint="eastAsia" w:ascii="仿宋" w:eastAsia="仿宋" w:cs="仿宋"/>
                <w:kern w:val="0"/>
                <w:sz w:val="24"/>
                <w:lang w:bidi="ar-SA"/>
              </w:rPr>
            </w:pPr>
            <w:r>
              <w:rPr>
                <w:rFonts w:hint="eastAsia" w:ascii="仿宋" w:eastAsia="仿宋" w:cs="仿宋"/>
                <w:kern w:val="0"/>
                <w:sz w:val="24"/>
                <w:lang w:bidi="ar-SA"/>
              </w:rPr>
              <w:t>4.</w:t>
            </w:r>
            <w:r>
              <w:rPr>
                <w:rFonts w:ascii="仿宋" w:eastAsia="仿宋" w:cs="仿宋"/>
                <w:kern w:val="0"/>
                <w:sz w:val="24"/>
                <w:lang w:bidi="ar-SA"/>
              </w:rPr>
              <w:t>1</w:t>
            </w:r>
            <w:r>
              <w:rPr>
                <w:rFonts w:hint="eastAsia" w:ascii="仿宋" w:eastAsia="仿宋" w:cs="仿宋_GB2312"/>
                <w:kern w:val="0"/>
                <w:sz w:val="24"/>
                <w:lang w:bidi="ar-SA"/>
              </w:rPr>
              <w:t xml:space="preserve">【教学设计与实施】熟悉中学音乐课程标准和教材，能够正确处理课标和教材的关系，科学合理地进行教学设计并实施教学，准确把握教学内容，分析学情，合理安排教学过程和环节，科学设计评价内容和方式，根据学生音乐认知的特征和个体差异，注重差异化教学。课后能够及时反思、总结形成初步的教研能力。 </w:t>
            </w:r>
          </w:p>
        </w:tc>
        <w:tc>
          <w:tcPr>
            <w:tcW w:w="1518" w:type="dxa"/>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B0F65F">
            <w:pPr>
              <w:pageBreakBefore w:val="0"/>
              <w:widowControl w:val="0"/>
              <w:kinsoku/>
              <w:overflowPunct/>
              <w:topLinePunct w:val="0"/>
              <w:bidi w:val="0"/>
              <w:adjustRightInd w:val="0"/>
              <w:snapToGrid w:val="0"/>
              <w:spacing w:line="240" w:lineRule="auto"/>
              <w:jc w:val="center"/>
              <w:rPr>
                <w:rFonts w:hint="eastAsia" w:ascii="仿宋" w:eastAsia="仿宋" w:cs="仿宋"/>
                <w:sz w:val="24"/>
                <w:lang w:bidi="ar-SA"/>
              </w:rPr>
            </w:pPr>
            <w:r>
              <w:rPr>
                <w:rFonts w:hint="eastAsia" w:ascii="仿宋" w:eastAsia="仿宋" w:cs="仿宋"/>
                <w:sz w:val="24"/>
                <w:lang w:bidi="ar-SA"/>
              </w:rPr>
              <w:t>教学能力</w:t>
            </w:r>
          </w:p>
          <w:p w14:paraId="62535427">
            <w:pPr>
              <w:pageBreakBefore w:val="0"/>
              <w:widowControl w:val="0"/>
              <w:kinsoku/>
              <w:overflowPunct/>
              <w:topLinePunct w:val="0"/>
              <w:bidi w:val="0"/>
              <w:adjustRightInd w:val="0"/>
              <w:snapToGrid w:val="0"/>
              <w:spacing w:line="240" w:lineRule="auto"/>
              <w:ind w:firstLine="480" w:firstLineChars="200"/>
              <w:jc w:val="both"/>
              <w:rPr>
                <w:rFonts w:hint="eastAsia" w:ascii="仿宋" w:eastAsia="仿宋" w:cs="仿宋"/>
                <w:sz w:val="24"/>
                <w:lang w:bidi="ar-SA"/>
              </w:rPr>
            </w:pPr>
            <w:r>
              <w:rPr>
                <w:rFonts w:hint="eastAsia" w:ascii="仿宋" w:eastAsia="仿宋" w:cs="仿宋"/>
                <w:sz w:val="24"/>
                <w:lang w:bidi="ar-SA"/>
              </w:rPr>
              <w:t>（</w:t>
            </w:r>
            <w:r>
              <w:rPr>
                <w:rFonts w:hint="eastAsia" w:ascii="仿宋" w:eastAsia="仿宋" w:cs="仿宋"/>
                <w:sz w:val="24"/>
                <w:lang w:val="en-US" w:bidi="ar-SA"/>
              </w:rPr>
              <w:t>H）</w:t>
            </w:r>
          </w:p>
        </w:tc>
      </w:tr>
      <w:tr w14:paraId="1B2C3046">
        <w:trPr>
          <w:trHeight w:val="1627" w:hRule="atLeast"/>
          <w:jc w:val="center"/>
        </w:trPr>
        <w:tc>
          <w:tcPr>
            <w:tcW w:w="1334"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68951D"/>
        </w:tc>
        <w:tc>
          <w:tcPr>
            <w:tcW w:w="13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2942FC">
            <w:pPr>
              <w:pageBreakBefore w:val="0"/>
              <w:widowControl w:val="0"/>
              <w:kinsoku/>
              <w:overflowPunct/>
              <w:topLinePunct w:val="0"/>
              <w:bidi w:val="0"/>
              <w:adjustRightInd w:val="0"/>
              <w:snapToGrid w:val="0"/>
              <w:spacing w:line="240" w:lineRule="auto"/>
              <w:jc w:val="center"/>
              <w:rPr>
                <w:rFonts w:hint="eastAsia" w:ascii="仿宋" w:eastAsia="仿宋" w:cs="仿宋"/>
                <w:sz w:val="24"/>
                <w:lang w:bidi="ar-SA"/>
              </w:rPr>
            </w:pPr>
            <w:r>
              <w:rPr>
                <w:rFonts w:hint="eastAsia" w:ascii="仿宋" w:eastAsia="仿宋" w:cs="仿宋"/>
                <w:sz w:val="24"/>
                <w:lang w:bidi="ar-SA"/>
              </w:rPr>
              <w:t>课程目标4</w:t>
            </w:r>
          </w:p>
          <w:p w14:paraId="3CC7247C">
            <w:pPr>
              <w:pageBreakBefore w:val="0"/>
              <w:widowControl w:val="0"/>
              <w:kinsoku/>
              <w:overflowPunct/>
              <w:topLinePunct w:val="0"/>
              <w:bidi w:val="0"/>
              <w:adjustRightInd w:val="0"/>
              <w:snapToGrid w:val="0"/>
              <w:spacing w:line="240" w:lineRule="auto"/>
              <w:jc w:val="center"/>
              <w:rPr>
                <w:rFonts w:hint="eastAsia" w:ascii="仿宋" w:eastAsia="仿宋" w:cs="仿宋"/>
                <w:sz w:val="24"/>
                <w:lang w:bidi="ar-SA"/>
              </w:rPr>
            </w:pPr>
          </w:p>
        </w:tc>
        <w:tc>
          <w:tcPr>
            <w:tcW w:w="4959" w:type="dxa"/>
            <w:gridSpan w:val="9"/>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C06D07">
            <w:pPr>
              <w:pageBreakBefore w:val="0"/>
              <w:widowControl w:val="0"/>
              <w:kinsoku/>
              <w:overflowPunct/>
              <w:topLinePunct w:val="0"/>
              <w:bidi w:val="0"/>
              <w:adjustRightInd w:val="0"/>
              <w:snapToGrid w:val="0"/>
              <w:spacing w:line="240" w:lineRule="auto"/>
              <w:ind w:left="0"/>
              <w:rPr>
                <w:rFonts w:hint="eastAsia" w:ascii="仿宋" w:eastAsia="仿宋" w:cs="仿宋_GB2312"/>
                <w:sz w:val="24"/>
                <w:lang w:bidi="ar-SA"/>
              </w:rPr>
            </w:pPr>
            <w:r>
              <w:rPr>
                <w:rFonts w:hint="eastAsia" w:ascii="仿宋" w:eastAsia="仿宋" w:cs="仿宋_GB2312"/>
                <w:sz w:val="24"/>
                <w:lang w:bidi="ar-SA"/>
              </w:rPr>
              <w:t>7.1【反思改进】具有反思意识和批评性思维素养，初步掌握教育教学反思的基本方法和策略，能够对音乐教育教学实践活动进行有效的自我诊断，提出改进思路。</w:t>
            </w:r>
          </w:p>
        </w:tc>
        <w:tc>
          <w:tcPr>
            <w:tcW w:w="1518" w:type="dxa"/>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D3C2F6">
            <w:pPr>
              <w:pageBreakBefore w:val="0"/>
              <w:widowControl w:val="0"/>
              <w:kinsoku/>
              <w:overflowPunct/>
              <w:topLinePunct w:val="0"/>
              <w:bidi w:val="0"/>
              <w:adjustRightInd w:val="0"/>
              <w:snapToGrid w:val="0"/>
              <w:spacing w:line="240" w:lineRule="auto"/>
              <w:jc w:val="center"/>
              <w:rPr>
                <w:rFonts w:hint="eastAsia" w:ascii="仿宋" w:eastAsia="仿宋" w:cs="仿宋"/>
                <w:sz w:val="24"/>
                <w:lang w:bidi="ar-SA"/>
              </w:rPr>
            </w:pPr>
            <w:r>
              <w:rPr>
                <w:rFonts w:hint="eastAsia" w:ascii="仿宋" w:eastAsia="仿宋" w:cs="仿宋"/>
                <w:sz w:val="24"/>
                <w:lang w:bidi="ar-SA"/>
              </w:rPr>
              <w:t>学会反思</w:t>
            </w:r>
          </w:p>
          <w:p w14:paraId="36D5EA08">
            <w:pPr>
              <w:pageBreakBefore w:val="0"/>
              <w:widowControl w:val="0"/>
              <w:kinsoku/>
              <w:overflowPunct/>
              <w:topLinePunct w:val="0"/>
              <w:bidi w:val="0"/>
              <w:adjustRightInd w:val="0"/>
              <w:snapToGrid w:val="0"/>
              <w:spacing w:line="240" w:lineRule="auto"/>
              <w:jc w:val="center"/>
              <w:rPr>
                <w:rFonts w:hint="eastAsia" w:ascii="仿宋" w:eastAsia="仿宋" w:cs="仿宋"/>
                <w:sz w:val="24"/>
                <w:lang w:bidi="ar-SA"/>
              </w:rPr>
            </w:pPr>
            <w:r>
              <w:rPr>
                <w:rFonts w:hint="eastAsia" w:ascii="仿宋" w:eastAsia="仿宋" w:cs="仿宋"/>
                <w:sz w:val="24"/>
                <w:lang w:bidi="ar-SA"/>
              </w:rPr>
              <w:t>（</w:t>
            </w:r>
            <w:r>
              <w:rPr>
                <w:rFonts w:hint="eastAsia" w:ascii="仿宋" w:eastAsia="仿宋" w:cs="仿宋"/>
                <w:sz w:val="24"/>
                <w:lang w:val="en-US" w:bidi="ar-SA"/>
              </w:rPr>
              <w:t>L</w:t>
            </w:r>
            <w:r>
              <w:rPr>
                <w:rFonts w:hint="eastAsia" w:ascii="仿宋" w:eastAsia="仿宋" w:cs="仿宋"/>
                <w:sz w:val="24"/>
                <w:lang w:bidi="ar-SA"/>
              </w:rPr>
              <w:t>）</w:t>
            </w:r>
          </w:p>
        </w:tc>
      </w:tr>
      <w:tr w14:paraId="12D29BFC">
        <w:trPr>
          <w:trHeight w:val="1233" w:hRule="atLeast"/>
          <w:jc w:val="center"/>
        </w:trPr>
        <w:tc>
          <w:tcPr>
            <w:tcW w:w="1334"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E164FD"/>
        </w:tc>
        <w:tc>
          <w:tcPr>
            <w:tcW w:w="13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209ABF">
            <w:pPr>
              <w:pageBreakBefore w:val="0"/>
              <w:widowControl w:val="0"/>
              <w:kinsoku/>
              <w:overflowPunct/>
              <w:topLinePunct w:val="0"/>
              <w:bidi w:val="0"/>
              <w:adjustRightInd w:val="0"/>
              <w:snapToGrid w:val="0"/>
              <w:spacing w:line="240" w:lineRule="auto"/>
              <w:ind w:left="0"/>
              <w:rPr>
                <w:rFonts w:hint="eastAsia" w:ascii="仿宋" w:eastAsia="仿宋" w:cs="仿宋_GB2312"/>
                <w:sz w:val="24"/>
                <w:lang w:bidi="ar-SA"/>
              </w:rPr>
            </w:pPr>
            <w:r>
              <w:rPr>
                <w:rFonts w:hint="eastAsia" w:ascii="仿宋" w:eastAsia="仿宋" w:cs="仿宋_GB2312"/>
                <w:sz w:val="24"/>
                <w:lang w:bidi="ar-SA"/>
              </w:rPr>
              <w:t>课程目标5</w:t>
            </w:r>
          </w:p>
          <w:p w14:paraId="6C9AAE5D">
            <w:pPr>
              <w:pageBreakBefore w:val="0"/>
              <w:widowControl w:val="0"/>
              <w:kinsoku/>
              <w:overflowPunct/>
              <w:topLinePunct w:val="0"/>
              <w:bidi w:val="0"/>
              <w:adjustRightInd w:val="0"/>
              <w:snapToGrid w:val="0"/>
              <w:spacing w:line="240" w:lineRule="auto"/>
              <w:ind w:left="0"/>
              <w:rPr>
                <w:rFonts w:hint="eastAsia" w:ascii="仿宋" w:eastAsia="仿宋" w:cs="仿宋_GB2312"/>
                <w:sz w:val="24"/>
                <w:lang w:bidi="ar-SA"/>
              </w:rPr>
            </w:pPr>
          </w:p>
        </w:tc>
        <w:tc>
          <w:tcPr>
            <w:tcW w:w="4959" w:type="dxa"/>
            <w:gridSpan w:val="9"/>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5BEF81">
            <w:pPr>
              <w:pageBreakBefore w:val="0"/>
              <w:widowControl w:val="0"/>
              <w:kinsoku/>
              <w:overflowPunct/>
              <w:topLinePunct w:val="0"/>
              <w:bidi w:val="0"/>
              <w:adjustRightInd w:val="0"/>
              <w:snapToGrid w:val="0"/>
              <w:spacing w:line="240" w:lineRule="auto"/>
              <w:ind w:left="0"/>
              <w:rPr>
                <w:rFonts w:hint="eastAsia" w:ascii="仿宋" w:eastAsia="仿宋" w:cs="仿宋_GB2312"/>
                <w:sz w:val="24"/>
                <w:lang w:bidi="ar-SA"/>
              </w:rPr>
            </w:pPr>
            <w:r>
              <w:rPr>
                <w:rFonts w:ascii="仿宋" w:eastAsia="仿宋" w:cs="仿宋_GB2312"/>
                <w:sz w:val="24"/>
                <w:lang w:val="en-US" w:eastAsia="zh-CN" w:bidi="ar-SA"/>
              </w:rPr>
              <w:t>8.1</w:t>
            </w:r>
            <w:r>
              <w:rPr>
                <w:rFonts w:hint="eastAsia" w:ascii="仿宋" w:eastAsia="仿宋" w:cs="仿宋_GB2312"/>
                <w:sz w:val="24"/>
                <w:lang w:val="en-US" w:eastAsia="zh-CN" w:bidi="ar-SA"/>
              </w:rPr>
              <w:t xml:space="preserve">【沟通交流】掌握人际交往和沟通的方式方法，能够在教育实践、社会实践中与同事、 </w:t>
            </w:r>
          </w:p>
          <w:p w14:paraId="6662EEE5">
            <w:pPr>
              <w:pageBreakBefore w:val="0"/>
              <w:widowControl w:val="0"/>
              <w:kinsoku/>
              <w:overflowPunct/>
              <w:topLinePunct w:val="0"/>
              <w:bidi w:val="0"/>
              <w:adjustRightInd w:val="0"/>
              <w:snapToGrid w:val="0"/>
              <w:spacing w:line="240" w:lineRule="auto"/>
              <w:ind w:left="0"/>
              <w:rPr>
                <w:rFonts w:hint="eastAsia" w:ascii="仿宋" w:eastAsia="仿宋" w:cs="仿宋_GB2312"/>
                <w:sz w:val="24"/>
                <w:lang w:bidi="ar-SA"/>
              </w:rPr>
            </w:pPr>
            <w:r>
              <w:rPr>
                <w:rFonts w:hint="eastAsia" w:ascii="仿宋" w:eastAsia="仿宋" w:cs="仿宋_GB2312"/>
                <w:sz w:val="24"/>
                <w:lang w:val="en-US" w:eastAsia="zh-CN" w:bidi="ar-SA"/>
              </w:rPr>
              <w:t xml:space="preserve">同行、专家等进行有效沟通交流。 </w:t>
            </w:r>
          </w:p>
        </w:tc>
        <w:tc>
          <w:tcPr>
            <w:tcW w:w="1518" w:type="dxa"/>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F77422">
            <w:pPr>
              <w:pageBreakBefore w:val="0"/>
              <w:widowControl w:val="0"/>
              <w:kinsoku/>
              <w:overflowPunct/>
              <w:topLinePunct w:val="0"/>
              <w:bidi w:val="0"/>
              <w:adjustRightInd w:val="0"/>
              <w:snapToGrid w:val="0"/>
              <w:spacing w:line="240" w:lineRule="auto"/>
              <w:jc w:val="center"/>
              <w:rPr>
                <w:rFonts w:hint="eastAsia" w:ascii="仿宋" w:eastAsia="仿宋" w:cs="仿宋"/>
                <w:sz w:val="24"/>
                <w:lang w:bidi="ar-SA"/>
              </w:rPr>
            </w:pPr>
            <w:r>
              <w:rPr>
                <w:rFonts w:hint="eastAsia" w:ascii="仿宋" w:eastAsia="仿宋" w:cs="仿宋"/>
                <w:sz w:val="24"/>
                <w:lang w:bidi="ar-SA"/>
              </w:rPr>
              <w:t>沟通合作</w:t>
            </w:r>
          </w:p>
          <w:p w14:paraId="0B6CCB68">
            <w:pPr>
              <w:pageBreakBefore w:val="0"/>
              <w:widowControl w:val="0"/>
              <w:kinsoku/>
              <w:overflowPunct/>
              <w:topLinePunct w:val="0"/>
              <w:bidi w:val="0"/>
              <w:adjustRightInd w:val="0"/>
              <w:snapToGrid w:val="0"/>
              <w:spacing w:line="240" w:lineRule="auto"/>
              <w:jc w:val="center"/>
              <w:rPr>
                <w:rFonts w:hint="eastAsia" w:ascii="仿宋" w:eastAsia="仿宋" w:cs="仿宋"/>
                <w:sz w:val="24"/>
                <w:lang w:bidi="ar-SA"/>
              </w:rPr>
            </w:pPr>
            <w:r>
              <w:rPr>
                <w:rFonts w:hint="eastAsia" w:ascii="仿宋" w:eastAsia="仿宋" w:cs="仿宋"/>
                <w:sz w:val="24"/>
                <w:lang w:bidi="ar-SA"/>
              </w:rPr>
              <w:t>（L）</w:t>
            </w:r>
          </w:p>
        </w:tc>
      </w:tr>
      <w:tr w14:paraId="72BE5274">
        <w:trPr>
          <w:trHeight w:val="90" w:hRule="atLeast"/>
          <w:jc w:val="center"/>
        </w:trPr>
        <w:tc>
          <w:tcPr>
            <w:tcW w:w="1334"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1D3F49">
            <w:pPr>
              <w:pageBreakBefore w:val="0"/>
              <w:widowControl/>
              <w:kinsoku/>
              <w:overflowPunct/>
              <w:topLinePunct w:val="0"/>
              <w:bidi w:val="0"/>
              <w:adjustRightInd w:val="0"/>
              <w:snapToGrid w:val="0"/>
              <w:spacing w:line="240" w:lineRule="auto"/>
              <w:jc w:val="center"/>
              <w:rPr>
                <w:rFonts w:hint="eastAsia" w:ascii="仿宋" w:eastAsia="仿宋" w:cs="仿宋"/>
                <w:sz w:val="24"/>
                <w:lang w:bidi="ar-SA"/>
              </w:rPr>
            </w:pPr>
            <w:r>
              <w:rPr>
                <w:rFonts w:hint="eastAsia" w:ascii="仿宋" w:eastAsia="仿宋" w:cs="仿宋"/>
                <w:sz w:val="24"/>
                <w:lang w:bidi="ar-SA"/>
              </w:rPr>
              <w:t>F</w:t>
            </w:r>
          </w:p>
          <w:p w14:paraId="2EAE8E17">
            <w:pPr>
              <w:pageBreakBefore w:val="0"/>
              <w:widowControl/>
              <w:kinsoku/>
              <w:overflowPunct/>
              <w:topLinePunct w:val="0"/>
              <w:bidi w:val="0"/>
              <w:adjustRightInd w:val="0"/>
              <w:snapToGrid w:val="0"/>
              <w:spacing w:line="240" w:lineRule="auto"/>
              <w:jc w:val="center"/>
              <w:rPr>
                <w:rFonts w:hint="eastAsia" w:ascii="仿宋" w:eastAsia="仿宋" w:cs="仿宋"/>
                <w:kern w:val="2"/>
                <w:sz w:val="24"/>
                <w:szCs w:val="24"/>
                <w:lang w:bidi="ar-SA"/>
              </w:rPr>
            </w:pPr>
            <w:r>
              <w:rPr>
                <w:rFonts w:hint="eastAsia" w:ascii="仿宋" w:eastAsia="仿宋" w:cs="仿宋"/>
                <w:sz w:val="24"/>
                <w:lang w:bidi="ar-SA"/>
              </w:rPr>
              <w:t>理论学习内容</w:t>
            </w:r>
          </w:p>
        </w:tc>
        <w:tc>
          <w:tcPr>
            <w:tcW w:w="5655" w:type="dxa"/>
            <w:gridSpan w:val="7"/>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56AE57">
            <w:pPr>
              <w:pageBreakBefore w:val="0"/>
              <w:widowControl w:val="0"/>
              <w:kinsoku/>
              <w:overflowPunct/>
              <w:topLinePunct w:val="0"/>
              <w:bidi w:val="0"/>
              <w:adjustRightInd w:val="0"/>
              <w:snapToGrid w:val="0"/>
              <w:spacing w:line="240" w:lineRule="auto"/>
              <w:ind w:left="0"/>
              <w:rPr>
                <w:rFonts w:hint="eastAsia" w:ascii="仿宋" w:eastAsia="仿宋" w:cs="仿宋_GB2312"/>
                <w:sz w:val="24"/>
                <w:lang w:val="en-US" w:eastAsia="zh-CN" w:bidi="ar-SA"/>
              </w:rPr>
            </w:pPr>
            <w:r>
              <w:rPr>
                <w:rFonts w:hint="eastAsia" w:ascii="仿宋" w:eastAsia="仿宋" w:cs="仿宋_GB2312"/>
                <w:sz w:val="24"/>
                <w:lang w:val="en-US" w:eastAsia="zh-CN" w:bidi="ar-SA"/>
              </w:rPr>
              <w:t>章节学习内容与学习要求</w:t>
            </w:r>
          </w:p>
        </w:tc>
        <w:tc>
          <w:tcPr>
            <w:tcW w:w="1477" w:type="dxa"/>
            <w:gridSpan w:val="5"/>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5A3C3C">
            <w:pPr>
              <w:pageBreakBefore w:val="0"/>
              <w:widowControl w:val="0"/>
              <w:kinsoku/>
              <w:overflowPunct/>
              <w:topLinePunct w:val="0"/>
              <w:bidi w:val="0"/>
              <w:adjustRightInd w:val="0"/>
              <w:snapToGrid w:val="0"/>
              <w:spacing w:line="240" w:lineRule="auto"/>
              <w:ind w:left="0"/>
              <w:jc w:val="center"/>
              <w:rPr>
                <w:rFonts w:hint="eastAsia" w:ascii="仿宋" w:eastAsia="仿宋" w:cs="仿宋_GB2312"/>
                <w:sz w:val="24"/>
                <w:lang w:val="en-US" w:eastAsia="zh-CN" w:bidi="ar-SA"/>
              </w:rPr>
            </w:pPr>
            <w:r>
              <w:rPr>
                <w:rFonts w:hint="eastAsia" w:ascii="仿宋" w:eastAsia="仿宋" w:cs="仿宋_GB2312"/>
                <w:sz w:val="24"/>
                <w:lang w:val="en-US" w:eastAsia="zh-CN" w:bidi="ar-SA"/>
              </w:rPr>
              <w:t>支撑课程目标</w:t>
            </w:r>
          </w:p>
        </w:tc>
        <w:tc>
          <w:tcPr>
            <w:tcW w:w="682"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898D49">
            <w:pPr>
              <w:pageBreakBefore w:val="0"/>
              <w:widowControl w:val="0"/>
              <w:kinsoku/>
              <w:overflowPunct/>
              <w:topLinePunct w:val="0"/>
              <w:bidi w:val="0"/>
              <w:adjustRightInd w:val="0"/>
              <w:snapToGrid w:val="0"/>
              <w:spacing w:line="240" w:lineRule="auto"/>
              <w:ind w:left="0"/>
              <w:jc w:val="center"/>
              <w:rPr>
                <w:rFonts w:hint="eastAsia" w:ascii="仿宋" w:eastAsia="仿宋" w:cs="仿宋_GB2312"/>
                <w:sz w:val="24"/>
                <w:lang w:val="en-US" w:eastAsia="zh-CN" w:bidi="ar-SA"/>
              </w:rPr>
            </w:pPr>
            <w:r>
              <w:rPr>
                <w:rFonts w:hint="eastAsia" w:ascii="仿宋" w:eastAsia="仿宋" w:cs="仿宋_GB2312"/>
                <w:sz w:val="24"/>
                <w:lang w:val="en-US" w:eastAsia="zh-CN" w:bidi="ar-SA"/>
              </w:rPr>
              <w:t>学时</w:t>
            </w:r>
          </w:p>
          <w:p w14:paraId="34CF02A6">
            <w:pPr>
              <w:pageBreakBefore w:val="0"/>
              <w:widowControl w:val="0"/>
              <w:kinsoku/>
              <w:overflowPunct/>
              <w:topLinePunct w:val="0"/>
              <w:bidi w:val="0"/>
              <w:adjustRightInd w:val="0"/>
              <w:snapToGrid w:val="0"/>
              <w:spacing w:line="240" w:lineRule="auto"/>
              <w:ind w:left="0"/>
              <w:jc w:val="center"/>
              <w:rPr>
                <w:rFonts w:hint="eastAsia" w:ascii="仿宋" w:eastAsia="仿宋" w:cs="仿宋_GB2312"/>
                <w:sz w:val="24"/>
                <w:lang w:val="en-US" w:eastAsia="zh-CN" w:bidi="ar-SA"/>
              </w:rPr>
            </w:pPr>
            <w:r>
              <w:rPr>
                <w:rFonts w:hint="eastAsia" w:ascii="仿宋" w:eastAsia="仿宋" w:cs="仿宋_GB2312"/>
                <w:sz w:val="24"/>
                <w:lang w:val="en-US" w:eastAsia="zh-CN" w:bidi="ar-SA"/>
              </w:rPr>
              <w:t>分配</w:t>
            </w:r>
          </w:p>
        </w:tc>
      </w:tr>
      <w:tr w14:paraId="223484B6">
        <w:trPr>
          <w:trHeight w:val="306" w:hRule="atLeast"/>
          <w:jc w:val="center"/>
        </w:trPr>
        <w:tc>
          <w:tcPr>
            <w:tcW w:w="1334"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95B79E"/>
        </w:tc>
        <w:tc>
          <w:tcPr>
            <w:tcW w:w="5655"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D5BEB">
            <w:pPr>
              <w:pageBreakBefore w:val="0"/>
              <w:widowControl/>
              <w:kinsoku/>
              <w:overflowPunct/>
              <w:topLinePunct w:val="0"/>
              <w:bidi w:val="0"/>
              <w:adjustRightInd w:val="0"/>
              <w:snapToGrid w:val="0"/>
              <w:spacing w:line="240" w:lineRule="auto"/>
              <w:rPr>
                <w:rFonts w:hint="eastAsia" w:ascii="仿宋" w:eastAsia="仿宋" w:cs="仿宋"/>
                <w:sz w:val="24"/>
                <w:lang w:val="en-US" w:eastAsia="zh-CN" w:bidi="ar-SA"/>
              </w:rPr>
            </w:pPr>
            <w:r>
              <w:rPr>
                <w:rFonts w:hint="eastAsia" w:ascii="仿宋" w:eastAsia="仿宋" w:cs="仿宋"/>
                <w:sz w:val="24"/>
                <w:lang w:bidi="ar-SA"/>
              </w:rPr>
              <w:t>第一章：</w:t>
            </w:r>
            <w:r>
              <w:rPr>
                <w:rFonts w:hint="eastAsia" w:ascii="仿宋" w:eastAsia="仿宋" w:cs="仿宋"/>
                <w:sz w:val="24"/>
                <w:lang w:val="en-US" w:eastAsia="zh-CN" w:bidi="ar-SA"/>
              </w:rPr>
              <w:t>音乐的基本表现手段</w:t>
            </w:r>
          </w:p>
          <w:p w14:paraId="7FA2F285">
            <w:pPr>
              <w:pageBreakBefore w:val="0"/>
              <w:widowControl/>
              <w:kinsoku/>
              <w:overflowPunct/>
              <w:topLinePunct w:val="0"/>
              <w:bidi w:val="0"/>
              <w:adjustRightInd w:val="0"/>
              <w:snapToGrid w:val="0"/>
              <w:spacing w:line="240" w:lineRule="auto"/>
              <w:rPr>
                <w:rFonts w:ascii="仿宋" w:eastAsia="仿宋" w:cs="仿宋"/>
                <w:sz w:val="24"/>
                <w:lang w:val="en-US" w:eastAsia="zh-CN" w:bidi="ar-SA"/>
              </w:rPr>
            </w:pPr>
            <w:r>
              <w:rPr>
                <w:rFonts w:hint="eastAsia" w:ascii="仿宋" w:eastAsia="仿宋" w:cs="仿宋"/>
                <w:sz w:val="24"/>
                <w:lang w:bidi="ar-SA"/>
              </w:rPr>
              <w:t>知道层次：</w:t>
            </w:r>
            <w:r>
              <w:rPr>
                <w:rFonts w:hint="eastAsia" w:ascii="仿宋" w:eastAsia="仿宋" w:cs="仿宋"/>
                <w:sz w:val="24"/>
                <w:lang w:eastAsia="zh-CN" w:bidi="ar-SA"/>
              </w:rPr>
              <w:t>了解音乐的基本表现</w:t>
            </w:r>
          </w:p>
          <w:p w14:paraId="37FC1B0C">
            <w:pPr>
              <w:pageBreakBefore w:val="0"/>
              <w:widowControl/>
              <w:kinsoku/>
              <w:overflowPunct/>
              <w:topLinePunct w:val="0"/>
              <w:bidi w:val="0"/>
              <w:adjustRightInd w:val="0"/>
              <w:snapToGrid w:val="0"/>
              <w:spacing w:line="240" w:lineRule="auto"/>
              <w:rPr>
                <w:rFonts w:hint="eastAsia" w:ascii="仿宋" w:eastAsia="仿宋" w:cs="仿宋"/>
                <w:sz w:val="24"/>
                <w:lang w:val="en-US" w:eastAsia="zh-CN" w:bidi="ar-SA"/>
              </w:rPr>
            </w:pPr>
            <w:r>
              <w:rPr>
                <w:rFonts w:hint="eastAsia" w:ascii="仿宋" w:eastAsia="仿宋" w:cs="仿宋"/>
                <w:sz w:val="24"/>
                <w:lang w:bidi="ar-SA"/>
              </w:rPr>
              <w:t>领会层次：</w:t>
            </w:r>
            <w:r>
              <w:rPr>
                <w:rFonts w:hint="eastAsia" w:ascii="仿宋" w:eastAsia="仿宋" w:cs="仿宋"/>
                <w:sz w:val="24"/>
                <w:lang w:eastAsia="zh-CN" w:bidi="ar-SA"/>
              </w:rPr>
              <w:t>掌握</w:t>
            </w:r>
            <w:r>
              <w:rPr>
                <w:rFonts w:hint="eastAsia" w:ascii="仿宋" w:eastAsia="仿宋" w:cs="仿宋"/>
                <w:sz w:val="24"/>
                <w:lang w:val="en-US" w:eastAsia="zh-CN" w:bidi="ar-SA"/>
              </w:rPr>
              <w:t>音乐的表现手段</w:t>
            </w:r>
          </w:p>
          <w:p w14:paraId="44386F1B">
            <w:pPr>
              <w:pageBreakBefore w:val="0"/>
              <w:widowControl/>
              <w:kinsoku/>
              <w:overflowPunct/>
              <w:topLinePunct w:val="0"/>
              <w:bidi w:val="0"/>
              <w:adjustRightInd w:val="0"/>
              <w:snapToGrid w:val="0"/>
              <w:spacing w:line="240" w:lineRule="auto"/>
              <w:rPr>
                <w:rFonts w:hint="eastAsia" w:ascii="仿宋" w:eastAsia="仿宋" w:cs="仿宋"/>
                <w:sz w:val="24"/>
                <w:lang w:val="en-US" w:eastAsia="zh-CN" w:bidi="ar-SA"/>
              </w:rPr>
            </w:pPr>
            <w:r>
              <w:rPr>
                <w:rFonts w:hint="eastAsia" w:ascii="仿宋" w:eastAsia="仿宋" w:cs="仿宋"/>
                <w:sz w:val="24"/>
                <w:lang w:val="en-US" w:eastAsia="zh-CN" w:bidi="ar-SA"/>
              </w:rPr>
              <w:t>应用层次：熟练运用有关音乐的的调性与和声分析</w:t>
            </w:r>
          </w:p>
        </w:tc>
        <w:tc>
          <w:tcPr>
            <w:tcW w:w="1477"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38D44">
            <w:pPr>
              <w:pageBreakBefore w:val="0"/>
              <w:widowControl/>
              <w:kinsoku/>
              <w:overflowPunct/>
              <w:topLinePunct w:val="0"/>
              <w:bidi w:val="0"/>
              <w:adjustRightInd w:val="0"/>
              <w:snapToGrid w:val="0"/>
              <w:spacing w:line="240" w:lineRule="auto"/>
              <w:jc w:val="center"/>
              <w:rPr>
                <w:rFonts w:hint="eastAsia" w:ascii="仿宋" w:eastAsia="仿宋" w:cs="仿宋"/>
                <w:sz w:val="24"/>
                <w:lang w:bidi="ar-SA"/>
              </w:rPr>
            </w:pPr>
            <w:r>
              <w:rPr>
                <w:rFonts w:hint="eastAsia" w:ascii="仿宋" w:eastAsia="仿宋" w:cs="仿宋"/>
                <w:sz w:val="24"/>
                <w:lang w:bidi="ar-SA"/>
              </w:rPr>
              <w:t>支撑课程目标1、2、3、4、5</w:t>
            </w:r>
          </w:p>
        </w:tc>
        <w:tc>
          <w:tcPr>
            <w:tcW w:w="682"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29AF9C">
            <w:pPr>
              <w:pageBreakBefore w:val="0"/>
              <w:widowControl w:val="0"/>
              <w:kinsoku/>
              <w:overflowPunct/>
              <w:topLinePunct w:val="0"/>
              <w:bidi w:val="0"/>
              <w:adjustRightInd w:val="0"/>
              <w:snapToGrid w:val="0"/>
              <w:spacing w:line="240" w:lineRule="auto"/>
              <w:jc w:val="center"/>
              <w:rPr>
                <w:rFonts w:hint="eastAsia" w:ascii="仿宋" w:eastAsia="仿宋" w:cs="仿宋"/>
                <w:sz w:val="24"/>
                <w:lang w:eastAsia="zh-CN" w:bidi="ar-SA"/>
              </w:rPr>
            </w:pPr>
            <w:r>
              <w:rPr>
                <w:rFonts w:hint="eastAsia" w:ascii="仿宋" w:eastAsia="仿宋" w:cs="仿宋"/>
                <w:sz w:val="24"/>
                <w:lang w:val="en-US" w:eastAsia="zh-CN" w:bidi="ar-SA"/>
              </w:rPr>
              <w:t>4</w:t>
            </w:r>
          </w:p>
        </w:tc>
      </w:tr>
      <w:tr w14:paraId="65BED309">
        <w:trPr>
          <w:trHeight w:val="624" w:hRule="atLeast"/>
          <w:jc w:val="center"/>
        </w:trPr>
        <w:tc>
          <w:tcPr>
            <w:tcW w:w="1334"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B1002F"/>
        </w:tc>
        <w:tc>
          <w:tcPr>
            <w:tcW w:w="5655"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BF728">
            <w:pPr>
              <w:pageBreakBefore w:val="0"/>
              <w:widowControl/>
              <w:kinsoku/>
              <w:overflowPunct/>
              <w:topLinePunct w:val="0"/>
              <w:bidi w:val="0"/>
              <w:adjustRightInd w:val="0"/>
              <w:snapToGrid w:val="0"/>
              <w:spacing w:line="240" w:lineRule="auto"/>
              <w:rPr>
                <w:rFonts w:hint="eastAsia" w:ascii="仿宋" w:eastAsia="仿宋" w:cs="仿宋"/>
                <w:sz w:val="24"/>
                <w:lang w:val="en-US" w:eastAsia="zh-CN" w:bidi="ar-SA"/>
              </w:rPr>
            </w:pPr>
            <w:r>
              <w:rPr>
                <w:rFonts w:hint="eastAsia" w:ascii="仿宋" w:eastAsia="仿宋" w:cs="仿宋"/>
                <w:sz w:val="24"/>
                <w:lang w:bidi="ar-SA"/>
              </w:rPr>
              <w:t>第</w:t>
            </w:r>
            <w:r>
              <w:rPr>
                <w:rFonts w:hint="eastAsia" w:ascii="仿宋" w:eastAsia="仿宋" w:cs="仿宋"/>
                <w:sz w:val="24"/>
                <w:lang w:val="en-US" w:eastAsia="zh-CN" w:bidi="ar-SA"/>
              </w:rPr>
              <w:t>二</w:t>
            </w:r>
            <w:r>
              <w:rPr>
                <w:rFonts w:hint="eastAsia" w:ascii="仿宋" w:eastAsia="仿宋" w:cs="仿宋"/>
                <w:sz w:val="24"/>
                <w:lang w:bidi="ar-SA"/>
              </w:rPr>
              <w:t>章：</w:t>
            </w:r>
            <w:r>
              <w:rPr>
                <w:rFonts w:hint="eastAsia" w:ascii="仿宋" w:eastAsia="仿宋" w:cs="仿宋"/>
                <w:sz w:val="24"/>
                <w:lang w:val="en-US" w:eastAsia="zh-CN" w:bidi="ar-SA"/>
              </w:rPr>
              <w:t>一部曲式（乐段）</w:t>
            </w:r>
          </w:p>
          <w:p w14:paraId="2F20AECC">
            <w:pPr>
              <w:pageBreakBefore w:val="0"/>
              <w:widowControl/>
              <w:kinsoku/>
              <w:overflowPunct/>
              <w:topLinePunct w:val="0"/>
              <w:bidi w:val="0"/>
              <w:adjustRightInd w:val="0"/>
              <w:snapToGrid w:val="0"/>
              <w:spacing w:line="240" w:lineRule="auto"/>
              <w:rPr>
                <w:rFonts w:hint="eastAsia" w:ascii="仿宋" w:eastAsia="仿宋" w:cs="仿宋"/>
                <w:sz w:val="24"/>
                <w:lang w:val="en-US" w:eastAsia="zh-CN" w:bidi="ar-SA"/>
              </w:rPr>
            </w:pPr>
            <w:r>
              <w:rPr>
                <w:rFonts w:hint="eastAsia" w:ascii="仿宋" w:eastAsia="仿宋" w:cs="仿宋"/>
                <w:sz w:val="24"/>
                <w:lang w:bidi="ar-SA"/>
              </w:rPr>
              <w:t>知道层次：</w:t>
            </w:r>
            <w:r>
              <w:rPr>
                <w:rFonts w:hint="eastAsia" w:ascii="仿宋" w:eastAsia="仿宋" w:cs="仿宋"/>
                <w:sz w:val="24"/>
                <w:lang w:eastAsia="zh-CN" w:bidi="ar-SA"/>
              </w:rPr>
              <w:t>了解曲式构成的条件</w:t>
            </w:r>
          </w:p>
          <w:p w14:paraId="58A11046">
            <w:pPr>
              <w:pageBreakBefore w:val="0"/>
              <w:widowControl/>
              <w:kinsoku/>
              <w:overflowPunct/>
              <w:topLinePunct w:val="0"/>
              <w:bidi w:val="0"/>
              <w:adjustRightInd w:val="0"/>
              <w:snapToGrid w:val="0"/>
              <w:spacing w:line="240" w:lineRule="auto"/>
              <w:rPr>
                <w:rFonts w:hint="eastAsia" w:ascii="仿宋" w:eastAsia="仿宋" w:cs="仿宋"/>
                <w:sz w:val="24"/>
                <w:lang w:val="en-US" w:eastAsia="zh-CN" w:bidi="ar-SA"/>
              </w:rPr>
            </w:pPr>
            <w:r>
              <w:rPr>
                <w:rFonts w:hint="eastAsia" w:ascii="仿宋" w:eastAsia="仿宋" w:cs="仿宋"/>
                <w:sz w:val="24"/>
                <w:lang w:bidi="ar-SA"/>
              </w:rPr>
              <w:t>领会层次：</w:t>
            </w:r>
            <w:r>
              <w:rPr>
                <w:rFonts w:hint="eastAsia" w:ascii="仿宋" w:eastAsia="仿宋" w:cs="仿宋"/>
                <w:sz w:val="24"/>
                <w:lang w:eastAsia="zh-CN" w:bidi="ar-SA"/>
              </w:rPr>
              <w:t>掌握一部曲式</w:t>
            </w:r>
            <w:r>
              <w:rPr>
                <w:rFonts w:hint="eastAsia" w:ascii="仿宋" w:eastAsia="仿宋" w:cs="仿宋"/>
                <w:sz w:val="24"/>
                <w:lang w:val="en-US" w:eastAsia="zh-CN" w:bidi="ar-SA"/>
              </w:rPr>
              <w:t>动机的划分</w:t>
            </w:r>
          </w:p>
          <w:p w14:paraId="09E9688E">
            <w:pPr>
              <w:pageBreakBefore w:val="0"/>
              <w:widowControl/>
              <w:kinsoku/>
              <w:overflowPunct/>
              <w:topLinePunct w:val="0"/>
              <w:bidi w:val="0"/>
              <w:adjustRightInd w:val="0"/>
              <w:snapToGrid w:val="0"/>
              <w:spacing w:line="240" w:lineRule="auto"/>
              <w:rPr>
                <w:rFonts w:hint="eastAsia" w:ascii="仿宋" w:eastAsia="仿宋" w:cs="仿宋"/>
                <w:sz w:val="24"/>
                <w:lang w:val="en-US" w:bidi="ar-SA"/>
              </w:rPr>
            </w:pPr>
            <w:r>
              <w:rPr>
                <w:rFonts w:hint="eastAsia" w:ascii="仿宋" w:eastAsia="仿宋" w:cs="仿宋"/>
                <w:sz w:val="24"/>
                <w:lang w:val="en-US" w:eastAsia="zh-CN" w:bidi="ar-SA"/>
              </w:rPr>
              <w:t>应用层次：熟练运用掌握一段曲式的乐句、乐节、乐汇等结构单位进行乐曲分析</w:t>
            </w:r>
          </w:p>
        </w:tc>
        <w:tc>
          <w:tcPr>
            <w:tcW w:w="1477"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E25E9">
            <w:pPr>
              <w:pageBreakBefore w:val="0"/>
              <w:widowControl/>
              <w:kinsoku/>
              <w:overflowPunct/>
              <w:topLinePunct w:val="0"/>
              <w:bidi w:val="0"/>
              <w:adjustRightInd w:val="0"/>
              <w:snapToGrid w:val="0"/>
              <w:spacing w:line="240" w:lineRule="auto"/>
              <w:jc w:val="center"/>
              <w:rPr>
                <w:rFonts w:hint="eastAsia" w:ascii="仿宋" w:eastAsia="仿宋" w:cs="仿宋"/>
                <w:sz w:val="24"/>
                <w:lang w:bidi="ar-SA"/>
              </w:rPr>
            </w:pPr>
            <w:r>
              <w:rPr>
                <w:rFonts w:hint="eastAsia" w:ascii="仿宋" w:eastAsia="仿宋" w:cs="仿宋"/>
                <w:sz w:val="24"/>
                <w:lang w:bidi="ar-SA"/>
              </w:rPr>
              <w:t>支撑课程目标1、2、3、4、5</w:t>
            </w:r>
          </w:p>
        </w:tc>
        <w:tc>
          <w:tcPr>
            <w:tcW w:w="682"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0FEFA0">
            <w:pPr>
              <w:pageBreakBefore w:val="0"/>
              <w:widowControl w:val="0"/>
              <w:kinsoku/>
              <w:overflowPunct/>
              <w:topLinePunct w:val="0"/>
              <w:bidi w:val="0"/>
              <w:adjustRightInd w:val="0"/>
              <w:snapToGrid w:val="0"/>
              <w:spacing w:line="240" w:lineRule="auto"/>
              <w:jc w:val="center"/>
              <w:rPr>
                <w:rFonts w:hint="eastAsia" w:ascii="仿宋" w:eastAsia="仿宋" w:cs="仿宋"/>
                <w:sz w:val="24"/>
                <w:lang w:eastAsia="zh-CN" w:bidi="ar-SA"/>
              </w:rPr>
            </w:pPr>
            <w:r>
              <w:rPr>
                <w:rFonts w:hint="eastAsia" w:ascii="仿宋" w:eastAsia="仿宋" w:cs="仿宋"/>
                <w:color w:val="auto"/>
                <w:sz w:val="24"/>
                <w:lang w:val="en-US" w:eastAsia="zh-CN" w:bidi="ar-SA"/>
              </w:rPr>
              <w:t>4</w:t>
            </w:r>
          </w:p>
        </w:tc>
      </w:tr>
      <w:tr w14:paraId="7E5624F8">
        <w:trPr>
          <w:trHeight w:val="624" w:hRule="atLeast"/>
          <w:jc w:val="center"/>
        </w:trPr>
        <w:tc>
          <w:tcPr>
            <w:tcW w:w="1334"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22DCE8"/>
        </w:tc>
        <w:tc>
          <w:tcPr>
            <w:tcW w:w="5655"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83108">
            <w:pPr>
              <w:pageBreakBefore w:val="0"/>
              <w:widowControl/>
              <w:kinsoku/>
              <w:overflowPunct/>
              <w:topLinePunct w:val="0"/>
              <w:bidi w:val="0"/>
              <w:adjustRightInd w:val="0"/>
              <w:snapToGrid w:val="0"/>
              <w:spacing w:line="240" w:lineRule="auto"/>
              <w:rPr>
                <w:rFonts w:hint="eastAsia" w:ascii="仿宋" w:eastAsia="仿宋" w:cs="仿宋"/>
                <w:sz w:val="24"/>
                <w:lang w:bidi="ar-SA"/>
              </w:rPr>
            </w:pPr>
            <w:r>
              <w:rPr>
                <w:rFonts w:hint="eastAsia" w:ascii="仿宋" w:eastAsia="仿宋" w:cs="仿宋"/>
                <w:sz w:val="24"/>
                <w:lang w:bidi="ar-SA"/>
              </w:rPr>
              <w:t>第</w:t>
            </w:r>
            <w:r>
              <w:rPr>
                <w:rFonts w:hint="eastAsia" w:ascii="仿宋" w:eastAsia="仿宋" w:cs="仿宋"/>
                <w:sz w:val="24"/>
                <w:lang w:val="en-US" w:eastAsia="zh-CN" w:bidi="ar-SA"/>
              </w:rPr>
              <w:t>三</w:t>
            </w:r>
            <w:r>
              <w:rPr>
                <w:rFonts w:hint="eastAsia" w:ascii="仿宋" w:eastAsia="仿宋" w:cs="仿宋"/>
                <w:sz w:val="24"/>
                <w:lang w:bidi="ar-SA"/>
              </w:rPr>
              <w:t>章：单二部曲式的分类和基本特征</w:t>
            </w:r>
          </w:p>
          <w:p w14:paraId="4CAE6796">
            <w:pPr>
              <w:pageBreakBefore w:val="0"/>
              <w:widowControl/>
              <w:kinsoku/>
              <w:overflowPunct/>
              <w:topLinePunct w:val="0"/>
              <w:bidi w:val="0"/>
              <w:adjustRightInd w:val="0"/>
              <w:snapToGrid w:val="0"/>
              <w:spacing w:line="240" w:lineRule="auto"/>
              <w:rPr>
                <w:rFonts w:hint="eastAsia" w:ascii="仿宋" w:eastAsia="仿宋" w:cs="仿宋"/>
                <w:sz w:val="24"/>
                <w:lang w:bidi="ar-SA"/>
              </w:rPr>
            </w:pPr>
            <w:r>
              <w:rPr>
                <w:rFonts w:hint="eastAsia" w:ascii="仿宋" w:eastAsia="仿宋" w:cs="仿宋"/>
                <w:sz w:val="24"/>
                <w:lang w:bidi="ar-SA"/>
              </w:rPr>
              <w:t>知道层次：了解单二部曲式的基本分类</w:t>
            </w:r>
          </w:p>
          <w:p w14:paraId="11FD3324">
            <w:pPr>
              <w:pageBreakBefore w:val="0"/>
              <w:widowControl/>
              <w:kinsoku/>
              <w:overflowPunct/>
              <w:topLinePunct w:val="0"/>
              <w:bidi w:val="0"/>
              <w:adjustRightInd w:val="0"/>
              <w:snapToGrid w:val="0"/>
              <w:spacing w:line="240" w:lineRule="auto"/>
              <w:rPr>
                <w:rFonts w:hint="eastAsia" w:ascii="仿宋" w:eastAsia="仿宋" w:cs="仿宋"/>
                <w:sz w:val="24"/>
                <w:lang w:eastAsia="zh-CN" w:bidi="ar-SA"/>
              </w:rPr>
            </w:pPr>
            <w:r>
              <w:rPr>
                <w:rFonts w:hint="eastAsia" w:ascii="仿宋" w:eastAsia="仿宋" w:cs="仿宋"/>
                <w:sz w:val="24"/>
                <w:lang w:bidi="ar-SA"/>
              </w:rPr>
              <w:t>领会层次：掌握单二部曲式的基本特征</w:t>
            </w:r>
            <w:r>
              <w:rPr>
                <w:rFonts w:hint="eastAsia" w:ascii="仿宋" w:eastAsia="仿宋" w:cs="仿宋"/>
                <w:sz w:val="24"/>
                <w:lang w:eastAsia="zh-CN" w:bidi="ar-SA"/>
              </w:rPr>
              <w:t>以及曲式构成的条件</w:t>
            </w:r>
          </w:p>
          <w:p w14:paraId="40C39044">
            <w:pPr>
              <w:pageBreakBefore w:val="0"/>
              <w:widowControl/>
              <w:kinsoku/>
              <w:overflowPunct/>
              <w:topLinePunct w:val="0"/>
              <w:bidi w:val="0"/>
              <w:adjustRightInd w:val="0"/>
              <w:snapToGrid w:val="0"/>
              <w:spacing w:line="240" w:lineRule="auto"/>
              <w:rPr>
                <w:rFonts w:hint="eastAsia" w:ascii="仿宋" w:eastAsia="仿宋" w:cs="仿宋"/>
                <w:sz w:val="24"/>
                <w:lang w:val="en-US" w:bidi="ar-SA"/>
              </w:rPr>
            </w:pPr>
            <w:r>
              <w:rPr>
                <w:rFonts w:hint="eastAsia" w:ascii="仿宋" w:eastAsia="仿宋" w:cs="仿宋"/>
                <w:sz w:val="24"/>
                <w:lang w:val="en-US" w:eastAsia="zh-CN" w:bidi="ar-SA"/>
              </w:rPr>
              <w:t>应用层次：熟练运用单二部曲式基本特征进行实例分析</w:t>
            </w:r>
          </w:p>
        </w:tc>
        <w:tc>
          <w:tcPr>
            <w:tcW w:w="1477"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DE72D">
            <w:pPr>
              <w:pageBreakBefore w:val="0"/>
              <w:widowControl/>
              <w:kinsoku/>
              <w:overflowPunct/>
              <w:topLinePunct w:val="0"/>
              <w:bidi w:val="0"/>
              <w:adjustRightInd w:val="0"/>
              <w:snapToGrid w:val="0"/>
              <w:spacing w:line="240" w:lineRule="auto"/>
              <w:jc w:val="center"/>
              <w:rPr>
                <w:rFonts w:hint="eastAsia" w:ascii="仿宋" w:eastAsia="仿宋" w:cs="仿宋"/>
                <w:sz w:val="24"/>
                <w:lang w:bidi="ar-SA"/>
              </w:rPr>
            </w:pPr>
            <w:r>
              <w:rPr>
                <w:rFonts w:hint="eastAsia" w:ascii="仿宋" w:eastAsia="仿宋" w:cs="仿宋"/>
                <w:sz w:val="24"/>
                <w:lang w:bidi="ar-SA"/>
              </w:rPr>
              <w:t>支撑课程目标1、2、3、4、5</w:t>
            </w:r>
          </w:p>
        </w:tc>
        <w:tc>
          <w:tcPr>
            <w:tcW w:w="682"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AF36C7">
            <w:pPr>
              <w:pageBreakBefore w:val="0"/>
              <w:widowControl w:val="0"/>
              <w:kinsoku/>
              <w:overflowPunct/>
              <w:topLinePunct w:val="0"/>
              <w:bidi w:val="0"/>
              <w:adjustRightInd w:val="0"/>
              <w:snapToGrid w:val="0"/>
              <w:spacing w:line="240" w:lineRule="auto"/>
              <w:jc w:val="center"/>
              <w:rPr>
                <w:rFonts w:hint="eastAsia" w:ascii="仿宋" w:eastAsia="仿宋" w:cs="仿宋"/>
                <w:sz w:val="24"/>
                <w:lang w:eastAsia="zh-CN" w:bidi="ar-SA"/>
              </w:rPr>
            </w:pPr>
            <w:r>
              <w:rPr>
                <w:rFonts w:hint="eastAsia" w:ascii="仿宋" w:eastAsia="仿宋" w:cs="仿宋"/>
                <w:sz w:val="24"/>
                <w:lang w:val="en-US" w:eastAsia="zh-CN" w:bidi="ar-SA"/>
              </w:rPr>
              <w:t>4</w:t>
            </w:r>
          </w:p>
        </w:tc>
      </w:tr>
      <w:tr w14:paraId="5C3E067B">
        <w:trPr>
          <w:trHeight w:val="624" w:hRule="atLeast"/>
          <w:jc w:val="center"/>
        </w:trPr>
        <w:tc>
          <w:tcPr>
            <w:tcW w:w="1334"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C97793"/>
        </w:tc>
        <w:tc>
          <w:tcPr>
            <w:tcW w:w="5655"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75698">
            <w:pPr>
              <w:pageBreakBefore w:val="0"/>
              <w:widowControl/>
              <w:kinsoku/>
              <w:overflowPunct/>
              <w:topLinePunct w:val="0"/>
              <w:bidi w:val="0"/>
              <w:adjustRightInd w:val="0"/>
              <w:snapToGrid w:val="0"/>
              <w:spacing w:line="240" w:lineRule="auto"/>
              <w:rPr>
                <w:rFonts w:hint="eastAsia" w:ascii="仿宋" w:eastAsia="仿宋" w:cs="仿宋"/>
                <w:sz w:val="24"/>
                <w:lang w:val="en-US" w:eastAsia="zh-CN" w:bidi="ar-SA"/>
              </w:rPr>
            </w:pPr>
            <w:r>
              <w:rPr>
                <w:rFonts w:hint="eastAsia" w:ascii="仿宋" w:eastAsia="仿宋" w:cs="仿宋"/>
                <w:sz w:val="24"/>
                <w:lang w:bidi="ar-SA"/>
              </w:rPr>
              <w:t>第四章：</w:t>
            </w:r>
            <w:r>
              <w:rPr>
                <w:rFonts w:hint="eastAsia" w:ascii="仿宋" w:eastAsia="仿宋" w:cs="仿宋"/>
                <w:sz w:val="24"/>
                <w:lang w:val="en-US" w:eastAsia="zh-CN" w:bidi="ar-SA"/>
              </w:rPr>
              <w:t>单三部曲式</w:t>
            </w:r>
          </w:p>
          <w:p w14:paraId="627D938E">
            <w:pPr>
              <w:pageBreakBefore w:val="0"/>
              <w:widowControl/>
              <w:kinsoku/>
              <w:overflowPunct/>
              <w:topLinePunct w:val="0"/>
              <w:bidi w:val="0"/>
              <w:adjustRightInd w:val="0"/>
              <w:snapToGrid w:val="0"/>
              <w:spacing w:line="240" w:lineRule="auto"/>
              <w:rPr>
                <w:rFonts w:hint="eastAsia" w:ascii="仿宋" w:eastAsia="仿宋" w:cs="仿宋"/>
                <w:sz w:val="24"/>
                <w:lang w:val="en-US" w:eastAsia="zh-CN" w:bidi="ar-SA"/>
              </w:rPr>
            </w:pPr>
            <w:r>
              <w:rPr>
                <w:rFonts w:hint="eastAsia" w:ascii="仿宋" w:eastAsia="仿宋" w:cs="仿宋"/>
                <w:sz w:val="24"/>
                <w:lang w:bidi="ar-SA"/>
              </w:rPr>
              <w:t>知道层次</w:t>
            </w:r>
            <w:r>
              <w:rPr>
                <w:rFonts w:hint="eastAsia" w:ascii="仿宋" w:eastAsia="仿宋" w:cs="仿宋"/>
                <w:sz w:val="24"/>
                <w:lang w:eastAsia="zh-CN" w:bidi="ar-SA"/>
              </w:rPr>
              <w:t>：了解单三部曲式的定义</w:t>
            </w:r>
          </w:p>
          <w:p w14:paraId="32616B63">
            <w:pPr>
              <w:pageBreakBefore w:val="0"/>
              <w:widowControl/>
              <w:kinsoku/>
              <w:overflowPunct/>
              <w:topLinePunct w:val="0"/>
              <w:bidi w:val="0"/>
              <w:adjustRightInd w:val="0"/>
              <w:snapToGrid w:val="0"/>
              <w:spacing w:line="240" w:lineRule="auto"/>
              <w:rPr>
                <w:rFonts w:hint="eastAsia" w:ascii="仿宋" w:eastAsia="仿宋" w:cs="仿宋"/>
                <w:sz w:val="24"/>
                <w:lang w:val="en-US" w:eastAsia="zh-CN" w:bidi="ar-SA"/>
              </w:rPr>
            </w:pPr>
            <w:r>
              <w:rPr>
                <w:rFonts w:hint="eastAsia" w:ascii="仿宋" w:eastAsia="仿宋" w:cs="仿宋"/>
                <w:sz w:val="24"/>
                <w:lang w:bidi="ar-SA"/>
              </w:rPr>
              <w:t>领会层次：</w:t>
            </w:r>
            <w:r>
              <w:rPr>
                <w:rFonts w:hint="eastAsia" w:ascii="仿宋" w:eastAsia="仿宋" w:cs="仿宋"/>
                <w:sz w:val="24"/>
                <w:lang w:eastAsia="zh-CN" w:bidi="ar-SA"/>
              </w:rPr>
              <w:t>掌握</w:t>
            </w:r>
            <w:r>
              <w:rPr>
                <w:rFonts w:hint="eastAsia" w:ascii="仿宋" w:eastAsia="仿宋" w:cs="仿宋"/>
                <w:sz w:val="24"/>
                <w:lang w:val="en-US" w:eastAsia="zh-CN" w:bidi="ar-SA"/>
              </w:rPr>
              <w:t>有再现部的单三部曲式的基本特征和结构复杂的再现单三部</w:t>
            </w:r>
          </w:p>
          <w:p w14:paraId="6F829BF9">
            <w:pPr>
              <w:pageBreakBefore w:val="0"/>
              <w:widowControl/>
              <w:kinsoku/>
              <w:overflowPunct/>
              <w:topLinePunct w:val="0"/>
              <w:bidi w:val="0"/>
              <w:adjustRightInd w:val="0"/>
              <w:snapToGrid w:val="0"/>
              <w:spacing w:line="240" w:lineRule="auto"/>
              <w:rPr>
                <w:rFonts w:hint="eastAsia" w:ascii="仿宋" w:eastAsia="仿宋" w:cs="仿宋"/>
                <w:sz w:val="24"/>
                <w:lang w:val="en-US" w:bidi="ar-SA"/>
              </w:rPr>
            </w:pPr>
            <w:r>
              <w:rPr>
                <w:rFonts w:hint="eastAsia" w:ascii="仿宋" w:eastAsia="仿宋" w:cs="仿宋"/>
                <w:sz w:val="24"/>
                <w:lang w:val="en-US" w:eastAsia="zh-CN" w:bidi="ar-SA"/>
              </w:rPr>
              <w:t>应用层次：熟练运用曲式构成条件进行有再现部的单三部曲式的实例分析</w:t>
            </w:r>
          </w:p>
        </w:tc>
        <w:tc>
          <w:tcPr>
            <w:tcW w:w="1477"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3615D">
            <w:pPr>
              <w:pageBreakBefore w:val="0"/>
              <w:widowControl/>
              <w:kinsoku/>
              <w:overflowPunct/>
              <w:topLinePunct w:val="0"/>
              <w:bidi w:val="0"/>
              <w:adjustRightInd w:val="0"/>
              <w:snapToGrid w:val="0"/>
              <w:spacing w:line="240" w:lineRule="auto"/>
              <w:jc w:val="center"/>
              <w:rPr>
                <w:rFonts w:hint="eastAsia" w:ascii="仿宋" w:eastAsia="仿宋" w:cs="仿宋"/>
                <w:sz w:val="24"/>
                <w:lang w:bidi="ar-SA"/>
              </w:rPr>
            </w:pPr>
            <w:r>
              <w:rPr>
                <w:rFonts w:hint="eastAsia" w:ascii="仿宋" w:eastAsia="仿宋" w:cs="仿宋"/>
                <w:sz w:val="24"/>
                <w:lang w:bidi="ar-SA"/>
              </w:rPr>
              <w:t>支撑课程目标1、2、3、4、5</w:t>
            </w:r>
          </w:p>
        </w:tc>
        <w:tc>
          <w:tcPr>
            <w:tcW w:w="682"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1A1A1A">
            <w:pPr>
              <w:pageBreakBefore w:val="0"/>
              <w:widowControl w:val="0"/>
              <w:kinsoku/>
              <w:overflowPunct/>
              <w:topLinePunct w:val="0"/>
              <w:bidi w:val="0"/>
              <w:adjustRightInd w:val="0"/>
              <w:snapToGrid w:val="0"/>
              <w:spacing w:line="240" w:lineRule="auto"/>
              <w:jc w:val="center"/>
              <w:rPr>
                <w:rFonts w:hint="eastAsia" w:ascii="仿宋" w:eastAsia="仿宋" w:cs="仿宋"/>
                <w:sz w:val="24"/>
                <w:lang w:eastAsia="zh-CN" w:bidi="ar-SA"/>
              </w:rPr>
            </w:pPr>
            <w:r>
              <w:rPr>
                <w:rFonts w:hint="eastAsia" w:ascii="仿宋" w:eastAsia="仿宋" w:cs="仿宋"/>
                <w:sz w:val="24"/>
                <w:lang w:val="en-US" w:eastAsia="zh-CN" w:bidi="ar-SA"/>
              </w:rPr>
              <w:t>8</w:t>
            </w:r>
          </w:p>
        </w:tc>
      </w:tr>
      <w:tr w14:paraId="0DB0FC34">
        <w:trPr>
          <w:trHeight w:val="624" w:hRule="atLeast"/>
          <w:jc w:val="center"/>
        </w:trPr>
        <w:tc>
          <w:tcPr>
            <w:tcW w:w="1334"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601195"/>
        </w:tc>
        <w:tc>
          <w:tcPr>
            <w:tcW w:w="5655"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D2D21">
            <w:pPr>
              <w:pageBreakBefore w:val="0"/>
              <w:widowControl/>
              <w:kinsoku/>
              <w:overflowPunct/>
              <w:topLinePunct w:val="0"/>
              <w:bidi w:val="0"/>
              <w:adjustRightInd w:val="0"/>
              <w:snapToGrid w:val="0"/>
              <w:spacing w:line="240" w:lineRule="auto"/>
              <w:rPr>
                <w:rFonts w:hint="eastAsia" w:ascii="仿宋" w:eastAsia="仿宋" w:cs="仿宋"/>
                <w:sz w:val="24"/>
                <w:lang w:bidi="ar-SA"/>
              </w:rPr>
            </w:pPr>
            <w:r>
              <w:rPr>
                <w:rFonts w:hint="eastAsia" w:ascii="仿宋" w:eastAsia="仿宋" w:cs="仿宋"/>
                <w:sz w:val="24"/>
                <w:lang w:bidi="ar-SA"/>
              </w:rPr>
              <w:t>第五章：复</w:t>
            </w:r>
            <w:r>
              <w:rPr>
                <w:rFonts w:hint="eastAsia" w:ascii="仿宋" w:eastAsia="仿宋" w:cs="仿宋"/>
                <w:sz w:val="24"/>
                <w:lang w:eastAsia="zh-CN" w:bidi="ar-SA"/>
              </w:rPr>
              <w:t>三</w:t>
            </w:r>
            <w:r>
              <w:rPr>
                <w:rFonts w:hint="eastAsia" w:ascii="仿宋" w:eastAsia="仿宋" w:cs="仿宋"/>
                <w:sz w:val="24"/>
                <w:lang w:bidi="ar-SA"/>
              </w:rPr>
              <w:t>部曲式</w:t>
            </w:r>
          </w:p>
          <w:p w14:paraId="4A8C0A33">
            <w:pPr>
              <w:pageBreakBefore w:val="0"/>
              <w:widowControl/>
              <w:kinsoku/>
              <w:overflowPunct/>
              <w:topLinePunct w:val="0"/>
              <w:bidi w:val="0"/>
              <w:adjustRightInd w:val="0"/>
              <w:snapToGrid w:val="0"/>
              <w:spacing w:line="240" w:lineRule="auto"/>
              <w:rPr>
                <w:rFonts w:hint="eastAsia" w:ascii="仿宋" w:eastAsia="仿宋" w:cs="仿宋"/>
                <w:sz w:val="24"/>
                <w:lang w:bidi="ar-SA"/>
              </w:rPr>
            </w:pPr>
            <w:r>
              <w:rPr>
                <w:rFonts w:hint="eastAsia" w:ascii="仿宋" w:eastAsia="仿宋" w:cs="仿宋"/>
                <w:sz w:val="24"/>
                <w:lang w:bidi="ar-SA"/>
              </w:rPr>
              <w:t>知道层次：了解复</w:t>
            </w:r>
            <w:r>
              <w:rPr>
                <w:rFonts w:hint="eastAsia" w:ascii="仿宋" w:eastAsia="仿宋" w:cs="仿宋"/>
                <w:sz w:val="24"/>
                <w:lang w:eastAsia="zh-CN" w:bidi="ar-SA"/>
              </w:rPr>
              <w:t>三</w:t>
            </w:r>
            <w:r>
              <w:rPr>
                <w:rFonts w:hint="eastAsia" w:ascii="仿宋" w:eastAsia="仿宋" w:cs="仿宋"/>
                <w:sz w:val="24"/>
                <w:lang w:bidi="ar-SA"/>
              </w:rPr>
              <w:t>部曲式的含义</w:t>
            </w:r>
          </w:p>
          <w:p w14:paraId="2497027B">
            <w:pPr>
              <w:pageBreakBefore w:val="0"/>
              <w:widowControl/>
              <w:kinsoku/>
              <w:overflowPunct/>
              <w:topLinePunct w:val="0"/>
              <w:bidi w:val="0"/>
              <w:adjustRightInd w:val="0"/>
              <w:snapToGrid w:val="0"/>
              <w:spacing w:line="240" w:lineRule="auto"/>
              <w:rPr>
                <w:rFonts w:hint="eastAsia" w:ascii="仿宋" w:eastAsia="仿宋" w:cs="仿宋"/>
                <w:sz w:val="24"/>
                <w:lang w:eastAsia="zh-CN" w:bidi="ar-SA"/>
              </w:rPr>
            </w:pPr>
            <w:r>
              <w:rPr>
                <w:rFonts w:hint="eastAsia" w:ascii="仿宋" w:eastAsia="仿宋" w:cs="仿宋"/>
                <w:sz w:val="24"/>
                <w:lang w:bidi="ar-SA"/>
              </w:rPr>
              <w:t>领会层次：掌握三部曲式的基本特征</w:t>
            </w:r>
          </w:p>
          <w:p w14:paraId="444D5D15">
            <w:pPr>
              <w:pageBreakBefore w:val="0"/>
              <w:widowControl/>
              <w:kinsoku/>
              <w:overflowPunct/>
              <w:topLinePunct w:val="0"/>
              <w:bidi w:val="0"/>
              <w:adjustRightInd w:val="0"/>
              <w:snapToGrid w:val="0"/>
              <w:spacing w:line="240" w:lineRule="auto"/>
              <w:rPr>
                <w:rFonts w:hint="eastAsia" w:ascii="仿宋" w:eastAsia="仿宋" w:cs="仿宋"/>
                <w:sz w:val="24"/>
                <w:lang w:val="en-US" w:bidi="ar-SA"/>
              </w:rPr>
            </w:pPr>
            <w:r>
              <w:rPr>
                <w:rFonts w:hint="eastAsia" w:ascii="仿宋" w:eastAsia="仿宋" w:cs="仿宋"/>
                <w:sz w:val="24"/>
                <w:lang w:eastAsia="zh-CN" w:bidi="ar-SA"/>
              </w:rPr>
              <w:t>应用层次：熟练运用</w:t>
            </w:r>
            <w:r>
              <w:rPr>
                <w:rFonts w:hint="eastAsia" w:ascii="仿宋" w:eastAsia="仿宋" w:cs="仿宋"/>
                <w:sz w:val="24"/>
                <w:lang w:val="en-US" w:eastAsia="zh-CN" w:bidi="ar-SA"/>
              </w:rPr>
              <w:t>曲式构成条件进行</w:t>
            </w:r>
            <w:r>
              <w:rPr>
                <w:rFonts w:hint="eastAsia" w:ascii="仿宋" w:eastAsia="仿宋" w:cs="仿宋"/>
                <w:sz w:val="24"/>
                <w:lang w:bidi="ar-SA"/>
              </w:rPr>
              <w:t>复</w:t>
            </w:r>
            <w:r>
              <w:rPr>
                <w:rFonts w:hint="eastAsia" w:ascii="仿宋" w:eastAsia="仿宋" w:cs="仿宋"/>
                <w:sz w:val="24"/>
                <w:lang w:eastAsia="zh-CN" w:bidi="ar-SA"/>
              </w:rPr>
              <w:t>三部曲式的曲式分析</w:t>
            </w:r>
          </w:p>
        </w:tc>
        <w:tc>
          <w:tcPr>
            <w:tcW w:w="1477"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045AC">
            <w:pPr>
              <w:pageBreakBefore w:val="0"/>
              <w:widowControl/>
              <w:kinsoku/>
              <w:overflowPunct/>
              <w:topLinePunct w:val="0"/>
              <w:bidi w:val="0"/>
              <w:adjustRightInd w:val="0"/>
              <w:snapToGrid w:val="0"/>
              <w:spacing w:line="240" w:lineRule="auto"/>
              <w:jc w:val="center"/>
              <w:rPr>
                <w:rFonts w:hint="eastAsia" w:ascii="仿宋" w:eastAsia="仿宋" w:cs="仿宋"/>
                <w:sz w:val="24"/>
                <w:lang w:bidi="ar-SA"/>
              </w:rPr>
            </w:pPr>
            <w:r>
              <w:rPr>
                <w:rFonts w:hint="eastAsia" w:ascii="仿宋" w:eastAsia="仿宋" w:cs="仿宋"/>
                <w:sz w:val="24"/>
                <w:lang w:bidi="ar-SA"/>
              </w:rPr>
              <w:t>支撑课程目标1、2、3、4、5</w:t>
            </w:r>
          </w:p>
        </w:tc>
        <w:tc>
          <w:tcPr>
            <w:tcW w:w="682"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A3C909">
            <w:pPr>
              <w:pageBreakBefore w:val="0"/>
              <w:widowControl w:val="0"/>
              <w:kinsoku/>
              <w:overflowPunct/>
              <w:topLinePunct w:val="0"/>
              <w:bidi w:val="0"/>
              <w:adjustRightInd w:val="0"/>
              <w:snapToGrid w:val="0"/>
              <w:spacing w:line="240" w:lineRule="auto"/>
              <w:jc w:val="center"/>
              <w:rPr>
                <w:rFonts w:hint="eastAsia" w:ascii="仿宋" w:eastAsia="仿宋" w:cs="仿宋"/>
                <w:sz w:val="24"/>
                <w:lang w:eastAsia="zh-CN" w:bidi="ar-SA"/>
              </w:rPr>
            </w:pPr>
            <w:r>
              <w:rPr>
                <w:rFonts w:hint="eastAsia" w:ascii="仿宋" w:eastAsia="仿宋" w:cs="仿宋"/>
                <w:sz w:val="24"/>
                <w:lang w:val="en-US" w:eastAsia="zh-CN" w:bidi="ar-SA"/>
              </w:rPr>
              <w:t>6</w:t>
            </w:r>
          </w:p>
        </w:tc>
      </w:tr>
      <w:tr w14:paraId="657157C1">
        <w:trPr>
          <w:trHeight w:val="624" w:hRule="atLeast"/>
          <w:jc w:val="center"/>
        </w:trPr>
        <w:tc>
          <w:tcPr>
            <w:tcW w:w="1334"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2B60D8"/>
        </w:tc>
        <w:tc>
          <w:tcPr>
            <w:tcW w:w="5655"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3F346">
            <w:pPr>
              <w:pageBreakBefore w:val="0"/>
              <w:widowControl/>
              <w:kinsoku/>
              <w:overflowPunct/>
              <w:topLinePunct w:val="0"/>
              <w:bidi w:val="0"/>
              <w:adjustRightInd w:val="0"/>
              <w:snapToGrid w:val="0"/>
              <w:spacing w:line="240" w:lineRule="auto"/>
              <w:rPr>
                <w:rFonts w:hint="eastAsia" w:ascii="仿宋" w:eastAsia="仿宋" w:cs="仿宋"/>
                <w:sz w:val="24"/>
                <w:lang w:bidi="ar-SA"/>
              </w:rPr>
            </w:pPr>
            <w:r>
              <w:rPr>
                <w:rFonts w:hint="eastAsia" w:ascii="仿宋" w:eastAsia="仿宋" w:cs="仿宋"/>
                <w:sz w:val="24"/>
                <w:lang w:bidi="ar-SA"/>
              </w:rPr>
              <w:t>第六章：变奏曲式</w:t>
            </w:r>
          </w:p>
          <w:p w14:paraId="62B184AF">
            <w:pPr>
              <w:pageBreakBefore w:val="0"/>
              <w:widowControl/>
              <w:kinsoku/>
              <w:overflowPunct/>
              <w:topLinePunct w:val="0"/>
              <w:bidi w:val="0"/>
              <w:adjustRightInd w:val="0"/>
              <w:snapToGrid w:val="0"/>
              <w:spacing w:line="240" w:lineRule="auto"/>
              <w:rPr>
                <w:rFonts w:hint="eastAsia" w:ascii="仿宋" w:eastAsia="仿宋" w:cs="仿宋"/>
                <w:sz w:val="24"/>
                <w:lang w:val="en-US" w:eastAsia="zh-CN" w:bidi="ar-SA"/>
              </w:rPr>
            </w:pPr>
            <w:r>
              <w:rPr>
                <w:rFonts w:hint="eastAsia" w:ascii="仿宋" w:eastAsia="仿宋" w:cs="仿宋"/>
                <w:sz w:val="24"/>
                <w:lang w:bidi="ar-SA"/>
              </w:rPr>
              <w:t>知道层次</w:t>
            </w:r>
            <w:r>
              <w:rPr>
                <w:rFonts w:hint="eastAsia" w:ascii="仿宋" w:eastAsia="仿宋" w:cs="仿宋"/>
                <w:sz w:val="24"/>
                <w:lang w:eastAsia="zh-CN" w:bidi="ar-SA"/>
              </w:rPr>
              <w:t>：</w:t>
            </w:r>
            <w:r>
              <w:rPr>
                <w:rFonts w:hint="eastAsia" w:ascii="仿宋" w:eastAsia="仿宋" w:cs="仿宋"/>
                <w:sz w:val="24"/>
                <w:lang w:val="en-US" w:eastAsia="zh-CN" w:bidi="ar-SA"/>
              </w:rPr>
              <w:t>了解变奏曲式的定义以及变奏曲式构成条件</w:t>
            </w:r>
          </w:p>
          <w:p w14:paraId="192B0D7E">
            <w:pPr>
              <w:pageBreakBefore w:val="0"/>
              <w:widowControl/>
              <w:kinsoku/>
              <w:overflowPunct/>
              <w:topLinePunct w:val="0"/>
              <w:bidi w:val="0"/>
              <w:adjustRightInd w:val="0"/>
              <w:snapToGrid w:val="0"/>
              <w:spacing w:line="240" w:lineRule="auto"/>
              <w:rPr>
                <w:rFonts w:hint="eastAsia" w:ascii="仿宋" w:eastAsia="仿宋" w:cs="仿宋"/>
                <w:sz w:val="24"/>
                <w:lang w:eastAsia="zh-CN" w:bidi="ar-SA"/>
              </w:rPr>
            </w:pPr>
            <w:r>
              <w:rPr>
                <w:rFonts w:hint="eastAsia" w:ascii="仿宋" w:eastAsia="仿宋" w:cs="仿宋"/>
                <w:sz w:val="24"/>
                <w:lang w:bidi="ar-SA"/>
              </w:rPr>
              <w:t>领会曲式：掌握如何分析</w:t>
            </w:r>
            <w:r>
              <w:rPr>
                <w:rFonts w:hint="eastAsia" w:ascii="仿宋" w:eastAsia="仿宋" w:cs="仿宋"/>
                <w:sz w:val="24"/>
                <w:lang w:val="en-US" w:eastAsia="zh-CN" w:bidi="ar-SA"/>
              </w:rPr>
              <w:t>变奏</w:t>
            </w:r>
            <w:r>
              <w:rPr>
                <w:rFonts w:hint="eastAsia" w:ascii="仿宋" w:eastAsia="仿宋" w:cs="仿宋"/>
                <w:sz w:val="24"/>
                <w:lang w:eastAsia="zh-CN" w:bidi="ar-SA"/>
              </w:rPr>
              <w:t>曲式</w:t>
            </w:r>
          </w:p>
          <w:p w14:paraId="77D6F13B">
            <w:pPr>
              <w:pageBreakBefore w:val="0"/>
              <w:widowControl/>
              <w:kinsoku/>
              <w:overflowPunct/>
              <w:topLinePunct w:val="0"/>
              <w:bidi w:val="0"/>
              <w:adjustRightInd w:val="0"/>
              <w:snapToGrid w:val="0"/>
              <w:spacing w:line="240" w:lineRule="auto"/>
              <w:rPr>
                <w:rFonts w:hint="eastAsia"/>
                <w:lang w:val="en-US"/>
              </w:rPr>
            </w:pPr>
            <w:r>
              <w:rPr>
                <w:rFonts w:hint="eastAsia" w:ascii="仿宋" w:eastAsia="仿宋" w:cs="仿宋"/>
                <w:sz w:val="24"/>
                <w:lang w:val="en-US" w:eastAsia="zh-CN" w:bidi="ar-SA"/>
              </w:rPr>
              <w:t>应用层次：</w:t>
            </w:r>
            <w:r>
              <w:rPr>
                <w:rFonts w:hint="eastAsia" w:ascii="仿宋" w:eastAsia="仿宋" w:cs="仿宋"/>
                <w:sz w:val="24"/>
                <w:lang w:bidi="ar-SA"/>
              </w:rPr>
              <w:t>了解</w:t>
            </w:r>
            <w:r>
              <w:rPr>
                <w:rFonts w:hint="eastAsia" w:ascii="仿宋" w:eastAsia="仿宋" w:cs="仿宋"/>
                <w:sz w:val="24"/>
                <w:lang w:val="en-US" w:eastAsia="zh-CN" w:bidi="ar-SA"/>
              </w:rPr>
              <w:t>变奏</w:t>
            </w:r>
            <w:r>
              <w:rPr>
                <w:rFonts w:hint="eastAsia" w:ascii="仿宋" w:eastAsia="仿宋" w:cs="仿宋"/>
                <w:sz w:val="24"/>
                <w:lang w:eastAsia="zh-CN" w:bidi="ar-SA"/>
              </w:rPr>
              <w:t>曲式的实例分析</w:t>
            </w:r>
          </w:p>
        </w:tc>
        <w:tc>
          <w:tcPr>
            <w:tcW w:w="1477"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CE345">
            <w:pPr>
              <w:pageBreakBefore w:val="0"/>
              <w:widowControl/>
              <w:kinsoku/>
              <w:overflowPunct/>
              <w:topLinePunct w:val="0"/>
              <w:bidi w:val="0"/>
              <w:adjustRightInd w:val="0"/>
              <w:snapToGrid w:val="0"/>
              <w:spacing w:line="240" w:lineRule="auto"/>
              <w:jc w:val="center"/>
              <w:rPr>
                <w:rFonts w:hint="eastAsia" w:ascii="仿宋" w:eastAsia="仿宋" w:cs="仿宋"/>
                <w:sz w:val="24"/>
                <w:lang w:bidi="ar-SA"/>
              </w:rPr>
            </w:pPr>
            <w:r>
              <w:rPr>
                <w:rFonts w:hint="eastAsia" w:ascii="仿宋" w:eastAsia="仿宋" w:cs="仿宋"/>
                <w:sz w:val="24"/>
                <w:lang w:bidi="ar-SA"/>
              </w:rPr>
              <w:t>支撑课程目标1、2、3、4、5</w:t>
            </w:r>
          </w:p>
        </w:tc>
        <w:tc>
          <w:tcPr>
            <w:tcW w:w="682"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5E996D">
            <w:pPr>
              <w:pageBreakBefore w:val="0"/>
              <w:widowControl w:val="0"/>
              <w:kinsoku/>
              <w:overflowPunct/>
              <w:topLinePunct w:val="0"/>
              <w:bidi w:val="0"/>
              <w:adjustRightInd w:val="0"/>
              <w:snapToGrid w:val="0"/>
              <w:spacing w:line="240" w:lineRule="auto"/>
              <w:jc w:val="center"/>
              <w:rPr>
                <w:rFonts w:hint="eastAsia" w:ascii="仿宋" w:eastAsia="仿宋" w:cs="仿宋"/>
                <w:sz w:val="24"/>
                <w:lang w:bidi="ar-SA"/>
              </w:rPr>
            </w:pPr>
            <w:r>
              <w:rPr>
                <w:rFonts w:hint="eastAsia" w:ascii="仿宋" w:eastAsia="仿宋" w:cs="仿宋"/>
                <w:sz w:val="24"/>
                <w:lang w:val="en-US" w:eastAsia="zh-CN" w:bidi="ar-SA"/>
              </w:rPr>
              <w:t>2</w:t>
            </w:r>
          </w:p>
        </w:tc>
      </w:tr>
      <w:tr w14:paraId="5731A429">
        <w:trPr>
          <w:trHeight w:val="624" w:hRule="atLeast"/>
          <w:jc w:val="center"/>
        </w:trPr>
        <w:tc>
          <w:tcPr>
            <w:tcW w:w="1334"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155D74"/>
        </w:tc>
        <w:tc>
          <w:tcPr>
            <w:tcW w:w="5655"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F2599">
            <w:pPr>
              <w:pageBreakBefore w:val="0"/>
              <w:widowControl/>
              <w:kinsoku/>
              <w:overflowPunct/>
              <w:topLinePunct w:val="0"/>
              <w:bidi w:val="0"/>
              <w:adjustRightInd w:val="0"/>
              <w:snapToGrid w:val="0"/>
              <w:spacing w:line="240" w:lineRule="auto"/>
              <w:rPr>
                <w:rFonts w:hint="eastAsia" w:ascii="仿宋" w:eastAsia="仿宋" w:cs="仿宋"/>
                <w:sz w:val="24"/>
                <w:lang w:bidi="ar-SA"/>
              </w:rPr>
            </w:pPr>
            <w:r>
              <w:rPr>
                <w:rFonts w:hint="eastAsia" w:ascii="仿宋" w:eastAsia="仿宋" w:cs="仿宋"/>
                <w:sz w:val="24"/>
                <w:lang w:bidi="ar-SA"/>
              </w:rPr>
              <w:t>第</w:t>
            </w:r>
            <w:r>
              <w:rPr>
                <w:rFonts w:hint="eastAsia" w:ascii="仿宋" w:eastAsia="仿宋" w:cs="仿宋"/>
                <w:sz w:val="24"/>
                <w:lang w:val="en-US" w:eastAsia="zh-CN" w:bidi="ar-SA"/>
              </w:rPr>
              <w:t>七</w:t>
            </w:r>
            <w:r>
              <w:rPr>
                <w:rFonts w:hint="eastAsia" w:ascii="仿宋" w:eastAsia="仿宋" w:cs="仿宋"/>
                <w:sz w:val="24"/>
                <w:lang w:bidi="ar-SA"/>
              </w:rPr>
              <w:t>章：回旋曲式</w:t>
            </w:r>
          </w:p>
          <w:p w14:paraId="25133F4C">
            <w:pPr>
              <w:pageBreakBefore w:val="0"/>
              <w:widowControl/>
              <w:kinsoku/>
              <w:overflowPunct/>
              <w:topLinePunct w:val="0"/>
              <w:bidi w:val="0"/>
              <w:adjustRightInd w:val="0"/>
              <w:snapToGrid w:val="0"/>
              <w:spacing w:line="240" w:lineRule="auto"/>
              <w:rPr>
                <w:rFonts w:hint="eastAsia" w:ascii="仿宋" w:eastAsia="仿宋" w:cs="仿宋"/>
                <w:sz w:val="24"/>
                <w:lang w:val="en-US" w:eastAsia="zh-CN" w:bidi="ar-SA"/>
              </w:rPr>
            </w:pPr>
            <w:r>
              <w:rPr>
                <w:rFonts w:hint="eastAsia" w:ascii="仿宋" w:eastAsia="仿宋" w:cs="仿宋"/>
                <w:sz w:val="24"/>
                <w:lang w:bidi="ar-SA"/>
              </w:rPr>
              <w:t>知道层次</w:t>
            </w:r>
            <w:r>
              <w:rPr>
                <w:rFonts w:hint="eastAsia" w:ascii="仿宋" w:eastAsia="仿宋" w:cs="仿宋"/>
                <w:sz w:val="24"/>
                <w:lang w:eastAsia="zh-CN" w:bidi="ar-SA"/>
              </w:rPr>
              <w:t>：</w:t>
            </w:r>
            <w:r>
              <w:rPr>
                <w:rFonts w:hint="eastAsia" w:ascii="仿宋" w:eastAsia="仿宋" w:cs="仿宋"/>
                <w:sz w:val="24"/>
                <w:lang w:val="en-US" w:eastAsia="zh-CN" w:bidi="ar-SA"/>
              </w:rPr>
              <w:t>了解回旋曲式的定义以及回旋曲式构成条件</w:t>
            </w:r>
          </w:p>
          <w:p w14:paraId="48761A48">
            <w:pPr>
              <w:pageBreakBefore w:val="0"/>
              <w:widowControl/>
              <w:kinsoku/>
              <w:overflowPunct/>
              <w:topLinePunct w:val="0"/>
              <w:bidi w:val="0"/>
              <w:adjustRightInd w:val="0"/>
              <w:snapToGrid w:val="0"/>
              <w:spacing w:line="240" w:lineRule="auto"/>
              <w:rPr>
                <w:rFonts w:hint="eastAsia" w:ascii="仿宋" w:eastAsia="仿宋" w:cs="仿宋"/>
                <w:sz w:val="24"/>
                <w:lang w:eastAsia="zh-CN" w:bidi="ar-SA"/>
              </w:rPr>
            </w:pPr>
            <w:r>
              <w:rPr>
                <w:rFonts w:hint="eastAsia" w:ascii="仿宋" w:eastAsia="仿宋" w:cs="仿宋"/>
                <w:sz w:val="24"/>
                <w:lang w:bidi="ar-SA"/>
              </w:rPr>
              <w:t>领会曲式：掌握如何分析</w:t>
            </w:r>
            <w:r>
              <w:rPr>
                <w:rFonts w:hint="eastAsia" w:ascii="仿宋" w:eastAsia="仿宋" w:cs="仿宋"/>
                <w:sz w:val="24"/>
                <w:lang w:eastAsia="zh-CN" w:bidi="ar-SA"/>
              </w:rPr>
              <w:t>单结构回旋曲式</w:t>
            </w:r>
          </w:p>
          <w:p w14:paraId="4041EDA6">
            <w:pPr>
              <w:pageBreakBefore w:val="0"/>
              <w:widowControl/>
              <w:kinsoku/>
              <w:overflowPunct/>
              <w:topLinePunct w:val="0"/>
              <w:bidi w:val="0"/>
              <w:adjustRightInd w:val="0"/>
              <w:snapToGrid w:val="0"/>
              <w:spacing w:line="240" w:lineRule="auto"/>
              <w:rPr>
                <w:rFonts w:hint="eastAsia" w:ascii="仿宋" w:hAnsi="Times New Roman" w:eastAsia="仿宋" w:cs="仿宋"/>
                <w:color w:val="000000"/>
                <w:sz w:val="24"/>
                <w:szCs w:val="22"/>
                <w:lang w:val="en-US" w:eastAsia="zh-CN" w:bidi="ar-SA"/>
              </w:rPr>
            </w:pPr>
            <w:r>
              <w:rPr>
                <w:rFonts w:hint="eastAsia" w:ascii="仿宋" w:eastAsia="仿宋" w:cs="仿宋"/>
                <w:sz w:val="24"/>
                <w:lang w:val="en-US" w:eastAsia="zh-CN" w:bidi="ar-SA"/>
              </w:rPr>
              <w:t>应用层次：</w:t>
            </w:r>
            <w:r>
              <w:rPr>
                <w:rFonts w:hint="eastAsia" w:ascii="仿宋" w:eastAsia="仿宋" w:cs="仿宋"/>
                <w:sz w:val="24"/>
                <w:lang w:bidi="ar-SA"/>
              </w:rPr>
              <w:t>了解</w:t>
            </w:r>
            <w:r>
              <w:rPr>
                <w:rFonts w:hint="eastAsia" w:ascii="仿宋" w:eastAsia="仿宋" w:cs="仿宋"/>
                <w:sz w:val="24"/>
                <w:lang w:eastAsia="zh-CN" w:bidi="ar-SA"/>
              </w:rPr>
              <w:t>回旋曲式的实例分析</w:t>
            </w:r>
          </w:p>
        </w:tc>
        <w:tc>
          <w:tcPr>
            <w:tcW w:w="1477"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4374A">
            <w:pPr>
              <w:pageBreakBefore w:val="0"/>
              <w:widowControl/>
              <w:kinsoku/>
              <w:overflowPunct/>
              <w:topLinePunct w:val="0"/>
              <w:bidi w:val="0"/>
              <w:adjustRightInd w:val="0"/>
              <w:snapToGrid w:val="0"/>
              <w:spacing w:line="240" w:lineRule="auto"/>
              <w:jc w:val="center"/>
              <w:rPr>
                <w:rFonts w:hint="eastAsia" w:ascii="仿宋" w:hAnsi="Times New Roman" w:eastAsia="仿宋" w:cs="仿宋"/>
                <w:color w:val="000000"/>
                <w:sz w:val="24"/>
                <w:szCs w:val="22"/>
                <w:lang w:val="en-US" w:eastAsia="zh-CN" w:bidi="ar-SA"/>
              </w:rPr>
            </w:pPr>
            <w:r>
              <w:rPr>
                <w:rFonts w:hint="eastAsia" w:ascii="仿宋" w:eastAsia="仿宋" w:cs="仿宋"/>
                <w:sz w:val="24"/>
                <w:lang w:bidi="ar-SA"/>
              </w:rPr>
              <w:t>支撑课程目标1、2、3、4、5</w:t>
            </w:r>
          </w:p>
        </w:tc>
        <w:tc>
          <w:tcPr>
            <w:tcW w:w="682"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211738">
            <w:pPr>
              <w:pageBreakBefore w:val="0"/>
              <w:widowControl w:val="0"/>
              <w:kinsoku/>
              <w:overflowPunct/>
              <w:topLinePunct w:val="0"/>
              <w:bidi w:val="0"/>
              <w:adjustRightInd w:val="0"/>
              <w:snapToGrid w:val="0"/>
              <w:spacing w:line="240" w:lineRule="auto"/>
              <w:jc w:val="center"/>
              <w:rPr>
                <w:rFonts w:hint="eastAsia" w:ascii="仿宋" w:hAnsi="Times New Roman" w:eastAsia="仿宋" w:cs="仿宋"/>
                <w:color w:val="000000"/>
                <w:sz w:val="24"/>
                <w:szCs w:val="22"/>
                <w:lang w:val="en-US" w:eastAsia="zh-CN" w:bidi="ar-SA"/>
              </w:rPr>
            </w:pPr>
            <w:r>
              <w:rPr>
                <w:rFonts w:hint="eastAsia" w:ascii="仿宋" w:eastAsia="仿宋" w:cs="仿宋"/>
                <w:sz w:val="24"/>
                <w:lang w:val="en-US" w:eastAsia="zh-CN" w:bidi="ar-SA"/>
              </w:rPr>
              <w:t>2</w:t>
            </w:r>
          </w:p>
        </w:tc>
      </w:tr>
      <w:tr w14:paraId="1FC6DB80">
        <w:trPr>
          <w:trHeight w:val="624" w:hRule="atLeast"/>
          <w:jc w:val="center"/>
        </w:trPr>
        <w:tc>
          <w:tcPr>
            <w:tcW w:w="1334"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864ACF"/>
        </w:tc>
        <w:tc>
          <w:tcPr>
            <w:tcW w:w="5655"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73198">
            <w:pPr>
              <w:pageBreakBefore w:val="0"/>
              <w:widowControl/>
              <w:kinsoku/>
              <w:overflowPunct/>
              <w:topLinePunct w:val="0"/>
              <w:bidi w:val="0"/>
              <w:adjustRightInd w:val="0"/>
              <w:snapToGrid w:val="0"/>
              <w:spacing w:line="240" w:lineRule="auto"/>
              <w:rPr>
                <w:rFonts w:hint="eastAsia" w:ascii="仿宋" w:eastAsia="仿宋" w:cs="仿宋"/>
                <w:sz w:val="24"/>
                <w:lang w:val="en-US" w:eastAsia="zh-CN" w:bidi="ar-SA"/>
              </w:rPr>
            </w:pPr>
            <w:r>
              <w:rPr>
                <w:rFonts w:hint="eastAsia" w:ascii="仿宋" w:eastAsia="仿宋" w:cs="仿宋"/>
                <w:sz w:val="24"/>
                <w:lang w:val="en-US" w:eastAsia="zh-CN" w:bidi="ar-SA"/>
              </w:rPr>
              <w:t>第八章：奏鸣曲式</w:t>
            </w:r>
          </w:p>
          <w:p w14:paraId="64E8AEC2">
            <w:pPr>
              <w:pageBreakBefore w:val="0"/>
              <w:widowControl/>
              <w:kinsoku/>
              <w:overflowPunct/>
              <w:topLinePunct w:val="0"/>
              <w:bidi w:val="0"/>
              <w:adjustRightInd w:val="0"/>
              <w:snapToGrid w:val="0"/>
              <w:spacing w:line="240" w:lineRule="auto"/>
              <w:rPr>
                <w:rFonts w:hint="eastAsia" w:ascii="仿宋" w:eastAsia="仿宋" w:cs="仿宋"/>
                <w:sz w:val="24"/>
                <w:lang w:val="en-US" w:eastAsia="zh-CN" w:bidi="ar-SA"/>
              </w:rPr>
            </w:pPr>
            <w:r>
              <w:rPr>
                <w:rFonts w:hint="eastAsia" w:ascii="仿宋" w:eastAsia="仿宋" w:cs="仿宋"/>
                <w:sz w:val="24"/>
                <w:lang w:val="en-US" w:eastAsia="zh-CN" w:bidi="ar-SA"/>
              </w:rPr>
              <w:t>知道层次：了解掌握奏鸣曲式的结构及组成</w:t>
            </w:r>
          </w:p>
          <w:p w14:paraId="74F92616">
            <w:pPr>
              <w:pageBreakBefore w:val="0"/>
              <w:widowControl/>
              <w:kinsoku/>
              <w:overflowPunct/>
              <w:topLinePunct w:val="0"/>
              <w:bidi w:val="0"/>
              <w:adjustRightInd w:val="0"/>
              <w:snapToGrid w:val="0"/>
              <w:spacing w:line="240" w:lineRule="auto"/>
              <w:rPr>
                <w:rFonts w:hint="eastAsia" w:ascii="仿宋" w:eastAsia="仿宋" w:cs="仿宋"/>
                <w:sz w:val="24"/>
                <w:lang w:val="en-US" w:eastAsia="zh-CN" w:bidi="ar-SA"/>
              </w:rPr>
            </w:pPr>
            <w:r>
              <w:rPr>
                <w:rFonts w:hint="eastAsia" w:ascii="仿宋" w:eastAsia="仿宋" w:cs="仿宋"/>
                <w:sz w:val="24"/>
                <w:lang w:val="en-US" w:eastAsia="zh-CN" w:bidi="ar-SA"/>
              </w:rPr>
              <w:t>领会曲式：了解不同于标准类型的曲式结构</w:t>
            </w:r>
          </w:p>
          <w:p w14:paraId="44E39CFB">
            <w:pPr>
              <w:pageBreakBefore w:val="0"/>
              <w:widowControl/>
              <w:kinsoku/>
              <w:overflowPunct/>
              <w:topLinePunct w:val="0"/>
              <w:bidi w:val="0"/>
              <w:adjustRightInd w:val="0"/>
              <w:snapToGrid w:val="0"/>
              <w:spacing w:line="240" w:lineRule="auto"/>
              <w:rPr>
                <w:rFonts w:hint="eastAsia"/>
                <w:lang w:val="en-US" w:eastAsia="zh-CN"/>
              </w:rPr>
            </w:pPr>
            <w:r>
              <w:rPr>
                <w:rFonts w:hint="eastAsia" w:ascii="仿宋" w:eastAsia="仿宋" w:cs="仿宋"/>
                <w:sz w:val="24"/>
                <w:lang w:val="en-US" w:eastAsia="zh-CN" w:bidi="ar-SA"/>
              </w:rPr>
              <w:t>应用层次：了解奏鸣曲式的实例分析</w:t>
            </w:r>
          </w:p>
        </w:tc>
        <w:tc>
          <w:tcPr>
            <w:tcW w:w="1477"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3E0D1">
            <w:pPr>
              <w:pageBreakBefore w:val="0"/>
              <w:widowControl/>
              <w:kinsoku/>
              <w:overflowPunct/>
              <w:topLinePunct w:val="0"/>
              <w:bidi w:val="0"/>
              <w:adjustRightInd w:val="0"/>
              <w:snapToGrid w:val="0"/>
              <w:spacing w:line="240" w:lineRule="auto"/>
              <w:jc w:val="center"/>
              <w:rPr>
                <w:rFonts w:hint="eastAsia" w:ascii="仿宋" w:eastAsia="仿宋" w:cs="仿宋"/>
                <w:sz w:val="24"/>
                <w:lang w:bidi="ar-SA"/>
              </w:rPr>
            </w:pPr>
            <w:r>
              <w:rPr>
                <w:rFonts w:hint="eastAsia" w:ascii="仿宋" w:eastAsia="仿宋" w:cs="仿宋"/>
                <w:sz w:val="24"/>
                <w:lang w:bidi="ar-SA"/>
              </w:rPr>
              <w:t>支撑课程目标1、2、3、4、5</w:t>
            </w:r>
          </w:p>
        </w:tc>
        <w:tc>
          <w:tcPr>
            <w:tcW w:w="682"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DC4BAE">
            <w:pPr>
              <w:pageBreakBefore w:val="0"/>
              <w:widowControl w:val="0"/>
              <w:kinsoku/>
              <w:overflowPunct/>
              <w:topLinePunct w:val="0"/>
              <w:bidi w:val="0"/>
              <w:adjustRightInd w:val="0"/>
              <w:snapToGrid w:val="0"/>
              <w:spacing w:line="240" w:lineRule="auto"/>
              <w:jc w:val="center"/>
              <w:rPr>
                <w:rFonts w:hint="eastAsia" w:ascii="仿宋" w:eastAsia="仿宋" w:cs="仿宋"/>
                <w:sz w:val="24"/>
                <w:lang w:eastAsia="zh-CN" w:bidi="ar-SA"/>
              </w:rPr>
            </w:pPr>
            <w:r>
              <w:rPr>
                <w:rFonts w:hint="eastAsia" w:ascii="仿宋" w:eastAsia="仿宋" w:cs="仿宋"/>
                <w:sz w:val="24"/>
                <w:lang w:val="en-US" w:eastAsia="zh-CN" w:bidi="ar-SA"/>
              </w:rPr>
              <w:t>2</w:t>
            </w:r>
          </w:p>
        </w:tc>
      </w:tr>
      <w:tr w14:paraId="2D2FEB9F">
        <w:trPr>
          <w:trHeight w:val="624" w:hRule="atLeast"/>
          <w:jc w:val="center"/>
        </w:trPr>
        <w:tc>
          <w:tcPr>
            <w:tcW w:w="1334"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F33BEC"/>
        </w:tc>
        <w:tc>
          <w:tcPr>
            <w:tcW w:w="7132" w:type="dxa"/>
            <w:gridSpan w:val="1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99FCB">
            <w:pPr>
              <w:pageBreakBefore w:val="0"/>
              <w:widowControl w:val="0"/>
              <w:kinsoku/>
              <w:overflowPunct/>
              <w:topLinePunct w:val="0"/>
              <w:bidi w:val="0"/>
              <w:spacing w:line="240" w:lineRule="auto"/>
              <w:jc w:val="center"/>
              <w:rPr>
                <w:rFonts w:hint="eastAsia" w:ascii="仿宋" w:eastAsia="仿宋" w:cs="仿宋"/>
                <w:kern w:val="2"/>
                <w:sz w:val="24"/>
                <w:szCs w:val="24"/>
                <w:lang w:bidi="ar-SA"/>
              </w:rPr>
            </w:pPr>
            <w:r>
              <w:rPr>
                <w:rFonts w:hint="eastAsia" w:ascii="仿宋" w:eastAsia="仿宋" w:cs="仿宋"/>
                <w:kern w:val="2"/>
                <w:sz w:val="24"/>
                <w:szCs w:val="24"/>
                <w:lang w:bidi="ar-SA"/>
              </w:rPr>
              <w:t>合计</w:t>
            </w:r>
          </w:p>
        </w:tc>
        <w:tc>
          <w:tcPr>
            <w:tcW w:w="682"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0F7387">
            <w:pPr>
              <w:pageBreakBefore w:val="0"/>
              <w:widowControl w:val="0"/>
              <w:kinsoku/>
              <w:overflowPunct/>
              <w:topLinePunct w:val="0"/>
              <w:bidi w:val="0"/>
              <w:spacing w:line="240" w:lineRule="auto"/>
              <w:jc w:val="center"/>
              <w:rPr>
                <w:rFonts w:hint="eastAsia" w:ascii="仿宋" w:eastAsia="仿宋" w:cs="仿宋"/>
                <w:color w:val="4472C4"/>
                <w:kern w:val="2"/>
                <w:sz w:val="24"/>
                <w:szCs w:val="24"/>
                <w:lang w:bidi="ar-SA"/>
              </w:rPr>
            </w:pPr>
            <w:r>
              <w:rPr>
                <w:rFonts w:hint="eastAsia" w:ascii="仿宋" w:eastAsia="仿宋" w:cs="仿宋"/>
                <w:color w:val="000000"/>
                <w:sz w:val="24"/>
                <w:szCs w:val="24"/>
                <w:lang w:bidi="ar-SA"/>
              </w:rPr>
              <w:t>32</w:t>
            </w:r>
          </w:p>
        </w:tc>
      </w:tr>
      <w:tr w14:paraId="0C4D6682">
        <w:trPr>
          <w:trHeight w:val="624" w:hRule="atLeast"/>
          <w:jc w:val="center"/>
        </w:trPr>
        <w:tc>
          <w:tcPr>
            <w:tcW w:w="1334" w:type="dxa"/>
            <w:tcBorders>
              <w:top w:val="single" w:color="000000" w:sz="4" w:space="0"/>
              <w:left w:val="single" w:color="000000" w:sz="4" w:space="0"/>
              <w:bottom w:val="single" w:color="000000" w:sz="4" w:space="0"/>
              <w:right w:val="single" w:color="000000" w:sz="4" w:space="0"/>
            </w:tcBorders>
            <w:noWrap/>
            <w:vAlign w:val="center"/>
          </w:tcPr>
          <w:p w14:paraId="06EEB595">
            <w:pPr>
              <w:pageBreakBefore w:val="0"/>
              <w:widowControl/>
              <w:kinsoku/>
              <w:overflowPunct/>
              <w:topLinePunct w:val="0"/>
              <w:bidi w:val="0"/>
              <w:adjustRightInd w:val="0"/>
              <w:snapToGrid w:val="0"/>
              <w:spacing w:line="240" w:lineRule="auto"/>
              <w:jc w:val="center"/>
              <w:rPr>
                <w:rFonts w:hint="eastAsia" w:ascii="仿宋" w:eastAsia="仿宋" w:cs="仿宋"/>
                <w:sz w:val="24"/>
                <w:lang w:bidi="ar-SA"/>
              </w:rPr>
            </w:pPr>
            <w:r>
              <w:rPr>
                <w:rFonts w:hint="eastAsia" w:ascii="仿宋" w:eastAsia="仿宋" w:cs="仿宋"/>
                <w:sz w:val="24"/>
                <w:lang w:bidi="ar-SA"/>
              </w:rPr>
              <w:t>I</w:t>
            </w:r>
          </w:p>
          <w:p w14:paraId="79590142">
            <w:pPr>
              <w:pageBreakBefore w:val="0"/>
              <w:widowControl/>
              <w:kinsoku/>
              <w:overflowPunct/>
              <w:topLinePunct w:val="0"/>
              <w:bidi w:val="0"/>
              <w:adjustRightInd w:val="0"/>
              <w:snapToGrid w:val="0"/>
              <w:spacing w:line="240" w:lineRule="auto"/>
              <w:jc w:val="center"/>
              <w:rPr>
                <w:rFonts w:hint="eastAsia" w:ascii="宋体" w:cs="宋体"/>
                <w:kern w:val="2"/>
                <w:sz w:val="24"/>
                <w:szCs w:val="24"/>
                <w:lang w:bidi="ar-SA"/>
              </w:rPr>
            </w:pPr>
            <w:r>
              <w:rPr>
                <w:rFonts w:hint="eastAsia" w:ascii="仿宋" w:eastAsia="仿宋" w:cs="仿宋"/>
                <w:sz w:val="24"/>
                <w:lang w:bidi="ar-SA"/>
              </w:rPr>
              <w:t>教学方法与教学方式</w:t>
            </w:r>
          </w:p>
        </w:tc>
        <w:tc>
          <w:tcPr>
            <w:tcW w:w="7814" w:type="dxa"/>
            <w:gridSpan w:val="14"/>
            <w:tcBorders>
              <w:top w:val="single" w:color="000000" w:sz="4" w:space="0"/>
              <w:left w:val="single" w:color="000000" w:sz="4" w:space="0"/>
              <w:bottom w:val="single" w:color="000000" w:sz="4" w:space="0"/>
              <w:right w:val="single" w:color="000000" w:sz="4" w:space="0"/>
            </w:tcBorders>
            <w:noWrap/>
            <w:vAlign w:val="center"/>
          </w:tcPr>
          <w:p w14:paraId="2CE8F9D2">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1.理论课全部采用多媒体教学，应用自编或改编的多媒体课件，改善理论课的枯燥和沉闷，吸引学生的注意力，加强授课效果。</w:t>
            </w:r>
          </w:p>
          <w:p w14:paraId="61681251">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2.重视师生互动与小组活动，组织课堂小组讨论等活动，将课堂教学变为师生共同活动的过程。</w:t>
            </w:r>
          </w:p>
          <w:p w14:paraId="1DB746AF">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主要方式：</w:t>
            </w:r>
          </w:p>
          <w:p w14:paraId="458A7AFE">
            <w:pPr>
              <w:keepNext w:val="0"/>
              <w:keepLines w:val="0"/>
              <w:pageBreakBefore w:val="0"/>
              <w:kinsoku/>
              <w:wordWrap/>
              <w:overflowPunct/>
              <w:topLinePunct w:val="0"/>
              <w:bidi w:val="0"/>
              <w:adjustRightInd w:val="0"/>
              <w:snapToGrid w:val="0"/>
              <w:spacing w:line="240" w:lineRule="auto"/>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sym w:font="Wingdings" w:char="00FE"/>
            </w:r>
            <w:r>
              <w:rPr>
                <w:rFonts w:hint="eastAsia" w:ascii="仿宋_GB2312" w:hAnsi="仿宋_GB2312" w:eastAsia="仿宋_GB2312" w:cs="仿宋_GB2312"/>
                <w:color w:val="000000"/>
                <w:sz w:val="24"/>
                <w:szCs w:val="24"/>
              </w:rPr>
              <w:t xml:space="preserve">讲授  </w:t>
            </w:r>
            <w:r>
              <w:rPr>
                <w:rFonts w:hint="eastAsia" w:ascii="仿宋_GB2312" w:hAnsi="仿宋_GB2312" w:eastAsia="仿宋_GB2312" w:cs="仿宋_GB2312"/>
                <w:color w:val="000000"/>
                <w:sz w:val="24"/>
                <w:szCs w:val="24"/>
              </w:rPr>
              <w:sym w:font="Wingdings" w:char="00A8"/>
            </w:r>
            <w:r>
              <w:rPr>
                <w:rFonts w:hint="eastAsia" w:ascii="仿宋_GB2312" w:hAnsi="仿宋_GB2312" w:eastAsia="仿宋_GB2312" w:cs="仿宋_GB2312"/>
                <w:color w:val="000000"/>
                <w:sz w:val="24"/>
                <w:szCs w:val="24"/>
              </w:rPr>
              <w:t xml:space="preserve">网络学习  </w:t>
            </w:r>
            <w:r>
              <w:rPr>
                <w:rFonts w:hint="eastAsia" w:ascii="仿宋_GB2312" w:hAnsi="仿宋_GB2312" w:eastAsia="仿宋_GB2312" w:cs="仿宋_GB2312"/>
                <w:color w:val="000000"/>
                <w:sz w:val="24"/>
                <w:szCs w:val="24"/>
              </w:rPr>
              <w:sym w:font="Wingdings" w:char="00FE"/>
            </w:r>
            <w:r>
              <w:rPr>
                <w:rFonts w:hint="eastAsia" w:ascii="仿宋_GB2312" w:hAnsi="仿宋_GB2312" w:eastAsia="仿宋_GB2312" w:cs="仿宋_GB2312"/>
                <w:color w:val="000000"/>
                <w:sz w:val="24"/>
                <w:szCs w:val="24"/>
              </w:rPr>
              <w:t xml:space="preserve">讨论或座谈  </w:t>
            </w:r>
            <w:r>
              <w:rPr>
                <w:rFonts w:hint="eastAsia" w:ascii="仿宋_GB2312" w:hAnsi="仿宋_GB2312" w:eastAsia="仿宋_GB2312" w:cs="仿宋_GB2312"/>
                <w:color w:val="000000"/>
                <w:sz w:val="24"/>
                <w:szCs w:val="24"/>
              </w:rPr>
              <w:sym w:font="Wingdings" w:char="00A8"/>
            </w:r>
            <w:r>
              <w:rPr>
                <w:rFonts w:hint="eastAsia" w:ascii="仿宋_GB2312" w:hAnsi="仿宋_GB2312" w:eastAsia="仿宋_GB2312" w:cs="仿宋_GB2312"/>
                <w:color w:val="000000"/>
                <w:sz w:val="24"/>
                <w:szCs w:val="24"/>
              </w:rPr>
              <w:t xml:space="preserve">问题导向学  </w:t>
            </w:r>
          </w:p>
          <w:p w14:paraId="69727C24">
            <w:pPr>
              <w:keepNext w:val="0"/>
              <w:keepLines w:val="0"/>
              <w:pageBreakBefore w:val="0"/>
              <w:kinsoku/>
              <w:wordWrap/>
              <w:overflowPunct/>
              <w:topLinePunct w:val="0"/>
              <w:bidi w:val="0"/>
              <w:adjustRightInd w:val="0"/>
              <w:snapToGrid w:val="0"/>
              <w:spacing w:line="240" w:lineRule="auto"/>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sym w:font="Wingdings" w:char="00A8"/>
            </w:r>
            <w:r>
              <w:rPr>
                <w:rFonts w:hint="eastAsia" w:ascii="仿宋_GB2312" w:hAnsi="仿宋_GB2312" w:eastAsia="仿宋_GB2312" w:cs="仿宋_GB2312"/>
                <w:color w:val="000000"/>
                <w:sz w:val="24"/>
                <w:szCs w:val="24"/>
              </w:rPr>
              <w:t xml:space="preserve">分组合作学习  </w:t>
            </w:r>
            <w:r>
              <w:rPr>
                <w:rFonts w:hint="eastAsia" w:ascii="仿宋_GB2312" w:hAnsi="仿宋_GB2312" w:eastAsia="仿宋_GB2312" w:cs="仿宋_GB2312"/>
                <w:color w:val="000000"/>
                <w:sz w:val="24"/>
                <w:szCs w:val="24"/>
              </w:rPr>
              <w:sym w:font="Wingdings" w:char="00A8"/>
            </w:r>
            <w:r>
              <w:rPr>
                <w:rFonts w:hint="eastAsia" w:ascii="仿宋_GB2312" w:hAnsi="仿宋_GB2312" w:eastAsia="仿宋_GB2312" w:cs="仿宋_GB2312"/>
                <w:color w:val="000000"/>
                <w:sz w:val="24"/>
                <w:szCs w:val="24"/>
              </w:rPr>
              <w:t xml:space="preserve">专题学习  </w:t>
            </w:r>
            <w:r>
              <w:rPr>
                <w:rFonts w:hint="eastAsia" w:ascii="仿宋_GB2312" w:hAnsi="仿宋_GB2312" w:eastAsia="仿宋_GB2312" w:cs="仿宋_GB2312"/>
                <w:color w:val="000000"/>
                <w:sz w:val="24"/>
                <w:szCs w:val="24"/>
              </w:rPr>
              <w:sym w:font="Wingdings" w:char="00A8"/>
            </w:r>
            <w:r>
              <w:rPr>
                <w:rFonts w:hint="eastAsia" w:ascii="仿宋_GB2312" w:hAnsi="仿宋_GB2312" w:eastAsia="仿宋_GB2312" w:cs="仿宋_GB2312"/>
                <w:color w:val="000000"/>
                <w:sz w:val="24"/>
                <w:szCs w:val="24"/>
              </w:rPr>
              <w:t xml:space="preserve">实作学习  </w:t>
            </w:r>
            <w:r>
              <w:rPr>
                <w:rFonts w:hint="eastAsia" w:ascii="仿宋_GB2312" w:hAnsi="仿宋_GB2312" w:eastAsia="仿宋_GB2312" w:cs="仿宋_GB2312"/>
                <w:color w:val="000000"/>
                <w:sz w:val="24"/>
                <w:szCs w:val="24"/>
              </w:rPr>
              <w:sym w:font="Wingdings" w:char="00A8"/>
            </w:r>
            <w:r>
              <w:rPr>
                <w:rFonts w:hint="eastAsia" w:ascii="仿宋_GB2312" w:hAnsi="仿宋_GB2312" w:eastAsia="仿宋_GB2312" w:cs="仿宋_GB2312"/>
                <w:color w:val="000000"/>
                <w:sz w:val="24"/>
                <w:szCs w:val="24"/>
              </w:rPr>
              <w:t xml:space="preserve">发表学习  </w:t>
            </w:r>
          </w:p>
          <w:p w14:paraId="081411A1">
            <w:pPr>
              <w:pageBreakBefore w:val="0"/>
              <w:widowControl w:val="0"/>
              <w:numPr>
                <w:ilvl w:val="0"/>
                <w:numId w:val="0"/>
              </w:numPr>
              <w:kinsoku/>
              <w:overflowPunct/>
              <w:topLinePunct w:val="0"/>
              <w:bidi w:val="0"/>
              <w:adjustRightInd w:val="0"/>
              <w:snapToGrid w:val="0"/>
              <w:spacing w:line="240" w:lineRule="auto"/>
              <w:ind w:leftChars="0"/>
              <w:jc w:val="left"/>
              <w:rPr>
                <w:rFonts w:hint="eastAsia" w:ascii="仿宋" w:eastAsia="仿宋" w:cs="仿宋"/>
                <w:kern w:val="2"/>
                <w:sz w:val="24"/>
                <w:szCs w:val="24"/>
                <w:lang w:bidi="ar-SA"/>
              </w:rPr>
            </w:pPr>
            <w:r>
              <w:rPr>
                <w:rFonts w:hint="eastAsia" w:ascii="仿宋_GB2312" w:hAnsi="仿宋_GB2312" w:eastAsia="仿宋_GB2312" w:cs="仿宋_GB2312"/>
                <w:color w:val="000000"/>
                <w:sz w:val="24"/>
                <w:szCs w:val="24"/>
              </w:rPr>
              <w:sym w:font="Wingdings" w:char="00A8"/>
            </w:r>
            <w:r>
              <w:rPr>
                <w:rFonts w:hint="eastAsia" w:ascii="仿宋_GB2312" w:hAnsi="仿宋_GB2312" w:eastAsia="仿宋_GB2312" w:cs="仿宋_GB2312"/>
                <w:color w:val="000000"/>
                <w:sz w:val="24"/>
                <w:szCs w:val="24"/>
              </w:rPr>
              <w:t xml:space="preserve">实习  </w:t>
            </w:r>
            <w:r>
              <w:rPr>
                <w:rFonts w:hint="eastAsia" w:ascii="仿宋_GB2312" w:hAnsi="仿宋_GB2312" w:eastAsia="仿宋_GB2312" w:cs="仿宋_GB2312"/>
                <w:color w:val="000000"/>
                <w:sz w:val="24"/>
                <w:szCs w:val="24"/>
              </w:rPr>
              <w:sym w:font="Wingdings" w:char="00A8"/>
            </w:r>
            <w:r>
              <w:rPr>
                <w:rFonts w:hint="eastAsia" w:ascii="仿宋_GB2312" w:hAnsi="仿宋_GB2312" w:eastAsia="仿宋_GB2312" w:cs="仿宋_GB2312"/>
                <w:color w:val="000000"/>
                <w:sz w:val="24"/>
                <w:szCs w:val="24"/>
              </w:rPr>
              <w:t xml:space="preserve">参观访问  </w:t>
            </w:r>
            <w:r>
              <w:rPr>
                <w:rFonts w:hint="eastAsia" w:ascii="仿宋_GB2312" w:hAnsi="仿宋_GB2312" w:eastAsia="仿宋_GB2312" w:cs="仿宋_GB2312"/>
                <w:color w:val="000000"/>
                <w:sz w:val="24"/>
                <w:szCs w:val="24"/>
              </w:rPr>
              <w:sym w:font="Wingdings" w:char="00A8"/>
            </w:r>
            <w:r>
              <w:rPr>
                <w:rFonts w:hint="eastAsia" w:ascii="仿宋_GB2312" w:hAnsi="仿宋_GB2312" w:eastAsia="仿宋_GB2312" w:cs="仿宋_GB2312"/>
                <w:color w:val="000000"/>
                <w:sz w:val="24"/>
                <w:szCs w:val="24"/>
              </w:rPr>
              <w:t>其它：</w:t>
            </w:r>
            <w:r>
              <w:rPr>
                <w:rFonts w:hint="eastAsia" w:ascii="仿宋_GB2312" w:hAnsi="仿宋_GB2312" w:eastAsia="仿宋_GB2312" w:cs="仿宋_GB2312"/>
                <w:color w:val="000000"/>
                <w:sz w:val="24"/>
                <w:szCs w:val="24"/>
                <w:u w:val="single"/>
              </w:rPr>
              <w:t xml:space="preserve">        </w:t>
            </w:r>
            <w:r>
              <w:rPr>
                <w:rFonts w:hint="eastAsia" w:ascii="仿宋_GB2312" w:hAnsi="仿宋_GB2312" w:eastAsia="仿宋_GB2312" w:cs="仿宋_GB2312"/>
                <w:color w:val="000000"/>
                <w:sz w:val="24"/>
                <w:szCs w:val="24"/>
              </w:rPr>
              <w:t>(如口头训练等)</w:t>
            </w:r>
          </w:p>
        </w:tc>
      </w:tr>
      <w:tr w14:paraId="2A8EC8DB">
        <w:trPr>
          <w:trHeight w:val="624" w:hRule="atLeast"/>
          <w:jc w:val="center"/>
        </w:trPr>
        <w:tc>
          <w:tcPr>
            <w:tcW w:w="1334" w:type="dxa"/>
            <w:tcBorders>
              <w:top w:val="single" w:color="000000" w:sz="4" w:space="0"/>
              <w:left w:val="single" w:color="000000" w:sz="4" w:space="0"/>
              <w:bottom w:val="single" w:color="000000" w:sz="4" w:space="0"/>
              <w:right w:val="single" w:color="000000" w:sz="4" w:space="0"/>
            </w:tcBorders>
            <w:noWrap/>
            <w:vAlign w:val="center"/>
          </w:tcPr>
          <w:p w14:paraId="2CC1B134">
            <w:pPr>
              <w:pageBreakBefore w:val="0"/>
              <w:widowControl/>
              <w:kinsoku/>
              <w:overflowPunct/>
              <w:topLinePunct w:val="0"/>
              <w:bidi w:val="0"/>
              <w:adjustRightInd w:val="0"/>
              <w:snapToGrid w:val="0"/>
              <w:spacing w:line="240" w:lineRule="auto"/>
              <w:jc w:val="center"/>
              <w:rPr>
                <w:rFonts w:hint="eastAsia" w:ascii="仿宋" w:eastAsia="仿宋" w:cs="仿宋"/>
                <w:sz w:val="24"/>
                <w:lang w:bidi="ar-SA"/>
              </w:rPr>
            </w:pPr>
            <w:r>
              <w:rPr>
                <w:rFonts w:hint="eastAsia" w:ascii="仿宋" w:eastAsia="仿宋" w:cs="仿宋"/>
                <w:sz w:val="24"/>
                <w:lang w:bidi="ar-SA"/>
              </w:rPr>
              <w:t>J</w:t>
            </w:r>
          </w:p>
          <w:p w14:paraId="5671BD90">
            <w:pPr>
              <w:pageBreakBefore w:val="0"/>
              <w:widowControl/>
              <w:kinsoku/>
              <w:overflowPunct/>
              <w:topLinePunct w:val="0"/>
              <w:bidi w:val="0"/>
              <w:adjustRightInd w:val="0"/>
              <w:snapToGrid w:val="0"/>
              <w:spacing w:line="240" w:lineRule="auto"/>
              <w:jc w:val="center"/>
              <w:rPr>
                <w:rFonts w:hint="eastAsia" w:ascii="仿宋" w:eastAsia="仿宋" w:cs="仿宋"/>
                <w:sz w:val="24"/>
                <w:lang w:bidi="ar-SA"/>
              </w:rPr>
            </w:pPr>
            <w:r>
              <w:rPr>
                <w:rFonts w:hint="eastAsia" w:ascii="仿宋" w:eastAsia="仿宋" w:cs="仿宋"/>
                <w:sz w:val="24"/>
                <w:lang w:bidi="ar-SA"/>
              </w:rPr>
              <w:t>教学条件</w:t>
            </w:r>
          </w:p>
          <w:p w14:paraId="223DACEF">
            <w:pPr>
              <w:pageBreakBefore w:val="0"/>
              <w:widowControl/>
              <w:kinsoku/>
              <w:overflowPunct/>
              <w:topLinePunct w:val="0"/>
              <w:bidi w:val="0"/>
              <w:adjustRightInd w:val="0"/>
              <w:snapToGrid w:val="0"/>
              <w:spacing w:line="240" w:lineRule="auto"/>
              <w:jc w:val="center"/>
              <w:rPr>
                <w:rFonts w:hint="eastAsia" w:ascii="仿宋" w:eastAsia="仿宋" w:cs="仿宋"/>
                <w:sz w:val="24"/>
                <w:lang w:bidi="ar-SA"/>
              </w:rPr>
            </w:pPr>
            <w:r>
              <w:rPr>
                <w:rFonts w:hint="eastAsia" w:ascii="仿宋" w:eastAsia="仿宋" w:cs="仿宋"/>
                <w:sz w:val="24"/>
                <w:lang w:bidi="ar-SA"/>
              </w:rPr>
              <w:t>需求</w:t>
            </w:r>
          </w:p>
        </w:tc>
        <w:tc>
          <w:tcPr>
            <w:tcW w:w="7814" w:type="dxa"/>
            <w:gridSpan w:val="14"/>
            <w:tcBorders>
              <w:top w:val="single" w:color="000000" w:sz="4" w:space="0"/>
              <w:left w:val="single" w:color="000000" w:sz="4" w:space="0"/>
              <w:bottom w:val="single" w:color="000000" w:sz="4" w:space="0"/>
              <w:right w:val="single" w:color="000000" w:sz="4" w:space="0"/>
            </w:tcBorders>
            <w:noWrap/>
            <w:vAlign w:val="center"/>
          </w:tcPr>
          <w:p w14:paraId="6FDAAE69">
            <w:pPr>
              <w:pageBreakBefore w:val="0"/>
              <w:widowControl/>
              <w:kinsoku/>
              <w:overflowPunct/>
              <w:topLinePunct w:val="0"/>
              <w:bidi w:val="0"/>
              <w:adjustRightInd w:val="0"/>
              <w:snapToGrid w:val="0"/>
              <w:spacing w:line="240" w:lineRule="auto"/>
              <w:rPr>
                <w:rFonts w:hint="eastAsia" w:ascii="仿宋" w:eastAsia="仿宋" w:cs="仿宋"/>
                <w:sz w:val="24"/>
                <w:lang w:bidi="ar-SA"/>
              </w:rPr>
            </w:pPr>
            <w:r>
              <w:rPr>
                <w:rFonts w:hint="eastAsia" w:ascii="仿宋" w:eastAsia="仿宋" w:cs="仿宋"/>
                <w:sz w:val="24"/>
                <w:lang w:bidi="ar-SA"/>
              </w:rPr>
              <w:t>1.教室</w:t>
            </w:r>
          </w:p>
          <w:p w14:paraId="648069A5">
            <w:pPr>
              <w:pageBreakBefore w:val="0"/>
              <w:widowControl/>
              <w:kinsoku/>
              <w:overflowPunct/>
              <w:topLinePunct w:val="0"/>
              <w:bidi w:val="0"/>
              <w:adjustRightInd w:val="0"/>
              <w:snapToGrid w:val="0"/>
              <w:spacing w:line="240" w:lineRule="auto"/>
              <w:rPr>
                <w:rFonts w:hint="eastAsia" w:ascii="仿宋" w:eastAsia="仿宋" w:cs="仿宋"/>
                <w:sz w:val="24"/>
                <w:lang w:bidi="ar-SA"/>
              </w:rPr>
            </w:pPr>
            <w:r>
              <w:rPr>
                <w:rFonts w:hint="eastAsia" w:ascii="仿宋" w:eastAsia="仿宋" w:cs="仿宋"/>
                <w:sz w:val="24"/>
                <w:lang w:bidi="ar-SA"/>
              </w:rPr>
              <w:t>2.专业教学多媒体</w:t>
            </w:r>
          </w:p>
        </w:tc>
      </w:tr>
      <w:tr w14:paraId="1D60AE6C">
        <w:trPr>
          <w:trHeight w:val="624" w:hRule="atLeast"/>
          <w:jc w:val="center"/>
        </w:trPr>
        <w:tc>
          <w:tcPr>
            <w:tcW w:w="1334" w:type="dxa"/>
            <w:vMerge w:val="restart"/>
            <w:tcBorders>
              <w:top w:val="single" w:color="000000" w:sz="4" w:space="0"/>
              <w:left w:val="single" w:color="000000" w:sz="4" w:space="0"/>
              <w:bottom w:val="single" w:color="000000" w:sz="4" w:space="0"/>
              <w:right w:val="single" w:color="000000" w:sz="4" w:space="0"/>
            </w:tcBorders>
            <w:noWrap/>
            <w:vAlign w:val="center"/>
          </w:tcPr>
          <w:p w14:paraId="6A44A6CE">
            <w:pPr>
              <w:pageBreakBefore w:val="0"/>
              <w:widowControl w:val="0"/>
              <w:kinsoku/>
              <w:overflowPunct/>
              <w:topLinePunct w:val="0"/>
              <w:bidi w:val="0"/>
              <w:spacing w:line="240" w:lineRule="auto"/>
              <w:jc w:val="center"/>
              <w:rPr>
                <w:rFonts w:hint="eastAsia" w:ascii="仿宋" w:eastAsia="仿宋" w:cs="仿宋"/>
                <w:kern w:val="2"/>
                <w:sz w:val="24"/>
                <w:szCs w:val="24"/>
                <w:lang w:bidi="ar-SA"/>
              </w:rPr>
            </w:pPr>
            <w:r>
              <w:rPr>
                <w:rFonts w:hint="eastAsia" w:ascii="仿宋" w:eastAsia="仿宋" w:cs="仿宋"/>
                <w:kern w:val="2"/>
                <w:sz w:val="24"/>
                <w:szCs w:val="24"/>
                <w:lang w:bidi="ar-SA"/>
              </w:rPr>
              <w:t>K</w:t>
            </w:r>
          </w:p>
          <w:p w14:paraId="1396F95A">
            <w:pPr>
              <w:pageBreakBefore w:val="0"/>
              <w:widowControl w:val="0"/>
              <w:kinsoku/>
              <w:overflowPunct/>
              <w:topLinePunct w:val="0"/>
              <w:bidi w:val="0"/>
              <w:spacing w:line="240" w:lineRule="auto"/>
              <w:jc w:val="center"/>
              <w:rPr>
                <w:rFonts w:hint="eastAsia" w:ascii="仿宋" w:eastAsia="仿宋" w:cs="仿宋"/>
                <w:kern w:val="2"/>
                <w:sz w:val="24"/>
                <w:szCs w:val="24"/>
                <w:lang w:bidi="ar-SA"/>
              </w:rPr>
            </w:pPr>
            <w:r>
              <w:rPr>
                <w:rFonts w:hint="eastAsia" w:ascii="仿宋" w:eastAsia="仿宋" w:cs="仿宋"/>
                <w:kern w:val="0"/>
                <w:sz w:val="24"/>
                <w:lang w:bidi="ar-SA"/>
              </w:rPr>
              <w:t>课程目标及其考核内容、考核方式及评分占比</w:t>
            </w:r>
          </w:p>
        </w:tc>
        <w:tc>
          <w:tcPr>
            <w:tcW w:w="1337" w:type="dxa"/>
            <w:vMerge w:val="restart"/>
            <w:tcBorders>
              <w:top w:val="single" w:color="000000" w:sz="4" w:space="0"/>
              <w:left w:val="single" w:color="000000" w:sz="4" w:space="0"/>
              <w:bottom w:val="single" w:color="000000" w:sz="4" w:space="0"/>
              <w:right w:val="single" w:color="000000" w:sz="4" w:space="0"/>
            </w:tcBorders>
            <w:noWrap/>
            <w:vAlign w:val="center"/>
          </w:tcPr>
          <w:p w14:paraId="39004BD0">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仿宋" w:eastAsia="仿宋" w:cs="仿宋"/>
                <w:kern w:val="2"/>
                <w:sz w:val="24"/>
                <w:szCs w:val="24"/>
                <w:lang w:bidi="ar-SA"/>
              </w:rPr>
            </w:pPr>
            <w:r>
              <w:rPr>
                <w:rFonts w:hint="eastAsia" w:ascii="仿宋" w:eastAsia="仿宋" w:cs="仿宋"/>
                <w:kern w:val="2"/>
                <w:sz w:val="24"/>
                <w:szCs w:val="24"/>
                <w:lang w:bidi="ar-SA"/>
              </w:rPr>
              <w:t>课程目标及评分占比</w:t>
            </w:r>
          </w:p>
        </w:tc>
        <w:tc>
          <w:tcPr>
            <w:tcW w:w="3602" w:type="dxa"/>
            <w:gridSpan w:val="5"/>
            <w:vMerge w:val="restart"/>
            <w:tcBorders>
              <w:top w:val="single" w:color="000000" w:sz="4" w:space="0"/>
              <w:left w:val="single" w:color="000000" w:sz="4" w:space="0"/>
              <w:bottom w:val="single" w:color="000000" w:sz="4" w:space="0"/>
              <w:right w:val="single" w:color="000000" w:sz="4" w:space="0"/>
            </w:tcBorders>
            <w:noWrap/>
            <w:vAlign w:val="center"/>
          </w:tcPr>
          <w:p w14:paraId="3DF0CA29">
            <w:pPr>
              <w:keepNext w:val="0"/>
              <w:keepLines w:val="0"/>
              <w:pageBreakBefore w:val="0"/>
              <w:widowControl w:val="0"/>
              <w:tabs>
                <w:tab w:val="left" w:pos="720"/>
              </w:tabs>
              <w:kinsoku/>
              <w:wordWrap/>
              <w:overflowPunct/>
              <w:topLinePunct w:val="0"/>
              <w:autoSpaceDE/>
              <w:autoSpaceDN/>
              <w:bidi w:val="0"/>
              <w:adjustRightInd/>
              <w:snapToGrid/>
              <w:spacing w:line="240" w:lineRule="atLeast"/>
              <w:jc w:val="center"/>
              <w:textAlignment w:val="auto"/>
              <w:rPr>
                <w:rFonts w:hint="eastAsia" w:ascii="仿宋" w:eastAsia="仿宋" w:cs="仿宋"/>
                <w:sz w:val="24"/>
                <w:szCs w:val="24"/>
                <w:lang w:bidi="ar-SA"/>
              </w:rPr>
            </w:pPr>
            <w:r>
              <w:rPr>
                <w:rFonts w:hint="eastAsia" w:ascii="仿宋" w:eastAsia="仿宋" w:cs="仿宋"/>
                <w:sz w:val="24"/>
                <w:szCs w:val="24"/>
                <w:lang w:bidi="ar-SA"/>
              </w:rPr>
              <w:t>考核内容</w:t>
            </w:r>
          </w:p>
        </w:tc>
        <w:tc>
          <w:tcPr>
            <w:tcW w:w="2224" w:type="dxa"/>
            <w:gridSpan w:val="7"/>
            <w:tcBorders>
              <w:top w:val="single" w:color="000000" w:sz="4" w:space="0"/>
              <w:left w:val="single" w:color="000000" w:sz="4" w:space="0"/>
              <w:bottom w:val="single" w:color="000000" w:sz="4" w:space="0"/>
              <w:right w:val="single" w:color="000000" w:sz="4" w:space="0"/>
            </w:tcBorders>
            <w:noWrap/>
            <w:vAlign w:val="center"/>
          </w:tcPr>
          <w:p w14:paraId="128CA422">
            <w:pPr>
              <w:keepNext w:val="0"/>
              <w:keepLines w:val="0"/>
              <w:pageBreakBefore w:val="0"/>
              <w:widowControl w:val="0"/>
              <w:tabs>
                <w:tab w:val="left" w:pos="720"/>
              </w:tabs>
              <w:kinsoku/>
              <w:wordWrap/>
              <w:overflowPunct/>
              <w:topLinePunct w:val="0"/>
              <w:autoSpaceDE/>
              <w:autoSpaceDN/>
              <w:bidi w:val="0"/>
              <w:adjustRightInd/>
              <w:snapToGrid/>
              <w:spacing w:line="240" w:lineRule="atLeast"/>
              <w:jc w:val="center"/>
              <w:textAlignment w:val="auto"/>
              <w:rPr>
                <w:rFonts w:hint="eastAsia" w:ascii="仿宋" w:eastAsia="仿宋" w:cs="仿宋"/>
                <w:color w:val="4472C4"/>
                <w:kern w:val="2"/>
                <w:sz w:val="24"/>
                <w:szCs w:val="24"/>
                <w:lang w:bidi="ar-SA"/>
              </w:rPr>
            </w:pPr>
            <w:r>
              <w:rPr>
                <w:rFonts w:hint="eastAsia" w:ascii="仿宋" w:eastAsia="仿宋" w:cs="仿宋"/>
                <w:color w:val="000000"/>
                <w:sz w:val="24"/>
                <w:szCs w:val="24"/>
                <w:lang w:bidi="ar-SA"/>
              </w:rPr>
              <w:t>考核方式</w:t>
            </w:r>
          </w:p>
        </w:tc>
        <w:tc>
          <w:tcPr>
            <w:tcW w:w="651" w:type="dxa"/>
            <w:vMerge w:val="restart"/>
            <w:tcBorders>
              <w:top w:val="single" w:color="000000" w:sz="4" w:space="0"/>
              <w:left w:val="single" w:color="000000" w:sz="4" w:space="0"/>
              <w:bottom w:val="single" w:color="000000" w:sz="4" w:space="0"/>
              <w:right w:val="single" w:color="000000" w:sz="4" w:space="0"/>
            </w:tcBorders>
            <w:noWrap/>
            <w:vAlign w:val="center"/>
          </w:tcPr>
          <w:p w14:paraId="61DDB387">
            <w:pPr>
              <w:keepNext w:val="0"/>
              <w:keepLines w:val="0"/>
              <w:pageBreakBefore w:val="0"/>
              <w:widowControl w:val="0"/>
              <w:tabs>
                <w:tab w:val="left" w:pos="720"/>
              </w:tabs>
              <w:kinsoku/>
              <w:wordWrap/>
              <w:overflowPunct/>
              <w:topLinePunct w:val="0"/>
              <w:autoSpaceDE/>
              <w:autoSpaceDN/>
              <w:bidi w:val="0"/>
              <w:adjustRightInd/>
              <w:snapToGrid/>
              <w:spacing w:line="240" w:lineRule="atLeast"/>
              <w:jc w:val="center"/>
              <w:textAlignment w:val="auto"/>
              <w:rPr>
                <w:rFonts w:hint="eastAsia" w:ascii="仿宋" w:eastAsia="仿宋" w:cs="仿宋"/>
                <w:sz w:val="24"/>
                <w:szCs w:val="24"/>
                <w:lang w:bidi="ar-SA"/>
              </w:rPr>
            </w:pPr>
            <w:r>
              <w:rPr>
                <w:rFonts w:hint="eastAsia" w:ascii="仿宋" w:eastAsia="仿宋" w:cs="仿宋"/>
                <w:sz w:val="21"/>
                <w:szCs w:val="20"/>
                <w:lang w:bidi="ar-SA"/>
              </w:rPr>
              <w:t>课程分目标的达成度</w:t>
            </w:r>
          </w:p>
        </w:tc>
      </w:tr>
      <w:tr w14:paraId="63026040">
        <w:trPr>
          <w:trHeight w:val="1738" w:hRule="atLeast"/>
          <w:jc w:val="center"/>
        </w:trPr>
        <w:tc>
          <w:tcPr>
            <w:tcW w:w="1334" w:type="dxa"/>
            <w:vMerge w:val="continue"/>
            <w:tcBorders>
              <w:top w:val="single" w:color="000000" w:sz="4" w:space="0"/>
              <w:left w:val="single" w:color="000000" w:sz="4" w:space="0"/>
              <w:bottom w:val="single" w:color="000000" w:sz="4" w:space="0"/>
              <w:right w:val="single" w:color="000000" w:sz="4" w:space="0"/>
            </w:tcBorders>
            <w:noWrap/>
            <w:vAlign w:val="center"/>
          </w:tcPr>
          <w:p w14:paraId="1F3D7F30"/>
        </w:tc>
        <w:tc>
          <w:tcPr>
            <w:tcW w:w="1337" w:type="dxa"/>
            <w:vMerge w:val="continue"/>
            <w:tcBorders>
              <w:top w:val="single" w:color="000000" w:sz="4" w:space="0"/>
              <w:left w:val="single" w:color="000000" w:sz="4" w:space="0"/>
              <w:bottom w:val="single" w:color="000000" w:sz="4" w:space="0"/>
              <w:right w:val="single" w:color="000000" w:sz="4" w:space="0"/>
            </w:tcBorders>
            <w:noWrap/>
            <w:vAlign w:val="center"/>
          </w:tcPr>
          <w:p w14:paraId="7F7BFED7"/>
        </w:tc>
        <w:tc>
          <w:tcPr>
            <w:tcW w:w="3602" w:type="dxa"/>
            <w:gridSpan w:val="5"/>
            <w:vMerge w:val="continue"/>
            <w:tcBorders>
              <w:top w:val="single" w:color="000000" w:sz="4" w:space="0"/>
              <w:left w:val="single" w:color="000000" w:sz="4" w:space="0"/>
              <w:bottom w:val="single" w:color="000000" w:sz="4" w:space="0"/>
              <w:right w:val="single" w:color="000000" w:sz="4" w:space="0"/>
            </w:tcBorders>
            <w:noWrap/>
            <w:vAlign w:val="center"/>
          </w:tcPr>
          <w:p w14:paraId="4D8893FE"/>
        </w:tc>
        <w:tc>
          <w:tcPr>
            <w:tcW w:w="768" w:type="dxa"/>
            <w:gridSpan w:val="2"/>
            <w:tcBorders>
              <w:top w:val="single" w:color="000000" w:sz="4" w:space="0"/>
              <w:left w:val="single" w:color="000000" w:sz="4" w:space="0"/>
              <w:bottom w:val="single" w:color="000000" w:sz="4" w:space="0"/>
              <w:right w:val="single" w:color="000000" w:sz="4" w:space="0"/>
            </w:tcBorders>
            <w:noWrap/>
            <w:vAlign w:val="top"/>
          </w:tcPr>
          <w:p w14:paraId="49D4E008">
            <w:pPr>
              <w:pageBreakBefore w:val="0"/>
              <w:widowControl w:val="0"/>
              <w:tabs>
                <w:tab w:val="left" w:pos="720"/>
              </w:tabs>
              <w:kinsoku/>
              <w:overflowPunct/>
              <w:topLinePunct w:val="0"/>
              <w:bidi w:val="0"/>
              <w:adjustRightInd w:val="0"/>
              <w:snapToGrid w:val="0"/>
              <w:spacing w:line="240" w:lineRule="auto"/>
              <w:jc w:val="center"/>
              <w:rPr>
                <w:rFonts w:hint="eastAsia" w:ascii="仿宋" w:eastAsia="仿宋" w:cs="仿宋"/>
                <w:sz w:val="24"/>
                <w:lang w:bidi="ar-SA"/>
              </w:rPr>
            </w:pPr>
            <w:r>
              <w:rPr>
                <w:rFonts w:hint="eastAsia" w:ascii="仿宋" w:eastAsia="仿宋" w:cs="仿宋"/>
                <w:sz w:val="24"/>
                <w:lang w:bidi="ar-SA"/>
              </w:rPr>
              <w:t>作业评分占比</w:t>
            </w:r>
            <w:r>
              <w:rPr>
                <w:rFonts w:hint="eastAsia" w:ascii="仿宋" w:eastAsia="仿宋" w:cs="仿宋"/>
                <w:szCs w:val="21"/>
                <w:lang w:bidi="ar-SA"/>
              </w:rPr>
              <w:t>（30%）</w:t>
            </w:r>
          </w:p>
        </w:tc>
        <w:tc>
          <w:tcPr>
            <w:tcW w:w="768" w:type="dxa"/>
            <w:gridSpan w:val="3"/>
            <w:tcBorders>
              <w:top w:val="single" w:color="000000" w:sz="4" w:space="0"/>
              <w:left w:val="single" w:color="000000" w:sz="4" w:space="0"/>
              <w:bottom w:val="single" w:color="000000" w:sz="4" w:space="0"/>
              <w:right w:val="single" w:color="000000" w:sz="4" w:space="0"/>
            </w:tcBorders>
            <w:noWrap/>
            <w:vAlign w:val="top"/>
          </w:tcPr>
          <w:p w14:paraId="1B702302">
            <w:pPr>
              <w:pageBreakBefore w:val="0"/>
              <w:widowControl w:val="0"/>
              <w:kinsoku/>
              <w:overflowPunct/>
              <w:topLinePunct w:val="0"/>
              <w:bidi w:val="0"/>
              <w:adjustRightInd w:val="0"/>
              <w:snapToGrid w:val="0"/>
              <w:spacing w:line="240" w:lineRule="auto"/>
              <w:jc w:val="center"/>
              <w:rPr>
                <w:rFonts w:hint="eastAsia" w:ascii="仿宋" w:eastAsia="仿宋" w:cs="仿宋"/>
                <w:sz w:val="24"/>
                <w:lang w:bidi="ar-SA"/>
              </w:rPr>
            </w:pPr>
            <w:r>
              <w:rPr>
                <w:rFonts w:hint="eastAsia" w:ascii="仿宋" w:eastAsia="仿宋" w:cs="仿宋"/>
                <w:sz w:val="24"/>
                <w:lang w:bidi="ar-SA"/>
              </w:rPr>
              <w:t>课堂表现占比</w:t>
            </w:r>
          </w:p>
          <w:p w14:paraId="7696D2EC">
            <w:pPr>
              <w:pageBreakBefore w:val="0"/>
              <w:widowControl w:val="0"/>
              <w:kinsoku/>
              <w:overflowPunct/>
              <w:topLinePunct w:val="0"/>
              <w:bidi w:val="0"/>
              <w:adjustRightInd w:val="0"/>
              <w:snapToGrid w:val="0"/>
              <w:spacing w:line="240" w:lineRule="auto"/>
              <w:jc w:val="center"/>
              <w:rPr>
                <w:rFonts w:hint="eastAsia" w:ascii="仿宋" w:eastAsia="仿宋" w:cs="仿宋"/>
                <w:sz w:val="24"/>
                <w:lang w:bidi="ar-SA"/>
              </w:rPr>
            </w:pPr>
            <w:r>
              <w:rPr>
                <w:rFonts w:hint="eastAsia" w:ascii="仿宋" w:eastAsia="仿宋" w:cs="仿宋"/>
                <w:szCs w:val="21"/>
                <w:lang w:bidi="ar-SA"/>
              </w:rPr>
              <w:t>（30%）</w:t>
            </w:r>
          </w:p>
        </w:tc>
        <w:tc>
          <w:tcPr>
            <w:tcW w:w="688" w:type="dxa"/>
            <w:gridSpan w:val="2"/>
            <w:tcBorders>
              <w:top w:val="single" w:color="000000" w:sz="4" w:space="0"/>
              <w:left w:val="single" w:color="000000" w:sz="4" w:space="0"/>
              <w:bottom w:val="single" w:color="000000" w:sz="4" w:space="0"/>
              <w:right w:val="single" w:color="000000" w:sz="4" w:space="0"/>
            </w:tcBorders>
            <w:noWrap/>
            <w:vAlign w:val="top"/>
          </w:tcPr>
          <w:p w14:paraId="21D4DE71">
            <w:pPr>
              <w:pageBreakBefore w:val="0"/>
              <w:widowControl w:val="0"/>
              <w:kinsoku/>
              <w:overflowPunct/>
              <w:topLinePunct w:val="0"/>
              <w:bidi w:val="0"/>
              <w:adjustRightInd w:val="0"/>
              <w:snapToGrid w:val="0"/>
              <w:spacing w:line="240" w:lineRule="auto"/>
              <w:jc w:val="center"/>
              <w:rPr>
                <w:rFonts w:hint="eastAsia" w:ascii="仿宋" w:eastAsia="仿宋" w:cs="仿宋"/>
                <w:sz w:val="24"/>
                <w:lang w:bidi="ar-SA"/>
              </w:rPr>
            </w:pPr>
            <w:r>
              <w:rPr>
                <w:rFonts w:hint="eastAsia" w:ascii="仿宋" w:eastAsia="仿宋" w:cs="仿宋"/>
                <w:sz w:val="24"/>
                <w:lang w:bidi="ar-SA"/>
              </w:rPr>
              <w:t>期末考试评分占比</w:t>
            </w:r>
            <w:r>
              <w:rPr>
                <w:rFonts w:hint="eastAsia" w:ascii="仿宋" w:eastAsia="仿宋" w:cs="仿宋"/>
                <w:szCs w:val="21"/>
                <w:lang w:bidi="ar-SA"/>
              </w:rPr>
              <w:t>（40%）</w:t>
            </w:r>
          </w:p>
        </w:tc>
        <w:tc>
          <w:tcPr>
            <w:tcW w:w="651" w:type="dxa"/>
            <w:vMerge w:val="continue"/>
            <w:tcBorders>
              <w:top w:val="single" w:color="000000" w:sz="4" w:space="0"/>
              <w:left w:val="single" w:color="000000" w:sz="4" w:space="0"/>
              <w:bottom w:val="single" w:color="000000" w:sz="4" w:space="0"/>
              <w:right w:val="single" w:color="000000" w:sz="4" w:space="0"/>
            </w:tcBorders>
            <w:noWrap/>
            <w:vAlign w:val="center"/>
          </w:tcPr>
          <w:p w14:paraId="435E1EBB"/>
        </w:tc>
      </w:tr>
      <w:tr w14:paraId="1BB20F75">
        <w:trPr>
          <w:trHeight w:val="624" w:hRule="atLeast"/>
          <w:jc w:val="center"/>
        </w:trPr>
        <w:tc>
          <w:tcPr>
            <w:tcW w:w="1334" w:type="dxa"/>
            <w:vMerge w:val="continue"/>
            <w:tcBorders>
              <w:top w:val="single" w:color="000000" w:sz="4" w:space="0"/>
              <w:left w:val="single" w:color="000000" w:sz="4" w:space="0"/>
              <w:bottom w:val="single" w:color="000000" w:sz="4" w:space="0"/>
              <w:right w:val="single" w:color="000000" w:sz="4" w:space="0"/>
            </w:tcBorders>
            <w:noWrap/>
            <w:vAlign w:val="center"/>
          </w:tcPr>
          <w:p w14:paraId="138E670B"/>
        </w:tc>
        <w:tc>
          <w:tcPr>
            <w:tcW w:w="1337" w:type="dxa"/>
            <w:tcBorders>
              <w:top w:val="single" w:color="000000" w:sz="4" w:space="0"/>
              <w:left w:val="single" w:color="000000" w:sz="4" w:space="0"/>
              <w:bottom w:val="single" w:color="000000" w:sz="4" w:space="0"/>
              <w:right w:val="single" w:color="000000" w:sz="4" w:space="0"/>
            </w:tcBorders>
            <w:noWrap/>
            <w:vAlign w:val="center"/>
          </w:tcPr>
          <w:p w14:paraId="1A13FCF5">
            <w:pPr>
              <w:pageBreakBefore w:val="0"/>
              <w:widowControl w:val="0"/>
              <w:kinsoku/>
              <w:overflowPunct/>
              <w:topLinePunct w:val="0"/>
              <w:bidi w:val="0"/>
              <w:adjustRightInd w:val="0"/>
              <w:snapToGrid w:val="0"/>
              <w:spacing w:line="240" w:lineRule="auto"/>
              <w:jc w:val="center"/>
              <w:rPr>
                <w:rFonts w:hint="eastAsia" w:ascii="仿宋" w:eastAsia="仿宋" w:cs="仿宋"/>
                <w:kern w:val="0"/>
                <w:sz w:val="24"/>
                <w:lang w:bidi="ar-SA"/>
              </w:rPr>
            </w:pPr>
            <w:r>
              <w:rPr>
                <w:rFonts w:hint="eastAsia" w:ascii="仿宋" w:eastAsia="仿宋" w:cs="仿宋"/>
                <w:kern w:val="0"/>
                <w:sz w:val="24"/>
                <w:lang w:bidi="ar-SA"/>
              </w:rPr>
              <w:t>课程目标1（</w:t>
            </w:r>
            <w:r>
              <w:rPr>
                <w:rFonts w:ascii="仿宋" w:eastAsia="仿宋" w:cs="仿宋"/>
                <w:kern w:val="0"/>
                <w:sz w:val="24"/>
                <w:lang w:bidi="ar-SA"/>
              </w:rPr>
              <w:t>2</w:t>
            </w:r>
            <w:r>
              <w:rPr>
                <w:rFonts w:hint="eastAsia" w:ascii="仿宋" w:eastAsia="仿宋" w:cs="仿宋"/>
                <w:kern w:val="0"/>
                <w:sz w:val="24"/>
                <w:lang w:val="en-US" w:eastAsia="zh-CN" w:bidi="ar-SA"/>
              </w:rPr>
              <w:t>0</w:t>
            </w:r>
            <w:r>
              <w:rPr>
                <w:rFonts w:hint="eastAsia" w:ascii="仿宋" w:eastAsia="仿宋" w:cs="仿宋"/>
                <w:kern w:val="0"/>
                <w:sz w:val="24"/>
                <w:lang w:bidi="ar-SA"/>
              </w:rPr>
              <w:t>%）</w:t>
            </w:r>
          </w:p>
        </w:tc>
        <w:tc>
          <w:tcPr>
            <w:tcW w:w="3602" w:type="dxa"/>
            <w:gridSpan w:val="5"/>
            <w:tcBorders>
              <w:top w:val="single" w:color="000000" w:sz="4" w:space="0"/>
              <w:left w:val="single" w:color="000000" w:sz="4" w:space="0"/>
              <w:bottom w:val="single" w:color="000000" w:sz="4" w:space="0"/>
              <w:right w:val="single" w:color="000000" w:sz="4" w:space="0"/>
            </w:tcBorders>
            <w:noWrap/>
            <w:vAlign w:val="center"/>
          </w:tcPr>
          <w:p w14:paraId="7EAB4A43">
            <w:pPr>
              <w:pageBreakBefore w:val="0"/>
              <w:widowControl w:val="0"/>
              <w:numPr>
                <w:ilvl w:val="0"/>
                <w:numId w:val="0"/>
              </w:numPr>
              <w:kinsoku/>
              <w:overflowPunct/>
              <w:topLinePunct w:val="0"/>
              <w:bidi w:val="0"/>
              <w:adjustRightInd w:val="0"/>
              <w:snapToGrid w:val="0"/>
              <w:spacing w:line="240" w:lineRule="auto"/>
              <w:ind w:leftChars="0"/>
              <w:jc w:val="left"/>
              <w:rPr>
                <w:rFonts w:hint="eastAsia" w:ascii="仿宋" w:eastAsia="仿宋" w:cs="仿宋"/>
                <w:kern w:val="0"/>
                <w:sz w:val="24"/>
                <w:lang w:bidi="ar-SA"/>
              </w:rPr>
            </w:pPr>
            <w:r>
              <w:rPr>
                <w:rFonts w:hint="eastAsia" w:ascii="仿宋" w:eastAsia="仿宋" w:cs="仿宋_GB2312"/>
                <w:sz w:val="24"/>
                <w:lang w:val="en-US" w:bidi="ar-SA"/>
              </w:rPr>
              <w:t>熟悉曲式分析领会该门课程对中学音乐教育的价值与意义</w:t>
            </w:r>
            <w:r>
              <w:rPr>
                <w:rFonts w:ascii="仿宋" w:eastAsia="仿宋" w:cs="仿宋_GB2312"/>
                <w:sz w:val="24"/>
                <w:lang w:bidi="ar-SA"/>
              </w:rPr>
              <w:t>。</w:t>
            </w:r>
          </w:p>
        </w:tc>
        <w:tc>
          <w:tcPr>
            <w:tcW w:w="768" w:type="dxa"/>
            <w:gridSpan w:val="2"/>
            <w:tcBorders>
              <w:top w:val="single" w:color="000000" w:sz="4" w:space="0"/>
              <w:left w:val="single" w:color="000000" w:sz="4" w:space="0"/>
              <w:bottom w:val="single" w:color="000000" w:sz="4" w:space="0"/>
              <w:right w:val="single" w:color="000000" w:sz="4" w:space="0"/>
            </w:tcBorders>
            <w:noWrap/>
            <w:vAlign w:val="center"/>
          </w:tcPr>
          <w:p w14:paraId="7665B21E">
            <w:pPr>
              <w:pageBreakBefore w:val="0"/>
              <w:widowControl w:val="0"/>
              <w:kinsoku/>
              <w:overflowPunct/>
              <w:topLinePunct w:val="0"/>
              <w:bidi w:val="0"/>
              <w:adjustRightInd w:val="0"/>
              <w:snapToGrid w:val="0"/>
              <w:spacing w:line="240" w:lineRule="auto"/>
              <w:jc w:val="center"/>
              <w:rPr>
                <w:rFonts w:hint="eastAsia" w:ascii="仿宋" w:eastAsia="仿宋" w:cs="仿宋"/>
                <w:kern w:val="0"/>
                <w:sz w:val="24"/>
                <w:lang w:bidi="ar-SA"/>
              </w:rPr>
            </w:pPr>
            <w:r>
              <w:rPr>
                <w:rFonts w:hint="eastAsia" w:ascii="仿宋" w:eastAsia="仿宋" w:cs="仿宋"/>
                <w:kern w:val="0"/>
                <w:sz w:val="24"/>
                <w:lang w:bidi="ar-SA"/>
              </w:rPr>
              <w:t>6</w:t>
            </w:r>
          </w:p>
        </w:tc>
        <w:tc>
          <w:tcPr>
            <w:tcW w:w="768" w:type="dxa"/>
            <w:gridSpan w:val="3"/>
            <w:tcBorders>
              <w:top w:val="single" w:color="000000" w:sz="4" w:space="0"/>
              <w:left w:val="single" w:color="000000" w:sz="4" w:space="0"/>
              <w:bottom w:val="single" w:color="000000" w:sz="4" w:space="0"/>
              <w:right w:val="single" w:color="000000" w:sz="4" w:space="0"/>
            </w:tcBorders>
            <w:noWrap/>
            <w:vAlign w:val="center"/>
          </w:tcPr>
          <w:p w14:paraId="3D1AF667">
            <w:pPr>
              <w:pageBreakBefore w:val="0"/>
              <w:widowControl w:val="0"/>
              <w:tabs>
                <w:tab w:val="left" w:pos="720"/>
              </w:tabs>
              <w:kinsoku/>
              <w:overflowPunct/>
              <w:topLinePunct w:val="0"/>
              <w:bidi w:val="0"/>
              <w:adjustRightInd w:val="0"/>
              <w:snapToGrid w:val="0"/>
              <w:spacing w:line="240" w:lineRule="auto"/>
              <w:jc w:val="center"/>
              <w:rPr>
                <w:rFonts w:hint="eastAsia" w:ascii="仿宋" w:eastAsia="仿宋" w:cs="仿宋"/>
                <w:kern w:val="0"/>
                <w:sz w:val="24"/>
                <w:lang w:bidi="ar-SA"/>
              </w:rPr>
            </w:pPr>
            <w:r>
              <w:rPr>
                <w:rFonts w:hint="eastAsia" w:ascii="仿宋" w:eastAsia="仿宋" w:cs="仿宋"/>
                <w:kern w:val="0"/>
                <w:sz w:val="24"/>
                <w:lang w:bidi="ar-SA"/>
              </w:rPr>
              <w:t>6</w:t>
            </w:r>
          </w:p>
        </w:tc>
        <w:tc>
          <w:tcPr>
            <w:tcW w:w="688" w:type="dxa"/>
            <w:gridSpan w:val="2"/>
            <w:tcBorders>
              <w:top w:val="single" w:color="000000" w:sz="4" w:space="0"/>
              <w:left w:val="single" w:color="000000" w:sz="4" w:space="0"/>
              <w:bottom w:val="single" w:color="000000" w:sz="4" w:space="0"/>
              <w:right w:val="single" w:color="000000" w:sz="4" w:space="0"/>
            </w:tcBorders>
            <w:noWrap/>
            <w:vAlign w:val="center"/>
          </w:tcPr>
          <w:p w14:paraId="05CD1E2D">
            <w:pPr>
              <w:pageBreakBefore w:val="0"/>
              <w:widowControl w:val="0"/>
              <w:tabs>
                <w:tab w:val="left" w:pos="720"/>
              </w:tabs>
              <w:kinsoku/>
              <w:overflowPunct/>
              <w:topLinePunct w:val="0"/>
              <w:bidi w:val="0"/>
              <w:adjustRightInd w:val="0"/>
              <w:snapToGrid w:val="0"/>
              <w:spacing w:line="240" w:lineRule="auto"/>
              <w:jc w:val="center"/>
              <w:rPr>
                <w:rFonts w:ascii="仿宋" w:eastAsia="仿宋" w:cs="仿宋"/>
                <w:kern w:val="0"/>
                <w:sz w:val="24"/>
                <w:lang w:bidi="ar-SA"/>
              </w:rPr>
            </w:pPr>
            <w:r>
              <w:rPr>
                <w:rFonts w:ascii="仿宋" w:eastAsia="仿宋" w:cs="仿宋"/>
                <w:kern w:val="0"/>
                <w:sz w:val="24"/>
                <w:lang w:bidi="ar-SA"/>
              </w:rPr>
              <w:t>8</w:t>
            </w:r>
          </w:p>
        </w:tc>
        <w:tc>
          <w:tcPr>
            <w:tcW w:w="651" w:type="dxa"/>
            <w:tcBorders>
              <w:top w:val="single" w:color="000000" w:sz="4" w:space="0"/>
              <w:left w:val="single" w:color="000000" w:sz="4" w:space="0"/>
              <w:bottom w:val="single" w:color="000000" w:sz="4" w:space="0"/>
              <w:right w:val="single" w:color="000000" w:sz="4" w:space="0"/>
            </w:tcBorders>
            <w:noWrap/>
            <w:vAlign w:val="center"/>
          </w:tcPr>
          <w:p w14:paraId="708DCCA7">
            <w:pPr>
              <w:pageBreakBefore w:val="0"/>
              <w:widowControl w:val="0"/>
              <w:tabs>
                <w:tab w:val="left" w:pos="720"/>
              </w:tabs>
              <w:kinsoku/>
              <w:overflowPunct/>
              <w:topLinePunct w:val="0"/>
              <w:bidi w:val="0"/>
              <w:spacing w:line="240" w:lineRule="auto"/>
              <w:jc w:val="center"/>
              <w:rPr>
                <w:rFonts w:hint="eastAsia" w:ascii="仿宋" w:eastAsia="仿宋" w:cs="仿宋"/>
                <w:sz w:val="24"/>
                <w:szCs w:val="24"/>
                <w:lang w:eastAsia="zh-CN" w:bidi="ar-SA"/>
              </w:rPr>
            </w:pPr>
            <w:r>
              <w:rPr>
                <w:rFonts w:hint="eastAsia" w:ascii="仿宋" w:eastAsia="仿宋" w:cs="仿宋"/>
                <w:sz w:val="24"/>
                <w:szCs w:val="24"/>
                <w:lang w:bidi="ar-SA"/>
              </w:rPr>
              <w:t>0.7</w:t>
            </w:r>
            <w:r>
              <w:rPr>
                <w:rFonts w:hint="eastAsia" w:ascii="仿宋" w:eastAsia="仿宋" w:cs="仿宋"/>
                <w:sz w:val="24"/>
                <w:szCs w:val="24"/>
                <w:lang w:val="en-US" w:eastAsia="zh-CN" w:bidi="ar-SA"/>
              </w:rPr>
              <w:t>8</w:t>
            </w:r>
          </w:p>
        </w:tc>
      </w:tr>
      <w:tr w14:paraId="4A4C5BD0">
        <w:trPr>
          <w:trHeight w:val="624" w:hRule="atLeast"/>
          <w:jc w:val="center"/>
        </w:trPr>
        <w:tc>
          <w:tcPr>
            <w:tcW w:w="1334" w:type="dxa"/>
            <w:vMerge w:val="continue"/>
            <w:tcBorders>
              <w:top w:val="single" w:color="000000" w:sz="4" w:space="0"/>
              <w:left w:val="single" w:color="000000" w:sz="4" w:space="0"/>
              <w:bottom w:val="single" w:color="000000" w:sz="4" w:space="0"/>
              <w:right w:val="single" w:color="000000" w:sz="4" w:space="0"/>
            </w:tcBorders>
            <w:noWrap/>
            <w:vAlign w:val="center"/>
          </w:tcPr>
          <w:p w14:paraId="027DA450"/>
        </w:tc>
        <w:tc>
          <w:tcPr>
            <w:tcW w:w="1337" w:type="dxa"/>
            <w:tcBorders>
              <w:top w:val="single" w:color="000000" w:sz="4" w:space="0"/>
              <w:left w:val="single" w:color="000000" w:sz="4" w:space="0"/>
              <w:bottom w:val="single" w:color="000000" w:sz="4" w:space="0"/>
              <w:right w:val="single" w:color="000000" w:sz="4" w:space="0"/>
            </w:tcBorders>
            <w:noWrap/>
            <w:vAlign w:val="center"/>
          </w:tcPr>
          <w:p w14:paraId="0E3B2775">
            <w:pPr>
              <w:pageBreakBefore w:val="0"/>
              <w:widowControl w:val="0"/>
              <w:kinsoku/>
              <w:overflowPunct/>
              <w:topLinePunct w:val="0"/>
              <w:bidi w:val="0"/>
              <w:adjustRightInd w:val="0"/>
              <w:snapToGrid w:val="0"/>
              <w:spacing w:line="240" w:lineRule="auto"/>
              <w:jc w:val="center"/>
              <w:rPr>
                <w:rFonts w:hint="eastAsia" w:ascii="仿宋" w:eastAsia="仿宋" w:cs="仿宋"/>
                <w:sz w:val="24"/>
                <w:lang w:bidi="ar-SA"/>
              </w:rPr>
            </w:pPr>
            <w:r>
              <w:rPr>
                <w:rFonts w:hint="eastAsia" w:ascii="仿宋" w:eastAsia="仿宋" w:cs="仿宋"/>
                <w:kern w:val="0"/>
                <w:sz w:val="24"/>
                <w:lang w:bidi="ar-SA"/>
              </w:rPr>
              <w:t>课程目标2（</w:t>
            </w:r>
            <w:r>
              <w:rPr>
                <w:rFonts w:hint="eastAsia" w:ascii="仿宋" w:eastAsia="仿宋" w:cs="仿宋"/>
                <w:kern w:val="0"/>
                <w:sz w:val="24"/>
                <w:lang w:val="en-US" w:eastAsia="zh-CN" w:bidi="ar-SA"/>
              </w:rPr>
              <w:t>30</w:t>
            </w:r>
            <w:r>
              <w:rPr>
                <w:rFonts w:hint="eastAsia" w:ascii="仿宋" w:eastAsia="仿宋" w:cs="仿宋"/>
                <w:kern w:val="0"/>
                <w:sz w:val="24"/>
                <w:lang w:bidi="ar-SA"/>
              </w:rPr>
              <w:t>%）</w:t>
            </w:r>
          </w:p>
        </w:tc>
        <w:tc>
          <w:tcPr>
            <w:tcW w:w="3602" w:type="dxa"/>
            <w:gridSpan w:val="5"/>
            <w:tcBorders>
              <w:top w:val="single" w:color="000000" w:sz="4" w:space="0"/>
              <w:left w:val="single" w:color="000000" w:sz="4" w:space="0"/>
              <w:bottom w:val="single" w:color="000000" w:sz="4" w:space="0"/>
              <w:right w:val="single" w:color="000000" w:sz="4" w:space="0"/>
            </w:tcBorders>
            <w:noWrap/>
            <w:vAlign w:val="center"/>
          </w:tcPr>
          <w:p w14:paraId="6F769EFE">
            <w:pPr>
              <w:pageBreakBefore w:val="0"/>
              <w:widowControl w:val="0"/>
              <w:numPr>
                <w:ilvl w:val="0"/>
                <w:numId w:val="0"/>
              </w:numPr>
              <w:kinsoku/>
              <w:overflowPunct/>
              <w:topLinePunct w:val="0"/>
              <w:bidi w:val="0"/>
              <w:adjustRightInd w:val="0"/>
              <w:snapToGrid w:val="0"/>
              <w:spacing w:line="240" w:lineRule="auto"/>
              <w:ind w:leftChars="0"/>
              <w:jc w:val="left"/>
              <w:rPr>
                <w:rFonts w:hint="eastAsia" w:ascii="仿宋" w:eastAsia="仿宋" w:cs="仿宋"/>
                <w:kern w:val="0"/>
                <w:sz w:val="24"/>
                <w:lang w:bidi="ar-SA"/>
              </w:rPr>
            </w:pPr>
            <w:r>
              <w:rPr>
                <w:rFonts w:hint="eastAsia" w:ascii="仿宋" w:eastAsia="仿宋" w:cs="仿宋"/>
                <w:sz w:val="24"/>
                <w:lang w:bidi="ar-SA"/>
              </w:rPr>
              <w:t>掌握曲式分析理论知识、曲式分析专业术语，掌握正确、规范、科学的基本</w:t>
            </w:r>
            <w:r>
              <w:rPr>
                <w:rFonts w:hint="eastAsia" w:ascii="仿宋" w:eastAsia="仿宋" w:cs="仿宋"/>
                <w:sz w:val="24"/>
                <w:lang w:val="en-US" w:bidi="ar-SA"/>
              </w:rPr>
              <w:t>书写</w:t>
            </w:r>
            <w:r>
              <w:rPr>
                <w:rFonts w:hint="eastAsia" w:ascii="仿宋" w:eastAsia="仿宋" w:cs="仿宋"/>
                <w:sz w:val="24"/>
                <w:lang w:bidi="ar-SA"/>
              </w:rPr>
              <w:t>方法</w:t>
            </w:r>
            <w:r>
              <w:rPr>
                <w:rFonts w:hint="eastAsia" w:ascii="仿宋" w:eastAsia="仿宋" w:cs="仿宋"/>
                <w:kern w:val="0"/>
                <w:sz w:val="24"/>
                <w:lang w:eastAsia="zh-CN" w:bidi="ar-SA"/>
              </w:rPr>
              <w:t>；</w:t>
            </w:r>
            <w:r>
              <w:rPr>
                <w:rFonts w:hint="eastAsia" w:ascii="仿宋" w:eastAsia="仿宋" w:cs="仿宋"/>
                <w:sz w:val="24"/>
                <w:lang w:bidi="ar-SA"/>
              </w:rPr>
              <w:t>纠正错误格式、谱写整齐规范的写作格式</w:t>
            </w:r>
          </w:p>
        </w:tc>
        <w:tc>
          <w:tcPr>
            <w:tcW w:w="768" w:type="dxa"/>
            <w:gridSpan w:val="2"/>
            <w:tcBorders>
              <w:top w:val="single" w:color="000000" w:sz="4" w:space="0"/>
              <w:left w:val="single" w:color="000000" w:sz="4" w:space="0"/>
              <w:bottom w:val="single" w:color="000000" w:sz="4" w:space="0"/>
              <w:right w:val="single" w:color="000000" w:sz="4" w:space="0"/>
            </w:tcBorders>
            <w:noWrap/>
            <w:vAlign w:val="center"/>
          </w:tcPr>
          <w:p w14:paraId="2DC30F70">
            <w:pPr>
              <w:pageBreakBefore w:val="0"/>
              <w:widowControl w:val="0"/>
              <w:kinsoku/>
              <w:overflowPunct/>
              <w:topLinePunct w:val="0"/>
              <w:bidi w:val="0"/>
              <w:adjustRightInd w:val="0"/>
              <w:snapToGrid w:val="0"/>
              <w:spacing w:line="240" w:lineRule="auto"/>
              <w:jc w:val="center"/>
              <w:rPr>
                <w:rFonts w:ascii="仿宋" w:eastAsia="仿宋" w:cs="仿宋"/>
                <w:kern w:val="0"/>
                <w:sz w:val="24"/>
                <w:lang w:bidi="ar-SA"/>
              </w:rPr>
            </w:pPr>
            <w:r>
              <w:rPr>
                <w:rFonts w:ascii="仿宋" w:eastAsia="仿宋" w:cs="仿宋"/>
                <w:kern w:val="0"/>
                <w:sz w:val="24"/>
                <w:lang w:bidi="ar-SA"/>
              </w:rPr>
              <w:t>9</w:t>
            </w:r>
          </w:p>
        </w:tc>
        <w:tc>
          <w:tcPr>
            <w:tcW w:w="768" w:type="dxa"/>
            <w:gridSpan w:val="3"/>
            <w:tcBorders>
              <w:top w:val="single" w:color="000000" w:sz="4" w:space="0"/>
              <w:left w:val="single" w:color="000000" w:sz="4" w:space="0"/>
              <w:bottom w:val="single" w:color="000000" w:sz="4" w:space="0"/>
              <w:right w:val="single" w:color="000000" w:sz="4" w:space="0"/>
            </w:tcBorders>
            <w:noWrap/>
            <w:vAlign w:val="center"/>
          </w:tcPr>
          <w:p w14:paraId="52090E3B">
            <w:pPr>
              <w:pageBreakBefore w:val="0"/>
              <w:widowControl w:val="0"/>
              <w:tabs>
                <w:tab w:val="left" w:pos="720"/>
              </w:tabs>
              <w:kinsoku/>
              <w:overflowPunct/>
              <w:topLinePunct w:val="0"/>
              <w:bidi w:val="0"/>
              <w:adjustRightInd w:val="0"/>
              <w:snapToGrid w:val="0"/>
              <w:spacing w:line="240" w:lineRule="auto"/>
              <w:jc w:val="center"/>
              <w:rPr>
                <w:rFonts w:ascii="仿宋" w:eastAsia="仿宋" w:cs="仿宋"/>
                <w:kern w:val="0"/>
                <w:sz w:val="24"/>
                <w:lang w:bidi="ar-SA"/>
              </w:rPr>
            </w:pPr>
            <w:r>
              <w:rPr>
                <w:rFonts w:ascii="仿宋" w:eastAsia="仿宋" w:cs="仿宋"/>
                <w:kern w:val="0"/>
                <w:sz w:val="24"/>
                <w:lang w:bidi="ar-SA"/>
              </w:rPr>
              <w:t>9</w:t>
            </w:r>
          </w:p>
        </w:tc>
        <w:tc>
          <w:tcPr>
            <w:tcW w:w="688" w:type="dxa"/>
            <w:gridSpan w:val="2"/>
            <w:tcBorders>
              <w:top w:val="single" w:color="000000" w:sz="4" w:space="0"/>
              <w:left w:val="single" w:color="000000" w:sz="4" w:space="0"/>
              <w:bottom w:val="single" w:color="000000" w:sz="4" w:space="0"/>
              <w:right w:val="single" w:color="000000" w:sz="4" w:space="0"/>
            </w:tcBorders>
            <w:noWrap/>
            <w:vAlign w:val="center"/>
          </w:tcPr>
          <w:p w14:paraId="7448E910">
            <w:pPr>
              <w:pageBreakBefore w:val="0"/>
              <w:widowControl w:val="0"/>
              <w:tabs>
                <w:tab w:val="left" w:pos="720"/>
              </w:tabs>
              <w:kinsoku/>
              <w:overflowPunct/>
              <w:topLinePunct w:val="0"/>
              <w:bidi w:val="0"/>
              <w:adjustRightInd w:val="0"/>
              <w:snapToGrid w:val="0"/>
              <w:spacing w:line="240" w:lineRule="auto"/>
              <w:jc w:val="center"/>
              <w:rPr>
                <w:rFonts w:ascii="仿宋" w:eastAsia="仿宋" w:cs="仿宋"/>
                <w:kern w:val="0"/>
                <w:sz w:val="24"/>
                <w:lang w:bidi="ar-SA"/>
              </w:rPr>
            </w:pPr>
            <w:r>
              <w:rPr>
                <w:rFonts w:ascii="仿宋" w:eastAsia="仿宋" w:cs="仿宋"/>
                <w:kern w:val="0"/>
                <w:sz w:val="24"/>
                <w:lang w:bidi="ar-SA"/>
              </w:rPr>
              <w:t>12</w:t>
            </w:r>
          </w:p>
        </w:tc>
        <w:tc>
          <w:tcPr>
            <w:tcW w:w="651" w:type="dxa"/>
            <w:tcBorders>
              <w:top w:val="single" w:color="000000" w:sz="4" w:space="0"/>
              <w:left w:val="single" w:color="000000" w:sz="4" w:space="0"/>
              <w:bottom w:val="single" w:color="000000" w:sz="4" w:space="0"/>
              <w:right w:val="single" w:color="000000" w:sz="4" w:space="0"/>
            </w:tcBorders>
            <w:noWrap/>
            <w:vAlign w:val="center"/>
          </w:tcPr>
          <w:p w14:paraId="61F901A2">
            <w:pPr>
              <w:pageBreakBefore w:val="0"/>
              <w:widowControl w:val="0"/>
              <w:tabs>
                <w:tab w:val="left" w:pos="720"/>
              </w:tabs>
              <w:kinsoku/>
              <w:overflowPunct/>
              <w:topLinePunct w:val="0"/>
              <w:bidi w:val="0"/>
              <w:spacing w:line="240" w:lineRule="auto"/>
              <w:jc w:val="center"/>
              <w:rPr>
                <w:rFonts w:hint="eastAsia" w:ascii="仿宋" w:eastAsia="仿宋" w:cs="仿宋"/>
                <w:sz w:val="24"/>
                <w:szCs w:val="24"/>
                <w:lang w:eastAsia="zh-CN" w:bidi="ar-SA"/>
              </w:rPr>
            </w:pPr>
            <w:r>
              <w:rPr>
                <w:rFonts w:hint="eastAsia" w:ascii="仿宋" w:eastAsia="仿宋" w:cs="仿宋"/>
                <w:sz w:val="24"/>
                <w:szCs w:val="24"/>
                <w:lang w:bidi="ar-SA"/>
              </w:rPr>
              <w:t>0.7</w:t>
            </w:r>
            <w:r>
              <w:rPr>
                <w:rFonts w:hint="eastAsia" w:ascii="仿宋" w:eastAsia="仿宋" w:cs="仿宋"/>
                <w:sz w:val="24"/>
                <w:szCs w:val="24"/>
                <w:lang w:val="en-US" w:eastAsia="zh-CN" w:bidi="ar-SA"/>
              </w:rPr>
              <w:t>8</w:t>
            </w:r>
          </w:p>
        </w:tc>
      </w:tr>
      <w:tr w14:paraId="35242F33">
        <w:trPr>
          <w:trHeight w:val="1124" w:hRule="atLeast"/>
          <w:jc w:val="center"/>
        </w:trPr>
        <w:tc>
          <w:tcPr>
            <w:tcW w:w="1334" w:type="dxa"/>
            <w:vMerge w:val="continue"/>
            <w:tcBorders>
              <w:top w:val="single" w:color="000000" w:sz="4" w:space="0"/>
              <w:left w:val="single" w:color="000000" w:sz="4" w:space="0"/>
              <w:bottom w:val="single" w:color="000000" w:sz="4" w:space="0"/>
              <w:right w:val="single" w:color="000000" w:sz="4" w:space="0"/>
            </w:tcBorders>
            <w:noWrap/>
            <w:vAlign w:val="center"/>
          </w:tcPr>
          <w:p w14:paraId="206501DD"/>
        </w:tc>
        <w:tc>
          <w:tcPr>
            <w:tcW w:w="1337" w:type="dxa"/>
            <w:tcBorders>
              <w:top w:val="single" w:color="000000" w:sz="4" w:space="0"/>
              <w:left w:val="single" w:color="000000" w:sz="4" w:space="0"/>
              <w:bottom w:val="single" w:color="000000" w:sz="4" w:space="0"/>
              <w:right w:val="single" w:color="000000" w:sz="4" w:space="0"/>
            </w:tcBorders>
            <w:noWrap/>
            <w:vAlign w:val="center"/>
          </w:tcPr>
          <w:p w14:paraId="7604B0DD">
            <w:pPr>
              <w:pageBreakBefore w:val="0"/>
              <w:widowControl w:val="0"/>
              <w:kinsoku/>
              <w:overflowPunct/>
              <w:topLinePunct w:val="0"/>
              <w:bidi w:val="0"/>
              <w:adjustRightInd w:val="0"/>
              <w:snapToGrid w:val="0"/>
              <w:spacing w:line="240" w:lineRule="auto"/>
              <w:jc w:val="center"/>
              <w:rPr>
                <w:rFonts w:hint="eastAsia" w:ascii="仿宋" w:eastAsia="仿宋" w:cs="仿宋"/>
                <w:sz w:val="24"/>
                <w:lang w:bidi="ar-SA"/>
              </w:rPr>
            </w:pPr>
            <w:r>
              <w:rPr>
                <w:rFonts w:hint="eastAsia" w:ascii="仿宋" w:eastAsia="仿宋" w:cs="仿宋"/>
                <w:kern w:val="0"/>
                <w:sz w:val="24"/>
                <w:lang w:bidi="ar-SA"/>
              </w:rPr>
              <w:t>课程目标3（</w:t>
            </w:r>
            <w:r>
              <w:rPr>
                <w:rFonts w:ascii="仿宋" w:eastAsia="仿宋" w:cs="仿宋"/>
                <w:kern w:val="0"/>
                <w:sz w:val="24"/>
                <w:lang w:bidi="ar-SA"/>
              </w:rPr>
              <w:t>3</w:t>
            </w:r>
            <w:r>
              <w:rPr>
                <w:rFonts w:hint="eastAsia" w:ascii="仿宋" w:eastAsia="仿宋" w:cs="仿宋"/>
                <w:kern w:val="0"/>
                <w:sz w:val="24"/>
                <w:lang w:val="en-US" w:eastAsia="zh-CN" w:bidi="ar-SA"/>
              </w:rPr>
              <w:t>0</w:t>
            </w:r>
            <w:r>
              <w:rPr>
                <w:rFonts w:hint="eastAsia" w:ascii="仿宋" w:eastAsia="仿宋" w:cs="仿宋"/>
                <w:kern w:val="0"/>
                <w:sz w:val="24"/>
                <w:lang w:bidi="ar-SA"/>
              </w:rPr>
              <w:t>%）</w:t>
            </w:r>
          </w:p>
        </w:tc>
        <w:tc>
          <w:tcPr>
            <w:tcW w:w="3602" w:type="dxa"/>
            <w:gridSpan w:val="5"/>
            <w:tcBorders>
              <w:top w:val="single" w:color="000000" w:sz="4" w:space="0"/>
              <w:left w:val="single" w:color="000000" w:sz="4" w:space="0"/>
              <w:bottom w:val="single" w:color="000000" w:sz="4" w:space="0"/>
              <w:right w:val="single" w:color="000000" w:sz="4" w:space="0"/>
            </w:tcBorders>
            <w:noWrap/>
            <w:vAlign w:val="center"/>
          </w:tcPr>
          <w:p w14:paraId="3AD15A5F">
            <w:pPr>
              <w:pageBreakBefore w:val="0"/>
              <w:widowControl w:val="0"/>
              <w:numPr>
                <w:ilvl w:val="0"/>
                <w:numId w:val="0"/>
              </w:numPr>
              <w:kinsoku/>
              <w:overflowPunct/>
              <w:topLinePunct w:val="0"/>
              <w:bidi w:val="0"/>
              <w:adjustRightInd w:val="0"/>
              <w:snapToGrid w:val="0"/>
              <w:spacing w:line="240" w:lineRule="auto"/>
              <w:ind w:leftChars="0"/>
              <w:jc w:val="left"/>
              <w:rPr>
                <w:rFonts w:hint="eastAsia" w:ascii="仿宋" w:eastAsia="仿宋" w:cs="仿宋"/>
                <w:sz w:val="24"/>
                <w:lang w:eastAsia="zh-CN" w:bidi="ar-SA"/>
              </w:rPr>
            </w:pPr>
            <w:r>
              <w:rPr>
                <w:rFonts w:hint="eastAsia" w:ascii="仿宋" w:eastAsia="仿宋" w:cs="仿宋"/>
                <w:kern w:val="0"/>
                <w:sz w:val="24"/>
                <w:lang w:bidi="ar-SA"/>
              </w:rPr>
              <w:t>掌握</w:t>
            </w:r>
            <w:r>
              <w:rPr>
                <w:rFonts w:hint="eastAsia" w:ascii="仿宋" w:eastAsia="仿宋" w:cs="仿宋"/>
                <w:kern w:val="0"/>
                <w:sz w:val="24"/>
                <w:lang w:val="en-US" w:bidi="ar-SA"/>
              </w:rPr>
              <w:t>曲式与作品分析</w:t>
            </w:r>
            <w:r>
              <w:rPr>
                <w:rFonts w:hint="eastAsia" w:ascii="仿宋" w:eastAsia="仿宋" w:cs="仿宋"/>
                <w:kern w:val="0"/>
                <w:sz w:val="24"/>
                <w:lang w:bidi="ar-SA"/>
              </w:rPr>
              <w:t>的教学方法与教学规律</w:t>
            </w:r>
            <w:r>
              <w:rPr>
                <w:rFonts w:hint="eastAsia" w:ascii="仿宋" w:eastAsia="仿宋" w:cs="仿宋"/>
                <w:kern w:val="0"/>
                <w:sz w:val="24"/>
                <w:lang w:eastAsia="zh-CN" w:bidi="ar-SA"/>
              </w:rPr>
              <w:t>；</w:t>
            </w:r>
            <w:r>
              <w:rPr>
                <w:rFonts w:hint="eastAsia" w:ascii="仿宋" w:eastAsia="仿宋" w:cs="仿宋"/>
                <w:kern w:val="0"/>
                <w:sz w:val="24"/>
                <w:lang w:val="en-US" w:bidi="ar-SA"/>
              </w:rPr>
              <w:t>了解</w:t>
            </w:r>
            <w:r>
              <w:rPr>
                <w:rFonts w:hint="eastAsia" w:ascii="仿宋" w:eastAsia="仿宋" w:cs="仿宋"/>
                <w:kern w:val="0"/>
                <w:sz w:val="24"/>
                <w:lang w:bidi="ar-SA"/>
              </w:rPr>
              <w:t>课堂教学的基本规律和方法</w:t>
            </w:r>
            <w:r>
              <w:rPr>
                <w:rFonts w:hint="eastAsia" w:ascii="仿宋" w:eastAsia="仿宋" w:cs="仿宋"/>
                <w:kern w:val="0"/>
                <w:sz w:val="24"/>
                <w:lang w:eastAsia="zh-CN" w:bidi="ar-SA"/>
              </w:rPr>
              <w:t>。</w:t>
            </w:r>
          </w:p>
        </w:tc>
        <w:tc>
          <w:tcPr>
            <w:tcW w:w="768" w:type="dxa"/>
            <w:gridSpan w:val="2"/>
            <w:tcBorders>
              <w:top w:val="single" w:color="000000" w:sz="4" w:space="0"/>
              <w:left w:val="single" w:color="000000" w:sz="4" w:space="0"/>
              <w:bottom w:val="single" w:color="000000" w:sz="4" w:space="0"/>
              <w:right w:val="single" w:color="000000" w:sz="4" w:space="0"/>
            </w:tcBorders>
            <w:noWrap/>
            <w:vAlign w:val="center"/>
          </w:tcPr>
          <w:p w14:paraId="45314960">
            <w:pPr>
              <w:pageBreakBefore w:val="0"/>
              <w:widowControl w:val="0"/>
              <w:kinsoku/>
              <w:overflowPunct/>
              <w:topLinePunct w:val="0"/>
              <w:bidi w:val="0"/>
              <w:adjustRightInd w:val="0"/>
              <w:snapToGrid w:val="0"/>
              <w:spacing w:line="240" w:lineRule="auto"/>
              <w:jc w:val="center"/>
              <w:rPr>
                <w:rFonts w:ascii="仿宋" w:eastAsia="仿宋" w:cs="仿宋"/>
                <w:kern w:val="0"/>
                <w:sz w:val="24"/>
                <w:lang w:bidi="ar-SA"/>
              </w:rPr>
            </w:pPr>
            <w:r>
              <w:rPr>
                <w:rFonts w:ascii="仿宋" w:eastAsia="仿宋" w:cs="仿宋"/>
                <w:kern w:val="0"/>
                <w:sz w:val="24"/>
                <w:lang w:bidi="ar-SA"/>
              </w:rPr>
              <w:t>9</w:t>
            </w:r>
          </w:p>
        </w:tc>
        <w:tc>
          <w:tcPr>
            <w:tcW w:w="768" w:type="dxa"/>
            <w:gridSpan w:val="3"/>
            <w:tcBorders>
              <w:top w:val="single" w:color="000000" w:sz="4" w:space="0"/>
              <w:left w:val="single" w:color="000000" w:sz="4" w:space="0"/>
              <w:bottom w:val="single" w:color="000000" w:sz="4" w:space="0"/>
              <w:right w:val="single" w:color="000000" w:sz="4" w:space="0"/>
            </w:tcBorders>
            <w:noWrap/>
            <w:vAlign w:val="center"/>
          </w:tcPr>
          <w:p w14:paraId="51BC118E">
            <w:pPr>
              <w:pageBreakBefore w:val="0"/>
              <w:widowControl w:val="0"/>
              <w:tabs>
                <w:tab w:val="left" w:pos="720"/>
              </w:tabs>
              <w:kinsoku/>
              <w:overflowPunct/>
              <w:topLinePunct w:val="0"/>
              <w:bidi w:val="0"/>
              <w:adjustRightInd w:val="0"/>
              <w:snapToGrid w:val="0"/>
              <w:spacing w:line="240" w:lineRule="auto"/>
              <w:jc w:val="center"/>
              <w:rPr>
                <w:rFonts w:ascii="仿宋" w:eastAsia="仿宋" w:cs="仿宋"/>
                <w:kern w:val="0"/>
                <w:sz w:val="24"/>
                <w:lang w:bidi="ar-SA"/>
              </w:rPr>
            </w:pPr>
            <w:r>
              <w:rPr>
                <w:rFonts w:ascii="仿宋" w:eastAsia="仿宋" w:cs="仿宋"/>
                <w:kern w:val="0"/>
                <w:sz w:val="24"/>
                <w:lang w:bidi="ar-SA"/>
              </w:rPr>
              <w:t>9</w:t>
            </w:r>
          </w:p>
        </w:tc>
        <w:tc>
          <w:tcPr>
            <w:tcW w:w="688" w:type="dxa"/>
            <w:gridSpan w:val="2"/>
            <w:tcBorders>
              <w:top w:val="single" w:color="000000" w:sz="4" w:space="0"/>
              <w:left w:val="single" w:color="000000" w:sz="4" w:space="0"/>
              <w:bottom w:val="single" w:color="000000" w:sz="4" w:space="0"/>
              <w:right w:val="single" w:color="000000" w:sz="4" w:space="0"/>
            </w:tcBorders>
            <w:noWrap/>
            <w:vAlign w:val="center"/>
          </w:tcPr>
          <w:p w14:paraId="18CFF5EB">
            <w:pPr>
              <w:pageBreakBefore w:val="0"/>
              <w:widowControl w:val="0"/>
              <w:tabs>
                <w:tab w:val="left" w:pos="720"/>
              </w:tabs>
              <w:kinsoku/>
              <w:overflowPunct/>
              <w:topLinePunct w:val="0"/>
              <w:bidi w:val="0"/>
              <w:adjustRightInd w:val="0"/>
              <w:snapToGrid w:val="0"/>
              <w:spacing w:line="240" w:lineRule="auto"/>
              <w:jc w:val="center"/>
              <w:rPr>
                <w:rFonts w:ascii="仿宋" w:eastAsia="仿宋" w:cs="仿宋"/>
                <w:kern w:val="0"/>
                <w:sz w:val="24"/>
                <w:lang w:bidi="ar-SA"/>
              </w:rPr>
            </w:pPr>
            <w:r>
              <w:rPr>
                <w:rFonts w:ascii="仿宋" w:eastAsia="仿宋" w:cs="仿宋"/>
                <w:kern w:val="0"/>
                <w:sz w:val="24"/>
                <w:lang w:bidi="ar-SA"/>
              </w:rPr>
              <w:t>12</w:t>
            </w:r>
          </w:p>
        </w:tc>
        <w:tc>
          <w:tcPr>
            <w:tcW w:w="651" w:type="dxa"/>
            <w:tcBorders>
              <w:top w:val="single" w:color="000000" w:sz="4" w:space="0"/>
              <w:left w:val="single" w:color="000000" w:sz="4" w:space="0"/>
              <w:bottom w:val="single" w:color="000000" w:sz="4" w:space="0"/>
              <w:right w:val="single" w:color="000000" w:sz="4" w:space="0"/>
            </w:tcBorders>
            <w:noWrap/>
            <w:vAlign w:val="center"/>
          </w:tcPr>
          <w:p w14:paraId="4CF640F0">
            <w:pPr>
              <w:pageBreakBefore w:val="0"/>
              <w:widowControl w:val="0"/>
              <w:tabs>
                <w:tab w:val="left" w:pos="720"/>
              </w:tabs>
              <w:kinsoku/>
              <w:overflowPunct/>
              <w:topLinePunct w:val="0"/>
              <w:bidi w:val="0"/>
              <w:spacing w:line="240" w:lineRule="auto"/>
              <w:jc w:val="center"/>
              <w:rPr>
                <w:rFonts w:hint="eastAsia" w:ascii="仿宋" w:eastAsia="仿宋" w:cs="仿宋"/>
                <w:sz w:val="24"/>
                <w:szCs w:val="24"/>
                <w:lang w:eastAsia="zh-CN" w:bidi="ar-SA"/>
              </w:rPr>
            </w:pPr>
            <w:r>
              <w:rPr>
                <w:rFonts w:hint="eastAsia" w:ascii="仿宋" w:eastAsia="仿宋" w:cs="仿宋"/>
                <w:sz w:val="24"/>
                <w:szCs w:val="24"/>
                <w:lang w:bidi="ar-SA"/>
              </w:rPr>
              <w:t>0.7</w:t>
            </w:r>
            <w:r>
              <w:rPr>
                <w:rFonts w:hint="eastAsia" w:ascii="仿宋" w:eastAsia="仿宋" w:cs="仿宋"/>
                <w:sz w:val="24"/>
                <w:szCs w:val="24"/>
                <w:lang w:val="en-US" w:eastAsia="zh-CN" w:bidi="ar-SA"/>
              </w:rPr>
              <w:t>9</w:t>
            </w:r>
          </w:p>
        </w:tc>
      </w:tr>
      <w:tr w14:paraId="172E99C8">
        <w:trPr>
          <w:trHeight w:val="624" w:hRule="atLeast"/>
          <w:jc w:val="center"/>
        </w:trPr>
        <w:tc>
          <w:tcPr>
            <w:tcW w:w="1334" w:type="dxa"/>
            <w:vMerge w:val="continue"/>
            <w:tcBorders>
              <w:top w:val="single" w:color="000000" w:sz="4" w:space="0"/>
              <w:left w:val="single" w:color="000000" w:sz="4" w:space="0"/>
              <w:bottom w:val="single" w:color="000000" w:sz="4" w:space="0"/>
              <w:right w:val="single" w:color="000000" w:sz="4" w:space="0"/>
            </w:tcBorders>
            <w:noWrap/>
            <w:vAlign w:val="center"/>
          </w:tcPr>
          <w:p w14:paraId="788CEB95"/>
        </w:tc>
        <w:tc>
          <w:tcPr>
            <w:tcW w:w="1337" w:type="dxa"/>
            <w:tcBorders>
              <w:top w:val="single" w:color="000000" w:sz="4" w:space="0"/>
              <w:left w:val="single" w:color="000000" w:sz="4" w:space="0"/>
              <w:bottom w:val="single" w:color="000000" w:sz="4" w:space="0"/>
              <w:right w:val="single" w:color="000000" w:sz="4" w:space="0"/>
            </w:tcBorders>
            <w:noWrap/>
            <w:vAlign w:val="center"/>
          </w:tcPr>
          <w:p w14:paraId="3C6469B4">
            <w:pPr>
              <w:pageBreakBefore w:val="0"/>
              <w:widowControl w:val="0"/>
              <w:kinsoku/>
              <w:overflowPunct/>
              <w:topLinePunct w:val="0"/>
              <w:bidi w:val="0"/>
              <w:adjustRightInd w:val="0"/>
              <w:snapToGrid w:val="0"/>
              <w:spacing w:line="240" w:lineRule="auto"/>
              <w:jc w:val="center"/>
              <w:rPr>
                <w:rFonts w:hint="eastAsia" w:ascii="仿宋" w:eastAsia="仿宋" w:cs="仿宋"/>
                <w:kern w:val="0"/>
                <w:sz w:val="24"/>
                <w:lang w:bidi="ar-SA"/>
              </w:rPr>
            </w:pPr>
            <w:r>
              <w:rPr>
                <w:rFonts w:hint="eastAsia" w:ascii="仿宋" w:eastAsia="仿宋" w:cs="仿宋"/>
                <w:kern w:val="0"/>
                <w:sz w:val="24"/>
                <w:lang w:bidi="ar-SA"/>
              </w:rPr>
              <w:t>课程目标4</w:t>
            </w:r>
          </w:p>
          <w:p w14:paraId="6E97C418">
            <w:pPr>
              <w:pageBreakBefore w:val="0"/>
              <w:widowControl w:val="0"/>
              <w:kinsoku/>
              <w:overflowPunct/>
              <w:topLinePunct w:val="0"/>
              <w:bidi w:val="0"/>
              <w:adjustRightInd w:val="0"/>
              <w:snapToGrid w:val="0"/>
              <w:spacing w:line="240" w:lineRule="auto"/>
              <w:jc w:val="center"/>
              <w:rPr>
                <w:rFonts w:hint="eastAsia" w:ascii="仿宋" w:eastAsia="仿宋" w:cs="仿宋"/>
                <w:kern w:val="0"/>
                <w:sz w:val="24"/>
                <w:lang w:bidi="ar-SA"/>
              </w:rPr>
            </w:pPr>
            <w:r>
              <w:rPr>
                <w:rFonts w:hint="eastAsia" w:ascii="仿宋" w:eastAsia="仿宋" w:cs="仿宋"/>
                <w:kern w:val="0"/>
                <w:sz w:val="24"/>
                <w:lang w:bidi="ar-SA"/>
              </w:rPr>
              <w:t>（</w:t>
            </w:r>
            <w:r>
              <w:rPr>
                <w:rFonts w:ascii="仿宋" w:eastAsia="仿宋" w:cs="仿宋"/>
                <w:kern w:val="0"/>
                <w:sz w:val="24"/>
                <w:lang w:bidi="ar-SA"/>
              </w:rPr>
              <w:t>1</w:t>
            </w:r>
            <w:r>
              <w:rPr>
                <w:rFonts w:hint="eastAsia" w:ascii="仿宋" w:eastAsia="仿宋" w:cs="仿宋"/>
                <w:kern w:val="0"/>
                <w:sz w:val="24"/>
                <w:lang w:val="en-US" w:eastAsia="zh-CN" w:bidi="ar-SA"/>
              </w:rPr>
              <w:t>0</w:t>
            </w:r>
            <w:r>
              <w:rPr>
                <w:rFonts w:hint="eastAsia" w:ascii="仿宋" w:eastAsia="仿宋" w:cs="仿宋"/>
                <w:kern w:val="0"/>
                <w:sz w:val="24"/>
                <w:lang w:bidi="ar-SA"/>
              </w:rPr>
              <w:t>%）</w:t>
            </w:r>
          </w:p>
        </w:tc>
        <w:tc>
          <w:tcPr>
            <w:tcW w:w="3602" w:type="dxa"/>
            <w:gridSpan w:val="5"/>
            <w:tcBorders>
              <w:top w:val="single" w:color="000000" w:sz="4" w:space="0"/>
              <w:left w:val="single" w:color="000000" w:sz="4" w:space="0"/>
              <w:bottom w:val="single" w:color="000000" w:sz="4" w:space="0"/>
              <w:right w:val="single" w:color="000000" w:sz="4" w:space="0"/>
            </w:tcBorders>
            <w:noWrap/>
            <w:vAlign w:val="center"/>
          </w:tcPr>
          <w:p w14:paraId="3B98DB40">
            <w:pPr>
              <w:pageBreakBefore w:val="0"/>
              <w:widowControl w:val="0"/>
              <w:tabs>
                <w:tab w:val="left" w:pos="0"/>
              </w:tabs>
              <w:kinsoku/>
              <w:overflowPunct/>
              <w:topLinePunct w:val="0"/>
              <w:bidi w:val="0"/>
              <w:adjustRightInd w:val="0"/>
              <w:snapToGrid w:val="0"/>
              <w:spacing w:line="240" w:lineRule="auto"/>
              <w:jc w:val="left"/>
              <w:rPr>
                <w:rFonts w:hint="eastAsia" w:ascii="仿宋" w:eastAsia="仿宋" w:cs="仿宋"/>
                <w:sz w:val="24"/>
                <w:lang w:bidi="ar-SA"/>
              </w:rPr>
            </w:pPr>
            <w:r>
              <w:rPr>
                <w:rStyle w:val="218"/>
                <w:rFonts w:hint="eastAsia" w:ascii="仿宋" w:eastAsia="仿宋" w:cs="仿宋"/>
                <w:sz w:val="24"/>
                <w:lang w:val="en-US" w:bidi="ar-SA"/>
              </w:rPr>
              <w:t>掌握反思的方法</w:t>
            </w:r>
            <w:r>
              <w:rPr>
                <w:rFonts w:hint="eastAsia" w:ascii="仿宋" w:eastAsia="仿宋" w:cs="仿宋"/>
                <w:kern w:val="0"/>
                <w:sz w:val="24"/>
                <w:lang w:val="en-US" w:eastAsia="zh-CN" w:bidi="ar-SA"/>
              </w:rPr>
              <w:t>；</w:t>
            </w:r>
            <w:r>
              <w:rPr>
                <w:rFonts w:hint="eastAsia" w:ascii="仿宋" w:eastAsia="仿宋" w:cs="宋体"/>
                <w:kern w:val="0"/>
                <w:sz w:val="24"/>
                <w:lang w:val="en-US" w:bidi="ar-SA"/>
              </w:rPr>
              <w:t>能够在理论学习和曲式分析中进行反思</w:t>
            </w:r>
          </w:p>
        </w:tc>
        <w:tc>
          <w:tcPr>
            <w:tcW w:w="768" w:type="dxa"/>
            <w:gridSpan w:val="2"/>
            <w:tcBorders>
              <w:top w:val="single" w:color="000000" w:sz="4" w:space="0"/>
              <w:left w:val="single" w:color="000000" w:sz="4" w:space="0"/>
              <w:bottom w:val="single" w:color="000000" w:sz="4" w:space="0"/>
              <w:right w:val="single" w:color="000000" w:sz="4" w:space="0"/>
            </w:tcBorders>
            <w:noWrap/>
            <w:vAlign w:val="center"/>
          </w:tcPr>
          <w:p w14:paraId="77E79B7B">
            <w:pPr>
              <w:pageBreakBefore w:val="0"/>
              <w:widowControl w:val="0"/>
              <w:kinsoku/>
              <w:overflowPunct/>
              <w:topLinePunct w:val="0"/>
              <w:bidi w:val="0"/>
              <w:adjustRightInd w:val="0"/>
              <w:snapToGrid w:val="0"/>
              <w:spacing w:line="240" w:lineRule="auto"/>
              <w:jc w:val="center"/>
              <w:rPr>
                <w:rFonts w:ascii="仿宋" w:eastAsia="仿宋" w:cs="仿宋"/>
                <w:kern w:val="0"/>
                <w:sz w:val="24"/>
                <w:lang w:bidi="ar-SA"/>
              </w:rPr>
            </w:pPr>
            <w:r>
              <w:rPr>
                <w:rFonts w:ascii="仿宋" w:eastAsia="仿宋" w:cs="仿宋"/>
                <w:kern w:val="0"/>
                <w:sz w:val="24"/>
                <w:lang w:bidi="ar-SA"/>
              </w:rPr>
              <w:t>3</w:t>
            </w:r>
          </w:p>
        </w:tc>
        <w:tc>
          <w:tcPr>
            <w:tcW w:w="768" w:type="dxa"/>
            <w:gridSpan w:val="3"/>
            <w:tcBorders>
              <w:top w:val="single" w:color="000000" w:sz="4" w:space="0"/>
              <w:left w:val="single" w:color="000000" w:sz="4" w:space="0"/>
              <w:bottom w:val="single" w:color="000000" w:sz="4" w:space="0"/>
              <w:right w:val="single" w:color="000000" w:sz="4" w:space="0"/>
            </w:tcBorders>
            <w:noWrap/>
            <w:vAlign w:val="center"/>
          </w:tcPr>
          <w:p w14:paraId="2E3AC09A">
            <w:pPr>
              <w:pageBreakBefore w:val="0"/>
              <w:widowControl w:val="0"/>
              <w:tabs>
                <w:tab w:val="left" w:pos="720"/>
              </w:tabs>
              <w:kinsoku/>
              <w:overflowPunct/>
              <w:topLinePunct w:val="0"/>
              <w:bidi w:val="0"/>
              <w:adjustRightInd w:val="0"/>
              <w:snapToGrid w:val="0"/>
              <w:spacing w:line="240" w:lineRule="auto"/>
              <w:jc w:val="center"/>
              <w:rPr>
                <w:rFonts w:ascii="仿宋" w:eastAsia="仿宋" w:cs="仿宋"/>
                <w:kern w:val="0"/>
                <w:sz w:val="24"/>
                <w:lang w:bidi="ar-SA"/>
              </w:rPr>
            </w:pPr>
            <w:r>
              <w:rPr>
                <w:rFonts w:ascii="仿宋" w:eastAsia="仿宋" w:cs="仿宋"/>
                <w:kern w:val="0"/>
                <w:sz w:val="24"/>
                <w:lang w:bidi="ar-SA"/>
              </w:rPr>
              <w:t>3</w:t>
            </w:r>
          </w:p>
        </w:tc>
        <w:tc>
          <w:tcPr>
            <w:tcW w:w="688" w:type="dxa"/>
            <w:gridSpan w:val="2"/>
            <w:tcBorders>
              <w:top w:val="single" w:color="000000" w:sz="4" w:space="0"/>
              <w:left w:val="single" w:color="000000" w:sz="4" w:space="0"/>
              <w:bottom w:val="single" w:color="000000" w:sz="4" w:space="0"/>
              <w:right w:val="single" w:color="000000" w:sz="4" w:space="0"/>
            </w:tcBorders>
            <w:noWrap/>
            <w:vAlign w:val="center"/>
          </w:tcPr>
          <w:p w14:paraId="50AD3CE7">
            <w:pPr>
              <w:pageBreakBefore w:val="0"/>
              <w:widowControl w:val="0"/>
              <w:tabs>
                <w:tab w:val="left" w:pos="720"/>
              </w:tabs>
              <w:kinsoku/>
              <w:overflowPunct/>
              <w:topLinePunct w:val="0"/>
              <w:bidi w:val="0"/>
              <w:adjustRightInd w:val="0"/>
              <w:snapToGrid w:val="0"/>
              <w:spacing w:line="240" w:lineRule="auto"/>
              <w:jc w:val="center"/>
              <w:rPr>
                <w:rFonts w:ascii="仿宋" w:eastAsia="仿宋" w:cs="仿宋"/>
                <w:kern w:val="0"/>
                <w:sz w:val="24"/>
                <w:lang w:bidi="ar-SA"/>
              </w:rPr>
            </w:pPr>
            <w:r>
              <w:rPr>
                <w:rFonts w:ascii="仿宋" w:eastAsia="仿宋" w:cs="仿宋"/>
                <w:kern w:val="0"/>
                <w:sz w:val="24"/>
                <w:lang w:bidi="ar-SA"/>
              </w:rPr>
              <w:t>4</w:t>
            </w:r>
          </w:p>
        </w:tc>
        <w:tc>
          <w:tcPr>
            <w:tcW w:w="651" w:type="dxa"/>
            <w:tcBorders>
              <w:top w:val="single" w:color="000000" w:sz="4" w:space="0"/>
              <w:left w:val="single" w:color="000000" w:sz="4" w:space="0"/>
              <w:bottom w:val="single" w:color="000000" w:sz="4" w:space="0"/>
              <w:right w:val="single" w:color="000000" w:sz="4" w:space="0"/>
            </w:tcBorders>
            <w:noWrap/>
            <w:vAlign w:val="center"/>
          </w:tcPr>
          <w:p w14:paraId="2DBB969F">
            <w:pPr>
              <w:pageBreakBefore w:val="0"/>
              <w:widowControl w:val="0"/>
              <w:tabs>
                <w:tab w:val="left" w:pos="720"/>
              </w:tabs>
              <w:kinsoku/>
              <w:overflowPunct/>
              <w:topLinePunct w:val="0"/>
              <w:bidi w:val="0"/>
              <w:spacing w:line="240" w:lineRule="auto"/>
              <w:jc w:val="center"/>
              <w:rPr>
                <w:rFonts w:hint="eastAsia" w:ascii="仿宋" w:eastAsia="仿宋" w:cs="仿宋"/>
                <w:sz w:val="24"/>
                <w:szCs w:val="24"/>
                <w:lang w:eastAsia="zh-CN" w:bidi="ar-SA"/>
              </w:rPr>
            </w:pPr>
            <w:r>
              <w:rPr>
                <w:rFonts w:hint="eastAsia" w:ascii="仿宋" w:eastAsia="仿宋" w:cs="仿宋"/>
                <w:sz w:val="24"/>
                <w:szCs w:val="24"/>
                <w:lang w:bidi="ar-SA"/>
              </w:rPr>
              <w:t>0.7</w:t>
            </w:r>
            <w:r>
              <w:rPr>
                <w:rFonts w:hint="eastAsia" w:ascii="仿宋" w:eastAsia="仿宋" w:cs="仿宋"/>
                <w:sz w:val="24"/>
                <w:szCs w:val="24"/>
                <w:lang w:val="en-US" w:eastAsia="zh-CN" w:bidi="ar-SA"/>
              </w:rPr>
              <w:t>9</w:t>
            </w:r>
          </w:p>
        </w:tc>
      </w:tr>
      <w:tr w14:paraId="784DA362">
        <w:trPr>
          <w:trHeight w:val="624" w:hRule="atLeast"/>
          <w:jc w:val="center"/>
        </w:trPr>
        <w:tc>
          <w:tcPr>
            <w:tcW w:w="1334" w:type="dxa"/>
            <w:vMerge w:val="continue"/>
            <w:tcBorders>
              <w:top w:val="single" w:color="000000" w:sz="4" w:space="0"/>
              <w:left w:val="single" w:color="000000" w:sz="4" w:space="0"/>
              <w:bottom w:val="single" w:color="000000" w:sz="4" w:space="0"/>
              <w:right w:val="single" w:color="000000" w:sz="4" w:space="0"/>
            </w:tcBorders>
            <w:noWrap/>
            <w:vAlign w:val="center"/>
          </w:tcPr>
          <w:p w14:paraId="62FB5E71"/>
        </w:tc>
        <w:tc>
          <w:tcPr>
            <w:tcW w:w="1337" w:type="dxa"/>
            <w:tcBorders>
              <w:top w:val="single" w:color="000000" w:sz="4" w:space="0"/>
              <w:left w:val="single" w:color="000000" w:sz="4" w:space="0"/>
              <w:bottom w:val="single" w:color="000000" w:sz="4" w:space="0"/>
              <w:right w:val="single" w:color="000000" w:sz="4" w:space="0"/>
            </w:tcBorders>
            <w:noWrap/>
            <w:vAlign w:val="center"/>
          </w:tcPr>
          <w:p w14:paraId="34D46E1C">
            <w:pPr>
              <w:pageBreakBefore w:val="0"/>
              <w:widowControl w:val="0"/>
              <w:kinsoku/>
              <w:overflowPunct/>
              <w:topLinePunct w:val="0"/>
              <w:bidi w:val="0"/>
              <w:adjustRightInd w:val="0"/>
              <w:snapToGrid w:val="0"/>
              <w:spacing w:line="240" w:lineRule="auto"/>
              <w:jc w:val="center"/>
              <w:rPr>
                <w:rFonts w:hint="eastAsia" w:ascii="仿宋" w:eastAsia="仿宋" w:cs="仿宋"/>
                <w:kern w:val="0"/>
                <w:sz w:val="24"/>
                <w:lang w:bidi="ar-SA"/>
              </w:rPr>
            </w:pPr>
            <w:r>
              <w:rPr>
                <w:rFonts w:hint="eastAsia" w:ascii="仿宋" w:eastAsia="仿宋" w:cs="仿宋"/>
                <w:kern w:val="0"/>
                <w:sz w:val="24"/>
                <w:lang w:bidi="ar-SA"/>
              </w:rPr>
              <w:t>课程目标5（</w:t>
            </w:r>
            <w:r>
              <w:rPr>
                <w:rFonts w:hint="eastAsia" w:ascii="仿宋" w:eastAsia="仿宋" w:cs="仿宋"/>
                <w:kern w:val="0"/>
                <w:sz w:val="24"/>
                <w:lang w:val="en-US" w:eastAsia="zh-CN" w:bidi="ar-SA"/>
              </w:rPr>
              <w:t>10</w:t>
            </w:r>
            <w:r>
              <w:rPr>
                <w:rFonts w:hint="eastAsia" w:ascii="仿宋" w:eastAsia="仿宋" w:cs="仿宋"/>
                <w:kern w:val="0"/>
                <w:sz w:val="24"/>
                <w:lang w:bidi="ar-SA"/>
              </w:rPr>
              <w:t>%）</w:t>
            </w:r>
          </w:p>
        </w:tc>
        <w:tc>
          <w:tcPr>
            <w:tcW w:w="3602" w:type="dxa"/>
            <w:gridSpan w:val="5"/>
            <w:tcBorders>
              <w:top w:val="single" w:color="000000" w:sz="4" w:space="0"/>
              <w:left w:val="single" w:color="000000" w:sz="4" w:space="0"/>
              <w:bottom w:val="single" w:color="000000" w:sz="4" w:space="0"/>
              <w:right w:val="single" w:color="000000" w:sz="4" w:space="0"/>
            </w:tcBorders>
            <w:noWrap/>
            <w:vAlign w:val="center"/>
          </w:tcPr>
          <w:p w14:paraId="3E4C5342">
            <w:pPr>
              <w:pageBreakBefore w:val="0"/>
              <w:widowControl w:val="0"/>
              <w:numPr>
                <w:ilvl w:val="0"/>
                <w:numId w:val="0"/>
              </w:numPr>
              <w:kinsoku/>
              <w:overflowPunct/>
              <w:topLinePunct w:val="0"/>
              <w:bidi w:val="0"/>
              <w:adjustRightInd w:val="0"/>
              <w:snapToGrid w:val="0"/>
              <w:spacing w:line="240" w:lineRule="auto"/>
              <w:ind w:leftChars="0"/>
              <w:jc w:val="left"/>
              <w:rPr>
                <w:rFonts w:hint="eastAsia" w:ascii="仿宋" w:eastAsia="仿宋" w:cs="仿宋"/>
                <w:sz w:val="24"/>
                <w:lang w:bidi="ar-SA"/>
              </w:rPr>
            </w:pPr>
            <w:r>
              <w:rPr>
                <w:rFonts w:hint="eastAsia" w:ascii="仿宋" w:eastAsia="仿宋" w:cs="仿宋"/>
                <w:sz w:val="24"/>
                <w:lang w:bidi="ar-SA"/>
              </w:rPr>
              <w:t>理解学习共同体的作用</w:t>
            </w:r>
            <w:r>
              <w:rPr>
                <w:rFonts w:hint="eastAsia" w:ascii="仿宋" w:eastAsia="仿宋" w:cs="仿宋"/>
                <w:sz w:val="24"/>
                <w:lang w:eastAsia="zh-CN" w:bidi="ar-SA"/>
              </w:rPr>
              <w:t>；</w:t>
            </w:r>
            <w:r>
              <w:rPr>
                <w:rFonts w:hint="eastAsia" w:ascii="仿宋" w:eastAsia="仿宋" w:cs="仿宋"/>
                <w:kern w:val="0"/>
                <w:sz w:val="24"/>
                <w:lang w:val="en-US" w:bidi="ar-SA"/>
              </w:rPr>
              <w:t>进行小组互助学习</w:t>
            </w:r>
          </w:p>
        </w:tc>
        <w:tc>
          <w:tcPr>
            <w:tcW w:w="768" w:type="dxa"/>
            <w:gridSpan w:val="2"/>
            <w:tcBorders>
              <w:top w:val="single" w:color="000000" w:sz="4" w:space="0"/>
              <w:left w:val="single" w:color="000000" w:sz="4" w:space="0"/>
              <w:bottom w:val="single" w:color="000000" w:sz="4" w:space="0"/>
              <w:right w:val="single" w:color="000000" w:sz="4" w:space="0"/>
            </w:tcBorders>
            <w:noWrap/>
            <w:vAlign w:val="center"/>
          </w:tcPr>
          <w:p w14:paraId="5619B6EE">
            <w:pPr>
              <w:pageBreakBefore w:val="0"/>
              <w:widowControl w:val="0"/>
              <w:kinsoku/>
              <w:overflowPunct/>
              <w:topLinePunct w:val="0"/>
              <w:bidi w:val="0"/>
              <w:adjustRightInd w:val="0"/>
              <w:snapToGrid w:val="0"/>
              <w:spacing w:line="240" w:lineRule="auto"/>
              <w:jc w:val="center"/>
              <w:rPr>
                <w:rFonts w:ascii="仿宋" w:eastAsia="仿宋" w:cs="仿宋"/>
                <w:kern w:val="0"/>
                <w:sz w:val="24"/>
                <w:lang w:bidi="ar-SA"/>
              </w:rPr>
            </w:pPr>
            <w:r>
              <w:rPr>
                <w:rFonts w:ascii="仿宋" w:eastAsia="仿宋" w:cs="仿宋"/>
                <w:kern w:val="0"/>
                <w:sz w:val="24"/>
                <w:lang w:bidi="ar-SA"/>
              </w:rPr>
              <w:t>3</w:t>
            </w:r>
          </w:p>
        </w:tc>
        <w:tc>
          <w:tcPr>
            <w:tcW w:w="768" w:type="dxa"/>
            <w:gridSpan w:val="3"/>
            <w:tcBorders>
              <w:top w:val="single" w:color="000000" w:sz="4" w:space="0"/>
              <w:left w:val="single" w:color="000000" w:sz="4" w:space="0"/>
              <w:bottom w:val="single" w:color="000000" w:sz="4" w:space="0"/>
              <w:right w:val="single" w:color="000000" w:sz="4" w:space="0"/>
            </w:tcBorders>
            <w:noWrap/>
            <w:vAlign w:val="center"/>
          </w:tcPr>
          <w:p w14:paraId="6ECC1C66">
            <w:pPr>
              <w:pageBreakBefore w:val="0"/>
              <w:widowControl w:val="0"/>
              <w:tabs>
                <w:tab w:val="left" w:pos="720"/>
              </w:tabs>
              <w:kinsoku/>
              <w:overflowPunct/>
              <w:topLinePunct w:val="0"/>
              <w:bidi w:val="0"/>
              <w:adjustRightInd w:val="0"/>
              <w:snapToGrid w:val="0"/>
              <w:spacing w:line="240" w:lineRule="auto"/>
              <w:jc w:val="center"/>
              <w:rPr>
                <w:rFonts w:ascii="仿宋" w:eastAsia="仿宋" w:cs="仿宋"/>
                <w:kern w:val="0"/>
                <w:sz w:val="24"/>
                <w:lang w:bidi="ar-SA"/>
              </w:rPr>
            </w:pPr>
            <w:r>
              <w:rPr>
                <w:rFonts w:ascii="仿宋" w:eastAsia="仿宋" w:cs="仿宋"/>
                <w:kern w:val="0"/>
                <w:sz w:val="24"/>
                <w:lang w:bidi="ar-SA"/>
              </w:rPr>
              <w:t>3</w:t>
            </w:r>
          </w:p>
        </w:tc>
        <w:tc>
          <w:tcPr>
            <w:tcW w:w="688" w:type="dxa"/>
            <w:gridSpan w:val="2"/>
            <w:tcBorders>
              <w:top w:val="single" w:color="000000" w:sz="4" w:space="0"/>
              <w:left w:val="single" w:color="000000" w:sz="4" w:space="0"/>
              <w:bottom w:val="single" w:color="000000" w:sz="4" w:space="0"/>
              <w:right w:val="single" w:color="000000" w:sz="4" w:space="0"/>
            </w:tcBorders>
            <w:noWrap/>
            <w:vAlign w:val="center"/>
          </w:tcPr>
          <w:p w14:paraId="3979EF76">
            <w:pPr>
              <w:pageBreakBefore w:val="0"/>
              <w:widowControl w:val="0"/>
              <w:tabs>
                <w:tab w:val="left" w:pos="720"/>
              </w:tabs>
              <w:kinsoku/>
              <w:overflowPunct/>
              <w:topLinePunct w:val="0"/>
              <w:bidi w:val="0"/>
              <w:adjustRightInd w:val="0"/>
              <w:snapToGrid w:val="0"/>
              <w:spacing w:line="240" w:lineRule="auto"/>
              <w:jc w:val="center"/>
              <w:rPr>
                <w:rFonts w:ascii="仿宋" w:eastAsia="仿宋" w:cs="仿宋"/>
                <w:kern w:val="0"/>
                <w:sz w:val="24"/>
                <w:lang w:bidi="ar-SA"/>
              </w:rPr>
            </w:pPr>
            <w:r>
              <w:rPr>
                <w:rFonts w:ascii="仿宋" w:eastAsia="仿宋" w:cs="仿宋"/>
                <w:kern w:val="0"/>
                <w:sz w:val="24"/>
                <w:lang w:bidi="ar-SA"/>
              </w:rPr>
              <w:t>4</w:t>
            </w:r>
          </w:p>
        </w:tc>
        <w:tc>
          <w:tcPr>
            <w:tcW w:w="651" w:type="dxa"/>
            <w:tcBorders>
              <w:top w:val="single" w:color="000000" w:sz="4" w:space="0"/>
              <w:left w:val="single" w:color="000000" w:sz="4" w:space="0"/>
              <w:bottom w:val="single" w:color="000000" w:sz="4" w:space="0"/>
              <w:right w:val="single" w:color="000000" w:sz="4" w:space="0"/>
            </w:tcBorders>
            <w:noWrap/>
            <w:vAlign w:val="center"/>
          </w:tcPr>
          <w:p w14:paraId="4A93D912">
            <w:pPr>
              <w:pageBreakBefore w:val="0"/>
              <w:widowControl w:val="0"/>
              <w:tabs>
                <w:tab w:val="left" w:pos="720"/>
              </w:tabs>
              <w:kinsoku/>
              <w:overflowPunct/>
              <w:topLinePunct w:val="0"/>
              <w:bidi w:val="0"/>
              <w:spacing w:line="240" w:lineRule="auto"/>
              <w:jc w:val="center"/>
              <w:rPr>
                <w:rFonts w:hint="eastAsia" w:ascii="仿宋" w:eastAsia="仿宋" w:cs="仿宋"/>
                <w:sz w:val="24"/>
                <w:szCs w:val="24"/>
                <w:lang w:eastAsia="zh-CN" w:bidi="ar-SA"/>
              </w:rPr>
            </w:pPr>
            <w:r>
              <w:rPr>
                <w:rFonts w:hint="eastAsia" w:ascii="仿宋" w:eastAsia="仿宋" w:cs="仿宋"/>
                <w:sz w:val="24"/>
                <w:szCs w:val="24"/>
                <w:lang w:bidi="ar-SA"/>
              </w:rPr>
              <w:t>0.7</w:t>
            </w:r>
            <w:r>
              <w:rPr>
                <w:rFonts w:hint="eastAsia" w:ascii="仿宋" w:eastAsia="仿宋" w:cs="仿宋"/>
                <w:sz w:val="24"/>
                <w:szCs w:val="24"/>
                <w:lang w:val="en-US" w:eastAsia="zh-CN" w:bidi="ar-SA"/>
              </w:rPr>
              <w:t>9</w:t>
            </w:r>
          </w:p>
        </w:tc>
      </w:tr>
      <w:tr w14:paraId="1AD656AC">
        <w:trPr>
          <w:trHeight w:val="624" w:hRule="atLeast"/>
          <w:jc w:val="center"/>
        </w:trPr>
        <w:tc>
          <w:tcPr>
            <w:tcW w:w="1334" w:type="dxa"/>
            <w:vMerge w:val="continue"/>
            <w:tcBorders>
              <w:top w:val="single" w:color="000000" w:sz="4" w:space="0"/>
              <w:left w:val="single" w:color="000000" w:sz="4" w:space="0"/>
              <w:bottom w:val="single" w:color="000000" w:sz="4" w:space="0"/>
              <w:right w:val="single" w:color="000000" w:sz="4" w:space="0"/>
            </w:tcBorders>
            <w:noWrap/>
            <w:vAlign w:val="center"/>
          </w:tcPr>
          <w:p w14:paraId="747FC7F7"/>
        </w:tc>
        <w:tc>
          <w:tcPr>
            <w:tcW w:w="4939" w:type="dxa"/>
            <w:gridSpan w:val="6"/>
            <w:tcBorders>
              <w:top w:val="single" w:color="000000" w:sz="4" w:space="0"/>
              <w:left w:val="single" w:color="000000" w:sz="4" w:space="0"/>
              <w:bottom w:val="single" w:color="000000" w:sz="4" w:space="0"/>
              <w:right w:val="single" w:color="000000" w:sz="4" w:space="0"/>
            </w:tcBorders>
            <w:noWrap/>
            <w:vAlign w:val="center"/>
          </w:tcPr>
          <w:p w14:paraId="0E6BF34F">
            <w:pPr>
              <w:pageBreakBefore w:val="0"/>
              <w:widowControl w:val="0"/>
              <w:tabs>
                <w:tab w:val="left" w:pos="720"/>
              </w:tabs>
              <w:kinsoku/>
              <w:overflowPunct/>
              <w:topLinePunct w:val="0"/>
              <w:bidi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总分</w:t>
            </w:r>
          </w:p>
        </w:tc>
        <w:tc>
          <w:tcPr>
            <w:tcW w:w="768" w:type="dxa"/>
            <w:gridSpan w:val="2"/>
            <w:tcBorders>
              <w:top w:val="single" w:color="000000" w:sz="4" w:space="0"/>
              <w:left w:val="single" w:color="000000" w:sz="4" w:space="0"/>
              <w:bottom w:val="single" w:color="000000" w:sz="4" w:space="0"/>
              <w:right w:val="single" w:color="000000" w:sz="4" w:space="0"/>
            </w:tcBorders>
            <w:noWrap/>
            <w:vAlign w:val="center"/>
          </w:tcPr>
          <w:p w14:paraId="06486826">
            <w:pPr>
              <w:pageBreakBefore w:val="0"/>
              <w:widowControl w:val="0"/>
              <w:kinsoku/>
              <w:overflowPunct/>
              <w:topLinePunct w:val="0"/>
              <w:bidi w:val="0"/>
              <w:adjustRightInd w:val="0"/>
              <w:snapToGrid w:val="0"/>
              <w:spacing w:line="240" w:lineRule="auto"/>
              <w:jc w:val="center"/>
              <w:rPr>
                <w:rFonts w:hint="eastAsia" w:ascii="仿宋" w:eastAsia="仿宋" w:cs="仿宋"/>
                <w:kern w:val="0"/>
                <w:sz w:val="24"/>
                <w:lang w:bidi="ar-SA"/>
              </w:rPr>
            </w:pPr>
            <w:r>
              <w:rPr>
                <w:rFonts w:hint="eastAsia" w:ascii="仿宋" w:eastAsia="仿宋" w:cs="仿宋"/>
                <w:kern w:val="0"/>
                <w:sz w:val="24"/>
                <w:lang w:bidi="ar-SA"/>
              </w:rPr>
              <w:t>30</w:t>
            </w:r>
          </w:p>
        </w:tc>
        <w:tc>
          <w:tcPr>
            <w:tcW w:w="768" w:type="dxa"/>
            <w:gridSpan w:val="3"/>
            <w:tcBorders>
              <w:top w:val="single" w:color="000000" w:sz="4" w:space="0"/>
              <w:left w:val="single" w:color="000000" w:sz="4" w:space="0"/>
              <w:bottom w:val="single" w:color="000000" w:sz="4" w:space="0"/>
              <w:right w:val="single" w:color="000000" w:sz="4" w:space="0"/>
            </w:tcBorders>
            <w:noWrap/>
            <w:vAlign w:val="center"/>
          </w:tcPr>
          <w:p w14:paraId="1FB41003">
            <w:pPr>
              <w:pageBreakBefore w:val="0"/>
              <w:widowControl w:val="0"/>
              <w:tabs>
                <w:tab w:val="left" w:pos="720"/>
              </w:tabs>
              <w:kinsoku/>
              <w:overflowPunct/>
              <w:topLinePunct w:val="0"/>
              <w:bidi w:val="0"/>
              <w:adjustRightInd w:val="0"/>
              <w:snapToGrid w:val="0"/>
              <w:spacing w:line="240" w:lineRule="auto"/>
              <w:jc w:val="center"/>
              <w:rPr>
                <w:rFonts w:hint="eastAsia" w:ascii="仿宋" w:eastAsia="仿宋" w:cs="仿宋"/>
                <w:kern w:val="0"/>
                <w:sz w:val="24"/>
                <w:lang w:bidi="ar-SA"/>
              </w:rPr>
            </w:pPr>
            <w:r>
              <w:rPr>
                <w:rFonts w:hint="eastAsia" w:ascii="仿宋" w:eastAsia="仿宋" w:cs="仿宋"/>
                <w:kern w:val="0"/>
                <w:sz w:val="24"/>
                <w:lang w:bidi="ar-SA"/>
              </w:rPr>
              <w:t>30</w:t>
            </w:r>
          </w:p>
        </w:tc>
        <w:tc>
          <w:tcPr>
            <w:tcW w:w="688" w:type="dxa"/>
            <w:gridSpan w:val="2"/>
            <w:tcBorders>
              <w:top w:val="single" w:color="000000" w:sz="4" w:space="0"/>
              <w:left w:val="single" w:color="000000" w:sz="4" w:space="0"/>
              <w:bottom w:val="single" w:color="000000" w:sz="4" w:space="0"/>
              <w:right w:val="single" w:color="000000" w:sz="4" w:space="0"/>
            </w:tcBorders>
            <w:noWrap/>
            <w:vAlign w:val="center"/>
          </w:tcPr>
          <w:p w14:paraId="23254449">
            <w:pPr>
              <w:pageBreakBefore w:val="0"/>
              <w:widowControl w:val="0"/>
              <w:tabs>
                <w:tab w:val="left" w:pos="720"/>
              </w:tabs>
              <w:kinsoku/>
              <w:overflowPunct/>
              <w:topLinePunct w:val="0"/>
              <w:bidi w:val="0"/>
              <w:adjustRightInd w:val="0"/>
              <w:snapToGrid w:val="0"/>
              <w:spacing w:line="240" w:lineRule="auto"/>
              <w:jc w:val="center"/>
              <w:rPr>
                <w:rFonts w:hint="eastAsia" w:ascii="仿宋" w:eastAsia="仿宋" w:cs="仿宋"/>
                <w:kern w:val="0"/>
                <w:sz w:val="24"/>
                <w:lang w:val="en-US" w:eastAsia="zh-CN" w:bidi="ar-SA"/>
              </w:rPr>
            </w:pPr>
            <w:r>
              <w:rPr>
                <w:rFonts w:hint="eastAsia" w:ascii="仿宋" w:eastAsia="仿宋" w:cs="仿宋"/>
                <w:kern w:val="0"/>
                <w:sz w:val="24"/>
                <w:lang w:val="en-US" w:eastAsia="zh-CN" w:bidi="ar-SA"/>
              </w:rPr>
              <w:t>40</w:t>
            </w:r>
          </w:p>
        </w:tc>
        <w:tc>
          <w:tcPr>
            <w:tcW w:w="651" w:type="dxa"/>
            <w:tcBorders>
              <w:top w:val="single" w:color="000000" w:sz="4" w:space="0"/>
              <w:left w:val="single" w:color="000000" w:sz="4" w:space="0"/>
              <w:bottom w:val="single" w:color="000000" w:sz="4" w:space="0"/>
              <w:right w:val="single" w:color="000000" w:sz="4" w:space="0"/>
            </w:tcBorders>
            <w:noWrap/>
            <w:vAlign w:val="center"/>
          </w:tcPr>
          <w:p w14:paraId="385BB931">
            <w:pPr>
              <w:pageBreakBefore w:val="0"/>
              <w:widowControl w:val="0"/>
              <w:tabs>
                <w:tab w:val="left" w:pos="720"/>
              </w:tabs>
              <w:kinsoku/>
              <w:overflowPunct/>
              <w:topLinePunct w:val="0"/>
              <w:bidi w:val="0"/>
              <w:spacing w:line="240" w:lineRule="auto"/>
              <w:jc w:val="center"/>
              <w:rPr>
                <w:rFonts w:hint="eastAsia" w:ascii="仿宋" w:eastAsia="仿宋" w:cs="仿宋"/>
                <w:sz w:val="24"/>
                <w:szCs w:val="24"/>
                <w:lang w:eastAsia="zh-CN" w:bidi="ar-SA"/>
              </w:rPr>
            </w:pPr>
            <w:r>
              <w:rPr>
                <w:rFonts w:hint="eastAsia" w:ascii="仿宋" w:eastAsia="仿宋" w:cs="仿宋"/>
                <w:sz w:val="24"/>
                <w:szCs w:val="24"/>
                <w:lang w:bidi="ar-SA"/>
              </w:rPr>
              <w:t>0.7</w:t>
            </w:r>
            <w:r>
              <w:rPr>
                <w:rFonts w:hint="eastAsia" w:ascii="仿宋" w:eastAsia="仿宋" w:cs="仿宋"/>
                <w:sz w:val="24"/>
                <w:szCs w:val="24"/>
                <w:lang w:val="en-US" w:eastAsia="zh-CN" w:bidi="ar-SA"/>
              </w:rPr>
              <w:t>8</w:t>
            </w:r>
          </w:p>
        </w:tc>
      </w:tr>
      <w:tr w14:paraId="3F2AAC67">
        <w:trPr>
          <w:trHeight w:val="624" w:hRule="atLeast"/>
          <w:jc w:val="center"/>
        </w:trPr>
        <w:tc>
          <w:tcPr>
            <w:tcW w:w="1334" w:type="dxa"/>
            <w:tcBorders>
              <w:top w:val="single" w:color="000000" w:sz="4" w:space="0"/>
              <w:left w:val="single" w:color="000000" w:sz="4" w:space="0"/>
              <w:bottom w:val="single" w:color="000000" w:sz="4" w:space="0"/>
              <w:right w:val="single" w:color="000000" w:sz="4" w:space="0"/>
            </w:tcBorders>
            <w:noWrap/>
            <w:vAlign w:val="center"/>
          </w:tcPr>
          <w:p w14:paraId="610A76E9">
            <w:pPr>
              <w:pageBreakBefore w:val="0"/>
              <w:widowControl w:val="0"/>
              <w:kinsoku/>
              <w:overflowPunct/>
              <w:topLinePunct w:val="0"/>
              <w:bidi w:val="0"/>
              <w:spacing w:line="240" w:lineRule="auto"/>
              <w:jc w:val="center"/>
              <w:rPr>
                <w:rFonts w:hint="eastAsia" w:ascii="仿宋" w:eastAsia="仿宋" w:cs="仿宋"/>
                <w:kern w:val="2"/>
                <w:sz w:val="24"/>
                <w:szCs w:val="24"/>
                <w:lang w:bidi="ar-SA"/>
              </w:rPr>
            </w:pPr>
            <w:r>
              <w:rPr>
                <w:rFonts w:hint="eastAsia" w:ascii="仿宋" w:eastAsia="仿宋" w:cs="仿宋"/>
                <w:kern w:val="2"/>
                <w:sz w:val="24"/>
                <w:szCs w:val="24"/>
                <w:lang w:bidi="ar-SA"/>
              </w:rPr>
              <w:t>L</w:t>
            </w:r>
          </w:p>
          <w:p w14:paraId="2FEB881F">
            <w:pPr>
              <w:pageBreakBefore w:val="0"/>
              <w:widowControl w:val="0"/>
              <w:kinsoku/>
              <w:overflowPunct/>
              <w:topLinePunct w:val="0"/>
              <w:bidi w:val="0"/>
              <w:spacing w:line="240" w:lineRule="auto"/>
              <w:jc w:val="center"/>
              <w:rPr>
                <w:rFonts w:hint="eastAsia" w:ascii="仿宋" w:eastAsia="仿宋" w:cs="仿宋"/>
                <w:kern w:val="2"/>
                <w:sz w:val="24"/>
                <w:szCs w:val="24"/>
                <w:lang w:bidi="ar-SA"/>
              </w:rPr>
            </w:pPr>
            <w:r>
              <w:rPr>
                <w:rFonts w:hint="eastAsia" w:ascii="仿宋" w:eastAsia="仿宋" w:cs="仿宋"/>
                <w:kern w:val="2"/>
                <w:sz w:val="24"/>
                <w:szCs w:val="24"/>
                <w:lang w:bidi="ar-SA"/>
              </w:rPr>
              <w:t>学习建议</w:t>
            </w:r>
          </w:p>
        </w:tc>
        <w:tc>
          <w:tcPr>
            <w:tcW w:w="7814" w:type="dxa"/>
            <w:gridSpan w:val="14"/>
            <w:tcBorders>
              <w:top w:val="single" w:color="000000" w:sz="4" w:space="0"/>
              <w:left w:val="single" w:color="000000" w:sz="4" w:space="0"/>
              <w:bottom w:val="single" w:color="000000" w:sz="4" w:space="0"/>
              <w:right w:val="single" w:color="000000" w:sz="4" w:space="0"/>
            </w:tcBorders>
            <w:noWrap/>
            <w:vAlign w:val="center"/>
          </w:tcPr>
          <w:p w14:paraId="0FC9E16E">
            <w:pPr>
              <w:pageBreakBefore w:val="0"/>
              <w:widowControl w:val="0"/>
              <w:kinsoku/>
              <w:overflowPunct/>
              <w:topLinePunct w:val="0"/>
              <w:bidi w:val="0"/>
              <w:adjustRightInd w:val="0"/>
              <w:snapToGrid w:val="0"/>
              <w:spacing w:line="240" w:lineRule="auto"/>
              <w:rPr>
                <w:rFonts w:hint="eastAsia" w:ascii="仿宋" w:eastAsia="仿宋" w:cs="仿宋"/>
                <w:bCs/>
                <w:sz w:val="24"/>
                <w:lang w:bidi="ar-SA"/>
              </w:rPr>
            </w:pPr>
            <w:r>
              <w:rPr>
                <w:rFonts w:hint="eastAsia" w:ascii="仿宋" w:eastAsia="仿宋" w:cs="仿宋"/>
                <w:bCs/>
                <w:sz w:val="24"/>
                <w:lang w:bidi="ar-SA"/>
              </w:rPr>
              <w:t>1.自主学习。建议学生通过网络资源，规划自己的课程学习计划，充分发挥自身的学习能动性。</w:t>
            </w:r>
          </w:p>
          <w:p w14:paraId="7B1B03DF">
            <w:pPr>
              <w:pageBreakBefore w:val="0"/>
              <w:widowControl w:val="0"/>
              <w:kinsoku/>
              <w:overflowPunct/>
              <w:topLinePunct w:val="0"/>
              <w:bidi w:val="0"/>
              <w:adjustRightInd w:val="0"/>
              <w:snapToGrid w:val="0"/>
              <w:spacing w:line="240" w:lineRule="auto"/>
              <w:rPr>
                <w:rFonts w:hint="eastAsia" w:ascii="仿宋" w:eastAsia="仿宋" w:cs="仿宋"/>
                <w:kern w:val="0"/>
                <w:sz w:val="24"/>
                <w:lang w:bidi="ar-SA"/>
              </w:rPr>
            </w:pPr>
            <w:r>
              <w:rPr>
                <w:rFonts w:hint="eastAsia" w:ascii="仿宋" w:eastAsia="仿宋" w:cs="仿宋"/>
                <w:bCs/>
                <w:sz w:val="24"/>
                <w:lang w:bidi="ar-SA"/>
              </w:rPr>
              <w:t>2.研究性学习。鼓励学生针对课程教学内容，尝试理论课结合实践的教学方式，提高学生的学习兴趣，了解国内外最新形体训练知识，开阔学生的视野。</w:t>
            </w:r>
          </w:p>
        </w:tc>
      </w:tr>
      <w:tr w14:paraId="766F9DA0">
        <w:trPr>
          <w:trHeight w:val="624" w:hRule="atLeast"/>
          <w:jc w:val="center"/>
        </w:trPr>
        <w:tc>
          <w:tcPr>
            <w:tcW w:w="1334" w:type="dxa"/>
            <w:tcBorders>
              <w:top w:val="single" w:color="000000" w:sz="4" w:space="0"/>
              <w:left w:val="single" w:color="000000" w:sz="4" w:space="0"/>
              <w:bottom w:val="single" w:color="000000" w:sz="4" w:space="0"/>
              <w:right w:val="single" w:color="000000" w:sz="4" w:space="0"/>
            </w:tcBorders>
            <w:noWrap/>
            <w:vAlign w:val="center"/>
          </w:tcPr>
          <w:p w14:paraId="647F4B71">
            <w:pPr>
              <w:pageBreakBefore w:val="0"/>
              <w:widowControl w:val="0"/>
              <w:kinsoku/>
              <w:overflowPunct/>
              <w:topLinePunct w:val="0"/>
              <w:bidi w:val="0"/>
              <w:spacing w:line="240" w:lineRule="auto"/>
              <w:jc w:val="center"/>
              <w:rPr>
                <w:rFonts w:hint="eastAsia" w:ascii="仿宋" w:eastAsia="仿宋" w:cs="仿宋"/>
                <w:kern w:val="2"/>
                <w:sz w:val="24"/>
                <w:szCs w:val="24"/>
                <w:lang w:bidi="ar-SA"/>
              </w:rPr>
            </w:pPr>
            <w:r>
              <w:rPr>
                <w:rFonts w:hint="eastAsia" w:ascii="仿宋" w:eastAsia="仿宋" w:cs="仿宋"/>
                <w:kern w:val="2"/>
                <w:sz w:val="24"/>
                <w:szCs w:val="24"/>
                <w:lang w:bidi="ar-SA"/>
              </w:rPr>
              <w:t>M</w:t>
            </w:r>
          </w:p>
          <w:p w14:paraId="189D9265">
            <w:pPr>
              <w:pageBreakBefore w:val="0"/>
              <w:widowControl w:val="0"/>
              <w:kinsoku/>
              <w:overflowPunct/>
              <w:topLinePunct w:val="0"/>
              <w:bidi w:val="0"/>
              <w:spacing w:line="240" w:lineRule="auto"/>
              <w:jc w:val="center"/>
              <w:rPr>
                <w:rFonts w:hint="eastAsia" w:ascii="仿宋" w:eastAsia="仿宋" w:cs="仿宋"/>
                <w:kern w:val="2"/>
                <w:sz w:val="24"/>
                <w:szCs w:val="24"/>
                <w:lang w:bidi="ar-SA"/>
              </w:rPr>
            </w:pPr>
            <w:r>
              <w:rPr>
                <w:rFonts w:hint="eastAsia" w:ascii="仿宋" w:eastAsia="仿宋" w:cs="仿宋"/>
                <w:kern w:val="2"/>
                <w:sz w:val="24"/>
                <w:szCs w:val="24"/>
                <w:lang w:bidi="ar-SA"/>
              </w:rPr>
              <w:t>评分量表</w:t>
            </w:r>
          </w:p>
        </w:tc>
        <w:tc>
          <w:tcPr>
            <w:tcW w:w="7814" w:type="dxa"/>
            <w:gridSpan w:val="14"/>
            <w:tcBorders>
              <w:top w:val="single" w:color="000000" w:sz="4" w:space="0"/>
              <w:left w:val="single" w:color="000000" w:sz="4" w:space="0"/>
              <w:bottom w:val="single" w:color="000000" w:sz="4" w:space="0"/>
              <w:right w:val="single" w:color="000000" w:sz="4" w:space="0"/>
            </w:tcBorders>
            <w:noWrap/>
            <w:vAlign w:val="center"/>
          </w:tcPr>
          <w:p w14:paraId="2C027CD5">
            <w:pPr>
              <w:pageBreakBefore w:val="0"/>
              <w:widowControl w:val="0"/>
              <w:tabs>
                <w:tab w:val="left" w:pos="720"/>
              </w:tabs>
              <w:kinsoku/>
              <w:overflowPunct/>
              <w:topLinePunct w:val="0"/>
              <w:bidi w:val="0"/>
              <w:adjustRightInd w:val="0"/>
              <w:snapToGrid w:val="0"/>
              <w:spacing w:line="240" w:lineRule="auto"/>
              <w:rPr>
                <w:rFonts w:hint="eastAsia" w:ascii="仿宋" w:eastAsia="仿宋" w:cs="仿宋"/>
                <w:kern w:val="0"/>
                <w:sz w:val="24"/>
                <w:lang w:bidi="ar-SA"/>
              </w:rPr>
            </w:pPr>
            <w:r>
              <w:rPr>
                <w:rFonts w:hint="eastAsia" w:ascii="仿宋" w:eastAsia="仿宋" w:cs="仿宋"/>
                <w:kern w:val="0"/>
                <w:sz w:val="24"/>
                <w:lang w:bidi="ar-SA"/>
              </w:rPr>
              <w:t>《曲式与作品分析》课程目标评分量表见附表。</w:t>
            </w:r>
          </w:p>
        </w:tc>
      </w:tr>
      <w:tr w14:paraId="5FF207C5">
        <w:trPr>
          <w:trHeight w:val="624" w:hRule="atLeast"/>
          <w:jc w:val="center"/>
        </w:trPr>
        <w:tc>
          <w:tcPr>
            <w:tcW w:w="1334" w:type="dxa"/>
            <w:tcBorders>
              <w:top w:val="single" w:color="000000" w:sz="4" w:space="0"/>
              <w:left w:val="single" w:color="000000" w:sz="4" w:space="0"/>
              <w:bottom w:val="single" w:color="000000" w:sz="4" w:space="0"/>
              <w:right w:val="single" w:color="000000" w:sz="4" w:space="0"/>
            </w:tcBorders>
            <w:noWrap/>
            <w:vAlign w:val="center"/>
          </w:tcPr>
          <w:p w14:paraId="2CE927E0">
            <w:pPr>
              <w:pageBreakBefore w:val="0"/>
              <w:widowControl w:val="0"/>
              <w:kinsoku/>
              <w:overflowPunct/>
              <w:topLinePunct w:val="0"/>
              <w:bidi w:val="0"/>
              <w:spacing w:line="240" w:lineRule="auto"/>
              <w:jc w:val="center"/>
              <w:rPr>
                <w:rFonts w:hint="eastAsia" w:ascii="仿宋" w:eastAsia="仿宋" w:cs="仿宋"/>
                <w:kern w:val="2"/>
                <w:sz w:val="24"/>
                <w:szCs w:val="24"/>
                <w:lang w:bidi="ar-SA"/>
              </w:rPr>
            </w:pPr>
            <w:r>
              <w:rPr>
                <w:rFonts w:hint="eastAsia" w:ascii="仿宋" w:eastAsia="仿宋" w:cs="仿宋"/>
                <w:kern w:val="2"/>
                <w:sz w:val="24"/>
                <w:szCs w:val="24"/>
                <w:lang w:bidi="ar-SA"/>
              </w:rPr>
              <w:t>备注</w:t>
            </w:r>
          </w:p>
        </w:tc>
        <w:tc>
          <w:tcPr>
            <w:tcW w:w="7814" w:type="dxa"/>
            <w:gridSpan w:val="14"/>
            <w:tcBorders>
              <w:top w:val="single" w:color="000000" w:sz="4" w:space="0"/>
              <w:left w:val="single" w:color="000000" w:sz="4" w:space="0"/>
              <w:bottom w:val="single" w:color="000000" w:sz="4" w:space="0"/>
              <w:right w:val="single" w:color="000000" w:sz="4" w:space="0"/>
            </w:tcBorders>
            <w:noWrap/>
            <w:vAlign w:val="center"/>
          </w:tcPr>
          <w:p w14:paraId="6481CFC8">
            <w:pPr>
              <w:pageBreakBefore w:val="0"/>
              <w:widowControl w:val="0"/>
              <w:kinsoku/>
              <w:overflowPunct/>
              <w:topLinePunct w:val="0"/>
              <w:bidi w:val="0"/>
              <w:spacing w:line="240" w:lineRule="auto"/>
              <w:rPr>
                <w:rFonts w:hint="eastAsia" w:ascii="仿宋" w:eastAsia="仿宋" w:cs="仿宋"/>
                <w:sz w:val="24"/>
                <w:szCs w:val="24"/>
                <w:lang w:bidi="ar-SA"/>
              </w:rPr>
            </w:pPr>
            <w:r>
              <w:rPr>
                <w:rFonts w:hint="eastAsia" w:ascii="仿宋" w:eastAsia="仿宋" w:cs="仿宋"/>
                <w:kern w:val="2"/>
                <w:sz w:val="24"/>
                <w:szCs w:val="24"/>
                <w:lang w:bidi="ar-SA"/>
              </w:rPr>
              <w:t>课程大纲A—M项由开课学院审批通过，任课教师不能自行更改。</w:t>
            </w:r>
          </w:p>
        </w:tc>
      </w:tr>
      <w:tr w14:paraId="7B71DB33">
        <w:trPr>
          <w:trHeight w:val="2950" w:hRule="atLeast"/>
          <w:jc w:val="center"/>
        </w:trPr>
        <w:tc>
          <w:tcPr>
            <w:tcW w:w="1334" w:type="dxa"/>
            <w:tcBorders>
              <w:top w:val="single" w:color="000000" w:sz="4" w:space="0"/>
              <w:left w:val="single" w:color="000000" w:sz="4" w:space="0"/>
              <w:bottom w:val="single" w:color="000000" w:sz="4" w:space="0"/>
              <w:right w:val="single" w:color="000000" w:sz="4" w:space="0"/>
            </w:tcBorders>
            <w:noWrap/>
            <w:vAlign w:val="center"/>
          </w:tcPr>
          <w:p w14:paraId="2A7EF91E">
            <w:pPr>
              <w:pageBreakBefore w:val="0"/>
              <w:widowControl w:val="0"/>
              <w:kinsoku/>
              <w:overflowPunct/>
              <w:topLinePunct w:val="0"/>
              <w:bidi w:val="0"/>
              <w:spacing w:line="240" w:lineRule="auto"/>
              <w:jc w:val="center"/>
              <w:rPr>
                <w:rFonts w:hint="eastAsia" w:ascii="仿宋" w:eastAsia="仿宋" w:cs="仿宋"/>
                <w:kern w:val="2"/>
                <w:sz w:val="24"/>
                <w:szCs w:val="24"/>
                <w:lang w:bidi="ar-SA"/>
              </w:rPr>
            </w:pPr>
            <w:r>
              <w:rPr>
                <w:rFonts w:hint="eastAsia" w:ascii="仿宋" w:eastAsia="仿宋" w:cs="仿宋"/>
                <w:kern w:val="2"/>
                <w:sz w:val="24"/>
                <w:szCs w:val="24"/>
                <w:lang w:bidi="ar-SA"/>
              </w:rPr>
              <w:t>审批</w:t>
            </w:r>
          </w:p>
          <w:p w14:paraId="6FF6F808">
            <w:pPr>
              <w:pageBreakBefore w:val="0"/>
              <w:widowControl w:val="0"/>
              <w:kinsoku/>
              <w:overflowPunct/>
              <w:topLinePunct w:val="0"/>
              <w:bidi w:val="0"/>
              <w:spacing w:line="240" w:lineRule="auto"/>
              <w:jc w:val="center"/>
              <w:rPr>
                <w:rFonts w:hint="eastAsia" w:ascii="仿宋" w:eastAsia="仿宋" w:cs="仿宋"/>
                <w:kern w:val="2"/>
                <w:sz w:val="24"/>
                <w:szCs w:val="24"/>
                <w:lang w:bidi="ar-SA"/>
              </w:rPr>
            </w:pPr>
            <w:r>
              <w:rPr>
                <w:rFonts w:hint="eastAsia" w:ascii="仿宋" w:eastAsia="仿宋" w:cs="仿宋"/>
                <w:kern w:val="2"/>
                <w:sz w:val="24"/>
                <w:szCs w:val="24"/>
                <w:lang w:bidi="ar-SA"/>
              </w:rPr>
              <w:t>意见</w:t>
            </w:r>
          </w:p>
        </w:tc>
        <w:tc>
          <w:tcPr>
            <w:tcW w:w="3750" w:type="dxa"/>
            <w:gridSpan w:val="4"/>
            <w:tcBorders>
              <w:top w:val="single" w:color="000000" w:sz="4" w:space="0"/>
              <w:left w:val="single" w:color="000000" w:sz="4" w:space="0"/>
              <w:bottom w:val="single" w:color="000000" w:sz="4" w:space="0"/>
              <w:right w:val="single" w:color="000000" w:sz="4" w:space="0"/>
            </w:tcBorders>
            <w:noWrap/>
            <w:vAlign w:val="center"/>
          </w:tcPr>
          <w:p w14:paraId="1BD8ABD8">
            <w:pPr>
              <w:pageBreakBefore w:val="0"/>
              <w:widowControl/>
              <w:kinsoku/>
              <w:overflowPunct/>
              <w:topLinePunct w:val="0"/>
              <w:bidi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课程教学大纲修订负责人及教学团队成员</w:t>
            </w:r>
            <w:r>
              <w:rPr>
                <w:rFonts w:hint="eastAsia" w:ascii="仿宋" w:eastAsia="仿宋" w:cs="仿宋"/>
                <w:kern w:val="2"/>
                <w:sz w:val="24"/>
                <w:szCs w:val="24"/>
                <w:lang w:bidi="ar-SA"/>
              </w:rPr>
              <w:t>签名</w:t>
            </w:r>
            <w:r>
              <w:rPr>
                <w:rFonts w:hint="eastAsia" w:ascii="仿宋" w:eastAsia="仿宋" w:cs="仿宋"/>
                <w:sz w:val="24"/>
                <w:szCs w:val="24"/>
                <w:lang w:bidi="ar-SA"/>
              </w:rPr>
              <w:t xml:space="preserve">：   </w:t>
            </w:r>
          </w:p>
          <w:p w14:paraId="20850F0A">
            <w:pPr>
              <w:pageBreakBefore w:val="0"/>
              <w:widowControl/>
              <w:kinsoku/>
              <w:overflowPunct/>
              <w:topLinePunct w:val="0"/>
              <w:bidi w:val="0"/>
              <w:spacing w:line="240" w:lineRule="auto"/>
              <w:jc w:val="left"/>
              <w:rPr>
                <w:rFonts w:hint="eastAsia" w:ascii="仿宋" w:eastAsia="仿宋" w:cs="仿宋"/>
                <w:sz w:val="24"/>
                <w:szCs w:val="24"/>
                <w:lang w:bidi="ar-SA"/>
              </w:rPr>
            </w:pPr>
          </w:p>
          <w:p w14:paraId="2598F923">
            <w:pPr>
              <w:pageBreakBefore w:val="0"/>
              <w:widowControl/>
              <w:kinsoku/>
              <w:overflowPunct/>
              <w:topLinePunct w:val="0"/>
              <w:bidi w:val="0"/>
              <w:spacing w:line="240" w:lineRule="auto"/>
              <w:jc w:val="left"/>
              <w:rPr>
                <w:rFonts w:hint="eastAsia" w:ascii="仿宋" w:eastAsia="仿宋" w:cs="仿宋"/>
                <w:sz w:val="24"/>
                <w:szCs w:val="24"/>
                <w:lang w:bidi="ar-SA"/>
              </w:rPr>
            </w:pPr>
          </w:p>
          <w:p w14:paraId="4CAF4914">
            <w:pPr>
              <w:pageBreakBefore w:val="0"/>
              <w:widowControl/>
              <w:kinsoku/>
              <w:overflowPunct/>
              <w:topLinePunct w:val="0"/>
              <w:bidi w:val="0"/>
              <w:spacing w:line="240" w:lineRule="auto"/>
              <w:jc w:val="right"/>
              <w:rPr>
                <w:rFonts w:hint="eastAsia" w:ascii="仿宋" w:eastAsia="仿宋" w:cs="仿宋"/>
                <w:sz w:val="24"/>
                <w:szCs w:val="24"/>
                <w:lang w:bidi="ar-SA"/>
              </w:rPr>
            </w:pPr>
            <w:r>
              <w:rPr>
                <w:rFonts w:hint="eastAsia" w:ascii="仿宋" w:eastAsia="仿宋" w:cs="仿宋"/>
                <w:sz w:val="24"/>
                <w:szCs w:val="24"/>
                <w:lang w:bidi="ar-SA"/>
              </w:rPr>
              <w:t xml:space="preserve">                                                   年   月   日 </w:t>
            </w:r>
          </w:p>
        </w:tc>
        <w:tc>
          <w:tcPr>
            <w:tcW w:w="4064" w:type="dxa"/>
            <w:gridSpan w:val="10"/>
            <w:tcBorders>
              <w:top w:val="single" w:color="000000" w:sz="4" w:space="0"/>
              <w:left w:val="single" w:color="000000" w:sz="4" w:space="0"/>
              <w:bottom w:val="single" w:color="000000" w:sz="4" w:space="0"/>
              <w:right w:val="single" w:color="000000" w:sz="4" w:space="0"/>
            </w:tcBorders>
            <w:noWrap/>
            <w:vAlign w:val="center"/>
          </w:tcPr>
          <w:p w14:paraId="24317AD8">
            <w:pPr>
              <w:pageBreakBefore w:val="0"/>
              <w:widowControl/>
              <w:kinsoku/>
              <w:overflowPunct/>
              <w:topLinePunct w:val="0"/>
              <w:bidi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系主任审核意见：</w:t>
            </w:r>
          </w:p>
          <w:p w14:paraId="01F81144">
            <w:pPr>
              <w:pageBreakBefore w:val="0"/>
              <w:widowControl/>
              <w:kinsoku/>
              <w:overflowPunct/>
              <w:topLinePunct w:val="0"/>
              <w:bidi w:val="0"/>
              <w:spacing w:line="240" w:lineRule="auto"/>
              <w:jc w:val="left"/>
              <w:rPr>
                <w:rFonts w:hint="eastAsia" w:ascii="仿宋" w:eastAsia="仿宋" w:cs="仿宋"/>
                <w:sz w:val="24"/>
                <w:szCs w:val="24"/>
                <w:lang w:bidi="ar-SA"/>
              </w:rPr>
            </w:pPr>
          </w:p>
          <w:p w14:paraId="55D5BCF1">
            <w:pPr>
              <w:pageBreakBefore w:val="0"/>
              <w:widowControl/>
              <w:kinsoku/>
              <w:overflowPunct/>
              <w:topLinePunct w:val="0"/>
              <w:bidi w:val="0"/>
              <w:spacing w:line="240" w:lineRule="auto"/>
              <w:jc w:val="left"/>
              <w:rPr>
                <w:rFonts w:hint="eastAsia" w:ascii="仿宋" w:eastAsia="仿宋" w:cs="仿宋"/>
                <w:sz w:val="24"/>
                <w:szCs w:val="24"/>
                <w:lang w:bidi="ar-SA"/>
              </w:rPr>
            </w:pPr>
          </w:p>
          <w:p w14:paraId="6B83DDE0">
            <w:pPr>
              <w:pageBreakBefore w:val="0"/>
              <w:widowControl/>
              <w:kinsoku/>
              <w:overflowPunct/>
              <w:topLinePunct w:val="0"/>
              <w:bidi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系主任签名：</w:t>
            </w:r>
          </w:p>
          <w:p w14:paraId="17CDB168">
            <w:pPr>
              <w:pageBreakBefore w:val="0"/>
              <w:widowControl/>
              <w:kinsoku/>
              <w:overflowPunct/>
              <w:topLinePunct w:val="0"/>
              <w:bidi w:val="0"/>
              <w:spacing w:line="240" w:lineRule="auto"/>
              <w:jc w:val="right"/>
              <w:rPr>
                <w:rFonts w:hint="eastAsia" w:ascii="仿宋" w:eastAsia="仿宋" w:cs="仿宋"/>
                <w:sz w:val="24"/>
                <w:szCs w:val="24"/>
                <w:lang w:bidi="ar-SA"/>
              </w:rPr>
            </w:pPr>
          </w:p>
          <w:p w14:paraId="446EE423">
            <w:pPr>
              <w:pageBreakBefore w:val="0"/>
              <w:widowControl/>
              <w:kinsoku/>
              <w:overflowPunct/>
              <w:topLinePunct w:val="0"/>
              <w:bidi w:val="0"/>
              <w:spacing w:line="240" w:lineRule="auto"/>
              <w:jc w:val="right"/>
              <w:rPr>
                <w:rFonts w:hint="eastAsia" w:ascii="仿宋" w:eastAsia="仿宋" w:cs="仿宋"/>
                <w:sz w:val="24"/>
                <w:szCs w:val="24"/>
                <w:lang w:bidi="ar-SA"/>
              </w:rPr>
            </w:pPr>
            <w:r>
              <w:rPr>
                <w:rFonts w:hint="eastAsia" w:ascii="仿宋" w:eastAsia="仿宋" w:cs="仿宋"/>
                <w:sz w:val="24"/>
                <w:szCs w:val="24"/>
                <w:lang w:bidi="ar-SA"/>
              </w:rPr>
              <w:t>年   月   日</w:t>
            </w:r>
          </w:p>
        </w:tc>
      </w:tr>
    </w:tbl>
    <w:p w14:paraId="0FD41201">
      <w:pPr>
        <w:pageBreakBefore w:val="0"/>
        <w:widowControl w:val="0"/>
        <w:kinsoku/>
        <w:overflowPunct/>
        <w:topLinePunct w:val="0"/>
        <w:bidi w:val="0"/>
        <w:spacing w:before="240" w:line="240" w:lineRule="auto"/>
        <w:jc w:val="center"/>
        <w:rPr>
          <w:rFonts w:hint="eastAsia" w:ascii="仿宋" w:eastAsia="仿宋" w:cs="仿宋"/>
          <w:b/>
          <w:kern w:val="2"/>
          <w:sz w:val="28"/>
          <w:szCs w:val="28"/>
          <w:lang w:bidi="ar-SA"/>
        </w:rPr>
      </w:pPr>
    </w:p>
    <w:p w14:paraId="7BB6CDA6">
      <w:pPr>
        <w:pageBreakBefore w:val="0"/>
        <w:widowControl w:val="0"/>
        <w:kinsoku/>
        <w:overflowPunct/>
        <w:topLinePunct w:val="0"/>
        <w:bidi w:val="0"/>
        <w:spacing w:before="240" w:line="240" w:lineRule="auto"/>
        <w:jc w:val="center"/>
        <w:outlineLvl w:val="0"/>
        <w:rPr>
          <w:rFonts w:hint="eastAsia" w:ascii="仿宋" w:eastAsia="仿宋" w:cs="仿宋"/>
          <w:b/>
          <w:kern w:val="2"/>
          <w:sz w:val="28"/>
          <w:szCs w:val="28"/>
          <w:lang w:bidi="ar-SA"/>
        </w:rPr>
      </w:pPr>
      <w:bookmarkStart w:id="97" w:name="_Toc1503670388"/>
      <w:r>
        <w:rPr>
          <w:rFonts w:hint="eastAsia" w:ascii="仿宋" w:eastAsia="仿宋" w:cs="仿宋"/>
          <w:b/>
          <w:kern w:val="2"/>
          <w:sz w:val="28"/>
          <w:szCs w:val="28"/>
          <w:lang w:bidi="ar-SA"/>
        </w:rPr>
        <w:t>附表：《曲式与作品分析》课程目标评分量表</w:t>
      </w:r>
      <w:bookmarkEnd w:id="97"/>
    </w:p>
    <w:tbl>
      <w:tblPr>
        <w:tblStyle w:val="22"/>
        <w:tblW w:w="921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75"/>
        <w:gridCol w:w="1503"/>
        <w:gridCol w:w="1526"/>
        <w:gridCol w:w="1679"/>
        <w:gridCol w:w="1414"/>
        <w:gridCol w:w="1414"/>
      </w:tblGrid>
      <w:tr w14:paraId="4A2A2178">
        <w:trPr>
          <w:trHeight w:val="624" w:hRule="atLeast"/>
          <w:jc w:val="center"/>
        </w:trPr>
        <w:tc>
          <w:tcPr>
            <w:tcW w:w="1675" w:type="dxa"/>
            <w:tcBorders>
              <w:top w:val="single" w:color="000000" w:sz="4" w:space="0"/>
              <w:left w:val="single" w:color="000000" w:sz="4" w:space="0"/>
              <w:bottom w:val="single" w:color="000000" w:sz="4" w:space="0"/>
              <w:right w:val="single" w:color="000000" w:sz="4" w:space="0"/>
            </w:tcBorders>
            <w:noWrap/>
            <w:vAlign w:val="center"/>
          </w:tcPr>
          <w:p w14:paraId="02CD7BB3">
            <w:pPr>
              <w:pageBreakBefore w:val="0"/>
              <w:widowControl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课程目标</w:t>
            </w:r>
          </w:p>
        </w:tc>
        <w:tc>
          <w:tcPr>
            <w:tcW w:w="1503" w:type="dxa"/>
            <w:tcBorders>
              <w:top w:val="single" w:color="000000" w:sz="4" w:space="0"/>
              <w:left w:val="single" w:color="000000" w:sz="4" w:space="0"/>
              <w:bottom w:val="single" w:color="000000" w:sz="4" w:space="0"/>
              <w:right w:val="single" w:color="000000" w:sz="4" w:space="0"/>
            </w:tcBorders>
            <w:noWrap/>
            <w:vAlign w:val="center"/>
          </w:tcPr>
          <w:p w14:paraId="38AC5AD7">
            <w:pPr>
              <w:pageBreakBefore w:val="0"/>
              <w:widowControl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优</w:t>
            </w:r>
          </w:p>
          <w:p w14:paraId="0494A0A5">
            <w:pPr>
              <w:pageBreakBefore w:val="0"/>
              <w:widowControl w:val="0"/>
              <w:tabs>
                <w:tab w:val="left" w:pos="720"/>
              </w:tabs>
              <w:kinsoku/>
              <w:overflowPunct/>
              <w:topLinePunct w:val="0"/>
              <w:bidi w:val="0"/>
              <w:spacing w:line="240" w:lineRule="auto"/>
              <w:ind w:left="-93" w:right="-75" w:hanging="12"/>
              <w:jc w:val="center"/>
              <w:rPr>
                <w:rFonts w:hint="eastAsia" w:ascii="仿宋" w:eastAsia="仿宋" w:cs="仿宋"/>
                <w:b/>
                <w:kern w:val="2"/>
                <w:szCs w:val="21"/>
                <w:lang w:bidi="ar-SA"/>
              </w:rPr>
            </w:pPr>
            <w:r>
              <w:rPr>
                <w:rFonts w:hint="eastAsia" w:ascii="仿宋" w:eastAsia="仿宋" w:cs="仿宋"/>
                <w:b/>
                <w:kern w:val="2"/>
                <w:szCs w:val="21"/>
                <w:lang w:bidi="ar-SA"/>
              </w:rPr>
              <w:t>（X≧90）</w:t>
            </w:r>
          </w:p>
        </w:tc>
        <w:tc>
          <w:tcPr>
            <w:tcW w:w="1526" w:type="dxa"/>
            <w:tcBorders>
              <w:top w:val="single" w:color="000000" w:sz="4" w:space="0"/>
              <w:left w:val="single" w:color="000000" w:sz="4" w:space="0"/>
              <w:bottom w:val="single" w:color="000000" w:sz="4" w:space="0"/>
              <w:right w:val="single" w:color="000000" w:sz="4" w:space="0"/>
            </w:tcBorders>
            <w:noWrap/>
            <w:vAlign w:val="center"/>
          </w:tcPr>
          <w:p w14:paraId="27D3877C">
            <w:pPr>
              <w:pageBreakBefore w:val="0"/>
              <w:widowControl w:val="0"/>
              <w:tabs>
                <w:tab w:val="left" w:pos="720"/>
              </w:tabs>
              <w:kinsoku/>
              <w:overflowPunct/>
              <w:topLinePunct w:val="0"/>
              <w:bidi w:val="0"/>
              <w:spacing w:line="240" w:lineRule="auto"/>
              <w:ind w:left="-93" w:right="-75" w:hanging="12"/>
              <w:jc w:val="center"/>
              <w:rPr>
                <w:rFonts w:hint="eastAsia" w:ascii="仿宋" w:eastAsia="仿宋" w:cs="仿宋"/>
                <w:b/>
                <w:kern w:val="2"/>
                <w:szCs w:val="21"/>
                <w:lang w:bidi="ar-SA"/>
              </w:rPr>
            </w:pPr>
            <w:r>
              <w:rPr>
                <w:rFonts w:hint="eastAsia" w:ascii="仿宋" w:eastAsia="仿宋" w:cs="仿宋"/>
                <w:b/>
                <w:kern w:val="2"/>
                <w:szCs w:val="21"/>
                <w:lang w:bidi="ar-SA"/>
              </w:rPr>
              <w:t>良</w:t>
            </w:r>
          </w:p>
          <w:p w14:paraId="6FCC06DC">
            <w:pPr>
              <w:pageBreakBefore w:val="0"/>
              <w:widowControl w:val="0"/>
              <w:tabs>
                <w:tab w:val="left" w:pos="720"/>
              </w:tabs>
              <w:kinsoku/>
              <w:overflowPunct/>
              <w:topLinePunct w:val="0"/>
              <w:bidi w:val="0"/>
              <w:spacing w:line="240" w:lineRule="auto"/>
              <w:ind w:left="-93" w:right="-75" w:hanging="12"/>
              <w:jc w:val="center"/>
              <w:rPr>
                <w:rFonts w:hint="eastAsia" w:ascii="仿宋" w:eastAsia="仿宋" w:cs="仿宋"/>
                <w:b/>
                <w:kern w:val="2"/>
                <w:szCs w:val="21"/>
                <w:lang w:bidi="ar-SA"/>
              </w:rPr>
            </w:pPr>
            <w:r>
              <w:rPr>
                <w:rFonts w:hint="eastAsia" w:ascii="仿宋" w:eastAsia="仿宋" w:cs="仿宋"/>
                <w:b/>
                <w:kern w:val="2"/>
                <w:szCs w:val="21"/>
                <w:lang w:bidi="ar-SA"/>
              </w:rPr>
              <w:t>（80≦X＜90）</w:t>
            </w:r>
          </w:p>
        </w:tc>
        <w:tc>
          <w:tcPr>
            <w:tcW w:w="1679" w:type="dxa"/>
            <w:tcBorders>
              <w:top w:val="single" w:color="000000" w:sz="4" w:space="0"/>
              <w:left w:val="single" w:color="000000" w:sz="4" w:space="0"/>
              <w:bottom w:val="single" w:color="000000" w:sz="4" w:space="0"/>
              <w:right w:val="single" w:color="000000" w:sz="4" w:space="0"/>
            </w:tcBorders>
            <w:noWrap/>
            <w:vAlign w:val="center"/>
          </w:tcPr>
          <w:p w14:paraId="6E33588A">
            <w:pPr>
              <w:pageBreakBefore w:val="0"/>
              <w:widowControl w:val="0"/>
              <w:tabs>
                <w:tab w:val="left" w:pos="720"/>
              </w:tabs>
              <w:kinsoku/>
              <w:overflowPunct/>
              <w:topLinePunct w:val="0"/>
              <w:bidi w:val="0"/>
              <w:spacing w:line="240" w:lineRule="auto"/>
              <w:ind w:left="-93" w:right="-75" w:hanging="12"/>
              <w:jc w:val="center"/>
              <w:rPr>
                <w:rFonts w:hint="eastAsia" w:ascii="仿宋" w:eastAsia="仿宋" w:cs="仿宋"/>
                <w:b/>
                <w:kern w:val="2"/>
                <w:szCs w:val="21"/>
                <w:lang w:bidi="ar-SA"/>
              </w:rPr>
            </w:pPr>
            <w:r>
              <w:rPr>
                <w:rFonts w:hint="eastAsia" w:ascii="仿宋" w:eastAsia="仿宋" w:cs="仿宋"/>
                <w:b/>
                <w:kern w:val="2"/>
                <w:szCs w:val="21"/>
                <w:lang w:bidi="ar-SA"/>
              </w:rPr>
              <w:t>中</w:t>
            </w:r>
          </w:p>
          <w:p w14:paraId="7C7BC9B9">
            <w:pPr>
              <w:pageBreakBefore w:val="0"/>
              <w:widowControl w:val="0"/>
              <w:tabs>
                <w:tab w:val="left" w:pos="719"/>
                <w:tab w:val="left" w:pos="1418"/>
                <w:tab w:val="left" w:pos="6298"/>
              </w:tabs>
              <w:kinsoku/>
              <w:overflowPunct/>
              <w:topLinePunct w:val="0"/>
              <w:bidi w:val="0"/>
              <w:spacing w:line="240" w:lineRule="auto"/>
              <w:ind w:left="-128" w:right="-75"/>
              <w:jc w:val="center"/>
              <w:rPr>
                <w:rFonts w:hint="eastAsia" w:ascii="仿宋" w:eastAsia="仿宋" w:cs="仿宋"/>
                <w:b/>
                <w:kern w:val="2"/>
                <w:szCs w:val="21"/>
                <w:lang w:bidi="ar-SA"/>
              </w:rPr>
            </w:pPr>
            <w:r>
              <w:rPr>
                <w:rFonts w:hint="eastAsia" w:ascii="仿宋" w:eastAsia="仿宋" w:cs="仿宋"/>
                <w:b/>
                <w:kern w:val="2"/>
                <w:szCs w:val="21"/>
                <w:lang w:bidi="ar-SA"/>
              </w:rPr>
              <w:t>（70≦X＜80）</w:t>
            </w:r>
          </w:p>
        </w:tc>
        <w:tc>
          <w:tcPr>
            <w:tcW w:w="1414" w:type="dxa"/>
            <w:tcBorders>
              <w:top w:val="single" w:color="000000" w:sz="4" w:space="0"/>
              <w:left w:val="single" w:color="000000" w:sz="4" w:space="0"/>
              <w:bottom w:val="single" w:color="000000" w:sz="4" w:space="0"/>
              <w:right w:val="single" w:color="000000" w:sz="4" w:space="0"/>
            </w:tcBorders>
            <w:noWrap/>
            <w:vAlign w:val="center"/>
          </w:tcPr>
          <w:p w14:paraId="35BAF0E6">
            <w:pPr>
              <w:pageBreakBefore w:val="0"/>
              <w:widowControl w:val="0"/>
              <w:tabs>
                <w:tab w:val="left" w:pos="720"/>
              </w:tabs>
              <w:kinsoku/>
              <w:overflowPunct/>
              <w:topLinePunct w:val="0"/>
              <w:bidi w:val="0"/>
              <w:spacing w:line="240" w:lineRule="auto"/>
              <w:ind w:left="-93" w:right="-75" w:hanging="12"/>
              <w:jc w:val="center"/>
              <w:rPr>
                <w:rFonts w:hint="eastAsia" w:ascii="仿宋" w:eastAsia="仿宋" w:cs="仿宋"/>
                <w:b/>
                <w:kern w:val="2"/>
                <w:szCs w:val="21"/>
                <w:lang w:bidi="ar-SA"/>
              </w:rPr>
            </w:pPr>
            <w:r>
              <w:rPr>
                <w:rFonts w:hint="eastAsia" w:ascii="仿宋" w:eastAsia="仿宋" w:cs="仿宋"/>
                <w:b/>
                <w:kern w:val="2"/>
                <w:szCs w:val="21"/>
                <w:lang w:bidi="ar-SA"/>
              </w:rPr>
              <w:t>及格</w:t>
            </w:r>
          </w:p>
          <w:p w14:paraId="599541FB">
            <w:pPr>
              <w:pageBreakBefore w:val="0"/>
              <w:widowControl w:val="0"/>
              <w:tabs>
                <w:tab w:val="left" w:pos="719"/>
                <w:tab w:val="left" w:pos="1418"/>
                <w:tab w:val="left" w:pos="6298"/>
              </w:tabs>
              <w:kinsoku/>
              <w:overflowPunct/>
              <w:topLinePunct w:val="0"/>
              <w:bidi w:val="0"/>
              <w:spacing w:line="240" w:lineRule="auto"/>
              <w:ind w:left="-128" w:right="-75"/>
              <w:jc w:val="center"/>
              <w:rPr>
                <w:rFonts w:hint="eastAsia" w:ascii="仿宋" w:eastAsia="仿宋" w:cs="仿宋"/>
                <w:b/>
                <w:kern w:val="2"/>
                <w:szCs w:val="21"/>
                <w:lang w:bidi="ar-SA"/>
              </w:rPr>
            </w:pPr>
            <w:r>
              <w:rPr>
                <w:rFonts w:hint="eastAsia" w:ascii="仿宋" w:eastAsia="仿宋" w:cs="仿宋"/>
                <w:b/>
                <w:kern w:val="2"/>
                <w:szCs w:val="21"/>
                <w:lang w:bidi="ar-SA"/>
              </w:rPr>
              <w:t>（60≦X＜70）</w:t>
            </w:r>
          </w:p>
        </w:tc>
        <w:tc>
          <w:tcPr>
            <w:tcW w:w="1414" w:type="dxa"/>
            <w:tcBorders>
              <w:top w:val="single" w:color="000000" w:sz="4" w:space="0"/>
              <w:left w:val="single" w:color="000000" w:sz="4" w:space="0"/>
              <w:bottom w:val="single" w:color="000000" w:sz="4" w:space="0"/>
              <w:right w:val="single" w:color="000000" w:sz="4" w:space="0"/>
            </w:tcBorders>
            <w:noWrap/>
            <w:vAlign w:val="center"/>
          </w:tcPr>
          <w:p w14:paraId="5EAD641B">
            <w:pPr>
              <w:pageBreakBefore w:val="0"/>
              <w:widowControl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不及格</w:t>
            </w:r>
          </w:p>
          <w:p w14:paraId="26CA5750">
            <w:pPr>
              <w:pageBreakBefore w:val="0"/>
              <w:widowControl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（X＜60）</w:t>
            </w:r>
          </w:p>
        </w:tc>
      </w:tr>
      <w:tr w14:paraId="28698374">
        <w:trPr>
          <w:trHeight w:val="624" w:hRule="atLeast"/>
          <w:jc w:val="center"/>
        </w:trPr>
        <w:tc>
          <w:tcPr>
            <w:tcW w:w="1675" w:type="dxa"/>
            <w:tcBorders>
              <w:top w:val="single" w:color="000000" w:sz="4" w:space="0"/>
              <w:left w:val="single" w:color="000000" w:sz="4" w:space="0"/>
              <w:bottom w:val="single" w:color="000000" w:sz="4" w:space="0"/>
              <w:right w:val="single" w:color="000000" w:sz="4" w:space="0"/>
            </w:tcBorders>
            <w:noWrap/>
            <w:vAlign w:val="top"/>
          </w:tcPr>
          <w:p w14:paraId="2E68D3D0">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课程目标1：热爱音乐教育事业，</w:t>
            </w:r>
            <w:r>
              <w:rPr>
                <w:rFonts w:hint="eastAsia" w:ascii="楷体" w:eastAsia="楷体" w:cs="楷体"/>
                <w:bCs/>
                <w:kern w:val="2"/>
                <w:szCs w:val="21"/>
                <w:lang w:val="en-US" w:bidi="ar-SA"/>
              </w:rPr>
              <w:t>领会该门课程对音乐教育的价值与意义</w:t>
            </w:r>
            <w:r>
              <w:rPr>
                <w:rFonts w:ascii="楷体" w:eastAsia="楷体" w:cs="楷体"/>
                <w:bCs/>
                <w:kern w:val="2"/>
                <w:szCs w:val="21"/>
                <w:lang w:bidi="ar-SA"/>
              </w:rPr>
              <w:t>。</w:t>
            </w:r>
            <w:r>
              <w:rPr>
                <w:rFonts w:hint="eastAsia" w:ascii="楷体" w:eastAsia="楷体" w:cs="楷体"/>
                <w:bCs/>
                <w:kern w:val="2"/>
                <w:szCs w:val="21"/>
                <w:lang w:bidi="ar-SA"/>
              </w:rPr>
              <w:t>（支撑毕业要求</w:t>
            </w:r>
            <w:r>
              <w:rPr>
                <w:rFonts w:ascii="楷体" w:eastAsia="楷体" w:cs="楷体"/>
                <w:bCs/>
                <w:kern w:val="2"/>
                <w:szCs w:val="21"/>
                <w:lang w:bidi="ar-SA"/>
              </w:rPr>
              <w:t>2</w:t>
            </w:r>
            <w:r>
              <w:rPr>
                <w:rFonts w:hint="eastAsia" w:ascii="楷体" w:eastAsia="楷体" w:cs="楷体"/>
                <w:bCs/>
                <w:kern w:val="2"/>
                <w:szCs w:val="21"/>
                <w:lang w:bidi="ar-SA"/>
              </w:rPr>
              <w:t>.1）</w:t>
            </w:r>
          </w:p>
          <w:p w14:paraId="538009D7">
            <w:pPr>
              <w:pageBreakBefore w:val="0"/>
              <w:widowControl w:val="0"/>
              <w:kinsoku/>
              <w:overflowPunct/>
              <w:topLinePunct w:val="0"/>
              <w:bidi w:val="0"/>
              <w:spacing w:line="240" w:lineRule="auto"/>
              <w:rPr>
                <w:rFonts w:hint="eastAsia" w:ascii="楷体" w:eastAsia="楷体" w:cs="楷体"/>
                <w:bCs/>
                <w:kern w:val="2"/>
                <w:szCs w:val="21"/>
                <w:lang w:bidi="ar-SA"/>
              </w:rPr>
            </w:pPr>
          </w:p>
        </w:tc>
        <w:tc>
          <w:tcPr>
            <w:tcW w:w="1503" w:type="dxa"/>
            <w:tcBorders>
              <w:top w:val="single" w:color="000000" w:sz="4" w:space="0"/>
              <w:left w:val="single" w:color="000000" w:sz="4" w:space="0"/>
              <w:bottom w:val="single" w:color="000000" w:sz="4" w:space="0"/>
              <w:right w:val="single" w:color="000000" w:sz="4" w:space="0"/>
            </w:tcBorders>
            <w:noWrap/>
            <w:vAlign w:val="top"/>
          </w:tcPr>
          <w:p w14:paraId="3B210118">
            <w:pPr>
              <w:pageBreakBefore w:val="0"/>
              <w:widowControl w:val="0"/>
              <w:kinsoku/>
              <w:overflowPunct/>
              <w:topLinePunct w:val="0"/>
              <w:bidi w:val="0"/>
              <w:spacing w:line="240" w:lineRule="auto"/>
              <w:rPr>
                <w:rFonts w:hint="eastAsia" w:ascii="楷体" w:eastAsia="楷体" w:cs="楷体"/>
                <w:kern w:val="2"/>
                <w:szCs w:val="21"/>
                <w:lang w:bidi="ar-SA"/>
              </w:rPr>
            </w:pPr>
            <w:r>
              <w:rPr>
                <w:rFonts w:hint="eastAsia" w:ascii="楷体" w:eastAsia="楷体" w:cs="楷体"/>
                <w:bCs/>
                <w:kern w:val="2"/>
                <w:szCs w:val="21"/>
                <w:lang w:val="en-US" w:bidi="ar-SA"/>
              </w:rPr>
              <w:t>充分认识曲式与作品分析的重要性</w:t>
            </w:r>
            <w:r>
              <w:rPr>
                <w:rFonts w:ascii="楷体" w:eastAsia="楷体" w:cs="楷体"/>
                <w:bCs/>
                <w:kern w:val="2"/>
                <w:szCs w:val="21"/>
                <w:lang w:bidi="ar-SA"/>
              </w:rPr>
              <w:t>，</w:t>
            </w:r>
            <w:r>
              <w:rPr>
                <w:rFonts w:hint="eastAsia" w:ascii="楷体" w:eastAsia="楷体" w:cs="楷体"/>
                <w:bCs/>
                <w:kern w:val="2"/>
                <w:szCs w:val="21"/>
                <w:lang w:val="en-US" w:bidi="ar-SA"/>
              </w:rPr>
              <w:t>较强领会该门课程对音乐教育的价值与意义</w:t>
            </w:r>
            <w:r>
              <w:rPr>
                <w:rFonts w:ascii="楷体" w:eastAsia="楷体" w:cs="楷体"/>
                <w:bCs/>
                <w:kern w:val="2"/>
                <w:szCs w:val="21"/>
                <w:lang w:bidi="ar-SA"/>
              </w:rPr>
              <w:t>。</w:t>
            </w:r>
          </w:p>
        </w:tc>
        <w:tc>
          <w:tcPr>
            <w:tcW w:w="1526" w:type="dxa"/>
            <w:tcBorders>
              <w:top w:val="single" w:color="000000" w:sz="4" w:space="0"/>
              <w:left w:val="single" w:color="000000" w:sz="4" w:space="0"/>
              <w:bottom w:val="single" w:color="000000" w:sz="4" w:space="0"/>
              <w:right w:val="single" w:color="000000" w:sz="4" w:space="0"/>
            </w:tcBorders>
            <w:noWrap/>
            <w:vAlign w:val="top"/>
          </w:tcPr>
          <w:p w14:paraId="14FDE634">
            <w:pPr>
              <w:pageBreakBefore w:val="0"/>
              <w:widowControl w:val="0"/>
              <w:kinsoku/>
              <w:overflowPunct/>
              <w:topLinePunct w:val="0"/>
              <w:bidi w:val="0"/>
              <w:spacing w:line="240" w:lineRule="auto"/>
              <w:rPr>
                <w:rFonts w:hint="eastAsia" w:ascii="楷体" w:eastAsia="楷体" w:cs="楷体"/>
                <w:kern w:val="2"/>
                <w:szCs w:val="21"/>
                <w:lang w:bidi="ar-SA"/>
              </w:rPr>
            </w:pPr>
            <w:r>
              <w:rPr>
                <w:rFonts w:hint="eastAsia" w:ascii="楷体" w:eastAsia="楷体" w:cs="楷体"/>
                <w:bCs/>
                <w:kern w:val="2"/>
                <w:szCs w:val="21"/>
                <w:lang w:val="en-US" w:bidi="ar-SA"/>
              </w:rPr>
              <w:t>较好认识曲式与作品分析的重要性</w:t>
            </w:r>
            <w:r>
              <w:rPr>
                <w:rFonts w:ascii="楷体" w:eastAsia="楷体" w:cs="楷体"/>
                <w:bCs/>
                <w:kern w:val="2"/>
                <w:szCs w:val="21"/>
                <w:lang w:bidi="ar-SA"/>
              </w:rPr>
              <w:t>，</w:t>
            </w:r>
            <w:r>
              <w:rPr>
                <w:rFonts w:hint="eastAsia" w:ascii="楷体" w:eastAsia="楷体" w:cs="楷体"/>
                <w:bCs/>
                <w:kern w:val="2"/>
                <w:szCs w:val="21"/>
                <w:lang w:val="en-US" w:bidi="ar-SA"/>
              </w:rPr>
              <w:t>领会该门课程对音乐教育的价值与意义</w:t>
            </w:r>
            <w:r>
              <w:rPr>
                <w:rFonts w:ascii="楷体" w:eastAsia="楷体" w:cs="楷体"/>
                <w:bCs/>
                <w:kern w:val="2"/>
                <w:szCs w:val="21"/>
                <w:lang w:bidi="ar-SA"/>
              </w:rPr>
              <w:t>。</w:t>
            </w:r>
          </w:p>
        </w:tc>
        <w:tc>
          <w:tcPr>
            <w:tcW w:w="1679" w:type="dxa"/>
            <w:tcBorders>
              <w:top w:val="single" w:color="000000" w:sz="4" w:space="0"/>
              <w:left w:val="single" w:color="000000" w:sz="4" w:space="0"/>
              <w:bottom w:val="single" w:color="000000" w:sz="4" w:space="0"/>
              <w:right w:val="single" w:color="000000" w:sz="4" w:space="0"/>
            </w:tcBorders>
            <w:noWrap/>
            <w:vAlign w:val="top"/>
          </w:tcPr>
          <w:p w14:paraId="0AC0D8D9">
            <w:pPr>
              <w:pageBreakBefore w:val="0"/>
              <w:widowControl w:val="0"/>
              <w:kinsoku/>
              <w:overflowPunct/>
              <w:topLinePunct w:val="0"/>
              <w:bidi w:val="0"/>
              <w:spacing w:line="240" w:lineRule="auto"/>
              <w:rPr>
                <w:rFonts w:hint="eastAsia" w:ascii="楷体" w:eastAsia="楷体" w:cs="楷体"/>
                <w:kern w:val="2"/>
                <w:szCs w:val="21"/>
                <w:lang w:bidi="ar-SA"/>
              </w:rPr>
            </w:pPr>
            <w:r>
              <w:rPr>
                <w:rFonts w:hint="eastAsia" w:ascii="楷体" w:eastAsia="楷体" w:cs="楷体"/>
                <w:bCs/>
                <w:kern w:val="2"/>
                <w:szCs w:val="21"/>
                <w:lang w:val="en-US" w:bidi="ar-SA"/>
              </w:rPr>
              <w:t>认识曲式与作品分析的重要性</w:t>
            </w:r>
            <w:r>
              <w:rPr>
                <w:rFonts w:ascii="楷体" w:eastAsia="楷体" w:cs="楷体"/>
                <w:bCs/>
                <w:kern w:val="2"/>
                <w:szCs w:val="21"/>
                <w:lang w:bidi="ar-SA"/>
              </w:rPr>
              <w:t>，</w:t>
            </w:r>
            <w:r>
              <w:rPr>
                <w:rFonts w:hint="eastAsia" w:ascii="楷体" w:eastAsia="楷体" w:cs="楷体"/>
                <w:bCs/>
                <w:kern w:val="2"/>
                <w:szCs w:val="21"/>
                <w:lang w:val="en-US" w:bidi="ar-SA"/>
              </w:rPr>
              <w:t>领会该门课程对音乐教育的价值与意义</w:t>
            </w:r>
            <w:r>
              <w:rPr>
                <w:rFonts w:ascii="楷体" w:eastAsia="楷体" w:cs="楷体"/>
                <w:bCs/>
                <w:kern w:val="2"/>
                <w:szCs w:val="21"/>
                <w:lang w:bidi="ar-SA"/>
              </w:rPr>
              <w:t>。</w:t>
            </w:r>
          </w:p>
        </w:tc>
        <w:tc>
          <w:tcPr>
            <w:tcW w:w="1414" w:type="dxa"/>
            <w:tcBorders>
              <w:top w:val="single" w:color="000000" w:sz="4" w:space="0"/>
              <w:left w:val="single" w:color="000000" w:sz="4" w:space="0"/>
              <w:bottom w:val="single" w:color="000000" w:sz="4" w:space="0"/>
              <w:right w:val="single" w:color="000000" w:sz="4" w:space="0"/>
            </w:tcBorders>
            <w:noWrap/>
            <w:vAlign w:val="top"/>
          </w:tcPr>
          <w:p w14:paraId="7BB4BF66">
            <w:pPr>
              <w:pageBreakBefore w:val="0"/>
              <w:widowControl w:val="0"/>
              <w:kinsoku/>
              <w:overflowPunct/>
              <w:topLinePunct w:val="0"/>
              <w:bidi w:val="0"/>
              <w:spacing w:line="240" w:lineRule="auto"/>
              <w:rPr>
                <w:rFonts w:hint="eastAsia" w:ascii="楷体" w:eastAsia="楷体" w:cs="楷体"/>
                <w:kern w:val="2"/>
                <w:szCs w:val="21"/>
                <w:lang w:bidi="ar-SA"/>
              </w:rPr>
            </w:pPr>
            <w:r>
              <w:rPr>
                <w:rFonts w:hint="eastAsia" w:ascii="楷体" w:eastAsia="楷体" w:cs="楷体"/>
                <w:bCs/>
                <w:kern w:val="2"/>
                <w:szCs w:val="21"/>
                <w:lang w:val="en-US" w:bidi="ar-SA"/>
              </w:rPr>
              <w:t>基本能够认识曲式与作品分析的重要性</w:t>
            </w:r>
            <w:r>
              <w:rPr>
                <w:rFonts w:ascii="楷体" w:eastAsia="楷体" w:cs="楷体"/>
                <w:bCs/>
                <w:kern w:val="2"/>
                <w:szCs w:val="21"/>
                <w:lang w:bidi="ar-SA"/>
              </w:rPr>
              <w:t>，</w:t>
            </w:r>
            <w:r>
              <w:rPr>
                <w:rFonts w:hint="eastAsia" w:ascii="楷体" w:eastAsia="楷体" w:cs="楷体"/>
                <w:bCs/>
                <w:kern w:val="2"/>
                <w:szCs w:val="21"/>
                <w:lang w:val="en-US" w:bidi="ar-SA"/>
              </w:rPr>
              <w:t>基本领会该门课程对音乐教育的价值与意义</w:t>
            </w:r>
            <w:r>
              <w:rPr>
                <w:rFonts w:ascii="楷体" w:eastAsia="楷体" w:cs="楷体"/>
                <w:bCs/>
                <w:kern w:val="2"/>
                <w:szCs w:val="21"/>
                <w:lang w:bidi="ar-SA"/>
              </w:rPr>
              <w:t>。</w:t>
            </w:r>
          </w:p>
        </w:tc>
        <w:tc>
          <w:tcPr>
            <w:tcW w:w="1414" w:type="dxa"/>
            <w:tcBorders>
              <w:top w:val="single" w:color="000000" w:sz="4" w:space="0"/>
              <w:left w:val="single" w:color="000000" w:sz="4" w:space="0"/>
              <w:bottom w:val="single" w:color="000000" w:sz="4" w:space="0"/>
              <w:right w:val="single" w:color="000000" w:sz="4" w:space="0"/>
            </w:tcBorders>
            <w:noWrap/>
            <w:vAlign w:val="top"/>
          </w:tcPr>
          <w:p w14:paraId="6E8F3894">
            <w:pPr>
              <w:pageBreakBefore w:val="0"/>
              <w:widowControl w:val="0"/>
              <w:kinsoku/>
              <w:overflowPunct/>
              <w:topLinePunct w:val="0"/>
              <w:bidi w:val="0"/>
              <w:spacing w:line="240" w:lineRule="auto"/>
              <w:rPr>
                <w:rFonts w:hint="eastAsia" w:ascii="楷体" w:eastAsia="楷体" w:cs="楷体"/>
                <w:kern w:val="2"/>
                <w:szCs w:val="21"/>
                <w:lang w:bidi="ar-SA"/>
              </w:rPr>
            </w:pPr>
            <w:r>
              <w:rPr>
                <w:rFonts w:hint="eastAsia" w:ascii="楷体" w:eastAsia="楷体" w:cs="楷体"/>
                <w:bCs/>
                <w:kern w:val="2"/>
                <w:szCs w:val="21"/>
                <w:lang w:val="en-US" w:bidi="ar-SA"/>
              </w:rPr>
              <w:t>不能认识到曲式与作品分析的重要性</w:t>
            </w:r>
            <w:r>
              <w:rPr>
                <w:rFonts w:ascii="楷体" w:eastAsia="楷体" w:cs="楷体"/>
                <w:bCs/>
                <w:kern w:val="2"/>
                <w:szCs w:val="21"/>
                <w:lang w:bidi="ar-SA"/>
              </w:rPr>
              <w:t>，</w:t>
            </w:r>
            <w:r>
              <w:rPr>
                <w:rFonts w:hint="eastAsia" w:ascii="楷体" w:eastAsia="楷体" w:cs="楷体"/>
                <w:bCs/>
                <w:kern w:val="2"/>
                <w:szCs w:val="21"/>
                <w:lang w:val="en-US" w:bidi="ar-SA"/>
              </w:rPr>
              <w:t>不能领会该门课程对音乐教育的价值与意义</w:t>
            </w:r>
            <w:r>
              <w:rPr>
                <w:rFonts w:ascii="楷体" w:eastAsia="楷体" w:cs="楷体"/>
                <w:bCs/>
                <w:kern w:val="2"/>
                <w:szCs w:val="21"/>
                <w:lang w:bidi="ar-SA"/>
              </w:rPr>
              <w:t>。</w:t>
            </w:r>
          </w:p>
        </w:tc>
      </w:tr>
      <w:tr w14:paraId="0C12D0C5">
        <w:trPr>
          <w:trHeight w:val="624" w:hRule="atLeast"/>
          <w:jc w:val="center"/>
        </w:trPr>
        <w:tc>
          <w:tcPr>
            <w:tcW w:w="1675" w:type="dxa"/>
            <w:tcBorders>
              <w:top w:val="single" w:color="000000" w:sz="4" w:space="0"/>
              <w:left w:val="single" w:color="000000" w:sz="4" w:space="0"/>
              <w:bottom w:val="single" w:color="000000" w:sz="4" w:space="0"/>
              <w:right w:val="single" w:color="000000" w:sz="4" w:space="0"/>
            </w:tcBorders>
            <w:noWrap/>
            <w:vAlign w:val="top"/>
          </w:tcPr>
          <w:p w14:paraId="4583E23C">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kern w:val="2"/>
                <w:szCs w:val="21"/>
                <w:lang w:val="en-US" w:bidi="ar-SA"/>
              </w:rPr>
              <w:t>课程目标</w:t>
            </w:r>
            <w:r>
              <w:rPr>
                <w:rFonts w:ascii="楷体" w:eastAsia="楷体" w:cs="楷体"/>
                <w:kern w:val="2"/>
                <w:szCs w:val="21"/>
                <w:lang w:bidi="ar-SA"/>
              </w:rPr>
              <w:t>2</w:t>
            </w:r>
            <w:r>
              <w:rPr>
                <w:rFonts w:hint="eastAsia" w:ascii="楷体" w:eastAsia="楷体" w:cs="楷体"/>
                <w:kern w:val="2"/>
                <w:szCs w:val="21"/>
                <w:lang w:val="en-US" w:bidi="ar-SA"/>
              </w:rPr>
              <w:t>:</w:t>
            </w:r>
            <w:r>
              <w:rPr>
                <w:rFonts w:hint="eastAsia" w:ascii="楷体" w:eastAsia="楷体" w:cs="楷体"/>
                <w:kern w:val="2"/>
                <w:szCs w:val="21"/>
                <w:lang w:bidi="ar-SA"/>
              </w:rPr>
              <w:t>能够初步掌握</w:t>
            </w:r>
            <w:r>
              <w:rPr>
                <w:rFonts w:hint="eastAsia" w:ascii="楷体" w:eastAsia="楷体" w:cs="楷体"/>
                <w:kern w:val="2"/>
                <w:szCs w:val="21"/>
                <w:lang w:val="en-US" w:bidi="ar-SA"/>
              </w:rPr>
              <w:t>曲式分析基本</w:t>
            </w:r>
            <w:r>
              <w:rPr>
                <w:rFonts w:hint="eastAsia" w:ascii="楷体" w:eastAsia="楷体" w:cs="楷体"/>
                <w:kern w:val="2"/>
                <w:szCs w:val="21"/>
                <w:lang w:bidi="ar-SA"/>
              </w:rPr>
              <w:t>理论知识</w:t>
            </w:r>
            <w:r>
              <w:rPr>
                <w:rFonts w:ascii="楷体" w:eastAsia="楷体" w:cs="楷体"/>
                <w:kern w:val="2"/>
                <w:szCs w:val="21"/>
                <w:lang w:bidi="ar-SA"/>
              </w:rPr>
              <w:t>、</w:t>
            </w:r>
            <w:r>
              <w:rPr>
                <w:rFonts w:hint="eastAsia" w:ascii="楷体" w:eastAsia="楷体" w:cs="楷体"/>
                <w:kern w:val="2"/>
                <w:szCs w:val="21"/>
                <w:lang w:bidi="ar-SA"/>
              </w:rPr>
              <w:t>基本术语；能够系统掌握</w:t>
            </w:r>
            <w:r>
              <w:rPr>
                <w:rFonts w:hint="eastAsia" w:ascii="楷体" w:eastAsia="楷体" w:cs="楷体"/>
                <w:kern w:val="2"/>
                <w:szCs w:val="21"/>
                <w:lang w:val="en-US" w:bidi="ar-SA"/>
              </w:rPr>
              <w:t>曲式分析的</w:t>
            </w:r>
            <w:r>
              <w:rPr>
                <w:rFonts w:hint="eastAsia" w:ascii="楷体" w:eastAsia="楷体" w:cs="楷体"/>
                <w:kern w:val="2"/>
                <w:szCs w:val="21"/>
                <w:lang w:bidi="ar-SA"/>
              </w:rPr>
              <w:t>方法。</w:t>
            </w:r>
            <w:r>
              <w:rPr>
                <w:rFonts w:hint="eastAsia" w:ascii="楷体" w:eastAsia="楷体" w:cs="楷体"/>
                <w:bCs/>
                <w:kern w:val="2"/>
                <w:szCs w:val="21"/>
                <w:lang w:bidi="ar-SA"/>
              </w:rPr>
              <w:t>（支撑毕业要求3.1）</w:t>
            </w:r>
          </w:p>
        </w:tc>
        <w:tc>
          <w:tcPr>
            <w:tcW w:w="1503" w:type="dxa"/>
            <w:tcBorders>
              <w:top w:val="single" w:color="000000" w:sz="4" w:space="0"/>
              <w:left w:val="single" w:color="000000" w:sz="4" w:space="0"/>
              <w:bottom w:val="single" w:color="000000" w:sz="4" w:space="0"/>
              <w:right w:val="single" w:color="000000" w:sz="4" w:space="0"/>
            </w:tcBorders>
            <w:noWrap/>
            <w:vAlign w:val="top"/>
          </w:tcPr>
          <w:p w14:paraId="4C1F8307">
            <w:pPr>
              <w:pageBreakBefore w:val="0"/>
              <w:widowControl w:val="0"/>
              <w:kinsoku/>
              <w:overflowPunct/>
              <w:topLinePunct w:val="0"/>
              <w:bidi w:val="0"/>
              <w:spacing w:line="240" w:lineRule="auto"/>
              <w:rPr>
                <w:rFonts w:ascii="楷体" w:eastAsia="楷体" w:cs="楷体"/>
                <w:kern w:val="2"/>
                <w:szCs w:val="21"/>
                <w:lang w:bidi="ar-SA"/>
              </w:rPr>
            </w:pPr>
            <w:r>
              <w:rPr>
                <w:rFonts w:hint="eastAsia" w:ascii="楷体" w:eastAsia="楷体" w:cs="楷体"/>
                <w:bCs/>
                <w:kern w:val="2"/>
                <w:szCs w:val="21"/>
                <w:lang w:bidi="ar-SA"/>
              </w:rPr>
              <w:t>能够扎实</w:t>
            </w:r>
            <w:r>
              <w:rPr>
                <w:rFonts w:hint="eastAsia" w:ascii="楷体" w:eastAsia="楷体" w:cs="楷体"/>
                <w:kern w:val="2"/>
                <w:szCs w:val="21"/>
                <w:lang w:val="en-US" w:bidi="ar-SA"/>
              </w:rPr>
              <w:t>的</w:t>
            </w:r>
            <w:r>
              <w:rPr>
                <w:rFonts w:hint="eastAsia" w:ascii="楷体" w:eastAsia="楷体" w:cs="楷体"/>
                <w:kern w:val="2"/>
                <w:szCs w:val="21"/>
                <w:lang w:bidi="ar-SA"/>
              </w:rPr>
              <w:t>掌握曲式分析的</w:t>
            </w:r>
            <w:r>
              <w:rPr>
                <w:rFonts w:hint="eastAsia" w:ascii="楷体" w:eastAsia="楷体" w:cs="楷体"/>
                <w:kern w:val="2"/>
                <w:szCs w:val="21"/>
                <w:lang w:val="en-US" w:bidi="ar-SA"/>
              </w:rPr>
              <w:t>基本</w:t>
            </w:r>
            <w:r>
              <w:rPr>
                <w:rFonts w:hint="eastAsia" w:ascii="楷体" w:eastAsia="楷体" w:cs="楷体"/>
                <w:kern w:val="2"/>
                <w:szCs w:val="21"/>
                <w:lang w:bidi="ar-SA"/>
              </w:rPr>
              <w:t>理论知识，能够系统掌握</w:t>
            </w:r>
            <w:r>
              <w:rPr>
                <w:rFonts w:hint="eastAsia" w:ascii="楷体" w:eastAsia="楷体" w:cs="楷体"/>
                <w:kern w:val="2"/>
                <w:szCs w:val="21"/>
                <w:lang w:val="en-US" w:bidi="ar-SA"/>
              </w:rPr>
              <w:t>曲式分析的</w:t>
            </w:r>
            <w:r>
              <w:rPr>
                <w:rFonts w:hint="eastAsia" w:ascii="楷体" w:eastAsia="楷体" w:cs="楷体"/>
                <w:kern w:val="2"/>
                <w:szCs w:val="21"/>
                <w:lang w:bidi="ar-SA"/>
              </w:rPr>
              <w:t>方</w:t>
            </w:r>
            <w:r>
              <w:rPr>
                <w:rFonts w:hint="eastAsia" w:ascii="楷体" w:eastAsia="楷体" w:cs="楷体"/>
                <w:kern w:val="2"/>
                <w:szCs w:val="21"/>
                <w:lang w:val="en-US" w:bidi="ar-SA"/>
              </w:rPr>
              <w:t>法</w:t>
            </w:r>
            <w:r>
              <w:rPr>
                <w:rFonts w:ascii="楷体" w:eastAsia="楷体" w:cs="楷体"/>
                <w:kern w:val="2"/>
                <w:szCs w:val="21"/>
                <w:lang w:bidi="ar-SA"/>
              </w:rPr>
              <w:t>，</w:t>
            </w:r>
            <w:r>
              <w:rPr>
                <w:rFonts w:hint="eastAsia" w:ascii="楷体" w:eastAsia="楷体" w:cs="楷体"/>
                <w:kern w:val="2"/>
                <w:szCs w:val="21"/>
                <w:lang w:val="en-US" w:bidi="ar-SA"/>
              </w:rPr>
              <w:t>具备曲式与作品分析的较强能力</w:t>
            </w:r>
            <w:r>
              <w:rPr>
                <w:rFonts w:ascii="楷体" w:eastAsia="楷体" w:cs="楷体"/>
                <w:kern w:val="2"/>
                <w:szCs w:val="21"/>
                <w:lang w:bidi="ar-SA"/>
              </w:rPr>
              <w:t>。</w:t>
            </w:r>
          </w:p>
        </w:tc>
        <w:tc>
          <w:tcPr>
            <w:tcW w:w="1526" w:type="dxa"/>
            <w:tcBorders>
              <w:top w:val="single" w:color="000000" w:sz="4" w:space="0"/>
              <w:left w:val="single" w:color="000000" w:sz="4" w:space="0"/>
              <w:bottom w:val="single" w:color="000000" w:sz="4" w:space="0"/>
              <w:right w:val="single" w:color="000000" w:sz="4" w:space="0"/>
            </w:tcBorders>
            <w:noWrap/>
            <w:vAlign w:val="top"/>
          </w:tcPr>
          <w:p w14:paraId="36D5055C">
            <w:pPr>
              <w:pageBreakBefore w:val="0"/>
              <w:widowControl w:val="0"/>
              <w:kinsoku/>
              <w:overflowPunct/>
              <w:topLinePunct w:val="0"/>
              <w:bidi w:val="0"/>
              <w:spacing w:line="240" w:lineRule="auto"/>
              <w:rPr>
                <w:rFonts w:hint="eastAsia" w:ascii="楷体" w:eastAsia="楷体" w:cs="楷体"/>
                <w:kern w:val="2"/>
                <w:szCs w:val="21"/>
                <w:lang w:bidi="ar-SA"/>
              </w:rPr>
            </w:pPr>
            <w:r>
              <w:rPr>
                <w:rFonts w:hint="eastAsia" w:ascii="楷体" w:eastAsia="楷体" w:cs="楷体"/>
                <w:bCs/>
                <w:kern w:val="2"/>
                <w:szCs w:val="21"/>
                <w:lang w:bidi="ar-SA"/>
              </w:rPr>
              <w:t>能够较为扎实</w:t>
            </w:r>
            <w:r>
              <w:rPr>
                <w:rFonts w:hint="eastAsia" w:ascii="楷体" w:eastAsia="楷体" w:cs="楷体"/>
                <w:kern w:val="2"/>
                <w:szCs w:val="21"/>
                <w:lang w:val="en-US" w:bidi="ar-SA"/>
              </w:rPr>
              <w:t>的</w:t>
            </w:r>
            <w:r>
              <w:rPr>
                <w:rFonts w:hint="eastAsia" w:ascii="楷体" w:eastAsia="楷体" w:cs="楷体"/>
                <w:kern w:val="2"/>
                <w:szCs w:val="21"/>
                <w:lang w:bidi="ar-SA"/>
              </w:rPr>
              <w:t>掌握曲式分析的</w:t>
            </w:r>
            <w:r>
              <w:rPr>
                <w:rFonts w:hint="eastAsia" w:ascii="楷体" w:eastAsia="楷体" w:cs="楷体"/>
                <w:kern w:val="2"/>
                <w:szCs w:val="21"/>
                <w:lang w:val="en-US" w:bidi="ar-SA"/>
              </w:rPr>
              <w:t>基本</w:t>
            </w:r>
            <w:r>
              <w:rPr>
                <w:rFonts w:hint="eastAsia" w:ascii="楷体" w:eastAsia="楷体" w:cs="楷体"/>
                <w:kern w:val="2"/>
                <w:szCs w:val="21"/>
                <w:lang w:bidi="ar-SA"/>
              </w:rPr>
              <w:t>理论知识，能够系统掌握</w:t>
            </w:r>
            <w:r>
              <w:rPr>
                <w:rFonts w:hint="eastAsia" w:ascii="楷体" w:eastAsia="楷体" w:cs="楷体"/>
                <w:kern w:val="2"/>
                <w:szCs w:val="21"/>
                <w:lang w:val="en-US" w:bidi="ar-SA"/>
              </w:rPr>
              <w:t>曲式分析的</w:t>
            </w:r>
            <w:r>
              <w:rPr>
                <w:rFonts w:hint="eastAsia" w:ascii="楷体" w:eastAsia="楷体" w:cs="楷体"/>
                <w:kern w:val="2"/>
                <w:szCs w:val="21"/>
                <w:lang w:bidi="ar-SA"/>
              </w:rPr>
              <w:t>方</w:t>
            </w:r>
            <w:r>
              <w:rPr>
                <w:rFonts w:hint="eastAsia" w:ascii="楷体" w:eastAsia="楷体" w:cs="楷体"/>
                <w:kern w:val="2"/>
                <w:szCs w:val="21"/>
                <w:lang w:val="en-US" w:bidi="ar-SA"/>
              </w:rPr>
              <w:t>法</w:t>
            </w:r>
            <w:r>
              <w:rPr>
                <w:rFonts w:ascii="楷体" w:eastAsia="楷体" w:cs="楷体"/>
                <w:kern w:val="2"/>
                <w:szCs w:val="21"/>
                <w:lang w:bidi="ar-SA"/>
              </w:rPr>
              <w:t>，</w:t>
            </w:r>
            <w:r>
              <w:rPr>
                <w:rFonts w:hint="eastAsia" w:ascii="楷体" w:eastAsia="楷体" w:cs="楷体"/>
                <w:kern w:val="2"/>
                <w:szCs w:val="21"/>
                <w:lang w:val="en-US" w:bidi="ar-SA"/>
              </w:rPr>
              <w:t>具备曲式与作品分析的良好能力</w:t>
            </w:r>
            <w:r>
              <w:rPr>
                <w:rFonts w:ascii="楷体" w:eastAsia="楷体" w:cs="楷体"/>
                <w:kern w:val="2"/>
                <w:szCs w:val="21"/>
                <w:lang w:bidi="ar-SA"/>
              </w:rPr>
              <w:t>。</w:t>
            </w:r>
          </w:p>
        </w:tc>
        <w:tc>
          <w:tcPr>
            <w:tcW w:w="1679" w:type="dxa"/>
            <w:tcBorders>
              <w:top w:val="single" w:color="000000" w:sz="4" w:space="0"/>
              <w:left w:val="single" w:color="000000" w:sz="4" w:space="0"/>
              <w:bottom w:val="single" w:color="000000" w:sz="4" w:space="0"/>
              <w:right w:val="single" w:color="000000" w:sz="4" w:space="0"/>
            </w:tcBorders>
            <w:noWrap/>
            <w:vAlign w:val="top"/>
          </w:tcPr>
          <w:p w14:paraId="5E3C029D">
            <w:pPr>
              <w:pageBreakBefore w:val="0"/>
              <w:widowControl w:val="0"/>
              <w:kinsoku/>
              <w:overflowPunct/>
              <w:topLinePunct w:val="0"/>
              <w:bidi w:val="0"/>
              <w:spacing w:line="240" w:lineRule="auto"/>
              <w:rPr>
                <w:rFonts w:hint="eastAsia" w:ascii="楷体" w:eastAsia="楷体" w:cs="楷体"/>
                <w:kern w:val="2"/>
                <w:szCs w:val="21"/>
                <w:lang w:bidi="ar-SA"/>
              </w:rPr>
            </w:pPr>
            <w:r>
              <w:rPr>
                <w:rFonts w:hint="eastAsia" w:ascii="楷体" w:eastAsia="楷体" w:cs="楷体"/>
                <w:bCs/>
                <w:kern w:val="2"/>
                <w:szCs w:val="21"/>
                <w:lang w:val="en-US" w:bidi="ar-SA"/>
              </w:rPr>
              <w:t>基本</w:t>
            </w:r>
            <w:r>
              <w:rPr>
                <w:rFonts w:hint="eastAsia" w:ascii="楷体" w:eastAsia="楷体" w:cs="楷体"/>
                <w:kern w:val="2"/>
                <w:szCs w:val="21"/>
                <w:lang w:bidi="ar-SA"/>
              </w:rPr>
              <w:t>掌握曲式分析的</w:t>
            </w:r>
            <w:r>
              <w:rPr>
                <w:rFonts w:hint="eastAsia" w:ascii="楷体" w:eastAsia="楷体" w:cs="楷体"/>
                <w:kern w:val="2"/>
                <w:szCs w:val="21"/>
                <w:lang w:val="en-US" w:bidi="ar-SA"/>
              </w:rPr>
              <w:t>基本</w:t>
            </w:r>
            <w:r>
              <w:rPr>
                <w:rFonts w:hint="eastAsia" w:ascii="楷体" w:eastAsia="楷体" w:cs="楷体"/>
                <w:kern w:val="2"/>
                <w:szCs w:val="21"/>
                <w:lang w:bidi="ar-SA"/>
              </w:rPr>
              <w:t>理论知识，能够系统掌握</w:t>
            </w:r>
            <w:r>
              <w:rPr>
                <w:rFonts w:hint="eastAsia" w:ascii="楷体" w:eastAsia="楷体" w:cs="楷体"/>
                <w:kern w:val="2"/>
                <w:szCs w:val="21"/>
                <w:lang w:val="en-US" w:bidi="ar-SA"/>
              </w:rPr>
              <w:t>曲式分析的</w:t>
            </w:r>
            <w:r>
              <w:rPr>
                <w:rFonts w:hint="eastAsia" w:ascii="楷体" w:eastAsia="楷体" w:cs="楷体"/>
                <w:kern w:val="2"/>
                <w:szCs w:val="21"/>
                <w:lang w:bidi="ar-SA"/>
              </w:rPr>
              <w:t>方</w:t>
            </w:r>
            <w:r>
              <w:rPr>
                <w:rFonts w:hint="eastAsia" w:ascii="楷体" w:eastAsia="楷体" w:cs="楷体"/>
                <w:kern w:val="2"/>
                <w:szCs w:val="21"/>
                <w:lang w:val="en-US" w:bidi="ar-SA"/>
              </w:rPr>
              <w:t>法</w:t>
            </w:r>
            <w:r>
              <w:rPr>
                <w:rFonts w:ascii="楷体" w:eastAsia="楷体" w:cs="楷体"/>
                <w:kern w:val="2"/>
                <w:szCs w:val="21"/>
                <w:lang w:bidi="ar-SA"/>
              </w:rPr>
              <w:t>，</w:t>
            </w:r>
            <w:r>
              <w:rPr>
                <w:rFonts w:hint="eastAsia" w:ascii="楷体" w:eastAsia="楷体" w:cs="楷体"/>
                <w:kern w:val="2"/>
                <w:szCs w:val="21"/>
                <w:lang w:val="en-US" w:bidi="ar-SA"/>
              </w:rPr>
              <w:t>具备曲式与作品分析的一般能力</w:t>
            </w:r>
            <w:r>
              <w:rPr>
                <w:rFonts w:ascii="楷体" w:eastAsia="楷体" w:cs="楷体"/>
                <w:kern w:val="2"/>
                <w:szCs w:val="21"/>
                <w:lang w:bidi="ar-SA"/>
              </w:rPr>
              <w:t>。</w:t>
            </w:r>
          </w:p>
        </w:tc>
        <w:tc>
          <w:tcPr>
            <w:tcW w:w="1414" w:type="dxa"/>
            <w:tcBorders>
              <w:top w:val="single" w:color="000000" w:sz="4" w:space="0"/>
              <w:left w:val="single" w:color="000000" w:sz="4" w:space="0"/>
              <w:bottom w:val="single" w:color="000000" w:sz="4" w:space="0"/>
              <w:right w:val="single" w:color="000000" w:sz="4" w:space="0"/>
            </w:tcBorders>
            <w:noWrap/>
            <w:vAlign w:val="top"/>
          </w:tcPr>
          <w:p w14:paraId="7831EF95">
            <w:pPr>
              <w:pageBreakBefore w:val="0"/>
              <w:widowControl w:val="0"/>
              <w:kinsoku/>
              <w:overflowPunct/>
              <w:topLinePunct w:val="0"/>
              <w:bidi w:val="0"/>
              <w:spacing w:line="240" w:lineRule="auto"/>
              <w:rPr>
                <w:rFonts w:hint="eastAsia" w:ascii="楷体" w:eastAsia="楷体" w:cs="楷体"/>
                <w:kern w:val="2"/>
                <w:szCs w:val="21"/>
                <w:lang w:bidi="ar-SA"/>
              </w:rPr>
            </w:pPr>
            <w:r>
              <w:rPr>
                <w:rFonts w:hint="eastAsia" w:ascii="楷体" w:eastAsia="楷体" w:cs="楷体"/>
                <w:bCs/>
                <w:kern w:val="2"/>
                <w:szCs w:val="21"/>
                <w:lang w:val="en-US" w:bidi="ar-SA"/>
              </w:rPr>
              <w:t>基本</w:t>
            </w:r>
            <w:r>
              <w:rPr>
                <w:rFonts w:hint="eastAsia" w:ascii="楷体" w:eastAsia="楷体" w:cs="楷体"/>
                <w:kern w:val="2"/>
                <w:szCs w:val="21"/>
                <w:lang w:bidi="ar-SA"/>
              </w:rPr>
              <w:t>掌握曲式分析的</w:t>
            </w:r>
            <w:r>
              <w:rPr>
                <w:rFonts w:hint="eastAsia" w:ascii="楷体" w:eastAsia="楷体" w:cs="楷体"/>
                <w:kern w:val="2"/>
                <w:szCs w:val="21"/>
                <w:lang w:val="en-US" w:bidi="ar-SA"/>
              </w:rPr>
              <w:t>基本</w:t>
            </w:r>
            <w:r>
              <w:rPr>
                <w:rFonts w:hint="eastAsia" w:ascii="楷体" w:eastAsia="楷体" w:cs="楷体"/>
                <w:kern w:val="2"/>
                <w:szCs w:val="21"/>
                <w:lang w:bidi="ar-SA"/>
              </w:rPr>
              <w:t>理论知识，能够掌握</w:t>
            </w:r>
            <w:r>
              <w:rPr>
                <w:rFonts w:hint="eastAsia" w:ascii="楷体" w:eastAsia="楷体" w:cs="楷体"/>
                <w:kern w:val="2"/>
                <w:szCs w:val="21"/>
                <w:lang w:val="en-US" w:bidi="ar-SA"/>
              </w:rPr>
              <w:t>曲式分析的</w:t>
            </w:r>
            <w:r>
              <w:rPr>
                <w:rFonts w:hint="eastAsia" w:ascii="楷体" w:eastAsia="楷体" w:cs="楷体"/>
                <w:kern w:val="2"/>
                <w:szCs w:val="21"/>
                <w:lang w:bidi="ar-SA"/>
              </w:rPr>
              <w:t>方</w:t>
            </w:r>
            <w:r>
              <w:rPr>
                <w:rFonts w:hint="eastAsia" w:ascii="楷体" w:eastAsia="楷体" w:cs="楷体"/>
                <w:kern w:val="2"/>
                <w:szCs w:val="21"/>
                <w:lang w:val="en-US" w:bidi="ar-SA"/>
              </w:rPr>
              <w:t>法</w:t>
            </w:r>
            <w:r>
              <w:rPr>
                <w:rFonts w:ascii="楷体" w:eastAsia="楷体" w:cs="楷体"/>
                <w:kern w:val="2"/>
                <w:szCs w:val="21"/>
                <w:lang w:bidi="ar-SA"/>
              </w:rPr>
              <w:t>，</w:t>
            </w:r>
            <w:r>
              <w:rPr>
                <w:rFonts w:hint="eastAsia" w:ascii="楷体" w:eastAsia="楷体" w:cs="楷体"/>
                <w:kern w:val="2"/>
                <w:szCs w:val="21"/>
                <w:lang w:val="en-US" w:bidi="ar-SA"/>
              </w:rPr>
              <w:t>具备曲式与作品分析的一般能力</w:t>
            </w:r>
            <w:r>
              <w:rPr>
                <w:rFonts w:ascii="楷体" w:eastAsia="楷体" w:cs="楷体"/>
                <w:kern w:val="2"/>
                <w:szCs w:val="21"/>
                <w:lang w:bidi="ar-SA"/>
              </w:rPr>
              <w:t>。</w:t>
            </w:r>
          </w:p>
        </w:tc>
        <w:tc>
          <w:tcPr>
            <w:tcW w:w="1414" w:type="dxa"/>
            <w:tcBorders>
              <w:top w:val="single" w:color="000000" w:sz="4" w:space="0"/>
              <w:left w:val="single" w:color="000000" w:sz="4" w:space="0"/>
              <w:bottom w:val="single" w:color="000000" w:sz="4" w:space="0"/>
              <w:right w:val="single" w:color="000000" w:sz="4" w:space="0"/>
            </w:tcBorders>
            <w:noWrap/>
            <w:vAlign w:val="top"/>
          </w:tcPr>
          <w:p w14:paraId="47D29D01">
            <w:pPr>
              <w:pageBreakBefore w:val="0"/>
              <w:widowControl w:val="0"/>
              <w:kinsoku/>
              <w:overflowPunct/>
              <w:topLinePunct w:val="0"/>
              <w:bidi w:val="0"/>
              <w:spacing w:line="240" w:lineRule="auto"/>
              <w:rPr>
                <w:rFonts w:hint="eastAsia" w:ascii="楷体" w:eastAsia="楷体" w:cs="楷体"/>
                <w:kern w:val="2"/>
                <w:szCs w:val="21"/>
                <w:lang w:bidi="ar-SA"/>
              </w:rPr>
            </w:pPr>
            <w:r>
              <w:rPr>
                <w:rFonts w:hint="eastAsia" w:ascii="楷体" w:eastAsia="楷体" w:cs="楷体"/>
                <w:bCs/>
                <w:kern w:val="2"/>
                <w:szCs w:val="21"/>
                <w:lang w:val="en-US" w:bidi="ar-SA"/>
              </w:rPr>
              <w:t>不能</w:t>
            </w:r>
            <w:r>
              <w:rPr>
                <w:rFonts w:hint="eastAsia" w:ascii="楷体" w:eastAsia="楷体" w:cs="楷体"/>
                <w:kern w:val="2"/>
                <w:szCs w:val="21"/>
                <w:lang w:bidi="ar-SA"/>
              </w:rPr>
              <w:t>掌握曲式分析的</w:t>
            </w:r>
            <w:r>
              <w:rPr>
                <w:rFonts w:hint="eastAsia" w:ascii="楷体" w:eastAsia="楷体" w:cs="楷体"/>
                <w:kern w:val="2"/>
                <w:szCs w:val="21"/>
                <w:lang w:val="en-US" w:bidi="ar-SA"/>
              </w:rPr>
              <w:t>基本</w:t>
            </w:r>
            <w:r>
              <w:rPr>
                <w:rFonts w:hint="eastAsia" w:ascii="楷体" w:eastAsia="楷体" w:cs="楷体"/>
                <w:kern w:val="2"/>
                <w:szCs w:val="21"/>
                <w:lang w:bidi="ar-SA"/>
              </w:rPr>
              <w:t>理论知识，</w:t>
            </w:r>
            <w:r>
              <w:rPr>
                <w:rFonts w:hint="eastAsia" w:ascii="楷体" w:eastAsia="楷体" w:cs="楷体"/>
                <w:kern w:val="2"/>
                <w:szCs w:val="21"/>
                <w:lang w:val="en-US" w:bidi="ar-SA"/>
              </w:rPr>
              <w:t>不能</w:t>
            </w:r>
            <w:r>
              <w:rPr>
                <w:rFonts w:hint="eastAsia" w:ascii="楷体" w:eastAsia="楷体" w:cs="楷体"/>
                <w:kern w:val="2"/>
                <w:szCs w:val="21"/>
                <w:lang w:bidi="ar-SA"/>
              </w:rPr>
              <w:t>掌握</w:t>
            </w:r>
            <w:r>
              <w:rPr>
                <w:rFonts w:hint="eastAsia" w:ascii="楷体" w:eastAsia="楷体" w:cs="楷体"/>
                <w:kern w:val="2"/>
                <w:szCs w:val="21"/>
                <w:lang w:val="en-US" w:bidi="ar-SA"/>
              </w:rPr>
              <w:t>曲式分析的</w:t>
            </w:r>
            <w:r>
              <w:rPr>
                <w:rFonts w:hint="eastAsia" w:ascii="楷体" w:eastAsia="楷体" w:cs="楷体"/>
                <w:kern w:val="2"/>
                <w:szCs w:val="21"/>
                <w:lang w:bidi="ar-SA"/>
              </w:rPr>
              <w:t>方</w:t>
            </w:r>
            <w:r>
              <w:rPr>
                <w:rFonts w:hint="eastAsia" w:ascii="楷体" w:eastAsia="楷体" w:cs="楷体"/>
                <w:kern w:val="2"/>
                <w:szCs w:val="21"/>
                <w:lang w:val="en-US" w:bidi="ar-SA"/>
              </w:rPr>
              <w:t>法</w:t>
            </w:r>
            <w:r>
              <w:rPr>
                <w:rFonts w:ascii="楷体" w:eastAsia="楷体" w:cs="楷体"/>
                <w:kern w:val="2"/>
                <w:szCs w:val="21"/>
                <w:lang w:bidi="ar-SA"/>
              </w:rPr>
              <w:t>，</w:t>
            </w:r>
            <w:r>
              <w:rPr>
                <w:rFonts w:hint="eastAsia" w:ascii="楷体" w:eastAsia="楷体" w:cs="楷体"/>
                <w:kern w:val="2"/>
                <w:szCs w:val="21"/>
                <w:lang w:val="en-US" w:bidi="ar-SA"/>
              </w:rPr>
              <w:t>不具备曲式与作品分析的能力</w:t>
            </w:r>
            <w:r>
              <w:rPr>
                <w:rFonts w:ascii="楷体" w:eastAsia="楷体" w:cs="楷体"/>
                <w:kern w:val="2"/>
                <w:szCs w:val="21"/>
                <w:lang w:bidi="ar-SA"/>
              </w:rPr>
              <w:t>。</w:t>
            </w:r>
          </w:p>
        </w:tc>
      </w:tr>
      <w:tr w14:paraId="7FF49E92">
        <w:trPr>
          <w:trHeight w:val="353" w:hRule="atLeast"/>
          <w:jc w:val="center"/>
        </w:trPr>
        <w:tc>
          <w:tcPr>
            <w:tcW w:w="1675" w:type="dxa"/>
            <w:tcBorders>
              <w:top w:val="single" w:color="000000" w:sz="4" w:space="0"/>
              <w:left w:val="single" w:color="000000" w:sz="4" w:space="0"/>
              <w:bottom w:val="single" w:color="000000" w:sz="4" w:space="0"/>
              <w:right w:val="single" w:color="000000" w:sz="4" w:space="0"/>
            </w:tcBorders>
            <w:noWrap/>
            <w:vAlign w:val="top"/>
          </w:tcPr>
          <w:p w14:paraId="6252DFDE">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课程目标</w:t>
            </w:r>
            <w:r>
              <w:rPr>
                <w:rFonts w:ascii="楷体" w:eastAsia="楷体" w:cs="楷体"/>
                <w:bCs/>
                <w:kern w:val="2"/>
                <w:szCs w:val="21"/>
                <w:lang w:bidi="ar-SA"/>
              </w:rPr>
              <w:t>3</w:t>
            </w:r>
            <w:r>
              <w:rPr>
                <w:rFonts w:hint="eastAsia" w:ascii="楷体" w:eastAsia="楷体" w:cs="楷体"/>
                <w:bCs/>
                <w:kern w:val="2"/>
                <w:szCs w:val="21"/>
                <w:lang w:bidi="ar-SA"/>
              </w:rPr>
              <w:t>：了解学科发展动态，熟悉曲式分析课堂教学的基本规律与方法，具备书写</w:t>
            </w:r>
            <w:r>
              <w:rPr>
                <w:rFonts w:hint="eastAsia" w:ascii="楷体" w:eastAsia="楷体" w:cs="楷体"/>
                <w:bCs/>
                <w:kern w:val="2"/>
                <w:szCs w:val="21"/>
                <w:lang w:val="en-US" w:bidi="ar-SA"/>
              </w:rPr>
              <w:t>与</w:t>
            </w:r>
            <w:r>
              <w:rPr>
                <w:rFonts w:hint="eastAsia" w:ascii="楷体" w:eastAsia="楷体" w:cs="楷体"/>
                <w:bCs/>
                <w:kern w:val="2"/>
                <w:szCs w:val="21"/>
                <w:lang w:bidi="ar-SA"/>
              </w:rPr>
              <w:t>曲式分析</w:t>
            </w:r>
            <w:r>
              <w:rPr>
                <w:rFonts w:hint="eastAsia" w:ascii="楷体" w:eastAsia="楷体" w:cs="楷体"/>
                <w:bCs/>
                <w:kern w:val="2"/>
                <w:szCs w:val="21"/>
                <w:lang w:val="en-US" w:bidi="ar-SA"/>
              </w:rPr>
              <w:t>的</w:t>
            </w:r>
            <w:r>
              <w:rPr>
                <w:rFonts w:hint="eastAsia" w:ascii="楷体" w:eastAsia="楷体" w:cs="楷体"/>
                <w:bCs/>
                <w:kern w:val="2"/>
                <w:szCs w:val="21"/>
                <w:lang w:bidi="ar-SA"/>
              </w:rPr>
              <w:t>基本能力。（支撑毕业要求4.1）</w:t>
            </w:r>
          </w:p>
        </w:tc>
        <w:tc>
          <w:tcPr>
            <w:tcW w:w="1503" w:type="dxa"/>
            <w:tcBorders>
              <w:top w:val="single" w:color="000000" w:sz="4" w:space="0"/>
              <w:left w:val="single" w:color="000000" w:sz="4" w:space="0"/>
              <w:bottom w:val="single" w:color="000000" w:sz="4" w:space="0"/>
              <w:right w:val="single" w:color="000000" w:sz="4" w:space="0"/>
            </w:tcBorders>
            <w:noWrap/>
            <w:vAlign w:val="top"/>
          </w:tcPr>
          <w:p w14:paraId="7DAB51CC">
            <w:pPr>
              <w:pageBreakBefore w:val="0"/>
              <w:widowControl w:val="0"/>
              <w:kinsoku/>
              <w:overflowPunct/>
              <w:topLinePunct w:val="0"/>
              <w:bidi w:val="0"/>
              <w:spacing w:line="240" w:lineRule="auto"/>
              <w:rPr>
                <w:rFonts w:hint="eastAsia" w:ascii="楷体" w:eastAsia="楷体" w:cs="楷体"/>
                <w:kern w:val="2"/>
                <w:szCs w:val="21"/>
                <w:lang w:bidi="ar-SA"/>
              </w:rPr>
            </w:pPr>
            <w:r>
              <w:rPr>
                <w:rFonts w:hint="eastAsia" w:ascii="楷体" w:eastAsia="楷体" w:cs="楷体"/>
                <w:kern w:val="2"/>
                <w:szCs w:val="21"/>
                <w:lang w:bidi="ar-SA"/>
              </w:rPr>
              <w:t>能够了解学科发展动态，熟</w:t>
            </w:r>
            <w:r>
              <w:rPr>
                <w:rFonts w:hint="eastAsia" w:ascii="楷体" w:eastAsia="楷体" w:cs="楷体"/>
                <w:kern w:val="2"/>
                <w:szCs w:val="21"/>
                <w:lang w:val="en-US" w:bidi="ar-SA"/>
              </w:rPr>
              <w:t>练掌握</w:t>
            </w:r>
            <w:r>
              <w:rPr>
                <w:rFonts w:hint="eastAsia" w:ascii="楷体" w:eastAsia="楷体" w:cs="楷体"/>
                <w:kern w:val="2"/>
                <w:szCs w:val="21"/>
                <w:lang w:bidi="ar-SA"/>
              </w:rPr>
              <w:t>曲式分析课堂教学的基本规律与方法，具备书写</w:t>
            </w:r>
            <w:r>
              <w:rPr>
                <w:rFonts w:hint="eastAsia" w:ascii="楷体" w:eastAsia="楷体" w:cs="楷体"/>
                <w:kern w:val="2"/>
                <w:szCs w:val="21"/>
                <w:lang w:val="en-US" w:bidi="ar-SA"/>
              </w:rPr>
              <w:t>与</w:t>
            </w:r>
            <w:r>
              <w:rPr>
                <w:rFonts w:hint="eastAsia" w:ascii="楷体" w:eastAsia="楷体" w:cs="楷体"/>
                <w:kern w:val="2"/>
                <w:szCs w:val="21"/>
                <w:lang w:bidi="ar-SA"/>
              </w:rPr>
              <w:t>曲式分析格式</w:t>
            </w:r>
            <w:r>
              <w:rPr>
                <w:rFonts w:hint="eastAsia" w:ascii="楷体" w:eastAsia="楷体" w:cs="楷体"/>
                <w:kern w:val="2"/>
                <w:szCs w:val="21"/>
                <w:lang w:val="en-US" w:bidi="ar-SA"/>
              </w:rPr>
              <w:t>的较强</w:t>
            </w:r>
            <w:r>
              <w:rPr>
                <w:rFonts w:hint="eastAsia" w:ascii="楷体" w:eastAsia="楷体" w:cs="楷体"/>
                <w:kern w:val="2"/>
                <w:szCs w:val="21"/>
                <w:lang w:bidi="ar-SA"/>
              </w:rPr>
              <w:t>能力。</w:t>
            </w:r>
          </w:p>
          <w:p w14:paraId="04ED0EF9">
            <w:pPr>
              <w:pageBreakBefore w:val="0"/>
              <w:widowControl w:val="0"/>
              <w:kinsoku/>
              <w:overflowPunct/>
              <w:topLinePunct w:val="0"/>
              <w:bidi w:val="0"/>
              <w:spacing w:line="240" w:lineRule="auto"/>
              <w:rPr>
                <w:rFonts w:hint="eastAsia" w:ascii="楷体" w:eastAsia="楷体" w:cs="楷体"/>
                <w:bCs/>
                <w:kern w:val="2"/>
                <w:szCs w:val="21"/>
                <w:lang w:bidi="ar-SA"/>
              </w:rPr>
            </w:pPr>
          </w:p>
        </w:tc>
        <w:tc>
          <w:tcPr>
            <w:tcW w:w="1526" w:type="dxa"/>
            <w:tcBorders>
              <w:top w:val="single" w:color="000000" w:sz="4" w:space="0"/>
              <w:left w:val="single" w:color="000000" w:sz="4" w:space="0"/>
              <w:bottom w:val="single" w:color="000000" w:sz="4" w:space="0"/>
              <w:right w:val="single" w:color="000000" w:sz="4" w:space="0"/>
            </w:tcBorders>
            <w:noWrap/>
            <w:vAlign w:val="top"/>
          </w:tcPr>
          <w:p w14:paraId="3115A7D3">
            <w:pPr>
              <w:pageBreakBefore w:val="0"/>
              <w:widowControl w:val="0"/>
              <w:kinsoku/>
              <w:overflowPunct/>
              <w:topLinePunct w:val="0"/>
              <w:bidi w:val="0"/>
              <w:spacing w:line="240" w:lineRule="auto"/>
              <w:rPr>
                <w:rFonts w:hint="eastAsia" w:ascii="楷体" w:eastAsia="楷体" w:cs="楷体"/>
                <w:kern w:val="2"/>
                <w:szCs w:val="21"/>
                <w:lang w:bidi="ar-SA"/>
              </w:rPr>
            </w:pPr>
            <w:r>
              <w:rPr>
                <w:rFonts w:hint="eastAsia" w:ascii="楷体" w:eastAsia="楷体" w:cs="楷体"/>
                <w:kern w:val="2"/>
                <w:szCs w:val="21"/>
                <w:lang w:bidi="ar-SA"/>
              </w:rPr>
              <w:t>能够了解学科发展动态，</w:t>
            </w:r>
            <w:r>
              <w:rPr>
                <w:rFonts w:hint="eastAsia" w:ascii="楷体" w:eastAsia="楷体" w:cs="楷体"/>
                <w:kern w:val="2"/>
                <w:szCs w:val="21"/>
                <w:lang w:val="en-US" w:bidi="ar-SA"/>
              </w:rPr>
              <w:t>比较熟练掌握</w:t>
            </w:r>
            <w:r>
              <w:rPr>
                <w:rFonts w:hint="eastAsia" w:ascii="楷体" w:eastAsia="楷体" w:cs="楷体"/>
                <w:kern w:val="2"/>
                <w:szCs w:val="21"/>
                <w:lang w:bidi="ar-SA"/>
              </w:rPr>
              <w:t>曲式分析课堂教学的基本规律与方法，具备书写</w:t>
            </w:r>
            <w:r>
              <w:rPr>
                <w:rFonts w:hint="eastAsia" w:ascii="楷体" w:eastAsia="楷体" w:cs="楷体"/>
                <w:kern w:val="2"/>
                <w:szCs w:val="21"/>
                <w:lang w:val="en-US" w:bidi="ar-SA"/>
              </w:rPr>
              <w:t>与</w:t>
            </w:r>
            <w:r>
              <w:rPr>
                <w:rFonts w:hint="eastAsia" w:ascii="楷体" w:eastAsia="楷体" w:cs="楷体"/>
                <w:kern w:val="2"/>
                <w:szCs w:val="21"/>
                <w:lang w:bidi="ar-SA"/>
              </w:rPr>
              <w:t>曲式分析</w:t>
            </w:r>
            <w:r>
              <w:rPr>
                <w:rFonts w:hint="eastAsia" w:ascii="楷体" w:eastAsia="楷体" w:cs="楷体"/>
                <w:kern w:val="2"/>
                <w:szCs w:val="21"/>
                <w:lang w:val="en-US" w:bidi="ar-SA"/>
              </w:rPr>
              <w:t>的良好</w:t>
            </w:r>
            <w:r>
              <w:rPr>
                <w:rFonts w:hint="eastAsia" w:ascii="楷体" w:eastAsia="楷体" w:cs="楷体"/>
                <w:kern w:val="2"/>
                <w:szCs w:val="21"/>
                <w:lang w:bidi="ar-SA"/>
              </w:rPr>
              <w:t>能力。</w:t>
            </w:r>
          </w:p>
          <w:p w14:paraId="42A15780">
            <w:pPr>
              <w:pageBreakBefore w:val="0"/>
              <w:widowControl w:val="0"/>
              <w:kinsoku/>
              <w:overflowPunct/>
              <w:topLinePunct w:val="0"/>
              <w:bidi w:val="0"/>
              <w:spacing w:line="240" w:lineRule="auto"/>
              <w:rPr>
                <w:rFonts w:hint="eastAsia" w:ascii="楷体" w:eastAsia="楷体" w:cs="楷体"/>
                <w:bCs/>
                <w:kern w:val="2"/>
                <w:szCs w:val="21"/>
                <w:lang w:bidi="ar-SA"/>
              </w:rPr>
            </w:pPr>
          </w:p>
        </w:tc>
        <w:tc>
          <w:tcPr>
            <w:tcW w:w="1679" w:type="dxa"/>
            <w:tcBorders>
              <w:top w:val="single" w:color="000000" w:sz="4" w:space="0"/>
              <w:left w:val="single" w:color="000000" w:sz="4" w:space="0"/>
              <w:bottom w:val="single" w:color="000000" w:sz="4" w:space="0"/>
              <w:right w:val="single" w:color="000000" w:sz="4" w:space="0"/>
            </w:tcBorders>
            <w:noWrap/>
            <w:vAlign w:val="top"/>
          </w:tcPr>
          <w:p w14:paraId="421DB08F">
            <w:pPr>
              <w:pageBreakBefore w:val="0"/>
              <w:widowControl w:val="0"/>
              <w:kinsoku/>
              <w:overflowPunct/>
              <w:topLinePunct w:val="0"/>
              <w:bidi w:val="0"/>
              <w:spacing w:line="240" w:lineRule="auto"/>
              <w:rPr>
                <w:rFonts w:hint="eastAsia" w:ascii="楷体" w:eastAsia="楷体" w:cs="楷体"/>
                <w:kern w:val="2"/>
                <w:szCs w:val="21"/>
                <w:lang w:bidi="ar-SA"/>
              </w:rPr>
            </w:pPr>
            <w:r>
              <w:rPr>
                <w:rFonts w:hint="eastAsia" w:ascii="楷体" w:eastAsia="楷体" w:cs="楷体"/>
                <w:kern w:val="2"/>
                <w:szCs w:val="21"/>
                <w:lang w:bidi="ar-SA"/>
              </w:rPr>
              <w:t>初步了解学科发展动态，</w:t>
            </w:r>
            <w:r>
              <w:rPr>
                <w:rFonts w:hint="eastAsia" w:ascii="楷体" w:eastAsia="楷体" w:cs="楷体"/>
                <w:kern w:val="2"/>
                <w:szCs w:val="21"/>
                <w:lang w:val="en-US" w:bidi="ar-SA"/>
              </w:rPr>
              <w:t>基本掌握</w:t>
            </w:r>
            <w:r>
              <w:rPr>
                <w:rFonts w:hint="eastAsia" w:ascii="楷体" w:eastAsia="楷体" w:cs="楷体"/>
                <w:kern w:val="2"/>
                <w:szCs w:val="21"/>
                <w:lang w:bidi="ar-SA"/>
              </w:rPr>
              <w:t>曲式分析课堂教学的基本规律与方法，初步具备书写</w:t>
            </w:r>
            <w:r>
              <w:rPr>
                <w:rFonts w:hint="eastAsia" w:ascii="楷体" w:eastAsia="楷体" w:cs="楷体"/>
                <w:kern w:val="2"/>
                <w:szCs w:val="21"/>
                <w:lang w:val="en-US" w:bidi="ar-SA"/>
              </w:rPr>
              <w:t>与</w:t>
            </w:r>
            <w:r>
              <w:rPr>
                <w:rFonts w:hint="eastAsia" w:ascii="楷体" w:eastAsia="楷体" w:cs="楷体"/>
                <w:kern w:val="2"/>
                <w:szCs w:val="21"/>
                <w:lang w:bidi="ar-SA"/>
              </w:rPr>
              <w:t>曲式分析</w:t>
            </w:r>
            <w:r>
              <w:rPr>
                <w:rFonts w:hint="eastAsia" w:ascii="楷体" w:eastAsia="楷体" w:cs="楷体"/>
                <w:kern w:val="2"/>
                <w:szCs w:val="21"/>
                <w:lang w:val="en-US" w:bidi="ar-SA"/>
              </w:rPr>
              <w:t>的一般</w:t>
            </w:r>
            <w:r>
              <w:rPr>
                <w:rFonts w:hint="eastAsia" w:ascii="楷体" w:eastAsia="楷体" w:cs="楷体"/>
                <w:kern w:val="2"/>
                <w:szCs w:val="21"/>
                <w:lang w:bidi="ar-SA"/>
              </w:rPr>
              <w:t>能力。</w:t>
            </w:r>
          </w:p>
          <w:p w14:paraId="3E25E095">
            <w:pPr>
              <w:pageBreakBefore w:val="0"/>
              <w:widowControl w:val="0"/>
              <w:kinsoku/>
              <w:overflowPunct/>
              <w:topLinePunct w:val="0"/>
              <w:bidi w:val="0"/>
              <w:spacing w:line="240" w:lineRule="auto"/>
              <w:rPr>
                <w:rFonts w:hint="eastAsia" w:ascii="楷体" w:eastAsia="楷体" w:cs="楷体"/>
                <w:kern w:val="2"/>
                <w:szCs w:val="21"/>
                <w:lang w:bidi="ar-SA"/>
              </w:rPr>
            </w:pPr>
          </w:p>
        </w:tc>
        <w:tc>
          <w:tcPr>
            <w:tcW w:w="1414" w:type="dxa"/>
            <w:tcBorders>
              <w:top w:val="single" w:color="000000" w:sz="4" w:space="0"/>
              <w:left w:val="single" w:color="000000" w:sz="4" w:space="0"/>
              <w:bottom w:val="single" w:color="000000" w:sz="4" w:space="0"/>
              <w:right w:val="single" w:color="000000" w:sz="4" w:space="0"/>
            </w:tcBorders>
            <w:noWrap/>
            <w:vAlign w:val="top"/>
          </w:tcPr>
          <w:p w14:paraId="01B59864">
            <w:pPr>
              <w:pageBreakBefore w:val="0"/>
              <w:widowControl w:val="0"/>
              <w:kinsoku/>
              <w:overflowPunct/>
              <w:topLinePunct w:val="0"/>
              <w:bidi w:val="0"/>
              <w:spacing w:line="240" w:lineRule="auto"/>
              <w:rPr>
                <w:rFonts w:hint="eastAsia" w:ascii="楷体" w:eastAsia="楷体" w:cs="楷体"/>
                <w:kern w:val="2"/>
                <w:szCs w:val="21"/>
                <w:lang w:bidi="ar-SA"/>
              </w:rPr>
            </w:pPr>
            <w:r>
              <w:rPr>
                <w:rFonts w:hint="eastAsia" w:ascii="楷体" w:eastAsia="楷体" w:cs="楷体"/>
                <w:kern w:val="2"/>
                <w:szCs w:val="21"/>
                <w:lang w:bidi="ar-SA"/>
              </w:rPr>
              <w:t>初步了解学科发展动态，</w:t>
            </w:r>
            <w:r>
              <w:rPr>
                <w:rFonts w:hint="eastAsia" w:ascii="楷体" w:eastAsia="楷体" w:cs="楷体"/>
                <w:kern w:val="2"/>
                <w:szCs w:val="21"/>
                <w:lang w:val="en-US" w:bidi="ar-SA"/>
              </w:rPr>
              <w:t>基本掌握</w:t>
            </w:r>
            <w:r>
              <w:rPr>
                <w:rFonts w:hint="eastAsia" w:ascii="楷体" w:eastAsia="楷体" w:cs="楷体"/>
                <w:kern w:val="2"/>
                <w:szCs w:val="21"/>
                <w:lang w:bidi="ar-SA"/>
              </w:rPr>
              <w:t>曲式分析课堂教学的基本规律与方法，初步具备书写</w:t>
            </w:r>
            <w:r>
              <w:rPr>
                <w:rFonts w:hint="eastAsia" w:ascii="楷体" w:eastAsia="楷体" w:cs="楷体"/>
                <w:kern w:val="2"/>
                <w:szCs w:val="21"/>
                <w:lang w:val="en-US" w:bidi="ar-SA"/>
              </w:rPr>
              <w:t>与</w:t>
            </w:r>
            <w:r>
              <w:rPr>
                <w:rFonts w:hint="eastAsia" w:ascii="楷体" w:eastAsia="楷体" w:cs="楷体"/>
                <w:kern w:val="2"/>
                <w:szCs w:val="21"/>
                <w:lang w:bidi="ar-SA"/>
              </w:rPr>
              <w:t>曲式分析</w:t>
            </w:r>
            <w:r>
              <w:rPr>
                <w:rFonts w:hint="eastAsia" w:ascii="楷体" w:eastAsia="楷体" w:cs="楷体"/>
                <w:kern w:val="2"/>
                <w:szCs w:val="21"/>
                <w:lang w:val="en-US" w:bidi="ar-SA"/>
              </w:rPr>
              <w:t>的</w:t>
            </w:r>
            <w:r>
              <w:rPr>
                <w:rFonts w:hint="eastAsia" w:ascii="楷体" w:eastAsia="楷体" w:cs="楷体"/>
                <w:kern w:val="2"/>
                <w:szCs w:val="21"/>
                <w:lang w:bidi="ar-SA"/>
              </w:rPr>
              <w:t>基本能力。</w:t>
            </w:r>
          </w:p>
        </w:tc>
        <w:tc>
          <w:tcPr>
            <w:tcW w:w="1414" w:type="dxa"/>
            <w:tcBorders>
              <w:top w:val="single" w:color="000000" w:sz="4" w:space="0"/>
              <w:left w:val="single" w:color="000000" w:sz="4" w:space="0"/>
              <w:bottom w:val="single" w:color="000000" w:sz="4" w:space="0"/>
              <w:right w:val="single" w:color="000000" w:sz="4" w:space="0"/>
            </w:tcBorders>
            <w:noWrap/>
            <w:vAlign w:val="top"/>
          </w:tcPr>
          <w:p w14:paraId="683CEDDE">
            <w:pPr>
              <w:pageBreakBefore w:val="0"/>
              <w:widowControl w:val="0"/>
              <w:kinsoku/>
              <w:overflowPunct/>
              <w:topLinePunct w:val="0"/>
              <w:bidi w:val="0"/>
              <w:spacing w:line="240" w:lineRule="auto"/>
              <w:rPr>
                <w:rFonts w:hint="eastAsia" w:ascii="楷体" w:eastAsia="楷体" w:cs="楷体"/>
                <w:kern w:val="2"/>
                <w:szCs w:val="21"/>
                <w:lang w:bidi="ar-SA"/>
              </w:rPr>
            </w:pPr>
            <w:r>
              <w:rPr>
                <w:rFonts w:hint="eastAsia" w:ascii="楷体" w:eastAsia="楷体" w:cs="楷体"/>
                <w:kern w:val="2"/>
                <w:szCs w:val="21"/>
                <w:lang w:bidi="ar-SA"/>
              </w:rPr>
              <w:t>未能了解学科发展动态，</w:t>
            </w:r>
            <w:r>
              <w:rPr>
                <w:rFonts w:hint="eastAsia" w:ascii="楷体" w:eastAsia="楷体" w:cs="楷体"/>
                <w:kern w:val="2"/>
                <w:szCs w:val="21"/>
                <w:lang w:val="en-US" w:bidi="ar-SA"/>
              </w:rPr>
              <w:t>不能掌握</w:t>
            </w:r>
            <w:r>
              <w:rPr>
                <w:rFonts w:hint="eastAsia" w:ascii="楷体" w:eastAsia="楷体" w:cs="楷体"/>
                <w:kern w:val="2"/>
                <w:szCs w:val="21"/>
                <w:lang w:bidi="ar-SA"/>
              </w:rPr>
              <w:t>曲式分析课堂教学的基本规律与方法，</w:t>
            </w:r>
            <w:r>
              <w:rPr>
                <w:rFonts w:hint="eastAsia" w:ascii="楷体" w:eastAsia="楷体" w:cs="楷体"/>
                <w:kern w:val="2"/>
                <w:szCs w:val="21"/>
                <w:lang w:val="en-US" w:bidi="ar-SA"/>
              </w:rPr>
              <w:t>不</w:t>
            </w:r>
            <w:r>
              <w:rPr>
                <w:rFonts w:hint="eastAsia" w:ascii="楷体" w:eastAsia="楷体" w:cs="楷体"/>
                <w:kern w:val="2"/>
                <w:szCs w:val="21"/>
                <w:lang w:bidi="ar-SA"/>
              </w:rPr>
              <w:t>具备书写</w:t>
            </w:r>
            <w:r>
              <w:rPr>
                <w:rFonts w:hint="eastAsia" w:ascii="楷体" w:eastAsia="楷体" w:cs="楷体"/>
                <w:kern w:val="2"/>
                <w:szCs w:val="21"/>
                <w:lang w:val="en-US" w:bidi="ar-SA"/>
              </w:rPr>
              <w:t>与</w:t>
            </w:r>
            <w:r>
              <w:rPr>
                <w:rFonts w:hint="eastAsia" w:ascii="楷体" w:eastAsia="楷体" w:cs="楷体"/>
                <w:kern w:val="2"/>
                <w:szCs w:val="21"/>
                <w:lang w:bidi="ar-SA"/>
              </w:rPr>
              <w:t>曲式分析</w:t>
            </w:r>
            <w:r>
              <w:rPr>
                <w:rFonts w:hint="eastAsia" w:ascii="楷体" w:eastAsia="楷体" w:cs="楷体"/>
                <w:kern w:val="2"/>
                <w:szCs w:val="21"/>
                <w:lang w:val="en-US" w:bidi="ar-SA"/>
              </w:rPr>
              <w:t>的</w:t>
            </w:r>
            <w:r>
              <w:rPr>
                <w:rFonts w:hint="eastAsia" w:ascii="楷体" w:eastAsia="楷体" w:cs="楷体"/>
                <w:kern w:val="2"/>
                <w:szCs w:val="21"/>
                <w:lang w:bidi="ar-SA"/>
              </w:rPr>
              <w:t>能力。</w:t>
            </w:r>
          </w:p>
        </w:tc>
      </w:tr>
      <w:tr w14:paraId="6E8A80E3">
        <w:trPr>
          <w:trHeight w:val="624" w:hRule="atLeast"/>
          <w:jc w:val="center"/>
        </w:trPr>
        <w:tc>
          <w:tcPr>
            <w:tcW w:w="1675" w:type="dxa"/>
            <w:tcBorders>
              <w:top w:val="single" w:color="000000" w:sz="4" w:space="0"/>
              <w:left w:val="single" w:color="000000" w:sz="4" w:space="0"/>
              <w:bottom w:val="single" w:color="000000" w:sz="4" w:space="0"/>
              <w:right w:val="single" w:color="000000" w:sz="4" w:space="0"/>
            </w:tcBorders>
            <w:noWrap/>
            <w:vAlign w:val="top"/>
          </w:tcPr>
          <w:p w14:paraId="2A397561">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课程目标</w:t>
            </w:r>
            <w:r>
              <w:rPr>
                <w:rFonts w:ascii="楷体" w:eastAsia="楷体" w:cs="楷体"/>
                <w:bCs/>
                <w:kern w:val="2"/>
                <w:szCs w:val="21"/>
                <w:lang w:bidi="ar-SA"/>
              </w:rPr>
              <w:t>4</w:t>
            </w:r>
            <w:r>
              <w:rPr>
                <w:rFonts w:hint="eastAsia" w:ascii="楷体" w:eastAsia="楷体" w:cs="楷体"/>
                <w:bCs/>
                <w:kern w:val="2"/>
                <w:szCs w:val="21"/>
                <w:lang w:bidi="ar-SA"/>
              </w:rPr>
              <w:t>：掌握教育教学反思的基本方法和策略，</w:t>
            </w:r>
            <w:r>
              <w:rPr>
                <w:rFonts w:hint="eastAsia" w:ascii="楷体" w:eastAsia="楷体" w:cs="楷体"/>
                <w:bCs/>
                <w:kern w:val="2"/>
                <w:szCs w:val="21"/>
                <w:lang w:val="en-US" w:bidi="ar-SA"/>
              </w:rPr>
              <w:t>能够在理论学习和曲式分析中进行反思</w:t>
            </w:r>
            <w:r>
              <w:rPr>
                <w:rFonts w:ascii="楷体" w:eastAsia="楷体" w:cs="楷体"/>
                <w:bCs/>
                <w:kern w:val="2"/>
                <w:szCs w:val="21"/>
                <w:lang w:bidi="ar-SA"/>
              </w:rPr>
              <w:t>。</w:t>
            </w:r>
            <w:r>
              <w:rPr>
                <w:rFonts w:hint="eastAsia" w:ascii="楷体" w:eastAsia="楷体" w:cs="楷体"/>
                <w:bCs/>
                <w:kern w:val="2"/>
                <w:szCs w:val="21"/>
                <w:lang w:bidi="ar-SA"/>
              </w:rPr>
              <w:t>（支撑毕业要求7.1）</w:t>
            </w:r>
          </w:p>
        </w:tc>
        <w:tc>
          <w:tcPr>
            <w:tcW w:w="1503" w:type="dxa"/>
            <w:tcBorders>
              <w:top w:val="single" w:color="000000" w:sz="4" w:space="0"/>
              <w:left w:val="single" w:color="000000" w:sz="4" w:space="0"/>
              <w:bottom w:val="single" w:color="000000" w:sz="4" w:space="0"/>
              <w:right w:val="single" w:color="000000" w:sz="4" w:space="0"/>
            </w:tcBorders>
            <w:noWrap/>
            <w:vAlign w:val="top"/>
          </w:tcPr>
          <w:p w14:paraId="2464D545">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val="en-US" w:bidi="ar-SA"/>
              </w:rPr>
              <w:t>扎实</w:t>
            </w:r>
            <w:r>
              <w:rPr>
                <w:rFonts w:hint="eastAsia" w:ascii="楷体" w:eastAsia="楷体" w:cs="楷体"/>
                <w:bCs/>
                <w:kern w:val="2"/>
                <w:szCs w:val="21"/>
                <w:lang w:bidi="ar-SA"/>
              </w:rPr>
              <w:t>掌握教育教学反思的基本方法和策略，</w:t>
            </w:r>
            <w:r>
              <w:rPr>
                <w:rFonts w:hint="eastAsia" w:ascii="楷体" w:eastAsia="楷体" w:cs="楷体"/>
                <w:bCs/>
                <w:kern w:val="2"/>
                <w:szCs w:val="21"/>
                <w:lang w:val="en-US" w:bidi="ar-SA"/>
              </w:rPr>
              <w:t>具备在理论学习和曲式分析中进行反思的较强能力</w:t>
            </w:r>
            <w:r>
              <w:rPr>
                <w:rFonts w:ascii="楷体" w:eastAsia="楷体" w:cs="楷体"/>
                <w:bCs/>
                <w:kern w:val="2"/>
                <w:szCs w:val="21"/>
                <w:lang w:bidi="ar-SA"/>
              </w:rPr>
              <w:t>。</w:t>
            </w:r>
          </w:p>
        </w:tc>
        <w:tc>
          <w:tcPr>
            <w:tcW w:w="1526" w:type="dxa"/>
            <w:tcBorders>
              <w:top w:val="single" w:color="000000" w:sz="4" w:space="0"/>
              <w:left w:val="single" w:color="000000" w:sz="4" w:space="0"/>
              <w:bottom w:val="single" w:color="000000" w:sz="4" w:space="0"/>
              <w:right w:val="single" w:color="000000" w:sz="4" w:space="0"/>
            </w:tcBorders>
            <w:noWrap/>
            <w:vAlign w:val="top"/>
          </w:tcPr>
          <w:p w14:paraId="0DEFB7DA">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val="en-US" w:bidi="ar-SA"/>
              </w:rPr>
              <w:t>比较扎实</w:t>
            </w:r>
            <w:r>
              <w:rPr>
                <w:rFonts w:hint="eastAsia" w:ascii="楷体" w:eastAsia="楷体" w:cs="楷体"/>
                <w:bCs/>
                <w:kern w:val="2"/>
                <w:szCs w:val="21"/>
                <w:lang w:bidi="ar-SA"/>
              </w:rPr>
              <w:t>掌握教育教学反思的基本方法和策略，</w:t>
            </w:r>
            <w:r>
              <w:rPr>
                <w:rFonts w:hint="eastAsia" w:ascii="楷体" w:eastAsia="楷体" w:cs="楷体"/>
                <w:bCs/>
                <w:kern w:val="2"/>
                <w:szCs w:val="21"/>
                <w:lang w:val="en-US" w:bidi="ar-SA"/>
              </w:rPr>
              <w:t>具备在理论学习和曲式分析中进行反思的良好能力</w:t>
            </w:r>
            <w:r>
              <w:rPr>
                <w:rFonts w:ascii="楷体" w:eastAsia="楷体" w:cs="楷体"/>
                <w:bCs/>
                <w:kern w:val="2"/>
                <w:szCs w:val="21"/>
                <w:lang w:bidi="ar-SA"/>
              </w:rPr>
              <w:t>。</w:t>
            </w:r>
          </w:p>
        </w:tc>
        <w:tc>
          <w:tcPr>
            <w:tcW w:w="1679" w:type="dxa"/>
            <w:tcBorders>
              <w:top w:val="single" w:color="000000" w:sz="4" w:space="0"/>
              <w:left w:val="single" w:color="000000" w:sz="4" w:space="0"/>
              <w:bottom w:val="single" w:color="000000" w:sz="4" w:space="0"/>
              <w:right w:val="single" w:color="000000" w:sz="4" w:space="0"/>
            </w:tcBorders>
            <w:noWrap/>
            <w:vAlign w:val="top"/>
          </w:tcPr>
          <w:p w14:paraId="6DB51AF7">
            <w:pPr>
              <w:pageBreakBefore w:val="0"/>
              <w:widowControl w:val="0"/>
              <w:kinsoku/>
              <w:overflowPunct/>
              <w:topLinePunct w:val="0"/>
              <w:bidi w:val="0"/>
              <w:spacing w:line="240" w:lineRule="auto"/>
              <w:rPr>
                <w:rFonts w:hint="eastAsia" w:ascii="楷体" w:eastAsia="楷体" w:cs="楷体"/>
                <w:kern w:val="2"/>
                <w:szCs w:val="21"/>
                <w:lang w:bidi="ar-SA"/>
              </w:rPr>
            </w:pPr>
            <w:r>
              <w:rPr>
                <w:rFonts w:hint="eastAsia" w:ascii="楷体" w:eastAsia="楷体" w:cs="楷体"/>
                <w:bCs/>
                <w:kern w:val="2"/>
                <w:szCs w:val="21"/>
                <w:lang w:bidi="ar-SA"/>
              </w:rPr>
              <w:t>掌握教育教学反思的基本方法和策略，</w:t>
            </w:r>
            <w:r>
              <w:rPr>
                <w:rFonts w:hint="eastAsia" w:ascii="楷体" w:eastAsia="楷体" w:cs="楷体"/>
                <w:bCs/>
                <w:kern w:val="2"/>
                <w:szCs w:val="21"/>
                <w:lang w:val="en-US" w:bidi="ar-SA"/>
              </w:rPr>
              <w:t>具备在理论学习和曲式分析中进行反思的一般能力</w:t>
            </w:r>
            <w:r>
              <w:rPr>
                <w:rFonts w:ascii="楷体" w:eastAsia="楷体" w:cs="楷体"/>
                <w:bCs/>
                <w:kern w:val="2"/>
                <w:szCs w:val="21"/>
                <w:lang w:bidi="ar-SA"/>
              </w:rPr>
              <w:t>。</w:t>
            </w:r>
          </w:p>
        </w:tc>
        <w:tc>
          <w:tcPr>
            <w:tcW w:w="1414" w:type="dxa"/>
            <w:tcBorders>
              <w:top w:val="single" w:color="000000" w:sz="4" w:space="0"/>
              <w:left w:val="single" w:color="000000" w:sz="4" w:space="0"/>
              <w:bottom w:val="single" w:color="000000" w:sz="4" w:space="0"/>
              <w:right w:val="single" w:color="000000" w:sz="4" w:space="0"/>
            </w:tcBorders>
            <w:noWrap/>
            <w:vAlign w:val="top"/>
          </w:tcPr>
          <w:p w14:paraId="45B673C6">
            <w:pPr>
              <w:pageBreakBefore w:val="0"/>
              <w:widowControl w:val="0"/>
              <w:kinsoku/>
              <w:overflowPunct/>
              <w:topLinePunct w:val="0"/>
              <w:bidi w:val="0"/>
              <w:spacing w:line="240" w:lineRule="auto"/>
              <w:rPr>
                <w:rFonts w:hint="eastAsia" w:ascii="楷体" w:eastAsia="楷体" w:cs="楷体"/>
                <w:kern w:val="2"/>
                <w:szCs w:val="21"/>
                <w:lang w:bidi="ar-SA"/>
              </w:rPr>
            </w:pPr>
            <w:r>
              <w:rPr>
                <w:rFonts w:hint="eastAsia" w:ascii="楷体" w:eastAsia="楷体" w:cs="楷体"/>
                <w:bCs/>
                <w:kern w:val="2"/>
                <w:szCs w:val="21"/>
                <w:lang w:val="en-US" w:bidi="ar-SA"/>
              </w:rPr>
              <w:t>基本</w:t>
            </w:r>
            <w:r>
              <w:rPr>
                <w:rFonts w:hint="eastAsia" w:ascii="楷体" w:eastAsia="楷体" w:cs="楷体"/>
                <w:bCs/>
                <w:kern w:val="2"/>
                <w:szCs w:val="21"/>
                <w:lang w:bidi="ar-SA"/>
              </w:rPr>
              <w:t>掌握教育教学反思的基本方法和策略，</w:t>
            </w:r>
            <w:r>
              <w:rPr>
                <w:rFonts w:hint="eastAsia" w:ascii="楷体" w:eastAsia="楷体" w:cs="楷体"/>
                <w:bCs/>
                <w:kern w:val="2"/>
                <w:szCs w:val="21"/>
                <w:lang w:val="en-US" w:bidi="ar-SA"/>
              </w:rPr>
              <w:t>具备在理论学习和曲式分析中进行反思的基本能力</w:t>
            </w:r>
            <w:r>
              <w:rPr>
                <w:rFonts w:ascii="楷体" w:eastAsia="楷体" w:cs="楷体"/>
                <w:bCs/>
                <w:kern w:val="2"/>
                <w:szCs w:val="21"/>
                <w:lang w:bidi="ar-SA"/>
              </w:rPr>
              <w:t>。</w:t>
            </w:r>
          </w:p>
        </w:tc>
        <w:tc>
          <w:tcPr>
            <w:tcW w:w="1414" w:type="dxa"/>
            <w:tcBorders>
              <w:top w:val="single" w:color="000000" w:sz="4" w:space="0"/>
              <w:left w:val="single" w:color="000000" w:sz="4" w:space="0"/>
              <w:bottom w:val="single" w:color="000000" w:sz="4" w:space="0"/>
              <w:right w:val="single" w:color="000000" w:sz="4" w:space="0"/>
            </w:tcBorders>
            <w:noWrap/>
            <w:vAlign w:val="top"/>
          </w:tcPr>
          <w:p w14:paraId="32683E05">
            <w:pPr>
              <w:pageBreakBefore w:val="0"/>
              <w:widowControl w:val="0"/>
              <w:kinsoku/>
              <w:overflowPunct/>
              <w:topLinePunct w:val="0"/>
              <w:bidi w:val="0"/>
              <w:spacing w:line="240" w:lineRule="auto"/>
              <w:rPr>
                <w:rFonts w:hint="eastAsia" w:ascii="楷体" w:eastAsia="楷体" w:cs="楷体"/>
                <w:kern w:val="2"/>
                <w:szCs w:val="21"/>
                <w:lang w:bidi="ar-SA"/>
              </w:rPr>
            </w:pPr>
            <w:r>
              <w:rPr>
                <w:rFonts w:hint="eastAsia" w:ascii="楷体" w:eastAsia="楷体" w:cs="楷体"/>
                <w:bCs/>
                <w:kern w:val="2"/>
                <w:szCs w:val="21"/>
                <w:lang w:val="en-US" w:bidi="ar-SA"/>
              </w:rPr>
              <w:t>不能</w:t>
            </w:r>
            <w:r>
              <w:rPr>
                <w:rFonts w:hint="eastAsia" w:ascii="楷体" w:eastAsia="楷体" w:cs="楷体"/>
                <w:bCs/>
                <w:kern w:val="2"/>
                <w:szCs w:val="21"/>
                <w:lang w:bidi="ar-SA"/>
              </w:rPr>
              <w:t>掌握教育教学反思的基本方法和策略，</w:t>
            </w:r>
            <w:r>
              <w:rPr>
                <w:rFonts w:hint="eastAsia" w:ascii="楷体" w:eastAsia="楷体" w:cs="楷体"/>
                <w:bCs/>
                <w:kern w:val="2"/>
                <w:szCs w:val="21"/>
                <w:lang w:val="en-US" w:bidi="ar-SA"/>
              </w:rPr>
              <w:t>不具备在理论学习和曲式分析中进行反思的能力</w:t>
            </w:r>
            <w:r>
              <w:rPr>
                <w:rFonts w:ascii="楷体" w:eastAsia="楷体" w:cs="楷体"/>
                <w:bCs/>
                <w:kern w:val="2"/>
                <w:szCs w:val="21"/>
                <w:lang w:bidi="ar-SA"/>
              </w:rPr>
              <w:t>。</w:t>
            </w:r>
          </w:p>
        </w:tc>
      </w:tr>
      <w:tr w14:paraId="2FBD37CD">
        <w:trPr>
          <w:trHeight w:val="2744" w:hRule="atLeast"/>
          <w:jc w:val="center"/>
        </w:trPr>
        <w:tc>
          <w:tcPr>
            <w:tcW w:w="1675" w:type="dxa"/>
            <w:tcBorders>
              <w:top w:val="single" w:color="000000" w:sz="4" w:space="0"/>
              <w:left w:val="single" w:color="000000" w:sz="4" w:space="0"/>
              <w:bottom w:val="single" w:color="000000" w:sz="4" w:space="0"/>
              <w:right w:val="single" w:color="000000" w:sz="4" w:space="0"/>
            </w:tcBorders>
            <w:noWrap/>
            <w:vAlign w:val="top"/>
          </w:tcPr>
          <w:p w14:paraId="229B3117">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课程目标5：</w:t>
            </w:r>
            <w:r>
              <w:rPr>
                <w:rFonts w:hint="eastAsia" w:ascii="楷体" w:eastAsia="楷体" w:cs="楷体"/>
                <w:bCs/>
                <w:kern w:val="2"/>
                <w:szCs w:val="21"/>
                <w:lang w:val="en-US" w:bidi="ar-SA"/>
              </w:rPr>
              <w:t>领会学习共同体的作用</w:t>
            </w:r>
            <w:r>
              <w:rPr>
                <w:rFonts w:ascii="楷体" w:eastAsia="楷体" w:cs="楷体"/>
                <w:bCs/>
                <w:kern w:val="2"/>
                <w:szCs w:val="21"/>
                <w:lang w:bidi="ar-SA"/>
              </w:rPr>
              <w:t>，</w:t>
            </w:r>
            <w:r>
              <w:rPr>
                <w:rFonts w:hint="eastAsia" w:ascii="楷体" w:eastAsia="楷体" w:cs="楷体"/>
                <w:bCs/>
                <w:kern w:val="2"/>
                <w:szCs w:val="21"/>
                <w:lang w:val="en-US" w:bidi="ar-SA"/>
              </w:rPr>
              <w:t>能够进行小组互助学习</w:t>
            </w:r>
            <w:r>
              <w:rPr>
                <w:rFonts w:ascii="楷体" w:eastAsia="楷体" w:cs="楷体"/>
                <w:bCs/>
                <w:kern w:val="2"/>
                <w:szCs w:val="21"/>
                <w:lang w:bidi="ar-SA"/>
              </w:rPr>
              <w:t>，</w:t>
            </w:r>
            <w:r>
              <w:rPr>
                <w:rFonts w:hint="eastAsia" w:ascii="楷体" w:eastAsia="楷体" w:cs="楷体"/>
                <w:bCs/>
                <w:kern w:val="2"/>
                <w:szCs w:val="21"/>
                <w:lang w:val="en-US" w:bidi="ar-SA"/>
              </w:rPr>
              <w:t>掌握沟通的方法并运用到该课程的学习中</w:t>
            </w:r>
            <w:r>
              <w:rPr>
                <w:rFonts w:hint="eastAsia" w:ascii="楷体" w:eastAsia="楷体" w:cs="楷体"/>
                <w:bCs/>
                <w:kern w:val="2"/>
                <w:szCs w:val="21"/>
                <w:lang w:bidi="ar-SA"/>
              </w:rPr>
              <w:t>。（支撑毕业要求8.1）</w:t>
            </w:r>
          </w:p>
        </w:tc>
        <w:tc>
          <w:tcPr>
            <w:tcW w:w="1503" w:type="dxa"/>
            <w:tcBorders>
              <w:top w:val="single" w:color="000000" w:sz="4" w:space="0"/>
              <w:left w:val="single" w:color="000000" w:sz="4" w:space="0"/>
              <w:bottom w:val="single" w:color="000000" w:sz="4" w:space="0"/>
              <w:right w:val="single" w:color="000000" w:sz="4" w:space="0"/>
            </w:tcBorders>
            <w:noWrap/>
            <w:vAlign w:val="top"/>
          </w:tcPr>
          <w:p w14:paraId="4199E278">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val="en-US" w:bidi="ar-SA"/>
              </w:rPr>
              <w:t>充分领会学习共同体的作用</w:t>
            </w:r>
            <w:r>
              <w:rPr>
                <w:rFonts w:ascii="楷体" w:eastAsia="楷体" w:cs="楷体"/>
                <w:bCs/>
                <w:kern w:val="2"/>
                <w:szCs w:val="21"/>
                <w:lang w:bidi="ar-SA"/>
              </w:rPr>
              <w:t>，</w:t>
            </w:r>
            <w:r>
              <w:rPr>
                <w:rFonts w:hint="eastAsia" w:ascii="楷体" w:eastAsia="楷体" w:cs="楷体"/>
                <w:bCs/>
                <w:kern w:val="2"/>
                <w:szCs w:val="21"/>
                <w:lang w:val="en-US" w:bidi="ar-SA"/>
              </w:rPr>
              <w:t>能够进行小组互助学习</w:t>
            </w:r>
            <w:r>
              <w:rPr>
                <w:rFonts w:ascii="楷体" w:eastAsia="楷体" w:cs="楷体"/>
                <w:bCs/>
                <w:kern w:val="2"/>
                <w:szCs w:val="21"/>
                <w:lang w:bidi="ar-SA"/>
              </w:rPr>
              <w:t>，</w:t>
            </w:r>
            <w:r>
              <w:rPr>
                <w:rFonts w:hint="eastAsia" w:ascii="楷体" w:eastAsia="楷体" w:cs="楷体"/>
                <w:bCs/>
                <w:kern w:val="2"/>
                <w:szCs w:val="21"/>
                <w:lang w:val="en-US" w:bidi="ar-SA"/>
              </w:rPr>
              <w:t>熟练掌握沟通的方法并运用到该课程的学习中</w:t>
            </w:r>
            <w:r>
              <w:rPr>
                <w:rFonts w:hint="eastAsia" w:ascii="楷体" w:eastAsia="楷体" w:cs="楷体"/>
                <w:bCs/>
                <w:kern w:val="2"/>
                <w:szCs w:val="21"/>
                <w:lang w:bidi="ar-SA"/>
              </w:rPr>
              <w:t>。</w:t>
            </w:r>
          </w:p>
        </w:tc>
        <w:tc>
          <w:tcPr>
            <w:tcW w:w="1526" w:type="dxa"/>
            <w:tcBorders>
              <w:top w:val="single" w:color="000000" w:sz="4" w:space="0"/>
              <w:left w:val="single" w:color="000000" w:sz="4" w:space="0"/>
              <w:bottom w:val="single" w:color="000000" w:sz="4" w:space="0"/>
              <w:right w:val="single" w:color="000000" w:sz="4" w:space="0"/>
            </w:tcBorders>
            <w:noWrap/>
            <w:vAlign w:val="top"/>
          </w:tcPr>
          <w:p w14:paraId="260FDF23">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val="en-US" w:bidi="ar-SA"/>
              </w:rPr>
              <w:t>较好领会学习共同体的作用</w:t>
            </w:r>
            <w:r>
              <w:rPr>
                <w:rFonts w:ascii="楷体" w:eastAsia="楷体" w:cs="楷体"/>
                <w:bCs/>
                <w:kern w:val="2"/>
                <w:szCs w:val="21"/>
                <w:lang w:bidi="ar-SA"/>
              </w:rPr>
              <w:t>，</w:t>
            </w:r>
            <w:r>
              <w:rPr>
                <w:rFonts w:hint="eastAsia" w:ascii="楷体" w:eastAsia="楷体" w:cs="楷体"/>
                <w:bCs/>
                <w:kern w:val="2"/>
                <w:szCs w:val="21"/>
                <w:lang w:val="en-US" w:bidi="ar-SA"/>
              </w:rPr>
              <w:t>能够进行小组互助学习</w:t>
            </w:r>
            <w:r>
              <w:rPr>
                <w:rFonts w:ascii="楷体" w:eastAsia="楷体" w:cs="楷体"/>
                <w:bCs/>
                <w:kern w:val="2"/>
                <w:szCs w:val="21"/>
                <w:lang w:bidi="ar-SA"/>
              </w:rPr>
              <w:t>，</w:t>
            </w:r>
            <w:r>
              <w:rPr>
                <w:rFonts w:hint="eastAsia" w:ascii="楷体" w:eastAsia="楷体" w:cs="楷体"/>
                <w:bCs/>
                <w:kern w:val="2"/>
                <w:szCs w:val="21"/>
                <w:lang w:val="en-US" w:bidi="ar-SA"/>
              </w:rPr>
              <w:t>较好掌握沟通的方法并运用到该课程的学习中</w:t>
            </w:r>
            <w:r>
              <w:rPr>
                <w:rFonts w:hint="eastAsia" w:ascii="楷体" w:eastAsia="楷体" w:cs="楷体"/>
                <w:bCs/>
                <w:kern w:val="2"/>
                <w:szCs w:val="21"/>
                <w:lang w:bidi="ar-SA"/>
              </w:rPr>
              <w:t>。</w:t>
            </w:r>
          </w:p>
        </w:tc>
        <w:tc>
          <w:tcPr>
            <w:tcW w:w="1679" w:type="dxa"/>
            <w:tcBorders>
              <w:top w:val="single" w:color="000000" w:sz="4" w:space="0"/>
              <w:left w:val="single" w:color="000000" w:sz="4" w:space="0"/>
              <w:bottom w:val="single" w:color="000000" w:sz="4" w:space="0"/>
              <w:right w:val="single" w:color="000000" w:sz="4" w:space="0"/>
            </w:tcBorders>
            <w:noWrap/>
            <w:vAlign w:val="top"/>
          </w:tcPr>
          <w:p w14:paraId="1F370BE2">
            <w:pPr>
              <w:pageBreakBefore w:val="0"/>
              <w:widowControl w:val="0"/>
              <w:kinsoku/>
              <w:overflowPunct/>
              <w:topLinePunct w:val="0"/>
              <w:bidi w:val="0"/>
              <w:spacing w:line="240" w:lineRule="auto"/>
              <w:rPr>
                <w:rFonts w:hint="eastAsia" w:ascii="楷体" w:eastAsia="楷体" w:cs="楷体"/>
                <w:kern w:val="2"/>
                <w:szCs w:val="21"/>
                <w:lang w:bidi="ar-SA"/>
              </w:rPr>
            </w:pPr>
            <w:r>
              <w:rPr>
                <w:rFonts w:hint="eastAsia" w:ascii="楷体" w:eastAsia="楷体" w:cs="楷体"/>
                <w:bCs/>
                <w:kern w:val="2"/>
                <w:szCs w:val="21"/>
                <w:lang w:val="en-US" w:bidi="ar-SA"/>
              </w:rPr>
              <w:t>领会学习共同体的作用</w:t>
            </w:r>
            <w:r>
              <w:rPr>
                <w:rFonts w:ascii="楷体" w:eastAsia="楷体" w:cs="楷体"/>
                <w:bCs/>
                <w:kern w:val="2"/>
                <w:szCs w:val="21"/>
                <w:lang w:bidi="ar-SA"/>
              </w:rPr>
              <w:t>，</w:t>
            </w:r>
            <w:r>
              <w:rPr>
                <w:rFonts w:hint="eastAsia" w:ascii="楷体" w:eastAsia="楷体" w:cs="楷体"/>
                <w:bCs/>
                <w:kern w:val="2"/>
                <w:szCs w:val="21"/>
                <w:lang w:val="en-US" w:bidi="ar-SA"/>
              </w:rPr>
              <w:t>能够进行小组互助学习</w:t>
            </w:r>
            <w:r>
              <w:rPr>
                <w:rFonts w:ascii="楷体" w:eastAsia="楷体" w:cs="楷体"/>
                <w:bCs/>
                <w:kern w:val="2"/>
                <w:szCs w:val="21"/>
                <w:lang w:bidi="ar-SA"/>
              </w:rPr>
              <w:t>，</w:t>
            </w:r>
            <w:r>
              <w:rPr>
                <w:rFonts w:hint="eastAsia" w:ascii="楷体" w:eastAsia="楷体" w:cs="楷体"/>
                <w:bCs/>
                <w:kern w:val="2"/>
                <w:szCs w:val="21"/>
                <w:lang w:val="en-US" w:bidi="ar-SA"/>
              </w:rPr>
              <w:t>掌握沟通的方法并运用到该课程的学习中</w:t>
            </w:r>
            <w:r>
              <w:rPr>
                <w:rFonts w:hint="eastAsia" w:ascii="楷体" w:eastAsia="楷体" w:cs="楷体"/>
                <w:bCs/>
                <w:kern w:val="2"/>
                <w:szCs w:val="21"/>
                <w:lang w:bidi="ar-SA"/>
              </w:rPr>
              <w:t>。</w:t>
            </w:r>
          </w:p>
        </w:tc>
        <w:tc>
          <w:tcPr>
            <w:tcW w:w="1414" w:type="dxa"/>
            <w:tcBorders>
              <w:top w:val="single" w:color="000000" w:sz="4" w:space="0"/>
              <w:left w:val="single" w:color="000000" w:sz="4" w:space="0"/>
              <w:bottom w:val="single" w:color="000000" w:sz="4" w:space="0"/>
              <w:right w:val="single" w:color="000000" w:sz="4" w:space="0"/>
            </w:tcBorders>
            <w:noWrap/>
            <w:vAlign w:val="top"/>
          </w:tcPr>
          <w:p w14:paraId="61987230">
            <w:pPr>
              <w:pageBreakBefore w:val="0"/>
              <w:widowControl w:val="0"/>
              <w:kinsoku/>
              <w:overflowPunct/>
              <w:topLinePunct w:val="0"/>
              <w:bidi w:val="0"/>
              <w:spacing w:line="240" w:lineRule="auto"/>
              <w:rPr>
                <w:rFonts w:hint="eastAsia" w:ascii="楷体" w:eastAsia="楷体" w:cs="楷体"/>
                <w:kern w:val="2"/>
                <w:szCs w:val="21"/>
                <w:lang w:bidi="ar-SA"/>
              </w:rPr>
            </w:pPr>
            <w:r>
              <w:rPr>
                <w:rFonts w:hint="eastAsia" w:ascii="楷体" w:eastAsia="楷体" w:cs="楷体"/>
                <w:bCs/>
                <w:kern w:val="2"/>
                <w:szCs w:val="21"/>
                <w:lang w:val="en-US" w:bidi="ar-SA"/>
              </w:rPr>
              <w:t>基本领会学习共同体的作用</w:t>
            </w:r>
            <w:r>
              <w:rPr>
                <w:rFonts w:ascii="楷体" w:eastAsia="楷体" w:cs="楷体"/>
                <w:bCs/>
                <w:kern w:val="2"/>
                <w:szCs w:val="21"/>
                <w:lang w:bidi="ar-SA"/>
              </w:rPr>
              <w:t>，</w:t>
            </w:r>
            <w:r>
              <w:rPr>
                <w:rFonts w:hint="eastAsia" w:ascii="楷体" w:eastAsia="楷体" w:cs="楷体"/>
                <w:bCs/>
                <w:kern w:val="2"/>
                <w:szCs w:val="21"/>
                <w:lang w:val="en-US" w:bidi="ar-SA"/>
              </w:rPr>
              <w:t>能够进行小组互助学习</w:t>
            </w:r>
            <w:r>
              <w:rPr>
                <w:rFonts w:ascii="楷体" w:eastAsia="楷体" w:cs="楷体"/>
                <w:bCs/>
                <w:kern w:val="2"/>
                <w:szCs w:val="21"/>
                <w:lang w:bidi="ar-SA"/>
              </w:rPr>
              <w:t>，</w:t>
            </w:r>
            <w:r>
              <w:rPr>
                <w:rFonts w:hint="eastAsia" w:ascii="楷体" w:eastAsia="楷体" w:cs="楷体"/>
                <w:bCs/>
                <w:kern w:val="2"/>
                <w:szCs w:val="21"/>
                <w:lang w:val="en-US" w:bidi="ar-SA"/>
              </w:rPr>
              <w:t>基本掌握沟通的方法并运用到该课程的学习中</w:t>
            </w:r>
            <w:r>
              <w:rPr>
                <w:rFonts w:hint="eastAsia" w:ascii="楷体" w:eastAsia="楷体" w:cs="楷体"/>
                <w:bCs/>
                <w:kern w:val="2"/>
                <w:szCs w:val="21"/>
                <w:lang w:bidi="ar-SA"/>
              </w:rPr>
              <w:t>。</w:t>
            </w:r>
          </w:p>
        </w:tc>
        <w:tc>
          <w:tcPr>
            <w:tcW w:w="1414" w:type="dxa"/>
            <w:tcBorders>
              <w:top w:val="single" w:color="000000" w:sz="4" w:space="0"/>
              <w:left w:val="single" w:color="000000" w:sz="4" w:space="0"/>
              <w:bottom w:val="single" w:color="000000" w:sz="4" w:space="0"/>
              <w:right w:val="single" w:color="000000" w:sz="4" w:space="0"/>
            </w:tcBorders>
            <w:noWrap/>
            <w:vAlign w:val="top"/>
          </w:tcPr>
          <w:p w14:paraId="1F41C951">
            <w:pPr>
              <w:pageBreakBefore w:val="0"/>
              <w:widowControl w:val="0"/>
              <w:kinsoku/>
              <w:overflowPunct/>
              <w:topLinePunct w:val="0"/>
              <w:bidi w:val="0"/>
              <w:spacing w:line="240" w:lineRule="auto"/>
              <w:rPr>
                <w:rFonts w:hint="eastAsia" w:ascii="楷体" w:eastAsia="楷体" w:cs="楷体"/>
                <w:kern w:val="2"/>
                <w:szCs w:val="21"/>
                <w:lang w:bidi="ar-SA"/>
              </w:rPr>
            </w:pPr>
            <w:r>
              <w:rPr>
                <w:rFonts w:hint="eastAsia" w:ascii="楷体" w:eastAsia="楷体" w:cs="楷体"/>
                <w:bCs/>
                <w:kern w:val="2"/>
                <w:szCs w:val="21"/>
                <w:lang w:val="en-US" w:bidi="ar-SA"/>
              </w:rPr>
              <w:t>不能领会学习共同体的作用</w:t>
            </w:r>
            <w:r>
              <w:rPr>
                <w:rFonts w:ascii="楷体" w:eastAsia="楷体" w:cs="楷体"/>
                <w:bCs/>
                <w:kern w:val="2"/>
                <w:szCs w:val="21"/>
                <w:lang w:bidi="ar-SA"/>
              </w:rPr>
              <w:t>，</w:t>
            </w:r>
            <w:r>
              <w:rPr>
                <w:rFonts w:hint="eastAsia" w:ascii="楷体" w:eastAsia="楷体" w:cs="楷体"/>
                <w:bCs/>
                <w:kern w:val="2"/>
                <w:szCs w:val="21"/>
                <w:lang w:val="en-US" w:bidi="ar-SA"/>
              </w:rPr>
              <w:t>能够进行小组互助学习</w:t>
            </w:r>
            <w:r>
              <w:rPr>
                <w:rFonts w:ascii="楷体" w:eastAsia="楷体" w:cs="楷体"/>
                <w:bCs/>
                <w:kern w:val="2"/>
                <w:szCs w:val="21"/>
                <w:lang w:bidi="ar-SA"/>
              </w:rPr>
              <w:t>，</w:t>
            </w:r>
            <w:r>
              <w:rPr>
                <w:rFonts w:hint="eastAsia" w:ascii="楷体" w:eastAsia="楷体" w:cs="楷体"/>
                <w:bCs/>
                <w:kern w:val="2"/>
                <w:szCs w:val="21"/>
                <w:lang w:val="en-US" w:bidi="ar-SA"/>
              </w:rPr>
              <w:t>不能掌握沟通的方法并运用到该课程的学习中</w:t>
            </w:r>
            <w:r>
              <w:rPr>
                <w:rFonts w:hint="eastAsia" w:ascii="楷体" w:eastAsia="楷体" w:cs="楷体"/>
                <w:bCs/>
                <w:kern w:val="2"/>
                <w:szCs w:val="21"/>
                <w:lang w:bidi="ar-SA"/>
              </w:rPr>
              <w:t>。</w:t>
            </w:r>
          </w:p>
        </w:tc>
      </w:tr>
    </w:tbl>
    <w:p w14:paraId="6A0D1878">
      <w:pPr>
        <w:rPr>
          <w:sz w:val="2"/>
          <w:szCs w:val="2"/>
        </w:rPr>
        <w:sectPr>
          <w:headerReference r:id="rId61" w:type="default"/>
          <w:footerReference r:id="rId62" w:type="default"/>
          <w:pgSz w:w="11906" w:h="16838"/>
          <w:pgMar w:top="1440" w:right="1800" w:bottom="1440" w:left="1800" w:header="851" w:footer="992" w:gutter="0"/>
          <w:cols w:space="425" w:num="1"/>
          <w:docGrid w:type="lines" w:linePitch="312" w:charSpace="0"/>
        </w:sectPr>
      </w:pPr>
    </w:p>
    <w:p w14:paraId="5993F6E9">
      <w:pPr>
        <w:jc w:val="center"/>
        <w:rPr>
          <w:rFonts w:hint="eastAsia" w:eastAsia="方正小标宋简体"/>
          <w:sz w:val="44"/>
          <w:szCs w:val="44"/>
        </w:rPr>
      </w:pPr>
      <w:r>
        <w:rPr>
          <w:rFonts w:hint="eastAsia" w:eastAsia="方正小标宋简体"/>
          <w:sz w:val="44"/>
          <w:szCs w:val="44"/>
        </w:rPr>
        <w:t>三明学院音乐学（音乐教育）专业</w:t>
      </w:r>
    </w:p>
    <w:p w14:paraId="034B29CC">
      <w:pPr>
        <w:jc w:val="center"/>
        <w:rPr>
          <w:rFonts w:hint="eastAsia" w:eastAsia="方正小标宋简体"/>
          <w:sz w:val="28"/>
          <w:szCs w:val="28"/>
        </w:rPr>
      </w:pPr>
      <w:r>
        <w:rPr>
          <w:rFonts w:hint="eastAsia" w:eastAsia="方正小标宋简体"/>
          <w:sz w:val="44"/>
          <w:szCs w:val="44"/>
        </w:rPr>
        <w:t>《声乐基础》课程教学大纲</w:t>
      </w:r>
    </w:p>
    <w:p w14:paraId="11EE6D60">
      <w:pPr>
        <w:jc w:val="center"/>
        <w:rPr>
          <w:rFonts w:hint="eastAsia" w:eastAsia="方正小标宋简体"/>
          <w:sz w:val="24"/>
          <w:szCs w:val="24"/>
        </w:rPr>
      </w:pPr>
    </w:p>
    <w:tbl>
      <w:tblPr>
        <w:tblStyle w:val="22"/>
        <w:tblW w:w="9148"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28" w:type="dxa"/>
        </w:tblCellMar>
      </w:tblPr>
      <w:tblGrid>
        <w:gridCol w:w="1375"/>
        <w:gridCol w:w="1173"/>
        <w:gridCol w:w="376"/>
        <w:gridCol w:w="825"/>
        <w:gridCol w:w="1497"/>
        <w:gridCol w:w="108"/>
        <w:gridCol w:w="354"/>
        <w:gridCol w:w="955"/>
        <w:gridCol w:w="85"/>
        <w:gridCol w:w="32"/>
        <w:gridCol w:w="654"/>
        <w:gridCol w:w="363"/>
        <w:gridCol w:w="422"/>
        <w:gridCol w:w="335"/>
        <w:gridCol w:w="594"/>
      </w:tblGrid>
      <w:tr w14:paraId="051CAFC8">
        <w:trPr>
          <w:trHeight w:val="454" w:hRule="atLeast"/>
        </w:trPr>
        <w:tc>
          <w:tcPr>
            <w:tcW w:w="1375" w:type="dxa"/>
            <w:vAlign w:val="center"/>
          </w:tcPr>
          <w:p w14:paraId="56FB2843">
            <w:pPr>
              <w:numPr>
                <w:ilvl w:val="0"/>
                <w:numId w:val="26"/>
              </w:numPr>
              <w:jc w:val="center"/>
              <w:rPr>
                <w:rFonts w:hint="eastAsia" w:ascii="仿宋" w:hAnsi="仿宋" w:eastAsia="仿宋" w:cs="仿宋"/>
                <w:sz w:val="24"/>
                <w:szCs w:val="24"/>
              </w:rPr>
            </w:pPr>
            <w:r>
              <w:rPr>
                <w:rFonts w:hint="eastAsia" w:ascii="仿宋" w:hAnsi="仿宋" w:eastAsia="仿宋" w:cs="仿宋"/>
                <w:sz w:val="24"/>
                <w:szCs w:val="24"/>
              </w:rPr>
              <w:t>课程名称</w:t>
            </w:r>
          </w:p>
        </w:tc>
        <w:tc>
          <w:tcPr>
            <w:tcW w:w="3979" w:type="dxa"/>
            <w:gridSpan w:val="5"/>
            <w:vAlign w:val="center"/>
          </w:tcPr>
          <w:p w14:paraId="488004F7">
            <w:pPr>
              <w:jc w:val="center"/>
              <w:rPr>
                <w:rFonts w:hint="eastAsia" w:ascii="仿宋" w:hAnsi="仿宋" w:eastAsia="仿宋" w:cs="仿宋"/>
                <w:sz w:val="24"/>
                <w:szCs w:val="24"/>
              </w:rPr>
            </w:pPr>
            <w:r>
              <w:rPr>
                <w:rFonts w:hint="eastAsia" w:ascii="仿宋" w:hAnsi="仿宋" w:eastAsia="仿宋" w:cs="仿宋"/>
                <w:sz w:val="24"/>
                <w:szCs w:val="24"/>
              </w:rPr>
              <w:t>《声乐基础》</w:t>
            </w:r>
          </w:p>
        </w:tc>
        <w:tc>
          <w:tcPr>
            <w:tcW w:w="1426" w:type="dxa"/>
            <w:gridSpan w:val="4"/>
            <w:vAlign w:val="center"/>
          </w:tcPr>
          <w:p w14:paraId="415CF231">
            <w:pPr>
              <w:jc w:val="center"/>
              <w:rPr>
                <w:rFonts w:hint="eastAsia" w:ascii="仿宋" w:hAnsi="仿宋" w:eastAsia="仿宋" w:cs="仿宋"/>
                <w:sz w:val="24"/>
                <w:szCs w:val="24"/>
              </w:rPr>
            </w:pPr>
            <w:r>
              <w:rPr>
                <w:rFonts w:hint="eastAsia" w:ascii="仿宋" w:hAnsi="仿宋" w:eastAsia="仿宋" w:cs="仿宋"/>
                <w:sz w:val="24"/>
                <w:szCs w:val="24"/>
              </w:rPr>
              <w:t>课程</w:t>
            </w:r>
          </w:p>
          <w:p w14:paraId="4FAF928D">
            <w:pPr>
              <w:jc w:val="center"/>
              <w:rPr>
                <w:rFonts w:hint="eastAsia" w:ascii="仿宋" w:hAnsi="仿宋" w:eastAsia="仿宋" w:cs="仿宋"/>
                <w:sz w:val="24"/>
                <w:szCs w:val="24"/>
              </w:rPr>
            </w:pPr>
            <w:r>
              <w:rPr>
                <w:rFonts w:hint="eastAsia" w:ascii="仿宋" w:hAnsi="仿宋" w:eastAsia="仿宋" w:cs="仿宋"/>
                <w:sz w:val="24"/>
                <w:szCs w:val="24"/>
              </w:rPr>
              <w:t>代码</w:t>
            </w:r>
          </w:p>
        </w:tc>
        <w:tc>
          <w:tcPr>
            <w:tcW w:w="2368" w:type="dxa"/>
            <w:gridSpan w:val="5"/>
            <w:vAlign w:val="center"/>
          </w:tcPr>
          <w:p w14:paraId="4EDA8DB9">
            <w:pPr>
              <w:jc w:val="center"/>
              <w:rPr>
                <w:rFonts w:hint="eastAsia" w:ascii="宋体" w:hAnsi="宋体" w:cs="宋体"/>
                <w:kern w:val="0"/>
                <w:szCs w:val="21"/>
                <w:lang w:bidi="ar"/>
              </w:rPr>
            </w:pPr>
            <w:r>
              <w:rPr>
                <w:rFonts w:hint="eastAsia" w:ascii="宋体" w:hAnsi="宋体" w:cs="宋体"/>
                <w:kern w:val="0"/>
                <w:szCs w:val="21"/>
                <w:lang w:bidi="ar"/>
              </w:rPr>
              <w:t>1213302603</w:t>
            </w:r>
          </w:p>
          <w:p w14:paraId="1A2C2172">
            <w:pPr>
              <w:jc w:val="center"/>
              <w:rPr>
                <w:rFonts w:hint="eastAsia" w:ascii="宋体" w:hAnsi="宋体" w:cs="宋体"/>
                <w:kern w:val="0"/>
                <w:szCs w:val="21"/>
                <w:lang w:bidi="ar"/>
              </w:rPr>
            </w:pPr>
            <w:r>
              <w:rPr>
                <w:rFonts w:hint="eastAsia" w:ascii="宋体" w:hAnsi="宋体" w:cs="宋体"/>
                <w:kern w:val="0"/>
                <w:szCs w:val="21"/>
                <w:lang w:bidi="ar"/>
              </w:rPr>
              <w:t>1213302604</w:t>
            </w:r>
          </w:p>
          <w:p w14:paraId="23708106">
            <w:pPr>
              <w:jc w:val="center"/>
              <w:rPr>
                <w:rFonts w:hint="eastAsia" w:ascii="宋体" w:hAnsi="宋体" w:cs="宋体"/>
                <w:kern w:val="0"/>
                <w:szCs w:val="21"/>
                <w:lang w:bidi="ar"/>
              </w:rPr>
            </w:pPr>
            <w:r>
              <w:rPr>
                <w:rFonts w:hint="eastAsia" w:ascii="宋体" w:hAnsi="宋体" w:cs="宋体"/>
                <w:kern w:val="0"/>
                <w:szCs w:val="21"/>
                <w:lang w:bidi="ar"/>
              </w:rPr>
              <w:t>1213302605</w:t>
            </w:r>
          </w:p>
          <w:p w14:paraId="617D18F4">
            <w:pPr>
              <w:jc w:val="center"/>
              <w:rPr>
                <w:rFonts w:hint="eastAsia" w:ascii="宋体" w:hAnsi="宋体" w:cs="宋体"/>
                <w:kern w:val="0"/>
                <w:szCs w:val="21"/>
                <w:lang w:bidi="ar"/>
              </w:rPr>
            </w:pPr>
            <w:r>
              <w:rPr>
                <w:rFonts w:hint="eastAsia" w:ascii="宋体" w:hAnsi="宋体" w:cs="宋体"/>
                <w:kern w:val="0"/>
                <w:szCs w:val="21"/>
                <w:lang w:bidi="ar"/>
              </w:rPr>
              <w:t>1213302606</w:t>
            </w:r>
          </w:p>
        </w:tc>
      </w:tr>
      <w:tr w14:paraId="02D681F8">
        <w:trPr>
          <w:trHeight w:val="454" w:hRule="atLeast"/>
        </w:trPr>
        <w:tc>
          <w:tcPr>
            <w:tcW w:w="1375" w:type="dxa"/>
            <w:vAlign w:val="center"/>
          </w:tcPr>
          <w:p w14:paraId="3F25E56B">
            <w:pPr>
              <w:jc w:val="center"/>
              <w:rPr>
                <w:rFonts w:hint="eastAsia" w:ascii="仿宋" w:hAnsi="仿宋" w:eastAsia="仿宋" w:cs="仿宋"/>
                <w:sz w:val="24"/>
                <w:szCs w:val="24"/>
              </w:rPr>
            </w:pPr>
            <w:r>
              <w:rPr>
                <w:rFonts w:hint="eastAsia" w:ascii="仿宋" w:hAnsi="仿宋" w:eastAsia="仿宋" w:cs="仿宋"/>
                <w:sz w:val="24"/>
                <w:szCs w:val="24"/>
              </w:rPr>
              <w:t>课程类型</w:t>
            </w:r>
          </w:p>
        </w:tc>
        <w:tc>
          <w:tcPr>
            <w:tcW w:w="7773" w:type="dxa"/>
            <w:gridSpan w:val="14"/>
            <w:vAlign w:val="center"/>
          </w:tcPr>
          <w:p w14:paraId="7D0948F0">
            <w:pPr>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通识必修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通识选修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专业必修 </w:t>
            </w:r>
          </w:p>
          <w:p w14:paraId="02157BE9">
            <w:pPr>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专业选修</w:t>
            </w:r>
            <w:r>
              <w:rPr>
                <w:rFonts w:hint="eastAsia" w:ascii="仿宋" w:hAnsi="仿宋" w:eastAsia="仿宋" w:cs="仿宋"/>
                <w:sz w:val="24"/>
                <w:szCs w:val="24"/>
                <w:lang w:eastAsia="zh-TW"/>
              </w:rPr>
              <w:t xml:space="preserve">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教师教育必修 </w:t>
            </w:r>
            <w:r>
              <w:rPr>
                <w:rFonts w:hint="eastAsia" w:ascii="仿宋" w:hAnsi="仿宋" w:eastAsia="仿宋" w:cs="仿宋"/>
                <w:sz w:val="24"/>
                <w:szCs w:val="24"/>
              </w:rPr>
              <w:sym w:font="Wingdings" w:char="00A8"/>
            </w:r>
            <w:r>
              <w:rPr>
                <w:rFonts w:hint="eastAsia" w:ascii="仿宋" w:hAnsi="仿宋" w:eastAsia="仿宋" w:cs="仿宋"/>
                <w:sz w:val="24"/>
                <w:szCs w:val="24"/>
              </w:rPr>
              <w:t>教师教育选修</w:t>
            </w:r>
          </w:p>
        </w:tc>
      </w:tr>
      <w:tr w14:paraId="4E14B7B3">
        <w:trPr>
          <w:trHeight w:val="406" w:hRule="atLeast"/>
        </w:trPr>
        <w:tc>
          <w:tcPr>
            <w:tcW w:w="1375" w:type="dxa"/>
            <w:vAlign w:val="center"/>
          </w:tcPr>
          <w:p w14:paraId="25E920FB">
            <w:pPr>
              <w:jc w:val="center"/>
              <w:rPr>
                <w:rFonts w:hint="eastAsia" w:ascii="仿宋" w:hAnsi="仿宋" w:eastAsia="仿宋" w:cs="仿宋"/>
                <w:sz w:val="24"/>
                <w:szCs w:val="24"/>
              </w:rPr>
            </w:pPr>
            <w:r>
              <w:rPr>
                <w:rFonts w:hint="eastAsia" w:ascii="仿宋" w:hAnsi="仿宋" w:eastAsia="仿宋" w:cs="仿宋"/>
                <w:sz w:val="24"/>
                <w:szCs w:val="24"/>
              </w:rPr>
              <w:t>开课学期</w:t>
            </w:r>
          </w:p>
        </w:tc>
        <w:tc>
          <w:tcPr>
            <w:tcW w:w="1173" w:type="dxa"/>
            <w:vAlign w:val="center"/>
          </w:tcPr>
          <w:p w14:paraId="0798AA5B">
            <w:pPr>
              <w:jc w:val="center"/>
              <w:rPr>
                <w:rFonts w:hint="eastAsia" w:ascii="仿宋" w:hAnsi="仿宋" w:eastAsia="仿宋" w:cs="仿宋"/>
                <w:sz w:val="24"/>
                <w:szCs w:val="24"/>
              </w:rPr>
            </w:pPr>
            <w:r>
              <w:rPr>
                <w:rFonts w:hint="eastAsia" w:ascii="仿宋" w:hAnsi="仿宋" w:eastAsia="仿宋" w:cs="仿宋"/>
                <w:sz w:val="24"/>
                <w:szCs w:val="24"/>
              </w:rPr>
              <w:t>1、2、3、4</w:t>
            </w:r>
          </w:p>
        </w:tc>
        <w:tc>
          <w:tcPr>
            <w:tcW w:w="1201" w:type="dxa"/>
            <w:gridSpan w:val="2"/>
            <w:vAlign w:val="center"/>
          </w:tcPr>
          <w:p w14:paraId="10BFC40C">
            <w:pPr>
              <w:jc w:val="center"/>
              <w:rPr>
                <w:rFonts w:hint="eastAsia" w:ascii="仿宋" w:hAnsi="仿宋" w:eastAsia="仿宋" w:cs="仿宋"/>
                <w:sz w:val="24"/>
                <w:szCs w:val="24"/>
              </w:rPr>
            </w:pPr>
            <w:r>
              <w:rPr>
                <w:rFonts w:hint="eastAsia" w:ascii="仿宋" w:hAnsi="仿宋" w:eastAsia="仿宋" w:cs="仿宋"/>
                <w:sz w:val="24"/>
                <w:szCs w:val="24"/>
              </w:rPr>
              <w:t>学分</w:t>
            </w:r>
          </w:p>
        </w:tc>
        <w:tc>
          <w:tcPr>
            <w:tcW w:w="1605" w:type="dxa"/>
            <w:gridSpan w:val="2"/>
            <w:vAlign w:val="center"/>
          </w:tcPr>
          <w:p w14:paraId="5D56D2F4">
            <w:pPr>
              <w:jc w:val="center"/>
              <w:rPr>
                <w:rFonts w:hint="eastAsia" w:ascii="仿宋" w:hAnsi="仿宋" w:eastAsia="仿宋" w:cs="仿宋"/>
                <w:sz w:val="24"/>
                <w:szCs w:val="24"/>
              </w:rPr>
            </w:pPr>
            <w:r>
              <w:rPr>
                <w:rFonts w:hint="eastAsia" w:ascii="仿宋" w:hAnsi="仿宋" w:eastAsia="仿宋" w:cs="仿宋"/>
                <w:sz w:val="24"/>
                <w:szCs w:val="24"/>
              </w:rPr>
              <w:t>2（每学期0</w:t>
            </w:r>
            <w:r>
              <w:rPr>
                <w:rFonts w:ascii="仿宋" w:hAnsi="仿宋" w:eastAsia="仿宋" w:cs="仿宋"/>
                <w:sz w:val="24"/>
                <w:szCs w:val="24"/>
              </w:rPr>
              <w:t>.5</w:t>
            </w:r>
            <w:r>
              <w:rPr>
                <w:rFonts w:hint="eastAsia" w:ascii="仿宋" w:hAnsi="仿宋" w:eastAsia="仿宋" w:cs="仿宋"/>
                <w:sz w:val="24"/>
                <w:szCs w:val="24"/>
              </w:rPr>
              <w:t>）</w:t>
            </w:r>
          </w:p>
        </w:tc>
        <w:tc>
          <w:tcPr>
            <w:tcW w:w="1426" w:type="dxa"/>
            <w:gridSpan w:val="4"/>
            <w:vAlign w:val="center"/>
          </w:tcPr>
          <w:p w14:paraId="63CC9920">
            <w:pPr>
              <w:jc w:val="center"/>
              <w:rPr>
                <w:rFonts w:hint="eastAsia" w:ascii="仿宋" w:hAnsi="仿宋" w:eastAsia="仿宋" w:cs="仿宋"/>
                <w:sz w:val="24"/>
                <w:szCs w:val="24"/>
              </w:rPr>
            </w:pPr>
            <w:r>
              <w:rPr>
                <w:rFonts w:hint="eastAsia" w:ascii="仿宋" w:hAnsi="仿宋" w:eastAsia="仿宋" w:cs="仿宋"/>
                <w:sz w:val="24"/>
                <w:szCs w:val="24"/>
              </w:rPr>
              <w:t>课程负责人</w:t>
            </w:r>
          </w:p>
        </w:tc>
        <w:tc>
          <w:tcPr>
            <w:tcW w:w="2368" w:type="dxa"/>
            <w:gridSpan w:val="5"/>
            <w:vAlign w:val="center"/>
          </w:tcPr>
          <w:p w14:paraId="47A583AB">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吴碧玲</w:t>
            </w:r>
          </w:p>
        </w:tc>
      </w:tr>
      <w:tr w14:paraId="4F6B4319">
        <w:trPr>
          <w:trHeight w:val="485" w:hRule="atLeast"/>
        </w:trPr>
        <w:tc>
          <w:tcPr>
            <w:tcW w:w="1375" w:type="dxa"/>
            <w:vAlign w:val="center"/>
          </w:tcPr>
          <w:p w14:paraId="7D6563D0">
            <w:pPr>
              <w:jc w:val="center"/>
              <w:rPr>
                <w:rFonts w:hint="eastAsia" w:ascii="仿宋" w:hAnsi="仿宋" w:eastAsia="仿宋" w:cs="仿宋"/>
                <w:sz w:val="24"/>
                <w:szCs w:val="24"/>
              </w:rPr>
            </w:pPr>
            <w:r>
              <w:rPr>
                <w:rFonts w:hint="eastAsia" w:ascii="仿宋" w:hAnsi="仿宋" w:eastAsia="仿宋" w:cs="仿宋"/>
                <w:sz w:val="24"/>
                <w:szCs w:val="24"/>
              </w:rPr>
              <w:t>总学时</w:t>
            </w:r>
          </w:p>
        </w:tc>
        <w:tc>
          <w:tcPr>
            <w:tcW w:w="1173" w:type="dxa"/>
            <w:vAlign w:val="center"/>
          </w:tcPr>
          <w:p w14:paraId="7580F04E">
            <w:pPr>
              <w:jc w:val="center"/>
              <w:rPr>
                <w:rFonts w:ascii="仿宋" w:hAnsi="仿宋" w:eastAsia="仿宋" w:cs="仿宋"/>
                <w:sz w:val="24"/>
                <w:szCs w:val="24"/>
              </w:rPr>
            </w:pPr>
            <w:r>
              <w:rPr>
                <w:rFonts w:hint="eastAsia" w:ascii="仿宋" w:hAnsi="仿宋" w:eastAsia="仿宋" w:cs="仿宋"/>
                <w:sz w:val="24"/>
                <w:szCs w:val="24"/>
              </w:rPr>
              <w:t>64</w:t>
            </w:r>
          </w:p>
        </w:tc>
        <w:tc>
          <w:tcPr>
            <w:tcW w:w="1201" w:type="dxa"/>
            <w:gridSpan w:val="2"/>
            <w:vAlign w:val="center"/>
          </w:tcPr>
          <w:p w14:paraId="2BCB4B43">
            <w:pPr>
              <w:jc w:val="center"/>
              <w:rPr>
                <w:rFonts w:hint="eastAsia" w:ascii="仿宋" w:hAnsi="仿宋" w:eastAsia="仿宋" w:cs="仿宋"/>
                <w:sz w:val="24"/>
                <w:szCs w:val="24"/>
              </w:rPr>
            </w:pPr>
            <w:r>
              <w:rPr>
                <w:rFonts w:hint="eastAsia" w:ascii="仿宋" w:hAnsi="仿宋" w:eastAsia="仿宋" w:cs="仿宋"/>
                <w:sz w:val="24"/>
                <w:szCs w:val="24"/>
              </w:rPr>
              <w:t>理论学时</w:t>
            </w:r>
          </w:p>
        </w:tc>
        <w:tc>
          <w:tcPr>
            <w:tcW w:w="1605" w:type="dxa"/>
            <w:gridSpan w:val="2"/>
            <w:vAlign w:val="center"/>
          </w:tcPr>
          <w:p w14:paraId="0573C8C4">
            <w:pPr>
              <w:jc w:val="center"/>
              <w:rPr>
                <w:rFonts w:hint="eastAsia" w:ascii="仿宋" w:hAnsi="仿宋" w:eastAsia="仿宋" w:cs="仿宋"/>
                <w:sz w:val="24"/>
                <w:szCs w:val="24"/>
              </w:rPr>
            </w:pPr>
            <w:r>
              <w:rPr>
                <w:rFonts w:hint="eastAsia" w:ascii="仿宋" w:hAnsi="仿宋" w:eastAsia="仿宋" w:cs="仿宋"/>
                <w:sz w:val="24"/>
                <w:szCs w:val="24"/>
              </w:rPr>
              <w:t>0</w:t>
            </w:r>
          </w:p>
        </w:tc>
        <w:tc>
          <w:tcPr>
            <w:tcW w:w="1426" w:type="dxa"/>
            <w:gridSpan w:val="4"/>
            <w:tcBorders>
              <w:right w:val="single" w:color="000000" w:sz="4" w:space="0"/>
            </w:tcBorders>
            <w:vAlign w:val="center"/>
          </w:tcPr>
          <w:p w14:paraId="2AA479D1">
            <w:pPr>
              <w:jc w:val="center"/>
              <w:rPr>
                <w:rFonts w:hint="eastAsia" w:ascii="仿宋" w:hAnsi="仿宋" w:eastAsia="仿宋" w:cs="仿宋"/>
                <w:sz w:val="24"/>
                <w:szCs w:val="24"/>
              </w:rPr>
            </w:pPr>
            <w:r>
              <w:rPr>
                <w:rFonts w:hint="eastAsia" w:ascii="仿宋" w:hAnsi="仿宋" w:eastAsia="仿宋" w:cs="仿宋"/>
                <w:sz w:val="24"/>
                <w:szCs w:val="24"/>
              </w:rPr>
              <w:t>实践学时</w:t>
            </w:r>
          </w:p>
        </w:tc>
        <w:tc>
          <w:tcPr>
            <w:tcW w:w="2368" w:type="dxa"/>
            <w:gridSpan w:val="5"/>
            <w:tcBorders>
              <w:left w:val="single" w:color="000000" w:sz="4" w:space="0"/>
            </w:tcBorders>
            <w:vAlign w:val="center"/>
          </w:tcPr>
          <w:p w14:paraId="3492BA75">
            <w:pPr>
              <w:jc w:val="center"/>
              <w:rPr>
                <w:rFonts w:ascii="仿宋" w:hAnsi="仿宋" w:eastAsia="仿宋" w:cs="仿宋"/>
                <w:sz w:val="24"/>
                <w:szCs w:val="24"/>
              </w:rPr>
            </w:pPr>
            <w:r>
              <w:rPr>
                <w:rFonts w:hint="eastAsia" w:ascii="仿宋" w:hAnsi="仿宋" w:eastAsia="仿宋" w:cs="仿宋"/>
                <w:sz w:val="24"/>
                <w:szCs w:val="24"/>
              </w:rPr>
              <w:t>64</w:t>
            </w:r>
          </w:p>
        </w:tc>
      </w:tr>
      <w:tr w14:paraId="451CEC99">
        <w:trPr>
          <w:trHeight w:val="454" w:hRule="atLeast"/>
        </w:trPr>
        <w:tc>
          <w:tcPr>
            <w:tcW w:w="1375" w:type="dxa"/>
            <w:vAlign w:val="center"/>
          </w:tcPr>
          <w:p w14:paraId="1E25DDAF">
            <w:pPr>
              <w:jc w:val="center"/>
              <w:rPr>
                <w:rFonts w:hint="eastAsia" w:ascii="仿宋" w:hAnsi="仿宋" w:eastAsia="仿宋" w:cs="仿宋"/>
                <w:sz w:val="24"/>
                <w:szCs w:val="24"/>
              </w:rPr>
            </w:pPr>
            <w:r>
              <w:rPr>
                <w:rFonts w:hint="eastAsia" w:ascii="仿宋" w:hAnsi="仿宋" w:eastAsia="仿宋" w:cs="仿宋"/>
                <w:sz w:val="24"/>
                <w:szCs w:val="24"/>
              </w:rPr>
              <w:t>先修课程与后续课程</w:t>
            </w:r>
          </w:p>
        </w:tc>
        <w:tc>
          <w:tcPr>
            <w:tcW w:w="7773" w:type="dxa"/>
            <w:gridSpan w:val="14"/>
            <w:vAlign w:val="center"/>
          </w:tcPr>
          <w:p w14:paraId="651508AB">
            <w:pPr>
              <w:tabs>
                <w:tab w:val="left" w:pos="720"/>
              </w:tabs>
              <w:jc w:val="left"/>
              <w:rPr>
                <w:rFonts w:hint="eastAsia" w:ascii="仿宋" w:hAnsi="仿宋" w:eastAsia="仿宋" w:cs="仿宋"/>
                <w:sz w:val="24"/>
                <w:szCs w:val="24"/>
              </w:rPr>
            </w:pPr>
            <w:r>
              <w:rPr>
                <w:rFonts w:hint="eastAsia" w:ascii="仿宋" w:hAnsi="仿宋" w:eastAsia="仿宋" w:cs="仿宋"/>
                <w:sz w:val="24"/>
                <w:szCs w:val="24"/>
              </w:rPr>
              <w:t>先修课程：乐理、视唱练耳、意大利语等</w:t>
            </w:r>
          </w:p>
          <w:p w14:paraId="32AD872B">
            <w:pPr>
              <w:tabs>
                <w:tab w:val="left" w:pos="720"/>
              </w:tabs>
              <w:jc w:val="left"/>
              <w:rPr>
                <w:rFonts w:hint="eastAsia" w:ascii="仿宋" w:hAnsi="仿宋" w:eastAsia="仿宋" w:cs="仿宋"/>
                <w:sz w:val="24"/>
                <w:szCs w:val="24"/>
              </w:rPr>
            </w:pPr>
            <w:r>
              <w:rPr>
                <w:rFonts w:hint="eastAsia" w:ascii="仿宋" w:hAnsi="仿宋" w:eastAsia="仿宋" w:cs="仿宋"/>
                <w:sz w:val="24"/>
                <w:szCs w:val="24"/>
              </w:rPr>
              <w:t>后续课程：重唱与表演唱、舞台表演、戏曲鉴赏等</w:t>
            </w:r>
          </w:p>
        </w:tc>
      </w:tr>
      <w:tr w14:paraId="68ED3114">
        <w:trPr>
          <w:trHeight w:val="454" w:hRule="atLeast"/>
        </w:trPr>
        <w:tc>
          <w:tcPr>
            <w:tcW w:w="1375" w:type="dxa"/>
            <w:vAlign w:val="center"/>
          </w:tcPr>
          <w:p w14:paraId="05248CB7">
            <w:pPr>
              <w:jc w:val="center"/>
              <w:rPr>
                <w:rFonts w:hint="eastAsia" w:ascii="仿宋" w:hAnsi="仿宋" w:eastAsia="仿宋" w:cs="仿宋"/>
                <w:sz w:val="24"/>
                <w:szCs w:val="24"/>
              </w:rPr>
            </w:pPr>
            <w:r>
              <w:rPr>
                <w:rFonts w:hint="eastAsia" w:ascii="仿宋" w:hAnsi="仿宋" w:eastAsia="仿宋" w:cs="仿宋"/>
                <w:sz w:val="24"/>
                <w:szCs w:val="24"/>
              </w:rPr>
              <w:t>适用专业</w:t>
            </w:r>
          </w:p>
        </w:tc>
        <w:tc>
          <w:tcPr>
            <w:tcW w:w="7773" w:type="dxa"/>
            <w:gridSpan w:val="14"/>
            <w:vAlign w:val="center"/>
          </w:tcPr>
          <w:p w14:paraId="4AE51FE1">
            <w:pPr>
              <w:jc w:val="center"/>
              <w:rPr>
                <w:rFonts w:hint="eastAsia" w:ascii="仿宋" w:hAnsi="仿宋" w:eastAsia="仿宋" w:cs="仿宋"/>
                <w:sz w:val="24"/>
                <w:szCs w:val="24"/>
              </w:rPr>
            </w:pPr>
            <w:r>
              <w:rPr>
                <w:rFonts w:hint="eastAsia" w:ascii="仿宋" w:hAnsi="仿宋" w:eastAsia="仿宋" w:cs="仿宋"/>
                <w:sz w:val="24"/>
                <w:szCs w:val="24"/>
              </w:rPr>
              <w:t>音乐学</w:t>
            </w:r>
          </w:p>
        </w:tc>
      </w:tr>
      <w:tr w14:paraId="0B4288E3">
        <w:tc>
          <w:tcPr>
            <w:tcW w:w="1375" w:type="dxa"/>
            <w:tcBorders>
              <w:bottom w:val="single" w:color="auto" w:sz="4" w:space="0"/>
            </w:tcBorders>
            <w:vAlign w:val="center"/>
          </w:tcPr>
          <w:p w14:paraId="15CB45C3">
            <w:pPr>
              <w:jc w:val="center"/>
              <w:rPr>
                <w:rFonts w:hint="eastAsia" w:ascii="仿宋" w:hAnsi="仿宋" w:eastAsia="仿宋" w:cs="仿宋"/>
                <w:sz w:val="24"/>
                <w:szCs w:val="24"/>
              </w:rPr>
            </w:pPr>
            <w:r>
              <w:rPr>
                <w:rFonts w:hint="eastAsia" w:ascii="仿宋" w:hAnsi="仿宋" w:eastAsia="仿宋" w:cs="仿宋"/>
                <w:sz w:val="24"/>
                <w:szCs w:val="24"/>
              </w:rPr>
              <w:t>A</w:t>
            </w:r>
          </w:p>
          <w:p w14:paraId="2C2B9DC9">
            <w:pPr>
              <w:jc w:val="center"/>
              <w:rPr>
                <w:rFonts w:hint="eastAsia" w:ascii="仿宋" w:hAnsi="仿宋" w:eastAsia="仿宋" w:cs="仿宋"/>
                <w:sz w:val="24"/>
                <w:szCs w:val="24"/>
              </w:rPr>
            </w:pPr>
            <w:r>
              <w:rPr>
                <w:rFonts w:hint="eastAsia" w:ascii="仿宋" w:hAnsi="仿宋" w:eastAsia="仿宋" w:cs="仿宋"/>
                <w:sz w:val="24"/>
                <w:szCs w:val="24"/>
              </w:rPr>
              <w:t>参考教材</w:t>
            </w:r>
          </w:p>
        </w:tc>
        <w:tc>
          <w:tcPr>
            <w:tcW w:w="7773" w:type="dxa"/>
            <w:gridSpan w:val="14"/>
            <w:tcBorders>
              <w:bottom w:val="single" w:color="auto" w:sz="4" w:space="0"/>
            </w:tcBorders>
            <w:vAlign w:val="center"/>
          </w:tcPr>
          <w:p w14:paraId="7C87EA8B">
            <w:pPr>
              <w:jc w:val="left"/>
              <w:outlineLvl w:val="2"/>
              <w:rPr>
                <w:rFonts w:hint="eastAsia"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eastAsia="zh-CN"/>
              </w:rPr>
              <w:t>.</w:t>
            </w:r>
            <w:r>
              <w:rPr>
                <w:rFonts w:hint="eastAsia" w:ascii="仿宋" w:hAnsi="仿宋" w:eastAsia="仿宋" w:cs="仿宋"/>
                <w:sz w:val="24"/>
                <w:szCs w:val="24"/>
              </w:rPr>
              <w:t>《全国高等师范试用教材》，声乐曲选集，共八册， 人民音乐出版社1988年，第一版。</w:t>
            </w:r>
          </w:p>
          <w:p w14:paraId="1D0026C3">
            <w:pPr>
              <w:jc w:val="left"/>
              <w:outlineLvl w:val="2"/>
              <w:rPr>
                <w:rFonts w:hint="eastAsia" w:ascii="仿宋" w:hAnsi="仿宋" w:eastAsia="仿宋" w:cs="仿宋"/>
                <w:sz w:val="24"/>
                <w:szCs w:val="24"/>
              </w:rPr>
            </w:pPr>
            <w:r>
              <w:rPr>
                <w:rFonts w:hint="eastAsia" w:ascii="仿宋" w:hAnsi="仿宋" w:eastAsia="仿宋" w:cs="仿宋"/>
                <w:sz w:val="24"/>
                <w:szCs w:val="24"/>
              </w:rPr>
              <w:t>2</w:t>
            </w:r>
            <w:r>
              <w:rPr>
                <w:rFonts w:hint="eastAsia" w:ascii="仿宋" w:hAnsi="仿宋" w:eastAsia="仿宋" w:cs="仿宋"/>
                <w:sz w:val="24"/>
                <w:szCs w:val="24"/>
                <w:lang w:eastAsia="zh-CN"/>
              </w:rPr>
              <w:t>.</w:t>
            </w:r>
            <w:r>
              <w:rPr>
                <w:rFonts w:hint="eastAsia" w:ascii="仿宋" w:hAnsi="仿宋" w:eastAsia="仿宋" w:cs="仿宋"/>
                <w:sz w:val="24"/>
                <w:szCs w:val="24"/>
              </w:rPr>
              <w:t>尚家襄，《古典意大利歌曲集》，人民音乐出版社1988年，第一版。</w:t>
            </w:r>
          </w:p>
          <w:p w14:paraId="1B24D685">
            <w:pPr>
              <w:jc w:val="left"/>
              <w:outlineLvl w:val="2"/>
              <w:rPr>
                <w:rFonts w:hint="eastAsia" w:ascii="仿宋" w:hAnsi="仿宋" w:eastAsia="仿宋" w:cs="仿宋"/>
                <w:sz w:val="24"/>
                <w:szCs w:val="24"/>
              </w:rPr>
            </w:pPr>
            <w:r>
              <w:rPr>
                <w:rFonts w:hint="eastAsia" w:ascii="仿宋" w:hAnsi="仿宋" w:eastAsia="仿宋" w:cs="仿宋"/>
                <w:sz w:val="24"/>
                <w:szCs w:val="24"/>
              </w:rPr>
              <w:t>3</w:t>
            </w:r>
            <w:r>
              <w:rPr>
                <w:rFonts w:hint="eastAsia" w:ascii="仿宋" w:hAnsi="仿宋" w:eastAsia="仿宋" w:cs="仿宋"/>
                <w:sz w:val="24"/>
                <w:szCs w:val="24"/>
                <w:lang w:eastAsia="zh-CN"/>
              </w:rPr>
              <w:t>.</w:t>
            </w:r>
            <w:r>
              <w:rPr>
                <w:rFonts w:hint="eastAsia" w:ascii="仿宋" w:hAnsi="仿宋" w:eastAsia="仿宋" w:cs="仿宋"/>
                <w:sz w:val="24"/>
                <w:szCs w:val="24"/>
              </w:rPr>
              <w:t>胡郁青主编，《中外声乐曲选集》，西南师范大学出版社，2008年第一版。</w:t>
            </w:r>
          </w:p>
        </w:tc>
      </w:tr>
      <w:tr w14:paraId="4B062535">
        <w:tc>
          <w:tcPr>
            <w:tcW w:w="1375" w:type="dxa"/>
            <w:tcBorders>
              <w:bottom w:val="single" w:color="auto" w:sz="4" w:space="0"/>
            </w:tcBorders>
            <w:vAlign w:val="center"/>
          </w:tcPr>
          <w:p w14:paraId="22387C19">
            <w:pPr>
              <w:jc w:val="center"/>
              <w:rPr>
                <w:rFonts w:hint="eastAsia" w:ascii="仿宋" w:hAnsi="仿宋" w:eastAsia="仿宋" w:cs="仿宋"/>
                <w:sz w:val="24"/>
                <w:szCs w:val="24"/>
              </w:rPr>
            </w:pPr>
            <w:r>
              <w:rPr>
                <w:rFonts w:hint="eastAsia" w:ascii="仿宋" w:hAnsi="仿宋" w:eastAsia="仿宋" w:cs="仿宋"/>
                <w:sz w:val="24"/>
                <w:szCs w:val="24"/>
              </w:rPr>
              <w:t>B</w:t>
            </w:r>
          </w:p>
          <w:p w14:paraId="678FE11B">
            <w:pPr>
              <w:jc w:val="center"/>
              <w:rPr>
                <w:rFonts w:hint="eastAsia" w:ascii="仿宋" w:hAnsi="仿宋" w:eastAsia="仿宋" w:cs="仿宋"/>
                <w:sz w:val="24"/>
                <w:szCs w:val="24"/>
              </w:rPr>
            </w:pPr>
            <w:r>
              <w:rPr>
                <w:rFonts w:hint="eastAsia" w:ascii="仿宋" w:hAnsi="仿宋" w:eastAsia="仿宋" w:cs="仿宋"/>
                <w:sz w:val="24"/>
                <w:szCs w:val="24"/>
              </w:rPr>
              <w:t>主要参考书籍</w:t>
            </w:r>
          </w:p>
        </w:tc>
        <w:tc>
          <w:tcPr>
            <w:tcW w:w="7773" w:type="dxa"/>
            <w:gridSpan w:val="14"/>
            <w:tcBorders>
              <w:bottom w:val="single" w:color="auto" w:sz="4" w:space="0"/>
            </w:tcBorders>
            <w:vAlign w:val="top"/>
          </w:tcPr>
          <w:p w14:paraId="5A80244C">
            <w:pPr>
              <w:jc w:val="left"/>
              <w:outlineLvl w:val="2"/>
              <w:rPr>
                <w:rFonts w:hint="eastAsia"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eastAsia="zh-CN"/>
              </w:rPr>
              <w:t>.</w:t>
            </w:r>
            <w:r>
              <w:rPr>
                <w:rFonts w:hint="eastAsia" w:ascii="仿宋" w:hAnsi="仿宋" w:eastAsia="仿宋" w:cs="仿宋"/>
                <w:sz w:val="24"/>
                <w:szCs w:val="24"/>
              </w:rPr>
              <w:t>邹本初著，《歌唱学--沈湘歌唱学体系研究》，人民音乐出版社2000年第一版。</w:t>
            </w:r>
          </w:p>
          <w:p w14:paraId="7C00D90F">
            <w:pPr>
              <w:jc w:val="left"/>
              <w:outlineLvl w:val="2"/>
              <w:rPr>
                <w:rFonts w:hint="eastAsia" w:ascii="仿宋" w:hAnsi="仿宋" w:eastAsia="仿宋" w:cs="仿宋"/>
                <w:sz w:val="24"/>
                <w:szCs w:val="24"/>
              </w:rPr>
            </w:pPr>
            <w:r>
              <w:rPr>
                <w:rFonts w:hint="eastAsia" w:ascii="仿宋" w:hAnsi="仿宋" w:eastAsia="仿宋" w:cs="仿宋"/>
                <w:sz w:val="24"/>
                <w:szCs w:val="24"/>
              </w:rPr>
              <w:t>2</w:t>
            </w:r>
            <w:r>
              <w:rPr>
                <w:rFonts w:hint="eastAsia" w:ascii="仿宋" w:hAnsi="仿宋" w:eastAsia="仿宋" w:cs="仿宋"/>
                <w:sz w:val="24"/>
                <w:szCs w:val="24"/>
                <w:lang w:eastAsia="zh-CN"/>
              </w:rPr>
              <w:t>.</w:t>
            </w:r>
            <w:r>
              <w:rPr>
                <w:rFonts w:hint="eastAsia" w:ascii="仿宋" w:hAnsi="仿宋" w:eastAsia="仿宋" w:cs="仿宋"/>
                <w:sz w:val="24"/>
                <w:szCs w:val="24"/>
              </w:rPr>
              <w:t>李晋玮著，《沈湘声乐教学艺术》、人民音乐出版社1998年第一版。</w:t>
            </w:r>
          </w:p>
          <w:p w14:paraId="783D4CDD">
            <w:pPr>
              <w:jc w:val="left"/>
              <w:outlineLvl w:val="2"/>
              <w:rPr>
                <w:rFonts w:hint="eastAsia" w:ascii="仿宋" w:hAnsi="仿宋" w:eastAsia="仿宋" w:cs="仿宋"/>
                <w:sz w:val="24"/>
                <w:szCs w:val="24"/>
              </w:rPr>
            </w:pPr>
            <w:r>
              <w:rPr>
                <w:rFonts w:hint="eastAsia" w:ascii="仿宋" w:hAnsi="仿宋" w:eastAsia="仿宋" w:cs="仿宋"/>
                <w:sz w:val="24"/>
                <w:szCs w:val="24"/>
              </w:rPr>
              <w:t>3</w:t>
            </w:r>
            <w:r>
              <w:rPr>
                <w:rFonts w:hint="eastAsia" w:ascii="仿宋" w:hAnsi="仿宋" w:eastAsia="仿宋" w:cs="仿宋"/>
                <w:sz w:val="24"/>
                <w:szCs w:val="24"/>
                <w:lang w:eastAsia="zh-CN"/>
              </w:rPr>
              <w:t>.</w:t>
            </w:r>
            <w:r>
              <w:rPr>
                <w:rFonts w:hint="eastAsia" w:ascii="仿宋" w:hAnsi="仿宋" w:eastAsia="仿宋" w:cs="仿宋"/>
                <w:sz w:val="24"/>
                <w:szCs w:val="24"/>
              </w:rPr>
              <w:t xml:space="preserve">管林 著，《中国民族声乐史》，中国文联出版公司，1998年，第一版。 </w:t>
            </w:r>
          </w:p>
          <w:p w14:paraId="20DE7670">
            <w:pPr>
              <w:jc w:val="left"/>
              <w:outlineLvl w:val="2"/>
              <w:rPr>
                <w:rFonts w:hint="eastAsia" w:ascii="仿宋" w:hAnsi="仿宋" w:eastAsia="仿宋" w:cs="仿宋"/>
                <w:sz w:val="24"/>
                <w:szCs w:val="24"/>
              </w:rPr>
            </w:pPr>
            <w:r>
              <w:rPr>
                <w:rFonts w:hint="eastAsia" w:ascii="仿宋" w:hAnsi="仿宋" w:eastAsia="仿宋" w:cs="仿宋"/>
                <w:sz w:val="24"/>
                <w:szCs w:val="24"/>
              </w:rPr>
              <w:t>4</w:t>
            </w:r>
            <w:r>
              <w:rPr>
                <w:rFonts w:hint="eastAsia" w:ascii="仿宋" w:hAnsi="仿宋" w:eastAsia="仿宋" w:cs="仿宋"/>
                <w:sz w:val="24"/>
                <w:szCs w:val="24"/>
                <w:lang w:eastAsia="zh-CN"/>
              </w:rPr>
              <w:t>.</w:t>
            </w:r>
            <w:r>
              <w:rPr>
                <w:rFonts w:hint="eastAsia" w:ascii="仿宋" w:hAnsi="仿宋" w:eastAsia="仿宋" w:cs="仿宋"/>
                <w:sz w:val="24"/>
                <w:szCs w:val="24"/>
              </w:rPr>
              <w:t>杰罗姆.汉涅斯著，《大歌唱家谈精湛的演唱技巧》，中国青年出版社，1996年第一版。</w:t>
            </w:r>
          </w:p>
          <w:p w14:paraId="2192B9C2">
            <w:pPr>
              <w:jc w:val="left"/>
              <w:outlineLvl w:val="2"/>
              <w:rPr>
                <w:rFonts w:hint="eastAsia" w:ascii="仿宋" w:hAnsi="仿宋" w:eastAsia="仿宋" w:cs="仿宋"/>
                <w:sz w:val="24"/>
                <w:szCs w:val="24"/>
              </w:rPr>
            </w:pPr>
            <w:r>
              <w:rPr>
                <w:rFonts w:hint="eastAsia" w:ascii="仿宋" w:hAnsi="仿宋" w:eastAsia="仿宋" w:cs="仿宋"/>
                <w:sz w:val="24"/>
                <w:szCs w:val="24"/>
              </w:rPr>
              <w:t>5</w:t>
            </w:r>
            <w:r>
              <w:rPr>
                <w:rFonts w:hint="eastAsia" w:ascii="仿宋" w:hAnsi="仿宋" w:eastAsia="仿宋" w:cs="仿宋"/>
                <w:sz w:val="24"/>
                <w:szCs w:val="24"/>
                <w:lang w:eastAsia="zh-CN"/>
              </w:rPr>
              <w:t>.</w:t>
            </w:r>
            <w:r>
              <w:rPr>
                <w:rFonts w:hint="eastAsia" w:ascii="仿宋" w:hAnsi="仿宋" w:eastAsia="仿宋" w:cs="仿宋"/>
                <w:sz w:val="24"/>
                <w:szCs w:val="24"/>
              </w:rPr>
              <w:t>王如湘编著，《跟我学唱歌——民族、美声卷》，湖南文艺出版社，2004年新一版。</w:t>
            </w:r>
          </w:p>
          <w:p w14:paraId="49591FF5">
            <w:pPr>
              <w:jc w:val="left"/>
              <w:outlineLvl w:val="2"/>
              <w:rPr>
                <w:rFonts w:hint="eastAsia" w:ascii="仿宋" w:hAnsi="仿宋" w:eastAsia="仿宋" w:cs="仿宋"/>
                <w:sz w:val="24"/>
                <w:szCs w:val="24"/>
              </w:rPr>
            </w:pPr>
            <w:r>
              <w:rPr>
                <w:rFonts w:hint="eastAsia" w:ascii="仿宋" w:hAnsi="仿宋" w:eastAsia="仿宋" w:cs="仿宋"/>
                <w:sz w:val="24"/>
                <w:szCs w:val="24"/>
              </w:rPr>
              <w:t>6</w:t>
            </w:r>
            <w:r>
              <w:rPr>
                <w:rFonts w:hint="eastAsia" w:ascii="仿宋" w:hAnsi="仿宋" w:eastAsia="仿宋" w:cs="仿宋"/>
                <w:sz w:val="24"/>
                <w:szCs w:val="24"/>
                <w:lang w:eastAsia="zh-CN"/>
              </w:rPr>
              <w:t>.</w:t>
            </w:r>
            <w:r>
              <w:rPr>
                <w:rFonts w:hint="eastAsia" w:ascii="仿宋" w:hAnsi="仿宋" w:eastAsia="仿宋" w:cs="仿宋"/>
                <w:sz w:val="24"/>
                <w:szCs w:val="24"/>
              </w:rPr>
              <w:t>俞子正，《21世纪声乐教学论》．西师出版社，2000.。</w:t>
            </w:r>
          </w:p>
          <w:p w14:paraId="52E749A7">
            <w:pPr>
              <w:jc w:val="left"/>
              <w:outlineLvl w:val="2"/>
              <w:rPr>
                <w:rFonts w:hint="eastAsia" w:ascii="仿宋" w:hAnsi="仿宋" w:eastAsia="仿宋" w:cs="仿宋"/>
                <w:sz w:val="24"/>
                <w:szCs w:val="24"/>
              </w:rPr>
            </w:pPr>
            <w:r>
              <w:rPr>
                <w:rFonts w:hint="eastAsia" w:ascii="仿宋" w:hAnsi="仿宋" w:eastAsia="仿宋" w:cs="仿宋"/>
                <w:sz w:val="24"/>
                <w:szCs w:val="24"/>
              </w:rPr>
              <w:t>7</w:t>
            </w:r>
            <w:r>
              <w:rPr>
                <w:rFonts w:hint="eastAsia" w:ascii="仿宋" w:hAnsi="仿宋" w:eastAsia="仿宋" w:cs="仿宋"/>
                <w:sz w:val="24"/>
                <w:szCs w:val="24"/>
                <w:lang w:eastAsia="zh-CN"/>
              </w:rPr>
              <w:t>.</w:t>
            </w:r>
            <w:r>
              <w:rPr>
                <w:rFonts w:hint="eastAsia" w:ascii="仿宋" w:hAnsi="仿宋" w:eastAsia="仿宋" w:cs="仿宋"/>
                <w:sz w:val="24"/>
                <w:szCs w:val="24"/>
              </w:rPr>
              <w:t>赵震民．《声乐理论与教学》．上海音乐出版社，2002。</w:t>
            </w:r>
          </w:p>
          <w:p w14:paraId="4E4BE3D5">
            <w:pPr>
              <w:jc w:val="left"/>
              <w:outlineLvl w:val="2"/>
              <w:rPr>
                <w:rFonts w:ascii="仿宋" w:hAnsi="仿宋" w:eastAsia="仿宋" w:cs="仿宋"/>
                <w:sz w:val="24"/>
                <w:szCs w:val="24"/>
              </w:rPr>
            </w:pPr>
            <w:r>
              <w:rPr>
                <w:rFonts w:hint="eastAsia" w:ascii="仿宋" w:hAnsi="仿宋" w:eastAsia="仿宋" w:cs="仿宋"/>
                <w:sz w:val="24"/>
                <w:szCs w:val="24"/>
              </w:rPr>
              <w:t>8</w:t>
            </w:r>
            <w:r>
              <w:rPr>
                <w:rFonts w:hint="eastAsia" w:ascii="仿宋" w:hAnsi="仿宋" w:eastAsia="仿宋" w:cs="仿宋"/>
                <w:sz w:val="24"/>
                <w:szCs w:val="24"/>
                <w:lang w:eastAsia="zh-CN"/>
              </w:rPr>
              <w:t>.</w:t>
            </w:r>
            <w:r>
              <w:rPr>
                <w:rFonts w:hint="eastAsia" w:ascii="仿宋" w:hAnsi="仿宋" w:eastAsia="仿宋" w:cs="仿宋"/>
                <w:sz w:val="24"/>
                <w:szCs w:val="24"/>
              </w:rPr>
              <w:t>金铁霖主编，《金铁霖声乐教学曲选》，人民音乐出版社2006年第一版等。</w:t>
            </w:r>
          </w:p>
        </w:tc>
      </w:tr>
      <w:tr w14:paraId="3E72DE66">
        <w:tc>
          <w:tcPr>
            <w:tcW w:w="1375" w:type="dxa"/>
            <w:tcBorders>
              <w:bottom w:val="single" w:color="auto" w:sz="4" w:space="0"/>
            </w:tcBorders>
            <w:vAlign w:val="center"/>
          </w:tcPr>
          <w:p w14:paraId="49AB5B2B">
            <w:pPr>
              <w:jc w:val="center"/>
              <w:rPr>
                <w:rFonts w:hint="eastAsia" w:ascii="仿宋" w:hAnsi="仿宋" w:eastAsia="仿宋" w:cs="仿宋"/>
                <w:sz w:val="24"/>
                <w:szCs w:val="24"/>
              </w:rPr>
            </w:pPr>
            <w:r>
              <w:rPr>
                <w:rFonts w:hint="eastAsia" w:ascii="仿宋" w:hAnsi="仿宋" w:eastAsia="仿宋" w:cs="仿宋"/>
                <w:sz w:val="24"/>
                <w:szCs w:val="24"/>
              </w:rPr>
              <w:t>C</w:t>
            </w:r>
          </w:p>
          <w:p w14:paraId="1A24FCBE">
            <w:pPr>
              <w:jc w:val="center"/>
              <w:rPr>
                <w:rFonts w:hint="eastAsia" w:ascii="仿宋" w:hAnsi="仿宋" w:eastAsia="仿宋" w:cs="仿宋"/>
                <w:sz w:val="24"/>
                <w:szCs w:val="24"/>
              </w:rPr>
            </w:pPr>
            <w:r>
              <w:rPr>
                <w:rFonts w:hint="eastAsia" w:ascii="仿宋" w:hAnsi="仿宋" w:eastAsia="仿宋" w:cs="仿宋"/>
                <w:sz w:val="24"/>
                <w:szCs w:val="24"/>
              </w:rPr>
              <w:t>线上学习资源</w:t>
            </w:r>
          </w:p>
        </w:tc>
        <w:tc>
          <w:tcPr>
            <w:tcW w:w="7773" w:type="dxa"/>
            <w:gridSpan w:val="14"/>
            <w:tcBorders>
              <w:bottom w:val="single" w:color="auto" w:sz="4" w:space="0"/>
            </w:tcBorders>
            <w:vAlign w:val="center"/>
          </w:tcPr>
          <w:p w14:paraId="463924FF">
            <w:pPr>
              <w:rPr>
                <w:rFonts w:hint="eastAsia" w:ascii="仿宋" w:hAnsi="仿宋" w:eastAsia="仿宋" w:cs="仿宋"/>
                <w:sz w:val="24"/>
                <w:szCs w:val="24"/>
              </w:rPr>
            </w:pPr>
            <w:r>
              <w:rPr>
                <w:rFonts w:hint="eastAsia" w:ascii="仿宋" w:hAnsi="仿宋" w:eastAsia="仿宋" w:cs="仿宋"/>
                <w:sz w:val="24"/>
                <w:szCs w:val="24"/>
              </w:rPr>
              <w:t>1.本课程已经建立超星平台网络课程，同学们依据学校提供的帐号与密码登录课程网站，可查看教学大纲、授课计划、考核方法、课程PPT、教学视频、电子教材、音频、阅读资料、仿真软件、网络文献链接网址等教学资源。</w:t>
            </w:r>
          </w:p>
          <w:p w14:paraId="57F6E86A">
            <w:pPr>
              <w:rPr>
                <w:rFonts w:hint="eastAsia" w:ascii="仿宋" w:hAnsi="仿宋" w:eastAsia="仿宋" w:cs="仿宋"/>
                <w:kern w:val="0"/>
                <w:sz w:val="24"/>
                <w:szCs w:val="24"/>
              </w:rPr>
            </w:pPr>
            <w:r>
              <w:rPr>
                <w:rFonts w:hint="eastAsia" w:ascii="仿宋" w:hAnsi="仿宋" w:eastAsia="仿宋" w:cs="仿宋"/>
                <w:kern w:val="0"/>
                <w:sz w:val="24"/>
                <w:szCs w:val="24"/>
              </w:rPr>
              <w:t>2.中国大学MOOC平台、三明学院网络课程平台等。</w:t>
            </w:r>
          </w:p>
        </w:tc>
      </w:tr>
      <w:tr w14:paraId="019CBFBD">
        <w:trPr>
          <w:trHeight w:val="90" w:hRule="atLeast"/>
        </w:trPr>
        <w:tc>
          <w:tcPr>
            <w:tcW w:w="1375" w:type="dxa"/>
            <w:shd w:val="clear" w:color="auto" w:fill="FFFFFF"/>
            <w:vAlign w:val="center"/>
          </w:tcPr>
          <w:p w14:paraId="4CA56AD0">
            <w:pPr>
              <w:jc w:val="center"/>
              <w:rPr>
                <w:rFonts w:hint="eastAsia" w:ascii="仿宋" w:hAnsi="仿宋" w:eastAsia="仿宋" w:cs="仿宋"/>
                <w:sz w:val="24"/>
                <w:szCs w:val="24"/>
              </w:rPr>
            </w:pPr>
            <w:r>
              <w:rPr>
                <w:rFonts w:hint="eastAsia" w:ascii="仿宋" w:hAnsi="仿宋" w:eastAsia="仿宋" w:cs="仿宋"/>
                <w:sz w:val="24"/>
                <w:szCs w:val="24"/>
              </w:rPr>
              <w:t>D</w:t>
            </w:r>
          </w:p>
          <w:p w14:paraId="0615FACE">
            <w:pPr>
              <w:jc w:val="center"/>
              <w:rPr>
                <w:rFonts w:hint="eastAsia" w:ascii="仿宋" w:hAnsi="仿宋" w:eastAsia="仿宋" w:cs="仿宋"/>
                <w:sz w:val="24"/>
                <w:szCs w:val="24"/>
              </w:rPr>
            </w:pPr>
            <w:r>
              <w:rPr>
                <w:rFonts w:hint="eastAsia" w:ascii="仿宋" w:hAnsi="仿宋" w:eastAsia="仿宋" w:cs="仿宋"/>
                <w:sz w:val="24"/>
                <w:szCs w:val="24"/>
              </w:rPr>
              <w:t xml:space="preserve">课程描述 </w:t>
            </w:r>
          </w:p>
          <w:p w14:paraId="6C80DDD4">
            <w:pPr>
              <w:jc w:val="center"/>
              <w:rPr>
                <w:rFonts w:hint="eastAsia" w:ascii="仿宋" w:hAnsi="仿宋" w:eastAsia="仿宋" w:cs="仿宋"/>
                <w:sz w:val="24"/>
                <w:szCs w:val="24"/>
              </w:rPr>
            </w:pPr>
            <w:r>
              <w:rPr>
                <w:rFonts w:hint="eastAsia" w:ascii="仿宋" w:hAnsi="仿宋" w:eastAsia="仿宋" w:cs="仿宋"/>
                <w:sz w:val="24"/>
                <w:szCs w:val="24"/>
                <w:lang w:eastAsia="zh-TW"/>
              </w:rPr>
              <w:t>(</w:t>
            </w:r>
            <w:r>
              <w:rPr>
                <w:rFonts w:hint="eastAsia" w:ascii="仿宋" w:hAnsi="仿宋" w:eastAsia="仿宋" w:cs="仿宋"/>
                <w:sz w:val="24"/>
                <w:szCs w:val="24"/>
              </w:rPr>
              <w:t>含</w:t>
            </w:r>
            <w:r>
              <w:rPr>
                <w:rFonts w:hint="eastAsia" w:ascii="仿宋" w:hAnsi="仿宋" w:eastAsia="仿宋" w:cs="仿宋"/>
                <w:sz w:val="24"/>
                <w:szCs w:val="24"/>
                <w:lang w:eastAsia="zh-TW"/>
              </w:rPr>
              <w:t>性质、地位和任务)</w:t>
            </w:r>
          </w:p>
        </w:tc>
        <w:tc>
          <w:tcPr>
            <w:tcW w:w="7773" w:type="dxa"/>
            <w:gridSpan w:val="14"/>
            <w:tcBorders>
              <w:bottom w:val="single" w:color="auto" w:sz="4" w:space="0"/>
            </w:tcBorders>
            <w:shd w:val="clear" w:color="auto" w:fill="FFFFFF"/>
            <w:vAlign w:val="center"/>
          </w:tcPr>
          <w:p w14:paraId="5948D16D">
            <w:pPr>
              <w:widowControl/>
              <w:ind w:firstLine="480" w:firstLineChars="200"/>
              <w:jc w:val="left"/>
              <w:outlineLvl w:val="2"/>
              <w:rPr>
                <w:rFonts w:ascii="仿宋" w:hAnsi="仿宋" w:eastAsia="仿宋" w:cs="仿宋"/>
                <w:kern w:val="0"/>
                <w:sz w:val="24"/>
                <w:szCs w:val="24"/>
              </w:rPr>
            </w:pPr>
            <w:r>
              <w:rPr>
                <w:rFonts w:hint="eastAsia" w:ascii="仿宋" w:hAnsi="仿宋" w:eastAsia="仿宋" w:cs="仿宋"/>
                <w:sz w:val="24"/>
                <w:szCs w:val="24"/>
              </w:rPr>
              <w:t>本课程为音乐学声乐方向开设的专业必修课,是训练学生掌握科学的歌唱发声方法,运用人声进行艺术表现的一门学科.</w:t>
            </w:r>
            <w:r>
              <w:rPr>
                <w:rFonts w:ascii="仿宋" w:hAnsi="仿宋" w:eastAsia="仿宋" w:cs="仿宋"/>
                <w:sz w:val="24"/>
                <w:szCs w:val="24"/>
              </w:rPr>
              <w:t xml:space="preserve"> </w:t>
            </w:r>
            <w:r>
              <w:rPr>
                <w:rFonts w:hint="eastAsia" w:ascii="仿宋" w:hAnsi="仿宋" w:eastAsia="仿宋" w:cs="仿宋"/>
                <w:sz w:val="24"/>
                <w:szCs w:val="24"/>
              </w:rPr>
              <w:t>通过本课程的学习使学生逐步树立正确的声音概念，建立正确的歌唱状态，掌握科学的发声方法、技能技巧和声乐基础理论知识，</w:t>
            </w:r>
            <w:r>
              <w:rPr>
                <w:rFonts w:hint="eastAsia" w:ascii="仿宋" w:hAnsi="仿宋" w:eastAsia="仿宋" w:cs="宋体"/>
                <w:sz w:val="24"/>
                <w:szCs w:val="24"/>
              </w:rPr>
              <w:t>形成</w:t>
            </w:r>
            <w:r>
              <w:rPr>
                <w:rFonts w:hint="eastAsia" w:ascii="仿宋" w:hAnsi="仿宋" w:eastAsia="仿宋" w:cs="宋体"/>
                <w:sz w:val="24"/>
                <w:szCs w:val="24"/>
                <w:lang w:eastAsia="en-US"/>
              </w:rPr>
              <w:t>初步的音乐</w:t>
            </w:r>
            <w:r>
              <w:rPr>
                <w:rFonts w:hint="eastAsia" w:ascii="仿宋" w:hAnsi="仿宋" w:eastAsia="仿宋" w:cs="宋体"/>
                <w:sz w:val="24"/>
                <w:szCs w:val="24"/>
              </w:rPr>
              <w:t>理论知识体系</w:t>
            </w:r>
            <w:r>
              <w:rPr>
                <w:rFonts w:hint="eastAsia" w:ascii="仿宋" w:hAnsi="仿宋" w:eastAsia="仿宋" w:cs="仿宋"/>
                <w:sz w:val="24"/>
                <w:szCs w:val="24"/>
              </w:rPr>
              <w:t>；能分析处理一般声乐作品;能较好地演唱和表现不同体裁、不同风格的中外声乐作品。努力培养具有民族文化传承志向之才，发挥文化自信力。</w:t>
            </w:r>
          </w:p>
        </w:tc>
      </w:tr>
      <w:tr w14:paraId="34C63193">
        <w:trPr>
          <w:trHeight w:val="3071" w:hRule="atLeast"/>
        </w:trPr>
        <w:tc>
          <w:tcPr>
            <w:tcW w:w="1375" w:type="dxa"/>
            <w:vMerge w:val="restart"/>
            <w:shd w:val="clear" w:color="auto" w:fill="FFFFFF"/>
            <w:vAlign w:val="center"/>
          </w:tcPr>
          <w:p w14:paraId="5632A50C">
            <w:pPr>
              <w:jc w:val="center"/>
              <w:rPr>
                <w:rFonts w:hint="eastAsia" w:ascii="仿宋" w:hAnsi="仿宋" w:eastAsia="仿宋" w:cs="仿宋"/>
                <w:sz w:val="24"/>
                <w:szCs w:val="24"/>
              </w:rPr>
            </w:pPr>
            <w:r>
              <w:rPr>
                <w:rFonts w:hint="eastAsia" w:ascii="仿宋" w:hAnsi="仿宋" w:eastAsia="仿宋" w:cs="仿宋"/>
                <w:sz w:val="24"/>
                <w:szCs w:val="24"/>
              </w:rPr>
              <w:t>E</w:t>
            </w:r>
          </w:p>
          <w:p w14:paraId="1064E893">
            <w:pPr>
              <w:jc w:val="center"/>
              <w:rPr>
                <w:rFonts w:hint="eastAsia" w:ascii="仿宋" w:hAnsi="仿宋" w:eastAsia="仿宋" w:cs="仿宋"/>
                <w:sz w:val="24"/>
                <w:szCs w:val="24"/>
              </w:rPr>
            </w:pPr>
            <w:r>
              <w:rPr>
                <w:rFonts w:hint="eastAsia" w:ascii="仿宋" w:hAnsi="仿宋" w:eastAsia="仿宋" w:cs="仿宋"/>
                <w:sz w:val="24"/>
                <w:szCs w:val="24"/>
              </w:rPr>
              <w:t>课程学习目标及其与毕业要求的对应关系</w:t>
            </w:r>
          </w:p>
        </w:tc>
        <w:tc>
          <w:tcPr>
            <w:tcW w:w="7773" w:type="dxa"/>
            <w:gridSpan w:val="14"/>
            <w:tcBorders>
              <w:bottom w:val="single" w:color="auto" w:sz="4" w:space="0"/>
            </w:tcBorders>
            <w:shd w:val="clear" w:color="auto" w:fill="FFFFFF"/>
            <w:vAlign w:val="center"/>
          </w:tcPr>
          <w:p w14:paraId="39398C40">
            <w:pPr>
              <w:jc w:val="left"/>
              <w:rPr>
                <w:rFonts w:ascii="仿宋" w:hAnsi="仿宋" w:eastAsia="PMingLiU" w:cs="仿宋"/>
                <w:sz w:val="24"/>
                <w:szCs w:val="24"/>
                <w:lang w:eastAsia="zh-TW"/>
              </w:rPr>
            </w:pPr>
            <w:r>
              <w:rPr>
                <w:rFonts w:hint="eastAsia" w:ascii="仿宋" w:hAnsi="仿宋" w:eastAsia="仿宋" w:cs="仿宋"/>
                <w:sz w:val="24"/>
                <w:szCs w:val="24"/>
              </w:rPr>
              <w:t>通过本课程的学习，学生具备如下知识、能力及情感态度价值观：</w:t>
            </w:r>
          </w:p>
          <w:p w14:paraId="72956EC2">
            <w:pPr>
              <w:rPr>
                <w:rFonts w:hint="eastAsia"/>
              </w:rPr>
            </w:pPr>
            <w:r>
              <w:rPr>
                <w:rFonts w:hint="eastAsia" w:ascii="仿宋" w:hAnsi="仿宋" w:eastAsia="仿宋"/>
                <w:b/>
                <w:sz w:val="24"/>
                <w:szCs w:val="24"/>
              </w:rPr>
              <w:t>课程目标1：</w:t>
            </w:r>
            <w:r>
              <w:rPr>
                <w:rFonts w:hint="eastAsia" w:ascii="仿宋" w:hAnsi="仿宋" w:eastAsia="仿宋"/>
                <w:sz w:val="24"/>
                <w:szCs w:val="24"/>
              </w:rPr>
              <w:t>领会立德树人的理念，</w:t>
            </w:r>
            <w:r>
              <w:rPr>
                <w:rStyle w:val="127"/>
                <w:rFonts w:hint="eastAsia" w:ascii="仿宋" w:hAnsi="仿宋" w:eastAsia="仿宋"/>
                <w:sz w:val="24"/>
                <w:szCs w:val="24"/>
              </w:rPr>
              <w:t>掌握立德树人的途径与方法，</w:t>
            </w:r>
            <w:r>
              <w:rPr>
                <w:rFonts w:hint="eastAsia" w:ascii="仿宋" w:hAnsi="仿宋" w:eastAsia="仿宋"/>
                <w:sz w:val="24"/>
                <w:szCs w:val="24"/>
              </w:rPr>
              <w:t>能践行社会主义核心价值观，贯彻党的教育方针，遵守中小学教师职业道德规范。（支撑毕业要求 1.2）</w:t>
            </w:r>
            <w:r>
              <w:rPr>
                <w:rStyle w:val="127"/>
                <w:rFonts w:hint="eastAsia" w:ascii="仿宋" w:hAnsi="仿宋" w:eastAsia="仿宋"/>
                <w:sz w:val="24"/>
                <w:szCs w:val="24"/>
              </w:rPr>
              <w:t>热爱音乐教育事业，具有从教意愿，认同教师工作的价值和意义，理解教师是学生学习的促进者与学生成长的引路人。</w:t>
            </w:r>
            <w:r>
              <w:rPr>
                <w:rFonts w:hint="eastAsia" w:ascii="仿宋" w:hAnsi="仿宋" w:eastAsia="仿宋"/>
                <w:sz w:val="24"/>
                <w:szCs w:val="24"/>
              </w:rPr>
              <w:t>具有正确的教育观、学生观、教师观、课程观、教学观。（支撑毕业要求 2.1）</w:t>
            </w:r>
          </w:p>
          <w:p w14:paraId="732C2308">
            <w:pPr>
              <w:rPr>
                <w:rFonts w:ascii="仿宋" w:hAnsi="仿宋" w:eastAsia="仿宋" w:cs="仿宋"/>
                <w:b/>
                <w:bCs/>
                <w:kern w:val="0"/>
                <w:sz w:val="24"/>
                <w:szCs w:val="24"/>
              </w:rPr>
            </w:pPr>
            <w:r>
              <w:rPr>
                <w:rFonts w:hint="eastAsia" w:ascii="仿宋" w:hAnsi="仿宋" w:eastAsia="仿宋" w:cs="仿宋"/>
                <w:b/>
                <w:bCs/>
                <w:kern w:val="0"/>
                <w:sz w:val="24"/>
                <w:szCs w:val="24"/>
              </w:rPr>
              <w:t>课程目标2：</w:t>
            </w:r>
            <w:r>
              <w:rPr>
                <w:rFonts w:hint="eastAsia" w:ascii="仿宋" w:hAnsi="仿宋" w:eastAsia="仿宋" w:cs="仿宋"/>
                <w:kern w:val="0"/>
                <w:sz w:val="24"/>
                <w:szCs w:val="24"/>
              </w:rPr>
              <w:t>师范生能够掌握系统、规范的基础发声方法，学习丰富的优秀民族声乐作品，提升民族认同感；扎实掌握科学的声乐原理、学习经典作品，充分理解声音的个体差异性，能够在艺术实践中举一反三，并能够学会综合育人，促进学生音乐素养的全面发展。（支撑毕业要求</w:t>
            </w:r>
            <w:r>
              <w:rPr>
                <w:rFonts w:ascii="仿宋" w:hAnsi="仿宋" w:eastAsia="仿宋" w:cs="仿宋"/>
                <w:kern w:val="0"/>
                <w:sz w:val="24"/>
                <w:szCs w:val="24"/>
              </w:rPr>
              <w:t>3</w:t>
            </w:r>
            <w:r>
              <w:rPr>
                <w:rFonts w:hint="eastAsia" w:ascii="仿宋" w:hAnsi="仿宋" w:eastAsia="仿宋" w:cs="仿宋"/>
                <w:kern w:val="0"/>
                <w:sz w:val="24"/>
                <w:szCs w:val="24"/>
              </w:rPr>
              <w:t>.1）</w:t>
            </w:r>
            <w:r>
              <w:rPr>
                <w:rFonts w:hint="eastAsia" w:ascii="仿宋" w:hAnsi="仿宋" w:eastAsia="仿宋" w:cs="宋体"/>
                <w:sz w:val="24"/>
                <w:szCs w:val="24"/>
              </w:rPr>
              <w:t>掌握</w:t>
            </w:r>
            <w:r>
              <w:rPr>
                <w:rFonts w:hint="eastAsia" w:ascii="仿宋" w:hAnsi="仿宋" w:eastAsia="仿宋" w:cs="宋体"/>
                <w:sz w:val="24"/>
                <w:szCs w:val="24"/>
                <w:lang w:eastAsia="en-US"/>
              </w:rPr>
              <w:t>音乐</w:t>
            </w:r>
            <w:r>
              <w:rPr>
                <w:rFonts w:hint="eastAsia" w:ascii="仿宋" w:hAnsi="仿宋" w:eastAsia="仿宋" w:cs="宋体"/>
                <w:sz w:val="24"/>
                <w:szCs w:val="24"/>
              </w:rPr>
              <w:t>理论的基本知识，了解中外音乐史的总体框架，</w:t>
            </w:r>
            <w:r>
              <w:rPr>
                <w:rFonts w:hint="eastAsia" w:ascii="仿宋" w:hAnsi="仿宋" w:eastAsia="仿宋" w:cs="宋体"/>
                <w:sz w:val="24"/>
                <w:szCs w:val="24"/>
                <w:lang w:eastAsia="en-US"/>
              </w:rPr>
              <w:t>理解</w:t>
            </w:r>
            <w:r>
              <w:rPr>
                <w:rFonts w:hint="eastAsia" w:ascii="仿宋" w:hAnsi="仿宋" w:eastAsia="仿宋" w:cs="宋体"/>
                <w:sz w:val="24"/>
                <w:szCs w:val="24"/>
              </w:rPr>
              <w:t>音乐理论课程之间的相互关联，形成</w:t>
            </w:r>
            <w:r>
              <w:rPr>
                <w:rFonts w:hint="eastAsia" w:ascii="仿宋" w:hAnsi="仿宋" w:eastAsia="仿宋" w:cs="宋体"/>
                <w:sz w:val="24"/>
                <w:szCs w:val="24"/>
                <w:lang w:eastAsia="en-US"/>
              </w:rPr>
              <w:t>初步的音乐</w:t>
            </w:r>
            <w:r>
              <w:rPr>
                <w:rFonts w:hint="eastAsia" w:ascii="仿宋" w:hAnsi="仿宋" w:eastAsia="仿宋" w:cs="宋体"/>
                <w:sz w:val="24"/>
                <w:szCs w:val="24"/>
              </w:rPr>
              <w:t>理论知识体系，</w:t>
            </w:r>
            <w:r>
              <w:rPr>
                <w:rFonts w:hint="eastAsia" w:ascii="仿宋" w:hAnsi="仿宋" w:eastAsia="仿宋" w:cs="宋体"/>
                <w:sz w:val="24"/>
                <w:szCs w:val="24"/>
                <w:lang w:eastAsia="en-US"/>
              </w:rPr>
              <w:t>能够</w:t>
            </w:r>
            <w:r>
              <w:rPr>
                <w:rFonts w:hint="eastAsia" w:ascii="仿宋" w:hAnsi="仿宋" w:eastAsia="仿宋" w:cs="宋体"/>
                <w:sz w:val="24"/>
                <w:szCs w:val="24"/>
              </w:rPr>
              <w:t>综合运用音乐理论知识解决实践教学问题。</w:t>
            </w:r>
            <w:r>
              <w:rPr>
                <w:rFonts w:hint="eastAsia" w:ascii="仿宋" w:hAnsi="仿宋" w:eastAsia="仿宋" w:cs="仿宋"/>
                <w:kern w:val="0"/>
                <w:sz w:val="24"/>
                <w:szCs w:val="24"/>
              </w:rPr>
              <w:t>（支撑毕业要求</w:t>
            </w:r>
            <w:r>
              <w:rPr>
                <w:rFonts w:ascii="仿宋" w:hAnsi="仿宋" w:eastAsia="仿宋" w:cs="仿宋"/>
                <w:kern w:val="0"/>
                <w:sz w:val="24"/>
                <w:szCs w:val="24"/>
              </w:rPr>
              <w:t>3</w:t>
            </w:r>
            <w:r>
              <w:rPr>
                <w:rFonts w:hint="eastAsia" w:ascii="仿宋" w:hAnsi="仿宋" w:eastAsia="仿宋" w:cs="仿宋"/>
                <w:kern w:val="0"/>
                <w:sz w:val="24"/>
                <w:szCs w:val="24"/>
              </w:rPr>
              <w:t>.2）</w:t>
            </w:r>
          </w:p>
          <w:p w14:paraId="75241263">
            <w:pPr>
              <w:rPr>
                <w:rFonts w:hint="eastAsia" w:ascii="仿宋" w:hAnsi="仿宋" w:eastAsia="仿宋" w:cs="仿宋"/>
                <w:b/>
                <w:bCs/>
                <w:kern w:val="0"/>
                <w:sz w:val="24"/>
                <w:szCs w:val="24"/>
              </w:rPr>
            </w:pPr>
            <w:r>
              <w:rPr>
                <w:rFonts w:hint="eastAsia" w:ascii="仿宋" w:hAnsi="仿宋" w:eastAsia="仿宋" w:cs="仿宋"/>
                <w:b/>
                <w:bCs/>
                <w:kern w:val="0"/>
                <w:sz w:val="24"/>
                <w:szCs w:val="24"/>
              </w:rPr>
              <w:t xml:space="preserve">课程目标3： </w:t>
            </w:r>
            <w:r>
              <w:rPr>
                <w:rFonts w:hint="eastAsia" w:ascii="仿宋" w:hAnsi="仿宋" w:eastAsia="仿宋" w:cs="仿宋"/>
                <w:bCs/>
                <w:kern w:val="0"/>
                <w:sz w:val="24"/>
                <w:szCs w:val="24"/>
              </w:rPr>
              <w:t>师范生需要根据自身身体、嗓音条件及综合课堂表现，积极总结自身发声特点，对出现的问题及时改进并能够触类旁通。学习、掌握声乐机理，适当尝试声乐教学实践，对教学中可能出现的问题进行预判，实际中出现的问题深究原因，提出具体解决对策，真正做到教学相长。</w:t>
            </w:r>
            <w:r>
              <w:rPr>
                <w:rFonts w:hint="eastAsia" w:ascii="仿宋" w:hAnsi="仿宋" w:eastAsia="仿宋" w:cs="仿宋"/>
                <w:kern w:val="0"/>
                <w:sz w:val="24"/>
                <w:szCs w:val="24"/>
              </w:rPr>
              <w:t>（支撑毕业要求7.1）</w:t>
            </w:r>
          </w:p>
        </w:tc>
      </w:tr>
      <w:tr w14:paraId="73C7A3B7">
        <w:trPr>
          <w:trHeight w:val="642" w:hRule="atLeast"/>
        </w:trPr>
        <w:tc>
          <w:tcPr>
            <w:tcW w:w="1375" w:type="dxa"/>
            <w:vMerge w:val="continue"/>
            <w:shd w:val="clear" w:color="auto" w:fill="FFFFFF"/>
            <w:vAlign w:val="center"/>
          </w:tcPr>
          <w:p w14:paraId="137F54A2">
            <w:pPr>
              <w:jc w:val="center"/>
              <w:rPr>
                <w:rFonts w:hint="eastAsia" w:ascii="仿宋" w:hAnsi="仿宋" w:eastAsia="仿宋" w:cs="仿宋"/>
                <w:sz w:val="24"/>
                <w:szCs w:val="24"/>
              </w:rPr>
            </w:pPr>
          </w:p>
        </w:tc>
        <w:tc>
          <w:tcPr>
            <w:tcW w:w="1173" w:type="dxa"/>
            <w:tcBorders>
              <w:bottom w:val="single" w:color="auto" w:sz="4" w:space="0"/>
            </w:tcBorders>
            <w:shd w:val="clear" w:color="auto" w:fill="FFFFFF"/>
            <w:vAlign w:val="center"/>
          </w:tcPr>
          <w:p w14:paraId="6B18FBE1">
            <w:pPr>
              <w:jc w:val="center"/>
              <w:rPr>
                <w:rFonts w:hint="eastAsia" w:ascii="仿宋" w:hAnsi="仿宋" w:eastAsia="仿宋" w:cs="仿宋"/>
                <w:sz w:val="24"/>
                <w:szCs w:val="24"/>
              </w:rPr>
            </w:pPr>
            <w:r>
              <w:rPr>
                <w:rFonts w:hint="eastAsia" w:ascii="仿宋" w:hAnsi="仿宋" w:eastAsia="仿宋" w:cs="仿宋"/>
                <w:sz w:val="24"/>
                <w:szCs w:val="24"/>
              </w:rPr>
              <w:t>课程目标</w:t>
            </w:r>
          </w:p>
        </w:tc>
        <w:tc>
          <w:tcPr>
            <w:tcW w:w="4886" w:type="dxa"/>
            <w:gridSpan w:val="9"/>
            <w:tcBorders>
              <w:bottom w:val="single" w:color="auto" w:sz="4" w:space="0"/>
            </w:tcBorders>
            <w:shd w:val="clear" w:color="auto" w:fill="FFFFFF"/>
            <w:vAlign w:val="center"/>
          </w:tcPr>
          <w:p w14:paraId="4C8F2040">
            <w:pPr>
              <w:jc w:val="center"/>
              <w:rPr>
                <w:rFonts w:hint="eastAsia" w:ascii="仿宋" w:hAnsi="仿宋" w:eastAsia="仿宋" w:cs="仿宋"/>
                <w:sz w:val="24"/>
                <w:szCs w:val="24"/>
              </w:rPr>
            </w:pPr>
            <w:r>
              <w:rPr>
                <w:rFonts w:hint="eastAsia" w:ascii="仿宋" w:hAnsi="仿宋" w:eastAsia="仿宋" w:cs="仿宋"/>
                <w:sz w:val="24"/>
                <w:szCs w:val="24"/>
              </w:rPr>
              <w:t>毕业要求分解指标点</w:t>
            </w:r>
          </w:p>
        </w:tc>
        <w:tc>
          <w:tcPr>
            <w:tcW w:w="1714" w:type="dxa"/>
            <w:gridSpan w:val="4"/>
            <w:tcBorders>
              <w:bottom w:val="single" w:color="auto" w:sz="4" w:space="0"/>
            </w:tcBorders>
            <w:shd w:val="clear" w:color="auto" w:fill="FFFFFF"/>
            <w:vAlign w:val="center"/>
          </w:tcPr>
          <w:p w14:paraId="0C7249FF">
            <w:pPr>
              <w:jc w:val="center"/>
              <w:rPr>
                <w:rFonts w:hint="eastAsia" w:ascii="仿宋" w:hAnsi="仿宋" w:eastAsia="仿宋" w:cs="仿宋"/>
                <w:sz w:val="24"/>
                <w:szCs w:val="24"/>
              </w:rPr>
            </w:pPr>
            <w:r>
              <w:rPr>
                <w:rFonts w:hint="eastAsia" w:ascii="仿宋" w:hAnsi="仿宋" w:eastAsia="仿宋" w:cs="仿宋"/>
                <w:sz w:val="24"/>
                <w:szCs w:val="24"/>
              </w:rPr>
              <w:t>毕业要求</w:t>
            </w:r>
          </w:p>
        </w:tc>
      </w:tr>
      <w:tr w14:paraId="369823D9">
        <w:trPr>
          <w:trHeight w:val="817" w:hRule="atLeast"/>
        </w:trPr>
        <w:tc>
          <w:tcPr>
            <w:tcW w:w="1375" w:type="dxa"/>
            <w:vMerge w:val="continue"/>
            <w:shd w:val="clear" w:color="auto" w:fill="FFFFFF"/>
            <w:vAlign w:val="center"/>
          </w:tcPr>
          <w:p w14:paraId="18D222CD">
            <w:pPr>
              <w:jc w:val="center"/>
              <w:rPr>
                <w:rFonts w:hint="eastAsia" w:ascii="仿宋" w:hAnsi="仿宋" w:eastAsia="仿宋" w:cs="仿宋"/>
                <w:sz w:val="24"/>
                <w:szCs w:val="24"/>
              </w:rPr>
            </w:pPr>
          </w:p>
        </w:tc>
        <w:tc>
          <w:tcPr>
            <w:tcW w:w="1173" w:type="dxa"/>
            <w:tcBorders>
              <w:bottom w:val="single" w:color="auto" w:sz="4" w:space="0"/>
            </w:tcBorders>
            <w:shd w:val="clear" w:color="auto" w:fill="FFFFFF"/>
            <w:vAlign w:val="center"/>
          </w:tcPr>
          <w:p w14:paraId="32BD3414">
            <w:pPr>
              <w:jc w:val="center"/>
              <w:rPr>
                <w:rFonts w:hint="eastAsia" w:ascii="仿宋" w:hAnsi="仿宋" w:eastAsia="仿宋" w:cs="仿宋"/>
                <w:sz w:val="24"/>
                <w:szCs w:val="24"/>
              </w:rPr>
            </w:pPr>
            <w:r>
              <w:rPr>
                <w:rFonts w:hint="eastAsia" w:ascii="仿宋" w:hAnsi="仿宋" w:eastAsia="仿宋" w:cs="仿宋"/>
                <w:sz w:val="24"/>
                <w:szCs w:val="24"/>
              </w:rPr>
              <w:t>课程目标1</w:t>
            </w:r>
          </w:p>
        </w:tc>
        <w:tc>
          <w:tcPr>
            <w:tcW w:w="4886" w:type="dxa"/>
            <w:gridSpan w:val="9"/>
            <w:shd w:val="clear" w:color="auto" w:fill="FFFFFF"/>
            <w:vAlign w:val="center"/>
          </w:tcPr>
          <w:p w14:paraId="34808A3E">
            <w:pPr>
              <w:widowControl/>
              <w:autoSpaceDE w:val="0"/>
              <w:jc w:val="left"/>
              <w:rPr>
                <w:rFonts w:ascii="仿宋" w:hAnsi="仿宋" w:eastAsia="仿宋"/>
                <w:sz w:val="24"/>
                <w:szCs w:val="24"/>
              </w:rPr>
            </w:pPr>
            <w:r>
              <w:rPr>
                <w:rFonts w:hint="eastAsia" w:ascii="仿宋" w:hAnsi="仿宋" w:eastAsia="仿宋"/>
                <w:sz w:val="24"/>
                <w:szCs w:val="24"/>
              </w:rPr>
              <w:t>1.2 【立德树人】具有正确的学生观、教师观、教育观、艺术观，形成立德树人的理念，掌握立德树人的途径与方法，能够依据德智体美劳全面发展的教育方针开展教育教学，培育发展学生的核心素养。</w:t>
            </w:r>
          </w:p>
          <w:p w14:paraId="083775D2">
            <w:pPr>
              <w:rPr>
                <w:rFonts w:ascii="仿宋" w:hAnsi="仿宋" w:eastAsia="仿宋"/>
                <w:sz w:val="24"/>
                <w:szCs w:val="24"/>
              </w:rPr>
            </w:pPr>
            <w:r>
              <w:rPr>
                <w:rFonts w:hint="eastAsia" w:ascii="仿宋" w:hAnsi="仿宋" w:eastAsia="仿宋"/>
                <w:sz w:val="24"/>
                <w:szCs w:val="24"/>
              </w:rPr>
              <w:t>2.1 【职业认同】热爱音乐教育事业，具有从教意愿，认同教师工作的价值和意义，理解教师是学生学习的促进者与学生成长的引路人。解中学教师的职业特征，领会中学教育对学生发展的价值和意义。</w:t>
            </w:r>
          </w:p>
        </w:tc>
        <w:tc>
          <w:tcPr>
            <w:tcW w:w="1714" w:type="dxa"/>
            <w:gridSpan w:val="4"/>
            <w:shd w:val="clear" w:color="auto" w:fill="FFFFFF"/>
            <w:vAlign w:val="center"/>
          </w:tcPr>
          <w:p w14:paraId="468791CF">
            <w:pPr>
              <w:widowControl/>
              <w:autoSpaceDE w:val="0"/>
              <w:ind w:firstLine="360" w:firstLineChars="150"/>
              <w:jc w:val="left"/>
              <w:rPr>
                <w:rFonts w:ascii="仿宋" w:hAnsi="仿宋" w:eastAsia="仿宋"/>
                <w:sz w:val="24"/>
                <w:szCs w:val="24"/>
              </w:rPr>
            </w:pPr>
            <w:r>
              <w:rPr>
                <w:rFonts w:hint="eastAsia" w:ascii="仿宋" w:hAnsi="仿宋" w:eastAsia="仿宋"/>
                <w:sz w:val="24"/>
                <w:szCs w:val="24"/>
              </w:rPr>
              <w:t>师德规范</w:t>
            </w:r>
          </w:p>
          <w:p w14:paraId="3E64004D">
            <w:pPr>
              <w:pStyle w:val="123"/>
              <w:autoSpaceDE w:val="0"/>
              <w:ind w:firstLine="588" w:firstLineChars="245"/>
              <w:rPr>
                <w:rFonts w:hint="eastAsia" w:ascii="仿宋" w:hAnsi="仿宋" w:eastAsia="仿宋"/>
                <w:sz w:val="24"/>
                <w:szCs w:val="24"/>
              </w:rPr>
            </w:pPr>
            <w:r>
              <w:rPr>
                <w:rFonts w:hint="eastAsia" w:ascii="仿宋" w:hAnsi="仿宋" w:eastAsia="仿宋"/>
                <w:bCs/>
                <w:sz w:val="24"/>
                <w:szCs w:val="24"/>
              </w:rPr>
              <w:t>（L）</w:t>
            </w:r>
          </w:p>
          <w:p w14:paraId="556ECABB">
            <w:pPr>
              <w:widowControl/>
              <w:autoSpaceDE w:val="0"/>
              <w:ind w:firstLine="360" w:firstLineChars="150"/>
              <w:jc w:val="left"/>
              <w:rPr>
                <w:rFonts w:hint="eastAsia" w:ascii="仿宋" w:hAnsi="仿宋" w:eastAsia="仿宋"/>
                <w:sz w:val="24"/>
                <w:szCs w:val="24"/>
              </w:rPr>
            </w:pPr>
            <w:r>
              <w:rPr>
                <w:rFonts w:hint="eastAsia" w:ascii="仿宋" w:hAnsi="仿宋" w:eastAsia="仿宋"/>
                <w:sz w:val="24"/>
                <w:szCs w:val="24"/>
              </w:rPr>
              <w:t>教育情怀</w:t>
            </w:r>
          </w:p>
          <w:p w14:paraId="4E4E48F5">
            <w:pPr>
              <w:autoSpaceDE w:val="0"/>
              <w:ind w:firstLine="600" w:firstLineChars="250"/>
              <w:rPr>
                <w:rFonts w:hint="eastAsia" w:ascii="仿宋" w:hAnsi="仿宋" w:eastAsia="仿宋"/>
                <w:bCs/>
                <w:sz w:val="24"/>
                <w:szCs w:val="24"/>
              </w:rPr>
            </w:pPr>
            <w:r>
              <w:rPr>
                <w:rFonts w:hint="eastAsia" w:ascii="仿宋" w:hAnsi="仿宋" w:eastAsia="仿宋"/>
                <w:bCs/>
                <w:sz w:val="24"/>
                <w:szCs w:val="24"/>
              </w:rPr>
              <w:t>（M）</w:t>
            </w:r>
          </w:p>
          <w:p w14:paraId="6D8092F5">
            <w:pPr>
              <w:jc w:val="center"/>
              <w:rPr>
                <w:rFonts w:hint="eastAsia" w:ascii="仿宋" w:hAnsi="仿宋" w:eastAsia="仿宋" w:cs="仿宋"/>
                <w:bCs/>
                <w:sz w:val="24"/>
                <w:szCs w:val="24"/>
              </w:rPr>
            </w:pPr>
          </w:p>
        </w:tc>
      </w:tr>
      <w:tr w14:paraId="4959C491">
        <w:trPr>
          <w:trHeight w:val="817" w:hRule="atLeast"/>
        </w:trPr>
        <w:tc>
          <w:tcPr>
            <w:tcW w:w="1375" w:type="dxa"/>
            <w:vMerge w:val="continue"/>
            <w:shd w:val="clear" w:color="auto" w:fill="FFFFFF"/>
            <w:vAlign w:val="center"/>
          </w:tcPr>
          <w:p w14:paraId="472D2AB7">
            <w:pPr>
              <w:jc w:val="center"/>
              <w:rPr>
                <w:rFonts w:hint="eastAsia" w:ascii="仿宋" w:hAnsi="仿宋" w:eastAsia="仿宋" w:cs="仿宋"/>
                <w:sz w:val="24"/>
                <w:szCs w:val="24"/>
              </w:rPr>
            </w:pPr>
          </w:p>
        </w:tc>
        <w:tc>
          <w:tcPr>
            <w:tcW w:w="1173" w:type="dxa"/>
            <w:tcBorders>
              <w:bottom w:val="single" w:color="auto" w:sz="4" w:space="0"/>
            </w:tcBorders>
            <w:shd w:val="clear" w:color="auto" w:fill="FFFFFF"/>
            <w:vAlign w:val="center"/>
          </w:tcPr>
          <w:p w14:paraId="13A52A24">
            <w:pPr>
              <w:jc w:val="center"/>
              <w:rPr>
                <w:rFonts w:hint="eastAsia" w:ascii="仿宋" w:hAnsi="仿宋" w:eastAsia="仿宋" w:cs="仿宋"/>
                <w:sz w:val="24"/>
                <w:szCs w:val="24"/>
              </w:rPr>
            </w:pPr>
            <w:r>
              <w:rPr>
                <w:rFonts w:hint="eastAsia" w:ascii="仿宋" w:hAnsi="仿宋" w:eastAsia="仿宋" w:cs="仿宋"/>
                <w:sz w:val="24"/>
                <w:szCs w:val="24"/>
              </w:rPr>
              <w:t>课程目标2</w:t>
            </w:r>
          </w:p>
        </w:tc>
        <w:tc>
          <w:tcPr>
            <w:tcW w:w="4886" w:type="dxa"/>
            <w:gridSpan w:val="9"/>
            <w:shd w:val="clear" w:color="auto" w:fill="FFFFFF"/>
            <w:vAlign w:val="center"/>
          </w:tcPr>
          <w:p w14:paraId="6E95276C">
            <w:pPr>
              <w:widowControl/>
              <w:rPr>
                <w:rFonts w:hint="eastAsia" w:ascii="仿宋" w:hAnsi="仿宋" w:eastAsia="仿宋" w:cs="Times New Roman Regular"/>
                <w:sz w:val="24"/>
                <w:szCs w:val="24"/>
              </w:rPr>
            </w:pPr>
            <w:r>
              <w:rPr>
                <w:rStyle w:val="120"/>
                <w:rFonts w:hint="eastAsia" w:ascii="仿宋" w:hAnsi="仿宋" w:eastAsia="仿宋" w:cs="Times New Roman Regular"/>
                <w:sz w:val="24"/>
                <w:szCs w:val="24"/>
              </w:rPr>
              <w:t>3.1【专业技能】掌握音乐学科技法技能多项基本功，掌握音乐学科基础知识、基本理论、体系结构与思想方法，理解音乐学科的核心素养的内涵，形成音乐学科核心素养。</w:t>
            </w:r>
          </w:p>
          <w:p w14:paraId="1401A059">
            <w:pPr>
              <w:widowControl/>
              <w:rPr>
                <w:rFonts w:ascii="仿宋" w:hAnsi="仿宋" w:eastAsia="仿宋" w:cs="宋体"/>
                <w:sz w:val="24"/>
                <w:szCs w:val="24"/>
              </w:rPr>
            </w:pPr>
            <w:r>
              <w:rPr>
                <w:rFonts w:hint="eastAsia" w:ascii="仿宋" w:hAnsi="仿宋" w:eastAsia="仿宋" w:cs="宋体"/>
                <w:sz w:val="24"/>
                <w:szCs w:val="24"/>
              </w:rPr>
              <w:t>3.2【</w:t>
            </w:r>
            <w:r>
              <w:rPr>
                <w:rFonts w:hint="eastAsia" w:ascii="仿宋" w:hAnsi="仿宋" w:eastAsia="仿宋" w:cs="宋体"/>
                <w:sz w:val="24"/>
                <w:szCs w:val="24"/>
                <w:lang w:eastAsia="en-US"/>
              </w:rPr>
              <w:t>理论</w:t>
            </w:r>
            <w:r>
              <w:rPr>
                <w:rFonts w:hint="eastAsia" w:ascii="仿宋" w:hAnsi="仿宋" w:eastAsia="仿宋" w:cs="宋体"/>
                <w:sz w:val="24"/>
                <w:szCs w:val="24"/>
              </w:rPr>
              <w:t>素养】掌握</w:t>
            </w:r>
            <w:r>
              <w:rPr>
                <w:rFonts w:hint="eastAsia" w:ascii="仿宋" w:hAnsi="仿宋" w:eastAsia="仿宋" w:cs="宋体"/>
                <w:sz w:val="24"/>
                <w:szCs w:val="24"/>
                <w:lang w:eastAsia="en-US"/>
              </w:rPr>
              <w:t>音乐</w:t>
            </w:r>
            <w:r>
              <w:rPr>
                <w:rFonts w:hint="eastAsia" w:ascii="仿宋" w:hAnsi="仿宋" w:eastAsia="仿宋" w:cs="宋体"/>
                <w:sz w:val="24"/>
                <w:szCs w:val="24"/>
              </w:rPr>
              <w:t>理论的基本知识，了解中外音乐史的总体框架，</w:t>
            </w:r>
            <w:r>
              <w:rPr>
                <w:rFonts w:hint="eastAsia" w:ascii="仿宋" w:hAnsi="仿宋" w:eastAsia="仿宋" w:cs="宋体"/>
                <w:sz w:val="24"/>
                <w:szCs w:val="24"/>
                <w:lang w:eastAsia="en-US"/>
              </w:rPr>
              <w:t>理解</w:t>
            </w:r>
            <w:r>
              <w:rPr>
                <w:rFonts w:hint="eastAsia" w:ascii="仿宋" w:hAnsi="仿宋" w:eastAsia="仿宋" w:cs="宋体"/>
                <w:sz w:val="24"/>
                <w:szCs w:val="24"/>
              </w:rPr>
              <w:t>音乐理论课程之间的相互关联，形成</w:t>
            </w:r>
            <w:r>
              <w:rPr>
                <w:rFonts w:hint="eastAsia" w:ascii="仿宋" w:hAnsi="仿宋" w:eastAsia="仿宋" w:cs="宋体"/>
                <w:sz w:val="24"/>
                <w:szCs w:val="24"/>
                <w:lang w:eastAsia="en-US"/>
              </w:rPr>
              <w:t>初步的音乐</w:t>
            </w:r>
            <w:r>
              <w:rPr>
                <w:rFonts w:hint="eastAsia" w:ascii="仿宋" w:hAnsi="仿宋" w:eastAsia="仿宋" w:cs="宋体"/>
                <w:sz w:val="24"/>
                <w:szCs w:val="24"/>
              </w:rPr>
              <w:t>理论知识体系，</w:t>
            </w:r>
            <w:r>
              <w:rPr>
                <w:rFonts w:hint="eastAsia" w:ascii="仿宋" w:hAnsi="仿宋" w:eastAsia="仿宋" w:cs="宋体"/>
                <w:sz w:val="24"/>
                <w:szCs w:val="24"/>
                <w:lang w:eastAsia="en-US"/>
              </w:rPr>
              <w:t>能够</w:t>
            </w:r>
            <w:r>
              <w:rPr>
                <w:rFonts w:hint="eastAsia" w:ascii="仿宋" w:hAnsi="仿宋" w:eastAsia="仿宋" w:cs="宋体"/>
                <w:sz w:val="24"/>
                <w:szCs w:val="24"/>
              </w:rPr>
              <w:t>综合运用音乐理论知识解决实践教学问题。</w:t>
            </w:r>
          </w:p>
        </w:tc>
        <w:tc>
          <w:tcPr>
            <w:tcW w:w="1714" w:type="dxa"/>
            <w:gridSpan w:val="4"/>
            <w:shd w:val="clear" w:color="auto" w:fill="FFFFFF"/>
            <w:vAlign w:val="center"/>
          </w:tcPr>
          <w:p w14:paraId="434A4DE0">
            <w:pPr>
              <w:jc w:val="center"/>
              <w:rPr>
                <w:rFonts w:hint="eastAsia" w:ascii="仿宋" w:hAnsi="仿宋" w:eastAsia="仿宋" w:cs="仿宋"/>
                <w:bCs/>
                <w:sz w:val="24"/>
                <w:szCs w:val="24"/>
              </w:rPr>
            </w:pPr>
            <w:r>
              <w:rPr>
                <w:rFonts w:hint="eastAsia" w:ascii="仿宋" w:hAnsi="仿宋" w:eastAsia="仿宋" w:cs="仿宋"/>
                <w:bCs/>
                <w:sz w:val="24"/>
                <w:szCs w:val="24"/>
              </w:rPr>
              <w:t>学科素养</w:t>
            </w:r>
          </w:p>
          <w:p w14:paraId="1B2EB866">
            <w:pPr>
              <w:jc w:val="center"/>
              <w:rPr>
                <w:rFonts w:hint="eastAsia" w:ascii="仿宋" w:hAnsi="仿宋" w:eastAsia="仿宋" w:cs="仿宋"/>
                <w:sz w:val="24"/>
                <w:szCs w:val="24"/>
              </w:rPr>
            </w:pPr>
            <w:r>
              <w:rPr>
                <w:rFonts w:hint="eastAsia" w:ascii="仿宋" w:hAnsi="仿宋" w:eastAsia="仿宋" w:cs="仿宋"/>
                <w:bCs/>
                <w:sz w:val="24"/>
                <w:szCs w:val="24"/>
              </w:rPr>
              <w:t>（H）</w:t>
            </w:r>
          </w:p>
        </w:tc>
      </w:tr>
      <w:tr w14:paraId="5FC2E53F">
        <w:trPr>
          <w:trHeight w:val="817" w:hRule="atLeast"/>
        </w:trPr>
        <w:tc>
          <w:tcPr>
            <w:tcW w:w="1375" w:type="dxa"/>
            <w:vMerge w:val="continue"/>
            <w:shd w:val="clear" w:color="auto" w:fill="FFFFFF"/>
            <w:vAlign w:val="center"/>
          </w:tcPr>
          <w:p w14:paraId="1CDAC66F">
            <w:pPr>
              <w:jc w:val="center"/>
              <w:rPr>
                <w:rFonts w:hint="eastAsia" w:ascii="仿宋" w:hAnsi="仿宋" w:eastAsia="仿宋" w:cs="仿宋"/>
                <w:sz w:val="24"/>
                <w:szCs w:val="24"/>
              </w:rPr>
            </w:pPr>
          </w:p>
        </w:tc>
        <w:tc>
          <w:tcPr>
            <w:tcW w:w="1173" w:type="dxa"/>
            <w:shd w:val="clear" w:color="auto" w:fill="FFFFFF"/>
            <w:vAlign w:val="center"/>
          </w:tcPr>
          <w:p w14:paraId="685A5E9A">
            <w:pPr>
              <w:jc w:val="center"/>
              <w:rPr>
                <w:rFonts w:hint="eastAsia" w:ascii="仿宋" w:hAnsi="仿宋" w:eastAsia="仿宋" w:cs="仿宋"/>
                <w:sz w:val="24"/>
                <w:szCs w:val="24"/>
              </w:rPr>
            </w:pPr>
            <w:r>
              <w:rPr>
                <w:rFonts w:hint="eastAsia" w:ascii="仿宋" w:hAnsi="仿宋" w:eastAsia="仿宋" w:cs="仿宋"/>
                <w:sz w:val="24"/>
                <w:szCs w:val="24"/>
              </w:rPr>
              <w:t>课程目标3</w:t>
            </w:r>
          </w:p>
        </w:tc>
        <w:tc>
          <w:tcPr>
            <w:tcW w:w="4886" w:type="dxa"/>
            <w:gridSpan w:val="9"/>
            <w:shd w:val="clear" w:color="auto" w:fill="FFFFFF"/>
            <w:vAlign w:val="center"/>
          </w:tcPr>
          <w:p w14:paraId="42AC1B68">
            <w:pPr>
              <w:widowControl/>
              <w:rPr>
                <w:rFonts w:ascii="仿宋" w:hAnsi="仿宋" w:eastAsia="仿宋" w:cs="宋体"/>
                <w:sz w:val="24"/>
                <w:szCs w:val="24"/>
              </w:rPr>
            </w:pPr>
            <w:r>
              <w:rPr>
                <w:rStyle w:val="120"/>
                <w:rFonts w:hint="eastAsia" w:ascii="仿宋" w:hAnsi="仿宋" w:eastAsia="仿宋" w:cs="Times New Roman Regular"/>
                <w:sz w:val="24"/>
                <w:szCs w:val="24"/>
              </w:rPr>
              <w:t>7.1【反思改进】具有反思意识和批评性思维素养，初步掌握教育教学反思的基本方法和策略，能够对音乐教育教学实践活动进行有效的自我诊断，提出改进思路。</w:t>
            </w:r>
          </w:p>
        </w:tc>
        <w:tc>
          <w:tcPr>
            <w:tcW w:w="1714" w:type="dxa"/>
            <w:gridSpan w:val="4"/>
            <w:shd w:val="clear" w:color="auto" w:fill="FFFFFF"/>
            <w:vAlign w:val="center"/>
          </w:tcPr>
          <w:p w14:paraId="79DACBB1">
            <w:pPr>
              <w:jc w:val="center"/>
              <w:rPr>
                <w:rFonts w:hint="eastAsia" w:ascii="仿宋" w:hAnsi="仿宋" w:eastAsia="仿宋" w:cs="仿宋"/>
                <w:sz w:val="24"/>
                <w:szCs w:val="24"/>
              </w:rPr>
            </w:pPr>
            <w:r>
              <w:rPr>
                <w:rFonts w:hint="eastAsia" w:ascii="仿宋" w:hAnsi="仿宋" w:eastAsia="仿宋" w:cs="仿宋"/>
                <w:sz w:val="24"/>
                <w:szCs w:val="24"/>
              </w:rPr>
              <w:t>学会反思</w:t>
            </w:r>
          </w:p>
          <w:p w14:paraId="70836BFB">
            <w:pPr>
              <w:jc w:val="center"/>
              <w:rPr>
                <w:rFonts w:hint="eastAsia" w:ascii="仿宋" w:hAnsi="仿宋" w:eastAsia="仿宋" w:cs="仿宋"/>
                <w:sz w:val="24"/>
                <w:szCs w:val="24"/>
              </w:rPr>
            </w:pPr>
            <w:r>
              <w:rPr>
                <w:rFonts w:hint="eastAsia" w:ascii="仿宋" w:hAnsi="仿宋" w:eastAsia="仿宋" w:cs="仿宋"/>
                <w:sz w:val="24"/>
                <w:szCs w:val="24"/>
              </w:rPr>
              <w:t>（M）</w:t>
            </w:r>
          </w:p>
        </w:tc>
      </w:tr>
      <w:tr w14:paraId="530BAF95">
        <w:trPr>
          <w:trHeight w:val="582" w:hRule="atLeast"/>
        </w:trPr>
        <w:tc>
          <w:tcPr>
            <w:tcW w:w="1375" w:type="dxa"/>
            <w:vMerge w:val="restart"/>
            <w:shd w:val="clear" w:color="auto" w:fill="FFFFFF"/>
            <w:vAlign w:val="center"/>
          </w:tcPr>
          <w:p w14:paraId="6BE3EBBD">
            <w:pPr>
              <w:jc w:val="center"/>
              <w:rPr>
                <w:rFonts w:hint="eastAsia" w:ascii="仿宋" w:hAnsi="仿宋" w:eastAsia="仿宋" w:cs="仿宋"/>
                <w:sz w:val="24"/>
                <w:szCs w:val="24"/>
              </w:rPr>
            </w:pPr>
            <w:r>
              <w:rPr>
                <w:rFonts w:hint="eastAsia" w:ascii="仿宋" w:hAnsi="仿宋" w:eastAsia="仿宋" w:cs="仿宋"/>
                <w:sz w:val="24"/>
                <w:szCs w:val="24"/>
              </w:rPr>
              <w:t>F</w:t>
            </w:r>
          </w:p>
          <w:p w14:paraId="476C1B08">
            <w:pPr>
              <w:jc w:val="center"/>
              <w:rPr>
                <w:rFonts w:hint="eastAsia" w:ascii="仿宋" w:hAnsi="仿宋" w:eastAsia="仿宋" w:cs="仿宋"/>
                <w:sz w:val="24"/>
                <w:szCs w:val="24"/>
              </w:rPr>
            </w:pPr>
            <w:r>
              <w:rPr>
                <w:rFonts w:hint="eastAsia" w:ascii="仿宋" w:hAnsi="仿宋" w:eastAsia="仿宋" w:cs="仿宋"/>
                <w:sz w:val="24"/>
                <w:szCs w:val="24"/>
              </w:rPr>
              <w:t>理论学习内容</w:t>
            </w:r>
          </w:p>
        </w:tc>
        <w:tc>
          <w:tcPr>
            <w:tcW w:w="1173" w:type="dxa"/>
            <w:shd w:val="clear" w:color="auto" w:fill="FFFFFF"/>
            <w:vAlign w:val="center"/>
          </w:tcPr>
          <w:p w14:paraId="4FA5CD64">
            <w:pPr>
              <w:jc w:val="center"/>
              <w:rPr>
                <w:rFonts w:hint="eastAsia" w:ascii="仿宋" w:hAnsi="仿宋" w:eastAsia="仿宋" w:cs="仿宋"/>
                <w:kern w:val="0"/>
                <w:sz w:val="24"/>
                <w:szCs w:val="24"/>
              </w:rPr>
            </w:pPr>
            <w:r>
              <w:rPr>
                <w:rFonts w:hint="eastAsia" w:ascii="仿宋" w:hAnsi="仿宋" w:eastAsia="仿宋" w:cs="仿宋"/>
                <w:kern w:val="0"/>
                <w:sz w:val="24"/>
                <w:szCs w:val="24"/>
              </w:rPr>
              <w:t>章节学习内容与学习要求</w:t>
            </w:r>
          </w:p>
        </w:tc>
        <w:tc>
          <w:tcPr>
            <w:tcW w:w="5671" w:type="dxa"/>
            <w:gridSpan w:val="11"/>
            <w:shd w:val="clear" w:color="auto" w:fill="FFFFFF"/>
            <w:vAlign w:val="center"/>
          </w:tcPr>
          <w:p w14:paraId="051661A5">
            <w:pPr>
              <w:jc w:val="center"/>
              <w:rPr>
                <w:rFonts w:hint="eastAsia" w:ascii="仿宋" w:hAnsi="仿宋" w:eastAsia="仿宋" w:cs="仿宋"/>
                <w:kern w:val="0"/>
                <w:sz w:val="24"/>
                <w:szCs w:val="24"/>
              </w:rPr>
            </w:pPr>
            <w:r>
              <w:rPr>
                <w:rFonts w:hint="eastAsia" w:ascii="仿宋" w:hAnsi="仿宋" w:eastAsia="仿宋" w:cs="仿宋"/>
                <w:kern w:val="0"/>
                <w:sz w:val="24"/>
                <w:szCs w:val="24"/>
              </w:rPr>
              <w:t>支撑课程</w:t>
            </w:r>
          </w:p>
          <w:p w14:paraId="5FBD15FA">
            <w:pPr>
              <w:jc w:val="center"/>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929" w:type="dxa"/>
            <w:gridSpan w:val="2"/>
            <w:shd w:val="clear" w:color="auto" w:fill="FFFFFF"/>
            <w:vAlign w:val="center"/>
          </w:tcPr>
          <w:p w14:paraId="569EE630">
            <w:pPr>
              <w:jc w:val="center"/>
              <w:rPr>
                <w:rFonts w:ascii="仿宋" w:hAnsi="仿宋" w:eastAsia="仿宋" w:cs="仿宋"/>
                <w:kern w:val="0"/>
                <w:sz w:val="24"/>
                <w:szCs w:val="24"/>
              </w:rPr>
            </w:pPr>
            <w:r>
              <w:rPr>
                <w:rFonts w:hint="eastAsia" w:ascii="仿宋" w:hAnsi="仿宋" w:eastAsia="仿宋" w:cs="仿宋"/>
                <w:kern w:val="0"/>
                <w:sz w:val="24"/>
                <w:szCs w:val="24"/>
              </w:rPr>
              <w:t>学时</w:t>
            </w:r>
          </w:p>
          <w:p w14:paraId="725862CB">
            <w:pPr>
              <w:jc w:val="center"/>
              <w:rPr>
                <w:rFonts w:hint="eastAsia" w:ascii="仿宋" w:hAnsi="仿宋" w:eastAsia="仿宋" w:cs="仿宋"/>
                <w:kern w:val="0"/>
                <w:sz w:val="24"/>
                <w:szCs w:val="24"/>
              </w:rPr>
            </w:pPr>
            <w:r>
              <w:rPr>
                <w:rFonts w:hint="eastAsia" w:ascii="仿宋" w:hAnsi="仿宋" w:eastAsia="仿宋" w:cs="仿宋"/>
                <w:kern w:val="0"/>
                <w:sz w:val="24"/>
                <w:szCs w:val="24"/>
              </w:rPr>
              <w:t>分配</w:t>
            </w:r>
          </w:p>
        </w:tc>
      </w:tr>
      <w:tr w14:paraId="61188EE1">
        <w:trPr>
          <w:trHeight w:val="454" w:hRule="atLeast"/>
        </w:trPr>
        <w:tc>
          <w:tcPr>
            <w:tcW w:w="1375" w:type="dxa"/>
            <w:vMerge w:val="continue"/>
            <w:shd w:val="clear" w:color="auto" w:fill="FFFFFF"/>
            <w:vAlign w:val="center"/>
          </w:tcPr>
          <w:p w14:paraId="3E70452C">
            <w:pPr>
              <w:jc w:val="right"/>
              <w:rPr>
                <w:rFonts w:hint="eastAsia" w:ascii="仿宋" w:hAnsi="仿宋" w:eastAsia="仿宋" w:cs="仿宋"/>
                <w:sz w:val="24"/>
                <w:szCs w:val="24"/>
              </w:rPr>
            </w:pPr>
          </w:p>
        </w:tc>
        <w:tc>
          <w:tcPr>
            <w:tcW w:w="1173" w:type="dxa"/>
            <w:vAlign w:val="center"/>
          </w:tcPr>
          <w:p w14:paraId="13501005">
            <w:pPr>
              <w:widowControl/>
              <w:rPr>
                <w:rFonts w:hint="eastAsia" w:ascii="仿宋" w:hAnsi="仿宋" w:eastAsia="仿宋" w:cs="仿宋"/>
                <w:sz w:val="24"/>
                <w:szCs w:val="24"/>
              </w:rPr>
            </w:pPr>
          </w:p>
        </w:tc>
        <w:tc>
          <w:tcPr>
            <w:tcW w:w="5671" w:type="dxa"/>
            <w:gridSpan w:val="11"/>
            <w:vAlign w:val="center"/>
          </w:tcPr>
          <w:p w14:paraId="07C7E706">
            <w:pPr>
              <w:widowControl/>
              <w:jc w:val="center"/>
              <w:rPr>
                <w:rFonts w:hint="eastAsia" w:ascii="仿宋" w:hAnsi="仿宋" w:eastAsia="仿宋" w:cs="仿宋"/>
                <w:bCs/>
                <w:sz w:val="24"/>
                <w:szCs w:val="24"/>
              </w:rPr>
            </w:pPr>
          </w:p>
        </w:tc>
        <w:tc>
          <w:tcPr>
            <w:tcW w:w="929" w:type="dxa"/>
            <w:gridSpan w:val="2"/>
            <w:shd w:val="clear" w:color="auto" w:fill="FFFFFF"/>
            <w:vAlign w:val="center"/>
          </w:tcPr>
          <w:p w14:paraId="3B3FD4C2">
            <w:pPr>
              <w:jc w:val="center"/>
              <w:rPr>
                <w:rFonts w:hint="eastAsia" w:ascii="仿宋" w:hAnsi="仿宋" w:eastAsia="仿宋" w:cs="仿宋"/>
                <w:sz w:val="24"/>
                <w:szCs w:val="24"/>
              </w:rPr>
            </w:pPr>
          </w:p>
        </w:tc>
      </w:tr>
      <w:tr w14:paraId="2527CB97">
        <w:trPr>
          <w:trHeight w:val="454" w:hRule="atLeast"/>
        </w:trPr>
        <w:tc>
          <w:tcPr>
            <w:tcW w:w="1375" w:type="dxa"/>
            <w:vMerge w:val="continue"/>
            <w:shd w:val="clear" w:color="auto" w:fill="FFFFFF"/>
            <w:vAlign w:val="center"/>
          </w:tcPr>
          <w:p w14:paraId="1C9C5BC6">
            <w:pPr>
              <w:jc w:val="right"/>
              <w:rPr>
                <w:rFonts w:hint="eastAsia" w:ascii="仿宋" w:hAnsi="仿宋" w:eastAsia="仿宋" w:cs="仿宋"/>
                <w:sz w:val="24"/>
                <w:szCs w:val="24"/>
              </w:rPr>
            </w:pPr>
          </w:p>
        </w:tc>
        <w:tc>
          <w:tcPr>
            <w:tcW w:w="1173" w:type="dxa"/>
            <w:vAlign w:val="center"/>
          </w:tcPr>
          <w:p w14:paraId="22498F0B">
            <w:pPr>
              <w:rPr>
                <w:rFonts w:hint="eastAsia" w:ascii="仿宋" w:hAnsi="仿宋" w:eastAsia="仿宋" w:cs="仿宋"/>
                <w:sz w:val="24"/>
                <w:szCs w:val="24"/>
              </w:rPr>
            </w:pPr>
          </w:p>
        </w:tc>
        <w:tc>
          <w:tcPr>
            <w:tcW w:w="5671" w:type="dxa"/>
            <w:gridSpan w:val="11"/>
            <w:vAlign w:val="center"/>
          </w:tcPr>
          <w:p w14:paraId="6E2FD6BC">
            <w:pPr>
              <w:jc w:val="center"/>
              <w:rPr>
                <w:rFonts w:hint="eastAsia" w:ascii="仿宋" w:hAnsi="仿宋" w:eastAsia="仿宋" w:cs="仿宋"/>
                <w:bCs/>
                <w:sz w:val="24"/>
                <w:szCs w:val="24"/>
              </w:rPr>
            </w:pPr>
          </w:p>
        </w:tc>
        <w:tc>
          <w:tcPr>
            <w:tcW w:w="929" w:type="dxa"/>
            <w:gridSpan w:val="2"/>
            <w:shd w:val="clear" w:color="auto" w:fill="FFFFFF"/>
            <w:vAlign w:val="center"/>
          </w:tcPr>
          <w:p w14:paraId="02F76749">
            <w:pPr>
              <w:jc w:val="center"/>
              <w:rPr>
                <w:rFonts w:hint="eastAsia" w:ascii="仿宋" w:hAnsi="仿宋" w:eastAsia="仿宋" w:cs="仿宋"/>
                <w:sz w:val="24"/>
                <w:szCs w:val="24"/>
              </w:rPr>
            </w:pPr>
          </w:p>
        </w:tc>
      </w:tr>
      <w:tr w14:paraId="621B5FC5">
        <w:trPr>
          <w:trHeight w:val="454" w:hRule="atLeast"/>
        </w:trPr>
        <w:tc>
          <w:tcPr>
            <w:tcW w:w="1375" w:type="dxa"/>
            <w:vMerge w:val="continue"/>
            <w:shd w:val="clear" w:color="auto" w:fill="FFFFFF"/>
            <w:vAlign w:val="center"/>
          </w:tcPr>
          <w:p w14:paraId="314A9DCC">
            <w:pPr>
              <w:jc w:val="center"/>
              <w:rPr>
                <w:rFonts w:hint="eastAsia" w:ascii="仿宋" w:hAnsi="仿宋" w:eastAsia="仿宋" w:cs="仿宋"/>
                <w:sz w:val="24"/>
                <w:szCs w:val="24"/>
              </w:rPr>
            </w:pPr>
          </w:p>
        </w:tc>
        <w:tc>
          <w:tcPr>
            <w:tcW w:w="6844" w:type="dxa"/>
            <w:gridSpan w:val="12"/>
            <w:vAlign w:val="center"/>
          </w:tcPr>
          <w:p w14:paraId="74353764">
            <w:pPr>
              <w:jc w:val="center"/>
              <w:rPr>
                <w:rFonts w:hint="eastAsia" w:ascii="仿宋" w:hAnsi="仿宋" w:eastAsia="仿宋" w:cs="仿宋"/>
                <w:bCs/>
                <w:sz w:val="24"/>
                <w:szCs w:val="24"/>
              </w:rPr>
            </w:pPr>
            <w:r>
              <w:rPr>
                <w:rFonts w:hint="eastAsia" w:ascii="仿宋" w:hAnsi="仿宋" w:eastAsia="仿宋" w:cs="仿宋"/>
                <w:bCs/>
                <w:sz w:val="24"/>
                <w:szCs w:val="24"/>
              </w:rPr>
              <w:t>合计</w:t>
            </w:r>
          </w:p>
        </w:tc>
        <w:tc>
          <w:tcPr>
            <w:tcW w:w="929" w:type="dxa"/>
            <w:gridSpan w:val="2"/>
            <w:shd w:val="clear" w:color="auto" w:fill="FFFFFF"/>
            <w:vAlign w:val="center"/>
          </w:tcPr>
          <w:p w14:paraId="5B2C27E2">
            <w:pPr>
              <w:jc w:val="center"/>
              <w:rPr>
                <w:rFonts w:hint="eastAsia" w:ascii="仿宋" w:hAnsi="仿宋" w:eastAsia="仿宋" w:cs="仿宋"/>
                <w:sz w:val="24"/>
                <w:szCs w:val="24"/>
              </w:rPr>
            </w:pPr>
          </w:p>
        </w:tc>
      </w:tr>
      <w:tr w14:paraId="45F06B1B">
        <w:trPr>
          <w:trHeight w:val="454" w:hRule="atLeast"/>
        </w:trPr>
        <w:tc>
          <w:tcPr>
            <w:tcW w:w="1375" w:type="dxa"/>
            <w:vMerge w:val="restart"/>
            <w:shd w:val="clear" w:color="auto" w:fill="FFFFFF"/>
            <w:vAlign w:val="center"/>
          </w:tcPr>
          <w:p w14:paraId="5249B7AC">
            <w:pPr>
              <w:jc w:val="center"/>
              <w:rPr>
                <w:rFonts w:hint="eastAsia" w:ascii="仿宋" w:hAnsi="仿宋" w:eastAsia="仿宋" w:cs="仿宋"/>
                <w:sz w:val="24"/>
                <w:szCs w:val="24"/>
              </w:rPr>
            </w:pPr>
            <w:r>
              <w:rPr>
                <w:rFonts w:hint="eastAsia" w:ascii="仿宋" w:hAnsi="仿宋" w:eastAsia="仿宋" w:cs="仿宋"/>
                <w:sz w:val="24"/>
                <w:szCs w:val="24"/>
              </w:rPr>
              <w:t>G</w:t>
            </w:r>
          </w:p>
          <w:p w14:paraId="626ACF11">
            <w:pPr>
              <w:jc w:val="center"/>
              <w:rPr>
                <w:rFonts w:hint="eastAsia" w:ascii="仿宋" w:hAnsi="仿宋" w:eastAsia="仿宋" w:cs="仿宋"/>
                <w:sz w:val="24"/>
                <w:szCs w:val="24"/>
              </w:rPr>
            </w:pPr>
            <w:r>
              <w:rPr>
                <w:rFonts w:hint="eastAsia" w:ascii="仿宋" w:hAnsi="仿宋" w:eastAsia="仿宋" w:cs="仿宋"/>
                <w:sz w:val="24"/>
                <w:szCs w:val="24"/>
              </w:rPr>
              <w:t>技能（实训）内容</w:t>
            </w:r>
          </w:p>
        </w:tc>
        <w:tc>
          <w:tcPr>
            <w:tcW w:w="5373" w:type="dxa"/>
            <w:gridSpan w:val="8"/>
            <w:vAlign w:val="center"/>
          </w:tcPr>
          <w:p w14:paraId="46227B97">
            <w:pPr>
              <w:jc w:val="center"/>
              <w:rPr>
                <w:rFonts w:hint="eastAsia" w:ascii="仿宋" w:hAnsi="仿宋" w:eastAsia="仿宋" w:cs="仿宋"/>
                <w:kern w:val="0"/>
                <w:sz w:val="24"/>
                <w:szCs w:val="24"/>
              </w:rPr>
            </w:pPr>
            <w:r>
              <w:rPr>
                <w:rFonts w:hint="eastAsia" w:ascii="仿宋" w:hAnsi="仿宋" w:eastAsia="仿宋" w:cs="仿宋"/>
                <w:kern w:val="0"/>
                <w:sz w:val="24"/>
                <w:szCs w:val="24"/>
              </w:rPr>
              <w:t>实训目的及任务</w:t>
            </w:r>
          </w:p>
        </w:tc>
        <w:tc>
          <w:tcPr>
            <w:tcW w:w="1471" w:type="dxa"/>
            <w:gridSpan w:val="4"/>
            <w:vAlign w:val="center"/>
          </w:tcPr>
          <w:p w14:paraId="292465B8">
            <w:pPr>
              <w:jc w:val="center"/>
              <w:rPr>
                <w:rFonts w:hint="eastAsia" w:ascii="仿宋" w:hAnsi="仿宋" w:eastAsia="仿宋" w:cs="仿宋"/>
                <w:kern w:val="0"/>
                <w:sz w:val="24"/>
                <w:szCs w:val="24"/>
              </w:rPr>
            </w:pPr>
            <w:r>
              <w:rPr>
                <w:rFonts w:hint="eastAsia" w:ascii="仿宋" w:hAnsi="仿宋" w:eastAsia="仿宋" w:cs="仿宋"/>
                <w:kern w:val="0"/>
                <w:sz w:val="24"/>
                <w:szCs w:val="24"/>
              </w:rPr>
              <w:t>支撑课程</w:t>
            </w:r>
          </w:p>
          <w:p w14:paraId="0380B1F5">
            <w:pPr>
              <w:jc w:val="center"/>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929" w:type="dxa"/>
            <w:gridSpan w:val="2"/>
            <w:shd w:val="clear" w:color="auto" w:fill="FFFFFF"/>
            <w:vAlign w:val="center"/>
          </w:tcPr>
          <w:p w14:paraId="7DF07F40">
            <w:pPr>
              <w:jc w:val="center"/>
              <w:rPr>
                <w:rFonts w:ascii="仿宋" w:hAnsi="仿宋" w:eastAsia="仿宋" w:cs="仿宋"/>
                <w:kern w:val="0"/>
                <w:sz w:val="24"/>
                <w:szCs w:val="24"/>
              </w:rPr>
            </w:pPr>
            <w:r>
              <w:rPr>
                <w:rFonts w:hint="eastAsia" w:ascii="仿宋" w:hAnsi="仿宋" w:eastAsia="仿宋" w:cs="仿宋"/>
                <w:kern w:val="0"/>
                <w:sz w:val="24"/>
                <w:szCs w:val="24"/>
              </w:rPr>
              <w:t xml:space="preserve">学时 </w:t>
            </w:r>
          </w:p>
          <w:p w14:paraId="7D387C69">
            <w:pPr>
              <w:jc w:val="center"/>
              <w:rPr>
                <w:rFonts w:hint="eastAsia" w:ascii="仿宋" w:hAnsi="仿宋" w:eastAsia="仿宋" w:cs="仿宋"/>
                <w:sz w:val="24"/>
                <w:szCs w:val="24"/>
              </w:rPr>
            </w:pPr>
            <w:r>
              <w:rPr>
                <w:rFonts w:hint="eastAsia" w:ascii="仿宋" w:hAnsi="仿宋" w:eastAsia="仿宋" w:cs="仿宋"/>
                <w:kern w:val="0"/>
                <w:sz w:val="24"/>
                <w:szCs w:val="24"/>
              </w:rPr>
              <w:t>分配</w:t>
            </w:r>
          </w:p>
        </w:tc>
      </w:tr>
      <w:tr w14:paraId="4247797B">
        <w:trPr>
          <w:trHeight w:val="1757" w:hRule="atLeast"/>
        </w:trPr>
        <w:tc>
          <w:tcPr>
            <w:tcW w:w="1375" w:type="dxa"/>
            <w:vMerge w:val="continue"/>
            <w:shd w:val="clear" w:color="auto" w:fill="FFFFFF"/>
            <w:vAlign w:val="center"/>
          </w:tcPr>
          <w:p w14:paraId="43EFFC1C">
            <w:pPr>
              <w:jc w:val="center"/>
              <w:rPr>
                <w:rFonts w:hint="eastAsia" w:ascii="仿宋" w:hAnsi="仿宋" w:eastAsia="仿宋" w:cs="仿宋"/>
                <w:sz w:val="24"/>
                <w:szCs w:val="24"/>
              </w:rPr>
            </w:pPr>
          </w:p>
        </w:tc>
        <w:tc>
          <w:tcPr>
            <w:tcW w:w="5373" w:type="dxa"/>
            <w:gridSpan w:val="8"/>
            <w:vAlign w:val="center"/>
          </w:tcPr>
          <w:p w14:paraId="67F3ED65">
            <w:pPr>
              <w:rPr>
                <w:rFonts w:hint="eastAsia" w:ascii="仿宋" w:hAnsi="仿宋" w:eastAsia="仿宋" w:cs="仿宋"/>
                <w:b/>
                <w:bCs/>
                <w:sz w:val="24"/>
                <w:szCs w:val="24"/>
              </w:rPr>
            </w:pPr>
            <w:r>
              <w:rPr>
                <w:rFonts w:hint="eastAsia" w:ascii="仿宋" w:hAnsi="仿宋" w:eastAsia="仿宋" w:cs="仿宋"/>
                <w:b/>
                <w:bCs/>
                <w:sz w:val="24"/>
                <w:szCs w:val="24"/>
              </w:rPr>
              <w:t>训练一：建立正确的歌唱状态</w:t>
            </w:r>
          </w:p>
          <w:p w14:paraId="3D1E9A50">
            <w:pPr>
              <w:rPr>
                <w:rFonts w:hint="eastAsia" w:ascii="仿宋" w:hAnsi="仿宋" w:eastAsia="仿宋" w:cs="仿宋"/>
                <w:b/>
                <w:bCs/>
                <w:sz w:val="24"/>
                <w:szCs w:val="24"/>
              </w:rPr>
            </w:pPr>
            <w:r>
              <w:rPr>
                <w:rFonts w:hint="eastAsia" w:ascii="仿宋" w:hAnsi="仿宋" w:eastAsia="仿宋" w:cs="仿宋"/>
                <w:b/>
                <w:bCs/>
                <w:sz w:val="24"/>
                <w:szCs w:val="24"/>
              </w:rPr>
              <w:t>实训目的：</w:t>
            </w:r>
            <w:r>
              <w:rPr>
                <w:rFonts w:hint="eastAsia" w:ascii="仿宋" w:hAnsi="仿宋" w:eastAsia="仿宋" w:cs="仿宋"/>
                <w:sz w:val="24"/>
                <w:szCs w:val="24"/>
              </w:rPr>
              <w:t>了解声乐的发声及歌唱状态</w:t>
            </w:r>
          </w:p>
          <w:p w14:paraId="73015D37">
            <w:pPr>
              <w:widowControl/>
              <w:rPr>
                <w:rFonts w:hint="eastAsia" w:ascii="仿宋" w:hAnsi="仿宋" w:eastAsia="仿宋" w:cs="仿宋"/>
                <w:sz w:val="24"/>
                <w:szCs w:val="24"/>
              </w:rPr>
            </w:pPr>
            <w:r>
              <w:rPr>
                <w:rFonts w:hint="eastAsia" w:ascii="仿宋" w:hAnsi="仿宋" w:eastAsia="仿宋" w:cs="仿宋"/>
                <w:b/>
                <w:sz w:val="24"/>
                <w:szCs w:val="24"/>
              </w:rPr>
              <w:t>实训任务：1.</w:t>
            </w:r>
            <w:r>
              <w:rPr>
                <w:rFonts w:hint="eastAsia" w:ascii="仿宋" w:hAnsi="仿宋" w:eastAsia="仿宋" w:cs="仿宋"/>
                <w:sz w:val="24"/>
                <w:szCs w:val="24"/>
              </w:rPr>
              <w:t>归纳声乐发声的基本原理</w:t>
            </w:r>
          </w:p>
          <w:p w14:paraId="4E6ADF33">
            <w:pPr>
              <w:widowControl/>
              <w:ind w:firstLine="1205" w:firstLineChars="500"/>
              <w:rPr>
                <w:rFonts w:hint="eastAsia" w:ascii="仿宋" w:hAnsi="仿宋" w:eastAsia="仿宋" w:cs="仿宋"/>
                <w:bCs/>
                <w:sz w:val="24"/>
                <w:szCs w:val="24"/>
              </w:rPr>
            </w:pPr>
            <w:r>
              <w:rPr>
                <w:rFonts w:hint="eastAsia" w:ascii="仿宋" w:hAnsi="仿宋" w:eastAsia="仿宋" w:cs="仿宋"/>
                <w:b/>
                <w:sz w:val="24"/>
                <w:szCs w:val="24"/>
              </w:rPr>
              <w:t>2.</w:t>
            </w:r>
            <w:r>
              <w:rPr>
                <w:rFonts w:hint="eastAsia" w:ascii="仿宋" w:hAnsi="仿宋" w:eastAsia="仿宋" w:cs="仿宋"/>
                <w:sz w:val="24"/>
                <w:szCs w:val="24"/>
              </w:rPr>
              <w:t xml:space="preserve">运用声乐基础理论进行初步演唱实践     </w:t>
            </w:r>
          </w:p>
        </w:tc>
        <w:tc>
          <w:tcPr>
            <w:tcW w:w="1471" w:type="dxa"/>
            <w:gridSpan w:val="4"/>
            <w:vAlign w:val="center"/>
          </w:tcPr>
          <w:p w14:paraId="511197E5">
            <w:pPr>
              <w:widowControl/>
              <w:jc w:val="center"/>
              <w:rPr>
                <w:rFonts w:hint="eastAsia" w:ascii="仿宋" w:hAnsi="仿宋" w:eastAsia="仿宋" w:cs="仿宋"/>
                <w:bCs/>
                <w:sz w:val="24"/>
                <w:szCs w:val="24"/>
              </w:rPr>
            </w:pPr>
            <w:r>
              <w:rPr>
                <w:rFonts w:hint="eastAsia" w:ascii="仿宋" w:hAnsi="仿宋" w:eastAsia="仿宋" w:cs="仿宋"/>
                <w:bCs/>
                <w:sz w:val="24"/>
                <w:szCs w:val="24"/>
              </w:rPr>
              <w:t>支撑课程目标1、2、3</w:t>
            </w:r>
          </w:p>
        </w:tc>
        <w:tc>
          <w:tcPr>
            <w:tcW w:w="929" w:type="dxa"/>
            <w:gridSpan w:val="2"/>
            <w:shd w:val="clear" w:color="auto" w:fill="FFFFFF"/>
            <w:vAlign w:val="center"/>
          </w:tcPr>
          <w:p w14:paraId="483667BB">
            <w:pPr>
              <w:jc w:val="center"/>
              <w:rPr>
                <w:rFonts w:ascii="仿宋" w:hAnsi="仿宋" w:eastAsia="仿宋" w:cs="仿宋"/>
                <w:sz w:val="24"/>
                <w:szCs w:val="24"/>
              </w:rPr>
            </w:pPr>
            <w:r>
              <w:rPr>
                <w:rFonts w:hint="eastAsia" w:ascii="仿宋" w:hAnsi="仿宋" w:eastAsia="仿宋" w:cs="仿宋"/>
                <w:sz w:val="24"/>
                <w:szCs w:val="24"/>
              </w:rPr>
              <w:t>10</w:t>
            </w:r>
          </w:p>
        </w:tc>
      </w:tr>
      <w:tr w14:paraId="5AC4EF9F">
        <w:trPr>
          <w:trHeight w:val="1285" w:hRule="atLeast"/>
        </w:trPr>
        <w:tc>
          <w:tcPr>
            <w:tcW w:w="1375" w:type="dxa"/>
            <w:vMerge w:val="continue"/>
            <w:shd w:val="clear" w:color="auto" w:fill="FFFFFF"/>
            <w:vAlign w:val="center"/>
          </w:tcPr>
          <w:p w14:paraId="0B732141">
            <w:pPr>
              <w:jc w:val="center"/>
              <w:rPr>
                <w:rFonts w:hint="eastAsia" w:ascii="仿宋" w:hAnsi="仿宋" w:eastAsia="仿宋" w:cs="仿宋"/>
                <w:sz w:val="24"/>
                <w:szCs w:val="24"/>
              </w:rPr>
            </w:pPr>
          </w:p>
        </w:tc>
        <w:tc>
          <w:tcPr>
            <w:tcW w:w="5373" w:type="dxa"/>
            <w:gridSpan w:val="8"/>
            <w:vAlign w:val="center"/>
          </w:tcPr>
          <w:p w14:paraId="5DD8B5E9">
            <w:pPr>
              <w:rPr>
                <w:rFonts w:hint="eastAsia" w:ascii="仿宋" w:hAnsi="仿宋" w:eastAsia="仿宋" w:cs="仿宋"/>
                <w:b/>
                <w:bCs/>
                <w:sz w:val="24"/>
                <w:szCs w:val="24"/>
              </w:rPr>
            </w:pPr>
            <w:r>
              <w:rPr>
                <w:rFonts w:hint="eastAsia" w:ascii="仿宋" w:hAnsi="仿宋" w:eastAsia="仿宋" w:cs="仿宋"/>
                <w:b/>
                <w:bCs/>
                <w:sz w:val="24"/>
                <w:szCs w:val="24"/>
              </w:rPr>
              <w:t>训练二：巩固与提高歌唱的技能技巧，掌握声乐教学方法</w:t>
            </w:r>
          </w:p>
          <w:p w14:paraId="5748B89B">
            <w:pPr>
              <w:widowControl/>
              <w:rPr>
                <w:rFonts w:hint="eastAsia" w:ascii="仿宋" w:hAnsi="仿宋" w:eastAsia="仿宋" w:cs="仿宋"/>
                <w:sz w:val="24"/>
                <w:szCs w:val="24"/>
              </w:rPr>
            </w:pPr>
            <w:r>
              <w:rPr>
                <w:rFonts w:hint="eastAsia" w:ascii="仿宋" w:hAnsi="仿宋" w:eastAsia="仿宋" w:cs="仿宋"/>
                <w:b/>
                <w:bCs/>
                <w:sz w:val="24"/>
                <w:szCs w:val="24"/>
              </w:rPr>
              <w:t>实训目的：学习</w:t>
            </w:r>
            <w:r>
              <w:rPr>
                <w:rFonts w:hint="eastAsia" w:ascii="仿宋" w:hAnsi="仿宋" w:eastAsia="仿宋" w:cs="仿宋"/>
                <w:sz w:val="24"/>
                <w:szCs w:val="24"/>
              </w:rPr>
              <w:t>声乐基础所应具备的基本素质</w:t>
            </w:r>
          </w:p>
          <w:p w14:paraId="0203C386">
            <w:pPr>
              <w:widowControl/>
              <w:rPr>
                <w:rFonts w:hint="eastAsia" w:ascii="仿宋" w:hAnsi="仿宋" w:eastAsia="仿宋" w:cs="仿宋"/>
                <w:b/>
                <w:sz w:val="24"/>
                <w:szCs w:val="24"/>
              </w:rPr>
            </w:pPr>
            <w:r>
              <w:rPr>
                <w:rFonts w:hint="eastAsia" w:ascii="仿宋" w:hAnsi="仿宋" w:eastAsia="仿宋" w:cs="仿宋"/>
                <w:b/>
                <w:sz w:val="24"/>
                <w:szCs w:val="24"/>
              </w:rPr>
              <w:t>实训任务：</w:t>
            </w:r>
          </w:p>
          <w:p w14:paraId="3B318ADD">
            <w:pPr>
              <w:widowControl/>
              <w:rPr>
                <w:rFonts w:hint="eastAsia" w:ascii="仿宋" w:hAnsi="仿宋" w:eastAsia="仿宋" w:cs="仿宋"/>
                <w:sz w:val="24"/>
                <w:szCs w:val="24"/>
              </w:rPr>
            </w:pPr>
            <w:r>
              <w:rPr>
                <w:rFonts w:hint="eastAsia" w:ascii="仿宋" w:hAnsi="仿宋" w:eastAsia="仿宋" w:cs="仿宋"/>
                <w:b/>
                <w:sz w:val="24"/>
                <w:szCs w:val="24"/>
              </w:rPr>
              <w:t>1.</w:t>
            </w:r>
            <w:r>
              <w:rPr>
                <w:rFonts w:hint="eastAsia" w:ascii="仿宋" w:hAnsi="仿宋" w:eastAsia="仿宋" w:cs="仿宋"/>
                <w:sz w:val="24"/>
                <w:szCs w:val="24"/>
              </w:rPr>
              <w:t>根据自身情况，找出调整声音的办法及思路；</w:t>
            </w:r>
          </w:p>
          <w:p w14:paraId="3C97895B">
            <w:pPr>
              <w:rPr>
                <w:rFonts w:hint="eastAsia" w:ascii="仿宋" w:hAnsi="仿宋" w:eastAsia="仿宋" w:cs="仿宋"/>
                <w:sz w:val="24"/>
                <w:szCs w:val="24"/>
              </w:rPr>
            </w:pPr>
            <w:r>
              <w:rPr>
                <w:rFonts w:hint="eastAsia" w:ascii="仿宋" w:hAnsi="仿宋" w:eastAsia="仿宋" w:cs="仿宋"/>
                <w:b/>
                <w:sz w:val="24"/>
                <w:szCs w:val="24"/>
              </w:rPr>
              <w:t>2.</w:t>
            </w:r>
            <w:r>
              <w:rPr>
                <w:rFonts w:hint="eastAsia" w:ascii="仿宋" w:hAnsi="仿宋" w:eastAsia="仿宋" w:cs="仿宋"/>
                <w:sz w:val="24"/>
                <w:szCs w:val="24"/>
              </w:rPr>
              <w:t>能够通过理论知识分析自身演唱不足之处</w:t>
            </w:r>
          </w:p>
          <w:p w14:paraId="6A815DE6">
            <w:pPr>
              <w:rPr>
                <w:rFonts w:hint="eastAsia" w:ascii="仿宋" w:hAnsi="仿宋" w:eastAsia="仿宋" w:cs="仿宋"/>
                <w:sz w:val="24"/>
                <w:szCs w:val="24"/>
              </w:rPr>
            </w:pPr>
            <w:r>
              <w:rPr>
                <w:rFonts w:hint="eastAsia" w:ascii="仿宋" w:hAnsi="仿宋" w:eastAsia="仿宋" w:cs="仿宋"/>
                <w:sz w:val="24"/>
                <w:szCs w:val="24"/>
              </w:rPr>
              <w:t>通过系统的学习，掌握方法，熟练运用低中高不同音区的声音及音色，熟练掌握不同风格的作品，有发现问题及提出解决方案的基本能力</w:t>
            </w:r>
          </w:p>
          <w:p w14:paraId="2CEF10C1">
            <w:pPr>
              <w:rPr>
                <w:rFonts w:hint="eastAsia" w:ascii="仿宋" w:hAnsi="仿宋" w:eastAsia="仿宋" w:cs="仿宋"/>
                <w:bCs/>
                <w:sz w:val="24"/>
                <w:szCs w:val="24"/>
              </w:rPr>
            </w:pPr>
            <w:r>
              <w:rPr>
                <w:rFonts w:hint="eastAsia" w:ascii="仿宋" w:hAnsi="仿宋" w:eastAsia="仿宋" w:cs="仿宋"/>
                <w:b/>
                <w:sz w:val="24"/>
                <w:szCs w:val="24"/>
              </w:rPr>
              <w:t>评价：</w:t>
            </w:r>
            <w:r>
              <w:rPr>
                <w:rFonts w:hint="eastAsia" w:ascii="仿宋" w:hAnsi="仿宋" w:eastAsia="仿宋" w:cs="仿宋"/>
                <w:sz w:val="24"/>
                <w:szCs w:val="24"/>
              </w:rPr>
              <w:t>根据学生的自身情况提出评价办法</w:t>
            </w:r>
          </w:p>
        </w:tc>
        <w:tc>
          <w:tcPr>
            <w:tcW w:w="1471" w:type="dxa"/>
            <w:gridSpan w:val="4"/>
            <w:vAlign w:val="center"/>
          </w:tcPr>
          <w:p w14:paraId="35A45BF7">
            <w:pPr>
              <w:widowControl/>
              <w:jc w:val="center"/>
              <w:rPr>
                <w:rFonts w:hint="eastAsia" w:ascii="仿宋" w:hAnsi="仿宋" w:eastAsia="仿宋" w:cs="仿宋"/>
                <w:bCs/>
                <w:sz w:val="24"/>
                <w:szCs w:val="24"/>
              </w:rPr>
            </w:pPr>
            <w:r>
              <w:rPr>
                <w:rFonts w:hint="eastAsia" w:ascii="仿宋" w:hAnsi="仿宋" w:eastAsia="仿宋" w:cs="仿宋"/>
                <w:bCs/>
                <w:sz w:val="24"/>
                <w:szCs w:val="24"/>
              </w:rPr>
              <w:t>支撑课程目标1、2、3</w:t>
            </w:r>
          </w:p>
        </w:tc>
        <w:tc>
          <w:tcPr>
            <w:tcW w:w="929" w:type="dxa"/>
            <w:gridSpan w:val="2"/>
            <w:shd w:val="clear" w:color="auto" w:fill="FFFFFF"/>
            <w:vAlign w:val="center"/>
          </w:tcPr>
          <w:p w14:paraId="2A48E339">
            <w:pPr>
              <w:jc w:val="center"/>
              <w:rPr>
                <w:rFonts w:ascii="仿宋" w:hAnsi="仿宋" w:eastAsia="仿宋" w:cs="仿宋"/>
                <w:sz w:val="24"/>
                <w:szCs w:val="24"/>
              </w:rPr>
            </w:pPr>
            <w:r>
              <w:rPr>
                <w:rFonts w:hint="eastAsia" w:ascii="仿宋" w:hAnsi="仿宋" w:eastAsia="仿宋" w:cs="仿宋"/>
                <w:sz w:val="24"/>
                <w:szCs w:val="24"/>
              </w:rPr>
              <w:t>22</w:t>
            </w:r>
          </w:p>
        </w:tc>
      </w:tr>
      <w:tr w14:paraId="2DB213FA">
        <w:trPr>
          <w:trHeight w:val="1692" w:hRule="atLeast"/>
        </w:trPr>
        <w:tc>
          <w:tcPr>
            <w:tcW w:w="1375" w:type="dxa"/>
            <w:vMerge w:val="continue"/>
            <w:shd w:val="clear" w:color="auto" w:fill="FFFFFF"/>
            <w:vAlign w:val="center"/>
          </w:tcPr>
          <w:p w14:paraId="012C3B62">
            <w:pPr>
              <w:jc w:val="center"/>
              <w:rPr>
                <w:rFonts w:hint="eastAsia" w:ascii="仿宋" w:hAnsi="仿宋" w:eastAsia="仿宋" w:cs="仿宋"/>
                <w:sz w:val="24"/>
                <w:szCs w:val="24"/>
              </w:rPr>
            </w:pPr>
          </w:p>
        </w:tc>
        <w:tc>
          <w:tcPr>
            <w:tcW w:w="5373" w:type="dxa"/>
            <w:gridSpan w:val="8"/>
            <w:vAlign w:val="center"/>
          </w:tcPr>
          <w:p w14:paraId="77F18090">
            <w:pPr>
              <w:rPr>
                <w:rFonts w:hint="eastAsia" w:ascii="仿宋" w:hAnsi="仿宋" w:eastAsia="仿宋" w:cs="仿宋"/>
                <w:b/>
                <w:sz w:val="24"/>
                <w:szCs w:val="24"/>
              </w:rPr>
            </w:pPr>
            <w:r>
              <w:rPr>
                <w:rFonts w:hint="eastAsia" w:ascii="仿宋" w:hAnsi="仿宋" w:eastAsia="仿宋" w:cs="仿宋"/>
                <w:b/>
                <w:sz w:val="24"/>
                <w:szCs w:val="24"/>
              </w:rPr>
              <w:t>训练三：开展习唱活动</w:t>
            </w:r>
          </w:p>
          <w:p w14:paraId="2C01DC53">
            <w:pPr>
              <w:rPr>
                <w:rFonts w:hint="eastAsia" w:ascii="仿宋" w:hAnsi="仿宋" w:eastAsia="仿宋" w:cs="仿宋"/>
                <w:bCs/>
                <w:sz w:val="24"/>
                <w:szCs w:val="24"/>
              </w:rPr>
            </w:pPr>
            <w:r>
              <w:rPr>
                <w:rFonts w:hint="eastAsia" w:ascii="仿宋" w:hAnsi="仿宋" w:eastAsia="仿宋" w:cs="仿宋"/>
                <w:b/>
                <w:bCs/>
                <w:sz w:val="24"/>
                <w:szCs w:val="24"/>
              </w:rPr>
              <w:t>实训目的：</w:t>
            </w:r>
            <w:r>
              <w:rPr>
                <w:rFonts w:hint="eastAsia" w:ascii="仿宋" w:hAnsi="仿宋" w:eastAsia="仿宋" w:cs="仿宋"/>
                <w:bCs/>
                <w:sz w:val="24"/>
                <w:szCs w:val="24"/>
              </w:rPr>
              <w:t>让学生真正熟悉舞台，熟练展示所掌握业务水平，在舞台上发现不足并解决。</w:t>
            </w:r>
          </w:p>
          <w:p w14:paraId="4D8151A2">
            <w:pPr>
              <w:rPr>
                <w:rFonts w:hint="eastAsia" w:ascii="仿宋" w:hAnsi="仿宋" w:eastAsia="仿宋" w:cs="仿宋"/>
                <w:bCs/>
                <w:sz w:val="24"/>
                <w:szCs w:val="24"/>
              </w:rPr>
            </w:pPr>
            <w:r>
              <w:rPr>
                <w:rFonts w:hint="eastAsia" w:ascii="仿宋" w:hAnsi="仿宋" w:eastAsia="仿宋" w:cs="仿宋"/>
                <w:b/>
                <w:bCs/>
                <w:sz w:val="24"/>
                <w:szCs w:val="24"/>
              </w:rPr>
              <w:t>实训任务：</w:t>
            </w:r>
            <w:r>
              <w:rPr>
                <w:rFonts w:hint="eastAsia" w:ascii="仿宋" w:hAnsi="仿宋" w:eastAsia="仿宋" w:cs="仿宋"/>
                <w:bCs/>
                <w:sz w:val="24"/>
                <w:szCs w:val="24"/>
              </w:rPr>
              <w:t>每学期举办至少两次习唱会；带有一定表演的完整演唱每首作品。</w:t>
            </w:r>
          </w:p>
        </w:tc>
        <w:tc>
          <w:tcPr>
            <w:tcW w:w="1471" w:type="dxa"/>
            <w:gridSpan w:val="4"/>
            <w:vAlign w:val="center"/>
          </w:tcPr>
          <w:p w14:paraId="56BF397B">
            <w:pPr>
              <w:jc w:val="center"/>
              <w:rPr>
                <w:rFonts w:hint="eastAsia" w:ascii="仿宋" w:hAnsi="仿宋" w:eastAsia="仿宋" w:cs="仿宋"/>
                <w:bCs/>
                <w:sz w:val="24"/>
                <w:szCs w:val="24"/>
              </w:rPr>
            </w:pPr>
            <w:r>
              <w:rPr>
                <w:rFonts w:hint="eastAsia" w:ascii="仿宋" w:hAnsi="仿宋" w:eastAsia="仿宋" w:cs="仿宋"/>
                <w:bCs/>
                <w:sz w:val="24"/>
                <w:szCs w:val="24"/>
              </w:rPr>
              <w:t>支撑课程目标1、2、3</w:t>
            </w:r>
          </w:p>
        </w:tc>
        <w:tc>
          <w:tcPr>
            <w:tcW w:w="929" w:type="dxa"/>
            <w:gridSpan w:val="2"/>
            <w:shd w:val="clear" w:color="auto" w:fill="FFFFFF"/>
            <w:vAlign w:val="center"/>
          </w:tcPr>
          <w:p w14:paraId="30F5079C">
            <w:pPr>
              <w:jc w:val="center"/>
              <w:rPr>
                <w:rFonts w:hint="eastAsia" w:ascii="仿宋" w:hAnsi="仿宋" w:eastAsia="仿宋" w:cs="仿宋"/>
                <w:sz w:val="24"/>
                <w:szCs w:val="24"/>
              </w:rPr>
            </w:pPr>
            <w:r>
              <w:rPr>
                <w:rFonts w:hint="eastAsia" w:ascii="仿宋" w:hAnsi="仿宋" w:eastAsia="仿宋" w:cs="仿宋"/>
                <w:sz w:val="24"/>
                <w:szCs w:val="24"/>
              </w:rPr>
              <w:t>32</w:t>
            </w:r>
          </w:p>
        </w:tc>
      </w:tr>
      <w:tr w14:paraId="5139C0CE">
        <w:trPr>
          <w:trHeight w:val="454" w:hRule="atLeast"/>
        </w:trPr>
        <w:tc>
          <w:tcPr>
            <w:tcW w:w="1375" w:type="dxa"/>
            <w:vMerge w:val="continue"/>
            <w:shd w:val="clear" w:color="auto" w:fill="FFFFFF"/>
            <w:vAlign w:val="center"/>
          </w:tcPr>
          <w:p w14:paraId="2E3A3481">
            <w:pPr>
              <w:jc w:val="center"/>
              <w:rPr>
                <w:rFonts w:hint="eastAsia" w:ascii="仿宋" w:hAnsi="仿宋" w:eastAsia="仿宋" w:cs="仿宋"/>
                <w:sz w:val="24"/>
                <w:szCs w:val="24"/>
              </w:rPr>
            </w:pPr>
          </w:p>
        </w:tc>
        <w:tc>
          <w:tcPr>
            <w:tcW w:w="6844" w:type="dxa"/>
            <w:gridSpan w:val="12"/>
            <w:vAlign w:val="center"/>
          </w:tcPr>
          <w:p w14:paraId="0DBE2569">
            <w:pPr>
              <w:jc w:val="center"/>
              <w:rPr>
                <w:rFonts w:hint="eastAsia" w:ascii="仿宋" w:hAnsi="仿宋" w:eastAsia="仿宋" w:cs="仿宋"/>
                <w:bCs/>
                <w:sz w:val="24"/>
                <w:szCs w:val="24"/>
              </w:rPr>
            </w:pPr>
            <w:r>
              <w:rPr>
                <w:rFonts w:hint="eastAsia" w:ascii="仿宋" w:hAnsi="仿宋" w:eastAsia="仿宋" w:cs="仿宋"/>
                <w:bCs/>
                <w:sz w:val="24"/>
                <w:szCs w:val="24"/>
              </w:rPr>
              <w:t>合计</w:t>
            </w:r>
          </w:p>
        </w:tc>
        <w:tc>
          <w:tcPr>
            <w:tcW w:w="929" w:type="dxa"/>
            <w:gridSpan w:val="2"/>
            <w:shd w:val="clear" w:color="auto" w:fill="FFFFFF"/>
            <w:vAlign w:val="center"/>
          </w:tcPr>
          <w:p w14:paraId="1C83F08D">
            <w:pPr>
              <w:jc w:val="center"/>
              <w:rPr>
                <w:rFonts w:hint="eastAsia" w:ascii="仿宋" w:hAnsi="仿宋" w:eastAsia="仿宋" w:cs="仿宋"/>
                <w:sz w:val="24"/>
                <w:szCs w:val="24"/>
              </w:rPr>
            </w:pPr>
            <w:r>
              <w:rPr>
                <w:rFonts w:hint="eastAsia" w:ascii="仿宋" w:hAnsi="仿宋" w:eastAsia="仿宋" w:cs="仿宋"/>
                <w:sz w:val="24"/>
                <w:szCs w:val="24"/>
              </w:rPr>
              <w:t>64</w:t>
            </w:r>
          </w:p>
        </w:tc>
      </w:tr>
      <w:tr w14:paraId="4E564023">
        <w:trPr>
          <w:trHeight w:val="495" w:hRule="atLeast"/>
        </w:trPr>
        <w:tc>
          <w:tcPr>
            <w:tcW w:w="1375" w:type="dxa"/>
            <w:vMerge w:val="restart"/>
            <w:shd w:val="clear" w:color="auto" w:fill="FFFFFF"/>
            <w:vAlign w:val="center"/>
          </w:tcPr>
          <w:p w14:paraId="14644393">
            <w:pPr>
              <w:jc w:val="center"/>
              <w:rPr>
                <w:rFonts w:hint="eastAsia" w:ascii="仿宋" w:hAnsi="仿宋" w:eastAsia="仿宋" w:cs="仿宋"/>
                <w:sz w:val="24"/>
                <w:szCs w:val="24"/>
              </w:rPr>
            </w:pPr>
            <w:r>
              <w:rPr>
                <w:rFonts w:hint="eastAsia" w:ascii="仿宋" w:hAnsi="仿宋" w:eastAsia="仿宋" w:cs="仿宋"/>
                <w:sz w:val="24"/>
                <w:szCs w:val="24"/>
              </w:rPr>
              <w:t>H</w:t>
            </w:r>
          </w:p>
          <w:p w14:paraId="10A76A3B">
            <w:pPr>
              <w:jc w:val="center"/>
              <w:rPr>
                <w:rFonts w:hint="eastAsia" w:ascii="仿宋" w:hAnsi="仿宋" w:eastAsia="仿宋" w:cs="仿宋"/>
                <w:sz w:val="24"/>
                <w:szCs w:val="24"/>
              </w:rPr>
            </w:pPr>
            <w:r>
              <w:rPr>
                <w:rFonts w:hint="eastAsia" w:ascii="仿宋" w:hAnsi="仿宋" w:eastAsia="仿宋" w:cs="仿宋"/>
                <w:sz w:val="24"/>
                <w:szCs w:val="24"/>
              </w:rPr>
              <w:t>实践内容（含教育实习、见习、研习，专业实习、毕业论文或毕业设计等）</w:t>
            </w:r>
          </w:p>
        </w:tc>
        <w:tc>
          <w:tcPr>
            <w:tcW w:w="1173" w:type="dxa"/>
            <w:vAlign w:val="center"/>
          </w:tcPr>
          <w:p w14:paraId="643F5458">
            <w:pPr>
              <w:jc w:val="center"/>
              <w:rPr>
                <w:rFonts w:hint="eastAsia" w:ascii="仿宋" w:hAnsi="仿宋" w:eastAsia="仿宋" w:cs="仿宋"/>
                <w:sz w:val="24"/>
                <w:szCs w:val="24"/>
              </w:rPr>
            </w:pPr>
            <w:r>
              <w:rPr>
                <w:rFonts w:hint="eastAsia" w:ascii="仿宋" w:hAnsi="仿宋" w:eastAsia="仿宋" w:cs="仿宋"/>
                <w:sz w:val="24"/>
                <w:szCs w:val="24"/>
              </w:rPr>
              <w:t>实践主要内容和要求</w:t>
            </w:r>
          </w:p>
        </w:tc>
        <w:tc>
          <w:tcPr>
            <w:tcW w:w="5671" w:type="dxa"/>
            <w:gridSpan w:val="11"/>
            <w:vAlign w:val="center"/>
          </w:tcPr>
          <w:p w14:paraId="114E06A3">
            <w:pPr>
              <w:jc w:val="center"/>
              <w:rPr>
                <w:rFonts w:hint="eastAsia" w:ascii="仿宋" w:hAnsi="仿宋" w:eastAsia="仿宋" w:cs="仿宋"/>
                <w:kern w:val="0"/>
                <w:sz w:val="24"/>
                <w:szCs w:val="24"/>
              </w:rPr>
            </w:pPr>
            <w:r>
              <w:rPr>
                <w:rFonts w:hint="eastAsia" w:ascii="仿宋" w:hAnsi="仿宋" w:eastAsia="仿宋" w:cs="仿宋"/>
                <w:kern w:val="0"/>
                <w:sz w:val="24"/>
                <w:szCs w:val="24"/>
              </w:rPr>
              <w:t>支撑课程</w:t>
            </w:r>
          </w:p>
          <w:p w14:paraId="74368CEA">
            <w:pPr>
              <w:jc w:val="center"/>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929" w:type="dxa"/>
            <w:gridSpan w:val="2"/>
            <w:vAlign w:val="center"/>
          </w:tcPr>
          <w:p w14:paraId="6DD60E2C">
            <w:pPr>
              <w:jc w:val="center"/>
              <w:rPr>
                <w:rFonts w:ascii="仿宋" w:hAnsi="仿宋" w:eastAsia="仿宋" w:cs="仿宋"/>
                <w:kern w:val="0"/>
                <w:sz w:val="24"/>
                <w:szCs w:val="24"/>
              </w:rPr>
            </w:pPr>
            <w:r>
              <w:rPr>
                <w:rFonts w:hint="eastAsia" w:ascii="仿宋" w:hAnsi="仿宋" w:eastAsia="仿宋" w:cs="仿宋"/>
                <w:kern w:val="0"/>
                <w:sz w:val="24"/>
                <w:szCs w:val="24"/>
              </w:rPr>
              <w:t>时长</w:t>
            </w:r>
          </w:p>
          <w:p w14:paraId="7E80D545">
            <w:pPr>
              <w:jc w:val="center"/>
              <w:rPr>
                <w:rFonts w:hint="eastAsia" w:ascii="仿宋" w:hAnsi="仿宋" w:eastAsia="仿宋" w:cs="仿宋"/>
                <w:sz w:val="24"/>
                <w:szCs w:val="24"/>
              </w:rPr>
            </w:pPr>
            <w:r>
              <w:rPr>
                <w:rFonts w:hint="eastAsia" w:ascii="仿宋" w:hAnsi="仿宋" w:eastAsia="仿宋" w:cs="仿宋"/>
                <w:kern w:val="0"/>
                <w:sz w:val="24"/>
                <w:szCs w:val="24"/>
              </w:rPr>
              <w:t>分配</w:t>
            </w:r>
          </w:p>
        </w:tc>
      </w:tr>
      <w:tr w14:paraId="20E9E37B">
        <w:trPr>
          <w:trHeight w:val="1206" w:hRule="atLeast"/>
        </w:trPr>
        <w:tc>
          <w:tcPr>
            <w:tcW w:w="1375" w:type="dxa"/>
            <w:vMerge w:val="continue"/>
            <w:shd w:val="clear" w:color="auto" w:fill="FFFFFF"/>
            <w:vAlign w:val="center"/>
          </w:tcPr>
          <w:p w14:paraId="062E5234">
            <w:pPr>
              <w:jc w:val="center"/>
              <w:rPr>
                <w:rFonts w:hint="eastAsia" w:ascii="仿宋" w:hAnsi="仿宋" w:eastAsia="仿宋" w:cs="仿宋"/>
                <w:sz w:val="24"/>
                <w:szCs w:val="24"/>
              </w:rPr>
            </w:pPr>
          </w:p>
        </w:tc>
        <w:tc>
          <w:tcPr>
            <w:tcW w:w="1173" w:type="dxa"/>
            <w:vAlign w:val="top"/>
          </w:tcPr>
          <w:p w14:paraId="1455759D">
            <w:pPr>
              <w:widowControl/>
              <w:autoSpaceDE w:val="0"/>
              <w:autoSpaceDN w:val="0"/>
              <w:jc w:val="left"/>
              <w:rPr>
                <w:rFonts w:hint="eastAsia" w:ascii="仿宋" w:hAnsi="仿宋" w:eastAsia="仿宋" w:cs="仿宋"/>
                <w:sz w:val="24"/>
                <w:szCs w:val="24"/>
              </w:rPr>
            </w:pPr>
          </w:p>
        </w:tc>
        <w:tc>
          <w:tcPr>
            <w:tcW w:w="5671" w:type="dxa"/>
            <w:gridSpan w:val="11"/>
            <w:vAlign w:val="top"/>
          </w:tcPr>
          <w:p w14:paraId="63940F37">
            <w:pPr>
              <w:jc w:val="left"/>
              <w:rPr>
                <w:rFonts w:hint="eastAsia" w:ascii="仿宋" w:hAnsi="仿宋" w:eastAsia="仿宋" w:cs="仿宋"/>
                <w:sz w:val="24"/>
                <w:szCs w:val="24"/>
              </w:rPr>
            </w:pPr>
          </w:p>
        </w:tc>
        <w:tc>
          <w:tcPr>
            <w:tcW w:w="929" w:type="dxa"/>
            <w:gridSpan w:val="2"/>
            <w:vAlign w:val="top"/>
          </w:tcPr>
          <w:p w14:paraId="6AC50F20">
            <w:pPr>
              <w:jc w:val="left"/>
              <w:rPr>
                <w:rFonts w:hint="eastAsia" w:ascii="仿宋" w:hAnsi="仿宋" w:eastAsia="仿宋" w:cs="仿宋"/>
                <w:sz w:val="24"/>
                <w:szCs w:val="24"/>
              </w:rPr>
            </w:pPr>
          </w:p>
        </w:tc>
      </w:tr>
      <w:tr w14:paraId="012A3C54">
        <w:trPr>
          <w:trHeight w:val="921" w:hRule="atLeast"/>
        </w:trPr>
        <w:tc>
          <w:tcPr>
            <w:tcW w:w="1375" w:type="dxa"/>
            <w:vAlign w:val="center"/>
          </w:tcPr>
          <w:p w14:paraId="48584E04">
            <w:pPr>
              <w:jc w:val="center"/>
              <w:rPr>
                <w:rFonts w:hint="eastAsia" w:ascii="仿宋" w:hAnsi="仿宋" w:eastAsia="仿宋" w:cs="仿宋"/>
                <w:sz w:val="24"/>
                <w:szCs w:val="24"/>
              </w:rPr>
            </w:pPr>
            <w:r>
              <w:rPr>
                <w:rFonts w:hint="eastAsia" w:ascii="仿宋" w:hAnsi="仿宋" w:eastAsia="仿宋" w:cs="仿宋"/>
                <w:sz w:val="24"/>
                <w:szCs w:val="24"/>
              </w:rPr>
              <w:t>I</w:t>
            </w:r>
          </w:p>
          <w:p w14:paraId="7BA3BF33">
            <w:pPr>
              <w:jc w:val="center"/>
              <w:rPr>
                <w:rFonts w:hint="eastAsia" w:ascii="仿宋" w:hAnsi="仿宋" w:eastAsia="仿宋" w:cs="仿宋"/>
                <w:sz w:val="24"/>
                <w:szCs w:val="24"/>
                <w:lang w:eastAsia="zh-TW"/>
              </w:rPr>
            </w:pPr>
            <w:r>
              <w:rPr>
                <w:rFonts w:hint="eastAsia" w:ascii="仿宋" w:hAnsi="仿宋" w:eastAsia="仿宋" w:cs="仿宋"/>
                <w:sz w:val="24"/>
                <w:szCs w:val="24"/>
              </w:rPr>
              <w:t>教学方法与教学方式</w:t>
            </w:r>
          </w:p>
        </w:tc>
        <w:tc>
          <w:tcPr>
            <w:tcW w:w="7773" w:type="dxa"/>
            <w:gridSpan w:val="14"/>
            <w:tcBorders>
              <w:bottom w:val="single" w:color="auto" w:sz="4" w:space="0"/>
            </w:tcBorders>
            <w:vAlign w:val="center"/>
          </w:tcPr>
          <w:p w14:paraId="24EAB30C">
            <w:pPr>
              <w:numPr>
                <w:ilvl w:val="0"/>
                <w:numId w:val="15"/>
              </w:numPr>
              <w:rPr>
                <w:rFonts w:hint="eastAsia" w:ascii="仿宋" w:hAnsi="仿宋" w:eastAsia="仿宋" w:cs="仿宋"/>
                <w:sz w:val="24"/>
                <w:szCs w:val="24"/>
              </w:rPr>
            </w:pPr>
            <w:r>
              <w:rPr>
                <w:rFonts w:hint="eastAsia" w:ascii="仿宋" w:hAnsi="仿宋" w:eastAsia="仿宋" w:cs="仿宋"/>
                <w:sz w:val="24"/>
                <w:szCs w:val="24"/>
              </w:rPr>
              <w:t>本课程以课堂讲授与练习相结合，采用小组课的授课方式，对学生的表演、演唱技巧及与声乐相关的其他相关的知识进行细致详尽的讲解、示范与辅导。</w:t>
            </w:r>
          </w:p>
          <w:p w14:paraId="78DEE290">
            <w:pPr>
              <w:numPr>
                <w:ilvl w:val="0"/>
                <w:numId w:val="15"/>
              </w:numPr>
              <w:rPr>
                <w:rFonts w:hint="eastAsia" w:ascii="仿宋" w:hAnsi="仿宋" w:eastAsia="仿宋" w:cs="仿宋"/>
                <w:sz w:val="24"/>
                <w:szCs w:val="24"/>
              </w:rPr>
            </w:pPr>
            <w:r>
              <w:rPr>
                <w:rFonts w:hint="eastAsia" w:ascii="仿宋" w:hAnsi="仿宋" w:eastAsia="仿宋" w:cs="仿宋"/>
                <w:sz w:val="24"/>
                <w:szCs w:val="24"/>
              </w:rPr>
              <w:t>开通网络课堂，达到与学生及时沟通、交流的目的。同时重视师生互动与小组活动，组织课堂小组讨论和小组练习，将课堂教学变为师生共同活动的过程。</w:t>
            </w:r>
          </w:p>
          <w:p w14:paraId="7B58467F">
            <w:pPr>
              <w:numPr>
                <w:ilvl w:val="0"/>
                <w:numId w:val="15"/>
              </w:numPr>
              <w:rPr>
                <w:rFonts w:hint="eastAsia" w:ascii="仿宋" w:hAnsi="仿宋" w:eastAsia="仿宋" w:cs="仿宋"/>
                <w:sz w:val="24"/>
                <w:szCs w:val="24"/>
              </w:rPr>
            </w:pPr>
            <w:r>
              <w:rPr>
                <w:rFonts w:hint="eastAsia" w:ascii="仿宋" w:hAnsi="仿宋" w:eastAsia="仿宋" w:cs="仿宋"/>
                <w:sz w:val="24"/>
                <w:szCs w:val="24"/>
              </w:rPr>
              <w:t>主要方式：</w:t>
            </w:r>
          </w:p>
          <w:p w14:paraId="6FB36CBD">
            <w:pPr>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讲授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网络学习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讨论或座谈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问题导向学  </w:t>
            </w:r>
          </w:p>
          <w:p w14:paraId="167F50DA">
            <w:pPr>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分组合作学习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专题学习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实作学习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发表学习  </w:t>
            </w:r>
          </w:p>
          <w:p w14:paraId="71258403">
            <w:pPr>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实习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参观访问  </w:t>
            </w:r>
            <w:r>
              <w:rPr>
                <w:rFonts w:hint="eastAsia" w:ascii="仿宋" w:hAnsi="仿宋" w:eastAsia="仿宋" w:cs="仿宋"/>
                <w:sz w:val="24"/>
                <w:szCs w:val="24"/>
              </w:rPr>
              <w:sym w:font="Wingdings" w:char="00A8"/>
            </w:r>
            <w:r>
              <w:rPr>
                <w:rFonts w:hint="eastAsia" w:ascii="仿宋" w:hAnsi="仿宋" w:eastAsia="仿宋" w:cs="仿宋"/>
                <w:sz w:val="24"/>
                <w:szCs w:val="24"/>
              </w:rPr>
              <w:t>其它：        (如口头训练等)</w:t>
            </w:r>
          </w:p>
        </w:tc>
      </w:tr>
      <w:tr w14:paraId="3AF22643">
        <w:trPr>
          <w:trHeight w:val="1252" w:hRule="atLeast"/>
        </w:trPr>
        <w:tc>
          <w:tcPr>
            <w:tcW w:w="1375" w:type="dxa"/>
            <w:vAlign w:val="center"/>
          </w:tcPr>
          <w:p w14:paraId="6801361D">
            <w:pPr>
              <w:jc w:val="center"/>
              <w:rPr>
                <w:rFonts w:hint="eastAsia" w:ascii="仿宋" w:hAnsi="仿宋" w:eastAsia="仿宋" w:cs="仿宋"/>
                <w:sz w:val="24"/>
                <w:szCs w:val="24"/>
              </w:rPr>
            </w:pPr>
            <w:r>
              <w:rPr>
                <w:rFonts w:hint="eastAsia" w:ascii="仿宋" w:hAnsi="仿宋" w:eastAsia="仿宋" w:cs="仿宋"/>
                <w:sz w:val="24"/>
                <w:szCs w:val="24"/>
              </w:rPr>
              <w:t>J</w:t>
            </w:r>
          </w:p>
          <w:p w14:paraId="01333F8E">
            <w:pPr>
              <w:jc w:val="center"/>
              <w:rPr>
                <w:rFonts w:hint="eastAsia" w:ascii="仿宋" w:hAnsi="仿宋" w:eastAsia="仿宋" w:cs="仿宋"/>
                <w:sz w:val="24"/>
                <w:szCs w:val="24"/>
              </w:rPr>
            </w:pPr>
            <w:r>
              <w:rPr>
                <w:rFonts w:hint="eastAsia" w:ascii="仿宋" w:hAnsi="仿宋" w:eastAsia="仿宋" w:cs="仿宋"/>
                <w:sz w:val="24"/>
                <w:szCs w:val="24"/>
              </w:rPr>
              <w:t>教学条件</w:t>
            </w:r>
          </w:p>
          <w:p w14:paraId="66584611">
            <w:pPr>
              <w:jc w:val="center"/>
              <w:rPr>
                <w:rFonts w:hint="eastAsia" w:ascii="仿宋" w:hAnsi="仿宋" w:eastAsia="仿宋" w:cs="仿宋"/>
                <w:sz w:val="24"/>
                <w:szCs w:val="24"/>
              </w:rPr>
            </w:pPr>
            <w:r>
              <w:rPr>
                <w:rFonts w:hint="eastAsia" w:ascii="仿宋" w:hAnsi="仿宋" w:eastAsia="仿宋" w:cs="仿宋"/>
                <w:sz w:val="24"/>
                <w:szCs w:val="24"/>
              </w:rPr>
              <w:t>需求</w:t>
            </w:r>
          </w:p>
        </w:tc>
        <w:tc>
          <w:tcPr>
            <w:tcW w:w="7773" w:type="dxa"/>
            <w:gridSpan w:val="14"/>
            <w:tcBorders>
              <w:bottom w:val="single" w:color="auto" w:sz="4" w:space="0"/>
            </w:tcBorders>
            <w:vAlign w:val="center"/>
          </w:tcPr>
          <w:p w14:paraId="1781ED78">
            <w:pPr>
              <w:tabs>
                <w:tab w:val="left" w:pos="720"/>
              </w:tabs>
              <w:rPr>
                <w:rFonts w:hint="eastAsia" w:ascii="仿宋" w:hAnsi="仿宋" w:eastAsia="仿宋" w:cs="仿宋"/>
                <w:kern w:val="0"/>
                <w:sz w:val="24"/>
                <w:szCs w:val="24"/>
              </w:rPr>
            </w:pPr>
            <w:r>
              <w:rPr>
                <w:rFonts w:hint="eastAsia" w:ascii="仿宋" w:hAnsi="仿宋" w:eastAsia="仿宋" w:cs="仿宋"/>
                <w:kern w:val="0"/>
                <w:sz w:val="24"/>
                <w:szCs w:val="24"/>
              </w:rPr>
              <w:t>（如时间、地点安排与“一课双师”等教师配备需求等）</w:t>
            </w:r>
          </w:p>
          <w:p w14:paraId="47CE14A3">
            <w:pPr>
              <w:tabs>
                <w:tab w:val="left" w:pos="720"/>
              </w:tabs>
              <w:rPr>
                <w:rFonts w:hint="eastAsia" w:ascii="仿宋" w:hAnsi="仿宋" w:eastAsia="仿宋" w:cs="仿宋"/>
                <w:sz w:val="24"/>
                <w:szCs w:val="24"/>
              </w:rPr>
            </w:pPr>
            <w:r>
              <w:rPr>
                <w:rFonts w:hint="eastAsia" w:ascii="仿宋" w:hAnsi="仿宋" w:eastAsia="仿宋" w:cs="仿宋"/>
                <w:sz w:val="24"/>
                <w:szCs w:val="24"/>
              </w:rPr>
              <w:t>1.需要钢琴、演艺厅、教学琴房等教学场所、工具需求。</w:t>
            </w:r>
          </w:p>
          <w:p w14:paraId="2A833315">
            <w:pPr>
              <w:tabs>
                <w:tab w:val="left" w:pos="720"/>
              </w:tabs>
              <w:rPr>
                <w:rFonts w:hint="eastAsia" w:ascii="仿宋" w:hAnsi="仿宋" w:eastAsia="仿宋" w:cs="仿宋"/>
                <w:kern w:val="0"/>
                <w:sz w:val="24"/>
                <w:szCs w:val="24"/>
              </w:rPr>
            </w:pPr>
            <w:r>
              <w:rPr>
                <w:rFonts w:hint="eastAsia" w:ascii="仿宋" w:hAnsi="仿宋" w:eastAsia="仿宋" w:cs="仿宋"/>
                <w:kern w:val="0"/>
                <w:sz w:val="24"/>
                <w:szCs w:val="24"/>
              </w:rPr>
              <w:t>2.根据课程特点，需要相关声乐专家进行“一课双师”授课。</w:t>
            </w:r>
          </w:p>
        </w:tc>
      </w:tr>
      <w:tr w14:paraId="1EFC2336">
        <w:trPr>
          <w:trHeight w:val="1125" w:hRule="atLeast"/>
        </w:trPr>
        <w:tc>
          <w:tcPr>
            <w:tcW w:w="1375" w:type="dxa"/>
            <w:vMerge w:val="restart"/>
            <w:vAlign w:val="center"/>
          </w:tcPr>
          <w:p w14:paraId="2263A113">
            <w:pPr>
              <w:jc w:val="center"/>
              <w:rPr>
                <w:rFonts w:hint="eastAsia" w:ascii="仿宋" w:hAnsi="仿宋" w:eastAsia="仿宋" w:cs="仿宋"/>
                <w:sz w:val="24"/>
                <w:szCs w:val="24"/>
              </w:rPr>
            </w:pPr>
            <w:r>
              <w:rPr>
                <w:rFonts w:hint="eastAsia" w:ascii="仿宋" w:hAnsi="仿宋" w:eastAsia="仿宋" w:cs="仿宋"/>
                <w:sz w:val="24"/>
                <w:szCs w:val="24"/>
              </w:rPr>
              <w:t>K</w:t>
            </w:r>
          </w:p>
          <w:p w14:paraId="27E5A155">
            <w:pPr>
              <w:jc w:val="center"/>
              <w:rPr>
                <w:rFonts w:hint="eastAsia" w:ascii="仿宋" w:hAnsi="仿宋" w:eastAsia="仿宋" w:cs="仿宋"/>
                <w:sz w:val="24"/>
                <w:szCs w:val="24"/>
              </w:rPr>
            </w:pPr>
            <w:r>
              <w:rPr>
                <w:rFonts w:hint="eastAsia" w:ascii="仿宋" w:hAnsi="仿宋" w:eastAsia="仿宋" w:cs="仿宋"/>
                <w:sz w:val="24"/>
                <w:szCs w:val="24"/>
              </w:rPr>
              <w:t>课程目标及其考核内容、考核方式及评分占比</w:t>
            </w:r>
          </w:p>
        </w:tc>
        <w:tc>
          <w:tcPr>
            <w:tcW w:w="1549" w:type="dxa"/>
            <w:gridSpan w:val="2"/>
            <w:vMerge w:val="restart"/>
            <w:vAlign w:val="center"/>
          </w:tcPr>
          <w:p w14:paraId="14C28005">
            <w:pPr>
              <w:jc w:val="center"/>
              <w:rPr>
                <w:rFonts w:hint="eastAsia" w:ascii="仿宋" w:hAnsi="仿宋" w:eastAsia="仿宋" w:cs="仿宋"/>
                <w:sz w:val="24"/>
                <w:szCs w:val="24"/>
              </w:rPr>
            </w:pPr>
            <w:r>
              <w:rPr>
                <w:rFonts w:hint="eastAsia" w:ascii="仿宋" w:hAnsi="仿宋" w:eastAsia="仿宋" w:cs="仿宋"/>
                <w:sz w:val="24"/>
                <w:szCs w:val="24"/>
              </w:rPr>
              <w:t>课程目标及评分占比</w:t>
            </w:r>
          </w:p>
        </w:tc>
        <w:tc>
          <w:tcPr>
            <w:tcW w:w="2784" w:type="dxa"/>
            <w:gridSpan w:val="4"/>
            <w:vMerge w:val="restart"/>
            <w:tcBorders>
              <w:right w:val="single" w:color="000000" w:sz="4" w:space="0"/>
            </w:tcBorders>
            <w:vAlign w:val="center"/>
          </w:tcPr>
          <w:p w14:paraId="25BF344D">
            <w:pPr>
              <w:tabs>
                <w:tab w:val="left" w:pos="720"/>
              </w:tabs>
              <w:jc w:val="center"/>
              <w:rPr>
                <w:rFonts w:hint="eastAsia" w:ascii="仿宋" w:hAnsi="仿宋" w:eastAsia="仿宋" w:cs="仿宋"/>
                <w:kern w:val="0"/>
                <w:sz w:val="24"/>
                <w:szCs w:val="24"/>
              </w:rPr>
            </w:pPr>
            <w:r>
              <w:rPr>
                <w:rFonts w:hint="eastAsia" w:ascii="仿宋" w:hAnsi="仿宋" w:eastAsia="仿宋" w:cs="仿宋"/>
                <w:kern w:val="0"/>
                <w:sz w:val="24"/>
                <w:szCs w:val="24"/>
              </w:rPr>
              <w:t>考核内容</w:t>
            </w:r>
          </w:p>
        </w:tc>
        <w:tc>
          <w:tcPr>
            <w:tcW w:w="2846" w:type="dxa"/>
            <w:gridSpan w:val="7"/>
            <w:tcBorders>
              <w:left w:val="single" w:color="000000" w:sz="4" w:space="0"/>
              <w:right w:val="single" w:color="000000" w:sz="4" w:space="0"/>
            </w:tcBorders>
            <w:vAlign w:val="center"/>
          </w:tcPr>
          <w:p w14:paraId="50CE27AF">
            <w:pPr>
              <w:jc w:val="center"/>
              <w:rPr>
                <w:rFonts w:hint="eastAsia" w:ascii="仿宋" w:hAnsi="仿宋" w:eastAsia="仿宋" w:cs="仿宋"/>
                <w:sz w:val="24"/>
                <w:szCs w:val="24"/>
              </w:rPr>
            </w:pPr>
            <w:r>
              <w:rPr>
                <w:rFonts w:hint="eastAsia" w:ascii="仿宋" w:hAnsi="仿宋" w:eastAsia="仿宋" w:cs="仿宋"/>
                <w:sz w:val="24"/>
                <w:szCs w:val="24"/>
              </w:rPr>
              <w:t>考核方式</w:t>
            </w:r>
          </w:p>
        </w:tc>
        <w:tc>
          <w:tcPr>
            <w:tcW w:w="594" w:type="dxa"/>
            <w:vMerge w:val="restart"/>
            <w:tcBorders>
              <w:left w:val="single" w:color="000000" w:sz="4" w:space="0"/>
            </w:tcBorders>
            <w:vAlign w:val="center"/>
          </w:tcPr>
          <w:p w14:paraId="24668879">
            <w:pPr>
              <w:tabs>
                <w:tab w:val="left" w:pos="720"/>
              </w:tabs>
              <w:jc w:val="center"/>
              <w:rPr>
                <w:rFonts w:hint="eastAsia" w:ascii="仿宋" w:hAnsi="仿宋" w:eastAsia="仿宋" w:cs="仿宋"/>
                <w:kern w:val="0"/>
                <w:sz w:val="24"/>
                <w:szCs w:val="24"/>
              </w:rPr>
            </w:pPr>
            <w:r>
              <w:rPr>
                <w:rFonts w:hint="eastAsia" w:ascii="仿宋" w:hAnsi="仿宋" w:eastAsia="仿宋" w:cs="仿宋"/>
                <w:sz w:val="24"/>
                <w:szCs w:val="24"/>
              </w:rPr>
              <w:t>课程分目标的达成度</w:t>
            </w:r>
          </w:p>
        </w:tc>
      </w:tr>
      <w:tr w14:paraId="0161A4B6">
        <w:trPr>
          <w:trHeight w:val="184" w:hRule="atLeast"/>
        </w:trPr>
        <w:tc>
          <w:tcPr>
            <w:tcW w:w="1375" w:type="dxa"/>
            <w:vMerge w:val="continue"/>
            <w:vAlign w:val="center"/>
          </w:tcPr>
          <w:p w14:paraId="3E83AC64">
            <w:pPr>
              <w:jc w:val="center"/>
              <w:rPr>
                <w:rFonts w:hint="eastAsia" w:ascii="仿宋" w:hAnsi="仿宋" w:eastAsia="仿宋" w:cs="仿宋"/>
                <w:sz w:val="24"/>
                <w:szCs w:val="24"/>
              </w:rPr>
            </w:pPr>
          </w:p>
        </w:tc>
        <w:tc>
          <w:tcPr>
            <w:tcW w:w="1549" w:type="dxa"/>
            <w:gridSpan w:val="2"/>
            <w:vMerge w:val="continue"/>
            <w:vAlign w:val="center"/>
          </w:tcPr>
          <w:p w14:paraId="472CD0A8">
            <w:pPr>
              <w:jc w:val="right"/>
              <w:rPr>
                <w:rFonts w:hint="eastAsia" w:ascii="仿宋" w:hAnsi="仿宋" w:eastAsia="仿宋" w:cs="仿宋"/>
                <w:sz w:val="24"/>
                <w:szCs w:val="24"/>
              </w:rPr>
            </w:pPr>
          </w:p>
        </w:tc>
        <w:tc>
          <w:tcPr>
            <w:tcW w:w="2784" w:type="dxa"/>
            <w:gridSpan w:val="4"/>
            <w:vMerge w:val="continue"/>
            <w:tcBorders>
              <w:right w:val="single" w:color="000000" w:sz="4" w:space="0"/>
            </w:tcBorders>
            <w:vAlign w:val="center"/>
          </w:tcPr>
          <w:p w14:paraId="70FE8896">
            <w:pPr>
              <w:tabs>
                <w:tab w:val="left" w:pos="720"/>
              </w:tabs>
              <w:jc w:val="center"/>
              <w:rPr>
                <w:rFonts w:hint="eastAsia" w:ascii="仿宋" w:hAnsi="仿宋" w:eastAsia="仿宋" w:cs="仿宋"/>
                <w:kern w:val="0"/>
                <w:sz w:val="24"/>
                <w:szCs w:val="24"/>
              </w:rPr>
            </w:pPr>
          </w:p>
        </w:tc>
        <w:tc>
          <w:tcPr>
            <w:tcW w:w="955" w:type="dxa"/>
            <w:tcBorders>
              <w:left w:val="single" w:color="000000" w:sz="4" w:space="0"/>
            </w:tcBorders>
            <w:vAlign w:val="center"/>
          </w:tcPr>
          <w:p w14:paraId="4B2FEB19">
            <w:pPr>
              <w:jc w:val="center"/>
              <w:rPr>
                <w:rFonts w:hint="eastAsia" w:ascii="仿宋" w:hAnsi="仿宋" w:eastAsia="仿宋" w:cs="仿宋"/>
                <w:kern w:val="0"/>
                <w:sz w:val="24"/>
                <w:szCs w:val="24"/>
              </w:rPr>
            </w:pPr>
            <w:r>
              <w:rPr>
                <w:rFonts w:hint="eastAsia" w:ascii="仿宋" w:hAnsi="仿宋" w:eastAsia="仿宋" w:cs="仿宋"/>
                <w:kern w:val="0"/>
                <w:sz w:val="24"/>
                <w:szCs w:val="24"/>
              </w:rPr>
              <w:t>期中考试评分占比</w:t>
            </w:r>
            <w:r>
              <w:rPr>
                <w:rFonts w:hint="eastAsia" w:ascii="仿宋" w:hAnsi="仿宋" w:eastAsia="仿宋" w:cs="仿宋"/>
                <w:sz w:val="24"/>
                <w:szCs w:val="24"/>
              </w:rPr>
              <w:t>（20%）</w:t>
            </w:r>
          </w:p>
        </w:tc>
        <w:tc>
          <w:tcPr>
            <w:tcW w:w="1134" w:type="dxa"/>
            <w:gridSpan w:val="4"/>
            <w:tcBorders>
              <w:left w:val="single" w:color="000000" w:sz="4" w:space="0"/>
              <w:bottom w:val="single" w:color="auto" w:sz="4" w:space="0"/>
            </w:tcBorders>
            <w:vAlign w:val="center"/>
          </w:tcPr>
          <w:p w14:paraId="744AE2B4">
            <w:pPr>
              <w:jc w:val="center"/>
              <w:rPr>
                <w:rFonts w:hint="eastAsia" w:ascii="仿宋" w:hAnsi="仿宋" w:eastAsia="仿宋" w:cs="仿宋"/>
                <w:sz w:val="24"/>
                <w:szCs w:val="24"/>
              </w:rPr>
            </w:pPr>
            <w:r>
              <w:rPr>
                <w:rFonts w:hint="eastAsia" w:ascii="仿宋" w:hAnsi="仿宋" w:eastAsia="仿宋" w:cs="仿宋"/>
                <w:sz w:val="24"/>
                <w:szCs w:val="24"/>
              </w:rPr>
              <w:t>课堂表现/考勤/作业练习评分占比（20%）</w:t>
            </w:r>
          </w:p>
        </w:tc>
        <w:tc>
          <w:tcPr>
            <w:tcW w:w="757" w:type="dxa"/>
            <w:gridSpan w:val="2"/>
            <w:tcBorders>
              <w:bottom w:val="single" w:color="auto" w:sz="4" w:space="0"/>
              <w:right w:val="single" w:color="000000" w:sz="4" w:space="0"/>
            </w:tcBorders>
            <w:vAlign w:val="center"/>
          </w:tcPr>
          <w:p w14:paraId="76CB38C0">
            <w:pPr>
              <w:jc w:val="center"/>
              <w:rPr>
                <w:rFonts w:hint="eastAsia" w:ascii="仿宋" w:hAnsi="仿宋" w:eastAsia="仿宋" w:cs="仿宋"/>
                <w:sz w:val="24"/>
                <w:szCs w:val="24"/>
              </w:rPr>
            </w:pPr>
            <w:r>
              <w:rPr>
                <w:rFonts w:hint="eastAsia" w:ascii="仿宋" w:hAnsi="仿宋" w:eastAsia="仿宋" w:cs="仿宋"/>
                <w:sz w:val="24"/>
                <w:szCs w:val="24"/>
              </w:rPr>
              <w:t>期末考试评分占比（60%）</w:t>
            </w:r>
          </w:p>
        </w:tc>
        <w:tc>
          <w:tcPr>
            <w:tcW w:w="594" w:type="dxa"/>
            <w:vMerge w:val="continue"/>
            <w:tcBorders>
              <w:left w:val="single" w:color="000000" w:sz="4" w:space="0"/>
              <w:bottom w:val="single" w:color="auto" w:sz="4" w:space="0"/>
            </w:tcBorders>
            <w:vAlign w:val="center"/>
          </w:tcPr>
          <w:p w14:paraId="7740DDCE">
            <w:pPr>
              <w:tabs>
                <w:tab w:val="left" w:pos="720"/>
              </w:tabs>
              <w:jc w:val="center"/>
              <w:rPr>
                <w:rFonts w:hint="eastAsia" w:ascii="仿宋" w:hAnsi="仿宋" w:eastAsia="仿宋" w:cs="仿宋"/>
                <w:sz w:val="24"/>
                <w:szCs w:val="24"/>
              </w:rPr>
            </w:pPr>
          </w:p>
        </w:tc>
      </w:tr>
      <w:tr w14:paraId="0826217F">
        <w:tc>
          <w:tcPr>
            <w:tcW w:w="1375" w:type="dxa"/>
            <w:vMerge w:val="continue"/>
            <w:vAlign w:val="center"/>
          </w:tcPr>
          <w:p w14:paraId="4834DC4A">
            <w:pPr>
              <w:jc w:val="center"/>
              <w:rPr>
                <w:rFonts w:hint="eastAsia" w:ascii="仿宋" w:hAnsi="仿宋" w:eastAsia="仿宋" w:cs="仿宋"/>
                <w:sz w:val="24"/>
                <w:szCs w:val="24"/>
                <w:lang w:eastAsia="zh-TW"/>
              </w:rPr>
            </w:pPr>
          </w:p>
        </w:tc>
        <w:tc>
          <w:tcPr>
            <w:tcW w:w="1549" w:type="dxa"/>
            <w:gridSpan w:val="2"/>
            <w:tcBorders>
              <w:bottom w:val="single" w:color="auto" w:sz="4" w:space="0"/>
            </w:tcBorders>
            <w:vAlign w:val="center"/>
          </w:tcPr>
          <w:p w14:paraId="3DA7F225">
            <w:pPr>
              <w:jc w:val="center"/>
              <w:rPr>
                <w:rFonts w:hint="eastAsia" w:ascii="仿宋" w:hAnsi="仿宋" w:eastAsia="仿宋" w:cs="仿宋"/>
                <w:kern w:val="0"/>
                <w:sz w:val="24"/>
                <w:szCs w:val="24"/>
              </w:rPr>
            </w:pPr>
            <w:r>
              <w:rPr>
                <w:rFonts w:hint="eastAsia" w:ascii="仿宋" w:hAnsi="仿宋" w:eastAsia="仿宋" w:cs="仿宋"/>
                <w:kern w:val="0"/>
                <w:sz w:val="24"/>
                <w:szCs w:val="24"/>
              </w:rPr>
              <w:t>课程目标1（20%）</w:t>
            </w:r>
          </w:p>
        </w:tc>
        <w:tc>
          <w:tcPr>
            <w:tcW w:w="2784" w:type="dxa"/>
            <w:gridSpan w:val="4"/>
            <w:tcBorders>
              <w:bottom w:val="single" w:color="auto" w:sz="4" w:space="0"/>
              <w:right w:val="single" w:color="000000" w:sz="4" w:space="0"/>
            </w:tcBorders>
            <w:vAlign w:val="center"/>
          </w:tcPr>
          <w:p w14:paraId="7F78298A">
            <w:pPr>
              <w:widowControl/>
              <w:jc w:val="left"/>
              <w:rPr>
                <w:rFonts w:ascii="仿宋" w:hAnsi="仿宋" w:eastAsia="仿宋"/>
                <w:sz w:val="24"/>
                <w:szCs w:val="24"/>
              </w:rPr>
            </w:pPr>
            <w:r>
              <w:rPr>
                <w:rFonts w:hint="eastAsia" w:ascii="仿宋" w:hAnsi="仿宋" w:eastAsia="仿宋"/>
                <w:sz w:val="24"/>
                <w:szCs w:val="24"/>
              </w:rPr>
              <w:t xml:space="preserve">1.全面发展教育观、素质教育观。 </w:t>
            </w:r>
          </w:p>
          <w:p w14:paraId="0D3B9423">
            <w:pPr>
              <w:rPr>
                <w:rFonts w:hint="eastAsia"/>
                <w:szCs w:val="21"/>
              </w:rPr>
            </w:pPr>
            <w:r>
              <w:rPr>
                <w:rFonts w:hint="eastAsia" w:ascii="仿宋" w:hAnsi="仿宋" w:eastAsia="仿宋"/>
                <w:sz w:val="24"/>
                <w:szCs w:val="24"/>
              </w:rPr>
              <w:t xml:space="preserve">2.教师专业素质、新课改倡导的教师观。    </w:t>
            </w:r>
          </w:p>
        </w:tc>
        <w:tc>
          <w:tcPr>
            <w:tcW w:w="955" w:type="dxa"/>
            <w:tcBorders>
              <w:left w:val="single" w:color="000000" w:sz="4" w:space="0"/>
              <w:bottom w:val="single" w:color="auto" w:sz="4" w:space="0"/>
              <w:right w:val="single" w:color="auto" w:sz="4" w:space="0"/>
            </w:tcBorders>
            <w:vAlign w:val="center"/>
          </w:tcPr>
          <w:p w14:paraId="2F830FEF">
            <w:pPr>
              <w:tabs>
                <w:tab w:val="left" w:pos="720"/>
              </w:tabs>
              <w:jc w:val="center"/>
              <w:rPr>
                <w:rFonts w:hint="eastAsia" w:ascii="仿宋" w:hAnsi="仿宋" w:eastAsia="仿宋" w:cs="仿宋"/>
                <w:kern w:val="0"/>
                <w:sz w:val="24"/>
                <w:szCs w:val="24"/>
              </w:rPr>
            </w:pPr>
            <w:r>
              <w:rPr>
                <w:rFonts w:hint="eastAsia" w:ascii="仿宋" w:hAnsi="仿宋" w:eastAsia="仿宋" w:cs="仿宋"/>
                <w:kern w:val="0"/>
                <w:sz w:val="24"/>
                <w:szCs w:val="24"/>
              </w:rPr>
              <w:t>4</w:t>
            </w:r>
          </w:p>
        </w:tc>
        <w:tc>
          <w:tcPr>
            <w:tcW w:w="1134" w:type="dxa"/>
            <w:gridSpan w:val="4"/>
            <w:tcBorders>
              <w:left w:val="single" w:color="000000" w:sz="4" w:space="0"/>
              <w:bottom w:val="single" w:color="auto" w:sz="4" w:space="0"/>
              <w:right w:val="single" w:color="auto" w:sz="4" w:space="0"/>
            </w:tcBorders>
            <w:vAlign w:val="center"/>
          </w:tcPr>
          <w:p w14:paraId="04EA97D9">
            <w:pPr>
              <w:tabs>
                <w:tab w:val="left" w:pos="720"/>
              </w:tabs>
              <w:jc w:val="center"/>
              <w:rPr>
                <w:rFonts w:hint="eastAsia" w:ascii="仿宋" w:hAnsi="仿宋" w:eastAsia="仿宋" w:cs="仿宋"/>
                <w:kern w:val="0"/>
                <w:sz w:val="24"/>
                <w:szCs w:val="24"/>
              </w:rPr>
            </w:pPr>
            <w:r>
              <w:rPr>
                <w:rFonts w:hint="eastAsia" w:ascii="仿宋" w:hAnsi="仿宋" w:eastAsia="仿宋" w:cs="仿宋"/>
                <w:kern w:val="0"/>
                <w:sz w:val="24"/>
                <w:szCs w:val="24"/>
              </w:rPr>
              <w:t>4</w:t>
            </w:r>
          </w:p>
        </w:tc>
        <w:tc>
          <w:tcPr>
            <w:tcW w:w="757" w:type="dxa"/>
            <w:gridSpan w:val="2"/>
            <w:tcBorders>
              <w:left w:val="single" w:color="auto" w:sz="4" w:space="0"/>
              <w:bottom w:val="single" w:color="auto" w:sz="4" w:space="0"/>
              <w:right w:val="single" w:color="auto" w:sz="4" w:space="0"/>
            </w:tcBorders>
            <w:vAlign w:val="center"/>
          </w:tcPr>
          <w:p w14:paraId="7C030052">
            <w:pPr>
              <w:tabs>
                <w:tab w:val="left" w:pos="720"/>
              </w:tabs>
              <w:jc w:val="center"/>
              <w:rPr>
                <w:rFonts w:hint="eastAsia" w:ascii="仿宋" w:hAnsi="仿宋" w:eastAsia="仿宋" w:cs="仿宋"/>
                <w:kern w:val="0"/>
                <w:sz w:val="24"/>
                <w:szCs w:val="24"/>
              </w:rPr>
            </w:pPr>
            <w:r>
              <w:rPr>
                <w:rFonts w:hint="eastAsia" w:ascii="仿宋" w:hAnsi="仿宋" w:eastAsia="仿宋" w:cs="仿宋"/>
                <w:kern w:val="0"/>
                <w:sz w:val="24"/>
                <w:szCs w:val="24"/>
              </w:rPr>
              <w:t>12</w:t>
            </w:r>
          </w:p>
        </w:tc>
        <w:tc>
          <w:tcPr>
            <w:tcW w:w="594" w:type="dxa"/>
            <w:tcBorders>
              <w:left w:val="single" w:color="auto" w:sz="4" w:space="0"/>
              <w:bottom w:val="single" w:color="auto" w:sz="4" w:space="0"/>
            </w:tcBorders>
            <w:vAlign w:val="center"/>
          </w:tcPr>
          <w:p w14:paraId="36BA64B9">
            <w:pPr>
              <w:tabs>
                <w:tab w:val="left" w:pos="720"/>
              </w:tabs>
              <w:jc w:val="center"/>
              <w:rPr>
                <w:rFonts w:hint="eastAsia" w:ascii="仿宋" w:hAnsi="仿宋" w:eastAsia="仿宋" w:cs="仿宋"/>
                <w:kern w:val="0"/>
                <w:sz w:val="24"/>
                <w:szCs w:val="24"/>
              </w:rPr>
            </w:pPr>
            <w:r>
              <w:rPr>
                <w:rFonts w:hint="eastAsia" w:ascii="仿宋" w:hAnsi="仿宋" w:eastAsia="仿宋" w:cs="仿宋"/>
                <w:kern w:val="0"/>
                <w:sz w:val="24"/>
                <w:szCs w:val="24"/>
              </w:rPr>
              <w:t>0.70</w:t>
            </w:r>
          </w:p>
        </w:tc>
      </w:tr>
      <w:tr w14:paraId="09B9B1BC">
        <w:tc>
          <w:tcPr>
            <w:tcW w:w="1375" w:type="dxa"/>
            <w:vMerge w:val="continue"/>
            <w:vAlign w:val="center"/>
          </w:tcPr>
          <w:p w14:paraId="0C11C8C7">
            <w:pPr>
              <w:jc w:val="center"/>
              <w:rPr>
                <w:rFonts w:hint="eastAsia" w:ascii="仿宋" w:hAnsi="仿宋" w:eastAsia="仿宋" w:cs="仿宋"/>
                <w:sz w:val="24"/>
                <w:szCs w:val="24"/>
                <w:lang w:eastAsia="zh-TW"/>
              </w:rPr>
            </w:pPr>
          </w:p>
        </w:tc>
        <w:tc>
          <w:tcPr>
            <w:tcW w:w="1549" w:type="dxa"/>
            <w:gridSpan w:val="2"/>
            <w:tcBorders>
              <w:bottom w:val="single" w:color="auto" w:sz="4" w:space="0"/>
            </w:tcBorders>
            <w:vAlign w:val="center"/>
          </w:tcPr>
          <w:p w14:paraId="10B9EA3A">
            <w:pPr>
              <w:jc w:val="center"/>
              <w:rPr>
                <w:rFonts w:hint="eastAsia" w:ascii="仿宋" w:hAnsi="仿宋" w:eastAsia="仿宋" w:cs="仿宋"/>
                <w:sz w:val="24"/>
                <w:szCs w:val="24"/>
              </w:rPr>
            </w:pPr>
            <w:r>
              <w:rPr>
                <w:rFonts w:hint="eastAsia" w:ascii="仿宋" w:hAnsi="仿宋" w:eastAsia="仿宋" w:cs="仿宋"/>
                <w:kern w:val="0"/>
                <w:sz w:val="24"/>
                <w:szCs w:val="24"/>
              </w:rPr>
              <w:t>课程目标1（</w:t>
            </w:r>
            <w:r>
              <w:rPr>
                <w:rFonts w:ascii="仿宋" w:hAnsi="仿宋" w:eastAsia="仿宋" w:cs="仿宋"/>
                <w:kern w:val="0"/>
                <w:sz w:val="24"/>
                <w:szCs w:val="24"/>
              </w:rPr>
              <w:t>5</w:t>
            </w:r>
            <w:r>
              <w:rPr>
                <w:rFonts w:hint="eastAsia" w:ascii="仿宋" w:hAnsi="仿宋" w:eastAsia="仿宋" w:cs="仿宋"/>
                <w:kern w:val="0"/>
                <w:sz w:val="24"/>
                <w:szCs w:val="24"/>
              </w:rPr>
              <w:t>0%）</w:t>
            </w:r>
          </w:p>
        </w:tc>
        <w:tc>
          <w:tcPr>
            <w:tcW w:w="2784" w:type="dxa"/>
            <w:gridSpan w:val="4"/>
            <w:tcBorders>
              <w:bottom w:val="single" w:color="auto" w:sz="4" w:space="0"/>
              <w:right w:val="single" w:color="000000" w:sz="4" w:space="0"/>
            </w:tcBorders>
            <w:vAlign w:val="center"/>
          </w:tcPr>
          <w:p w14:paraId="657A6829">
            <w:pPr>
              <w:widowControl/>
              <w:autoSpaceDE w:val="0"/>
              <w:autoSpaceDN w:val="0"/>
              <w:jc w:val="left"/>
              <w:rPr>
                <w:rFonts w:hint="eastAsia"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宋体"/>
                <w:sz w:val="24"/>
                <w:szCs w:val="24"/>
              </w:rPr>
              <w:t>掌握</w:t>
            </w:r>
            <w:r>
              <w:rPr>
                <w:rFonts w:hint="eastAsia" w:ascii="仿宋" w:hAnsi="仿宋" w:eastAsia="仿宋" w:cs="宋体"/>
                <w:sz w:val="24"/>
                <w:szCs w:val="24"/>
                <w:lang w:eastAsia="en-US"/>
              </w:rPr>
              <w:t>音乐</w:t>
            </w:r>
            <w:r>
              <w:rPr>
                <w:rFonts w:hint="eastAsia" w:ascii="仿宋" w:hAnsi="仿宋" w:eastAsia="仿宋" w:cs="宋体"/>
                <w:sz w:val="24"/>
                <w:szCs w:val="24"/>
              </w:rPr>
              <w:t>理论的基本知识，了解中外音乐史的总体框架，</w:t>
            </w:r>
            <w:r>
              <w:rPr>
                <w:rFonts w:hint="eastAsia" w:ascii="仿宋" w:hAnsi="仿宋" w:eastAsia="仿宋" w:cs="宋体"/>
                <w:sz w:val="24"/>
                <w:szCs w:val="24"/>
                <w:lang w:eastAsia="en-US"/>
              </w:rPr>
              <w:t>理解</w:t>
            </w:r>
            <w:r>
              <w:rPr>
                <w:rFonts w:hint="eastAsia" w:ascii="仿宋" w:hAnsi="仿宋" w:eastAsia="仿宋" w:cs="宋体"/>
                <w:sz w:val="24"/>
                <w:szCs w:val="24"/>
              </w:rPr>
              <w:t>音乐理论课程之间的相互关联，形成</w:t>
            </w:r>
            <w:r>
              <w:rPr>
                <w:rFonts w:hint="eastAsia" w:ascii="仿宋" w:hAnsi="仿宋" w:eastAsia="仿宋" w:cs="宋体"/>
                <w:sz w:val="24"/>
                <w:szCs w:val="24"/>
                <w:lang w:eastAsia="en-US"/>
              </w:rPr>
              <w:t>初步的音乐</w:t>
            </w:r>
            <w:r>
              <w:rPr>
                <w:rFonts w:hint="eastAsia" w:ascii="仿宋" w:hAnsi="仿宋" w:eastAsia="仿宋" w:cs="宋体"/>
                <w:sz w:val="24"/>
                <w:szCs w:val="24"/>
              </w:rPr>
              <w:t>理论知识体系。</w:t>
            </w:r>
          </w:p>
          <w:p w14:paraId="530F3FFE">
            <w:pPr>
              <w:widowControl/>
              <w:autoSpaceDE w:val="0"/>
              <w:autoSpaceDN w:val="0"/>
              <w:jc w:val="left"/>
              <w:rPr>
                <w:rFonts w:hint="eastAsia" w:ascii="仿宋" w:hAnsi="仿宋" w:eastAsia="仿宋" w:cs="仿宋"/>
                <w:sz w:val="24"/>
                <w:szCs w:val="24"/>
              </w:rPr>
            </w:pPr>
            <w:r>
              <w:rPr>
                <w:rFonts w:hint="eastAsia" w:ascii="仿宋" w:hAnsi="仿宋" w:eastAsia="仿宋" w:cs="仿宋"/>
                <w:sz w:val="24"/>
                <w:szCs w:val="24"/>
              </w:rPr>
              <w:t>2.对演唱发声基本要求掌握和综合运用。重视发声中呼吸、共鸣、咬字、吐字、语言等基本要求。</w:t>
            </w:r>
            <w:r>
              <w:rPr>
                <w:rFonts w:hint="eastAsia" w:ascii="仿宋" w:hAnsi="仿宋" w:eastAsia="仿宋" w:cs="仿宋"/>
                <w:kern w:val="0"/>
                <w:sz w:val="24"/>
                <w:szCs w:val="24"/>
              </w:rPr>
              <w:tab/>
            </w:r>
          </w:p>
        </w:tc>
        <w:tc>
          <w:tcPr>
            <w:tcW w:w="955" w:type="dxa"/>
            <w:tcBorders>
              <w:left w:val="single" w:color="000000" w:sz="4" w:space="0"/>
              <w:bottom w:val="single" w:color="auto" w:sz="4" w:space="0"/>
              <w:right w:val="single" w:color="auto" w:sz="4" w:space="0"/>
            </w:tcBorders>
            <w:vAlign w:val="center"/>
          </w:tcPr>
          <w:p w14:paraId="5C6C9FBC">
            <w:pPr>
              <w:tabs>
                <w:tab w:val="left" w:pos="720"/>
              </w:tabs>
              <w:jc w:val="center"/>
              <w:rPr>
                <w:rFonts w:hint="eastAsia" w:ascii="仿宋" w:hAnsi="仿宋" w:eastAsia="仿宋" w:cs="仿宋"/>
                <w:kern w:val="0"/>
                <w:sz w:val="24"/>
                <w:szCs w:val="24"/>
              </w:rPr>
            </w:pPr>
            <w:r>
              <w:rPr>
                <w:rFonts w:hint="eastAsia" w:ascii="仿宋" w:hAnsi="仿宋" w:eastAsia="仿宋" w:cs="仿宋"/>
                <w:kern w:val="0"/>
                <w:sz w:val="24"/>
                <w:szCs w:val="24"/>
              </w:rPr>
              <w:t>10</w:t>
            </w:r>
          </w:p>
        </w:tc>
        <w:tc>
          <w:tcPr>
            <w:tcW w:w="1134" w:type="dxa"/>
            <w:gridSpan w:val="4"/>
            <w:tcBorders>
              <w:left w:val="single" w:color="000000" w:sz="4" w:space="0"/>
              <w:bottom w:val="single" w:color="auto" w:sz="4" w:space="0"/>
              <w:right w:val="single" w:color="auto" w:sz="4" w:space="0"/>
            </w:tcBorders>
            <w:vAlign w:val="center"/>
          </w:tcPr>
          <w:p w14:paraId="45487F7A">
            <w:pPr>
              <w:tabs>
                <w:tab w:val="left" w:pos="720"/>
              </w:tabs>
              <w:jc w:val="center"/>
              <w:rPr>
                <w:rFonts w:hint="eastAsia" w:ascii="仿宋" w:hAnsi="仿宋" w:eastAsia="仿宋" w:cs="仿宋"/>
                <w:kern w:val="0"/>
                <w:sz w:val="24"/>
                <w:szCs w:val="24"/>
              </w:rPr>
            </w:pPr>
            <w:r>
              <w:rPr>
                <w:rFonts w:hint="eastAsia" w:ascii="仿宋" w:hAnsi="仿宋" w:eastAsia="仿宋" w:cs="仿宋"/>
                <w:kern w:val="0"/>
                <w:sz w:val="24"/>
                <w:szCs w:val="24"/>
              </w:rPr>
              <w:t>10</w:t>
            </w:r>
          </w:p>
        </w:tc>
        <w:tc>
          <w:tcPr>
            <w:tcW w:w="757" w:type="dxa"/>
            <w:gridSpan w:val="2"/>
            <w:tcBorders>
              <w:left w:val="single" w:color="auto" w:sz="4" w:space="0"/>
              <w:bottom w:val="single" w:color="auto" w:sz="4" w:space="0"/>
              <w:right w:val="single" w:color="auto" w:sz="4" w:space="0"/>
            </w:tcBorders>
            <w:vAlign w:val="center"/>
          </w:tcPr>
          <w:p w14:paraId="74A20A72">
            <w:pPr>
              <w:tabs>
                <w:tab w:val="left" w:pos="720"/>
              </w:tabs>
              <w:jc w:val="center"/>
              <w:rPr>
                <w:rFonts w:hint="eastAsia" w:ascii="仿宋" w:hAnsi="仿宋" w:eastAsia="仿宋" w:cs="仿宋"/>
                <w:kern w:val="0"/>
                <w:sz w:val="24"/>
                <w:szCs w:val="24"/>
              </w:rPr>
            </w:pPr>
            <w:r>
              <w:rPr>
                <w:rFonts w:hint="eastAsia" w:ascii="仿宋" w:hAnsi="仿宋" w:eastAsia="仿宋" w:cs="仿宋"/>
                <w:kern w:val="0"/>
                <w:sz w:val="24"/>
                <w:szCs w:val="24"/>
              </w:rPr>
              <w:t>30</w:t>
            </w:r>
          </w:p>
        </w:tc>
        <w:tc>
          <w:tcPr>
            <w:tcW w:w="594" w:type="dxa"/>
            <w:tcBorders>
              <w:left w:val="single" w:color="auto" w:sz="4" w:space="0"/>
              <w:bottom w:val="single" w:color="auto" w:sz="4" w:space="0"/>
            </w:tcBorders>
            <w:vAlign w:val="center"/>
          </w:tcPr>
          <w:p w14:paraId="30826C6F">
            <w:pPr>
              <w:tabs>
                <w:tab w:val="left" w:pos="720"/>
              </w:tabs>
              <w:jc w:val="center"/>
              <w:rPr>
                <w:rFonts w:hint="eastAsia" w:ascii="仿宋" w:hAnsi="仿宋" w:eastAsia="仿宋" w:cs="仿宋"/>
                <w:kern w:val="0"/>
                <w:sz w:val="24"/>
                <w:szCs w:val="24"/>
              </w:rPr>
            </w:pPr>
            <w:r>
              <w:rPr>
                <w:rFonts w:hint="eastAsia" w:ascii="仿宋" w:hAnsi="仿宋" w:eastAsia="仿宋" w:cs="仿宋"/>
                <w:kern w:val="0"/>
                <w:sz w:val="24"/>
                <w:szCs w:val="24"/>
              </w:rPr>
              <w:t>0.70</w:t>
            </w:r>
          </w:p>
        </w:tc>
      </w:tr>
      <w:tr w14:paraId="504EF303">
        <w:trPr>
          <w:trHeight w:val="745" w:hRule="atLeast"/>
        </w:trPr>
        <w:tc>
          <w:tcPr>
            <w:tcW w:w="1375" w:type="dxa"/>
            <w:vMerge w:val="continue"/>
            <w:vAlign w:val="center"/>
          </w:tcPr>
          <w:p w14:paraId="5D813536">
            <w:pPr>
              <w:jc w:val="center"/>
              <w:rPr>
                <w:rFonts w:hint="eastAsia" w:ascii="仿宋" w:hAnsi="仿宋" w:eastAsia="仿宋" w:cs="仿宋"/>
                <w:sz w:val="24"/>
                <w:szCs w:val="24"/>
                <w:lang w:eastAsia="zh-TW"/>
              </w:rPr>
            </w:pPr>
          </w:p>
        </w:tc>
        <w:tc>
          <w:tcPr>
            <w:tcW w:w="1549" w:type="dxa"/>
            <w:gridSpan w:val="2"/>
            <w:vAlign w:val="center"/>
          </w:tcPr>
          <w:p w14:paraId="4833D5E0">
            <w:pPr>
              <w:jc w:val="center"/>
              <w:rPr>
                <w:rFonts w:hint="eastAsia" w:ascii="仿宋" w:hAnsi="仿宋" w:eastAsia="仿宋" w:cs="仿宋"/>
                <w:kern w:val="0"/>
                <w:sz w:val="24"/>
                <w:szCs w:val="24"/>
              </w:rPr>
            </w:pPr>
            <w:r>
              <w:rPr>
                <w:rFonts w:hint="eastAsia" w:ascii="仿宋" w:hAnsi="仿宋" w:eastAsia="仿宋" w:cs="仿宋"/>
                <w:kern w:val="0"/>
                <w:sz w:val="24"/>
                <w:szCs w:val="24"/>
              </w:rPr>
              <w:t>课程目标2（30%）</w:t>
            </w:r>
          </w:p>
        </w:tc>
        <w:tc>
          <w:tcPr>
            <w:tcW w:w="2784" w:type="dxa"/>
            <w:gridSpan w:val="4"/>
            <w:tcBorders>
              <w:right w:val="single" w:color="000000" w:sz="4" w:space="0"/>
            </w:tcBorders>
            <w:vAlign w:val="center"/>
          </w:tcPr>
          <w:p w14:paraId="41248AB4">
            <w:pPr>
              <w:widowControl/>
              <w:autoSpaceDE w:val="0"/>
              <w:autoSpaceDN w:val="0"/>
              <w:jc w:val="left"/>
              <w:rPr>
                <w:rFonts w:hint="eastAsia" w:ascii="仿宋" w:hAnsi="仿宋" w:eastAsia="仿宋" w:cs="仿宋"/>
                <w:sz w:val="24"/>
                <w:szCs w:val="24"/>
              </w:rPr>
            </w:pPr>
            <w:r>
              <w:rPr>
                <w:rFonts w:hint="eastAsia" w:ascii="仿宋" w:hAnsi="仿宋" w:eastAsia="仿宋" w:cs="仿宋"/>
                <w:sz w:val="24"/>
                <w:szCs w:val="24"/>
              </w:rPr>
              <w:t>1声乐问题的改进能力。</w:t>
            </w:r>
          </w:p>
          <w:p w14:paraId="2DE6E3FE">
            <w:pPr>
              <w:widowControl/>
              <w:autoSpaceDE w:val="0"/>
              <w:autoSpaceDN w:val="0"/>
              <w:jc w:val="left"/>
              <w:rPr>
                <w:rFonts w:hint="eastAsia" w:ascii="仿宋" w:hAnsi="仿宋" w:eastAsia="仿宋" w:cs="仿宋"/>
                <w:sz w:val="24"/>
                <w:szCs w:val="24"/>
              </w:rPr>
            </w:pPr>
            <w:r>
              <w:rPr>
                <w:rFonts w:hint="eastAsia" w:ascii="仿宋" w:hAnsi="仿宋" w:eastAsia="仿宋" w:cs="仿宋"/>
                <w:sz w:val="24"/>
                <w:szCs w:val="24"/>
              </w:rPr>
              <w:t>2.对于发声机理和自身发声特点的把握。</w:t>
            </w:r>
          </w:p>
          <w:p w14:paraId="017768F5">
            <w:pPr>
              <w:jc w:val="left"/>
              <w:rPr>
                <w:rFonts w:hint="eastAsia" w:ascii="仿宋" w:hAnsi="仿宋" w:eastAsia="仿宋" w:cs="仿宋"/>
                <w:kern w:val="0"/>
                <w:sz w:val="24"/>
                <w:szCs w:val="24"/>
              </w:rPr>
            </w:pPr>
            <w:r>
              <w:rPr>
                <w:rFonts w:ascii="仿宋" w:hAnsi="仿宋" w:eastAsia="仿宋" w:cs="仿宋"/>
                <w:sz w:val="24"/>
                <w:szCs w:val="24"/>
              </w:rPr>
              <w:t>3</w:t>
            </w:r>
            <w:r>
              <w:rPr>
                <w:rFonts w:hint="eastAsia" w:ascii="仿宋" w:hAnsi="仿宋" w:eastAsia="仿宋" w:cs="仿宋"/>
                <w:sz w:val="24"/>
                <w:szCs w:val="24"/>
              </w:rPr>
              <w:t>.对声乐教学实践的尝试评价。</w:t>
            </w:r>
          </w:p>
        </w:tc>
        <w:tc>
          <w:tcPr>
            <w:tcW w:w="955" w:type="dxa"/>
            <w:tcBorders>
              <w:left w:val="single" w:color="000000" w:sz="4" w:space="0"/>
            </w:tcBorders>
            <w:vAlign w:val="center"/>
          </w:tcPr>
          <w:p w14:paraId="6BC82C97">
            <w:pPr>
              <w:tabs>
                <w:tab w:val="left" w:pos="720"/>
              </w:tabs>
              <w:jc w:val="center"/>
              <w:rPr>
                <w:rFonts w:hint="eastAsia" w:ascii="仿宋" w:hAnsi="仿宋" w:eastAsia="仿宋" w:cs="仿宋"/>
                <w:kern w:val="0"/>
                <w:sz w:val="24"/>
                <w:szCs w:val="24"/>
              </w:rPr>
            </w:pPr>
            <w:r>
              <w:rPr>
                <w:rFonts w:hint="eastAsia" w:ascii="仿宋" w:hAnsi="仿宋" w:eastAsia="仿宋" w:cs="仿宋"/>
                <w:kern w:val="0"/>
                <w:sz w:val="24"/>
                <w:szCs w:val="24"/>
              </w:rPr>
              <w:t>6</w:t>
            </w:r>
          </w:p>
        </w:tc>
        <w:tc>
          <w:tcPr>
            <w:tcW w:w="1134" w:type="dxa"/>
            <w:gridSpan w:val="4"/>
            <w:tcBorders>
              <w:left w:val="single" w:color="000000" w:sz="4" w:space="0"/>
              <w:bottom w:val="single" w:color="000000" w:sz="4" w:space="0"/>
            </w:tcBorders>
            <w:vAlign w:val="center"/>
          </w:tcPr>
          <w:p w14:paraId="36248214">
            <w:pPr>
              <w:tabs>
                <w:tab w:val="left" w:pos="720"/>
              </w:tabs>
              <w:jc w:val="center"/>
              <w:rPr>
                <w:rFonts w:hint="eastAsia" w:ascii="仿宋" w:hAnsi="仿宋" w:eastAsia="仿宋" w:cs="仿宋"/>
                <w:kern w:val="0"/>
                <w:sz w:val="24"/>
                <w:szCs w:val="24"/>
              </w:rPr>
            </w:pPr>
            <w:r>
              <w:rPr>
                <w:rFonts w:hint="eastAsia" w:ascii="仿宋" w:hAnsi="仿宋" w:eastAsia="仿宋" w:cs="仿宋"/>
                <w:kern w:val="0"/>
                <w:sz w:val="24"/>
                <w:szCs w:val="24"/>
              </w:rPr>
              <w:t>6</w:t>
            </w:r>
          </w:p>
        </w:tc>
        <w:tc>
          <w:tcPr>
            <w:tcW w:w="757" w:type="dxa"/>
            <w:gridSpan w:val="2"/>
            <w:tcBorders>
              <w:bottom w:val="single" w:color="000000" w:sz="4" w:space="0"/>
              <w:right w:val="single" w:color="000000" w:sz="4" w:space="0"/>
            </w:tcBorders>
            <w:vAlign w:val="center"/>
          </w:tcPr>
          <w:p w14:paraId="3FB8140A">
            <w:pPr>
              <w:tabs>
                <w:tab w:val="left" w:pos="720"/>
              </w:tabs>
              <w:jc w:val="center"/>
              <w:rPr>
                <w:rFonts w:hint="eastAsia" w:ascii="仿宋" w:hAnsi="仿宋" w:eastAsia="仿宋" w:cs="仿宋"/>
                <w:kern w:val="0"/>
                <w:sz w:val="24"/>
                <w:szCs w:val="24"/>
              </w:rPr>
            </w:pPr>
            <w:r>
              <w:rPr>
                <w:rFonts w:hint="eastAsia" w:ascii="仿宋" w:hAnsi="仿宋" w:eastAsia="仿宋" w:cs="仿宋"/>
                <w:kern w:val="0"/>
                <w:sz w:val="24"/>
                <w:szCs w:val="24"/>
              </w:rPr>
              <w:t>18</w:t>
            </w:r>
          </w:p>
        </w:tc>
        <w:tc>
          <w:tcPr>
            <w:tcW w:w="594" w:type="dxa"/>
            <w:tcBorders>
              <w:left w:val="single" w:color="000000" w:sz="4" w:space="0"/>
              <w:bottom w:val="single" w:color="000000" w:sz="4" w:space="0"/>
            </w:tcBorders>
            <w:vAlign w:val="center"/>
          </w:tcPr>
          <w:p w14:paraId="14FF47C4">
            <w:pPr>
              <w:tabs>
                <w:tab w:val="left" w:pos="720"/>
              </w:tabs>
              <w:jc w:val="center"/>
              <w:rPr>
                <w:rFonts w:hint="eastAsia" w:ascii="仿宋" w:hAnsi="仿宋" w:eastAsia="仿宋" w:cs="仿宋"/>
                <w:kern w:val="0"/>
                <w:sz w:val="24"/>
                <w:szCs w:val="24"/>
              </w:rPr>
            </w:pPr>
            <w:r>
              <w:rPr>
                <w:rFonts w:hint="eastAsia" w:ascii="仿宋" w:hAnsi="仿宋" w:eastAsia="仿宋" w:cs="仿宋"/>
                <w:kern w:val="0"/>
                <w:sz w:val="24"/>
                <w:szCs w:val="24"/>
              </w:rPr>
              <w:t>0.70</w:t>
            </w:r>
          </w:p>
        </w:tc>
      </w:tr>
      <w:tr w14:paraId="792E505C">
        <w:trPr>
          <w:trHeight w:val="390" w:hRule="atLeast"/>
        </w:trPr>
        <w:tc>
          <w:tcPr>
            <w:tcW w:w="1375" w:type="dxa"/>
            <w:vMerge w:val="continue"/>
            <w:vAlign w:val="center"/>
          </w:tcPr>
          <w:p w14:paraId="4FADAD98">
            <w:pPr>
              <w:jc w:val="center"/>
              <w:rPr>
                <w:rFonts w:hint="eastAsia" w:ascii="仿宋" w:hAnsi="仿宋" w:eastAsia="仿宋" w:cs="仿宋"/>
                <w:sz w:val="24"/>
                <w:szCs w:val="24"/>
                <w:lang w:eastAsia="zh-TW"/>
              </w:rPr>
            </w:pPr>
          </w:p>
        </w:tc>
        <w:tc>
          <w:tcPr>
            <w:tcW w:w="4333" w:type="dxa"/>
            <w:gridSpan w:val="6"/>
            <w:tcBorders>
              <w:bottom w:val="single" w:color="auto" w:sz="4" w:space="0"/>
              <w:right w:val="single" w:color="000000" w:sz="4" w:space="0"/>
            </w:tcBorders>
            <w:vAlign w:val="center"/>
          </w:tcPr>
          <w:p w14:paraId="4881119E">
            <w:pPr>
              <w:widowControl/>
              <w:autoSpaceDE w:val="0"/>
              <w:autoSpaceDN w:val="0"/>
              <w:jc w:val="center"/>
              <w:rPr>
                <w:rFonts w:hint="eastAsia" w:ascii="仿宋" w:hAnsi="仿宋" w:eastAsia="仿宋" w:cs="仿宋"/>
                <w:sz w:val="24"/>
                <w:szCs w:val="24"/>
              </w:rPr>
            </w:pPr>
            <w:r>
              <w:rPr>
                <w:rFonts w:hint="eastAsia" w:ascii="仿宋" w:hAnsi="仿宋" w:eastAsia="仿宋" w:cs="仿宋"/>
                <w:sz w:val="24"/>
                <w:szCs w:val="24"/>
              </w:rPr>
              <w:t>总分</w:t>
            </w:r>
          </w:p>
        </w:tc>
        <w:tc>
          <w:tcPr>
            <w:tcW w:w="955" w:type="dxa"/>
            <w:tcBorders>
              <w:left w:val="single" w:color="000000" w:sz="4" w:space="0"/>
              <w:bottom w:val="single" w:color="auto" w:sz="4" w:space="0"/>
            </w:tcBorders>
            <w:vAlign w:val="center"/>
          </w:tcPr>
          <w:p w14:paraId="786128FD">
            <w:pPr>
              <w:tabs>
                <w:tab w:val="left" w:pos="720"/>
              </w:tabs>
              <w:jc w:val="center"/>
              <w:rPr>
                <w:rFonts w:hint="eastAsia" w:ascii="仿宋" w:hAnsi="仿宋" w:eastAsia="仿宋" w:cs="仿宋"/>
                <w:kern w:val="0"/>
                <w:sz w:val="24"/>
                <w:szCs w:val="24"/>
              </w:rPr>
            </w:pPr>
            <w:r>
              <w:rPr>
                <w:rFonts w:hint="eastAsia" w:ascii="仿宋" w:hAnsi="仿宋" w:eastAsia="仿宋" w:cs="仿宋"/>
                <w:kern w:val="0"/>
                <w:sz w:val="24"/>
                <w:szCs w:val="24"/>
              </w:rPr>
              <w:t>20</w:t>
            </w:r>
          </w:p>
        </w:tc>
        <w:tc>
          <w:tcPr>
            <w:tcW w:w="1134" w:type="dxa"/>
            <w:gridSpan w:val="4"/>
            <w:tcBorders>
              <w:top w:val="single" w:color="000000" w:sz="4" w:space="0"/>
              <w:left w:val="single" w:color="000000" w:sz="4" w:space="0"/>
              <w:bottom w:val="single" w:color="auto" w:sz="4" w:space="0"/>
            </w:tcBorders>
            <w:vAlign w:val="center"/>
          </w:tcPr>
          <w:p w14:paraId="39482E9A">
            <w:pPr>
              <w:tabs>
                <w:tab w:val="left" w:pos="720"/>
              </w:tabs>
              <w:jc w:val="center"/>
              <w:rPr>
                <w:rFonts w:hint="eastAsia" w:ascii="仿宋" w:hAnsi="仿宋" w:eastAsia="仿宋" w:cs="仿宋"/>
                <w:kern w:val="0"/>
                <w:sz w:val="24"/>
                <w:szCs w:val="24"/>
              </w:rPr>
            </w:pPr>
            <w:r>
              <w:rPr>
                <w:rFonts w:hint="eastAsia" w:ascii="仿宋" w:hAnsi="仿宋" w:eastAsia="仿宋" w:cs="仿宋"/>
                <w:kern w:val="0"/>
                <w:sz w:val="24"/>
                <w:szCs w:val="24"/>
              </w:rPr>
              <w:t>20</w:t>
            </w:r>
          </w:p>
        </w:tc>
        <w:tc>
          <w:tcPr>
            <w:tcW w:w="757" w:type="dxa"/>
            <w:gridSpan w:val="2"/>
            <w:tcBorders>
              <w:top w:val="single" w:color="000000" w:sz="4" w:space="0"/>
              <w:bottom w:val="single" w:color="auto" w:sz="4" w:space="0"/>
              <w:right w:val="single" w:color="000000" w:sz="4" w:space="0"/>
            </w:tcBorders>
            <w:vAlign w:val="center"/>
          </w:tcPr>
          <w:p w14:paraId="2233ACE0">
            <w:pPr>
              <w:tabs>
                <w:tab w:val="left" w:pos="720"/>
              </w:tabs>
              <w:jc w:val="center"/>
              <w:rPr>
                <w:rFonts w:hint="eastAsia" w:ascii="仿宋" w:hAnsi="仿宋" w:eastAsia="仿宋" w:cs="仿宋"/>
                <w:kern w:val="0"/>
                <w:sz w:val="24"/>
                <w:szCs w:val="24"/>
              </w:rPr>
            </w:pPr>
            <w:r>
              <w:rPr>
                <w:rFonts w:hint="eastAsia" w:ascii="仿宋" w:hAnsi="仿宋" w:eastAsia="仿宋" w:cs="仿宋"/>
                <w:kern w:val="0"/>
                <w:sz w:val="24"/>
                <w:szCs w:val="24"/>
              </w:rPr>
              <w:t>60</w:t>
            </w:r>
          </w:p>
        </w:tc>
        <w:tc>
          <w:tcPr>
            <w:tcW w:w="594" w:type="dxa"/>
            <w:tcBorders>
              <w:top w:val="single" w:color="000000" w:sz="4" w:space="0"/>
              <w:left w:val="single" w:color="000000" w:sz="4" w:space="0"/>
              <w:bottom w:val="single" w:color="auto" w:sz="4" w:space="0"/>
            </w:tcBorders>
            <w:vAlign w:val="center"/>
          </w:tcPr>
          <w:p w14:paraId="5763BF69">
            <w:pPr>
              <w:tabs>
                <w:tab w:val="left" w:pos="720"/>
              </w:tabs>
              <w:jc w:val="center"/>
              <w:rPr>
                <w:rFonts w:hint="eastAsia" w:ascii="仿宋" w:hAnsi="仿宋" w:eastAsia="仿宋" w:cs="仿宋"/>
                <w:kern w:val="0"/>
                <w:sz w:val="24"/>
                <w:szCs w:val="24"/>
              </w:rPr>
            </w:pPr>
            <w:r>
              <w:rPr>
                <w:rFonts w:hint="eastAsia" w:ascii="仿宋" w:hAnsi="仿宋" w:eastAsia="仿宋" w:cs="仿宋"/>
                <w:kern w:val="0"/>
                <w:sz w:val="24"/>
                <w:szCs w:val="24"/>
              </w:rPr>
              <w:t>0.70</w:t>
            </w:r>
          </w:p>
        </w:tc>
      </w:tr>
      <w:tr w14:paraId="6C7B3E92">
        <w:tc>
          <w:tcPr>
            <w:tcW w:w="1375" w:type="dxa"/>
            <w:vAlign w:val="center"/>
          </w:tcPr>
          <w:p w14:paraId="743524D0">
            <w:pPr>
              <w:jc w:val="center"/>
              <w:rPr>
                <w:rFonts w:hint="eastAsia" w:ascii="仿宋" w:hAnsi="仿宋" w:eastAsia="仿宋" w:cs="仿宋"/>
                <w:sz w:val="24"/>
                <w:szCs w:val="24"/>
              </w:rPr>
            </w:pPr>
            <w:r>
              <w:rPr>
                <w:rFonts w:hint="eastAsia" w:ascii="仿宋" w:hAnsi="仿宋" w:eastAsia="仿宋" w:cs="仿宋"/>
                <w:sz w:val="24"/>
                <w:szCs w:val="24"/>
              </w:rPr>
              <w:t>L</w:t>
            </w:r>
          </w:p>
          <w:p w14:paraId="00295066">
            <w:pPr>
              <w:jc w:val="center"/>
              <w:rPr>
                <w:rFonts w:hint="eastAsia" w:ascii="仿宋" w:hAnsi="仿宋" w:eastAsia="仿宋" w:cs="仿宋"/>
                <w:sz w:val="24"/>
                <w:szCs w:val="24"/>
              </w:rPr>
            </w:pPr>
            <w:r>
              <w:rPr>
                <w:rFonts w:hint="eastAsia" w:ascii="仿宋" w:hAnsi="仿宋" w:eastAsia="仿宋" w:cs="仿宋"/>
                <w:sz w:val="24"/>
                <w:szCs w:val="24"/>
              </w:rPr>
              <w:t>学习建议</w:t>
            </w:r>
          </w:p>
        </w:tc>
        <w:tc>
          <w:tcPr>
            <w:tcW w:w="7773" w:type="dxa"/>
            <w:gridSpan w:val="14"/>
            <w:tcBorders>
              <w:bottom w:val="single" w:color="auto" w:sz="4" w:space="0"/>
            </w:tcBorders>
            <w:vAlign w:val="center"/>
          </w:tcPr>
          <w:p w14:paraId="59833B2F">
            <w:pPr>
              <w:rPr>
                <w:rFonts w:hint="eastAsia" w:ascii="仿宋" w:hAnsi="仿宋" w:eastAsia="仿宋" w:cs="仿宋"/>
                <w:bCs/>
                <w:sz w:val="24"/>
                <w:szCs w:val="24"/>
              </w:rPr>
            </w:pPr>
            <w:r>
              <w:rPr>
                <w:rFonts w:hint="eastAsia" w:ascii="仿宋" w:hAnsi="仿宋" w:eastAsia="仿宋" w:cs="仿宋"/>
                <w:bCs/>
                <w:sz w:val="24"/>
                <w:szCs w:val="24"/>
              </w:rPr>
              <w:t>1.自主学习。建议学生通过预习教材，并通过网络、图书馆自主查阅课程中涉及的学习资源，独立规划自己的课程学习计划，充分发挥自身的学习能动性。</w:t>
            </w:r>
          </w:p>
          <w:p w14:paraId="3353D9C0">
            <w:pPr>
              <w:rPr>
                <w:rFonts w:hint="eastAsia" w:ascii="仿宋" w:hAnsi="仿宋" w:eastAsia="仿宋" w:cs="仿宋"/>
                <w:bCs/>
                <w:sz w:val="24"/>
                <w:szCs w:val="24"/>
              </w:rPr>
            </w:pPr>
            <w:r>
              <w:rPr>
                <w:rFonts w:hint="eastAsia" w:ascii="仿宋" w:hAnsi="仿宋" w:eastAsia="仿宋" w:cs="仿宋"/>
                <w:bCs/>
                <w:sz w:val="24"/>
                <w:szCs w:val="24"/>
              </w:rPr>
              <w:t>2.研究性学习。鼓励学生针对课程教学内容，尝试理论课结合专题报告的教学方式，开展相关的声乐艺术的进展和专题讲座，提高学生的学习兴趣，了解国内外最新生化知识，开阔学生的视野。</w:t>
            </w:r>
          </w:p>
          <w:p w14:paraId="2EE82D51">
            <w:pPr>
              <w:rPr>
                <w:rFonts w:hint="eastAsia" w:ascii="仿宋" w:hAnsi="仿宋" w:eastAsia="仿宋" w:cs="仿宋"/>
                <w:kern w:val="0"/>
                <w:sz w:val="24"/>
                <w:szCs w:val="24"/>
              </w:rPr>
            </w:pPr>
            <w:r>
              <w:rPr>
                <w:rFonts w:hint="eastAsia" w:ascii="仿宋" w:hAnsi="仿宋" w:eastAsia="仿宋" w:cs="仿宋"/>
                <w:bCs/>
                <w:sz w:val="24"/>
                <w:szCs w:val="24"/>
              </w:rPr>
              <w:t>3.小组讨论学习。鼓励学生二人或多人一组进行讨论学习，通过交流自己演唱时的身体上的状态，或进行适当的示范，来相互加深对声乐方法或感觉的理解。</w:t>
            </w:r>
          </w:p>
        </w:tc>
      </w:tr>
      <w:tr w14:paraId="550337A0">
        <w:trPr>
          <w:trHeight w:val="492" w:hRule="atLeast"/>
        </w:trPr>
        <w:tc>
          <w:tcPr>
            <w:tcW w:w="1375" w:type="dxa"/>
            <w:vAlign w:val="center"/>
          </w:tcPr>
          <w:p w14:paraId="7948011A">
            <w:pPr>
              <w:jc w:val="center"/>
              <w:rPr>
                <w:rFonts w:hint="eastAsia" w:ascii="仿宋" w:hAnsi="仿宋" w:eastAsia="仿宋" w:cs="仿宋"/>
                <w:sz w:val="24"/>
                <w:szCs w:val="24"/>
              </w:rPr>
            </w:pPr>
            <w:r>
              <w:rPr>
                <w:rFonts w:hint="eastAsia" w:ascii="仿宋" w:hAnsi="仿宋" w:eastAsia="仿宋" w:cs="仿宋"/>
                <w:sz w:val="24"/>
                <w:szCs w:val="24"/>
              </w:rPr>
              <w:t>M</w:t>
            </w:r>
          </w:p>
          <w:p w14:paraId="0E5A556E">
            <w:pPr>
              <w:jc w:val="center"/>
              <w:rPr>
                <w:rFonts w:hint="eastAsia" w:ascii="仿宋" w:hAnsi="仿宋" w:eastAsia="仿宋" w:cs="仿宋"/>
                <w:sz w:val="24"/>
                <w:szCs w:val="24"/>
              </w:rPr>
            </w:pPr>
            <w:r>
              <w:rPr>
                <w:rFonts w:hint="eastAsia" w:ascii="仿宋" w:hAnsi="仿宋" w:eastAsia="仿宋" w:cs="仿宋"/>
                <w:sz w:val="24"/>
                <w:szCs w:val="24"/>
              </w:rPr>
              <w:t>评分量表</w:t>
            </w:r>
          </w:p>
        </w:tc>
        <w:tc>
          <w:tcPr>
            <w:tcW w:w="7773" w:type="dxa"/>
            <w:gridSpan w:val="14"/>
            <w:vAlign w:val="center"/>
          </w:tcPr>
          <w:p w14:paraId="6AF4B740">
            <w:pPr>
              <w:tabs>
                <w:tab w:val="left" w:pos="720"/>
              </w:tabs>
              <w:rPr>
                <w:rFonts w:hint="eastAsia" w:ascii="仿宋" w:hAnsi="仿宋" w:eastAsia="仿宋" w:cs="仿宋"/>
                <w:kern w:val="0"/>
                <w:sz w:val="24"/>
                <w:szCs w:val="24"/>
              </w:rPr>
            </w:pPr>
            <w:r>
              <w:rPr>
                <w:rFonts w:hint="eastAsia" w:ascii="仿宋" w:hAnsi="仿宋" w:eastAsia="仿宋" w:cs="仿宋"/>
                <w:kern w:val="0"/>
                <w:sz w:val="24"/>
                <w:szCs w:val="24"/>
              </w:rPr>
              <w:t>《</w:t>
            </w:r>
            <w:r>
              <w:rPr>
                <w:rFonts w:hint="eastAsia" w:ascii="仿宋" w:hAnsi="仿宋" w:eastAsia="仿宋" w:cs="仿宋"/>
                <w:bCs/>
                <w:sz w:val="24"/>
                <w:szCs w:val="24"/>
              </w:rPr>
              <w:t>声乐基础</w:t>
            </w:r>
            <w:r>
              <w:rPr>
                <w:rFonts w:hint="eastAsia" w:ascii="仿宋" w:hAnsi="仿宋" w:eastAsia="仿宋" w:cs="仿宋"/>
                <w:kern w:val="0"/>
                <w:sz w:val="24"/>
                <w:szCs w:val="24"/>
              </w:rPr>
              <w:t>》课程目标评分量表见附表。</w:t>
            </w:r>
          </w:p>
        </w:tc>
      </w:tr>
      <w:tr w14:paraId="5609FC21">
        <w:trPr>
          <w:trHeight w:val="454" w:hRule="atLeast"/>
        </w:trPr>
        <w:tc>
          <w:tcPr>
            <w:tcW w:w="1375" w:type="dxa"/>
            <w:vAlign w:val="center"/>
          </w:tcPr>
          <w:p w14:paraId="60C6FA60">
            <w:pPr>
              <w:jc w:val="center"/>
              <w:rPr>
                <w:rFonts w:hint="eastAsia" w:ascii="仿宋" w:hAnsi="仿宋" w:eastAsia="仿宋" w:cs="仿宋"/>
                <w:sz w:val="24"/>
                <w:szCs w:val="24"/>
              </w:rPr>
            </w:pPr>
            <w:r>
              <w:rPr>
                <w:rFonts w:hint="eastAsia" w:ascii="仿宋" w:hAnsi="仿宋" w:eastAsia="仿宋" w:cs="仿宋"/>
                <w:sz w:val="24"/>
                <w:szCs w:val="24"/>
              </w:rPr>
              <w:t>备注</w:t>
            </w:r>
          </w:p>
        </w:tc>
        <w:tc>
          <w:tcPr>
            <w:tcW w:w="7773" w:type="dxa"/>
            <w:gridSpan w:val="14"/>
            <w:vAlign w:val="center"/>
          </w:tcPr>
          <w:p w14:paraId="2AD65109">
            <w:pPr>
              <w:rPr>
                <w:rFonts w:hint="eastAsia" w:ascii="仿宋" w:hAnsi="仿宋" w:eastAsia="仿宋" w:cs="仿宋"/>
                <w:sz w:val="24"/>
                <w:szCs w:val="24"/>
              </w:rPr>
            </w:pPr>
            <w:r>
              <w:rPr>
                <w:rFonts w:hint="eastAsia" w:ascii="仿宋" w:hAnsi="仿宋" w:eastAsia="仿宋" w:cs="仿宋"/>
                <w:sz w:val="24"/>
                <w:szCs w:val="24"/>
              </w:rPr>
              <w:t>课程大纲A—M项由开课学院审批通过，任课教师不能自行更改。</w:t>
            </w:r>
          </w:p>
        </w:tc>
      </w:tr>
      <w:tr w14:paraId="6F3ABB5B">
        <w:trPr>
          <w:trHeight w:val="753" w:hRule="atLeast"/>
        </w:trPr>
        <w:tc>
          <w:tcPr>
            <w:tcW w:w="1375" w:type="dxa"/>
            <w:vAlign w:val="center"/>
          </w:tcPr>
          <w:p w14:paraId="33FCE983">
            <w:pPr>
              <w:jc w:val="center"/>
              <w:rPr>
                <w:rFonts w:hint="eastAsia" w:ascii="仿宋" w:hAnsi="仿宋" w:eastAsia="仿宋" w:cs="仿宋"/>
                <w:sz w:val="24"/>
                <w:szCs w:val="24"/>
              </w:rPr>
            </w:pPr>
            <w:r>
              <w:rPr>
                <w:rFonts w:hint="eastAsia" w:ascii="仿宋" w:hAnsi="仿宋" w:eastAsia="仿宋" w:cs="仿宋"/>
                <w:sz w:val="24"/>
                <w:szCs w:val="24"/>
              </w:rPr>
              <w:t>审批</w:t>
            </w:r>
          </w:p>
          <w:p w14:paraId="04893F78">
            <w:pPr>
              <w:jc w:val="center"/>
              <w:rPr>
                <w:rFonts w:hint="eastAsia" w:ascii="仿宋" w:hAnsi="仿宋" w:eastAsia="仿宋" w:cs="仿宋"/>
                <w:sz w:val="24"/>
                <w:szCs w:val="24"/>
              </w:rPr>
            </w:pPr>
            <w:r>
              <w:rPr>
                <w:rFonts w:hint="eastAsia" w:ascii="仿宋" w:hAnsi="仿宋" w:eastAsia="仿宋" w:cs="仿宋"/>
                <w:sz w:val="24"/>
                <w:szCs w:val="24"/>
              </w:rPr>
              <w:t>意见</w:t>
            </w:r>
          </w:p>
        </w:tc>
        <w:tc>
          <w:tcPr>
            <w:tcW w:w="3871" w:type="dxa"/>
            <w:gridSpan w:val="4"/>
            <w:vAlign w:val="center"/>
          </w:tcPr>
          <w:p w14:paraId="2F93BBD5">
            <w:pPr>
              <w:widowControl/>
              <w:jc w:val="left"/>
              <w:rPr>
                <w:rFonts w:hint="eastAsia" w:ascii="仿宋" w:hAnsi="仿宋" w:eastAsia="仿宋" w:cs="仿宋"/>
                <w:kern w:val="0"/>
                <w:sz w:val="24"/>
                <w:szCs w:val="24"/>
              </w:rPr>
            </w:pPr>
            <w:r>
              <w:rPr>
                <w:rFonts w:hint="eastAsia" w:ascii="仿宋" w:hAnsi="仿宋" w:eastAsia="仿宋" w:cs="仿宋"/>
                <w:kern w:val="0"/>
                <w:sz w:val="24"/>
                <w:szCs w:val="24"/>
              </w:rPr>
              <w:t>课程教学大纲修订负责人及教学团队成员</w:t>
            </w:r>
            <w:r>
              <w:rPr>
                <w:rFonts w:hint="eastAsia" w:ascii="仿宋" w:hAnsi="仿宋" w:eastAsia="仿宋" w:cs="仿宋"/>
                <w:sz w:val="24"/>
                <w:szCs w:val="24"/>
              </w:rPr>
              <w:t>签名</w:t>
            </w:r>
            <w:r>
              <w:rPr>
                <w:rFonts w:hint="eastAsia" w:ascii="仿宋" w:hAnsi="仿宋" w:eastAsia="仿宋" w:cs="仿宋"/>
                <w:kern w:val="0"/>
                <w:sz w:val="24"/>
                <w:szCs w:val="24"/>
              </w:rPr>
              <w:t xml:space="preserve">：   </w:t>
            </w:r>
          </w:p>
          <w:p w14:paraId="43B81C8A">
            <w:pPr>
              <w:widowControl/>
              <w:ind w:right="960"/>
              <w:jc w:val="right"/>
              <w:rPr>
                <w:rFonts w:hint="eastAsia" w:ascii="仿宋" w:hAnsi="仿宋" w:eastAsia="仿宋" w:cs="仿宋"/>
                <w:kern w:val="0"/>
                <w:sz w:val="24"/>
                <w:szCs w:val="24"/>
              </w:rPr>
            </w:pPr>
            <w:r>
              <w:pict>
                <v:shape id="_x0000_i1031" o:spt="75" type="#_x0000_t75" style="height:36.75pt;width:91.5pt;" filled="f" stroked="f" coordsize="21600,21600">
                  <v:path/>
                  <v:fill on="f" focussize="0,0"/>
                  <v:stroke on="f" joinstyle="miter"/>
                  <v:imagedata r:id="rId154" o:title=""/>
                  <o:lock v:ext="edit" aspectratio="t"/>
                  <w10:wrap type="none"/>
                  <w10:anchorlock/>
                </v:shape>
              </w:pict>
            </w:r>
            <w:r>
              <w:rPr>
                <w:rFonts w:hint="eastAsia" w:ascii="仿宋" w:hAnsi="仿宋" w:eastAsia="仿宋" w:cs="仿宋"/>
                <w:kern w:val="0"/>
                <w:sz w:val="24"/>
                <w:szCs w:val="24"/>
              </w:rPr>
              <w:t xml:space="preserve">                                                  </w:t>
            </w:r>
          </w:p>
          <w:p w14:paraId="61F7381C">
            <w:pPr>
              <w:widowControl/>
              <w:ind w:right="960"/>
              <w:jc w:val="right"/>
              <w:rPr>
                <w:rFonts w:hint="eastAsia" w:ascii="仿宋" w:hAnsi="仿宋" w:eastAsia="仿宋" w:cs="仿宋"/>
                <w:kern w:val="0"/>
                <w:sz w:val="24"/>
                <w:szCs w:val="24"/>
              </w:rPr>
            </w:pPr>
          </w:p>
          <w:p w14:paraId="06F1F7F1">
            <w:pPr>
              <w:widowControl/>
              <w:ind w:right="960"/>
              <w:jc w:val="right"/>
              <w:rPr>
                <w:rFonts w:hint="eastAsia" w:ascii="仿宋" w:hAnsi="仿宋" w:eastAsia="仿宋" w:cs="仿宋"/>
                <w:kern w:val="0"/>
                <w:sz w:val="24"/>
                <w:szCs w:val="24"/>
              </w:rPr>
            </w:pPr>
            <w:r>
              <w:rPr>
                <w:rFonts w:ascii="仿宋" w:hAnsi="仿宋" w:eastAsia="仿宋" w:cs="仿宋"/>
                <w:kern w:val="0"/>
                <w:sz w:val="24"/>
                <w:szCs w:val="24"/>
              </w:rPr>
              <w:t xml:space="preserve">  </w:t>
            </w:r>
            <w:r>
              <w:rPr>
                <w:rFonts w:hint="eastAsia" w:ascii="仿宋" w:hAnsi="仿宋" w:eastAsia="仿宋" w:cs="仿宋"/>
                <w:kern w:val="0"/>
                <w:sz w:val="24"/>
                <w:szCs w:val="24"/>
              </w:rPr>
              <w:t xml:space="preserve">年 </w:t>
            </w:r>
            <w:r>
              <w:rPr>
                <w:rFonts w:ascii="仿宋" w:hAnsi="仿宋" w:eastAsia="仿宋" w:cs="仿宋"/>
                <w:kern w:val="0"/>
                <w:sz w:val="24"/>
                <w:szCs w:val="24"/>
              </w:rPr>
              <w:t xml:space="preserve">   </w:t>
            </w:r>
            <w:r>
              <w:rPr>
                <w:rFonts w:hint="eastAsia" w:ascii="仿宋" w:hAnsi="仿宋" w:eastAsia="仿宋" w:cs="仿宋"/>
                <w:kern w:val="0"/>
                <w:sz w:val="24"/>
                <w:szCs w:val="24"/>
              </w:rPr>
              <w:t>月</w:t>
            </w:r>
            <w:r>
              <w:rPr>
                <w:rFonts w:ascii="仿宋" w:hAnsi="仿宋" w:eastAsia="仿宋" w:cs="仿宋"/>
                <w:kern w:val="0"/>
                <w:sz w:val="24"/>
                <w:szCs w:val="24"/>
              </w:rPr>
              <w:t xml:space="preserve">    </w:t>
            </w:r>
            <w:r>
              <w:rPr>
                <w:rFonts w:hint="eastAsia" w:ascii="仿宋" w:hAnsi="仿宋" w:eastAsia="仿宋" w:cs="仿宋"/>
                <w:kern w:val="0"/>
                <w:sz w:val="24"/>
                <w:szCs w:val="24"/>
              </w:rPr>
              <w:t>日</w:t>
            </w:r>
          </w:p>
          <w:p w14:paraId="4265A014">
            <w:pPr>
              <w:widowControl/>
              <w:jc w:val="right"/>
              <w:rPr>
                <w:rFonts w:hint="eastAsia" w:ascii="仿宋" w:hAnsi="仿宋" w:eastAsia="仿宋" w:cs="仿宋"/>
                <w:kern w:val="0"/>
                <w:sz w:val="24"/>
                <w:szCs w:val="24"/>
              </w:rPr>
            </w:pPr>
            <w:r>
              <w:rPr>
                <w:rFonts w:hint="eastAsia" w:ascii="仿宋" w:hAnsi="仿宋" w:eastAsia="仿宋" w:cs="仿宋"/>
                <w:kern w:val="0"/>
                <w:sz w:val="24"/>
                <w:szCs w:val="24"/>
              </w:rPr>
              <w:t xml:space="preserve"> </w:t>
            </w:r>
          </w:p>
          <w:p w14:paraId="63AD8F9A">
            <w:pPr>
              <w:widowControl/>
              <w:jc w:val="right"/>
              <w:rPr>
                <w:rFonts w:hint="eastAsia" w:ascii="仿宋" w:hAnsi="仿宋" w:eastAsia="仿宋" w:cs="仿宋"/>
                <w:kern w:val="0"/>
                <w:sz w:val="24"/>
                <w:szCs w:val="24"/>
              </w:rPr>
            </w:pPr>
          </w:p>
        </w:tc>
        <w:tc>
          <w:tcPr>
            <w:tcW w:w="3902" w:type="dxa"/>
            <w:gridSpan w:val="10"/>
            <w:vAlign w:val="center"/>
          </w:tcPr>
          <w:p w14:paraId="11D83EBF">
            <w:pPr>
              <w:widowControl/>
              <w:jc w:val="left"/>
              <w:rPr>
                <w:rFonts w:hint="eastAsia" w:ascii="仿宋" w:hAnsi="仿宋" w:eastAsia="仿宋" w:cs="仿宋"/>
                <w:kern w:val="0"/>
                <w:sz w:val="24"/>
                <w:szCs w:val="24"/>
              </w:rPr>
            </w:pPr>
            <w:r>
              <w:rPr>
                <w:rFonts w:hint="eastAsia" w:ascii="仿宋" w:hAnsi="仿宋" w:eastAsia="仿宋" w:cs="仿宋"/>
                <w:kern w:val="0"/>
                <w:sz w:val="24"/>
                <w:szCs w:val="24"/>
              </w:rPr>
              <w:t>系主任审核意见：</w:t>
            </w:r>
          </w:p>
          <w:p w14:paraId="13EA698B">
            <w:pPr>
              <w:widowControl/>
              <w:jc w:val="left"/>
              <w:rPr>
                <w:rFonts w:hint="eastAsia" w:ascii="仿宋" w:hAnsi="仿宋" w:eastAsia="仿宋" w:cs="仿宋"/>
                <w:kern w:val="0"/>
                <w:sz w:val="24"/>
                <w:szCs w:val="24"/>
              </w:rPr>
            </w:pPr>
          </w:p>
          <w:p w14:paraId="18B39CFD">
            <w:pPr>
              <w:widowControl/>
              <w:jc w:val="left"/>
              <w:rPr>
                <w:rFonts w:hint="eastAsia" w:ascii="仿宋" w:hAnsi="仿宋" w:eastAsia="仿宋" w:cs="仿宋"/>
                <w:kern w:val="0"/>
                <w:sz w:val="24"/>
                <w:szCs w:val="24"/>
              </w:rPr>
            </w:pPr>
            <w:r>
              <w:rPr>
                <w:rFonts w:hint="eastAsia" w:ascii="仿宋" w:hAnsi="仿宋" w:eastAsia="仿宋" w:cs="仿宋"/>
                <w:kern w:val="0"/>
                <w:sz w:val="24"/>
                <w:szCs w:val="24"/>
              </w:rPr>
              <w:t>同意</w:t>
            </w:r>
          </w:p>
          <w:p w14:paraId="26FBA8EC">
            <w:pPr>
              <w:pStyle w:val="123"/>
              <w:rPr>
                <w:rFonts w:hint="eastAsia"/>
              </w:rPr>
            </w:pPr>
          </w:p>
          <w:p w14:paraId="3A8DC71F">
            <w:pPr>
              <w:widowControl/>
              <w:jc w:val="left"/>
              <w:rPr>
                <w:rFonts w:hint="eastAsia" w:ascii="仿宋" w:hAnsi="仿宋" w:eastAsia="仿宋" w:cs="仿宋"/>
                <w:kern w:val="0"/>
                <w:sz w:val="24"/>
                <w:szCs w:val="24"/>
              </w:rPr>
            </w:pPr>
            <w:r>
              <w:rPr>
                <w:rFonts w:hint="eastAsia" w:ascii="仿宋" w:hAnsi="仿宋" w:eastAsia="仿宋" w:cs="仿宋"/>
                <w:kern w:val="0"/>
                <w:sz w:val="24"/>
                <w:szCs w:val="24"/>
              </w:rPr>
              <w:t>系主任签名：</w:t>
            </w:r>
            <w:r>
              <w:pict>
                <v:shape id="_x0000_i1032" o:spt="75" type="#_x0000_t75" style="height:51pt;width:97.5pt;" filled="f" stroked="f" coordsize="21600,21600">
                  <v:path/>
                  <v:fill on="f" focussize="0,0"/>
                  <v:stroke on="f" joinstyle="miter"/>
                  <v:imagedata r:id="rId148" o:title=""/>
                  <o:lock v:ext="edit" aspectratio="t"/>
                  <w10:wrap type="none"/>
                  <w10:anchorlock/>
                </v:shape>
              </w:pict>
            </w:r>
          </w:p>
          <w:p w14:paraId="36C87046">
            <w:pPr>
              <w:pStyle w:val="123"/>
              <w:rPr>
                <w:rFonts w:hint="eastAsia"/>
              </w:rPr>
            </w:pPr>
          </w:p>
          <w:p w14:paraId="64257DCB">
            <w:pPr>
              <w:widowControl/>
              <w:ind w:right="960"/>
              <w:jc w:val="right"/>
              <w:rPr>
                <w:rFonts w:hint="eastAsia" w:ascii="仿宋" w:hAnsi="仿宋" w:eastAsia="仿宋" w:cs="仿宋"/>
                <w:kern w:val="0"/>
                <w:sz w:val="24"/>
                <w:szCs w:val="24"/>
              </w:rPr>
            </w:pPr>
            <w:r>
              <w:rPr>
                <w:rFonts w:hint="eastAsia" w:ascii="仿宋" w:hAnsi="仿宋" w:eastAsia="仿宋" w:cs="仿宋"/>
                <w:kern w:val="0"/>
                <w:sz w:val="24"/>
                <w:szCs w:val="24"/>
              </w:rPr>
              <w:t xml:space="preserve">年 </w:t>
            </w:r>
            <w:r>
              <w:rPr>
                <w:rFonts w:ascii="仿宋" w:hAnsi="仿宋" w:eastAsia="仿宋" w:cs="仿宋"/>
                <w:kern w:val="0"/>
                <w:sz w:val="24"/>
                <w:szCs w:val="24"/>
              </w:rPr>
              <w:t xml:space="preserve">  </w:t>
            </w:r>
            <w:r>
              <w:rPr>
                <w:rFonts w:hint="eastAsia" w:ascii="仿宋" w:hAnsi="仿宋" w:eastAsia="仿宋" w:cs="仿宋"/>
                <w:kern w:val="0"/>
                <w:sz w:val="24"/>
                <w:szCs w:val="24"/>
              </w:rPr>
              <w:t>月</w:t>
            </w:r>
            <w:r>
              <w:rPr>
                <w:rFonts w:ascii="仿宋" w:hAnsi="仿宋" w:eastAsia="仿宋" w:cs="仿宋"/>
                <w:kern w:val="0"/>
                <w:sz w:val="24"/>
                <w:szCs w:val="24"/>
              </w:rPr>
              <w:t xml:space="preserve">   </w:t>
            </w:r>
            <w:r>
              <w:rPr>
                <w:rFonts w:hint="eastAsia" w:ascii="仿宋" w:hAnsi="仿宋" w:eastAsia="仿宋" w:cs="仿宋"/>
                <w:kern w:val="0"/>
                <w:sz w:val="24"/>
                <w:szCs w:val="24"/>
              </w:rPr>
              <w:t>日</w:t>
            </w:r>
          </w:p>
          <w:p w14:paraId="021D81BB">
            <w:pPr>
              <w:widowControl/>
              <w:jc w:val="right"/>
              <w:rPr>
                <w:rFonts w:hint="eastAsia" w:ascii="仿宋" w:hAnsi="仿宋" w:eastAsia="仿宋" w:cs="仿宋"/>
                <w:kern w:val="0"/>
                <w:sz w:val="24"/>
                <w:szCs w:val="24"/>
              </w:rPr>
            </w:pPr>
          </w:p>
        </w:tc>
      </w:tr>
    </w:tbl>
    <w:p w14:paraId="0FF78075">
      <w:pPr>
        <w:pageBreakBefore w:val="0"/>
        <w:kinsoku/>
        <w:overflowPunct/>
        <w:topLinePunct w:val="0"/>
        <w:bidi w:val="0"/>
        <w:spacing w:before="240" w:line="240" w:lineRule="auto"/>
        <w:jc w:val="center"/>
        <w:rPr>
          <w:rFonts w:hint="eastAsia" w:ascii="仿宋" w:eastAsia="仿宋" w:cs="仿宋"/>
          <w:b/>
          <w:kern w:val="2"/>
          <w:sz w:val="28"/>
          <w:szCs w:val="28"/>
          <w:lang w:bidi="ar-SA"/>
        </w:rPr>
      </w:pPr>
      <w:r>
        <w:rPr>
          <w:rFonts w:hint="eastAsia" w:ascii="仿宋" w:eastAsia="仿宋" w:cs="仿宋"/>
          <w:b/>
          <w:kern w:val="2"/>
          <w:sz w:val="28"/>
          <w:szCs w:val="28"/>
          <w:lang w:bidi="ar-SA"/>
        </w:rPr>
        <w:t>附表：《</w:t>
      </w:r>
      <w:r>
        <w:rPr>
          <w:rFonts w:hint="eastAsia" w:ascii="仿宋" w:eastAsia="仿宋" w:cs="仿宋"/>
          <w:b/>
          <w:bCs/>
          <w:kern w:val="2"/>
          <w:sz w:val="28"/>
          <w:szCs w:val="28"/>
          <w:lang w:bidi="ar-SA"/>
        </w:rPr>
        <w:t>声乐基础</w:t>
      </w:r>
      <w:r>
        <w:rPr>
          <w:rFonts w:hint="eastAsia" w:ascii="仿宋" w:eastAsia="仿宋" w:cs="仿宋"/>
          <w:b/>
          <w:kern w:val="2"/>
          <w:sz w:val="28"/>
          <w:szCs w:val="28"/>
          <w:lang w:bidi="ar-SA"/>
        </w:rPr>
        <w:t>》课程目标评分量表</w:t>
      </w:r>
    </w:p>
    <w:tbl>
      <w:tblPr>
        <w:tblStyle w:val="22"/>
        <w:tblW w:w="9439" w:type="dxa"/>
        <w:jc w:val="center"/>
        <w:tblLayout w:type="autofit"/>
        <w:tblCellMar>
          <w:top w:w="0" w:type="dxa"/>
          <w:left w:w="108" w:type="dxa"/>
          <w:bottom w:w="0" w:type="dxa"/>
          <w:right w:w="108" w:type="dxa"/>
        </w:tblCellMar>
      </w:tblPr>
      <w:tblGrid>
        <w:gridCol w:w="1522"/>
        <w:gridCol w:w="1571"/>
        <w:gridCol w:w="1624"/>
        <w:gridCol w:w="1653"/>
        <w:gridCol w:w="1636"/>
        <w:gridCol w:w="1433"/>
      </w:tblGrid>
      <w:tr w14:paraId="47916826">
        <w:trPr>
          <w:trHeight w:val="624" w:hRule="atLeast"/>
          <w:jc w:val="center"/>
        </w:trPr>
        <w:tc>
          <w:tcPr>
            <w:tcW w:w="1523" w:type="dxa"/>
            <w:tcBorders>
              <w:top w:val="single" w:color="000000" w:sz="4" w:space="0"/>
              <w:left w:val="single" w:color="000000" w:sz="4" w:space="0"/>
              <w:bottom w:val="single" w:color="000000" w:sz="4" w:space="0"/>
              <w:right w:val="single" w:color="000000" w:sz="4" w:space="0"/>
            </w:tcBorders>
            <w:vAlign w:val="center"/>
          </w:tcPr>
          <w:p w14:paraId="3227DB14">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课程目标</w:t>
            </w:r>
          </w:p>
        </w:tc>
        <w:tc>
          <w:tcPr>
            <w:tcW w:w="1571" w:type="dxa"/>
            <w:tcBorders>
              <w:top w:val="single" w:color="000000" w:sz="4" w:space="0"/>
              <w:left w:val="single" w:color="000000" w:sz="4" w:space="0"/>
              <w:bottom w:val="single" w:color="000000" w:sz="4" w:space="0"/>
              <w:right w:val="single" w:color="000000" w:sz="4" w:space="0"/>
            </w:tcBorders>
            <w:vAlign w:val="center"/>
          </w:tcPr>
          <w:p w14:paraId="1F8F5B89">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优</w:t>
            </w:r>
          </w:p>
          <w:p w14:paraId="6006C87D">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（X≧90）</w:t>
            </w:r>
          </w:p>
        </w:tc>
        <w:tc>
          <w:tcPr>
            <w:tcW w:w="1624" w:type="dxa"/>
            <w:tcBorders>
              <w:top w:val="single" w:color="000000" w:sz="4" w:space="0"/>
              <w:left w:val="single" w:color="000000" w:sz="4" w:space="0"/>
              <w:bottom w:val="single" w:color="000000" w:sz="4" w:space="0"/>
              <w:right w:val="single" w:color="000000" w:sz="4" w:space="0"/>
            </w:tcBorders>
            <w:vAlign w:val="center"/>
          </w:tcPr>
          <w:p w14:paraId="3F5CBDD7">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良</w:t>
            </w:r>
          </w:p>
          <w:p w14:paraId="4B783466">
            <w:pPr>
              <w:pageBreakBefore w:val="0"/>
              <w:tabs>
                <w:tab w:val="left" w:pos="720"/>
              </w:tabs>
              <w:kinsoku/>
              <w:overflowPunct/>
              <w:topLinePunct w:val="0"/>
              <w:bidi w:val="0"/>
              <w:spacing w:line="240" w:lineRule="auto"/>
              <w:ind w:left="-93" w:right="-75" w:hanging="12"/>
              <w:jc w:val="center"/>
              <w:rPr>
                <w:rFonts w:hint="eastAsia" w:ascii="仿宋" w:eastAsia="仿宋" w:cs="仿宋"/>
                <w:b/>
                <w:kern w:val="2"/>
                <w:szCs w:val="21"/>
                <w:lang w:bidi="ar-SA"/>
              </w:rPr>
            </w:pPr>
            <w:r>
              <w:rPr>
                <w:rFonts w:hint="eastAsia" w:ascii="仿宋" w:eastAsia="仿宋" w:cs="仿宋"/>
                <w:b/>
                <w:kern w:val="2"/>
                <w:szCs w:val="21"/>
                <w:lang w:bidi="ar-SA"/>
              </w:rPr>
              <w:t>（80≦X＜90）</w:t>
            </w:r>
          </w:p>
        </w:tc>
        <w:tc>
          <w:tcPr>
            <w:tcW w:w="1653" w:type="dxa"/>
            <w:tcBorders>
              <w:top w:val="single" w:color="000000" w:sz="4" w:space="0"/>
              <w:left w:val="single" w:color="000000" w:sz="4" w:space="0"/>
              <w:bottom w:val="single" w:color="000000" w:sz="4" w:space="0"/>
              <w:right w:val="single" w:color="000000" w:sz="4" w:space="0"/>
            </w:tcBorders>
            <w:vAlign w:val="center"/>
          </w:tcPr>
          <w:p w14:paraId="44F17064">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中</w:t>
            </w:r>
          </w:p>
          <w:p w14:paraId="729485D5">
            <w:pPr>
              <w:pageBreakBefore w:val="0"/>
              <w:tabs>
                <w:tab w:val="left" w:pos="720"/>
              </w:tabs>
              <w:kinsoku/>
              <w:overflowPunct/>
              <w:topLinePunct w:val="0"/>
              <w:bidi w:val="0"/>
              <w:spacing w:line="240" w:lineRule="auto"/>
              <w:ind w:left="-93" w:right="-75" w:hanging="12"/>
              <w:jc w:val="center"/>
              <w:rPr>
                <w:rFonts w:hint="eastAsia" w:ascii="仿宋" w:eastAsia="仿宋" w:cs="仿宋"/>
                <w:b/>
                <w:kern w:val="2"/>
                <w:szCs w:val="21"/>
                <w:lang w:bidi="ar-SA"/>
              </w:rPr>
            </w:pPr>
            <w:r>
              <w:rPr>
                <w:rFonts w:hint="eastAsia" w:ascii="仿宋" w:eastAsia="仿宋" w:cs="仿宋"/>
                <w:b/>
                <w:kern w:val="2"/>
                <w:szCs w:val="21"/>
                <w:lang w:bidi="ar-SA"/>
              </w:rPr>
              <w:t>（70≦X＜80）</w:t>
            </w:r>
          </w:p>
        </w:tc>
        <w:tc>
          <w:tcPr>
            <w:tcW w:w="1636" w:type="dxa"/>
            <w:tcBorders>
              <w:top w:val="single" w:color="000000" w:sz="4" w:space="0"/>
              <w:left w:val="single" w:color="000000" w:sz="4" w:space="0"/>
              <w:bottom w:val="single" w:color="000000" w:sz="4" w:space="0"/>
              <w:right w:val="single" w:color="000000" w:sz="4" w:space="0"/>
            </w:tcBorders>
            <w:vAlign w:val="center"/>
          </w:tcPr>
          <w:p w14:paraId="71D429CF">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及格</w:t>
            </w:r>
          </w:p>
          <w:p w14:paraId="36F42862">
            <w:pPr>
              <w:pageBreakBefore w:val="0"/>
              <w:tabs>
                <w:tab w:val="left" w:pos="720"/>
              </w:tabs>
              <w:kinsoku/>
              <w:overflowPunct/>
              <w:topLinePunct w:val="0"/>
              <w:bidi w:val="0"/>
              <w:spacing w:line="240" w:lineRule="auto"/>
              <w:ind w:left="-93" w:right="-75" w:hanging="12"/>
              <w:jc w:val="center"/>
              <w:rPr>
                <w:rFonts w:hint="eastAsia" w:ascii="仿宋" w:eastAsia="仿宋" w:cs="仿宋"/>
                <w:b/>
                <w:kern w:val="2"/>
                <w:szCs w:val="21"/>
                <w:lang w:bidi="ar-SA"/>
              </w:rPr>
            </w:pPr>
            <w:r>
              <w:rPr>
                <w:rFonts w:hint="eastAsia" w:ascii="仿宋" w:eastAsia="仿宋" w:cs="仿宋"/>
                <w:b/>
                <w:kern w:val="2"/>
                <w:szCs w:val="21"/>
                <w:lang w:bidi="ar-SA"/>
              </w:rPr>
              <w:t>（60≦X＜70）</w:t>
            </w:r>
          </w:p>
        </w:tc>
        <w:tc>
          <w:tcPr>
            <w:tcW w:w="1433" w:type="dxa"/>
            <w:tcBorders>
              <w:top w:val="single" w:color="000000" w:sz="4" w:space="0"/>
              <w:left w:val="single" w:color="000000" w:sz="4" w:space="0"/>
              <w:bottom w:val="single" w:color="000000" w:sz="4" w:space="0"/>
              <w:right w:val="single" w:color="000000" w:sz="4" w:space="0"/>
            </w:tcBorders>
            <w:vAlign w:val="center"/>
          </w:tcPr>
          <w:p w14:paraId="30AA3E38">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不及格</w:t>
            </w:r>
          </w:p>
          <w:p w14:paraId="04DDD655">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（X＜60）</w:t>
            </w:r>
          </w:p>
        </w:tc>
      </w:tr>
      <w:tr w14:paraId="2EE60D4F">
        <w:trPr>
          <w:trHeight w:val="995" w:hRule="atLeast"/>
          <w:jc w:val="center"/>
        </w:trPr>
        <w:tc>
          <w:tcPr>
            <w:tcW w:w="1523" w:type="dxa"/>
            <w:tcBorders>
              <w:top w:val="single" w:color="000000" w:sz="4" w:space="0"/>
              <w:left w:val="single" w:color="000000" w:sz="4" w:space="0"/>
              <w:bottom w:val="single" w:color="000000" w:sz="4" w:space="0"/>
              <w:right w:val="single" w:color="000000" w:sz="4" w:space="0"/>
            </w:tcBorders>
            <w:vAlign w:val="top"/>
          </w:tcPr>
          <w:p w14:paraId="6BD8E17B">
            <w:pPr>
              <w:pageBreakBefore w:val="0"/>
              <w:widowControl/>
              <w:kinsoku/>
              <w:overflowPunct/>
              <w:topLinePunct w:val="0"/>
              <w:bidi w:val="0"/>
              <w:spacing w:line="240" w:lineRule="auto"/>
              <w:rPr>
                <w:rFonts w:hint="eastAsia" w:ascii="楷体" w:eastAsia="楷体" w:cs="仿宋"/>
                <w:kern w:val="2"/>
                <w:szCs w:val="21"/>
                <w:lang w:bidi="ar-SA"/>
              </w:rPr>
            </w:pPr>
            <w:r>
              <w:rPr>
                <w:rFonts w:hint="eastAsia" w:ascii="楷体" w:eastAsia="楷体" w:cs="仿宋"/>
                <w:bCs/>
                <w:kern w:val="2"/>
                <w:szCs w:val="21"/>
                <w:lang w:bidi="ar-SA"/>
              </w:rPr>
              <w:t>课程目标1.能够掌握规范、系统的基础发声方法，学习丰富的优秀民族声乐作品，提升民族认同感；充分理解声音的个体差异性，能够在教育实践中举一反三，并能够学会综合育人，促进音乐素养的全面发展。</w:t>
            </w:r>
          </w:p>
        </w:tc>
        <w:tc>
          <w:tcPr>
            <w:tcW w:w="1571" w:type="dxa"/>
            <w:tcBorders>
              <w:top w:val="single" w:color="000000" w:sz="4" w:space="0"/>
              <w:left w:val="single" w:color="000000" w:sz="4" w:space="0"/>
              <w:bottom w:val="single" w:color="000000" w:sz="4" w:space="0"/>
              <w:right w:val="single" w:color="000000" w:sz="4" w:space="0"/>
            </w:tcBorders>
            <w:vAlign w:val="top"/>
          </w:tcPr>
          <w:p w14:paraId="51A6631F">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bidi="ar-SA"/>
              </w:rPr>
              <w:t>能够扎实掌握规范、系统的基础发声方法，学习丰富的优秀民族声乐作品，提升民族认同感；充分理解声音的个体差异性，能够在教育实践中举一反三，并能够学会综合育人，促进学生音乐素养的全面发展。</w:t>
            </w:r>
          </w:p>
        </w:tc>
        <w:tc>
          <w:tcPr>
            <w:tcW w:w="1624" w:type="dxa"/>
            <w:tcBorders>
              <w:top w:val="single" w:color="000000" w:sz="4" w:space="0"/>
              <w:left w:val="single" w:color="000000" w:sz="4" w:space="0"/>
              <w:bottom w:val="single" w:color="000000" w:sz="4" w:space="0"/>
              <w:right w:val="single" w:color="000000" w:sz="4" w:space="0"/>
            </w:tcBorders>
            <w:vAlign w:val="top"/>
          </w:tcPr>
          <w:p w14:paraId="2A57B619">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bidi="ar-SA"/>
              </w:rPr>
              <w:t>掌握规范、系统的基础发声方法，学习一定的优秀民族声乐作品，提升民族认同感；理解声音的个体差异性，能够在教育实践中举一反三，并能够学会综合育人，促进学生音乐素养的全面发展。</w:t>
            </w:r>
          </w:p>
        </w:tc>
        <w:tc>
          <w:tcPr>
            <w:tcW w:w="1653" w:type="dxa"/>
            <w:tcBorders>
              <w:top w:val="single" w:color="000000" w:sz="4" w:space="0"/>
              <w:left w:val="single" w:color="000000" w:sz="4" w:space="0"/>
              <w:bottom w:val="single" w:color="000000" w:sz="4" w:space="0"/>
              <w:right w:val="single" w:color="000000" w:sz="4" w:space="0"/>
            </w:tcBorders>
            <w:vAlign w:val="top"/>
          </w:tcPr>
          <w:p w14:paraId="3DD5C5A3">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bidi="ar-SA"/>
              </w:rPr>
              <w:t>基本掌握规范、系统的基础发声方法，学习一定的优秀民族声乐作品，提升民族认同感；基本理解声音的个体差异性，能够在教育实践中举一反三，并能够学会综合育人，促进学生音乐素养的全面发展。</w:t>
            </w:r>
          </w:p>
        </w:tc>
        <w:tc>
          <w:tcPr>
            <w:tcW w:w="1636" w:type="dxa"/>
            <w:tcBorders>
              <w:top w:val="single" w:color="000000" w:sz="4" w:space="0"/>
              <w:left w:val="single" w:color="000000" w:sz="4" w:space="0"/>
              <w:bottom w:val="single" w:color="000000" w:sz="4" w:space="0"/>
              <w:right w:val="single" w:color="000000" w:sz="4" w:space="0"/>
            </w:tcBorders>
            <w:vAlign w:val="top"/>
          </w:tcPr>
          <w:p w14:paraId="60A0676D">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bidi="ar-SA"/>
              </w:rPr>
              <w:t>基本掌握规范、系统的基础发声方法，学习部分的优秀民族声乐作品，提升民族认同感；但在理解声音的个体差异性、在教育实践中举一反三、并学会综合育人、促进学生音乐素养的全面发展等方面不足。</w:t>
            </w:r>
          </w:p>
        </w:tc>
        <w:tc>
          <w:tcPr>
            <w:tcW w:w="1433" w:type="dxa"/>
            <w:tcBorders>
              <w:top w:val="single" w:color="000000" w:sz="4" w:space="0"/>
              <w:left w:val="single" w:color="000000" w:sz="4" w:space="0"/>
              <w:bottom w:val="single" w:color="000000" w:sz="4" w:space="0"/>
              <w:right w:val="single" w:color="000000" w:sz="4" w:space="0"/>
            </w:tcBorders>
            <w:vAlign w:val="top"/>
          </w:tcPr>
          <w:p w14:paraId="264D945E">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bidi="ar-SA"/>
              </w:rPr>
              <w:t>未能够掌握规范、系统的基础发声方法，未能够学习优秀民族声乐作品，未能提升民族认同感；未能充分理解声音的个体差异性，不能在教育实践中举一反三，未能学会综合育人，未能促进学生音乐素养的全面发展。</w:t>
            </w:r>
          </w:p>
        </w:tc>
      </w:tr>
      <w:tr w14:paraId="3CF95D23">
        <w:trPr>
          <w:trHeight w:val="624" w:hRule="atLeast"/>
          <w:jc w:val="center"/>
        </w:trPr>
        <w:tc>
          <w:tcPr>
            <w:tcW w:w="1523" w:type="dxa"/>
            <w:tcBorders>
              <w:top w:val="single" w:color="000000" w:sz="4" w:space="0"/>
              <w:left w:val="single" w:color="000000" w:sz="4" w:space="0"/>
              <w:bottom w:val="single" w:color="000000" w:sz="4" w:space="0"/>
              <w:right w:val="single" w:color="000000" w:sz="4" w:space="0"/>
            </w:tcBorders>
            <w:vAlign w:val="top"/>
          </w:tcPr>
          <w:p w14:paraId="3648BDD0">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bidi="ar-SA"/>
              </w:rPr>
              <w:t>课程目标2.</w:t>
            </w:r>
          </w:p>
          <w:p w14:paraId="42B9DC9B">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bidi="ar-SA"/>
              </w:rPr>
              <w:t>需要根据自身身体、嗓音条件及综合课堂表现，积极总结自身发声特点，对出现的问题及时改进并能够触类旁通。学习、掌握声乐机理，适当尝试声乐教学实践，对教学中可能出现的问题进行预判，实际中出现的问题深究原因，提出具体解决对策，真正做到教学相长。</w:t>
            </w:r>
          </w:p>
        </w:tc>
        <w:tc>
          <w:tcPr>
            <w:tcW w:w="1571" w:type="dxa"/>
            <w:tcBorders>
              <w:top w:val="single" w:color="000000" w:sz="4" w:space="0"/>
              <w:left w:val="single" w:color="000000" w:sz="4" w:space="0"/>
              <w:bottom w:val="single" w:color="000000" w:sz="4" w:space="0"/>
              <w:right w:val="single" w:color="000000" w:sz="4" w:space="0"/>
            </w:tcBorders>
            <w:vAlign w:val="top"/>
          </w:tcPr>
          <w:p w14:paraId="33AA7E53">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bidi="ar-SA"/>
              </w:rPr>
              <w:t>师范生能够很好地根据自身身体、嗓音条件及综合课堂表现，积极总结自身发声特点，对出现的问题很好地及时改进并能够触类旁通。学习、掌握声乐机理，适当尝试声乐教学实践，对教学中可能出现的问题进行良好预判，实际中出现的问题深究原因，能够提出具体解决对策，能够真正做到教学相长。</w:t>
            </w:r>
          </w:p>
        </w:tc>
        <w:tc>
          <w:tcPr>
            <w:tcW w:w="1624" w:type="dxa"/>
            <w:tcBorders>
              <w:top w:val="single" w:color="000000" w:sz="4" w:space="0"/>
              <w:left w:val="single" w:color="000000" w:sz="4" w:space="0"/>
              <w:bottom w:val="single" w:color="000000" w:sz="4" w:space="0"/>
              <w:right w:val="single" w:color="000000" w:sz="4" w:space="0"/>
            </w:tcBorders>
            <w:vAlign w:val="top"/>
          </w:tcPr>
          <w:p w14:paraId="7E556E18">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bidi="ar-SA"/>
              </w:rPr>
              <w:t>师范生能够根据自身身体、嗓音条件及综合课堂表现，能够总结自身发声特点，对出现的问题及时改进并能够触类旁通。能够学习、掌握声乐机理，适当尝试声乐教学实践，对教学中可能出现的问题能够进行预判，实际中出现的问题深究原因，能够提出具体解决对策，真正做到教学相长。</w:t>
            </w:r>
          </w:p>
        </w:tc>
        <w:tc>
          <w:tcPr>
            <w:tcW w:w="1653" w:type="dxa"/>
            <w:tcBorders>
              <w:top w:val="single" w:color="000000" w:sz="4" w:space="0"/>
              <w:left w:val="single" w:color="000000" w:sz="4" w:space="0"/>
              <w:bottom w:val="single" w:color="000000" w:sz="4" w:space="0"/>
              <w:right w:val="single" w:color="000000" w:sz="4" w:space="0"/>
            </w:tcBorders>
            <w:vAlign w:val="top"/>
          </w:tcPr>
          <w:p w14:paraId="56F46954">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bidi="ar-SA"/>
              </w:rPr>
              <w:t>师范生基本能够根据自身身体、嗓音条件及综合课堂表现，基本能够总结自身发声特点，对出现的问题及时改进并能够触类旁通。基本能够学习、掌握声乐机理，适当尝试声乐教学实践，对教学中可能出现的问题基本能够进行预判，实际中出现的问题深究原因，基本能够提出具体解决对策，真正做到教学相长。</w:t>
            </w:r>
          </w:p>
        </w:tc>
        <w:tc>
          <w:tcPr>
            <w:tcW w:w="1636" w:type="dxa"/>
            <w:tcBorders>
              <w:top w:val="single" w:color="000000" w:sz="4" w:space="0"/>
              <w:left w:val="single" w:color="000000" w:sz="4" w:space="0"/>
              <w:bottom w:val="single" w:color="000000" w:sz="4" w:space="0"/>
              <w:right w:val="single" w:color="000000" w:sz="4" w:space="0"/>
            </w:tcBorders>
            <w:vAlign w:val="top"/>
          </w:tcPr>
          <w:p w14:paraId="1186A52C">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bidi="ar-SA"/>
              </w:rPr>
              <w:t>师范生基本能够根据自身身体、嗓音条件及综合课堂表现，不太积极地总结自身发声特点，对出现的问题基本能够改进但不能够触类旁通。基本能够学习、掌握声乐机理，适当尝试声乐教学实践，但对教学中可能出现的问题不能进行预判，实际中出现的问题不能深究原因，不能提出具体解决对策，不能做到教学相长。</w:t>
            </w:r>
          </w:p>
        </w:tc>
        <w:tc>
          <w:tcPr>
            <w:tcW w:w="1433" w:type="dxa"/>
            <w:tcBorders>
              <w:top w:val="single" w:color="000000" w:sz="4" w:space="0"/>
              <w:left w:val="single" w:color="000000" w:sz="4" w:space="0"/>
              <w:bottom w:val="single" w:color="000000" w:sz="4" w:space="0"/>
              <w:right w:val="single" w:color="000000" w:sz="4" w:space="0"/>
            </w:tcBorders>
            <w:vAlign w:val="top"/>
          </w:tcPr>
          <w:p w14:paraId="442D157F">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bidi="ar-SA"/>
              </w:rPr>
              <w:t>师范生未能根据自身身体、嗓音条件及综合课堂表现，不能总结自身发声特点，对出现的问题不能及时改进，做不到够触类旁通。未能学习、掌握声乐机理，不能尝试进行声乐教学实践，对教学中可能出现的问题不能进行预判，实际中出现的问题不能深究原因，不能提出具体解决对策，不能做到教学相长。</w:t>
            </w:r>
          </w:p>
        </w:tc>
      </w:tr>
    </w:tbl>
    <w:p w14:paraId="0B567C38">
      <w:pPr>
        <w:rPr>
          <w:sz w:val="2"/>
          <w:szCs w:val="2"/>
        </w:rPr>
        <w:sectPr>
          <w:headerReference r:id="rId63" w:type="default"/>
          <w:footerReference r:id="rId64" w:type="default"/>
          <w:pgSz w:w="11906" w:h="16838"/>
          <w:pgMar w:top="1134" w:right="1417" w:bottom="1134" w:left="1417" w:header="851" w:footer="992" w:gutter="0"/>
          <w:cols w:space="720" w:num="1"/>
          <w:docGrid w:type="lines" w:linePitch="312" w:charSpace="0"/>
        </w:sectPr>
      </w:pPr>
    </w:p>
    <w:p w14:paraId="2DE1FD9A">
      <w:pPr>
        <w:spacing w:line="560" w:lineRule="exact"/>
        <w:jc w:val="center"/>
        <w:rPr>
          <w:rFonts w:hint="eastAsia" w:eastAsia="方正小标宋简体"/>
          <w:sz w:val="44"/>
          <w:szCs w:val="44"/>
        </w:rPr>
      </w:pPr>
      <w:r>
        <w:rPr>
          <w:rFonts w:hint="eastAsia" w:eastAsia="方正小标宋简体"/>
          <w:sz w:val="44"/>
          <w:szCs w:val="44"/>
        </w:rPr>
        <w:t>三明学院音乐学（音乐教育）专业</w:t>
      </w:r>
    </w:p>
    <w:p w14:paraId="29E16BB6">
      <w:pPr>
        <w:spacing w:line="560" w:lineRule="exact"/>
        <w:jc w:val="center"/>
        <w:rPr>
          <w:rFonts w:hint="eastAsia" w:eastAsia="方正小标宋简体"/>
          <w:sz w:val="24"/>
          <w:szCs w:val="24"/>
        </w:rPr>
      </w:pPr>
      <w:r>
        <w:rPr>
          <w:rFonts w:hint="eastAsia" w:eastAsia="方正小标宋简体"/>
          <w:sz w:val="44"/>
          <w:szCs w:val="44"/>
        </w:rPr>
        <w:t>《钢琴基础》课程教学大纲</w:t>
      </w:r>
    </w:p>
    <w:p w14:paraId="0FE327E5">
      <w:pPr>
        <w:spacing w:line="560" w:lineRule="exact"/>
        <w:jc w:val="center"/>
        <w:rPr>
          <w:rFonts w:hint="eastAsia" w:eastAsia="方正小标宋简体"/>
          <w:sz w:val="24"/>
          <w:szCs w:val="24"/>
        </w:rPr>
      </w:pPr>
    </w:p>
    <w:tbl>
      <w:tblPr>
        <w:tblStyle w:val="22"/>
        <w:tblW w:w="0" w:type="auto"/>
        <w:tblInd w:w="-5" w:type="dxa"/>
        <w:tblLayout w:type="fixed"/>
        <w:tblCellMar>
          <w:top w:w="0" w:type="dxa"/>
          <w:left w:w="0" w:type="dxa"/>
          <w:bottom w:w="0" w:type="dxa"/>
          <w:right w:w="28" w:type="dxa"/>
        </w:tblCellMar>
      </w:tblPr>
      <w:tblGrid>
        <w:gridCol w:w="1376"/>
        <w:gridCol w:w="1174"/>
        <w:gridCol w:w="7"/>
        <w:gridCol w:w="1195"/>
        <w:gridCol w:w="1493"/>
        <w:gridCol w:w="113"/>
        <w:gridCol w:w="297"/>
        <w:gridCol w:w="587"/>
        <w:gridCol w:w="543"/>
        <w:gridCol w:w="286"/>
        <w:gridCol w:w="314"/>
        <w:gridCol w:w="600"/>
        <w:gridCol w:w="239"/>
        <w:gridCol w:w="335"/>
        <w:gridCol w:w="589"/>
      </w:tblGrid>
      <w:tr w14:paraId="1DE9DEC2">
        <w:trPr>
          <w:trHeight w:val="454" w:hRule="atLeast"/>
        </w:trPr>
        <w:tc>
          <w:tcPr>
            <w:tcW w:w="1376" w:type="dxa"/>
            <w:tcBorders>
              <w:top w:val="single" w:color="auto" w:sz="4" w:space="0"/>
              <w:left w:val="single" w:color="auto" w:sz="4" w:space="0"/>
              <w:bottom w:val="single" w:color="auto" w:sz="4" w:space="0"/>
              <w:right w:val="single" w:color="auto" w:sz="4" w:space="0"/>
            </w:tcBorders>
            <w:vAlign w:val="center"/>
          </w:tcPr>
          <w:p w14:paraId="17736BB5">
            <w:pPr>
              <w:spacing w:line="240" w:lineRule="atLeast"/>
              <w:jc w:val="center"/>
            </w:pPr>
            <w:r>
              <w:rPr>
                <w:rFonts w:hint="eastAsia" w:ascii="仿宋" w:hAnsi="仿宋" w:eastAsia="仿宋" w:cs="仿宋"/>
                <w:sz w:val="24"/>
                <w:szCs w:val="24"/>
              </w:rPr>
              <w:t>课程名称</w:t>
            </w:r>
          </w:p>
        </w:tc>
        <w:tc>
          <w:tcPr>
            <w:tcW w:w="4866" w:type="dxa"/>
            <w:gridSpan w:val="7"/>
            <w:tcBorders>
              <w:top w:val="single" w:color="auto" w:sz="4" w:space="0"/>
              <w:left w:val="single" w:color="auto" w:sz="4" w:space="0"/>
              <w:bottom w:val="single" w:color="auto" w:sz="4" w:space="0"/>
              <w:right w:val="single" w:color="auto" w:sz="4" w:space="0"/>
            </w:tcBorders>
            <w:vAlign w:val="center"/>
          </w:tcPr>
          <w:p w14:paraId="0074B49E">
            <w:pPr>
              <w:spacing w:line="240" w:lineRule="atLeast"/>
              <w:jc w:val="center"/>
            </w:pPr>
            <w:r>
              <w:rPr>
                <w:rFonts w:hint="eastAsia" w:ascii="仿宋" w:hAnsi="仿宋" w:eastAsia="仿宋" w:cs="仿宋"/>
                <w:sz w:val="24"/>
                <w:szCs w:val="24"/>
              </w:rPr>
              <w:t>《钢琴基础》</w:t>
            </w:r>
          </w:p>
        </w:tc>
        <w:tc>
          <w:tcPr>
            <w:tcW w:w="543" w:type="dxa"/>
            <w:tcBorders>
              <w:top w:val="single" w:color="auto" w:sz="4" w:space="0"/>
              <w:left w:val="single" w:color="auto" w:sz="4" w:space="0"/>
              <w:bottom w:val="single" w:color="auto" w:sz="4" w:space="0"/>
              <w:right w:val="single" w:color="auto" w:sz="4" w:space="0"/>
            </w:tcBorders>
            <w:vAlign w:val="center"/>
          </w:tcPr>
          <w:p w14:paraId="674C51DE">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w:t>
            </w:r>
          </w:p>
          <w:p w14:paraId="552ACC83">
            <w:pPr>
              <w:spacing w:line="240" w:lineRule="atLeast"/>
              <w:jc w:val="center"/>
            </w:pPr>
            <w:r>
              <w:rPr>
                <w:rFonts w:hint="eastAsia" w:ascii="仿宋" w:hAnsi="仿宋" w:eastAsia="仿宋" w:cs="仿宋"/>
                <w:sz w:val="24"/>
                <w:szCs w:val="24"/>
              </w:rPr>
              <w:t>代码</w:t>
            </w:r>
          </w:p>
        </w:tc>
        <w:tc>
          <w:tcPr>
            <w:tcW w:w="2363" w:type="dxa"/>
            <w:gridSpan w:val="6"/>
            <w:tcBorders>
              <w:top w:val="single" w:color="auto" w:sz="4" w:space="0"/>
              <w:left w:val="single" w:color="auto" w:sz="4" w:space="0"/>
              <w:bottom w:val="single" w:color="auto" w:sz="4" w:space="0"/>
              <w:right w:val="single" w:color="auto" w:sz="4" w:space="0"/>
            </w:tcBorders>
            <w:vAlign w:val="center"/>
          </w:tcPr>
          <w:p w14:paraId="48015F0E">
            <w:pPr>
              <w:keepNext w:val="0"/>
              <w:keepLines w:val="0"/>
              <w:widowControl/>
              <w:suppressLineNumbers w:val="0"/>
              <w:jc w:val="left"/>
            </w:pPr>
            <w:r>
              <w:rPr>
                <w:rFonts w:hint="eastAsia" w:ascii="宋体" w:hAnsi="宋体" w:eastAsia="宋体" w:cs="宋体"/>
                <w:i w:val="0"/>
                <w:iCs w:val="0"/>
                <w:color w:val="000000"/>
                <w:kern w:val="0"/>
                <w:sz w:val="21"/>
                <w:szCs w:val="21"/>
                <w:u w:val="none"/>
                <w:lang w:val="en-US" w:eastAsia="zh-CN" w:bidi="ar"/>
              </w:rPr>
              <w:t>1213302607</w:t>
            </w:r>
          </w:p>
          <w:p w14:paraId="47196537">
            <w:pPr>
              <w:keepNext w:val="0"/>
              <w:keepLines w:val="0"/>
              <w:widowControl/>
              <w:suppressLineNumbers w:val="0"/>
              <w:jc w:val="left"/>
            </w:pPr>
            <w:r>
              <w:rPr>
                <w:rFonts w:hint="eastAsia" w:ascii="宋体" w:hAnsi="宋体" w:eastAsia="宋体" w:cs="宋体"/>
                <w:i w:val="0"/>
                <w:iCs w:val="0"/>
                <w:color w:val="000000"/>
                <w:kern w:val="0"/>
                <w:sz w:val="21"/>
                <w:szCs w:val="21"/>
                <w:u w:val="none"/>
                <w:lang w:val="en-US" w:eastAsia="zh-CN" w:bidi="ar"/>
              </w:rPr>
              <w:t>1213302608</w:t>
            </w:r>
          </w:p>
          <w:p w14:paraId="1ED599CE">
            <w:pPr>
              <w:keepNext w:val="0"/>
              <w:keepLines w:val="0"/>
              <w:widowControl/>
              <w:suppressLineNumbers w:val="0"/>
              <w:jc w:val="left"/>
            </w:pPr>
            <w:r>
              <w:rPr>
                <w:rFonts w:hint="eastAsia" w:ascii="宋体" w:hAnsi="宋体" w:eastAsia="宋体" w:cs="宋体"/>
                <w:i w:val="0"/>
                <w:iCs w:val="0"/>
                <w:color w:val="000000"/>
                <w:kern w:val="0"/>
                <w:sz w:val="21"/>
                <w:szCs w:val="21"/>
                <w:u w:val="none"/>
                <w:lang w:val="en-US" w:eastAsia="zh-CN" w:bidi="ar"/>
              </w:rPr>
              <w:t>1213302609</w:t>
            </w:r>
          </w:p>
          <w:p w14:paraId="7F3E51D8">
            <w:pPr>
              <w:keepNext w:val="0"/>
              <w:keepLines w:val="0"/>
              <w:widowControl/>
              <w:suppressLineNumbers w:val="0"/>
              <w:jc w:val="left"/>
            </w:pPr>
            <w:r>
              <w:rPr>
                <w:rFonts w:hint="eastAsia" w:ascii="宋体" w:hAnsi="宋体" w:eastAsia="宋体" w:cs="宋体"/>
                <w:i w:val="0"/>
                <w:iCs w:val="0"/>
                <w:color w:val="000000"/>
                <w:kern w:val="0"/>
                <w:sz w:val="21"/>
                <w:szCs w:val="21"/>
                <w:u w:val="none"/>
                <w:lang w:val="en-US" w:eastAsia="zh-CN" w:bidi="ar"/>
              </w:rPr>
              <w:t>1213302610</w:t>
            </w:r>
          </w:p>
        </w:tc>
      </w:tr>
      <w:tr w14:paraId="59B36C28">
        <w:trPr>
          <w:trHeight w:val="454" w:hRule="atLeast"/>
        </w:trPr>
        <w:tc>
          <w:tcPr>
            <w:tcW w:w="1376" w:type="dxa"/>
            <w:tcBorders>
              <w:top w:val="single" w:color="auto" w:sz="4" w:space="0"/>
              <w:left w:val="single" w:color="auto" w:sz="4" w:space="0"/>
              <w:bottom w:val="single" w:color="auto" w:sz="4" w:space="0"/>
              <w:right w:val="single" w:color="auto" w:sz="4" w:space="0"/>
            </w:tcBorders>
            <w:vAlign w:val="center"/>
          </w:tcPr>
          <w:p w14:paraId="18349E32">
            <w:pPr>
              <w:spacing w:line="240" w:lineRule="atLeast"/>
              <w:jc w:val="center"/>
            </w:pPr>
            <w:r>
              <w:rPr>
                <w:rFonts w:hint="eastAsia" w:ascii="仿宋" w:hAnsi="仿宋" w:eastAsia="仿宋" w:cs="仿宋"/>
                <w:sz w:val="24"/>
                <w:szCs w:val="24"/>
              </w:rPr>
              <w:t>课程类型</w:t>
            </w:r>
          </w:p>
        </w:tc>
        <w:tc>
          <w:tcPr>
            <w:tcW w:w="7772" w:type="dxa"/>
            <w:gridSpan w:val="14"/>
            <w:tcBorders>
              <w:top w:val="single" w:color="auto" w:sz="4" w:space="0"/>
              <w:left w:val="single" w:color="auto" w:sz="4" w:space="0"/>
              <w:bottom w:val="single" w:color="auto" w:sz="4" w:space="0"/>
              <w:right w:val="single" w:color="auto" w:sz="4" w:space="0"/>
            </w:tcBorders>
            <w:vAlign w:val="center"/>
          </w:tcPr>
          <w:p w14:paraId="44FAE9A4">
            <w:pPr>
              <w:spacing w:line="240" w:lineRule="atLeast"/>
              <w:rPr>
                <w:rFonts w:hint="eastAsia" w:ascii="Wingdings" w:hAnsi="Wingdings" w:eastAsia="Wingdings" w:cs="Wingdings"/>
                <w:sz w:val="24"/>
                <w:szCs w:val="24"/>
              </w:rPr>
            </w:pPr>
            <w:r>
              <w:rPr>
                <w:rFonts w:hint="eastAsia" w:ascii="Wingdings" w:hAnsi="Wingdings" w:eastAsia="Wingdings" w:cs="Wingdings"/>
                <w:sz w:val="24"/>
                <w:szCs w:val="24"/>
              </w:rPr>
              <w:t>¨</w:t>
            </w:r>
            <w:r>
              <w:rPr>
                <w:rFonts w:hint="eastAsia" w:ascii="仿宋" w:hAnsi="仿宋" w:eastAsia="仿宋" w:cs="仿宋"/>
                <w:sz w:val="24"/>
                <w:szCs w:val="24"/>
              </w:rPr>
              <w:t xml:space="preserve">通识必修 </w:t>
            </w:r>
            <w:r>
              <w:rPr>
                <w:rFonts w:hint="eastAsia" w:ascii="Wingdings" w:hAnsi="Wingdings" w:eastAsia="Wingdings" w:cs="Wingdings"/>
                <w:sz w:val="24"/>
                <w:szCs w:val="24"/>
              </w:rPr>
              <w:t>¨</w:t>
            </w:r>
            <w:r>
              <w:rPr>
                <w:rFonts w:hint="eastAsia" w:ascii="仿宋" w:hAnsi="仿宋" w:eastAsia="仿宋" w:cs="仿宋"/>
                <w:sz w:val="24"/>
                <w:szCs w:val="24"/>
              </w:rPr>
              <w:t xml:space="preserve">通识选修 </w:t>
            </w:r>
            <w:r>
              <w:rPr>
                <w:rFonts w:hint="eastAsia" w:ascii="Wingdings" w:hAnsi="Wingdings" w:eastAsia="Wingdings" w:cs="Wingdings"/>
                <w:sz w:val="24"/>
                <w:szCs w:val="24"/>
              </w:rPr>
              <w:t>þ</w:t>
            </w:r>
            <w:r>
              <w:rPr>
                <w:rFonts w:hint="eastAsia" w:ascii="仿宋" w:hAnsi="仿宋" w:eastAsia="仿宋" w:cs="仿宋"/>
                <w:sz w:val="24"/>
                <w:szCs w:val="24"/>
              </w:rPr>
              <w:t xml:space="preserve">专业必修 </w:t>
            </w:r>
          </w:p>
          <w:p w14:paraId="4ECEC143">
            <w:pPr>
              <w:spacing w:line="240" w:lineRule="atLeast"/>
            </w:pPr>
            <w:r>
              <w:rPr>
                <w:rFonts w:hint="eastAsia" w:ascii="Wingdings" w:hAnsi="Wingdings" w:eastAsia="Wingdings" w:cs="Wingdings"/>
                <w:sz w:val="24"/>
                <w:szCs w:val="24"/>
              </w:rPr>
              <w:t>¨</w:t>
            </w:r>
            <w:r>
              <w:rPr>
                <w:rFonts w:hint="eastAsia" w:ascii="仿宋" w:hAnsi="仿宋" w:eastAsia="仿宋" w:cs="仿宋"/>
                <w:sz w:val="24"/>
                <w:szCs w:val="24"/>
              </w:rPr>
              <w:t>专业选修</w:t>
            </w:r>
            <w:r>
              <w:rPr>
                <w:rFonts w:hint="eastAsia" w:ascii="仿宋" w:hAnsi="仿宋" w:eastAsia="仿宋" w:cs="仿宋"/>
                <w:sz w:val="24"/>
                <w:szCs w:val="24"/>
                <w:lang w:eastAsia="zh-TW"/>
              </w:rPr>
              <w:t xml:space="preserve"> </w:t>
            </w:r>
            <w:r>
              <w:rPr>
                <w:rFonts w:hint="eastAsia" w:ascii="Wingdings" w:hAnsi="Wingdings" w:eastAsia="Wingdings" w:cs="Wingdings"/>
                <w:sz w:val="24"/>
                <w:szCs w:val="24"/>
              </w:rPr>
              <w:t>¨</w:t>
            </w:r>
            <w:r>
              <w:rPr>
                <w:rFonts w:hint="eastAsia" w:ascii="仿宋" w:hAnsi="仿宋" w:eastAsia="仿宋" w:cs="仿宋"/>
                <w:sz w:val="24"/>
                <w:szCs w:val="24"/>
              </w:rPr>
              <w:t xml:space="preserve">教师教育必修 </w:t>
            </w:r>
            <w:r>
              <w:rPr>
                <w:rFonts w:hint="eastAsia" w:ascii="Wingdings" w:hAnsi="Wingdings" w:eastAsia="Wingdings" w:cs="Wingdings"/>
                <w:sz w:val="24"/>
                <w:szCs w:val="24"/>
              </w:rPr>
              <w:t>¨</w:t>
            </w:r>
            <w:r>
              <w:rPr>
                <w:rFonts w:hint="eastAsia" w:ascii="仿宋" w:hAnsi="仿宋" w:eastAsia="仿宋" w:cs="仿宋"/>
                <w:sz w:val="24"/>
                <w:szCs w:val="24"/>
              </w:rPr>
              <w:t>教师教育选修</w:t>
            </w:r>
          </w:p>
        </w:tc>
      </w:tr>
      <w:tr w14:paraId="155E6645">
        <w:trPr>
          <w:trHeight w:val="406" w:hRule="atLeast"/>
        </w:trPr>
        <w:tc>
          <w:tcPr>
            <w:tcW w:w="1376" w:type="dxa"/>
            <w:tcBorders>
              <w:top w:val="single" w:color="auto" w:sz="4" w:space="0"/>
              <w:left w:val="single" w:color="auto" w:sz="4" w:space="0"/>
              <w:bottom w:val="single" w:color="auto" w:sz="4" w:space="0"/>
              <w:right w:val="single" w:color="auto" w:sz="4" w:space="0"/>
            </w:tcBorders>
            <w:vAlign w:val="center"/>
          </w:tcPr>
          <w:p w14:paraId="53B590F3">
            <w:pPr>
              <w:spacing w:line="240" w:lineRule="atLeast"/>
              <w:jc w:val="center"/>
            </w:pPr>
            <w:r>
              <w:rPr>
                <w:rFonts w:hint="eastAsia" w:ascii="仿宋" w:hAnsi="仿宋" w:eastAsia="仿宋" w:cs="仿宋"/>
                <w:sz w:val="24"/>
                <w:szCs w:val="24"/>
              </w:rPr>
              <w:t>开课学期</w:t>
            </w:r>
          </w:p>
        </w:tc>
        <w:tc>
          <w:tcPr>
            <w:tcW w:w="1174" w:type="dxa"/>
            <w:tcBorders>
              <w:top w:val="single" w:color="auto" w:sz="4" w:space="0"/>
              <w:left w:val="single" w:color="auto" w:sz="4" w:space="0"/>
              <w:bottom w:val="single" w:color="auto" w:sz="4" w:space="0"/>
              <w:right w:val="single" w:color="auto" w:sz="4" w:space="0"/>
            </w:tcBorders>
            <w:vAlign w:val="center"/>
          </w:tcPr>
          <w:p w14:paraId="16BD6F56">
            <w:pPr>
              <w:spacing w:line="240" w:lineRule="atLeast"/>
              <w:jc w:val="center"/>
            </w:pPr>
            <w:r>
              <w:rPr>
                <w:rFonts w:hint="eastAsia" w:ascii="仿宋" w:hAnsi="仿宋" w:eastAsia="仿宋" w:cs="仿宋"/>
                <w:sz w:val="24"/>
                <w:szCs w:val="24"/>
              </w:rPr>
              <w:t>1、2、3、4</w:t>
            </w:r>
          </w:p>
        </w:tc>
        <w:tc>
          <w:tcPr>
            <w:tcW w:w="1202" w:type="dxa"/>
            <w:gridSpan w:val="2"/>
            <w:tcBorders>
              <w:top w:val="single" w:color="auto" w:sz="4" w:space="0"/>
              <w:left w:val="single" w:color="auto" w:sz="4" w:space="0"/>
              <w:bottom w:val="single" w:color="auto" w:sz="4" w:space="0"/>
              <w:right w:val="single" w:color="auto" w:sz="4" w:space="0"/>
            </w:tcBorders>
            <w:vAlign w:val="center"/>
          </w:tcPr>
          <w:p w14:paraId="4E1E9E5A">
            <w:pPr>
              <w:spacing w:line="240" w:lineRule="atLeast"/>
              <w:jc w:val="center"/>
            </w:pPr>
            <w:r>
              <w:rPr>
                <w:rFonts w:hint="eastAsia" w:ascii="仿宋" w:hAnsi="仿宋" w:eastAsia="仿宋" w:cs="仿宋"/>
                <w:sz w:val="24"/>
                <w:szCs w:val="24"/>
              </w:rPr>
              <w:t>学分</w:t>
            </w:r>
          </w:p>
        </w:tc>
        <w:tc>
          <w:tcPr>
            <w:tcW w:w="1606" w:type="dxa"/>
            <w:gridSpan w:val="2"/>
            <w:tcBorders>
              <w:top w:val="single" w:color="auto" w:sz="4" w:space="0"/>
              <w:left w:val="single" w:color="auto" w:sz="4" w:space="0"/>
              <w:bottom w:val="single" w:color="auto" w:sz="4" w:space="0"/>
              <w:right w:val="single" w:color="auto" w:sz="4" w:space="0"/>
            </w:tcBorders>
            <w:vAlign w:val="center"/>
          </w:tcPr>
          <w:p w14:paraId="0B0496D9">
            <w:pPr>
              <w:spacing w:line="240" w:lineRule="atLeast"/>
              <w:jc w:val="center"/>
            </w:pPr>
            <w:r>
              <w:rPr>
                <w:rFonts w:hint="eastAsia" w:ascii="仿宋" w:hAnsi="仿宋" w:eastAsia="仿宋" w:cs="仿宋"/>
                <w:sz w:val="24"/>
                <w:szCs w:val="24"/>
              </w:rPr>
              <w:t>2（每学期0</w:t>
            </w:r>
            <w:r>
              <w:rPr>
                <w:rFonts w:ascii="仿宋" w:hAnsi="仿宋" w:eastAsia="仿宋" w:cs="仿宋"/>
                <w:sz w:val="24"/>
                <w:szCs w:val="24"/>
              </w:rPr>
              <w:t>.5</w:t>
            </w:r>
            <w:r>
              <w:rPr>
                <w:rFonts w:hint="eastAsia" w:ascii="仿宋" w:hAnsi="仿宋" w:eastAsia="仿宋" w:cs="仿宋"/>
                <w:sz w:val="24"/>
                <w:szCs w:val="24"/>
              </w:rPr>
              <w:t>）</w:t>
            </w:r>
          </w:p>
        </w:tc>
        <w:tc>
          <w:tcPr>
            <w:tcW w:w="1427" w:type="dxa"/>
            <w:gridSpan w:val="3"/>
            <w:tcBorders>
              <w:top w:val="single" w:color="auto" w:sz="4" w:space="0"/>
              <w:left w:val="single" w:color="auto" w:sz="4" w:space="0"/>
              <w:bottom w:val="single" w:color="auto" w:sz="4" w:space="0"/>
              <w:right w:val="single" w:color="auto" w:sz="4" w:space="0"/>
            </w:tcBorders>
            <w:vAlign w:val="center"/>
          </w:tcPr>
          <w:p w14:paraId="649ED4BF">
            <w:pPr>
              <w:spacing w:line="240" w:lineRule="atLeast"/>
              <w:jc w:val="center"/>
            </w:pPr>
            <w:r>
              <w:rPr>
                <w:rFonts w:hint="eastAsia" w:ascii="仿宋" w:hAnsi="仿宋" w:eastAsia="仿宋" w:cs="仿宋"/>
                <w:sz w:val="24"/>
                <w:szCs w:val="24"/>
              </w:rPr>
              <w:t>课程负责人</w:t>
            </w:r>
          </w:p>
        </w:tc>
        <w:tc>
          <w:tcPr>
            <w:tcW w:w="2363" w:type="dxa"/>
            <w:gridSpan w:val="6"/>
            <w:tcBorders>
              <w:top w:val="single" w:color="auto" w:sz="4" w:space="0"/>
              <w:left w:val="single" w:color="auto" w:sz="4" w:space="0"/>
              <w:bottom w:val="single" w:color="auto" w:sz="4" w:space="0"/>
              <w:right w:val="single" w:color="auto" w:sz="4" w:space="0"/>
            </w:tcBorders>
            <w:vAlign w:val="center"/>
          </w:tcPr>
          <w:p w14:paraId="39F3369E">
            <w:pPr>
              <w:spacing w:line="240" w:lineRule="atLeast"/>
              <w:jc w:val="center"/>
            </w:pPr>
            <w:r>
              <w:rPr>
                <w:rFonts w:hint="eastAsia" w:ascii="仿宋" w:hAnsi="仿宋" w:eastAsia="仿宋" w:cs="仿宋"/>
                <w:sz w:val="24"/>
                <w:szCs w:val="24"/>
              </w:rPr>
              <w:t>朱凌杰</w:t>
            </w:r>
          </w:p>
        </w:tc>
      </w:tr>
      <w:tr w14:paraId="5CEA0FAF">
        <w:trPr>
          <w:trHeight w:val="485" w:hRule="atLeast"/>
        </w:trPr>
        <w:tc>
          <w:tcPr>
            <w:tcW w:w="1376" w:type="dxa"/>
            <w:tcBorders>
              <w:top w:val="single" w:color="auto" w:sz="4" w:space="0"/>
              <w:left w:val="single" w:color="auto" w:sz="4" w:space="0"/>
              <w:bottom w:val="single" w:color="auto" w:sz="4" w:space="0"/>
              <w:right w:val="single" w:color="auto" w:sz="4" w:space="0"/>
            </w:tcBorders>
            <w:vAlign w:val="center"/>
          </w:tcPr>
          <w:p w14:paraId="60B4D9DF">
            <w:pPr>
              <w:spacing w:line="240" w:lineRule="atLeast"/>
              <w:jc w:val="center"/>
            </w:pPr>
            <w:r>
              <w:rPr>
                <w:rFonts w:hint="eastAsia" w:ascii="仿宋" w:hAnsi="仿宋" w:eastAsia="仿宋" w:cs="仿宋"/>
                <w:sz w:val="24"/>
                <w:szCs w:val="24"/>
              </w:rPr>
              <w:t>总学时</w:t>
            </w:r>
          </w:p>
        </w:tc>
        <w:tc>
          <w:tcPr>
            <w:tcW w:w="1174" w:type="dxa"/>
            <w:tcBorders>
              <w:top w:val="single" w:color="auto" w:sz="4" w:space="0"/>
              <w:left w:val="single" w:color="auto" w:sz="4" w:space="0"/>
              <w:bottom w:val="single" w:color="auto" w:sz="4" w:space="0"/>
              <w:right w:val="single" w:color="auto" w:sz="4" w:space="0"/>
            </w:tcBorders>
            <w:vAlign w:val="center"/>
          </w:tcPr>
          <w:p w14:paraId="728055E3">
            <w:pPr>
              <w:spacing w:line="240" w:lineRule="atLeast"/>
              <w:jc w:val="center"/>
            </w:pPr>
            <w:r>
              <w:rPr>
                <w:rFonts w:hint="eastAsia" w:ascii="仿宋" w:hAnsi="仿宋" w:eastAsia="仿宋" w:cs="仿宋"/>
                <w:sz w:val="24"/>
                <w:szCs w:val="24"/>
              </w:rPr>
              <w:t>64</w:t>
            </w:r>
          </w:p>
        </w:tc>
        <w:tc>
          <w:tcPr>
            <w:tcW w:w="1202" w:type="dxa"/>
            <w:gridSpan w:val="2"/>
            <w:tcBorders>
              <w:top w:val="single" w:color="auto" w:sz="4" w:space="0"/>
              <w:left w:val="single" w:color="auto" w:sz="4" w:space="0"/>
              <w:bottom w:val="single" w:color="auto" w:sz="4" w:space="0"/>
              <w:right w:val="single" w:color="auto" w:sz="4" w:space="0"/>
            </w:tcBorders>
            <w:vAlign w:val="center"/>
          </w:tcPr>
          <w:p w14:paraId="4C61E52D">
            <w:pPr>
              <w:spacing w:line="240" w:lineRule="atLeast"/>
              <w:jc w:val="center"/>
            </w:pPr>
            <w:r>
              <w:rPr>
                <w:rFonts w:hint="eastAsia" w:ascii="仿宋" w:hAnsi="仿宋" w:eastAsia="仿宋" w:cs="仿宋"/>
                <w:sz w:val="24"/>
                <w:szCs w:val="24"/>
              </w:rPr>
              <w:t>理论学时</w:t>
            </w:r>
          </w:p>
        </w:tc>
        <w:tc>
          <w:tcPr>
            <w:tcW w:w="1606" w:type="dxa"/>
            <w:gridSpan w:val="2"/>
            <w:tcBorders>
              <w:top w:val="single" w:color="auto" w:sz="4" w:space="0"/>
              <w:left w:val="single" w:color="auto" w:sz="4" w:space="0"/>
              <w:bottom w:val="single" w:color="auto" w:sz="4" w:space="0"/>
              <w:right w:val="single" w:color="auto" w:sz="4" w:space="0"/>
            </w:tcBorders>
            <w:vAlign w:val="center"/>
          </w:tcPr>
          <w:p w14:paraId="38E92EA1">
            <w:pPr>
              <w:spacing w:line="240" w:lineRule="atLeast"/>
              <w:jc w:val="center"/>
            </w:pPr>
            <w:r>
              <w:rPr>
                <w:rFonts w:hint="eastAsia" w:ascii="仿宋" w:hAnsi="仿宋" w:eastAsia="仿宋" w:cs="仿宋"/>
                <w:sz w:val="24"/>
                <w:szCs w:val="24"/>
              </w:rPr>
              <w:t>0</w:t>
            </w:r>
          </w:p>
        </w:tc>
        <w:tc>
          <w:tcPr>
            <w:tcW w:w="1427" w:type="dxa"/>
            <w:gridSpan w:val="3"/>
            <w:tcBorders>
              <w:top w:val="single" w:color="auto" w:sz="4" w:space="0"/>
              <w:left w:val="single" w:color="auto" w:sz="4" w:space="0"/>
              <w:bottom w:val="single" w:color="auto" w:sz="4" w:space="0"/>
              <w:right w:val="single" w:color="auto" w:sz="4" w:space="0"/>
            </w:tcBorders>
            <w:vAlign w:val="center"/>
          </w:tcPr>
          <w:p w14:paraId="0E385328">
            <w:pPr>
              <w:spacing w:line="240" w:lineRule="atLeast"/>
              <w:jc w:val="center"/>
            </w:pPr>
            <w:r>
              <w:rPr>
                <w:rFonts w:hint="eastAsia" w:ascii="仿宋" w:hAnsi="仿宋" w:eastAsia="仿宋" w:cs="仿宋"/>
                <w:sz w:val="24"/>
                <w:szCs w:val="24"/>
              </w:rPr>
              <w:t>实践学时</w:t>
            </w:r>
          </w:p>
        </w:tc>
        <w:tc>
          <w:tcPr>
            <w:tcW w:w="2363" w:type="dxa"/>
            <w:gridSpan w:val="6"/>
            <w:tcBorders>
              <w:top w:val="single" w:color="auto" w:sz="4" w:space="0"/>
              <w:left w:val="single" w:color="auto" w:sz="4" w:space="0"/>
              <w:bottom w:val="single" w:color="auto" w:sz="4" w:space="0"/>
              <w:right w:val="single" w:color="auto" w:sz="4" w:space="0"/>
            </w:tcBorders>
            <w:vAlign w:val="center"/>
          </w:tcPr>
          <w:p w14:paraId="52EE0970">
            <w:pPr>
              <w:spacing w:line="240" w:lineRule="atLeast"/>
              <w:jc w:val="center"/>
            </w:pPr>
            <w:r>
              <w:rPr>
                <w:rFonts w:hint="eastAsia" w:ascii="仿宋" w:hAnsi="仿宋" w:eastAsia="仿宋" w:cs="仿宋"/>
                <w:sz w:val="24"/>
                <w:szCs w:val="24"/>
              </w:rPr>
              <w:t>64</w:t>
            </w:r>
          </w:p>
        </w:tc>
      </w:tr>
      <w:tr w14:paraId="572B3CEF">
        <w:trPr>
          <w:trHeight w:val="454" w:hRule="atLeast"/>
        </w:trPr>
        <w:tc>
          <w:tcPr>
            <w:tcW w:w="1376" w:type="dxa"/>
            <w:tcBorders>
              <w:top w:val="single" w:color="auto" w:sz="4" w:space="0"/>
              <w:left w:val="single" w:color="auto" w:sz="4" w:space="0"/>
              <w:bottom w:val="single" w:color="auto" w:sz="4" w:space="0"/>
              <w:right w:val="single" w:color="auto" w:sz="4" w:space="0"/>
            </w:tcBorders>
            <w:vAlign w:val="center"/>
          </w:tcPr>
          <w:p w14:paraId="0A49CDD2">
            <w:pPr>
              <w:spacing w:line="240" w:lineRule="atLeast"/>
              <w:jc w:val="center"/>
            </w:pPr>
            <w:r>
              <w:rPr>
                <w:rFonts w:hint="eastAsia" w:ascii="仿宋" w:hAnsi="仿宋" w:eastAsia="仿宋" w:cs="仿宋"/>
                <w:sz w:val="24"/>
                <w:szCs w:val="24"/>
              </w:rPr>
              <w:t>先修课程与后续课程</w:t>
            </w:r>
          </w:p>
        </w:tc>
        <w:tc>
          <w:tcPr>
            <w:tcW w:w="7772" w:type="dxa"/>
            <w:gridSpan w:val="14"/>
            <w:tcBorders>
              <w:top w:val="single" w:color="auto" w:sz="4" w:space="0"/>
              <w:left w:val="single" w:color="auto" w:sz="4" w:space="0"/>
              <w:bottom w:val="single" w:color="auto" w:sz="4" w:space="0"/>
              <w:right w:val="single" w:color="auto" w:sz="4" w:space="0"/>
            </w:tcBorders>
            <w:vAlign w:val="center"/>
          </w:tcPr>
          <w:p w14:paraId="31F9004B">
            <w:pPr>
              <w:rPr>
                <w:rFonts w:hint="eastAsia" w:ascii="仿宋" w:hAnsi="仿宋" w:eastAsia="仿宋" w:cs="仿宋"/>
                <w:sz w:val="24"/>
                <w:szCs w:val="24"/>
              </w:rPr>
            </w:pPr>
            <w:r>
              <w:rPr>
                <w:rFonts w:hint="eastAsia" w:ascii="仿宋" w:hAnsi="仿宋" w:eastAsia="仿宋" w:cs="仿宋"/>
                <w:sz w:val="24"/>
                <w:szCs w:val="24"/>
              </w:rPr>
              <w:t>先修课程：无</w:t>
            </w:r>
          </w:p>
          <w:p w14:paraId="02ADBCCA">
            <w:pPr>
              <w:tabs>
                <w:tab w:val="left" w:pos="720"/>
              </w:tabs>
              <w:jc w:val="left"/>
            </w:pPr>
            <w:r>
              <w:rPr>
                <w:rFonts w:hint="eastAsia" w:ascii="仿宋" w:hAnsi="仿宋" w:eastAsia="仿宋" w:cs="仿宋"/>
                <w:sz w:val="24"/>
                <w:szCs w:val="24"/>
              </w:rPr>
              <w:t>后续课程：《钢琴即兴伴奏》、《钢琴演奏》、《钢琴重奏》、《钢琴艺术史》</w:t>
            </w:r>
          </w:p>
        </w:tc>
      </w:tr>
      <w:tr w14:paraId="0CFC202A">
        <w:trPr>
          <w:trHeight w:val="454" w:hRule="atLeast"/>
        </w:trPr>
        <w:tc>
          <w:tcPr>
            <w:tcW w:w="1376" w:type="dxa"/>
            <w:tcBorders>
              <w:top w:val="single" w:color="auto" w:sz="4" w:space="0"/>
              <w:left w:val="single" w:color="auto" w:sz="4" w:space="0"/>
              <w:bottom w:val="single" w:color="auto" w:sz="4" w:space="0"/>
              <w:right w:val="single" w:color="auto" w:sz="4" w:space="0"/>
            </w:tcBorders>
            <w:vAlign w:val="center"/>
          </w:tcPr>
          <w:p w14:paraId="429B7B58">
            <w:pPr>
              <w:spacing w:line="240" w:lineRule="atLeast"/>
              <w:jc w:val="center"/>
            </w:pPr>
            <w:r>
              <w:rPr>
                <w:rFonts w:hint="eastAsia" w:ascii="仿宋" w:hAnsi="仿宋" w:eastAsia="仿宋" w:cs="仿宋"/>
                <w:sz w:val="24"/>
                <w:szCs w:val="24"/>
              </w:rPr>
              <w:t>适用专业</w:t>
            </w:r>
          </w:p>
        </w:tc>
        <w:tc>
          <w:tcPr>
            <w:tcW w:w="7772" w:type="dxa"/>
            <w:gridSpan w:val="14"/>
            <w:tcBorders>
              <w:top w:val="single" w:color="auto" w:sz="4" w:space="0"/>
              <w:left w:val="single" w:color="auto" w:sz="4" w:space="0"/>
              <w:bottom w:val="single" w:color="auto" w:sz="4" w:space="0"/>
              <w:right w:val="single" w:color="auto" w:sz="4" w:space="0"/>
            </w:tcBorders>
            <w:vAlign w:val="center"/>
          </w:tcPr>
          <w:p w14:paraId="25DB3DF8">
            <w:r>
              <w:rPr>
                <w:rFonts w:hint="eastAsia" w:ascii="仿宋" w:hAnsi="仿宋" w:eastAsia="仿宋" w:cs="仿宋"/>
                <w:sz w:val="24"/>
                <w:szCs w:val="24"/>
              </w:rPr>
              <w:t>音乐学（师范）专业</w:t>
            </w:r>
          </w:p>
        </w:tc>
      </w:tr>
      <w:tr w14:paraId="07AC5309">
        <w:tc>
          <w:tcPr>
            <w:tcW w:w="1376" w:type="dxa"/>
            <w:tcBorders>
              <w:top w:val="single" w:color="auto" w:sz="4" w:space="0"/>
              <w:left w:val="single" w:color="auto" w:sz="4" w:space="0"/>
              <w:bottom w:val="single" w:color="auto" w:sz="4" w:space="0"/>
              <w:right w:val="single" w:color="auto" w:sz="4" w:space="0"/>
            </w:tcBorders>
            <w:vAlign w:val="center"/>
          </w:tcPr>
          <w:p w14:paraId="12C17503">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A</w:t>
            </w:r>
          </w:p>
          <w:p w14:paraId="4D77F15A">
            <w:pPr>
              <w:spacing w:line="240" w:lineRule="atLeast"/>
              <w:jc w:val="center"/>
            </w:pPr>
            <w:r>
              <w:rPr>
                <w:rFonts w:hint="eastAsia" w:ascii="仿宋" w:hAnsi="仿宋" w:eastAsia="仿宋" w:cs="仿宋"/>
                <w:sz w:val="24"/>
                <w:szCs w:val="24"/>
              </w:rPr>
              <w:t>参考教材</w:t>
            </w:r>
          </w:p>
        </w:tc>
        <w:tc>
          <w:tcPr>
            <w:tcW w:w="7772" w:type="dxa"/>
            <w:gridSpan w:val="14"/>
            <w:tcBorders>
              <w:top w:val="single" w:color="auto" w:sz="4" w:space="0"/>
              <w:left w:val="single" w:color="auto" w:sz="4" w:space="0"/>
              <w:bottom w:val="single" w:color="auto" w:sz="4" w:space="0"/>
              <w:right w:val="single" w:color="auto" w:sz="4" w:space="0"/>
            </w:tcBorders>
            <w:vAlign w:val="center"/>
          </w:tcPr>
          <w:p w14:paraId="4F6E6CE2">
            <w:pPr>
              <w:rPr>
                <w:rFonts w:hint="eastAsia" w:ascii="仿宋" w:hAnsi="仿宋" w:eastAsia="仿宋" w:cs="仿宋"/>
                <w:sz w:val="24"/>
                <w:szCs w:val="24"/>
              </w:rPr>
            </w:pPr>
            <w:r>
              <w:rPr>
                <w:rFonts w:hint="eastAsia" w:ascii="仿宋" w:hAnsi="仿宋" w:eastAsia="仿宋" w:cs="仿宋"/>
                <w:sz w:val="24"/>
                <w:szCs w:val="24"/>
              </w:rPr>
              <w:t>[1]韩林申《钢琴基础教程》（1</w:t>
            </w:r>
            <w:r>
              <w:rPr>
                <w:rFonts w:ascii="仿宋" w:hAnsi="仿宋" w:eastAsia="仿宋" w:cs="仿宋"/>
                <w:sz w:val="24"/>
                <w:szCs w:val="24"/>
              </w:rPr>
              <w:t>-4</w:t>
            </w:r>
            <w:r>
              <w:rPr>
                <w:rFonts w:hint="eastAsia" w:ascii="仿宋" w:hAnsi="仿宋" w:eastAsia="仿宋" w:cs="仿宋"/>
                <w:sz w:val="24"/>
                <w:szCs w:val="24"/>
              </w:rPr>
              <w:t>），上海音乐出版社</w:t>
            </w:r>
          </w:p>
          <w:p w14:paraId="22699B59">
            <w:pPr>
              <w:spacing w:line="360" w:lineRule="auto"/>
              <w:rPr>
                <w:rFonts w:hint="eastAsia" w:ascii="仿宋" w:hAnsi="仿宋" w:eastAsia="仿宋" w:cs="仿宋"/>
                <w:sz w:val="24"/>
                <w:szCs w:val="24"/>
              </w:rPr>
            </w:pPr>
            <w:r>
              <w:rPr>
                <w:rFonts w:hint="eastAsia" w:ascii="仿宋" w:hAnsi="仿宋" w:eastAsia="仿宋" w:cs="仿宋"/>
                <w:sz w:val="24"/>
                <w:szCs w:val="24"/>
              </w:rPr>
              <w:t>[2]车尔尼《钢琴初步教程 作品599》，人民音乐出版社</w:t>
            </w:r>
            <w:r>
              <w:rPr>
                <w:rFonts w:hint="eastAsia" w:ascii="仿宋" w:hAnsi="仿宋" w:eastAsia="仿宋" w:cs="仿宋"/>
                <w:sz w:val="24"/>
                <w:szCs w:val="24"/>
                <w:lang w:eastAsia="zh-CN"/>
              </w:rPr>
              <w:t>，ISBN：9787103020609</w:t>
            </w:r>
          </w:p>
          <w:p w14:paraId="7BA3F5B6">
            <w:pPr>
              <w:spacing w:line="360" w:lineRule="auto"/>
              <w:rPr>
                <w:rFonts w:hint="eastAsia" w:ascii="仿宋" w:hAnsi="仿宋" w:eastAsia="仿宋" w:cs="仿宋"/>
                <w:sz w:val="24"/>
                <w:szCs w:val="24"/>
              </w:rPr>
            </w:pPr>
            <w:r>
              <w:rPr>
                <w:rFonts w:hint="eastAsia" w:ascii="仿宋" w:hAnsi="仿宋" w:eastAsia="仿宋" w:cs="仿宋"/>
                <w:sz w:val="24"/>
                <w:szCs w:val="24"/>
              </w:rPr>
              <w:t>[3]车尔尼《24首钢琴左手练习曲 作品718》，人民音乐出版社</w:t>
            </w:r>
            <w:r>
              <w:rPr>
                <w:rFonts w:hint="eastAsia" w:ascii="仿宋" w:hAnsi="仿宋" w:eastAsia="仿宋" w:cs="仿宋"/>
                <w:sz w:val="24"/>
                <w:szCs w:val="24"/>
                <w:lang w:eastAsia="zh-CN"/>
              </w:rPr>
              <w:t>，ISBN：9787103026915</w:t>
            </w:r>
          </w:p>
          <w:p w14:paraId="7B6CA318">
            <w:pPr>
              <w:spacing w:line="360" w:lineRule="auto"/>
              <w:rPr>
                <w:rFonts w:hint="eastAsia" w:ascii="仿宋" w:hAnsi="仿宋" w:eastAsia="仿宋" w:cs="仿宋"/>
                <w:sz w:val="24"/>
                <w:szCs w:val="24"/>
              </w:rPr>
            </w:pPr>
            <w:r>
              <w:rPr>
                <w:rFonts w:hint="eastAsia" w:ascii="仿宋" w:hAnsi="仿宋" w:eastAsia="仿宋" w:cs="仿宋"/>
                <w:sz w:val="24"/>
                <w:szCs w:val="24"/>
              </w:rPr>
              <w:t>[4]巴赫《初级钢琴曲集 》，人民音乐出版社</w:t>
            </w:r>
            <w:r>
              <w:rPr>
                <w:rFonts w:hint="eastAsia" w:ascii="仿宋" w:hAnsi="仿宋" w:eastAsia="仿宋" w:cs="仿宋"/>
                <w:sz w:val="24"/>
                <w:szCs w:val="24"/>
                <w:lang w:eastAsia="zh-CN"/>
              </w:rPr>
              <w:t>，ISBN：9787103020944</w:t>
            </w:r>
          </w:p>
          <w:p w14:paraId="65B81263">
            <w:pPr>
              <w:spacing w:line="360" w:lineRule="auto"/>
              <w:rPr>
                <w:rFonts w:hint="eastAsia" w:ascii="仿宋" w:hAnsi="仿宋" w:eastAsia="仿宋" w:cs="仿宋"/>
                <w:sz w:val="24"/>
                <w:szCs w:val="24"/>
                <w:lang w:val="en-US" w:eastAsia="zh-CN"/>
              </w:rPr>
            </w:pPr>
            <w:r>
              <w:rPr>
                <w:rFonts w:hint="eastAsia" w:ascii="仿宋" w:hAnsi="仿宋" w:eastAsia="仿宋" w:cs="仿宋"/>
                <w:sz w:val="24"/>
                <w:szCs w:val="24"/>
              </w:rPr>
              <w:t>[5]哈农《哈农钢琴练指法》，人民音乐出版社</w:t>
            </w:r>
            <w:r>
              <w:rPr>
                <w:rFonts w:hint="eastAsia" w:ascii="仿宋" w:hAnsi="仿宋" w:eastAsia="仿宋" w:cs="仿宋"/>
                <w:sz w:val="24"/>
                <w:szCs w:val="24"/>
                <w:lang w:eastAsia="zh-CN"/>
              </w:rPr>
              <w:t>，</w:t>
            </w:r>
            <w:r>
              <w:rPr>
                <w:rFonts w:ascii="宋体" w:hAnsi="宋体" w:eastAsia="宋体" w:cs="宋体"/>
                <w:sz w:val="24"/>
                <w:szCs w:val="24"/>
              </w:rPr>
              <w:t>ISBN</w:t>
            </w:r>
            <w:r>
              <w:rPr>
                <w:rFonts w:hint="eastAsia" w:ascii="宋体" w:hAnsi="宋体" w:cs="宋体"/>
                <w:sz w:val="24"/>
                <w:szCs w:val="24"/>
              </w:rPr>
              <w:t>：</w:t>
            </w:r>
            <w:r>
              <w:rPr>
                <w:rFonts w:ascii="宋体" w:hAnsi="宋体" w:eastAsia="宋体" w:cs="宋体"/>
                <w:sz w:val="24"/>
                <w:szCs w:val="24"/>
              </w:rPr>
              <w:t>9787103021767</w:t>
            </w:r>
          </w:p>
          <w:p w14:paraId="1CC33E59">
            <w:pPr>
              <w:spacing w:line="360" w:lineRule="auto"/>
              <w:rPr>
                <w:rFonts w:hint="eastAsia" w:ascii="仿宋" w:hAnsi="仿宋" w:eastAsia="仿宋" w:cs="仿宋"/>
                <w:sz w:val="24"/>
                <w:szCs w:val="24"/>
              </w:rPr>
            </w:pPr>
            <w:r>
              <w:rPr>
                <w:rFonts w:hint="eastAsia" w:ascii="仿宋" w:hAnsi="仿宋" w:eastAsia="仿宋" w:cs="仿宋"/>
                <w:sz w:val="24"/>
                <w:szCs w:val="24"/>
                <w:lang w:val="en-US" w:eastAsia="zh-CN"/>
              </w:rPr>
              <w:t>[6]韩林申，李晓平，徐斐，周荷君，上海音乐出版社，《钢琴基础教程1 -4》，ISBN：9787806672693</w:t>
            </w:r>
          </w:p>
          <w:p w14:paraId="3BE621A1">
            <w:pPr>
              <w:tabs>
                <w:tab w:val="left" w:pos="2219"/>
              </w:tabs>
              <w:suppressAutoHyphens/>
              <w:autoSpaceDE w:val="0"/>
              <w:ind w:leftChars="0" w:rightChars="55" w:firstLineChars="0"/>
            </w:pPr>
            <w:r>
              <w:rPr>
                <w:rFonts w:hint="eastAsia" w:ascii="仿宋" w:hAnsi="仿宋" w:eastAsia="仿宋" w:cs="仿宋"/>
                <w:sz w:val="24"/>
                <w:szCs w:val="24"/>
              </w:rPr>
              <w:t>等国内外钢琴练习曲与作品。</w:t>
            </w:r>
          </w:p>
        </w:tc>
      </w:tr>
      <w:tr w14:paraId="5E9F9B4A">
        <w:tc>
          <w:tcPr>
            <w:tcW w:w="1376" w:type="dxa"/>
            <w:tcBorders>
              <w:top w:val="single" w:color="auto" w:sz="4" w:space="0"/>
              <w:left w:val="single" w:color="auto" w:sz="4" w:space="0"/>
              <w:bottom w:val="single" w:color="auto" w:sz="4" w:space="0"/>
              <w:right w:val="single" w:color="auto" w:sz="4" w:space="0"/>
            </w:tcBorders>
            <w:vAlign w:val="center"/>
          </w:tcPr>
          <w:p w14:paraId="73A285FF">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B</w:t>
            </w:r>
          </w:p>
          <w:p w14:paraId="773B84BE">
            <w:pPr>
              <w:spacing w:line="240" w:lineRule="atLeast"/>
              <w:jc w:val="center"/>
            </w:pPr>
            <w:r>
              <w:rPr>
                <w:rFonts w:hint="eastAsia" w:ascii="仿宋" w:hAnsi="仿宋" w:eastAsia="仿宋" w:cs="仿宋"/>
                <w:sz w:val="24"/>
                <w:szCs w:val="24"/>
              </w:rPr>
              <w:t>主要参考书籍</w:t>
            </w:r>
          </w:p>
        </w:tc>
        <w:tc>
          <w:tcPr>
            <w:tcW w:w="7772" w:type="dxa"/>
            <w:gridSpan w:val="14"/>
            <w:tcBorders>
              <w:top w:val="single" w:color="auto" w:sz="4" w:space="0"/>
              <w:left w:val="single" w:color="auto" w:sz="4" w:space="0"/>
              <w:bottom w:val="single" w:color="auto" w:sz="4" w:space="0"/>
              <w:right w:val="single" w:color="auto" w:sz="4" w:space="0"/>
            </w:tcBorders>
            <w:vAlign w:val="center"/>
          </w:tcPr>
          <w:p w14:paraId="2378629F">
            <w:pPr>
              <w:rPr>
                <w:rFonts w:hint="eastAsia" w:ascii="仿宋" w:hAnsi="仿宋" w:eastAsia="仿宋" w:cs="仿宋"/>
                <w:sz w:val="24"/>
                <w:szCs w:val="24"/>
              </w:rPr>
            </w:pPr>
            <w:r>
              <w:rPr>
                <w:rFonts w:hint="eastAsia" w:ascii="仿宋" w:hAnsi="仿宋" w:eastAsia="仿宋" w:cs="仿宋"/>
                <w:sz w:val="24"/>
                <w:szCs w:val="24"/>
              </w:rPr>
              <w:t>[1]周薇《西方钢琴艺术史》  ，上海教育出版社 ，2003.</w:t>
            </w:r>
          </w:p>
          <w:p w14:paraId="75E00EC7">
            <w:pPr>
              <w:rPr>
                <w:rFonts w:hint="eastAsia" w:ascii="仿宋" w:hAnsi="仿宋" w:eastAsia="仿宋" w:cs="仿宋"/>
                <w:sz w:val="24"/>
                <w:szCs w:val="24"/>
              </w:rPr>
            </w:pPr>
            <w:r>
              <w:rPr>
                <w:rFonts w:hint="eastAsia" w:ascii="仿宋" w:hAnsi="仿宋" w:eastAsia="仿宋" w:cs="仿宋"/>
                <w:sz w:val="24"/>
                <w:szCs w:val="24"/>
              </w:rPr>
              <w:t>[</w:t>
            </w:r>
            <w:r>
              <w:rPr>
                <w:rFonts w:ascii="仿宋" w:hAnsi="仿宋" w:eastAsia="仿宋" w:cs="仿宋"/>
                <w:sz w:val="24"/>
                <w:szCs w:val="24"/>
              </w:rPr>
              <w:t>2</w:t>
            </w:r>
            <w:r>
              <w:rPr>
                <w:rFonts w:hint="eastAsia" w:ascii="仿宋" w:hAnsi="仿宋" w:eastAsia="仿宋" w:cs="仿宋"/>
                <w:sz w:val="24"/>
                <w:szCs w:val="24"/>
              </w:rPr>
              <w:t>]舒伯特《舒伯特钢琴奏鸣曲集》，人民音乐出版社，1982.</w:t>
            </w:r>
          </w:p>
          <w:p w14:paraId="6C1A7C8B">
            <w:pPr>
              <w:rPr>
                <w:rFonts w:hint="eastAsia" w:ascii="仿宋" w:hAnsi="仿宋" w:eastAsia="仿宋" w:cs="仿宋"/>
                <w:sz w:val="24"/>
                <w:szCs w:val="24"/>
              </w:rPr>
            </w:pPr>
            <w:r>
              <w:rPr>
                <w:rFonts w:hint="eastAsia" w:ascii="仿宋" w:hAnsi="仿宋" w:eastAsia="仿宋" w:cs="仿宋"/>
                <w:sz w:val="24"/>
                <w:szCs w:val="24"/>
              </w:rPr>
              <w:t>[</w:t>
            </w:r>
            <w:r>
              <w:rPr>
                <w:rFonts w:ascii="仿宋" w:hAnsi="仿宋" w:eastAsia="仿宋" w:cs="仿宋"/>
                <w:sz w:val="24"/>
                <w:szCs w:val="24"/>
              </w:rPr>
              <w:t>3</w:t>
            </w:r>
            <w:r>
              <w:rPr>
                <w:rFonts w:hint="eastAsia" w:ascii="仿宋" w:hAnsi="仿宋" w:eastAsia="仿宋" w:cs="仿宋"/>
                <w:sz w:val="24"/>
                <w:szCs w:val="24"/>
              </w:rPr>
              <w:t>]巴赫《巴赫法国组曲》，上海音乐出版社，1994.</w:t>
            </w:r>
          </w:p>
          <w:p w14:paraId="58568789">
            <w:pPr>
              <w:rPr>
                <w:rFonts w:hint="eastAsia" w:ascii="仿宋" w:hAnsi="仿宋" w:eastAsia="仿宋" w:cs="仿宋"/>
                <w:sz w:val="24"/>
                <w:szCs w:val="24"/>
              </w:rPr>
            </w:pPr>
            <w:r>
              <w:rPr>
                <w:rFonts w:hint="eastAsia" w:ascii="仿宋" w:hAnsi="仿宋" w:eastAsia="仿宋" w:cs="仿宋"/>
                <w:sz w:val="24"/>
                <w:szCs w:val="24"/>
              </w:rPr>
              <w:t>[</w:t>
            </w:r>
            <w:r>
              <w:rPr>
                <w:rFonts w:ascii="仿宋" w:hAnsi="仿宋" w:eastAsia="仿宋" w:cs="仿宋"/>
                <w:sz w:val="24"/>
                <w:szCs w:val="24"/>
              </w:rPr>
              <w:t>4</w:t>
            </w:r>
            <w:r>
              <w:rPr>
                <w:rFonts w:hint="eastAsia" w:ascii="仿宋" w:hAnsi="仿宋" w:eastAsia="仿宋" w:cs="仿宋"/>
                <w:sz w:val="24"/>
                <w:szCs w:val="24"/>
              </w:rPr>
              <w:t xml:space="preserve">]肖邦《肖邦练习曲》，人民音乐出版社 ，1995. </w:t>
            </w:r>
          </w:p>
          <w:p w14:paraId="6C60774F">
            <w:pPr>
              <w:rPr>
                <w:rFonts w:hint="eastAsia" w:ascii="仿宋" w:hAnsi="仿宋" w:eastAsia="仿宋" w:cs="仿宋"/>
                <w:sz w:val="24"/>
                <w:szCs w:val="24"/>
              </w:rPr>
            </w:pPr>
            <w:r>
              <w:rPr>
                <w:rFonts w:hint="eastAsia" w:ascii="仿宋" w:hAnsi="仿宋" w:eastAsia="仿宋" w:cs="仿宋"/>
                <w:sz w:val="24"/>
                <w:szCs w:val="24"/>
              </w:rPr>
              <w:t>[</w:t>
            </w:r>
            <w:r>
              <w:rPr>
                <w:rFonts w:ascii="仿宋" w:hAnsi="仿宋" w:eastAsia="仿宋" w:cs="仿宋"/>
                <w:sz w:val="24"/>
                <w:szCs w:val="24"/>
              </w:rPr>
              <w:t>5</w:t>
            </w:r>
            <w:r>
              <w:rPr>
                <w:rFonts w:hint="eastAsia" w:ascii="仿宋" w:hAnsi="仿宋" w:eastAsia="仿宋" w:cs="仿宋"/>
                <w:sz w:val="24"/>
                <w:szCs w:val="24"/>
              </w:rPr>
              <w:t>]舒伯特《舒伯特钢琴奏鸣曲集》，人民音乐出版社 ，1982.</w:t>
            </w:r>
          </w:p>
          <w:p w14:paraId="2CCA0D34">
            <w:pPr>
              <w:rPr>
                <w:rFonts w:hint="eastAsia" w:ascii="仿宋" w:hAnsi="仿宋" w:eastAsia="仿宋" w:cs="仿宋"/>
                <w:sz w:val="24"/>
                <w:szCs w:val="24"/>
              </w:rPr>
            </w:pPr>
            <w:r>
              <w:rPr>
                <w:rFonts w:hint="eastAsia" w:ascii="仿宋" w:hAnsi="仿宋" w:eastAsia="仿宋" w:cs="仿宋"/>
                <w:sz w:val="24"/>
                <w:szCs w:val="24"/>
              </w:rPr>
              <w:t>[6] 莫什科夫斯基《莫什科夫斯基钢琴技巧练习曲15首》，人民音乐出版社，1981</w:t>
            </w:r>
          </w:p>
          <w:p w14:paraId="617B1623">
            <w:pPr>
              <w:rPr>
                <w:rFonts w:hint="eastAsia" w:ascii="仿宋" w:hAnsi="仿宋" w:eastAsia="仿宋" w:cs="仿宋"/>
                <w:sz w:val="24"/>
                <w:szCs w:val="24"/>
              </w:rPr>
            </w:pPr>
            <w:r>
              <w:rPr>
                <w:rFonts w:hint="eastAsia" w:ascii="仿宋" w:hAnsi="仿宋" w:eastAsia="仿宋" w:cs="仿宋"/>
                <w:sz w:val="24"/>
                <w:szCs w:val="24"/>
              </w:rPr>
              <w:t>[7]巴赫《巴赫十二平均律》，湖南文艺出版社，2001.</w:t>
            </w:r>
          </w:p>
          <w:p w14:paraId="128FC09F">
            <w:pPr>
              <w:rPr>
                <w:rFonts w:hint="eastAsia" w:ascii="仿宋" w:hAnsi="仿宋" w:eastAsia="仿宋" w:cs="仿宋"/>
                <w:sz w:val="24"/>
                <w:szCs w:val="24"/>
              </w:rPr>
            </w:pPr>
            <w:r>
              <w:rPr>
                <w:rFonts w:hint="eastAsia" w:ascii="仿宋" w:hAnsi="仿宋" w:eastAsia="仿宋" w:cs="仿宋"/>
                <w:sz w:val="24"/>
                <w:szCs w:val="24"/>
              </w:rPr>
              <w:t>[8]贺绿汀《中国钢琴名曲曲库一至四册》，时代文艺出版社 ，1995.</w:t>
            </w:r>
          </w:p>
          <w:p w14:paraId="4EC1AF96">
            <w:pPr>
              <w:rPr>
                <w:rFonts w:hint="eastAsia" w:ascii="仿宋" w:hAnsi="仿宋" w:eastAsia="仿宋" w:cs="仿宋"/>
                <w:sz w:val="24"/>
                <w:szCs w:val="24"/>
              </w:rPr>
            </w:pPr>
            <w:r>
              <w:rPr>
                <w:rFonts w:hint="eastAsia" w:ascii="仿宋" w:hAnsi="仿宋" w:eastAsia="仿宋" w:cs="仿宋"/>
                <w:sz w:val="24"/>
                <w:szCs w:val="24"/>
              </w:rPr>
              <w:t>[9]李斯特《李斯特钢琴曲选》，北京人民音乐出版社 ，1998.</w:t>
            </w:r>
          </w:p>
          <w:p w14:paraId="59DDF3D9">
            <w:pPr>
              <w:rPr>
                <w:rFonts w:hint="eastAsia" w:ascii="仿宋" w:hAnsi="仿宋" w:eastAsia="仿宋" w:cs="仿宋"/>
                <w:sz w:val="24"/>
                <w:szCs w:val="24"/>
              </w:rPr>
            </w:pPr>
            <w:r>
              <w:rPr>
                <w:rFonts w:hint="eastAsia" w:ascii="仿宋" w:hAnsi="仿宋" w:eastAsia="仿宋" w:cs="仿宋"/>
                <w:sz w:val="24"/>
                <w:szCs w:val="24"/>
              </w:rPr>
              <w:t>[10]舒曼《舒曼钢琴曲选》，北京人民音乐出版社，1960.</w:t>
            </w:r>
          </w:p>
          <w:p w14:paraId="45E8AD48">
            <w:pPr>
              <w:rPr>
                <w:rFonts w:hint="eastAsia" w:ascii="仿宋" w:hAnsi="仿宋" w:eastAsia="仿宋" w:cs="仿宋"/>
                <w:sz w:val="24"/>
                <w:szCs w:val="24"/>
              </w:rPr>
            </w:pPr>
            <w:r>
              <w:rPr>
                <w:rFonts w:hint="eastAsia" w:ascii="仿宋" w:hAnsi="仿宋" w:eastAsia="仿宋" w:cs="仿宋"/>
                <w:sz w:val="24"/>
                <w:szCs w:val="24"/>
              </w:rPr>
              <w:t>[11]德彪西《德彪西练习曲》，北京人民音乐出版社，1998.</w:t>
            </w:r>
            <w:r>
              <w:rPr>
                <w:rFonts w:hint="eastAsia" w:ascii="仿宋" w:hAnsi="仿宋" w:eastAsia="仿宋" w:cs="仿宋"/>
                <w:sz w:val="24"/>
                <w:szCs w:val="24"/>
              </w:rPr>
              <w:br w:type="textWrapping"/>
            </w:r>
            <w:r>
              <w:rPr>
                <w:rFonts w:hint="eastAsia" w:ascii="仿宋" w:hAnsi="仿宋" w:eastAsia="仿宋" w:cs="仿宋"/>
                <w:sz w:val="24"/>
                <w:szCs w:val="24"/>
              </w:rPr>
              <w:t>[12]肖邦《肖邦钢琴曲选》，北京人民音乐出版社，1998.</w:t>
            </w:r>
            <w:r>
              <w:rPr>
                <w:rFonts w:hint="eastAsia" w:ascii="仿宋" w:hAnsi="仿宋" w:eastAsia="仿宋" w:cs="仿宋"/>
                <w:sz w:val="24"/>
                <w:szCs w:val="24"/>
              </w:rPr>
              <w:br w:type="textWrapping"/>
            </w:r>
            <w:r>
              <w:rPr>
                <w:rFonts w:hint="eastAsia" w:ascii="仿宋" w:hAnsi="仿宋" w:eastAsia="仿宋" w:cs="仿宋"/>
                <w:sz w:val="24"/>
                <w:szCs w:val="24"/>
              </w:rPr>
              <w:t>[13]拉威尔《拉威尔钢琴曲选》 ，北京人民音乐出版社，1988.</w:t>
            </w:r>
          </w:p>
          <w:p w14:paraId="5541CE1E">
            <w:pPr>
              <w:rPr>
                <w:rFonts w:hint="eastAsia" w:ascii="仿宋" w:hAnsi="仿宋" w:eastAsia="仿宋" w:cs="仿宋"/>
                <w:sz w:val="24"/>
                <w:szCs w:val="24"/>
              </w:rPr>
            </w:pPr>
            <w:r>
              <w:rPr>
                <w:rFonts w:hint="eastAsia" w:ascii="仿宋" w:hAnsi="仿宋" w:eastAsia="仿宋" w:cs="仿宋"/>
                <w:sz w:val="24"/>
                <w:szCs w:val="24"/>
              </w:rPr>
              <w:t>[14]舒曼《舒曼交响练习曲》，北京人民音乐出版社，1980.</w:t>
            </w:r>
            <w:r>
              <w:rPr>
                <w:rFonts w:hint="eastAsia" w:ascii="仿宋" w:hAnsi="仿宋" w:eastAsia="仿宋" w:cs="仿宋"/>
                <w:sz w:val="24"/>
                <w:szCs w:val="24"/>
              </w:rPr>
              <w:br w:type="textWrapping"/>
            </w:r>
            <w:r>
              <w:rPr>
                <w:rFonts w:hint="eastAsia" w:ascii="仿宋" w:hAnsi="仿宋" w:eastAsia="仿宋" w:cs="仿宋"/>
                <w:sz w:val="24"/>
                <w:szCs w:val="24"/>
              </w:rPr>
              <w:t>[15]德彪西《德彪西钢琴前奏曲集》，安徽文艺出版社，2000.</w:t>
            </w:r>
            <w:r>
              <w:rPr>
                <w:rFonts w:hint="eastAsia" w:ascii="仿宋" w:hAnsi="仿宋" w:eastAsia="仿宋" w:cs="仿宋"/>
                <w:sz w:val="24"/>
                <w:szCs w:val="24"/>
              </w:rPr>
              <w:br w:type="textWrapping"/>
            </w:r>
            <w:r>
              <w:rPr>
                <w:rFonts w:hint="eastAsia" w:ascii="仿宋" w:hAnsi="仿宋" w:eastAsia="仿宋" w:cs="仿宋"/>
                <w:sz w:val="24"/>
                <w:szCs w:val="24"/>
              </w:rPr>
              <w:t>[16] 斯克里亚宾《斯克里亚宾钢琴奏鸣曲全集》，安徽文艺出版社     ，2001.</w:t>
            </w:r>
          </w:p>
          <w:p w14:paraId="6C019D76">
            <w:pPr>
              <w:widowControl/>
              <w:tabs>
                <w:tab w:val="left" w:pos="2219"/>
              </w:tabs>
              <w:suppressAutoHyphens/>
              <w:autoSpaceDE w:val="0"/>
              <w:ind w:leftChars="0" w:rightChars="55" w:firstLineChars="0"/>
            </w:pPr>
            <w:r>
              <w:rPr>
                <w:rFonts w:hint="eastAsia" w:ascii="仿宋" w:hAnsi="仿宋" w:eastAsia="仿宋" w:cs="仿宋"/>
                <w:sz w:val="24"/>
                <w:szCs w:val="24"/>
              </w:rPr>
              <w:t>[17]贝多芬《贝多芬钢琴奏鸣曲集》，北京人民音乐出版社，1981.</w:t>
            </w:r>
          </w:p>
        </w:tc>
      </w:tr>
      <w:tr w14:paraId="0184AE4F">
        <w:tc>
          <w:tcPr>
            <w:tcW w:w="1376" w:type="dxa"/>
            <w:tcBorders>
              <w:top w:val="single" w:color="auto" w:sz="4" w:space="0"/>
              <w:left w:val="single" w:color="auto" w:sz="4" w:space="0"/>
              <w:bottom w:val="single" w:color="auto" w:sz="4" w:space="0"/>
              <w:right w:val="single" w:color="auto" w:sz="4" w:space="0"/>
            </w:tcBorders>
            <w:vAlign w:val="center"/>
          </w:tcPr>
          <w:p w14:paraId="48DC85B7">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C</w:t>
            </w:r>
          </w:p>
          <w:p w14:paraId="3926460A">
            <w:pPr>
              <w:spacing w:line="240" w:lineRule="atLeast"/>
              <w:jc w:val="center"/>
            </w:pPr>
            <w:r>
              <w:rPr>
                <w:rFonts w:hint="eastAsia" w:ascii="仿宋" w:hAnsi="仿宋" w:eastAsia="仿宋" w:cs="仿宋"/>
                <w:sz w:val="24"/>
                <w:szCs w:val="24"/>
              </w:rPr>
              <w:t>线上学习资源</w:t>
            </w:r>
          </w:p>
        </w:tc>
        <w:tc>
          <w:tcPr>
            <w:tcW w:w="7772" w:type="dxa"/>
            <w:gridSpan w:val="14"/>
            <w:tcBorders>
              <w:top w:val="single" w:color="auto" w:sz="4" w:space="0"/>
              <w:left w:val="single" w:color="auto" w:sz="4" w:space="0"/>
              <w:bottom w:val="single" w:color="auto" w:sz="4" w:space="0"/>
              <w:right w:val="single" w:color="auto" w:sz="4" w:space="0"/>
            </w:tcBorders>
            <w:vAlign w:val="center"/>
          </w:tcPr>
          <w:p w14:paraId="5CA33F39">
            <w:pPr>
              <w:rPr>
                <w:rFonts w:hint="eastAsia" w:ascii="仿宋" w:hAnsi="仿宋" w:eastAsia="仿宋" w:cs="仿宋"/>
                <w:sz w:val="24"/>
                <w:szCs w:val="24"/>
              </w:rPr>
            </w:pPr>
            <w:r>
              <w:rPr>
                <w:rFonts w:hint="eastAsia" w:ascii="仿宋" w:hAnsi="仿宋" w:eastAsia="仿宋" w:cs="仿宋"/>
                <w:sz w:val="24"/>
                <w:szCs w:val="24"/>
              </w:rPr>
              <w:t>任课教师建立微信学习群，与学生进行多媒体沟通；</w:t>
            </w:r>
          </w:p>
          <w:p w14:paraId="63AB8066">
            <w:pPr>
              <w:rPr>
                <w:rFonts w:hint="eastAsia" w:ascii="仿宋" w:hAnsi="仿宋" w:eastAsia="仿宋" w:cs="仿宋"/>
                <w:sz w:val="24"/>
                <w:szCs w:val="24"/>
              </w:rPr>
            </w:pPr>
            <w:r>
              <w:rPr>
                <w:rFonts w:hint="eastAsia" w:ascii="仿宋" w:hAnsi="仿宋" w:eastAsia="仿宋" w:cs="仿宋"/>
                <w:sz w:val="24"/>
                <w:szCs w:val="24"/>
              </w:rPr>
              <w:t>使用企业微信微盘上传下载学习资料；</w:t>
            </w:r>
          </w:p>
          <w:p w14:paraId="65DA8CF8">
            <w:r>
              <w:rPr>
                <w:rFonts w:hint="eastAsia" w:ascii="仿宋" w:hAnsi="仿宋" w:eastAsia="仿宋" w:cs="仿宋"/>
                <w:sz w:val="24"/>
                <w:szCs w:val="24"/>
              </w:rPr>
              <w:t>中国大学MOOC平台、三明学院网络课程平台等辅助提交作业。</w:t>
            </w:r>
          </w:p>
        </w:tc>
      </w:tr>
      <w:tr w14:paraId="32EC23F8">
        <w:trPr>
          <w:trHeight w:val="3676" w:hRule="atLeast"/>
        </w:trPr>
        <w:tc>
          <w:tcPr>
            <w:tcW w:w="1376" w:type="dxa"/>
            <w:tcBorders>
              <w:top w:val="single" w:color="auto" w:sz="4" w:space="0"/>
              <w:left w:val="single" w:color="auto" w:sz="4" w:space="0"/>
              <w:bottom w:val="single" w:color="auto" w:sz="4" w:space="0"/>
              <w:right w:val="single" w:color="auto" w:sz="4" w:space="0"/>
            </w:tcBorders>
            <w:shd w:val="clear" w:color="auto" w:fill="FFFFFF"/>
            <w:vAlign w:val="center"/>
          </w:tcPr>
          <w:p w14:paraId="3C04DE44">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D</w:t>
            </w:r>
          </w:p>
          <w:p w14:paraId="38CFAF77">
            <w:pPr>
              <w:spacing w:line="240" w:lineRule="atLeast"/>
              <w:jc w:val="center"/>
              <w:rPr>
                <w:rFonts w:hint="eastAsia" w:ascii="仿宋" w:hAnsi="仿宋" w:eastAsia="仿宋" w:cs="仿宋"/>
                <w:sz w:val="24"/>
                <w:szCs w:val="24"/>
                <w:lang w:eastAsia="zh-TW"/>
              </w:rPr>
            </w:pPr>
            <w:r>
              <w:rPr>
                <w:rFonts w:hint="eastAsia" w:ascii="仿宋" w:hAnsi="仿宋" w:eastAsia="仿宋" w:cs="仿宋"/>
                <w:sz w:val="24"/>
                <w:szCs w:val="24"/>
              </w:rPr>
              <w:t xml:space="preserve">课程描述 </w:t>
            </w:r>
          </w:p>
          <w:p w14:paraId="661FA6D6">
            <w:pPr>
              <w:spacing w:line="240" w:lineRule="atLeast"/>
              <w:jc w:val="center"/>
            </w:pPr>
            <w:r>
              <w:rPr>
                <w:rFonts w:hint="eastAsia" w:ascii="仿宋" w:hAnsi="仿宋" w:eastAsia="仿宋" w:cs="仿宋"/>
                <w:sz w:val="24"/>
                <w:szCs w:val="24"/>
                <w:lang w:eastAsia="zh-TW"/>
              </w:rPr>
              <w:t>(</w:t>
            </w:r>
            <w:r>
              <w:rPr>
                <w:rFonts w:hint="eastAsia" w:ascii="仿宋" w:hAnsi="仿宋" w:eastAsia="仿宋" w:cs="仿宋"/>
                <w:sz w:val="24"/>
                <w:szCs w:val="24"/>
              </w:rPr>
              <w:t>含</w:t>
            </w:r>
            <w:r>
              <w:rPr>
                <w:rFonts w:hint="eastAsia" w:ascii="仿宋" w:hAnsi="仿宋" w:eastAsia="仿宋" w:cs="仿宋"/>
                <w:sz w:val="24"/>
                <w:szCs w:val="24"/>
                <w:lang w:eastAsia="zh-TW"/>
              </w:rPr>
              <w:t>性质、地位和任务)</w:t>
            </w:r>
          </w:p>
        </w:tc>
        <w:tc>
          <w:tcPr>
            <w:tcW w:w="7772" w:type="dxa"/>
            <w:gridSpan w:val="14"/>
            <w:tcBorders>
              <w:top w:val="single" w:color="auto" w:sz="4" w:space="0"/>
              <w:left w:val="single" w:color="auto" w:sz="4" w:space="0"/>
              <w:bottom w:val="single" w:color="auto" w:sz="4" w:space="0"/>
              <w:right w:val="single" w:color="auto" w:sz="4" w:space="0"/>
            </w:tcBorders>
            <w:shd w:val="clear" w:color="auto" w:fill="FFFFFF"/>
            <w:vAlign w:val="center"/>
          </w:tcPr>
          <w:p w14:paraId="7E06971F">
            <w:pPr>
              <w:rPr>
                <w:rFonts w:hint="eastAsia" w:ascii="仿宋" w:hAnsi="仿宋" w:eastAsia="仿宋" w:cs="仿宋"/>
                <w:sz w:val="24"/>
                <w:szCs w:val="24"/>
              </w:rPr>
            </w:pPr>
            <w:r>
              <w:rPr>
                <w:rFonts w:hint="eastAsia" w:ascii="仿宋" w:hAnsi="仿宋" w:eastAsia="仿宋" w:cs="仿宋"/>
                <w:sz w:val="24"/>
                <w:szCs w:val="24"/>
              </w:rPr>
              <w:t>课程性质：《钢琴基础》是普通高等学校音乐教育的本科生必修的专业基础课，也是学生所要掌握的基本技能之一。本课程具有集知识性，音乐性，与技能型为一体的特点，是学生学习音乐理论和技能必不可少的基础课。钢琴基础课不仅与钢琴各课（钢琴演奏课、即兴伴奏课、钢琴艺术史、钢琴教法课等）有密切关联，有广泛的横向联系，同时还是各门音乐学科的基础，体现了音乐学科之间的纵向联系，是在校每位音乐专业本科学生的一门必修课。</w:t>
            </w:r>
          </w:p>
          <w:p w14:paraId="547D53B5">
            <w:pPr>
              <w:rPr>
                <w:rFonts w:hint="eastAsia" w:ascii="仿宋" w:hAnsi="仿宋" w:eastAsia="仿宋" w:cs="仿宋"/>
                <w:sz w:val="24"/>
                <w:szCs w:val="24"/>
              </w:rPr>
            </w:pPr>
            <w:r>
              <w:rPr>
                <w:rFonts w:hint="eastAsia" w:ascii="仿宋" w:hAnsi="仿宋" w:eastAsia="仿宋" w:cs="仿宋"/>
                <w:sz w:val="24"/>
                <w:szCs w:val="24"/>
              </w:rPr>
              <w:t>教学目的：通过本课程教学，使学生初步熟悉不同类型的钢琴作品，并同时具备必要的钢琴弹奏技能、音乐的表达能力及相应的视奏水平。通过两年钢琴基础课训练，在钢琴技巧方面要求达到相当于车尔尼849中部程度，并能弹奏相应程度的乐曲，能正确的分析和处理一般的钢琴作品；初步了解和掌握不同作曲家不同类型的钢琴作品及风格，提高艺术修养和音乐表达能力。能为歌曲配弹简易的钢琴伴奏，以适应辅导社会音乐文化和普通中小学的课外音乐活动工作需要，使钢琴成为教学工作中一个工具。</w:t>
            </w:r>
          </w:p>
          <w:p w14:paraId="665E1A66">
            <w:pPr>
              <w:rPr>
                <w:rFonts w:ascii="仿宋" w:hAnsi="仿宋" w:eastAsia="仿宋" w:cs="仿宋"/>
                <w:kern w:val="0"/>
                <w:sz w:val="24"/>
                <w:szCs w:val="24"/>
              </w:rPr>
            </w:pPr>
            <w:r>
              <w:rPr>
                <w:rFonts w:hint="eastAsia" w:ascii="仿宋" w:hAnsi="仿宋" w:eastAsia="仿宋" w:cs="仿宋"/>
                <w:sz w:val="24"/>
                <w:szCs w:val="24"/>
              </w:rPr>
              <w:t>教学历程和结果：将音乐基本知识和对音乐形象的理解力、表现力以及钢琴弹奏技巧三方面的教学密切地结合起来，使学生在了解钢琴乐器的发展与演变过程、了解钢琴艺术发展历史以及钢琴演奏的基本理论和基本知识、了解钢琴演奏家和钢琴教育家的风格特点、掌握钢琴弹奏基本方法与演奏技巧的同时，初步熟悉不同类型的钢琴作品。</w:t>
            </w:r>
          </w:p>
          <w:p w14:paraId="1067C4B1">
            <w:pPr>
              <w:widowControl/>
              <w:numPr>
                <w:ilvl w:val="0"/>
                <w:numId w:val="0"/>
              </w:numPr>
              <w:spacing w:line="360" w:lineRule="exact"/>
              <w:ind w:leftChars="0" w:rightChars="0" w:firstLineChars="200"/>
              <w:jc w:val="left"/>
              <w:outlineLvl w:val="2"/>
              <w:rPr>
                <w:rFonts w:ascii="仿宋" w:hAnsi="仿宋" w:eastAsia="仿宋" w:cs="仿宋"/>
                <w:kern w:val="0"/>
                <w:sz w:val="24"/>
                <w:szCs w:val="24"/>
              </w:rPr>
            </w:pPr>
          </w:p>
        </w:tc>
      </w:tr>
      <w:tr w14:paraId="02090EF8">
        <w:trPr>
          <w:trHeight w:val="3071" w:hRule="atLeast"/>
        </w:trPr>
        <w:tc>
          <w:tcPr>
            <w:tcW w:w="1376"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14:paraId="256FA74A">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E</w:t>
            </w:r>
          </w:p>
          <w:p w14:paraId="29A6BFE4">
            <w:pPr>
              <w:spacing w:line="240" w:lineRule="atLeast"/>
              <w:jc w:val="center"/>
            </w:pPr>
            <w:r>
              <w:rPr>
                <w:rFonts w:hint="eastAsia" w:ascii="仿宋" w:hAnsi="仿宋" w:eastAsia="仿宋" w:cs="仿宋"/>
                <w:sz w:val="24"/>
                <w:szCs w:val="24"/>
              </w:rPr>
              <w:t>课程学习目标及其与毕业要求的对应关系</w:t>
            </w:r>
          </w:p>
        </w:tc>
        <w:tc>
          <w:tcPr>
            <w:tcW w:w="7772" w:type="dxa"/>
            <w:gridSpan w:val="14"/>
            <w:tcBorders>
              <w:top w:val="single" w:color="auto" w:sz="4" w:space="0"/>
              <w:left w:val="single" w:color="auto" w:sz="4" w:space="0"/>
              <w:bottom w:val="single" w:color="auto" w:sz="4" w:space="0"/>
              <w:right w:val="single" w:color="auto" w:sz="4" w:space="0"/>
            </w:tcBorders>
            <w:shd w:val="clear" w:color="auto" w:fill="FFFFFF"/>
            <w:vAlign w:val="center"/>
          </w:tcPr>
          <w:p w14:paraId="28A94AC7">
            <w:pPr>
              <w:rPr>
                <w:rFonts w:hint="eastAsia" w:ascii="仿宋" w:hAnsi="仿宋" w:eastAsia="仿宋" w:cs="仿宋"/>
                <w:sz w:val="24"/>
                <w:szCs w:val="24"/>
              </w:rPr>
            </w:pPr>
            <w:r>
              <w:rPr>
                <w:rFonts w:hint="eastAsia" w:ascii="仿宋" w:hAnsi="仿宋" w:eastAsia="仿宋" w:cs="仿宋"/>
                <w:b/>
                <w:sz w:val="24"/>
                <w:szCs w:val="24"/>
              </w:rPr>
              <w:t>课程目标1:</w:t>
            </w:r>
            <w:r>
              <w:rPr>
                <w:rFonts w:hint="eastAsia" w:ascii="仿宋" w:hAnsi="仿宋" w:eastAsia="仿宋" w:cs="仿宋"/>
                <w:b/>
                <w:bCs/>
                <w:sz w:val="24"/>
                <w:szCs w:val="24"/>
              </w:rPr>
              <w:t xml:space="preserve"> （H高支撑）</w:t>
            </w:r>
          </w:p>
          <w:p w14:paraId="162E3A93">
            <w:pPr>
              <w:rPr>
                <w:rFonts w:hint="eastAsia" w:ascii="仿宋" w:hAnsi="仿宋" w:eastAsia="仿宋" w:cs="仿宋"/>
                <w:b/>
                <w:sz w:val="24"/>
                <w:szCs w:val="24"/>
              </w:rPr>
            </w:pPr>
            <w:r>
              <w:rPr>
                <w:rFonts w:hint="eastAsia" w:ascii="仿宋" w:hAnsi="仿宋" w:eastAsia="仿宋" w:cs="仿宋"/>
                <w:sz w:val="24"/>
                <w:szCs w:val="24"/>
              </w:rPr>
              <w:t xml:space="preserve">    掌握钢琴基本功，形成音乐学科基础核心素养。将音乐的一些基本理念通过实践表现出来,且能综合运用学过的理论、实践知识，分析和解决问题。</w:t>
            </w:r>
            <w:r>
              <w:rPr>
                <w:rFonts w:hint="eastAsia" w:ascii="仿宋" w:hAnsi="仿宋" w:eastAsia="仿宋" w:cs="仿宋"/>
                <w:sz w:val="24"/>
                <w:szCs w:val="24"/>
                <w:lang w:val="en-US" w:eastAsia="zh-CN"/>
              </w:rPr>
              <w:t>课程中应当涉猎一定比例的民族钢琴曲目，以及有思政教育意义的钢琴曲目。通过课程学习，学生能够对于中国钢琴作品概貌有一定程度的了解，对于具有良好群众基础的红色钢琴作品、有思政教育意义的中国钢琴作品有正确的认识和诠释能力。</w:t>
            </w:r>
          </w:p>
          <w:p w14:paraId="2BCD12BB">
            <w:pPr>
              <w:rPr>
                <w:rFonts w:hint="eastAsia" w:ascii="仿宋" w:hAnsi="仿宋" w:eastAsia="仿宋" w:cs="仿宋"/>
                <w:sz w:val="24"/>
                <w:szCs w:val="24"/>
              </w:rPr>
            </w:pPr>
            <w:r>
              <w:rPr>
                <w:rFonts w:hint="eastAsia" w:ascii="仿宋" w:hAnsi="仿宋" w:eastAsia="仿宋" w:cs="仿宋"/>
                <w:b/>
                <w:sz w:val="24"/>
                <w:szCs w:val="24"/>
              </w:rPr>
              <w:t>课程目标</w:t>
            </w:r>
            <w:r>
              <w:rPr>
                <w:rFonts w:ascii="仿宋" w:hAnsi="仿宋" w:eastAsia="仿宋" w:cs="仿宋"/>
                <w:b/>
                <w:sz w:val="24"/>
                <w:szCs w:val="24"/>
              </w:rPr>
              <w:t>2</w:t>
            </w:r>
            <w:r>
              <w:rPr>
                <w:rFonts w:hint="eastAsia" w:ascii="仿宋" w:hAnsi="仿宋" w:eastAsia="仿宋" w:cs="仿宋"/>
                <w:b/>
                <w:sz w:val="24"/>
                <w:szCs w:val="24"/>
              </w:rPr>
              <w:t>:</w:t>
            </w:r>
            <w:r>
              <w:rPr>
                <w:rFonts w:hint="eastAsia" w:ascii="仿宋" w:hAnsi="仿宋" w:eastAsia="仿宋" w:cs="仿宋"/>
                <w:b/>
                <w:bCs/>
                <w:sz w:val="24"/>
                <w:szCs w:val="24"/>
              </w:rPr>
              <w:t xml:space="preserve"> （M中支撑）</w:t>
            </w:r>
          </w:p>
          <w:p w14:paraId="379DA658">
            <w:pPr>
              <w:ind w:leftChars="0" w:rightChars="0" w:firstLineChars="200"/>
              <w:rPr>
                <w:rFonts w:hint="eastAsia" w:ascii="仿宋" w:hAnsi="仿宋" w:eastAsia="仿宋" w:cs="仿宋"/>
                <w:b/>
                <w:sz w:val="24"/>
                <w:szCs w:val="24"/>
              </w:rPr>
            </w:pPr>
            <w:r>
              <w:rPr>
                <w:rFonts w:hint="eastAsia" w:ascii="仿宋" w:hAnsi="仿宋" w:eastAsia="仿宋" w:cs="仿宋"/>
                <w:sz w:val="24"/>
                <w:szCs w:val="24"/>
              </w:rPr>
              <w:t>因材施教，让不同初始程度的学生依据自己的能力，弹奏一定量的中小学音乐课曲目伴奏，对于一些弹过的曲目，能够比较熟悉地弹唱，旋律节奏基本准确。</w:t>
            </w:r>
            <w:r>
              <w:rPr>
                <w:rFonts w:hint="eastAsia" w:ascii="仿宋" w:hAnsi="仿宋" w:eastAsia="仿宋" w:cs="仿宋"/>
                <w:sz w:val="24"/>
                <w:szCs w:val="24"/>
                <w:lang w:val="en-US" w:eastAsia="zh-CN"/>
              </w:rPr>
              <w:t>对于有思政教育意义的曲目能够有正确的理解和认识，并能够正确地弹奏。</w:t>
            </w:r>
          </w:p>
          <w:p w14:paraId="5003BF14">
            <w:pPr>
              <w:rPr>
                <w:rFonts w:hint="eastAsia" w:ascii="仿宋" w:hAnsi="仿宋" w:eastAsia="仿宋" w:cs="仿宋"/>
                <w:sz w:val="24"/>
                <w:szCs w:val="24"/>
              </w:rPr>
            </w:pPr>
            <w:r>
              <w:rPr>
                <w:rFonts w:hint="eastAsia" w:ascii="仿宋" w:hAnsi="仿宋" w:eastAsia="仿宋" w:cs="仿宋"/>
                <w:b/>
                <w:sz w:val="24"/>
                <w:szCs w:val="24"/>
              </w:rPr>
              <w:t>课程目标</w:t>
            </w:r>
            <w:r>
              <w:rPr>
                <w:rFonts w:ascii="仿宋" w:hAnsi="仿宋" w:eastAsia="仿宋" w:cs="仿宋"/>
                <w:b/>
                <w:sz w:val="24"/>
                <w:szCs w:val="24"/>
              </w:rPr>
              <w:t>3</w:t>
            </w:r>
            <w:r>
              <w:rPr>
                <w:rFonts w:hint="eastAsia" w:ascii="仿宋" w:hAnsi="仿宋" w:eastAsia="仿宋" w:cs="仿宋"/>
                <w:b/>
                <w:sz w:val="24"/>
                <w:szCs w:val="24"/>
              </w:rPr>
              <w:t>:</w:t>
            </w:r>
            <w:r>
              <w:rPr>
                <w:rFonts w:hint="eastAsia" w:ascii="仿宋" w:hAnsi="仿宋" w:eastAsia="仿宋" w:cs="仿宋"/>
                <w:b/>
                <w:bCs/>
                <w:sz w:val="24"/>
                <w:szCs w:val="24"/>
              </w:rPr>
              <w:t xml:space="preserve"> （</w:t>
            </w:r>
            <w:r>
              <w:rPr>
                <w:rFonts w:ascii="仿宋" w:hAnsi="仿宋" w:eastAsia="仿宋" w:cs="仿宋"/>
                <w:b/>
                <w:bCs/>
                <w:sz w:val="24"/>
                <w:szCs w:val="24"/>
              </w:rPr>
              <w:t>L</w:t>
            </w:r>
            <w:r>
              <w:rPr>
                <w:rFonts w:hint="eastAsia" w:ascii="仿宋" w:hAnsi="仿宋" w:eastAsia="仿宋" w:cs="仿宋"/>
                <w:b/>
                <w:bCs/>
                <w:sz w:val="24"/>
                <w:szCs w:val="24"/>
              </w:rPr>
              <w:t>低支撑）</w:t>
            </w:r>
          </w:p>
          <w:p w14:paraId="513316DF">
            <w:pPr>
              <w:ind w:leftChars="0" w:rightChars="0" w:firstLineChars="200"/>
            </w:pPr>
            <w:r>
              <w:rPr>
                <w:rFonts w:hint="eastAsia" w:ascii="仿宋" w:hAnsi="仿宋" w:eastAsia="仿宋" w:cs="仿宋"/>
                <w:sz w:val="24"/>
                <w:szCs w:val="24"/>
              </w:rPr>
              <w:t>通过教师反馈与自我反思，形成对于学生自身实践的客观认识，并进行改进。</w:t>
            </w:r>
          </w:p>
        </w:tc>
      </w:tr>
      <w:tr w14:paraId="5DD40F89">
        <w:trPr>
          <w:trHeight w:val="642"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0F32AC6F">
            <w:pPr>
              <w:spacing w:line="240" w:lineRule="atLeast"/>
              <w:jc w:val="center"/>
              <w:rPr>
                <w:rFonts w:hint="eastAsia" w:ascii="仿宋" w:hAnsi="仿宋" w:eastAsia="仿宋" w:cs="仿宋"/>
                <w:sz w:val="24"/>
                <w:szCs w:val="24"/>
                <w:lang w:eastAsia="zh-TW"/>
              </w:rPr>
            </w:pPr>
          </w:p>
        </w:tc>
        <w:tc>
          <w:tcPr>
            <w:tcW w:w="1174" w:type="dxa"/>
            <w:tcBorders>
              <w:top w:val="single" w:color="auto" w:sz="4" w:space="0"/>
              <w:left w:val="single" w:color="auto" w:sz="4" w:space="0"/>
              <w:bottom w:val="single" w:color="auto" w:sz="4" w:space="0"/>
              <w:right w:val="single" w:color="auto" w:sz="4" w:space="0"/>
            </w:tcBorders>
            <w:shd w:val="clear" w:color="auto" w:fill="FFFFFF"/>
            <w:vAlign w:val="center"/>
          </w:tcPr>
          <w:p w14:paraId="473EB79A">
            <w:pPr>
              <w:spacing w:line="240" w:lineRule="atLeast"/>
              <w:jc w:val="center"/>
            </w:pPr>
            <w:r>
              <w:rPr>
                <w:rFonts w:hint="eastAsia" w:ascii="仿宋" w:hAnsi="仿宋" w:eastAsia="仿宋" w:cs="仿宋"/>
                <w:sz w:val="24"/>
                <w:szCs w:val="24"/>
              </w:rPr>
              <w:t>课程目标</w:t>
            </w:r>
          </w:p>
        </w:tc>
        <w:tc>
          <w:tcPr>
            <w:tcW w:w="4521" w:type="dxa"/>
            <w:gridSpan w:val="8"/>
            <w:tcBorders>
              <w:top w:val="single" w:color="auto" w:sz="4" w:space="0"/>
              <w:left w:val="single" w:color="auto" w:sz="4" w:space="0"/>
              <w:bottom w:val="single" w:color="auto" w:sz="4" w:space="0"/>
              <w:right w:val="single" w:color="auto" w:sz="4" w:space="0"/>
            </w:tcBorders>
            <w:shd w:val="clear" w:color="auto" w:fill="FFFFFF"/>
            <w:vAlign w:val="center"/>
          </w:tcPr>
          <w:p w14:paraId="1DE21B7E">
            <w:pPr>
              <w:spacing w:line="240" w:lineRule="atLeast"/>
              <w:jc w:val="center"/>
            </w:pPr>
            <w:r>
              <w:rPr>
                <w:rFonts w:hint="eastAsia" w:ascii="仿宋" w:hAnsi="仿宋" w:eastAsia="仿宋" w:cs="仿宋"/>
                <w:sz w:val="24"/>
                <w:szCs w:val="24"/>
              </w:rPr>
              <w:t>毕业要求分解指标点</w:t>
            </w:r>
          </w:p>
        </w:tc>
        <w:tc>
          <w:tcPr>
            <w:tcW w:w="2077" w:type="dxa"/>
            <w:gridSpan w:val="5"/>
            <w:tcBorders>
              <w:top w:val="single" w:color="auto" w:sz="4" w:space="0"/>
              <w:left w:val="single" w:color="auto" w:sz="4" w:space="0"/>
              <w:bottom w:val="single" w:color="auto" w:sz="4" w:space="0"/>
              <w:right w:val="single" w:color="auto" w:sz="4" w:space="0"/>
            </w:tcBorders>
            <w:shd w:val="clear" w:color="auto" w:fill="FFFFFF"/>
            <w:vAlign w:val="center"/>
          </w:tcPr>
          <w:p w14:paraId="33502A5C">
            <w:pPr>
              <w:spacing w:line="240" w:lineRule="atLeast"/>
              <w:jc w:val="center"/>
            </w:pPr>
            <w:r>
              <w:rPr>
                <w:rFonts w:hint="eastAsia" w:ascii="仿宋" w:hAnsi="仿宋" w:eastAsia="仿宋" w:cs="仿宋"/>
                <w:sz w:val="24"/>
                <w:szCs w:val="24"/>
              </w:rPr>
              <w:t>毕业要求</w:t>
            </w:r>
          </w:p>
        </w:tc>
      </w:tr>
      <w:tr w14:paraId="3EE5CFCA">
        <w:trPr>
          <w:trHeight w:val="817"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6F098688">
            <w:pPr>
              <w:spacing w:line="240" w:lineRule="atLeast"/>
              <w:jc w:val="center"/>
              <w:rPr>
                <w:rFonts w:hint="eastAsia" w:ascii="仿宋" w:hAnsi="仿宋" w:eastAsia="仿宋" w:cs="仿宋"/>
                <w:sz w:val="24"/>
                <w:szCs w:val="24"/>
              </w:rPr>
            </w:pPr>
          </w:p>
        </w:tc>
        <w:tc>
          <w:tcPr>
            <w:tcW w:w="1174" w:type="dxa"/>
            <w:tcBorders>
              <w:top w:val="single" w:color="auto" w:sz="4" w:space="0"/>
              <w:left w:val="single" w:color="auto" w:sz="4" w:space="0"/>
              <w:bottom w:val="single" w:color="auto" w:sz="4" w:space="0"/>
              <w:right w:val="single" w:color="auto" w:sz="4" w:space="0"/>
            </w:tcBorders>
            <w:shd w:val="clear" w:color="auto" w:fill="FFFFFF"/>
            <w:vAlign w:val="center"/>
          </w:tcPr>
          <w:p w14:paraId="55A5304E">
            <w:pPr>
              <w:jc w:val="center"/>
            </w:pPr>
            <w:r>
              <w:rPr>
                <w:rFonts w:hint="eastAsia" w:ascii="仿宋" w:hAnsi="仿宋" w:eastAsia="仿宋" w:cs="仿宋"/>
                <w:sz w:val="24"/>
                <w:szCs w:val="24"/>
              </w:rPr>
              <w:t>课程目标1</w:t>
            </w:r>
          </w:p>
        </w:tc>
        <w:tc>
          <w:tcPr>
            <w:tcW w:w="4521" w:type="dxa"/>
            <w:gridSpan w:val="8"/>
            <w:tcBorders>
              <w:top w:val="single" w:color="auto" w:sz="4" w:space="0"/>
              <w:left w:val="single" w:color="auto" w:sz="4" w:space="0"/>
              <w:bottom w:val="single" w:color="auto" w:sz="4" w:space="0"/>
              <w:right w:val="single" w:color="auto" w:sz="4" w:space="0"/>
            </w:tcBorders>
            <w:shd w:val="clear" w:color="auto" w:fill="FFFFFF"/>
            <w:vAlign w:val="center"/>
          </w:tcPr>
          <w:p w14:paraId="2011DA07">
            <w:pPr>
              <w:widowControl/>
              <w:rPr>
                <w:rFonts w:hint="eastAsia" w:ascii="仿宋_GB2312" w:hAnsi="仿宋_GB2312" w:eastAsia="仿宋_GB2312" w:cs="楷体"/>
                <w:bCs/>
                <w:color w:val="000000"/>
                <w:szCs w:val="21"/>
              </w:rPr>
            </w:pPr>
            <w:r>
              <w:rPr>
                <w:rFonts w:ascii="仿宋_GB2312" w:hAnsi="仿宋_GB2312" w:eastAsia="仿宋_GB2312" w:cs="楷体"/>
                <w:b/>
                <w:bCs/>
                <w:color w:val="000000"/>
                <w:szCs w:val="21"/>
              </w:rPr>
              <w:t>3.1</w:t>
            </w:r>
            <w:r>
              <w:rPr>
                <w:rFonts w:hint="eastAsia" w:ascii="仿宋_GB2312" w:hAnsi="仿宋_GB2312" w:eastAsia="仿宋_GB2312" w:cs="楷体"/>
                <w:b/>
                <w:bCs/>
                <w:color w:val="000000"/>
                <w:szCs w:val="21"/>
              </w:rPr>
              <w:t>学科素养</w:t>
            </w:r>
            <w:r>
              <w:rPr>
                <w:rFonts w:hint="eastAsia" w:ascii="仿宋_GB2312" w:hAnsi="仿宋_GB2312" w:eastAsia="仿宋_GB2312" w:cs="楷体"/>
                <w:bCs/>
                <w:color w:val="000000"/>
                <w:szCs w:val="21"/>
              </w:rPr>
              <w:t>（专业基本功）</w:t>
            </w:r>
          </w:p>
          <w:p w14:paraId="2BA342FE">
            <w:pPr>
              <w:widowControl/>
              <w:ind w:leftChars="0" w:rightChars="0" w:firstLineChars="200"/>
            </w:pPr>
            <w:r>
              <w:rPr>
                <w:rFonts w:hint="eastAsia" w:ascii="仿宋_GB2312" w:hAnsi="仿宋_GB2312" w:eastAsia="仿宋_GB2312" w:cs="楷体"/>
                <w:bCs/>
                <w:color w:val="000000"/>
                <w:szCs w:val="21"/>
              </w:rPr>
              <w:t>掌握音乐学科的基本原理和专业技能，初步形成音乐学知识体系。对学习科学相关知识有一定的了解，了解音乐学科之间的相互关系，了解音乐学科与其他学科的联系，具有跨学科意识，形成初步的融合、综合学习的能力，能解决理论联系实际的问题。</w:t>
            </w:r>
          </w:p>
        </w:tc>
        <w:tc>
          <w:tcPr>
            <w:tcW w:w="2077" w:type="dxa"/>
            <w:gridSpan w:val="5"/>
            <w:tcBorders>
              <w:top w:val="single" w:color="auto" w:sz="4" w:space="0"/>
              <w:left w:val="single" w:color="auto" w:sz="4" w:space="0"/>
              <w:bottom w:val="single" w:color="auto" w:sz="4" w:space="0"/>
              <w:right w:val="single" w:color="auto" w:sz="4" w:space="0"/>
            </w:tcBorders>
            <w:shd w:val="clear" w:color="auto" w:fill="FFFFFF"/>
            <w:vAlign w:val="center"/>
          </w:tcPr>
          <w:p w14:paraId="4CEB25A2">
            <w:pPr>
              <w:jc w:val="center"/>
              <w:rPr>
                <w:rFonts w:hint="eastAsia" w:ascii="仿宋" w:hAnsi="仿宋" w:eastAsia="仿宋" w:cs="仿宋"/>
                <w:bCs/>
                <w:sz w:val="24"/>
                <w:szCs w:val="24"/>
              </w:rPr>
            </w:pPr>
            <w:r>
              <w:rPr>
                <w:rFonts w:hint="eastAsia" w:ascii="仿宋" w:hAnsi="仿宋" w:eastAsia="仿宋" w:cs="仿宋"/>
                <w:bCs/>
                <w:sz w:val="24"/>
                <w:szCs w:val="24"/>
              </w:rPr>
              <w:t>学科素养（</w:t>
            </w:r>
            <w:r>
              <w:rPr>
                <w:rFonts w:ascii="仿宋" w:hAnsi="仿宋" w:eastAsia="仿宋" w:cs="仿宋"/>
                <w:bCs/>
                <w:sz w:val="24"/>
                <w:szCs w:val="24"/>
              </w:rPr>
              <w:t>3</w:t>
            </w:r>
            <w:r>
              <w:rPr>
                <w:rFonts w:hint="eastAsia" w:ascii="仿宋" w:hAnsi="仿宋" w:eastAsia="仿宋" w:cs="仿宋"/>
                <w:bCs/>
                <w:sz w:val="24"/>
                <w:szCs w:val="24"/>
              </w:rPr>
              <w:t>）</w:t>
            </w:r>
          </w:p>
          <w:p w14:paraId="19BBF5E0">
            <w:pPr>
              <w:jc w:val="center"/>
            </w:pPr>
            <w:r>
              <w:rPr>
                <w:rFonts w:hint="eastAsia" w:ascii="仿宋" w:hAnsi="仿宋" w:eastAsia="仿宋" w:cs="仿宋"/>
                <w:bCs/>
                <w:sz w:val="24"/>
                <w:szCs w:val="24"/>
              </w:rPr>
              <w:t>H</w:t>
            </w:r>
          </w:p>
        </w:tc>
      </w:tr>
      <w:tr w14:paraId="631FBE8A">
        <w:trPr>
          <w:trHeight w:val="817"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1BB64612">
            <w:pPr>
              <w:spacing w:line="240" w:lineRule="atLeast"/>
              <w:jc w:val="center"/>
              <w:rPr>
                <w:rFonts w:hint="eastAsia" w:ascii="仿宋" w:hAnsi="仿宋" w:eastAsia="仿宋" w:cs="仿宋"/>
                <w:sz w:val="24"/>
                <w:szCs w:val="24"/>
              </w:rPr>
            </w:pPr>
          </w:p>
        </w:tc>
        <w:tc>
          <w:tcPr>
            <w:tcW w:w="1174" w:type="dxa"/>
            <w:tcBorders>
              <w:top w:val="single" w:color="auto" w:sz="4" w:space="0"/>
              <w:left w:val="single" w:color="auto" w:sz="4" w:space="0"/>
              <w:bottom w:val="single" w:color="auto" w:sz="4" w:space="0"/>
              <w:right w:val="single" w:color="auto" w:sz="4" w:space="0"/>
            </w:tcBorders>
            <w:shd w:val="clear" w:color="auto" w:fill="FFFFFF"/>
            <w:vAlign w:val="center"/>
          </w:tcPr>
          <w:p w14:paraId="4CC2BFCD">
            <w:pPr>
              <w:jc w:val="center"/>
            </w:pPr>
            <w:r>
              <w:rPr>
                <w:rFonts w:hint="eastAsia" w:ascii="仿宋" w:hAnsi="仿宋" w:eastAsia="仿宋" w:cs="仿宋"/>
                <w:sz w:val="24"/>
                <w:szCs w:val="24"/>
              </w:rPr>
              <w:t>课程目标</w:t>
            </w:r>
            <w:r>
              <w:rPr>
                <w:rFonts w:ascii="仿宋" w:hAnsi="仿宋" w:eastAsia="仿宋" w:cs="仿宋"/>
                <w:sz w:val="24"/>
                <w:szCs w:val="24"/>
              </w:rPr>
              <w:t>2</w:t>
            </w:r>
          </w:p>
        </w:tc>
        <w:tc>
          <w:tcPr>
            <w:tcW w:w="4521" w:type="dxa"/>
            <w:gridSpan w:val="8"/>
            <w:tcBorders>
              <w:top w:val="single" w:color="auto" w:sz="4" w:space="0"/>
              <w:left w:val="single" w:color="auto" w:sz="4" w:space="0"/>
              <w:bottom w:val="single" w:color="auto" w:sz="4" w:space="0"/>
              <w:right w:val="single" w:color="auto" w:sz="4" w:space="0"/>
            </w:tcBorders>
            <w:shd w:val="clear" w:color="auto" w:fill="FFFFFF"/>
            <w:vAlign w:val="center"/>
          </w:tcPr>
          <w:p w14:paraId="5840E7AF">
            <w:pPr>
              <w:widowControl/>
              <w:rPr>
                <w:rFonts w:hint="eastAsia" w:ascii="仿宋" w:hAnsi="仿宋" w:eastAsia="仿宋" w:cs="仿宋"/>
                <w:sz w:val="24"/>
                <w:szCs w:val="24"/>
              </w:rPr>
            </w:pPr>
            <w:r>
              <w:rPr>
                <w:rFonts w:hint="eastAsia" w:ascii="仿宋_GB2312" w:hAnsi="仿宋_GB2312" w:eastAsia="仿宋_GB2312" w:cs="楷体"/>
                <w:b/>
                <w:bCs/>
                <w:color w:val="000000"/>
                <w:szCs w:val="21"/>
              </w:rPr>
              <w:t>4</w:t>
            </w:r>
            <w:r>
              <w:rPr>
                <w:rFonts w:ascii="仿宋_GB2312" w:hAnsi="仿宋_GB2312" w:eastAsia="仿宋_GB2312" w:cs="楷体"/>
                <w:b/>
                <w:bCs/>
                <w:color w:val="000000"/>
                <w:szCs w:val="21"/>
              </w:rPr>
              <w:t>.1</w:t>
            </w:r>
            <w:r>
              <w:rPr>
                <w:rFonts w:hint="eastAsia" w:ascii="仿宋_GB2312" w:hAnsi="仿宋_GB2312" w:eastAsia="仿宋_GB2312" w:cs="楷体"/>
                <w:b/>
                <w:bCs/>
                <w:color w:val="000000"/>
                <w:szCs w:val="21"/>
              </w:rPr>
              <w:t>音乐教学能力</w:t>
            </w:r>
          </w:p>
          <w:p w14:paraId="7A44445A">
            <w:pPr>
              <w:ind w:leftChars="0" w:rightChars="0" w:firstLineChars="200"/>
              <w:jc w:val="left"/>
            </w:pPr>
            <w:r>
              <w:rPr>
                <w:rFonts w:hint="eastAsia" w:ascii="仿宋" w:hAnsi="仿宋" w:eastAsia="仿宋" w:cs="仿宋"/>
                <w:sz w:val="24"/>
                <w:szCs w:val="24"/>
              </w:rPr>
              <w:t>熟悉中学音乐课程标准和教材，能够正确处理课标和教材的关系，科学合理地进行教学设计并实施教学，准确把握教学内容，分析学情，合理安排教学过程和环节，科学设计评价内容和方式，根据学生音乐认知的特征和个体差异，注重差异化教学。课后能够及时反思、总结形成初步的教研能力。</w:t>
            </w:r>
          </w:p>
        </w:tc>
        <w:tc>
          <w:tcPr>
            <w:tcW w:w="2077" w:type="dxa"/>
            <w:gridSpan w:val="5"/>
            <w:tcBorders>
              <w:top w:val="single" w:color="auto" w:sz="4" w:space="0"/>
              <w:left w:val="single" w:color="auto" w:sz="4" w:space="0"/>
              <w:bottom w:val="single" w:color="auto" w:sz="4" w:space="0"/>
              <w:right w:val="single" w:color="auto" w:sz="4" w:space="0"/>
            </w:tcBorders>
            <w:shd w:val="clear" w:color="auto" w:fill="FFFFFF"/>
            <w:vAlign w:val="center"/>
          </w:tcPr>
          <w:p w14:paraId="0BF74280">
            <w:pPr>
              <w:jc w:val="center"/>
              <w:rPr>
                <w:rFonts w:hint="eastAsia" w:ascii="仿宋" w:hAnsi="仿宋" w:eastAsia="仿宋" w:cs="仿宋"/>
                <w:sz w:val="24"/>
                <w:szCs w:val="24"/>
              </w:rPr>
            </w:pPr>
            <w:r>
              <w:rPr>
                <w:rFonts w:hint="eastAsia" w:ascii="仿宋" w:hAnsi="仿宋" w:eastAsia="仿宋" w:cs="仿宋"/>
                <w:sz w:val="24"/>
                <w:szCs w:val="24"/>
              </w:rPr>
              <w:t>教学能力（</w:t>
            </w:r>
            <w:r>
              <w:rPr>
                <w:rFonts w:ascii="仿宋" w:hAnsi="仿宋" w:eastAsia="仿宋" w:cs="仿宋"/>
                <w:sz w:val="24"/>
                <w:szCs w:val="24"/>
              </w:rPr>
              <w:t>4</w:t>
            </w:r>
            <w:r>
              <w:rPr>
                <w:rFonts w:hint="eastAsia" w:ascii="仿宋" w:hAnsi="仿宋" w:eastAsia="仿宋" w:cs="仿宋"/>
                <w:sz w:val="24"/>
                <w:szCs w:val="24"/>
              </w:rPr>
              <w:t>）</w:t>
            </w:r>
          </w:p>
          <w:p w14:paraId="3F735150">
            <w:pPr>
              <w:jc w:val="center"/>
            </w:pPr>
            <w:r>
              <w:rPr>
                <w:rFonts w:hint="eastAsia" w:ascii="仿宋" w:hAnsi="仿宋" w:eastAsia="仿宋" w:cs="仿宋"/>
                <w:sz w:val="24"/>
                <w:szCs w:val="24"/>
              </w:rPr>
              <w:t>M</w:t>
            </w:r>
          </w:p>
        </w:tc>
      </w:tr>
      <w:tr w14:paraId="3BD6FBA9">
        <w:trPr>
          <w:trHeight w:val="817"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7678F8A4">
            <w:pPr>
              <w:spacing w:line="240" w:lineRule="atLeast"/>
              <w:jc w:val="center"/>
              <w:rPr>
                <w:rFonts w:hint="eastAsia" w:ascii="仿宋" w:hAnsi="仿宋" w:eastAsia="仿宋" w:cs="仿宋"/>
                <w:sz w:val="24"/>
                <w:szCs w:val="24"/>
              </w:rPr>
            </w:pPr>
          </w:p>
        </w:tc>
        <w:tc>
          <w:tcPr>
            <w:tcW w:w="1174" w:type="dxa"/>
            <w:tcBorders>
              <w:top w:val="single" w:color="auto" w:sz="4" w:space="0"/>
              <w:left w:val="single" w:color="auto" w:sz="4" w:space="0"/>
              <w:bottom w:val="single" w:color="auto" w:sz="4" w:space="0"/>
              <w:right w:val="single" w:color="auto" w:sz="4" w:space="0"/>
            </w:tcBorders>
            <w:shd w:val="clear" w:color="auto" w:fill="FFFFFF"/>
            <w:vAlign w:val="center"/>
          </w:tcPr>
          <w:p w14:paraId="4E54CA6C">
            <w:pPr>
              <w:jc w:val="center"/>
            </w:pPr>
            <w:r>
              <w:rPr>
                <w:rFonts w:hint="eastAsia" w:ascii="仿宋" w:hAnsi="仿宋" w:eastAsia="仿宋" w:cs="仿宋"/>
                <w:sz w:val="24"/>
                <w:szCs w:val="24"/>
              </w:rPr>
              <w:t>课程目标</w:t>
            </w:r>
            <w:r>
              <w:rPr>
                <w:rFonts w:ascii="仿宋" w:hAnsi="仿宋" w:eastAsia="仿宋" w:cs="仿宋"/>
                <w:sz w:val="24"/>
                <w:szCs w:val="24"/>
              </w:rPr>
              <w:t>3</w:t>
            </w:r>
          </w:p>
        </w:tc>
        <w:tc>
          <w:tcPr>
            <w:tcW w:w="4521" w:type="dxa"/>
            <w:gridSpan w:val="8"/>
            <w:tcBorders>
              <w:top w:val="single" w:color="auto" w:sz="4" w:space="0"/>
              <w:left w:val="single" w:color="auto" w:sz="4" w:space="0"/>
              <w:bottom w:val="single" w:color="auto" w:sz="4" w:space="0"/>
              <w:right w:val="single" w:color="auto" w:sz="4" w:space="0"/>
            </w:tcBorders>
            <w:shd w:val="clear" w:color="auto" w:fill="FFFFFF"/>
            <w:vAlign w:val="center"/>
          </w:tcPr>
          <w:p w14:paraId="46393724">
            <w:pPr>
              <w:widowControl/>
              <w:rPr>
                <w:rFonts w:hint="eastAsia" w:ascii="仿宋" w:hAnsi="仿宋" w:eastAsia="仿宋" w:cs="仿宋"/>
                <w:sz w:val="24"/>
                <w:szCs w:val="24"/>
              </w:rPr>
            </w:pPr>
            <w:r>
              <w:rPr>
                <w:rFonts w:ascii="仿宋_GB2312" w:hAnsi="仿宋_GB2312" w:eastAsia="仿宋_GB2312" w:cs="楷体"/>
                <w:b/>
                <w:bCs/>
                <w:color w:val="000000"/>
                <w:szCs w:val="21"/>
              </w:rPr>
              <w:t>7.1</w:t>
            </w:r>
            <w:r>
              <w:rPr>
                <w:rFonts w:hint="eastAsia" w:ascii="仿宋_GB2312" w:hAnsi="仿宋_GB2312" w:eastAsia="仿宋_GB2312" w:cs="楷体"/>
                <w:b/>
                <w:bCs/>
                <w:color w:val="000000"/>
                <w:szCs w:val="21"/>
              </w:rPr>
              <w:t>反思改进</w:t>
            </w:r>
          </w:p>
          <w:p w14:paraId="533890B2">
            <w:r>
              <w:rPr>
                <w:rFonts w:hint="eastAsia" w:ascii="仿宋" w:hAnsi="仿宋" w:eastAsia="仿宋" w:cs="仿宋"/>
                <w:sz w:val="24"/>
                <w:szCs w:val="24"/>
              </w:rPr>
              <w:t xml:space="preserve">    学会反思。具有终身学习和专业发展意识，了解国内外音乐基础教育改革发展的动态，进行职业生涯发展规划。具有一定的创新意识，初步掌握反思方法和技能，能够运用评判性思维方法，对学习和职业状态进行反思改进。</w:t>
            </w:r>
          </w:p>
        </w:tc>
        <w:tc>
          <w:tcPr>
            <w:tcW w:w="2077" w:type="dxa"/>
            <w:gridSpan w:val="5"/>
            <w:tcBorders>
              <w:top w:val="single" w:color="auto" w:sz="4" w:space="0"/>
              <w:left w:val="single" w:color="auto" w:sz="4" w:space="0"/>
              <w:bottom w:val="single" w:color="auto" w:sz="4" w:space="0"/>
              <w:right w:val="single" w:color="auto" w:sz="4" w:space="0"/>
            </w:tcBorders>
            <w:shd w:val="clear" w:color="auto" w:fill="FFFFFF"/>
            <w:vAlign w:val="center"/>
          </w:tcPr>
          <w:p w14:paraId="54EBD364">
            <w:pPr>
              <w:jc w:val="center"/>
              <w:rPr>
                <w:rFonts w:hint="eastAsia" w:ascii="仿宋" w:hAnsi="仿宋" w:eastAsia="仿宋" w:cs="仿宋"/>
                <w:sz w:val="24"/>
                <w:szCs w:val="24"/>
              </w:rPr>
            </w:pPr>
            <w:r>
              <w:rPr>
                <w:rFonts w:hint="eastAsia" w:ascii="仿宋" w:hAnsi="仿宋" w:eastAsia="仿宋" w:cs="仿宋"/>
                <w:sz w:val="24"/>
                <w:szCs w:val="24"/>
              </w:rPr>
              <w:t>学会反思（</w:t>
            </w:r>
            <w:r>
              <w:rPr>
                <w:rFonts w:ascii="仿宋" w:hAnsi="仿宋" w:eastAsia="仿宋" w:cs="仿宋"/>
                <w:sz w:val="24"/>
                <w:szCs w:val="24"/>
              </w:rPr>
              <w:t>7</w:t>
            </w:r>
            <w:r>
              <w:rPr>
                <w:rFonts w:hint="eastAsia" w:ascii="仿宋" w:hAnsi="仿宋" w:eastAsia="仿宋" w:cs="仿宋"/>
                <w:sz w:val="24"/>
                <w:szCs w:val="24"/>
              </w:rPr>
              <w:t>）</w:t>
            </w:r>
          </w:p>
          <w:p w14:paraId="77982A03">
            <w:pPr>
              <w:jc w:val="center"/>
            </w:pPr>
            <w:r>
              <w:rPr>
                <w:rFonts w:hint="eastAsia" w:ascii="仿宋" w:hAnsi="仿宋" w:eastAsia="仿宋" w:cs="仿宋"/>
                <w:sz w:val="24"/>
                <w:szCs w:val="24"/>
              </w:rPr>
              <w:t>L</w:t>
            </w:r>
          </w:p>
        </w:tc>
      </w:tr>
      <w:tr w14:paraId="30067BB0">
        <w:trPr>
          <w:trHeight w:val="582" w:hRule="atLeast"/>
        </w:trPr>
        <w:tc>
          <w:tcPr>
            <w:tcW w:w="1376"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14:paraId="41D9D351">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F</w:t>
            </w:r>
          </w:p>
          <w:p w14:paraId="54089260">
            <w:pPr>
              <w:spacing w:line="240" w:lineRule="atLeast"/>
              <w:jc w:val="center"/>
            </w:pPr>
            <w:r>
              <w:rPr>
                <w:rFonts w:hint="eastAsia" w:ascii="仿宋" w:hAnsi="仿宋" w:eastAsia="仿宋" w:cs="仿宋"/>
                <w:sz w:val="24"/>
                <w:szCs w:val="24"/>
              </w:rPr>
              <w:t>理论学习内容</w:t>
            </w:r>
          </w:p>
        </w:tc>
        <w:tc>
          <w:tcPr>
            <w:tcW w:w="5695" w:type="dxa"/>
            <w:gridSpan w:val="9"/>
            <w:tcBorders>
              <w:top w:val="single" w:color="auto" w:sz="4" w:space="0"/>
              <w:left w:val="single" w:color="auto" w:sz="4" w:space="0"/>
              <w:bottom w:val="single" w:color="auto" w:sz="4" w:space="0"/>
              <w:right w:val="single" w:color="auto" w:sz="4" w:space="0"/>
            </w:tcBorders>
            <w:shd w:val="clear" w:color="auto" w:fill="FFFFFF"/>
            <w:vAlign w:val="center"/>
          </w:tcPr>
          <w:p w14:paraId="6D5291B5">
            <w:pPr>
              <w:spacing w:line="240" w:lineRule="atLeast"/>
              <w:jc w:val="center"/>
            </w:pPr>
            <w:r>
              <w:rPr>
                <w:rFonts w:hint="eastAsia" w:ascii="仿宋" w:hAnsi="仿宋" w:eastAsia="仿宋" w:cs="仿宋"/>
                <w:kern w:val="0"/>
                <w:sz w:val="24"/>
                <w:szCs w:val="24"/>
              </w:rPr>
              <w:t>章节学习内容与学习要求</w:t>
            </w:r>
          </w:p>
        </w:tc>
        <w:tc>
          <w:tcPr>
            <w:tcW w:w="1153"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07E635B0">
            <w:pPr>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支撑课程</w:t>
            </w:r>
          </w:p>
          <w:p w14:paraId="042A9FB1">
            <w:pPr>
              <w:spacing w:line="240" w:lineRule="atLeast"/>
              <w:jc w:val="center"/>
            </w:pPr>
            <w:r>
              <w:rPr>
                <w:rFonts w:hint="eastAsia" w:ascii="仿宋" w:hAnsi="仿宋" w:eastAsia="仿宋" w:cs="仿宋"/>
                <w:kern w:val="0"/>
                <w:sz w:val="24"/>
                <w:szCs w:val="24"/>
              </w:rPr>
              <w:t>目标</w:t>
            </w:r>
          </w:p>
        </w:tc>
        <w:tc>
          <w:tcPr>
            <w:tcW w:w="924"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7ED6C618">
            <w:pPr>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学时</w:t>
            </w:r>
          </w:p>
          <w:p w14:paraId="4C37D988">
            <w:pPr>
              <w:spacing w:line="240" w:lineRule="atLeast"/>
              <w:jc w:val="center"/>
            </w:pPr>
            <w:r>
              <w:rPr>
                <w:rFonts w:hint="eastAsia" w:ascii="仿宋" w:hAnsi="仿宋" w:eastAsia="仿宋" w:cs="仿宋"/>
                <w:kern w:val="0"/>
                <w:sz w:val="24"/>
                <w:szCs w:val="24"/>
              </w:rPr>
              <w:t>分配</w:t>
            </w:r>
          </w:p>
        </w:tc>
      </w:tr>
      <w:tr w14:paraId="05A6FEB5">
        <w:trPr>
          <w:trHeight w:val="45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2CFE2395">
            <w:pPr>
              <w:spacing w:line="240" w:lineRule="atLeast"/>
              <w:jc w:val="right"/>
              <w:rPr>
                <w:rFonts w:hint="eastAsia" w:ascii="仿宋" w:hAnsi="仿宋" w:eastAsia="仿宋" w:cs="仿宋"/>
                <w:kern w:val="0"/>
                <w:sz w:val="24"/>
                <w:szCs w:val="24"/>
              </w:rPr>
            </w:pPr>
          </w:p>
        </w:tc>
        <w:tc>
          <w:tcPr>
            <w:tcW w:w="5695" w:type="dxa"/>
            <w:gridSpan w:val="9"/>
            <w:tcBorders>
              <w:top w:val="single" w:color="auto" w:sz="4" w:space="0"/>
              <w:left w:val="single" w:color="auto" w:sz="4" w:space="0"/>
              <w:bottom w:val="single" w:color="auto" w:sz="4" w:space="0"/>
              <w:right w:val="single" w:color="auto" w:sz="4" w:space="0"/>
            </w:tcBorders>
            <w:vAlign w:val="center"/>
          </w:tcPr>
          <w:p w14:paraId="206D1305">
            <w:pPr>
              <w:widowControl/>
              <w:rPr>
                <w:rFonts w:hint="eastAsia" w:ascii="仿宋" w:hAnsi="仿宋" w:eastAsia="仿宋" w:cs="仿宋"/>
                <w:sz w:val="24"/>
                <w:szCs w:val="24"/>
              </w:rPr>
            </w:pPr>
          </w:p>
        </w:tc>
        <w:tc>
          <w:tcPr>
            <w:tcW w:w="1153" w:type="dxa"/>
            <w:gridSpan w:val="3"/>
            <w:tcBorders>
              <w:top w:val="single" w:color="auto" w:sz="4" w:space="0"/>
              <w:left w:val="single" w:color="auto" w:sz="4" w:space="0"/>
              <w:bottom w:val="single" w:color="auto" w:sz="4" w:space="0"/>
              <w:right w:val="single" w:color="auto" w:sz="4" w:space="0"/>
            </w:tcBorders>
            <w:vAlign w:val="center"/>
          </w:tcPr>
          <w:p w14:paraId="50516C7D">
            <w:pPr>
              <w:widowControl/>
              <w:jc w:val="center"/>
              <w:rPr>
                <w:rFonts w:hint="eastAsia" w:ascii="仿宋" w:hAnsi="仿宋" w:eastAsia="仿宋" w:cs="仿宋"/>
                <w:bCs/>
                <w:sz w:val="24"/>
                <w:szCs w:val="24"/>
              </w:rPr>
            </w:pPr>
          </w:p>
        </w:tc>
        <w:tc>
          <w:tcPr>
            <w:tcW w:w="924"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2D1CA3D2">
            <w:pPr>
              <w:jc w:val="center"/>
              <w:rPr>
                <w:rFonts w:hint="eastAsia" w:ascii="仿宋" w:hAnsi="仿宋" w:eastAsia="仿宋" w:cs="仿宋"/>
                <w:bCs/>
                <w:sz w:val="24"/>
                <w:szCs w:val="24"/>
              </w:rPr>
            </w:pPr>
          </w:p>
        </w:tc>
      </w:tr>
      <w:tr w14:paraId="20B682CC">
        <w:trPr>
          <w:trHeight w:val="45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5D508AD0">
            <w:pPr>
              <w:spacing w:line="240" w:lineRule="atLeast"/>
              <w:jc w:val="right"/>
              <w:rPr>
                <w:rFonts w:hint="eastAsia" w:ascii="仿宋" w:hAnsi="仿宋" w:eastAsia="仿宋" w:cs="仿宋"/>
                <w:sz w:val="24"/>
                <w:szCs w:val="24"/>
              </w:rPr>
            </w:pPr>
          </w:p>
        </w:tc>
        <w:tc>
          <w:tcPr>
            <w:tcW w:w="5695" w:type="dxa"/>
            <w:gridSpan w:val="9"/>
            <w:tcBorders>
              <w:top w:val="single" w:color="auto" w:sz="4" w:space="0"/>
              <w:left w:val="single" w:color="auto" w:sz="4" w:space="0"/>
              <w:bottom w:val="single" w:color="auto" w:sz="4" w:space="0"/>
              <w:right w:val="single" w:color="auto" w:sz="4" w:space="0"/>
            </w:tcBorders>
            <w:vAlign w:val="center"/>
          </w:tcPr>
          <w:p w14:paraId="6228F47F">
            <w:pPr>
              <w:rPr>
                <w:rFonts w:hint="eastAsia" w:ascii="仿宋" w:hAnsi="仿宋" w:eastAsia="仿宋" w:cs="仿宋"/>
                <w:sz w:val="24"/>
                <w:szCs w:val="24"/>
              </w:rPr>
            </w:pPr>
          </w:p>
        </w:tc>
        <w:tc>
          <w:tcPr>
            <w:tcW w:w="1153" w:type="dxa"/>
            <w:gridSpan w:val="3"/>
            <w:tcBorders>
              <w:top w:val="single" w:color="auto" w:sz="4" w:space="0"/>
              <w:left w:val="single" w:color="auto" w:sz="4" w:space="0"/>
              <w:bottom w:val="single" w:color="auto" w:sz="4" w:space="0"/>
              <w:right w:val="single" w:color="auto" w:sz="4" w:space="0"/>
            </w:tcBorders>
            <w:vAlign w:val="center"/>
          </w:tcPr>
          <w:p w14:paraId="0E88B186">
            <w:pPr>
              <w:jc w:val="center"/>
              <w:rPr>
                <w:rFonts w:hint="eastAsia" w:ascii="仿宋" w:hAnsi="仿宋" w:eastAsia="仿宋" w:cs="仿宋"/>
                <w:bCs/>
                <w:sz w:val="24"/>
                <w:szCs w:val="24"/>
              </w:rPr>
            </w:pPr>
          </w:p>
        </w:tc>
        <w:tc>
          <w:tcPr>
            <w:tcW w:w="924"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1227CC10">
            <w:pPr>
              <w:jc w:val="center"/>
              <w:rPr>
                <w:rFonts w:hint="eastAsia" w:ascii="仿宋" w:hAnsi="仿宋" w:eastAsia="仿宋" w:cs="仿宋"/>
                <w:bCs/>
                <w:sz w:val="24"/>
                <w:szCs w:val="24"/>
              </w:rPr>
            </w:pPr>
          </w:p>
        </w:tc>
      </w:tr>
      <w:tr w14:paraId="4FF61658">
        <w:trPr>
          <w:trHeight w:val="45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1DECF607">
            <w:pPr>
              <w:spacing w:line="240" w:lineRule="atLeast"/>
              <w:jc w:val="center"/>
              <w:rPr>
                <w:rFonts w:hint="eastAsia" w:ascii="仿宋" w:hAnsi="仿宋" w:eastAsia="仿宋" w:cs="仿宋"/>
                <w:sz w:val="24"/>
                <w:szCs w:val="24"/>
              </w:rPr>
            </w:pPr>
          </w:p>
        </w:tc>
        <w:tc>
          <w:tcPr>
            <w:tcW w:w="6848" w:type="dxa"/>
            <w:gridSpan w:val="12"/>
            <w:tcBorders>
              <w:top w:val="single" w:color="auto" w:sz="4" w:space="0"/>
              <w:left w:val="single" w:color="auto" w:sz="4" w:space="0"/>
              <w:bottom w:val="single" w:color="auto" w:sz="4" w:space="0"/>
              <w:right w:val="single" w:color="auto" w:sz="4" w:space="0"/>
            </w:tcBorders>
            <w:vAlign w:val="center"/>
          </w:tcPr>
          <w:p w14:paraId="54BB147B">
            <w:pPr>
              <w:jc w:val="center"/>
            </w:pPr>
            <w:r>
              <w:rPr>
                <w:rFonts w:hint="eastAsia" w:ascii="仿宋" w:hAnsi="仿宋" w:eastAsia="仿宋" w:cs="仿宋"/>
                <w:bCs/>
                <w:sz w:val="24"/>
                <w:szCs w:val="24"/>
              </w:rPr>
              <w:t>合计</w:t>
            </w:r>
          </w:p>
        </w:tc>
        <w:tc>
          <w:tcPr>
            <w:tcW w:w="924"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1BFBE5C0">
            <w:pPr>
              <w:jc w:val="center"/>
              <w:rPr>
                <w:rFonts w:hint="eastAsia" w:ascii="仿宋" w:hAnsi="仿宋" w:eastAsia="仿宋" w:cs="仿宋"/>
                <w:bCs/>
                <w:sz w:val="24"/>
                <w:szCs w:val="24"/>
              </w:rPr>
            </w:pPr>
          </w:p>
        </w:tc>
      </w:tr>
      <w:tr w14:paraId="60951348">
        <w:trPr>
          <w:trHeight w:val="454" w:hRule="atLeast"/>
        </w:trPr>
        <w:tc>
          <w:tcPr>
            <w:tcW w:w="1376"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14:paraId="2155D073">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G</w:t>
            </w:r>
          </w:p>
          <w:p w14:paraId="55F89E90">
            <w:pPr>
              <w:spacing w:line="240" w:lineRule="atLeast"/>
              <w:jc w:val="center"/>
            </w:pPr>
            <w:r>
              <w:rPr>
                <w:rFonts w:hint="eastAsia" w:ascii="仿宋" w:hAnsi="仿宋" w:eastAsia="仿宋" w:cs="仿宋"/>
                <w:sz w:val="24"/>
                <w:szCs w:val="24"/>
              </w:rPr>
              <w:t>实验（实训）内容</w:t>
            </w:r>
          </w:p>
        </w:tc>
        <w:tc>
          <w:tcPr>
            <w:tcW w:w="5695" w:type="dxa"/>
            <w:gridSpan w:val="9"/>
            <w:tcBorders>
              <w:top w:val="single" w:color="auto" w:sz="4" w:space="0"/>
              <w:left w:val="single" w:color="auto" w:sz="4" w:space="0"/>
              <w:bottom w:val="single" w:color="auto" w:sz="4" w:space="0"/>
              <w:right w:val="single" w:color="auto" w:sz="4" w:space="0"/>
            </w:tcBorders>
            <w:vAlign w:val="center"/>
          </w:tcPr>
          <w:p w14:paraId="01EFEE9F">
            <w:pPr>
              <w:spacing w:line="240" w:lineRule="atLeast"/>
              <w:jc w:val="center"/>
            </w:pPr>
            <w:r>
              <w:rPr>
                <w:rFonts w:hint="eastAsia" w:ascii="仿宋" w:hAnsi="仿宋" w:eastAsia="仿宋" w:cs="仿宋"/>
                <w:kern w:val="0"/>
                <w:sz w:val="24"/>
                <w:szCs w:val="24"/>
              </w:rPr>
              <w:t>项目名称、主要内容及开设要求</w:t>
            </w:r>
          </w:p>
        </w:tc>
        <w:tc>
          <w:tcPr>
            <w:tcW w:w="1153" w:type="dxa"/>
            <w:gridSpan w:val="3"/>
            <w:tcBorders>
              <w:top w:val="single" w:color="auto" w:sz="4" w:space="0"/>
              <w:left w:val="single" w:color="auto" w:sz="4" w:space="0"/>
              <w:bottom w:val="single" w:color="auto" w:sz="4" w:space="0"/>
              <w:right w:val="single" w:color="auto" w:sz="4" w:space="0"/>
            </w:tcBorders>
            <w:vAlign w:val="center"/>
          </w:tcPr>
          <w:p w14:paraId="6DC63279">
            <w:pPr>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支撑课程</w:t>
            </w:r>
          </w:p>
          <w:p w14:paraId="6DADE449">
            <w:pPr>
              <w:spacing w:line="240" w:lineRule="atLeast"/>
              <w:jc w:val="center"/>
            </w:pPr>
            <w:r>
              <w:rPr>
                <w:rFonts w:hint="eastAsia" w:ascii="仿宋" w:hAnsi="仿宋" w:eastAsia="仿宋" w:cs="仿宋"/>
                <w:kern w:val="0"/>
                <w:sz w:val="24"/>
                <w:szCs w:val="24"/>
              </w:rPr>
              <w:t>目标</w:t>
            </w:r>
          </w:p>
        </w:tc>
        <w:tc>
          <w:tcPr>
            <w:tcW w:w="924"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38F1AE22">
            <w:pPr>
              <w:jc w:val="center"/>
              <w:rPr>
                <w:rFonts w:hint="eastAsia" w:ascii="仿宋" w:hAnsi="仿宋" w:eastAsia="仿宋" w:cs="仿宋"/>
                <w:kern w:val="0"/>
                <w:sz w:val="24"/>
                <w:szCs w:val="24"/>
              </w:rPr>
            </w:pPr>
            <w:r>
              <w:rPr>
                <w:rFonts w:hint="eastAsia" w:ascii="仿宋" w:hAnsi="仿宋" w:eastAsia="仿宋" w:cs="仿宋"/>
                <w:kern w:val="0"/>
                <w:sz w:val="24"/>
                <w:szCs w:val="24"/>
              </w:rPr>
              <w:t xml:space="preserve">学时 </w:t>
            </w:r>
          </w:p>
          <w:p w14:paraId="56768B53">
            <w:pPr>
              <w:jc w:val="center"/>
            </w:pPr>
            <w:r>
              <w:rPr>
                <w:rFonts w:hint="eastAsia" w:ascii="仿宋" w:hAnsi="仿宋" w:eastAsia="仿宋" w:cs="仿宋"/>
                <w:kern w:val="0"/>
                <w:sz w:val="24"/>
                <w:szCs w:val="24"/>
              </w:rPr>
              <w:t>分配</w:t>
            </w:r>
          </w:p>
        </w:tc>
      </w:tr>
      <w:tr w14:paraId="4939B2C1">
        <w:trPr>
          <w:trHeight w:val="1757"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365F303D">
            <w:pPr>
              <w:spacing w:line="240" w:lineRule="atLeast"/>
              <w:jc w:val="center"/>
              <w:rPr>
                <w:rFonts w:hint="eastAsia" w:ascii="仿宋" w:hAnsi="仿宋" w:eastAsia="仿宋" w:cs="仿宋"/>
                <w:sz w:val="24"/>
                <w:szCs w:val="24"/>
              </w:rPr>
            </w:pPr>
          </w:p>
        </w:tc>
        <w:tc>
          <w:tcPr>
            <w:tcW w:w="5695" w:type="dxa"/>
            <w:gridSpan w:val="9"/>
            <w:tcBorders>
              <w:top w:val="single" w:color="auto" w:sz="4" w:space="0"/>
              <w:left w:val="single" w:color="auto" w:sz="4" w:space="0"/>
              <w:bottom w:val="single" w:color="auto" w:sz="4" w:space="0"/>
              <w:right w:val="single" w:color="auto" w:sz="4" w:space="0"/>
            </w:tcBorders>
            <w:vAlign w:val="center"/>
          </w:tcPr>
          <w:p w14:paraId="32717C69">
            <w:pPr>
              <w:rPr>
                <w:rFonts w:hint="eastAsia" w:ascii="仿宋" w:hAnsi="仿宋" w:eastAsia="仿宋" w:cs="仿宋"/>
                <w:bCs/>
                <w:sz w:val="24"/>
                <w:szCs w:val="24"/>
              </w:rPr>
            </w:pPr>
            <w:r>
              <w:rPr>
                <w:rFonts w:hint="eastAsia" w:ascii="仿宋" w:hAnsi="仿宋" w:eastAsia="仿宋" w:cs="仿宋"/>
                <w:bCs/>
                <w:sz w:val="24"/>
                <w:szCs w:val="24"/>
              </w:rPr>
              <w:t>第一学年第一学期</w:t>
            </w:r>
          </w:p>
          <w:p w14:paraId="301686DA">
            <w:pPr>
              <w:ind w:left="840" w:right="0"/>
              <w:rPr>
                <w:rFonts w:hint="eastAsia" w:ascii="仿宋" w:hAnsi="仿宋" w:eastAsia="仿宋" w:cs="仿宋"/>
                <w:bCs/>
                <w:sz w:val="24"/>
                <w:szCs w:val="24"/>
              </w:rPr>
            </w:pPr>
            <w:r>
              <w:rPr>
                <w:rFonts w:hint="eastAsia" w:ascii="仿宋" w:hAnsi="仿宋" w:eastAsia="仿宋" w:cs="仿宋"/>
                <w:bCs/>
                <w:sz w:val="24"/>
                <w:szCs w:val="24"/>
              </w:rPr>
              <w:t>本学期教学导论</w:t>
            </w:r>
          </w:p>
          <w:p w14:paraId="52BBE676">
            <w:pPr>
              <w:rPr>
                <w:rFonts w:hint="eastAsia" w:ascii="仿宋" w:hAnsi="仿宋" w:eastAsia="仿宋" w:cs="仿宋"/>
                <w:bCs/>
                <w:sz w:val="24"/>
                <w:szCs w:val="24"/>
              </w:rPr>
            </w:pPr>
            <w:r>
              <w:rPr>
                <w:rFonts w:hint="eastAsia" w:ascii="仿宋" w:hAnsi="仿宋" w:eastAsia="仿宋" w:cs="仿宋"/>
                <w:bCs/>
                <w:sz w:val="24"/>
                <w:szCs w:val="24"/>
              </w:rPr>
              <w:t>钢琴弹奏基础体系的构建</w:t>
            </w:r>
          </w:p>
          <w:p w14:paraId="53B868B6">
            <w:pPr>
              <w:ind w:left="840" w:right="0"/>
              <w:rPr>
                <w:rFonts w:hint="eastAsia" w:ascii="仿宋" w:hAnsi="仿宋" w:eastAsia="仿宋" w:cs="仿宋"/>
                <w:bCs/>
                <w:sz w:val="24"/>
                <w:szCs w:val="24"/>
              </w:rPr>
            </w:pPr>
            <w:r>
              <w:rPr>
                <w:rFonts w:hint="eastAsia" w:ascii="仿宋" w:hAnsi="仿宋" w:eastAsia="仿宋" w:cs="仿宋"/>
                <w:bCs/>
                <w:sz w:val="24"/>
                <w:szCs w:val="24"/>
              </w:rPr>
              <w:t>布置音阶和练习曲及练习修改</w:t>
            </w:r>
          </w:p>
          <w:p w14:paraId="0E6058E4">
            <w:pPr>
              <w:ind w:left="840" w:right="0"/>
              <w:rPr>
                <w:rFonts w:hint="eastAsia" w:ascii="仿宋" w:hAnsi="仿宋" w:eastAsia="仿宋" w:cs="仿宋"/>
                <w:bCs/>
                <w:sz w:val="24"/>
                <w:szCs w:val="24"/>
                <w:lang w:val="en-US" w:eastAsia="zh-CN"/>
              </w:rPr>
            </w:pPr>
            <w:r>
              <w:rPr>
                <w:rFonts w:hint="eastAsia" w:ascii="仿宋" w:hAnsi="仿宋" w:eastAsia="仿宋" w:cs="仿宋"/>
                <w:bCs/>
                <w:sz w:val="24"/>
                <w:szCs w:val="24"/>
              </w:rPr>
              <w:t>布置乐曲及练习修改</w:t>
            </w:r>
          </w:p>
          <w:p w14:paraId="3A127469">
            <w:pPr>
              <w:ind w:left="840" w:right="0"/>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曲目范围：</w:t>
            </w:r>
          </w:p>
          <w:p w14:paraId="7D9386BA">
            <w:pPr>
              <w:ind w:left="840" w:right="0"/>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无升无降大小调音阶、琶音，教师对学生应有一定的速度要求；</w:t>
            </w:r>
          </w:p>
          <w:p w14:paraId="1F8DE882">
            <w:pPr>
              <w:ind w:left="840" w:right="0"/>
              <w:rPr>
                <w:rFonts w:hint="eastAsia" w:ascii="仿宋" w:hAnsi="仿宋" w:eastAsia="仿宋" w:cs="仿宋"/>
                <w:sz w:val="24"/>
                <w:szCs w:val="24"/>
                <w:lang w:val="en-US" w:eastAsia="zh-CN"/>
              </w:rPr>
            </w:pPr>
            <w:r>
              <w:rPr>
                <w:rFonts w:hint="eastAsia" w:ascii="仿宋" w:hAnsi="仿宋" w:eastAsia="仿宋" w:cs="仿宋"/>
                <w:bCs/>
                <w:sz w:val="24"/>
                <w:szCs w:val="24"/>
                <w:lang w:val="en-US" w:eastAsia="zh-CN"/>
              </w:rPr>
              <w:t xml:space="preserve">车尔尼初级钢琴 </w:t>
            </w:r>
            <w:r>
              <w:rPr>
                <w:rFonts w:hint="eastAsia" w:ascii="仿宋" w:hAnsi="仿宋" w:eastAsia="仿宋" w:cs="仿宋"/>
                <w:bCs/>
                <w:i/>
                <w:iCs/>
                <w:sz w:val="24"/>
                <w:szCs w:val="24"/>
                <w:lang w:val="en-US" w:eastAsia="zh-CN"/>
              </w:rPr>
              <w:t>OP.599</w:t>
            </w:r>
            <w:r>
              <w:rPr>
                <w:rFonts w:hint="eastAsia" w:ascii="仿宋" w:hAnsi="仿宋" w:eastAsia="仿宋" w:cs="仿宋"/>
                <w:bCs/>
                <w:sz w:val="24"/>
                <w:szCs w:val="24"/>
                <w:lang w:val="en-US" w:eastAsia="zh-CN"/>
              </w:rPr>
              <w:t>，下学期，或程度相近的同类曲目或复调曲目；</w:t>
            </w:r>
          </w:p>
          <w:p w14:paraId="6CFD8D83">
            <w:pPr>
              <w:ind w:left="840" w:right="0"/>
              <w:rPr>
                <w:rFonts w:hint="eastAsia" w:ascii="仿宋" w:hAnsi="仿宋" w:eastAsia="仿宋" w:cs="仿宋"/>
                <w:bCs/>
                <w:sz w:val="24"/>
                <w:szCs w:val="24"/>
              </w:rPr>
            </w:pPr>
            <w:r>
              <w:rPr>
                <w:rFonts w:hint="eastAsia" w:ascii="仿宋" w:hAnsi="仿宋" w:eastAsia="仿宋" w:cs="仿宋"/>
                <w:sz w:val="24"/>
                <w:szCs w:val="24"/>
                <w:lang w:val="en-US" w:eastAsia="zh-CN"/>
              </w:rPr>
              <w:t>《钢琴基础教程1-2》</w:t>
            </w:r>
            <w:r>
              <w:rPr>
                <w:rFonts w:hint="eastAsia" w:ascii="仿宋" w:hAnsi="仿宋" w:eastAsia="仿宋" w:cs="仿宋"/>
                <w:bCs/>
                <w:sz w:val="24"/>
                <w:szCs w:val="24"/>
                <w:lang w:val="en-US" w:eastAsia="zh-CN"/>
              </w:rPr>
              <w:t>中较简单的曲目，或程度相近的同类曲目；</w:t>
            </w:r>
          </w:p>
          <w:p w14:paraId="60CAE288">
            <w:pPr>
              <w:rPr>
                <w:rFonts w:hint="eastAsia" w:ascii="仿宋" w:hAnsi="仿宋" w:eastAsia="仿宋" w:cs="仿宋"/>
                <w:bCs/>
                <w:sz w:val="24"/>
                <w:szCs w:val="24"/>
              </w:rPr>
            </w:pPr>
            <w:r>
              <w:rPr>
                <w:rFonts w:hint="eastAsia" w:ascii="仿宋" w:hAnsi="仿宋" w:eastAsia="仿宋" w:cs="仿宋"/>
                <w:bCs/>
                <w:sz w:val="24"/>
                <w:szCs w:val="24"/>
              </w:rPr>
              <w:t>第一学年第二学期</w:t>
            </w:r>
          </w:p>
          <w:p w14:paraId="40F7B068">
            <w:pPr>
              <w:ind w:left="840" w:right="0"/>
              <w:rPr>
                <w:rFonts w:hint="eastAsia" w:ascii="仿宋" w:hAnsi="仿宋" w:eastAsia="仿宋" w:cs="仿宋"/>
                <w:bCs/>
                <w:sz w:val="24"/>
                <w:szCs w:val="24"/>
              </w:rPr>
            </w:pPr>
            <w:r>
              <w:rPr>
                <w:rFonts w:hint="eastAsia" w:ascii="仿宋" w:hAnsi="仿宋" w:eastAsia="仿宋" w:cs="仿宋"/>
                <w:bCs/>
                <w:sz w:val="24"/>
                <w:szCs w:val="24"/>
              </w:rPr>
              <w:t>布置音阶和常见技术项目训练</w:t>
            </w:r>
          </w:p>
          <w:p w14:paraId="40F78B31">
            <w:pPr>
              <w:ind w:left="840" w:right="0"/>
              <w:rPr>
                <w:rFonts w:hint="eastAsia" w:ascii="仿宋" w:hAnsi="仿宋" w:eastAsia="仿宋" w:cs="仿宋"/>
                <w:bCs/>
                <w:sz w:val="24"/>
                <w:szCs w:val="24"/>
              </w:rPr>
            </w:pPr>
            <w:r>
              <w:rPr>
                <w:rFonts w:hint="eastAsia" w:ascii="仿宋" w:hAnsi="仿宋" w:eastAsia="仿宋" w:cs="仿宋"/>
                <w:bCs/>
                <w:sz w:val="24"/>
                <w:szCs w:val="24"/>
              </w:rPr>
              <w:t>练习曲（或复调）及练习修改</w:t>
            </w:r>
          </w:p>
          <w:p w14:paraId="3421C632">
            <w:pPr>
              <w:ind w:left="840" w:right="0"/>
              <w:rPr>
                <w:rFonts w:hint="eastAsia" w:ascii="仿宋" w:hAnsi="仿宋" w:eastAsia="仿宋" w:cs="仿宋"/>
                <w:bCs/>
                <w:sz w:val="24"/>
                <w:szCs w:val="24"/>
                <w:lang w:val="en-US" w:eastAsia="zh-CN"/>
              </w:rPr>
            </w:pPr>
            <w:r>
              <w:rPr>
                <w:rFonts w:hint="eastAsia" w:ascii="仿宋" w:hAnsi="仿宋" w:eastAsia="仿宋" w:cs="仿宋"/>
                <w:bCs/>
                <w:sz w:val="24"/>
                <w:szCs w:val="24"/>
              </w:rPr>
              <w:t>布置乐曲及练习修改</w:t>
            </w:r>
          </w:p>
          <w:p w14:paraId="488C8F5E">
            <w:pPr>
              <w:ind w:left="840" w:right="0"/>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曲目范围：</w:t>
            </w:r>
          </w:p>
          <w:p w14:paraId="3DE247D5">
            <w:pPr>
              <w:ind w:left="840" w:right="0"/>
              <w:rPr>
                <w:rFonts w:hint="eastAsia" w:ascii="仿宋" w:hAnsi="仿宋" w:eastAsia="仿宋" w:cs="仿宋"/>
                <w:bCs/>
                <w:i w:val="0"/>
                <w:iCs w:val="0"/>
                <w:sz w:val="24"/>
                <w:szCs w:val="24"/>
                <w:lang w:val="en-US" w:eastAsia="zh-CN"/>
              </w:rPr>
            </w:pPr>
            <w:r>
              <w:rPr>
                <w:rFonts w:hint="eastAsia" w:ascii="仿宋" w:hAnsi="仿宋" w:eastAsia="仿宋" w:cs="仿宋"/>
                <w:bCs/>
                <w:sz w:val="24"/>
                <w:szCs w:val="24"/>
                <w:lang w:val="en-US" w:eastAsia="zh-CN"/>
              </w:rPr>
              <w:t>基础练习：1升1降大小调音阶、琶音，教师对学生应有一定的速度要求；</w:t>
            </w:r>
          </w:p>
          <w:p w14:paraId="7F2416D2">
            <w:pPr>
              <w:ind w:left="840" w:right="0"/>
              <w:rPr>
                <w:rFonts w:hint="eastAsia" w:ascii="仿宋" w:hAnsi="仿宋" w:eastAsia="仿宋" w:cs="仿宋"/>
                <w:bCs/>
                <w:sz w:val="24"/>
                <w:szCs w:val="24"/>
                <w:lang w:val="en-US" w:eastAsia="zh-CN"/>
              </w:rPr>
            </w:pPr>
            <w:r>
              <w:rPr>
                <w:rFonts w:hint="eastAsia" w:ascii="仿宋" w:hAnsi="仿宋" w:eastAsia="仿宋" w:cs="仿宋"/>
                <w:bCs/>
                <w:i w:val="0"/>
                <w:iCs w:val="0"/>
                <w:sz w:val="24"/>
                <w:szCs w:val="24"/>
                <w:lang w:val="en-US" w:eastAsia="zh-CN"/>
              </w:rPr>
              <w:t>练习曲：车尔尼钢琴流畅练习曲</w:t>
            </w:r>
            <w:r>
              <w:rPr>
                <w:rFonts w:hint="eastAsia" w:ascii="仿宋" w:hAnsi="仿宋" w:eastAsia="仿宋" w:cs="仿宋"/>
                <w:bCs/>
                <w:i/>
                <w:iCs/>
                <w:sz w:val="24"/>
                <w:szCs w:val="24"/>
                <w:lang w:val="en-US" w:eastAsia="zh-CN"/>
              </w:rPr>
              <w:t>OP.849 16</w:t>
            </w:r>
            <w:r>
              <w:rPr>
                <w:rFonts w:hint="eastAsia" w:ascii="仿宋" w:hAnsi="仿宋" w:eastAsia="仿宋" w:cs="仿宋"/>
                <w:bCs/>
                <w:sz w:val="24"/>
                <w:szCs w:val="24"/>
                <w:lang w:val="en-US" w:eastAsia="zh-CN"/>
              </w:rPr>
              <w:t xml:space="preserve"> 前或程度相近的同类曲目或复调曲目；</w:t>
            </w:r>
          </w:p>
          <w:p w14:paraId="6BC4BA7C">
            <w:pPr>
              <w:ind w:left="840" w:right="0"/>
              <w:rPr>
                <w:rFonts w:hint="eastAsia" w:ascii="仿宋" w:hAnsi="仿宋" w:eastAsia="仿宋" w:cs="仿宋"/>
                <w:bCs/>
                <w:sz w:val="24"/>
                <w:szCs w:val="24"/>
              </w:rPr>
            </w:pPr>
            <w:r>
              <w:rPr>
                <w:rFonts w:hint="eastAsia" w:ascii="仿宋" w:hAnsi="仿宋" w:eastAsia="仿宋" w:cs="仿宋"/>
                <w:bCs/>
                <w:sz w:val="24"/>
                <w:szCs w:val="24"/>
                <w:lang w:val="en-US" w:eastAsia="zh-CN"/>
              </w:rPr>
              <w:t>乐曲：</w:t>
            </w:r>
            <w:r>
              <w:rPr>
                <w:rFonts w:hint="eastAsia" w:ascii="仿宋" w:hAnsi="仿宋" w:eastAsia="仿宋" w:cs="仿宋"/>
                <w:sz w:val="24"/>
                <w:szCs w:val="24"/>
                <w:lang w:val="en-US" w:eastAsia="zh-CN"/>
              </w:rPr>
              <w:t>《钢琴基础教程1-2》</w:t>
            </w:r>
            <w:r>
              <w:rPr>
                <w:rFonts w:hint="eastAsia" w:ascii="仿宋" w:hAnsi="仿宋" w:eastAsia="仿宋" w:cs="仿宋"/>
                <w:bCs/>
                <w:sz w:val="24"/>
                <w:szCs w:val="24"/>
                <w:lang w:val="en-US" w:eastAsia="zh-CN"/>
              </w:rPr>
              <w:t>中较难的曲目，或程度相近的同类曲目；</w:t>
            </w:r>
          </w:p>
          <w:p w14:paraId="7A6B8198">
            <w:pPr>
              <w:rPr>
                <w:rFonts w:hint="eastAsia" w:ascii="仿宋" w:hAnsi="仿宋" w:eastAsia="仿宋" w:cs="仿宋"/>
                <w:bCs/>
                <w:sz w:val="24"/>
                <w:szCs w:val="24"/>
              </w:rPr>
            </w:pPr>
            <w:r>
              <w:rPr>
                <w:rFonts w:hint="eastAsia" w:ascii="仿宋" w:hAnsi="仿宋" w:eastAsia="仿宋" w:cs="仿宋"/>
                <w:bCs/>
                <w:sz w:val="24"/>
                <w:szCs w:val="24"/>
              </w:rPr>
              <w:t>第二学年第三学期</w:t>
            </w:r>
          </w:p>
          <w:p w14:paraId="5FC3F142">
            <w:pPr>
              <w:ind w:left="840" w:right="0"/>
              <w:rPr>
                <w:rFonts w:hint="eastAsia" w:ascii="仿宋" w:hAnsi="仿宋" w:eastAsia="仿宋" w:cs="仿宋"/>
                <w:bCs/>
                <w:sz w:val="24"/>
                <w:szCs w:val="24"/>
              </w:rPr>
            </w:pPr>
            <w:r>
              <w:rPr>
                <w:rFonts w:hint="eastAsia" w:ascii="仿宋" w:hAnsi="仿宋" w:eastAsia="仿宋" w:cs="仿宋"/>
                <w:bCs/>
                <w:sz w:val="24"/>
                <w:szCs w:val="24"/>
              </w:rPr>
              <w:t>布置音阶和常见技术项目训练</w:t>
            </w:r>
          </w:p>
          <w:p w14:paraId="5E1A2719">
            <w:pPr>
              <w:ind w:left="840" w:right="0"/>
              <w:rPr>
                <w:rFonts w:hint="eastAsia" w:ascii="仿宋" w:hAnsi="仿宋" w:eastAsia="仿宋" w:cs="仿宋"/>
                <w:bCs/>
                <w:sz w:val="24"/>
                <w:szCs w:val="24"/>
              </w:rPr>
            </w:pPr>
            <w:r>
              <w:rPr>
                <w:rFonts w:hint="eastAsia" w:ascii="仿宋" w:hAnsi="仿宋" w:eastAsia="仿宋" w:cs="仿宋"/>
                <w:bCs/>
                <w:sz w:val="24"/>
                <w:szCs w:val="24"/>
              </w:rPr>
              <w:t>练习曲（或复调）及练习修改</w:t>
            </w:r>
          </w:p>
          <w:p w14:paraId="54BD79AF">
            <w:pPr>
              <w:ind w:left="840" w:right="0"/>
              <w:rPr>
                <w:rFonts w:hint="eastAsia" w:ascii="仿宋" w:hAnsi="仿宋" w:eastAsia="仿宋" w:cs="仿宋"/>
                <w:bCs/>
                <w:sz w:val="24"/>
                <w:szCs w:val="24"/>
                <w:lang w:val="en-US" w:eastAsia="zh-CN"/>
              </w:rPr>
            </w:pPr>
            <w:r>
              <w:rPr>
                <w:rFonts w:hint="eastAsia" w:ascii="仿宋" w:hAnsi="仿宋" w:eastAsia="仿宋" w:cs="仿宋"/>
                <w:bCs/>
                <w:sz w:val="24"/>
                <w:szCs w:val="24"/>
              </w:rPr>
              <w:t>布置乐曲及练习修改</w:t>
            </w:r>
          </w:p>
          <w:p w14:paraId="538DF032">
            <w:pPr>
              <w:ind w:left="840" w:right="0"/>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曲目范围：</w:t>
            </w:r>
          </w:p>
          <w:p w14:paraId="2E3EB426">
            <w:pPr>
              <w:ind w:left="840" w:right="0"/>
              <w:rPr>
                <w:rFonts w:hint="eastAsia" w:ascii="仿宋" w:hAnsi="仿宋" w:eastAsia="仿宋" w:cs="仿宋"/>
                <w:bCs/>
                <w:i w:val="0"/>
                <w:iCs w:val="0"/>
                <w:sz w:val="24"/>
                <w:szCs w:val="24"/>
                <w:lang w:val="en-US" w:eastAsia="zh-CN"/>
              </w:rPr>
            </w:pPr>
            <w:r>
              <w:rPr>
                <w:rFonts w:hint="eastAsia" w:ascii="仿宋" w:hAnsi="仿宋" w:eastAsia="仿宋" w:cs="仿宋"/>
                <w:bCs/>
                <w:sz w:val="24"/>
                <w:szCs w:val="24"/>
                <w:lang w:val="en-US" w:eastAsia="zh-CN"/>
              </w:rPr>
              <w:t>2升2降大小调音阶、琶音，教师对学生应有一定的速度要求；</w:t>
            </w:r>
          </w:p>
          <w:p w14:paraId="6DC4A186">
            <w:pPr>
              <w:ind w:left="840" w:right="0"/>
              <w:rPr>
                <w:rFonts w:hint="eastAsia" w:ascii="仿宋" w:hAnsi="仿宋" w:eastAsia="仿宋" w:cs="仿宋"/>
                <w:sz w:val="24"/>
                <w:szCs w:val="24"/>
                <w:lang w:val="en-US" w:eastAsia="zh-CN"/>
              </w:rPr>
            </w:pPr>
            <w:r>
              <w:rPr>
                <w:rFonts w:hint="eastAsia" w:ascii="仿宋" w:hAnsi="仿宋" w:eastAsia="仿宋" w:cs="仿宋"/>
                <w:bCs/>
                <w:i w:val="0"/>
                <w:iCs w:val="0"/>
                <w:sz w:val="24"/>
                <w:szCs w:val="24"/>
                <w:lang w:val="en-US" w:eastAsia="zh-CN"/>
              </w:rPr>
              <w:t>车尔尼钢琴流畅练习曲</w:t>
            </w:r>
            <w:r>
              <w:rPr>
                <w:rFonts w:hint="eastAsia" w:ascii="仿宋" w:hAnsi="仿宋" w:eastAsia="仿宋" w:cs="仿宋"/>
                <w:bCs/>
                <w:i/>
                <w:iCs/>
                <w:sz w:val="24"/>
                <w:szCs w:val="24"/>
                <w:lang w:val="en-US" w:eastAsia="zh-CN"/>
              </w:rPr>
              <w:t>OP.849 16</w:t>
            </w:r>
            <w:r>
              <w:rPr>
                <w:rFonts w:hint="eastAsia" w:ascii="仿宋" w:hAnsi="仿宋" w:eastAsia="仿宋" w:cs="仿宋"/>
                <w:bCs/>
                <w:i w:val="0"/>
                <w:iCs w:val="0"/>
                <w:sz w:val="24"/>
                <w:szCs w:val="24"/>
                <w:lang w:val="en-US" w:eastAsia="zh-CN"/>
              </w:rPr>
              <w:t>后</w:t>
            </w:r>
            <w:r>
              <w:rPr>
                <w:rFonts w:hint="eastAsia" w:ascii="仿宋" w:hAnsi="仿宋" w:eastAsia="仿宋" w:cs="仿宋"/>
                <w:bCs/>
                <w:sz w:val="24"/>
                <w:szCs w:val="24"/>
                <w:lang w:val="en-US" w:eastAsia="zh-CN"/>
              </w:rPr>
              <w:t>，或程度相近的同类曲目或复调曲目；</w:t>
            </w:r>
          </w:p>
          <w:p w14:paraId="2EB373A2">
            <w:pPr>
              <w:ind w:left="840" w:right="0"/>
              <w:rPr>
                <w:rFonts w:hint="eastAsia" w:ascii="仿宋" w:hAnsi="仿宋" w:eastAsia="仿宋" w:cs="仿宋"/>
                <w:bCs/>
                <w:sz w:val="24"/>
                <w:szCs w:val="24"/>
              </w:rPr>
            </w:pPr>
            <w:r>
              <w:rPr>
                <w:rFonts w:hint="eastAsia" w:ascii="仿宋" w:hAnsi="仿宋" w:eastAsia="仿宋" w:cs="仿宋"/>
                <w:sz w:val="24"/>
                <w:szCs w:val="24"/>
                <w:lang w:val="en-US" w:eastAsia="zh-CN"/>
              </w:rPr>
              <w:t>《钢琴基础教程3》</w:t>
            </w:r>
            <w:r>
              <w:rPr>
                <w:rFonts w:hint="eastAsia" w:ascii="仿宋" w:hAnsi="仿宋" w:eastAsia="仿宋" w:cs="仿宋"/>
                <w:bCs/>
                <w:sz w:val="24"/>
                <w:szCs w:val="24"/>
                <w:lang w:val="en-US" w:eastAsia="zh-CN"/>
              </w:rPr>
              <w:t>中曲目，或程度相近的同类曲目；</w:t>
            </w:r>
          </w:p>
          <w:p w14:paraId="31C3737D">
            <w:pPr>
              <w:rPr>
                <w:rFonts w:hint="eastAsia" w:ascii="仿宋" w:hAnsi="仿宋" w:eastAsia="仿宋" w:cs="仿宋"/>
                <w:bCs/>
                <w:sz w:val="24"/>
                <w:szCs w:val="24"/>
              </w:rPr>
            </w:pPr>
            <w:r>
              <w:rPr>
                <w:rFonts w:hint="eastAsia" w:ascii="仿宋" w:hAnsi="仿宋" w:eastAsia="仿宋" w:cs="仿宋"/>
                <w:bCs/>
                <w:sz w:val="24"/>
                <w:szCs w:val="24"/>
              </w:rPr>
              <w:t>第二学年第四学期</w:t>
            </w:r>
          </w:p>
          <w:p w14:paraId="74779E0E">
            <w:pPr>
              <w:ind w:left="840" w:right="0"/>
              <w:rPr>
                <w:rFonts w:hint="eastAsia" w:ascii="仿宋" w:hAnsi="仿宋" w:eastAsia="仿宋" w:cs="仿宋"/>
                <w:bCs/>
                <w:sz w:val="24"/>
                <w:szCs w:val="24"/>
              </w:rPr>
            </w:pPr>
            <w:r>
              <w:rPr>
                <w:rFonts w:hint="eastAsia" w:ascii="仿宋" w:hAnsi="仿宋" w:eastAsia="仿宋" w:cs="仿宋"/>
                <w:bCs/>
                <w:sz w:val="24"/>
                <w:szCs w:val="24"/>
              </w:rPr>
              <w:t>布置音阶和常见技术项目训练</w:t>
            </w:r>
          </w:p>
          <w:p w14:paraId="7DEA1275">
            <w:pPr>
              <w:ind w:left="840" w:right="0"/>
              <w:rPr>
                <w:rFonts w:hint="eastAsia" w:ascii="仿宋" w:hAnsi="仿宋" w:eastAsia="仿宋" w:cs="仿宋"/>
                <w:bCs/>
                <w:sz w:val="24"/>
                <w:szCs w:val="24"/>
              </w:rPr>
            </w:pPr>
            <w:r>
              <w:rPr>
                <w:rFonts w:hint="eastAsia" w:ascii="仿宋" w:hAnsi="仿宋" w:eastAsia="仿宋" w:cs="仿宋"/>
                <w:bCs/>
                <w:sz w:val="24"/>
                <w:szCs w:val="24"/>
              </w:rPr>
              <w:t>练习曲（或复调）及练习修改</w:t>
            </w:r>
          </w:p>
          <w:p w14:paraId="589218FC">
            <w:pPr>
              <w:widowControl/>
              <w:ind w:left="840" w:right="0"/>
              <w:rPr>
                <w:rFonts w:hint="eastAsia" w:ascii="仿宋" w:hAnsi="仿宋" w:eastAsia="仿宋" w:cs="仿宋"/>
                <w:bCs/>
                <w:sz w:val="24"/>
                <w:szCs w:val="24"/>
                <w:lang w:val="en-US" w:eastAsia="zh-CN"/>
              </w:rPr>
            </w:pPr>
            <w:r>
              <w:rPr>
                <w:rFonts w:hint="eastAsia" w:ascii="仿宋" w:hAnsi="仿宋" w:eastAsia="仿宋" w:cs="仿宋"/>
                <w:bCs/>
                <w:sz w:val="24"/>
                <w:szCs w:val="24"/>
              </w:rPr>
              <w:t>布置乐曲及练习修改</w:t>
            </w:r>
          </w:p>
          <w:p w14:paraId="13189A22">
            <w:pPr>
              <w:ind w:left="840" w:right="0"/>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曲目范围：</w:t>
            </w:r>
          </w:p>
          <w:p w14:paraId="34648397">
            <w:pPr>
              <w:ind w:left="840" w:right="0"/>
              <w:rPr>
                <w:rFonts w:hint="eastAsia" w:ascii="仿宋" w:hAnsi="仿宋" w:eastAsia="仿宋" w:cs="仿宋"/>
                <w:bCs/>
                <w:i w:val="0"/>
                <w:iCs w:val="0"/>
                <w:sz w:val="24"/>
                <w:szCs w:val="24"/>
                <w:lang w:val="en-US" w:eastAsia="zh-CN"/>
              </w:rPr>
            </w:pPr>
            <w:r>
              <w:rPr>
                <w:rFonts w:hint="eastAsia" w:ascii="仿宋" w:hAnsi="仿宋" w:eastAsia="仿宋" w:cs="仿宋"/>
                <w:bCs/>
                <w:sz w:val="24"/>
                <w:szCs w:val="24"/>
                <w:lang w:val="en-US" w:eastAsia="zh-CN"/>
              </w:rPr>
              <w:t>3升3降大小调音阶、琶音，教师对学生应有一定的速度要求；</w:t>
            </w:r>
          </w:p>
          <w:p w14:paraId="12509844">
            <w:pPr>
              <w:ind w:left="840" w:right="0"/>
              <w:rPr>
                <w:rFonts w:hint="eastAsia" w:ascii="仿宋" w:hAnsi="仿宋" w:eastAsia="仿宋" w:cs="仿宋"/>
                <w:sz w:val="24"/>
                <w:szCs w:val="24"/>
                <w:lang w:val="en-US" w:eastAsia="zh-CN"/>
              </w:rPr>
            </w:pPr>
            <w:r>
              <w:rPr>
                <w:rFonts w:hint="eastAsia" w:ascii="仿宋" w:hAnsi="仿宋" w:eastAsia="仿宋" w:cs="仿宋"/>
                <w:bCs/>
                <w:i w:val="0"/>
                <w:iCs w:val="0"/>
                <w:sz w:val="24"/>
                <w:szCs w:val="24"/>
                <w:lang w:val="en-US" w:eastAsia="zh-CN"/>
              </w:rPr>
              <w:t>车尔尼钢琴流畅练习曲</w:t>
            </w:r>
            <w:r>
              <w:rPr>
                <w:rFonts w:hint="eastAsia" w:ascii="仿宋" w:hAnsi="仿宋" w:eastAsia="仿宋" w:cs="仿宋"/>
                <w:bCs/>
                <w:i/>
                <w:iCs/>
                <w:sz w:val="24"/>
                <w:szCs w:val="24"/>
                <w:lang w:val="en-US" w:eastAsia="zh-CN"/>
              </w:rPr>
              <w:t>OP.849 16</w:t>
            </w:r>
            <w:r>
              <w:rPr>
                <w:rFonts w:hint="eastAsia" w:ascii="仿宋" w:hAnsi="仿宋" w:eastAsia="仿宋" w:cs="仿宋"/>
                <w:bCs/>
                <w:i w:val="0"/>
                <w:iCs w:val="0"/>
                <w:sz w:val="24"/>
                <w:szCs w:val="24"/>
                <w:lang w:val="en-US" w:eastAsia="zh-CN"/>
              </w:rPr>
              <w:t>后</w:t>
            </w:r>
            <w:r>
              <w:rPr>
                <w:rFonts w:hint="eastAsia" w:ascii="仿宋" w:hAnsi="仿宋" w:eastAsia="仿宋" w:cs="仿宋"/>
                <w:bCs/>
                <w:sz w:val="24"/>
                <w:szCs w:val="24"/>
                <w:lang w:val="en-US" w:eastAsia="zh-CN"/>
              </w:rPr>
              <w:t>，下学期，或程度相近的同类曲目或复调曲目；</w:t>
            </w:r>
          </w:p>
          <w:p w14:paraId="25EF7F90">
            <w:pPr>
              <w:ind w:left="840" w:right="0"/>
              <w:rPr>
                <w:rFonts w:hint="eastAsia" w:ascii="仿宋" w:hAnsi="仿宋" w:eastAsia="仿宋" w:cs="仿宋"/>
                <w:bCs/>
                <w:sz w:val="24"/>
                <w:szCs w:val="24"/>
                <w:lang w:val="en-US" w:eastAsia="zh-CN"/>
              </w:rPr>
            </w:pPr>
            <w:r>
              <w:rPr>
                <w:rFonts w:hint="eastAsia" w:ascii="仿宋" w:hAnsi="仿宋" w:eastAsia="仿宋" w:cs="仿宋"/>
                <w:sz w:val="24"/>
                <w:szCs w:val="24"/>
                <w:lang w:val="en-US" w:eastAsia="zh-CN"/>
              </w:rPr>
              <w:t>《钢琴基础教程4》</w:t>
            </w:r>
            <w:r>
              <w:rPr>
                <w:rFonts w:hint="eastAsia" w:ascii="仿宋" w:hAnsi="仿宋" w:eastAsia="仿宋" w:cs="仿宋"/>
                <w:bCs/>
                <w:sz w:val="24"/>
                <w:szCs w:val="24"/>
                <w:lang w:val="en-US" w:eastAsia="zh-CN"/>
              </w:rPr>
              <w:t>中的曲目，或程度相近的同类曲目；</w:t>
            </w:r>
          </w:p>
          <w:p w14:paraId="74469B3D">
            <w:pPr>
              <w:widowControl/>
              <w:ind w:left="840" w:right="0"/>
              <w:rPr>
                <w:rFonts w:hint="eastAsia" w:ascii="仿宋" w:hAnsi="仿宋" w:eastAsia="仿宋" w:cs="仿宋"/>
                <w:bCs/>
                <w:sz w:val="24"/>
                <w:szCs w:val="24"/>
                <w:lang w:val="en-US" w:eastAsia="zh-CN"/>
              </w:rPr>
            </w:pPr>
          </w:p>
        </w:tc>
        <w:tc>
          <w:tcPr>
            <w:tcW w:w="1153" w:type="dxa"/>
            <w:gridSpan w:val="3"/>
            <w:tcBorders>
              <w:top w:val="single" w:color="auto" w:sz="4" w:space="0"/>
              <w:left w:val="single" w:color="auto" w:sz="4" w:space="0"/>
              <w:bottom w:val="single" w:color="auto" w:sz="4" w:space="0"/>
              <w:right w:val="single" w:color="auto" w:sz="4" w:space="0"/>
            </w:tcBorders>
            <w:vAlign w:val="center"/>
          </w:tcPr>
          <w:p w14:paraId="3AB4F5CF">
            <w:pPr>
              <w:widowControl/>
              <w:jc w:val="center"/>
            </w:pPr>
            <w:r>
              <w:rPr>
                <w:rFonts w:hint="eastAsia" w:ascii="仿宋" w:hAnsi="仿宋" w:eastAsia="仿宋" w:cs="仿宋"/>
                <w:bCs/>
                <w:sz w:val="24"/>
                <w:szCs w:val="24"/>
              </w:rPr>
              <w:t>支撑课程目标1、</w:t>
            </w:r>
            <w:r>
              <w:rPr>
                <w:rFonts w:ascii="仿宋" w:hAnsi="仿宋" w:eastAsia="仿宋" w:cs="仿宋"/>
                <w:bCs/>
                <w:sz w:val="24"/>
                <w:szCs w:val="24"/>
              </w:rPr>
              <w:t>2</w:t>
            </w:r>
          </w:p>
        </w:tc>
        <w:tc>
          <w:tcPr>
            <w:tcW w:w="924"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0711A56B">
            <w:pPr>
              <w:jc w:val="center"/>
            </w:pPr>
            <w:r>
              <w:rPr>
                <w:rFonts w:ascii="仿宋" w:hAnsi="仿宋" w:eastAsia="仿宋" w:cs="仿宋"/>
                <w:sz w:val="24"/>
                <w:szCs w:val="24"/>
              </w:rPr>
              <w:t>56</w:t>
            </w:r>
          </w:p>
        </w:tc>
      </w:tr>
      <w:tr w14:paraId="5203C877">
        <w:trPr>
          <w:trHeight w:val="1692"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7E0D67AB">
            <w:pPr>
              <w:spacing w:line="240" w:lineRule="atLeast"/>
              <w:jc w:val="center"/>
              <w:rPr>
                <w:rFonts w:hint="eastAsia" w:ascii="仿宋" w:hAnsi="仿宋" w:eastAsia="仿宋" w:cs="仿宋"/>
                <w:sz w:val="24"/>
                <w:szCs w:val="24"/>
              </w:rPr>
            </w:pPr>
          </w:p>
        </w:tc>
        <w:tc>
          <w:tcPr>
            <w:tcW w:w="5695" w:type="dxa"/>
            <w:gridSpan w:val="9"/>
            <w:tcBorders>
              <w:top w:val="single" w:color="auto" w:sz="4" w:space="0"/>
              <w:left w:val="single" w:color="auto" w:sz="4" w:space="0"/>
              <w:bottom w:val="single" w:color="auto" w:sz="4" w:space="0"/>
              <w:right w:val="single" w:color="auto" w:sz="4" w:space="0"/>
            </w:tcBorders>
            <w:vAlign w:val="center"/>
          </w:tcPr>
          <w:p w14:paraId="2BDEDA70">
            <w:pPr>
              <w:rPr>
                <w:rFonts w:hint="eastAsia" w:ascii="仿宋" w:hAnsi="仿宋" w:eastAsia="仿宋" w:cs="仿宋"/>
                <w:bCs/>
                <w:sz w:val="24"/>
                <w:szCs w:val="24"/>
              </w:rPr>
            </w:pPr>
            <w:r>
              <w:rPr>
                <w:rFonts w:hint="eastAsia" w:ascii="仿宋" w:hAnsi="仿宋" w:eastAsia="仿宋" w:cs="仿宋"/>
                <w:sz w:val="24"/>
                <w:szCs w:val="24"/>
              </w:rPr>
              <w:t>实训习奏实践</w:t>
            </w:r>
          </w:p>
          <w:p w14:paraId="02167AC8">
            <w:r>
              <w:rPr>
                <w:rFonts w:hint="eastAsia" w:ascii="仿宋" w:hAnsi="仿宋" w:eastAsia="仿宋" w:cs="仿宋"/>
                <w:bCs/>
                <w:sz w:val="24"/>
                <w:szCs w:val="24"/>
              </w:rPr>
              <w:t xml:space="preserve">    通过在模拟演奏情境下的实践，让学生适应实践中可能遇到的心理挑战以及其它问题，并在教师指导下、与同学交流中寻求解决的方法。</w:t>
            </w:r>
          </w:p>
        </w:tc>
        <w:tc>
          <w:tcPr>
            <w:tcW w:w="1153" w:type="dxa"/>
            <w:gridSpan w:val="3"/>
            <w:tcBorders>
              <w:top w:val="single" w:color="auto" w:sz="4" w:space="0"/>
              <w:left w:val="single" w:color="auto" w:sz="4" w:space="0"/>
              <w:bottom w:val="single" w:color="auto" w:sz="4" w:space="0"/>
              <w:right w:val="single" w:color="auto" w:sz="4" w:space="0"/>
            </w:tcBorders>
            <w:vAlign w:val="center"/>
          </w:tcPr>
          <w:p w14:paraId="41FC339F">
            <w:pPr>
              <w:jc w:val="center"/>
            </w:pPr>
            <w:r>
              <w:rPr>
                <w:rFonts w:hint="eastAsia" w:ascii="仿宋" w:hAnsi="仿宋" w:eastAsia="仿宋" w:cs="仿宋"/>
                <w:bCs/>
                <w:sz w:val="24"/>
                <w:szCs w:val="24"/>
              </w:rPr>
              <w:t>支撑课程目标3</w:t>
            </w:r>
          </w:p>
        </w:tc>
        <w:tc>
          <w:tcPr>
            <w:tcW w:w="924"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3C51C4CA">
            <w:pPr>
              <w:jc w:val="center"/>
            </w:pPr>
            <w:r>
              <w:rPr>
                <w:rFonts w:ascii="仿宋" w:hAnsi="仿宋" w:eastAsia="仿宋" w:cs="仿宋"/>
                <w:sz w:val="24"/>
                <w:szCs w:val="24"/>
              </w:rPr>
              <w:t>8</w:t>
            </w:r>
          </w:p>
        </w:tc>
      </w:tr>
      <w:tr w14:paraId="59F3F115">
        <w:trPr>
          <w:trHeight w:val="45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0C93C32C">
            <w:pPr>
              <w:spacing w:line="240" w:lineRule="atLeast"/>
              <w:jc w:val="center"/>
              <w:rPr>
                <w:rFonts w:hint="eastAsia" w:ascii="仿宋" w:hAnsi="仿宋" w:eastAsia="仿宋" w:cs="仿宋"/>
                <w:sz w:val="24"/>
                <w:szCs w:val="24"/>
              </w:rPr>
            </w:pPr>
          </w:p>
        </w:tc>
        <w:tc>
          <w:tcPr>
            <w:tcW w:w="6848" w:type="dxa"/>
            <w:gridSpan w:val="12"/>
            <w:tcBorders>
              <w:top w:val="single" w:color="auto" w:sz="4" w:space="0"/>
              <w:left w:val="single" w:color="auto" w:sz="4" w:space="0"/>
              <w:bottom w:val="single" w:color="auto" w:sz="4" w:space="0"/>
              <w:right w:val="single" w:color="auto" w:sz="4" w:space="0"/>
            </w:tcBorders>
            <w:vAlign w:val="center"/>
          </w:tcPr>
          <w:p w14:paraId="0A52DAA5">
            <w:pPr>
              <w:jc w:val="center"/>
            </w:pPr>
            <w:r>
              <w:rPr>
                <w:rFonts w:hint="eastAsia" w:ascii="仿宋" w:hAnsi="仿宋" w:eastAsia="仿宋" w:cs="仿宋"/>
                <w:bCs/>
                <w:sz w:val="24"/>
                <w:szCs w:val="24"/>
              </w:rPr>
              <w:t>合计</w:t>
            </w:r>
          </w:p>
        </w:tc>
        <w:tc>
          <w:tcPr>
            <w:tcW w:w="924"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1D3D77A0">
            <w:pPr>
              <w:jc w:val="center"/>
            </w:pPr>
            <w:r>
              <w:rPr>
                <w:rFonts w:ascii="仿宋" w:hAnsi="仿宋" w:eastAsia="仿宋" w:cs="仿宋"/>
                <w:sz w:val="24"/>
                <w:szCs w:val="24"/>
              </w:rPr>
              <w:t>64</w:t>
            </w:r>
          </w:p>
        </w:tc>
      </w:tr>
      <w:tr w14:paraId="302D695C">
        <w:trPr>
          <w:trHeight w:val="495" w:hRule="atLeast"/>
        </w:trPr>
        <w:tc>
          <w:tcPr>
            <w:tcW w:w="1376"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14:paraId="56EEABA3">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H</w:t>
            </w:r>
          </w:p>
          <w:p w14:paraId="5802526F">
            <w:pPr>
              <w:spacing w:line="240" w:lineRule="atLeast"/>
              <w:jc w:val="center"/>
            </w:pPr>
            <w:r>
              <w:rPr>
                <w:rFonts w:hint="eastAsia" w:ascii="仿宋" w:hAnsi="仿宋" w:eastAsia="仿宋" w:cs="仿宋"/>
                <w:sz w:val="24"/>
                <w:szCs w:val="24"/>
              </w:rPr>
              <w:t>实践内容（含教育实习、见习、研习，专业实习、毕业论文或毕业设计等）</w:t>
            </w:r>
          </w:p>
        </w:tc>
        <w:tc>
          <w:tcPr>
            <w:tcW w:w="5695" w:type="dxa"/>
            <w:gridSpan w:val="9"/>
            <w:tcBorders>
              <w:top w:val="single" w:color="auto" w:sz="4" w:space="0"/>
              <w:left w:val="single" w:color="auto" w:sz="4" w:space="0"/>
              <w:bottom w:val="single" w:color="auto" w:sz="4" w:space="0"/>
              <w:right w:val="single" w:color="auto" w:sz="4" w:space="0"/>
            </w:tcBorders>
            <w:vAlign w:val="center"/>
          </w:tcPr>
          <w:p w14:paraId="7804E623">
            <w:pPr>
              <w:jc w:val="center"/>
            </w:pPr>
            <w:r>
              <w:rPr>
                <w:rFonts w:hint="eastAsia" w:ascii="仿宋" w:hAnsi="仿宋" w:eastAsia="仿宋" w:cs="仿宋"/>
                <w:sz w:val="24"/>
                <w:szCs w:val="24"/>
              </w:rPr>
              <w:t>实践主要内容和要求</w:t>
            </w:r>
          </w:p>
        </w:tc>
        <w:tc>
          <w:tcPr>
            <w:tcW w:w="1153" w:type="dxa"/>
            <w:gridSpan w:val="3"/>
            <w:tcBorders>
              <w:top w:val="single" w:color="auto" w:sz="4" w:space="0"/>
              <w:left w:val="single" w:color="auto" w:sz="4" w:space="0"/>
              <w:bottom w:val="single" w:color="auto" w:sz="4" w:space="0"/>
              <w:right w:val="single" w:color="auto" w:sz="4" w:space="0"/>
            </w:tcBorders>
            <w:vAlign w:val="center"/>
          </w:tcPr>
          <w:p w14:paraId="561AD8CB">
            <w:pPr>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支撑课程</w:t>
            </w:r>
          </w:p>
          <w:p w14:paraId="0321B889">
            <w:pPr>
              <w:spacing w:line="240" w:lineRule="atLeast"/>
              <w:jc w:val="center"/>
            </w:pPr>
            <w:r>
              <w:rPr>
                <w:rFonts w:hint="eastAsia" w:ascii="仿宋" w:hAnsi="仿宋" w:eastAsia="仿宋" w:cs="仿宋"/>
                <w:kern w:val="0"/>
                <w:sz w:val="24"/>
                <w:szCs w:val="24"/>
              </w:rPr>
              <w:t>目标</w:t>
            </w:r>
          </w:p>
        </w:tc>
        <w:tc>
          <w:tcPr>
            <w:tcW w:w="924" w:type="dxa"/>
            <w:gridSpan w:val="2"/>
            <w:tcBorders>
              <w:top w:val="single" w:color="auto" w:sz="4" w:space="0"/>
              <w:left w:val="single" w:color="auto" w:sz="4" w:space="0"/>
              <w:bottom w:val="single" w:color="auto" w:sz="4" w:space="0"/>
              <w:right w:val="single" w:color="auto" w:sz="4" w:space="0"/>
            </w:tcBorders>
            <w:vAlign w:val="center"/>
          </w:tcPr>
          <w:p w14:paraId="0060DAB9">
            <w:pPr>
              <w:jc w:val="center"/>
              <w:rPr>
                <w:rFonts w:hint="eastAsia" w:ascii="仿宋" w:hAnsi="仿宋" w:eastAsia="仿宋" w:cs="仿宋"/>
                <w:kern w:val="0"/>
                <w:sz w:val="24"/>
                <w:szCs w:val="24"/>
              </w:rPr>
            </w:pPr>
            <w:r>
              <w:rPr>
                <w:rFonts w:hint="eastAsia" w:ascii="仿宋" w:hAnsi="仿宋" w:eastAsia="仿宋" w:cs="仿宋"/>
                <w:kern w:val="0"/>
                <w:sz w:val="24"/>
                <w:szCs w:val="24"/>
              </w:rPr>
              <w:t>时长</w:t>
            </w:r>
          </w:p>
          <w:p w14:paraId="47A02D99">
            <w:pPr>
              <w:jc w:val="center"/>
            </w:pPr>
            <w:r>
              <w:rPr>
                <w:rFonts w:hint="eastAsia" w:ascii="仿宋" w:hAnsi="仿宋" w:eastAsia="仿宋" w:cs="仿宋"/>
                <w:kern w:val="0"/>
                <w:sz w:val="24"/>
                <w:szCs w:val="24"/>
              </w:rPr>
              <w:t>分配</w:t>
            </w:r>
          </w:p>
        </w:tc>
      </w:tr>
      <w:tr w14:paraId="7DC0CC7F">
        <w:trPr>
          <w:trHeight w:val="90"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3FD81EED">
            <w:pPr>
              <w:spacing w:line="240" w:lineRule="atLeast"/>
              <w:jc w:val="center"/>
              <w:rPr>
                <w:rFonts w:hint="eastAsia" w:ascii="仿宋" w:hAnsi="仿宋" w:eastAsia="仿宋" w:cs="仿宋"/>
                <w:sz w:val="24"/>
                <w:szCs w:val="24"/>
              </w:rPr>
            </w:pPr>
          </w:p>
        </w:tc>
        <w:tc>
          <w:tcPr>
            <w:tcW w:w="5695" w:type="dxa"/>
            <w:gridSpan w:val="9"/>
            <w:tcBorders>
              <w:top w:val="single" w:color="auto" w:sz="4" w:space="0"/>
              <w:left w:val="single" w:color="auto" w:sz="4" w:space="0"/>
              <w:bottom w:val="single" w:color="auto" w:sz="4" w:space="0"/>
              <w:right w:val="single" w:color="auto" w:sz="4" w:space="0"/>
            </w:tcBorders>
            <w:vAlign w:val="top"/>
          </w:tcPr>
          <w:p w14:paraId="158128BD">
            <w:pPr>
              <w:widowControl/>
              <w:autoSpaceDE w:val="0"/>
              <w:jc w:val="left"/>
              <w:rPr>
                <w:rFonts w:hint="eastAsia" w:ascii="仿宋" w:hAnsi="仿宋" w:eastAsia="仿宋" w:cs="仿宋"/>
                <w:sz w:val="24"/>
                <w:szCs w:val="24"/>
              </w:rPr>
            </w:pPr>
            <w:r>
              <w:rPr>
                <w:rFonts w:hint="eastAsia" w:ascii="仿宋" w:hAnsi="仿宋" w:eastAsia="仿宋" w:cs="仿宋"/>
                <w:sz w:val="24"/>
                <w:szCs w:val="24"/>
              </w:rPr>
              <w:t>课堂进行中学唱歌课片段教学模拟；</w:t>
            </w:r>
          </w:p>
          <w:p w14:paraId="4786FDB5">
            <w:pPr>
              <w:widowControl/>
              <w:autoSpaceDE w:val="0"/>
              <w:jc w:val="left"/>
              <w:rPr>
                <w:rFonts w:hint="eastAsia" w:ascii="仿宋" w:hAnsi="仿宋" w:eastAsia="仿宋" w:cs="仿宋"/>
                <w:sz w:val="24"/>
                <w:szCs w:val="24"/>
              </w:rPr>
            </w:pPr>
            <w:r>
              <w:rPr>
                <w:rFonts w:hint="eastAsia" w:ascii="仿宋" w:hAnsi="仿宋" w:eastAsia="仿宋" w:cs="仿宋"/>
                <w:sz w:val="24"/>
                <w:szCs w:val="24"/>
              </w:rPr>
              <w:t>课堂弹唱展示；</w:t>
            </w:r>
          </w:p>
          <w:p w14:paraId="5E574BD3">
            <w:pPr>
              <w:widowControl/>
              <w:autoSpaceDE w:val="0"/>
              <w:jc w:val="left"/>
            </w:pPr>
            <w:r>
              <w:rPr>
                <w:rFonts w:hint="eastAsia" w:ascii="仿宋" w:hAnsi="仿宋" w:eastAsia="仿宋" w:cs="仿宋"/>
                <w:sz w:val="24"/>
                <w:szCs w:val="24"/>
              </w:rPr>
              <w:t>课堂分组讨论。</w:t>
            </w:r>
          </w:p>
        </w:tc>
        <w:tc>
          <w:tcPr>
            <w:tcW w:w="1153" w:type="dxa"/>
            <w:gridSpan w:val="3"/>
            <w:tcBorders>
              <w:top w:val="single" w:color="auto" w:sz="4" w:space="0"/>
              <w:left w:val="single" w:color="auto" w:sz="4" w:space="0"/>
              <w:bottom w:val="single" w:color="auto" w:sz="4" w:space="0"/>
              <w:right w:val="single" w:color="auto" w:sz="4" w:space="0"/>
            </w:tcBorders>
            <w:vAlign w:val="top"/>
          </w:tcPr>
          <w:p w14:paraId="619B7838">
            <w:pPr>
              <w:jc w:val="left"/>
              <w:rPr>
                <w:rFonts w:hint="eastAsia" w:ascii="仿宋" w:hAnsi="仿宋" w:eastAsia="仿宋" w:cs="仿宋"/>
                <w:sz w:val="24"/>
                <w:szCs w:val="24"/>
              </w:rPr>
            </w:pPr>
          </w:p>
        </w:tc>
        <w:tc>
          <w:tcPr>
            <w:tcW w:w="924" w:type="dxa"/>
            <w:gridSpan w:val="2"/>
            <w:tcBorders>
              <w:top w:val="single" w:color="auto" w:sz="4" w:space="0"/>
              <w:left w:val="single" w:color="auto" w:sz="4" w:space="0"/>
              <w:bottom w:val="single" w:color="auto" w:sz="4" w:space="0"/>
              <w:right w:val="single" w:color="auto" w:sz="4" w:space="0"/>
            </w:tcBorders>
            <w:vAlign w:val="top"/>
          </w:tcPr>
          <w:p w14:paraId="7B95389B">
            <w:pPr>
              <w:jc w:val="left"/>
              <w:rPr>
                <w:rFonts w:hint="eastAsia" w:ascii="仿宋" w:hAnsi="仿宋" w:eastAsia="仿宋" w:cs="仿宋"/>
                <w:sz w:val="24"/>
                <w:szCs w:val="24"/>
              </w:rPr>
            </w:pPr>
          </w:p>
        </w:tc>
      </w:tr>
      <w:tr w14:paraId="0B4D8B95">
        <w:trPr>
          <w:trHeight w:val="921" w:hRule="atLeast"/>
        </w:trPr>
        <w:tc>
          <w:tcPr>
            <w:tcW w:w="1376" w:type="dxa"/>
            <w:tcBorders>
              <w:top w:val="single" w:color="auto" w:sz="4" w:space="0"/>
              <w:left w:val="single" w:color="auto" w:sz="4" w:space="0"/>
              <w:bottom w:val="single" w:color="auto" w:sz="4" w:space="0"/>
              <w:right w:val="single" w:color="auto" w:sz="4" w:space="0"/>
            </w:tcBorders>
            <w:vAlign w:val="center"/>
          </w:tcPr>
          <w:p w14:paraId="4689F1E6">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I</w:t>
            </w:r>
          </w:p>
          <w:p w14:paraId="47BB68B2">
            <w:pPr>
              <w:spacing w:line="240" w:lineRule="atLeast"/>
              <w:jc w:val="center"/>
            </w:pPr>
            <w:r>
              <w:rPr>
                <w:rFonts w:hint="eastAsia" w:ascii="仿宋" w:hAnsi="仿宋" w:eastAsia="仿宋" w:cs="仿宋"/>
                <w:sz w:val="24"/>
                <w:szCs w:val="24"/>
              </w:rPr>
              <w:t>教学方法与教学方式</w:t>
            </w:r>
          </w:p>
        </w:tc>
        <w:tc>
          <w:tcPr>
            <w:tcW w:w="7772" w:type="dxa"/>
            <w:gridSpan w:val="14"/>
            <w:tcBorders>
              <w:top w:val="single" w:color="auto" w:sz="4" w:space="0"/>
              <w:left w:val="single" w:color="auto" w:sz="4" w:space="0"/>
              <w:bottom w:val="single" w:color="auto" w:sz="4" w:space="0"/>
              <w:right w:val="single" w:color="auto" w:sz="4" w:space="0"/>
            </w:tcBorders>
            <w:vAlign w:val="center"/>
          </w:tcPr>
          <w:p w14:paraId="6C0C53CA">
            <w:pPr>
              <w:numPr>
                <w:ilvl w:val="0"/>
                <w:numId w:val="7"/>
              </w:numPr>
              <w:rPr>
                <w:rFonts w:hint="eastAsia" w:ascii="仿宋" w:hAnsi="仿宋" w:eastAsia="仿宋" w:cs="仿宋"/>
                <w:sz w:val="24"/>
                <w:szCs w:val="24"/>
              </w:rPr>
            </w:pPr>
            <w:r>
              <w:rPr>
                <w:rFonts w:hint="eastAsia" w:ascii="仿宋" w:hAnsi="仿宋" w:eastAsia="仿宋" w:cs="仿宋"/>
                <w:sz w:val="24"/>
                <w:szCs w:val="24"/>
              </w:rPr>
              <w:t>本课程以课堂讲授与练习相结合，采用小组课的授课方式，对学生进行有针对性的集体教学。</w:t>
            </w:r>
          </w:p>
          <w:p w14:paraId="09965DD4">
            <w:pPr>
              <w:numPr>
                <w:ilvl w:val="0"/>
                <w:numId w:val="7"/>
              </w:numPr>
              <w:rPr>
                <w:rFonts w:hint="eastAsia" w:ascii="仿宋" w:hAnsi="仿宋" w:eastAsia="仿宋" w:cs="仿宋"/>
                <w:sz w:val="24"/>
                <w:szCs w:val="24"/>
              </w:rPr>
            </w:pPr>
            <w:r>
              <w:rPr>
                <w:rFonts w:hint="eastAsia" w:ascii="仿宋" w:hAnsi="仿宋" w:eastAsia="仿宋" w:cs="仿宋"/>
                <w:sz w:val="24"/>
                <w:szCs w:val="24"/>
              </w:rPr>
              <w:t>开通网络课堂，达到与学生及时沟通、交流的目的。同时重视师生互动与小组活动，组织课堂小组讨论和小组练习，将课堂教学变为师生共同活动的过程。</w:t>
            </w:r>
          </w:p>
          <w:p w14:paraId="5BB39B57">
            <w:pPr>
              <w:numPr>
                <w:ilvl w:val="0"/>
                <w:numId w:val="7"/>
              </w:numPr>
              <w:rPr>
                <w:rFonts w:hint="eastAsia" w:ascii="Wingdings" w:hAnsi="Wingdings" w:eastAsia="Wingdings" w:cs="Wingdings"/>
                <w:sz w:val="24"/>
                <w:szCs w:val="24"/>
              </w:rPr>
            </w:pPr>
            <w:r>
              <w:rPr>
                <w:rFonts w:hint="eastAsia" w:ascii="仿宋" w:hAnsi="仿宋" w:eastAsia="仿宋" w:cs="仿宋"/>
                <w:sz w:val="24"/>
                <w:szCs w:val="24"/>
              </w:rPr>
              <w:t>主要方式：</w:t>
            </w:r>
          </w:p>
          <w:p w14:paraId="296BC5B6">
            <w:pPr>
              <w:ind w:leftChars="0" w:rightChars="0" w:firstLineChars="200"/>
              <w:rPr>
                <w:rFonts w:hint="eastAsia" w:ascii="Wingdings" w:hAnsi="Wingdings" w:eastAsia="Wingdings" w:cs="Wingdings"/>
                <w:sz w:val="24"/>
                <w:szCs w:val="24"/>
              </w:rPr>
            </w:pPr>
            <w:r>
              <w:rPr>
                <w:rFonts w:hint="eastAsia" w:ascii="Wingdings" w:hAnsi="Wingdings" w:eastAsia="Wingdings" w:cs="Wingdings"/>
                <w:sz w:val="24"/>
                <w:szCs w:val="24"/>
              </w:rPr>
              <w:t>þ</w:t>
            </w:r>
            <w:r>
              <w:rPr>
                <w:rFonts w:hint="eastAsia" w:ascii="仿宋" w:hAnsi="仿宋" w:eastAsia="仿宋" w:cs="仿宋"/>
                <w:sz w:val="24"/>
                <w:szCs w:val="24"/>
              </w:rPr>
              <w:t xml:space="preserve">讲授  </w:t>
            </w:r>
            <w:r>
              <w:rPr>
                <w:rFonts w:hint="eastAsia" w:ascii="Wingdings" w:hAnsi="Wingdings" w:eastAsia="Wingdings" w:cs="Wingdings"/>
                <w:sz w:val="24"/>
                <w:szCs w:val="24"/>
              </w:rPr>
              <w:t>þ</w:t>
            </w:r>
            <w:r>
              <w:rPr>
                <w:rFonts w:hint="eastAsia" w:ascii="仿宋" w:hAnsi="仿宋" w:eastAsia="仿宋" w:cs="仿宋"/>
                <w:sz w:val="24"/>
                <w:szCs w:val="24"/>
              </w:rPr>
              <w:t xml:space="preserve">网络学习  </w:t>
            </w:r>
            <w:r>
              <w:rPr>
                <w:rFonts w:hint="eastAsia" w:ascii="Wingdings" w:hAnsi="Wingdings" w:eastAsia="Wingdings" w:cs="Wingdings"/>
                <w:sz w:val="24"/>
                <w:szCs w:val="24"/>
              </w:rPr>
              <w:t>þ</w:t>
            </w:r>
            <w:r>
              <w:rPr>
                <w:rFonts w:hint="eastAsia" w:ascii="仿宋" w:hAnsi="仿宋" w:eastAsia="仿宋" w:cs="仿宋"/>
                <w:sz w:val="24"/>
                <w:szCs w:val="24"/>
              </w:rPr>
              <w:t xml:space="preserve">讨论或座谈  </w:t>
            </w:r>
            <w:r>
              <w:rPr>
                <w:rFonts w:hint="eastAsia" w:ascii="Wingdings" w:hAnsi="Wingdings" w:eastAsia="Wingdings" w:cs="Wingdings"/>
                <w:sz w:val="24"/>
                <w:szCs w:val="24"/>
              </w:rPr>
              <w:t>¨</w:t>
            </w:r>
            <w:r>
              <w:rPr>
                <w:rFonts w:hint="eastAsia" w:ascii="仿宋" w:hAnsi="仿宋" w:eastAsia="仿宋" w:cs="仿宋"/>
                <w:sz w:val="24"/>
                <w:szCs w:val="24"/>
              </w:rPr>
              <w:t xml:space="preserve">问题导向学  </w:t>
            </w:r>
          </w:p>
          <w:p w14:paraId="3D84FF8B">
            <w:pPr>
              <w:ind w:leftChars="0" w:rightChars="0" w:firstLineChars="200"/>
              <w:rPr>
                <w:rFonts w:hint="eastAsia" w:ascii="Wingdings" w:hAnsi="Wingdings" w:eastAsia="Wingdings" w:cs="Wingdings"/>
                <w:sz w:val="24"/>
                <w:szCs w:val="24"/>
              </w:rPr>
            </w:pPr>
            <w:r>
              <w:rPr>
                <w:rFonts w:hint="eastAsia" w:ascii="Wingdings" w:hAnsi="Wingdings" w:eastAsia="Wingdings" w:cs="Wingdings"/>
                <w:sz w:val="24"/>
                <w:szCs w:val="24"/>
              </w:rPr>
              <w:t>þ</w:t>
            </w:r>
            <w:r>
              <w:rPr>
                <w:rFonts w:hint="eastAsia" w:ascii="仿宋" w:hAnsi="仿宋" w:eastAsia="仿宋" w:cs="仿宋"/>
                <w:sz w:val="24"/>
                <w:szCs w:val="24"/>
              </w:rPr>
              <w:t xml:space="preserve">分组合作学习  </w:t>
            </w:r>
            <w:r>
              <w:rPr>
                <w:rFonts w:hint="eastAsia" w:ascii="Wingdings" w:hAnsi="Wingdings" w:eastAsia="Wingdings" w:cs="Wingdings"/>
                <w:sz w:val="24"/>
                <w:szCs w:val="24"/>
              </w:rPr>
              <w:t>¨</w:t>
            </w:r>
            <w:r>
              <w:rPr>
                <w:rFonts w:hint="eastAsia" w:ascii="仿宋" w:hAnsi="仿宋" w:eastAsia="仿宋" w:cs="仿宋"/>
                <w:sz w:val="24"/>
                <w:szCs w:val="24"/>
              </w:rPr>
              <w:t xml:space="preserve">专题学习  </w:t>
            </w:r>
            <w:r>
              <w:rPr>
                <w:rFonts w:hint="eastAsia" w:ascii="Wingdings" w:hAnsi="Wingdings" w:eastAsia="Wingdings" w:cs="Wingdings"/>
                <w:sz w:val="24"/>
                <w:szCs w:val="24"/>
              </w:rPr>
              <w:t>þ</w:t>
            </w:r>
            <w:r>
              <w:rPr>
                <w:rFonts w:hint="eastAsia" w:ascii="仿宋" w:hAnsi="仿宋" w:eastAsia="仿宋" w:cs="仿宋"/>
                <w:sz w:val="24"/>
                <w:szCs w:val="24"/>
              </w:rPr>
              <w:t xml:space="preserve">实作学习  </w:t>
            </w:r>
            <w:r>
              <w:rPr>
                <w:rFonts w:hint="eastAsia" w:ascii="Wingdings" w:hAnsi="Wingdings" w:eastAsia="Wingdings" w:cs="Wingdings"/>
                <w:sz w:val="24"/>
                <w:szCs w:val="24"/>
              </w:rPr>
              <w:t>¨</w:t>
            </w:r>
            <w:r>
              <w:rPr>
                <w:rFonts w:hint="eastAsia" w:ascii="仿宋" w:hAnsi="仿宋" w:eastAsia="仿宋" w:cs="仿宋"/>
                <w:sz w:val="24"/>
                <w:szCs w:val="24"/>
              </w:rPr>
              <w:t xml:space="preserve">发表学习  </w:t>
            </w:r>
          </w:p>
          <w:p w14:paraId="00447F36">
            <w:pPr>
              <w:ind w:leftChars="0" w:rightChars="0" w:firstLineChars="200"/>
            </w:pPr>
            <w:r>
              <w:rPr>
                <w:rFonts w:hint="eastAsia" w:ascii="Wingdings" w:hAnsi="Wingdings" w:eastAsia="Wingdings" w:cs="Wingdings"/>
                <w:sz w:val="24"/>
                <w:szCs w:val="24"/>
              </w:rPr>
              <w:t>¨</w:t>
            </w:r>
            <w:r>
              <w:rPr>
                <w:rFonts w:hint="eastAsia" w:ascii="仿宋" w:hAnsi="仿宋" w:eastAsia="仿宋" w:cs="仿宋"/>
                <w:sz w:val="24"/>
                <w:szCs w:val="24"/>
              </w:rPr>
              <w:t xml:space="preserve">实习  </w:t>
            </w:r>
            <w:r>
              <w:rPr>
                <w:rFonts w:hint="eastAsia" w:ascii="Wingdings" w:hAnsi="Wingdings" w:eastAsia="Wingdings" w:cs="Wingdings"/>
                <w:sz w:val="24"/>
                <w:szCs w:val="24"/>
              </w:rPr>
              <w:t>¨</w:t>
            </w:r>
            <w:r>
              <w:rPr>
                <w:rFonts w:hint="eastAsia" w:ascii="仿宋" w:hAnsi="仿宋" w:eastAsia="仿宋" w:cs="仿宋"/>
                <w:sz w:val="24"/>
                <w:szCs w:val="24"/>
              </w:rPr>
              <w:t xml:space="preserve">参观访问  </w:t>
            </w:r>
            <w:r>
              <w:rPr>
                <w:rFonts w:hint="eastAsia" w:ascii="Wingdings" w:hAnsi="Wingdings" w:eastAsia="Wingdings" w:cs="Wingdings"/>
                <w:sz w:val="24"/>
                <w:szCs w:val="24"/>
              </w:rPr>
              <w:t>¨</w:t>
            </w:r>
            <w:r>
              <w:rPr>
                <w:rFonts w:hint="eastAsia" w:ascii="仿宋" w:hAnsi="仿宋" w:eastAsia="仿宋" w:cs="仿宋"/>
                <w:sz w:val="24"/>
                <w:szCs w:val="24"/>
              </w:rPr>
              <w:t>其它：        (如口头训练等)</w:t>
            </w:r>
          </w:p>
        </w:tc>
      </w:tr>
      <w:tr w14:paraId="22C5FE31">
        <w:trPr>
          <w:trHeight w:val="580" w:hRule="atLeast"/>
        </w:trPr>
        <w:tc>
          <w:tcPr>
            <w:tcW w:w="1376" w:type="dxa"/>
            <w:tcBorders>
              <w:top w:val="single" w:color="auto" w:sz="4" w:space="0"/>
              <w:left w:val="single" w:color="auto" w:sz="4" w:space="0"/>
              <w:bottom w:val="single" w:color="auto" w:sz="4" w:space="0"/>
              <w:right w:val="single" w:color="auto" w:sz="4" w:space="0"/>
            </w:tcBorders>
            <w:vAlign w:val="center"/>
          </w:tcPr>
          <w:p w14:paraId="51BEC31B">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J</w:t>
            </w:r>
          </w:p>
          <w:p w14:paraId="43EEA5A7">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教学条件</w:t>
            </w:r>
          </w:p>
          <w:p w14:paraId="72566495">
            <w:pPr>
              <w:spacing w:line="240" w:lineRule="atLeast"/>
              <w:jc w:val="center"/>
            </w:pPr>
            <w:r>
              <w:rPr>
                <w:rFonts w:hint="eastAsia" w:ascii="仿宋" w:hAnsi="仿宋" w:eastAsia="仿宋" w:cs="仿宋"/>
                <w:sz w:val="24"/>
                <w:szCs w:val="24"/>
              </w:rPr>
              <w:t>需求</w:t>
            </w:r>
          </w:p>
        </w:tc>
        <w:tc>
          <w:tcPr>
            <w:tcW w:w="7772" w:type="dxa"/>
            <w:gridSpan w:val="14"/>
            <w:tcBorders>
              <w:top w:val="single" w:color="auto" w:sz="4" w:space="0"/>
              <w:left w:val="single" w:color="auto" w:sz="4" w:space="0"/>
              <w:bottom w:val="single" w:color="auto" w:sz="4" w:space="0"/>
              <w:right w:val="single" w:color="auto" w:sz="4" w:space="0"/>
            </w:tcBorders>
            <w:vAlign w:val="center"/>
          </w:tcPr>
          <w:p w14:paraId="2A7C1DC0">
            <w:pPr>
              <w:tabs>
                <w:tab w:val="left" w:pos="720"/>
              </w:tabs>
              <w:spacing w:line="240" w:lineRule="atLeast"/>
              <w:rPr>
                <w:rFonts w:hint="eastAsia" w:ascii="仿宋" w:hAnsi="仿宋" w:eastAsia="仿宋" w:cs="仿宋"/>
                <w:sz w:val="24"/>
                <w:szCs w:val="24"/>
              </w:rPr>
            </w:pPr>
            <w:r>
              <w:rPr>
                <w:rFonts w:hint="eastAsia" w:ascii="仿宋" w:hAnsi="仿宋" w:eastAsia="仿宋" w:cs="仿宋"/>
                <w:kern w:val="0"/>
                <w:sz w:val="24"/>
                <w:szCs w:val="24"/>
              </w:rPr>
              <w:t>（如时间、地点安排与“一课双师”等教师配备需求等）</w:t>
            </w:r>
          </w:p>
          <w:p w14:paraId="6E0425F9">
            <w:pPr>
              <w:tabs>
                <w:tab w:val="left" w:pos="720"/>
              </w:tabs>
            </w:pPr>
            <w:r>
              <w:rPr>
                <w:rFonts w:hint="eastAsia" w:ascii="仿宋" w:hAnsi="仿宋" w:eastAsia="仿宋" w:cs="仿宋"/>
                <w:sz w:val="24"/>
                <w:szCs w:val="24"/>
              </w:rPr>
              <w:t>需要钢琴、演艺厅、教学琴房等教学场所等工具需求。</w:t>
            </w:r>
          </w:p>
        </w:tc>
      </w:tr>
      <w:tr w14:paraId="51DDE565">
        <w:trPr>
          <w:trHeight w:val="711" w:hRule="atLeast"/>
        </w:trPr>
        <w:tc>
          <w:tcPr>
            <w:tcW w:w="1376" w:type="dxa"/>
            <w:vMerge w:val="restart"/>
            <w:tcBorders>
              <w:top w:val="single" w:color="auto" w:sz="4" w:space="0"/>
              <w:left w:val="single" w:color="auto" w:sz="4" w:space="0"/>
              <w:bottom w:val="single" w:color="auto" w:sz="4" w:space="0"/>
              <w:right w:val="single" w:color="auto" w:sz="4" w:space="0"/>
            </w:tcBorders>
            <w:vAlign w:val="center"/>
          </w:tcPr>
          <w:p w14:paraId="50A71050">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K</w:t>
            </w:r>
          </w:p>
          <w:p w14:paraId="12A83F1E">
            <w:pPr>
              <w:spacing w:line="240" w:lineRule="atLeast"/>
              <w:jc w:val="center"/>
            </w:pPr>
            <w:r>
              <w:rPr>
                <w:rFonts w:hint="eastAsia" w:ascii="仿宋" w:hAnsi="仿宋" w:eastAsia="仿宋" w:cs="仿宋"/>
                <w:sz w:val="24"/>
                <w:szCs w:val="24"/>
              </w:rPr>
              <w:t>课程目标及其考核内容、考核方式及评分占比</w:t>
            </w:r>
          </w:p>
        </w:tc>
        <w:tc>
          <w:tcPr>
            <w:tcW w:w="1181" w:type="dxa"/>
            <w:gridSpan w:val="2"/>
            <w:vMerge w:val="restart"/>
            <w:tcBorders>
              <w:top w:val="single" w:color="auto" w:sz="4" w:space="0"/>
              <w:left w:val="single" w:color="auto" w:sz="4" w:space="0"/>
              <w:bottom w:val="single" w:color="auto" w:sz="4" w:space="0"/>
              <w:right w:val="single" w:color="auto" w:sz="4" w:space="0"/>
            </w:tcBorders>
            <w:vAlign w:val="center"/>
          </w:tcPr>
          <w:p w14:paraId="08ECA9B2">
            <w:r>
              <w:rPr>
                <w:rFonts w:hint="eastAsia" w:ascii="仿宋" w:hAnsi="仿宋" w:eastAsia="仿宋" w:cs="仿宋"/>
                <w:sz w:val="24"/>
                <w:szCs w:val="24"/>
              </w:rPr>
              <w:t>课程目标及评分占比</w:t>
            </w:r>
          </w:p>
        </w:tc>
        <w:tc>
          <w:tcPr>
            <w:tcW w:w="3098" w:type="dxa"/>
            <w:gridSpan w:val="4"/>
            <w:vMerge w:val="restart"/>
            <w:tcBorders>
              <w:top w:val="single" w:color="auto" w:sz="4" w:space="0"/>
              <w:left w:val="single" w:color="auto" w:sz="4" w:space="0"/>
              <w:bottom w:val="single" w:color="auto" w:sz="4" w:space="0"/>
              <w:right w:val="single" w:color="auto" w:sz="4" w:space="0"/>
            </w:tcBorders>
            <w:vAlign w:val="center"/>
          </w:tcPr>
          <w:p w14:paraId="6AA4BB83">
            <w:pPr>
              <w:tabs>
                <w:tab w:val="left" w:pos="720"/>
              </w:tabs>
              <w:jc w:val="center"/>
            </w:pPr>
            <w:r>
              <w:rPr>
                <w:rFonts w:hint="eastAsia" w:ascii="仿宋" w:hAnsi="仿宋" w:eastAsia="仿宋" w:cs="仿宋"/>
                <w:kern w:val="0"/>
                <w:sz w:val="24"/>
                <w:szCs w:val="24"/>
              </w:rPr>
              <w:t>考核内容</w:t>
            </w:r>
          </w:p>
        </w:tc>
        <w:tc>
          <w:tcPr>
            <w:tcW w:w="2904" w:type="dxa"/>
            <w:gridSpan w:val="7"/>
            <w:tcBorders>
              <w:top w:val="single" w:color="auto" w:sz="4" w:space="0"/>
              <w:left w:val="single" w:color="auto" w:sz="4" w:space="0"/>
              <w:bottom w:val="single" w:color="auto" w:sz="4" w:space="0"/>
              <w:right w:val="single" w:color="auto" w:sz="4" w:space="0"/>
            </w:tcBorders>
            <w:vAlign w:val="center"/>
          </w:tcPr>
          <w:p w14:paraId="2C71A34C">
            <w:pPr>
              <w:jc w:val="center"/>
            </w:pPr>
            <w:r>
              <w:rPr>
                <w:rFonts w:hint="eastAsia" w:ascii="仿宋" w:hAnsi="仿宋" w:eastAsia="仿宋" w:cs="仿宋"/>
                <w:sz w:val="24"/>
                <w:szCs w:val="24"/>
              </w:rPr>
              <w:t>考核方式</w:t>
            </w:r>
          </w:p>
        </w:tc>
        <w:tc>
          <w:tcPr>
            <w:tcW w:w="589" w:type="dxa"/>
            <w:vMerge w:val="restart"/>
            <w:tcBorders>
              <w:top w:val="single" w:color="auto" w:sz="4" w:space="0"/>
              <w:left w:val="single" w:color="auto" w:sz="4" w:space="0"/>
              <w:bottom w:val="single" w:color="auto" w:sz="4" w:space="0"/>
              <w:right w:val="single" w:color="auto" w:sz="4" w:space="0"/>
            </w:tcBorders>
            <w:vAlign w:val="center"/>
          </w:tcPr>
          <w:p w14:paraId="0BF020A1">
            <w:pPr>
              <w:tabs>
                <w:tab w:val="left" w:pos="720"/>
              </w:tabs>
              <w:jc w:val="center"/>
            </w:pPr>
            <w:r>
              <w:rPr>
                <w:rFonts w:hint="eastAsia" w:ascii="仿宋" w:hAnsi="仿宋" w:eastAsia="仿宋" w:cs="仿宋"/>
                <w:sz w:val="24"/>
                <w:szCs w:val="24"/>
              </w:rPr>
              <w:t>课程分目标的达成度</w:t>
            </w:r>
          </w:p>
        </w:tc>
      </w:tr>
      <w:tr w14:paraId="14BD75EA">
        <w:trPr>
          <w:trHeight w:val="184" w:hRule="atLeast"/>
        </w:trPr>
        <w:tc>
          <w:tcPr>
            <w:tcW w:w="1376" w:type="dxa"/>
            <w:vMerge w:val="continue"/>
            <w:tcBorders>
              <w:top w:val="single" w:color="auto" w:sz="4" w:space="0"/>
              <w:left w:val="single" w:color="auto" w:sz="4" w:space="0"/>
              <w:bottom w:val="single" w:color="auto" w:sz="4" w:space="0"/>
              <w:right w:val="single" w:color="auto" w:sz="4" w:space="0"/>
            </w:tcBorders>
            <w:vAlign w:val="center"/>
          </w:tcPr>
          <w:p w14:paraId="53712B13">
            <w:pPr>
              <w:spacing w:line="240" w:lineRule="atLeast"/>
              <w:jc w:val="center"/>
              <w:rPr>
                <w:rFonts w:hint="eastAsia" w:ascii="仿宋" w:hAnsi="仿宋" w:eastAsia="仿宋" w:cs="仿宋"/>
                <w:kern w:val="0"/>
                <w:sz w:val="24"/>
                <w:szCs w:val="24"/>
              </w:rPr>
            </w:pPr>
          </w:p>
        </w:tc>
        <w:tc>
          <w:tcPr>
            <w:tcW w:w="1181" w:type="dxa"/>
            <w:gridSpan w:val="2"/>
            <w:vMerge w:val="continue"/>
            <w:tcBorders>
              <w:top w:val="single" w:color="auto" w:sz="4" w:space="0"/>
              <w:left w:val="single" w:color="auto" w:sz="4" w:space="0"/>
              <w:bottom w:val="single" w:color="auto" w:sz="4" w:space="0"/>
              <w:right w:val="single" w:color="auto" w:sz="4" w:space="0"/>
            </w:tcBorders>
            <w:vAlign w:val="center"/>
          </w:tcPr>
          <w:p w14:paraId="4FC6363D">
            <w:pPr>
              <w:jc w:val="right"/>
              <w:rPr>
                <w:rFonts w:hint="eastAsia" w:ascii="仿宋" w:hAnsi="仿宋" w:eastAsia="仿宋" w:cs="仿宋"/>
                <w:sz w:val="24"/>
                <w:szCs w:val="24"/>
              </w:rPr>
            </w:pPr>
          </w:p>
        </w:tc>
        <w:tc>
          <w:tcPr>
            <w:tcW w:w="3098" w:type="dxa"/>
            <w:gridSpan w:val="4"/>
            <w:vMerge w:val="continue"/>
            <w:tcBorders>
              <w:top w:val="single" w:color="auto" w:sz="4" w:space="0"/>
              <w:left w:val="single" w:color="auto" w:sz="4" w:space="0"/>
              <w:bottom w:val="single" w:color="auto" w:sz="4" w:space="0"/>
              <w:right w:val="single" w:color="auto" w:sz="4" w:space="0"/>
            </w:tcBorders>
            <w:vAlign w:val="center"/>
          </w:tcPr>
          <w:p w14:paraId="03919A0D">
            <w:pPr>
              <w:tabs>
                <w:tab w:val="left" w:pos="720"/>
              </w:tabs>
              <w:jc w:val="center"/>
              <w:rPr>
                <w:rFonts w:hint="eastAsia" w:ascii="仿宋" w:hAnsi="仿宋" w:eastAsia="仿宋" w:cs="仿宋"/>
                <w:kern w:val="0"/>
                <w:sz w:val="24"/>
                <w:szCs w:val="24"/>
              </w:rPr>
            </w:pPr>
          </w:p>
        </w:tc>
        <w:tc>
          <w:tcPr>
            <w:tcW w:w="587" w:type="dxa"/>
            <w:tcBorders>
              <w:top w:val="single" w:color="auto" w:sz="4" w:space="0"/>
              <w:left w:val="single" w:color="auto" w:sz="4" w:space="0"/>
              <w:bottom w:val="single" w:color="auto" w:sz="4" w:space="0"/>
              <w:right w:val="single" w:color="auto" w:sz="4" w:space="0"/>
            </w:tcBorders>
            <w:vAlign w:val="center"/>
          </w:tcPr>
          <w:p w14:paraId="4D38BBF1">
            <w:pPr>
              <w:tabs>
                <w:tab w:val="left" w:pos="720"/>
              </w:tabs>
              <w:jc w:val="center"/>
            </w:pPr>
            <w:r>
              <w:rPr>
                <w:rFonts w:hint="eastAsia" w:ascii="仿宋" w:hAnsi="仿宋" w:eastAsia="仿宋" w:cs="仿宋"/>
                <w:sz w:val="24"/>
                <w:szCs w:val="24"/>
              </w:rPr>
              <w:t>作业/练习评分占比（30%）</w:t>
            </w:r>
          </w:p>
        </w:tc>
        <w:tc>
          <w:tcPr>
            <w:tcW w:w="543" w:type="dxa"/>
            <w:tcBorders>
              <w:top w:val="single" w:color="auto" w:sz="4" w:space="0"/>
              <w:left w:val="single" w:color="auto" w:sz="4" w:space="0"/>
              <w:bottom w:val="single" w:color="auto" w:sz="4" w:space="0"/>
              <w:right w:val="single" w:color="auto" w:sz="4" w:space="0"/>
            </w:tcBorders>
            <w:vAlign w:val="center"/>
          </w:tcPr>
          <w:p w14:paraId="15B6F23D">
            <w:pPr>
              <w:jc w:val="center"/>
            </w:pPr>
            <w:r>
              <w:rPr>
                <w:rFonts w:hint="eastAsia" w:ascii="仿宋" w:hAnsi="仿宋" w:eastAsia="仿宋" w:cs="仿宋"/>
                <w:sz w:val="24"/>
                <w:szCs w:val="24"/>
              </w:rPr>
              <w:t>实验评分占比（0%）</w:t>
            </w:r>
          </w:p>
        </w:tc>
        <w:tc>
          <w:tcPr>
            <w:tcW w:w="600" w:type="dxa"/>
            <w:gridSpan w:val="2"/>
            <w:tcBorders>
              <w:top w:val="single" w:color="auto" w:sz="4" w:space="0"/>
              <w:left w:val="single" w:color="auto" w:sz="4" w:space="0"/>
              <w:bottom w:val="single" w:color="auto" w:sz="4" w:space="0"/>
              <w:right w:val="single" w:color="auto" w:sz="4" w:space="0"/>
            </w:tcBorders>
            <w:vAlign w:val="center"/>
          </w:tcPr>
          <w:p w14:paraId="2813BA03">
            <w:pPr>
              <w:jc w:val="center"/>
            </w:pPr>
            <w:r>
              <w:rPr>
                <w:rFonts w:hint="eastAsia" w:ascii="仿宋" w:hAnsi="仿宋" w:eastAsia="仿宋" w:cs="仿宋"/>
                <w:kern w:val="0"/>
                <w:sz w:val="24"/>
                <w:szCs w:val="24"/>
              </w:rPr>
              <w:t>期中考试评分占比</w:t>
            </w:r>
            <w:r>
              <w:rPr>
                <w:rFonts w:hint="eastAsia" w:ascii="仿宋" w:hAnsi="仿宋" w:eastAsia="仿宋" w:cs="仿宋"/>
                <w:sz w:val="24"/>
                <w:szCs w:val="24"/>
              </w:rPr>
              <w:t>（30%）</w:t>
            </w:r>
          </w:p>
        </w:tc>
        <w:tc>
          <w:tcPr>
            <w:tcW w:w="600" w:type="dxa"/>
            <w:tcBorders>
              <w:top w:val="single" w:color="auto" w:sz="4" w:space="0"/>
              <w:left w:val="single" w:color="auto" w:sz="4" w:space="0"/>
              <w:bottom w:val="single" w:color="auto" w:sz="4" w:space="0"/>
              <w:right w:val="single" w:color="auto" w:sz="4" w:space="0"/>
            </w:tcBorders>
            <w:vAlign w:val="center"/>
          </w:tcPr>
          <w:p w14:paraId="6A1A29F9">
            <w:pPr>
              <w:jc w:val="center"/>
            </w:pPr>
            <w:r>
              <w:rPr>
                <w:rFonts w:hint="eastAsia" w:ascii="仿宋" w:hAnsi="仿宋" w:eastAsia="仿宋" w:cs="仿宋"/>
                <w:sz w:val="24"/>
                <w:szCs w:val="24"/>
              </w:rPr>
              <w:t>课堂表现/考勤评分占比（0%）</w:t>
            </w:r>
          </w:p>
        </w:tc>
        <w:tc>
          <w:tcPr>
            <w:tcW w:w="574" w:type="dxa"/>
            <w:gridSpan w:val="2"/>
            <w:tcBorders>
              <w:top w:val="single" w:color="auto" w:sz="4" w:space="0"/>
              <w:left w:val="single" w:color="auto" w:sz="4" w:space="0"/>
              <w:bottom w:val="single" w:color="auto" w:sz="4" w:space="0"/>
              <w:right w:val="single" w:color="auto" w:sz="4" w:space="0"/>
            </w:tcBorders>
            <w:vAlign w:val="center"/>
          </w:tcPr>
          <w:p w14:paraId="19D56551">
            <w:pPr>
              <w:jc w:val="center"/>
            </w:pPr>
            <w:r>
              <w:rPr>
                <w:rFonts w:hint="eastAsia" w:ascii="仿宋" w:hAnsi="仿宋" w:eastAsia="仿宋" w:cs="仿宋"/>
                <w:sz w:val="24"/>
                <w:szCs w:val="24"/>
              </w:rPr>
              <w:t>期末考试评分占比（40%）</w:t>
            </w:r>
          </w:p>
        </w:tc>
        <w:tc>
          <w:tcPr>
            <w:tcW w:w="589" w:type="dxa"/>
            <w:vMerge w:val="continue"/>
            <w:tcBorders>
              <w:top w:val="single" w:color="auto" w:sz="4" w:space="0"/>
              <w:left w:val="single" w:color="auto" w:sz="4" w:space="0"/>
              <w:bottom w:val="single" w:color="auto" w:sz="4" w:space="0"/>
              <w:right w:val="single" w:color="auto" w:sz="4" w:space="0"/>
            </w:tcBorders>
            <w:vAlign w:val="center"/>
          </w:tcPr>
          <w:p w14:paraId="053207A3">
            <w:pPr>
              <w:tabs>
                <w:tab w:val="left" w:pos="720"/>
              </w:tabs>
              <w:jc w:val="center"/>
              <w:rPr>
                <w:rFonts w:hint="eastAsia" w:ascii="仿宋" w:hAnsi="仿宋" w:eastAsia="仿宋" w:cs="仿宋"/>
                <w:sz w:val="24"/>
                <w:szCs w:val="24"/>
              </w:rPr>
            </w:pPr>
          </w:p>
        </w:tc>
      </w:tr>
      <w:tr w14:paraId="13CAC2E5">
        <w:tc>
          <w:tcPr>
            <w:tcW w:w="1376" w:type="dxa"/>
            <w:vMerge w:val="continue"/>
            <w:tcBorders>
              <w:top w:val="single" w:color="auto" w:sz="4" w:space="0"/>
              <w:left w:val="single" w:color="auto" w:sz="4" w:space="0"/>
              <w:bottom w:val="single" w:color="auto" w:sz="4" w:space="0"/>
              <w:right w:val="single" w:color="auto" w:sz="4" w:space="0"/>
            </w:tcBorders>
            <w:vAlign w:val="center"/>
          </w:tcPr>
          <w:p w14:paraId="58F3D4FD">
            <w:pPr>
              <w:spacing w:line="240" w:lineRule="atLeast"/>
              <w:jc w:val="center"/>
              <w:rPr>
                <w:rFonts w:hint="eastAsia" w:ascii="仿宋" w:hAnsi="仿宋" w:eastAsia="仿宋" w:cs="仿宋"/>
                <w:sz w:val="24"/>
                <w:szCs w:val="24"/>
                <w:lang w:eastAsia="zh-TW"/>
              </w:rPr>
            </w:pPr>
          </w:p>
        </w:tc>
        <w:tc>
          <w:tcPr>
            <w:tcW w:w="1181" w:type="dxa"/>
            <w:gridSpan w:val="2"/>
            <w:tcBorders>
              <w:top w:val="single" w:color="auto" w:sz="4" w:space="0"/>
              <w:left w:val="single" w:color="auto" w:sz="4" w:space="0"/>
              <w:bottom w:val="single" w:color="auto" w:sz="4" w:space="0"/>
              <w:right w:val="single" w:color="auto" w:sz="4" w:space="0"/>
            </w:tcBorders>
            <w:vAlign w:val="center"/>
          </w:tcPr>
          <w:p w14:paraId="7C81A45E">
            <w:pPr>
              <w:jc w:val="center"/>
              <w:rPr>
                <w:rFonts w:hint="eastAsia" w:ascii="仿宋" w:hAnsi="仿宋" w:eastAsia="仿宋" w:cs="仿宋"/>
                <w:sz w:val="24"/>
                <w:szCs w:val="24"/>
              </w:rPr>
            </w:pPr>
            <w:r>
              <w:rPr>
                <w:rFonts w:hint="eastAsia" w:ascii="仿宋" w:hAnsi="仿宋" w:eastAsia="仿宋" w:cs="仿宋"/>
                <w:bCs/>
                <w:sz w:val="24"/>
                <w:szCs w:val="24"/>
              </w:rPr>
              <w:t>课程目标1</w:t>
            </w:r>
          </w:p>
          <w:p w14:paraId="5394D0F8">
            <w:pPr>
              <w:jc w:val="center"/>
            </w:pPr>
            <w:r>
              <w:rPr>
                <w:rFonts w:hint="eastAsia" w:ascii="仿宋" w:hAnsi="仿宋" w:eastAsia="仿宋" w:cs="仿宋"/>
                <w:sz w:val="24"/>
                <w:szCs w:val="24"/>
              </w:rPr>
              <w:t>高支撑（50%）</w:t>
            </w:r>
          </w:p>
        </w:tc>
        <w:tc>
          <w:tcPr>
            <w:tcW w:w="3098" w:type="dxa"/>
            <w:gridSpan w:val="4"/>
            <w:tcBorders>
              <w:top w:val="single" w:color="auto" w:sz="4" w:space="0"/>
              <w:left w:val="single" w:color="auto" w:sz="4" w:space="0"/>
              <w:bottom w:val="single" w:color="auto" w:sz="4" w:space="0"/>
              <w:right w:val="single" w:color="auto" w:sz="4" w:space="0"/>
            </w:tcBorders>
            <w:vAlign w:val="center"/>
          </w:tcPr>
          <w:p w14:paraId="5DA2DD75">
            <w:pPr>
              <w:rPr>
                <w:rFonts w:hint="eastAsia" w:ascii="仿宋" w:hAnsi="仿宋" w:eastAsia="仿宋" w:cs="仿宋"/>
                <w:bCs/>
                <w:sz w:val="24"/>
                <w:szCs w:val="24"/>
                <w:lang w:val="en-US" w:eastAsia="zh-CN"/>
              </w:rPr>
            </w:pPr>
            <w:r>
              <w:rPr>
                <w:rFonts w:hint="eastAsia" w:ascii="仿宋" w:hAnsi="仿宋" w:eastAsia="仿宋" w:cs="仿宋"/>
                <w:sz w:val="24"/>
                <w:szCs w:val="24"/>
              </w:rPr>
              <w:t>掌握钢琴基本功，形成音乐学科基础核心素养。将音乐的一些基本理念通过实践表现出来,且能综合运用学过的理论、实践知识，分析和解决问题。</w:t>
            </w:r>
            <w:r>
              <w:rPr>
                <w:rFonts w:hint="eastAsia" w:ascii="仿宋" w:hAnsi="仿宋" w:eastAsia="仿宋" w:cs="仿宋"/>
                <w:sz w:val="24"/>
                <w:szCs w:val="24"/>
                <w:lang w:val="en-US" w:eastAsia="zh-CN"/>
              </w:rPr>
              <w:t>通过课程学习，学生能够对于中国钢琴作品概貌有一定程度的了解，对于具有良好群众基础的红色钢琴作品、有思政教育意义的中国钢琴作品有正确的认识和诠释能力。</w:t>
            </w:r>
          </w:p>
          <w:p w14:paraId="6BB36720">
            <w:pPr>
              <w:ind w:leftChars="0" w:rightChars="0" w:firstLineChars="200"/>
              <w:rPr>
                <w:rFonts w:hint="eastAsia" w:ascii="仿宋" w:hAnsi="仿宋" w:eastAsia="仿宋" w:cs="仿宋"/>
                <w:bCs/>
                <w:sz w:val="24"/>
                <w:szCs w:val="24"/>
                <w:lang w:val="en-US" w:eastAsia="zh-CN"/>
              </w:rPr>
            </w:pPr>
          </w:p>
        </w:tc>
        <w:tc>
          <w:tcPr>
            <w:tcW w:w="587" w:type="dxa"/>
            <w:tcBorders>
              <w:top w:val="single" w:color="auto" w:sz="4" w:space="0"/>
              <w:left w:val="single" w:color="auto" w:sz="4" w:space="0"/>
              <w:bottom w:val="single" w:color="auto" w:sz="4" w:space="0"/>
              <w:right w:val="single" w:color="auto" w:sz="4" w:space="0"/>
            </w:tcBorders>
            <w:vAlign w:val="center"/>
          </w:tcPr>
          <w:p w14:paraId="2CFAC5D2">
            <w:r>
              <w:rPr>
                <w:rFonts w:hint="eastAsia" w:ascii="仿宋" w:hAnsi="仿宋" w:eastAsia="仿宋" w:cs="仿宋"/>
                <w:bCs/>
                <w:sz w:val="24"/>
                <w:szCs w:val="24"/>
                <w:lang w:val="en-US" w:eastAsia="zh-CN"/>
              </w:rPr>
              <w:t>15</w:t>
            </w:r>
          </w:p>
        </w:tc>
        <w:tc>
          <w:tcPr>
            <w:tcW w:w="543" w:type="dxa"/>
            <w:tcBorders>
              <w:top w:val="single" w:color="auto" w:sz="4" w:space="0"/>
              <w:left w:val="single" w:color="auto" w:sz="4" w:space="0"/>
              <w:bottom w:val="single" w:color="auto" w:sz="4" w:space="0"/>
              <w:right w:val="single" w:color="auto" w:sz="4" w:space="0"/>
            </w:tcBorders>
            <w:vAlign w:val="center"/>
          </w:tcPr>
          <w:p w14:paraId="42AE2FDB">
            <w:r>
              <w:rPr>
                <w:rFonts w:hint="eastAsia" w:ascii="仿宋" w:hAnsi="仿宋" w:eastAsia="仿宋" w:cs="仿宋"/>
                <w:bCs/>
                <w:sz w:val="24"/>
                <w:szCs w:val="24"/>
              </w:rPr>
              <w:t>0</w:t>
            </w:r>
          </w:p>
        </w:tc>
        <w:tc>
          <w:tcPr>
            <w:tcW w:w="600" w:type="dxa"/>
            <w:gridSpan w:val="2"/>
            <w:tcBorders>
              <w:top w:val="single" w:color="auto" w:sz="4" w:space="0"/>
              <w:left w:val="single" w:color="auto" w:sz="4" w:space="0"/>
              <w:bottom w:val="single" w:color="auto" w:sz="4" w:space="0"/>
              <w:right w:val="single" w:color="auto" w:sz="4" w:space="0"/>
            </w:tcBorders>
            <w:vAlign w:val="center"/>
          </w:tcPr>
          <w:p w14:paraId="791E9357">
            <w:r>
              <w:rPr>
                <w:rFonts w:hint="eastAsia" w:ascii="仿宋" w:hAnsi="仿宋" w:eastAsia="仿宋" w:cs="仿宋"/>
                <w:bCs/>
                <w:sz w:val="24"/>
                <w:szCs w:val="24"/>
                <w:lang w:val="en-US" w:eastAsia="zh-CN"/>
              </w:rPr>
              <w:t>15</w:t>
            </w:r>
          </w:p>
        </w:tc>
        <w:tc>
          <w:tcPr>
            <w:tcW w:w="600" w:type="dxa"/>
            <w:tcBorders>
              <w:top w:val="single" w:color="auto" w:sz="4" w:space="0"/>
              <w:left w:val="single" w:color="auto" w:sz="4" w:space="0"/>
              <w:bottom w:val="single" w:color="auto" w:sz="4" w:space="0"/>
              <w:right w:val="single" w:color="auto" w:sz="4" w:space="0"/>
            </w:tcBorders>
            <w:vAlign w:val="center"/>
          </w:tcPr>
          <w:p w14:paraId="55AF695E">
            <w:r>
              <w:rPr>
                <w:rFonts w:ascii="仿宋" w:hAnsi="仿宋" w:eastAsia="仿宋" w:cs="仿宋"/>
                <w:bCs/>
                <w:sz w:val="24"/>
                <w:szCs w:val="24"/>
              </w:rPr>
              <w:t>0</w:t>
            </w:r>
          </w:p>
        </w:tc>
        <w:tc>
          <w:tcPr>
            <w:tcW w:w="574" w:type="dxa"/>
            <w:gridSpan w:val="2"/>
            <w:tcBorders>
              <w:top w:val="single" w:color="auto" w:sz="4" w:space="0"/>
              <w:left w:val="single" w:color="auto" w:sz="4" w:space="0"/>
              <w:bottom w:val="single" w:color="auto" w:sz="4" w:space="0"/>
              <w:right w:val="single" w:color="auto" w:sz="4" w:space="0"/>
            </w:tcBorders>
            <w:vAlign w:val="center"/>
          </w:tcPr>
          <w:p w14:paraId="4074F614">
            <w:r>
              <w:rPr>
                <w:rFonts w:hint="eastAsia" w:ascii="仿宋" w:hAnsi="仿宋" w:eastAsia="仿宋" w:cs="仿宋"/>
                <w:bCs/>
                <w:sz w:val="24"/>
                <w:szCs w:val="24"/>
                <w:lang w:val="en-US" w:eastAsia="zh-CN"/>
              </w:rPr>
              <w:t>20</w:t>
            </w:r>
          </w:p>
        </w:tc>
        <w:tc>
          <w:tcPr>
            <w:tcW w:w="589" w:type="dxa"/>
            <w:tcBorders>
              <w:top w:val="single" w:color="auto" w:sz="4" w:space="0"/>
              <w:left w:val="single" w:color="auto" w:sz="4" w:space="0"/>
              <w:bottom w:val="single" w:color="auto" w:sz="4" w:space="0"/>
              <w:right w:val="single" w:color="auto" w:sz="4" w:space="0"/>
            </w:tcBorders>
            <w:vAlign w:val="center"/>
          </w:tcPr>
          <w:p w14:paraId="665DB045">
            <w:pPr>
              <w:tabs>
                <w:tab w:val="left" w:pos="720"/>
              </w:tabs>
            </w:pPr>
            <w:r>
              <w:rPr>
                <w:rFonts w:hint="eastAsia" w:ascii="仿宋" w:hAnsi="仿宋" w:eastAsia="仿宋" w:cs="仿宋"/>
                <w:bCs/>
                <w:sz w:val="24"/>
                <w:szCs w:val="24"/>
                <w:lang w:val="en-US" w:eastAsia="zh-CN"/>
              </w:rPr>
              <w:t>50</w:t>
            </w:r>
          </w:p>
        </w:tc>
      </w:tr>
      <w:tr w14:paraId="1ACBABF9">
        <w:trPr>
          <w:trHeight w:val="745" w:hRule="atLeast"/>
        </w:trPr>
        <w:tc>
          <w:tcPr>
            <w:tcW w:w="1376" w:type="dxa"/>
            <w:vMerge w:val="continue"/>
            <w:tcBorders>
              <w:top w:val="single" w:color="auto" w:sz="4" w:space="0"/>
              <w:left w:val="single" w:color="auto" w:sz="4" w:space="0"/>
              <w:bottom w:val="single" w:color="auto" w:sz="4" w:space="0"/>
              <w:right w:val="single" w:color="auto" w:sz="4" w:space="0"/>
            </w:tcBorders>
            <w:vAlign w:val="center"/>
          </w:tcPr>
          <w:p w14:paraId="3AEF5CB2">
            <w:pPr>
              <w:spacing w:line="240" w:lineRule="atLeast"/>
              <w:jc w:val="center"/>
              <w:rPr>
                <w:rFonts w:hint="eastAsia" w:ascii="仿宋" w:hAnsi="仿宋" w:eastAsia="仿宋" w:cs="仿宋"/>
                <w:bCs/>
                <w:sz w:val="24"/>
                <w:szCs w:val="24"/>
                <w:lang w:val="en-US" w:eastAsia="zh-TW"/>
              </w:rPr>
            </w:pPr>
          </w:p>
        </w:tc>
        <w:tc>
          <w:tcPr>
            <w:tcW w:w="1181" w:type="dxa"/>
            <w:gridSpan w:val="2"/>
            <w:tcBorders>
              <w:top w:val="single" w:color="auto" w:sz="4" w:space="0"/>
              <w:left w:val="single" w:color="auto" w:sz="4" w:space="0"/>
              <w:bottom w:val="single" w:color="auto" w:sz="4" w:space="0"/>
              <w:right w:val="single" w:color="auto" w:sz="4" w:space="0"/>
            </w:tcBorders>
            <w:vAlign w:val="center"/>
          </w:tcPr>
          <w:p w14:paraId="5FF2975A">
            <w:pPr>
              <w:jc w:val="center"/>
              <w:rPr>
                <w:rFonts w:hint="eastAsia" w:ascii="仿宋" w:hAnsi="仿宋" w:eastAsia="仿宋" w:cs="仿宋"/>
                <w:sz w:val="24"/>
                <w:szCs w:val="24"/>
              </w:rPr>
            </w:pPr>
            <w:r>
              <w:rPr>
                <w:rFonts w:hint="eastAsia" w:ascii="仿宋" w:hAnsi="仿宋" w:eastAsia="仿宋" w:cs="仿宋"/>
                <w:bCs/>
                <w:sz w:val="24"/>
                <w:szCs w:val="24"/>
              </w:rPr>
              <w:t>课程目标2</w:t>
            </w:r>
          </w:p>
          <w:p w14:paraId="25E8FD93">
            <w:pPr>
              <w:jc w:val="center"/>
            </w:pPr>
            <w:r>
              <w:rPr>
                <w:rFonts w:hint="eastAsia" w:ascii="仿宋" w:hAnsi="仿宋" w:eastAsia="仿宋" w:cs="仿宋"/>
                <w:sz w:val="24"/>
                <w:szCs w:val="24"/>
              </w:rPr>
              <w:t>中支撑（30%）</w:t>
            </w:r>
          </w:p>
        </w:tc>
        <w:tc>
          <w:tcPr>
            <w:tcW w:w="3098" w:type="dxa"/>
            <w:gridSpan w:val="4"/>
            <w:tcBorders>
              <w:top w:val="single" w:color="auto" w:sz="4" w:space="0"/>
              <w:left w:val="single" w:color="auto" w:sz="4" w:space="0"/>
              <w:bottom w:val="single" w:color="auto" w:sz="4" w:space="0"/>
              <w:right w:val="single" w:color="auto" w:sz="4" w:space="0"/>
            </w:tcBorders>
            <w:vAlign w:val="center"/>
          </w:tcPr>
          <w:p w14:paraId="720AD582">
            <w:pPr>
              <w:ind w:leftChars="0" w:rightChars="0" w:firstLineChars="200"/>
            </w:pPr>
            <w:r>
              <w:rPr>
                <w:rFonts w:hint="eastAsia" w:ascii="仿宋" w:hAnsi="仿宋" w:eastAsia="仿宋" w:cs="仿宋"/>
                <w:sz w:val="24"/>
                <w:szCs w:val="24"/>
              </w:rPr>
              <w:t>因材施教，让不同初始程度的学生依据自己的能力，弹奏一定量的中小学音乐课曲目伴奏，对于一些弹过的曲目，能够比较熟悉地弹唱，旋律节奏基本准确。</w:t>
            </w:r>
            <w:r>
              <w:rPr>
                <w:rFonts w:hint="eastAsia" w:ascii="仿宋" w:hAnsi="仿宋" w:eastAsia="仿宋" w:cs="仿宋"/>
                <w:sz w:val="24"/>
                <w:szCs w:val="24"/>
                <w:lang w:val="en-US" w:eastAsia="zh-CN"/>
              </w:rPr>
              <w:t>对于有思政教育意义的曲目能够有正确的理解和认识，并能够正确地弹奏。</w:t>
            </w:r>
          </w:p>
        </w:tc>
        <w:tc>
          <w:tcPr>
            <w:tcW w:w="587" w:type="dxa"/>
            <w:tcBorders>
              <w:top w:val="single" w:color="auto" w:sz="4" w:space="0"/>
              <w:left w:val="single" w:color="auto" w:sz="4" w:space="0"/>
              <w:bottom w:val="single" w:color="auto" w:sz="4" w:space="0"/>
              <w:right w:val="single" w:color="auto" w:sz="4" w:space="0"/>
            </w:tcBorders>
            <w:vAlign w:val="center"/>
          </w:tcPr>
          <w:p w14:paraId="54C43B62">
            <w:r>
              <w:rPr>
                <w:rFonts w:hint="eastAsia" w:ascii="仿宋" w:hAnsi="仿宋" w:eastAsia="仿宋" w:cs="仿宋"/>
                <w:bCs/>
                <w:sz w:val="24"/>
                <w:szCs w:val="24"/>
                <w:lang w:val="en-US" w:eastAsia="zh-CN"/>
              </w:rPr>
              <w:t>9</w:t>
            </w:r>
          </w:p>
        </w:tc>
        <w:tc>
          <w:tcPr>
            <w:tcW w:w="543" w:type="dxa"/>
            <w:tcBorders>
              <w:top w:val="single" w:color="auto" w:sz="4" w:space="0"/>
              <w:left w:val="single" w:color="auto" w:sz="4" w:space="0"/>
              <w:bottom w:val="single" w:color="auto" w:sz="4" w:space="0"/>
              <w:right w:val="single" w:color="auto" w:sz="4" w:space="0"/>
            </w:tcBorders>
            <w:vAlign w:val="center"/>
          </w:tcPr>
          <w:p w14:paraId="4F84238B">
            <w:r>
              <w:rPr>
                <w:rFonts w:hint="eastAsia" w:ascii="仿宋" w:hAnsi="仿宋" w:eastAsia="仿宋" w:cs="仿宋"/>
                <w:bCs/>
                <w:sz w:val="24"/>
                <w:szCs w:val="24"/>
              </w:rPr>
              <w:t>0</w:t>
            </w:r>
          </w:p>
        </w:tc>
        <w:tc>
          <w:tcPr>
            <w:tcW w:w="600" w:type="dxa"/>
            <w:gridSpan w:val="2"/>
            <w:tcBorders>
              <w:top w:val="single" w:color="auto" w:sz="4" w:space="0"/>
              <w:left w:val="single" w:color="auto" w:sz="4" w:space="0"/>
              <w:bottom w:val="single" w:color="auto" w:sz="4" w:space="0"/>
              <w:right w:val="single" w:color="auto" w:sz="4" w:space="0"/>
            </w:tcBorders>
            <w:vAlign w:val="center"/>
          </w:tcPr>
          <w:p w14:paraId="6D61C844">
            <w:r>
              <w:rPr>
                <w:rFonts w:hint="eastAsia" w:ascii="仿宋" w:hAnsi="仿宋" w:eastAsia="仿宋" w:cs="仿宋"/>
                <w:bCs/>
                <w:sz w:val="24"/>
                <w:szCs w:val="24"/>
                <w:lang w:val="en-US" w:eastAsia="zh-CN"/>
              </w:rPr>
              <w:t>9</w:t>
            </w:r>
          </w:p>
        </w:tc>
        <w:tc>
          <w:tcPr>
            <w:tcW w:w="600" w:type="dxa"/>
            <w:tcBorders>
              <w:top w:val="single" w:color="auto" w:sz="4" w:space="0"/>
              <w:left w:val="single" w:color="auto" w:sz="4" w:space="0"/>
              <w:bottom w:val="single" w:color="auto" w:sz="4" w:space="0"/>
              <w:right w:val="single" w:color="auto" w:sz="4" w:space="0"/>
            </w:tcBorders>
            <w:vAlign w:val="center"/>
          </w:tcPr>
          <w:p w14:paraId="5101E962">
            <w:r>
              <w:rPr>
                <w:rFonts w:ascii="仿宋" w:hAnsi="仿宋" w:eastAsia="仿宋" w:cs="仿宋"/>
                <w:bCs/>
                <w:sz w:val="24"/>
                <w:szCs w:val="24"/>
              </w:rPr>
              <w:t>0</w:t>
            </w:r>
          </w:p>
        </w:tc>
        <w:tc>
          <w:tcPr>
            <w:tcW w:w="574" w:type="dxa"/>
            <w:gridSpan w:val="2"/>
            <w:tcBorders>
              <w:top w:val="single" w:color="auto" w:sz="4" w:space="0"/>
              <w:left w:val="single" w:color="auto" w:sz="4" w:space="0"/>
              <w:bottom w:val="single" w:color="auto" w:sz="4" w:space="0"/>
              <w:right w:val="single" w:color="auto" w:sz="4" w:space="0"/>
            </w:tcBorders>
            <w:vAlign w:val="center"/>
          </w:tcPr>
          <w:p w14:paraId="002F5D4B">
            <w:r>
              <w:rPr>
                <w:rFonts w:hint="eastAsia" w:ascii="仿宋" w:hAnsi="仿宋" w:eastAsia="仿宋" w:cs="仿宋"/>
                <w:bCs/>
                <w:sz w:val="24"/>
                <w:szCs w:val="24"/>
                <w:lang w:val="en-US" w:eastAsia="zh-CN"/>
              </w:rPr>
              <w:t>12</w:t>
            </w:r>
          </w:p>
        </w:tc>
        <w:tc>
          <w:tcPr>
            <w:tcW w:w="589" w:type="dxa"/>
            <w:tcBorders>
              <w:top w:val="single" w:color="auto" w:sz="4" w:space="0"/>
              <w:left w:val="single" w:color="auto" w:sz="4" w:space="0"/>
              <w:bottom w:val="single" w:color="auto" w:sz="4" w:space="0"/>
              <w:right w:val="single" w:color="auto" w:sz="4" w:space="0"/>
            </w:tcBorders>
            <w:vAlign w:val="center"/>
          </w:tcPr>
          <w:p w14:paraId="02DE0E86">
            <w:pPr>
              <w:tabs>
                <w:tab w:val="left" w:pos="720"/>
              </w:tabs>
            </w:pPr>
            <w:r>
              <w:rPr>
                <w:rFonts w:hint="eastAsia" w:ascii="仿宋" w:hAnsi="仿宋" w:eastAsia="仿宋" w:cs="仿宋"/>
                <w:bCs/>
                <w:sz w:val="24"/>
                <w:szCs w:val="24"/>
                <w:lang w:val="en-US" w:eastAsia="zh-CN"/>
              </w:rPr>
              <w:t>30</w:t>
            </w:r>
          </w:p>
        </w:tc>
      </w:tr>
      <w:tr w14:paraId="3563DD86">
        <w:trPr>
          <w:trHeight w:val="515" w:hRule="atLeast"/>
        </w:trPr>
        <w:tc>
          <w:tcPr>
            <w:tcW w:w="1376" w:type="dxa"/>
            <w:vMerge w:val="continue"/>
            <w:tcBorders>
              <w:top w:val="single" w:color="auto" w:sz="4" w:space="0"/>
              <w:left w:val="single" w:color="auto" w:sz="4" w:space="0"/>
              <w:bottom w:val="single" w:color="auto" w:sz="4" w:space="0"/>
              <w:right w:val="single" w:color="auto" w:sz="4" w:space="0"/>
            </w:tcBorders>
            <w:vAlign w:val="center"/>
          </w:tcPr>
          <w:p w14:paraId="4419F9A0">
            <w:pPr>
              <w:spacing w:line="240" w:lineRule="atLeast"/>
              <w:jc w:val="center"/>
              <w:rPr>
                <w:rFonts w:hint="eastAsia" w:ascii="仿宋" w:hAnsi="仿宋" w:eastAsia="仿宋" w:cs="仿宋"/>
                <w:bCs/>
                <w:sz w:val="24"/>
                <w:szCs w:val="24"/>
                <w:lang w:val="en-US" w:eastAsia="zh-TW"/>
              </w:rPr>
            </w:pPr>
          </w:p>
        </w:tc>
        <w:tc>
          <w:tcPr>
            <w:tcW w:w="1181" w:type="dxa"/>
            <w:gridSpan w:val="2"/>
            <w:tcBorders>
              <w:top w:val="single" w:color="auto" w:sz="4" w:space="0"/>
              <w:left w:val="single" w:color="auto" w:sz="4" w:space="0"/>
              <w:bottom w:val="single" w:color="auto" w:sz="4" w:space="0"/>
              <w:right w:val="single" w:color="auto" w:sz="4" w:space="0"/>
            </w:tcBorders>
            <w:vAlign w:val="center"/>
          </w:tcPr>
          <w:p w14:paraId="172E8489">
            <w:pPr>
              <w:jc w:val="center"/>
              <w:rPr>
                <w:rFonts w:hint="eastAsia" w:ascii="仿宋" w:hAnsi="仿宋" w:eastAsia="仿宋" w:cs="仿宋"/>
                <w:sz w:val="24"/>
                <w:szCs w:val="24"/>
              </w:rPr>
            </w:pPr>
            <w:r>
              <w:rPr>
                <w:rFonts w:hint="eastAsia" w:ascii="仿宋" w:hAnsi="仿宋" w:eastAsia="仿宋" w:cs="仿宋"/>
                <w:bCs/>
                <w:sz w:val="24"/>
                <w:szCs w:val="24"/>
              </w:rPr>
              <w:t>课程目标3</w:t>
            </w:r>
          </w:p>
          <w:p w14:paraId="1C5B7C60">
            <w:pPr>
              <w:jc w:val="center"/>
            </w:pPr>
            <w:r>
              <w:rPr>
                <w:rFonts w:hint="eastAsia" w:ascii="仿宋" w:hAnsi="仿宋" w:eastAsia="仿宋" w:cs="仿宋"/>
                <w:sz w:val="24"/>
                <w:szCs w:val="24"/>
              </w:rPr>
              <w:t>中支撑（20%）</w:t>
            </w:r>
          </w:p>
        </w:tc>
        <w:tc>
          <w:tcPr>
            <w:tcW w:w="3098" w:type="dxa"/>
            <w:gridSpan w:val="4"/>
            <w:tcBorders>
              <w:top w:val="single" w:color="auto" w:sz="4" w:space="0"/>
              <w:left w:val="single" w:color="auto" w:sz="4" w:space="0"/>
              <w:bottom w:val="single" w:color="auto" w:sz="4" w:space="0"/>
              <w:right w:val="single" w:color="auto" w:sz="4" w:space="0"/>
            </w:tcBorders>
            <w:vAlign w:val="center"/>
          </w:tcPr>
          <w:p w14:paraId="4305107A">
            <w:pPr>
              <w:ind w:leftChars="0" w:rightChars="0" w:firstLineChars="200"/>
            </w:pPr>
            <w:r>
              <w:rPr>
                <w:rFonts w:hint="eastAsia" w:ascii="仿宋" w:hAnsi="仿宋" w:eastAsia="仿宋" w:cs="仿宋"/>
                <w:sz w:val="24"/>
                <w:szCs w:val="24"/>
              </w:rPr>
              <w:t>学生通过聆听教师反馈与自我反思，形成对于自身实践的客观认识，并进行改进。</w:t>
            </w:r>
          </w:p>
        </w:tc>
        <w:tc>
          <w:tcPr>
            <w:tcW w:w="587" w:type="dxa"/>
            <w:tcBorders>
              <w:top w:val="single" w:color="auto" w:sz="4" w:space="0"/>
              <w:left w:val="single" w:color="auto" w:sz="4" w:space="0"/>
              <w:bottom w:val="single" w:color="auto" w:sz="4" w:space="0"/>
              <w:right w:val="single" w:color="auto" w:sz="4" w:space="0"/>
            </w:tcBorders>
            <w:vAlign w:val="center"/>
          </w:tcPr>
          <w:p w14:paraId="30A2D324">
            <w:r>
              <w:rPr>
                <w:rFonts w:hint="eastAsia" w:ascii="仿宋" w:hAnsi="仿宋" w:eastAsia="仿宋" w:cs="仿宋"/>
                <w:bCs/>
                <w:sz w:val="24"/>
                <w:szCs w:val="24"/>
                <w:lang w:val="en-US" w:eastAsia="zh-CN"/>
              </w:rPr>
              <w:t>6</w:t>
            </w:r>
          </w:p>
        </w:tc>
        <w:tc>
          <w:tcPr>
            <w:tcW w:w="543" w:type="dxa"/>
            <w:tcBorders>
              <w:top w:val="single" w:color="auto" w:sz="4" w:space="0"/>
              <w:left w:val="single" w:color="auto" w:sz="4" w:space="0"/>
              <w:bottom w:val="single" w:color="auto" w:sz="4" w:space="0"/>
              <w:right w:val="single" w:color="auto" w:sz="4" w:space="0"/>
            </w:tcBorders>
            <w:vAlign w:val="center"/>
          </w:tcPr>
          <w:p w14:paraId="4DBF663D">
            <w:r>
              <w:rPr>
                <w:rFonts w:hint="eastAsia" w:ascii="仿宋" w:hAnsi="仿宋" w:eastAsia="仿宋" w:cs="仿宋"/>
                <w:bCs/>
                <w:sz w:val="24"/>
                <w:szCs w:val="24"/>
              </w:rPr>
              <w:t>0</w:t>
            </w:r>
          </w:p>
        </w:tc>
        <w:tc>
          <w:tcPr>
            <w:tcW w:w="600" w:type="dxa"/>
            <w:gridSpan w:val="2"/>
            <w:tcBorders>
              <w:top w:val="single" w:color="auto" w:sz="4" w:space="0"/>
              <w:left w:val="single" w:color="auto" w:sz="4" w:space="0"/>
              <w:bottom w:val="single" w:color="auto" w:sz="4" w:space="0"/>
              <w:right w:val="single" w:color="auto" w:sz="4" w:space="0"/>
            </w:tcBorders>
            <w:vAlign w:val="center"/>
          </w:tcPr>
          <w:p w14:paraId="6ACC510E">
            <w:r>
              <w:rPr>
                <w:rFonts w:hint="eastAsia" w:ascii="仿宋" w:hAnsi="仿宋" w:eastAsia="仿宋" w:cs="仿宋"/>
                <w:bCs/>
                <w:sz w:val="24"/>
                <w:szCs w:val="24"/>
                <w:lang w:val="en-US" w:eastAsia="zh-CN"/>
              </w:rPr>
              <w:t>6</w:t>
            </w:r>
          </w:p>
        </w:tc>
        <w:tc>
          <w:tcPr>
            <w:tcW w:w="600" w:type="dxa"/>
            <w:tcBorders>
              <w:top w:val="single" w:color="auto" w:sz="4" w:space="0"/>
              <w:left w:val="single" w:color="auto" w:sz="4" w:space="0"/>
              <w:bottom w:val="single" w:color="auto" w:sz="4" w:space="0"/>
              <w:right w:val="single" w:color="auto" w:sz="4" w:space="0"/>
            </w:tcBorders>
            <w:vAlign w:val="center"/>
          </w:tcPr>
          <w:p w14:paraId="3919CA98">
            <w:r>
              <w:rPr>
                <w:rFonts w:ascii="仿宋" w:hAnsi="仿宋" w:eastAsia="仿宋" w:cs="仿宋"/>
                <w:bCs/>
                <w:sz w:val="24"/>
                <w:szCs w:val="24"/>
              </w:rPr>
              <w:t>0</w:t>
            </w:r>
          </w:p>
        </w:tc>
        <w:tc>
          <w:tcPr>
            <w:tcW w:w="574" w:type="dxa"/>
            <w:gridSpan w:val="2"/>
            <w:tcBorders>
              <w:top w:val="single" w:color="auto" w:sz="4" w:space="0"/>
              <w:left w:val="single" w:color="auto" w:sz="4" w:space="0"/>
              <w:bottom w:val="single" w:color="auto" w:sz="4" w:space="0"/>
              <w:right w:val="single" w:color="auto" w:sz="4" w:space="0"/>
            </w:tcBorders>
            <w:vAlign w:val="center"/>
          </w:tcPr>
          <w:p w14:paraId="1A49F94F">
            <w:r>
              <w:rPr>
                <w:rFonts w:hint="eastAsia" w:ascii="仿宋" w:hAnsi="仿宋" w:eastAsia="仿宋" w:cs="仿宋"/>
                <w:bCs/>
                <w:sz w:val="24"/>
                <w:szCs w:val="24"/>
                <w:lang w:val="en-US" w:eastAsia="zh-CN"/>
              </w:rPr>
              <w:t>8</w:t>
            </w:r>
          </w:p>
        </w:tc>
        <w:tc>
          <w:tcPr>
            <w:tcW w:w="589" w:type="dxa"/>
            <w:tcBorders>
              <w:top w:val="single" w:color="auto" w:sz="4" w:space="0"/>
              <w:left w:val="single" w:color="auto" w:sz="4" w:space="0"/>
              <w:bottom w:val="single" w:color="auto" w:sz="4" w:space="0"/>
              <w:right w:val="single" w:color="auto" w:sz="4" w:space="0"/>
            </w:tcBorders>
            <w:vAlign w:val="center"/>
          </w:tcPr>
          <w:p w14:paraId="0A73D9A6">
            <w:pPr>
              <w:tabs>
                <w:tab w:val="left" w:pos="720"/>
              </w:tabs>
            </w:pPr>
            <w:r>
              <w:rPr>
                <w:rFonts w:hint="eastAsia" w:ascii="仿宋" w:hAnsi="仿宋" w:eastAsia="仿宋" w:cs="仿宋"/>
                <w:bCs/>
                <w:sz w:val="24"/>
                <w:szCs w:val="24"/>
                <w:lang w:val="en-US" w:eastAsia="zh-CN"/>
              </w:rPr>
              <w:t>20</w:t>
            </w:r>
          </w:p>
        </w:tc>
      </w:tr>
      <w:tr w14:paraId="75483C69">
        <w:trPr>
          <w:trHeight w:val="515" w:hRule="atLeast"/>
        </w:trPr>
        <w:tc>
          <w:tcPr>
            <w:tcW w:w="1376" w:type="dxa"/>
            <w:vMerge w:val="continue"/>
            <w:tcBorders>
              <w:top w:val="single" w:color="auto" w:sz="4" w:space="0"/>
              <w:left w:val="single" w:color="auto" w:sz="4" w:space="0"/>
              <w:bottom w:val="single" w:color="auto" w:sz="4" w:space="0"/>
              <w:right w:val="single" w:color="auto" w:sz="4" w:space="0"/>
            </w:tcBorders>
            <w:vAlign w:val="center"/>
          </w:tcPr>
          <w:p w14:paraId="1FC50D70">
            <w:pPr>
              <w:spacing w:line="240" w:lineRule="atLeast"/>
              <w:jc w:val="center"/>
              <w:rPr>
                <w:rFonts w:hint="eastAsia" w:ascii="仿宋" w:hAnsi="仿宋" w:eastAsia="仿宋" w:cs="仿宋"/>
                <w:bCs/>
                <w:sz w:val="24"/>
                <w:szCs w:val="24"/>
                <w:lang w:val="en-US" w:eastAsia="zh-TW"/>
              </w:rPr>
            </w:pPr>
          </w:p>
        </w:tc>
        <w:tc>
          <w:tcPr>
            <w:tcW w:w="4279" w:type="dxa"/>
            <w:gridSpan w:val="6"/>
            <w:tcBorders>
              <w:top w:val="single" w:color="auto" w:sz="4" w:space="0"/>
              <w:left w:val="single" w:color="auto" w:sz="4" w:space="0"/>
              <w:bottom w:val="single" w:color="auto" w:sz="4" w:space="0"/>
              <w:right w:val="single" w:color="auto" w:sz="4" w:space="0"/>
            </w:tcBorders>
            <w:vAlign w:val="center"/>
          </w:tcPr>
          <w:p w14:paraId="1064BD89">
            <w:r>
              <w:rPr>
                <w:rFonts w:hint="eastAsia" w:ascii="仿宋" w:hAnsi="仿宋" w:eastAsia="仿宋" w:cs="仿宋"/>
                <w:bCs/>
                <w:sz w:val="24"/>
                <w:szCs w:val="24"/>
              </w:rPr>
              <w:t>总分</w:t>
            </w:r>
          </w:p>
        </w:tc>
        <w:tc>
          <w:tcPr>
            <w:tcW w:w="587" w:type="dxa"/>
            <w:tcBorders>
              <w:top w:val="single" w:color="auto" w:sz="4" w:space="0"/>
              <w:left w:val="single" w:color="auto" w:sz="4" w:space="0"/>
              <w:bottom w:val="single" w:color="auto" w:sz="4" w:space="0"/>
              <w:right w:val="single" w:color="auto" w:sz="4" w:space="0"/>
            </w:tcBorders>
            <w:vAlign w:val="center"/>
          </w:tcPr>
          <w:p w14:paraId="795CF454">
            <w:r>
              <w:rPr>
                <w:rFonts w:ascii="仿宋" w:hAnsi="仿宋" w:eastAsia="仿宋" w:cs="仿宋"/>
                <w:bCs/>
                <w:sz w:val="24"/>
                <w:szCs w:val="24"/>
              </w:rPr>
              <w:t>30</w:t>
            </w:r>
          </w:p>
        </w:tc>
        <w:tc>
          <w:tcPr>
            <w:tcW w:w="543" w:type="dxa"/>
            <w:tcBorders>
              <w:top w:val="single" w:color="auto" w:sz="4" w:space="0"/>
              <w:left w:val="single" w:color="auto" w:sz="4" w:space="0"/>
              <w:bottom w:val="single" w:color="auto" w:sz="4" w:space="0"/>
              <w:right w:val="single" w:color="auto" w:sz="4" w:space="0"/>
            </w:tcBorders>
            <w:vAlign w:val="center"/>
          </w:tcPr>
          <w:p w14:paraId="3AD8CE52">
            <w:pPr>
              <w:tabs>
                <w:tab w:val="left" w:pos="720"/>
              </w:tabs>
            </w:pPr>
            <w:r>
              <w:rPr>
                <w:rFonts w:hint="eastAsia" w:ascii="仿宋" w:hAnsi="仿宋" w:eastAsia="仿宋" w:cs="仿宋"/>
                <w:bCs/>
                <w:sz w:val="24"/>
                <w:szCs w:val="24"/>
              </w:rPr>
              <w:t>0</w:t>
            </w:r>
          </w:p>
        </w:tc>
        <w:tc>
          <w:tcPr>
            <w:tcW w:w="600" w:type="dxa"/>
            <w:gridSpan w:val="2"/>
            <w:tcBorders>
              <w:top w:val="single" w:color="auto" w:sz="4" w:space="0"/>
              <w:left w:val="single" w:color="auto" w:sz="4" w:space="0"/>
              <w:bottom w:val="single" w:color="auto" w:sz="4" w:space="0"/>
              <w:right w:val="single" w:color="auto" w:sz="4" w:space="0"/>
            </w:tcBorders>
            <w:vAlign w:val="center"/>
          </w:tcPr>
          <w:p w14:paraId="3FFFA90E">
            <w:pPr>
              <w:tabs>
                <w:tab w:val="left" w:pos="720"/>
              </w:tabs>
            </w:pPr>
            <w:r>
              <w:rPr>
                <w:rFonts w:hint="eastAsia" w:ascii="仿宋" w:hAnsi="仿宋" w:eastAsia="仿宋" w:cs="仿宋"/>
                <w:bCs/>
                <w:sz w:val="24"/>
                <w:szCs w:val="24"/>
              </w:rPr>
              <w:t>30</w:t>
            </w:r>
          </w:p>
        </w:tc>
        <w:tc>
          <w:tcPr>
            <w:tcW w:w="600" w:type="dxa"/>
            <w:tcBorders>
              <w:top w:val="single" w:color="auto" w:sz="4" w:space="0"/>
              <w:left w:val="single" w:color="auto" w:sz="4" w:space="0"/>
              <w:bottom w:val="single" w:color="auto" w:sz="4" w:space="0"/>
              <w:right w:val="single" w:color="auto" w:sz="4" w:space="0"/>
            </w:tcBorders>
            <w:vAlign w:val="center"/>
          </w:tcPr>
          <w:p w14:paraId="2C9679AA">
            <w:pPr>
              <w:tabs>
                <w:tab w:val="left" w:pos="720"/>
              </w:tabs>
            </w:pPr>
            <w:r>
              <w:rPr>
                <w:rFonts w:ascii="仿宋" w:hAnsi="仿宋" w:eastAsia="仿宋" w:cs="仿宋"/>
                <w:bCs/>
                <w:sz w:val="24"/>
                <w:szCs w:val="24"/>
              </w:rPr>
              <w:t>0</w:t>
            </w:r>
          </w:p>
        </w:tc>
        <w:tc>
          <w:tcPr>
            <w:tcW w:w="574" w:type="dxa"/>
            <w:gridSpan w:val="2"/>
            <w:tcBorders>
              <w:top w:val="single" w:color="auto" w:sz="4" w:space="0"/>
              <w:left w:val="single" w:color="auto" w:sz="4" w:space="0"/>
              <w:bottom w:val="single" w:color="auto" w:sz="4" w:space="0"/>
              <w:right w:val="single" w:color="auto" w:sz="4" w:space="0"/>
            </w:tcBorders>
            <w:vAlign w:val="center"/>
          </w:tcPr>
          <w:p w14:paraId="16F10FE8">
            <w:pPr>
              <w:tabs>
                <w:tab w:val="left" w:pos="720"/>
              </w:tabs>
            </w:pPr>
            <w:r>
              <w:rPr>
                <w:rFonts w:hint="eastAsia" w:ascii="仿宋" w:hAnsi="仿宋" w:eastAsia="仿宋" w:cs="仿宋"/>
                <w:bCs/>
                <w:sz w:val="24"/>
                <w:szCs w:val="24"/>
              </w:rPr>
              <w:t>4</w:t>
            </w:r>
            <w:r>
              <w:rPr>
                <w:rFonts w:ascii="仿宋" w:hAnsi="仿宋" w:eastAsia="仿宋" w:cs="仿宋"/>
                <w:bCs/>
                <w:sz w:val="24"/>
                <w:szCs w:val="24"/>
              </w:rPr>
              <w:t>0</w:t>
            </w:r>
          </w:p>
        </w:tc>
        <w:tc>
          <w:tcPr>
            <w:tcW w:w="589" w:type="dxa"/>
            <w:tcBorders>
              <w:top w:val="single" w:color="auto" w:sz="4" w:space="0"/>
              <w:left w:val="single" w:color="auto" w:sz="4" w:space="0"/>
              <w:bottom w:val="single" w:color="auto" w:sz="4" w:space="0"/>
              <w:right w:val="single" w:color="auto" w:sz="4" w:space="0"/>
            </w:tcBorders>
            <w:vAlign w:val="center"/>
          </w:tcPr>
          <w:p w14:paraId="2618DF39">
            <w:pPr>
              <w:tabs>
                <w:tab w:val="left" w:pos="720"/>
              </w:tabs>
            </w:pPr>
            <w:r>
              <w:rPr>
                <w:rFonts w:hint="eastAsia" w:ascii="仿宋" w:hAnsi="仿宋" w:eastAsia="仿宋" w:cs="仿宋"/>
                <w:bCs/>
                <w:sz w:val="24"/>
                <w:szCs w:val="24"/>
                <w:lang w:val="en-US" w:eastAsia="zh-CN"/>
              </w:rPr>
              <w:t>100</w:t>
            </w:r>
          </w:p>
        </w:tc>
      </w:tr>
      <w:tr w14:paraId="26137B6E">
        <w:tc>
          <w:tcPr>
            <w:tcW w:w="1376" w:type="dxa"/>
            <w:tcBorders>
              <w:top w:val="single" w:color="auto" w:sz="4" w:space="0"/>
              <w:left w:val="single" w:color="auto" w:sz="4" w:space="0"/>
              <w:bottom w:val="single" w:color="auto" w:sz="4" w:space="0"/>
              <w:right w:val="single" w:color="auto" w:sz="4" w:space="0"/>
            </w:tcBorders>
            <w:vAlign w:val="center"/>
          </w:tcPr>
          <w:p w14:paraId="6E961F6D">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L</w:t>
            </w:r>
          </w:p>
          <w:p w14:paraId="626DD609">
            <w:pPr>
              <w:spacing w:line="240" w:lineRule="atLeast"/>
              <w:jc w:val="center"/>
            </w:pPr>
            <w:r>
              <w:rPr>
                <w:rFonts w:hint="eastAsia" w:ascii="仿宋" w:hAnsi="仿宋" w:eastAsia="仿宋" w:cs="仿宋"/>
                <w:sz w:val="24"/>
                <w:szCs w:val="24"/>
              </w:rPr>
              <w:t>学习建议</w:t>
            </w:r>
          </w:p>
        </w:tc>
        <w:tc>
          <w:tcPr>
            <w:tcW w:w="7772" w:type="dxa"/>
            <w:gridSpan w:val="14"/>
            <w:tcBorders>
              <w:top w:val="single" w:color="auto" w:sz="4" w:space="0"/>
              <w:left w:val="single" w:color="auto" w:sz="4" w:space="0"/>
              <w:bottom w:val="single" w:color="auto" w:sz="4" w:space="0"/>
              <w:right w:val="single" w:color="auto" w:sz="4" w:space="0"/>
            </w:tcBorders>
            <w:vAlign w:val="center"/>
          </w:tcPr>
          <w:p w14:paraId="0F7248D6">
            <w:pPr>
              <w:rPr>
                <w:rFonts w:hint="eastAsia" w:ascii="仿宋" w:hAnsi="仿宋" w:eastAsia="仿宋" w:cs="仿宋"/>
                <w:bCs/>
                <w:sz w:val="24"/>
                <w:szCs w:val="24"/>
              </w:rPr>
            </w:pPr>
            <w:r>
              <w:rPr>
                <w:rFonts w:hint="eastAsia" w:ascii="仿宋" w:hAnsi="仿宋" w:eastAsia="仿宋" w:cs="仿宋"/>
                <w:bCs/>
                <w:sz w:val="24"/>
                <w:szCs w:val="24"/>
              </w:rPr>
              <w:t>1.自主学习。建议学生通过预习教材，并通过网络、图书馆自主查阅课程中涉及的学习资源，独立规划自己的课程学习计划，充分发挥自身的学习能动性。</w:t>
            </w:r>
          </w:p>
          <w:p w14:paraId="0FF9AADD">
            <w:r>
              <w:rPr>
                <w:rFonts w:hint="eastAsia" w:ascii="仿宋" w:hAnsi="仿宋" w:eastAsia="仿宋" w:cs="仿宋"/>
                <w:bCs/>
                <w:sz w:val="24"/>
                <w:szCs w:val="24"/>
              </w:rPr>
              <w:t>2.研究性学习。鼓励学生针对课程教学内容，尝试理论课结合专题报告的教学方式，开展相关的学科进展和专题讲座，提高学生的学习兴趣，了解国内外最新学科知识，开阔学生的视野。</w:t>
            </w:r>
          </w:p>
        </w:tc>
      </w:tr>
      <w:tr w14:paraId="3CB3A1DE">
        <w:trPr>
          <w:trHeight w:val="454" w:hRule="atLeast"/>
        </w:trPr>
        <w:tc>
          <w:tcPr>
            <w:tcW w:w="1376" w:type="dxa"/>
            <w:tcBorders>
              <w:top w:val="single" w:color="auto" w:sz="4" w:space="0"/>
              <w:left w:val="single" w:color="auto" w:sz="4" w:space="0"/>
              <w:bottom w:val="single" w:color="auto" w:sz="4" w:space="0"/>
              <w:right w:val="single" w:color="auto" w:sz="4" w:space="0"/>
            </w:tcBorders>
            <w:vAlign w:val="center"/>
          </w:tcPr>
          <w:p w14:paraId="20BCB559">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M</w:t>
            </w:r>
          </w:p>
          <w:p w14:paraId="61054BAB">
            <w:pPr>
              <w:spacing w:line="240" w:lineRule="atLeast"/>
              <w:jc w:val="center"/>
            </w:pPr>
            <w:r>
              <w:rPr>
                <w:rFonts w:hint="eastAsia" w:ascii="仿宋" w:hAnsi="仿宋" w:eastAsia="仿宋" w:cs="仿宋"/>
                <w:sz w:val="24"/>
                <w:szCs w:val="24"/>
              </w:rPr>
              <w:t>评分量表</w:t>
            </w:r>
          </w:p>
        </w:tc>
        <w:tc>
          <w:tcPr>
            <w:tcW w:w="7772" w:type="dxa"/>
            <w:gridSpan w:val="14"/>
            <w:tcBorders>
              <w:top w:val="single" w:color="auto" w:sz="4" w:space="0"/>
              <w:left w:val="single" w:color="auto" w:sz="4" w:space="0"/>
              <w:bottom w:val="single" w:color="auto" w:sz="4" w:space="0"/>
              <w:right w:val="single" w:color="auto" w:sz="4" w:space="0"/>
            </w:tcBorders>
            <w:vAlign w:val="center"/>
          </w:tcPr>
          <w:p w14:paraId="38901AD5">
            <w:pPr>
              <w:tabs>
                <w:tab w:val="left" w:pos="720"/>
              </w:tabs>
            </w:pPr>
            <w:r>
              <w:rPr>
                <w:rFonts w:hint="eastAsia" w:ascii="仿宋" w:hAnsi="仿宋" w:eastAsia="仿宋" w:cs="仿宋"/>
                <w:bCs/>
                <w:sz w:val="24"/>
                <w:szCs w:val="24"/>
              </w:rPr>
              <w:t>课程目标评分量表见附表。</w:t>
            </w:r>
          </w:p>
        </w:tc>
      </w:tr>
      <w:tr w14:paraId="7D3D1B59">
        <w:trPr>
          <w:trHeight w:val="454" w:hRule="atLeast"/>
        </w:trPr>
        <w:tc>
          <w:tcPr>
            <w:tcW w:w="1376" w:type="dxa"/>
            <w:tcBorders>
              <w:top w:val="single" w:color="auto" w:sz="4" w:space="0"/>
              <w:left w:val="single" w:color="auto" w:sz="4" w:space="0"/>
              <w:bottom w:val="single" w:color="auto" w:sz="4" w:space="0"/>
              <w:right w:val="single" w:color="auto" w:sz="4" w:space="0"/>
            </w:tcBorders>
            <w:vAlign w:val="center"/>
          </w:tcPr>
          <w:p w14:paraId="44E9DAE6">
            <w:pPr>
              <w:spacing w:line="240" w:lineRule="atLeast"/>
              <w:jc w:val="center"/>
            </w:pPr>
            <w:r>
              <w:rPr>
                <w:rFonts w:hint="eastAsia" w:ascii="仿宋" w:hAnsi="仿宋" w:eastAsia="仿宋" w:cs="仿宋"/>
                <w:sz w:val="24"/>
                <w:szCs w:val="24"/>
              </w:rPr>
              <w:t>备注</w:t>
            </w:r>
          </w:p>
        </w:tc>
        <w:tc>
          <w:tcPr>
            <w:tcW w:w="7772" w:type="dxa"/>
            <w:gridSpan w:val="14"/>
            <w:tcBorders>
              <w:top w:val="single" w:color="auto" w:sz="4" w:space="0"/>
              <w:left w:val="single" w:color="auto" w:sz="4" w:space="0"/>
              <w:bottom w:val="single" w:color="auto" w:sz="4" w:space="0"/>
              <w:right w:val="single" w:color="auto" w:sz="4" w:space="0"/>
            </w:tcBorders>
            <w:vAlign w:val="center"/>
          </w:tcPr>
          <w:p w14:paraId="05D4B3DC">
            <w:r>
              <w:rPr>
                <w:rFonts w:hint="eastAsia" w:ascii="仿宋" w:hAnsi="仿宋" w:eastAsia="仿宋" w:cs="仿宋"/>
                <w:sz w:val="24"/>
                <w:szCs w:val="24"/>
              </w:rPr>
              <w:t>课程大纲A—M项由开课学院审批通过，任课教师不能自行更改。</w:t>
            </w:r>
          </w:p>
        </w:tc>
      </w:tr>
      <w:tr w14:paraId="51603EA2">
        <w:trPr>
          <w:trHeight w:val="771" w:hRule="atLeast"/>
        </w:trPr>
        <w:tc>
          <w:tcPr>
            <w:tcW w:w="1376" w:type="dxa"/>
            <w:tcBorders>
              <w:top w:val="single" w:color="auto" w:sz="4" w:space="0"/>
              <w:left w:val="single" w:color="auto" w:sz="4" w:space="0"/>
              <w:bottom w:val="single" w:color="auto" w:sz="4" w:space="0"/>
              <w:right w:val="single" w:color="auto" w:sz="4" w:space="0"/>
            </w:tcBorders>
            <w:vAlign w:val="center"/>
          </w:tcPr>
          <w:p w14:paraId="7D192B71">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审批</w:t>
            </w:r>
          </w:p>
          <w:p w14:paraId="798E7297">
            <w:pPr>
              <w:spacing w:line="240" w:lineRule="atLeast"/>
              <w:jc w:val="center"/>
            </w:pPr>
            <w:r>
              <w:rPr>
                <w:rFonts w:hint="eastAsia" w:ascii="仿宋" w:hAnsi="仿宋" w:eastAsia="仿宋" w:cs="仿宋"/>
                <w:sz w:val="24"/>
                <w:szCs w:val="24"/>
              </w:rPr>
              <w:t>意见</w:t>
            </w:r>
          </w:p>
        </w:tc>
        <w:tc>
          <w:tcPr>
            <w:tcW w:w="3869" w:type="dxa"/>
            <w:gridSpan w:val="4"/>
            <w:tcBorders>
              <w:top w:val="single" w:color="auto" w:sz="4" w:space="0"/>
              <w:left w:val="single" w:color="auto" w:sz="4" w:space="0"/>
              <w:bottom w:val="single" w:color="auto" w:sz="4" w:space="0"/>
              <w:right w:val="single" w:color="auto" w:sz="4" w:space="0"/>
            </w:tcBorders>
            <w:vAlign w:val="center"/>
          </w:tcPr>
          <w:p w14:paraId="48DAB1B4">
            <w:pPr>
              <w:widowControl/>
              <w:jc w:val="left"/>
              <w:rPr>
                <w:rFonts w:hint="eastAsia" w:ascii="仿宋" w:hAnsi="仿宋" w:eastAsia="仿宋" w:cs="仿宋"/>
                <w:kern w:val="0"/>
                <w:sz w:val="24"/>
                <w:szCs w:val="24"/>
              </w:rPr>
            </w:pPr>
            <w:r>
              <w:rPr>
                <w:rFonts w:hint="eastAsia" w:ascii="仿宋" w:hAnsi="仿宋" w:eastAsia="仿宋" w:cs="仿宋"/>
                <w:kern w:val="0"/>
                <w:sz w:val="24"/>
                <w:szCs w:val="24"/>
              </w:rPr>
              <w:t>课程教学大纲修订负责人及教学团队成员</w:t>
            </w:r>
            <w:r>
              <w:rPr>
                <w:rFonts w:hint="eastAsia" w:ascii="仿宋" w:hAnsi="仿宋" w:eastAsia="仿宋" w:cs="仿宋"/>
                <w:sz w:val="24"/>
                <w:szCs w:val="24"/>
              </w:rPr>
              <w:t>签名</w:t>
            </w:r>
            <w:r>
              <w:rPr>
                <w:rFonts w:hint="eastAsia" w:ascii="仿宋" w:hAnsi="仿宋" w:eastAsia="仿宋" w:cs="仿宋"/>
                <w:kern w:val="0"/>
                <w:sz w:val="24"/>
                <w:szCs w:val="24"/>
              </w:rPr>
              <w:t xml:space="preserve">：   </w:t>
            </w:r>
          </w:p>
          <w:p w14:paraId="2453B0E8">
            <w:pPr>
              <w:widowControl/>
              <w:jc w:val="left"/>
              <w:rPr>
                <w:rFonts w:hint="eastAsia" w:ascii="仿宋" w:hAnsi="仿宋" w:eastAsia="仿宋" w:cs="仿宋"/>
                <w:kern w:val="0"/>
                <w:sz w:val="24"/>
                <w:szCs w:val="24"/>
              </w:rPr>
            </w:pPr>
          </w:p>
          <w:p w14:paraId="0A8D4766">
            <w:pPr>
              <w:widowControl/>
              <w:jc w:val="left"/>
              <w:rPr>
                <w:rFonts w:hint="eastAsia" w:ascii="仿宋" w:hAnsi="仿宋" w:eastAsia="仿宋" w:cs="仿宋"/>
                <w:kern w:val="0"/>
                <w:sz w:val="24"/>
                <w:szCs w:val="24"/>
              </w:rPr>
            </w:pPr>
          </w:p>
          <w:p w14:paraId="59758127">
            <w:pPr>
              <w:widowControl/>
              <w:jc w:val="left"/>
              <w:rPr>
                <w:rFonts w:hint="eastAsia" w:ascii="仿宋" w:hAnsi="仿宋" w:eastAsia="仿宋" w:cs="仿宋"/>
                <w:kern w:val="0"/>
                <w:sz w:val="24"/>
                <w:szCs w:val="24"/>
              </w:rPr>
            </w:pPr>
          </w:p>
          <w:p w14:paraId="1518F1EA">
            <w:pPr>
              <w:widowControl/>
              <w:jc w:val="left"/>
              <w:rPr>
                <w:rFonts w:hint="eastAsia" w:ascii="仿宋" w:hAnsi="仿宋" w:eastAsia="仿宋" w:cs="仿宋"/>
                <w:kern w:val="0"/>
                <w:sz w:val="24"/>
                <w:szCs w:val="24"/>
              </w:rPr>
            </w:pPr>
          </w:p>
          <w:p w14:paraId="5B65A5C9">
            <w:pPr>
              <w:widowControl/>
              <w:jc w:val="right"/>
              <w:rPr>
                <w:rFonts w:hint="eastAsia" w:ascii="仿宋" w:hAnsi="仿宋" w:eastAsia="仿宋" w:cs="仿宋"/>
                <w:kern w:val="0"/>
                <w:sz w:val="24"/>
                <w:szCs w:val="24"/>
              </w:rPr>
            </w:pPr>
            <w:r>
              <w:rPr>
                <w:rFonts w:hint="eastAsia" w:ascii="仿宋" w:hAnsi="仿宋" w:eastAsia="仿宋" w:cs="仿宋"/>
                <w:kern w:val="0"/>
                <w:sz w:val="24"/>
                <w:szCs w:val="24"/>
              </w:rPr>
              <w:t xml:space="preserve">                                                   年   月   日 </w:t>
            </w:r>
          </w:p>
          <w:p w14:paraId="2C14F60A">
            <w:pPr>
              <w:widowControl/>
              <w:jc w:val="right"/>
              <w:rPr>
                <w:rFonts w:hint="eastAsia" w:ascii="仿宋" w:hAnsi="仿宋" w:eastAsia="仿宋" w:cs="仿宋"/>
                <w:kern w:val="0"/>
                <w:sz w:val="24"/>
                <w:szCs w:val="24"/>
              </w:rPr>
            </w:pPr>
          </w:p>
        </w:tc>
        <w:tc>
          <w:tcPr>
            <w:tcW w:w="3903" w:type="dxa"/>
            <w:gridSpan w:val="10"/>
            <w:tcBorders>
              <w:top w:val="single" w:color="auto" w:sz="4" w:space="0"/>
              <w:left w:val="single" w:color="auto" w:sz="4" w:space="0"/>
              <w:bottom w:val="single" w:color="auto" w:sz="4" w:space="0"/>
              <w:right w:val="single" w:color="auto" w:sz="4" w:space="0"/>
            </w:tcBorders>
            <w:vAlign w:val="center"/>
          </w:tcPr>
          <w:p w14:paraId="651F01D4">
            <w:pPr>
              <w:widowControl/>
              <w:jc w:val="left"/>
              <w:rPr>
                <w:rFonts w:hint="eastAsia" w:ascii="仿宋" w:hAnsi="仿宋" w:eastAsia="仿宋" w:cs="仿宋"/>
                <w:kern w:val="0"/>
                <w:sz w:val="24"/>
                <w:szCs w:val="24"/>
              </w:rPr>
            </w:pPr>
            <w:r>
              <w:rPr>
                <w:rFonts w:hint="eastAsia" w:ascii="仿宋" w:hAnsi="仿宋" w:eastAsia="仿宋" w:cs="仿宋"/>
                <w:kern w:val="0"/>
                <w:sz w:val="24"/>
                <w:szCs w:val="24"/>
              </w:rPr>
              <w:t>系主任审核意见：</w:t>
            </w:r>
          </w:p>
          <w:p w14:paraId="165E36EF">
            <w:pPr>
              <w:widowControl/>
              <w:jc w:val="left"/>
              <w:rPr>
                <w:rFonts w:hint="eastAsia" w:ascii="仿宋" w:hAnsi="仿宋" w:eastAsia="仿宋" w:cs="仿宋"/>
                <w:kern w:val="0"/>
                <w:sz w:val="24"/>
                <w:szCs w:val="24"/>
              </w:rPr>
            </w:pPr>
          </w:p>
          <w:p w14:paraId="1947F2BA">
            <w:pPr>
              <w:widowControl/>
              <w:jc w:val="left"/>
              <w:rPr>
                <w:rFonts w:hint="eastAsia" w:ascii="仿宋" w:hAnsi="仿宋" w:eastAsia="仿宋" w:cs="仿宋"/>
                <w:kern w:val="0"/>
                <w:sz w:val="24"/>
                <w:szCs w:val="24"/>
              </w:rPr>
            </w:pPr>
          </w:p>
          <w:p w14:paraId="78FD6780">
            <w:pPr>
              <w:widowControl/>
              <w:jc w:val="left"/>
              <w:rPr>
                <w:rFonts w:hint="eastAsia" w:ascii="仿宋" w:hAnsi="仿宋" w:eastAsia="仿宋" w:cs="仿宋"/>
                <w:kern w:val="0"/>
                <w:sz w:val="24"/>
                <w:szCs w:val="24"/>
              </w:rPr>
            </w:pPr>
          </w:p>
          <w:p w14:paraId="3FF67AE6">
            <w:pPr>
              <w:widowControl/>
              <w:jc w:val="left"/>
              <w:rPr>
                <w:rFonts w:hint="eastAsia" w:ascii="仿宋" w:hAnsi="仿宋" w:eastAsia="仿宋" w:cs="仿宋"/>
                <w:kern w:val="0"/>
                <w:sz w:val="24"/>
                <w:szCs w:val="24"/>
              </w:rPr>
            </w:pPr>
          </w:p>
          <w:p w14:paraId="191CD514">
            <w:pPr>
              <w:widowControl/>
              <w:jc w:val="left"/>
              <w:rPr>
                <w:rFonts w:hint="eastAsia" w:ascii="仿宋" w:hAnsi="仿宋" w:eastAsia="仿宋" w:cs="仿宋"/>
                <w:kern w:val="0"/>
                <w:sz w:val="24"/>
                <w:szCs w:val="24"/>
              </w:rPr>
            </w:pPr>
            <w:r>
              <w:rPr>
                <w:rFonts w:hint="eastAsia" w:ascii="仿宋" w:hAnsi="仿宋" w:eastAsia="仿宋" w:cs="仿宋"/>
                <w:kern w:val="0"/>
                <w:sz w:val="24"/>
                <w:szCs w:val="24"/>
              </w:rPr>
              <w:t>系主任签名：</w:t>
            </w:r>
          </w:p>
          <w:p w14:paraId="156E8F03">
            <w:pPr>
              <w:widowControl/>
              <w:jc w:val="right"/>
              <w:rPr>
                <w:rFonts w:hint="eastAsia" w:ascii="仿宋" w:hAnsi="仿宋" w:eastAsia="仿宋" w:cs="仿宋"/>
                <w:kern w:val="0"/>
                <w:sz w:val="24"/>
                <w:szCs w:val="24"/>
              </w:rPr>
            </w:pPr>
          </w:p>
          <w:p w14:paraId="67967DC9">
            <w:pPr>
              <w:widowControl/>
              <w:jc w:val="right"/>
              <w:rPr>
                <w:rFonts w:hint="eastAsia" w:ascii="仿宋" w:hAnsi="仿宋" w:eastAsia="仿宋" w:cs="仿宋"/>
                <w:kern w:val="0"/>
                <w:sz w:val="24"/>
                <w:szCs w:val="24"/>
              </w:rPr>
            </w:pPr>
            <w:r>
              <w:rPr>
                <w:rFonts w:hint="eastAsia" w:ascii="仿宋" w:hAnsi="仿宋" w:eastAsia="仿宋" w:cs="仿宋"/>
                <w:kern w:val="0"/>
                <w:sz w:val="24"/>
                <w:szCs w:val="24"/>
              </w:rPr>
              <w:t>年   月   日</w:t>
            </w:r>
          </w:p>
          <w:p w14:paraId="5047D6A3">
            <w:pPr>
              <w:widowControl/>
              <w:jc w:val="right"/>
              <w:rPr>
                <w:rFonts w:hint="eastAsia" w:ascii="仿宋" w:hAnsi="仿宋" w:eastAsia="仿宋" w:cs="仿宋"/>
                <w:kern w:val="0"/>
                <w:sz w:val="24"/>
                <w:szCs w:val="24"/>
              </w:rPr>
            </w:pPr>
          </w:p>
        </w:tc>
      </w:tr>
    </w:tbl>
    <w:p w14:paraId="684C34C7">
      <w:pPr>
        <w:widowControl/>
        <w:spacing w:line="360" w:lineRule="auto"/>
        <w:ind w:leftChars="0" w:rightChars="0" w:firstLineChars="200"/>
        <w:rPr>
          <w:rFonts w:hint="eastAsia" w:eastAsia="PMingLiU" w:cs="黑体"/>
          <w:lang w:eastAsia="zh-TW"/>
        </w:rPr>
      </w:pPr>
    </w:p>
    <w:p w14:paraId="4CD2795F">
      <w:pPr>
        <w:widowControl/>
        <w:spacing w:line="360" w:lineRule="auto"/>
        <w:ind w:leftChars="0" w:rightChars="0" w:firstLineChars="200"/>
        <w:rPr>
          <w:rFonts w:hint="eastAsia" w:eastAsia="PMingLiU" w:cs="黑体"/>
          <w:lang w:eastAsia="zh-TW"/>
        </w:rPr>
      </w:pPr>
    </w:p>
    <w:p w14:paraId="6D36D707">
      <w:pPr>
        <w:sectPr>
          <w:headerReference r:id="rId65" w:type="default"/>
          <w:footerReference r:id="rId66" w:type="default"/>
          <w:footnotePr/>
          <w:pgSz w:w="11906" w:h="16838"/>
          <w:pgMar w:top="1134" w:right="1417" w:bottom="1134" w:left="1417" w:header="720" w:footer="720" w:gutter="0"/>
          <w:cols w:space="720" w:num="1"/>
          <w:docGrid w:type="lines" w:linePitch="312" w:charSpace="0"/>
        </w:sectPr>
      </w:pPr>
    </w:p>
    <w:p w14:paraId="6FB28EB8">
      <w:pPr>
        <w:spacing w:line="360" w:lineRule="auto"/>
        <w:jc w:val="left"/>
        <w:rPr>
          <w:rFonts w:hint="eastAsia" w:eastAsia="方正小标宋简体" w:cs="黑体"/>
          <w:sz w:val="44"/>
          <w:szCs w:val="44"/>
        </w:rPr>
      </w:pPr>
      <w:r>
        <w:rPr>
          <w:rFonts w:hint="eastAsia" w:ascii="仿宋" w:hAnsi="仿宋" w:eastAsia="仿宋" w:cs="仿宋"/>
          <w:sz w:val="32"/>
          <w:szCs w:val="32"/>
        </w:rPr>
        <w:t xml:space="preserve">附表  </w:t>
      </w:r>
      <w:r>
        <w:rPr>
          <w:rFonts w:hint="eastAsia" w:cs="黑体"/>
        </w:rPr>
        <w:t xml:space="preserve">  </w:t>
      </w:r>
    </w:p>
    <w:p w14:paraId="7C96C4F1">
      <w:pPr>
        <w:spacing w:line="360" w:lineRule="auto"/>
        <w:jc w:val="center"/>
        <w:rPr>
          <w:rFonts w:hint="eastAsia" w:ascii="仿宋" w:hAnsi="仿宋" w:eastAsia="仿宋" w:cs="仿宋"/>
          <w:sz w:val="24"/>
          <w:szCs w:val="24"/>
        </w:rPr>
      </w:pPr>
      <w:r>
        <w:rPr>
          <w:rFonts w:hint="eastAsia" w:eastAsia="方正小标宋简体" w:cs="黑体"/>
          <w:sz w:val="44"/>
          <w:szCs w:val="44"/>
        </w:rPr>
        <w:t>《钢琴基础》课程目标评分量表</w:t>
      </w:r>
    </w:p>
    <w:tbl>
      <w:tblPr>
        <w:tblStyle w:val="22"/>
        <w:tblW w:w="0" w:type="auto"/>
        <w:jc w:val="center"/>
        <w:tblLayout w:type="fixed"/>
        <w:tblCellMar>
          <w:top w:w="0" w:type="dxa"/>
          <w:left w:w="0" w:type="dxa"/>
          <w:bottom w:w="0" w:type="dxa"/>
          <w:right w:w="28" w:type="dxa"/>
        </w:tblCellMar>
      </w:tblPr>
      <w:tblGrid>
        <w:gridCol w:w="940"/>
        <w:gridCol w:w="1840"/>
        <w:gridCol w:w="1584"/>
        <w:gridCol w:w="1736"/>
        <w:gridCol w:w="1605"/>
        <w:gridCol w:w="1987"/>
        <w:gridCol w:w="1507"/>
      </w:tblGrid>
      <w:tr w14:paraId="3EF85C01">
        <w:trPr>
          <w:trHeight w:val="90" w:hRule="atLeast"/>
          <w:jc w:val="center"/>
        </w:trPr>
        <w:tc>
          <w:tcPr>
            <w:tcW w:w="940" w:type="dxa"/>
            <w:vMerge w:val="restart"/>
            <w:tcBorders>
              <w:top w:val="single" w:color="auto" w:sz="4" w:space="0"/>
              <w:left w:val="single" w:color="auto" w:sz="4" w:space="0"/>
              <w:bottom w:val="single" w:color="auto" w:sz="4" w:space="0"/>
              <w:right w:val="single" w:color="auto" w:sz="4" w:space="0"/>
            </w:tcBorders>
            <w:vAlign w:val="center"/>
          </w:tcPr>
          <w:p w14:paraId="38EFCD9C">
            <w:pPr>
              <w:spacing w:line="240" w:lineRule="atLeast"/>
              <w:jc w:val="center"/>
              <w:rPr>
                <w:rFonts w:hint="eastAsia" w:ascii="仿宋" w:hAnsi="仿宋" w:eastAsia="仿宋" w:cs="仿宋"/>
                <w:sz w:val="24"/>
                <w:szCs w:val="24"/>
              </w:rPr>
            </w:pPr>
            <w:r>
              <w:rPr>
                <w:rFonts w:hint="eastAsia" w:ascii="仿宋" w:hAnsi="仿宋" w:eastAsia="仿宋" w:cs="仿宋"/>
                <w:sz w:val="24"/>
                <w:szCs w:val="24"/>
              </w:rPr>
              <w:t>M</w:t>
            </w:r>
          </w:p>
          <w:p w14:paraId="724A6F76">
            <w:pPr>
              <w:spacing w:line="240" w:lineRule="atLeast"/>
              <w:jc w:val="center"/>
            </w:pPr>
            <w:r>
              <w:rPr>
                <w:rFonts w:hint="eastAsia" w:ascii="仿宋" w:hAnsi="仿宋" w:eastAsia="仿宋" w:cs="仿宋"/>
                <w:sz w:val="24"/>
                <w:szCs w:val="24"/>
              </w:rPr>
              <w:t>评分量表</w:t>
            </w:r>
          </w:p>
        </w:tc>
        <w:tc>
          <w:tcPr>
            <w:tcW w:w="1840" w:type="dxa"/>
            <w:tcBorders>
              <w:top w:val="single" w:color="auto" w:sz="4" w:space="0"/>
              <w:left w:val="single" w:color="auto" w:sz="4" w:space="0"/>
              <w:bottom w:val="single" w:color="auto" w:sz="4" w:space="0"/>
              <w:right w:val="single" w:color="auto" w:sz="4" w:space="0"/>
            </w:tcBorders>
            <w:vAlign w:val="center"/>
          </w:tcPr>
          <w:p w14:paraId="49F0D544">
            <w:pPr>
              <w:tabs>
                <w:tab w:val="left" w:pos="720"/>
              </w:tabs>
              <w:spacing w:line="240" w:lineRule="atLeast"/>
              <w:jc w:val="center"/>
            </w:pPr>
            <w:r>
              <w:rPr>
                <w:rFonts w:hint="eastAsia" w:ascii="仿宋" w:hAnsi="仿宋" w:eastAsia="仿宋" w:cs="仿宋"/>
                <w:bCs/>
                <w:sz w:val="24"/>
                <w:szCs w:val="24"/>
              </w:rPr>
              <w:t>课程目标</w:t>
            </w:r>
          </w:p>
        </w:tc>
        <w:tc>
          <w:tcPr>
            <w:tcW w:w="1584" w:type="dxa"/>
            <w:tcBorders>
              <w:top w:val="single" w:color="auto" w:sz="4" w:space="0"/>
              <w:left w:val="single" w:color="auto" w:sz="4" w:space="0"/>
              <w:bottom w:val="single" w:color="auto" w:sz="4" w:space="0"/>
              <w:right w:val="single" w:color="auto" w:sz="4" w:space="0"/>
            </w:tcBorders>
            <w:vAlign w:val="center"/>
          </w:tcPr>
          <w:p w14:paraId="4A8183FD">
            <w:pPr>
              <w:tabs>
                <w:tab w:val="left" w:pos="720"/>
              </w:tabs>
              <w:spacing w:line="240" w:lineRule="atLeast"/>
              <w:jc w:val="center"/>
            </w:pPr>
            <w:r>
              <w:rPr>
                <w:rFonts w:hint="eastAsia" w:ascii="仿宋" w:hAnsi="仿宋" w:eastAsia="仿宋" w:cs="仿宋"/>
                <w:bCs/>
                <w:sz w:val="24"/>
                <w:szCs w:val="24"/>
              </w:rPr>
              <w:t>优（X≧90）</w:t>
            </w:r>
          </w:p>
        </w:tc>
        <w:tc>
          <w:tcPr>
            <w:tcW w:w="1736" w:type="dxa"/>
            <w:tcBorders>
              <w:top w:val="single" w:color="auto" w:sz="4" w:space="0"/>
              <w:left w:val="single" w:color="auto" w:sz="4" w:space="0"/>
              <w:bottom w:val="single" w:color="auto" w:sz="4" w:space="0"/>
              <w:right w:val="single" w:color="auto" w:sz="4" w:space="0"/>
            </w:tcBorders>
            <w:vAlign w:val="center"/>
          </w:tcPr>
          <w:p w14:paraId="20EC4B9D">
            <w:pPr>
              <w:tabs>
                <w:tab w:val="left" w:pos="720"/>
              </w:tabs>
              <w:spacing w:line="240" w:lineRule="atLeast"/>
              <w:jc w:val="center"/>
            </w:pPr>
            <w:r>
              <w:rPr>
                <w:rFonts w:hint="eastAsia" w:ascii="仿宋" w:hAnsi="仿宋" w:eastAsia="仿宋" w:cs="仿宋"/>
                <w:bCs/>
                <w:sz w:val="24"/>
                <w:szCs w:val="24"/>
              </w:rPr>
              <w:t>良（80≦X＜90）</w:t>
            </w:r>
          </w:p>
        </w:tc>
        <w:tc>
          <w:tcPr>
            <w:tcW w:w="1605" w:type="dxa"/>
            <w:tcBorders>
              <w:top w:val="single" w:color="auto" w:sz="4" w:space="0"/>
              <w:left w:val="single" w:color="auto" w:sz="4" w:space="0"/>
              <w:bottom w:val="single" w:color="auto" w:sz="4" w:space="0"/>
              <w:right w:val="single" w:color="auto" w:sz="4" w:space="0"/>
            </w:tcBorders>
            <w:vAlign w:val="center"/>
          </w:tcPr>
          <w:p w14:paraId="56E0B354">
            <w:pPr>
              <w:tabs>
                <w:tab w:val="left" w:pos="720"/>
              </w:tabs>
              <w:spacing w:line="240" w:lineRule="atLeast"/>
              <w:jc w:val="center"/>
            </w:pPr>
            <w:r>
              <w:rPr>
                <w:rFonts w:hint="eastAsia" w:ascii="仿宋" w:hAnsi="仿宋" w:eastAsia="仿宋" w:cs="仿宋"/>
                <w:bCs/>
                <w:sz w:val="24"/>
                <w:szCs w:val="24"/>
              </w:rPr>
              <w:t>中（70≦X＜80）</w:t>
            </w:r>
          </w:p>
        </w:tc>
        <w:tc>
          <w:tcPr>
            <w:tcW w:w="1987" w:type="dxa"/>
            <w:tcBorders>
              <w:top w:val="single" w:color="auto" w:sz="4" w:space="0"/>
              <w:left w:val="single" w:color="auto" w:sz="4" w:space="0"/>
              <w:bottom w:val="single" w:color="auto" w:sz="4" w:space="0"/>
              <w:right w:val="single" w:color="auto" w:sz="4" w:space="0"/>
            </w:tcBorders>
            <w:vAlign w:val="center"/>
          </w:tcPr>
          <w:p w14:paraId="02F260CD">
            <w:pPr>
              <w:tabs>
                <w:tab w:val="left" w:pos="720"/>
              </w:tabs>
              <w:spacing w:line="240" w:lineRule="atLeast"/>
              <w:jc w:val="center"/>
            </w:pPr>
            <w:r>
              <w:rPr>
                <w:rFonts w:hint="eastAsia" w:ascii="仿宋" w:hAnsi="仿宋" w:eastAsia="仿宋" w:cs="仿宋"/>
                <w:bCs/>
                <w:sz w:val="24"/>
                <w:szCs w:val="24"/>
              </w:rPr>
              <w:t>及格（60≦X＜70）</w:t>
            </w:r>
          </w:p>
        </w:tc>
        <w:tc>
          <w:tcPr>
            <w:tcW w:w="1507" w:type="dxa"/>
            <w:tcBorders>
              <w:top w:val="single" w:color="auto" w:sz="4" w:space="0"/>
              <w:left w:val="single" w:color="auto" w:sz="4" w:space="0"/>
              <w:bottom w:val="single" w:color="auto" w:sz="4" w:space="0"/>
              <w:right w:val="single" w:color="auto" w:sz="4" w:space="0"/>
            </w:tcBorders>
            <w:vAlign w:val="center"/>
          </w:tcPr>
          <w:p w14:paraId="3C7D725D">
            <w:pPr>
              <w:tabs>
                <w:tab w:val="left" w:pos="720"/>
              </w:tabs>
              <w:spacing w:line="240" w:lineRule="atLeast"/>
              <w:jc w:val="center"/>
            </w:pPr>
            <w:r>
              <w:rPr>
                <w:rFonts w:hint="eastAsia" w:ascii="仿宋" w:hAnsi="仿宋" w:eastAsia="仿宋" w:cs="仿宋"/>
                <w:bCs/>
                <w:sz w:val="24"/>
                <w:szCs w:val="24"/>
              </w:rPr>
              <w:t>不及格（＜60）</w:t>
            </w:r>
          </w:p>
        </w:tc>
      </w:tr>
      <w:tr w14:paraId="67FE9BB9">
        <w:trPr>
          <w:trHeight w:val="2732" w:hRule="atLeast"/>
          <w:jc w:val="center"/>
        </w:trPr>
        <w:tc>
          <w:tcPr>
            <w:tcW w:w="940" w:type="dxa"/>
            <w:vMerge w:val="continue"/>
            <w:tcBorders>
              <w:top w:val="single" w:color="auto" w:sz="4" w:space="0"/>
              <w:left w:val="single" w:color="auto" w:sz="4" w:space="0"/>
              <w:bottom w:val="single" w:color="auto" w:sz="4" w:space="0"/>
              <w:right w:val="single" w:color="auto" w:sz="4" w:space="0"/>
            </w:tcBorders>
            <w:vAlign w:val="center"/>
          </w:tcPr>
          <w:p w14:paraId="7ACF036F">
            <w:pPr>
              <w:spacing w:line="240" w:lineRule="atLeast"/>
              <w:jc w:val="center"/>
              <w:rPr>
                <w:rFonts w:hint="eastAsia" w:ascii="宋体" w:hAnsi="宋体" w:eastAsia="仿宋" w:cs="宋体"/>
                <w:bCs/>
                <w:sz w:val="24"/>
                <w:szCs w:val="24"/>
              </w:rPr>
            </w:pPr>
          </w:p>
        </w:tc>
        <w:tc>
          <w:tcPr>
            <w:tcW w:w="1840" w:type="dxa"/>
            <w:tcBorders>
              <w:top w:val="single" w:color="auto" w:sz="4" w:space="0"/>
              <w:left w:val="single" w:color="auto" w:sz="4" w:space="0"/>
              <w:bottom w:val="single" w:color="auto" w:sz="4" w:space="0"/>
              <w:right w:val="single" w:color="auto" w:sz="4" w:space="0"/>
            </w:tcBorders>
            <w:vAlign w:val="center"/>
          </w:tcPr>
          <w:p w14:paraId="54C2E73F">
            <w:pPr>
              <w:widowControl/>
              <w:kinsoku/>
              <w:overflowPunct/>
              <w:bidi w:val="0"/>
              <w:spacing w:line="240" w:lineRule="auto"/>
              <w:rPr>
                <w:rFonts w:hint="eastAsia" w:ascii="楷体" w:hAnsi="楷体" w:eastAsia="楷体" w:cs="楷体"/>
                <w:color w:val="000000"/>
                <w:kern w:val="2"/>
                <w:szCs w:val="21"/>
                <w:lang w:bidi="ar-SA"/>
              </w:rPr>
            </w:pPr>
            <w:r>
              <w:rPr>
                <w:rFonts w:hint="eastAsia" w:ascii="楷体" w:hAnsi="楷体" w:eastAsia="楷体" w:cs="楷体"/>
                <w:color w:val="000000"/>
                <w:kern w:val="2"/>
                <w:szCs w:val="21"/>
                <w:lang w:bidi="ar-SA"/>
              </w:rPr>
              <w:t>3.1学科素养（专业基本功）</w:t>
            </w:r>
          </w:p>
          <w:p w14:paraId="1CD20DFD">
            <w:pPr>
              <w:widowControl/>
              <w:kinsoku/>
              <w:overflowPunct/>
              <w:bidi w:val="0"/>
              <w:spacing w:line="240" w:lineRule="auto"/>
            </w:pPr>
            <w:r>
              <w:rPr>
                <w:rFonts w:hint="eastAsia" w:ascii="楷体" w:hAnsi="楷体" w:eastAsia="楷体" w:cs="楷体"/>
                <w:color w:val="000000"/>
                <w:kern w:val="2"/>
                <w:szCs w:val="21"/>
                <w:lang w:bidi="ar-SA"/>
              </w:rPr>
              <w:t>通过本课程学习，将音乐的一些基本理念通过实践表现出来,且能综合运用学过的理论、实践知识，分析和解决问题。</w:t>
            </w:r>
          </w:p>
        </w:tc>
        <w:tc>
          <w:tcPr>
            <w:tcW w:w="1584" w:type="dxa"/>
            <w:tcBorders>
              <w:top w:val="single" w:color="auto" w:sz="4" w:space="0"/>
              <w:left w:val="single" w:color="auto" w:sz="4" w:space="0"/>
              <w:bottom w:val="single" w:color="auto" w:sz="4" w:space="0"/>
              <w:right w:val="single" w:color="auto" w:sz="4" w:space="0"/>
            </w:tcBorders>
            <w:vAlign w:val="top"/>
          </w:tcPr>
          <w:p w14:paraId="0D47F210">
            <w:pPr>
              <w:widowControl/>
              <w:kinsoku/>
              <w:overflowPunct/>
              <w:bidi w:val="0"/>
              <w:spacing w:line="240" w:lineRule="auto"/>
              <w:rPr>
                <w:rFonts w:hint="eastAsia" w:ascii="楷体" w:hAnsi="楷体" w:eastAsia="楷体" w:cs="楷体"/>
                <w:color w:val="000000"/>
                <w:kern w:val="2"/>
                <w:szCs w:val="21"/>
                <w:lang w:bidi="ar-SA"/>
              </w:rPr>
            </w:pPr>
            <w:r>
              <w:rPr>
                <w:rFonts w:hint="eastAsia" w:ascii="楷体" w:hAnsi="楷体" w:eastAsia="楷体" w:cs="楷体"/>
                <w:color w:val="000000"/>
                <w:kern w:val="2"/>
                <w:szCs w:val="21"/>
                <w:lang w:bidi="ar-SA"/>
              </w:rPr>
              <w:t>无技术碍障，节奏正确，技巧纯熟而且演奏音色控制得宜，作品演出完整，能准确地诠释音乐风格，将音乐演绎得生动出色，有想象力演奏有较高的欣赏价值，</w:t>
            </w:r>
          </w:p>
          <w:p w14:paraId="2268FCFC">
            <w:pPr>
              <w:widowControl/>
              <w:kinsoku/>
              <w:overflowPunct/>
              <w:bidi w:val="0"/>
              <w:spacing w:line="240" w:lineRule="auto"/>
              <w:rPr>
                <w:rFonts w:hint="eastAsia" w:ascii="楷体" w:hAnsi="楷体" w:eastAsia="楷体" w:cs="楷体"/>
                <w:color w:val="000000"/>
                <w:kern w:val="2"/>
                <w:szCs w:val="21"/>
                <w:lang w:bidi="ar-SA"/>
              </w:rPr>
            </w:pPr>
          </w:p>
        </w:tc>
        <w:tc>
          <w:tcPr>
            <w:tcW w:w="1736" w:type="dxa"/>
            <w:tcBorders>
              <w:top w:val="single" w:color="auto" w:sz="4" w:space="0"/>
              <w:left w:val="single" w:color="auto" w:sz="4" w:space="0"/>
              <w:bottom w:val="single" w:color="auto" w:sz="4" w:space="0"/>
              <w:right w:val="single" w:color="auto" w:sz="4" w:space="0"/>
            </w:tcBorders>
            <w:vAlign w:val="top"/>
          </w:tcPr>
          <w:p w14:paraId="64C0A0D7">
            <w:pPr>
              <w:widowControl/>
              <w:kinsoku/>
              <w:overflowPunct/>
              <w:bidi w:val="0"/>
              <w:spacing w:line="240" w:lineRule="auto"/>
              <w:rPr>
                <w:rFonts w:hint="eastAsia" w:ascii="楷体" w:hAnsi="楷体" w:eastAsia="楷体" w:cs="楷体"/>
                <w:color w:val="000000"/>
                <w:kern w:val="2"/>
                <w:szCs w:val="21"/>
                <w:lang w:bidi="ar-SA"/>
              </w:rPr>
            </w:pPr>
            <w:r>
              <w:rPr>
                <w:rFonts w:hint="eastAsia" w:ascii="楷体" w:hAnsi="楷体" w:eastAsia="楷体" w:cs="楷体"/>
                <w:color w:val="000000"/>
                <w:kern w:val="2"/>
                <w:szCs w:val="21"/>
                <w:lang w:bidi="ar-SA"/>
              </w:rPr>
              <w:t>总体无技术障碍，节奏基本正确，作品演出总体完整，对音乐风格的诠释大致准确，作品演奏多有亮点，演奏有一定的欣赏价值</w:t>
            </w:r>
          </w:p>
          <w:p w14:paraId="4B2EBE43">
            <w:pPr>
              <w:widowControl/>
              <w:kinsoku/>
              <w:overflowPunct/>
              <w:bidi w:val="0"/>
              <w:spacing w:line="240" w:lineRule="auto"/>
              <w:rPr>
                <w:rFonts w:hint="eastAsia" w:ascii="楷体" w:hAnsi="楷体" w:eastAsia="楷体" w:cs="楷体"/>
                <w:color w:val="000000"/>
                <w:kern w:val="2"/>
                <w:szCs w:val="21"/>
                <w:lang w:bidi="ar-SA"/>
              </w:rPr>
            </w:pPr>
          </w:p>
        </w:tc>
        <w:tc>
          <w:tcPr>
            <w:tcW w:w="1605" w:type="dxa"/>
            <w:tcBorders>
              <w:top w:val="single" w:color="auto" w:sz="4" w:space="0"/>
              <w:left w:val="single" w:color="auto" w:sz="4" w:space="0"/>
              <w:bottom w:val="single" w:color="auto" w:sz="4" w:space="0"/>
              <w:right w:val="single" w:color="auto" w:sz="4" w:space="0"/>
            </w:tcBorders>
            <w:vAlign w:val="top"/>
          </w:tcPr>
          <w:p w14:paraId="5F6D33C4">
            <w:pPr>
              <w:widowControl/>
              <w:kinsoku/>
              <w:overflowPunct/>
              <w:bidi w:val="0"/>
              <w:spacing w:line="240" w:lineRule="auto"/>
              <w:rPr>
                <w:rFonts w:hint="eastAsia" w:ascii="楷体" w:hAnsi="楷体" w:eastAsia="楷体" w:cs="楷体"/>
                <w:color w:val="000000"/>
                <w:kern w:val="2"/>
                <w:szCs w:val="21"/>
                <w:lang w:bidi="ar-SA"/>
              </w:rPr>
            </w:pPr>
            <w:r>
              <w:rPr>
                <w:rFonts w:hint="eastAsia" w:ascii="楷体" w:hAnsi="楷体" w:eastAsia="楷体" w:cs="楷体"/>
                <w:color w:val="000000"/>
                <w:kern w:val="2"/>
                <w:szCs w:val="21"/>
                <w:lang w:bidi="ar-SA"/>
              </w:rPr>
              <w:t>偶有技术性障碍，节奏基本正确，作品演出过程中有少量破绽，</w:t>
            </w:r>
          </w:p>
          <w:p w14:paraId="7E367EE8">
            <w:pPr>
              <w:widowControl/>
              <w:kinsoku/>
              <w:overflowPunct/>
              <w:bidi w:val="0"/>
              <w:spacing w:line="240" w:lineRule="auto"/>
              <w:rPr>
                <w:rFonts w:hint="eastAsia" w:ascii="楷体" w:hAnsi="楷体" w:eastAsia="楷体" w:cs="楷体"/>
                <w:color w:val="000000"/>
                <w:kern w:val="2"/>
                <w:szCs w:val="21"/>
                <w:lang w:bidi="ar-SA"/>
              </w:rPr>
            </w:pPr>
            <w:r>
              <w:rPr>
                <w:rFonts w:hint="eastAsia" w:ascii="楷体" w:hAnsi="楷体" w:eastAsia="楷体" w:cs="楷体"/>
                <w:color w:val="000000"/>
                <w:kern w:val="2"/>
                <w:szCs w:val="21"/>
                <w:lang w:bidi="ar-SA"/>
              </w:rPr>
              <w:t>对作品风格诠释不够到位，作品演奏平庸，弹奏奏具有一定的学习价值</w:t>
            </w:r>
          </w:p>
          <w:p w14:paraId="4D85FBA5">
            <w:pPr>
              <w:widowControl/>
              <w:kinsoku/>
              <w:overflowPunct/>
              <w:bidi w:val="0"/>
              <w:spacing w:line="240" w:lineRule="auto"/>
              <w:rPr>
                <w:rFonts w:hint="eastAsia" w:ascii="楷体" w:hAnsi="楷体" w:eastAsia="楷体" w:cs="楷体"/>
                <w:color w:val="000000"/>
                <w:kern w:val="2"/>
                <w:szCs w:val="21"/>
                <w:lang w:bidi="ar-SA"/>
              </w:rPr>
            </w:pPr>
          </w:p>
          <w:p w14:paraId="5FF56BDF">
            <w:pPr>
              <w:widowControl/>
              <w:kinsoku/>
              <w:overflowPunct/>
              <w:bidi w:val="0"/>
              <w:spacing w:line="240" w:lineRule="auto"/>
              <w:rPr>
                <w:rFonts w:hint="eastAsia" w:ascii="楷体" w:hAnsi="楷体" w:eastAsia="楷体" w:cs="楷体"/>
                <w:color w:val="000000"/>
                <w:kern w:val="2"/>
                <w:szCs w:val="21"/>
                <w:lang w:bidi="ar-SA"/>
              </w:rPr>
            </w:pPr>
          </w:p>
        </w:tc>
        <w:tc>
          <w:tcPr>
            <w:tcW w:w="1987" w:type="dxa"/>
            <w:tcBorders>
              <w:top w:val="single" w:color="auto" w:sz="4" w:space="0"/>
              <w:left w:val="single" w:color="auto" w:sz="4" w:space="0"/>
              <w:bottom w:val="single" w:color="auto" w:sz="4" w:space="0"/>
              <w:right w:val="single" w:color="auto" w:sz="4" w:space="0"/>
            </w:tcBorders>
            <w:vAlign w:val="top"/>
          </w:tcPr>
          <w:p w14:paraId="24085B67">
            <w:pPr>
              <w:widowControl/>
              <w:kinsoku/>
              <w:overflowPunct/>
              <w:bidi w:val="0"/>
              <w:spacing w:line="240" w:lineRule="auto"/>
            </w:pPr>
            <w:r>
              <w:rPr>
                <w:rFonts w:hint="eastAsia" w:ascii="楷体" w:hAnsi="楷体" w:eastAsia="楷体" w:cs="楷体"/>
                <w:color w:val="000000"/>
                <w:kern w:val="2"/>
                <w:szCs w:val="21"/>
                <w:lang w:bidi="ar-SA"/>
              </w:rPr>
              <w:t>技术障碍明显，有明显节奏错误，作品演出有明显破绽，对作品风格诠释不够到位，作品演奏平庸，弹奏奏基本无学习价值。</w:t>
            </w:r>
          </w:p>
        </w:tc>
        <w:tc>
          <w:tcPr>
            <w:tcW w:w="1507" w:type="dxa"/>
            <w:tcBorders>
              <w:top w:val="single" w:color="auto" w:sz="4" w:space="0"/>
              <w:left w:val="single" w:color="auto" w:sz="4" w:space="0"/>
              <w:bottom w:val="single" w:color="auto" w:sz="4" w:space="0"/>
              <w:right w:val="single" w:color="auto" w:sz="4" w:space="0"/>
            </w:tcBorders>
            <w:vAlign w:val="top"/>
          </w:tcPr>
          <w:p w14:paraId="62B7D2D1">
            <w:pPr>
              <w:widowControl/>
              <w:kinsoku/>
              <w:overflowPunct/>
              <w:bidi w:val="0"/>
              <w:spacing w:line="240" w:lineRule="auto"/>
            </w:pPr>
            <w:r>
              <w:rPr>
                <w:rFonts w:hint="eastAsia" w:ascii="楷体" w:hAnsi="楷体" w:eastAsia="楷体" w:cs="楷体"/>
                <w:color w:val="000000"/>
                <w:kern w:val="2"/>
                <w:szCs w:val="21"/>
                <w:lang w:bidi="ar-SA"/>
              </w:rPr>
              <w:t>基本未掌握应有技巧，节拍不准确，作品完整性差，对作品风格无把握，对乐器声音错误地运用，弹奏无音乐欣赏性。</w:t>
            </w:r>
          </w:p>
        </w:tc>
      </w:tr>
      <w:tr w14:paraId="302384AC">
        <w:trPr>
          <w:trHeight w:val="416" w:hRule="atLeast"/>
          <w:jc w:val="center"/>
        </w:trPr>
        <w:tc>
          <w:tcPr>
            <w:tcW w:w="940" w:type="dxa"/>
            <w:vMerge w:val="continue"/>
            <w:tcBorders>
              <w:top w:val="single" w:color="auto" w:sz="4" w:space="0"/>
              <w:left w:val="single" w:color="auto" w:sz="4" w:space="0"/>
              <w:bottom w:val="single" w:color="auto" w:sz="4" w:space="0"/>
              <w:right w:val="single" w:color="auto" w:sz="4" w:space="0"/>
            </w:tcBorders>
            <w:vAlign w:val="center"/>
          </w:tcPr>
          <w:p w14:paraId="03C35C35">
            <w:pPr>
              <w:spacing w:line="240" w:lineRule="atLeast"/>
              <w:jc w:val="center"/>
              <w:rPr>
                <w:rFonts w:hint="eastAsia" w:ascii="宋体" w:hAnsi="宋体" w:eastAsia="楷体" w:cs="宋体"/>
                <w:color w:val="000000"/>
                <w:kern w:val="2"/>
                <w:sz w:val="24"/>
                <w:szCs w:val="24"/>
                <w:lang w:bidi="ar-SA"/>
              </w:rPr>
            </w:pPr>
          </w:p>
        </w:tc>
        <w:tc>
          <w:tcPr>
            <w:tcW w:w="1840" w:type="dxa"/>
            <w:tcBorders>
              <w:top w:val="single" w:color="auto" w:sz="4" w:space="0"/>
              <w:left w:val="single" w:color="auto" w:sz="4" w:space="0"/>
              <w:bottom w:val="single" w:color="auto" w:sz="4" w:space="0"/>
              <w:right w:val="single" w:color="auto" w:sz="4" w:space="0"/>
            </w:tcBorders>
            <w:vAlign w:val="center"/>
          </w:tcPr>
          <w:p w14:paraId="07E05752">
            <w:pPr>
              <w:widowControl/>
              <w:kinsoku/>
              <w:overflowPunct/>
              <w:bidi w:val="0"/>
              <w:spacing w:line="240" w:lineRule="auto"/>
              <w:rPr>
                <w:rFonts w:hint="eastAsia" w:ascii="楷体" w:hAnsi="楷体" w:eastAsia="楷体" w:cs="楷体"/>
                <w:color w:val="000000"/>
                <w:kern w:val="2"/>
                <w:szCs w:val="21"/>
                <w:lang w:bidi="ar-SA"/>
              </w:rPr>
            </w:pPr>
            <w:r>
              <w:rPr>
                <w:rFonts w:hint="eastAsia" w:ascii="楷体" w:hAnsi="楷体" w:eastAsia="楷体" w:cs="楷体"/>
                <w:color w:val="000000"/>
                <w:kern w:val="2"/>
                <w:szCs w:val="21"/>
                <w:lang w:bidi="ar-SA"/>
              </w:rPr>
              <w:t>4.1音乐教学能力</w:t>
            </w:r>
          </w:p>
          <w:p w14:paraId="14824A63">
            <w:pPr>
              <w:widowControl/>
              <w:kinsoku/>
              <w:overflowPunct/>
              <w:bidi w:val="0"/>
              <w:spacing w:line="240" w:lineRule="auto"/>
            </w:pPr>
            <w:r>
              <w:rPr>
                <w:rFonts w:hint="eastAsia" w:ascii="楷体" w:hAnsi="楷体" w:eastAsia="楷体" w:cs="楷体"/>
                <w:color w:val="000000"/>
                <w:kern w:val="2"/>
                <w:szCs w:val="21"/>
                <w:lang w:bidi="ar-SA"/>
              </w:rPr>
              <w:t>因材施教，让不同初始程度的学生依据自己的能力，弹奏一定量的中小学音乐课曲目伴奏，对于一些弹奏过的曲目，能够比较熟悉，旋律节奏基本准确，为今后的</w:t>
            </w:r>
            <w:r>
              <w:rPr>
                <w:rFonts w:hint="eastAsia" w:ascii="楷体" w:hAnsi="楷体" w:eastAsia="楷体" w:cs="楷体"/>
                <w:color w:val="000000"/>
                <w:kern w:val="2"/>
                <w:szCs w:val="21"/>
                <w:lang w:val="en-US" w:eastAsia="zh-CN" w:bidi="ar-SA"/>
              </w:rPr>
              <w:t>师范类相关课程</w:t>
            </w:r>
            <w:r>
              <w:rPr>
                <w:rFonts w:hint="eastAsia" w:ascii="楷体" w:hAnsi="楷体" w:eastAsia="楷体" w:cs="楷体"/>
                <w:color w:val="000000"/>
                <w:kern w:val="2"/>
                <w:szCs w:val="21"/>
                <w:lang w:bidi="ar-SA"/>
              </w:rPr>
              <w:t>打下</w:t>
            </w:r>
            <w:r>
              <w:rPr>
                <w:rFonts w:hint="eastAsia" w:ascii="楷体" w:hAnsi="楷体" w:eastAsia="楷体" w:cs="楷体"/>
                <w:color w:val="000000"/>
                <w:kern w:val="2"/>
                <w:szCs w:val="21"/>
                <w:lang w:val="en-US" w:eastAsia="zh-CN" w:bidi="ar-SA"/>
              </w:rPr>
              <w:t>一定的</w:t>
            </w:r>
            <w:r>
              <w:rPr>
                <w:rFonts w:hint="eastAsia" w:ascii="楷体" w:hAnsi="楷体" w:eastAsia="楷体" w:cs="楷体"/>
                <w:color w:val="000000"/>
                <w:kern w:val="2"/>
                <w:szCs w:val="21"/>
                <w:lang w:bidi="ar-SA"/>
              </w:rPr>
              <w:t>基础。</w:t>
            </w:r>
          </w:p>
        </w:tc>
        <w:tc>
          <w:tcPr>
            <w:tcW w:w="1584" w:type="dxa"/>
            <w:tcBorders>
              <w:top w:val="single" w:color="auto" w:sz="4" w:space="0"/>
              <w:left w:val="single" w:color="auto" w:sz="4" w:space="0"/>
              <w:bottom w:val="single" w:color="auto" w:sz="4" w:space="0"/>
              <w:right w:val="single" w:color="auto" w:sz="4" w:space="0"/>
            </w:tcBorders>
            <w:vAlign w:val="top"/>
          </w:tcPr>
          <w:p w14:paraId="787A5999">
            <w:pPr>
              <w:widowControl/>
              <w:kinsoku/>
              <w:overflowPunct/>
              <w:bidi w:val="0"/>
              <w:spacing w:line="240" w:lineRule="auto"/>
            </w:pPr>
            <w:r>
              <w:rPr>
                <w:rFonts w:hint="eastAsia" w:ascii="楷体" w:hAnsi="楷体" w:eastAsia="楷体" w:cs="楷体"/>
                <w:color w:val="000000"/>
                <w:kern w:val="2"/>
                <w:szCs w:val="21"/>
                <w:lang w:bidi="ar-SA"/>
              </w:rPr>
              <w:t>熟练弹奏已布置的歌曲伴奏，风格表情准确。</w:t>
            </w:r>
          </w:p>
        </w:tc>
        <w:tc>
          <w:tcPr>
            <w:tcW w:w="1736" w:type="dxa"/>
            <w:tcBorders>
              <w:top w:val="single" w:color="auto" w:sz="4" w:space="0"/>
              <w:left w:val="single" w:color="auto" w:sz="4" w:space="0"/>
              <w:bottom w:val="single" w:color="auto" w:sz="4" w:space="0"/>
              <w:right w:val="single" w:color="auto" w:sz="4" w:space="0"/>
            </w:tcBorders>
            <w:vAlign w:val="top"/>
          </w:tcPr>
          <w:p w14:paraId="14B03A16">
            <w:pPr>
              <w:widowControl/>
              <w:kinsoku/>
              <w:overflowPunct/>
              <w:bidi w:val="0"/>
              <w:spacing w:line="240" w:lineRule="auto"/>
            </w:pPr>
            <w:r>
              <w:rPr>
                <w:rFonts w:hint="eastAsia" w:ascii="楷体" w:hAnsi="楷体" w:eastAsia="楷体" w:cs="楷体"/>
                <w:color w:val="000000"/>
                <w:kern w:val="2"/>
                <w:szCs w:val="21"/>
                <w:lang w:bidi="ar-SA"/>
              </w:rPr>
              <w:t>基本熟练弹奏已布置的歌曲伴奏，风格表情准确。</w:t>
            </w:r>
          </w:p>
        </w:tc>
        <w:tc>
          <w:tcPr>
            <w:tcW w:w="1605" w:type="dxa"/>
            <w:tcBorders>
              <w:top w:val="single" w:color="auto" w:sz="4" w:space="0"/>
              <w:left w:val="single" w:color="auto" w:sz="4" w:space="0"/>
              <w:bottom w:val="single" w:color="auto" w:sz="4" w:space="0"/>
              <w:right w:val="single" w:color="auto" w:sz="4" w:space="0"/>
            </w:tcBorders>
            <w:vAlign w:val="top"/>
          </w:tcPr>
          <w:p w14:paraId="4BA61626">
            <w:pPr>
              <w:widowControl/>
              <w:kinsoku/>
              <w:overflowPunct/>
              <w:bidi w:val="0"/>
              <w:spacing w:line="240" w:lineRule="auto"/>
            </w:pPr>
            <w:r>
              <w:rPr>
                <w:rFonts w:hint="eastAsia" w:ascii="楷体" w:hAnsi="楷体" w:eastAsia="楷体" w:cs="楷体"/>
                <w:color w:val="000000"/>
                <w:kern w:val="2"/>
                <w:szCs w:val="21"/>
                <w:lang w:bidi="ar-SA"/>
              </w:rPr>
              <w:t>基本熟练弹奏已布置的歌曲伴奏。</w:t>
            </w:r>
          </w:p>
        </w:tc>
        <w:tc>
          <w:tcPr>
            <w:tcW w:w="1987" w:type="dxa"/>
            <w:tcBorders>
              <w:top w:val="single" w:color="auto" w:sz="4" w:space="0"/>
              <w:left w:val="single" w:color="auto" w:sz="4" w:space="0"/>
              <w:bottom w:val="single" w:color="auto" w:sz="4" w:space="0"/>
              <w:right w:val="single" w:color="auto" w:sz="4" w:space="0"/>
            </w:tcBorders>
            <w:vAlign w:val="top"/>
          </w:tcPr>
          <w:p w14:paraId="055EF70E">
            <w:pPr>
              <w:widowControl/>
              <w:kinsoku/>
              <w:overflowPunct/>
              <w:bidi w:val="0"/>
              <w:spacing w:line="240" w:lineRule="auto"/>
            </w:pPr>
            <w:r>
              <w:rPr>
                <w:rFonts w:hint="eastAsia" w:ascii="楷体" w:hAnsi="楷体" w:eastAsia="楷体" w:cs="楷体"/>
                <w:color w:val="000000"/>
                <w:kern w:val="2"/>
                <w:szCs w:val="21"/>
                <w:lang w:bidi="ar-SA"/>
              </w:rPr>
              <w:t>对于考查的歌曲伴奏曲目，练习不足，有3处以内错断。</w:t>
            </w:r>
          </w:p>
        </w:tc>
        <w:tc>
          <w:tcPr>
            <w:tcW w:w="1507" w:type="dxa"/>
            <w:tcBorders>
              <w:top w:val="single" w:color="auto" w:sz="4" w:space="0"/>
              <w:left w:val="single" w:color="auto" w:sz="4" w:space="0"/>
              <w:bottom w:val="single" w:color="auto" w:sz="4" w:space="0"/>
              <w:right w:val="single" w:color="auto" w:sz="4" w:space="0"/>
            </w:tcBorders>
            <w:vAlign w:val="top"/>
          </w:tcPr>
          <w:p w14:paraId="36E75AA1">
            <w:pPr>
              <w:widowControl/>
              <w:kinsoku/>
              <w:overflowPunct/>
              <w:bidi w:val="0"/>
              <w:spacing w:line="240" w:lineRule="auto"/>
            </w:pPr>
            <w:r>
              <w:rPr>
                <w:rFonts w:hint="eastAsia" w:ascii="楷体" w:hAnsi="楷体" w:eastAsia="楷体" w:cs="楷体"/>
                <w:color w:val="000000"/>
                <w:kern w:val="2"/>
                <w:szCs w:val="21"/>
                <w:lang w:bidi="ar-SA"/>
              </w:rPr>
              <w:t>无法完成歌曲伴奏，明显错断超过3处。</w:t>
            </w:r>
          </w:p>
        </w:tc>
      </w:tr>
      <w:tr w14:paraId="0ECB6ADB">
        <w:trPr>
          <w:trHeight w:val="1131" w:hRule="atLeast"/>
          <w:jc w:val="center"/>
        </w:trPr>
        <w:tc>
          <w:tcPr>
            <w:tcW w:w="940" w:type="dxa"/>
            <w:vMerge w:val="continue"/>
            <w:tcBorders>
              <w:top w:val="single" w:color="auto" w:sz="4" w:space="0"/>
              <w:left w:val="single" w:color="auto" w:sz="4" w:space="0"/>
              <w:bottom w:val="single" w:color="auto" w:sz="4" w:space="0"/>
              <w:right w:val="single" w:color="auto" w:sz="4" w:space="0"/>
            </w:tcBorders>
            <w:vAlign w:val="center"/>
          </w:tcPr>
          <w:p w14:paraId="51AE254B">
            <w:pPr>
              <w:spacing w:line="240" w:lineRule="atLeast"/>
              <w:jc w:val="center"/>
              <w:rPr>
                <w:rFonts w:hint="eastAsia" w:ascii="宋体" w:hAnsi="宋体" w:eastAsia="楷体" w:cs="宋体"/>
                <w:color w:val="000000"/>
                <w:kern w:val="2"/>
                <w:sz w:val="24"/>
                <w:szCs w:val="24"/>
                <w:lang w:bidi="ar-SA"/>
              </w:rPr>
            </w:pPr>
          </w:p>
        </w:tc>
        <w:tc>
          <w:tcPr>
            <w:tcW w:w="1840" w:type="dxa"/>
            <w:tcBorders>
              <w:top w:val="single" w:color="auto" w:sz="4" w:space="0"/>
              <w:left w:val="single" w:color="auto" w:sz="4" w:space="0"/>
              <w:bottom w:val="single" w:color="auto" w:sz="4" w:space="0"/>
              <w:right w:val="single" w:color="auto" w:sz="4" w:space="0"/>
            </w:tcBorders>
            <w:vAlign w:val="center"/>
          </w:tcPr>
          <w:p w14:paraId="5A02B9B2">
            <w:pPr>
              <w:widowControl/>
              <w:kinsoku/>
              <w:overflowPunct/>
              <w:bidi w:val="0"/>
              <w:spacing w:line="240" w:lineRule="auto"/>
              <w:rPr>
                <w:rFonts w:hint="eastAsia" w:ascii="楷体" w:hAnsi="楷体" w:eastAsia="楷体" w:cs="楷体"/>
                <w:color w:val="000000"/>
                <w:kern w:val="2"/>
                <w:szCs w:val="21"/>
                <w:lang w:bidi="ar-SA"/>
              </w:rPr>
            </w:pPr>
            <w:r>
              <w:rPr>
                <w:rFonts w:hint="eastAsia" w:ascii="楷体" w:hAnsi="楷体" w:eastAsia="楷体" w:cs="楷体"/>
                <w:color w:val="000000"/>
                <w:kern w:val="2"/>
                <w:szCs w:val="21"/>
                <w:lang w:bidi="ar-SA"/>
              </w:rPr>
              <w:t>7.1反思改进</w:t>
            </w:r>
          </w:p>
          <w:p w14:paraId="00059C59">
            <w:pPr>
              <w:widowControl/>
              <w:kinsoku/>
              <w:overflowPunct/>
              <w:bidi w:val="0"/>
              <w:spacing w:line="240" w:lineRule="auto"/>
            </w:pPr>
            <w:r>
              <w:rPr>
                <w:rFonts w:hint="eastAsia" w:ascii="楷体" w:hAnsi="楷体" w:eastAsia="楷体" w:cs="楷体"/>
                <w:color w:val="000000"/>
                <w:kern w:val="2"/>
                <w:szCs w:val="21"/>
                <w:lang w:bidi="ar-SA"/>
              </w:rPr>
              <w:t>课后通过教师反馈与自我反思，形成对于学生自身实践的客观认识，并进行改进.。</w:t>
            </w:r>
          </w:p>
        </w:tc>
        <w:tc>
          <w:tcPr>
            <w:tcW w:w="1584" w:type="dxa"/>
            <w:tcBorders>
              <w:top w:val="single" w:color="auto" w:sz="4" w:space="0"/>
              <w:left w:val="single" w:color="auto" w:sz="4" w:space="0"/>
              <w:bottom w:val="single" w:color="auto" w:sz="4" w:space="0"/>
              <w:right w:val="single" w:color="auto" w:sz="4" w:space="0"/>
            </w:tcBorders>
            <w:vAlign w:val="top"/>
          </w:tcPr>
          <w:p w14:paraId="7ADFFA3A">
            <w:pPr>
              <w:widowControl/>
              <w:kinsoku/>
              <w:overflowPunct/>
              <w:bidi w:val="0"/>
              <w:spacing w:line="240" w:lineRule="auto"/>
            </w:pPr>
            <w:r>
              <w:rPr>
                <w:rFonts w:hint="eastAsia" w:ascii="楷体" w:hAnsi="楷体" w:eastAsia="楷体" w:cs="楷体"/>
                <w:color w:val="000000"/>
                <w:kern w:val="2"/>
                <w:szCs w:val="21"/>
                <w:lang w:bidi="ar-SA"/>
              </w:rPr>
              <w:t>教学活动后能够很好地及时总结与反思，对教学过程、重难点、教学目标达成、师生互动、学生主体等方面检查自己的问题，自我诊断、追溯原因，提出下一步改进的具体措施。</w:t>
            </w:r>
          </w:p>
        </w:tc>
        <w:tc>
          <w:tcPr>
            <w:tcW w:w="1736" w:type="dxa"/>
            <w:tcBorders>
              <w:top w:val="single" w:color="auto" w:sz="4" w:space="0"/>
              <w:left w:val="single" w:color="auto" w:sz="4" w:space="0"/>
              <w:bottom w:val="single" w:color="auto" w:sz="4" w:space="0"/>
              <w:right w:val="single" w:color="auto" w:sz="4" w:space="0"/>
            </w:tcBorders>
            <w:vAlign w:val="top"/>
          </w:tcPr>
          <w:p w14:paraId="2CB219F3">
            <w:pPr>
              <w:widowControl/>
              <w:kinsoku/>
              <w:overflowPunct/>
              <w:bidi w:val="0"/>
              <w:spacing w:line="240" w:lineRule="auto"/>
            </w:pPr>
            <w:r>
              <w:rPr>
                <w:rFonts w:hint="eastAsia" w:ascii="楷体" w:hAnsi="楷体" w:eastAsia="楷体" w:cs="楷体"/>
                <w:color w:val="000000"/>
                <w:kern w:val="2"/>
                <w:szCs w:val="21"/>
                <w:lang w:bidi="ar-SA"/>
              </w:rPr>
              <w:t>教学活动后能够及时总结与反思，对教学过程、重难点、教学目标达成、师生互动、学生主体等方面检查自己的问题，自我诊断、追溯原因，提出下一步改进的具体措施。</w:t>
            </w:r>
          </w:p>
        </w:tc>
        <w:tc>
          <w:tcPr>
            <w:tcW w:w="1605" w:type="dxa"/>
            <w:tcBorders>
              <w:top w:val="single" w:color="auto" w:sz="4" w:space="0"/>
              <w:left w:val="single" w:color="auto" w:sz="4" w:space="0"/>
              <w:bottom w:val="single" w:color="auto" w:sz="4" w:space="0"/>
              <w:right w:val="single" w:color="auto" w:sz="4" w:space="0"/>
            </w:tcBorders>
            <w:vAlign w:val="top"/>
          </w:tcPr>
          <w:p w14:paraId="5CFDB399">
            <w:pPr>
              <w:widowControl/>
              <w:kinsoku/>
              <w:overflowPunct/>
              <w:bidi w:val="0"/>
              <w:spacing w:line="240" w:lineRule="auto"/>
            </w:pPr>
            <w:r>
              <w:rPr>
                <w:rFonts w:hint="eastAsia" w:ascii="楷体" w:hAnsi="楷体" w:eastAsia="楷体" w:cs="楷体"/>
                <w:color w:val="000000"/>
                <w:kern w:val="2"/>
                <w:szCs w:val="21"/>
                <w:lang w:bidi="ar-SA"/>
              </w:rPr>
              <w:t>教学活动后基本能够及时总结与反思，对教学过程、重难点、教学目标达成、师生互动、学生主体等方面检查自己的问题，自我诊断、追溯原因，提出下一步改进的具体措施。</w:t>
            </w:r>
          </w:p>
        </w:tc>
        <w:tc>
          <w:tcPr>
            <w:tcW w:w="1987" w:type="dxa"/>
            <w:tcBorders>
              <w:top w:val="single" w:color="auto" w:sz="4" w:space="0"/>
              <w:left w:val="single" w:color="auto" w:sz="4" w:space="0"/>
              <w:bottom w:val="single" w:color="auto" w:sz="4" w:space="0"/>
              <w:right w:val="single" w:color="auto" w:sz="4" w:space="0"/>
            </w:tcBorders>
            <w:vAlign w:val="top"/>
          </w:tcPr>
          <w:p w14:paraId="0391C6A0">
            <w:pPr>
              <w:widowControl/>
              <w:kinsoku/>
              <w:overflowPunct/>
              <w:bidi w:val="0"/>
              <w:spacing w:line="240" w:lineRule="auto"/>
            </w:pPr>
            <w:r>
              <w:rPr>
                <w:rFonts w:hint="eastAsia" w:ascii="楷体" w:hAnsi="楷体" w:eastAsia="楷体" w:cs="楷体"/>
                <w:color w:val="000000"/>
                <w:kern w:val="2"/>
                <w:szCs w:val="21"/>
                <w:lang w:bidi="ar-SA"/>
              </w:rPr>
              <w:t>教学活动后基本能够及时总结与反思，对教学过程、重难点、教学目标达成、师生互动、学生主体等方面检查自己的问题，基本能够自我诊断、追溯原因，在提出下一步改进的具体措施方面需加强。</w:t>
            </w:r>
          </w:p>
        </w:tc>
        <w:tc>
          <w:tcPr>
            <w:tcW w:w="1507" w:type="dxa"/>
            <w:tcBorders>
              <w:top w:val="single" w:color="auto" w:sz="4" w:space="0"/>
              <w:left w:val="single" w:color="auto" w:sz="4" w:space="0"/>
              <w:bottom w:val="single" w:color="auto" w:sz="4" w:space="0"/>
              <w:right w:val="single" w:color="auto" w:sz="4" w:space="0"/>
            </w:tcBorders>
            <w:vAlign w:val="top"/>
          </w:tcPr>
          <w:p w14:paraId="38FB84DE">
            <w:pPr>
              <w:widowControl/>
              <w:kinsoku/>
              <w:overflowPunct/>
              <w:bidi w:val="0"/>
              <w:spacing w:line="240" w:lineRule="auto"/>
            </w:pPr>
            <w:r>
              <w:rPr>
                <w:rFonts w:hint="eastAsia" w:ascii="楷体" w:hAnsi="楷体" w:eastAsia="楷体" w:cs="楷体"/>
                <w:color w:val="000000"/>
                <w:kern w:val="2"/>
                <w:szCs w:val="21"/>
                <w:lang w:bidi="ar-SA"/>
              </w:rPr>
              <w:t>教学活动后未能够及时总结与反思，未能对教学过程、重难点、教学目标达成、师生互动、学生主体等方面检查自己的问题，自我诊断、追溯原因，未能提出下一步改进的具体措施。</w:t>
            </w:r>
          </w:p>
        </w:tc>
      </w:tr>
    </w:tbl>
    <w:p w14:paraId="78F7C016">
      <w:pPr>
        <w:rPr>
          <w:sz w:val="2"/>
          <w:szCs w:val="2"/>
        </w:rPr>
        <w:sectPr>
          <w:headerReference r:id="rId67" w:type="default"/>
          <w:footerReference r:id="rId68" w:type="default"/>
          <w:footnotePr/>
          <w:pgSz w:w="11906" w:h="16838" w:orient="landscape"/>
          <w:pgMar w:top="1134" w:right="1417" w:bottom="1134" w:left="1417" w:header="720" w:footer="720" w:gutter="0"/>
          <w:cols w:space="720" w:num="1"/>
          <w:docGrid w:type="lines" w:linePitch="312" w:charSpace="0"/>
        </w:sectPr>
      </w:pPr>
    </w:p>
    <w:p w14:paraId="27000F16">
      <w:pPr>
        <w:pageBreakBefore w:val="0"/>
        <w:kinsoku/>
        <w:overflowPunct/>
        <w:topLinePunct w:val="0"/>
        <w:bidi w:val="0"/>
        <w:spacing w:line="240" w:lineRule="auto"/>
        <w:jc w:val="center"/>
        <w:rPr>
          <w:rFonts w:hint="eastAsia" w:ascii="微软雅黑" w:eastAsia="微软雅黑"/>
          <w:sz w:val="44"/>
          <w:szCs w:val="44"/>
        </w:rPr>
      </w:pPr>
      <w:r>
        <w:rPr>
          <w:rFonts w:hint="eastAsia" w:ascii="微软雅黑" w:eastAsia="微软雅黑"/>
          <w:sz w:val="44"/>
          <w:szCs w:val="44"/>
        </w:rPr>
        <w:t>三明学院音乐学（音乐教育）专业</w:t>
      </w:r>
    </w:p>
    <w:p w14:paraId="5EE05A99">
      <w:pPr>
        <w:pStyle w:val="2"/>
        <w:pageBreakBefore w:val="0"/>
        <w:kinsoku/>
        <w:overflowPunct/>
        <w:topLinePunct w:val="0"/>
        <w:bidi w:val="0"/>
        <w:spacing w:before="0" w:beforeAutospacing="0" w:after="0" w:afterAutospacing="0" w:line="240" w:lineRule="auto"/>
        <w:jc w:val="center"/>
        <w:rPr>
          <w:rFonts w:hint="eastAsia" w:ascii="微软雅黑" w:eastAsia="微软雅黑"/>
          <w:b w:val="0"/>
          <w:bCs w:val="0"/>
          <w:sz w:val="44"/>
          <w:szCs w:val="44"/>
        </w:rPr>
      </w:pPr>
      <w:bookmarkStart w:id="98" w:name="_Toc78044727"/>
      <w:bookmarkStart w:id="99" w:name="_Toc78044639"/>
      <w:bookmarkStart w:id="100" w:name="_Toc16695551"/>
      <w:bookmarkStart w:id="101" w:name="_Toc16695345"/>
      <w:bookmarkStart w:id="102" w:name="_Toc1273796013"/>
      <w:bookmarkStart w:id="103" w:name="_Toc16695453"/>
      <w:bookmarkStart w:id="104" w:name="_Toc84465673"/>
      <w:bookmarkStart w:id="105" w:name="_Toc39436599"/>
      <w:bookmarkStart w:id="106" w:name="_Toc39436507"/>
      <w:bookmarkStart w:id="107" w:name="_Toc65478582"/>
      <w:bookmarkStart w:id="108" w:name="_Toc75062211"/>
      <w:bookmarkStart w:id="109" w:name="_Toc84465647"/>
      <w:bookmarkStart w:id="110" w:name="_Toc75062091"/>
      <w:bookmarkStart w:id="111" w:name="_Toc75062417"/>
      <w:bookmarkStart w:id="112" w:name="_Toc75062320"/>
      <w:bookmarkStart w:id="113" w:name="_Toc84465595"/>
      <w:bookmarkStart w:id="114" w:name="_Toc78044681"/>
      <w:r>
        <w:rPr>
          <w:rFonts w:hint="eastAsia" w:ascii="微软雅黑" w:eastAsia="微软雅黑"/>
          <w:b w:val="0"/>
          <w:bCs w:val="0"/>
          <w:sz w:val="44"/>
          <w:szCs w:val="44"/>
        </w:rPr>
        <w:t>《民间舞》课程教学大纲</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tbl>
      <w:tblPr>
        <w:tblStyle w:val="22"/>
        <w:tblW w:w="11446"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28" w:type="dxa"/>
        </w:tblCellMar>
      </w:tblPr>
      <w:tblGrid>
        <w:gridCol w:w="1376"/>
        <w:gridCol w:w="1252"/>
        <w:gridCol w:w="90"/>
        <w:gridCol w:w="212"/>
        <w:gridCol w:w="1554"/>
        <w:gridCol w:w="761"/>
        <w:gridCol w:w="793"/>
        <w:gridCol w:w="400"/>
        <w:gridCol w:w="1095"/>
        <w:gridCol w:w="59"/>
        <w:gridCol w:w="154"/>
        <w:gridCol w:w="807"/>
        <w:gridCol w:w="6"/>
        <w:gridCol w:w="589"/>
        <w:gridCol w:w="1149"/>
        <w:gridCol w:w="1149"/>
      </w:tblGrid>
      <w:tr w14:paraId="1B2949EF">
        <w:trPr>
          <w:gridAfter w:val="2"/>
          <w:trHeight w:val="680" w:hRule="atLeast"/>
        </w:trPr>
        <w:tc>
          <w:tcPr>
            <w:tcW w:w="1376" w:type="dxa"/>
            <w:vAlign w:val="center"/>
          </w:tcPr>
          <w:p w14:paraId="15D0814F">
            <w:pPr>
              <w:pageBreakBefore w:val="0"/>
              <w:kinsoku/>
              <w:overflowPunct/>
              <w:topLinePunct w:val="0"/>
              <w:bidi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课程名称</w:t>
            </w:r>
          </w:p>
        </w:tc>
        <w:tc>
          <w:tcPr>
            <w:tcW w:w="4662" w:type="dxa"/>
            <w:gridSpan w:val="6"/>
            <w:vAlign w:val="center"/>
          </w:tcPr>
          <w:p w14:paraId="2BDA9B4D">
            <w:pPr>
              <w:pageBreakBefore w:val="0"/>
              <w:kinsoku/>
              <w:overflowPunct/>
              <w:topLinePunct w:val="0"/>
              <w:bidi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《民间舞》</w:t>
            </w:r>
          </w:p>
        </w:tc>
        <w:tc>
          <w:tcPr>
            <w:tcW w:w="1554" w:type="dxa"/>
            <w:gridSpan w:val="3"/>
            <w:vAlign w:val="center"/>
          </w:tcPr>
          <w:p w14:paraId="3DE2D470">
            <w:pPr>
              <w:pageBreakBefore w:val="0"/>
              <w:kinsoku/>
              <w:overflowPunct/>
              <w:topLinePunct w:val="0"/>
              <w:bidi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课程代码</w:t>
            </w:r>
          </w:p>
        </w:tc>
        <w:tc>
          <w:tcPr>
            <w:tcW w:w="1556" w:type="dxa"/>
            <w:gridSpan w:val="4"/>
            <w:vAlign w:val="center"/>
          </w:tcPr>
          <w:p w14:paraId="04A91634">
            <w:pPr>
              <w:keepNext w:val="0"/>
              <w:keepLines w:val="0"/>
              <w:widowControl/>
              <w:suppressLineNumbers w:val="0"/>
              <w:ind w:firstLine="210" w:firstLineChars="100"/>
              <w:jc w:val="both"/>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1213302617</w:t>
            </w:r>
          </w:p>
          <w:p w14:paraId="4184D732">
            <w:pPr>
              <w:keepNext w:val="0"/>
              <w:keepLines w:val="0"/>
              <w:widowControl/>
              <w:suppressLineNumbers w:val="0"/>
              <w:ind w:firstLine="210" w:firstLineChars="100"/>
              <w:jc w:val="both"/>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1213302618</w:t>
            </w:r>
          </w:p>
        </w:tc>
      </w:tr>
      <w:tr w14:paraId="055AD80C">
        <w:trPr>
          <w:trHeight w:val="680" w:hRule="atLeast"/>
        </w:trPr>
        <w:tc>
          <w:tcPr>
            <w:tcW w:w="1376" w:type="dxa"/>
            <w:vAlign w:val="center"/>
          </w:tcPr>
          <w:p w14:paraId="11FF7DE7">
            <w:pPr>
              <w:pageBreakBefore w:val="0"/>
              <w:kinsoku/>
              <w:overflowPunct/>
              <w:topLinePunct w:val="0"/>
              <w:bidi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课程类型</w:t>
            </w:r>
          </w:p>
        </w:tc>
        <w:tc>
          <w:tcPr>
            <w:tcW w:w="7772" w:type="dxa"/>
            <w:gridSpan w:val="13"/>
            <w:vAlign w:val="center"/>
          </w:tcPr>
          <w:p w14:paraId="0428D910">
            <w:pPr>
              <w:pageBreakBefore w:val="0"/>
              <w:kinsoku/>
              <w:overflowPunct/>
              <w:topLinePunct w:val="0"/>
              <w:bidi w:val="0"/>
              <w:spacing w:line="240" w:lineRule="auto"/>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通识必修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通识选修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专业必修 </w:t>
            </w:r>
          </w:p>
          <w:p w14:paraId="5ADB7733">
            <w:pPr>
              <w:pageBreakBefore w:val="0"/>
              <w:kinsoku/>
              <w:overflowPunct/>
              <w:topLinePunct w:val="0"/>
              <w:bidi w:val="0"/>
              <w:spacing w:line="240" w:lineRule="auto"/>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专业选修</w:t>
            </w:r>
            <w:r>
              <w:rPr>
                <w:rFonts w:hint="eastAsia" w:ascii="仿宋" w:hAnsi="仿宋" w:eastAsia="仿宋" w:cs="仿宋"/>
                <w:color w:val="000000"/>
                <w:sz w:val="24"/>
                <w:szCs w:val="24"/>
                <w:lang w:eastAsia="zh-TW"/>
              </w:rPr>
              <w:t xml:space="preserve">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教师教育必修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教师教育选修</w:t>
            </w:r>
          </w:p>
        </w:tc>
        <w:tc>
          <w:tcPr>
            <w:tcW w:w="1149" w:type="dxa"/>
            <w:vAlign w:val="center"/>
          </w:tcPr>
          <w:p w14:paraId="0B801F36">
            <w:pPr>
              <w:pageBreakBefore w:val="0"/>
              <w:kinsoku/>
              <w:overflowPunct/>
              <w:topLinePunct w:val="0"/>
              <w:bidi w:val="0"/>
              <w:spacing w:line="240" w:lineRule="auto"/>
              <w:rPr>
                <w:rFonts w:hint="eastAsia" w:ascii="仿宋" w:hAnsi="仿宋" w:eastAsia="仿宋" w:cs="仿宋"/>
                <w:color w:val="000000"/>
                <w:sz w:val="24"/>
                <w:szCs w:val="24"/>
              </w:rPr>
            </w:pPr>
          </w:p>
        </w:tc>
        <w:tc>
          <w:tcPr>
            <w:tcW w:w="1149" w:type="dxa"/>
            <w:vAlign w:val="center"/>
          </w:tcPr>
          <w:p w14:paraId="7633BFC8">
            <w:pPr>
              <w:keepNext w:val="0"/>
              <w:keepLines w:val="0"/>
              <w:widowControl/>
              <w:suppressLineNumbers w:val="0"/>
              <w:jc w:val="center"/>
              <w:rPr>
                <w:rFonts w:hint="eastAsia" w:ascii="宋体" w:hAnsi="宋体" w:eastAsia="宋体" w:cs="宋体"/>
                <w:b w:val="0"/>
                <w:bCs w:val="0"/>
                <w:color w:val="000000"/>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1213302618</w:t>
            </w:r>
          </w:p>
        </w:tc>
      </w:tr>
      <w:tr w14:paraId="25D43CB9">
        <w:trPr>
          <w:gridAfter w:val="2"/>
          <w:trHeight w:val="541" w:hRule="atLeast"/>
        </w:trPr>
        <w:tc>
          <w:tcPr>
            <w:tcW w:w="1376" w:type="dxa"/>
            <w:vAlign w:val="center"/>
          </w:tcPr>
          <w:p w14:paraId="49B2D45D">
            <w:pPr>
              <w:pageBreakBefore w:val="0"/>
              <w:kinsoku/>
              <w:overflowPunct/>
              <w:topLinePunct w:val="0"/>
              <w:bidi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开课学期</w:t>
            </w:r>
          </w:p>
        </w:tc>
        <w:tc>
          <w:tcPr>
            <w:tcW w:w="1554" w:type="dxa"/>
            <w:gridSpan w:val="3"/>
            <w:vAlign w:val="center"/>
          </w:tcPr>
          <w:p w14:paraId="42BDE046">
            <w:pPr>
              <w:pageBreakBefore w:val="0"/>
              <w:kinsoku/>
              <w:overflowPunct/>
              <w:topLinePunct w:val="0"/>
              <w:bidi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第</w:t>
            </w:r>
            <w:r>
              <w:rPr>
                <w:rFonts w:ascii="仿宋" w:hAnsi="仿宋" w:eastAsia="仿宋" w:cs="仿宋"/>
                <w:color w:val="000000"/>
                <w:sz w:val="24"/>
                <w:szCs w:val="24"/>
              </w:rPr>
              <w:t>3</w:t>
            </w:r>
            <w:r>
              <w:rPr>
                <w:rFonts w:hint="eastAsia" w:ascii="仿宋" w:hAnsi="仿宋" w:eastAsia="仿宋" w:cs="仿宋"/>
                <w:color w:val="000000"/>
                <w:sz w:val="24"/>
                <w:szCs w:val="24"/>
              </w:rPr>
              <w:t>、</w:t>
            </w:r>
            <w:r>
              <w:rPr>
                <w:rFonts w:ascii="仿宋" w:hAnsi="仿宋" w:eastAsia="仿宋" w:cs="仿宋"/>
                <w:color w:val="000000"/>
                <w:sz w:val="24"/>
                <w:szCs w:val="24"/>
              </w:rPr>
              <w:t>4</w:t>
            </w:r>
            <w:r>
              <w:rPr>
                <w:rFonts w:hint="eastAsia" w:ascii="仿宋" w:hAnsi="仿宋" w:eastAsia="仿宋" w:cs="仿宋"/>
                <w:color w:val="000000"/>
                <w:sz w:val="24"/>
                <w:szCs w:val="24"/>
              </w:rPr>
              <w:t>学期</w:t>
            </w:r>
          </w:p>
        </w:tc>
        <w:tc>
          <w:tcPr>
            <w:tcW w:w="1554" w:type="dxa"/>
            <w:vAlign w:val="center"/>
          </w:tcPr>
          <w:p w14:paraId="68804319">
            <w:pPr>
              <w:pageBreakBefore w:val="0"/>
              <w:kinsoku/>
              <w:overflowPunct/>
              <w:topLinePunct w:val="0"/>
              <w:bidi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学分</w:t>
            </w:r>
          </w:p>
        </w:tc>
        <w:tc>
          <w:tcPr>
            <w:tcW w:w="1554" w:type="dxa"/>
            <w:gridSpan w:val="2"/>
            <w:vAlign w:val="center"/>
          </w:tcPr>
          <w:p w14:paraId="587A8BEE">
            <w:pPr>
              <w:pageBreakBefore w:val="0"/>
              <w:kinsoku/>
              <w:overflowPunct/>
              <w:topLinePunct w:val="0"/>
              <w:bidi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c>
          <w:tcPr>
            <w:tcW w:w="1554" w:type="dxa"/>
            <w:gridSpan w:val="3"/>
            <w:vAlign w:val="center"/>
          </w:tcPr>
          <w:p w14:paraId="62CEF10C">
            <w:pPr>
              <w:pageBreakBefore w:val="0"/>
              <w:kinsoku/>
              <w:overflowPunct/>
              <w:topLinePunct w:val="0"/>
              <w:bidi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课程负责人</w:t>
            </w:r>
          </w:p>
        </w:tc>
        <w:tc>
          <w:tcPr>
            <w:tcW w:w="1556" w:type="dxa"/>
            <w:gridSpan w:val="4"/>
            <w:vAlign w:val="center"/>
          </w:tcPr>
          <w:p w14:paraId="1CCC0FFA">
            <w:pPr>
              <w:pageBreakBefore w:val="0"/>
              <w:kinsoku/>
              <w:overflowPunct/>
              <w:topLinePunct w:val="0"/>
              <w:bidi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陈捷</w:t>
            </w:r>
          </w:p>
        </w:tc>
      </w:tr>
      <w:tr w14:paraId="185C58BD">
        <w:trPr>
          <w:gridAfter w:val="2"/>
          <w:trHeight w:val="515" w:hRule="atLeast"/>
        </w:trPr>
        <w:tc>
          <w:tcPr>
            <w:tcW w:w="1376" w:type="dxa"/>
            <w:vAlign w:val="center"/>
          </w:tcPr>
          <w:p w14:paraId="0F00034D">
            <w:pPr>
              <w:pageBreakBefore w:val="0"/>
              <w:kinsoku/>
              <w:overflowPunct/>
              <w:topLinePunct w:val="0"/>
              <w:bidi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总学时</w:t>
            </w:r>
          </w:p>
        </w:tc>
        <w:tc>
          <w:tcPr>
            <w:tcW w:w="1554" w:type="dxa"/>
            <w:gridSpan w:val="3"/>
            <w:vAlign w:val="center"/>
          </w:tcPr>
          <w:p w14:paraId="38358F1A">
            <w:pPr>
              <w:pageBreakBefore w:val="0"/>
              <w:kinsoku/>
              <w:overflowPunct/>
              <w:topLinePunct w:val="0"/>
              <w:bidi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64</w:t>
            </w:r>
          </w:p>
        </w:tc>
        <w:tc>
          <w:tcPr>
            <w:tcW w:w="1554" w:type="dxa"/>
            <w:vAlign w:val="center"/>
          </w:tcPr>
          <w:p w14:paraId="0FF46CFF">
            <w:pPr>
              <w:pageBreakBefore w:val="0"/>
              <w:kinsoku/>
              <w:overflowPunct/>
              <w:topLinePunct w:val="0"/>
              <w:bidi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理论学时</w:t>
            </w:r>
          </w:p>
        </w:tc>
        <w:tc>
          <w:tcPr>
            <w:tcW w:w="1554" w:type="dxa"/>
            <w:gridSpan w:val="2"/>
            <w:vAlign w:val="center"/>
          </w:tcPr>
          <w:p w14:paraId="6DACC027">
            <w:pPr>
              <w:pageBreakBefore w:val="0"/>
              <w:kinsoku/>
              <w:overflowPunct/>
              <w:topLinePunct w:val="0"/>
              <w:bidi w:val="0"/>
              <w:spacing w:line="240" w:lineRule="auto"/>
              <w:jc w:val="center"/>
              <w:rPr>
                <w:rFonts w:hint="eastAsia" w:ascii="仿宋" w:hAnsi="仿宋" w:eastAsia="仿宋" w:cs="仿宋"/>
                <w:color w:val="000000"/>
                <w:sz w:val="24"/>
                <w:szCs w:val="24"/>
              </w:rPr>
            </w:pPr>
          </w:p>
        </w:tc>
        <w:tc>
          <w:tcPr>
            <w:tcW w:w="1554" w:type="dxa"/>
            <w:gridSpan w:val="3"/>
            <w:tcBorders>
              <w:right w:val="single" w:color="000000" w:sz="4" w:space="0"/>
            </w:tcBorders>
            <w:vAlign w:val="center"/>
          </w:tcPr>
          <w:p w14:paraId="5922B21C">
            <w:pPr>
              <w:pageBreakBefore w:val="0"/>
              <w:kinsoku/>
              <w:overflowPunct/>
              <w:topLinePunct w:val="0"/>
              <w:bidi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实践学时</w:t>
            </w:r>
          </w:p>
        </w:tc>
        <w:tc>
          <w:tcPr>
            <w:tcW w:w="1556" w:type="dxa"/>
            <w:gridSpan w:val="4"/>
            <w:tcBorders>
              <w:left w:val="single" w:color="000000" w:sz="4" w:space="0"/>
            </w:tcBorders>
            <w:vAlign w:val="center"/>
          </w:tcPr>
          <w:p w14:paraId="3ED80A4C">
            <w:pPr>
              <w:pageBreakBefore w:val="0"/>
              <w:kinsoku/>
              <w:overflowPunct/>
              <w:topLinePunct w:val="0"/>
              <w:bidi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64</w:t>
            </w:r>
          </w:p>
        </w:tc>
      </w:tr>
      <w:tr w14:paraId="40A989B5">
        <w:trPr>
          <w:gridAfter w:val="2"/>
          <w:trHeight w:val="680" w:hRule="atLeast"/>
        </w:trPr>
        <w:tc>
          <w:tcPr>
            <w:tcW w:w="1376" w:type="dxa"/>
            <w:vAlign w:val="center"/>
          </w:tcPr>
          <w:p w14:paraId="144AEB58">
            <w:pPr>
              <w:pageBreakBefore w:val="0"/>
              <w:kinsoku/>
              <w:overflowPunct/>
              <w:topLinePunct w:val="0"/>
              <w:bidi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先修课程与后续课程</w:t>
            </w:r>
          </w:p>
        </w:tc>
        <w:tc>
          <w:tcPr>
            <w:tcW w:w="7772" w:type="dxa"/>
            <w:gridSpan w:val="13"/>
            <w:vAlign w:val="center"/>
          </w:tcPr>
          <w:p w14:paraId="6013DAC8">
            <w:pPr>
              <w:pageBreakBefore w:val="0"/>
              <w:tabs>
                <w:tab w:val="left" w:pos="720"/>
              </w:tabs>
              <w:kinsoku/>
              <w:overflowPunct/>
              <w:topLinePunct w:val="0"/>
              <w:bidi w:val="0"/>
              <w:spacing w:line="240" w:lineRule="auto"/>
              <w:jc w:val="left"/>
              <w:rPr>
                <w:rFonts w:hint="eastAsia" w:ascii="仿宋" w:hAnsi="仿宋" w:eastAsia="仿宋" w:cs="仿宋"/>
                <w:color w:val="000000"/>
                <w:sz w:val="24"/>
                <w:szCs w:val="24"/>
              </w:rPr>
            </w:pPr>
            <w:r>
              <w:rPr>
                <w:rFonts w:hint="eastAsia" w:ascii="仿宋" w:hAnsi="仿宋" w:eastAsia="仿宋" w:cs="仿宋"/>
                <w:color w:val="000000"/>
                <w:sz w:val="24"/>
                <w:szCs w:val="24"/>
              </w:rPr>
              <w:t>先修课程：</w:t>
            </w:r>
            <w:r>
              <w:rPr>
                <w:rFonts w:hint="eastAsia" w:ascii="仿宋" w:hAnsi="仿宋" w:eastAsia="仿宋" w:cs="仿宋"/>
                <w:color w:val="000000"/>
                <w:sz w:val="24"/>
                <w:szCs w:val="24"/>
                <w:lang w:val="en-US" w:eastAsia="en-US"/>
              </w:rPr>
              <w:t>形体舞蹈</w:t>
            </w:r>
          </w:p>
          <w:p w14:paraId="17003E6D">
            <w:pPr>
              <w:pageBreakBefore w:val="0"/>
              <w:tabs>
                <w:tab w:val="left" w:pos="720"/>
              </w:tabs>
              <w:kinsoku/>
              <w:overflowPunct/>
              <w:topLinePunct w:val="0"/>
              <w:bidi w:val="0"/>
              <w:spacing w:line="240" w:lineRule="auto"/>
              <w:jc w:val="left"/>
              <w:rPr>
                <w:rFonts w:hint="eastAsia" w:ascii="仿宋" w:hAnsi="仿宋" w:eastAsia="仿宋" w:cs="仿宋"/>
                <w:color w:val="000000"/>
                <w:sz w:val="24"/>
                <w:szCs w:val="24"/>
              </w:rPr>
            </w:pPr>
            <w:r>
              <w:rPr>
                <w:rFonts w:hint="eastAsia" w:ascii="仿宋" w:hAnsi="仿宋" w:eastAsia="仿宋" w:cs="仿宋"/>
                <w:color w:val="000000"/>
                <w:sz w:val="24"/>
                <w:szCs w:val="24"/>
              </w:rPr>
              <w:t>后续课程：</w:t>
            </w:r>
            <w:r>
              <w:rPr>
                <w:rFonts w:hint="eastAsia" w:ascii="仿宋" w:hAnsi="仿宋" w:eastAsia="仿宋" w:cs="仿宋"/>
                <w:color w:val="000000"/>
                <w:sz w:val="24"/>
                <w:szCs w:val="24"/>
                <w:lang w:val="en-US" w:eastAsia="en-US"/>
              </w:rPr>
              <w:t>古典舞</w:t>
            </w:r>
            <w:r>
              <w:rPr>
                <w:rFonts w:hint="eastAsia" w:ascii="仿宋" w:hAnsi="仿宋" w:eastAsia="仿宋" w:cs="仿宋"/>
                <w:color w:val="000000"/>
                <w:sz w:val="24"/>
                <w:szCs w:val="24"/>
                <w:lang w:eastAsia="en-US"/>
              </w:rPr>
              <w:t>、</w:t>
            </w:r>
            <w:r>
              <w:rPr>
                <w:rFonts w:hint="eastAsia" w:ascii="仿宋" w:hAnsi="仿宋" w:eastAsia="仿宋" w:cs="仿宋"/>
                <w:color w:val="000000"/>
                <w:sz w:val="24"/>
                <w:szCs w:val="24"/>
                <w:lang w:val="en-US" w:eastAsia="en-US"/>
              </w:rPr>
              <w:t>现代舞</w:t>
            </w:r>
            <w:r>
              <w:rPr>
                <w:rFonts w:hint="eastAsia" w:ascii="仿宋" w:hAnsi="仿宋" w:eastAsia="仿宋" w:cs="仿宋"/>
                <w:color w:val="000000"/>
                <w:sz w:val="24"/>
                <w:szCs w:val="24"/>
                <w:lang w:eastAsia="en-US"/>
              </w:rPr>
              <w:t>、</w:t>
            </w:r>
            <w:r>
              <w:rPr>
                <w:rFonts w:hint="eastAsia" w:ascii="仿宋" w:hAnsi="仿宋" w:eastAsia="仿宋" w:cs="仿宋"/>
                <w:color w:val="000000"/>
                <w:sz w:val="24"/>
                <w:szCs w:val="24"/>
                <w:lang w:val="en-US" w:eastAsia="en-US"/>
              </w:rPr>
              <w:t>剧目排练</w:t>
            </w:r>
            <w:r>
              <w:rPr>
                <w:rFonts w:hint="eastAsia" w:ascii="仿宋" w:hAnsi="仿宋" w:eastAsia="仿宋" w:cs="仿宋"/>
                <w:color w:val="000000"/>
                <w:sz w:val="24"/>
                <w:szCs w:val="24"/>
                <w:lang w:eastAsia="en-US"/>
              </w:rPr>
              <w:t>、</w:t>
            </w:r>
            <w:r>
              <w:rPr>
                <w:rFonts w:hint="eastAsia" w:ascii="仿宋" w:hAnsi="仿宋" w:eastAsia="仿宋" w:cs="仿宋"/>
                <w:color w:val="000000"/>
                <w:sz w:val="24"/>
                <w:szCs w:val="24"/>
                <w:lang w:val="en-US" w:eastAsia="en-US"/>
              </w:rPr>
              <w:t>舞蹈编导</w:t>
            </w:r>
          </w:p>
        </w:tc>
      </w:tr>
      <w:tr w14:paraId="775F048C">
        <w:trPr>
          <w:gridAfter w:val="2"/>
          <w:trHeight w:val="680" w:hRule="atLeast"/>
        </w:trPr>
        <w:tc>
          <w:tcPr>
            <w:tcW w:w="1376" w:type="dxa"/>
            <w:vAlign w:val="center"/>
          </w:tcPr>
          <w:p w14:paraId="6B80151A">
            <w:pPr>
              <w:pageBreakBefore w:val="0"/>
              <w:kinsoku/>
              <w:overflowPunct/>
              <w:topLinePunct w:val="0"/>
              <w:bidi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适用专业</w:t>
            </w:r>
          </w:p>
        </w:tc>
        <w:tc>
          <w:tcPr>
            <w:tcW w:w="7772" w:type="dxa"/>
            <w:gridSpan w:val="13"/>
            <w:vAlign w:val="center"/>
          </w:tcPr>
          <w:p w14:paraId="02B65C86">
            <w:pPr>
              <w:pageBreakBefore w:val="0"/>
              <w:kinsoku/>
              <w:overflowPunct/>
              <w:topLinePunct w:val="0"/>
              <w:bidi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音乐学</w:t>
            </w:r>
          </w:p>
        </w:tc>
      </w:tr>
      <w:tr w14:paraId="33E61149">
        <w:trPr>
          <w:gridAfter w:val="2"/>
          <w:trHeight w:val="680" w:hRule="atLeast"/>
        </w:trPr>
        <w:tc>
          <w:tcPr>
            <w:tcW w:w="1376" w:type="dxa"/>
            <w:tcBorders>
              <w:bottom w:val="single" w:color="auto" w:sz="4" w:space="0"/>
            </w:tcBorders>
            <w:vAlign w:val="center"/>
          </w:tcPr>
          <w:p w14:paraId="2C505CBF">
            <w:pPr>
              <w:pageBreakBefore w:val="0"/>
              <w:kinsoku/>
              <w:overflowPunct/>
              <w:topLinePunct w:val="0"/>
              <w:bidi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A</w:t>
            </w:r>
          </w:p>
          <w:p w14:paraId="1280340B">
            <w:pPr>
              <w:pageBreakBefore w:val="0"/>
              <w:kinsoku/>
              <w:overflowPunct/>
              <w:topLinePunct w:val="0"/>
              <w:bidi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参考教材</w:t>
            </w:r>
          </w:p>
        </w:tc>
        <w:tc>
          <w:tcPr>
            <w:tcW w:w="7772" w:type="dxa"/>
            <w:gridSpan w:val="13"/>
            <w:tcBorders>
              <w:bottom w:val="single" w:color="auto" w:sz="4" w:space="0"/>
            </w:tcBorders>
            <w:vAlign w:val="center"/>
          </w:tcPr>
          <w:p w14:paraId="515B15C2">
            <w:pPr>
              <w:pageBreakBefore w:val="0"/>
              <w:kinsoku/>
              <w:overflowPunct/>
              <w:topLinePunct w:val="0"/>
              <w:bidi w:val="0"/>
              <w:spacing w:line="240" w:lineRule="auto"/>
              <w:rPr>
                <w:rFonts w:hint="eastAsia" w:ascii="仿宋" w:hAnsi="仿宋" w:eastAsia="仿宋" w:cs="仿宋"/>
                <w:color w:val="000000"/>
                <w:sz w:val="24"/>
                <w:szCs w:val="24"/>
              </w:rPr>
            </w:pPr>
            <w:r>
              <w:rPr>
                <w:rFonts w:hint="eastAsia" w:ascii="仿宋" w:hAnsi="仿宋" w:eastAsia="仿宋" w:cs="仿宋"/>
                <w:color w:val="000000"/>
                <w:sz w:val="24"/>
                <w:szCs w:val="24"/>
              </w:rPr>
              <w:t>[1]潘志涛主编，《中国民间舞教材与教法》（DVD），上海音乐出版社</w:t>
            </w:r>
          </w:p>
          <w:p w14:paraId="03A7AC8D">
            <w:pPr>
              <w:pageBreakBefore w:val="0"/>
              <w:kinsoku/>
              <w:overflowPunct/>
              <w:topLinePunct w:val="0"/>
              <w:bidi w:val="0"/>
              <w:spacing w:line="240" w:lineRule="auto"/>
              <w:rPr>
                <w:rFonts w:hint="eastAsia" w:ascii="仿宋" w:hAnsi="仿宋" w:eastAsia="仿宋" w:cs="仿宋"/>
                <w:color w:val="000000"/>
                <w:sz w:val="24"/>
                <w:szCs w:val="24"/>
              </w:rPr>
            </w:pPr>
            <w:r>
              <w:rPr>
                <w:rFonts w:hint="eastAsia" w:ascii="仿宋" w:hAnsi="仿宋" w:eastAsia="仿宋" w:cs="仿宋"/>
                <w:color w:val="000000"/>
                <w:sz w:val="24"/>
                <w:szCs w:val="24"/>
              </w:rPr>
              <w:t>[2]韩萍</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郭磊主编，《中国少数民族民间舞教程》，高等教育出版社，2004年9月第1版</w:t>
            </w:r>
          </w:p>
        </w:tc>
      </w:tr>
      <w:tr w14:paraId="10F864B3">
        <w:trPr>
          <w:gridAfter w:val="2"/>
          <w:trHeight w:val="680" w:hRule="atLeast"/>
        </w:trPr>
        <w:tc>
          <w:tcPr>
            <w:tcW w:w="1376" w:type="dxa"/>
            <w:tcBorders>
              <w:bottom w:val="single" w:color="auto" w:sz="4" w:space="0"/>
            </w:tcBorders>
            <w:vAlign w:val="center"/>
          </w:tcPr>
          <w:p w14:paraId="22655386">
            <w:pPr>
              <w:pageBreakBefore w:val="0"/>
              <w:kinsoku/>
              <w:overflowPunct/>
              <w:topLinePunct w:val="0"/>
              <w:bidi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B</w:t>
            </w:r>
          </w:p>
          <w:p w14:paraId="4F002536">
            <w:pPr>
              <w:pageBreakBefore w:val="0"/>
              <w:kinsoku/>
              <w:overflowPunct/>
              <w:topLinePunct w:val="0"/>
              <w:bidi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主要参考书籍</w:t>
            </w:r>
          </w:p>
        </w:tc>
        <w:tc>
          <w:tcPr>
            <w:tcW w:w="7772" w:type="dxa"/>
            <w:gridSpan w:val="13"/>
            <w:tcBorders>
              <w:bottom w:val="single" w:color="auto" w:sz="4" w:space="0"/>
            </w:tcBorders>
            <w:vAlign w:val="center"/>
          </w:tcPr>
          <w:p w14:paraId="0F4B0757">
            <w:pPr>
              <w:pageBreakBefore w:val="0"/>
              <w:kinsoku/>
              <w:overflowPunct/>
              <w:topLinePunct w:val="0"/>
              <w:bidi w:val="0"/>
              <w:spacing w:line="240" w:lineRule="auto"/>
              <w:rPr>
                <w:rFonts w:hint="eastAsia" w:ascii="仿宋" w:hAnsi="仿宋" w:eastAsia="仿宋" w:cs="仿宋"/>
                <w:color w:val="000000"/>
                <w:sz w:val="24"/>
                <w:szCs w:val="24"/>
              </w:rPr>
            </w:pPr>
            <w:r>
              <w:rPr>
                <w:rFonts w:hint="eastAsia" w:ascii="仿宋" w:hAnsi="仿宋" w:eastAsia="仿宋" w:cs="仿宋"/>
                <w:color w:val="000000"/>
                <w:sz w:val="24"/>
                <w:szCs w:val="24"/>
              </w:rPr>
              <w:t>[1]潘志涛主编，《中国民间舞教材与教法》（DVD），上海音乐出版社</w:t>
            </w:r>
          </w:p>
          <w:p w14:paraId="3FF988AB">
            <w:pPr>
              <w:pageBreakBefore w:val="0"/>
              <w:kinsoku/>
              <w:overflowPunct/>
              <w:topLinePunct w:val="0"/>
              <w:bidi w:val="0"/>
              <w:spacing w:line="240" w:lineRule="auto"/>
              <w:rPr>
                <w:rFonts w:hint="eastAsia" w:ascii="仿宋" w:hAnsi="仿宋" w:eastAsia="仿宋" w:cs="仿宋"/>
                <w:color w:val="000000"/>
                <w:sz w:val="24"/>
                <w:szCs w:val="24"/>
              </w:rPr>
            </w:pPr>
            <w:r>
              <w:rPr>
                <w:rFonts w:hint="eastAsia" w:ascii="仿宋" w:hAnsi="仿宋" w:eastAsia="仿宋" w:cs="仿宋"/>
                <w:color w:val="000000"/>
                <w:sz w:val="24"/>
                <w:szCs w:val="24"/>
              </w:rPr>
              <w:t>[2]韩萍</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郭磊主编，《中国少数民族民间舞教程》，高等教育出版社，2004年9月第1版</w:t>
            </w:r>
          </w:p>
          <w:p w14:paraId="63DB7BCD">
            <w:pPr>
              <w:pageBreakBefore w:val="0"/>
              <w:kinsoku/>
              <w:overflowPunct/>
              <w:topLinePunct w:val="0"/>
              <w:bidi w:val="0"/>
              <w:spacing w:line="240" w:lineRule="auto"/>
              <w:rPr>
                <w:rFonts w:hint="eastAsia" w:ascii="仿宋" w:hAnsi="仿宋" w:eastAsia="仿宋" w:cs="仿宋"/>
                <w:color w:val="000000"/>
                <w:sz w:val="24"/>
                <w:szCs w:val="24"/>
              </w:rPr>
            </w:pPr>
            <w:r>
              <w:rPr>
                <w:rFonts w:hint="eastAsia" w:ascii="仿宋" w:hAnsi="仿宋" w:eastAsia="仿宋" w:cs="仿宋"/>
                <w:color w:val="000000"/>
                <w:sz w:val="24"/>
                <w:szCs w:val="24"/>
              </w:rPr>
              <w:t>[3]吕艺生</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朱清渊著，《舞蹈》，高等教育出版社，2004年，3月版</w:t>
            </w:r>
          </w:p>
        </w:tc>
      </w:tr>
      <w:tr w14:paraId="3AF3D95A">
        <w:trPr>
          <w:gridAfter w:val="2"/>
          <w:trHeight w:val="680" w:hRule="atLeast"/>
        </w:trPr>
        <w:tc>
          <w:tcPr>
            <w:tcW w:w="1376" w:type="dxa"/>
            <w:tcBorders>
              <w:bottom w:val="single" w:color="auto" w:sz="4" w:space="0"/>
            </w:tcBorders>
            <w:vAlign w:val="center"/>
          </w:tcPr>
          <w:p w14:paraId="4AD779F0">
            <w:pPr>
              <w:pageBreakBefore w:val="0"/>
              <w:kinsoku/>
              <w:overflowPunct/>
              <w:topLinePunct w:val="0"/>
              <w:bidi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C</w:t>
            </w:r>
          </w:p>
          <w:p w14:paraId="2E007CDA">
            <w:pPr>
              <w:pageBreakBefore w:val="0"/>
              <w:kinsoku/>
              <w:overflowPunct/>
              <w:topLinePunct w:val="0"/>
              <w:bidi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线上学习资源</w:t>
            </w:r>
          </w:p>
        </w:tc>
        <w:tc>
          <w:tcPr>
            <w:tcW w:w="7772" w:type="dxa"/>
            <w:gridSpan w:val="13"/>
            <w:tcBorders>
              <w:bottom w:val="single" w:color="auto" w:sz="4" w:space="0"/>
            </w:tcBorders>
            <w:vAlign w:val="center"/>
          </w:tcPr>
          <w:p w14:paraId="4A003F3C">
            <w:pPr>
              <w:pageBreakBefore w:val="0"/>
              <w:kinsoku/>
              <w:overflowPunct/>
              <w:topLinePunct w:val="0"/>
              <w:bidi w:val="0"/>
              <w:spacing w:line="240" w:lineRule="auto"/>
              <w:rPr>
                <w:rFonts w:hint="eastAsia" w:ascii="仿宋" w:hAnsi="仿宋" w:eastAsia="仿宋" w:cs="仿宋"/>
                <w:color w:val="000000"/>
                <w:sz w:val="24"/>
                <w:szCs w:val="24"/>
              </w:rPr>
            </w:pPr>
            <w:r>
              <w:rPr>
                <w:rFonts w:hint="eastAsia" w:ascii="仿宋" w:hAnsi="仿宋" w:eastAsia="仿宋" w:cs="仿宋"/>
                <w:color w:val="000000"/>
                <w:sz w:val="24"/>
                <w:szCs w:val="24"/>
              </w:rPr>
              <w:t>可查看教学</w:t>
            </w:r>
            <w:r>
              <w:rPr>
                <w:rFonts w:hint="eastAsia" w:ascii="仿宋" w:hAnsi="仿宋" w:eastAsia="仿宋" w:cs="仿宋"/>
                <w:color w:val="000000"/>
                <w:sz w:val="24"/>
                <w:szCs w:val="24"/>
                <w:lang w:val="en-US" w:eastAsia="zh-CN"/>
              </w:rPr>
              <w:t>教材相关视频，教学</w:t>
            </w:r>
            <w:r>
              <w:rPr>
                <w:rFonts w:hint="eastAsia" w:ascii="仿宋" w:hAnsi="仿宋" w:eastAsia="仿宋" w:cs="仿宋"/>
                <w:color w:val="000000"/>
                <w:sz w:val="24"/>
                <w:szCs w:val="24"/>
              </w:rPr>
              <w:t>大纲、授课计划、考核方法、电子教材、音频、阅读资料、网络文献链接网址等教学资源。</w:t>
            </w:r>
          </w:p>
        </w:tc>
      </w:tr>
      <w:tr w14:paraId="323D2158">
        <w:trPr>
          <w:gridAfter w:val="2"/>
          <w:trHeight w:val="680" w:hRule="atLeast"/>
        </w:trPr>
        <w:tc>
          <w:tcPr>
            <w:tcW w:w="1376" w:type="dxa"/>
            <w:shd w:val="clear" w:color="auto" w:fill="FFFFFF"/>
            <w:vAlign w:val="center"/>
          </w:tcPr>
          <w:p w14:paraId="456D9F7E">
            <w:pPr>
              <w:pageBreakBefore w:val="0"/>
              <w:kinsoku/>
              <w:overflowPunct/>
              <w:topLinePunct w:val="0"/>
              <w:bidi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D</w:t>
            </w:r>
          </w:p>
          <w:p w14:paraId="3F817E0C">
            <w:pPr>
              <w:pageBreakBefore w:val="0"/>
              <w:kinsoku/>
              <w:overflowPunct/>
              <w:topLinePunct w:val="0"/>
              <w:bidi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课程描述 </w:t>
            </w:r>
          </w:p>
          <w:p w14:paraId="655B0E57">
            <w:pPr>
              <w:pageBreakBefore w:val="0"/>
              <w:kinsoku/>
              <w:overflowPunct/>
              <w:topLinePunct w:val="0"/>
              <w:bidi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lang w:eastAsia="zh-TW"/>
              </w:rPr>
              <w:t>(</w:t>
            </w:r>
            <w:r>
              <w:rPr>
                <w:rFonts w:hint="eastAsia" w:ascii="仿宋" w:hAnsi="仿宋" w:eastAsia="仿宋" w:cs="仿宋"/>
                <w:color w:val="000000"/>
                <w:sz w:val="24"/>
                <w:szCs w:val="24"/>
              </w:rPr>
              <w:t>含</w:t>
            </w:r>
            <w:r>
              <w:rPr>
                <w:rFonts w:hint="eastAsia" w:ascii="仿宋" w:hAnsi="仿宋" w:eastAsia="仿宋" w:cs="仿宋"/>
                <w:color w:val="000000"/>
                <w:sz w:val="24"/>
                <w:szCs w:val="24"/>
                <w:lang w:eastAsia="zh-TW"/>
              </w:rPr>
              <w:t>性质、地位和任务)</w:t>
            </w:r>
          </w:p>
        </w:tc>
        <w:tc>
          <w:tcPr>
            <w:tcW w:w="7772" w:type="dxa"/>
            <w:gridSpan w:val="13"/>
            <w:tcBorders>
              <w:bottom w:val="single" w:color="auto" w:sz="4" w:space="0"/>
            </w:tcBorders>
            <w:shd w:val="clear" w:color="auto" w:fill="FFFFFF"/>
            <w:vAlign w:val="center"/>
          </w:tcPr>
          <w:p w14:paraId="6D3F2529">
            <w:pPr>
              <w:pageBreakBefore w:val="0"/>
              <w:kinsoku/>
              <w:overflowPunct/>
              <w:topLinePunct w:val="0"/>
              <w:bidi w:val="0"/>
              <w:spacing w:line="240" w:lineRule="auto"/>
              <w:rPr>
                <w:rFonts w:ascii="仿宋" w:hAnsi="仿宋" w:eastAsia="仿宋" w:cs="仿宋"/>
                <w:color w:val="000000"/>
                <w:kern w:val="0"/>
                <w:sz w:val="24"/>
                <w:szCs w:val="24"/>
              </w:rPr>
            </w:pPr>
            <w:r>
              <w:rPr>
                <w:rFonts w:hint="eastAsia" w:ascii="仿宋" w:hAnsi="仿宋" w:eastAsia="仿宋" w:cs="仿宋"/>
                <w:color w:val="000000"/>
                <w:kern w:val="0"/>
                <w:sz w:val="24"/>
                <w:szCs w:val="24"/>
              </w:rPr>
              <w:t>本课程是普通高等学校音乐学本科专业的专业任选课程，是培养学生从事艺术相关工作基本能力的一门课程，本课程融知识性、技能性、审美性、艺术性、实践性为一体，使学生获得我国具有代表性民族民间舞蹈的舞蹈知识，舞蹈动律，掌握该民族民间舞蹈的风格特征，</w:t>
            </w:r>
            <w:r>
              <w:rPr>
                <w:rFonts w:hint="eastAsia" w:ascii="仿宋" w:hAnsi="仿宋" w:eastAsia="仿宋" w:cs="仿宋"/>
                <w:color w:val="000000"/>
                <w:kern w:val="0"/>
                <w:sz w:val="24"/>
                <w:szCs w:val="24"/>
                <w:lang w:val="en-US" w:eastAsia="en-US"/>
              </w:rPr>
              <w:t>具备传承优秀民间舞蹈的意识</w:t>
            </w:r>
            <w:r>
              <w:rPr>
                <w:rFonts w:hint="eastAsia" w:ascii="仿宋" w:hAnsi="仿宋" w:eastAsia="仿宋" w:cs="仿宋"/>
                <w:color w:val="000000"/>
                <w:kern w:val="0"/>
                <w:sz w:val="24"/>
                <w:szCs w:val="24"/>
                <w:lang w:eastAsia="en-US"/>
              </w:rPr>
              <w:t>。</w:t>
            </w:r>
          </w:p>
        </w:tc>
      </w:tr>
      <w:tr w14:paraId="5E15C9BE">
        <w:trPr>
          <w:gridAfter w:val="2"/>
          <w:trHeight w:val="680" w:hRule="atLeast"/>
        </w:trPr>
        <w:tc>
          <w:tcPr>
            <w:tcW w:w="1376" w:type="dxa"/>
            <w:vMerge w:val="restart"/>
            <w:shd w:val="clear" w:color="auto" w:fill="FFFFFF"/>
            <w:vAlign w:val="center"/>
          </w:tcPr>
          <w:p w14:paraId="4D80CDE1">
            <w:pPr>
              <w:pageBreakBefore w:val="0"/>
              <w:kinsoku/>
              <w:overflowPunct/>
              <w:topLinePunct w:val="0"/>
              <w:bidi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E</w:t>
            </w:r>
          </w:p>
          <w:p w14:paraId="0BF280C2">
            <w:pPr>
              <w:pageBreakBefore w:val="0"/>
              <w:kinsoku/>
              <w:overflowPunct/>
              <w:topLinePunct w:val="0"/>
              <w:bidi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课程学习目标及其与毕业要求的对应关系</w:t>
            </w:r>
          </w:p>
        </w:tc>
        <w:tc>
          <w:tcPr>
            <w:tcW w:w="7772" w:type="dxa"/>
            <w:gridSpan w:val="13"/>
            <w:tcBorders>
              <w:bottom w:val="single" w:color="auto" w:sz="4" w:space="0"/>
            </w:tcBorders>
            <w:shd w:val="clear" w:color="auto" w:fill="FFFFFF"/>
            <w:vAlign w:val="center"/>
          </w:tcPr>
          <w:p w14:paraId="32C974ED">
            <w:pPr>
              <w:pageBreakBefore w:val="0"/>
              <w:kinsoku/>
              <w:overflowPunct/>
              <w:topLinePunct w:val="0"/>
              <w:bidi w:val="0"/>
              <w:spacing w:line="240" w:lineRule="auto"/>
              <w:jc w:val="left"/>
              <w:rPr>
                <w:rFonts w:hint="eastAsia" w:ascii="仿宋" w:hAnsi="仿宋" w:eastAsia="仿宋" w:cs="仿宋"/>
                <w:color w:val="000000"/>
                <w:sz w:val="24"/>
                <w:szCs w:val="24"/>
                <w:lang w:eastAsia="zh-TW"/>
              </w:rPr>
            </w:pPr>
            <w:r>
              <w:rPr>
                <w:rFonts w:hint="eastAsia" w:ascii="仿宋" w:hAnsi="仿宋" w:eastAsia="仿宋" w:cs="仿宋"/>
                <w:color w:val="000000"/>
                <w:sz w:val="24"/>
                <w:szCs w:val="24"/>
              </w:rPr>
              <w:t>通过本课程的学习，学生具备如下知识、能力及情感态度价值观：</w:t>
            </w:r>
          </w:p>
          <w:p w14:paraId="1C8702CF">
            <w:pPr>
              <w:pageBreakBefore w:val="0"/>
              <w:kinsoku/>
              <w:overflowPunct/>
              <w:topLinePunct w:val="0"/>
              <w:bidi w:val="0"/>
              <w:spacing w:line="240" w:lineRule="auto"/>
              <w:rPr>
                <w:rFonts w:hint="eastAsia" w:ascii="仿宋" w:hAnsi="仿宋" w:eastAsia="仿宋" w:cs="仿宋"/>
                <w:b w:val="0"/>
                <w:bCs w:val="0"/>
                <w:color w:val="000000"/>
                <w:sz w:val="24"/>
                <w:szCs w:val="24"/>
              </w:rPr>
            </w:pPr>
            <w:r>
              <w:rPr>
                <w:rFonts w:hint="eastAsia" w:ascii="仿宋" w:hAnsi="仿宋" w:eastAsia="仿宋" w:cs="仿宋"/>
                <w:b/>
                <w:bCs/>
                <w:color w:val="000000"/>
                <w:kern w:val="0"/>
                <w:sz w:val="24"/>
                <w:szCs w:val="24"/>
              </w:rPr>
              <w:t>课程目标1：</w:t>
            </w:r>
            <w:r>
              <w:rPr>
                <w:rFonts w:hint="eastAsia" w:ascii="仿宋" w:hAnsi="仿宋" w:eastAsia="仿宋" w:cs="仿宋"/>
                <w:b w:val="0"/>
                <w:bCs w:val="0"/>
                <w:color w:val="000000"/>
                <w:kern w:val="0"/>
                <w:sz w:val="24"/>
                <w:szCs w:val="24"/>
              </w:rPr>
              <w:t>掌握代表性民族民间舞的基本理论知识，掌握代表性民族民间舞的基本动律、基本舞姿以及表演风格特征，</w:t>
            </w:r>
            <w:r>
              <w:rPr>
                <w:rFonts w:hint="eastAsia" w:ascii="仿宋" w:hAnsi="仿宋" w:eastAsia="仿宋" w:cs="仿宋"/>
                <w:b w:val="0"/>
                <w:bCs w:val="0"/>
                <w:color w:val="000000"/>
                <w:kern w:val="0"/>
                <w:sz w:val="24"/>
                <w:szCs w:val="24"/>
                <w:lang w:val="en-US" w:eastAsia="en-US"/>
              </w:rPr>
              <w:t>并</w:t>
            </w:r>
            <w:r>
              <w:rPr>
                <w:rFonts w:hint="eastAsia" w:ascii="仿宋" w:hAnsi="仿宋" w:eastAsia="仿宋" w:cs="仿宋"/>
                <w:b w:val="0"/>
                <w:bCs w:val="0"/>
                <w:color w:val="000000"/>
                <w:kern w:val="0"/>
                <w:sz w:val="24"/>
                <w:szCs w:val="24"/>
              </w:rPr>
              <w:t>能够运用到实际表演与教学中，了解本学科发展动态，</w:t>
            </w:r>
            <w:r>
              <w:rPr>
                <w:rFonts w:hint="eastAsia" w:ascii="仿宋" w:hAnsi="仿宋" w:eastAsia="仿宋" w:cs="仿宋"/>
                <w:b w:val="0"/>
                <w:bCs w:val="0"/>
                <w:color w:val="000000"/>
                <w:kern w:val="0"/>
                <w:sz w:val="24"/>
                <w:szCs w:val="24"/>
                <w:lang w:val="en-US" w:eastAsia="en-US"/>
              </w:rPr>
              <w:t>掌握</w:t>
            </w:r>
            <w:r>
              <w:rPr>
                <w:rFonts w:hint="eastAsia" w:ascii="仿宋" w:hAnsi="仿宋" w:eastAsia="仿宋" w:cs="仿宋"/>
                <w:b w:val="0"/>
                <w:bCs w:val="0"/>
                <w:color w:val="000000"/>
                <w:kern w:val="0"/>
                <w:sz w:val="24"/>
                <w:szCs w:val="24"/>
              </w:rPr>
              <w:t>民间舞蹈的</w:t>
            </w:r>
            <w:r>
              <w:rPr>
                <w:rFonts w:hint="eastAsia" w:ascii="仿宋" w:hAnsi="仿宋" w:eastAsia="仿宋" w:cs="仿宋"/>
                <w:b w:val="0"/>
                <w:bCs w:val="0"/>
                <w:color w:val="000000"/>
                <w:kern w:val="0"/>
                <w:sz w:val="24"/>
                <w:szCs w:val="24"/>
                <w:lang w:val="en-US" w:eastAsia="en-US"/>
              </w:rPr>
              <w:t>教学方法与</w:t>
            </w:r>
            <w:r>
              <w:rPr>
                <w:rFonts w:hint="eastAsia" w:ascii="仿宋" w:hAnsi="仿宋" w:eastAsia="仿宋" w:cs="仿宋"/>
                <w:b w:val="0"/>
                <w:bCs w:val="0"/>
                <w:color w:val="000000"/>
                <w:kern w:val="0"/>
                <w:sz w:val="24"/>
                <w:szCs w:val="24"/>
              </w:rPr>
              <w:t>教学规律。（支撑毕业要求</w:t>
            </w:r>
            <w:r>
              <w:rPr>
                <w:rFonts w:ascii="仿宋" w:hAnsi="仿宋" w:eastAsia="仿宋" w:cs="仿宋"/>
                <w:b w:val="0"/>
                <w:bCs w:val="0"/>
                <w:color w:val="000000"/>
                <w:kern w:val="0"/>
                <w:sz w:val="24"/>
                <w:szCs w:val="24"/>
              </w:rPr>
              <w:t>3.1</w:t>
            </w:r>
            <w:r>
              <w:rPr>
                <w:rFonts w:hint="eastAsia" w:ascii="仿宋" w:hAnsi="仿宋" w:eastAsia="仿宋" w:cs="仿宋"/>
                <w:b w:val="0"/>
                <w:bCs w:val="0"/>
                <w:color w:val="000000"/>
                <w:sz w:val="24"/>
                <w:szCs w:val="24"/>
              </w:rPr>
              <w:t>）</w:t>
            </w:r>
          </w:p>
          <w:p w14:paraId="3267D69F">
            <w:pPr>
              <w:pageBreakBefore w:val="0"/>
              <w:kinsoku/>
              <w:overflowPunct/>
              <w:topLinePunct w:val="0"/>
              <w:bidi w:val="0"/>
              <w:spacing w:line="240" w:lineRule="auto"/>
              <w:rPr>
                <w:rFonts w:hint="eastAsia" w:ascii="仿宋" w:hAnsi="仿宋" w:eastAsia="仿宋" w:cs="仿宋"/>
                <w:color w:val="000000"/>
                <w:sz w:val="24"/>
                <w:szCs w:val="24"/>
              </w:rPr>
            </w:pPr>
            <w:r>
              <w:rPr>
                <w:rFonts w:hint="eastAsia" w:ascii="仿宋" w:hAnsi="仿宋" w:eastAsia="仿宋" w:cs="仿宋"/>
                <w:b/>
                <w:bCs/>
                <w:color w:val="000000"/>
                <w:kern w:val="0"/>
                <w:sz w:val="24"/>
                <w:szCs w:val="24"/>
              </w:rPr>
              <w:t>课程目标2：</w:t>
            </w:r>
            <w:r>
              <w:rPr>
                <w:rFonts w:hint="eastAsia" w:ascii="仿宋" w:hAnsi="仿宋" w:eastAsia="仿宋" w:cs="仿宋"/>
                <w:color w:val="000000"/>
                <w:kern w:val="0"/>
                <w:sz w:val="24"/>
                <w:szCs w:val="24"/>
              </w:rPr>
              <w:t>领会民间舞</w:t>
            </w:r>
            <w:r>
              <w:rPr>
                <w:rFonts w:hint="eastAsia" w:ascii="仿宋" w:hAnsi="仿宋" w:eastAsia="仿宋" w:cs="仿宋"/>
                <w:color w:val="000000"/>
                <w:kern w:val="0"/>
                <w:sz w:val="24"/>
                <w:szCs w:val="24"/>
                <w:lang w:val="en-US" w:eastAsia="en-US"/>
              </w:rPr>
              <w:t>是</w:t>
            </w:r>
            <w:r>
              <w:rPr>
                <w:rFonts w:hint="eastAsia" w:ascii="仿宋" w:hAnsi="仿宋" w:eastAsia="仿宋" w:cs="仿宋"/>
                <w:color w:val="000000"/>
                <w:kern w:val="0"/>
                <w:sz w:val="24"/>
                <w:szCs w:val="24"/>
              </w:rPr>
              <w:t>非物质文化遗产的重要组成部分，</w:t>
            </w:r>
            <w:r>
              <w:rPr>
                <w:rFonts w:hint="eastAsia" w:ascii="仿宋" w:hAnsi="仿宋" w:eastAsia="仿宋" w:cs="仿宋"/>
                <w:color w:val="000000"/>
                <w:kern w:val="0"/>
                <w:sz w:val="24"/>
                <w:szCs w:val="24"/>
                <w:lang w:val="en-US" w:eastAsia="en-US"/>
              </w:rPr>
              <w:t>领会民间舞</w:t>
            </w:r>
            <w:r>
              <w:rPr>
                <w:rFonts w:hint="eastAsia" w:ascii="仿宋" w:hAnsi="仿宋" w:eastAsia="仿宋" w:cs="仿宋"/>
                <w:color w:val="000000"/>
                <w:kern w:val="0"/>
                <w:sz w:val="24"/>
                <w:szCs w:val="24"/>
              </w:rPr>
              <w:t>具有的文化意义，</w:t>
            </w:r>
            <w:r>
              <w:rPr>
                <w:rFonts w:hint="eastAsia" w:ascii="仿宋" w:hAnsi="仿宋" w:eastAsia="仿宋" w:cs="仿宋"/>
                <w:color w:val="000000"/>
                <w:kern w:val="0"/>
                <w:sz w:val="24"/>
                <w:szCs w:val="24"/>
                <w:lang w:val="en-US" w:eastAsia="en-US"/>
              </w:rPr>
              <w:t>具有自觉传承和弘扬中华民族优秀传统文化的意识</w:t>
            </w:r>
            <w:r>
              <w:rPr>
                <w:rFonts w:hint="eastAsia" w:ascii="仿宋" w:hAnsi="仿宋" w:eastAsia="仿宋" w:cs="仿宋"/>
                <w:color w:val="000000"/>
                <w:kern w:val="0"/>
                <w:sz w:val="24"/>
                <w:szCs w:val="24"/>
                <w:lang w:eastAsia="en-US"/>
              </w:rPr>
              <w:t>，</w:t>
            </w:r>
            <w:r>
              <w:rPr>
                <w:rFonts w:hint="eastAsia" w:ascii="仿宋" w:hAnsi="仿宋" w:eastAsia="仿宋" w:cs="仿宋"/>
                <w:color w:val="000000"/>
                <w:kern w:val="0"/>
                <w:sz w:val="24"/>
                <w:szCs w:val="24"/>
                <w:lang w:val="en-US" w:eastAsia="en-US"/>
              </w:rPr>
              <w:t>建立传承传统民间舞蹈的责任意识</w:t>
            </w:r>
            <w:r>
              <w:rPr>
                <w:rFonts w:hint="eastAsia" w:ascii="仿宋" w:hAnsi="仿宋" w:eastAsia="仿宋" w:cs="仿宋"/>
                <w:color w:val="000000"/>
                <w:kern w:val="0"/>
                <w:sz w:val="24"/>
                <w:szCs w:val="24"/>
                <w:lang w:val="en-US" w:eastAsia="zh-CN"/>
              </w:rPr>
              <w:t>。</w:t>
            </w:r>
            <w:r>
              <w:rPr>
                <w:rFonts w:hint="eastAsia" w:ascii="仿宋" w:hAnsi="仿宋" w:eastAsia="仿宋" w:cs="仿宋"/>
                <w:color w:val="000000"/>
                <w:kern w:val="0"/>
                <w:sz w:val="24"/>
                <w:szCs w:val="24"/>
                <w:lang w:val="en-US" w:eastAsia="en-US"/>
              </w:rPr>
              <w:t>（</w:t>
            </w:r>
            <w:r>
              <w:rPr>
                <w:rFonts w:hint="eastAsia" w:ascii="仿宋" w:hAnsi="仿宋" w:eastAsia="仿宋" w:cs="仿宋"/>
                <w:color w:val="000000"/>
                <w:kern w:val="0"/>
                <w:sz w:val="24"/>
                <w:szCs w:val="24"/>
              </w:rPr>
              <w:t>支撑毕业要求</w:t>
            </w:r>
            <w:r>
              <w:rPr>
                <w:rFonts w:ascii="仿宋" w:hAnsi="仿宋" w:eastAsia="仿宋" w:cs="仿宋"/>
                <w:color w:val="000000"/>
                <w:kern w:val="0"/>
                <w:sz w:val="24"/>
                <w:szCs w:val="24"/>
              </w:rPr>
              <w:t>4.3</w:t>
            </w:r>
            <w:r>
              <w:rPr>
                <w:rFonts w:hint="eastAsia" w:ascii="仿宋" w:hAnsi="仿宋" w:eastAsia="仿宋" w:cs="仿宋"/>
                <w:color w:val="000000"/>
                <w:sz w:val="24"/>
                <w:szCs w:val="24"/>
              </w:rPr>
              <w:t xml:space="preserve"> ）</w:t>
            </w:r>
          </w:p>
          <w:p w14:paraId="2836B4BA">
            <w:pPr>
              <w:pageBreakBefore w:val="0"/>
              <w:kinsoku/>
              <w:overflowPunct/>
              <w:topLinePunct w:val="0"/>
              <w:bidi w:val="0"/>
              <w:spacing w:line="240" w:lineRule="auto"/>
              <w:rPr>
                <w:rFonts w:hint="eastAsia" w:ascii="仿宋" w:hAnsi="仿宋" w:eastAsia="仿宋" w:cs="仿宋"/>
                <w:color w:val="000000"/>
                <w:kern w:val="0"/>
                <w:sz w:val="24"/>
                <w:szCs w:val="24"/>
              </w:rPr>
            </w:pPr>
            <w:r>
              <w:rPr>
                <w:rFonts w:hint="eastAsia" w:ascii="仿宋" w:hAnsi="仿宋" w:eastAsia="仿宋" w:cs="仿宋"/>
                <w:b/>
                <w:bCs/>
                <w:color w:val="000000"/>
                <w:kern w:val="0"/>
                <w:sz w:val="24"/>
                <w:szCs w:val="24"/>
              </w:rPr>
              <w:t>课程目标3：</w:t>
            </w:r>
            <w:r>
              <w:rPr>
                <w:rFonts w:hint="eastAsia" w:ascii="仿宋" w:hAnsi="仿宋" w:eastAsia="仿宋" w:cs="仿宋"/>
                <w:color w:val="000000"/>
                <w:kern w:val="0"/>
                <w:sz w:val="24"/>
                <w:szCs w:val="24"/>
              </w:rPr>
              <w:t>明确领会舞蹈学科教学综合育人的意义</w:t>
            </w:r>
            <w:r>
              <w:rPr>
                <w:rFonts w:hint="eastAsia" w:ascii="仿宋" w:hAnsi="仿宋" w:eastAsia="仿宋" w:cs="仿宋"/>
                <w:color w:val="000000"/>
                <w:kern w:val="0"/>
                <w:sz w:val="24"/>
                <w:szCs w:val="24"/>
                <w:lang w:eastAsia="en-US"/>
              </w:rPr>
              <w:t>，</w:t>
            </w:r>
            <w:r>
              <w:rPr>
                <w:rStyle w:val="239"/>
                <w:rFonts w:hint="eastAsia" w:ascii="仿宋" w:hAnsi="仿宋" w:eastAsia="仿宋"/>
                <w:color w:val="000000"/>
                <w:sz w:val="24"/>
                <w:szCs w:val="24"/>
              </w:rPr>
              <w:t>理解</w:t>
            </w:r>
            <w:r>
              <w:rPr>
                <w:rStyle w:val="239"/>
                <w:rFonts w:hint="eastAsia" w:ascii="仿宋" w:hAnsi="仿宋" w:eastAsia="仿宋"/>
                <w:color w:val="000000"/>
                <w:sz w:val="24"/>
                <w:szCs w:val="24"/>
                <w:lang w:val="en-US" w:eastAsia="en-US"/>
              </w:rPr>
              <w:t>舞蹈</w:t>
            </w:r>
            <w:r>
              <w:rPr>
                <w:rStyle w:val="239"/>
                <w:rFonts w:hint="eastAsia" w:ascii="仿宋" w:hAnsi="仿宋" w:eastAsia="仿宋"/>
                <w:color w:val="000000"/>
                <w:sz w:val="24"/>
                <w:szCs w:val="24"/>
              </w:rPr>
              <w:t>教学与人的全面发展的关系；</w:t>
            </w:r>
            <w:r>
              <w:rPr>
                <w:rStyle w:val="239"/>
                <w:rFonts w:hint="eastAsia" w:ascii="仿宋" w:hAnsi="仿宋" w:eastAsia="仿宋"/>
                <w:color w:val="000000"/>
                <w:sz w:val="24"/>
                <w:szCs w:val="24"/>
                <w:lang w:val="en-US" w:eastAsia="en-US"/>
              </w:rPr>
              <w:t>初步</w:t>
            </w:r>
            <w:r>
              <w:rPr>
                <w:rStyle w:val="239"/>
                <w:rFonts w:hint="eastAsia" w:ascii="仿宋" w:hAnsi="仿宋" w:eastAsia="仿宋"/>
                <w:color w:val="000000"/>
                <w:sz w:val="24"/>
                <w:szCs w:val="24"/>
              </w:rPr>
              <w:t>掌握综合育人的规律和方法，</w:t>
            </w:r>
            <w:r>
              <w:rPr>
                <w:rStyle w:val="239"/>
                <w:rFonts w:hint="eastAsia" w:ascii="仿宋" w:hAnsi="仿宋" w:eastAsia="仿宋"/>
                <w:color w:val="000000"/>
                <w:sz w:val="24"/>
                <w:szCs w:val="24"/>
                <w:lang w:val="en-US" w:eastAsia="en-US"/>
              </w:rPr>
              <w:t>能够在民间舞</w:t>
            </w:r>
            <w:r>
              <w:rPr>
                <w:rStyle w:val="239"/>
                <w:rFonts w:hint="eastAsia" w:ascii="仿宋" w:hAnsi="仿宋" w:eastAsia="仿宋"/>
                <w:color w:val="000000"/>
                <w:sz w:val="24"/>
                <w:szCs w:val="24"/>
              </w:rPr>
              <w:t>课堂教学</w:t>
            </w:r>
            <w:r>
              <w:rPr>
                <w:rStyle w:val="239"/>
                <w:rFonts w:hint="eastAsia" w:ascii="仿宋" w:hAnsi="仿宋" w:eastAsia="仿宋"/>
                <w:color w:val="000000"/>
                <w:sz w:val="24"/>
                <w:szCs w:val="24"/>
                <w:lang w:val="en-US" w:eastAsia="en-US"/>
              </w:rPr>
              <w:t>与舞蹈实践中</w:t>
            </w:r>
            <w:r>
              <w:rPr>
                <w:rStyle w:val="239"/>
                <w:rFonts w:hint="eastAsia" w:ascii="仿宋" w:hAnsi="仿宋" w:eastAsia="仿宋"/>
                <w:color w:val="000000"/>
                <w:sz w:val="24"/>
                <w:szCs w:val="24"/>
              </w:rPr>
              <w:t>开展综合育人活动</w:t>
            </w:r>
            <w:r>
              <w:rPr>
                <w:rFonts w:hint="eastAsia" w:ascii="仿宋" w:hAnsi="仿宋" w:eastAsia="仿宋" w:cs="仿宋"/>
                <w:color w:val="000000"/>
                <w:sz w:val="24"/>
                <w:szCs w:val="24"/>
              </w:rPr>
              <w:t>。</w:t>
            </w:r>
            <w:r>
              <w:rPr>
                <w:rFonts w:hint="eastAsia" w:ascii="仿宋" w:hAnsi="仿宋" w:eastAsia="仿宋" w:cs="仿宋"/>
                <w:color w:val="000000"/>
                <w:kern w:val="0"/>
                <w:sz w:val="24"/>
                <w:szCs w:val="24"/>
              </w:rPr>
              <w:t>（支撑毕业要求</w:t>
            </w:r>
            <w:r>
              <w:rPr>
                <w:rFonts w:ascii="仿宋" w:hAnsi="仿宋" w:eastAsia="仿宋" w:cs="仿宋"/>
                <w:color w:val="000000"/>
                <w:kern w:val="0"/>
                <w:sz w:val="24"/>
                <w:szCs w:val="24"/>
              </w:rPr>
              <w:t>6</w:t>
            </w:r>
            <w:r>
              <w:rPr>
                <w:rFonts w:hint="eastAsia" w:ascii="仿宋" w:hAnsi="仿宋" w:eastAsia="仿宋" w:cs="仿宋"/>
                <w:color w:val="000000"/>
                <w:kern w:val="0"/>
                <w:sz w:val="24"/>
                <w:szCs w:val="24"/>
                <w:lang w:val="en-US" w:eastAsia="en-US"/>
              </w:rPr>
              <w:t>.</w:t>
            </w:r>
            <w:r>
              <w:rPr>
                <w:rFonts w:ascii="仿宋" w:hAnsi="仿宋" w:eastAsia="仿宋" w:cs="仿宋"/>
                <w:color w:val="000000"/>
                <w:kern w:val="0"/>
                <w:sz w:val="24"/>
                <w:szCs w:val="24"/>
                <w:lang w:eastAsia="en-US"/>
              </w:rPr>
              <w:t>2</w:t>
            </w:r>
            <w:r>
              <w:rPr>
                <w:rFonts w:hint="eastAsia" w:ascii="仿宋" w:hAnsi="仿宋" w:eastAsia="仿宋" w:cs="仿宋"/>
                <w:color w:val="000000"/>
                <w:sz w:val="24"/>
                <w:szCs w:val="24"/>
              </w:rPr>
              <w:t>）</w:t>
            </w:r>
          </w:p>
        </w:tc>
      </w:tr>
      <w:tr w14:paraId="0875E7BE">
        <w:trPr>
          <w:gridAfter w:val="2"/>
          <w:trHeight w:val="680" w:hRule="atLeast"/>
        </w:trPr>
        <w:tc>
          <w:tcPr>
            <w:tcW w:w="1376" w:type="dxa"/>
            <w:vMerge w:val="continue"/>
            <w:shd w:val="clear" w:color="auto" w:fill="FFFFFF"/>
            <w:vAlign w:val="center"/>
          </w:tcPr>
          <w:p w14:paraId="066E08F1">
            <w:pPr>
              <w:pageBreakBefore w:val="0"/>
              <w:kinsoku/>
              <w:overflowPunct/>
              <w:topLinePunct w:val="0"/>
              <w:bidi w:val="0"/>
              <w:spacing w:line="240" w:lineRule="auto"/>
              <w:jc w:val="center"/>
              <w:rPr>
                <w:rFonts w:hint="eastAsia" w:ascii="仿宋" w:hAnsi="仿宋" w:eastAsia="仿宋" w:cs="仿宋"/>
                <w:color w:val="000000"/>
                <w:sz w:val="24"/>
                <w:szCs w:val="24"/>
              </w:rPr>
            </w:pPr>
          </w:p>
        </w:tc>
        <w:tc>
          <w:tcPr>
            <w:tcW w:w="1252" w:type="dxa"/>
            <w:tcBorders>
              <w:bottom w:val="single" w:color="auto" w:sz="4" w:space="0"/>
            </w:tcBorders>
            <w:shd w:val="clear" w:color="auto" w:fill="FFFFFF"/>
            <w:vAlign w:val="center"/>
          </w:tcPr>
          <w:p w14:paraId="38B95C48">
            <w:pPr>
              <w:pageBreakBefore w:val="0"/>
              <w:kinsoku/>
              <w:overflowPunct/>
              <w:topLinePunct w:val="0"/>
              <w:bidi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w:t>
            </w:r>
          </w:p>
        </w:tc>
        <w:tc>
          <w:tcPr>
            <w:tcW w:w="4905" w:type="dxa"/>
            <w:gridSpan w:val="7"/>
            <w:tcBorders>
              <w:bottom w:val="single" w:color="auto" w:sz="4" w:space="0"/>
            </w:tcBorders>
            <w:shd w:val="clear" w:color="auto" w:fill="FFFFFF"/>
            <w:vAlign w:val="center"/>
          </w:tcPr>
          <w:p w14:paraId="0412A7F9">
            <w:pPr>
              <w:pageBreakBefore w:val="0"/>
              <w:kinsoku/>
              <w:overflowPunct/>
              <w:topLinePunct w:val="0"/>
              <w:bidi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毕业要求分解指标点</w:t>
            </w:r>
          </w:p>
        </w:tc>
        <w:tc>
          <w:tcPr>
            <w:tcW w:w="1615" w:type="dxa"/>
            <w:gridSpan w:val="5"/>
            <w:tcBorders>
              <w:bottom w:val="single" w:color="auto" w:sz="4" w:space="0"/>
            </w:tcBorders>
            <w:shd w:val="clear" w:color="auto" w:fill="FFFFFF"/>
            <w:vAlign w:val="center"/>
          </w:tcPr>
          <w:p w14:paraId="3964C056">
            <w:pPr>
              <w:pageBreakBefore w:val="0"/>
              <w:kinsoku/>
              <w:overflowPunct/>
              <w:topLinePunct w:val="0"/>
              <w:bidi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毕业要求</w:t>
            </w:r>
          </w:p>
        </w:tc>
      </w:tr>
      <w:tr w14:paraId="0BCFDE3A">
        <w:trPr>
          <w:gridAfter w:val="2"/>
          <w:trHeight w:val="680" w:hRule="atLeast"/>
        </w:trPr>
        <w:tc>
          <w:tcPr>
            <w:tcW w:w="1376" w:type="dxa"/>
            <w:vMerge w:val="continue"/>
            <w:shd w:val="clear" w:color="auto" w:fill="FFFFFF"/>
            <w:vAlign w:val="center"/>
          </w:tcPr>
          <w:p w14:paraId="14007E79">
            <w:pPr>
              <w:pageBreakBefore w:val="0"/>
              <w:kinsoku/>
              <w:overflowPunct/>
              <w:topLinePunct w:val="0"/>
              <w:bidi w:val="0"/>
              <w:spacing w:line="240" w:lineRule="auto"/>
              <w:jc w:val="center"/>
              <w:rPr>
                <w:rFonts w:hint="eastAsia" w:ascii="仿宋" w:hAnsi="仿宋" w:eastAsia="仿宋" w:cs="仿宋"/>
                <w:color w:val="000000"/>
                <w:sz w:val="24"/>
                <w:szCs w:val="24"/>
              </w:rPr>
            </w:pPr>
          </w:p>
        </w:tc>
        <w:tc>
          <w:tcPr>
            <w:tcW w:w="1252" w:type="dxa"/>
            <w:tcBorders>
              <w:bottom w:val="single" w:color="auto" w:sz="4" w:space="0"/>
            </w:tcBorders>
            <w:shd w:val="clear" w:color="auto" w:fill="FFFFFF"/>
            <w:vAlign w:val="center"/>
          </w:tcPr>
          <w:p w14:paraId="6883D6E1">
            <w:pPr>
              <w:pageBreakBefore w:val="0"/>
              <w:kinsoku/>
              <w:overflowPunct/>
              <w:topLinePunct w:val="0"/>
              <w:bidi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课程目标1</w:t>
            </w:r>
          </w:p>
          <w:p w14:paraId="0ADB3EFD">
            <w:pPr>
              <w:pageBreakBefore w:val="0"/>
              <w:kinsoku/>
              <w:overflowPunct/>
              <w:topLinePunct w:val="0"/>
              <w:bidi w:val="0"/>
              <w:spacing w:line="240" w:lineRule="auto"/>
              <w:jc w:val="center"/>
              <w:rPr>
                <w:rFonts w:hint="eastAsia" w:ascii="仿宋" w:hAnsi="仿宋" w:eastAsia="仿宋" w:cs="仿宋"/>
                <w:color w:val="000000"/>
                <w:sz w:val="24"/>
                <w:szCs w:val="24"/>
              </w:rPr>
            </w:pPr>
          </w:p>
        </w:tc>
        <w:tc>
          <w:tcPr>
            <w:tcW w:w="4905" w:type="dxa"/>
            <w:gridSpan w:val="7"/>
            <w:shd w:val="clear" w:color="auto" w:fill="FFFFFF"/>
            <w:vAlign w:val="center"/>
          </w:tcPr>
          <w:p w14:paraId="59AB1DAB">
            <w:pPr>
              <w:pageBreakBefore w:val="0"/>
              <w:kinsoku/>
              <w:overflowPunct/>
              <w:topLinePunct w:val="0"/>
              <w:bidi w:val="0"/>
              <w:spacing w:line="240" w:lineRule="auto"/>
              <w:rPr>
                <w:rFonts w:hint="eastAsia" w:ascii="仿宋" w:hAnsi="仿宋" w:eastAsia="仿宋"/>
                <w:color w:val="000000"/>
                <w:sz w:val="24"/>
                <w:szCs w:val="24"/>
                <w:lang w:eastAsia="en-US"/>
              </w:rPr>
            </w:pPr>
            <w:r>
              <w:rPr>
                <w:rStyle w:val="239"/>
                <w:rFonts w:hint="eastAsia" w:ascii="仿宋" w:hAnsi="仿宋" w:eastAsia="仿宋"/>
                <w:color w:val="000000"/>
                <w:sz w:val="24"/>
                <w:szCs w:val="24"/>
                <w:lang w:eastAsia="en-US"/>
              </w:rPr>
              <w:t>3.1【</w:t>
            </w:r>
            <w:r>
              <w:rPr>
                <w:rStyle w:val="239"/>
                <w:rFonts w:hint="eastAsia" w:ascii="仿宋" w:hAnsi="仿宋" w:eastAsia="仿宋"/>
                <w:color w:val="000000"/>
                <w:sz w:val="24"/>
                <w:szCs w:val="24"/>
              </w:rPr>
              <w:t>专业技能】掌握音乐学科技法技能多项基本功，掌握音乐学科基础知识、基本理论、体系结构与思想方法，理解音乐学科的核心素养的内涵，形成音乐学科核心素养。</w:t>
            </w:r>
          </w:p>
        </w:tc>
        <w:tc>
          <w:tcPr>
            <w:tcW w:w="1615" w:type="dxa"/>
            <w:gridSpan w:val="5"/>
            <w:shd w:val="clear" w:color="auto" w:fill="FFFFFF"/>
            <w:vAlign w:val="center"/>
          </w:tcPr>
          <w:p w14:paraId="127231A4">
            <w:pPr>
              <w:pageBreakBefore w:val="0"/>
              <w:kinsoku/>
              <w:overflowPunct/>
              <w:topLinePunct w:val="0"/>
              <w:bidi w:val="0"/>
              <w:spacing w:line="240" w:lineRule="auto"/>
              <w:jc w:val="center"/>
              <w:rPr>
                <w:rFonts w:hint="eastAsia" w:ascii="仿宋" w:hAnsi="仿宋" w:eastAsia="仿宋" w:cs="仿宋"/>
                <w:bCs/>
                <w:color w:val="000000"/>
                <w:sz w:val="24"/>
                <w:szCs w:val="24"/>
                <w:lang w:val="en-US" w:eastAsia="en-US"/>
              </w:rPr>
            </w:pPr>
            <w:r>
              <w:rPr>
                <w:rFonts w:hint="eastAsia" w:ascii="仿宋" w:hAnsi="仿宋" w:eastAsia="仿宋" w:cs="仿宋"/>
                <w:bCs/>
                <w:color w:val="000000"/>
                <w:sz w:val="24"/>
                <w:szCs w:val="24"/>
                <w:lang w:val="en-US" w:eastAsia="en-US"/>
              </w:rPr>
              <w:t>学科素养</w:t>
            </w:r>
          </w:p>
          <w:p w14:paraId="0B5A8196">
            <w:pPr>
              <w:pageBreakBefore w:val="0"/>
              <w:kinsoku/>
              <w:overflowPunct/>
              <w:topLinePunct w:val="0"/>
              <w:bidi w:val="0"/>
              <w:spacing w:line="240" w:lineRule="auto"/>
              <w:jc w:val="center"/>
              <w:rPr>
                <w:rFonts w:hint="eastAsia" w:ascii="仿宋" w:hAnsi="仿宋" w:eastAsia="仿宋" w:cs="仿宋"/>
                <w:bCs/>
                <w:color w:val="000000"/>
                <w:sz w:val="24"/>
                <w:szCs w:val="24"/>
                <w:lang w:val="en-US" w:eastAsia="en-US"/>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en-US"/>
              </w:rPr>
              <w:t>M）</w:t>
            </w:r>
          </w:p>
        </w:tc>
      </w:tr>
      <w:tr w14:paraId="153075AE">
        <w:trPr>
          <w:gridAfter w:val="2"/>
          <w:trHeight w:val="680" w:hRule="atLeast"/>
        </w:trPr>
        <w:tc>
          <w:tcPr>
            <w:tcW w:w="1376" w:type="dxa"/>
            <w:vMerge w:val="continue"/>
            <w:shd w:val="clear" w:color="auto" w:fill="FFFFFF"/>
            <w:vAlign w:val="center"/>
          </w:tcPr>
          <w:p w14:paraId="66F21111">
            <w:pPr>
              <w:pageBreakBefore w:val="0"/>
              <w:kinsoku/>
              <w:overflowPunct/>
              <w:topLinePunct w:val="0"/>
              <w:bidi w:val="0"/>
              <w:spacing w:line="240" w:lineRule="auto"/>
              <w:jc w:val="center"/>
              <w:rPr>
                <w:rFonts w:hint="eastAsia" w:ascii="仿宋" w:hAnsi="仿宋" w:eastAsia="仿宋" w:cs="仿宋"/>
                <w:color w:val="000000"/>
                <w:sz w:val="24"/>
                <w:szCs w:val="24"/>
              </w:rPr>
            </w:pPr>
          </w:p>
        </w:tc>
        <w:tc>
          <w:tcPr>
            <w:tcW w:w="1252" w:type="dxa"/>
            <w:shd w:val="clear" w:color="auto" w:fill="FFFFFF"/>
            <w:vAlign w:val="center"/>
          </w:tcPr>
          <w:p w14:paraId="35127EFA">
            <w:pPr>
              <w:pageBreakBefore w:val="0"/>
              <w:kinsoku/>
              <w:overflowPunct/>
              <w:topLinePunct w:val="0"/>
              <w:bidi w:val="0"/>
              <w:spacing w:line="240" w:lineRule="auto"/>
              <w:jc w:val="center"/>
              <w:rPr>
                <w:rFonts w:ascii="仿宋" w:hAnsi="仿宋" w:eastAsia="仿宋" w:cs="仿宋"/>
                <w:color w:val="000000"/>
                <w:sz w:val="24"/>
                <w:szCs w:val="24"/>
              </w:rPr>
            </w:pPr>
            <w:r>
              <w:rPr>
                <w:rFonts w:hint="eastAsia" w:ascii="仿宋" w:hAnsi="仿宋" w:eastAsia="仿宋" w:cs="仿宋"/>
                <w:color w:val="000000"/>
                <w:sz w:val="24"/>
                <w:szCs w:val="24"/>
              </w:rPr>
              <w:t>课程目标</w:t>
            </w:r>
            <w:r>
              <w:rPr>
                <w:rFonts w:ascii="仿宋" w:hAnsi="仿宋" w:eastAsia="仿宋" w:cs="仿宋"/>
                <w:color w:val="000000"/>
                <w:sz w:val="24"/>
                <w:szCs w:val="24"/>
              </w:rPr>
              <w:t>2</w:t>
            </w:r>
          </w:p>
          <w:p w14:paraId="572D170D">
            <w:pPr>
              <w:pageBreakBefore w:val="0"/>
              <w:kinsoku/>
              <w:overflowPunct/>
              <w:topLinePunct w:val="0"/>
              <w:bidi w:val="0"/>
              <w:spacing w:line="240" w:lineRule="auto"/>
              <w:jc w:val="center"/>
              <w:rPr>
                <w:rFonts w:hint="eastAsia" w:ascii="仿宋" w:hAnsi="仿宋" w:eastAsia="仿宋" w:cs="仿宋"/>
                <w:color w:val="000000"/>
                <w:sz w:val="24"/>
                <w:szCs w:val="24"/>
                <w:lang w:eastAsia="en-US"/>
              </w:rPr>
            </w:pPr>
          </w:p>
        </w:tc>
        <w:tc>
          <w:tcPr>
            <w:tcW w:w="4905" w:type="dxa"/>
            <w:gridSpan w:val="7"/>
            <w:shd w:val="clear" w:color="auto" w:fill="FFFFFF"/>
            <w:vAlign w:val="center"/>
          </w:tcPr>
          <w:p w14:paraId="0BCB4D38">
            <w:pPr>
              <w:pageBreakBefore w:val="0"/>
              <w:kinsoku/>
              <w:overflowPunct/>
              <w:topLinePunct w:val="0"/>
              <w:bidi w:val="0"/>
              <w:spacing w:line="240" w:lineRule="auto"/>
              <w:rPr>
                <w:rFonts w:hint="eastAsia" w:ascii="仿宋" w:hAnsi="仿宋" w:eastAsia="仿宋"/>
                <w:color w:val="000000"/>
                <w:sz w:val="24"/>
                <w:szCs w:val="24"/>
                <w:lang w:eastAsia="en-US"/>
              </w:rPr>
            </w:pPr>
            <w:r>
              <w:rPr>
                <w:rStyle w:val="239"/>
                <w:rFonts w:hint="eastAsia" w:ascii="仿宋" w:hAnsi="仿宋" w:eastAsia="仿宋"/>
                <w:color w:val="000000"/>
                <w:sz w:val="24"/>
                <w:szCs w:val="24"/>
              </w:rPr>
              <w:t>4</w:t>
            </w:r>
            <w:r>
              <w:rPr>
                <w:rStyle w:val="239"/>
                <w:rFonts w:hint="eastAsia" w:ascii="仿宋" w:hAnsi="仿宋" w:eastAsia="仿宋"/>
                <w:color w:val="000000"/>
                <w:sz w:val="24"/>
                <w:szCs w:val="24"/>
                <w:lang w:val="en-US" w:eastAsia="en-US"/>
              </w:rPr>
              <w:t>.</w:t>
            </w:r>
            <w:r>
              <w:rPr>
                <w:rStyle w:val="239"/>
                <w:rFonts w:ascii="仿宋" w:hAnsi="仿宋" w:eastAsia="仿宋"/>
                <w:color w:val="000000"/>
                <w:sz w:val="24"/>
                <w:szCs w:val="24"/>
                <w:lang w:eastAsia="en-US"/>
              </w:rPr>
              <w:t>3</w:t>
            </w:r>
            <w:r>
              <w:rPr>
                <w:rStyle w:val="239"/>
                <w:rFonts w:hint="eastAsia" w:ascii="仿宋" w:hAnsi="仿宋" w:eastAsia="仿宋"/>
                <w:color w:val="000000"/>
                <w:sz w:val="24"/>
                <w:szCs w:val="24"/>
              </w:rPr>
              <w:t>【传统文化传承】具有传承传统音乐舞蹈文化的意识，能够运用传统音乐舞蹈文化资源进行课堂教学和开展课外音乐舞蹈活动。</w:t>
            </w:r>
          </w:p>
        </w:tc>
        <w:tc>
          <w:tcPr>
            <w:tcW w:w="1615" w:type="dxa"/>
            <w:gridSpan w:val="5"/>
            <w:shd w:val="clear" w:color="auto" w:fill="FFFFFF"/>
            <w:vAlign w:val="center"/>
          </w:tcPr>
          <w:p w14:paraId="3C83A021">
            <w:pPr>
              <w:pageBreakBefore w:val="0"/>
              <w:kinsoku/>
              <w:overflowPunct/>
              <w:topLinePunct w:val="0"/>
              <w:bidi w:val="0"/>
              <w:spacing w:line="240" w:lineRule="auto"/>
              <w:jc w:val="center"/>
              <w:rPr>
                <w:rFonts w:hint="eastAsia" w:ascii="仿宋" w:hAnsi="仿宋" w:eastAsia="仿宋" w:cs="仿宋"/>
                <w:color w:val="000000"/>
                <w:sz w:val="24"/>
                <w:szCs w:val="24"/>
                <w:lang w:val="en-US" w:eastAsia="en-US"/>
              </w:rPr>
            </w:pPr>
            <w:r>
              <w:rPr>
                <w:rFonts w:hint="eastAsia" w:ascii="仿宋" w:hAnsi="仿宋" w:eastAsia="仿宋" w:cs="仿宋"/>
                <w:color w:val="000000"/>
                <w:sz w:val="24"/>
                <w:szCs w:val="24"/>
                <w:lang w:val="en-US" w:eastAsia="en-US"/>
              </w:rPr>
              <w:t>教学能力</w:t>
            </w:r>
          </w:p>
          <w:p w14:paraId="15765CDC">
            <w:pPr>
              <w:pageBreakBefore w:val="0"/>
              <w:kinsoku/>
              <w:overflowPunct/>
              <w:topLinePunct w:val="0"/>
              <w:bidi w:val="0"/>
              <w:spacing w:line="240" w:lineRule="auto"/>
              <w:jc w:val="center"/>
              <w:rPr>
                <w:rFonts w:hint="eastAsia" w:ascii="仿宋" w:hAnsi="仿宋" w:eastAsia="仿宋" w:cs="仿宋"/>
                <w:color w:val="000000"/>
                <w:sz w:val="24"/>
                <w:szCs w:val="24"/>
                <w:lang w:val="en-US" w:eastAsia="en-US"/>
              </w:rPr>
            </w:pPr>
            <w:r>
              <w:rPr>
                <w:rFonts w:hint="eastAsia" w:ascii="仿宋" w:hAnsi="仿宋" w:eastAsia="仿宋" w:cs="仿宋"/>
                <w:color w:val="000000"/>
                <w:sz w:val="24"/>
                <w:szCs w:val="24"/>
                <w:lang w:eastAsia="en-US"/>
              </w:rPr>
              <w:t>（</w:t>
            </w:r>
            <w:r>
              <w:rPr>
                <w:rFonts w:hint="eastAsia" w:ascii="仿宋" w:hAnsi="仿宋" w:eastAsia="仿宋" w:cs="仿宋"/>
                <w:color w:val="000000"/>
                <w:sz w:val="24"/>
                <w:szCs w:val="24"/>
                <w:lang w:val="en-US" w:eastAsia="en-US"/>
              </w:rPr>
              <w:t>H）</w:t>
            </w:r>
          </w:p>
        </w:tc>
      </w:tr>
      <w:tr w14:paraId="46847A58">
        <w:trPr>
          <w:gridAfter w:val="2"/>
          <w:trHeight w:val="680" w:hRule="atLeast"/>
        </w:trPr>
        <w:tc>
          <w:tcPr>
            <w:tcW w:w="1376" w:type="dxa"/>
            <w:vMerge w:val="continue"/>
            <w:shd w:val="clear" w:color="auto" w:fill="FFFFFF"/>
            <w:vAlign w:val="center"/>
          </w:tcPr>
          <w:p w14:paraId="5A6514D7">
            <w:pPr>
              <w:pageBreakBefore w:val="0"/>
              <w:kinsoku/>
              <w:overflowPunct/>
              <w:topLinePunct w:val="0"/>
              <w:bidi w:val="0"/>
              <w:spacing w:line="240" w:lineRule="auto"/>
              <w:jc w:val="center"/>
              <w:rPr>
                <w:rFonts w:hint="eastAsia" w:ascii="仿宋" w:hAnsi="仿宋" w:eastAsia="仿宋" w:cs="仿宋"/>
                <w:color w:val="000000"/>
                <w:sz w:val="24"/>
                <w:szCs w:val="24"/>
              </w:rPr>
            </w:pPr>
          </w:p>
        </w:tc>
        <w:tc>
          <w:tcPr>
            <w:tcW w:w="1252" w:type="dxa"/>
            <w:shd w:val="clear" w:color="auto" w:fill="FFFFFF"/>
            <w:vAlign w:val="center"/>
          </w:tcPr>
          <w:p w14:paraId="6680A3FB">
            <w:pPr>
              <w:pageBreakBefore w:val="0"/>
              <w:kinsoku/>
              <w:overflowPunct/>
              <w:topLinePunct w:val="0"/>
              <w:bidi w:val="0"/>
              <w:spacing w:line="240" w:lineRule="auto"/>
              <w:jc w:val="center"/>
              <w:rPr>
                <w:rFonts w:ascii="仿宋" w:hAnsi="仿宋" w:eastAsia="仿宋" w:cs="仿宋"/>
                <w:color w:val="000000"/>
                <w:sz w:val="24"/>
                <w:szCs w:val="24"/>
              </w:rPr>
            </w:pPr>
            <w:r>
              <w:rPr>
                <w:rFonts w:hint="eastAsia" w:ascii="仿宋" w:hAnsi="仿宋" w:eastAsia="仿宋" w:cs="仿宋"/>
                <w:color w:val="000000"/>
                <w:sz w:val="24"/>
                <w:szCs w:val="24"/>
              </w:rPr>
              <w:t>课程目标</w:t>
            </w:r>
            <w:r>
              <w:rPr>
                <w:rFonts w:ascii="仿宋" w:hAnsi="仿宋" w:eastAsia="仿宋" w:cs="仿宋"/>
                <w:color w:val="000000"/>
                <w:sz w:val="24"/>
                <w:szCs w:val="24"/>
              </w:rPr>
              <w:t>3</w:t>
            </w:r>
          </w:p>
          <w:p w14:paraId="00B94388">
            <w:pPr>
              <w:pageBreakBefore w:val="0"/>
              <w:kinsoku/>
              <w:overflowPunct/>
              <w:topLinePunct w:val="0"/>
              <w:bidi w:val="0"/>
              <w:spacing w:line="240" w:lineRule="auto"/>
              <w:jc w:val="center"/>
              <w:rPr>
                <w:rFonts w:hint="eastAsia" w:ascii="仿宋" w:hAnsi="仿宋" w:eastAsia="仿宋" w:cs="仿宋"/>
                <w:color w:val="000000"/>
                <w:sz w:val="24"/>
                <w:szCs w:val="24"/>
                <w:lang w:eastAsia="en-US"/>
              </w:rPr>
            </w:pPr>
          </w:p>
        </w:tc>
        <w:tc>
          <w:tcPr>
            <w:tcW w:w="4905" w:type="dxa"/>
            <w:gridSpan w:val="7"/>
            <w:shd w:val="clear" w:color="auto" w:fill="FFFFFF"/>
            <w:vAlign w:val="center"/>
          </w:tcPr>
          <w:p w14:paraId="2B83A7A1">
            <w:pPr>
              <w:pageBreakBefore w:val="0"/>
              <w:kinsoku/>
              <w:overflowPunct/>
              <w:topLinePunct w:val="0"/>
              <w:bidi w:val="0"/>
              <w:spacing w:line="240" w:lineRule="auto"/>
              <w:rPr>
                <w:rFonts w:hint="eastAsia" w:ascii="仿宋" w:hAnsi="仿宋" w:eastAsia="仿宋"/>
                <w:color w:val="000000"/>
                <w:sz w:val="24"/>
                <w:szCs w:val="24"/>
              </w:rPr>
            </w:pPr>
            <w:r>
              <w:rPr>
                <w:rStyle w:val="239"/>
                <w:rFonts w:hint="eastAsia" w:ascii="仿宋" w:hAnsi="仿宋" w:eastAsia="仿宋"/>
                <w:color w:val="000000"/>
                <w:sz w:val="24"/>
                <w:szCs w:val="24"/>
              </w:rPr>
              <w:t>6.</w:t>
            </w:r>
            <w:r>
              <w:rPr>
                <w:rStyle w:val="239"/>
                <w:rFonts w:ascii="仿宋" w:hAnsi="仿宋" w:eastAsia="仿宋"/>
                <w:color w:val="000000"/>
                <w:sz w:val="24"/>
                <w:szCs w:val="24"/>
              </w:rPr>
              <w:t>2</w:t>
            </w:r>
            <w:r>
              <w:rPr>
                <w:rStyle w:val="239"/>
                <w:rFonts w:hint="eastAsia" w:ascii="仿宋" w:hAnsi="仿宋" w:eastAsia="仿宋"/>
                <w:color w:val="000000"/>
                <w:sz w:val="24"/>
                <w:szCs w:val="24"/>
              </w:rPr>
              <w:t>【育人</w:t>
            </w:r>
            <w:r>
              <w:rPr>
                <w:rStyle w:val="239"/>
                <w:rFonts w:hint="eastAsia" w:ascii="仿宋" w:hAnsi="仿宋" w:eastAsia="仿宋"/>
                <w:color w:val="000000"/>
                <w:sz w:val="24"/>
                <w:szCs w:val="24"/>
                <w:lang w:val="en-US" w:eastAsia="en-US"/>
              </w:rPr>
              <w:t>实践</w:t>
            </w:r>
            <w:r>
              <w:rPr>
                <w:rStyle w:val="239"/>
                <w:rFonts w:hint="eastAsia" w:ascii="仿宋" w:hAnsi="仿宋" w:eastAsia="仿宋"/>
                <w:color w:val="000000"/>
                <w:sz w:val="24"/>
                <w:szCs w:val="24"/>
              </w:rPr>
              <w:t>】掌握综合育人的规律和方法，能够运用课堂教学、班级管理、学生活动等方式开展综合育人活动，对学生进行系统教育和积极引导。</w:t>
            </w:r>
          </w:p>
        </w:tc>
        <w:tc>
          <w:tcPr>
            <w:tcW w:w="1615" w:type="dxa"/>
            <w:gridSpan w:val="5"/>
            <w:shd w:val="clear" w:color="auto" w:fill="FFFFFF"/>
            <w:vAlign w:val="center"/>
          </w:tcPr>
          <w:p w14:paraId="5ECBB497">
            <w:pPr>
              <w:pageBreakBefore w:val="0"/>
              <w:kinsoku/>
              <w:overflowPunct/>
              <w:topLinePunct w:val="0"/>
              <w:bidi w:val="0"/>
              <w:spacing w:line="240" w:lineRule="auto"/>
              <w:jc w:val="center"/>
              <w:rPr>
                <w:rFonts w:hint="eastAsia" w:ascii="仿宋" w:hAnsi="仿宋" w:eastAsia="仿宋" w:cs="仿宋"/>
                <w:color w:val="000000"/>
                <w:sz w:val="24"/>
                <w:szCs w:val="24"/>
                <w:lang w:val="en-US" w:eastAsia="en-US"/>
              </w:rPr>
            </w:pPr>
            <w:r>
              <w:rPr>
                <w:rFonts w:hint="eastAsia" w:ascii="仿宋" w:hAnsi="仿宋" w:eastAsia="仿宋" w:cs="仿宋"/>
                <w:color w:val="000000"/>
                <w:sz w:val="24"/>
                <w:szCs w:val="24"/>
                <w:lang w:val="en-US" w:eastAsia="en-US"/>
              </w:rPr>
              <w:t>综合育人</w:t>
            </w:r>
          </w:p>
          <w:p w14:paraId="55EB0691">
            <w:pPr>
              <w:pageBreakBefore w:val="0"/>
              <w:kinsoku/>
              <w:overflowPunct/>
              <w:topLinePunct w:val="0"/>
              <w:bidi w:val="0"/>
              <w:spacing w:line="240" w:lineRule="auto"/>
              <w:jc w:val="center"/>
              <w:rPr>
                <w:rFonts w:hint="eastAsia" w:ascii="仿宋" w:hAnsi="仿宋" w:eastAsia="仿宋" w:cs="仿宋"/>
                <w:color w:val="000000"/>
                <w:sz w:val="24"/>
                <w:szCs w:val="24"/>
                <w:lang w:val="en-US" w:eastAsia="en-US"/>
              </w:rPr>
            </w:pPr>
            <w:r>
              <w:rPr>
                <w:rFonts w:hint="eastAsia" w:ascii="仿宋" w:hAnsi="仿宋" w:eastAsia="仿宋" w:cs="仿宋"/>
                <w:color w:val="000000"/>
                <w:sz w:val="24"/>
                <w:szCs w:val="24"/>
                <w:lang w:eastAsia="en-US"/>
              </w:rPr>
              <w:t>（</w:t>
            </w:r>
            <w:r>
              <w:rPr>
                <w:rFonts w:hint="eastAsia" w:ascii="仿宋" w:hAnsi="仿宋" w:eastAsia="仿宋" w:cs="仿宋"/>
                <w:color w:val="000000"/>
                <w:sz w:val="24"/>
                <w:szCs w:val="24"/>
                <w:lang w:val="en-US" w:eastAsia="zh-CN"/>
              </w:rPr>
              <w:t>L</w:t>
            </w:r>
            <w:r>
              <w:rPr>
                <w:rFonts w:hint="eastAsia" w:ascii="仿宋" w:hAnsi="仿宋" w:eastAsia="仿宋" w:cs="仿宋"/>
                <w:color w:val="000000"/>
                <w:sz w:val="24"/>
                <w:szCs w:val="24"/>
                <w:lang w:val="en-US" w:eastAsia="en-US"/>
              </w:rPr>
              <w:t>）</w:t>
            </w:r>
          </w:p>
        </w:tc>
      </w:tr>
      <w:tr w14:paraId="0671B5EA">
        <w:trPr>
          <w:gridAfter w:val="2"/>
          <w:trHeight w:val="680" w:hRule="atLeast"/>
        </w:trPr>
        <w:tc>
          <w:tcPr>
            <w:tcW w:w="1376" w:type="dxa"/>
            <w:vMerge w:val="restart"/>
            <w:shd w:val="clear" w:color="auto" w:fill="FFFFFF"/>
            <w:vAlign w:val="center"/>
          </w:tcPr>
          <w:p w14:paraId="4C80F88B">
            <w:pPr>
              <w:pageBreakBefore w:val="0"/>
              <w:kinsoku/>
              <w:overflowPunct/>
              <w:topLinePunct w:val="0"/>
              <w:bidi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G</w:t>
            </w:r>
          </w:p>
          <w:p w14:paraId="5C92211F">
            <w:pPr>
              <w:pageBreakBefore w:val="0"/>
              <w:kinsoku/>
              <w:overflowPunct/>
              <w:topLinePunct w:val="0"/>
              <w:bidi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实验（实训）内容</w:t>
            </w:r>
          </w:p>
        </w:tc>
        <w:tc>
          <w:tcPr>
            <w:tcW w:w="6157" w:type="dxa"/>
            <w:gridSpan w:val="8"/>
            <w:vAlign w:val="center"/>
          </w:tcPr>
          <w:p w14:paraId="2F5695B5">
            <w:pPr>
              <w:pageBreakBefore w:val="0"/>
              <w:kinsoku/>
              <w:overflowPunct/>
              <w:topLinePunct w:val="0"/>
              <w:bidi w:val="0"/>
              <w:spacing w:line="240"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实训内容及训练要求</w:t>
            </w:r>
          </w:p>
        </w:tc>
        <w:tc>
          <w:tcPr>
            <w:tcW w:w="1020" w:type="dxa"/>
            <w:gridSpan w:val="3"/>
            <w:vAlign w:val="center"/>
          </w:tcPr>
          <w:p w14:paraId="621772A6">
            <w:pPr>
              <w:pageBreakBefore w:val="0"/>
              <w:kinsoku/>
              <w:overflowPunct/>
              <w:topLinePunct w:val="0"/>
              <w:bidi w:val="0"/>
              <w:spacing w:line="240"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支撑课程</w:t>
            </w:r>
          </w:p>
          <w:p w14:paraId="7EB2422C">
            <w:pPr>
              <w:pageBreakBefore w:val="0"/>
              <w:kinsoku/>
              <w:overflowPunct/>
              <w:topLinePunct w:val="0"/>
              <w:bidi w:val="0"/>
              <w:spacing w:line="240"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目标</w:t>
            </w:r>
          </w:p>
        </w:tc>
        <w:tc>
          <w:tcPr>
            <w:tcW w:w="595" w:type="dxa"/>
            <w:gridSpan w:val="2"/>
            <w:shd w:val="clear" w:color="auto" w:fill="FFFFFF"/>
            <w:vAlign w:val="center"/>
          </w:tcPr>
          <w:p w14:paraId="5057B2DB">
            <w:pPr>
              <w:pageBreakBefore w:val="0"/>
              <w:kinsoku/>
              <w:overflowPunct/>
              <w:topLinePunct w:val="0"/>
              <w:bidi w:val="0"/>
              <w:spacing w:line="240" w:lineRule="auto"/>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 xml:space="preserve">学时 </w:t>
            </w:r>
          </w:p>
          <w:p w14:paraId="2EEE6351">
            <w:pPr>
              <w:pageBreakBefore w:val="0"/>
              <w:kinsoku/>
              <w:overflowPunct/>
              <w:topLinePunct w:val="0"/>
              <w:bidi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rPr>
              <w:t>分配</w:t>
            </w:r>
          </w:p>
        </w:tc>
      </w:tr>
      <w:tr w14:paraId="56A96394">
        <w:trPr>
          <w:gridAfter w:val="2"/>
          <w:trHeight w:val="680" w:hRule="atLeast"/>
        </w:trPr>
        <w:tc>
          <w:tcPr>
            <w:tcW w:w="1376" w:type="dxa"/>
            <w:vMerge w:val="continue"/>
            <w:shd w:val="clear" w:color="auto" w:fill="FFFFFF"/>
            <w:vAlign w:val="center"/>
          </w:tcPr>
          <w:p w14:paraId="0B36B47C">
            <w:pPr>
              <w:pageBreakBefore w:val="0"/>
              <w:kinsoku/>
              <w:overflowPunct/>
              <w:topLinePunct w:val="0"/>
              <w:bidi w:val="0"/>
              <w:spacing w:line="240" w:lineRule="auto"/>
              <w:jc w:val="center"/>
              <w:rPr>
                <w:rFonts w:hint="eastAsia" w:ascii="仿宋" w:hAnsi="仿宋" w:eastAsia="仿宋" w:cs="仿宋"/>
                <w:color w:val="000000"/>
                <w:sz w:val="24"/>
                <w:szCs w:val="24"/>
              </w:rPr>
            </w:pPr>
          </w:p>
        </w:tc>
        <w:tc>
          <w:tcPr>
            <w:tcW w:w="6157" w:type="dxa"/>
            <w:gridSpan w:val="8"/>
            <w:vAlign w:val="top"/>
          </w:tcPr>
          <w:p w14:paraId="45DD0257">
            <w:pPr>
              <w:pageBreakBefore w:val="0"/>
              <w:kinsoku/>
              <w:overflowPunct/>
              <w:topLinePunct w:val="0"/>
              <w:bidi w:val="0"/>
              <w:spacing w:line="240" w:lineRule="auto"/>
              <w:rPr>
                <w:rFonts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训练模块一</w:t>
            </w:r>
            <w:r>
              <w:rPr>
                <w:rFonts w:hint="eastAsia" w:ascii="仿宋" w:hAnsi="仿宋" w:eastAsia="仿宋" w:cs="仿宋"/>
                <w:color w:val="000000"/>
                <w:kern w:val="0"/>
                <w:sz w:val="24"/>
                <w:szCs w:val="24"/>
                <w:lang w:val="en-US" w:eastAsia="en-US"/>
              </w:rPr>
              <w:t>：藏族民间舞</w:t>
            </w:r>
            <w:r>
              <w:rPr>
                <w:rFonts w:hint="eastAsia" w:ascii="仿宋" w:hAnsi="仿宋" w:eastAsia="仿宋" w:cs="仿宋"/>
                <w:color w:val="000000"/>
                <w:kern w:val="0"/>
                <w:sz w:val="24"/>
                <w:szCs w:val="24"/>
                <w:lang w:val="en-US" w:eastAsia="zh-CN"/>
              </w:rPr>
              <w:t>（第一学期）</w:t>
            </w:r>
          </w:p>
          <w:p w14:paraId="18DAB59B">
            <w:pPr>
              <w:pageBreakBefore w:val="0"/>
              <w:kinsoku/>
              <w:overflowPunct/>
              <w:topLinePunct w:val="0"/>
              <w:bidi w:val="0"/>
              <w:spacing w:line="240" w:lineRule="auto"/>
              <w:rPr>
                <w:rFonts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实训目的</w:t>
            </w:r>
            <w:r>
              <w:rPr>
                <w:rFonts w:hint="eastAsia" w:ascii="仿宋" w:hAnsi="仿宋" w:eastAsia="仿宋" w:cs="仿宋"/>
                <w:color w:val="000000"/>
                <w:kern w:val="0"/>
                <w:sz w:val="24"/>
                <w:szCs w:val="24"/>
                <w:lang w:val="en-US" w:eastAsia="en-US"/>
              </w:rPr>
              <w:t>：</w:t>
            </w:r>
            <w:r>
              <w:rPr>
                <w:rFonts w:hint="eastAsia" w:ascii="仿宋" w:hAnsi="仿宋" w:eastAsia="仿宋" w:cs="仿宋"/>
                <w:color w:val="000000"/>
                <w:kern w:val="0"/>
                <w:sz w:val="24"/>
                <w:szCs w:val="24"/>
                <w:lang w:val="en-US" w:eastAsia="zh-CN"/>
              </w:rPr>
              <w:t>规范藏族舞训练要求增强身体协调能力。</w:t>
            </w:r>
          </w:p>
          <w:p w14:paraId="52755986">
            <w:pPr>
              <w:pageBreakBefore w:val="0"/>
              <w:kinsoku/>
              <w:overflowPunct/>
              <w:topLinePunct w:val="0"/>
              <w:bidi w:val="0"/>
              <w:spacing w:line="240" w:lineRule="auto"/>
              <w:rPr>
                <w:rFonts w:hint="eastAsia" w:ascii="仿宋" w:hAnsi="仿宋" w:eastAsia="仿宋" w:cs="仿宋"/>
                <w:color w:val="000000"/>
                <w:kern w:val="0"/>
                <w:sz w:val="24"/>
                <w:szCs w:val="24"/>
                <w:lang w:val="en-US" w:eastAsia="en-US"/>
              </w:rPr>
            </w:pPr>
            <w:r>
              <w:rPr>
                <w:rFonts w:hint="eastAsia" w:ascii="仿宋" w:hAnsi="仿宋" w:eastAsia="仿宋" w:cs="仿宋"/>
                <w:color w:val="000000"/>
                <w:kern w:val="0"/>
                <w:sz w:val="24"/>
                <w:szCs w:val="24"/>
                <w:lang w:val="en-US" w:eastAsia="zh-CN"/>
              </w:rPr>
              <w:t>实训任务：</w:t>
            </w:r>
          </w:p>
          <w:p w14:paraId="6AB697A0">
            <w:pPr>
              <w:pageBreakBefore w:val="0"/>
              <w:kinsoku/>
              <w:overflowPunct/>
              <w:topLinePunct w:val="0"/>
              <w:bidi w:val="0"/>
              <w:spacing w:line="240" w:lineRule="auto"/>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1.知晓</w:t>
            </w:r>
            <w:r>
              <w:rPr>
                <w:rFonts w:hint="eastAsia" w:ascii="仿宋" w:hAnsi="仿宋" w:eastAsia="仿宋" w:cs="仿宋"/>
                <w:color w:val="000000"/>
                <w:kern w:val="0"/>
                <w:sz w:val="24"/>
                <w:szCs w:val="24"/>
                <w:lang w:val="en-US" w:eastAsia="en-US"/>
              </w:rPr>
              <w:t>藏族民间舞蹈的</w:t>
            </w:r>
            <w:r>
              <w:rPr>
                <w:rFonts w:hint="eastAsia" w:ascii="仿宋" w:hAnsi="仿宋" w:eastAsia="仿宋" w:cs="仿宋"/>
                <w:color w:val="000000"/>
                <w:kern w:val="0"/>
                <w:sz w:val="24"/>
                <w:szCs w:val="24"/>
                <w:lang w:val="en-US" w:eastAsia="zh-CN"/>
              </w:rPr>
              <w:t>基本理论</w:t>
            </w:r>
            <w:r>
              <w:rPr>
                <w:rFonts w:hint="eastAsia" w:ascii="仿宋" w:hAnsi="仿宋" w:eastAsia="仿宋" w:cs="仿宋"/>
                <w:color w:val="000000"/>
                <w:kern w:val="0"/>
                <w:sz w:val="24"/>
                <w:szCs w:val="24"/>
                <w:lang w:val="en-US" w:eastAsia="en-US"/>
              </w:rPr>
              <w:t>与风格特征</w:t>
            </w:r>
            <w:r>
              <w:rPr>
                <w:rFonts w:hint="eastAsia" w:ascii="仿宋" w:hAnsi="仿宋" w:eastAsia="仿宋" w:cs="仿宋"/>
                <w:color w:val="000000"/>
                <w:kern w:val="0"/>
                <w:sz w:val="24"/>
                <w:szCs w:val="24"/>
                <w:lang w:val="en-US" w:eastAsia="zh-CN"/>
              </w:rPr>
              <w:t>。</w:t>
            </w:r>
          </w:p>
          <w:p w14:paraId="2A00B5F9">
            <w:pPr>
              <w:pageBreakBefore w:val="0"/>
              <w:kinsoku/>
              <w:overflowPunct/>
              <w:topLinePunct w:val="0"/>
              <w:bidi w:val="0"/>
              <w:spacing w:line="240" w:lineRule="auto"/>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2.学会</w:t>
            </w:r>
            <w:r>
              <w:rPr>
                <w:rFonts w:hint="eastAsia" w:ascii="仿宋" w:hAnsi="仿宋" w:eastAsia="仿宋" w:cs="仿宋"/>
                <w:color w:val="000000"/>
                <w:kern w:val="0"/>
                <w:sz w:val="24"/>
                <w:szCs w:val="24"/>
                <w:lang w:val="en-US" w:eastAsia="en-US"/>
              </w:rPr>
              <w:t>藏族民间舞的基本动律、基本舞姿和表演风格，掌握</w:t>
            </w:r>
            <w:r>
              <w:rPr>
                <w:rFonts w:hint="eastAsia" w:ascii="仿宋" w:hAnsi="仿宋" w:eastAsia="仿宋" w:cs="仿宋"/>
                <w:color w:val="000000"/>
                <w:kern w:val="0"/>
                <w:sz w:val="24"/>
                <w:szCs w:val="24"/>
                <w:lang w:val="en-US" w:eastAsia="zh-CN"/>
              </w:rPr>
              <w:t>藏族舞</w:t>
            </w:r>
            <w:r>
              <w:rPr>
                <w:rFonts w:hint="eastAsia" w:ascii="仿宋" w:hAnsi="仿宋" w:eastAsia="仿宋" w:cs="仿宋"/>
                <w:color w:val="000000"/>
                <w:kern w:val="0"/>
                <w:sz w:val="24"/>
                <w:szCs w:val="24"/>
                <w:lang w:val="en-US" w:eastAsia="en-US"/>
              </w:rPr>
              <w:t>传统审美</w:t>
            </w:r>
            <w:r>
              <w:rPr>
                <w:rFonts w:hint="eastAsia" w:ascii="仿宋" w:hAnsi="仿宋" w:eastAsia="仿宋" w:cs="仿宋"/>
                <w:color w:val="000000"/>
                <w:kern w:val="0"/>
                <w:sz w:val="24"/>
                <w:szCs w:val="24"/>
                <w:lang w:val="en-US" w:eastAsia="zh-CN"/>
              </w:rPr>
              <w:t>。</w:t>
            </w:r>
          </w:p>
          <w:p w14:paraId="5ACAAB80">
            <w:pPr>
              <w:pageBreakBefore w:val="0"/>
              <w:kinsoku/>
              <w:overflowPunct/>
              <w:topLinePunct w:val="0"/>
              <w:bidi w:val="0"/>
              <w:spacing w:line="240" w:lineRule="auto"/>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3.掌握藏族舞基本舞姿</w:t>
            </w:r>
            <w:r>
              <w:rPr>
                <w:rFonts w:hint="eastAsia" w:ascii="仿宋" w:hAnsi="仿宋" w:eastAsia="仿宋" w:cs="仿宋"/>
                <w:color w:val="000000"/>
                <w:kern w:val="0"/>
                <w:sz w:val="24"/>
                <w:szCs w:val="24"/>
                <w:lang w:val="en-US" w:eastAsia="en-US"/>
              </w:rPr>
              <w:t>运用</w:t>
            </w:r>
            <w:r>
              <w:rPr>
                <w:rFonts w:hint="eastAsia" w:ascii="仿宋" w:hAnsi="仿宋" w:eastAsia="仿宋" w:cs="仿宋"/>
                <w:color w:val="000000"/>
                <w:kern w:val="0"/>
                <w:sz w:val="24"/>
                <w:szCs w:val="24"/>
                <w:lang w:val="en-US" w:eastAsia="zh-CN"/>
              </w:rPr>
              <w:t>到</w:t>
            </w:r>
            <w:r>
              <w:rPr>
                <w:rFonts w:hint="eastAsia" w:ascii="仿宋" w:hAnsi="仿宋" w:eastAsia="仿宋" w:cs="仿宋"/>
                <w:color w:val="000000"/>
                <w:kern w:val="0"/>
                <w:sz w:val="24"/>
                <w:szCs w:val="24"/>
                <w:lang w:val="en-US" w:eastAsia="en-US"/>
              </w:rPr>
              <w:t>舞蹈教学与艺术实践当中</w:t>
            </w:r>
            <w:r>
              <w:rPr>
                <w:rFonts w:hint="eastAsia" w:ascii="仿宋" w:hAnsi="仿宋" w:eastAsia="仿宋" w:cs="仿宋"/>
                <w:color w:val="000000"/>
                <w:kern w:val="0"/>
                <w:sz w:val="24"/>
                <w:szCs w:val="24"/>
                <w:lang w:val="en-US" w:eastAsia="zh-CN"/>
              </w:rPr>
              <w:t>。</w:t>
            </w:r>
          </w:p>
          <w:p w14:paraId="64808662">
            <w:pPr>
              <w:pageBreakBefore w:val="0"/>
              <w:kinsoku/>
              <w:overflowPunct/>
              <w:topLinePunct w:val="0"/>
              <w:bidi w:val="0"/>
              <w:spacing w:line="240" w:lineRule="auto"/>
              <w:rPr>
                <w:color w:val="000000"/>
                <w:lang w:val="en-US" w:eastAsia="zh-CN"/>
              </w:rPr>
            </w:pPr>
            <w:r>
              <w:rPr>
                <w:rFonts w:hint="eastAsia" w:ascii="仿宋" w:hAnsi="仿宋" w:eastAsia="仿宋" w:cs="仿宋"/>
                <w:color w:val="000000"/>
                <w:kern w:val="0"/>
                <w:sz w:val="24"/>
                <w:szCs w:val="24"/>
                <w:lang w:val="en-US" w:eastAsia="zh-CN"/>
              </w:rPr>
              <w:t>思政融入：感受藏族人文精神，心怀民族和国家，拓展知识丰富思想增强文化底蕴，培养吃苦耐人严于律己的品质，树立民族自强和文化自信。</w:t>
            </w:r>
          </w:p>
        </w:tc>
        <w:tc>
          <w:tcPr>
            <w:tcW w:w="1020" w:type="dxa"/>
            <w:gridSpan w:val="3"/>
            <w:vAlign w:val="center"/>
          </w:tcPr>
          <w:p w14:paraId="73CA7F8B">
            <w:pPr>
              <w:pageBreakBefore w:val="0"/>
              <w:kinsoku/>
              <w:overflowPunct/>
              <w:topLinePunct w:val="0"/>
              <w:bidi w:val="0"/>
              <w:spacing w:line="240" w:lineRule="auto"/>
              <w:jc w:val="center"/>
              <w:rPr>
                <w:rFonts w:hint="eastAsia" w:ascii="仿宋" w:hAnsi="仿宋" w:eastAsia="仿宋" w:cs="仿宋"/>
                <w:bCs/>
                <w:color w:val="000000"/>
                <w:sz w:val="24"/>
                <w:szCs w:val="24"/>
              </w:rPr>
            </w:pPr>
            <w:r>
              <w:rPr>
                <w:rFonts w:hint="eastAsia" w:ascii="仿宋" w:hAnsi="仿宋" w:eastAsia="仿宋" w:cs="仿宋"/>
                <w:bCs/>
                <w:color w:val="000000"/>
                <w:sz w:val="24"/>
                <w:szCs w:val="24"/>
              </w:rPr>
              <w:t>支撑课程目标1、2、3</w:t>
            </w:r>
          </w:p>
        </w:tc>
        <w:tc>
          <w:tcPr>
            <w:tcW w:w="595" w:type="dxa"/>
            <w:gridSpan w:val="2"/>
            <w:shd w:val="clear" w:color="auto" w:fill="FFFFFF"/>
            <w:vAlign w:val="center"/>
          </w:tcPr>
          <w:p w14:paraId="6B2B1E84">
            <w:pPr>
              <w:pageBreakBefore w:val="0"/>
              <w:kinsoku/>
              <w:overflowPunct/>
              <w:topLinePunct w:val="0"/>
              <w:bidi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16</w:t>
            </w:r>
          </w:p>
        </w:tc>
      </w:tr>
      <w:tr w14:paraId="55E7907A">
        <w:trPr>
          <w:gridAfter w:val="2"/>
          <w:trHeight w:val="680" w:hRule="atLeast"/>
        </w:trPr>
        <w:tc>
          <w:tcPr>
            <w:tcW w:w="1376" w:type="dxa"/>
            <w:vMerge w:val="continue"/>
            <w:shd w:val="clear" w:color="auto" w:fill="FFFFFF"/>
            <w:vAlign w:val="center"/>
          </w:tcPr>
          <w:p w14:paraId="407AA000">
            <w:pPr>
              <w:pageBreakBefore w:val="0"/>
              <w:kinsoku/>
              <w:overflowPunct/>
              <w:topLinePunct w:val="0"/>
              <w:bidi w:val="0"/>
              <w:spacing w:line="240" w:lineRule="auto"/>
              <w:jc w:val="center"/>
              <w:rPr>
                <w:rFonts w:hint="eastAsia" w:ascii="仿宋" w:hAnsi="仿宋" w:eastAsia="仿宋" w:cs="仿宋"/>
                <w:color w:val="000000"/>
                <w:sz w:val="24"/>
                <w:szCs w:val="24"/>
              </w:rPr>
            </w:pPr>
          </w:p>
        </w:tc>
        <w:tc>
          <w:tcPr>
            <w:tcW w:w="6157" w:type="dxa"/>
            <w:gridSpan w:val="8"/>
            <w:vAlign w:val="center"/>
          </w:tcPr>
          <w:p w14:paraId="34E771BA">
            <w:pPr>
              <w:pageBreakBefore w:val="0"/>
              <w:kinsoku/>
              <w:overflowPunct/>
              <w:topLinePunct w:val="0"/>
              <w:bidi w:val="0"/>
              <w:spacing w:line="240" w:lineRule="auto"/>
              <w:rPr>
                <w:rFonts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训练模块</w:t>
            </w:r>
            <w:r>
              <w:rPr>
                <w:rFonts w:hint="eastAsia" w:ascii="仿宋" w:hAnsi="仿宋" w:eastAsia="仿宋" w:cs="仿宋"/>
                <w:color w:val="000000"/>
                <w:kern w:val="0"/>
                <w:sz w:val="24"/>
                <w:szCs w:val="24"/>
                <w:lang w:val="en-US" w:eastAsia="en-US"/>
              </w:rPr>
              <w:t>二</w:t>
            </w:r>
            <w:r>
              <w:rPr>
                <w:rFonts w:hint="eastAsia" w:ascii="仿宋" w:hAnsi="仿宋" w:eastAsia="仿宋" w:cs="仿宋"/>
                <w:color w:val="000000"/>
                <w:kern w:val="0"/>
                <w:sz w:val="24"/>
                <w:szCs w:val="24"/>
                <w:lang w:val="en-US" w:eastAsia="zh-CN"/>
              </w:rPr>
              <w:t>：汉族民间舞（东北秧歌）（第一学期）</w:t>
            </w:r>
          </w:p>
          <w:p w14:paraId="298183BC">
            <w:pPr>
              <w:pageBreakBefore w:val="0"/>
              <w:kinsoku/>
              <w:overflowPunct/>
              <w:topLinePunct w:val="0"/>
              <w:bidi w:val="0"/>
              <w:spacing w:line="240" w:lineRule="auto"/>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实训目的：规范东北秧歌训练要求增强身体协调能力。</w:t>
            </w:r>
          </w:p>
          <w:p w14:paraId="1B52BB2A">
            <w:pPr>
              <w:pageBreakBefore w:val="0"/>
              <w:kinsoku/>
              <w:overflowPunct/>
              <w:topLinePunct w:val="0"/>
              <w:bidi w:val="0"/>
              <w:spacing w:line="240" w:lineRule="auto"/>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实训任务：</w:t>
            </w:r>
          </w:p>
          <w:p w14:paraId="7C83828B">
            <w:pPr>
              <w:pageBreakBefore w:val="0"/>
              <w:kinsoku/>
              <w:overflowPunct/>
              <w:topLinePunct w:val="0"/>
              <w:bidi w:val="0"/>
              <w:spacing w:line="240" w:lineRule="auto"/>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1.知晓东北秧歌舞蹈的基本理论与风格特征。</w:t>
            </w:r>
          </w:p>
          <w:p w14:paraId="1E3F846C">
            <w:pPr>
              <w:pageBreakBefore w:val="0"/>
              <w:kinsoku/>
              <w:overflowPunct/>
              <w:topLinePunct w:val="0"/>
              <w:bidi w:val="0"/>
              <w:spacing w:line="240" w:lineRule="auto"/>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2.学会东北秧歌的基本动律、基本舞姿和表演风格，</w:t>
            </w:r>
            <w:r>
              <w:rPr>
                <w:rFonts w:hint="eastAsia" w:ascii="仿宋" w:hAnsi="仿宋" w:eastAsia="仿宋" w:cs="仿宋"/>
                <w:color w:val="000000"/>
                <w:kern w:val="0"/>
                <w:sz w:val="24"/>
                <w:szCs w:val="24"/>
                <w:lang w:val="en-US" w:eastAsia="en-US"/>
              </w:rPr>
              <w:t>掌握该民族传统审美</w:t>
            </w:r>
            <w:r>
              <w:rPr>
                <w:rFonts w:hint="eastAsia" w:ascii="仿宋" w:hAnsi="仿宋" w:eastAsia="仿宋" w:cs="仿宋"/>
                <w:color w:val="000000"/>
                <w:kern w:val="0"/>
                <w:sz w:val="24"/>
                <w:szCs w:val="24"/>
                <w:lang w:val="en-US" w:eastAsia="zh-CN"/>
              </w:rPr>
              <w:t>。</w:t>
            </w:r>
          </w:p>
          <w:p w14:paraId="09A40CD6">
            <w:pPr>
              <w:pageBreakBefore w:val="0"/>
              <w:kinsoku/>
              <w:overflowPunct/>
              <w:topLinePunct w:val="0"/>
              <w:bidi w:val="0"/>
              <w:spacing w:line="240" w:lineRule="auto"/>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3.掌握东北秧歌舞姿运用舞蹈教学与艺术实践当中。</w:t>
            </w:r>
          </w:p>
          <w:p w14:paraId="17855B3F">
            <w:pPr>
              <w:pageBreakBefore w:val="0"/>
              <w:kinsoku/>
              <w:overflowPunct/>
              <w:topLinePunct w:val="0"/>
              <w:bidi w:val="0"/>
              <w:spacing w:line="240" w:lineRule="auto"/>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思政融入：</w:t>
            </w:r>
            <w:r>
              <w:rPr>
                <w:rFonts w:hint="eastAsia" w:ascii="仿宋" w:hAnsi="仿宋" w:eastAsia="仿宋" w:cs="仿宋"/>
                <w:color w:val="000000"/>
                <w:kern w:val="0"/>
                <w:sz w:val="24"/>
                <w:szCs w:val="24"/>
                <w:lang w:val="en-US" w:eastAsia="en-US"/>
              </w:rPr>
              <w:t>了解汉族民间舞蹈文化，增强传承自觉，</w:t>
            </w:r>
            <w:r>
              <w:rPr>
                <w:rFonts w:hint="eastAsia" w:ascii="仿宋" w:hAnsi="仿宋" w:eastAsia="仿宋" w:cs="仿宋"/>
                <w:color w:val="000000"/>
                <w:kern w:val="0"/>
                <w:sz w:val="24"/>
                <w:szCs w:val="24"/>
                <w:lang w:val="en-US" w:eastAsia="zh-CN"/>
              </w:rPr>
              <w:t>树立民族情怀认同感，构建学生多元艺术知识增强文化底蕴，培养吃苦耐人严于律己的品质，树立民族自强和文化自信。</w:t>
            </w:r>
          </w:p>
        </w:tc>
        <w:tc>
          <w:tcPr>
            <w:tcW w:w="1020" w:type="dxa"/>
            <w:gridSpan w:val="3"/>
            <w:vAlign w:val="center"/>
          </w:tcPr>
          <w:p w14:paraId="296D616C">
            <w:pPr>
              <w:pageBreakBefore w:val="0"/>
              <w:kinsoku/>
              <w:overflowPunct/>
              <w:topLinePunct w:val="0"/>
              <w:bidi w:val="0"/>
              <w:spacing w:line="240" w:lineRule="auto"/>
              <w:jc w:val="center"/>
              <w:rPr>
                <w:rFonts w:hint="eastAsia" w:ascii="仿宋" w:hAnsi="仿宋" w:eastAsia="仿宋" w:cs="仿宋"/>
                <w:bCs/>
                <w:color w:val="000000"/>
                <w:sz w:val="24"/>
                <w:szCs w:val="24"/>
              </w:rPr>
            </w:pPr>
            <w:r>
              <w:rPr>
                <w:rFonts w:hint="eastAsia" w:ascii="仿宋" w:hAnsi="仿宋" w:eastAsia="仿宋" w:cs="仿宋"/>
                <w:bCs/>
                <w:color w:val="000000"/>
                <w:sz w:val="24"/>
                <w:szCs w:val="24"/>
              </w:rPr>
              <w:t>支撑课程目标1、2、3</w:t>
            </w:r>
          </w:p>
        </w:tc>
        <w:tc>
          <w:tcPr>
            <w:tcW w:w="595" w:type="dxa"/>
            <w:gridSpan w:val="2"/>
            <w:shd w:val="clear" w:color="auto" w:fill="FFFFFF"/>
            <w:vAlign w:val="center"/>
          </w:tcPr>
          <w:p w14:paraId="0067BA84">
            <w:pPr>
              <w:pageBreakBefore w:val="0"/>
              <w:kinsoku/>
              <w:overflowPunct/>
              <w:topLinePunct w:val="0"/>
              <w:bidi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16</w:t>
            </w:r>
          </w:p>
        </w:tc>
      </w:tr>
      <w:tr w14:paraId="517211F9">
        <w:trPr>
          <w:gridAfter w:val="2"/>
          <w:trHeight w:val="680" w:hRule="atLeast"/>
        </w:trPr>
        <w:tc>
          <w:tcPr>
            <w:tcW w:w="1376" w:type="dxa"/>
            <w:vMerge w:val="continue"/>
            <w:shd w:val="clear" w:color="auto" w:fill="FFFFFF"/>
            <w:vAlign w:val="center"/>
          </w:tcPr>
          <w:p w14:paraId="04FB20E6">
            <w:pPr>
              <w:pageBreakBefore w:val="0"/>
              <w:kinsoku/>
              <w:overflowPunct/>
              <w:topLinePunct w:val="0"/>
              <w:bidi w:val="0"/>
              <w:spacing w:line="240" w:lineRule="auto"/>
              <w:jc w:val="center"/>
              <w:rPr>
                <w:rFonts w:hint="eastAsia" w:ascii="仿宋" w:hAnsi="仿宋" w:eastAsia="仿宋" w:cs="仿宋"/>
                <w:color w:val="000000"/>
                <w:sz w:val="24"/>
                <w:szCs w:val="24"/>
              </w:rPr>
            </w:pPr>
          </w:p>
        </w:tc>
        <w:tc>
          <w:tcPr>
            <w:tcW w:w="6157" w:type="dxa"/>
            <w:gridSpan w:val="8"/>
            <w:vAlign w:val="top"/>
          </w:tcPr>
          <w:p w14:paraId="7536F049">
            <w:pPr>
              <w:pageBreakBefore w:val="0"/>
              <w:kinsoku/>
              <w:overflowPunct/>
              <w:topLinePunct w:val="0"/>
              <w:bidi w:val="0"/>
              <w:spacing w:line="240" w:lineRule="auto"/>
              <w:rPr>
                <w:rFonts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训练模块</w:t>
            </w:r>
            <w:r>
              <w:rPr>
                <w:rFonts w:hint="eastAsia" w:ascii="仿宋" w:hAnsi="仿宋" w:eastAsia="仿宋" w:cs="仿宋"/>
                <w:color w:val="000000"/>
                <w:kern w:val="0"/>
                <w:sz w:val="24"/>
                <w:szCs w:val="24"/>
                <w:lang w:val="en-US" w:eastAsia="en-US"/>
              </w:rPr>
              <w:t>三</w:t>
            </w:r>
            <w:r>
              <w:rPr>
                <w:rFonts w:hint="eastAsia" w:ascii="仿宋" w:hAnsi="仿宋" w:eastAsia="仿宋" w:cs="仿宋"/>
                <w:color w:val="000000"/>
                <w:kern w:val="0"/>
                <w:sz w:val="24"/>
                <w:szCs w:val="24"/>
                <w:lang w:val="en-US" w:eastAsia="zh-CN"/>
              </w:rPr>
              <w:t>：蒙古族民间舞（第二学期）</w:t>
            </w:r>
          </w:p>
          <w:p w14:paraId="17640168">
            <w:pPr>
              <w:pageBreakBefore w:val="0"/>
              <w:kinsoku/>
              <w:overflowPunct/>
              <w:topLinePunct w:val="0"/>
              <w:bidi w:val="0"/>
              <w:spacing w:line="240" w:lineRule="auto"/>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实训目的：规范蒙古族训练要求强身体协调能力。</w:t>
            </w:r>
          </w:p>
          <w:p w14:paraId="4DA725F1">
            <w:pPr>
              <w:pageBreakBefore w:val="0"/>
              <w:kinsoku/>
              <w:overflowPunct/>
              <w:topLinePunct w:val="0"/>
              <w:bidi w:val="0"/>
              <w:spacing w:line="240" w:lineRule="auto"/>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实训任务：</w:t>
            </w:r>
          </w:p>
          <w:p w14:paraId="04BDDC54">
            <w:pPr>
              <w:pageBreakBefore w:val="0"/>
              <w:kinsoku/>
              <w:overflowPunct/>
              <w:topLinePunct w:val="0"/>
              <w:bidi w:val="0"/>
              <w:spacing w:line="240" w:lineRule="auto"/>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1.知晓蒙古族民间舞蹈的基本理论与风格特征。</w:t>
            </w:r>
          </w:p>
          <w:p w14:paraId="5A80AA15">
            <w:pPr>
              <w:pageBreakBefore w:val="0"/>
              <w:kinsoku/>
              <w:overflowPunct/>
              <w:topLinePunct w:val="0"/>
              <w:bidi w:val="0"/>
              <w:spacing w:line="240" w:lineRule="auto"/>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2.学会蒙古族民间舞的基本动律、基本舞姿和表演风格，</w:t>
            </w:r>
            <w:r>
              <w:rPr>
                <w:rFonts w:hint="eastAsia" w:ascii="仿宋" w:hAnsi="仿宋" w:eastAsia="仿宋" w:cs="仿宋"/>
                <w:color w:val="000000"/>
                <w:kern w:val="0"/>
                <w:sz w:val="24"/>
                <w:szCs w:val="24"/>
                <w:lang w:val="en-US" w:eastAsia="en-US"/>
              </w:rPr>
              <w:t>掌握该民族传统审美</w:t>
            </w:r>
            <w:r>
              <w:rPr>
                <w:rFonts w:hint="eastAsia" w:ascii="仿宋" w:hAnsi="仿宋" w:eastAsia="仿宋" w:cs="仿宋"/>
                <w:color w:val="000000"/>
                <w:kern w:val="0"/>
                <w:sz w:val="24"/>
                <w:szCs w:val="24"/>
                <w:lang w:val="en-US" w:eastAsia="zh-CN"/>
              </w:rPr>
              <w:t>。</w:t>
            </w:r>
          </w:p>
          <w:p w14:paraId="552406D5">
            <w:pPr>
              <w:pageBreakBefore w:val="0"/>
              <w:kinsoku/>
              <w:overflowPunct/>
              <w:topLinePunct w:val="0"/>
              <w:bidi w:val="0"/>
              <w:spacing w:line="240" w:lineRule="auto"/>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3，掌握蒙古族舞蹈舞姿运用到教学与艺术实践当中。</w:t>
            </w:r>
          </w:p>
          <w:p w14:paraId="3EF988A9">
            <w:pPr>
              <w:pageBreakBefore w:val="0"/>
              <w:kinsoku/>
              <w:overflowPunct/>
              <w:topLinePunct w:val="0"/>
              <w:bidi w:val="0"/>
              <w:spacing w:line="240" w:lineRule="auto"/>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思政融入：感受蒙古族文化的人文精神，自觉传承文化，拓展知识丰富思想增强文化底蕴，培养吃苦耐人严于律己的品质，树立民族自强和文化自信。</w:t>
            </w:r>
          </w:p>
        </w:tc>
        <w:tc>
          <w:tcPr>
            <w:tcW w:w="1020" w:type="dxa"/>
            <w:gridSpan w:val="3"/>
            <w:vAlign w:val="center"/>
          </w:tcPr>
          <w:p w14:paraId="4600A3F3">
            <w:pPr>
              <w:pageBreakBefore w:val="0"/>
              <w:kinsoku/>
              <w:overflowPunct/>
              <w:topLinePunct w:val="0"/>
              <w:bidi w:val="0"/>
              <w:spacing w:line="240" w:lineRule="auto"/>
              <w:jc w:val="center"/>
              <w:rPr>
                <w:rFonts w:hint="eastAsia" w:ascii="仿宋" w:hAnsi="仿宋" w:eastAsia="仿宋" w:cs="仿宋"/>
                <w:bCs/>
                <w:color w:val="000000"/>
                <w:sz w:val="24"/>
                <w:szCs w:val="24"/>
              </w:rPr>
            </w:pPr>
            <w:r>
              <w:rPr>
                <w:rFonts w:hint="eastAsia" w:ascii="仿宋" w:hAnsi="仿宋" w:eastAsia="仿宋" w:cs="仿宋"/>
                <w:bCs/>
                <w:color w:val="000000"/>
                <w:sz w:val="24"/>
                <w:szCs w:val="24"/>
              </w:rPr>
              <w:t>支撑课程目标1、2、3</w:t>
            </w:r>
          </w:p>
        </w:tc>
        <w:tc>
          <w:tcPr>
            <w:tcW w:w="595" w:type="dxa"/>
            <w:gridSpan w:val="2"/>
            <w:shd w:val="clear" w:color="auto" w:fill="FFFFFF"/>
            <w:vAlign w:val="center"/>
          </w:tcPr>
          <w:p w14:paraId="3F3C73CD">
            <w:pPr>
              <w:pageBreakBefore w:val="0"/>
              <w:kinsoku/>
              <w:overflowPunct/>
              <w:topLinePunct w:val="0"/>
              <w:bidi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16</w:t>
            </w:r>
          </w:p>
        </w:tc>
      </w:tr>
      <w:tr w14:paraId="48E04768">
        <w:trPr>
          <w:gridAfter w:val="2"/>
          <w:trHeight w:val="680" w:hRule="atLeast"/>
        </w:trPr>
        <w:tc>
          <w:tcPr>
            <w:tcW w:w="1376" w:type="dxa"/>
            <w:vMerge w:val="continue"/>
            <w:shd w:val="clear" w:color="auto" w:fill="FFFFFF"/>
            <w:vAlign w:val="center"/>
          </w:tcPr>
          <w:p w14:paraId="1287A35F">
            <w:pPr>
              <w:pageBreakBefore w:val="0"/>
              <w:kinsoku/>
              <w:overflowPunct/>
              <w:topLinePunct w:val="0"/>
              <w:bidi w:val="0"/>
              <w:spacing w:line="240" w:lineRule="auto"/>
              <w:jc w:val="center"/>
              <w:rPr>
                <w:rFonts w:hint="eastAsia" w:ascii="仿宋" w:hAnsi="仿宋" w:eastAsia="仿宋" w:cs="仿宋"/>
                <w:color w:val="000000"/>
                <w:sz w:val="24"/>
                <w:szCs w:val="24"/>
              </w:rPr>
            </w:pPr>
          </w:p>
        </w:tc>
        <w:tc>
          <w:tcPr>
            <w:tcW w:w="6157" w:type="dxa"/>
            <w:gridSpan w:val="8"/>
            <w:vAlign w:val="center"/>
          </w:tcPr>
          <w:p w14:paraId="073CF9B7">
            <w:pPr>
              <w:pageBreakBefore w:val="0"/>
              <w:kinsoku/>
              <w:overflowPunct/>
              <w:topLinePunct w:val="0"/>
              <w:bidi w:val="0"/>
              <w:spacing w:line="240" w:lineRule="auto"/>
              <w:rPr>
                <w:rFonts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训练模块</w:t>
            </w:r>
            <w:r>
              <w:rPr>
                <w:rFonts w:hint="eastAsia" w:ascii="仿宋" w:hAnsi="仿宋" w:eastAsia="仿宋" w:cs="仿宋"/>
                <w:color w:val="000000"/>
                <w:kern w:val="0"/>
                <w:sz w:val="24"/>
                <w:szCs w:val="24"/>
                <w:lang w:val="en-US" w:eastAsia="en-US"/>
              </w:rPr>
              <w:t>四</w:t>
            </w:r>
            <w:r>
              <w:rPr>
                <w:rFonts w:hint="eastAsia" w:ascii="仿宋" w:hAnsi="仿宋" w:eastAsia="仿宋" w:cs="仿宋"/>
                <w:color w:val="000000"/>
                <w:kern w:val="0"/>
                <w:sz w:val="24"/>
                <w:szCs w:val="24"/>
                <w:lang w:val="en-US" w:eastAsia="zh-CN"/>
              </w:rPr>
              <w:t>：维吾尔族民间舞（第二学期）</w:t>
            </w:r>
          </w:p>
          <w:p w14:paraId="017C1005">
            <w:pPr>
              <w:pageBreakBefore w:val="0"/>
              <w:kinsoku/>
              <w:overflowPunct/>
              <w:topLinePunct w:val="0"/>
              <w:bidi w:val="0"/>
              <w:spacing w:line="240" w:lineRule="auto"/>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实训目的：规范民维吾尔族训练要求强身体协调能力。</w:t>
            </w:r>
          </w:p>
          <w:p w14:paraId="3CAB5707">
            <w:pPr>
              <w:pageBreakBefore w:val="0"/>
              <w:kinsoku/>
              <w:overflowPunct/>
              <w:topLinePunct w:val="0"/>
              <w:bidi w:val="0"/>
              <w:spacing w:line="240" w:lineRule="auto"/>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实训任务：</w:t>
            </w:r>
          </w:p>
          <w:p w14:paraId="0BCED6FB">
            <w:pPr>
              <w:pageBreakBefore w:val="0"/>
              <w:kinsoku/>
              <w:overflowPunct/>
              <w:topLinePunct w:val="0"/>
              <w:bidi w:val="0"/>
              <w:spacing w:line="240" w:lineRule="auto"/>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1.知晓维吾尔族民间舞蹈的基本理论与风格特征。</w:t>
            </w:r>
          </w:p>
          <w:p w14:paraId="508C6AD8">
            <w:pPr>
              <w:pageBreakBefore w:val="0"/>
              <w:kinsoku/>
              <w:overflowPunct/>
              <w:topLinePunct w:val="0"/>
              <w:bidi w:val="0"/>
              <w:spacing w:line="240" w:lineRule="auto"/>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2.学会维吾尔族民间舞的基本动律、基本舞姿和表演风格，</w:t>
            </w:r>
            <w:r>
              <w:rPr>
                <w:rFonts w:hint="eastAsia" w:ascii="仿宋" w:hAnsi="仿宋" w:eastAsia="仿宋" w:cs="仿宋"/>
                <w:color w:val="000000"/>
                <w:kern w:val="0"/>
                <w:sz w:val="24"/>
                <w:szCs w:val="24"/>
                <w:lang w:val="en-US" w:eastAsia="en-US"/>
              </w:rPr>
              <w:t>掌握该民族传统审美。</w:t>
            </w:r>
          </w:p>
          <w:p w14:paraId="1980DA9D">
            <w:pPr>
              <w:pageBreakBefore w:val="0"/>
              <w:kinsoku/>
              <w:overflowPunct/>
              <w:topLinePunct w:val="0"/>
              <w:bidi w:val="0"/>
              <w:spacing w:line="240" w:lineRule="auto"/>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3.掌握维吾尔族舞蹈运用到舞蹈教学与艺术实践当中。</w:t>
            </w:r>
          </w:p>
          <w:p w14:paraId="103BFC01">
            <w:pPr>
              <w:pageBreakBefore w:val="0"/>
              <w:kinsoku/>
              <w:overflowPunct/>
              <w:topLinePunct w:val="0"/>
              <w:bidi w:val="0"/>
              <w:spacing w:line="240" w:lineRule="auto"/>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思政融入：</w:t>
            </w:r>
            <w:r>
              <w:rPr>
                <w:rFonts w:hint="eastAsia" w:ascii="仿宋" w:hAnsi="仿宋" w:eastAsia="仿宋" w:cs="仿宋"/>
                <w:color w:val="000000"/>
                <w:kern w:val="0"/>
                <w:sz w:val="24"/>
                <w:szCs w:val="24"/>
                <w:lang w:val="en-US" w:eastAsia="en-US"/>
              </w:rPr>
              <w:t>了解</w:t>
            </w:r>
            <w:r>
              <w:rPr>
                <w:rFonts w:hint="eastAsia" w:ascii="仿宋" w:hAnsi="仿宋" w:eastAsia="仿宋" w:cs="仿宋"/>
                <w:color w:val="000000"/>
                <w:kern w:val="0"/>
                <w:sz w:val="24"/>
                <w:szCs w:val="24"/>
                <w:lang w:val="en-US" w:eastAsia="zh-CN"/>
              </w:rPr>
              <w:t>维吾尔族</w:t>
            </w:r>
            <w:r>
              <w:rPr>
                <w:rFonts w:hint="eastAsia" w:ascii="仿宋" w:hAnsi="仿宋" w:eastAsia="仿宋" w:cs="仿宋"/>
                <w:color w:val="000000"/>
                <w:kern w:val="0"/>
                <w:sz w:val="24"/>
                <w:szCs w:val="24"/>
                <w:lang w:val="en-US" w:eastAsia="en-US"/>
              </w:rPr>
              <w:t>民间舞蹈文化，</w:t>
            </w:r>
            <w:r>
              <w:rPr>
                <w:rFonts w:hint="eastAsia" w:ascii="仿宋" w:hAnsi="仿宋" w:eastAsia="仿宋" w:cs="仿宋"/>
                <w:color w:val="000000"/>
                <w:kern w:val="0"/>
                <w:sz w:val="24"/>
                <w:szCs w:val="24"/>
                <w:lang w:val="en-US" w:eastAsia="zh-CN"/>
              </w:rPr>
              <w:t>树立民族情怀认同感</w:t>
            </w:r>
            <w:r>
              <w:rPr>
                <w:rFonts w:hint="eastAsia" w:ascii="仿宋" w:hAnsi="仿宋" w:eastAsia="仿宋" w:cs="仿宋"/>
                <w:color w:val="000000"/>
                <w:kern w:val="0"/>
                <w:sz w:val="24"/>
                <w:szCs w:val="24"/>
                <w:lang w:val="en-US" w:eastAsia="en-US"/>
              </w:rPr>
              <w:t>促进民族团结</w:t>
            </w:r>
            <w:r>
              <w:rPr>
                <w:rFonts w:hint="eastAsia" w:ascii="仿宋" w:hAnsi="仿宋" w:eastAsia="仿宋" w:cs="仿宋"/>
                <w:color w:val="000000"/>
                <w:kern w:val="0"/>
                <w:sz w:val="24"/>
                <w:szCs w:val="24"/>
                <w:lang w:val="en-US" w:eastAsia="zh-CN"/>
              </w:rPr>
              <w:t>，拓展知识丰富思想增强文化底蕴，培养吃苦耐人严于律己的品质，树立民族自强和文化自信。</w:t>
            </w:r>
          </w:p>
        </w:tc>
        <w:tc>
          <w:tcPr>
            <w:tcW w:w="1020" w:type="dxa"/>
            <w:gridSpan w:val="3"/>
            <w:vAlign w:val="center"/>
          </w:tcPr>
          <w:p w14:paraId="0FCF98C2">
            <w:pPr>
              <w:pageBreakBefore w:val="0"/>
              <w:kinsoku/>
              <w:overflowPunct/>
              <w:topLinePunct w:val="0"/>
              <w:bidi w:val="0"/>
              <w:spacing w:line="240" w:lineRule="auto"/>
              <w:jc w:val="center"/>
              <w:rPr>
                <w:rFonts w:hint="eastAsia" w:ascii="仿宋" w:hAnsi="仿宋" w:eastAsia="仿宋" w:cs="仿宋"/>
                <w:bCs/>
                <w:color w:val="000000"/>
                <w:sz w:val="24"/>
                <w:szCs w:val="24"/>
              </w:rPr>
            </w:pPr>
            <w:r>
              <w:rPr>
                <w:rFonts w:hint="eastAsia" w:ascii="仿宋" w:hAnsi="仿宋" w:eastAsia="仿宋" w:cs="仿宋"/>
                <w:bCs/>
                <w:color w:val="000000"/>
                <w:sz w:val="24"/>
                <w:szCs w:val="24"/>
              </w:rPr>
              <w:t>支撑课程目标1、2、3</w:t>
            </w:r>
          </w:p>
        </w:tc>
        <w:tc>
          <w:tcPr>
            <w:tcW w:w="595" w:type="dxa"/>
            <w:gridSpan w:val="2"/>
            <w:shd w:val="clear" w:color="auto" w:fill="FFFFFF"/>
            <w:vAlign w:val="center"/>
          </w:tcPr>
          <w:p w14:paraId="55A5C4D8">
            <w:pPr>
              <w:pageBreakBefore w:val="0"/>
              <w:kinsoku/>
              <w:overflowPunct/>
              <w:topLinePunct w:val="0"/>
              <w:bidi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16</w:t>
            </w:r>
          </w:p>
        </w:tc>
      </w:tr>
      <w:tr w14:paraId="22AEA887">
        <w:trPr>
          <w:gridAfter w:val="2"/>
          <w:trHeight w:val="680" w:hRule="atLeast"/>
        </w:trPr>
        <w:tc>
          <w:tcPr>
            <w:tcW w:w="1376" w:type="dxa"/>
            <w:vMerge w:val="continue"/>
            <w:shd w:val="clear" w:color="auto" w:fill="FFFFFF"/>
            <w:vAlign w:val="center"/>
          </w:tcPr>
          <w:p w14:paraId="741D1A2F">
            <w:pPr>
              <w:pageBreakBefore w:val="0"/>
              <w:kinsoku/>
              <w:overflowPunct/>
              <w:topLinePunct w:val="0"/>
              <w:bidi w:val="0"/>
              <w:spacing w:line="240" w:lineRule="auto"/>
              <w:jc w:val="center"/>
              <w:rPr>
                <w:rFonts w:hint="eastAsia" w:ascii="仿宋" w:hAnsi="仿宋" w:eastAsia="仿宋" w:cs="仿宋"/>
                <w:color w:val="000000"/>
                <w:sz w:val="24"/>
                <w:szCs w:val="24"/>
              </w:rPr>
            </w:pPr>
          </w:p>
        </w:tc>
        <w:tc>
          <w:tcPr>
            <w:tcW w:w="7177" w:type="dxa"/>
            <w:gridSpan w:val="11"/>
            <w:vAlign w:val="center"/>
          </w:tcPr>
          <w:p w14:paraId="6FF1B8ED">
            <w:pPr>
              <w:pageBreakBefore w:val="0"/>
              <w:kinsoku/>
              <w:overflowPunct/>
              <w:topLinePunct w:val="0"/>
              <w:bidi w:val="0"/>
              <w:spacing w:line="240" w:lineRule="auto"/>
              <w:jc w:val="center"/>
              <w:rPr>
                <w:rFonts w:hint="eastAsia" w:ascii="仿宋" w:hAnsi="仿宋" w:eastAsia="仿宋" w:cs="仿宋"/>
                <w:bCs/>
                <w:color w:val="000000"/>
                <w:sz w:val="24"/>
                <w:szCs w:val="24"/>
              </w:rPr>
            </w:pPr>
            <w:r>
              <w:rPr>
                <w:rFonts w:hint="eastAsia" w:ascii="仿宋" w:hAnsi="仿宋" w:eastAsia="仿宋" w:cs="仿宋"/>
                <w:bCs/>
                <w:color w:val="000000"/>
                <w:sz w:val="24"/>
                <w:szCs w:val="24"/>
              </w:rPr>
              <w:t>合计</w:t>
            </w:r>
          </w:p>
        </w:tc>
        <w:tc>
          <w:tcPr>
            <w:tcW w:w="595" w:type="dxa"/>
            <w:gridSpan w:val="2"/>
            <w:shd w:val="clear" w:color="auto" w:fill="FFFFFF"/>
            <w:vAlign w:val="center"/>
          </w:tcPr>
          <w:p w14:paraId="66DE5A2B">
            <w:pPr>
              <w:pageBreakBefore w:val="0"/>
              <w:kinsoku/>
              <w:overflowPunct/>
              <w:topLinePunct w:val="0"/>
              <w:bidi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64</w:t>
            </w:r>
          </w:p>
        </w:tc>
      </w:tr>
      <w:tr w14:paraId="5A62C610">
        <w:trPr>
          <w:gridAfter w:val="2"/>
          <w:trHeight w:val="680" w:hRule="atLeast"/>
        </w:trPr>
        <w:tc>
          <w:tcPr>
            <w:tcW w:w="1376" w:type="dxa"/>
            <w:vAlign w:val="center"/>
          </w:tcPr>
          <w:p w14:paraId="04F75618">
            <w:pPr>
              <w:pageBreakBefore w:val="0"/>
              <w:kinsoku/>
              <w:overflowPunct/>
              <w:topLinePunct w:val="0"/>
              <w:bidi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I</w:t>
            </w:r>
          </w:p>
          <w:p w14:paraId="0FCFEBC1">
            <w:pPr>
              <w:pageBreakBefore w:val="0"/>
              <w:kinsoku/>
              <w:overflowPunct/>
              <w:topLinePunct w:val="0"/>
              <w:bidi w:val="0"/>
              <w:spacing w:line="240" w:lineRule="auto"/>
              <w:jc w:val="center"/>
              <w:rPr>
                <w:rFonts w:hint="eastAsia" w:ascii="仿宋" w:hAnsi="仿宋" w:eastAsia="仿宋" w:cs="仿宋"/>
                <w:color w:val="000000"/>
                <w:sz w:val="24"/>
                <w:szCs w:val="24"/>
                <w:lang w:eastAsia="zh-TW"/>
              </w:rPr>
            </w:pPr>
            <w:r>
              <w:rPr>
                <w:rFonts w:hint="eastAsia" w:ascii="仿宋" w:hAnsi="仿宋" w:eastAsia="仿宋" w:cs="仿宋"/>
                <w:color w:val="000000"/>
                <w:sz w:val="24"/>
                <w:szCs w:val="24"/>
              </w:rPr>
              <w:t>教学方法与教学方式</w:t>
            </w:r>
          </w:p>
        </w:tc>
        <w:tc>
          <w:tcPr>
            <w:tcW w:w="7772" w:type="dxa"/>
            <w:gridSpan w:val="13"/>
            <w:tcBorders>
              <w:bottom w:val="single" w:color="auto" w:sz="4" w:space="0"/>
            </w:tcBorders>
            <w:vAlign w:val="center"/>
          </w:tcPr>
          <w:p w14:paraId="5DCA69B7">
            <w:pPr>
              <w:pageBreakBefore w:val="0"/>
              <w:kinsoku/>
              <w:overflowPunct/>
              <w:topLinePunct w:val="0"/>
              <w:bidi w:val="0"/>
              <w:spacing w:line="240" w:lineRule="auto"/>
              <w:ind w:firstLine="120" w:firstLineChars="50"/>
              <w:rPr>
                <w:rFonts w:hint="eastAsia" w:ascii="仿宋" w:hAnsi="仿宋" w:eastAsia="仿宋" w:cs="仿宋"/>
                <w:color w:val="000000"/>
                <w:sz w:val="24"/>
                <w:szCs w:val="24"/>
              </w:rPr>
            </w:pPr>
            <w:r>
              <w:rPr>
                <w:rFonts w:hint="eastAsia" w:ascii="仿宋" w:hAnsi="仿宋" w:eastAsia="仿宋" w:cs="仿宋"/>
                <w:color w:val="000000"/>
                <w:sz w:val="24"/>
                <w:szCs w:val="24"/>
              </w:rPr>
              <w:t>1、示范教学法，在课堂上进行动作示范，让学生模仿练习</w:t>
            </w:r>
          </w:p>
          <w:p w14:paraId="43A6D771">
            <w:pPr>
              <w:pageBreakBefore w:val="0"/>
              <w:kinsoku/>
              <w:overflowPunct/>
              <w:topLinePunct w:val="0"/>
              <w:bidi w:val="0"/>
              <w:spacing w:line="240" w:lineRule="auto"/>
              <w:ind w:firstLine="120" w:firstLineChars="50"/>
              <w:rPr>
                <w:rFonts w:hint="eastAsia" w:ascii="仿宋" w:hAnsi="仿宋" w:eastAsia="仿宋" w:cs="仿宋"/>
                <w:color w:val="000000"/>
                <w:sz w:val="24"/>
                <w:szCs w:val="24"/>
              </w:rPr>
            </w:pPr>
            <w:r>
              <w:rPr>
                <w:rFonts w:hint="eastAsia" w:ascii="仿宋" w:hAnsi="仿宋" w:eastAsia="仿宋" w:cs="仿宋"/>
                <w:color w:val="000000"/>
                <w:sz w:val="24"/>
                <w:szCs w:val="24"/>
              </w:rPr>
              <w:t>2、分析教学法，通过课堂对动作进行分解分析，加上讨论纠错等方式，引导学生发现问题解决问题。</w:t>
            </w:r>
          </w:p>
          <w:p w14:paraId="05242B88">
            <w:pPr>
              <w:pageBreakBefore w:val="0"/>
              <w:kinsoku/>
              <w:overflowPunct/>
              <w:topLinePunct w:val="0"/>
              <w:bidi w:val="0"/>
              <w:spacing w:line="240" w:lineRule="auto"/>
              <w:ind w:firstLine="120" w:firstLineChars="50"/>
              <w:rPr>
                <w:rFonts w:hint="eastAsia" w:ascii="仿宋" w:hAnsi="仿宋" w:eastAsia="仿宋" w:cs="仿宋"/>
                <w:color w:val="000000"/>
                <w:sz w:val="24"/>
                <w:szCs w:val="24"/>
              </w:rPr>
            </w:pPr>
            <w:r>
              <w:rPr>
                <w:rFonts w:hint="eastAsia" w:ascii="仿宋" w:hAnsi="仿宋" w:eastAsia="仿宋" w:cs="仿宋"/>
                <w:color w:val="000000"/>
                <w:sz w:val="24"/>
                <w:szCs w:val="24"/>
              </w:rPr>
              <w:t>3、开通网络课堂，达到与学生及时沟通、交流的目的。同时重视师生互动与小组活动，将课堂教学变为师生共同活动的过程。</w:t>
            </w:r>
          </w:p>
          <w:p w14:paraId="33EAB393">
            <w:pPr>
              <w:pageBreakBefore w:val="0"/>
              <w:kinsoku/>
              <w:overflowPunct/>
              <w:topLinePunct w:val="0"/>
              <w:bidi w:val="0"/>
              <w:spacing w:line="240" w:lineRule="auto"/>
              <w:ind w:leftChars="0" w:firstLine="120" w:firstLineChars="50"/>
              <w:rPr>
                <w:rFonts w:hint="eastAsia" w:ascii="仿宋" w:hAnsi="仿宋" w:eastAsia="仿宋" w:cs="仿宋"/>
                <w:color w:val="000000"/>
                <w:sz w:val="24"/>
                <w:szCs w:val="24"/>
              </w:rPr>
            </w:pPr>
            <w:r>
              <w:rPr>
                <w:rFonts w:hint="eastAsia" w:ascii="仿宋" w:hAnsi="仿宋" w:eastAsia="仿宋" w:cs="仿宋"/>
                <w:color w:val="000000"/>
                <w:sz w:val="24"/>
                <w:szCs w:val="24"/>
              </w:rPr>
              <w:t>主要方式：</w:t>
            </w:r>
          </w:p>
          <w:p w14:paraId="5B7379BE">
            <w:pPr>
              <w:pageBreakBefore w:val="0"/>
              <w:kinsoku/>
              <w:overflowPunct/>
              <w:topLinePunct w:val="0"/>
              <w:bidi w:val="0"/>
              <w:spacing w:line="24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讲授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网络学习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讨论或座谈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问题导向学  </w:t>
            </w:r>
          </w:p>
          <w:p w14:paraId="4D0147F7">
            <w:pPr>
              <w:pageBreakBefore w:val="0"/>
              <w:kinsoku/>
              <w:overflowPunct/>
              <w:topLinePunct w:val="0"/>
              <w:bidi w:val="0"/>
              <w:spacing w:line="24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分组合作学习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专题学习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实作学习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发表学习  </w:t>
            </w:r>
          </w:p>
          <w:p w14:paraId="5A92169C">
            <w:pPr>
              <w:pageBreakBefore w:val="0"/>
              <w:kinsoku/>
              <w:overflowPunct/>
              <w:topLinePunct w:val="0"/>
              <w:bidi w:val="0"/>
              <w:spacing w:line="24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实习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参观访问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其它：</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(如口头训练等)</w:t>
            </w:r>
          </w:p>
        </w:tc>
      </w:tr>
      <w:tr w14:paraId="24AD6173">
        <w:trPr>
          <w:gridAfter w:val="2"/>
          <w:trHeight w:val="680" w:hRule="atLeast"/>
        </w:trPr>
        <w:tc>
          <w:tcPr>
            <w:tcW w:w="1376" w:type="dxa"/>
            <w:vAlign w:val="center"/>
          </w:tcPr>
          <w:p w14:paraId="2F318DA5">
            <w:pPr>
              <w:pageBreakBefore w:val="0"/>
              <w:kinsoku/>
              <w:overflowPunct/>
              <w:topLinePunct w:val="0"/>
              <w:bidi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J</w:t>
            </w:r>
          </w:p>
          <w:p w14:paraId="6BD4DD8D">
            <w:pPr>
              <w:pageBreakBefore w:val="0"/>
              <w:kinsoku/>
              <w:overflowPunct/>
              <w:topLinePunct w:val="0"/>
              <w:bidi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教学条件</w:t>
            </w:r>
          </w:p>
          <w:p w14:paraId="1CE568B2">
            <w:pPr>
              <w:pageBreakBefore w:val="0"/>
              <w:kinsoku/>
              <w:overflowPunct/>
              <w:topLinePunct w:val="0"/>
              <w:bidi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需求</w:t>
            </w:r>
          </w:p>
        </w:tc>
        <w:tc>
          <w:tcPr>
            <w:tcW w:w="7772" w:type="dxa"/>
            <w:gridSpan w:val="13"/>
            <w:tcBorders>
              <w:bottom w:val="single" w:color="auto" w:sz="4" w:space="0"/>
            </w:tcBorders>
            <w:vAlign w:val="center"/>
          </w:tcPr>
          <w:p w14:paraId="47E2E214">
            <w:pPr>
              <w:pageBreakBefore w:val="0"/>
              <w:tabs>
                <w:tab w:val="left" w:pos="720"/>
              </w:tabs>
              <w:kinsoku/>
              <w:overflowPunct/>
              <w:topLinePunct w:val="0"/>
              <w:bidi w:val="0"/>
              <w:spacing w:line="240" w:lineRule="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（如时间、地点安排与“一课双师”等教师配备需求等）</w:t>
            </w:r>
          </w:p>
          <w:p w14:paraId="5CA5CA18">
            <w:pPr>
              <w:pageBreakBefore w:val="0"/>
              <w:tabs>
                <w:tab w:val="left" w:pos="720"/>
              </w:tabs>
              <w:kinsoku/>
              <w:overflowPunct/>
              <w:topLinePunct w:val="0"/>
              <w:bidi w:val="0"/>
              <w:spacing w:line="240" w:lineRule="auto"/>
              <w:ind w:firstLine="120" w:firstLineChars="50"/>
              <w:rPr>
                <w:rFonts w:hint="eastAsia" w:ascii="仿宋" w:hAnsi="仿宋" w:eastAsia="仿宋" w:cs="仿宋"/>
                <w:color w:val="000000"/>
                <w:sz w:val="24"/>
                <w:szCs w:val="24"/>
              </w:rPr>
            </w:pPr>
            <w:r>
              <w:rPr>
                <w:rFonts w:hint="eastAsia" w:ascii="仿宋" w:hAnsi="仿宋" w:eastAsia="仿宋" w:cs="仿宋"/>
                <w:color w:val="000000"/>
                <w:sz w:val="24"/>
                <w:szCs w:val="24"/>
              </w:rPr>
              <w:t>1、专业舞蹈教室</w:t>
            </w:r>
          </w:p>
          <w:p w14:paraId="4372801B">
            <w:pPr>
              <w:pageBreakBefore w:val="0"/>
              <w:tabs>
                <w:tab w:val="left" w:pos="720"/>
              </w:tabs>
              <w:kinsoku/>
              <w:overflowPunct/>
              <w:topLinePunct w:val="0"/>
              <w:bidi w:val="0"/>
              <w:spacing w:line="240" w:lineRule="auto"/>
              <w:ind w:firstLine="120" w:firstLineChars="5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2、专业教学多媒体音响</w:t>
            </w:r>
          </w:p>
        </w:tc>
      </w:tr>
      <w:tr w14:paraId="2B0311C5">
        <w:trPr>
          <w:gridAfter w:val="2"/>
          <w:trHeight w:val="680" w:hRule="atLeast"/>
        </w:trPr>
        <w:tc>
          <w:tcPr>
            <w:tcW w:w="1376" w:type="dxa"/>
            <w:vMerge w:val="restart"/>
            <w:vAlign w:val="center"/>
          </w:tcPr>
          <w:p w14:paraId="385A1201">
            <w:pPr>
              <w:pageBreakBefore w:val="0"/>
              <w:kinsoku/>
              <w:overflowPunct/>
              <w:topLinePunct w:val="0"/>
              <w:bidi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K</w:t>
            </w:r>
          </w:p>
          <w:p w14:paraId="3ECA10DF">
            <w:pPr>
              <w:pageBreakBefore w:val="0"/>
              <w:kinsoku/>
              <w:overflowPunct/>
              <w:topLinePunct w:val="0"/>
              <w:bidi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课程目标及其考核内容、考核方式及评分占比</w:t>
            </w:r>
          </w:p>
        </w:tc>
        <w:tc>
          <w:tcPr>
            <w:tcW w:w="1342" w:type="dxa"/>
            <w:gridSpan w:val="2"/>
            <w:vMerge w:val="restart"/>
            <w:vAlign w:val="center"/>
          </w:tcPr>
          <w:p w14:paraId="035D6632">
            <w:pPr>
              <w:pageBreakBefore w:val="0"/>
              <w:kinsoku/>
              <w:overflowPunct/>
              <w:topLinePunct w:val="0"/>
              <w:bidi w:val="0"/>
              <w:spacing w:line="240" w:lineRule="auto"/>
              <w:rPr>
                <w:rFonts w:hint="eastAsia" w:ascii="仿宋" w:hAnsi="仿宋" w:eastAsia="仿宋" w:cs="仿宋"/>
                <w:color w:val="000000"/>
                <w:sz w:val="24"/>
                <w:szCs w:val="24"/>
              </w:rPr>
            </w:pPr>
            <w:r>
              <w:rPr>
                <w:rFonts w:hint="eastAsia" w:ascii="仿宋" w:hAnsi="仿宋" w:eastAsia="仿宋" w:cs="仿宋"/>
                <w:color w:val="000000"/>
                <w:sz w:val="24"/>
                <w:szCs w:val="24"/>
              </w:rPr>
              <w:t>课程目标及评分占比</w:t>
            </w:r>
          </w:p>
        </w:tc>
        <w:tc>
          <w:tcPr>
            <w:tcW w:w="3720" w:type="dxa"/>
            <w:gridSpan w:val="5"/>
            <w:vMerge w:val="restart"/>
            <w:tcBorders>
              <w:right w:val="single" w:color="000000" w:sz="4" w:space="0"/>
            </w:tcBorders>
            <w:vAlign w:val="center"/>
          </w:tcPr>
          <w:p w14:paraId="3C2E87C7">
            <w:pPr>
              <w:pageBreakBefore w:val="0"/>
              <w:tabs>
                <w:tab w:val="left" w:pos="720"/>
              </w:tabs>
              <w:kinsoku/>
              <w:overflowPunct/>
              <w:topLinePunct w:val="0"/>
              <w:bidi w:val="0"/>
              <w:spacing w:line="240"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考核内容</w:t>
            </w:r>
          </w:p>
        </w:tc>
        <w:tc>
          <w:tcPr>
            <w:tcW w:w="2121" w:type="dxa"/>
            <w:gridSpan w:val="5"/>
            <w:tcBorders>
              <w:left w:val="single" w:color="000000" w:sz="4" w:space="0"/>
              <w:right w:val="single" w:color="000000" w:sz="4" w:space="0"/>
            </w:tcBorders>
            <w:vAlign w:val="center"/>
          </w:tcPr>
          <w:p w14:paraId="69F87844">
            <w:pPr>
              <w:pageBreakBefore w:val="0"/>
              <w:kinsoku/>
              <w:overflowPunct/>
              <w:topLinePunct w:val="0"/>
              <w:bidi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考核方式</w:t>
            </w:r>
          </w:p>
        </w:tc>
        <w:tc>
          <w:tcPr>
            <w:tcW w:w="589" w:type="dxa"/>
            <w:vMerge w:val="restart"/>
            <w:tcBorders>
              <w:left w:val="single" w:color="000000" w:sz="4" w:space="0"/>
            </w:tcBorders>
            <w:vAlign w:val="center"/>
          </w:tcPr>
          <w:p w14:paraId="3D97692F">
            <w:pPr>
              <w:pageBreakBefore w:val="0"/>
              <w:tabs>
                <w:tab w:val="left" w:pos="720"/>
              </w:tabs>
              <w:kinsoku/>
              <w:overflowPunct/>
              <w:topLinePunct w:val="0"/>
              <w:bidi w:val="0"/>
              <w:spacing w:line="240" w:lineRule="auto"/>
              <w:jc w:val="center"/>
              <w:rPr>
                <w:rFonts w:hint="eastAsia" w:ascii="仿宋" w:hAnsi="仿宋" w:eastAsia="仿宋" w:cs="仿宋"/>
                <w:color w:val="000000"/>
                <w:kern w:val="0"/>
                <w:sz w:val="24"/>
                <w:szCs w:val="24"/>
              </w:rPr>
            </w:pPr>
            <w:r>
              <w:rPr>
                <w:rFonts w:hint="eastAsia" w:ascii="仿宋" w:hAnsi="仿宋" w:eastAsia="仿宋" w:cs="仿宋"/>
                <w:color w:val="000000"/>
                <w:sz w:val="24"/>
                <w:szCs w:val="24"/>
              </w:rPr>
              <w:t>课程分目标的达成度</w:t>
            </w:r>
          </w:p>
        </w:tc>
      </w:tr>
      <w:tr w14:paraId="2DEAC819">
        <w:trPr>
          <w:gridAfter w:val="2"/>
          <w:trHeight w:val="680" w:hRule="atLeast"/>
        </w:trPr>
        <w:tc>
          <w:tcPr>
            <w:tcW w:w="1376" w:type="dxa"/>
            <w:vMerge w:val="continue"/>
            <w:vAlign w:val="center"/>
          </w:tcPr>
          <w:p w14:paraId="10C8A959">
            <w:pPr>
              <w:pageBreakBefore w:val="0"/>
              <w:kinsoku/>
              <w:overflowPunct/>
              <w:topLinePunct w:val="0"/>
              <w:bidi w:val="0"/>
              <w:spacing w:line="240" w:lineRule="auto"/>
              <w:jc w:val="center"/>
              <w:rPr>
                <w:rFonts w:hint="eastAsia" w:ascii="仿宋" w:hAnsi="仿宋" w:eastAsia="仿宋" w:cs="仿宋"/>
                <w:color w:val="000000"/>
                <w:sz w:val="24"/>
                <w:szCs w:val="24"/>
              </w:rPr>
            </w:pPr>
          </w:p>
        </w:tc>
        <w:tc>
          <w:tcPr>
            <w:tcW w:w="1342" w:type="dxa"/>
            <w:gridSpan w:val="2"/>
            <w:vMerge w:val="continue"/>
            <w:vAlign w:val="center"/>
          </w:tcPr>
          <w:p w14:paraId="557EE07C">
            <w:pPr>
              <w:pageBreakBefore w:val="0"/>
              <w:kinsoku/>
              <w:overflowPunct/>
              <w:topLinePunct w:val="0"/>
              <w:bidi w:val="0"/>
              <w:spacing w:line="240" w:lineRule="auto"/>
              <w:jc w:val="right"/>
              <w:rPr>
                <w:rFonts w:hint="eastAsia" w:ascii="仿宋" w:hAnsi="仿宋" w:eastAsia="仿宋" w:cs="仿宋"/>
                <w:color w:val="000000"/>
                <w:sz w:val="24"/>
                <w:szCs w:val="24"/>
              </w:rPr>
            </w:pPr>
          </w:p>
        </w:tc>
        <w:tc>
          <w:tcPr>
            <w:tcW w:w="3720" w:type="dxa"/>
            <w:gridSpan w:val="5"/>
            <w:vMerge w:val="continue"/>
            <w:tcBorders>
              <w:right w:val="single" w:color="000000" w:sz="4" w:space="0"/>
            </w:tcBorders>
            <w:vAlign w:val="center"/>
          </w:tcPr>
          <w:p w14:paraId="7C5C6958">
            <w:pPr>
              <w:pageBreakBefore w:val="0"/>
              <w:tabs>
                <w:tab w:val="left" w:pos="720"/>
              </w:tabs>
              <w:kinsoku/>
              <w:overflowPunct/>
              <w:topLinePunct w:val="0"/>
              <w:bidi w:val="0"/>
              <w:spacing w:line="240" w:lineRule="auto"/>
              <w:jc w:val="center"/>
              <w:rPr>
                <w:rFonts w:hint="eastAsia" w:ascii="仿宋" w:hAnsi="仿宋" w:eastAsia="仿宋" w:cs="仿宋"/>
                <w:color w:val="000000"/>
                <w:kern w:val="0"/>
                <w:sz w:val="24"/>
                <w:szCs w:val="24"/>
              </w:rPr>
            </w:pPr>
          </w:p>
        </w:tc>
        <w:tc>
          <w:tcPr>
            <w:tcW w:w="1308" w:type="dxa"/>
            <w:gridSpan w:val="3"/>
            <w:tcBorders>
              <w:left w:val="single" w:color="000000" w:sz="4" w:space="0"/>
            </w:tcBorders>
            <w:vAlign w:val="center"/>
          </w:tcPr>
          <w:p w14:paraId="38136685">
            <w:pPr>
              <w:pageBreakBefore w:val="0"/>
              <w:kinsoku/>
              <w:overflowPunct/>
              <w:topLinePunct w:val="0"/>
              <w:bidi w:val="0"/>
              <w:spacing w:line="240" w:lineRule="auto"/>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平时成绩（考勤课堂表现6</w:t>
            </w:r>
            <w:r>
              <w:rPr>
                <w:rFonts w:ascii="仿宋" w:hAnsi="仿宋" w:eastAsia="仿宋" w:cs="仿宋"/>
                <w:color w:val="000000"/>
                <w:sz w:val="24"/>
                <w:szCs w:val="24"/>
              </w:rPr>
              <w:t>0</w:t>
            </w:r>
            <w:r>
              <w:rPr>
                <w:rFonts w:hint="eastAsia" w:ascii="仿宋" w:hAnsi="仿宋" w:eastAsia="仿宋" w:cs="仿宋"/>
                <w:color w:val="000000"/>
                <w:sz w:val="24"/>
                <w:szCs w:val="24"/>
              </w:rPr>
              <w:t>%）</w:t>
            </w:r>
          </w:p>
        </w:tc>
        <w:tc>
          <w:tcPr>
            <w:tcW w:w="813" w:type="dxa"/>
            <w:gridSpan w:val="2"/>
            <w:tcBorders>
              <w:left w:val="single" w:color="000000" w:sz="4" w:space="0"/>
              <w:bottom w:val="single" w:color="auto" w:sz="4" w:space="0"/>
              <w:right w:val="single" w:color="000000" w:sz="4" w:space="0"/>
            </w:tcBorders>
            <w:vAlign w:val="center"/>
          </w:tcPr>
          <w:p w14:paraId="12F22270">
            <w:pPr>
              <w:pageBreakBefore w:val="0"/>
              <w:kinsoku/>
              <w:overflowPunct/>
              <w:topLinePunct w:val="0"/>
              <w:bidi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期末考试（</w:t>
            </w:r>
            <w:r>
              <w:rPr>
                <w:rFonts w:hint="eastAsia" w:ascii="仿宋" w:hAnsi="仿宋" w:eastAsia="仿宋" w:cs="仿宋"/>
                <w:color w:val="000000"/>
                <w:sz w:val="24"/>
                <w:szCs w:val="24"/>
                <w:lang w:val="en-US" w:eastAsia="zh-CN"/>
              </w:rPr>
              <w:t>4</w:t>
            </w:r>
            <w:r>
              <w:rPr>
                <w:rFonts w:ascii="仿宋" w:hAnsi="仿宋" w:eastAsia="仿宋" w:cs="仿宋"/>
                <w:color w:val="000000"/>
                <w:sz w:val="24"/>
                <w:szCs w:val="24"/>
              </w:rPr>
              <w:t>0</w:t>
            </w:r>
            <w:r>
              <w:rPr>
                <w:rFonts w:hint="eastAsia" w:ascii="仿宋" w:hAnsi="仿宋" w:eastAsia="仿宋" w:cs="仿宋"/>
                <w:color w:val="000000"/>
                <w:sz w:val="24"/>
                <w:szCs w:val="24"/>
              </w:rPr>
              <w:t>%）</w:t>
            </w:r>
          </w:p>
        </w:tc>
        <w:tc>
          <w:tcPr>
            <w:tcW w:w="589" w:type="dxa"/>
            <w:vMerge w:val="continue"/>
            <w:tcBorders>
              <w:left w:val="single" w:color="000000" w:sz="4" w:space="0"/>
              <w:bottom w:val="single" w:color="auto" w:sz="4" w:space="0"/>
            </w:tcBorders>
            <w:vAlign w:val="center"/>
          </w:tcPr>
          <w:p w14:paraId="72A9F929">
            <w:pPr>
              <w:pageBreakBefore w:val="0"/>
              <w:tabs>
                <w:tab w:val="left" w:pos="720"/>
              </w:tabs>
              <w:kinsoku/>
              <w:overflowPunct/>
              <w:topLinePunct w:val="0"/>
              <w:bidi w:val="0"/>
              <w:spacing w:line="240" w:lineRule="auto"/>
              <w:jc w:val="center"/>
              <w:rPr>
                <w:rFonts w:hint="eastAsia" w:ascii="仿宋" w:hAnsi="仿宋" w:eastAsia="仿宋" w:cs="仿宋"/>
                <w:color w:val="000000"/>
                <w:sz w:val="24"/>
                <w:szCs w:val="24"/>
              </w:rPr>
            </w:pPr>
          </w:p>
        </w:tc>
      </w:tr>
      <w:tr w14:paraId="4F2025CA">
        <w:trPr>
          <w:gridAfter w:val="2"/>
          <w:trHeight w:val="680" w:hRule="atLeast"/>
        </w:trPr>
        <w:tc>
          <w:tcPr>
            <w:tcW w:w="1376" w:type="dxa"/>
            <w:vMerge w:val="continue"/>
            <w:vAlign w:val="center"/>
          </w:tcPr>
          <w:p w14:paraId="722BA312">
            <w:pPr>
              <w:pageBreakBefore w:val="0"/>
              <w:kinsoku/>
              <w:overflowPunct/>
              <w:topLinePunct w:val="0"/>
              <w:bidi w:val="0"/>
              <w:spacing w:line="240" w:lineRule="auto"/>
              <w:jc w:val="center"/>
              <w:rPr>
                <w:rFonts w:hint="eastAsia" w:ascii="仿宋" w:hAnsi="仿宋" w:eastAsia="仿宋" w:cs="仿宋"/>
                <w:color w:val="000000"/>
                <w:sz w:val="24"/>
                <w:szCs w:val="24"/>
                <w:lang w:eastAsia="zh-TW"/>
              </w:rPr>
            </w:pPr>
          </w:p>
        </w:tc>
        <w:tc>
          <w:tcPr>
            <w:tcW w:w="1342" w:type="dxa"/>
            <w:gridSpan w:val="2"/>
            <w:tcBorders>
              <w:bottom w:val="single" w:color="auto" w:sz="4" w:space="0"/>
            </w:tcBorders>
            <w:vAlign w:val="center"/>
          </w:tcPr>
          <w:p w14:paraId="66319B91">
            <w:pPr>
              <w:pageBreakBefore w:val="0"/>
              <w:kinsoku/>
              <w:overflowPunct/>
              <w:topLinePunct w:val="0"/>
              <w:bidi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rPr>
              <w:t>课程目标1（</w:t>
            </w:r>
            <w:r>
              <w:rPr>
                <w:rFonts w:ascii="仿宋" w:hAnsi="仿宋" w:eastAsia="仿宋" w:cs="仿宋"/>
                <w:color w:val="000000"/>
                <w:kern w:val="0"/>
                <w:sz w:val="24"/>
                <w:szCs w:val="24"/>
              </w:rPr>
              <w:t>3</w:t>
            </w:r>
            <w:r>
              <w:rPr>
                <w:rFonts w:hint="eastAsia" w:ascii="仿宋" w:hAnsi="仿宋" w:eastAsia="仿宋" w:cs="仿宋"/>
                <w:color w:val="000000"/>
                <w:kern w:val="0"/>
                <w:sz w:val="24"/>
                <w:szCs w:val="24"/>
              </w:rPr>
              <w:t>0%）</w:t>
            </w:r>
          </w:p>
        </w:tc>
        <w:tc>
          <w:tcPr>
            <w:tcW w:w="3720" w:type="dxa"/>
            <w:gridSpan w:val="5"/>
            <w:tcBorders>
              <w:bottom w:val="single" w:color="auto" w:sz="4" w:space="0"/>
              <w:right w:val="single" w:color="000000" w:sz="4" w:space="0"/>
            </w:tcBorders>
            <w:vAlign w:val="center"/>
          </w:tcPr>
          <w:p w14:paraId="7DC857BB">
            <w:pPr>
              <w:pageBreakBefore w:val="0"/>
              <w:kinsoku/>
              <w:overflowPunct/>
              <w:topLinePunct w:val="0"/>
              <w:bidi w:val="0"/>
              <w:spacing w:line="240" w:lineRule="auto"/>
              <w:jc w:val="left"/>
              <w:rPr>
                <w:rFonts w:ascii="仿宋" w:hAnsi="仿宋" w:eastAsia="仿宋" w:cs="仿宋"/>
                <w:color w:val="000000"/>
                <w:kern w:val="0"/>
                <w:sz w:val="24"/>
                <w:szCs w:val="24"/>
              </w:rPr>
            </w:pPr>
            <w:r>
              <w:rPr>
                <w:rFonts w:hint="eastAsia" w:ascii="仿宋" w:hAnsi="仿宋" w:eastAsia="仿宋" w:cs="仿宋"/>
                <w:color w:val="000000"/>
                <w:kern w:val="0"/>
                <w:sz w:val="24"/>
                <w:szCs w:val="24"/>
              </w:rPr>
              <w:t>掌握代表性民族民间舞的基本理论知识、</w:t>
            </w:r>
            <w:r>
              <w:rPr>
                <w:rFonts w:hint="eastAsia" w:ascii="仿宋" w:hAnsi="仿宋" w:eastAsia="仿宋" w:cs="仿宋"/>
                <w:color w:val="000000"/>
                <w:kern w:val="0"/>
                <w:sz w:val="24"/>
                <w:szCs w:val="24"/>
                <w:lang w:val="en-US" w:eastAsia="en-US"/>
              </w:rPr>
              <w:t>基本动律</w:t>
            </w:r>
            <w:r>
              <w:rPr>
                <w:rFonts w:hint="eastAsia" w:ascii="仿宋" w:hAnsi="仿宋" w:eastAsia="仿宋" w:cs="仿宋"/>
                <w:color w:val="000000"/>
                <w:kern w:val="0"/>
                <w:sz w:val="24"/>
                <w:szCs w:val="24"/>
                <w:lang w:eastAsia="en-US"/>
              </w:rPr>
              <w:t>、</w:t>
            </w:r>
            <w:r>
              <w:rPr>
                <w:rFonts w:hint="eastAsia" w:ascii="仿宋" w:hAnsi="仿宋" w:eastAsia="仿宋" w:cs="仿宋"/>
                <w:color w:val="000000"/>
                <w:kern w:val="0"/>
                <w:sz w:val="24"/>
                <w:szCs w:val="24"/>
                <w:lang w:val="en-US" w:eastAsia="en-US"/>
              </w:rPr>
              <w:t>基本舞姿</w:t>
            </w:r>
            <w:r>
              <w:rPr>
                <w:rFonts w:hint="eastAsia" w:ascii="仿宋" w:hAnsi="仿宋" w:eastAsia="仿宋" w:cs="仿宋"/>
                <w:color w:val="000000"/>
                <w:kern w:val="0"/>
                <w:sz w:val="24"/>
                <w:szCs w:val="24"/>
                <w:lang w:eastAsia="en-US"/>
              </w:rPr>
              <w:t>、</w:t>
            </w:r>
            <w:r>
              <w:rPr>
                <w:rFonts w:hint="eastAsia" w:ascii="仿宋" w:hAnsi="仿宋" w:eastAsia="仿宋" w:cs="仿宋"/>
                <w:color w:val="000000"/>
                <w:kern w:val="0"/>
                <w:sz w:val="24"/>
                <w:szCs w:val="24"/>
                <w:lang w:val="en-US" w:eastAsia="en-US"/>
              </w:rPr>
              <w:t>综合性表演组合等</w:t>
            </w:r>
            <w:r>
              <w:rPr>
                <w:rFonts w:hint="eastAsia" w:ascii="仿宋" w:hAnsi="仿宋" w:eastAsia="仿宋" w:cs="仿宋"/>
                <w:color w:val="000000"/>
                <w:kern w:val="0"/>
                <w:sz w:val="24"/>
                <w:szCs w:val="24"/>
                <w:lang w:eastAsia="en-US"/>
              </w:rPr>
              <w:t>，</w:t>
            </w:r>
            <w:r>
              <w:rPr>
                <w:rFonts w:hint="eastAsia" w:ascii="仿宋" w:hAnsi="仿宋" w:eastAsia="仿宋" w:cs="仿宋"/>
                <w:color w:val="000000"/>
                <w:kern w:val="0"/>
                <w:sz w:val="24"/>
                <w:szCs w:val="24"/>
                <w:lang w:val="en-US" w:eastAsia="en-US"/>
              </w:rPr>
              <w:t>掌握民间舞教学基本规律和基本方法</w:t>
            </w:r>
            <w:r>
              <w:rPr>
                <w:rFonts w:hint="eastAsia" w:ascii="仿宋" w:hAnsi="仿宋" w:eastAsia="仿宋" w:cs="仿宋"/>
                <w:color w:val="000000"/>
                <w:kern w:val="0"/>
                <w:sz w:val="24"/>
                <w:szCs w:val="24"/>
                <w:lang w:eastAsia="en-US"/>
              </w:rPr>
              <w:t>。</w:t>
            </w:r>
          </w:p>
        </w:tc>
        <w:tc>
          <w:tcPr>
            <w:tcW w:w="1308" w:type="dxa"/>
            <w:gridSpan w:val="3"/>
            <w:tcBorders>
              <w:left w:val="single" w:color="000000" w:sz="4" w:space="0"/>
              <w:bottom w:val="single" w:color="auto" w:sz="4" w:space="0"/>
              <w:right w:val="single" w:color="auto" w:sz="4" w:space="0"/>
            </w:tcBorders>
            <w:vAlign w:val="center"/>
          </w:tcPr>
          <w:p w14:paraId="72ECE781">
            <w:pPr>
              <w:pageBreakBefore w:val="0"/>
              <w:tabs>
                <w:tab w:val="left" w:pos="720"/>
              </w:tabs>
              <w:kinsoku/>
              <w:overflowPunct/>
              <w:topLinePunct w:val="0"/>
              <w:bidi w:val="0"/>
              <w:spacing w:line="240" w:lineRule="auto"/>
              <w:jc w:val="center"/>
              <w:rPr>
                <w:rFonts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18</w:t>
            </w:r>
          </w:p>
        </w:tc>
        <w:tc>
          <w:tcPr>
            <w:tcW w:w="813" w:type="dxa"/>
            <w:gridSpan w:val="2"/>
            <w:tcBorders>
              <w:left w:val="single" w:color="000000" w:sz="4" w:space="0"/>
              <w:bottom w:val="single" w:color="auto" w:sz="4" w:space="0"/>
              <w:right w:val="single" w:color="auto" w:sz="4" w:space="0"/>
            </w:tcBorders>
            <w:vAlign w:val="center"/>
          </w:tcPr>
          <w:p w14:paraId="6B929786">
            <w:pPr>
              <w:pageBreakBefore w:val="0"/>
              <w:tabs>
                <w:tab w:val="left" w:pos="720"/>
              </w:tabs>
              <w:kinsoku/>
              <w:overflowPunct/>
              <w:topLinePunct w:val="0"/>
              <w:bidi w:val="0"/>
              <w:spacing w:line="240" w:lineRule="auto"/>
              <w:jc w:val="center"/>
              <w:rPr>
                <w:rFonts w:hint="eastAsia" w:ascii="仿宋" w:hAnsi="仿宋" w:eastAsia="仿宋" w:cs="仿宋"/>
                <w:color w:val="000000"/>
                <w:kern w:val="0"/>
                <w:sz w:val="24"/>
                <w:szCs w:val="24"/>
                <w:lang w:val="en-US" w:eastAsia="zh-CN"/>
              </w:rPr>
            </w:pPr>
            <w:r>
              <w:rPr>
                <w:rFonts w:ascii="仿宋" w:hAnsi="仿宋" w:eastAsia="仿宋" w:cs="仿宋"/>
                <w:color w:val="000000"/>
                <w:kern w:val="0"/>
                <w:sz w:val="24"/>
                <w:szCs w:val="24"/>
              </w:rPr>
              <w:t>1</w:t>
            </w:r>
            <w:r>
              <w:rPr>
                <w:rFonts w:hint="eastAsia" w:ascii="仿宋" w:hAnsi="仿宋" w:eastAsia="仿宋" w:cs="仿宋"/>
                <w:color w:val="000000"/>
                <w:kern w:val="0"/>
                <w:sz w:val="24"/>
                <w:szCs w:val="24"/>
                <w:lang w:val="en-US" w:eastAsia="zh-CN"/>
              </w:rPr>
              <w:t>2</w:t>
            </w:r>
          </w:p>
        </w:tc>
        <w:tc>
          <w:tcPr>
            <w:tcW w:w="589" w:type="dxa"/>
            <w:tcBorders>
              <w:left w:val="single" w:color="auto" w:sz="4" w:space="0"/>
              <w:bottom w:val="single" w:color="auto" w:sz="4" w:space="0"/>
            </w:tcBorders>
            <w:vAlign w:val="center"/>
          </w:tcPr>
          <w:p w14:paraId="24DBF691">
            <w:pPr>
              <w:pageBreakBefore w:val="0"/>
              <w:tabs>
                <w:tab w:val="left" w:pos="720"/>
              </w:tabs>
              <w:kinsoku/>
              <w:overflowPunct/>
              <w:topLinePunct w:val="0"/>
              <w:bidi w:val="0"/>
              <w:spacing w:line="240" w:lineRule="auto"/>
              <w:jc w:val="center"/>
              <w:rPr>
                <w:rFonts w:ascii="仿宋" w:hAnsi="仿宋" w:eastAsia="仿宋" w:cs="仿宋"/>
                <w:color w:val="000000"/>
                <w:kern w:val="0"/>
                <w:sz w:val="24"/>
                <w:szCs w:val="24"/>
                <w:lang w:val="en-US" w:eastAsia="zh-CN"/>
              </w:rPr>
            </w:pPr>
            <w:r>
              <w:rPr>
                <w:rFonts w:ascii="仿宋" w:hAnsi="仿宋" w:eastAsia="仿宋" w:cs="仿宋"/>
                <w:color w:val="000000"/>
                <w:kern w:val="0"/>
                <w:sz w:val="24"/>
                <w:szCs w:val="24"/>
              </w:rPr>
              <w:t>0</w:t>
            </w:r>
            <w:r>
              <w:rPr>
                <w:rFonts w:hint="eastAsia" w:ascii="仿宋" w:hAnsi="仿宋" w:eastAsia="仿宋" w:cs="仿宋"/>
                <w:color w:val="000000"/>
                <w:kern w:val="0"/>
                <w:sz w:val="24"/>
                <w:szCs w:val="24"/>
                <w:lang w:val="en-US" w:eastAsia="en-US"/>
              </w:rPr>
              <w:t>.</w:t>
            </w:r>
            <w:r>
              <w:rPr>
                <w:rFonts w:hint="eastAsia" w:ascii="仿宋" w:hAnsi="仿宋" w:eastAsia="仿宋" w:cs="仿宋"/>
                <w:color w:val="000000"/>
                <w:kern w:val="0"/>
                <w:sz w:val="24"/>
                <w:szCs w:val="24"/>
                <w:lang w:val="en-US" w:eastAsia="zh-CN"/>
              </w:rPr>
              <w:t>70</w:t>
            </w:r>
          </w:p>
        </w:tc>
      </w:tr>
      <w:tr w14:paraId="7D2C6F0F">
        <w:trPr>
          <w:gridAfter w:val="2"/>
          <w:trHeight w:val="680" w:hRule="atLeast"/>
        </w:trPr>
        <w:tc>
          <w:tcPr>
            <w:tcW w:w="1376" w:type="dxa"/>
            <w:vMerge w:val="continue"/>
            <w:vAlign w:val="center"/>
          </w:tcPr>
          <w:p w14:paraId="03F846CE">
            <w:pPr>
              <w:pageBreakBefore w:val="0"/>
              <w:kinsoku/>
              <w:overflowPunct/>
              <w:topLinePunct w:val="0"/>
              <w:bidi w:val="0"/>
              <w:spacing w:line="240" w:lineRule="auto"/>
              <w:jc w:val="center"/>
              <w:rPr>
                <w:rFonts w:hint="eastAsia" w:ascii="仿宋" w:hAnsi="仿宋" w:eastAsia="仿宋" w:cs="仿宋"/>
                <w:color w:val="000000"/>
                <w:sz w:val="24"/>
                <w:szCs w:val="24"/>
                <w:lang w:eastAsia="zh-TW"/>
              </w:rPr>
            </w:pPr>
          </w:p>
        </w:tc>
        <w:tc>
          <w:tcPr>
            <w:tcW w:w="1342" w:type="dxa"/>
            <w:gridSpan w:val="2"/>
            <w:vAlign w:val="center"/>
          </w:tcPr>
          <w:p w14:paraId="6112917E">
            <w:pPr>
              <w:pageBreakBefore w:val="0"/>
              <w:kinsoku/>
              <w:overflowPunct/>
              <w:topLinePunct w:val="0"/>
              <w:bidi w:val="0"/>
              <w:spacing w:line="240"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课程目标2（</w:t>
            </w:r>
            <w:r>
              <w:rPr>
                <w:rFonts w:hint="eastAsia" w:ascii="仿宋" w:hAnsi="仿宋" w:eastAsia="仿宋" w:cs="仿宋"/>
                <w:color w:val="000000"/>
                <w:kern w:val="0"/>
                <w:sz w:val="24"/>
                <w:szCs w:val="24"/>
                <w:lang w:val="en-US" w:eastAsia="zh-CN"/>
              </w:rPr>
              <w:t>5</w:t>
            </w:r>
            <w:r>
              <w:rPr>
                <w:rFonts w:hint="eastAsia" w:ascii="仿宋" w:hAnsi="仿宋" w:eastAsia="仿宋" w:cs="仿宋"/>
                <w:color w:val="000000"/>
                <w:kern w:val="0"/>
                <w:sz w:val="24"/>
                <w:szCs w:val="24"/>
              </w:rPr>
              <w:t>0%）</w:t>
            </w:r>
          </w:p>
        </w:tc>
        <w:tc>
          <w:tcPr>
            <w:tcW w:w="3720" w:type="dxa"/>
            <w:gridSpan w:val="5"/>
            <w:tcBorders>
              <w:right w:val="single" w:color="000000" w:sz="4" w:space="0"/>
            </w:tcBorders>
            <w:vAlign w:val="center"/>
          </w:tcPr>
          <w:p w14:paraId="5894DA01">
            <w:pPr>
              <w:pageBreakBefore w:val="0"/>
              <w:kinsoku/>
              <w:overflowPunct/>
              <w:topLinePunct w:val="0"/>
              <w:bidi w:val="0"/>
              <w:spacing w:line="240" w:lineRule="auto"/>
              <w:jc w:val="left"/>
              <w:rPr>
                <w:rFonts w:ascii="仿宋" w:hAnsi="仿宋" w:eastAsia="仿宋" w:cs="仿宋"/>
                <w:color w:val="000000"/>
                <w:kern w:val="0"/>
                <w:sz w:val="24"/>
                <w:szCs w:val="24"/>
                <w:lang w:eastAsia="en-US"/>
              </w:rPr>
            </w:pPr>
            <w:r>
              <w:rPr>
                <w:rFonts w:hint="eastAsia" w:ascii="仿宋" w:hAnsi="仿宋" w:eastAsia="仿宋" w:cs="仿宋"/>
                <w:color w:val="000000"/>
                <w:kern w:val="0"/>
                <w:sz w:val="24"/>
                <w:szCs w:val="24"/>
                <w:lang w:val="en-US" w:eastAsia="en-US"/>
              </w:rPr>
              <w:t>理解和区分不同民族民间舞蹈的风格差异</w:t>
            </w:r>
            <w:r>
              <w:rPr>
                <w:rFonts w:hint="eastAsia" w:ascii="仿宋" w:hAnsi="仿宋" w:eastAsia="仿宋" w:cs="仿宋"/>
                <w:color w:val="000000"/>
                <w:kern w:val="0"/>
                <w:sz w:val="24"/>
                <w:szCs w:val="24"/>
                <w:lang w:eastAsia="en-US"/>
              </w:rPr>
              <w:t>，</w:t>
            </w:r>
            <w:r>
              <w:rPr>
                <w:rFonts w:hint="eastAsia" w:ascii="仿宋" w:hAnsi="仿宋" w:eastAsia="仿宋" w:cs="仿宋"/>
                <w:color w:val="000000"/>
                <w:kern w:val="0"/>
                <w:sz w:val="24"/>
                <w:szCs w:val="24"/>
                <w:lang w:val="en-US" w:eastAsia="en-US"/>
              </w:rPr>
              <w:t>领会不同民族民间舞蹈的历史以及文化传承的价值与意义</w:t>
            </w:r>
            <w:r>
              <w:rPr>
                <w:rFonts w:hint="eastAsia" w:ascii="仿宋" w:hAnsi="仿宋" w:eastAsia="仿宋" w:cs="仿宋"/>
                <w:color w:val="000000"/>
                <w:kern w:val="0"/>
                <w:sz w:val="24"/>
                <w:szCs w:val="24"/>
                <w:lang w:eastAsia="en-US"/>
              </w:rPr>
              <w:t>，</w:t>
            </w:r>
            <w:r>
              <w:rPr>
                <w:rFonts w:hint="eastAsia" w:ascii="仿宋" w:hAnsi="仿宋" w:eastAsia="仿宋" w:cs="仿宋"/>
                <w:color w:val="000000"/>
                <w:kern w:val="0"/>
                <w:sz w:val="24"/>
                <w:szCs w:val="24"/>
                <w:lang w:val="en-US" w:eastAsia="en-US"/>
              </w:rPr>
              <w:t>指导课堂教学与舞蹈活动</w:t>
            </w:r>
            <w:r>
              <w:rPr>
                <w:rFonts w:hint="eastAsia" w:ascii="仿宋" w:hAnsi="仿宋" w:eastAsia="仿宋" w:cs="仿宋"/>
                <w:color w:val="000000"/>
                <w:kern w:val="0"/>
                <w:sz w:val="24"/>
                <w:szCs w:val="24"/>
                <w:lang w:eastAsia="en-US"/>
              </w:rPr>
              <w:t>。</w:t>
            </w:r>
          </w:p>
        </w:tc>
        <w:tc>
          <w:tcPr>
            <w:tcW w:w="1308" w:type="dxa"/>
            <w:gridSpan w:val="3"/>
            <w:tcBorders>
              <w:left w:val="single" w:color="000000" w:sz="4" w:space="0"/>
            </w:tcBorders>
            <w:vAlign w:val="center"/>
          </w:tcPr>
          <w:p w14:paraId="78656505">
            <w:pPr>
              <w:pageBreakBefore w:val="0"/>
              <w:tabs>
                <w:tab w:val="left" w:pos="720"/>
              </w:tabs>
              <w:kinsoku/>
              <w:overflowPunct/>
              <w:topLinePunct w:val="0"/>
              <w:bidi w:val="0"/>
              <w:spacing w:line="240" w:lineRule="auto"/>
              <w:jc w:val="center"/>
              <w:rPr>
                <w:rFonts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30</w:t>
            </w:r>
          </w:p>
        </w:tc>
        <w:tc>
          <w:tcPr>
            <w:tcW w:w="813" w:type="dxa"/>
            <w:gridSpan w:val="2"/>
            <w:tcBorders>
              <w:left w:val="single" w:color="000000" w:sz="4" w:space="0"/>
              <w:bottom w:val="single" w:color="000000" w:sz="4" w:space="0"/>
              <w:right w:val="single" w:color="000000" w:sz="4" w:space="0"/>
            </w:tcBorders>
            <w:vAlign w:val="center"/>
          </w:tcPr>
          <w:p w14:paraId="56DA020C">
            <w:pPr>
              <w:pageBreakBefore w:val="0"/>
              <w:tabs>
                <w:tab w:val="left" w:pos="720"/>
              </w:tabs>
              <w:kinsoku/>
              <w:overflowPunct/>
              <w:topLinePunct w:val="0"/>
              <w:bidi w:val="0"/>
              <w:spacing w:line="240" w:lineRule="auto"/>
              <w:jc w:val="center"/>
              <w:rPr>
                <w:rFonts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20</w:t>
            </w:r>
          </w:p>
        </w:tc>
        <w:tc>
          <w:tcPr>
            <w:tcW w:w="589" w:type="dxa"/>
            <w:tcBorders>
              <w:left w:val="single" w:color="000000" w:sz="4" w:space="0"/>
              <w:bottom w:val="single" w:color="000000" w:sz="4" w:space="0"/>
            </w:tcBorders>
            <w:vAlign w:val="center"/>
          </w:tcPr>
          <w:p w14:paraId="039329EB">
            <w:pPr>
              <w:pageBreakBefore w:val="0"/>
              <w:tabs>
                <w:tab w:val="left" w:pos="720"/>
              </w:tabs>
              <w:kinsoku/>
              <w:overflowPunct/>
              <w:topLinePunct w:val="0"/>
              <w:bidi w:val="0"/>
              <w:spacing w:line="240" w:lineRule="auto"/>
              <w:jc w:val="center"/>
              <w:rPr>
                <w:rFonts w:hint="eastAsia" w:ascii="仿宋" w:hAnsi="仿宋" w:eastAsia="仿宋" w:cs="仿宋"/>
                <w:color w:val="000000"/>
                <w:kern w:val="0"/>
                <w:sz w:val="24"/>
                <w:szCs w:val="24"/>
                <w:lang w:val="en-US" w:eastAsia="zh-CN"/>
              </w:rPr>
            </w:pPr>
            <w:r>
              <w:rPr>
                <w:rFonts w:ascii="仿宋" w:hAnsi="仿宋" w:eastAsia="仿宋" w:cs="仿宋"/>
                <w:color w:val="000000"/>
                <w:kern w:val="0"/>
                <w:sz w:val="24"/>
                <w:szCs w:val="24"/>
              </w:rPr>
              <w:t>0</w:t>
            </w:r>
            <w:r>
              <w:rPr>
                <w:rFonts w:hint="eastAsia" w:ascii="仿宋" w:hAnsi="仿宋" w:eastAsia="仿宋" w:cs="仿宋"/>
                <w:color w:val="000000"/>
                <w:kern w:val="0"/>
                <w:sz w:val="24"/>
                <w:szCs w:val="24"/>
                <w:lang w:val="en-US" w:eastAsia="en-US"/>
              </w:rPr>
              <w:t>.</w:t>
            </w:r>
            <w:r>
              <w:rPr>
                <w:rFonts w:ascii="仿宋" w:hAnsi="仿宋" w:eastAsia="仿宋" w:cs="仿宋"/>
                <w:color w:val="000000"/>
                <w:kern w:val="0"/>
                <w:sz w:val="24"/>
                <w:szCs w:val="24"/>
                <w:lang w:eastAsia="en-US"/>
              </w:rPr>
              <w:t>7</w:t>
            </w:r>
            <w:r>
              <w:rPr>
                <w:rFonts w:hint="eastAsia" w:ascii="仿宋" w:hAnsi="仿宋" w:eastAsia="仿宋" w:cs="仿宋"/>
                <w:color w:val="000000"/>
                <w:kern w:val="0"/>
                <w:sz w:val="24"/>
                <w:szCs w:val="24"/>
                <w:lang w:val="en-US" w:eastAsia="zh-CN"/>
              </w:rPr>
              <w:t>0</w:t>
            </w:r>
          </w:p>
        </w:tc>
      </w:tr>
      <w:tr w14:paraId="20CA4017">
        <w:trPr>
          <w:gridAfter w:val="2"/>
          <w:trHeight w:val="680" w:hRule="atLeast"/>
        </w:trPr>
        <w:tc>
          <w:tcPr>
            <w:tcW w:w="1376" w:type="dxa"/>
            <w:vMerge w:val="continue"/>
            <w:vAlign w:val="center"/>
          </w:tcPr>
          <w:p w14:paraId="66C87999">
            <w:pPr>
              <w:pageBreakBefore w:val="0"/>
              <w:kinsoku/>
              <w:overflowPunct/>
              <w:topLinePunct w:val="0"/>
              <w:bidi w:val="0"/>
              <w:spacing w:line="240" w:lineRule="auto"/>
              <w:jc w:val="center"/>
              <w:rPr>
                <w:rFonts w:hint="eastAsia" w:ascii="仿宋" w:hAnsi="仿宋" w:eastAsia="仿宋" w:cs="仿宋"/>
                <w:color w:val="000000"/>
                <w:sz w:val="24"/>
                <w:szCs w:val="24"/>
                <w:lang w:eastAsia="zh-TW"/>
              </w:rPr>
            </w:pPr>
          </w:p>
        </w:tc>
        <w:tc>
          <w:tcPr>
            <w:tcW w:w="1342" w:type="dxa"/>
            <w:gridSpan w:val="2"/>
            <w:tcBorders>
              <w:bottom w:val="single" w:color="auto" w:sz="4" w:space="0"/>
            </w:tcBorders>
            <w:vAlign w:val="center"/>
          </w:tcPr>
          <w:p w14:paraId="4C4A04D4">
            <w:pPr>
              <w:pageBreakBefore w:val="0"/>
              <w:kinsoku/>
              <w:overflowPunct/>
              <w:topLinePunct w:val="0"/>
              <w:bidi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rPr>
              <w:t>课程目标3（</w:t>
            </w:r>
            <w:r>
              <w:rPr>
                <w:rFonts w:hint="eastAsia" w:ascii="仿宋" w:hAnsi="仿宋" w:eastAsia="仿宋" w:cs="仿宋"/>
                <w:color w:val="000000"/>
                <w:kern w:val="0"/>
                <w:sz w:val="24"/>
                <w:szCs w:val="24"/>
                <w:lang w:val="en-US" w:eastAsia="zh-CN"/>
              </w:rPr>
              <w:t>2</w:t>
            </w:r>
            <w:r>
              <w:rPr>
                <w:rFonts w:hint="eastAsia" w:ascii="仿宋" w:hAnsi="仿宋" w:eastAsia="仿宋" w:cs="仿宋"/>
                <w:color w:val="000000"/>
                <w:kern w:val="0"/>
                <w:sz w:val="24"/>
                <w:szCs w:val="24"/>
              </w:rPr>
              <w:t>0%）</w:t>
            </w:r>
          </w:p>
        </w:tc>
        <w:tc>
          <w:tcPr>
            <w:tcW w:w="3720" w:type="dxa"/>
            <w:gridSpan w:val="5"/>
            <w:tcBorders>
              <w:bottom w:val="single" w:color="auto" w:sz="4" w:space="0"/>
              <w:right w:val="single" w:color="000000" w:sz="4" w:space="0"/>
            </w:tcBorders>
            <w:vAlign w:val="center"/>
          </w:tcPr>
          <w:p w14:paraId="664A0A7F">
            <w:pPr>
              <w:pageBreakBefore w:val="0"/>
              <w:kinsoku/>
              <w:overflowPunct/>
              <w:topLinePunct w:val="0"/>
              <w:bidi w:val="0"/>
              <w:spacing w:line="240" w:lineRule="auto"/>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明确领会舞蹈学科教学综合育人的意义</w:t>
            </w:r>
            <w:r>
              <w:rPr>
                <w:rFonts w:hint="eastAsia" w:ascii="仿宋" w:hAnsi="仿宋" w:eastAsia="仿宋" w:cs="仿宋"/>
                <w:color w:val="000000"/>
                <w:kern w:val="0"/>
                <w:sz w:val="24"/>
                <w:szCs w:val="24"/>
                <w:lang w:eastAsia="en-US"/>
              </w:rPr>
              <w:t>，</w:t>
            </w:r>
            <w:r>
              <w:rPr>
                <w:rStyle w:val="239"/>
                <w:rFonts w:hint="eastAsia" w:ascii="仿宋" w:hAnsi="仿宋" w:eastAsia="仿宋"/>
                <w:color w:val="000000"/>
                <w:sz w:val="24"/>
                <w:szCs w:val="24"/>
              </w:rPr>
              <w:t>理解</w:t>
            </w:r>
            <w:r>
              <w:rPr>
                <w:rStyle w:val="239"/>
                <w:rFonts w:hint="eastAsia" w:ascii="仿宋" w:hAnsi="仿宋" w:eastAsia="仿宋"/>
                <w:color w:val="000000"/>
                <w:sz w:val="24"/>
                <w:szCs w:val="24"/>
                <w:lang w:val="en-US" w:eastAsia="en-US"/>
              </w:rPr>
              <w:t>舞蹈</w:t>
            </w:r>
            <w:r>
              <w:rPr>
                <w:rStyle w:val="239"/>
                <w:rFonts w:hint="eastAsia" w:ascii="仿宋" w:hAnsi="仿宋" w:eastAsia="仿宋"/>
                <w:color w:val="000000"/>
                <w:sz w:val="24"/>
                <w:szCs w:val="24"/>
              </w:rPr>
              <w:t>教学与人的全面发展的关系；</w:t>
            </w:r>
            <w:r>
              <w:rPr>
                <w:rStyle w:val="239"/>
                <w:rFonts w:hint="eastAsia" w:ascii="仿宋" w:hAnsi="仿宋" w:eastAsia="仿宋"/>
                <w:color w:val="000000"/>
                <w:sz w:val="24"/>
                <w:szCs w:val="24"/>
                <w:lang w:val="en-US" w:eastAsia="en-US"/>
              </w:rPr>
              <w:t>初步</w:t>
            </w:r>
            <w:r>
              <w:rPr>
                <w:rStyle w:val="239"/>
                <w:rFonts w:hint="eastAsia" w:ascii="仿宋" w:hAnsi="仿宋" w:eastAsia="仿宋"/>
                <w:color w:val="000000"/>
                <w:sz w:val="24"/>
                <w:szCs w:val="24"/>
              </w:rPr>
              <w:t>掌握综合育人的规律和方法，</w:t>
            </w:r>
            <w:r>
              <w:rPr>
                <w:rStyle w:val="239"/>
                <w:rFonts w:hint="eastAsia" w:ascii="仿宋" w:hAnsi="仿宋" w:eastAsia="仿宋"/>
                <w:color w:val="000000"/>
                <w:sz w:val="24"/>
                <w:szCs w:val="24"/>
                <w:lang w:val="en-US" w:eastAsia="en-US"/>
              </w:rPr>
              <w:t>能够在民间舞</w:t>
            </w:r>
            <w:r>
              <w:rPr>
                <w:rStyle w:val="239"/>
                <w:rFonts w:hint="eastAsia" w:ascii="仿宋" w:hAnsi="仿宋" w:eastAsia="仿宋"/>
                <w:color w:val="000000"/>
                <w:sz w:val="24"/>
                <w:szCs w:val="24"/>
              </w:rPr>
              <w:t>课堂教学</w:t>
            </w:r>
            <w:r>
              <w:rPr>
                <w:rStyle w:val="239"/>
                <w:rFonts w:hint="eastAsia" w:ascii="仿宋" w:hAnsi="仿宋" w:eastAsia="仿宋"/>
                <w:color w:val="000000"/>
                <w:sz w:val="24"/>
                <w:szCs w:val="24"/>
                <w:lang w:val="en-US" w:eastAsia="en-US"/>
              </w:rPr>
              <w:t>与舞蹈实践中</w:t>
            </w:r>
            <w:r>
              <w:rPr>
                <w:rStyle w:val="239"/>
                <w:rFonts w:hint="eastAsia" w:ascii="仿宋" w:hAnsi="仿宋" w:eastAsia="仿宋"/>
                <w:color w:val="000000"/>
                <w:sz w:val="24"/>
                <w:szCs w:val="24"/>
              </w:rPr>
              <w:t>开展综合育人活动</w:t>
            </w:r>
            <w:r>
              <w:rPr>
                <w:rFonts w:hint="eastAsia" w:ascii="仿宋" w:hAnsi="仿宋" w:eastAsia="仿宋" w:cs="仿宋"/>
                <w:color w:val="000000"/>
                <w:sz w:val="24"/>
                <w:szCs w:val="24"/>
              </w:rPr>
              <w:t>。</w:t>
            </w:r>
          </w:p>
        </w:tc>
        <w:tc>
          <w:tcPr>
            <w:tcW w:w="1308" w:type="dxa"/>
            <w:gridSpan w:val="3"/>
            <w:tcBorders>
              <w:left w:val="single" w:color="000000" w:sz="4" w:space="0"/>
              <w:bottom w:val="single" w:color="auto" w:sz="4" w:space="0"/>
            </w:tcBorders>
            <w:vAlign w:val="center"/>
          </w:tcPr>
          <w:p w14:paraId="5D6A8BB9">
            <w:pPr>
              <w:pageBreakBefore w:val="0"/>
              <w:tabs>
                <w:tab w:val="left" w:pos="720"/>
              </w:tabs>
              <w:kinsoku/>
              <w:overflowPunct/>
              <w:topLinePunct w:val="0"/>
              <w:bidi w:val="0"/>
              <w:spacing w:line="240" w:lineRule="auto"/>
              <w:jc w:val="center"/>
              <w:rPr>
                <w:rFonts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12</w:t>
            </w:r>
          </w:p>
        </w:tc>
        <w:tc>
          <w:tcPr>
            <w:tcW w:w="813" w:type="dxa"/>
            <w:gridSpan w:val="2"/>
            <w:tcBorders>
              <w:top w:val="single" w:color="000000" w:sz="4" w:space="0"/>
              <w:left w:val="single" w:color="000000" w:sz="4" w:space="0"/>
              <w:bottom w:val="single" w:color="auto" w:sz="4" w:space="0"/>
              <w:right w:val="single" w:color="000000" w:sz="4" w:space="0"/>
            </w:tcBorders>
            <w:vAlign w:val="center"/>
          </w:tcPr>
          <w:p w14:paraId="33DA0BEC">
            <w:pPr>
              <w:pageBreakBefore w:val="0"/>
              <w:tabs>
                <w:tab w:val="left" w:pos="720"/>
              </w:tabs>
              <w:kinsoku/>
              <w:overflowPunct/>
              <w:topLinePunct w:val="0"/>
              <w:bidi w:val="0"/>
              <w:spacing w:line="240" w:lineRule="auto"/>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8</w:t>
            </w:r>
          </w:p>
        </w:tc>
        <w:tc>
          <w:tcPr>
            <w:tcW w:w="589" w:type="dxa"/>
            <w:tcBorders>
              <w:top w:val="single" w:color="000000" w:sz="4" w:space="0"/>
              <w:left w:val="single" w:color="000000" w:sz="4" w:space="0"/>
              <w:bottom w:val="single" w:color="auto" w:sz="4" w:space="0"/>
            </w:tcBorders>
            <w:vAlign w:val="center"/>
          </w:tcPr>
          <w:p w14:paraId="6D6DF335">
            <w:pPr>
              <w:pageBreakBefore w:val="0"/>
              <w:tabs>
                <w:tab w:val="left" w:pos="720"/>
              </w:tabs>
              <w:kinsoku/>
              <w:overflowPunct/>
              <w:topLinePunct w:val="0"/>
              <w:bidi w:val="0"/>
              <w:spacing w:line="240" w:lineRule="auto"/>
              <w:jc w:val="center"/>
              <w:rPr>
                <w:rFonts w:hint="eastAsia" w:ascii="仿宋" w:hAnsi="仿宋" w:eastAsia="仿宋" w:cs="仿宋"/>
                <w:color w:val="000000"/>
                <w:kern w:val="0"/>
                <w:sz w:val="24"/>
                <w:szCs w:val="24"/>
                <w:lang w:val="en-US" w:eastAsia="zh-CN"/>
              </w:rPr>
            </w:pPr>
            <w:r>
              <w:rPr>
                <w:rFonts w:ascii="仿宋" w:hAnsi="仿宋" w:eastAsia="仿宋" w:cs="仿宋"/>
                <w:color w:val="000000"/>
                <w:kern w:val="0"/>
                <w:sz w:val="24"/>
                <w:szCs w:val="24"/>
              </w:rPr>
              <w:t>0</w:t>
            </w:r>
            <w:r>
              <w:rPr>
                <w:rFonts w:hint="eastAsia" w:ascii="仿宋" w:hAnsi="仿宋" w:eastAsia="仿宋" w:cs="仿宋"/>
                <w:color w:val="000000"/>
                <w:kern w:val="0"/>
                <w:sz w:val="24"/>
                <w:szCs w:val="24"/>
                <w:lang w:val="en-US" w:eastAsia="en-US"/>
              </w:rPr>
              <w:t>.</w:t>
            </w:r>
            <w:r>
              <w:rPr>
                <w:rFonts w:ascii="仿宋" w:hAnsi="仿宋" w:eastAsia="仿宋" w:cs="仿宋"/>
                <w:color w:val="000000"/>
                <w:kern w:val="0"/>
                <w:sz w:val="24"/>
                <w:szCs w:val="24"/>
                <w:lang w:eastAsia="en-US"/>
              </w:rPr>
              <w:t>7</w:t>
            </w:r>
            <w:r>
              <w:rPr>
                <w:rFonts w:hint="eastAsia" w:ascii="仿宋" w:hAnsi="仿宋" w:eastAsia="仿宋" w:cs="仿宋"/>
                <w:color w:val="000000"/>
                <w:kern w:val="0"/>
                <w:sz w:val="24"/>
                <w:szCs w:val="24"/>
                <w:lang w:val="en-US" w:eastAsia="zh-CN"/>
              </w:rPr>
              <w:t>0</w:t>
            </w:r>
          </w:p>
        </w:tc>
      </w:tr>
      <w:tr w14:paraId="12A65BF6">
        <w:trPr>
          <w:gridAfter w:val="2"/>
          <w:trHeight w:val="680" w:hRule="atLeast"/>
        </w:trPr>
        <w:tc>
          <w:tcPr>
            <w:tcW w:w="1376" w:type="dxa"/>
            <w:vMerge w:val="continue"/>
            <w:vAlign w:val="center"/>
          </w:tcPr>
          <w:p w14:paraId="7CED95E6">
            <w:pPr>
              <w:pageBreakBefore w:val="0"/>
              <w:kinsoku/>
              <w:overflowPunct/>
              <w:topLinePunct w:val="0"/>
              <w:bidi w:val="0"/>
              <w:spacing w:line="240" w:lineRule="auto"/>
              <w:jc w:val="center"/>
              <w:rPr>
                <w:rFonts w:hint="eastAsia" w:ascii="仿宋" w:hAnsi="仿宋" w:eastAsia="仿宋" w:cs="仿宋"/>
                <w:color w:val="000000"/>
                <w:sz w:val="24"/>
                <w:szCs w:val="24"/>
                <w:lang w:eastAsia="zh-TW"/>
              </w:rPr>
            </w:pPr>
          </w:p>
        </w:tc>
        <w:tc>
          <w:tcPr>
            <w:tcW w:w="5062" w:type="dxa"/>
            <w:gridSpan w:val="7"/>
            <w:tcBorders>
              <w:bottom w:val="single" w:color="auto" w:sz="4" w:space="0"/>
              <w:right w:val="single" w:color="000000" w:sz="4" w:space="0"/>
            </w:tcBorders>
            <w:vAlign w:val="center"/>
          </w:tcPr>
          <w:p w14:paraId="3AF55040">
            <w:pPr>
              <w:pageBreakBefore w:val="0"/>
              <w:widowControl/>
              <w:kinsoku/>
              <w:overflowPunct/>
              <w:topLinePunct w:val="0"/>
              <w:autoSpaceDE w:val="0"/>
              <w:autoSpaceDN w:val="0"/>
              <w:bidi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总分</w:t>
            </w:r>
          </w:p>
        </w:tc>
        <w:tc>
          <w:tcPr>
            <w:tcW w:w="1308" w:type="dxa"/>
            <w:gridSpan w:val="3"/>
            <w:tcBorders>
              <w:left w:val="single" w:color="000000" w:sz="4" w:space="0"/>
              <w:bottom w:val="single" w:color="auto" w:sz="4" w:space="0"/>
            </w:tcBorders>
            <w:vAlign w:val="center"/>
          </w:tcPr>
          <w:p w14:paraId="3196E2CA">
            <w:pPr>
              <w:pageBreakBefore w:val="0"/>
              <w:tabs>
                <w:tab w:val="left" w:pos="720"/>
              </w:tabs>
              <w:kinsoku/>
              <w:overflowPunct/>
              <w:topLinePunct w:val="0"/>
              <w:bidi w:val="0"/>
              <w:spacing w:line="240" w:lineRule="auto"/>
              <w:jc w:val="center"/>
              <w:rPr>
                <w:rFonts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60</w:t>
            </w:r>
          </w:p>
        </w:tc>
        <w:tc>
          <w:tcPr>
            <w:tcW w:w="813" w:type="dxa"/>
            <w:gridSpan w:val="2"/>
            <w:tcBorders>
              <w:top w:val="single" w:color="000000" w:sz="4" w:space="0"/>
              <w:left w:val="single" w:color="000000" w:sz="4" w:space="0"/>
              <w:bottom w:val="single" w:color="auto" w:sz="4" w:space="0"/>
              <w:right w:val="single" w:color="000000" w:sz="4" w:space="0"/>
            </w:tcBorders>
            <w:vAlign w:val="center"/>
          </w:tcPr>
          <w:p w14:paraId="28B614CC">
            <w:pPr>
              <w:pageBreakBefore w:val="0"/>
              <w:tabs>
                <w:tab w:val="left" w:pos="720"/>
              </w:tabs>
              <w:kinsoku/>
              <w:overflowPunct/>
              <w:topLinePunct w:val="0"/>
              <w:bidi w:val="0"/>
              <w:spacing w:line="240" w:lineRule="auto"/>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4</w:t>
            </w:r>
            <w:r>
              <w:rPr>
                <w:rFonts w:ascii="仿宋" w:hAnsi="仿宋" w:eastAsia="仿宋" w:cs="仿宋"/>
                <w:color w:val="000000"/>
                <w:kern w:val="0"/>
                <w:sz w:val="24"/>
                <w:szCs w:val="24"/>
              </w:rPr>
              <w:t>0</w:t>
            </w:r>
          </w:p>
        </w:tc>
        <w:tc>
          <w:tcPr>
            <w:tcW w:w="589" w:type="dxa"/>
            <w:tcBorders>
              <w:top w:val="single" w:color="000000" w:sz="4" w:space="0"/>
              <w:left w:val="single" w:color="000000" w:sz="4" w:space="0"/>
              <w:bottom w:val="single" w:color="auto" w:sz="4" w:space="0"/>
            </w:tcBorders>
            <w:vAlign w:val="center"/>
          </w:tcPr>
          <w:p w14:paraId="63F7F16F">
            <w:pPr>
              <w:pageBreakBefore w:val="0"/>
              <w:tabs>
                <w:tab w:val="left" w:pos="720"/>
              </w:tabs>
              <w:kinsoku/>
              <w:overflowPunct/>
              <w:topLinePunct w:val="0"/>
              <w:bidi w:val="0"/>
              <w:spacing w:line="240" w:lineRule="auto"/>
              <w:jc w:val="center"/>
              <w:rPr>
                <w:rFonts w:hint="eastAsia" w:ascii="仿宋" w:hAnsi="仿宋" w:eastAsia="仿宋" w:cs="仿宋"/>
                <w:color w:val="000000"/>
                <w:kern w:val="0"/>
                <w:sz w:val="24"/>
                <w:szCs w:val="24"/>
                <w:lang w:val="en-US" w:eastAsia="zh-CN"/>
              </w:rPr>
            </w:pPr>
            <w:r>
              <w:rPr>
                <w:rFonts w:ascii="仿宋" w:hAnsi="仿宋" w:eastAsia="仿宋" w:cs="仿宋"/>
                <w:color w:val="000000"/>
                <w:kern w:val="0"/>
                <w:sz w:val="24"/>
                <w:szCs w:val="24"/>
              </w:rPr>
              <w:t>0</w:t>
            </w:r>
            <w:r>
              <w:rPr>
                <w:rFonts w:hint="eastAsia" w:ascii="仿宋" w:hAnsi="仿宋" w:eastAsia="仿宋" w:cs="仿宋"/>
                <w:color w:val="000000"/>
                <w:kern w:val="0"/>
                <w:sz w:val="24"/>
                <w:szCs w:val="24"/>
                <w:lang w:val="en-US" w:eastAsia="en-US"/>
              </w:rPr>
              <w:t>.</w:t>
            </w:r>
            <w:r>
              <w:rPr>
                <w:rFonts w:ascii="仿宋" w:hAnsi="仿宋" w:eastAsia="仿宋" w:cs="仿宋"/>
                <w:color w:val="000000"/>
                <w:kern w:val="0"/>
                <w:sz w:val="24"/>
                <w:szCs w:val="24"/>
                <w:lang w:eastAsia="en-US"/>
              </w:rPr>
              <w:t>7</w:t>
            </w:r>
            <w:r>
              <w:rPr>
                <w:rFonts w:hint="eastAsia" w:ascii="仿宋" w:hAnsi="仿宋" w:eastAsia="仿宋" w:cs="仿宋"/>
                <w:color w:val="000000"/>
                <w:kern w:val="0"/>
                <w:sz w:val="24"/>
                <w:szCs w:val="24"/>
                <w:lang w:val="en-US" w:eastAsia="zh-CN"/>
              </w:rPr>
              <w:t>0</w:t>
            </w:r>
          </w:p>
        </w:tc>
      </w:tr>
      <w:tr w14:paraId="675B38A9">
        <w:trPr>
          <w:gridAfter w:val="2"/>
          <w:trHeight w:val="680" w:hRule="atLeast"/>
        </w:trPr>
        <w:tc>
          <w:tcPr>
            <w:tcW w:w="1376" w:type="dxa"/>
            <w:vAlign w:val="center"/>
          </w:tcPr>
          <w:p w14:paraId="3B8E6BC2">
            <w:pPr>
              <w:pageBreakBefore w:val="0"/>
              <w:kinsoku/>
              <w:overflowPunct/>
              <w:topLinePunct w:val="0"/>
              <w:bidi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L</w:t>
            </w:r>
          </w:p>
          <w:p w14:paraId="73FF29E3">
            <w:pPr>
              <w:pageBreakBefore w:val="0"/>
              <w:kinsoku/>
              <w:overflowPunct/>
              <w:topLinePunct w:val="0"/>
              <w:bidi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学习建议</w:t>
            </w:r>
          </w:p>
        </w:tc>
        <w:tc>
          <w:tcPr>
            <w:tcW w:w="7772" w:type="dxa"/>
            <w:gridSpan w:val="13"/>
            <w:tcBorders>
              <w:bottom w:val="single" w:color="auto" w:sz="4" w:space="0"/>
            </w:tcBorders>
            <w:vAlign w:val="center"/>
          </w:tcPr>
          <w:p w14:paraId="43DA8629">
            <w:pPr>
              <w:pageBreakBefore w:val="0"/>
              <w:kinsoku/>
              <w:overflowPunct/>
              <w:topLinePunct w:val="0"/>
              <w:bidi w:val="0"/>
              <w:spacing w:line="240" w:lineRule="auto"/>
              <w:rPr>
                <w:rFonts w:hint="eastAsia" w:ascii="仿宋" w:hAnsi="仿宋" w:eastAsia="仿宋" w:cs="仿宋"/>
                <w:bCs/>
                <w:color w:val="000000"/>
                <w:sz w:val="24"/>
                <w:szCs w:val="24"/>
              </w:rPr>
            </w:pPr>
            <w:r>
              <w:rPr>
                <w:rFonts w:hint="eastAsia" w:ascii="仿宋" w:hAnsi="仿宋" w:eastAsia="仿宋" w:cs="仿宋"/>
                <w:bCs/>
                <w:color w:val="000000"/>
                <w:sz w:val="24"/>
                <w:szCs w:val="24"/>
              </w:rPr>
              <w:t>1.</w:t>
            </w:r>
            <w:r>
              <w:rPr>
                <w:rFonts w:hint="eastAsia" w:ascii="仿宋" w:hAnsi="仿宋" w:eastAsia="仿宋" w:cs="仿宋"/>
                <w:bCs/>
                <w:color w:val="000000"/>
                <w:sz w:val="24"/>
                <w:szCs w:val="24"/>
                <w:lang w:val="en-US" w:eastAsia="zh-CN"/>
              </w:rPr>
              <w:t>课后练习</w:t>
            </w:r>
            <w:r>
              <w:rPr>
                <w:rFonts w:hint="eastAsia" w:ascii="仿宋" w:hAnsi="仿宋" w:eastAsia="仿宋" w:cs="仿宋"/>
                <w:bCs/>
                <w:color w:val="000000"/>
                <w:sz w:val="24"/>
                <w:szCs w:val="24"/>
              </w:rPr>
              <w:t>。建议学生</w:t>
            </w:r>
            <w:r>
              <w:rPr>
                <w:rFonts w:hint="eastAsia" w:ascii="仿宋" w:hAnsi="仿宋" w:eastAsia="仿宋" w:cs="仿宋"/>
                <w:bCs/>
                <w:color w:val="000000"/>
                <w:sz w:val="24"/>
                <w:szCs w:val="24"/>
                <w:lang w:val="en-US" w:eastAsia="zh-CN"/>
              </w:rPr>
              <w:t>课下反复练习</w:t>
            </w:r>
            <w:r>
              <w:rPr>
                <w:rFonts w:hint="eastAsia" w:ascii="仿宋" w:hAnsi="仿宋" w:eastAsia="仿宋" w:cs="仿宋"/>
                <w:bCs/>
                <w:color w:val="000000"/>
                <w:sz w:val="24"/>
                <w:szCs w:val="24"/>
              </w:rPr>
              <w:t>，规划自己的课程学习计划，充分发挥自身的学习能动性。</w:t>
            </w:r>
          </w:p>
          <w:p w14:paraId="2FFB3657">
            <w:pPr>
              <w:pageBreakBefore w:val="0"/>
              <w:kinsoku/>
              <w:overflowPunct/>
              <w:topLinePunct w:val="0"/>
              <w:bidi w:val="0"/>
              <w:spacing w:line="240" w:lineRule="auto"/>
              <w:rPr>
                <w:rFonts w:hint="eastAsia" w:ascii="仿宋" w:hAnsi="仿宋" w:eastAsia="仿宋" w:cs="仿宋"/>
                <w:color w:val="000000"/>
                <w:kern w:val="0"/>
                <w:sz w:val="24"/>
                <w:szCs w:val="24"/>
              </w:rPr>
            </w:pPr>
            <w:r>
              <w:rPr>
                <w:rFonts w:hint="eastAsia" w:ascii="仿宋" w:hAnsi="仿宋" w:eastAsia="仿宋" w:cs="仿宋"/>
                <w:bCs/>
                <w:color w:val="000000"/>
                <w:sz w:val="24"/>
                <w:szCs w:val="24"/>
              </w:rPr>
              <w:t>2.研究性学习。鼓励学生针对课程教学内容，尝试理论课结合实践的教学方式，提高学生的学习兴趣，了解我国少数民族</w:t>
            </w:r>
            <w:r>
              <w:rPr>
                <w:rFonts w:hint="eastAsia" w:ascii="仿宋" w:hAnsi="仿宋" w:eastAsia="仿宋" w:cs="仿宋"/>
                <w:bCs/>
                <w:color w:val="000000"/>
                <w:sz w:val="24"/>
                <w:szCs w:val="24"/>
                <w:lang w:val="en-US" w:eastAsia="en-US"/>
              </w:rPr>
              <w:t>优秀的传统</w:t>
            </w:r>
            <w:r>
              <w:rPr>
                <w:rFonts w:hint="eastAsia" w:ascii="仿宋" w:hAnsi="仿宋" w:eastAsia="仿宋" w:cs="仿宋"/>
                <w:bCs/>
                <w:color w:val="000000"/>
                <w:sz w:val="24"/>
                <w:szCs w:val="24"/>
              </w:rPr>
              <w:t>民间舞蹈，开阔学生的视野，</w:t>
            </w:r>
            <w:r>
              <w:rPr>
                <w:rFonts w:hint="eastAsia" w:ascii="仿宋" w:hAnsi="仿宋" w:eastAsia="仿宋" w:cs="仿宋"/>
                <w:bCs/>
                <w:color w:val="000000"/>
                <w:sz w:val="24"/>
                <w:szCs w:val="24"/>
                <w:lang w:val="en-US" w:eastAsia="en-US"/>
              </w:rPr>
              <w:t>培养学生传承优秀传统文化的意识</w:t>
            </w:r>
            <w:r>
              <w:rPr>
                <w:rFonts w:hint="eastAsia" w:ascii="仿宋" w:hAnsi="仿宋" w:eastAsia="仿宋" w:cs="仿宋"/>
                <w:bCs/>
                <w:color w:val="000000"/>
                <w:sz w:val="24"/>
                <w:szCs w:val="24"/>
                <w:lang w:eastAsia="en-US"/>
              </w:rPr>
              <w:t>，</w:t>
            </w:r>
            <w:r>
              <w:rPr>
                <w:rFonts w:hint="eastAsia" w:ascii="仿宋" w:hAnsi="仿宋" w:eastAsia="仿宋" w:cs="仿宋"/>
                <w:bCs/>
                <w:color w:val="000000"/>
                <w:sz w:val="24"/>
                <w:szCs w:val="24"/>
                <w:lang w:val="en-US" w:eastAsia="en-US"/>
              </w:rPr>
              <w:t>增强文化自信</w:t>
            </w:r>
            <w:r>
              <w:rPr>
                <w:rFonts w:hint="eastAsia" w:ascii="仿宋" w:hAnsi="仿宋" w:eastAsia="仿宋" w:cs="仿宋"/>
                <w:bCs/>
                <w:color w:val="000000"/>
                <w:sz w:val="24"/>
                <w:szCs w:val="24"/>
                <w:lang w:eastAsia="en-US"/>
              </w:rPr>
              <w:t>。</w:t>
            </w:r>
          </w:p>
        </w:tc>
      </w:tr>
      <w:tr w14:paraId="4315B7FD">
        <w:trPr>
          <w:gridAfter w:val="2"/>
          <w:trHeight w:val="680" w:hRule="atLeast"/>
        </w:trPr>
        <w:tc>
          <w:tcPr>
            <w:tcW w:w="1376" w:type="dxa"/>
            <w:vAlign w:val="center"/>
          </w:tcPr>
          <w:p w14:paraId="15B55CC0">
            <w:pPr>
              <w:pageBreakBefore w:val="0"/>
              <w:kinsoku/>
              <w:overflowPunct/>
              <w:topLinePunct w:val="0"/>
              <w:bidi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M</w:t>
            </w:r>
          </w:p>
          <w:p w14:paraId="2EDE86CB">
            <w:pPr>
              <w:pageBreakBefore w:val="0"/>
              <w:kinsoku/>
              <w:overflowPunct/>
              <w:topLinePunct w:val="0"/>
              <w:bidi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评分量表</w:t>
            </w:r>
          </w:p>
        </w:tc>
        <w:tc>
          <w:tcPr>
            <w:tcW w:w="7772" w:type="dxa"/>
            <w:gridSpan w:val="13"/>
            <w:vAlign w:val="center"/>
          </w:tcPr>
          <w:p w14:paraId="122F6C41">
            <w:pPr>
              <w:pageBreakBefore w:val="0"/>
              <w:tabs>
                <w:tab w:val="left" w:pos="720"/>
              </w:tabs>
              <w:kinsoku/>
              <w:overflowPunct/>
              <w:topLinePunct w:val="0"/>
              <w:bidi w:val="0"/>
              <w:spacing w:line="240" w:lineRule="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《民间舞》课程目标评分量表见附表。</w:t>
            </w:r>
          </w:p>
        </w:tc>
      </w:tr>
      <w:tr w14:paraId="3DE21419">
        <w:trPr>
          <w:gridAfter w:val="2"/>
          <w:trHeight w:val="680" w:hRule="atLeast"/>
        </w:trPr>
        <w:tc>
          <w:tcPr>
            <w:tcW w:w="1376" w:type="dxa"/>
            <w:vAlign w:val="center"/>
          </w:tcPr>
          <w:p w14:paraId="5B9D4E78">
            <w:pPr>
              <w:pageBreakBefore w:val="0"/>
              <w:kinsoku/>
              <w:overflowPunct/>
              <w:topLinePunct w:val="0"/>
              <w:bidi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备注</w:t>
            </w:r>
          </w:p>
        </w:tc>
        <w:tc>
          <w:tcPr>
            <w:tcW w:w="7772" w:type="dxa"/>
            <w:gridSpan w:val="13"/>
            <w:vAlign w:val="center"/>
          </w:tcPr>
          <w:p w14:paraId="2093F165">
            <w:pPr>
              <w:pageBreakBefore w:val="0"/>
              <w:kinsoku/>
              <w:overflowPunct/>
              <w:topLinePunct w:val="0"/>
              <w:bidi w:val="0"/>
              <w:spacing w:line="240" w:lineRule="auto"/>
              <w:rPr>
                <w:rFonts w:hint="eastAsia" w:ascii="仿宋" w:hAnsi="仿宋" w:eastAsia="仿宋" w:cs="仿宋"/>
                <w:color w:val="000000"/>
                <w:sz w:val="24"/>
                <w:szCs w:val="24"/>
              </w:rPr>
            </w:pPr>
            <w:r>
              <w:rPr>
                <w:rFonts w:hint="eastAsia" w:ascii="仿宋" w:hAnsi="仿宋" w:eastAsia="仿宋" w:cs="仿宋"/>
                <w:color w:val="000000"/>
                <w:sz w:val="24"/>
                <w:szCs w:val="24"/>
              </w:rPr>
              <w:t>课程大纲A—M项由开课学院审批通过，任课教师不能自行更改。</w:t>
            </w:r>
          </w:p>
        </w:tc>
      </w:tr>
      <w:tr w14:paraId="41F2B4A6">
        <w:trPr>
          <w:gridAfter w:val="2"/>
          <w:trHeight w:val="680" w:hRule="atLeast"/>
        </w:trPr>
        <w:tc>
          <w:tcPr>
            <w:tcW w:w="1376" w:type="dxa"/>
            <w:vAlign w:val="center"/>
          </w:tcPr>
          <w:p w14:paraId="398308A7">
            <w:pPr>
              <w:pageBreakBefore w:val="0"/>
              <w:kinsoku/>
              <w:overflowPunct/>
              <w:topLinePunct w:val="0"/>
              <w:bidi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审批</w:t>
            </w:r>
          </w:p>
          <w:p w14:paraId="28522771">
            <w:pPr>
              <w:pageBreakBefore w:val="0"/>
              <w:kinsoku/>
              <w:overflowPunct/>
              <w:topLinePunct w:val="0"/>
              <w:bidi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意见</w:t>
            </w:r>
          </w:p>
        </w:tc>
        <w:tc>
          <w:tcPr>
            <w:tcW w:w="3869" w:type="dxa"/>
            <w:gridSpan w:val="5"/>
            <w:vAlign w:val="center"/>
          </w:tcPr>
          <w:p w14:paraId="79C7B119">
            <w:pPr>
              <w:pageBreakBefore w:val="0"/>
              <w:widowControl/>
              <w:kinsoku/>
              <w:overflowPunct/>
              <w:topLinePunct w:val="0"/>
              <w:bidi w:val="0"/>
              <w:spacing w:line="240" w:lineRule="auto"/>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课程教学大纲修订负责人及教学团队成员</w:t>
            </w:r>
            <w:r>
              <w:rPr>
                <w:rFonts w:hint="eastAsia" w:ascii="仿宋" w:hAnsi="仿宋" w:eastAsia="仿宋" w:cs="仿宋"/>
                <w:color w:val="000000"/>
                <w:sz w:val="24"/>
                <w:szCs w:val="24"/>
              </w:rPr>
              <w:t>签名</w:t>
            </w:r>
            <w:r>
              <w:rPr>
                <w:rFonts w:hint="eastAsia" w:ascii="仿宋" w:hAnsi="仿宋" w:eastAsia="仿宋" w:cs="仿宋"/>
                <w:color w:val="000000"/>
                <w:kern w:val="0"/>
                <w:sz w:val="24"/>
                <w:szCs w:val="24"/>
              </w:rPr>
              <w:t xml:space="preserve">：   </w:t>
            </w:r>
          </w:p>
          <w:p w14:paraId="4F16B251">
            <w:pPr>
              <w:pageBreakBefore w:val="0"/>
              <w:widowControl/>
              <w:kinsoku/>
              <w:overflowPunct/>
              <w:topLinePunct w:val="0"/>
              <w:bidi w:val="0"/>
              <w:spacing w:line="240" w:lineRule="auto"/>
              <w:jc w:val="left"/>
              <w:rPr>
                <w:rFonts w:hint="eastAsia" w:ascii="仿宋" w:hAnsi="仿宋" w:eastAsia="仿宋" w:cs="仿宋"/>
                <w:color w:val="000000"/>
                <w:kern w:val="0"/>
                <w:sz w:val="24"/>
                <w:szCs w:val="24"/>
              </w:rPr>
            </w:pPr>
          </w:p>
          <w:p w14:paraId="24BF44D7">
            <w:pPr>
              <w:pageBreakBefore w:val="0"/>
              <w:widowControl/>
              <w:kinsoku/>
              <w:overflowPunct/>
              <w:topLinePunct w:val="0"/>
              <w:bidi w:val="0"/>
              <w:spacing w:line="240" w:lineRule="auto"/>
              <w:jc w:val="center"/>
              <w:rPr>
                <w:rFonts w:hint="eastAsia" w:ascii="仿宋" w:hAnsi="仿宋" w:eastAsia="仿宋" w:cs="仿宋"/>
                <w:color w:val="000000"/>
                <w:kern w:val="0"/>
                <w:sz w:val="24"/>
                <w:szCs w:val="24"/>
              </w:rPr>
            </w:pPr>
            <w:r>
              <w:rPr>
                <w:position w:val="-22"/>
              </w:rPr>
              <w:pict>
                <v:shape id="_x0000_i1033" o:spt="75" type="#_x0000_t75" style="height:27.3pt;width:57.05pt;" filled="f" stroked="f" coordsize="21600,21600">
                  <v:path/>
                  <v:fill on="f" focussize="0,0"/>
                  <v:stroke on="f" joinstyle="miter"/>
                  <v:imagedata r:id="rId160" o:title=""/>
                  <o:lock v:ext="edit" aspectratio="t"/>
                  <w10:wrap type="none"/>
                  <w10:anchorlock/>
                </v:shape>
              </w:pict>
            </w:r>
            <w:r>
              <w:rPr>
                <w:rFonts w:hint="eastAsia" w:ascii="仿宋" w:hAnsi="仿宋" w:eastAsia="仿宋" w:cs="仿宋"/>
                <w:szCs w:val="21"/>
              </w:rPr>
              <w:pict>
                <v:shape id="_x0000_i1034" o:spt="75" type="#_x0000_t75" style="height:30.55pt;width:52.35pt;" filled="f" stroked="f" coordsize="21600,21600">
                  <v:path/>
                  <v:fill on="f" focussize="0,0"/>
                  <v:stroke on="f" joinstyle="miter"/>
                  <v:imagedata r:id="rId161" o:title=""/>
                  <o:lock v:ext="edit" aspectratio="t"/>
                  <w10:wrap type="none"/>
                  <w10:anchorlock/>
                </v:shape>
              </w:pict>
            </w:r>
          </w:p>
          <w:p w14:paraId="467620D7">
            <w:pPr>
              <w:pageBreakBefore w:val="0"/>
              <w:widowControl/>
              <w:kinsoku/>
              <w:overflowPunct/>
              <w:topLinePunct w:val="0"/>
              <w:bidi w:val="0"/>
              <w:spacing w:line="240" w:lineRule="auto"/>
              <w:jc w:val="left"/>
              <w:rPr>
                <w:rFonts w:hint="eastAsia" w:ascii="仿宋" w:hAnsi="仿宋" w:eastAsia="仿宋" w:cs="仿宋"/>
                <w:color w:val="000000"/>
                <w:kern w:val="0"/>
                <w:sz w:val="24"/>
                <w:szCs w:val="24"/>
              </w:rPr>
            </w:pPr>
          </w:p>
          <w:p w14:paraId="59EECC5F">
            <w:pPr>
              <w:pageBreakBefore w:val="0"/>
              <w:widowControl/>
              <w:kinsoku/>
              <w:overflowPunct/>
              <w:topLinePunct w:val="0"/>
              <w:bidi w:val="0"/>
              <w:spacing w:line="240" w:lineRule="auto"/>
              <w:jc w:val="righ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 xml:space="preserve">                                                   </w:t>
            </w:r>
            <w:r>
              <w:rPr>
                <w:rFonts w:hint="eastAsia" w:ascii="仿宋" w:hAnsi="仿宋" w:eastAsia="仿宋" w:cs="仿宋"/>
                <w:color w:val="000000"/>
                <w:kern w:val="0"/>
                <w:sz w:val="24"/>
                <w:szCs w:val="24"/>
                <w:lang w:val="en-US" w:eastAsia="zh-CN"/>
              </w:rPr>
              <w:t>2026</w:t>
            </w:r>
            <w:r>
              <w:rPr>
                <w:rFonts w:hint="eastAsia" w:ascii="仿宋" w:hAnsi="仿宋" w:eastAsia="仿宋" w:cs="仿宋"/>
                <w:color w:val="000000"/>
                <w:kern w:val="0"/>
                <w:sz w:val="24"/>
                <w:szCs w:val="24"/>
              </w:rPr>
              <w:t xml:space="preserve">年 </w:t>
            </w:r>
            <w:r>
              <w:rPr>
                <w:rFonts w:hint="eastAsia" w:ascii="仿宋" w:hAnsi="仿宋" w:eastAsia="仿宋" w:cs="仿宋"/>
                <w:color w:val="000000"/>
                <w:kern w:val="0"/>
                <w:sz w:val="24"/>
                <w:szCs w:val="24"/>
                <w:lang w:val="en-US" w:eastAsia="zh-CN"/>
              </w:rPr>
              <w:t>9</w:t>
            </w:r>
            <w:r>
              <w:rPr>
                <w:rFonts w:hint="eastAsia" w:ascii="仿宋" w:hAnsi="仿宋" w:eastAsia="仿宋" w:cs="仿宋"/>
                <w:color w:val="000000"/>
                <w:kern w:val="0"/>
                <w:sz w:val="24"/>
                <w:szCs w:val="24"/>
              </w:rPr>
              <w:t xml:space="preserve"> 月 </w:t>
            </w:r>
            <w:r>
              <w:rPr>
                <w:rFonts w:hint="eastAsia" w:ascii="仿宋" w:hAnsi="仿宋" w:eastAsia="仿宋" w:cs="仿宋"/>
                <w:color w:val="000000"/>
                <w:kern w:val="0"/>
                <w:sz w:val="24"/>
                <w:szCs w:val="24"/>
                <w:lang w:val="en-US" w:eastAsia="zh-CN"/>
              </w:rPr>
              <w:t>1</w:t>
            </w:r>
            <w:r>
              <w:rPr>
                <w:rFonts w:hint="eastAsia" w:ascii="仿宋" w:hAnsi="仿宋" w:eastAsia="仿宋" w:cs="仿宋"/>
                <w:color w:val="000000"/>
                <w:kern w:val="0"/>
                <w:sz w:val="24"/>
                <w:szCs w:val="24"/>
              </w:rPr>
              <w:t xml:space="preserve"> 日 </w:t>
            </w:r>
          </w:p>
          <w:p w14:paraId="222596C7">
            <w:pPr>
              <w:pageBreakBefore w:val="0"/>
              <w:widowControl/>
              <w:kinsoku/>
              <w:overflowPunct/>
              <w:topLinePunct w:val="0"/>
              <w:bidi w:val="0"/>
              <w:spacing w:line="240" w:lineRule="auto"/>
              <w:jc w:val="right"/>
              <w:rPr>
                <w:rFonts w:hint="eastAsia" w:ascii="仿宋" w:hAnsi="仿宋" w:eastAsia="仿宋" w:cs="仿宋"/>
                <w:color w:val="000000"/>
                <w:kern w:val="0"/>
                <w:sz w:val="24"/>
                <w:szCs w:val="24"/>
              </w:rPr>
            </w:pPr>
          </w:p>
        </w:tc>
        <w:tc>
          <w:tcPr>
            <w:tcW w:w="3903" w:type="dxa"/>
            <w:gridSpan w:val="8"/>
            <w:vAlign w:val="center"/>
          </w:tcPr>
          <w:p w14:paraId="2FA62A40">
            <w:pPr>
              <w:pageBreakBefore w:val="0"/>
              <w:widowControl/>
              <w:tabs>
                <w:tab w:val="left" w:pos="2487"/>
              </w:tabs>
              <w:kinsoku/>
              <w:overflowPunct/>
              <w:topLinePunct w:val="0"/>
              <w:bidi w:val="0"/>
              <w:spacing w:line="240" w:lineRule="auto"/>
              <w:jc w:val="left"/>
              <w:rPr>
                <w:rFonts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rPr>
              <w:t>系主任审核意见：</w:t>
            </w:r>
            <w:r>
              <w:rPr>
                <w:rFonts w:hint="eastAsia" w:ascii="仿宋" w:hAnsi="仿宋" w:eastAsia="仿宋" w:cs="仿宋"/>
                <w:color w:val="000000"/>
                <w:kern w:val="0"/>
                <w:sz w:val="24"/>
                <w:szCs w:val="24"/>
                <w:lang w:val="en-US" w:eastAsia="zh-CN"/>
              </w:rPr>
              <w:t>同意</w:t>
            </w:r>
          </w:p>
          <w:p w14:paraId="3AFED9B1">
            <w:pPr>
              <w:pageBreakBefore w:val="0"/>
              <w:widowControl/>
              <w:kinsoku/>
              <w:overflowPunct/>
              <w:topLinePunct w:val="0"/>
              <w:bidi w:val="0"/>
              <w:spacing w:line="240" w:lineRule="auto"/>
              <w:jc w:val="left"/>
              <w:rPr>
                <w:rFonts w:hint="eastAsia" w:ascii="仿宋" w:hAnsi="仿宋" w:eastAsia="仿宋" w:cs="仿宋"/>
                <w:color w:val="000000"/>
                <w:kern w:val="0"/>
                <w:sz w:val="24"/>
                <w:szCs w:val="24"/>
              </w:rPr>
            </w:pPr>
          </w:p>
          <w:p w14:paraId="2C2C55C2">
            <w:pPr>
              <w:pageBreakBefore w:val="0"/>
              <w:widowControl/>
              <w:kinsoku/>
              <w:overflowPunct/>
              <w:topLinePunct w:val="0"/>
              <w:bidi w:val="0"/>
              <w:spacing w:line="240" w:lineRule="auto"/>
              <w:jc w:val="left"/>
              <w:rPr>
                <w:rFonts w:hint="eastAsia" w:ascii="仿宋" w:hAnsi="仿宋" w:eastAsia="仿宋" w:cs="仿宋"/>
                <w:color w:val="000000"/>
                <w:kern w:val="0"/>
                <w:sz w:val="24"/>
                <w:szCs w:val="24"/>
              </w:rPr>
            </w:pPr>
            <w:r>
              <w:pict>
                <v:shape id="_x0000_s1026" o:spid="_x0000_s1026" o:spt="75" type="#_x0000_t75" style="position:absolute;left:0pt;margin-left:79.8pt;margin-top:10.25pt;height:46pt;width:72.7pt;z-index:251659264;mso-width-relative:page;mso-height-relative:page;" filled="f" stroked="f" coordsize="21600,21600">
                  <v:path/>
                  <v:fill on="f" focussize="0,0"/>
                  <v:stroke on="f" joinstyle="miter"/>
                  <v:imagedata r:id="rId152" o:title=""/>
                  <o:lock v:ext="edit" aspectratio="t"/>
                </v:shape>
              </w:pict>
            </w:r>
          </w:p>
          <w:p w14:paraId="059755EF">
            <w:pPr>
              <w:pageBreakBefore w:val="0"/>
              <w:widowControl/>
              <w:kinsoku/>
              <w:overflowPunct/>
              <w:topLinePunct w:val="0"/>
              <w:bidi w:val="0"/>
              <w:spacing w:line="240" w:lineRule="auto"/>
              <w:jc w:val="left"/>
              <w:rPr>
                <w:rFonts w:hint="eastAsia" w:ascii="仿宋" w:hAnsi="仿宋" w:eastAsia="仿宋" w:cs="仿宋"/>
                <w:color w:val="000000"/>
                <w:kern w:val="0"/>
                <w:sz w:val="24"/>
                <w:szCs w:val="24"/>
              </w:rPr>
            </w:pPr>
          </w:p>
          <w:p w14:paraId="692FCDA0">
            <w:pPr>
              <w:pageBreakBefore w:val="0"/>
              <w:widowControl/>
              <w:kinsoku/>
              <w:overflowPunct/>
              <w:topLinePunct w:val="0"/>
              <w:bidi w:val="0"/>
              <w:spacing w:line="240" w:lineRule="auto"/>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系主任签名：</w:t>
            </w:r>
          </w:p>
          <w:p w14:paraId="7757D963">
            <w:pPr>
              <w:pageBreakBefore w:val="0"/>
              <w:widowControl/>
              <w:kinsoku/>
              <w:overflowPunct/>
              <w:topLinePunct w:val="0"/>
              <w:bidi w:val="0"/>
              <w:spacing w:line="240" w:lineRule="auto"/>
              <w:jc w:val="right"/>
              <w:rPr>
                <w:rFonts w:hint="eastAsia" w:ascii="仿宋" w:hAnsi="仿宋" w:eastAsia="仿宋" w:cs="仿宋"/>
                <w:color w:val="000000"/>
                <w:kern w:val="0"/>
                <w:sz w:val="24"/>
                <w:szCs w:val="24"/>
              </w:rPr>
            </w:pPr>
          </w:p>
          <w:p w14:paraId="192CE6C6">
            <w:pPr>
              <w:pageBreakBefore w:val="0"/>
              <w:widowControl/>
              <w:kinsoku/>
              <w:overflowPunct/>
              <w:topLinePunct w:val="0"/>
              <w:bidi w:val="0"/>
              <w:spacing w:line="240" w:lineRule="auto"/>
              <w:jc w:val="righ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2026</w:t>
            </w:r>
            <w:r>
              <w:rPr>
                <w:rFonts w:hint="eastAsia" w:ascii="仿宋" w:hAnsi="仿宋" w:eastAsia="仿宋" w:cs="仿宋"/>
                <w:color w:val="000000"/>
                <w:kern w:val="0"/>
                <w:sz w:val="24"/>
                <w:szCs w:val="24"/>
              </w:rPr>
              <w:t xml:space="preserve">年 </w:t>
            </w:r>
            <w:r>
              <w:rPr>
                <w:rFonts w:hint="eastAsia" w:ascii="仿宋" w:hAnsi="仿宋" w:eastAsia="仿宋" w:cs="仿宋"/>
                <w:color w:val="000000"/>
                <w:kern w:val="0"/>
                <w:sz w:val="24"/>
                <w:szCs w:val="24"/>
                <w:lang w:val="en-US" w:eastAsia="zh-CN"/>
              </w:rPr>
              <w:t>9</w:t>
            </w:r>
            <w:r>
              <w:rPr>
                <w:rFonts w:hint="eastAsia" w:ascii="仿宋" w:hAnsi="仿宋" w:eastAsia="仿宋" w:cs="仿宋"/>
                <w:color w:val="000000"/>
                <w:kern w:val="0"/>
                <w:sz w:val="24"/>
                <w:szCs w:val="24"/>
              </w:rPr>
              <w:t xml:space="preserve"> 月 </w:t>
            </w:r>
            <w:r>
              <w:rPr>
                <w:rFonts w:hint="eastAsia" w:ascii="仿宋" w:hAnsi="仿宋" w:eastAsia="仿宋" w:cs="仿宋"/>
                <w:color w:val="000000"/>
                <w:kern w:val="0"/>
                <w:sz w:val="24"/>
                <w:szCs w:val="24"/>
                <w:lang w:val="en-US" w:eastAsia="zh-CN"/>
              </w:rPr>
              <w:t>1</w:t>
            </w:r>
            <w:r>
              <w:rPr>
                <w:rFonts w:hint="eastAsia" w:ascii="仿宋" w:hAnsi="仿宋" w:eastAsia="仿宋" w:cs="仿宋"/>
                <w:color w:val="000000"/>
                <w:kern w:val="0"/>
                <w:sz w:val="24"/>
                <w:szCs w:val="24"/>
              </w:rPr>
              <w:t xml:space="preserve"> 日</w:t>
            </w:r>
          </w:p>
          <w:p w14:paraId="4C810C88">
            <w:pPr>
              <w:pageBreakBefore w:val="0"/>
              <w:widowControl/>
              <w:kinsoku/>
              <w:overflowPunct/>
              <w:topLinePunct w:val="0"/>
              <w:bidi w:val="0"/>
              <w:spacing w:line="240" w:lineRule="auto"/>
              <w:jc w:val="right"/>
              <w:rPr>
                <w:rFonts w:hint="eastAsia" w:ascii="仿宋" w:hAnsi="仿宋" w:eastAsia="仿宋" w:cs="仿宋"/>
                <w:color w:val="000000"/>
                <w:kern w:val="0"/>
                <w:sz w:val="24"/>
                <w:szCs w:val="24"/>
              </w:rPr>
            </w:pPr>
          </w:p>
        </w:tc>
      </w:tr>
    </w:tbl>
    <w:p w14:paraId="1855A3B8">
      <w:pPr>
        <w:rPr>
          <w:sz w:val="2"/>
          <w:szCs w:val="2"/>
        </w:rPr>
        <w:sectPr>
          <w:headerReference r:id="rId69" w:type="default"/>
          <w:footerReference r:id="rId70" w:type="default"/>
          <w:pgSz w:w="11906" w:h="16838"/>
          <w:pgMar w:top="1440" w:right="1800" w:bottom="1440" w:left="1800" w:header="851" w:footer="992" w:gutter="0"/>
          <w:cols w:space="720" w:num="1"/>
          <w:docGrid w:type="lines" w:linePitch="312" w:charSpace="0"/>
        </w:sectPr>
      </w:pPr>
    </w:p>
    <w:p w14:paraId="1D643A27">
      <w:pPr>
        <w:adjustRightInd w:val="0"/>
        <w:snapToGrid w:val="0"/>
        <w:spacing w:line="560" w:lineRule="exact"/>
        <w:jc w:val="center"/>
        <w:rPr>
          <w:rFonts w:eastAsia="方正小标宋简体"/>
          <w:sz w:val="44"/>
          <w:szCs w:val="44"/>
        </w:rPr>
      </w:pPr>
      <w:r>
        <w:rPr>
          <w:rFonts w:hint="eastAsia" w:eastAsia="方正小标宋简体"/>
          <w:sz w:val="44"/>
          <w:szCs w:val="44"/>
        </w:rPr>
        <w:t>三明学院音乐学（音乐教育）专业</w:t>
      </w:r>
    </w:p>
    <w:p w14:paraId="1FA83112">
      <w:pPr>
        <w:pStyle w:val="2"/>
        <w:spacing w:before="0" w:beforeAutospacing="0" w:after="0" w:afterAutospacing="0" w:line="520" w:lineRule="exact"/>
        <w:jc w:val="center"/>
        <w:rPr>
          <w:rFonts w:hint="eastAsia" w:ascii="方正小标宋简体" w:hAnsi="方正小标宋简体" w:eastAsia="方正小标宋简体" w:cs="方正小标宋简体"/>
          <w:b w:val="0"/>
          <w:bCs w:val="0"/>
          <w:kern w:val="2"/>
          <w:sz w:val="44"/>
          <w:szCs w:val="44"/>
          <w:lang w:val="en-US" w:eastAsia="zh-CN"/>
        </w:rPr>
      </w:pPr>
      <w:bookmarkStart w:id="115" w:name="_Toc426425490"/>
      <w:bookmarkStart w:id="116" w:name="_Toc1273983094"/>
      <w:r>
        <w:rPr>
          <w:rFonts w:hint="eastAsia" w:ascii="方正小标宋简体" w:hAnsi="方正小标宋简体" w:eastAsia="方正小标宋简体" w:cs="方正小标宋简体"/>
          <w:b w:val="0"/>
          <w:bCs w:val="0"/>
          <w:kern w:val="2"/>
          <w:sz w:val="44"/>
          <w:szCs w:val="44"/>
          <w:lang w:val="en-US" w:eastAsia="zh-CN"/>
        </w:rPr>
        <w:t>《管乐》课程教学大纲</w:t>
      </w:r>
      <w:bookmarkEnd w:id="115"/>
      <w:bookmarkEnd w:id="116"/>
    </w:p>
    <w:p w14:paraId="07AE7C20">
      <w:pPr>
        <w:adjustRightInd w:val="0"/>
        <w:snapToGrid w:val="0"/>
        <w:spacing w:line="560" w:lineRule="exact"/>
        <w:jc w:val="center"/>
        <w:rPr>
          <w:rFonts w:eastAsia="方正小标宋简体"/>
          <w:sz w:val="24"/>
          <w:szCs w:val="24"/>
        </w:rPr>
      </w:pPr>
    </w:p>
    <w:tbl>
      <w:tblPr>
        <w:tblStyle w:val="22"/>
        <w:tblW w:w="9240"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5"/>
        <w:gridCol w:w="1024"/>
        <w:gridCol w:w="616"/>
        <w:gridCol w:w="735"/>
        <w:gridCol w:w="1493"/>
        <w:gridCol w:w="113"/>
        <w:gridCol w:w="283"/>
        <w:gridCol w:w="635"/>
        <w:gridCol w:w="370"/>
        <w:gridCol w:w="139"/>
        <w:gridCol w:w="277"/>
        <w:gridCol w:w="9"/>
        <w:gridCol w:w="6"/>
        <w:gridCol w:w="574"/>
        <w:gridCol w:w="573"/>
        <w:gridCol w:w="432"/>
        <w:gridCol w:w="586"/>
      </w:tblGrid>
      <w:tr w14:paraId="3D16AF25">
        <w:trPr>
          <w:trHeight w:val="454" w:hRule="atLeast"/>
        </w:trPr>
        <w:tc>
          <w:tcPr>
            <w:tcW w:w="1375" w:type="dxa"/>
            <w:noWrap w:val="0"/>
            <w:vAlign w:val="center"/>
          </w:tcPr>
          <w:p w14:paraId="017954BE">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课程名称</w:t>
            </w:r>
          </w:p>
        </w:tc>
        <w:tc>
          <w:tcPr>
            <w:tcW w:w="4899" w:type="dxa"/>
            <w:gridSpan w:val="7"/>
            <w:noWrap w:val="0"/>
            <w:vAlign w:val="center"/>
          </w:tcPr>
          <w:p w14:paraId="57248DE2">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《管乐》</w:t>
            </w:r>
          </w:p>
        </w:tc>
        <w:tc>
          <w:tcPr>
            <w:tcW w:w="509" w:type="dxa"/>
            <w:gridSpan w:val="2"/>
            <w:noWrap w:val="0"/>
            <w:vAlign w:val="center"/>
          </w:tcPr>
          <w:p w14:paraId="0B25A5F9">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w:t>
            </w:r>
          </w:p>
          <w:p w14:paraId="722DB216">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代码</w:t>
            </w:r>
          </w:p>
        </w:tc>
        <w:tc>
          <w:tcPr>
            <w:tcW w:w="2457" w:type="dxa"/>
            <w:gridSpan w:val="7"/>
            <w:noWrap w:val="0"/>
            <w:vAlign w:val="center"/>
          </w:tcPr>
          <w:p w14:paraId="6B912D75">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1213504612</w:t>
            </w:r>
          </w:p>
          <w:p w14:paraId="7E569EFA">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1213504613</w:t>
            </w:r>
          </w:p>
          <w:p w14:paraId="17D2D75A">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1213504614</w:t>
            </w:r>
          </w:p>
          <w:p w14:paraId="01B00580">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1213504615</w:t>
            </w:r>
          </w:p>
        </w:tc>
      </w:tr>
      <w:tr w14:paraId="0C161F93">
        <w:trPr>
          <w:trHeight w:val="454" w:hRule="atLeast"/>
        </w:trPr>
        <w:tc>
          <w:tcPr>
            <w:tcW w:w="1375" w:type="dxa"/>
            <w:noWrap w:val="0"/>
            <w:vAlign w:val="center"/>
          </w:tcPr>
          <w:p w14:paraId="3F88E7C0">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课程类型</w:t>
            </w:r>
          </w:p>
        </w:tc>
        <w:tc>
          <w:tcPr>
            <w:tcW w:w="7865" w:type="dxa"/>
            <w:gridSpan w:val="16"/>
            <w:noWrap w:val="0"/>
            <w:vAlign w:val="center"/>
          </w:tcPr>
          <w:p w14:paraId="35B82D5D">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通识必修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通识选修</w:t>
            </w:r>
            <w:r>
              <w:rPr>
                <w:rFonts w:ascii="Segoe UI Symbol" w:hAnsi="Segoe UI Symbol" w:eastAsia="仿宋" w:cs="Segoe UI Symbol"/>
                <w:color w:val="000000"/>
                <w:sz w:val="24"/>
                <w:szCs w:val="24"/>
              </w:rPr>
              <w:t>☑</w:t>
            </w:r>
            <w:r>
              <w:rPr>
                <w:rFonts w:hint="eastAsia" w:ascii="仿宋" w:hAnsi="仿宋" w:eastAsia="仿宋" w:cs="仿宋"/>
                <w:color w:val="000000"/>
                <w:sz w:val="24"/>
                <w:szCs w:val="24"/>
              </w:rPr>
              <w:t xml:space="preserve">专业必修 </w:t>
            </w:r>
          </w:p>
          <w:p w14:paraId="73A1EEB0">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专业选修</w:t>
            </w:r>
            <w:r>
              <w:rPr>
                <w:rFonts w:hint="eastAsia" w:ascii="仿宋" w:hAnsi="仿宋" w:eastAsia="仿宋" w:cs="仿宋"/>
                <w:color w:val="000000"/>
                <w:sz w:val="24"/>
                <w:szCs w:val="24"/>
                <w:lang w:eastAsia="zh-TW"/>
              </w:rPr>
              <w:t xml:space="preserve">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教师教育必修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教师教育选修</w:t>
            </w:r>
          </w:p>
        </w:tc>
      </w:tr>
      <w:tr w14:paraId="4D34377A">
        <w:trPr>
          <w:trHeight w:val="406" w:hRule="atLeast"/>
        </w:trPr>
        <w:tc>
          <w:tcPr>
            <w:tcW w:w="1375" w:type="dxa"/>
            <w:noWrap w:val="0"/>
            <w:vAlign w:val="center"/>
          </w:tcPr>
          <w:p w14:paraId="020C4483">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开课学期</w:t>
            </w:r>
          </w:p>
        </w:tc>
        <w:tc>
          <w:tcPr>
            <w:tcW w:w="1640" w:type="dxa"/>
            <w:gridSpan w:val="2"/>
            <w:noWrap w:val="0"/>
            <w:vAlign w:val="center"/>
          </w:tcPr>
          <w:p w14:paraId="01DE53F2">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第2-5学期</w:t>
            </w:r>
          </w:p>
        </w:tc>
        <w:tc>
          <w:tcPr>
            <w:tcW w:w="735" w:type="dxa"/>
            <w:noWrap w:val="0"/>
            <w:vAlign w:val="center"/>
          </w:tcPr>
          <w:p w14:paraId="70D165E6">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学分</w:t>
            </w:r>
          </w:p>
        </w:tc>
        <w:tc>
          <w:tcPr>
            <w:tcW w:w="1606" w:type="dxa"/>
            <w:gridSpan w:val="2"/>
            <w:noWrap w:val="0"/>
            <w:vAlign w:val="center"/>
          </w:tcPr>
          <w:p w14:paraId="4C9D3955">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4</w:t>
            </w:r>
          </w:p>
        </w:tc>
        <w:tc>
          <w:tcPr>
            <w:tcW w:w="1427" w:type="dxa"/>
            <w:gridSpan w:val="4"/>
            <w:noWrap w:val="0"/>
            <w:vAlign w:val="center"/>
          </w:tcPr>
          <w:p w14:paraId="52639F3B">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课程负责人</w:t>
            </w:r>
          </w:p>
        </w:tc>
        <w:tc>
          <w:tcPr>
            <w:tcW w:w="2457" w:type="dxa"/>
            <w:gridSpan w:val="7"/>
            <w:noWrap w:val="0"/>
            <w:vAlign w:val="center"/>
          </w:tcPr>
          <w:p w14:paraId="65DB92DF">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元凯</w:t>
            </w:r>
          </w:p>
        </w:tc>
      </w:tr>
      <w:tr w14:paraId="328BDE36">
        <w:trPr>
          <w:trHeight w:val="485" w:hRule="atLeast"/>
        </w:trPr>
        <w:tc>
          <w:tcPr>
            <w:tcW w:w="1375" w:type="dxa"/>
            <w:noWrap w:val="0"/>
            <w:vAlign w:val="center"/>
          </w:tcPr>
          <w:p w14:paraId="302FC78A">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总学时</w:t>
            </w:r>
          </w:p>
        </w:tc>
        <w:tc>
          <w:tcPr>
            <w:tcW w:w="1640" w:type="dxa"/>
            <w:gridSpan w:val="2"/>
            <w:noWrap w:val="0"/>
            <w:vAlign w:val="center"/>
          </w:tcPr>
          <w:p w14:paraId="4F2149A7">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128</w:t>
            </w:r>
          </w:p>
        </w:tc>
        <w:tc>
          <w:tcPr>
            <w:tcW w:w="735" w:type="dxa"/>
            <w:noWrap w:val="0"/>
            <w:vAlign w:val="center"/>
          </w:tcPr>
          <w:p w14:paraId="7BEAC462">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理论学时</w:t>
            </w:r>
          </w:p>
        </w:tc>
        <w:tc>
          <w:tcPr>
            <w:tcW w:w="1606" w:type="dxa"/>
            <w:gridSpan w:val="2"/>
            <w:noWrap w:val="0"/>
            <w:vAlign w:val="center"/>
          </w:tcPr>
          <w:p w14:paraId="5783E7C1">
            <w:pPr>
              <w:adjustRightInd w:val="0"/>
              <w:snapToGrid w:val="0"/>
              <w:spacing w:line="240" w:lineRule="atLeast"/>
              <w:jc w:val="center"/>
              <w:rPr>
                <w:rFonts w:hint="eastAsia" w:ascii="仿宋" w:hAnsi="仿宋" w:eastAsia="仿宋" w:cs="仿宋"/>
                <w:color w:val="000000"/>
                <w:sz w:val="24"/>
                <w:szCs w:val="24"/>
              </w:rPr>
            </w:pPr>
            <w:r>
              <w:rPr>
                <w:rFonts w:ascii="仿宋" w:hAnsi="仿宋" w:eastAsia="仿宋" w:cs="仿宋"/>
                <w:color w:val="000000"/>
                <w:sz w:val="24"/>
                <w:szCs w:val="24"/>
              </w:rPr>
              <w:t>0</w:t>
            </w:r>
          </w:p>
        </w:tc>
        <w:tc>
          <w:tcPr>
            <w:tcW w:w="1427" w:type="dxa"/>
            <w:gridSpan w:val="4"/>
            <w:tcBorders>
              <w:right w:val="single" w:color="000000" w:sz="4" w:space="0"/>
            </w:tcBorders>
            <w:noWrap w:val="0"/>
            <w:vAlign w:val="center"/>
          </w:tcPr>
          <w:p w14:paraId="6A01C22C">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实践学时</w:t>
            </w:r>
          </w:p>
        </w:tc>
        <w:tc>
          <w:tcPr>
            <w:tcW w:w="2457" w:type="dxa"/>
            <w:gridSpan w:val="7"/>
            <w:tcBorders>
              <w:left w:val="single" w:color="000000" w:sz="4" w:space="0"/>
            </w:tcBorders>
            <w:noWrap w:val="0"/>
            <w:vAlign w:val="center"/>
          </w:tcPr>
          <w:p w14:paraId="55EB3A07">
            <w:pPr>
              <w:adjustRightInd w:val="0"/>
              <w:snapToGrid w:val="0"/>
              <w:spacing w:line="240" w:lineRule="atLeast"/>
              <w:jc w:val="center"/>
              <w:rPr>
                <w:rFonts w:hint="eastAsia" w:ascii="仿宋" w:hAnsi="仿宋" w:eastAsia="仿宋" w:cs="仿宋"/>
                <w:color w:val="000000"/>
                <w:sz w:val="24"/>
                <w:szCs w:val="24"/>
              </w:rPr>
            </w:pPr>
            <w:r>
              <w:rPr>
                <w:rFonts w:ascii="仿宋" w:hAnsi="仿宋" w:eastAsia="仿宋" w:cs="仿宋"/>
                <w:color w:val="000000"/>
                <w:sz w:val="24"/>
                <w:szCs w:val="24"/>
              </w:rPr>
              <w:t>12</w:t>
            </w:r>
            <w:r>
              <w:rPr>
                <w:rFonts w:hint="eastAsia" w:ascii="仿宋" w:hAnsi="仿宋" w:eastAsia="仿宋" w:cs="仿宋"/>
                <w:color w:val="000000"/>
                <w:sz w:val="24"/>
                <w:szCs w:val="24"/>
              </w:rPr>
              <w:t>8</w:t>
            </w:r>
          </w:p>
        </w:tc>
      </w:tr>
      <w:tr w14:paraId="6D6495D5">
        <w:trPr>
          <w:trHeight w:val="454" w:hRule="atLeast"/>
        </w:trPr>
        <w:tc>
          <w:tcPr>
            <w:tcW w:w="1375" w:type="dxa"/>
            <w:noWrap w:val="0"/>
            <w:vAlign w:val="center"/>
          </w:tcPr>
          <w:p w14:paraId="73BDB8D1">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先修课程与后续课程</w:t>
            </w:r>
          </w:p>
        </w:tc>
        <w:tc>
          <w:tcPr>
            <w:tcW w:w="7865" w:type="dxa"/>
            <w:gridSpan w:val="16"/>
            <w:noWrap w:val="0"/>
            <w:vAlign w:val="center"/>
          </w:tcPr>
          <w:p w14:paraId="1E38BC93">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先修课程：</w:t>
            </w:r>
            <w:r>
              <w:rPr>
                <w:rFonts w:ascii="仿宋" w:hAnsi="仿宋" w:eastAsia="仿宋" w:cs="仿宋"/>
                <w:color w:val="000000"/>
                <w:sz w:val="24"/>
                <w:szCs w:val="24"/>
              </w:rPr>
              <w:t>《乐器演奏基础》、</w:t>
            </w:r>
            <w:r>
              <w:rPr>
                <w:rFonts w:hint="eastAsia" w:ascii="仿宋" w:hAnsi="仿宋" w:eastAsia="仿宋" w:cs="仿宋"/>
                <w:color w:val="000000"/>
                <w:sz w:val="24"/>
                <w:szCs w:val="24"/>
              </w:rPr>
              <w:t>《基本乐理》、《视唱练耳》</w:t>
            </w:r>
          </w:p>
          <w:p w14:paraId="30AC0672">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后续课程：和声、曲式与作品分析、中外音乐史、《乐器演奏》《西方音乐史与欣赏》等</w:t>
            </w:r>
          </w:p>
        </w:tc>
      </w:tr>
      <w:tr w14:paraId="0215DD6E">
        <w:trPr>
          <w:trHeight w:val="454" w:hRule="atLeast"/>
        </w:trPr>
        <w:tc>
          <w:tcPr>
            <w:tcW w:w="1375" w:type="dxa"/>
            <w:noWrap w:val="0"/>
            <w:vAlign w:val="center"/>
          </w:tcPr>
          <w:p w14:paraId="3D7D930D">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适用专业</w:t>
            </w:r>
          </w:p>
        </w:tc>
        <w:tc>
          <w:tcPr>
            <w:tcW w:w="7865" w:type="dxa"/>
            <w:gridSpan w:val="16"/>
            <w:noWrap w:val="0"/>
            <w:vAlign w:val="center"/>
          </w:tcPr>
          <w:p w14:paraId="0CB09801">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音乐专业</w:t>
            </w:r>
          </w:p>
        </w:tc>
      </w:tr>
      <w:tr w14:paraId="63093BFE">
        <w:tc>
          <w:tcPr>
            <w:tcW w:w="1375" w:type="dxa"/>
            <w:tcBorders>
              <w:bottom w:val="single" w:color="auto" w:sz="4" w:space="0"/>
            </w:tcBorders>
            <w:noWrap w:val="0"/>
            <w:vAlign w:val="center"/>
          </w:tcPr>
          <w:p w14:paraId="178A3AF6">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A</w:t>
            </w:r>
          </w:p>
          <w:p w14:paraId="18BE2575">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参考教材</w:t>
            </w:r>
          </w:p>
        </w:tc>
        <w:tc>
          <w:tcPr>
            <w:tcW w:w="7865" w:type="dxa"/>
            <w:gridSpan w:val="16"/>
            <w:tcBorders>
              <w:bottom w:val="single" w:color="auto" w:sz="4" w:space="0"/>
            </w:tcBorders>
            <w:noWrap w:val="0"/>
            <w:vAlign w:val="center"/>
          </w:tcPr>
          <w:p w14:paraId="6CA662C9">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《管乐队标准化训练教程1》 《管乐队标准化训练教程2》  上海音乐出版社</w:t>
            </w:r>
          </w:p>
          <w:p w14:paraId="7DBF4D59">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《管乐合奏世界名曲集》中国青年出版社</w:t>
            </w:r>
          </w:p>
          <w:p w14:paraId="3B95FEE7">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《西方管乐合奏曲精选》上海音乐出版社</w:t>
            </w:r>
          </w:p>
        </w:tc>
      </w:tr>
      <w:tr w14:paraId="771346E9">
        <w:tc>
          <w:tcPr>
            <w:tcW w:w="1375" w:type="dxa"/>
            <w:tcBorders>
              <w:bottom w:val="single" w:color="auto" w:sz="4" w:space="0"/>
            </w:tcBorders>
            <w:noWrap w:val="0"/>
            <w:vAlign w:val="center"/>
          </w:tcPr>
          <w:p w14:paraId="0BD46146">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B</w:t>
            </w:r>
          </w:p>
          <w:p w14:paraId="3CA44389">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主要参考书籍</w:t>
            </w:r>
          </w:p>
        </w:tc>
        <w:tc>
          <w:tcPr>
            <w:tcW w:w="7865" w:type="dxa"/>
            <w:gridSpan w:val="16"/>
            <w:tcBorders>
              <w:bottom w:val="single" w:color="auto" w:sz="4" w:space="0"/>
            </w:tcBorders>
            <w:noWrap w:val="0"/>
            <w:vAlign w:val="center"/>
          </w:tcPr>
          <w:p w14:paraId="1D10D57E">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[1]张新林《铜管乐重奏曲精选》人民音乐出版社2006年 </w:t>
            </w:r>
          </w:p>
          <w:p w14:paraId="007E7881">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[2]林邦恩 《中国革命历史歌曲管乐合奏曲集》上海出版社 2003年</w:t>
            </w:r>
          </w:p>
          <w:p w14:paraId="26ED5C56">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[3]乔展文 《世界名曲联奏》 上海音乐出版社 2003年</w:t>
            </w:r>
          </w:p>
          <w:p w14:paraId="03B2D644">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[4]《管乐队标准化训练教程1》 《管乐队标准化训练教程2》 上海音乐出版社</w:t>
            </w:r>
          </w:p>
        </w:tc>
      </w:tr>
      <w:tr w14:paraId="61A376AB">
        <w:tc>
          <w:tcPr>
            <w:tcW w:w="1375" w:type="dxa"/>
            <w:tcBorders>
              <w:bottom w:val="single" w:color="auto" w:sz="4" w:space="0"/>
            </w:tcBorders>
            <w:noWrap w:val="0"/>
            <w:vAlign w:val="center"/>
          </w:tcPr>
          <w:p w14:paraId="79079703">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C</w:t>
            </w:r>
          </w:p>
          <w:p w14:paraId="3FA9F94B">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线上学习资源</w:t>
            </w:r>
          </w:p>
        </w:tc>
        <w:tc>
          <w:tcPr>
            <w:tcW w:w="7865" w:type="dxa"/>
            <w:gridSpan w:val="16"/>
            <w:tcBorders>
              <w:bottom w:val="single" w:color="auto" w:sz="4" w:space="0"/>
            </w:tcBorders>
            <w:noWrap w:val="0"/>
            <w:vAlign w:val="center"/>
          </w:tcPr>
          <w:p w14:paraId="21938D19">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1.本课程已经建立校网络课程，同学们依据学校提供的帐号与密码登录课程网站，可查看教学大纲、授课计划、考核方法、教学视频、电子教材、音频、阅读资料、网络文献链接网址等教学资源。</w:t>
            </w:r>
          </w:p>
          <w:p w14:paraId="34FF9481">
            <w:pPr>
              <w:adjustRightInd w:val="0"/>
              <w:snapToGrid w:val="0"/>
              <w:rPr>
                <w:rFonts w:hint="eastAsia" w:ascii="仿宋" w:hAnsi="仿宋" w:eastAsia="仿宋" w:cs="仿宋"/>
                <w:color w:val="4472C4"/>
                <w:kern w:val="0"/>
                <w:sz w:val="24"/>
                <w:szCs w:val="24"/>
              </w:rPr>
            </w:pPr>
            <w:r>
              <w:rPr>
                <w:rFonts w:hint="eastAsia" w:ascii="仿宋" w:hAnsi="仿宋" w:eastAsia="仿宋" w:cs="仿宋"/>
                <w:color w:val="000000"/>
                <w:kern w:val="0"/>
                <w:sz w:val="24"/>
                <w:szCs w:val="24"/>
              </w:rPr>
              <w:t>2.微信平台管乐学习群</w:t>
            </w:r>
          </w:p>
        </w:tc>
      </w:tr>
      <w:tr w14:paraId="065F9907">
        <w:trPr>
          <w:trHeight w:val="90" w:hRule="atLeast"/>
        </w:trPr>
        <w:tc>
          <w:tcPr>
            <w:tcW w:w="1375" w:type="dxa"/>
            <w:shd w:val="clear" w:color="auto" w:fill="FFFFFF"/>
            <w:noWrap w:val="0"/>
            <w:vAlign w:val="center"/>
          </w:tcPr>
          <w:p w14:paraId="277F5216">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D</w:t>
            </w:r>
          </w:p>
          <w:p w14:paraId="028F180F">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课程描述 </w:t>
            </w:r>
          </w:p>
          <w:p w14:paraId="4B1EBBA1">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lang w:eastAsia="zh-TW"/>
              </w:rPr>
              <w:t>(</w:t>
            </w:r>
            <w:r>
              <w:rPr>
                <w:rFonts w:hint="eastAsia" w:ascii="仿宋" w:hAnsi="仿宋" w:eastAsia="仿宋" w:cs="仿宋"/>
                <w:color w:val="000000"/>
                <w:sz w:val="24"/>
                <w:szCs w:val="24"/>
              </w:rPr>
              <w:t>含</w:t>
            </w:r>
            <w:r>
              <w:rPr>
                <w:rFonts w:hint="eastAsia" w:ascii="仿宋" w:hAnsi="仿宋" w:eastAsia="仿宋" w:cs="仿宋"/>
                <w:color w:val="000000"/>
                <w:sz w:val="24"/>
                <w:szCs w:val="24"/>
                <w:lang w:eastAsia="zh-TW"/>
              </w:rPr>
              <w:t>性质、地位和任务)</w:t>
            </w:r>
          </w:p>
        </w:tc>
        <w:tc>
          <w:tcPr>
            <w:tcW w:w="7865" w:type="dxa"/>
            <w:gridSpan w:val="16"/>
            <w:tcBorders>
              <w:bottom w:val="single" w:color="auto" w:sz="4" w:space="0"/>
            </w:tcBorders>
            <w:shd w:val="clear" w:color="auto" w:fill="FFFFFF"/>
            <w:noWrap w:val="0"/>
            <w:vAlign w:val="center"/>
          </w:tcPr>
          <w:p w14:paraId="09ADBA89">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本课程是音乐学专业学生的专业技术选修课程之一，是音乐学（器乐）专业学生的一门重要课程，是专业技巧综合训练及舞台表演相结合的课程。将喜欢乐器演奏的同学组合在一起，共同演奏乐曲。除了合奏之外，还加以了重奏及协奏训练。通过本课程的学习，除了加强学生专业课的基本功外，还为丰富了学生的独奏合奏能力，丰富了学生的个人舞台表演能力，为学生走向工作岗位奠定了扎实的基础。</w:t>
            </w:r>
          </w:p>
          <w:p w14:paraId="0AA055AB">
            <w:pPr>
              <w:adjustRightInd w:val="0"/>
              <w:snapToGrid w:val="0"/>
              <w:rPr>
                <w:rFonts w:hint="eastAsia" w:ascii="仿宋" w:hAnsi="仿宋" w:eastAsia="仿宋" w:cs="仿宋"/>
                <w:color w:val="4472C4"/>
                <w:kern w:val="0"/>
                <w:sz w:val="24"/>
                <w:szCs w:val="24"/>
              </w:rPr>
            </w:pPr>
          </w:p>
        </w:tc>
      </w:tr>
      <w:tr w14:paraId="34E5A63D">
        <w:trPr>
          <w:trHeight w:val="3071" w:hRule="atLeast"/>
        </w:trPr>
        <w:tc>
          <w:tcPr>
            <w:tcW w:w="1375" w:type="dxa"/>
            <w:vMerge w:val="restart"/>
            <w:shd w:val="clear" w:color="auto" w:fill="FFFFFF"/>
            <w:noWrap w:val="0"/>
            <w:vAlign w:val="center"/>
          </w:tcPr>
          <w:p w14:paraId="6770DF2F">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E</w:t>
            </w:r>
          </w:p>
          <w:p w14:paraId="5ED88932">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课程学习目标及其与毕业要求的对应关系</w:t>
            </w:r>
          </w:p>
        </w:tc>
        <w:tc>
          <w:tcPr>
            <w:tcW w:w="7865" w:type="dxa"/>
            <w:gridSpan w:val="16"/>
            <w:tcBorders>
              <w:bottom w:val="single" w:color="auto" w:sz="4" w:space="0"/>
            </w:tcBorders>
            <w:shd w:val="clear" w:color="auto" w:fill="FFFFFF"/>
            <w:noWrap w:val="0"/>
            <w:vAlign w:val="center"/>
          </w:tcPr>
          <w:p w14:paraId="64D0C0E1">
            <w:pPr>
              <w:adjustRightInd w:val="0"/>
              <w:snapToGrid w:val="0"/>
              <w:jc w:val="left"/>
              <w:rPr>
                <w:rFonts w:hint="eastAsia" w:ascii="仿宋" w:hAnsi="仿宋" w:eastAsia="仿宋" w:cs="仿宋"/>
                <w:color w:val="000000"/>
                <w:sz w:val="24"/>
                <w:szCs w:val="24"/>
              </w:rPr>
            </w:pPr>
          </w:p>
          <w:p w14:paraId="42800EA0">
            <w:pPr>
              <w:adjustRightInd w:val="0"/>
              <w:snapToGrid w:val="0"/>
              <w:jc w:val="left"/>
              <w:rPr>
                <w:rFonts w:hint="eastAsia" w:ascii="仿宋" w:hAnsi="仿宋" w:eastAsia="仿宋" w:cs="仿宋"/>
                <w:color w:val="000000"/>
                <w:sz w:val="24"/>
                <w:szCs w:val="24"/>
                <w:lang w:eastAsia="zh-TW"/>
              </w:rPr>
            </w:pPr>
            <w:r>
              <w:rPr>
                <w:rFonts w:hint="eastAsia" w:ascii="仿宋" w:hAnsi="仿宋" w:eastAsia="仿宋" w:cs="仿宋"/>
                <w:color w:val="000000"/>
                <w:sz w:val="24"/>
                <w:szCs w:val="24"/>
              </w:rPr>
              <w:t>通过本课程的学习，学生具备如下知识、能力及情感态度价值观：</w:t>
            </w:r>
          </w:p>
          <w:p w14:paraId="0CCAA4F1">
            <w:pPr>
              <w:adjustRightInd w:val="0"/>
              <w:snapToGrid w:val="0"/>
              <w:jc w:val="left"/>
              <w:rPr>
                <w:rFonts w:hint="eastAsia" w:ascii="仿宋" w:hAnsi="仿宋" w:eastAsia="仿宋" w:cs="仿宋"/>
                <w:color w:val="000000"/>
                <w:sz w:val="24"/>
                <w:szCs w:val="24"/>
                <w:lang w:eastAsia="zh-TW"/>
              </w:rPr>
            </w:pPr>
          </w:p>
          <w:p w14:paraId="3C81D70E">
            <w:pPr>
              <w:adjustRightInd w:val="0"/>
              <w:snapToGrid w:val="0"/>
              <w:rPr>
                <w:rFonts w:hint="eastAsia" w:ascii="仿宋" w:hAnsi="仿宋" w:eastAsia="仿宋" w:cs="仿宋"/>
                <w:sz w:val="24"/>
                <w:szCs w:val="24"/>
              </w:rPr>
            </w:pPr>
            <w:r>
              <w:rPr>
                <w:rFonts w:hint="eastAsia" w:ascii="仿宋" w:hAnsi="仿宋" w:eastAsia="仿宋" w:cs="仿宋"/>
                <w:b/>
                <w:bCs/>
                <w:color w:val="000000"/>
                <w:kern w:val="0"/>
                <w:sz w:val="24"/>
                <w:szCs w:val="24"/>
              </w:rPr>
              <w:t>课程目标1：</w:t>
            </w:r>
            <w:r>
              <w:rPr>
                <w:rFonts w:hint="eastAsia" w:ascii="仿宋" w:hAnsi="仿宋" w:eastAsia="仿宋" w:cs="仿宋"/>
                <w:color w:val="000000"/>
                <w:kern w:val="0"/>
                <w:sz w:val="24"/>
                <w:szCs w:val="24"/>
              </w:rPr>
              <w:t xml:space="preserve"> 领会管乐基本技术，提高专业知识与水平。乐器的演奏与</w:t>
            </w:r>
            <w:r>
              <w:rPr>
                <w:rFonts w:hint="eastAsia" w:ascii="仿宋" w:hAnsi="仿宋" w:eastAsia="仿宋" w:cs="仿宋"/>
                <w:color w:val="000000"/>
                <w:sz w:val="24"/>
                <w:szCs w:val="24"/>
              </w:rPr>
              <w:t>学习，</w:t>
            </w:r>
            <w:r>
              <w:rPr>
                <w:rFonts w:hint="eastAsia" w:ascii="仿宋" w:hAnsi="仿宋" w:eastAsia="仿宋" w:cs="仿宋"/>
                <w:color w:val="000000"/>
                <w:kern w:val="0"/>
                <w:sz w:val="24"/>
                <w:szCs w:val="24"/>
              </w:rPr>
              <w:t>使</w:t>
            </w:r>
            <w:r>
              <w:rPr>
                <w:rFonts w:hint="eastAsia" w:ascii="仿宋" w:hAnsi="仿宋" w:eastAsia="仿宋" w:cs="仿宋"/>
                <w:color w:val="000000"/>
                <w:sz w:val="24"/>
                <w:szCs w:val="24"/>
              </w:rPr>
              <w:t>学生能够</w:t>
            </w:r>
            <w:r>
              <w:rPr>
                <w:rFonts w:hint="eastAsia" w:ascii="仿宋" w:hAnsi="仿宋" w:eastAsia="仿宋" w:cs="仿宋"/>
                <w:color w:val="000000"/>
                <w:kern w:val="0"/>
                <w:sz w:val="24"/>
                <w:szCs w:val="24"/>
              </w:rPr>
              <w:t>较为完整的表现作品的风格和情感，加强管乐队的团体配合协作。</w:t>
            </w:r>
            <w:r>
              <w:rPr>
                <w:rFonts w:ascii="仿宋" w:hAnsi="仿宋" w:eastAsia="仿宋" w:cs="仿宋"/>
                <w:sz w:val="24"/>
                <w:szCs w:val="24"/>
              </w:rPr>
              <w:t>（</w:t>
            </w:r>
            <w:r>
              <w:rPr>
                <w:rFonts w:hint="eastAsia" w:ascii="仿宋" w:hAnsi="仿宋" w:eastAsia="仿宋" w:cs="仿宋"/>
                <w:kern w:val="0"/>
                <w:sz w:val="24"/>
                <w:szCs w:val="24"/>
              </w:rPr>
              <w:t>支撑毕业要求</w:t>
            </w:r>
            <w:r>
              <w:rPr>
                <w:rFonts w:ascii="仿宋" w:hAnsi="仿宋" w:eastAsia="仿宋" w:cs="仿宋"/>
                <w:kern w:val="0"/>
                <w:sz w:val="24"/>
                <w:szCs w:val="24"/>
              </w:rPr>
              <w:t>3.1</w:t>
            </w:r>
            <w:r>
              <w:rPr>
                <w:rFonts w:ascii="仿宋" w:hAnsi="仿宋" w:eastAsia="仿宋" w:cs="仿宋"/>
                <w:sz w:val="24"/>
                <w:szCs w:val="24"/>
              </w:rPr>
              <w:t>）</w:t>
            </w:r>
          </w:p>
          <w:p w14:paraId="0E847159">
            <w:pPr>
              <w:adjustRightInd w:val="0"/>
              <w:snapToGrid w:val="0"/>
              <w:rPr>
                <w:rFonts w:hint="eastAsia" w:ascii="仿宋" w:hAnsi="仿宋" w:eastAsia="仿宋" w:cs="仿宋"/>
                <w:sz w:val="24"/>
                <w:szCs w:val="24"/>
              </w:rPr>
            </w:pPr>
            <w:r>
              <w:rPr>
                <w:rFonts w:hint="eastAsia" w:ascii="仿宋" w:hAnsi="仿宋" w:eastAsia="仿宋" w:cs="仿宋"/>
                <w:b/>
                <w:bCs/>
                <w:color w:val="000000"/>
                <w:kern w:val="0"/>
                <w:sz w:val="24"/>
                <w:szCs w:val="24"/>
              </w:rPr>
              <w:t>课程目标</w:t>
            </w:r>
            <w:r>
              <w:rPr>
                <w:rFonts w:ascii="仿宋" w:hAnsi="仿宋" w:eastAsia="仿宋" w:cs="仿宋"/>
                <w:b/>
                <w:bCs/>
                <w:color w:val="000000"/>
                <w:kern w:val="0"/>
                <w:sz w:val="24"/>
                <w:szCs w:val="24"/>
              </w:rPr>
              <w:t>2</w:t>
            </w:r>
            <w:r>
              <w:rPr>
                <w:rFonts w:hint="eastAsia" w:ascii="仿宋" w:hAnsi="仿宋" w:eastAsia="仿宋" w:cs="仿宋"/>
                <w:b/>
                <w:bCs/>
                <w:color w:val="000000"/>
                <w:kern w:val="0"/>
                <w:sz w:val="24"/>
                <w:szCs w:val="24"/>
              </w:rPr>
              <w:t>：</w:t>
            </w:r>
            <w:r>
              <w:rPr>
                <w:rFonts w:ascii="仿宋" w:hAnsi="仿宋" w:eastAsia="仿宋" w:cs="仿宋"/>
                <w:color w:val="000000"/>
                <w:kern w:val="0"/>
                <w:sz w:val="24"/>
                <w:szCs w:val="24"/>
              </w:rPr>
              <w:t>能够扎实掌握管乐课堂教学方法与教学规律，具备协助集体、编排管乐活动较强能力。</w:t>
            </w:r>
            <w:r>
              <w:rPr>
                <w:rFonts w:hint="eastAsia" w:ascii="仿宋" w:hAnsi="仿宋" w:eastAsia="仿宋" w:cs="仿宋"/>
                <w:color w:val="000000"/>
                <w:kern w:val="0"/>
                <w:sz w:val="24"/>
                <w:szCs w:val="24"/>
              </w:rPr>
              <w:t>能够与老师同学交流管乐教学方法，提高教学能力。</w:t>
            </w:r>
            <w:r>
              <w:rPr>
                <w:rFonts w:ascii="仿宋" w:hAnsi="仿宋" w:eastAsia="仿宋" w:cs="仿宋"/>
                <w:sz w:val="24"/>
                <w:szCs w:val="24"/>
              </w:rPr>
              <w:t>（</w:t>
            </w:r>
            <w:r>
              <w:rPr>
                <w:rFonts w:hint="eastAsia" w:ascii="仿宋" w:hAnsi="仿宋" w:eastAsia="仿宋" w:cs="仿宋"/>
                <w:kern w:val="0"/>
                <w:sz w:val="24"/>
                <w:szCs w:val="24"/>
              </w:rPr>
              <w:t>支撑毕业要求8</w:t>
            </w:r>
            <w:r>
              <w:rPr>
                <w:rFonts w:ascii="仿宋" w:hAnsi="仿宋" w:eastAsia="仿宋" w:cs="仿宋"/>
                <w:kern w:val="0"/>
                <w:sz w:val="24"/>
                <w:szCs w:val="24"/>
              </w:rPr>
              <w:t>.1</w:t>
            </w:r>
            <w:r>
              <w:rPr>
                <w:rFonts w:ascii="仿宋" w:hAnsi="仿宋" w:eastAsia="仿宋" w:cs="仿宋"/>
                <w:sz w:val="24"/>
                <w:szCs w:val="24"/>
              </w:rPr>
              <w:t>）</w:t>
            </w:r>
          </w:p>
          <w:p w14:paraId="6C40F287">
            <w:pPr>
              <w:adjustRightInd w:val="0"/>
              <w:snapToGrid w:val="0"/>
              <w:rPr>
                <w:rFonts w:hint="eastAsia" w:ascii="仿宋" w:hAnsi="仿宋" w:eastAsia="仿宋" w:cs="仿宋"/>
                <w:color w:val="000000"/>
                <w:sz w:val="24"/>
                <w:szCs w:val="24"/>
              </w:rPr>
            </w:pPr>
            <w:r>
              <w:rPr>
                <w:rFonts w:hint="eastAsia" w:ascii="仿宋" w:hAnsi="仿宋" w:eastAsia="仿宋" w:cs="仿宋"/>
                <w:b/>
                <w:bCs/>
                <w:color w:val="000000"/>
                <w:kern w:val="0"/>
                <w:sz w:val="24"/>
                <w:szCs w:val="24"/>
              </w:rPr>
              <w:t>课程目标</w:t>
            </w:r>
            <w:r>
              <w:rPr>
                <w:rFonts w:ascii="仿宋" w:hAnsi="仿宋" w:eastAsia="仿宋" w:cs="仿宋"/>
                <w:b/>
                <w:bCs/>
                <w:color w:val="000000"/>
                <w:kern w:val="0"/>
                <w:sz w:val="24"/>
                <w:szCs w:val="24"/>
              </w:rPr>
              <w:t>3</w:t>
            </w:r>
            <w:r>
              <w:rPr>
                <w:rFonts w:hint="eastAsia" w:ascii="仿宋" w:hAnsi="仿宋" w:eastAsia="仿宋" w:cs="仿宋"/>
                <w:b/>
                <w:bCs/>
                <w:color w:val="000000"/>
                <w:kern w:val="0"/>
                <w:sz w:val="24"/>
                <w:szCs w:val="24"/>
              </w:rPr>
              <w:t>：</w:t>
            </w:r>
            <w:r>
              <w:rPr>
                <w:rFonts w:hint="eastAsia" w:ascii="仿宋" w:hAnsi="仿宋" w:eastAsia="仿宋" w:cs="仿宋"/>
                <w:color w:val="000000"/>
                <w:kern w:val="0"/>
                <w:sz w:val="24"/>
                <w:szCs w:val="24"/>
              </w:rPr>
              <w:t>能够知晓管乐发展的趋势、动态以及与生产实践和社会生活的联系。对管乐基础理论与实践产生研究兴趣。热爱中学音乐教育事业，具有积极的情感、端正的态度。</w:t>
            </w:r>
            <w:r>
              <w:rPr>
                <w:rFonts w:ascii="仿宋" w:hAnsi="仿宋" w:eastAsia="仿宋" w:cs="仿宋"/>
                <w:sz w:val="24"/>
                <w:szCs w:val="24"/>
              </w:rPr>
              <w:t>（</w:t>
            </w:r>
            <w:r>
              <w:rPr>
                <w:rFonts w:hint="eastAsia" w:ascii="仿宋" w:hAnsi="仿宋" w:eastAsia="仿宋" w:cs="仿宋"/>
                <w:kern w:val="0"/>
                <w:sz w:val="24"/>
                <w:szCs w:val="24"/>
              </w:rPr>
              <w:t>支撑毕业要求2</w:t>
            </w:r>
            <w:r>
              <w:rPr>
                <w:rFonts w:hint="eastAsia" w:ascii="仿宋" w:hAnsi="仿宋" w:eastAsia="仿宋" w:cs="仿宋"/>
                <w:kern w:val="0"/>
                <w:sz w:val="24"/>
                <w:szCs w:val="24"/>
                <w:lang w:eastAsia="zh-Hans"/>
              </w:rPr>
              <w:t>.</w:t>
            </w:r>
            <w:r>
              <w:rPr>
                <w:rFonts w:ascii="仿宋" w:hAnsi="仿宋" w:eastAsia="仿宋" w:cs="仿宋"/>
                <w:kern w:val="0"/>
                <w:sz w:val="24"/>
                <w:szCs w:val="24"/>
                <w:lang w:eastAsia="zh-Hans"/>
              </w:rPr>
              <w:t>2</w:t>
            </w:r>
            <w:r>
              <w:rPr>
                <w:rFonts w:ascii="仿宋" w:hAnsi="仿宋" w:eastAsia="仿宋" w:cs="仿宋"/>
                <w:sz w:val="24"/>
                <w:szCs w:val="24"/>
              </w:rPr>
              <w:t>）</w:t>
            </w:r>
          </w:p>
          <w:p w14:paraId="5945CF5C">
            <w:pPr>
              <w:adjustRightInd w:val="0"/>
              <w:snapToGrid w:val="0"/>
              <w:rPr>
                <w:rFonts w:hint="eastAsia" w:ascii="仿宋" w:hAnsi="仿宋" w:eastAsia="仿宋" w:cs="仿宋"/>
                <w:color w:val="000000"/>
                <w:sz w:val="24"/>
                <w:szCs w:val="24"/>
                <w:lang w:eastAsia="zh-TW"/>
              </w:rPr>
            </w:pPr>
          </w:p>
        </w:tc>
      </w:tr>
      <w:tr w14:paraId="2E488840">
        <w:trPr>
          <w:trHeight w:val="642" w:hRule="atLeast"/>
        </w:trPr>
        <w:tc>
          <w:tcPr>
            <w:tcW w:w="1375" w:type="dxa"/>
            <w:vMerge w:val="continue"/>
            <w:shd w:val="clear" w:color="auto" w:fill="FFFFFF"/>
            <w:noWrap w:val="0"/>
            <w:vAlign w:val="center"/>
          </w:tcPr>
          <w:p w14:paraId="7F2AEA3D">
            <w:pPr>
              <w:adjustRightInd w:val="0"/>
              <w:snapToGrid w:val="0"/>
              <w:spacing w:line="240" w:lineRule="atLeast"/>
              <w:jc w:val="center"/>
              <w:rPr>
                <w:rFonts w:hint="eastAsia" w:ascii="仿宋" w:hAnsi="仿宋" w:eastAsia="仿宋" w:cs="仿宋"/>
                <w:color w:val="000000"/>
                <w:sz w:val="24"/>
                <w:szCs w:val="24"/>
              </w:rPr>
            </w:pPr>
          </w:p>
        </w:tc>
        <w:tc>
          <w:tcPr>
            <w:tcW w:w="1640" w:type="dxa"/>
            <w:gridSpan w:val="2"/>
            <w:tcBorders>
              <w:bottom w:val="single" w:color="auto" w:sz="4" w:space="0"/>
            </w:tcBorders>
            <w:shd w:val="clear" w:color="auto" w:fill="FFFFFF"/>
            <w:noWrap w:val="0"/>
            <w:vAlign w:val="center"/>
          </w:tcPr>
          <w:p w14:paraId="2C7FD9F3">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w:t>
            </w:r>
          </w:p>
        </w:tc>
        <w:tc>
          <w:tcPr>
            <w:tcW w:w="4054" w:type="dxa"/>
            <w:gridSpan w:val="9"/>
            <w:tcBorders>
              <w:bottom w:val="single" w:color="auto" w:sz="4" w:space="0"/>
            </w:tcBorders>
            <w:shd w:val="clear" w:color="auto" w:fill="FFFFFF"/>
            <w:noWrap w:val="0"/>
            <w:vAlign w:val="center"/>
          </w:tcPr>
          <w:p w14:paraId="1872E745">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毕业要求分解指标点</w:t>
            </w:r>
          </w:p>
        </w:tc>
        <w:tc>
          <w:tcPr>
            <w:tcW w:w="2171" w:type="dxa"/>
            <w:gridSpan w:val="5"/>
            <w:tcBorders>
              <w:bottom w:val="single" w:color="auto" w:sz="4" w:space="0"/>
            </w:tcBorders>
            <w:shd w:val="clear" w:color="auto" w:fill="FFFFFF"/>
            <w:noWrap w:val="0"/>
            <w:vAlign w:val="center"/>
          </w:tcPr>
          <w:p w14:paraId="1340AC78">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毕业要求</w:t>
            </w:r>
          </w:p>
        </w:tc>
      </w:tr>
      <w:tr w14:paraId="2169DA49">
        <w:trPr>
          <w:trHeight w:val="817" w:hRule="atLeast"/>
        </w:trPr>
        <w:tc>
          <w:tcPr>
            <w:tcW w:w="1375" w:type="dxa"/>
            <w:vMerge w:val="continue"/>
            <w:shd w:val="clear" w:color="auto" w:fill="FFFFFF"/>
            <w:noWrap w:val="0"/>
            <w:vAlign w:val="center"/>
          </w:tcPr>
          <w:p w14:paraId="3CE75EFA">
            <w:pPr>
              <w:adjustRightInd w:val="0"/>
              <w:snapToGrid w:val="0"/>
              <w:spacing w:line="240" w:lineRule="atLeast"/>
              <w:jc w:val="center"/>
              <w:rPr>
                <w:rFonts w:hint="eastAsia" w:ascii="仿宋" w:hAnsi="仿宋" w:eastAsia="仿宋" w:cs="仿宋"/>
                <w:color w:val="000000"/>
                <w:sz w:val="24"/>
                <w:szCs w:val="24"/>
              </w:rPr>
            </w:pPr>
          </w:p>
        </w:tc>
        <w:tc>
          <w:tcPr>
            <w:tcW w:w="1640" w:type="dxa"/>
            <w:gridSpan w:val="2"/>
            <w:tcBorders>
              <w:bottom w:val="single" w:color="auto" w:sz="4" w:space="0"/>
            </w:tcBorders>
            <w:shd w:val="clear" w:color="auto" w:fill="FFFFFF"/>
            <w:noWrap w:val="0"/>
            <w:vAlign w:val="center"/>
          </w:tcPr>
          <w:p w14:paraId="73AA5BFF">
            <w:pPr>
              <w:adjustRightInd w:val="0"/>
              <w:snapToGrid w:val="0"/>
              <w:jc w:val="left"/>
              <w:rPr>
                <w:rFonts w:hint="eastAsia" w:ascii="仿宋" w:hAnsi="仿宋" w:eastAsia="仿宋" w:cs="仿宋"/>
                <w:color w:val="000000"/>
                <w:sz w:val="24"/>
                <w:szCs w:val="24"/>
              </w:rPr>
            </w:pPr>
            <w:r>
              <w:rPr>
                <w:rFonts w:ascii="仿宋" w:hAnsi="仿宋" w:eastAsia="仿宋" w:cs="仿宋"/>
                <w:color w:val="000000"/>
                <w:sz w:val="24"/>
                <w:szCs w:val="24"/>
              </w:rPr>
              <w:t>课程目标1（40%）</w:t>
            </w:r>
          </w:p>
        </w:tc>
        <w:tc>
          <w:tcPr>
            <w:tcW w:w="4060" w:type="dxa"/>
            <w:gridSpan w:val="10"/>
            <w:tcBorders>
              <w:bottom w:val="single" w:color="auto" w:sz="4" w:space="0"/>
            </w:tcBorders>
            <w:shd w:val="clear" w:color="auto" w:fill="FFFFFF"/>
            <w:noWrap w:val="0"/>
            <w:vAlign w:val="center"/>
          </w:tcPr>
          <w:p w14:paraId="0E9B1480">
            <w:pPr>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【专业技能】掌握音乐学科专业基本功，掌握音乐学科基础知识、基本理论与思想方法，理解音乐学科的核心素养的内涵，形成完整的音乐学知识体系。</w:t>
            </w:r>
          </w:p>
        </w:tc>
        <w:tc>
          <w:tcPr>
            <w:tcW w:w="2165" w:type="dxa"/>
            <w:gridSpan w:val="4"/>
            <w:tcBorders>
              <w:bottom w:val="single" w:color="auto" w:sz="4" w:space="0"/>
            </w:tcBorders>
            <w:shd w:val="clear" w:color="auto" w:fill="FFFFFF"/>
            <w:noWrap w:val="0"/>
            <w:vAlign w:val="center"/>
          </w:tcPr>
          <w:p w14:paraId="27ED2A91">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学科素养</w:t>
            </w:r>
          </w:p>
          <w:p w14:paraId="07EAADEE">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（H）</w:t>
            </w:r>
          </w:p>
        </w:tc>
      </w:tr>
      <w:tr w14:paraId="19413FF9">
        <w:trPr>
          <w:trHeight w:val="817" w:hRule="atLeast"/>
        </w:trPr>
        <w:tc>
          <w:tcPr>
            <w:tcW w:w="1375" w:type="dxa"/>
            <w:vMerge w:val="continue"/>
            <w:shd w:val="clear" w:color="auto" w:fill="FFFFFF"/>
            <w:noWrap w:val="0"/>
            <w:vAlign w:val="center"/>
          </w:tcPr>
          <w:p w14:paraId="791CCCCE">
            <w:pPr>
              <w:adjustRightInd w:val="0"/>
              <w:snapToGrid w:val="0"/>
              <w:spacing w:line="240" w:lineRule="atLeast"/>
              <w:jc w:val="center"/>
              <w:rPr>
                <w:rFonts w:hint="eastAsia" w:ascii="仿宋" w:hAnsi="仿宋" w:eastAsia="仿宋" w:cs="仿宋"/>
                <w:color w:val="000000"/>
                <w:sz w:val="24"/>
                <w:szCs w:val="24"/>
              </w:rPr>
            </w:pPr>
          </w:p>
        </w:tc>
        <w:tc>
          <w:tcPr>
            <w:tcW w:w="1640" w:type="dxa"/>
            <w:gridSpan w:val="2"/>
            <w:tcBorders>
              <w:bottom w:val="single" w:color="auto" w:sz="4" w:space="0"/>
            </w:tcBorders>
            <w:shd w:val="clear" w:color="auto" w:fill="FFFFFF"/>
            <w:noWrap w:val="0"/>
            <w:vAlign w:val="center"/>
          </w:tcPr>
          <w:p w14:paraId="75BE9738">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课程目标2（</w:t>
            </w:r>
            <w:r>
              <w:rPr>
                <w:rFonts w:hint="eastAsia" w:ascii="仿宋" w:hAnsi="仿宋" w:eastAsia="仿宋" w:cs="仿宋"/>
                <w:color w:val="000000"/>
                <w:sz w:val="24"/>
                <w:szCs w:val="24"/>
              </w:rPr>
              <w:t>40</w:t>
            </w:r>
            <w:r>
              <w:rPr>
                <w:rFonts w:ascii="仿宋" w:hAnsi="仿宋" w:eastAsia="仿宋" w:cs="仿宋"/>
                <w:color w:val="000000"/>
                <w:sz w:val="24"/>
                <w:szCs w:val="24"/>
              </w:rPr>
              <w:t>%）</w:t>
            </w:r>
          </w:p>
        </w:tc>
        <w:tc>
          <w:tcPr>
            <w:tcW w:w="4060" w:type="dxa"/>
            <w:gridSpan w:val="10"/>
            <w:tcBorders>
              <w:bottom w:val="single" w:color="auto" w:sz="4" w:space="0"/>
            </w:tcBorders>
            <w:shd w:val="clear" w:color="auto" w:fill="FFFFFF"/>
            <w:noWrap w:val="0"/>
            <w:vAlign w:val="center"/>
          </w:tcPr>
          <w:p w14:paraId="11B600D4">
            <w:pPr>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【沟通交流】掌握人际交往和沟通的方式方法，能够在教育实践、社会实践中与同事、同行、专家等进行有效沟通交流。</w:t>
            </w:r>
          </w:p>
        </w:tc>
        <w:tc>
          <w:tcPr>
            <w:tcW w:w="2165" w:type="dxa"/>
            <w:gridSpan w:val="4"/>
            <w:tcBorders>
              <w:bottom w:val="single" w:color="auto" w:sz="4" w:space="0"/>
            </w:tcBorders>
            <w:shd w:val="clear" w:color="auto" w:fill="FFFFFF"/>
            <w:noWrap w:val="0"/>
            <w:vAlign w:val="center"/>
          </w:tcPr>
          <w:p w14:paraId="330D5D72">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沟通合作</w:t>
            </w:r>
          </w:p>
          <w:p w14:paraId="671B730B">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w:t>
            </w:r>
            <w:r>
              <w:rPr>
                <w:rFonts w:hint="eastAsia" w:ascii="仿宋" w:hAnsi="仿宋" w:eastAsia="仿宋" w:cs="仿宋"/>
                <w:color w:val="000000"/>
                <w:sz w:val="24"/>
                <w:szCs w:val="24"/>
              </w:rPr>
              <w:t>H</w:t>
            </w:r>
            <w:r>
              <w:rPr>
                <w:rFonts w:ascii="仿宋" w:hAnsi="仿宋" w:eastAsia="仿宋" w:cs="仿宋"/>
                <w:color w:val="000000"/>
                <w:sz w:val="24"/>
                <w:szCs w:val="24"/>
              </w:rPr>
              <w:t>）</w:t>
            </w:r>
          </w:p>
        </w:tc>
      </w:tr>
      <w:tr w14:paraId="1BE186A4">
        <w:trPr>
          <w:trHeight w:val="817" w:hRule="atLeast"/>
        </w:trPr>
        <w:tc>
          <w:tcPr>
            <w:tcW w:w="1375" w:type="dxa"/>
            <w:vMerge w:val="continue"/>
            <w:shd w:val="clear" w:color="auto" w:fill="FFFFFF"/>
            <w:noWrap w:val="0"/>
            <w:vAlign w:val="center"/>
          </w:tcPr>
          <w:p w14:paraId="015F65E0">
            <w:pPr>
              <w:adjustRightInd w:val="0"/>
              <w:snapToGrid w:val="0"/>
              <w:spacing w:line="240" w:lineRule="atLeast"/>
              <w:jc w:val="center"/>
              <w:rPr>
                <w:rFonts w:hint="eastAsia" w:ascii="仿宋" w:hAnsi="仿宋" w:eastAsia="仿宋" w:cs="仿宋"/>
                <w:color w:val="000000"/>
                <w:sz w:val="24"/>
                <w:szCs w:val="24"/>
              </w:rPr>
            </w:pPr>
          </w:p>
        </w:tc>
        <w:tc>
          <w:tcPr>
            <w:tcW w:w="1640" w:type="dxa"/>
            <w:gridSpan w:val="2"/>
            <w:tcBorders>
              <w:bottom w:val="single" w:color="auto" w:sz="4" w:space="0"/>
            </w:tcBorders>
            <w:shd w:val="clear" w:color="auto" w:fill="FFFFFF"/>
            <w:noWrap w:val="0"/>
            <w:vAlign w:val="center"/>
          </w:tcPr>
          <w:p w14:paraId="3A69569A">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课程目标3（</w:t>
            </w:r>
            <w:r>
              <w:rPr>
                <w:rFonts w:hint="eastAsia" w:ascii="仿宋" w:hAnsi="仿宋" w:eastAsia="仿宋" w:cs="仿宋"/>
                <w:color w:val="000000"/>
                <w:sz w:val="24"/>
                <w:szCs w:val="24"/>
              </w:rPr>
              <w:t>20</w:t>
            </w:r>
            <w:r>
              <w:rPr>
                <w:rFonts w:ascii="仿宋" w:hAnsi="仿宋" w:eastAsia="仿宋" w:cs="仿宋"/>
                <w:color w:val="000000"/>
                <w:sz w:val="24"/>
                <w:szCs w:val="24"/>
              </w:rPr>
              <w:t>%）</w:t>
            </w:r>
          </w:p>
        </w:tc>
        <w:tc>
          <w:tcPr>
            <w:tcW w:w="4060" w:type="dxa"/>
            <w:gridSpan w:val="10"/>
            <w:tcBorders>
              <w:bottom w:val="single" w:color="auto" w:sz="4" w:space="0"/>
            </w:tcBorders>
            <w:shd w:val="clear" w:color="auto" w:fill="FFFFFF"/>
            <w:noWrap w:val="0"/>
            <w:vAlign w:val="center"/>
          </w:tcPr>
          <w:p w14:paraId="2B92D638">
            <w:pPr>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【用心从教】树立爱岗敬业精神，了解学生的身心发展特点和音乐的认知规律，关爱学生，保护学生安全，促进学生身心健康发展，在教育实践中能够认真履行工作职责、富有爱心、责任心，建立良好师生关系。</w:t>
            </w:r>
          </w:p>
        </w:tc>
        <w:tc>
          <w:tcPr>
            <w:tcW w:w="2165" w:type="dxa"/>
            <w:gridSpan w:val="4"/>
            <w:tcBorders>
              <w:bottom w:val="single" w:color="auto" w:sz="4" w:space="0"/>
            </w:tcBorders>
            <w:shd w:val="clear" w:color="auto" w:fill="FFFFFF"/>
            <w:noWrap w:val="0"/>
            <w:vAlign w:val="center"/>
          </w:tcPr>
          <w:p w14:paraId="403EF404">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教育情怀</w:t>
            </w:r>
          </w:p>
          <w:p w14:paraId="7BDDF2CD">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w:t>
            </w:r>
            <w:r>
              <w:rPr>
                <w:rFonts w:hint="eastAsia" w:ascii="仿宋" w:hAnsi="仿宋" w:eastAsia="仿宋" w:cs="仿宋"/>
                <w:color w:val="000000"/>
                <w:sz w:val="24"/>
                <w:szCs w:val="24"/>
              </w:rPr>
              <w:t>L</w:t>
            </w:r>
            <w:r>
              <w:rPr>
                <w:rFonts w:ascii="仿宋" w:hAnsi="仿宋" w:eastAsia="仿宋" w:cs="仿宋"/>
                <w:color w:val="000000"/>
                <w:sz w:val="24"/>
                <w:szCs w:val="24"/>
              </w:rPr>
              <w:t>）</w:t>
            </w:r>
          </w:p>
        </w:tc>
      </w:tr>
      <w:tr w14:paraId="047BCD39">
        <w:trPr>
          <w:trHeight w:val="582" w:hRule="atLeast"/>
        </w:trPr>
        <w:tc>
          <w:tcPr>
            <w:tcW w:w="1375" w:type="dxa"/>
            <w:vMerge w:val="restart"/>
            <w:shd w:val="clear" w:color="auto" w:fill="FFFFFF"/>
            <w:noWrap w:val="0"/>
            <w:vAlign w:val="center"/>
          </w:tcPr>
          <w:p w14:paraId="60AA1E37">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F</w:t>
            </w:r>
          </w:p>
          <w:p w14:paraId="33ED78A4">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实践教学内容</w:t>
            </w:r>
          </w:p>
          <w:p w14:paraId="44C2D01C">
            <w:pPr>
              <w:adjustRightInd w:val="0"/>
              <w:snapToGrid w:val="0"/>
              <w:spacing w:line="240" w:lineRule="atLeast"/>
              <w:jc w:val="center"/>
              <w:rPr>
                <w:rFonts w:hint="eastAsia" w:ascii="仿宋" w:hAnsi="仿宋" w:eastAsia="仿宋" w:cs="仿宋"/>
                <w:color w:val="000000"/>
                <w:sz w:val="24"/>
                <w:szCs w:val="24"/>
              </w:rPr>
            </w:pPr>
          </w:p>
          <w:p w14:paraId="6564DD6B">
            <w:pPr>
              <w:adjustRightInd w:val="0"/>
              <w:snapToGrid w:val="0"/>
              <w:spacing w:line="240" w:lineRule="atLeast"/>
              <w:rPr>
                <w:rFonts w:hint="eastAsia" w:ascii="仿宋" w:hAnsi="仿宋" w:eastAsia="仿宋" w:cs="仿宋"/>
                <w:color w:val="000000"/>
                <w:sz w:val="24"/>
                <w:szCs w:val="24"/>
              </w:rPr>
            </w:pPr>
          </w:p>
        </w:tc>
        <w:tc>
          <w:tcPr>
            <w:tcW w:w="5694" w:type="dxa"/>
            <w:gridSpan w:val="11"/>
            <w:shd w:val="clear" w:color="auto" w:fill="FFFFFF"/>
            <w:noWrap w:val="0"/>
            <w:vAlign w:val="center"/>
          </w:tcPr>
          <w:p w14:paraId="1C04B780">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章节学习内容与学习要求</w:t>
            </w:r>
          </w:p>
        </w:tc>
        <w:tc>
          <w:tcPr>
            <w:tcW w:w="1153" w:type="dxa"/>
            <w:gridSpan w:val="3"/>
            <w:shd w:val="clear" w:color="auto" w:fill="FFFFFF"/>
            <w:noWrap w:val="0"/>
            <w:vAlign w:val="center"/>
          </w:tcPr>
          <w:p w14:paraId="7331852B">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支撑课程</w:t>
            </w:r>
          </w:p>
          <w:p w14:paraId="045B0619">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目标</w:t>
            </w:r>
          </w:p>
        </w:tc>
        <w:tc>
          <w:tcPr>
            <w:tcW w:w="1018" w:type="dxa"/>
            <w:gridSpan w:val="2"/>
            <w:shd w:val="clear" w:color="auto" w:fill="FFFFFF"/>
            <w:noWrap w:val="0"/>
            <w:vAlign w:val="center"/>
          </w:tcPr>
          <w:p w14:paraId="5F34E1BB">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学时</w:t>
            </w:r>
          </w:p>
          <w:p w14:paraId="59A03FA9">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分配</w:t>
            </w:r>
          </w:p>
        </w:tc>
      </w:tr>
      <w:tr w14:paraId="0FBD0625">
        <w:trPr>
          <w:trHeight w:val="90" w:hRule="atLeast"/>
        </w:trPr>
        <w:tc>
          <w:tcPr>
            <w:tcW w:w="1375" w:type="dxa"/>
            <w:vMerge w:val="continue"/>
            <w:shd w:val="clear" w:color="auto" w:fill="FFFFFF"/>
            <w:noWrap w:val="0"/>
            <w:vAlign w:val="center"/>
          </w:tcPr>
          <w:p w14:paraId="07747644">
            <w:pPr>
              <w:adjustRightInd w:val="0"/>
              <w:snapToGrid w:val="0"/>
              <w:spacing w:line="240" w:lineRule="atLeast"/>
              <w:jc w:val="right"/>
              <w:rPr>
                <w:rFonts w:hint="eastAsia" w:ascii="仿宋" w:hAnsi="仿宋" w:eastAsia="仿宋" w:cs="仿宋"/>
                <w:color w:val="000000"/>
                <w:sz w:val="24"/>
                <w:szCs w:val="24"/>
              </w:rPr>
            </w:pPr>
          </w:p>
        </w:tc>
        <w:tc>
          <w:tcPr>
            <w:tcW w:w="5694" w:type="dxa"/>
            <w:gridSpan w:val="11"/>
            <w:shd w:val="clear" w:color="auto" w:fill="auto"/>
            <w:noWrap w:val="0"/>
            <w:vAlign w:val="center"/>
          </w:tcPr>
          <w:p w14:paraId="10394716">
            <w:pPr>
              <w:widowControl/>
              <w:ind w:firstLine="240" w:firstLineChars="100"/>
              <w:rPr>
                <w:rFonts w:hint="eastAsia" w:ascii="仿宋" w:hAnsi="仿宋" w:eastAsia="仿宋" w:cs="仿宋"/>
                <w:bCs/>
                <w:color w:val="000000"/>
                <w:sz w:val="24"/>
                <w:szCs w:val="24"/>
              </w:rPr>
            </w:pPr>
          </w:p>
        </w:tc>
        <w:tc>
          <w:tcPr>
            <w:tcW w:w="1153" w:type="dxa"/>
            <w:gridSpan w:val="3"/>
            <w:shd w:val="clear" w:color="auto" w:fill="auto"/>
            <w:noWrap w:val="0"/>
            <w:vAlign w:val="center"/>
          </w:tcPr>
          <w:p w14:paraId="4B9DD6CA">
            <w:pPr>
              <w:widowControl/>
              <w:adjustRightInd w:val="0"/>
              <w:snapToGrid w:val="0"/>
              <w:jc w:val="center"/>
              <w:rPr>
                <w:rFonts w:hint="eastAsia" w:ascii="仿宋" w:hAnsi="仿宋" w:eastAsia="仿宋" w:cs="仿宋"/>
                <w:bCs/>
                <w:color w:val="4472C4"/>
                <w:sz w:val="24"/>
                <w:szCs w:val="24"/>
              </w:rPr>
            </w:pPr>
          </w:p>
        </w:tc>
        <w:tc>
          <w:tcPr>
            <w:tcW w:w="1018" w:type="dxa"/>
            <w:gridSpan w:val="2"/>
            <w:shd w:val="clear" w:color="auto" w:fill="FFFFFF"/>
            <w:noWrap w:val="0"/>
            <w:vAlign w:val="center"/>
          </w:tcPr>
          <w:p w14:paraId="6B361A41">
            <w:pPr>
              <w:adjustRightInd w:val="0"/>
              <w:snapToGrid w:val="0"/>
              <w:jc w:val="center"/>
              <w:rPr>
                <w:rFonts w:hint="eastAsia" w:ascii="仿宋" w:hAnsi="仿宋" w:eastAsia="仿宋" w:cs="仿宋"/>
                <w:color w:val="4472C4"/>
                <w:sz w:val="24"/>
                <w:szCs w:val="24"/>
              </w:rPr>
            </w:pPr>
          </w:p>
        </w:tc>
      </w:tr>
      <w:tr w14:paraId="32109BCF">
        <w:trPr>
          <w:trHeight w:val="454" w:hRule="atLeast"/>
        </w:trPr>
        <w:tc>
          <w:tcPr>
            <w:tcW w:w="1375" w:type="dxa"/>
            <w:vMerge w:val="continue"/>
            <w:shd w:val="clear" w:color="auto" w:fill="FFFFFF"/>
            <w:noWrap w:val="0"/>
            <w:vAlign w:val="center"/>
          </w:tcPr>
          <w:p w14:paraId="703ADA64">
            <w:pPr>
              <w:adjustRightInd w:val="0"/>
              <w:snapToGrid w:val="0"/>
              <w:spacing w:line="240" w:lineRule="atLeast"/>
              <w:jc w:val="right"/>
              <w:rPr>
                <w:rFonts w:hint="eastAsia" w:ascii="仿宋" w:hAnsi="仿宋" w:eastAsia="仿宋" w:cs="仿宋"/>
                <w:color w:val="000000"/>
                <w:sz w:val="24"/>
                <w:szCs w:val="24"/>
              </w:rPr>
            </w:pPr>
          </w:p>
        </w:tc>
        <w:tc>
          <w:tcPr>
            <w:tcW w:w="5694" w:type="dxa"/>
            <w:gridSpan w:val="11"/>
            <w:shd w:val="clear" w:color="auto" w:fill="auto"/>
            <w:noWrap w:val="0"/>
            <w:vAlign w:val="center"/>
          </w:tcPr>
          <w:p w14:paraId="2A6A7D49">
            <w:pPr>
              <w:adjustRightInd w:val="0"/>
              <w:snapToGrid w:val="0"/>
              <w:rPr>
                <w:rFonts w:hint="eastAsia" w:ascii="仿宋" w:hAnsi="仿宋" w:eastAsia="仿宋" w:cs="仿宋"/>
                <w:bCs/>
                <w:color w:val="000000"/>
                <w:sz w:val="24"/>
                <w:szCs w:val="24"/>
              </w:rPr>
            </w:pPr>
          </w:p>
        </w:tc>
        <w:tc>
          <w:tcPr>
            <w:tcW w:w="1153" w:type="dxa"/>
            <w:gridSpan w:val="3"/>
            <w:shd w:val="clear" w:color="auto" w:fill="auto"/>
            <w:noWrap w:val="0"/>
            <w:vAlign w:val="center"/>
          </w:tcPr>
          <w:p w14:paraId="093FCEF6">
            <w:pPr>
              <w:adjustRightInd w:val="0"/>
              <w:snapToGrid w:val="0"/>
              <w:jc w:val="center"/>
              <w:rPr>
                <w:rFonts w:hint="eastAsia" w:ascii="仿宋" w:hAnsi="仿宋" w:eastAsia="仿宋" w:cs="仿宋"/>
                <w:bCs/>
                <w:color w:val="000000"/>
                <w:sz w:val="24"/>
                <w:szCs w:val="24"/>
              </w:rPr>
            </w:pPr>
          </w:p>
        </w:tc>
        <w:tc>
          <w:tcPr>
            <w:tcW w:w="1018" w:type="dxa"/>
            <w:gridSpan w:val="2"/>
            <w:shd w:val="clear" w:color="auto" w:fill="FFFFFF"/>
            <w:noWrap w:val="0"/>
            <w:vAlign w:val="center"/>
          </w:tcPr>
          <w:p w14:paraId="35B64B7B">
            <w:pPr>
              <w:adjustRightInd w:val="0"/>
              <w:snapToGrid w:val="0"/>
              <w:jc w:val="center"/>
              <w:rPr>
                <w:rFonts w:hint="eastAsia" w:ascii="仿宋" w:hAnsi="仿宋" w:eastAsia="仿宋" w:cs="仿宋"/>
                <w:color w:val="000000"/>
                <w:sz w:val="24"/>
                <w:szCs w:val="24"/>
              </w:rPr>
            </w:pPr>
          </w:p>
        </w:tc>
      </w:tr>
      <w:tr w14:paraId="5B6AB7B8">
        <w:trPr>
          <w:trHeight w:val="454" w:hRule="atLeast"/>
        </w:trPr>
        <w:tc>
          <w:tcPr>
            <w:tcW w:w="1375" w:type="dxa"/>
            <w:vMerge w:val="continue"/>
            <w:shd w:val="clear" w:color="auto" w:fill="FFFFFF"/>
            <w:noWrap w:val="0"/>
            <w:vAlign w:val="center"/>
          </w:tcPr>
          <w:p w14:paraId="20DC49DD">
            <w:pPr>
              <w:adjustRightInd w:val="0"/>
              <w:snapToGrid w:val="0"/>
              <w:spacing w:line="240" w:lineRule="atLeast"/>
              <w:jc w:val="right"/>
              <w:rPr>
                <w:rFonts w:hint="eastAsia" w:ascii="仿宋" w:hAnsi="仿宋" w:eastAsia="仿宋" w:cs="仿宋"/>
                <w:color w:val="000000"/>
                <w:sz w:val="24"/>
                <w:szCs w:val="24"/>
              </w:rPr>
            </w:pPr>
          </w:p>
        </w:tc>
        <w:tc>
          <w:tcPr>
            <w:tcW w:w="5694" w:type="dxa"/>
            <w:gridSpan w:val="11"/>
            <w:shd w:val="clear" w:color="auto" w:fill="auto"/>
            <w:noWrap w:val="0"/>
            <w:vAlign w:val="center"/>
          </w:tcPr>
          <w:p w14:paraId="5E3483C8">
            <w:pPr>
              <w:adjustRightInd w:val="0"/>
              <w:snapToGrid w:val="0"/>
              <w:rPr>
                <w:rFonts w:hint="eastAsia" w:ascii="仿宋" w:hAnsi="仿宋" w:eastAsia="仿宋" w:cs="仿宋"/>
                <w:bCs/>
                <w:color w:val="000000"/>
                <w:sz w:val="24"/>
                <w:szCs w:val="24"/>
              </w:rPr>
            </w:pPr>
          </w:p>
        </w:tc>
        <w:tc>
          <w:tcPr>
            <w:tcW w:w="1153" w:type="dxa"/>
            <w:gridSpan w:val="3"/>
            <w:shd w:val="clear" w:color="auto" w:fill="auto"/>
            <w:noWrap w:val="0"/>
            <w:vAlign w:val="center"/>
          </w:tcPr>
          <w:p w14:paraId="73EF286C">
            <w:pPr>
              <w:adjustRightInd w:val="0"/>
              <w:snapToGrid w:val="0"/>
              <w:ind w:firstLine="960" w:firstLineChars="400"/>
              <w:jc w:val="center"/>
              <w:rPr>
                <w:rFonts w:hint="eastAsia" w:ascii="仿宋" w:hAnsi="仿宋" w:eastAsia="仿宋" w:cs="仿宋"/>
                <w:bCs/>
                <w:color w:val="000000"/>
                <w:sz w:val="24"/>
                <w:szCs w:val="24"/>
              </w:rPr>
            </w:pPr>
          </w:p>
        </w:tc>
        <w:tc>
          <w:tcPr>
            <w:tcW w:w="1018" w:type="dxa"/>
            <w:gridSpan w:val="2"/>
            <w:shd w:val="clear" w:color="auto" w:fill="FFFFFF"/>
            <w:noWrap w:val="0"/>
            <w:vAlign w:val="center"/>
          </w:tcPr>
          <w:p w14:paraId="4AB30D13">
            <w:pPr>
              <w:adjustRightInd w:val="0"/>
              <w:snapToGrid w:val="0"/>
              <w:jc w:val="center"/>
              <w:rPr>
                <w:rFonts w:hint="eastAsia" w:ascii="仿宋" w:hAnsi="仿宋" w:eastAsia="仿宋" w:cs="仿宋"/>
                <w:color w:val="000000"/>
                <w:sz w:val="24"/>
                <w:szCs w:val="24"/>
              </w:rPr>
            </w:pPr>
          </w:p>
        </w:tc>
      </w:tr>
      <w:tr w14:paraId="16CE63AB">
        <w:trPr>
          <w:trHeight w:val="1047" w:hRule="atLeast"/>
        </w:trPr>
        <w:tc>
          <w:tcPr>
            <w:tcW w:w="1375" w:type="dxa"/>
            <w:vMerge w:val="continue"/>
            <w:shd w:val="clear" w:color="auto" w:fill="FFFFFF"/>
            <w:noWrap w:val="0"/>
            <w:vAlign w:val="center"/>
          </w:tcPr>
          <w:p w14:paraId="63308A9E">
            <w:pPr>
              <w:adjustRightInd w:val="0"/>
              <w:snapToGrid w:val="0"/>
              <w:spacing w:line="240" w:lineRule="atLeast"/>
              <w:jc w:val="center"/>
              <w:rPr>
                <w:rFonts w:hint="eastAsia" w:ascii="仿宋" w:hAnsi="仿宋" w:eastAsia="仿宋" w:cs="仿宋"/>
                <w:color w:val="000000"/>
                <w:sz w:val="24"/>
                <w:szCs w:val="24"/>
              </w:rPr>
            </w:pPr>
          </w:p>
        </w:tc>
        <w:tc>
          <w:tcPr>
            <w:tcW w:w="6847" w:type="dxa"/>
            <w:gridSpan w:val="14"/>
            <w:shd w:val="clear" w:color="auto" w:fill="auto"/>
            <w:noWrap w:val="0"/>
            <w:vAlign w:val="center"/>
          </w:tcPr>
          <w:p w14:paraId="60D57289">
            <w:pPr>
              <w:adjustRightInd w:val="0"/>
              <w:snapToGrid w:val="0"/>
              <w:jc w:val="center"/>
              <w:rPr>
                <w:rFonts w:hint="eastAsia" w:ascii="仿宋" w:hAnsi="仿宋" w:eastAsia="仿宋" w:cs="仿宋"/>
                <w:bCs/>
                <w:color w:val="000000"/>
                <w:sz w:val="24"/>
                <w:szCs w:val="24"/>
              </w:rPr>
            </w:pPr>
            <w:r>
              <w:rPr>
                <w:rFonts w:hint="eastAsia" w:ascii="仿宋" w:hAnsi="仿宋" w:eastAsia="仿宋" w:cs="仿宋"/>
                <w:bCs/>
                <w:color w:val="000000"/>
                <w:sz w:val="24"/>
                <w:szCs w:val="24"/>
              </w:rPr>
              <w:t>合计</w:t>
            </w:r>
          </w:p>
        </w:tc>
        <w:tc>
          <w:tcPr>
            <w:tcW w:w="1018" w:type="dxa"/>
            <w:gridSpan w:val="2"/>
            <w:shd w:val="clear" w:color="auto" w:fill="FFFFFF"/>
            <w:noWrap w:val="0"/>
            <w:vAlign w:val="center"/>
          </w:tcPr>
          <w:p w14:paraId="3CD00DFD">
            <w:pPr>
              <w:adjustRightInd w:val="0"/>
              <w:snapToGrid w:val="0"/>
              <w:jc w:val="center"/>
              <w:rPr>
                <w:rFonts w:hint="eastAsia" w:ascii="仿宋" w:hAnsi="仿宋" w:eastAsia="仿宋" w:cs="仿宋"/>
                <w:color w:val="4472C4"/>
                <w:sz w:val="24"/>
                <w:szCs w:val="24"/>
              </w:rPr>
            </w:pPr>
          </w:p>
        </w:tc>
      </w:tr>
      <w:tr w14:paraId="4F5B215F">
        <w:trPr>
          <w:trHeight w:val="1047" w:hRule="atLeast"/>
        </w:trPr>
        <w:tc>
          <w:tcPr>
            <w:tcW w:w="1375" w:type="dxa"/>
            <w:vMerge w:val="restart"/>
            <w:shd w:val="clear" w:color="auto" w:fill="FFFFFF"/>
            <w:noWrap w:val="0"/>
            <w:vAlign w:val="center"/>
          </w:tcPr>
          <w:p w14:paraId="09FE8816">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G</w:t>
            </w:r>
          </w:p>
          <w:p w14:paraId="7234B65B">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sz w:val="24"/>
                <w:szCs w:val="24"/>
                <w:lang w:eastAsia="zh-Hans"/>
              </w:rPr>
              <w:t>技能</w:t>
            </w:r>
            <w:r>
              <w:rPr>
                <w:rFonts w:hint="eastAsia" w:ascii="仿宋" w:hAnsi="仿宋" w:eastAsia="仿宋" w:cs="仿宋"/>
                <w:sz w:val="24"/>
                <w:szCs w:val="24"/>
              </w:rPr>
              <w:t>（实训）内容</w:t>
            </w:r>
          </w:p>
        </w:tc>
        <w:tc>
          <w:tcPr>
            <w:tcW w:w="5685" w:type="dxa"/>
            <w:gridSpan w:val="10"/>
            <w:shd w:val="clear" w:color="auto" w:fill="auto"/>
            <w:noWrap w:val="0"/>
            <w:vAlign w:val="center"/>
          </w:tcPr>
          <w:p w14:paraId="021B7791">
            <w:pPr>
              <w:adjustRightInd w:val="0"/>
              <w:snapToGrid w:val="0"/>
              <w:jc w:val="center"/>
              <w:textAlignment w:val="baseline"/>
              <w:rPr>
                <w:rFonts w:hint="eastAsia" w:ascii="仿宋" w:hAnsi="仿宋" w:eastAsia="仿宋" w:cs="仿宋"/>
                <w:bCs/>
                <w:color w:val="000000"/>
                <w:sz w:val="24"/>
                <w:szCs w:val="24"/>
              </w:rPr>
            </w:pPr>
            <w:r>
              <w:rPr>
                <w:rFonts w:hint="eastAsia" w:ascii="仿宋" w:hAnsi="仿宋" w:eastAsia="仿宋" w:cs="仿宋"/>
                <w:kern w:val="0"/>
                <w:sz w:val="24"/>
                <w:szCs w:val="24"/>
                <w:lang w:eastAsia="zh-Hans"/>
              </w:rPr>
              <w:t>实训目的及任务</w:t>
            </w:r>
          </w:p>
        </w:tc>
        <w:tc>
          <w:tcPr>
            <w:tcW w:w="1162" w:type="dxa"/>
            <w:gridSpan w:val="4"/>
            <w:shd w:val="clear" w:color="auto" w:fill="auto"/>
            <w:noWrap w:val="0"/>
            <w:vAlign w:val="center"/>
          </w:tcPr>
          <w:p w14:paraId="4D358B79">
            <w:pPr>
              <w:adjustRightInd w:val="0"/>
              <w:snapToGrid w:val="0"/>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14:paraId="09BD0761">
            <w:pPr>
              <w:adjustRightInd w:val="0"/>
              <w:snapToGrid w:val="0"/>
              <w:jc w:val="center"/>
              <w:textAlignment w:val="baseline"/>
              <w:rPr>
                <w:rFonts w:hint="eastAsia" w:ascii="仿宋" w:hAnsi="仿宋" w:eastAsia="仿宋" w:cs="仿宋"/>
                <w:bCs/>
                <w:color w:val="000000"/>
                <w:sz w:val="24"/>
                <w:szCs w:val="24"/>
              </w:rPr>
            </w:pPr>
            <w:r>
              <w:rPr>
                <w:rFonts w:hint="eastAsia" w:ascii="仿宋" w:hAnsi="仿宋" w:eastAsia="仿宋" w:cs="仿宋"/>
                <w:kern w:val="0"/>
                <w:sz w:val="24"/>
                <w:szCs w:val="24"/>
              </w:rPr>
              <w:t>目标</w:t>
            </w:r>
          </w:p>
        </w:tc>
        <w:tc>
          <w:tcPr>
            <w:tcW w:w="1018" w:type="dxa"/>
            <w:gridSpan w:val="2"/>
            <w:shd w:val="clear" w:color="auto" w:fill="FFFFFF"/>
            <w:noWrap w:val="0"/>
            <w:vAlign w:val="center"/>
          </w:tcPr>
          <w:p w14:paraId="099DEDD3">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 xml:space="preserve">学时 </w:t>
            </w:r>
          </w:p>
          <w:p w14:paraId="7EEE92F0">
            <w:pPr>
              <w:adjustRightInd w:val="0"/>
              <w:snapToGrid w:val="0"/>
              <w:jc w:val="center"/>
              <w:rPr>
                <w:rFonts w:hint="eastAsia" w:ascii="仿宋" w:hAnsi="仿宋" w:eastAsia="仿宋" w:cs="仿宋"/>
                <w:color w:val="4472C4"/>
                <w:sz w:val="24"/>
                <w:szCs w:val="24"/>
              </w:rPr>
            </w:pPr>
            <w:r>
              <w:rPr>
                <w:rFonts w:hint="eastAsia" w:ascii="仿宋" w:hAnsi="仿宋" w:eastAsia="仿宋" w:cs="仿宋"/>
                <w:kern w:val="0"/>
                <w:sz w:val="24"/>
                <w:szCs w:val="24"/>
              </w:rPr>
              <w:t>分配</w:t>
            </w:r>
          </w:p>
        </w:tc>
      </w:tr>
      <w:tr w14:paraId="46598B8B">
        <w:trPr>
          <w:trHeight w:val="1381" w:hRule="atLeast"/>
        </w:trPr>
        <w:tc>
          <w:tcPr>
            <w:tcW w:w="1375" w:type="dxa"/>
            <w:vMerge w:val="continue"/>
            <w:shd w:val="clear" w:color="auto" w:fill="FFFFFF"/>
            <w:noWrap w:val="0"/>
            <w:vAlign w:val="center"/>
          </w:tcPr>
          <w:p w14:paraId="0A478FA0">
            <w:pPr>
              <w:adjustRightInd w:val="0"/>
              <w:snapToGrid w:val="0"/>
              <w:spacing w:line="240" w:lineRule="atLeast"/>
              <w:jc w:val="center"/>
              <w:rPr>
                <w:rFonts w:hint="eastAsia" w:ascii="仿宋" w:hAnsi="仿宋" w:eastAsia="仿宋" w:cs="仿宋"/>
                <w:color w:val="000000"/>
                <w:sz w:val="24"/>
                <w:szCs w:val="24"/>
              </w:rPr>
            </w:pPr>
          </w:p>
        </w:tc>
        <w:tc>
          <w:tcPr>
            <w:tcW w:w="5685" w:type="dxa"/>
            <w:gridSpan w:val="10"/>
            <w:shd w:val="clear" w:color="auto" w:fill="auto"/>
            <w:noWrap w:val="0"/>
            <w:vAlign w:val="center"/>
          </w:tcPr>
          <w:p w14:paraId="2875EC33">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b/>
                <w:bCs/>
                <w:color w:val="000000"/>
                <w:kern w:val="0"/>
                <w:sz w:val="24"/>
                <w:szCs w:val="24"/>
              </w:rPr>
            </w:pPr>
            <w:r>
              <w:rPr>
                <w:rFonts w:hint="eastAsia" w:ascii="仿宋" w:hAnsi="仿宋" w:eastAsia="仿宋" w:cs="仿宋"/>
                <w:b/>
                <w:bCs/>
                <w:color w:val="000000"/>
                <w:kern w:val="0"/>
                <w:sz w:val="24"/>
                <w:szCs w:val="24"/>
              </w:rPr>
              <w:t>第一章 乐团合奏训练——音准训练 识谱能力</w:t>
            </w:r>
          </w:p>
          <w:p w14:paraId="3D161401">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1．学习目的：解决学生合奏中音准的问题</w:t>
            </w:r>
          </w:p>
          <w:p w14:paraId="04DF43CE">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2．基本内容要求：通过适当的乐曲训练，主要解决在合奏中的音准问题。</w:t>
            </w:r>
          </w:p>
          <w:p w14:paraId="1A552231">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3.重点和难点：培养乐队合奏默契。</w:t>
            </w:r>
          </w:p>
          <w:p w14:paraId="67ECAC17">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ascii="仿宋" w:hAnsi="仿宋" w:eastAsia="仿宋" w:cs="仿宋"/>
                <w:color w:val="000000"/>
                <w:kern w:val="0"/>
                <w:sz w:val="24"/>
                <w:szCs w:val="24"/>
              </w:rPr>
              <w:t>知道层次：掌握乐曲训练合奏中的音准问题</w:t>
            </w:r>
          </w:p>
          <w:p w14:paraId="5548E2C0">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ascii="仿宋" w:hAnsi="仿宋" w:eastAsia="仿宋" w:cs="仿宋"/>
                <w:color w:val="000000"/>
                <w:kern w:val="0"/>
                <w:sz w:val="24"/>
                <w:szCs w:val="24"/>
              </w:rPr>
              <w:t>领会层次：掌握合奏中音准问题及乐队间的默契</w:t>
            </w:r>
          </w:p>
          <w:p w14:paraId="4E2B9479">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ascii="仿宋" w:hAnsi="仿宋" w:eastAsia="仿宋" w:cs="仿宋"/>
                <w:color w:val="000000"/>
                <w:kern w:val="0"/>
                <w:sz w:val="24"/>
                <w:szCs w:val="24"/>
              </w:rPr>
              <w:t>应用层次：应用的乐队的学习训练中</w:t>
            </w:r>
          </w:p>
        </w:tc>
        <w:tc>
          <w:tcPr>
            <w:tcW w:w="1162" w:type="dxa"/>
            <w:gridSpan w:val="4"/>
            <w:shd w:val="clear" w:color="auto" w:fill="auto"/>
            <w:noWrap w:val="0"/>
            <w:vAlign w:val="center"/>
          </w:tcPr>
          <w:p w14:paraId="1DB084F4">
            <w:pPr>
              <w:widowControl/>
              <w:adjustRightInd w:val="0"/>
              <w:snapToGrid w:val="0"/>
              <w:jc w:val="center"/>
              <w:rPr>
                <w:rFonts w:hint="eastAsia" w:ascii="仿宋" w:hAnsi="仿宋" w:eastAsia="仿宋" w:cs="仿宋"/>
                <w:bCs/>
                <w:color w:val="4472C4"/>
                <w:sz w:val="24"/>
                <w:szCs w:val="24"/>
              </w:rPr>
            </w:pPr>
            <w:r>
              <w:rPr>
                <w:rFonts w:hint="eastAsia" w:ascii="仿宋" w:hAnsi="仿宋" w:eastAsia="仿宋" w:cs="仿宋"/>
                <w:bCs/>
                <w:color w:val="000000"/>
                <w:sz w:val="24"/>
                <w:szCs w:val="24"/>
              </w:rPr>
              <w:t>支撑课程目标1、2</w:t>
            </w:r>
          </w:p>
        </w:tc>
        <w:tc>
          <w:tcPr>
            <w:tcW w:w="1018" w:type="dxa"/>
            <w:gridSpan w:val="2"/>
            <w:shd w:val="clear" w:color="auto" w:fill="FFFFFF"/>
            <w:noWrap w:val="0"/>
            <w:vAlign w:val="center"/>
          </w:tcPr>
          <w:p w14:paraId="6281A9AA">
            <w:pPr>
              <w:adjustRightInd w:val="0"/>
              <w:snapToGrid w:val="0"/>
              <w:jc w:val="center"/>
              <w:rPr>
                <w:rFonts w:hint="eastAsia" w:ascii="仿宋" w:hAnsi="仿宋" w:eastAsia="仿宋" w:cs="仿宋"/>
                <w:color w:val="4472C4"/>
                <w:sz w:val="24"/>
                <w:szCs w:val="24"/>
              </w:rPr>
            </w:pPr>
            <w:r>
              <w:rPr>
                <w:rFonts w:ascii="仿宋" w:hAnsi="仿宋" w:eastAsia="仿宋" w:cs="仿宋"/>
                <w:color w:val="000000"/>
                <w:sz w:val="24"/>
                <w:szCs w:val="24"/>
              </w:rPr>
              <w:t>3</w:t>
            </w:r>
            <w:r>
              <w:rPr>
                <w:rFonts w:hint="eastAsia" w:ascii="仿宋" w:hAnsi="仿宋" w:eastAsia="仿宋" w:cs="仿宋"/>
                <w:color w:val="000000"/>
                <w:sz w:val="24"/>
                <w:szCs w:val="24"/>
              </w:rPr>
              <w:t>9</w:t>
            </w:r>
          </w:p>
        </w:tc>
      </w:tr>
      <w:tr w14:paraId="4DF9F553">
        <w:trPr>
          <w:trHeight w:val="1381" w:hRule="atLeast"/>
        </w:trPr>
        <w:tc>
          <w:tcPr>
            <w:tcW w:w="1375" w:type="dxa"/>
            <w:vMerge w:val="continue"/>
            <w:shd w:val="clear" w:color="auto" w:fill="FFFFFF"/>
            <w:noWrap w:val="0"/>
            <w:vAlign w:val="center"/>
          </w:tcPr>
          <w:p w14:paraId="60153406">
            <w:pPr>
              <w:adjustRightInd w:val="0"/>
              <w:snapToGrid w:val="0"/>
              <w:spacing w:line="240" w:lineRule="atLeast"/>
              <w:jc w:val="center"/>
              <w:rPr>
                <w:rFonts w:hint="eastAsia" w:ascii="仿宋" w:hAnsi="仿宋" w:eastAsia="仿宋" w:cs="仿宋"/>
                <w:color w:val="000000"/>
                <w:sz w:val="24"/>
                <w:szCs w:val="24"/>
              </w:rPr>
            </w:pPr>
          </w:p>
        </w:tc>
        <w:tc>
          <w:tcPr>
            <w:tcW w:w="5685" w:type="dxa"/>
            <w:gridSpan w:val="10"/>
            <w:shd w:val="clear" w:color="auto" w:fill="auto"/>
            <w:noWrap w:val="0"/>
            <w:vAlign w:val="center"/>
          </w:tcPr>
          <w:p w14:paraId="730802BE">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b/>
                <w:bCs/>
                <w:color w:val="000000"/>
                <w:kern w:val="0"/>
                <w:sz w:val="24"/>
                <w:szCs w:val="24"/>
              </w:rPr>
            </w:pPr>
            <w:r>
              <w:rPr>
                <w:rFonts w:hint="eastAsia" w:ascii="仿宋" w:hAnsi="仿宋" w:eastAsia="仿宋" w:cs="仿宋"/>
                <w:b/>
                <w:bCs/>
                <w:color w:val="000000"/>
                <w:kern w:val="0"/>
                <w:sz w:val="24"/>
                <w:szCs w:val="24"/>
              </w:rPr>
              <w:t>第二章 乐团合奏训练——节奏训练各声部交接训练</w:t>
            </w:r>
          </w:p>
          <w:p w14:paraId="5844324E">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 学习目的：加强学生的音准训练、节奏训练。</w:t>
            </w:r>
          </w:p>
          <w:p w14:paraId="666EF4D3">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 基本内容要求：通过合奏，加强学生的音准训练、节奏训练。</w:t>
            </w:r>
          </w:p>
          <w:p w14:paraId="360722A9">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3. 重点和难点：节奏节拍的一致性，达到默契。</w:t>
            </w:r>
          </w:p>
          <w:p w14:paraId="440D604F">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4.学习目的：使学生了解各个声部的交接处理，在排练中丰富自己的舞台经验。</w:t>
            </w:r>
          </w:p>
          <w:p w14:paraId="7ACFFFF5">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5.基本内容要求：通过适当乐曲，让各声部乐器之间进行交接训练。</w:t>
            </w:r>
          </w:p>
          <w:p w14:paraId="4C414210">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6.重点和难点：丰富学生的舞台经验。</w:t>
            </w:r>
          </w:p>
          <w:p w14:paraId="372B4263">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ascii="仿宋" w:hAnsi="仿宋" w:eastAsia="仿宋" w:cs="仿宋"/>
                <w:color w:val="000000"/>
                <w:kern w:val="0"/>
                <w:sz w:val="24"/>
                <w:szCs w:val="24"/>
              </w:rPr>
              <w:t>知道层次：掌握各声部音准、节拍、默契</w:t>
            </w:r>
          </w:p>
          <w:p w14:paraId="138B4761">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ascii="仿宋" w:hAnsi="仿宋" w:eastAsia="仿宋" w:cs="仿宋"/>
                <w:color w:val="000000"/>
                <w:kern w:val="0"/>
                <w:sz w:val="24"/>
                <w:szCs w:val="24"/>
              </w:rPr>
              <w:t>领会层次：掌握各声部乐器之间的交接处理</w:t>
            </w:r>
          </w:p>
          <w:p w14:paraId="0F5D8059">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ascii="仿宋" w:hAnsi="仿宋" w:eastAsia="仿宋" w:cs="仿宋"/>
                <w:color w:val="000000"/>
                <w:kern w:val="0"/>
                <w:sz w:val="24"/>
                <w:szCs w:val="24"/>
              </w:rPr>
              <w:t>应用层次：运用到乐队的排练与学习中及在舞台上的表现</w:t>
            </w:r>
          </w:p>
        </w:tc>
        <w:tc>
          <w:tcPr>
            <w:tcW w:w="1162" w:type="dxa"/>
            <w:gridSpan w:val="4"/>
            <w:shd w:val="clear" w:color="auto" w:fill="auto"/>
            <w:noWrap w:val="0"/>
            <w:vAlign w:val="center"/>
          </w:tcPr>
          <w:p w14:paraId="0F702DB1">
            <w:pPr>
              <w:adjustRightInd w:val="0"/>
              <w:snapToGrid w:val="0"/>
              <w:jc w:val="center"/>
              <w:rPr>
                <w:rFonts w:hint="eastAsia" w:ascii="仿宋" w:hAnsi="仿宋" w:eastAsia="仿宋" w:cs="仿宋"/>
                <w:bCs/>
                <w:color w:val="000000"/>
                <w:sz w:val="24"/>
                <w:szCs w:val="24"/>
              </w:rPr>
            </w:pPr>
          </w:p>
          <w:p w14:paraId="61E8376D">
            <w:pPr>
              <w:widowControl/>
              <w:adjustRightInd w:val="0"/>
              <w:snapToGrid w:val="0"/>
              <w:jc w:val="center"/>
              <w:rPr>
                <w:rFonts w:hint="eastAsia" w:ascii="仿宋" w:hAnsi="仿宋" w:eastAsia="仿宋" w:cs="仿宋"/>
                <w:bCs/>
                <w:color w:val="000000"/>
                <w:sz w:val="24"/>
                <w:szCs w:val="24"/>
              </w:rPr>
            </w:pPr>
          </w:p>
          <w:p w14:paraId="25FD77D4">
            <w:pPr>
              <w:widowControl/>
              <w:adjustRightInd w:val="0"/>
              <w:snapToGrid w:val="0"/>
              <w:jc w:val="center"/>
              <w:rPr>
                <w:rFonts w:hint="eastAsia" w:ascii="仿宋" w:hAnsi="仿宋" w:eastAsia="仿宋" w:cs="仿宋"/>
                <w:bCs/>
                <w:color w:val="000000"/>
                <w:sz w:val="24"/>
                <w:szCs w:val="24"/>
              </w:rPr>
            </w:pPr>
            <w:r>
              <w:rPr>
                <w:rFonts w:hint="eastAsia" w:ascii="仿宋" w:hAnsi="仿宋" w:eastAsia="仿宋" w:cs="仿宋"/>
                <w:bCs/>
                <w:color w:val="000000"/>
                <w:sz w:val="24"/>
                <w:szCs w:val="24"/>
              </w:rPr>
              <w:t>支撑课程目标1、2、3</w:t>
            </w:r>
          </w:p>
          <w:p w14:paraId="0C353018">
            <w:pPr>
              <w:widowControl/>
              <w:adjustRightInd w:val="0"/>
              <w:snapToGrid w:val="0"/>
              <w:jc w:val="center"/>
              <w:rPr>
                <w:rFonts w:hint="eastAsia" w:ascii="仿宋" w:hAnsi="仿宋" w:eastAsia="仿宋" w:cs="仿宋"/>
                <w:bCs/>
                <w:color w:val="000000"/>
                <w:sz w:val="24"/>
                <w:szCs w:val="24"/>
              </w:rPr>
            </w:pPr>
          </w:p>
          <w:p w14:paraId="45E0BDD9">
            <w:pPr>
              <w:adjustRightInd w:val="0"/>
              <w:snapToGrid w:val="0"/>
              <w:jc w:val="center"/>
              <w:rPr>
                <w:rFonts w:hint="eastAsia" w:ascii="仿宋" w:hAnsi="仿宋" w:eastAsia="仿宋" w:cs="仿宋"/>
                <w:bCs/>
                <w:color w:val="000000"/>
                <w:sz w:val="24"/>
                <w:szCs w:val="24"/>
              </w:rPr>
            </w:pPr>
          </w:p>
        </w:tc>
        <w:tc>
          <w:tcPr>
            <w:tcW w:w="1018" w:type="dxa"/>
            <w:gridSpan w:val="2"/>
            <w:shd w:val="clear" w:color="auto" w:fill="FFFFFF"/>
            <w:noWrap w:val="0"/>
            <w:vAlign w:val="center"/>
          </w:tcPr>
          <w:p w14:paraId="52874AEC">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3</w:t>
            </w:r>
            <w:r>
              <w:rPr>
                <w:rFonts w:hint="eastAsia" w:ascii="仿宋" w:hAnsi="仿宋" w:eastAsia="仿宋" w:cs="仿宋"/>
                <w:color w:val="000000"/>
                <w:sz w:val="24"/>
                <w:szCs w:val="24"/>
              </w:rPr>
              <w:t>9</w:t>
            </w:r>
          </w:p>
        </w:tc>
      </w:tr>
      <w:tr w14:paraId="5DF66EEB">
        <w:trPr>
          <w:trHeight w:val="1381" w:hRule="atLeast"/>
        </w:trPr>
        <w:tc>
          <w:tcPr>
            <w:tcW w:w="1375" w:type="dxa"/>
            <w:vMerge w:val="continue"/>
            <w:shd w:val="clear" w:color="auto" w:fill="FFFFFF"/>
            <w:noWrap w:val="0"/>
            <w:vAlign w:val="center"/>
          </w:tcPr>
          <w:p w14:paraId="00B8C3A8">
            <w:pPr>
              <w:adjustRightInd w:val="0"/>
              <w:snapToGrid w:val="0"/>
              <w:spacing w:line="240" w:lineRule="atLeast"/>
              <w:jc w:val="center"/>
              <w:rPr>
                <w:rFonts w:hint="eastAsia" w:ascii="仿宋" w:hAnsi="仿宋" w:eastAsia="仿宋" w:cs="仿宋"/>
                <w:color w:val="000000"/>
                <w:sz w:val="24"/>
                <w:szCs w:val="24"/>
              </w:rPr>
            </w:pPr>
          </w:p>
        </w:tc>
        <w:tc>
          <w:tcPr>
            <w:tcW w:w="5685" w:type="dxa"/>
            <w:gridSpan w:val="10"/>
            <w:shd w:val="clear" w:color="auto" w:fill="auto"/>
            <w:noWrap w:val="0"/>
            <w:vAlign w:val="center"/>
          </w:tcPr>
          <w:p w14:paraId="5FFC1F93">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hint="eastAsia" w:ascii="仿宋" w:hAnsi="仿宋" w:eastAsia="仿宋" w:cs="仿宋"/>
                <w:b/>
                <w:bCs/>
                <w:color w:val="000000"/>
                <w:kern w:val="0"/>
                <w:sz w:val="24"/>
                <w:szCs w:val="24"/>
              </w:rPr>
              <w:t>第三章 乐团合奏训练——音色的对比及音响的平衡处理 乐团乐曲合奏训练</w:t>
            </w:r>
          </w:p>
          <w:p w14:paraId="47804C7A">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1.学习目的：使学生了解各个声部的音色平衡处理,提高学生个人演奏技巧。</w:t>
            </w:r>
          </w:p>
          <w:p w14:paraId="2DA2CC50">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2.基本内容要求：通过选择适当的乐曲让各声部乐器之间进行平衡训练。</w:t>
            </w:r>
          </w:p>
          <w:p w14:paraId="54F2FF7A">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3.重点和难点：提高学生自己的演奏技巧。</w:t>
            </w:r>
          </w:p>
          <w:p w14:paraId="0EE68435">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4.学习目的：通过适当的大型乐曲的训练，了解合奏作品的背景，让学生掌握不同风格作品的演奏，培养学生合奏默契。</w:t>
            </w:r>
          </w:p>
          <w:p w14:paraId="43258057">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5.基本内容要求：组织各个声部排练大型合奏乐曲，学习各种演奏技巧。</w:t>
            </w:r>
          </w:p>
          <w:p w14:paraId="01BA2255">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6. 重点和难点：通过作品了解中国作品的装饰音和滑音的演奏技巧。</w:t>
            </w:r>
          </w:p>
          <w:p w14:paraId="1EC400C9">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ascii="仿宋" w:hAnsi="仿宋" w:eastAsia="仿宋" w:cs="仿宋"/>
                <w:color w:val="000000"/>
                <w:kern w:val="0"/>
                <w:sz w:val="24"/>
                <w:szCs w:val="24"/>
              </w:rPr>
              <w:t>知道层次：各个声部的配合，平衡各个声部</w:t>
            </w:r>
          </w:p>
          <w:p w14:paraId="593283B5">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ascii="仿宋" w:hAnsi="仿宋" w:eastAsia="仿宋" w:cs="仿宋"/>
                <w:color w:val="000000"/>
                <w:kern w:val="0"/>
                <w:sz w:val="24"/>
                <w:szCs w:val="24"/>
              </w:rPr>
              <w:t>领会层次：学生的演奏技巧以及之间的默契</w:t>
            </w:r>
          </w:p>
          <w:p w14:paraId="36B45F65">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ascii="仿宋" w:hAnsi="仿宋" w:eastAsia="仿宋" w:cs="仿宋"/>
                <w:color w:val="000000"/>
                <w:kern w:val="0"/>
                <w:sz w:val="24"/>
                <w:szCs w:val="24"/>
              </w:rPr>
              <w:t>应用层次：应用到各个类型的乐曲演奏</w:t>
            </w:r>
          </w:p>
        </w:tc>
        <w:tc>
          <w:tcPr>
            <w:tcW w:w="1162" w:type="dxa"/>
            <w:gridSpan w:val="4"/>
            <w:shd w:val="clear" w:color="auto" w:fill="auto"/>
            <w:noWrap w:val="0"/>
            <w:vAlign w:val="center"/>
          </w:tcPr>
          <w:p w14:paraId="1E9E916E">
            <w:pPr>
              <w:widowControl/>
              <w:adjustRightInd w:val="0"/>
              <w:snapToGrid w:val="0"/>
              <w:jc w:val="center"/>
              <w:rPr>
                <w:rFonts w:hint="eastAsia" w:ascii="仿宋" w:hAnsi="仿宋" w:eastAsia="仿宋" w:cs="仿宋"/>
                <w:bCs/>
                <w:color w:val="000000"/>
                <w:sz w:val="24"/>
                <w:szCs w:val="24"/>
              </w:rPr>
            </w:pPr>
            <w:r>
              <w:rPr>
                <w:rFonts w:hint="eastAsia" w:ascii="仿宋" w:hAnsi="仿宋" w:eastAsia="仿宋" w:cs="仿宋"/>
                <w:bCs/>
                <w:color w:val="000000"/>
                <w:sz w:val="24"/>
                <w:szCs w:val="24"/>
              </w:rPr>
              <w:t>支撑课程目标1、2、3</w:t>
            </w:r>
          </w:p>
          <w:p w14:paraId="7B2151A4">
            <w:pPr>
              <w:adjustRightInd w:val="0"/>
              <w:snapToGrid w:val="0"/>
              <w:ind w:firstLine="960" w:firstLineChars="400"/>
              <w:jc w:val="center"/>
              <w:rPr>
                <w:rFonts w:hint="eastAsia" w:ascii="仿宋" w:hAnsi="仿宋" w:eastAsia="仿宋" w:cs="仿宋"/>
                <w:bCs/>
                <w:color w:val="000000"/>
                <w:sz w:val="24"/>
                <w:szCs w:val="24"/>
              </w:rPr>
            </w:pPr>
          </w:p>
        </w:tc>
        <w:tc>
          <w:tcPr>
            <w:tcW w:w="1018" w:type="dxa"/>
            <w:gridSpan w:val="2"/>
            <w:shd w:val="clear" w:color="auto" w:fill="FFFFFF"/>
            <w:noWrap w:val="0"/>
            <w:vAlign w:val="center"/>
          </w:tcPr>
          <w:p w14:paraId="6FA20EA6">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50</w:t>
            </w:r>
          </w:p>
        </w:tc>
      </w:tr>
      <w:tr w14:paraId="40A08AA1">
        <w:trPr>
          <w:trHeight w:val="1588" w:hRule="atLeast"/>
        </w:trPr>
        <w:tc>
          <w:tcPr>
            <w:tcW w:w="1375" w:type="dxa"/>
            <w:vMerge w:val="continue"/>
            <w:shd w:val="clear" w:color="auto" w:fill="FFFFFF"/>
            <w:noWrap w:val="0"/>
            <w:vAlign w:val="center"/>
          </w:tcPr>
          <w:p w14:paraId="2E486FAF">
            <w:pPr>
              <w:adjustRightInd w:val="0"/>
              <w:snapToGrid w:val="0"/>
              <w:spacing w:line="240" w:lineRule="atLeast"/>
              <w:jc w:val="center"/>
              <w:rPr>
                <w:rFonts w:hint="eastAsia" w:ascii="仿宋" w:hAnsi="仿宋" w:eastAsia="仿宋" w:cs="仿宋"/>
                <w:color w:val="000000"/>
                <w:sz w:val="24"/>
                <w:szCs w:val="24"/>
              </w:rPr>
            </w:pPr>
          </w:p>
        </w:tc>
        <w:tc>
          <w:tcPr>
            <w:tcW w:w="6847" w:type="dxa"/>
            <w:gridSpan w:val="14"/>
            <w:shd w:val="clear" w:color="auto" w:fill="auto"/>
            <w:noWrap w:val="0"/>
            <w:vAlign w:val="center"/>
          </w:tcPr>
          <w:p w14:paraId="73092B0A">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合计</w:t>
            </w:r>
          </w:p>
        </w:tc>
        <w:tc>
          <w:tcPr>
            <w:tcW w:w="1018" w:type="dxa"/>
            <w:gridSpan w:val="2"/>
            <w:shd w:val="clear" w:color="auto" w:fill="FFFFFF"/>
            <w:noWrap w:val="0"/>
            <w:vAlign w:val="center"/>
          </w:tcPr>
          <w:p w14:paraId="5AA00350">
            <w:pPr>
              <w:adjustRightInd w:val="0"/>
              <w:snapToGrid w:val="0"/>
              <w:jc w:val="center"/>
              <w:rPr>
                <w:rFonts w:hint="default" w:ascii="仿宋" w:hAnsi="仿宋" w:eastAsia="仿宋" w:cs="仿宋"/>
                <w:color w:val="4472C4"/>
                <w:sz w:val="24"/>
                <w:szCs w:val="24"/>
                <w:lang w:val="en-US" w:eastAsia="zh-CN"/>
              </w:rPr>
            </w:pPr>
            <w:r>
              <w:rPr>
                <w:rFonts w:hint="eastAsia" w:ascii="仿宋" w:hAnsi="仿宋" w:eastAsia="仿宋" w:cs="仿宋"/>
                <w:color w:val="4472C4"/>
                <w:sz w:val="24"/>
                <w:szCs w:val="24"/>
                <w:lang w:val="en-US" w:eastAsia="zh-CN"/>
              </w:rPr>
              <w:t>128</w:t>
            </w:r>
          </w:p>
        </w:tc>
      </w:tr>
      <w:tr w14:paraId="68537874">
        <w:trPr>
          <w:trHeight w:val="495" w:hRule="atLeast"/>
        </w:trPr>
        <w:tc>
          <w:tcPr>
            <w:tcW w:w="1375" w:type="dxa"/>
            <w:vMerge w:val="restart"/>
            <w:shd w:val="clear" w:color="auto" w:fill="FFFFFF"/>
            <w:noWrap w:val="0"/>
            <w:vAlign w:val="center"/>
          </w:tcPr>
          <w:p w14:paraId="27B3D0EF">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H</w:t>
            </w:r>
          </w:p>
          <w:p w14:paraId="11275981">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实践内容（含教育实习、见习、研习，专业实习、毕业论文或毕业设计等）</w:t>
            </w:r>
          </w:p>
        </w:tc>
        <w:tc>
          <w:tcPr>
            <w:tcW w:w="1640" w:type="dxa"/>
            <w:gridSpan w:val="2"/>
            <w:noWrap w:val="0"/>
            <w:vAlign w:val="center"/>
          </w:tcPr>
          <w:p w14:paraId="7A9C33EB">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支撑课程目标</w:t>
            </w:r>
          </w:p>
        </w:tc>
        <w:tc>
          <w:tcPr>
            <w:tcW w:w="5207" w:type="dxa"/>
            <w:gridSpan w:val="12"/>
            <w:noWrap w:val="0"/>
            <w:vAlign w:val="center"/>
          </w:tcPr>
          <w:p w14:paraId="39A27B06">
            <w:pPr>
              <w:adjustRightInd w:val="0"/>
              <w:snapToGrid w:val="0"/>
              <w:spacing w:line="240" w:lineRule="atLeast"/>
              <w:jc w:val="center"/>
              <w:textAlignment w:val="baseline"/>
              <w:rPr>
                <w:rFonts w:hint="eastAsia" w:ascii="仿宋" w:hAnsi="仿宋" w:eastAsia="仿宋" w:cs="仿宋"/>
                <w:color w:val="000000"/>
                <w:kern w:val="0"/>
                <w:sz w:val="24"/>
                <w:szCs w:val="24"/>
              </w:rPr>
            </w:pPr>
          </w:p>
          <w:p w14:paraId="579CC9F6">
            <w:pPr>
              <w:adjustRightInd w:val="0"/>
              <w:snapToGrid w:val="0"/>
              <w:spacing w:line="240" w:lineRule="atLeast"/>
              <w:jc w:val="center"/>
              <w:textAlignment w:val="baseline"/>
            </w:pPr>
            <w:r>
              <w:rPr>
                <w:rFonts w:hint="eastAsia" w:ascii="仿宋" w:hAnsi="仿宋" w:eastAsia="仿宋" w:cs="仿宋"/>
                <w:color w:val="000000"/>
                <w:sz w:val="24"/>
                <w:szCs w:val="24"/>
              </w:rPr>
              <w:t>实践主要内容和要求</w:t>
            </w:r>
          </w:p>
        </w:tc>
        <w:tc>
          <w:tcPr>
            <w:tcW w:w="1018" w:type="dxa"/>
            <w:gridSpan w:val="2"/>
            <w:noWrap w:val="0"/>
            <w:vAlign w:val="center"/>
          </w:tcPr>
          <w:p w14:paraId="7AA10F02">
            <w:pPr>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时长</w:t>
            </w:r>
          </w:p>
          <w:p w14:paraId="7E4B79A4">
            <w:pPr>
              <w:adjustRightInd w:val="0"/>
              <w:snapToGrid w:val="0"/>
              <w:jc w:val="center"/>
              <w:rPr>
                <w:rFonts w:hint="eastAsia" w:ascii="仿宋" w:hAnsi="仿宋" w:eastAsia="仿宋" w:cs="仿宋"/>
                <w:color w:val="4472C4"/>
                <w:sz w:val="24"/>
                <w:szCs w:val="24"/>
              </w:rPr>
            </w:pPr>
            <w:r>
              <w:rPr>
                <w:rFonts w:hint="eastAsia" w:ascii="仿宋" w:hAnsi="仿宋" w:eastAsia="仿宋" w:cs="仿宋"/>
                <w:color w:val="000000"/>
                <w:kern w:val="0"/>
                <w:sz w:val="24"/>
                <w:szCs w:val="24"/>
              </w:rPr>
              <w:t>分配</w:t>
            </w:r>
          </w:p>
        </w:tc>
      </w:tr>
      <w:tr w14:paraId="48BD37BF">
        <w:trPr>
          <w:trHeight w:val="90" w:hRule="atLeast"/>
        </w:trPr>
        <w:tc>
          <w:tcPr>
            <w:tcW w:w="1375" w:type="dxa"/>
            <w:vMerge w:val="continue"/>
            <w:shd w:val="clear" w:color="auto" w:fill="FFFFFF"/>
            <w:noWrap w:val="0"/>
            <w:vAlign w:val="center"/>
          </w:tcPr>
          <w:p w14:paraId="0D83AADF">
            <w:pPr>
              <w:adjustRightInd w:val="0"/>
              <w:snapToGrid w:val="0"/>
              <w:spacing w:line="240" w:lineRule="atLeast"/>
              <w:jc w:val="center"/>
              <w:rPr>
                <w:rFonts w:hint="eastAsia" w:ascii="仿宋" w:hAnsi="仿宋" w:eastAsia="仿宋" w:cs="仿宋"/>
                <w:color w:val="000000"/>
                <w:sz w:val="24"/>
                <w:szCs w:val="24"/>
              </w:rPr>
            </w:pPr>
          </w:p>
        </w:tc>
        <w:tc>
          <w:tcPr>
            <w:tcW w:w="1640" w:type="dxa"/>
            <w:gridSpan w:val="2"/>
            <w:noWrap w:val="0"/>
            <w:vAlign w:val="top"/>
          </w:tcPr>
          <w:p w14:paraId="59F0B7F7">
            <w:pPr>
              <w:widowControl/>
              <w:autoSpaceDE w:val="0"/>
              <w:autoSpaceDN w:val="0"/>
              <w:adjustRightInd w:val="0"/>
              <w:snapToGrid w:val="0"/>
              <w:jc w:val="left"/>
              <w:textAlignment w:val="bottom"/>
              <w:rPr>
                <w:rFonts w:hint="eastAsia" w:ascii="仿宋" w:hAnsi="仿宋" w:eastAsia="仿宋" w:cs="仿宋"/>
                <w:color w:val="000000"/>
                <w:sz w:val="24"/>
                <w:szCs w:val="24"/>
              </w:rPr>
            </w:pPr>
          </w:p>
        </w:tc>
        <w:tc>
          <w:tcPr>
            <w:tcW w:w="5207" w:type="dxa"/>
            <w:gridSpan w:val="12"/>
            <w:noWrap w:val="0"/>
            <w:vAlign w:val="top"/>
          </w:tcPr>
          <w:p w14:paraId="3377EA66">
            <w:pPr>
              <w:adjustRightInd w:val="0"/>
              <w:snapToGrid w:val="0"/>
              <w:rPr>
                <w:rFonts w:hint="eastAsia" w:ascii="仿宋" w:hAnsi="仿宋" w:eastAsia="仿宋" w:cs="仿宋"/>
                <w:color w:val="000000"/>
                <w:sz w:val="24"/>
                <w:szCs w:val="24"/>
              </w:rPr>
            </w:pPr>
          </w:p>
        </w:tc>
        <w:tc>
          <w:tcPr>
            <w:tcW w:w="1018" w:type="dxa"/>
            <w:gridSpan w:val="2"/>
            <w:noWrap w:val="0"/>
            <w:vAlign w:val="top"/>
          </w:tcPr>
          <w:p w14:paraId="04A7605E">
            <w:pPr>
              <w:adjustRightInd w:val="0"/>
              <w:snapToGrid w:val="0"/>
              <w:jc w:val="left"/>
              <w:rPr>
                <w:rFonts w:hint="eastAsia" w:ascii="仿宋" w:hAnsi="仿宋" w:eastAsia="仿宋" w:cs="仿宋"/>
                <w:color w:val="000000"/>
                <w:sz w:val="24"/>
                <w:szCs w:val="24"/>
              </w:rPr>
            </w:pPr>
          </w:p>
        </w:tc>
      </w:tr>
      <w:tr w14:paraId="22590548">
        <w:trPr>
          <w:trHeight w:val="921" w:hRule="atLeast"/>
        </w:trPr>
        <w:tc>
          <w:tcPr>
            <w:tcW w:w="1375" w:type="dxa"/>
            <w:noWrap w:val="0"/>
            <w:vAlign w:val="center"/>
          </w:tcPr>
          <w:p w14:paraId="7102002C">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I</w:t>
            </w:r>
          </w:p>
          <w:p w14:paraId="3717B510">
            <w:pPr>
              <w:adjustRightInd w:val="0"/>
              <w:snapToGrid w:val="0"/>
              <w:spacing w:line="240" w:lineRule="atLeast"/>
              <w:jc w:val="center"/>
              <w:rPr>
                <w:rFonts w:hint="eastAsia" w:ascii="仿宋" w:hAnsi="仿宋" w:eastAsia="仿宋" w:cs="仿宋"/>
                <w:color w:val="000000"/>
                <w:sz w:val="24"/>
                <w:szCs w:val="24"/>
                <w:lang w:eastAsia="zh-TW"/>
              </w:rPr>
            </w:pPr>
            <w:r>
              <w:rPr>
                <w:rFonts w:hint="eastAsia" w:ascii="仿宋" w:hAnsi="仿宋" w:eastAsia="仿宋" w:cs="仿宋"/>
                <w:color w:val="000000"/>
                <w:sz w:val="24"/>
                <w:szCs w:val="24"/>
              </w:rPr>
              <w:t>教学方法与教学方式</w:t>
            </w:r>
          </w:p>
        </w:tc>
        <w:tc>
          <w:tcPr>
            <w:tcW w:w="7865" w:type="dxa"/>
            <w:gridSpan w:val="16"/>
            <w:tcBorders>
              <w:bottom w:val="single" w:color="auto" w:sz="4" w:space="0"/>
            </w:tcBorders>
            <w:noWrap w:val="0"/>
            <w:vAlign w:val="center"/>
          </w:tcPr>
          <w:p w14:paraId="1F144F76">
            <w:pPr>
              <w:adjustRightInd w:val="0"/>
              <w:snapToGrid w:val="0"/>
              <w:ind w:firstLine="240" w:firstLineChars="100"/>
              <w:rPr>
                <w:rFonts w:hint="eastAsia" w:ascii="仿宋" w:hAnsi="仿宋" w:eastAsia="仿宋" w:cs="仿宋"/>
                <w:color w:val="000000"/>
                <w:sz w:val="24"/>
                <w:szCs w:val="24"/>
              </w:rPr>
            </w:pPr>
            <w:r>
              <w:rPr>
                <w:rFonts w:hint="eastAsia" w:ascii="仿宋" w:hAnsi="仿宋" w:eastAsia="仿宋" w:cs="仿宋"/>
                <w:color w:val="000000"/>
                <w:sz w:val="24"/>
                <w:szCs w:val="24"/>
              </w:rPr>
              <w:t>1.课程采用集体式教学，改善理论课与实践的枯燥和沉闷，吸引学生的注意力，加强授课效果。</w:t>
            </w:r>
          </w:p>
          <w:p w14:paraId="1DB16FD8">
            <w:pPr>
              <w:adjustRightInd w:val="0"/>
              <w:snapToGrid w:val="0"/>
              <w:ind w:firstLine="240" w:firstLineChars="100"/>
              <w:rPr>
                <w:rFonts w:hint="eastAsia" w:ascii="仿宋" w:hAnsi="仿宋" w:eastAsia="仿宋" w:cs="仿宋"/>
                <w:color w:val="000000"/>
                <w:sz w:val="24"/>
                <w:szCs w:val="24"/>
              </w:rPr>
            </w:pPr>
            <w:r>
              <w:rPr>
                <w:rFonts w:hint="eastAsia" w:ascii="仿宋" w:hAnsi="仿宋" w:eastAsia="仿宋" w:cs="仿宋"/>
                <w:color w:val="000000"/>
                <w:sz w:val="24"/>
                <w:szCs w:val="24"/>
              </w:rPr>
              <w:t>2.开通网络课堂，达到与学生及时沟通、交流的目的。同时重视师生互动与小组活动，组织课堂小组讨论和论文写作等活动，将课堂教学变为师生共同活动的过程。</w:t>
            </w:r>
          </w:p>
          <w:p w14:paraId="02946C84">
            <w:pPr>
              <w:adjustRightInd w:val="0"/>
              <w:snapToGrid w:val="0"/>
              <w:ind w:firstLine="240" w:firstLineChars="100"/>
              <w:rPr>
                <w:rFonts w:hint="eastAsia" w:ascii="仿宋" w:hAnsi="仿宋" w:eastAsia="仿宋" w:cs="仿宋"/>
                <w:color w:val="000000"/>
                <w:sz w:val="24"/>
                <w:szCs w:val="24"/>
              </w:rPr>
            </w:pPr>
            <w:r>
              <w:rPr>
                <w:rFonts w:hint="eastAsia" w:ascii="仿宋" w:hAnsi="仿宋" w:eastAsia="仿宋" w:cs="仿宋"/>
                <w:color w:val="000000"/>
                <w:sz w:val="24"/>
                <w:szCs w:val="24"/>
              </w:rPr>
              <w:t>3.主要方式：</w:t>
            </w:r>
          </w:p>
          <w:p w14:paraId="7AC8A898">
            <w:pPr>
              <w:adjustRightInd w:val="0"/>
              <w:snapToGrid w:val="0"/>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讲授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网络学习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讨论或座谈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问题导向学  </w:t>
            </w:r>
          </w:p>
          <w:p w14:paraId="6600E931">
            <w:pPr>
              <w:adjustRightInd w:val="0"/>
              <w:snapToGrid w:val="0"/>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分组合作学习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专题学习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实作学习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发表学习  </w:t>
            </w:r>
          </w:p>
          <w:p w14:paraId="44106C7C">
            <w:pPr>
              <w:adjustRightInd w:val="0"/>
              <w:snapToGrid w:val="0"/>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实习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参观访问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其它：</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(如口头训练等)</w:t>
            </w:r>
          </w:p>
        </w:tc>
      </w:tr>
      <w:tr w14:paraId="6A76EC93">
        <w:trPr>
          <w:trHeight w:val="580" w:hRule="atLeast"/>
        </w:trPr>
        <w:tc>
          <w:tcPr>
            <w:tcW w:w="1375" w:type="dxa"/>
            <w:noWrap w:val="0"/>
            <w:vAlign w:val="center"/>
          </w:tcPr>
          <w:p w14:paraId="2D8FE80F">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J</w:t>
            </w:r>
          </w:p>
          <w:p w14:paraId="413EBA04">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教学条件</w:t>
            </w:r>
          </w:p>
          <w:p w14:paraId="7F079D3E">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需求</w:t>
            </w:r>
          </w:p>
        </w:tc>
        <w:tc>
          <w:tcPr>
            <w:tcW w:w="7865" w:type="dxa"/>
            <w:gridSpan w:val="16"/>
            <w:tcBorders>
              <w:bottom w:val="single" w:color="auto" w:sz="4" w:space="0"/>
            </w:tcBorders>
            <w:noWrap w:val="0"/>
            <w:vAlign w:val="center"/>
          </w:tcPr>
          <w:p w14:paraId="1F4E2554">
            <w:pPr>
              <w:tabs>
                <w:tab w:val="left" w:pos="720"/>
              </w:tabs>
              <w:adjustRightInd w:val="0"/>
              <w:snapToGrid w:val="0"/>
              <w:spacing w:line="240" w:lineRule="atLeas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（如时间、地点安排与“一课双师”等教师配备需求等）</w:t>
            </w:r>
          </w:p>
          <w:p w14:paraId="0533BD5C">
            <w:pPr>
              <w:tabs>
                <w:tab w:val="left" w:pos="720"/>
              </w:tabs>
              <w:adjustRightInd w:val="0"/>
              <w:snapToGrid w:val="0"/>
              <w:ind w:firstLine="240" w:firstLineChars="100"/>
              <w:rPr>
                <w:rFonts w:hint="eastAsia" w:ascii="仿宋" w:hAnsi="仿宋" w:eastAsia="仿宋" w:cs="仿宋"/>
                <w:color w:val="000000"/>
                <w:sz w:val="24"/>
                <w:szCs w:val="24"/>
              </w:rPr>
            </w:pPr>
            <w:r>
              <w:rPr>
                <w:rFonts w:hint="eastAsia" w:ascii="仿宋" w:hAnsi="仿宋" w:eastAsia="仿宋" w:cs="仿宋"/>
                <w:color w:val="000000"/>
                <w:sz w:val="24"/>
                <w:szCs w:val="24"/>
              </w:rPr>
              <w:t>1.需要有好的乐器设备，利于课堂的学习与课后的练习，以此达到更好的效果。</w:t>
            </w:r>
          </w:p>
          <w:p w14:paraId="2A47806D">
            <w:pPr>
              <w:tabs>
                <w:tab w:val="left" w:pos="720"/>
              </w:tabs>
              <w:adjustRightInd w:val="0"/>
              <w:snapToGrid w:val="0"/>
              <w:ind w:firstLine="240" w:firstLineChars="10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2.提供好的艺术实践，积极参与比赛活动，增强管乐应用。</w:t>
            </w:r>
          </w:p>
          <w:p w14:paraId="73CE689F">
            <w:pPr>
              <w:adjustRightInd w:val="0"/>
              <w:snapToGrid w:val="0"/>
              <w:rPr>
                <w:rFonts w:hint="eastAsia" w:ascii="仿宋" w:hAnsi="仿宋" w:eastAsia="仿宋" w:cs="仿宋"/>
                <w:bCs/>
                <w:color w:val="000000"/>
                <w:sz w:val="24"/>
                <w:szCs w:val="24"/>
              </w:rPr>
            </w:pPr>
            <w:r>
              <w:rPr>
                <w:rFonts w:ascii="仿宋" w:hAnsi="仿宋" w:eastAsia="仿宋" w:cs="仿宋"/>
                <w:bCs/>
                <w:color w:val="000000"/>
                <w:sz w:val="24"/>
                <w:szCs w:val="24"/>
              </w:rPr>
              <w:t>1</w:t>
            </w:r>
            <w:r>
              <w:rPr>
                <w:rFonts w:hint="eastAsia" w:ascii="仿宋" w:hAnsi="仿宋" w:eastAsia="仿宋" w:cs="仿宋"/>
                <w:bCs/>
                <w:color w:val="000000"/>
                <w:sz w:val="24"/>
                <w:szCs w:val="24"/>
              </w:rPr>
              <w:t>、每学期举办习奏会。</w:t>
            </w:r>
          </w:p>
          <w:p w14:paraId="19AC74AF">
            <w:pPr>
              <w:adjustRightInd w:val="0"/>
              <w:snapToGrid w:val="0"/>
              <w:rPr>
                <w:rFonts w:hint="eastAsia" w:ascii="仿宋" w:hAnsi="仿宋" w:eastAsia="仿宋" w:cs="仿宋"/>
                <w:bCs/>
                <w:color w:val="000000"/>
                <w:sz w:val="24"/>
                <w:szCs w:val="24"/>
              </w:rPr>
            </w:pPr>
            <w:r>
              <w:rPr>
                <w:rFonts w:ascii="仿宋" w:hAnsi="仿宋" w:eastAsia="仿宋" w:cs="仿宋"/>
                <w:bCs/>
                <w:color w:val="000000"/>
                <w:sz w:val="24"/>
                <w:szCs w:val="24"/>
              </w:rPr>
              <w:t>2</w:t>
            </w:r>
            <w:r>
              <w:rPr>
                <w:rFonts w:hint="eastAsia" w:ascii="仿宋" w:hAnsi="仿宋" w:eastAsia="仿宋" w:cs="仿宋"/>
                <w:bCs/>
                <w:color w:val="000000"/>
                <w:sz w:val="24"/>
                <w:szCs w:val="24"/>
              </w:rPr>
              <w:t>、参与排练重奏、齐奏、合奏等多种形式的演出。</w:t>
            </w:r>
          </w:p>
          <w:p w14:paraId="357AEA38">
            <w:pPr>
              <w:adjustRightInd w:val="0"/>
              <w:snapToGrid w:val="0"/>
              <w:rPr>
                <w:rFonts w:hint="eastAsia" w:ascii="仿宋" w:hAnsi="仿宋" w:eastAsia="仿宋" w:cs="仿宋"/>
                <w:bCs/>
                <w:color w:val="000000"/>
                <w:sz w:val="24"/>
                <w:szCs w:val="24"/>
              </w:rPr>
            </w:pPr>
            <w:r>
              <w:rPr>
                <w:rFonts w:ascii="仿宋" w:hAnsi="仿宋" w:eastAsia="仿宋" w:cs="仿宋"/>
                <w:bCs/>
                <w:color w:val="000000"/>
                <w:sz w:val="24"/>
                <w:szCs w:val="24"/>
              </w:rPr>
              <w:t>3</w:t>
            </w:r>
            <w:r>
              <w:rPr>
                <w:rFonts w:hint="eastAsia" w:ascii="仿宋" w:hAnsi="仿宋" w:eastAsia="仿宋" w:cs="仿宋"/>
                <w:bCs/>
                <w:color w:val="000000"/>
                <w:sz w:val="24"/>
                <w:szCs w:val="24"/>
              </w:rPr>
              <w:t>、创造舞台实践的机会。</w:t>
            </w:r>
          </w:p>
          <w:p w14:paraId="73DD5B37">
            <w:pPr>
              <w:adjustRightInd w:val="0"/>
              <w:snapToGrid w:val="0"/>
              <w:rPr>
                <w:rFonts w:hint="eastAsia" w:ascii="仿宋" w:hAnsi="仿宋" w:eastAsia="仿宋" w:cs="仿宋"/>
                <w:bCs/>
                <w:color w:val="000000"/>
                <w:sz w:val="24"/>
                <w:szCs w:val="24"/>
              </w:rPr>
            </w:pPr>
            <w:r>
              <w:rPr>
                <w:rFonts w:ascii="仿宋" w:hAnsi="仿宋" w:eastAsia="仿宋" w:cs="仿宋"/>
                <w:bCs/>
                <w:color w:val="000000"/>
                <w:sz w:val="24"/>
                <w:szCs w:val="24"/>
              </w:rPr>
              <w:t>4</w:t>
            </w:r>
            <w:r>
              <w:rPr>
                <w:rFonts w:hint="eastAsia" w:ascii="仿宋" w:hAnsi="仿宋" w:eastAsia="仿宋" w:cs="仿宋"/>
                <w:bCs/>
                <w:color w:val="000000"/>
                <w:sz w:val="24"/>
                <w:szCs w:val="24"/>
              </w:rPr>
              <w:t>、通过第二课堂，如演奏会、艺术实践，参与比赛等活动提高本课程的教学质量。</w:t>
            </w:r>
          </w:p>
          <w:p w14:paraId="1ED9DB08">
            <w:pPr>
              <w:tabs>
                <w:tab w:val="left" w:pos="720"/>
              </w:tabs>
              <w:adjustRightInd w:val="0"/>
              <w:snapToGrid w:val="0"/>
              <w:ind w:firstLine="240" w:firstLineChars="100"/>
              <w:rPr>
                <w:rFonts w:hint="eastAsia" w:ascii="仿宋" w:hAnsi="仿宋" w:eastAsia="仿宋" w:cs="仿宋"/>
                <w:color w:val="000000"/>
                <w:kern w:val="0"/>
                <w:sz w:val="24"/>
                <w:szCs w:val="24"/>
              </w:rPr>
            </w:pPr>
          </w:p>
        </w:tc>
      </w:tr>
      <w:tr w14:paraId="004C09C2">
        <w:trPr>
          <w:trHeight w:val="711" w:hRule="atLeast"/>
        </w:trPr>
        <w:tc>
          <w:tcPr>
            <w:tcW w:w="1375" w:type="dxa"/>
            <w:vMerge w:val="restart"/>
            <w:noWrap w:val="0"/>
            <w:vAlign w:val="center"/>
          </w:tcPr>
          <w:p w14:paraId="3C7C4022">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K</w:t>
            </w:r>
          </w:p>
          <w:p w14:paraId="5E5FA92A">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课程目标及其考核内容、考核方式及评分占比</w:t>
            </w:r>
          </w:p>
        </w:tc>
        <w:tc>
          <w:tcPr>
            <w:tcW w:w="1024" w:type="dxa"/>
            <w:vMerge w:val="restart"/>
            <w:noWrap w:val="0"/>
            <w:vAlign w:val="center"/>
          </w:tcPr>
          <w:p w14:paraId="2AD6EF9E">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课程目标及评分占比</w:t>
            </w:r>
          </w:p>
        </w:tc>
        <w:tc>
          <w:tcPr>
            <w:tcW w:w="3240" w:type="dxa"/>
            <w:gridSpan w:val="5"/>
            <w:vMerge w:val="restart"/>
            <w:tcBorders>
              <w:right w:val="single" w:color="000000" w:sz="4" w:space="0"/>
            </w:tcBorders>
            <w:noWrap w:val="0"/>
            <w:vAlign w:val="center"/>
          </w:tcPr>
          <w:p w14:paraId="0F6E62BB">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考核内容</w:t>
            </w:r>
          </w:p>
        </w:tc>
        <w:tc>
          <w:tcPr>
            <w:tcW w:w="3015" w:type="dxa"/>
            <w:gridSpan w:val="9"/>
            <w:tcBorders>
              <w:left w:val="single" w:color="000000" w:sz="4" w:space="0"/>
              <w:right w:val="single" w:color="000000" w:sz="4" w:space="0"/>
            </w:tcBorders>
            <w:noWrap w:val="0"/>
            <w:vAlign w:val="center"/>
          </w:tcPr>
          <w:p w14:paraId="4E3F3A70">
            <w:pPr>
              <w:adjustRightInd w:val="0"/>
              <w:snapToGrid w:val="0"/>
              <w:jc w:val="center"/>
              <w:rPr>
                <w:rFonts w:hint="eastAsia" w:ascii="仿宋" w:hAnsi="仿宋" w:eastAsia="仿宋" w:cs="仿宋"/>
                <w:color w:val="4472C4"/>
                <w:sz w:val="24"/>
                <w:szCs w:val="24"/>
              </w:rPr>
            </w:pPr>
            <w:r>
              <w:rPr>
                <w:rFonts w:hint="eastAsia" w:ascii="仿宋" w:hAnsi="仿宋" w:eastAsia="仿宋" w:cs="仿宋"/>
                <w:color w:val="000000"/>
                <w:sz w:val="24"/>
                <w:szCs w:val="24"/>
              </w:rPr>
              <w:t>考核方式</w:t>
            </w:r>
          </w:p>
        </w:tc>
        <w:tc>
          <w:tcPr>
            <w:tcW w:w="586" w:type="dxa"/>
            <w:vMerge w:val="restart"/>
            <w:tcBorders>
              <w:left w:val="single" w:color="000000" w:sz="4" w:space="0"/>
            </w:tcBorders>
            <w:noWrap w:val="0"/>
            <w:vAlign w:val="center"/>
          </w:tcPr>
          <w:p w14:paraId="651C0D2B">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sz w:val="24"/>
                <w:szCs w:val="24"/>
              </w:rPr>
              <w:t>课程分目标的达成度</w:t>
            </w:r>
          </w:p>
        </w:tc>
      </w:tr>
      <w:tr w14:paraId="40AEE44F">
        <w:trPr>
          <w:trHeight w:val="1330" w:hRule="atLeast"/>
        </w:trPr>
        <w:tc>
          <w:tcPr>
            <w:tcW w:w="1375" w:type="dxa"/>
            <w:vMerge w:val="continue"/>
            <w:noWrap w:val="0"/>
            <w:vAlign w:val="center"/>
          </w:tcPr>
          <w:p w14:paraId="619F14BE">
            <w:pPr>
              <w:adjustRightInd w:val="0"/>
              <w:snapToGrid w:val="0"/>
              <w:spacing w:line="240" w:lineRule="atLeast"/>
              <w:jc w:val="center"/>
              <w:rPr>
                <w:rFonts w:hint="eastAsia" w:ascii="仿宋" w:hAnsi="仿宋" w:eastAsia="仿宋" w:cs="仿宋"/>
                <w:color w:val="000000"/>
                <w:sz w:val="24"/>
                <w:szCs w:val="24"/>
              </w:rPr>
            </w:pPr>
          </w:p>
        </w:tc>
        <w:tc>
          <w:tcPr>
            <w:tcW w:w="1024" w:type="dxa"/>
            <w:vMerge w:val="continue"/>
            <w:tcBorders>
              <w:tl2br w:val="single" w:color="auto" w:sz="4" w:space="0"/>
            </w:tcBorders>
            <w:noWrap w:val="0"/>
            <w:vAlign w:val="center"/>
          </w:tcPr>
          <w:p w14:paraId="273499F0">
            <w:pPr>
              <w:adjustRightInd w:val="0"/>
              <w:snapToGrid w:val="0"/>
              <w:jc w:val="right"/>
              <w:rPr>
                <w:rFonts w:hint="eastAsia" w:ascii="仿宋" w:hAnsi="仿宋" w:eastAsia="仿宋" w:cs="仿宋"/>
                <w:color w:val="000000"/>
                <w:sz w:val="24"/>
                <w:szCs w:val="24"/>
              </w:rPr>
            </w:pPr>
          </w:p>
        </w:tc>
        <w:tc>
          <w:tcPr>
            <w:tcW w:w="3240" w:type="dxa"/>
            <w:gridSpan w:val="5"/>
            <w:vMerge w:val="continue"/>
            <w:tcBorders>
              <w:right w:val="single" w:color="000000" w:sz="4" w:space="0"/>
            </w:tcBorders>
            <w:noWrap w:val="0"/>
            <w:vAlign w:val="center"/>
          </w:tcPr>
          <w:p w14:paraId="68C92A23">
            <w:pPr>
              <w:tabs>
                <w:tab w:val="left" w:pos="720"/>
              </w:tabs>
              <w:adjustRightInd w:val="0"/>
              <w:snapToGrid w:val="0"/>
              <w:jc w:val="center"/>
              <w:rPr>
                <w:rFonts w:hint="eastAsia" w:ascii="仿宋" w:hAnsi="仿宋" w:eastAsia="仿宋" w:cs="仿宋"/>
                <w:color w:val="000000"/>
                <w:kern w:val="0"/>
                <w:sz w:val="24"/>
                <w:szCs w:val="24"/>
              </w:rPr>
            </w:pPr>
          </w:p>
        </w:tc>
        <w:tc>
          <w:tcPr>
            <w:tcW w:w="1005" w:type="dxa"/>
            <w:gridSpan w:val="2"/>
            <w:tcBorders>
              <w:left w:val="single" w:color="000000" w:sz="4" w:space="0"/>
              <w:right w:val="single" w:color="000000" w:sz="4" w:space="0"/>
            </w:tcBorders>
            <w:noWrap w:val="0"/>
            <w:vAlign w:val="center"/>
          </w:tcPr>
          <w:p w14:paraId="4A3D8D72">
            <w:pPr>
              <w:adjustRightInd w:val="0"/>
              <w:snapToGrid w:val="0"/>
              <w:jc w:val="center"/>
              <w:rPr>
                <w:rFonts w:hint="eastAsia" w:ascii="仿宋" w:hAnsi="仿宋" w:eastAsia="仿宋" w:cs="仿宋"/>
                <w:color w:val="4472C4"/>
                <w:sz w:val="24"/>
                <w:szCs w:val="24"/>
              </w:rPr>
            </w:pPr>
            <w:r>
              <w:rPr>
                <w:rFonts w:ascii="仿宋" w:hAnsi="仿宋" w:eastAsia="仿宋" w:cs="仿宋"/>
                <w:color w:val="000000"/>
                <w:kern w:val="0"/>
                <w:sz w:val="24"/>
                <w:szCs w:val="24"/>
              </w:rPr>
              <w:t>作业</w:t>
            </w:r>
            <w:r>
              <w:rPr>
                <w:rFonts w:hint="eastAsia" w:ascii="仿宋" w:hAnsi="仿宋" w:eastAsia="仿宋" w:cs="仿宋"/>
                <w:color w:val="000000"/>
                <w:kern w:val="0"/>
                <w:sz w:val="24"/>
                <w:szCs w:val="24"/>
              </w:rPr>
              <w:t>评分占比</w:t>
            </w:r>
            <w:r>
              <w:rPr>
                <w:rFonts w:hint="eastAsia" w:ascii="仿宋" w:hAnsi="仿宋" w:eastAsia="仿宋" w:cs="仿宋"/>
                <w:color w:val="000000"/>
                <w:sz w:val="24"/>
                <w:szCs w:val="24"/>
              </w:rPr>
              <w:t>（</w:t>
            </w:r>
            <w:r>
              <w:rPr>
                <w:rFonts w:ascii="仿宋" w:hAnsi="仿宋" w:eastAsia="仿宋" w:cs="仿宋"/>
                <w:color w:val="000000"/>
                <w:sz w:val="24"/>
                <w:szCs w:val="24"/>
              </w:rPr>
              <w:t>20</w:t>
            </w:r>
            <w:r>
              <w:rPr>
                <w:rFonts w:hint="eastAsia" w:ascii="仿宋" w:hAnsi="仿宋" w:eastAsia="仿宋" w:cs="仿宋"/>
                <w:color w:val="000000"/>
                <w:sz w:val="24"/>
                <w:szCs w:val="24"/>
              </w:rPr>
              <w:t>%）</w:t>
            </w:r>
          </w:p>
        </w:tc>
        <w:tc>
          <w:tcPr>
            <w:tcW w:w="1005" w:type="dxa"/>
            <w:gridSpan w:val="5"/>
            <w:tcBorders>
              <w:left w:val="single" w:color="000000" w:sz="4" w:space="0"/>
              <w:right w:val="single" w:color="000000" w:sz="4" w:space="0"/>
            </w:tcBorders>
            <w:noWrap w:val="0"/>
            <w:vAlign w:val="center"/>
          </w:tcPr>
          <w:p w14:paraId="4CA0E37E">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期中考试评分占比（40%）</w:t>
            </w:r>
          </w:p>
        </w:tc>
        <w:tc>
          <w:tcPr>
            <w:tcW w:w="1005" w:type="dxa"/>
            <w:gridSpan w:val="2"/>
            <w:tcBorders>
              <w:left w:val="single" w:color="000000" w:sz="4" w:space="0"/>
              <w:right w:val="single" w:color="000000" w:sz="4" w:space="0"/>
            </w:tcBorders>
            <w:noWrap w:val="0"/>
            <w:vAlign w:val="center"/>
          </w:tcPr>
          <w:p w14:paraId="3783AD0D">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期末考试评分占比（40%）</w:t>
            </w:r>
          </w:p>
        </w:tc>
        <w:tc>
          <w:tcPr>
            <w:tcW w:w="586" w:type="dxa"/>
            <w:vMerge w:val="continue"/>
            <w:tcBorders>
              <w:left w:val="single" w:color="000000" w:sz="4" w:space="0"/>
              <w:bottom w:val="single" w:color="auto" w:sz="4" w:space="0"/>
            </w:tcBorders>
            <w:noWrap w:val="0"/>
            <w:vAlign w:val="center"/>
          </w:tcPr>
          <w:p w14:paraId="19C69840">
            <w:pPr>
              <w:tabs>
                <w:tab w:val="left" w:pos="720"/>
              </w:tabs>
              <w:adjustRightInd w:val="0"/>
              <w:snapToGrid w:val="0"/>
              <w:jc w:val="center"/>
              <w:rPr>
                <w:rFonts w:hint="eastAsia" w:ascii="仿宋" w:hAnsi="仿宋" w:eastAsia="仿宋" w:cs="仿宋"/>
                <w:color w:val="000000"/>
                <w:sz w:val="24"/>
                <w:szCs w:val="24"/>
              </w:rPr>
            </w:pPr>
          </w:p>
        </w:tc>
      </w:tr>
      <w:tr w14:paraId="1D733E45">
        <w:tc>
          <w:tcPr>
            <w:tcW w:w="1375" w:type="dxa"/>
            <w:vMerge w:val="continue"/>
            <w:noWrap w:val="0"/>
            <w:vAlign w:val="center"/>
          </w:tcPr>
          <w:p w14:paraId="62E750D8">
            <w:pPr>
              <w:adjustRightInd w:val="0"/>
              <w:snapToGrid w:val="0"/>
              <w:spacing w:line="240" w:lineRule="atLeast"/>
              <w:jc w:val="center"/>
              <w:rPr>
                <w:rFonts w:hint="eastAsia" w:ascii="仿宋" w:hAnsi="仿宋" w:eastAsia="仿宋" w:cs="仿宋"/>
                <w:color w:val="000000"/>
                <w:sz w:val="24"/>
                <w:szCs w:val="24"/>
                <w:lang w:eastAsia="zh-TW"/>
              </w:rPr>
            </w:pPr>
          </w:p>
        </w:tc>
        <w:tc>
          <w:tcPr>
            <w:tcW w:w="1024" w:type="dxa"/>
            <w:tcBorders>
              <w:bottom w:val="single" w:color="auto" w:sz="4" w:space="0"/>
            </w:tcBorders>
            <w:noWrap w:val="0"/>
            <w:vAlign w:val="center"/>
          </w:tcPr>
          <w:p w14:paraId="665FFBDA">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rPr>
              <w:t>课程目标</w:t>
            </w:r>
            <w:r>
              <w:rPr>
                <w:rFonts w:ascii="仿宋" w:hAnsi="仿宋" w:eastAsia="仿宋" w:cs="仿宋"/>
                <w:color w:val="000000"/>
                <w:kern w:val="0"/>
                <w:sz w:val="24"/>
                <w:szCs w:val="24"/>
              </w:rPr>
              <w:t>1</w:t>
            </w:r>
            <w:r>
              <w:rPr>
                <w:rFonts w:hint="eastAsia" w:ascii="仿宋" w:hAnsi="仿宋" w:eastAsia="仿宋" w:cs="仿宋"/>
                <w:color w:val="000000"/>
                <w:kern w:val="0"/>
                <w:sz w:val="24"/>
                <w:szCs w:val="24"/>
              </w:rPr>
              <w:t>（</w:t>
            </w:r>
            <w:r>
              <w:rPr>
                <w:rFonts w:ascii="仿宋" w:hAnsi="仿宋" w:eastAsia="仿宋" w:cs="仿宋"/>
                <w:color w:val="000000"/>
                <w:kern w:val="0"/>
                <w:sz w:val="24"/>
                <w:szCs w:val="24"/>
              </w:rPr>
              <w:t>40%</w:t>
            </w:r>
            <w:r>
              <w:rPr>
                <w:rFonts w:hint="eastAsia" w:ascii="仿宋" w:hAnsi="仿宋" w:eastAsia="仿宋" w:cs="仿宋"/>
                <w:color w:val="000000"/>
                <w:kern w:val="0"/>
                <w:sz w:val="24"/>
                <w:szCs w:val="24"/>
              </w:rPr>
              <w:t>）</w:t>
            </w:r>
          </w:p>
        </w:tc>
        <w:tc>
          <w:tcPr>
            <w:tcW w:w="3240" w:type="dxa"/>
            <w:gridSpan w:val="5"/>
            <w:tcBorders>
              <w:bottom w:val="single" w:color="auto" w:sz="4" w:space="0"/>
              <w:right w:val="single" w:color="000000" w:sz="4" w:space="0"/>
            </w:tcBorders>
            <w:noWrap w:val="0"/>
            <w:vAlign w:val="center"/>
          </w:tcPr>
          <w:p w14:paraId="64D845D2">
            <w:pPr>
              <w:adjustRightInd w:val="0"/>
              <w:snapToGrid w:val="0"/>
              <w:rPr>
                <w:rFonts w:hint="eastAsia" w:ascii="仿宋" w:hAnsi="仿宋" w:eastAsia="仿宋" w:cs="仿宋"/>
                <w:bCs/>
                <w:color w:val="000000"/>
                <w:sz w:val="24"/>
                <w:szCs w:val="24"/>
              </w:rPr>
            </w:pPr>
            <w:r>
              <w:rPr>
                <w:rFonts w:ascii="仿宋" w:hAnsi="仿宋" w:eastAsia="仿宋" w:cs="仿宋"/>
                <w:bCs/>
                <w:color w:val="000000"/>
                <w:sz w:val="24"/>
                <w:szCs w:val="24"/>
              </w:rPr>
              <w:t>能够较为扎实掌握管乐基础知识、基本技术，熟练掌握正确，规范，乐器演奏与学习，较为完整的表达作品的风格和情感</w:t>
            </w:r>
          </w:p>
          <w:p w14:paraId="2AE6CDD7">
            <w:pPr>
              <w:adjustRightInd w:val="0"/>
              <w:snapToGrid w:val="0"/>
              <w:rPr>
                <w:rFonts w:hint="eastAsia" w:ascii="仿宋" w:hAnsi="仿宋" w:eastAsia="仿宋" w:cs="仿宋"/>
                <w:bCs/>
                <w:color w:val="000000"/>
                <w:sz w:val="24"/>
                <w:szCs w:val="24"/>
              </w:rPr>
            </w:pPr>
          </w:p>
        </w:tc>
        <w:tc>
          <w:tcPr>
            <w:tcW w:w="1005" w:type="dxa"/>
            <w:gridSpan w:val="2"/>
            <w:tcBorders>
              <w:left w:val="single" w:color="000000" w:sz="4" w:space="0"/>
              <w:bottom w:val="single" w:color="auto" w:sz="4" w:space="0"/>
              <w:right w:val="single" w:color="auto" w:sz="4" w:space="0"/>
            </w:tcBorders>
            <w:noWrap w:val="0"/>
            <w:vAlign w:val="center"/>
          </w:tcPr>
          <w:p w14:paraId="393F69B3">
            <w:pPr>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 xml:space="preserve">     </w:t>
            </w:r>
            <w:r>
              <w:rPr>
                <w:rFonts w:ascii="仿宋" w:hAnsi="仿宋" w:eastAsia="仿宋" w:cs="仿宋"/>
                <w:color w:val="000000"/>
                <w:kern w:val="0"/>
                <w:sz w:val="24"/>
                <w:szCs w:val="24"/>
              </w:rPr>
              <w:t>8</w:t>
            </w:r>
          </w:p>
        </w:tc>
        <w:tc>
          <w:tcPr>
            <w:tcW w:w="1005" w:type="dxa"/>
            <w:gridSpan w:val="5"/>
            <w:tcBorders>
              <w:left w:val="single" w:color="000000" w:sz="4" w:space="0"/>
              <w:bottom w:val="single" w:color="auto" w:sz="4" w:space="0"/>
              <w:right w:val="single" w:color="auto" w:sz="4" w:space="0"/>
            </w:tcBorders>
            <w:noWrap w:val="0"/>
            <w:vAlign w:val="center"/>
          </w:tcPr>
          <w:p w14:paraId="0F7D440F">
            <w:pPr>
              <w:adjustRightInd w:val="0"/>
              <w:snapToGrid w:val="0"/>
              <w:jc w:val="center"/>
              <w:rPr>
                <w:rFonts w:hint="eastAsia" w:ascii="仿宋" w:hAnsi="仿宋" w:eastAsia="仿宋" w:cs="仿宋"/>
                <w:color w:val="000000"/>
                <w:kern w:val="0"/>
                <w:sz w:val="24"/>
                <w:szCs w:val="24"/>
              </w:rPr>
            </w:pPr>
            <w:r>
              <w:rPr>
                <w:rFonts w:ascii="仿宋" w:hAnsi="仿宋" w:eastAsia="仿宋" w:cs="仿宋"/>
                <w:color w:val="000000"/>
                <w:kern w:val="0"/>
                <w:sz w:val="24"/>
                <w:szCs w:val="24"/>
              </w:rPr>
              <w:t>16</w:t>
            </w:r>
          </w:p>
        </w:tc>
        <w:tc>
          <w:tcPr>
            <w:tcW w:w="1005" w:type="dxa"/>
            <w:gridSpan w:val="2"/>
            <w:tcBorders>
              <w:left w:val="single" w:color="000000" w:sz="4" w:space="0"/>
              <w:bottom w:val="single" w:color="auto" w:sz="4" w:space="0"/>
              <w:right w:val="single" w:color="auto" w:sz="4" w:space="0"/>
            </w:tcBorders>
            <w:noWrap w:val="0"/>
            <w:vAlign w:val="center"/>
          </w:tcPr>
          <w:p w14:paraId="7DF6C2CE">
            <w:pPr>
              <w:adjustRightInd w:val="0"/>
              <w:snapToGrid w:val="0"/>
              <w:jc w:val="center"/>
              <w:rPr>
                <w:rFonts w:hint="eastAsia" w:ascii="仿宋" w:hAnsi="仿宋" w:eastAsia="仿宋" w:cs="仿宋"/>
                <w:color w:val="000000"/>
                <w:kern w:val="0"/>
                <w:sz w:val="24"/>
                <w:szCs w:val="24"/>
              </w:rPr>
            </w:pPr>
            <w:r>
              <w:rPr>
                <w:rFonts w:ascii="仿宋" w:hAnsi="仿宋" w:eastAsia="仿宋" w:cs="仿宋"/>
                <w:color w:val="000000"/>
                <w:kern w:val="0"/>
                <w:sz w:val="24"/>
                <w:szCs w:val="24"/>
              </w:rPr>
              <w:t>16</w:t>
            </w:r>
          </w:p>
        </w:tc>
        <w:tc>
          <w:tcPr>
            <w:tcW w:w="586" w:type="dxa"/>
            <w:tcBorders>
              <w:left w:val="single" w:color="auto" w:sz="4" w:space="0"/>
              <w:bottom w:val="single" w:color="auto" w:sz="4" w:space="0"/>
            </w:tcBorders>
            <w:noWrap w:val="0"/>
            <w:vAlign w:val="center"/>
          </w:tcPr>
          <w:p w14:paraId="13A65797">
            <w:pPr>
              <w:tabs>
                <w:tab w:val="left" w:pos="720"/>
              </w:tabs>
              <w:adjustRightInd w:val="0"/>
              <w:snapToGrid w:val="0"/>
              <w:jc w:val="center"/>
              <w:rPr>
                <w:rFonts w:hint="eastAsia" w:ascii="仿宋" w:hAnsi="仿宋" w:eastAsia="仿宋" w:cs="仿宋"/>
                <w:color w:val="000000"/>
                <w:kern w:val="0"/>
                <w:sz w:val="24"/>
                <w:szCs w:val="24"/>
                <w:lang w:eastAsia="zh-Hans"/>
              </w:rPr>
            </w:pPr>
            <w:r>
              <w:rPr>
                <w:rFonts w:hint="eastAsia" w:ascii="仿宋" w:hAnsi="仿宋" w:eastAsia="仿宋" w:cs="仿宋"/>
                <w:color w:val="000000"/>
                <w:kern w:val="0"/>
                <w:sz w:val="24"/>
                <w:szCs w:val="24"/>
              </w:rPr>
              <w:t xml:space="preserve">  </w:t>
            </w:r>
            <w:r>
              <w:rPr>
                <w:rFonts w:ascii="仿宋" w:hAnsi="仿宋" w:eastAsia="仿宋" w:cs="仿宋"/>
                <w:color w:val="000000"/>
                <w:kern w:val="0"/>
                <w:sz w:val="24"/>
                <w:szCs w:val="24"/>
              </w:rPr>
              <w:t>0</w:t>
            </w:r>
            <w:r>
              <w:rPr>
                <w:rFonts w:hint="eastAsia" w:ascii="仿宋" w:hAnsi="仿宋" w:eastAsia="仿宋" w:cs="仿宋"/>
                <w:color w:val="000000"/>
                <w:kern w:val="0"/>
                <w:sz w:val="24"/>
                <w:szCs w:val="24"/>
                <w:lang w:eastAsia="zh-Hans"/>
              </w:rPr>
              <w:t>.</w:t>
            </w:r>
            <w:r>
              <w:rPr>
                <w:rFonts w:ascii="仿宋" w:hAnsi="仿宋" w:eastAsia="仿宋" w:cs="仿宋"/>
                <w:color w:val="000000"/>
                <w:kern w:val="0"/>
                <w:sz w:val="24"/>
                <w:szCs w:val="24"/>
                <w:lang w:eastAsia="zh-Hans"/>
              </w:rPr>
              <w:t>7</w:t>
            </w:r>
          </w:p>
        </w:tc>
      </w:tr>
      <w:tr w14:paraId="3A804BAF">
        <w:tc>
          <w:tcPr>
            <w:tcW w:w="1375" w:type="dxa"/>
            <w:vMerge w:val="continue"/>
            <w:noWrap w:val="0"/>
            <w:vAlign w:val="center"/>
          </w:tcPr>
          <w:p w14:paraId="7DE8FC0A">
            <w:pPr>
              <w:adjustRightInd w:val="0"/>
              <w:snapToGrid w:val="0"/>
              <w:spacing w:line="240" w:lineRule="atLeast"/>
              <w:jc w:val="center"/>
              <w:rPr>
                <w:rFonts w:hint="eastAsia" w:ascii="仿宋" w:hAnsi="仿宋" w:eastAsia="仿宋" w:cs="仿宋"/>
                <w:color w:val="000000"/>
                <w:sz w:val="24"/>
                <w:szCs w:val="24"/>
              </w:rPr>
            </w:pPr>
          </w:p>
        </w:tc>
        <w:tc>
          <w:tcPr>
            <w:tcW w:w="1024" w:type="dxa"/>
            <w:tcBorders>
              <w:bottom w:val="single" w:color="auto" w:sz="4" w:space="0"/>
            </w:tcBorders>
            <w:noWrap w:val="0"/>
            <w:vAlign w:val="center"/>
          </w:tcPr>
          <w:p w14:paraId="120D4E66">
            <w:pPr>
              <w:adjustRightInd w:val="0"/>
              <w:snapToGrid w:val="0"/>
              <w:rPr>
                <w:rFonts w:hint="eastAsia" w:ascii="仿宋" w:hAnsi="仿宋" w:eastAsia="仿宋" w:cs="仿宋"/>
                <w:color w:val="000000"/>
                <w:sz w:val="24"/>
                <w:szCs w:val="24"/>
              </w:rPr>
            </w:pPr>
            <w:r>
              <w:rPr>
                <w:rFonts w:ascii="仿宋" w:hAnsi="仿宋" w:eastAsia="仿宋" w:cs="仿宋"/>
                <w:color w:val="000000"/>
                <w:sz w:val="24"/>
                <w:szCs w:val="24"/>
              </w:rPr>
              <w:t>课程目标2（</w:t>
            </w:r>
            <w:r>
              <w:rPr>
                <w:rFonts w:hint="eastAsia" w:ascii="仿宋" w:hAnsi="仿宋" w:eastAsia="仿宋" w:cs="仿宋"/>
                <w:color w:val="000000"/>
                <w:sz w:val="24"/>
                <w:szCs w:val="24"/>
              </w:rPr>
              <w:t>4</w:t>
            </w:r>
            <w:r>
              <w:rPr>
                <w:rFonts w:ascii="仿宋" w:hAnsi="仿宋" w:eastAsia="仿宋" w:cs="仿宋"/>
                <w:color w:val="000000"/>
                <w:sz w:val="24"/>
                <w:szCs w:val="24"/>
              </w:rPr>
              <w:t>0%）</w:t>
            </w:r>
          </w:p>
        </w:tc>
        <w:tc>
          <w:tcPr>
            <w:tcW w:w="3240" w:type="dxa"/>
            <w:gridSpan w:val="5"/>
            <w:tcBorders>
              <w:bottom w:val="single" w:color="auto" w:sz="4" w:space="0"/>
            </w:tcBorders>
            <w:noWrap w:val="0"/>
            <w:vAlign w:val="center"/>
          </w:tcPr>
          <w:p w14:paraId="3CB5B267">
            <w:pPr>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lang w:eastAsia="zh-TW"/>
              </w:rPr>
              <w:t>管乐团是一个团队，每个成员都发挥着重要的作用。在排练过程中，注重培养学生的团队精神和合作意识。</w:t>
            </w:r>
          </w:p>
        </w:tc>
        <w:tc>
          <w:tcPr>
            <w:tcW w:w="1005" w:type="dxa"/>
            <w:gridSpan w:val="2"/>
            <w:tcBorders>
              <w:bottom w:val="single" w:color="auto" w:sz="4" w:space="0"/>
            </w:tcBorders>
            <w:noWrap w:val="0"/>
            <w:vAlign w:val="center"/>
          </w:tcPr>
          <w:p w14:paraId="43D69618">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8</w:t>
            </w:r>
          </w:p>
        </w:tc>
        <w:tc>
          <w:tcPr>
            <w:tcW w:w="1005" w:type="dxa"/>
            <w:gridSpan w:val="5"/>
            <w:tcBorders>
              <w:bottom w:val="single" w:color="auto" w:sz="4" w:space="0"/>
            </w:tcBorders>
            <w:noWrap w:val="0"/>
            <w:vAlign w:val="center"/>
          </w:tcPr>
          <w:p w14:paraId="17DDA246">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1</w:t>
            </w:r>
            <w:r>
              <w:rPr>
                <w:rFonts w:hint="eastAsia" w:ascii="仿宋" w:hAnsi="仿宋" w:eastAsia="仿宋" w:cs="仿宋"/>
                <w:color w:val="000000"/>
                <w:sz w:val="24"/>
                <w:szCs w:val="24"/>
              </w:rPr>
              <w:t>6</w:t>
            </w:r>
          </w:p>
        </w:tc>
        <w:tc>
          <w:tcPr>
            <w:tcW w:w="1005" w:type="dxa"/>
            <w:gridSpan w:val="2"/>
            <w:tcBorders>
              <w:bottom w:val="single" w:color="auto" w:sz="4" w:space="0"/>
            </w:tcBorders>
            <w:noWrap w:val="0"/>
            <w:vAlign w:val="center"/>
          </w:tcPr>
          <w:p w14:paraId="4DDCE77C">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1</w:t>
            </w:r>
            <w:r>
              <w:rPr>
                <w:rFonts w:hint="eastAsia" w:ascii="仿宋" w:hAnsi="仿宋" w:eastAsia="仿宋" w:cs="仿宋"/>
                <w:color w:val="000000"/>
                <w:sz w:val="24"/>
                <w:szCs w:val="24"/>
              </w:rPr>
              <w:t>6</w:t>
            </w:r>
          </w:p>
        </w:tc>
        <w:tc>
          <w:tcPr>
            <w:tcW w:w="586" w:type="dxa"/>
            <w:tcBorders>
              <w:bottom w:val="single" w:color="auto" w:sz="4" w:space="0"/>
            </w:tcBorders>
            <w:noWrap w:val="0"/>
            <w:vAlign w:val="center"/>
          </w:tcPr>
          <w:p w14:paraId="4961FE5D">
            <w:pPr>
              <w:adjustRightInd w:val="0"/>
              <w:snapToGrid w:val="0"/>
              <w:jc w:val="center"/>
              <w:rPr>
                <w:rFonts w:hint="eastAsia" w:ascii="仿宋" w:hAnsi="仿宋" w:eastAsia="仿宋" w:cs="仿宋"/>
                <w:color w:val="000000"/>
                <w:sz w:val="24"/>
                <w:szCs w:val="24"/>
                <w:lang w:eastAsia="zh-Hans"/>
              </w:rPr>
            </w:pPr>
            <w:r>
              <w:rPr>
                <w:rFonts w:ascii="仿宋" w:hAnsi="仿宋" w:eastAsia="仿宋" w:cs="仿宋"/>
                <w:color w:val="000000"/>
                <w:sz w:val="24"/>
                <w:szCs w:val="24"/>
                <w:lang w:eastAsia="zh-Hans"/>
              </w:rPr>
              <w:t>0</w:t>
            </w:r>
            <w:r>
              <w:rPr>
                <w:rFonts w:hint="eastAsia" w:ascii="仿宋" w:hAnsi="仿宋" w:eastAsia="仿宋" w:cs="仿宋"/>
                <w:color w:val="000000"/>
                <w:sz w:val="24"/>
                <w:szCs w:val="24"/>
                <w:lang w:eastAsia="zh-Hans"/>
              </w:rPr>
              <w:t>.</w:t>
            </w:r>
            <w:r>
              <w:rPr>
                <w:rFonts w:ascii="仿宋" w:hAnsi="仿宋" w:eastAsia="仿宋" w:cs="仿宋"/>
                <w:color w:val="000000"/>
                <w:sz w:val="24"/>
                <w:szCs w:val="24"/>
                <w:lang w:eastAsia="zh-Hans"/>
              </w:rPr>
              <w:t>7</w:t>
            </w:r>
          </w:p>
        </w:tc>
      </w:tr>
      <w:tr w14:paraId="44259F8E">
        <w:tc>
          <w:tcPr>
            <w:tcW w:w="1375" w:type="dxa"/>
            <w:vMerge w:val="continue"/>
            <w:noWrap w:val="0"/>
            <w:vAlign w:val="center"/>
          </w:tcPr>
          <w:p w14:paraId="37B69E4D">
            <w:pPr>
              <w:adjustRightInd w:val="0"/>
              <w:snapToGrid w:val="0"/>
              <w:spacing w:line="240" w:lineRule="atLeast"/>
              <w:jc w:val="center"/>
              <w:rPr>
                <w:rFonts w:hint="eastAsia" w:ascii="仿宋" w:hAnsi="仿宋" w:eastAsia="仿宋" w:cs="仿宋"/>
                <w:color w:val="000000"/>
                <w:sz w:val="24"/>
                <w:szCs w:val="24"/>
              </w:rPr>
            </w:pPr>
          </w:p>
        </w:tc>
        <w:tc>
          <w:tcPr>
            <w:tcW w:w="1024" w:type="dxa"/>
            <w:tcBorders>
              <w:bottom w:val="single" w:color="auto" w:sz="4" w:space="0"/>
            </w:tcBorders>
            <w:noWrap w:val="0"/>
            <w:vAlign w:val="center"/>
          </w:tcPr>
          <w:p w14:paraId="476C5D49">
            <w:pPr>
              <w:adjustRightInd w:val="0"/>
              <w:snapToGrid w:val="0"/>
              <w:rPr>
                <w:rFonts w:hint="eastAsia" w:ascii="仿宋" w:hAnsi="仿宋" w:eastAsia="仿宋" w:cs="仿宋"/>
                <w:color w:val="000000"/>
                <w:sz w:val="24"/>
                <w:szCs w:val="24"/>
              </w:rPr>
            </w:pPr>
            <w:r>
              <w:rPr>
                <w:rFonts w:ascii="仿宋" w:hAnsi="仿宋" w:eastAsia="仿宋" w:cs="仿宋"/>
                <w:color w:val="000000"/>
                <w:sz w:val="24"/>
                <w:szCs w:val="24"/>
              </w:rPr>
              <w:t>课程目标3（</w:t>
            </w:r>
            <w:r>
              <w:rPr>
                <w:rFonts w:hint="eastAsia" w:ascii="仿宋" w:hAnsi="仿宋" w:eastAsia="仿宋" w:cs="仿宋"/>
                <w:color w:val="000000"/>
                <w:sz w:val="24"/>
                <w:szCs w:val="24"/>
              </w:rPr>
              <w:t>2</w:t>
            </w:r>
            <w:r>
              <w:rPr>
                <w:rFonts w:ascii="仿宋" w:hAnsi="仿宋" w:eastAsia="仿宋" w:cs="仿宋"/>
                <w:color w:val="000000"/>
                <w:sz w:val="24"/>
                <w:szCs w:val="24"/>
              </w:rPr>
              <w:t>0%）</w:t>
            </w:r>
          </w:p>
        </w:tc>
        <w:tc>
          <w:tcPr>
            <w:tcW w:w="3240" w:type="dxa"/>
            <w:gridSpan w:val="5"/>
            <w:tcBorders>
              <w:bottom w:val="single" w:color="auto" w:sz="4" w:space="0"/>
            </w:tcBorders>
            <w:noWrap w:val="0"/>
            <w:vAlign w:val="center"/>
          </w:tcPr>
          <w:p w14:paraId="2551079B">
            <w:pPr>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lang w:eastAsia="zh-TW"/>
              </w:rPr>
              <w:t>“以情育人”，用爱构筑教师与学生心灵之间的桥梁。情感是育人的基础。情感是师生之间心与心交融的纽带，是桥梁。在教学中，深刻体会教师在学生心目中的位置。</w:t>
            </w:r>
          </w:p>
        </w:tc>
        <w:tc>
          <w:tcPr>
            <w:tcW w:w="1005" w:type="dxa"/>
            <w:gridSpan w:val="2"/>
            <w:tcBorders>
              <w:bottom w:val="single" w:color="auto" w:sz="4" w:space="0"/>
            </w:tcBorders>
            <w:noWrap w:val="0"/>
            <w:vAlign w:val="center"/>
          </w:tcPr>
          <w:p w14:paraId="0F072441">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4</w:t>
            </w:r>
          </w:p>
        </w:tc>
        <w:tc>
          <w:tcPr>
            <w:tcW w:w="1005" w:type="dxa"/>
            <w:gridSpan w:val="5"/>
            <w:tcBorders>
              <w:bottom w:val="single" w:color="auto" w:sz="4" w:space="0"/>
            </w:tcBorders>
            <w:noWrap w:val="0"/>
            <w:vAlign w:val="center"/>
          </w:tcPr>
          <w:p w14:paraId="7D651B8E">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8</w:t>
            </w:r>
          </w:p>
        </w:tc>
        <w:tc>
          <w:tcPr>
            <w:tcW w:w="1005" w:type="dxa"/>
            <w:gridSpan w:val="2"/>
            <w:tcBorders>
              <w:bottom w:val="single" w:color="auto" w:sz="4" w:space="0"/>
            </w:tcBorders>
            <w:noWrap w:val="0"/>
            <w:vAlign w:val="center"/>
          </w:tcPr>
          <w:p w14:paraId="7136EFD4">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8</w:t>
            </w:r>
          </w:p>
        </w:tc>
        <w:tc>
          <w:tcPr>
            <w:tcW w:w="586" w:type="dxa"/>
            <w:tcBorders>
              <w:bottom w:val="single" w:color="auto" w:sz="4" w:space="0"/>
            </w:tcBorders>
            <w:noWrap w:val="0"/>
            <w:vAlign w:val="center"/>
          </w:tcPr>
          <w:p w14:paraId="6ACC5A6D">
            <w:pPr>
              <w:adjustRightInd w:val="0"/>
              <w:snapToGrid w:val="0"/>
              <w:jc w:val="center"/>
              <w:rPr>
                <w:rFonts w:hint="eastAsia" w:ascii="仿宋" w:hAnsi="仿宋" w:eastAsia="仿宋" w:cs="仿宋"/>
                <w:color w:val="000000"/>
                <w:sz w:val="24"/>
                <w:szCs w:val="24"/>
                <w:lang w:eastAsia="zh-Hans"/>
              </w:rPr>
            </w:pPr>
            <w:r>
              <w:rPr>
                <w:rFonts w:ascii="仿宋" w:hAnsi="仿宋" w:eastAsia="仿宋" w:cs="仿宋"/>
                <w:color w:val="000000"/>
                <w:sz w:val="24"/>
                <w:szCs w:val="24"/>
                <w:lang w:eastAsia="zh-Hans"/>
              </w:rPr>
              <w:t>0</w:t>
            </w:r>
            <w:r>
              <w:rPr>
                <w:rFonts w:hint="eastAsia" w:ascii="仿宋" w:hAnsi="仿宋" w:eastAsia="仿宋" w:cs="仿宋"/>
                <w:color w:val="000000"/>
                <w:sz w:val="24"/>
                <w:szCs w:val="24"/>
                <w:lang w:eastAsia="zh-Hans"/>
              </w:rPr>
              <w:t>.</w:t>
            </w:r>
            <w:r>
              <w:rPr>
                <w:rFonts w:ascii="仿宋" w:hAnsi="仿宋" w:eastAsia="仿宋" w:cs="仿宋"/>
                <w:color w:val="000000"/>
                <w:sz w:val="24"/>
                <w:szCs w:val="24"/>
                <w:lang w:eastAsia="zh-Hans"/>
              </w:rPr>
              <w:t>7</w:t>
            </w:r>
          </w:p>
        </w:tc>
      </w:tr>
      <w:tr w14:paraId="4570F937">
        <w:trPr>
          <w:trHeight w:val="228" w:hRule="atLeast"/>
        </w:trPr>
        <w:tc>
          <w:tcPr>
            <w:tcW w:w="1375" w:type="dxa"/>
            <w:vMerge w:val="continue"/>
            <w:noWrap w:val="0"/>
            <w:vAlign w:val="center"/>
          </w:tcPr>
          <w:p w14:paraId="0F72FC2F">
            <w:pPr>
              <w:adjustRightInd w:val="0"/>
              <w:snapToGrid w:val="0"/>
              <w:spacing w:line="240" w:lineRule="atLeast"/>
              <w:jc w:val="center"/>
              <w:rPr>
                <w:rFonts w:hint="eastAsia" w:ascii="仿宋" w:hAnsi="仿宋" w:eastAsia="仿宋" w:cs="仿宋"/>
                <w:color w:val="000000"/>
                <w:sz w:val="24"/>
                <w:szCs w:val="24"/>
              </w:rPr>
            </w:pPr>
          </w:p>
        </w:tc>
        <w:tc>
          <w:tcPr>
            <w:tcW w:w="4264" w:type="dxa"/>
            <w:gridSpan w:val="6"/>
            <w:tcBorders>
              <w:bottom w:val="single" w:color="auto" w:sz="4" w:space="0"/>
            </w:tcBorders>
            <w:noWrap w:val="0"/>
            <w:vAlign w:val="center"/>
          </w:tcPr>
          <w:p w14:paraId="5B0AB85B">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总分</w:t>
            </w:r>
          </w:p>
        </w:tc>
        <w:tc>
          <w:tcPr>
            <w:tcW w:w="1005" w:type="dxa"/>
            <w:gridSpan w:val="2"/>
            <w:tcBorders>
              <w:bottom w:val="single" w:color="auto" w:sz="4" w:space="0"/>
            </w:tcBorders>
            <w:noWrap w:val="0"/>
            <w:vAlign w:val="center"/>
          </w:tcPr>
          <w:p w14:paraId="46CE067B">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20</w:t>
            </w:r>
          </w:p>
        </w:tc>
        <w:tc>
          <w:tcPr>
            <w:tcW w:w="1005" w:type="dxa"/>
            <w:gridSpan w:val="5"/>
            <w:tcBorders>
              <w:bottom w:val="single" w:color="auto" w:sz="4" w:space="0"/>
            </w:tcBorders>
            <w:noWrap w:val="0"/>
            <w:vAlign w:val="center"/>
          </w:tcPr>
          <w:p w14:paraId="4474BC2D">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40</w:t>
            </w:r>
          </w:p>
        </w:tc>
        <w:tc>
          <w:tcPr>
            <w:tcW w:w="1005" w:type="dxa"/>
            <w:gridSpan w:val="2"/>
            <w:tcBorders>
              <w:bottom w:val="single" w:color="auto" w:sz="4" w:space="0"/>
            </w:tcBorders>
            <w:noWrap w:val="0"/>
            <w:vAlign w:val="center"/>
          </w:tcPr>
          <w:p w14:paraId="255D702E">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40</w:t>
            </w:r>
          </w:p>
        </w:tc>
        <w:tc>
          <w:tcPr>
            <w:tcW w:w="586" w:type="dxa"/>
            <w:tcBorders>
              <w:bottom w:val="single" w:color="auto" w:sz="4" w:space="0"/>
            </w:tcBorders>
            <w:noWrap w:val="0"/>
            <w:vAlign w:val="center"/>
          </w:tcPr>
          <w:p w14:paraId="47074C20">
            <w:pPr>
              <w:adjustRightInd w:val="0"/>
              <w:snapToGrid w:val="0"/>
              <w:jc w:val="center"/>
              <w:rPr>
                <w:rFonts w:hint="eastAsia" w:ascii="仿宋" w:hAnsi="仿宋" w:eastAsia="仿宋" w:cs="仿宋"/>
                <w:color w:val="000000"/>
                <w:sz w:val="24"/>
                <w:szCs w:val="24"/>
                <w:lang w:eastAsia="zh-Hans"/>
              </w:rPr>
            </w:pPr>
            <w:r>
              <w:rPr>
                <w:rFonts w:ascii="仿宋" w:hAnsi="仿宋" w:eastAsia="仿宋" w:cs="仿宋"/>
                <w:color w:val="000000"/>
                <w:sz w:val="24"/>
                <w:szCs w:val="24"/>
              </w:rPr>
              <w:t>0</w:t>
            </w:r>
            <w:r>
              <w:rPr>
                <w:rFonts w:hint="eastAsia" w:ascii="仿宋" w:hAnsi="仿宋" w:eastAsia="仿宋" w:cs="仿宋"/>
                <w:color w:val="000000"/>
                <w:sz w:val="24"/>
                <w:szCs w:val="24"/>
                <w:lang w:eastAsia="zh-Hans"/>
              </w:rPr>
              <w:t>.</w:t>
            </w:r>
            <w:r>
              <w:rPr>
                <w:rFonts w:ascii="仿宋" w:hAnsi="仿宋" w:eastAsia="仿宋" w:cs="仿宋"/>
                <w:color w:val="000000"/>
                <w:sz w:val="24"/>
                <w:szCs w:val="24"/>
                <w:lang w:eastAsia="zh-Hans"/>
              </w:rPr>
              <w:t>7</w:t>
            </w:r>
          </w:p>
        </w:tc>
      </w:tr>
      <w:tr w14:paraId="2F5137F9">
        <w:tc>
          <w:tcPr>
            <w:tcW w:w="1375" w:type="dxa"/>
            <w:noWrap w:val="0"/>
            <w:vAlign w:val="center"/>
          </w:tcPr>
          <w:p w14:paraId="04EB9522">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L</w:t>
            </w:r>
          </w:p>
          <w:p w14:paraId="1A89B75A">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学习建议</w:t>
            </w:r>
          </w:p>
        </w:tc>
        <w:tc>
          <w:tcPr>
            <w:tcW w:w="7865" w:type="dxa"/>
            <w:gridSpan w:val="16"/>
            <w:tcBorders>
              <w:bottom w:val="single" w:color="auto" w:sz="4" w:space="0"/>
            </w:tcBorders>
            <w:noWrap w:val="0"/>
            <w:vAlign w:val="center"/>
          </w:tcPr>
          <w:p w14:paraId="21A9A8FA">
            <w:pPr>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rPr>
              <w:t>1.自主学习。建议学生通过预习教材，并通过网络、图书馆自主查阅课程中涉及的学习资源，独立规划自己的课程学习计划，充分发挥自身的学习能动性。</w:t>
            </w:r>
          </w:p>
          <w:p w14:paraId="7EC4E7DE">
            <w:pPr>
              <w:adjustRightInd w:val="0"/>
              <w:snapToGrid w:val="0"/>
              <w:spacing w:line="320" w:lineRule="exact"/>
              <w:ind w:left="359" w:leftChars="171"/>
              <w:jc w:val="left"/>
              <w:rPr>
                <w:rFonts w:hint="eastAsia" w:ascii="仿宋" w:hAnsi="仿宋" w:eastAsia="仿宋" w:cs="仿宋"/>
                <w:color w:val="4472C4"/>
                <w:kern w:val="0"/>
                <w:sz w:val="24"/>
                <w:szCs w:val="24"/>
              </w:rPr>
            </w:pPr>
            <w:r>
              <w:rPr>
                <w:rFonts w:hint="eastAsia" w:ascii="仿宋" w:hAnsi="仿宋" w:eastAsia="仿宋" w:cs="仿宋"/>
                <w:bCs/>
                <w:color w:val="000000"/>
                <w:sz w:val="24"/>
                <w:szCs w:val="24"/>
              </w:rPr>
              <w:t>2.研究性学习。鼓励学生针对课程教学内容，尝试理论课结合专题报告的教学方式，开展相关的管乐进展和专题讲座，提高学生的学习兴趣，了解国内外最新管乐知识，开阔学生的视野。</w:t>
            </w:r>
          </w:p>
        </w:tc>
      </w:tr>
      <w:tr w14:paraId="4A77C045">
        <w:trPr>
          <w:trHeight w:val="454" w:hRule="atLeast"/>
        </w:trPr>
        <w:tc>
          <w:tcPr>
            <w:tcW w:w="1375" w:type="dxa"/>
            <w:noWrap w:val="0"/>
            <w:vAlign w:val="center"/>
          </w:tcPr>
          <w:p w14:paraId="56858F55">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M</w:t>
            </w:r>
          </w:p>
          <w:p w14:paraId="5B974952">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评分量表</w:t>
            </w:r>
          </w:p>
        </w:tc>
        <w:tc>
          <w:tcPr>
            <w:tcW w:w="7865" w:type="dxa"/>
            <w:gridSpan w:val="16"/>
            <w:noWrap w:val="0"/>
            <w:vAlign w:val="center"/>
          </w:tcPr>
          <w:p w14:paraId="31724C64">
            <w:pPr>
              <w:keepNext w:val="0"/>
              <w:keepLines w:val="0"/>
              <w:pageBreakBefore w:val="0"/>
              <w:widowControl w:val="0"/>
              <w:kinsoku/>
              <w:wordWrap/>
              <w:overflowPunct/>
              <w:topLinePunct w:val="0"/>
              <w:autoSpaceDE/>
              <w:autoSpaceDN/>
              <w:bidi w:val="0"/>
              <w:adjustRightInd w:val="0"/>
              <w:snapToGrid w:val="0"/>
              <w:ind w:left="105" w:leftChars="50"/>
              <w:textAlignment w:val="auto"/>
              <w:rPr>
                <w:rFonts w:hint="eastAsia" w:ascii="仿宋" w:hAnsi="仿宋" w:eastAsia="仿宋" w:cs="仿宋"/>
                <w:bCs/>
                <w:color w:val="000000"/>
                <w:sz w:val="24"/>
                <w:szCs w:val="24"/>
              </w:rPr>
            </w:pPr>
            <w:r>
              <w:rPr>
                <w:rFonts w:hint="eastAsia" w:ascii="仿宋" w:hAnsi="仿宋" w:eastAsia="仿宋" w:cs="仿宋"/>
                <w:bCs/>
                <w:color w:val="000000"/>
                <w:sz w:val="24"/>
                <w:szCs w:val="24"/>
              </w:rPr>
              <w:t>管乐考核方法  现场演奏</w:t>
            </w:r>
          </w:p>
          <w:p w14:paraId="2FF0E18C">
            <w:pPr>
              <w:keepNext w:val="0"/>
              <w:keepLines w:val="0"/>
              <w:pageBreakBefore w:val="0"/>
              <w:widowControl w:val="0"/>
              <w:kinsoku/>
              <w:wordWrap/>
              <w:overflowPunct/>
              <w:topLinePunct w:val="0"/>
              <w:autoSpaceDE/>
              <w:autoSpaceDN/>
              <w:bidi w:val="0"/>
              <w:adjustRightInd w:val="0"/>
              <w:snapToGrid w:val="0"/>
              <w:ind w:left="105" w:leftChars="50"/>
              <w:textAlignment w:val="auto"/>
              <w:rPr>
                <w:rFonts w:hint="eastAsia" w:ascii="仿宋" w:hAnsi="仿宋" w:eastAsia="仿宋" w:cs="仿宋"/>
                <w:bCs/>
                <w:color w:val="000000"/>
                <w:sz w:val="24"/>
                <w:szCs w:val="24"/>
              </w:rPr>
            </w:pPr>
            <w:r>
              <w:rPr>
                <w:rFonts w:hint="eastAsia" w:ascii="仿宋" w:hAnsi="仿宋" w:eastAsia="仿宋" w:cs="仿宋"/>
                <w:bCs/>
                <w:color w:val="000000"/>
                <w:sz w:val="24"/>
                <w:szCs w:val="24"/>
              </w:rPr>
              <w:t>课程的考核内容为教师指定的器乐曲目。</w:t>
            </w:r>
            <w:r>
              <w:rPr>
                <w:rFonts w:hint="eastAsia" w:ascii="仿宋" w:hAnsi="仿宋" w:eastAsia="仿宋" w:cs="仿宋"/>
                <w:bCs/>
                <w:color w:val="000000"/>
                <w:sz w:val="24"/>
                <w:szCs w:val="24"/>
              </w:rPr>
              <w:tab/>
            </w:r>
          </w:p>
          <w:p w14:paraId="19991EB6">
            <w:pPr>
              <w:keepNext w:val="0"/>
              <w:keepLines w:val="0"/>
              <w:pageBreakBefore w:val="0"/>
              <w:widowControl w:val="0"/>
              <w:kinsoku/>
              <w:wordWrap/>
              <w:overflowPunct/>
              <w:topLinePunct w:val="0"/>
              <w:autoSpaceDE/>
              <w:autoSpaceDN/>
              <w:bidi w:val="0"/>
              <w:adjustRightInd w:val="0"/>
              <w:snapToGrid w:val="0"/>
              <w:ind w:left="105" w:leftChars="50"/>
              <w:textAlignment w:val="auto"/>
              <w:rPr>
                <w:rFonts w:hint="eastAsia" w:ascii="仿宋" w:hAnsi="仿宋" w:eastAsia="仿宋" w:cs="仿宋"/>
                <w:bCs/>
                <w:color w:val="000000"/>
                <w:sz w:val="24"/>
                <w:szCs w:val="24"/>
              </w:rPr>
            </w:pPr>
            <w:r>
              <w:rPr>
                <w:rFonts w:hint="eastAsia" w:ascii="仿宋" w:hAnsi="仿宋" w:eastAsia="仿宋" w:cs="仿宋"/>
                <w:bCs/>
                <w:color w:val="000000"/>
                <w:sz w:val="24"/>
                <w:szCs w:val="24"/>
              </w:rPr>
              <w:t>考试成绩由课程教师进行考核评议。凡考试中演奏的曲目及内容不符合要求者，在最后的总评成绩中扣除10分。凡考试演奏中有明显失误者，以及无正当理由缺考、误考者，均需补考。</w:t>
            </w:r>
          </w:p>
          <w:p w14:paraId="3884592B">
            <w:pPr>
              <w:keepNext w:val="0"/>
              <w:keepLines w:val="0"/>
              <w:pageBreakBefore w:val="0"/>
              <w:widowControl w:val="0"/>
              <w:kinsoku/>
              <w:wordWrap/>
              <w:overflowPunct/>
              <w:topLinePunct w:val="0"/>
              <w:autoSpaceDE/>
              <w:autoSpaceDN/>
              <w:bidi w:val="0"/>
              <w:adjustRightInd w:val="0"/>
              <w:snapToGrid w:val="0"/>
              <w:ind w:left="105" w:leftChars="50"/>
              <w:textAlignment w:val="auto"/>
              <w:rPr>
                <w:rFonts w:hint="eastAsia" w:ascii="仿宋" w:hAnsi="仿宋" w:eastAsia="仿宋" w:cs="仿宋"/>
                <w:bCs/>
                <w:color w:val="000000"/>
                <w:sz w:val="24"/>
                <w:szCs w:val="24"/>
              </w:rPr>
            </w:pPr>
            <w:r>
              <w:rPr>
                <w:rFonts w:hint="eastAsia" w:ascii="仿宋" w:hAnsi="仿宋" w:eastAsia="仿宋" w:cs="仿宋"/>
                <w:bCs/>
                <w:color w:val="000000"/>
                <w:sz w:val="24"/>
                <w:szCs w:val="24"/>
              </w:rPr>
              <w:t>考试成绩以最后修毕成绩为准。期末考试成绩作为学习成绩记录在案，以备参考。</w:t>
            </w:r>
          </w:p>
          <w:p w14:paraId="25E3CF1C">
            <w:pPr>
              <w:keepNext w:val="0"/>
              <w:keepLines w:val="0"/>
              <w:pageBreakBefore w:val="0"/>
              <w:widowControl w:val="0"/>
              <w:kinsoku/>
              <w:wordWrap/>
              <w:overflowPunct/>
              <w:topLinePunct w:val="0"/>
              <w:autoSpaceDE/>
              <w:autoSpaceDN/>
              <w:bidi w:val="0"/>
              <w:adjustRightInd w:val="0"/>
              <w:snapToGrid w:val="0"/>
              <w:ind w:left="105" w:leftChars="50"/>
              <w:textAlignment w:val="auto"/>
              <w:rPr>
                <w:rFonts w:hint="eastAsia" w:ascii="仿宋" w:hAnsi="仿宋" w:eastAsia="仿宋" w:cs="仿宋"/>
                <w:bCs/>
                <w:color w:val="000000"/>
                <w:sz w:val="24"/>
                <w:szCs w:val="24"/>
              </w:rPr>
            </w:pPr>
            <w:r>
              <w:rPr>
                <w:rFonts w:hint="eastAsia" w:ascii="仿宋" w:hAnsi="仿宋" w:eastAsia="仿宋" w:cs="仿宋"/>
                <w:bCs/>
                <w:color w:val="000000"/>
                <w:sz w:val="24"/>
                <w:szCs w:val="24"/>
              </w:rPr>
              <w:t>1）要求：</w:t>
            </w:r>
            <w:r>
              <w:rPr>
                <w:rFonts w:hint="eastAsia" w:ascii="仿宋" w:hAnsi="仿宋" w:eastAsia="仿宋" w:cs="仿宋"/>
                <w:bCs/>
                <w:color w:val="000000"/>
                <w:sz w:val="24"/>
                <w:szCs w:val="24"/>
                <w:lang w:eastAsia="zh-Hans"/>
              </w:rPr>
              <w:t>中外曲</w:t>
            </w:r>
            <w:r>
              <w:rPr>
                <w:rFonts w:hint="eastAsia" w:ascii="仿宋" w:hAnsi="仿宋" w:eastAsia="仿宋" w:cs="仿宋"/>
                <w:bCs/>
                <w:color w:val="000000"/>
                <w:sz w:val="24"/>
                <w:szCs w:val="24"/>
              </w:rPr>
              <w:t>各考一首乐曲，曲目由教师所指定。</w:t>
            </w:r>
          </w:p>
          <w:p w14:paraId="1F192117">
            <w:pPr>
              <w:keepNext w:val="0"/>
              <w:keepLines w:val="0"/>
              <w:pageBreakBefore w:val="0"/>
              <w:widowControl w:val="0"/>
              <w:kinsoku/>
              <w:wordWrap/>
              <w:overflowPunct/>
              <w:topLinePunct w:val="0"/>
              <w:autoSpaceDE/>
              <w:autoSpaceDN/>
              <w:bidi w:val="0"/>
              <w:adjustRightInd w:val="0"/>
              <w:snapToGrid w:val="0"/>
              <w:ind w:left="105" w:leftChars="50"/>
              <w:textAlignment w:val="auto"/>
              <w:rPr>
                <w:rFonts w:hint="eastAsia" w:ascii="仿宋" w:hAnsi="仿宋" w:eastAsia="仿宋" w:cs="仿宋"/>
                <w:bCs/>
                <w:color w:val="000000"/>
                <w:sz w:val="24"/>
                <w:szCs w:val="24"/>
              </w:rPr>
            </w:pPr>
            <w:r>
              <w:rPr>
                <w:rFonts w:hint="eastAsia" w:ascii="仿宋" w:hAnsi="仿宋" w:eastAsia="仿宋" w:cs="仿宋"/>
                <w:bCs/>
                <w:color w:val="000000"/>
                <w:sz w:val="24"/>
                <w:szCs w:val="24"/>
              </w:rPr>
              <w:t>2）范围：教师根据学生的程度在曲集中选择。</w:t>
            </w:r>
          </w:p>
          <w:p w14:paraId="05B44D8C">
            <w:pPr>
              <w:keepNext w:val="0"/>
              <w:keepLines w:val="0"/>
              <w:pageBreakBefore w:val="0"/>
              <w:widowControl w:val="0"/>
              <w:kinsoku/>
              <w:wordWrap/>
              <w:overflowPunct/>
              <w:topLinePunct w:val="0"/>
              <w:autoSpaceDE/>
              <w:autoSpaceDN/>
              <w:bidi w:val="0"/>
              <w:adjustRightInd w:val="0"/>
              <w:snapToGrid w:val="0"/>
              <w:ind w:left="105" w:leftChars="50"/>
              <w:textAlignment w:val="auto"/>
              <w:rPr>
                <w:rFonts w:hint="eastAsia" w:ascii="仿宋" w:hAnsi="仿宋" w:eastAsia="仿宋" w:cs="仿宋"/>
                <w:bCs/>
                <w:color w:val="000000"/>
                <w:sz w:val="24"/>
                <w:szCs w:val="24"/>
              </w:rPr>
            </w:pPr>
            <w:r>
              <w:rPr>
                <w:rFonts w:hint="eastAsia" w:ascii="仿宋" w:hAnsi="仿宋" w:eastAsia="仿宋" w:cs="仿宋"/>
                <w:bCs/>
                <w:color w:val="000000"/>
                <w:sz w:val="24"/>
                <w:szCs w:val="24"/>
              </w:rPr>
              <w:t>3）分数评定办法：考试一律采用百分制，现学习的第一学期最高8</w:t>
            </w:r>
            <w:r>
              <w:rPr>
                <w:rFonts w:ascii="仿宋" w:hAnsi="仿宋" w:eastAsia="仿宋" w:cs="仿宋"/>
                <w:bCs/>
                <w:color w:val="000000"/>
                <w:sz w:val="24"/>
                <w:szCs w:val="24"/>
              </w:rPr>
              <w:t>0</w:t>
            </w:r>
            <w:r>
              <w:rPr>
                <w:rFonts w:hint="eastAsia" w:ascii="仿宋" w:hAnsi="仿宋" w:eastAsia="仿宋" w:cs="仿宋"/>
                <w:bCs/>
                <w:color w:val="000000"/>
                <w:sz w:val="24"/>
                <w:szCs w:val="24"/>
              </w:rPr>
              <w:t>分，最低不封底；第二至第四学期最高</w:t>
            </w:r>
            <w:r>
              <w:rPr>
                <w:rFonts w:ascii="仿宋" w:hAnsi="仿宋" w:eastAsia="仿宋" w:cs="仿宋"/>
                <w:bCs/>
                <w:color w:val="000000"/>
                <w:sz w:val="24"/>
                <w:szCs w:val="24"/>
              </w:rPr>
              <w:t>85</w:t>
            </w:r>
            <w:r>
              <w:rPr>
                <w:rFonts w:hint="eastAsia" w:ascii="仿宋" w:hAnsi="仿宋" w:eastAsia="仿宋" w:cs="仿宋"/>
                <w:bCs/>
                <w:color w:val="000000"/>
                <w:sz w:val="24"/>
                <w:szCs w:val="24"/>
              </w:rPr>
              <w:t>分，最低不封底。</w:t>
            </w:r>
          </w:p>
          <w:p w14:paraId="3F469A9D">
            <w:pPr>
              <w:keepNext w:val="0"/>
              <w:keepLines w:val="0"/>
              <w:pageBreakBefore w:val="0"/>
              <w:widowControl w:val="0"/>
              <w:kinsoku/>
              <w:wordWrap/>
              <w:overflowPunct/>
              <w:topLinePunct w:val="0"/>
              <w:autoSpaceDE/>
              <w:autoSpaceDN/>
              <w:bidi w:val="0"/>
              <w:adjustRightInd w:val="0"/>
              <w:snapToGrid w:val="0"/>
              <w:ind w:left="105" w:leftChars="50"/>
              <w:textAlignment w:val="auto"/>
              <w:rPr>
                <w:rFonts w:hint="eastAsia" w:ascii="仿宋" w:hAnsi="仿宋" w:eastAsia="仿宋" w:cs="仿宋"/>
                <w:bCs/>
                <w:color w:val="000000"/>
                <w:sz w:val="24"/>
                <w:szCs w:val="24"/>
              </w:rPr>
            </w:pPr>
            <w:r>
              <w:rPr>
                <w:rFonts w:hint="eastAsia" w:ascii="仿宋" w:hAnsi="仿宋" w:eastAsia="仿宋" w:cs="仿宋"/>
                <w:bCs/>
                <w:color w:val="000000"/>
                <w:sz w:val="24"/>
                <w:szCs w:val="24"/>
              </w:rPr>
              <w:t>4）评分依据：从乐曲的完整性、难易程度、演奏技术、音乐表现力四个方面来把握。</w:t>
            </w:r>
          </w:p>
          <w:p w14:paraId="5DB9FD80">
            <w:pPr>
              <w:keepNext w:val="0"/>
              <w:keepLines w:val="0"/>
              <w:pageBreakBefore w:val="0"/>
              <w:widowControl w:val="0"/>
              <w:kinsoku/>
              <w:wordWrap/>
              <w:overflowPunct/>
              <w:topLinePunct w:val="0"/>
              <w:autoSpaceDE/>
              <w:autoSpaceDN/>
              <w:bidi w:val="0"/>
              <w:adjustRightInd w:val="0"/>
              <w:snapToGrid w:val="0"/>
              <w:ind w:left="105" w:leftChars="50"/>
              <w:textAlignment w:val="auto"/>
              <w:rPr>
                <w:rFonts w:hint="eastAsia" w:ascii="仿宋" w:hAnsi="仿宋" w:eastAsia="仿宋" w:cs="仿宋"/>
                <w:color w:val="000000"/>
                <w:kern w:val="0"/>
                <w:sz w:val="24"/>
                <w:szCs w:val="24"/>
              </w:rPr>
            </w:pPr>
            <w:r>
              <w:rPr>
                <w:rFonts w:hint="eastAsia" w:ascii="仿宋" w:hAnsi="仿宋" w:eastAsia="仿宋" w:cs="仿宋"/>
                <w:bCs/>
                <w:color w:val="000000"/>
                <w:sz w:val="24"/>
                <w:szCs w:val="24"/>
              </w:rPr>
              <w:t>5）计分：课程教师的最终评定分为考生的考试成绩。</w:t>
            </w:r>
          </w:p>
        </w:tc>
      </w:tr>
      <w:tr w14:paraId="14365B6C">
        <w:trPr>
          <w:trHeight w:val="454" w:hRule="atLeast"/>
        </w:trPr>
        <w:tc>
          <w:tcPr>
            <w:tcW w:w="1375" w:type="dxa"/>
            <w:noWrap w:val="0"/>
            <w:vAlign w:val="center"/>
          </w:tcPr>
          <w:p w14:paraId="3C9D533F">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备注</w:t>
            </w:r>
          </w:p>
        </w:tc>
        <w:tc>
          <w:tcPr>
            <w:tcW w:w="7865" w:type="dxa"/>
            <w:gridSpan w:val="16"/>
            <w:noWrap w:val="0"/>
            <w:vAlign w:val="center"/>
          </w:tcPr>
          <w:p w14:paraId="33284963">
            <w:pPr>
              <w:adjustRightInd w:val="0"/>
              <w:snapToGrid w:val="0"/>
              <w:rPr>
                <w:rFonts w:hint="eastAsia" w:ascii="仿宋" w:hAnsi="仿宋" w:eastAsia="仿宋" w:cs="仿宋"/>
                <w:color w:val="000000"/>
                <w:kern w:val="0"/>
                <w:sz w:val="24"/>
                <w:szCs w:val="24"/>
              </w:rPr>
            </w:pPr>
          </w:p>
        </w:tc>
      </w:tr>
      <w:tr w14:paraId="6C4CE6CB">
        <w:trPr>
          <w:trHeight w:val="771" w:hRule="atLeast"/>
        </w:trPr>
        <w:tc>
          <w:tcPr>
            <w:tcW w:w="1375" w:type="dxa"/>
            <w:noWrap w:val="0"/>
            <w:vAlign w:val="center"/>
          </w:tcPr>
          <w:p w14:paraId="6183ACB2">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审批</w:t>
            </w:r>
          </w:p>
          <w:p w14:paraId="26449A35">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意见</w:t>
            </w:r>
          </w:p>
        </w:tc>
        <w:tc>
          <w:tcPr>
            <w:tcW w:w="3868" w:type="dxa"/>
            <w:gridSpan w:val="4"/>
            <w:noWrap w:val="0"/>
            <w:vAlign w:val="center"/>
          </w:tcPr>
          <w:p w14:paraId="4856ED2B">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课程教学大纲修订负责人及教学团队成员</w:t>
            </w:r>
            <w:r>
              <w:rPr>
                <w:rFonts w:hint="eastAsia" w:ascii="仿宋" w:hAnsi="仿宋" w:eastAsia="仿宋" w:cs="仿宋"/>
                <w:color w:val="000000"/>
                <w:sz w:val="24"/>
                <w:szCs w:val="24"/>
              </w:rPr>
              <w:t>签名</w:t>
            </w:r>
            <w:r>
              <w:rPr>
                <w:rFonts w:hint="eastAsia" w:ascii="仿宋" w:hAnsi="仿宋" w:eastAsia="仿宋" w:cs="仿宋"/>
                <w:kern w:val="0"/>
                <w:sz w:val="24"/>
                <w:szCs w:val="24"/>
              </w:rPr>
              <w:t xml:space="preserve">：   </w:t>
            </w:r>
          </w:p>
          <w:p w14:paraId="1F5E7DEA">
            <w:pPr>
              <w:widowControl/>
              <w:adjustRightInd w:val="0"/>
              <w:snapToGrid w:val="0"/>
              <w:jc w:val="left"/>
              <w:rPr>
                <w:rFonts w:hint="eastAsia" w:ascii="仿宋" w:hAnsi="仿宋" w:eastAsia="仿宋" w:cs="仿宋"/>
                <w:kern w:val="0"/>
                <w:sz w:val="24"/>
                <w:szCs w:val="24"/>
              </w:rPr>
            </w:pPr>
          </w:p>
          <w:p w14:paraId="59B42780">
            <w:pPr>
              <w:widowControl/>
              <w:adjustRightInd w:val="0"/>
              <w:snapToGrid w:val="0"/>
              <w:jc w:val="left"/>
              <w:rPr>
                <w:rFonts w:hint="eastAsia" w:ascii="仿宋" w:hAnsi="仿宋" w:eastAsia="仿宋" w:cs="仿宋"/>
                <w:kern w:val="0"/>
                <w:sz w:val="24"/>
                <w:szCs w:val="24"/>
              </w:rPr>
            </w:pPr>
          </w:p>
          <w:p w14:paraId="121E85CD">
            <w:pPr>
              <w:widowControl/>
              <w:adjustRightInd w:val="0"/>
              <w:snapToGrid w:val="0"/>
              <w:jc w:val="left"/>
              <w:rPr>
                <w:rFonts w:hint="eastAsia" w:ascii="仿宋" w:hAnsi="仿宋" w:eastAsia="仿宋" w:cs="仿宋"/>
                <w:kern w:val="0"/>
                <w:sz w:val="24"/>
                <w:szCs w:val="24"/>
              </w:rPr>
            </w:pPr>
          </w:p>
          <w:p w14:paraId="25C35301">
            <w:pPr>
              <w:widowControl/>
              <w:adjustRightInd w:val="0"/>
              <w:snapToGrid w:val="0"/>
              <w:jc w:val="left"/>
              <w:rPr>
                <w:rFonts w:hint="eastAsia" w:ascii="仿宋" w:hAnsi="仿宋" w:eastAsia="仿宋" w:cs="仿宋"/>
                <w:kern w:val="0"/>
                <w:sz w:val="24"/>
                <w:szCs w:val="24"/>
              </w:rPr>
            </w:pPr>
          </w:p>
          <w:p w14:paraId="741398D0">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 xml:space="preserve">                                                   年   月   日 </w:t>
            </w:r>
          </w:p>
          <w:p w14:paraId="259310BE">
            <w:pPr>
              <w:widowControl/>
              <w:adjustRightInd w:val="0"/>
              <w:snapToGrid w:val="0"/>
              <w:jc w:val="right"/>
              <w:rPr>
                <w:rFonts w:hint="eastAsia" w:ascii="仿宋" w:hAnsi="仿宋" w:eastAsia="仿宋" w:cs="仿宋"/>
                <w:kern w:val="0"/>
                <w:sz w:val="24"/>
                <w:szCs w:val="24"/>
              </w:rPr>
            </w:pPr>
          </w:p>
        </w:tc>
        <w:tc>
          <w:tcPr>
            <w:tcW w:w="3997" w:type="dxa"/>
            <w:gridSpan w:val="12"/>
            <w:noWrap w:val="0"/>
            <w:vAlign w:val="center"/>
          </w:tcPr>
          <w:p w14:paraId="2DD52FCA">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系主任审核意见：</w:t>
            </w:r>
          </w:p>
          <w:p w14:paraId="62123E35">
            <w:pPr>
              <w:widowControl/>
              <w:adjustRightInd w:val="0"/>
              <w:snapToGrid w:val="0"/>
              <w:jc w:val="left"/>
              <w:rPr>
                <w:rFonts w:hint="eastAsia" w:ascii="仿宋" w:hAnsi="仿宋" w:eastAsia="仿宋" w:cs="仿宋"/>
                <w:kern w:val="0"/>
                <w:sz w:val="24"/>
                <w:szCs w:val="24"/>
              </w:rPr>
            </w:pPr>
          </w:p>
          <w:p w14:paraId="37F96F64">
            <w:pPr>
              <w:widowControl/>
              <w:adjustRightInd w:val="0"/>
              <w:snapToGrid w:val="0"/>
              <w:jc w:val="left"/>
              <w:rPr>
                <w:rFonts w:hint="eastAsia" w:ascii="仿宋" w:hAnsi="仿宋" w:eastAsia="仿宋" w:cs="仿宋"/>
                <w:kern w:val="0"/>
                <w:sz w:val="24"/>
                <w:szCs w:val="24"/>
              </w:rPr>
            </w:pPr>
          </w:p>
          <w:p w14:paraId="1BA5EF27">
            <w:pPr>
              <w:widowControl/>
              <w:adjustRightInd w:val="0"/>
              <w:snapToGrid w:val="0"/>
              <w:jc w:val="left"/>
              <w:rPr>
                <w:rFonts w:hint="eastAsia" w:ascii="仿宋" w:hAnsi="仿宋" w:eastAsia="仿宋" w:cs="仿宋"/>
                <w:kern w:val="0"/>
                <w:sz w:val="24"/>
                <w:szCs w:val="24"/>
              </w:rPr>
            </w:pPr>
          </w:p>
          <w:p w14:paraId="08D6A0E5">
            <w:pPr>
              <w:widowControl/>
              <w:adjustRightInd w:val="0"/>
              <w:snapToGrid w:val="0"/>
              <w:jc w:val="left"/>
              <w:rPr>
                <w:rFonts w:hint="eastAsia" w:ascii="仿宋" w:hAnsi="仿宋" w:eastAsia="仿宋" w:cs="仿宋"/>
                <w:kern w:val="0"/>
                <w:sz w:val="24"/>
                <w:szCs w:val="24"/>
              </w:rPr>
            </w:pPr>
          </w:p>
          <w:p w14:paraId="43ACF513">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系主任签名：</w:t>
            </w:r>
          </w:p>
          <w:p w14:paraId="2B1CF6A4">
            <w:pPr>
              <w:widowControl/>
              <w:adjustRightInd w:val="0"/>
              <w:snapToGrid w:val="0"/>
              <w:jc w:val="right"/>
              <w:rPr>
                <w:rFonts w:hint="eastAsia" w:ascii="仿宋" w:hAnsi="仿宋" w:eastAsia="仿宋" w:cs="仿宋"/>
                <w:kern w:val="0"/>
                <w:sz w:val="24"/>
                <w:szCs w:val="24"/>
              </w:rPr>
            </w:pPr>
          </w:p>
          <w:p w14:paraId="05AEA748">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年   月   日</w:t>
            </w:r>
          </w:p>
          <w:p w14:paraId="055DD6BE">
            <w:pPr>
              <w:widowControl/>
              <w:adjustRightInd w:val="0"/>
              <w:snapToGrid w:val="0"/>
              <w:jc w:val="right"/>
              <w:rPr>
                <w:rFonts w:hint="eastAsia" w:ascii="仿宋" w:hAnsi="仿宋" w:eastAsia="仿宋" w:cs="仿宋"/>
                <w:kern w:val="0"/>
                <w:sz w:val="24"/>
                <w:szCs w:val="24"/>
              </w:rPr>
            </w:pPr>
          </w:p>
        </w:tc>
      </w:tr>
    </w:tbl>
    <w:p w14:paraId="017FDC40">
      <w:pPr>
        <w:widowControl/>
        <w:spacing w:line="360" w:lineRule="auto"/>
        <w:ind w:right="480"/>
        <w:rPr>
          <w:rFonts w:cs="黑体"/>
        </w:rPr>
        <w:sectPr>
          <w:headerReference r:id="rId71" w:type="default"/>
          <w:footerReference r:id="rId72" w:type="default"/>
          <w:pgSz w:w="11906" w:h="16838"/>
          <w:pgMar w:top="1134" w:right="1417" w:bottom="1134" w:left="1417" w:header="851" w:footer="992" w:gutter="0"/>
          <w:cols w:space="720" w:num="1"/>
          <w:docGrid w:type="lines" w:linePitch="312" w:charSpace="0"/>
        </w:sectPr>
      </w:pPr>
    </w:p>
    <w:p w14:paraId="6783989C">
      <w:pPr>
        <w:adjustRightInd w:val="0"/>
        <w:snapToGrid w:val="0"/>
        <w:spacing w:line="360" w:lineRule="auto"/>
        <w:jc w:val="center"/>
        <w:outlineLvl w:val="0"/>
        <w:rPr>
          <w:rFonts w:hint="eastAsia" w:ascii="仿宋" w:hAnsi="仿宋" w:eastAsia="仿宋" w:cs="仿宋"/>
          <w:sz w:val="28"/>
          <w:szCs w:val="28"/>
        </w:rPr>
      </w:pPr>
      <w:bookmarkStart w:id="117" w:name="_Toc1421900268"/>
      <w:r>
        <w:rPr>
          <w:rFonts w:hint="eastAsia" w:ascii="仿宋" w:hAnsi="仿宋" w:eastAsia="仿宋" w:cs="仿宋"/>
          <w:color w:val="000000"/>
          <w:sz w:val="28"/>
          <w:szCs w:val="28"/>
        </w:rPr>
        <w:t>附表</w:t>
      </w:r>
      <w:r>
        <w:rPr>
          <w:rFonts w:hint="eastAsia" w:ascii="仿宋" w:hAnsi="仿宋" w:eastAsia="仿宋" w:cs="仿宋"/>
          <w:color w:val="000000"/>
          <w:sz w:val="28"/>
          <w:szCs w:val="28"/>
          <w:lang w:eastAsia="zh-CN"/>
        </w:rPr>
        <w:t>：</w:t>
      </w:r>
      <w:r>
        <w:rPr>
          <w:rFonts w:hint="eastAsia" w:ascii="仿宋" w:hAnsi="仿宋" w:eastAsia="仿宋" w:cs="仿宋"/>
          <w:sz w:val="28"/>
          <w:szCs w:val="28"/>
        </w:rPr>
        <w:t>《管乐》课程目标评分量表</w:t>
      </w:r>
      <w:bookmarkEnd w:id="117"/>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28" w:type="dxa"/>
        </w:tblCellMar>
      </w:tblPr>
      <w:tblGrid>
        <w:gridCol w:w="314"/>
        <w:gridCol w:w="1388"/>
        <w:gridCol w:w="1346"/>
        <w:gridCol w:w="1346"/>
        <w:gridCol w:w="1346"/>
        <w:gridCol w:w="1346"/>
        <w:gridCol w:w="1253"/>
      </w:tblGrid>
      <w:tr w14:paraId="3B12F035">
        <w:trPr>
          <w:trHeight w:val="348" w:hRule="atLeast"/>
          <w:jc w:val="center"/>
        </w:trPr>
        <w:tc>
          <w:tcPr>
            <w:tcW w:w="0" w:type="auto"/>
            <w:vMerge w:val="restart"/>
            <w:noWrap w:val="0"/>
            <w:vAlign w:val="center"/>
          </w:tcPr>
          <w:p w14:paraId="21BB80EA">
            <w:pPr>
              <w:adjustRightInd w:val="0"/>
              <w:snapToGrid w:val="0"/>
              <w:spacing w:line="240" w:lineRule="atLeast"/>
              <w:jc w:val="center"/>
              <w:rPr>
                <w:rFonts w:hint="eastAsia" w:ascii="楷体" w:hAnsi="楷体" w:eastAsia="楷体" w:cs="楷体"/>
                <w:sz w:val="24"/>
                <w:szCs w:val="24"/>
              </w:rPr>
            </w:pPr>
            <w:r>
              <w:rPr>
                <w:rFonts w:hint="eastAsia" w:ascii="楷体" w:hAnsi="楷体" w:eastAsia="楷体" w:cs="楷体"/>
                <w:sz w:val="24"/>
                <w:szCs w:val="24"/>
              </w:rPr>
              <w:t>M</w:t>
            </w:r>
          </w:p>
          <w:p w14:paraId="13B38FAE">
            <w:pPr>
              <w:adjustRightInd w:val="0"/>
              <w:snapToGrid w:val="0"/>
              <w:spacing w:line="240" w:lineRule="atLeast"/>
              <w:jc w:val="center"/>
              <w:rPr>
                <w:rFonts w:hint="eastAsia" w:ascii="楷体" w:hAnsi="楷体" w:eastAsia="楷体" w:cs="楷体"/>
                <w:sz w:val="24"/>
                <w:szCs w:val="24"/>
              </w:rPr>
            </w:pPr>
            <w:r>
              <w:rPr>
                <w:rFonts w:hint="eastAsia" w:ascii="楷体" w:hAnsi="楷体" w:eastAsia="楷体" w:cs="楷体"/>
                <w:sz w:val="24"/>
                <w:szCs w:val="24"/>
              </w:rPr>
              <w:t>评分量表</w:t>
            </w:r>
          </w:p>
        </w:tc>
        <w:tc>
          <w:tcPr>
            <w:tcW w:w="0" w:type="auto"/>
            <w:noWrap w:val="0"/>
            <w:vAlign w:val="center"/>
          </w:tcPr>
          <w:p w14:paraId="02E3C914">
            <w:pPr>
              <w:tabs>
                <w:tab w:val="left" w:pos="720"/>
              </w:tabs>
              <w:adjustRightInd w:val="0"/>
              <w:snapToGrid w:val="0"/>
              <w:spacing w:line="240" w:lineRule="atLeast"/>
              <w:jc w:val="center"/>
              <w:rPr>
                <w:rFonts w:hint="eastAsia" w:ascii="楷体" w:hAnsi="楷体" w:eastAsia="楷体" w:cs="楷体"/>
                <w:kern w:val="0"/>
                <w:sz w:val="24"/>
                <w:szCs w:val="24"/>
              </w:rPr>
            </w:pPr>
            <w:r>
              <w:rPr>
                <w:rFonts w:hint="eastAsia" w:ascii="楷体" w:hAnsi="楷体" w:eastAsia="楷体" w:cs="楷体"/>
                <w:kern w:val="0"/>
                <w:sz w:val="24"/>
                <w:szCs w:val="24"/>
              </w:rPr>
              <w:t>课程目标</w:t>
            </w:r>
          </w:p>
        </w:tc>
        <w:tc>
          <w:tcPr>
            <w:tcW w:w="0" w:type="auto"/>
            <w:noWrap w:val="0"/>
            <w:vAlign w:val="center"/>
          </w:tcPr>
          <w:p w14:paraId="26560912">
            <w:pPr>
              <w:tabs>
                <w:tab w:val="left" w:pos="720"/>
              </w:tabs>
              <w:adjustRightInd w:val="0"/>
              <w:snapToGrid w:val="0"/>
              <w:spacing w:line="240" w:lineRule="atLeast"/>
              <w:jc w:val="center"/>
              <w:rPr>
                <w:rFonts w:hint="eastAsia" w:ascii="楷体" w:hAnsi="楷体" w:eastAsia="楷体" w:cs="楷体"/>
                <w:kern w:val="0"/>
                <w:sz w:val="24"/>
                <w:szCs w:val="24"/>
              </w:rPr>
            </w:pPr>
            <w:r>
              <w:rPr>
                <w:rFonts w:hint="eastAsia" w:ascii="楷体" w:hAnsi="楷体" w:eastAsia="楷体" w:cs="楷体"/>
                <w:kern w:val="0"/>
                <w:sz w:val="24"/>
                <w:szCs w:val="24"/>
              </w:rPr>
              <w:t>优（X≧90）</w:t>
            </w:r>
          </w:p>
        </w:tc>
        <w:tc>
          <w:tcPr>
            <w:tcW w:w="0" w:type="auto"/>
            <w:noWrap w:val="0"/>
            <w:vAlign w:val="center"/>
          </w:tcPr>
          <w:p w14:paraId="7D4EE6C5">
            <w:pPr>
              <w:tabs>
                <w:tab w:val="left" w:pos="720"/>
              </w:tabs>
              <w:adjustRightInd w:val="0"/>
              <w:snapToGrid w:val="0"/>
              <w:spacing w:line="240" w:lineRule="atLeast"/>
              <w:jc w:val="center"/>
              <w:rPr>
                <w:rFonts w:hint="eastAsia" w:ascii="楷体" w:hAnsi="楷体" w:eastAsia="楷体" w:cs="楷体"/>
                <w:kern w:val="0"/>
                <w:sz w:val="24"/>
                <w:szCs w:val="24"/>
              </w:rPr>
            </w:pPr>
            <w:r>
              <w:rPr>
                <w:rFonts w:hint="eastAsia" w:ascii="楷体" w:hAnsi="楷体" w:eastAsia="楷体" w:cs="楷体"/>
                <w:kern w:val="0"/>
                <w:sz w:val="24"/>
                <w:szCs w:val="24"/>
              </w:rPr>
              <w:t>良（80≦X＜90）</w:t>
            </w:r>
          </w:p>
        </w:tc>
        <w:tc>
          <w:tcPr>
            <w:tcW w:w="0" w:type="auto"/>
            <w:noWrap w:val="0"/>
            <w:vAlign w:val="center"/>
          </w:tcPr>
          <w:p w14:paraId="503B1BB9">
            <w:pPr>
              <w:tabs>
                <w:tab w:val="left" w:pos="720"/>
              </w:tabs>
              <w:adjustRightInd w:val="0"/>
              <w:snapToGrid w:val="0"/>
              <w:spacing w:line="240" w:lineRule="atLeast"/>
              <w:jc w:val="center"/>
              <w:rPr>
                <w:rFonts w:hint="eastAsia" w:ascii="楷体" w:hAnsi="楷体" w:eastAsia="楷体" w:cs="楷体"/>
                <w:kern w:val="0"/>
                <w:sz w:val="24"/>
                <w:szCs w:val="24"/>
              </w:rPr>
            </w:pPr>
            <w:r>
              <w:rPr>
                <w:rFonts w:hint="eastAsia" w:ascii="楷体" w:hAnsi="楷体" w:eastAsia="楷体" w:cs="楷体"/>
                <w:kern w:val="0"/>
                <w:sz w:val="24"/>
                <w:szCs w:val="24"/>
              </w:rPr>
              <w:t>中（70≦X＜80）</w:t>
            </w:r>
          </w:p>
        </w:tc>
        <w:tc>
          <w:tcPr>
            <w:tcW w:w="0" w:type="auto"/>
            <w:noWrap w:val="0"/>
            <w:vAlign w:val="center"/>
          </w:tcPr>
          <w:p w14:paraId="092E0628">
            <w:pPr>
              <w:tabs>
                <w:tab w:val="left" w:pos="720"/>
              </w:tabs>
              <w:adjustRightInd w:val="0"/>
              <w:snapToGrid w:val="0"/>
              <w:spacing w:line="240" w:lineRule="atLeast"/>
              <w:jc w:val="center"/>
              <w:rPr>
                <w:rFonts w:hint="eastAsia" w:ascii="楷体" w:hAnsi="楷体" w:eastAsia="楷体" w:cs="楷体"/>
                <w:kern w:val="0"/>
                <w:sz w:val="24"/>
                <w:szCs w:val="24"/>
              </w:rPr>
            </w:pPr>
            <w:r>
              <w:rPr>
                <w:rFonts w:hint="eastAsia" w:ascii="楷体" w:hAnsi="楷体" w:eastAsia="楷体" w:cs="楷体"/>
                <w:kern w:val="0"/>
                <w:sz w:val="24"/>
                <w:szCs w:val="24"/>
              </w:rPr>
              <w:t>及格（60≦X＜70）</w:t>
            </w:r>
          </w:p>
        </w:tc>
        <w:tc>
          <w:tcPr>
            <w:tcW w:w="0" w:type="auto"/>
            <w:noWrap w:val="0"/>
            <w:vAlign w:val="center"/>
          </w:tcPr>
          <w:p w14:paraId="1F0395E2">
            <w:pPr>
              <w:tabs>
                <w:tab w:val="left" w:pos="720"/>
              </w:tabs>
              <w:adjustRightInd w:val="0"/>
              <w:snapToGrid w:val="0"/>
              <w:spacing w:line="240" w:lineRule="atLeast"/>
              <w:jc w:val="center"/>
              <w:rPr>
                <w:rFonts w:hint="eastAsia" w:ascii="楷体" w:hAnsi="楷体" w:eastAsia="楷体" w:cs="楷体"/>
                <w:kern w:val="0"/>
                <w:sz w:val="24"/>
                <w:szCs w:val="24"/>
              </w:rPr>
            </w:pPr>
            <w:r>
              <w:rPr>
                <w:rFonts w:hint="eastAsia" w:ascii="楷体" w:hAnsi="楷体" w:eastAsia="楷体" w:cs="楷体"/>
                <w:kern w:val="0"/>
                <w:sz w:val="24"/>
                <w:szCs w:val="24"/>
              </w:rPr>
              <w:t>不及格（＜60）</w:t>
            </w:r>
          </w:p>
        </w:tc>
      </w:tr>
      <w:tr w14:paraId="77C276CC">
        <w:trPr>
          <w:trHeight w:val="2377" w:hRule="atLeast"/>
          <w:jc w:val="center"/>
        </w:trPr>
        <w:tc>
          <w:tcPr>
            <w:tcW w:w="0" w:type="auto"/>
            <w:vMerge w:val="continue"/>
            <w:noWrap w:val="0"/>
            <w:vAlign w:val="center"/>
          </w:tcPr>
          <w:p w14:paraId="2CEA673E">
            <w:pPr>
              <w:adjustRightInd w:val="0"/>
              <w:snapToGrid w:val="0"/>
              <w:spacing w:line="240" w:lineRule="atLeast"/>
              <w:jc w:val="center"/>
              <w:rPr>
                <w:rFonts w:hint="eastAsia" w:ascii="楷体" w:hAnsi="楷体" w:eastAsia="楷体" w:cs="楷体"/>
                <w:sz w:val="24"/>
                <w:szCs w:val="24"/>
              </w:rPr>
            </w:pPr>
          </w:p>
        </w:tc>
        <w:tc>
          <w:tcPr>
            <w:tcW w:w="0" w:type="auto"/>
            <w:noWrap w:val="0"/>
            <w:vAlign w:val="top"/>
          </w:tcPr>
          <w:p w14:paraId="51875A65">
            <w:pPr>
              <w:widowControl/>
              <w:adjustRightInd w:val="0"/>
              <w:snapToGrid w:val="0"/>
              <w:jc w:val="left"/>
              <w:rPr>
                <w:rFonts w:hint="eastAsia" w:ascii="楷体" w:hAnsi="楷体" w:eastAsia="楷体" w:cs="楷体"/>
                <w:color w:val="000000"/>
                <w:szCs w:val="21"/>
              </w:rPr>
            </w:pPr>
            <w:r>
              <w:rPr>
                <w:rFonts w:hint="eastAsia" w:ascii="楷体" w:hAnsi="楷体" w:eastAsia="楷体" w:cs="楷体"/>
                <w:color w:val="000000"/>
                <w:szCs w:val="21"/>
              </w:rPr>
              <w:t xml:space="preserve">  课程目标1：领会管乐基本技术，提高专业知识与水平。乐器的演奏与学习，使学生能够较为完整的表现作品的风格和情感，加强管乐队的团体配合协作。</w:t>
            </w:r>
          </w:p>
        </w:tc>
        <w:tc>
          <w:tcPr>
            <w:tcW w:w="0" w:type="auto"/>
            <w:noWrap w:val="0"/>
            <w:vAlign w:val="top"/>
          </w:tcPr>
          <w:p w14:paraId="57205291">
            <w:pPr>
              <w:widowControl/>
              <w:adjustRightInd w:val="0"/>
              <w:snapToGrid w:val="0"/>
              <w:spacing w:line="280" w:lineRule="exact"/>
              <w:jc w:val="left"/>
              <w:rPr>
                <w:rFonts w:hint="eastAsia" w:ascii="楷体" w:hAnsi="楷体" w:eastAsia="楷体" w:cs="楷体"/>
                <w:color w:val="000000"/>
                <w:kern w:val="0"/>
                <w:szCs w:val="21"/>
              </w:rPr>
            </w:pPr>
            <w:r>
              <w:rPr>
                <w:rFonts w:hint="eastAsia" w:ascii="楷体" w:hAnsi="楷体" w:eastAsia="楷体" w:cs="楷体"/>
                <w:color w:val="000000"/>
                <w:kern w:val="0"/>
                <w:szCs w:val="21"/>
              </w:rPr>
              <w:t xml:space="preserve">  能够较为扎实掌握管乐基础知识、基本技术，熟练掌握正确，规范，乐器演奏与学习，较为完整的表达作品的风格和情感</w:t>
            </w:r>
          </w:p>
          <w:p w14:paraId="4E98B89D">
            <w:pPr>
              <w:widowControl/>
              <w:adjustRightInd w:val="0"/>
              <w:snapToGrid w:val="0"/>
              <w:ind w:firstLine="420" w:firstLineChars="200"/>
              <w:jc w:val="left"/>
              <w:rPr>
                <w:rFonts w:hint="eastAsia" w:ascii="楷体" w:hAnsi="楷体" w:eastAsia="楷体" w:cs="楷体"/>
                <w:bCs/>
                <w:color w:val="000000"/>
                <w:szCs w:val="21"/>
              </w:rPr>
            </w:pPr>
          </w:p>
        </w:tc>
        <w:tc>
          <w:tcPr>
            <w:tcW w:w="0" w:type="auto"/>
            <w:noWrap w:val="0"/>
            <w:vAlign w:val="top"/>
          </w:tcPr>
          <w:p w14:paraId="7BE92683">
            <w:pPr>
              <w:widowControl/>
              <w:adjustRightInd w:val="0"/>
              <w:snapToGrid w:val="0"/>
              <w:jc w:val="left"/>
              <w:rPr>
                <w:rFonts w:hint="eastAsia" w:ascii="楷体" w:hAnsi="楷体" w:eastAsia="楷体" w:cs="楷体"/>
                <w:bCs/>
                <w:color w:val="000000"/>
                <w:szCs w:val="21"/>
              </w:rPr>
            </w:pPr>
            <w:r>
              <w:rPr>
                <w:rFonts w:hint="eastAsia" w:ascii="楷体" w:hAnsi="楷体" w:eastAsia="楷体" w:cs="楷体"/>
                <w:bCs/>
                <w:color w:val="000000"/>
                <w:szCs w:val="21"/>
              </w:rPr>
              <w:t xml:space="preserve">  能够较好掌握管乐基础理论知识、基本技术，熟练掌握正确，规范，乐器演奏与学习，较为完整的表达作品的风格和情感</w:t>
            </w:r>
          </w:p>
        </w:tc>
        <w:tc>
          <w:tcPr>
            <w:tcW w:w="0" w:type="auto"/>
            <w:noWrap w:val="0"/>
            <w:vAlign w:val="top"/>
          </w:tcPr>
          <w:p w14:paraId="0A17D999">
            <w:pPr>
              <w:widowControl/>
              <w:adjustRightInd w:val="0"/>
              <w:snapToGrid w:val="0"/>
              <w:spacing w:line="280" w:lineRule="exact"/>
              <w:jc w:val="left"/>
              <w:rPr>
                <w:rFonts w:hint="eastAsia" w:ascii="楷体" w:hAnsi="楷体" w:eastAsia="楷体" w:cs="楷体"/>
                <w:color w:val="000000"/>
                <w:kern w:val="0"/>
                <w:szCs w:val="21"/>
              </w:rPr>
            </w:pPr>
            <w:r>
              <w:rPr>
                <w:rFonts w:hint="eastAsia" w:ascii="楷体" w:hAnsi="楷体" w:eastAsia="楷体" w:cs="楷体"/>
                <w:color w:val="000000"/>
                <w:kern w:val="0"/>
                <w:szCs w:val="21"/>
              </w:rPr>
              <w:t xml:space="preserve">  能够较好掌握管乐基础理论知识、基本技术，熟练掌握正确，规范，乐器演奏与学习，较为完整的表达作品的风格和情感</w:t>
            </w:r>
          </w:p>
          <w:p w14:paraId="0E6E362E">
            <w:pPr>
              <w:widowControl/>
              <w:adjustRightInd w:val="0"/>
              <w:snapToGrid w:val="0"/>
              <w:ind w:firstLine="420" w:firstLineChars="200"/>
              <w:jc w:val="left"/>
              <w:rPr>
                <w:rFonts w:hint="eastAsia" w:ascii="楷体" w:hAnsi="楷体" w:eastAsia="楷体" w:cs="楷体"/>
                <w:color w:val="000000"/>
                <w:szCs w:val="21"/>
              </w:rPr>
            </w:pPr>
          </w:p>
        </w:tc>
        <w:tc>
          <w:tcPr>
            <w:tcW w:w="0" w:type="auto"/>
            <w:noWrap w:val="0"/>
            <w:vAlign w:val="top"/>
          </w:tcPr>
          <w:p w14:paraId="71B5D8BA">
            <w:pPr>
              <w:widowControl/>
              <w:adjustRightInd w:val="0"/>
              <w:snapToGrid w:val="0"/>
              <w:jc w:val="left"/>
              <w:rPr>
                <w:rFonts w:hint="eastAsia" w:ascii="楷体" w:hAnsi="楷体" w:eastAsia="楷体" w:cs="楷体"/>
                <w:color w:val="000000"/>
                <w:szCs w:val="21"/>
              </w:rPr>
            </w:pPr>
            <w:r>
              <w:rPr>
                <w:rFonts w:hint="eastAsia" w:ascii="楷体" w:hAnsi="楷体" w:eastAsia="楷体" w:cs="楷体"/>
                <w:color w:val="000000"/>
                <w:szCs w:val="21"/>
              </w:rPr>
              <w:t xml:space="preserve">  能够基本掌握管乐基础理论知识、基本技术，熟练掌握正确，规范，乐器演奏与学习，较为完整的表达作品的风格和情感</w:t>
            </w:r>
          </w:p>
        </w:tc>
        <w:tc>
          <w:tcPr>
            <w:tcW w:w="0" w:type="auto"/>
            <w:noWrap w:val="0"/>
            <w:vAlign w:val="top"/>
          </w:tcPr>
          <w:p w14:paraId="12DCA253">
            <w:pPr>
              <w:widowControl/>
              <w:adjustRightInd w:val="0"/>
              <w:snapToGrid w:val="0"/>
              <w:spacing w:line="280" w:lineRule="exact"/>
              <w:jc w:val="left"/>
              <w:rPr>
                <w:rFonts w:hint="eastAsia" w:ascii="楷体" w:hAnsi="楷体" w:eastAsia="楷体" w:cs="楷体"/>
                <w:color w:val="000000"/>
                <w:kern w:val="0"/>
                <w:szCs w:val="21"/>
              </w:rPr>
            </w:pPr>
            <w:r>
              <w:rPr>
                <w:rFonts w:hint="eastAsia" w:ascii="楷体" w:hAnsi="楷体" w:eastAsia="楷体" w:cs="楷体"/>
                <w:color w:val="000000"/>
                <w:kern w:val="0"/>
                <w:szCs w:val="21"/>
              </w:rPr>
              <w:t xml:space="preserve">  未能够掌握管乐基础理论知识、基本技术，不熟练掌握正确，规范，乐器演奏与学习，未能完整的表达作品的风格和情感</w:t>
            </w:r>
          </w:p>
          <w:p w14:paraId="2ED2D3C8">
            <w:pPr>
              <w:widowControl/>
              <w:adjustRightInd w:val="0"/>
              <w:snapToGrid w:val="0"/>
              <w:ind w:firstLine="420" w:firstLineChars="200"/>
              <w:jc w:val="left"/>
              <w:rPr>
                <w:rFonts w:hint="eastAsia" w:ascii="楷体" w:hAnsi="楷体" w:eastAsia="楷体" w:cs="楷体"/>
                <w:b/>
                <w:color w:val="000000"/>
                <w:kern w:val="0"/>
                <w:szCs w:val="21"/>
              </w:rPr>
            </w:pPr>
          </w:p>
        </w:tc>
      </w:tr>
      <w:tr w14:paraId="080BDCE7">
        <w:trPr>
          <w:trHeight w:val="2189" w:hRule="atLeast"/>
          <w:jc w:val="center"/>
        </w:trPr>
        <w:tc>
          <w:tcPr>
            <w:tcW w:w="0" w:type="auto"/>
            <w:vMerge w:val="continue"/>
            <w:noWrap w:val="0"/>
            <w:vAlign w:val="center"/>
          </w:tcPr>
          <w:p w14:paraId="4EE0F0CA">
            <w:pPr>
              <w:adjustRightInd w:val="0"/>
              <w:snapToGrid w:val="0"/>
              <w:spacing w:line="240" w:lineRule="atLeast"/>
              <w:jc w:val="center"/>
              <w:rPr>
                <w:rFonts w:hint="eastAsia" w:ascii="楷体" w:hAnsi="楷体" w:eastAsia="楷体" w:cs="楷体"/>
                <w:lang w:eastAsia="zh-TW"/>
              </w:rPr>
            </w:pPr>
          </w:p>
        </w:tc>
        <w:tc>
          <w:tcPr>
            <w:tcW w:w="0" w:type="auto"/>
            <w:noWrap w:val="0"/>
            <w:vAlign w:val="top"/>
          </w:tcPr>
          <w:p w14:paraId="178B1BED">
            <w:pPr>
              <w:adjustRightInd w:val="0"/>
              <w:snapToGrid w:val="0"/>
              <w:spacing w:line="280" w:lineRule="exact"/>
              <w:jc w:val="left"/>
              <w:rPr>
                <w:rFonts w:hint="eastAsia" w:ascii="楷体" w:hAnsi="楷体" w:eastAsia="楷体" w:cs="楷体"/>
                <w:color w:val="000000"/>
                <w:szCs w:val="21"/>
                <w:lang w:eastAsia="zh-TW"/>
              </w:rPr>
            </w:pPr>
            <w:r>
              <w:rPr>
                <w:rFonts w:hint="eastAsia" w:ascii="楷体" w:hAnsi="楷体" w:eastAsia="楷体" w:cs="楷体"/>
                <w:color w:val="000000"/>
                <w:szCs w:val="21"/>
                <w:lang w:eastAsia="zh-TW"/>
              </w:rPr>
              <w:t xml:space="preserve">  课程目标2：能够扎实掌握管乐课堂教学方法与教学规律，具备协助集体、编排管乐活动较强能力。能够与老师同学交流管乐教学方法，提高教学能力。</w:t>
            </w:r>
          </w:p>
        </w:tc>
        <w:tc>
          <w:tcPr>
            <w:tcW w:w="0" w:type="auto"/>
            <w:noWrap w:val="0"/>
            <w:vAlign w:val="top"/>
          </w:tcPr>
          <w:p w14:paraId="23B85FDF">
            <w:pPr>
              <w:widowControl/>
              <w:adjustRightInd w:val="0"/>
              <w:snapToGrid w:val="0"/>
              <w:spacing w:line="280" w:lineRule="exact"/>
              <w:ind w:firstLine="420"/>
              <w:jc w:val="left"/>
              <w:rPr>
                <w:rFonts w:hint="eastAsia" w:ascii="楷体" w:hAnsi="楷体" w:eastAsia="楷体" w:cs="楷体"/>
                <w:color w:val="000000"/>
                <w:szCs w:val="21"/>
                <w:lang w:eastAsia="zh-TW"/>
              </w:rPr>
            </w:pPr>
            <w:r>
              <w:rPr>
                <w:rFonts w:hint="eastAsia" w:ascii="楷体" w:hAnsi="楷体" w:eastAsia="楷体" w:cs="楷体"/>
                <w:color w:val="000000"/>
                <w:szCs w:val="21"/>
                <w:lang w:eastAsia="zh-TW"/>
              </w:rPr>
              <w:t>能够扎实掌握管乐课堂教学方法与教学规律，具备协助集体、编排管乐活动较强能力</w:t>
            </w:r>
          </w:p>
        </w:tc>
        <w:tc>
          <w:tcPr>
            <w:tcW w:w="0" w:type="auto"/>
            <w:noWrap w:val="0"/>
            <w:vAlign w:val="top"/>
          </w:tcPr>
          <w:p w14:paraId="0FF5B3D2">
            <w:pPr>
              <w:widowControl/>
              <w:adjustRightInd w:val="0"/>
              <w:snapToGrid w:val="0"/>
              <w:ind w:firstLine="420" w:firstLineChars="200"/>
              <w:rPr>
                <w:rFonts w:hint="eastAsia" w:ascii="楷体" w:hAnsi="楷体" w:eastAsia="楷体" w:cs="楷体"/>
                <w:color w:val="000000"/>
                <w:szCs w:val="21"/>
                <w:lang w:eastAsia="zh-TW"/>
              </w:rPr>
            </w:pPr>
            <w:r>
              <w:rPr>
                <w:rFonts w:hint="eastAsia" w:ascii="楷体" w:hAnsi="楷体" w:eastAsia="楷体" w:cs="楷体"/>
                <w:color w:val="000000"/>
                <w:szCs w:val="21"/>
                <w:lang w:eastAsia="zh-TW"/>
              </w:rPr>
              <w:t>能够较好掌握管乐课堂教学方法与教学规律，具备协助集体、编排管乐活动较强能力</w:t>
            </w:r>
          </w:p>
        </w:tc>
        <w:tc>
          <w:tcPr>
            <w:tcW w:w="0" w:type="auto"/>
            <w:noWrap w:val="0"/>
            <w:vAlign w:val="top"/>
          </w:tcPr>
          <w:p w14:paraId="6F799271">
            <w:pPr>
              <w:widowControl/>
              <w:adjustRightInd w:val="0"/>
              <w:snapToGrid w:val="0"/>
              <w:spacing w:line="280" w:lineRule="exact"/>
              <w:ind w:firstLine="420"/>
              <w:jc w:val="left"/>
              <w:rPr>
                <w:rFonts w:hint="eastAsia" w:ascii="楷体" w:hAnsi="楷体" w:eastAsia="楷体" w:cs="楷体"/>
                <w:color w:val="000000"/>
                <w:szCs w:val="21"/>
                <w:lang w:eastAsia="zh-TW"/>
              </w:rPr>
            </w:pPr>
            <w:r>
              <w:rPr>
                <w:rFonts w:hint="eastAsia" w:ascii="楷体" w:hAnsi="楷体" w:eastAsia="楷体" w:cs="楷体"/>
                <w:color w:val="000000"/>
                <w:szCs w:val="21"/>
                <w:lang w:eastAsia="zh-TW"/>
              </w:rPr>
              <w:t>能够较好掌握管乐课堂教学方法与教学规律，具备协助集体、编排管乐活动较强能力</w:t>
            </w:r>
          </w:p>
        </w:tc>
        <w:tc>
          <w:tcPr>
            <w:tcW w:w="0" w:type="auto"/>
            <w:noWrap w:val="0"/>
            <w:vAlign w:val="top"/>
          </w:tcPr>
          <w:p w14:paraId="228FFF85">
            <w:pPr>
              <w:widowControl/>
              <w:adjustRightInd w:val="0"/>
              <w:snapToGrid w:val="0"/>
              <w:spacing w:line="280" w:lineRule="exact"/>
              <w:ind w:firstLine="420"/>
              <w:jc w:val="left"/>
              <w:rPr>
                <w:rFonts w:hint="eastAsia" w:ascii="楷体" w:hAnsi="楷体" w:eastAsia="楷体" w:cs="楷体"/>
                <w:color w:val="000000"/>
                <w:szCs w:val="21"/>
                <w:lang w:eastAsia="zh-TW"/>
              </w:rPr>
            </w:pPr>
            <w:r>
              <w:rPr>
                <w:rFonts w:hint="eastAsia" w:ascii="楷体" w:hAnsi="楷体" w:eastAsia="楷体" w:cs="楷体"/>
                <w:color w:val="000000"/>
                <w:szCs w:val="21"/>
                <w:lang w:eastAsia="zh-TW"/>
              </w:rPr>
              <w:t>能够基本掌握管乐课堂教学方法与教学规律，具备协助集体、编排管乐活动较强能力</w:t>
            </w:r>
          </w:p>
        </w:tc>
        <w:tc>
          <w:tcPr>
            <w:tcW w:w="0" w:type="auto"/>
            <w:noWrap w:val="0"/>
            <w:vAlign w:val="top"/>
          </w:tcPr>
          <w:p w14:paraId="0EDF7313">
            <w:pPr>
              <w:widowControl/>
              <w:adjustRightInd w:val="0"/>
              <w:snapToGrid w:val="0"/>
              <w:spacing w:line="280" w:lineRule="exact"/>
              <w:ind w:firstLine="315" w:firstLineChars="150"/>
              <w:jc w:val="left"/>
              <w:rPr>
                <w:rFonts w:hint="eastAsia" w:ascii="楷体" w:hAnsi="楷体" w:eastAsia="楷体" w:cs="楷体"/>
                <w:color w:val="000000"/>
                <w:szCs w:val="21"/>
                <w:lang w:eastAsia="zh-TW"/>
              </w:rPr>
            </w:pPr>
            <w:r>
              <w:rPr>
                <w:rFonts w:hint="eastAsia" w:ascii="楷体" w:hAnsi="楷体" w:eastAsia="楷体" w:cs="楷体"/>
                <w:color w:val="000000"/>
                <w:szCs w:val="21"/>
                <w:lang w:eastAsia="zh-TW"/>
              </w:rPr>
              <w:t>未能掌握管乐课堂教学方法与教学规律，具备协助集体、编排管乐活动较强能力欠缺</w:t>
            </w:r>
          </w:p>
        </w:tc>
      </w:tr>
      <w:tr w14:paraId="37A88EEE">
        <w:trPr>
          <w:trHeight w:val="2743" w:hRule="atLeast"/>
          <w:jc w:val="center"/>
        </w:trPr>
        <w:tc>
          <w:tcPr>
            <w:tcW w:w="0" w:type="auto"/>
            <w:vMerge w:val="continue"/>
            <w:noWrap w:val="0"/>
            <w:vAlign w:val="center"/>
          </w:tcPr>
          <w:p w14:paraId="407C5A23">
            <w:pPr>
              <w:adjustRightInd w:val="0"/>
              <w:snapToGrid w:val="0"/>
              <w:spacing w:line="240" w:lineRule="atLeast"/>
              <w:jc w:val="center"/>
              <w:rPr>
                <w:rFonts w:hint="eastAsia" w:ascii="楷体" w:hAnsi="楷体" w:eastAsia="楷体" w:cs="楷体"/>
                <w:lang w:eastAsia="zh-TW"/>
              </w:rPr>
            </w:pPr>
          </w:p>
        </w:tc>
        <w:tc>
          <w:tcPr>
            <w:tcW w:w="0" w:type="auto"/>
            <w:noWrap w:val="0"/>
            <w:vAlign w:val="top"/>
          </w:tcPr>
          <w:p w14:paraId="24B1F32B">
            <w:pPr>
              <w:adjustRightInd w:val="0"/>
              <w:snapToGrid w:val="0"/>
              <w:spacing w:line="280" w:lineRule="exact"/>
              <w:jc w:val="left"/>
              <w:rPr>
                <w:rFonts w:hint="eastAsia" w:ascii="楷体" w:hAnsi="楷体" w:eastAsia="楷体" w:cs="楷体"/>
                <w:color w:val="000000"/>
                <w:szCs w:val="21"/>
                <w:lang w:eastAsia="zh-TW"/>
              </w:rPr>
            </w:pPr>
            <w:r>
              <w:rPr>
                <w:rFonts w:hint="eastAsia" w:ascii="楷体" w:hAnsi="楷体" w:eastAsia="楷体" w:cs="楷体"/>
                <w:color w:val="000000"/>
                <w:szCs w:val="21"/>
                <w:lang w:eastAsia="zh-TW"/>
              </w:rPr>
              <w:t xml:space="preserve">  课程目标3：能够知晓管乐发展的趋势、动态以及与生产实践和社会生活的联系。对管乐基础理论与实践产生研究兴趣。热爱中学音乐教育事业，具有积极的情感、端正的态度。</w:t>
            </w:r>
          </w:p>
        </w:tc>
        <w:tc>
          <w:tcPr>
            <w:tcW w:w="0" w:type="auto"/>
            <w:noWrap w:val="0"/>
            <w:vAlign w:val="top"/>
          </w:tcPr>
          <w:p w14:paraId="20D2741C">
            <w:pPr>
              <w:widowControl/>
              <w:adjustRightInd w:val="0"/>
              <w:snapToGrid w:val="0"/>
              <w:spacing w:line="280" w:lineRule="exact"/>
              <w:ind w:firstLine="420"/>
              <w:jc w:val="left"/>
              <w:rPr>
                <w:rFonts w:hint="eastAsia" w:ascii="楷体" w:hAnsi="楷体" w:eastAsia="楷体" w:cs="楷体"/>
                <w:color w:val="000000"/>
                <w:szCs w:val="21"/>
                <w:lang w:eastAsia="zh-TW"/>
              </w:rPr>
            </w:pPr>
            <w:r>
              <w:rPr>
                <w:rFonts w:hint="eastAsia" w:ascii="楷体" w:hAnsi="楷体" w:eastAsia="楷体" w:cs="楷体"/>
                <w:color w:val="000000"/>
                <w:szCs w:val="21"/>
                <w:lang w:eastAsia="zh-TW"/>
              </w:rPr>
              <w:t>具备运用各乐器在集体中来表达情感和理解音乐的能力，充分领会管乐教学的意义，在管乐的基础理论与实践中具有较强理解能力</w:t>
            </w:r>
          </w:p>
        </w:tc>
        <w:tc>
          <w:tcPr>
            <w:tcW w:w="0" w:type="auto"/>
            <w:noWrap w:val="0"/>
            <w:vAlign w:val="top"/>
          </w:tcPr>
          <w:p w14:paraId="1D0C297C">
            <w:pPr>
              <w:widowControl/>
              <w:adjustRightInd w:val="0"/>
              <w:snapToGrid w:val="0"/>
              <w:ind w:firstLine="420" w:firstLineChars="200"/>
              <w:rPr>
                <w:rFonts w:hint="eastAsia" w:ascii="楷体" w:hAnsi="楷体" w:eastAsia="楷体" w:cs="楷体"/>
                <w:color w:val="000000"/>
                <w:szCs w:val="21"/>
                <w:lang w:eastAsia="zh-TW"/>
              </w:rPr>
            </w:pPr>
            <w:r>
              <w:rPr>
                <w:rFonts w:hint="eastAsia" w:ascii="楷体" w:hAnsi="楷体" w:eastAsia="楷体" w:cs="楷体"/>
                <w:color w:val="000000"/>
                <w:szCs w:val="21"/>
                <w:lang w:eastAsia="zh-TW"/>
              </w:rPr>
              <w:t>具备运用各乐器在集体中来表达情感和理解音乐的能力，充分领会管乐教学的意义，在管乐的基础理论与实践中具有较强理解能力</w:t>
            </w:r>
          </w:p>
        </w:tc>
        <w:tc>
          <w:tcPr>
            <w:tcW w:w="0" w:type="auto"/>
            <w:noWrap w:val="0"/>
            <w:vAlign w:val="top"/>
          </w:tcPr>
          <w:p w14:paraId="73E08329">
            <w:pPr>
              <w:widowControl/>
              <w:adjustRightInd w:val="0"/>
              <w:snapToGrid w:val="0"/>
              <w:spacing w:line="280" w:lineRule="exact"/>
              <w:ind w:firstLine="420"/>
              <w:jc w:val="left"/>
              <w:rPr>
                <w:rFonts w:hint="eastAsia" w:ascii="楷体" w:hAnsi="楷体" w:eastAsia="楷体" w:cs="楷体"/>
                <w:color w:val="000000"/>
                <w:szCs w:val="21"/>
                <w:lang w:eastAsia="zh-TW"/>
              </w:rPr>
            </w:pPr>
            <w:r>
              <w:rPr>
                <w:rFonts w:hint="eastAsia" w:ascii="楷体" w:hAnsi="楷体" w:eastAsia="楷体" w:cs="楷体"/>
                <w:color w:val="000000"/>
                <w:szCs w:val="21"/>
                <w:lang w:eastAsia="zh-TW"/>
              </w:rPr>
              <w:t>具备运用各乐器在集体中来表达情感和理解音乐的能力，充分领会管乐教学的意义，在管乐的基础理论与实践中具有较强理解能力</w:t>
            </w:r>
          </w:p>
        </w:tc>
        <w:tc>
          <w:tcPr>
            <w:tcW w:w="0" w:type="auto"/>
            <w:noWrap w:val="0"/>
            <w:vAlign w:val="top"/>
          </w:tcPr>
          <w:p w14:paraId="30E33B09">
            <w:pPr>
              <w:widowControl/>
              <w:adjustRightInd w:val="0"/>
              <w:snapToGrid w:val="0"/>
              <w:spacing w:line="280" w:lineRule="exact"/>
              <w:ind w:firstLine="420"/>
              <w:jc w:val="left"/>
              <w:rPr>
                <w:rFonts w:hint="eastAsia" w:ascii="楷体" w:hAnsi="楷体" w:eastAsia="楷体" w:cs="楷体"/>
                <w:color w:val="000000"/>
                <w:szCs w:val="21"/>
                <w:lang w:eastAsia="zh-TW"/>
              </w:rPr>
            </w:pPr>
            <w:r>
              <w:rPr>
                <w:rFonts w:hint="eastAsia" w:ascii="楷体" w:hAnsi="楷体" w:eastAsia="楷体" w:cs="楷体"/>
                <w:color w:val="000000"/>
                <w:szCs w:val="21"/>
                <w:lang w:eastAsia="zh-TW"/>
              </w:rPr>
              <w:t>具备运用各乐器在集体中来表达情感和理解音乐的能力，充分领会管乐教学的意义，在管乐的基础理论与实践中具有较强理解能力</w:t>
            </w:r>
          </w:p>
        </w:tc>
        <w:tc>
          <w:tcPr>
            <w:tcW w:w="0" w:type="auto"/>
            <w:noWrap w:val="0"/>
            <w:vAlign w:val="top"/>
          </w:tcPr>
          <w:p w14:paraId="159E5B92">
            <w:pPr>
              <w:widowControl/>
              <w:adjustRightInd w:val="0"/>
              <w:snapToGrid w:val="0"/>
              <w:spacing w:line="280" w:lineRule="exact"/>
              <w:ind w:firstLine="315" w:firstLineChars="150"/>
              <w:jc w:val="left"/>
              <w:rPr>
                <w:rFonts w:hint="eastAsia" w:ascii="楷体" w:hAnsi="楷体" w:eastAsia="楷体" w:cs="楷体"/>
                <w:color w:val="000000"/>
                <w:szCs w:val="21"/>
                <w:lang w:eastAsia="zh-TW"/>
              </w:rPr>
            </w:pPr>
            <w:r>
              <w:rPr>
                <w:rFonts w:hint="eastAsia" w:ascii="楷体" w:hAnsi="楷体" w:eastAsia="楷体" w:cs="楷体"/>
                <w:color w:val="000000"/>
                <w:szCs w:val="21"/>
                <w:lang w:eastAsia="zh-TW"/>
              </w:rPr>
              <w:t>不具备运用各乐器在集体中来表达情感和理解音乐的能力，未能充分领会管乐教学的意义，在管乐的基础理论与实践中理解能力有限</w:t>
            </w:r>
          </w:p>
        </w:tc>
      </w:tr>
    </w:tbl>
    <w:p w14:paraId="6463C058">
      <w:pPr>
        <w:rPr>
          <w:sz w:val="2"/>
          <w:szCs w:val="2"/>
        </w:rPr>
        <w:sectPr>
          <w:headerReference r:id="rId73" w:type="default"/>
          <w:footerReference r:id="rId74" w:type="default"/>
          <w:pgSz w:w="11906" w:h="16838"/>
          <w:pgMar w:top="1440" w:right="1800" w:bottom="1440" w:left="1800" w:header="851" w:footer="992" w:gutter="0"/>
          <w:cols w:space="425" w:num="1"/>
          <w:docGrid w:type="lines" w:linePitch="312" w:charSpace="0"/>
        </w:sectPr>
      </w:pPr>
    </w:p>
    <w:p w14:paraId="18C9ED22">
      <w:pPr>
        <w:jc w:val="center"/>
        <w:rPr>
          <w:rFonts w:hint="eastAsia" w:eastAsia="方正小标宋简体"/>
          <w:sz w:val="44"/>
          <w:szCs w:val="44"/>
        </w:rPr>
      </w:pPr>
      <w:r>
        <w:rPr>
          <w:rFonts w:hint="eastAsia" w:ascii="仿宋" w:hAnsi="仿宋" w:eastAsia="仿宋" w:cs="仿宋"/>
          <w:color w:val="000000"/>
          <w:sz w:val="32"/>
          <w:szCs w:val="32"/>
        </w:rPr>
        <w:t>三明学院音乐学（音乐教育）专业</w:t>
      </w:r>
    </w:p>
    <w:p w14:paraId="04FB8886">
      <w:pPr>
        <w:ind w:firstLine="1320" w:firstLineChars="300"/>
        <w:jc w:val="center"/>
        <w:rPr>
          <w:rFonts w:hint="eastAsia" w:eastAsia="方正小标宋简体"/>
          <w:sz w:val="28"/>
          <w:szCs w:val="28"/>
        </w:rPr>
      </w:pPr>
      <w:r>
        <w:rPr>
          <w:rFonts w:hint="eastAsia" w:eastAsia="方正小标宋简体"/>
          <w:sz w:val="44"/>
          <w:szCs w:val="44"/>
        </w:rPr>
        <w:t>《戏剧表演》课程教学大纲</w:t>
      </w:r>
    </w:p>
    <w:p w14:paraId="3FDB21C9">
      <w:pPr>
        <w:jc w:val="center"/>
        <w:rPr>
          <w:rFonts w:hint="eastAsia" w:eastAsia="方正小标宋简体"/>
          <w:sz w:val="24"/>
          <w:szCs w:val="24"/>
        </w:rPr>
      </w:pPr>
    </w:p>
    <w:tbl>
      <w:tblPr>
        <w:tblStyle w:val="22"/>
        <w:tblW w:w="9148"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28" w:type="dxa"/>
        </w:tblCellMar>
      </w:tblPr>
      <w:tblGrid>
        <w:gridCol w:w="1431"/>
        <w:gridCol w:w="977"/>
        <w:gridCol w:w="142"/>
        <w:gridCol w:w="424"/>
        <w:gridCol w:w="1543"/>
        <w:gridCol w:w="728"/>
        <w:gridCol w:w="410"/>
        <w:gridCol w:w="405"/>
        <w:gridCol w:w="699"/>
        <w:gridCol w:w="312"/>
        <w:gridCol w:w="532"/>
        <w:gridCol w:w="97"/>
        <w:gridCol w:w="524"/>
        <w:gridCol w:w="335"/>
        <w:gridCol w:w="589"/>
      </w:tblGrid>
      <w:tr w14:paraId="5D80E453">
        <w:trPr>
          <w:trHeight w:val="454" w:hRule="atLeast"/>
        </w:trPr>
        <w:tc>
          <w:tcPr>
            <w:tcW w:w="1431" w:type="dxa"/>
            <w:vAlign w:val="center"/>
          </w:tcPr>
          <w:p w14:paraId="0DCC1A39">
            <w:pPr>
              <w:keepNext w:val="0"/>
              <w:keepLines w:val="0"/>
              <w:pageBreakBefore w:val="0"/>
              <w:kinsoku/>
              <w:wordWrap/>
              <w:overflowPunct/>
              <w:topLinePunct w:val="0"/>
              <w:bidi w:val="0"/>
              <w:spacing w:line="40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课程名称</w:t>
            </w:r>
          </w:p>
        </w:tc>
        <w:tc>
          <w:tcPr>
            <w:tcW w:w="4629" w:type="dxa"/>
            <w:gridSpan w:val="7"/>
            <w:vAlign w:val="center"/>
          </w:tcPr>
          <w:p w14:paraId="2A7B78D6">
            <w:pPr>
              <w:keepNext w:val="0"/>
              <w:keepLines w:val="0"/>
              <w:pageBreakBefore w:val="0"/>
              <w:kinsoku/>
              <w:wordWrap/>
              <w:overflowPunct/>
              <w:topLinePunct w:val="0"/>
              <w:bidi w:val="0"/>
              <w:spacing w:line="400" w:lineRule="exact"/>
              <w:jc w:val="center"/>
              <w:rPr>
                <w:rFonts w:hint="eastAsia" w:ascii="宋体" w:hAnsi="宋体" w:eastAsia="宋体" w:cs="宋体"/>
                <w:sz w:val="21"/>
                <w:szCs w:val="21"/>
              </w:rPr>
            </w:pPr>
            <w:r>
              <w:rPr>
                <w:rFonts w:hint="eastAsia" w:ascii="宋体" w:hAnsi="宋体" w:eastAsia="宋体" w:cs="宋体"/>
                <w:sz w:val="21"/>
                <w:szCs w:val="21"/>
                <w:lang w:val="en-US" w:eastAsia="zh-CN"/>
              </w:rPr>
              <w:t>戏剧</w:t>
            </w:r>
            <w:r>
              <w:rPr>
                <w:rFonts w:hint="eastAsia" w:ascii="宋体" w:hAnsi="宋体" w:eastAsia="宋体" w:cs="宋体"/>
                <w:sz w:val="21"/>
                <w:szCs w:val="21"/>
              </w:rPr>
              <w:t>表演</w:t>
            </w:r>
          </w:p>
        </w:tc>
        <w:tc>
          <w:tcPr>
            <w:tcW w:w="1543" w:type="dxa"/>
            <w:gridSpan w:val="3"/>
            <w:vAlign w:val="center"/>
          </w:tcPr>
          <w:p w14:paraId="23649AD0">
            <w:pPr>
              <w:keepNext w:val="0"/>
              <w:keepLines w:val="0"/>
              <w:pageBreakBefore w:val="0"/>
              <w:kinsoku/>
              <w:wordWrap/>
              <w:overflowPunct/>
              <w:topLinePunct w:val="0"/>
              <w:bidi w:val="0"/>
              <w:spacing w:line="400" w:lineRule="exact"/>
              <w:jc w:val="center"/>
              <w:rPr>
                <w:rFonts w:hint="eastAsia" w:ascii="宋体" w:hAnsi="宋体" w:eastAsia="宋体" w:cs="宋体"/>
                <w:sz w:val="21"/>
                <w:szCs w:val="21"/>
              </w:rPr>
            </w:pPr>
            <w:r>
              <w:rPr>
                <w:rFonts w:hint="eastAsia" w:ascii="宋体" w:hAnsi="宋体" w:eastAsia="宋体" w:cs="宋体"/>
                <w:sz w:val="21"/>
                <w:szCs w:val="21"/>
              </w:rPr>
              <w:t>课程</w:t>
            </w:r>
          </w:p>
          <w:p w14:paraId="7DCADB54">
            <w:pPr>
              <w:keepNext w:val="0"/>
              <w:keepLines w:val="0"/>
              <w:pageBreakBefore w:val="0"/>
              <w:kinsoku/>
              <w:wordWrap/>
              <w:overflowPunct/>
              <w:topLinePunct w:val="0"/>
              <w:bidi w:val="0"/>
              <w:spacing w:line="400" w:lineRule="exact"/>
              <w:jc w:val="center"/>
              <w:rPr>
                <w:rFonts w:hint="eastAsia" w:ascii="宋体" w:hAnsi="宋体" w:eastAsia="宋体" w:cs="宋体"/>
                <w:sz w:val="21"/>
                <w:szCs w:val="21"/>
              </w:rPr>
            </w:pPr>
            <w:r>
              <w:rPr>
                <w:rFonts w:hint="eastAsia" w:ascii="宋体" w:hAnsi="宋体" w:eastAsia="宋体" w:cs="宋体"/>
                <w:sz w:val="21"/>
                <w:szCs w:val="21"/>
              </w:rPr>
              <w:t>代码</w:t>
            </w:r>
          </w:p>
        </w:tc>
        <w:tc>
          <w:tcPr>
            <w:tcW w:w="1545" w:type="dxa"/>
            <w:gridSpan w:val="4"/>
            <w:vAlign w:val="center"/>
          </w:tcPr>
          <w:p w14:paraId="68ADB3EF">
            <w:pPr>
              <w:keepNext w:val="0"/>
              <w:keepLines w:val="0"/>
              <w:pageBreakBefore w:val="0"/>
              <w:kinsoku/>
              <w:wordWrap/>
              <w:overflowPunct/>
              <w:topLinePunct w:val="0"/>
              <w:bidi w:val="0"/>
              <w:spacing w:line="400" w:lineRule="exact"/>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1213502621</w:t>
            </w:r>
          </w:p>
          <w:p w14:paraId="22F531A7">
            <w:pPr>
              <w:keepNext w:val="0"/>
              <w:keepLines w:val="0"/>
              <w:pageBreakBefore w:val="0"/>
              <w:kinsoku/>
              <w:wordWrap/>
              <w:overflowPunct/>
              <w:topLinePunct w:val="0"/>
              <w:bidi w:val="0"/>
              <w:spacing w:line="400" w:lineRule="exact"/>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1213502622</w:t>
            </w:r>
          </w:p>
        </w:tc>
      </w:tr>
      <w:tr w14:paraId="415415DF">
        <w:trPr>
          <w:trHeight w:val="454" w:hRule="atLeast"/>
        </w:trPr>
        <w:tc>
          <w:tcPr>
            <w:tcW w:w="1431" w:type="dxa"/>
            <w:vAlign w:val="center"/>
          </w:tcPr>
          <w:p w14:paraId="085FE206">
            <w:pPr>
              <w:keepNext w:val="0"/>
              <w:keepLines w:val="0"/>
              <w:pageBreakBefore w:val="0"/>
              <w:kinsoku/>
              <w:wordWrap/>
              <w:overflowPunct/>
              <w:topLinePunct w:val="0"/>
              <w:bidi w:val="0"/>
              <w:spacing w:line="40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课程类型</w:t>
            </w:r>
          </w:p>
        </w:tc>
        <w:tc>
          <w:tcPr>
            <w:tcW w:w="7717" w:type="dxa"/>
            <w:gridSpan w:val="14"/>
            <w:vAlign w:val="center"/>
          </w:tcPr>
          <w:p w14:paraId="07F99E49">
            <w:pPr>
              <w:keepNext w:val="0"/>
              <w:keepLines w:val="0"/>
              <w:pageBreakBefore w:val="0"/>
              <w:kinsoku/>
              <w:wordWrap/>
              <w:overflowPunct/>
              <w:topLinePunct w:val="0"/>
              <w:bidi w:val="0"/>
              <w:spacing w:line="400" w:lineRule="exact"/>
              <w:rPr>
                <w:rFonts w:hint="eastAsia" w:ascii="宋体" w:hAnsi="宋体" w:eastAsia="宋体" w:cs="宋体"/>
                <w:sz w:val="21"/>
                <w:szCs w:val="21"/>
              </w:rPr>
            </w:pPr>
            <w:r>
              <w:rPr>
                <w:rFonts w:hint="eastAsia" w:ascii="宋体" w:hAnsi="宋体" w:eastAsia="宋体" w:cs="宋体"/>
                <w:sz w:val="21"/>
                <w:szCs w:val="21"/>
              </w:rPr>
              <w:sym w:font="Wingdings" w:char="00A8"/>
            </w:r>
            <w:r>
              <w:rPr>
                <w:rFonts w:hint="eastAsia" w:ascii="宋体" w:hAnsi="宋体" w:eastAsia="宋体" w:cs="宋体"/>
                <w:sz w:val="21"/>
                <w:szCs w:val="21"/>
              </w:rPr>
              <w:t xml:space="preserve">通识必修 </w:t>
            </w:r>
            <w:r>
              <w:rPr>
                <w:rFonts w:hint="eastAsia" w:ascii="宋体" w:hAnsi="宋体" w:eastAsia="宋体" w:cs="宋体"/>
                <w:sz w:val="21"/>
                <w:szCs w:val="21"/>
              </w:rPr>
              <w:sym w:font="Wingdings" w:char="00A8"/>
            </w:r>
            <w:r>
              <w:rPr>
                <w:rFonts w:hint="eastAsia" w:ascii="宋体" w:hAnsi="宋体" w:eastAsia="宋体" w:cs="宋体"/>
                <w:sz w:val="21"/>
                <w:szCs w:val="21"/>
              </w:rPr>
              <w:t>通识选修</w:t>
            </w:r>
            <w:r>
              <w:rPr>
                <w:rFonts w:hint="eastAsia" w:ascii="宋体" w:hAnsi="宋体" w:eastAsia="宋体" w:cs="宋体"/>
                <w:sz w:val="21"/>
                <w:szCs w:val="21"/>
              </w:rPr>
              <w:sym w:font="Wingdings" w:char="F0FE"/>
            </w:r>
            <w:r>
              <w:rPr>
                <w:rFonts w:hint="eastAsia" w:ascii="宋体" w:hAnsi="宋体" w:eastAsia="宋体" w:cs="宋体"/>
                <w:sz w:val="21"/>
                <w:szCs w:val="21"/>
              </w:rPr>
              <w:t xml:space="preserve">专业必修 </w:t>
            </w:r>
          </w:p>
          <w:p w14:paraId="422D7EBB">
            <w:pPr>
              <w:keepNext w:val="0"/>
              <w:keepLines w:val="0"/>
              <w:pageBreakBefore w:val="0"/>
              <w:kinsoku/>
              <w:wordWrap/>
              <w:overflowPunct/>
              <w:topLinePunct w:val="0"/>
              <w:bidi w:val="0"/>
              <w:spacing w:line="400" w:lineRule="exact"/>
              <w:rPr>
                <w:rFonts w:hint="eastAsia" w:ascii="宋体" w:hAnsi="宋体" w:eastAsia="宋体" w:cs="宋体"/>
                <w:sz w:val="21"/>
                <w:szCs w:val="21"/>
              </w:rPr>
            </w:pPr>
            <w:r>
              <w:rPr>
                <w:rFonts w:hint="eastAsia" w:ascii="宋体" w:hAnsi="宋体" w:eastAsia="宋体" w:cs="宋体"/>
                <w:sz w:val="21"/>
                <w:szCs w:val="21"/>
              </w:rPr>
              <w:sym w:font="Wingdings" w:char="00A8"/>
            </w:r>
            <w:r>
              <w:rPr>
                <w:rFonts w:hint="eastAsia" w:ascii="宋体" w:hAnsi="宋体" w:eastAsia="宋体" w:cs="宋体"/>
                <w:sz w:val="21"/>
                <w:szCs w:val="21"/>
              </w:rPr>
              <w:t>专业选修</w:t>
            </w:r>
            <w:r>
              <w:rPr>
                <w:rFonts w:hint="eastAsia" w:ascii="宋体" w:hAnsi="宋体" w:eastAsia="宋体" w:cs="宋体"/>
                <w:sz w:val="21"/>
                <w:szCs w:val="21"/>
                <w:lang w:eastAsia="zh-TW"/>
              </w:rPr>
              <w:t xml:space="preserve"> </w:t>
            </w:r>
            <w:r>
              <w:rPr>
                <w:rFonts w:hint="eastAsia" w:ascii="宋体" w:hAnsi="宋体" w:eastAsia="宋体" w:cs="宋体"/>
                <w:sz w:val="21"/>
                <w:szCs w:val="21"/>
              </w:rPr>
              <w:sym w:font="Wingdings" w:char="00A8"/>
            </w:r>
            <w:r>
              <w:rPr>
                <w:rFonts w:hint="eastAsia" w:ascii="宋体" w:hAnsi="宋体" w:eastAsia="宋体" w:cs="宋体"/>
                <w:sz w:val="21"/>
                <w:szCs w:val="21"/>
              </w:rPr>
              <w:t xml:space="preserve">教师教育必修 </w:t>
            </w:r>
            <w:r>
              <w:rPr>
                <w:rFonts w:hint="eastAsia" w:ascii="宋体" w:hAnsi="宋体" w:eastAsia="宋体" w:cs="宋体"/>
                <w:sz w:val="21"/>
                <w:szCs w:val="21"/>
              </w:rPr>
              <w:sym w:font="Wingdings" w:char="00A8"/>
            </w:r>
            <w:r>
              <w:rPr>
                <w:rFonts w:hint="eastAsia" w:ascii="宋体" w:hAnsi="宋体" w:eastAsia="宋体" w:cs="宋体"/>
                <w:sz w:val="21"/>
                <w:szCs w:val="21"/>
              </w:rPr>
              <w:t>教师教育选修</w:t>
            </w:r>
          </w:p>
        </w:tc>
      </w:tr>
      <w:tr w14:paraId="5EE2FF84">
        <w:trPr>
          <w:trHeight w:val="406" w:hRule="atLeast"/>
        </w:trPr>
        <w:tc>
          <w:tcPr>
            <w:tcW w:w="1431" w:type="dxa"/>
            <w:vAlign w:val="center"/>
          </w:tcPr>
          <w:p w14:paraId="37F2ABDE">
            <w:pPr>
              <w:keepNext w:val="0"/>
              <w:keepLines w:val="0"/>
              <w:pageBreakBefore w:val="0"/>
              <w:kinsoku/>
              <w:wordWrap/>
              <w:overflowPunct/>
              <w:topLinePunct w:val="0"/>
              <w:bidi w:val="0"/>
              <w:spacing w:line="40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开课学期</w:t>
            </w:r>
          </w:p>
        </w:tc>
        <w:tc>
          <w:tcPr>
            <w:tcW w:w="1543" w:type="dxa"/>
            <w:gridSpan w:val="3"/>
            <w:vAlign w:val="center"/>
          </w:tcPr>
          <w:p w14:paraId="7BA4E443">
            <w:pPr>
              <w:keepNext w:val="0"/>
              <w:keepLines w:val="0"/>
              <w:pageBreakBefore w:val="0"/>
              <w:kinsoku/>
              <w:wordWrap/>
              <w:overflowPunct/>
              <w:topLinePunct w:val="0"/>
              <w:bidi w:val="0"/>
              <w:spacing w:line="400" w:lineRule="exact"/>
              <w:jc w:val="center"/>
              <w:rPr>
                <w:rFonts w:hint="eastAsia" w:ascii="宋体" w:hAnsi="宋体" w:eastAsia="宋体" w:cs="宋体"/>
                <w:sz w:val="21"/>
                <w:szCs w:val="21"/>
              </w:rPr>
            </w:pPr>
            <w:r>
              <w:rPr>
                <w:rFonts w:hint="eastAsia" w:ascii="宋体" w:hAnsi="宋体" w:eastAsia="宋体" w:cs="宋体"/>
                <w:sz w:val="21"/>
                <w:szCs w:val="21"/>
              </w:rPr>
              <w:t>第</w:t>
            </w:r>
            <w:r>
              <w:rPr>
                <w:rFonts w:hint="eastAsia" w:ascii="宋体" w:hAnsi="宋体" w:eastAsia="宋体" w:cs="宋体"/>
                <w:sz w:val="21"/>
                <w:szCs w:val="21"/>
                <w:lang w:val="en-US" w:eastAsia="zh-CN"/>
              </w:rPr>
              <w:t>1</w:t>
            </w:r>
            <w:r>
              <w:rPr>
                <w:rFonts w:hint="eastAsia" w:ascii="宋体" w:hAnsi="宋体" w:eastAsia="宋体" w:cs="宋体"/>
                <w:sz w:val="21"/>
                <w:szCs w:val="21"/>
              </w:rPr>
              <w:t>学期</w:t>
            </w:r>
          </w:p>
        </w:tc>
        <w:tc>
          <w:tcPr>
            <w:tcW w:w="1543" w:type="dxa"/>
            <w:vAlign w:val="center"/>
          </w:tcPr>
          <w:p w14:paraId="1E85356B">
            <w:pPr>
              <w:keepNext w:val="0"/>
              <w:keepLines w:val="0"/>
              <w:pageBreakBefore w:val="0"/>
              <w:kinsoku/>
              <w:wordWrap/>
              <w:overflowPunct/>
              <w:topLinePunct w:val="0"/>
              <w:bidi w:val="0"/>
              <w:spacing w:line="400" w:lineRule="exact"/>
              <w:jc w:val="center"/>
              <w:rPr>
                <w:rFonts w:hint="eastAsia" w:ascii="宋体" w:hAnsi="宋体" w:eastAsia="宋体" w:cs="宋体"/>
                <w:sz w:val="21"/>
                <w:szCs w:val="21"/>
              </w:rPr>
            </w:pPr>
            <w:r>
              <w:rPr>
                <w:rFonts w:hint="eastAsia" w:ascii="宋体" w:hAnsi="宋体" w:eastAsia="宋体" w:cs="宋体"/>
                <w:sz w:val="21"/>
                <w:szCs w:val="21"/>
              </w:rPr>
              <w:t>学分</w:t>
            </w:r>
          </w:p>
        </w:tc>
        <w:tc>
          <w:tcPr>
            <w:tcW w:w="1543" w:type="dxa"/>
            <w:gridSpan w:val="3"/>
            <w:vAlign w:val="center"/>
          </w:tcPr>
          <w:p w14:paraId="3BAB1C1D">
            <w:pPr>
              <w:keepNext w:val="0"/>
              <w:keepLines w:val="0"/>
              <w:pageBreakBefore w:val="0"/>
              <w:kinsoku/>
              <w:wordWrap/>
              <w:overflowPunct/>
              <w:topLinePunct w:val="0"/>
              <w:bidi w:val="0"/>
              <w:spacing w:line="400" w:lineRule="exact"/>
              <w:jc w:val="center"/>
              <w:rPr>
                <w:rFonts w:hint="eastAsia" w:ascii="宋体" w:hAnsi="宋体" w:eastAsia="宋体" w:cs="宋体"/>
                <w:sz w:val="21"/>
                <w:szCs w:val="21"/>
              </w:rPr>
            </w:pPr>
            <w:r>
              <w:rPr>
                <w:rFonts w:hint="eastAsia" w:ascii="宋体" w:hAnsi="宋体" w:eastAsia="宋体" w:cs="宋体"/>
                <w:sz w:val="21"/>
                <w:szCs w:val="21"/>
              </w:rPr>
              <w:t>2</w:t>
            </w:r>
          </w:p>
        </w:tc>
        <w:tc>
          <w:tcPr>
            <w:tcW w:w="1543" w:type="dxa"/>
            <w:gridSpan w:val="3"/>
            <w:vAlign w:val="center"/>
          </w:tcPr>
          <w:p w14:paraId="23212862">
            <w:pPr>
              <w:keepNext w:val="0"/>
              <w:keepLines w:val="0"/>
              <w:pageBreakBefore w:val="0"/>
              <w:kinsoku/>
              <w:wordWrap/>
              <w:overflowPunct/>
              <w:topLinePunct w:val="0"/>
              <w:bidi w:val="0"/>
              <w:spacing w:line="400" w:lineRule="exact"/>
              <w:jc w:val="center"/>
              <w:rPr>
                <w:rFonts w:hint="eastAsia" w:ascii="宋体" w:hAnsi="宋体" w:eastAsia="宋体" w:cs="宋体"/>
                <w:sz w:val="21"/>
                <w:szCs w:val="21"/>
              </w:rPr>
            </w:pPr>
            <w:r>
              <w:rPr>
                <w:rFonts w:hint="eastAsia" w:ascii="宋体" w:hAnsi="宋体" w:eastAsia="宋体" w:cs="宋体"/>
                <w:sz w:val="21"/>
                <w:szCs w:val="21"/>
              </w:rPr>
              <w:t>课程负责人</w:t>
            </w:r>
          </w:p>
        </w:tc>
        <w:tc>
          <w:tcPr>
            <w:tcW w:w="1545" w:type="dxa"/>
            <w:gridSpan w:val="4"/>
            <w:vAlign w:val="center"/>
          </w:tcPr>
          <w:p w14:paraId="4A21DDCC">
            <w:pPr>
              <w:keepNext w:val="0"/>
              <w:keepLines w:val="0"/>
              <w:pageBreakBefore w:val="0"/>
              <w:kinsoku/>
              <w:wordWrap/>
              <w:overflowPunct/>
              <w:topLinePunct w:val="0"/>
              <w:bidi w:val="0"/>
              <w:spacing w:line="400" w:lineRule="exact"/>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吴碧玲</w:t>
            </w:r>
          </w:p>
        </w:tc>
      </w:tr>
      <w:tr w14:paraId="282EB801">
        <w:trPr>
          <w:trHeight w:val="485" w:hRule="atLeast"/>
        </w:trPr>
        <w:tc>
          <w:tcPr>
            <w:tcW w:w="1431" w:type="dxa"/>
            <w:vAlign w:val="center"/>
          </w:tcPr>
          <w:p w14:paraId="2ABA875F">
            <w:pPr>
              <w:keepNext w:val="0"/>
              <w:keepLines w:val="0"/>
              <w:pageBreakBefore w:val="0"/>
              <w:kinsoku/>
              <w:wordWrap/>
              <w:overflowPunct/>
              <w:topLinePunct w:val="0"/>
              <w:bidi w:val="0"/>
              <w:spacing w:line="40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总学时</w:t>
            </w:r>
          </w:p>
        </w:tc>
        <w:tc>
          <w:tcPr>
            <w:tcW w:w="1543" w:type="dxa"/>
            <w:gridSpan w:val="3"/>
            <w:vAlign w:val="center"/>
          </w:tcPr>
          <w:p w14:paraId="305AAAB6">
            <w:pPr>
              <w:keepNext w:val="0"/>
              <w:keepLines w:val="0"/>
              <w:pageBreakBefore w:val="0"/>
              <w:kinsoku/>
              <w:wordWrap/>
              <w:overflowPunct/>
              <w:topLinePunct w:val="0"/>
              <w:bidi w:val="0"/>
              <w:spacing w:line="400" w:lineRule="exact"/>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64</w:t>
            </w:r>
          </w:p>
        </w:tc>
        <w:tc>
          <w:tcPr>
            <w:tcW w:w="1543" w:type="dxa"/>
            <w:vAlign w:val="center"/>
          </w:tcPr>
          <w:p w14:paraId="24EBC47B">
            <w:pPr>
              <w:keepNext w:val="0"/>
              <w:keepLines w:val="0"/>
              <w:pageBreakBefore w:val="0"/>
              <w:kinsoku/>
              <w:wordWrap/>
              <w:overflowPunct/>
              <w:topLinePunct w:val="0"/>
              <w:bidi w:val="0"/>
              <w:spacing w:line="400" w:lineRule="exact"/>
              <w:jc w:val="center"/>
              <w:rPr>
                <w:rFonts w:hint="eastAsia" w:ascii="宋体" w:hAnsi="宋体" w:eastAsia="宋体" w:cs="宋体"/>
                <w:sz w:val="21"/>
                <w:szCs w:val="21"/>
              </w:rPr>
            </w:pPr>
            <w:r>
              <w:rPr>
                <w:rFonts w:hint="eastAsia" w:ascii="宋体" w:hAnsi="宋体" w:eastAsia="宋体" w:cs="宋体"/>
                <w:sz w:val="21"/>
                <w:szCs w:val="21"/>
              </w:rPr>
              <w:t>理论学时</w:t>
            </w:r>
          </w:p>
        </w:tc>
        <w:tc>
          <w:tcPr>
            <w:tcW w:w="1543" w:type="dxa"/>
            <w:gridSpan w:val="3"/>
            <w:vAlign w:val="center"/>
          </w:tcPr>
          <w:p w14:paraId="449C1A78">
            <w:pPr>
              <w:keepNext w:val="0"/>
              <w:keepLines w:val="0"/>
              <w:pageBreakBefore w:val="0"/>
              <w:kinsoku/>
              <w:wordWrap/>
              <w:overflowPunct/>
              <w:topLinePunct w:val="0"/>
              <w:bidi w:val="0"/>
              <w:spacing w:line="400" w:lineRule="exact"/>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w:t>
            </w:r>
          </w:p>
        </w:tc>
        <w:tc>
          <w:tcPr>
            <w:tcW w:w="1543" w:type="dxa"/>
            <w:gridSpan w:val="3"/>
            <w:tcBorders>
              <w:right w:val="single" w:color="000000" w:sz="4" w:space="0"/>
            </w:tcBorders>
            <w:vAlign w:val="center"/>
          </w:tcPr>
          <w:p w14:paraId="19D91A97">
            <w:pPr>
              <w:keepNext w:val="0"/>
              <w:keepLines w:val="0"/>
              <w:pageBreakBefore w:val="0"/>
              <w:kinsoku/>
              <w:wordWrap/>
              <w:overflowPunct/>
              <w:topLinePunct w:val="0"/>
              <w:bidi w:val="0"/>
              <w:spacing w:line="400" w:lineRule="exact"/>
              <w:jc w:val="center"/>
              <w:rPr>
                <w:rFonts w:hint="eastAsia" w:ascii="宋体" w:hAnsi="宋体" w:eastAsia="宋体" w:cs="宋体"/>
                <w:sz w:val="21"/>
                <w:szCs w:val="21"/>
              </w:rPr>
            </w:pPr>
            <w:r>
              <w:rPr>
                <w:rFonts w:hint="eastAsia" w:ascii="宋体" w:hAnsi="宋体" w:eastAsia="宋体" w:cs="宋体"/>
                <w:sz w:val="21"/>
                <w:szCs w:val="21"/>
              </w:rPr>
              <w:t>实践学时</w:t>
            </w:r>
          </w:p>
        </w:tc>
        <w:tc>
          <w:tcPr>
            <w:tcW w:w="1545" w:type="dxa"/>
            <w:gridSpan w:val="4"/>
            <w:tcBorders>
              <w:left w:val="single" w:color="000000" w:sz="4" w:space="0"/>
            </w:tcBorders>
            <w:vAlign w:val="center"/>
          </w:tcPr>
          <w:p w14:paraId="12F678A6">
            <w:pPr>
              <w:keepNext w:val="0"/>
              <w:keepLines w:val="0"/>
              <w:pageBreakBefore w:val="0"/>
              <w:kinsoku/>
              <w:wordWrap/>
              <w:overflowPunct/>
              <w:topLinePunct w:val="0"/>
              <w:bidi w:val="0"/>
              <w:spacing w:line="400" w:lineRule="exact"/>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56</w:t>
            </w:r>
          </w:p>
        </w:tc>
      </w:tr>
      <w:tr w14:paraId="038BC7C6">
        <w:trPr>
          <w:trHeight w:val="454" w:hRule="atLeast"/>
        </w:trPr>
        <w:tc>
          <w:tcPr>
            <w:tcW w:w="1431" w:type="dxa"/>
            <w:vAlign w:val="center"/>
          </w:tcPr>
          <w:p w14:paraId="20D05BAC">
            <w:pPr>
              <w:keepNext w:val="0"/>
              <w:keepLines w:val="0"/>
              <w:pageBreakBefore w:val="0"/>
              <w:kinsoku/>
              <w:wordWrap/>
              <w:overflowPunct/>
              <w:topLinePunct w:val="0"/>
              <w:bidi w:val="0"/>
              <w:spacing w:line="40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先修课程与后续课程</w:t>
            </w:r>
          </w:p>
        </w:tc>
        <w:tc>
          <w:tcPr>
            <w:tcW w:w="7717" w:type="dxa"/>
            <w:gridSpan w:val="14"/>
            <w:vAlign w:val="center"/>
          </w:tcPr>
          <w:p w14:paraId="5E24BF9C">
            <w:pPr>
              <w:keepNext w:val="0"/>
              <w:keepLines w:val="0"/>
              <w:pageBreakBefore w:val="0"/>
              <w:kinsoku/>
              <w:wordWrap/>
              <w:overflowPunct/>
              <w:topLinePunct w:val="0"/>
              <w:bidi w:val="0"/>
              <w:spacing w:line="400" w:lineRule="exact"/>
              <w:rPr>
                <w:rFonts w:hint="eastAsia" w:ascii="宋体" w:hAnsi="宋体" w:eastAsia="宋体" w:cs="宋体"/>
                <w:sz w:val="21"/>
                <w:szCs w:val="21"/>
              </w:rPr>
            </w:pPr>
            <w:r>
              <w:rPr>
                <w:rFonts w:hint="eastAsia" w:ascii="宋体" w:hAnsi="宋体" w:eastAsia="宋体" w:cs="宋体"/>
                <w:sz w:val="21"/>
                <w:szCs w:val="21"/>
              </w:rPr>
              <w:t>无（或《艺术概论》、《戏剧概论》）。 本课程是表演专业的入门课程，无需严格的先修知识，但具备一定的艺术理论知识将有助于更好地理解课程内容。</w:t>
            </w:r>
          </w:p>
          <w:p w14:paraId="28006A1F">
            <w:pPr>
              <w:keepNext w:val="0"/>
              <w:keepLines w:val="0"/>
              <w:pageBreakBefore w:val="0"/>
              <w:kinsoku/>
              <w:wordWrap/>
              <w:overflowPunct/>
              <w:topLinePunct w:val="0"/>
              <w:bidi w:val="0"/>
              <w:spacing w:line="400" w:lineRule="exact"/>
              <w:rPr>
                <w:rFonts w:hint="eastAsia" w:ascii="宋体" w:hAnsi="宋体" w:eastAsia="宋体" w:cs="宋体"/>
                <w:sz w:val="21"/>
                <w:szCs w:val="21"/>
              </w:rPr>
            </w:pPr>
            <w:r>
              <w:rPr>
                <w:rFonts w:hint="eastAsia" w:ascii="宋体" w:hAnsi="宋体" w:eastAsia="宋体" w:cs="宋体"/>
                <w:sz w:val="21"/>
                <w:szCs w:val="21"/>
              </w:rPr>
              <w:t>后续课程：《角色创造》、《舞台语言技巧》、《剧目排演》、《影视表演实践》等。 本课程所训练的表演元素是所有后续高级表演课程的基础。</w:t>
            </w:r>
          </w:p>
        </w:tc>
      </w:tr>
      <w:tr w14:paraId="2AFDABA1">
        <w:trPr>
          <w:trHeight w:val="454" w:hRule="atLeast"/>
        </w:trPr>
        <w:tc>
          <w:tcPr>
            <w:tcW w:w="1431" w:type="dxa"/>
            <w:vAlign w:val="center"/>
          </w:tcPr>
          <w:p w14:paraId="167B4437">
            <w:pPr>
              <w:keepNext w:val="0"/>
              <w:keepLines w:val="0"/>
              <w:pageBreakBefore w:val="0"/>
              <w:kinsoku/>
              <w:wordWrap/>
              <w:overflowPunct/>
              <w:topLinePunct w:val="0"/>
              <w:bidi w:val="0"/>
              <w:spacing w:line="40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适用专业</w:t>
            </w:r>
          </w:p>
        </w:tc>
        <w:tc>
          <w:tcPr>
            <w:tcW w:w="7717" w:type="dxa"/>
            <w:gridSpan w:val="14"/>
            <w:vAlign w:val="center"/>
          </w:tcPr>
          <w:p w14:paraId="13BE6415">
            <w:pPr>
              <w:keepNext w:val="0"/>
              <w:keepLines w:val="0"/>
              <w:pageBreakBefore w:val="0"/>
              <w:kinsoku/>
              <w:wordWrap/>
              <w:overflowPunct/>
              <w:topLinePunct w:val="0"/>
              <w:bidi w:val="0"/>
              <w:spacing w:line="400" w:lineRule="exact"/>
              <w:jc w:val="both"/>
              <w:rPr>
                <w:rFonts w:hint="eastAsia" w:ascii="宋体" w:hAnsi="宋体" w:eastAsia="宋体" w:cs="宋体"/>
                <w:sz w:val="21"/>
                <w:szCs w:val="21"/>
              </w:rPr>
            </w:pPr>
            <w:r>
              <w:rPr>
                <w:rFonts w:hint="eastAsia" w:ascii="宋体" w:hAnsi="宋体" w:eastAsia="宋体" w:cs="宋体"/>
                <w:sz w:val="21"/>
                <w:szCs w:val="21"/>
              </w:rPr>
              <w:t>音乐学</w:t>
            </w:r>
          </w:p>
        </w:tc>
      </w:tr>
      <w:tr w14:paraId="1544538C">
        <w:tc>
          <w:tcPr>
            <w:tcW w:w="1431" w:type="dxa"/>
            <w:tcBorders>
              <w:bottom w:val="single" w:color="auto" w:sz="4" w:space="0"/>
            </w:tcBorders>
            <w:vAlign w:val="center"/>
          </w:tcPr>
          <w:p w14:paraId="0C9ED227">
            <w:pPr>
              <w:keepNext w:val="0"/>
              <w:keepLines w:val="0"/>
              <w:pageBreakBefore w:val="0"/>
              <w:kinsoku/>
              <w:wordWrap/>
              <w:overflowPunct/>
              <w:topLinePunct w:val="0"/>
              <w:bidi w:val="0"/>
              <w:spacing w:line="40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A</w:t>
            </w:r>
          </w:p>
          <w:p w14:paraId="23801DA1">
            <w:pPr>
              <w:keepNext w:val="0"/>
              <w:keepLines w:val="0"/>
              <w:pageBreakBefore w:val="0"/>
              <w:kinsoku/>
              <w:wordWrap/>
              <w:overflowPunct/>
              <w:topLinePunct w:val="0"/>
              <w:bidi w:val="0"/>
              <w:spacing w:line="40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参考教材</w:t>
            </w:r>
          </w:p>
        </w:tc>
        <w:tc>
          <w:tcPr>
            <w:tcW w:w="7717" w:type="dxa"/>
            <w:gridSpan w:val="14"/>
            <w:tcBorders>
              <w:bottom w:val="single" w:color="auto" w:sz="4" w:space="0"/>
            </w:tcBorders>
            <w:vAlign w:val="center"/>
          </w:tcPr>
          <w:p w14:paraId="6ABB9C56">
            <w:pPr>
              <w:keepNext w:val="0"/>
              <w:keepLines w:val="0"/>
              <w:pageBreakBefore w:val="0"/>
              <w:widowControl/>
              <w:kinsoku/>
              <w:wordWrap/>
              <w:overflowPunct/>
              <w:topLinePunct w:val="0"/>
              <w:bidi w:val="0"/>
              <w:spacing w:line="400" w:lineRule="exact"/>
              <w:jc w:val="left"/>
              <w:rPr>
                <w:rFonts w:hint="eastAsia" w:ascii="宋体" w:hAnsi="宋体" w:eastAsia="宋体" w:cs="宋体"/>
                <w:sz w:val="21"/>
                <w:szCs w:val="21"/>
              </w:rPr>
            </w:pPr>
            <w:r>
              <w:rPr>
                <w:rFonts w:hint="eastAsia" w:ascii="宋体" w:hAnsi="宋体" w:eastAsia="宋体" w:cs="宋体"/>
                <w:sz w:val="21"/>
                <w:szCs w:val="21"/>
              </w:rPr>
              <w:t>1. 《戏剧表演基础》，梁伯龙，李月 主编，文化艺术出版社。</w:t>
            </w:r>
          </w:p>
        </w:tc>
      </w:tr>
      <w:tr w14:paraId="161CF093">
        <w:tc>
          <w:tcPr>
            <w:tcW w:w="1431" w:type="dxa"/>
            <w:tcBorders>
              <w:bottom w:val="single" w:color="auto" w:sz="4" w:space="0"/>
            </w:tcBorders>
            <w:vAlign w:val="center"/>
          </w:tcPr>
          <w:p w14:paraId="63DB3E28">
            <w:pPr>
              <w:keepNext w:val="0"/>
              <w:keepLines w:val="0"/>
              <w:pageBreakBefore w:val="0"/>
              <w:kinsoku/>
              <w:wordWrap/>
              <w:overflowPunct/>
              <w:topLinePunct w:val="0"/>
              <w:bidi w:val="0"/>
              <w:spacing w:line="40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B</w:t>
            </w:r>
          </w:p>
          <w:p w14:paraId="1D385803">
            <w:pPr>
              <w:keepNext w:val="0"/>
              <w:keepLines w:val="0"/>
              <w:pageBreakBefore w:val="0"/>
              <w:kinsoku/>
              <w:wordWrap/>
              <w:overflowPunct/>
              <w:topLinePunct w:val="0"/>
              <w:bidi w:val="0"/>
              <w:spacing w:line="40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主要参考书籍</w:t>
            </w:r>
          </w:p>
        </w:tc>
        <w:tc>
          <w:tcPr>
            <w:tcW w:w="7717" w:type="dxa"/>
            <w:gridSpan w:val="14"/>
            <w:tcBorders>
              <w:bottom w:val="single" w:color="auto" w:sz="4" w:space="0"/>
            </w:tcBorders>
            <w:vAlign w:val="center"/>
          </w:tcPr>
          <w:p w14:paraId="594F0D18">
            <w:pPr>
              <w:keepNext w:val="0"/>
              <w:keepLines w:val="0"/>
              <w:pageBreakBefore w:val="0"/>
              <w:widowControl/>
              <w:kinsoku/>
              <w:wordWrap/>
              <w:overflowPunct/>
              <w:topLinePunct w:val="0"/>
              <w:bidi w:val="0"/>
              <w:spacing w:line="400" w:lineRule="exact"/>
              <w:jc w:val="left"/>
              <w:rPr>
                <w:rFonts w:hint="eastAsia" w:ascii="宋体" w:hAnsi="宋体" w:eastAsia="宋体" w:cs="宋体"/>
                <w:sz w:val="21"/>
                <w:szCs w:val="21"/>
              </w:rPr>
            </w:pPr>
            <w:r>
              <w:rPr>
                <w:rFonts w:hint="eastAsia" w:ascii="宋体" w:hAnsi="宋体" w:eastAsia="宋体" w:cs="宋体"/>
                <w:sz w:val="21"/>
                <w:szCs w:val="21"/>
              </w:rPr>
              <w:t>1《表演艺术教程：演员学习手册》，林洪桐 著，北京广播学院出版社。</w:t>
            </w:r>
          </w:p>
          <w:p w14:paraId="0E24CBC5">
            <w:pPr>
              <w:keepNext w:val="0"/>
              <w:keepLines w:val="0"/>
              <w:pageBreakBefore w:val="0"/>
              <w:widowControl/>
              <w:kinsoku/>
              <w:wordWrap/>
              <w:overflowPunct/>
              <w:topLinePunct w:val="0"/>
              <w:bidi w:val="0"/>
              <w:spacing w:line="400" w:lineRule="exact"/>
              <w:jc w:val="left"/>
              <w:rPr>
                <w:rFonts w:hint="eastAsia" w:ascii="宋体" w:hAnsi="宋体" w:eastAsia="宋体" w:cs="宋体"/>
                <w:sz w:val="21"/>
                <w:szCs w:val="21"/>
              </w:rPr>
            </w:pPr>
            <w:r>
              <w:rPr>
                <w:rFonts w:hint="eastAsia" w:ascii="宋体" w:hAnsi="宋体" w:eastAsia="宋体" w:cs="宋体"/>
                <w:sz w:val="21"/>
                <w:szCs w:val="21"/>
              </w:rPr>
              <w:t>3《戏剧表演学》，胡导 著，中国戏剧出版社。</w:t>
            </w:r>
          </w:p>
          <w:p w14:paraId="655ACA21">
            <w:pPr>
              <w:keepNext w:val="0"/>
              <w:keepLines w:val="0"/>
              <w:pageBreakBefore w:val="0"/>
              <w:widowControl/>
              <w:kinsoku/>
              <w:wordWrap/>
              <w:overflowPunct/>
              <w:topLinePunct w:val="0"/>
              <w:bidi w:val="0"/>
              <w:spacing w:line="400" w:lineRule="exact"/>
              <w:jc w:val="left"/>
              <w:rPr>
                <w:rFonts w:hint="eastAsia" w:ascii="宋体" w:hAnsi="宋体" w:eastAsia="宋体" w:cs="宋体"/>
                <w:sz w:val="21"/>
                <w:szCs w:val="21"/>
              </w:rPr>
            </w:pPr>
            <w:r>
              <w:rPr>
                <w:rFonts w:hint="eastAsia" w:ascii="宋体" w:hAnsi="宋体" w:eastAsia="宋体" w:cs="宋体"/>
                <w:sz w:val="21"/>
                <w:szCs w:val="21"/>
              </w:rPr>
              <w:t>4《表演训练法》，杨扬 著，北京联合出版公司。</w:t>
            </w:r>
          </w:p>
          <w:p w14:paraId="2A5FCE10">
            <w:pPr>
              <w:keepNext w:val="0"/>
              <w:keepLines w:val="0"/>
              <w:pageBreakBefore w:val="0"/>
              <w:widowControl/>
              <w:kinsoku/>
              <w:wordWrap/>
              <w:overflowPunct/>
              <w:topLinePunct w:val="0"/>
              <w:bidi w:val="0"/>
              <w:spacing w:line="400" w:lineRule="exact"/>
              <w:jc w:val="left"/>
              <w:rPr>
                <w:rFonts w:hint="eastAsia" w:ascii="宋体" w:hAnsi="宋体" w:eastAsia="宋体" w:cs="宋体"/>
                <w:sz w:val="21"/>
                <w:szCs w:val="21"/>
              </w:rPr>
            </w:pPr>
            <w:r>
              <w:rPr>
                <w:rFonts w:hint="eastAsia" w:ascii="宋体" w:hAnsi="宋体" w:eastAsia="宋体" w:cs="宋体"/>
                <w:sz w:val="21"/>
                <w:szCs w:val="21"/>
              </w:rPr>
              <w:t>5《尊重表演艺术》，[美] 乌塔·哈根 著，北京联合出版公司。</w:t>
            </w:r>
          </w:p>
        </w:tc>
      </w:tr>
      <w:tr w14:paraId="4C25BE48">
        <w:tc>
          <w:tcPr>
            <w:tcW w:w="1431" w:type="dxa"/>
            <w:tcBorders>
              <w:bottom w:val="single" w:color="auto" w:sz="4" w:space="0"/>
            </w:tcBorders>
            <w:vAlign w:val="center"/>
          </w:tcPr>
          <w:p w14:paraId="25006816">
            <w:pPr>
              <w:keepNext w:val="0"/>
              <w:keepLines w:val="0"/>
              <w:pageBreakBefore w:val="0"/>
              <w:kinsoku/>
              <w:wordWrap/>
              <w:overflowPunct/>
              <w:topLinePunct w:val="0"/>
              <w:bidi w:val="0"/>
              <w:spacing w:line="40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C</w:t>
            </w:r>
          </w:p>
          <w:p w14:paraId="7680D7A1">
            <w:pPr>
              <w:keepNext w:val="0"/>
              <w:keepLines w:val="0"/>
              <w:pageBreakBefore w:val="0"/>
              <w:kinsoku/>
              <w:wordWrap/>
              <w:overflowPunct/>
              <w:topLinePunct w:val="0"/>
              <w:bidi w:val="0"/>
              <w:spacing w:line="40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线上学习资源</w:t>
            </w:r>
          </w:p>
        </w:tc>
        <w:tc>
          <w:tcPr>
            <w:tcW w:w="7717" w:type="dxa"/>
            <w:gridSpan w:val="14"/>
            <w:tcBorders>
              <w:bottom w:val="single" w:color="auto" w:sz="4" w:space="0"/>
            </w:tcBorders>
            <w:vAlign w:val="center"/>
          </w:tcPr>
          <w:p w14:paraId="74C9B28B">
            <w:pPr>
              <w:keepNext w:val="0"/>
              <w:keepLines w:val="0"/>
              <w:pageBreakBefore w:val="0"/>
              <w:widowControl/>
              <w:kinsoku/>
              <w:wordWrap/>
              <w:overflowPunct/>
              <w:topLinePunct w:val="0"/>
              <w:bidi w:val="0"/>
              <w:spacing w:line="400" w:lineRule="exact"/>
              <w:rPr>
                <w:rFonts w:hint="eastAsia" w:ascii="宋体" w:hAnsi="宋体" w:eastAsia="宋体" w:cs="宋体"/>
                <w:sz w:val="21"/>
                <w:szCs w:val="21"/>
              </w:rPr>
            </w:pPr>
            <w:r>
              <w:rPr>
                <w:rFonts w:hint="eastAsia" w:ascii="宋体" w:hAnsi="宋体" w:eastAsia="宋体" w:cs="宋体"/>
                <w:sz w:val="21"/>
                <w:szCs w:val="21"/>
              </w:rPr>
              <w:t>1.中国大学MOOC (慕课) / 学堂在线： 搜索国内外院校开设的《表演基础》、《戏剧入门》等相关课程。</w:t>
            </w:r>
          </w:p>
          <w:p w14:paraId="5680DE61">
            <w:pPr>
              <w:keepNext w:val="0"/>
              <w:keepLines w:val="0"/>
              <w:pageBreakBefore w:val="0"/>
              <w:widowControl/>
              <w:kinsoku/>
              <w:wordWrap/>
              <w:overflowPunct/>
              <w:topLinePunct w:val="0"/>
              <w:bidi w:val="0"/>
              <w:spacing w:line="400" w:lineRule="exact"/>
              <w:rPr>
                <w:rFonts w:hint="eastAsia" w:ascii="宋体" w:hAnsi="宋体" w:eastAsia="宋体" w:cs="宋体"/>
                <w:sz w:val="21"/>
                <w:szCs w:val="21"/>
              </w:rPr>
            </w:pPr>
            <w:r>
              <w:rPr>
                <w:rFonts w:hint="eastAsia" w:ascii="宋体" w:hAnsi="宋体" w:eastAsia="宋体" w:cs="宋体"/>
                <w:sz w:val="21"/>
                <w:szCs w:val="21"/>
              </w:rPr>
              <w:t>2. Bilibili（B站）： 搜索“表演工作坊”、“演员训练法”、“斯坦尼斯拉夫斯基体系”等关键词，有大量大师课、工作坊实录和剧目片段。</w:t>
            </w:r>
          </w:p>
          <w:p w14:paraId="6BCF11E5">
            <w:pPr>
              <w:keepNext w:val="0"/>
              <w:keepLines w:val="0"/>
              <w:pageBreakBefore w:val="0"/>
              <w:widowControl/>
              <w:kinsoku/>
              <w:wordWrap/>
              <w:overflowPunct/>
              <w:topLinePunct w:val="0"/>
              <w:bidi w:val="0"/>
              <w:spacing w:line="400" w:lineRule="exact"/>
              <w:rPr>
                <w:rFonts w:hint="eastAsia" w:ascii="宋体" w:hAnsi="宋体" w:eastAsia="宋体" w:cs="宋体"/>
                <w:sz w:val="21"/>
                <w:szCs w:val="21"/>
              </w:rPr>
            </w:pPr>
            <w:r>
              <w:rPr>
                <w:rFonts w:hint="eastAsia" w:ascii="宋体" w:hAnsi="宋体" w:eastAsia="宋体" w:cs="宋体"/>
                <w:sz w:val="21"/>
                <w:szCs w:val="21"/>
              </w:rPr>
              <w:t>3. 数字图书馆： 超星独秀、知网等，查阅表演理论、演员创作谈等学术论文和电子书籍。</w:t>
            </w:r>
          </w:p>
          <w:p w14:paraId="07491D78">
            <w:pPr>
              <w:keepNext w:val="0"/>
              <w:keepLines w:val="0"/>
              <w:pageBreakBefore w:val="0"/>
              <w:widowControl/>
              <w:kinsoku/>
              <w:wordWrap/>
              <w:overflowPunct/>
              <w:topLinePunct w:val="0"/>
              <w:bidi w:val="0"/>
              <w:spacing w:line="400" w:lineRule="exact"/>
              <w:rPr>
                <w:rFonts w:hint="eastAsia" w:ascii="宋体" w:hAnsi="宋体" w:eastAsia="宋体" w:cs="宋体"/>
                <w:sz w:val="21"/>
                <w:szCs w:val="21"/>
              </w:rPr>
            </w:pPr>
            <w:r>
              <w:rPr>
                <w:rFonts w:hint="eastAsia" w:ascii="宋体" w:hAnsi="宋体" w:eastAsia="宋体" w:cs="宋体"/>
                <w:sz w:val="21"/>
                <w:szCs w:val="21"/>
              </w:rPr>
              <w:t>4. 经典剧目影像资料库： 如“国家大剧院古典音乐频道”、“百老汇高清”等，观摩学习中外经典话剧、舞台剧作品。</w:t>
            </w:r>
          </w:p>
        </w:tc>
      </w:tr>
      <w:tr w14:paraId="73478894">
        <w:trPr>
          <w:trHeight w:val="90" w:hRule="atLeast"/>
        </w:trPr>
        <w:tc>
          <w:tcPr>
            <w:tcW w:w="1431" w:type="dxa"/>
            <w:shd w:val="clear" w:color="auto" w:fill="FFFFFF"/>
            <w:vAlign w:val="center"/>
          </w:tcPr>
          <w:p w14:paraId="7EB57D86">
            <w:pPr>
              <w:keepNext w:val="0"/>
              <w:keepLines w:val="0"/>
              <w:pageBreakBefore w:val="0"/>
              <w:kinsoku/>
              <w:wordWrap/>
              <w:overflowPunct/>
              <w:topLinePunct w:val="0"/>
              <w:bidi w:val="0"/>
              <w:spacing w:line="40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D</w:t>
            </w:r>
          </w:p>
          <w:p w14:paraId="3564E989">
            <w:pPr>
              <w:keepNext w:val="0"/>
              <w:keepLines w:val="0"/>
              <w:pageBreakBefore w:val="0"/>
              <w:kinsoku/>
              <w:wordWrap/>
              <w:overflowPunct/>
              <w:topLinePunct w:val="0"/>
              <w:bidi w:val="0"/>
              <w:spacing w:line="40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课程描述 </w:t>
            </w:r>
          </w:p>
          <w:p w14:paraId="1E960EAF">
            <w:pPr>
              <w:keepNext w:val="0"/>
              <w:keepLines w:val="0"/>
              <w:pageBreakBefore w:val="0"/>
              <w:kinsoku/>
              <w:wordWrap/>
              <w:overflowPunct/>
              <w:topLinePunct w:val="0"/>
              <w:bidi w:val="0"/>
              <w:spacing w:line="40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lang w:eastAsia="zh-TW"/>
              </w:rPr>
              <w:t>(</w:t>
            </w:r>
            <w:r>
              <w:rPr>
                <w:rFonts w:hint="eastAsia" w:ascii="宋体" w:hAnsi="宋体" w:eastAsia="宋体" w:cs="宋体"/>
                <w:color w:val="000000"/>
                <w:sz w:val="21"/>
                <w:szCs w:val="21"/>
              </w:rPr>
              <w:t>含</w:t>
            </w:r>
            <w:r>
              <w:rPr>
                <w:rFonts w:hint="eastAsia" w:ascii="宋体" w:hAnsi="宋体" w:eastAsia="宋体" w:cs="宋体"/>
                <w:color w:val="000000"/>
                <w:sz w:val="21"/>
                <w:szCs w:val="21"/>
                <w:lang w:eastAsia="zh-TW"/>
              </w:rPr>
              <w:t>性质、地位和任务)</w:t>
            </w:r>
          </w:p>
        </w:tc>
        <w:tc>
          <w:tcPr>
            <w:tcW w:w="7717" w:type="dxa"/>
            <w:gridSpan w:val="14"/>
            <w:tcBorders>
              <w:bottom w:val="single" w:color="auto" w:sz="4" w:space="0"/>
            </w:tcBorders>
            <w:shd w:val="clear" w:color="auto" w:fill="FFFFFF"/>
            <w:vAlign w:val="center"/>
          </w:tcPr>
          <w:p w14:paraId="7EC99940">
            <w:pPr>
              <w:keepNext w:val="0"/>
              <w:keepLines w:val="0"/>
              <w:pageBreakBefore w:val="0"/>
              <w:widowControl/>
              <w:kinsoku/>
              <w:wordWrap/>
              <w:overflowPunct/>
              <w:topLinePunct w:val="0"/>
              <w:bidi w:val="0"/>
              <w:spacing w:line="4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课程性质与地位： 本课程是表演艺术类专业的一门核心专业基础必修课。它系统地介绍了戏剧表演艺术的基本规律、创作方法和专业技能，是引导学生从“普通人”走向“演员”的启蒙和桥梁，在整个专业课程体系中处于奠基性的重要地位。</w:t>
            </w:r>
          </w:p>
          <w:p w14:paraId="6438F4DD">
            <w:pPr>
              <w:keepNext w:val="0"/>
              <w:keepLines w:val="0"/>
              <w:pageBreakBefore w:val="0"/>
              <w:widowControl/>
              <w:kinsoku/>
              <w:wordWrap/>
              <w:overflowPunct/>
              <w:topLinePunct w:val="0"/>
              <w:bidi w:val="0"/>
              <w:spacing w:line="400" w:lineRule="exact"/>
              <w:ind w:firstLine="420" w:firstLineChars="200"/>
              <w:jc w:val="left"/>
              <w:rPr>
                <w:rFonts w:hint="eastAsia" w:ascii="宋体" w:hAnsi="宋体" w:eastAsia="宋体" w:cs="宋体"/>
                <w:color w:val="000000"/>
                <w:sz w:val="21"/>
                <w:szCs w:val="21"/>
              </w:rPr>
            </w:pPr>
            <w:r>
              <w:rPr>
                <w:rFonts w:hint="eastAsia" w:ascii="宋体" w:hAnsi="宋体" w:eastAsia="宋体" w:cs="宋体"/>
                <w:sz w:val="21"/>
                <w:szCs w:val="21"/>
              </w:rPr>
              <w:t>课程任务： 本课程的任务在于解放与开发学生的演员资质（身体、声音、情感、想象力），使学生系统地理解和掌握戏剧表演的基本元素（注意力集中、想象力、真实感与信念、交流与适应等），并通过大量实践练习，初步建立正确的表演观念，掌握表演创作的基本方法和流程，为后续的角色创造和剧目演出打下坚实的能力基础和良好的心理素质。</w:t>
            </w:r>
          </w:p>
        </w:tc>
      </w:tr>
      <w:tr w14:paraId="10428BF6">
        <w:trPr>
          <w:trHeight w:val="3071" w:hRule="atLeast"/>
        </w:trPr>
        <w:tc>
          <w:tcPr>
            <w:tcW w:w="1431" w:type="dxa"/>
            <w:vMerge w:val="restart"/>
            <w:shd w:val="clear" w:color="auto" w:fill="FFFFFF"/>
            <w:vAlign w:val="center"/>
          </w:tcPr>
          <w:p w14:paraId="5D16A6DC">
            <w:pPr>
              <w:keepNext w:val="0"/>
              <w:keepLines w:val="0"/>
              <w:pageBreakBefore w:val="0"/>
              <w:kinsoku/>
              <w:wordWrap/>
              <w:overflowPunct/>
              <w:topLinePunct w:val="0"/>
              <w:bidi w:val="0"/>
              <w:spacing w:line="40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E</w:t>
            </w:r>
          </w:p>
          <w:p w14:paraId="1F3B1FB0">
            <w:pPr>
              <w:keepNext w:val="0"/>
              <w:keepLines w:val="0"/>
              <w:pageBreakBefore w:val="0"/>
              <w:kinsoku/>
              <w:wordWrap/>
              <w:overflowPunct/>
              <w:topLinePunct w:val="0"/>
              <w:bidi w:val="0"/>
              <w:spacing w:line="40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课程学习目标及其与毕业要求的对应关系</w:t>
            </w:r>
          </w:p>
        </w:tc>
        <w:tc>
          <w:tcPr>
            <w:tcW w:w="7717" w:type="dxa"/>
            <w:gridSpan w:val="14"/>
            <w:tcBorders>
              <w:bottom w:val="single" w:color="auto" w:sz="4" w:space="0"/>
            </w:tcBorders>
            <w:shd w:val="clear" w:color="auto" w:fill="FFFFFF"/>
            <w:vAlign w:val="center"/>
          </w:tcPr>
          <w:p w14:paraId="44C9F900">
            <w:pPr>
              <w:keepNext w:val="0"/>
              <w:keepLines w:val="0"/>
              <w:pageBreakBefore w:val="0"/>
              <w:widowControl/>
              <w:kinsoku/>
              <w:wordWrap/>
              <w:overflowPunct/>
              <w:topLinePunct w:val="0"/>
              <w:bidi w:val="0"/>
              <w:spacing w:line="400" w:lineRule="exact"/>
              <w:ind w:firstLine="420" w:firstLineChars="200"/>
              <w:jc w:val="left"/>
              <w:rPr>
                <w:rFonts w:hint="eastAsia" w:ascii="宋体" w:hAnsi="宋体" w:eastAsia="宋体" w:cs="宋体"/>
                <w:color w:val="000000"/>
                <w:sz w:val="21"/>
                <w:szCs w:val="21"/>
              </w:rPr>
            </w:pPr>
            <w:r>
              <w:rPr>
                <w:rFonts w:hint="eastAsia" w:ascii="宋体" w:hAnsi="宋体" w:eastAsia="宋体" w:cs="宋体"/>
                <w:color w:val="000000"/>
                <w:sz w:val="21"/>
                <w:szCs w:val="21"/>
              </w:rPr>
              <w:t>通过本课程的学习，学生具备如下知识、能力及情感态度价值观。</w:t>
            </w:r>
          </w:p>
          <w:p w14:paraId="27498DC0">
            <w:pPr>
              <w:keepNext w:val="0"/>
              <w:keepLines w:val="0"/>
              <w:pageBreakBefore w:val="0"/>
              <w:widowControl/>
              <w:kinsoku/>
              <w:wordWrap/>
              <w:overflowPunct/>
              <w:topLinePunct w:val="0"/>
              <w:bidi w:val="0"/>
              <w:spacing w:line="400" w:lineRule="exact"/>
              <w:jc w:val="left"/>
              <w:rPr>
                <w:rFonts w:hint="eastAsia" w:ascii="宋体" w:hAnsi="宋体" w:eastAsia="宋体" w:cs="宋体"/>
                <w:color w:val="000000"/>
                <w:sz w:val="21"/>
                <w:szCs w:val="21"/>
              </w:rPr>
            </w:pPr>
            <w:r>
              <w:rPr>
                <w:rFonts w:hint="eastAsia" w:ascii="宋体" w:hAnsi="宋体" w:eastAsia="宋体" w:cs="宋体"/>
                <w:b/>
                <w:color w:val="000000"/>
                <w:sz w:val="21"/>
                <w:szCs w:val="21"/>
              </w:rPr>
              <w:t xml:space="preserve">课程目标1: </w:t>
            </w:r>
            <w:r>
              <w:rPr>
                <w:rFonts w:hint="eastAsia" w:ascii="宋体" w:hAnsi="宋体" w:eastAsia="宋体" w:cs="宋体"/>
                <w:color w:val="000000"/>
                <w:sz w:val="21"/>
                <w:szCs w:val="21"/>
              </w:rPr>
              <w:t>熟练掌握戏剧表演及相关专业的基础理论、知识与实践技能，厚植中华优秀传统文化底蕴，树立正确艺术创作观；具备整合专业理论与实践的能力，以工匠精神锤炼本领，拥有戏剧表演实践的探究与创新能力，创作中传递正能量、弘扬主旋律。</w:t>
            </w:r>
            <w:r>
              <w:rPr>
                <w:rFonts w:hint="eastAsia" w:ascii="宋体" w:hAnsi="宋体" w:eastAsia="宋体" w:cs="宋体"/>
                <w:b/>
                <w:color w:val="000000"/>
                <w:sz w:val="21"/>
                <w:szCs w:val="21"/>
              </w:rPr>
              <w:t>（支撑毕业要求3.1）</w:t>
            </w:r>
          </w:p>
          <w:p w14:paraId="3B926E31">
            <w:pPr>
              <w:keepNext w:val="0"/>
              <w:keepLines w:val="0"/>
              <w:pageBreakBefore w:val="0"/>
              <w:widowControl/>
              <w:kinsoku/>
              <w:wordWrap/>
              <w:overflowPunct/>
              <w:topLinePunct w:val="0"/>
              <w:bidi w:val="0"/>
              <w:spacing w:line="400" w:lineRule="exact"/>
              <w:jc w:val="left"/>
              <w:rPr>
                <w:rFonts w:hint="eastAsia" w:ascii="宋体" w:hAnsi="宋体" w:eastAsia="宋体" w:cs="宋体"/>
                <w:b/>
                <w:color w:val="000000"/>
                <w:sz w:val="21"/>
                <w:szCs w:val="21"/>
              </w:rPr>
            </w:pPr>
            <w:r>
              <w:rPr>
                <w:rFonts w:hint="eastAsia" w:ascii="宋体" w:hAnsi="宋体" w:eastAsia="宋体" w:cs="宋体"/>
                <w:b/>
                <w:color w:val="000000"/>
                <w:sz w:val="21"/>
                <w:szCs w:val="21"/>
              </w:rPr>
              <w:t>课程目标2：</w:t>
            </w:r>
            <w:r>
              <w:rPr>
                <w:rFonts w:hint="eastAsia" w:ascii="宋体" w:hAnsi="宋体" w:eastAsia="宋体" w:cs="宋体"/>
                <w:color w:val="000000"/>
                <w:sz w:val="21"/>
                <w:szCs w:val="21"/>
              </w:rPr>
              <w:t>知晓戏剧表演发展趋势、动态及与教学、社会生活的联系，理解艺术服务人民、扎根生活的内涵；将社会主义核心价值观融入实践与教学，运用所学分析解决基础戏剧教学与艺术实践问题，传播优秀文化、践行美育使命。（</w:t>
            </w:r>
            <w:r>
              <w:rPr>
                <w:rFonts w:hint="eastAsia" w:ascii="宋体" w:hAnsi="宋体" w:eastAsia="宋体" w:cs="宋体"/>
                <w:b/>
                <w:color w:val="000000"/>
                <w:sz w:val="21"/>
                <w:szCs w:val="21"/>
              </w:rPr>
              <w:t>支撑毕业要求7.1）</w:t>
            </w:r>
          </w:p>
          <w:p w14:paraId="6B6D0106">
            <w:pPr>
              <w:keepNext w:val="0"/>
              <w:keepLines w:val="0"/>
              <w:pageBreakBefore w:val="0"/>
              <w:widowControl/>
              <w:kinsoku/>
              <w:wordWrap/>
              <w:overflowPunct/>
              <w:topLinePunct w:val="0"/>
              <w:bidi w:val="0"/>
              <w:spacing w:line="400" w:lineRule="exact"/>
              <w:jc w:val="left"/>
              <w:rPr>
                <w:rFonts w:hint="eastAsia" w:ascii="宋体" w:hAnsi="宋体" w:eastAsia="宋体" w:cs="宋体"/>
                <w:sz w:val="21"/>
                <w:szCs w:val="21"/>
              </w:rPr>
            </w:pPr>
            <w:r>
              <w:rPr>
                <w:rFonts w:hint="eastAsia" w:ascii="宋体" w:hAnsi="宋体" w:eastAsia="宋体" w:cs="宋体"/>
                <w:b/>
                <w:color w:val="000000"/>
                <w:sz w:val="21"/>
                <w:szCs w:val="21"/>
              </w:rPr>
              <w:t>课程目标3：</w:t>
            </w:r>
            <w:r>
              <w:rPr>
                <w:rFonts w:hint="eastAsia" w:ascii="宋体" w:hAnsi="宋体" w:eastAsia="宋体" w:cs="宋体"/>
                <w:color w:val="000000"/>
                <w:sz w:val="21"/>
                <w:szCs w:val="21"/>
              </w:rPr>
              <w:t>在艺术实践中强化集体主义观念，形成团结协作的团队理念，于团队协作中提升自身价值与能力；秉持立德树人初心，运用所学进行戏剧节目编排指导，传递文化自信、培育责任担当。</w:t>
            </w:r>
            <w:r>
              <w:rPr>
                <w:rFonts w:hint="eastAsia" w:ascii="宋体" w:hAnsi="宋体" w:eastAsia="宋体" w:cs="宋体"/>
                <w:b/>
                <w:color w:val="000000"/>
                <w:sz w:val="21"/>
                <w:szCs w:val="21"/>
              </w:rPr>
              <w:t>（支撑毕业要求8.2）</w:t>
            </w:r>
          </w:p>
        </w:tc>
      </w:tr>
      <w:tr w14:paraId="593B9B3A">
        <w:trPr>
          <w:trHeight w:val="642" w:hRule="atLeast"/>
        </w:trPr>
        <w:tc>
          <w:tcPr>
            <w:tcW w:w="1431" w:type="dxa"/>
            <w:vMerge w:val="continue"/>
            <w:shd w:val="clear" w:color="auto" w:fill="FFFFFF"/>
            <w:vAlign w:val="center"/>
          </w:tcPr>
          <w:p w14:paraId="41C994F5">
            <w:pPr>
              <w:keepNext w:val="0"/>
              <w:keepLines w:val="0"/>
              <w:pageBreakBefore w:val="0"/>
              <w:kinsoku/>
              <w:wordWrap/>
              <w:overflowPunct/>
              <w:topLinePunct w:val="0"/>
              <w:bidi w:val="0"/>
              <w:spacing w:line="400" w:lineRule="exact"/>
              <w:jc w:val="center"/>
              <w:rPr>
                <w:rFonts w:hint="eastAsia" w:ascii="宋体" w:hAnsi="宋体" w:eastAsia="宋体" w:cs="宋体"/>
                <w:color w:val="000000"/>
                <w:sz w:val="21"/>
                <w:szCs w:val="21"/>
              </w:rPr>
            </w:pPr>
          </w:p>
        </w:tc>
        <w:tc>
          <w:tcPr>
            <w:tcW w:w="1119" w:type="dxa"/>
            <w:gridSpan w:val="2"/>
            <w:tcBorders>
              <w:bottom w:val="single" w:color="auto" w:sz="4" w:space="0"/>
            </w:tcBorders>
            <w:shd w:val="clear" w:color="auto" w:fill="FFFFFF"/>
            <w:vAlign w:val="center"/>
          </w:tcPr>
          <w:p w14:paraId="7B7548AC">
            <w:pPr>
              <w:keepNext w:val="0"/>
              <w:keepLines w:val="0"/>
              <w:pageBreakBefore w:val="0"/>
              <w:kinsoku/>
              <w:wordWrap/>
              <w:overflowPunct/>
              <w:topLinePunct w:val="0"/>
              <w:bidi w:val="0"/>
              <w:spacing w:line="40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课程目标</w:t>
            </w:r>
          </w:p>
        </w:tc>
        <w:tc>
          <w:tcPr>
            <w:tcW w:w="4521" w:type="dxa"/>
            <w:gridSpan w:val="7"/>
            <w:tcBorders>
              <w:bottom w:val="single" w:color="auto" w:sz="4" w:space="0"/>
            </w:tcBorders>
            <w:shd w:val="clear" w:color="auto" w:fill="FFFFFF"/>
            <w:vAlign w:val="center"/>
          </w:tcPr>
          <w:p w14:paraId="29891B36">
            <w:pPr>
              <w:keepNext w:val="0"/>
              <w:keepLines w:val="0"/>
              <w:pageBreakBefore w:val="0"/>
              <w:kinsoku/>
              <w:wordWrap/>
              <w:overflowPunct/>
              <w:topLinePunct w:val="0"/>
              <w:bidi w:val="0"/>
              <w:spacing w:line="40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毕业要求分解指标点</w:t>
            </w:r>
          </w:p>
        </w:tc>
        <w:tc>
          <w:tcPr>
            <w:tcW w:w="2077" w:type="dxa"/>
            <w:gridSpan w:val="5"/>
            <w:tcBorders>
              <w:bottom w:val="single" w:color="auto" w:sz="4" w:space="0"/>
            </w:tcBorders>
            <w:shd w:val="clear" w:color="auto" w:fill="FFFFFF"/>
            <w:vAlign w:val="center"/>
          </w:tcPr>
          <w:p w14:paraId="7A3FBC52">
            <w:pPr>
              <w:keepNext w:val="0"/>
              <w:keepLines w:val="0"/>
              <w:pageBreakBefore w:val="0"/>
              <w:kinsoku/>
              <w:wordWrap/>
              <w:overflowPunct/>
              <w:topLinePunct w:val="0"/>
              <w:bidi w:val="0"/>
              <w:spacing w:line="40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毕业要求</w:t>
            </w:r>
          </w:p>
        </w:tc>
      </w:tr>
      <w:tr w14:paraId="29A76E35">
        <w:trPr>
          <w:trHeight w:val="1644" w:hRule="atLeast"/>
        </w:trPr>
        <w:tc>
          <w:tcPr>
            <w:tcW w:w="1431" w:type="dxa"/>
            <w:vMerge w:val="continue"/>
            <w:shd w:val="clear" w:color="auto" w:fill="FFFFFF"/>
            <w:vAlign w:val="center"/>
          </w:tcPr>
          <w:p w14:paraId="57E46776">
            <w:pPr>
              <w:keepNext w:val="0"/>
              <w:keepLines w:val="0"/>
              <w:pageBreakBefore w:val="0"/>
              <w:kinsoku/>
              <w:wordWrap/>
              <w:overflowPunct/>
              <w:topLinePunct w:val="0"/>
              <w:bidi w:val="0"/>
              <w:spacing w:line="400" w:lineRule="exact"/>
              <w:jc w:val="center"/>
              <w:rPr>
                <w:rFonts w:hint="eastAsia" w:ascii="宋体" w:hAnsi="宋体" w:eastAsia="宋体" w:cs="宋体"/>
                <w:color w:val="000000"/>
                <w:sz w:val="21"/>
                <w:szCs w:val="21"/>
              </w:rPr>
            </w:pPr>
          </w:p>
        </w:tc>
        <w:tc>
          <w:tcPr>
            <w:tcW w:w="1119" w:type="dxa"/>
            <w:gridSpan w:val="2"/>
            <w:shd w:val="clear" w:color="auto" w:fill="FFFFFF"/>
            <w:vAlign w:val="center"/>
          </w:tcPr>
          <w:p w14:paraId="246C20C5">
            <w:pPr>
              <w:keepNext w:val="0"/>
              <w:keepLines w:val="0"/>
              <w:pageBreakBefore w:val="0"/>
              <w:kinsoku/>
              <w:wordWrap/>
              <w:overflowPunct/>
              <w:topLinePunct w:val="0"/>
              <w:bidi w:val="0"/>
              <w:spacing w:line="40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课程目标1</w:t>
            </w:r>
          </w:p>
        </w:tc>
        <w:tc>
          <w:tcPr>
            <w:tcW w:w="4521" w:type="dxa"/>
            <w:gridSpan w:val="7"/>
            <w:shd w:val="clear" w:color="auto" w:fill="FFFFFF"/>
            <w:vAlign w:val="center"/>
          </w:tcPr>
          <w:p w14:paraId="5C4BCC78">
            <w:pPr>
              <w:keepNext w:val="0"/>
              <w:keepLines w:val="0"/>
              <w:pageBreakBefore w:val="0"/>
              <w:kinsoku/>
              <w:wordWrap/>
              <w:overflowPunct/>
              <w:topLinePunct w:val="0"/>
              <w:bidi w:val="0"/>
              <w:spacing w:line="400" w:lineRule="exact"/>
              <w:jc w:val="left"/>
              <w:rPr>
                <w:rFonts w:hint="eastAsia" w:ascii="宋体" w:hAnsi="宋体" w:eastAsia="宋体" w:cs="宋体"/>
                <w:sz w:val="21"/>
                <w:szCs w:val="21"/>
              </w:rPr>
            </w:pPr>
            <w:r>
              <w:rPr>
                <w:rFonts w:hint="eastAsia" w:ascii="宋体" w:hAnsi="宋体" w:eastAsia="宋体" w:cs="宋体"/>
                <w:sz w:val="21"/>
                <w:szCs w:val="21"/>
              </w:rPr>
              <w:t>3.1【专业技能】掌握音乐学科技法技能多项基本功，掌握音乐学科基础知识、基本理论、体系结构与思想方法，理解音乐学科的核心素养的内涵，形成音乐学科核心素养。</w:t>
            </w:r>
          </w:p>
        </w:tc>
        <w:tc>
          <w:tcPr>
            <w:tcW w:w="2077" w:type="dxa"/>
            <w:gridSpan w:val="5"/>
            <w:shd w:val="clear" w:color="auto" w:fill="FFFFFF"/>
            <w:vAlign w:val="center"/>
          </w:tcPr>
          <w:p w14:paraId="09395443">
            <w:pPr>
              <w:keepNext w:val="0"/>
              <w:keepLines w:val="0"/>
              <w:pageBreakBefore w:val="0"/>
              <w:kinsoku/>
              <w:wordWrap/>
              <w:overflowPunct/>
              <w:topLinePunct w:val="0"/>
              <w:bidi w:val="0"/>
              <w:spacing w:line="400" w:lineRule="exact"/>
              <w:jc w:val="center"/>
              <w:rPr>
                <w:rFonts w:hint="eastAsia" w:ascii="宋体" w:hAnsi="宋体" w:eastAsia="宋体" w:cs="宋体"/>
                <w:color w:val="000000"/>
                <w:sz w:val="21"/>
                <w:szCs w:val="21"/>
              </w:rPr>
            </w:pPr>
            <w:r>
              <w:rPr>
                <w:rFonts w:hint="eastAsia" w:ascii="宋体" w:hAnsi="宋体" w:eastAsia="宋体" w:cs="宋体"/>
                <w:bCs/>
                <w:color w:val="000000"/>
                <w:sz w:val="21"/>
                <w:szCs w:val="21"/>
              </w:rPr>
              <w:t>学科素养（H）</w:t>
            </w:r>
          </w:p>
        </w:tc>
      </w:tr>
      <w:tr w14:paraId="102E8EAB">
        <w:trPr>
          <w:trHeight w:val="817" w:hRule="atLeast"/>
        </w:trPr>
        <w:tc>
          <w:tcPr>
            <w:tcW w:w="1431" w:type="dxa"/>
            <w:vMerge w:val="continue"/>
            <w:shd w:val="clear" w:color="auto" w:fill="FFFFFF"/>
            <w:vAlign w:val="center"/>
          </w:tcPr>
          <w:p w14:paraId="665C2E78">
            <w:pPr>
              <w:keepNext w:val="0"/>
              <w:keepLines w:val="0"/>
              <w:pageBreakBefore w:val="0"/>
              <w:kinsoku/>
              <w:wordWrap/>
              <w:overflowPunct/>
              <w:topLinePunct w:val="0"/>
              <w:bidi w:val="0"/>
              <w:spacing w:line="400" w:lineRule="exact"/>
              <w:jc w:val="center"/>
              <w:rPr>
                <w:rFonts w:hint="eastAsia" w:ascii="宋体" w:hAnsi="宋体" w:eastAsia="宋体" w:cs="宋体"/>
                <w:color w:val="000000"/>
                <w:sz w:val="21"/>
                <w:szCs w:val="21"/>
              </w:rPr>
            </w:pPr>
          </w:p>
        </w:tc>
        <w:tc>
          <w:tcPr>
            <w:tcW w:w="1119" w:type="dxa"/>
            <w:gridSpan w:val="2"/>
            <w:shd w:val="clear" w:color="auto" w:fill="FFFFFF"/>
            <w:vAlign w:val="center"/>
          </w:tcPr>
          <w:p w14:paraId="3AE426D6">
            <w:pPr>
              <w:keepNext w:val="0"/>
              <w:keepLines w:val="0"/>
              <w:pageBreakBefore w:val="0"/>
              <w:kinsoku/>
              <w:wordWrap/>
              <w:overflowPunct/>
              <w:topLinePunct w:val="0"/>
              <w:bidi w:val="0"/>
              <w:spacing w:line="40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课程目标2</w:t>
            </w:r>
          </w:p>
        </w:tc>
        <w:tc>
          <w:tcPr>
            <w:tcW w:w="4521" w:type="dxa"/>
            <w:gridSpan w:val="7"/>
            <w:shd w:val="clear" w:color="auto" w:fill="FFFFFF"/>
            <w:vAlign w:val="center"/>
          </w:tcPr>
          <w:p w14:paraId="10965A4B">
            <w:pPr>
              <w:keepNext w:val="0"/>
              <w:keepLines w:val="0"/>
              <w:pageBreakBefore w:val="0"/>
              <w:kinsoku/>
              <w:wordWrap/>
              <w:overflowPunct/>
              <w:topLinePunct w:val="0"/>
              <w:bidi w:val="0"/>
              <w:spacing w:line="400" w:lineRule="exact"/>
              <w:jc w:val="left"/>
              <w:rPr>
                <w:rFonts w:hint="eastAsia" w:ascii="宋体" w:hAnsi="宋体" w:eastAsia="宋体" w:cs="宋体"/>
                <w:sz w:val="21"/>
                <w:szCs w:val="21"/>
              </w:rPr>
            </w:pPr>
            <w:r>
              <w:rPr>
                <w:rFonts w:hint="eastAsia" w:ascii="宋体" w:hAnsi="宋体" w:eastAsia="宋体" w:cs="宋体"/>
                <w:kern w:val="0"/>
                <w:sz w:val="21"/>
                <w:szCs w:val="21"/>
              </w:rPr>
              <w:t>7.1【反思改进】具有反思意识和批评性思维素养，初步掌握教育教学反思的基本方法和策略，能够对音乐教育教学实践活动进行有效的自我诊断，提出改进思路。</w:t>
            </w:r>
          </w:p>
        </w:tc>
        <w:tc>
          <w:tcPr>
            <w:tcW w:w="2077" w:type="dxa"/>
            <w:gridSpan w:val="5"/>
            <w:shd w:val="clear" w:color="auto" w:fill="FFFFFF"/>
            <w:vAlign w:val="center"/>
          </w:tcPr>
          <w:p w14:paraId="20AC33FE">
            <w:pPr>
              <w:keepNext w:val="0"/>
              <w:keepLines w:val="0"/>
              <w:pageBreakBefore w:val="0"/>
              <w:kinsoku/>
              <w:wordWrap/>
              <w:overflowPunct/>
              <w:topLinePunct w:val="0"/>
              <w:bidi w:val="0"/>
              <w:spacing w:line="40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学会反思（M）</w:t>
            </w:r>
          </w:p>
        </w:tc>
      </w:tr>
      <w:tr w14:paraId="042AF8DA">
        <w:trPr>
          <w:trHeight w:val="1191" w:hRule="atLeast"/>
        </w:trPr>
        <w:tc>
          <w:tcPr>
            <w:tcW w:w="1431" w:type="dxa"/>
            <w:vMerge w:val="continue"/>
            <w:shd w:val="clear" w:color="auto" w:fill="FFFFFF"/>
            <w:vAlign w:val="center"/>
          </w:tcPr>
          <w:p w14:paraId="7E018029">
            <w:pPr>
              <w:keepNext w:val="0"/>
              <w:keepLines w:val="0"/>
              <w:pageBreakBefore w:val="0"/>
              <w:kinsoku/>
              <w:wordWrap/>
              <w:overflowPunct/>
              <w:topLinePunct w:val="0"/>
              <w:bidi w:val="0"/>
              <w:spacing w:line="400" w:lineRule="exact"/>
              <w:jc w:val="center"/>
              <w:rPr>
                <w:rFonts w:hint="eastAsia" w:ascii="宋体" w:hAnsi="宋体" w:eastAsia="宋体" w:cs="宋体"/>
                <w:color w:val="000000"/>
                <w:sz w:val="21"/>
                <w:szCs w:val="21"/>
              </w:rPr>
            </w:pPr>
          </w:p>
        </w:tc>
        <w:tc>
          <w:tcPr>
            <w:tcW w:w="1119" w:type="dxa"/>
            <w:gridSpan w:val="2"/>
            <w:tcBorders>
              <w:bottom w:val="single" w:color="auto" w:sz="4" w:space="0"/>
            </w:tcBorders>
            <w:shd w:val="clear" w:color="auto" w:fill="FFFFFF"/>
            <w:vAlign w:val="center"/>
          </w:tcPr>
          <w:p w14:paraId="50DA613D">
            <w:pPr>
              <w:keepNext w:val="0"/>
              <w:keepLines w:val="0"/>
              <w:pageBreakBefore w:val="0"/>
              <w:kinsoku/>
              <w:wordWrap/>
              <w:overflowPunct/>
              <w:topLinePunct w:val="0"/>
              <w:bidi w:val="0"/>
              <w:spacing w:line="40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课程目标3</w:t>
            </w:r>
          </w:p>
        </w:tc>
        <w:tc>
          <w:tcPr>
            <w:tcW w:w="4521" w:type="dxa"/>
            <w:gridSpan w:val="7"/>
            <w:tcBorders>
              <w:bottom w:val="single" w:color="auto" w:sz="4" w:space="0"/>
            </w:tcBorders>
            <w:shd w:val="clear" w:color="auto" w:fill="FFFFFF"/>
            <w:vAlign w:val="center"/>
          </w:tcPr>
          <w:p w14:paraId="1FE5285A">
            <w:pPr>
              <w:keepNext w:val="0"/>
              <w:keepLines w:val="0"/>
              <w:pageBreakBefore w:val="0"/>
              <w:kinsoku/>
              <w:wordWrap/>
              <w:overflowPunct/>
              <w:topLinePunct w:val="0"/>
              <w:bidi w:val="0"/>
              <w:spacing w:line="400" w:lineRule="exact"/>
              <w:rPr>
                <w:rFonts w:hint="eastAsia" w:ascii="宋体" w:hAnsi="宋体" w:eastAsia="宋体" w:cs="宋体"/>
                <w:sz w:val="21"/>
                <w:szCs w:val="21"/>
              </w:rPr>
            </w:pPr>
            <w:r>
              <w:rPr>
                <w:rFonts w:hint="eastAsia" w:ascii="宋体" w:hAnsi="宋体" w:eastAsia="宋体" w:cs="宋体"/>
                <w:kern w:val="0"/>
                <w:sz w:val="21"/>
                <w:szCs w:val="21"/>
              </w:rPr>
              <w:t>8.2【团队协作】理解学习共同体的作用，掌握团队协作的基本策略，在课程学习、教育实践、艺术实践等活动中，具有良好的团队协作精神。</w:t>
            </w:r>
          </w:p>
        </w:tc>
        <w:tc>
          <w:tcPr>
            <w:tcW w:w="2077" w:type="dxa"/>
            <w:gridSpan w:val="5"/>
            <w:tcBorders>
              <w:bottom w:val="single" w:color="auto" w:sz="4" w:space="0"/>
            </w:tcBorders>
            <w:shd w:val="clear" w:color="auto" w:fill="FFFFFF"/>
            <w:vAlign w:val="center"/>
          </w:tcPr>
          <w:p w14:paraId="2FEDD0D4">
            <w:pPr>
              <w:keepNext w:val="0"/>
              <w:keepLines w:val="0"/>
              <w:pageBreakBefore w:val="0"/>
              <w:kinsoku/>
              <w:wordWrap/>
              <w:overflowPunct/>
              <w:topLinePunct w:val="0"/>
              <w:bidi w:val="0"/>
              <w:spacing w:line="40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沟通合作（H）</w:t>
            </w:r>
          </w:p>
        </w:tc>
      </w:tr>
      <w:tr w14:paraId="165BE4EC">
        <w:trPr>
          <w:trHeight w:val="582" w:hRule="atLeast"/>
        </w:trPr>
        <w:tc>
          <w:tcPr>
            <w:tcW w:w="1431" w:type="dxa"/>
            <w:vMerge w:val="restart"/>
            <w:shd w:val="clear" w:color="auto" w:fill="FFFFFF"/>
            <w:vAlign w:val="center"/>
          </w:tcPr>
          <w:p w14:paraId="2092455A">
            <w:pPr>
              <w:keepNext w:val="0"/>
              <w:keepLines w:val="0"/>
              <w:pageBreakBefore w:val="0"/>
              <w:kinsoku/>
              <w:wordWrap/>
              <w:overflowPunct/>
              <w:topLinePunct w:val="0"/>
              <w:bidi w:val="0"/>
              <w:spacing w:line="40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F</w:t>
            </w:r>
          </w:p>
          <w:p w14:paraId="7C12CE2D">
            <w:pPr>
              <w:keepNext w:val="0"/>
              <w:keepLines w:val="0"/>
              <w:pageBreakBefore w:val="0"/>
              <w:kinsoku/>
              <w:wordWrap/>
              <w:overflowPunct/>
              <w:topLinePunct w:val="0"/>
              <w:bidi w:val="0"/>
              <w:spacing w:line="40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理论学习内容</w:t>
            </w:r>
          </w:p>
        </w:tc>
        <w:tc>
          <w:tcPr>
            <w:tcW w:w="5640" w:type="dxa"/>
            <w:gridSpan w:val="9"/>
            <w:shd w:val="clear" w:color="auto" w:fill="FFFFFF"/>
            <w:vAlign w:val="center"/>
          </w:tcPr>
          <w:p w14:paraId="04CB649B">
            <w:pPr>
              <w:keepNext w:val="0"/>
              <w:keepLines w:val="0"/>
              <w:pageBreakBefore w:val="0"/>
              <w:kinsoku/>
              <w:wordWrap/>
              <w:overflowPunct/>
              <w:topLinePunct w:val="0"/>
              <w:bidi w:val="0"/>
              <w:spacing w:line="400" w:lineRule="exact"/>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章节学习内容与学习要求</w:t>
            </w:r>
          </w:p>
        </w:tc>
        <w:tc>
          <w:tcPr>
            <w:tcW w:w="1153" w:type="dxa"/>
            <w:gridSpan w:val="3"/>
            <w:shd w:val="clear" w:color="auto" w:fill="FFFFFF"/>
            <w:vAlign w:val="center"/>
          </w:tcPr>
          <w:p w14:paraId="32008886">
            <w:pPr>
              <w:keepNext w:val="0"/>
              <w:keepLines w:val="0"/>
              <w:pageBreakBefore w:val="0"/>
              <w:kinsoku/>
              <w:wordWrap/>
              <w:overflowPunct/>
              <w:topLinePunct w:val="0"/>
              <w:bidi w:val="0"/>
              <w:spacing w:line="400" w:lineRule="exact"/>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支撑课程</w:t>
            </w:r>
          </w:p>
          <w:p w14:paraId="14AD3B06">
            <w:pPr>
              <w:keepNext w:val="0"/>
              <w:keepLines w:val="0"/>
              <w:pageBreakBefore w:val="0"/>
              <w:kinsoku/>
              <w:wordWrap/>
              <w:overflowPunct/>
              <w:topLinePunct w:val="0"/>
              <w:bidi w:val="0"/>
              <w:spacing w:line="400" w:lineRule="exact"/>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目标</w:t>
            </w:r>
          </w:p>
        </w:tc>
        <w:tc>
          <w:tcPr>
            <w:tcW w:w="924" w:type="dxa"/>
            <w:gridSpan w:val="2"/>
            <w:shd w:val="clear" w:color="auto" w:fill="FFFFFF"/>
            <w:vAlign w:val="center"/>
          </w:tcPr>
          <w:p w14:paraId="0D819B14">
            <w:pPr>
              <w:keepNext w:val="0"/>
              <w:keepLines w:val="0"/>
              <w:pageBreakBefore w:val="0"/>
              <w:kinsoku/>
              <w:wordWrap/>
              <w:overflowPunct/>
              <w:topLinePunct w:val="0"/>
              <w:bidi w:val="0"/>
              <w:spacing w:line="400" w:lineRule="exact"/>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学时</w:t>
            </w:r>
          </w:p>
          <w:p w14:paraId="60251B93">
            <w:pPr>
              <w:keepNext w:val="0"/>
              <w:keepLines w:val="0"/>
              <w:pageBreakBefore w:val="0"/>
              <w:kinsoku/>
              <w:wordWrap/>
              <w:overflowPunct/>
              <w:topLinePunct w:val="0"/>
              <w:bidi w:val="0"/>
              <w:spacing w:line="400" w:lineRule="exact"/>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分配</w:t>
            </w:r>
          </w:p>
        </w:tc>
      </w:tr>
      <w:tr w14:paraId="6DA73D15">
        <w:trPr>
          <w:trHeight w:val="90" w:hRule="atLeast"/>
        </w:trPr>
        <w:tc>
          <w:tcPr>
            <w:tcW w:w="1431" w:type="dxa"/>
            <w:vMerge w:val="continue"/>
            <w:shd w:val="clear" w:color="auto" w:fill="FFFFFF"/>
            <w:vAlign w:val="center"/>
          </w:tcPr>
          <w:p w14:paraId="3B59D23A">
            <w:pPr>
              <w:keepNext w:val="0"/>
              <w:keepLines w:val="0"/>
              <w:pageBreakBefore w:val="0"/>
              <w:kinsoku/>
              <w:wordWrap/>
              <w:overflowPunct/>
              <w:topLinePunct w:val="0"/>
              <w:bidi w:val="0"/>
              <w:spacing w:line="400" w:lineRule="exact"/>
              <w:jc w:val="right"/>
              <w:rPr>
                <w:rFonts w:hint="eastAsia" w:ascii="宋体" w:hAnsi="宋体" w:eastAsia="宋体" w:cs="宋体"/>
                <w:color w:val="000000"/>
                <w:sz w:val="21"/>
                <w:szCs w:val="21"/>
              </w:rPr>
            </w:pPr>
          </w:p>
        </w:tc>
        <w:tc>
          <w:tcPr>
            <w:tcW w:w="5640" w:type="dxa"/>
            <w:gridSpan w:val="9"/>
            <w:vAlign w:val="center"/>
          </w:tcPr>
          <w:p w14:paraId="661A04A3">
            <w:pPr>
              <w:keepNext w:val="0"/>
              <w:keepLines w:val="0"/>
              <w:pageBreakBefore w:val="0"/>
              <w:widowControl/>
              <w:kinsoku/>
              <w:wordWrap/>
              <w:overflowPunct/>
              <w:topLinePunct w:val="0"/>
              <w:bidi w:val="0"/>
              <w:spacing w:line="400" w:lineRule="exact"/>
              <w:jc w:val="left"/>
              <w:rPr>
                <w:rFonts w:hint="eastAsia" w:ascii="宋体" w:hAnsi="宋体" w:eastAsia="宋体" w:cs="宋体"/>
                <w:b/>
                <w:color w:val="000000"/>
                <w:kern w:val="0"/>
                <w:sz w:val="21"/>
                <w:szCs w:val="21"/>
              </w:rPr>
            </w:pPr>
            <w:r>
              <w:rPr>
                <w:rFonts w:hint="eastAsia" w:ascii="宋体" w:hAnsi="宋体" w:eastAsia="宋体" w:cs="宋体"/>
                <w:b/>
                <w:color w:val="000000"/>
                <w:kern w:val="0"/>
                <w:sz w:val="21"/>
                <w:szCs w:val="21"/>
              </w:rPr>
              <w:t>绪论</w:t>
            </w:r>
          </w:p>
          <w:p w14:paraId="73DC05AF">
            <w:pPr>
              <w:keepNext w:val="0"/>
              <w:keepLines w:val="0"/>
              <w:pageBreakBefore w:val="0"/>
              <w:widowControl/>
              <w:kinsoku/>
              <w:wordWrap/>
              <w:overflowPunct/>
              <w:topLinePunct w:val="0"/>
              <w:bidi w:val="0"/>
              <w:spacing w:line="400" w:lineRule="exact"/>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知道层次：认识舞台表演的内涵及特征；了解当今国内外舞台表演的发展趋势。</w:t>
            </w:r>
          </w:p>
          <w:p w14:paraId="7781707C">
            <w:pPr>
              <w:keepNext w:val="0"/>
              <w:keepLines w:val="0"/>
              <w:pageBreakBefore w:val="0"/>
              <w:widowControl/>
              <w:kinsoku/>
              <w:wordWrap/>
              <w:overflowPunct/>
              <w:topLinePunct w:val="0"/>
              <w:bidi w:val="0"/>
              <w:spacing w:line="400" w:lineRule="exact"/>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领会层次：熟知学习本课程的目的和意义；明了学习课程的方式、方法和基本要求。</w:t>
            </w:r>
          </w:p>
          <w:p w14:paraId="61C9B4F9">
            <w:pPr>
              <w:keepNext w:val="0"/>
              <w:keepLines w:val="0"/>
              <w:pageBreakBefore w:val="0"/>
              <w:widowControl/>
              <w:kinsoku/>
              <w:wordWrap/>
              <w:overflowPunct/>
              <w:topLinePunct w:val="0"/>
              <w:bidi w:val="0"/>
              <w:spacing w:line="400" w:lineRule="exact"/>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应用层次：无。</w:t>
            </w:r>
          </w:p>
        </w:tc>
        <w:tc>
          <w:tcPr>
            <w:tcW w:w="1153" w:type="dxa"/>
            <w:gridSpan w:val="3"/>
            <w:vAlign w:val="center"/>
          </w:tcPr>
          <w:p w14:paraId="6A009133">
            <w:pPr>
              <w:keepNext w:val="0"/>
              <w:keepLines w:val="0"/>
              <w:pageBreakBefore w:val="0"/>
              <w:widowControl/>
              <w:kinsoku/>
              <w:wordWrap/>
              <w:overflowPunct/>
              <w:topLinePunct w:val="0"/>
              <w:bidi w:val="0"/>
              <w:spacing w:line="400" w:lineRule="exact"/>
              <w:jc w:val="center"/>
              <w:rPr>
                <w:rFonts w:hint="eastAsia" w:ascii="宋体" w:hAnsi="宋体" w:eastAsia="宋体" w:cs="宋体"/>
                <w:bCs/>
                <w:color w:val="000000"/>
                <w:sz w:val="21"/>
                <w:szCs w:val="21"/>
              </w:rPr>
            </w:pPr>
            <w:r>
              <w:rPr>
                <w:rFonts w:hint="eastAsia" w:ascii="宋体" w:hAnsi="宋体" w:eastAsia="宋体" w:cs="宋体"/>
                <w:bCs/>
                <w:color w:val="000000"/>
                <w:sz w:val="21"/>
                <w:szCs w:val="21"/>
              </w:rPr>
              <w:t>支撑课程目标1、2、3</w:t>
            </w:r>
          </w:p>
        </w:tc>
        <w:tc>
          <w:tcPr>
            <w:tcW w:w="924" w:type="dxa"/>
            <w:gridSpan w:val="2"/>
            <w:shd w:val="clear" w:color="auto" w:fill="FFFFFF"/>
            <w:vAlign w:val="center"/>
          </w:tcPr>
          <w:p w14:paraId="36BC2EB1">
            <w:pPr>
              <w:keepNext w:val="0"/>
              <w:keepLines w:val="0"/>
              <w:pageBreakBefore w:val="0"/>
              <w:kinsoku/>
              <w:wordWrap/>
              <w:overflowPunct/>
              <w:topLinePunct w:val="0"/>
              <w:bidi w:val="0"/>
              <w:spacing w:line="40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4</w:t>
            </w:r>
          </w:p>
        </w:tc>
      </w:tr>
      <w:tr w14:paraId="6327DF87">
        <w:trPr>
          <w:trHeight w:val="454" w:hRule="atLeast"/>
        </w:trPr>
        <w:tc>
          <w:tcPr>
            <w:tcW w:w="1431" w:type="dxa"/>
            <w:vMerge w:val="continue"/>
            <w:shd w:val="clear" w:color="auto" w:fill="FFFFFF"/>
            <w:vAlign w:val="center"/>
          </w:tcPr>
          <w:p w14:paraId="275FF9DE">
            <w:pPr>
              <w:keepNext w:val="0"/>
              <w:keepLines w:val="0"/>
              <w:pageBreakBefore w:val="0"/>
              <w:kinsoku/>
              <w:wordWrap/>
              <w:overflowPunct/>
              <w:topLinePunct w:val="0"/>
              <w:bidi w:val="0"/>
              <w:spacing w:line="400" w:lineRule="exact"/>
              <w:jc w:val="center"/>
              <w:rPr>
                <w:rFonts w:hint="eastAsia" w:ascii="宋体" w:hAnsi="宋体" w:eastAsia="宋体" w:cs="宋体"/>
                <w:color w:val="000000"/>
                <w:sz w:val="21"/>
                <w:szCs w:val="21"/>
              </w:rPr>
            </w:pPr>
          </w:p>
        </w:tc>
        <w:tc>
          <w:tcPr>
            <w:tcW w:w="6793" w:type="dxa"/>
            <w:gridSpan w:val="12"/>
            <w:vAlign w:val="center"/>
          </w:tcPr>
          <w:p w14:paraId="183F5C5C">
            <w:pPr>
              <w:keepNext w:val="0"/>
              <w:keepLines w:val="0"/>
              <w:pageBreakBefore w:val="0"/>
              <w:kinsoku/>
              <w:wordWrap/>
              <w:overflowPunct/>
              <w:topLinePunct w:val="0"/>
              <w:bidi w:val="0"/>
              <w:spacing w:line="400" w:lineRule="exact"/>
              <w:jc w:val="center"/>
              <w:rPr>
                <w:rFonts w:hint="eastAsia" w:ascii="宋体" w:hAnsi="宋体" w:eastAsia="宋体" w:cs="宋体"/>
                <w:bCs/>
                <w:color w:val="000000"/>
                <w:sz w:val="21"/>
                <w:szCs w:val="21"/>
              </w:rPr>
            </w:pPr>
            <w:r>
              <w:rPr>
                <w:rFonts w:hint="eastAsia" w:ascii="宋体" w:hAnsi="宋体" w:eastAsia="宋体" w:cs="宋体"/>
                <w:bCs/>
                <w:color w:val="000000"/>
                <w:sz w:val="21"/>
                <w:szCs w:val="21"/>
              </w:rPr>
              <w:t>合计</w:t>
            </w:r>
          </w:p>
        </w:tc>
        <w:tc>
          <w:tcPr>
            <w:tcW w:w="924" w:type="dxa"/>
            <w:gridSpan w:val="2"/>
            <w:shd w:val="clear" w:color="auto" w:fill="FFFFFF"/>
            <w:vAlign w:val="center"/>
          </w:tcPr>
          <w:p w14:paraId="73D65940">
            <w:pPr>
              <w:keepNext w:val="0"/>
              <w:keepLines w:val="0"/>
              <w:pageBreakBefore w:val="0"/>
              <w:kinsoku/>
              <w:wordWrap/>
              <w:overflowPunct/>
              <w:topLinePunct w:val="0"/>
              <w:bidi w:val="0"/>
              <w:spacing w:line="400" w:lineRule="exact"/>
              <w:jc w:val="center"/>
              <w:rPr>
                <w:rFonts w:hint="eastAsia" w:ascii="宋体" w:hAnsi="宋体" w:eastAsia="宋体" w:cs="宋体"/>
                <w:b/>
                <w:color w:val="4472C4"/>
                <w:sz w:val="21"/>
                <w:szCs w:val="21"/>
              </w:rPr>
            </w:pPr>
            <w:r>
              <w:rPr>
                <w:rFonts w:hint="eastAsia" w:ascii="宋体" w:hAnsi="宋体" w:eastAsia="宋体" w:cs="宋体"/>
                <w:b/>
                <w:color w:val="4472C4"/>
                <w:sz w:val="21"/>
                <w:szCs w:val="21"/>
              </w:rPr>
              <w:t>4</w:t>
            </w:r>
          </w:p>
        </w:tc>
      </w:tr>
      <w:tr w14:paraId="3B92721E">
        <w:trPr>
          <w:trHeight w:val="454" w:hRule="atLeast"/>
        </w:trPr>
        <w:tc>
          <w:tcPr>
            <w:tcW w:w="1431" w:type="dxa"/>
            <w:vMerge w:val="restart"/>
            <w:shd w:val="clear" w:color="auto" w:fill="FFFFFF"/>
            <w:vAlign w:val="center"/>
          </w:tcPr>
          <w:p w14:paraId="74A6E4CA">
            <w:pPr>
              <w:keepNext w:val="0"/>
              <w:keepLines w:val="0"/>
              <w:pageBreakBefore w:val="0"/>
              <w:kinsoku/>
              <w:wordWrap/>
              <w:overflowPunct/>
              <w:topLinePunct w:val="0"/>
              <w:bidi w:val="0"/>
              <w:spacing w:line="40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G</w:t>
            </w:r>
          </w:p>
          <w:p w14:paraId="6300FCB9">
            <w:pPr>
              <w:keepNext w:val="0"/>
              <w:keepLines w:val="0"/>
              <w:pageBreakBefore w:val="0"/>
              <w:kinsoku/>
              <w:wordWrap/>
              <w:overflowPunct/>
              <w:topLinePunct w:val="0"/>
              <w:bidi w:val="0"/>
              <w:spacing w:line="40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技能（实训）内容</w:t>
            </w:r>
          </w:p>
        </w:tc>
        <w:tc>
          <w:tcPr>
            <w:tcW w:w="5640" w:type="dxa"/>
            <w:gridSpan w:val="9"/>
            <w:vAlign w:val="center"/>
          </w:tcPr>
          <w:p w14:paraId="1480B3E2">
            <w:pPr>
              <w:keepNext w:val="0"/>
              <w:keepLines w:val="0"/>
              <w:pageBreakBefore w:val="0"/>
              <w:kinsoku/>
              <w:wordWrap/>
              <w:overflowPunct/>
              <w:topLinePunct w:val="0"/>
              <w:bidi w:val="0"/>
              <w:spacing w:line="400" w:lineRule="exact"/>
              <w:jc w:val="center"/>
              <w:rPr>
                <w:rFonts w:hint="eastAsia" w:ascii="宋体" w:hAnsi="宋体" w:eastAsia="宋体" w:cs="宋体"/>
                <w:color w:val="000000"/>
                <w:kern w:val="0"/>
                <w:sz w:val="21"/>
                <w:szCs w:val="21"/>
              </w:rPr>
            </w:pPr>
            <w:r>
              <w:rPr>
                <w:rFonts w:hint="eastAsia" w:ascii="宋体" w:hAnsi="宋体" w:eastAsia="宋体" w:cs="宋体"/>
                <w:kern w:val="0"/>
                <w:sz w:val="21"/>
                <w:szCs w:val="21"/>
              </w:rPr>
              <w:t>实训目的及任务</w:t>
            </w:r>
          </w:p>
        </w:tc>
        <w:tc>
          <w:tcPr>
            <w:tcW w:w="1153" w:type="dxa"/>
            <w:gridSpan w:val="3"/>
            <w:vAlign w:val="center"/>
          </w:tcPr>
          <w:p w14:paraId="41CABB3F">
            <w:pPr>
              <w:keepNext w:val="0"/>
              <w:keepLines w:val="0"/>
              <w:pageBreakBefore w:val="0"/>
              <w:kinsoku/>
              <w:wordWrap/>
              <w:overflowPunct/>
              <w:topLinePunct w:val="0"/>
              <w:bidi w:val="0"/>
              <w:spacing w:line="400" w:lineRule="exact"/>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支撑课程</w:t>
            </w:r>
          </w:p>
          <w:p w14:paraId="24B24B90">
            <w:pPr>
              <w:keepNext w:val="0"/>
              <w:keepLines w:val="0"/>
              <w:pageBreakBefore w:val="0"/>
              <w:kinsoku/>
              <w:wordWrap/>
              <w:overflowPunct/>
              <w:topLinePunct w:val="0"/>
              <w:bidi w:val="0"/>
              <w:spacing w:line="400" w:lineRule="exact"/>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目标</w:t>
            </w:r>
          </w:p>
        </w:tc>
        <w:tc>
          <w:tcPr>
            <w:tcW w:w="924" w:type="dxa"/>
            <w:gridSpan w:val="2"/>
            <w:shd w:val="clear" w:color="auto" w:fill="FFFFFF"/>
            <w:vAlign w:val="center"/>
          </w:tcPr>
          <w:p w14:paraId="3383FB3B">
            <w:pPr>
              <w:keepNext w:val="0"/>
              <w:keepLines w:val="0"/>
              <w:pageBreakBefore w:val="0"/>
              <w:kinsoku/>
              <w:wordWrap/>
              <w:overflowPunct/>
              <w:topLinePunct w:val="0"/>
              <w:bidi w:val="0"/>
              <w:spacing w:line="400" w:lineRule="exact"/>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 xml:space="preserve">学时 </w:t>
            </w:r>
          </w:p>
          <w:p w14:paraId="156B2884">
            <w:pPr>
              <w:keepNext w:val="0"/>
              <w:keepLines w:val="0"/>
              <w:pageBreakBefore w:val="0"/>
              <w:kinsoku/>
              <w:wordWrap/>
              <w:overflowPunct/>
              <w:topLinePunct w:val="0"/>
              <w:bidi w:val="0"/>
              <w:spacing w:line="400" w:lineRule="exact"/>
              <w:jc w:val="center"/>
              <w:rPr>
                <w:rFonts w:hint="eastAsia" w:ascii="宋体" w:hAnsi="宋体" w:eastAsia="宋体" w:cs="宋体"/>
                <w:color w:val="4472C4"/>
                <w:sz w:val="21"/>
                <w:szCs w:val="21"/>
              </w:rPr>
            </w:pPr>
            <w:r>
              <w:rPr>
                <w:rFonts w:hint="eastAsia" w:ascii="宋体" w:hAnsi="宋体" w:eastAsia="宋体" w:cs="宋体"/>
                <w:color w:val="000000"/>
                <w:kern w:val="0"/>
                <w:sz w:val="21"/>
                <w:szCs w:val="21"/>
              </w:rPr>
              <w:t>分配</w:t>
            </w:r>
          </w:p>
        </w:tc>
      </w:tr>
      <w:tr w14:paraId="7653BADB">
        <w:trPr>
          <w:trHeight w:val="454" w:hRule="atLeast"/>
        </w:trPr>
        <w:tc>
          <w:tcPr>
            <w:tcW w:w="1431" w:type="dxa"/>
            <w:vMerge w:val="continue"/>
            <w:shd w:val="clear" w:color="auto" w:fill="FFFFFF"/>
            <w:vAlign w:val="center"/>
          </w:tcPr>
          <w:p w14:paraId="68DA4A00">
            <w:pPr>
              <w:keepNext w:val="0"/>
              <w:keepLines w:val="0"/>
              <w:pageBreakBefore w:val="0"/>
              <w:kinsoku/>
              <w:wordWrap/>
              <w:overflowPunct/>
              <w:topLinePunct w:val="0"/>
              <w:bidi w:val="0"/>
              <w:spacing w:line="400" w:lineRule="exact"/>
              <w:jc w:val="center"/>
              <w:rPr>
                <w:rFonts w:hint="eastAsia" w:ascii="宋体" w:hAnsi="宋体" w:eastAsia="宋体" w:cs="宋体"/>
                <w:color w:val="000000"/>
                <w:sz w:val="21"/>
                <w:szCs w:val="21"/>
              </w:rPr>
            </w:pPr>
          </w:p>
        </w:tc>
        <w:tc>
          <w:tcPr>
            <w:tcW w:w="5640" w:type="dxa"/>
            <w:gridSpan w:val="9"/>
            <w:vAlign w:val="center"/>
          </w:tcPr>
          <w:p w14:paraId="71F5219C">
            <w:pPr>
              <w:keepNext w:val="0"/>
              <w:keepLines w:val="0"/>
              <w:pageBreakBefore w:val="0"/>
              <w:widowControl/>
              <w:kinsoku/>
              <w:wordWrap/>
              <w:overflowPunct/>
              <w:topLinePunct w:val="0"/>
              <w:bidi w:val="0"/>
              <w:spacing w:line="400" w:lineRule="exact"/>
              <w:jc w:val="left"/>
              <w:rPr>
                <w:rFonts w:hint="eastAsia" w:ascii="宋体" w:hAnsi="宋体" w:eastAsia="宋体" w:cs="宋体"/>
                <w:b/>
                <w:color w:val="000000"/>
                <w:kern w:val="0"/>
                <w:sz w:val="21"/>
                <w:szCs w:val="21"/>
              </w:rPr>
            </w:pPr>
            <w:r>
              <w:rPr>
                <w:rFonts w:hint="eastAsia" w:ascii="宋体" w:hAnsi="宋体" w:eastAsia="宋体" w:cs="宋体"/>
                <w:b/>
                <w:color w:val="000000"/>
                <w:kern w:val="0"/>
                <w:sz w:val="21"/>
                <w:szCs w:val="21"/>
              </w:rPr>
              <w:t>训练一：基本功素质训练</w:t>
            </w:r>
          </w:p>
          <w:p w14:paraId="21DC0E45">
            <w:pPr>
              <w:keepNext w:val="0"/>
              <w:keepLines w:val="0"/>
              <w:pageBreakBefore w:val="0"/>
              <w:widowControl/>
              <w:kinsoku/>
              <w:wordWrap/>
              <w:overflowPunct/>
              <w:topLinePunct w:val="0"/>
              <w:bidi w:val="0"/>
              <w:spacing w:line="400" w:lineRule="exact"/>
              <w:jc w:val="left"/>
              <w:rPr>
                <w:rFonts w:hint="eastAsia" w:ascii="宋体" w:hAnsi="宋体" w:eastAsia="宋体" w:cs="宋体"/>
                <w:color w:val="000000"/>
                <w:kern w:val="0"/>
                <w:sz w:val="21"/>
                <w:szCs w:val="21"/>
              </w:rPr>
            </w:pPr>
            <w:r>
              <w:rPr>
                <w:rFonts w:hint="eastAsia" w:ascii="宋体" w:hAnsi="宋体" w:eastAsia="宋体" w:cs="宋体"/>
                <w:b/>
                <w:color w:val="000000"/>
                <w:kern w:val="0"/>
                <w:sz w:val="21"/>
                <w:szCs w:val="21"/>
              </w:rPr>
              <w:t>实训目的：</w:t>
            </w:r>
            <w:r>
              <w:rPr>
                <w:rFonts w:hint="eastAsia" w:ascii="宋体" w:hAnsi="宋体" w:eastAsia="宋体" w:cs="宋体"/>
                <w:color w:val="000000"/>
                <w:kern w:val="0"/>
                <w:sz w:val="21"/>
                <w:szCs w:val="21"/>
              </w:rPr>
              <w:t>通过一系列表演练习，引导学生进入创作状态。</w:t>
            </w:r>
          </w:p>
          <w:p w14:paraId="5EAEDFDA">
            <w:pPr>
              <w:keepNext w:val="0"/>
              <w:keepLines w:val="0"/>
              <w:pageBreakBefore w:val="0"/>
              <w:widowControl/>
              <w:kinsoku/>
              <w:wordWrap/>
              <w:overflowPunct/>
              <w:topLinePunct w:val="0"/>
              <w:bidi w:val="0"/>
              <w:spacing w:line="400" w:lineRule="exact"/>
              <w:jc w:val="left"/>
              <w:rPr>
                <w:rFonts w:hint="eastAsia" w:ascii="宋体" w:hAnsi="宋体" w:eastAsia="宋体" w:cs="宋体"/>
                <w:b/>
                <w:color w:val="000000"/>
                <w:kern w:val="0"/>
                <w:sz w:val="21"/>
                <w:szCs w:val="21"/>
              </w:rPr>
            </w:pPr>
            <w:r>
              <w:rPr>
                <w:rFonts w:hint="eastAsia" w:ascii="宋体" w:hAnsi="宋体" w:eastAsia="宋体" w:cs="宋体"/>
                <w:b/>
                <w:color w:val="000000"/>
                <w:kern w:val="0"/>
                <w:sz w:val="21"/>
                <w:szCs w:val="21"/>
              </w:rPr>
              <w:t>实训任务：</w:t>
            </w:r>
          </w:p>
          <w:p w14:paraId="15B2E436">
            <w:pPr>
              <w:keepNext w:val="0"/>
              <w:keepLines w:val="0"/>
              <w:pageBreakBefore w:val="0"/>
              <w:widowControl/>
              <w:kinsoku/>
              <w:wordWrap/>
              <w:overflowPunct/>
              <w:topLinePunct w:val="0"/>
              <w:bidi w:val="0"/>
              <w:spacing w:line="400" w:lineRule="exact"/>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1.引导学生养成感觉记忆和随时观察四周生活。</w:t>
            </w:r>
          </w:p>
          <w:p w14:paraId="6278B832">
            <w:pPr>
              <w:keepNext w:val="0"/>
              <w:keepLines w:val="0"/>
              <w:pageBreakBefore w:val="0"/>
              <w:widowControl/>
              <w:kinsoku/>
              <w:wordWrap/>
              <w:overflowPunct/>
              <w:topLinePunct w:val="0"/>
              <w:bidi w:val="0"/>
              <w:spacing w:line="400" w:lineRule="exact"/>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2.放松练习、集中注意力练习、节奏变化练习等。</w:t>
            </w:r>
          </w:p>
        </w:tc>
        <w:tc>
          <w:tcPr>
            <w:tcW w:w="1153" w:type="dxa"/>
            <w:gridSpan w:val="3"/>
            <w:vAlign w:val="center"/>
          </w:tcPr>
          <w:p w14:paraId="6B816266">
            <w:pPr>
              <w:keepNext w:val="0"/>
              <w:keepLines w:val="0"/>
              <w:pageBreakBefore w:val="0"/>
              <w:widowControl/>
              <w:kinsoku/>
              <w:wordWrap/>
              <w:overflowPunct/>
              <w:topLinePunct w:val="0"/>
              <w:bidi w:val="0"/>
              <w:spacing w:line="400" w:lineRule="exact"/>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支撑课程目标1、2、3</w:t>
            </w:r>
          </w:p>
        </w:tc>
        <w:tc>
          <w:tcPr>
            <w:tcW w:w="924" w:type="dxa"/>
            <w:gridSpan w:val="2"/>
            <w:shd w:val="clear" w:color="auto" w:fill="FFFFFF"/>
            <w:vAlign w:val="center"/>
          </w:tcPr>
          <w:p w14:paraId="35215EA2">
            <w:pPr>
              <w:keepNext w:val="0"/>
              <w:keepLines w:val="0"/>
              <w:pageBreakBefore w:val="0"/>
              <w:kinsoku/>
              <w:wordWrap/>
              <w:overflowPunct/>
              <w:topLinePunct w:val="0"/>
              <w:bidi w:val="0"/>
              <w:spacing w:line="40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8</w:t>
            </w:r>
          </w:p>
        </w:tc>
      </w:tr>
      <w:tr w14:paraId="07FC4B32">
        <w:trPr>
          <w:trHeight w:val="454" w:hRule="atLeast"/>
        </w:trPr>
        <w:tc>
          <w:tcPr>
            <w:tcW w:w="1431" w:type="dxa"/>
            <w:vMerge w:val="continue"/>
            <w:shd w:val="clear" w:color="auto" w:fill="FFFFFF"/>
            <w:vAlign w:val="center"/>
          </w:tcPr>
          <w:p w14:paraId="39A1C194">
            <w:pPr>
              <w:keepNext w:val="0"/>
              <w:keepLines w:val="0"/>
              <w:pageBreakBefore w:val="0"/>
              <w:kinsoku/>
              <w:wordWrap/>
              <w:overflowPunct/>
              <w:topLinePunct w:val="0"/>
              <w:bidi w:val="0"/>
              <w:spacing w:line="400" w:lineRule="exact"/>
              <w:jc w:val="center"/>
              <w:rPr>
                <w:rFonts w:hint="eastAsia" w:ascii="宋体" w:hAnsi="宋体" w:eastAsia="宋体" w:cs="宋体"/>
                <w:color w:val="000000"/>
                <w:sz w:val="21"/>
                <w:szCs w:val="21"/>
              </w:rPr>
            </w:pPr>
          </w:p>
        </w:tc>
        <w:tc>
          <w:tcPr>
            <w:tcW w:w="5640" w:type="dxa"/>
            <w:gridSpan w:val="9"/>
            <w:vAlign w:val="center"/>
          </w:tcPr>
          <w:p w14:paraId="75EFD34C">
            <w:pPr>
              <w:keepNext w:val="0"/>
              <w:keepLines w:val="0"/>
              <w:pageBreakBefore w:val="0"/>
              <w:widowControl/>
              <w:kinsoku/>
              <w:wordWrap/>
              <w:overflowPunct/>
              <w:topLinePunct w:val="0"/>
              <w:bidi w:val="0"/>
              <w:spacing w:line="400" w:lineRule="exact"/>
              <w:jc w:val="left"/>
              <w:rPr>
                <w:rFonts w:hint="eastAsia" w:ascii="宋体" w:hAnsi="宋体" w:eastAsia="宋体" w:cs="宋体"/>
                <w:b/>
                <w:color w:val="000000"/>
                <w:kern w:val="0"/>
                <w:sz w:val="21"/>
                <w:szCs w:val="21"/>
              </w:rPr>
            </w:pPr>
            <w:r>
              <w:rPr>
                <w:rFonts w:hint="eastAsia" w:ascii="宋体" w:hAnsi="宋体" w:eastAsia="宋体" w:cs="宋体"/>
                <w:b/>
                <w:color w:val="000000"/>
                <w:kern w:val="0"/>
                <w:sz w:val="21"/>
                <w:szCs w:val="21"/>
              </w:rPr>
              <w:t>训练二：无实物练习</w:t>
            </w:r>
          </w:p>
          <w:p w14:paraId="0064FC5A">
            <w:pPr>
              <w:keepNext w:val="0"/>
              <w:keepLines w:val="0"/>
              <w:pageBreakBefore w:val="0"/>
              <w:widowControl/>
              <w:kinsoku/>
              <w:wordWrap/>
              <w:overflowPunct/>
              <w:topLinePunct w:val="0"/>
              <w:bidi w:val="0"/>
              <w:spacing w:line="400" w:lineRule="exact"/>
              <w:jc w:val="left"/>
              <w:rPr>
                <w:rFonts w:hint="eastAsia" w:ascii="宋体" w:hAnsi="宋体" w:eastAsia="宋体" w:cs="宋体"/>
                <w:color w:val="000000"/>
                <w:kern w:val="0"/>
                <w:sz w:val="21"/>
                <w:szCs w:val="21"/>
              </w:rPr>
            </w:pPr>
            <w:r>
              <w:rPr>
                <w:rFonts w:hint="eastAsia" w:ascii="宋体" w:hAnsi="宋体" w:eastAsia="宋体" w:cs="宋体"/>
                <w:b/>
                <w:color w:val="000000"/>
                <w:kern w:val="0"/>
                <w:sz w:val="21"/>
                <w:szCs w:val="21"/>
              </w:rPr>
              <w:t>实训目的：</w:t>
            </w:r>
            <w:r>
              <w:rPr>
                <w:rFonts w:hint="eastAsia" w:ascii="宋体" w:hAnsi="宋体" w:eastAsia="宋体" w:cs="宋体"/>
                <w:color w:val="000000"/>
                <w:kern w:val="0"/>
                <w:sz w:val="21"/>
                <w:szCs w:val="21"/>
              </w:rPr>
              <w:t>让学生熟悉表演从思维到行动三个的基本环节，即“重视感受—思考判断—行动”。</w:t>
            </w:r>
          </w:p>
          <w:p w14:paraId="4EE2EDAB">
            <w:pPr>
              <w:keepNext w:val="0"/>
              <w:keepLines w:val="0"/>
              <w:pageBreakBefore w:val="0"/>
              <w:widowControl/>
              <w:kinsoku/>
              <w:wordWrap/>
              <w:overflowPunct/>
              <w:topLinePunct w:val="0"/>
              <w:bidi w:val="0"/>
              <w:spacing w:line="400" w:lineRule="exact"/>
              <w:jc w:val="left"/>
              <w:rPr>
                <w:rFonts w:hint="eastAsia" w:ascii="宋体" w:hAnsi="宋体" w:eastAsia="宋体" w:cs="宋体"/>
                <w:b/>
                <w:color w:val="000000"/>
                <w:kern w:val="0"/>
                <w:sz w:val="21"/>
                <w:szCs w:val="21"/>
              </w:rPr>
            </w:pPr>
            <w:r>
              <w:rPr>
                <w:rFonts w:hint="eastAsia" w:ascii="宋体" w:hAnsi="宋体" w:eastAsia="宋体" w:cs="宋体"/>
                <w:b/>
                <w:color w:val="000000"/>
                <w:kern w:val="0"/>
                <w:sz w:val="21"/>
                <w:szCs w:val="21"/>
              </w:rPr>
              <w:t>实训任务：</w:t>
            </w:r>
          </w:p>
          <w:p w14:paraId="6CB6ACD0">
            <w:pPr>
              <w:keepNext w:val="0"/>
              <w:keepLines w:val="0"/>
              <w:pageBreakBefore w:val="0"/>
              <w:widowControl/>
              <w:kinsoku/>
              <w:wordWrap/>
              <w:overflowPunct/>
              <w:topLinePunct w:val="0"/>
              <w:bidi w:val="0"/>
              <w:spacing w:line="400" w:lineRule="exact"/>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1.让学生能够在假定的舞台环境中感受体验真实的生活。</w:t>
            </w:r>
          </w:p>
          <w:p w14:paraId="283E682C">
            <w:pPr>
              <w:keepNext w:val="0"/>
              <w:keepLines w:val="0"/>
              <w:pageBreakBefore w:val="0"/>
              <w:widowControl/>
              <w:kinsoku/>
              <w:wordWrap/>
              <w:overflowPunct/>
              <w:topLinePunct w:val="0"/>
              <w:bidi w:val="0"/>
              <w:spacing w:line="400" w:lineRule="exact"/>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2.用实物来检查，使学生认真地抓住无实物练习的行动顺序、行为逻辑、质感、量感、体积大小、空间、部位、速度、节奏。</w:t>
            </w:r>
          </w:p>
        </w:tc>
        <w:tc>
          <w:tcPr>
            <w:tcW w:w="1153" w:type="dxa"/>
            <w:gridSpan w:val="3"/>
            <w:vAlign w:val="center"/>
          </w:tcPr>
          <w:p w14:paraId="29F1A166">
            <w:pPr>
              <w:keepNext w:val="0"/>
              <w:keepLines w:val="0"/>
              <w:pageBreakBefore w:val="0"/>
              <w:kinsoku/>
              <w:wordWrap/>
              <w:overflowPunct/>
              <w:topLinePunct w:val="0"/>
              <w:bidi w:val="0"/>
              <w:spacing w:line="400" w:lineRule="exac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支撑课程目标1、2、3</w:t>
            </w:r>
          </w:p>
        </w:tc>
        <w:tc>
          <w:tcPr>
            <w:tcW w:w="924" w:type="dxa"/>
            <w:gridSpan w:val="2"/>
            <w:shd w:val="clear" w:color="auto" w:fill="FFFFFF"/>
            <w:vAlign w:val="center"/>
          </w:tcPr>
          <w:p w14:paraId="0235FC67">
            <w:pPr>
              <w:keepNext w:val="0"/>
              <w:keepLines w:val="0"/>
              <w:pageBreakBefore w:val="0"/>
              <w:kinsoku/>
              <w:wordWrap/>
              <w:overflowPunct/>
              <w:topLinePunct w:val="0"/>
              <w:bidi w:val="0"/>
              <w:spacing w:line="40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6</w:t>
            </w:r>
          </w:p>
        </w:tc>
      </w:tr>
      <w:tr w14:paraId="49CFDD65">
        <w:trPr>
          <w:trHeight w:val="454" w:hRule="atLeast"/>
        </w:trPr>
        <w:tc>
          <w:tcPr>
            <w:tcW w:w="1431" w:type="dxa"/>
            <w:vMerge w:val="continue"/>
            <w:shd w:val="clear" w:color="auto" w:fill="FFFFFF"/>
            <w:vAlign w:val="center"/>
          </w:tcPr>
          <w:p w14:paraId="67598A24">
            <w:pPr>
              <w:keepNext w:val="0"/>
              <w:keepLines w:val="0"/>
              <w:pageBreakBefore w:val="0"/>
              <w:kinsoku/>
              <w:wordWrap/>
              <w:overflowPunct/>
              <w:topLinePunct w:val="0"/>
              <w:bidi w:val="0"/>
              <w:spacing w:line="400" w:lineRule="exact"/>
              <w:jc w:val="center"/>
              <w:rPr>
                <w:rFonts w:hint="eastAsia" w:ascii="宋体" w:hAnsi="宋体" w:eastAsia="宋体" w:cs="宋体"/>
                <w:color w:val="000000"/>
                <w:sz w:val="21"/>
                <w:szCs w:val="21"/>
              </w:rPr>
            </w:pPr>
          </w:p>
        </w:tc>
        <w:tc>
          <w:tcPr>
            <w:tcW w:w="5640" w:type="dxa"/>
            <w:gridSpan w:val="9"/>
            <w:vAlign w:val="center"/>
          </w:tcPr>
          <w:p w14:paraId="568474E6">
            <w:pPr>
              <w:keepNext w:val="0"/>
              <w:keepLines w:val="0"/>
              <w:pageBreakBefore w:val="0"/>
              <w:widowControl/>
              <w:kinsoku/>
              <w:wordWrap/>
              <w:overflowPunct/>
              <w:topLinePunct w:val="0"/>
              <w:bidi w:val="0"/>
              <w:spacing w:line="400" w:lineRule="exact"/>
              <w:jc w:val="left"/>
              <w:rPr>
                <w:rFonts w:hint="eastAsia" w:ascii="宋体" w:hAnsi="宋体" w:eastAsia="宋体" w:cs="宋体"/>
                <w:b/>
                <w:color w:val="000000"/>
                <w:kern w:val="0"/>
                <w:sz w:val="21"/>
                <w:szCs w:val="21"/>
              </w:rPr>
            </w:pPr>
            <w:r>
              <w:rPr>
                <w:rFonts w:hint="eastAsia" w:ascii="宋体" w:hAnsi="宋体" w:eastAsia="宋体" w:cs="宋体"/>
                <w:b/>
                <w:color w:val="000000"/>
                <w:kern w:val="0"/>
                <w:sz w:val="21"/>
                <w:szCs w:val="21"/>
              </w:rPr>
              <w:t>训练三：双人小品训练</w:t>
            </w:r>
          </w:p>
          <w:p w14:paraId="35788876">
            <w:pPr>
              <w:keepNext w:val="0"/>
              <w:keepLines w:val="0"/>
              <w:pageBreakBefore w:val="0"/>
              <w:widowControl/>
              <w:kinsoku/>
              <w:wordWrap/>
              <w:overflowPunct/>
              <w:topLinePunct w:val="0"/>
              <w:bidi w:val="0"/>
              <w:spacing w:line="400" w:lineRule="exact"/>
              <w:jc w:val="left"/>
              <w:rPr>
                <w:rFonts w:hint="eastAsia" w:ascii="宋体" w:hAnsi="宋体" w:eastAsia="宋体" w:cs="宋体"/>
                <w:color w:val="000000"/>
                <w:kern w:val="0"/>
                <w:sz w:val="21"/>
                <w:szCs w:val="21"/>
              </w:rPr>
            </w:pPr>
            <w:r>
              <w:rPr>
                <w:rFonts w:hint="eastAsia" w:ascii="宋体" w:hAnsi="宋体" w:eastAsia="宋体" w:cs="宋体"/>
                <w:b/>
                <w:color w:val="000000"/>
                <w:kern w:val="0"/>
                <w:sz w:val="21"/>
                <w:szCs w:val="21"/>
              </w:rPr>
              <w:t>实训目的：</w:t>
            </w:r>
            <w:r>
              <w:rPr>
                <w:rFonts w:hint="eastAsia" w:ascii="宋体" w:hAnsi="宋体" w:eastAsia="宋体" w:cs="宋体"/>
                <w:color w:val="000000"/>
                <w:kern w:val="0"/>
                <w:sz w:val="21"/>
                <w:szCs w:val="21"/>
              </w:rPr>
              <w:t>理解并学会相互行动。</w:t>
            </w:r>
          </w:p>
          <w:p w14:paraId="0937A6FB">
            <w:pPr>
              <w:keepNext w:val="0"/>
              <w:keepLines w:val="0"/>
              <w:pageBreakBefore w:val="0"/>
              <w:widowControl/>
              <w:kinsoku/>
              <w:wordWrap/>
              <w:overflowPunct/>
              <w:topLinePunct w:val="0"/>
              <w:bidi w:val="0"/>
              <w:spacing w:line="400" w:lineRule="exact"/>
              <w:jc w:val="left"/>
              <w:rPr>
                <w:rFonts w:hint="eastAsia" w:ascii="宋体" w:hAnsi="宋体" w:eastAsia="宋体" w:cs="宋体"/>
                <w:b/>
                <w:color w:val="000000"/>
                <w:kern w:val="0"/>
                <w:sz w:val="21"/>
                <w:szCs w:val="21"/>
              </w:rPr>
            </w:pPr>
            <w:r>
              <w:rPr>
                <w:rFonts w:hint="eastAsia" w:ascii="宋体" w:hAnsi="宋体" w:eastAsia="宋体" w:cs="宋体"/>
                <w:b/>
                <w:color w:val="000000"/>
                <w:kern w:val="0"/>
                <w:sz w:val="21"/>
                <w:szCs w:val="21"/>
              </w:rPr>
              <w:t>实训任务：</w:t>
            </w:r>
          </w:p>
          <w:p w14:paraId="509F5257">
            <w:pPr>
              <w:keepNext w:val="0"/>
              <w:keepLines w:val="0"/>
              <w:pageBreakBefore w:val="0"/>
              <w:widowControl/>
              <w:kinsoku/>
              <w:wordWrap/>
              <w:overflowPunct/>
              <w:topLinePunct w:val="0"/>
              <w:bidi w:val="0"/>
              <w:spacing w:line="400" w:lineRule="exact"/>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1.要求和同台演员，按不同的人物关系和规定情境，运用动作和语言等表现手段，在相互行动的过程中产生活生生的真实有机的交流适应。</w:t>
            </w:r>
          </w:p>
          <w:p w14:paraId="38F9CAA8">
            <w:pPr>
              <w:keepNext w:val="0"/>
              <w:keepLines w:val="0"/>
              <w:pageBreakBefore w:val="0"/>
              <w:widowControl/>
              <w:kinsoku/>
              <w:wordWrap/>
              <w:overflowPunct/>
              <w:topLinePunct w:val="0"/>
              <w:bidi w:val="0"/>
              <w:spacing w:line="400" w:lineRule="exact"/>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2.通过二人以上的交流练习和小品的形式贯彻教学内容，并用大量的即兴练习，训练同学的适应能力。</w:t>
            </w:r>
          </w:p>
        </w:tc>
        <w:tc>
          <w:tcPr>
            <w:tcW w:w="1153" w:type="dxa"/>
            <w:gridSpan w:val="3"/>
            <w:vAlign w:val="center"/>
          </w:tcPr>
          <w:p w14:paraId="6FA4E4B3">
            <w:pPr>
              <w:keepNext w:val="0"/>
              <w:keepLines w:val="0"/>
              <w:pageBreakBefore w:val="0"/>
              <w:kinsoku/>
              <w:wordWrap/>
              <w:overflowPunct/>
              <w:topLinePunct w:val="0"/>
              <w:bidi w:val="0"/>
              <w:spacing w:line="400" w:lineRule="exac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支撑课程目标1、2、3</w:t>
            </w:r>
          </w:p>
        </w:tc>
        <w:tc>
          <w:tcPr>
            <w:tcW w:w="924" w:type="dxa"/>
            <w:gridSpan w:val="2"/>
            <w:shd w:val="clear" w:color="auto" w:fill="FFFFFF"/>
            <w:vAlign w:val="center"/>
          </w:tcPr>
          <w:p w14:paraId="4100BF78">
            <w:pPr>
              <w:keepNext w:val="0"/>
              <w:keepLines w:val="0"/>
              <w:pageBreakBefore w:val="0"/>
              <w:kinsoku/>
              <w:wordWrap/>
              <w:overflowPunct/>
              <w:topLinePunct w:val="0"/>
              <w:bidi w:val="0"/>
              <w:spacing w:line="400" w:lineRule="exact"/>
              <w:jc w:val="center"/>
              <w:rPr>
                <w:rFonts w:hint="eastAsia" w:ascii="宋体" w:hAnsi="宋体" w:eastAsia="宋体" w:cs="宋体"/>
                <w:color w:val="4472C4"/>
                <w:sz w:val="21"/>
                <w:szCs w:val="21"/>
              </w:rPr>
            </w:pPr>
            <w:r>
              <w:rPr>
                <w:rFonts w:hint="eastAsia" w:ascii="宋体" w:hAnsi="宋体" w:eastAsia="宋体" w:cs="宋体"/>
                <w:bCs/>
                <w:color w:val="000000"/>
                <w:sz w:val="21"/>
                <w:szCs w:val="21"/>
              </w:rPr>
              <w:t>6</w:t>
            </w:r>
          </w:p>
        </w:tc>
      </w:tr>
      <w:tr w14:paraId="598C28A3">
        <w:trPr>
          <w:trHeight w:val="454" w:hRule="atLeast"/>
        </w:trPr>
        <w:tc>
          <w:tcPr>
            <w:tcW w:w="1431" w:type="dxa"/>
            <w:vMerge w:val="continue"/>
            <w:shd w:val="clear" w:color="auto" w:fill="FFFFFF"/>
            <w:vAlign w:val="center"/>
          </w:tcPr>
          <w:p w14:paraId="1AE577A4">
            <w:pPr>
              <w:keepNext w:val="0"/>
              <w:keepLines w:val="0"/>
              <w:pageBreakBefore w:val="0"/>
              <w:kinsoku/>
              <w:wordWrap/>
              <w:overflowPunct/>
              <w:topLinePunct w:val="0"/>
              <w:bidi w:val="0"/>
              <w:spacing w:line="400" w:lineRule="exact"/>
              <w:jc w:val="center"/>
              <w:rPr>
                <w:rFonts w:hint="eastAsia" w:ascii="宋体" w:hAnsi="宋体" w:eastAsia="宋体" w:cs="宋体"/>
                <w:color w:val="000000"/>
                <w:sz w:val="21"/>
                <w:szCs w:val="21"/>
              </w:rPr>
            </w:pPr>
          </w:p>
        </w:tc>
        <w:tc>
          <w:tcPr>
            <w:tcW w:w="5640" w:type="dxa"/>
            <w:gridSpan w:val="9"/>
            <w:vAlign w:val="center"/>
          </w:tcPr>
          <w:p w14:paraId="0C489452">
            <w:pPr>
              <w:keepNext w:val="0"/>
              <w:keepLines w:val="0"/>
              <w:pageBreakBefore w:val="0"/>
              <w:widowControl/>
              <w:kinsoku/>
              <w:wordWrap/>
              <w:overflowPunct/>
              <w:topLinePunct w:val="0"/>
              <w:bidi w:val="0"/>
              <w:spacing w:line="400" w:lineRule="exact"/>
              <w:jc w:val="left"/>
              <w:rPr>
                <w:rFonts w:hint="eastAsia" w:ascii="宋体" w:hAnsi="宋体" w:eastAsia="宋体" w:cs="宋体"/>
                <w:b/>
                <w:color w:val="000000"/>
                <w:kern w:val="0"/>
                <w:sz w:val="21"/>
                <w:szCs w:val="21"/>
              </w:rPr>
            </w:pPr>
            <w:r>
              <w:rPr>
                <w:rFonts w:hint="eastAsia" w:ascii="宋体" w:hAnsi="宋体" w:eastAsia="宋体" w:cs="宋体"/>
                <w:b/>
                <w:color w:val="000000"/>
                <w:kern w:val="0"/>
                <w:sz w:val="21"/>
                <w:szCs w:val="21"/>
              </w:rPr>
              <w:t>训练四：即兴小品训练</w:t>
            </w:r>
          </w:p>
          <w:p w14:paraId="62E33030">
            <w:pPr>
              <w:keepNext w:val="0"/>
              <w:keepLines w:val="0"/>
              <w:pageBreakBefore w:val="0"/>
              <w:widowControl/>
              <w:kinsoku/>
              <w:wordWrap/>
              <w:overflowPunct/>
              <w:topLinePunct w:val="0"/>
              <w:bidi w:val="0"/>
              <w:spacing w:line="400" w:lineRule="exact"/>
              <w:jc w:val="left"/>
              <w:rPr>
                <w:rFonts w:hint="eastAsia" w:ascii="宋体" w:hAnsi="宋体" w:eastAsia="宋体" w:cs="宋体"/>
                <w:color w:val="000000"/>
                <w:kern w:val="0"/>
                <w:sz w:val="21"/>
                <w:szCs w:val="21"/>
              </w:rPr>
            </w:pPr>
            <w:r>
              <w:rPr>
                <w:rFonts w:hint="eastAsia" w:ascii="宋体" w:hAnsi="宋体" w:eastAsia="宋体" w:cs="宋体"/>
                <w:b/>
                <w:color w:val="000000"/>
                <w:kern w:val="0"/>
                <w:sz w:val="21"/>
                <w:szCs w:val="21"/>
              </w:rPr>
              <w:t>实训目的：</w:t>
            </w:r>
            <w:r>
              <w:rPr>
                <w:rFonts w:hint="eastAsia" w:ascii="宋体" w:hAnsi="宋体" w:eastAsia="宋体" w:cs="宋体"/>
                <w:color w:val="000000"/>
                <w:kern w:val="0"/>
                <w:sz w:val="21"/>
                <w:szCs w:val="21"/>
              </w:rPr>
              <w:t>让学生指导即兴小品是舞台有机交流的有效手段。</w:t>
            </w:r>
          </w:p>
          <w:p w14:paraId="0881C562">
            <w:pPr>
              <w:keepNext w:val="0"/>
              <w:keepLines w:val="0"/>
              <w:pageBreakBefore w:val="0"/>
              <w:widowControl/>
              <w:kinsoku/>
              <w:wordWrap/>
              <w:overflowPunct/>
              <w:topLinePunct w:val="0"/>
              <w:bidi w:val="0"/>
              <w:spacing w:line="400" w:lineRule="exact"/>
              <w:jc w:val="left"/>
              <w:rPr>
                <w:rFonts w:hint="eastAsia" w:ascii="宋体" w:hAnsi="宋体" w:eastAsia="宋体" w:cs="宋体"/>
                <w:b/>
                <w:color w:val="000000"/>
                <w:kern w:val="0"/>
                <w:sz w:val="21"/>
                <w:szCs w:val="21"/>
              </w:rPr>
            </w:pPr>
            <w:r>
              <w:rPr>
                <w:rFonts w:hint="eastAsia" w:ascii="宋体" w:hAnsi="宋体" w:eastAsia="宋体" w:cs="宋体"/>
                <w:b/>
                <w:color w:val="000000"/>
                <w:kern w:val="0"/>
                <w:sz w:val="21"/>
                <w:szCs w:val="21"/>
              </w:rPr>
              <w:t>实训任务：</w:t>
            </w:r>
          </w:p>
          <w:p w14:paraId="7EBDDC38">
            <w:pPr>
              <w:keepNext w:val="0"/>
              <w:keepLines w:val="0"/>
              <w:pageBreakBefore w:val="0"/>
              <w:widowControl/>
              <w:kinsoku/>
              <w:wordWrap/>
              <w:overflowPunct/>
              <w:topLinePunct w:val="0"/>
              <w:bidi w:val="0"/>
              <w:spacing w:line="400" w:lineRule="exact"/>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1.让学生明白舞台交流的实质是舞台斗争冲突过程中对手之间的相互作用，学会掌握动作和反动作。</w:t>
            </w:r>
          </w:p>
          <w:p w14:paraId="5425F439">
            <w:pPr>
              <w:keepNext w:val="0"/>
              <w:keepLines w:val="0"/>
              <w:pageBreakBefore w:val="0"/>
              <w:widowControl/>
              <w:kinsoku/>
              <w:wordWrap/>
              <w:overflowPunct/>
              <w:topLinePunct w:val="0"/>
              <w:bidi w:val="0"/>
              <w:spacing w:line="400" w:lineRule="exact"/>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2.运用动作和语言等表现手段，在相互行动的过程中产生活生生的真实有机的交流适应。</w:t>
            </w:r>
          </w:p>
        </w:tc>
        <w:tc>
          <w:tcPr>
            <w:tcW w:w="1153" w:type="dxa"/>
            <w:gridSpan w:val="3"/>
            <w:vAlign w:val="center"/>
          </w:tcPr>
          <w:p w14:paraId="5D128F7B">
            <w:pPr>
              <w:keepNext w:val="0"/>
              <w:keepLines w:val="0"/>
              <w:pageBreakBefore w:val="0"/>
              <w:kinsoku/>
              <w:wordWrap/>
              <w:overflowPunct/>
              <w:topLinePunct w:val="0"/>
              <w:bidi w:val="0"/>
              <w:spacing w:line="400" w:lineRule="exac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支撑课程目标1、2、3</w:t>
            </w:r>
          </w:p>
        </w:tc>
        <w:tc>
          <w:tcPr>
            <w:tcW w:w="924" w:type="dxa"/>
            <w:gridSpan w:val="2"/>
            <w:shd w:val="clear" w:color="auto" w:fill="FFFFFF"/>
            <w:vAlign w:val="center"/>
          </w:tcPr>
          <w:p w14:paraId="33B37401">
            <w:pPr>
              <w:keepNext w:val="0"/>
              <w:keepLines w:val="0"/>
              <w:pageBreakBefore w:val="0"/>
              <w:kinsoku/>
              <w:wordWrap/>
              <w:overflowPunct/>
              <w:topLinePunct w:val="0"/>
              <w:bidi w:val="0"/>
              <w:spacing w:line="400" w:lineRule="exact"/>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8</w:t>
            </w:r>
          </w:p>
        </w:tc>
      </w:tr>
      <w:tr w14:paraId="29752547">
        <w:trPr>
          <w:trHeight w:val="454" w:hRule="atLeast"/>
        </w:trPr>
        <w:tc>
          <w:tcPr>
            <w:tcW w:w="1431" w:type="dxa"/>
            <w:vMerge w:val="continue"/>
            <w:shd w:val="clear" w:color="auto" w:fill="FFFFFF"/>
            <w:vAlign w:val="center"/>
          </w:tcPr>
          <w:p w14:paraId="165BBE9C">
            <w:pPr>
              <w:keepNext w:val="0"/>
              <w:keepLines w:val="0"/>
              <w:pageBreakBefore w:val="0"/>
              <w:kinsoku/>
              <w:wordWrap/>
              <w:overflowPunct/>
              <w:topLinePunct w:val="0"/>
              <w:bidi w:val="0"/>
              <w:spacing w:line="400" w:lineRule="exact"/>
              <w:jc w:val="center"/>
              <w:rPr>
                <w:rFonts w:hint="eastAsia" w:ascii="宋体" w:hAnsi="宋体" w:eastAsia="宋体" w:cs="宋体"/>
                <w:color w:val="000000"/>
                <w:sz w:val="21"/>
                <w:szCs w:val="21"/>
              </w:rPr>
            </w:pPr>
          </w:p>
        </w:tc>
        <w:tc>
          <w:tcPr>
            <w:tcW w:w="5640" w:type="dxa"/>
            <w:gridSpan w:val="9"/>
            <w:vAlign w:val="center"/>
          </w:tcPr>
          <w:p w14:paraId="75DAB9A4">
            <w:pPr>
              <w:keepNext w:val="0"/>
              <w:keepLines w:val="0"/>
              <w:pageBreakBefore w:val="0"/>
              <w:widowControl/>
              <w:kinsoku/>
              <w:wordWrap/>
              <w:overflowPunct/>
              <w:topLinePunct w:val="0"/>
              <w:bidi w:val="0"/>
              <w:spacing w:line="400" w:lineRule="exact"/>
              <w:jc w:val="left"/>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lang w:eastAsia="zh-CN"/>
              </w:rPr>
              <w:t>训练五：</w:t>
            </w:r>
            <w:r>
              <w:rPr>
                <w:rFonts w:hint="eastAsia" w:ascii="宋体" w:hAnsi="宋体" w:eastAsia="宋体" w:cs="宋体"/>
                <w:b/>
                <w:bCs/>
                <w:color w:val="000000"/>
                <w:kern w:val="0"/>
                <w:sz w:val="21"/>
                <w:szCs w:val="21"/>
              </w:rPr>
              <w:t>角色</w:t>
            </w:r>
            <w:r>
              <w:rPr>
                <w:rFonts w:hint="eastAsia" w:ascii="宋体" w:hAnsi="宋体" w:eastAsia="宋体" w:cs="宋体"/>
                <w:b/>
                <w:bCs/>
                <w:color w:val="000000"/>
                <w:kern w:val="0"/>
                <w:sz w:val="21"/>
                <w:szCs w:val="21"/>
                <w:lang w:eastAsia="zh-CN"/>
              </w:rPr>
              <w:t>表演</w:t>
            </w:r>
            <w:r>
              <w:rPr>
                <w:rFonts w:hint="eastAsia" w:ascii="宋体" w:hAnsi="宋体" w:eastAsia="宋体" w:cs="宋体"/>
                <w:b/>
                <w:bCs/>
                <w:color w:val="000000"/>
                <w:kern w:val="0"/>
                <w:sz w:val="21"/>
                <w:szCs w:val="21"/>
              </w:rPr>
              <w:t>基础训练</w:t>
            </w:r>
            <w:r>
              <w:rPr>
                <w:rFonts w:hint="eastAsia" w:ascii="宋体" w:hAnsi="宋体" w:eastAsia="宋体" w:cs="宋体"/>
                <w:b/>
                <w:bCs/>
                <w:color w:val="000000"/>
                <w:kern w:val="0"/>
                <w:sz w:val="21"/>
                <w:szCs w:val="21"/>
                <w:lang w:val="en-US" w:eastAsia="zh-CN"/>
              </w:rPr>
              <w:t xml:space="preserve"> </w:t>
            </w:r>
            <w:r>
              <w:rPr>
                <w:rFonts w:hint="eastAsia" w:ascii="宋体" w:hAnsi="宋体" w:eastAsia="宋体" w:cs="宋体"/>
                <w:b/>
                <w:bCs/>
                <w:color w:val="000000"/>
                <w:kern w:val="0"/>
                <w:sz w:val="21"/>
                <w:szCs w:val="21"/>
              </w:rPr>
              <w:t xml:space="preserve"> </w:t>
            </w:r>
          </w:p>
          <w:p w14:paraId="114A14FF">
            <w:pPr>
              <w:keepNext w:val="0"/>
              <w:keepLines w:val="0"/>
              <w:pageBreakBefore w:val="0"/>
              <w:widowControl/>
              <w:kinsoku/>
              <w:wordWrap/>
              <w:overflowPunct/>
              <w:topLinePunct w:val="0"/>
              <w:bidi w:val="0"/>
              <w:spacing w:line="400" w:lineRule="exact"/>
              <w:jc w:val="left"/>
              <w:rPr>
                <w:rFonts w:hint="eastAsia" w:ascii="宋体" w:hAnsi="宋体" w:eastAsia="宋体" w:cs="宋体"/>
                <w:color w:val="000000"/>
                <w:kern w:val="0"/>
                <w:sz w:val="21"/>
                <w:szCs w:val="21"/>
              </w:rPr>
            </w:pPr>
            <w:r>
              <w:rPr>
                <w:rFonts w:hint="eastAsia" w:ascii="宋体" w:hAnsi="宋体" w:eastAsia="宋体" w:cs="宋体"/>
                <w:b/>
                <w:bCs/>
                <w:color w:val="000000"/>
                <w:kern w:val="0"/>
                <w:sz w:val="21"/>
                <w:szCs w:val="21"/>
              </w:rPr>
              <w:t>实训目的</w:t>
            </w:r>
            <w:r>
              <w:rPr>
                <w:rFonts w:hint="eastAsia" w:ascii="宋体" w:hAnsi="宋体" w:eastAsia="宋体" w:cs="宋体"/>
                <w:b/>
                <w:bCs/>
                <w:color w:val="000000"/>
                <w:kern w:val="0"/>
                <w:sz w:val="21"/>
                <w:szCs w:val="21"/>
                <w:lang w:eastAsia="zh-CN"/>
              </w:rPr>
              <w:t>：</w:t>
            </w:r>
            <w:r>
              <w:rPr>
                <w:rFonts w:hint="eastAsia" w:ascii="宋体" w:hAnsi="宋体" w:eastAsia="宋体" w:cs="宋体"/>
                <w:color w:val="000000"/>
                <w:kern w:val="0"/>
                <w:sz w:val="21"/>
                <w:szCs w:val="21"/>
              </w:rPr>
              <w:t>建立“角色=身份+性格+动机”认知，掌握文本信息提取方法，积累生活观察素材，打破脸谱化理解。</w:t>
            </w:r>
          </w:p>
          <w:p w14:paraId="4A15121D">
            <w:pPr>
              <w:keepNext w:val="0"/>
              <w:keepLines w:val="0"/>
              <w:pageBreakBefore w:val="0"/>
              <w:widowControl/>
              <w:kinsoku/>
              <w:wordWrap/>
              <w:overflowPunct/>
              <w:topLinePunct w:val="0"/>
              <w:bidi w:val="0"/>
              <w:spacing w:line="400" w:lineRule="exact"/>
              <w:jc w:val="left"/>
              <w:rPr>
                <w:rFonts w:hint="eastAsia" w:ascii="宋体" w:hAnsi="宋体" w:eastAsia="宋体" w:cs="宋体"/>
                <w:b/>
                <w:bCs/>
                <w:color w:val="000000"/>
                <w:kern w:val="0"/>
                <w:sz w:val="21"/>
                <w:szCs w:val="21"/>
                <w:lang w:eastAsia="zh-CN"/>
              </w:rPr>
            </w:pPr>
            <w:r>
              <w:rPr>
                <w:rFonts w:hint="eastAsia" w:ascii="宋体" w:hAnsi="宋体" w:eastAsia="宋体" w:cs="宋体"/>
                <w:b/>
                <w:bCs/>
                <w:color w:val="000000"/>
                <w:kern w:val="0"/>
                <w:sz w:val="21"/>
                <w:szCs w:val="21"/>
              </w:rPr>
              <w:t>实训任务</w:t>
            </w:r>
            <w:r>
              <w:rPr>
                <w:rFonts w:hint="eastAsia" w:ascii="宋体" w:hAnsi="宋体" w:eastAsia="宋体" w:cs="宋体"/>
                <w:b/>
                <w:bCs/>
                <w:color w:val="000000"/>
                <w:kern w:val="0"/>
                <w:sz w:val="21"/>
                <w:szCs w:val="21"/>
                <w:lang w:eastAsia="zh-CN"/>
              </w:rPr>
              <w:t>：</w:t>
            </w:r>
          </w:p>
          <w:p w14:paraId="49EDC768">
            <w:pPr>
              <w:keepNext w:val="0"/>
              <w:keepLines w:val="0"/>
              <w:pageBreakBefore w:val="0"/>
              <w:widowControl/>
              <w:kinsoku/>
              <w:wordWrap/>
              <w:overflowPunct/>
              <w:topLinePunct w:val="0"/>
              <w:bidi w:val="0"/>
              <w:spacing w:line="400" w:lineRule="exact"/>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1.</w:t>
            </w:r>
            <w:r>
              <w:rPr>
                <w:rFonts w:hint="eastAsia" w:ascii="宋体" w:hAnsi="宋体" w:eastAsia="宋体" w:cs="宋体"/>
                <w:color w:val="000000"/>
                <w:kern w:val="0"/>
                <w:sz w:val="21"/>
                <w:szCs w:val="21"/>
              </w:rPr>
              <w:t>文本解读：分组提取剧本角色核心信息，制作“角色信息卡”并汇报。</w:t>
            </w:r>
          </w:p>
          <w:p w14:paraId="2BD60D23">
            <w:pPr>
              <w:keepNext w:val="0"/>
              <w:keepLines w:val="0"/>
              <w:pageBreakBefore w:val="0"/>
              <w:widowControl/>
              <w:kinsoku/>
              <w:wordWrap/>
              <w:overflowPunct/>
              <w:topLinePunct w:val="0"/>
              <w:bidi w:val="0"/>
              <w:spacing w:line="400" w:lineRule="exact"/>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2.生活观察与模仿：观察3类不同身份人群，课堂开展“身份模仿秀”并点评。</w:t>
            </w:r>
          </w:p>
          <w:p w14:paraId="66AA36F3">
            <w:pPr>
              <w:keepNext w:val="0"/>
              <w:keepLines w:val="0"/>
              <w:pageBreakBefore w:val="0"/>
              <w:widowControl/>
              <w:kinsoku/>
              <w:wordWrap/>
              <w:overflowPunct/>
              <w:topLinePunct w:val="0"/>
              <w:bidi w:val="0"/>
              <w:spacing w:line="400" w:lineRule="exact"/>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3.角色基调定位：针对同一角色的不同情境，设计语气、肢体、情绪基调并呈现。</w:t>
            </w:r>
          </w:p>
        </w:tc>
        <w:tc>
          <w:tcPr>
            <w:tcW w:w="1153" w:type="dxa"/>
            <w:gridSpan w:val="3"/>
            <w:vAlign w:val="center"/>
          </w:tcPr>
          <w:p w14:paraId="7204C788">
            <w:pPr>
              <w:keepNext w:val="0"/>
              <w:keepLines w:val="0"/>
              <w:pageBreakBefore w:val="0"/>
              <w:kinsoku/>
              <w:wordWrap/>
              <w:overflowPunct/>
              <w:topLinePunct w:val="0"/>
              <w:bidi w:val="0"/>
              <w:spacing w:line="400" w:lineRule="exac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支撑课程目标1、2、3</w:t>
            </w:r>
          </w:p>
        </w:tc>
        <w:tc>
          <w:tcPr>
            <w:tcW w:w="924" w:type="dxa"/>
            <w:gridSpan w:val="2"/>
            <w:shd w:val="clear" w:color="auto" w:fill="FFFFFF"/>
            <w:vAlign w:val="center"/>
          </w:tcPr>
          <w:p w14:paraId="267A3950">
            <w:pPr>
              <w:keepNext w:val="0"/>
              <w:keepLines w:val="0"/>
              <w:pageBreakBefore w:val="0"/>
              <w:kinsoku/>
              <w:wordWrap/>
              <w:overflowPunct/>
              <w:topLinePunct w:val="0"/>
              <w:bidi w:val="0"/>
              <w:spacing w:line="400" w:lineRule="exact"/>
              <w:jc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8</w:t>
            </w:r>
          </w:p>
        </w:tc>
      </w:tr>
      <w:tr w14:paraId="1AD8E5E3">
        <w:trPr>
          <w:trHeight w:val="454" w:hRule="atLeast"/>
        </w:trPr>
        <w:tc>
          <w:tcPr>
            <w:tcW w:w="1431" w:type="dxa"/>
            <w:vMerge w:val="continue"/>
            <w:shd w:val="clear" w:color="auto" w:fill="FFFFFF"/>
            <w:vAlign w:val="center"/>
          </w:tcPr>
          <w:p w14:paraId="234AB30B">
            <w:pPr>
              <w:keepNext w:val="0"/>
              <w:keepLines w:val="0"/>
              <w:pageBreakBefore w:val="0"/>
              <w:kinsoku/>
              <w:wordWrap/>
              <w:overflowPunct/>
              <w:topLinePunct w:val="0"/>
              <w:bidi w:val="0"/>
              <w:spacing w:line="400" w:lineRule="exact"/>
              <w:jc w:val="center"/>
              <w:rPr>
                <w:rFonts w:hint="eastAsia" w:ascii="宋体" w:hAnsi="宋体" w:eastAsia="宋体" w:cs="宋体"/>
                <w:color w:val="000000"/>
                <w:sz w:val="21"/>
                <w:szCs w:val="21"/>
              </w:rPr>
            </w:pPr>
          </w:p>
        </w:tc>
        <w:tc>
          <w:tcPr>
            <w:tcW w:w="5640" w:type="dxa"/>
            <w:gridSpan w:val="9"/>
            <w:vAlign w:val="center"/>
          </w:tcPr>
          <w:p w14:paraId="6F5FB9D6">
            <w:pPr>
              <w:keepNext w:val="0"/>
              <w:keepLines w:val="0"/>
              <w:pageBreakBefore w:val="0"/>
              <w:widowControl/>
              <w:kinsoku/>
              <w:wordWrap/>
              <w:overflowPunct/>
              <w:topLinePunct w:val="0"/>
              <w:bidi w:val="0"/>
              <w:spacing w:line="400" w:lineRule="exact"/>
              <w:jc w:val="left"/>
              <w:rPr>
                <w:rFonts w:hint="eastAsia" w:ascii="宋体" w:hAnsi="宋体" w:eastAsia="宋体" w:cs="宋体"/>
                <w:b/>
                <w:bCs/>
                <w:color w:val="000000"/>
                <w:kern w:val="0"/>
                <w:sz w:val="21"/>
                <w:szCs w:val="21"/>
                <w:lang w:eastAsia="zh-CN"/>
              </w:rPr>
            </w:pPr>
            <w:r>
              <w:rPr>
                <w:rFonts w:hint="eastAsia" w:ascii="宋体" w:hAnsi="宋体" w:eastAsia="宋体" w:cs="宋体"/>
                <w:b/>
                <w:bCs/>
                <w:color w:val="000000"/>
                <w:kern w:val="0"/>
                <w:sz w:val="21"/>
                <w:szCs w:val="21"/>
                <w:lang w:eastAsia="zh-CN"/>
              </w:rPr>
              <w:t>训练六：</w:t>
            </w:r>
            <w:r>
              <w:rPr>
                <w:rFonts w:hint="eastAsia" w:ascii="宋体" w:hAnsi="宋体" w:eastAsia="宋体" w:cs="宋体"/>
                <w:b/>
                <w:bCs/>
                <w:color w:val="000000"/>
                <w:kern w:val="0"/>
                <w:sz w:val="21"/>
                <w:szCs w:val="21"/>
              </w:rPr>
              <w:t>角色内心世界解构训练</w:t>
            </w:r>
            <w:r>
              <w:rPr>
                <w:rFonts w:hint="eastAsia" w:ascii="宋体" w:hAnsi="宋体" w:eastAsia="宋体" w:cs="宋体"/>
                <w:b/>
                <w:bCs/>
                <w:color w:val="000000"/>
                <w:kern w:val="0"/>
                <w:sz w:val="21"/>
                <w:szCs w:val="21"/>
                <w:lang w:val="en-US" w:eastAsia="zh-CN"/>
              </w:rPr>
              <w:t xml:space="preserve"> </w:t>
            </w:r>
          </w:p>
          <w:p w14:paraId="0283DF75">
            <w:pPr>
              <w:keepNext w:val="0"/>
              <w:keepLines w:val="0"/>
              <w:pageBreakBefore w:val="0"/>
              <w:widowControl/>
              <w:kinsoku/>
              <w:wordWrap/>
              <w:overflowPunct/>
              <w:topLinePunct w:val="0"/>
              <w:bidi w:val="0"/>
              <w:spacing w:line="400" w:lineRule="exact"/>
              <w:jc w:val="left"/>
              <w:rPr>
                <w:rFonts w:hint="eastAsia" w:ascii="宋体" w:hAnsi="宋体" w:eastAsia="宋体" w:cs="宋体"/>
                <w:color w:val="000000"/>
                <w:kern w:val="0"/>
                <w:sz w:val="21"/>
                <w:szCs w:val="21"/>
              </w:rPr>
            </w:pPr>
            <w:r>
              <w:rPr>
                <w:rFonts w:hint="eastAsia" w:ascii="宋体" w:hAnsi="宋体" w:eastAsia="宋体" w:cs="宋体"/>
                <w:b/>
                <w:bCs/>
                <w:color w:val="000000"/>
                <w:kern w:val="0"/>
                <w:sz w:val="21"/>
                <w:szCs w:val="21"/>
              </w:rPr>
              <w:t>实训目的</w:t>
            </w:r>
            <w:r>
              <w:rPr>
                <w:rFonts w:hint="eastAsia" w:ascii="宋体" w:hAnsi="宋体" w:eastAsia="宋体" w:cs="宋体"/>
                <w:b/>
                <w:bCs/>
                <w:color w:val="000000"/>
                <w:kern w:val="0"/>
                <w:sz w:val="21"/>
                <w:szCs w:val="21"/>
                <w:lang w:eastAsia="zh-CN"/>
              </w:rPr>
              <w:t>：</w:t>
            </w:r>
            <w:r>
              <w:rPr>
                <w:rFonts w:hint="eastAsia" w:ascii="宋体" w:hAnsi="宋体" w:eastAsia="宋体" w:cs="宋体"/>
                <w:color w:val="000000"/>
                <w:kern w:val="0"/>
                <w:sz w:val="21"/>
                <w:szCs w:val="21"/>
              </w:rPr>
              <w:t>挖掘角色内心逻辑，拆解情感层次，培养共情能力，实现与角色深度联结。</w:t>
            </w:r>
          </w:p>
          <w:p w14:paraId="63D6DBC3">
            <w:pPr>
              <w:keepNext w:val="0"/>
              <w:keepLines w:val="0"/>
              <w:pageBreakBefore w:val="0"/>
              <w:widowControl/>
              <w:kinsoku/>
              <w:wordWrap/>
              <w:overflowPunct/>
              <w:topLinePunct w:val="0"/>
              <w:bidi w:val="0"/>
              <w:spacing w:line="400" w:lineRule="exact"/>
              <w:jc w:val="left"/>
              <w:rPr>
                <w:rFonts w:hint="eastAsia" w:ascii="宋体" w:hAnsi="宋体" w:eastAsia="宋体" w:cs="宋体"/>
                <w:b/>
                <w:bCs/>
                <w:color w:val="000000"/>
                <w:kern w:val="0"/>
                <w:sz w:val="21"/>
                <w:szCs w:val="21"/>
                <w:lang w:eastAsia="zh-CN"/>
              </w:rPr>
            </w:pPr>
            <w:r>
              <w:rPr>
                <w:rFonts w:hint="eastAsia" w:ascii="宋体" w:hAnsi="宋体" w:eastAsia="宋体" w:cs="宋体"/>
                <w:b/>
                <w:bCs/>
                <w:color w:val="000000"/>
                <w:kern w:val="0"/>
                <w:sz w:val="21"/>
                <w:szCs w:val="21"/>
              </w:rPr>
              <w:t>实训任务</w:t>
            </w:r>
            <w:r>
              <w:rPr>
                <w:rFonts w:hint="eastAsia" w:ascii="宋体" w:hAnsi="宋体" w:eastAsia="宋体" w:cs="宋体"/>
                <w:b/>
                <w:bCs/>
                <w:color w:val="000000"/>
                <w:kern w:val="0"/>
                <w:sz w:val="21"/>
                <w:szCs w:val="21"/>
                <w:lang w:eastAsia="zh-CN"/>
              </w:rPr>
              <w:t>：</w:t>
            </w:r>
          </w:p>
          <w:p w14:paraId="5155B8A1">
            <w:pPr>
              <w:keepNext w:val="0"/>
              <w:keepLines w:val="0"/>
              <w:pageBreakBefore w:val="0"/>
              <w:widowControl/>
              <w:kinsoku/>
              <w:wordWrap/>
              <w:overflowPunct/>
              <w:topLinePunct w:val="0"/>
              <w:bidi w:val="0"/>
              <w:spacing w:line="400" w:lineRule="exact"/>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1.人物小传撰写与分享：为经典角色撰写1500字小传，以第一人称自述。</w:t>
            </w:r>
          </w:p>
          <w:p w14:paraId="3FF8C8BC">
            <w:pPr>
              <w:keepNext w:val="0"/>
              <w:keepLines w:val="0"/>
              <w:pageBreakBefore w:val="0"/>
              <w:widowControl/>
              <w:kinsoku/>
              <w:wordWrap/>
              <w:overflowPunct/>
              <w:topLinePunct w:val="0"/>
              <w:bidi w:val="0"/>
              <w:spacing w:line="400" w:lineRule="exact"/>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2.情感层次拆解：拆解复杂情感递进过程，通过无台词表达、分级朗读训练。</w:t>
            </w:r>
          </w:p>
          <w:p w14:paraId="4565F6D2">
            <w:pPr>
              <w:keepNext w:val="0"/>
              <w:keepLines w:val="0"/>
              <w:pageBreakBefore w:val="0"/>
              <w:widowControl/>
              <w:kinsoku/>
              <w:wordWrap/>
              <w:overflowPunct/>
              <w:topLinePunct w:val="0"/>
              <w:bidi w:val="0"/>
              <w:spacing w:line="400" w:lineRule="exact"/>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3.角色冲突与抉择：呈现两难情境下的内心挣扎，外化内心戏。</w:t>
            </w:r>
          </w:p>
        </w:tc>
        <w:tc>
          <w:tcPr>
            <w:tcW w:w="1153" w:type="dxa"/>
            <w:gridSpan w:val="3"/>
            <w:vAlign w:val="center"/>
          </w:tcPr>
          <w:p w14:paraId="4B6EAFDA">
            <w:pPr>
              <w:keepNext w:val="0"/>
              <w:keepLines w:val="0"/>
              <w:pageBreakBefore w:val="0"/>
              <w:kinsoku/>
              <w:wordWrap/>
              <w:overflowPunct/>
              <w:topLinePunct w:val="0"/>
              <w:bidi w:val="0"/>
              <w:spacing w:line="400" w:lineRule="exac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支撑课程目标1、2、3</w:t>
            </w:r>
          </w:p>
        </w:tc>
        <w:tc>
          <w:tcPr>
            <w:tcW w:w="924" w:type="dxa"/>
            <w:gridSpan w:val="2"/>
            <w:shd w:val="clear" w:color="auto" w:fill="FFFFFF"/>
            <w:vAlign w:val="center"/>
          </w:tcPr>
          <w:p w14:paraId="201777CA">
            <w:pPr>
              <w:keepNext w:val="0"/>
              <w:keepLines w:val="0"/>
              <w:pageBreakBefore w:val="0"/>
              <w:kinsoku/>
              <w:wordWrap/>
              <w:overflowPunct/>
              <w:topLinePunct w:val="0"/>
              <w:bidi w:val="0"/>
              <w:spacing w:line="400" w:lineRule="exact"/>
              <w:jc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8</w:t>
            </w:r>
          </w:p>
        </w:tc>
      </w:tr>
      <w:tr w14:paraId="4F3C48B0">
        <w:trPr>
          <w:trHeight w:val="454" w:hRule="atLeast"/>
        </w:trPr>
        <w:tc>
          <w:tcPr>
            <w:tcW w:w="1431" w:type="dxa"/>
            <w:vMerge w:val="continue"/>
            <w:shd w:val="clear" w:color="auto" w:fill="FFFFFF"/>
            <w:vAlign w:val="center"/>
          </w:tcPr>
          <w:p w14:paraId="06BFBFB1">
            <w:pPr>
              <w:keepNext w:val="0"/>
              <w:keepLines w:val="0"/>
              <w:pageBreakBefore w:val="0"/>
              <w:kinsoku/>
              <w:wordWrap/>
              <w:overflowPunct/>
              <w:topLinePunct w:val="0"/>
              <w:bidi w:val="0"/>
              <w:spacing w:line="400" w:lineRule="exact"/>
              <w:jc w:val="center"/>
              <w:rPr>
                <w:rFonts w:hint="eastAsia" w:ascii="宋体" w:hAnsi="宋体" w:eastAsia="宋体" w:cs="宋体"/>
                <w:color w:val="000000"/>
                <w:sz w:val="21"/>
                <w:szCs w:val="21"/>
              </w:rPr>
            </w:pPr>
          </w:p>
        </w:tc>
        <w:tc>
          <w:tcPr>
            <w:tcW w:w="5640" w:type="dxa"/>
            <w:gridSpan w:val="9"/>
            <w:vAlign w:val="center"/>
          </w:tcPr>
          <w:p w14:paraId="1F369D7F">
            <w:pPr>
              <w:keepNext w:val="0"/>
              <w:keepLines w:val="0"/>
              <w:pageBreakBefore w:val="0"/>
              <w:widowControl/>
              <w:kinsoku/>
              <w:wordWrap/>
              <w:overflowPunct/>
              <w:topLinePunct w:val="0"/>
              <w:bidi w:val="0"/>
              <w:spacing w:line="400" w:lineRule="exact"/>
              <w:jc w:val="left"/>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lang w:eastAsia="zh-CN"/>
              </w:rPr>
              <w:t>训练七：</w:t>
            </w:r>
            <w:r>
              <w:rPr>
                <w:rFonts w:hint="eastAsia" w:ascii="宋体" w:hAnsi="宋体" w:eastAsia="宋体" w:cs="宋体"/>
                <w:b/>
                <w:bCs/>
                <w:color w:val="000000"/>
                <w:kern w:val="0"/>
                <w:sz w:val="21"/>
                <w:szCs w:val="21"/>
              </w:rPr>
              <w:t>角色外部塑造实践训练</w:t>
            </w:r>
          </w:p>
          <w:p w14:paraId="1AF8C35C">
            <w:pPr>
              <w:keepNext w:val="0"/>
              <w:keepLines w:val="0"/>
              <w:pageBreakBefore w:val="0"/>
              <w:widowControl/>
              <w:kinsoku/>
              <w:wordWrap/>
              <w:overflowPunct/>
              <w:topLinePunct w:val="0"/>
              <w:bidi w:val="0"/>
              <w:spacing w:line="400" w:lineRule="exact"/>
              <w:jc w:val="left"/>
              <w:rPr>
                <w:rFonts w:hint="eastAsia" w:ascii="宋体" w:hAnsi="宋体" w:eastAsia="宋体" w:cs="宋体"/>
                <w:color w:val="000000"/>
                <w:kern w:val="0"/>
                <w:sz w:val="21"/>
                <w:szCs w:val="21"/>
              </w:rPr>
            </w:pPr>
            <w:r>
              <w:rPr>
                <w:rFonts w:hint="eastAsia" w:ascii="宋体" w:hAnsi="宋体" w:eastAsia="宋体" w:cs="宋体"/>
                <w:b/>
                <w:bCs/>
                <w:color w:val="000000"/>
                <w:kern w:val="0"/>
                <w:sz w:val="21"/>
                <w:szCs w:val="21"/>
              </w:rPr>
              <w:t>实训目的</w:t>
            </w:r>
            <w:r>
              <w:rPr>
                <w:rFonts w:hint="eastAsia" w:ascii="宋体" w:hAnsi="宋体" w:eastAsia="宋体" w:cs="宋体"/>
                <w:b/>
                <w:bCs/>
                <w:color w:val="000000"/>
                <w:kern w:val="0"/>
                <w:sz w:val="21"/>
                <w:szCs w:val="21"/>
                <w:lang w:eastAsia="zh-CN"/>
              </w:rPr>
              <w:t>：</w:t>
            </w:r>
            <w:r>
              <w:rPr>
                <w:rFonts w:hint="eastAsia" w:ascii="宋体" w:hAnsi="宋体" w:eastAsia="宋体" w:cs="宋体"/>
                <w:color w:val="000000"/>
                <w:kern w:val="0"/>
                <w:sz w:val="21"/>
                <w:szCs w:val="21"/>
              </w:rPr>
              <w:t>掌握语言、肢体、表情的角色适配方法，强化细节设计与“形神统一”意识。</w:t>
            </w:r>
          </w:p>
          <w:p w14:paraId="54016BF3">
            <w:pPr>
              <w:keepNext w:val="0"/>
              <w:keepLines w:val="0"/>
              <w:pageBreakBefore w:val="0"/>
              <w:widowControl/>
              <w:kinsoku/>
              <w:wordWrap/>
              <w:overflowPunct/>
              <w:topLinePunct w:val="0"/>
              <w:bidi w:val="0"/>
              <w:spacing w:line="400" w:lineRule="exact"/>
              <w:jc w:val="left"/>
              <w:rPr>
                <w:rFonts w:hint="eastAsia" w:ascii="宋体" w:hAnsi="宋体" w:eastAsia="宋体" w:cs="宋体"/>
                <w:b/>
                <w:bCs/>
                <w:color w:val="000000"/>
                <w:kern w:val="0"/>
                <w:sz w:val="21"/>
                <w:szCs w:val="21"/>
                <w:lang w:eastAsia="zh-CN"/>
              </w:rPr>
            </w:pPr>
            <w:r>
              <w:rPr>
                <w:rFonts w:hint="eastAsia" w:ascii="宋体" w:hAnsi="宋体" w:eastAsia="宋体" w:cs="宋体"/>
                <w:b/>
                <w:bCs/>
                <w:color w:val="000000"/>
                <w:kern w:val="0"/>
                <w:sz w:val="21"/>
                <w:szCs w:val="21"/>
              </w:rPr>
              <w:t>实训任务</w:t>
            </w:r>
            <w:r>
              <w:rPr>
                <w:rFonts w:hint="eastAsia" w:ascii="宋体" w:hAnsi="宋体" w:eastAsia="宋体" w:cs="宋体"/>
                <w:b/>
                <w:bCs/>
                <w:color w:val="000000"/>
                <w:kern w:val="0"/>
                <w:sz w:val="21"/>
                <w:szCs w:val="21"/>
                <w:lang w:eastAsia="zh-CN"/>
              </w:rPr>
              <w:t>：</w:t>
            </w:r>
          </w:p>
          <w:p w14:paraId="212CBDC1">
            <w:pPr>
              <w:keepNext w:val="0"/>
              <w:keepLines w:val="0"/>
              <w:pageBreakBefore w:val="0"/>
              <w:widowControl/>
              <w:kinsoku/>
              <w:wordWrap/>
              <w:overflowPunct/>
              <w:topLinePunct w:val="0"/>
              <w:bidi w:val="0"/>
              <w:spacing w:line="400" w:lineRule="exact"/>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1.语言塑造：针对不同性格角色，训练语速、语调、语气及语言元素适配。</w:t>
            </w:r>
          </w:p>
          <w:p w14:paraId="78135F90">
            <w:pPr>
              <w:keepNext w:val="0"/>
              <w:keepLines w:val="0"/>
              <w:pageBreakBefore w:val="0"/>
              <w:widowControl/>
              <w:kinsoku/>
              <w:wordWrap/>
              <w:overflowPunct/>
              <w:topLinePunct w:val="0"/>
              <w:bidi w:val="0"/>
              <w:spacing w:line="400" w:lineRule="exact"/>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2.肢体塑造：结合角色年龄、性格设计肢体特征与标志性动作。</w:t>
            </w:r>
          </w:p>
          <w:p w14:paraId="6CED814F">
            <w:pPr>
              <w:keepNext w:val="0"/>
              <w:keepLines w:val="0"/>
              <w:pageBreakBefore w:val="0"/>
              <w:widowControl/>
              <w:kinsoku/>
              <w:wordWrap/>
              <w:overflowPunct/>
              <w:topLinePunct w:val="0"/>
              <w:bidi w:val="0"/>
              <w:spacing w:line="400" w:lineRule="exact"/>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3.表情与微表情：基础表情精准控制+复杂微表情运用训练。</w:t>
            </w:r>
          </w:p>
          <w:p w14:paraId="3501139F">
            <w:pPr>
              <w:keepNext w:val="0"/>
              <w:keepLines w:val="0"/>
              <w:pageBreakBefore w:val="0"/>
              <w:widowControl/>
              <w:kinsoku/>
              <w:wordWrap/>
              <w:overflowPunct/>
              <w:topLinePunct w:val="0"/>
              <w:bidi w:val="0"/>
              <w:spacing w:line="400" w:lineRule="exact"/>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4.形神统一综合实训（1节）：3分钟片段表演，点评内外契合度。</w:t>
            </w:r>
          </w:p>
        </w:tc>
        <w:tc>
          <w:tcPr>
            <w:tcW w:w="1153" w:type="dxa"/>
            <w:gridSpan w:val="3"/>
            <w:vAlign w:val="center"/>
          </w:tcPr>
          <w:p w14:paraId="3CCA6B01">
            <w:pPr>
              <w:keepNext w:val="0"/>
              <w:keepLines w:val="0"/>
              <w:pageBreakBefore w:val="0"/>
              <w:kinsoku/>
              <w:wordWrap/>
              <w:overflowPunct/>
              <w:topLinePunct w:val="0"/>
              <w:bidi w:val="0"/>
              <w:spacing w:line="400" w:lineRule="exac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支撑课程目标1、2、3</w:t>
            </w:r>
          </w:p>
        </w:tc>
        <w:tc>
          <w:tcPr>
            <w:tcW w:w="924" w:type="dxa"/>
            <w:gridSpan w:val="2"/>
            <w:shd w:val="clear" w:color="auto" w:fill="FFFFFF"/>
            <w:vAlign w:val="center"/>
          </w:tcPr>
          <w:p w14:paraId="49885454">
            <w:pPr>
              <w:keepNext w:val="0"/>
              <w:keepLines w:val="0"/>
              <w:pageBreakBefore w:val="0"/>
              <w:kinsoku/>
              <w:wordWrap/>
              <w:overflowPunct/>
              <w:topLinePunct w:val="0"/>
              <w:bidi w:val="0"/>
              <w:spacing w:line="400" w:lineRule="exact"/>
              <w:jc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8</w:t>
            </w:r>
          </w:p>
        </w:tc>
      </w:tr>
      <w:tr w14:paraId="6A39B903">
        <w:trPr>
          <w:trHeight w:val="454" w:hRule="atLeast"/>
        </w:trPr>
        <w:tc>
          <w:tcPr>
            <w:tcW w:w="1431" w:type="dxa"/>
            <w:vMerge w:val="continue"/>
            <w:shd w:val="clear" w:color="auto" w:fill="FFFFFF"/>
            <w:vAlign w:val="center"/>
          </w:tcPr>
          <w:p w14:paraId="14542948">
            <w:pPr>
              <w:keepNext w:val="0"/>
              <w:keepLines w:val="0"/>
              <w:pageBreakBefore w:val="0"/>
              <w:kinsoku/>
              <w:wordWrap/>
              <w:overflowPunct/>
              <w:topLinePunct w:val="0"/>
              <w:bidi w:val="0"/>
              <w:spacing w:line="400" w:lineRule="exact"/>
              <w:jc w:val="center"/>
              <w:rPr>
                <w:rFonts w:hint="eastAsia" w:ascii="宋体" w:hAnsi="宋体" w:eastAsia="宋体" w:cs="宋体"/>
                <w:color w:val="000000"/>
                <w:sz w:val="21"/>
                <w:szCs w:val="21"/>
              </w:rPr>
            </w:pPr>
          </w:p>
        </w:tc>
        <w:tc>
          <w:tcPr>
            <w:tcW w:w="5640" w:type="dxa"/>
            <w:gridSpan w:val="9"/>
            <w:vAlign w:val="center"/>
          </w:tcPr>
          <w:p w14:paraId="75C84DAC">
            <w:pPr>
              <w:keepNext w:val="0"/>
              <w:keepLines w:val="0"/>
              <w:pageBreakBefore w:val="0"/>
              <w:widowControl/>
              <w:kinsoku/>
              <w:wordWrap/>
              <w:overflowPunct/>
              <w:topLinePunct w:val="0"/>
              <w:bidi w:val="0"/>
              <w:spacing w:line="400" w:lineRule="exact"/>
              <w:jc w:val="left"/>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lang w:eastAsia="zh-CN"/>
              </w:rPr>
              <w:t>训练八：</w:t>
            </w:r>
            <w:r>
              <w:rPr>
                <w:rFonts w:hint="eastAsia" w:ascii="宋体" w:hAnsi="宋体" w:eastAsia="宋体" w:cs="宋体"/>
                <w:b/>
                <w:bCs/>
                <w:color w:val="000000"/>
                <w:kern w:val="0"/>
                <w:sz w:val="21"/>
                <w:szCs w:val="21"/>
              </w:rPr>
              <w:t>角色综合呈现与提升训练</w:t>
            </w:r>
          </w:p>
          <w:p w14:paraId="581EC2D1">
            <w:pPr>
              <w:keepNext w:val="0"/>
              <w:keepLines w:val="0"/>
              <w:pageBreakBefore w:val="0"/>
              <w:widowControl/>
              <w:kinsoku/>
              <w:wordWrap/>
              <w:overflowPunct/>
              <w:topLinePunct w:val="0"/>
              <w:bidi w:val="0"/>
              <w:spacing w:line="400" w:lineRule="exact"/>
              <w:jc w:val="left"/>
              <w:rPr>
                <w:rFonts w:hint="eastAsia" w:ascii="宋体" w:hAnsi="宋体" w:eastAsia="宋体" w:cs="宋体"/>
                <w:color w:val="000000"/>
                <w:kern w:val="0"/>
                <w:sz w:val="21"/>
                <w:szCs w:val="21"/>
              </w:rPr>
            </w:pPr>
            <w:r>
              <w:rPr>
                <w:rFonts w:hint="eastAsia" w:ascii="宋体" w:hAnsi="宋体" w:eastAsia="宋体" w:cs="宋体"/>
                <w:b/>
                <w:bCs/>
                <w:color w:val="000000"/>
                <w:kern w:val="0"/>
                <w:sz w:val="21"/>
                <w:szCs w:val="21"/>
              </w:rPr>
              <w:t>实训目的</w:t>
            </w:r>
            <w:r>
              <w:rPr>
                <w:rFonts w:hint="eastAsia" w:ascii="宋体" w:hAnsi="宋体" w:eastAsia="宋体" w:cs="宋体"/>
                <w:b/>
                <w:bCs/>
                <w:color w:val="000000"/>
                <w:kern w:val="0"/>
                <w:sz w:val="21"/>
                <w:szCs w:val="21"/>
                <w:lang w:eastAsia="zh-CN"/>
              </w:rPr>
              <w:t>：</w:t>
            </w:r>
            <w:r>
              <w:rPr>
                <w:rFonts w:hint="eastAsia" w:ascii="宋体" w:hAnsi="宋体" w:eastAsia="宋体" w:cs="宋体"/>
                <w:color w:val="000000"/>
                <w:kern w:val="0"/>
                <w:sz w:val="21"/>
                <w:szCs w:val="21"/>
              </w:rPr>
              <w:t>提升角色塑造完整性、团队协作适配性与创新表达能力。</w:t>
            </w:r>
          </w:p>
          <w:p w14:paraId="141D4EA3">
            <w:pPr>
              <w:keepNext w:val="0"/>
              <w:keepLines w:val="0"/>
              <w:pageBreakBefore w:val="0"/>
              <w:widowControl/>
              <w:kinsoku/>
              <w:wordWrap/>
              <w:overflowPunct/>
              <w:topLinePunct w:val="0"/>
              <w:bidi w:val="0"/>
              <w:spacing w:line="400" w:lineRule="exact"/>
              <w:jc w:val="left"/>
              <w:rPr>
                <w:rFonts w:hint="eastAsia" w:ascii="宋体" w:hAnsi="宋体" w:eastAsia="宋体" w:cs="宋体"/>
                <w:b/>
                <w:bCs/>
                <w:color w:val="000000"/>
                <w:kern w:val="0"/>
                <w:sz w:val="21"/>
                <w:szCs w:val="21"/>
                <w:lang w:eastAsia="zh-CN"/>
              </w:rPr>
            </w:pPr>
            <w:r>
              <w:rPr>
                <w:rFonts w:hint="eastAsia" w:ascii="宋体" w:hAnsi="宋体" w:eastAsia="宋体" w:cs="宋体"/>
                <w:b/>
                <w:bCs/>
                <w:color w:val="000000"/>
                <w:kern w:val="0"/>
                <w:sz w:val="21"/>
                <w:szCs w:val="21"/>
              </w:rPr>
              <w:t>实训任务</w:t>
            </w:r>
            <w:r>
              <w:rPr>
                <w:rFonts w:hint="eastAsia" w:ascii="宋体" w:hAnsi="宋体" w:eastAsia="宋体" w:cs="宋体"/>
                <w:b/>
                <w:bCs/>
                <w:color w:val="000000"/>
                <w:kern w:val="0"/>
                <w:sz w:val="21"/>
                <w:szCs w:val="21"/>
                <w:lang w:eastAsia="zh-CN"/>
              </w:rPr>
              <w:t>：</w:t>
            </w:r>
          </w:p>
          <w:p w14:paraId="108319FD">
            <w:pPr>
              <w:keepNext w:val="0"/>
              <w:keepLines w:val="0"/>
              <w:pageBreakBefore w:val="0"/>
              <w:widowControl/>
              <w:kinsoku/>
              <w:wordWrap/>
              <w:overflowPunct/>
              <w:topLinePunct w:val="0"/>
              <w:bidi w:val="0"/>
              <w:spacing w:line="400" w:lineRule="exact"/>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1.完整片段呈现：8-12分钟经典片段排练，保持角色状态连贯。</w:t>
            </w:r>
          </w:p>
          <w:p w14:paraId="146E6A81">
            <w:pPr>
              <w:keepNext w:val="0"/>
              <w:keepLines w:val="0"/>
              <w:pageBreakBefore w:val="0"/>
              <w:widowControl/>
              <w:kinsoku/>
              <w:wordWrap/>
              <w:overflowPunct/>
              <w:topLinePunct w:val="0"/>
              <w:bidi w:val="0"/>
              <w:spacing w:line="400" w:lineRule="exact"/>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2.对手戏配合：多角色冲突片段训练+即兴对手戏互动。</w:t>
            </w:r>
          </w:p>
          <w:p w14:paraId="5648796C">
            <w:pPr>
              <w:keepNext w:val="0"/>
              <w:keepLines w:val="0"/>
              <w:pageBreakBefore w:val="0"/>
              <w:widowControl/>
              <w:kinsoku/>
              <w:wordWrap/>
              <w:overflowPunct/>
              <w:topLinePunct w:val="0"/>
              <w:bidi w:val="0"/>
              <w:spacing w:line="400" w:lineRule="exact"/>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3.角色创新呈现：经典角色个性化演绎，平衡创意与角色本质。</w:t>
            </w:r>
          </w:p>
          <w:p w14:paraId="1ECA2BFA">
            <w:pPr>
              <w:keepNext w:val="0"/>
              <w:keepLines w:val="0"/>
              <w:pageBreakBefore w:val="0"/>
              <w:widowControl/>
              <w:kinsoku/>
              <w:wordWrap/>
              <w:overflowPunct/>
              <w:topLinePunct w:val="0"/>
              <w:bidi w:val="0"/>
              <w:spacing w:line="400" w:lineRule="exact"/>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4.综合汇报与复盘：5分钟成果汇报，师生点评复盘。</w:t>
            </w:r>
          </w:p>
        </w:tc>
        <w:tc>
          <w:tcPr>
            <w:tcW w:w="1153" w:type="dxa"/>
            <w:gridSpan w:val="3"/>
            <w:vAlign w:val="center"/>
          </w:tcPr>
          <w:p w14:paraId="4AEAA49F">
            <w:pPr>
              <w:keepNext w:val="0"/>
              <w:keepLines w:val="0"/>
              <w:pageBreakBefore w:val="0"/>
              <w:kinsoku/>
              <w:wordWrap/>
              <w:overflowPunct/>
              <w:topLinePunct w:val="0"/>
              <w:bidi w:val="0"/>
              <w:spacing w:line="400" w:lineRule="exac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支撑课程目标1、2、3</w:t>
            </w:r>
          </w:p>
        </w:tc>
        <w:tc>
          <w:tcPr>
            <w:tcW w:w="924" w:type="dxa"/>
            <w:gridSpan w:val="2"/>
            <w:shd w:val="clear" w:color="auto" w:fill="FFFFFF"/>
            <w:vAlign w:val="center"/>
          </w:tcPr>
          <w:p w14:paraId="0DA86C9D">
            <w:pPr>
              <w:keepNext w:val="0"/>
              <w:keepLines w:val="0"/>
              <w:pageBreakBefore w:val="0"/>
              <w:kinsoku/>
              <w:wordWrap/>
              <w:overflowPunct/>
              <w:topLinePunct w:val="0"/>
              <w:bidi w:val="0"/>
              <w:spacing w:line="400" w:lineRule="exact"/>
              <w:jc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8</w:t>
            </w:r>
          </w:p>
        </w:tc>
      </w:tr>
      <w:tr w14:paraId="34732DCF">
        <w:trPr>
          <w:trHeight w:val="454" w:hRule="atLeast"/>
        </w:trPr>
        <w:tc>
          <w:tcPr>
            <w:tcW w:w="1431" w:type="dxa"/>
            <w:vMerge w:val="continue"/>
            <w:shd w:val="clear" w:color="auto" w:fill="FFFFFF"/>
            <w:vAlign w:val="center"/>
          </w:tcPr>
          <w:p w14:paraId="26ACAF29">
            <w:pPr>
              <w:keepNext w:val="0"/>
              <w:keepLines w:val="0"/>
              <w:pageBreakBefore w:val="0"/>
              <w:kinsoku/>
              <w:wordWrap/>
              <w:overflowPunct/>
              <w:topLinePunct w:val="0"/>
              <w:bidi w:val="0"/>
              <w:spacing w:line="400" w:lineRule="exact"/>
              <w:jc w:val="center"/>
              <w:rPr>
                <w:rFonts w:hint="eastAsia" w:ascii="宋体" w:hAnsi="宋体" w:eastAsia="宋体" w:cs="宋体"/>
                <w:color w:val="000000"/>
                <w:sz w:val="21"/>
                <w:szCs w:val="21"/>
              </w:rPr>
            </w:pPr>
          </w:p>
        </w:tc>
        <w:tc>
          <w:tcPr>
            <w:tcW w:w="6793" w:type="dxa"/>
            <w:gridSpan w:val="12"/>
            <w:vAlign w:val="center"/>
          </w:tcPr>
          <w:p w14:paraId="70DBE62A">
            <w:pPr>
              <w:keepNext w:val="0"/>
              <w:keepLines w:val="0"/>
              <w:pageBreakBefore w:val="0"/>
              <w:kinsoku/>
              <w:wordWrap/>
              <w:overflowPunct/>
              <w:topLinePunct w:val="0"/>
              <w:bidi w:val="0"/>
              <w:spacing w:line="400" w:lineRule="exact"/>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合计</w:t>
            </w:r>
          </w:p>
        </w:tc>
        <w:tc>
          <w:tcPr>
            <w:tcW w:w="924" w:type="dxa"/>
            <w:gridSpan w:val="2"/>
            <w:shd w:val="clear" w:color="auto" w:fill="FFFFFF"/>
            <w:vAlign w:val="center"/>
          </w:tcPr>
          <w:p w14:paraId="14ED4F55">
            <w:pPr>
              <w:keepNext w:val="0"/>
              <w:keepLines w:val="0"/>
              <w:pageBreakBefore w:val="0"/>
              <w:kinsoku/>
              <w:wordWrap/>
              <w:overflowPunct/>
              <w:topLinePunct w:val="0"/>
              <w:bidi w:val="0"/>
              <w:spacing w:line="400" w:lineRule="exact"/>
              <w:jc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64</w:t>
            </w:r>
          </w:p>
        </w:tc>
      </w:tr>
      <w:tr w14:paraId="5D9A57B7">
        <w:trPr>
          <w:trHeight w:val="495" w:hRule="atLeast"/>
        </w:trPr>
        <w:tc>
          <w:tcPr>
            <w:tcW w:w="1431" w:type="dxa"/>
            <w:vMerge w:val="restart"/>
            <w:shd w:val="clear" w:color="auto" w:fill="FFFFFF"/>
            <w:vAlign w:val="center"/>
          </w:tcPr>
          <w:p w14:paraId="4BF60406">
            <w:pPr>
              <w:keepNext w:val="0"/>
              <w:keepLines w:val="0"/>
              <w:pageBreakBefore w:val="0"/>
              <w:kinsoku/>
              <w:wordWrap/>
              <w:overflowPunct/>
              <w:topLinePunct w:val="0"/>
              <w:bidi w:val="0"/>
              <w:spacing w:line="40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H</w:t>
            </w:r>
          </w:p>
          <w:p w14:paraId="0758E2F7">
            <w:pPr>
              <w:keepNext w:val="0"/>
              <w:keepLines w:val="0"/>
              <w:pageBreakBefore w:val="0"/>
              <w:kinsoku/>
              <w:wordWrap/>
              <w:overflowPunct/>
              <w:topLinePunct w:val="0"/>
              <w:bidi w:val="0"/>
              <w:spacing w:line="40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实践内容（含教育实习、见习、研习，专业实习、毕业论文或毕业设计等）</w:t>
            </w:r>
          </w:p>
        </w:tc>
        <w:tc>
          <w:tcPr>
            <w:tcW w:w="5640" w:type="dxa"/>
            <w:gridSpan w:val="9"/>
            <w:vAlign w:val="center"/>
          </w:tcPr>
          <w:p w14:paraId="12924DAD">
            <w:pPr>
              <w:keepNext w:val="0"/>
              <w:keepLines w:val="0"/>
              <w:pageBreakBefore w:val="0"/>
              <w:kinsoku/>
              <w:wordWrap/>
              <w:overflowPunct/>
              <w:topLinePunct w:val="0"/>
              <w:bidi w:val="0"/>
              <w:spacing w:line="400" w:lineRule="exact"/>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实践主要内容和要求</w:t>
            </w:r>
          </w:p>
        </w:tc>
        <w:tc>
          <w:tcPr>
            <w:tcW w:w="1153" w:type="dxa"/>
            <w:gridSpan w:val="3"/>
            <w:vAlign w:val="center"/>
          </w:tcPr>
          <w:p w14:paraId="18E493FF">
            <w:pPr>
              <w:keepNext w:val="0"/>
              <w:keepLines w:val="0"/>
              <w:pageBreakBefore w:val="0"/>
              <w:kinsoku/>
              <w:wordWrap/>
              <w:overflowPunct/>
              <w:topLinePunct w:val="0"/>
              <w:bidi w:val="0"/>
              <w:spacing w:line="400" w:lineRule="exact"/>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支撑课程</w:t>
            </w:r>
          </w:p>
          <w:p w14:paraId="63811B8E">
            <w:pPr>
              <w:keepNext w:val="0"/>
              <w:keepLines w:val="0"/>
              <w:pageBreakBefore w:val="0"/>
              <w:kinsoku/>
              <w:wordWrap/>
              <w:overflowPunct/>
              <w:topLinePunct w:val="0"/>
              <w:bidi w:val="0"/>
              <w:spacing w:line="400" w:lineRule="exact"/>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目标</w:t>
            </w:r>
          </w:p>
        </w:tc>
        <w:tc>
          <w:tcPr>
            <w:tcW w:w="924" w:type="dxa"/>
            <w:gridSpan w:val="2"/>
            <w:vAlign w:val="center"/>
          </w:tcPr>
          <w:p w14:paraId="6C5CB36C">
            <w:pPr>
              <w:keepNext w:val="0"/>
              <w:keepLines w:val="0"/>
              <w:pageBreakBefore w:val="0"/>
              <w:kinsoku/>
              <w:wordWrap/>
              <w:overflowPunct/>
              <w:topLinePunct w:val="0"/>
              <w:bidi w:val="0"/>
              <w:spacing w:line="400" w:lineRule="exact"/>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时长</w:t>
            </w:r>
          </w:p>
          <w:p w14:paraId="37037B18">
            <w:pPr>
              <w:keepNext w:val="0"/>
              <w:keepLines w:val="0"/>
              <w:pageBreakBefore w:val="0"/>
              <w:kinsoku/>
              <w:wordWrap/>
              <w:overflowPunct/>
              <w:topLinePunct w:val="0"/>
              <w:bidi w:val="0"/>
              <w:spacing w:line="400" w:lineRule="exact"/>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分配</w:t>
            </w:r>
          </w:p>
        </w:tc>
      </w:tr>
      <w:tr w14:paraId="68E467BD">
        <w:trPr>
          <w:trHeight w:val="90" w:hRule="atLeast"/>
        </w:trPr>
        <w:tc>
          <w:tcPr>
            <w:tcW w:w="1431" w:type="dxa"/>
            <w:vMerge w:val="continue"/>
            <w:shd w:val="clear" w:color="auto" w:fill="FFFFFF"/>
            <w:vAlign w:val="center"/>
          </w:tcPr>
          <w:p w14:paraId="11EBA8A5">
            <w:pPr>
              <w:keepNext w:val="0"/>
              <w:keepLines w:val="0"/>
              <w:pageBreakBefore w:val="0"/>
              <w:kinsoku/>
              <w:wordWrap/>
              <w:overflowPunct/>
              <w:topLinePunct w:val="0"/>
              <w:bidi w:val="0"/>
              <w:spacing w:line="400" w:lineRule="exact"/>
              <w:jc w:val="center"/>
              <w:rPr>
                <w:rFonts w:hint="eastAsia" w:ascii="宋体" w:hAnsi="宋体" w:eastAsia="宋体" w:cs="宋体"/>
                <w:color w:val="000000"/>
                <w:sz w:val="21"/>
                <w:szCs w:val="21"/>
              </w:rPr>
            </w:pPr>
          </w:p>
        </w:tc>
        <w:tc>
          <w:tcPr>
            <w:tcW w:w="5640" w:type="dxa"/>
            <w:gridSpan w:val="9"/>
            <w:vAlign w:val="center"/>
          </w:tcPr>
          <w:p w14:paraId="05CB969D">
            <w:pPr>
              <w:keepNext w:val="0"/>
              <w:keepLines w:val="0"/>
              <w:pageBreakBefore w:val="0"/>
              <w:widowControl/>
              <w:kinsoku/>
              <w:wordWrap/>
              <w:overflowPunct/>
              <w:topLinePunct w:val="0"/>
              <w:bidi w:val="0"/>
              <w:spacing w:line="400" w:lineRule="exact"/>
              <w:ind w:firstLine="420" w:firstLineChars="200"/>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本课程实践主要以学生平时课上完成练习为主，课后作业为辅，要求具备基本的舞台表演能力。</w:t>
            </w:r>
          </w:p>
        </w:tc>
        <w:tc>
          <w:tcPr>
            <w:tcW w:w="1153" w:type="dxa"/>
            <w:gridSpan w:val="3"/>
            <w:vAlign w:val="top"/>
          </w:tcPr>
          <w:p w14:paraId="0F871763">
            <w:pPr>
              <w:keepNext w:val="0"/>
              <w:keepLines w:val="0"/>
              <w:pageBreakBefore w:val="0"/>
              <w:kinsoku/>
              <w:wordWrap/>
              <w:overflowPunct/>
              <w:topLinePunct w:val="0"/>
              <w:bidi w:val="0"/>
              <w:spacing w:line="400" w:lineRule="exact"/>
              <w:jc w:val="left"/>
              <w:rPr>
                <w:rFonts w:hint="eastAsia" w:ascii="宋体" w:hAnsi="宋体" w:eastAsia="宋体" w:cs="宋体"/>
                <w:color w:val="000000"/>
                <w:kern w:val="0"/>
                <w:sz w:val="21"/>
                <w:szCs w:val="21"/>
              </w:rPr>
            </w:pPr>
          </w:p>
        </w:tc>
        <w:tc>
          <w:tcPr>
            <w:tcW w:w="924" w:type="dxa"/>
            <w:gridSpan w:val="2"/>
            <w:vAlign w:val="top"/>
          </w:tcPr>
          <w:p w14:paraId="0AC7D4CA">
            <w:pPr>
              <w:keepNext w:val="0"/>
              <w:keepLines w:val="0"/>
              <w:pageBreakBefore w:val="0"/>
              <w:kinsoku/>
              <w:wordWrap/>
              <w:overflowPunct/>
              <w:topLinePunct w:val="0"/>
              <w:bidi w:val="0"/>
              <w:spacing w:line="400" w:lineRule="exact"/>
              <w:jc w:val="left"/>
              <w:rPr>
                <w:rFonts w:hint="eastAsia" w:ascii="宋体" w:hAnsi="宋体" w:eastAsia="宋体" w:cs="宋体"/>
                <w:color w:val="000000"/>
                <w:kern w:val="0"/>
                <w:sz w:val="21"/>
                <w:szCs w:val="21"/>
              </w:rPr>
            </w:pPr>
          </w:p>
        </w:tc>
      </w:tr>
      <w:tr w14:paraId="275B6168">
        <w:trPr>
          <w:trHeight w:val="921" w:hRule="atLeast"/>
        </w:trPr>
        <w:tc>
          <w:tcPr>
            <w:tcW w:w="1431" w:type="dxa"/>
            <w:vAlign w:val="center"/>
          </w:tcPr>
          <w:p w14:paraId="5263B838">
            <w:pPr>
              <w:keepNext w:val="0"/>
              <w:keepLines w:val="0"/>
              <w:pageBreakBefore w:val="0"/>
              <w:kinsoku/>
              <w:wordWrap/>
              <w:overflowPunct/>
              <w:topLinePunct w:val="0"/>
              <w:bidi w:val="0"/>
              <w:spacing w:line="40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I</w:t>
            </w:r>
          </w:p>
          <w:p w14:paraId="6371470B">
            <w:pPr>
              <w:keepNext w:val="0"/>
              <w:keepLines w:val="0"/>
              <w:pageBreakBefore w:val="0"/>
              <w:kinsoku/>
              <w:wordWrap/>
              <w:overflowPunct/>
              <w:topLinePunct w:val="0"/>
              <w:bidi w:val="0"/>
              <w:spacing w:line="400" w:lineRule="exact"/>
              <w:jc w:val="center"/>
              <w:rPr>
                <w:rFonts w:hint="eastAsia" w:ascii="宋体" w:hAnsi="宋体" w:eastAsia="宋体" w:cs="宋体"/>
                <w:color w:val="000000"/>
                <w:sz w:val="21"/>
                <w:szCs w:val="21"/>
                <w:lang w:eastAsia="zh-TW"/>
              </w:rPr>
            </w:pPr>
            <w:r>
              <w:rPr>
                <w:rFonts w:hint="eastAsia" w:ascii="宋体" w:hAnsi="宋体" w:eastAsia="宋体" w:cs="宋体"/>
                <w:color w:val="000000"/>
                <w:sz w:val="21"/>
                <w:szCs w:val="21"/>
              </w:rPr>
              <w:t>教学方法与教学方式</w:t>
            </w:r>
          </w:p>
        </w:tc>
        <w:tc>
          <w:tcPr>
            <w:tcW w:w="7717" w:type="dxa"/>
            <w:gridSpan w:val="14"/>
            <w:tcBorders>
              <w:bottom w:val="single" w:color="auto" w:sz="4" w:space="0"/>
            </w:tcBorders>
            <w:vAlign w:val="center"/>
          </w:tcPr>
          <w:p w14:paraId="06ED6B4B">
            <w:pPr>
              <w:keepNext w:val="0"/>
              <w:keepLines w:val="0"/>
              <w:pageBreakBefore w:val="0"/>
              <w:widowControl/>
              <w:kinsoku/>
              <w:wordWrap/>
              <w:overflowPunct/>
              <w:topLinePunct w:val="0"/>
              <w:bidi w:val="0"/>
              <w:spacing w:line="400" w:lineRule="exact"/>
              <w:ind w:firstLine="420" w:firstLineChars="200"/>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1．以集体授课为主，辅以现代教学设备进行欣赏，理论课全部采用多媒体教学，应用自编或改编的多媒体课件。</w:t>
            </w:r>
          </w:p>
          <w:p w14:paraId="5ABB4D4F">
            <w:pPr>
              <w:keepNext w:val="0"/>
              <w:keepLines w:val="0"/>
              <w:pageBreakBefore w:val="0"/>
              <w:widowControl/>
              <w:kinsoku/>
              <w:wordWrap/>
              <w:overflowPunct/>
              <w:topLinePunct w:val="0"/>
              <w:bidi w:val="0"/>
              <w:spacing w:line="400" w:lineRule="exact"/>
              <w:ind w:firstLine="420" w:firstLineChars="200"/>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2．集体训练与个别指导相结合，课堂练习与课后复习相结合。</w:t>
            </w:r>
          </w:p>
          <w:p w14:paraId="5E307E9C">
            <w:pPr>
              <w:keepNext w:val="0"/>
              <w:keepLines w:val="0"/>
              <w:pageBreakBefore w:val="0"/>
              <w:widowControl/>
              <w:kinsoku/>
              <w:wordWrap/>
              <w:overflowPunct/>
              <w:topLinePunct w:val="0"/>
              <w:bidi w:val="0"/>
              <w:spacing w:line="400" w:lineRule="exact"/>
              <w:ind w:firstLine="420" w:firstLineChars="200"/>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3．可进行练习内容的适当调整，以适应不同个体差异的学生掌握。</w:t>
            </w:r>
          </w:p>
          <w:p w14:paraId="574AC32B">
            <w:pPr>
              <w:keepNext w:val="0"/>
              <w:keepLines w:val="0"/>
              <w:pageBreakBefore w:val="0"/>
              <w:widowControl/>
              <w:kinsoku/>
              <w:wordWrap/>
              <w:overflowPunct/>
              <w:topLinePunct w:val="0"/>
              <w:bidi w:val="0"/>
              <w:spacing w:line="400" w:lineRule="exact"/>
              <w:ind w:firstLine="420" w:firstLineChars="200"/>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4．开通网络课堂，达到与学生及时沟通、交流的目的。同时重视师生互动与小组活动，组织课堂小组讨论和论文写作等活动，将课堂教学变为师生共同活动的过程。</w:t>
            </w:r>
          </w:p>
          <w:p w14:paraId="32275229">
            <w:pPr>
              <w:keepNext w:val="0"/>
              <w:keepLines w:val="0"/>
              <w:pageBreakBefore w:val="0"/>
              <w:widowControl/>
              <w:kinsoku/>
              <w:wordWrap/>
              <w:overflowPunct/>
              <w:topLinePunct w:val="0"/>
              <w:bidi w:val="0"/>
              <w:spacing w:line="400" w:lineRule="exact"/>
              <w:ind w:firstLine="420" w:firstLineChars="200"/>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主要方式：</w:t>
            </w:r>
          </w:p>
          <w:p w14:paraId="09F641CC">
            <w:pPr>
              <w:keepNext w:val="0"/>
              <w:keepLines w:val="0"/>
              <w:pageBreakBefore w:val="0"/>
              <w:kinsoku/>
              <w:wordWrap/>
              <w:overflowPunct/>
              <w:topLinePunct w:val="0"/>
              <w:bidi w:val="0"/>
              <w:spacing w:line="400" w:lineRule="exact"/>
              <w:ind w:firstLine="420" w:firstLineChars="200"/>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sym w:font="Wingdings" w:char="00FE"/>
            </w:r>
            <w:r>
              <w:rPr>
                <w:rFonts w:hint="eastAsia" w:ascii="宋体" w:hAnsi="宋体" w:eastAsia="宋体" w:cs="宋体"/>
                <w:color w:val="000000"/>
                <w:kern w:val="0"/>
                <w:sz w:val="21"/>
                <w:szCs w:val="21"/>
              </w:rPr>
              <w:t xml:space="preserve">讲授  </w:t>
            </w:r>
            <w:r>
              <w:rPr>
                <w:rFonts w:hint="eastAsia" w:ascii="宋体" w:hAnsi="宋体" w:eastAsia="宋体" w:cs="宋体"/>
                <w:color w:val="000000"/>
                <w:kern w:val="0"/>
                <w:sz w:val="21"/>
                <w:szCs w:val="21"/>
              </w:rPr>
              <w:sym w:font="Wingdings" w:char="00FE"/>
            </w:r>
            <w:r>
              <w:rPr>
                <w:rFonts w:hint="eastAsia" w:ascii="宋体" w:hAnsi="宋体" w:eastAsia="宋体" w:cs="宋体"/>
                <w:color w:val="000000"/>
                <w:kern w:val="0"/>
                <w:sz w:val="21"/>
                <w:szCs w:val="21"/>
              </w:rPr>
              <w:t xml:space="preserve">网络学习  </w:t>
            </w:r>
            <w:r>
              <w:rPr>
                <w:rFonts w:hint="eastAsia" w:ascii="宋体" w:hAnsi="宋体" w:eastAsia="宋体" w:cs="宋体"/>
                <w:color w:val="000000"/>
                <w:kern w:val="0"/>
                <w:sz w:val="21"/>
                <w:szCs w:val="21"/>
              </w:rPr>
              <w:sym w:font="Wingdings" w:char="00FE"/>
            </w:r>
            <w:r>
              <w:rPr>
                <w:rFonts w:hint="eastAsia" w:ascii="宋体" w:hAnsi="宋体" w:eastAsia="宋体" w:cs="宋体"/>
                <w:color w:val="000000"/>
                <w:kern w:val="0"/>
                <w:sz w:val="21"/>
                <w:szCs w:val="21"/>
              </w:rPr>
              <w:t xml:space="preserve">讨论或座谈  </w:t>
            </w:r>
            <w:r>
              <w:rPr>
                <w:rFonts w:hint="eastAsia" w:ascii="宋体" w:hAnsi="宋体" w:eastAsia="宋体" w:cs="宋体"/>
                <w:color w:val="000000"/>
                <w:kern w:val="0"/>
                <w:sz w:val="21"/>
                <w:szCs w:val="21"/>
              </w:rPr>
              <w:sym w:font="Wingdings" w:char="00A8"/>
            </w:r>
            <w:r>
              <w:rPr>
                <w:rFonts w:hint="eastAsia" w:ascii="宋体" w:hAnsi="宋体" w:eastAsia="宋体" w:cs="宋体"/>
                <w:color w:val="000000"/>
                <w:kern w:val="0"/>
                <w:sz w:val="21"/>
                <w:szCs w:val="21"/>
              </w:rPr>
              <w:t xml:space="preserve">问题导向学  </w:t>
            </w:r>
          </w:p>
          <w:p w14:paraId="213ED784">
            <w:pPr>
              <w:keepNext w:val="0"/>
              <w:keepLines w:val="0"/>
              <w:pageBreakBefore w:val="0"/>
              <w:kinsoku/>
              <w:wordWrap/>
              <w:overflowPunct/>
              <w:topLinePunct w:val="0"/>
              <w:bidi w:val="0"/>
              <w:spacing w:line="400" w:lineRule="exact"/>
              <w:ind w:firstLine="420" w:firstLineChars="200"/>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sym w:font="Wingdings" w:char="00FE"/>
            </w:r>
            <w:r>
              <w:rPr>
                <w:rFonts w:hint="eastAsia" w:ascii="宋体" w:hAnsi="宋体" w:eastAsia="宋体" w:cs="宋体"/>
                <w:color w:val="000000"/>
                <w:kern w:val="0"/>
                <w:sz w:val="21"/>
                <w:szCs w:val="21"/>
              </w:rPr>
              <w:t xml:space="preserve">分组合作学习  </w:t>
            </w:r>
            <w:r>
              <w:rPr>
                <w:rFonts w:hint="eastAsia" w:ascii="宋体" w:hAnsi="宋体" w:eastAsia="宋体" w:cs="宋体"/>
                <w:color w:val="000000"/>
                <w:kern w:val="0"/>
                <w:sz w:val="21"/>
                <w:szCs w:val="21"/>
              </w:rPr>
              <w:sym w:font="Wingdings" w:char="00A8"/>
            </w:r>
            <w:r>
              <w:rPr>
                <w:rFonts w:hint="eastAsia" w:ascii="宋体" w:hAnsi="宋体" w:eastAsia="宋体" w:cs="宋体"/>
                <w:color w:val="000000"/>
                <w:kern w:val="0"/>
                <w:sz w:val="21"/>
                <w:szCs w:val="21"/>
              </w:rPr>
              <w:t xml:space="preserve">专题学习  </w:t>
            </w:r>
            <w:r>
              <w:rPr>
                <w:rFonts w:hint="eastAsia" w:ascii="宋体" w:hAnsi="宋体" w:eastAsia="宋体" w:cs="宋体"/>
                <w:color w:val="000000"/>
                <w:kern w:val="0"/>
                <w:sz w:val="21"/>
                <w:szCs w:val="21"/>
              </w:rPr>
              <w:sym w:font="Wingdings" w:char="00FE"/>
            </w:r>
            <w:r>
              <w:rPr>
                <w:rFonts w:hint="eastAsia" w:ascii="宋体" w:hAnsi="宋体" w:eastAsia="宋体" w:cs="宋体"/>
                <w:color w:val="000000"/>
                <w:kern w:val="0"/>
                <w:sz w:val="21"/>
                <w:szCs w:val="21"/>
              </w:rPr>
              <w:t xml:space="preserve">实作学习  </w:t>
            </w:r>
            <w:r>
              <w:rPr>
                <w:rFonts w:hint="eastAsia" w:ascii="宋体" w:hAnsi="宋体" w:eastAsia="宋体" w:cs="宋体"/>
                <w:color w:val="000000"/>
                <w:kern w:val="0"/>
                <w:sz w:val="21"/>
                <w:szCs w:val="21"/>
              </w:rPr>
              <w:sym w:font="Wingdings" w:char="00A8"/>
            </w:r>
            <w:r>
              <w:rPr>
                <w:rFonts w:hint="eastAsia" w:ascii="宋体" w:hAnsi="宋体" w:eastAsia="宋体" w:cs="宋体"/>
                <w:color w:val="000000"/>
                <w:kern w:val="0"/>
                <w:sz w:val="21"/>
                <w:szCs w:val="21"/>
              </w:rPr>
              <w:t xml:space="preserve">发表学习  </w:t>
            </w:r>
          </w:p>
          <w:p w14:paraId="060321D2">
            <w:pPr>
              <w:keepNext w:val="0"/>
              <w:keepLines w:val="0"/>
              <w:pageBreakBefore w:val="0"/>
              <w:kinsoku/>
              <w:wordWrap/>
              <w:overflowPunct/>
              <w:topLinePunct w:val="0"/>
              <w:bidi w:val="0"/>
              <w:spacing w:line="400" w:lineRule="exact"/>
              <w:ind w:firstLine="420" w:firstLineChars="200"/>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sym w:font="Wingdings" w:char="00A8"/>
            </w:r>
            <w:r>
              <w:rPr>
                <w:rFonts w:hint="eastAsia" w:ascii="宋体" w:hAnsi="宋体" w:eastAsia="宋体" w:cs="宋体"/>
                <w:color w:val="000000"/>
                <w:kern w:val="0"/>
                <w:sz w:val="21"/>
                <w:szCs w:val="21"/>
              </w:rPr>
              <w:t xml:space="preserve">实习  </w:t>
            </w:r>
            <w:r>
              <w:rPr>
                <w:rFonts w:hint="eastAsia" w:ascii="宋体" w:hAnsi="宋体" w:eastAsia="宋体" w:cs="宋体"/>
                <w:color w:val="000000"/>
                <w:kern w:val="0"/>
                <w:sz w:val="21"/>
                <w:szCs w:val="21"/>
              </w:rPr>
              <w:sym w:font="Wingdings" w:char="00A8"/>
            </w:r>
            <w:r>
              <w:rPr>
                <w:rFonts w:hint="eastAsia" w:ascii="宋体" w:hAnsi="宋体" w:eastAsia="宋体" w:cs="宋体"/>
                <w:color w:val="000000"/>
                <w:kern w:val="0"/>
                <w:sz w:val="21"/>
                <w:szCs w:val="21"/>
              </w:rPr>
              <w:t xml:space="preserve">参观访问  </w:t>
            </w:r>
            <w:r>
              <w:rPr>
                <w:rFonts w:hint="eastAsia" w:ascii="宋体" w:hAnsi="宋体" w:eastAsia="宋体" w:cs="宋体"/>
                <w:color w:val="000000"/>
                <w:kern w:val="0"/>
                <w:sz w:val="21"/>
                <w:szCs w:val="21"/>
              </w:rPr>
              <w:sym w:font="Wingdings" w:char="00A8"/>
            </w:r>
            <w:r>
              <w:rPr>
                <w:rFonts w:hint="eastAsia" w:ascii="宋体" w:hAnsi="宋体" w:eastAsia="宋体" w:cs="宋体"/>
                <w:color w:val="000000"/>
                <w:kern w:val="0"/>
                <w:sz w:val="21"/>
                <w:szCs w:val="21"/>
              </w:rPr>
              <w:t>其它：        (如口头训练等)</w:t>
            </w:r>
          </w:p>
        </w:tc>
      </w:tr>
      <w:tr w14:paraId="36BDFBC4">
        <w:trPr>
          <w:trHeight w:val="2310" w:hRule="atLeast"/>
        </w:trPr>
        <w:tc>
          <w:tcPr>
            <w:tcW w:w="1431" w:type="dxa"/>
            <w:vAlign w:val="center"/>
          </w:tcPr>
          <w:p w14:paraId="0EDC91CC">
            <w:pPr>
              <w:keepNext w:val="0"/>
              <w:keepLines w:val="0"/>
              <w:pageBreakBefore w:val="0"/>
              <w:kinsoku/>
              <w:wordWrap/>
              <w:overflowPunct/>
              <w:topLinePunct w:val="0"/>
              <w:bidi w:val="0"/>
              <w:spacing w:line="40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J</w:t>
            </w:r>
          </w:p>
          <w:p w14:paraId="575A6304">
            <w:pPr>
              <w:keepNext w:val="0"/>
              <w:keepLines w:val="0"/>
              <w:pageBreakBefore w:val="0"/>
              <w:kinsoku/>
              <w:wordWrap/>
              <w:overflowPunct/>
              <w:topLinePunct w:val="0"/>
              <w:bidi w:val="0"/>
              <w:spacing w:line="40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教学条件</w:t>
            </w:r>
          </w:p>
          <w:p w14:paraId="709C9A40">
            <w:pPr>
              <w:keepNext w:val="0"/>
              <w:keepLines w:val="0"/>
              <w:pageBreakBefore w:val="0"/>
              <w:kinsoku/>
              <w:wordWrap/>
              <w:overflowPunct/>
              <w:topLinePunct w:val="0"/>
              <w:bidi w:val="0"/>
              <w:spacing w:line="40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需求</w:t>
            </w:r>
          </w:p>
        </w:tc>
        <w:tc>
          <w:tcPr>
            <w:tcW w:w="7717" w:type="dxa"/>
            <w:gridSpan w:val="14"/>
            <w:tcBorders>
              <w:bottom w:val="single" w:color="auto" w:sz="4" w:space="0"/>
            </w:tcBorders>
            <w:vAlign w:val="center"/>
          </w:tcPr>
          <w:p w14:paraId="20679329">
            <w:pPr>
              <w:keepNext w:val="0"/>
              <w:keepLines w:val="0"/>
              <w:pageBreakBefore w:val="0"/>
              <w:tabs>
                <w:tab w:val="left" w:pos="720"/>
              </w:tabs>
              <w:kinsoku/>
              <w:wordWrap/>
              <w:overflowPunct/>
              <w:topLinePunct w:val="0"/>
              <w:bidi w:val="0"/>
              <w:spacing w:line="400" w:lineRule="exac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（如时间、地点安排与“一课双师”等教师配备需求等）</w:t>
            </w:r>
          </w:p>
          <w:p w14:paraId="43D128E1">
            <w:pPr>
              <w:keepNext w:val="0"/>
              <w:keepLines w:val="0"/>
              <w:pageBreakBefore w:val="0"/>
              <w:widowControl/>
              <w:kinsoku/>
              <w:wordWrap/>
              <w:overflowPunct/>
              <w:topLinePunct w:val="0"/>
              <w:bidi w:val="0"/>
              <w:spacing w:line="400" w:lineRule="exact"/>
              <w:ind w:firstLine="420" w:firstLineChars="200"/>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w:t>
            </w:r>
            <w:r>
              <w:rPr>
                <w:rFonts w:hint="eastAsia" w:ascii="宋体" w:hAnsi="宋体" w:eastAsia="宋体" w:cs="宋体"/>
                <w:color w:val="000000"/>
                <w:kern w:val="0"/>
                <w:sz w:val="21"/>
                <w:szCs w:val="21"/>
                <w:lang w:eastAsia="zh-CN"/>
              </w:rPr>
              <w:t>戏剧表演教室（小舞台、钢琴</w:t>
            </w:r>
            <w:r>
              <w:rPr>
                <w:rFonts w:hint="eastAsia" w:ascii="宋体" w:hAnsi="宋体" w:eastAsia="宋体" w:cs="宋体"/>
                <w:color w:val="000000"/>
                <w:kern w:val="0"/>
                <w:sz w:val="21"/>
                <w:szCs w:val="21"/>
                <w:lang w:val="en-US" w:eastAsia="zh-CN"/>
              </w:rPr>
              <w:t>1台、灯光、音响、</w:t>
            </w:r>
            <w:r>
              <w:rPr>
                <w:rFonts w:hint="eastAsia" w:ascii="宋体" w:hAnsi="宋体" w:eastAsia="宋体" w:cs="宋体"/>
                <w:color w:val="000000"/>
                <w:kern w:val="0"/>
                <w:sz w:val="21"/>
                <w:szCs w:val="21"/>
              </w:rPr>
              <w:t>多媒体</w:t>
            </w:r>
            <w:r>
              <w:rPr>
                <w:rFonts w:hint="eastAsia" w:ascii="宋体" w:hAnsi="宋体" w:eastAsia="宋体" w:cs="宋体"/>
                <w:color w:val="000000"/>
                <w:kern w:val="0"/>
                <w:sz w:val="21"/>
                <w:szCs w:val="21"/>
                <w:lang w:eastAsia="zh-CN"/>
              </w:rPr>
              <w:t>、投影仪）</w:t>
            </w:r>
          </w:p>
          <w:p w14:paraId="3F8D5F48">
            <w:pPr>
              <w:keepNext w:val="0"/>
              <w:keepLines w:val="0"/>
              <w:pageBreakBefore w:val="0"/>
              <w:widowControl/>
              <w:kinsoku/>
              <w:wordWrap/>
              <w:overflowPunct/>
              <w:topLinePunct w:val="0"/>
              <w:bidi w:val="0"/>
              <w:spacing w:line="400" w:lineRule="exact"/>
              <w:ind w:firstLine="420" w:firstLineChars="200"/>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2</w:t>
            </w:r>
            <w:r>
              <w:rPr>
                <w:rFonts w:hint="eastAsia" w:ascii="宋体" w:hAnsi="宋体" w:eastAsia="宋体" w:cs="宋体"/>
                <w:color w:val="000000"/>
                <w:kern w:val="0"/>
                <w:sz w:val="21"/>
                <w:szCs w:val="21"/>
              </w:rPr>
              <w:t>.一课双师</w:t>
            </w:r>
          </w:p>
        </w:tc>
      </w:tr>
      <w:tr w14:paraId="5A554085">
        <w:trPr>
          <w:trHeight w:val="711" w:hRule="atLeast"/>
        </w:trPr>
        <w:tc>
          <w:tcPr>
            <w:tcW w:w="1431" w:type="dxa"/>
            <w:vMerge w:val="restart"/>
            <w:vAlign w:val="center"/>
          </w:tcPr>
          <w:p w14:paraId="53CBFCDC">
            <w:pPr>
              <w:keepNext w:val="0"/>
              <w:keepLines w:val="0"/>
              <w:pageBreakBefore w:val="0"/>
              <w:kinsoku/>
              <w:wordWrap/>
              <w:overflowPunct/>
              <w:topLinePunct w:val="0"/>
              <w:bidi w:val="0"/>
              <w:spacing w:line="40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K</w:t>
            </w:r>
          </w:p>
          <w:p w14:paraId="5CB5F7DC">
            <w:pPr>
              <w:keepNext w:val="0"/>
              <w:keepLines w:val="0"/>
              <w:pageBreakBefore w:val="0"/>
              <w:kinsoku/>
              <w:wordWrap/>
              <w:overflowPunct/>
              <w:topLinePunct w:val="0"/>
              <w:bidi w:val="0"/>
              <w:spacing w:line="40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课程目标及其考核内容、考核方式及评分占比</w:t>
            </w:r>
          </w:p>
        </w:tc>
        <w:tc>
          <w:tcPr>
            <w:tcW w:w="977" w:type="dxa"/>
            <w:vMerge w:val="restart"/>
            <w:vAlign w:val="center"/>
          </w:tcPr>
          <w:p w14:paraId="28AEFCAD">
            <w:pPr>
              <w:keepNext w:val="0"/>
              <w:keepLines w:val="0"/>
              <w:pageBreakBefore w:val="0"/>
              <w:kinsoku/>
              <w:wordWrap/>
              <w:overflowPunct/>
              <w:topLinePunct w:val="0"/>
              <w:bidi w:val="0"/>
              <w:spacing w:line="400" w:lineRule="exact"/>
              <w:rPr>
                <w:rFonts w:hint="eastAsia" w:ascii="宋体" w:hAnsi="宋体" w:eastAsia="宋体" w:cs="宋体"/>
                <w:color w:val="000000"/>
                <w:sz w:val="21"/>
                <w:szCs w:val="21"/>
              </w:rPr>
            </w:pPr>
            <w:r>
              <w:rPr>
                <w:rFonts w:hint="eastAsia" w:ascii="宋体" w:hAnsi="宋体" w:eastAsia="宋体" w:cs="宋体"/>
                <w:color w:val="000000"/>
                <w:sz w:val="21"/>
                <w:szCs w:val="21"/>
              </w:rPr>
              <w:t>课程目标及评分占比</w:t>
            </w:r>
          </w:p>
        </w:tc>
        <w:tc>
          <w:tcPr>
            <w:tcW w:w="3247" w:type="dxa"/>
            <w:gridSpan w:val="5"/>
            <w:vMerge w:val="restart"/>
            <w:tcBorders>
              <w:right w:val="single" w:color="000000" w:sz="4" w:space="0"/>
            </w:tcBorders>
            <w:vAlign w:val="center"/>
          </w:tcPr>
          <w:p w14:paraId="5E7F60AA">
            <w:pPr>
              <w:keepNext w:val="0"/>
              <w:keepLines w:val="0"/>
              <w:pageBreakBefore w:val="0"/>
              <w:tabs>
                <w:tab w:val="left" w:pos="720"/>
              </w:tabs>
              <w:kinsoku/>
              <w:wordWrap/>
              <w:overflowPunct/>
              <w:topLinePunct w:val="0"/>
              <w:bidi w:val="0"/>
              <w:spacing w:line="400" w:lineRule="exact"/>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考核内容</w:t>
            </w:r>
          </w:p>
        </w:tc>
        <w:tc>
          <w:tcPr>
            <w:tcW w:w="2904" w:type="dxa"/>
            <w:gridSpan w:val="7"/>
            <w:tcBorders>
              <w:left w:val="single" w:color="000000" w:sz="4" w:space="0"/>
              <w:right w:val="single" w:color="000000" w:sz="4" w:space="0"/>
            </w:tcBorders>
            <w:vAlign w:val="center"/>
          </w:tcPr>
          <w:p w14:paraId="05C81D77">
            <w:pPr>
              <w:keepNext w:val="0"/>
              <w:keepLines w:val="0"/>
              <w:pageBreakBefore w:val="0"/>
              <w:kinsoku/>
              <w:wordWrap/>
              <w:overflowPunct/>
              <w:topLinePunct w:val="0"/>
              <w:bidi w:val="0"/>
              <w:spacing w:line="40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考核方式</w:t>
            </w:r>
          </w:p>
        </w:tc>
        <w:tc>
          <w:tcPr>
            <w:tcW w:w="589" w:type="dxa"/>
            <w:vMerge w:val="restart"/>
            <w:tcBorders>
              <w:left w:val="single" w:color="000000" w:sz="4" w:space="0"/>
            </w:tcBorders>
            <w:vAlign w:val="center"/>
          </w:tcPr>
          <w:p w14:paraId="3944ACC3">
            <w:pPr>
              <w:keepNext w:val="0"/>
              <w:keepLines w:val="0"/>
              <w:pageBreakBefore w:val="0"/>
              <w:tabs>
                <w:tab w:val="left" w:pos="720"/>
              </w:tabs>
              <w:kinsoku/>
              <w:wordWrap/>
              <w:overflowPunct/>
              <w:topLinePunct w:val="0"/>
              <w:bidi w:val="0"/>
              <w:spacing w:line="400" w:lineRule="exact"/>
              <w:jc w:val="center"/>
              <w:rPr>
                <w:rFonts w:hint="eastAsia" w:ascii="宋体" w:hAnsi="宋体" w:eastAsia="宋体" w:cs="宋体"/>
                <w:color w:val="000000"/>
                <w:kern w:val="0"/>
                <w:sz w:val="21"/>
                <w:szCs w:val="21"/>
              </w:rPr>
            </w:pPr>
            <w:r>
              <w:rPr>
                <w:rFonts w:hint="eastAsia" w:ascii="宋体" w:hAnsi="宋体" w:eastAsia="宋体" w:cs="宋体"/>
                <w:color w:val="000000"/>
                <w:sz w:val="21"/>
                <w:szCs w:val="21"/>
              </w:rPr>
              <w:t>课程分目标的达成度</w:t>
            </w:r>
          </w:p>
        </w:tc>
      </w:tr>
      <w:tr w14:paraId="67B09B18">
        <w:trPr>
          <w:trHeight w:val="184" w:hRule="atLeast"/>
        </w:trPr>
        <w:tc>
          <w:tcPr>
            <w:tcW w:w="1431" w:type="dxa"/>
            <w:vMerge w:val="continue"/>
            <w:vAlign w:val="center"/>
          </w:tcPr>
          <w:p w14:paraId="3AD8099D">
            <w:pPr>
              <w:keepNext w:val="0"/>
              <w:keepLines w:val="0"/>
              <w:pageBreakBefore w:val="0"/>
              <w:kinsoku/>
              <w:wordWrap/>
              <w:overflowPunct/>
              <w:topLinePunct w:val="0"/>
              <w:bidi w:val="0"/>
              <w:spacing w:line="400" w:lineRule="exact"/>
              <w:jc w:val="center"/>
              <w:rPr>
                <w:rFonts w:hint="eastAsia" w:ascii="宋体" w:hAnsi="宋体" w:eastAsia="宋体" w:cs="宋体"/>
                <w:color w:val="000000"/>
                <w:sz w:val="21"/>
                <w:szCs w:val="21"/>
              </w:rPr>
            </w:pPr>
          </w:p>
        </w:tc>
        <w:tc>
          <w:tcPr>
            <w:tcW w:w="977" w:type="dxa"/>
            <w:vMerge w:val="continue"/>
            <w:vAlign w:val="center"/>
          </w:tcPr>
          <w:p w14:paraId="55781B38">
            <w:pPr>
              <w:keepNext w:val="0"/>
              <w:keepLines w:val="0"/>
              <w:pageBreakBefore w:val="0"/>
              <w:kinsoku/>
              <w:wordWrap/>
              <w:overflowPunct/>
              <w:topLinePunct w:val="0"/>
              <w:bidi w:val="0"/>
              <w:spacing w:line="400" w:lineRule="exact"/>
              <w:jc w:val="right"/>
              <w:rPr>
                <w:rFonts w:hint="eastAsia" w:ascii="宋体" w:hAnsi="宋体" w:eastAsia="宋体" w:cs="宋体"/>
                <w:color w:val="000000"/>
                <w:sz w:val="21"/>
                <w:szCs w:val="21"/>
              </w:rPr>
            </w:pPr>
          </w:p>
        </w:tc>
        <w:tc>
          <w:tcPr>
            <w:tcW w:w="3247" w:type="dxa"/>
            <w:gridSpan w:val="5"/>
            <w:vMerge w:val="continue"/>
            <w:tcBorders>
              <w:right w:val="single" w:color="000000" w:sz="4" w:space="0"/>
            </w:tcBorders>
            <w:vAlign w:val="center"/>
          </w:tcPr>
          <w:p w14:paraId="253D8C9F">
            <w:pPr>
              <w:keepNext w:val="0"/>
              <w:keepLines w:val="0"/>
              <w:pageBreakBefore w:val="0"/>
              <w:tabs>
                <w:tab w:val="left" w:pos="720"/>
              </w:tabs>
              <w:kinsoku/>
              <w:wordWrap/>
              <w:overflowPunct/>
              <w:topLinePunct w:val="0"/>
              <w:bidi w:val="0"/>
              <w:spacing w:line="400" w:lineRule="exact"/>
              <w:jc w:val="center"/>
              <w:rPr>
                <w:rFonts w:hint="eastAsia" w:ascii="宋体" w:hAnsi="宋体" w:eastAsia="宋体" w:cs="宋体"/>
                <w:color w:val="000000"/>
                <w:kern w:val="0"/>
                <w:sz w:val="21"/>
                <w:szCs w:val="21"/>
              </w:rPr>
            </w:pPr>
          </w:p>
        </w:tc>
        <w:tc>
          <w:tcPr>
            <w:tcW w:w="1104" w:type="dxa"/>
            <w:gridSpan w:val="2"/>
            <w:tcBorders>
              <w:left w:val="single" w:color="000000" w:sz="4" w:space="0"/>
              <w:right w:val="single" w:color="000000" w:sz="4" w:space="0"/>
            </w:tcBorders>
            <w:vAlign w:val="center"/>
          </w:tcPr>
          <w:p w14:paraId="376BC3B3">
            <w:pPr>
              <w:keepNext w:val="0"/>
              <w:keepLines w:val="0"/>
              <w:pageBreakBefore w:val="0"/>
              <w:tabs>
                <w:tab w:val="left" w:pos="720"/>
              </w:tabs>
              <w:kinsoku/>
              <w:wordWrap/>
              <w:overflowPunct/>
              <w:topLinePunct w:val="0"/>
              <w:bidi w:val="0"/>
              <w:spacing w:line="400" w:lineRule="exact"/>
              <w:jc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课堂表现/</w:t>
            </w:r>
            <w:r>
              <w:rPr>
                <w:rFonts w:hint="eastAsia" w:ascii="宋体" w:hAnsi="宋体" w:eastAsia="宋体" w:cs="宋体"/>
                <w:color w:val="000000"/>
                <w:kern w:val="0"/>
                <w:sz w:val="21"/>
                <w:szCs w:val="21"/>
                <w:lang w:eastAsia="zh-CN"/>
              </w:rPr>
              <w:t>日常练习</w:t>
            </w:r>
            <w:r>
              <w:rPr>
                <w:rFonts w:hint="eastAsia" w:ascii="宋体" w:hAnsi="宋体" w:eastAsia="宋体" w:cs="宋体"/>
                <w:color w:val="000000"/>
                <w:kern w:val="0"/>
                <w:sz w:val="21"/>
                <w:szCs w:val="21"/>
                <w:lang w:val="en-US" w:eastAsia="zh-CN"/>
              </w:rPr>
              <w:t>/</w:t>
            </w:r>
            <w:r>
              <w:rPr>
                <w:rFonts w:hint="eastAsia" w:ascii="宋体" w:hAnsi="宋体" w:eastAsia="宋体" w:cs="宋体"/>
                <w:color w:val="000000"/>
                <w:sz w:val="21"/>
                <w:szCs w:val="21"/>
              </w:rPr>
              <w:t>作业/考勤评分占比（25%）</w:t>
            </w:r>
          </w:p>
        </w:tc>
        <w:tc>
          <w:tcPr>
            <w:tcW w:w="941" w:type="dxa"/>
            <w:gridSpan w:val="3"/>
            <w:tcBorders>
              <w:left w:val="single" w:color="000000" w:sz="4" w:space="0"/>
              <w:bottom w:val="single" w:color="auto" w:sz="4" w:space="0"/>
            </w:tcBorders>
            <w:vAlign w:val="center"/>
          </w:tcPr>
          <w:p w14:paraId="0A3D9CDB">
            <w:pPr>
              <w:keepNext w:val="0"/>
              <w:keepLines w:val="0"/>
              <w:pageBreakBefore w:val="0"/>
              <w:kinsoku/>
              <w:wordWrap/>
              <w:overflowPunct/>
              <w:topLinePunct w:val="0"/>
              <w:bidi w:val="0"/>
              <w:spacing w:line="400" w:lineRule="exact"/>
              <w:jc w:val="both"/>
              <w:rPr>
                <w:rFonts w:hint="eastAsia" w:ascii="宋体" w:hAnsi="宋体" w:eastAsia="宋体" w:cs="宋体"/>
                <w:color w:val="000000"/>
                <w:sz w:val="21"/>
                <w:szCs w:val="21"/>
              </w:rPr>
            </w:pPr>
            <w:r>
              <w:rPr>
                <w:rFonts w:hint="eastAsia" w:ascii="宋体" w:hAnsi="宋体" w:eastAsia="宋体" w:cs="宋体"/>
                <w:color w:val="000000"/>
                <w:sz w:val="21"/>
                <w:szCs w:val="21"/>
                <w:lang w:eastAsia="zh-CN"/>
              </w:rPr>
              <w:t>期中考试评分占比</w:t>
            </w:r>
            <w:r>
              <w:rPr>
                <w:rFonts w:hint="eastAsia" w:ascii="宋体" w:hAnsi="宋体" w:eastAsia="宋体" w:cs="宋体"/>
                <w:color w:val="000000"/>
                <w:sz w:val="21"/>
                <w:szCs w:val="21"/>
              </w:rPr>
              <w:t>（25%）</w:t>
            </w:r>
          </w:p>
        </w:tc>
        <w:tc>
          <w:tcPr>
            <w:tcW w:w="859" w:type="dxa"/>
            <w:gridSpan w:val="2"/>
            <w:tcBorders>
              <w:bottom w:val="single" w:color="auto" w:sz="4" w:space="0"/>
              <w:right w:val="single" w:color="000000" w:sz="4" w:space="0"/>
            </w:tcBorders>
            <w:vAlign w:val="center"/>
          </w:tcPr>
          <w:p w14:paraId="7C6FC57D">
            <w:pPr>
              <w:keepNext w:val="0"/>
              <w:keepLines w:val="0"/>
              <w:pageBreakBefore w:val="0"/>
              <w:kinsoku/>
              <w:wordWrap/>
              <w:overflowPunct/>
              <w:topLinePunct w:val="0"/>
              <w:bidi w:val="0"/>
              <w:spacing w:line="40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期末考试评分占比（50%）</w:t>
            </w:r>
          </w:p>
        </w:tc>
        <w:tc>
          <w:tcPr>
            <w:tcW w:w="589" w:type="dxa"/>
            <w:vMerge w:val="continue"/>
            <w:tcBorders>
              <w:left w:val="single" w:color="000000" w:sz="4" w:space="0"/>
              <w:bottom w:val="single" w:color="auto" w:sz="4" w:space="0"/>
            </w:tcBorders>
            <w:vAlign w:val="center"/>
          </w:tcPr>
          <w:p w14:paraId="0D873023">
            <w:pPr>
              <w:keepNext w:val="0"/>
              <w:keepLines w:val="0"/>
              <w:pageBreakBefore w:val="0"/>
              <w:tabs>
                <w:tab w:val="left" w:pos="720"/>
              </w:tabs>
              <w:kinsoku/>
              <w:wordWrap/>
              <w:overflowPunct/>
              <w:topLinePunct w:val="0"/>
              <w:bidi w:val="0"/>
              <w:spacing w:line="400" w:lineRule="exact"/>
              <w:jc w:val="center"/>
              <w:rPr>
                <w:rFonts w:hint="eastAsia" w:ascii="宋体" w:hAnsi="宋体" w:eastAsia="宋体" w:cs="宋体"/>
                <w:color w:val="000000"/>
                <w:sz w:val="21"/>
                <w:szCs w:val="21"/>
              </w:rPr>
            </w:pPr>
          </w:p>
        </w:tc>
      </w:tr>
      <w:tr w14:paraId="0BFCBA8E">
        <w:tc>
          <w:tcPr>
            <w:tcW w:w="1431" w:type="dxa"/>
            <w:vMerge w:val="continue"/>
            <w:vAlign w:val="center"/>
          </w:tcPr>
          <w:p w14:paraId="56DE7DA8">
            <w:pPr>
              <w:keepNext w:val="0"/>
              <w:keepLines w:val="0"/>
              <w:pageBreakBefore w:val="0"/>
              <w:kinsoku/>
              <w:wordWrap/>
              <w:overflowPunct/>
              <w:topLinePunct w:val="0"/>
              <w:bidi w:val="0"/>
              <w:spacing w:line="400" w:lineRule="exact"/>
              <w:jc w:val="center"/>
              <w:rPr>
                <w:rFonts w:hint="eastAsia" w:ascii="宋体" w:hAnsi="宋体" w:eastAsia="宋体" w:cs="宋体"/>
                <w:color w:val="000000"/>
                <w:sz w:val="21"/>
                <w:szCs w:val="21"/>
                <w:lang w:eastAsia="zh-TW"/>
              </w:rPr>
            </w:pPr>
          </w:p>
        </w:tc>
        <w:tc>
          <w:tcPr>
            <w:tcW w:w="977" w:type="dxa"/>
            <w:tcBorders>
              <w:bottom w:val="single" w:color="auto" w:sz="4" w:space="0"/>
            </w:tcBorders>
            <w:vAlign w:val="center"/>
          </w:tcPr>
          <w:p w14:paraId="37E12D12">
            <w:pPr>
              <w:keepNext w:val="0"/>
              <w:keepLines w:val="0"/>
              <w:pageBreakBefore w:val="0"/>
              <w:kinsoku/>
              <w:wordWrap/>
              <w:overflowPunct/>
              <w:topLinePunct w:val="0"/>
              <w:bidi w:val="0"/>
              <w:spacing w:line="400" w:lineRule="exact"/>
              <w:jc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课程目标1（40%）</w:t>
            </w:r>
          </w:p>
        </w:tc>
        <w:tc>
          <w:tcPr>
            <w:tcW w:w="3247" w:type="dxa"/>
            <w:gridSpan w:val="5"/>
            <w:tcBorders>
              <w:bottom w:val="single" w:color="auto" w:sz="4" w:space="0"/>
              <w:right w:val="single" w:color="000000" w:sz="4" w:space="0"/>
            </w:tcBorders>
            <w:vAlign w:val="center"/>
          </w:tcPr>
          <w:p w14:paraId="2F017FBB">
            <w:pPr>
              <w:keepNext w:val="0"/>
              <w:keepLines w:val="0"/>
              <w:pageBreakBefore w:val="0"/>
              <w:widowControl/>
              <w:kinsoku/>
              <w:wordWrap/>
              <w:overflowPunct/>
              <w:topLinePunct w:val="0"/>
              <w:bidi w:val="0"/>
              <w:spacing w:line="400" w:lineRule="exact"/>
              <w:jc w:val="left"/>
              <w:rPr>
                <w:rFonts w:hint="eastAsia" w:ascii="宋体" w:hAnsi="宋体" w:eastAsia="宋体" w:cs="宋体"/>
                <w:sz w:val="21"/>
                <w:szCs w:val="21"/>
              </w:rPr>
            </w:pPr>
            <w:r>
              <w:rPr>
                <w:rFonts w:hint="eastAsia" w:ascii="宋体" w:hAnsi="宋体" w:eastAsia="宋体" w:cs="宋体"/>
                <w:sz w:val="21"/>
                <w:szCs w:val="21"/>
              </w:rPr>
              <w:t>1.对掌握舞台表演的基本理论的掌握。</w:t>
            </w:r>
          </w:p>
          <w:p w14:paraId="6A733750">
            <w:pPr>
              <w:keepNext w:val="0"/>
              <w:keepLines w:val="0"/>
              <w:pageBreakBefore w:val="0"/>
              <w:widowControl/>
              <w:kinsoku/>
              <w:wordWrap/>
              <w:overflowPunct/>
              <w:topLinePunct w:val="0"/>
              <w:bidi w:val="0"/>
              <w:spacing w:line="400" w:lineRule="exact"/>
              <w:jc w:val="left"/>
              <w:rPr>
                <w:rFonts w:hint="eastAsia" w:ascii="宋体" w:hAnsi="宋体" w:eastAsia="宋体" w:cs="宋体"/>
                <w:sz w:val="21"/>
                <w:szCs w:val="21"/>
              </w:rPr>
            </w:pPr>
            <w:r>
              <w:rPr>
                <w:rFonts w:hint="eastAsia" w:ascii="宋体" w:hAnsi="宋体" w:eastAsia="宋体" w:cs="宋体"/>
                <w:sz w:val="21"/>
                <w:szCs w:val="21"/>
              </w:rPr>
              <w:t>2.对舞台表演基本技能的掌握和综合运用。</w:t>
            </w:r>
          </w:p>
        </w:tc>
        <w:tc>
          <w:tcPr>
            <w:tcW w:w="1104" w:type="dxa"/>
            <w:gridSpan w:val="2"/>
            <w:tcBorders>
              <w:left w:val="single" w:color="000000" w:sz="4" w:space="0"/>
              <w:bottom w:val="single" w:color="auto" w:sz="4" w:space="0"/>
              <w:right w:val="single" w:color="000000" w:sz="4" w:space="0"/>
            </w:tcBorders>
            <w:vAlign w:val="center"/>
          </w:tcPr>
          <w:p w14:paraId="105CA5C7">
            <w:pPr>
              <w:keepNext w:val="0"/>
              <w:keepLines w:val="0"/>
              <w:pageBreakBefore w:val="0"/>
              <w:kinsoku/>
              <w:wordWrap/>
              <w:overflowPunct/>
              <w:topLinePunct w:val="0"/>
              <w:bidi w:val="0"/>
              <w:spacing w:line="400" w:lineRule="exact"/>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10</w:t>
            </w:r>
          </w:p>
        </w:tc>
        <w:tc>
          <w:tcPr>
            <w:tcW w:w="941" w:type="dxa"/>
            <w:gridSpan w:val="3"/>
            <w:tcBorders>
              <w:left w:val="single" w:color="000000" w:sz="4" w:space="0"/>
              <w:bottom w:val="single" w:color="auto" w:sz="4" w:space="0"/>
              <w:right w:val="single" w:color="auto" w:sz="4" w:space="0"/>
            </w:tcBorders>
            <w:vAlign w:val="center"/>
          </w:tcPr>
          <w:p w14:paraId="1B7831C5">
            <w:pPr>
              <w:keepNext w:val="0"/>
              <w:keepLines w:val="0"/>
              <w:pageBreakBefore w:val="0"/>
              <w:tabs>
                <w:tab w:val="left" w:pos="720"/>
              </w:tabs>
              <w:kinsoku/>
              <w:wordWrap/>
              <w:overflowPunct/>
              <w:topLinePunct w:val="0"/>
              <w:bidi w:val="0"/>
              <w:spacing w:line="400" w:lineRule="exact"/>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10</w:t>
            </w:r>
          </w:p>
        </w:tc>
        <w:tc>
          <w:tcPr>
            <w:tcW w:w="859" w:type="dxa"/>
            <w:gridSpan w:val="2"/>
            <w:tcBorders>
              <w:left w:val="single" w:color="auto" w:sz="4" w:space="0"/>
              <w:bottom w:val="single" w:color="auto" w:sz="4" w:space="0"/>
              <w:right w:val="single" w:color="auto" w:sz="4" w:space="0"/>
            </w:tcBorders>
            <w:vAlign w:val="center"/>
          </w:tcPr>
          <w:p w14:paraId="01DAF275">
            <w:pPr>
              <w:keepNext w:val="0"/>
              <w:keepLines w:val="0"/>
              <w:pageBreakBefore w:val="0"/>
              <w:tabs>
                <w:tab w:val="left" w:pos="720"/>
              </w:tabs>
              <w:kinsoku/>
              <w:wordWrap/>
              <w:overflowPunct/>
              <w:topLinePunct w:val="0"/>
              <w:bidi w:val="0"/>
              <w:spacing w:line="400" w:lineRule="exact"/>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20</w:t>
            </w:r>
          </w:p>
        </w:tc>
        <w:tc>
          <w:tcPr>
            <w:tcW w:w="589" w:type="dxa"/>
            <w:tcBorders>
              <w:left w:val="single" w:color="auto" w:sz="4" w:space="0"/>
              <w:bottom w:val="single" w:color="auto" w:sz="4" w:space="0"/>
            </w:tcBorders>
            <w:vAlign w:val="center"/>
          </w:tcPr>
          <w:p w14:paraId="41E8774C">
            <w:pPr>
              <w:keepNext w:val="0"/>
              <w:keepLines w:val="0"/>
              <w:pageBreakBefore w:val="0"/>
              <w:tabs>
                <w:tab w:val="left" w:pos="720"/>
              </w:tabs>
              <w:kinsoku/>
              <w:wordWrap/>
              <w:overflowPunct/>
              <w:topLinePunct w:val="0"/>
              <w:bidi w:val="0"/>
              <w:spacing w:line="400" w:lineRule="exact"/>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0.78</w:t>
            </w:r>
          </w:p>
        </w:tc>
      </w:tr>
      <w:tr w14:paraId="678F7311">
        <w:trPr>
          <w:trHeight w:val="515" w:hRule="atLeast"/>
        </w:trPr>
        <w:tc>
          <w:tcPr>
            <w:tcW w:w="1431" w:type="dxa"/>
            <w:vMerge w:val="continue"/>
            <w:vAlign w:val="center"/>
          </w:tcPr>
          <w:p w14:paraId="7100046A">
            <w:pPr>
              <w:keepNext w:val="0"/>
              <w:keepLines w:val="0"/>
              <w:pageBreakBefore w:val="0"/>
              <w:kinsoku/>
              <w:wordWrap/>
              <w:overflowPunct/>
              <w:topLinePunct w:val="0"/>
              <w:bidi w:val="0"/>
              <w:spacing w:line="400" w:lineRule="exact"/>
              <w:jc w:val="center"/>
              <w:rPr>
                <w:rFonts w:hint="eastAsia" w:ascii="宋体" w:hAnsi="宋体" w:eastAsia="宋体" w:cs="宋体"/>
                <w:color w:val="000000"/>
                <w:sz w:val="21"/>
                <w:szCs w:val="21"/>
                <w:lang w:eastAsia="zh-TW"/>
              </w:rPr>
            </w:pPr>
          </w:p>
        </w:tc>
        <w:tc>
          <w:tcPr>
            <w:tcW w:w="977" w:type="dxa"/>
            <w:tcBorders>
              <w:bottom w:val="single" w:color="auto" w:sz="4" w:space="0"/>
            </w:tcBorders>
            <w:vAlign w:val="center"/>
          </w:tcPr>
          <w:p w14:paraId="53E5439B">
            <w:pPr>
              <w:keepNext w:val="0"/>
              <w:keepLines w:val="0"/>
              <w:pageBreakBefore w:val="0"/>
              <w:kinsoku/>
              <w:wordWrap/>
              <w:overflowPunct/>
              <w:topLinePunct w:val="0"/>
              <w:bidi w:val="0"/>
              <w:spacing w:line="400" w:lineRule="exact"/>
              <w:jc w:val="center"/>
              <w:rPr>
                <w:rFonts w:hint="eastAsia" w:ascii="宋体" w:hAnsi="宋体" w:eastAsia="宋体" w:cs="宋体"/>
                <w:sz w:val="21"/>
                <w:szCs w:val="21"/>
              </w:rPr>
            </w:pPr>
            <w:r>
              <w:rPr>
                <w:rFonts w:hint="eastAsia" w:ascii="宋体" w:hAnsi="宋体" w:eastAsia="宋体" w:cs="宋体"/>
                <w:kern w:val="0"/>
                <w:sz w:val="21"/>
                <w:szCs w:val="21"/>
              </w:rPr>
              <w:t>课程目标3（20%）</w:t>
            </w:r>
          </w:p>
        </w:tc>
        <w:tc>
          <w:tcPr>
            <w:tcW w:w="3247" w:type="dxa"/>
            <w:gridSpan w:val="5"/>
            <w:tcBorders>
              <w:bottom w:val="single" w:color="auto" w:sz="4" w:space="0"/>
              <w:right w:val="single" w:color="000000" w:sz="4" w:space="0"/>
            </w:tcBorders>
            <w:vAlign w:val="center"/>
          </w:tcPr>
          <w:p w14:paraId="425DBBB7">
            <w:pPr>
              <w:keepNext w:val="0"/>
              <w:keepLines w:val="0"/>
              <w:pageBreakBefore w:val="0"/>
              <w:widowControl/>
              <w:kinsoku/>
              <w:wordWrap/>
              <w:overflowPunct/>
              <w:topLinePunct w:val="0"/>
              <w:bidi w:val="0"/>
              <w:spacing w:line="400" w:lineRule="exact"/>
              <w:jc w:val="left"/>
              <w:rPr>
                <w:rFonts w:hint="eastAsia" w:ascii="宋体" w:hAnsi="宋体" w:eastAsia="宋体" w:cs="宋体"/>
                <w:sz w:val="21"/>
                <w:szCs w:val="21"/>
              </w:rPr>
            </w:pPr>
            <w:r>
              <w:rPr>
                <w:rFonts w:hint="eastAsia" w:ascii="宋体" w:hAnsi="宋体" w:eastAsia="宋体" w:cs="宋体"/>
                <w:sz w:val="21"/>
                <w:szCs w:val="21"/>
              </w:rPr>
              <w:t>1.主动对舞台表演训练、演出实践进行反思、改进。</w:t>
            </w:r>
          </w:p>
          <w:p w14:paraId="5E7D1227">
            <w:pPr>
              <w:keepNext w:val="0"/>
              <w:keepLines w:val="0"/>
              <w:pageBreakBefore w:val="0"/>
              <w:widowControl/>
              <w:kinsoku/>
              <w:wordWrap/>
              <w:overflowPunct/>
              <w:topLinePunct w:val="0"/>
              <w:bidi w:val="0"/>
              <w:spacing w:line="400" w:lineRule="exact"/>
              <w:jc w:val="left"/>
              <w:rPr>
                <w:rFonts w:hint="eastAsia" w:ascii="宋体" w:hAnsi="宋体" w:eastAsia="宋体" w:cs="宋体"/>
                <w:sz w:val="21"/>
                <w:szCs w:val="21"/>
              </w:rPr>
            </w:pPr>
            <w:r>
              <w:rPr>
                <w:rFonts w:hint="eastAsia" w:ascii="宋体" w:hAnsi="宋体" w:eastAsia="宋体" w:cs="宋体"/>
                <w:sz w:val="21"/>
                <w:szCs w:val="21"/>
              </w:rPr>
              <w:t>2.具有发现问题，并通过独立思考判断和自主分析解决舞台表演过程中问题的能力。</w:t>
            </w:r>
          </w:p>
        </w:tc>
        <w:tc>
          <w:tcPr>
            <w:tcW w:w="1104" w:type="dxa"/>
            <w:gridSpan w:val="2"/>
            <w:tcBorders>
              <w:left w:val="single" w:color="000000" w:sz="4" w:space="0"/>
              <w:bottom w:val="single" w:color="auto" w:sz="4" w:space="0"/>
              <w:right w:val="single" w:color="000000" w:sz="4" w:space="0"/>
            </w:tcBorders>
            <w:vAlign w:val="center"/>
          </w:tcPr>
          <w:p w14:paraId="01912000">
            <w:pPr>
              <w:keepNext w:val="0"/>
              <w:keepLines w:val="0"/>
              <w:pageBreakBefore w:val="0"/>
              <w:kinsoku/>
              <w:wordWrap/>
              <w:overflowPunct/>
              <w:topLinePunct w:val="0"/>
              <w:bidi w:val="0"/>
              <w:spacing w:line="400" w:lineRule="exact"/>
              <w:jc w:val="center"/>
              <w:rPr>
                <w:rFonts w:hint="eastAsia" w:ascii="宋体" w:hAnsi="宋体" w:eastAsia="宋体" w:cs="宋体"/>
                <w:kern w:val="0"/>
                <w:sz w:val="21"/>
                <w:szCs w:val="21"/>
              </w:rPr>
            </w:pPr>
            <w:r>
              <w:rPr>
                <w:rFonts w:hint="eastAsia" w:ascii="宋体" w:hAnsi="宋体" w:eastAsia="宋体" w:cs="宋体"/>
                <w:kern w:val="0"/>
                <w:sz w:val="21"/>
                <w:szCs w:val="21"/>
              </w:rPr>
              <w:t>5</w:t>
            </w:r>
          </w:p>
        </w:tc>
        <w:tc>
          <w:tcPr>
            <w:tcW w:w="941" w:type="dxa"/>
            <w:gridSpan w:val="3"/>
            <w:tcBorders>
              <w:top w:val="single" w:color="000000" w:sz="4" w:space="0"/>
              <w:left w:val="single" w:color="000000" w:sz="4" w:space="0"/>
              <w:bottom w:val="single" w:color="auto" w:sz="4" w:space="0"/>
            </w:tcBorders>
            <w:vAlign w:val="center"/>
          </w:tcPr>
          <w:p w14:paraId="6E75AFD7">
            <w:pPr>
              <w:keepNext w:val="0"/>
              <w:keepLines w:val="0"/>
              <w:pageBreakBefore w:val="0"/>
              <w:tabs>
                <w:tab w:val="left" w:pos="720"/>
              </w:tabs>
              <w:kinsoku/>
              <w:wordWrap/>
              <w:overflowPunct/>
              <w:topLinePunct w:val="0"/>
              <w:bidi w:val="0"/>
              <w:spacing w:line="400" w:lineRule="exact"/>
              <w:jc w:val="center"/>
              <w:rPr>
                <w:rFonts w:hint="eastAsia" w:ascii="宋体" w:hAnsi="宋体" w:eastAsia="宋体" w:cs="宋体"/>
                <w:kern w:val="0"/>
                <w:sz w:val="21"/>
                <w:szCs w:val="21"/>
              </w:rPr>
            </w:pPr>
            <w:r>
              <w:rPr>
                <w:rFonts w:hint="eastAsia" w:ascii="宋体" w:hAnsi="宋体" w:eastAsia="宋体" w:cs="宋体"/>
                <w:kern w:val="0"/>
                <w:sz w:val="21"/>
                <w:szCs w:val="21"/>
              </w:rPr>
              <w:t>5</w:t>
            </w:r>
          </w:p>
        </w:tc>
        <w:tc>
          <w:tcPr>
            <w:tcW w:w="859" w:type="dxa"/>
            <w:gridSpan w:val="2"/>
            <w:tcBorders>
              <w:top w:val="single" w:color="000000" w:sz="4" w:space="0"/>
              <w:bottom w:val="single" w:color="auto" w:sz="4" w:space="0"/>
              <w:right w:val="single" w:color="000000" w:sz="4" w:space="0"/>
            </w:tcBorders>
            <w:vAlign w:val="center"/>
          </w:tcPr>
          <w:p w14:paraId="69664FE5">
            <w:pPr>
              <w:keepNext w:val="0"/>
              <w:keepLines w:val="0"/>
              <w:pageBreakBefore w:val="0"/>
              <w:tabs>
                <w:tab w:val="left" w:pos="720"/>
              </w:tabs>
              <w:kinsoku/>
              <w:wordWrap/>
              <w:overflowPunct/>
              <w:topLinePunct w:val="0"/>
              <w:bidi w:val="0"/>
              <w:spacing w:line="400" w:lineRule="exact"/>
              <w:jc w:val="center"/>
              <w:rPr>
                <w:rFonts w:hint="eastAsia" w:ascii="宋体" w:hAnsi="宋体" w:eastAsia="宋体" w:cs="宋体"/>
                <w:kern w:val="0"/>
                <w:sz w:val="21"/>
                <w:szCs w:val="21"/>
              </w:rPr>
            </w:pPr>
            <w:r>
              <w:rPr>
                <w:rFonts w:hint="eastAsia" w:ascii="宋体" w:hAnsi="宋体" w:eastAsia="宋体" w:cs="宋体"/>
                <w:kern w:val="0"/>
                <w:sz w:val="21"/>
                <w:szCs w:val="21"/>
              </w:rPr>
              <w:t>10</w:t>
            </w:r>
          </w:p>
        </w:tc>
        <w:tc>
          <w:tcPr>
            <w:tcW w:w="589" w:type="dxa"/>
            <w:tcBorders>
              <w:top w:val="single" w:color="000000" w:sz="4" w:space="0"/>
              <w:left w:val="single" w:color="000000" w:sz="4" w:space="0"/>
              <w:bottom w:val="single" w:color="auto" w:sz="4" w:space="0"/>
            </w:tcBorders>
            <w:vAlign w:val="center"/>
          </w:tcPr>
          <w:p w14:paraId="1C371C6A">
            <w:pPr>
              <w:keepNext w:val="0"/>
              <w:keepLines w:val="0"/>
              <w:pageBreakBefore w:val="0"/>
              <w:tabs>
                <w:tab w:val="left" w:pos="720"/>
              </w:tabs>
              <w:kinsoku/>
              <w:wordWrap/>
              <w:overflowPunct/>
              <w:topLinePunct w:val="0"/>
              <w:bidi w:val="0"/>
              <w:spacing w:line="400" w:lineRule="exact"/>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0.78</w:t>
            </w:r>
          </w:p>
        </w:tc>
      </w:tr>
      <w:tr w14:paraId="7AB6042C">
        <w:trPr>
          <w:trHeight w:val="515" w:hRule="atLeast"/>
        </w:trPr>
        <w:tc>
          <w:tcPr>
            <w:tcW w:w="1431" w:type="dxa"/>
            <w:vMerge w:val="continue"/>
            <w:vAlign w:val="center"/>
          </w:tcPr>
          <w:p w14:paraId="799C869D">
            <w:pPr>
              <w:keepNext w:val="0"/>
              <w:keepLines w:val="0"/>
              <w:pageBreakBefore w:val="0"/>
              <w:kinsoku/>
              <w:wordWrap/>
              <w:overflowPunct/>
              <w:topLinePunct w:val="0"/>
              <w:bidi w:val="0"/>
              <w:spacing w:line="400" w:lineRule="exact"/>
              <w:jc w:val="center"/>
              <w:rPr>
                <w:rFonts w:hint="eastAsia" w:ascii="宋体" w:hAnsi="宋体" w:eastAsia="宋体" w:cs="宋体"/>
                <w:color w:val="000000"/>
                <w:sz w:val="21"/>
                <w:szCs w:val="21"/>
                <w:lang w:eastAsia="zh-TW"/>
              </w:rPr>
            </w:pPr>
          </w:p>
        </w:tc>
        <w:tc>
          <w:tcPr>
            <w:tcW w:w="977" w:type="dxa"/>
            <w:tcBorders>
              <w:bottom w:val="single" w:color="auto" w:sz="4" w:space="0"/>
            </w:tcBorders>
            <w:vAlign w:val="center"/>
          </w:tcPr>
          <w:p w14:paraId="52FE7083">
            <w:pPr>
              <w:keepNext w:val="0"/>
              <w:keepLines w:val="0"/>
              <w:pageBreakBefore w:val="0"/>
              <w:kinsoku/>
              <w:wordWrap/>
              <w:overflowPunct/>
              <w:topLinePunct w:val="0"/>
              <w:bidi w:val="0"/>
              <w:spacing w:line="400" w:lineRule="exact"/>
              <w:jc w:val="center"/>
              <w:rPr>
                <w:rFonts w:hint="eastAsia" w:ascii="宋体" w:hAnsi="宋体" w:eastAsia="宋体" w:cs="宋体"/>
                <w:sz w:val="21"/>
                <w:szCs w:val="21"/>
              </w:rPr>
            </w:pPr>
            <w:r>
              <w:rPr>
                <w:rFonts w:hint="eastAsia" w:ascii="宋体" w:hAnsi="宋体" w:eastAsia="宋体" w:cs="宋体"/>
                <w:kern w:val="0"/>
                <w:sz w:val="21"/>
                <w:szCs w:val="21"/>
              </w:rPr>
              <w:t>课程目标4（40%）</w:t>
            </w:r>
          </w:p>
        </w:tc>
        <w:tc>
          <w:tcPr>
            <w:tcW w:w="3247" w:type="dxa"/>
            <w:gridSpan w:val="5"/>
            <w:tcBorders>
              <w:bottom w:val="single" w:color="auto" w:sz="4" w:space="0"/>
              <w:right w:val="single" w:color="000000" w:sz="4" w:space="0"/>
            </w:tcBorders>
            <w:vAlign w:val="center"/>
          </w:tcPr>
          <w:p w14:paraId="5844E307">
            <w:pPr>
              <w:keepNext w:val="0"/>
              <w:keepLines w:val="0"/>
              <w:pageBreakBefore w:val="0"/>
              <w:widowControl/>
              <w:kinsoku/>
              <w:wordWrap/>
              <w:overflowPunct/>
              <w:topLinePunct w:val="0"/>
              <w:bidi w:val="0"/>
              <w:spacing w:line="400" w:lineRule="exact"/>
              <w:jc w:val="left"/>
              <w:rPr>
                <w:rFonts w:hint="eastAsia" w:ascii="宋体" w:hAnsi="宋体" w:eastAsia="宋体" w:cs="宋体"/>
                <w:sz w:val="21"/>
                <w:szCs w:val="21"/>
              </w:rPr>
            </w:pPr>
            <w:r>
              <w:rPr>
                <w:rFonts w:hint="eastAsia" w:ascii="宋体" w:hAnsi="宋体" w:eastAsia="宋体" w:cs="宋体"/>
                <w:sz w:val="21"/>
                <w:szCs w:val="21"/>
              </w:rPr>
              <w:t>1.能够很好地形成或融入舞台团队。</w:t>
            </w:r>
          </w:p>
          <w:p w14:paraId="06949BC0">
            <w:pPr>
              <w:keepNext w:val="0"/>
              <w:keepLines w:val="0"/>
              <w:pageBreakBefore w:val="0"/>
              <w:widowControl/>
              <w:kinsoku/>
              <w:wordWrap/>
              <w:overflowPunct/>
              <w:topLinePunct w:val="0"/>
              <w:bidi w:val="0"/>
              <w:spacing w:line="400" w:lineRule="exact"/>
              <w:jc w:val="left"/>
              <w:rPr>
                <w:rFonts w:hint="eastAsia" w:ascii="宋体" w:hAnsi="宋体" w:eastAsia="宋体" w:cs="宋体"/>
                <w:sz w:val="21"/>
                <w:szCs w:val="21"/>
              </w:rPr>
            </w:pPr>
            <w:r>
              <w:rPr>
                <w:rFonts w:hint="eastAsia" w:ascii="宋体" w:hAnsi="宋体" w:eastAsia="宋体" w:cs="宋体"/>
                <w:sz w:val="21"/>
                <w:szCs w:val="21"/>
              </w:rPr>
              <w:t>2.能够就舞台表演相关问题进行思考、表达和沟通。</w:t>
            </w:r>
          </w:p>
          <w:p w14:paraId="02F8200A">
            <w:pPr>
              <w:keepNext w:val="0"/>
              <w:keepLines w:val="0"/>
              <w:pageBreakBefore w:val="0"/>
              <w:widowControl/>
              <w:kinsoku/>
              <w:wordWrap/>
              <w:overflowPunct/>
              <w:topLinePunct w:val="0"/>
              <w:bidi w:val="0"/>
              <w:spacing w:line="400" w:lineRule="exact"/>
              <w:jc w:val="left"/>
              <w:rPr>
                <w:rFonts w:hint="eastAsia" w:ascii="宋体" w:hAnsi="宋体" w:eastAsia="宋体" w:cs="宋体"/>
                <w:sz w:val="21"/>
                <w:szCs w:val="21"/>
              </w:rPr>
            </w:pPr>
            <w:r>
              <w:rPr>
                <w:rFonts w:hint="eastAsia" w:ascii="宋体" w:hAnsi="宋体" w:eastAsia="宋体" w:cs="宋体"/>
                <w:sz w:val="21"/>
                <w:szCs w:val="21"/>
              </w:rPr>
              <w:t>3.能够根据所学重唱实践知识要点进行重唱、合唱、表演唱相关的课外音乐活动。</w:t>
            </w:r>
          </w:p>
        </w:tc>
        <w:tc>
          <w:tcPr>
            <w:tcW w:w="1104" w:type="dxa"/>
            <w:gridSpan w:val="2"/>
            <w:tcBorders>
              <w:left w:val="single" w:color="000000" w:sz="4" w:space="0"/>
              <w:bottom w:val="single" w:color="auto" w:sz="4" w:space="0"/>
              <w:right w:val="single" w:color="000000" w:sz="4" w:space="0"/>
            </w:tcBorders>
            <w:vAlign w:val="center"/>
          </w:tcPr>
          <w:p w14:paraId="0B948E00">
            <w:pPr>
              <w:keepNext w:val="0"/>
              <w:keepLines w:val="0"/>
              <w:pageBreakBefore w:val="0"/>
              <w:kinsoku/>
              <w:wordWrap/>
              <w:overflowPunct/>
              <w:topLinePunct w:val="0"/>
              <w:bidi w:val="0"/>
              <w:spacing w:line="400" w:lineRule="exact"/>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10</w:t>
            </w:r>
          </w:p>
        </w:tc>
        <w:tc>
          <w:tcPr>
            <w:tcW w:w="941" w:type="dxa"/>
            <w:gridSpan w:val="3"/>
            <w:tcBorders>
              <w:top w:val="single" w:color="000000" w:sz="4" w:space="0"/>
              <w:left w:val="single" w:color="000000" w:sz="4" w:space="0"/>
              <w:bottom w:val="single" w:color="auto" w:sz="4" w:space="0"/>
            </w:tcBorders>
            <w:vAlign w:val="center"/>
          </w:tcPr>
          <w:p w14:paraId="71A75106">
            <w:pPr>
              <w:keepNext w:val="0"/>
              <w:keepLines w:val="0"/>
              <w:pageBreakBefore w:val="0"/>
              <w:tabs>
                <w:tab w:val="left" w:pos="720"/>
              </w:tabs>
              <w:kinsoku/>
              <w:wordWrap/>
              <w:overflowPunct/>
              <w:topLinePunct w:val="0"/>
              <w:bidi w:val="0"/>
              <w:spacing w:line="400" w:lineRule="exact"/>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10</w:t>
            </w:r>
          </w:p>
        </w:tc>
        <w:tc>
          <w:tcPr>
            <w:tcW w:w="859" w:type="dxa"/>
            <w:gridSpan w:val="2"/>
            <w:tcBorders>
              <w:top w:val="single" w:color="000000" w:sz="4" w:space="0"/>
              <w:bottom w:val="single" w:color="auto" w:sz="4" w:space="0"/>
              <w:right w:val="single" w:color="000000" w:sz="4" w:space="0"/>
            </w:tcBorders>
            <w:vAlign w:val="center"/>
          </w:tcPr>
          <w:p w14:paraId="7956AE0F">
            <w:pPr>
              <w:keepNext w:val="0"/>
              <w:keepLines w:val="0"/>
              <w:pageBreakBefore w:val="0"/>
              <w:tabs>
                <w:tab w:val="left" w:pos="720"/>
              </w:tabs>
              <w:kinsoku/>
              <w:wordWrap/>
              <w:overflowPunct/>
              <w:topLinePunct w:val="0"/>
              <w:bidi w:val="0"/>
              <w:spacing w:line="400" w:lineRule="exact"/>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20</w:t>
            </w:r>
          </w:p>
        </w:tc>
        <w:tc>
          <w:tcPr>
            <w:tcW w:w="589" w:type="dxa"/>
            <w:tcBorders>
              <w:top w:val="single" w:color="000000" w:sz="4" w:space="0"/>
              <w:left w:val="single" w:color="000000" w:sz="4" w:space="0"/>
              <w:bottom w:val="single" w:color="auto" w:sz="4" w:space="0"/>
            </w:tcBorders>
            <w:vAlign w:val="center"/>
          </w:tcPr>
          <w:p w14:paraId="22959F6A">
            <w:pPr>
              <w:keepNext w:val="0"/>
              <w:keepLines w:val="0"/>
              <w:pageBreakBefore w:val="0"/>
              <w:tabs>
                <w:tab w:val="left" w:pos="720"/>
              </w:tabs>
              <w:kinsoku/>
              <w:wordWrap/>
              <w:overflowPunct/>
              <w:topLinePunct w:val="0"/>
              <w:bidi w:val="0"/>
              <w:spacing w:line="400" w:lineRule="exact"/>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0.78</w:t>
            </w:r>
          </w:p>
        </w:tc>
      </w:tr>
      <w:tr w14:paraId="717258CB">
        <w:trPr>
          <w:trHeight w:val="515" w:hRule="atLeast"/>
        </w:trPr>
        <w:tc>
          <w:tcPr>
            <w:tcW w:w="1431" w:type="dxa"/>
            <w:vMerge w:val="continue"/>
            <w:vAlign w:val="center"/>
          </w:tcPr>
          <w:p w14:paraId="0948279A">
            <w:pPr>
              <w:keepNext w:val="0"/>
              <w:keepLines w:val="0"/>
              <w:pageBreakBefore w:val="0"/>
              <w:kinsoku/>
              <w:wordWrap/>
              <w:overflowPunct/>
              <w:topLinePunct w:val="0"/>
              <w:bidi w:val="0"/>
              <w:spacing w:line="400" w:lineRule="exact"/>
              <w:jc w:val="center"/>
              <w:rPr>
                <w:rFonts w:hint="eastAsia" w:ascii="宋体" w:hAnsi="宋体" w:eastAsia="宋体" w:cs="宋体"/>
                <w:color w:val="000000"/>
                <w:sz w:val="21"/>
                <w:szCs w:val="21"/>
                <w:lang w:eastAsia="zh-TW"/>
              </w:rPr>
            </w:pPr>
          </w:p>
        </w:tc>
        <w:tc>
          <w:tcPr>
            <w:tcW w:w="4224" w:type="dxa"/>
            <w:gridSpan w:val="6"/>
            <w:tcBorders>
              <w:bottom w:val="single" w:color="auto" w:sz="4" w:space="0"/>
              <w:right w:val="single" w:color="000000" w:sz="4" w:space="0"/>
            </w:tcBorders>
            <w:vAlign w:val="center"/>
          </w:tcPr>
          <w:p w14:paraId="766C77A0">
            <w:pPr>
              <w:keepNext w:val="0"/>
              <w:keepLines w:val="0"/>
              <w:pageBreakBefore w:val="0"/>
              <w:widowControl/>
              <w:kinsoku/>
              <w:wordWrap/>
              <w:overflowPunct/>
              <w:topLinePunct w:val="0"/>
              <w:autoSpaceDE w:val="0"/>
              <w:autoSpaceDN w:val="0"/>
              <w:bidi w:val="0"/>
              <w:spacing w:line="400" w:lineRule="exact"/>
              <w:jc w:val="center"/>
              <w:rPr>
                <w:rFonts w:hint="eastAsia" w:ascii="宋体" w:hAnsi="宋体" w:eastAsia="宋体" w:cs="宋体"/>
                <w:sz w:val="21"/>
                <w:szCs w:val="21"/>
              </w:rPr>
            </w:pPr>
            <w:r>
              <w:rPr>
                <w:rFonts w:hint="eastAsia" w:ascii="宋体" w:hAnsi="宋体" w:eastAsia="宋体" w:cs="宋体"/>
                <w:sz w:val="21"/>
                <w:szCs w:val="21"/>
              </w:rPr>
              <w:t>总分</w:t>
            </w:r>
          </w:p>
        </w:tc>
        <w:tc>
          <w:tcPr>
            <w:tcW w:w="1104" w:type="dxa"/>
            <w:gridSpan w:val="2"/>
            <w:tcBorders>
              <w:left w:val="single" w:color="000000" w:sz="4" w:space="0"/>
              <w:bottom w:val="single" w:color="auto" w:sz="4" w:space="0"/>
              <w:right w:val="single" w:color="000000" w:sz="4" w:space="0"/>
            </w:tcBorders>
            <w:vAlign w:val="center"/>
          </w:tcPr>
          <w:p w14:paraId="69176497">
            <w:pPr>
              <w:keepNext w:val="0"/>
              <w:keepLines w:val="0"/>
              <w:pageBreakBefore w:val="0"/>
              <w:kinsoku/>
              <w:wordWrap/>
              <w:overflowPunct/>
              <w:topLinePunct w:val="0"/>
              <w:bidi w:val="0"/>
              <w:spacing w:line="400" w:lineRule="exact"/>
              <w:jc w:val="center"/>
              <w:rPr>
                <w:rFonts w:hint="eastAsia" w:ascii="宋体" w:hAnsi="宋体" w:eastAsia="宋体" w:cs="宋体"/>
                <w:kern w:val="0"/>
                <w:sz w:val="21"/>
                <w:szCs w:val="21"/>
              </w:rPr>
            </w:pPr>
            <w:r>
              <w:rPr>
                <w:rFonts w:hint="eastAsia" w:ascii="宋体" w:hAnsi="宋体" w:eastAsia="宋体" w:cs="宋体"/>
                <w:kern w:val="0"/>
                <w:sz w:val="21"/>
                <w:szCs w:val="21"/>
              </w:rPr>
              <w:t>25</w:t>
            </w:r>
          </w:p>
        </w:tc>
        <w:tc>
          <w:tcPr>
            <w:tcW w:w="941" w:type="dxa"/>
            <w:gridSpan w:val="3"/>
            <w:tcBorders>
              <w:top w:val="single" w:color="000000" w:sz="4" w:space="0"/>
              <w:left w:val="single" w:color="000000" w:sz="4" w:space="0"/>
              <w:bottom w:val="single" w:color="auto" w:sz="4" w:space="0"/>
            </w:tcBorders>
            <w:vAlign w:val="center"/>
          </w:tcPr>
          <w:p w14:paraId="6EDBAA52">
            <w:pPr>
              <w:keepNext w:val="0"/>
              <w:keepLines w:val="0"/>
              <w:pageBreakBefore w:val="0"/>
              <w:tabs>
                <w:tab w:val="left" w:pos="720"/>
              </w:tabs>
              <w:kinsoku/>
              <w:wordWrap/>
              <w:overflowPunct/>
              <w:topLinePunct w:val="0"/>
              <w:bidi w:val="0"/>
              <w:spacing w:line="400" w:lineRule="exact"/>
              <w:jc w:val="center"/>
              <w:rPr>
                <w:rFonts w:hint="eastAsia" w:ascii="宋体" w:hAnsi="宋体" w:eastAsia="宋体" w:cs="宋体"/>
                <w:kern w:val="0"/>
                <w:sz w:val="21"/>
                <w:szCs w:val="21"/>
              </w:rPr>
            </w:pPr>
            <w:r>
              <w:rPr>
                <w:rFonts w:hint="eastAsia" w:ascii="宋体" w:hAnsi="宋体" w:eastAsia="宋体" w:cs="宋体"/>
                <w:kern w:val="0"/>
                <w:sz w:val="21"/>
                <w:szCs w:val="21"/>
              </w:rPr>
              <w:t>25</w:t>
            </w:r>
          </w:p>
        </w:tc>
        <w:tc>
          <w:tcPr>
            <w:tcW w:w="859" w:type="dxa"/>
            <w:gridSpan w:val="2"/>
            <w:tcBorders>
              <w:top w:val="single" w:color="000000" w:sz="4" w:space="0"/>
              <w:bottom w:val="single" w:color="auto" w:sz="4" w:space="0"/>
              <w:right w:val="single" w:color="000000" w:sz="4" w:space="0"/>
            </w:tcBorders>
            <w:vAlign w:val="center"/>
          </w:tcPr>
          <w:p w14:paraId="6CEA2653">
            <w:pPr>
              <w:keepNext w:val="0"/>
              <w:keepLines w:val="0"/>
              <w:pageBreakBefore w:val="0"/>
              <w:tabs>
                <w:tab w:val="left" w:pos="720"/>
              </w:tabs>
              <w:kinsoku/>
              <w:wordWrap/>
              <w:overflowPunct/>
              <w:topLinePunct w:val="0"/>
              <w:bidi w:val="0"/>
              <w:spacing w:line="400" w:lineRule="exact"/>
              <w:jc w:val="center"/>
              <w:rPr>
                <w:rFonts w:hint="eastAsia" w:ascii="宋体" w:hAnsi="宋体" w:eastAsia="宋体" w:cs="宋体"/>
                <w:kern w:val="0"/>
                <w:sz w:val="21"/>
                <w:szCs w:val="21"/>
              </w:rPr>
            </w:pPr>
            <w:r>
              <w:rPr>
                <w:rFonts w:hint="eastAsia" w:ascii="宋体" w:hAnsi="宋体" w:eastAsia="宋体" w:cs="宋体"/>
                <w:kern w:val="0"/>
                <w:sz w:val="21"/>
                <w:szCs w:val="21"/>
              </w:rPr>
              <w:t>50</w:t>
            </w:r>
          </w:p>
        </w:tc>
        <w:tc>
          <w:tcPr>
            <w:tcW w:w="589" w:type="dxa"/>
            <w:tcBorders>
              <w:top w:val="single" w:color="000000" w:sz="4" w:space="0"/>
              <w:left w:val="single" w:color="000000" w:sz="4" w:space="0"/>
              <w:bottom w:val="single" w:color="auto" w:sz="4" w:space="0"/>
            </w:tcBorders>
            <w:vAlign w:val="center"/>
          </w:tcPr>
          <w:p w14:paraId="32E5E0A3">
            <w:pPr>
              <w:keepNext w:val="0"/>
              <w:keepLines w:val="0"/>
              <w:pageBreakBefore w:val="0"/>
              <w:tabs>
                <w:tab w:val="left" w:pos="720"/>
              </w:tabs>
              <w:kinsoku/>
              <w:wordWrap/>
              <w:overflowPunct/>
              <w:topLinePunct w:val="0"/>
              <w:bidi w:val="0"/>
              <w:spacing w:line="400" w:lineRule="exact"/>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0.78</w:t>
            </w:r>
          </w:p>
        </w:tc>
      </w:tr>
      <w:tr w14:paraId="49F019E7">
        <w:tc>
          <w:tcPr>
            <w:tcW w:w="1431" w:type="dxa"/>
            <w:vAlign w:val="center"/>
          </w:tcPr>
          <w:p w14:paraId="1545EBC0">
            <w:pPr>
              <w:keepNext w:val="0"/>
              <w:keepLines w:val="0"/>
              <w:pageBreakBefore w:val="0"/>
              <w:kinsoku/>
              <w:wordWrap/>
              <w:overflowPunct/>
              <w:topLinePunct w:val="0"/>
              <w:bidi w:val="0"/>
              <w:spacing w:line="40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L</w:t>
            </w:r>
          </w:p>
          <w:p w14:paraId="265CCE7A">
            <w:pPr>
              <w:keepNext w:val="0"/>
              <w:keepLines w:val="0"/>
              <w:pageBreakBefore w:val="0"/>
              <w:kinsoku/>
              <w:wordWrap/>
              <w:overflowPunct/>
              <w:topLinePunct w:val="0"/>
              <w:bidi w:val="0"/>
              <w:spacing w:line="40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学习建议</w:t>
            </w:r>
          </w:p>
        </w:tc>
        <w:tc>
          <w:tcPr>
            <w:tcW w:w="7717" w:type="dxa"/>
            <w:gridSpan w:val="14"/>
            <w:tcBorders>
              <w:bottom w:val="single" w:color="auto" w:sz="4" w:space="0"/>
            </w:tcBorders>
            <w:vAlign w:val="center"/>
          </w:tcPr>
          <w:p w14:paraId="0713A9CA">
            <w:pPr>
              <w:keepNext w:val="0"/>
              <w:keepLines w:val="0"/>
              <w:pageBreakBefore w:val="0"/>
              <w:widowControl/>
              <w:kinsoku/>
              <w:wordWrap/>
              <w:overflowPunct/>
              <w:topLinePunct w:val="0"/>
              <w:bidi w:val="0"/>
              <w:spacing w:line="400" w:lineRule="exact"/>
              <w:jc w:val="left"/>
              <w:rPr>
                <w:rFonts w:hint="eastAsia" w:ascii="宋体" w:hAnsi="宋体" w:eastAsia="宋体" w:cs="宋体"/>
                <w:color w:val="000000"/>
                <w:sz w:val="21"/>
                <w:szCs w:val="21"/>
              </w:rPr>
            </w:pPr>
            <w:r>
              <w:rPr>
                <w:rFonts w:hint="eastAsia" w:ascii="宋体" w:hAnsi="宋体" w:eastAsia="宋体" w:cs="宋体"/>
                <w:color w:val="000000"/>
                <w:sz w:val="21"/>
                <w:szCs w:val="21"/>
              </w:rPr>
              <w:t>1.自主学习。建议学生通过预习教材，并通过网络、图书馆自主查阅课程中涉及的学习资源，独立规划自己的课程学习计划，充分发挥自身的学习能动性。</w:t>
            </w:r>
          </w:p>
          <w:p w14:paraId="3E83BCF9">
            <w:pPr>
              <w:keepNext w:val="0"/>
              <w:keepLines w:val="0"/>
              <w:pageBreakBefore w:val="0"/>
              <w:widowControl/>
              <w:kinsoku/>
              <w:wordWrap/>
              <w:overflowPunct/>
              <w:topLinePunct w:val="0"/>
              <w:bidi w:val="0"/>
              <w:spacing w:line="400" w:lineRule="exact"/>
              <w:jc w:val="left"/>
              <w:rPr>
                <w:rFonts w:hint="eastAsia" w:ascii="宋体" w:hAnsi="宋体" w:eastAsia="宋体" w:cs="宋体"/>
                <w:color w:val="4472C4"/>
                <w:kern w:val="0"/>
                <w:sz w:val="21"/>
                <w:szCs w:val="21"/>
              </w:rPr>
            </w:pPr>
            <w:r>
              <w:rPr>
                <w:rFonts w:hint="eastAsia" w:ascii="宋体" w:hAnsi="宋体" w:eastAsia="宋体" w:cs="宋体"/>
                <w:color w:val="000000"/>
                <w:sz w:val="21"/>
                <w:szCs w:val="21"/>
              </w:rPr>
              <w:t>2.研究性学习。鼓励学生针对课程教学内容，尝试理论课结合专题报告的教学方式，开展相关的生物化学进展和专题讲座，提高学生的学习兴趣，了解国内外最新音乐知识，开阔学生的视野。</w:t>
            </w:r>
          </w:p>
        </w:tc>
      </w:tr>
      <w:tr w14:paraId="75A6C187">
        <w:trPr>
          <w:trHeight w:val="454" w:hRule="atLeast"/>
        </w:trPr>
        <w:tc>
          <w:tcPr>
            <w:tcW w:w="1431" w:type="dxa"/>
            <w:vAlign w:val="center"/>
          </w:tcPr>
          <w:p w14:paraId="6E2B4A8C">
            <w:pPr>
              <w:keepNext w:val="0"/>
              <w:keepLines w:val="0"/>
              <w:pageBreakBefore w:val="0"/>
              <w:kinsoku/>
              <w:wordWrap/>
              <w:overflowPunct/>
              <w:topLinePunct w:val="0"/>
              <w:bidi w:val="0"/>
              <w:spacing w:line="40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M</w:t>
            </w:r>
          </w:p>
          <w:p w14:paraId="4EB31449">
            <w:pPr>
              <w:keepNext w:val="0"/>
              <w:keepLines w:val="0"/>
              <w:pageBreakBefore w:val="0"/>
              <w:kinsoku/>
              <w:wordWrap/>
              <w:overflowPunct/>
              <w:topLinePunct w:val="0"/>
              <w:bidi w:val="0"/>
              <w:spacing w:line="40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评分量表</w:t>
            </w:r>
          </w:p>
        </w:tc>
        <w:tc>
          <w:tcPr>
            <w:tcW w:w="7717" w:type="dxa"/>
            <w:gridSpan w:val="14"/>
            <w:vAlign w:val="center"/>
          </w:tcPr>
          <w:p w14:paraId="4CB472F3">
            <w:pPr>
              <w:keepNext w:val="0"/>
              <w:keepLines w:val="0"/>
              <w:pageBreakBefore w:val="0"/>
              <w:tabs>
                <w:tab w:val="left" w:pos="720"/>
              </w:tabs>
              <w:kinsoku/>
              <w:wordWrap/>
              <w:overflowPunct/>
              <w:topLinePunct w:val="0"/>
              <w:bidi w:val="0"/>
              <w:spacing w:line="400" w:lineRule="exac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w:t>
            </w:r>
            <w:r>
              <w:rPr>
                <w:rFonts w:hint="eastAsia" w:ascii="宋体" w:hAnsi="宋体" w:eastAsia="宋体" w:cs="宋体"/>
                <w:color w:val="000000"/>
                <w:kern w:val="0"/>
                <w:sz w:val="21"/>
                <w:szCs w:val="21"/>
                <w:lang w:eastAsia="zh-CN"/>
              </w:rPr>
              <w:t>戏剧表演</w:t>
            </w:r>
            <w:r>
              <w:rPr>
                <w:rFonts w:hint="eastAsia" w:ascii="宋体" w:hAnsi="宋体" w:eastAsia="宋体" w:cs="宋体"/>
                <w:color w:val="000000"/>
                <w:sz w:val="21"/>
                <w:szCs w:val="21"/>
              </w:rPr>
              <w:t>》课程目标评分量表见附表。</w:t>
            </w:r>
          </w:p>
        </w:tc>
      </w:tr>
      <w:tr w14:paraId="36FCDC40">
        <w:trPr>
          <w:trHeight w:val="454" w:hRule="atLeast"/>
        </w:trPr>
        <w:tc>
          <w:tcPr>
            <w:tcW w:w="1431" w:type="dxa"/>
            <w:vAlign w:val="center"/>
          </w:tcPr>
          <w:p w14:paraId="34B13287">
            <w:pPr>
              <w:keepNext w:val="0"/>
              <w:keepLines w:val="0"/>
              <w:pageBreakBefore w:val="0"/>
              <w:kinsoku/>
              <w:wordWrap/>
              <w:overflowPunct/>
              <w:topLinePunct w:val="0"/>
              <w:bidi w:val="0"/>
              <w:spacing w:line="40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备注</w:t>
            </w:r>
          </w:p>
        </w:tc>
        <w:tc>
          <w:tcPr>
            <w:tcW w:w="7717" w:type="dxa"/>
            <w:gridSpan w:val="14"/>
            <w:vAlign w:val="center"/>
          </w:tcPr>
          <w:p w14:paraId="6AF110EC">
            <w:pPr>
              <w:keepNext w:val="0"/>
              <w:keepLines w:val="0"/>
              <w:pageBreakBefore w:val="0"/>
              <w:kinsoku/>
              <w:wordWrap/>
              <w:overflowPunct/>
              <w:topLinePunct w:val="0"/>
              <w:bidi w:val="0"/>
              <w:spacing w:line="400" w:lineRule="exact"/>
              <w:rPr>
                <w:rFonts w:hint="eastAsia" w:ascii="宋体" w:hAnsi="宋体" w:eastAsia="宋体" w:cs="宋体"/>
                <w:color w:val="000000"/>
                <w:sz w:val="21"/>
                <w:szCs w:val="21"/>
              </w:rPr>
            </w:pPr>
            <w:r>
              <w:rPr>
                <w:rFonts w:hint="eastAsia" w:ascii="宋体" w:hAnsi="宋体" w:eastAsia="宋体" w:cs="宋体"/>
                <w:color w:val="000000"/>
                <w:sz w:val="21"/>
                <w:szCs w:val="21"/>
              </w:rPr>
              <w:t>课程大纲A—M项由开课学院审批通过，任课教师不能自行更改。</w:t>
            </w:r>
          </w:p>
        </w:tc>
      </w:tr>
      <w:tr w14:paraId="76DCDBAD">
        <w:trPr>
          <w:trHeight w:val="771" w:hRule="atLeast"/>
        </w:trPr>
        <w:tc>
          <w:tcPr>
            <w:tcW w:w="1431" w:type="dxa"/>
            <w:vAlign w:val="center"/>
          </w:tcPr>
          <w:p w14:paraId="7D81A63C">
            <w:pPr>
              <w:keepNext w:val="0"/>
              <w:keepLines w:val="0"/>
              <w:pageBreakBefore w:val="0"/>
              <w:kinsoku/>
              <w:wordWrap/>
              <w:overflowPunct/>
              <w:topLinePunct w:val="0"/>
              <w:bidi w:val="0"/>
              <w:spacing w:line="40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审批</w:t>
            </w:r>
          </w:p>
          <w:p w14:paraId="5B3A6F68">
            <w:pPr>
              <w:keepNext w:val="0"/>
              <w:keepLines w:val="0"/>
              <w:pageBreakBefore w:val="0"/>
              <w:kinsoku/>
              <w:wordWrap/>
              <w:overflowPunct/>
              <w:topLinePunct w:val="0"/>
              <w:bidi w:val="0"/>
              <w:spacing w:line="40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意见</w:t>
            </w:r>
          </w:p>
        </w:tc>
        <w:tc>
          <w:tcPr>
            <w:tcW w:w="3814" w:type="dxa"/>
            <w:gridSpan w:val="5"/>
            <w:vAlign w:val="center"/>
          </w:tcPr>
          <w:p w14:paraId="362D2CDA">
            <w:pPr>
              <w:widowControl/>
              <w:jc w:val="left"/>
              <w:rPr>
                <w:rFonts w:hint="eastAsia" w:ascii="仿宋" w:hAnsi="仿宋" w:eastAsia="仿宋" w:cs="仿宋"/>
                <w:kern w:val="0"/>
                <w:sz w:val="24"/>
                <w:szCs w:val="24"/>
              </w:rPr>
            </w:pPr>
          </w:p>
          <w:p w14:paraId="29982219">
            <w:pPr>
              <w:widowControl/>
              <w:jc w:val="left"/>
              <w:rPr>
                <w:rFonts w:hint="eastAsia" w:ascii="仿宋" w:hAnsi="仿宋" w:eastAsia="仿宋" w:cs="仿宋"/>
                <w:kern w:val="0"/>
                <w:sz w:val="24"/>
                <w:szCs w:val="24"/>
              </w:rPr>
            </w:pPr>
            <w:r>
              <w:rPr>
                <w:rFonts w:hint="eastAsia" w:ascii="仿宋" w:hAnsi="仿宋" w:eastAsia="仿宋" w:cs="仿宋"/>
                <w:kern w:val="0"/>
                <w:sz w:val="24"/>
                <w:szCs w:val="24"/>
              </w:rPr>
              <w:t>课程教学大纲修订负责人及教学团队成员</w:t>
            </w:r>
            <w:r>
              <w:rPr>
                <w:rFonts w:hint="eastAsia" w:ascii="仿宋" w:hAnsi="仿宋" w:eastAsia="仿宋" w:cs="仿宋"/>
                <w:sz w:val="24"/>
                <w:szCs w:val="24"/>
              </w:rPr>
              <w:t>签名</w:t>
            </w:r>
            <w:r>
              <w:rPr>
                <w:rFonts w:hint="eastAsia" w:ascii="仿宋" w:hAnsi="仿宋" w:eastAsia="仿宋" w:cs="仿宋"/>
                <w:kern w:val="0"/>
                <w:sz w:val="24"/>
                <w:szCs w:val="24"/>
              </w:rPr>
              <w:t xml:space="preserve">：   </w:t>
            </w:r>
          </w:p>
          <w:p w14:paraId="2FEDEBA1">
            <w:pPr>
              <w:widowControl/>
              <w:ind w:right="960"/>
              <w:jc w:val="right"/>
              <w:rPr>
                <w:rFonts w:hint="eastAsia" w:ascii="仿宋" w:hAnsi="仿宋" w:eastAsia="仿宋" w:cs="仿宋"/>
                <w:kern w:val="0"/>
                <w:sz w:val="24"/>
                <w:szCs w:val="24"/>
              </w:rPr>
            </w:pPr>
            <w:r>
              <w:pict>
                <v:shape id="_x0000_i1035" o:spt="75" type="#_x0000_t75" style="height:36.75pt;width:91.5pt;" filled="f" stroked="f" coordsize="21600,21600">
                  <v:path/>
                  <v:fill on="f" focussize="0,0"/>
                  <v:stroke on="f" joinstyle="miter"/>
                  <v:imagedata r:id="rId154" o:title=""/>
                  <o:lock v:ext="edit" aspectratio="t"/>
                  <w10:wrap type="none"/>
                  <w10:anchorlock/>
                </v:shape>
              </w:pict>
            </w:r>
            <w:r>
              <w:rPr>
                <w:rFonts w:hint="eastAsia" w:ascii="仿宋" w:hAnsi="仿宋" w:eastAsia="仿宋" w:cs="仿宋"/>
                <w:kern w:val="0"/>
                <w:sz w:val="24"/>
                <w:szCs w:val="24"/>
              </w:rPr>
              <w:t xml:space="preserve">                                                  </w:t>
            </w:r>
          </w:p>
          <w:p w14:paraId="49B58B26">
            <w:pPr>
              <w:widowControl/>
              <w:ind w:right="960"/>
              <w:jc w:val="right"/>
              <w:rPr>
                <w:rFonts w:hint="eastAsia" w:ascii="仿宋" w:hAnsi="仿宋" w:eastAsia="仿宋" w:cs="仿宋"/>
                <w:kern w:val="0"/>
                <w:sz w:val="24"/>
                <w:szCs w:val="24"/>
              </w:rPr>
            </w:pPr>
          </w:p>
          <w:p w14:paraId="615A9AD8">
            <w:pPr>
              <w:widowControl/>
              <w:ind w:right="960"/>
              <w:jc w:val="right"/>
              <w:rPr>
                <w:rFonts w:hint="eastAsia" w:ascii="仿宋" w:hAnsi="仿宋" w:eastAsia="仿宋" w:cs="仿宋"/>
                <w:kern w:val="0"/>
                <w:sz w:val="24"/>
                <w:szCs w:val="24"/>
              </w:rPr>
            </w:pPr>
            <w:r>
              <w:rPr>
                <w:rFonts w:ascii="仿宋" w:hAnsi="仿宋" w:eastAsia="仿宋" w:cs="仿宋"/>
                <w:kern w:val="0"/>
                <w:sz w:val="24"/>
                <w:szCs w:val="24"/>
              </w:rPr>
              <w:t xml:space="preserve">  </w:t>
            </w:r>
            <w:r>
              <w:rPr>
                <w:rFonts w:hint="eastAsia" w:ascii="仿宋" w:hAnsi="仿宋" w:eastAsia="仿宋" w:cs="仿宋"/>
                <w:kern w:val="0"/>
                <w:sz w:val="24"/>
                <w:szCs w:val="24"/>
              </w:rPr>
              <w:t xml:space="preserve">年 </w:t>
            </w:r>
            <w:r>
              <w:rPr>
                <w:rFonts w:ascii="仿宋" w:hAnsi="仿宋" w:eastAsia="仿宋" w:cs="仿宋"/>
                <w:kern w:val="0"/>
                <w:sz w:val="24"/>
                <w:szCs w:val="24"/>
              </w:rPr>
              <w:t xml:space="preserve">   </w:t>
            </w:r>
            <w:r>
              <w:rPr>
                <w:rFonts w:hint="eastAsia" w:ascii="仿宋" w:hAnsi="仿宋" w:eastAsia="仿宋" w:cs="仿宋"/>
                <w:kern w:val="0"/>
                <w:sz w:val="24"/>
                <w:szCs w:val="24"/>
              </w:rPr>
              <w:t>月</w:t>
            </w:r>
            <w:r>
              <w:rPr>
                <w:rFonts w:ascii="仿宋" w:hAnsi="仿宋" w:eastAsia="仿宋" w:cs="仿宋"/>
                <w:kern w:val="0"/>
                <w:sz w:val="24"/>
                <w:szCs w:val="24"/>
              </w:rPr>
              <w:t xml:space="preserve">    </w:t>
            </w:r>
            <w:r>
              <w:rPr>
                <w:rFonts w:hint="eastAsia" w:ascii="仿宋" w:hAnsi="仿宋" w:eastAsia="仿宋" w:cs="仿宋"/>
                <w:kern w:val="0"/>
                <w:sz w:val="24"/>
                <w:szCs w:val="24"/>
              </w:rPr>
              <w:t>日</w:t>
            </w:r>
          </w:p>
          <w:p w14:paraId="1ECB2B43">
            <w:pPr>
              <w:widowControl/>
              <w:jc w:val="right"/>
              <w:rPr>
                <w:rFonts w:hint="eastAsia" w:ascii="仿宋" w:hAnsi="仿宋" w:eastAsia="仿宋" w:cs="仿宋"/>
                <w:kern w:val="0"/>
                <w:sz w:val="24"/>
                <w:szCs w:val="24"/>
              </w:rPr>
            </w:pPr>
            <w:r>
              <w:rPr>
                <w:rFonts w:hint="eastAsia" w:ascii="仿宋" w:hAnsi="仿宋" w:eastAsia="仿宋" w:cs="仿宋"/>
                <w:kern w:val="0"/>
                <w:sz w:val="24"/>
                <w:szCs w:val="24"/>
              </w:rPr>
              <w:t xml:space="preserve"> </w:t>
            </w:r>
          </w:p>
          <w:p w14:paraId="4FF3194C">
            <w:pPr>
              <w:widowControl/>
              <w:jc w:val="right"/>
              <w:rPr>
                <w:rFonts w:hint="eastAsia" w:ascii="宋体" w:hAnsi="宋体" w:eastAsia="宋体" w:cs="宋体"/>
                <w:kern w:val="0"/>
                <w:sz w:val="21"/>
                <w:szCs w:val="21"/>
              </w:rPr>
            </w:pPr>
          </w:p>
        </w:tc>
        <w:tc>
          <w:tcPr>
            <w:tcW w:w="3903" w:type="dxa"/>
            <w:gridSpan w:val="9"/>
            <w:vAlign w:val="center"/>
          </w:tcPr>
          <w:p w14:paraId="78346DCB">
            <w:pPr>
              <w:widowControl/>
              <w:jc w:val="left"/>
              <w:rPr>
                <w:rFonts w:hint="eastAsia" w:ascii="仿宋" w:hAnsi="仿宋" w:eastAsia="仿宋" w:cs="仿宋"/>
                <w:kern w:val="0"/>
                <w:sz w:val="24"/>
                <w:szCs w:val="24"/>
              </w:rPr>
            </w:pPr>
            <w:r>
              <w:rPr>
                <w:rFonts w:hint="eastAsia" w:ascii="仿宋" w:hAnsi="仿宋" w:eastAsia="仿宋" w:cs="仿宋"/>
                <w:kern w:val="0"/>
                <w:sz w:val="24"/>
                <w:szCs w:val="24"/>
              </w:rPr>
              <w:t>系主任审核意见：</w:t>
            </w:r>
          </w:p>
          <w:p w14:paraId="4C27FE4F">
            <w:pPr>
              <w:widowControl/>
              <w:jc w:val="left"/>
              <w:rPr>
                <w:rFonts w:hint="eastAsia" w:ascii="仿宋" w:hAnsi="仿宋" w:eastAsia="仿宋" w:cs="仿宋"/>
                <w:kern w:val="0"/>
                <w:sz w:val="24"/>
                <w:szCs w:val="24"/>
              </w:rPr>
            </w:pPr>
          </w:p>
          <w:p w14:paraId="6710E9D1">
            <w:pPr>
              <w:widowControl/>
              <w:jc w:val="left"/>
              <w:rPr>
                <w:rFonts w:hint="eastAsia" w:ascii="仿宋" w:hAnsi="仿宋" w:eastAsia="仿宋" w:cs="仿宋"/>
                <w:kern w:val="0"/>
                <w:sz w:val="24"/>
                <w:szCs w:val="24"/>
              </w:rPr>
            </w:pPr>
            <w:r>
              <w:rPr>
                <w:rFonts w:hint="eastAsia" w:ascii="仿宋" w:hAnsi="仿宋" w:eastAsia="仿宋" w:cs="仿宋"/>
                <w:kern w:val="0"/>
                <w:sz w:val="24"/>
                <w:szCs w:val="24"/>
              </w:rPr>
              <w:t>同意</w:t>
            </w:r>
          </w:p>
          <w:p w14:paraId="012AF5B5">
            <w:pPr>
              <w:pStyle w:val="177"/>
              <w:rPr>
                <w:rFonts w:hint="eastAsia"/>
              </w:rPr>
            </w:pPr>
          </w:p>
          <w:p w14:paraId="70ED36A1">
            <w:pPr>
              <w:widowControl/>
              <w:jc w:val="left"/>
              <w:rPr>
                <w:rFonts w:hint="eastAsia" w:ascii="仿宋" w:hAnsi="仿宋" w:eastAsia="仿宋" w:cs="仿宋"/>
                <w:kern w:val="0"/>
                <w:sz w:val="24"/>
                <w:szCs w:val="24"/>
              </w:rPr>
            </w:pPr>
            <w:r>
              <w:rPr>
                <w:rFonts w:hint="eastAsia" w:ascii="仿宋" w:hAnsi="仿宋" w:eastAsia="仿宋" w:cs="仿宋"/>
                <w:kern w:val="0"/>
                <w:sz w:val="24"/>
                <w:szCs w:val="24"/>
              </w:rPr>
              <w:t>系主任签名：</w:t>
            </w:r>
            <w:r>
              <w:pict>
                <v:shape id="_x0000_i1036" o:spt="75" type="#_x0000_t75" style="height:51pt;width:97.5pt;" filled="f" stroked="f" coordsize="21600,21600">
                  <v:path/>
                  <v:fill on="f" focussize="0,0"/>
                  <v:stroke on="f" joinstyle="miter"/>
                  <v:imagedata r:id="rId148" o:title=""/>
                  <o:lock v:ext="edit" aspectratio="t"/>
                  <w10:wrap type="none"/>
                  <w10:anchorlock/>
                </v:shape>
              </w:pict>
            </w:r>
          </w:p>
          <w:p w14:paraId="1135DD21">
            <w:pPr>
              <w:pStyle w:val="177"/>
              <w:rPr>
                <w:rFonts w:hint="eastAsia"/>
              </w:rPr>
            </w:pPr>
          </w:p>
          <w:p w14:paraId="4348C010">
            <w:pPr>
              <w:widowControl/>
              <w:ind w:right="960"/>
              <w:jc w:val="right"/>
              <w:rPr>
                <w:rFonts w:hint="eastAsia" w:ascii="仿宋" w:hAnsi="仿宋" w:eastAsia="仿宋" w:cs="仿宋"/>
                <w:kern w:val="0"/>
                <w:sz w:val="24"/>
                <w:szCs w:val="24"/>
              </w:rPr>
            </w:pPr>
            <w:r>
              <w:rPr>
                <w:rFonts w:hint="eastAsia" w:ascii="仿宋" w:hAnsi="仿宋" w:eastAsia="仿宋" w:cs="仿宋"/>
                <w:kern w:val="0"/>
                <w:sz w:val="24"/>
                <w:szCs w:val="24"/>
              </w:rPr>
              <w:t xml:space="preserve">年 </w:t>
            </w:r>
            <w:r>
              <w:rPr>
                <w:rFonts w:ascii="仿宋" w:hAnsi="仿宋" w:eastAsia="仿宋" w:cs="仿宋"/>
                <w:kern w:val="0"/>
                <w:sz w:val="24"/>
                <w:szCs w:val="24"/>
              </w:rPr>
              <w:t xml:space="preserve">  </w:t>
            </w:r>
            <w:r>
              <w:rPr>
                <w:rFonts w:hint="eastAsia" w:ascii="仿宋" w:hAnsi="仿宋" w:eastAsia="仿宋" w:cs="仿宋"/>
                <w:kern w:val="0"/>
                <w:sz w:val="24"/>
                <w:szCs w:val="24"/>
              </w:rPr>
              <w:t>月</w:t>
            </w:r>
            <w:r>
              <w:rPr>
                <w:rFonts w:ascii="仿宋" w:hAnsi="仿宋" w:eastAsia="仿宋" w:cs="仿宋"/>
                <w:kern w:val="0"/>
                <w:sz w:val="24"/>
                <w:szCs w:val="24"/>
              </w:rPr>
              <w:t xml:space="preserve">   </w:t>
            </w:r>
            <w:r>
              <w:rPr>
                <w:rFonts w:hint="eastAsia" w:ascii="仿宋" w:hAnsi="仿宋" w:eastAsia="仿宋" w:cs="仿宋"/>
                <w:kern w:val="0"/>
                <w:sz w:val="24"/>
                <w:szCs w:val="24"/>
              </w:rPr>
              <w:t>日</w:t>
            </w:r>
          </w:p>
          <w:p w14:paraId="1877F13B">
            <w:pPr>
              <w:widowControl/>
              <w:jc w:val="right"/>
              <w:rPr>
                <w:rFonts w:hint="eastAsia" w:ascii="宋体" w:hAnsi="宋体" w:eastAsia="宋体" w:cs="宋体"/>
                <w:kern w:val="0"/>
                <w:sz w:val="21"/>
                <w:szCs w:val="21"/>
              </w:rPr>
            </w:pPr>
          </w:p>
        </w:tc>
      </w:tr>
    </w:tbl>
    <w:p w14:paraId="544EB788">
      <w:pPr>
        <w:keepNext w:val="0"/>
        <w:keepLines w:val="0"/>
        <w:pageBreakBefore w:val="0"/>
        <w:widowControl/>
        <w:kinsoku/>
        <w:wordWrap/>
        <w:overflowPunct/>
        <w:topLinePunct w:val="0"/>
        <w:bidi w:val="0"/>
        <w:spacing w:line="400" w:lineRule="exact"/>
        <w:ind w:right="480"/>
        <w:rPr>
          <w:rFonts w:cs="黑体"/>
        </w:rPr>
        <w:sectPr>
          <w:headerReference r:id="rId75" w:type="default"/>
          <w:footerReference r:id="rId76" w:type="default"/>
          <w:pgSz w:w="11906" w:h="16838"/>
          <w:pgMar w:top="1134" w:right="1417" w:bottom="1134" w:left="1417" w:header="851" w:footer="992" w:gutter="0"/>
          <w:cols w:space="720" w:num="1"/>
          <w:docGrid w:type="lines" w:linePitch="312" w:charSpace="0"/>
        </w:sectPr>
      </w:pPr>
    </w:p>
    <w:p w14:paraId="39D78E02">
      <w:pPr>
        <w:jc w:val="left"/>
        <w:rPr>
          <w:rFonts w:hint="eastAsia" w:cs="黑体"/>
        </w:rPr>
      </w:pPr>
      <w:r>
        <w:rPr>
          <w:rFonts w:hint="eastAsia" w:ascii="仿宋" w:hAnsi="仿宋" w:eastAsia="仿宋" w:cs="仿宋"/>
          <w:color w:val="000000"/>
          <w:sz w:val="32"/>
          <w:szCs w:val="32"/>
        </w:rPr>
        <w:t xml:space="preserve">附表  </w:t>
      </w:r>
      <w:r>
        <w:rPr>
          <w:rFonts w:hint="eastAsia" w:cs="黑体"/>
        </w:rPr>
        <w:t xml:space="preserve">  </w:t>
      </w:r>
    </w:p>
    <w:p w14:paraId="731EA6FB">
      <w:pPr>
        <w:jc w:val="center"/>
        <w:rPr>
          <w:rFonts w:hint="eastAsia" w:cs="黑体"/>
        </w:rPr>
      </w:pPr>
      <w:r>
        <w:rPr>
          <w:rFonts w:hint="eastAsia" w:eastAsia="方正小标宋简体"/>
          <w:sz w:val="44"/>
          <w:szCs w:val="44"/>
        </w:rPr>
        <w:t>《</w:t>
      </w:r>
      <w:r>
        <w:rPr>
          <w:rFonts w:hint="eastAsia" w:eastAsia="方正小标宋简体"/>
          <w:sz w:val="44"/>
          <w:szCs w:val="44"/>
          <w:lang w:eastAsia="zh-CN"/>
        </w:rPr>
        <w:t>戏剧</w:t>
      </w:r>
      <w:r>
        <w:rPr>
          <w:rFonts w:hint="eastAsia" w:eastAsia="方正小标宋简体"/>
          <w:color w:val="000000"/>
          <w:sz w:val="44"/>
          <w:szCs w:val="44"/>
        </w:rPr>
        <w:t>表演</w:t>
      </w:r>
      <w:r>
        <w:rPr>
          <w:rFonts w:hint="eastAsia" w:eastAsia="方正小标宋简体"/>
          <w:sz w:val="44"/>
          <w:szCs w:val="44"/>
        </w:rPr>
        <w:t>》课程目标评分量表</w:t>
      </w:r>
    </w:p>
    <w:tbl>
      <w:tblPr>
        <w:tblStyle w:val="2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28" w:type="dxa"/>
        </w:tblCellMar>
      </w:tblPr>
      <w:tblGrid>
        <w:gridCol w:w="281"/>
        <w:gridCol w:w="1422"/>
        <w:gridCol w:w="1498"/>
        <w:gridCol w:w="1535"/>
        <w:gridCol w:w="1423"/>
        <w:gridCol w:w="1473"/>
        <w:gridCol w:w="1473"/>
      </w:tblGrid>
      <w:tr w14:paraId="29D59DC5">
        <w:trPr>
          <w:trHeight w:val="90" w:hRule="atLeast"/>
          <w:jc w:val="center"/>
        </w:trPr>
        <w:tc>
          <w:tcPr>
            <w:tcW w:w="281" w:type="dxa"/>
            <w:vMerge w:val="restart"/>
            <w:vAlign w:val="center"/>
          </w:tcPr>
          <w:p w14:paraId="59E61922">
            <w:pPr>
              <w:jc w:val="center"/>
              <w:rPr>
                <w:rFonts w:hint="eastAsia" w:ascii="宋体" w:hAnsi="宋体" w:eastAsia="宋体" w:cs="宋体"/>
                <w:b/>
                <w:sz w:val="21"/>
                <w:szCs w:val="21"/>
              </w:rPr>
            </w:pPr>
            <w:r>
              <w:rPr>
                <w:rFonts w:hint="eastAsia" w:ascii="宋体" w:hAnsi="宋体" w:eastAsia="宋体" w:cs="宋体"/>
                <w:b/>
                <w:sz w:val="21"/>
                <w:szCs w:val="21"/>
              </w:rPr>
              <w:t>M</w:t>
            </w:r>
          </w:p>
          <w:p w14:paraId="62D9C57F">
            <w:pPr>
              <w:jc w:val="center"/>
              <w:rPr>
                <w:rFonts w:hint="eastAsia" w:ascii="宋体" w:hAnsi="宋体" w:eastAsia="宋体" w:cs="宋体"/>
                <w:sz w:val="21"/>
                <w:szCs w:val="21"/>
              </w:rPr>
            </w:pPr>
            <w:r>
              <w:rPr>
                <w:rFonts w:hint="eastAsia" w:ascii="宋体" w:hAnsi="宋体" w:eastAsia="宋体" w:cs="宋体"/>
                <w:b/>
                <w:sz w:val="21"/>
                <w:szCs w:val="21"/>
              </w:rPr>
              <w:t>评分量表</w:t>
            </w:r>
          </w:p>
        </w:tc>
        <w:tc>
          <w:tcPr>
            <w:tcW w:w="1422" w:type="dxa"/>
            <w:vAlign w:val="center"/>
          </w:tcPr>
          <w:p w14:paraId="140299D2">
            <w:pPr>
              <w:tabs>
                <w:tab w:val="left" w:pos="720"/>
              </w:tabs>
              <w:jc w:val="center"/>
              <w:rPr>
                <w:rFonts w:hint="eastAsia" w:ascii="宋体" w:hAnsi="宋体" w:eastAsia="宋体" w:cs="宋体"/>
                <w:b/>
                <w:kern w:val="0"/>
                <w:sz w:val="21"/>
                <w:szCs w:val="21"/>
              </w:rPr>
            </w:pPr>
            <w:r>
              <w:rPr>
                <w:rFonts w:hint="eastAsia" w:ascii="宋体" w:hAnsi="宋体" w:eastAsia="宋体" w:cs="宋体"/>
                <w:b/>
                <w:kern w:val="0"/>
                <w:sz w:val="21"/>
                <w:szCs w:val="21"/>
              </w:rPr>
              <w:t>课程目标</w:t>
            </w:r>
          </w:p>
        </w:tc>
        <w:tc>
          <w:tcPr>
            <w:tcW w:w="1498" w:type="dxa"/>
            <w:vAlign w:val="center"/>
          </w:tcPr>
          <w:p w14:paraId="24136144">
            <w:pPr>
              <w:tabs>
                <w:tab w:val="left" w:pos="720"/>
              </w:tabs>
              <w:jc w:val="center"/>
              <w:rPr>
                <w:rFonts w:hint="eastAsia" w:ascii="宋体" w:hAnsi="宋体" w:eastAsia="宋体" w:cs="宋体"/>
                <w:b/>
                <w:kern w:val="0"/>
                <w:sz w:val="21"/>
                <w:szCs w:val="21"/>
              </w:rPr>
            </w:pPr>
            <w:r>
              <w:rPr>
                <w:rFonts w:hint="eastAsia" w:ascii="宋体" w:hAnsi="宋体" w:eastAsia="宋体" w:cs="宋体"/>
                <w:b/>
                <w:kern w:val="0"/>
                <w:sz w:val="21"/>
                <w:szCs w:val="21"/>
              </w:rPr>
              <w:t>优（X≧90）</w:t>
            </w:r>
          </w:p>
        </w:tc>
        <w:tc>
          <w:tcPr>
            <w:tcW w:w="1535" w:type="dxa"/>
            <w:vAlign w:val="center"/>
          </w:tcPr>
          <w:p w14:paraId="12829AD2">
            <w:pPr>
              <w:tabs>
                <w:tab w:val="left" w:pos="720"/>
              </w:tabs>
              <w:jc w:val="center"/>
              <w:rPr>
                <w:rFonts w:hint="eastAsia" w:ascii="宋体" w:hAnsi="宋体" w:eastAsia="宋体" w:cs="宋体"/>
                <w:b/>
                <w:kern w:val="0"/>
                <w:sz w:val="21"/>
                <w:szCs w:val="21"/>
              </w:rPr>
            </w:pPr>
            <w:r>
              <w:rPr>
                <w:rFonts w:hint="eastAsia" w:ascii="宋体" w:hAnsi="宋体" w:eastAsia="宋体" w:cs="宋体"/>
                <w:b/>
                <w:kern w:val="0"/>
                <w:sz w:val="21"/>
                <w:szCs w:val="21"/>
              </w:rPr>
              <w:t>良（80≦X＜90）</w:t>
            </w:r>
          </w:p>
        </w:tc>
        <w:tc>
          <w:tcPr>
            <w:tcW w:w="1423" w:type="dxa"/>
            <w:vAlign w:val="center"/>
          </w:tcPr>
          <w:p w14:paraId="365C4899">
            <w:pPr>
              <w:tabs>
                <w:tab w:val="left" w:pos="720"/>
              </w:tabs>
              <w:jc w:val="center"/>
              <w:rPr>
                <w:rFonts w:hint="eastAsia" w:ascii="宋体" w:hAnsi="宋体" w:eastAsia="宋体" w:cs="宋体"/>
                <w:b/>
                <w:kern w:val="0"/>
                <w:sz w:val="21"/>
                <w:szCs w:val="21"/>
              </w:rPr>
            </w:pPr>
            <w:r>
              <w:rPr>
                <w:rFonts w:hint="eastAsia" w:ascii="宋体" w:hAnsi="宋体" w:eastAsia="宋体" w:cs="宋体"/>
                <w:b/>
                <w:kern w:val="0"/>
                <w:sz w:val="21"/>
                <w:szCs w:val="21"/>
              </w:rPr>
              <w:t>中（70≦X＜80）</w:t>
            </w:r>
          </w:p>
        </w:tc>
        <w:tc>
          <w:tcPr>
            <w:tcW w:w="1473" w:type="dxa"/>
            <w:vAlign w:val="center"/>
          </w:tcPr>
          <w:p w14:paraId="0664EB17">
            <w:pPr>
              <w:tabs>
                <w:tab w:val="left" w:pos="720"/>
              </w:tabs>
              <w:jc w:val="center"/>
              <w:rPr>
                <w:rFonts w:hint="eastAsia" w:ascii="宋体" w:hAnsi="宋体" w:eastAsia="宋体" w:cs="宋体"/>
                <w:b/>
                <w:kern w:val="0"/>
                <w:sz w:val="21"/>
                <w:szCs w:val="21"/>
              </w:rPr>
            </w:pPr>
            <w:r>
              <w:rPr>
                <w:rFonts w:hint="eastAsia" w:ascii="宋体" w:hAnsi="宋体" w:eastAsia="宋体" w:cs="宋体"/>
                <w:b/>
                <w:kern w:val="0"/>
                <w:sz w:val="21"/>
                <w:szCs w:val="21"/>
              </w:rPr>
              <w:t>及格（60≦X＜70）</w:t>
            </w:r>
          </w:p>
        </w:tc>
        <w:tc>
          <w:tcPr>
            <w:tcW w:w="1473" w:type="dxa"/>
            <w:vAlign w:val="center"/>
          </w:tcPr>
          <w:p w14:paraId="30079C3C">
            <w:pPr>
              <w:tabs>
                <w:tab w:val="left" w:pos="720"/>
              </w:tabs>
              <w:jc w:val="center"/>
              <w:rPr>
                <w:rFonts w:hint="eastAsia" w:ascii="宋体" w:hAnsi="宋体" w:eastAsia="宋体" w:cs="宋体"/>
                <w:b/>
                <w:kern w:val="0"/>
                <w:sz w:val="21"/>
                <w:szCs w:val="21"/>
              </w:rPr>
            </w:pPr>
            <w:r>
              <w:rPr>
                <w:rFonts w:hint="eastAsia" w:ascii="宋体" w:hAnsi="宋体" w:eastAsia="宋体" w:cs="宋体"/>
                <w:b/>
                <w:kern w:val="0"/>
                <w:sz w:val="21"/>
                <w:szCs w:val="21"/>
              </w:rPr>
              <w:t>不及格（＜60）</w:t>
            </w:r>
          </w:p>
        </w:tc>
      </w:tr>
      <w:tr w14:paraId="6CA47595">
        <w:trPr>
          <w:trHeight w:val="3154" w:hRule="atLeast"/>
          <w:jc w:val="center"/>
        </w:trPr>
        <w:tc>
          <w:tcPr>
            <w:tcW w:w="281" w:type="dxa"/>
            <w:vMerge w:val="continue"/>
            <w:vAlign w:val="center"/>
          </w:tcPr>
          <w:p w14:paraId="1D5E0288">
            <w:pPr>
              <w:jc w:val="center"/>
              <w:rPr>
                <w:rFonts w:hint="eastAsia" w:ascii="宋体" w:hAnsi="宋体" w:eastAsia="宋体" w:cs="宋体"/>
                <w:sz w:val="21"/>
                <w:szCs w:val="21"/>
              </w:rPr>
            </w:pPr>
          </w:p>
        </w:tc>
        <w:tc>
          <w:tcPr>
            <w:tcW w:w="1422" w:type="dxa"/>
            <w:vAlign w:val="top"/>
          </w:tcPr>
          <w:p w14:paraId="6B1DA48F">
            <w:pPr>
              <w:widowControl/>
              <w:jc w:val="left"/>
              <w:rPr>
                <w:rFonts w:hint="eastAsia" w:ascii="宋体" w:hAnsi="宋体" w:eastAsia="宋体" w:cs="宋体"/>
                <w:b/>
                <w:color w:val="000000"/>
                <w:sz w:val="21"/>
                <w:szCs w:val="21"/>
              </w:rPr>
            </w:pPr>
            <w:r>
              <w:rPr>
                <w:rFonts w:hint="eastAsia" w:ascii="宋体" w:hAnsi="宋体" w:eastAsia="宋体" w:cs="宋体"/>
                <w:b/>
                <w:color w:val="000000"/>
                <w:sz w:val="21"/>
                <w:szCs w:val="21"/>
              </w:rPr>
              <w:t xml:space="preserve">课程目标1: </w:t>
            </w:r>
          </w:p>
          <w:p w14:paraId="3E176A16">
            <w:pPr>
              <w:widowControl/>
              <w:jc w:val="left"/>
              <w:rPr>
                <w:rFonts w:hint="eastAsia" w:ascii="宋体" w:hAnsi="宋体" w:eastAsia="宋体" w:cs="宋体"/>
                <w:color w:val="000000"/>
                <w:sz w:val="21"/>
                <w:szCs w:val="21"/>
              </w:rPr>
            </w:pPr>
            <w:r>
              <w:rPr>
                <w:rFonts w:hint="eastAsia" w:ascii="宋体" w:hAnsi="宋体" w:eastAsia="宋体" w:cs="宋体"/>
                <w:color w:val="000000"/>
                <w:sz w:val="21"/>
                <w:szCs w:val="21"/>
              </w:rPr>
              <w:t>熟练掌握</w:t>
            </w:r>
            <w:r>
              <w:rPr>
                <w:rFonts w:hint="eastAsia" w:ascii="宋体" w:hAnsi="宋体" w:eastAsia="宋体" w:cs="宋体"/>
                <w:color w:val="000000"/>
                <w:sz w:val="21"/>
                <w:szCs w:val="21"/>
                <w:lang w:eastAsia="zh-CN"/>
              </w:rPr>
              <w:t>戏剧</w:t>
            </w:r>
            <w:r>
              <w:rPr>
                <w:rFonts w:hint="eastAsia" w:ascii="宋体" w:hAnsi="宋体" w:eastAsia="宋体" w:cs="宋体"/>
                <w:color w:val="000000"/>
                <w:sz w:val="21"/>
                <w:szCs w:val="21"/>
              </w:rPr>
              <w:t>表演及相关专业的基本理论、基本知识和基本实践技能，具备一定整合音乐学专业理论知识和实践知识的能力，同时具备一定的音乐学专业实践的探究能力和创新能力。</w:t>
            </w:r>
          </w:p>
        </w:tc>
        <w:tc>
          <w:tcPr>
            <w:tcW w:w="1498" w:type="dxa"/>
            <w:vAlign w:val="top"/>
          </w:tcPr>
          <w:p w14:paraId="7A6722F5">
            <w:pPr>
              <w:rPr>
                <w:rFonts w:hint="eastAsia" w:ascii="宋体" w:hAnsi="宋体" w:eastAsia="宋体" w:cs="宋体"/>
                <w:color w:val="000000"/>
                <w:sz w:val="21"/>
                <w:szCs w:val="21"/>
              </w:rPr>
            </w:pPr>
          </w:p>
          <w:p w14:paraId="3D06862B">
            <w:pPr>
              <w:rPr>
                <w:rFonts w:hint="eastAsia" w:ascii="宋体" w:hAnsi="宋体" w:eastAsia="宋体" w:cs="宋体"/>
                <w:sz w:val="21"/>
                <w:szCs w:val="21"/>
              </w:rPr>
            </w:pPr>
            <w:r>
              <w:rPr>
                <w:rFonts w:hint="eastAsia" w:ascii="宋体" w:hAnsi="宋体" w:eastAsia="宋体" w:cs="宋体"/>
                <w:color w:val="000000"/>
                <w:sz w:val="21"/>
                <w:szCs w:val="21"/>
                <w:lang w:eastAsia="zh-CN"/>
              </w:rPr>
              <w:t>扎实</w:t>
            </w:r>
            <w:r>
              <w:rPr>
                <w:rFonts w:hint="eastAsia" w:ascii="宋体" w:hAnsi="宋体" w:eastAsia="宋体" w:cs="宋体"/>
                <w:color w:val="000000"/>
                <w:sz w:val="21"/>
                <w:szCs w:val="21"/>
              </w:rPr>
              <w:t>熟练掌握</w:t>
            </w:r>
            <w:r>
              <w:rPr>
                <w:rFonts w:hint="eastAsia" w:ascii="宋体" w:hAnsi="宋体" w:eastAsia="宋体" w:cs="宋体"/>
                <w:color w:val="000000"/>
                <w:sz w:val="21"/>
                <w:szCs w:val="21"/>
                <w:lang w:eastAsia="zh-CN"/>
              </w:rPr>
              <w:t>戏剧</w:t>
            </w:r>
            <w:r>
              <w:rPr>
                <w:rFonts w:hint="eastAsia" w:ascii="宋体" w:hAnsi="宋体" w:eastAsia="宋体" w:cs="宋体"/>
                <w:color w:val="000000"/>
                <w:sz w:val="21"/>
                <w:szCs w:val="21"/>
              </w:rPr>
              <w:t>表演及相关专业的基本理论、基本知识和基本实践技能，扎实具备一定整合音乐学专业理论知识和实践知识的能力，同时扎实具备一定的音乐学专业实践的探究能力和创新能力。</w:t>
            </w:r>
          </w:p>
        </w:tc>
        <w:tc>
          <w:tcPr>
            <w:tcW w:w="1535" w:type="dxa"/>
            <w:vAlign w:val="top"/>
          </w:tcPr>
          <w:p w14:paraId="78F0D764">
            <w:pPr>
              <w:rPr>
                <w:rFonts w:hint="eastAsia" w:ascii="宋体" w:hAnsi="宋体" w:eastAsia="宋体" w:cs="宋体"/>
                <w:color w:val="000000"/>
                <w:sz w:val="21"/>
                <w:szCs w:val="21"/>
              </w:rPr>
            </w:pPr>
          </w:p>
          <w:p w14:paraId="1EB87DDE">
            <w:pPr>
              <w:rPr>
                <w:rFonts w:hint="eastAsia" w:ascii="宋体" w:hAnsi="宋体" w:eastAsia="宋体" w:cs="宋体"/>
                <w:sz w:val="21"/>
                <w:szCs w:val="21"/>
              </w:rPr>
            </w:pPr>
            <w:r>
              <w:rPr>
                <w:rFonts w:hint="eastAsia" w:ascii="宋体" w:hAnsi="宋体" w:eastAsia="宋体" w:cs="宋体"/>
                <w:color w:val="000000"/>
                <w:sz w:val="21"/>
                <w:szCs w:val="21"/>
              </w:rPr>
              <w:t>较熟练掌握</w:t>
            </w:r>
            <w:r>
              <w:rPr>
                <w:rFonts w:hint="eastAsia" w:ascii="宋体" w:hAnsi="宋体" w:eastAsia="宋体" w:cs="宋体"/>
                <w:color w:val="000000"/>
                <w:sz w:val="21"/>
                <w:szCs w:val="21"/>
                <w:lang w:eastAsia="zh-CN"/>
              </w:rPr>
              <w:t>戏剧</w:t>
            </w:r>
            <w:r>
              <w:rPr>
                <w:rFonts w:hint="eastAsia" w:ascii="宋体" w:hAnsi="宋体" w:eastAsia="宋体" w:cs="宋体"/>
                <w:color w:val="000000"/>
                <w:sz w:val="21"/>
                <w:szCs w:val="21"/>
              </w:rPr>
              <w:t>表演及相关专业的基本理论、基本知识和基本实践技能，比较扎实具备一定整合音乐学专业理论知识和实践知识的能力，同时比较扎实具备一定的音乐学专业实践的探究能力和创新能力。</w:t>
            </w:r>
          </w:p>
        </w:tc>
        <w:tc>
          <w:tcPr>
            <w:tcW w:w="1423" w:type="dxa"/>
            <w:vAlign w:val="top"/>
          </w:tcPr>
          <w:p w14:paraId="432E2DFF">
            <w:pPr>
              <w:rPr>
                <w:rFonts w:hint="eastAsia" w:ascii="宋体" w:hAnsi="宋体" w:eastAsia="宋体" w:cs="宋体"/>
                <w:color w:val="000000"/>
                <w:sz w:val="21"/>
                <w:szCs w:val="21"/>
              </w:rPr>
            </w:pPr>
          </w:p>
          <w:p w14:paraId="528EB8E4">
            <w:pPr>
              <w:rPr>
                <w:rFonts w:hint="eastAsia" w:ascii="宋体" w:hAnsi="宋体" w:eastAsia="宋体" w:cs="宋体"/>
                <w:sz w:val="21"/>
                <w:szCs w:val="21"/>
              </w:rPr>
            </w:pPr>
            <w:r>
              <w:rPr>
                <w:rFonts w:hint="eastAsia" w:ascii="宋体" w:hAnsi="宋体" w:eastAsia="宋体" w:cs="宋体"/>
                <w:color w:val="000000"/>
                <w:sz w:val="21"/>
                <w:szCs w:val="21"/>
                <w:lang w:eastAsia="zh-CN"/>
              </w:rPr>
              <w:t>基本</w:t>
            </w:r>
            <w:r>
              <w:rPr>
                <w:rFonts w:hint="eastAsia" w:ascii="宋体" w:hAnsi="宋体" w:eastAsia="宋体" w:cs="宋体"/>
                <w:color w:val="000000"/>
                <w:sz w:val="21"/>
                <w:szCs w:val="21"/>
              </w:rPr>
              <w:t>掌握</w:t>
            </w:r>
            <w:r>
              <w:rPr>
                <w:rFonts w:hint="eastAsia" w:ascii="宋体" w:hAnsi="宋体" w:eastAsia="宋体" w:cs="宋体"/>
                <w:color w:val="000000"/>
                <w:sz w:val="21"/>
                <w:szCs w:val="21"/>
                <w:lang w:eastAsia="zh-CN"/>
              </w:rPr>
              <w:t>戏剧</w:t>
            </w:r>
            <w:r>
              <w:rPr>
                <w:rFonts w:hint="eastAsia" w:ascii="宋体" w:hAnsi="宋体" w:eastAsia="宋体" w:cs="宋体"/>
                <w:color w:val="000000"/>
                <w:sz w:val="21"/>
                <w:szCs w:val="21"/>
              </w:rPr>
              <w:t>表演及相关专业的基本理论、基本知识和基本实践技能，具备一定整合音乐学专业理论知识和实践知识的能力，同时具备一定的音乐学专业实践的探究能力和创新能力。</w:t>
            </w:r>
          </w:p>
        </w:tc>
        <w:tc>
          <w:tcPr>
            <w:tcW w:w="1473" w:type="dxa"/>
            <w:vAlign w:val="top"/>
          </w:tcPr>
          <w:p w14:paraId="4044B3BD">
            <w:pPr>
              <w:rPr>
                <w:rFonts w:hint="eastAsia" w:ascii="宋体" w:hAnsi="宋体" w:eastAsia="宋体" w:cs="宋体"/>
                <w:color w:val="000000"/>
                <w:sz w:val="21"/>
                <w:szCs w:val="21"/>
              </w:rPr>
            </w:pPr>
          </w:p>
          <w:p w14:paraId="2496BA18">
            <w:pPr>
              <w:rPr>
                <w:rFonts w:hint="eastAsia" w:ascii="宋体" w:hAnsi="宋体" w:eastAsia="宋体" w:cs="宋体"/>
                <w:sz w:val="21"/>
                <w:szCs w:val="21"/>
              </w:rPr>
            </w:pPr>
            <w:r>
              <w:rPr>
                <w:rFonts w:hint="eastAsia" w:ascii="宋体" w:hAnsi="宋体" w:eastAsia="宋体" w:cs="宋体"/>
                <w:color w:val="000000"/>
                <w:sz w:val="21"/>
                <w:szCs w:val="21"/>
                <w:lang w:eastAsia="zh-CN"/>
              </w:rPr>
              <w:t>尚能</w:t>
            </w:r>
            <w:r>
              <w:rPr>
                <w:rFonts w:hint="eastAsia" w:ascii="宋体" w:hAnsi="宋体" w:eastAsia="宋体" w:cs="宋体"/>
                <w:color w:val="000000"/>
                <w:sz w:val="21"/>
                <w:szCs w:val="21"/>
              </w:rPr>
              <w:t>掌握</w:t>
            </w:r>
            <w:r>
              <w:rPr>
                <w:rFonts w:hint="eastAsia" w:ascii="宋体" w:hAnsi="宋体" w:eastAsia="宋体" w:cs="宋体"/>
                <w:color w:val="000000"/>
                <w:sz w:val="21"/>
                <w:szCs w:val="21"/>
                <w:lang w:eastAsia="zh-CN"/>
              </w:rPr>
              <w:t>戏剧</w:t>
            </w:r>
            <w:r>
              <w:rPr>
                <w:rFonts w:hint="eastAsia" w:ascii="宋体" w:hAnsi="宋体" w:eastAsia="宋体" w:cs="宋体"/>
                <w:color w:val="000000"/>
                <w:sz w:val="21"/>
                <w:szCs w:val="21"/>
              </w:rPr>
              <w:t>表演及相关专业的基本理论、基本知识和基本实践技能，基本具备一定整合音乐学专业理论知识和实践知识的能力，同时基本具备一定的音乐学专业实践的探究能力和创新能力。</w:t>
            </w:r>
          </w:p>
        </w:tc>
        <w:tc>
          <w:tcPr>
            <w:tcW w:w="1473" w:type="dxa"/>
            <w:vAlign w:val="top"/>
          </w:tcPr>
          <w:p w14:paraId="6C6C57AC">
            <w:pPr>
              <w:ind w:firstLine="210" w:firstLineChars="100"/>
              <w:rPr>
                <w:rFonts w:hint="eastAsia" w:ascii="宋体" w:hAnsi="宋体" w:eastAsia="宋体" w:cs="宋体"/>
                <w:color w:val="000000"/>
                <w:sz w:val="21"/>
                <w:szCs w:val="21"/>
              </w:rPr>
            </w:pPr>
          </w:p>
          <w:p w14:paraId="64CD4A75">
            <w:pPr>
              <w:rPr>
                <w:rFonts w:hint="eastAsia" w:ascii="宋体" w:hAnsi="宋体" w:eastAsia="宋体" w:cs="宋体"/>
                <w:sz w:val="21"/>
                <w:szCs w:val="21"/>
              </w:rPr>
            </w:pPr>
            <w:r>
              <w:rPr>
                <w:rFonts w:hint="eastAsia" w:ascii="宋体" w:hAnsi="宋体" w:eastAsia="宋体" w:cs="宋体"/>
                <w:color w:val="000000"/>
                <w:sz w:val="21"/>
                <w:szCs w:val="21"/>
              </w:rPr>
              <w:t>不</w:t>
            </w:r>
            <w:r>
              <w:rPr>
                <w:rFonts w:hint="eastAsia" w:ascii="宋体" w:hAnsi="宋体" w:eastAsia="宋体" w:cs="宋体"/>
                <w:color w:val="000000"/>
                <w:sz w:val="21"/>
                <w:szCs w:val="21"/>
                <w:lang w:eastAsia="zh-CN"/>
              </w:rPr>
              <w:t>能</w:t>
            </w:r>
            <w:r>
              <w:rPr>
                <w:rFonts w:hint="eastAsia" w:ascii="宋体" w:hAnsi="宋体" w:eastAsia="宋体" w:cs="宋体"/>
                <w:color w:val="000000"/>
                <w:sz w:val="21"/>
                <w:szCs w:val="21"/>
              </w:rPr>
              <w:t>掌握</w:t>
            </w:r>
            <w:r>
              <w:rPr>
                <w:rFonts w:hint="eastAsia" w:ascii="宋体" w:hAnsi="宋体" w:eastAsia="宋体" w:cs="宋体"/>
                <w:color w:val="000000"/>
                <w:sz w:val="21"/>
                <w:szCs w:val="21"/>
                <w:lang w:eastAsia="zh-CN"/>
              </w:rPr>
              <w:t>戏剧</w:t>
            </w:r>
            <w:r>
              <w:rPr>
                <w:rFonts w:hint="eastAsia" w:ascii="宋体" w:hAnsi="宋体" w:eastAsia="宋体" w:cs="宋体"/>
                <w:color w:val="000000"/>
                <w:sz w:val="21"/>
                <w:szCs w:val="21"/>
              </w:rPr>
              <w:t>表演及相关专业的基本理论、基本知识和基本实践技能，不能具备一定整合音乐学专业理论知识和实践知识的能力，同时不能具备一定的音乐学专业实践的探究能力和创新能力。</w:t>
            </w:r>
          </w:p>
        </w:tc>
      </w:tr>
      <w:tr w14:paraId="2306DFF9">
        <w:trPr>
          <w:trHeight w:val="416" w:hRule="atLeast"/>
          <w:jc w:val="center"/>
        </w:trPr>
        <w:tc>
          <w:tcPr>
            <w:tcW w:w="281" w:type="dxa"/>
            <w:vMerge w:val="continue"/>
            <w:vAlign w:val="center"/>
          </w:tcPr>
          <w:p w14:paraId="4FB1CC52">
            <w:pPr>
              <w:jc w:val="center"/>
              <w:rPr>
                <w:rFonts w:hint="eastAsia" w:ascii="宋体" w:hAnsi="宋体" w:eastAsia="宋体" w:cs="宋体"/>
                <w:sz w:val="21"/>
                <w:szCs w:val="21"/>
              </w:rPr>
            </w:pPr>
          </w:p>
        </w:tc>
        <w:tc>
          <w:tcPr>
            <w:tcW w:w="1422" w:type="dxa"/>
            <w:vAlign w:val="top"/>
          </w:tcPr>
          <w:p w14:paraId="17F85E2E">
            <w:pPr>
              <w:widowControl/>
              <w:jc w:val="left"/>
              <w:rPr>
                <w:rFonts w:hint="eastAsia" w:ascii="宋体" w:hAnsi="宋体" w:eastAsia="宋体" w:cs="宋体"/>
                <w:b/>
                <w:color w:val="000000"/>
                <w:sz w:val="21"/>
                <w:szCs w:val="21"/>
              </w:rPr>
            </w:pPr>
            <w:r>
              <w:rPr>
                <w:rFonts w:hint="eastAsia" w:ascii="宋体" w:hAnsi="宋体" w:eastAsia="宋体" w:cs="宋体"/>
                <w:b/>
                <w:color w:val="000000"/>
                <w:sz w:val="21"/>
                <w:szCs w:val="21"/>
              </w:rPr>
              <w:t>课程目标2：</w:t>
            </w:r>
          </w:p>
          <w:p w14:paraId="0AEF51E3">
            <w:pPr>
              <w:widowControl/>
              <w:jc w:val="left"/>
              <w:rPr>
                <w:rFonts w:hint="eastAsia" w:ascii="宋体" w:hAnsi="宋体" w:eastAsia="宋体" w:cs="宋体"/>
                <w:b/>
                <w:color w:val="000000"/>
                <w:sz w:val="21"/>
                <w:szCs w:val="21"/>
              </w:rPr>
            </w:pPr>
            <w:r>
              <w:rPr>
                <w:rFonts w:hint="eastAsia" w:ascii="宋体" w:hAnsi="宋体" w:eastAsia="宋体" w:cs="宋体"/>
                <w:color w:val="000000"/>
                <w:sz w:val="21"/>
                <w:szCs w:val="21"/>
              </w:rPr>
              <w:t>能够知晓</w:t>
            </w:r>
            <w:r>
              <w:rPr>
                <w:rFonts w:hint="eastAsia" w:ascii="宋体" w:hAnsi="宋体" w:eastAsia="宋体" w:cs="宋体"/>
                <w:color w:val="000000"/>
                <w:sz w:val="21"/>
                <w:szCs w:val="21"/>
                <w:lang w:eastAsia="zh-CN"/>
              </w:rPr>
              <w:t>戏剧</w:t>
            </w:r>
            <w:r>
              <w:rPr>
                <w:rFonts w:hint="eastAsia" w:ascii="宋体" w:hAnsi="宋体" w:eastAsia="宋体" w:cs="宋体"/>
                <w:color w:val="000000"/>
                <w:sz w:val="21"/>
                <w:szCs w:val="21"/>
              </w:rPr>
              <w:t>表演发展的趋势、动态以及与教学实践和社会生活的联系。能够利用课程所学知识分析和解决基础音乐教学与艺术实践问题。</w:t>
            </w:r>
          </w:p>
        </w:tc>
        <w:tc>
          <w:tcPr>
            <w:tcW w:w="1498" w:type="dxa"/>
            <w:vAlign w:val="top"/>
          </w:tcPr>
          <w:p w14:paraId="75B93C56">
            <w:pPr>
              <w:rPr>
                <w:rFonts w:hint="eastAsia" w:ascii="宋体" w:hAnsi="宋体" w:eastAsia="宋体" w:cs="宋体"/>
                <w:color w:val="000000"/>
                <w:sz w:val="21"/>
                <w:szCs w:val="21"/>
              </w:rPr>
            </w:pPr>
          </w:p>
          <w:p w14:paraId="0006A1FC">
            <w:pPr>
              <w:rPr>
                <w:rFonts w:hint="eastAsia" w:ascii="宋体" w:hAnsi="宋体" w:eastAsia="宋体" w:cs="宋体"/>
                <w:sz w:val="21"/>
                <w:szCs w:val="21"/>
              </w:rPr>
            </w:pPr>
            <w:r>
              <w:rPr>
                <w:rFonts w:hint="eastAsia" w:ascii="宋体" w:hAnsi="宋体" w:eastAsia="宋体" w:cs="宋体"/>
                <w:color w:val="000000"/>
                <w:sz w:val="21"/>
                <w:szCs w:val="21"/>
              </w:rPr>
              <w:t>能够</w:t>
            </w:r>
            <w:r>
              <w:rPr>
                <w:rFonts w:hint="eastAsia" w:ascii="宋体" w:hAnsi="宋体" w:eastAsia="宋体" w:cs="宋体"/>
                <w:color w:val="000000"/>
                <w:sz w:val="21"/>
                <w:szCs w:val="21"/>
                <w:lang w:eastAsia="zh-CN"/>
              </w:rPr>
              <w:t>扎实</w:t>
            </w:r>
            <w:r>
              <w:rPr>
                <w:rFonts w:hint="eastAsia" w:ascii="宋体" w:hAnsi="宋体" w:eastAsia="宋体" w:cs="宋体"/>
                <w:color w:val="000000"/>
                <w:sz w:val="21"/>
                <w:szCs w:val="21"/>
              </w:rPr>
              <w:t>熟知</w:t>
            </w:r>
            <w:r>
              <w:rPr>
                <w:rFonts w:hint="eastAsia" w:ascii="宋体" w:hAnsi="宋体" w:eastAsia="宋体" w:cs="宋体"/>
                <w:color w:val="000000"/>
                <w:sz w:val="21"/>
                <w:szCs w:val="21"/>
                <w:lang w:eastAsia="zh-CN"/>
              </w:rPr>
              <w:t>戏剧</w:t>
            </w:r>
            <w:r>
              <w:rPr>
                <w:rFonts w:hint="eastAsia" w:ascii="宋体" w:hAnsi="宋体" w:eastAsia="宋体" w:cs="宋体"/>
                <w:color w:val="000000"/>
                <w:sz w:val="21"/>
                <w:szCs w:val="21"/>
              </w:rPr>
              <w:t>表演发展的趋势、动态以及与教学实践和社会生活的联系。能够熟练利用课程所学知识分析和解决基础音乐教学与艺术实践问题。</w:t>
            </w:r>
          </w:p>
        </w:tc>
        <w:tc>
          <w:tcPr>
            <w:tcW w:w="1535" w:type="dxa"/>
            <w:vAlign w:val="top"/>
          </w:tcPr>
          <w:p w14:paraId="54CEF47B">
            <w:pPr>
              <w:rPr>
                <w:rFonts w:hint="eastAsia" w:ascii="宋体" w:hAnsi="宋体" w:eastAsia="宋体" w:cs="宋体"/>
                <w:color w:val="000000"/>
                <w:sz w:val="21"/>
                <w:szCs w:val="21"/>
              </w:rPr>
            </w:pPr>
          </w:p>
          <w:p w14:paraId="3CCACA32">
            <w:pPr>
              <w:rPr>
                <w:rFonts w:hint="eastAsia" w:ascii="宋体" w:hAnsi="宋体" w:eastAsia="宋体" w:cs="宋体"/>
                <w:sz w:val="21"/>
                <w:szCs w:val="21"/>
              </w:rPr>
            </w:pPr>
            <w:r>
              <w:rPr>
                <w:rFonts w:hint="eastAsia" w:ascii="宋体" w:hAnsi="宋体" w:eastAsia="宋体" w:cs="宋体"/>
                <w:color w:val="000000"/>
                <w:sz w:val="21"/>
                <w:szCs w:val="21"/>
              </w:rPr>
              <w:t>能够较熟知</w:t>
            </w:r>
            <w:r>
              <w:rPr>
                <w:rFonts w:hint="eastAsia" w:ascii="宋体" w:hAnsi="宋体" w:eastAsia="宋体" w:cs="宋体"/>
                <w:color w:val="000000"/>
                <w:sz w:val="21"/>
                <w:szCs w:val="21"/>
                <w:lang w:eastAsia="zh-CN"/>
              </w:rPr>
              <w:t>戏剧</w:t>
            </w:r>
            <w:r>
              <w:rPr>
                <w:rFonts w:hint="eastAsia" w:ascii="宋体" w:hAnsi="宋体" w:eastAsia="宋体" w:cs="宋体"/>
                <w:color w:val="000000"/>
                <w:sz w:val="21"/>
                <w:szCs w:val="21"/>
              </w:rPr>
              <w:t>表演发展的趋势、动态以及与教学实践和社会生活的联系。能够比较熟练利用课程所学知识分析和解决基础音乐教学与艺术实践问题。</w:t>
            </w:r>
          </w:p>
        </w:tc>
        <w:tc>
          <w:tcPr>
            <w:tcW w:w="1423" w:type="dxa"/>
            <w:vAlign w:val="top"/>
          </w:tcPr>
          <w:p w14:paraId="390C027C">
            <w:pPr>
              <w:rPr>
                <w:rFonts w:hint="eastAsia" w:ascii="宋体" w:hAnsi="宋体" w:eastAsia="宋体" w:cs="宋体"/>
                <w:color w:val="000000"/>
                <w:sz w:val="21"/>
                <w:szCs w:val="21"/>
              </w:rPr>
            </w:pPr>
          </w:p>
          <w:p w14:paraId="3282D5D3">
            <w:pPr>
              <w:rPr>
                <w:rFonts w:hint="eastAsia" w:ascii="宋体" w:hAnsi="宋体" w:eastAsia="宋体" w:cs="宋体"/>
                <w:sz w:val="21"/>
                <w:szCs w:val="21"/>
              </w:rPr>
            </w:pPr>
            <w:r>
              <w:rPr>
                <w:rFonts w:hint="eastAsia" w:ascii="宋体" w:hAnsi="宋体" w:eastAsia="宋体" w:cs="宋体"/>
                <w:color w:val="000000"/>
                <w:sz w:val="21"/>
                <w:szCs w:val="21"/>
                <w:lang w:eastAsia="zh-CN"/>
              </w:rPr>
              <w:t>基本</w:t>
            </w:r>
            <w:r>
              <w:rPr>
                <w:rFonts w:hint="eastAsia" w:ascii="宋体" w:hAnsi="宋体" w:eastAsia="宋体" w:cs="宋体"/>
                <w:color w:val="000000"/>
                <w:sz w:val="21"/>
                <w:szCs w:val="21"/>
              </w:rPr>
              <w:t>知晓</w:t>
            </w:r>
            <w:r>
              <w:rPr>
                <w:rFonts w:hint="eastAsia" w:ascii="宋体" w:hAnsi="宋体" w:eastAsia="宋体" w:cs="宋体"/>
                <w:color w:val="000000"/>
                <w:sz w:val="21"/>
                <w:szCs w:val="21"/>
                <w:lang w:eastAsia="zh-CN"/>
              </w:rPr>
              <w:t>戏剧</w:t>
            </w:r>
            <w:r>
              <w:rPr>
                <w:rFonts w:hint="eastAsia" w:ascii="宋体" w:hAnsi="宋体" w:eastAsia="宋体" w:cs="宋体"/>
                <w:color w:val="000000"/>
                <w:sz w:val="21"/>
                <w:szCs w:val="21"/>
              </w:rPr>
              <w:t>表演发展的趋势、动态以及与教学实践和社会生活的联系。能够利用课程所学知识分析和解决基础音乐教学与艺术实践问题。</w:t>
            </w:r>
          </w:p>
        </w:tc>
        <w:tc>
          <w:tcPr>
            <w:tcW w:w="1473" w:type="dxa"/>
            <w:vAlign w:val="top"/>
          </w:tcPr>
          <w:p w14:paraId="7170A1B2">
            <w:pPr>
              <w:rPr>
                <w:rFonts w:hint="eastAsia" w:ascii="宋体" w:hAnsi="宋体" w:eastAsia="宋体" w:cs="宋体"/>
                <w:color w:val="000000"/>
                <w:sz w:val="21"/>
                <w:szCs w:val="21"/>
              </w:rPr>
            </w:pPr>
          </w:p>
          <w:p w14:paraId="4BFC79CB">
            <w:pPr>
              <w:rPr>
                <w:rFonts w:hint="eastAsia" w:ascii="宋体" w:hAnsi="宋体" w:eastAsia="宋体" w:cs="宋体"/>
                <w:sz w:val="21"/>
                <w:szCs w:val="21"/>
              </w:rPr>
            </w:pPr>
            <w:r>
              <w:rPr>
                <w:rFonts w:hint="eastAsia" w:ascii="宋体" w:hAnsi="宋体" w:eastAsia="宋体" w:cs="宋体"/>
                <w:color w:val="000000"/>
                <w:sz w:val="21"/>
                <w:szCs w:val="21"/>
              </w:rPr>
              <w:t>能够基本知晓</w:t>
            </w:r>
            <w:r>
              <w:rPr>
                <w:rFonts w:hint="eastAsia" w:ascii="宋体" w:hAnsi="宋体" w:eastAsia="宋体" w:cs="宋体"/>
                <w:color w:val="000000"/>
                <w:sz w:val="21"/>
                <w:szCs w:val="21"/>
                <w:lang w:eastAsia="zh-CN"/>
              </w:rPr>
              <w:t>戏剧</w:t>
            </w:r>
            <w:r>
              <w:rPr>
                <w:rFonts w:hint="eastAsia" w:ascii="宋体" w:hAnsi="宋体" w:eastAsia="宋体" w:cs="宋体"/>
                <w:color w:val="000000"/>
                <w:sz w:val="21"/>
                <w:szCs w:val="21"/>
              </w:rPr>
              <w:t>表演发展的趋势、动态以及与教学实践和社会生活的联系。基本能够利用课程所学知识分析和解决基础音乐教学与艺术实践问题。</w:t>
            </w:r>
          </w:p>
        </w:tc>
        <w:tc>
          <w:tcPr>
            <w:tcW w:w="1473" w:type="dxa"/>
            <w:vAlign w:val="top"/>
          </w:tcPr>
          <w:p w14:paraId="0F81B04A">
            <w:pPr>
              <w:rPr>
                <w:rFonts w:hint="eastAsia" w:ascii="宋体" w:hAnsi="宋体" w:eastAsia="宋体" w:cs="宋体"/>
                <w:color w:val="000000"/>
                <w:sz w:val="21"/>
                <w:szCs w:val="21"/>
              </w:rPr>
            </w:pPr>
          </w:p>
          <w:p w14:paraId="59F779E8">
            <w:pPr>
              <w:rPr>
                <w:rFonts w:hint="eastAsia" w:ascii="宋体" w:hAnsi="宋体" w:eastAsia="宋体" w:cs="宋体"/>
                <w:sz w:val="21"/>
                <w:szCs w:val="21"/>
              </w:rPr>
            </w:pPr>
            <w:r>
              <w:rPr>
                <w:rFonts w:hint="eastAsia" w:ascii="宋体" w:hAnsi="宋体" w:eastAsia="宋体" w:cs="宋体"/>
                <w:color w:val="000000"/>
                <w:sz w:val="21"/>
                <w:szCs w:val="21"/>
              </w:rPr>
              <w:t>不能知晓</w:t>
            </w:r>
            <w:r>
              <w:rPr>
                <w:rFonts w:hint="eastAsia" w:ascii="宋体" w:hAnsi="宋体" w:eastAsia="宋体" w:cs="宋体"/>
                <w:color w:val="000000"/>
                <w:sz w:val="21"/>
                <w:szCs w:val="21"/>
                <w:lang w:eastAsia="zh-CN"/>
              </w:rPr>
              <w:t>戏剧</w:t>
            </w:r>
            <w:r>
              <w:rPr>
                <w:rFonts w:hint="eastAsia" w:ascii="宋体" w:hAnsi="宋体" w:eastAsia="宋体" w:cs="宋体"/>
                <w:color w:val="000000"/>
                <w:sz w:val="21"/>
                <w:szCs w:val="21"/>
              </w:rPr>
              <w:t>表演发展的趋势、动态以及与教学实践和社会生活的联系。不能利用课程所学知识分析和解决基础音乐教学与艺术实践问题。</w:t>
            </w:r>
          </w:p>
        </w:tc>
      </w:tr>
      <w:tr w14:paraId="5DE2AC00">
        <w:trPr>
          <w:trHeight w:val="3272" w:hRule="atLeast"/>
          <w:jc w:val="center"/>
        </w:trPr>
        <w:tc>
          <w:tcPr>
            <w:tcW w:w="281" w:type="dxa"/>
            <w:vMerge w:val="continue"/>
            <w:vAlign w:val="center"/>
          </w:tcPr>
          <w:p w14:paraId="22AFB5A3">
            <w:pPr>
              <w:jc w:val="center"/>
              <w:rPr>
                <w:rFonts w:hint="eastAsia" w:ascii="宋体" w:hAnsi="宋体" w:eastAsia="宋体" w:cs="宋体"/>
                <w:color w:val="000000"/>
                <w:sz w:val="21"/>
                <w:szCs w:val="21"/>
              </w:rPr>
            </w:pPr>
          </w:p>
        </w:tc>
        <w:tc>
          <w:tcPr>
            <w:tcW w:w="1422" w:type="dxa"/>
            <w:vAlign w:val="top"/>
          </w:tcPr>
          <w:p w14:paraId="2D6E48BF">
            <w:pPr>
              <w:widowControl/>
              <w:rPr>
                <w:rFonts w:hint="eastAsia" w:ascii="宋体" w:hAnsi="宋体" w:eastAsia="宋体" w:cs="宋体"/>
                <w:b/>
                <w:color w:val="000000"/>
                <w:sz w:val="21"/>
                <w:szCs w:val="21"/>
              </w:rPr>
            </w:pPr>
            <w:r>
              <w:rPr>
                <w:rFonts w:hint="eastAsia" w:ascii="宋体" w:hAnsi="宋体" w:eastAsia="宋体" w:cs="宋体"/>
                <w:b/>
                <w:color w:val="000000"/>
                <w:sz w:val="21"/>
                <w:szCs w:val="21"/>
              </w:rPr>
              <w:t>课程目标3：</w:t>
            </w:r>
          </w:p>
          <w:p w14:paraId="6E26D2FC">
            <w:pPr>
              <w:widowControl/>
              <w:rPr>
                <w:rFonts w:hint="eastAsia" w:ascii="宋体" w:hAnsi="宋体" w:eastAsia="宋体" w:cs="宋体"/>
                <w:color w:val="000000"/>
                <w:sz w:val="21"/>
                <w:szCs w:val="21"/>
              </w:rPr>
            </w:pPr>
            <w:r>
              <w:rPr>
                <w:rFonts w:hint="eastAsia" w:ascii="宋体" w:hAnsi="宋体" w:eastAsia="宋体" w:cs="宋体"/>
                <w:color w:val="000000"/>
                <w:sz w:val="21"/>
                <w:szCs w:val="21"/>
              </w:rPr>
              <w:t>能够</w:t>
            </w:r>
            <w:r>
              <w:rPr>
                <w:rFonts w:hint="eastAsia" w:ascii="宋体" w:hAnsi="宋体" w:eastAsia="宋体" w:cs="宋体"/>
                <w:color w:val="000000"/>
                <w:sz w:val="21"/>
                <w:szCs w:val="21"/>
                <w:lang w:eastAsia="zh-CN"/>
              </w:rPr>
              <w:t>娴熟</w:t>
            </w:r>
            <w:r>
              <w:rPr>
                <w:rFonts w:hint="eastAsia" w:ascii="宋体" w:hAnsi="宋体" w:eastAsia="宋体" w:cs="宋体"/>
                <w:color w:val="000000"/>
                <w:sz w:val="21"/>
                <w:szCs w:val="21"/>
              </w:rPr>
              <w:t>在具体的艺术实践过程中形成团队理念，通过团队进行有效协作，自身价值与能力能够在团队中提升；能够熟练地根据所</w:t>
            </w:r>
            <w:r>
              <w:rPr>
                <w:rFonts w:hint="eastAsia" w:ascii="宋体" w:hAnsi="宋体" w:eastAsia="宋体" w:cs="宋体"/>
                <w:color w:val="000000"/>
                <w:sz w:val="21"/>
                <w:szCs w:val="21"/>
                <w:lang w:eastAsia="zh-CN"/>
              </w:rPr>
              <w:t>学</w:t>
            </w:r>
            <w:r>
              <w:rPr>
                <w:rFonts w:hint="eastAsia" w:ascii="宋体" w:hAnsi="宋体" w:eastAsia="宋体" w:cs="宋体"/>
                <w:color w:val="000000"/>
                <w:sz w:val="21"/>
                <w:szCs w:val="21"/>
              </w:rPr>
              <w:t>实践知识要点进行</w:t>
            </w:r>
            <w:r>
              <w:rPr>
                <w:rFonts w:hint="eastAsia" w:ascii="宋体" w:hAnsi="宋体" w:eastAsia="宋体" w:cs="宋体"/>
                <w:color w:val="000000"/>
                <w:sz w:val="21"/>
                <w:szCs w:val="21"/>
                <w:lang w:eastAsia="zh-CN"/>
              </w:rPr>
              <w:t>创作</w:t>
            </w:r>
            <w:r>
              <w:rPr>
                <w:rFonts w:hint="eastAsia" w:ascii="宋体" w:hAnsi="宋体" w:eastAsia="宋体" w:cs="宋体"/>
                <w:color w:val="000000"/>
                <w:sz w:val="21"/>
                <w:szCs w:val="21"/>
              </w:rPr>
              <w:t>。</w:t>
            </w:r>
          </w:p>
        </w:tc>
        <w:tc>
          <w:tcPr>
            <w:tcW w:w="1498" w:type="dxa"/>
            <w:vAlign w:val="top"/>
          </w:tcPr>
          <w:p w14:paraId="2DB40419">
            <w:pPr>
              <w:rPr>
                <w:rFonts w:hint="eastAsia" w:ascii="宋体" w:hAnsi="宋体" w:eastAsia="宋体" w:cs="宋体"/>
                <w:color w:val="000000"/>
                <w:sz w:val="21"/>
                <w:szCs w:val="21"/>
              </w:rPr>
            </w:pPr>
          </w:p>
          <w:p w14:paraId="0C35E703">
            <w:pPr>
              <w:rPr>
                <w:rFonts w:hint="eastAsia" w:ascii="宋体" w:hAnsi="宋体" w:eastAsia="宋体" w:cs="宋体"/>
                <w:sz w:val="21"/>
                <w:szCs w:val="21"/>
              </w:rPr>
            </w:pPr>
            <w:r>
              <w:rPr>
                <w:rFonts w:hint="eastAsia" w:ascii="宋体" w:hAnsi="宋体" w:eastAsia="宋体" w:cs="宋体"/>
                <w:color w:val="000000"/>
                <w:sz w:val="21"/>
                <w:szCs w:val="21"/>
              </w:rPr>
              <w:t>能够</w:t>
            </w:r>
            <w:r>
              <w:rPr>
                <w:rFonts w:hint="eastAsia" w:ascii="宋体" w:hAnsi="宋体" w:eastAsia="宋体" w:cs="宋体"/>
                <w:color w:val="000000"/>
                <w:sz w:val="21"/>
                <w:szCs w:val="21"/>
                <w:lang w:eastAsia="zh-CN"/>
              </w:rPr>
              <w:t>扎实</w:t>
            </w:r>
            <w:r>
              <w:rPr>
                <w:rFonts w:hint="eastAsia" w:ascii="宋体" w:hAnsi="宋体" w:eastAsia="宋体" w:cs="宋体"/>
                <w:color w:val="000000"/>
                <w:sz w:val="21"/>
                <w:szCs w:val="21"/>
              </w:rPr>
              <w:t>地在具体的艺术实践过程中形成团队理念，通过团队进行有效协作，自身价值与能力能够在团队中提升；能够熟练地根据所</w:t>
            </w:r>
            <w:r>
              <w:rPr>
                <w:rFonts w:hint="eastAsia" w:ascii="宋体" w:hAnsi="宋体" w:eastAsia="宋体" w:cs="宋体"/>
                <w:color w:val="000000"/>
                <w:sz w:val="21"/>
                <w:szCs w:val="21"/>
                <w:lang w:eastAsia="zh-CN"/>
              </w:rPr>
              <w:t>学</w:t>
            </w:r>
            <w:r>
              <w:rPr>
                <w:rFonts w:hint="eastAsia" w:ascii="宋体" w:hAnsi="宋体" w:eastAsia="宋体" w:cs="宋体"/>
                <w:color w:val="000000"/>
                <w:sz w:val="21"/>
                <w:szCs w:val="21"/>
              </w:rPr>
              <w:t>实践知识要点进行</w:t>
            </w:r>
            <w:r>
              <w:rPr>
                <w:rFonts w:hint="eastAsia" w:ascii="宋体" w:hAnsi="宋体" w:eastAsia="宋体" w:cs="宋体"/>
                <w:color w:val="000000"/>
                <w:sz w:val="21"/>
                <w:szCs w:val="21"/>
                <w:lang w:eastAsia="zh-CN"/>
              </w:rPr>
              <w:t>创作</w:t>
            </w:r>
            <w:r>
              <w:rPr>
                <w:rFonts w:hint="eastAsia" w:ascii="宋体" w:hAnsi="宋体" w:eastAsia="宋体" w:cs="宋体"/>
                <w:color w:val="000000"/>
                <w:sz w:val="21"/>
                <w:szCs w:val="21"/>
              </w:rPr>
              <w:t>。</w:t>
            </w:r>
          </w:p>
        </w:tc>
        <w:tc>
          <w:tcPr>
            <w:tcW w:w="1535" w:type="dxa"/>
            <w:vAlign w:val="top"/>
          </w:tcPr>
          <w:p w14:paraId="33C9E40A">
            <w:pPr>
              <w:rPr>
                <w:rFonts w:hint="eastAsia" w:ascii="宋体" w:hAnsi="宋体" w:eastAsia="宋体" w:cs="宋体"/>
                <w:color w:val="000000"/>
                <w:sz w:val="21"/>
                <w:szCs w:val="21"/>
              </w:rPr>
            </w:pPr>
          </w:p>
          <w:p w14:paraId="5222D3F7">
            <w:pPr>
              <w:rPr>
                <w:rFonts w:hint="eastAsia" w:ascii="宋体" w:hAnsi="宋体" w:eastAsia="宋体" w:cs="宋体"/>
                <w:sz w:val="21"/>
                <w:szCs w:val="21"/>
              </w:rPr>
            </w:pPr>
            <w:r>
              <w:rPr>
                <w:rFonts w:hint="eastAsia" w:ascii="宋体" w:hAnsi="宋体" w:eastAsia="宋体" w:cs="宋体"/>
                <w:color w:val="000000"/>
                <w:sz w:val="21"/>
                <w:szCs w:val="21"/>
              </w:rPr>
              <w:t>能够</w:t>
            </w:r>
            <w:r>
              <w:rPr>
                <w:rFonts w:hint="eastAsia" w:ascii="宋体" w:hAnsi="宋体" w:eastAsia="宋体" w:cs="宋体"/>
                <w:color w:val="000000"/>
                <w:sz w:val="21"/>
                <w:szCs w:val="21"/>
                <w:lang w:eastAsia="zh-CN"/>
              </w:rPr>
              <w:t>较熟练掌握</w:t>
            </w:r>
            <w:r>
              <w:rPr>
                <w:rFonts w:hint="eastAsia" w:ascii="宋体" w:hAnsi="宋体" w:eastAsia="宋体" w:cs="宋体"/>
                <w:color w:val="000000"/>
                <w:sz w:val="21"/>
                <w:szCs w:val="21"/>
              </w:rPr>
              <w:t>在具体的艺术实践过程中形成团队理念，通过团队进行有效协作，自身价值与能力能够在团队中提升；能够熟练地根据所</w:t>
            </w:r>
            <w:r>
              <w:rPr>
                <w:rFonts w:hint="eastAsia" w:ascii="宋体" w:hAnsi="宋体" w:eastAsia="宋体" w:cs="宋体"/>
                <w:color w:val="000000"/>
                <w:sz w:val="21"/>
                <w:szCs w:val="21"/>
                <w:lang w:eastAsia="zh-CN"/>
              </w:rPr>
              <w:t>学</w:t>
            </w:r>
            <w:r>
              <w:rPr>
                <w:rFonts w:hint="eastAsia" w:ascii="宋体" w:hAnsi="宋体" w:eastAsia="宋体" w:cs="宋体"/>
                <w:color w:val="000000"/>
                <w:sz w:val="21"/>
                <w:szCs w:val="21"/>
              </w:rPr>
              <w:t>实践知识要点进行</w:t>
            </w:r>
            <w:r>
              <w:rPr>
                <w:rFonts w:hint="eastAsia" w:ascii="宋体" w:hAnsi="宋体" w:eastAsia="宋体" w:cs="宋体"/>
                <w:color w:val="000000"/>
                <w:sz w:val="21"/>
                <w:szCs w:val="21"/>
                <w:lang w:eastAsia="zh-CN"/>
              </w:rPr>
              <w:t>创作</w:t>
            </w:r>
            <w:r>
              <w:rPr>
                <w:rFonts w:hint="eastAsia" w:ascii="宋体" w:hAnsi="宋体" w:eastAsia="宋体" w:cs="宋体"/>
                <w:color w:val="000000"/>
                <w:sz w:val="21"/>
                <w:szCs w:val="21"/>
              </w:rPr>
              <w:t>。</w:t>
            </w:r>
          </w:p>
        </w:tc>
        <w:tc>
          <w:tcPr>
            <w:tcW w:w="1423" w:type="dxa"/>
            <w:vAlign w:val="top"/>
          </w:tcPr>
          <w:p w14:paraId="32AF2950">
            <w:pPr>
              <w:rPr>
                <w:rFonts w:hint="eastAsia" w:ascii="宋体" w:hAnsi="宋体" w:eastAsia="宋体" w:cs="宋体"/>
                <w:color w:val="000000"/>
                <w:sz w:val="21"/>
                <w:szCs w:val="21"/>
              </w:rPr>
            </w:pPr>
          </w:p>
          <w:p w14:paraId="333C6F26">
            <w:pPr>
              <w:rPr>
                <w:rFonts w:hint="eastAsia" w:ascii="宋体" w:hAnsi="宋体" w:eastAsia="宋体" w:cs="宋体"/>
                <w:sz w:val="21"/>
                <w:szCs w:val="21"/>
              </w:rPr>
            </w:pPr>
            <w:r>
              <w:rPr>
                <w:rFonts w:hint="eastAsia" w:ascii="宋体" w:hAnsi="宋体" w:eastAsia="宋体" w:cs="宋体"/>
                <w:color w:val="000000"/>
                <w:sz w:val="21"/>
                <w:szCs w:val="21"/>
              </w:rPr>
              <w:t>能够</w:t>
            </w:r>
            <w:r>
              <w:rPr>
                <w:rFonts w:hint="eastAsia" w:ascii="宋体" w:hAnsi="宋体" w:eastAsia="宋体" w:cs="宋体"/>
                <w:color w:val="000000"/>
                <w:sz w:val="21"/>
                <w:szCs w:val="21"/>
                <w:lang w:eastAsia="zh-CN"/>
              </w:rPr>
              <w:t>基本</w:t>
            </w:r>
            <w:r>
              <w:rPr>
                <w:rFonts w:hint="eastAsia" w:ascii="宋体" w:hAnsi="宋体" w:eastAsia="宋体" w:cs="宋体"/>
                <w:color w:val="000000"/>
                <w:sz w:val="21"/>
                <w:szCs w:val="21"/>
              </w:rPr>
              <w:t>在具体的艺术实践过程中形成团队理念，通过团队进行有效协作，自身价值与能力能够在团队中提升；</w:t>
            </w:r>
            <w:r>
              <w:rPr>
                <w:rFonts w:hint="eastAsia" w:ascii="宋体" w:hAnsi="宋体" w:eastAsia="宋体" w:cs="宋体"/>
                <w:color w:val="000000"/>
                <w:sz w:val="21"/>
                <w:szCs w:val="21"/>
                <w:lang w:eastAsia="zh-CN"/>
              </w:rPr>
              <w:t>基本</w:t>
            </w:r>
            <w:r>
              <w:rPr>
                <w:rFonts w:hint="eastAsia" w:ascii="宋体" w:hAnsi="宋体" w:eastAsia="宋体" w:cs="宋体"/>
                <w:color w:val="000000"/>
                <w:sz w:val="21"/>
                <w:szCs w:val="21"/>
              </w:rPr>
              <w:t>能够根据所</w:t>
            </w:r>
            <w:r>
              <w:rPr>
                <w:rFonts w:hint="eastAsia" w:ascii="宋体" w:hAnsi="宋体" w:eastAsia="宋体" w:cs="宋体"/>
                <w:color w:val="000000"/>
                <w:sz w:val="21"/>
                <w:szCs w:val="21"/>
                <w:lang w:eastAsia="zh-CN"/>
              </w:rPr>
              <w:t>学</w:t>
            </w:r>
            <w:r>
              <w:rPr>
                <w:rFonts w:hint="eastAsia" w:ascii="宋体" w:hAnsi="宋体" w:eastAsia="宋体" w:cs="宋体"/>
                <w:color w:val="000000"/>
                <w:sz w:val="21"/>
                <w:szCs w:val="21"/>
              </w:rPr>
              <w:t>实践知识要点进行</w:t>
            </w:r>
            <w:r>
              <w:rPr>
                <w:rFonts w:hint="eastAsia" w:ascii="宋体" w:hAnsi="宋体" w:eastAsia="宋体" w:cs="宋体"/>
                <w:color w:val="000000"/>
                <w:sz w:val="21"/>
                <w:szCs w:val="21"/>
                <w:lang w:eastAsia="zh-CN"/>
              </w:rPr>
              <w:t>创作</w:t>
            </w:r>
            <w:r>
              <w:rPr>
                <w:rFonts w:hint="eastAsia" w:ascii="宋体" w:hAnsi="宋体" w:eastAsia="宋体" w:cs="宋体"/>
                <w:color w:val="000000"/>
                <w:sz w:val="21"/>
                <w:szCs w:val="21"/>
              </w:rPr>
              <w:t>。</w:t>
            </w:r>
          </w:p>
        </w:tc>
        <w:tc>
          <w:tcPr>
            <w:tcW w:w="1473" w:type="dxa"/>
            <w:vAlign w:val="top"/>
          </w:tcPr>
          <w:p w14:paraId="431ED3C8">
            <w:pPr>
              <w:rPr>
                <w:rFonts w:hint="eastAsia" w:ascii="宋体" w:hAnsi="宋体" w:eastAsia="宋体" w:cs="宋体"/>
                <w:color w:val="000000"/>
                <w:sz w:val="21"/>
                <w:szCs w:val="21"/>
              </w:rPr>
            </w:pPr>
          </w:p>
          <w:p w14:paraId="33823353">
            <w:pPr>
              <w:rPr>
                <w:rFonts w:hint="eastAsia" w:ascii="宋体" w:hAnsi="宋体" w:eastAsia="宋体" w:cs="宋体"/>
                <w:sz w:val="21"/>
                <w:szCs w:val="21"/>
              </w:rPr>
            </w:pPr>
            <w:r>
              <w:rPr>
                <w:rFonts w:hint="eastAsia" w:ascii="宋体" w:hAnsi="宋体" w:eastAsia="宋体" w:cs="宋体"/>
                <w:color w:val="000000"/>
                <w:sz w:val="21"/>
                <w:szCs w:val="21"/>
                <w:lang w:eastAsia="zh-CN"/>
              </w:rPr>
              <w:t>尚</w:t>
            </w:r>
            <w:r>
              <w:rPr>
                <w:rFonts w:hint="eastAsia" w:ascii="宋体" w:hAnsi="宋体" w:eastAsia="宋体" w:cs="宋体"/>
                <w:color w:val="000000"/>
                <w:sz w:val="21"/>
                <w:szCs w:val="21"/>
              </w:rPr>
              <w:t>能够在具体的艺术实践过程中形成团队理念，通过团队进行有效协作，自身价值与能力基本能够在团队中提升；基本能够根据所学实践知识要点进行</w:t>
            </w:r>
            <w:r>
              <w:rPr>
                <w:rFonts w:hint="eastAsia" w:ascii="宋体" w:hAnsi="宋体" w:eastAsia="宋体" w:cs="宋体"/>
                <w:color w:val="000000"/>
                <w:sz w:val="21"/>
                <w:szCs w:val="21"/>
                <w:lang w:eastAsia="zh-CN"/>
              </w:rPr>
              <w:t>创作</w:t>
            </w:r>
            <w:r>
              <w:rPr>
                <w:rFonts w:hint="eastAsia" w:ascii="宋体" w:hAnsi="宋体" w:eastAsia="宋体" w:cs="宋体"/>
                <w:color w:val="000000"/>
                <w:sz w:val="21"/>
                <w:szCs w:val="21"/>
              </w:rPr>
              <w:t>。</w:t>
            </w:r>
          </w:p>
        </w:tc>
        <w:tc>
          <w:tcPr>
            <w:tcW w:w="1473" w:type="dxa"/>
            <w:vAlign w:val="top"/>
          </w:tcPr>
          <w:p w14:paraId="77F078B2">
            <w:pPr>
              <w:rPr>
                <w:rFonts w:hint="eastAsia" w:ascii="宋体" w:hAnsi="宋体" w:eastAsia="宋体" w:cs="宋体"/>
                <w:color w:val="000000"/>
                <w:sz w:val="21"/>
                <w:szCs w:val="21"/>
              </w:rPr>
            </w:pPr>
          </w:p>
          <w:p w14:paraId="41864B87">
            <w:pPr>
              <w:rPr>
                <w:rFonts w:hint="eastAsia" w:ascii="宋体" w:hAnsi="宋体" w:eastAsia="宋体" w:cs="宋体"/>
                <w:sz w:val="21"/>
                <w:szCs w:val="21"/>
              </w:rPr>
            </w:pPr>
            <w:r>
              <w:rPr>
                <w:rFonts w:hint="eastAsia" w:ascii="宋体" w:hAnsi="宋体" w:eastAsia="宋体" w:cs="宋体"/>
                <w:color w:val="000000"/>
                <w:sz w:val="21"/>
                <w:szCs w:val="21"/>
              </w:rPr>
              <w:t>不能在具体的艺术实践过程中形成团队理念，不能通过团队进行有效协作，自身价值与能力不能在团队中提升；不能根据所学实践知识要点进行</w:t>
            </w:r>
            <w:r>
              <w:rPr>
                <w:rFonts w:hint="eastAsia" w:ascii="宋体" w:hAnsi="宋体" w:eastAsia="宋体" w:cs="宋体"/>
                <w:color w:val="000000"/>
                <w:sz w:val="21"/>
                <w:szCs w:val="21"/>
                <w:lang w:eastAsia="zh-CN"/>
              </w:rPr>
              <w:t>创作</w:t>
            </w:r>
            <w:r>
              <w:rPr>
                <w:rFonts w:hint="eastAsia" w:ascii="宋体" w:hAnsi="宋体" w:eastAsia="宋体" w:cs="宋体"/>
                <w:color w:val="000000"/>
                <w:sz w:val="21"/>
                <w:szCs w:val="21"/>
              </w:rPr>
              <w:t>。</w:t>
            </w:r>
          </w:p>
        </w:tc>
      </w:tr>
    </w:tbl>
    <w:p w14:paraId="6CFE4788">
      <w:pPr>
        <w:rPr>
          <w:sz w:val="2"/>
          <w:szCs w:val="2"/>
        </w:rPr>
        <w:sectPr>
          <w:headerReference r:id="rId77" w:type="default"/>
          <w:footerReference r:id="rId78" w:type="default"/>
          <w:pgSz w:w="11906" w:h="16838"/>
          <w:pgMar w:top="1134" w:right="1417" w:bottom="1134" w:left="1417" w:header="851" w:footer="992" w:gutter="0"/>
          <w:cols w:space="720" w:num="1"/>
          <w:docGrid w:type="lines" w:linePitch="312" w:charSpace="0"/>
        </w:sectPr>
      </w:pPr>
    </w:p>
    <w:p w14:paraId="0C7DCC5A">
      <w:pPr>
        <w:adjustRightInd w:val="0"/>
        <w:snapToGrid w:val="0"/>
        <w:spacing w:line="560" w:lineRule="exact"/>
        <w:jc w:val="center"/>
        <w:outlineLvl w:val="0"/>
        <w:rPr>
          <w:rFonts w:hint="eastAsia" w:eastAsia="方正小标宋简体"/>
          <w:sz w:val="44"/>
          <w:szCs w:val="44"/>
        </w:rPr>
      </w:pPr>
      <w:bookmarkStart w:id="118" w:name="_Toc282059294"/>
      <w:r>
        <w:rPr>
          <w:rFonts w:hint="eastAsia" w:eastAsia="方正小标宋简体"/>
          <w:sz w:val="44"/>
          <w:szCs w:val="44"/>
        </w:rPr>
        <w:t>三明学院音乐学（音乐教育）专业</w:t>
      </w:r>
      <w:bookmarkEnd w:id="118"/>
    </w:p>
    <w:p w14:paraId="2C60F0C5">
      <w:pPr>
        <w:pStyle w:val="2"/>
        <w:spacing w:before="0" w:beforeAutospacing="0" w:after="0" w:afterAutospacing="0" w:line="520" w:lineRule="exact"/>
        <w:jc w:val="center"/>
        <w:rPr>
          <w:rFonts w:hint="eastAsia" w:ascii="方正小标宋简体" w:hAnsi="方正小标宋简体" w:eastAsia="方正小标宋简体" w:cs="方正小标宋简体"/>
          <w:b w:val="0"/>
          <w:bCs w:val="0"/>
          <w:kern w:val="2"/>
          <w:sz w:val="44"/>
          <w:szCs w:val="44"/>
          <w:lang w:val="en-US" w:eastAsia="zh-CN"/>
        </w:rPr>
      </w:pPr>
      <w:bookmarkStart w:id="119" w:name="_Toc1909080892"/>
      <w:bookmarkStart w:id="120" w:name="_Toc1074145329"/>
      <w:r>
        <w:rPr>
          <w:rFonts w:hint="eastAsia" w:ascii="方正小标宋简体" w:hAnsi="方正小标宋简体" w:eastAsia="方正小标宋简体" w:cs="方正小标宋简体"/>
          <w:b w:val="0"/>
          <w:bCs w:val="0"/>
          <w:kern w:val="2"/>
          <w:sz w:val="44"/>
          <w:szCs w:val="44"/>
          <w:lang w:val="en-US" w:eastAsia="zh-CN"/>
        </w:rPr>
        <w:t>《教育学》课程教学大纲</w:t>
      </w:r>
      <w:bookmarkEnd w:id="119"/>
      <w:bookmarkEnd w:id="120"/>
    </w:p>
    <w:tbl>
      <w:tblPr>
        <w:tblStyle w:val="22"/>
        <w:tblW w:w="915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174"/>
        <w:gridCol w:w="87"/>
        <w:gridCol w:w="14"/>
        <w:gridCol w:w="1101"/>
        <w:gridCol w:w="1493"/>
        <w:gridCol w:w="113"/>
        <w:gridCol w:w="497"/>
        <w:gridCol w:w="900"/>
        <w:gridCol w:w="804"/>
        <w:gridCol w:w="96"/>
        <w:gridCol w:w="828"/>
        <w:gridCol w:w="76"/>
        <w:gridCol w:w="596"/>
      </w:tblGrid>
      <w:tr w14:paraId="132E3E52">
        <w:trPr>
          <w:trHeight w:val="572" w:hRule="atLeast"/>
        </w:trPr>
        <w:tc>
          <w:tcPr>
            <w:tcW w:w="1376" w:type="dxa"/>
            <w:noWrap w:val="0"/>
            <w:vAlign w:val="center"/>
          </w:tcPr>
          <w:p w14:paraId="629E5FE7">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课程名称</w:t>
            </w:r>
          </w:p>
        </w:tc>
        <w:tc>
          <w:tcPr>
            <w:tcW w:w="5379" w:type="dxa"/>
            <w:gridSpan w:val="8"/>
            <w:noWrap w:val="0"/>
            <w:vAlign w:val="center"/>
          </w:tcPr>
          <w:p w14:paraId="0BA2EF7E">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rPr>
              <w:t>《教育学》</w:t>
            </w:r>
          </w:p>
        </w:tc>
        <w:tc>
          <w:tcPr>
            <w:tcW w:w="900" w:type="dxa"/>
            <w:gridSpan w:val="2"/>
            <w:noWrap w:val="0"/>
            <w:vAlign w:val="center"/>
          </w:tcPr>
          <w:p w14:paraId="2478181B">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w:t>
            </w:r>
          </w:p>
          <w:p w14:paraId="19F48002">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代码</w:t>
            </w:r>
          </w:p>
        </w:tc>
        <w:tc>
          <w:tcPr>
            <w:tcW w:w="1500" w:type="dxa"/>
            <w:gridSpan w:val="3"/>
            <w:noWrap w:val="0"/>
            <w:vAlign w:val="center"/>
          </w:tcPr>
          <w:p w14:paraId="276CD978">
            <w:pPr>
              <w:adjustRightInd w:val="0"/>
              <w:snapToGrid w:val="0"/>
              <w:spacing w:line="240" w:lineRule="atLeast"/>
              <w:jc w:val="center"/>
              <w:rPr>
                <w:rFonts w:hint="eastAsia" w:ascii="仿宋" w:hAnsi="仿宋" w:eastAsia="仿宋" w:cs="仿宋"/>
                <w:color w:val="000000"/>
                <w:sz w:val="24"/>
              </w:rPr>
            </w:pPr>
            <w:r>
              <w:rPr>
                <w:rFonts w:ascii="仿宋" w:hAnsi="仿宋" w:eastAsia="仿宋" w:cs="仿宋"/>
                <w:color w:val="000000"/>
                <w:sz w:val="24"/>
              </w:rPr>
              <w:t>1211303613</w:t>
            </w:r>
          </w:p>
        </w:tc>
      </w:tr>
      <w:tr w14:paraId="3FBA80B1">
        <w:trPr>
          <w:trHeight w:val="454" w:hRule="atLeast"/>
        </w:trPr>
        <w:tc>
          <w:tcPr>
            <w:tcW w:w="1376" w:type="dxa"/>
            <w:noWrap w:val="0"/>
            <w:vAlign w:val="center"/>
          </w:tcPr>
          <w:p w14:paraId="7B12C63B">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课程类型</w:t>
            </w:r>
          </w:p>
        </w:tc>
        <w:tc>
          <w:tcPr>
            <w:tcW w:w="7779" w:type="dxa"/>
            <w:gridSpan w:val="13"/>
            <w:noWrap w:val="0"/>
            <w:vAlign w:val="center"/>
          </w:tcPr>
          <w:p w14:paraId="65CD1236">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通识必修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通识选修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专业必修 </w:t>
            </w:r>
          </w:p>
          <w:p w14:paraId="59369833">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专业选修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教师教育必修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教师教育选修</w:t>
            </w:r>
          </w:p>
        </w:tc>
      </w:tr>
      <w:tr w14:paraId="07044BEE">
        <w:trPr>
          <w:trHeight w:val="406" w:hRule="atLeast"/>
        </w:trPr>
        <w:tc>
          <w:tcPr>
            <w:tcW w:w="1376" w:type="dxa"/>
            <w:noWrap w:val="0"/>
            <w:vAlign w:val="center"/>
          </w:tcPr>
          <w:p w14:paraId="38104910">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开课学期</w:t>
            </w:r>
          </w:p>
        </w:tc>
        <w:tc>
          <w:tcPr>
            <w:tcW w:w="1174" w:type="dxa"/>
            <w:noWrap w:val="0"/>
            <w:vAlign w:val="center"/>
          </w:tcPr>
          <w:p w14:paraId="693057BE">
            <w:pPr>
              <w:adjustRightInd w:val="0"/>
              <w:snapToGrid w:val="0"/>
              <w:spacing w:line="240" w:lineRule="atLeast"/>
              <w:jc w:val="center"/>
              <w:rPr>
                <w:rFonts w:hint="eastAsia" w:ascii="仿宋" w:hAnsi="仿宋" w:eastAsia="仿宋" w:cs="仿宋"/>
                <w:color w:val="4472C4"/>
                <w:sz w:val="24"/>
                <w:szCs w:val="24"/>
              </w:rPr>
            </w:pPr>
            <w:r>
              <w:rPr>
                <w:rFonts w:hint="eastAsia" w:ascii="仿宋" w:hAnsi="仿宋" w:eastAsia="仿宋" w:cs="仿宋"/>
                <w:color w:val="000000"/>
                <w:sz w:val="24"/>
              </w:rPr>
              <w:t>第4学期</w:t>
            </w:r>
          </w:p>
        </w:tc>
        <w:tc>
          <w:tcPr>
            <w:tcW w:w="1202" w:type="dxa"/>
            <w:gridSpan w:val="3"/>
            <w:noWrap w:val="0"/>
            <w:vAlign w:val="center"/>
          </w:tcPr>
          <w:p w14:paraId="593ED152">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学分</w:t>
            </w:r>
          </w:p>
        </w:tc>
        <w:tc>
          <w:tcPr>
            <w:tcW w:w="1606" w:type="dxa"/>
            <w:gridSpan w:val="2"/>
            <w:noWrap w:val="0"/>
            <w:vAlign w:val="center"/>
          </w:tcPr>
          <w:p w14:paraId="49FFE0EA">
            <w:pPr>
              <w:adjustRightInd w:val="0"/>
              <w:snapToGrid w:val="0"/>
              <w:spacing w:line="240" w:lineRule="atLeast"/>
              <w:jc w:val="center"/>
              <w:rPr>
                <w:rFonts w:hint="eastAsia" w:ascii="仿宋" w:hAnsi="仿宋" w:eastAsia="仿宋" w:cs="仿宋"/>
                <w:color w:val="000000"/>
                <w:sz w:val="24"/>
              </w:rPr>
            </w:pPr>
            <w:r>
              <w:rPr>
                <w:rFonts w:hint="eastAsia" w:ascii="仿宋" w:hAnsi="仿宋" w:eastAsia="仿宋" w:cs="仿宋"/>
                <w:color w:val="000000"/>
                <w:sz w:val="24"/>
              </w:rPr>
              <w:t>3</w:t>
            </w:r>
          </w:p>
        </w:tc>
        <w:tc>
          <w:tcPr>
            <w:tcW w:w="2297" w:type="dxa"/>
            <w:gridSpan w:val="4"/>
            <w:noWrap w:val="0"/>
            <w:vAlign w:val="center"/>
          </w:tcPr>
          <w:p w14:paraId="54D12BFE">
            <w:pPr>
              <w:adjustRightInd w:val="0"/>
              <w:snapToGrid w:val="0"/>
              <w:spacing w:line="240" w:lineRule="atLeast"/>
              <w:jc w:val="center"/>
              <w:rPr>
                <w:rFonts w:hint="eastAsia" w:ascii="仿宋" w:hAnsi="仿宋" w:eastAsia="仿宋" w:cs="仿宋"/>
                <w:color w:val="4472C4"/>
                <w:sz w:val="24"/>
                <w:szCs w:val="24"/>
              </w:rPr>
            </w:pPr>
            <w:r>
              <w:rPr>
                <w:rFonts w:hint="eastAsia" w:ascii="仿宋" w:hAnsi="仿宋" w:eastAsia="仿宋" w:cs="仿宋"/>
                <w:color w:val="000000"/>
                <w:sz w:val="24"/>
              </w:rPr>
              <w:t>课程负责人</w:t>
            </w:r>
          </w:p>
        </w:tc>
        <w:tc>
          <w:tcPr>
            <w:tcW w:w="1500" w:type="dxa"/>
            <w:gridSpan w:val="3"/>
            <w:noWrap w:val="0"/>
            <w:vAlign w:val="center"/>
          </w:tcPr>
          <w:p w14:paraId="2A1C8B73">
            <w:pPr>
              <w:adjustRightInd w:val="0"/>
              <w:snapToGrid w:val="0"/>
              <w:spacing w:line="240" w:lineRule="atLeast"/>
              <w:jc w:val="center"/>
              <w:rPr>
                <w:rFonts w:hint="default" w:ascii="仿宋" w:hAnsi="仿宋" w:eastAsia="仿宋" w:cs="仿宋"/>
                <w:color w:val="4472C4"/>
                <w:sz w:val="24"/>
                <w:szCs w:val="24"/>
                <w:lang w:val="en-US" w:eastAsia="zh-CN"/>
              </w:rPr>
            </w:pPr>
            <w:r>
              <w:rPr>
                <w:rFonts w:hint="eastAsia" w:ascii="仿宋" w:hAnsi="仿宋" w:eastAsia="仿宋" w:cs="仿宋"/>
                <w:kern w:val="0"/>
                <w:sz w:val="24"/>
                <w:szCs w:val="24"/>
                <w:lang w:val="en-US" w:eastAsia="zh-CN"/>
              </w:rPr>
              <w:t>温桂林</w:t>
            </w:r>
          </w:p>
        </w:tc>
      </w:tr>
      <w:tr w14:paraId="229F6C53">
        <w:trPr>
          <w:trHeight w:val="485" w:hRule="atLeast"/>
        </w:trPr>
        <w:tc>
          <w:tcPr>
            <w:tcW w:w="1376" w:type="dxa"/>
            <w:noWrap w:val="0"/>
            <w:vAlign w:val="center"/>
          </w:tcPr>
          <w:p w14:paraId="7A5A2423">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总学时</w:t>
            </w:r>
          </w:p>
        </w:tc>
        <w:tc>
          <w:tcPr>
            <w:tcW w:w="1174" w:type="dxa"/>
            <w:noWrap w:val="0"/>
            <w:vAlign w:val="center"/>
          </w:tcPr>
          <w:p w14:paraId="4B357259">
            <w:pPr>
              <w:adjustRightInd w:val="0"/>
              <w:snapToGrid w:val="0"/>
              <w:spacing w:line="240" w:lineRule="atLeast"/>
              <w:jc w:val="center"/>
              <w:rPr>
                <w:rFonts w:hint="eastAsia" w:ascii="仿宋" w:hAnsi="仿宋" w:eastAsia="仿宋" w:cs="仿宋"/>
                <w:color w:val="000000"/>
                <w:sz w:val="24"/>
              </w:rPr>
            </w:pPr>
            <w:r>
              <w:rPr>
                <w:rFonts w:hint="eastAsia" w:ascii="仿宋" w:hAnsi="仿宋" w:eastAsia="仿宋" w:cs="仿宋"/>
                <w:color w:val="000000"/>
                <w:sz w:val="24"/>
              </w:rPr>
              <w:t>48</w:t>
            </w:r>
          </w:p>
        </w:tc>
        <w:tc>
          <w:tcPr>
            <w:tcW w:w="1202" w:type="dxa"/>
            <w:gridSpan w:val="3"/>
            <w:noWrap w:val="0"/>
            <w:vAlign w:val="center"/>
          </w:tcPr>
          <w:p w14:paraId="3FCFFF37">
            <w:pPr>
              <w:adjustRightInd w:val="0"/>
              <w:snapToGrid w:val="0"/>
              <w:spacing w:line="240" w:lineRule="atLeast"/>
              <w:jc w:val="center"/>
              <w:rPr>
                <w:rFonts w:hint="eastAsia" w:ascii="仿宋" w:hAnsi="仿宋" w:eastAsia="仿宋" w:cs="仿宋"/>
                <w:color w:val="000000"/>
                <w:sz w:val="24"/>
              </w:rPr>
            </w:pPr>
            <w:r>
              <w:rPr>
                <w:rFonts w:hint="eastAsia" w:ascii="仿宋" w:hAnsi="仿宋" w:eastAsia="仿宋" w:cs="仿宋"/>
                <w:color w:val="000000"/>
                <w:sz w:val="24"/>
              </w:rPr>
              <w:t>理论学时</w:t>
            </w:r>
          </w:p>
        </w:tc>
        <w:tc>
          <w:tcPr>
            <w:tcW w:w="1606" w:type="dxa"/>
            <w:gridSpan w:val="2"/>
            <w:noWrap w:val="0"/>
            <w:vAlign w:val="center"/>
          </w:tcPr>
          <w:p w14:paraId="73C515C5">
            <w:pPr>
              <w:adjustRightInd w:val="0"/>
              <w:snapToGrid w:val="0"/>
              <w:spacing w:line="240" w:lineRule="atLeast"/>
              <w:jc w:val="center"/>
              <w:rPr>
                <w:rFonts w:hint="eastAsia" w:ascii="仿宋" w:hAnsi="仿宋" w:eastAsia="仿宋" w:cs="仿宋"/>
                <w:color w:val="000000"/>
                <w:sz w:val="24"/>
              </w:rPr>
            </w:pPr>
            <w:r>
              <w:rPr>
                <w:rFonts w:hint="eastAsia" w:ascii="仿宋" w:hAnsi="仿宋" w:eastAsia="仿宋" w:cs="仿宋"/>
                <w:color w:val="000000"/>
                <w:sz w:val="24"/>
              </w:rPr>
              <w:t>48</w:t>
            </w:r>
          </w:p>
        </w:tc>
        <w:tc>
          <w:tcPr>
            <w:tcW w:w="2297" w:type="dxa"/>
            <w:gridSpan w:val="4"/>
            <w:tcBorders>
              <w:right w:val="single" w:color="000000" w:sz="4" w:space="0"/>
            </w:tcBorders>
            <w:noWrap w:val="0"/>
            <w:vAlign w:val="center"/>
          </w:tcPr>
          <w:p w14:paraId="464861CD">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实践学时</w:t>
            </w:r>
          </w:p>
        </w:tc>
        <w:tc>
          <w:tcPr>
            <w:tcW w:w="1500" w:type="dxa"/>
            <w:gridSpan w:val="3"/>
            <w:tcBorders>
              <w:left w:val="single" w:color="000000" w:sz="4" w:space="0"/>
            </w:tcBorders>
            <w:noWrap w:val="0"/>
            <w:vAlign w:val="center"/>
          </w:tcPr>
          <w:p w14:paraId="33FD4FE6">
            <w:pPr>
              <w:adjustRightInd w:val="0"/>
              <w:snapToGrid w:val="0"/>
              <w:spacing w:line="240" w:lineRule="atLeast"/>
              <w:jc w:val="center"/>
              <w:rPr>
                <w:rFonts w:hint="eastAsia" w:ascii="仿宋" w:hAnsi="仿宋" w:eastAsia="仿宋" w:cs="仿宋"/>
                <w:color w:val="4472C4"/>
                <w:sz w:val="24"/>
                <w:szCs w:val="24"/>
              </w:rPr>
            </w:pPr>
          </w:p>
        </w:tc>
      </w:tr>
      <w:tr w14:paraId="5D50CCB9">
        <w:trPr>
          <w:trHeight w:val="454" w:hRule="atLeast"/>
        </w:trPr>
        <w:tc>
          <w:tcPr>
            <w:tcW w:w="1376" w:type="dxa"/>
            <w:noWrap w:val="0"/>
            <w:vAlign w:val="center"/>
          </w:tcPr>
          <w:p w14:paraId="102B11E1">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先修课程与后续课程</w:t>
            </w:r>
          </w:p>
        </w:tc>
        <w:tc>
          <w:tcPr>
            <w:tcW w:w="7779" w:type="dxa"/>
            <w:gridSpan w:val="13"/>
            <w:noWrap w:val="0"/>
            <w:vAlign w:val="center"/>
          </w:tcPr>
          <w:p w14:paraId="0A7B051C">
            <w:pPr>
              <w:tabs>
                <w:tab w:val="left" w:pos="720"/>
              </w:tabs>
              <w:adjustRightInd w:val="0"/>
              <w:snapToGrid w:val="0"/>
              <w:jc w:val="left"/>
              <w:rPr>
                <w:rFonts w:hint="eastAsia" w:ascii="仿宋" w:hAnsi="仿宋" w:eastAsia="仿宋" w:cs="仿宋"/>
                <w:color w:val="000000"/>
                <w:sz w:val="24"/>
              </w:rPr>
            </w:pPr>
            <w:r>
              <w:rPr>
                <w:rFonts w:hint="eastAsia" w:ascii="仿宋" w:hAnsi="仿宋" w:eastAsia="仿宋" w:cs="仿宋"/>
                <w:color w:val="000000"/>
                <w:sz w:val="24"/>
              </w:rPr>
              <w:t>先修课程：心理学</w:t>
            </w:r>
          </w:p>
          <w:p w14:paraId="1041507A">
            <w:pPr>
              <w:tabs>
                <w:tab w:val="left" w:pos="720"/>
              </w:tabs>
              <w:adjustRightInd w:val="0"/>
              <w:snapToGrid w:val="0"/>
              <w:jc w:val="left"/>
              <w:rPr>
                <w:rFonts w:hint="eastAsia" w:ascii="仿宋" w:hAnsi="仿宋" w:eastAsia="仿宋" w:cs="仿宋"/>
                <w:color w:val="000000"/>
                <w:sz w:val="24"/>
                <w:szCs w:val="24"/>
              </w:rPr>
            </w:pPr>
            <w:r>
              <w:rPr>
                <w:rFonts w:hint="eastAsia" w:ascii="仿宋" w:hAnsi="仿宋" w:eastAsia="仿宋" w:cs="仿宋"/>
                <w:color w:val="000000"/>
                <w:sz w:val="24"/>
              </w:rPr>
              <w:t>后续课程：学科教学论</w:t>
            </w:r>
          </w:p>
        </w:tc>
      </w:tr>
      <w:tr w14:paraId="2EF2BF63">
        <w:trPr>
          <w:trHeight w:val="454" w:hRule="atLeast"/>
        </w:trPr>
        <w:tc>
          <w:tcPr>
            <w:tcW w:w="1376" w:type="dxa"/>
            <w:noWrap w:val="0"/>
            <w:vAlign w:val="center"/>
          </w:tcPr>
          <w:p w14:paraId="73B2BAA4">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适用专业</w:t>
            </w:r>
          </w:p>
        </w:tc>
        <w:tc>
          <w:tcPr>
            <w:tcW w:w="7779" w:type="dxa"/>
            <w:gridSpan w:val="13"/>
            <w:noWrap w:val="0"/>
            <w:vAlign w:val="center"/>
          </w:tcPr>
          <w:p w14:paraId="58E64DF2">
            <w:pPr>
              <w:tabs>
                <w:tab w:val="left" w:pos="720"/>
              </w:tabs>
              <w:adjustRightInd w:val="0"/>
              <w:snapToGrid w:val="0"/>
              <w:jc w:val="center"/>
              <w:rPr>
                <w:rFonts w:hint="eastAsia" w:ascii="仿宋" w:hAnsi="仿宋" w:eastAsia="仿宋" w:cs="仿宋"/>
                <w:color w:val="000000"/>
                <w:sz w:val="24"/>
              </w:rPr>
            </w:pPr>
            <w:r>
              <w:rPr>
                <w:rFonts w:hint="eastAsia" w:ascii="仿宋" w:hAnsi="仿宋" w:eastAsia="仿宋" w:cs="仿宋"/>
                <w:sz w:val="24"/>
              </w:rPr>
              <w:t>音乐学（师范）专业（适用2</w:t>
            </w:r>
            <w:r>
              <w:rPr>
                <w:rFonts w:hint="eastAsia" w:ascii="仿宋" w:hAnsi="仿宋" w:eastAsia="仿宋" w:cs="仿宋"/>
                <w:sz w:val="24"/>
                <w:lang w:val="en-US" w:eastAsia="zh-CN"/>
              </w:rPr>
              <w:t>4</w:t>
            </w:r>
            <w:r>
              <w:rPr>
                <w:rFonts w:hint="eastAsia" w:ascii="仿宋" w:hAnsi="仿宋" w:eastAsia="仿宋" w:cs="仿宋"/>
                <w:sz w:val="24"/>
              </w:rPr>
              <w:t>版培养方案）</w:t>
            </w:r>
          </w:p>
        </w:tc>
      </w:tr>
      <w:tr w14:paraId="7F361757">
        <w:trPr>
          <w:trHeight w:val="561" w:hRule="atLeast"/>
        </w:trPr>
        <w:tc>
          <w:tcPr>
            <w:tcW w:w="1376" w:type="dxa"/>
            <w:tcBorders>
              <w:bottom w:val="single" w:color="auto" w:sz="4" w:space="0"/>
            </w:tcBorders>
            <w:noWrap w:val="0"/>
            <w:vAlign w:val="center"/>
          </w:tcPr>
          <w:p w14:paraId="7E54B15B">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A</w:t>
            </w:r>
          </w:p>
          <w:p w14:paraId="65A01416">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参考教材</w:t>
            </w:r>
          </w:p>
        </w:tc>
        <w:tc>
          <w:tcPr>
            <w:tcW w:w="7779" w:type="dxa"/>
            <w:gridSpan w:val="13"/>
            <w:tcBorders>
              <w:bottom w:val="single" w:color="auto" w:sz="4" w:space="0"/>
            </w:tcBorders>
            <w:noWrap w:val="0"/>
            <w:vAlign w:val="center"/>
          </w:tcPr>
          <w:p w14:paraId="25F19304">
            <w:pPr>
              <w:tabs>
                <w:tab w:val="left" w:pos="720"/>
              </w:tabs>
              <w:adjustRightInd w:val="0"/>
              <w:snapToGrid w:val="0"/>
              <w:rPr>
                <w:rFonts w:hint="eastAsia" w:ascii="仿宋" w:hAnsi="仿宋" w:eastAsia="仿宋" w:cs="仿宋"/>
                <w:color w:val="4472C4"/>
                <w:kern w:val="0"/>
                <w:sz w:val="24"/>
                <w:szCs w:val="24"/>
              </w:rPr>
            </w:pPr>
            <w:r>
              <w:rPr>
                <w:rFonts w:hint="eastAsia" w:ascii="仿宋" w:hAnsi="仿宋" w:eastAsia="仿宋" w:cs="仿宋"/>
                <w:color w:val="000000"/>
                <w:sz w:val="24"/>
              </w:rPr>
              <w:t>项贤明等，教育学原理（马工程），高等教育出版社，2019年。</w:t>
            </w:r>
          </w:p>
        </w:tc>
      </w:tr>
      <w:tr w14:paraId="2513EC54">
        <w:tc>
          <w:tcPr>
            <w:tcW w:w="1376" w:type="dxa"/>
            <w:tcBorders>
              <w:bottom w:val="single" w:color="auto" w:sz="4" w:space="0"/>
            </w:tcBorders>
            <w:noWrap w:val="0"/>
            <w:vAlign w:val="center"/>
          </w:tcPr>
          <w:p w14:paraId="170B2F57">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B</w:t>
            </w:r>
          </w:p>
          <w:p w14:paraId="75D1A250">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主要参考书籍</w:t>
            </w:r>
          </w:p>
        </w:tc>
        <w:tc>
          <w:tcPr>
            <w:tcW w:w="7779" w:type="dxa"/>
            <w:gridSpan w:val="13"/>
            <w:tcBorders>
              <w:bottom w:val="single" w:color="auto" w:sz="4" w:space="0"/>
            </w:tcBorders>
            <w:noWrap w:val="0"/>
            <w:vAlign w:val="center"/>
          </w:tcPr>
          <w:p w14:paraId="05B3F9BE">
            <w:pPr>
              <w:adjustRightInd w:val="0"/>
              <w:snapToGrid w:val="0"/>
              <w:rPr>
                <w:rFonts w:hint="eastAsia" w:ascii="仿宋" w:hAnsi="仿宋" w:eastAsia="仿宋" w:cs="仿宋"/>
                <w:color w:val="000000"/>
                <w:sz w:val="24"/>
              </w:rPr>
            </w:pPr>
            <w:r>
              <w:rPr>
                <w:rFonts w:hint="eastAsia" w:ascii="仿宋" w:hAnsi="仿宋" w:eastAsia="仿宋" w:cs="仿宋"/>
                <w:color w:val="000000"/>
                <w:sz w:val="24"/>
              </w:rPr>
              <w:t>[1]吴旭平，基于中小学教师资格考试的教育学，西安交大出版社，</w:t>
            </w:r>
          </w:p>
          <w:p w14:paraId="516BE244">
            <w:pPr>
              <w:adjustRightInd w:val="0"/>
              <w:snapToGrid w:val="0"/>
              <w:rPr>
                <w:rFonts w:hint="eastAsia" w:ascii="仿宋" w:hAnsi="仿宋" w:eastAsia="仿宋" w:cs="仿宋"/>
                <w:color w:val="000000"/>
                <w:sz w:val="24"/>
              </w:rPr>
            </w:pPr>
            <w:r>
              <w:rPr>
                <w:rFonts w:hint="eastAsia" w:ascii="仿宋" w:hAnsi="仿宋" w:eastAsia="仿宋" w:cs="仿宋"/>
                <w:color w:val="000000"/>
                <w:sz w:val="24"/>
              </w:rPr>
              <w:t>2017年。</w:t>
            </w:r>
          </w:p>
          <w:p w14:paraId="2CBDDAF8">
            <w:pPr>
              <w:tabs>
                <w:tab w:val="left" w:pos="720"/>
              </w:tabs>
              <w:adjustRightInd w:val="0"/>
              <w:snapToGrid w:val="0"/>
              <w:rPr>
                <w:rFonts w:hint="eastAsia" w:ascii="仿宋" w:hAnsi="仿宋" w:eastAsia="仿宋" w:cs="仿宋"/>
                <w:color w:val="4472C4"/>
                <w:kern w:val="0"/>
                <w:sz w:val="24"/>
                <w:szCs w:val="24"/>
              </w:rPr>
            </w:pPr>
            <w:r>
              <w:rPr>
                <w:rFonts w:hint="eastAsia" w:ascii="仿宋" w:hAnsi="仿宋" w:eastAsia="仿宋" w:cs="仿宋"/>
                <w:color w:val="000000"/>
                <w:sz w:val="24"/>
              </w:rPr>
              <w:t>[2]余文森，公共教育学教程，高等教育出版社，2004年。</w:t>
            </w:r>
          </w:p>
        </w:tc>
      </w:tr>
      <w:tr w14:paraId="0337B076">
        <w:tc>
          <w:tcPr>
            <w:tcW w:w="1376" w:type="dxa"/>
            <w:tcBorders>
              <w:bottom w:val="single" w:color="auto" w:sz="4" w:space="0"/>
            </w:tcBorders>
            <w:noWrap w:val="0"/>
            <w:vAlign w:val="center"/>
          </w:tcPr>
          <w:p w14:paraId="164D570A">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C</w:t>
            </w:r>
          </w:p>
          <w:p w14:paraId="5D9ACCEF">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线上学习资源</w:t>
            </w:r>
          </w:p>
        </w:tc>
        <w:tc>
          <w:tcPr>
            <w:tcW w:w="7779" w:type="dxa"/>
            <w:gridSpan w:val="13"/>
            <w:tcBorders>
              <w:bottom w:val="single" w:color="auto" w:sz="4" w:space="0"/>
            </w:tcBorders>
            <w:noWrap w:val="0"/>
            <w:vAlign w:val="center"/>
          </w:tcPr>
          <w:p w14:paraId="32BAF456">
            <w:pPr>
              <w:adjustRightInd w:val="0"/>
              <w:snapToGrid w:val="0"/>
              <w:rPr>
                <w:rFonts w:hint="eastAsia" w:ascii="仿宋" w:hAnsi="仿宋" w:eastAsia="仿宋" w:cs="仿宋"/>
                <w:color w:val="4472C4"/>
                <w:sz w:val="24"/>
                <w:szCs w:val="24"/>
              </w:rPr>
            </w:pPr>
            <w:r>
              <w:rPr>
                <w:rFonts w:hint="eastAsia" w:ascii="仿宋" w:hAnsi="仿宋" w:eastAsia="仿宋" w:cs="仿宋"/>
                <w:color w:val="000000"/>
                <w:sz w:val="24"/>
              </w:rPr>
              <w:t>本课程已经建立超星平台网络课程，同学们依据学校提供的帐号与密码登录课程网站，可查看教学大纲、授课计划、考核方法、课程PPT、教学视频、电子教材等教学资源。</w:t>
            </w:r>
          </w:p>
        </w:tc>
      </w:tr>
      <w:tr w14:paraId="6A700656">
        <w:trPr>
          <w:trHeight w:val="90" w:hRule="atLeast"/>
        </w:trPr>
        <w:tc>
          <w:tcPr>
            <w:tcW w:w="1376" w:type="dxa"/>
            <w:shd w:val="clear" w:color="auto" w:fill="FFFFFF"/>
            <w:noWrap w:val="0"/>
            <w:vAlign w:val="center"/>
          </w:tcPr>
          <w:p w14:paraId="0ECD9D8E">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D</w:t>
            </w:r>
          </w:p>
          <w:p w14:paraId="6D28BFB0">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课程描述 </w:t>
            </w:r>
          </w:p>
          <w:p w14:paraId="16C734B4">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lang w:eastAsia="zh-TW"/>
              </w:rPr>
              <w:t>(</w:t>
            </w:r>
            <w:r>
              <w:rPr>
                <w:rFonts w:hint="eastAsia" w:ascii="仿宋" w:hAnsi="仿宋" w:eastAsia="仿宋" w:cs="仿宋"/>
                <w:color w:val="000000"/>
                <w:sz w:val="24"/>
                <w:szCs w:val="24"/>
              </w:rPr>
              <w:t>含</w:t>
            </w:r>
            <w:r>
              <w:rPr>
                <w:rFonts w:hint="eastAsia" w:ascii="仿宋" w:hAnsi="仿宋" w:eastAsia="仿宋" w:cs="仿宋"/>
                <w:color w:val="000000"/>
                <w:sz w:val="24"/>
                <w:szCs w:val="24"/>
                <w:lang w:eastAsia="zh-TW"/>
              </w:rPr>
              <w:t>性质、地位和任务)</w:t>
            </w:r>
          </w:p>
        </w:tc>
        <w:tc>
          <w:tcPr>
            <w:tcW w:w="7779" w:type="dxa"/>
            <w:gridSpan w:val="13"/>
            <w:tcBorders>
              <w:bottom w:val="single" w:color="auto" w:sz="4" w:space="0"/>
            </w:tcBorders>
            <w:shd w:val="clear" w:color="auto" w:fill="FFFFFF"/>
            <w:noWrap w:val="0"/>
            <w:vAlign w:val="center"/>
          </w:tcPr>
          <w:p w14:paraId="320002C4">
            <w:pPr>
              <w:adjustRightInd w:val="0"/>
              <w:snapToGrid w:val="0"/>
              <w:rPr>
                <w:rFonts w:hint="eastAsia" w:ascii="仿宋" w:hAnsi="仿宋" w:eastAsia="仿宋" w:cs="仿宋"/>
                <w:color w:val="000000"/>
                <w:sz w:val="24"/>
              </w:rPr>
            </w:pPr>
            <w:r>
              <w:rPr>
                <w:rFonts w:hint="eastAsia" w:ascii="仿宋" w:hAnsi="仿宋" w:eastAsia="仿宋" w:cs="仿宋"/>
                <w:color w:val="000000"/>
                <w:sz w:val="24"/>
              </w:rPr>
              <w:t>本课程是师范院校的一门重要的教师教育课程，是教育科学学科群中的一门基础性学科。一方面，它是学习和研究教育学其它分支学科的前提和基础；另一方面，它也不断吸收其他学分支学科的研究成果，补充和完善自己的结构体系和具体的内容。通过教育学的学习，使学生了解和掌握有关教育的基础知识、基本理论和基本问题，认识教育规律，形成教育教学理念。通过教学，让学生感受知识的发展过程，优化学生的思维过程和思维品质，发展学生的智力，培养其能力、研究意识和探究能力等。同时，在学习教育学知识和理论的过程中，培养学生科学的学习方法和思维方法。</w:t>
            </w:r>
          </w:p>
        </w:tc>
      </w:tr>
      <w:tr w14:paraId="25C32D56">
        <w:trPr>
          <w:trHeight w:val="780" w:hRule="atLeast"/>
        </w:trPr>
        <w:tc>
          <w:tcPr>
            <w:tcW w:w="1376" w:type="dxa"/>
            <w:vMerge w:val="restart"/>
            <w:shd w:val="clear" w:color="auto" w:fill="FFFFFF"/>
            <w:noWrap w:val="0"/>
            <w:vAlign w:val="center"/>
          </w:tcPr>
          <w:p w14:paraId="78502297">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E</w:t>
            </w:r>
          </w:p>
          <w:p w14:paraId="5D0E0385">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课程学习目标及其与毕业要求的对应关系</w:t>
            </w:r>
          </w:p>
        </w:tc>
        <w:tc>
          <w:tcPr>
            <w:tcW w:w="7779" w:type="dxa"/>
            <w:gridSpan w:val="13"/>
            <w:tcBorders>
              <w:bottom w:val="single" w:color="auto" w:sz="4" w:space="0"/>
            </w:tcBorders>
            <w:shd w:val="clear" w:color="auto" w:fill="FFFFFF"/>
            <w:noWrap w:val="0"/>
            <w:vAlign w:val="center"/>
          </w:tcPr>
          <w:p w14:paraId="0646A3CA">
            <w:pPr>
              <w:adjustRightInd w:val="0"/>
              <w:snapToGrid w:val="0"/>
              <w:rPr>
                <w:rFonts w:hint="eastAsia" w:ascii="仿宋" w:hAnsi="仿宋" w:eastAsia="仿宋" w:cs="仿宋"/>
                <w:color w:val="000000"/>
                <w:sz w:val="24"/>
              </w:rPr>
            </w:pPr>
            <w:r>
              <w:rPr>
                <w:rFonts w:hint="eastAsia" w:ascii="仿宋" w:hAnsi="仿宋" w:eastAsia="仿宋" w:cs="仿宋"/>
                <w:color w:val="000000"/>
                <w:sz w:val="24"/>
              </w:rPr>
              <w:t>通过本课程的学习，学生具备如下知识、能力及情感态度价值观：</w:t>
            </w:r>
          </w:p>
          <w:p w14:paraId="39A551CC">
            <w:pPr>
              <w:adjustRightInd w:val="0"/>
              <w:snapToGrid w:val="0"/>
              <w:rPr>
                <w:rFonts w:hint="eastAsia" w:ascii="仿宋" w:hAnsi="仿宋" w:eastAsia="仿宋" w:cs="仿宋"/>
                <w:color w:val="000000"/>
                <w:sz w:val="24"/>
              </w:rPr>
            </w:pPr>
            <w:r>
              <w:rPr>
                <w:rFonts w:hint="eastAsia" w:ascii="仿宋" w:hAnsi="仿宋" w:eastAsia="仿宋" w:cs="仿宋"/>
                <w:color w:val="000000"/>
                <w:sz w:val="24"/>
              </w:rPr>
              <w:t>课程目标1：掌握教育与社会发展的规律、教育与个体发展的规律、教学规律、我国的教育方针、我国的教育目的、全面发展教育观、素质教育观、教师观、学生观、基础教育课改理论、教学理论；能贯彻党的教育方针，遵守中小学教师职业道德规范；具有正确的教育观、学生观、教师观、课程观、教学观。（支撑毕业要求2.2</w:t>
            </w:r>
            <w:r>
              <w:rPr>
                <w:rFonts w:hint="eastAsia" w:ascii="仿宋" w:hAnsi="仿宋" w:eastAsia="仿宋" w:cs="仿宋"/>
                <w:color w:val="000000"/>
                <w:sz w:val="24"/>
                <w:lang w:eastAsia="zh-CN"/>
              </w:rPr>
              <w:t>、</w:t>
            </w:r>
            <w:r>
              <w:rPr>
                <w:rFonts w:hint="eastAsia" w:ascii="仿宋" w:hAnsi="仿宋" w:eastAsia="仿宋" w:cs="仿宋"/>
                <w:color w:val="000000"/>
                <w:sz w:val="24"/>
                <w:lang w:val="en-US" w:eastAsia="zh-CN"/>
              </w:rPr>
              <w:t>3.3</w:t>
            </w:r>
            <w:r>
              <w:rPr>
                <w:rFonts w:hint="eastAsia" w:ascii="仿宋" w:hAnsi="仿宋" w:eastAsia="仿宋" w:cs="仿宋"/>
                <w:color w:val="000000"/>
                <w:sz w:val="24"/>
              </w:rPr>
              <w:t>）</w:t>
            </w:r>
          </w:p>
          <w:p w14:paraId="66436749">
            <w:pPr>
              <w:adjustRightInd w:val="0"/>
              <w:snapToGrid w:val="0"/>
              <w:rPr>
                <w:rFonts w:hint="eastAsia" w:ascii="仿宋" w:hAnsi="仿宋" w:eastAsia="仿宋" w:cs="仿宋"/>
                <w:color w:val="000000"/>
                <w:sz w:val="24"/>
              </w:rPr>
            </w:pPr>
            <w:r>
              <w:rPr>
                <w:rFonts w:hint="eastAsia" w:ascii="仿宋" w:hAnsi="仿宋" w:eastAsia="仿宋" w:cs="仿宋"/>
                <w:color w:val="000000"/>
                <w:sz w:val="24"/>
              </w:rPr>
              <w:t>课程目标2：掌握课程理论；掌握教学规律、教学原则、教学方法、教学组织形式、教学工作基本环节、教学评价、课堂管理等教学理论，为提高学生的教学能力奠定理论基础。学会运用相关理论分析、解决基础教育实践中的具体问题，能够开展课程与教学设计、实施、评价等相关工作。（支撑毕业要求4.1）</w:t>
            </w:r>
          </w:p>
          <w:p w14:paraId="70DC6420">
            <w:pPr>
              <w:adjustRightInd w:val="0"/>
              <w:snapToGrid w:val="0"/>
              <w:rPr>
                <w:rFonts w:hint="eastAsia" w:ascii="仿宋" w:hAnsi="仿宋" w:eastAsia="仿宋" w:cs="仿宋"/>
                <w:color w:val="000000"/>
                <w:sz w:val="24"/>
              </w:rPr>
            </w:pPr>
            <w:r>
              <w:rPr>
                <w:rFonts w:hint="eastAsia" w:ascii="仿宋" w:hAnsi="仿宋" w:eastAsia="仿宋" w:cs="仿宋"/>
                <w:color w:val="000000"/>
                <w:sz w:val="24"/>
              </w:rPr>
              <w:t>课程目标3：掌握德育概念、德育任务、德育内容、德育过程的规律、德育原则、德育方法与途径，学会运用德育规律、德育原则、德育方法分析德育的现象与问题。掌握班主任的基本职责与任务、班主任工作的具体内容与策略、班级管理的内容与方法、课外活动的含义及特点，学会运用班主任工作的内容与策略，处理班级管理中的各类现象与问题。（支撑毕业要求5.1、5.2）</w:t>
            </w:r>
          </w:p>
        </w:tc>
      </w:tr>
      <w:tr w14:paraId="112F7EF2">
        <w:trPr>
          <w:trHeight w:val="642" w:hRule="atLeast"/>
        </w:trPr>
        <w:tc>
          <w:tcPr>
            <w:tcW w:w="1376" w:type="dxa"/>
            <w:vMerge w:val="continue"/>
            <w:shd w:val="clear" w:color="auto" w:fill="FFFFFF"/>
            <w:noWrap w:val="0"/>
            <w:vAlign w:val="center"/>
          </w:tcPr>
          <w:p w14:paraId="69BE8CAD">
            <w:pPr>
              <w:adjustRightInd w:val="0"/>
              <w:snapToGrid w:val="0"/>
              <w:spacing w:line="240" w:lineRule="atLeast"/>
              <w:jc w:val="center"/>
              <w:rPr>
                <w:rFonts w:hint="eastAsia" w:ascii="仿宋" w:hAnsi="仿宋" w:eastAsia="仿宋" w:cs="仿宋"/>
                <w:color w:val="000000"/>
                <w:sz w:val="24"/>
                <w:szCs w:val="24"/>
              </w:rPr>
            </w:pPr>
          </w:p>
        </w:tc>
        <w:tc>
          <w:tcPr>
            <w:tcW w:w="1275" w:type="dxa"/>
            <w:gridSpan w:val="3"/>
            <w:tcBorders>
              <w:bottom w:val="single" w:color="auto" w:sz="4" w:space="0"/>
            </w:tcBorders>
            <w:shd w:val="clear" w:color="auto" w:fill="FFFFFF"/>
            <w:noWrap w:val="0"/>
            <w:vAlign w:val="center"/>
          </w:tcPr>
          <w:p w14:paraId="480ECC3F">
            <w:pPr>
              <w:adjustRightInd w:val="0"/>
              <w:snapToGrid w:val="0"/>
              <w:rPr>
                <w:rFonts w:hint="eastAsia" w:ascii="仿宋" w:hAnsi="仿宋" w:eastAsia="仿宋" w:cs="仿宋"/>
                <w:color w:val="000000"/>
                <w:sz w:val="24"/>
              </w:rPr>
            </w:pPr>
            <w:r>
              <w:rPr>
                <w:rFonts w:hint="eastAsia" w:ascii="仿宋" w:hAnsi="仿宋" w:eastAsia="仿宋" w:cs="仿宋"/>
                <w:color w:val="000000"/>
                <w:sz w:val="24"/>
              </w:rPr>
              <w:t>课程目标</w:t>
            </w:r>
          </w:p>
        </w:tc>
        <w:tc>
          <w:tcPr>
            <w:tcW w:w="4908" w:type="dxa"/>
            <w:gridSpan w:val="6"/>
            <w:tcBorders>
              <w:bottom w:val="single" w:color="auto" w:sz="4" w:space="0"/>
            </w:tcBorders>
            <w:shd w:val="clear" w:color="auto" w:fill="FFFFFF"/>
            <w:noWrap w:val="0"/>
            <w:vAlign w:val="center"/>
          </w:tcPr>
          <w:p w14:paraId="75D8D1CD">
            <w:pPr>
              <w:adjustRightInd w:val="0"/>
              <w:snapToGrid w:val="0"/>
              <w:rPr>
                <w:rFonts w:hint="eastAsia" w:ascii="仿宋" w:hAnsi="仿宋" w:eastAsia="仿宋" w:cs="仿宋"/>
                <w:color w:val="000000"/>
                <w:sz w:val="24"/>
              </w:rPr>
            </w:pPr>
            <w:r>
              <w:rPr>
                <w:rFonts w:hint="eastAsia" w:ascii="仿宋" w:hAnsi="仿宋" w:eastAsia="仿宋" w:cs="仿宋"/>
                <w:color w:val="000000"/>
                <w:sz w:val="24"/>
              </w:rPr>
              <w:t>毕业要求分解指标点</w:t>
            </w:r>
          </w:p>
        </w:tc>
        <w:tc>
          <w:tcPr>
            <w:tcW w:w="1596" w:type="dxa"/>
            <w:gridSpan w:val="4"/>
            <w:tcBorders>
              <w:bottom w:val="single" w:color="auto" w:sz="4" w:space="0"/>
            </w:tcBorders>
            <w:shd w:val="clear" w:color="auto" w:fill="FFFFFF"/>
            <w:noWrap w:val="0"/>
            <w:vAlign w:val="center"/>
          </w:tcPr>
          <w:p w14:paraId="00AA948F">
            <w:pPr>
              <w:adjustRightInd w:val="0"/>
              <w:snapToGrid w:val="0"/>
              <w:rPr>
                <w:rFonts w:hint="eastAsia" w:ascii="仿宋" w:hAnsi="仿宋" w:eastAsia="仿宋" w:cs="仿宋"/>
                <w:color w:val="000000"/>
                <w:sz w:val="24"/>
              </w:rPr>
            </w:pPr>
            <w:r>
              <w:rPr>
                <w:rFonts w:hint="eastAsia" w:ascii="仿宋" w:hAnsi="仿宋" w:eastAsia="仿宋" w:cs="仿宋"/>
                <w:color w:val="000000"/>
                <w:sz w:val="24"/>
              </w:rPr>
              <w:t>毕业要求</w:t>
            </w:r>
          </w:p>
        </w:tc>
      </w:tr>
      <w:tr w14:paraId="311295C4">
        <w:trPr>
          <w:trHeight w:val="2970" w:hRule="atLeast"/>
        </w:trPr>
        <w:tc>
          <w:tcPr>
            <w:tcW w:w="1376" w:type="dxa"/>
            <w:vMerge w:val="continue"/>
            <w:shd w:val="clear" w:color="auto" w:fill="FFFFFF"/>
            <w:noWrap w:val="0"/>
            <w:vAlign w:val="center"/>
          </w:tcPr>
          <w:p w14:paraId="35602B91">
            <w:pPr>
              <w:adjustRightInd w:val="0"/>
              <w:snapToGrid w:val="0"/>
              <w:spacing w:line="240" w:lineRule="atLeast"/>
              <w:jc w:val="center"/>
              <w:rPr>
                <w:rFonts w:hint="eastAsia" w:ascii="仿宋" w:hAnsi="仿宋" w:eastAsia="仿宋" w:cs="仿宋"/>
                <w:color w:val="000000"/>
                <w:sz w:val="24"/>
                <w:szCs w:val="24"/>
              </w:rPr>
            </w:pPr>
          </w:p>
        </w:tc>
        <w:tc>
          <w:tcPr>
            <w:tcW w:w="1275" w:type="dxa"/>
            <w:gridSpan w:val="3"/>
            <w:tcBorders>
              <w:bottom w:val="single" w:color="auto" w:sz="4" w:space="0"/>
            </w:tcBorders>
            <w:shd w:val="clear" w:color="auto" w:fill="FFFFFF"/>
            <w:noWrap w:val="0"/>
            <w:vAlign w:val="center"/>
          </w:tcPr>
          <w:p w14:paraId="26153A59">
            <w:pPr>
              <w:adjustRightInd w:val="0"/>
              <w:snapToGrid w:val="0"/>
              <w:rPr>
                <w:rFonts w:hint="eastAsia" w:ascii="仿宋" w:hAnsi="仿宋" w:eastAsia="仿宋" w:cs="仿宋"/>
                <w:color w:val="000000"/>
                <w:sz w:val="24"/>
              </w:rPr>
            </w:pPr>
            <w:r>
              <w:rPr>
                <w:rFonts w:hint="eastAsia" w:ascii="仿宋" w:hAnsi="仿宋" w:eastAsia="仿宋" w:cs="仿宋"/>
                <w:color w:val="000000"/>
                <w:sz w:val="24"/>
              </w:rPr>
              <w:t>课程目标1</w:t>
            </w:r>
          </w:p>
          <w:p w14:paraId="0FF1C3ED">
            <w:pPr>
              <w:adjustRightInd w:val="0"/>
              <w:snapToGrid w:val="0"/>
              <w:rPr>
                <w:rFonts w:hint="eastAsia" w:ascii="仿宋" w:hAnsi="仿宋" w:eastAsia="仿宋" w:cs="仿宋"/>
                <w:color w:val="000000"/>
                <w:sz w:val="24"/>
              </w:rPr>
            </w:pPr>
            <w:r>
              <w:rPr>
                <w:rFonts w:hint="eastAsia" w:ascii="仿宋" w:hAnsi="仿宋" w:eastAsia="仿宋" w:cs="仿宋"/>
                <w:color w:val="000000"/>
                <w:sz w:val="24"/>
              </w:rPr>
              <w:t>（H</w:t>
            </w:r>
            <w:r>
              <w:rPr>
                <w:rFonts w:hint="eastAsia" w:ascii="仿宋" w:hAnsi="仿宋" w:eastAsia="仿宋" w:cs="仿宋"/>
                <w:color w:val="000000"/>
                <w:sz w:val="24"/>
                <w:lang w:val="en-US" w:eastAsia="zh-CN"/>
              </w:rPr>
              <w:t>高</w:t>
            </w:r>
            <w:r>
              <w:rPr>
                <w:rFonts w:hint="eastAsia" w:ascii="仿宋" w:hAnsi="仿宋" w:eastAsia="仿宋" w:cs="仿宋"/>
                <w:color w:val="000000"/>
                <w:sz w:val="24"/>
              </w:rPr>
              <w:t>支撑）</w:t>
            </w:r>
          </w:p>
        </w:tc>
        <w:tc>
          <w:tcPr>
            <w:tcW w:w="4908" w:type="dxa"/>
            <w:gridSpan w:val="6"/>
            <w:shd w:val="clear" w:color="auto" w:fill="FFFFFF"/>
            <w:noWrap w:val="0"/>
            <w:vAlign w:val="center"/>
          </w:tcPr>
          <w:p w14:paraId="19D3731A">
            <w:pPr>
              <w:adjustRightInd w:val="0"/>
              <w:snapToGrid w:val="0"/>
              <w:rPr>
                <w:rFonts w:hint="eastAsia" w:ascii="仿宋" w:hAnsi="仿宋" w:eastAsia="仿宋" w:cs="仿宋"/>
                <w:color w:val="000000"/>
                <w:sz w:val="24"/>
              </w:rPr>
            </w:pPr>
            <w:r>
              <w:rPr>
                <w:rFonts w:hint="eastAsia" w:ascii="仿宋" w:hAnsi="仿宋" w:eastAsia="仿宋" w:cs="仿宋"/>
                <w:color w:val="000000"/>
                <w:sz w:val="24"/>
              </w:rPr>
              <w:t>2.2【用心从教】树立爱岗敬业精神，了解学生的身心发展特点和音乐的认知规律，关爱学生，保护学生安全，促进学生身心健康发展，在教育实践中能够认真履行工作职责、富有爱心、责任心，建立</w:t>
            </w:r>
            <w:r>
              <w:rPr>
                <w:rFonts w:hint="eastAsia" w:ascii="仿宋" w:hAnsi="仿宋" w:eastAsia="仿宋" w:cs="仿宋"/>
                <w:color w:val="000000"/>
                <w:sz w:val="24"/>
                <w:lang w:val="en-US"/>
              </w:rPr>
              <w:t>良好</w:t>
            </w:r>
            <w:r>
              <w:rPr>
                <w:rFonts w:hint="eastAsia" w:ascii="仿宋" w:hAnsi="仿宋" w:eastAsia="仿宋" w:cs="仿宋"/>
                <w:color w:val="000000"/>
                <w:sz w:val="24"/>
              </w:rPr>
              <w:t>师生关系。</w:t>
            </w:r>
          </w:p>
          <w:p w14:paraId="5F12A5D7">
            <w:pPr>
              <w:adjustRightInd w:val="0"/>
              <w:snapToGrid w:val="0"/>
              <w:rPr>
                <w:rFonts w:hint="eastAsia" w:ascii="仿宋" w:hAnsi="仿宋" w:eastAsia="仿宋" w:cs="仿宋"/>
                <w:color w:val="000000"/>
                <w:sz w:val="24"/>
              </w:rPr>
            </w:pPr>
            <w:r>
              <w:rPr>
                <w:rFonts w:hint="eastAsia" w:ascii="仿宋" w:hAnsi="仿宋" w:eastAsia="仿宋" w:cs="仿宋"/>
                <w:color w:val="000000"/>
                <w:sz w:val="24"/>
              </w:rPr>
              <w:t>3.3【知识整合】具有跨学科意识，</w:t>
            </w:r>
            <w:r>
              <w:rPr>
                <w:rFonts w:hint="eastAsia" w:ascii="仿宋" w:hAnsi="仿宋" w:eastAsia="仿宋" w:cs="仿宋"/>
                <w:color w:val="000000"/>
                <w:sz w:val="24"/>
                <w:lang w:val="en-US" w:eastAsia="zh-Hans"/>
              </w:rPr>
              <w:t>了解学习科学相关知识</w:t>
            </w:r>
            <w:r>
              <w:rPr>
                <w:rFonts w:hint="eastAsia" w:ascii="仿宋" w:hAnsi="仿宋" w:eastAsia="仿宋" w:cs="仿宋"/>
                <w:color w:val="000000"/>
                <w:sz w:val="24"/>
                <w:lang w:eastAsia="zh-Hans"/>
              </w:rPr>
              <w:t>，</w:t>
            </w:r>
            <w:r>
              <w:rPr>
                <w:rFonts w:hint="eastAsia" w:ascii="仿宋" w:hAnsi="仿宋" w:eastAsia="仿宋" w:cs="仿宋"/>
                <w:color w:val="000000"/>
                <w:sz w:val="24"/>
              </w:rPr>
              <w:t>了解音乐学科与其他学科的联系，</w:t>
            </w:r>
            <w:r>
              <w:rPr>
                <w:rFonts w:hint="eastAsia" w:ascii="仿宋" w:hAnsi="仿宋" w:eastAsia="仿宋" w:cs="仿宋"/>
                <w:color w:val="000000"/>
                <w:sz w:val="24"/>
                <w:lang w:val="en-US" w:eastAsia="zh-CN"/>
              </w:rPr>
              <w:t>形成初步融合、综合学习的能力，能</w:t>
            </w:r>
            <w:r>
              <w:rPr>
                <w:rFonts w:hint="eastAsia" w:ascii="仿宋" w:hAnsi="仿宋" w:eastAsia="仿宋" w:cs="仿宋"/>
                <w:color w:val="000000"/>
                <w:sz w:val="24"/>
              </w:rPr>
              <w:t>运用跨学科知识分析和解决音乐教学中的问题。</w:t>
            </w:r>
          </w:p>
        </w:tc>
        <w:tc>
          <w:tcPr>
            <w:tcW w:w="1596" w:type="dxa"/>
            <w:gridSpan w:val="4"/>
            <w:shd w:val="clear" w:color="auto" w:fill="FFFFFF"/>
            <w:noWrap w:val="0"/>
            <w:vAlign w:val="center"/>
          </w:tcPr>
          <w:p w14:paraId="1D467F83">
            <w:pPr>
              <w:adjustRightInd w:val="0"/>
              <w:snapToGrid w:val="0"/>
              <w:rPr>
                <w:rFonts w:hint="eastAsia" w:ascii="仿宋" w:hAnsi="仿宋" w:eastAsia="仿宋" w:cs="仿宋"/>
                <w:color w:val="000000"/>
                <w:sz w:val="24"/>
              </w:rPr>
            </w:pPr>
            <w:r>
              <w:rPr>
                <w:rFonts w:hint="eastAsia" w:ascii="仿宋" w:hAnsi="仿宋" w:eastAsia="仿宋" w:cs="仿宋"/>
                <w:color w:val="000000"/>
                <w:sz w:val="24"/>
              </w:rPr>
              <w:t>教育情怀（2）</w:t>
            </w:r>
          </w:p>
          <w:p w14:paraId="5222B615">
            <w:pPr>
              <w:adjustRightInd w:val="0"/>
              <w:snapToGrid w:val="0"/>
              <w:rPr>
                <w:rFonts w:hint="eastAsia" w:ascii="仿宋" w:hAnsi="仿宋" w:eastAsia="仿宋" w:cs="仿宋"/>
                <w:color w:val="000000"/>
                <w:sz w:val="24"/>
              </w:rPr>
            </w:pPr>
            <w:r>
              <w:rPr>
                <w:rFonts w:hint="eastAsia" w:ascii="仿宋" w:hAnsi="仿宋" w:eastAsia="仿宋" w:cs="仿宋"/>
                <w:color w:val="000000"/>
                <w:sz w:val="24"/>
                <w:lang w:val="en-US" w:eastAsia="zh-CN"/>
              </w:rPr>
              <w:t>学科素养（3）</w:t>
            </w:r>
          </w:p>
        </w:tc>
      </w:tr>
      <w:tr w14:paraId="26FC77D3">
        <w:trPr>
          <w:trHeight w:val="2116" w:hRule="atLeast"/>
        </w:trPr>
        <w:tc>
          <w:tcPr>
            <w:tcW w:w="1376" w:type="dxa"/>
            <w:vMerge w:val="continue"/>
            <w:shd w:val="clear" w:color="auto" w:fill="FFFFFF"/>
            <w:noWrap w:val="0"/>
            <w:vAlign w:val="center"/>
          </w:tcPr>
          <w:p w14:paraId="6F3D4AFD">
            <w:pPr>
              <w:adjustRightInd w:val="0"/>
              <w:snapToGrid w:val="0"/>
              <w:spacing w:line="240" w:lineRule="atLeast"/>
              <w:jc w:val="center"/>
              <w:rPr>
                <w:rFonts w:hint="eastAsia" w:ascii="仿宋" w:hAnsi="仿宋" w:eastAsia="仿宋" w:cs="仿宋"/>
                <w:color w:val="000000"/>
                <w:sz w:val="24"/>
                <w:szCs w:val="24"/>
              </w:rPr>
            </w:pPr>
          </w:p>
        </w:tc>
        <w:tc>
          <w:tcPr>
            <w:tcW w:w="1275" w:type="dxa"/>
            <w:gridSpan w:val="3"/>
            <w:shd w:val="clear" w:color="auto" w:fill="FFFFFF"/>
            <w:noWrap w:val="0"/>
            <w:vAlign w:val="center"/>
          </w:tcPr>
          <w:p w14:paraId="3693CDF1">
            <w:pPr>
              <w:adjustRightInd w:val="0"/>
              <w:snapToGrid w:val="0"/>
              <w:rPr>
                <w:rFonts w:hint="eastAsia" w:ascii="仿宋" w:hAnsi="仿宋" w:eastAsia="仿宋" w:cs="仿宋"/>
                <w:color w:val="000000"/>
                <w:sz w:val="24"/>
              </w:rPr>
            </w:pPr>
            <w:r>
              <w:rPr>
                <w:rFonts w:hint="eastAsia" w:ascii="仿宋" w:hAnsi="仿宋" w:eastAsia="仿宋" w:cs="仿宋"/>
                <w:color w:val="000000"/>
                <w:sz w:val="24"/>
              </w:rPr>
              <w:t>课程目标2</w:t>
            </w:r>
          </w:p>
          <w:p w14:paraId="04ADB28B">
            <w:pPr>
              <w:adjustRightInd w:val="0"/>
              <w:snapToGrid w:val="0"/>
              <w:rPr>
                <w:rFonts w:hint="eastAsia" w:ascii="仿宋" w:hAnsi="仿宋" w:eastAsia="仿宋" w:cs="仿宋"/>
                <w:color w:val="000000"/>
                <w:sz w:val="24"/>
              </w:rPr>
            </w:pPr>
            <w:r>
              <w:rPr>
                <w:rFonts w:hint="eastAsia" w:ascii="仿宋" w:hAnsi="仿宋" w:eastAsia="仿宋" w:cs="仿宋"/>
                <w:color w:val="000000"/>
                <w:sz w:val="24"/>
              </w:rPr>
              <w:t>(H高支撑)</w:t>
            </w:r>
          </w:p>
        </w:tc>
        <w:tc>
          <w:tcPr>
            <w:tcW w:w="4908" w:type="dxa"/>
            <w:gridSpan w:val="6"/>
            <w:shd w:val="clear" w:color="auto" w:fill="FFFFFF"/>
            <w:noWrap w:val="0"/>
            <w:vAlign w:val="center"/>
          </w:tcPr>
          <w:p w14:paraId="650F3F08">
            <w:pPr>
              <w:adjustRightInd w:val="0"/>
              <w:snapToGrid w:val="0"/>
              <w:rPr>
                <w:rFonts w:hint="eastAsia" w:ascii="仿宋" w:hAnsi="仿宋" w:eastAsia="仿宋" w:cs="仿宋"/>
                <w:color w:val="000000"/>
                <w:sz w:val="24"/>
              </w:rPr>
            </w:pPr>
            <w:r>
              <w:rPr>
                <w:rFonts w:hint="eastAsia" w:ascii="仿宋" w:hAnsi="仿宋" w:eastAsia="仿宋" w:cs="仿宋"/>
                <w:color w:val="000000"/>
                <w:sz w:val="24"/>
              </w:rPr>
              <w:t>4.1【教学设计与实施】熟悉中学音乐课程标准和教材，</w:t>
            </w:r>
            <w:r>
              <w:rPr>
                <w:rFonts w:hint="eastAsia" w:ascii="仿宋" w:hAnsi="仿宋" w:eastAsia="仿宋" w:cs="仿宋"/>
                <w:color w:val="000000"/>
                <w:sz w:val="24"/>
                <w:lang w:val="en-US" w:eastAsia="zh-CN"/>
              </w:rPr>
              <w:t>能够运用学科知识和现代信息技术进行课堂教学设计，</w:t>
            </w:r>
            <w:r>
              <w:rPr>
                <w:rFonts w:hint="eastAsia" w:ascii="仿宋" w:hAnsi="仿宋" w:eastAsia="仿宋" w:cs="仿宋"/>
                <w:color w:val="000000"/>
                <w:sz w:val="24"/>
              </w:rPr>
              <w:t>合理安排教学过程和环节，科学设计评价内容和方式，根据学生音乐认知的特征和个体差异，</w:t>
            </w:r>
            <w:r>
              <w:rPr>
                <w:rFonts w:hint="eastAsia" w:ascii="仿宋" w:hAnsi="仿宋" w:eastAsia="仿宋" w:cs="仿宋"/>
                <w:color w:val="000000"/>
                <w:sz w:val="24"/>
                <w:lang w:val="en-US" w:eastAsia="zh-CN"/>
              </w:rPr>
              <w:t>进行</w:t>
            </w:r>
            <w:r>
              <w:rPr>
                <w:rFonts w:hint="eastAsia" w:ascii="仿宋" w:hAnsi="仿宋" w:eastAsia="仿宋" w:cs="仿宋"/>
                <w:color w:val="000000"/>
                <w:sz w:val="24"/>
              </w:rPr>
              <w:t>差异化教学。课后能够及时反思、总结</w:t>
            </w:r>
            <w:r>
              <w:rPr>
                <w:rFonts w:hint="eastAsia" w:ascii="仿宋" w:hAnsi="仿宋" w:eastAsia="仿宋" w:cs="仿宋"/>
                <w:color w:val="000000"/>
                <w:sz w:val="24"/>
                <w:lang w:eastAsia="zh-CN"/>
              </w:rPr>
              <w:t>，</w:t>
            </w:r>
            <w:r>
              <w:rPr>
                <w:rFonts w:hint="eastAsia" w:ascii="仿宋" w:hAnsi="仿宋" w:eastAsia="仿宋" w:cs="仿宋"/>
                <w:color w:val="000000"/>
                <w:sz w:val="24"/>
              </w:rPr>
              <w:t>形成初步的</w:t>
            </w:r>
            <w:r>
              <w:rPr>
                <w:rFonts w:hint="eastAsia" w:ascii="仿宋" w:hAnsi="仿宋" w:eastAsia="仿宋" w:cs="仿宋"/>
                <w:color w:val="000000"/>
                <w:sz w:val="24"/>
                <w:lang w:val="en-US" w:eastAsia="zh-CN"/>
              </w:rPr>
              <w:t>音乐</w:t>
            </w:r>
            <w:r>
              <w:rPr>
                <w:rFonts w:hint="eastAsia" w:ascii="仿宋" w:hAnsi="仿宋" w:eastAsia="仿宋" w:cs="仿宋"/>
                <w:color w:val="000000"/>
                <w:sz w:val="24"/>
              </w:rPr>
              <w:t>教研能力。</w:t>
            </w:r>
          </w:p>
        </w:tc>
        <w:tc>
          <w:tcPr>
            <w:tcW w:w="1596" w:type="dxa"/>
            <w:gridSpan w:val="4"/>
            <w:shd w:val="clear" w:color="auto" w:fill="FFFFFF"/>
            <w:noWrap w:val="0"/>
            <w:vAlign w:val="center"/>
          </w:tcPr>
          <w:p w14:paraId="49B63DD8">
            <w:pPr>
              <w:adjustRightInd w:val="0"/>
              <w:snapToGrid w:val="0"/>
              <w:rPr>
                <w:rFonts w:hint="eastAsia" w:ascii="仿宋" w:hAnsi="仿宋" w:eastAsia="仿宋" w:cs="仿宋"/>
                <w:color w:val="000000"/>
                <w:sz w:val="24"/>
              </w:rPr>
            </w:pPr>
            <w:r>
              <w:rPr>
                <w:rFonts w:hint="eastAsia" w:ascii="仿宋" w:hAnsi="仿宋" w:eastAsia="仿宋" w:cs="仿宋"/>
                <w:color w:val="000000"/>
                <w:sz w:val="24"/>
              </w:rPr>
              <w:t>教学能力（4）</w:t>
            </w:r>
          </w:p>
        </w:tc>
      </w:tr>
      <w:tr w14:paraId="649F1409">
        <w:trPr>
          <w:trHeight w:val="3252" w:hRule="atLeast"/>
        </w:trPr>
        <w:tc>
          <w:tcPr>
            <w:tcW w:w="1376" w:type="dxa"/>
            <w:vMerge w:val="continue"/>
            <w:shd w:val="clear" w:color="auto" w:fill="FFFFFF"/>
            <w:noWrap w:val="0"/>
            <w:vAlign w:val="center"/>
          </w:tcPr>
          <w:p w14:paraId="291A4679">
            <w:pPr>
              <w:adjustRightInd w:val="0"/>
              <w:snapToGrid w:val="0"/>
              <w:spacing w:line="240" w:lineRule="atLeast"/>
              <w:jc w:val="center"/>
              <w:rPr>
                <w:rFonts w:hint="eastAsia" w:ascii="仿宋" w:hAnsi="仿宋" w:eastAsia="仿宋" w:cs="仿宋"/>
                <w:color w:val="000000"/>
                <w:sz w:val="24"/>
                <w:szCs w:val="24"/>
              </w:rPr>
            </w:pPr>
          </w:p>
        </w:tc>
        <w:tc>
          <w:tcPr>
            <w:tcW w:w="1275" w:type="dxa"/>
            <w:gridSpan w:val="3"/>
            <w:shd w:val="clear" w:color="auto" w:fill="FFFFFF"/>
            <w:noWrap w:val="0"/>
            <w:vAlign w:val="center"/>
          </w:tcPr>
          <w:p w14:paraId="37D64E99">
            <w:pPr>
              <w:adjustRightInd w:val="0"/>
              <w:snapToGrid w:val="0"/>
              <w:rPr>
                <w:rFonts w:hint="eastAsia" w:ascii="仿宋" w:hAnsi="仿宋" w:eastAsia="仿宋" w:cs="仿宋"/>
                <w:color w:val="000000"/>
                <w:sz w:val="24"/>
              </w:rPr>
            </w:pPr>
            <w:r>
              <w:rPr>
                <w:rFonts w:hint="eastAsia" w:ascii="仿宋" w:hAnsi="仿宋" w:eastAsia="仿宋" w:cs="仿宋"/>
                <w:color w:val="000000"/>
                <w:sz w:val="24"/>
              </w:rPr>
              <w:t>课程目标3</w:t>
            </w:r>
          </w:p>
          <w:p w14:paraId="6A0F1079">
            <w:pPr>
              <w:adjustRightInd w:val="0"/>
              <w:snapToGrid w:val="0"/>
              <w:rPr>
                <w:rFonts w:hint="eastAsia" w:ascii="仿宋" w:hAnsi="仿宋" w:eastAsia="仿宋" w:cs="仿宋"/>
                <w:color w:val="000000"/>
                <w:sz w:val="24"/>
              </w:rPr>
            </w:pPr>
            <w:r>
              <w:rPr>
                <w:rFonts w:hint="eastAsia" w:ascii="仿宋" w:hAnsi="仿宋" w:eastAsia="仿宋" w:cs="仿宋"/>
                <w:color w:val="000000"/>
                <w:sz w:val="24"/>
              </w:rPr>
              <w:t>(H高支撑)</w:t>
            </w:r>
          </w:p>
        </w:tc>
        <w:tc>
          <w:tcPr>
            <w:tcW w:w="4908" w:type="dxa"/>
            <w:gridSpan w:val="6"/>
            <w:shd w:val="clear" w:color="auto" w:fill="FFFFFF"/>
            <w:noWrap w:val="0"/>
            <w:vAlign w:val="center"/>
          </w:tcPr>
          <w:p w14:paraId="75B31C25">
            <w:pPr>
              <w:adjustRightInd w:val="0"/>
              <w:snapToGrid w:val="0"/>
              <w:rPr>
                <w:rFonts w:hint="eastAsia" w:ascii="仿宋" w:hAnsi="仿宋" w:eastAsia="仿宋" w:cs="仿宋"/>
                <w:color w:val="000000"/>
                <w:sz w:val="24"/>
              </w:rPr>
            </w:pPr>
            <w:r>
              <w:rPr>
                <w:rFonts w:hint="eastAsia" w:ascii="仿宋" w:hAnsi="仿宋" w:eastAsia="仿宋" w:cs="仿宋"/>
                <w:color w:val="000000"/>
                <w:sz w:val="24"/>
              </w:rPr>
              <w:t>5.1【育德意识】树立德育为先理念，了解中学德育原理与方法，利用音乐手段进行德育教育，有效地把美育和德育结合起来，针对中学生思想品德发展的规律和个性特征，有意识、有针对性的开展德育工作。</w:t>
            </w:r>
          </w:p>
          <w:p w14:paraId="450D794B">
            <w:pPr>
              <w:adjustRightInd w:val="0"/>
              <w:snapToGrid w:val="0"/>
              <w:rPr>
                <w:rFonts w:hint="eastAsia" w:ascii="仿宋" w:hAnsi="仿宋" w:eastAsia="仿宋" w:cs="仿宋"/>
                <w:color w:val="000000"/>
                <w:sz w:val="24"/>
              </w:rPr>
            </w:pPr>
            <w:r>
              <w:rPr>
                <w:rFonts w:hint="eastAsia" w:ascii="仿宋" w:hAnsi="仿宋" w:eastAsia="仿宋" w:cs="仿宋"/>
                <w:color w:val="000000"/>
                <w:sz w:val="24"/>
              </w:rPr>
              <w:t>5.2【班级管理】掌握班集体建设、班级教育活动组织的方法，能够初步运用信息技术辅助开展班级指导活动，掌握</w:t>
            </w:r>
            <w:r>
              <w:rPr>
                <w:rFonts w:hint="eastAsia" w:ascii="仿宋" w:hAnsi="仿宋" w:eastAsia="仿宋" w:cs="仿宋"/>
                <w:color w:val="000000"/>
                <w:sz w:val="24"/>
                <w:lang w:val="en-US" w:eastAsia="zh-CN"/>
              </w:rPr>
              <w:t>相关</w:t>
            </w:r>
            <w:r>
              <w:rPr>
                <w:rFonts w:hint="eastAsia" w:ascii="仿宋" w:hAnsi="仿宋" w:eastAsia="仿宋" w:cs="仿宋"/>
                <w:color w:val="000000"/>
                <w:sz w:val="24"/>
              </w:rPr>
              <w:t>心理辅导方法，能够参与心理健康教育活动，掌握家校沟通交流的渠道和途径。</w:t>
            </w:r>
          </w:p>
        </w:tc>
        <w:tc>
          <w:tcPr>
            <w:tcW w:w="1596" w:type="dxa"/>
            <w:gridSpan w:val="4"/>
            <w:shd w:val="clear" w:color="auto" w:fill="FFFFFF"/>
            <w:noWrap w:val="0"/>
            <w:vAlign w:val="center"/>
          </w:tcPr>
          <w:p w14:paraId="6A72243B">
            <w:pPr>
              <w:adjustRightInd w:val="0"/>
              <w:snapToGrid w:val="0"/>
              <w:rPr>
                <w:rFonts w:hint="eastAsia" w:ascii="仿宋" w:hAnsi="仿宋" w:eastAsia="仿宋" w:cs="仿宋"/>
                <w:color w:val="000000"/>
                <w:sz w:val="24"/>
              </w:rPr>
            </w:pPr>
            <w:r>
              <w:rPr>
                <w:rFonts w:hint="eastAsia" w:ascii="仿宋" w:hAnsi="仿宋" w:eastAsia="仿宋" w:cs="仿宋"/>
                <w:color w:val="000000"/>
                <w:sz w:val="24"/>
              </w:rPr>
              <w:t>班级指导（5）</w:t>
            </w:r>
          </w:p>
        </w:tc>
      </w:tr>
      <w:tr w14:paraId="331D9AF5">
        <w:trPr>
          <w:trHeight w:val="582" w:hRule="atLeast"/>
        </w:trPr>
        <w:tc>
          <w:tcPr>
            <w:tcW w:w="1376" w:type="dxa"/>
            <w:vMerge w:val="restart"/>
            <w:shd w:val="clear" w:color="auto" w:fill="FFFFFF"/>
            <w:noWrap w:val="0"/>
            <w:vAlign w:val="center"/>
          </w:tcPr>
          <w:p w14:paraId="1D3FFB13">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F</w:t>
            </w:r>
          </w:p>
          <w:p w14:paraId="60988EC6">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理论学习内容</w:t>
            </w:r>
          </w:p>
        </w:tc>
        <w:tc>
          <w:tcPr>
            <w:tcW w:w="6183" w:type="dxa"/>
            <w:gridSpan w:val="9"/>
            <w:shd w:val="clear" w:color="auto" w:fill="FFFFFF"/>
            <w:noWrap w:val="0"/>
            <w:vAlign w:val="center"/>
          </w:tcPr>
          <w:p w14:paraId="23D31F26">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章节学习内容与学习要求</w:t>
            </w:r>
          </w:p>
        </w:tc>
        <w:tc>
          <w:tcPr>
            <w:tcW w:w="924" w:type="dxa"/>
            <w:gridSpan w:val="2"/>
            <w:shd w:val="clear" w:color="auto" w:fill="FFFFFF"/>
            <w:noWrap w:val="0"/>
            <w:vAlign w:val="center"/>
          </w:tcPr>
          <w:p w14:paraId="0D435686">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支撑课程目标</w:t>
            </w:r>
          </w:p>
        </w:tc>
        <w:tc>
          <w:tcPr>
            <w:tcW w:w="672" w:type="dxa"/>
            <w:gridSpan w:val="2"/>
            <w:shd w:val="clear" w:color="auto" w:fill="FFFFFF"/>
            <w:noWrap w:val="0"/>
            <w:vAlign w:val="center"/>
          </w:tcPr>
          <w:p w14:paraId="606851AE">
            <w:pPr>
              <w:adjustRightInd w:val="0"/>
              <w:snapToGrid w:val="0"/>
              <w:spacing w:line="240" w:lineRule="atLeast"/>
              <w:jc w:val="center"/>
              <w:textAlignment w:val="baseline"/>
              <w:rPr>
                <w:rFonts w:ascii="仿宋" w:hAnsi="仿宋" w:eastAsia="仿宋" w:cs="仿宋"/>
                <w:color w:val="000000"/>
                <w:kern w:val="0"/>
                <w:sz w:val="24"/>
                <w:szCs w:val="24"/>
              </w:rPr>
            </w:pPr>
            <w:r>
              <w:rPr>
                <w:rFonts w:hint="eastAsia" w:ascii="仿宋" w:hAnsi="仿宋" w:eastAsia="仿宋" w:cs="仿宋"/>
                <w:color w:val="000000"/>
                <w:kern w:val="0"/>
                <w:sz w:val="24"/>
                <w:szCs w:val="24"/>
              </w:rPr>
              <w:t>学时</w:t>
            </w:r>
          </w:p>
          <w:p w14:paraId="0851EF87">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分配</w:t>
            </w:r>
          </w:p>
        </w:tc>
      </w:tr>
      <w:tr w14:paraId="5CBE1738">
        <w:trPr>
          <w:trHeight w:val="454" w:hRule="atLeast"/>
        </w:trPr>
        <w:tc>
          <w:tcPr>
            <w:tcW w:w="1376" w:type="dxa"/>
            <w:vMerge w:val="continue"/>
            <w:shd w:val="clear" w:color="auto" w:fill="FFFFFF"/>
            <w:noWrap w:val="0"/>
            <w:vAlign w:val="center"/>
          </w:tcPr>
          <w:p w14:paraId="257868E6">
            <w:pPr>
              <w:adjustRightInd w:val="0"/>
              <w:snapToGrid w:val="0"/>
              <w:spacing w:line="240" w:lineRule="atLeast"/>
              <w:jc w:val="right"/>
              <w:rPr>
                <w:rFonts w:hint="eastAsia" w:ascii="仿宋" w:hAnsi="仿宋" w:eastAsia="仿宋" w:cs="仿宋"/>
                <w:color w:val="000000"/>
                <w:sz w:val="24"/>
                <w:szCs w:val="24"/>
              </w:rPr>
            </w:pPr>
          </w:p>
        </w:tc>
        <w:tc>
          <w:tcPr>
            <w:tcW w:w="6183" w:type="dxa"/>
            <w:gridSpan w:val="9"/>
            <w:shd w:val="clear" w:color="auto" w:fill="auto"/>
            <w:noWrap w:val="0"/>
            <w:vAlign w:val="center"/>
          </w:tcPr>
          <w:p w14:paraId="4676D816">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第一章  教育与教育学</w:t>
            </w:r>
          </w:p>
          <w:p w14:paraId="085498B9">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知道：描述</w:t>
            </w:r>
            <w:r>
              <w:rPr>
                <w:rFonts w:ascii="仿宋" w:hAnsi="仿宋" w:eastAsia="仿宋" w:cs="仿宋"/>
                <w:kern w:val="0"/>
                <w:sz w:val="24"/>
                <w:szCs w:val="24"/>
              </w:rPr>
              <w:t>教育</w:t>
            </w:r>
            <w:r>
              <w:rPr>
                <w:rFonts w:hint="eastAsia" w:ascii="仿宋" w:hAnsi="仿宋" w:eastAsia="仿宋" w:cs="仿宋"/>
                <w:kern w:val="0"/>
                <w:sz w:val="24"/>
                <w:szCs w:val="24"/>
              </w:rPr>
              <w:t>学</w:t>
            </w:r>
            <w:r>
              <w:rPr>
                <w:rFonts w:ascii="仿宋" w:hAnsi="仿宋" w:eastAsia="仿宋" w:cs="仿宋"/>
                <w:kern w:val="0"/>
                <w:sz w:val="24"/>
                <w:szCs w:val="24"/>
              </w:rPr>
              <w:t>的研究对象和任务</w:t>
            </w:r>
          </w:p>
          <w:p w14:paraId="321202BD">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领会：归纳</w:t>
            </w:r>
            <w:r>
              <w:rPr>
                <w:rFonts w:ascii="仿宋" w:hAnsi="仿宋" w:eastAsia="仿宋" w:cs="仿宋"/>
                <w:kern w:val="0"/>
                <w:sz w:val="24"/>
                <w:szCs w:val="24"/>
              </w:rPr>
              <w:t>教育的</w:t>
            </w:r>
            <w:r>
              <w:rPr>
                <w:rFonts w:hint="eastAsia" w:ascii="仿宋" w:hAnsi="仿宋" w:eastAsia="仿宋" w:cs="仿宋"/>
                <w:kern w:val="0"/>
                <w:sz w:val="24"/>
                <w:szCs w:val="24"/>
              </w:rPr>
              <w:t>产生与发展简史</w:t>
            </w:r>
          </w:p>
          <w:p w14:paraId="61BB8683">
            <w:pPr>
              <w:widowControl/>
              <w:adjustRightInd w:val="0"/>
              <w:snapToGrid w:val="0"/>
              <w:rPr>
                <w:rFonts w:hint="eastAsia" w:ascii="仿宋" w:hAnsi="仿宋" w:eastAsia="仿宋" w:cs="仿宋"/>
                <w:bCs/>
                <w:color w:val="4472C4"/>
                <w:sz w:val="24"/>
                <w:szCs w:val="24"/>
              </w:rPr>
            </w:pPr>
            <w:r>
              <w:rPr>
                <w:rFonts w:hint="eastAsia" w:ascii="仿宋" w:hAnsi="仿宋" w:eastAsia="仿宋" w:cs="仿宋"/>
                <w:kern w:val="0"/>
                <w:sz w:val="24"/>
                <w:szCs w:val="24"/>
              </w:rPr>
              <w:t>应用：运用</w:t>
            </w:r>
            <w:r>
              <w:rPr>
                <w:rFonts w:ascii="仿宋" w:hAnsi="仿宋" w:eastAsia="仿宋" w:cs="仿宋"/>
                <w:kern w:val="0"/>
                <w:sz w:val="24"/>
                <w:szCs w:val="24"/>
              </w:rPr>
              <w:t>学习教育</w:t>
            </w:r>
            <w:r>
              <w:rPr>
                <w:rFonts w:hint="eastAsia" w:ascii="仿宋" w:hAnsi="仿宋" w:eastAsia="仿宋" w:cs="仿宋"/>
                <w:kern w:val="0"/>
                <w:sz w:val="24"/>
                <w:szCs w:val="24"/>
              </w:rPr>
              <w:t>学</w:t>
            </w:r>
            <w:r>
              <w:rPr>
                <w:rFonts w:ascii="仿宋" w:hAnsi="仿宋" w:eastAsia="仿宋" w:cs="仿宋"/>
                <w:kern w:val="0"/>
                <w:sz w:val="24"/>
                <w:szCs w:val="24"/>
              </w:rPr>
              <w:t>的意义和方法</w:t>
            </w:r>
            <w:r>
              <w:rPr>
                <w:rFonts w:hint="eastAsia" w:ascii="仿宋" w:hAnsi="仿宋" w:eastAsia="仿宋" w:cs="仿宋"/>
                <w:kern w:val="0"/>
                <w:sz w:val="24"/>
                <w:szCs w:val="24"/>
              </w:rPr>
              <w:t xml:space="preserve">   </w:t>
            </w:r>
            <w:r>
              <w:rPr>
                <w:rFonts w:hint="eastAsia" w:ascii="仿宋" w:hAnsi="仿宋" w:eastAsia="仿宋" w:cs="仿宋"/>
                <w:bCs/>
                <w:color w:val="4472C4"/>
                <w:sz w:val="24"/>
                <w:szCs w:val="24"/>
              </w:rPr>
              <w:t xml:space="preserve">  </w:t>
            </w:r>
          </w:p>
        </w:tc>
        <w:tc>
          <w:tcPr>
            <w:tcW w:w="924" w:type="dxa"/>
            <w:gridSpan w:val="2"/>
            <w:shd w:val="clear" w:color="auto" w:fill="auto"/>
            <w:noWrap w:val="0"/>
            <w:vAlign w:val="center"/>
          </w:tcPr>
          <w:p w14:paraId="2425496F">
            <w:pPr>
              <w:widowControl/>
              <w:adjustRightInd w:val="0"/>
              <w:snapToGrid w:val="0"/>
              <w:jc w:val="center"/>
              <w:rPr>
                <w:rFonts w:hint="eastAsia" w:ascii="仿宋" w:hAnsi="仿宋" w:eastAsia="仿宋" w:cs="仿宋"/>
                <w:bCs/>
                <w:color w:val="4472C4"/>
                <w:sz w:val="24"/>
                <w:szCs w:val="24"/>
              </w:rPr>
            </w:pPr>
            <w:r>
              <w:rPr>
                <w:rFonts w:hint="eastAsia" w:ascii="仿宋" w:hAnsi="仿宋" w:eastAsia="仿宋" w:cs="仿宋"/>
                <w:kern w:val="0"/>
                <w:sz w:val="24"/>
                <w:szCs w:val="24"/>
              </w:rPr>
              <w:t>支撑课程目标1、2</w:t>
            </w:r>
          </w:p>
        </w:tc>
        <w:tc>
          <w:tcPr>
            <w:tcW w:w="672" w:type="dxa"/>
            <w:gridSpan w:val="2"/>
            <w:shd w:val="clear" w:color="auto" w:fill="FFFFFF"/>
            <w:noWrap w:val="0"/>
            <w:vAlign w:val="center"/>
          </w:tcPr>
          <w:p w14:paraId="464FBC2D">
            <w:pPr>
              <w:adjustRightInd w:val="0"/>
              <w:snapToGrid w:val="0"/>
              <w:jc w:val="center"/>
              <w:rPr>
                <w:rFonts w:hint="eastAsia" w:ascii="仿宋" w:hAnsi="仿宋" w:eastAsia="仿宋" w:cs="仿宋"/>
                <w:color w:val="4472C4"/>
                <w:sz w:val="24"/>
                <w:szCs w:val="24"/>
              </w:rPr>
            </w:pPr>
            <w:r>
              <w:rPr>
                <w:rFonts w:hint="eastAsia" w:ascii="仿宋" w:hAnsi="仿宋" w:eastAsia="仿宋" w:cs="仿宋"/>
                <w:kern w:val="0"/>
                <w:sz w:val="24"/>
                <w:szCs w:val="24"/>
              </w:rPr>
              <w:t>2</w:t>
            </w:r>
          </w:p>
        </w:tc>
      </w:tr>
      <w:tr w14:paraId="45FEC02B">
        <w:trPr>
          <w:trHeight w:val="454" w:hRule="atLeast"/>
        </w:trPr>
        <w:tc>
          <w:tcPr>
            <w:tcW w:w="1376" w:type="dxa"/>
            <w:vMerge w:val="continue"/>
            <w:shd w:val="clear" w:color="auto" w:fill="FFFFFF"/>
            <w:noWrap w:val="0"/>
            <w:vAlign w:val="center"/>
          </w:tcPr>
          <w:p w14:paraId="3DA8798D">
            <w:pPr>
              <w:adjustRightInd w:val="0"/>
              <w:snapToGrid w:val="0"/>
              <w:spacing w:line="240" w:lineRule="atLeast"/>
              <w:jc w:val="right"/>
              <w:rPr>
                <w:rFonts w:hint="eastAsia" w:ascii="仿宋" w:hAnsi="仿宋" w:eastAsia="仿宋" w:cs="仿宋"/>
                <w:color w:val="000000"/>
                <w:sz w:val="24"/>
                <w:szCs w:val="24"/>
              </w:rPr>
            </w:pPr>
          </w:p>
        </w:tc>
        <w:tc>
          <w:tcPr>
            <w:tcW w:w="6183" w:type="dxa"/>
            <w:gridSpan w:val="9"/>
            <w:shd w:val="clear" w:color="auto" w:fill="auto"/>
            <w:noWrap w:val="0"/>
            <w:vAlign w:val="center"/>
          </w:tcPr>
          <w:p w14:paraId="2EDBBE1A">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第二章  教育与社会发展</w:t>
            </w:r>
          </w:p>
          <w:p w14:paraId="56AAE090">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知道：⑴教育的政治功能；⑵教育的经济功能；⑶教育的文化功能；⑷教育的相对独立性。</w:t>
            </w:r>
          </w:p>
          <w:p w14:paraId="31710B14">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领会：⑴教育与生产力的关系；⑵教育与政治经济的关系；⑶教育与文化的关系。</w:t>
            </w:r>
          </w:p>
          <w:p w14:paraId="66369576">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应用：运用教育与社会的关系规律分析教育的社会问题。</w:t>
            </w:r>
          </w:p>
          <w:p w14:paraId="346D228E">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分析：联系学校实际分析教育的相对独立性，分析“教育先行”的必要性。</w:t>
            </w:r>
          </w:p>
          <w:p w14:paraId="4B8B0A92">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思政元素：</w:t>
            </w:r>
          </w:p>
          <w:p w14:paraId="35E503A5">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教育如何为社会主义现代化服务、为人民服务</w:t>
            </w:r>
          </w:p>
          <w:p w14:paraId="151F0498">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实现形式：</w:t>
            </w:r>
          </w:p>
          <w:p w14:paraId="7C9BE387">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讲授+互动讨论</w:t>
            </w:r>
          </w:p>
        </w:tc>
        <w:tc>
          <w:tcPr>
            <w:tcW w:w="924" w:type="dxa"/>
            <w:gridSpan w:val="2"/>
            <w:shd w:val="clear" w:color="auto" w:fill="auto"/>
            <w:noWrap w:val="0"/>
            <w:vAlign w:val="center"/>
          </w:tcPr>
          <w:p w14:paraId="1743EB0B">
            <w:pPr>
              <w:adjustRightInd w:val="0"/>
              <w:snapToGrid w:val="0"/>
              <w:jc w:val="center"/>
              <w:rPr>
                <w:rFonts w:hint="eastAsia" w:ascii="仿宋" w:hAnsi="仿宋" w:eastAsia="仿宋" w:cs="仿宋"/>
                <w:kern w:val="0"/>
                <w:sz w:val="24"/>
                <w:szCs w:val="24"/>
              </w:rPr>
            </w:pPr>
          </w:p>
          <w:p w14:paraId="266F019E">
            <w:pPr>
              <w:widowControl/>
              <w:adjustRightInd w:val="0"/>
              <w:snapToGrid w:val="0"/>
              <w:jc w:val="center"/>
              <w:rPr>
                <w:rFonts w:hint="eastAsia" w:ascii="仿宋" w:hAnsi="仿宋" w:eastAsia="仿宋" w:cs="仿宋"/>
                <w:kern w:val="0"/>
                <w:sz w:val="24"/>
                <w:szCs w:val="24"/>
              </w:rPr>
            </w:pPr>
          </w:p>
          <w:p w14:paraId="3C87FF08">
            <w:pPr>
              <w:widowControl/>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支撑课程目标1、2</w:t>
            </w:r>
          </w:p>
        </w:tc>
        <w:tc>
          <w:tcPr>
            <w:tcW w:w="672" w:type="dxa"/>
            <w:gridSpan w:val="2"/>
            <w:shd w:val="clear" w:color="auto" w:fill="FFFFFF"/>
            <w:noWrap w:val="0"/>
            <w:vAlign w:val="center"/>
          </w:tcPr>
          <w:p w14:paraId="098BACBA">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2</w:t>
            </w:r>
          </w:p>
        </w:tc>
      </w:tr>
      <w:tr w14:paraId="2DBD188B">
        <w:trPr>
          <w:trHeight w:val="454" w:hRule="atLeast"/>
        </w:trPr>
        <w:tc>
          <w:tcPr>
            <w:tcW w:w="1376" w:type="dxa"/>
            <w:vMerge w:val="continue"/>
            <w:shd w:val="clear" w:color="auto" w:fill="FFFFFF"/>
            <w:noWrap w:val="0"/>
            <w:vAlign w:val="center"/>
          </w:tcPr>
          <w:p w14:paraId="7AD5681A">
            <w:pPr>
              <w:adjustRightInd w:val="0"/>
              <w:snapToGrid w:val="0"/>
              <w:spacing w:line="240" w:lineRule="atLeast"/>
              <w:jc w:val="right"/>
              <w:rPr>
                <w:rFonts w:hint="eastAsia" w:ascii="仿宋" w:hAnsi="仿宋" w:eastAsia="仿宋" w:cs="仿宋"/>
                <w:color w:val="000000"/>
                <w:sz w:val="24"/>
                <w:szCs w:val="24"/>
              </w:rPr>
            </w:pPr>
          </w:p>
        </w:tc>
        <w:tc>
          <w:tcPr>
            <w:tcW w:w="6183" w:type="dxa"/>
            <w:gridSpan w:val="9"/>
            <w:shd w:val="clear" w:color="auto" w:fill="auto"/>
            <w:noWrap w:val="0"/>
            <w:vAlign w:val="center"/>
          </w:tcPr>
          <w:p w14:paraId="22C429FF">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第三章  教育与个体发展</w:t>
            </w:r>
          </w:p>
          <w:p w14:paraId="41F2BAB0">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知道：⑴个体发展的含义；⑵遗传、环境、教育、人的主观能动性的含义；</w:t>
            </w:r>
          </w:p>
          <w:p w14:paraId="1D95519C">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领会：⑴影响人的发展的主要因素；⑵发挥教育主导作用的条件；⑶教育要适应人的发展的规律；⑷教育的个体功能。</w:t>
            </w:r>
          </w:p>
          <w:p w14:paraId="188A5C55">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应用：应用教育与个体发展的规律，结合本校实际，探讨如何发挥教育对人的发展的主导作用。</w:t>
            </w:r>
          </w:p>
          <w:p w14:paraId="0125FB0F">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分析：分析遗传决定论、环境决定论、教育万能论，分析教育如何适应人的身心发展规律。</w:t>
            </w:r>
          </w:p>
        </w:tc>
        <w:tc>
          <w:tcPr>
            <w:tcW w:w="924" w:type="dxa"/>
            <w:gridSpan w:val="2"/>
            <w:shd w:val="clear" w:color="auto" w:fill="auto"/>
            <w:noWrap w:val="0"/>
            <w:vAlign w:val="center"/>
          </w:tcPr>
          <w:p w14:paraId="69B9B158">
            <w:pPr>
              <w:widowControl/>
              <w:adjustRightInd w:val="0"/>
              <w:snapToGrid w:val="0"/>
              <w:jc w:val="center"/>
              <w:rPr>
                <w:rFonts w:hint="eastAsia" w:ascii="仿宋" w:hAnsi="仿宋" w:eastAsia="仿宋" w:cs="仿宋"/>
                <w:bCs/>
                <w:color w:val="000000"/>
                <w:sz w:val="24"/>
                <w:szCs w:val="24"/>
              </w:rPr>
            </w:pPr>
            <w:r>
              <w:rPr>
                <w:rFonts w:hint="eastAsia" w:ascii="仿宋" w:hAnsi="仿宋" w:eastAsia="仿宋" w:cs="仿宋"/>
                <w:kern w:val="0"/>
                <w:sz w:val="24"/>
                <w:szCs w:val="24"/>
              </w:rPr>
              <w:t>支撑课程目标1、2、3</w:t>
            </w:r>
          </w:p>
        </w:tc>
        <w:tc>
          <w:tcPr>
            <w:tcW w:w="672" w:type="dxa"/>
            <w:gridSpan w:val="2"/>
            <w:shd w:val="clear" w:color="auto" w:fill="FFFFFF"/>
            <w:noWrap w:val="0"/>
            <w:vAlign w:val="center"/>
          </w:tcPr>
          <w:p w14:paraId="10CA262C">
            <w:pPr>
              <w:adjustRightInd w:val="0"/>
              <w:snapToGrid w:val="0"/>
              <w:jc w:val="center"/>
              <w:rPr>
                <w:rFonts w:hint="eastAsia" w:ascii="仿宋" w:hAnsi="仿宋" w:eastAsia="仿宋" w:cs="仿宋"/>
                <w:color w:val="000000"/>
                <w:sz w:val="24"/>
                <w:szCs w:val="24"/>
              </w:rPr>
            </w:pPr>
            <w:r>
              <w:rPr>
                <w:rFonts w:hint="eastAsia" w:ascii="仿宋" w:hAnsi="仿宋" w:eastAsia="仿宋" w:cs="仿宋"/>
                <w:kern w:val="0"/>
                <w:sz w:val="24"/>
                <w:szCs w:val="24"/>
              </w:rPr>
              <w:t>3</w:t>
            </w:r>
          </w:p>
        </w:tc>
      </w:tr>
      <w:tr w14:paraId="28CB9852">
        <w:trPr>
          <w:trHeight w:val="2961" w:hRule="atLeast"/>
        </w:trPr>
        <w:tc>
          <w:tcPr>
            <w:tcW w:w="1376" w:type="dxa"/>
            <w:vMerge w:val="continue"/>
            <w:shd w:val="clear" w:color="auto" w:fill="FFFFFF"/>
            <w:noWrap w:val="0"/>
            <w:vAlign w:val="center"/>
          </w:tcPr>
          <w:p w14:paraId="64788490">
            <w:pPr>
              <w:adjustRightInd w:val="0"/>
              <w:snapToGrid w:val="0"/>
              <w:spacing w:line="240" w:lineRule="atLeast"/>
              <w:jc w:val="right"/>
              <w:rPr>
                <w:rFonts w:hint="eastAsia" w:ascii="仿宋" w:hAnsi="仿宋" w:eastAsia="仿宋" w:cs="仿宋"/>
                <w:color w:val="000000"/>
                <w:sz w:val="24"/>
                <w:szCs w:val="24"/>
              </w:rPr>
            </w:pPr>
          </w:p>
        </w:tc>
        <w:tc>
          <w:tcPr>
            <w:tcW w:w="6183" w:type="dxa"/>
            <w:gridSpan w:val="9"/>
            <w:shd w:val="clear" w:color="auto" w:fill="auto"/>
            <w:noWrap w:val="0"/>
            <w:vAlign w:val="center"/>
          </w:tcPr>
          <w:p w14:paraId="379B6F0D">
            <w:pPr>
              <w:adjustRightInd w:val="0"/>
              <w:snapToGrid w:val="0"/>
              <w:rPr>
                <w:rFonts w:hint="eastAsia" w:ascii="仿宋" w:hAnsi="仿宋" w:eastAsia="仿宋" w:cs="仿宋"/>
                <w:color w:val="000000"/>
                <w:sz w:val="24"/>
              </w:rPr>
            </w:pPr>
            <w:r>
              <w:rPr>
                <w:rFonts w:hint="eastAsia" w:ascii="仿宋" w:hAnsi="仿宋" w:eastAsia="仿宋" w:cs="仿宋"/>
                <w:color w:val="000000"/>
                <w:sz w:val="24"/>
              </w:rPr>
              <w:t>第四章  教育目的</w:t>
            </w:r>
          </w:p>
          <w:p w14:paraId="513A3F2D">
            <w:pPr>
              <w:adjustRightInd w:val="0"/>
              <w:snapToGrid w:val="0"/>
              <w:rPr>
                <w:rFonts w:hint="eastAsia" w:ascii="仿宋" w:hAnsi="仿宋" w:eastAsia="仿宋" w:cs="仿宋"/>
                <w:color w:val="000000"/>
                <w:sz w:val="24"/>
              </w:rPr>
            </w:pPr>
            <w:r>
              <w:rPr>
                <w:rFonts w:hint="eastAsia" w:ascii="仿宋" w:hAnsi="仿宋" w:eastAsia="仿宋" w:cs="仿宋"/>
                <w:color w:val="000000"/>
                <w:sz w:val="24"/>
              </w:rPr>
              <w:t>知道：教育目的、培养目标、教学目标、教育目的的结构、教育目的的价值取向；全面发展教育的组成部分。</w:t>
            </w:r>
          </w:p>
          <w:p w14:paraId="41E6A78E">
            <w:pPr>
              <w:adjustRightInd w:val="0"/>
              <w:snapToGrid w:val="0"/>
              <w:rPr>
                <w:rFonts w:hint="eastAsia" w:ascii="仿宋" w:hAnsi="仿宋" w:eastAsia="仿宋" w:cs="仿宋"/>
                <w:color w:val="000000"/>
                <w:sz w:val="24"/>
              </w:rPr>
            </w:pPr>
            <w:r>
              <w:rPr>
                <w:rFonts w:hint="eastAsia" w:ascii="仿宋" w:hAnsi="仿宋" w:eastAsia="仿宋" w:cs="仿宋"/>
                <w:color w:val="000000"/>
                <w:sz w:val="24"/>
              </w:rPr>
              <w:t>领会：⑴理解教育目的的意义和教育目的的社会制约性；⑵掌握我国新时期的教育目的的精神实质及实现途径；⑶明确普通中小学的任务和培养目标。</w:t>
            </w:r>
          </w:p>
          <w:p w14:paraId="18102DBF">
            <w:pPr>
              <w:adjustRightInd w:val="0"/>
              <w:snapToGrid w:val="0"/>
              <w:rPr>
                <w:rFonts w:hint="eastAsia" w:ascii="仿宋" w:hAnsi="仿宋" w:eastAsia="仿宋" w:cs="仿宋"/>
                <w:color w:val="000000"/>
                <w:sz w:val="24"/>
              </w:rPr>
            </w:pPr>
            <w:r>
              <w:rPr>
                <w:rFonts w:hint="eastAsia" w:ascii="仿宋" w:hAnsi="仿宋" w:eastAsia="仿宋" w:cs="仿宋"/>
                <w:color w:val="000000"/>
                <w:sz w:val="24"/>
              </w:rPr>
              <w:t>应用：运用全面发展教育观、素质教育观分析教育的社会问题。</w:t>
            </w:r>
          </w:p>
          <w:p w14:paraId="720668CD">
            <w:pPr>
              <w:adjustRightInd w:val="0"/>
              <w:snapToGrid w:val="0"/>
              <w:rPr>
                <w:rFonts w:hint="eastAsia" w:ascii="仿宋" w:hAnsi="仿宋" w:eastAsia="仿宋" w:cs="仿宋"/>
                <w:color w:val="000000"/>
                <w:sz w:val="24"/>
              </w:rPr>
            </w:pPr>
            <w:r>
              <w:rPr>
                <w:rFonts w:hint="eastAsia" w:ascii="仿宋" w:hAnsi="仿宋" w:eastAsia="仿宋" w:cs="仿宋"/>
                <w:color w:val="000000"/>
                <w:sz w:val="24"/>
              </w:rPr>
              <w:t>分析：分析个人本位论和社会本位论的优点和局限性。</w:t>
            </w:r>
          </w:p>
        </w:tc>
        <w:tc>
          <w:tcPr>
            <w:tcW w:w="924" w:type="dxa"/>
            <w:gridSpan w:val="2"/>
            <w:shd w:val="clear" w:color="auto" w:fill="auto"/>
            <w:noWrap w:val="0"/>
            <w:vAlign w:val="center"/>
          </w:tcPr>
          <w:p w14:paraId="00DE5F7F">
            <w:pPr>
              <w:widowControl/>
              <w:adjustRightInd w:val="0"/>
              <w:snapToGrid w:val="0"/>
              <w:jc w:val="center"/>
              <w:rPr>
                <w:rFonts w:hint="eastAsia" w:ascii="仿宋" w:hAnsi="仿宋" w:eastAsia="仿宋" w:cs="仿宋"/>
                <w:bCs/>
                <w:color w:val="4472C4"/>
                <w:sz w:val="24"/>
                <w:szCs w:val="24"/>
              </w:rPr>
            </w:pPr>
            <w:r>
              <w:rPr>
                <w:rFonts w:hint="eastAsia" w:ascii="仿宋" w:hAnsi="仿宋" w:eastAsia="仿宋" w:cs="仿宋"/>
                <w:kern w:val="0"/>
                <w:sz w:val="24"/>
                <w:szCs w:val="24"/>
              </w:rPr>
              <w:t>支撑课程目标1、2</w:t>
            </w:r>
          </w:p>
        </w:tc>
        <w:tc>
          <w:tcPr>
            <w:tcW w:w="672" w:type="dxa"/>
            <w:gridSpan w:val="2"/>
            <w:shd w:val="clear" w:color="auto" w:fill="FFFFFF"/>
            <w:noWrap w:val="0"/>
            <w:vAlign w:val="center"/>
          </w:tcPr>
          <w:p w14:paraId="5838CE9E">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3</w:t>
            </w:r>
          </w:p>
        </w:tc>
      </w:tr>
      <w:tr w14:paraId="7F3BB54C">
        <w:trPr>
          <w:trHeight w:val="2536" w:hRule="atLeast"/>
        </w:trPr>
        <w:tc>
          <w:tcPr>
            <w:tcW w:w="1376" w:type="dxa"/>
            <w:vMerge w:val="continue"/>
            <w:shd w:val="clear" w:color="auto" w:fill="FFFFFF"/>
            <w:noWrap w:val="0"/>
            <w:vAlign w:val="center"/>
          </w:tcPr>
          <w:p w14:paraId="56B87A14">
            <w:pPr>
              <w:adjustRightInd w:val="0"/>
              <w:snapToGrid w:val="0"/>
              <w:spacing w:line="240" w:lineRule="atLeast"/>
              <w:jc w:val="right"/>
              <w:rPr>
                <w:rFonts w:hint="eastAsia" w:ascii="仿宋" w:hAnsi="仿宋" w:eastAsia="仿宋" w:cs="仿宋"/>
                <w:color w:val="000000"/>
                <w:sz w:val="24"/>
                <w:szCs w:val="24"/>
              </w:rPr>
            </w:pPr>
          </w:p>
        </w:tc>
        <w:tc>
          <w:tcPr>
            <w:tcW w:w="6183" w:type="dxa"/>
            <w:gridSpan w:val="9"/>
            <w:shd w:val="clear" w:color="auto" w:fill="auto"/>
            <w:noWrap w:val="0"/>
            <w:vAlign w:val="center"/>
          </w:tcPr>
          <w:p w14:paraId="75BC0B22">
            <w:pPr>
              <w:adjustRightInd w:val="0"/>
              <w:snapToGrid w:val="0"/>
              <w:rPr>
                <w:rFonts w:hint="eastAsia" w:ascii="仿宋" w:hAnsi="仿宋" w:eastAsia="仿宋" w:cs="仿宋"/>
                <w:color w:val="000000"/>
                <w:sz w:val="24"/>
              </w:rPr>
            </w:pPr>
            <w:r>
              <w:rPr>
                <w:rFonts w:hint="eastAsia" w:ascii="仿宋" w:hAnsi="仿宋" w:eastAsia="仿宋" w:cs="仿宋"/>
                <w:color w:val="000000"/>
                <w:sz w:val="24"/>
              </w:rPr>
              <w:t>第五章  学校教育制度</w:t>
            </w:r>
          </w:p>
          <w:p w14:paraId="3CB9E626">
            <w:pPr>
              <w:adjustRightInd w:val="0"/>
              <w:snapToGrid w:val="0"/>
              <w:rPr>
                <w:rFonts w:hint="eastAsia" w:ascii="仿宋" w:hAnsi="仿宋" w:eastAsia="仿宋" w:cs="仿宋"/>
                <w:color w:val="000000"/>
                <w:sz w:val="24"/>
              </w:rPr>
            </w:pPr>
            <w:r>
              <w:rPr>
                <w:rFonts w:hint="eastAsia" w:ascii="仿宋" w:hAnsi="仿宋" w:eastAsia="仿宋" w:cs="仿宋"/>
                <w:color w:val="000000"/>
                <w:sz w:val="24"/>
              </w:rPr>
              <w:t>知道：学校教育制度、双轨学制、单轨学制、分支型学制、义务教育。</w:t>
            </w:r>
          </w:p>
          <w:p w14:paraId="15EC760C">
            <w:pPr>
              <w:adjustRightInd w:val="0"/>
              <w:snapToGrid w:val="0"/>
              <w:rPr>
                <w:rFonts w:hint="eastAsia" w:ascii="仿宋" w:hAnsi="仿宋" w:eastAsia="仿宋" w:cs="仿宋"/>
                <w:color w:val="000000"/>
                <w:sz w:val="24"/>
              </w:rPr>
            </w:pPr>
            <w:r>
              <w:rPr>
                <w:rFonts w:hint="eastAsia" w:ascii="仿宋" w:hAnsi="仿宋" w:eastAsia="仿宋" w:cs="仿宋"/>
                <w:color w:val="000000"/>
                <w:sz w:val="24"/>
              </w:rPr>
              <w:t>领会：⑴理解现代学校教育制度的发展趋势；⑵理解普及九年义务教育在学校系统中的地位；⑶理解旧中国的学校教育制度、新中国的学校教育制度。</w:t>
            </w:r>
          </w:p>
          <w:p w14:paraId="2D34BDC5">
            <w:pPr>
              <w:adjustRightInd w:val="0"/>
              <w:snapToGrid w:val="0"/>
              <w:rPr>
                <w:rFonts w:hint="eastAsia" w:ascii="仿宋" w:hAnsi="仿宋" w:eastAsia="仿宋" w:cs="仿宋"/>
                <w:color w:val="000000"/>
                <w:sz w:val="24"/>
              </w:rPr>
            </w:pPr>
            <w:r>
              <w:rPr>
                <w:rFonts w:hint="eastAsia" w:ascii="仿宋" w:hAnsi="仿宋" w:eastAsia="仿宋" w:cs="仿宋"/>
                <w:color w:val="000000"/>
                <w:sz w:val="24"/>
              </w:rPr>
              <w:t>分析：建立学校教育制度的依据。</w:t>
            </w:r>
          </w:p>
        </w:tc>
        <w:tc>
          <w:tcPr>
            <w:tcW w:w="924" w:type="dxa"/>
            <w:gridSpan w:val="2"/>
            <w:shd w:val="clear" w:color="auto" w:fill="auto"/>
            <w:noWrap w:val="0"/>
            <w:vAlign w:val="center"/>
          </w:tcPr>
          <w:p w14:paraId="2DABB0FC">
            <w:pPr>
              <w:widowControl/>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支撑课程目标1、2</w:t>
            </w:r>
          </w:p>
        </w:tc>
        <w:tc>
          <w:tcPr>
            <w:tcW w:w="672" w:type="dxa"/>
            <w:gridSpan w:val="2"/>
            <w:shd w:val="clear" w:color="auto" w:fill="FFFFFF"/>
            <w:noWrap w:val="0"/>
            <w:vAlign w:val="center"/>
          </w:tcPr>
          <w:p w14:paraId="0829D8B7">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3EE16190">
        <w:trPr>
          <w:trHeight w:val="454" w:hRule="atLeast"/>
        </w:trPr>
        <w:tc>
          <w:tcPr>
            <w:tcW w:w="1376" w:type="dxa"/>
            <w:vMerge w:val="continue"/>
            <w:shd w:val="clear" w:color="auto" w:fill="FFFFFF"/>
            <w:noWrap w:val="0"/>
            <w:vAlign w:val="center"/>
          </w:tcPr>
          <w:p w14:paraId="53BACF0A">
            <w:pPr>
              <w:adjustRightInd w:val="0"/>
              <w:snapToGrid w:val="0"/>
              <w:spacing w:line="240" w:lineRule="atLeast"/>
              <w:jc w:val="right"/>
              <w:rPr>
                <w:rFonts w:hint="eastAsia" w:ascii="仿宋" w:hAnsi="仿宋" w:eastAsia="仿宋" w:cs="仿宋"/>
                <w:color w:val="000000"/>
                <w:sz w:val="24"/>
                <w:szCs w:val="24"/>
              </w:rPr>
            </w:pPr>
          </w:p>
        </w:tc>
        <w:tc>
          <w:tcPr>
            <w:tcW w:w="6183" w:type="dxa"/>
            <w:gridSpan w:val="9"/>
            <w:shd w:val="clear" w:color="auto" w:fill="auto"/>
            <w:noWrap w:val="0"/>
            <w:vAlign w:val="center"/>
          </w:tcPr>
          <w:p w14:paraId="14FDEAAF">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第六章  教师与学生</w:t>
            </w:r>
          </w:p>
          <w:p w14:paraId="1B70E272">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知道：教师、学生、师生关系、教师的专业成长。</w:t>
            </w:r>
          </w:p>
          <w:p w14:paraId="08218D33">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领会：⑴教师劳动的意义和任务；⑵教师的权利和义务；⑶教师劳动的特点；⑷新课改倡导的教师观；⑸学生的属性、学生的权利和义务。</w:t>
            </w:r>
          </w:p>
          <w:p w14:paraId="79C2C727">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应用：运用教师专业素质、现代学生观分析教育教学的现象与问题。</w:t>
            </w:r>
          </w:p>
          <w:p w14:paraId="482C694B">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分析：分析师生关系的意义，并例举良好师生关系建立的条件。</w:t>
            </w:r>
          </w:p>
          <w:p w14:paraId="43045391">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思政元素：</w:t>
            </w:r>
          </w:p>
          <w:p w14:paraId="7BBDCE9A">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习近平的“四有好老师”“四个引路人”“大先生”</w:t>
            </w:r>
          </w:p>
          <w:p w14:paraId="161973EE">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实现形式：</w:t>
            </w:r>
          </w:p>
          <w:p w14:paraId="60504C4A">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讲授+互动讨论</w:t>
            </w:r>
          </w:p>
        </w:tc>
        <w:tc>
          <w:tcPr>
            <w:tcW w:w="924" w:type="dxa"/>
            <w:gridSpan w:val="2"/>
            <w:shd w:val="clear" w:color="auto" w:fill="auto"/>
            <w:noWrap w:val="0"/>
            <w:vAlign w:val="center"/>
          </w:tcPr>
          <w:p w14:paraId="362EC6EA">
            <w:pPr>
              <w:widowControl/>
              <w:adjustRightInd w:val="0"/>
              <w:snapToGrid w:val="0"/>
              <w:jc w:val="center"/>
              <w:rPr>
                <w:rFonts w:hint="eastAsia" w:ascii="仿宋" w:hAnsi="仿宋" w:eastAsia="仿宋" w:cs="仿宋"/>
                <w:bCs/>
                <w:color w:val="4472C4"/>
                <w:sz w:val="24"/>
                <w:szCs w:val="24"/>
              </w:rPr>
            </w:pPr>
            <w:r>
              <w:rPr>
                <w:rFonts w:hint="eastAsia" w:ascii="仿宋" w:hAnsi="仿宋" w:eastAsia="仿宋" w:cs="仿宋"/>
                <w:kern w:val="0"/>
                <w:sz w:val="24"/>
                <w:szCs w:val="24"/>
              </w:rPr>
              <w:t>支撑课程目标1、2、3</w:t>
            </w:r>
          </w:p>
        </w:tc>
        <w:tc>
          <w:tcPr>
            <w:tcW w:w="672" w:type="dxa"/>
            <w:gridSpan w:val="2"/>
            <w:shd w:val="clear" w:color="auto" w:fill="FFFFFF"/>
            <w:noWrap w:val="0"/>
            <w:vAlign w:val="center"/>
          </w:tcPr>
          <w:p w14:paraId="37DF66DE">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3</w:t>
            </w:r>
          </w:p>
        </w:tc>
      </w:tr>
      <w:tr w14:paraId="40B2A304">
        <w:trPr>
          <w:trHeight w:val="454" w:hRule="atLeast"/>
        </w:trPr>
        <w:tc>
          <w:tcPr>
            <w:tcW w:w="1376" w:type="dxa"/>
            <w:vMerge w:val="continue"/>
            <w:shd w:val="clear" w:color="auto" w:fill="FFFFFF"/>
            <w:noWrap w:val="0"/>
            <w:vAlign w:val="center"/>
          </w:tcPr>
          <w:p w14:paraId="579A10A9">
            <w:pPr>
              <w:adjustRightInd w:val="0"/>
              <w:snapToGrid w:val="0"/>
              <w:spacing w:line="240" w:lineRule="atLeast"/>
              <w:jc w:val="right"/>
              <w:rPr>
                <w:rFonts w:hint="eastAsia" w:ascii="仿宋" w:hAnsi="仿宋" w:eastAsia="仿宋" w:cs="仿宋"/>
                <w:color w:val="000000"/>
                <w:sz w:val="24"/>
                <w:szCs w:val="24"/>
              </w:rPr>
            </w:pPr>
          </w:p>
        </w:tc>
        <w:tc>
          <w:tcPr>
            <w:tcW w:w="6183" w:type="dxa"/>
            <w:gridSpan w:val="9"/>
            <w:shd w:val="clear" w:color="auto" w:fill="auto"/>
            <w:noWrap w:val="0"/>
            <w:vAlign w:val="center"/>
          </w:tcPr>
          <w:p w14:paraId="41DAB9F9">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第七章  课程</w:t>
            </w:r>
          </w:p>
          <w:p w14:paraId="3A46EAE3">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知道：课程概念、课程种类、课程计划、课程标准、教科书。</w:t>
            </w:r>
          </w:p>
          <w:p w14:paraId="329B2F07">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领会：⑴课程设计；⑵影响课程的因素。</w:t>
            </w:r>
          </w:p>
          <w:p w14:paraId="1B636577">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应用：运用基础教育课程改革内容与要求分析现实中存在教育教学问题。</w:t>
            </w:r>
          </w:p>
          <w:p w14:paraId="365DD594">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分析：新课改倡导的三种学习方式。</w:t>
            </w:r>
          </w:p>
        </w:tc>
        <w:tc>
          <w:tcPr>
            <w:tcW w:w="924" w:type="dxa"/>
            <w:gridSpan w:val="2"/>
            <w:shd w:val="clear" w:color="auto" w:fill="auto"/>
            <w:noWrap w:val="0"/>
            <w:vAlign w:val="center"/>
          </w:tcPr>
          <w:p w14:paraId="5BDFEE3E">
            <w:pPr>
              <w:widowControl/>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支撑课程目标2、3</w:t>
            </w:r>
          </w:p>
        </w:tc>
        <w:tc>
          <w:tcPr>
            <w:tcW w:w="672" w:type="dxa"/>
            <w:gridSpan w:val="2"/>
            <w:shd w:val="clear" w:color="auto" w:fill="FFFFFF"/>
            <w:noWrap w:val="0"/>
            <w:vAlign w:val="center"/>
          </w:tcPr>
          <w:p w14:paraId="77F04549">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6</w:t>
            </w:r>
          </w:p>
        </w:tc>
      </w:tr>
      <w:tr w14:paraId="3D176292">
        <w:trPr>
          <w:trHeight w:val="930" w:hRule="atLeast"/>
        </w:trPr>
        <w:tc>
          <w:tcPr>
            <w:tcW w:w="1376" w:type="dxa"/>
            <w:vMerge w:val="continue"/>
            <w:shd w:val="clear" w:color="auto" w:fill="FFFFFF"/>
            <w:noWrap w:val="0"/>
            <w:vAlign w:val="center"/>
          </w:tcPr>
          <w:p w14:paraId="3A4B5A55">
            <w:pPr>
              <w:adjustRightInd w:val="0"/>
              <w:snapToGrid w:val="0"/>
              <w:spacing w:line="240" w:lineRule="atLeast"/>
              <w:jc w:val="right"/>
              <w:rPr>
                <w:rFonts w:hint="eastAsia" w:ascii="仿宋" w:hAnsi="仿宋" w:eastAsia="仿宋" w:cs="仿宋"/>
                <w:color w:val="000000"/>
                <w:sz w:val="24"/>
                <w:szCs w:val="24"/>
              </w:rPr>
            </w:pPr>
          </w:p>
        </w:tc>
        <w:tc>
          <w:tcPr>
            <w:tcW w:w="6183" w:type="dxa"/>
            <w:gridSpan w:val="9"/>
            <w:shd w:val="clear" w:color="auto" w:fill="auto"/>
            <w:noWrap w:val="0"/>
            <w:vAlign w:val="center"/>
          </w:tcPr>
          <w:p w14:paraId="7CE20320">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第八章  教学工作</w:t>
            </w:r>
          </w:p>
          <w:p w14:paraId="1FE35321">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知道：教学、教学任务、教学地位、现代教学观。</w:t>
            </w:r>
          </w:p>
          <w:p w14:paraId="425E7D36">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领会：⑴教学规律；⑵教学原则；⑶教学方法；⑷教学组织形式；⑸教学评价。</w:t>
            </w:r>
          </w:p>
          <w:p w14:paraId="309D8CA2">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应用：运用教学规律、教学原则、教学方法分析教学的现象与问题；运用教学工作基本环节解决相关教学问题。</w:t>
            </w:r>
          </w:p>
          <w:p w14:paraId="6FAA9B94">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分析：分析新课改倡导的教学评价；分析营造良好课堂气氛的条件。</w:t>
            </w:r>
          </w:p>
          <w:p w14:paraId="54CFB3E5">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思政元素：</w:t>
            </w:r>
          </w:p>
          <w:p w14:paraId="4A431E5D">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教学的教育性规律、课程思政的必然性</w:t>
            </w:r>
          </w:p>
          <w:p w14:paraId="1841BA8E">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实现形式：</w:t>
            </w:r>
          </w:p>
          <w:p w14:paraId="0BDF1958">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讲授+互动讨论</w:t>
            </w:r>
          </w:p>
        </w:tc>
        <w:tc>
          <w:tcPr>
            <w:tcW w:w="924" w:type="dxa"/>
            <w:gridSpan w:val="2"/>
            <w:shd w:val="clear" w:color="auto" w:fill="auto"/>
            <w:noWrap w:val="0"/>
            <w:vAlign w:val="center"/>
          </w:tcPr>
          <w:p w14:paraId="101C5076">
            <w:pPr>
              <w:widowControl/>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支撑课程目标1、2、3</w:t>
            </w:r>
          </w:p>
        </w:tc>
        <w:tc>
          <w:tcPr>
            <w:tcW w:w="672" w:type="dxa"/>
            <w:gridSpan w:val="2"/>
            <w:shd w:val="clear" w:color="auto" w:fill="FFFFFF"/>
            <w:noWrap w:val="0"/>
            <w:vAlign w:val="center"/>
          </w:tcPr>
          <w:p w14:paraId="489D9438">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15</w:t>
            </w:r>
          </w:p>
        </w:tc>
      </w:tr>
      <w:tr w14:paraId="54F6369B">
        <w:trPr>
          <w:trHeight w:val="930" w:hRule="atLeast"/>
        </w:trPr>
        <w:tc>
          <w:tcPr>
            <w:tcW w:w="1376" w:type="dxa"/>
            <w:vMerge w:val="continue"/>
            <w:shd w:val="clear" w:color="auto" w:fill="FFFFFF"/>
            <w:noWrap w:val="0"/>
            <w:vAlign w:val="center"/>
          </w:tcPr>
          <w:p w14:paraId="1453BB65">
            <w:pPr>
              <w:adjustRightInd w:val="0"/>
              <w:snapToGrid w:val="0"/>
            </w:pPr>
          </w:p>
        </w:tc>
        <w:tc>
          <w:tcPr>
            <w:tcW w:w="6183" w:type="dxa"/>
            <w:gridSpan w:val="9"/>
            <w:shd w:val="clear" w:color="auto" w:fill="auto"/>
            <w:noWrap w:val="0"/>
            <w:vAlign w:val="center"/>
          </w:tcPr>
          <w:p w14:paraId="0267DAB6">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 xml:space="preserve">第九章  德育原理 </w:t>
            </w:r>
          </w:p>
          <w:p w14:paraId="78546FBC">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领会：⑴德育概念、德育任务、德育内容；⑵德育过程的本质；⑶德育原则；⑷德育方法与途径。</w:t>
            </w:r>
          </w:p>
          <w:p w14:paraId="419E71EE">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应用：运用德育规律、德育原则、德育方法分析德育的现象与问题。</w:t>
            </w:r>
          </w:p>
          <w:p w14:paraId="6ABA370D">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分析：分析德育过程与品德形成过程的区别与联系；分析各种德育方法的优点、不足及运用要求。</w:t>
            </w:r>
          </w:p>
        </w:tc>
        <w:tc>
          <w:tcPr>
            <w:tcW w:w="924" w:type="dxa"/>
            <w:gridSpan w:val="2"/>
            <w:shd w:val="clear" w:color="auto" w:fill="auto"/>
            <w:noWrap w:val="0"/>
            <w:vAlign w:val="center"/>
          </w:tcPr>
          <w:p w14:paraId="291C1189">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支撑课程目标1、2、3</w:t>
            </w:r>
          </w:p>
        </w:tc>
        <w:tc>
          <w:tcPr>
            <w:tcW w:w="672" w:type="dxa"/>
            <w:gridSpan w:val="2"/>
            <w:shd w:val="clear" w:color="auto" w:fill="FFFFFF"/>
            <w:noWrap w:val="0"/>
            <w:vAlign w:val="center"/>
          </w:tcPr>
          <w:p w14:paraId="580BB7EC">
            <w:pPr>
              <w:adjustRightInd w:val="0"/>
              <w:snapToGrid w:val="0"/>
              <w:jc w:val="center"/>
              <w:rPr>
                <w:rFonts w:hint="eastAsia" w:ascii="仿宋" w:hAnsi="仿宋" w:eastAsia="仿宋" w:cs="仿宋"/>
                <w:kern w:val="0"/>
                <w:sz w:val="24"/>
                <w:szCs w:val="24"/>
              </w:rPr>
            </w:pPr>
            <w:r>
              <w:rPr>
                <w:rFonts w:hint="eastAsia" w:ascii="仿宋" w:hAnsi="仿宋" w:eastAsia="仿宋" w:cs="仿宋"/>
                <w:color w:val="000000"/>
                <w:sz w:val="24"/>
                <w:szCs w:val="24"/>
              </w:rPr>
              <w:t>6</w:t>
            </w:r>
          </w:p>
        </w:tc>
      </w:tr>
      <w:tr w14:paraId="50928318">
        <w:trPr>
          <w:trHeight w:val="930" w:hRule="atLeast"/>
        </w:trPr>
        <w:tc>
          <w:tcPr>
            <w:tcW w:w="1376" w:type="dxa"/>
            <w:vMerge w:val="continue"/>
            <w:shd w:val="clear" w:color="auto" w:fill="FFFFFF"/>
            <w:noWrap w:val="0"/>
            <w:vAlign w:val="center"/>
          </w:tcPr>
          <w:p w14:paraId="17E4BD65">
            <w:pPr>
              <w:adjustRightInd w:val="0"/>
              <w:snapToGrid w:val="0"/>
              <w:rPr>
                <w:rFonts w:hint="eastAsia" w:ascii="仿宋" w:hAnsi="仿宋" w:eastAsia="仿宋" w:cs="仿宋"/>
                <w:kern w:val="0"/>
                <w:sz w:val="24"/>
                <w:szCs w:val="24"/>
              </w:rPr>
            </w:pPr>
          </w:p>
        </w:tc>
        <w:tc>
          <w:tcPr>
            <w:tcW w:w="6183" w:type="dxa"/>
            <w:gridSpan w:val="9"/>
            <w:shd w:val="clear" w:color="auto" w:fill="auto"/>
            <w:noWrap w:val="0"/>
            <w:vAlign w:val="center"/>
          </w:tcPr>
          <w:p w14:paraId="5F46E9ED">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第十章  班主任工作与班级管理</w:t>
            </w:r>
          </w:p>
          <w:p w14:paraId="7BEA2E43">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领会：⑴班主任、</w:t>
            </w:r>
            <w:r>
              <w:rPr>
                <w:rFonts w:hint="eastAsia" w:ascii="仿宋" w:eastAsia="仿宋" w:cs="仿宋"/>
                <w:color w:val="000000"/>
                <w:kern w:val="0"/>
                <w:sz w:val="24"/>
                <w:szCs w:val="24"/>
              </w:rPr>
              <w:t>班级、班集体、班级管理的概念</w:t>
            </w:r>
            <w:r>
              <w:rPr>
                <w:rFonts w:hint="eastAsia" w:ascii="仿宋" w:hAnsi="仿宋" w:eastAsia="仿宋" w:cs="仿宋"/>
                <w:kern w:val="0"/>
                <w:sz w:val="24"/>
                <w:szCs w:val="24"/>
              </w:rPr>
              <w:t>；⑵</w:t>
            </w:r>
            <w:r>
              <w:rPr>
                <w:rFonts w:hint="eastAsia" w:ascii="仿宋" w:eastAsia="仿宋" w:cs="仿宋"/>
                <w:color w:val="000000"/>
                <w:kern w:val="0"/>
                <w:sz w:val="24"/>
                <w:szCs w:val="24"/>
              </w:rPr>
              <w:t>班主任的基本职责与任务</w:t>
            </w:r>
            <w:r>
              <w:rPr>
                <w:rFonts w:hint="eastAsia" w:ascii="仿宋" w:hAnsi="仿宋" w:eastAsia="仿宋" w:cs="仿宋"/>
                <w:kern w:val="0"/>
                <w:sz w:val="24"/>
                <w:szCs w:val="24"/>
              </w:rPr>
              <w:t>；⑶</w:t>
            </w:r>
            <w:r>
              <w:rPr>
                <w:rFonts w:hint="eastAsia" w:ascii="仿宋" w:eastAsia="仿宋" w:cs="仿宋"/>
                <w:color w:val="000000"/>
                <w:kern w:val="0"/>
                <w:sz w:val="24"/>
                <w:szCs w:val="24"/>
              </w:rPr>
              <w:t>班主任工作的具体内容与策略</w:t>
            </w:r>
            <w:r>
              <w:rPr>
                <w:rFonts w:hint="eastAsia" w:ascii="仿宋" w:hAnsi="仿宋" w:eastAsia="仿宋" w:cs="仿宋"/>
                <w:kern w:val="0"/>
                <w:sz w:val="24"/>
                <w:szCs w:val="24"/>
              </w:rPr>
              <w:t>；⑷</w:t>
            </w:r>
            <w:r>
              <w:rPr>
                <w:rFonts w:hint="eastAsia" w:ascii="仿宋" w:eastAsia="仿宋" w:cs="仿宋"/>
                <w:color w:val="000000"/>
                <w:kern w:val="0"/>
                <w:sz w:val="24"/>
                <w:szCs w:val="24"/>
              </w:rPr>
              <w:t>班级管理的内容与方法；</w:t>
            </w:r>
            <w:r>
              <w:rPr>
                <w:rFonts w:hint="eastAsia" w:ascii="仿宋" w:hAnsi="仿宋" w:eastAsia="仿宋" w:cs="仿宋"/>
                <w:kern w:val="0"/>
                <w:sz w:val="24"/>
                <w:szCs w:val="24"/>
              </w:rPr>
              <w:t>⑸</w:t>
            </w:r>
            <w:r>
              <w:rPr>
                <w:rFonts w:hint="eastAsia" w:ascii="仿宋" w:eastAsia="仿宋" w:cs="仿宋"/>
                <w:color w:val="000000"/>
                <w:kern w:val="0"/>
                <w:sz w:val="24"/>
                <w:szCs w:val="24"/>
              </w:rPr>
              <w:t>课外活动的含义及特点。</w:t>
            </w:r>
          </w:p>
          <w:p w14:paraId="0AD4197E">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应用：⑴</w:t>
            </w:r>
            <w:r>
              <w:rPr>
                <w:rFonts w:hint="eastAsia" w:ascii="仿宋" w:eastAsia="仿宋" w:cs="仿宋"/>
                <w:color w:val="000000"/>
                <w:kern w:val="0"/>
                <w:sz w:val="24"/>
                <w:szCs w:val="24"/>
              </w:rPr>
              <w:t>运用班主任工作的内容与策略，处理班集体各类现象与问题</w:t>
            </w:r>
            <w:r>
              <w:rPr>
                <w:rFonts w:hint="eastAsia" w:ascii="仿宋" w:hAnsi="仿宋" w:eastAsia="仿宋" w:cs="仿宋"/>
                <w:kern w:val="0"/>
                <w:sz w:val="24"/>
                <w:szCs w:val="24"/>
              </w:rPr>
              <w:t>；⑵</w:t>
            </w:r>
            <w:r>
              <w:rPr>
                <w:rFonts w:hint="eastAsia" w:ascii="仿宋" w:eastAsia="仿宋" w:cs="仿宋"/>
                <w:color w:val="000000"/>
                <w:kern w:val="0"/>
                <w:sz w:val="24"/>
                <w:szCs w:val="24"/>
              </w:rPr>
              <w:t>运用班级管理的原则和方法，处理班级突发事件；</w:t>
            </w:r>
            <w:r>
              <w:rPr>
                <w:rFonts w:hint="eastAsia" w:ascii="仿宋" w:hAnsi="仿宋" w:eastAsia="仿宋" w:cs="仿宋"/>
                <w:kern w:val="0"/>
                <w:sz w:val="24"/>
                <w:szCs w:val="24"/>
              </w:rPr>
              <w:t>⑶</w:t>
            </w:r>
            <w:r>
              <w:rPr>
                <w:rFonts w:hint="eastAsia" w:ascii="仿宋" w:eastAsia="仿宋" w:cs="仿宋"/>
                <w:color w:val="000000"/>
                <w:kern w:val="0"/>
                <w:sz w:val="24"/>
                <w:szCs w:val="24"/>
              </w:rPr>
              <w:t>运用课外活动的不同内容和形式，组织开展各类课外活动。</w:t>
            </w:r>
          </w:p>
          <w:p w14:paraId="45558407">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分析：⑴</w:t>
            </w:r>
            <w:r>
              <w:rPr>
                <w:rFonts w:hint="eastAsia" w:ascii="仿宋" w:eastAsia="仿宋" w:cs="仿宋"/>
                <w:color w:val="000000"/>
                <w:kern w:val="0"/>
                <w:sz w:val="24"/>
                <w:szCs w:val="24"/>
              </w:rPr>
              <w:t>分析建立良好班集体的举措；</w:t>
            </w:r>
            <w:r>
              <w:rPr>
                <w:rFonts w:hint="eastAsia" w:ascii="仿宋" w:hAnsi="仿宋" w:eastAsia="仿宋" w:cs="仿宋"/>
                <w:kern w:val="0"/>
                <w:sz w:val="24"/>
                <w:szCs w:val="24"/>
              </w:rPr>
              <w:t>⑵</w:t>
            </w:r>
            <w:r>
              <w:rPr>
                <w:rFonts w:hint="eastAsia" w:ascii="仿宋" w:eastAsia="仿宋" w:cs="仿宋"/>
                <w:color w:val="000000"/>
                <w:kern w:val="0"/>
                <w:sz w:val="24"/>
                <w:szCs w:val="24"/>
              </w:rPr>
              <w:t>分析如何加强学校、家庭、社会三方面的联系，形成合力。</w:t>
            </w:r>
          </w:p>
        </w:tc>
        <w:tc>
          <w:tcPr>
            <w:tcW w:w="924" w:type="dxa"/>
            <w:gridSpan w:val="2"/>
            <w:shd w:val="clear" w:color="auto" w:fill="auto"/>
            <w:noWrap w:val="0"/>
            <w:vAlign w:val="center"/>
          </w:tcPr>
          <w:p w14:paraId="6AA25839">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支撑课程目标1、2、3</w:t>
            </w:r>
          </w:p>
        </w:tc>
        <w:tc>
          <w:tcPr>
            <w:tcW w:w="672" w:type="dxa"/>
            <w:gridSpan w:val="2"/>
            <w:shd w:val="clear" w:color="auto" w:fill="FFFFFF"/>
            <w:noWrap w:val="0"/>
            <w:vAlign w:val="center"/>
          </w:tcPr>
          <w:p w14:paraId="6B242623">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6</w:t>
            </w:r>
          </w:p>
        </w:tc>
      </w:tr>
      <w:tr w14:paraId="69DF2B9A">
        <w:trPr>
          <w:trHeight w:val="454" w:hRule="atLeast"/>
        </w:trPr>
        <w:tc>
          <w:tcPr>
            <w:tcW w:w="1376" w:type="dxa"/>
            <w:vMerge w:val="continue"/>
            <w:shd w:val="clear" w:color="auto" w:fill="FFFFFF"/>
            <w:noWrap w:val="0"/>
            <w:vAlign w:val="center"/>
          </w:tcPr>
          <w:p w14:paraId="2A1949BE">
            <w:pPr>
              <w:adjustRightInd w:val="0"/>
              <w:snapToGrid w:val="0"/>
              <w:spacing w:line="240" w:lineRule="atLeast"/>
              <w:jc w:val="center"/>
              <w:rPr>
                <w:rFonts w:hint="eastAsia" w:ascii="仿宋" w:hAnsi="仿宋" w:eastAsia="仿宋" w:cs="仿宋"/>
                <w:color w:val="000000"/>
                <w:sz w:val="24"/>
                <w:szCs w:val="24"/>
              </w:rPr>
            </w:pPr>
          </w:p>
        </w:tc>
        <w:tc>
          <w:tcPr>
            <w:tcW w:w="7107" w:type="dxa"/>
            <w:gridSpan w:val="11"/>
            <w:shd w:val="clear" w:color="auto" w:fill="auto"/>
            <w:noWrap w:val="0"/>
            <w:vAlign w:val="center"/>
          </w:tcPr>
          <w:p w14:paraId="28652947">
            <w:pPr>
              <w:adjustRightInd w:val="0"/>
              <w:snapToGrid w:val="0"/>
              <w:jc w:val="center"/>
              <w:rPr>
                <w:rFonts w:hint="eastAsia" w:ascii="仿宋" w:hAnsi="仿宋" w:eastAsia="仿宋" w:cs="仿宋"/>
                <w:bCs/>
                <w:color w:val="000000"/>
                <w:sz w:val="24"/>
                <w:szCs w:val="24"/>
              </w:rPr>
            </w:pPr>
            <w:r>
              <w:rPr>
                <w:rFonts w:hint="eastAsia" w:ascii="仿宋" w:hAnsi="仿宋" w:eastAsia="仿宋" w:cs="仿宋"/>
                <w:bCs/>
                <w:color w:val="000000"/>
                <w:sz w:val="24"/>
                <w:szCs w:val="24"/>
              </w:rPr>
              <w:t>合计</w:t>
            </w:r>
          </w:p>
        </w:tc>
        <w:tc>
          <w:tcPr>
            <w:tcW w:w="672" w:type="dxa"/>
            <w:gridSpan w:val="2"/>
            <w:shd w:val="clear" w:color="auto" w:fill="FFFFFF"/>
            <w:noWrap w:val="0"/>
            <w:vAlign w:val="center"/>
          </w:tcPr>
          <w:p w14:paraId="5383392F">
            <w:pPr>
              <w:adjustRightInd w:val="0"/>
              <w:snapToGrid w:val="0"/>
              <w:jc w:val="center"/>
              <w:rPr>
                <w:rFonts w:hint="eastAsia" w:ascii="仿宋" w:hAnsi="仿宋" w:eastAsia="仿宋" w:cs="仿宋"/>
                <w:color w:val="4472C4"/>
                <w:sz w:val="24"/>
                <w:szCs w:val="24"/>
              </w:rPr>
            </w:pPr>
            <w:r>
              <w:rPr>
                <w:rFonts w:hint="eastAsia" w:ascii="仿宋" w:hAnsi="仿宋" w:eastAsia="仿宋" w:cs="仿宋"/>
                <w:kern w:val="0"/>
                <w:sz w:val="24"/>
                <w:szCs w:val="24"/>
              </w:rPr>
              <w:t>48</w:t>
            </w:r>
          </w:p>
        </w:tc>
      </w:tr>
      <w:tr w14:paraId="11F05A82">
        <w:trPr>
          <w:trHeight w:val="921" w:hRule="atLeast"/>
        </w:trPr>
        <w:tc>
          <w:tcPr>
            <w:tcW w:w="1376" w:type="dxa"/>
            <w:noWrap w:val="0"/>
            <w:vAlign w:val="center"/>
          </w:tcPr>
          <w:p w14:paraId="16E06E1D">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I</w:t>
            </w:r>
          </w:p>
          <w:p w14:paraId="2F41E6FA">
            <w:pPr>
              <w:adjustRightInd w:val="0"/>
              <w:snapToGrid w:val="0"/>
              <w:spacing w:line="240" w:lineRule="atLeast"/>
              <w:jc w:val="center"/>
              <w:rPr>
                <w:rFonts w:hint="eastAsia" w:ascii="宋体" w:hAnsi="宋体"/>
                <w:color w:val="000000"/>
                <w:sz w:val="24"/>
              </w:rPr>
            </w:pPr>
            <w:r>
              <w:rPr>
                <w:rFonts w:hint="eastAsia" w:ascii="仿宋" w:hAnsi="仿宋" w:eastAsia="仿宋" w:cs="仿宋"/>
                <w:color w:val="000000"/>
                <w:sz w:val="24"/>
                <w:szCs w:val="24"/>
              </w:rPr>
              <w:t>教学方法与教学方式</w:t>
            </w:r>
          </w:p>
        </w:tc>
        <w:tc>
          <w:tcPr>
            <w:tcW w:w="7779" w:type="dxa"/>
            <w:gridSpan w:val="13"/>
            <w:tcBorders>
              <w:bottom w:val="single" w:color="auto" w:sz="4" w:space="0"/>
            </w:tcBorders>
            <w:noWrap w:val="0"/>
            <w:vAlign w:val="center"/>
          </w:tcPr>
          <w:p w14:paraId="7D7D11C9">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1</w:t>
            </w:r>
            <w:r>
              <w:rPr>
                <w:rFonts w:hint="eastAsia" w:ascii="宋体" w:hAnsi="宋体"/>
                <w:color w:val="000000"/>
                <w:sz w:val="24"/>
              </w:rPr>
              <w:t>.</w:t>
            </w:r>
            <w:r>
              <w:rPr>
                <w:rFonts w:hint="eastAsia" w:ascii="仿宋" w:hAnsi="仿宋" w:eastAsia="仿宋" w:cs="仿宋"/>
                <w:kern w:val="0"/>
                <w:sz w:val="24"/>
                <w:szCs w:val="24"/>
              </w:rPr>
              <w:t>本课程全部采用多媒体教学，应用自编的多媒体课件，加强授课效果。</w:t>
            </w:r>
          </w:p>
          <w:p w14:paraId="6C3CC13D">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为提高教学质量、培养师范生运用教育理论能力，本课程创新教学方法，加强案例讨论，采用“五步教学法”模式。具体的教学程序为：①定向：学生明确这次课的学习目标、学习内容、学习方法、学习要求；②自学：学生利用教师提供的学习材料自己学习；③自练：学生利用教师提供的练习题进行练习；④自检：学生在教师指导下检查自己的练习结果，对做错的题进行订正；⑤总结：教师进行总结，并对重难点进行讲授，同时布置必要且适量的课外练习，并把预习下次课的内容作为每次课的常规要求。此外，注重学生学习方法指导，培养学习能力。</w:t>
            </w:r>
          </w:p>
          <w:p w14:paraId="3EFF4094">
            <w:pPr>
              <w:adjustRightInd w:val="0"/>
              <w:snapToGrid w:val="0"/>
              <w:rPr>
                <w:rFonts w:hint="eastAsia" w:ascii="仿宋" w:hAnsi="仿宋" w:eastAsia="仿宋" w:cs="仿宋"/>
                <w:color w:val="000000"/>
                <w:sz w:val="24"/>
              </w:rPr>
            </w:pPr>
            <w:r>
              <w:rPr>
                <w:rFonts w:hint="eastAsia" w:ascii="仿宋" w:hAnsi="仿宋" w:eastAsia="仿宋" w:cs="仿宋"/>
                <w:color w:val="000000"/>
                <w:sz w:val="24"/>
              </w:rPr>
              <w:t>2.主要方式：</w:t>
            </w:r>
          </w:p>
          <w:p w14:paraId="12A6CD89">
            <w:pPr>
              <w:adjustRightInd w:val="0"/>
              <w:snapToGrid w:val="0"/>
              <w:ind w:firstLine="480" w:firstLineChars="200"/>
              <w:rPr>
                <w:rFonts w:hint="eastAsia" w:ascii="仿宋" w:hAnsi="仿宋" w:eastAsia="仿宋" w:cs="仿宋"/>
                <w:color w:val="000000"/>
                <w:sz w:val="24"/>
              </w:rPr>
            </w:pPr>
            <w:r>
              <w:rPr>
                <w:rFonts w:hint="eastAsia" w:ascii="仿宋" w:hAnsi="仿宋" w:eastAsia="仿宋" w:cs="仿宋"/>
                <w:color w:val="000000"/>
                <w:sz w:val="24"/>
              </w:rPr>
              <w:sym w:font="Wingdings" w:char="00FE"/>
            </w:r>
            <w:r>
              <w:rPr>
                <w:rFonts w:hint="eastAsia" w:ascii="仿宋" w:hAnsi="仿宋" w:eastAsia="仿宋" w:cs="仿宋"/>
                <w:color w:val="000000"/>
                <w:sz w:val="24"/>
              </w:rPr>
              <w:t xml:space="preserve">讲授  </w:t>
            </w:r>
            <w:r>
              <w:rPr>
                <w:rFonts w:hint="eastAsia" w:ascii="仿宋" w:hAnsi="仿宋" w:eastAsia="仿宋" w:cs="仿宋"/>
                <w:color w:val="000000"/>
                <w:sz w:val="24"/>
              </w:rPr>
              <w:sym w:font="Wingdings" w:char="00A8"/>
            </w:r>
            <w:r>
              <w:rPr>
                <w:rFonts w:hint="eastAsia" w:ascii="仿宋" w:hAnsi="仿宋" w:eastAsia="仿宋" w:cs="仿宋"/>
                <w:color w:val="000000"/>
                <w:sz w:val="24"/>
              </w:rPr>
              <w:t xml:space="preserve">网络学习  </w:t>
            </w:r>
            <w:r>
              <w:rPr>
                <w:rFonts w:hint="eastAsia" w:ascii="仿宋" w:hAnsi="仿宋" w:eastAsia="仿宋" w:cs="仿宋"/>
                <w:color w:val="000000"/>
                <w:sz w:val="24"/>
              </w:rPr>
              <w:sym w:font="Wingdings" w:char="00FE"/>
            </w:r>
            <w:r>
              <w:rPr>
                <w:rFonts w:hint="eastAsia" w:ascii="仿宋" w:hAnsi="仿宋" w:eastAsia="仿宋" w:cs="仿宋"/>
                <w:color w:val="000000"/>
                <w:sz w:val="24"/>
              </w:rPr>
              <w:t xml:space="preserve">讨论或座谈  </w:t>
            </w:r>
            <w:r>
              <w:rPr>
                <w:rFonts w:hint="eastAsia" w:ascii="仿宋" w:hAnsi="仿宋" w:eastAsia="仿宋" w:cs="仿宋"/>
                <w:color w:val="000000"/>
                <w:sz w:val="24"/>
              </w:rPr>
              <w:sym w:font="Wingdings" w:char="00A8"/>
            </w:r>
            <w:r>
              <w:rPr>
                <w:rFonts w:hint="eastAsia" w:ascii="仿宋" w:hAnsi="仿宋" w:eastAsia="仿宋" w:cs="仿宋"/>
                <w:color w:val="000000"/>
                <w:sz w:val="24"/>
              </w:rPr>
              <w:t xml:space="preserve">问题导向学  </w:t>
            </w:r>
          </w:p>
          <w:p w14:paraId="68B3BD6E">
            <w:pPr>
              <w:adjustRightInd w:val="0"/>
              <w:snapToGrid w:val="0"/>
              <w:ind w:firstLine="480" w:firstLineChars="200"/>
              <w:rPr>
                <w:rFonts w:hint="eastAsia" w:ascii="仿宋" w:hAnsi="仿宋" w:eastAsia="仿宋" w:cs="仿宋"/>
                <w:color w:val="000000"/>
                <w:sz w:val="24"/>
              </w:rPr>
            </w:pPr>
            <w:r>
              <w:rPr>
                <w:rFonts w:hint="eastAsia" w:ascii="仿宋" w:hAnsi="仿宋" w:eastAsia="仿宋" w:cs="仿宋"/>
                <w:color w:val="000000"/>
                <w:sz w:val="24"/>
              </w:rPr>
              <w:sym w:font="Wingdings" w:char="00A8"/>
            </w:r>
            <w:r>
              <w:rPr>
                <w:rFonts w:hint="eastAsia" w:ascii="仿宋" w:hAnsi="仿宋" w:eastAsia="仿宋" w:cs="仿宋"/>
                <w:color w:val="000000"/>
                <w:sz w:val="24"/>
              </w:rPr>
              <w:t xml:space="preserve">分组合作学习  </w:t>
            </w:r>
            <w:r>
              <w:rPr>
                <w:rFonts w:hint="eastAsia" w:ascii="仿宋" w:hAnsi="仿宋" w:eastAsia="仿宋" w:cs="仿宋"/>
                <w:color w:val="000000"/>
                <w:sz w:val="24"/>
              </w:rPr>
              <w:sym w:font="Wingdings" w:char="00A8"/>
            </w:r>
            <w:r>
              <w:rPr>
                <w:rFonts w:hint="eastAsia" w:ascii="仿宋" w:hAnsi="仿宋" w:eastAsia="仿宋" w:cs="仿宋"/>
                <w:color w:val="000000"/>
                <w:sz w:val="24"/>
              </w:rPr>
              <w:t xml:space="preserve">专题学习  </w:t>
            </w:r>
            <w:r>
              <w:rPr>
                <w:rFonts w:hint="eastAsia" w:ascii="仿宋" w:hAnsi="仿宋" w:eastAsia="仿宋" w:cs="仿宋"/>
                <w:color w:val="000000"/>
                <w:sz w:val="24"/>
              </w:rPr>
              <w:sym w:font="Wingdings" w:char="00A8"/>
            </w:r>
            <w:r>
              <w:rPr>
                <w:rFonts w:hint="eastAsia" w:ascii="仿宋" w:hAnsi="仿宋" w:eastAsia="仿宋" w:cs="仿宋"/>
                <w:color w:val="000000"/>
                <w:sz w:val="24"/>
              </w:rPr>
              <w:t xml:space="preserve">实作学习  </w:t>
            </w:r>
            <w:r>
              <w:rPr>
                <w:rFonts w:hint="eastAsia" w:ascii="仿宋" w:hAnsi="仿宋" w:eastAsia="仿宋" w:cs="仿宋"/>
                <w:color w:val="000000"/>
                <w:sz w:val="24"/>
              </w:rPr>
              <w:sym w:font="Wingdings" w:char="00A8"/>
            </w:r>
            <w:r>
              <w:rPr>
                <w:rFonts w:hint="eastAsia" w:ascii="仿宋" w:hAnsi="仿宋" w:eastAsia="仿宋" w:cs="仿宋"/>
                <w:color w:val="000000"/>
                <w:sz w:val="24"/>
              </w:rPr>
              <w:t xml:space="preserve">发表学习  </w:t>
            </w:r>
          </w:p>
          <w:p w14:paraId="6E095233">
            <w:pPr>
              <w:adjustRightInd w:val="0"/>
              <w:snapToGrid w:val="0"/>
              <w:ind w:firstLine="480" w:firstLineChars="200"/>
              <w:rPr>
                <w:rFonts w:hint="eastAsia" w:ascii="宋体" w:hAnsi="宋体"/>
                <w:color w:val="000000"/>
                <w:sz w:val="24"/>
              </w:rPr>
            </w:pPr>
            <w:r>
              <w:rPr>
                <w:rFonts w:hint="eastAsia" w:ascii="仿宋" w:hAnsi="仿宋" w:eastAsia="仿宋" w:cs="仿宋"/>
                <w:color w:val="000000"/>
                <w:sz w:val="24"/>
              </w:rPr>
              <w:sym w:font="Wingdings" w:char="00A8"/>
            </w:r>
            <w:r>
              <w:rPr>
                <w:rFonts w:hint="eastAsia" w:ascii="仿宋" w:hAnsi="仿宋" w:eastAsia="仿宋" w:cs="仿宋"/>
                <w:color w:val="000000"/>
                <w:sz w:val="24"/>
              </w:rPr>
              <w:t xml:space="preserve">实习  </w:t>
            </w:r>
            <w:r>
              <w:rPr>
                <w:rFonts w:hint="eastAsia" w:ascii="仿宋" w:hAnsi="仿宋" w:eastAsia="仿宋" w:cs="仿宋"/>
                <w:color w:val="000000"/>
                <w:sz w:val="24"/>
              </w:rPr>
              <w:sym w:font="Wingdings" w:char="00A8"/>
            </w:r>
            <w:r>
              <w:rPr>
                <w:rFonts w:hint="eastAsia" w:ascii="仿宋" w:hAnsi="仿宋" w:eastAsia="仿宋" w:cs="仿宋"/>
                <w:color w:val="000000"/>
                <w:sz w:val="24"/>
              </w:rPr>
              <w:t xml:space="preserve">参观访问  </w:t>
            </w:r>
            <w:r>
              <w:rPr>
                <w:rFonts w:hint="eastAsia" w:ascii="仿宋" w:hAnsi="仿宋" w:eastAsia="仿宋" w:cs="仿宋"/>
                <w:color w:val="000000"/>
                <w:sz w:val="24"/>
              </w:rPr>
              <w:sym w:font="Wingdings" w:char="00A8"/>
            </w:r>
            <w:r>
              <w:rPr>
                <w:rFonts w:hint="eastAsia" w:ascii="仿宋" w:hAnsi="仿宋" w:eastAsia="仿宋" w:cs="仿宋"/>
                <w:color w:val="000000"/>
                <w:sz w:val="24"/>
              </w:rPr>
              <w:t>其它：(如口头训练等)</w:t>
            </w:r>
          </w:p>
        </w:tc>
      </w:tr>
      <w:tr w14:paraId="0D1DA8E3">
        <w:trPr>
          <w:trHeight w:val="580" w:hRule="atLeast"/>
        </w:trPr>
        <w:tc>
          <w:tcPr>
            <w:tcW w:w="1376" w:type="dxa"/>
            <w:noWrap w:val="0"/>
            <w:vAlign w:val="center"/>
          </w:tcPr>
          <w:p w14:paraId="4BD5703F">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J</w:t>
            </w:r>
          </w:p>
          <w:p w14:paraId="3D0733D8">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教学条件</w:t>
            </w:r>
          </w:p>
          <w:p w14:paraId="54693A29">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需求</w:t>
            </w:r>
          </w:p>
        </w:tc>
        <w:tc>
          <w:tcPr>
            <w:tcW w:w="7779" w:type="dxa"/>
            <w:gridSpan w:val="13"/>
            <w:tcBorders>
              <w:bottom w:val="single" w:color="auto" w:sz="4" w:space="0"/>
            </w:tcBorders>
            <w:noWrap w:val="0"/>
            <w:vAlign w:val="center"/>
          </w:tcPr>
          <w:p w14:paraId="377E367A">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安排多媒体教室</w:t>
            </w:r>
          </w:p>
        </w:tc>
      </w:tr>
      <w:tr w14:paraId="45305654">
        <w:trPr>
          <w:trHeight w:val="711" w:hRule="atLeast"/>
        </w:trPr>
        <w:tc>
          <w:tcPr>
            <w:tcW w:w="1376" w:type="dxa"/>
            <w:vMerge w:val="restart"/>
            <w:noWrap w:val="0"/>
            <w:vAlign w:val="center"/>
          </w:tcPr>
          <w:p w14:paraId="19ACF05D">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K</w:t>
            </w:r>
          </w:p>
          <w:p w14:paraId="1C2E2FD3">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课程目标及其考核内容、考核方式及评分占比</w:t>
            </w:r>
          </w:p>
        </w:tc>
        <w:tc>
          <w:tcPr>
            <w:tcW w:w="1261" w:type="dxa"/>
            <w:gridSpan w:val="2"/>
            <w:vMerge w:val="restart"/>
            <w:noWrap w:val="0"/>
            <w:vAlign w:val="center"/>
          </w:tcPr>
          <w:p w14:paraId="58CDFF9F">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课程目标及评分占比</w:t>
            </w:r>
          </w:p>
        </w:tc>
        <w:tc>
          <w:tcPr>
            <w:tcW w:w="3218" w:type="dxa"/>
            <w:gridSpan w:val="5"/>
            <w:vMerge w:val="restart"/>
            <w:tcBorders>
              <w:right w:val="single" w:color="000000" w:sz="4" w:space="0"/>
            </w:tcBorders>
            <w:noWrap w:val="0"/>
            <w:vAlign w:val="center"/>
          </w:tcPr>
          <w:p w14:paraId="14CBB7EA">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考核内容</w:t>
            </w:r>
          </w:p>
        </w:tc>
        <w:tc>
          <w:tcPr>
            <w:tcW w:w="2704" w:type="dxa"/>
            <w:gridSpan w:val="5"/>
            <w:tcBorders>
              <w:left w:val="single" w:color="000000" w:sz="4" w:space="0"/>
              <w:right w:val="single" w:color="000000" w:sz="4" w:space="0"/>
            </w:tcBorders>
            <w:noWrap w:val="0"/>
            <w:vAlign w:val="center"/>
          </w:tcPr>
          <w:p w14:paraId="275C6AA4">
            <w:pPr>
              <w:tabs>
                <w:tab w:val="left" w:pos="720"/>
              </w:tabs>
              <w:adjustRightInd w:val="0"/>
              <w:snapToGrid w:val="0"/>
              <w:jc w:val="center"/>
              <w:rPr>
                <w:rFonts w:hint="eastAsia" w:ascii="仿宋" w:hAnsi="仿宋" w:eastAsia="仿宋" w:cs="仿宋"/>
                <w:color w:val="4472C4"/>
                <w:sz w:val="24"/>
                <w:szCs w:val="24"/>
              </w:rPr>
            </w:pPr>
            <w:r>
              <w:rPr>
                <w:rFonts w:hint="eastAsia" w:ascii="仿宋" w:hAnsi="仿宋" w:eastAsia="仿宋" w:cs="仿宋"/>
                <w:color w:val="000000"/>
                <w:kern w:val="0"/>
                <w:sz w:val="24"/>
                <w:szCs w:val="24"/>
              </w:rPr>
              <w:t>考核方式</w:t>
            </w:r>
          </w:p>
        </w:tc>
        <w:tc>
          <w:tcPr>
            <w:tcW w:w="596" w:type="dxa"/>
            <w:vMerge w:val="restart"/>
            <w:tcBorders>
              <w:left w:val="single" w:color="000000" w:sz="4" w:space="0"/>
            </w:tcBorders>
            <w:noWrap w:val="0"/>
            <w:vAlign w:val="center"/>
          </w:tcPr>
          <w:p w14:paraId="1D42DEE4">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sz w:val="24"/>
                <w:szCs w:val="24"/>
              </w:rPr>
              <w:t>课程分目标的达成度</w:t>
            </w:r>
          </w:p>
        </w:tc>
      </w:tr>
      <w:tr w14:paraId="09523A0E">
        <w:trPr>
          <w:trHeight w:val="184" w:hRule="atLeast"/>
        </w:trPr>
        <w:tc>
          <w:tcPr>
            <w:tcW w:w="1376" w:type="dxa"/>
            <w:vMerge w:val="continue"/>
            <w:noWrap w:val="0"/>
            <w:vAlign w:val="center"/>
          </w:tcPr>
          <w:p w14:paraId="63A3BF0A">
            <w:pPr>
              <w:adjustRightInd w:val="0"/>
              <w:snapToGrid w:val="0"/>
              <w:spacing w:line="240" w:lineRule="atLeast"/>
              <w:jc w:val="center"/>
              <w:rPr>
                <w:rFonts w:hint="eastAsia" w:ascii="仿宋" w:hAnsi="仿宋" w:eastAsia="仿宋" w:cs="仿宋"/>
                <w:color w:val="000000"/>
                <w:sz w:val="24"/>
                <w:szCs w:val="24"/>
              </w:rPr>
            </w:pPr>
          </w:p>
        </w:tc>
        <w:tc>
          <w:tcPr>
            <w:tcW w:w="1261" w:type="dxa"/>
            <w:gridSpan w:val="2"/>
            <w:vMerge w:val="continue"/>
            <w:tcBorders>
              <w:tl2br w:val="single" w:color="auto" w:sz="4" w:space="0"/>
            </w:tcBorders>
            <w:noWrap w:val="0"/>
            <w:vAlign w:val="center"/>
          </w:tcPr>
          <w:p w14:paraId="04260BD4">
            <w:pPr>
              <w:adjustRightInd w:val="0"/>
              <w:snapToGrid w:val="0"/>
              <w:jc w:val="right"/>
              <w:rPr>
                <w:rFonts w:hint="eastAsia" w:ascii="仿宋" w:hAnsi="仿宋" w:eastAsia="仿宋" w:cs="仿宋"/>
                <w:color w:val="000000"/>
                <w:sz w:val="24"/>
                <w:szCs w:val="24"/>
              </w:rPr>
            </w:pPr>
          </w:p>
        </w:tc>
        <w:tc>
          <w:tcPr>
            <w:tcW w:w="3218" w:type="dxa"/>
            <w:gridSpan w:val="5"/>
            <w:vMerge w:val="continue"/>
            <w:tcBorders>
              <w:right w:val="single" w:color="000000" w:sz="4" w:space="0"/>
            </w:tcBorders>
            <w:noWrap w:val="0"/>
            <w:vAlign w:val="center"/>
          </w:tcPr>
          <w:p w14:paraId="2504F1BC">
            <w:pPr>
              <w:tabs>
                <w:tab w:val="left" w:pos="720"/>
              </w:tabs>
              <w:adjustRightInd w:val="0"/>
              <w:snapToGrid w:val="0"/>
              <w:jc w:val="center"/>
              <w:rPr>
                <w:rFonts w:hint="eastAsia" w:ascii="仿宋" w:hAnsi="仿宋" w:eastAsia="仿宋" w:cs="仿宋"/>
                <w:color w:val="000000"/>
                <w:kern w:val="0"/>
                <w:sz w:val="24"/>
                <w:szCs w:val="24"/>
              </w:rPr>
            </w:pPr>
          </w:p>
        </w:tc>
        <w:tc>
          <w:tcPr>
            <w:tcW w:w="900" w:type="dxa"/>
            <w:tcBorders>
              <w:left w:val="single" w:color="000000" w:sz="4" w:space="0"/>
            </w:tcBorders>
            <w:noWrap w:val="0"/>
            <w:vAlign w:val="center"/>
          </w:tcPr>
          <w:p w14:paraId="485CB456">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作业评分占比</w:t>
            </w:r>
            <w:r>
              <w:rPr>
                <w:rFonts w:hint="eastAsia" w:ascii="仿宋" w:hAnsi="仿宋" w:eastAsia="仿宋" w:cs="仿宋"/>
                <w:color w:val="000000"/>
                <w:kern w:val="0"/>
                <w:sz w:val="18"/>
                <w:szCs w:val="18"/>
              </w:rPr>
              <w:t>（20%）</w:t>
            </w:r>
          </w:p>
        </w:tc>
        <w:tc>
          <w:tcPr>
            <w:tcW w:w="900" w:type="dxa"/>
            <w:gridSpan w:val="2"/>
            <w:tcBorders>
              <w:bottom w:val="single" w:color="auto" w:sz="4" w:space="0"/>
              <w:right w:val="single" w:color="000000" w:sz="4" w:space="0"/>
            </w:tcBorders>
            <w:noWrap w:val="0"/>
            <w:vAlign w:val="center"/>
          </w:tcPr>
          <w:p w14:paraId="06CFCE16">
            <w:pPr>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课堂表现评分占比</w:t>
            </w:r>
            <w:r>
              <w:rPr>
                <w:rFonts w:hint="eastAsia" w:ascii="仿宋" w:hAnsi="仿宋" w:eastAsia="仿宋" w:cs="仿宋"/>
                <w:color w:val="000000"/>
                <w:kern w:val="0"/>
                <w:sz w:val="18"/>
                <w:szCs w:val="18"/>
              </w:rPr>
              <w:t>（10%）</w:t>
            </w:r>
          </w:p>
        </w:tc>
        <w:tc>
          <w:tcPr>
            <w:tcW w:w="904" w:type="dxa"/>
            <w:gridSpan w:val="2"/>
            <w:tcBorders>
              <w:left w:val="single" w:color="000000" w:sz="4" w:space="0"/>
              <w:bottom w:val="single" w:color="auto" w:sz="4" w:space="0"/>
            </w:tcBorders>
            <w:noWrap w:val="0"/>
            <w:vAlign w:val="center"/>
          </w:tcPr>
          <w:p w14:paraId="01801650">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期末考试评分占比</w:t>
            </w:r>
            <w:r>
              <w:rPr>
                <w:rFonts w:hint="eastAsia" w:ascii="仿宋" w:hAnsi="仿宋" w:eastAsia="仿宋" w:cs="仿宋"/>
                <w:color w:val="000000"/>
                <w:kern w:val="0"/>
                <w:sz w:val="18"/>
                <w:szCs w:val="18"/>
              </w:rPr>
              <w:t>（70%）</w:t>
            </w:r>
          </w:p>
        </w:tc>
        <w:tc>
          <w:tcPr>
            <w:tcW w:w="596" w:type="dxa"/>
            <w:vMerge w:val="continue"/>
            <w:tcBorders>
              <w:left w:val="single" w:color="000000" w:sz="4" w:space="0"/>
              <w:bottom w:val="single" w:color="auto" w:sz="4" w:space="0"/>
            </w:tcBorders>
            <w:noWrap w:val="0"/>
            <w:vAlign w:val="center"/>
          </w:tcPr>
          <w:p w14:paraId="431B44E8">
            <w:pPr>
              <w:tabs>
                <w:tab w:val="left" w:pos="720"/>
              </w:tabs>
              <w:adjustRightInd w:val="0"/>
              <w:snapToGrid w:val="0"/>
              <w:jc w:val="center"/>
              <w:rPr>
                <w:rFonts w:hint="eastAsia" w:ascii="仿宋" w:hAnsi="仿宋" w:eastAsia="仿宋" w:cs="仿宋"/>
                <w:color w:val="000000"/>
                <w:sz w:val="24"/>
                <w:szCs w:val="24"/>
              </w:rPr>
            </w:pPr>
          </w:p>
        </w:tc>
      </w:tr>
      <w:tr w14:paraId="284BB1FB">
        <w:tc>
          <w:tcPr>
            <w:tcW w:w="1376" w:type="dxa"/>
            <w:vMerge w:val="continue"/>
            <w:noWrap w:val="0"/>
            <w:vAlign w:val="center"/>
          </w:tcPr>
          <w:p w14:paraId="694D4245">
            <w:pPr>
              <w:adjustRightInd w:val="0"/>
              <w:snapToGrid w:val="0"/>
              <w:spacing w:line="240" w:lineRule="atLeast"/>
              <w:jc w:val="center"/>
              <w:rPr>
                <w:rFonts w:hint="eastAsia" w:ascii="仿宋" w:hAnsi="仿宋" w:eastAsia="仿宋" w:cs="仿宋"/>
                <w:color w:val="000000"/>
                <w:sz w:val="24"/>
                <w:szCs w:val="24"/>
                <w:lang w:eastAsia="zh-TW"/>
              </w:rPr>
            </w:pPr>
          </w:p>
        </w:tc>
        <w:tc>
          <w:tcPr>
            <w:tcW w:w="1261" w:type="dxa"/>
            <w:gridSpan w:val="2"/>
            <w:tcBorders>
              <w:bottom w:val="single" w:color="auto" w:sz="4" w:space="0"/>
            </w:tcBorders>
            <w:noWrap w:val="0"/>
            <w:vAlign w:val="center"/>
          </w:tcPr>
          <w:p w14:paraId="30E10583">
            <w:pPr>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课程目标1（</w:t>
            </w:r>
            <w:r>
              <w:rPr>
                <w:rFonts w:hint="eastAsia" w:ascii="仿宋" w:hAnsi="仿宋" w:eastAsia="仿宋" w:cs="仿宋"/>
                <w:color w:val="000000"/>
                <w:kern w:val="0"/>
                <w:sz w:val="24"/>
                <w:szCs w:val="24"/>
                <w:lang w:val="en-US" w:eastAsia="zh-CN"/>
              </w:rPr>
              <w:t>30</w:t>
            </w:r>
            <w:r>
              <w:rPr>
                <w:rFonts w:hint="eastAsia" w:ascii="仿宋" w:hAnsi="仿宋" w:eastAsia="仿宋" w:cs="仿宋"/>
                <w:color w:val="000000"/>
                <w:kern w:val="0"/>
                <w:sz w:val="24"/>
                <w:szCs w:val="24"/>
              </w:rPr>
              <w:t>%）</w:t>
            </w:r>
          </w:p>
        </w:tc>
        <w:tc>
          <w:tcPr>
            <w:tcW w:w="3218" w:type="dxa"/>
            <w:gridSpan w:val="5"/>
            <w:tcBorders>
              <w:bottom w:val="single" w:color="auto" w:sz="4" w:space="0"/>
              <w:right w:val="single" w:color="000000" w:sz="4" w:space="0"/>
            </w:tcBorders>
            <w:noWrap w:val="0"/>
            <w:vAlign w:val="center"/>
          </w:tcPr>
          <w:p w14:paraId="4226CC3E">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1.教育与教育学；</w:t>
            </w:r>
          </w:p>
          <w:p w14:paraId="3F2361E4">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2.教育与社会发展；</w:t>
            </w:r>
          </w:p>
          <w:p w14:paraId="67D92B83">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3.教育与个体发展；</w:t>
            </w:r>
          </w:p>
          <w:p w14:paraId="4CB65A3B">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4.教育目的；</w:t>
            </w:r>
          </w:p>
          <w:p w14:paraId="0C0D05AC">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5.学校教育制度；</w:t>
            </w:r>
          </w:p>
          <w:p w14:paraId="74E1A35F">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6.教师与学生；</w:t>
            </w:r>
          </w:p>
          <w:p w14:paraId="7E4989B6">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7.教学工作。</w:t>
            </w:r>
          </w:p>
        </w:tc>
        <w:tc>
          <w:tcPr>
            <w:tcW w:w="900" w:type="dxa"/>
            <w:tcBorders>
              <w:left w:val="single" w:color="000000" w:sz="4" w:space="0"/>
              <w:bottom w:val="single" w:color="auto" w:sz="4" w:space="0"/>
            </w:tcBorders>
            <w:noWrap w:val="0"/>
            <w:vAlign w:val="center"/>
          </w:tcPr>
          <w:p w14:paraId="2CE28EBA">
            <w:pPr>
              <w:tabs>
                <w:tab w:val="left" w:pos="720"/>
              </w:tabs>
              <w:adjustRightInd w:val="0"/>
              <w:snapToGrid w:val="0"/>
              <w:jc w:val="center"/>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lang w:val="en-US" w:eastAsia="zh-CN"/>
              </w:rPr>
              <w:t>6</w:t>
            </w:r>
          </w:p>
        </w:tc>
        <w:tc>
          <w:tcPr>
            <w:tcW w:w="900" w:type="dxa"/>
            <w:gridSpan w:val="2"/>
            <w:tcBorders>
              <w:bottom w:val="single" w:color="auto" w:sz="4" w:space="0"/>
              <w:right w:val="single" w:color="000000" w:sz="4" w:space="0"/>
            </w:tcBorders>
            <w:noWrap w:val="0"/>
            <w:vAlign w:val="center"/>
          </w:tcPr>
          <w:p w14:paraId="17D1CB7E">
            <w:pPr>
              <w:tabs>
                <w:tab w:val="left" w:pos="720"/>
              </w:tabs>
              <w:adjustRightInd w:val="0"/>
              <w:snapToGrid w:val="0"/>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3</w:t>
            </w:r>
          </w:p>
        </w:tc>
        <w:tc>
          <w:tcPr>
            <w:tcW w:w="904" w:type="dxa"/>
            <w:gridSpan w:val="2"/>
            <w:tcBorders>
              <w:left w:val="single" w:color="000000" w:sz="4" w:space="0"/>
              <w:bottom w:val="single" w:color="auto" w:sz="4" w:space="0"/>
              <w:right w:val="single" w:color="auto" w:sz="4" w:space="0"/>
            </w:tcBorders>
            <w:noWrap w:val="0"/>
            <w:vAlign w:val="center"/>
          </w:tcPr>
          <w:p w14:paraId="64ADA6C9">
            <w:pPr>
              <w:tabs>
                <w:tab w:val="left" w:pos="720"/>
              </w:tabs>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21</w:t>
            </w:r>
          </w:p>
        </w:tc>
        <w:tc>
          <w:tcPr>
            <w:tcW w:w="596" w:type="dxa"/>
            <w:tcBorders>
              <w:left w:val="single" w:color="auto" w:sz="4" w:space="0"/>
              <w:bottom w:val="single" w:color="auto" w:sz="4" w:space="0"/>
            </w:tcBorders>
            <w:noWrap w:val="0"/>
            <w:vAlign w:val="center"/>
          </w:tcPr>
          <w:p w14:paraId="589DAA42">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0.70</w:t>
            </w:r>
          </w:p>
        </w:tc>
      </w:tr>
      <w:tr w14:paraId="0E2ED8A6">
        <w:trPr>
          <w:trHeight w:val="745" w:hRule="atLeast"/>
        </w:trPr>
        <w:tc>
          <w:tcPr>
            <w:tcW w:w="1376" w:type="dxa"/>
            <w:vMerge w:val="continue"/>
            <w:noWrap w:val="0"/>
            <w:vAlign w:val="center"/>
          </w:tcPr>
          <w:p w14:paraId="0091BEE6">
            <w:pPr>
              <w:adjustRightInd w:val="0"/>
              <w:snapToGrid w:val="0"/>
              <w:spacing w:line="240" w:lineRule="atLeast"/>
              <w:jc w:val="center"/>
              <w:rPr>
                <w:rFonts w:hint="eastAsia" w:ascii="仿宋" w:hAnsi="仿宋" w:eastAsia="仿宋" w:cs="仿宋"/>
                <w:color w:val="000000"/>
                <w:sz w:val="24"/>
                <w:szCs w:val="24"/>
                <w:lang w:eastAsia="zh-TW"/>
              </w:rPr>
            </w:pPr>
          </w:p>
        </w:tc>
        <w:tc>
          <w:tcPr>
            <w:tcW w:w="1261" w:type="dxa"/>
            <w:gridSpan w:val="2"/>
            <w:noWrap w:val="0"/>
            <w:vAlign w:val="center"/>
          </w:tcPr>
          <w:p w14:paraId="28CB1DD4">
            <w:pPr>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课程目标2（</w:t>
            </w:r>
            <w:r>
              <w:rPr>
                <w:rFonts w:hint="eastAsia" w:ascii="仿宋" w:hAnsi="仿宋" w:eastAsia="仿宋" w:cs="仿宋"/>
                <w:color w:val="000000"/>
                <w:kern w:val="0"/>
                <w:sz w:val="24"/>
                <w:szCs w:val="24"/>
                <w:lang w:val="en-US" w:eastAsia="zh-CN"/>
              </w:rPr>
              <w:t>40</w:t>
            </w:r>
            <w:r>
              <w:rPr>
                <w:rFonts w:hint="eastAsia" w:ascii="仿宋" w:hAnsi="仿宋" w:eastAsia="仿宋" w:cs="仿宋"/>
                <w:color w:val="000000"/>
                <w:kern w:val="0"/>
                <w:sz w:val="24"/>
                <w:szCs w:val="24"/>
              </w:rPr>
              <w:t>%）</w:t>
            </w:r>
          </w:p>
        </w:tc>
        <w:tc>
          <w:tcPr>
            <w:tcW w:w="3218" w:type="dxa"/>
            <w:gridSpan w:val="5"/>
            <w:tcBorders>
              <w:right w:val="single" w:color="000000" w:sz="4" w:space="0"/>
            </w:tcBorders>
            <w:noWrap w:val="0"/>
            <w:vAlign w:val="center"/>
          </w:tcPr>
          <w:p w14:paraId="1C079A96">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1.课程；</w:t>
            </w:r>
          </w:p>
          <w:p w14:paraId="0E2B8F58">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2.教学工作。</w:t>
            </w:r>
            <w:r>
              <w:rPr>
                <w:rFonts w:hint="eastAsia" w:ascii="仿宋" w:hAnsi="仿宋" w:eastAsia="仿宋" w:cs="仿宋"/>
                <w:color w:val="000000"/>
                <w:kern w:val="0"/>
                <w:sz w:val="24"/>
                <w:szCs w:val="24"/>
              </w:rPr>
              <w:tab/>
            </w:r>
          </w:p>
        </w:tc>
        <w:tc>
          <w:tcPr>
            <w:tcW w:w="900" w:type="dxa"/>
            <w:tcBorders>
              <w:left w:val="single" w:color="000000" w:sz="4" w:space="0"/>
            </w:tcBorders>
            <w:noWrap w:val="0"/>
            <w:vAlign w:val="center"/>
          </w:tcPr>
          <w:p w14:paraId="3780F9BB">
            <w:pPr>
              <w:tabs>
                <w:tab w:val="left" w:pos="720"/>
              </w:tabs>
              <w:adjustRightInd w:val="0"/>
              <w:snapToGrid w:val="0"/>
              <w:jc w:val="center"/>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lang w:val="en-US" w:eastAsia="zh-CN"/>
              </w:rPr>
              <w:t>8</w:t>
            </w:r>
          </w:p>
        </w:tc>
        <w:tc>
          <w:tcPr>
            <w:tcW w:w="900" w:type="dxa"/>
            <w:gridSpan w:val="2"/>
            <w:tcBorders>
              <w:bottom w:val="single" w:color="000000" w:sz="4" w:space="0"/>
              <w:right w:val="single" w:color="000000" w:sz="4" w:space="0"/>
            </w:tcBorders>
            <w:noWrap w:val="0"/>
            <w:vAlign w:val="center"/>
          </w:tcPr>
          <w:p w14:paraId="42B18E25">
            <w:pPr>
              <w:tabs>
                <w:tab w:val="left" w:pos="720"/>
              </w:tabs>
              <w:adjustRightInd w:val="0"/>
              <w:snapToGrid w:val="0"/>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4</w:t>
            </w:r>
          </w:p>
        </w:tc>
        <w:tc>
          <w:tcPr>
            <w:tcW w:w="904" w:type="dxa"/>
            <w:gridSpan w:val="2"/>
            <w:tcBorders>
              <w:left w:val="single" w:color="000000" w:sz="4" w:space="0"/>
              <w:bottom w:val="single" w:color="000000" w:sz="4" w:space="0"/>
            </w:tcBorders>
            <w:noWrap w:val="0"/>
            <w:vAlign w:val="center"/>
          </w:tcPr>
          <w:p w14:paraId="6BA65300">
            <w:pPr>
              <w:tabs>
                <w:tab w:val="left" w:pos="720"/>
              </w:tabs>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28</w:t>
            </w:r>
          </w:p>
        </w:tc>
        <w:tc>
          <w:tcPr>
            <w:tcW w:w="596" w:type="dxa"/>
            <w:tcBorders>
              <w:bottom w:val="single" w:color="000000" w:sz="4" w:space="0"/>
            </w:tcBorders>
            <w:noWrap w:val="0"/>
            <w:vAlign w:val="center"/>
          </w:tcPr>
          <w:p w14:paraId="4B64BB23">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0.70</w:t>
            </w:r>
          </w:p>
        </w:tc>
      </w:tr>
      <w:tr w14:paraId="7F265650">
        <w:trPr>
          <w:trHeight w:val="515" w:hRule="atLeast"/>
        </w:trPr>
        <w:tc>
          <w:tcPr>
            <w:tcW w:w="1376" w:type="dxa"/>
            <w:vMerge w:val="continue"/>
            <w:noWrap w:val="0"/>
            <w:vAlign w:val="center"/>
          </w:tcPr>
          <w:p w14:paraId="753596F9">
            <w:pPr>
              <w:adjustRightInd w:val="0"/>
              <w:snapToGrid w:val="0"/>
              <w:spacing w:line="240" w:lineRule="atLeast"/>
              <w:jc w:val="center"/>
              <w:rPr>
                <w:rFonts w:hint="eastAsia" w:ascii="仿宋" w:hAnsi="仿宋" w:eastAsia="仿宋" w:cs="仿宋"/>
                <w:color w:val="000000"/>
                <w:sz w:val="24"/>
                <w:szCs w:val="24"/>
                <w:lang w:eastAsia="zh-TW"/>
              </w:rPr>
            </w:pPr>
          </w:p>
        </w:tc>
        <w:tc>
          <w:tcPr>
            <w:tcW w:w="1261" w:type="dxa"/>
            <w:gridSpan w:val="2"/>
            <w:tcBorders>
              <w:bottom w:val="single" w:color="auto" w:sz="4" w:space="0"/>
            </w:tcBorders>
            <w:noWrap w:val="0"/>
            <w:vAlign w:val="center"/>
          </w:tcPr>
          <w:p w14:paraId="2F080E4E">
            <w:pPr>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课程目标3（30%）</w:t>
            </w:r>
          </w:p>
        </w:tc>
        <w:tc>
          <w:tcPr>
            <w:tcW w:w="3218" w:type="dxa"/>
            <w:gridSpan w:val="5"/>
            <w:tcBorders>
              <w:bottom w:val="single" w:color="auto" w:sz="4" w:space="0"/>
              <w:right w:val="single" w:color="000000" w:sz="4" w:space="0"/>
            </w:tcBorders>
            <w:noWrap w:val="0"/>
            <w:vAlign w:val="center"/>
          </w:tcPr>
          <w:p w14:paraId="7B68D14C">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1.德育原理；</w:t>
            </w:r>
          </w:p>
          <w:p w14:paraId="23058C60">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2.班主任与班级管理；</w:t>
            </w:r>
          </w:p>
          <w:p w14:paraId="6E209BD2">
            <w:pPr>
              <w:tabs>
                <w:tab w:val="left" w:pos="720"/>
              </w:tabs>
              <w:adjustRightInd w:val="0"/>
              <w:snapToGrid w:val="0"/>
              <w:rPr>
                <w:rFonts w:ascii="仿宋" w:hAnsi="仿宋" w:eastAsia="仿宋" w:cs="仿宋"/>
                <w:color w:val="000000"/>
                <w:kern w:val="0"/>
                <w:sz w:val="24"/>
                <w:szCs w:val="24"/>
              </w:rPr>
            </w:pPr>
            <w:r>
              <w:rPr>
                <w:rFonts w:hint="eastAsia" w:ascii="仿宋" w:hAnsi="仿宋" w:eastAsia="仿宋" w:cs="仿宋"/>
                <w:color w:val="000000"/>
                <w:kern w:val="0"/>
                <w:sz w:val="24"/>
                <w:szCs w:val="24"/>
              </w:rPr>
              <w:t>3.课外教育活动。</w:t>
            </w:r>
          </w:p>
        </w:tc>
        <w:tc>
          <w:tcPr>
            <w:tcW w:w="900" w:type="dxa"/>
            <w:tcBorders>
              <w:left w:val="single" w:color="000000" w:sz="4" w:space="0"/>
              <w:bottom w:val="single" w:color="auto" w:sz="4" w:space="0"/>
            </w:tcBorders>
            <w:noWrap w:val="0"/>
            <w:vAlign w:val="center"/>
          </w:tcPr>
          <w:p w14:paraId="392C2651">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6</w:t>
            </w:r>
          </w:p>
        </w:tc>
        <w:tc>
          <w:tcPr>
            <w:tcW w:w="900" w:type="dxa"/>
            <w:gridSpan w:val="2"/>
            <w:tcBorders>
              <w:top w:val="single" w:color="000000" w:sz="4" w:space="0"/>
              <w:bottom w:val="single" w:color="auto" w:sz="4" w:space="0"/>
              <w:right w:val="single" w:color="000000" w:sz="4" w:space="0"/>
            </w:tcBorders>
            <w:noWrap w:val="0"/>
            <w:vAlign w:val="center"/>
          </w:tcPr>
          <w:p w14:paraId="5DADC038">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3</w:t>
            </w:r>
          </w:p>
        </w:tc>
        <w:tc>
          <w:tcPr>
            <w:tcW w:w="904" w:type="dxa"/>
            <w:gridSpan w:val="2"/>
            <w:tcBorders>
              <w:top w:val="single" w:color="000000" w:sz="4" w:space="0"/>
              <w:left w:val="single" w:color="000000" w:sz="4" w:space="0"/>
              <w:bottom w:val="single" w:color="auto" w:sz="4" w:space="0"/>
            </w:tcBorders>
            <w:noWrap w:val="0"/>
            <w:vAlign w:val="center"/>
          </w:tcPr>
          <w:p w14:paraId="0E2D7E78">
            <w:pPr>
              <w:tabs>
                <w:tab w:val="left" w:pos="720"/>
              </w:tabs>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21</w:t>
            </w:r>
          </w:p>
        </w:tc>
        <w:tc>
          <w:tcPr>
            <w:tcW w:w="596" w:type="dxa"/>
            <w:tcBorders>
              <w:top w:val="single" w:color="000000" w:sz="4" w:space="0"/>
              <w:bottom w:val="single" w:color="auto" w:sz="4" w:space="0"/>
            </w:tcBorders>
            <w:noWrap w:val="0"/>
            <w:vAlign w:val="center"/>
          </w:tcPr>
          <w:p w14:paraId="120A90B9">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0.70</w:t>
            </w:r>
          </w:p>
        </w:tc>
      </w:tr>
      <w:tr w14:paraId="7EBB6CBD">
        <w:trPr>
          <w:trHeight w:val="515" w:hRule="atLeast"/>
        </w:trPr>
        <w:tc>
          <w:tcPr>
            <w:tcW w:w="1376" w:type="dxa"/>
            <w:vMerge w:val="continue"/>
            <w:noWrap w:val="0"/>
            <w:vAlign w:val="center"/>
          </w:tcPr>
          <w:p w14:paraId="048AC9A0">
            <w:pPr>
              <w:adjustRightInd w:val="0"/>
              <w:snapToGrid w:val="0"/>
              <w:spacing w:line="240" w:lineRule="atLeast"/>
              <w:jc w:val="center"/>
              <w:rPr>
                <w:rFonts w:hint="eastAsia" w:ascii="仿宋" w:hAnsi="仿宋" w:eastAsia="仿宋" w:cs="仿宋"/>
                <w:color w:val="000000"/>
                <w:sz w:val="24"/>
                <w:szCs w:val="24"/>
                <w:lang w:eastAsia="zh-TW"/>
              </w:rPr>
            </w:pPr>
          </w:p>
        </w:tc>
        <w:tc>
          <w:tcPr>
            <w:tcW w:w="4479" w:type="dxa"/>
            <w:gridSpan w:val="7"/>
            <w:tcBorders>
              <w:bottom w:val="single" w:color="auto" w:sz="4" w:space="0"/>
              <w:right w:val="single" w:color="000000" w:sz="4" w:space="0"/>
            </w:tcBorders>
            <w:noWrap w:val="0"/>
            <w:vAlign w:val="center"/>
          </w:tcPr>
          <w:p w14:paraId="4CAC091F">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总分</w:t>
            </w:r>
          </w:p>
        </w:tc>
        <w:tc>
          <w:tcPr>
            <w:tcW w:w="900" w:type="dxa"/>
            <w:tcBorders>
              <w:left w:val="single" w:color="000000" w:sz="4" w:space="0"/>
              <w:bottom w:val="single" w:color="auto" w:sz="4" w:space="0"/>
            </w:tcBorders>
            <w:noWrap w:val="0"/>
            <w:vAlign w:val="center"/>
          </w:tcPr>
          <w:p w14:paraId="6086D361">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20</w:t>
            </w:r>
          </w:p>
        </w:tc>
        <w:tc>
          <w:tcPr>
            <w:tcW w:w="900" w:type="dxa"/>
            <w:gridSpan w:val="2"/>
            <w:tcBorders>
              <w:top w:val="single" w:color="000000" w:sz="4" w:space="0"/>
              <w:bottom w:val="single" w:color="auto" w:sz="4" w:space="0"/>
              <w:right w:val="single" w:color="000000" w:sz="4" w:space="0"/>
            </w:tcBorders>
            <w:noWrap w:val="0"/>
            <w:vAlign w:val="center"/>
          </w:tcPr>
          <w:p w14:paraId="733A86C5">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10</w:t>
            </w:r>
          </w:p>
        </w:tc>
        <w:tc>
          <w:tcPr>
            <w:tcW w:w="904" w:type="dxa"/>
            <w:gridSpan w:val="2"/>
            <w:tcBorders>
              <w:top w:val="single" w:color="000000" w:sz="4" w:space="0"/>
              <w:left w:val="single" w:color="000000" w:sz="4" w:space="0"/>
              <w:bottom w:val="single" w:color="auto" w:sz="4" w:space="0"/>
            </w:tcBorders>
            <w:noWrap w:val="0"/>
            <w:vAlign w:val="center"/>
          </w:tcPr>
          <w:p w14:paraId="58D2C926">
            <w:pPr>
              <w:tabs>
                <w:tab w:val="left" w:pos="720"/>
              </w:tabs>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70</w:t>
            </w:r>
          </w:p>
        </w:tc>
        <w:tc>
          <w:tcPr>
            <w:tcW w:w="596" w:type="dxa"/>
            <w:tcBorders>
              <w:top w:val="single" w:color="000000" w:sz="4" w:space="0"/>
              <w:bottom w:val="single" w:color="auto" w:sz="4" w:space="0"/>
            </w:tcBorders>
            <w:noWrap w:val="0"/>
            <w:vAlign w:val="center"/>
          </w:tcPr>
          <w:p w14:paraId="194EB3EB">
            <w:pPr>
              <w:tabs>
                <w:tab w:val="left" w:pos="720"/>
              </w:tabs>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0.70</w:t>
            </w:r>
          </w:p>
        </w:tc>
      </w:tr>
      <w:tr w14:paraId="7FD98EC9">
        <w:tc>
          <w:tcPr>
            <w:tcW w:w="1376" w:type="dxa"/>
            <w:noWrap w:val="0"/>
            <w:vAlign w:val="center"/>
          </w:tcPr>
          <w:p w14:paraId="78C56C44">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L</w:t>
            </w:r>
          </w:p>
          <w:p w14:paraId="2BE3E078">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学习建议</w:t>
            </w:r>
          </w:p>
        </w:tc>
        <w:tc>
          <w:tcPr>
            <w:tcW w:w="7779" w:type="dxa"/>
            <w:gridSpan w:val="13"/>
            <w:tcBorders>
              <w:bottom w:val="single" w:color="auto" w:sz="4" w:space="0"/>
            </w:tcBorders>
            <w:noWrap w:val="0"/>
            <w:vAlign w:val="center"/>
          </w:tcPr>
          <w:p w14:paraId="5F0E53DE">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1.自主学习。建议学生通过预习教材，并通过网络、图书馆自主查阅课程中涉及的学习资源，独立规划自己的课程学习计划，充分发挥自身的学习能动性。</w:t>
            </w:r>
          </w:p>
          <w:p w14:paraId="28DFF3B4">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2.研究性学习。鼓励学生针对课程教学内容，尝试理论课结合专题报告的教学方式，开展相关的教育学专题讲座，提高学生的学习兴趣，了解国内外最新教育知识，开阔学生的视野。</w:t>
            </w:r>
          </w:p>
        </w:tc>
      </w:tr>
      <w:tr w14:paraId="34DFBF58">
        <w:trPr>
          <w:trHeight w:val="454" w:hRule="atLeast"/>
        </w:trPr>
        <w:tc>
          <w:tcPr>
            <w:tcW w:w="1376" w:type="dxa"/>
            <w:noWrap w:val="0"/>
            <w:vAlign w:val="center"/>
          </w:tcPr>
          <w:p w14:paraId="16D25868">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M</w:t>
            </w:r>
          </w:p>
          <w:p w14:paraId="29CA7B6A">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评分量表</w:t>
            </w:r>
          </w:p>
        </w:tc>
        <w:tc>
          <w:tcPr>
            <w:tcW w:w="7779" w:type="dxa"/>
            <w:gridSpan w:val="13"/>
            <w:noWrap w:val="0"/>
            <w:vAlign w:val="center"/>
          </w:tcPr>
          <w:p w14:paraId="55D1B6A3">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《教育学》课程目标评分量表见附表。</w:t>
            </w:r>
          </w:p>
        </w:tc>
      </w:tr>
      <w:tr w14:paraId="70EBFF96">
        <w:trPr>
          <w:trHeight w:val="454" w:hRule="atLeast"/>
        </w:trPr>
        <w:tc>
          <w:tcPr>
            <w:tcW w:w="1376" w:type="dxa"/>
            <w:noWrap w:val="0"/>
            <w:vAlign w:val="center"/>
          </w:tcPr>
          <w:p w14:paraId="15920A14">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备注</w:t>
            </w:r>
          </w:p>
        </w:tc>
        <w:tc>
          <w:tcPr>
            <w:tcW w:w="7779" w:type="dxa"/>
            <w:gridSpan w:val="13"/>
            <w:noWrap w:val="0"/>
            <w:vAlign w:val="center"/>
          </w:tcPr>
          <w:p w14:paraId="32D41043">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课程大纲A—M项由开课学院审批通过，任课教师不能自行更改。</w:t>
            </w:r>
          </w:p>
        </w:tc>
      </w:tr>
      <w:tr w14:paraId="382DC5DF">
        <w:trPr>
          <w:trHeight w:val="771" w:hRule="atLeast"/>
        </w:trPr>
        <w:tc>
          <w:tcPr>
            <w:tcW w:w="1376" w:type="dxa"/>
            <w:noWrap w:val="0"/>
            <w:vAlign w:val="center"/>
          </w:tcPr>
          <w:p w14:paraId="563AFB75">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审批</w:t>
            </w:r>
          </w:p>
          <w:p w14:paraId="797E598A">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意见</w:t>
            </w:r>
          </w:p>
        </w:tc>
        <w:tc>
          <w:tcPr>
            <w:tcW w:w="3869" w:type="dxa"/>
            <w:gridSpan w:val="5"/>
            <w:noWrap w:val="0"/>
            <w:vAlign w:val="center"/>
          </w:tcPr>
          <w:p w14:paraId="3C0E7A7C">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课程教学大纲修订负责人及教学团队成员</w:t>
            </w:r>
            <w:r>
              <w:rPr>
                <w:rFonts w:hint="eastAsia" w:ascii="仿宋" w:hAnsi="仿宋" w:eastAsia="仿宋" w:cs="仿宋"/>
                <w:color w:val="000000"/>
                <w:sz w:val="24"/>
                <w:szCs w:val="24"/>
              </w:rPr>
              <w:t>签名</w:t>
            </w:r>
            <w:r>
              <w:rPr>
                <w:rFonts w:hint="eastAsia" w:ascii="仿宋" w:hAnsi="仿宋" w:eastAsia="仿宋" w:cs="仿宋"/>
                <w:kern w:val="0"/>
                <w:sz w:val="24"/>
                <w:szCs w:val="24"/>
              </w:rPr>
              <w:t xml:space="preserve">：   </w:t>
            </w:r>
          </w:p>
          <w:p w14:paraId="259A6AC3">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温桂林</w:t>
            </w:r>
            <w:r>
              <w:rPr>
                <w:rFonts w:hint="eastAsia" w:ascii="仿宋" w:hAnsi="仿宋" w:eastAsia="仿宋" w:cs="仿宋"/>
                <w:kern w:val="0"/>
                <w:sz w:val="24"/>
                <w:szCs w:val="24"/>
              </w:rPr>
              <w:t>、吴迪、陈甘霖</w:t>
            </w:r>
          </w:p>
          <w:p w14:paraId="1C7CC2EC">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 xml:space="preserve">                                                   202</w:t>
            </w:r>
            <w:r>
              <w:rPr>
                <w:rFonts w:hint="eastAsia" w:ascii="仿宋" w:hAnsi="仿宋" w:eastAsia="仿宋" w:cs="仿宋"/>
                <w:kern w:val="0"/>
                <w:sz w:val="24"/>
                <w:szCs w:val="24"/>
                <w:lang w:val="en-US" w:eastAsia="zh-CN"/>
              </w:rPr>
              <w:t>4</w:t>
            </w:r>
            <w:r>
              <w:rPr>
                <w:rFonts w:hint="eastAsia" w:ascii="仿宋" w:hAnsi="仿宋" w:eastAsia="仿宋" w:cs="仿宋"/>
                <w:kern w:val="0"/>
                <w:sz w:val="24"/>
                <w:szCs w:val="24"/>
              </w:rPr>
              <w:t>年</w:t>
            </w:r>
            <w:r>
              <w:rPr>
                <w:rFonts w:hint="eastAsia" w:ascii="仿宋" w:hAnsi="仿宋" w:eastAsia="仿宋" w:cs="仿宋"/>
                <w:kern w:val="0"/>
                <w:sz w:val="24"/>
                <w:szCs w:val="24"/>
                <w:lang w:val="en-US" w:eastAsia="zh-CN"/>
              </w:rPr>
              <w:t>7</w:t>
            </w:r>
            <w:r>
              <w:rPr>
                <w:rFonts w:hint="eastAsia" w:ascii="仿宋" w:hAnsi="仿宋" w:eastAsia="仿宋" w:cs="仿宋"/>
                <w:kern w:val="0"/>
                <w:sz w:val="24"/>
                <w:szCs w:val="24"/>
              </w:rPr>
              <w:t>月2</w:t>
            </w:r>
            <w:r>
              <w:rPr>
                <w:rFonts w:hint="eastAsia" w:ascii="仿宋" w:hAnsi="仿宋" w:eastAsia="仿宋" w:cs="仿宋"/>
                <w:kern w:val="0"/>
                <w:sz w:val="24"/>
                <w:szCs w:val="24"/>
                <w:lang w:val="en-US" w:eastAsia="zh-CN"/>
              </w:rPr>
              <w:t>9</w:t>
            </w:r>
            <w:r>
              <w:rPr>
                <w:rFonts w:hint="eastAsia" w:ascii="仿宋" w:hAnsi="仿宋" w:eastAsia="仿宋" w:cs="仿宋"/>
                <w:kern w:val="0"/>
                <w:sz w:val="24"/>
                <w:szCs w:val="24"/>
              </w:rPr>
              <w:t xml:space="preserve">日 </w:t>
            </w:r>
          </w:p>
          <w:p w14:paraId="5089473E">
            <w:pPr>
              <w:widowControl/>
              <w:adjustRightInd w:val="0"/>
              <w:snapToGrid w:val="0"/>
              <w:jc w:val="right"/>
              <w:rPr>
                <w:rFonts w:hint="eastAsia" w:ascii="仿宋" w:hAnsi="仿宋" w:eastAsia="仿宋" w:cs="仿宋"/>
                <w:kern w:val="0"/>
                <w:sz w:val="24"/>
                <w:szCs w:val="24"/>
              </w:rPr>
            </w:pPr>
          </w:p>
        </w:tc>
        <w:tc>
          <w:tcPr>
            <w:tcW w:w="3910" w:type="dxa"/>
            <w:gridSpan w:val="8"/>
            <w:noWrap w:val="0"/>
            <w:vAlign w:val="center"/>
          </w:tcPr>
          <w:p w14:paraId="002619E7">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系主任审核意见：</w:t>
            </w:r>
          </w:p>
          <w:p w14:paraId="63B7A844">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同意</w:t>
            </w:r>
          </w:p>
          <w:p w14:paraId="72A30B66">
            <w:pPr>
              <w:widowControl/>
              <w:adjustRightInd w:val="0"/>
              <w:snapToGrid w:val="0"/>
              <w:jc w:val="left"/>
              <w:rPr>
                <w:rFonts w:ascii="仿宋" w:hAnsi="仿宋" w:eastAsia="仿宋" w:cs="仿宋"/>
                <w:kern w:val="0"/>
                <w:sz w:val="24"/>
                <w:szCs w:val="24"/>
              </w:rPr>
            </w:pPr>
            <w:r>
              <w:rPr>
                <w:rFonts w:hint="eastAsia" w:ascii="仿宋" w:hAnsi="仿宋" w:eastAsia="仿宋" w:cs="仿宋"/>
                <w:kern w:val="0"/>
                <w:sz w:val="24"/>
                <w:szCs w:val="24"/>
              </w:rPr>
              <w:t>系主任签名：吴旭平</w:t>
            </w:r>
          </w:p>
          <w:p w14:paraId="2EDA2ABB">
            <w:pPr>
              <w:widowControl/>
              <w:adjustRightInd w:val="0"/>
              <w:snapToGrid w:val="0"/>
              <w:jc w:val="right"/>
              <w:rPr>
                <w:rFonts w:hint="eastAsia" w:ascii="仿宋" w:hAnsi="仿宋" w:eastAsia="仿宋" w:cs="仿宋"/>
                <w:kern w:val="0"/>
                <w:sz w:val="24"/>
                <w:szCs w:val="24"/>
              </w:rPr>
            </w:pPr>
          </w:p>
          <w:p w14:paraId="3A07574F">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202</w:t>
            </w:r>
            <w:r>
              <w:rPr>
                <w:rFonts w:hint="eastAsia" w:ascii="仿宋" w:hAnsi="仿宋" w:eastAsia="仿宋" w:cs="仿宋"/>
                <w:kern w:val="0"/>
                <w:sz w:val="24"/>
                <w:szCs w:val="24"/>
                <w:lang w:val="en-US" w:eastAsia="zh-CN"/>
              </w:rPr>
              <w:t>4</w:t>
            </w:r>
            <w:r>
              <w:rPr>
                <w:rFonts w:hint="eastAsia" w:ascii="仿宋" w:hAnsi="仿宋" w:eastAsia="仿宋" w:cs="仿宋"/>
                <w:kern w:val="0"/>
                <w:sz w:val="24"/>
                <w:szCs w:val="24"/>
              </w:rPr>
              <w:t>年</w:t>
            </w:r>
            <w:r>
              <w:rPr>
                <w:rFonts w:hint="eastAsia" w:ascii="仿宋" w:hAnsi="仿宋" w:eastAsia="仿宋" w:cs="仿宋"/>
                <w:kern w:val="0"/>
                <w:sz w:val="24"/>
                <w:szCs w:val="24"/>
                <w:lang w:val="en-US" w:eastAsia="zh-CN"/>
              </w:rPr>
              <w:t>7</w:t>
            </w:r>
            <w:r>
              <w:rPr>
                <w:rFonts w:hint="eastAsia" w:ascii="仿宋" w:hAnsi="仿宋" w:eastAsia="仿宋" w:cs="仿宋"/>
                <w:kern w:val="0"/>
                <w:sz w:val="24"/>
                <w:szCs w:val="24"/>
              </w:rPr>
              <w:t>月2</w:t>
            </w:r>
            <w:r>
              <w:rPr>
                <w:rFonts w:hint="eastAsia" w:ascii="仿宋" w:hAnsi="仿宋" w:eastAsia="仿宋" w:cs="仿宋"/>
                <w:kern w:val="0"/>
                <w:sz w:val="24"/>
                <w:szCs w:val="24"/>
                <w:lang w:val="en-US" w:eastAsia="zh-CN"/>
              </w:rPr>
              <w:t>9</w:t>
            </w:r>
            <w:r>
              <w:rPr>
                <w:rFonts w:hint="eastAsia" w:ascii="仿宋" w:hAnsi="仿宋" w:eastAsia="仿宋" w:cs="仿宋"/>
                <w:kern w:val="0"/>
                <w:sz w:val="24"/>
                <w:szCs w:val="24"/>
              </w:rPr>
              <w:t>日</w:t>
            </w:r>
          </w:p>
          <w:p w14:paraId="33634CD8">
            <w:pPr>
              <w:widowControl/>
              <w:adjustRightInd w:val="0"/>
              <w:snapToGrid w:val="0"/>
              <w:jc w:val="right"/>
              <w:rPr>
                <w:rFonts w:hint="eastAsia" w:ascii="仿宋" w:hAnsi="仿宋" w:eastAsia="仿宋" w:cs="仿宋"/>
                <w:kern w:val="0"/>
                <w:sz w:val="24"/>
                <w:szCs w:val="24"/>
              </w:rPr>
            </w:pPr>
          </w:p>
        </w:tc>
      </w:tr>
    </w:tbl>
    <w:p w14:paraId="74D9C207">
      <w:pPr>
        <w:spacing w:before="240" w:line="276" w:lineRule="auto"/>
        <w:jc w:val="center"/>
        <w:outlineLvl w:val="0"/>
        <w:rPr>
          <w:rFonts w:hint="eastAsia" w:ascii="仿宋" w:eastAsia="仿宋" w:cs="仿宋"/>
          <w:b/>
          <w:sz w:val="28"/>
          <w:szCs w:val="28"/>
        </w:rPr>
      </w:pPr>
      <w:bookmarkStart w:id="121" w:name="_Toc1413007821"/>
      <w:r>
        <w:rPr>
          <w:rFonts w:hint="eastAsia" w:ascii="仿宋" w:eastAsia="仿宋" w:cs="仿宋"/>
          <w:b/>
          <w:sz w:val="28"/>
          <w:szCs w:val="28"/>
        </w:rPr>
        <w:t>附表：《教育学》课程目标评分量表</w:t>
      </w:r>
      <w:bookmarkEnd w:id="121"/>
    </w:p>
    <w:tbl>
      <w:tblPr>
        <w:tblStyle w:val="22"/>
        <w:tblW w:w="9519" w:type="dxa"/>
        <w:jc w:val="center"/>
        <w:tblLayout w:type="autofit"/>
        <w:tblCellMar>
          <w:top w:w="0" w:type="dxa"/>
          <w:left w:w="108" w:type="dxa"/>
          <w:bottom w:w="0" w:type="dxa"/>
          <w:right w:w="108" w:type="dxa"/>
        </w:tblCellMar>
      </w:tblPr>
      <w:tblGrid>
        <w:gridCol w:w="1568"/>
        <w:gridCol w:w="1554"/>
        <w:gridCol w:w="1568"/>
        <w:gridCol w:w="1581"/>
        <w:gridCol w:w="1652"/>
        <w:gridCol w:w="1596"/>
      </w:tblGrid>
      <w:tr w14:paraId="441E7C87">
        <w:trPr>
          <w:trHeight w:val="624" w:hRule="atLeast"/>
          <w:jc w:val="center"/>
        </w:trPr>
        <w:tc>
          <w:tcPr>
            <w:tcW w:w="1568" w:type="dxa"/>
            <w:tcBorders>
              <w:top w:val="single" w:color="000000" w:sz="4" w:space="0"/>
              <w:left w:val="single" w:color="000000" w:sz="4" w:space="0"/>
              <w:bottom w:val="single" w:color="000000" w:sz="4" w:space="0"/>
              <w:right w:val="single" w:color="000000" w:sz="4" w:space="0"/>
            </w:tcBorders>
            <w:noWrap w:val="0"/>
            <w:vAlign w:val="center"/>
          </w:tcPr>
          <w:p w14:paraId="17745BBD">
            <w:pPr>
              <w:tabs>
                <w:tab w:val="left" w:pos="720"/>
              </w:tabs>
              <w:spacing w:line="280" w:lineRule="exact"/>
              <w:jc w:val="center"/>
              <w:rPr>
                <w:rFonts w:hint="eastAsia" w:ascii="仿宋" w:eastAsia="仿宋" w:cs="仿宋"/>
                <w:b/>
                <w:szCs w:val="21"/>
              </w:rPr>
            </w:pPr>
            <w:r>
              <w:rPr>
                <w:rFonts w:hint="eastAsia" w:ascii="仿宋" w:eastAsia="仿宋" w:cs="仿宋"/>
                <w:b/>
                <w:szCs w:val="21"/>
              </w:rPr>
              <w:t>课程目标</w:t>
            </w:r>
          </w:p>
        </w:tc>
        <w:tc>
          <w:tcPr>
            <w:tcW w:w="1554" w:type="dxa"/>
            <w:tcBorders>
              <w:top w:val="single" w:color="000000" w:sz="4" w:space="0"/>
              <w:left w:val="single" w:color="000000" w:sz="4" w:space="0"/>
              <w:bottom w:val="single" w:color="000000" w:sz="4" w:space="0"/>
              <w:right w:val="single" w:color="000000" w:sz="4" w:space="0"/>
            </w:tcBorders>
            <w:noWrap w:val="0"/>
            <w:vAlign w:val="center"/>
          </w:tcPr>
          <w:p w14:paraId="48700AAF">
            <w:pPr>
              <w:tabs>
                <w:tab w:val="left" w:pos="720"/>
              </w:tabs>
              <w:spacing w:line="280" w:lineRule="exact"/>
              <w:jc w:val="center"/>
              <w:rPr>
                <w:rFonts w:hint="eastAsia" w:ascii="仿宋" w:eastAsia="仿宋" w:cs="仿宋"/>
                <w:b/>
                <w:szCs w:val="21"/>
              </w:rPr>
            </w:pPr>
            <w:r>
              <w:rPr>
                <w:rFonts w:hint="eastAsia" w:ascii="仿宋" w:eastAsia="仿宋" w:cs="仿宋"/>
                <w:b/>
                <w:szCs w:val="21"/>
              </w:rPr>
              <w:t>优</w:t>
            </w:r>
          </w:p>
          <w:p w14:paraId="0703ECB8">
            <w:pPr>
              <w:tabs>
                <w:tab w:val="left" w:pos="720"/>
              </w:tabs>
              <w:spacing w:line="280" w:lineRule="exact"/>
              <w:jc w:val="center"/>
              <w:rPr>
                <w:rFonts w:hint="eastAsia" w:ascii="仿宋" w:eastAsia="仿宋" w:cs="仿宋"/>
                <w:b/>
                <w:szCs w:val="21"/>
              </w:rPr>
            </w:pPr>
            <w:r>
              <w:rPr>
                <w:rFonts w:hint="eastAsia" w:ascii="仿宋" w:eastAsia="仿宋" w:cs="仿宋"/>
                <w:b/>
                <w:szCs w:val="21"/>
              </w:rPr>
              <w:t>（X≧90）</w:t>
            </w:r>
          </w:p>
        </w:tc>
        <w:tc>
          <w:tcPr>
            <w:tcW w:w="1568" w:type="dxa"/>
            <w:tcBorders>
              <w:top w:val="single" w:color="000000" w:sz="4" w:space="0"/>
              <w:left w:val="single" w:color="000000" w:sz="4" w:space="0"/>
              <w:bottom w:val="single" w:color="000000" w:sz="4" w:space="0"/>
              <w:right w:val="single" w:color="000000" w:sz="4" w:space="0"/>
            </w:tcBorders>
            <w:noWrap w:val="0"/>
            <w:vAlign w:val="center"/>
          </w:tcPr>
          <w:p w14:paraId="60B4589A">
            <w:pPr>
              <w:tabs>
                <w:tab w:val="left" w:pos="720"/>
              </w:tabs>
              <w:spacing w:line="280" w:lineRule="exact"/>
              <w:jc w:val="center"/>
              <w:rPr>
                <w:rFonts w:hint="eastAsia" w:ascii="仿宋" w:eastAsia="仿宋" w:cs="仿宋"/>
                <w:b/>
                <w:szCs w:val="21"/>
              </w:rPr>
            </w:pPr>
            <w:r>
              <w:rPr>
                <w:rFonts w:hint="eastAsia" w:ascii="仿宋" w:eastAsia="仿宋" w:cs="仿宋"/>
                <w:b/>
                <w:szCs w:val="21"/>
              </w:rPr>
              <w:t>良</w:t>
            </w:r>
          </w:p>
          <w:p w14:paraId="58D466B9">
            <w:pPr>
              <w:tabs>
                <w:tab w:val="left" w:pos="720"/>
              </w:tabs>
              <w:spacing w:line="280" w:lineRule="exact"/>
              <w:ind w:right="-52" w:hanging="131"/>
              <w:jc w:val="center"/>
              <w:rPr>
                <w:rFonts w:hint="eastAsia" w:ascii="仿宋" w:eastAsia="仿宋" w:cs="仿宋"/>
                <w:b/>
                <w:szCs w:val="21"/>
              </w:rPr>
            </w:pPr>
            <w:r>
              <w:rPr>
                <w:rFonts w:hint="eastAsia" w:ascii="仿宋" w:eastAsia="仿宋" w:cs="仿宋"/>
                <w:b/>
                <w:szCs w:val="21"/>
              </w:rPr>
              <w:t>（80≦X＜90）</w:t>
            </w:r>
          </w:p>
        </w:tc>
        <w:tc>
          <w:tcPr>
            <w:tcW w:w="1581" w:type="dxa"/>
            <w:tcBorders>
              <w:top w:val="single" w:color="000000" w:sz="4" w:space="0"/>
              <w:left w:val="single" w:color="000000" w:sz="4" w:space="0"/>
              <w:bottom w:val="single" w:color="000000" w:sz="4" w:space="0"/>
              <w:right w:val="single" w:color="000000" w:sz="4" w:space="0"/>
            </w:tcBorders>
            <w:noWrap w:val="0"/>
            <w:vAlign w:val="center"/>
          </w:tcPr>
          <w:p w14:paraId="099A6CA6">
            <w:pPr>
              <w:tabs>
                <w:tab w:val="left" w:pos="720"/>
              </w:tabs>
              <w:spacing w:line="280" w:lineRule="exact"/>
              <w:jc w:val="center"/>
              <w:rPr>
                <w:rFonts w:hint="eastAsia" w:ascii="仿宋" w:eastAsia="仿宋" w:cs="仿宋"/>
                <w:b/>
                <w:szCs w:val="21"/>
              </w:rPr>
            </w:pPr>
            <w:r>
              <w:rPr>
                <w:rFonts w:hint="eastAsia" w:ascii="仿宋" w:eastAsia="仿宋" w:cs="仿宋"/>
                <w:b/>
                <w:szCs w:val="21"/>
              </w:rPr>
              <w:t>中</w:t>
            </w:r>
          </w:p>
          <w:p w14:paraId="28054CED">
            <w:pPr>
              <w:tabs>
                <w:tab w:val="left" w:pos="720"/>
              </w:tabs>
              <w:spacing w:line="280" w:lineRule="exact"/>
              <w:ind w:right="-52" w:hanging="131"/>
              <w:jc w:val="center"/>
              <w:rPr>
                <w:rFonts w:hint="eastAsia" w:ascii="仿宋" w:eastAsia="仿宋" w:cs="仿宋"/>
                <w:b/>
                <w:szCs w:val="21"/>
              </w:rPr>
            </w:pPr>
            <w:r>
              <w:rPr>
                <w:rFonts w:hint="eastAsia" w:ascii="仿宋" w:eastAsia="仿宋" w:cs="仿宋"/>
                <w:b/>
                <w:szCs w:val="21"/>
              </w:rPr>
              <w:t>（70≦X＜80）</w:t>
            </w:r>
          </w:p>
        </w:tc>
        <w:tc>
          <w:tcPr>
            <w:tcW w:w="1652" w:type="dxa"/>
            <w:tcBorders>
              <w:top w:val="single" w:color="000000" w:sz="4" w:space="0"/>
              <w:left w:val="single" w:color="000000" w:sz="4" w:space="0"/>
              <w:bottom w:val="single" w:color="000000" w:sz="4" w:space="0"/>
              <w:right w:val="single" w:color="000000" w:sz="4" w:space="0"/>
            </w:tcBorders>
            <w:noWrap w:val="0"/>
            <w:vAlign w:val="center"/>
          </w:tcPr>
          <w:p w14:paraId="391186ED">
            <w:pPr>
              <w:tabs>
                <w:tab w:val="left" w:pos="720"/>
              </w:tabs>
              <w:spacing w:line="280" w:lineRule="exact"/>
              <w:jc w:val="center"/>
              <w:rPr>
                <w:rFonts w:hint="eastAsia" w:ascii="仿宋" w:eastAsia="仿宋" w:cs="仿宋"/>
                <w:b/>
                <w:szCs w:val="21"/>
              </w:rPr>
            </w:pPr>
            <w:r>
              <w:rPr>
                <w:rFonts w:hint="eastAsia" w:ascii="仿宋" w:eastAsia="仿宋" w:cs="仿宋"/>
                <w:b/>
                <w:szCs w:val="21"/>
              </w:rPr>
              <w:t>及格</w:t>
            </w:r>
          </w:p>
          <w:p w14:paraId="2FA7869B">
            <w:pPr>
              <w:tabs>
                <w:tab w:val="left" w:pos="720"/>
              </w:tabs>
              <w:spacing w:line="280" w:lineRule="exact"/>
              <w:ind w:right="-52" w:hanging="131"/>
              <w:jc w:val="center"/>
              <w:rPr>
                <w:rFonts w:hint="eastAsia" w:ascii="仿宋" w:eastAsia="仿宋" w:cs="仿宋"/>
                <w:b/>
                <w:szCs w:val="21"/>
              </w:rPr>
            </w:pPr>
            <w:r>
              <w:rPr>
                <w:rFonts w:hint="eastAsia" w:ascii="仿宋" w:eastAsia="仿宋" w:cs="仿宋"/>
                <w:b/>
                <w:szCs w:val="21"/>
              </w:rPr>
              <w:t>（60≦X＜70）</w:t>
            </w:r>
          </w:p>
        </w:tc>
        <w:tc>
          <w:tcPr>
            <w:tcW w:w="1596" w:type="dxa"/>
            <w:tcBorders>
              <w:top w:val="single" w:color="000000" w:sz="4" w:space="0"/>
              <w:left w:val="single" w:color="000000" w:sz="4" w:space="0"/>
              <w:bottom w:val="single" w:color="000000" w:sz="4" w:space="0"/>
              <w:right w:val="single" w:color="000000" w:sz="4" w:space="0"/>
            </w:tcBorders>
            <w:noWrap w:val="0"/>
            <w:vAlign w:val="center"/>
          </w:tcPr>
          <w:p w14:paraId="6071C5E0">
            <w:pPr>
              <w:tabs>
                <w:tab w:val="left" w:pos="720"/>
              </w:tabs>
              <w:spacing w:line="280" w:lineRule="exact"/>
              <w:jc w:val="center"/>
              <w:rPr>
                <w:rFonts w:hint="eastAsia" w:ascii="仿宋" w:eastAsia="仿宋" w:cs="仿宋"/>
                <w:b/>
                <w:szCs w:val="21"/>
              </w:rPr>
            </w:pPr>
            <w:r>
              <w:rPr>
                <w:rFonts w:hint="eastAsia" w:ascii="仿宋" w:eastAsia="仿宋" w:cs="仿宋"/>
                <w:b/>
                <w:szCs w:val="21"/>
              </w:rPr>
              <w:t>不及格</w:t>
            </w:r>
          </w:p>
          <w:p w14:paraId="5A9D5842">
            <w:pPr>
              <w:tabs>
                <w:tab w:val="left" w:pos="720"/>
              </w:tabs>
              <w:spacing w:line="280" w:lineRule="exact"/>
              <w:jc w:val="center"/>
              <w:rPr>
                <w:rFonts w:hint="eastAsia" w:ascii="仿宋" w:eastAsia="仿宋" w:cs="仿宋"/>
                <w:b/>
                <w:szCs w:val="21"/>
              </w:rPr>
            </w:pPr>
            <w:r>
              <w:rPr>
                <w:rFonts w:hint="eastAsia" w:ascii="仿宋" w:eastAsia="仿宋" w:cs="仿宋"/>
                <w:b/>
                <w:szCs w:val="21"/>
              </w:rPr>
              <w:t>（X＜60）</w:t>
            </w:r>
          </w:p>
        </w:tc>
      </w:tr>
      <w:tr w14:paraId="7FCEB396">
        <w:trPr>
          <w:trHeight w:val="624" w:hRule="atLeast"/>
          <w:jc w:val="center"/>
        </w:trPr>
        <w:tc>
          <w:tcPr>
            <w:tcW w:w="1568" w:type="dxa"/>
            <w:tcBorders>
              <w:top w:val="single" w:color="000000" w:sz="4" w:space="0"/>
              <w:left w:val="single" w:color="000000" w:sz="4" w:space="0"/>
              <w:bottom w:val="single" w:color="000000" w:sz="4" w:space="0"/>
              <w:right w:val="single" w:color="000000" w:sz="4" w:space="0"/>
            </w:tcBorders>
            <w:noWrap w:val="0"/>
            <w:vAlign w:val="top"/>
          </w:tcPr>
          <w:p w14:paraId="5CEBC823">
            <w:pPr>
              <w:widowControl/>
              <w:spacing w:line="260" w:lineRule="exact"/>
              <w:rPr>
                <w:rFonts w:hint="eastAsia" w:ascii="楷体" w:eastAsia="楷体" w:cs="仿宋"/>
                <w:bCs/>
                <w:szCs w:val="21"/>
              </w:rPr>
            </w:pPr>
            <w:r>
              <w:rPr>
                <w:rFonts w:hint="eastAsia" w:ascii="楷体" w:eastAsia="楷体" w:cs="仿宋"/>
                <w:bCs/>
                <w:szCs w:val="21"/>
              </w:rPr>
              <w:t>课程目标1：掌握教育与社会发展的规律、教育与个体发展的规律、教学规律、我国的教育方针、我国的教育目的、全面发展教育观、素质教育观、教师观、学生观、基础教育课改理论、教学理论；能贯彻党的教育方针，遵守中小学教师职业道德规范；具有正确的教育观、学生观、教师观、课程观、教学观。</w:t>
            </w:r>
          </w:p>
        </w:tc>
        <w:tc>
          <w:tcPr>
            <w:tcW w:w="1554" w:type="dxa"/>
            <w:tcBorders>
              <w:top w:val="single" w:color="000000" w:sz="4" w:space="0"/>
              <w:left w:val="single" w:color="000000" w:sz="4" w:space="0"/>
              <w:bottom w:val="single" w:color="000000" w:sz="4" w:space="0"/>
              <w:right w:val="single" w:color="000000" w:sz="4" w:space="0"/>
            </w:tcBorders>
            <w:noWrap w:val="0"/>
            <w:vAlign w:val="top"/>
          </w:tcPr>
          <w:p w14:paraId="31F2D8BF">
            <w:pPr>
              <w:widowControl/>
              <w:spacing w:line="260" w:lineRule="exact"/>
              <w:rPr>
                <w:rFonts w:hint="eastAsia" w:ascii="楷体" w:eastAsia="楷体" w:cs="仿宋"/>
                <w:bCs/>
                <w:szCs w:val="21"/>
              </w:rPr>
            </w:pPr>
            <w:r>
              <w:rPr>
                <w:rFonts w:hint="eastAsia" w:ascii="楷体" w:eastAsia="楷体" w:cs="仿宋"/>
                <w:bCs/>
                <w:szCs w:val="21"/>
              </w:rPr>
              <w:t>能够扎实地掌握教育与社会发展的规律、教育与个体发展的规律、教学规律、我国的教育方针、我国的教育目的、全面发展教育观、素质教育观、教师观、学生观、基础教育课改理论、教学理论；能贯彻党的教育方针，遵守中小学教师职业道德规范；具有正确的教育观、学生观、教师观、课程观、教学观。</w:t>
            </w:r>
          </w:p>
        </w:tc>
        <w:tc>
          <w:tcPr>
            <w:tcW w:w="1568" w:type="dxa"/>
            <w:tcBorders>
              <w:top w:val="single" w:color="000000" w:sz="4" w:space="0"/>
              <w:left w:val="single" w:color="000000" w:sz="4" w:space="0"/>
              <w:bottom w:val="single" w:color="000000" w:sz="4" w:space="0"/>
              <w:right w:val="single" w:color="000000" w:sz="4" w:space="0"/>
            </w:tcBorders>
            <w:noWrap w:val="0"/>
            <w:vAlign w:val="top"/>
          </w:tcPr>
          <w:p w14:paraId="7424E95D">
            <w:pPr>
              <w:widowControl/>
              <w:spacing w:line="260" w:lineRule="exact"/>
              <w:rPr>
                <w:rFonts w:hint="eastAsia" w:ascii="楷体" w:eastAsia="楷体" w:cs="仿宋"/>
                <w:bCs/>
                <w:szCs w:val="21"/>
              </w:rPr>
            </w:pPr>
            <w:r>
              <w:rPr>
                <w:rFonts w:hint="eastAsia" w:ascii="楷体" w:eastAsia="楷体" w:cs="仿宋"/>
                <w:bCs/>
                <w:szCs w:val="21"/>
              </w:rPr>
              <w:t>能够掌握教育与社会发展的规律、教育与个体发展的规律、教学规律、我国的教育方针、我国的教育目的、全面发展教育观、素质教育观、教师观、学生观、基础教育课改理论、教学理论；能贯彻党的教育方针，遵守中小学教师职业道德规范；具有正确的教育观、学生观、教师观、课程观、教学观。</w:t>
            </w:r>
          </w:p>
        </w:tc>
        <w:tc>
          <w:tcPr>
            <w:tcW w:w="1581" w:type="dxa"/>
            <w:tcBorders>
              <w:top w:val="single" w:color="000000" w:sz="4" w:space="0"/>
              <w:left w:val="single" w:color="000000" w:sz="4" w:space="0"/>
              <w:bottom w:val="single" w:color="000000" w:sz="4" w:space="0"/>
              <w:right w:val="single" w:color="000000" w:sz="4" w:space="0"/>
            </w:tcBorders>
            <w:noWrap w:val="0"/>
            <w:vAlign w:val="top"/>
          </w:tcPr>
          <w:p w14:paraId="57CD6FBF">
            <w:pPr>
              <w:widowControl/>
              <w:spacing w:line="260" w:lineRule="exact"/>
              <w:rPr>
                <w:rFonts w:hint="eastAsia" w:ascii="楷体" w:eastAsia="楷体" w:cs="仿宋"/>
                <w:bCs/>
                <w:szCs w:val="21"/>
              </w:rPr>
            </w:pPr>
            <w:r>
              <w:rPr>
                <w:rFonts w:hint="eastAsia" w:ascii="楷体" w:eastAsia="楷体" w:cs="仿宋"/>
                <w:bCs/>
                <w:szCs w:val="21"/>
              </w:rPr>
              <w:t>能够基本掌握教育与社会发展的规律、教育与个体发展的规律、教学规律、我国的教育方针、我国的教育目的、全面发展教育观、素质教育观、教师观、学生观、基础教育课改理论、教学理论；能贯彻党的教育方针，遵守中小学教师职业道德规范；具有正确的教育观、学生观、教师观、课程观、教学观。</w:t>
            </w:r>
          </w:p>
        </w:tc>
        <w:tc>
          <w:tcPr>
            <w:tcW w:w="1652" w:type="dxa"/>
            <w:tcBorders>
              <w:top w:val="single" w:color="000000" w:sz="4" w:space="0"/>
              <w:left w:val="single" w:color="000000" w:sz="4" w:space="0"/>
              <w:bottom w:val="single" w:color="000000" w:sz="4" w:space="0"/>
              <w:right w:val="single" w:color="000000" w:sz="4" w:space="0"/>
            </w:tcBorders>
            <w:noWrap w:val="0"/>
            <w:vAlign w:val="top"/>
          </w:tcPr>
          <w:p w14:paraId="1086A4DA">
            <w:pPr>
              <w:widowControl/>
              <w:spacing w:line="260" w:lineRule="exact"/>
              <w:rPr>
                <w:rFonts w:hint="eastAsia" w:ascii="楷体" w:eastAsia="楷体" w:cs="仿宋"/>
                <w:bCs/>
                <w:szCs w:val="21"/>
              </w:rPr>
            </w:pPr>
            <w:r>
              <w:rPr>
                <w:rFonts w:hint="eastAsia" w:ascii="楷体" w:eastAsia="楷体" w:cs="仿宋"/>
                <w:bCs/>
                <w:szCs w:val="21"/>
              </w:rPr>
              <w:t>能够基本掌握部分教育与社会发展的规律、教育与个体发展的规律、教学规律、我国的教育方针、我国的教育目的、全面发展教育观、素质教育观、教师观、学生观、基础教育课改理论、教学理论；能贯彻党的教育方针，遵守中小学教师职业道德规范；具有正确的教育观、学生观、教师观、课程观、教学观。</w:t>
            </w:r>
          </w:p>
        </w:tc>
        <w:tc>
          <w:tcPr>
            <w:tcW w:w="1596" w:type="dxa"/>
            <w:tcBorders>
              <w:top w:val="single" w:color="000000" w:sz="4" w:space="0"/>
              <w:left w:val="single" w:color="000000" w:sz="4" w:space="0"/>
              <w:bottom w:val="single" w:color="000000" w:sz="4" w:space="0"/>
              <w:right w:val="single" w:color="000000" w:sz="4" w:space="0"/>
            </w:tcBorders>
            <w:noWrap w:val="0"/>
            <w:vAlign w:val="top"/>
          </w:tcPr>
          <w:p w14:paraId="4EA9B12D">
            <w:pPr>
              <w:widowControl/>
              <w:spacing w:line="260" w:lineRule="exact"/>
              <w:rPr>
                <w:rFonts w:hint="eastAsia" w:ascii="楷体" w:eastAsia="楷体" w:cs="仿宋"/>
                <w:bCs/>
                <w:szCs w:val="21"/>
              </w:rPr>
            </w:pPr>
            <w:r>
              <w:rPr>
                <w:rFonts w:hint="eastAsia" w:ascii="楷体" w:eastAsia="楷体" w:cs="仿宋"/>
                <w:bCs/>
                <w:szCs w:val="21"/>
              </w:rPr>
              <w:t>未能掌握教育与社会发展的规律、教育与个体发展的规律、教学规律、我国的教育方针、我国的教育目的、全面发展教育观、素质教育观、教师观、学生观、基础教育课改理论、教学理论；未能贯彻党的教育方针，遵守中小学教师职业道德规范；没有正确的教育观、学生观、教师观、课程观、教学观。</w:t>
            </w:r>
          </w:p>
        </w:tc>
      </w:tr>
      <w:tr w14:paraId="2514DB70">
        <w:trPr>
          <w:trHeight w:val="624" w:hRule="atLeast"/>
          <w:jc w:val="center"/>
        </w:trPr>
        <w:tc>
          <w:tcPr>
            <w:tcW w:w="1568" w:type="dxa"/>
            <w:tcBorders>
              <w:top w:val="single" w:color="000000" w:sz="4" w:space="0"/>
              <w:left w:val="single" w:color="000000" w:sz="4" w:space="0"/>
              <w:bottom w:val="single" w:color="000000" w:sz="4" w:space="0"/>
              <w:right w:val="single" w:color="000000" w:sz="4" w:space="0"/>
            </w:tcBorders>
            <w:noWrap w:val="0"/>
            <w:vAlign w:val="top"/>
          </w:tcPr>
          <w:p w14:paraId="79EBECDF">
            <w:pPr>
              <w:widowControl/>
              <w:spacing w:line="260" w:lineRule="exact"/>
              <w:rPr>
                <w:rFonts w:hint="eastAsia" w:ascii="楷体" w:eastAsia="楷体" w:cs="仿宋"/>
                <w:bCs/>
                <w:szCs w:val="21"/>
              </w:rPr>
            </w:pPr>
            <w:r>
              <w:rPr>
                <w:rFonts w:hint="eastAsia" w:ascii="楷体" w:eastAsia="楷体" w:cs="仿宋"/>
                <w:bCs/>
                <w:szCs w:val="21"/>
              </w:rPr>
              <w:t>课程目标2：掌握课程理论；掌握教学规律、教学原则、教学方法、教学组织形式、教学工作基本环节、教学评价、课堂管理等教学理论，为提高学生的教学能力奠定理论基础。学会运用相关理论分析、解决基础教育实践中的具体问题，能够开展课程与教学设计、实施、评价等相关工作。</w:t>
            </w:r>
          </w:p>
        </w:tc>
        <w:tc>
          <w:tcPr>
            <w:tcW w:w="1554" w:type="dxa"/>
            <w:tcBorders>
              <w:top w:val="single" w:color="000000" w:sz="4" w:space="0"/>
              <w:left w:val="single" w:color="000000" w:sz="4" w:space="0"/>
              <w:bottom w:val="single" w:color="000000" w:sz="4" w:space="0"/>
              <w:right w:val="single" w:color="000000" w:sz="4" w:space="0"/>
            </w:tcBorders>
            <w:noWrap w:val="0"/>
            <w:vAlign w:val="top"/>
          </w:tcPr>
          <w:p w14:paraId="26E3B1E6">
            <w:pPr>
              <w:widowControl/>
              <w:spacing w:line="260" w:lineRule="exact"/>
              <w:rPr>
                <w:rFonts w:hint="eastAsia" w:ascii="楷体" w:eastAsia="楷体" w:cs="仿宋"/>
                <w:bCs/>
                <w:szCs w:val="21"/>
              </w:rPr>
            </w:pPr>
            <w:r>
              <w:rPr>
                <w:rFonts w:hint="eastAsia" w:ascii="楷体" w:eastAsia="楷体" w:cs="仿宋"/>
                <w:bCs/>
                <w:szCs w:val="21"/>
              </w:rPr>
              <w:t>能够扎实地掌握课程理论；掌握教学规律、教学原则、教学方法、教学组织形式、教学工作基本环节、教学评价、课堂管理等教学理论，为提高学生的教学能力奠定理论基础。学会运用相关理论分析、解决基础教育实践中的具体问题，能够开展课程与教学设计、实施、评价等相关工作。</w:t>
            </w:r>
          </w:p>
        </w:tc>
        <w:tc>
          <w:tcPr>
            <w:tcW w:w="1568" w:type="dxa"/>
            <w:tcBorders>
              <w:top w:val="single" w:color="000000" w:sz="4" w:space="0"/>
              <w:left w:val="single" w:color="000000" w:sz="4" w:space="0"/>
              <w:bottom w:val="single" w:color="000000" w:sz="4" w:space="0"/>
              <w:right w:val="single" w:color="000000" w:sz="4" w:space="0"/>
            </w:tcBorders>
            <w:noWrap w:val="0"/>
            <w:vAlign w:val="top"/>
          </w:tcPr>
          <w:p w14:paraId="6B02496D">
            <w:pPr>
              <w:widowControl/>
              <w:spacing w:line="260" w:lineRule="exact"/>
              <w:rPr>
                <w:rFonts w:hint="eastAsia" w:ascii="楷体" w:eastAsia="楷体" w:cs="仿宋"/>
                <w:bCs/>
                <w:szCs w:val="21"/>
              </w:rPr>
            </w:pPr>
            <w:r>
              <w:rPr>
                <w:rFonts w:hint="eastAsia" w:ascii="楷体" w:eastAsia="楷体" w:cs="仿宋"/>
                <w:bCs/>
                <w:szCs w:val="21"/>
              </w:rPr>
              <w:t>能够掌握课程理论；掌握教学规律、教学原则、教学方法、教学组织形式、教学工作基本环节、教学评价、课堂管理等教学理论，为提高学生的教学能力奠定理论基础。学会运用相关理论分析、解决基础教育实践中的具体问题，能够开展课程与教学设计、实施、评价等相关工作。</w:t>
            </w:r>
          </w:p>
        </w:tc>
        <w:tc>
          <w:tcPr>
            <w:tcW w:w="1581" w:type="dxa"/>
            <w:tcBorders>
              <w:top w:val="single" w:color="000000" w:sz="4" w:space="0"/>
              <w:left w:val="single" w:color="000000" w:sz="4" w:space="0"/>
              <w:bottom w:val="single" w:color="000000" w:sz="4" w:space="0"/>
              <w:right w:val="single" w:color="000000" w:sz="4" w:space="0"/>
            </w:tcBorders>
            <w:noWrap w:val="0"/>
            <w:vAlign w:val="top"/>
          </w:tcPr>
          <w:p w14:paraId="462886B1">
            <w:pPr>
              <w:widowControl/>
              <w:spacing w:line="260" w:lineRule="exact"/>
              <w:rPr>
                <w:rFonts w:hint="eastAsia" w:ascii="楷体" w:eastAsia="楷体" w:cs="仿宋"/>
                <w:bCs/>
                <w:szCs w:val="21"/>
              </w:rPr>
            </w:pPr>
            <w:r>
              <w:rPr>
                <w:rFonts w:hint="eastAsia" w:ascii="楷体" w:eastAsia="楷体" w:cs="仿宋"/>
                <w:bCs/>
                <w:szCs w:val="21"/>
              </w:rPr>
              <w:t>能够基本掌握课程理论；掌握教学规律、教学原则、教学方法、教学组织形式、教学工作基本环节、教学评价、课堂管理等教学理论，为提高学生的教学能力奠定理论基础。学会运用相关理论分析、解决基础教育实践中的具体问题，能够开展课程与教学设计、实施、评价等相关工作。</w:t>
            </w:r>
          </w:p>
        </w:tc>
        <w:tc>
          <w:tcPr>
            <w:tcW w:w="1652" w:type="dxa"/>
            <w:tcBorders>
              <w:top w:val="single" w:color="000000" w:sz="4" w:space="0"/>
              <w:left w:val="single" w:color="000000" w:sz="4" w:space="0"/>
              <w:bottom w:val="single" w:color="000000" w:sz="4" w:space="0"/>
              <w:right w:val="single" w:color="000000" w:sz="4" w:space="0"/>
            </w:tcBorders>
            <w:noWrap w:val="0"/>
            <w:vAlign w:val="top"/>
          </w:tcPr>
          <w:p w14:paraId="6D4C365C">
            <w:pPr>
              <w:widowControl/>
              <w:spacing w:line="260" w:lineRule="exact"/>
              <w:rPr>
                <w:rFonts w:hint="eastAsia" w:ascii="楷体" w:eastAsia="楷体" w:cs="仿宋"/>
                <w:bCs/>
                <w:szCs w:val="21"/>
              </w:rPr>
            </w:pPr>
            <w:r>
              <w:rPr>
                <w:rFonts w:hint="eastAsia" w:ascii="楷体" w:eastAsia="楷体" w:cs="仿宋"/>
                <w:bCs/>
                <w:szCs w:val="21"/>
              </w:rPr>
              <w:t>能够基本掌握部分课程理论；掌握教学规律、教学原则、教学方法、教学组织形式、教学工作基本环节、教学评价、课堂管理等教学理论，为提高学生的教学能力奠定理论基础。学会运用相关理论分析、解决基础教育实践中的具体问题，能够开展课程与教学设计、实施、评价等相关工作。</w:t>
            </w:r>
          </w:p>
        </w:tc>
        <w:tc>
          <w:tcPr>
            <w:tcW w:w="1596" w:type="dxa"/>
            <w:tcBorders>
              <w:top w:val="single" w:color="000000" w:sz="4" w:space="0"/>
              <w:left w:val="single" w:color="000000" w:sz="4" w:space="0"/>
              <w:bottom w:val="single" w:color="000000" w:sz="4" w:space="0"/>
              <w:right w:val="single" w:color="000000" w:sz="4" w:space="0"/>
            </w:tcBorders>
            <w:noWrap w:val="0"/>
            <w:vAlign w:val="top"/>
          </w:tcPr>
          <w:p w14:paraId="22EC0987">
            <w:pPr>
              <w:widowControl/>
              <w:spacing w:line="260" w:lineRule="exact"/>
              <w:rPr>
                <w:rFonts w:hint="eastAsia" w:ascii="楷体" w:eastAsia="楷体" w:cs="仿宋"/>
                <w:bCs/>
                <w:szCs w:val="21"/>
              </w:rPr>
            </w:pPr>
            <w:r>
              <w:rPr>
                <w:rFonts w:hint="eastAsia" w:ascii="楷体" w:eastAsia="楷体" w:cs="仿宋"/>
                <w:bCs/>
                <w:szCs w:val="21"/>
              </w:rPr>
              <w:t>未能掌握课程理论；掌握教学规律、教学原则、教学方法、教学组织形式、教学工作基本环节、教学评价、课堂管理等教学理论，为提高学生的教学能力奠定理论基础。未学会运用相关理论分析、解决基础教育实践中的具体问题，不能开展课程与教学设计、实施、评价等相关工作。</w:t>
            </w:r>
          </w:p>
        </w:tc>
      </w:tr>
      <w:tr w14:paraId="099A83A0">
        <w:trPr>
          <w:trHeight w:val="287" w:hRule="atLeast"/>
          <w:jc w:val="center"/>
        </w:trPr>
        <w:tc>
          <w:tcPr>
            <w:tcW w:w="1568" w:type="dxa"/>
            <w:tcBorders>
              <w:top w:val="single" w:color="000000" w:sz="4" w:space="0"/>
              <w:left w:val="single" w:color="000000" w:sz="4" w:space="0"/>
              <w:bottom w:val="single" w:color="000000" w:sz="4" w:space="0"/>
              <w:right w:val="single" w:color="000000" w:sz="4" w:space="0"/>
            </w:tcBorders>
            <w:noWrap w:val="0"/>
            <w:vAlign w:val="top"/>
          </w:tcPr>
          <w:p w14:paraId="43719CD8">
            <w:pPr>
              <w:widowControl/>
              <w:spacing w:line="260" w:lineRule="exact"/>
              <w:rPr>
                <w:rFonts w:hint="eastAsia" w:ascii="楷体" w:eastAsia="楷体" w:cs="仿宋"/>
                <w:bCs/>
                <w:szCs w:val="21"/>
              </w:rPr>
            </w:pPr>
            <w:r>
              <w:rPr>
                <w:rFonts w:hint="eastAsia" w:ascii="楷体" w:eastAsia="楷体" w:cs="仿宋"/>
                <w:bCs/>
                <w:szCs w:val="21"/>
              </w:rPr>
              <w:t>课程目标3：掌握德育概念、德育任务、德育内容、德育过程的规律、德育原则、德育方法与途径，学会运用德育规律、德育原则、德育方法分析德育的现象与问题。掌握班主任的基本职责与任务、班主任工作的具体内容与策略、班级管理的内容与方法、课外活动的含义及特点，学会运用班主任工作的内容与策略，处理班级管理中的各类现象与问题。</w:t>
            </w:r>
          </w:p>
        </w:tc>
        <w:tc>
          <w:tcPr>
            <w:tcW w:w="1554" w:type="dxa"/>
            <w:tcBorders>
              <w:top w:val="single" w:color="000000" w:sz="4" w:space="0"/>
              <w:left w:val="single" w:color="000000" w:sz="4" w:space="0"/>
              <w:bottom w:val="single" w:color="000000" w:sz="4" w:space="0"/>
              <w:right w:val="single" w:color="000000" w:sz="4" w:space="0"/>
            </w:tcBorders>
            <w:noWrap w:val="0"/>
            <w:vAlign w:val="top"/>
          </w:tcPr>
          <w:p w14:paraId="4F839FCC">
            <w:pPr>
              <w:widowControl/>
              <w:spacing w:line="260" w:lineRule="exact"/>
              <w:rPr>
                <w:rFonts w:hint="eastAsia" w:ascii="楷体" w:eastAsia="楷体" w:cs="仿宋"/>
                <w:bCs/>
                <w:szCs w:val="21"/>
              </w:rPr>
            </w:pPr>
            <w:r>
              <w:rPr>
                <w:rFonts w:hint="eastAsia" w:ascii="楷体" w:eastAsia="楷体" w:cs="仿宋"/>
                <w:bCs/>
                <w:szCs w:val="21"/>
              </w:rPr>
              <w:t>能够扎实地掌握德育概念、德育任务、德育内容、德育过程的规律、德育原则、德育方法与途径，学会运用德育规律、德育原则、德育方法分析德育的现象与问题。掌握班主任的基本职责与任务、班主任工作的具体内容与策略、班级管理的内容与方法、课外活动的含义及特点，学会运用班主任工作的内容与策略，处理班级管理中的各类现象与问题。</w:t>
            </w:r>
          </w:p>
        </w:tc>
        <w:tc>
          <w:tcPr>
            <w:tcW w:w="1568" w:type="dxa"/>
            <w:tcBorders>
              <w:top w:val="single" w:color="000000" w:sz="4" w:space="0"/>
              <w:left w:val="single" w:color="000000" w:sz="4" w:space="0"/>
              <w:bottom w:val="single" w:color="000000" w:sz="4" w:space="0"/>
              <w:right w:val="single" w:color="000000" w:sz="4" w:space="0"/>
            </w:tcBorders>
            <w:noWrap w:val="0"/>
            <w:vAlign w:val="top"/>
          </w:tcPr>
          <w:p w14:paraId="7CB16FBE">
            <w:pPr>
              <w:widowControl/>
              <w:spacing w:line="260" w:lineRule="exact"/>
              <w:rPr>
                <w:rFonts w:hint="eastAsia" w:ascii="楷体" w:eastAsia="楷体" w:cs="仿宋"/>
                <w:bCs/>
                <w:szCs w:val="21"/>
              </w:rPr>
            </w:pPr>
            <w:r>
              <w:rPr>
                <w:rFonts w:hint="eastAsia" w:ascii="楷体" w:eastAsia="楷体" w:cs="仿宋"/>
                <w:bCs/>
                <w:szCs w:val="21"/>
              </w:rPr>
              <w:t>能够掌握德育概念、德育任务、德育内容、德育过程的规律、德育原则、德育方法与途径，学会运用德育规律、德育原则、德育方法分析德育的现象与问题。掌握班主任的基本职责与任务、班主任工作的具体内容与策略、班级管理的内容与方法、课外活动的含义及特点，学会运用班主任工作的内容与策略，处理班级管理中的各类现象与问题。</w:t>
            </w:r>
          </w:p>
        </w:tc>
        <w:tc>
          <w:tcPr>
            <w:tcW w:w="1581" w:type="dxa"/>
            <w:tcBorders>
              <w:top w:val="single" w:color="000000" w:sz="4" w:space="0"/>
              <w:left w:val="single" w:color="000000" w:sz="4" w:space="0"/>
              <w:bottom w:val="single" w:color="000000" w:sz="4" w:space="0"/>
              <w:right w:val="single" w:color="000000" w:sz="4" w:space="0"/>
            </w:tcBorders>
            <w:noWrap w:val="0"/>
            <w:vAlign w:val="top"/>
          </w:tcPr>
          <w:p w14:paraId="6A15ACCC">
            <w:pPr>
              <w:widowControl/>
              <w:spacing w:line="260" w:lineRule="exact"/>
              <w:rPr>
                <w:rFonts w:hint="eastAsia" w:ascii="楷体" w:eastAsia="楷体" w:cs="仿宋"/>
                <w:bCs/>
                <w:szCs w:val="21"/>
              </w:rPr>
            </w:pPr>
            <w:r>
              <w:rPr>
                <w:rFonts w:hint="eastAsia" w:ascii="楷体" w:eastAsia="楷体" w:cs="仿宋"/>
                <w:bCs/>
                <w:szCs w:val="21"/>
              </w:rPr>
              <w:t>能够基本掌握德育概念、德育任务、德育内容、德育过程的规律、德育原则、德育方法与途径，学会运用德育规律、德育原则、德育方法分析德育的现象与问题。掌握班主任的基本职责与任务、班主任工作的具体内容与策略、班级管理的内容与方法、课外活动的含义及特点，学会运用班主任工作的内容与策略，处理班级管理中的各类现象与问题。</w:t>
            </w:r>
          </w:p>
        </w:tc>
        <w:tc>
          <w:tcPr>
            <w:tcW w:w="1652" w:type="dxa"/>
            <w:tcBorders>
              <w:top w:val="single" w:color="000000" w:sz="4" w:space="0"/>
              <w:left w:val="single" w:color="000000" w:sz="4" w:space="0"/>
              <w:bottom w:val="single" w:color="000000" w:sz="4" w:space="0"/>
              <w:right w:val="single" w:color="000000" w:sz="4" w:space="0"/>
            </w:tcBorders>
            <w:noWrap w:val="0"/>
            <w:vAlign w:val="top"/>
          </w:tcPr>
          <w:p w14:paraId="5F913730">
            <w:pPr>
              <w:widowControl/>
              <w:spacing w:line="260" w:lineRule="exact"/>
              <w:rPr>
                <w:rFonts w:hint="eastAsia" w:ascii="楷体" w:eastAsia="楷体" w:cs="仿宋"/>
                <w:bCs/>
                <w:szCs w:val="21"/>
              </w:rPr>
            </w:pPr>
            <w:r>
              <w:rPr>
                <w:rFonts w:hint="eastAsia" w:ascii="楷体" w:eastAsia="楷体" w:cs="仿宋"/>
                <w:bCs/>
                <w:szCs w:val="21"/>
              </w:rPr>
              <w:t>能够基本掌握部分德育概念、德育任务、德育内容、德育过程的规律、德育原则、德育方法与途径，学会运用德育规律、德育原则、德育方法分析德育的现象与问题。掌握班主任的基本职责与任务、班主任工作的具体内容与策略、班级管理的内容与方法、课外活动的含义及特点，学会运用班主任工作的内容与策略，处理班级管理中的各类现象与问题。</w:t>
            </w:r>
          </w:p>
        </w:tc>
        <w:tc>
          <w:tcPr>
            <w:tcW w:w="1596" w:type="dxa"/>
            <w:tcBorders>
              <w:top w:val="single" w:color="000000" w:sz="4" w:space="0"/>
              <w:left w:val="single" w:color="000000" w:sz="4" w:space="0"/>
              <w:bottom w:val="single" w:color="000000" w:sz="4" w:space="0"/>
              <w:right w:val="single" w:color="000000" w:sz="4" w:space="0"/>
            </w:tcBorders>
            <w:noWrap w:val="0"/>
            <w:vAlign w:val="top"/>
          </w:tcPr>
          <w:p w14:paraId="5A308607">
            <w:pPr>
              <w:widowControl/>
              <w:spacing w:line="260" w:lineRule="exact"/>
              <w:rPr>
                <w:rFonts w:hint="eastAsia" w:ascii="楷体" w:eastAsia="楷体" w:cs="仿宋"/>
                <w:bCs/>
                <w:szCs w:val="21"/>
              </w:rPr>
            </w:pPr>
            <w:r>
              <w:rPr>
                <w:rFonts w:hint="eastAsia" w:ascii="楷体" w:eastAsia="楷体" w:cs="仿宋"/>
                <w:bCs/>
                <w:szCs w:val="21"/>
              </w:rPr>
              <w:t>未能掌握德育概念、德育任务、德育内容、德育过程的规律、德育原则、德育方法与途径，未学会运用德育规律、德育原则、德育方法分析德育的现象与问题。未能掌握班主任的基本职责与任务、班主任工作的具体内容与策略、班级管理的内容与方法、课外活动的含义及特点，未学会运用班主任工作的内容与策略，处理班级管理中的各类现象与问题。</w:t>
            </w:r>
          </w:p>
        </w:tc>
      </w:tr>
    </w:tbl>
    <w:p w14:paraId="52B95E75">
      <w:pPr>
        <w:rPr>
          <w:sz w:val="2"/>
          <w:szCs w:val="2"/>
        </w:rPr>
        <w:sectPr>
          <w:headerReference r:id="rId79" w:type="default"/>
          <w:footerReference r:id="rId80" w:type="default"/>
          <w:pgSz w:w="11906" w:h="16838"/>
          <w:pgMar w:top="1440" w:right="1800" w:bottom="1440" w:left="1800" w:header="851" w:footer="992" w:gutter="0"/>
          <w:cols w:space="425" w:num="1"/>
          <w:docGrid w:type="lines" w:linePitch="312" w:charSpace="0"/>
        </w:sectPr>
      </w:pPr>
    </w:p>
    <w:p w14:paraId="251B2C10">
      <w:pPr>
        <w:adjustRightInd w:val="0"/>
        <w:snapToGrid w:val="0"/>
        <w:ind w:firstLine="1760" w:firstLineChars="400"/>
        <w:jc w:val="center"/>
        <w:rPr>
          <w:rFonts w:hint="eastAsia" w:ascii="方正小标宋简体" w:hAnsi="方正小标宋简体" w:eastAsia="方正小标宋简体" w:cs="方正小标宋简体"/>
          <w:b w:val="0"/>
          <w:bCs w:val="0"/>
          <w:kern w:val="44"/>
          <w:sz w:val="44"/>
          <w:szCs w:val="44"/>
          <w:lang w:val="en-US" w:eastAsia="zh-CN" w:bidi="ar-SA"/>
        </w:rPr>
      </w:pPr>
      <w:r>
        <w:rPr>
          <w:rFonts w:hint="eastAsia" w:ascii="方正小标宋简体" w:hAnsi="方正小标宋简体" w:eastAsia="方正小标宋简体" w:cs="方正小标宋简体"/>
          <w:b w:val="0"/>
          <w:bCs w:val="0"/>
          <w:kern w:val="44"/>
          <w:sz w:val="44"/>
          <w:szCs w:val="44"/>
          <w:lang w:val="en-US" w:eastAsia="zh-CN" w:bidi="ar-SA"/>
        </w:rPr>
        <w:t>三明学院音乐学（音乐教育）专业</w:t>
      </w:r>
    </w:p>
    <w:p w14:paraId="087CACA0">
      <w:pPr>
        <w:pStyle w:val="2"/>
        <w:spacing w:before="0" w:beforeAutospacing="0" w:after="0" w:afterAutospacing="0" w:line="520" w:lineRule="exact"/>
        <w:jc w:val="center"/>
        <w:rPr>
          <w:rFonts w:hint="eastAsia" w:ascii="方正小标宋简体" w:hAnsi="方正小标宋简体" w:eastAsia="方正小标宋简体" w:cs="方正小标宋简体"/>
          <w:b w:val="0"/>
          <w:bCs w:val="0"/>
          <w:kern w:val="2"/>
          <w:sz w:val="44"/>
          <w:szCs w:val="44"/>
          <w:lang w:val="en-US" w:eastAsia="zh-CN"/>
        </w:rPr>
      </w:pPr>
      <w:bookmarkStart w:id="122" w:name="_Toc1975819889"/>
      <w:bookmarkStart w:id="123" w:name="_Toc1548279021"/>
      <w:r>
        <w:rPr>
          <w:rFonts w:hint="eastAsia" w:ascii="方正小标宋简体" w:hAnsi="方正小标宋简体" w:eastAsia="方正小标宋简体" w:cs="方正小标宋简体"/>
          <w:b w:val="0"/>
          <w:bCs w:val="0"/>
          <w:kern w:val="2"/>
          <w:sz w:val="44"/>
          <w:szCs w:val="44"/>
          <w:lang w:val="en-US" w:eastAsia="zh-CN"/>
        </w:rPr>
        <w:t>《音乐学科教学论》课程教学大纲</w:t>
      </w:r>
      <w:bookmarkEnd w:id="122"/>
      <w:bookmarkEnd w:id="123"/>
    </w:p>
    <w:p w14:paraId="30A35017">
      <w:pPr>
        <w:rPr>
          <w:rFonts w:hint="eastAsia"/>
          <w:lang w:val="en-US" w:eastAsia="zh-CN"/>
        </w:rPr>
      </w:pPr>
    </w:p>
    <w:tbl>
      <w:tblPr>
        <w:tblStyle w:val="22"/>
        <w:tblW w:w="9144" w:type="dxa"/>
        <w:tblInd w:w="-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7"/>
        <w:gridCol w:w="1228"/>
        <w:gridCol w:w="73"/>
        <w:gridCol w:w="252"/>
        <w:gridCol w:w="1553"/>
        <w:gridCol w:w="761"/>
        <w:gridCol w:w="529"/>
        <w:gridCol w:w="263"/>
        <w:gridCol w:w="457"/>
        <w:gridCol w:w="719"/>
        <w:gridCol w:w="377"/>
        <w:gridCol w:w="88"/>
        <w:gridCol w:w="207"/>
        <w:gridCol w:w="671"/>
        <w:gridCol w:w="589"/>
      </w:tblGrid>
      <w:tr w14:paraId="5C1CB9B3">
        <w:trPr>
          <w:trHeight w:val="624" w:hRule="atLeast"/>
        </w:trPr>
        <w:tc>
          <w:tcPr>
            <w:tcW w:w="1377" w:type="dxa"/>
            <w:noWrap w:val="0"/>
            <w:vAlign w:val="center"/>
          </w:tcPr>
          <w:p w14:paraId="4E71CFE8">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课程名称</w:t>
            </w:r>
          </w:p>
        </w:tc>
        <w:tc>
          <w:tcPr>
            <w:tcW w:w="4659" w:type="dxa"/>
            <w:gridSpan w:val="7"/>
            <w:noWrap w:val="0"/>
            <w:vAlign w:val="center"/>
          </w:tcPr>
          <w:p w14:paraId="5EF483AF">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黑体"/>
                <w:bCs/>
                <w:sz w:val="24"/>
                <w:szCs w:val="24"/>
              </w:rPr>
              <w:t>《音乐学科教学论》</w:t>
            </w:r>
          </w:p>
        </w:tc>
        <w:tc>
          <w:tcPr>
            <w:tcW w:w="1553" w:type="dxa"/>
            <w:gridSpan w:val="3"/>
            <w:noWrap w:val="0"/>
            <w:vAlign w:val="center"/>
          </w:tcPr>
          <w:p w14:paraId="1035A736">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课程代码</w:t>
            </w:r>
          </w:p>
        </w:tc>
        <w:tc>
          <w:tcPr>
            <w:tcW w:w="1555" w:type="dxa"/>
            <w:gridSpan w:val="4"/>
            <w:noWrap w:val="0"/>
            <w:vAlign w:val="center"/>
          </w:tcPr>
          <w:p w14:paraId="350C1BCE">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宋体" w:hAnsi="宋体" w:eastAsia="宋体" w:cs="宋体"/>
                <w:color w:val="auto"/>
                <w:sz w:val="21"/>
                <w:szCs w:val="21"/>
                <w:highlight w:val="none"/>
                <w:lang w:val="en-US" w:eastAsia="zh-CN"/>
              </w:rPr>
              <w:t>1212302612</w:t>
            </w:r>
          </w:p>
        </w:tc>
      </w:tr>
      <w:tr w14:paraId="6D79E324">
        <w:trPr>
          <w:trHeight w:val="624" w:hRule="atLeast"/>
        </w:trPr>
        <w:tc>
          <w:tcPr>
            <w:tcW w:w="1377" w:type="dxa"/>
            <w:noWrap w:val="0"/>
            <w:vAlign w:val="center"/>
          </w:tcPr>
          <w:p w14:paraId="666B8F08">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课程类型</w:t>
            </w:r>
          </w:p>
        </w:tc>
        <w:tc>
          <w:tcPr>
            <w:tcW w:w="7767" w:type="dxa"/>
            <w:gridSpan w:val="14"/>
            <w:noWrap w:val="0"/>
            <w:vAlign w:val="center"/>
          </w:tcPr>
          <w:p w14:paraId="1A412C28">
            <w:pPr>
              <w:pageBreakBefore w:val="0"/>
              <w:kinsoku/>
              <w:overflowPunct/>
              <w:topLinePunct w:val="0"/>
              <w:bidi w:val="0"/>
              <w:adjustRightInd w:val="0"/>
              <w:snapToGrid w:val="0"/>
              <w:spacing w:line="240" w:lineRule="auto"/>
              <w:rPr>
                <w:rFonts w:hint="eastAsia" w:ascii="仿宋" w:eastAsia="仿宋" w:cs="仿宋"/>
                <w:sz w:val="24"/>
                <w:szCs w:val="24"/>
              </w:rPr>
            </w:pPr>
            <w:r>
              <w:rPr>
                <w:rFonts w:ascii="仿宋" w:eastAsia="仿宋" w:cs="仿宋"/>
                <w:sz w:val="24"/>
                <w:szCs w:val="24"/>
              </w:rPr>
              <w:sym w:font="Wingdings" w:char="00A8"/>
            </w:r>
            <w:r>
              <w:rPr>
                <w:rFonts w:hint="eastAsia" w:ascii="仿宋" w:eastAsia="仿宋" w:cs="仿宋"/>
                <w:sz w:val="24"/>
                <w:szCs w:val="24"/>
              </w:rPr>
              <w:t xml:space="preserve">通识必修 </w:t>
            </w:r>
            <w:r>
              <w:rPr>
                <w:rFonts w:ascii="仿宋" w:eastAsia="仿宋" w:cs="仿宋"/>
                <w:sz w:val="24"/>
                <w:szCs w:val="24"/>
              </w:rPr>
              <w:sym w:font="Wingdings" w:char="00A8"/>
            </w:r>
            <w:r>
              <w:rPr>
                <w:rFonts w:hint="eastAsia" w:ascii="仿宋" w:eastAsia="仿宋" w:cs="仿宋"/>
                <w:sz w:val="24"/>
                <w:szCs w:val="24"/>
              </w:rPr>
              <w:t xml:space="preserve">通识选修 </w:t>
            </w:r>
            <w:r>
              <w:rPr>
                <w:rFonts w:ascii="仿宋" w:eastAsia="仿宋" w:cs="仿宋"/>
                <w:sz w:val="24"/>
                <w:szCs w:val="24"/>
              </w:rPr>
              <w:sym w:font="Wingdings" w:char="00A8"/>
            </w:r>
            <w:r>
              <w:rPr>
                <w:rFonts w:hint="eastAsia" w:ascii="仿宋" w:eastAsia="仿宋" w:cs="仿宋"/>
                <w:sz w:val="24"/>
                <w:szCs w:val="24"/>
              </w:rPr>
              <w:t xml:space="preserve">专业必修 </w:t>
            </w:r>
          </w:p>
          <w:p w14:paraId="4D983A27">
            <w:pPr>
              <w:pageBreakBefore w:val="0"/>
              <w:kinsoku/>
              <w:overflowPunct/>
              <w:topLinePunct w:val="0"/>
              <w:bidi w:val="0"/>
              <w:adjustRightInd w:val="0"/>
              <w:snapToGrid w:val="0"/>
              <w:spacing w:line="240" w:lineRule="auto"/>
              <w:rPr>
                <w:rFonts w:hint="eastAsia" w:ascii="仿宋" w:eastAsia="仿宋" w:cs="仿宋"/>
                <w:sz w:val="24"/>
                <w:szCs w:val="24"/>
              </w:rPr>
            </w:pPr>
            <w:r>
              <w:rPr>
                <w:rFonts w:ascii="仿宋" w:eastAsia="仿宋" w:cs="仿宋"/>
                <w:sz w:val="24"/>
                <w:szCs w:val="24"/>
              </w:rPr>
              <w:sym w:font="Wingdings" w:char="00A8"/>
            </w:r>
            <w:r>
              <w:rPr>
                <w:rFonts w:hint="eastAsia" w:ascii="仿宋" w:eastAsia="仿宋" w:cs="仿宋"/>
                <w:sz w:val="24"/>
                <w:szCs w:val="24"/>
              </w:rPr>
              <w:t xml:space="preserve">专业选修 </w:t>
            </w:r>
            <w:r>
              <w:rPr>
                <w:rFonts w:ascii="仿宋" w:eastAsia="仿宋" w:cs="仿宋"/>
                <w:sz w:val="24"/>
                <w:szCs w:val="24"/>
              </w:rPr>
              <w:sym w:font="Wingdings" w:char="00FE"/>
            </w:r>
            <w:r>
              <w:rPr>
                <w:rFonts w:hint="eastAsia" w:ascii="仿宋" w:eastAsia="仿宋" w:cs="仿宋"/>
                <w:sz w:val="24"/>
                <w:szCs w:val="24"/>
              </w:rPr>
              <w:t xml:space="preserve">教师教育必修 </w:t>
            </w:r>
            <w:r>
              <w:rPr>
                <w:rFonts w:ascii="仿宋" w:eastAsia="仿宋" w:cs="仿宋"/>
                <w:sz w:val="24"/>
                <w:szCs w:val="24"/>
              </w:rPr>
              <w:sym w:font="Wingdings" w:char="00A8"/>
            </w:r>
            <w:r>
              <w:rPr>
                <w:rFonts w:hint="eastAsia" w:ascii="仿宋" w:eastAsia="仿宋" w:cs="仿宋"/>
                <w:sz w:val="24"/>
                <w:szCs w:val="24"/>
              </w:rPr>
              <w:t>教师教育选修</w:t>
            </w:r>
          </w:p>
        </w:tc>
      </w:tr>
      <w:tr w14:paraId="052C2E66">
        <w:trPr>
          <w:trHeight w:val="624" w:hRule="atLeast"/>
        </w:trPr>
        <w:tc>
          <w:tcPr>
            <w:tcW w:w="1377" w:type="dxa"/>
            <w:noWrap w:val="0"/>
            <w:vAlign w:val="center"/>
          </w:tcPr>
          <w:p w14:paraId="777B39ED">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开课学期</w:t>
            </w:r>
          </w:p>
        </w:tc>
        <w:tc>
          <w:tcPr>
            <w:tcW w:w="1553" w:type="dxa"/>
            <w:gridSpan w:val="3"/>
            <w:noWrap w:val="0"/>
            <w:vAlign w:val="center"/>
          </w:tcPr>
          <w:p w14:paraId="25DA8B18">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第4学期</w:t>
            </w:r>
          </w:p>
        </w:tc>
        <w:tc>
          <w:tcPr>
            <w:tcW w:w="1553" w:type="dxa"/>
            <w:noWrap w:val="0"/>
            <w:vAlign w:val="center"/>
          </w:tcPr>
          <w:p w14:paraId="506D38FF">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学分</w:t>
            </w:r>
          </w:p>
        </w:tc>
        <w:tc>
          <w:tcPr>
            <w:tcW w:w="1553" w:type="dxa"/>
            <w:gridSpan w:val="3"/>
            <w:noWrap w:val="0"/>
            <w:vAlign w:val="center"/>
          </w:tcPr>
          <w:p w14:paraId="7B8504D8">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2</w:t>
            </w:r>
          </w:p>
        </w:tc>
        <w:tc>
          <w:tcPr>
            <w:tcW w:w="1553" w:type="dxa"/>
            <w:gridSpan w:val="3"/>
            <w:noWrap w:val="0"/>
            <w:vAlign w:val="center"/>
          </w:tcPr>
          <w:p w14:paraId="14E8552F">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课程负责人</w:t>
            </w:r>
          </w:p>
        </w:tc>
        <w:tc>
          <w:tcPr>
            <w:tcW w:w="1555" w:type="dxa"/>
            <w:gridSpan w:val="4"/>
            <w:noWrap w:val="0"/>
            <w:vAlign w:val="center"/>
          </w:tcPr>
          <w:p w14:paraId="39BF42AE">
            <w:pPr>
              <w:pageBreakBefore w:val="0"/>
              <w:kinsoku/>
              <w:overflowPunct/>
              <w:topLinePunct w:val="0"/>
              <w:bidi w:val="0"/>
              <w:snapToGrid w:val="0"/>
              <w:spacing w:line="240" w:lineRule="auto"/>
              <w:jc w:val="center"/>
              <w:rPr>
                <w:rFonts w:hint="eastAsia" w:ascii="仿宋" w:eastAsia="仿宋" w:cs="仿宋"/>
                <w:sz w:val="24"/>
                <w:szCs w:val="24"/>
              </w:rPr>
            </w:pPr>
            <w:r>
              <w:rPr>
                <w:rFonts w:hint="eastAsia" w:ascii="仿宋" w:eastAsia="仿宋" w:cs="黑体"/>
                <w:sz w:val="24"/>
                <w:szCs w:val="24"/>
              </w:rPr>
              <w:t>江水莲</w:t>
            </w:r>
          </w:p>
        </w:tc>
      </w:tr>
      <w:tr w14:paraId="041EAB6E">
        <w:trPr>
          <w:trHeight w:val="624" w:hRule="atLeast"/>
        </w:trPr>
        <w:tc>
          <w:tcPr>
            <w:tcW w:w="1377" w:type="dxa"/>
            <w:noWrap w:val="0"/>
            <w:vAlign w:val="center"/>
          </w:tcPr>
          <w:p w14:paraId="047DC43B">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总学时</w:t>
            </w:r>
          </w:p>
        </w:tc>
        <w:tc>
          <w:tcPr>
            <w:tcW w:w="1553" w:type="dxa"/>
            <w:gridSpan w:val="3"/>
            <w:noWrap w:val="0"/>
            <w:vAlign w:val="center"/>
          </w:tcPr>
          <w:p w14:paraId="72185FAF">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32</w:t>
            </w:r>
          </w:p>
        </w:tc>
        <w:tc>
          <w:tcPr>
            <w:tcW w:w="1553" w:type="dxa"/>
            <w:noWrap w:val="0"/>
            <w:vAlign w:val="center"/>
          </w:tcPr>
          <w:p w14:paraId="2BADB1BF">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理论学时</w:t>
            </w:r>
          </w:p>
        </w:tc>
        <w:tc>
          <w:tcPr>
            <w:tcW w:w="1553" w:type="dxa"/>
            <w:gridSpan w:val="3"/>
            <w:noWrap w:val="0"/>
            <w:vAlign w:val="center"/>
          </w:tcPr>
          <w:p w14:paraId="29014885">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lang w:val="en-US" w:eastAsia="zh-CN"/>
              </w:rPr>
              <w:t>2</w:t>
            </w:r>
            <w:r>
              <w:rPr>
                <w:rFonts w:hint="eastAsia" w:ascii="仿宋" w:eastAsia="仿宋" w:cs="仿宋"/>
                <w:sz w:val="24"/>
                <w:szCs w:val="24"/>
              </w:rPr>
              <w:t>2</w:t>
            </w:r>
          </w:p>
        </w:tc>
        <w:tc>
          <w:tcPr>
            <w:tcW w:w="1553" w:type="dxa"/>
            <w:gridSpan w:val="3"/>
            <w:tcBorders>
              <w:right w:val="single" w:color="000000" w:sz="4" w:space="0"/>
            </w:tcBorders>
            <w:noWrap w:val="0"/>
            <w:vAlign w:val="center"/>
          </w:tcPr>
          <w:p w14:paraId="3F884D45">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实践学时</w:t>
            </w:r>
          </w:p>
        </w:tc>
        <w:tc>
          <w:tcPr>
            <w:tcW w:w="1555" w:type="dxa"/>
            <w:gridSpan w:val="4"/>
            <w:tcBorders>
              <w:left w:val="single" w:color="000000" w:sz="4" w:space="0"/>
            </w:tcBorders>
            <w:noWrap w:val="0"/>
            <w:vAlign w:val="center"/>
          </w:tcPr>
          <w:p w14:paraId="75E6A109">
            <w:pPr>
              <w:pageBreakBefore w:val="0"/>
              <w:kinsoku/>
              <w:overflowPunct/>
              <w:topLinePunct w:val="0"/>
              <w:bidi w:val="0"/>
              <w:adjustRightInd w:val="0"/>
              <w:snapToGrid w:val="0"/>
              <w:spacing w:line="240" w:lineRule="auto"/>
              <w:jc w:val="center"/>
              <w:rPr>
                <w:rFonts w:hint="default" w:ascii="仿宋" w:eastAsia="仿宋" w:cs="仿宋"/>
                <w:sz w:val="24"/>
                <w:szCs w:val="24"/>
                <w:lang w:val="en-US" w:eastAsia="zh-CN"/>
              </w:rPr>
            </w:pPr>
            <w:r>
              <w:rPr>
                <w:rFonts w:hint="eastAsia" w:ascii="仿宋" w:eastAsia="仿宋" w:cs="仿宋"/>
                <w:sz w:val="24"/>
                <w:szCs w:val="24"/>
                <w:lang w:val="en-US" w:eastAsia="zh-CN"/>
              </w:rPr>
              <w:t>10</w:t>
            </w:r>
          </w:p>
        </w:tc>
      </w:tr>
      <w:tr w14:paraId="2AC47CEF">
        <w:trPr>
          <w:trHeight w:val="624" w:hRule="atLeast"/>
        </w:trPr>
        <w:tc>
          <w:tcPr>
            <w:tcW w:w="1377" w:type="dxa"/>
            <w:noWrap w:val="0"/>
            <w:vAlign w:val="center"/>
          </w:tcPr>
          <w:p w14:paraId="69B87E50">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先修课程与后续课程</w:t>
            </w:r>
          </w:p>
        </w:tc>
        <w:tc>
          <w:tcPr>
            <w:tcW w:w="7767" w:type="dxa"/>
            <w:gridSpan w:val="14"/>
            <w:noWrap w:val="0"/>
            <w:vAlign w:val="center"/>
          </w:tcPr>
          <w:p w14:paraId="5CD8EFCD">
            <w:pPr>
              <w:pageBreakBefore w:val="0"/>
              <w:tabs>
                <w:tab w:val="left" w:pos="720"/>
              </w:tabs>
              <w:kinsoku/>
              <w:overflowPunct/>
              <w:topLinePunct w:val="0"/>
              <w:bidi w:val="0"/>
              <w:adjustRightInd w:val="0"/>
              <w:snapToGrid w:val="0"/>
              <w:spacing w:line="240" w:lineRule="auto"/>
              <w:rPr>
                <w:rFonts w:hint="eastAsia" w:ascii="仿宋" w:eastAsia="仿宋"/>
                <w:sz w:val="24"/>
                <w:szCs w:val="24"/>
                <w:lang w:val="en-US" w:eastAsia="en-US"/>
              </w:rPr>
            </w:pPr>
            <w:r>
              <w:rPr>
                <w:rFonts w:hint="eastAsia" w:ascii="仿宋" w:eastAsia="仿宋"/>
                <w:sz w:val="24"/>
                <w:szCs w:val="24"/>
                <w:lang w:val="en-US" w:eastAsia="en-US"/>
              </w:rPr>
              <w:t>先修课程：《乐理》《视唱练耳》《声乐基础》《钢琴基础》《中国民族音乐》《外国民族音乐》《中国音乐史与欣赏》《西方音乐史与欣赏》《和声》等</w:t>
            </w:r>
          </w:p>
          <w:p w14:paraId="2525362B">
            <w:pPr>
              <w:pageBreakBefore w:val="0"/>
              <w:tabs>
                <w:tab w:val="left" w:pos="720"/>
              </w:tabs>
              <w:kinsoku/>
              <w:overflowPunct/>
              <w:topLinePunct w:val="0"/>
              <w:bidi w:val="0"/>
              <w:adjustRightInd w:val="0"/>
              <w:snapToGrid w:val="0"/>
              <w:spacing w:line="240" w:lineRule="auto"/>
              <w:rPr>
                <w:rFonts w:hint="eastAsia" w:ascii="仿宋" w:eastAsia="仿宋"/>
                <w:sz w:val="24"/>
                <w:szCs w:val="24"/>
              </w:rPr>
            </w:pPr>
            <w:r>
              <w:rPr>
                <w:rFonts w:hint="eastAsia" w:ascii="仿宋" w:eastAsia="仿宋"/>
                <w:sz w:val="24"/>
                <w:szCs w:val="24"/>
                <w:lang w:val="en-US" w:eastAsia="en-US"/>
              </w:rPr>
              <w:t>后续课程：《</w:t>
            </w:r>
            <w:r>
              <w:rPr>
                <w:rFonts w:hint="eastAsia" w:ascii="仿宋" w:eastAsia="仿宋"/>
                <w:sz w:val="24"/>
                <w:szCs w:val="24"/>
                <w:lang w:val="en-US" w:eastAsia="zh-CN"/>
              </w:rPr>
              <w:t>中小学音乐课堂教学研究</w:t>
            </w:r>
            <w:r>
              <w:rPr>
                <w:rFonts w:hint="eastAsia" w:ascii="仿宋" w:eastAsia="仿宋"/>
                <w:sz w:val="24"/>
                <w:szCs w:val="24"/>
                <w:lang w:val="en-US" w:eastAsia="en-US"/>
              </w:rPr>
              <w:t>》《</w:t>
            </w:r>
            <w:r>
              <w:rPr>
                <w:rFonts w:hint="eastAsia" w:ascii="仿宋" w:eastAsia="仿宋"/>
                <w:sz w:val="24"/>
                <w:szCs w:val="24"/>
                <w:lang w:val="en-US" w:eastAsia="zh-CN"/>
              </w:rPr>
              <w:t>微格与片段教学（音乐类）</w:t>
            </w:r>
            <w:r>
              <w:rPr>
                <w:rFonts w:hint="eastAsia" w:ascii="仿宋" w:eastAsia="仿宋"/>
                <w:sz w:val="24"/>
                <w:szCs w:val="24"/>
                <w:lang w:val="en-US" w:eastAsia="en-US"/>
              </w:rPr>
              <w:t>》</w:t>
            </w:r>
            <w:r>
              <w:rPr>
                <w:rFonts w:hint="eastAsia" w:ascii="仿宋" w:eastAsia="仿宋"/>
                <w:sz w:val="24"/>
                <w:szCs w:val="24"/>
                <w:lang w:val="en-US" w:eastAsia="zh-CN"/>
              </w:rPr>
              <w:t>《教育实习》</w:t>
            </w:r>
          </w:p>
        </w:tc>
      </w:tr>
      <w:tr w14:paraId="34517D56">
        <w:trPr>
          <w:trHeight w:val="624" w:hRule="atLeast"/>
        </w:trPr>
        <w:tc>
          <w:tcPr>
            <w:tcW w:w="1377" w:type="dxa"/>
            <w:noWrap w:val="0"/>
            <w:vAlign w:val="center"/>
          </w:tcPr>
          <w:p w14:paraId="4541E0F2">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适用专业</w:t>
            </w:r>
          </w:p>
        </w:tc>
        <w:tc>
          <w:tcPr>
            <w:tcW w:w="7767" w:type="dxa"/>
            <w:gridSpan w:val="14"/>
            <w:noWrap w:val="0"/>
            <w:vAlign w:val="center"/>
          </w:tcPr>
          <w:p w14:paraId="55B5C223">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音乐学</w:t>
            </w:r>
          </w:p>
        </w:tc>
      </w:tr>
      <w:tr w14:paraId="088C893A">
        <w:trPr>
          <w:trHeight w:val="624" w:hRule="atLeast"/>
        </w:trPr>
        <w:tc>
          <w:tcPr>
            <w:tcW w:w="1377" w:type="dxa"/>
            <w:tcBorders>
              <w:bottom w:val="single" w:color="auto" w:sz="4" w:space="0"/>
            </w:tcBorders>
            <w:noWrap w:val="0"/>
            <w:vAlign w:val="center"/>
          </w:tcPr>
          <w:p w14:paraId="76ABAC58">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A</w:t>
            </w:r>
          </w:p>
          <w:p w14:paraId="412E1563">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参考教材</w:t>
            </w:r>
          </w:p>
        </w:tc>
        <w:tc>
          <w:tcPr>
            <w:tcW w:w="7767" w:type="dxa"/>
            <w:gridSpan w:val="14"/>
            <w:tcBorders>
              <w:bottom w:val="single" w:color="auto" w:sz="4" w:space="0"/>
            </w:tcBorders>
            <w:noWrap w:val="0"/>
            <w:vAlign w:val="center"/>
          </w:tcPr>
          <w:p w14:paraId="785ADB0A">
            <w:pPr>
              <w:pageBreakBefore w:val="0"/>
              <w:tabs>
                <w:tab w:val="left" w:pos="720"/>
              </w:tabs>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尹爱青主编，学校音乐教育导论与教材教法，人民音乐出版社、上海音乐出版社，2019年。</w:t>
            </w:r>
          </w:p>
        </w:tc>
      </w:tr>
      <w:tr w14:paraId="26A4A6B6">
        <w:trPr>
          <w:trHeight w:val="624" w:hRule="atLeast"/>
        </w:trPr>
        <w:tc>
          <w:tcPr>
            <w:tcW w:w="1377" w:type="dxa"/>
            <w:tcBorders>
              <w:bottom w:val="single" w:color="auto" w:sz="4" w:space="0"/>
            </w:tcBorders>
            <w:noWrap w:val="0"/>
            <w:vAlign w:val="center"/>
          </w:tcPr>
          <w:p w14:paraId="5DB39132">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B</w:t>
            </w:r>
          </w:p>
          <w:p w14:paraId="520C6D26">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主要参考书籍</w:t>
            </w:r>
          </w:p>
        </w:tc>
        <w:tc>
          <w:tcPr>
            <w:tcW w:w="7767" w:type="dxa"/>
            <w:gridSpan w:val="14"/>
            <w:tcBorders>
              <w:bottom w:val="single" w:color="auto" w:sz="4" w:space="0"/>
            </w:tcBorders>
            <w:noWrap w:val="0"/>
            <w:vAlign w:val="center"/>
          </w:tcPr>
          <w:p w14:paraId="0823F18F">
            <w:pPr>
              <w:pageBreakBefore w:val="0"/>
              <w:tabs>
                <w:tab w:val="left" w:pos="720"/>
              </w:tabs>
              <w:kinsoku/>
              <w:overflowPunct/>
              <w:topLinePunct w:val="0"/>
              <w:bidi w:val="0"/>
              <w:snapToGrid w:val="0"/>
              <w:spacing w:line="240" w:lineRule="auto"/>
              <w:rPr>
                <w:rFonts w:hint="eastAsia" w:ascii="仿宋" w:eastAsia="仿宋" w:cs="黑体"/>
                <w:sz w:val="24"/>
                <w:szCs w:val="24"/>
              </w:rPr>
            </w:pPr>
            <w:r>
              <w:rPr>
                <w:rFonts w:hint="eastAsia" w:ascii="仿宋" w:eastAsia="仿宋" w:cs="黑体"/>
                <w:sz w:val="24"/>
                <w:szCs w:val="24"/>
                <w:lang w:val="en-US" w:eastAsia="zh-CN"/>
              </w:rPr>
              <w:t>1.</w:t>
            </w:r>
            <w:r>
              <w:rPr>
                <w:rFonts w:hint="eastAsia" w:ascii="仿宋" w:eastAsia="仿宋" w:cs="黑体"/>
                <w:sz w:val="24"/>
                <w:szCs w:val="24"/>
                <w:lang w:val="en-US" w:eastAsia="zh-Hans"/>
              </w:rPr>
              <w:t>沃尔夫岗</w:t>
            </w:r>
            <w:r>
              <w:rPr>
                <w:rFonts w:hint="eastAsia" w:ascii="仿宋" w:eastAsia="仿宋" w:cs="黑体"/>
                <w:sz w:val="24"/>
                <w:szCs w:val="24"/>
                <w:lang w:eastAsia="zh-Hans"/>
              </w:rPr>
              <w:t>.</w:t>
            </w:r>
            <w:r>
              <w:rPr>
                <w:rFonts w:hint="eastAsia" w:ascii="仿宋" w:eastAsia="仿宋" w:cs="黑体"/>
                <w:sz w:val="24"/>
                <w:szCs w:val="24"/>
                <w:lang w:val="en-US" w:eastAsia="zh-Hans"/>
              </w:rPr>
              <w:t>马斯特纳特著</w:t>
            </w:r>
            <w:r>
              <w:rPr>
                <w:rFonts w:hint="eastAsia" w:ascii="仿宋" w:eastAsia="仿宋" w:cs="黑体"/>
                <w:sz w:val="24"/>
                <w:szCs w:val="24"/>
                <w:lang w:eastAsia="zh-Hans"/>
              </w:rPr>
              <w:t>,</w:t>
            </w:r>
            <w:r>
              <w:rPr>
                <w:rFonts w:hint="eastAsia" w:ascii="仿宋" w:eastAsia="仿宋" w:cs="黑体"/>
                <w:sz w:val="24"/>
                <w:szCs w:val="24"/>
                <w:lang w:val="en-US" w:eastAsia="zh-Hans"/>
              </w:rPr>
              <w:t>于丹红等译</w:t>
            </w:r>
            <w:r>
              <w:rPr>
                <w:rFonts w:hint="eastAsia" w:ascii="仿宋" w:eastAsia="仿宋" w:cs="黑体"/>
                <w:sz w:val="24"/>
                <w:szCs w:val="24"/>
                <w:lang w:eastAsia="zh-Hans"/>
              </w:rPr>
              <w:t>.</w:t>
            </w:r>
            <w:r>
              <w:rPr>
                <w:rFonts w:hint="eastAsia" w:ascii="仿宋" w:eastAsia="仿宋" w:cs="黑体"/>
                <w:sz w:val="24"/>
                <w:szCs w:val="24"/>
                <w:lang w:val="en-US" w:eastAsia="zh-Hans"/>
              </w:rPr>
              <w:t>音乐教育学导论</w:t>
            </w:r>
            <w:r>
              <w:rPr>
                <w:rFonts w:hint="eastAsia" w:ascii="仿宋" w:eastAsia="仿宋" w:cs="黑体"/>
                <w:sz w:val="24"/>
                <w:szCs w:val="24"/>
                <w:lang w:eastAsia="zh-Hans"/>
              </w:rPr>
              <w:t>.</w:t>
            </w:r>
            <w:r>
              <w:rPr>
                <w:rFonts w:hint="eastAsia" w:ascii="仿宋" w:eastAsia="仿宋" w:cs="黑体"/>
                <w:sz w:val="24"/>
                <w:szCs w:val="24"/>
                <w:lang w:val="en-US" w:eastAsia="zh-Hans"/>
              </w:rPr>
              <w:t>上海</w:t>
            </w:r>
            <w:r>
              <w:rPr>
                <w:rFonts w:hint="eastAsia" w:ascii="仿宋" w:eastAsia="仿宋" w:cs="黑体"/>
                <w:sz w:val="24"/>
                <w:szCs w:val="24"/>
                <w:lang w:eastAsia="zh-Hans"/>
              </w:rPr>
              <w:t>:</w:t>
            </w:r>
            <w:r>
              <w:rPr>
                <w:rFonts w:hint="eastAsia" w:ascii="仿宋" w:eastAsia="仿宋" w:cs="黑体"/>
                <w:sz w:val="24"/>
                <w:szCs w:val="24"/>
                <w:lang w:val="en-US" w:eastAsia="zh-Hans"/>
              </w:rPr>
              <w:t>华东师范大学出版社</w:t>
            </w:r>
            <w:r>
              <w:rPr>
                <w:rFonts w:hint="eastAsia" w:ascii="仿宋" w:eastAsia="仿宋" w:cs="黑体"/>
                <w:sz w:val="24"/>
                <w:szCs w:val="24"/>
                <w:lang w:eastAsia="zh-Hans"/>
              </w:rPr>
              <w:t>,2008.</w:t>
            </w:r>
          </w:p>
          <w:p w14:paraId="2037877E">
            <w:pPr>
              <w:pageBreakBefore w:val="0"/>
              <w:tabs>
                <w:tab w:val="left" w:pos="720"/>
              </w:tabs>
              <w:kinsoku/>
              <w:overflowPunct/>
              <w:topLinePunct w:val="0"/>
              <w:bidi w:val="0"/>
              <w:snapToGrid w:val="0"/>
              <w:spacing w:line="240" w:lineRule="auto"/>
              <w:rPr>
                <w:rFonts w:hint="eastAsia" w:ascii="仿宋" w:eastAsia="仿宋" w:cs="黑体"/>
                <w:sz w:val="24"/>
                <w:szCs w:val="24"/>
              </w:rPr>
            </w:pPr>
            <w:r>
              <w:rPr>
                <w:rFonts w:hint="eastAsia" w:ascii="仿宋" w:eastAsia="仿宋" w:cs="黑体"/>
                <w:sz w:val="24"/>
                <w:szCs w:val="24"/>
                <w:lang w:val="en-US" w:eastAsia="zh-CN"/>
              </w:rPr>
              <w:t>2</w:t>
            </w:r>
            <w:r>
              <w:rPr>
                <w:rFonts w:hint="eastAsia" w:ascii="仿宋" w:eastAsia="仿宋" w:cs="黑体"/>
                <w:sz w:val="24"/>
                <w:szCs w:val="24"/>
              </w:rPr>
              <w:t>.杨丽苏主编.新课程音乐教学法.重庆:西南师范大学出版社,2014.</w:t>
            </w:r>
          </w:p>
          <w:p w14:paraId="249A6169">
            <w:pPr>
              <w:pageBreakBefore w:val="0"/>
              <w:tabs>
                <w:tab w:val="left" w:pos="720"/>
              </w:tabs>
              <w:kinsoku/>
              <w:overflowPunct/>
              <w:topLinePunct w:val="0"/>
              <w:bidi w:val="0"/>
              <w:snapToGrid w:val="0"/>
              <w:spacing w:line="240" w:lineRule="auto"/>
              <w:rPr>
                <w:rFonts w:hint="eastAsia" w:ascii="仿宋" w:eastAsia="仿宋" w:cs="黑体"/>
                <w:sz w:val="24"/>
                <w:szCs w:val="24"/>
                <w:lang w:eastAsia="zh-Hans"/>
              </w:rPr>
            </w:pPr>
            <w:r>
              <w:rPr>
                <w:rFonts w:hint="eastAsia" w:ascii="仿宋" w:eastAsia="仿宋" w:cs="黑体"/>
                <w:sz w:val="24"/>
                <w:szCs w:val="24"/>
                <w:lang w:val="en-US" w:eastAsia="zh-CN"/>
              </w:rPr>
              <w:t>3</w:t>
            </w:r>
            <w:r>
              <w:rPr>
                <w:rFonts w:hint="eastAsia" w:ascii="仿宋" w:eastAsia="仿宋" w:cs="黑体"/>
                <w:sz w:val="24"/>
                <w:szCs w:val="24"/>
                <w:lang w:val="en-US" w:eastAsia="zh-Hans"/>
              </w:rPr>
              <w:t>.任志宏</w:t>
            </w:r>
            <w:r>
              <w:rPr>
                <w:rFonts w:hint="eastAsia" w:ascii="仿宋" w:eastAsia="仿宋" w:cs="黑体"/>
                <w:sz w:val="24"/>
                <w:szCs w:val="24"/>
                <w:lang w:eastAsia="zh-Hans"/>
              </w:rPr>
              <w:t>.</w:t>
            </w:r>
            <w:r>
              <w:rPr>
                <w:rFonts w:hint="eastAsia" w:ascii="仿宋" w:eastAsia="仿宋" w:cs="黑体"/>
                <w:sz w:val="24"/>
                <w:szCs w:val="24"/>
                <w:lang w:val="en-US" w:eastAsia="zh-Hans"/>
              </w:rPr>
              <w:t>音乐教学论案例分析</w:t>
            </w:r>
            <w:r>
              <w:rPr>
                <w:rFonts w:hint="eastAsia" w:ascii="仿宋" w:eastAsia="仿宋" w:cs="黑体"/>
                <w:sz w:val="24"/>
                <w:szCs w:val="24"/>
                <w:lang w:eastAsia="zh-Hans"/>
              </w:rPr>
              <w:t>.</w:t>
            </w:r>
            <w:r>
              <w:rPr>
                <w:rFonts w:hint="eastAsia" w:ascii="仿宋" w:eastAsia="仿宋" w:cs="黑体"/>
                <w:sz w:val="24"/>
                <w:szCs w:val="24"/>
                <w:lang w:val="en-US" w:eastAsia="zh-Hans"/>
              </w:rPr>
              <w:t>北京</w:t>
            </w:r>
            <w:r>
              <w:rPr>
                <w:rFonts w:hint="eastAsia" w:ascii="仿宋" w:eastAsia="仿宋" w:cs="黑体"/>
                <w:sz w:val="24"/>
                <w:szCs w:val="24"/>
                <w:lang w:eastAsia="zh-Hans"/>
              </w:rPr>
              <w:t>:</w:t>
            </w:r>
            <w:r>
              <w:rPr>
                <w:rFonts w:hint="eastAsia" w:ascii="仿宋" w:eastAsia="仿宋" w:cs="黑体"/>
                <w:sz w:val="24"/>
                <w:szCs w:val="24"/>
                <w:lang w:val="en-US" w:eastAsia="zh-Hans"/>
              </w:rPr>
              <w:t>知识产权出版社</w:t>
            </w:r>
            <w:r>
              <w:rPr>
                <w:rFonts w:hint="eastAsia" w:ascii="仿宋" w:eastAsia="仿宋" w:cs="黑体"/>
                <w:sz w:val="24"/>
                <w:szCs w:val="24"/>
                <w:lang w:eastAsia="zh-Hans"/>
              </w:rPr>
              <w:t>,2017.</w:t>
            </w:r>
          </w:p>
          <w:p w14:paraId="2EDB8E2C">
            <w:pPr>
              <w:pageBreakBefore w:val="0"/>
              <w:tabs>
                <w:tab w:val="left" w:pos="720"/>
              </w:tabs>
              <w:kinsoku/>
              <w:overflowPunct/>
              <w:topLinePunct w:val="0"/>
              <w:bidi w:val="0"/>
              <w:snapToGrid w:val="0"/>
              <w:spacing w:line="240" w:lineRule="auto"/>
              <w:rPr>
                <w:rFonts w:hint="eastAsia" w:ascii="仿宋" w:eastAsia="仿宋" w:cs="黑体"/>
                <w:sz w:val="24"/>
                <w:szCs w:val="24"/>
                <w:lang w:eastAsia="zh-Hans"/>
              </w:rPr>
            </w:pPr>
            <w:r>
              <w:rPr>
                <w:rFonts w:hint="eastAsia" w:ascii="仿宋" w:eastAsia="仿宋" w:cs="黑体"/>
                <w:sz w:val="24"/>
                <w:szCs w:val="24"/>
                <w:lang w:val="en-US" w:eastAsia="zh-CN"/>
              </w:rPr>
              <w:t>4.尹爱青.音乐课程与教学论(第二版).长春:东北师范大学出版社,2019.</w:t>
            </w:r>
          </w:p>
          <w:p w14:paraId="1BB3C62F">
            <w:pPr>
              <w:pageBreakBefore w:val="0"/>
              <w:tabs>
                <w:tab w:val="left" w:pos="720"/>
              </w:tabs>
              <w:kinsoku/>
              <w:overflowPunct/>
              <w:topLinePunct w:val="0"/>
              <w:bidi w:val="0"/>
              <w:snapToGrid w:val="0"/>
              <w:spacing w:line="240" w:lineRule="auto"/>
              <w:rPr>
                <w:rFonts w:hint="eastAsia" w:ascii="仿宋" w:eastAsia="仿宋" w:cs="黑体"/>
                <w:sz w:val="24"/>
                <w:szCs w:val="24"/>
                <w:lang w:eastAsia="zh-Hans"/>
              </w:rPr>
            </w:pPr>
            <w:r>
              <w:rPr>
                <w:rFonts w:hint="eastAsia" w:ascii="仿宋" w:eastAsia="仿宋" w:cs="黑体"/>
                <w:sz w:val="24"/>
                <w:szCs w:val="24"/>
                <w:lang w:val="en-US" w:eastAsia="zh-CN"/>
              </w:rPr>
              <w:t>5</w:t>
            </w:r>
            <w:r>
              <w:rPr>
                <w:rFonts w:hint="eastAsia" w:ascii="仿宋" w:eastAsia="仿宋" w:cs="黑体"/>
                <w:sz w:val="24"/>
                <w:szCs w:val="24"/>
                <w:lang w:eastAsia="zh-Hans"/>
              </w:rPr>
              <w:t>.</w:t>
            </w:r>
            <w:r>
              <w:rPr>
                <w:rFonts w:hint="eastAsia" w:ascii="仿宋" w:eastAsia="仿宋" w:cs="黑体"/>
                <w:sz w:val="24"/>
                <w:szCs w:val="24"/>
                <w:lang w:val="en-US" w:eastAsia="zh-Hans"/>
              </w:rPr>
              <w:t>崔学荣</w:t>
            </w:r>
            <w:r>
              <w:rPr>
                <w:rFonts w:hint="eastAsia" w:ascii="仿宋" w:eastAsia="仿宋" w:cs="黑体"/>
                <w:sz w:val="24"/>
                <w:szCs w:val="24"/>
                <w:lang w:eastAsia="zh-Hans"/>
              </w:rPr>
              <w:t>.</w:t>
            </w:r>
            <w:r>
              <w:rPr>
                <w:rFonts w:hint="eastAsia" w:ascii="仿宋" w:eastAsia="仿宋" w:cs="黑体"/>
                <w:sz w:val="24"/>
                <w:szCs w:val="24"/>
                <w:lang w:val="en-US" w:eastAsia="zh-Hans"/>
              </w:rPr>
              <w:t>音乐微格教学</w:t>
            </w:r>
            <w:r>
              <w:rPr>
                <w:rFonts w:hint="eastAsia" w:ascii="仿宋" w:eastAsia="仿宋" w:cs="黑体"/>
                <w:sz w:val="24"/>
                <w:szCs w:val="24"/>
                <w:lang w:eastAsia="zh-Hans"/>
              </w:rPr>
              <w:t>.</w:t>
            </w:r>
            <w:r>
              <w:rPr>
                <w:rFonts w:hint="eastAsia" w:ascii="仿宋" w:eastAsia="仿宋" w:cs="黑体"/>
                <w:sz w:val="24"/>
                <w:szCs w:val="24"/>
                <w:lang w:val="en-US" w:eastAsia="zh-Hans"/>
              </w:rPr>
              <w:t>北京</w:t>
            </w:r>
            <w:r>
              <w:rPr>
                <w:rFonts w:hint="eastAsia" w:ascii="仿宋" w:eastAsia="仿宋" w:cs="黑体"/>
                <w:sz w:val="24"/>
                <w:szCs w:val="24"/>
                <w:lang w:eastAsia="zh-Hans"/>
              </w:rPr>
              <w:t>:</w:t>
            </w:r>
            <w:r>
              <w:rPr>
                <w:rFonts w:hint="eastAsia" w:ascii="仿宋" w:eastAsia="仿宋" w:cs="黑体"/>
                <w:sz w:val="24"/>
                <w:szCs w:val="24"/>
                <w:lang w:val="en-US" w:eastAsia="zh-Hans"/>
              </w:rPr>
              <w:t>高等教育出版社</w:t>
            </w:r>
            <w:r>
              <w:rPr>
                <w:rFonts w:hint="eastAsia" w:ascii="仿宋" w:eastAsia="仿宋" w:cs="黑体"/>
                <w:sz w:val="24"/>
                <w:szCs w:val="24"/>
                <w:lang w:eastAsia="zh-Hans"/>
              </w:rPr>
              <w:t>,2020.</w:t>
            </w:r>
          </w:p>
          <w:p w14:paraId="2E684C3E">
            <w:pPr>
              <w:pageBreakBefore w:val="0"/>
              <w:tabs>
                <w:tab w:val="left" w:pos="720"/>
              </w:tabs>
              <w:kinsoku/>
              <w:overflowPunct/>
              <w:topLinePunct w:val="0"/>
              <w:bidi w:val="0"/>
              <w:snapToGrid w:val="0"/>
              <w:spacing w:line="240" w:lineRule="auto"/>
              <w:rPr>
                <w:rFonts w:hint="eastAsia" w:ascii="仿宋" w:eastAsia="仿宋" w:cs="黑体"/>
                <w:sz w:val="24"/>
                <w:szCs w:val="24"/>
                <w:lang w:val="en-US" w:eastAsia="zh-CN"/>
              </w:rPr>
            </w:pPr>
            <w:r>
              <w:rPr>
                <w:rFonts w:hint="eastAsia" w:ascii="仿宋" w:eastAsia="仿宋" w:cs="黑体"/>
                <w:sz w:val="24"/>
                <w:szCs w:val="24"/>
                <w:lang w:val="en-US" w:eastAsia="zh-CN"/>
              </w:rPr>
              <w:t>6.中华人民共和国教育部制定.义务教育艺术课程标准(2022年版).北京:北京师范大学出版社,2022.</w:t>
            </w:r>
          </w:p>
          <w:p w14:paraId="695B3155">
            <w:pPr>
              <w:pageBreakBefore w:val="0"/>
              <w:tabs>
                <w:tab w:val="left" w:pos="720"/>
              </w:tabs>
              <w:kinsoku/>
              <w:overflowPunct/>
              <w:topLinePunct w:val="0"/>
              <w:bidi w:val="0"/>
              <w:snapToGrid w:val="0"/>
              <w:spacing w:line="240" w:lineRule="auto"/>
              <w:rPr>
                <w:rFonts w:hint="eastAsia" w:ascii="仿宋" w:eastAsia="仿宋" w:cs="黑体"/>
                <w:sz w:val="24"/>
                <w:szCs w:val="24"/>
              </w:rPr>
            </w:pPr>
            <w:r>
              <w:rPr>
                <w:rFonts w:hint="eastAsia" w:ascii="仿宋" w:eastAsia="仿宋" w:cs="黑体"/>
                <w:sz w:val="24"/>
                <w:szCs w:val="24"/>
                <w:lang w:val="en-US" w:eastAsia="zh-CN"/>
              </w:rPr>
              <w:t>7.杜宏斌.新版课程标准解析与教学指导2022年版音乐.北京:北京师范大学出版社,2022.</w:t>
            </w:r>
          </w:p>
        </w:tc>
      </w:tr>
      <w:tr w14:paraId="79BA0F39">
        <w:trPr>
          <w:trHeight w:val="624" w:hRule="atLeast"/>
        </w:trPr>
        <w:tc>
          <w:tcPr>
            <w:tcW w:w="1377" w:type="dxa"/>
            <w:tcBorders>
              <w:bottom w:val="single" w:color="auto" w:sz="4" w:space="0"/>
            </w:tcBorders>
            <w:noWrap w:val="0"/>
            <w:vAlign w:val="center"/>
          </w:tcPr>
          <w:p w14:paraId="639879DF">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C</w:t>
            </w:r>
          </w:p>
          <w:p w14:paraId="6257229A">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线上学习资源</w:t>
            </w:r>
          </w:p>
        </w:tc>
        <w:tc>
          <w:tcPr>
            <w:tcW w:w="7767" w:type="dxa"/>
            <w:gridSpan w:val="14"/>
            <w:tcBorders>
              <w:bottom w:val="single" w:color="auto" w:sz="4" w:space="0"/>
            </w:tcBorders>
            <w:noWrap w:val="0"/>
            <w:vAlign w:val="center"/>
          </w:tcPr>
          <w:p w14:paraId="67EDE8D8">
            <w:pPr>
              <w:pageBreakBefore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1.</w:t>
            </w:r>
            <w:r>
              <w:rPr>
                <w:rFonts w:hint="eastAsia" w:ascii="仿宋" w:eastAsia="仿宋" w:cs="宋体"/>
                <w:sz w:val="24"/>
                <w:szCs w:val="24"/>
              </w:rPr>
              <w:t>中小学优质课</w:t>
            </w:r>
            <w:r>
              <w:rPr>
                <w:rFonts w:hint="eastAsia" w:ascii="仿宋" w:eastAsia="仿宋" w:cs="宋体"/>
                <w:sz w:val="24"/>
                <w:szCs w:val="24"/>
                <w:lang w:eastAsia="zh-Hans"/>
              </w:rPr>
              <w:t>视频</w:t>
            </w:r>
            <w:r>
              <w:rPr>
                <w:rFonts w:hint="eastAsia" w:ascii="仿宋" w:eastAsia="仿宋" w:cs="仿宋"/>
                <w:sz w:val="24"/>
                <w:szCs w:val="24"/>
              </w:rPr>
              <w:t>。</w:t>
            </w:r>
          </w:p>
          <w:p w14:paraId="697CC0AE">
            <w:pPr>
              <w:pageBreakBefore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2.中国大学MOOC平台《音乐学科教学法》（首都师范大学 郑莉）。</w:t>
            </w:r>
          </w:p>
        </w:tc>
      </w:tr>
      <w:tr w14:paraId="143C4793">
        <w:trPr>
          <w:trHeight w:val="624" w:hRule="atLeast"/>
        </w:trPr>
        <w:tc>
          <w:tcPr>
            <w:tcW w:w="1377" w:type="dxa"/>
            <w:shd w:val="clear" w:color="auto" w:fill="FFFFFF"/>
            <w:noWrap w:val="0"/>
            <w:vAlign w:val="center"/>
          </w:tcPr>
          <w:p w14:paraId="4E7D9BE0">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D</w:t>
            </w:r>
          </w:p>
          <w:p w14:paraId="55F7F242">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 xml:space="preserve">课程描述 </w:t>
            </w:r>
          </w:p>
          <w:p w14:paraId="0B463E71">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lang w:eastAsia="zh-TW"/>
              </w:rPr>
              <w:t>(</w:t>
            </w:r>
            <w:r>
              <w:rPr>
                <w:rFonts w:hint="eastAsia" w:ascii="仿宋" w:eastAsia="仿宋" w:cs="仿宋"/>
                <w:sz w:val="24"/>
                <w:szCs w:val="24"/>
              </w:rPr>
              <w:t>含</w:t>
            </w:r>
            <w:r>
              <w:rPr>
                <w:rFonts w:hint="eastAsia" w:ascii="仿宋" w:eastAsia="仿宋" w:cs="仿宋"/>
                <w:sz w:val="24"/>
                <w:szCs w:val="24"/>
                <w:lang w:eastAsia="zh-TW"/>
              </w:rPr>
              <w:t>性质、地位和任务)</w:t>
            </w:r>
          </w:p>
        </w:tc>
        <w:tc>
          <w:tcPr>
            <w:tcW w:w="7767" w:type="dxa"/>
            <w:gridSpan w:val="14"/>
            <w:tcBorders>
              <w:bottom w:val="single" w:color="auto" w:sz="4" w:space="0"/>
            </w:tcBorders>
            <w:shd w:val="clear" w:color="auto" w:fill="FFFFFF"/>
            <w:noWrap w:val="0"/>
            <w:vAlign w:val="center"/>
          </w:tcPr>
          <w:p w14:paraId="5DB6481A">
            <w:pPr>
              <w:pageBreakBefore w:val="0"/>
              <w:kinsoku/>
              <w:overflowPunct/>
              <w:topLinePunct w:val="0"/>
              <w:bidi w:val="0"/>
              <w:adjustRightInd w:val="0"/>
              <w:snapToGrid w:val="0"/>
              <w:spacing w:line="240" w:lineRule="auto"/>
              <w:rPr>
                <w:rFonts w:hint="eastAsia" w:ascii="仿宋" w:eastAsia="仿宋" w:cs="宋体"/>
                <w:sz w:val="24"/>
                <w:szCs w:val="24"/>
              </w:rPr>
            </w:pPr>
            <w:r>
              <w:rPr>
                <w:rFonts w:hint="eastAsia" w:ascii="仿宋" w:eastAsia="仿宋" w:cs="仿宋"/>
                <w:sz w:val="24"/>
                <w:szCs w:val="24"/>
                <w:lang w:eastAsia="zh-CN"/>
              </w:rPr>
              <w:t>本课程属于学科教育学的范畴，是我国普通高等学校音乐学（教师教育）本科专业的必修课程。该课程以音乐教育的基本原理为研究对象，探讨音乐教育教学的规律，提高学生对音乐教育活动的理性认识，优化音乐教育实践，</w:t>
            </w:r>
            <w:r>
              <w:rPr>
                <w:rFonts w:hint="eastAsia" w:ascii="仿宋" w:eastAsia="仿宋" w:cs="仿宋"/>
                <w:sz w:val="24"/>
                <w:szCs w:val="24"/>
                <w:lang w:val="en-US" w:eastAsia="zh-CN"/>
              </w:rPr>
              <w:t>弘扬践行中华美育精神，</w:t>
            </w:r>
            <w:r>
              <w:rPr>
                <w:rFonts w:hint="eastAsia" w:ascii="仿宋" w:eastAsia="仿宋" w:cs="仿宋"/>
                <w:sz w:val="24"/>
                <w:szCs w:val="24"/>
                <w:lang w:eastAsia="zh-CN"/>
              </w:rPr>
              <w:t>为学校音乐教育教学提供理论指导。</w:t>
            </w:r>
            <w:r>
              <w:rPr>
                <w:rFonts w:hint="eastAsia" w:ascii="仿宋" w:eastAsia="仿宋" w:cs="仿宋"/>
                <w:sz w:val="24"/>
                <w:szCs w:val="24"/>
                <w:lang w:val="en-US" w:eastAsia="zh-Hans"/>
              </w:rPr>
              <w:t>拥有教育情怀和职业认同感，了解</w:t>
            </w:r>
            <w:r>
              <w:rPr>
                <w:rFonts w:hint="eastAsia" w:ascii="仿宋" w:eastAsia="仿宋" w:cs="仿宋"/>
                <w:sz w:val="24"/>
                <w:szCs w:val="24"/>
                <w:lang w:val="en-US" w:eastAsia="en-US"/>
              </w:rPr>
              <w:t>中学生的身心发展特点和音乐的认知</w:t>
            </w:r>
            <w:r>
              <w:rPr>
                <w:rFonts w:hint="eastAsia" w:ascii="仿宋" w:eastAsia="仿宋" w:cs="仿宋"/>
                <w:sz w:val="24"/>
                <w:szCs w:val="24"/>
                <w:lang w:val="en-US" w:eastAsia="zh-Hans"/>
              </w:rPr>
              <w:t>规律</w:t>
            </w:r>
            <w:r>
              <w:rPr>
                <w:rFonts w:hint="eastAsia" w:ascii="仿宋" w:eastAsia="仿宋" w:cs="仿宋"/>
                <w:sz w:val="24"/>
                <w:szCs w:val="24"/>
                <w:lang w:val="en-US" w:eastAsia="zh-CN"/>
              </w:rPr>
              <w:t>,培养“四有”好老师。</w:t>
            </w:r>
          </w:p>
        </w:tc>
      </w:tr>
      <w:tr w14:paraId="6ABD4E66">
        <w:trPr>
          <w:trHeight w:val="624" w:hRule="atLeast"/>
        </w:trPr>
        <w:tc>
          <w:tcPr>
            <w:tcW w:w="1377" w:type="dxa"/>
            <w:vMerge w:val="restart"/>
            <w:shd w:val="clear" w:color="auto" w:fill="FFFFFF"/>
            <w:noWrap w:val="0"/>
            <w:vAlign w:val="center"/>
          </w:tcPr>
          <w:p w14:paraId="393DD934">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E</w:t>
            </w:r>
          </w:p>
          <w:p w14:paraId="4EA78457">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课程学习目标及其与毕业要求的对应关系</w:t>
            </w:r>
          </w:p>
        </w:tc>
        <w:tc>
          <w:tcPr>
            <w:tcW w:w="7767" w:type="dxa"/>
            <w:gridSpan w:val="14"/>
            <w:tcBorders>
              <w:bottom w:val="single" w:color="auto" w:sz="4" w:space="0"/>
            </w:tcBorders>
            <w:shd w:val="clear" w:color="auto" w:fill="FFFFFF"/>
            <w:noWrap w:val="0"/>
            <w:vAlign w:val="center"/>
          </w:tcPr>
          <w:p w14:paraId="0198C137">
            <w:pPr>
              <w:pageBreakBefore w:val="0"/>
              <w:kinsoku/>
              <w:overflowPunct/>
              <w:topLinePunct w:val="0"/>
              <w:bidi w:val="0"/>
              <w:adjustRightInd w:val="0"/>
              <w:snapToGrid w:val="0"/>
              <w:spacing w:line="240" w:lineRule="auto"/>
              <w:jc w:val="left"/>
              <w:rPr>
                <w:rFonts w:hint="eastAsia" w:ascii="仿宋" w:eastAsia="仿宋" w:cs="仿宋"/>
                <w:sz w:val="24"/>
                <w:szCs w:val="24"/>
              </w:rPr>
            </w:pPr>
            <w:r>
              <w:rPr>
                <w:rFonts w:hint="eastAsia" w:ascii="仿宋" w:eastAsia="仿宋" w:cs="仿宋"/>
                <w:sz w:val="24"/>
                <w:szCs w:val="24"/>
              </w:rPr>
              <w:t>通过本课程的学习，学生具备如下知识、能力及情感态度价值观：</w:t>
            </w:r>
          </w:p>
          <w:p w14:paraId="7F85BCD7">
            <w:pPr>
              <w:pageBreakBefore w:val="0"/>
              <w:kinsoku/>
              <w:overflowPunct/>
              <w:topLinePunct w:val="0"/>
              <w:bidi w:val="0"/>
              <w:adjustRightInd w:val="0"/>
              <w:snapToGrid w:val="0"/>
              <w:spacing w:line="240" w:lineRule="auto"/>
              <w:rPr>
                <w:rStyle w:val="368"/>
                <w:rFonts w:hint="eastAsia" w:ascii="仿宋" w:eastAsia="仿宋"/>
                <w:sz w:val="24"/>
                <w:szCs w:val="24"/>
              </w:rPr>
            </w:pPr>
            <w:r>
              <w:rPr>
                <w:rStyle w:val="368"/>
                <w:rFonts w:hint="eastAsia" w:ascii="仿宋" w:eastAsia="仿宋"/>
                <w:sz w:val="24"/>
                <w:szCs w:val="24"/>
                <w:lang w:eastAsia="zh-Hans"/>
              </w:rPr>
              <w:t>课程目标1: 将音乐教育基础知识、基本技能与教育学、心理学、学科教学论知识相融合，形成综合的音乐教育教学知识体系，并具备初步的综合分析能力与运用能力。（</w:t>
            </w:r>
            <w:r>
              <w:rPr>
                <w:rFonts w:hint="eastAsia" w:ascii="仿宋" w:eastAsia="仿宋" w:cs="仿宋"/>
                <w:sz w:val="24"/>
                <w:szCs w:val="24"/>
              </w:rPr>
              <w:t>支撑毕业要求</w:t>
            </w:r>
            <w:r>
              <w:rPr>
                <w:rStyle w:val="368"/>
                <w:rFonts w:hint="eastAsia" w:ascii="仿宋" w:eastAsia="仿宋"/>
                <w:sz w:val="24"/>
                <w:szCs w:val="24"/>
              </w:rPr>
              <w:t>3</w:t>
            </w:r>
            <w:r>
              <w:rPr>
                <w:rStyle w:val="368"/>
                <w:rFonts w:hint="eastAsia" w:ascii="仿宋" w:eastAsia="仿宋"/>
                <w:sz w:val="24"/>
                <w:szCs w:val="24"/>
                <w:lang w:eastAsia="zh-Hans"/>
              </w:rPr>
              <w:t>.3）</w:t>
            </w:r>
          </w:p>
          <w:p w14:paraId="6EDE667A">
            <w:pPr>
              <w:pageBreakBefore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课程目标2：</w:t>
            </w:r>
            <w:r>
              <w:rPr>
                <w:rFonts w:hint="eastAsia" w:ascii="仿宋" w:eastAsia="仿宋" w:cs="宋体"/>
                <w:sz w:val="24"/>
                <w:szCs w:val="24"/>
                <w:lang w:eastAsia="zh-Hans"/>
              </w:rPr>
              <w:t>掌握义务教育阶段音乐课程标准</w:t>
            </w:r>
            <w:r>
              <w:rPr>
                <w:rFonts w:hint="eastAsia" w:ascii="仿宋" w:eastAsia="仿宋" w:cs="宋体"/>
                <w:sz w:val="24"/>
                <w:szCs w:val="24"/>
              </w:rPr>
              <w:t>。</w:t>
            </w:r>
            <w:r>
              <w:rPr>
                <w:rFonts w:hint="eastAsia" w:ascii="仿宋" w:eastAsia="仿宋" w:cs="仿宋"/>
                <w:sz w:val="24"/>
                <w:szCs w:val="24"/>
              </w:rPr>
              <w:t>领会</w:t>
            </w:r>
            <w:r>
              <w:rPr>
                <w:rFonts w:hint="eastAsia" w:ascii="仿宋" w:eastAsia="仿宋"/>
                <w:sz w:val="24"/>
                <w:szCs w:val="24"/>
              </w:rPr>
              <w:t>学校音乐教育的目标、理念、性质，</w:t>
            </w:r>
            <w:r>
              <w:rPr>
                <w:rFonts w:hint="eastAsia" w:ascii="仿宋" w:eastAsia="仿宋" w:cs="仿宋"/>
                <w:sz w:val="24"/>
                <w:szCs w:val="24"/>
              </w:rPr>
              <w:t>领会音乐美、音乐审美、</w:t>
            </w:r>
            <w:r>
              <w:rPr>
                <w:rFonts w:hint="eastAsia" w:ascii="仿宋" w:eastAsia="仿宋"/>
                <w:sz w:val="24"/>
                <w:szCs w:val="24"/>
              </w:rPr>
              <w:t>音乐教学的原则，</w:t>
            </w:r>
            <w:r>
              <w:rPr>
                <w:rFonts w:hint="eastAsia" w:ascii="仿宋" w:eastAsia="仿宋"/>
                <w:sz w:val="24"/>
                <w:szCs w:val="24"/>
                <w:lang w:eastAsia="zh-Hans"/>
              </w:rPr>
              <w:t>正确分析教材，</w:t>
            </w:r>
            <w:r>
              <w:rPr>
                <w:rFonts w:hint="eastAsia" w:ascii="仿宋" w:eastAsia="仿宋" w:cs="仿宋"/>
                <w:sz w:val="24"/>
                <w:szCs w:val="24"/>
              </w:rPr>
              <w:t>掌握音乐教学程序、过程</w:t>
            </w:r>
            <w:r>
              <w:rPr>
                <w:rFonts w:hint="eastAsia" w:ascii="仿宋" w:eastAsia="仿宋"/>
                <w:sz w:val="24"/>
                <w:szCs w:val="24"/>
              </w:rPr>
              <w:t>、</w:t>
            </w:r>
            <w:r>
              <w:rPr>
                <w:rFonts w:hint="eastAsia" w:ascii="仿宋" w:eastAsia="仿宋" w:cs="仿宋"/>
                <w:sz w:val="24"/>
                <w:szCs w:val="24"/>
              </w:rPr>
              <w:t>模式及教学方法，掌握音乐课程</w:t>
            </w:r>
            <w:r>
              <w:rPr>
                <w:rFonts w:hint="eastAsia" w:ascii="仿宋" w:eastAsia="仿宋"/>
                <w:sz w:val="24"/>
                <w:szCs w:val="24"/>
              </w:rPr>
              <w:t>评价基本方式与方法</w:t>
            </w:r>
            <w:r>
              <w:rPr>
                <w:rFonts w:hint="eastAsia" w:ascii="仿宋" w:eastAsia="仿宋" w:cs="仿宋"/>
                <w:sz w:val="24"/>
                <w:szCs w:val="24"/>
              </w:rPr>
              <w:t>，对音乐教育课程资源开发的途径与方式有深入了解。（支撑毕业要求4</w:t>
            </w:r>
            <w:r>
              <w:rPr>
                <w:rFonts w:hint="eastAsia" w:ascii="仿宋" w:eastAsia="仿宋" w:cs="仿宋"/>
                <w:sz w:val="24"/>
                <w:szCs w:val="24"/>
                <w:lang w:eastAsia="zh-Hans"/>
              </w:rPr>
              <w:t>.1</w:t>
            </w:r>
            <w:r>
              <w:rPr>
                <w:rFonts w:hint="eastAsia" w:ascii="仿宋" w:eastAsia="仿宋" w:cs="仿宋"/>
                <w:sz w:val="24"/>
                <w:szCs w:val="24"/>
              </w:rPr>
              <w:t>）</w:t>
            </w:r>
          </w:p>
          <w:p w14:paraId="4EBDF5D1">
            <w:pPr>
              <w:pageBreakBefore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课程目标3</w:t>
            </w:r>
            <w:r>
              <w:rPr>
                <w:rFonts w:hint="eastAsia" w:ascii="仿宋" w:eastAsia="仿宋" w:cs="仿宋"/>
                <w:sz w:val="24"/>
                <w:szCs w:val="24"/>
                <w:lang w:eastAsia="zh-Hans"/>
              </w:rPr>
              <w:t>: 拥有教育情怀和职业认同感，了解</w:t>
            </w:r>
            <w:r>
              <w:rPr>
                <w:rFonts w:hint="eastAsia" w:ascii="仿宋" w:eastAsia="仿宋"/>
                <w:bCs/>
                <w:sz w:val="24"/>
                <w:szCs w:val="24"/>
              </w:rPr>
              <w:t>中</w:t>
            </w:r>
            <w:r>
              <w:rPr>
                <w:rStyle w:val="368"/>
                <w:rFonts w:hint="eastAsia" w:ascii="仿宋" w:eastAsia="仿宋"/>
                <w:sz w:val="24"/>
                <w:szCs w:val="24"/>
              </w:rPr>
              <w:t>学生的身心发展特点和音乐的认知</w:t>
            </w:r>
            <w:r>
              <w:rPr>
                <w:rStyle w:val="368"/>
                <w:rFonts w:hint="eastAsia" w:ascii="仿宋" w:eastAsia="仿宋"/>
                <w:sz w:val="24"/>
                <w:szCs w:val="24"/>
                <w:lang w:eastAsia="zh-Hans"/>
              </w:rPr>
              <w:t>规律</w:t>
            </w:r>
            <w:r>
              <w:rPr>
                <w:rStyle w:val="368"/>
                <w:rFonts w:hint="eastAsia" w:ascii="仿宋" w:eastAsia="仿宋"/>
                <w:sz w:val="24"/>
                <w:szCs w:val="24"/>
              </w:rPr>
              <w:t>，</w:t>
            </w:r>
            <w:r>
              <w:rPr>
                <w:rStyle w:val="368"/>
                <w:rFonts w:hint="eastAsia" w:ascii="仿宋" w:eastAsia="仿宋"/>
                <w:sz w:val="24"/>
                <w:szCs w:val="24"/>
                <w:lang w:eastAsia="zh-Hans"/>
              </w:rPr>
              <w:t>具有正确的音乐教育观。</w:t>
            </w:r>
            <w:r>
              <w:rPr>
                <w:rStyle w:val="368"/>
                <w:rFonts w:hint="eastAsia" w:ascii="仿宋" w:eastAsia="仿宋"/>
                <w:sz w:val="24"/>
                <w:szCs w:val="24"/>
              </w:rPr>
              <w:t>（</w:t>
            </w:r>
            <w:r>
              <w:rPr>
                <w:rFonts w:hint="eastAsia" w:ascii="仿宋" w:eastAsia="仿宋" w:cs="仿宋"/>
                <w:sz w:val="24"/>
                <w:szCs w:val="24"/>
              </w:rPr>
              <w:t>支撑毕业要求</w:t>
            </w:r>
            <w:r>
              <w:rPr>
                <w:rStyle w:val="368"/>
                <w:rFonts w:hint="eastAsia" w:ascii="仿宋" w:eastAsia="仿宋"/>
                <w:sz w:val="24"/>
                <w:szCs w:val="24"/>
              </w:rPr>
              <w:t>2.1</w:t>
            </w:r>
            <w:r>
              <w:rPr>
                <w:rFonts w:hint="eastAsia" w:ascii="仿宋" w:eastAsia="仿宋"/>
                <w:sz w:val="24"/>
                <w:szCs w:val="24"/>
              </w:rPr>
              <w:t xml:space="preserve"> </w:t>
            </w:r>
            <w:r>
              <w:rPr>
                <w:rStyle w:val="368"/>
                <w:rFonts w:hint="eastAsia" w:ascii="仿宋" w:eastAsia="仿宋"/>
                <w:sz w:val="24"/>
                <w:szCs w:val="24"/>
              </w:rPr>
              <w:t>）</w:t>
            </w:r>
          </w:p>
          <w:p w14:paraId="031B6BE5">
            <w:pPr>
              <w:pageBreakBefore w:val="0"/>
              <w:kinsoku/>
              <w:overflowPunct/>
              <w:topLinePunct w:val="0"/>
              <w:bidi w:val="0"/>
              <w:adjustRightInd w:val="0"/>
              <w:snapToGrid w:val="0"/>
              <w:spacing w:line="240" w:lineRule="auto"/>
              <w:rPr>
                <w:rFonts w:hint="eastAsia" w:ascii="仿宋" w:eastAsia="仿宋" w:cs="仿宋"/>
                <w:sz w:val="24"/>
                <w:szCs w:val="24"/>
                <w:lang w:eastAsia="zh-Hans"/>
              </w:rPr>
            </w:pPr>
            <w:r>
              <w:rPr>
                <w:rFonts w:hint="eastAsia" w:ascii="仿宋" w:eastAsia="仿宋" w:cs="仿宋"/>
                <w:sz w:val="24"/>
                <w:szCs w:val="24"/>
                <w:lang w:eastAsia="zh-Hans"/>
              </w:rPr>
              <w:t>课程目标4：理解学校音乐教育的理论内涵，掌握基本音乐教学理论。（支撑毕业要求6.1）</w:t>
            </w:r>
          </w:p>
          <w:p w14:paraId="2D2438D3">
            <w:pPr>
              <w:pageBreakBefore w:val="0"/>
              <w:kinsoku/>
              <w:overflowPunct/>
              <w:topLinePunct w:val="0"/>
              <w:bidi w:val="0"/>
              <w:adjustRightInd w:val="0"/>
              <w:snapToGrid w:val="0"/>
              <w:spacing w:line="240" w:lineRule="auto"/>
              <w:rPr>
                <w:rFonts w:hint="eastAsia" w:ascii="仿宋" w:eastAsia="仿宋" w:cs="仿宋"/>
                <w:sz w:val="24"/>
                <w:szCs w:val="24"/>
                <w:lang w:eastAsia="zh-Hans"/>
              </w:rPr>
            </w:pPr>
          </w:p>
        </w:tc>
      </w:tr>
      <w:tr w14:paraId="69DF205A">
        <w:trPr>
          <w:trHeight w:val="624" w:hRule="atLeast"/>
        </w:trPr>
        <w:tc>
          <w:tcPr>
            <w:tcW w:w="1377" w:type="dxa"/>
            <w:vMerge w:val="continue"/>
            <w:shd w:val="clear" w:color="auto" w:fill="FFFFFF"/>
            <w:noWrap w:val="0"/>
            <w:vAlign w:val="center"/>
          </w:tcPr>
          <w:p w14:paraId="612C14F9">
            <w:pPr>
              <w:pageBreakBefore w:val="0"/>
              <w:kinsoku/>
              <w:overflowPunct/>
              <w:topLinePunct w:val="0"/>
              <w:bidi w:val="0"/>
              <w:spacing w:line="240" w:lineRule="auto"/>
            </w:pPr>
          </w:p>
        </w:tc>
        <w:tc>
          <w:tcPr>
            <w:tcW w:w="1228" w:type="dxa"/>
            <w:tcBorders>
              <w:bottom w:val="single" w:color="auto" w:sz="4" w:space="0"/>
            </w:tcBorders>
            <w:shd w:val="clear" w:color="auto" w:fill="FFFFFF"/>
            <w:noWrap w:val="0"/>
            <w:vAlign w:val="center"/>
          </w:tcPr>
          <w:p w14:paraId="41826249">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课程目标</w:t>
            </w:r>
          </w:p>
        </w:tc>
        <w:tc>
          <w:tcPr>
            <w:tcW w:w="5072" w:type="dxa"/>
            <w:gridSpan w:val="10"/>
            <w:tcBorders>
              <w:bottom w:val="single" w:color="auto" w:sz="4" w:space="0"/>
            </w:tcBorders>
            <w:shd w:val="clear" w:color="auto" w:fill="FFFFFF"/>
            <w:noWrap w:val="0"/>
            <w:vAlign w:val="center"/>
          </w:tcPr>
          <w:p w14:paraId="2E8DB266">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毕业要求分解指标点</w:t>
            </w:r>
          </w:p>
        </w:tc>
        <w:tc>
          <w:tcPr>
            <w:tcW w:w="1467" w:type="dxa"/>
            <w:gridSpan w:val="3"/>
            <w:tcBorders>
              <w:bottom w:val="single" w:color="auto" w:sz="4" w:space="0"/>
            </w:tcBorders>
            <w:shd w:val="clear" w:color="auto" w:fill="FFFFFF"/>
            <w:noWrap w:val="0"/>
            <w:vAlign w:val="center"/>
          </w:tcPr>
          <w:p w14:paraId="0981678B">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毕业要求</w:t>
            </w:r>
          </w:p>
        </w:tc>
      </w:tr>
      <w:tr w14:paraId="700114CD">
        <w:trPr>
          <w:trHeight w:val="624" w:hRule="atLeast"/>
        </w:trPr>
        <w:tc>
          <w:tcPr>
            <w:tcW w:w="1377" w:type="dxa"/>
            <w:vMerge w:val="continue"/>
            <w:shd w:val="clear" w:color="auto" w:fill="FFFFFF"/>
            <w:noWrap w:val="0"/>
            <w:vAlign w:val="center"/>
          </w:tcPr>
          <w:p w14:paraId="0B754CA5">
            <w:pPr>
              <w:pageBreakBefore w:val="0"/>
              <w:kinsoku/>
              <w:overflowPunct/>
              <w:topLinePunct w:val="0"/>
              <w:bidi w:val="0"/>
              <w:spacing w:line="240" w:lineRule="auto"/>
            </w:pPr>
          </w:p>
        </w:tc>
        <w:tc>
          <w:tcPr>
            <w:tcW w:w="1228" w:type="dxa"/>
            <w:tcBorders>
              <w:bottom w:val="single" w:color="auto" w:sz="4" w:space="0"/>
            </w:tcBorders>
            <w:shd w:val="clear" w:color="auto" w:fill="FFFFFF"/>
            <w:noWrap w:val="0"/>
            <w:vAlign w:val="center"/>
          </w:tcPr>
          <w:p w14:paraId="2D835FBE">
            <w:pPr>
              <w:pageBreakBefore w:val="0"/>
              <w:kinsoku/>
              <w:overflowPunct/>
              <w:topLinePunct w:val="0"/>
              <w:bidi w:val="0"/>
              <w:adjustRightInd w:val="0"/>
              <w:snapToGrid w:val="0"/>
              <w:spacing w:line="240" w:lineRule="auto"/>
              <w:jc w:val="center"/>
              <w:rPr>
                <w:rFonts w:hint="eastAsia" w:ascii="仿宋" w:eastAsia="仿宋" w:cs="仿宋"/>
                <w:kern w:val="2"/>
                <w:sz w:val="24"/>
                <w:szCs w:val="24"/>
              </w:rPr>
            </w:pPr>
            <w:r>
              <w:rPr>
                <w:rFonts w:hint="eastAsia" w:ascii="仿宋" w:eastAsia="仿宋" w:cs="仿宋"/>
                <w:sz w:val="24"/>
                <w:szCs w:val="24"/>
              </w:rPr>
              <w:t>课程目标1</w:t>
            </w:r>
          </w:p>
        </w:tc>
        <w:tc>
          <w:tcPr>
            <w:tcW w:w="5072" w:type="dxa"/>
            <w:gridSpan w:val="10"/>
            <w:shd w:val="clear" w:color="auto" w:fill="FFFFFF"/>
            <w:noWrap w:val="0"/>
            <w:vAlign w:val="center"/>
          </w:tcPr>
          <w:p w14:paraId="761522F9">
            <w:pPr>
              <w:pageBreakBefore w:val="0"/>
              <w:kinsoku/>
              <w:overflowPunct/>
              <w:topLinePunct w:val="0"/>
              <w:bidi w:val="0"/>
              <w:adjustRightInd w:val="0"/>
              <w:snapToGrid w:val="0"/>
              <w:spacing w:line="240" w:lineRule="auto"/>
              <w:jc w:val="left"/>
              <w:rPr>
                <w:rFonts w:hint="eastAsia" w:ascii="仿宋" w:eastAsia="仿宋" w:cs="仿宋"/>
                <w:kern w:val="2"/>
                <w:sz w:val="24"/>
                <w:szCs w:val="24"/>
              </w:rPr>
            </w:pPr>
            <w:r>
              <w:rPr>
                <w:rFonts w:hint="eastAsia" w:ascii="仿宋" w:eastAsia="仿宋" w:cs="仿宋"/>
                <w:sz w:val="24"/>
                <w:szCs w:val="24"/>
                <w:lang w:eastAsia="zh-Hans"/>
              </w:rPr>
              <w:t>3.3【知识整合】具有跨学科意识，了解学习科学相关知识，了解音乐学科与其他学科的联系，了解融合教育的意义和作用，形成综合性的教育教学知识体系，能整合相关学科知识，运用跨学科知识分析和解决音乐教学中的问题。</w:t>
            </w:r>
          </w:p>
        </w:tc>
        <w:tc>
          <w:tcPr>
            <w:tcW w:w="1467" w:type="dxa"/>
            <w:gridSpan w:val="3"/>
            <w:shd w:val="clear" w:color="auto" w:fill="FFFFFF"/>
            <w:noWrap w:val="0"/>
            <w:vAlign w:val="center"/>
          </w:tcPr>
          <w:p w14:paraId="4D8CD77E">
            <w:pPr>
              <w:pageBreakBefore w:val="0"/>
              <w:kinsoku/>
              <w:overflowPunct/>
              <w:topLinePunct w:val="0"/>
              <w:bidi w:val="0"/>
              <w:adjustRightInd w:val="0"/>
              <w:snapToGrid w:val="0"/>
              <w:spacing w:line="240" w:lineRule="auto"/>
              <w:jc w:val="center"/>
              <w:rPr>
                <w:rFonts w:hint="eastAsia" w:ascii="仿宋" w:eastAsia="仿宋" w:cs="仿宋"/>
                <w:sz w:val="24"/>
                <w:szCs w:val="24"/>
                <w:lang w:eastAsia="zh-Hans"/>
              </w:rPr>
            </w:pPr>
            <w:r>
              <w:rPr>
                <w:rFonts w:hint="eastAsia" w:ascii="仿宋" w:eastAsia="仿宋" w:cs="仿宋"/>
                <w:sz w:val="24"/>
                <w:szCs w:val="24"/>
                <w:lang w:eastAsia="zh-Hans"/>
              </w:rPr>
              <w:t>学科素养</w:t>
            </w:r>
          </w:p>
          <w:p w14:paraId="5739033D">
            <w:pPr>
              <w:pageBreakBefore w:val="0"/>
              <w:kinsoku/>
              <w:overflowPunct/>
              <w:topLinePunct w:val="0"/>
              <w:bidi w:val="0"/>
              <w:adjustRightInd w:val="0"/>
              <w:snapToGrid w:val="0"/>
              <w:spacing w:line="240" w:lineRule="auto"/>
              <w:jc w:val="center"/>
              <w:rPr>
                <w:rFonts w:hint="eastAsia" w:ascii="仿宋" w:eastAsia="仿宋" w:cs="仿宋"/>
                <w:kern w:val="2"/>
                <w:sz w:val="24"/>
                <w:szCs w:val="24"/>
              </w:rPr>
            </w:pPr>
            <w:r>
              <w:rPr>
                <w:rFonts w:hint="eastAsia" w:ascii="仿宋" w:eastAsia="仿宋" w:cs="仿宋"/>
                <w:sz w:val="24"/>
                <w:szCs w:val="24"/>
              </w:rPr>
              <w:t>（H）</w:t>
            </w:r>
          </w:p>
        </w:tc>
      </w:tr>
      <w:tr w14:paraId="5C3165C3">
        <w:trPr>
          <w:trHeight w:val="624" w:hRule="atLeast"/>
        </w:trPr>
        <w:tc>
          <w:tcPr>
            <w:tcW w:w="1377" w:type="dxa"/>
            <w:vMerge w:val="continue"/>
            <w:shd w:val="clear" w:color="auto" w:fill="FFFFFF"/>
            <w:noWrap w:val="0"/>
            <w:vAlign w:val="center"/>
          </w:tcPr>
          <w:p w14:paraId="2F63C185">
            <w:pPr>
              <w:pageBreakBefore w:val="0"/>
              <w:kinsoku/>
              <w:overflowPunct/>
              <w:topLinePunct w:val="0"/>
              <w:bidi w:val="0"/>
              <w:spacing w:line="240" w:lineRule="auto"/>
            </w:pPr>
          </w:p>
        </w:tc>
        <w:tc>
          <w:tcPr>
            <w:tcW w:w="1228" w:type="dxa"/>
            <w:tcBorders>
              <w:bottom w:val="single" w:color="auto" w:sz="4" w:space="0"/>
            </w:tcBorders>
            <w:shd w:val="clear" w:color="auto" w:fill="FFFFFF"/>
            <w:noWrap w:val="0"/>
            <w:vAlign w:val="center"/>
          </w:tcPr>
          <w:p w14:paraId="7245F20C">
            <w:pPr>
              <w:pageBreakBefore w:val="0"/>
              <w:kinsoku/>
              <w:overflowPunct/>
              <w:topLinePunct w:val="0"/>
              <w:bidi w:val="0"/>
              <w:adjustRightInd w:val="0"/>
              <w:snapToGrid w:val="0"/>
              <w:spacing w:line="240" w:lineRule="auto"/>
              <w:jc w:val="center"/>
              <w:rPr>
                <w:rFonts w:hint="eastAsia" w:ascii="仿宋" w:eastAsia="仿宋" w:cs="仿宋"/>
                <w:kern w:val="2"/>
                <w:sz w:val="24"/>
                <w:szCs w:val="24"/>
              </w:rPr>
            </w:pPr>
            <w:r>
              <w:rPr>
                <w:rFonts w:hint="eastAsia" w:ascii="仿宋" w:eastAsia="仿宋" w:cs="仿宋"/>
                <w:sz w:val="24"/>
                <w:szCs w:val="24"/>
              </w:rPr>
              <w:t>课程目标2</w:t>
            </w:r>
          </w:p>
        </w:tc>
        <w:tc>
          <w:tcPr>
            <w:tcW w:w="5072" w:type="dxa"/>
            <w:gridSpan w:val="10"/>
            <w:tcBorders>
              <w:bottom w:val="single" w:color="auto" w:sz="4" w:space="0"/>
            </w:tcBorders>
            <w:shd w:val="clear" w:color="auto" w:fill="FFFFFF"/>
            <w:noWrap w:val="0"/>
            <w:vAlign w:val="center"/>
          </w:tcPr>
          <w:p w14:paraId="1D11FFAD">
            <w:pPr>
              <w:pageBreakBefore w:val="0"/>
              <w:kinsoku/>
              <w:overflowPunct/>
              <w:topLinePunct w:val="0"/>
              <w:bidi w:val="0"/>
              <w:adjustRightInd w:val="0"/>
              <w:snapToGrid w:val="0"/>
              <w:spacing w:line="240" w:lineRule="auto"/>
              <w:rPr>
                <w:rFonts w:hint="eastAsia" w:ascii="仿宋" w:eastAsia="仿宋" w:cs="仿宋"/>
                <w:kern w:val="2"/>
                <w:sz w:val="24"/>
                <w:szCs w:val="24"/>
              </w:rPr>
            </w:pPr>
            <w:r>
              <w:rPr>
                <w:rFonts w:hint="eastAsia" w:ascii="仿宋" w:eastAsia="仿宋" w:cs="仿宋"/>
                <w:sz w:val="24"/>
                <w:szCs w:val="24"/>
              </w:rPr>
              <w:t>4.1</w:t>
            </w:r>
            <w:r>
              <w:rPr>
                <w:rFonts w:hint="eastAsia" w:ascii="仿宋" w:eastAsia="仿宋" w:cs="仿宋"/>
                <w:sz w:val="24"/>
                <w:szCs w:val="24"/>
                <w:lang w:eastAsia="zh-Hans"/>
              </w:rPr>
              <w:t>【教学设计与实施】熟悉中学音乐课程标准和教材，能够正确处理课标和教材的关系，科学合理地进行教学设计并实施教学，准确把握教学内容，分析学情，合理安排教学过程和环节，科学设计评价内容和方式，根据中学生音乐认知的特征和个体差异，注重差异化教学。课后能够及时反思、总结形成初步的教研能力。</w:t>
            </w:r>
          </w:p>
        </w:tc>
        <w:tc>
          <w:tcPr>
            <w:tcW w:w="1467" w:type="dxa"/>
            <w:gridSpan w:val="3"/>
            <w:tcBorders>
              <w:bottom w:val="single" w:color="auto" w:sz="4" w:space="0"/>
            </w:tcBorders>
            <w:shd w:val="clear" w:color="auto" w:fill="FFFFFF"/>
            <w:noWrap w:val="0"/>
            <w:vAlign w:val="center"/>
          </w:tcPr>
          <w:p w14:paraId="681DF79D">
            <w:pPr>
              <w:pageBreakBefore w:val="0"/>
              <w:kinsoku/>
              <w:overflowPunct/>
              <w:topLinePunct w:val="0"/>
              <w:bidi w:val="0"/>
              <w:adjustRightInd w:val="0"/>
              <w:snapToGrid w:val="0"/>
              <w:spacing w:line="240" w:lineRule="auto"/>
              <w:jc w:val="center"/>
              <w:rPr>
                <w:rFonts w:hint="eastAsia" w:ascii="仿宋" w:eastAsia="仿宋" w:cs="仿宋"/>
                <w:sz w:val="24"/>
                <w:szCs w:val="24"/>
                <w:lang w:eastAsia="zh-Hans"/>
              </w:rPr>
            </w:pPr>
            <w:r>
              <w:rPr>
                <w:rFonts w:hint="eastAsia" w:ascii="仿宋" w:eastAsia="仿宋" w:cs="仿宋"/>
                <w:sz w:val="24"/>
                <w:szCs w:val="24"/>
                <w:lang w:eastAsia="zh-Hans"/>
              </w:rPr>
              <w:t>教学能力</w:t>
            </w:r>
          </w:p>
          <w:p w14:paraId="0C79E531">
            <w:pPr>
              <w:pageBreakBefore w:val="0"/>
              <w:kinsoku/>
              <w:overflowPunct/>
              <w:topLinePunct w:val="0"/>
              <w:bidi w:val="0"/>
              <w:adjustRightInd w:val="0"/>
              <w:snapToGrid w:val="0"/>
              <w:spacing w:line="240" w:lineRule="auto"/>
              <w:jc w:val="center"/>
              <w:rPr>
                <w:rFonts w:hint="eastAsia" w:ascii="仿宋" w:eastAsia="仿宋" w:cs="仿宋"/>
                <w:kern w:val="2"/>
                <w:sz w:val="24"/>
                <w:szCs w:val="24"/>
              </w:rPr>
            </w:pPr>
            <w:r>
              <w:rPr>
                <w:rFonts w:hint="eastAsia" w:ascii="仿宋" w:eastAsia="仿宋" w:cs="仿宋"/>
                <w:sz w:val="24"/>
                <w:szCs w:val="24"/>
              </w:rPr>
              <w:t>（H）</w:t>
            </w:r>
          </w:p>
        </w:tc>
      </w:tr>
      <w:tr w14:paraId="39DF14DC">
        <w:trPr>
          <w:trHeight w:val="624" w:hRule="atLeast"/>
        </w:trPr>
        <w:tc>
          <w:tcPr>
            <w:tcW w:w="1377" w:type="dxa"/>
            <w:vMerge w:val="continue"/>
            <w:shd w:val="clear" w:color="auto" w:fill="FFFFFF"/>
            <w:noWrap w:val="0"/>
            <w:vAlign w:val="center"/>
          </w:tcPr>
          <w:p w14:paraId="65DD91B4">
            <w:pPr>
              <w:pageBreakBefore w:val="0"/>
              <w:kinsoku/>
              <w:overflowPunct/>
              <w:topLinePunct w:val="0"/>
              <w:bidi w:val="0"/>
              <w:spacing w:line="240" w:lineRule="auto"/>
            </w:pPr>
          </w:p>
        </w:tc>
        <w:tc>
          <w:tcPr>
            <w:tcW w:w="1228" w:type="dxa"/>
            <w:shd w:val="clear" w:color="auto" w:fill="FFFFFF"/>
            <w:noWrap w:val="0"/>
            <w:vAlign w:val="center"/>
          </w:tcPr>
          <w:p w14:paraId="4E97228E">
            <w:pPr>
              <w:pageBreakBefore w:val="0"/>
              <w:kinsoku/>
              <w:overflowPunct/>
              <w:topLinePunct w:val="0"/>
              <w:bidi w:val="0"/>
              <w:adjustRightInd w:val="0"/>
              <w:snapToGrid w:val="0"/>
              <w:spacing w:line="240" w:lineRule="auto"/>
              <w:rPr>
                <w:rFonts w:hint="eastAsia" w:ascii="仿宋" w:eastAsia="仿宋" w:cs="仿宋"/>
                <w:kern w:val="2"/>
                <w:sz w:val="24"/>
                <w:szCs w:val="24"/>
              </w:rPr>
            </w:pPr>
            <w:r>
              <w:rPr>
                <w:rFonts w:hint="eastAsia" w:ascii="仿宋" w:eastAsia="仿宋" w:cs="仿宋"/>
                <w:sz w:val="24"/>
                <w:szCs w:val="24"/>
              </w:rPr>
              <w:t>课程目标3</w:t>
            </w:r>
          </w:p>
        </w:tc>
        <w:tc>
          <w:tcPr>
            <w:tcW w:w="5072" w:type="dxa"/>
            <w:gridSpan w:val="10"/>
            <w:shd w:val="clear" w:color="auto" w:fill="FFFFFF"/>
            <w:noWrap w:val="0"/>
            <w:vAlign w:val="center"/>
          </w:tcPr>
          <w:p w14:paraId="7D5D9438">
            <w:pPr>
              <w:pageBreakBefore w:val="0"/>
              <w:kinsoku/>
              <w:overflowPunct/>
              <w:topLinePunct w:val="0"/>
              <w:bidi w:val="0"/>
              <w:adjustRightInd w:val="0"/>
              <w:snapToGrid w:val="0"/>
              <w:spacing w:line="240" w:lineRule="auto"/>
              <w:rPr>
                <w:rFonts w:hint="eastAsia" w:ascii="仿宋" w:eastAsia="仿宋" w:cs="仿宋"/>
                <w:kern w:val="2"/>
                <w:sz w:val="24"/>
                <w:szCs w:val="24"/>
              </w:rPr>
            </w:pPr>
            <w:r>
              <w:rPr>
                <w:rFonts w:hint="eastAsia" w:ascii="仿宋" w:eastAsia="仿宋" w:cs="仿宋"/>
                <w:sz w:val="24"/>
                <w:szCs w:val="24"/>
                <w:lang w:eastAsia="zh-Hans"/>
              </w:rPr>
              <w:t>2.1【职业认同】热爱教育事业，具有从教意愿，认同教师工作的价值和意义，理解教师是学生学习的促进者与学生成长的引路人。了解中学教师的职业特征，领会中学教育对学生发展的价值和意义。</w:t>
            </w:r>
          </w:p>
        </w:tc>
        <w:tc>
          <w:tcPr>
            <w:tcW w:w="1467" w:type="dxa"/>
            <w:gridSpan w:val="3"/>
            <w:shd w:val="clear" w:color="auto" w:fill="FFFFFF"/>
            <w:noWrap w:val="0"/>
            <w:vAlign w:val="center"/>
          </w:tcPr>
          <w:p w14:paraId="2D555468">
            <w:pPr>
              <w:pageBreakBefore w:val="0"/>
              <w:kinsoku/>
              <w:overflowPunct/>
              <w:topLinePunct w:val="0"/>
              <w:bidi w:val="0"/>
              <w:adjustRightInd w:val="0"/>
              <w:snapToGrid w:val="0"/>
              <w:spacing w:line="240" w:lineRule="auto"/>
              <w:jc w:val="center"/>
              <w:rPr>
                <w:rFonts w:hint="eastAsia" w:ascii="仿宋" w:eastAsia="仿宋" w:cs="仿宋"/>
                <w:sz w:val="24"/>
                <w:szCs w:val="24"/>
                <w:lang w:eastAsia="zh-Hans"/>
              </w:rPr>
            </w:pPr>
            <w:r>
              <w:rPr>
                <w:rFonts w:hint="eastAsia" w:ascii="仿宋" w:eastAsia="仿宋" w:cs="仿宋"/>
                <w:sz w:val="24"/>
                <w:szCs w:val="24"/>
                <w:lang w:eastAsia="zh-Hans"/>
              </w:rPr>
              <w:t>教育情怀</w:t>
            </w:r>
          </w:p>
          <w:p w14:paraId="2CA87FDE">
            <w:pPr>
              <w:pageBreakBefore w:val="0"/>
              <w:kinsoku/>
              <w:overflowPunct/>
              <w:topLinePunct w:val="0"/>
              <w:bidi w:val="0"/>
              <w:adjustRightInd w:val="0"/>
              <w:snapToGrid w:val="0"/>
              <w:spacing w:line="240" w:lineRule="auto"/>
              <w:jc w:val="center"/>
              <w:rPr>
                <w:rFonts w:hint="eastAsia" w:ascii="仿宋" w:eastAsia="仿宋" w:cs="仿宋"/>
                <w:kern w:val="2"/>
                <w:sz w:val="24"/>
                <w:szCs w:val="24"/>
              </w:rPr>
            </w:pPr>
            <w:r>
              <w:rPr>
                <w:rFonts w:hint="eastAsia" w:ascii="仿宋" w:eastAsia="仿宋" w:cs="仿宋"/>
                <w:sz w:val="24"/>
                <w:szCs w:val="24"/>
              </w:rPr>
              <w:t>（M）</w:t>
            </w:r>
          </w:p>
        </w:tc>
      </w:tr>
      <w:tr w14:paraId="4D3F29CB">
        <w:trPr>
          <w:trHeight w:val="624" w:hRule="atLeast"/>
        </w:trPr>
        <w:tc>
          <w:tcPr>
            <w:tcW w:w="1377" w:type="dxa"/>
            <w:vMerge w:val="continue"/>
            <w:shd w:val="clear" w:color="auto" w:fill="FFFFFF"/>
            <w:noWrap w:val="0"/>
            <w:vAlign w:val="center"/>
          </w:tcPr>
          <w:p w14:paraId="76733451">
            <w:pPr>
              <w:pageBreakBefore w:val="0"/>
              <w:kinsoku/>
              <w:overflowPunct/>
              <w:topLinePunct w:val="0"/>
              <w:bidi w:val="0"/>
              <w:spacing w:line="240" w:lineRule="auto"/>
            </w:pPr>
          </w:p>
        </w:tc>
        <w:tc>
          <w:tcPr>
            <w:tcW w:w="1228" w:type="dxa"/>
            <w:shd w:val="clear" w:color="auto" w:fill="FFFFFF"/>
            <w:noWrap w:val="0"/>
            <w:vAlign w:val="center"/>
          </w:tcPr>
          <w:p w14:paraId="4E10D698">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lang w:eastAsia="zh-Hans"/>
              </w:rPr>
              <w:t>课程目标4</w:t>
            </w:r>
          </w:p>
        </w:tc>
        <w:tc>
          <w:tcPr>
            <w:tcW w:w="5072" w:type="dxa"/>
            <w:gridSpan w:val="10"/>
            <w:shd w:val="clear" w:color="auto" w:fill="FFFFFF"/>
            <w:noWrap w:val="0"/>
            <w:vAlign w:val="center"/>
          </w:tcPr>
          <w:p w14:paraId="3B8CDFD7">
            <w:pPr>
              <w:pageBreakBefore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lang w:eastAsia="zh-Hans"/>
              </w:rPr>
              <w:t>6.1【育人理念】理解音乐教学与人的全面发展的关系，理解音乐学科的育人价值，具备在音乐教学、课外辅导、学生交往中渗透“以美育人”的理念。</w:t>
            </w:r>
          </w:p>
        </w:tc>
        <w:tc>
          <w:tcPr>
            <w:tcW w:w="1467" w:type="dxa"/>
            <w:gridSpan w:val="3"/>
            <w:shd w:val="clear" w:color="auto" w:fill="FFFFFF"/>
            <w:noWrap w:val="0"/>
            <w:vAlign w:val="center"/>
          </w:tcPr>
          <w:p w14:paraId="0F63593F">
            <w:pPr>
              <w:pageBreakBefore w:val="0"/>
              <w:kinsoku/>
              <w:overflowPunct/>
              <w:topLinePunct w:val="0"/>
              <w:bidi w:val="0"/>
              <w:adjustRightInd w:val="0"/>
              <w:snapToGrid w:val="0"/>
              <w:spacing w:line="240" w:lineRule="auto"/>
              <w:jc w:val="center"/>
              <w:rPr>
                <w:rFonts w:hint="eastAsia" w:ascii="仿宋" w:eastAsia="仿宋" w:cs="仿宋"/>
                <w:sz w:val="24"/>
                <w:szCs w:val="24"/>
                <w:lang w:eastAsia="zh-Hans"/>
              </w:rPr>
            </w:pPr>
            <w:r>
              <w:rPr>
                <w:rFonts w:hint="eastAsia" w:ascii="仿宋" w:eastAsia="仿宋" w:cs="仿宋"/>
                <w:sz w:val="24"/>
                <w:szCs w:val="24"/>
                <w:lang w:eastAsia="zh-Hans"/>
              </w:rPr>
              <w:t>综合育人</w:t>
            </w:r>
          </w:p>
          <w:p w14:paraId="04CAC35F">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lang w:eastAsia="zh-Hans"/>
              </w:rPr>
              <w:t>（L）</w:t>
            </w:r>
          </w:p>
        </w:tc>
      </w:tr>
      <w:tr w14:paraId="635A1A52">
        <w:trPr>
          <w:trHeight w:val="624" w:hRule="atLeast"/>
        </w:trPr>
        <w:tc>
          <w:tcPr>
            <w:tcW w:w="1377" w:type="dxa"/>
            <w:vMerge w:val="restart"/>
            <w:shd w:val="clear" w:color="auto" w:fill="FFFFFF"/>
            <w:noWrap w:val="0"/>
            <w:vAlign w:val="center"/>
          </w:tcPr>
          <w:p w14:paraId="66B01075">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F</w:t>
            </w:r>
          </w:p>
          <w:p w14:paraId="05E1FFDD">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理论学习内容</w:t>
            </w:r>
          </w:p>
        </w:tc>
        <w:tc>
          <w:tcPr>
            <w:tcW w:w="6300" w:type="dxa"/>
            <w:gridSpan w:val="11"/>
            <w:shd w:val="clear" w:color="auto" w:fill="FFFFFF"/>
            <w:noWrap w:val="0"/>
            <w:vAlign w:val="center"/>
          </w:tcPr>
          <w:p w14:paraId="5C48C699">
            <w:pPr>
              <w:pageBreakBefore w:val="0"/>
              <w:kinsoku/>
              <w:overflowPunct/>
              <w:topLinePunct w:val="0"/>
              <w:bidi w:val="0"/>
              <w:adjustRightInd w:val="0"/>
              <w:snapToGrid w:val="0"/>
              <w:spacing w:line="240" w:lineRule="auto"/>
              <w:jc w:val="center"/>
              <w:textAlignment w:val="baseline"/>
              <w:rPr>
                <w:rFonts w:hint="eastAsia" w:ascii="仿宋" w:eastAsia="仿宋" w:cs="仿宋"/>
                <w:sz w:val="24"/>
                <w:szCs w:val="24"/>
              </w:rPr>
            </w:pPr>
            <w:r>
              <w:rPr>
                <w:rFonts w:hint="eastAsia" w:ascii="仿宋" w:eastAsia="仿宋" w:cs="仿宋"/>
                <w:sz w:val="24"/>
                <w:szCs w:val="24"/>
              </w:rPr>
              <w:t>章节学习内容与学习要求</w:t>
            </w:r>
          </w:p>
        </w:tc>
        <w:tc>
          <w:tcPr>
            <w:tcW w:w="878" w:type="dxa"/>
            <w:gridSpan w:val="2"/>
            <w:shd w:val="clear" w:color="auto" w:fill="FFFFFF"/>
            <w:noWrap w:val="0"/>
            <w:vAlign w:val="center"/>
          </w:tcPr>
          <w:p w14:paraId="416FE03D">
            <w:pPr>
              <w:pageBreakBefore w:val="0"/>
              <w:kinsoku/>
              <w:overflowPunct/>
              <w:topLinePunct w:val="0"/>
              <w:bidi w:val="0"/>
              <w:adjustRightInd w:val="0"/>
              <w:snapToGrid w:val="0"/>
              <w:spacing w:line="240" w:lineRule="auto"/>
              <w:jc w:val="center"/>
              <w:textAlignment w:val="baseline"/>
              <w:rPr>
                <w:rFonts w:hint="eastAsia" w:ascii="仿宋" w:eastAsia="仿宋" w:cs="仿宋"/>
                <w:sz w:val="24"/>
                <w:szCs w:val="24"/>
              </w:rPr>
            </w:pPr>
            <w:r>
              <w:rPr>
                <w:rFonts w:hint="eastAsia" w:ascii="仿宋" w:eastAsia="仿宋" w:cs="仿宋"/>
                <w:sz w:val="24"/>
                <w:szCs w:val="24"/>
              </w:rPr>
              <w:t>支撑课程目标</w:t>
            </w:r>
          </w:p>
        </w:tc>
        <w:tc>
          <w:tcPr>
            <w:tcW w:w="589" w:type="dxa"/>
            <w:shd w:val="clear" w:color="auto" w:fill="FFFFFF"/>
            <w:noWrap w:val="0"/>
            <w:vAlign w:val="center"/>
          </w:tcPr>
          <w:p w14:paraId="57CB8EBC">
            <w:pPr>
              <w:pageBreakBefore w:val="0"/>
              <w:kinsoku/>
              <w:overflowPunct/>
              <w:topLinePunct w:val="0"/>
              <w:bidi w:val="0"/>
              <w:adjustRightInd w:val="0"/>
              <w:snapToGrid w:val="0"/>
              <w:spacing w:line="240" w:lineRule="auto"/>
              <w:jc w:val="center"/>
              <w:textAlignment w:val="baseline"/>
              <w:rPr>
                <w:rFonts w:hint="eastAsia" w:ascii="仿宋" w:eastAsia="仿宋" w:cs="仿宋"/>
                <w:sz w:val="24"/>
                <w:szCs w:val="24"/>
              </w:rPr>
            </w:pPr>
            <w:r>
              <w:rPr>
                <w:rFonts w:hint="eastAsia" w:ascii="仿宋" w:eastAsia="仿宋" w:cs="仿宋"/>
                <w:sz w:val="24"/>
                <w:szCs w:val="24"/>
              </w:rPr>
              <w:t>学时</w:t>
            </w:r>
          </w:p>
          <w:p w14:paraId="62E34245">
            <w:pPr>
              <w:pageBreakBefore w:val="0"/>
              <w:kinsoku/>
              <w:overflowPunct/>
              <w:topLinePunct w:val="0"/>
              <w:bidi w:val="0"/>
              <w:adjustRightInd w:val="0"/>
              <w:snapToGrid w:val="0"/>
              <w:spacing w:line="240" w:lineRule="auto"/>
              <w:jc w:val="center"/>
              <w:textAlignment w:val="baseline"/>
              <w:rPr>
                <w:rFonts w:hint="eastAsia" w:ascii="仿宋" w:eastAsia="仿宋" w:cs="仿宋"/>
                <w:sz w:val="24"/>
                <w:szCs w:val="24"/>
              </w:rPr>
            </w:pPr>
            <w:r>
              <w:rPr>
                <w:rFonts w:hint="eastAsia" w:ascii="仿宋" w:eastAsia="仿宋" w:cs="仿宋"/>
                <w:sz w:val="24"/>
                <w:szCs w:val="24"/>
              </w:rPr>
              <w:t>分配</w:t>
            </w:r>
          </w:p>
        </w:tc>
      </w:tr>
      <w:tr w14:paraId="20F202A4">
        <w:trPr>
          <w:trHeight w:val="624" w:hRule="atLeast"/>
        </w:trPr>
        <w:tc>
          <w:tcPr>
            <w:tcW w:w="1377" w:type="dxa"/>
            <w:vMerge w:val="continue"/>
            <w:shd w:val="clear" w:color="auto" w:fill="FFFFFF"/>
            <w:noWrap w:val="0"/>
            <w:vAlign w:val="center"/>
          </w:tcPr>
          <w:p w14:paraId="71DA8A05">
            <w:pPr>
              <w:pageBreakBefore w:val="0"/>
              <w:kinsoku/>
              <w:overflowPunct/>
              <w:topLinePunct w:val="0"/>
              <w:bidi w:val="0"/>
              <w:spacing w:line="240" w:lineRule="auto"/>
            </w:pPr>
          </w:p>
        </w:tc>
        <w:tc>
          <w:tcPr>
            <w:tcW w:w="6300" w:type="dxa"/>
            <w:gridSpan w:val="11"/>
            <w:shd w:val="clear" w:color="auto" w:fill="auto"/>
            <w:noWrap w:val="0"/>
            <w:vAlign w:val="center"/>
          </w:tcPr>
          <w:p w14:paraId="69893885">
            <w:pPr>
              <w:pageBreakBefore w:val="0"/>
              <w:kinsoku/>
              <w:overflowPunct/>
              <w:topLinePunct w:val="0"/>
              <w:bidi w:val="0"/>
              <w:adjustRightInd w:val="0"/>
              <w:snapToGrid w:val="0"/>
              <w:spacing w:line="240" w:lineRule="auto"/>
              <w:rPr>
                <w:rFonts w:hint="eastAsia" w:ascii="仿宋" w:eastAsia="仿宋" w:cs="仿宋"/>
                <w:bCs/>
                <w:sz w:val="24"/>
                <w:szCs w:val="24"/>
              </w:rPr>
            </w:pPr>
            <w:r>
              <w:rPr>
                <w:rFonts w:hint="eastAsia" w:ascii="仿宋" w:eastAsia="仿宋"/>
                <w:sz w:val="24"/>
                <w:szCs w:val="24"/>
              </w:rPr>
              <w:t>第一章  学校音乐教育的基本原理</w:t>
            </w:r>
          </w:p>
          <w:p w14:paraId="24379D6D">
            <w:pPr>
              <w:pageBreakBefore w:val="0"/>
              <w:widowControl/>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知道层次：</w:t>
            </w:r>
            <w:r>
              <w:rPr>
                <w:rFonts w:hint="eastAsia" w:ascii="仿宋" w:eastAsia="仿宋" w:cs="仿宋"/>
                <w:bCs/>
                <w:sz w:val="24"/>
                <w:szCs w:val="24"/>
              </w:rPr>
              <w:t>学校音乐教学的研究内容</w:t>
            </w:r>
          </w:p>
          <w:p w14:paraId="19F82261">
            <w:pPr>
              <w:pageBreakBefore w:val="0"/>
              <w:widowControl/>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领会层次：</w:t>
            </w:r>
            <w:r>
              <w:rPr>
                <w:rFonts w:hint="eastAsia" w:ascii="仿宋" w:eastAsia="仿宋"/>
                <w:sz w:val="24"/>
                <w:szCs w:val="24"/>
              </w:rPr>
              <w:t>学校音乐教育的目标、理念及性质</w:t>
            </w:r>
          </w:p>
          <w:p w14:paraId="411F7B68">
            <w:pPr>
              <w:pageBreakBefore w:val="0"/>
              <w:widowControl/>
              <w:kinsoku/>
              <w:overflowPunct/>
              <w:topLinePunct w:val="0"/>
              <w:bidi w:val="0"/>
              <w:adjustRightInd w:val="0"/>
              <w:snapToGrid w:val="0"/>
              <w:spacing w:line="240" w:lineRule="auto"/>
              <w:rPr>
                <w:rFonts w:hint="eastAsia" w:ascii="仿宋" w:eastAsia="仿宋"/>
                <w:sz w:val="24"/>
                <w:szCs w:val="24"/>
              </w:rPr>
            </w:pPr>
            <w:r>
              <w:rPr>
                <w:rFonts w:hint="eastAsia" w:ascii="仿宋" w:eastAsia="仿宋" w:cs="仿宋"/>
                <w:sz w:val="24"/>
                <w:szCs w:val="24"/>
              </w:rPr>
              <w:t>应用层次：运用</w:t>
            </w:r>
            <w:r>
              <w:rPr>
                <w:rFonts w:hint="eastAsia" w:ascii="仿宋" w:eastAsia="仿宋"/>
                <w:sz w:val="24"/>
                <w:szCs w:val="24"/>
              </w:rPr>
              <w:t>学校音乐教育的理论内涵，解读中国学校音乐教育改革</w:t>
            </w:r>
          </w:p>
          <w:p w14:paraId="5F390175">
            <w:pPr>
              <w:pageBreakBefore w:val="0"/>
              <w:widowControl/>
              <w:kinsoku/>
              <w:overflowPunct/>
              <w:topLinePunct w:val="0"/>
              <w:bidi w:val="0"/>
              <w:adjustRightInd w:val="0"/>
              <w:snapToGrid w:val="0"/>
              <w:spacing w:line="240" w:lineRule="auto"/>
              <w:rPr>
                <w:rFonts w:hint="eastAsia" w:ascii="仿宋" w:eastAsia="仿宋" w:cs="仿宋"/>
                <w:bCs/>
                <w:sz w:val="24"/>
                <w:szCs w:val="24"/>
              </w:rPr>
            </w:pPr>
            <w:r>
              <w:rPr>
                <w:rFonts w:hint="eastAsia" w:ascii="仿宋" w:eastAsia="仿宋" w:cs="仿宋"/>
                <w:sz w:val="24"/>
                <w:szCs w:val="24"/>
              </w:rPr>
              <w:t>分析：</w:t>
            </w:r>
            <w:r>
              <w:rPr>
                <w:rFonts w:hint="eastAsia" w:ascii="仿宋" w:eastAsia="仿宋" w:cs="宋体"/>
                <w:sz w:val="24"/>
                <w:szCs w:val="24"/>
              </w:rPr>
              <w:t>中学优质课视频，反思不足，激发兴趣</w:t>
            </w:r>
          </w:p>
        </w:tc>
        <w:tc>
          <w:tcPr>
            <w:tcW w:w="878" w:type="dxa"/>
            <w:gridSpan w:val="2"/>
            <w:shd w:val="clear" w:color="auto" w:fill="auto"/>
            <w:noWrap w:val="0"/>
            <w:vAlign w:val="center"/>
          </w:tcPr>
          <w:p w14:paraId="41F204D5">
            <w:pPr>
              <w:pageBreakBefore w:val="0"/>
              <w:widowControl/>
              <w:kinsoku/>
              <w:overflowPunct/>
              <w:topLinePunct w:val="0"/>
              <w:bidi w:val="0"/>
              <w:adjustRightInd w:val="0"/>
              <w:snapToGrid w:val="0"/>
              <w:spacing w:line="240" w:lineRule="auto"/>
              <w:jc w:val="center"/>
              <w:rPr>
                <w:rFonts w:hint="eastAsia" w:ascii="仿宋" w:eastAsia="仿宋" w:cs="仿宋"/>
                <w:bCs/>
                <w:color w:val="auto"/>
                <w:sz w:val="24"/>
                <w:szCs w:val="24"/>
              </w:rPr>
            </w:pPr>
            <w:r>
              <w:rPr>
                <w:rFonts w:hint="eastAsia" w:ascii="仿宋" w:eastAsia="仿宋" w:cs="仿宋"/>
                <w:bCs/>
                <w:color w:val="auto"/>
                <w:sz w:val="24"/>
                <w:szCs w:val="24"/>
              </w:rPr>
              <w:t>支撑课程目标</w:t>
            </w:r>
          </w:p>
          <w:p w14:paraId="06E06D92">
            <w:pPr>
              <w:pageBreakBefore w:val="0"/>
              <w:widowControl/>
              <w:kinsoku/>
              <w:overflowPunct/>
              <w:topLinePunct w:val="0"/>
              <w:bidi w:val="0"/>
              <w:adjustRightInd w:val="0"/>
              <w:snapToGrid w:val="0"/>
              <w:spacing w:line="240" w:lineRule="auto"/>
              <w:jc w:val="center"/>
              <w:rPr>
                <w:rFonts w:hint="eastAsia" w:ascii="仿宋" w:eastAsia="仿宋" w:cs="仿宋"/>
                <w:bCs/>
                <w:color w:val="auto"/>
                <w:sz w:val="24"/>
                <w:szCs w:val="24"/>
              </w:rPr>
            </w:pPr>
            <w:r>
              <w:rPr>
                <w:rFonts w:hint="eastAsia" w:ascii="仿宋" w:eastAsia="仿宋" w:cs="仿宋"/>
                <w:bCs/>
                <w:color w:val="auto"/>
                <w:sz w:val="24"/>
                <w:szCs w:val="24"/>
              </w:rPr>
              <w:t>1</w:t>
            </w:r>
            <w:r>
              <w:rPr>
                <w:rFonts w:hint="eastAsia" w:ascii="仿宋" w:eastAsia="仿宋" w:cs="仿宋"/>
                <w:bCs/>
                <w:color w:val="auto"/>
                <w:sz w:val="24"/>
                <w:szCs w:val="24"/>
                <w:lang w:val="en-US" w:eastAsia="zh-CN"/>
              </w:rPr>
              <w:t>、</w:t>
            </w:r>
            <w:r>
              <w:rPr>
                <w:rFonts w:hint="eastAsia" w:ascii="仿宋" w:eastAsia="仿宋" w:cs="仿宋"/>
                <w:bCs/>
                <w:color w:val="auto"/>
                <w:sz w:val="24"/>
                <w:szCs w:val="24"/>
              </w:rPr>
              <w:t>3</w:t>
            </w:r>
            <w:r>
              <w:rPr>
                <w:rFonts w:hint="eastAsia" w:ascii="仿宋" w:eastAsia="仿宋" w:cs="仿宋"/>
                <w:bCs/>
                <w:color w:val="auto"/>
                <w:sz w:val="24"/>
                <w:szCs w:val="24"/>
                <w:lang w:eastAsia="zh-CN"/>
              </w:rPr>
              <w:t>、</w:t>
            </w:r>
            <w:r>
              <w:rPr>
                <w:rFonts w:hint="eastAsia" w:ascii="仿宋" w:eastAsia="仿宋" w:cs="仿宋"/>
                <w:bCs/>
                <w:color w:val="auto"/>
                <w:sz w:val="24"/>
                <w:szCs w:val="24"/>
                <w:lang w:eastAsia="zh-Hans"/>
              </w:rPr>
              <w:t>4</w:t>
            </w:r>
          </w:p>
        </w:tc>
        <w:tc>
          <w:tcPr>
            <w:tcW w:w="589" w:type="dxa"/>
            <w:shd w:val="clear" w:color="auto" w:fill="FFFFFF"/>
            <w:noWrap w:val="0"/>
            <w:vAlign w:val="center"/>
          </w:tcPr>
          <w:p w14:paraId="6F17E818">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2</w:t>
            </w:r>
          </w:p>
        </w:tc>
      </w:tr>
      <w:tr w14:paraId="6DA14E0E">
        <w:trPr>
          <w:trHeight w:val="624" w:hRule="atLeast"/>
        </w:trPr>
        <w:tc>
          <w:tcPr>
            <w:tcW w:w="1377" w:type="dxa"/>
            <w:vMerge w:val="continue"/>
            <w:shd w:val="clear" w:color="auto" w:fill="FFFFFF"/>
            <w:noWrap w:val="0"/>
            <w:vAlign w:val="center"/>
          </w:tcPr>
          <w:p w14:paraId="54481EDF">
            <w:pPr>
              <w:pageBreakBefore w:val="0"/>
              <w:kinsoku/>
              <w:overflowPunct/>
              <w:topLinePunct w:val="0"/>
              <w:bidi w:val="0"/>
              <w:spacing w:line="240" w:lineRule="auto"/>
            </w:pPr>
          </w:p>
        </w:tc>
        <w:tc>
          <w:tcPr>
            <w:tcW w:w="6300" w:type="dxa"/>
            <w:gridSpan w:val="11"/>
            <w:shd w:val="clear" w:color="auto" w:fill="auto"/>
            <w:noWrap w:val="0"/>
            <w:vAlign w:val="center"/>
          </w:tcPr>
          <w:p w14:paraId="5A5E5000">
            <w:pPr>
              <w:pageBreakBefore w:val="0"/>
              <w:numPr>
                <w:ilvl w:val="0"/>
                <w:numId w:val="27"/>
              </w:numPr>
              <w:kinsoku/>
              <w:overflowPunct/>
              <w:topLinePunct w:val="0"/>
              <w:bidi w:val="0"/>
              <w:spacing w:line="240" w:lineRule="auto"/>
              <w:jc w:val="left"/>
              <w:rPr>
                <w:rFonts w:hint="eastAsia" w:ascii="仿宋" w:eastAsia="仿宋"/>
                <w:sz w:val="24"/>
                <w:szCs w:val="24"/>
              </w:rPr>
            </w:pPr>
            <w:r>
              <w:rPr>
                <w:rFonts w:hint="eastAsia" w:ascii="仿宋" w:eastAsia="仿宋"/>
                <w:sz w:val="24"/>
                <w:szCs w:val="24"/>
              </w:rPr>
              <w:t>学校音乐教育的发展历史及改革</w:t>
            </w:r>
          </w:p>
          <w:p w14:paraId="11385D7A">
            <w:pPr>
              <w:pageBreakBefore w:val="0"/>
              <w:widowControl/>
              <w:kinsoku/>
              <w:overflowPunct/>
              <w:topLinePunct w:val="0"/>
              <w:bidi w:val="0"/>
              <w:adjustRightInd w:val="0"/>
              <w:snapToGrid w:val="0"/>
              <w:spacing w:line="240" w:lineRule="auto"/>
              <w:rPr>
                <w:rFonts w:hint="eastAsia" w:ascii="仿宋" w:eastAsia="仿宋" w:cs="仿宋"/>
                <w:bCs/>
                <w:sz w:val="24"/>
                <w:szCs w:val="24"/>
              </w:rPr>
            </w:pPr>
            <w:r>
              <w:rPr>
                <w:rFonts w:hint="eastAsia" w:ascii="仿宋" w:eastAsia="仿宋" w:cs="仿宋"/>
                <w:sz w:val="24"/>
                <w:szCs w:val="24"/>
              </w:rPr>
              <w:t>知道：</w:t>
            </w:r>
            <w:r>
              <w:rPr>
                <w:rFonts w:hint="eastAsia" w:ascii="仿宋" w:eastAsia="仿宋"/>
                <w:sz w:val="24"/>
                <w:szCs w:val="24"/>
              </w:rPr>
              <w:t>国内外音乐课程教学的历史、改革与发展</w:t>
            </w:r>
          </w:p>
          <w:p w14:paraId="0F3035C5">
            <w:pPr>
              <w:pageBreakBefore w:val="0"/>
              <w:widowControl/>
              <w:kinsoku/>
              <w:overflowPunct/>
              <w:topLinePunct w:val="0"/>
              <w:bidi w:val="0"/>
              <w:adjustRightInd w:val="0"/>
              <w:snapToGrid w:val="0"/>
              <w:spacing w:line="240" w:lineRule="auto"/>
              <w:rPr>
                <w:rFonts w:hint="eastAsia" w:ascii="仿宋" w:eastAsia="仿宋"/>
                <w:sz w:val="24"/>
                <w:szCs w:val="24"/>
              </w:rPr>
            </w:pPr>
            <w:r>
              <w:rPr>
                <w:rFonts w:hint="eastAsia" w:ascii="仿宋" w:eastAsia="仿宋" w:cs="仿宋"/>
                <w:sz w:val="24"/>
                <w:szCs w:val="24"/>
              </w:rPr>
              <w:t>领会：</w:t>
            </w:r>
            <w:r>
              <w:rPr>
                <w:rFonts w:hint="eastAsia" w:ascii="仿宋" w:eastAsia="仿宋"/>
                <w:sz w:val="24"/>
                <w:szCs w:val="24"/>
              </w:rPr>
              <w:t>在历史上对音乐教学理论研究作出贡献的主要代表人物和他们的主要代表思想</w:t>
            </w:r>
          </w:p>
          <w:p w14:paraId="69A0E617">
            <w:pPr>
              <w:pageBreakBefore w:val="0"/>
              <w:kinsoku/>
              <w:overflowPunct/>
              <w:topLinePunct w:val="0"/>
              <w:bidi w:val="0"/>
              <w:adjustRightInd w:val="0"/>
              <w:snapToGrid w:val="0"/>
              <w:spacing w:line="240" w:lineRule="auto"/>
              <w:rPr>
                <w:rFonts w:hint="eastAsia" w:ascii="仿宋" w:eastAsia="仿宋" w:cs="仿宋"/>
                <w:bCs/>
                <w:sz w:val="24"/>
                <w:szCs w:val="24"/>
              </w:rPr>
            </w:pPr>
            <w:r>
              <w:rPr>
                <w:rFonts w:hint="eastAsia" w:ascii="仿宋" w:eastAsia="仿宋" w:cs="仿宋"/>
                <w:sz w:val="24"/>
                <w:szCs w:val="24"/>
              </w:rPr>
              <w:t>分析：</w:t>
            </w:r>
            <w:r>
              <w:rPr>
                <w:rFonts w:hint="eastAsia" w:ascii="仿宋" w:eastAsia="仿宋" w:cs="宋体"/>
                <w:sz w:val="24"/>
                <w:szCs w:val="24"/>
              </w:rPr>
              <w:t>中学优质课视频，感受中国</w:t>
            </w:r>
            <w:r>
              <w:rPr>
                <w:rFonts w:hint="eastAsia" w:ascii="仿宋" w:eastAsia="仿宋"/>
                <w:sz w:val="24"/>
                <w:szCs w:val="24"/>
              </w:rPr>
              <w:t>音乐课程教学改革</w:t>
            </w:r>
          </w:p>
        </w:tc>
        <w:tc>
          <w:tcPr>
            <w:tcW w:w="878" w:type="dxa"/>
            <w:gridSpan w:val="2"/>
            <w:shd w:val="clear" w:color="auto" w:fill="auto"/>
            <w:noWrap w:val="0"/>
            <w:vAlign w:val="center"/>
          </w:tcPr>
          <w:p w14:paraId="30E5D56B">
            <w:pPr>
              <w:pageBreakBefore w:val="0"/>
              <w:kinsoku/>
              <w:overflowPunct/>
              <w:topLinePunct w:val="0"/>
              <w:bidi w:val="0"/>
              <w:adjustRightInd w:val="0"/>
              <w:snapToGrid w:val="0"/>
              <w:spacing w:line="240" w:lineRule="auto"/>
              <w:jc w:val="center"/>
              <w:rPr>
                <w:rFonts w:hint="eastAsia" w:ascii="仿宋" w:eastAsia="仿宋" w:cs="仿宋"/>
                <w:bCs/>
                <w:color w:val="auto"/>
                <w:sz w:val="24"/>
                <w:szCs w:val="24"/>
              </w:rPr>
            </w:pPr>
          </w:p>
          <w:p w14:paraId="2DC8DD27">
            <w:pPr>
              <w:pageBreakBefore w:val="0"/>
              <w:widowControl/>
              <w:kinsoku/>
              <w:overflowPunct/>
              <w:topLinePunct w:val="0"/>
              <w:bidi w:val="0"/>
              <w:adjustRightInd w:val="0"/>
              <w:snapToGrid w:val="0"/>
              <w:spacing w:line="240" w:lineRule="auto"/>
              <w:jc w:val="center"/>
              <w:rPr>
                <w:rFonts w:hint="eastAsia" w:ascii="仿宋" w:eastAsia="仿宋" w:cs="仿宋"/>
                <w:bCs/>
                <w:color w:val="auto"/>
                <w:sz w:val="24"/>
                <w:szCs w:val="24"/>
              </w:rPr>
            </w:pPr>
          </w:p>
          <w:p w14:paraId="7BEA8568">
            <w:pPr>
              <w:pageBreakBefore w:val="0"/>
              <w:widowControl/>
              <w:kinsoku/>
              <w:overflowPunct/>
              <w:topLinePunct w:val="0"/>
              <w:bidi w:val="0"/>
              <w:adjustRightInd w:val="0"/>
              <w:snapToGrid w:val="0"/>
              <w:spacing w:line="240" w:lineRule="auto"/>
              <w:jc w:val="center"/>
              <w:rPr>
                <w:rFonts w:hint="eastAsia" w:ascii="仿宋" w:eastAsia="仿宋" w:cs="仿宋"/>
                <w:bCs/>
                <w:color w:val="auto"/>
                <w:sz w:val="24"/>
                <w:szCs w:val="24"/>
              </w:rPr>
            </w:pPr>
            <w:r>
              <w:rPr>
                <w:rFonts w:hint="eastAsia" w:ascii="仿宋" w:eastAsia="仿宋" w:cs="仿宋"/>
                <w:bCs/>
                <w:color w:val="auto"/>
                <w:sz w:val="24"/>
                <w:szCs w:val="24"/>
              </w:rPr>
              <w:t>支撑课程目标1</w:t>
            </w:r>
            <w:r>
              <w:rPr>
                <w:rFonts w:hint="eastAsia" w:ascii="仿宋" w:eastAsia="仿宋" w:cs="仿宋"/>
                <w:bCs/>
                <w:color w:val="auto"/>
                <w:sz w:val="24"/>
                <w:szCs w:val="24"/>
                <w:lang w:eastAsia="zh-CN"/>
              </w:rPr>
              <w:t>、</w:t>
            </w:r>
            <w:r>
              <w:rPr>
                <w:rFonts w:hint="eastAsia" w:ascii="仿宋" w:eastAsia="仿宋" w:cs="仿宋"/>
                <w:bCs/>
                <w:color w:val="auto"/>
                <w:sz w:val="24"/>
                <w:szCs w:val="24"/>
              </w:rPr>
              <w:t>2</w:t>
            </w:r>
            <w:r>
              <w:rPr>
                <w:rFonts w:hint="eastAsia" w:ascii="仿宋" w:eastAsia="仿宋" w:cs="仿宋"/>
                <w:bCs/>
                <w:color w:val="auto"/>
                <w:sz w:val="24"/>
                <w:szCs w:val="24"/>
                <w:lang w:eastAsia="zh-CN"/>
              </w:rPr>
              <w:t>、</w:t>
            </w:r>
            <w:r>
              <w:rPr>
                <w:rFonts w:hint="eastAsia" w:ascii="仿宋" w:eastAsia="仿宋" w:cs="仿宋"/>
                <w:bCs/>
                <w:color w:val="auto"/>
                <w:sz w:val="24"/>
                <w:szCs w:val="24"/>
              </w:rPr>
              <w:t>4</w:t>
            </w:r>
          </w:p>
          <w:p w14:paraId="0C4C991C">
            <w:pPr>
              <w:pageBreakBefore w:val="0"/>
              <w:kinsoku/>
              <w:overflowPunct/>
              <w:topLinePunct w:val="0"/>
              <w:bidi w:val="0"/>
              <w:adjustRightInd w:val="0"/>
              <w:snapToGrid w:val="0"/>
              <w:spacing w:line="240" w:lineRule="auto"/>
              <w:jc w:val="center"/>
              <w:rPr>
                <w:rFonts w:hint="eastAsia" w:ascii="仿宋" w:eastAsia="仿宋" w:cs="仿宋"/>
                <w:bCs/>
                <w:color w:val="auto"/>
                <w:sz w:val="24"/>
                <w:szCs w:val="24"/>
              </w:rPr>
            </w:pPr>
          </w:p>
        </w:tc>
        <w:tc>
          <w:tcPr>
            <w:tcW w:w="589" w:type="dxa"/>
            <w:shd w:val="clear" w:color="auto" w:fill="FFFFFF"/>
            <w:noWrap w:val="0"/>
            <w:vAlign w:val="center"/>
          </w:tcPr>
          <w:p w14:paraId="1C3B836F">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2</w:t>
            </w:r>
          </w:p>
        </w:tc>
      </w:tr>
      <w:tr w14:paraId="6336108F">
        <w:trPr>
          <w:trHeight w:val="624" w:hRule="atLeast"/>
        </w:trPr>
        <w:tc>
          <w:tcPr>
            <w:tcW w:w="1377" w:type="dxa"/>
            <w:vMerge w:val="continue"/>
            <w:shd w:val="clear" w:color="auto" w:fill="FFFFFF"/>
            <w:noWrap w:val="0"/>
            <w:vAlign w:val="center"/>
          </w:tcPr>
          <w:p w14:paraId="03E8FC91">
            <w:pPr>
              <w:pageBreakBefore w:val="0"/>
              <w:kinsoku/>
              <w:overflowPunct/>
              <w:topLinePunct w:val="0"/>
              <w:bidi w:val="0"/>
              <w:spacing w:line="240" w:lineRule="auto"/>
            </w:pPr>
          </w:p>
        </w:tc>
        <w:tc>
          <w:tcPr>
            <w:tcW w:w="6300" w:type="dxa"/>
            <w:gridSpan w:val="11"/>
            <w:shd w:val="clear" w:color="auto" w:fill="auto"/>
            <w:noWrap w:val="0"/>
            <w:vAlign w:val="center"/>
          </w:tcPr>
          <w:p w14:paraId="5B7B3BF2">
            <w:pPr>
              <w:pageBreakBefore w:val="0"/>
              <w:widowControl/>
              <w:numPr>
                <w:ilvl w:val="0"/>
                <w:numId w:val="27"/>
              </w:numPr>
              <w:kinsoku/>
              <w:overflowPunct/>
              <w:topLinePunct w:val="0"/>
              <w:bidi w:val="0"/>
              <w:adjustRightInd w:val="0"/>
              <w:snapToGrid w:val="0"/>
              <w:spacing w:line="240" w:lineRule="auto"/>
              <w:rPr>
                <w:rFonts w:hint="eastAsia" w:ascii="仿宋" w:eastAsia="仿宋"/>
                <w:sz w:val="24"/>
                <w:szCs w:val="24"/>
              </w:rPr>
            </w:pPr>
            <w:r>
              <w:rPr>
                <w:rFonts w:hint="eastAsia" w:ascii="仿宋" w:eastAsia="仿宋"/>
                <w:sz w:val="24"/>
                <w:szCs w:val="24"/>
              </w:rPr>
              <w:t>音乐学习与教学理论</w:t>
            </w:r>
          </w:p>
          <w:p w14:paraId="3332586C">
            <w:pPr>
              <w:pageBreakBefore w:val="0"/>
              <w:widowControl/>
              <w:kinsoku/>
              <w:overflowPunct/>
              <w:topLinePunct w:val="0"/>
              <w:bidi w:val="0"/>
              <w:adjustRightInd w:val="0"/>
              <w:snapToGrid w:val="0"/>
              <w:spacing w:line="240" w:lineRule="auto"/>
              <w:rPr>
                <w:rFonts w:hint="eastAsia" w:ascii="仿宋" w:eastAsia="仿宋" w:cs="仿宋"/>
                <w:bCs/>
                <w:sz w:val="24"/>
                <w:szCs w:val="24"/>
              </w:rPr>
            </w:pPr>
            <w:r>
              <w:rPr>
                <w:rFonts w:hint="eastAsia" w:ascii="仿宋" w:eastAsia="仿宋" w:cs="仿宋"/>
                <w:sz w:val="24"/>
                <w:szCs w:val="24"/>
              </w:rPr>
              <w:t>知道：</w:t>
            </w:r>
            <w:r>
              <w:rPr>
                <w:rFonts w:hint="eastAsia" w:ascii="仿宋" w:eastAsia="仿宋"/>
                <w:sz w:val="24"/>
                <w:szCs w:val="24"/>
              </w:rPr>
              <w:t>中学生音乐审美心理发展的阶段特点</w:t>
            </w:r>
          </w:p>
          <w:p w14:paraId="606E84AC">
            <w:pPr>
              <w:pageBreakBefore w:val="0"/>
              <w:widowControl/>
              <w:kinsoku/>
              <w:overflowPunct/>
              <w:topLinePunct w:val="0"/>
              <w:bidi w:val="0"/>
              <w:adjustRightInd w:val="0"/>
              <w:snapToGrid w:val="0"/>
              <w:spacing w:line="240" w:lineRule="auto"/>
              <w:rPr>
                <w:rFonts w:hint="eastAsia" w:ascii="仿宋" w:eastAsia="仿宋"/>
                <w:sz w:val="24"/>
                <w:szCs w:val="24"/>
              </w:rPr>
            </w:pPr>
            <w:r>
              <w:rPr>
                <w:rFonts w:hint="eastAsia" w:ascii="仿宋" w:eastAsia="仿宋" w:cs="仿宋"/>
                <w:sz w:val="24"/>
                <w:szCs w:val="24"/>
              </w:rPr>
              <w:t>领会：音乐美、音乐审美、</w:t>
            </w:r>
            <w:r>
              <w:rPr>
                <w:rFonts w:hint="eastAsia" w:ascii="仿宋" w:eastAsia="仿宋"/>
                <w:sz w:val="24"/>
                <w:szCs w:val="24"/>
              </w:rPr>
              <w:t>音乐教学的原则</w:t>
            </w:r>
          </w:p>
          <w:p w14:paraId="0E9AD5B6">
            <w:pPr>
              <w:pageBreakBefore w:val="0"/>
              <w:widowControl/>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应用：</w:t>
            </w:r>
            <w:r>
              <w:rPr>
                <w:rFonts w:hint="eastAsia" w:ascii="仿宋" w:eastAsia="仿宋"/>
                <w:sz w:val="24"/>
                <w:szCs w:val="24"/>
              </w:rPr>
              <w:t>现代学习理论进行音乐学习</w:t>
            </w:r>
          </w:p>
          <w:p w14:paraId="56999C6A">
            <w:pPr>
              <w:pageBreakBefore w:val="0"/>
              <w:kinsoku/>
              <w:overflowPunct/>
              <w:topLinePunct w:val="0"/>
              <w:bidi w:val="0"/>
              <w:adjustRightInd w:val="0"/>
              <w:snapToGrid w:val="0"/>
              <w:spacing w:line="240" w:lineRule="auto"/>
              <w:rPr>
                <w:rFonts w:hint="eastAsia" w:ascii="仿宋" w:eastAsia="仿宋" w:cs="仿宋"/>
                <w:bCs/>
                <w:sz w:val="24"/>
                <w:szCs w:val="24"/>
              </w:rPr>
            </w:pPr>
          </w:p>
        </w:tc>
        <w:tc>
          <w:tcPr>
            <w:tcW w:w="878" w:type="dxa"/>
            <w:gridSpan w:val="2"/>
            <w:shd w:val="clear" w:color="auto" w:fill="auto"/>
            <w:noWrap w:val="0"/>
            <w:vAlign w:val="center"/>
          </w:tcPr>
          <w:p w14:paraId="5D2264E1">
            <w:pPr>
              <w:pageBreakBefore w:val="0"/>
              <w:kinsoku/>
              <w:overflowPunct/>
              <w:topLinePunct w:val="0"/>
              <w:bidi w:val="0"/>
              <w:adjustRightInd w:val="0"/>
              <w:snapToGrid w:val="0"/>
              <w:spacing w:line="240" w:lineRule="auto"/>
              <w:ind w:firstLine="960" w:firstLineChars="400"/>
              <w:jc w:val="center"/>
              <w:rPr>
                <w:rFonts w:hint="eastAsia" w:ascii="仿宋" w:eastAsia="仿宋" w:cs="仿宋"/>
                <w:bCs/>
                <w:color w:val="auto"/>
                <w:sz w:val="24"/>
                <w:szCs w:val="24"/>
              </w:rPr>
            </w:pPr>
            <w:r>
              <w:rPr>
                <w:rFonts w:hint="eastAsia" w:ascii="仿宋" w:eastAsia="仿宋" w:cs="仿宋"/>
                <w:bCs/>
                <w:color w:val="auto"/>
                <w:sz w:val="24"/>
                <w:szCs w:val="24"/>
              </w:rPr>
              <w:t>…支撑课程目标1</w:t>
            </w:r>
            <w:r>
              <w:rPr>
                <w:rFonts w:hint="eastAsia" w:ascii="仿宋" w:eastAsia="仿宋" w:cs="仿宋"/>
                <w:bCs/>
                <w:color w:val="auto"/>
                <w:sz w:val="24"/>
                <w:szCs w:val="24"/>
                <w:lang w:eastAsia="zh-CN"/>
              </w:rPr>
              <w:t>、</w:t>
            </w:r>
            <w:r>
              <w:rPr>
                <w:rFonts w:hint="eastAsia" w:ascii="仿宋" w:eastAsia="仿宋" w:cs="仿宋"/>
                <w:bCs/>
                <w:color w:val="auto"/>
                <w:sz w:val="24"/>
                <w:szCs w:val="24"/>
              </w:rPr>
              <w:t>4</w:t>
            </w:r>
          </w:p>
        </w:tc>
        <w:tc>
          <w:tcPr>
            <w:tcW w:w="589" w:type="dxa"/>
            <w:shd w:val="clear" w:color="auto" w:fill="FFFFFF"/>
            <w:noWrap w:val="0"/>
            <w:vAlign w:val="center"/>
          </w:tcPr>
          <w:p w14:paraId="1F4B3C6E">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2</w:t>
            </w:r>
          </w:p>
        </w:tc>
      </w:tr>
      <w:tr w14:paraId="4C7FDFE3">
        <w:trPr>
          <w:trHeight w:val="624" w:hRule="atLeast"/>
        </w:trPr>
        <w:tc>
          <w:tcPr>
            <w:tcW w:w="1377" w:type="dxa"/>
            <w:vMerge w:val="continue"/>
            <w:shd w:val="clear" w:color="auto" w:fill="FFFFFF"/>
            <w:noWrap w:val="0"/>
            <w:vAlign w:val="center"/>
          </w:tcPr>
          <w:p w14:paraId="7A1503C7">
            <w:pPr>
              <w:pageBreakBefore w:val="0"/>
              <w:kinsoku/>
              <w:overflowPunct/>
              <w:topLinePunct w:val="0"/>
              <w:bidi w:val="0"/>
              <w:spacing w:line="240" w:lineRule="auto"/>
            </w:pPr>
          </w:p>
        </w:tc>
        <w:tc>
          <w:tcPr>
            <w:tcW w:w="6300" w:type="dxa"/>
            <w:gridSpan w:val="11"/>
            <w:shd w:val="clear" w:color="auto" w:fill="auto"/>
            <w:noWrap w:val="0"/>
            <w:vAlign w:val="center"/>
          </w:tcPr>
          <w:p w14:paraId="11E5AEE7">
            <w:pPr>
              <w:pageBreakBefore w:val="0"/>
              <w:numPr>
                <w:ilvl w:val="0"/>
                <w:numId w:val="28"/>
              </w:numPr>
              <w:kinsoku/>
              <w:overflowPunct/>
              <w:topLinePunct w:val="0"/>
              <w:bidi w:val="0"/>
              <w:adjustRightInd w:val="0"/>
              <w:snapToGrid w:val="0"/>
              <w:spacing w:line="240" w:lineRule="auto"/>
              <w:rPr>
                <w:rFonts w:hint="eastAsia" w:ascii="仿宋" w:eastAsia="仿宋" w:cs="仿宋"/>
                <w:sz w:val="24"/>
                <w:szCs w:val="24"/>
                <w:lang w:eastAsia="zh-Hans"/>
              </w:rPr>
            </w:pPr>
            <w:r>
              <w:rPr>
                <w:rFonts w:hint="eastAsia" w:ascii="仿宋" w:eastAsia="仿宋" w:cs="仿宋"/>
                <w:sz w:val="24"/>
                <w:szCs w:val="24"/>
                <w:lang w:eastAsia="zh-Hans"/>
              </w:rPr>
              <w:t>音乐课程目标及教学目标</w:t>
            </w:r>
          </w:p>
          <w:p w14:paraId="3340FAE3">
            <w:pPr>
              <w:pageBreakBefore w:val="0"/>
              <w:kinsoku/>
              <w:overflowPunct/>
              <w:topLinePunct w:val="0"/>
              <w:bidi w:val="0"/>
              <w:adjustRightInd w:val="0"/>
              <w:snapToGrid w:val="0"/>
              <w:spacing w:line="240" w:lineRule="auto"/>
              <w:rPr>
                <w:rFonts w:hint="eastAsia" w:ascii="仿宋" w:eastAsia="仿宋" w:cs="仿宋"/>
                <w:sz w:val="24"/>
                <w:szCs w:val="24"/>
                <w:lang w:eastAsia="zh-Hans"/>
              </w:rPr>
            </w:pPr>
            <w:r>
              <w:rPr>
                <w:rFonts w:hint="eastAsia" w:ascii="仿宋" w:eastAsia="仿宋" w:cs="仿宋"/>
                <w:sz w:val="24"/>
                <w:szCs w:val="24"/>
                <w:lang w:eastAsia="zh-Hans"/>
              </w:rPr>
              <w:t>知道：音乐课程目标的内容</w:t>
            </w:r>
          </w:p>
          <w:p w14:paraId="2788E988">
            <w:pPr>
              <w:pageBreakBefore w:val="0"/>
              <w:kinsoku/>
              <w:overflowPunct/>
              <w:topLinePunct w:val="0"/>
              <w:bidi w:val="0"/>
              <w:adjustRightInd w:val="0"/>
              <w:snapToGrid w:val="0"/>
              <w:spacing w:line="240" w:lineRule="auto"/>
              <w:rPr>
                <w:rFonts w:hint="eastAsia" w:ascii="仿宋" w:eastAsia="仿宋" w:cs="仿宋"/>
                <w:sz w:val="24"/>
                <w:szCs w:val="24"/>
                <w:lang w:eastAsia="zh-Hans"/>
              </w:rPr>
            </w:pPr>
            <w:r>
              <w:rPr>
                <w:rFonts w:hint="eastAsia" w:ascii="仿宋" w:eastAsia="仿宋" w:cs="仿宋"/>
                <w:sz w:val="24"/>
                <w:szCs w:val="24"/>
                <w:lang w:eastAsia="zh-Hans"/>
              </w:rPr>
              <w:t>领会：各学段目标的不同要求</w:t>
            </w:r>
          </w:p>
          <w:p w14:paraId="65C96C21">
            <w:pPr>
              <w:pageBreakBefore w:val="0"/>
              <w:kinsoku/>
              <w:overflowPunct/>
              <w:topLinePunct w:val="0"/>
              <w:bidi w:val="0"/>
              <w:adjustRightInd w:val="0"/>
              <w:snapToGrid w:val="0"/>
              <w:spacing w:line="240" w:lineRule="auto"/>
              <w:rPr>
                <w:rFonts w:hint="eastAsia" w:ascii="仿宋" w:eastAsia="仿宋" w:cs="仿宋"/>
                <w:sz w:val="24"/>
                <w:szCs w:val="24"/>
                <w:lang w:eastAsia="zh-Hans"/>
              </w:rPr>
            </w:pPr>
            <w:r>
              <w:rPr>
                <w:rFonts w:hint="eastAsia" w:ascii="仿宋" w:eastAsia="仿宋" w:cs="仿宋"/>
                <w:sz w:val="24"/>
                <w:szCs w:val="24"/>
                <w:lang w:eastAsia="zh-Hans"/>
              </w:rPr>
              <w:t>应用：确定和书写教学目标</w:t>
            </w:r>
          </w:p>
          <w:p w14:paraId="28A8A169">
            <w:pPr>
              <w:pageBreakBefore w:val="0"/>
              <w:kinsoku/>
              <w:overflowPunct/>
              <w:topLinePunct w:val="0"/>
              <w:bidi w:val="0"/>
              <w:adjustRightInd w:val="0"/>
              <w:snapToGrid w:val="0"/>
              <w:spacing w:line="240" w:lineRule="auto"/>
              <w:rPr>
                <w:rFonts w:hint="eastAsia" w:ascii="仿宋" w:eastAsia="仿宋" w:cs="仿宋"/>
                <w:sz w:val="24"/>
                <w:szCs w:val="24"/>
                <w:lang w:eastAsia="zh-Hans"/>
              </w:rPr>
            </w:pPr>
            <w:r>
              <w:rPr>
                <w:rFonts w:hint="eastAsia" w:ascii="仿宋" w:eastAsia="仿宋" w:cs="仿宋"/>
                <w:sz w:val="24"/>
                <w:szCs w:val="24"/>
                <w:lang w:eastAsia="zh-Hans"/>
              </w:rPr>
              <w:t>分析：中学优质课</w:t>
            </w:r>
            <w:r>
              <w:rPr>
                <w:rFonts w:hint="eastAsia" w:ascii="仿宋" w:eastAsia="仿宋" w:cs="仿宋"/>
                <w:sz w:val="24"/>
                <w:szCs w:val="24"/>
              </w:rPr>
              <w:t>视频</w:t>
            </w:r>
            <w:r>
              <w:rPr>
                <w:rFonts w:hint="eastAsia" w:ascii="仿宋" w:eastAsia="仿宋" w:cs="仿宋"/>
                <w:sz w:val="24"/>
                <w:szCs w:val="24"/>
                <w:lang w:eastAsia="zh-Hans"/>
              </w:rPr>
              <w:t>的教学目标</w:t>
            </w:r>
          </w:p>
          <w:p w14:paraId="3C8A2A7D">
            <w:pPr>
              <w:pageBreakBefore w:val="0"/>
              <w:kinsoku/>
              <w:overflowPunct/>
              <w:topLinePunct w:val="0"/>
              <w:bidi w:val="0"/>
              <w:adjustRightInd w:val="0"/>
              <w:snapToGrid w:val="0"/>
              <w:spacing w:line="240" w:lineRule="auto"/>
              <w:rPr>
                <w:rFonts w:hint="eastAsia" w:ascii="仿宋" w:eastAsia="仿宋"/>
                <w:sz w:val="24"/>
                <w:szCs w:val="24"/>
              </w:rPr>
            </w:pPr>
            <w:r>
              <w:rPr>
                <w:rFonts w:hint="eastAsia" w:ascii="仿宋" w:eastAsia="仿宋"/>
                <w:sz w:val="24"/>
                <w:szCs w:val="24"/>
              </w:rPr>
              <w:t>综合：选择中学教材教学内容设计音乐教学过程</w:t>
            </w:r>
          </w:p>
        </w:tc>
        <w:tc>
          <w:tcPr>
            <w:tcW w:w="878" w:type="dxa"/>
            <w:gridSpan w:val="2"/>
            <w:shd w:val="clear" w:color="auto" w:fill="auto"/>
            <w:noWrap w:val="0"/>
            <w:vAlign w:val="center"/>
          </w:tcPr>
          <w:p w14:paraId="7D9A80B1">
            <w:pPr>
              <w:pageBreakBefore w:val="0"/>
              <w:kinsoku/>
              <w:overflowPunct/>
              <w:topLinePunct w:val="0"/>
              <w:bidi w:val="0"/>
              <w:adjustRightInd w:val="0"/>
              <w:snapToGrid w:val="0"/>
              <w:spacing w:line="240" w:lineRule="auto"/>
              <w:jc w:val="center"/>
              <w:rPr>
                <w:rFonts w:hint="eastAsia" w:ascii="仿宋" w:eastAsia="仿宋" w:cs="仿宋"/>
                <w:bCs/>
                <w:color w:val="auto"/>
                <w:sz w:val="24"/>
                <w:szCs w:val="24"/>
              </w:rPr>
            </w:pPr>
            <w:r>
              <w:rPr>
                <w:rFonts w:hint="eastAsia" w:ascii="仿宋" w:eastAsia="仿宋" w:cs="仿宋"/>
                <w:bCs/>
                <w:color w:val="auto"/>
                <w:sz w:val="24"/>
                <w:szCs w:val="24"/>
              </w:rPr>
              <w:t>支撑课程目标1</w:t>
            </w:r>
            <w:r>
              <w:rPr>
                <w:rFonts w:hint="eastAsia" w:ascii="仿宋" w:eastAsia="仿宋" w:cs="仿宋"/>
                <w:bCs/>
                <w:color w:val="auto"/>
                <w:sz w:val="24"/>
                <w:szCs w:val="24"/>
                <w:lang w:eastAsia="zh-CN"/>
              </w:rPr>
              <w:t>、</w:t>
            </w:r>
            <w:r>
              <w:rPr>
                <w:rFonts w:hint="eastAsia" w:ascii="仿宋" w:eastAsia="仿宋" w:cs="仿宋"/>
                <w:bCs/>
                <w:color w:val="auto"/>
                <w:sz w:val="24"/>
                <w:szCs w:val="24"/>
              </w:rPr>
              <w:t>2</w:t>
            </w:r>
            <w:r>
              <w:rPr>
                <w:rFonts w:hint="eastAsia" w:ascii="仿宋" w:eastAsia="仿宋" w:cs="仿宋"/>
                <w:bCs/>
                <w:color w:val="auto"/>
                <w:sz w:val="24"/>
                <w:szCs w:val="24"/>
                <w:lang w:eastAsia="zh-CN"/>
              </w:rPr>
              <w:t>、</w:t>
            </w:r>
            <w:r>
              <w:rPr>
                <w:rFonts w:hint="eastAsia" w:ascii="仿宋" w:eastAsia="仿宋" w:cs="仿宋"/>
                <w:bCs/>
                <w:color w:val="auto"/>
                <w:sz w:val="24"/>
                <w:szCs w:val="24"/>
              </w:rPr>
              <w:t>3</w:t>
            </w:r>
          </w:p>
        </w:tc>
        <w:tc>
          <w:tcPr>
            <w:tcW w:w="589" w:type="dxa"/>
            <w:shd w:val="clear" w:color="auto" w:fill="FFFFFF"/>
            <w:noWrap w:val="0"/>
            <w:vAlign w:val="center"/>
          </w:tcPr>
          <w:p w14:paraId="3A238E97">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4</w:t>
            </w:r>
          </w:p>
        </w:tc>
      </w:tr>
      <w:tr w14:paraId="2756F2B3">
        <w:trPr>
          <w:trHeight w:val="624" w:hRule="atLeast"/>
        </w:trPr>
        <w:tc>
          <w:tcPr>
            <w:tcW w:w="1377" w:type="dxa"/>
            <w:vMerge w:val="continue"/>
            <w:shd w:val="clear" w:color="auto" w:fill="FFFFFF"/>
            <w:noWrap w:val="0"/>
            <w:vAlign w:val="center"/>
          </w:tcPr>
          <w:p w14:paraId="399FE19F">
            <w:pPr>
              <w:pageBreakBefore w:val="0"/>
              <w:kinsoku/>
              <w:overflowPunct/>
              <w:topLinePunct w:val="0"/>
              <w:bidi w:val="0"/>
              <w:spacing w:line="240" w:lineRule="auto"/>
            </w:pPr>
          </w:p>
        </w:tc>
        <w:tc>
          <w:tcPr>
            <w:tcW w:w="6300" w:type="dxa"/>
            <w:gridSpan w:val="11"/>
            <w:shd w:val="clear" w:color="auto" w:fill="auto"/>
            <w:noWrap w:val="0"/>
            <w:vAlign w:val="center"/>
          </w:tcPr>
          <w:p w14:paraId="51BA6C03">
            <w:pPr>
              <w:pageBreakBefore w:val="0"/>
              <w:numPr>
                <w:ilvl w:val="0"/>
                <w:numId w:val="28"/>
              </w:numPr>
              <w:kinsoku/>
              <w:overflowPunct/>
              <w:topLinePunct w:val="0"/>
              <w:bidi w:val="0"/>
              <w:adjustRightInd w:val="0"/>
              <w:snapToGrid w:val="0"/>
              <w:spacing w:line="240" w:lineRule="auto"/>
              <w:rPr>
                <w:rFonts w:hint="eastAsia" w:ascii="仿宋" w:eastAsia="仿宋" w:cs="仿宋"/>
                <w:sz w:val="24"/>
                <w:szCs w:val="24"/>
                <w:lang w:eastAsia="zh-Hans"/>
              </w:rPr>
            </w:pPr>
            <w:r>
              <w:rPr>
                <w:rFonts w:hint="eastAsia" w:ascii="仿宋" w:eastAsia="仿宋" w:cs="仿宋"/>
                <w:sz w:val="24"/>
                <w:szCs w:val="24"/>
                <w:lang w:eastAsia="zh-Hans"/>
              </w:rPr>
              <w:t>音乐课程内容与教材分析</w:t>
            </w:r>
          </w:p>
          <w:p w14:paraId="46D29ED1">
            <w:pPr>
              <w:pageBreakBefore w:val="0"/>
              <w:kinsoku/>
              <w:overflowPunct/>
              <w:topLinePunct w:val="0"/>
              <w:bidi w:val="0"/>
              <w:adjustRightInd w:val="0"/>
              <w:snapToGrid w:val="0"/>
              <w:spacing w:line="240" w:lineRule="auto"/>
              <w:rPr>
                <w:rFonts w:hint="eastAsia" w:ascii="仿宋" w:eastAsia="仿宋" w:cs="仿宋"/>
                <w:sz w:val="24"/>
                <w:szCs w:val="24"/>
                <w:lang w:eastAsia="zh-Hans"/>
              </w:rPr>
            </w:pPr>
            <w:r>
              <w:rPr>
                <w:rFonts w:hint="eastAsia" w:ascii="仿宋" w:eastAsia="仿宋" w:cs="仿宋"/>
                <w:sz w:val="24"/>
                <w:szCs w:val="24"/>
                <w:lang w:eastAsia="zh-Hans"/>
              </w:rPr>
              <w:t>知道：课程内容与课程目标的关系</w:t>
            </w:r>
          </w:p>
          <w:p w14:paraId="65D140BE">
            <w:pPr>
              <w:pageBreakBefore w:val="0"/>
              <w:kinsoku/>
              <w:overflowPunct/>
              <w:topLinePunct w:val="0"/>
              <w:bidi w:val="0"/>
              <w:adjustRightInd w:val="0"/>
              <w:snapToGrid w:val="0"/>
              <w:spacing w:line="240" w:lineRule="auto"/>
              <w:rPr>
                <w:rFonts w:hint="eastAsia" w:ascii="仿宋" w:eastAsia="仿宋" w:cs="仿宋"/>
                <w:sz w:val="24"/>
                <w:szCs w:val="24"/>
                <w:lang w:eastAsia="zh-Hans"/>
              </w:rPr>
            </w:pPr>
            <w:r>
              <w:rPr>
                <w:rFonts w:hint="eastAsia" w:ascii="仿宋" w:eastAsia="仿宋" w:cs="仿宋"/>
                <w:sz w:val="24"/>
                <w:szCs w:val="24"/>
                <w:lang w:eastAsia="zh-Hans"/>
              </w:rPr>
              <w:t>领会：中学音乐课程的具体内容与教材编写的原则</w:t>
            </w:r>
          </w:p>
          <w:p w14:paraId="50FDB12D">
            <w:pPr>
              <w:pageBreakBefore w:val="0"/>
              <w:kinsoku/>
              <w:overflowPunct/>
              <w:topLinePunct w:val="0"/>
              <w:bidi w:val="0"/>
              <w:adjustRightInd w:val="0"/>
              <w:snapToGrid w:val="0"/>
              <w:spacing w:line="240" w:lineRule="auto"/>
              <w:rPr>
                <w:rFonts w:hint="eastAsia" w:ascii="仿宋" w:eastAsia="仿宋" w:cs="仿宋"/>
                <w:sz w:val="24"/>
                <w:szCs w:val="24"/>
                <w:lang w:eastAsia="zh-Hans"/>
              </w:rPr>
            </w:pPr>
            <w:r>
              <w:rPr>
                <w:rFonts w:hint="eastAsia" w:ascii="仿宋" w:eastAsia="仿宋" w:cs="仿宋"/>
                <w:sz w:val="24"/>
                <w:szCs w:val="24"/>
                <w:lang w:eastAsia="zh-Hans"/>
              </w:rPr>
              <w:t>应用：掌握教材分析的方法</w:t>
            </w:r>
          </w:p>
          <w:p w14:paraId="3BFA2221">
            <w:pPr>
              <w:pageBreakBefore w:val="0"/>
              <w:kinsoku/>
              <w:overflowPunct/>
              <w:topLinePunct w:val="0"/>
              <w:bidi w:val="0"/>
              <w:adjustRightInd w:val="0"/>
              <w:snapToGrid w:val="0"/>
              <w:spacing w:line="240" w:lineRule="auto"/>
              <w:rPr>
                <w:rFonts w:hint="eastAsia" w:ascii="仿宋" w:eastAsia="仿宋"/>
                <w:sz w:val="24"/>
                <w:szCs w:val="24"/>
              </w:rPr>
            </w:pPr>
            <w:r>
              <w:rPr>
                <w:rFonts w:hint="eastAsia" w:ascii="仿宋" w:eastAsia="仿宋"/>
                <w:sz w:val="24"/>
                <w:szCs w:val="24"/>
              </w:rPr>
              <w:t>综合：选择中学教材教学内容</w:t>
            </w:r>
            <w:r>
              <w:rPr>
                <w:rFonts w:hint="eastAsia" w:ascii="仿宋" w:eastAsia="仿宋"/>
                <w:sz w:val="24"/>
                <w:szCs w:val="24"/>
                <w:lang w:eastAsia="zh-Hans"/>
              </w:rPr>
              <w:t>对课程内容和教材进行分析</w:t>
            </w:r>
          </w:p>
        </w:tc>
        <w:tc>
          <w:tcPr>
            <w:tcW w:w="878" w:type="dxa"/>
            <w:gridSpan w:val="2"/>
            <w:shd w:val="clear" w:color="auto" w:fill="auto"/>
            <w:noWrap w:val="0"/>
            <w:vAlign w:val="center"/>
          </w:tcPr>
          <w:p w14:paraId="79477B19">
            <w:pPr>
              <w:pageBreakBefore w:val="0"/>
              <w:kinsoku/>
              <w:overflowPunct/>
              <w:topLinePunct w:val="0"/>
              <w:bidi w:val="0"/>
              <w:adjustRightInd w:val="0"/>
              <w:snapToGrid w:val="0"/>
              <w:spacing w:line="240" w:lineRule="auto"/>
              <w:jc w:val="center"/>
              <w:rPr>
                <w:rFonts w:hint="eastAsia" w:ascii="仿宋" w:eastAsia="仿宋" w:cs="仿宋"/>
                <w:bCs/>
                <w:color w:val="auto"/>
                <w:sz w:val="24"/>
                <w:szCs w:val="24"/>
              </w:rPr>
            </w:pPr>
            <w:r>
              <w:rPr>
                <w:rFonts w:hint="eastAsia" w:ascii="仿宋" w:eastAsia="仿宋" w:cs="仿宋"/>
                <w:bCs/>
                <w:color w:val="auto"/>
                <w:sz w:val="24"/>
                <w:szCs w:val="24"/>
              </w:rPr>
              <w:t>支撑课程目标1</w:t>
            </w:r>
            <w:r>
              <w:rPr>
                <w:rFonts w:hint="eastAsia" w:ascii="仿宋" w:eastAsia="仿宋" w:cs="仿宋"/>
                <w:bCs/>
                <w:color w:val="auto"/>
                <w:sz w:val="24"/>
                <w:szCs w:val="24"/>
                <w:lang w:eastAsia="zh-CN"/>
              </w:rPr>
              <w:t>、</w:t>
            </w:r>
            <w:r>
              <w:rPr>
                <w:rFonts w:hint="eastAsia" w:ascii="仿宋" w:eastAsia="仿宋" w:cs="仿宋"/>
                <w:bCs/>
                <w:color w:val="auto"/>
                <w:sz w:val="24"/>
                <w:szCs w:val="24"/>
              </w:rPr>
              <w:t>2</w:t>
            </w:r>
            <w:r>
              <w:rPr>
                <w:rFonts w:hint="eastAsia" w:ascii="仿宋" w:eastAsia="仿宋" w:cs="仿宋"/>
                <w:bCs/>
                <w:color w:val="auto"/>
                <w:sz w:val="24"/>
                <w:szCs w:val="24"/>
                <w:lang w:val="en-US" w:eastAsia="zh-CN"/>
              </w:rPr>
              <w:t>、3、4</w:t>
            </w:r>
          </w:p>
        </w:tc>
        <w:tc>
          <w:tcPr>
            <w:tcW w:w="589" w:type="dxa"/>
            <w:shd w:val="clear" w:color="auto" w:fill="FFFFFF"/>
            <w:noWrap w:val="0"/>
            <w:vAlign w:val="center"/>
          </w:tcPr>
          <w:p w14:paraId="559EBF8B">
            <w:pPr>
              <w:pageBreakBefore w:val="0"/>
              <w:kinsoku/>
              <w:overflowPunct/>
              <w:topLinePunct w:val="0"/>
              <w:bidi w:val="0"/>
              <w:adjustRightInd w:val="0"/>
              <w:snapToGrid w:val="0"/>
              <w:spacing w:line="240" w:lineRule="auto"/>
              <w:jc w:val="center"/>
              <w:rPr>
                <w:rFonts w:hint="eastAsia" w:ascii="仿宋" w:eastAsia="仿宋" w:cs="仿宋"/>
                <w:sz w:val="24"/>
                <w:szCs w:val="24"/>
                <w:lang w:eastAsia="zh-CN"/>
              </w:rPr>
            </w:pPr>
            <w:r>
              <w:rPr>
                <w:rFonts w:hint="eastAsia" w:ascii="仿宋" w:eastAsia="仿宋" w:cs="仿宋"/>
                <w:sz w:val="24"/>
                <w:szCs w:val="24"/>
                <w:lang w:val="en-US" w:eastAsia="zh-CN"/>
              </w:rPr>
              <w:t>4</w:t>
            </w:r>
          </w:p>
        </w:tc>
      </w:tr>
      <w:tr w14:paraId="64F11C55">
        <w:trPr>
          <w:trHeight w:val="624" w:hRule="atLeast"/>
        </w:trPr>
        <w:tc>
          <w:tcPr>
            <w:tcW w:w="1377" w:type="dxa"/>
            <w:vMerge w:val="continue"/>
            <w:shd w:val="clear" w:color="auto" w:fill="FFFFFF"/>
            <w:noWrap w:val="0"/>
            <w:vAlign w:val="center"/>
          </w:tcPr>
          <w:p w14:paraId="696CF555">
            <w:pPr>
              <w:pageBreakBefore w:val="0"/>
              <w:kinsoku/>
              <w:overflowPunct/>
              <w:topLinePunct w:val="0"/>
              <w:bidi w:val="0"/>
              <w:spacing w:line="240" w:lineRule="auto"/>
            </w:pPr>
          </w:p>
        </w:tc>
        <w:tc>
          <w:tcPr>
            <w:tcW w:w="6300" w:type="dxa"/>
            <w:gridSpan w:val="11"/>
            <w:shd w:val="clear" w:color="auto" w:fill="auto"/>
            <w:noWrap w:val="0"/>
            <w:vAlign w:val="center"/>
          </w:tcPr>
          <w:p w14:paraId="4C11ED4D">
            <w:pPr>
              <w:pageBreakBefore w:val="0"/>
              <w:kinsoku/>
              <w:overflowPunct/>
              <w:topLinePunct w:val="0"/>
              <w:bidi w:val="0"/>
              <w:spacing w:line="240" w:lineRule="auto"/>
              <w:jc w:val="left"/>
              <w:rPr>
                <w:rFonts w:hint="eastAsia" w:ascii="仿宋" w:eastAsia="仿宋"/>
                <w:sz w:val="24"/>
                <w:szCs w:val="24"/>
              </w:rPr>
            </w:pPr>
            <w:r>
              <w:rPr>
                <w:rFonts w:hint="eastAsia" w:ascii="仿宋" w:eastAsia="仿宋" w:cs="仿宋"/>
                <w:sz w:val="24"/>
                <w:szCs w:val="24"/>
                <w:lang w:eastAsia="zh-Hans"/>
              </w:rPr>
              <w:t xml:space="preserve">第六章 </w:t>
            </w:r>
            <w:r>
              <w:rPr>
                <w:rFonts w:hint="eastAsia" w:ascii="仿宋" w:eastAsia="仿宋"/>
                <w:sz w:val="24"/>
                <w:szCs w:val="24"/>
              </w:rPr>
              <w:t>音乐教学程序</w:t>
            </w:r>
          </w:p>
          <w:p w14:paraId="04EEE74E">
            <w:pPr>
              <w:pageBreakBefore w:val="0"/>
              <w:widowControl/>
              <w:kinsoku/>
              <w:overflowPunct/>
              <w:topLinePunct w:val="0"/>
              <w:bidi w:val="0"/>
              <w:adjustRightInd w:val="0"/>
              <w:snapToGrid w:val="0"/>
              <w:spacing w:line="240" w:lineRule="auto"/>
              <w:rPr>
                <w:rFonts w:hint="eastAsia" w:ascii="仿宋" w:eastAsia="仿宋" w:cs="仿宋"/>
                <w:bCs/>
                <w:sz w:val="24"/>
                <w:szCs w:val="24"/>
              </w:rPr>
            </w:pPr>
            <w:r>
              <w:rPr>
                <w:rFonts w:hint="eastAsia" w:ascii="仿宋" w:eastAsia="仿宋" w:cs="仿宋"/>
                <w:sz w:val="24"/>
                <w:szCs w:val="24"/>
              </w:rPr>
              <w:t>知道：</w:t>
            </w:r>
            <w:r>
              <w:rPr>
                <w:rFonts w:hint="eastAsia" w:ascii="仿宋" w:eastAsia="仿宋"/>
                <w:sz w:val="24"/>
                <w:szCs w:val="24"/>
              </w:rPr>
              <w:t>教学程序与教学过程的不同内涵与特征</w:t>
            </w:r>
          </w:p>
          <w:p w14:paraId="5154F33F">
            <w:pPr>
              <w:pageBreakBefore w:val="0"/>
              <w:widowControl/>
              <w:kinsoku/>
              <w:overflowPunct/>
              <w:topLinePunct w:val="0"/>
              <w:bidi w:val="0"/>
              <w:adjustRightInd w:val="0"/>
              <w:snapToGrid w:val="0"/>
              <w:spacing w:line="240" w:lineRule="auto"/>
              <w:rPr>
                <w:rFonts w:hint="eastAsia" w:ascii="仿宋" w:eastAsia="仿宋"/>
                <w:sz w:val="24"/>
                <w:szCs w:val="24"/>
              </w:rPr>
            </w:pPr>
            <w:r>
              <w:rPr>
                <w:rFonts w:hint="eastAsia" w:ascii="仿宋" w:eastAsia="仿宋" w:cs="仿宋"/>
                <w:sz w:val="24"/>
                <w:szCs w:val="24"/>
              </w:rPr>
              <w:t>领会：音乐教学程序中教与学程序的环节及具体要求</w:t>
            </w:r>
          </w:p>
          <w:p w14:paraId="62B84C91">
            <w:pPr>
              <w:pageBreakBefore w:val="0"/>
              <w:widowControl/>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应用：导入新课与结束课的常用类型设计片段</w:t>
            </w:r>
          </w:p>
          <w:p w14:paraId="1E1C9D73">
            <w:pPr>
              <w:pageBreakBefore w:val="0"/>
              <w:kinsoku/>
              <w:overflowPunct/>
              <w:topLinePunct w:val="0"/>
              <w:bidi w:val="0"/>
              <w:adjustRightInd w:val="0"/>
              <w:snapToGrid w:val="0"/>
              <w:spacing w:line="240" w:lineRule="auto"/>
              <w:rPr>
                <w:rFonts w:hint="eastAsia" w:ascii="仿宋" w:eastAsia="仿宋" w:cs="仿宋"/>
                <w:bCs/>
                <w:sz w:val="24"/>
                <w:szCs w:val="24"/>
              </w:rPr>
            </w:pPr>
            <w:r>
              <w:rPr>
                <w:rFonts w:hint="eastAsia" w:ascii="仿宋" w:eastAsia="仿宋" w:cs="仿宋"/>
                <w:sz w:val="24"/>
                <w:szCs w:val="24"/>
              </w:rPr>
              <w:t>分析：</w:t>
            </w:r>
            <w:r>
              <w:rPr>
                <w:rFonts w:hint="eastAsia" w:ascii="仿宋" w:eastAsia="仿宋" w:cs="宋体"/>
                <w:sz w:val="24"/>
                <w:szCs w:val="24"/>
              </w:rPr>
              <w:t>中学优质课视频</w:t>
            </w:r>
          </w:p>
        </w:tc>
        <w:tc>
          <w:tcPr>
            <w:tcW w:w="878" w:type="dxa"/>
            <w:gridSpan w:val="2"/>
            <w:shd w:val="clear" w:color="auto" w:fill="auto"/>
            <w:noWrap w:val="0"/>
            <w:vAlign w:val="center"/>
          </w:tcPr>
          <w:p w14:paraId="1380EDC8">
            <w:pPr>
              <w:pageBreakBefore w:val="0"/>
              <w:kinsoku/>
              <w:overflowPunct/>
              <w:topLinePunct w:val="0"/>
              <w:bidi w:val="0"/>
              <w:adjustRightInd w:val="0"/>
              <w:snapToGrid w:val="0"/>
              <w:spacing w:line="240" w:lineRule="auto"/>
              <w:jc w:val="center"/>
              <w:rPr>
                <w:rFonts w:hint="eastAsia" w:ascii="仿宋" w:eastAsia="仿宋" w:cs="仿宋"/>
                <w:bCs/>
                <w:color w:val="auto"/>
                <w:sz w:val="24"/>
                <w:szCs w:val="24"/>
              </w:rPr>
            </w:pPr>
            <w:r>
              <w:rPr>
                <w:rFonts w:hint="eastAsia" w:ascii="仿宋" w:eastAsia="仿宋" w:cs="仿宋"/>
                <w:bCs/>
                <w:color w:val="auto"/>
                <w:sz w:val="24"/>
                <w:szCs w:val="24"/>
              </w:rPr>
              <w:t>支撑课程目标1</w:t>
            </w:r>
            <w:r>
              <w:rPr>
                <w:rFonts w:hint="eastAsia" w:ascii="仿宋" w:eastAsia="仿宋" w:cs="仿宋"/>
                <w:bCs/>
                <w:color w:val="auto"/>
                <w:sz w:val="24"/>
                <w:szCs w:val="24"/>
                <w:lang w:eastAsia="zh-CN"/>
              </w:rPr>
              <w:t>、</w:t>
            </w:r>
            <w:r>
              <w:rPr>
                <w:rFonts w:hint="eastAsia" w:ascii="仿宋" w:eastAsia="仿宋" w:cs="仿宋"/>
                <w:bCs/>
                <w:color w:val="auto"/>
                <w:sz w:val="24"/>
                <w:szCs w:val="24"/>
              </w:rPr>
              <w:t>2</w:t>
            </w:r>
            <w:r>
              <w:rPr>
                <w:rFonts w:hint="eastAsia" w:ascii="仿宋" w:eastAsia="仿宋" w:cs="仿宋"/>
                <w:bCs/>
                <w:color w:val="auto"/>
                <w:sz w:val="24"/>
                <w:szCs w:val="24"/>
                <w:lang w:val="en-US" w:eastAsia="zh-CN"/>
              </w:rPr>
              <w:t>、3、4</w:t>
            </w:r>
          </w:p>
        </w:tc>
        <w:tc>
          <w:tcPr>
            <w:tcW w:w="589" w:type="dxa"/>
            <w:shd w:val="clear" w:color="auto" w:fill="FFFFFF"/>
            <w:noWrap w:val="0"/>
            <w:vAlign w:val="center"/>
          </w:tcPr>
          <w:p w14:paraId="42C8282F">
            <w:pPr>
              <w:pageBreakBefore w:val="0"/>
              <w:kinsoku/>
              <w:overflowPunct/>
              <w:topLinePunct w:val="0"/>
              <w:bidi w:val="0"/>
              <w:adjustRightInd w:val="0"/>
              <w:snapToGrid w:val="0"/>
              <w:spacing w:line="240" w:lineRule="auto"/>
              <w:jc w:val="center"/>
              <w:rPr>
                <w:rFonts w:hint="eastAsia" w:ascii="仿宋" w:eastAsia="仿宋" w:cs="仿宋"/>
                <w:sz w:val="24"/>
                <w:szCs w:val="24"/>
                <w:lang w:eastAsia="zh-CN"/>
              </w:rPr>
            </w:pPr>
            <w:r>
              <w:rPr>
                <w:rFonts w:hint="eastAsia" w:ascii="仿宋" w:eastAsia="仿宋" w:cs="仿宋"/>
                <w:kern w:val="2"/>
                <w:sz w:val="24"/>
                <w:szCs w:val="24"/>
                <w:lang w:val="en-US" w:eastAsia="zh-CN"/>
              </w:rPr>
              <w:t>4</w:t>
            </w:r>
          </w:p>
        </w:tc>
      </w:tr>
      <w:tr w14:paraId="5F7E06EF">
        <w:trPr>
          <w:trHeight w:val="624" w:hRule="atLeast"/>
        </w:trPr>
        <w:tc>
          <w:tcPr>
            <w:tcW w:w="1377" w:type="dxa"/>
            <w:vMerge w:val="continue"/>
            <w:shd w:val="clear" w:color="auto" w:fill="FFFFFF"/>
            <w:noWrap w:val="0"/>
            <w:vAlign w:val="center"/>
          </w:tcPr>
          <w:p w14:paraId="08A970DC">
            <w:pPr>
              <w:pageBreakBefore w:val="0"/>
              <w:kinsoku/>
              <w:overflowPunct/>
              <w:topLinePunct w:val="0"/>
              <w:bidi w:val="0"/>
              <w:spacing w:line="240" w:lineRule="auto"/>
            </w:pPr>
          </w:p>
        </w:tc>
        <w:tc>
          <w:tcPr>
            <w:tcW w:w="6300" w:type="dxa"/>
            <w:gridSpan w:val="11"/>
            <w:shd w:val="clear" w:color="auto" w:fill="auto"/>
            <w:noWrap w:val="0"/>
            <w:vAlign w:val="center"/>
          </w:tcPr>
          <w:p w14:paraId="3A55E3AB">
            <w:pPr>
              <w:pageBreakBefore w:val="0"/>
              <w:numPr>
                <w:ilvl w:val="0"/>
                <w:numId w:val="29"/>
              </w:numPr>
              <w:kinsoku/>
              <w:overflowPunct/>
              <w:topLinePunct w:val="0"/>
              <w:bidi w:val="0"/>
              <w:adjustRightInd w:val="0"/>
              <w:snapToGrid w:val="0"/>
              <w:spacing w:line="240" w:lineRule="auto"/>
              <w:rPr>
                <w:rFonts w:hint="eastAsia" w:ascii="仿宋" w:eastAsia="仿宋" w:cs="仿宋"/>
                <w:sz w:val="24"/>
                <w:szCs w:val="24"/>
                <w:lang w:eastAsia="zh-Hans"/>
              </w:rPr>
            </w:pPr>
            <w:r>
              <w:rPr>
                <w:rFonts w:hint="eastAsia" w:ascii="仿宋" w:eastAsia="仿宋" w:cs="仿宋"/>
                <w:sz w:val="24"/>
                <w:szCs w:val="24"/>
                <w:lang w:eastAsia="zh-Hans"/>
              </w:rPr>
              <w:t>音乐教学过程</w:t>
            </w:r>
          </w:p>
          <w:p w14:paraId="17751A95">
            <w:pPr>
              <w:pageBreakBefore w:val="0"/>
              <w:widowControl/>
              <w:kinsoku/>
              <w:overflowPunct/>
              <w:topLinePunct w:val="0"/>
              <w:bidi w:val="0"/>
              <w:adjustRightInd w:val="0"/>
              <w:snapToGrid w:val="0"/>
              <w:spacing w:line="240" w:lineRule="auto"/>
              <w:rPr>
                <w:rFonts w:hint="eastAsia" w:ascii="仿宋" w:eastAsia="仿宋" w:cs="仿宋"/>
                <w:bCs/>
                <w:sz w:val="24"/>
                <w:szCs w:val="24"/>
              </w:rPr>
            </w:pPr>
            <w:r>
              <w:rPr>
                <w:rFonts w:hint="eastAsia" w:ascii="仿宋" w:eastAsia="仿宋"/>
                <w:sz w:val="24"/>
                <w:szCs w:val="24"/>
                <w:lang w:eastAsia="zh-Hans"/>
              </w:rPr>
              <w:t>知道：</w:t>
            </w:r>
            <w:r>
              <w:rPr>
                <w:rFonts w:hint="eastAsia" w:ascii="仿宋" w:eastAsia="仿宋"/>
                <w:sz w:val="24"/>
                <w:szCs w:val="24"/>
              </w:rPr>
              <w:t>音乐教学过程规律、</w:t>
            </w:r>
            <w:r>
              <w:rPr>
                <w:rFonts w:hint="eastAsia" w:ascii="仿宋" w:eastAsia="仿宋" w:cs="仿宋"/>
                <w:sz w:val="24"/>
                <w:szCs w:val="24"/>
              </w:rPr>
              <w:t>基本要素及相互关系</w:t>
            </w:r>
          </w:p>
          <w:p w14:paraId="122B4AE7">
            <w:pPr>
              <w:pageBreakBefore w:val="0"/>
              <w:widowControl/>
              <w:kinsoku/>
              <w:overflowPunct/>
              <w:topLinePunct w:val="0"/>
              <w:bidi w:val="0"/>
              <w:adjustRightInd w:val="0"/>
              <w:snapToGrid w:val="0"/>
              <w:spacing w:line="240" w:lineRule="auto"/>
              <w:rPr>
                <w:rFonts w:hint="eastAsia" w:ascii="仿宋" w:eastAsia="仿宋"/>
                <w:sz w:val="24"/>
                <w:szCs w:val="24"/>
              </w:rPr>
            </w:pPr>
            <w:r>
              <w:rPr>
                <w:rFonts w:hint="eastAsia" w:ascii="仿宋" w:eastAsia="仿宋" w:cs="仿宋"/>
                <w:sz w:val="24"/>
                <w:szCs w:val="24"/>
              </w:rPr>
              <w:t>领会：音乐教学过程的</w:t>
            </w:r>
            <w:r>
              <w:rPr>
                <w:rFonts w:hint="eastAsia" w:ascii="仿宋" w:eastAsia="仿宋" w:cs="仿宋"/>
                <w:sz w:val="24"/>
                <w:szCs w:val="24"/>
                <w:lang w:eastAsia="zh-Hans"/>
              </w:rPr>
              <w:t>内涵与本质特征</w:t>
            </w:r>
          </w:p>
          <w:p w14:paraId="79C03529">
            <w:pPr>
              <w:pageBreakBefore w:val="0"/>
              <w:widowControl/>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应用：在教学过程中应注意的问题</w:t>
            </w:r>
          </w:p>
          <w:p w14:paraId="35B0FE71">
            <w:pPr>
              <w:pageBreakBefore w:val="0"/>
              <w:kinsoku/>
              <w:overflowPunct/>
              <w:topLinePunct w:val="0"/>
              <w:bidi w:val="0"/>
              <w:spacing w:line="240" w:lineRule="auto"/>
              <w:jc w:val="left"/>
              <w:rPr>
                <w:rFonts w:hint="eastAsia" w:ascii="仿宋" w:eastAsia="仿宋" w:cs="仿宋"/>
                <w:sz w:val="24"/>
                <w:szCs w:val="24"/>
              </w:rPr>
            </w:pPr>
            <w:r>
              <w:rPr>
                <w:rFonts w:hint="eastAsia" w:ascii="仿宋" w:eastAsia="仿宋" w:cs="仿宋"/>
                <w:sz w:val="24"/>
                <w:szCs w:val="24"/>
              </w:rPr>
              <w:t>分析：</w:t>
            </w:r>
            <w:r>
              <w:rPr>
                <w:rFonts w:hint="eastAsia" w:ascii="仿宋" w:eastAsia="仿宋" w:cs="宋体"/>
                <w:sz w:val="24"/>
                <w:szCs w:val="24"/>
              </w:rPr>
              <w:t>中学优质课视频，划分</w:t>
            </w:r>
            <w:r>
              <w:rPr>
                <w:rFonts w:hint="eastAsia" w:ascii="仿宋" w:eastAsia="仿宋" w:cs="仿宋"/>
                <w:sz w:val="24"/>
                <w:szCs w:val="24"/>
              </w:rPr>
              <w:t>基本阶段，并说明其主要任务</w:t>
            </w:r>
          </w:p>
          <w:p w14:paraId="4B36F6F1">
            <w:pPr>
              <w:pageBreakBefore w:val="0"/>
              <w:kinsoku/>
              <w:overflowPunct/>
              <w:topLinePunct w:val="0"/>
              <w:bidi w:val="0"/>
              <w:adjustRightInd w:val="0"/>
              <w:snapToGrid w:val="0"/>
              <w:spacing w:line="240" w:lineRule="auto"/>
              <w:rPr>
                <w:rFonts w:hint="eastAsia" w:ascii="仿宋" w:eastAsia="仿宋"/>
                <w:sz w:val="24"/>
                <w:szCs w:val="24"/>
              </w:rPr>
            </w:pPr>
            <w:r>
              <w:rPr>
                <w:rFonts w:hint="eastAsia" w:ascii="仿宋" w:eastAsia="仿宋"/>
                <w:sz w:val="24"/>
                <w:szCs w:val="24"/>
              </w:rPr>
              <w:t>综合：选择中学教材教学内容设计音乐教学过程</w:t>
            </w:r>
          </w:p>
        </w:tc>
        <w:tc>
          <w:tcPr>
            <w:tcW w:w="878" w:type="dxa"/>
            <w:gridSpan w:val="2"/>
            <w:shd w:val="clear" w:color="auto" w:fill="auto"/>
            <w:noWrap w:val="0"/>
            <w:vAlign w:val="center"/>
          </w:tcPr>
          <w:p w14:paraId="340FD2A5">
            <w:pPr>
              <w:pageBreakBefore w:val="0"/>
              <w:kinsoku/>
              <w:overflowPunct/>
              <w:topLinePunct w:val="0"/>
              <w:bidi w:val="0"/>
              <w:adjustRightInd w:val="0"/>
              <w:snapToGrid w:val="0"/>
              <w:spacing w:line="240" w:lineRule="auto"/>
              <w:jc w:val="center"/>
              <w:rPr>
                <w:rFonts w:hint="eastAsia" w:ascii="仿宋" w:eastAsia="仿宋" w:cs="仿宋"/>
                <w:bCs/>
                <w:color w:val="auto"/>
                <w:sz w:val="24"/>
                <w:szCs w:val="24"/>
              </w:rPr>
            </w:pPr>
            <w:r>
              <w:rPr>
                <w:rFonts w:hint="eastAsia" w:ascii="仿宋" w:eastAsia="仿宋" w:cs="仿宋"/>
                <w:bCs/>
                <w:color w:val="auto"/>
                <w:sz w:val="24"/>
                <w:szCs w:val="24"/>
              </w:rPr>
              <w:t>支撑课程目标1</w:t>
            </w:r>
            <w:r>
              <w:rPr>
                <w:rFonts w:hint="eastAsia" w:ascii="仿宋" w:eastAsia="仿宋" w:cs="仿宋"/>
                <w:bCs/>
                <w:color w:val="auto"/>
                <w:sz w:val="24"/>
                <w:szCs w:val="24"/>
                <w:lang w:eastAsia="zh-CN"/>
              </w:rPr>
              <w:t>、</w:t>
            </w:r>
            <w:r>
              <w:rPr>
                <w:rFonts w:hint="eastAsia" w:ascii="仿宋" w:eastAsia="仿宋" w:cs="仿宋"/>
                <w:bCs/>
                <w:color w:val="auto"/>
                <w:sz w:val="24"/>
                <w:szCs w:val="24"/>
              </w:rPr>
              <w:t>2</w:t>
            </w:r>
            <w:r>
              <w:rPr>
                <w:rFonts w:hint="eastAsia" w:ascii="仿宋" w:eastAsia="仿宋" w:cs="仿宋"/>
                <w:bCs/>
                <w:color w:val="auto"/>
                <w:sz w:val="24"/>
                <w:szCs w:val="24"/>
                <w:lang w:val="en-US" w:eastAsia="zh-CN"/>
              </w:rPr>
              <w:t>、3、4</w:t>
            </w:r>
          </w:p>
        </w:tc>
        <w:tc>
          <w:tcPr>
            <w:tcW w:w="589" w:type="dxa"/>
            <w:shd w:val="clear" w:color="auto" w:fill="FFFFFF"/>
            <w:noWrap w:val="0"/>
            <w:vAlign w:val="center"/>
          </w:tcPr>
          <w:p w14:paraId="5BEEAF62">
            <w:pPr>
              <w:pageBreakBefore w:val="0"/>
              <w:kinsoku/>
              <w:overflowPunct/>
              <w:topLinePunct w:val="0"/>
              <w:bidi w:val="0"/>
              <w:adjustRightInd w:val="0"/>
              <w:snapToGrid w:val="0"/>
              <w:spacing w:line="240" w:lineRule="auto"/>
              <w:jc w:val="center"/>
              <w:rPr>
                <w:rFonts w:hint="eastAsia" w:ascii="仿宋" w:eastAsia="仿宋" w:cs="仿宋"/>
                <w:sz w:val="24"/>
                <w:szCs w:val="24"/>
                <w:lang w:eastAsia="zh-CN"/>
              </w:rPr>
            </w:pPr>
            <w:r>
              <w:rPr>
                <w:rFonts w:hint="eastAsia" w:ascii="仿宋" w:eastAsia="仿宋" w:cs="仿宋"/>
                <w:kern w:val="2"/>
                <w:sz w:val="24"/>
                <w:szCs w:val="24"/>
                <w:lang w:val="en-US" w:eastAsia="zh-CN"/>
              </w:rPr>
              <w:t>4</w:t>
            </w:r>
          </w:p>
        </w:tc>
      </w:tr>
      <w:tr w14:paraId="64363D67">
        <w:trPr>
          <w:trHeight w:val="624" w:hRule="atLeast"/>
        </w:trPr>
        <w:tc>
          <w:tcPr>
            <w:tcW w:w="1377" w:type="dxa"/>
            <w:vMerge w:val="continue"/>
            <w:shd w:val="clear" w:color="auto" w:fill="FFFFFF"/>
            <w:noWrap w:val="0"/>
            <w:vAlign w:val="center"/>
          </w:tcPr>
          <w:p w14:paraId="5FA47E49">
            <w:pPr>
              <w:pageBreakBefore w:val="0"/>
              <w:kinsoku/>
              <w:overflowPunct/>
              <w:topLinePunct w:val="0"/>
              <w:bidi w:val="0"/>
              <w:spacing w:line="240" w:lineRule="auto"/>
            </w:pPr>
          </w:p>
        </w:tc>
        <w:tc>
          <w:tcPr>
            <w:tcW w:w="6300" w:type="dxa"/>
            <w:gridSpan w:val="11"/>
            <w:shd w:val="clear" w:color="auto" w:fill="auto"/>
            <w:noWrap w:val="0"/>
            <w:vAlign w:val="center"/>
          </w:tcPr>
          <w:p w14:paraId="14AA25B6">
            <w:pPr>
              <w:pageBreakBefore w:val="0"/>
              <w:kinsoku/>
              <w:overflowPunct/>
              <w:topLinePunct w:val="0"/>
              <w:bidi w:val="0"/>
              <w:spacing w:line="240" w:lineRule="auto"/>
              <w:jc w:val="left"/>
              <w:rPr>
                <w:rFonts w:hint="eastAsia" w:ascii="仿宋" w:eastAsia="仿宋"/>
                <w:sz w:val="24"/>
                <w:szCs w:val="24"/>
              </w:rPr>
            </w:pPr>
            <w:r>
              <w:rPr>
                <w:rFonts w:hint="eastAsia" w:ascii="仿宋" w:eastAsia="仿宋" w:cs="仿宋"/>
                <w:sz w:val="24"/>
                <w:szCs w:val="24"/>
                <w:lang w:eastAsia="zh-Hans"/>
              </w:rPr>
              <w:t xml:space="preserve">第八章 </w:t>
            </w:r>
            <w:r>
              <w:rPr>
                <w:rFonts w:hint="eastAsia" w:ascii="仿宋" w:eastAsia="仿宋"/>
                <w:sz w:val="24"/>
                <w:szCs w:val="24"/>
              </w:rPr>
              <w:t>音乐教学模式与教学方法</w:t>
            </w:r>
          </w:p>
          <w:p w14:paraId="170AE6FD">
            <w:pPr>
              <w:pageBreakBefore w:val="0"/>
              <w:widowControl/>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知道：现当代主要音乐教育体系</w:t>
            </w:r>
          </w:p>
          <w:p w14:paraId="48DA561D">
            <w:pPr>
              <w:pageBreakBefore w:val="0"/>
              <w:widowControl/>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领会：音乐课程的教学模式与教学方法</w:t>
            </w:r>
          </w:p>
          <w:p w14:paraId="5D7EBD7A">
            <w:pPr>
              <w:pageBreakBefore w:val="0"/>
              <w:widowControl/>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应用：</w:t>
            </w:r>
            <w:r>
              <w:rPr>
                <w:rFonts w:hint="eastAsia" w:ascii="仿宋" w:eastAsia="仿宋" w:cs="仿宋"/>
                <w:bCs/>
                <w:sz w:val="24"/>
                <w:szCs w:val="24"/>
              </w:rPr>
              <w:t>音乐课程的各种教学模式、国内外常用的教学方法</w:t>
            </w:r>
          </w:p>
          <w:p w14:paraId="711499FA">
            <w:pPr>
              <w:pageBreakBefore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分析：</w:t>
            </w:r>
            <w:r>
              <w:rPr>
                <w:rFonts w:hint="eastAsia" w:ascii="仿宋" w:eastAsia="仿宋" w:cs="宋体"/>
                <w:sz w:val="24"/>
                <w:szCs w:val="24"/>
              </w:rPr>
              <w:t>中学优质课视频中应用的教学模式、</w:t>
            </w:r>
            <w:r>
              <w:rPr>
                <w:rFonts w:hint="eastAsia" w:ascii="仿宋" w:eastAsia="仿宋" w:cs="仿宋"/>
                <w:bCs/>
                <w:sz w:val="24"/>
                <w:szCs w:val="24"/>
              </w:rPr>
              <w:t>教学方法</w:t>
            </w:r>
          </w:p>
        </w:tc>
        <w:tc>
          <w:tcPr>
            <w:tcW w:w="878" w:type="dxa"/>
            <w:gridSpan w:val="2"/>
            <w:shd w:val="clear" w:color="auto" w:fill="auto"/>
            <w:noWrap w:val="0"/>
            <w:vAlign w:val="center"/>
          </w:tcPr>
          <w:p w14:paraId="1F7A278B">
            <w:pPr>
              <w:pageBreakBefore w:val="0"/>
              <w:kinsoku/>
              <w:overflowPunct/>
              <w:topLinePunct w:val="0"/>
              <w:bidi w:val="0"/>
              <w:adjustRightInd w:val="0"/>
              <w:snapToGrid w:val="0"/>
              <w:spacing w:line="240" w:lineRule="auto"/>
              <w:jc w:val="center"/>
              <w:rPr>
                <w:rFonts w:hint="eastAsia" w:ascii="仿宋" w:eastAsia="仿宋" w:cs="仿宋"/>
                <w:bCs/>
                <w:color w:val="auto"/>
                <w:sz w:val="24"/>
                <w:szCs w:val="24"/>
              </w:rPr>
            </w:pPr>
            <w:r>
              <w:rPr>
                <w:rFonts w:hint="eastAsia" w:ascii="仿宋" w:eastAsia="仿宋" w:cs="仿宋"/>
                <w:bCs/>
                <w:color w:val="auto"/>
                <w:sz w:val="24"/>
                <w:szCs w:val="24"/>
              </w:rPr>
              <w:t>支撑课程目标1</w:t>
            </w:r>
            <w:r>
              <w:rPr>
                <w:rFonts w:hint="eastAsia" w:ascii="仿宋" w:eastAsia="仿宋" w:cs="仿宋"/>
                <w:bCs/>
                <w:color w:val="auto"/>
                <w:sz w:val="24"/>
                <w:szCs w:val="24"/>
                <w:lang w:eastAsia="zh-CN"/>
              </w:rPr>
              <w:t>、</w:t>
            </w:r>
            <w:r>
              <w:rPr>
                <w:rFonts w:hint="eastAsia" w:ascii="仿宋" w:eastAsia="仿宋" w:cs="仿宋"/>
                <w:bCs/>
                <w:color w:val="auto"/>
                <w:sz w:val="24"/>
                <w:szCs w:val="24"/>
              </w:rPr>
              <w:t>2</w:t>
            </w:r>
            <w:r>
              <w:rPr>
                <w:rFonts w:hint="eastAsia" w:ascii="仿宋" w:eastAsia="仿宋" w:cs="仿宋"/>
                <w:bCs/>
                <w:color w:val="auto"/>
                <w:sz w:val="24"/>
                <w:szCs w:val="24"/>
                <w:lang w:val="en-US" w:eastAsia="zh-CN"/>
              </w:rPr>
              <w:t>、3、4</w:t>
            </w:r>
          </w:p>
        </w:tc>
        <w:tc>
          <w:tcPr>
            <w:tcW w:w="589" w:type="dxa"/>
            <w:shd w:val="clear" w:color="auto" w:fill="FFFFFF"/>
            <w:noWrap w:val="0"/>
            <w:vAlign w:val="center"/>
          </w:tcPr>
          <w:p w14:paraId="2758902B">
            <w:pPr>
              <w:pageBreakBefore w:val="0"/>
              <w:kinsoku/>
              <w:overflowPunct/>
              <w:topLinePunct w:val="0"/>
              <w:bidi w:val="0"/>
              <w:adjustRightInd w:val="0"/>
              <w:snapToGrid w:val="0"/>
              <w:spacing w:line="240" w:lineRule="auto"/>
              <w:rPr>
                <w:rFonts w:hint="eastAsia" w:ascii="仿宋" w:eastAsia="仿宋" w:cs="仿宋"/>
                <w:sz w:val="24"/>
                <w:szCs w:val="24"/>
              </w:rPr>
            </w:pPr>
          </w:p>
          <w:p w14:paraId="4DCFAB84">
            <w:pPr>
              <w:pageBreakBefore w:val="0"/>
              <w:kinsoku/>
              <w:overflowPunct/>
              <w:topLinePunct w:val="0"/>
              <w:bidi w:val="0"/>
              <w:adjustRightInd w:val="0"/>
              <w:snapToGrid w:val="0"/>
              <w:spacing w:line="240" w:lineRule="auto"/>
              <w:jc w:val="center"/>
              <w:rPr>
                <w:rFonts w:hint="eastAsia" w:ascii="仿宋" w:eastAsia="仿宋" w:cs="仿宋"/>
                <w:sz w:val="24"/>
                <w:szCs w:val="24"/>
                <w:lang w:eastAsia="zh-CN"/>
              </w:rPr>
            </w:pPr>
            <w:r>
              <w:rPr>
                <w:rFonts w:hint="eastAsia" w:ascii="仿宋" w:eastAsia="仿宋" w:cs="仿宋"/>
                <w:sz w:val="24"/>
                <w:szCs w:val="24"/>
                <w:lang w:val="en-US" w:eastAsia="zh-CN"/>
              </w:rPr>
              <w:t>6</w:t>
            </w:r>
          </w:p>
        </w:tc>
      </w:tr>
      <w:tr w14:paraId="0A258E0C">
        <w:trPr>
          <w:trHeight w:val="624" w:hRule="atLeast"/>
        </w:trPr>
        <w:tc>
          <w:tcPr>
            <w:tcW w:w="1377" w:type="dxa"/>
            <w:vMerge w:val="continue"/>
            <w:shd w:val="clear" w:color="auto" w:fill="FFFFFF"/>
            <w:noWrap w:val="0"/>
            <w:vAlign w:val="center"/>
          </w:tcPr>
          <w:p w14:paraId="4F7FC31F">
            <w:pPr>
              <w:pageBreakBefore w:val="0"/>
              <w:kinsoku/>
              <w:overflowPunct/>
              <w:topLinePunct w:val="0"/>
              <w:bidi w:val="0"/>
              <w:spacing w:line="240" w:lineRule="auto"/>
            </w:pPr>
          </w:p>
        </w:tc>
        <w:tc>
          <w:tcPr>
            <w:tcW w:w="6300" w:type="dxa"/>
            <w:gridSpan w:val="11"/>
            <w:shd w:val="clear" w:color="auto" w:fill="auto"/>
            <w:noWrap w:val="0"/>
            <w:vAlign w:val="center"/>
          </w:tcPr>
          <w:p w14:paraId="308B823F">
            <w:pPr>
              <w:pageBreakBefore w:val="0"/>
              <w:kinsoku/>
              <w:overflowPunct/>
              <w:topLinePunct w:val="0"/>
              <w:bidi w:val="0"/>
              <w:spacing w:line="240" w:lineRule="auto"/>
              <w:jc w:val="left"/>
              <w:rPr>
                <w:rFonts w:hint="eastAsia" w:ascii="仿宋" w:eastAsia="仿宋"/>
                <w:sz w:val="24"/>
                <w:szCs w:val="24"/>
              </w:rPr>
            </w:pPr>
            <w:r>
              <w:rPr>
                <w:rFonts w:hint="eastAsia" w:ascii="仿宋" w:eastAsia="仿宋" w:cs="仿宋"/>
                <w:sz w:val="24"/>
                <w:szCs w:val="24"/>
                <w:lang w:eastAsia="zh-Hans"/>
              </w:rPr>
              <w:t xml:space="preserve">第九章 </w:t>
            </w:r>
            <w:r>
              <w:rPr>
                <w:rFonts w:hint="eastAsia" w:ascii="仿宋" w:eastAsia="仿宋"/>
                <w:sz w:val="24"/>
                <w:szCs w:val="24"/>
              </w:rPr>
              <w:t>音乐教学评价</w:t>
            </w:r>
          </w:p>
          <w:p w14:paraId="192DE273">
            <w:pPr>
              <w:pageBreakBefore w:val="0"/>
              <w:widowControl/>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知道：音乐新课程评价理念和特点</w:t>
            </w:r>
          </w:p>
          <w:p w14:paraId="2A513CCF">
            <w:pPr>
              <w:pageBreakBefore w:val="0"/>
              <w:widowControl/>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领会：音乐新课程</w:t>
            </w:r>
            <w:r>
              <w:rPr>
                <w:rFonts w:hint="eastAsia" w:ascii="仿宋" w:eastAsia="仿宋"/>
                <w:sz w:val="24"/>
                <w:szCs w:val="24"/>
              </w:rPr>
              <w:t>评价基本方式与方法</w:t>
            </w:r>
          </w:p>
          <w:p w14:paraId="0A313C3F">
            <w:pPr>
              <w:pageBreakBefore w:val="0"/>
              <w:widowControl/>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应用：正确的音乐教学评价观对学生音乐学习过程与结果进行评价</w:t>
            </w:r>
          </w:p>
          <w:p w14:paraId="4773AA0D">
            <w:pPr>
              <w:pageBreakBefore w:val="0"/>
              <w:kinsoku/>
              <w:overflowPunct/>
              <w:topLinePunct w:val="0"/>
              <w:bidi w:val="0"/>
              <w:adjustRightInd w:val="0"/>
              <w:snapToGrid w:val="0"/>
              <w:spacing w:line="240" w:lineRule="auto"/>
              <w:rPr>
                <w:rFonts w:hint="eastAsia" w:ascii="仿宋" w:eastAsia="仿宋"/>
                <w:sz w:val="24"/>
                <w:szCs w:val="24"/>
              </w:rPr>
            </w:pPr>
            <w:r>
              <w:rPr>
                <w:rFonts w:hint="eastAsia" w:ascii="仿宋" w:eastAsia="仿宋" w:cs="仿宋"/>
                <w:sz w:val="24"/>
                <w:szCs w:val="24"/>
              </w:rPr>
              <w:t>分析：</w:t>
            </w:r>
            <w:r>
              <w:rPr>
                <w:rFonts w:hint="eastAsia" w:ascii="仿宋" w:eastAsia="仿宋" w:cs="宋体"/>
                <w:sz w:val="24"/>
                <w:szCs w:val="24"/>
              </w:rPr>
              <w:t>中学优质课视频中应用的评价</w:t>
            </w:r>
            <w:r>
              <w:rPr>
                <w:rFonts w:hint="eastAsia" w:ascii="仿宋" w:eastAsia="仿宋"/>
                <w:sz w:val="24"/>
                <w:szCs w:val="24"/>
              </w:rPr>
              <w:t>方式与方法</w:t>
            </w:r>
          </w:p>
          <w:p w14:paraId="24F097D4">
            <w:pPr>
              <w:pageBreakBefore w:val="0"/>
              <w:kinsoku/>
              <w:overflowPunct/>
              <w:topLinePunct w:val="0"/>
              <w:bidi w:val="0"/>
              <w:adjustRightInd w:val="0"/>
              <w:snapToGrid w:val="0"/>
              <w:spacing w:line="240" w:lineRule="auto"/>
              <w:rPr>
                <w:rFonts w:hint="eastAsia" w:ascii="仿宋" w:eastAsia="仿宋" w:cs="仿宋"/>
                <w:sz w:val="24"/>
                <w:szCs w:val="24"/>
                <w:lang w:eastAsia="zh-Hans"/>
              </w:rPr>
            </w:pPr>
            <w:r>
              <w:rPr>
                <w:rFonts w:hint="eastAsia" w:ascii="仿宋" w:eastAsia="仿宋" w:cs="仿宋"/>
                <w:bCs/>
                <w:sz w:val="24"/>
                <w:szCs w:val="24"/>
              </w:rPr>
              <w:t>评价：</w:t>
            </w:r>
            <w:r>
              <w:rPr>
                <w:rFonts w:hint="eastAsia" w:ascii="仿宋" w:eastAsia="仿宋" w:cs="宋体"/>
                <w:sz w:val="24"/>
                <w:szCs w:val="24"/>
              </w:rPr>
              <w:t>中学优质课视频中师生评价的优劣</w:t>
            </w:r>
          </w:p>
        </w:tc>
        <w:tc>
          <w:tcPr>
            <w:tcW w:w="878" w:type="dxa"/>
            <w:gridSpan w:val="2"/>
            <w:shd w:val="clear" w:color="auto" w:fill="auto"/>
            <w:noWrap w:val="0"/>
            <w:vAlign w:val="center"/>
          </w:tcPr>
          <w:p w14:paraId="5FDE6B94">
            <w:pPr>
              <w:pageBreakBefore w:val="0"/>
              <w:kinsoku/>
              <w:overflowPunct/>
              <w:topLinePunct w:val="0"/>
              <w:bidi w:val="0"/>
              <w:adjustRightInd w:val="0"/>
              <w:snapToGrid w:val="0"/>
              <w:spacing w:line="240" w:lineRule="auto"/>
              <w:jc w:val="center"/>
              <w:rPr>
                <w:rFonts w:hint="default" w:ascii="仿宋" w:eastAsia="仿宋" w:cs="仿宋"/>
                <w:bCs/>
                <w:color w:val="auto"/>
                <w:kern w:val="2"/>
                <w:sz w:val="24"/>
                <w:szCs w:val="24"/>
                <w:lang w:val="en-US" w:eastAsia="zh-CN"/>
              </w:rPr>
            </w:pPr>
            <w:r>
              <w:rPr>
                <w:rFonts w:hint="eastAsia" w:ascii="仿宋" w:eastAsia="仿宋" w:cs="仿宋"/>
                <w:bCs/>
                <w:color w:val="auto"/>
                <w:sz w:val="24"/>
                <w:szCs w:val="24"/>
              </w:rPr>
              <w:t>支撑课程目标1</w:t>
            </w:r>
            <w:r>
              <w:rPr>
                <w:rFonts w:hint="eastAsia" w:ascii="仿宋" w:eastAsia="仿宋" w:cs="仿宋"/>
                <w:bCs/>
                <w:color w:val="auto"/>
                <w:sz w:val="24"/>
                <w:szCs w:val="24"/>
                <w:lang w:eastAsia="zh-CN"/>
              </w:rPr>
              <w:t>、</w:t>
            </w:r>
            <w:r>
              <w:rPr>
                <w:rFonts w:hint="eastAsia" w:ascii="仿宋" w:eastAsia="仿宋" w:cs="仿宋"/>
                <w:bCs/>
                <w:color w:val="auto"/>
                <w:sz w:val="24"/>
                <w:szCs w:val="24"/>
              </w:rPr>
              <w:t>2</w:t>
            </w:r>
            <w:r>
              <w:rPr>
                <w:rFonts w:hint="eastAsia" w:ascii="仿宋" w:eastAsia="仿宋" w:cs="仿宋"/>
                <w:bCs/>
                <w:color w:val="auto"/>
                <w:sz w:val="24"/>
                <w:szCs w:val="24"/>
                <w:lang w:val="en-US" w:eastAsia="zh-CN"/>
              </w:rPr>
              <w:t>、3、4</w:t>
            </w:r>
          </w:p>
        </w:tc>
        <w:tc>
          <w:tcPr>
            <w:tcW w:w="589" w:type="dxa"/>
            <w:shd w:val="clear" w:color="auto" w:fill="FFFFFF"/>
            <w:noWrap w:val="0"/>
            <w:vAlign w:val="center"/>
          </w:tcPr>
          <w:p w14:paraId="499ACEA2">
            <w:pPr>
              <w:pageBreakBefore w:val="0"/>
              <w:kinsoku/>
              <w:overflowPunct/>
              <w:topLinePunct w:val="0"/>
              <w:bidi w:val="0"/>
              <w:adjustRightInd w:val="0"/>
              <w:snapToGrid w:val="0"/>
              <w:spacing w:line="240" w:lineRule="auto"/>
              <w:jc w:val="center"/>
              <w:rPr>
                <w:rFonts w:hint="eastAsia" w:ascii="仿宋" w:eastAsia="仿宋" w:cs="仿宋"/>
                <w:kern w:val="2"/>
                <w:sz w:val="24"/>
                <w:szCs w:val="24"/>
              </w:rPr>
            </w:pPr>
            <w:r>
              <w:rPr>
                <w:rFonts w:hint="eastAsia" w:ascii="仿宋" w:eastAsia="仿宋" w:cs="仿宋"/>
                <w:sz w:val="24"/>
                <w:szCs w:val="24"/>
              </w:rPr>
              <w:t>2</w:t>
            </w:r>
          </w:p>
        </w:tc>
      </w:tr>
      <w:tr w14:paraId="7943CEF1">
        <w:trPr>
          <w:trHeight w:val="624" w:hRule="atLeast"/>
        </w:trPr>
        <w:tc>
          <w:tcPr>
            <w:tcW w:w="1377" w:type="dxa"/>
            <w:vMerge w:val="continue"/>
            <w:shd w:val="clear" w:color="auto" w:fill="FFFFFF"/>
            <w:noWrap w:val="0"/>
            <w:vAlign w:val="center"/>
          </w:tcPr>
          <w:p w14:paraId="02CE6F66">
            <w:pPr>
              <w:pageBreakBefore w:val="0"/>
              <w:kinsoku/>
              <w:overflowPunct/>
              <w:topLinePunct w:val="0"/>
              <w:bidi w:val="0"/>
              <w:spacing w:line="240" w:lineRule="auto"/>
            </w:pPr>
          </w:p>
        </w:tc>
        <w:tc>
          <w:tcPr>
            <w:tcW w:w="6300" w:type="dxa"/>
            <w:gridSpan w:val="11"/>
            <w:shd w:val="clear" w:color="auto" w:fill="auto"/>
            <w:noWrap w:val="0"/>
            <w:vAlign w:val="center"/>
          </w:tcPr>
          <w:p w14:paraId="757F4761">
            <w:pPr>
              <w:pageBreakBefore w:val="0"/>
              <w:kinsoku/>
              <w:overflowPunct/>
              <w:topLinePunct w:val="0"/>
              <w:bidi w:val="0"/>
              <w:spacing w:line="240" w:lineRule="auto"/>
              <w:jc w:val="left"/>
              <w:rPr>
                <w:rFonts w:hint="eastAsia" w:ascii="仿宋" w:eastAsia="仿宋"/>
                <w:sz w:val="24"/>
                <w:szCs w:val="24"/>
              </w:rPr>
            </w:pPr>
            <w:r>
              <w:rPr>
                <w:rFonts w:hint="eastAsia" w:ascii="仿宋" w:eastAsia="仿宋" w:cs="仿宋"/>
                <w:sz w:val="24"/>
                <w:szCs w:val="24"/>
                <w:lang w:eastAsia="zh-Hans"/>
              </w:rPr>
              <w:t xml:space="preserve">第十章 </w:t>
            </w:r>
            <w:r>
              <w:rPr>
                <w:rFonts w:hint="eastAsia" w:ascii="仿宋" w:eastAsia="仿宋"/>
                <w:sz w:val="24"/>
                <w:szCs w:val="24"/>
              </w:rPr>
              <w:t>音乐教育课程资源的开发与利用</w:t>
            </w:r>
          </w:p>
          <w:p w14:paraId="2C52B420">
            <w:pPr>
              <w:pageBreakBefore w:val="0"/>
              <w:widowControl/>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知道：</w:t>
            </w:r>
            <w:r>
              <w:rPr>
                <w:rFonts w:hint="eastAsia" w:ascii="仿宋" w:eastAsia="仿宋"/>
                <w:sz w:val="24"/>
                <w:szCs w:val="24"/>
              </w:rPr>
              <w:t>音乐教育</w:t>
            </w:r>
            <w:r>
              <w:rPr>
                <w:rFonts w:hint="eastAsia" w:ascii="仿宋" w:eastAsia="仿宋" w:cs="仿宋"/>
                <w:sz w:val="24"/>
                <w:szCs w:val="24"/>
              </w:rPr>
              <w:t>课程资源的概念、分类</w:t>
            </w:r>
          </w:p>
          <w:p w14:paraId="2B45F4EF">
            <w:pPr>
              <w:pageBreakBefore w:val="0"/>
              <w:widowControl/>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领会：音乐教育课程资源开发的途径与方式</w:t>
            </w:r>
          </w:p>
          <w:p w14:paraId="769B78F9">
            <w:pPr>
              <w:pageBreakBefore w:val="0"/>
              <w:kinsoku/>
              <w:overflowPunct/>
              <w:topLinePunct w:val="0"/>
              <w:bidi w:val="0"/>
              <w:adjustRightInd w:val="0"/>
              <w:snapToGrid w:val="0"/>
              <w:spacing w:line="240" w:lineRule="auto"/>
              <w:rPr>
                <w:rFonts w:hint="eastAsia" w:ascii="仿宋" w:eastAsia="仿宋" w:cs="仿宋"/>
                <w:sz w:val="24"/>
                <w:szCs w:val="24"/>
                <w:lang w:eastAsia="zh-Hans"/>
              </w:rPr>
            </w:pPr>
            <w:r>
              <w:rPr>
                <w:rFonts w:hint="eastAsia" w:ascii="仿宋" w:eastAsia="仿宋" w:cs="仿宋"/>
                <w:sz w:val="24"/>
                <w:szCs w:val="24"/>
              </w:rPr>
              <w:t>应用：教师、学生、学校等由近及远开发教学资源</w:t>
            </w:r>
          </w:p>
        </w:tc>
        <w:tc>
          <w:tcPr>
            <w:tcW w:w="878" w:type="dxa"/>
            <w:gridSpan w:val="2"/>
            <w:shd w:val="clear" w:color="auto" w:fill="auto"/>
            <w:noWrap w:val="0"/>
            <w:vAlign w:val="center"/>
          </w:tcPr>
          <w:p w14:paraId="6BF4A10B">
            <w:pPr>
              <w:pageBreakBefore w:val="0"/>
              <w:kinsoku/>
              <w:overflowPunct/>
              <w:topLinePunct w:val="0"/>
              <w:bidi w:val="0"/>
              <w:adjustRightInd w:val="0"/>
              <w:snapToGrid w:val="0"/>
              <w:spacing w:line="240" w:lineRule="auto"/>
              <w:jc w:val="center"/>
              <w:rPr>
                <w:rFonts w:hint="eastAsia" w:ascii="仿宋" w:eastAsia="仿宋" w:cs="仿宋"/>
                <w:bCs/>
                <w:color w:val="auto"/>
                <w:kern w:val="2"/>
                <w:sz w:val="24"/>
                <w:szCs w:val="24"/>
              </w:rPr>
            </w:pPr>
            <w:r>
              <w:rPr>
                <w:rFonts w:hint="eastAsia" w:ascii="仿宋" w:eastAsia="仿宋" w:cs="仿宋"/>
                <w:bCs/>
                <w:color w:val="auto"/>
                <w:sz w:val="24"/>
                <w:szCs w:val="24"/>
              </w:rPr>
              <w:t>支撑课程目标1</w:t>
            </w:r>
            <w:r>
              <w:rPr>
                <w:rFonts w:hint="eastAsia" w:ascii="仿宋" w:eastAsia="仿宋" w:cs="仿宋"/>
                <w:bCs/>
                <w:color w:val="auto"/>
                <w:sz w:val="24"/>
                <w:szCs w:val="24"/>
                <w:lang w:eastAsia="zh-CN"/>
              </w:rPr>
              <w:t>、</w:t>
            </w:r>
            <w:r>
              <w:rPr>
                <w:rFonts w:hint="eastAsia" w:ascii="仿宋" w:eastAsia="仿宋" w:cs="仿宋"/>
                <w:bCs/>
                <w:color w:val="auto"/>
                <w:sz w:val="24"/>
                <w:szCs w:val="24"/>
              </w:rPr>
              <w:t>2</w:t>
            </w:r>
          </w:p>
        </w:tc>
        <w:tc>
          <w:tcPr>
            <w:tcW w:w="589" w:type="dxa"/>
            <w:shd w:val="clear" w:color="auto" w:fill="FFFFFF"/>
            <w:noWrap w:val="0"/>
            <w:vAlign w:val="center"/>
          </w:tcPr>
          <w:p w14:paraId="7B79C3D8">
            <w:pPr>
              <w:pageBreakBefore w:val="0"/>
              <w:kinsoku/>
              <w:overflowPunct/>
              <w:topLinePunct w:val="0"/>
              <w:bidi w:val="0"/>
              <w:adjustRightInd w:val="0"/>
              <w:snapToGrid w:val="0"/>
              <w:spacing w:line="240" w:lineRule="auto"/>
              <w:jc w:val="center"/>
              <w:rPr>
                <w:rFonts w:hint="eastAsia" w:ascii="仿宋" w:eastAsia="仿宋" w:cs="仿宋"/>
                <w:kern w:val="2"/>
                <w:sz w:val="24"/>
                <w:szCs w:val="24"/>
              </w:rPr>
            </w:pPr>
            <w:r>
              <w:rPr>
                <w:rFonts w:hint="eastAsia" w:ascii="仿宋" w:eastAsia="仿宋" w:cs="仿宋"/>
                <w:sz w:val="24"/>
                <w:szCs w:val="24"/>
              </w:rPr>
              <w:t>2</w:t>
            </w:r>
          </w:p>
        </w:tc>
      </w:tr>
      <w:tr w14:paraId="777B8275">
        <w:trPr>
          <w:trHeight w:val="624" w:hRule="atLeast"/>
        </w:trPr>
        <w:tc>
          <w:tcPr>
            <w:tcW w:w="1377" w:type="dxa"/>
            <w:vMerge w:val="continue"/>
            <w:shd w:val="clear" w:color="auto" w:fill="FFFFFF"/>
            <w:noWrap w:val="0"/>
            <w:vAlign w:val="center"/>
          </w:tcPr>
          <w:p w14:paraId="0C3F667B">
            <w:pPr>
              <w:pageBreakBefore w:val="0"/>
              <w:kinsoku/>
              <w:overflowPunct/>
              <w:topLinePunct w:val="0"/>
              <w:bidi w:val="0"/>
              <w:spacing w:line="240" w:lineRule="auto"/>
            </w:pPr>
          </w:p>
        </w:tc>
        <w:tc>
          <w:tcPr>
            <w:tcW w:w="7178" w:type="dxa"/>
            <w:gridSpan w:val="13"/>
            <w:shd w:val="clear" w:color="auto" w:fill="auto"/>
            <w:noWrap w:val="0"/>
            <w:vAlign w:val="center"/>
          </w:tcPr>
          <w:p w14:paraId="3EA98774">
            <w:pPr>
              <w:pageBreakBefore w:val="0"/>
              <w:kinsoku/>
              <w:overflowPunct/>
              <w:topLinePunct w:val="0"/>
              <w:bidi w:val="0"/>
              <w:adjustRightInd w:val="0"/>
              <w:snapToGrid w:val="0"/>
              <w:spacing w:line="240" w:lineRule="auto"/>
              <w:jc w:val="center"/>
              <w:rPr>
                <w:rFonts w:hint="eastAsia" w:ascii="仿宋" w:eastAsia="仿宋" w:cs="仿宋"/>
                <w:bCs/>
                <w:sz w:val="24"/>
                <w:szCs w:val="24"/>
              </w:rPr>
            </w:pPr>
            <w:r>
              <w:rPr>
                <w:rFonts w:hint="eastAsia" w:ascii="仿宋" w:eastAsia="仿宋" w:cs="仿宋"/>
                <w:bCs/>
                <w:sz w:val="24"/>
                <w:szCs w:val="24"/>
              </w:rPr>
              <w:t>合计</w:t>
            </w:r>
          </w:p>
        </w:tc>
        <w:tc>
          <w:tcPr>
            <w:tcW w:w="589" w:type="dxa"/>
            <w:shd w:val="clear" w:color="auto" w:fill="FFFFFF"/>
            <w:noWrap w:val="0"/>
            <w:vAlign w:val="center"/>
          </w:tcPr>
          <w:p w14:paraId="60D803CE">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32</w:t>
            </w:r>
          </w:p>
        </w:tc>
      </w:tr>
      <w:tr w14:paraId="5D7FD643">
        <w:trPr>
          <w:trHeight w:val="624" w:hRule="atLeast"/>
        </w:trPr>
        <w:tc>
          <w:tcPr>
            <w:tcW w:w="1377" w:type="dxa"/>
            <w:noWrap w:val="0"/>
            <w:vAlign w:val="center"/>
          </w:tcPr>
          <w:p w14:paraId="68739FFD">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I</w:t>
            </w:r>
          </w:p>
          <w:p w14:paraId="35BC27A4">
            <w:pPr>
              <w:pageBreakBefore w:val="0"/>
              <w:kinsoku/>
              <w:overflowPunct/>
              <w:topLinePunct w:val="0"/>
              <w:bidi w:val="0"/>
              <w:adjustRightInd w:val="0"/>
              <w:snapToGrid w:val="0"/>
              <w:spacing w:line="240" w:lineRule="auto"/>
              <w:jc w:val="center"/>
              <w:rPr>
                <w:rFonts w:hint="eastAsia" w:ascii="仿宋" w:eastAsia="仿宋" w:cs="仿宋"/>
                <w:sz w:val="24"/>
                <w:szCs w:val="24"/>
                <w:lang w:eastAsia="zh-TW"/>
              </w:rPr>
            </w:pPr>
            <w:r>
              <w:rPr>
                <w:rFonts w:hint="eastAsia" w:ascii="仿宋" w:eastAsia="仿宋" w:cs="仿宋"/>
                <w:sz w:val="24"/>
                <w:szCs w:val="24"/>
              </w:rPr>
              <w:t>教学方法与教学方式</w:t>
            </w:r>
          </w:p>
        </w:tc>
        <w:tc>
          <w:tcPr>
            <w:tcW w:w="7767" w:type="dxa"/>
            <w:gridSpan w:val="14"/>
            <w:tcBorders>
              <w:bottom w:val="single" w:color="auto" w:sz="4" w:space="0"/>
            </w:tcBorders>
            <w:noWrap w:val="0"/>
            <w:vAlign w:val="center"/>
          </w:tcPr>
          <w:p w14:paraId="32930633">
            <w:pPr>
              <w:pageBreakBefore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1.</w:t>
            </w:r>
            <w:r>
              <w:rPr>
                <w:rFonts w:hint="eastAsia" w:ascii="仿宋" w:eastAsia="仿宋" w:cs="仿宋"/>
                <w:sz w:val="24"/>
                <w:szCs w:val="24"/>
                <w:lang w:eastAsia="zh-Hans"/>
              </w:rPr>
              <w:t>实时关注我国中学音乐教育发展动态，在课堂教学中将所学章节内容与新课程标准、中学音乐教材相结合，对全国优质课案例进行分析、评价与课堂实践，实时检验教学目标达成情况。</w:t>
            </w:r>
          </w:p>
          <w:p w14:paraId="37E94D96">
            <w:pPr>
              <w:pageBreakBefore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2.重视师生互动与小组活动，组织课堂小组讨论等活动，将课堂教学变为师生共同活动的过程，</w:t>
            </w:r>
            <w:r>
              <w:rPr>
                <w:rFonts w:hint="eastAsia" w:ascii="仿宋" w:eastAsia="仿宋" w:cs="仿宋"/>
                <w:sz w:val="24"/>
                <w:szCs w:val="24"/>
                <w:lang w:eastAsia="zh-Hans"/>
              </w:rPr>
              <w:t>并利用互联网之便利</w:t>
            </w:r>
            <w:r>
              <w:rPr>
                <w:rFonts w:hint="eastAsia" w:ascii="仿宋" w:eastAsia="仿宋" w:cs="仿宋"/>
                <w:sz w:val="24"/>
                <w:szCs w:val="24"/>
              </w:rPr>
              <w:t>，</w:t>
            </w:r>
            <w:r>
              <w:rPr>
                <w:rFonts w:hint="eastAsia" w:ascii="仿宋" w:eastAsia="仿宋" w:cs="仿宋"/>
                <w:sz w:val="24"/>
                <w:szCs w:val="24"/>
                <w:lang w:eastAsia="zh-Hans"/>
              </w:rPr>
              <w:t>课后</w:t>
            </w:r>
            <w:r>
              <w:rPr>
                <w:rFonts w:hint="eastAsia" w:ascii="仿宋" w:eastAsia="仿宋" w:cs="仿宋"/>
                <w:sz w:val="24"/>
                <w:szCs w:val="24"/>
              </w:rPr>
              <w:t>与学生及时沟通、交流。</w:t>
            </w:r>
          </w:p>
          <w:p w14:paraId="5C9E3C36">
            <w:pPr>
              <w:pageBreakBefore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3.</w:t>
            </w:r>
            <w:r>
              <w:rPr>
                <w:rFonts w:hint="eastAsia" w:ascii="仿宋" w:eastAsia="仿宋" w:cs="仿宋"/>
                <w:sz w:val="24"/>
                <w:szCs w:val="24"/>
                <w:lang w:eastAsia="zh-Hans"/>
              </w:rPr>
              <w:t>注重课堂评价，采用师生评价相结合的方法。</w:t>
            </w:r>
          </w:p>
          <w:p w14:paraId="11B4055B">
            <w:pPr>
              <w:pageBreakBefore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4.主要方式：</w:t>
            </w:r>
          </w:p>
          <w:p w14:paraId="72AD8AD2">
            <w:pPr>
              <w:pageBreakBefore w:val="0"/>
              <w:kinsoku/>
              <w:overflowPunct/>
              <w:topLinePunct w:val="0"/>
              <w:bidi w:val="0"/>
              <w:adjustRightInd w:val="0"/>
              <w:snapToGrid w:val="0"/>
              <w:spacing w:line="240" w:lineRule="auto"/>
              <w:rPr>
                <w:rFonts w:hint="eastAsia" w:ascii="仿宋" w:eastAsia="仿宋" w:cs="仿宋"/>
                <w:sz w:val="24"/>
                <w:szCs w:val="24"/>
              </w:rPr>
            </w:pPr>
            <w:r>
              <w:rPr>
                <w:rFonts w:ascii="仿宋" w:eastAsia="仿宋" w:cs="仿宋"/>
                <w:sz w:val="24"/>
                <w:szCs w:val="24"/>
              </w:rPr>
              <w:sym w:font="Wingdings" w:char="00FE"/>
            </w:r>
            <w:r>
              <w:rPr>
                <w:rFonts w:hint="eastAsia" w:ascii="仿宋" w:eastAsia="仿宋" w:cs="仿宋"/>
                <w:sz w:val="24"/>
                <w:szCs w:val="24"/>
              </w:rPr>
              <w:t xml:space="preserve">讲授  </w:t>
            </w:r>
            <w:r>
              <w:rPr>
                <w:rFonts w:ascii="仿宋" w:eastAsia="仿宋" w:cs="仿宋"/>
                <w:sz w:val="24"/>
                <w:szCs w:val="24"/>
              </w:rPr>
              <w:sym w:font="Wingdings" w:char="00FE"/>
            </w:r>
            <w:r>
              <w:rPr>
                <w:rFonts w:hint="eastAsia" w:ascii="仿宋" w:eastAsia="仿宋" w:cs="仿宋"/>
                <w:sz w:val="24"/>
                <w:szCs w:val="24"/>
              </w:rPr>
              <w:t xml:space="preserve">网络学习  </w:t>
            </w:r>
            <w:r>
              <w:rPr>
                <w:rFonts w:ascii="仿宋" w:eastAsia="仿宋" w:cs="仿宋"/>
                <w:sz w:val="24"/>
                <w:szCs w:val="24"/>
              </w:rPr>
              <w:sym w:font="Wingdings" w:char="00FE"/>
            </w:r>
            <w:r>
              <w:rPr>
                <w:rFonts w:hint="eastAsia" w:ascii="仿宋" w:eastAsia="仿宋" w:cs="仿宋"/>
                <w:sz w:val="24"/>
                <w:szCs w:val="24"/>
              </w:rPr>
              <w:t xml:space="preserve">讨论或座谈  </w:t>
            </w:r>
            <w:r>
              <w:rPr>
                <w:rFonts w:ascii="仿宋" w:eastAsia="仿宋" w:cs="仿宋"/>
                <w:sz w:val="24"/>
                <w:szCs w:val="24"/>
              </w:rPr>
              <w:sym w:font="Wingdings" w:char="00A8"/>
            </w:r>
            <w:r>
              <w:rPr>
                <w:rFonts w:hint="eastAsia" w:ascii="仿宋" w:eastAsia="仿宋" w:cs="仿宋"/>
                <w:sz w:val="24"/>
                <w:szCs w:val="24"/>
              </w:rPr>
              <w:t xml:space="preserve">问题导向学  </w:t>
            </w:r>
          </w:p>
          <w:p w14:paraId="0A64788A">
            <w:pPr>
              <w:pageBreakBefore w:val="0"/>
              <w:kinsoku/>
              <w:overflowPunct/>
              <w:topLinePunct w:val="0"/>
              <w:bidi w:val="0"/>
              <w:adjustRightInd w:val="0"/>
              <w:snapToGrid w:val="0"/>
              <w:spacing w:line="240" w:lineRule="auto"/>
              <w:rPr>
                <w:rFonts w:hint="eastAsia" w:ascii="仿宋" w:eastAsia="仿宋" w:cs="仿宋"/>
                <w:sz w:val="24"/>
                <w:szCs w:val="24"/>
              </w:rPr>
            </w:pPr>
            <w:r>
              <w:rPr>
                <w:rFonts w:ascii="仿宋" w:eastAsia="仿宋" w:cs="仿宋"/>
                <w:sz w:val="24"/>
                <w:szCs w:val="24"/>
              </w:rPr>
              <w:sym w:font="Wingdings" w:char="00FE"/>
            </w:r>
            <w:r>
              <w:rPr>
                <w:rFonts w:hint="eastAsia" w:ascii="仿宋" w:eastAsia="仿宋" w:cs="仿宋"/>
                <w:sz w:val="24"/>
                <w:szCs w:val="24"/>
              </w:rPr>
              <w:t xml:space="preserve">分组合作学习  </w:t>
            </w:r>
            <w:r>
              <w:rPr>
                <w:rFonts w:ascii="仿宋" w:eastAsia="仿宋" w:cs="仿宋"/>
                <w:sz w:val="24"/>
                <w:szCs w:val="24"/>
              </w:rPr>
              <w:sym w:font="Wingdings" w:char="00A8"/>
            </w:r>
            <w:r>
              <w:rPr>
                <w:rFonts w:hint="eastAsia" w:ascii="仿宋" w:eastAsia="仿宋" w:cs="仿宋"/>
                <w:sz w:val="24"/>
                <w:szCs w:val="24"/>
              </w:rPr>
              <w:t xml:space="preserve">专题学习  </w:t>
            </w:r>
            <w:r>
              <w:rPr>
                <w:rFonts w:ascii="仿宋" w:eastAsia="仿宋" w:cs="仿宋"/>
                <w:sz w:val="24"/>
                <w:szCs w:val="24"/>
              </w:rPr>
              <w:sym w:font="Wingdings" w:char="00A8"/>
            </w:r>
            <w:r>
              <w:rPr>
                <w:rFonts w:hint="eastAsia" w:ascii="仿宋" w:eastAsia="仿宋" w:cs="仿宋"/>
                <w:sz w:val="24"/>
                <w:szCs w:val="24"/>
              </w:rPr>
              <w:t xml:space="preserve">实作学习  </w:t>
            </w:r>
            <w:r>
              <w:rPr>
                <w:rFonts w:ascii="仿宋" w:eastAsia="仿宋" w:cs="仿宋"/>
                <w:sz w:val="24"/>
                <w:szCs w:val="24"/>
              </w:rPr>
              <w:sym w:font="Wingdings" w:char="00A8"/>
            </w:r>
            <w:r>
              <w:rPr>
                <w:rFonts w:hint="eastAsia" w:ascii="仿宋" w:eastAsia="仿宋" w:cs="仿宋"/>
                <w:sz w:val="24"/>
                <w:szCs w:val="24"/>
              </w:rPr>
              <w:t xml:space="preserve">发表学习  </w:t>
            </w:r>
          </w:p>
          <w:p w14:paraId="67965254">
            <w:pPr>
              <w:pageBreakBefore w:val="0"/>
              <w:kinsoku/>
              <w:overflowPunct/>
              <w:topLinePunct w:val="0"/>
              <w:bidi w:val="0"/>
              <w:adjustRightInd w:val="0"/>
              <w:snapToGrid w:val="0"/>
              <w:spacing w:line="240" w:lineRule="auto"/>
              <w:rPr>
                <w:rFonts w:hint="eastAsia" w:ascii="仿宋" w:eastAsia="仿宋" w:cs="仿宋"/>
                <w:sz w:val="24"/>
                <w:szCs w:val="24"/>
              </w:rPr>
            </w:pPr>
            <w:r>
              <w:rPr>
                <w:rFonts w:ascii="仿宋" w:eastAsia="仿宋" w:cs="仿宋"/>
                <w:sz w:val="24"/>
                <w:szCs w:val="24"/>
              </w:rPr>
              <w:sym w:font="Wingdings" w:char="00A8"/>
            </w:r>
            <w:r>
              <w:rPr>
                <w:rFonts w:hint="eastAsia" w:ascii="仿宋" w:eastAsia="仿宋" w:cs="仿宋"/>
                <w:sz w:val="24"/>
                <w:szCs w:val="24"/>
              </w:rPr>
              <w:t xml:space="preserve">实习  </w:t>
            </w:r>
            <w:r>
              <w:rPr>
                <w:rFonts w:ascii="仿宋" w:eastAsia="仿宋" w:cs="仿宋"/>
                <w:sz w:val="24"/>
                <w:szCs w:val="24"/>
              </w:rPr>
              <w:sym w:font="Wingdings" w:char="00A8"/>
            </w:r>
            <w:r>
              <w:rPr>
                <w:rFonts w:hint="eastAsia" w:ascii="仿宋" w:eastAsia="仿宋" w:cs="仿宋"/>
                <w:sz w:val="24"/>
                <w:szCs w:val="24"/>
              </w:rPr>
              <w:t xml:space="preserve">参观访问  </w:t>
            </w:r>
            <w:r>
              <w:rPr>
                <w:rFonts w:ascii="仿宋" w:eastAsia="仿宋" w:cs="仿宋"/>
                <w:sz w:val="24"/>
                <w:szCs w:val="24"/>
              </w:rPr>
              <w:sym w:font="Wingdings" w:char="00A8"/>
            </w:r>
            <w:r>
              <w:rPr>
                <w:rFonts w:hint="eastAsia" w:ascii="仿宋" w:eastAsia="仿宋" w:cs="仿宋"/>
                <w:sz w:val="24"/>
                <w:szCs w:val="24"/>
              </w:rPr>
              <w:t>其它：</w:t>
            </w:r>
            <w:r>
              <w:rPr>
                <w:rFonts w:hint="eastAsia" w:ascii="仿宋" w:eastAsia="仿宋" w:cs="仿宋"/>
                <w:sz w:val="24"/>
                <w:szCs w:val="24"/>
                <w:u w:val="single"/>
              </w:rPr>
              <w:t xml:space="preserve">        </w:t>
            </w:r>
            <w:r>
              <w:rPr>
                <w:rFonts w:hint="eastAsia" w:ascii="仿宋" w:eastAsia="仿宋" w:cs="仿宋"/>
                <w:sz w:val="24"/>
                <w:szCs w:val="24"/>
              </w:rPr>
              <w:t>(如口头训练等)</w:t>
            </w:r>
          </w:p>
        </w:tc>
      </w:tr>
      <w:tr w14:paraId="5F80C088">
        <w:trPr>
          <w:trHeight w:val="624" w:hRule="atLeast"/>
        </w:trPr>
        <w:tc>
          <w:tcPr>
            <w:tcW w:w="1377" w:type="dxa"/>
            <w:noWrap w:val="0"/>
            <w:vAlign w:val="center"/>
          </w:tcPr>
          <w:p w14:paraId="0EFCC6FD">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J</w:t>
            </w:r>
          </w:p>
          <w:p w14:paraId="57B93520">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教学条件</w:t>
            </w:r>
          </w:p>
          <w:p w14:paraId="58CD2288">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需求</w:t>
            </w:r>
          </w:p>
        </w:tc>
        <w:tc>
          <w:tcPr>
            <w:tcW w:w="7767" w:type="dxa"/>
            <w:gridSpan w:val="14"/>
            <w:tcBorders>
              <w:bottom w:val="single" w:color="auto" w:sz="4" w:space="0"/>
            </w:tcBorders>
            <w:noWrap w:val="0"/>
            <w:vAlign w:val="center"/>
          </w:tcPr>
          <w:p w14:paraId="0A2F1D73">
            <w:pPr>
              <w:pageBreakBefore w:val="0"/>
              <w:tabs>
                <w:tab w:val="left" w:pos="720"/>
              </w:tabs>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lang w:eastAsia="zh-Hans"/>
              </w:rPr>
              <w:t>“一课双师”教师配备</w:t>
            </w:r>
          </w:p>
        </w:tc>
      </w:tr>
      <w:tr w14:paraId="498E3859">
        <w:trPr>
          <w:trHeight w:val="624" w:hRule="atLeast"/>
        </w:trPr>
        <w:tc>
          <w:tcPr>
            <w:tcW w:w="1377" w:type="dxa"/>
            <w:vMerge w:val="restart"/>
            <w:noWrap w:val="0"/>
            <w:vAlign w:val="center"/>
          </w:tcPr>
          <w:p w14:paraId="67FE598C">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K</w:t>
            </w:r>
          </w:p>
          <w:p w14:paraId="0A5B179F">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课程目标及其考核内容、考核方式及评分占比</w:t>
            </w:r>
          </w:p>
        </w:tc>
        <w:tc>
          <w:tcPr>
            <w:tcW w:w="1301" w:type="dxa"/>
            <w:gridSpan w:val="2"/>
            <w:vMerge w:val="restart"/>
            <w:noWrap w:val="0"/>
            <w:vAlign w:val="center"/>
          </w:tcPr>
          <w:p w14:paraId="08AC5F9C">
            <w:pPr>
              <w:pageBreakBefore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课程目标及评分占比</w:t>
            </w:r>
          </w:p>
        </w:tc>
        <w:tc>
          <w:tcPr>
            <w:tcW w:w="3095" w:type="dxa"/>
            <w:gridSpan w:val="4"/>
            <w:vMerge w:val="restart"/>
            <w:tcBorders>
              <w:right w:val="single" w:color="000000" w:sz="4" w:space="0"/>
            </w:tcBorders>
            <w:noWrap w:val="0"/>
            <w:vAlign w:val="center"/>
          </w:tcPr>
          <w:p w14:paraId="211AF9AC">
            <w:pPr>
              <w:pageBreakBefore w:val="0"/>
              <w:kinsoku/>
              <w:overflowPunct/>
              <w:topLinePunct w:val="0"/>
              <w:bidi w:val="0"/>
              <w:adjustRightInd w:val="0"/>
              <w:snapToGrid w:val="0"/>
              <w:spacing w:line="240" w:lineRule="auto"/>
              <w:jc w:val="center"/>
              <w:rPr>
                <w:rStyle w:val="368"/>
                <w:rFonts w:hint="eastAsia" w:ascii="仿宋" w:eastAsia="仿宋"/>
                <w:sz w:val="24"/>
                <w:szCs w:val="24"/>
                <w:lang w:eastAsia="zh-Hans"/>
              </w:rPr>
            </w:pPr>
            <w:r>
              <w:rPr>
                <w:rStyle w:val="368"/>
                <w:rFonts w:hint="eastAsia" w:ascii="仿宋" w:eastAsia="仿宋"/>
                <w:sz w:val="24"/>
                <w:szCs w:val="24"/>
                <w:lang w:eastAsia="zh-Hans"/>
              </w:rPr>
              <w:t>考核内容</w:t>
            </w:r>
          </w:p>
        </w:tc>
        <w:tc>
          <w:tcPr>
            <w:tcW w:w="2782" w:type="dxa"/>
            <w:gridSpan w:val="7"/>
            <w:tcBorders>
              <w:left w:val="single" w:color="000000" w:sz="4" w:space="0"/>
              <w:right w:val="single" w:color="000000" w:sz="4" w:space="0"/>
            </w:tcBorders>
            <w:noWrap w:val="0"/>
            <w:vAlign w:val="center"/>
          </w:tcPr>
          <w:p w14:paraId="0DEEF761">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考核方式</w:t>
            </w:r>
          </w:p>
        </w:tc>
        <w:tc>
          <w:tcPr>
            <w:tcW w:w="589" w:type="dxa"/>
            <w:vMerge w:val="restart"/>
            <w:tcBorders>
              <w:left w:val="single" w:color="000000" w:sz="4" w:space="0"/>
            </w:tcBorders>
            <w:noWrap w:val="0"/>
            <w:vAlign w:val="center"/>
          </w:tcPr>
          <w:p w14:paraId="5EB7254B">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课程分目标的达成度</w:t>
            </w:r>
          </w:p>
        </w:tc>
      </w:tr>
      <w:tr w14:paraId="326E52D4">
        <w:trPr>
          <w:trHeight w:val="624" w:hRule="atLeast"/>
        </w:trPr>
        <w:tc>
          <w:tcPr>
            <w:tcW w:w="1377" w:type="dxa"/>
            <w:vMerge w:val="continue"/>
            <w:noWrap w:val="0"/>
            <w:vAlign w:val="center"/>
          </w:tcPr>
          <w:p w14:paraId="4ED62650">
            <w:pPr>
              <w:pageBreakBefore w:val="0"/>
              <w:kinsoku/>
              <w:overflowPunct/>
              <w:topLinePunct w:val="0"/>
              <w:bidi w:val="0"/>
              <w:spacing w:line="240" w:lineRule="auto"/>
            </w:pPr>
          </w:p>
        </w:tc>
        <w:tc>
          <w:tcPr>
            <w:tcW w:w="1301" w:type="dxa"/>
            <w:gridSpan w:val="2"/>
            <w:vMerge w:val="continue"/>
            <w:tcBorders>
              <w:tl2br w:val="single" w:color="auto" w:sz="4" w:space="0"/>
            </w:tcBorders>
            <w:noWrap w:val="0"/>
            <w:vAlign w:val="center"/>
          </w:tcPr>
          <w:p w14:paraId="72D0C248">
            <w:pPr>
              <w:pageBreakBefore w:val="0"/>
              <w:kinsoku/>
              <w:overflowPunct/>
              <w:topLinePunct w:val="0"/>
              <w:bidi w:val="0"/>
              <w:spacing w:line="240" w:lineRule="auto"/>
            </w:pPr>
          </w:p>
        </w:tc>
        <w:tc>
          <w:tcPr>
            <w:tcW w:w="3095" w:type="dxa"/>
            <w:gridSpan w:val="4"/>
            <w:vMerge w:val="continue"/>
            <w:tcBorders>
              <w:right w:val="single" w:color="000000" w:sz="4" w:space="0"/>
            </w:tcBorders>
            <w:noWrap w:val="0"/>
            <w:vAlign w:val="center"/>
          </w:tcPr>
          <w:p w14:paraId="3CF84F0F">
            <w:pPr>
              <w:pageBreakBefore w:val="0"/>
              <w:kinsoku/>
              <w:overflowPunct/>
              <w:topLinePunct w:val="0"/>
              <w:bidi w:val="0"/>
              <w:spacing w:line="240" w:lineRule="auto"/>
            </w:pPr>
          </w:p>
        </w:tc>
        <w:tc>
          <w:tcPr>
            <w:tcW w:w="720" w:type="dxa"/>
            <w:gridSpan w:val="2"/>
            <w:tcBorders>
              <w:left w:val="single" w:color="000000" w:sz="4" w:space="0"/>
            </w:tcBorders>
            <w:noWrap w:val="0"/>
            <w:vAlign w:val="top"/>
          </w:tcPr>
          <w:p w14:paraId="3B6524CC">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平时</w:t>
            </w:r>
            <w:r>
              <w:rPr>
                <w:rFonts w:hint="eastAsia" w:ascii="仿宋" w:eastAsia="仿宋" w:cs="仿宋"/>
                <w:sz w:val="24"/>
                <w:szCs w:val="24"/>
                <w:lang w:eastAsia="zh-Hans"/>
              </w:rPr>
              <w:t>表现</w:t>
            </w:r>
            <w:r>
              <w:rPr>
                <w:rFonts w:hint="eastAsia" w:ascii="仿宋" w:eastAsia="仿宋" w:cs="仿宋"/>
                <w:sz w:val="24"/>
                <w:szCs w:val="24"/>
              </w:rPr>
              <w:t>占比</w:t>
            </w:r>
            <w:r>
              <w:rPr>
                <w:rFonts w:hint="eastAsia" w:ascii="仿宋" w:eastAsia="仿宋" w:cs="仿宋"/>
                <w:sz w:val="18"/>
                <w:szCs w:val="18"/>
              </w:rPr>
              <w:t>（10%）</w:t>
            </w:r>
          </w:p>
        </w:tc>
        <w:tc>
          <w:tcPr>
            <w:tcW w:w="719" w:type="dxa"/>
            <w:tcBorders>
              <w:bottom w:val="single" w:color="auto" w:sz="4" w:space="0"/>
              <w:right w:val="single" w:color="000000" w:sz="4" w:space="0"/>
            </w:tcBorders>
            <w:noWrap w:val="0"/>
            <w:vAlign w:val="top"/>
          </w:tcPr>
          <w:p w14:paraId="545CA1B6">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作业评分占比</w:t>
            </w:r>
            <w:r>
              <w:rPr>
                <w:rFonts w:hint="eastAsia" w:ascii="仿宋" w:eastAsia="仿宋" w:cs="仿宋"/>
                <w:sz w:val="18"/>
                <w:szCs w:val="18"/>
              </w:rPr>
              <w:t>（10%）</w:t>
            </w:r>
          </w:p>
        </w:tc>
        <w:tc>
          <w:tcPr>
            <w:tcW w:w="672" w:type="dxa"/>
            <w:gridSpan w:val="3"/>
            <w:tcBorders>
              <w:left w:val="single" w:color="000000" w:sz="4" w:space="0"/>
              <w:bottom w:val="single" w:color="auto" w:sz="4" w:space="0"/>
            </w:tcBorders>
            <w:noWrap w:val="0"/>
            <w:vAlign w:val="top"/>
          </w:tcPr>
          <w:p w14:paraId="3C9C7166">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期中考试评分占比</w:t>
            </w:r>
            <w:r>
              <w:rPr>
                <w:rFonts w:hint="eastAsia" w:ascii="仿宋" w:eastAsia="仿宋" w:cs="仿宋"/>
                <w:sz w:val="18"/>
                <w:szCs w:val="18"/>
              </w:rPr>
              <w:t>（30%）</w:t>
            </w:r>
          </w:p>
        </w:tc>
        <w:tc>
          <w:tcPr>
            <w:tcW w:w="671" w:type="dxa"/>
            <w:tcBorders>
              <w:bottom w:val="single" w:color="auto" w:sz="4" w:space="0"/>
              <w:right w:val="single" w:color="000000" w:sz="4" w:space="0"/>
            </w:tcBorders>
            <w:noWrap w:val="0"/>
            <w:vAlign w:val="top"/>
          </w:tcPr>
          <w:p w14:paraId="3D8DF616">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期末考试评分占比</w:t>
            </w:r>
            <w:r>
              <w:rPr>
                <w:rFonts w:hint="eastAsia" w:ascii="仿宋" w:eastAsia="仿宋" w:cs="仿宋"/>
                <w:sz w:val="18"/>
                <w:szCs w:val="18"/>
              </w:rPr>
              <w:t>（50%）</w:t>
            </w:r>
          </w:p>
        </w:tc>
        <w:tc>
          <w:tcPr>
            <w:tcW w:w="589" w:type="dxa"/>
            <w:vMerge w:val="continue"/>
            <w:tcBorders>
              <w:left w:val="single" w:color="000000" w:sz="4" w:space="0"/>
              <w:bottom w:val="single" w:color="auto" w:sz="4" w:space="0"/>
            </w:tcBorders>
            <w:noWrap w:val="0"/>
            <w:vAlign w:val="center"/>
          </w:tcPr>
          <w:p w14:paraId="0BB5D0E1">
            <w:pPr>
              <w:pageBreakBefore w:val="0"/>
              <w:kinsoku/>
              <w:overflowPunct/>
              <w:topLinePunct w:val="0"/>
              <w:bidi w:val="0"/>
              <w:spacing w:line="240" w:lineRule="auto"/>
            </w:pPr>
          </w:p>
        </w:tc>
      </w:tr>
      <w:tr w14:paraId="19490563">
        <w:trPr>
          <w:trHeight w:val="624" w:hRule="atLeast"/>
        </w:trPr>
        <w:tc>
          <w:tcPr>
            <w:tcW w:w="1377" w:type="dxa"/>
            <w:vMerge w:val="continue"/>
            <w:noWrap w:val="0"/>
            <w:vAlign w:val="center"/>
          </w:tcPr>
          <w:p w14:paraId="74887998">
            <w:pPr>
              <w:pageBreakBefore w:val="0"/>
              <w:kinsoku/>
              <w:overflowPunct/>
              <w:topLinePunct w:val="0"/>
              <w:bidi w:val="0"/>
              <w:spacing w:line="240" w:lineRule="auto"/>
            </w:pPr>
          </w:p>
        </w:tc>
        <w:tc>
          <w:tcPr>
            <w:tcW w:w="1301" w:type="dxa"/>
            <w:gridSpan w:val="2"/>
            <w:tcBorders>
              <w:bottom w:val="single" w:color="auto" w:sz="4" w:space="0"/>
            </w:tcBorders>
            <w:noWrap w:val="0"/>
            <w:vAlign w:val="center"/>
          </w:tcPr>
          <w:p w14:paraId="3844412E">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课程目标1（39%）</w:t>
            </w:r>
          </w:p>
        </w:tc>
        <w:tc>
          <w:tcPr>
            <w:tcW w:w="3095" w:type="dxa"/>
            <w:gridSpan w:val="4"/>
            <w:tcBorders>
              <w:bottom w:val="single" w:color="auto" w:sz="4" w:space="0"/>
              <w:right w:val="single" w:color="000000" w:sz="4" w:space="0"/>
            </w:tcBorders>
            <w:noWrap w:val="0"/>
            <w:vAlign w:val="center"/>
          </w:tcPr>
          <w:p w14:paraId="3A8012FE">
            <w:pPr>
              <w:pageBreakBefore w:val="0"/>
              <w:kinsoku/>
              <w:overflowPunct/>
              <w:topLinePunct w:val="0"/>
              <w:bidi w:val="0"/>
              <w:adjustRightInd w:val="0"/>
              <w:snapToGrid w:val="0"/>
              <w:spacing w:line="240" w:lineRule="auto"/>
              <w:jc w:val="left"/>
              <w:rPr>
                <w:rStyle w:val="368"/>
                <w:rFonts w:hint="eastAsia" w:ascii="仿宋" w:eastAsia="仿宋"/>
                <w:sz w:val="24"/>
                <w:szCs w:val="24"/>
                <w:lang w:eastAsia="zh-Hans"/>
              </w:rPr>
            </w:pPr>
            <w:r>
              <w:rPr>
                <w:rStyle w:val="368"/>
                <w:rFonts w:hint="eastAsia" w:ascii="仿宋" w:eastAsia="仿宋"/>
                <w:sz w:val="24"/>
                <w:szCs w:val="24"/>
                <w:lang w:eastAsia="zh-Hans"/>
              </w:rPr>
              <w:t>将音乐教育基础知识、基本技能与教育学、心理学、学科教学论知识相融合，形成综合的音乐教育教学知识体系，并具备初步的综合分析能力与运用能力。</w:t>
            </w:r>
          </w:p>
        </w:tc>
        <w:tc>
          <w:tcPr>
            <w:tcW w:w="720" w:type="dxa"/>
            <w:gridSpan w:val="2"/>
            <w:tcBorders>
              <w:left w:val="single" w:color="000000" w:sz="4" w:space="0"/>
              <w:bottom w:val="single" w:color="auto" w:sz="4" w:space="0"/>
            </w:tcBorders>
            <w:noWrap w:val="0"/>
            <w:vAlign w:val="center"/>
          </w:tcPr>
          <w:p w14:paraId="1036519C">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5</w:t>
            </w:r>
          </w:p>
        </w:tc>
        <w:tc>
          <w:tcPr>
            <w:tcW w:w="719" w:type="dxa"/>
            <w:tcBorders>
              <w:bottom w:val="single" w:color="auto" w:sz="4" w:space="0"/>
              <w:right w:val="single" w:color="000000" w:sz="4" w:space="0"/>
            </w:tcBorders>
            <w:noWrap w:val="0"/>
            <w:vAlign w:val="center"/>
          </w:tcPr>
          <w:p w14:paraId="19B1367E">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5</w:t>
            </w:r>
          </w:p>
        </w:tc>
        <w:tc>
          <w:tcPr>
            <w:tcW w:w="672" w:type="dxa"/>
            <w:gridSpan w:val="3"/>
            <w:tcBorders>
              <w:left w:val="single" w:color="000000" w:sz="4" w:space="0"/>
              <w:bottom w:val="single" w:color="auto" w:sz="4" w:space="0"/>
              <w:right w:val="single" w:color="auto" w:sz="4" w:space="0"/>
            </w:tcBorders>
            <w:noWrap w:val="0"/>
            <w:vAlign w:val="center"/>
          </w:tcPr>
          <w:p w14:paraId="2F27E71B">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9</w:t>
            </w:r>
          </w:p>
        </w:tc>
        <w:tc>
          <w:tcPr>
            <w:tcW w:w="671" w:type="dxa"/>
            <w:tcBorders>
              <w:left w:val="single" w:color="auto" w:sz="4" w:space="0"/>
              <w:bottom w:val="single" w:color="auto" w:sz="4" w:space="0"/>
              <w:right w:val="single" w:color="auto" w:sz="4" w:space="0"/>
            </w:tcBorders>
            <w:noWrap w:val="0"/>
            <w:vAlign w:val="center"/>
          </w:tcPr>
          <w:p w14:paraId="2AA88B5F">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20</w:t>
            </w:r>
          </w:p>
        </w:tc>
        <w:tc>
          <w:tcPr>
            <w:tcW w:w="589" w:type="dxa"/>
            <w:tcBorders>
              <w:left w:val="single" w:color="auto" w:sz="4" w:space="0"/>
              <w:bottom w:val="single" w:color="auto" w:sz="4" w:space="0"/>
            </w:tcBorders>
            <w:noWrap w:val="0"/>
            <w:vAlign w:val="center"/>
          </w:tcPr>
          <w:p w14:paraId="6F470E3B">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lang w:eastAsia="zh-Hans"/>
              </w:rPr>
            </w:pPr>
            <w:r>
              <w:rPr>
                <w:rFonts w:hint="eastAsia" w:ascii="仿宋" w:eastAsia="仿宋" w:cs="仿宋"/>
                <w:sz w:val="24"/>
                <w:szCs w:val="24"/>
              </w:rPr>
              <w:t>0</w:t>
            </w:r>
            <w:r>
              <w:rPr>
                <w:rFonts w:hint="eastAsia" w:ascii="仿宋" w:eastAsia="仿宋" w:cs="仿宋"/>
                <w:sz w:val="24"/>
                <w:szCs w:val="24"/>
                <w:lang w:eastAsia="zh-Hans"/>
              </w:rPr>
              <w:t>.65</w:t>
            </w:r>
          </w:p>
        </w:tc>
      </w:tr>
      <w:tr w14:paraId="13EBCC74">
        <w:trPr>
          <w:trHeight w:val="624" w:hRule="atLeast"/>
        </w:trPr>
        <w:tc>
          <w:tcPr>
            <w:tcW w:w="1377" w:type="dxa"/>
            <w:vMerge w:val="continue"/>
            <w:noWrap w:val="0"/>
            <w:vAlign w:val="center"/>
          </w:tcPr>
          <w:p w14:paraId="06A21EDD">
            <w:pPr>
              <w:pageBreakBefore w:val="0"/>
              <w:kinsoku/>
              <w:overflowPunct/>
              <w:topLinePunct w:val="0"/>
              <w:bidi w:val="0"/>
              <w:spacing w:line="240" w:lineRule="auto"/>
            </w:pPr>
          </w:p>
        </w:tc>
        <w:tc>
          <w:tcPr>
            <w:tcW w:w="1301" w:type="dxa"/>
            <w:gridSpan w:val="2"/>
            <w:noWrap w:val="0"/>
            <w:vAlign w:val="center"/>
          </w:tcPr>
          <w:p w14:paraId="3014B522">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课程目标2（39%）</w:t>
            </w:r>
          </w:p>
        </w:tc>
        <w:tc>
          <w:tcPr>
            <w:tcW w:w="3095" w:type="dxa"/>
            <w:gridSpan w:val="4"/>
            <w:tcBorders>
              <w:right w:val="single" w:color="000000" w:sz="4" w:space="0"/>
            </w:tcBorders>
            <w:noWrap w:val="0"/>
            <w:vAlign w:val="center"/>
          </w:tcPr>
          <w:p w14:paraId="1A669067">
            <w:pPr>
              <w:pageBreakBefore w:val="0"/>
              <w:widowControl/>
              <w:kinsoku/>
              <w:overflowPunct/>
              <w:topLinePunct w:val="0"/>
              <w:autoSpaceDE w:val="0"/>
              <w:autoSpaceDN w:val="0"/>
              <w:bidi w:val="0"/>
              <w:adjustRightInd w:val="0"/>
              <w:snapToGrid w:val="0"/>
              <w:spacing w:line="240" w:lineRule="auto"/>
              <w:jc w:val="left"/>
              <w:textAlignment w:val="bottom"/>
              <w:rPr>
                <w:rFonts w:hint="eastAsia" w:ascii="仿宋" w:eastAsia="仿宋" w:cs="仿宋"/>
                <w:sz w:val="24"/>
                <w:szCs w:val="24"/>
                <w:lang w:eastAsia="zh-Hans"/>
              </w:rPr>
            </w:pPr>
            <w:r>
              <w:rPr>
                <w:rFonts w:hint="eastAsia" w:ascii="仿宋" w:eastAsia="仿宋" w:cs="仿宋"/>
                <w:sz w:val="24"/>
                <w:szCs w:val="24"/>
                <w:lang w:eastAsia="zh-Hans"/>
              </w:rPr>
              <w:t>掌握义务教育阶段音乐课程标准</w:t>
            </w:r>
            <w:r>
              <w:rPr>
                <w:rFonts w:hint="eastAsia" w:ascii="仿宋" w:eastAsia="仿宋" w:cs="仿宋"/>
                <w:sz w:val="24"/>
                <w:szCs w:val="24"/>
              </w:rPr>
              <w:t>。领会学校音乐教育的目标、理念、性质，领会音乐美、音乐审美、音乐教学的原则，</w:t>
            </w:r>
            <w:r>
              <w:rPr>
                <w:rFonts w:hint="eastAsia" w:ascii="仿宋" w:eastAsia="仿宋" w:cs="仿宋"/>
                <w:sz w:val="24"/>
                <w:szCs w:val="24"/>
                <w:lang w:eastAsia="zh-Hans"/>
              </w:rPr>
              <w:t>正确分析教材，</w:t>
            </w:r>
            <w:r>
              <w:rPr>
                <w:rFonts w:hint="eastAsia" w:ascii="仿宋" w:eastAsia="仿宋" w:cs="仿宋"/>
                <w:sz w:val="24"/>
                <w:szCs w:val="24"/>
              </w:rPr>
              <w:t>掌握音乐教学程序、过程、模式及教学方法，掌握音乐课程评价基本方式与方法，对音乐教育课程资源开发的途径与方式有深入了解。</w:t>
            </w:r>
          </w:p>
        </w:tc>
        <w:tc>
          <w:tcPr>
            <w:tcW w:w="720" w:type="dxa"/>
            <w:gridSpan w:val="2"/>
            <w:tcBorders>
              <w:left w:val="single" w:color="000000" w:sz="4" w:space="0"/>
            </w:tcBorders>
            <w:noWrap w:val="0"/>
            <w:vAlign w:val="center"/>
          </w:tcPr>
          <w:p w14:paraId="69EA13DF">
            <w:pPr>
              <w:pageBreakBefore w:val="0"/>
              <w:kinsoku/>
              <w:overflowPunct/>
              <w:topLinePunct w:val="0"/>
              <w:bidi w:val="0"/>
              <w:adjustRightInd w:val="0"/>
              <w:snapToGrid w:val="0"/>
              <w:spacing w:line="240" w:lineRule="auto"/>
              <w:jc w:val="center"/>
              <w:rPr>
                <w:rFonts w:hint="eastAsia" w:ascii="仿宋" w:eastAsia="仿宋" w:cs="仿宋"/>
                <w:sz w:val="24"/>
                <w:szCs w:val="24"/>
              </w:rPr>
            </w:pPr>
          </w:p>
        </w:tc>
        <w:tc>
          <w:tcPr>
            <w:tcW w:w="719" w:type="dxa"/>
            <w:tcBorders>
              <w:bottom w:val="single" w:color="000000" w:sz="4" w:space="0"/>
              <w:right w:val="single" w:color="000000" w:sz="4" w:space="0"/>
            </w:tcBorders>
            <w:noWrap w:val="0"/>
            <w:vAlign w:val="center"/>
          </w:tcPr>
          <w:p w14:paraId="0D2C13DD">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4</w:t>
            </w:r>
          </w:p>
        </w:tc>
        <w:tc>
          <w:tcPr>
            <w:tcW w:w="672" w:type="dxa"/>
            <w:gridSpan w:val="3"/>
            <w:tcBorders>
              <w:left w:val="single" w:color="000000" w:sz="4" w:space="0"/>
              <w:bottom w:val="single" w:color="000000" w:sz="4" w:space="0"/>
            </w:tcBorders>
            <w:noWrap w:val="0"/>
            <w:vAlign w:val="center"/>
          </w:tcPr>
          <w:p w14:paraId="12AFBFD5">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15</w:t>
            </w:r>
          </w:p>
        </w:tc>
        <w:tc>
          <w:tcPr>
            <w:tcW w:w="671" w:type="dxa"/>
            <w:tcBorders>
              <w:bottom w:val="single" w:color="000000" w:sz="4" w:space="0"/>
              <w:right w:val="single" w:color="000000" w:sz="4" w:space="0"/>
            </w:tcBorders>
            <w:noWrap w:val="0"/>
            <w:vAlign w:val="center"/>
          </w:tcPr>
          <w:p w14:paraId="0D8DBD5E">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20</w:t>
            </w:r>
          </w:p>
        </w:tc>
        <w:tc>
          <w:tcPr>
            <w:tcW w:w="589" w:type="dxa"/>
            <w:tcBorders>
              <w:left w:val="single" w:color="000000" w:sz="4" w:space="0"/>
              <w:bottom w:val="single" w:color="000000" w:sz="4" w:space="0"/>
            </w:tcBorders>
            <w:noWrap w:val="0"/>
            <w:vAlign w:val="center"/>
          </w:tcPr>
          <w:p w14:paraId="7459CFCE">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lang w:eastAsia="zh-Hans"/>
              </w:rPr>
            </w:pPr>
            <w:r>
              <w:rPr>
                <w:rFonts w:hint="eastAsia" w:ascii="仿宋" w:eastAsia="仿宋" w:cs="仿宋"/>
                <w:sz w:val="24"/>
                <w:szCs w:val="24"/>
              </w:rPr>
              <w:t>0</w:t>
            </w:r>
            <w:r>
              <w:rPr>
                <w:rFonts w:hint="eastAsia" w:ascii="仿宋" w:eastAsia="仿宋" w:cs="仿宋"/>
                <w:sz w:val="24"/>
                <w:szCs w:val="24"/>
                <w:lang w:eastAsia="zh-Hans"/>
              </w:rPr>
              <w:t>.65</w:t>
            </w:r>
          </w:p>
        </w:tc>
      </w:tr>
      <w:tr w14:paraId="6824DC36">
        <w:trPr>
          <w:trHeight w:val="624" w:hRule="atLeast"/>
        </w:trPr>
        <w:tc>
          <w:tcPr>
            <w:tcW w:w="1377" w:type="dxa"/>
            <w:vMerge w:val="continue"/>
            <w:noWrap w:val="0"/>
            <w:vAlign w:val="center"/>
          </w:tcPr>
          <w:p w14:paraId="185736AA">
            <w:pPr>
              <w:pageBreakBefore w:val="0"/>
              <w:kinsoku/>
              <w:overflowPunct/>
              <w:topLinePunct w:val="0"/>
              <w:bidi w:val="0"/>
              <w:spacing w:line="240" w:lineRule="auto"/>
            </w:pPr>
          </w:p>
        </w:tc>
        <w:tc>
          <w:tcPr>
            <w:tcW w:w="1301" w:type="dxa"/>
            <w:gridSpan w:val="2"/>
            <w:tcBorders>
              <w:bottom w:val="single" w:color="auto" w:sz="4" w:space="0"/>
            </w:tcBorders>
            <w:noWrap w:val="0"/>
            <w:vAlign w:val="center"/>
          </w:tcPr>
          <w:p w14:paraId="31C95340">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课程目标3（16%）</w:t>
            </w:r>
          </w:p>
        </w:tc>
        <w:tc>
          <w:tcPr>
            <w:tcW w:w="3095" w:type="dxa"/>
            <w:gridSpan w:val="4"/>
            <w:tcBorders>
              <w:bottom w:val="single" w:color="auto" w:sz="4" w:space="0"/>
              <w:right w:val="single" w:color="000000" w:sz="4" w:space="0"/>
            </w:tcBorders>
            <w:noWrap w:val="0"/>
            <w:vAlign w:val="center"/>
          </w:tcPr>
          <w:p w14:paraId="293A3227">
            <w:pPr>
              <w:pageBreakBefore w:val="0"/>
              <w:widowControl/>
              <w:kinsoku/>
              <w:overflowPunct/>
              <w:topLinePunct w:val="0"/>
              <w:autoSpaceDE w:val="0"/>
              <w:autoSpaceDN w:val="0"/>
              <w:bidi w:val="0"/>
              <w:adjustRightInd w:val="0"/>
              <w:snapToGrid w:val="0"/>
              <w:spacing w:line="240" w:lineRule="auto"/>
              <w:jc w:val="left"/>
              <w:textAlignment w:val="bottom"/>
              <w:rPr>
                <w:rFonts w:hint="eastAsia" w:ascii="仿宋" w:eastAsia="仿宋" w:cs="仿宋"/>
                <w:sz w:val="24"/>
                <w:szCs w:val="24"/>
              </w:rPr>
            </w:pPr>
            <w:r>
              <w:rPr>
                <w:rFonts w:hint="eastAsia" w:ascii="仿宋" w:eastAsia="仿宋" w:cs="仿宋"/>
                <w:sz w:val="24"/>
                <w:szCs w:val="24"/>
                <w:lang w:eastAsia="zh-Hans"/>
              </w:rPr>
              <w:t>拥有教育情怀和职业认同感，了解</w:t>
            </w:r>
            <w:r>
              <w:rPr>
                <w:rFonts w:hint="eastAsia" w:ascii="仿宋" w:eastAsia="仿宋" w:cs="仿宋"/>
                <w:sz w:val="24"/>
                <w:szCs w:val="24"/>
              </w:rPr>
              <w:t>中学生的身心发展特点和音乐的认知</w:t>
            </w:r>
            <w:r>
              <w:rPr>
                <w:rFonts w:hint="eastAsia" w:ascii="仿宋" w:eastAsia="仿宋" w:cs="仿宋"/>
                <w:sz w:val="24"/>
                <w:szCs w:val="24"/>
                <w:lang w:eastAsia="zh-Hans"/>
              </w:rPr>
              <w:t>规律</w:t>
            </w:r>
            <w:r>
              <w:rPr>
                <w:rFonts w:hint="eastAsia" w:ascii="仿宋" w:eastAsia="仿宋" w:cs="仿宋"/>
                <w:sz w:val="24"/>
                <w:szCs w:val="24"/>
              </w:rPr>
              <w:t>，</w:t>
            </w:r>
            <w:r>
              <w:rPr>
                <w:rFonts w:hint="eastAsia" w:ascii="仿宋" w:eastAsia="仿宋" w:cs="仿宋"/>
                <w:sz w:val="24"/>
                <w:szCs w:val="24"/>
                <w:lang w:eastAsia="zh-Hans"/>
              </w:rPr>
              <w:t>具有正确的音乐教育观。</w:t>
            </w:r>
          </w:p>
        </w:tc>
        <w:tc>
          <w:tcPr>
            <w:tcW w:w="720" w:type="dxa"/>
            <w:gridSpan w:val="2"/>
            <w:tcBorders>
              <w:left w:val="single" w:color="000000" w:sz="4" w:space="0"/>
              <w:bottom w:val="single" w:color="auto" w:sz="4" w:space="0"/>
            </w:tcBorders>
            <w:noWrap w:val="0"/>
            <w:vAlign w:val="center"/>
          </w:tcPr>
          <w:p w14:paraId="55B11E84">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5</w:t>
            </w:r>
          </w:p>
        </w:tc>
        <w:tc>
          <w:tcPr>
            <w:tcW w:w="719" w:type="dxa"/>
            <w:tcBorders>
              <w:top w:val="single" w:color="000000" w:sz="4" w:space="0"/>
              <w:bottom w:val="single" w:color="auto" w:sz="4" w:space="0"/>
              <w:right w:val="single" w:color="000000" w:sz="4" w:space="0"/>
            </w:tcBorders>
            <w:noWrap w:val="0"/>
            <w:vAlign w:val="center"/>
          </w:tcPr>
          <w:p w14:paraId="2D619EB9">
            <w:pPr>
              <w:pageBreakBefore w:val="0"/>
              <w:kinsoku/>
              <w:overflowPunct/>
              <w:topLinePunct w:val="0"/>
              <w:bidi w:val="0"/>
              <w:adjustRightInd w:val="0"/>
              <w:snapToGrid w:val="0"/>
              <w:spacing w:line="240" w:lineRule="auto"/>
              <w:jc w:val="center"/>
              <w:rPr>
                <w:rFonts w:hint="eastAsia" w:ascii="仿宋" w:eastAsia="仿宋" w:cs="仿宋"/>
                <w:sz w:val="24"/>
                <w:szCs w:val="24"/>
              </w:rPr>
            </w:pPr>
          </w:p>
        </w:tc>
        <w:tc>
          <w:tcPr>
            <w:tcW w:w="672" w:type="dxa"/>
            <w:gridSpan w:val="3"/>
            <w:tcBorders>
              <w:top w:val="single" w:color="000000" w:sz="4" w:space="0"/>
              <w:left w:val="single" w:color="000000" w:sz="4" w:space="0"/>
              <w:bottom w:val="single" w:color="auto" w:sz="4" w:space="0"/>
            </w:tcBorders>
            <w:noWrap w:val="0"/>
            <w:vAlign w:val="center"/>
          </w:tcPr>
          <w:p w14:paraId="4D1424E6">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6</w:t>
            </w:r>
          </w:p>
        </w:tc>
        <w:tc>
          <w:tcPr>
            <w:tcW w:w="671" w:type="dxa"/>
            <w:tcBorders>
              <w:top w:val="single" w:color="000000" w:sz="4" w:space="0"/>
              <w:bottom w:val="single" w:color="auto" w:sz="4" w:space="0"/>
              <w:right w:val="single" w:color="000000" w:sz="4" w:space="0"/>
            </w:tcBorders>
            <w:noWrap w:val="0"/>
            <w:vAlign w:val="center"/>
          </w:tcPr>
          <w:p w14:paraId="47859633">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5</w:t>
            </w:r>
          </w:p>
        </w:tc>
        <w:tc>
          <w:tcPr>
            <w:tcW w:w="589" w:type="dxa"/>
            <w:tcBorders>
              <w:top w:val="single" w:color="000000" w:sz="4" w:space="0"/>
              <w:left w:val="single" w:color="000000" w:sz="4" w:space="0"/>
              <w:bottom w:val="single" w:color="auto" w:sz="4" w:space="0"/>
            </w:tcBorders>
            <w:noWrap w:val="0"/>
            <w:vAlign w:val="center"/>
          </w:tcPr>
          <w:p w14:paraId="026A7C82">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lang w:eastAsia="zh-Hans"/>
              </w:rPr>
            </w:pPr>
            <w:r>
              <w:rPr>
                <w:rFonts w:hint="eastAsia" w:ascii="仿宋" w:eastAsia="仿宋" w:cs="仿宋"/>
                <w:sz w:val="24"/>
                <w:szCs w:val="24"/>
              </w:rPr>
              <w:t>0</w:t>
            </w:r>
            <w:r>
              <w:rPr>
                <w:rFonts w:hint="eastAsia" w:ascii="仿宋" w:eastAsia="仿宋" w:cs="仿宋"/>
                <w:sz w:val="24"/>
                <w:szCs w:val="24"/>
                <w:lang w:eastAsia="zh-Hans"/>
              </w:rPr>
              <w:t>.65</w:t>
            </w:r>
          </w:p>
        </w:tc>
      </w:tr>
      <w:tr w14:paraId="3A3EE9B0">
        <w:trPr>
          <w:trHeight w:val="624" w:hRule="atLeast"/>
        </w:trPr>
        <w:tc>
          <w:tcPr>
            <w:tcW w:w="1377" w:type="dxa"/>
            <w:vMerge w:val="continue"/>
            <w:noWrap w:val="0"/>
            <w:vAlign w:val="center"/>
          </w:tcPr>
          <w:p w14:paraId="27C5BF47">
            <w:pPr>
              <w:pageBreakBefore w:val="0"/>
              <w:kinsoku/>
              <w:overflowPunct/>
              <w:topLinePunct w:val="0"/>
              <w:bidi w:val="0"/>
              <w:spacing w:line="240" w:lineRule="auto"/>
            </w:pPr>
          </w:p>
        </w:tc>
        <w:tc>
          <w:tcPr>
            <w:tcW w:w="1301" w:type="dxa"/>
            <w:gridSpan w:val="2"/>
            <w:tcBorders>
              <w:bottom w:val="single" w:color="auto" w:sz="4" w:space="0"/>
            </w:tcBorders>
            <w:noWrap w:val="0"/>
            <w:vAlign w:val="center"/>
          </w:tcPr>
          <w:p w14:paraId="07140082">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课程目标4（6%）</w:t>
            </w:r>
          </w:p>
        </w:tc>
        <w:tc>
          <w:tcPr>
            <w:tcW w:w="3095" w:type="dxa"/>
            <w:gridSpan w:val="4"/>
            <w:tcBorders>
              <w:bottom w:val="single" w:color="auto" w:sz="4" w:space="0"/>
              <w:right w:val="single" w:color="000000" w:sz="4" w:space="0"/>
            </w:tcBorders>
            <w:noWrap w:val="0"/>
            <w:vAlign w:val="center"/>
          </w:tcPr>
          <w:p w14:paraId="0CEC12AD">
            <w:pPr>
              <w:pageBreakBefore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课程目标4：</w:t>
            </w:r>
          </w:p>
          <w:p w14:paraId="2974D514">
            <w:pPr>
              <w:pageBreakBefore w:val="0"/>
              <w:kinsoku/>
              <w:overflowPunct/>
              <w:topLinePunct w:val="0"/>
              <w:bidi w:val="0"/>
              <w:adjustRightInd w:val="0"/>
              <w:snapToGrid w:val="0"/>
              <w:spacing w:line="240" w:lineRule="auto"/>
              <w:jc w:val="left"/>
              <w:rPr>
                <w:rFonts w:hint="eastAsia" w:ascii="仿宋" w:eastAsia="仿宋" w:cs="仿宋"/>
                <w:sz w:val="24"/>
                <w:szCs w:val="24"/>
              </w:rPr>
            </w:pPr>
            <w:r>
              <w:rPr>
                <w:rFonts w:hint="eastAsia" w:ascii="仿宋" w:eastAsia="仿宋" w:cs="仿宋"/>
                <w:sz w:val="24"/>
                <w:szCs w:val="24"/>
                <w:lang w:eastAsia="zh-Hans"/>
              </w:rPr>
              <w:t>理解学校音乐教育的理论内涵，掌握基本音乐教学理论。</w:t>
            </w:r>
          </w:p>
        </w:tc>
        <w:tc>
          <w:tcPr>
            <w:tcW w:w="720" w:type="dxa"/>
            <w:gridSpan w:val="2"/>
            <w:tcBorders>
              <w:left w:val="single" w:color="000000" w:sz="4" w:space="0"/>
              <w:bottom w:val="single" w:color="auto" w:sz="4" w:space="0"/>
            </w:tcBorders>
            <w:noWrap w:val="0"/>
            <w:vAlign w:val="center"/>
          </w:tcPr>
          <w:p w14:paraId="4DEF1C33">
            <w:pPr>
              <w:pageBreakBefore w:val="0"/>
              <w:kinsoku/>
              <w:overflowPunct/>
              <w:topLinePunct w:val="0"/>
              <w:bidi w:val="0"/>
              <w:adjustRightInd w:val="0"/>
              <w:snapToGrid w:val="0"/>
              <w:spacing w:line="240" w:lineRule="auto"/>
              <w:jc w:val="center"/>
              <w:rPr>
                <w:rFonts w:hint="eastAsia" w:ascii="仿宋" w:eastAsia="仿宋" w:cs="仿宋"/>
                <w:sz w:val="24"/>
                <w:szCs w:val="24"/>
              </w:rPr>
            </w:pPr>
          </w:p>
        </w:tc>
        <w:tc>
          <w:tcPr>
            <w:tcW w:w="719" w:type="dxa"/>
            <w:tcBorders>
              <w:top w:val="single" w:color="000000" w:sz="4" w:space="0"/>
              <w:bottom w:val="single" w:color="auto" w:sz="4" w:space="0"/>
              <w:right w:val="single" w:color="000000" w:sz="4" w:space="0"/>
            </w:tcBorders>
            <w:noWrap w:val="0"/>
            <w:vAlign w:val="center"/>
          </w:tcPr>
          <w:p w14:paraId="439A3084">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1</w:t>
            </w:r>
          </w:p>
        </w:tc>
        <w:tc>
          <w:tcPr>
            <w:tcW w:w="672" w:type="dxa"/>
            <w:gridSpan w:val="3"/>
            <w:tcBorders>
              <w:top w:val="single" w:color="000000" w:sz="4" w:space="0"/>
              <w:left w:val="single" w:color="000000" w:sz="4" w:space="0"/>
              <w:bottom w:val="single" w:color="auto" w:sz="4" w:space="0"/>
            </w:tcBorders>
            <w:noWrap w:val="0"/>
            <w:vAlign w:val="center"/>
          </w:tcPr>
          <w:p w14:paraId="244D6A2E">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p>
        </w:tc>
        <w:tc>
          <w:tcPr>
            <w:tcW w:w="671" w:type="dxa"/>
            <w:tcBorders>
              <w:top w:val="single" w:color="000000" w:sz="4" w:space="0"/>
              <w:bottom w:val="single" w:color="auto" w:sz="4" w:space="0"/>
              <w:right w:val="single" w:color="000000" w:sz="4" w:space="0"/>
            </w:tcBorders>
            <w:noWrap w:val="0"/>
            <w:vAlign w:val="center"/>
          </w:tcPr>
          <w:p w14:paraId="4A3C4AAC">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5</w:t>
            </w:r>
          </w:p>
        </w:tc>
        <w:tc>
          <w:tcPr>
            <w:tcW w:w="589" w:type="dxa"/>
            <w:tcBorders>
              <w:top w:val="single" w:color="000000" w:sz="4" w:space="0"/>
              <w:left w:val="single" w:color="000000" w:sz="4" w:space="0"/>
              <w:bottom w:val="single" w:color="auto" w:sz="4" w:space="0"/>
            </w:tcBorders>
            <w:noWrap w:val="0"/>
            <w:vAlign w:val="center"/>
          </w:tcPr>
          <w:p w14:paraId="0AC4BB0D">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lang w:eastAsia="zh-Hans"/>
              </w:rPr>
            </w:pPr>
            <w:r>
              <w:rPr>
                <w:rFonts w:hint="eastAsia" w:ascii="仿宋" w:eastAsia="仿宋" w:cs="仿宋"/>
                <w:sz w:val="24"/>
                <w:szCs w:val="24"/>
              </w:rPr>
              <w:t>0</w:t>
            </w:r>
            <w:r>
              <w:rPr>
                <w:rFonts w:hint="eastAsia" w:ascii="仿宋" w:eastAsia="仿宋" w:cs="仿宋"/>
                <w:sz w:val="24"/>
                <w:szCs w:val="24"/>
                <w:lang w:eastAsia="zh-Hans"/>
              </w:rPr>
              <w:t>.65</w:t>
            </w:r>
          </w:p>
        </w:tc>
      </w:tr>
      <w:tr w14:paraId="143ACE69">
        <w:trPr>
          <w:trHeight w:val="624" w:hRule="atLeast"/>
        </w:trPr>
        <w:tc>
          <w:tcPr>
            <w:tcW w:w="1377" w:type="dxa"/>
            <w:vMerge w:val="continue"/>
            <w:noWrap w:val="0"/>
            <w:vAlign w:val="center"/>
          </w:tcPr>
          <w:p w14:paraId="560166BF">
            <w:pPr>
              <w:pageBreakBefore w:val="0"/>
              <w:kinsoku/>
              <w:overflowPunct/>
              <w:topLinePunct w:val="0"/>
              <w:bidi w:val="0"/>
              <w:spacing w:line="240" w:lineRule="auto"/>
            </w:pPr>
          </w:p>
        </w:tc>
        <w:tc>
          <w:tcPr>
            <w:tcW w:w="4396" w:type="dxa"/>
            <w:gridSpan w:val="6"/>
            <w:tcBorders>
              <w:bottom w:val="single" w:color="auto" w:sz="4" w:space="0"/>
              <w:right w:val="single" w:color="000000" w:sz="4" w:space="0"/>
            </w:tcBorders>
            <w:noWrap w:val="0"/>
            <w:vAlign w:val="center"/>
          </w:tcPr>
          <w:p w14:paraId="57176E9A">
            <w:pPr>
              <w:pageBreakBefore w:val="0"/>
              <w:widowControl/>
              <w:kinsoku/>
              <w:overflowPunct/>
              <w:topLinePunct w:val="0"/>
              <w:autoSpaceDE w:val="0"/>
              <w:autoSpaceDN w:val="0"/>
              <w:bidi w:val="0"/>
              <w:adjustRightInd w:val="0"/>
              <w:snapToGrid w:val="0"/>
              <w:spacing w:line="240" w:lineRule="auto"/>
              <w:jc w:val="center"/>
              <w:textAlignment w:val="bottom"/>
              <w:rPr>
                <w:rFonts w:hint="eastAsia" w:ascii="仿宋" w:eastAsia="仿宋" w:cs="仿宋"/>
                <w:sz w:val="24"/>
                <w:szCs w:val="24"/>
              </w:rPr>
            </w:pPr>
            <w:r>
              <w:rPr>
                <w:rFonts w:hint="eastAsia" w:ascii="仿宋" w:eastAsia="仿宋" w:cs="仿宋"/>
                <w:sz w:val="24"/>
                <w:szCs w:val="24"/>
              </w:rPr>
              <w:t>总分</w:t>
            </w:r>
          </w:p>
        </w:tc>
        <w:tc>
          <w:tcPr>
            <w:tcW w:w="720" w:type="dxa"/>
            <w:gridSpan w:val="2"/>
            <w:tcBorders>
              <w:left w:val="single" w:color="000000" w:sz="4" w:space="0"/>
              <w:bottom w:val="single" w:color="auto" w:sz="4" w:space="0"/>
            </w:tcBorders>
            <w:noWrap w:val="0"/>
            <w:vAlign w:val="center"/>
          </w:tcPr>
          <w:p w14:paraId="53FDBD90">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10</w:t>
            </w:r>
          </w:p>
        </w:tc>
        <w:tc>
          <w:tcPr>
            <w:tcW w:w="719" w:type="dxa"/>
            <w:tcBorders>
              <w:top w:val="single" w:color="000000" w:sz="4" w:space="0"/>
              <w:bottom w:val="single" w:color="auto" w:sz="4" w:space="0"/>
              <w:right w:val="single" w:color="000000" w:sz="4" w:space="0"/>
            </w:tcBorders>
            <w:noWrap w:val="0"/>
            <w:vAlign w:val="center"/>
          </w:tcPr>
          <w:p w14:paraId="00AE9477">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10</w:t>
            </w:r>
          </w:p>
        </w:tc>
        <w:tc>
          <w:tcPr>
            <w:tcW w:w="672" w:type="dxa"/>
            <w:gridSpan w:val="3"/>
            <w:tcBorders>
              <w:top w:val="single" w:color="000000" w:sz="4" w:space="0"/>
              <w:left w:val="single" w:color="000000" w:sz="4" w:space="0"/>
              <w:bottom w:val="single" w:color="auto" w:sz="4" w:space="0"/>
            </w:tcBorders>
            <w:noWrap w:val="0"/>
            <w:vAlign w:val="center"/>
          </w:tcPr>
          <w:p w14:paraId="4F103F96">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30</w:t>
            </w:r>
          </w:p>
        </w:tc>
        <w:tc>
          <w:tcPr>
            <w:tcW w:w="671" w:type="dxa"/>
            <w:tcBorders>
              <w:top w:val="single" w:color="000000" w:sz="4" w:space="0"/>
              <w:bottom w:val="single" w:color="auto" w:sz="4" w:space="0"/>
              <w:right w:val="single" w:color="000000" w:sz="4" w:space="0"/>
            </w:tcBorders>
            <w:noWrap w:val="0"/>
            <w:vAlign w:val="center"/>
          </w:tcPr>
          <w:p w14:paraId="21C378DF">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50</w:t>
            </w:r>
          </w:p>
        </w:tc>
        <w:tc>
          <w:tcPr>
            <w:tcW w:w="589" w:type="dxa"/>
            <w:tcBorders>
              <w:top w:val="single" w:color="000000" w:sz="4" w:space="0"/>
              <w:left w:val="single" w:color="000000" w:sz="4" w:space="0"/>
              <w:bottom w:val="single" w:color="auto" w:sz="4" w:space="0"/>
            </w:tcBorders>
            <w:noWrap w:val="0"/>
            <w:vAlign w:val="center"/>
          </w:tcPr>
          <w:p w14:paraId="105C9DBB">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lang w:eastAsia="zh-Hans"/>
              </w:rPr>
            </w:pPr>
            <w:r>
              <w:rPr>
                <w:rFonts w:hint="eastAsia" w:ascii="仿宋" w:eastAsia="仿宋" w:cs="仿宋"/>
                <w:sz w:val="24"/>
                <w:szCs w:val="24"/>
              </w:rPr>
              <w:t>0</w:t>
            </w:r>
            <w:r>
              <w:rPr>
                <w:rFonts w:hint="eastAsia" w:ascii="仿宋" w:eastAsia="仿宋" w:cs="仿宋"/>
                <w:sz w:val="24"/>
                <w:szCs w:val="24"/>
                <w:lang w:eastAsia="zh-Hans"/>
              </w:rPr>
              <w:t>.65</w:t>
            </w:r>
          </w:p>
        </w:tc>
      </w:tr>
      <w:tr w14:paraId="5BA0203A">
        <w:trPr>
          <w:trHeight w:val="2051" w:hRule="atLeast"/>
        </w:trPr>
        <w:tc>
          <w:tcPr>
            <w:tcW w:w="1377" w:type="dxa"/>
            <w:noWrap w:val="0"/>
            <w:vAlign w:val="center"/>
          </w:tcPr>
          <w:p w14:paraId="743C28F0">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L</w:t>
            </w:r>
          </w:p>
          <w:p w14:paraId="3ED59862">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学习建议</w:t>
            </w:r>
          </w:p>
        </w:tc>
        <w:tc>
          <w:tcPr>
            <w:tcW w:w="7767" w:type="dxa"/>
            <w:gridSpan w:val="14"/>
            <w:tcBorders>
              <w:bottom w:val="single" w:color="auto" w:sz="4" w:space="0"/>
            </w:tcBorders>
            <w:noWrap w:val="0"/>
            <w:vAlign w:val="center"/>
          </w:tcPr>
          <w:p w14:paraId="4F0B1778">
            <w:pPr>
              <w:pageBreakBefore w:val="0"/>
              <w:kinsoku/>
              <w:overflowPunct/>
              <w:topLinePunct w:val="0"/>
              <w:bidi w:val="0"/>
              <w:adjustRightInd w:val="0"/>
              <w:snapToGrid w:val="0"/>
              <w:spacing w:line="240" w:lineRule="auto"/>
              <w:rPr>
                <w:rFonts w:hint="eastAsia" w:ascii="仿宋" w:eastAsia="仿宋" w:cs="仿宋"/>
                <w:bCs/>
                <w:sz w:val="24"/>
                <w:szCs w:val="24"/>
              </w:rPr>
            </w:pPr>
            <w:r>
              <w:rPr>
                <w:rFonts w:hint="eastAsia" w:ascii="仿宋" w:eastAsia="仿宋" w:cs="仿宋"/>
                <w:bCs/>
                <w:sz w:val="24"/>
                <w:szCs w:val="24"/>
              </w:rPr>
              <w:t>1.自主学习。建议学生通过预习教材，并通过网络、图书馆自主查阅课程中涉及的学习资源，了解国内外最新音乐教育知识，开阔学生的视野，独立规划自己的课程学习计划，充分发挥自身的学习能动性。</w:t>
            </w:r>
          </w:p>
          <w:p w14:paraId="4F82A52B">
            <w:pPr>
              <w:pageBreakBefore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bCs/>
                <w:sz w:val="24"/>
                <w:szCs w:val="24"/>
              </w:rPr>
              <w:t>2.研究性学习。鼓励学生针对课程教学内容，尝试理论课结合基础音乐教育一线案例分析的教学方式，提高学生的学习兴趣。</w:t>
            </w:r>
            <w:r>
              <w:rPr>
                <w:rFonts w:hint="eastAsia" w:ascii="仿宋" w:eastAsia="仿宋" w:cs="仿宋"/>
                <w:sz w:val="24"/>
                <w:szCs w:val="24"/>
              </w:rPr>
              <w:t xml:space="preserve"> </w:t>
            </w:r>
          </w:p>
        </w:tc>
      </w:tr>
      <w:tr w14:paraId="47933900">
        <w:trPr>
          <w:trHeight w:val="624" w:hRule="atLeast"/>
        </w:trPr>
        <w:tc>
          <w:tcPr>
            <w:tcW w:w="1377" w:type="dxa"/>
            <w:noWrap w:val="0"/>
            <w:vAlign w:val="center"/>
          </w:tcPr>
          <w:p w14:paraId="28B6CC05">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M</w:t>
            </w:r>
          </w:p>
          <w:p w14:paraId="17093385">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评分量表</w:t>
            </w:r>
          </w:p>
        </w:tc>
        <w:tc>
          <w:tcPr>
            <w:tcW w:w="7767" w:type="dxa"/>
            <w:gridSpan w:val="14"/>
            <w:noWrap w:val="0"/>
            <w:vAlign w:val="center"/>
          </w:tcPr>
          <w:p w14:paraId="364ABBE4">
            <w:pPr>
              <w:pageBreakBefore w:val="0"/>
              <w:tabs>
                <w:tab w:val="left" w:pos="720"/>
              </w:tabs>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w:t>
            </w:r>
            <w:r>
              <w:rPr>
                <w:rFonts w:hint="eastAsia" w:ascii="仿宋" w:eastAsia="仿宋" w:cs="仿宋"/>
                <w:sz w:val="24"/>
                <w:szCs w:val="24"/>
                <w:lang w:eastAsia="zh-Hans"/>
              </w:rPr>
              <w:t>音乐学科教学论</w:t>
            </w:r>
            <w:r>
              <w:rPr>
                <w:rFonts w:hint="eastAsia" w:ascii="仿宋" w:eastAsia="仿宋" w:cs="仿宋"/>
                <w:sz w:val="24"/>
                <w:szCs w:val="24"/>
              </w:rPr>
              <w:t>》课程目标评分量表见附表。</w:t>
            </w:r>
          </w:p>
        </w:tc>
      </w:tr>
      <w:tr w14:paraId="1E30F2CF">
        <w:trPr>
          <w:trHeight w:val="624" w:hRule="atLeast"/>
        </w:trPr>
        <w:tc>
          <w:tcPr>
            <w:tcW w:w="1377" w:type="dxa"/>
            <w:noWrap w:val="0"/>
            <w:vAlign w:val="center"/>
          </w:tcPr>
          <w:p w14:paraId="00290593">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审批</w:t>
            </w:r>
          </w:p>
          <w:p w14:paraId="54F5B242">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意见</w:t>
            </w:r>
          </w:p>
        </w:tc>
        <w:tc>
          <w:tcPr>
            <w:tcW w:w="3867" w:type="dxa"/>
            <w:gridSpan w:val="5"/>
            <w:noWrap w:val="0"/>
            <w:vAlign w:val="center"/>
          </w:tcPr>
          <w:p w14:paraId="7A7F8939">
            <w:pPr>
              <w:pageBreakBefore w:val="0"/>
              <w:widowControl/>
              <w:kinsoku/>
              <w:overflowPunct/>
              <w:topLinePunct w:val="0"/>
              <w:bidi w:val="0"/>
              <w:adjustRightInd w:val="0"/>
              <w:snapToGrid w:val="0"/>
              <w:spacing w:line="240" w:lineRule="auto"/>
              <w:jc w:val="left"/>
              <w:rPr>
                <w:rFonts w:hint="eastAsia" w:ascii="仿宋" w:eastAsia="仿宋" w:cs="仿宋"/>
                <w:sz w:val="24"/>
                <w:szCs w:val="24"/>
              </w:rPr>
            </w:pPr>
            <w:r>
              <w:rPr>
                <w:rFonts w:hint="eastAsia" w:ascii="仿宋" w:eastAsia="仿宋" w:cs="仿宋"/>
                <w:sz w:val="24"/>
                <w:szCs w:val="24"/>
              </w:rPr>
              <w:t xml:space="preserve">课程教学大纲修订负责人及教学团队成员签名：   </w:t>
            </w:r>
          </w:p>
          <w:p w14:paraId="14649E61">
            <w:pPr>
              <w:pageBreakBefore w:val="0"/>
              <w:widowControl/>
              <w:kinsoku/>
              <w:overflowPunct/>
              <w:topLinePunct w:val="0"/>
              <w:bidi w:val="0"/>
              <w:adjustRightInd w:val="0"/>
              <w:snapToGrid w:val="0"/>
              <w:spacing w:line="240" w:lineRule="auto"/>
              <w:jc w:val="left"/>
              <w:rPr>
                <w:rFonts w:hint="eastAsia" w:ascii="仿宋" w:eastAsia="仿宋" w:cs="仿宋"/>
                <w:sz w:val="24"/>
                <w:szCs w:val="24"/>
              </w:rPr>
            </w:pPr>
          </w:p>
          <w:p w14:paraId="7B799250">
            <w:pPr>
              <w:pageBreakBefore w:val="0"/>
              <w:widowControl/>
              <w:kinsoku/>
              <w:overflowPunct/>
              <w:topLinePunct w:val="0"/>
              <w:bidi w:val="0"/>
              <w:adjustRightInd w:val="0"/>
              <w:snapToGrid w:val="0"/>
              <w:spacing w:line="240" w:lineRule="auto"/>
              <w:jc w:val="left"/>
              <w:rPr>
                <w:rFonts w:hint="eastAsia" w:ascii="仿宋" w:eastAsia="仿宋" w:cs="仿宋"/>
                <w:sz w:val="24"/>
                <w:szCs w:val="24"/>
              </w:rPr>
            </w:pPr>
          </w:p>
          <w:p w14:paraId="601B9D17">
            <w:pPr>
              <w:pageBreakBefore w:val="0"/>
              <w:widowControl/>
              <w:kinsoku/>
              <w:overflowPunct/>
              <w:topLinePunct w:val="0"/>
              <w:bidi w:val="0"/>
              <w:adjustRightInd w:val="0"/>
              <w:snapToGrid w:val="0"/>
              <w:spacing w:line="240" w:lineRule="auto"/>
              <w:jc w:val="left"/>
              <w:rPr>
                <w:rFonts w:hint="eastAsia" w:ascii="仿宋" w:eastAsia="仿宋" w:cs="仿宋"/>
                <w:sz w:val="24"/>
                <w:szCs w:val="24"/>
              </w:rPr>
            </w:pPr>
          </w:p>
          <w:p w14:paraId="63BF9124">
            <w:pPr>
              <w:pageBreakBefore w:val="0"/>
              <w:widowControl/>
              <w:kinsoku/>
              <w:overflowPunct/>
              <w:topLinePunct w:val="0"/>
              <w:bidi w:val="0"/>
              <w:adjustRightInd w:val="0"/>
              <w:snapToGrid w:val="0"/>
              <w:spacing w:line="240" w:lineRule="auto"/>
              <w:jc w:val="left"/>
              <w:rPr>
                <w:rFonts w:hint="eastAsia" w:ascii="仿宋" w:eastAsia="仿宋" w:cs="仿宋"/>
                <w:sz w:val="24"/>
                <w:szCs w:val="24"/>
              </w:rPr>
            </w:pPr>
          </w:p>
          <w:p w14:paraId="77F94734">
            <w:pPr>
              <w:pageBreakBefore w:val="0"/>
              <w:widowControl/>
              <w:kinsoku/>
              <w:overflowPunct/>
              <w:topLinePunct w:val="0"/>
              <w:bidi w:val="0"/>
              <w:adjustRightInd w:val="0"/>
              <w:snapToGrid w:val="0"/>
              <w:spacing w:line="240" w:lineRule="auto"/>
              <w:jc w:val="right"/>
              <w:rPr>
                <w:rFonts w:hint="eastAsia" w:ascii="仿宋" w:eastAsia="仿宋" w:cs="仿宋"/>
                <w:sz w:val="24"/>
                <w:szCs w:val="24"/>
              </w:rPr>
            </w:pPr>
            <w:r>
              <w:rPr>
                <w:rFonts w:hint="eastAsia" w:ascii="仿宋" w:eastAsia="仿宋" w:cs="仿宋"/>
                <w:sz w:val="24"/>
                <w:szCs w:val="24"/>
              </w:rPr>
              <w:t xml:space="preserve">                                                   年   月   日 </w:t>
            </w:r>
          </w:p>
        </w:tc>
        <w:tc>
          <w:tcPr>
            <w:tcW w:w="3900" w:type="dxa"/>
            <w:gridSpan w:val="9"/>
            <w:noWrap w:val="0"/>
            <w:vAlign w:val="center"/>
          </w:tcPr>
          <w:p w14:paraId="117FD3AE">
            <w:pPr>
              <w:pageBreakBefore w:val="0"/>
              <w:widowControl/>
              <w:kinsoku/>
              <w:overflowPunct/>
              <w:topLinePunct w:val="0"/>
              <w:bidi w:val="0"/>
              <w:adjustRightInd w:val="0"/>
              <w:snapToGrid w:val="0"/>
              <w:spacing w:line="240" w:lineRule="auto"/>
              <w:jc w:val="left"/>
              <w:rPr>
                <w:rFonts w:hint="eastAsia" w:ascii="仿宋" w:eastAsia="仿宋" w:cs="仿宋"/>
                <w:sz w:val="24"/>
                <w:szCs w:val="24"/>
              </w:rPr>
            </w:pPr>
            <w:r>
              <w:rPr>
                <w:rFonts w:hint="eastAsia" w:ascii="仿宋" w:eastAsia="仿宋" w:cs="仿宋"/>
                <w:sz w:val="24"/>
                <w:szCs w:val="24"/>
              </w:rPr>
              <w:t>系主任审核意见：</w:t>
            </w:r>
          </w:p>
          <w:p w14:paraId="57BD5996">
            <w:pPr>
              <w:pageBreakBefore w:val="0"/>
              <w:widowControl/>
              <w:kinsoku/>
              <w:overflowPunct/>
              <w:topLinePunct w:val="0"/>
              <w:bidi w:val="0"/>
              <w:adjustRightInd w:val="0"/>
              <w:snapToGrid w:val="0"/>
              <w:spacing w:line="240" w:lineRule="auto"/>
              <w:jc w:val="left"/>
              <w:rPr>
                <w:rFonts w:hint="eastAsia" w:ascii="仿宋" w:eastAsia="仿宋" w:cs="仿宋"/>
                <w:sz w:val="24"/>
                <w:szCs w:val="24"/>
              </w:rPr>
            </w:pPr>
          </w:p>
          <w:p w14:paraId="0C481E8E">
            <w:pPr>
              <w:pageBreakBefore w:val="0"/>
              <w:widowControl/>
              <w:kinsoku/>
              <w:overflowPunct/>
              <w:topLinePunct w:val="0"/>
              <w:bidi w:val="0"/>
              <w:adjustRightInd w:val="0"/>
              <w:snapToGrid w:val="0"/>
              <w:spacing w:line="240" w:lineRule="auto"/>
              <w:jc w:val="left"/>
              <w:rPr>
                <w:rFonts w:hint="eastAsia" w:ascii="仿宋" w:eastAsia="仿宋" w:cs="仿宋"/>
                <w:sz w:val="24"/>
                <w:szCs w:val="24"/>
              </w:rPr>
            </w:pPr>
          </w:p>
          <w:p w14:paraId="034CF195">
            <w:pPr>
              <w:pageBreakBefore w:val="0"/>
              <w:widowControl/>
              <w:kinsoku/>
              <w:overflowPunct/>
              <w:topLinePunct w:val="0"/>
              <w:bidi w:val="0"/>
              <w:adjustRightInd w:val="0"/>
              <w:snapToGrid w:val="0"/>
              <w:spacing w:line="240" w:lineRule="auto"/>
              <w:jc w:val="left"/>
              <w:rPr>
                <w:rFonts w:hint="eastAsia" w:ascii="仿宋" w:eastAsia="仿宋" w:cs="仿宋"/>
                <w:sz w:val="24"/>
                <w:szCs w:val="24"/>
              </w:rPr>
            </w:pPr>
          </w:p>
          <w:p w14:paraId="5A06231A">
            <w:pPr>
              <w:pageBreakBefore w:val="0"/>
              <w:widowControl/>
              <w:kinsoku/>
              <w:overflowPunct/>
              <w:topLinePunct w:val="0"/>
              <w:bidi w:val="0"/>
              <w:adjustRightInd w:val="0"/>
              <w:snapToGrid w:val="0"/>
              <w:spacing w:line="240" w:lineRule="auto"/>
              <w:jc w:val="left"/>
              <w:rPr>
                <w:rFonts w:hint="eastAsia" w:ascii="仿宋" w:eastAsia="仿宋" w:cs="仿宋"/>
                <w:sz w:val="24"/>
                <w:szCs w:val="24"/>
              </w:rPr>
            </w:pPr>
          </w:p>
          <w:p w14:paraId="0AFDDCF3">
            <w:pPr>
              <w:pageBreakBefore w:val="0"/>
              <w:widowControl/>
              <w:kinsoku/>
              <w:overflowPunct/>
              <w:topLinePunct w:val="0"/>
              <w:bidi w:val="0"/>
              <w:adjustRightInd w:val="0"/>
              <w:snapToGrid w:val="0"/>
              <w:spacing w:line="240" w:lineRule="auto"/>
              <w:jc w:val="left"/>
              <w:rPr>
                <w:rFonts w:hint="eastAsia" w:ascii="仿宋" w:eastAsia="仿宋" w:cs="仿宋"/>
                <w:sz w:val="24"/>
                <w:szCs w:val="24"/>
              </w:rPr>
            </w:pPr>
            <w:r>
              <w:rPr>
                <w:rFonts w:hint="eastAsia" w:ascii="仿宋" w:eastAsia="仿宋" w:cs="仿宋"/>
                <w:sz w:val="24"/>
                <w:szCs w:val="24"/>
              </w:rPr>
              <w:t>系主任签名：</w:t>
            </w:r>
          </w:p>
          <w:p w14:paraId="7D3866AB">
            <w:pPr>
              <w:pageBreakBefore w:val="0"/>
              <w:widowControl/>
              <w:kinsoku/>
              <w:overflowPunct/>
              <w:topLinePunct w:val="0"/>
              <w:bidi w:val="0"/>
              <w:adjustRightInd w:val="0"/>
              <w:snapToGrid w:val="0"/>
              <w:spacing w:line="240" w:lineRule="auto"/>
              <w:jc w:val="right"/>
              <w:rPr>
                <w:rFonts w:hint="eastAsia" w:ascii="仿宋" w:eastAsia="仿宋" w:cs="仿宋"/>
                <w:sz w:val="24"/>
                <w:szCs w:val="24"/>
              </w:rPr>
            </w:pPr>
          </w:p>
          <w:p w14:paraId="475816BC">
            <w:pPr>
              <w:pageBreakBefore w:val="0"/>
              <w:widowControl/>
              <w:kinsoku/>
              <w:overflowPunct/>
              <w:topLinePunct w:val="0"/>
              <w:bidi w:val="0"/>
              <w:adjustRightInd w:val="0"/>
              <w:snapToGrid w:val="0"/>
              <w:spacing w:line="240" w:lineRule="auto"/>
              <w:jc w:val="right"/>
              <w:rPr>
                <w:rFonts w:hint="eastAsia" w:ascii="仿宋" w:eastAsia="仿宋" w:cs="仿宋"/>
                <w:sz w:val="24"/>
                <w:szCs w:val="24"/>
              </w:rPr>
            </w:pPr>
            <w:r>
              <w:rPr>
                <w:rFonts w:hint="eastAsia" w:ascii="仿宋" w:eastAsia="仿宋" w:cs="仿宋"/>
                <w:sz w:val="24"/>
                <w:szCs w:val="24"/>
              </w:rPr>
              <w:t>年   月   日</w:t>
            </w:r>
          </w:p>
        </w:tc>
      </w:tr>
    </w:tbl>
    <w:p w14:paraId="38478F62">
      <w:pPr>
        <w:pageBreakBefore w:val="0"/>
        <w:kinsoku/>
        <w:overflowPunct/>
        <w:topLinePunct w:val="0"/>
        <w:bidi w:val="0"/>
        <w:spacing w:line="240" w:lineRule="auto"/>
        <w:jc w:val="center"/>
        <w:rPr>
          <w:rFonts w:hint="eastAsia" w:ascii="仿宋" w:eastAsia="仿宋" w:cs="仿宋"/>
          <w:b/>
          <w:kern w:val="2"/>
          <w:sz w:val="28"/>
          <w:szCs w:val="28"/>
          <w:lang w:bidi="ar-SA"/>
        </w:rPr>
      </w:pPr>
    </w:p>
    <w:p w14:paraId="2CE13231">
      <w:pPr>
        <w:pageBreakBefore w:val="0"/>
        <w:kinsoku/>
        <w:overflowPunct/>
        <w:topLinePunct w:val="0"/>
        <w:bidi w:val="0"/>
        <w:spacing w:line="240" w:lineRule="auto"/>
        <w:jc w:val="center"/>
        <w:outlineLvl w:val="0"/>
        <w:rPr>
          <w:rFonts w:hint="eastAsia" w:ascii="仿宋" w:eastAsia="仿宋" w:cs="黑体"/>
          <w:b/>
          <w:kern w:val="2"/>
          <w:sz w:val="28"/>
          <w:szCs w:val="28"/>
          <w:lang w:bidi="ar-SA"/>
        </w:rPr>
      </w:pPr>
      <w:bookmarkStart w:id="124" w:name="_Toc866155248"/>
      <w:r>
        <w:rPr>
          <w:rFonts w:hint="eastAsia" w:ascii="仿宋" w:eastAsia="仿宋" w:cs="仿宋"/>
          <w:b/>
          <w:kern w:val="2"/>
          <w:sz w:val="28"/>
          <w:szCs w:val="28"/>
          <w:lang w:bidi="ar-SA"/>
        </w:rPr>
        <w:t>附表：《</w:t>
      </w:r>
      <w:r>
        <w:rPr>
          <w:rFonts w:hint="eastAsia" w:ascii="仿宋" w:eastAsia="仿宋" w:cs="仿宋"/>
          <w:b/>
          <w:kern w:val="2"/>
          <w:sz w:val="28"/>
          <w:szCs w:val="28"/>
          <w:lang w:eastAsia="zh-Hans" w:bidi="ar-SA"/>
        </w:rPr>
        <w:t>音乐学科教学论</w:t>
      </w:r>
      <w:r>
        <w:rPr>
          <w:rFonts w:hint="eastAsia" w:ascii="仿宋" w:eastAsia="仿宋" w:cs="仿宋"/>
          <w:b/>
          <w:kern w:val="2"/>
          <w:sz w:val="28"/>
          <w:szCs w:val="28"/>
          <w:lang w:bidi="ar-SA"/>
        </w:rPr>
        <w:t>》课程目标评分量表</w:t>
      </w:r>
      <w:bookmarkEnd w:id="124"/>
    </w:p>
    <w:tbl>
      <w:tblPr>
        <w:tblStyle w:val="22"/>
        <w:tblW w:w="9278" w:type="dxa"/>
        <w:jc w:val="center"/>
        <w:tblLayout w:type="autofit"/>
        <w:tblCellMar>
          <w:top w:w="0" w:type="dxa"/>
          <w:left w:w="108" w:type="dxa"/>
          <w:bottom w:w="0" w:type="dxa"/>
          <w:right w:w="108" w:type="dxa"/>
        </w:tblCellMar>
      </w:tblPr>
      <w:tblGrid>
        <w:gridCol w:w="1405"/>
        <w:gridCol w:w="1572"/>
        <w:gridCol w:w="1644"/>
        <w:gridCol w:w="1536"/>
        <w:gridCol w:w="1620"/>
        <w:gridCol w:w="1501"/>
      </w:tblGrid>
      <w:tr w14:paraId="02BAE427">
        <w:trPr>
          <w:trHeight w:val="624" w:hRule="atLeast"/>
          <w:jc w:val="center"/>
        </w:trPr>
        <w:tc>
          <w:tcPr>
            <w:tcW w:w="1405" w:type="dxa"/>
            <w:tcBorders>
              <w:top w:val="single" w:color="000000" w:sz="4" w:space="0"/>
              <w:left w:val="single" w:color="000000" w:sz="4" w:space="0"/>
              <w:bottom w:val="single" w:color="000000" w:sz="4" w:space="0"/>
              <w:right w:val="single" w:color="000000" w:sz="4" w:space="0"/>
            </w:tcBorders>
            <w:noWrap w:val="0"/>
            <w:vAlign w:val="center"/>
          </w:tcPr>
          <w:p w14:paraId="17931969">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课程目标</w:t>
            </w:r>
          </w:p>
        </w:tc>
        <w:tc>
          <w:tcPr>
            <w:tcW w:w="1572" w:type="dxa"/>
            <w:tcBorders>
              <w:top w:val="single" w:color="000000" w:sz="4" w:space="0"/>
              <w:left w:val="single" w:color="000000" w:sz="4" w:space="0"/>
              <w:bottom w:val="single" w:color="000000" w:sz="4" w:space="0"/>
              <w:right w:val="single" w:color="000000" w:sz="4" w:space="0"/>
            </w:tcBorders>
            <w:noWrap w:val="0"/>
            <w:vAlign w:val="center"/>
          </w:tcPr>
          <w:p w14:paraId="0537DB83">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优</w:t>
            </w:r>
          </w:p>
          <w:p w14:paraId="3739D451">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（X≧90）</w:t>
            </w:r>
          </w:p>
        </w:tc>
        <w:tc>
          <w:tcPr>
            <w:tcW w:w="1644" w:type="dxa"/>
            <w:tcBorders>
              <w:top w:val="single" w:color="000000" w:sz="4" w:space="0"/>
              <w:left w:val="single" w:color="000000" w:sz="4" w:space="0"/>
              <w:bottom w:val="single" w:color="000000" w:sz="4" w:space="0"/>
              <w:right w:val="single" w:color="000000" w:sz="4" w:space="0"/>
            </w:tcBorders>
            <w:noWrap w:val="0"/>
            <w:vAlign w:val="center"/>
          </w:tcPr>
          <w:p w14:paraId="4ECE8BA3">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良</w:t>
            </w:r>
          </w:p>
          <w:p w14:paraId="6CC60B16">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（80≦X＜90）</w:t>
            </w:r>
          </w:p>
        </w:tc>
        <w:tc>
          <w:tcPr>
            <w:tcW w:w="1536" w:type="dxa"/>
            <w:tcBorders>
              <w:top w:val="single" w:color="000000" w:sz="4" w:space="0"/>
              <w:left w:val="single" w:color="000000" w:sz="4" w:space="0"/>
              <w:bottom w:val="single" w:color="000000" w:sz="4" w:space="0"/>
              <w:right w:val="single" w:color="000000" w:sz="4" w:space="0"/>
            </w:tcBorders>
            <w:noWrap w:val="0"/>
            <w:vAlign w:val="center"/>
          </w:tcPr>
          <w:p w14:paraId="496D8B2D">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中</w:t>
            </w:r>
          </w:p>
          <w:p w14:paraId="50A9A2EA">
            <w:pPr>
              <w:pageBreakBefore w:val="0"/>
              <w:tabs>
                <w:tab w:val="left" w:pos="720"/>
              </w:tabs>
              <w:kinsoku/>
              <w:overflowPunct/>
              <w:topLinePunct w:val="0"/>
              <w:bidi w:val="0"/>
              <w:spacing w:line="240" w:lineRule="auto"/>
              <w:ind w:left="-93" w:right="-75" w:hanging="12"/>
              <w:jc w:val="center"/>
              <w:rPr>
                <w:rFonts w:hint="eastAsia" w:ascii="仿宋" w:eastAsia="仿宋" w:cs="仿宋"/>
                <w:b/>
                <w:kern w:val="2"/>
                <w:szCs w:val="21"/>
                <w:lang w:bidi="ar-SA"/>
              </w:rPr>
            </w:pPr>
            <w:r>
              <w:rPr>
                <w:rFonts w:hint="eastAsia" w:ascii="仿宋" w:eastAsia="仿宋" w:cs="仿宋"/>
                <w:b/>
                <w:kern w:val="2"/>
                <w:szCs w:val="21"/>
                <w:lang w:bidi="ar-SA"/>
              </w:rPr>
              <w:t>（70≦X＜80）</w:t>
            </w:r>
          </w:p>
        </w:tc>
        <w:tc>
          <w:tcPr>
            <w:tcW w:w="1620" w:type="dxa"/>
            <w:tcBorders>
              <w:top w:val="single" w:color="000000" w:sz="4" w:space="0"/>
              <w:left w:val="single" w:color="000000" w:sz="4" w:space="0"/>
              <w:bottom w:val="single" w:color="000000" w:sz="4" w:space="0"/>
              <w:right w:val="single" w:color="000000" w:sz="4" w:space="0"/>
            </w:tcBorders>
            <w:noWrap w:val="0"/>
            <w:vAlign w:val="center"/>
          </w:tcPr>
          <w:p w14:paraId="27E7446A">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及格</w:t>
            </w:r>
          </w:p>
          <w:p w14:paraId="3116E48B">
            <w:pPr>
              <w:pageBreakBefore w:val="0"/>
              <w:tabs>
                <w:tab w:val="left" w:pos="720"/>
              </w:tabs>
              <w:kinsoku/>
              <w:overflowPunct/>
              <w:topLinePunct w:val="0"/>
              <w:bidi w:val="0"/>
              <w:spacing w:line="240" w:lineRule="auto"/>
              <w:ind w:left="-93" w:right="-75" w:hanging="12"/>
              <w:jc w:val="center"/>
              <w:rPr>
                <w:rFonts w:hint="eastAsia" w:ascii="仿宋" w:eastAsia="仿宋" w:cs="仿宋"/>
                <w:b/>
                <w:kern w:val="2"/>
                <w:szCs w:val="21"/>
                <w:lang w:bidi="ar-SA"/>
              </w:rPr>
            </w:pPr>
            <w:r>
              <w:rPr>
                <w:rFonts w:hint="eastAsia" w:ascii="仿宋" w:eastAsia="仿宋" w:cs="仿宋"/>
                <w:b/>
                <w:kern w:val="2"/>
                <w:szCs w:val="21"/>
                <w:lang w:bidi="ar-SA"/>
              </w:rPr>
              <w:t>（60≦X＜70）</w:t>
            </w:r>
          </w:p>
        </w:tc>
        <w:tc>
          <w:tcPr>
            <w:tcW w:w="1501" w:type="dxa"/>
            <w:tcBorders>
              <w:top w:val="single" w:color="000000" w:sz="4" w:space="0"/>
              <w:left w:val="single" w:color="000000" w:sz="4" w:space="0"/>
              <w:bottom w:val="single" w:color="000000" w:sz="4" w:space="0"/>
              <w:right w:val="single" w:color="000000" w:sz="4" w:space="0"/>
            </w:tcBorders>
            <w:noWrap w:val="0"/>
            <w:vAlign w:val="center"/>
          </w:tcPr>
          <w:p w14:paraId="19106EDB">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不及格</w:t>
            </w:r>
          </w:p>
          <w:p w14:paraId="2472542F">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（X＜60）</w:t>
            </w:r>
          </w:p>
        </w:tc>
      </w:tr>
      <w:tr w14:paraId="3834DB81">
        <w:trPr>
          <w:trHeight w:val="624" w:hRule="atLeast"/>
          <w:jc w:val="center"/>
        </w:trPr>
        <w:tc>
          <w:tcPr>
            <w:tcW w:w="1405" w:type="dxa"/>
            <w:tcBorders>
              <w:top w:val="single" w:color="000000" w:sz="4" w:space="0"/>
              <w:left w:val="single" w:color="000000" w:sz="4" w:space="0"/>
              <w:bottom w:val="single" w:color="000000" w:sz="4" w:space="0"/>
              <w:right w:val="single" w:color="000000" w:sz="4" w:space="0"/>
            </w:tcBorders>
            <w:noWrap w:val="0"/>
            <w:vAlign w:val="top"/>
          </w:tcPr>
          <w:p w14:paraId="602DBE0E">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bidi="ar-SA"/>
              </w:rPr>
              <w:t>课程目标1:</w:t>
            </w:r>
          </w:p>
          <w:p w14:paraId="68FE8C5C">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eastAsia="zh-Hans" w:bidi="ar-SA"/>
              </w:rPr>
              <w:t>将音乐教育基础知识、基本技能与教育学、心理学、学科教学论知识相融合，形成综合的音乐教育教学知识体系，并具备初步的综合分析能力与运用能力。</w:t>
            </w:r>
          </w:p>
        </w:tc>
        <w:tc>
          <w:tcPr>
            <w:tcW w:w="1572" w:type="dxa"/>
            <w:tcBorders>
              <w:top w:val="single" w:color="000000" w:sz="4" w:space="0"/>
              <w:left w:val="single" w:color="000000" w:sz="4" w:space="0"/>
              <w:bottom w:val="single" w:color="000000" w:sz="4" w:space="0"/>
              <w:right w:val="single" w:color="000000" w:sz="4" w:space="0"/>
            </w:tcBorders>
            <w:noWrap w:val="0"/>
            <w:vAlign w:val="top"/>
          </w:tcPr>
          <w:p w14:paraId="6B686319">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eastAsia="zh-Hans" w:bidi="ar-SA"/>
              </w:rPr>
              <w:t>具有扎实的音乐专业基础知识与基本技能，较系统地掌握从事学校音乐教育教学所必备的基本理论、基础知识和基本方法，具有较强的学科综合分析与运用能力。</w:t>
            </w:r>
          </w:p>
          <w:p w14:paraId="49E96124">
            <w:pPr>
              <w:pageBreakBefore w:val="0"/>
              <w:widowControl/>
              <w:kinsoku/>
              <w:overflowPunct/>
              <w:topLinePunct w:val="0"/>
              <w:bidi w:val="0"/>
              <w:spacing w:line="240" w:lineRule="auto"/>
              <w:rPr>
                <w:rFonts w:hint="eastAsia" w:ascii="楷体" w:eastAsia="楷体" w:cs="仿宋"/>
                <w:bCs/>
                <w:kern w:val="2"/>
                <w:szCs w:val="21"/>
                <w:lang w:bidi="ar-SA"/>
              </w:rPr>
            </w:pPr>
          </w:p>
        </w:tc>
        <w:tc>
          <w:tcPr>
            <w:tcW w:w="1644" w:type="dxa"/>
            <w:tcBorders>
              <w:top w:val="single" w:color="000000" w:sz="4" w:space="0"/>
              <w:left w:val="single" w:color="000000" w:sz="4" w:space="0"/>
              <w:bottom w:val="single" w:color="000000" w:sz="4" w:space="0"/>
              <w:right w:val="single" w:color="000000" w:sz="4" w:space="0"/>
            </w:tcBorders>
            <w:noWrap w:val="0"/>
            <w:vAlign w:val="top"/>
          </w:tcPr>
          <w:p w14:paraId="1E51536A">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eastAsia="zh-Hans" w:bidi="ar-SA"/>
              </w:rPr>
              <w:t>具有良好的音乐专业基础知识与基本技能，较全面地掌握从事学校音乐教育教学所必备的基本理论、基础知识和基本方法，具有良好的学科综合分析与运用能力。</w:t>
            </w:r>
          </w:p>
          <w:p w14:paraId="6EDC746D">
            <w:pPr>
              <w:pageBreakBefore w:val="0"/>
              <w:widowControl/>
              <w:kinsoku/>
              <w:overflowPunct/>
              <w:topLinePunct w:val="0"/>
              <w:bidi w:val="0"/>
              <w:spacing w:line="240" w:lineRule="auto"/>
              <w:rPr>
                <w:rFonts w:hint="eastAsia" w:ascii="楷体" w:eastAsia="楷体" w:cs="仿宋"/>
                <w:bCs/>
                <w:kern w:val="2"/>
                <w:szCs w:val="21"/>
                <w:lang w:bidi="ar-SA"/>
              </w:rPr>
            </w:pPr>
          </w:p>
        </w:tc>
        <w:tc>
          <w:tcPr>
            <w:tcW w:w="1536" w:type="dxa"/>
            <w:tcBorders>
              <w:top w:val="single" w:color="000000" w:sz="4" w:space="0"/>
              <w:left w:val="single" w:color="000000" w:sz="4" w:space="0"/>
              <w:bottom w:val="single" w:color="000000" w:sz="4" w:space="0"/>
              <w:right w:val="single" w:color="000000" w:sz="4" w:space="0"/>
            </w:tcBorders>
            <w:noWrap w:val="0"/>
            <w:vAlign w:val="top"/>
          </w:tcPr>
          <w:p w14:paraId="117D7553">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eastAsia="zh-Hans" w:bidi="ar-SA"/>
              </w:rPr>
              <w:t>具有</w:t>
            </w:r>
            <w:r>
              <w:rPr>
                <w:rFonts w:hint="eastAsia" w:ascii="楷体" w:eastAsia="楷体" w:cs="仿宋"/>
                <w:bCs/>
                <w:kern w:val="2"/>
                <w:szCs w:val="21"/>
                <w:lang w:bidi="ar-SA"/>
              </w:rPr>
              <w:t>较</w:t>
            </w:r>
            <w:r>
              <w:rPr>
                <w:rFonts w:hint="eastAsia" w:ascii="楷体" w:eastAsia="楷体" w:cs="仿宋"/>
                <w:bCs/>
                <w:kern w:val="2"/>
                <w:szCs w:val="21"/>
                <w:lang w:eastAsia="zh-Hans" w:bidi="ar-SA"/>
              </w:rPr>
              <w:t>好的音乐专业基础知识与基本技能，基本掌握从事学校音乐教育教学所必备的基本理论、基础知识和基本方法，具有一定程度的学科综合分析与运用能力。</w:t>
            </w:r>
          </w:p>
          <w:p w14:paraId="17125DF5">
            <w:pPr>
              <w:pageBreakBefore w:val="0"/>
              <w:widowControl/>
              <w:kinsoku/>
              <w:overflowPunct/>
              <w:topLinePunct w:val="0"/>
              <w:bidi w:val="0"/>
              <w:spacing w:line="240" w:lineRule="auto"/>
              <w:rPr>
                <w:rFonts w:hint="eastAsia" w:ascii="楷体" w:eastAsia="楷体" w:cs="仿宋"/>
                <w:bCs/>
                <w:kern w:val="2"/>
                <w:szCs w:val="21"/>
                <w:lang w:bidi="ar-SA"/>
              </w:rPr>
            </w:pPr>
          </w:p>
        </w:tc>
        <w:tc>
          <w:tcPr>
            <w:tcW w:w="1620" w:type="dxa"/>
            <w:tcBorders>
              <w:top w:val="single" w:color="000000" w:sz="4" w:space="0"/>
              <w:left w:val="single" w:color="000000" w:sz="4" w:space="0"/>
              <w:bottom w:val="single" w:color="000000" w:sz="4" w:space="0"/>
              <w:right w:val="single" w:color="000000" w:sz="4" w:space="0"/>
            </w:tcBorders>
            <w:noWrap w:val="0"/>
            <w:vAlign w:val="top"/>
          </w:tcPr>
          <w:p w14:paraId="4EA813D5">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bidi="ar-SA"/>
              </w:rPr>
              <w:t>基本具备</w:t>
            </w:r>
            <w:r>
              <w:rPr>
                <w:rFonts w:hint="eastAsia" w:ascii="楷体" w:eastAsia="楷体" w:cs="仿宋"/>
                <w:bCs/>
                <w:kern w:val="2"/>
                <w:szCs w:val="21"/>
                <w:lang w:eastAsia="zh-Hans" w:bidi="ar-SA"/>
              </w:rPr>
              <w:t>音乐专业基础知识与基本技能，对从事学校音乐教育教学所必备的基本理论、基础知识和基本方法的掌握不够全面，学科综合分析与运用能力尚薄弱。</w:t>
            </w:r>
          </w:p>
          <w:p w14:paraId="2C0EE385">
            <w:pPr>
              <w:pageBreakBefore w:val="0"/>
              <w:widowControl/>
              <w:kinsoku/>
              <w:overflowPunct/>
              <w:topLinePunct w:val="0"/>
              <w:bidi w:val="0"/>
              <w:spacing w:line="240" w:lineRule="auto"/>
              <w:rPr>
                <w:rFonts w:hint="eastAsia" w:ascii="楷体" w:eastAsia="楷体" w:cs="仿宋"/>
                <w:bCs/>
                <w:kern w:val="2"/>
                <w:szCs w:val="21"/>
                <w:lang w:bidi="ar-SA"/>
              </w:rPr>
            </w:pPr>
          </w:p>
          <w:p w14:paraId="3B9E4831">
            <w:pPr>
              <w:pageBreakBefore w:val="0"/>
              <w:widowControl/>
              <w:kinsoku/>
              <w:overflowPunct/>
              <w:topLinePunct w:val="0"/>
              <w:bidi w:val="0"/>
              <w:spacing w:line="240" w:lineRule="auto"/>
              <w:rPr>
                <w:rFonts w:hint="eastAsia" w:ascii="楷体" w:eastAsia="楷体" w:cs="仿宋"/>
                <w:bCs/>
                <w:kern w:val="2"/>
                <w:szCs w:val="21"/>
                <w:lang w:bidi="ar-SA"/>
              </w:rPr>
            </w:pPr>
          </w:p>
        </w:tc>
        <w:tc>
          <w:tcPr>
            <w:tcW w:w="1501" w:type="dxa"/>
            <w:tcBorders>
              <w:top w:val="single" w:color="000000" w:sz="4" w:space="0"/>
              <w:left w:val="single" w:color="000000" w:sz="4" w:space="0"/>
              <w:bottom w:val="single" w:color="000000" w:sz="4" w:space="0"/>
              <w:right w:val="single" w:color="000000" w:sz="4" w:space="0"/>
            </w:tcBorders>
            <w:noWrap w:val="0"/>
            <w:vAlign w:val="top"/>
          </w:tcPr>
          <w:p w14:paraId="68FCC9D4">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eastAsia="zh-Hans" w:bidi="ar-SA"/>
              </w:rPr>
              <w:t>音乐专业基础知识与基本技能薄弱，未能掌握从事学校音乐教育教学所必备的基本理论、基础知识和基本方法，缺乏学科综合分析与运用能力。</w:t>
            </w:r>
          </w:p>
          <w:p w14:paraId="29637C6D">
            <w:pPr>
              <w:pageBreakBefore w:val="0"/>
              <w:widowControl/>
              <w:kinsoku/>
              <w:overflowPunct/>
              <w:topLinePunct w:val="0"/>
              <w:bidi w:val="0"/>
              <w:spacing w:line="240" w:lineRule="auto"/>
              <w:rPr>
                <w:rFonts w:hint="eastAsia" w:ascii="楷体" w:eastAsia="楷体" w:cs="仿宋"/>
                <w:bCs/>
                <w:kern w:val="2"/>
                <w:szCs w:val="21"/>
                <w:lang w:bidi="ar-SA"/>
              </w:rPr>
            </w:pPr>
          </w:p>
        </w:tc>
      </w:tr>
      <w:tr w14:paraId="6DE004D4">
        <w:trPr>
          <w:trHeight w:val="624" w:hRule="atLeast"/>
          <w:jc w:val="center"/>
        </w:trPr>
        <w:tc>
          <w:tcPr>
            <w:tcW w:w="1405" w:type="dxa"/>
            <w:tcBorders>
              <w:top w:val="single" w:color="000000" w:sz="4" w:space="0"/>
              <w:left w:val="single" w:color="000000" w:sz="4" w:space="0"/>
              <w:bottom w:val="single" w:color="000000" w:sz="4" w:space="0"/>
              <w:right w:val="single" w:color="000000" w:sz="4" w:space="0"/>
            </w:tcBorders>
            <w:noWrap w:val="0"/>
            <w:vAlign w:val="center"/>
          </w:tcPr>
          <w:p w14:paraId="7B968F74">
            <w:pPr>
              <w:pageBreakBefore w:val="0"/>
              <w:widowControl/>
              <w:kinsoku/>
              <w:overflowPunct/>
              <w:topLinePunct w:val="0"/>
              <w:bidi w:val="0"/>
              <w:spacing w:line="240" w:lineRule="auto"/>
              <w:jc w:val="left"/>
              <w:rPr>
                <w:rFonts w:hint="eastAsia" w:ascii="楷体" w:eastAsia="楷体" w:cs="仿宋"/>
                <w:bCs/>
                <w:kern w:val="2"/>
                <w:szCs w:val="21"/>
                <w:lang w:bidi="ar-SA"/>
              </w:rPr>
            </w:pPr>
            <w:r>
              <w:rPr>
                <w:rFonts w:hint="eastAsia" w:ascii="楷体" w:eastAsia="楷体" w:cs="仿宋"/>
                <w:bCs/>
                <w:kern w:val="2"/>
                <w:szCs w:val="21"/>
                <w:lang w:bidi="ar-SA"/>
              </w:rPr>
              <w:t>课程目标2:</w:t>
            </w:r>
          </w:p>
          <w:p w14:paraId="30482FAF">
            <w:pPr>
              <w:pageBreakBefore w:val="0"/>
              <w:widowControl/>
              <w:kinsoku/>
              <w:overflowPunct/>
              <w:topLinePunct w:val="0"/>
              <w:bidi w:val="0"/>
              <w:spacing w:line="240" w:lineRule="auto"/>
              <w:jc w:val="left"/>
              <w:rPr>
                <w:rFonts w:hint="eastAsia" w:ascii="楷体" w:eastAsia="楷体" w:cs="仿宋"/>
                <w:bCs/>
                <w:kern w:val="2"/>
                <w:szCs w:val="21"/>
                <w:lang w:bidi="ar-SA"/>
              </w:rPr>
            </w:pPr>
            <w:r>
              <w:rPr>
                <w:rFonts w:hint="eastAsia" w:ascii="楷体" w:eastAsia="楷体" w:cs="仿宋"/>
                <w:bCs/>
                <w:kern w:val="2"/>
                <w:szCs w:val="21"/>
                <w:lang w:eastAsia="zh-Hans" w:bidi="ar-SA"/>
              </w:rPr>
              <w:t>掌握义务教育阶段音乐课程标准。</w:t>
            </w:r>
            <w:r>
              <w:rPr>
                <w:rFonts w:hint="eastAsia" w:ascii="楷体" w:eastAsia="楷体" w:cs="仿宋"/>
                <w:bCs/>
                <w:kern w:val="2"/>
                <w:szCs w:val="21"/>
                <w:lang w:bidi="ar-SA"/>
              </w:rPr>
              <w:t>领会学校音乐教育的目标、理念、性质，领会音乐美、音乐审美、音乐教学的原则，掌握音乐</w:t>
            </w:r>
            <w:r>
              <w:rPr>
                <w:rFonts w:hint="eastAsia" w:ascii="楷体" w:eastAsia="楷体" w:cs="仿宋"/>
                <w:bCs/>
                <w:kern w:val="2"/>
                <w:szCs w:val="21"/>
                <w:lang w:eastAsia="zh-Hans" w:bidi="ar-SA"/>
              </w:rPr>
              <w:t>教材分析、</w:t>
            </w:r>
            <w:r>
              <w:rPr>
                <w:rFonts w:hint="eastAsia" w:ascii="楷体" w:eastAsia="楷体" w:cs="仿宋"/>
                <w:bCs/>
                <w:kern w:val="2"/>
                <w:szCs w:val="21"/>
                <w:lang w:bidi="ar-SA"/>
              </w:rPr>
              <w:t>教学程序、过程、模式及教学方法，掌握音乐课程评价基本方式与方法，对音乐教育课程资源开发的途径与方式有深入了解。</w:t>
            </w:r>
          </w:p>
        </w:tc>
        <w:tc>
          <w:tcPr>
            <w:tcW w:w="1572" w:type="dxa"/>
            <w:tcBorders>
              <w:top w:val="single" w:color="000000" w:sz="4" w:space="0"/>
              <w:left w:val="single" w:color="000000" w:sz="4" w:space="0"/>
              <w:bottom w:val="single" w:color="000000" w:sz="4" w:space="0"/>
              <w:right w:val="single" w:color="000000" w:sz="4" w:space="0"/>
            </w:tcBorders>
            <w:noWrap w:val="0"/>
            <w:vAlign w:val="top"/>
          </w:tcPr>
          <w:p w14:paraId="04A3B98A">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eastAsia="zh-Hans" w:bidi="ar-SA"/>
              </w:rPr>
              <w:t>熟练掌握义务教育阶段音乐课程标准。准确把握</w:t>
            </w:r>
            <w:r>
              <w:rPr>
                <w:rFonts w:hint="eastAsia" w:ascii="楷体" w:eastAsia="楷体" w:cs="仿宋"/>
                <w:bCs/>
                <w:kern w:val="2"/>
                <w:szCs w:val="21"/>
                <w:lang w:bidi="ar-SA"/>
              </w:rPr>
              <w:t>学校音乐教育的目标、理念、性质，领会音乐美、音乐审美、音乐教学的原则，能够</w:t>
            </w:r>
            <w:r>
              <w:rPr>
                <w:rFonts w:hint="eastAsia" w:ascii="楷体" w:eastAsia="楷体" w:cs="仿宋"/>
                <w:bCs/>
                <w:kern w:val="2"/>
                <w:szCs w:val="21"/>
                <w:lang w:eastAsia="zh-Hans" w:bidi="ar-SA"/>
              </w:rPr>
              <w:t>全面分析教材，</w:t>
            </w:r>
            <w:r>
              <w:rPr>
                <w:rFonts w:hint="eastAsia" w:ascii="楷体" w:eastAsia="楷体" w:cs="仿宋"/>
                <w:bCs/>
                <w:kern w:val="2"/>
                <w:szCs w:val="21"/>
                <w:lang w:bidi="ar-SA"/>
              </w:rPr>
              <w:t>扎实掌握音乐教学程序、教学过程的基本阶段及主要任务、教学模式与教学方法、教学评价，对音乐课程资源的开发与利用有深入的认识。</w:t>
            </w:r>
          </w:p>
        </w:tc>
        <w:tc>
          <w:tcPr>
            <w:tcW w:w="1644" w:type="dxa"/>
            <w:tcBorders>
              <w:top w:val="single" w:color="000000" w:sz="4" w:space="0"/>
              <w:left w:val="single" w:color="000000" w:sz="4" w:space="0"/>
              <w:bottom w:val="single" w:color="000000" w:sz="4" w:space="0"/>
              <w:right w:val="single" w:color="000000" w:sz="4" w:space="0"/>
            </w:tcBorders>
            <w:noWrap w:val="0"/>
            <w:vAlign w:val="top"/>
          </w:tcPr>
          <w:p w14:paraId="2F5C6B65">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eastAsia="zh-Hans" w:bidi="ar-SA"/>
              </w:rPr>
              <w:t>正确掌握义务教育阶段音乐课程标准。正确把握</w:t>
            </w:r>
            <w:r>
              <w:rPr>
                <w:rFonts w:hint="eastAsia" w:ascii="楷体" w:eastAsia="楷体" w:cs="仿宋"/>
                <w:bCs/>
                <w:kern w:val="2"/>
                <w:szCs w:val="21"/>
                <w:lang w:bidi="ar-SA"/>
              </w:rPr>
              <w:t>学校音乐教育的目标、理念、性质</w:t>
            </w:r>
            <w:r>
              <w:rPr>
                <w:rFonts w:hint="eastAsia" w:ascii="楷体" w:eastAsia="楷体" w:cs="仿宋"/>
                <w:bCs/>
                <w:kern w:val="2"/>
                <w:szCs w:val="21"/>
                <w:lang w:eastAsia="zh-Hans" w:bidi="ar-SA"/>
              </w:rPr>
              <w:t>和</w:t>
            </w:r>
            <w:r>
              <w:rPr>
                <w:rFonts w:hint="eastAsia" w:ascii="楷体" w:eastAsia="楷体" w:cs="仿宋"/>
                <w:bCs/>
                <w:kern w:val="2"/>
                <w:szCs w:val="21"/>
                <w:lang w:bidi="ar-SA"/>
              </w:rPr>
              <w:t>音乐美、音乐审美、音乐教学的原则，</w:t>
            </w:r>
            <w:r>
              <w:rPr>
                <w:rFonts w:hint="eastAsia" w:ascii="楷体" w:eastAsia="楷体" w:cs="仿宋"/>
                <w:bCs/>
                <w:kern w:val="2"/>
                <w:szCs w:val="21"/>
                <w:lang w:eastAsia="zh-Hans" w:bidi="ar-SA"/>
              </w:rPr>
              <w:t>对音乐教材有较强的分析能力，</w:t>
            </w:r>
            <w:r>
              <w:rPr>
                <w:rFonts w:hint="eastAsia" w:ascii="楷体" w:eastAsia="楷体" w:cs="仿宋"/>
                <w:bCs/>
                <w:kern w:val="2"/>
                <w:szCs w:val="21"/>
                <w:lang w:bidi="ar-SA"/>
              </w:rPr>
              <w:t>能够</w:t>
            </w:r>
            <w:r>
              <w:rPr>
                <w:rFonts w:hint="eastAsia" w:ascii="楷体" w:eastAsia="楷体" w:cs="仿宋"/>
                <w:bCs/>
                <w:kern w:val="2"/>
                <w:szCs w:val="21"/>
                <w:lang w:eastAsia="zh-Hans" w:bidi="ar-SA"/>
              </w:rPr>
              <w:t>整体上</w:t>
            </w:r>
            <w:r>
              <w:rPr>
                <w:rFonts w:hint="eastAsia" w:ascii="楷体" w:eastAsia="楷体" w:cs="仿宋"/>
                <w:bCs/>
                <w:kern w:val="2"/>
                <w:szCs w:val="21"/>
                <w:lang w:bidi="ar-SA"/>
              </w:rPr>
              <w:t>掌握音乐教学程序、教学过程的基本阶段及主要任务、教学模式与教学方法、教学评价，对音乐课程资源的开发与利用有较深入认识。</w:t>
            </w:r>
          </w:p>
          <w:p w14:paraId="301B7C74">
            <w:pPr>
              <w:pageBreakBefore w:val="0"/>
              <w:widowControl/>
              <w:kinsoku/>
              <w:overflowPunct/>
              <w:topLinePunct w:val="0"/>
              <w:bidi w:val="0"/>
              <w:spacing w:line="240" w:lineRule="auto"/>
              <w:rPr>
                <w:rFonts w:hint="eastAsia" w:ascii="楷体" w:eastAsia="楷体" w:cs="仿宋"/>
                <w:bCs/>
                <w:kern w:val="2"/>
                <w:szCs w:val="21"/>
                <w:lang w:bidi="ar-SA"/>
              </w:rPr>
            </w:pPr>
          </w:p>
        </w:tc>
        <w:tc>
          <w:tcPr>
            <w:tcW w:w="1536" w:type="dxa"/>
            <w:tcBorders>
              <w:top w:val="single" w:color="000000" w:sz="4" w:space="0"/>
              <w:left w:val="single" w:color="000000" w:sz="4" w:space="0"/>
              <w:bottom w:val="single" w:color="000000" w:sz="4" w:space="0"/>
              <w:right w:val="single" w:color="000000" w:sz="4" w:space="0"/>
            </w:tcBorders>
            <w:noWrap w:val="0"/>
            <w:vAlign w:val="top"/>
          </w:tcPr>
          <w:p w14:paraId="22D93C16">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eastAsia="zh-Hans" w:bidi="ar-SA"/>
              </w:rPr>
              <w:t>较正确掌握义务教育阶段音乐课程标准。</w:t>
            </w:r>
            <w:r>
              <w:rPr>
                <w:rFonts w:hint="eastAsia" w:ascii="楷体" w:eastAsia="楷体" w:cs="仿宋"/>
                <w:bCs/>
                <w:kern w:val="2"/>
                <w:szCs w:val="21"/>
                <w:lang w:bidi="ar-SA"/>
              </w:rPr>
              <w:t>领会学校音乐教育的目标、理念、性质</w:t>
            </w:r>
            <w:r>
              <w:rPr>
                <w:rFonts w:hint="eastAsia" w:ascii="楷体" w:eastAsia="楷体" w:cs="仿宋"/>
                <w:bCs/>
                <w:kern w:val="2"/>
                <w:szCs w:val="21"/>
                <w:lang w:eastAsia="zh-Hans" w:bidi="ar-SA"/>
              </w:rPr>
              <w:t>和</w:t>
            </w:r>
            <w:r>
              <w:rPr>
                <w:rFonts w:hint="eastAsia" w:ascii="楷体" w:eastAsia="楷体" w:cs="仿宋"/>
                <w:bCs/>
                <w:kern w:val="2"/>
                <w:szCs w:val="21"/>
                <w:lang w:bidi="ar-SA"/>
              </w:rPr>
              <w:t>音乐美、音乐审美、音乐教学的原则，</w:t>
            </w:r>
            <w:r>
              <w:rPr>
                <w:rFonts w:hint="eastAsia" w:ascii="楷体" w:eastAsia="楷体" w:cs="仿宋"/>
                <w:bCs/>
                <w:kern w:val="2"/>
                <w:szCs w:val="21"/>
                <w:lang w:eastAsia="zh-Hans" w:bidi="ar-SA"/>
              </w:rPr>
              <w:t>对音乐教材有一定程度的分析能力，</w:t>
            </w:r>
            <w:r>
              <w:rPr>
                <w:rFonts w:hint="eastAsia" w:ascii="楷体" w:eastAsia="楷体" w:cs="仿宋"/>
                <w:bCs/>
                <w:kern w:val="2"/>
                <w:szCs w:val="21"/>
                <w:lang w:bidi="ar-SA"/>
              </w:rPr>
              <w:t>能够掌握部分音乐教学程序、教学过程的基本阶段及主要任务、教学模式与教学方法、教学评价，对音乐课程资源的开发与利用有一定的认识。</w:t>
            </w:r>
          </w:p>
          <w:p w14:paraId="6A3C8FEF">
            <w:pPr>
              <w:pageBreakBefore w:val="0"/>
              <w:widowControl/>
              <w:kinsoku/>
              <w:overflowPunct/>
              <w:topLinePunct w:val="0"/>
              <w:bidi w:val="0"/>
              <w:spacing w:line="240" w:lineRule="auto"/>
              <w:rPr>
                <w:rFonts w:hint="eastAsia" w:ascii="楷体" w:eastAsia="楷体" w:cs="仿宋"/>
                <w:bCs/>
                <w:kern w:val="2"/>
                <w:szCs w:val="21"/>
                <w:lang w:bidi="ar-SA"/>
              </w:rPr>
            </w:pPr>
          </w:p>
        </w:tc>
        <w:tc>
          <w:tcPr>
            <w:tcW w:w="1620" w:type="dxa"/>
            <w:tcBorders>
              <w:top w:val="single" w:color="000000" w:sz="4" w:space="0"/>
              <w:left w:val="single" w:color="000000" w:sz="4" w:space="0"/>
              <w:bottom w:val="single" w:color="000000" w:sz="4" w:space="0"/>
              <w:right w:val="single" w:color="000000" w:sz="4" w:space="0"/>
            </w:tcBorders>
            <w:noWrap w:val="0"/>
            <w:vAlign w:val="top"/>
          </w:tcPr>
          <w:p w14:paraId="681EDED9">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eastAsia="zh-Hans" w:bidi="ar-SA"/>
              </w:rPr>
              <w:t>基本掌握义务教育阶段音乐课程标准。基本领会</w:t>
            </w:r>
            <w:r>
              <w:rPr>
                <w:rFonts w:hint="eastAsia" w:ascii="楷体" w:eastAsia="楷体" w:cs="仿宋"/>
                <w:bCs/>
                <w:kern w:val="2"/>
                <w:szCs w:val="21"/>
                <w:lang w:bidi="ar-SA"/>
              </w:rPr>
              <w:t>学校音乐教育的目标、理念、性质</w:t>
            </w:r>
            <w:r>
              <w:rPr>
                <w:rFonts w:hint="eastAsia" w:ascii="楷体" w:eastAsia="楷体" w:cs="仿宋"/>
                <w:bCs/>
                <w:kern w:val="2"/>
                <w:szCs w:val="21"/>
                <w:lang w:eastAsia="zh-Hans" w:bidi="ar-SA"/>
              </w:rPr>
              <w:t>和</w:t>
            </w:r>
            <w:r>
              <w:rPr>
                <w:rFonts w:hint="eastAsia" w:ascii="楷体" w:eastAsia="楷体" w:cs="仿宋"/>
                <w:bCs/>
                <w:kern w:val="2"/>
                <w:szCs w:val="21"/>
                <w:lang w:bidi="ar-SA"/>
              </w:rPr>
              <w:t>音乐美、音乐审美、音乐教学的原则，</w:t>
            </w:r>
            <w:r>
              <w:rPr>
                <w:rFonts w:hint="eastAsia" w:ascii="楷体" w:eastAsia="楷体" w:cs="仿宋"/>
                <w:bCs/>
                <w:kern w:val="2"/>
                <w:szCs w:val="21"/>
                <w:lang w:eastAsia="zh-Hans" w:bidi="ar-SA"/>
              </w:rPr>
              <w:t>对音乐教材的分析不够全面，</w:t>
            </w:r>
            <w:r>
              <w:rPr>
                <w:rFonts w:hint="eastAsia" w:ascii="楷体" w:eastAsia="楷体" w:cs="仿宋"/>
                <w:bCs/>
                <w:kern w:val="2"/>
                <w:szCs w:val="21"/>
                <w:lang w:bidi="ar-SA"/>
              </w:rPr>
              <w:t>能够掌握部分音乐教学程序、教学过程的基本阶段及主要任务、教学模式与教学方法、教学评价，对音乐课程资源的开发与利用有有基本的认识。</w:t>
            </w:r>
          </w:p>
        </w:tc>
        <w:tc>
          <w:tcPr>
            <w:tcW w:w="1501" w:type="dxa"/>
            <w:tcBorders>
              <w:top w:val="single" w:color="000000" w:sz="4" w:space="0"/>
              <w:left w:val="single" w:color="000000" w:sz="4" w:space="0"/>
              <w:bottom w:val="single" w:color="000000" w:sz="4" w:space="0"/>
              <w:right w:val="single" w:color="000000" w:sz="4" w:space="0"/>
            </w:tcBorders>
            <w:noWrap w:val="0"/>
            <w:vAlign w:val="top"/>
          </w:tcPr>
          <w:p w14:paraId="0E683A2A">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eastAsia="zh-Hans" w:bidi="ar-SA"/>
              </w:rPr>
              <w:t>未能掌握基本的义务教育阶段音乐课程标准。未能领会</w:t>
            </w:r>
            <w:r>
              <w:rPr>
                <w:rFonts w:hint="eastAsia" w:ascii="楷体" w:eastAsia="楷体" w:cs="仿宋"/>
                <w:bCs/>
                <w:kern w:val="2"/>
                <w:szCs w:val="21"/>
                <w:lang w:bidi="ar-SA"/>
              </w:rPr>
              <w:t>学校音乐教育的目标、理念、性质</w:t>
            </w:r>
            <w:r>
              <w:rPr>
                <w:rFonts w:hint="eastAsia" w:ascii="楷体" w:eastAsia="楷体" w:cs="仿宋"/>
                <w:bCs/>
                <w:kern w:val="2"/>
                <w:szCs w:val="21"/>
                <w:lang w:eastAsia="zh-Hans" w:bidi="ar-SA"/>
              </w:rPr>
              <w:t>和</w:t>
            </w:r>
            <w:r>
              <w:rPr>
                <w:rFonts w:hint="eastAsia" w:ascii="楷体" w:eastAsia="楷体" w:cs="仿宋"/>
                <w:bCs/>
                <w:kern w:val="2"/>
                <w:szCs w:val="21"/>
                <w:lang w:bidi="ar-SA"/>
              </w:rPr>
              <w:t>音乐美、音乐审美、音乐教学的原则，</w:t>
            </w:r>
            <w:r>
              <w:rPr>
                <w:rFonts w:hint="eastAsia" w:ascii="楷体" w:eastAsia="楷体" w:cs="仿宋"/>
                <w:bCs/>
                <w:kern w:val="2"/>
                <w:szCs w:val="21"/>
                <w:lang w:eastAsia="zh-Hans" w:bidi="ar-SA"/>
              </w:rPr>
              <w:t>缺乏音乐教材分析能力，</w:t>
            </w:r>
            <w:r>
              <w:rPr>
                <w:rFonts w:hint="eastAsia" w:ascii="楷体" w:eastAsia="楷体" w:cs="仿宋"/>
                <w:bCs/>
                <w:kern w:val="2"/>
                <w:szCs w:val="21"/>
                <w:lang w:bidi="ar-SA"/>
              </w:rPr>
              <w:t>未能掌握音乐教学程序、教学过程的基本阶段及主要任务、教学模式与教学方法、教学评价，对音乐课程资源的开发与利用认识不够。</w:t>
            </w:r>
          </w:p>
        </w:tc>
      </w:tr>
      <w:tr w14:paraId="3AB45E4E">
        <w:trPr>
          <w:trHeight w:val="624" w:hRule="atLeast"/>
          <w:jc w:val="center"/>
        </w:trPr>
        <w:tc>
          <w:tcPr>
            <w:tcW w:w="1405" w:type="dxa"/>
            <w:tcBorders>
              <w:top w:val="single" w:color="000000" w:sz="4" w:space="0"/>
              <w:left w:val="single" w:color="000000" w:sz="4" w:space="0"/>
              <w:bottom w:val="single" w:color="000000" w:sz="4" w:space="0"/>
              <w:right w:val="single" w:color="000000" w:sz="4" w:space="0"/>
            </w:tcBorders>
            <w:noWrap w:val="0"/>
            <w:vAlign w:val="top"/>
          </w:tcPr>
          <w:p w14:paraId="1B56E31F">
            <w:pPr>
              <w:pageBreakBefore w:val="0"/>
              <w:widowControl/>
              <w:kinsoku/>
              <w:overflowPunct/>
              <w:topLinePunct w:val="0"/>
              <w:bidi w:val="0"/>
              <w:spacing w:line="240" w:lineRule="auto"/>
              <w:jc w:val="left"/>
              <w:rPr>
                <w:rFonts w:hint="eastAsia" w:ascii="楷体" w:eastAsia="楷体" w:cs="仿宋"/>
                <w:bCs/>
                <w:kern w:val="2"/>
                <w:szCs w:val="21"/>
                <w:lang w:bidi="ar-SA"/>
              </w:rPr>
            </w:pPr>
            <w:r>
              <w:rPr>
                <w:rFonts w:hint="eastAsia" w:ascii="楷体" w:eastAsia="楷体" w:cs="仿宋"/>
                <w:bCs/>
                <w:kern w:val="2"/>
                <w:szCs w:val="21"/>
                <w:lang w:bidi="ar-SA"/>
              </w:rPr>
              <w:t>课程目标3:</w:t>
            </w:r>
            <w:r>
              <w:rPr>
                <w:rFonts w:hint="eastAsia" w:ascii="楷体" w:eastAsia="楷体" w:cs="仿宋"/>
                <w:bCs/>
                <w:kern w:val="2"/>
                <w:szCs w:val="21"/>
                <w:lang w:bidi="ar-SA"/>
              </w:rPr>
              <w:tab/>
            </w:r>
          </w:p>
          <w:p w14:paraId="76D6CAAC">
            <w:pPr>
              <w:pageBreakBefore w:val="0"/>
              <w:widowControl/>
              <w:kinsoku/>
              <w:overflowPunct/>
              <w:topLinePunct w:val="0"/>
              <w:bidi w:val="0"/>
              <w:spacing w:line="240" w:lineRule="auto"/>
              <w:jc w:val="left"/>
              <w:rPr>
                <w:rFonts w:hint="eastAsia" w:ascii="楷体" w:eastAsia="楷体" w:cs="仿宋"/>
                <w:bCs/>
                <w:kern w:val="2"/>
                <w:szCs w:val="21"/>
                <w:lang w:bidi="ar-SA"/>
              </w:rPr>
            </w:pPr>
            <w:r>
              <w:rPr>
                <w:rFonts w:hint="eastAsia" w:ascii="楷体" w:eastAsia="楷体" w:cs="仿宋"/>
                <w:bCs/>
                <w:kern w:val="2"/>
                <w:szCs w:val="21"/>
                <w:lang w:eastAsia="zh-Hans" w:bidi="ar-SA"/>
              </w:rPr>
              <w:t>具有正确的音乐教育观和教师职业意识，了解</w:t>
            </w:r>
            <w:r>
              <w:rPr>
                <w:rFonts w:hint="eastAsia" w:ascii="楷体" w:eastAsia="楷体" w:cs="仿宋"/>
                <w:bCs/>
                <w:kern w:val="2"/>
                <w:szCs w:val="21"/>
                <w:lang w:bidi="ar-SA"/>
              </w:rPr>
              <w:t>中学生的身心发展特点和音乐的认知</w:t>
            </w:r>
            <w:r>
              <w:rPr>
                <w:rFonts w:hint="eastAsia" w:ascii="楷体" w:eastAsia="楷体" w:cs="仿宋"/>
                <w:bCs/>
                <w:kern w:val="2"/>
                <w:szCs w:val="21"/>
                <w:lang w:eastAsia="zh-Hans" w:bidi="ar-SA"/>
              </w:rPr>
              <w:t>规律</w:t>
            </w:r>
            <w:r>
              <w:rPr>
                <w:rFonts w:hint="eastAsia" w:ascii="楷体" w:eastAsia="楷体" w:cs="仿宋"/>
                <w:bCs/>
                <w:kern w:val="2"/>
                <w:szCs w:val="21"/>
                <w:lang w:bidi="ar-SA"/>
              </w:rPr>
              <w:t>。</w:t>
            </w:r>
          </w:p>
        </w:tc>
        <w:tc>
          <w:tcPr>
            <w:tcW w:w="1572" w:type="dxa"/>
            <w:tcBorders>
              <w:top w:val="single" w:color="000000" w:sz="4" w:space="0"/>
              <w:left w:val="single" w:color="000000" w:sz="4" w:space="0"/>
              <w:bottom w:val="single" w:color="000000" w:sz="4" w:space="0"/>
              <w:right w:val="single" w:color="000000" w:sz="4" w:space="0"/>
            </w:tcBorders>
            <w:noWrap w:val="0"/>
            <w:vAlign w:val="top"/>
          </w:tcPr>
          <w:p w14:paraId="4CFB56AD">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eastAsia="zh-Hans" w:bidi="ar-SA"/>
              </w:rPr>
              <w:t>有深厚的教育情怀，热爱音乐教育事业，充分认识音乐教育对人的全面发展的重要作用，对学校音乐教育专业有正确的价值观。充分了解中学生身心发展特点和音乐认知规律。</w:t>
            </w:r>
          </w:p>
        </w:tc>
        <w:tc>
          <w:tcPr>
            <w:tcW w:w="1644" w:type="dxa"/>
            <w:tcBorders>
              <w:top w:val="single" w:color="000000" w:sz="4" w:space="0"/>
              <w:left w:val="single" w:color="000000" w:sz="4" w:space="0"/>
              <w:bottom w:val="single" w:color="000000" w:sz="4" w:space="0"/>
              <w:right w:val="single" w:color="000000" w:sz="4" w:space="0"/>
            </w:tcBorders>
            <w:noWrap w:val="0"/>
            <w:vAlign w:val="top"/>
          </w:tcPr>
          <w:p w14:paraId="4725955E">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eastAsia="zh-Hans" w:bidi="ar-SA"/>
              </w:rPr>
              <w:t>有深厚的教育情怀，热爱音乐教育事业，正确认识音乐教育对人的全面发展的重要作用，对学校音乐教育专业有正确的价值观。比较了解中学生身心发展特点和音乐认知规律。</w:t>
            </w:r>
          </w:p>
        </w:tc>
        <w:tc>
          <w:tcPr>
            <w:tcW w:w="1536" w:type="dxa"/>
            <w:tcBorders>
              <w:top w:val="single" w:color="000000" w:sz="4" w:space="0"/>
              <w:left w:val="single" w:color="000000" w:sz="4" w:space="0"/>
              <w:bottom w:val="single" w:color="000000" w:sz="4" w:space="0"/>
              <w:right w:val="single" w:color="000000" w:sz="4" w:space="0"/>
            </w:tcBorders>
            <w:noWrap w:val="0"/>
            <w:vAlign w:val="top"/>
          </w:tcPr>
          <w:p w14:paraId="09A52439">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eastAsia="zh-Hans" w:bidi="ar-SA"/>
              </w:rPr>
              <w:t>有一定的教育情怀，对待音乐教育事业的态度端正，对音乐教育对人的全面发展的重要作用有一定的认识，有较正确的学校音乐教育专业的价值观。对中学生身心发展特点和音乐认知规律有一定的了解。</w:t>
            </w:r>
          </w:p>
        </w:tc>
        <w:tc>
          <w:tcPr>
            <w:tcW w:w="1620" w:type="dxa"/>
            <w:tcBorders>
              <w:top w:val="single" w:color="000000" w:sz="4" w:space="0"/>
              <w:left w:val="single" w:color="000000" w:sz="4" w:space="0"/>
              <w:bottom w:val="single" w:color="000000" w:sz="4" w:space="0"/>
              <w:right w:val="single" w:color="000000" w:sz="4" w:space="0"/>
            </w:tcBorders>
            <w:noWrap w:val="0"/>
            <w:vAlign w:val="top"/>
          </w:tcPr>
          <w:p w14:paraId="4DC61B57">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eastAsia="zh-Hans" w:bidi="ar-SA"/>
              </w:rPr>
              <w:t>对音乐教育事业有较端正的态度，对音乐教育对人的全面发展的重要作用有一定的认识，有一定的学校音乐教育专业的价值观。对中学生身心发展特点和音乐认知规律不够了解。</w:t>
            </w:r>
          </w:p>
        </w:tc>
        <w:tc>
          <w:tcPr>
            <w:tcW w:w="1501" w:type="dxa"/>
            <w:tcBorders>
              <w:top w:val="single" w:color="000000" w:sz="4" w:space="0"/>
              <w:left w:val="single" w:color="000000" w:sz="4" w:space="0"/>
              <w:bottom w:val="single" w:color="000000" w:sz="4" w:space="0"/>
              <w:right w:val="single" w:color="000000" w:sz="4" w:space="0"/>
            </w:tcBorders>
            <w:noWrap w:val="0"/>
            <w:vAlign w:val="top"/>
          </w:tcPr>
          <w:p w14:paraId="2A11A984">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eastAsia="zh-Hans" w:bidi="ar-SA"/>
              </w:rPr>
              <w:t>对音乐教育事业缺乏端正的态度，不了解音乐教育对人的发展的重要作用，没有明确的学校音乐急哦啊与专业的价值观。不了解中学省身心发展特点和音乐认知规律。</w:t>
            </w:r>
          </w:p>
        </w:tc>
      </w:tr>
      <w:tr w14:paraId="59ED0C82">
        <w:trPr>
          <w:trHeight w:val="624" w:hRule="atLeast"/>
          <w:jc w:val="center"/>
        </w:trPr>
        <w:tc>
          <w:tcPr>
            <w:tcW w:w="1405" w:type="dxa"/>
            <w:tcBorders>
              <w:top w:val="single" w:color="000000" w:sz="4" w:space="0"/>
              <w:left w:val="single" w:color="000000" w:sz="4" w:space="0"/>
              <w:bottom w:val="single" w:color="000000" w:sz="4" w:space="0"/>
              <w:right w:val="single" w:color="000000" w:sz="4" w:space="0"/>
            </w:tcBorders>
            <w:noWrap w:val="0"/>
            <w:vAlign w:val="top"/>
          </w:tcPr>
          <w:p w14:paraId="4BFAC0F6">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bidi="ar-SA"/>
              </w:rPr>
              <w:t>课程目标4.</w:t>
            </w:r>
          </w:p>
          <w:p w14:paraId="3868CFB3">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eastAsia="zh-Hans" w:bidi="ar-SA"/>
              </w:rPr>
              <w:t>理解学校音乐教育的理论内涵，掌握基本音乐教学理论。</w:t>
            </w:r>
          </w:p>
        </w:tc>
        <w:tc>
          <w:tcPr>
            <w:tcW w:w="1572" w:type="dxa"/>
            <w:tcBorders>
              <w:top w:val="single" w:color="000000" w:sz="4" w:space="0"/>
              <w:left w:val="single" w:color="000000" w:sz="4" w:space="0"/>
              <w:bottom w:val="single" w:color="000000" w:sz="4" w:space="0"/>
              <w:right w:val="single" w:color="000000" w:sz="4" w:space="0"/>
            </w:tcBorders>
            <w:noWrap w:val="0"/>
            <w:vAlign w:val="top"/>
          </w:tcPr>
          <w:p w14:paraId="1CF41D2D">
            <w:pPr>
              <w:pageBreakBefore w:val="0"/>
              <w:widowControl/>
              <w:kinsoku/>
              <w:overflowPunct/>
              <w:topLinePunct w:val="0"/>
              <w:bidi w:val="0"/>
              <w:spacing w:line="240" w:lineRule="auto"/>
              <w:rPr>
                <w:rFonts w:hint="eastAsia" w:ascii="楷体" w:eastAsia="楷体" w:cs="仿宋"/>
                <w:bCs/>
                <w:kern w:val="2"/>
                <w:szCs w:val="21"/>
                <w:lang w:eastAsia="zh-Hans" w:bidi="ar-SA"/>
              </w:rPr>
            </w:pPr>
            <w:r>
              <w:rPr>
                <w:rFonts w:hint="eastAsia" w:ascii="楷体" w:eastAsia="楷体" w:cs="仿宋"/>
                <w:bCs/>
                <w:kern w:val="2"/>
                <w:szCs w:val="21"/>
                <w:lang w:eastAsia="zh-Hans" w:bidi="ar-SA"/>
              </w:rPr>
              <w:t>全面、深入理解学校音乐教育的基本理论特征与基本功能，熟练掌握基本音乐教学理论。</w:t>
            </w:r>
          </w:p>
        </w:tc>
        <w:tc>
          <w:tcPr>
            <w:tcW w:w="1644" w:type="dxa"/>
            <w:tcBorders>
              <w:top w:val="single" w:color="000000" w:sz="4" w:space="0"/>
              <w:left w:val="single" w:color="000000" w:sz="4" w:space="0"/>
              <w:bottom w:val="single" w:color="000000" w:sz="4" w:space="0"/>
              <w:right w:val="single" w:color="000000" w:sz="4" w:space="0"/>
            </w:tcBorders>
            <w:noWrap w:val="0"/>
            <w:vAlign w:val="top"/>
          </w:tcPr>
          <w:p w14:paraId="5C0FA5F7">
            <w:pPr>
              <w:pageBreakBefore w:val="0"/>
              <w:widowControl/>
              <w:kinsoku/>
              <w:overflowPunct/>
              <w:topLinePunct w:val="0"/>
              <w:bidi w:val="0"/>
              <w:spacing w:line="240" w:lineRule="auto"/>
              <w:rPr>
                <w:rFonts w:hint="eastAsia" w:ascii="楷体" w:eastAsia="楷体" w:cs="仿宋"/>
                <w:bCs/>
                <w:kern w:val="2"/>
                <w:szCs w:val="21"/>
                <w:lang w:eastAsia="zh-Hans" w:bidi="ar-SA"/>
              </w:rPr>
            </w:pPr>
            <w:r>
              <w:rPr>
                <w:rFonts w:hint="eastAsia" w:ascii="楷体" w:eastAsia="楷体" w:cs="仿宋"/>
                <w:bCs/>
                <w:kern w:val="2"/>
                <w:szCs w:val="21"/>
                <w:lang w:eastAsia="zh-Hans" w:bidi="ar-SA"/>
              </w:rPr>
              <w:t>全面理解学校音乐教育的基本理论特征与基本功能，掌握基本音乐教学理论。</w:t>
            </w:r>
          </w:p>
        </w:tc>
        <w:tc>
          <w:tcPr>
            <w:tcW w:w="1536" w:type="dxa"/>
            <w:tcBorders>
              <w:top w:val="single" w:color="000000" w:sz="4" w:space="0"/>
              <w:left w:val="single" w:color="000000" w:sz="4" w:space="0"/>
              <w:bottom w:val="single" w:color="000000" w:sz="4" w:space="0"/>
              <w:right w:val="single" w:color="000000" w:sz="4" w:space="0"/>
            </w:tcBorders>
            <w:noWrap w:val="0"/>
            <w:vAlign w:val="top"/>
          </w:tcPr>
          <w:p w14:paraId="34328F85">
            <w:pPr>
              <w:pageBreakBefore w:val="0"/>
              <w:widowControl/>
              <w:kinsoku/>
              <w:overflowPunct/>
              <w:topLinePunct w:val="0"/>
              <w:bidi w:val="0"/>
              <w:spacing w:line="240" w:lineRule="auto"/>
              <w:rPr>
                <w:rFonts w:hint="eastAsia" w:ascii="楷体" w:eastAsia="楷体" w:cs="仿宋"/>
                <w:bCs/>
                <w:kern w:val="2"/>
                <w:szCs w:val="21"/>
                <w:lang w:eastAsia="zh-Hans" w:bidi="ar-SA"/>
              </w:rPr>
            </w:pPr>
            <w:r>
              <w:rPr>
                <w:rFonts w:hint="eastAsia" w:ascii="楷体" w:eastAsia="楷体" w:cs="仿宋"/>
                <w:bCs/>
                <w:kern w:val="2"/>
                <w:szCs w:val="21"/>
                <w:lang w:eastAsia="zh-Hans" w:bidi="ar-SA"/>
              </w:rPr>
              <w:t>基本理解学校音乐教育基本理论特征与基本功能，掌握掌握基本音乐教学理论。</w:t>
            </w:r>
          </w:p>
        </w:tc>
        <w:tc>
          <w:tcPr>
            <w:tcW w:w="1620" w:type="dxa"/>
            <w:tcBorders>
              <w:top w:val="single" w:color="000000" w:sz="4" w:space="0"/>
              <w:left w:val="single" w:color="000000" w:sz="4" w:space="0"/>
              <w:bottom w:val="single" w:color="000000" w:sz="4" w:space="0"/>
              <w:right w:val="single" w:color="000000" w:sz="4" w:space="0"/>
            </w:tcBorders>
            <w:noWrap w:val="0"/>
            <w:vAlign w:val="top"/>
          </w:tcPr>
          <w:p w14:paraId="0FC729AA">
            <w:pPr>
              <w:pageBreakBefore w:val="0"/>
              <w:widowControl/>
              <w:kinsoku/>
              <w:overflowPunct/>
              <w:topLinePunct w:val="0"/>
              <w:bidi w:val="0"/>
              <w:spacing w:line="240" w:lineRule="auto"/>
              <w:rPr>
                <w:rFonts w:hint="eastAsia" w:ascii="楷体" w:eastAsia="楷体" w:cs="仿宋"/>
                <w:bCs/>
                <w:kern w:val="2"/>
                <w:szCs w:val="21"/>
                <w:lang w:eastAsia="zh-Hans" w:bidi="ar-SA"/>
              </w:rPr>
            </w:pPr>
            <w:r>
              <w:rPr>
                <w:rFonts w:hint="eastAsia" w:ascii="楷体" w:eastAsia="楷体" w:cs="仿宋"/>
                <w:bCs/>
                <w:kern w:val="2"/>
                <w:szCs w:val="21"/>
                <w:lang w:eastAsia="zh-Hans" w:bidi="ar-SA"/>
              </w:rPr>
              <w:t>对学校音乐教育基本理论特征与基本功能的理解不够全面，基本掌握掌握基本音乐教学理论。</w:t>
            </w:r>
          </w:p>
        </w:tc>
        <w:tc>
          <w:tcPr>
            <w:tcW w:w="1501" w:type="dxa"/>
            <w:tcBorders>
              <w:top w:val="single" w:color="000000" w:sz="4" w:space="0"/>
              <w:left w:val="single" w:color="000000" w:sz="4" w:space="0"/>
              <w:bottom w:val="single" w:color="000000" w:sz="4" w:space="0"/>
              <w:right w:val="single" w:color="000000" w:sz="4" w:space="0"/>
            </w:tcBorders>
            <w:noWrap w:val="0"/>
            <w:vAlign w:val="top"/>
          </w:tcPr>
          <w:p w14:paraId="6D7E28C0">
            <w:pPr>
              <w:pageBreakBefore w:val="0"/>
              <w:widowControl/>
              <w:kinsoku/>
              <w:overflowPunct/>
              <w:topLinePunct w:val="0"/>
              <w:bidi w:val="0"/>
              <w:spacing w:line="240" w:lineRule="auto"/>
              <w:rPr>
                <w:rFonts w:hint="eastAsia" w:ascii="楷体" w:eastAsia="楷体" w:cs="仿宋"/>
                <w:bCs/>
                <w:kern w:val="2"/>
                <w:szCs w:val="21"/>
                <w:lang w:eastAsia="zh-Hans" w:bidi="ar-SA"/>
              </w:rPr>
            </w:pPr>
            <w:r>
              <w:rPr>
                <w:rFonts w:hint="eastAsia" w:ascii="楷体" w:eastAsia="楷体" w:cs="仿宋"/>
                <w:bCs/>
                <w:kern w:val="2"/>
                <w:szCs w:val="21"/>
                <w:lang w:eastAsia="zh-Hans" w:bidi="ar-SA"/>
              </w:rPr>
              <w:t>缺乏对学校音乐教育基本理论特征与基本功能的理解，未掌握掌握基本音乐教学理论。</w:t>
            </w:r>
          </w:p>
        </w:tc>
      </w:tr>
    </w:tbl>
    <w:p w14:paraId="26CDA1ED">
      <w:pPr>
        <w:rPr>
          <w:sz w:val="2"/>
          <w:szCs w:val="2"/>
        </w:rPr>
        <w:sectPr>
          <w:headerReference r:id="rId81" w:type="default"/>
          <w:footerReference r:id="rId82" w:type="default"/>
          <w:pgSz w:w="11906" w:h="16838"/>
          <w:pgMar w:top="1440" w:right="1800" w:bottom="1440" w:left="1800" w:header="851" w:footer="992" w:gutter="0"/>
          <w:cols w:space="425" w:num="1"/>
          <w:docGrid w:type="lines" w:linePitch="312" w:charSpace="0"/>
        </w:sectPr>
      </w:pPr>
    </w:p>
    <w:p w14:paraId="7E485BA8">
      <w:pPr>
        <w:pageBreakBefore w:val="0"/>
        <w:kinsoku/>
        <w:overflowPunct/>
        <w:topLinePunct w:val="0"/>
        <w:bidi w:val="0"/>
        <w:adjustRightInd w:val="0"/>
        <w:snapToGrid w:val="0"/>
        <w:spacing w:line="240" w:lineRule="auto"/>
        <w:jc w:val="center"/>
        <w:rPr>
          <w:rFonts w:hint="eastAsia" w:ascii="微软雅黑" w:eastAsia="微软雅黑"/>
          <w:sz w:val="44"/>
          <w:szCs w:val="44"/>
        </w:rPr>
      </w:pPr>
      <w:r>
        <w:rPr>
          <w:rFonts w:hint="eastAsia" w:ascii="微软雅黑" w:eastAsia="微软雅黑"/>
          <w:sz w:val="44"/>
          <w:szCs w:val="44"/>
        </w:rPr>
        <w:t>三明学院音乐学（音乐教育）专业</w:t>
      </w:r>
    </w:p>
    <w:p w14:paraId="3757A077">
      <w:pPr>
        <w:pStyle w:val="2"/>
        <w:spacing w:before="0" w:beforeAutospacing="0" w:after="0" w:afterAutospacing="0" w:line="520" w:lineRule="exact"/>
        <w:jc w:val="center"/>
        <w:rPr>
          <w:rFonts w:hint="eastAsia" w:eastAsia="微软雅黑"/>
          <w:b w:val="0"/>
          <w:bCs w:val="0"/>
          <w:kern w:val="2"/>
          <w:sz w:val="44"/>
          <w:szCs w:val="44"/>
        </w:rPr>
      </w:pPr>
      <w:bookmarkStart w:id="125" w:name="_Toc1827093770"/>
      <w:bookmarkStart w:id="126" w:name="_Toc1135542919"/>
      <w:r>
        <w:rPr>
          <w:rFonts w:hint="eastAsia" w:eastAsia="微软雅黑"/>
          <w:b w:val="0"/>
          <w:bCs w:val="0"/>
          <w:kern w:val="2"/>
          <w:sz w:val="44"/>
          <w:szCs w:val="44"/>
        </w:rPr>
        <w:t>《学校音乐教育实践技能训练(中小学歌曲弹唱)》课程教学大纲</w:t>
      </w:r>
      <w:bookmarkEnd w:id="125"/>
      <w:bookmarkEnd w:id="126"/>
    </w:p>
    <w:tbl>
      <w:tblPr>
        <w:tblStyle w:val="22"/>
        <w:tblW w:w="9418" w:type="dxa"/>
        <w:tblInd w:w="-74" w:type="dxa"/>
        <w:tblLayout w:type="autofit"/>
        <w:tblCellMar>
          <w:top w:w="0" w:type="dxa"/>
          <w:left w:w="0" w:type="dxa"/>
          <w:bottom w:w="0" w:type="dxa"/>
          <w:right w:w="28" w:type="dxa"/>
        </w:tblCellMar>
      </w:tblPr>
      <w:tblGrid>
        <w:gridCol w:w="1060"/>
        <w:gridCol w:w="1271"/>
        <w:gridCol w:w="50"/>
        <w:gridCol w:w="75"/>
        <w:gridCol w:w="1124"/>
        <w:gridCol w:w="1396"/>
        <w:gridCol w:w="105"/>
        <w:gridCol w:w="947"/>
        <w:gridCol w:w="126"/>
        <w:gridCol w:w="727"/>
        <w:gridCol w:w="146"/>
        <w:gridCol w:w="524"/>
        <w:gridCol w:w="349"/>
        <w:gridCol w:w="873"/>
        <w:gridCol w:w="645"/>
      </w:tblGrid>
      <w:tr w14:paraId="161517D5">
        <w:trPr>
          <w:trHeight w:val="0" w:hRule="atLeast"/>
        </w:trPr>
        <w:tc>
          <w:tcPr>
            <w:tcW w:w="1060" w:type="dxa"/>
            <w:tcBorders>
              <w:top w:val="single" w:color="000000" w:sz="4" w:space="0"/>
              <w:left w:val="single" w:color="000000" w:sz="4" w:space="0"/>
              <w:bottom w:val="single" w:color="000000" w:sz="4" w:space="0"/>
              <w:right w:val="single" w:color="000000" w:sz="4" w:space="0"/>
            </w:tcBorders>
            <w:noWrap w:val="0"/>
            <w:vAlign w:val="center"/>
          </w:tcPr>
          <w:p w14:paraId="56335310">
            <w:pPr>
              <w:spacing w:line="280" w:lineRule="exact"/>
              <w:jc w:val="center"/>
              <w:rPr>
                <w:rFonts w:ascii="仿宋" w:eastAsia="仿宋" w:cs="仿宋"/>
                <w:kern w:val="2"/>
                <w:sz w:val="24"/>
              </w:rPr>
            </w:pPr>
            <w:r>
              <w:rPr>
                <w:rFonts w:hint="eastAsia" w:ascii="仿宋" w:eastAsia="仿宋" w:cs="仿宋"/>
                <w:kern w:val="2"/>
                <w:sz w:val="24"/>
              </w:rPr>
              <w:t>课程名称</w:t>
            </w:r>
          </w:p>
        </w:tc>
        <w:tc>
          <w:tcPr>
            <w:tcW w:w="4968" w:type="dxa"/>
            <w:gridSpan w:val="7"/>
            <w:tcBorders>
              <w:top w:val="single" w:color="000000" w:sz="4" w:space="0"/>
              <w:left w:val="single" w:color="000000" w:sz="4" w:space="0"/>
              <w:bottom w:val="single" w:color="000000" w:sz="4" w:space="0"/>
              <w:right w:val="single" w:color="000000" w:sz="4" w:space="0"/>
            </w:tcBorders>
            <w:noWrap w:val="0"/>
            <w:vAlign w:val="center"/>
          </w:tcPr>
          <w:p w14:paraId="67B7401B">
            <w:pPr>
              <w:adjustRightInd w:val="0"/>
              <w:snapToGrid w:val="0"/>
              <w:spacing w:line="240" w:lineRule="atLeast"/>
              <w:jc w:val="center"/>
              <w:rPr>
                <w:rFonts w:ascii="仿宋" w:eastAsia="仿宋" w:cs="仿宋"/>
                <w:bCs/>
                <w:sz w:val="24"/>
                <w:szCs w:val="24"/>
              </w:rPr>
            </w:pPr>
            <w:r>
              <w:rPr>
                <w:rFonts w:hint="eastAsia" w:ascii="仿宋" w:eastAsia="仿宋" w:cs="仿宋"/>
                <w:kern w:val="2"/>
                <w:sz w:val="24"/>
                <w:szCs w:val="24"/>
              </w:rPr>
              <w:t>《</w:t>
            </w:r>
            <w:r>
              <w:rPr>
                <w:rFonts w:hint="eastAsia" w:ascii="仿宋" w:eastAsia="仿宋" w:cs="仿宋"/>
                <w:bCs/>
                <w:sz w:val="24"/>
                <w:szCs w:val="24"/>
              </w:rPr>
              <w:t>学校音乐教育实践技能训练</w:t>
            </w:r>
          </w:p>
          <w:p w14:paraId="07E565F6">
            <w:pPr>
              <w:spacing w:line="240" w:lineRule="atLeast"/>
              <w:jc w:val="center"/>
              <w:rPr>
                <w:rFonts w:ascii="仿宋" w:eastAsia="仿宋" w:cs="仿宋"/>
                <w:kern w:val="2"/>
                <w:sz w:val="24"/>
                <w:szCs w:val="24"/>
              </w:rPr>
            </w:pPr>
            <w:r>
              <w:rPr>
                <w:rFonts w:hint="eastAsia" w:ascii="仿宋" w:eastAsia="仿宋" w:cs="仿宋"/>
                <w:bCs/>
                <w:sz w:val="24"/>
                <w:szCs w:val="24"/>
              </w:rPr>
              <w:t>(中小学歌曲弹唱)</w:t>
            </w:r>
            <w:r>
              <w:rPr>
                <w:rFonts w:hint="eastAsia" w:ascii="仿宋" w:eastAsia="仿宋" w:cs="仿宋"/>
                <w:kern w:val="2"/>
                <w:sz w:val="24"/>
                <w:szCs w:val="24"/>
              </w:rPr>
              <w:t>》</w:t>
            </w:r>
          </w:p>
        </w:tc>
        <w:tc>
          <w:tcPr>
            <w:tcW w:w="853" w:type="dxa"/>
            <w:gridSpan w:val="2"/>
            <w:tcBorders>
              <w:top w:val="single" w:color="000000" w:sz="4" w:space="0"/>
              <w:left w:val="single" w:color="000000" w:sz="4" w:space="0"/>
              <w:bottom w:val="single" w:color="000000" w:sz="4" w:space="0"/>
              <w:right w:val="single" w:color="000000" w:sz="4" w:space="0"/>
            </w:tcBorders>
            <w:noWrap w:val="0"/>
            <w:vAlign w:val="center"/>
          </w:tcPr>
          <w:p w14:paraId="4B323346">
            <w:pPr>
              <w:spacing w:line="240" w:lineRule="atLeast"/>
              <w:jc w:val="center"/>
              <w:rPr>
                <w:rFonts w:ascii="仿宋" w:eastAsia="仿宋" w:cs="仿宋"/>
                <w:kern w:val="2"/>
                <w:sz w:val="24"/>
                <w:szCs w:val="24"/>
              </w:rPr>
            </w:pPr>
            <w:r>
              <w:rPr>
                <w:rFonts w:hint="eastAsia" w:ascii="仿宋" w:eastAsia="仿宋" w:cs="仿宋"/>
                <w:kern w:val="2"/>
                <w:sz w:val="24"/>
                <w:szCs w:val="24"/>
              </w:rPr>
              <w:t>课程</w:t>
            </w:r>
          </w:p>
          <w:p w14:paraId="4B06686F">
            <w:pPr>
              <w:spacing w:line="240" w:lineRule="atLeast"/>
              <w:jc w:val="center"/>
              <w:rPr>
                <w:rFonts w:ascii="仿宋" w:eastAsia="仿宋" w:cs="仿宋"/>
                <w:kern w:val="2"/>
                <w:sz w:val="24"/>
                <w:szCs w:val="24"/>
              </w:rPr>
            </w:pPr>
            <w:r>
              <w:rPr>
                <w:rFonts w:hint="eastAsia" w:ascii="仿宋" w:eastAsia="仿宋" w:cs="仿宋"/>
                <w:kern w:val="2"/>
                <w:sz w:val="24"/>
                <w:szCs w:val="24"/>
              </w:rPr>
              <w:t>代码</w:t>
            </w:r>
          </w:p>
        </w:tc>
        <w:tc>
          <w:tcPr>
            <w:tcW w:w="2537" w:type="dxa"/>
            <w:gridSpan w:val="5"/>
            <w:tcBorders>
              <w:top w:val="single" w:color="000000" w:sz="4" w:space="0"/>
              <w:left w:val="single" w:color="000000" w:sz="4" w:space="0"/>
              <w:bottom w:val="single" w:color="000000" w:sz="4" w:space="0"/>
              <w:right w:val="single" w:color="000000" w:sz="4" w:space="0"/>
            </w:tcBorders>
            <w:noWrap w:val="0"/>
            <w:vAlign w:val="center"/>
          </w:tcPr>
          <w:p w14:paraId="301D0815">
            <w:pPr>
              <w:keepNext w:val="0"/>
              <w:keepLines w:val="0"/>
              <w:widowControl/>
              <w:suppressLineNumbers w:val="0"/>
              <w:jc w:val="center"/>
              <w:textAlignment w:val="center"/>
              <w:rPr>
                <w:rFonts w:hint="default" w:ascii="Arial" w:hAnsi="Arial" w:eastAsia="宋体" w:cs="Arial"/>
                <w:i w:val="0"/>
                <w:iCs w:val="0"/>
                <w:color w:val="000000"/>
                <w:sz w:val="20"/>
                <w:szCs w:val="20"/>
                <w:u w:val="none"/>
                <w:lang w:val="en-US" w:eastAsia="zh-CN" w:bidi="ar-SA"/>
              </w:rPr>
            </w:pPr>
            <w:r>
              <w:rPr>
                <w:rFonts w:hint="eastAsia" w:ascii="宋体" w:hAnsi="宋体" w:eastAsia="宋体" w:cs="宋体"/>
                <w:i w:val="0"/>
                <w:iCs w:val="0"/>
                <w:color w:val="auto"/>
                <w:kern w:val="0"/>
                <w:sz w:val="21"/>
                <w:szCs w:val="21"/>
                <w:u w:val="none"/>
                <w:lang w:val="en-US" w:eastAsia="zh-CN" w:bidi="ar"/>
              </w:rPr>
              <w:t>1213302620</w:t>
            </w:r>
          </w:p>
          <w:p w14:paraId="581B66A5">
            <w:pPr>
              <w:keepNext w:val="0"/>
              <w:keepLines w:val="0"/>
              <w:widowControl/>
              <w:suppressLineNumbers w:val="0"/>
              <w:jc w:val="center"/>
              <w:textAlignment w:val="center"/>
              <w:rPr>
                <w:rFonts w:hint="default" w:ascii="Arial" w:hAnsi="Arial" w:eastAsia="宋体" w:cs="Arial"/>
                <w:i w:val="0"/>
                <w:iCs w:val="0"/>
                <w:color w:val="000000"/>
                <w:sz w:val="20"/>
                <w:szCs w:val="20"/>
                <w:u w:val="none"/>
                <w:lang w:val="en-US" w:eastAsia="zh-CN" w:bidi="ar-SA"/>
              </w:rPr>
            </w:pPr>
            <w:r>
              <w:rPr>
                <w:rFonts w:hint="eastAsia" w:ascii="宋体" w:hAnsi="宋体" w:eastAsia="宋体" w:cs="宋体"/>
                <w:i w:val="0"/>
                <w:iCs w:val="0"/>
                <w:color w:val="auto"/>
                <w:kern w:val="0"/>
                <w:sz w:val="21"/>
                <w:szCs w:val="21"/>
                <w:u w:val="none"/>
                <w:lang w:val="en-US" w:eastAsia="zh-CN" w:bidi="ar"/>
              </w:rPr>
              <w:t>1213302621</w:t>
            </w:r>
          </w:p>
        </w:tc>
      </w:tr>
      <w:tr w14:paraId="5C39B1D2">
        <w:trPr>
          <w:trHeight w:val="0" w:hRule="atLeast"/>
        </w:trPr>
        <w:tc>
          <w:tcPr>
            <w:tcW w:w="1060" w:type="dxa"/>
            <w:tcBorders>
              <w:top w:val="single" w:color="000000" w:sz="4" w:space="0"/>
              <w:left w:val="single" w:color="000000" w:sz="4" w:space="0"/>
              <w:bottom w:val="single" w:color="000000" w:sz="4" w:space="0"/>
              <w:right w:val="single" w:color="000000" w:sz="4" w:space="0"/>
            </w:tcBorders>
            <w:noWrap w:val="0"/>
            <w:vAlign w:val="center"/>
          </w:tcPr>
          <w:p w14:paraId="2F8A265C">
            <w:pPr>
              <w:spacing w:line="280" w:lineRule="exact"/>
              <w:jc w:val="center"/>
              <w:rPr>
                <w:rFonts w:ascii="仿宋" w:eastAsia="仿宋" w:cs="仿宋"/>
                <w:kern w:val="2"/>
                <w:sz w:val="24"/>
              </w:rPr>
            </w:pPr>
            <w:r>
              <w:rPr>
                <w:rFonts w:hint="eastAsia" w:ascii="仿宋" w:eastAsia="仿宋" w:cs="仿宋"/>
                <w:kern w:val="2"/>
                <w:sz w:val="24"/>
              </w:rPr>
              <w:t>课程类型</w:t>
            </w:r>
          </w:p>
        </w:tc>
        <w:tc>
          <w:tcPr>
            <w:tcW w:w="8358" w:type="dxa"/>
            <w:gridSpan w:val="14"/>
            <w:tcBorders>
              <w:top w:val="single" w:color="000000" w:sz="4" w:space="0"/>
              <w:left w:val="single" w:color="000000" w:sz="4" w:space="0"/>
              <w:bottom w:val="single" w:color="000000" w:sz="4" w:space="0"/>
              <w:right w:val="single" w:color="000000" w:sz="4" w:space="0"/>
            </w:tcBorders>
            <w:noWrap w:val="0"/>
            <w:vAlign w:val="top"/>
          </w:tcPr>
          <w:p w14:paraId="653CE89E">
            <w:pPr>
              <w:spacing w:line="240" w:lineRule="atLeast"/>
              <w:jc w:val="left"/>
              <w:rPr>
                <w:rFonts w:ascii="仿宋" w:eastAsia="仿宋" w:cs="仿宋"/>
                <w:kern w:val="2"/>
                <w:sz w:val="24"/>
                <w:szCs w:val="24"/>
              </w:rPr>
            </w:pPr>
            <w:r>
              <w:rPr>
                <w:rFonts w:ascii="Wingdings" w:hAnsi="Wingdings" w:eastAsia="仿宋" w:cs="仿宋"/>
                <w:kern w:val="2"/>
                <w:sz w:val="24"/>
                <w:szCs w:val="24"/>
              </w:rPr>
              <w:t></w:t>
            </w:r>
            <w:r>
              <w:rPr>
                <w:rFonts w:hint="eastAsia" w:ascii="仿宋" w:eastAsia="仿宋" w:cs="仿宋"/>
                <w:kern w:val="2"/>
                <w:sz w:val="24"/>
                <w:szCs w:val="24"/>
              </w:rPr>
              <w:t xml:space="preserve">通识必修 </w:t>
            </w:r>
            <w:r>
              <w:rPr>
                <w:rFonts w:ascii="Wingdings" w:hAnsi="Wingdings" w:eastAsia="仿宋" w:cs="仿宋"/>
                <w:kern w:val="2"/>
                <w:sz w:val="24"/>
                <w:szCs w:val="24"/>
              </w:rPr>
              <w:t></w:t>
            </w:r>
            <w:r>
              <w:rPr>
                <w:rFonts w:hint="eastAsia" w:ascii="仿宋" w:eastAsia="仿宋" w:cs="仿宋"/>
                <w:kern w:val="2"/>
                <w:sz w:val="24"/>
                <w:szCs w:val="24"/>
              </w:rPr>
              <w:t xml:space="preserve">通识选修  </w:t>
            </w:r>
            <w:r>
              <w:rPr>
                <w:rFonts w:ascii="Wingdings" w:hAnsi="Wingdings" w:eastAsia="仿宋" w:cs="仿宋"/>
                <w:kern w:val="2"/>
                <w:sz w:val="24"/>
                <w:szCs w:val="24"/>
              </w:rPr>
              <w:t></w:t>
            </w:r>
            <w:r>
              <w:rPr>
                <w:rFonts w:hint="eastAsia" w:ascii="仿宋" w:eastAsia="仿宋" w:cs="仿宋"/>
                <w:kern w:val="2"/>
                <w:sz w:val="24"/>
                <w:szCs w:val="24"/>
              </w:rPr>
              <w:t xml:space="preserve">专业必修 </w:t>
            </w:r>
          </w:p>
          <w:p w14:paraId="54557018">
            <w:pPr>
              <w:spacing w:line="240" w:lineRule="atLeast"/>
              <w:jc w:val="left"/>
              <w:rPr>
                <w:rFonts w:ascii="仿宋" w:eastAsia="仿宋" w:cs="仿宋"/>
                <w:kern w:val="2"/>
                <w:sz w:val="24"/>
                <w:szCs w:val="24"/>
              </w:rPr>
            </w:pPr>
            <w:r>
              <w:rPr>
                <w:rFonts w:ascii="Wingdings" w:hAnsi="Wingdings" w:eastAsia="仿宋" w:cs="仿宋"/>
                <w:kern w:val="2"/>
                <w:sz w:val="24"/>
                <w:szCs w:val="24"/>
              </w:rPr>
              <w:t></w:t>
            </w:r>
            <w:r>
              <w:rPr>
                <w:rFonts w:hint="eastAsia" w:ascii="仿宋" w:eastAsia="仿宋" w:cs="仿宋"/>
                <w:kern w:val="2"/>
                <w:sz w:val="24"/>
                <w:szCs w:val="24"/>
              </w:rPr>
              <w:t xml:space="preserve">专业选修 </w:t>
            </w:r>
            <w:r>
              <w:rPr>
                <w:rFonts w:ascii="Wingdings" w:hAnsi="Wingdings" w:eastAsia="仿宋" w:cs="仿宋"/>
                <w:kern w:val="2"/>
                <w:sz w:val="24"/>
                <w:szCs w:val="24"/>
              </w:rPr>
              <w:t></w:t>
            </w:r>
            <w:r>
              <w:rPr>
                <w:rFonts w:hint="eastAsia" w:ascii="仿宋" w:eastAsia="仿宋" w:cs="仿宋"/>
                <w:kern w:val="2"/>
                <w:sz w:val="24"/>
                <w:szCs w:val="24"/>
              </w:rPr>
              <w:t xml:space="preserve">教师教育必修 </w:t>
            </w:r>
            <w:r>
              <w:rPr>
                <w:rFonts w:ascii="Wingdings" w:hAnsi="Wingdings" w:eastAsia="仿宋" w:cs="仿宋"/>
                <w:kern w:val="2"/>
                <w:sz w:val="24"/>
                <w:szCs w:val="24"/>
              </w:rPr>
              <w:t></w:t>
            </w:r>
            <w:r>
              <w:rPr>
                <w:rFonts w:hint="eastAsia" w:ascii="仿宋" w:eastAsia="仿宋" w:cs="仿宋"/>
                <w:kern w:val="2"/>
                <w:sz w:val="24"/>
                <w:szCs w:val="24"/>
              </w:rPr>
              <w:t>教师教育选修</w:t>
            </w:r>
          </w:p>
        </w:tc>
      </w:tr>
      <w:tr w14:paraId="0B056189">
        <w:trPr>
          <w:trHeight w:val="0" w:hRule="atLeast"/>
        </w:trPr>
        <w:tc>
          <w:tcPr>
            <w:tcW w:w="1060" w:type="dxa"/>
            <w:tcBorders>
              <w:top w:val="single" w:color="000000" w:sz="4" w:space="0"/>
              <w:left w:val="single" w:color="000000" w:sz="4" w:space="0"/>
              <w:bottom w:val="single" w:color="000000" w:sz="4" w:space="0"/>
              <w:right w:val="single" w:color="000000" w:sz="4" w:space="0"/>
            </w:tcBorders>
            <w:noWrap w:val="0"/>
            <w:vAlign w:val="center"/>
          </w:tcPr>
          <w:p w14:paraId="3A6D12F0">
            <w:pPr>
              <w:spacing w:line="280" w:lineRule="exact"/>
              <w:jc w:val="center"/>
              <w:rPr>
                <w:rFonts w:ascii="仿宋" w:eastAsia="仿宋" w:cs="仿宋"/>
                <w:kern w:val="2"/>
                <w:sz w:val="24"/>
              </w:rPr>
            </w:pPr>
            <w:r>
              <w:rPr>
                <w:rFonts w:hint="eastAsia" w:ascii="仿宋" w:eastAsia="仿宋" w:cs="仿宋"/>
                <w:kern w:val="2"/>
                <w:sz w:val="24"/>
              </w:rPr>
              <w:t>开课学期</w:t>
            </w:r>
          </w:p>
        </w:tc>
        <w:tc>
          <w:tcPr>
            <w:tcW w:w="1396" w:type="dxa"/>
            <w:gridSpan w:val="3"/>
            <w:tcBorders>
              <w:top w:val="single" w:color="000000" w:sz="4" w:space="0"/>
              <w:left w:val="single" w:color="000000" w:sz="4" w:space="0"/>
              <w:bottom w:val="single" w:color="000000" w:sz="4" w:space="0"/>
              <w:right w:val="single" w:color="000000" w:sz="4" w:space="0"/>
            </w:tcBorders>
            <w:noWrap w:val="0"/>
            <w:vAlign w:val="center"/>
          </w:tcPr>
          <w:p w14:paraId="2AF0137C">
            <w:pPr>
              <w:adjustRightInd w:val="0"/>
              <w:snapToGrid w:val="0"/>
              <w:spacing w:line="240" w:lineRule="atLeast"/>
              <w:jc w:val="center"/>
              <w:rPr>
                <w:rFonts w:ascii="仿宋" w:eastAsia="仿宋" w:cs="仿宋"/>
                <w:sz w:val="24"/>
                <w:szCs w:val="24"/>
              </w:rPr>
            </w:pPr>
            <w:r>
              <w:rPr>
                <w:rFonts w:hint="eastAsia" w:ascii="仿宋" w:eastAsia="仿宋" w:cs="仿宋"/>
                <w:sz w:val="24"/>
                <w:szCs w:val="24"/>
              </w:rPr>
              <w:t>第3、4学期</w:t>
            </w:r>
          </w:p>
        </w:tc>
        <w:tc>
          <w:tcPr>
            <w:tcW w:w="1124" w:type="dxa"/>
            <w:tcBorders>
              <w:top w:val="single" w:color="000000" w:sz="4" w:space="0"/>
              <w:left w:val="single" w:color="000000" w:sz="4" w:space="0"/>
              <w:bottom w:val="single" w:color="000000" w:sz="4" w:space="0"/>
              <w:right w:val="single" w:color="000000" w:sz="4" w:space="0"/>
            </w:tcBorders>
            <w:noWrap w:val="0"/>
            <w:vAlign w:val="center"/>
          </w:tcPr>
          <w:p w14:paraId="5C03AA0C">
            <w:pPr>
              <w:adjustRightInd w:val="0"/>
              <w:snapToGrid w:val="0"/>
              <w:spacing w:line="240" w:lineRule="atLeast"/>
              <w:jc w:val="center"/>
              <w:rPr>
                <w:rFonts w:ascii="仿宋" w:eastAsia="仿宋" w:cs="仿宋"/>
                <w:sz w:val="24"/>
                <w:szCs w:val="24"/>
              </w:rPr>
            </w:pPr>
            <w:r>
              <w:rPr>
                <w:rFonts w:hint="eastAsia" w:ascii="仿宋" w:eastAsia="仿宋" w:cs="仿宋"/>
                <w:sz w:val="24"/>
                <w:szCs w:val="24"/>
              </w:rPr>
              <w:t>学分</w:t>
            </w:r>
          </w:p>
        </w:tc>
        <w:tc>
          <w:tcPr>
            <w:tcW w:w="1501" w:type="dxa"/>
            <w:gridSpan w:val="2"/>
            <w:tcBorders>
              <w:top w:val="single" w:color="000000" w:sz="4" w:space="0"/>
              <w:left w:val="single" w:color="000000" w:sz="4" w:space="0"/>
              <w:bottom w:val="single" w:color="000000" w:sz="4" w:space="0"/>
              <w:right w:val="single" w:color="000000" w:sz="4" w:space="0"/>
            </w:tcBorders>
            <w:noWrap w:val="0"/>
            <w:vAlign w:val="center"/>
          </w:tcPr>
          <w:p w14:paraId="55761F2E">
            <w:pPr>
              <w:adjustRightInd w:val="0"/>
              <w:snapToGrid w:val="0"/>
              <w:spacing w:line="240" w:lineRule="atLeast"/>
              <w:jc w:val="center"/>
              <w:rPr>
                <w:rFonts w:ascii="仿宋" w:eastAsia="仿宋" w:cs="仿宋"/>
                <w:sz w:val="24"/>
                <w:szCs w:val="24"/>
              </w:rPr>
            </w:pPr>
            <w:r>
              <w:rPr>
                <w:rFonts w:hint="eastAsia" w:ascii="仿宋" w:eastAsia="仿宋" w:cs="仿宋"/>
                <w:sz w:val="24"/>
                <w:szCs w:val="24"/>
              </w:rPr>
              <w:t>2</w:t>
            </w:r>
          </w:p>
        </w:tc>
        <w:tc>
          <w:tcPr>
            <w:tcW w:w="1800" w:type="dxa"/>
            <w:gridSpan w:val="3"/>
            <w:tcBorders>
              <w:top w:val="single" w:color="000000" w:sz="4" w:space="0"/>
              <w:left w:val="single" w:color="000000" w:sz="4" w:space="0"/>
              <w:bottom w:val="single" w:color="000000" w:sz="4" w:space="0"/>
              <w:right w:val="single" w:color="000000" w:sz="4" w:space="0"/>
            </w:tcBorders>
            <w:noWrap w:val="0"/>
            <w:vAlign w:val="center"/>
          </w:tcPr>
          <w:p w14:paraId="600109AE">
            <w:pPr>
              <w:adjustRightInd w:val="0"/>
              <w:snapToGrid w:val="0"/>
              <w:spacing w:line="240" w:lineRule="atLeast"/>
              <w:jc w:val="center"/>
              <w:rPr>
                <w:rFonts w:ascii="仿宋" w:eastAsia="仿宋" w:cs="仿宋"/>
                <w:sz w:val="24"/>
                <w:szCs w:val="24"/>
              </w:rPr>
            </w:pPr>
            <w:r>
              <w:rPr>
                <w:rFonts w:hint="eastAsia" w:ascii="仿宋" w:eastAsia="仿宋" w:cs="仿宋"/>
                <w:sz w:val="24"/>
                <w:szCs w:val="24"/>
              </w:rPr>
              <w:t>课程负责人</w:t>
            </w:r>
          </w:p>
        </w:tc>
        <w:tc>
          <w:tcPr>
            <w:tcW w:w="2537" w:type="dxa"/>
            <w:gridSpan w:val="5"/>
            <w:tcBorders>
              <w:top w:val="single" w:color="000000" w:sz="4" w:space="0"/>
              <w:left w:val="single" w:color="000000" w:sz="4" w:space="0"/>
              <w:bottom w:val="single" w:color="000000" w:sz="4" w:space="0"/>
              <w:right w:val="single" w:color="000000" w:sz="4" w:space="0"/>
            </w:tcBorders>
            <w:noWrap w:val="0"/>
            <w:vAlign w:val="center"/>
          </w:tcPr>
          <w:p w14:paraId="1998D92C">
            <w:pPr>
              <w:adjustRightInd w:val="0"/>
              <w:snapToGrid w:val="0"/>
              <w:spacing w:line="240" w:lineRule="atLeast"/>
              <w:jc w:val="center"/>
              <w:rPr>
                <w:rFonts w:hint="eastAsia" w:ascii="仿宋" w:eastAsia="仿宋" w:cs="仿宋"/>
                <w:sz w:val="24"/>
                <w:szCs w:val="24"/>
                <w:lang w:eastAsia="zh-CN"/>
              </w:rPr>
            </w:pPr>
            <w:r>
              <w:rPr>
                <w:rFonts w:hint="eastAsia" w:ascii="仿宋" w:eastAsia="仿宋" w:cs="仿宋"/>
                <w:sz w:val="24"/>
                <w:szCs w:val="24"/>
                <w:lang w:val="en-US" w:eastAsia="zh-CN"/>
              </w:rPr>
              <w:t>林心河</w:t>
            </w:r>
          </w:p>
        </w:tc>
      </w:tr>
      <w:tr w14:paraId="1C40F7E1">
        <w:trPr>
          <w:trHeight w:val="0" w:hRule="atLeast"/>
        </w:trPr>
        <w:tc>
          <w:tcPr>
            <w:tcW w:w="1060" w:type="dxa"/>
            <w:tcBorders>
              <w:top w:val="single" w:color="000000" w:sz="4" w:space="0"/>
              <w:left w:val="single" w:color="000000" w:sz="4" w:space="0"/>
              <w:bottom w:val="single" w:color="000000" w:sz="4" w:space="0"/>
              <w:right w:val="single" w:color="000000" w:sz="4" w:space="0"/>
            </w:tcBorders>
            <w:noWrap w:val="0"/>
            <w:vAlign w:val="center"/>
          </w:tcPr>
          <w:p w14:paraId="1DF7227D">
            <w:pPr>
              <w:spacing w:line="280" w:lineRule="exact"/>
              <w:jc w:val="center"/>
              <w:rPr>
                <w:rFonts w:ascii="仿宋" w:eastAsia="仿宋" w:cs="仿宋"/>
                <w:kern w:val="2"/>
                <w:sz w:val="24"/>
              </w:rPr>
            </w:pPr>
            <w:r>
              <w:rPr>
                <w:rFonts w:hint="eastAsia" w:ascii="仿宋" w:eastAsia="仿宋" w:cs="仿宋"/>
                <w:kern w:val="2"/>
                <w:sz w:val="24"/>
              </w:rPr>
              <w:t>总学时</w:t>
            </w:r>
          </w:p>
        </w:tc>
        <w:tc>
          <w:tcPr>
            <w:tcW w:w="1396" w:type="dxa"/>
            <w:gridSpan w:val="3"/>
            <w:tcBorders>
              <w:top w:val="single" w:color="000000" w:sz="4" w:space="0"/>
              <w:left w:val="single" w:color="000000" w:sz="4" w:space="0"/>
              <w:bottom w:val="single" w:color="000000" w:sz="4" w:space="0"/>
              <w:right w:val="single" w:color="000000" w:sz="4" w:space="0"/>
            </w:tcBorders>
            <w:noWrap w:val="0"/>
            <w:vAlign w:val="center"/>
          </w:tcPr>
          <w:p w14:paraId="469D8EA5">
            <w:pPr>
              <w:adjustRightInd w:val="0"/>
              <w:snapToGrid w:val="0"/>
              <w:spacing w:line="240" w:lineRule="atLeast"/>
              <w:jc w:val="center"/>
              <w:rPr>
                <w:rFonts w:ascii="仿宋" w:eastAsia="仿宋" w:cs="仿宋"/>
                <w:bCs/>
                <w:sz w:val="24"/>
                <w:szCs w:val="24"/>
              </w:rPr>
            </w:pPr>
            <w:r>
              <w:rPr>
                <w:rFonts w:hint="eastAsia" w:ascii="仿宋" w:eastAsia="仿宋" w:cs="仿宋"/>
                <w:bCs/>
                <w:sz w:val="24"/>
                <w:szCs w:val="24"/>
              </w:rPr>
              <w:t>64</w:t>
            </w:r>
          </w:p>
        </w:tc>
        <w:tc>
          <w:tcPr>
            <w:tcW w:w="1124" w:type="dxa"/>
            <w:tcBorders>
              <w:top w:val="single" w:color="000000" w:sz="4" w:space="0"/>
              <w:left w:val="single" w:color="000000" w:sz="4" w:space="0"/>
              <w:bottom w:val="single" w:color="000000" w:sz="4" w:space="0"/>
              <w:right w:val="single" w:color="000000" w:sz="4" w:space="0"/>
            </w:tcBorders>
            <w:noWrap w:val="0"/>
            <w:vAlign w:val="center"/>
          </w:tcPr>
          <w:p w14:paraId="32AB46A9">
            <w:pPr>
              <w:adjustRightInd w:val="0"/>
              <w:snapToGrid w:val="0"/>
              <w:spacing w:line="240" w:lineRule="atLeast"/>
              <w:jc w:val="center"/>
              <w:rPr>
                <w:rFonts w:ascii="仿宋" w:eastAsia="仿宋" w:cs="仿宋"/>
                <w:bCs/>
                <w:sz w:val="24"/>
                <w:szCs w:val="24"/>
              </w:rPr>
            </w:pPr>
            <w:r>
              <w:rPr>
                <w:rFonts w:hint="eastAsia" w:ascii="仿宋" w:eastAsia="仿宋" w:cs="仿宋"/>
                <w:bCs/>
                <w:sz w:val="24"/>
                <w:szCs w:val="24"/>
              </w:rPr>
              <w:t>理论学时</w:t>
            </w:r>
          </w:p>
        </w:tc>
        <w:tc>
          <w:tcPr>
            <w:tcW w:w="1501" w:type="dxa"/>
            <w:gridSpan w:val="2"/>
            <w:tcBorders>
              <w:top w:val="single" w:color="000000" w:sz="4" w:space="0"/>
              <w:left w:val="single" w:color="000000" w:sz="4" w:space="0"/>
              <w:bottom w:val="single" w:color="000000" w:sz="4" w:space="0"/>
              <w:right w:val="single" w:color="000000" w:sz="4" w:space="0"/>
            </w:tcBorders>
            <w:noWrap w:val="0"/>
            <w:vAlign w:val="center"/>
          </w:tcPr>
          <w:p w14:paraId="6DD286E9">
            <w:pPr>
              <w:adjustRightInd w:val="0"/>
              <w:snapToGrid w:val="0"/>
              <w:spacing w:line="240" w:lineRule="atLeast"/>
              <w:rPr>
                <w:rFonts w:ascii="仿宋" w:eastAsia="仿宋" w:cs="仿宋"/>
                <w:bCs/>
                <w:sz w:val="24"/>
                <w:szCs w:val="24"/>
              </w:rPr>
            </w:pPr>
          </w:p>
        </w:tc>
        <w:tc>
          <w:tcPr>
            <w:tcW w:w="1800" w:type="dxa"/>
            <w:gridSpan w:val="3"/>
            <w:tcBorders>
              <w:top w:val="single" w:color="000000" w:sz="4" w:space="0"/>
              <w:left w:val="single" w:color="000000" w:sz="4" w:space="0"/>
              <w:bottom w:val="single" w:color="000000" w:sz="4" w:space="0"/>
              <w:right w:val="single" w:color="000000" w:sz="4" w:space="0"/>
            </w:tcBorders>
            <w:noWrap w:val="0"/>
            <w:vAlign w:val="center"/>
          </w:tcPr>
          <w:p w14:paraId="66392BA5">
            <w:pPr>
              <w:adjustRightInd w:val="0"/>
              <w:snapToGrid w:val="0"/>
              <w:spacing w:line="240" w:lineRule="atLeast"/>
              <w:jc w:val="center"/>
              <w:rPr>
                <w:rFonts w:ascii="仿宋" w:eastAsia="仿宋" w:cs="仿宋"/>
                <w:bCs/>
                <w:sz w:val="24"/>
                <w:szCs w:val="24"/>
              </w:rPr>
            </w:pPr>
            <w:r>
              <w:rPr>
                <w:rFonts w:hint="eastAsia" w:ascii="仿宋" w:eastAsia="仿宋" w:cs="仿宋"/>
                <w:bCs/>
                <w:sz w:val="24"/>
                <w:szCs w:val="24"/>
              </w:rPr>
              <w:t>实践学时</w:t>
            </w:r>
          </w:p>
        </w:tc>
        <w:tc>
          <w:tcPr>
            <w:tcW w:w="2537" w:type="dxa"/>
            <w:gridSpan w:val="5"/>
            <w:tcBorders>
              <w:top w:val="single" w:color="000000" w:sz="4" w:space="0"/>
              <w:left w:val="single" w:color="000000" w:sz="4" w:space="0"/>
              <w:bottom w:val="single" w:color="000000" w:sz="4" w:space="0"/>
              <w:right w:val="single" w:color="000000" w:sz="4" w:space="0"/>
            </w:tcBorders>
            <w:noWrap w:val="0"/>
            <w:vAlign w:val="center"/>
          </w:tcPr>
          <w:p w14:paraId="5F5CA32C">
            <w:pPr>
              <w:adjustRightInd w:val="0"/>
              <w:snapToGrid w:val="0"/>
              <w:spacing w:line="240" w:lineRule="atLeast"/>
              <w:jc w:val="center"/>
              <w:rPr>
                <w:rFonts w:ascii="仿宋" w:eastAsia="仿宋" w:cs="仿宋"/>
                <w:bCs/>
                <w:sz w:val="24"/>
                <w:szCs w:val="24"/>
              </w:rPr>
            </w:pPr>
            <w:r>
              <w:rPr>
                <w:rFonts w:hint="eastAsia" w:ascii="仿宋" w:eastAsia="仿宋" w:cs="仿宋"/>
                <w:bCs/>
                <w:sz w:val="24"/>
                <w:szCs w:val="24"/>
              </w:rPr>
              <w:t>64</w:t>
            </w:r>
          </w:p>
        </w:tc>
      </w:tr>
      <w:tr w14:paraId="6B5AF9E4">
        <w:trPr>
          <w:trHeight w:val="0" w:hRule="atLeast"/>
        </w:trPr>
        <w:tc>
          <w:tcPr>
            <w:tcW w:w="1060" w:type="dxa"/>
            <w:tcBorders>
              <w:top w:val="single" w:color="000000" w:sz="4" w:space="0"/>
              <w:left w:val="single" w:color="000000" w:sz="4" w:space="0"/>
              <w:bottom w:val="single" w:color="000000" w:sz="4" w:space="0"/>
              <w:right w:val="single" w:color="000000" w:sz="4" w:space="0"/>
            </w:tcBorders>
            <w:noWrap w:val="0"/>
            <w:vAlign w:val="center"/>
          </w:tcPr>
          <w:p w14:paraId="14DF18A7">
            <w:pPr>
              <w:spacing w:line="280" w:lineRule="exact"/>
              <w:jc w:val="center"/>
              <w:rPr>
                <w:rFonts w:ascii="仿宋" w:eastAsia="仿宋" w:cs="仿宋"/>
                <w:kern w:val="2"/>
                <w:sz w:val="24"/>
              </w:rPr>
            </w:pPr>
            <w:r>
              <w:rPr>
                <w:rFonts w:hint="eastAsia" w:ascii="仿宋" w:eastAsia="仿宋" w:cs="仿宋"/>
                <w:kern w:val="2"/>
                <w:sz w:val="24"/>
              </w:rPr>
              <w:t>先修课程与后续课程</w:t>
            </w:r>
          </w:p>
        </w:tc>
        <w:tc>
          <w:tcPr>
            <w:tcW w:w="8358" w:type="dxa"/>
            <w:gridSpan w:val="14"/>
            <w:tcBorders>
              <w:top w:val="single" w:color="000000" w:sz="4" w:space="0"/>
              <w:left w:val="single" w:color="000000" w:sz="4" w:space="0"/>
              <w:bottom w:val="single" w:color="000000" w:sz="4" w:space="0"/>
              <w:right w:val="single" w:color="000000" w:sz="4" w:space="0"/>
            </w:tcBorders>
            <w:noWrap w:val="0"/>
            <w:vAlign w:val="center"/>
          </w:tcPr>
          <w:p w14:paraId="678FAA0A">
            <w:pPr>
              <w:adjustRightInd w:val="0"/>
              <w:snapToGrid w:val="0"/>
              <w:rPr>
                <w:rFonts w:ascii="仿宋" w:eastAsia="仿宋" w:cs="仿宋"/>
                <w:bCs/>
                <w:sz w:val="24"/>
                <w:szCs w:val="24"/>
              </w:rPr>
            </w:pPr>
            <w:r>
              <w:rPr>
                <w:rFonts w:hint="eastAsia" w:ascii="仿宋" w:eastAsia="仿宋" w:cs="仿宋"/>
                <w:bCs/>
                <w:sz w:val="24"/>
                <w:szCs w:val="24"/>
              </w:rPr>
              <w:t>先修课程：钢琴基础、声乐基础、基本乐理、视唱练耳</w:t>
            </w:r>
          </w:p>
          <w:p w14:paraId="4A12F02B">
            <w:pPr>
              <w:tabs>
                <w:tab w:val="left" w:pos="2219"/>
              </w:tabs>
              <w:suppressAutoHyphens/>
              <w:autoSpaceDE w:val="0"/>
              <w:autoSpaceDN w:val="0"/>
              <w:ind w:right="115" w:rightChars="55"/>
              <w:rPr>
                <w:rFonts w:ascii="仿宋" w:eastAsia="仿宋" w:cs="仿宋"/>
                <w:bCs/>
                <w:sz w:val="24"/>
                <w:szCs w:val="24"/>
              </w:rPr>
            </w:pPr>
            <w:r>
              <w:rPr>
                <w:rFonts w:hint="eastAsia" w:ascii="仿宋" w:eastAsia="仿宋" w:cs="仿宋"/>
                <w:bCs/>
                <w:sz w:val="24"/>
                <w:szCs w:val="24"/>
              </w:rPr>
              <w:t>后续课程：学校音乐教育实践技能训练(中小学歌曲弹唱二)、钢琴即兴伴奏、中小学音乐课教学法</w:t>
            </w:r>
          </w:p>
        </w:tc>
      </w:tr>
      <w:tr w14:paraId="7E069EE8">
        <w:trPr>
          <w:trHeight w:val="0" w:hRule="atLeast"/>
        </w:trPr>
        <w:tc>
          <w:tcPr>
            <w:tcW w:w="1060" w:type="dxa"/>
            <w:tcBorders>
              <w:top w:val="single" w:color="000000" w:sz="4" w:space="0"/>
              <w:left w:val="single" w:color="000000" w:sz="4" w:space="0"/>
              <w:bottom w:val="single" w:color="000000" w:sz="4" w:space="0"/>
              <w:right w:val="single" w:color="000000" w:sz="4" w:space="0"/>
            </w:tcBorders>
            <w:noWrap w:val="0"/>
            <w:vAlign w:val="center"/>
          </w:tcPr>
          <w:p w14:paraId="0B0D250C">
            <w:pPr>
              <w:spacing w:line="280" w:lineRule="exact"/>
              <w:jc w:val="center"/>
              <w:rPr>
                <w:rFonts w:ascii="仿宋" w:eastAsia="仿宋" w:cs="仿宋"/>
                <w:kern w:val="2"/>
                <w:sz w:val="24"/>
              </w:rPr>
            </w:pPr>
            <w:r>
              <w:rPr>
                <w:rFonts w:hint="eastAsia" w:ascii="仿宋" w:eastAsia="仿宋" w:cs="仿宋"/>
                <w:kern w:val="2"/>
                <w:sz w:val="24"/>
              </w:rPr>
              <w:t>适用专业</w:t>
            </w:r>
          </w:p>
        </w:tc>
        <w:tc>
          <w:tcPr>
            <w:tcW w:w="8358" w:type="dxa"/>
            <w:gridSpan w:val="14"/>
            <w:tcBorders>
              <w:top w:val="single" w:color="000000" w:sz="4" w:space="0"/>
              <w:left w:val="single" w:color="000000" w:sz="4" w:space="0"/>
              <w:bottom w:val="single" w:color="000000" w:sz="4" w:space="0"/>
              <w:right w:val="single" w:color="000000" w:sz="4" w:space="0"/>
            </w:tcBorders>
            <w:noWrap w:val="0"/>
            <w:vAlign w:val="center"/>
          </w:tcPr>
          <w:p w14:paraId="7619A795">
            <w:pPr>
              <w:adjustRightInd w:val="0"/>
              <w:snapToGrid w:val="0"/>
              <w:rPr>
                <w:rFonts w:ascii="仿宋" w:eastAsia="仿宋" w:cs="仿宋"/>
                <w:bCs/>
                <w:sz w:val="24"/>
                <w:szCs w:val="24"/>
              </w:rPr>
            </w:pPr>
            <w:r>
              <w:rPr>
                <w:rFonts w:hint="eastAsia" w:ascii="仿宋" w:eastAsia="仿宋" w:cs="仿宋"/>
                <w:bCs/>
                <w:sz w:val="24"/>
                <w:szCs w:val="24"/>
              </w:rPr>
              <w:t>音乐学师范专业</w:t>
            </w:r>
          </w:p>
        </w:tc>
      </w:tr>
      <w:tr w14:paraId="2837265F">
        <w:trPr>
          <w:trHeight w:val="0" w:hRule="atLeast"/>
        </w:trPr>
        <w:tc>
          <w:tcPr>
            <w:tcW w:w="1060" w:type="dxa"/>
            <w:tcBorders>
              <w:top w:val="single" w:color="000000" w:sz="4" w:space="0"/>
              <w:left w:val="single" w:color="000000" w:sz="4" w:space="0"/>
              <w:bottom w:val="single" w:color="000000" w:sz="4" w:space="0"/>
              <w:right w:val="single" w:color="000000" w:sz="4" w:space="0"/>
            </w:tcBorders>
            <w:noWrap w:val="0"/>
            <w:vAlign w:val="center"/>
          </w:tcPr>
          <w:p w14:paraId="3C4C3197">
            <w:pPr>
              <w:spacing w:line="280" w:lineRule="exact"/>
              <w:jc w:val="center"/>
              <w:rPr>
                <w:rFonts w:ascii="仿宋" w:eastAsia="仿宋" w:cs="仿宋"/>
                <w:kern w:val="2"/>
                <w:sz w:val="24"/>
              </w:rPr>
            </w:pPr>
            <w:r>
              <w:rPr>
                <w:rFonts w:hint="eastAsia" w:ascii="仿宋" w:eastAsia="仿宋" w:cs="仿宋"/>
                <w:kern w:val="2"/>
                <w:sz w:val="24"/>
              </w:rPr>
              <w:t>A</w:t>
            </w:r>
          </w:p>
          <w:p w14:paraId="013B44B9">
            <w:pPr>
              <w:spacing w:line="280" w:lineRule="exact"/>
              <w:jc w:val="center"/>
              <w:rPr>
                <w:rFonts w:ascii="仿宋" w:eastAsia="仿宋" w:cs="仿宋"/>
                <w:kern w:val="2"/>
                <w:sz w:val="24"/>
              </w:rPr>
            </w:pPr>
            <w:r>
              <w:rPr>
                <w:rFonts w:hint="eastAsia" w:ascii="仿宋" w:eastAsia="仿宋" w:cs="仿宋"/>
                <w:kern w:val="2"/>
                <w:sz w:val="24"/>
              </w:rPr>
              <w:t>参考教材</w:t>
            </w:r>
          </w:p>
        </w:tc>
        <w:tc>
          <w:tcPr>
            <w:tcW w:w="8358" w:type="dxa"/>
            <w:gridSpan w:val="14"/>
            <w:tcBorders>
              <w:top w:val="single" w:color="000000" w:sz="4" w:space="0"/>
              <w:left w:val="single" w:color="000000" w:sz="4" w:space="0"/>
              <w:bottom w:val="single" w:color="000000" w:sz="4" w:space="0"/>
              <w:right w:val="single" w:color="000000" w:sz="4" w:space="0"/>
            </w:tcBorders>
            <w:noWrap w:val="0"/>
            <w:vAlign w:val="center"/>
          </w:tcPr>
          <w:p w14:paraId="4E16D9EF">
            <w:pPr>
              <w:adjustRightInd w:val="0"/>
              <w:snapToGrid w:val="0"/>
              <w:rPr>
                <w:rFonts w:ascii="仿宋" w:eastAsia="仿宋" w:cs="仿宋"/>
                <w:bCs/>
                <w:sz w:val="24"/>
                <w:szCs w:val="24"/>
              </w:rPr>
            </w:pPr>
            <w:r>
              <w:rPr>
                <w:rFonts w:hint="eastAsia" w:ascii="仿宋" w:eastAsia="仿宋" w:cs="仿宋"/>
                <w:kern w:val="2"/>
                <w:sz w:val="24"/>
                <w:szCs w:val="24"/>
              </w:rPr>
              <w:t>[1]</w:t>
            </w:r>
            <w:r>
              <w:rPr>
                <w:rFonts w:hint="eastAsia" w:ascii="仿宋" w:eastAsia="仿宋" w:cs="仿宋"/>
                <w:bCs/>
                <w:sz w:val="24"/>
                <w:szCs w:val="24"/>
              </w:rPr>
              <w:t>《音乐课本》（6至9年级），人民教育出版社， 2013教育部审定版</w:t>
            </w:r>
          </w:p>
          <w:p w14:paraId="52FD21E3">
            <w:pPr>
              <w:adjustRightInd w:val="0"/>
              <w:snapToGrid w:val="0"/>
              <w:rPr>
                <w:rFonts w:ascii="仿宋" w:eastAsia="仿宋" w:cs="仿宋"/>
                <w:bCs/>
                <w:sz w:val="24"/>
                <w:szCs w:val="24"/>
              </w:rPr>
            </w:pPr>
            <w:r>
              <w:rPr>
                <w:rFonts w:hint="eastAsia" w:ascii="仿宋" w:eastAsia="仿宋" w:cs="仿宋"/>
                <w:kern w:val="2"/>
                <w:sz w:val="24"/>
                <w:szCs w:val="24"/>
              </w:rPr>
              <w:t>[2]</w:t>
            </w:r>
            <w:r>
              <w:rPr>
                <w:rFonts w:hint="eastAsia" w:ascii="仿宋" w:eastAsia="仿宋" w:cs="仿宋"/>
                <w:bCs/>
                <w:sz w:val="24"/>
                <w:szCs w:val="24"/>
              </w:rPr>
              <w:t>《高等师范院校音乐教材-数码钢琴集体课教程》 李美格 编</w:t>
            </w:r>
          </w:p>
          <w:p w14:paraId="4A903A75">
            <w:pPr>
              <w:adjustRightInd w:val="0"/>
              <w:snapToGrid w:val="0"/>
              <w:rPr>
                <w:rFonts w:ascii="仿宋" w:eastAsia="仿宋" w:cs="仿宋"/>
                <w:bCs/>
                <w:sz w:val="24"/>
                <w:szCs w:val="24"/>
              </w:rPr>
            </w:pPr>
            <w:r>
              <w:rPr>
                <w:rFonts w:hint="eastAsia" w:ascii="仿宋" w:eastAsia="仿宋" w:cs="仿宋"/>
                <w:kern w:val="2"/>
                <w:sz w:val="24"/>
                <w:szCs w:val="24"/>
              </w:rPr>
              <w:t>[3]</w:t>
            </w:r>
            <w:r>
              <w:rPr>
                <w:rFonts w:hint="eastAsia" w:ascii="仿宋" w:eastAsia="仿宋" w:cs="仿宋"/>
                <w:bCs/>
                <w:sz w:val="24"/>
                <w:szCs w:val="24"/>
              </w:rPr>
              <w:t>《歌曲钢琴即兴伴奏》 冯德钢 西南师范大学出版社</w:t>
            </w:r>
          </w:p>
          <w:p w14:paraId="25AB4DA9">
            <w:pPr>
              <w:adjustRightInd w:val="0"/>
              <w:snapToGrid w:val="0"/>
              <w:rPr>
                <w:rFonts w:ascii="仿宋" w:eastAsia="仿宋" w:cs="仿宋"/>
                <w:bCs/>
                <w:sz w:val="24"/>
                <w:szCs w:val="24"/>
              </w:rPr>
            </w:pPr>
            <w:r>
              <w:rPr>
                <w:rFonts w:hint="eastAsia" w:ascii="仿宋" w:eastAsia="仿宋" w:cs="仿宋"/>
                <w:kern w:val="2"/>
                <w:sz w:val="24"/>
                <w:szCs w:val="24"/>
              </w:rPr>
              <w:t>[4]</w:t>
            </w:r>
            <w:r>
              <w:rPr>
                <w:rFonts w:hint="eastAsia" w:ascii="仿宋" w:eastAsia="仿宋" w:cs="仿宋"/>
                <w:bCs/>
                <w:sz w:val="24"/>
                <w:szCs w:val="24"/>
              </w:rPr>
              <w:t>《中小学音乐教材歌曲伴奏与弹唱作品集》  作者: 刘雪颖 著 , 出版社: 中国纺织出版社，2021-10</w:t>
            </w:r>
          </w:p>
        </w:tc>
      </w:tr>
      <w:tr w14:paraId="5A5B10EC">
        <w:trPr>
          <w:trHeight w:val="0" w:hRule="atLeast"/>
        </w:trPr>
        <w:tc>
          <w:tcPr>
            <w:tcW w:w="1060" w:type="dxa"/>
            <w:tcBorders>
              <w:top w:val="single" w:color="000000" w:sz="4" w:space="0"/>
              <w:left w:val="single" w:color="000000" w:sz="4" w:space="0"/>
              <w:bottom w:val="single" w:color="000000" w:sz="4" w:space="0"/>
              <w:right w:val="single" w:color="000000" w:sz="4" w:space="0"/>
            </w:tcBorders>
            <w:noWrap w:val="0"/>
            <w:vAlign w:val="center"/>
          </w:tcPr>
          <w:p w14:paraId="3F583A63">
            <w:pPr>
              <w:spacing w:line="280" w:lineRule="exact"/>
              <w:jc w:val="center"/>
              <w:rPr>
                <w:rFonts w:ascii="仿宋" w:eastAsia="仿宋" w:cs="仿宋"/>
                <w:kern w:val="2"/>
                <w:sz w:val="24"/>
              </w:rPr>
            </w:pPr>
            <w:r>
              <w:rPr>
                <w:rFonts w:hint="eastAsia" w:ascii="仿宋" w:eastAsia="仿宋" w:cs="仿宋"/>
                <w:kern w:val="2"/>
                <w:sz w:val="24"/>
              </w:rPr>
              <w:t>B</w:t>
            </w:r>
          </w:p>
          <w:p w14:paraId="526265E9">
            <w:pPr>
              <w:spacing w:line="280" w:lineRule="exact"/>
              <w:jc w:val="center"/>
              <w:rPr>
                <w:rFonts w:ascii="仿宋" w:eastAsia="仿宋" w:cs="仿宋"/>
                <w:kern w:val="2"/>
                <w:sz w:val="24"/>
              </w:rPr>
            </w:pPr>
            <w:r>
              <w:rPr>
                <w:rFonts w:hint="eastAsia" w:ascii="仿宋" w:eastAsia="仿宋" w:cs="仿宋"/>
                <w:kern w:val="2"/>
                <w:sz w:val="24"/>
              </w:rPr>
              <w:t>主要参考书籍</w:t>
            </w:r>
          </w:p>
        </w:tc>
        <w:tc>
          <w:tcPr>
            <w:tcW w:w="8358" w:type="dxa"/>
            <w:gridSpan w:val="14"/>
            <w:tcBorders>
              <w:top w:val="single" w:color="000000" w:sz="4" w:space="0"/>
              <w:left w:val="single" w:color="000000" w:sz="4" w:space="0"/>
              <w:bottom w:val="single" w:color="000000" w:sz="4" w:space="0"/>
              <w:right w:val="single" w:color="000000" w:sz="4" w:space="0"/>
            </w:tcBorders>
            <w:noWrap w:val="0"/>
            <w:vAlign w:val="center"/>
          </w:tcPr>
          <w:p w14:paraId="0E325A8C">
            <w:pPr>
              <w:adjustRightInd w:val="0"/>
              <w:snapToGrid w:val="0"/>
              <w:rPr>
                <w:rFonts w:hint="eastAsia" w:ascii="仿宋" w:hAnsi="Times New Roman" w:eastAsia="仿宋" w:cs="仿宋"/>
                <w:bCs/>
                <w:sz w:val="24"/>
                <w:szCs w:val="24"/>
              </w:rPr>
            </w:pPr>
            <w:r>
              <w:rPr>
                <w:rFonts w:hint="eastAsia" w:ascii="仿宋" w:hAnsi="Times New Roman" w:eastAsia="仿宋" w:cs="仿宋"/>
                <w:bCs/>
                <w:sz w:val="24"/>
                <w:szCs w:val="24"/>
              </w:rPr>
              <w:t>[1]《小学音乐课教学参考书》（7至9年级），人民教育出版社</w:t>
            </w:r>
          </w:p>
          <w:p w14:paraId="24923D29">
            <w:pPr>
              <w:adjustRightInd w:val="0"/>
              <w:snapToGrid w:val="0"/>
              <w:rPr>
                <w:rFonts w:hint="eastAsia" w:ascii="仿宋" w:hAnsi="Times New Roman" w:eastAsia="仿宋" w:cs="仿宋"/>
                <w:bCs/>
                <w:sz w:val="24"/>
                <w:szCs w:val="24"/>
              </w:rPr>
            </w:pPr>
            <w:r>
              <w:rPr>
                <w:rFonts w:hint="eastAsia" w:ascii="仿宋" w:hAnsi="Times New Roman" w:eastAsia="仿宋" w:cs="仿宋"/>
                <w:bCs/>
                <w:sz w:val="24"/>
                <w:szCs w:val="24"/>
              </w:rPr>
              <w:t>[2]《教育部：义务教育音乐课程标准》（2011年版）</w:t>
            </w:r>
          </w:p>
          <w:p w14:paraId="045BF46F">
            <w:pPr>
              <w:adjustRightInd w:val="0"/>
              <w:snapToGrid w:val="0"/>
              <w:rPr>
                <w:rFonts w:hint="eastAsia" w:ascii="仿宋" w:hAnsi="Times New Roman" w:eastAsia="仿宋" w:cs="仿宋"/>
                <w:bCs/>
                <w:sz w:val="24"/>
                <w:szCs w:val="24"/>
              </w:rPr>
            </w:pPr>
            <w:r>
              <w:rPr>
                <w:rFonts w:hint="eastAsia" w:ascii="仿宋" w:hAnsi="Times New Roman" w:eastAsia="仿宋" w:cs="仿宋"/>
                <w:bCs/>
                <w:sz w:val="24"/>
                <w:szCs w:val="24"/>
              </w:rPr>
              <w:t>[3]《义务教育音乐课程标准解读》，北京科海电子出版社, 2012</w:t>
            </w:r>
          </w:p>
          <w:p w14:paraId="128372C9">
            <w:pPr>
              <w:adjustRightInd w:val="0"/>
              <w:snapToGrid w:val="0"/>
              <w:rPr>
                <w:rFonts w:hint="eastAsia" w:ascii="仿宋" w:hAnsi="Times New Roman" w:eastAsia="仿宋" w:cs="仿宋"/>
                <w:bCs/>
                <w:sz w:val="24"/>
                <w:szCs w:val="24"/>
              </w:rPr>
            </w:pPr>
            <w:r>
              <w:rPr>
                <w:rFonts w:hint="eastAsia" w:ascii="仿宋" w:hAnsi="Times New Roman" w:eastAsia="仿宋" w:cs="仿宋"/>
                <w:bCs/>
                <w:sz w:val="24"/>
                <w:szCs w:val="24"/>
              </w:rPr>
              <w:t>[4]《义务教育教科书教师教学用书》，人民教育出版社,2014</w:t>
            </w:r>
          </w:p>
          <w:p w14:paraId="7642D7CB">
            <w:pPr>
              <w:adjustRightInd w:val="0"/>
              <w:snapToGrid w:val="0"/>
              <w:rPr>
                <w:rFonts w:hint="eastAsia" w:ascii="仿宋" w:hAnsi="Times New Roman" w:eastAsia="仿宋" w:cs="仿宋"/>
                <w:bCs/>
                <w:sz w:val="24"/>
                <w:szCs w:val="24"/>
              </w:rPr>
            </w:pPr>
            <w:r>
              <w:rPr>
                <w:rFonts w:hint="eastAsia" w:ascii="仿宋" w:hAnsi="Times New Roman" w:eastAsia="仿宋" w:cs="仿宋"/>
                <w:bCs/>
                <w:sz w:val="24"/>
                <w:szCs w:val="24"/>
              </w:rPr>
              <w:t>[5]《福建省义务教育学科教学指导意见-音乐》, 福建人民出版社, 福建教育出版社,2018</w:t>
            </w:r>
          </w:p>
          <w:p w14:paraId="36D443D2">
            <w:pPr>
              <w:adjustRightInd w:val="0"/>
              <w:snapToGrid w:val="0"/>
              <w:rPr>
                <w:rFonts w:hint="eastAsia" w:ascii="仿宋" w:hAnsi="Times New Roman" w:eastAsia="仿宋" w:cs="仿宋"/>
                <w:bCs/>
                <w:sz w:val="24"/>
                <w:szCs w:val="24"/>
              </w:rPr>
            </w:pPr>
            <w:r>
              <w:rPr>
                <w:rFonts w:hint="eastAsia" w:ascii="仿宋" w:hAnsi="Times New Roman" w:eastAsia="仿宋" w:cs="仿宋"/>
                <w:bCs/>
                <w:sz w:val="24"/>
                <w:szCs w:val="24"/>
              </w:rPr>
              <w:t>[6]《中小学音乐新课程教学法》, 首都师范大学出版社, 2010</w:t>
            </w:r>
          </w:p>
          <w:p w14:paraId="5C88FA8E">
            <w:pPr>
              <w:adjustRightInd w:val="0"/>
              <w:snapToGrid w:val="0"/>
              <w:rPr>
                <w:rFonts w:ascii="仿宋" w:eastAsia="仿宋" w:cs="仿宋"/>
                <w:bCs/>
                <w:sz w:val="24"/>
                <w:szCs w:val="24"/>
              </w:rPr>
            </w:pPr>
            <w:r>
              <w:rPr>
                <w:rFonts w:hint="eastAsia" w:ascii="仿宋" w:hAnsi="Times New Roman" w:eastAsia="仿宋" w:cs="仿宋"/>
                <w:bCs/>
                <w:sz w:val="24"/>
                <w:szCs w:val="24"/>
              </w:rPr>
              <w:t>[7]《中小学音乐教材歌曲伴奏与弹唱作品集》，中国纺织出版社，2021-10</w:t>
            </w:r>
          </w:p>
        </w:tc>
      </w:tr>
      <w:tr w14:paraId="02645DAA">
        <w:trPr>
          <w:trHeight w:val="0" w:hRule="atLeast"/>
        </w:trPr>
        <w:tc>
          <w:tcPr>
            <w:tcW w:w="1060" w:type="dxa"/>
            <w:tcBorders>
              <w:top w:val="single" w:color="000000" w:sz="4" w:space="0"/>
              <w:left w:val="single" w:color="000000" w:sz="4" w:space="0"/>
              <w:bottom w:val="single" w:color="000000" w:sz="4" w:space="0"/>
              <w:right w:val="single" w:color="000000" w:sz="4" w:space="0"/>
            </w:tcBorders>
            <w:noWrap w:val="0"/>
            <w:vAlign w:val="center"/>
          </w:tcPr>
          <w:p w14:paraId="382ECEE6">
            <w:pPr>
              <w:spacing w:line="280" w:lineRule="exact"/>
              <w:jc w:val="center"/>
              <w:rPr>
                <w:rFonts w:ascii="仿宋" w:eastAsia="仿宋" w:cs="仿宋"/>
                <w:kern w:val="2"/>
                <w:sz w:val="24"/>
              </w:rPr>
            </w:pPr>
            <w:r>
              <w:rPr>
                <w:rFonts w:hint="eastAsia" w:ascii="仿宋" w:eastAsia="仿宋" w:cs="仿宋"/>
                <w:kern w:val="2"/>
                <w:sz w:val="24"/>
              </w:rPr>
              <w:t>C</w:t>
            </w:r>
          </w:p>
          <w:p w14:paraId="65A3E4C8">
            <w:pPr>
              <w:spacing w:line="280" w:lineRule="exact"/>
              <w:jc w:val="center"/>
              <w:rPr>
                <w:rFonts w:ascii="仿宋" w:eastAsia="仿宋" w:cs="仿宋"/>
                <w:kern w:val="2"/>
                <w:sz w:val="24"/>
              </w:rPr>
            </w:pPr>
            <w:r>
              <w:rPr>
                <w:rFonts w:hint="eastAsia" w:ascii="仿宋" w:eastAsia="仿宋" w:cs="仿宋"/>
                <w:kern w:val="2"/>
                <w:sz w:val="24"/>
              </w:rPr>
              <w:t>线上学习资源</w:t>
            </w:r>
          </w:p>
        </w:tc>
        <w:tc>
          <w:tcPr>
            <w:tcW w:w="8358" w:type="dxa"/>
            <w:gridSpan w:val="14"/>
            <w:tcBorders>
              <w:top w:val="single" w:color="000000" w:sz="4" w:space="0"/>
              <w:left w:val="single" w:color="000000" w:sz="4" w:space="0"/>
              <w:bottom w:val="single" w:color="000000" w:sz="4" w:space="0"/>
              <w:right w:val="single" w:color="000000" w:sz="4" w:space="0"/>
            </w:tcBorders>
            <w:noWrap w:val="0"/>
            <w:vAlign w:val="center"/>
          </w:tcPr>
          <w:p w14:paraId="29F80711">
            <w:pPr>
              <w:adjustRightInd w:val="0"/>
              <w:snapToGrid w:val="0"/>
              <w:rPr>
                <w:rFonts w:ascii="仿宋" w:eastAsia="仿宋" w:cs="仿宋"/>
                <w:bCs/>
                <w:sz w:val="24"/>
                <w:szCs w:val="24"/>
              </w:rPr>
            </w:pPr>
            <w:r>
              <w:rPr>
                <w:rFonts w:hint="eastAsia" w:ascii="仿宋" w:eastAsia="仿宋" w:cs="仿宋"/>
                <w:bCs/>
                <w:sz w:val="24"/>
                <w:szCs w:val="24"/>
              </w:rPr>
              <w:t>任课教师建立微信学习群，与学生进行多媒体沟通；</w:t>
            </w:r>
          </w:p>
          <w:p w14:paraId="2972CB75">
            <w:pPr>
              <w:adjustRightInd w:val="0"/>
              <w:snapToGrid w:val="0"/>
              <w:rPr>
                <w:rFonts w:ascii="仿宋" w:eastAsia="仿宋" w:cs="仿宋"/>
                <w:bCs/>
                <w:sz w:val="24"/>
                <w:szCs w:val="24"/>
              </w:rPr>
            </w:pPr>
            <w:r>
              <w:rPr>
                <w:rFonts w:hint="eastAsia" w:ascii="仿宋" w:eastAsia="仿宋" w:cs="仿宋"/>
                <w:bCs/>
                <w:sz w:val="24"/>
                <w:szCs w:val="24"/>
              </w:rPr>
              <w:t>利用企业微信微盘上传下载学习资料；</w:t>
            </w:r>
          </w:p>
          <w:p w14:paraId="78F20D64">
            <w:pPr>
              <w:adjustRightInd w:val="0"/>
              <w:snapToGrid w:val="0"/>
              <w:rPr>
                <w:rFonts w:ascii="仿宋" w:eastAsia="仿宋" w:cs="仿宋"/>
                <w:bCs/>
                <w:sz w:val="24"/>
                <w:szCs w:val="24"/>
              </w:rPr>
            </w:pPr>
            <w:r>
              <w:rPr>
                <w:rFonts w:hint="eastAsia" w:ascii="仿宋" w:eastAsia="仿宋" w:cs="仿宋"/>
                <w:bCs/>
                <w:sz w:val="24"/>
                <w:szCs w:val="24"/>
              </w:rPr>
              <w:t>利用超星课程平台发布作业、慕课资源；</w:t>
            </w:r>
          </w:p>
          <w:p w14:paraId="18E8FCD5">
            <w:pPr>
              <w:adjustRightInd w:val="0"/>
              <w:snapToGrid w:val="0"/>
              <w:rPr>
                <w:rFonts w:ascii="仿宋" w:eastAsia="仿宋" w:cs="仿宋"/>
                <w:bCs/>
                <w:sz w:val="24"/>
                <w:szCs w:val="24"/>
              </w:rPr>
            </w:pPr>
            <w:r>
              <w:rPr>
                <w:rFonts w:hint="eastAsia" w:ascii="仿宋" w:eastAsia="仿宋" w:cs="仿宋"/>
                <w:bCs/>
                <w:sz w:val="24"/>
                <w:szCs w:val="24"/>
              </w:rPr>
              <w:t>音乐·人民教育出版社官方网站（人教网）－人教版/部编本：https://www.pep.com.cn/yinyue/</w:t>
            </w:r>
          </w:p>
        </w:tc>
      </w:tr>
      <w:tr w14:paraId="4D460E9C">
        <w:trPr>
          <w:trHeight w:val="0" w:hRule="atLeast"/>
        </w:trPr>
        <w:tc>
          <w:tcPr>
            <w:tcW w:w="10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42F6EE">
            <w:pPr>
              <w:spacing w:line="280" w:lineRule="exact"/>
              <w:jc w:val="center"/>
              <w:rPr>
                <w:rFonts w:ascii="仿宋" w:eastAsia="仿宋" w:cs="仿宋"/>
                <w:kern w:val="2"/>
                <w:sz w:val="24"/>
              </w:rPr>
            </w:pPr>
            <w:r>
              <w:rPr>
                <w:rFonts w:hint="eastAsia" w:ascii="仿宋" w:eastAsia="仿宋" w:cs="仿宋"/>
                <w:kern w:val="2"/>
                <w:sz w:val="24"/>
              </w:rPr>
              <w:t>D</w:t>
            </w:r>
          </w:p>
          <w:p w14:paraId="7113E466">
            <w:pPr>
              <w:spacing w:line="280" w:lineRule="exact"/>
              <w:jc w:val="center"/>
              <w:rPr>
                <w:rFonts w:ascii="仿宋" w:eastAsia="仿宋" w:cs="仿宋"/>
                <w:kern w:val="2"/>
                <w:sz w:val="24"/>
              </w:rPr>
            </w:pPr>
            <w:r>
              <w:rPr>
                <w:rFonts w:hint="eastAsia" w:ascii="仿宋" w:eastAsia="仿宋" w:cs="仿宋"/>
                <w:kern w:val="2"/>
                <w:sz w:val="24"/>
              </w:rPr>
              <w:t xml:space="preserve">课程描述 </w:t>
            </w:r>
          </w:p>
          <w:p w14:paraId="54404FF2">
            <w:pPr>
              <w:spacing w:line="280" w:lineRule="exact"/>
              <w:jc w:val="center"/>
              <w:rPr>
                <w:rFonts w:ascii="仿宋" w:eastAsia="仿宋" w:cs="仿宋"/>
                <w:kern w:val="2"/>
                <w:sz w:val="24"/>
              </w:rPr>
            </w:pPr>
            <w:r>
              <w:rPr>
                <w:rFonts w:hint="eastAsia" w:ascii="仿宋" w:eastAsia="仿宋" w:cs="仿宋"/>
                <w:kern w:val="2"/>
                <w:sz w:val="24"/>
                <w:lang w:eastAsia="zh-TW"/>
              </w:rPr>
              <w:t>(</w:t>
            </w:r>
            <w:r>
              <w:rPr>
                <w:rFonts w:hint="eastAsia" w:ascii="仿宋" w:eastAsia="仿宋" w:cs="仿宋"/>
                <w:kern w:val="2"/>
                <w:sz w:val="24"/>
              </w:rPr>
              <w:t>含</w:t>
            </w:r>
            <w:r>
              <w:rPr>
                <w:rFonts w:hint="eastAsia" w:ascii="仿宋" w:eastAsia="仿宋" w:cs="仿宋"/>
                <w:kern w:val="2"/>
                <w:sz w:val="24"/>
                <w:lang w:eastAsia="zh-TW"/>
              </w:rPr>
              <w:t>性质、地位和任务)</w:t>
            </w:r>
          </w:p>
        </w:tc>
        <w:tc>
          <w:tcPr>
            <w:tcW w:w="8358" w:type="dxa"/>
            <w:gridSpan w:val="14"/>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BF8F22">
            <w:pPr>
              <w:adjustRightInd w:val="0"/>
              <w:snapToGrid w:val="0"/>
              <w:rPr>
                <w:rFonts w:ascii="仿宋" w:eastAsia="仿宋" w:cs="仿宋"/>
                <w:bCs/>
                <w:sz w:val="24"/>
                <w:szCs w:val="24"/>
              </w:rPr>
            </w:pPr>
            <w:r>
              <w:rPr>
                <w:rFonts w:hint="eastAsia" w:ascii="仿宋" w:eastAsia="仿宋" w:cs="仿宋"/>
                <w:bCs/>
                <w:sz w:val="24"/>
                <w:szCs w:val="24"/>
              </w:rPr>
              <w:t>《</w:t>
            </w:r>
            <w:r>
              <w:rPr>
                <w:rFonts w:hint="eastAsia" w:ascii="仿宋" w:eastAsia="仿宋" w:cs="仿宋"/>
                <w:bCs/>
                <w:sz w:val="24"/>
                <w:szCs w:val="24"/>
                <w:lang w:val="en-US" w:eastAsia="zh-CN"/>
              </w:rPr>
              <w:t>中</w:t>
            </w:r>
            <w:r>
              <w:rPr>
                <w:rFonts w:hint="eastAsia" w:ascii="仿宋" w:eastAsia="仿宋" w:cs="仿宋"/>
                <w:bCs/>
                <w:sz w:val="24"/>
                <w:szCs w:val="24"/>
              </w:rPr>
              <w:t>小学音乐课本曲目钢琴弹唱课》是我系面向音乐专业师范类学生开设的一门实践课程。</w:t>
            </w:r>
          </w:p>
          <w:p w14:paraId="33236978">
            <w:pPr>
              <w:adjustRightInd w:val="0"/>
              <w:snapToGrid w:val="0"/>
              <w:rPr>
                <w:rFonts w:ascii="仿宋" w:eastAsia="仿宋" w:cs="仿宋"/>
                <w:bCs/>
                <w:sz w:val="24"/>
                <w:szCs w:val="24"/>
              </w:rPr>
            </w:pPr>
            <w:r>
              <w:rPr>
                <w:rFonts w:hint="eastAsia" w:ascii="仿宋" w:eastAsia="仿宋" w:cs="仿宋"/>
                <w:bCs/>
                <w:sz w:val="24"/>
                <w:szCs w:val="24"/>
              </w:rPr>
              <w:t>自弹自唱是</w:t>
            </w:r>
            <w:r>
              <w:rPr>
                <w:rFonts w:hint="eastAsia" w:ascii="仿宋" w:eastAsia="仿宋" w:cs="仿宋"/>
                <w:bCs/>
                <w:sz w:val="24"/>
                <w:szCs w:val="24"/>
                <w:lang w:eastAsia="zh-CN"/>
              </w:rPr>
              <w:t>中小学</w:t>
            </w:r>
            <w:r>
              <w:rPr>
                <w:rFonts w:hint="eastAsia" w:ascii="仿宋" w:eastAsia="仿宋" w:cs="仿宋"/>
                <w:bCs/>
                <w:sz w:val="24"/>
                <w:szCs w:val="24"/>
              </w:rPr>
              <w:t>音乐教师的重要基本功之一，本课程旨在有针对性地增强我系学生的钢琴自弹自唱能力，学习一部分</w:t>
            </w:r>
            <w:r>
              <w:rPr>
                <w:rFonts w:hint="eastAsia" w:ascii="仿宋" w:eastAsia="仿宋" w:cs="仿宋"/>
                <w:bCs/>
                <w:sz w:val="24"/>
                <w:szCs w:val="24"/>
                <w:lang w:eastAsia="zh-CN"/>
              </w:rPr>
              <w:t>中小学</w:t>
            </w:r>
            <w:r>
              <w:rPr>
                <w:rFonts w:hint="eastAsia" w:ascii="仿宋" w:eastAsia="仿宋" w:cs="仿宋"/>
                <w:bCs/>
                <w:sz w:val="24"/>
                <w:szCs w:val="24"/>
              </w:rPr>
              <w:t>音乐课本中涉及到的曲目的弹唱，让学生更顺畅地融入将来可能面对的音乐教育工作。这既是我系师生共同关注的问题之一，也贯彻了我校应用型本科大学的定位和“以师为精”的办学方针。并使学生有意识地弘扬民族音乐文化，立足民族，放眼世界，品鉴优秀的音乐作品，树立学生对于中国文化的自信和红色文化的认同感。</w:t>
            </w:r>
          </w:p>
        </w:tc>
      </w:tr>
      <w:tr w14:paraId="757F7A6B">
        <w:trPr>
          <w:trHeight w:val="0" w:hRule="atLeast"/>
        </w:trPr>
        <w:tc>
          <w:tcPr>
            <w:tcW w:w="1060"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94B2D1">
            <w:pPr>
              <w:spacing w:line="280" w:lineRule="exact"/>
              <w:jc w:val="center"/>
              <w:rPr>
                <w:rFonts w:ascii="仿宋" w:eastAsia="仿宋" w:cs="仿宋"/>
                <w:kern w:val="2"/>
                <w:sz w:val="24"/>
              </w:rPr>
            </w:pPr>
            <w:r>
              <w:rPr>
                <w:rFonts w:hint="eastAsia" w:ascii="仿宋" w:eastAsia="仿宋" w:cs="仿宋"/>
                <w:kern w:val="2"/>
                <w:sz w:val="24"/>
              </w:rPr>
              <w:t>E</w:t>
            </w:r>
          </w:p>
          <w:p w14:paraId="50969829">
            <w:pPr>
              <w:spacing w:line="280" w:lineRule="exact"/>
              <w:jc w:val="center"/>
              <w:rPr>
                <w:rFonts w:ascii="仿宋" w:eastAsia="仿宋" w:cs="仿宋"/>
                <w:kern w:val="2"/>
                <w:sz w:val="24"/>
              </w:rPr>
            </w:pPr>
            <w:r>
              <w:rPr>
                <w:rFonts w:hint="eastAsia" w:ascii="仿宋" w:eastAsia="仿宋" w:cs="仿宋"/>
                <w:kern w:val="2"/>
                <w:sz w:val="24"/>
              </w:rPr>
              <w:t>课程学习目标及其与毕业要求的对应关系</w:t>
            </w:r>
          </w:p>
        </w:tc>
        <w:tc>
          <w:tcPr>
            <w:tcW w:w="8358" w:type="dxa"/>
            <w:gridSpan w:val="14"/>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D06780">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通过本课程的学习，学生具备如下知识、能力及情感态度价值观：</w:t>
            </w:r>
          </w:p>
          <w:p w14:paraId="0E3DE2A8">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课程目标1：</w:t>
            </w:r>
            <w:r>
              <w:rPr>
                <w:rFonts w:hint="eastAsia" w:ascii="仿宋" w:hAnsi="Times New Roman" w:eastAsia="仿宋" w:cs="仿宋"/>
                <w:bCs/>
                <w:sz w:val="24"/>
                <w:szCs w:val="24"/>
                <w:lang w:val="en-US" w:eastAsia="zh-CN"/>
              </w:rPr>
              <w:t>熟悉中学音乐歌唱曲目，形成适合自身的、合理的弹唱工作流程，能够准确、有表情地演唱歌曲，具备选择正确织体、伴奏音型的能力，掌握简单和声的编配规则，能够为歌曲添加合适的前奏、间奏、尾声。了解其它学科知识对于本课程的支撑意义。</w:t>
            </w:r>
            <w:r>
              <w:rPr>
                <w:rFonts w:hint="eastAsia" w:ascii="仿宋" w:hAnsi="Times New Roman" w:eastAsia="仿宋" w:cs="仿宋"/>
                <w:bCs/>
                <w:sz w:val="24"/>
                <w:szCs w:val="24"/>
                <w:lang w:eastAsia="zh-CN"/>
              </w:rPr>
              <w:t xml:space="preserve"> (支撑毕业要求</w:t>
            </w:r>
            <w:r>
              <w:rPr>
                <w:rFonts w:hint="eastAsia" w:ascii="仿宋" w:hAnsi="Times New Roman" w:eastAsia="仿宋" w:cs="仿宋"/>
                <w:bCs/>
                <w:sz w:val="24"/>
                <w:szCs w:val="24"/>
                <w:lang w:val="en-US" w:eastAsia="zh-CN"/>
              </w:rPr>
              <w:t>3</w:t>
            </w:r>
            <w:r>
              <w:rPr>
                <w:rFonts w:hint="eastAsia" w:ascii="仿宋" w:hAnsi="Times New Roman" w:eastAsia="仿宋" w:cs="仿宋"/>
                <w:bCs/>
                <w:sz w:val="24"/>
                <w:szCs w:val="24"/>
                <w:lang w:eastAsia="zh-CN"/>
              </w:rPr>
              <w:t>.</w:t>
            </w:r>
            <w:r>
              <w:rPr>
                <w:rFonts w:hint="eastAsia" w:ascii="仿宋" w:hAnsi="Times New Roman" w:eastAsia="仿宋" w:cs="仿宋"/>
                <w:bCs/>
                <w:sz w:val="24"/>
                <w:szCs w:val="24"/>
                <w:lang w:val="en-US" w:eastAsia="zh-CN"/>
              </w:rPr>
              <w:t>1</w:t>
            </w:r>
            <w:r>
              <w:rPr>
                <w:rFonts w:hint="eastAsia" w:ascii="仿宋" w:hAnsi="Times New Roman" w:eastAsia="仿宋" w:cs="仿宋"/>
                <w:bCs/>
                <w:sz w:val="24"/>
                <w:szCs w:val="24"/>
                <w:lang w:eastAsia="zh-CN"/>
              </w:rPr>
              <w:t>)</w:t>
            </w:r>
          </w:p>
          <w:p w14:paraId="638F60ED">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课程目标2：</w:t>
            </w:r>
            <w:r>
              <w:rPr>
                <w:rFonts w:hint="eastAsia" w:ascii="仿宋" w:hAnsi="Times New Roman" w:eastAsia="仿宋" w:cs="仿宋"/>
                <w:bCs/>
                <w:sz w:val="24"/>
                <w:szCs w:val="24"/>
                <w:lang w:val="en-US" w:eastAsia="zh-CN"/>
              </w:rPr>
              <w:t>具备方向正确的社会主义美学价值观，并在正确的立场上进行美育德育工作。熟悉中学音乐教材思路，</w:t>
            </w:r>
            <w:r>
              <w:rPr>
                <w:rFonts w:hint="eastAsia" w:ascii="仿宋" w:hAnsi="Times New Roman" w:eastAsia="仿宋" w:cs="仿宋"/>
                <w:bCs/>
                <w:sz w:val="24"/>
                <w:szCs w:val="24"/>
                <w:lang w:eastAsia="zh-CN"/>
              </w:rPr>
              <w:t>能够综合学段学情、作品音乐文化背景、编写者意图，通过自弹自唱形式</w:t>
            </w:r>
            <w:r>
              <w:rPr>
                <w:rFonts w:hint="eastAsia" w:ascii="仿宋" w:hAnsi="Times New Roman" w:eastAsia="仿宋" w:cs="仿宋"/>
                <w:bCs/>
                <w:sz w:val="24"/>
                <w:szCs w:val="24"/>
                <w:lang w:val="en-US" w:eastAsia="zh-CN"/>
              </w:rPr>
              <w:t>表现、指导</w:t>
            </w:r>
            <w:r>
              <w:rPr>
                <w:rFonts w:hint="eastAsia" w:ascii="仿宋" w:hAnsi="Times New Roman" w:eastAsia="仿宋" w:cs="仿宋"/>
                <w:bCs/>
                <w:sz w:val="24"/>
                <w:szCs w:val="24"/>
                <w:lang w:eastAsia="zh-CN"/>
              </w:rPr>
              <w:t>兼具艺术性和教育性的弹唱作品；</w:t>
            </w:r>
            <w:r>
              <w:rPr>
                <w:rFonts w:hint="eastAsia" w:ascii="仿宋" w:hAnsi="Times New Roman" w:eastAsia="仿宋" w:cs="仿宋"/>
                <w:bCs/>
                <w:sz w:val="24"/>
                <w:szCs w:val="24"/>
                <w:lang w:val="en-US" w:eastAsia="zh-CN"/>
              </w:rPr>
              <w:t>能够品鉴出作品的美育价值，并进行传播。了解美育教学的最新动向。</w:t>
            </w:r>
            <w:r>
              <w:rPr>
                <w:rFonts w:hint="eastAsia" w:ascii="仿宋" w:hAnsi="Times New Roman" w:eastAsia="仿宋" w:cs="仿宋"/>
                <w:bCs/>
                <w:sz w:val="24"/>
                <w:szCs w:val="24"/>
                <w:lang w:eastAsia="zh-CN"/>
              </w:rPr>
              <w:t>(支撑毕业要求</w:t>
            </w:r>
            <w:r>
              <w:rPr>
                <w:rFonts w:hint="eastAsia" w:ascii="仿宋" w:hAnsi="Times New Roman" w:eastAsia="仿宋" w:cs="仿宋"/>
                <w:bCs/>
                <w:sz w:val="24"/>
                <w:szCs w:val="24"/>
                <w:lang w:val="en-US" w:eastAsia="zh-CN"/>
              </w:rPr>
              <w:t>6</w:t>
            </w:r>
            <w:r>
              <w:rPr>
                <w:rFonts w:hint="eastAsia" w:ascii="仿宋" w:hAnsi="Times New Roman" w:eastAsia="仿宋" w:cs="仿宋"/>
                <w:bCs/>
                <w:sz w:val="24"/>
                <w:szCs w:val="24"/>
                <w:lang w:eastAsia="zh-CN"/>
              </w:rPr>
              <w:t>.1)</w:t>
            </w:r>
          </w:p>
          <w:p w14:paraId="49886081">
            <w:pPr>
              <w:adjustRightInd w:val="0"/>
              <w:snapToGrid w:val="0"/>
              <w:rPr>
                <w:rFonts w:ascii="仿宋" w:eastAsia="仿宋" w:cs="仿宋"/>
                <w:bCs/>
                <w:sz w:val="24"/>
                <w:szCs w:val="24"/>
              </w:rPr>
            </w:pPr>
            <w:r>
              <w:rPr>
                <w:rFonts w:hint="eastAsia" w:ascii="仿宋" w:hAnsi="Times New Roman" w:eastAsia="仿宋" w:cs="仿宋"/>
                <w:bCs/>
                <w:sz w:val="24"/>
                <w:szCs w:val="24"/>
                <w:lang w:eastAsia="zh-CN"/>
              </w:rPr>
              <w:t>课程目标3：</w:t>
            </w:r>
            <w:r>
              <w:rPr>
                <w:rFonts w:hint="eastAsia" w:ascii="仿宋" w:hAnsi="Times New Roman" w:eastAsia="仿宋" w:cs="仿宋"/>
                <w:bCs/>
                <w:sz w:val="24"/>
                <w:szCs w:val="24"/>
                <w:lang w:val="en-US" w:eastAsia="zh-CN"/>
              </w:rPr>
              <w:t>掌握基本的辩证思维能力，对于社会上的流行音乐作品、现象能进行正确的思考；对于自己的弹唱作业能够进行合理改进；具备一定的听-改能力，能够根据听到的更好的表演，对自己的演奏演唱进行改进；了解新教材、教法的变化动向，跟随正确的教学改革方向，改进教学思路。</w:t>
            </w:r>
            <w:r>
              <w:rPr>
                <w:rFonts w:hint="eastAsia" w:ascii="仿宋" w:hAnsi="Times New Roman" w:eastAsia="仿宋" w:cs="仿宋"/>
                <w:bCs/>
                <w:sz w:val="24"/>
                <w:szCs w:val="24"/>
                <w:lang w:eastAsia="zh-CN"/>
              </w:rPr>
              <w:t>(支撑毕业要求</w:t>
            </w:r>
            <w:r>
              <w:rPr>
                <w:rFonts w:hint="eastAsia" w:ascii="仿宋" w:hAnsi="Times New Roman" w:eastAsia="仿宋" w:cs="仿宋"/>
                <w:bCs/>
                <w:sz w:val="24"/>
                <w:szCs w:val="24"/>
                <w:lang w:val="en-US" w:eastAsia="zh-CN"/>
              </w:rPr>
              <w:t>7</w:t>
            </w:r>
            <w:r>
              <w:rPr>
                <w:rFonts w:hint="eastAsia" w:ascii="仿宋" w:hAnsi="Times New Roman" w:eastAsia="仿宋" w:cs="仿宋"/>
                <w:bCs/>
                <w:sz w:val="24"/>
                <w:szCs w:val="24"/>
                <w:lang w:eastAsia="zh-CN"/>
              </w:rPr>
              <w:t>.1)</w:t>
            </w:r>
          </w:p>
        </w:tc>
      </w:tr>
      <w:tr w14:paraId="533B1005">
        <w:trPr>
          <w:trHeight w:val="0" w:hRule="atLeast"/>
        </w:trPr>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E17880"/>
        </w:tc>
        <w:tc>
          <w:tcPr>
            <w:tcW w:w="127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E0EF39">
            <w:pPr>
              <w:spacing w:line="280" w:lineRule="exact"/>
              <w:jc w:val="center"/>
              <w:rPr>
                <w:rFonts w:ascii="仿宋" w:eastAsia="仿宋" w:cs="仿宋"/>
                <w:kern w:val="2"/>
                <w:sz w:val="24"/>
              </w:rPr>
            </w:pPr>
            <w:r>
              <w:rPr>
                <w:rFonts w:hint="eastAsia" w:ascii="仿宋" w:eastAsia="仿宋" w:cs="仿宋"/>
                <w:kern w:val="2"/>
                <w:sz w:val="24"/>
              </w:rPr>
              <w:t>课程目标</w:t>
            </w:r>
          </w:p>
        </w:tc>
        <w:tc>
          <w:tcPr>
            <w:tcW w:w="5220" w:type="dxa"/>
            <w:gridSpan w:val="10"/>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3AD995">
            <w:pPr>
              <w:spacing w:line="280" w:lineRule="exact"/>
              <w:jc w:val="center"/>
              <w:rPr>
                <w:rFonts w:ascii="仿宋" w:eastAsia="仿宋" w:cs="仿宋"/>
                <w:kern w:val="2"/>
                <w:sz w:val="24"/>
              </w:rPr>
            </w:pPr>
            <w:r>
              <w:rPr>
                <w:rFonts w:hint="eastAsia" w:ascii="仿宋" w:eastAsia="仿宋" w:cs="仿宋"/>
                <w:kern w:val="2"/>
                <w:sz w:val="24"/>
              </w:rPr>
              <w:t>毕业要求分解指标点</w:t>
            </w:r>
          </w:p>
        </w:tc>
        <w:tc>
          <w:tcPr>
            <w:tcW w:w="1867"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E25F2D">
            <w:pPr>
              <w:spacing w:line="280" w:lineRule="exact"/>
              <w:jc w:val="center"/>
              <w:rPr>
                <w:rFonts w:ascii="仿宋" w:eastAsia="仿宋" w:cs="仿宋"/>
                <w:kern w:val="2"/>
                <w:sz w:val="24"/>
              </w:rPr>
            </w:pPr>
            <w:r>
              <w:rPr>
                <w:rFonts w:hint="eastAsia" w:ascii="仿宋" w:eastAsia="仿宋" w:cs="仿宋"/>
                <w:kern w:val="2"/>
                <w:sz w:val="24"/>
              </w:rPr>
              <w:t>毕业要求</w:t>
            </w:r>
          </w:p>
        </w:tc>
      </w:tr>
      <w:tr w14:paraId="6A150DB5">
        <w:trPr>
          <w:trHeight w:val="0" w:hRule="atLeast"/>
        </w:trPr>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876AE0"/>
        </w:tc>
        <w:tc>
          <w:tcPr>
            <w:tcW w:w="127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411C93">
            <w:pPr>
              <w:rPr>
                <w:rFonts w:ascii="仿宋" w:eastAsia="仿宋" w:cs="仿宋"/>
                <w:kern w:val="2"/>
                <w:sz w:val="24"/>
                <w:szCs w:val="24"/>
              </w:rPr>
            </w:pPr>
            <w:r>
              <w:rPr>
                <w:rFonts w:hint="eastAsia" w:ascii="仿宋" w:eastAsia="仿宋" w:cs="仿宋"/>
                <w:kern w:val="2"/>
                <w:sz w:val="24"/>
                <w:szCs w:val="24"/>
              </w:rPr>
              <w:t>课程目标1</w:t>
            </w:r>
          </w:p>
        </w:tc>
        <w:tc>
          <w:tcPr>
            <w:tcW w:w="5220" w:type="dxa"/>
            <w:gridSpan w:val="10"/>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668A53">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3.1【专业技能】掌握音乐学科</w:t>
            </w:r>
            <w:r>
              <w:rPr>
                <w:rFonts w:hint="eastAsia" w:ascii="仿宋" w:hAnsi="Times New Roman" w:eastAsia="仿宋" w:cs="仿宋"/>
                <w:bCs/>
                <w:sz w:val="24"/>
                <w:szCs w:val="24"/>
                <w:lang w:val="en-US" w:eastAsia="zh-CN"/>
              </w:rPr>
              <w:t>专业</w:t>
            </w:r>
            <w:r>
              <w:rPr>
                <w:rFonts w:hint="eastAsia" w:ascii="仿宋" w:hAnsi="Times New Roman" w:eastAsia="仿宋" w:cs="仿宋"/>
                <w:bCs/>
                <w:sz w:val="24"/>
                <w:szCs w:val="24"/>
                <w:lang w:eastAsia="zh-CN"/>
              </w:rPr>
              <w:t>基本功，掌握音乐学科基础知识、基本理论与思想方法，理解音乐学科的核心素养的内涵，形成</w:t>
            </w:r>
            <w:r>
              <w:rPr>
                <w:rFonts w:hint="eastAsia" w:ascii="仿宋" w:hAnsi="Times New Roman" w:eastAsia="仿宋" w:cs="仿宋"/>
                <w:bCs/>
                <w:sz w:val="24"/>
                <w:szCs w:val="24"/>
                <w:lang w:val="en-US" w:eastAsia="zh-CN"/>
              </w:rPr>
              <w:t>完整的音乐学知识体系。</w:t>
            </w:r>
          </w:p>
        </w:tc>
        <w:tc>
          <w:tcPr>
            <w:tcW w:w="1867"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60B2F4">
            <w:pPr>
              <w:jc w:val="center"/>
              <w:rPr>
                <w:rFonts w:hint="default" w:ascii="仿宋" w:eastAsia="仿宋" w:cs="仿宋"/>
                <w:bCs/>
                <w:kern w:val="2"/>
                <w:sz w:val="24"/>
                <w:szCs w:val="24"/>
                <w:lang w:val="en-US" w:eastAsia="zh-CN"/>
              </w:rPr>
            </w:pPr>
            <w:r>
              <w:rPr>
                <w:rFonts w:hint="eastAsia" w:ascii="仿宋" w:eastAsia="仿宋" w:cs="仿宋"/>
                <w:bCs/>
                <w:kern w:val="2"/>
                <w:sz w:val="24"/>
                <w:szCs w:val="24"/>
                <w:lang w:val="en-US" w:eastAsia="zh-CN"/>
              </w:rPr>
              <w:t>学科素养3</w:t>
            </w:r>
          </w:p>
          <w:p w14:paraId="76CCA362">
            <w:pPr>
              <w:jc w:val="center"/>
              <w:rPr>
                <w:rFonts w:ascii="仿宋" w:eastAsia="仿宋" w:cs="仿宋"/>
                <w:bCs/>
                <w:kern w:val="2"/>
                <w:sz w:val="24"/>
                <w:szCs w:val="24"/>
              </w:rPr>
            </w:pPr>
            <w:r>
              <w:rPr>
                <w:rFonts w:hint="eastAsia" w:ascii="仿宋" w:eastAsia="仿宋" w:cs="仿宋"/>
                <w:bCs/>
                <w:kern w:val="2"/>
                <w:sz w:val="24"/>
                <w:szCs w:val="24"/>
              </w:rPr>
              <w:t>（</w:t>
            </w:r>
            <w:r>
              <w:rPr>
                <w:rFonts w:hint="eastAsia" w:ascii="仿宋" w:eastAsia="仿宋" w:cs="仿宋"/>
                <w:bCs/>
                <w:kern w:val="2"/>
                <w:sz w:val="24"/>
                <w:szCs w:val="24"/>
                <w:lang w:val="en-US" w:eastAsia="zh-CN"/>
              </w:rPr>
              <w:t>H</w:t>
            </w:r>
            <w:r>
              <w:rPr>
                <w:rFonts w:hint="eastAsia" w:ascii="仿宋" w:eastAsia="仿宋" w:cs="仿宋"/>
                <w:bCs/>
                <w:kern w:val="2"/>
                <w:sz w:val="24"/>
                <w:szCs w:val="24"/>
              </w:rPr>
              <w:t>）</w:t>
            </w:r>
          </w:p>
        </w:tc>
      </w:tr>
      <w:tr w14:paraId="2C21CFC1">
        <w:trPr>
          <w:trHeight w:val="0" w:hRule="atLeast"/>
        </w:trPr>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B38EBC"/>
        </w:tc>
        <w:tc>
          <w:tcPr>
            <w:tcW w:w="127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292054">
            <w:pPr>
              <w:rPr>
                <w:rFonts w:ascii="仿宋" w:eastAsia="仿宋" w:cs="仿宋"/>
                <w:kern w:val="2"/>
                <w:sz w:val="24"/>
                <w:szCs w:val="24"/>
              </w:rPr>
            </w:pPr>
            <w:r>
              <w:rPr>
                <w:rFonts w:hint="eastAsia" w:ascii="仿宋" w:eastAsia="仿宋" w:cs="仿宋"/>
                <w:kern w:val="2"/>
                <w:sz w:val="24"/>
                <w:szCs w:val="24"/>
              </w:rPr>
              <w:t>课程目标2</w:t>
            </w:r>
          </w:p>
        </w:tc>
        <w:tc>
          <w:tcPr>
            <w:tcW w:w="5220" w:type="dxa"/>
            <w:gridSpan w:val="10"/>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75D82D">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6.1【育人理念】理解音乐教学与人的全面发展的关系，理解音乐学科的育人价值，具备在音乐教学、课外辅导、学生交往中渗透“以美育人”的理念。</w:t>
            </w:r>
          </w:p>
        </w:tc>
        <w:tc>
          <w:tcPr>
            <w:tcW w:w="1867"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7CBD39">
            <w:pPr>
              <w:jc w:val="center"/>
              <w:rPr>
                <w:rFonts w:ascii="仿宋" w:eastAsia="仿宋" w:cs="仿宋"/>
                <w:bCs/>
                <w:kern w:val="2"/>
                <w:sz w:val="24"/>
                <w:szCs w:val="24"/>
              </w:rPr>
            </w:pPr>
            <w:r>
              <w:rPr>
                <w:rFonts w:hint="eastAsia" w:ascii="仿宋" w:eastAsia="仿宋" w:cs="仿宋"/>
                <w:bCs/>
                <w:kern w:val="2"/>
                <w:sz w:val="24"/>
                <w:szCs w:val="24"/>
                <w:lang w:val="en-US" w:eastAsia="zh-CN"/>
              </w:rPr>
              <w:t>综合育人6</w:t>
            </w:r>
            <w:r>
              <w:rPr>
                <w:rFonts w:hint="eastAsia" w:ascii="仿宋" w:eastAsia="仿宋" w:cs="仿宋"/>
                <w:bCs/>
                <w:kern w:val="2"/>
                <w:sz w:val="24"/>
                <w:szCs w:val="24"/>
              </w:rPr>
              <w:t>（</w:t>
            </w:r>
            <w:r>
              <w:rPr>
                <w:rFonts w:hint="eastAsia" w:ascii="仿宋" w:eastAsia="仿宋" w:cs="仿宋"/>
                <w:bCs/>
                <w:kern w:val="2"/>
                <w:sz w:val="24"/>
                <w:szCs w:val="24"/>
                <w:lang w:val="en-US" w:eastAsia="zh-CN"/>
              </w:rPr>
              <w:t>H</w:t>
            </w:r>
            <w:r>
              <w:rPr>
                <w:rFonts w:hint="eastAsia" w:ascii="仿宋" w:eastAsia="仿宋" w:cs="仿宋"/>
                <w:bCs/>
                <w:kern w:val="2"/>
                <w:sz w:val="24"/>
                <w:szCs w:val="24"/>
              </w:rPr>
              <w:t>）</w:t>
            </w:r>
          </w:p>
        </w:tc>
      </w:tr>
      <w:tr w14:paraId="20B52486">
        <w:trPr>
          <w:trHeight w:val="0" w:hRule="atLeast"/>
        </w:trPr>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851B9E"/>
        </w:tc>
        <w:tc>
          <w:tcPr>
            <w:tcW w:w="127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7D5769">
            <w:pPr>
              <w:rPr>
                <w:rFonts w:ascii="仿宋" w:eastAsia="仿宋" w:cs="仿宋"/>
                <w:kern w:val="2"/>
                <w:sz w:val="24"/>
                <w:szCs w:val="24"/>
              </w:rPr>
            </w:pPr>
            <w:r>
              <w:rPr>
                <w:rFonts w:hint="eastAsia" w:ascii="仿宋" w:eastAsia="仿宋" w:cs="仿宋"/>
                <w:kern w:val="2"/>
                <w:sz w:val="24"/>
                <w:szCs w:val="24"/>
              </w:rPr>
              <w:t>课程目标3</w:t>
            </w:r>
          </w:p>
        </w:tc>
        <w:tc>
          <w:tcPr>
            <w:tcW w:w="5220" w:type="dxa"/>
            <w:gridSpan w:val="10"/>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0FFF64E6">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7.1【反思改进】具有反思意识和批</w:t>
            </w:r>
            <w:r>
              <w:rPr>
                <w:rFonts w:hint="eastAsia" w:ascii="仿宋" w:hAnsi="Times New Roman" w:eastAsia="仿宋" w:cs="仿宋"/>
                <w:bCs/>
                <w:sz w:val="24"/>
                <w:szCs w:val="24"/>
                <w:lang w:val="en-US" w:eastAsia="zh-CN"/>
              </w:rPr>
              <w:t>判</w:t>
            </w:r>
            <w:r>
              <w:rPr>
                <w:rFonts w:hint="eastAsia" w:ascii="仿宋" w:hAnsi="Times New Roman" w:eastAsia="仿宋" w:cs="仿宋"/>
                <w:bCs/>
                <w:sz w:val="24"/>
                <w:szCs w:val="24"/>
                <w:lang w:eastAsia="zh-CN"/>
              </w:rPr>
              <w:t>性思维，初步掌握教育教学反思的基本方法和策略，能够对</w:t>
            </w:r>
            <w:r>
              <w:rPr>
                <w:rFonts w:hint="eastAsia" w:ascii="仿宋" w:hAnsi="Times New Roman" w:eastAsia="仿宋" w:cs="仿宋"/>
                <w:bCs/>
                <w:sz w:val="24"/>
                <w:szCs w:val="24"/>
                <w:lang w:val="en-US" w:eastAsia="zh-CN"/>
              </w:rPr>
              <w:t>相关学习、</w:t>
            </w:r>
            <w:r>
              <w:rPr>
                <w:rFonts w:hint="eastAsia" w:ascii="仿宋" w:hAnsi="Times New Roman" w:eastAsia="仿宋" w:cs="仿宋"/>
                <w:bCs/>
                <w:sz w:val="24"/>
                <w:szCs w:val="24"/>
                <w:lang w:eastAsia="zh-CN"/>
              </w:rPr>
              <w:t>教育教学实践活动进行有效的自我诊断，提出改进思路。</w:t>
            </w:r>
          </w:p>
        </w:tc>
        <w:tc>
          <w:tcPr>
            <w:tcW w:w="1867"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8824A1">
            <w:pPr>
              <w:jc w:val="center"/>
              <w:rPr>
                <w:rFonts w:ascii="仿宋" w:eastAsia="仿宋" w:cs="仿宋"/>
                <w:kern w:val="2"/>
                <w:sz w:val="24"/>
                <w:szCs w:val="24"/>
              </w:rPr>
            </w:pPr>
            <w:r>
              <w:rPr>
                <w:rFonts w:hint="eastAsia" w:ascii="仿宋" w:eastAsia="仿宋" w:cs="仿宋"/>
                <w:kern w:val="2"/>
                <w:sz w:val="24"/>
                <w:szCs w:val="24"/>
                <w:lang w:val="en-US" w:eastAsia="zh-CN"/>
              </w:rPr>
              <w:t>学会反思7</w:t>
            </w:r>
            <w:r>
              <w:rPr>
                <w:rFonts w:hint="eastAsia" w:ascii="仿宋" w:eastAsia="仿宋" w:cs="仿宋"/>
                <w:kern w:val="2"/>
                <w:sz w:val="24"/>
                <w:szCs w:val="24"/>
              </w:rPr>
              <w:t>(</w:t>
            </w:r>
            <w:r>
              <w:rPr>
                <w:rFonts w:hint="eastAsia" w:ascii="仿宋" w:eastAsia="仿宋" w:cs="仿宋"/>
                <w:kern w:val="2"/>
                <w:sz w:val="24"/>
                <w:szCs w:val="24"/>
                <w:lang w:val="en-US" w:eastAsia="zh-CN"/>
              </w:rPr>
              <w:t>L</w:t>
            </w:r>
            <w:r>
              <w:rPr>
                <w:rFonts w:hint="eastAsia" w:ascii="仿宋" w:eastAsia="仿宋" w:cs="仿宋"/>
                <w:kern w:val="2"/>
                <w:sz w:val="24"/>
                <w:szCs w:val="24"/>
              </w:rPr>
              <w:t>)</w:t>
            </w:r>
          </w:p>
        </w:tc>
      </w:tr>
      <w:tr w14:paraId="75A93354">
        <w:trPr>
          <w:trHeight w:val="0" w:hRule="atLeast"/>
        </w:trPr>
        <w:tc>
          <w:tcPr>
            <w:tcW w:w="1060"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3DB85A">
            <w:pPr>
              <w:adjustRightInd w:val="0"/>
              <w:snapToGrid w:val="0"/>
              <w:spacing w:line="240" w:lineRule="atLeast"/>
              <w:jc w:val="center"/>
              <w:rPr>
                <w:rFonts w:ascii="仿宋" w:eastAsia="仿宋" w:cs="仿宋"/>
                <w:sz w:val="24"/>
                <w:szCs w:val="24"/>
              </w:rPr>
            </w:pPr>
            <w:r>
              <w:rPr>
                <w:rFonts w:hint="eastAsia" w:ascii="仿宋" w:eastAsia="仿宋" w:cs="仿宋"/>
                <w:sz w:val="24"/>
                <w:szCs w:val="24"/>
              </w:rPr>
              <w:t>G</w:t>
            </w:r>
          </w:p>
          <w:p w14:paraId="28F46F5C">
            <w:pPr>
              <w:spacing w:line="280" w:lineRule="exact"/>
              <w:jc w:val="center"/>
              <w:rPr>
                <w:rFonts w:ascii="仿宋" w:eastAsia="仿宋" w:cs="仿宋"/>
                <w:kern w:val="2"/>
                <w:sz w:val="24"/>
              </w:rPr>
            </w:pPr>
            <w:r>
              <w:rPr>
                <w:rFonts w:hint="eastAsia" w:ascii="仿宋" w:eastAsia="仿宋" w:cs="仿宋"/>
                <w:sz w:val="24"/>
                <w:szCs w:val="24"/>
              </w:rPr>
              <w:t>实验（实训）内容</w:t>
            </w:r>
          </w:p>
        </w:tc>
        <w:tc>
          <w:tcPr>
            <w:tcW w:w="6491" w:type="dxa"/>
            <w:gridSpan w:val="11"/>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2EE6F5">
            <w:pPr>
              <w:spacing w:line="280" w:lineRule="exact"/>
              <w:jc w:val="center"/>
              <w:rPr>
                <w:rFonts w:ascii="仿宋" w:eastAsia="仿宋" w:cs="仿宋"/>
                <w:kern w:val="2"/>
                <w:sz w:val="24"/>
              </w:rPr>
            </w:pPr>
            <w:r>
              <w:rPr>
                <w:rFonts w:hint="eastAsia" w:ascii="仿宋" w:eastAsia="仿宋" w:cs="仿宋"/>
                <w:bCs/>
                <w:sz w:val="24"/>
                <w:szCs w:val="24"/>
              </w:rPr>
              <w:t>项目名称、主要内容及开设要求</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BD49B1">
            <w:pPr>
              <w:spacing w:line="280" w:lineRule="exact"/>
              <w:jc w:val="center"/>
              <w:rPr>
                <w:rFonts w:ascii="仿宋" w:eastAsia="仿宋" w:cs="仿宋"/>
                <w:kern w:val="2"/>
                <w:sz w:val="24"/>
              </w:rPr>
            </w:pPr>
            <w:r>
              <w:rPr>
                <w:rFonts w:hint="eastAsia" w:ascii="仿宋" w:eastAsia="仿宋" w:cs="仿宋"/>
                <w:kern w:val="2"/>
                <w:sz w:val="24"/>
              </w:rPr>
              <w:t>支撑课程目标</w:t>
            </w:r>
          </w:p>
        </w:tc>
        <w:tc>
          <w:tcPr>
            <w:tcW w:w="64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FFCAA1">
            <w:pPr>
              <w:spacing w:line="280" w:lineRule="exact"/>
              <w:jc w:val="center"/>
              <w:rPr>
                <w:rFonts w:ascii="仿宋" w:eastAsia="仿宋" w:cs="仿宋"/>
                <w:kern w:val="2"/>
                <w:sz w:val="24"/>
              </w:rPr>
            </w:pPr>
            <w:r>
              <w:rPr>
                <w:rFonts w:hint="eastAsia" w:ascii="仿宋" w:eastAsia="仿宋" w:cs="仿宋"/>
                <w:kern w:val="2"/>
                <w:sz w:val="24"/>
              </w:rPr>
              <w:t>学时</w:t>
            </w:r>
          </w:p>
          <w:p w14:paraId="47CF015A">
            <w:pPr>
              <w:spacing w:line="280" w:lineRule="exact"/>
              <w:jc w:val="center"/>
              <w:rPr>
                <w:rFonts w:ascii="仿宋" w:eastAsia="仿宋" w:cs="仿宋"/>
                <w:kern w:val="2"/>
                <w:sz w:val="24"/>
              </w:rPr>
            </w:pPr>
            <w:r>
              <w:rPr>
                <w:rFonts w:hint="eastAsia" w:ascii="仿宋" w:eastAsia="仿宋" w:cs="仿宋"/>
                <w:kern w:val="2"/>
                <w:sz w:val="24"/>
              </w:rPr>
              <w:t>分配</w:t>
            </w:r>
          </w:p>
        </w:tc>
      </w:tr>
      <w:tr w14:paraId="3825BC59">
        <w:trPr>
          <w:trHeight w:val="0" w:hRule="atLeast"/>
        </w:trPr>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F517DD"/>
        </w:tc>
        <w:tc>
          <w:tcPr>
            <w:tcW w:w="6491"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F2C58B">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第一学期：</w:t>
            </w:r>
          </w:p>
          <w:p w14:paraId="206B6C22">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第1至4周</w:t>
            </w:r>
          </w:p>
          <w:p w14:paraId="3F7F8CC3">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弹唱课绪论</w:t>
            </w:r>
          </w:p>
          <w:p w14:paraId="099061CD">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实训目的：</w:t>
            </w:r>
          </w:p>
          <w:p w14:paraId="0F5CD7D9">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知道学习弹唱课的意义；</w:t>
            </w:r>
          </w:p>
          <w:p w14:paraId="661D7FE7">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领会学习弹唱课的方法</w:t>
            </w:r>
          </w:p>
          <w:p w14:paraId="669CCC54">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分阶段应用不同的知识，提高弹唱工作质量。</w:t>
            </w:r>
          </w:p>
          <w:p w14:paraId="4F7E9E41">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实训任务：</w:t>
            </w:r>
          </w:p>
          <w:p w14:paraId="14AA980C">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每周六首唱歌课曲目，编配和声写在书上，拍照上传，弹唱，柱式音型伴奏带旋律。</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82FDD1">
            <w:pPr>
              <w:adjustRightInd w:val="0"/>
              <w:snapToGrid w:val="0"/>
              <w:jc w:val="center"/>
              <w:rPr>
                <w:rFonts w:ascii="仿宋" w:eastAsia="仿宋" w:cs="仿宋"/>
                <w:bCs/>
                <w:sz w:val="24"/>
                <w:szCs w:val="24"/>
              </w:rPr>
            </w:pPr>
            <w:r>
              <w:rPr>
                <w:rFonts w:hint="eastAsia" w:ascii="仿宋" w:eastAsia="仿宋" w:cs="仿宋"/>
                <w:bCs/>
                <w:sz w:val="24"/>
                <w:szCs w:val="24"/>
              </w:rPr>
              <w:t>支撑课程目标1、2、3</w:t>
            </w:r>
          </w:p>
        </w:tc>
        <w:tc>
          <w:tcPr>
            <w:tcW w:w="64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B290D1">
            <w:pPr>
              <w:adjustRightInd w:val="0"/>
              <w:snapToGrid w:val="0"/>
              <w:jc w:val="center"/>
              <w:rPr>
                <w:rFonts w:ascii="仿宋" w:eastAsia="仿宋" w:cs="仿宋"/>
                <w:bCs/>
                <w:sz w:val="24"/>
                <w:szCs w:val="24"/>
              </w:rPr>
            </w:pPr>
            <w:r>
              <w:rPr>
                <w:rFonts w:hint="eastAsia" w:ascii="仿宋" w:eastAsia="仿宋" w:cs="仿宋"/>
                <w:bCs/>
                <w:sz w:val="24"/>
                <w:szCs w:val="24"/>
              </w:rPr>
              <w:t>8</w:t>
            </w:r>
          </w:p>
        </w:tc>
      </w:tr>
      <w:tr w14:paraId="18A1C7C9">
        <w:trPr>
          <w:trHeight w:val="0" w:hRule="atLeast"/>
        </w:trPr>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5888C6"/>
        </w:tc>
        <w:tc>
          <w:tcPr>
            <w:tcW w:w="6491"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7EAF5C">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第5-8周</w:t>
            </w:r>
          </w:p>
          <w:p w14:paraId="1BB45EB8">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实训目的：</w:t>
            </w:r>
          </w:p>
          <w:p w14:paraId="0354DE19">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 xml:space="preserve">  掌握移调练习,掌握更多曲目；</w:t>
            </w:r>
          </w:p>
          <w:p w14:paraId="51624F31">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实训任务：</w:t>
            </w:r>
          </w:p>
          <w:p w14:paraId="7798655D">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每周检查视频作业（3首左右）、教师批改。具体曲目、目的要求应用。</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8A499C">
            <w:pPr>
              <w:adjustRightInd w:val="0"/>
              <w:snapToGrid w:val="0"/>
              <w:jc w:val="center"/>
              <w:rPr>
                <w:rFonts w:ascii="仿宋" w:eastAsia="仿宋" w:cs="仿宋"/>
                <w:bCs/>
                <w:sz w:val="24"/>
                <w:szCs w:val="24"/>
              </w:rPr>
            </w:pPr>
            <w:r>
              <w:rPr>
                <w:rFonts w:hint="eastAsia" w:ascii="仿宋" w:eastAsia="仿宋" w:cs="仿宋"/>
                <w:bCs/>
                <w:sz w:val="24"/>
                <w:szCs w:val="24"/>
              </w:rPr>
              <w:t>支撑课程目标1、2、3</w:t>
            </w:r>
          </w:p>
        </w:tc>
        <w:tc>
          <w:tcPr>
            <w:tcW w:w="64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72B934">
            <w:pPr>
              <w:adjustRightInd w:val="0"/>
              <w:snapToGrid w:val="0"/>
              <w:jc w:val="center"/>
              <w:rPr>
                <w:rFonts w:ascii="仿宋" w:eastAsia="仿宋" w:cs="仿宋"/>
                <w:bCs/>
                <w:sz w:val="24"/>
                <w:szCs w:val="24"/>
              </w:rPr>
            </w:pPr>
            <w:r>
              <w:rPr>
                <w:rFonts w:hint="eastAsia" w:ascii="仿宋" w:eastAsia="仿宋" w:cs="仿宋"/>
                <w:bCs/>
                <w:sz w:val="24"/>
                <w:szCs w:val="24"/>
              </w:rPr>
              <w:t>8</w:t>
            </w:r>
          </w:p>
        </w:tc>
      </w:tr>
      <w:tr w14:paraId="57292B3C">
        <w:trPr>
          <w:trHeight w:val="0" w:hRule="atLeast"/>
        </w:trPr>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C0636E"/>
        </w:tc>
        <w:tc>
          <w:tcPr>
            <w:tcW w:w="6491"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BEA169">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第9周</w:t>
            </w:r>
          </w:p>
          <w:p w14:paraId="6A3B5E76">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实训目的：</w:t>
            </w:r>
          </w:p>
          <w:p w14:paraId="470B2A2B">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 xml:space="preserve">  提高移调练习熟练程度,掌握更多曲目；</w:t>
            </w:r>
          </w:p>
          <w:p w14:paraId="616D4E84">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实训任务：</w:t>
            </w:r>
          </w:p>
          <w:p w14:paraId="29C9AE87">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课堂分组研讨，课题：《留给我》 课堂分组研讨，以集成形式（模拟课堂教学片段）进行结论汇报。</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C4AEC5">
            <w:pPr>
              <w:adjustRightInd w:val="0"/>
              <w:snapToGrid w:val="0"/>
              <w:jc w:val="center"/>
              <w:rPr>
                <w:rFonts w:ascii="仿宋" w:eastAsia="仿宋" w:cs="仿宋"/>
                <w:bCs/>
                <w:sz w:val="24"/>
                <w:szCs w:val="24"/>
              </w:rPr>
            </w:pPr>
            <w:r>
              <w:rPr>
                <w:rFonts w:hint="eastAsia" w:ascii="仿宋" w:eastAsia="仿宋" w:cs="仿宋"/>
                <w:bCs/>
                <w:sz w:val="24"/>
                <w:szCs w:val="24"/>
              </w:rPr>
              <w:t>支撑课程目标1、3</w:t>
            </w:r>
          </w:p>
        </w:tc>
        <w:tc>
          <w:tcPr>
            <w:tcW w:w="64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48B5E4">
            <w:pPr>
              <w:adjustRightInd w:val="0"/>
              <w:snapToGrid w:val="0"/>
              <w:jc w:val="center"/>
              <w:rPr>
                <w:rFonts w:ascii="仿宋" w:eastAsia="仿宋" w:cs="仿宋"/>
                <w:bCs/>
                <w:sz w:val="24"/>
                <w:szCs w:val="24"/>
              </w:rPr>
            </w:pPr>
            <w:r>
              <w:rPr>
                <w:rFonts w:hint="eastAsia" w:ascii="仿宋" w:eastAsia="仿宋" w:cs="仿宋"/>
                <w:bCs/>
                <w:sz w:val="24"/>
                <w:szCs w:val="24"/>
              </w:rPr>
              <w:t>2</w:t>
            </w:r>
          </w:p>
        </w:tc>
      </w:tr>
      <w:tr w14:paraId="2BAF50D6">
        <w:trPr>
          <w:trHeight w:val="0" w:hRule="atLeast"/>
        </w:trPr>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51A305"/>
        </w:tc>
        <w:tc>
          <w:tcPr>
            <w:tcW w:w="6491"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E35F8B">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第10-13周</w:t>
            </w:r>
          </w:p>
          <w:p w14:paraId="2A07F3D4">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实训目的：</w:t>
            </w:r>
          </w:p>
          <w:p w14:paraId="7A363DFE">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 xml:space="preserve">  掌握四、五年级曲目；</w:t>
            </w:r>
          </w:p>
          <w:p w14:paraId="6654916D">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实训任务：</w:t>
            </w:r>
          </w:p>
          <w:p w14:paraId="142ED939">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四、五年级曲目弹唱练习，课堂弹唱抽查指导。</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1A73B1">
            <w:pPr>
              <w:adjustRightInd w:val="0"/>
              <w:snapToGrid w:val="0"/>
              <w:jc w:val="center"/>
              <w:rPr>
                <w:rFonts w:ascii="仿宋" w:eastAsia="仿宋" w:cs="仿宋"/>
                <w:bCs/>
                <w:sz w:val="24"/>
                <w:szCs w:val="24"/>
              </w:rPr>
            </w:pPr>
            <w:r>
              <w:rPr>
                <w:rFonts w:hint="eastAsia" w:ascii="仿宋" w:eastAsia="仿宋" w:cs="仿宋"/>
                <w:bCs/>
                <w:sz w:val="24"/>
                <w:szCs w:val="24"/>
              </w:rPr>
              <w:t>支撑课程目标1、2、3</w:t>
            </w:r>
          </w:p>
        </w:tc>
        <w:tc>
          <w:tcPr>
            <w:tcW w:w="64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068619">
            <w:pPr>
              <w:adjustRightInd w:val="0"/>
              <w:snapToGrid w:val="0"/>
              <w:jc w:val="center"/>
              <w:rPr>
                <w:rFonts w:ascii="仿宋" w:eastAsia="仿宋" w:cs="仿宋"/>
                <w:bCs/>
                <w:sz w:val="24"/>
                <w:szCs w:val="24"/>
              </w:rPr>
            </w:pPr>
            <w:r>
              <w:rPr>
                <w:rFonts w:hint="eastAsia" w:ascii="仿宋" w:eastAsia="仿宋" w:cs="仿宋"/>
                <w:bCs/>
                <w:sz w:val="24"/>
                <w:szCs w:val="24"/>
              </w:rPr>
              <w:t>8</w:t>
            </w:r>
          </w:p>
        </w:tc>
      </w:tr>
      <w:tr w14:paraId="4E362D35">
        <w:trPr>
          <w:trHeight w:val="0" w:hRule="atLeast"/>
        </w:trPr>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F58B91"/>
        </w:tc>
        <w:tc>
          <w:tcPr>
            <w:tcW w:w="6491"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D195B5">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第14-16周</w:t>
            </w:r>
          </w:p>
          <w:p w14:paraId="2797711B">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实训目的：</w:t>
            </w:r>
          </w:p>
          <w:p w14:paraId="1F77BFFE">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 xml:space="preserve">  掌握五、六年级曲目</w:t>
            </w:r>
          </w:p>
          <w:p w14:paraId="1A915FAF">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实训任务：</w:t>
            </w:r>
          </w:p>
          <w:p w14:paraId="72DB55A6">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五、六年级曲目弹唱练习，课堂弹唱抽查指导。</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A18C18">
            <w:pPr>
              <w:adjustRightInd w:val="0"/>
              <w:snapToGrid w:val="0"/>
              <w:jc w:val="center"/>
              <w:rPr>
                <w:rFonts w:ascii="仿宋" w:eastAsia="仿宋" w:cs="仿宋"/>
                <w:bCs/>
                <w:sz w:val="24"/>
                <w:szCs w:val="24"/>
              </w:rPr>
            </w:pPr>
            <w:r>
              <w:rPr>
                <w:rFonts w:hint="eastAsia" w:ascii="仿宋" w:eastAsia="仿宋" w:cs="仿宋"/>
                <w:bCs/>
                <w:sz w:val="24"/>
                <w:szCs w:val="24"/>
              </w:rPr>
              <w:t>支撑课程目标1、2、3</w:t>
            </w:r>
          </w:p>
        </w:tc>
        <w:tc>
          <w:tcPr>
            <w:tcW w:w="64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345B68">
            <w:pPr>
              <w:adjustRightInd w:val="0"/>
              <w:snapToGrid w:val="0"/>
              <w:jc w:val="center"/>
              <w:rPr>
                <w:rFonts w:ascii="仿宋" w:eastAsia="仿宋" w:cs="仿宋"/>
                <w:bCs/>
                <w:sz w:val="24"/>
                <w:szCs w:val="24"/>
              </w:rPr>
            </w:pPr>
            <w:r>
              <w:rPr>
                <w:rFonts w:hint="eastAsia" w:ascii="仿宋" w:eastAsia="仿宋" w:cs="仿宋"/>
                <w:bCs/>
                <w:sz w:val="24"/>
                <w:szCs w:val="24"/>
              </w:rPr>
              <w:t>6</w:t>
            </w:r>
          </w:p>
        </w:tc>
      </w:tr>
      <w:tr w14:paraId="0D19D04E">
        <w:trPr>
          <w:trHeight w:val="0" w:hRule="atLeast"/>
        </w:trPr>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EBDC45"/>
        </w:tc>
        <w:tc>
          <w:tcPr>
            <w:tcW w:w="6491"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D32AE2">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第二学期：</w:t>
            </w:r>
          </w:p>
          <w:p w14:paraId="18374F70">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实训目的：</w:t>
            </w:r>
          </w:p>
          <w:p w14:paraId="3CE98526">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 xml:space="preserve">  掌握七年级上册曲目；</w:t>
            </w:r>
          </w:p>
          <w:p w14:paraId="757F69D6">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实训任务：</w:t>
            </w:r>
          </w:p>
          <w:p w14:paraId="2436D286">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第1-4周</w:t>
            </w:r>
          </w:p>
          <w:p w14:paraId="71793D28">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七年级上册弹唱练习，课堂弹唱抽查指导。</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05DD2C">
            <w:pPr>
              <w:adjustRightInd w:val="0"/>
              <w:snapToGrid w:val="0"/>
              <w:jc w:val="center"/>
              <w:rPr>
                <w:rFonts w:ascii="仿宋" w:eastAsia="仿宋" w:cs="仿宋"/>
                <w:bCs/>
                <w:sz w:val="24"/>
                <w:szCs w:val="24"/>
              </w:rPr>
            </w:pPr>
            <w:r>
              <w:rPr>
                <w:rFonts w:hint="eastAsia" w:ascii="仿宋" w:eastAsia="仿宋" w:cs="仿宋"/>
                <w:bCs/>
                <w:sz w:val="24"/>
                <w:szCs w:val="24"/>
              </w:rPr>
              <w:t>支撑课程目标1、2、3</w:t>
            </w:r>
          </w:p>
        </w:tc>
        <w:tc>
          <w:tcPr>
            <w:tcW w:w="64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74E9B2">
            <w:pPr>
              <w:adjustRightInd w:val="0"/>
              <w:snapToGrid w:val="0"/>
              <w:jc w:val="center"/>
              <w:rPr>
                <w:rFonts w:ascii="仿宋" w:eastAsia="仿宋" w:cs="仿宋"/>
                <w:bCs/>
                <w:sz w:val="24"/>
                <w:szCs w:val="24"/>
              </w:rPr>
            </w:pPr>
            <w:r>
              <w:rPr>
                <w:rFonts w:hint="eastAsia" w:ascii="仿宋" w:eastAsia="仿宋" w:cs="仿宋"/>
                <w:bCs/>
                <w:sz w:val="24"/>
                <w:szCs w:val="24"/>
              </w:rPr>
              <w:t>8</w:t>
            </w:r>
          </w:p>
        </w:tc>
      </w:tr>
      <w:tr w14:paraId="3CCB18FE">
        <w:trPr>
          <w:trHeight w:val="0" w:hRule="atLeast"/>
        </w:trPr>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4B3218"/>
        </w:tc>
        <w:tc>
          <w:tcPr>
            <w:tcW w:w="6491"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0F95E9">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第5-8周</w:t>
            </w:r>
          </w:p>
          <w:p w14:paraId="22F2916A">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实训目的：</w:t>
            </w:r>
          </w:p>
          <w:p w14:paraId="1BAA97F2">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 xml:space="preserve">  继续完成七年级上册弹唱练习；</w:t>
            </w:r>
          </w:p>
          <w:p w14:paraId="1F651A81">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实训任务：</w:t>
            </w:r>
          </w:p>
          <w:p w14:paraId="55610230">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七年级上册弹唱练习，课堂弹唱抽查指导。</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B31E90">
            <w:pPr>
              <w:adjustRightInd w:val="0"/>
              <w:snapToGrid w:val="0"/>
              <w:jc w:val="center"/>
              <w:rPr>
                <w:rFonts w:ascii="仿宋" w:eastAsia="仿宋" w:cs="仿宋"/>
                <w:bCs/>
                <w:sz w:val="24"/>
                <w:szCs w:val="24"/>
              </w:rPr>
            </w:pPr>
            <w:r>
              <w:rPr>
                <w:rFonts w:hint="eastAsia" w:ascii="仿宋" w:eastAsia="仿宋" w:cs="仿宋"/>
                <w:bCs/>
                <w:sz w:val="24"/>
                <w:szCs w:val="24"/>
              </w:rPr>
              <w:t>支撑课程目标1、2、3</w:t>
            </w:r>
          </w:p>
        </w:tc>
        <w:tc>
          <w:tcPr>
            <w:tcW w:w="64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9DCE3E">
            <w:pPr>
              <w:adjustRightInd w:val="0"/>
              <w:snapToGrid w:val="0"/>
              <w:jc w:val="center"/>
              <w:rPr>
                <w:rFonts w:ascii="仿宋" w:eastAsia="仿宋" w:cs="仿宋"/>
                <w:bCs/>
                <w:sz w:val="24"/>
                <w:szCs w:val="24"/>
              </w:rPr>
            </w:pPr>
            <w:r>
              <w:rPr>
                <w:rFonts w:hint="eastAsia" w:ascii="仿宋" w:eastAsia="仿宋" w:cs="仿宋"/>
                <w:bCs/>
                <w:sz w:val="24"/>
                <w:szCs w:val="24"/>
              </w:rPr>
              <w:t>8</w:t>
            </w:r>
          </w:p>
        </w:tc>
      </w:tr>
      <w:tr w14:paraId="00C448F3">
        <w:trPr>
          <w:trHeight w:val="0" w:hRule="atLeast"/>
        </w:trPr>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73A87D"/>
        </w:tc>
        <w:tc>
          <w:tcPr>
            <w:tcW w:w="6491"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D53F16">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第9周</w:t>
            </w:r>
          </w:p>
          <w:p w14:paraId="7F34E7C8">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实训目的：</w:t>
            </w:r>
          </w:p>
          <w:p w14:paraId="6B9A9E26">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 xml:space="preserve">  树立学生对于中国文化的自信和红色文化的认同感，熟悉曲目重难点，初步树立端正的教态，摸索出适合自己的教学流程；</w:t>
            </w:r>
          </w:p>
          <w:p w14:paraId="52DF8B8B">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实训任务：</w:t>
            </w:r>
          </w:p>
          <w:p w14:paraId="45BA9CCD">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课堂分组研讨，课题：《洪湖水，浪打浪》，以集成形式（模拟课堂教学片段）进行结论汇报。</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1CD0CC">
            <w:pPr>
              <w:adjustRightInd w:val="0"/>
              <w:snapToGrid w:val="0"/>
              <w:jc w:val="center"/>
              <w:rPr>
                <w:rFonts w:ascii="仿宋" w:eastAsia="仿宋" w:cs="仿宋"/>
                <w:bCs/>
                <w:sz w:val="24"/>
                <w:szCs w:val="24"/>
              </w:rPr>
            </w:pPr>
            <w:r>
              <w:rPr>
                <w:rFonts w:hint="eastAsia" w:ascii="仿宋" w:eastAsia="仿宋" w:cs="仿宋"/>
                <w:bCs/>
                <w:sz w:val="24"/>
                <w:szCs w:val="24"/>
              </w:rPr>
              <w:t>支撑课程目标1、3</w:t>
            </w:r>
          </w:p>
        </w:tc>
        <w:tc>
          <w:tcPr>
            <w:tcW w:w="64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89D113">
            <w:pPr>
              <w:adjustRightInd w:val="0"/>
              <w:snapToGrid w:val="0"/>
              <w:jc w:val="center"/>
              <w:rPr>
                <w:rFonts w:ascii="仿宋" w:eastAsia="仿宋" w:cs="仿宋"/>
                <w:bCs/>
                <w:sz w:val="24"/>
                <w:szCs w:val="24"/>
              </w:rPr>
            </w:pPr>
            <w:r>
              <w:rPr>
                <w:rFonts w:hint="eastAsia" w:ascii="仿宋" w:eastAsia="仿宋" w:cs="仿宋"/>
                <w:bCs/>
                <w:sz w:val="24"/>
                <w:szCs w:val="24"/>
              </w:rPr>
              <w:t>2</w:t>
            </w:r>
          </w:p>
        </w:tc>
      </w:tr>
      <w:tr w14:paraId="535C7CB5">
        <w:trPr>
          <w:trHeight w:val="0" w:hRule="atLeast"/>
        </w:trPr>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579192"/>
        </w:tc>
        <w:tc>
          <w:tcPr>
            <w:tcW w:w="6491"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C3C855">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第10-13周</w:t>
            </w:r>
          </w:p>
          <w:p w14:paraId="31DAADAE">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实训目的：</w:t>
            </w:r>
          </w:p>
          <w:p w14:paraId="40F98C05">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 xml:space="preserve">  掌握七年级、八年级曲目的弹唱</w:t>
            </w:r>
          </w:p>
          <w:p w14:paraId="19C4FC82">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实训任务：</w:t>
            </w:r>
          </w:p>
          <w:p w14:paraId="4A7BC1EB">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七年级、八年级曲目弹唱练习，课堂弹唱抽查指导。</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309748">
            <w:pPr>
              <w:adjustRightInd w:val="0"/>
              <w:snapToGrid w:val="0"/>
              <w:jc w:val="center"/>
              <w:rPr>
                <w:rFonts w:ascii="仿宋" w:eastAsia="仿宋" w:cs="仿宋"/>
                <w:bCs/>
                <w:sz w:val="24"/>
                <w:szCs w:val="24"/>
              </w:rPr>
            </w:pPr>
            <w:r>
              <w:rPr>
                <w:rFonts w:hint="eastAsia" w:ascii="仿宋" w:eastAsia="仿宋" w:cs="仿宋"/>
                <w:bCs/>
                <w:sz w:val="24"/>
                <w:szCs w:val="24"/>
              </w:rPr>
              <w:t>支撑课程目标1、2、3</w:t>
            </w:r>
          </w:p>
        </w:tc>
        <w:tc>
          <w:tcPr>
            <w:tcW w:w="64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C1B3D7">
            <w:pPr>
              <w:adjustRightInd w:val="0"/>
              <w:snapToGrid w:val="0"/>
              <w:jc w:val="center"/>
              <w:rPr>
                <w:rFonts w:ascii="仿宋" w:eastAsia="仿宋" w:cs="仿宋"/>
                <w:bCs/>
                <w:sz w:val="24"/>
                <w:szCs w:val="24"/>
              </w:rPr>
            </w:pPr>
            <w:r>
              <w:rPr>
                <w:rFonts w:hint="eastAsia" w:ascii="仿宋" w:eastAsia="仿宋" w:cs="仿宋"/>
                <w:bCs/>
                <w:sz w:val="24"/>
                <w:szCs w:val="24"/>
              </w:rPr>
              <w:t>8</w:t>
            </w:r>
          </w:p>
        </w:tc>
      </w:tr>
      <w:tr w14:paraId="16A82DD5">
        <w:trPr>
          <w:trHeight w:val="0" w:hRule="atLeast"/>
        </w:trPr>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873DE7"/>
        </w:tc>
        <w:tc>
          <w:tcPr>
            <w:tcW w:w="6491"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ABEE1B">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第14周</w:t>
            </w:r>
          </w:p>
          <w:p w14:paraId="7E10D110">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实训目的：</w:t>
            </w:r>
          </w:p>
          <w:p w14:paraId="6DB2C1A6">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了解弹唱曲目的文化历史背景、教育意义，树立端正的教态；</w:t>
            </w:r>
          </w:p>
          <w:p w14:paraId="1FC7353A">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实训任务：</w:t>
            </w:r>
          </w:p>
          <w:p w14:paraId="1D2BCA3C">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课堂分组研讨，课题：《梁祝》/《夏日泛舟海上》，以集成形式（模拟课堂教学片段）    进行结论汇报。</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1992C5">
            <w:pPr>
              <w:adjustRightInd w:val="0"/>
              <w:snapToGrid w:val="0"/>
              <w:jc w:val="center"/>
              <w:rPr>
                <w:rFonts w:ascii="仿宋" w:eastAsia="仿宋" w:cs="仿宋"/>
                <w:bCs/>
                <w:sz w:val="24"/>
                <w:szCs w:val="24"/>
              </w:rPr>
            </w:pPr>
            <w:r>
              <w:rPr>
                <w:rFonts w:hint="eastAsia" w:ascii="仿宋" w:eastAsia="仿宋" w:cs="仿宋"/>
                <w:bCs/>
                <w:sz w:val="24"/>
                <w:szCs w:val="24"/>
              </w:rPr>
              <w:t>支撑课程目标1、3</w:t>
            </w:r>
          </w:p>
        </w:tc>
        <w:tc>
          <w:tcPr>
            <w:tcW w:w="64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9A7C30">
            <w:pPr>
              <w:adjustRightInd w:val="0"/>
              <w:snapToGrid w:val="0"/>
              <w:jc w:val="center"/>
              <w:rPr>
                <w:rFonts w:ascii="仿宋" w:eastAsia="仿宋" w:cs="仿宋"/>
                <w:bCs/>
                <w:sz w:val="24"/>
                <w:szCs w:val="24"/>
              </w:rPr>
            </w:pPr>
            <w:r>
              <w:rPr>
                <w:rFonts w:hint="eastAsia" w:ascii="仿宋" w:eastAsia="仿宋" w:cs="仿宋"/>
                <w:bCs/>
                <w:sz w:val="24"/>
                <w:szCs w:val="24"/>
              </w:rPr>
              <w:t>2</w:t>
            </w:r>
          </w:p>
        </w:tc>
      </w:tr>
      <w:tr w14:paraId="70778E1B">
        <w:trPr>
          <w:trHeight w:val="0" w:hRule="atLeast"/>
        </w:trPr>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C9056E"/>
        </w:tc>
        <w:tc>
          <w:tcPr>
            <w:tcW w:w="6491"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0C682D">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第15-16周</w:t>
            </w:r>
          </w:p>
          <w:p w14:paraId="69D24CDE">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实训目的：</w:t>
            </w:r>
          </w:p>
          <w:p w14:paraId="14817EA3">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 xml:space="preserve">  掌握八、九年级曲目的；弹唱</w:t>
            </w:r>
          </w:p>
          <w:p w14:paraId="4C6BF979">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实训任务：</w:t>
            </w:r>
          </w:p>
          <w:p w14:paraId="66593ED2">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八、九年级曲目弹唱练习，课堂弹唱抽查指导。</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497F5C">
            <w:pPr>
              <w:adjustRightInd w:val="0"/>
              <w:snapToGrid w:val="0"/>
              <w:jc w:val="center"/>
              <w:rPr>
                <w:rFonts w:ascii="仿宋" w:eastAsia="仿宋" w:cs="仿宋"/>
                <w:bCs/>
                <w:sz w:val="24"/>
                <w:szCs w:val="24"/>
              </w:rPr>
            </w:pPr>
            <w:r>
              <w:rPr>
                <w:rFonts w:hint="eastAsia" w:ascii="仿宋" w:eastAsia="仿宋" w:cs="仿宋"/>
                <w:bCs/>
                <w:sz w:val="24"/>
                <w:szCs w:val="24"/>
              </w:rPr>
              <w:t>支撑课程目标1、2、3</w:t>
            </w:r>
          </w:p>
        </w:tc>
        <w:tc>
          <w:tcPr>
            <w:tcW w:w="64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8B1CA3">
            <w:pPr>
              <w:adjustRightInd w:val="0"/>
              <w:snapToGrid w:val="0"/>
              <w:jc w:val="center"/>
              <w:rPr>
                <w:rFonts w:ascii="仿宋" w:eastAsia="仿宋" w:cs="仿宋"/>
                <w:bCs/>
                <w:sz w:val="24"/>
                <w:szCs w:val="24"/>
              </w:rPr>
            </w:pPr>
            <w:r>
              <w:rPr>
                <w:rFonts w:hint="eastAsia" w:ascii="仿宋" w:eastAsia="仿宋" w:cs="仿宋"/>
                <w:bCs/>
                <w:sz w:val="24"/>
                <w:szCs w:val="24"/>
              </w:rPr>
              <w:t>4</w:t>
            </w:r>
          </w:p>
        </w:tc>
      </w:tr>
      <w:tr w14:paraId="4F337E02">
        <w:trPr>
          <w:trHeight w:val="0" w:hRule="atLeast"/>
        </w:trPr>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23FE04"/>
        </w:tc>
        <w:tc>
          <w:tcPr>
            <w:tcW w:w="7713" w:type="dxa"/>
            <w:gridSpan w:val="1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0F97E3">
            <w:pPr>
              <w:spacing w:line="280" w:lineRule="exact"/>
              <w:jc w:val="center"/>
              <w:rPr>
                <w:rFonts w:ascii="仿宋" w:eastAsia="仿宋" w:cs="仿宋"/>
                <w:kern w:val="2"/>
                <w:sz w:val="24"/>
              </w:rPr>
            </w:pPr>
            <w:r>
              <w:rPr>
                <w:rFonts w:hint="eastAsia" w:ascii="仿宋" w:eastAsia="仿宋" w:cs="仿宋"/>
                <w:kern w:val="2"/>
                <w:sz w:val="24"/>
              </w:rPr>
              <w:t>合计</w:t>
            </w:r>
          </w:p>
        </w:tc>
        <w:tc>
          <w:tcPr>
            <w:tcW w:w="64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C9E3B1">
            <w:pPr>
              <w:spacing w:line="280" w:lineRule="exact"/>
              <w:jc w:val="center"/>
              <w:rPr>
                <w:rFonts w:ascii="仿宋" w:eastAsia="仿宋" w:cs="仿宋"/>
                <w:kern w:val="2"/>
                <w:sz w:val="24"/>
              </w:rPr>
            </w:pPr>
            <w:r>
              <w:rPr>
                <w:rFonts w:hint="eastAsia" w:ascii="仿宋" w:eastAsia="仿宋" w:cs="仿宋"/>
                <w:kern w:val="2"/>
                <w:sz w:val="24"/>
              </w:rPr>
              <w:t>64</w:t>
            </w:r>
          </w:p>
        </w:tc>
      </w:tr>
      <w:tr w14:paraId="3FF7F505">
        <w:trPr>
          <w:trHeight w:val="0" w:hRule="atLeast"/>
        </w:trPr>
        <w:tc>
          <w:tcPr>
            <w:tcW w:w="1060" w:type="dxa"/>
            <w:tcBorders>
              <w:top w:val="single" w:color="000000" w:sz="4" w:space="0"/>
              <w:left w:val="single" w:color="000000" w:sz="4" w:space="0"/>
              <w:bottom w:val="single" w:color="000000" w:sz="4" w:space="0"/>
              <w:right w:val="single" w:color="000000" w:sz="4" w:space="0"/>
            </w:tcBorders>
            <w:noWrap w:val="0"/>
            <w:vAlign w:val="center"/>
          </w:tcPr>
          <w:p w14:paraId="3B67588D">
            <w:pPr>
              <w:spacing w:line="280" w:lineRule="exact"/>
              <w:jc w:val="center"/>
              <w:rPr>
                <w:rFonts w:ascii="仿宋" w:eastAsia="仿宋" w:cs="仿宋"/>
                <w:kern w:val="2"/>
                <w:sz w:val="24"/>
              </w:rPr>
            </w:pPr>
            <w:r>
              <w:rPr>
                <w:rFonts w:hint="eastAsia" w:ascii="仿宋" w:eastAsia="仿宋" w:cs="仿宋"/>
                <w:kern w:val="2"/>
                <w:sz w:val="24"/>
              </w:rPr>
              <w:t>I</w:t>
            </w:r>
          </w:p>
          <w:p w14:paraId="7BDDD6AB">
            <w:pPr>
              <w:spacing w:line="280" w:lineRule="exact"/>
              <w:jc w:val="center"/>
              <w:rPr>
                <w:rFonts w:ascii="仿宋" w:eastAsia="仿宋" w:cs="仿宋"/>
                <w:kern w:val="2"/>
                <w:sz w:val="24"/>
                <w:lang w:eastAsia="zh-TW"/>
              </w:rPr>
            </w:pPr>
            <w:r>
              <w:rPr>
                <w:rFonts w:hint="eastAsia" w:ascii="仿宋" w:eastAsia="仿宋" w:cs="仿宋"/>
                <w:kern w:val="2"/>
                <w:sz w:val="24"/>
              </w:rPr>
              <w:t>教学方法与教学方式</w:t>
            </w:r>
          </w:p>
        </w:tc>
        <w:tc>
          <w:tcPr>
            <w:tcW w:w="8358" w:type="dxa"/>
            <w:gridSpan w:val="14"/>
            <w:tcBorders>
              <w:top w:val="single" w:color="000000" w:sz="4" w:space="0"/>
              <w:left w:val="single" w:color="000000" w:sz="4" w:space="0"/>
              <w:bottom w:val="single" w:color="000000" w:sz="4" w:space="0"/>
              <w:right w:val="single" w:color="000000" w:sz="4" w:space="0"/>
            </w:tcBorders>
            <w:noWrap w:val="0"/>
            <w:vAlign w:val="center"/>
          </w:tcPr>
          <w:p w14:paraId="057930C5">
            <w:pPr>
              <w:rPr>
                <w:rFonts w:ascii="仿宋" w:eastAsia="仿宋" w:cs="仿宋"/>
                <w:kern w:val="2"/>
                <w:sz w:val="24"/>
                <w:szCs w:val="24"/>
              </w:rPr>
            </w:pPr>
            <w:r>
              <w:rPr>
                <w:rFonts w:hint="eastAsia" w:ascii="仿宋" w:eastAsia="仿宋" w:cs="仿宋"/>
                <w:kern w:val="2"/>
                <w:sz w:val="24"/>
                <w:szCs w:val="24"/>
              </w:rPr>
              <w:t>1.本课程采用混合式教学，线上教学利用学习通平台建立的《幼儿行为观察》课程资源，要求学生根据教师布置的学习任务自主对照学习，完成相关的线上学习任务。线下教学采用多媒体授课，注重多种不同的实践教学形式。通过案例分析、分组合作、小组汇报等方式，让课堂教学变为师生互动、生生互动的过程。</w:t>
            </w:r>
          </w:p>
          <w:p w14:paraId="03BBC510">
            <w:pPr>
              <w:rPr>
                <w:rFonts w:ascii="仿宋" w:eastAsia="仿宋" w:cs="仿宋"/>
                <w:kern w:val="2"/>
                <w:sz w:val="24"/>
                <w:szCs w:val="24"/>
              </w:rPr>
            </w:pPr>
            <w:r>
              <w:rPr>
                <w:rFonts w:hint="eastAsia" w:ascii="仿宋" w:eastAsia="仿宋" w:cs="仿宋"/>
                <w:kern w:val="2"/>
                <w:sz w:val="24"/>
                <w:szCs w:val="24"/>
              </w:rPr>
              <w:t>2．开通在线微信群服务，达到与学生及时沟通、交流的目的，能及时答疑解惑，将课堂教学延伸到课外辅导。</w:t>
            </w:r>
          </w:p>
          <w:p w14:paraId="74DCF345">
            <w:pPr>
              <w:rPr>
                <w:rFonts w:ascii="仿宋" w:eastAsia="仿宋" w:cs="仿宋"/>
                <w:kern w:val="2"/>
                <w:sz w:val="24"/>
                <w:szCs w:val="24"/>
              </w:rPr>
            </w:pPr>
            <w:r>
              <w:rPr>
                <w:rFonts w:hint="eastAsia" w:ascii="仿宋" w:eastAsia="仿宋" w:cs="仿宋"/>
                <w:kern w:val="2"/>
                <w:sz w:val="24"/>
                <w:szCs w:val="24"/>
              </w:rPr>
              <w:t>3.本门课程的主要方式：</w:t>
            </w:r>
          </w:p>
          <w:p w14:paraId="0183F325">
            <w:pPr>
              <w:rPr>
                <w:rFonts w:ascii="仿宋" w:eastAsia="仿宋" w:cs="仿宋"/>
                <w:kern w:val="2"/>
                <w:sz w:val="24"/>
                <w:szCs w:val="24"/>
              </w:rPr>
            </w:pPr>
            <w:r>
              <w:rPr>
                <w:rFonts w:ascii="Wingdings" w:hAnsi="Wingdings" w:eastAsia="仿宋" w:cs="仿宋"/>
                <w:kern w:val="2"/>
                <w:sz w:val="24"/>
                <w:szCs w:val="24"/>
              </w:rPr>
              <w:t></w:t>
            </w:r>
            <w:r>
              <w:rPr>
                <w:rFonts w:hint="eastAsia" w:ascii="仿宋" w:eastAsia="仿宋" w:cs="仿宋"/>
                <w:kern w:val="2"/>
                <w:sz w:val="24"/>
                <w:szCs w:val="24"/>
              </w:rPr>
              <w:t xml:space="preserve">讲授  </w:t>
            </w:r>
            <w:r>
              <w:rPr>
                <w:rFonts w:ascii="Wingdings" w:hAnsi="Wingdings" w:eastAsia="仿宋" w:cs="仿宋"/>
                <w:kern w:val="2"/>
                <w:sz w:val="24"/>
                <w:szCs w:val="24"/>
              </w:rPr>
              <w:t></w:t>
            </w:r>
            <w:r>
              <w:rPr>
                <w:rFonts w:hint="eastAsia" w:ascii="仿宋" w:eastAsia="仿宋" w:cs="仿宋"/>
                <w:kern w:val="2"/>
                <w:sz w:val="24"/>
                <w:szCs w:val="24"/>
              </w:rPr>
              <w:t xml:space="preserve">网络学习  </w:t>
            </w:r>
            <w:r>
              <w:rPr>
                <w:rFonts w:ascii="Wingdings" w:hAnsi="Wingdings" w:eastAsia="仿宋" w:cs="仿宋"/>
                <w:kern w:val="2"/>
                <w:sz w:val="24"/>
                <w:szCs w:val="24"/>
              </w:rPr>
              <w:t></w:t>
            </w:r>
            <w:r>
              <w:rPr>
                <w:rFonts w:hint="eastAsia" w:ascii="仿宋" w:eastAsia="仿宋" w:cs="仿宋"/>
                <w:kern w:val="2"/>
                <w:sz w:val="24"/>
                <w:szCs w:val="24"/>
              </w:rPr>
              <w:t xml:space="preserve">讨论或座谈  </w:t>
            </w:r>
            <w:r>
              <w:rPr>
                <w:rFonts w:ascii="Wingdings" w:hAnsi="Wingdings" w:eastAsia="仿宋" w:cs="仿宋"/>
                <w:kern w:val="2"/>
                <w:sz w:val="24"/>
                <w:szCs w:val="24"/>
              </w:rPr>
              <w:t></w:t>
            </w:r>
            <w:r>
              <w:rPr>
                <w:rFonts w:hint="eastAsia" w:ascii="仿宋" w:eastAsia="仿宋" w:cs="仿宋"/>
                <w:kern w:val="2"/>
                <w:sz w:val="24"/>
                <w:szCs w:val="24"/>
              </w:rPr>
              <w:t xml:space="preserve">问题导向学习  </w:t>
            </w:r>
          </w:p>
          <w:p w14:paraId="221354E9">
            <w:pPr>
              <w:rPr>
                <w:rFonts w:ascii="仿宋" w:eastAsia="仿宋" w:cs="仿宋"/>
                <w:kern w:val="2"/>
                <w:sz w:val="24"/>
                <w:szCs w:val="24"/>
              </w:rPr>
            </w:pPr>
            <w:r>
              <w:rPr>
                <w:rFonts w:ascii="Wingdings" w:hAnsi="Wingdings" w:eastAsia="仿宋" w:cs="仿宋"/>
                <w:kern w:val="2"/>
                <w:sz w:val="24"/>
                <w:szCs w:val="24"/>
              </w:rPr>
              <w:t></w:t>
            </w:r>
            <w:r>
              <w:rPr>
                <w:rFonts w:hint="eastAsia" w:ascii="仿宋" w:eastAsia="仿宋" w:cs="仿宋"/>
                <w:kern w:val="2"/>
                <w:sz w:val="24"/>
                <w:szCs w:val="24"/>
              </w:rPr>
              <w:t xml:space="preserve">分组合作学习  </w:t>
            </w:r>
            <w:r>
              <w:rPr>
                <w:rFonts w:ascii="Wingdings" w:hAnsi="Wingdings" w:eastAsia="仿宋" w:cs="仿宋"/>
                <w:kern w:val="2"/>
                <w:sz w:val="24"/>
                <w:szCs w:val="24"/>
              </w:rPr>
              <w:t></w:t>
            </w:r>
            <w:r>
              <w:rPr>
                <w:rFonts w:hint="eastAsia" w:ascii="仿宋" w:eastAsia="仿宋" w:cs="仿宋"/>
                <w:kern w:val="2"/>
                <w:sz w:val="24"/>
                <w:szCs w:val="24"/>
              </w:rPr>
              <w:t xml:space="preserve">专题学习   </w:t>
            </w:r>
            <w:r>
              <w:rPr>
                <w:rFonts w:ascii="Wingdings" w:hAnsi="Wingdings" w:eastAsia="仿宋" w:cs="仿宋"/>
                <w:kern w:val="2"/>
                <w:sz w:val="24"/>
                <w:szCs w:val="24"/>
              </w:rPr>
              <w:t></w:t>
            </w:r>
            <w:r>
              <w:rPr>
                <w:rFonts w:hint="eastAsia" w:ascii="仿宋" w:eastAsia="仿宋" w:cs="仿宋"/>
                <w:kern w:val="2"/>
                <w:sz w:val="24"/>
                <w:szCs w:val="24"/>
              </w:rPr>
              <w:t xml:space="preserve">实作学习  </w:t>
            </w:r>
            <w:r>
              <w:rPr>
                <w:rFonts w:ascii="Wingdings" w:hAnsi="Wingdings" w:eastAsia="仿宋" w:cs="仿宋"/>
                <w:kern w:val="2"/>
                <w:sz w:val="24"/>
                <w:szCs w:val="24"/>
              </w:rPr>
              <w:t></w:t>
            </w:r>
            <w:r>
              <w:rPr>
                <w:rFonts w:hint="eastAsia" w:ascii="仿宋" w:eastAsia="仿宋" w:cs="仿宋"/>
                <w:kern w:val="2"/>
                <w:sz w:val="24"/>
                <w:szCs w:val="24"/>
              </w:rPr>
              <w:t xml:space="preserve">发表学习  </w:t>
            </w:r>
          </w:p>
          <w:p w14:paraId="19421D9C">
            <w:pPr>
              <w:spacing w:line="280" w:lineRule="exact"/>
              <w:rPr>
                <w:rFonts w:ascii="仿宋" w:eastAsia="仿宋" w:cs="仿宋"/>
                <w:kern w:val="2"/>
                <w:sz w:val="24"/>
              </w:rPr>
            </w:pPr>
            <w:r>
              <w:rPr>
                <w:rFonts w:ascii="Wingdings" w:hAnsi="Wingdings" w:eastAsia="仿宋" w:cs="仿宋"/>
                <w:kern w:val="2"/>
                <w:sz w:val="24"/>
                <w:szCs w:val="24"/>
              </w:rPr>
              <w:t></w:t>
            </w:r>
            <w:r>
              <w:rPr>
                <w:rFonts w:hint="eastAsia" w:ascii="仿宋" w:eastAsia="仿宋" w:cs="仿宋"/>
                <w:kern w:val="2"/>
                <w:sz w:val="24"/>
                <w:szCs w:val="24"/>
              </w:rPr>
              <w:t xml:space="preserve">实习  </w:t>
            </w:r>
            <w:r>
              <w:rPr>
                <w:rFonts w:ascii="Wingdings" w:hAnsi="Wingdings" w:eastAsia="仿宋" w:cs="仿宋"/>
                <w:kern w:val="2"/>
                <w:sz w:val="24"/>
                <w:szCs w:val="24"/>
              </w:rPr>
              <w:t></w:t>
            </w:r>
            <w:r>
              <w:rPr>
                <w:rFonts w:hint="eastAsia" w:ascii="仿宋" w:eastAsia="仿宋" w:cs="仿宋"/>
                <w:kern w:val="2"/>
                <w:sz w:val="24"/>
                <w:szCs w:val="24"/>
              </w:rPr>
              <w:t xml:space="preserve">参观访问  </w:t>
            </w:r>
            <w:r>
              <w:rPr>
                <w:rFonts w:ascii="Wingdings" w:hAnsi="Wingdings" w:eastAsia="仿宋" w:cs="仿宋"/>
                <w:kern w:val="2"/>
                <w:sz w:val="24"/>
                <w:szCs w:val="24"/>
              </w:rPr>
              <w:t></w:t>
            </w:r>
            <w:r>
              <w:rPr>
                <w:rFonts w:hint="eastAsia" w:ascii="仿宋" w:eastAsia="仿宋" w:cs="仿宋"/>
                <w:kern w:val="2"/>
                <w:sz w:val="24"/>
                <w:szCs w:val="24"/>
              </w:rPr>
              <w:t>其它：(期末各小组汇报、口头训练等)</w:t>
            </w:r>
          </w:p>
        </w:tc>
      </w:tr>
      <w:tr w14:paraId="07DB3E1C">
        <w:trPr>
          <w:trHeight w:val="0" w:hRule="atLeast"/>
        </w:trPr>
        <w:tc>
          <w:tcPr>
            <w:tcW w:w="1060" w:type="dxa"/>
            <w:tcBorders>
              <w:top w:val="single" w:color="000000" w:sz="4" w:space="0"/>
              <w:left w:val="single" w:color="000000" w:sz="4" w:space="0"/>
              <w:bottom w:val="single" w:color="000000" w:sz="4" w:space="0"/>
              <w:right w:val="single" w:color="000000" w:sz="4" w:space="0"/>
            </w:tcBorders>
            <w:noWrap w:val="0"/>
            <w:vAlign w:val="center"/>
          </w:tcPr>
          <w:p w14:paraId="51D5FA97">
            <w:pPr>
              <w:spacing w:line="280" w:lineRule="exact"/>
              <w:jc w:val="center"/>
              <w:rPr>
                <w:rFonts w:ascii="仿宋" w:eastAsia="仿宋" w:cs="仿宋"/>
                <w:kern w:val="2"/>
                <w:sz w:val="24"/>
              </w:rPr>
            </w:pPr>
            <w:r>
              <w:rPr>
                <w:rFonts w:hint="eastAsia" w:ascii="仿宋" w:eastAsia="仿宋" w:cs="仿宋"/>
                <w:kern w:val="2"/>
                <w:sz w:val="24"/>
              </w:rPr>
              <w:t>J</w:t>
            </w:r>
          </w:p>
          <w:p w14:paraId="1D85AB64">
            <w:pPr>
              <w:spacing w:line="280" w:lineRule="exact"/>
              <w:jc w:val="center"/>
              <w:rPr>
                <w:rFonts w:ascii="仿宋" w:eastAsia="仿宋" w:cs="仿宋"/>
                <w:kern w:val="2"/>
                <w:sz w:val="24"/>
              </w:rPr>
            </w:pPr>
            <w:r>
              <w:rPr>
                <w:rFonts w:hint="eastAsia" w:ascii="仿宋" w:eastAsia="仿宋" w:cs="仿宋"/>
                <w:kern w:val="2"/>
                <w:sz w:val="24"/>
              </w:rPr>
              <w:t>教学条件</w:t>
            </w:r>
          </w:p>
          <w:p w14:paraId="17ED7A75">
            <w:pPr>
              <w:spacing w:line="280" w:lineRule="exact"/>
              <w:jc w:val="center"/>
              <w:rPr>
                <w:rFonts w:ascii="仿宋" w:eastAsia="仿宋" w:cs="仿宋"/>
                <w:kern w:val="2"/>
                <w:sz w:val="24"/>
              </w:rPr>
            </w:pPr>
            <w:r>
              <w:rPr>
                <w:rFonts w:hint="eastAsia" w:ascii="仿宋" w:eastAsia="仿宋" w:cs="仿宋"/>
                <w:kern w:val="2"/>
                <w:sz w:val="24"/>
              </w:rPr>
              <w:t>需求</w:t>
            </w:r>
          </w:p>
        </w:tc>
        <w:tc>
          <w:tcPr>
            <w:tcW w:w="8358" w:type="dxa"/>
            <w:gridSpan w:val="14"/>
            <w:tcBorders>
              <w:top w:val="single" w:color="000000" w:sz="4" w:space="0"/>
              <w:left w:val="single" w:color="000000" w:sz="4" w:space="0"/>
              <w:bottom w:val="single" w:color="000000" w:sz="4" w:space="0"/>
              <w:right w:val="single" w:color="000000" w:sz="4" w:space="0"/>
            </w:tcBorders>
            <w:noWrap w:val="0"/>
            <w:vAlign w:val="center"/>
          </w:tcPr>
          <w:p w14:paraId="2AD18BC2">
            <w:pPr>
              <w:tabs>
                <w:tab w:val="left" w:pos="720"/>
              </w:tabs>
              <w:rPr>
                <w:rFonts w:ascii="仿宋" w:eastAsia="仿宋" w:cs="仿宋"/>
                <w:szCs w:val="21"/>
              </w:rPr>
            </w:pPr>
            <w:r>
              <w:rPr>
                <w:rFonts w:hint="eastAsia" w:ascii="仿宋" w:eastAsia="仿宋" w:cs="仿宋"/>
                <w:szCs w:val="21"/>
              </w:rPr>
              <w:t>安排多媒体教室、活动教室</w:t>
            </w:r>
          </w:p>
        </w:tc>
      </w:tr>
      <w:tr w14:paraId="6C86B9A4">
        <w:trPr>
          <w:trHeight w:val="0" w:hRule="atLeast"/>
        </w:trPr>
        <w:tc>
          <w:tcPr>
            <w:tcW w:w="1060" w:type="dxa"/>
            <w:vMerge w:val="restart"/>
            <w:tcBorders>
              <w:top w:val="single" w:color="000000" w:sz="4" w:space="0"/>
              <w:left w:val="single" w:color="000000" w:sz="4" w:space="0"/>
              <w:bottom w:val="single" w:color="000000" w:sz="4" w:space="0"/>
              <w:right w:val="single" w:color="000000" w:sz="4" w:space="0"/>
            </w:tcBorders>
            <w:noWrap w:val="0"/>
            <w:vAlign w:val="center"/>
          </w:tcPr>
          <w:p w14:paraId="7A003F08">
            <w:pPr>
              <w:spacing w:line="280" w:lineRule="exact"/>
              <w:jc w:val="center"/>
              <w:rPr>
                <w:rFonts w:ascii="仿宋" w:eastAsia="仿宋" w:cs="仿宋"/>
                <w:kern w:val="2"/>
                <w:sz w:val="24"/>
              </w:rPr>
            </w:pPr>
            <w:r>
              <w:rPr>
                <w:rFonts w:hint="eastAsia" w:ascii="仿宋" w:eastAsia="仿宋" w:cs="仿宋"/>
                <w:kern w:val="2"/>
                <w:sz w:val="24"/>
              </w:rPr>
              <w:t>K</w:t>
            </w:r>
          </w:p>
          <w:p w14:paraId="01BA555B">
            <w:pPr>
              <w:spacing w:line="280" w:lineRule="exact"/>
              <w:jc w:val="center"/>
              <w:rPr>
                <w:rFonts w:ascii="仿宋" w:eastAsia="仿宋" w:cs="仿宋"/>
                <w:kern w:val="2"/>
                <w:sz w:val="24"/>
              </w:rPr>
            </w:pPr>
            <w:r>
              <w:rPr>
                <w:rFonts w:hint="eastAsia" w:ascii="仿宋" w:eastAsia="仿宋" w:cs="仿宋"/>
                <w:kern w:val="2"/>
                <w:sz w:val="24"/>
              </w:rPr>
              <w:t>课程目标及其考核内容、考核方式及评分占比</w:t>
            </w:r>
          </w:p>
        </w:tc>
        <w:tc>
          <w:tcPr>
            <w:tcW w:w="132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992DDC4">
            <w:pPr>
              <w:spacing w:line="280" w:lineRule="exact"/>
              <w:rPr>
                <w:rFonts w:ascii="仿宋" w:eastAsia="仿宋" w:cs="仿宋"/>
                <w:kern w:val="2"/>
                <w:sz w:val="24"/>
              </w:rPr>
            </w:pPr>
            <w:r>
              <w:rPr>
                <w:rFonts w:hint="eastAsia" w:ascii="仿宋" w:eastAsia="仿宋" w:cs="仿宋"/>
                <w:kern w:val="2"/>
                <w:sz w:val="24"/>
              </w:rPr>
              <w:t>课程目标及评分占比</w:t>
            </w:r>
          </w:p>
        </w:tc>
        <w:tc>
          <w:tcPr>
            <w:tcW w:w="3773" w:type="dxa"/>
            <w:gridSpan w:val="6"/>
            <w:vMerge w:val="restart"/>
            <w:tcBorders>
              <w:top w:val="single" w:color="000000" w:sz="4" w:space="0"/>
              <w:left w:val="single" w:color="000000" w:sz="4" w:space="0"/>
              <w:bottom w:val="single" w:color="000000" w:sz="4" w:space="0"/>
              <w:right w:val="single" w:color="000000" w:sz="4" w:space="0"/>
            </w:tcBorders>
            <w:noWrap w:val="0"/>
            <w:vAlign w:val="center"/>
          </w:tcPr>
          <w:p w14:paraId="7D22B415">
            <w:pPr>
              <w:tabs>
                <w:tab w:val="left" w:pos="720"/>
              </w:tabs>
              <w:spacing w:line="280" w:lineRule="exact"/>
              <w:jc w:val="center"/>
              <w:rPr>
                <w:rFonts w:ascii="仿宋" w:eastAsia="仿宋" w:cs="仿宋"/>
                <w:kern w:val="2"/>
                <w:sz w:val="24"/>
              </w:rPr>
            </w:pPr>
            <w:r>
              <w:rPr>
                <w:rFonts w:hint="eastAsia" w:ascii="仿宋" w:eastAsia="仿宋" w:cs="仿宋"/>
                <w:kern w:val="2"/>
                <w:sz w:val="24"/>
              </w:rPr>
              <w:t>考核内容</w:t>
            </w:r>
          </w:p>
        </w:tc>
        <w:tc>
          <w:tcPr>
            <w:tcW w:w="2619" w:type="dxa"/>
            <w:gridSpan w:val="5"/>
            <w:tcBorders>
              <w:top w:val="single" w:color="000000" w:sz="4" w:space="0"/>
              <w:left w:val="single" w:color="000000" w:sz="4" w:space="0"/>
              <w:bottom w:val="single" w:color="000000" w:sz="4" w:space="0"/>
              <w:right w:val="single" w:color="000000" w:sz="4" w:space="0"/>
            </w:tcBorders>
            <w:noWrap w:val="0"/>
            <w:vAlign w:val="center"/>
          </w:tcPr>
          <w:p w14:paraId="30F100DA">
            <w:pPr>
              <w:spacing w:line="280" w:lineRule="exact"/>
              <w:jc w:val="center"/>
              <w:rPr>
                <w:rFonts w:ascii="仿宋" w:eastAsia="仿宋" w:cs="仿宋"/>
                <w:kern w:val="2"/>
                <w:sz w:val="24"/>
              </w:rPr>
            </w:pPr>
            <w:r>
              <w:rPr>
                <w:rFonts w:hint="eastAsia" w:ascii="仿宋" w:eastAsia="仿宋" w:cs="仿宋"/>
                <w:kern w:val="2"/>
                <w:sz w:val="24"/>
              </w:rPr>
              <w:t>考核方式</w:t>
            </w:r>
          </w:p>
        </w:tc>
        <w:tc>
          <w:tcPr>
            <w:tcW w:w="645" w:type="dxa"/>
            <w:vMerge w:val="restart"/>
            <w:tcBorders>
              <w:top w:val="single" w:color="000000" w:sz="4" w:space="0"/>
              <w:left w:val="single" w:color="000000" w:sz="4" w:space="0"/>
              <w:bottom w:val="single" w:color="000000" w:sz="4" w:space="0"/>
              <w:right w:val="single" w:color="000000" w:sz="4" w:space="0"/>
            </w:tcBorders>
            <w:noWrap w:val="0"/>
            <w:vAlign w:val="center"/>
          </w:tcPr>
          <w:p w14:paraId="798DAE4F">
            <w:pPr>
              <w:tabs>
                <w:tab w:val="left" w:pos="720"/>
              </w:tabs>
              <w:spacing w:line="280" w:lineRule="exact"/>
              <w:jc w:val="center"/>
              <w:rPr>
                <w:rFonts w:ascii="仿宋" w:eastAsia="仿宋" w:cs="仿宋"/>
                <w:kern w:val="2"/>
                <w:sz w:val="24"/>
              </w:rPr>
            </w:pPr>
            <w:r>
              <w:rPr>
                <w:rFonts w:hint="eastAsia" w:ascii="仿宋" w:eastAsia="仿宋" w:cs="仿宋"/>
                <w:kern w:val="2"/>
                <w:sz w:val="24"/>
              </w:rPr>
              <w:t>课程分目标的达成度</w:t>
            </w:r>
          </w:p>
        </w:tc>
      </w:tr>
      <w:tr w14:paraId="09789A02">
        <w:trPr>
          <w:trHeight w:val="0" w:hRule="atLeast"/>
        </w:trPr>
        <w:tc>
          <w:tcPr>
            <w:tcW w:w="10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66F635"/>
        </w:tc>
        <w:tc>
          <w:tcPr>
            <w:tcW w:w="132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4096C8E"/>
        </w:tc>
        <w:tc>
          <w:tcPr>
            <w:tcW w:w="3773" w:type="dxa"/>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559385A9"/>
        </w:tc>
        <w:tc>
          <w:tcPr>
            <w:tcW w:w="873" w:type="dxa"/>
            <w:gridSpan w:val="2"/>
            <w:tcBorders>
              <w:top w:val="single" w:color="000000" w:sz="4" w:space="0"/>
              <w:left w:val="single" w:color="000000" w:sz="4" w:space="0"/>
              <w:bottom w:val="single" w:color="000000" w:sz="4" w:space="0"/>
              <w:right w:val="single" w:color="000000" w:sz="4" w:space="0"/>
            </w:tcBorders>
            <w:noWrap w:val="0"/>
            <w:vAlign w:val="center"/>
          </w:tcPr>
          <w:p w14:paraId="7804C8ED">
            <w:pPr>
              <w:adjustRightInd w:val="0"/>
              <w:snapToGrid w:val="0"/>
              <w:jc w:val="center"/>
              <w:rPr>
                <w:rFonts w:ascii="仿宋" w:eastAsia="仿宋" w:cs="仿宋"/>
                <w:sz w:val="24"/>
                <w:szCs w:val="24"/>
              </w:rPr>
            </w:pPr>
            <w:r>
              <w:rPr>
                <w:rFonts w:hint="eastAsia" w:ascii="仿宋" w:eastAsia="仿宋" w:cs="仿宋"/>
                <w:sz w:val="24"/>
                <w:szCs w:val="24"/>
                <w:lang w:val="en-US" w:eastAsia="zh-CN"/>
              </w:rPr>
              <w:t>平时</w:t>
            </w:r>
            <w:r>
              <w:rPr>
                <w:rFonts w:hint="eastAsia" w:ascii="仿宋" w:eastAsia="仿宋" w:cs="仿宋"/>
                <w:sz w:val="24"/>
                <w:szCs w:val="24"/>
              </w:rPr>
              <w:t>评分占比（</w:t>
            </w:r>
            <w:r>
              <w:rPr>
                <w:rFonts w:ascii="仿宋" w:eastAsia="仿宋" w:cs="仿宋"/>
                <w:sz w:val="24"/>
                <w:szCs w:val="24"/>
              </w:rPr>
              <w:t>2</w:t>
            </w:r>
            <w:r>
              <w:rPr>
                <w:rFonts w:hint="eastAsia" w:ascii="仿宋" w:eastAsia="仿宋" w:cs="仿宋"/>
                <w:sz w:val="24"/>
                <w:szCs w:val="24"/>
              </w:rPr>
              <w:t>0%）</w:t>
            </w:r>
          </w:p>
        </w:tc>
        <w:tc>
          <w:tcPr>
            <w:tcW w:w="873" w:type="dxa"/>
            <w:gridSpan w:val="2"/>
            <w:tcBorders>
              <w:top w:val="single" w:color="000000" w:sz="4" w:space="0"/>
              <w:left w:val="single" w:color="000000" w:sz="4" w:space="0"/>
              <w:bottom w:val="single" w:color="000000" w:sz="4" w:space="0"/>
              <w:right w:val="single" w:color="000000" w:sz="4" w:space="0"/>
            </w:tcBorders>
            <w:noWrap w:val="0"/>
            <w:vAlign w:val="center"/>
          </w:tcPr>
          <w:p w14:paraId="12085027">
            <w:pPr>
              <w:adjustRightInd w:val="0"/>
              <w:snapToGrid w:val="0"/>
              <w:jc w:val="center"/>
              <w:rPr>
                <w:rFonts w:ascii="仿宋" w:eastAsia="仿宋" w:cs="仿宋"/>
                <w:sz w:val="24"/>
                <w:szCs w:val="24"/>
              </w:rPr>
            </w:pPr>
            <w:r>
              <w:rPr>
                <w:rFonts w:hint="eastAsia" w:ascii="仿宋" w:eastAsia="仿宋" w:cs="仿宋"/>
                <w:sz w:val="24"/>
                <w:szCs w:val="24"/>
                <w:lang w:val="en-US" w:eastAsia="zh-CN"/>
              </w:rPr>
              <w:t>期中</w:t>
            </w:r>
            <w:r>
              <w:rPr>
                <w:rFonts w:hint="eastAsia" w:ascii="仿宋" w:eastAsia="仿宋" w:cs="仿宋"/>
                <w:sz w:val="24"/>
                <w:szCs w:val="24"/>
              </w:rPr>
              <w:t>评分占比（</w:t>
            </w:r>
            <w:r>
              <w:rPr>
                <w:rFonts w:hint="eastAsia" w:ascii="仿宋" w:eastAsia="仿宋" w:cs="仿宋"/>
                <w:sz w:val="24"/>
                <w:szCs w:val="24"/>
                <w:lang w:val="en-US" w:eastAsia="zh-CN"/>
              </w:rPr>
              <w:t>3</w:t>
            </w:r>
            <w:r>
              <w:rPr>
                <w:rFonts w:hint="eastAsia" w:ascii="仿宋" w:eastAsia="仿宋" w:cs="仿宋"/>
                <w:sz w:val="24"/>
                <w:szCs w:val="24"/>
              </w:rPr>
              <w:t>0%）</w:t>
            </w:r>
          </w:p>
        </w:tc>
        <w:tc>
          <w:tcPr>
            <w:tcW w:w="873" w:type="dxa"/>
            <w:tcBorders>
              <w:top w:val="single" w:color="000000" w:sz="4" w:space="0"/>
              <w:left w:val="single" w:color="000000" w:sz="4" w:space="0"/>
              <w:bottom w:val="single" w:color="000000" w:sz="4" w:space="0"/>
              <w:right w:val="single" w:color="000000" w:sz="4" w:space="0"/>
            </w:tcBorders>
            <w:noWrap w:val="0"/>
            <w:vAlign w:val="center"/>
          </w:tcPr>
          <w:p w14:paraId="395B7E32">
            <w:pPr>
              <w:adjustRightInd w:val="0"/>
              <w:snapToGrid w:val="0"/>
              <w:jc w:val="center"/>
              <w:rPr>
                <w:rFonts w:ascii="仿宋" w:eastAsia="仿宋" w:cs="仿宋"/>
                <w:sz w:val="24"/>
                <w:szCs w:val="24"/>
              </w:rPr>
            </w:pPr>
            <w:r>
              <w:rPr>
                <w:rFonts w:hint="eastAsia" w:ascii="仿宋" w:eastAsia="仿宋" w:cs="仿宋"/>
                <w:sz w:val="24"/>
                <w:szCs w:val="24"/>
              </w:rPr>
              <w:t>期末考试评分占比（</w:t>
            </w:r>
            <w:r>
              <w:rPr>
                <w:rFonts w:hint="eastAsia" w:ascii="仿宋" w:eastAsia="仿宋" w:cs="仿宋"/>
                <w:sz w:val="24"/>
                <w:szCs w:val="24"/>
                <w:lang w:val="en-US" w:eastAsia="zh-CN"/>
              </w:rPr>
              <w:t>5</w:t>
            </w:r>
            <w:r>
              <w:rPr>
                <w:rFonts w:hint="eastAsia" w:ascii="仿宋" w:eastAsia="仿宋" w:cs="仿宋"/>
                <w:sz w:val="24"/>
                <w:szCs w:val="24"/>
              </w:rPr>
              <w:t>0%）</w:t>
            </w:r>
          </w:p>
        </w:tc>
        <w:tc>
          <w:tcPr>
            <w:tcW w:w="64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518C4B"/>
        </w:tc>
      </w:tr>
      <w:tr w14:paraId="639FF9BB">
        <w:trPr>
          <w:trHeight w:val="0" w:hRule="atLeast"/>
        </w:trPr>
        <w:tc>
          <w:tcPr>
            <w:tcW w:w="10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E86D7A"/>
        </w:tc>
        <w:tc>
          <w:tcPr>
            <w:tcW w:w="1321" w:type="dxa"/>
            <w:gridSpan w:val="2"/>
            <w:tcBorders>
              <w:top w:val="single" w:color="000000" w:sz="4" w:space="0"/>
              <w:left w:val="single" w:color="000000" w:sz="4" w:space="0"/>
              <w:bottom w:val="single" w:color="000000" w:sz="4" w:space="0"/>
              <w:right w:val="single" w:color="000000" w:sz="4" w:space="0"/>
            </w:tcBorders>
            <w:noWrap w:val="0"/>
            <w:vAlign w:val="center"/>
          </w:tcPr>
          <w:p w14:paraId="7F6840DB">
            <w:pPr>
              <w:adjustRightInd w:val="0"/>
              <w:snapToGrid w:val="0"/>
              <w:jc w:val="center"/>
              <w:rPr>
                <w:rFonts w:ascii="仿宋" w:eastAsia="仿宋" w:cs="仿宋"/>
                <w:bCs/>
                <w:sz w:val="24"/>
                <w:szCs w:val="24"/>
              </w:rPr>
            </w:pPr>
            <w:r>
              <w:rPr>
                <w:rFonts w:hint="eastAsia" w:ascii="仿宋" w:eastAsia="仿宋" w:cs="仿宋"/>
                <w:bCs/>
                <w:sz w:val="24"/>
                <w:szCs w:val="24"/>
              </w:rPr>
              <w:t>课程目标1</w:t>
            </w:r>
          </w:p>
          <w:p w14:paraId="70DF3651">
            <w:pPr>
              <w:adjustRightInd w:val="0"/>
              <w:snapToGrid w:val="0"/>
              <w:jc w:val="center"/>
              <w:rPr>
                <w:rFonts w:ascii="仿宋" w:eastAsia="仿宋" w:cs="仿宋"/>
                <w:bCs/>
                <w:sz w:val="24"/>
                <w:szCs w:val="24"/>
              </w:rPr>
            </w:pPr>
            <w:r>
              <w:rPr>
                <w:rFonts w:hint="eastAsia" w:ascii="仿宋" w:eastAsia="仿宋" w:cs="仿宋"/>
                <w:bCs/>
                <w:sz w:val="24"/>
                <w:szCs w:val="24"/>
              </w:rPr>
              <w:t>（30%）</w:t>
            </w:r>
          </w:p>
        </w:tc>
        <w:tc>
          <w:tcPr>
            <w:tcW w:w="3773" w:type="dxa"/>
            <w:gridSpan w:val="6"/>
            <w:tcBorders>
              <w:top w:val="single" w:color="000000" w:sz="4" w:space="0"/>
              <w:left w:val="single" w:color="000000" w:sz="4" w:space="0"/>
              <w:bottom w:val="single" w:color="000000" w:sz="4" w:space="0"/>
              <w:right w:val="single" w:color="000000" w:sz="4" w:space="0"/>
            </w:tcBorders>
            <w:noWrap w:val="0"/>
            <w:vAlign w:val="center"/>
          </w:tcPr>
          <w:p w14:paraId="7B704C85">
            <w:pPr>
              <w:adjustRightInd w:val="0"/>
              <w:snapToGrid w:val="0"/>
              <w:jc w:val="left"/>
              <w:rPr>
                <w:rFonts w:hint="default" w:ascii="仿宋" w:eastAsia="仿宋" w:cs="仿宋"/>
                <w:bCs/>
                <w:sz w:val="24"/>
                <w:szCs w:val="24"/>
                <w:lang w:val="en-US"/>
              </w:rPr>
            </w:pPr>
            <w:r>
              <w:rPr>
                <w:rFonts w:hint="eastAsia" w:ascii="仿宋" w:eastAsia="仿宋" w:cs="仿宋"/>
                <w:sz w:val="24"/>
                <w:szCs w:val="24"/>
                <w:lang w:val="en-US" w:eastAsia="zh-CN"/>
              </w:rPr>
              <w:t>中学音乐歌唱曲目弹唱是否熟练，是否形成合理的弹唱工作流程，演唱歌曲是否准确、有表情，前奏、尾声结构是否完整。</w:t>
            </w:r>
          </w:p>
        </w:tc>
        <w:tc>
          <w:tcPr>
            <w:tcW w:w="873" w:type="dxa"/>
            <w:gridSpan w:val="2"/>
            <w:tcBorders>
              <w:top w:val="single" w:color="000000" w:sz="4" w:space="0"/>
              <w:left w:val="single" w:color="000000" w:sz="4" w:space="0"/>
              <w:bottom w:val="single" w:color="000000" w:sz="4" w:space="0"/>
              <w:right w:val="single" w:color="000000" w:sz="4" w:space="0"/>
            </w:tcBorders>
            <w:noWrap w:val="0"/>
            <w:vAlign w:val="center"/>
          </w:tcPr>
          <w:p w14:paraId="0F6A9BD4">
            <w:pPr>
              <w:adjustRightInd w:val="0"/>
              <w:snapToGrid w:val="0"/>
              <w:jc w:val="center"/>
              <w:rPr>
                <w:rFonts w:ascii="仿宋" w:eastAsia="仿宋" w:cs="仿宋"/>
                <w:bCs/>
                <w:sz w:val="24"/>
                <w:szCs w:val="24"/>
              </w:rPr>
            </w:pPr>
            <w:r>
              <w:rPr>
                <w:rFonts w:hint="eastAsia" w:ascii="仿宋" w:eastAsia="仿宋" w:cs="仿宋"/>
                <w:bCs/>
                <w:sz w:val="24"/>
                <w:szCs w:val="24"/>
              </w:rPr>
              <w:t>6</w:t>
            </w:r>
          </w:p>
        </w:tc>
        <w:tc>
          <w:tcPr>
            <w:tcW w:w="873" w:type="dxa"/>
            <w:gridSpan w:val="2"/>
            <w:tcBorders>
              <w:top w:val="single" w:color="000000" w:sz="4" w:space="0"/>
              <w:left w:val="single" w:color="000000" w:sz="4" w:space="0"/>
              <w:bottom w:val="single" w:color="000000" w:sz="4" w:space="0"/>
              <w:right w:val="single" w:color="000000" w:sz="4" w:space="0"/>
            </w:tcBorders>
            <w:noWrap w:val="0"/>
            <w:vAlign w:val="center"/>
          </w:tcPr>
          <w:p w14:paraId="5D820B82">
            <w:pPr>
              <w:adjustRightInd w:val="0"/>
              <w:snapToGrid w:val="0"/>
              <w:jc w:val="center"/>
              <w:rPr>
                <w:rFonts w:hint="eastAsia" w:ascii="仿宋" w:eastAsia="仿宋" w:cs="仿宋"/>
                <w:bCs/>
                <w:sz w:val="24"/>
                <w:szCs w:val="24"/>
                <w:lang w:eastAsia="zh-CN"/>
              </w:rPr>
            </w:pPr>
            <w:r>
              <w:rPr>
                <w:rFonts w:hint="eastAsia" w:ascii="仿宋" w:eastAsia="仿宋" w:cs="仿宋"/>
                <w:bCs/>
                <w:sz w:val="24"/>
                <w:szCs w:val="24"/>
                <w:lang w:val="en-US" w:eastAsia="zh-CN"/>
              </w:rPr>
              <w:t>9</w:t>
            </w:r>
          </w:p>
        </w:tc>
        <w:tc>
          <w:tcPr>
            <w:tcW w:w="873" w:type="dxa"/>
            <w:tcBorders>
              <w:top w:val="single" w:color="000000" w:sz="4" w:space="0"/>
              <w:left w:val="single" w:color="000000" w:sz="4" w:space="0"/>
              <w:bottom w:val="single" w:color="000000" w:sz="4" w:space="0"/>
              <w:right w:val="single" w:color="000000" w:sz="4" w:space="0"/>
            </w:tcBorders>
            <w:noWrap w:val="0"/>
            <w:vAlign w:val="center"/>
          </w:tcPr>
          <w:p w14:paraId="24861913">
            <w:pPr>
              <w:adjustRightInd w:val="0"/>
              <w:snapToGrid w:val="0"/>
              <w:jc w:val="center"/>
              <w:rPr>
                <w:rFonts w:hint="default" w:ascii="仿宋" w:eastAsia="仿宋" w:cs="仿宋"/>
                <w:bCs/>
                <w:sz w:val="24"/>
                <w:szCs w:val="24"/>
                <w:lang w:val="en-US" w:eastAsia="zh-CN"/>
              </w:rPr>
            </w:pPr>
            <w:r>
              <w:rPr>
                <w:rFonts w:hint="eastAsia" w:ascii="仿宋" w:eastAsia="仿宋" w:cs="仿宋"/>
                <w:bCs/>
                <w:sz w:val="24"/>
                <w:szCs w:val="24"/>
                <w:lang w:val="en-US" w:eastAsia="zh-CN"/>
              </w:rPr>
              <w:t>15</w:t>
            </w:r>
          </w:p>
        </w:tc>
        <w:tc>
          <w:tcPr>
            <w:tcW w:w="645" w:type="dxa"/>
            <w:tcBorders>
              <w:top w:val="single" w:color="000000" w:sz="4" w:space="0"/>
              <w:left w:val="single" w:color="000000" w:sz="4" w:space="0"/>
              <w:bottom w:val="single" w:color="000000" w:sz="4" w:space="0"/>
              <w:right w:val="single" w:color="000000" w:sz="4" w:space="0"/>
            </w:tcBorders>
            <w:noWrap w:val="0"/>
            <w:vAlign w:val="center"/>
          </w:tcPr>
          <w:p w14:paraId="4F03379D">
            <w:pPr>
              <w:tabs>
                <w:tab w:val="left" w:pos="720"/>
              </w:tabs>
              <w:adjustRightInd w:val="0"/>
              <w:snapToGrid w:val="0"/>
              <w:jc w:val="center"/>
              <w:rPr>
                <w:rFonts w:hint="default" w:ascii="仿宋" w:eastAsia="仿宋" w:cs="仿宋"/>
                <w:bCs/>
                <w:sz w:val="24"/>
                <w:szCs w:val="24"/>
                <w:lang w:val="en-US" w:eastAsia="zh-CN"/>
              </w:rPr>
            </w:pPr>
            <w:r>
              <w:rPr>
                <w:rFonts w:hint="eastAsia" w:ascii="仿宋" w:eastAsia="仿宋" w:cs="仿宋"/>
                <w:bCs/>
                <w:sz w:val="24"/>
                <w:szCs w:val="24"/>
                <w:lang w:val="en-US" w:eastAsia="zh-CN"/>
              </w:rPr>
              <w:t>30</w:t>
            </w:r>
          </w:p>
        </w:tc>
      </w:tr>
      <w:tr w14:paraId="668E01EB">
        <w:trPr>
          <w:trHeight w:val="0" w:hRule="atLeast"/>
        </w:trPr>
        <w:tc>
          <w:tcPr>
            <w:tcW w:w="10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58FC92"/>
        </w:tc>
        <w:tc>
          <w:tcPr>
            <w:tcW w:w="1321" w:type="dxa"/>
            <w:gridSpan w:val="2"/>
            <w:tcBorders>
              <w:top w:val="single" w:color="000000" w:sz="4" w:space="0"/>
              <w:left w:val="single" w:color="000000" w:sz="4" w:space="0"/>
              <w:bottom w:val="single" w:color="000000" w:sz="4" w:space="0"/>
              <w:right w:val="single" w:color="000000" w:sz="4" w:space="0"/>
            </w:tcBorders>
            <w:noWrap w:val="0"/>
            <w:vAlign w:val="center"/>
          </w:tcPr>
          <w:p w14:paraId="2400D0D8">
            <w:pPr>
              <w:adjustRightInd w:val="0"/>
              <w:snapToGrid w:val="0"/>
              <w:jc w:val="center"/>
              <w:rPr>
                <w:rFonts w:ascii="仿宋" w:eastAsia="仿宋" w:cs="仿宋"/>
                <w:bCs/>
                <w:sz w:val="24"/>
                <w:szCs w:val="24"/>
              </w:rPr>
            </w:pPr>
            <w:r>
              <w:rPr>
                <w:rFonts w:hint="eastAsia" w:ascii="仿宋" w:eastAsia="仿宋" w:cs="仿宋"/>
                <w:bCs/>
                <w:sz w:val="24"/>
                <w:szCs w:val="24"/>
              </w:rPr>
              <w:t>课程目标2</w:t>
            </w:r>
          </w:p>
          <w:p w14:paraId="51722944">
            <w:pPr>
              <w:adjustRightInd w:val="0"/>
              <w:snapToGrid w:val="0"/>
              <w:jc w:val="center"/>
              <w:rPr>
                <w:rFonts w:ascii="仿宋" w:eastAsia="仿宋" w:cs="仿宋"/>
                <w:bCs/>
                <w:sz w:val="24"/>
                <w:szCs w:val="24"/>
              </w:rPr>
            </w:pPr>
            <w:r>
              <w:rPr>
                <w:rFonts w:hint="eastAsia" w:ascii="仿宋" w:eastAsia="仿宋" w:cs="仿宋"/>
                <w:bCs/>
                <w:sz w:val="24"/>
                <w:szCs w:val="24"/>
              </w:rPr>
              <w:t>（20%）</w:t>
            </w:r>
          </w:p>
        </w:tc>
        <w:tc>
          <w:tcPr>
            <w:tcW w:w="3773" w:type="dxa"/>
            <w:gridSpan w:val="6"/>
            <w:tcBorders>
              <w:top w:val="single" w:color="000000" w:sz="4" w:space="0"/>
              <w:left w:val="single" w:color="000000" w:sz="4" w:space="0"/>
              <w:bottom w:val="single" w:color="000000" w:sz="4" w:space="0"/>
              <w:right w:val="single" w:color="000000" w:sz="4" w:space="0"/>
            </w:tcBorders>
            <w:noWrap w:val="0"/>
            <w:vAlign w:val="center"/>
          </w:tcPr>
          <w:p w14:paraId="475E86F0">
            <w:pPr>
              <w:adjustRightInd w:val="0"/>
              <w:snapToGrid w:val="0"/>
              <w:jc w:val="left"/>
              <w:rPr>
                <w:rFonts w:hint="eastAsia" w:ascii="仿宋" w:eastAsia="仿宋" w:cs="仿宋"/>
                <w:bCs/>
                <w:sz w:val="24"/>
                <w:szCs w:val="24"/>
                <w:lang w:eastAsia="zh-CN"/>
              </w:rPr>
            </w:pPr>
            <w:r>
              <w:rPr>
                <w:rFonts w:hint="eastAsia" w:ascii="仿宋" w:eastAsia="仿宋" w:cs="仿宋"/>
                <w:sz w:val="24"/>
                <w:szCs w:val="24"/>
                <w:lang w:val="en-US" w:eastAsia="zh-CN"/>
              </w:rPr>
              <w:t>弹唱作业是否具备方向正确的美学价值观，是否能够正确表现出</w:t>
            </w:r>
            <w:r>
              <w:rPr>
                <w:rFonts w:hint="eastAsia" w:ascii="仿宋" w:eastAsia="仿宋" w:cs="仿宋"/>
                <w:sz w:val="24"/>
                <w:szCs w:val="24"/>
              </w:rPr>
              <w:t>作品音乐文化背景；</w:t>
            </w:r>
            <w:r>
              <w:rPr>
                <w:rFonts w:hint="eastAsia" w:ascii="仿宋" w:eastAsia="仿宋" w:cs="仿宋"/>
                <w:sz w:val="24"/>
                <w:szCs w:val="24"/>
                <w:lang w:val="en-US" w:eastAsia="zh-CN"/>
              </w:rPr>
              <w:t>了解美育教学的最新动向；能否</w:t>
            </w:r>
            <w:r>
              <w:rPr>
                <w:rFonts w:hint="eastAsia" w:ascii="仿宋" w:eastAsia="仿宋" w:cs="仿宋"/>
                <w:sz w:val="24"/>
                <w:szCs w:val="24"/>
              </w:rPr>
              <w:t>通过自弹自唱形式</w:t>
            </w:r>
            <w:r>
              <w:rPr>
                <w:rFonts w:hint="eastAsia" w:ascii="仿宋" w:eastAsia="仿宋" w:cs="仿宋"/>
                <w:sz w:val="24"/>
                <w:szCs w:val="24"/>
                <w:lang w:val="en-US" w:eastAsia="zh-CN"/>
              </w:rPr>
              <w:t>表现、指导</w:t>
            </w:r>
            <w:r>
              <w:rPr>
                <w:rFonts w:hint="eastAsia" w:ascii="仿宋" w:eastAsia="仿宋" w:cs="仿宋"/>
                <w:sz w:val="24"/>
                <w:szCs w:val="24"/>
              </w:rPr>
              <w:t>兼具艺术性和教育性的弹唱作品</w:t>
            </w:r>
            <w:r>
              <w:rPr>
                <w:rFonts w:hint="eastAsia" w:ascii="仿宋" w:eastAsia="仿宋" w:cs="仿宋"/>
                <w:sz w:val="24"/>
                <w:szCs w:val="24"/>
                <w:lang w:eastAsia="zh-CN"/>
              </w:rPr>
              <w:t>。</w:t>
            </w:r>
          </w:p>
        </w:tc>
        <w:tc>
          <w:tcPr>
            <w:tcW w:w="873" w:type="dxa"/>
            <w:gridSpan w:val="2"/>
            <w:tcBorders>
              <w:top w:val="single" w:color="000000" w:sz="4" w:space="0"/>
              <w:left w:val="single" w:color="000000" w:sz="4" w:space="0"/>
              <w:bottom w:val="single" w:color="000000" w:sz="4" w:space="0"/>
              <w:right w:val="single" w:color="000000" w:sz="4" w:space="0"/>
            </w:tcBorders>
            <w:noWrap w:val="0"/>
            <w:vAlign w:val="center"/>
          </w:tcPr>
          <w:p w14:paraId="27FCC510">
            <w:pPr>
              <w:adjustRightInd w:val="0"/>
              <w:snapToGrid w:val="0"/>
              <w:jc w:val="center"/>
              <w:rPr>
                <w:rFonts w:hint="eastAsia" w:ascii="仿宋" w:eastAsia="仿宋" w:cs="仿宋"/>
                <w:bCs/>
                <w:sz w:val="24"/>
                <w:szCs w:val="24"/>
                <w:lang w:eastAsia="zh-CN"/>
              </w:rPr>
            </w:pPr>
            <w:r>
              <w:rPr>
                <w:rFonts w:hint="eastAsia" w:ascii="仿宋" w:eastAsia="仿宋" w:cs="仿宋"/>
                <w:bCs/>
                <w:sz w:val="24"/>
                <w:szCs w:val="24"/>
                <w:lang w:val="en-US" w:eastAsia="zh-CN"/>
              </w:rPr>
              <w:t>4</w:t>
            </w:r>
          </w:p>
        </w:tc>
        <w:tc>
          <w:tcPr>
            <w:tcW w:w="873" w:type="dxa"/>
            <w:gridSpan w:val="2"/>
            <w:tcBorders>
              <w:top w:val="single" w:color="000000" w:sz="4" w:space="0"/>
              <w:left w:val="single" w:color="000000" w:sz="4" w:space="0"/>
              <w:bottom w:val="single" w:color="000000" w:sz="4" w:space="0"/>
              <w:right w:val="single" w:color="000000" w:sz="4" w:space="0"/>
            </w:tcBorders>
            <w:noWrap w:val="0"/>
            <w:vAlign w:val="center"/>
          </w:tcPr>
          <w:p w14:paraId="5FC4A537">
            <w:pPr>
              <w:adjustRightInd w:val="0"/>
              <w:snapToGrid w:val="0"/>
              <w:jc w:val="center"/>
              <w:rPr>
                <w:rFonts w:hint="eastAsia" w:ascii="仿宋" w:eastAsia="仿宋" w:cs="仿宋"/>
                <w:bCs/>
                <w:sz w:val="24"/>
                <w:szCs w:val="24"/>
                <w:lang w:eastAsia="zh-CN"/>
              </w:rPr>
            </w:pPr>
            <w:r>
              <w:rPr>
                <w:rFonts w:hint="eastAsia" w:ascii="仿宋" w:eastAsia="仿宋" w:cs="仿宋"/>
                <w:bCs/>
                <w:sz w:val="24"/>
                <w:szCs w:val="24"/>
                <w:lang w:val="en-US" w:eastAsia="zh-CN"/>
              </w:rPr>
              <w:t>6</w:t>
            </w:r>
          </w:p>
        </w:tc>
        <w:tc>
          <w:tcPr>
            <w:tcW w:w="873" w:type="dxa"/>
            <w:tcBorders>
              <w:top w:val="single" w:color="000000" w:sz="4" w:space="0"/>
              <w:left w:val="single" w:color="000000" w:sz="4" w:space="0"/>
              <w:bottom w:val="single" w:color="000000" w:sz="4" w:space="0"/>
              <w:right w:val="single" w:color="000000" w:sz="4" w:space="0"/>
            </w:tcBorders>
            <w:noWrap w:val="0"/>
            <w:vAlign w:val="center"/>
          </w:tcPr>
          <w:p w14:paraId="3A20080A">
            <w:pPr>
              <w:adjustRightInd w:val="0"/>
              <w:snapToGrid w:val="0"/>
              <w:jc w:val="center"/>
              <w:rPr>
                <w:rFonts w:hint="default" w:ascii="仿宋" w:eastAsia="仿宋" w:cs="仿宋"/>
                <w:bCs/>
                <w:sz w:val="24"/>
                <w:szCs w:val="24"/>
                <w:lang w:val="en-US" w:eastAsia="zh-CN"/>
              </w:rPr>
            </w:pPr>
            <w:r>
              <w:rPr>
                <w:rFonts w:hint="eastAsia" w:ascii="仿宋" w:eastAsia="仿宋" w:cs="仿宋"/>
                <w:bCs/>
                <w:sz w:val="24"/>
                <w:szCs w:val="24"/>
                <w:lang w:val="en-US" w:eastAsia="zh-CN"/>
              </w:rPr>
              <w:t>10</w:t>
            </w:r>
          </w:p>
        </w:tc>
        <w:tc>
          <w:tcPr>
            <w:tcW w:w="645" w:type="dxa"/>
            <w:tcBorders>
              <w:top w:val="single" w:color="000000" w:sz="4" w:space="0"/>
              <w:left w:val="single" w:color="000000" w:sz="4" w:space="0"/>
              <w:bottom w:val="single" w:color="000000" w:sz="4" w:space="0"/>
              <w:right w:val="single" w:color="000000" w:sz="4" w:space="0"/>
            </w:tcBorders>
            <w:noWrap w:val="0"/>
            <w:vAlign w:val="center"/>
          </w:tcPr>
          <w:p w14:paraId="3F525700">
            <w:pPr>
              <w:tabs>
                <w:tab w:val="left" w:pos="720"/>
              </w:tabs>
              <w:adjustRightInd w:val="0"/>
              <w:snapToGrid w:val="0"/>
              <w:jc w:val="center"/>
              <w:rPr>
                <w:rFonts w:hint="default" w:ascii="仿宋" w:eastAsia="仿宋" w:cs="仿宋"/>
                <w:bCs/>
                <w:sz w:val="24"/>
                <w:szCs w:val="24"/>
                <w:lang w:val="en-US" w:eastAsia="zh-CN"/>
              </w:rPr>
            </w:pPr>
            <w:r>
              <w:rPr>
                <w:rFonts w:hint="eastAsia" w:ascii="仿宋" w:eastAsia="仿宋" w:cs="仿宋"/>
                <w:bCs/>
                <w:sz w:val="24"/>
                <w:szCs w:val="24"/>
                <w:lang w:val="en-US" w:eastAsia="zh-CN"/>
              </w:rPr>
              <w:t>20</w:t>
            </w:r>
          </w:p>
        </w:tc>
      </w:tr>
      <w:tr w14:paraId="35B167F6">
        <w:trPr>
          <w:trHeight w:val="0" w:hRule="atLeast"/>
        </w:trPr>
        <w:tc>
          <w:tcPr>
            <w:tcW w:w="10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A0ACFC"/>
        </w:tc>
        <w:tc>
          <w:tcPr>
            <w:tcW w:w="1321" w:type="dxa"/>
            <w:gridSpan w:val="2"/>
            <w:tcBorders>
              <w:top w:val="single" w:color="000000" w:sz="4" w:space="0"/>
              <w:left w:val="single" w:color="000000" w:sz="4" w:space="0"/>
              <w:bottom w:val="single" w:color="000000" w:sz="4" w:space="0"/>
              <w:right w:val="single" w:color="000000" w:sz="4" w:space="0"/>
            </w:tcBorders>
            <w:noWrap w:val="0"/>
            <w:vAlign w:val="center"/>
          </w:tcPr>
          <w:p w14:paraId="4413E96A">
            <w:pPr>
              <w:adjustRightInd w:val="0"/>
              <w:snapToGrid w:val="0"/>
              <w:jc w:val="center"/>
              <w:rPr>
                <w:rFonts w:ascii="仿宋" w:eastAsia="仿宋" w:cs="仿宋"/>
                <w:bCs/>
                <w:sz w:val="24"/>
                <w:szCs w:val="24"/>
              </w:rPr>
            </w:pPr>
            <w:r>
              <w:rPr>
                <w:rFonts w:hint="eastAsia" w:ascii="仿宋" w:eastAsia="仿宋" w:cs="仿宋"/>
                <w:bCs/>
                <w:sz w:val="24"/>
                <w:szCs w:val="24"/>
              </w:rPr>
              <w:t>课程目标3</w:t>
            </w:r>
          </w:p>
          <w:p w14:paraId="695E2228">
            <w:pPr>
              <w:adjustRightInd w:val="0"/>
              <w:snapToGrid w:val="0"/>
              <w:jc w:val="center"/>
              <w:rPr>
                <w:rFonts w:ascii="仿宋" w:eastAsia="仿宋" w:cs="仿宋"/>
                <w:bCs/>
                <w:sz w:val="24"/>
                <w:szCs w:val="24"/>
              </w:rPr>
            </w:pPr>
            <w:r>
              <w:rPr>
                <w:rFonts w:hint="eastAsia" w:ascii="仿宋" w:eastAsia="仿宋" w:cs="仿宋"/>
                <w:bCs/>
                <w:sz w:val="24"/>
                <w:szCs w:val="24"/>
              </w:rPr>
              <w:t>(50)</w:t>
            </w:r>
          </w:p>
        </w:tc>
        <w:tc>
          <w:tcPr>
            <w:tcW w:w="3773" w:type="dxa"/>
            <w:gridSpan w:val="6"/>
            <w:tcBorders>
              <w:top w:val="single" w:color="000000" w:sz="4" w:space="0"/>
              <w:left w:val="single" w:color="000000" w:sz="4" w:space="0"/>
              <w:bottom w:val="single" w:color="000000" w:sz="4" w:space="0"/>
              <w:right w:val="single" w:color="000000" w:sz="4" w:space="0"/>
            </w:tcBorders>
            <w:noWrap w:val="0"/>
            <w:vAlign w:val="center"/>
          </w:tcPr>
          <w:p w14:paraId="084E3383">
            <w:pPr>
              <w:adjustRightInd w:val="0"/>
              <w:snapToGrid w:val="0"/>
              <w:jc w:val="left"/>
              <w:rPr>
                <w:rFonts w:hint="default" w:ascii="仿宋" w:eastAsia="仿宋" w:cs="仿宋"/>
                <w:bCs/>
                <w:sz w:val="24"/>
                <w:szCs w:val="24"/>
                <w:lang w:val="en-US" w:eastAsia="zh-CN"/>
              </w:rPr>
            </w:pPr>
            <w:r>
              <w:rPr>
                <w:rFonts w:hint="eastAsia" w:ascii="仿宋" w:eastAsia="仿宋" w:cs="仿宋"/>
                <w:bCs/>
                <w:sz w:val="24"/>
                <w:szCs w:val="24"/>
              </w:rPr>
              <w:t>通过小组讨论，</w:t>
            </w:r>
            <w:r>
              <w:rPr>
                <w:rFonts w:hint="eastAsia" w:ascii="仿宋" w:eastAsia="仿宋" w:cs="仿宋"/>
                <w:bCs/>
                <w:sz w:val="24"/>
                <w:szCs w:val="24"/>
                <w:lang w:val="en-US" w:eastAsia="zh-CN"/>
              </w:rPr>
              <w:t>考察学生是否</w:t>
            </w:r>
            <w:r>
              <w:rPr>
                <w:rFonts w:hint="eastAsia" w:ascii="仿宋" w:eastAsia="仿宋" w:cs="仿宋"/>
                <w:sz w:val="24"/>
                <w:szCs w:val="24"/>
                <w:lang w:val="en-US" w:eastAsia="zh-CN"/>
              </w:rPr>
              <w:t>掌握基本的辩证思维能力，对于社会上的流行音乐作品、现象能否进行正确的思考，是否了解新教材、教法的变化动向；通过作业的退回修改，考察学生对于自己的弹唱作业能够进行合理改进；课上预习过程中，观察学生是否具备听-改能力。</w:t>
            </w:r>
          </w:p>
        </w:tc>
        <w:tc>
          <w:tcPr>
            <w:tcW w:w="873" w:type="dxa"/>
            <w:gridSpan w:val="2"/>
            <w:tcBorders>
              <w:top w:val="single" w:color="000000" w:sz="4" w:space="0"/>
              <w:left w:val="single" w:color="000000" w:sz="4" w:space="0"/>
              <w:bottom w:val="single" w:color="000000" w:sz="4" w:space="0"/>
              <w:right w:val="single" w:color="000000" w:sz="4" w:space="0"/>
            </w:tcBorders>
            <w:noWrap w:val="0"/>
            <w:vAlign w:val="center"/>
          </w:tcPr>
          <w:p w14:paraId="2286FC1A">
            <w:pPr>
              <w:adjustRightInd w:val="0"/>
              <w:snapToGrid w:val="0"/>
              <w:jc w:val="center"/>
              <w:rPr>
                <w:rFonts w:hint="eastAsia" w:ascii="仿宋" w:eastAsia="仿宋" w:cs="仿宋"/>
                <w:bCs/>
                <w:sz w:val="24"/>
                <w:szCs w:val="24"/>
                <w:lang w:val="en-US" w:eastAsia="zh-CN"/>
              </w:rPr>
            </w:pPr>
            <w:r>
              <w:rPr>
                <w:rFonts w:hint="eastAsia" w:ascii="仿宋" w:eastAsia="仿宋" w:cs="仿宋"/>
                <w:bCs/>
                <w:sz w:val="24"/>
                <w:szCs w:val="24"/>
              </w:rPr>
              <w:t>1</w:t>
            </w:r>
            <w:r>
              <w:rPr>
                <w:rFonts w:hint="eastAsia" w:ascii="仿宋" w:eastAsia="仿宋" w:cs="仿宋"/>
                <w:bCs/>
                <w:sz w:val="24"/>
                <w:szCs w:val="24"/>
                <w:lang w:val="en-US" w:eastAsia="zh-CN"/>
              </w:rPr>
              <w:t>0</w:t>
            </w:r>
          </w:p>
        </w:tc>
        <w:tc>
          <w:tcPr>
            <w:tcW w:w="873" w:type="dxa"/>
            <w:gridSpan w:val="2"/>
            <w:tcBorders>
              <w:top w:val="single" w:color="000000" w:sz="4" w:space="0"/>
              <w:left w:val="single" w:color="000000" w:sz="4" w:space="0"/>
              <w:bottom w:val="single" w:color="000000" w:sz="4" w:space="0"/>
              <w:right w:val="single" w:color="000000" w:sz="4" w:space="0"/>
            </w:tcBorders>
            <w:noWrap w:val="0"/>
            <w:vAlign w:val="center"/>
          </w:tcPr>
          <w:p w14:paraId="6C6C9748">
            <w:pPr>
              <w:adjustRightInd w:val="0"/>
              <w:snapToGrid w:val="0"/>
              <w:jc w:val="center"/>
              <w:rPr>
                <w:rFonts w:hint="eastAsia" w:ascii="仿宋" w:eastAsia="仿宋" w:cs="仿宋"/>
                <w:bCs/>
                <w:sz w:val="24"/>
                <w:szCs w:val="24"/>
                <w:lang w:eastAsia="zh-CN"/>
              </w:rPr>
            </w:pPr>
            <w:r>
              <w:rPr>
                <w:rFonts w:hint="eastAsia" w:ascii="仿宋" w:eastAsia="仿宋" w:cs="仿宋"/>
                <w:bCs/>
                <w:sz w:val="24"/>
                <w:szCs w:val="24"/>
              </w:rPr>
              <w:t>1</w:t>
            </w:r>
            <w:r>
              <w:rPr>
                <w:rFonts w:hint="eastAsia" w:ascii="仿宋" w:eastAsia="仿宋" w:cs="仿宋"/>
                <w:bCs/>
                <w:sz w:val="24"/>
                <w:szCs w:val="24"/>
                <w:lang w:val="en-US" w:eastAsia="zh-CN"/>
              </w:rPr>
              <w:t>5</w:t>
            </w:r>
          </w:p>
        </w:tc>
        <w:tc>
          <w:tcPr>
            <w:tcW w:w="873" w:type="dxa"/>
            <w:tcBorders>
              <w:top w:val="single" w:color="000000" w:sz="4" w:space="0"/>
              <w:left w:val="single" w:color="000000" w:sz="4" w:space="0"/>
              <w:bottom w:val="single" w:color="000000" w:sz="4" w:space="0"/>
              <w:right w:val="single" w:color="000000" w:sz="4" w:space="0"/>
            </w:tcBorders>
            <w:noWrap w:val="0"/>
            <w:vAlign w:val="center"/>
          </w:tcPr>
          <w:p w14:paraId="6F29829E">
            <w:pPr>
              <w:adjustRightInd w:val="0"/>
              <w:snapToGrid w:val="0"/>
              <w:jc w:val="center"/>
              <w:rPr>
                <w:rFonts w:hint="default" w:ascii="仿宋" w:eastAsia="仿宋" w:cs="仿宋"/>
                <w:bCs/>
                <w:sz w:val="24"/>
                <w:szCs w:val="24"/>
                <w:lang w:val="en-US"/>
              </w:rPr>
            </w:pPr>
            <w:r>
              <w:rPr>
                <w:rFonts w:hint="eastAsia" w:ascii="仿宋" w:eastAsia="仿宋" w:cs="仿宋"/>
                <w:bCs/>
                <w:sz w:val="24"/>
                <w:szCs w:val="24"/>
                <w:lang w:val="en-US" w:eastAsia="zh-CN"/>
              </w:rPr>
              <w:t>25</w:t>
            </w:r>
          </w:p>
        </w:tc>
        <w:tc>
          <w:tcPr>
            <w:tcW w:w="645" w:type="dxa"/>
            <w:tcBorders>
              <w:top w:val="single" w:color="000000" w:sz="4" w:space="0"/>
              <w:left w:val="single" w:color="000000" w:sz="4" w:space="0"/>
              <w:bottom w:val="single" w:color="000000" w:sz="4" w:space="0"/>
              <w:right w:val="single" w:color="000000" w:sz="4" w:space="0"/>
            </w:tcBorders>
            <w:noWrap w:val="0"/>
            <w:vAlign w:val="center"/>
          </w:tcPr>
          <w:p w14:paraId="7D88DD80">
            <w:pPr>
              <w:tabs>
                <w:tab w:val="left" w:pos="720"/>
              </w:tabs>
              <w:adjustRightInd w:val="0"/>
              <w:snapToGrid w:val="0"/>
              <w:jc w:val="center"/>
              <w:rPr>
                <w:rFonts w:hint="default" w:ascii="仿宋" w:eastAsia="仿宋" w:cs="仿宋"/>
                <w:bCs/>
                <w:sz w:val="24"/>
                <w:szCs w:val="24"/>
                <w:lang w:val="en-US" w:eastAsia="zh-CN"/>
              </w:rPr>
            </w:pPr>
            <w:r>
              <w:rPr>
                <w:rFonts w:hint="eastAsia" w:ascii="仿宋" w:eastAsia="仿宋" w:cs="仿宋"/>
                <w:bCs/>
                <w:sz w:val="24"/>
                <w:szCs w:val="24"/>
                <w:lang w:val="en-US" w:eastAsia="zh-CN"/>
              </w:rPr>
              <w:t>50</w:t>
            </w:r>
          </w:p>
        </w:tc>
      </w:tr>
      <w:tr w14:paraId="00D283D9">
        <w:trPr>
          <w:trHeight w:val="0" w:hRule="atLeast"/>
        </w:trPr>
        <w:tc>
          <w:tcPr>
            <w:tcW w:w="10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838F17"/>
        </w:tc>
        <w:tc>
          <w:tcPr>
            <w:tcW w:w="5094" w:type="dxa"/>
            <w:gridSpan w:val="8"/>
            <w:tcBorders>
              <w:top w:val="single" w:color="000000" w:sz="4" w:space="0"/>
              <w:left w:val="single" w:color="000000" w:sz="4" w:space="0"/>
              <w:bottom w:val="single" w:color="000000" w:sz="4" w:space="0"/>
              <w:right w:val="single" w:color="000000" w:sz="4" w:space="0"/>
            </w:tcBorders>
            <w:noWrap w:val="0"/>
            <w:vAlign w:val="center"/>
          </w:tcPr>
          <w:p w14:paraId="7B13730B">
            <w:pPr>
              <w:spacing w:line="280" w:lineRule="exact"/>
              <w:jc w:val="center"/>
              <w:rPr>
                <w:rFonts w:ascii="仿宋" w:eastAsia="仿宋" w:cs="仿宋"/>
                <w:kern w:val="2"/>
                <w:sz w:val="24"/>
              </w:rPr>
            </w:pPr>
            <w:r>
              <w:rPr>
                <w:rFonts w:hint="eastAsia" w:ascii="仿宋" w:eastAsia="仿宋" w:cs="仿宋"/>
                <w:kern w:val="2"/>
                <w:sz w:val="24"/>
              </w:rPr>
              <w:t>合计</w:t>
            </w:r>
          </w:p>
        </w:tc>
        <w:tc>
          <w:tcPr>
            <w:tcW w:w="873" w:type="dxa"/>
            <w:gridSpan w:val="2"/>
            <w:tcBorders>
              <w:top w:val="single" w:color="000000" w:sz="4" w:space="0"/>
              <w:left w:val="single" w:color="000000" w:sz="4" w:space="0"/>
              <w:bottom w:val="single" w:color="000000" w:sz="4" w:space="0"/>
              <w:right w:val="single" w:color="000000" w:sz="4" w:space="0"/>
            </w:tcBorders>
            <w:noWrap w:val="0"/>
            <w:vAlign w:val="center"/>
          </w:tcPr>
          <w:p w14:paraId="52AFF07E">
            <w:pPr>
              <w:tabs>
                <w:tab w:val="left" w:pos="720"/>
              </w:tabs>
              <w:adjustRightInd w:val="0"/>
              <w:snapToGrid w:val="0"/>
              <w:jc w:val="center"/>
              <w:rPr>
                <w:rFonts w:ascii="仿宋" w:eastAsia="仿宋" w:cs="仿宋"/>
                <w:bCs/>
                <w:sz w:val="24"/>
                <w:szCs w:val="24"/>
              </w:rPr>
            </w:pPr>
            <w:r>
              <w:rPr>
                <w:rFonts w:hint="eastAsia" w:ascii="仿宋" w:eastAsia="仿宋" w:cs="仿宋"/>
                <w:bCs/>
                <w:sz w:val="24"/>
                <w:szCs w:val="24"/>
                <w:lang w:val="en-US" w:eastAsia="zh-CN"/>
              </w:rPr>
              <w:t>2</w:t>
            </w:r>
            <w:r>
              <w:rPr>
                <w:rFonts w:hint="eastAsia" w:ascii="仿宋" w:eastAsia="仿宋" w:cs="仿宋"/>
                <w:bCs/>
                <w:sz w:val="24"/>
                <w:szCs w:val="24"/>
              </w:rPr>
              <w:t>0</w:t>
            </w:r>
          </w:p>
        </w:tc>
        <w:tc>
          <w:tcPr>
            <w:tcW w:w="873" w:type="dxa"/>
            <w:gridSpan w:val="2"/>
            <w:tcBorders>
              <w:top w:val="single" w:color="000000" w:sz="4" w:space="0"/>
              <w:left w:val="single" w:color="000000" w:sz="4" w:space="0"/>
              <w:bottom w:val="single" w:color="000000" w:sz="4" w:space="0"/>
              <w:right w:val="single" w:color="000000" w:sz="4" w:space="0"/>
            </w:tcBorders>
            <w:noWrap w:val="0"/>
            <w:vAlign w:val="center"/>
          </w:tcPr>
          <w:p w14:paraId="6F9CA551">
            <w:pPr>
              <w:tabs>
                <w:tab w:val="left" w:pos="720"/>
              </w:tabs>
              <w:adjustRightInd w:val="0"/>
              <w:snapToGrid w:val="0"/>
              <w:jc w:val="center"/>
              <w:rPr>
                <w:rFonts w:ascii="仿宋" w:eastAsia="仿宋" w:cs="仿宋"/>
                <w:bCs/>
                <w:sz w:val="24"/>
                <w:szCs w:val="24"/>
              </w:rPr>
            </w:pPr>
            <w:r>
              <w:rPr>
                <w:rFonts w:hint="eastAsia" w:ascii="仿宋" w:eastAsia="仿宋" w:cs="仿宋"/>
                <w:bCs/>
                <w:sz w:val="24"/>
                <w:szCs w:val="24"/>
                <w:lang w:val="en-US" w:eastAsia="zh-CN"/>
              </w:rPr>
              <w:t>3</w:t>
            </w:r>
            <w:r>
              <w:rPr>
                <w:rFonts w:hint="eastAsia" w:ascii="仿宋" w:eastAsia="仿宋" w:cs="仿宋"/>
                <w:bCs/>
                <w:sz w:val="24"/>
                <w:szCs w:val="24"/>
              </w:rPr>
              <w:t>0</w:t>
            </w:r>
          </w:p>
        </w:tc>
        <w:tc>
          <w:tcPr>
            <w:tcW w:w="873" w:type="dxa"/>
            <w:tcBorders>
              <w:top w:val="single" w:color="000000" w:sz="4" w:space="0"/>
              <w:left w:val="single" w:color="000000" w:sz="4" w:space="0"/>
              <w:bottom w:val="single" w:color="000000" w:sz="4" w:space="0"/>
              <w:right w:val="single" w:color="000000" w:sz="4" w:space="0"/>
            </w:tcBorders>
            <w:noWrap w:val="0"/>
            <w:vAlign w:val="center"/>
          </w:tcPr>
          <w:p w14:paraId="69A259E0">
            <w:pPr>
              <w:tabs>
                <w:tab w:val="left" w:pos="720"/>
              </w:tabs>
              <w:adjustRightInd w:val="0"/>
              <w:snapToGrid w:val="0"/>
              <w:jc w:val="center"/>
              <w:rPr>
                <w:rFonts w:ascii="仿宋" w:eastAsia="仿宋" w:cs="仿宋"/>
                <w:bCs/>
                <w:sz w:val="24"/>
                <w:szCs w:val="24"/>
              </w:rPr>
            </w:pPr>
            <w:r>
              <w:rPr>
                <w:rFonts w:hint="eastAsia" w:ascii="仿宋" w:eastAsia="仿宋" w:cs="仿宋"/>
                <w:bCs/>
                <w:sz w:val="24"/>
                <w:szCs w:val="24"/>
                <w:lang w:val="en-US" w:eastAsia="zh-CN"/>
              </w:rPr>
              <w:t>5</w:t>
            </w:r>
            <w:r>
              <w:rPr>
                <w:rFonts w:hint="eastAsia" w:ascii="仿宋" w:eastAsia="仿宋" w:cs="仿宋"/>
                <w:bCs/>
                <w:sz w:val="24"/>
                <w:szCs w:val="24"/>
              </w:rPr>
              <w:t>0</w:t>
            </w:r>
          </w:p>
        </w:tc>
        <w:tc>
          <w:tcPr>
            <w:tcW w:w="645" w:type="dxa"/>
            <w:tcBorders>
              <w:top w:val="single" w:color="000000" w:sz="4" w:space="0"/>
              <w:left w:val="single" w:color="000000" w:sz="4" w:space="0"/>
              <w:bottom w:val="single" w:color="000000" w:sz="4" w:space="0"/>
              <w:right w:val="single" w:color="000000" w:sz="4" w:space="0"/>
            </w:tcBorders>
            <w:noWrap w:val="0"/>
            <w:vAlign w:val="top"/>
          </w:tcPr>
          <w:p w14:paraId="3FA142CE">
            <w:pPr>
              <w:tabs>
                <w:tab w:val="left" w:pos="720"/>
              </w:tabs>
              <w:adjustRightInd w:val="0"/>
              <w:snapToGrid w:val="0"/>
              <w:jc w:val="center"/>
              <w:rPr>
                <w:rFonts w:hint="default" w:ascii="仿宋" w:eastAsia="仿宋" w:cs="仿宋"/>
                <w:bCs/>
                <w:sz w:val="24"/>
                <w:szCs w:val="24"/>
                <w:lang w:val="en-US" w:eastAsia="zh-CN"/>
              </w:rPr>
            </w:pPr>
            <w:r>
              <w:rPr>
                <w:rFonts w:hint="eastAsia" w:ascii="仿宋" w:eastAsia="仿宋" w:cs="仿宋"/>
                <w:bCs/>
                <w:sz w:val="24"/>
                <w:szCs w:val="24"/>
                <w:lang w:val="en-US" w:eastAsia="zh-CN"/>
              </w:rPr>
              <w:t>100</w:t>
            </w:r>
          </w:p>
        </w:tc>
      </w:tr>
      <w:tr w14:paraId="13EF68F8">
        <w:trPr>
          <w:trHeight w:val="0" w:hRule="atLeast"/>
        </w:trPr>
        <w:tc>
          <w:tcPr>
            <w:tcW w:w="1060" w:type="dxa"/>
            <w:tcBorders>
              <w:top w:val="single" w:color="000000" w:sz="4" w:space="0"/>
              <w:left w:val="single" w:color="000000" w:sz="4" w:space="0"/>
              <w:bottom w:val="single" w:color="000000" w:sz="4" w:space="0"/>
              <w:right w:val="single" w:color="000000" w:sz="4" w:space="0"/>
            </w:tcBorders>
            <w:noWrap w:val="0"/>
            <w:vAlign w:val="center"/>
          </w:tcPr>
          <w:p w14:paraId="2EFD7926">
            <w:pPr>
              <w:spacing w:line="280" w:lineRule="exact"/>
              <w:jc w:val="center"/>
              <w:rPr>
                <w:rFonts w:ascii="仿宋" w:eastAsia="仿宋" w:cs="仿宋"/>
                <w:kern w:val="2"/>
                <w:sz w:val="24"/>
              </w:rPr>
            </w:pPr>
            <w:r>
              <w:rPr>
                <w:rFonts w:hint="eastAsia" w:ascii="仿宋" w:eastAsia="仿宋" w:cs="仿宋"/>
                <w:kern w:val="2"/>
                <w:sz w:val="24"/>
              </w:rPr>
              <w:t>L</w:t>
            </w:r>
          </w:p>
          <w:p w14:paraId="019521B4">
            <w:pPr>
              <w:spacing w:line="280" w:lineRule="exact"/>
              <w:jc w:val="center"/>
              <w:rPr>
                <w:rFonts w:ascii="仿宋" w:eastAsia="仿宋" w:cs="仿宋"/>
                <w:kern w:val="2"/>
                <w:sz w:val="24"/>
              </w:rPr>
            </w:pPr>
            <w:r>
              <w:rPr>
                <w:rFonts w:hint="eastAsia" w:ascii="仿宋" w:eastAsia="仿宋" w:cs="仿宋"/>
                <w:kern w:val="2"/>
                <w:sz w:val="24"/>
              </w:rPr>
              <w:t>学习建议</w:t>
            </w:r>
          </w:p>
        </w:tc>
        <w:tc>
          <w:tcPr>
            <w:tcW w:w="8358" w:type="dxa"/>
            <w:gridSpan w:val="14"/>
            <w:tcBorders>
              <w:top w:val="single" w:color="000000" w:sz="4" w:space="0"/>
              <w:left w:val="single" w:color="000000" w:sz="4" w:space="0"/>
              <w:bottom w:val="single" w:color="000000" w:sz="4" w:space="0"/>
              <w:right w:val="single" w:color="000000" w:sz="4" w:space="0"/>
            </w:tcBorders>
            <w:noWrap w:val="0"/>
            <w:vAlign w:val="center"/>
          </w:tcPr>
          <w:p w14:paraId="158066D7">
            <w:pPr>
              <w:adjustRightInd w:val="0"/>
              <w:snapToGrid w:val="0"/>
              <w:rPr>
                <w:rFonts w:ascii="仿宋" w:eastAsia="仿宋" w:cs="仿宋"/>
                <w:bCs/>
                <w:sz w:val="24"/>
                <w:szCs w:val="24"/>
              </w:rPr>
            </w:pPr>
            <w:r>
              <w:rPr>
                <w:rFonts w:hint="eastAsia" w:ascii="仿宋" w:eastAsia="仿宋" w:cs="仿宋"/>
                <w:bCs/>
                <w:sz w:val="24"/>
                <w:szCs w:val="24"/>
              </w:rPr>
              <w:t>1.自主学习。建议学生通过预习教材，并通过网络、图书馆自主查阅课程中涉及的学习资源，独立规划自己的课程学习计划，充分发挥自身的学习能动性。</w:t>
            </w:r>
          </w:p>
          <w:p w14:paraId="0BB9C176">
            <w:pPr>
              <w:rPr>
                <w:rFonts w:ascii="仿宋" w:eastAsia="仿宋" w:cs="仿宋"/>
                <w:kern w:val="2"/>
                <w:sz w:val="24"/>
              </w:rPr>
            </w:pPr>
            <w:r>
              <w:rPr>
                <w:rFonts w:hint="eastAsia" w:ascii="仿宋" w:eastAsia="仿宋" w:cs="仿宋"/>
                <w:bCs/>
                <w:sz w:val="24"/>
                <w:szCs w:val="24"/>
              </w:rPr>
              <w:t>2.研究性学习。鼓励学生针对课程教学内容，尝试理论课结合专题报告的教学方式，开展相关的学科进展和专题讲座，提高学生的学习兴趣，了解国内外最新学科知识，开阔学生的视野。</w:t>
            </w:r>
          </w:p>
        </w:tc>
      </w:tr>
      <w:tr w14:paraId="5497D879">
        <w:trPr>
          <w:trHeight w:val="0" w:hRule="atLeast"/>
        </w:trPr>
        <w:tc>
          <w:tcPr>
            <w:tcW w:w="1060" w:type="dxa"/>
            <w:tcBorders>
              <w:top w:val="single" w:color="000000" w:sz="4" w:space="0"/>
              <w:left w:val="single" w:color="000000" w:sz="4" w:space="0"/>
              <w:bottom w:val="single" w:color="000000" w:sz="4" w:space="0"/>
              <w:right w:val="single" w:color="000000" w:sz="4" w:space="0"/>
            </w:tcBorders>
            <w:noWrap w:val="0"/>
            <w:vAlign w:val="center"/>
          </w:tcPr>
          <w:p w14:paraId="7B75A867">
            <w:pPr>
              <w:spacing w:line="280" w:lineRule="exact"/>
              <w:jc w:val="center"/>
              <w:rPr>
                <w:rFonts w:ascii="仿宋" w:eastAsia="仿宋" w:cs="仿宋"/>
                <w:kern w:val="2"/>
                <w:sz w:val="24"/>
              </w:rPr>
            </w:pPr>
            <w:r>
              <w:rPr>
                <w:rFonts w:hint="eastAsia" w:ascii="仿宋" w:eastAsia="仿宋" w:cs="仿宋"/>
                <w:kern w:val="2"/>
                <w:sz w:val="24"/>
              </w:rPr>
              <w:t>M</w:t>
            </w:r>
          </w:p>
          <w:p w14:paraId="510B2A48">
            <w:pPr>
              <w:spacing w:line="280" w:lineRule="exact"/>
              <w:jc w:val="center"/>
              <w:rPr>
                <w:rFonts w:ascii="仿宋" w:eastAsia="仿宋" w:cs="仿宋"/>
                <w:kern w:val="2"/>
                <w:sz w:val="24"/>
              </w:rPr>
            </w:pPr>
            <w:r>
              <w:rPr>
                <w:rFonts w:hint="eastAsia" w:ascii="仿宋" w:eastAsia="仿宋" w:cs="仿宋"/>
                <w:kern w:val="2"/>
                <w:sz w:val="24"/>
              </w:rPr>
              <w:t>评分量表</w:t>
            </w:r>
          </w:p>
        </w:tc>
        <w:tc>
          <w:tcPr>
            <w:tcW w:w="8358" w:type="dxa"/>
            <w:gridSpan w:val="14"/>
            <w:tcBorders>
              <w:top w:val="single" w:color="000000" w:sz="4" w:space="0"/>
              <w:left w:val="single" w:color="000000" w:sz="4" w:space="0"/>
              <w:bottom w:val="single" w:color="000000" w:sz="4" w:space="0"/>
              <w:right w:val="single" w:color="000000" w:sz="4" w:space="0"/>
            </w:tcBorders>
            <w:noWrap w:val="0"/>
            <w:vAlign w:val="center"/>
          </w:tcPr>
          <w:p w14:paraId="0E02A39A">
            <w:pPr>
              <w:adjustRightInd w:val="0"/>
              <w:snapToGrid w:val="0"/>
              <w:spacing w:line="240" w:lineRule="atLeast"/>
              <w:jc w:val="left"/>
              <w:rPr>
                <w:rFonts w:ascii="仿宋" w:eastAsia="仿宋" w:cs="仿宋"/>
                <w:bCs/>
                <w:sz w:val="24"/>
                <w:szCs w:val="24"/>
              </w:rPr>
            </w:pPr>
            <w:r>
              <w:rPr>
                <w:rFonts w:hint="eastAsia" w:ascii="仿宋" w:eastAsia="仿宋" w:cs="仿宋"/>
                <w:kern w:val="2"/>
                <w:sz w:val="24"/>
                <w:szCs w:val="24"/>
              </w:rPr>
              <w:t>《</w:t>
            </w:r>
            <w:r>
              <w:rPr>
                <w:rFonts w:hint="eastAsia" w:ascii="仿宋" w:eastAsia="仿宋" w:cs="仿宋"/>
                <w:bCs/>
                <w:sz w:val="24"/>
                <w:szCs w:val="24"/>
              </w:rPr>
              <w:t>学校音乐教育实践技能训练(中小学歌曲弹唱)</w:t>
            </w:r>
            <w:r>
              <w:rPr>
                <w:rFonts w:hint="eastAsia" w:ascii="仿宋" w:eastAsia="仿宋" w:cs="仿宋"/>
                <w:kern w:val="2"/>
                <w:sz w:val="24"/>
                <w:szCs w:val="24"/>
              </w:rPr>
              <w:t>》</w:t>
            </w:r>
            <w:r>
              <w:rPr>
                <w:rFonts w:hint="eastAsia" w:ascii="仿宋" w:eastAsia="仿宋" w:cs="仿宋"/>
                <w:szCs w:val="21"/>
              </w:rPr>
              <w:t>课程目标评分量表见附表。</w:t>
            </w:r>
          </w:p>
        </w:tc>
      </w:tr>
      <w:tr w14:paraId="679969B5">
        <w:trPr>
          <w:trHeight w:val="0" w:hRule="atLeast"/>
        </w:trPr>
        <w:tc>
          <w:tcPr>
            <w:tcW w:w="1060" w:type="dxa"/>
            <w:tcBorders>
              <w:top w:val="single" w:color="000000" w:sz="4" w:space="0"/>
              <w:left w:val="single" w:color="000000" w:sz="4" w:space="0"/>
              <w:bottom w:val="single" w:color="000000" w:sz="4" w:space="0"/>
              <w:right w:val="single" w:color="000000" w:sz="4" w:space="0"/>
            </w:tcBorders>
            <w:noWrap w:val="0"/>
            <w:vAlign w:val="center"/>
          </w:tcPr>
          <w:p w14:paraId="09F05FDE">
            <w:pPr>
              <w:spacing w:line="280" w:lineRule="exact"/>
              <w:jc w:val="center"/>
              <w:rPr>
                <w:rFonts w:ascii="仿宋" w:eastAsia="仿宋" w:cs="仿宋"/>
                <w:kern w:val="2"/>
                <w:sz w:val="24"/>
              </w:rPr>
            </w:pPr>
            <w:r>
              <w:rPr>
                <w:rFonts w:hint="eastAsia" w:ascii="仿宋" w:eastAsia="仿宋" w:cs="仿宋"/>
                <w:kern w:val="2"/>
                <w:sz w:val="24"/>
              </w:rPr>
              <w:t>备注</w:t>
            </w:r>
          </w:p>
        </w:tc>
        <w:tc>
          <w:tcPr>
            <w:tcW w:w="8358" w:type="dxa"/>
            <w:gridSpan w:val="14"/>
            <w:tcBorders>
              <w:top w:val="single" w:color="000000" w:sz="4" w:space="0"/>
              <w:left w:val="single" w:color="000000" w:sz="4" w:space="0"/>
              <w:bottom w:val="single" w:color="000000" w:sz="4" w:space="0"/>
              <w:right w:val="single" w:color="000000" w:sz="4" w:space="0"/>
            </w:tcBorders>
            <w:noWrap w:val="0"/>
            <w:vAlign w:val="center"/>
          </w:tcPr>
          <w:p w14:paraId="0EEF91BC">
            <w:pPr>
              <w:spacing w:line="280" w:lineRule="exact"/>
              <w:rPr>
                <w:rFonts w:ascii="仿宋" w:eastAsia="仿宋" w:cs="仿宋"/>
                <w:kern w:val="2"/>
                <w:sz w:val="24"/>
              </w:rPr>
            </w:pPr>
            <w:r>
              <w:rPr>
                <w:rFonts w:hint="eastAsia" w:ascii="仿宋" w:eastAsia="仿宋" w:cs="仿宋"/>
                <w:kern w:val="2"/>
                <w:sz w:val="24"/>
              </w:rPr>
              <w:t>课程大纲A—M项由开课学院审批通过，任课教师不能自行更改。</w:t>
            </w:r>
          </w:p>
          <w:p w14:paraId="75360EDE">
            <w:pPr>
              <w:spacing w:line="280" w:lineRule="exact"/>
              <w:rPr>
                <w:rFonts w:ascii="仿宋" w:eastAsia="仿宋" w:cs="仿宋"/>
                <w:kern w:val="2"/>
                <w:sz w:val="24"/>
              </w:rPr>
            </w:pPr>
          </w:p>
        </w:tc>
      </w:tr>
      <w:tr w14:paraId="487FB47D">
        <w:trPr>
          <w:trHeight w:val="0" w:hRule="atLeast"/>
        </w:trPr>
        <w:tc>
          <w:tcPr>
            <w:tcW w:w="1060" w:type="dxa"/>
            <w:tcBorders>
              <w:top w:val="single" w:color="000000" w:sz="4" w:space="0"/>
              <w:left w:val="single" w:color="000000" w:sz="4" w:space="0"/>
              <w:bottom w:val="single" w:color="000000" w:sz="4" w:space="0"/>
              <w:right w:val="single" w:color="000000" w:sz="4" w:space="0"/>
            </w:tcBorders>
            <w:noWrap w:val="0"/>
            <w:vAlign w:val="center"/>
          </w:tcPr>
          <w:p w14:paraId="7CA077AF">
            <w:pPr>
              <w:spacing w:line="280" w:lineRule="exact"/>
              <w:jc w:val="center"/>
              <w:rPr>
                <w:rFonts w:ascii="仿宋" w:eastAsia="仿宋" w:cs="仿宋"/>
                <w:kern w:val="2"/>
                <w:sz w:val="24"/>
              </w:rPr>
            </w:pPr>
            <w:r>
              <w:rPr>
                <w:rFonts w:hint="eastAsia" w:ascii="仿宋" w:eastAsia="仿宋" w:cs="仿宋"/>
                <w:kern w:val="2"/>
                <w:sz w:val="24"/>
              </w:rPr>
              <w:t>审批</w:t>
            </w:r>
          </w:p>
          <w:p w14:paraId="5C684DD4">
            <w:pPr>
              <w:spacing w:line="280" w:lineRule="exact"/>
              <w:jc w:val="center"/>
              <w:rPr>
                <w:rFonts w:ascii="仿宋" w:eastAsia="仿宋" w:cs="仿宋"/>
                <w:kern w:val="2"/>
                <w:sz w:val="24"/>
              </w:rPr>
            </w:pPr>
            <w:r>
              <w:rPr>
                <w:rFonts w:hint="eastAsia" w:ascii="仿宋" w:eastAsia="仿宋" w:cs="仿宋"/>
                <w:kern w:val="2"/>
                <w:sz w:val="24"/>
              </w:rPr>
              <w:t>意见</w:t>
            </w:r>
          </w:p>
        </w:tc>
        <w:tc>
          <w:tcPr>
            <w:tcW w:w="3916" w:type="dxa"/>
            <w:gridSpan w:val="5"/>
            <w:tcBorders>
              <w:top w:val="single" w:color="000000" w:sz="4" w:space="0"/>
              <w:left w:val="single" w:color="000000" w:sz="4" w:space="0"/>
              <w:bottom w:val="single" w:color="000000" w:sz="4" w:space="0"/>
              <w:right w:val="single" w:color="000000" w:sz="4" w:space="0"/>
            </w:tcBorders>
            <w:noWrap w:val="0"/>
            <w:vAlign w:val="top"/>
          </w:tcPr>
          <w:p w14:paraId="761246AA">
            <w:pPr>
              <w:widowControl/>
              <w:jc w:val="left"/>
              <w:rPr>
                <w:rFonts w:ascii="仿宋" w:eastAsia="仿宋" w:cs="仿宋"/>
                <w:sz w:val="24"/>
                <w:szCs w:val="24"/>
              </w:rPr>
            </w:pPr>
            <w:r>
              <w:rPr>
                <w:rFonts w:hint="eastAsia" w:ascii="仿宋" w:eastAsia="仿宋" w:cs="仿宋"/>
                <w:sz w:val="24"/>
                <w:szCs w:val="24"/>
              </w:rPr>
              <w:t>课程教学大纲修订负责人及教学团队成员</w:t>
            </w:r>
            <w:r>
              <w:rPr>
                <w:rFonts w:hint="eastAsia" w:ascii="仿宋" w:eastAsia="仿宋" w:cs="仿宋"/>
                <w:kern w:val="2"/>
                <w:sz w:val="24"/>
                <w:szCs w:val="24"/>
              </w:rPr>
              <w:t>签名</w:t>
            </w:r>
            <w:r>
              <w:rPr>
                <w:rFonts w:hint="eastAsia" w:ascii="仿宋" w:eastAsia="仿宋" w:cs="仿宋"/>
                <w:sz w:val="24"/>
                <w:szCs w:val="24"/>
              </w:rPr>
              <w:t>：</w:t>
            </w:r>
          </w:p>
          <w:p w14:paraId="123246C8">
            <w:pPr>
              <w:widowControl/>
              <w:rPr>
                <w:rFonts w:ascii="仿宋" w:eastAsia="仿宋" w:cs="仿宋"/>
                <w:sz w:val="24"/>
                <w:szCs w:val="24"/>
              </w:rPr>
            </w:pPr>
          </w:p>
          <w:p w14:paraId="182A37BC">
            <w:pPr>
              <w:widowControl/>
              <w:rPr>
                <w:rFonts w:ascii="仿宋" w:eastAsia="仿宋" w:cs="仿宋"/>
                <w:sz w:val="24"/>
                <w:szCs w:val="24"/>
              </w:rPr>
            </w:pPr>
          </w:p>
          <w:p w14:paraId="38BA99BD">
            <w:pPr>
              <w:widowControl/>
              <w:rPr>
                <w:rFonts w:ascii="仿宋" w:eastAsia="仿宋" w:cs="仿宋"/>
                <w:sz w:val="24"/>
                <w:szCs w:val="24"/>
              </w:rPr>
            </w:pPr>
          </w:p>
          <w:p w14:paraId="30B542E6">
            <w:pPr>
              <w:widowControl/>
              <w:jc w:val="right"/>
              <w:rPr>
                <w:rFonts w:ascii="仿宋" w:eastAsia="仿宋" w:cs="仿宋"/>
                <w:sz w:val="24"/>
                <w:szCs w:val="24"/>
              </w:rPr>
            </w:pPr>
            <w:r>
              <w:rPr>
                <w:rFonts w:hint="eastAsia" w:ascii="仿宋" w:eastAsia="仿宋" w:cs="仿宋"/>
                <w:sz w:val="24"/>
                <w:szCs w:val="24"/>
              </w:rPr>
              <w:t>年   月   日</w:t>
            </w:r>
          </w:p>
        </w:tc>
        <w:tc>
          <w:tcPr>
            <w:tcW w:w="4442" w:type="dxa"/>
            <w:gridSpan w:val="9"/>
            <w:tcBorders>
              <w:top w:val="single" w:color="000000" w:sz="4" w:space="0"/>
              <w:left w:val="single" w:color="000000" w:sz="4" w:space="0"/>
              <w:bottom w:val="single" w:color="000000" w:sz="4" w:space="0"/>
              <w:right w:val="single" w:color="000000" w:sz="4" w:space="0"/>
            </w:tcBorders>
            <w:noWrap w:val="0"/>
            <w:vAlign w:val="top"/>
          </w:tcPr>
          <w:p w14:paraId="5CD9D0AF">
            <w:pPr>
              <w:widowControl/>
              <w:rPr>
                <w:rFonts w:ascii="仿宋" w:eastAsia="仿宋" w:cs="仿宋"/>
                <w:sz w:val="24"/>
                <w:szCs w:val="24"/>
              </w:rPr>
            </w:pPr>
            <w:r>
              <w:rPr>
                <w:rFonts w:hint="eastAsia" w:ascii="仿宋" w:eastAsia="仿宋" w:cs="仿宋"/>
                <w:sz w:val="24"/>
                <w:szCs w:val="24"/>
              </w:rPr>
              <w:t>系主任审核意见：</w:t>
            </w:r>
          </w:p>
          <w:p w14:paraId="4224B2A1">
            <w:pPr>
              <w:widowControl/>
              <w:rPr>
                <w:rFonts w:ascii="仿宋" w:eastAsia="仿宋" w:cs="仿宋"/>
                <w:sz w:val="24"/>
                <w:szCs w:val="24"/>
              </w:rPr>
            </w:pPr>
            <w:r>
              <w:rPr>
                <w:rFonts w:hint="eastAsia" w:ascii="仿宋" w:eastAsia="仿宋" w:cs="仿宋"/>
                <w:sz w:val="24"/>
                <w:szCs w:val="24"/>
              </w:rPr>
              <w:t>系主任签名：</w:t>
            </w:r>
            <w:r>
              <w:drawing>
                <wp:inline distT="0" distB="0" distL="114300" distR="114300">
                  <wp:extent cx="923290" cy="584200"/>
                  <wp:effectExtent l="0" t="0" r="16510" b="0"/>
                  <wp:docPr id="2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3"/>
                          <pic:cNvPicPr>
                            <a:picLocks noChangeAspect="1"/>
                          </pic:cNvPicPr>
                        </pic:nvPicPr>
                        <pic:blipFill>
                          <a:blip r:embed="rId152">
                            <a:clrChange>
                              <a:clrFrom>
                                <a:srgbClr val="FFFFFF"/>
                              </a:clrFrom>
                              <a:clrTo>
                                <a:srgbClr val="FFFFFF">
                                  <a:alpha val="0"/>
                                </a:srgbClr>
                              </a:clrTo>
                            </a:clrChange>
                          </a:blip>
                          <a:stretch>
                            <a:fillRect/>
                          </a:stretch>
                        </pic:blipFill>
                        <pic:spPr>
                          <a:xfrm>
                            <a:off x="0" y="0"/>
                            <a:ext cx="923290" cy="584200"/>
                          </a:xfrm>
                          <a:prstGeom prst="rect">
                            <a:avLst/>
                          </a:prstGeom>
                          <a:noFill/>
                          <a:ln>
                            <a:noFill/>
                          </a:ln>
                        </pic:spPr>
                      </pic:pic>
                    </a:graphicData>
                  </a:graphic>
                </wp:inline>
              </w:drawing>
            </w:r>
          </w:p>
          <w:p w14:paraId="3C3B685E">
            <w:pPr>
              <w:widowControl/>
              <w:rPr>
                <w:rFonts w:ascii="仿宋" w:eastAsia="仿宋" w:cs="仿宋"/>
                <w:sz w:val="24"/>
                <w:szCs w:val="24"/>
              </w:rPr>
            </w:pPr>
          </w:p>
          <w:p w14:paraId="468B16C4">
            <w:pPr>
              <w:widowControl/>
              <w:jc w:val="right"/>
              <w:rPr>
                <w:rFonts w:ascii="仿宋" w:eastAsia="仿宋" w:cs="仿宋"/>
                <w:sz w:val="24"/>
                <w:szCs w:val="24"/>
              </w:rPr>
            </w:pPr>
            <w:r>
              <w:rPr>
                <w:rFonts w:hint="eastAsia" w:ascii="仿宋" w:eastAsia="仿宋" w:cs="仿宋"/>
                <w:sz w:val="24"/>
                <w:szCs w:val="24"/>
              </w:rPr>
              <w:t>年   月   日</w:t>
            </w:r>
          </w:p>
        </w:tc>
      </w:tr>
    </w:tbl>
    <w:p w14:paraId="0E7BA71D"/>
    <w:p w14:paraId="2D36DAF0">
      <w:pPr>
        <w:spacing w:before="240" w:line="276" w:lineRule="auto"/>
        <w:jc w:val="center"/>
        <w:outlineLvl w:val="0"/>
        <w:rPr>
          <w:rFonts w:ascii="仿宋" w:eastAsia="仿宋" w:cs="黑体"/>
          <w:b/>
          <w:kern w:val="2"/>
          <w:sz w:val="28"/>
          <w:szCs w:val="28"/>
        </w:rPr>
      </w:pPr>
      <w:bookmarkStart w:id="127" w:name="_Toc1096323937"/>
      <w:r>
        <w:rPr>
          <w:rFonts w:hint="eastAsia" w:ascii="仿宋" w:eastAsia="仿宋" w:cs="仿宋"/>
          <w:b/>
          <w:kern w:val="2"/>
          <w:sz w:val="28"/>
          <w:szCs w:val="28"/>
        </w:rPr>
        <w:t>附表：《</w:t>
      </w:r>
      <w:r>
        <w:rPr>
          <w:rFonts w:hint="eastAsia" w:ascii="仿宋" w:eastAsia="仿宋" w:cs="仿宋"/>
          <w:b/>
          <w:bCs/>
          <w:kern w:val="2"/>
          <w:sz w:val="28"/>
          <w:szCs w:val="28"/>
        </w:rPr>
        <w:t>学校音乐教育实践技能训练</w:t>
      </w:r>
      <w:r>
        <w:rPr>
          <w:rFonts w:hint="eastAsia" w:ascii="仿宋" w:eastAsia="仿宋" w:cs="仿宋"/>
          <w:b/>
          <w:kern w:val="2"/>
          <w:sz w:val="28"/>
          <w:szCs w:val="28"/>
        </w:rPr>
        <w:t>》课程目标评分量表</w:t>
      </w:r>
      <w:bookmarkEnd w:id="127"/>
    </w:p>
    <w:tbl>
      <w:tblPr>
        <w:tblStyle w:val="22"/>
        <w:tblW w:w="0" w:type="auto"/>
        <w:tblInd w:w="94" w:type="dxa"/>
        <w:tblLayout w:type="autofit"/>
        <w:tblCellMar>
          <w:top w:w="0" w:type="dxa"/>
          <w:left w:w="108" w:type="dxa"/>
          <w:bottom w:w="0" w:type="dxa"/>
          <w:right w:w="108" w:type="dxa"/>
        </w:tblCellMar>
      </w:tblPr>
      <w:tblGrid>
        <w:gridCol w:w="1737"/>
        <w:gridCol w:w="1333"/>
        <w:gridCol w:w="1177"/>
        <w:gridCol w:w="1287"/>
        <w:gridCol w:w="1297"/>
        <w:gridCol w:w="1597"/>
      </w:tblGrid>
      <w:tr w14:paraId="0A61CB07">
        <w:trPr>
          <w:trHeight w:val="799"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422AAC0D">
            <w:pPr>
              <w:tabs>
                <w:tab w:val="left" w:pos="720"/>
              </w:tabs>
              <w:spacing w:line="240" w:lineRule="atLeast"/>
              <w:jc w:val="center"/>
              <w:rPr>
                <w:rFonts w:ascii="仿宋" w:eastAsia="仿宋" w:cs="仿宋"/>
                <w:b/>
                <w:kern w:val="2"/>
                <w:szCs w:val="21"/>
              </w:rPr>
            </w:pPr>
            <w:r>
              <w:rPr>
                <w:rFonts w:hint="eastAsia" w:ascii="仿宋" w:eastAsia="仿宋" w:cs="仿宋"/>
                <w:b/>
                <w:kern w:val="2"/>
                <w:szCs w:val="21"/>
              </w:rPr>
              <w:t>课程目标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32AFF9">
            <w:pPr>
              <w:tabs>
                <w:tab w:val="left" w:pos="720"/>
              </w:tabs>
              <w:spacing w:line="240" w:lineRule="atLeast"/>
              <w:jc w:val="center"/>
              <w:rPr>
                <w:rFonts w:ascii="仿宋" w:eastAsia="仿宋" w:cs="仿宋"/>
                <w:b/>
                <w:kern w:val="2"/>
                <w:szCs w:val="21"/>
              </w:rPr>
            </w:pPr>
            <w:r>
              <w:rPr>
                <w:rFonts w:hint="eastAsia" w:ascii="仿宋" w:eastAsia="仿宋" w:cs="仿宋"/>
                <w:b/>
                <w:kern w:val="2"/>
                <w:szCs w:val="21"/>
              </w:rPr>
              <w:t>优</w:t>
            </w:r>
          </w:p>
          <w:p w14:paraId="3D9C43E0">
            <w:pPr>
              <w:tabs>
                <w:tab w:val="left" w:pos="720"/>
              </w:tabs>
              <w:spacing w:line="300" w:lineRule="exact"/>
              <w:ind w:left="-93" w:right="-75" w:hanging="12"/>
              <w:jc w:val="center"/>
              <w:rPr>
                <w:rFonts w:ascii="仿宋" w:eastAsia="仿宋" w:cs="仿宋"/>
                <w:b/>
                <w:kern w:val="2"/>
                <w:szCs w:val="21"/>
              </w:rPr>
            </w:pPr>
            <w:r>
              <w:rPr>
                <w:rFonts w:hint="eastAsia" w:ascii="仿宋" w:eastAsia="仿宋" w:cs="仿宋"/>
                <w:b/>
                <w:kern w:val="2"/>
                <w:szCs w:val="21"/>
              </w:rPr>
              <w:t>（X≧90）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1B27B0">
            <w:pPr>
              <w:tabs>
                <w:tab w:val="left" w:pos="720"/>
              </w:tabs>
              <w:spacing w:line="240" w:lineRule="atLeast"/>
              <w:jc w:val="center"/>
              <w:rPr>
                <w:rFonts w:ascii="仿宋" w:eastAsia="仿宋" w:cs="仿宋"/>
                <w:b/>
                <w:kern w:val="2"/>
                <w:szCs w:val="21"/>
              </w:rPr>
            </w:pPr>
            <w:r>
              <w:rPr>
                <w:rFonts w:hint="eastAsia" w:ascii="仿宋" w:eastAsia="仿宋" w:cs="仿宋"/>
                <w:b/>
                <w:kern w:val="2"/>
                <w:szCs w:val="21"/>
              </w:rPr>
              <w:t>良</w:t>
            </w:r>
          </w:p>
          <w:p w14:paraId="70F96A97">
            <w:pPr>
              <w:tabs>
                <w:tab w:val="left" w:pos="720"/>
              </w:tabs>
              <w:spacing w:line="300" w:lineRule="exact"/>
              <w:ind w:left="-93" w:right="-75" w:hanging="12"/>
              <w:jc w:val="center"/>
              <w:rPr>
                <w:rFonts w:ascii="仿宋" w:eastAsia="仿宋" w:cs="仿宋"/>
                <w:b/>
                <w:kern w:val="2"/>
                <w:szCs w:val="21"/>
              </w:rPr>
            </w:pPr>
            <w:r>
              <w:rPr>
                <w:rFonts w:hint="eastAsia" w:ascii="仿宋" w:eastAsia="仿宋" w:cs="仿宋"/>
                <w:b/>
                <w:kern w:val="2"/>
                <w:szCs w:val="21"/>
              </w:rPr>
              <w:t>（80≦X＜90）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DC381C">
            <w:pPr>
              <w:tabs>
                <w:tab w:val="left" w:pos="720"/>
              </w:tabs>
              <w:spacing w:line="240" w:lineRule="atLeast"/>
              <w:jc w:val="center"/>
              <w:rPr>
                <w:rFonts w:ascii="仿宋" w:eastAsia="仿宋" w:cs="仿宋"/>
                <w:b/>
                <w:kern w:val="2"/>
                <w:szCs w:val="21"/>
              </w:rPr>
            </w:pPr>
            <w:r>
              <w:rPr>
                <w:rFonts w:hint="eastAsia" w:ascii="仿宋" w:eastAsia="仿宋" w:cs="仿宋"/>
                <w:b/>
                <w:kern w:val="2"/>
                <w:szCs w:val="21"/>
              </w:rPr>
              <w:t>中</w:t>
            </w:r>
          </w:p>
          <w:p w14:paraId="4F700C36">
            <w:pPr>
              <w:tabs>
                <w:tab w:val="left" w:pos="720"/>
              </w:tabs>
              <w:spacing w:line="300" w:lineRule="exact"/>
              <w:ind w:left="-93" w:right="-75" w:hanging="12"/>
              <w:jc w:val="center"/>
              <w:rPr>
                <w:rFonts w:ascii="仿宋" w:eastAsia="仿宋" w:cs="仿宋"/>
                <w:b/>
                <w:kern w:val="2"/>
                <w:szCs w:val="21"/>
              </w:rPr>
            </w:pPr>
            <w:r>
              <w:rPr>
                <w:rFonts w:hint="eastAsia" w:ascii="仿宋" w:eastAsia="仿宋" w:cs="仿宋"/>
                <w:b/>
                <w:kern w:val="2"/>
                <w:szCs w:val="21"/>
              </w:rPr>
              <w:t>（70≦X＜80）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5AF7DB">
            <w:pPr>
              <w:tabs>
                <w:tab w:val="left" w:pos="720"/>
              </w:tabs>
              <w:spacing w:line="240" w:lineRule="atLeast"/>
              <w:jc w:val="center"/>
              <w:rPr>
                <w:rFonts w:ascii="仿宋" w:eastAsia="仿宋" w:cs="仿宋"/>
                <w:b/>
                <w:kern w:val="2"/>
                <w:szCs w:val="21"/>
              </w:rPr>
            </w:pPr>
            <w:r>
              <w:rPr>
                <w:rFonts w:hint="eastAsia" w:ascii="仿宋" w:eastAsia="仿宋" w:cs="仿宋"/>
                <w:b/>
                <w:kern w:val="2"/>
                <w:szCs w:val="21"/>
              </w:rPr>
              <w:t>及格</w:t>
            </w:r>
          </w:p>
          <w:p w14:paraId="224C3100">
            <w:pPr>
              <w:tabs>
                <w:tab w:val="left" w:pos="720"/>
              </w:tabs>
              <w:spacing w:line="300" w:lineRule="exact"/>
              <w:ind w:left="-93" w:right="-75" w:hanging="12"/>
              <w:jc w:val="center"/>
              <w:rPr>
                <w:rFonts w:ascii="仿宋" w:eastAsia="仿宋" w:cs="仿宋"/>
                <w:b/>
                <w:kern w:val="2"/>
                <w:szCs w:val="21"/>
              </w:rPr>
            </w:pPr>
            <w:r>
              <w:rPr>
                <w:rFonts w:hint="eastAsia" w:ascii="仿宋" w:eastAsia="仿宋" w:cs="仿宋"/>
                <w:b/>
                <w:kern w:val="2"/>
                <w:szCs w:val="21"/>
              </w:rPr>
              <w:t>（60≦X＜70）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838E51">
            <w:pPr>
              <w:tabs>
                <w:tab w:val="left" w:pos="720"/>
              </w:tabs>
              <w:spacing w:line="240" w:lineRule="atLeast"/>
              <w:jc w:val="center"/>
              <w:rPr>
                <w:rFonts w:ascii="仿宋" w:eastAsia="仿宋" w:cs="仿宋"/>
                <w:b/>
                <w:kern w:val="2"/>
                <w:szCs w:val="21"/>
              </w:rPr>
            </w:pPr>
            <w:r>
              <w:rPr>
                <w:rFonts w:hint="eastAsia" w:ascii="仿宋" w:eastAsia="仿宋" w:cs="仿宋"/>
                <w:b/>
                <w:kern w:val="2"/>
                <w:szCs w:val="21"/>
              </w:rPr>
              <w:t>不及格</w:t>
            </w:r>
          </w:p>
          <w:p w14:paraId="0D6CC87D">
            <w:pPr>
              <w:tabs>
                <w:tab w:val="left" w:pos="720"/>
              </w:tabs>
              <w:spacing w:line="240" w:lineRule="atLeast"/>
              <w:jc w:val="center"/>
              <w:rPr>
                <w:rFonts w:ascii="仿宋" w:eastAsia="仿宋" w:cs="仿宋"/>
                <w:b/>
                <w:kern w:val="2"/>
                <w:szCs w:val="21"/>
              </w:rPr>
            </w:pPr>
            <w:r>
              <w:rPr>
                <w:rFonts w:hint="eastAsia" w:ascii="仿宋" w:eastAsia="仿宋" w:cs="仿宋"/>
                <w:b/>
                <w:kern w:val="2"/>
                <w:szCs w:val="21"/>
              </w:rPr>
              <w:t>（X＜60）</w:t>
            </w:r>
          </w:p>
        </w:tc>
      </w:tr>
      <w:tr w14:paraId="5BE1DD78">
        <w:trPr>
          <w:trHeight w:val="624" w:hRule="atLeast"/>
        </w:trPr>
        <w:tc>
          <w:tcPr>
            <w:tcW w:w="0" w:type="auto"/>
            <w:tcBorders>
              <w:top w:val="single" w:color="000000" w:sz="4" w:space="0"/>
              <w:left w:val="single" w:color="000000" w:sz="4" w:space="0"/>
              <w:bottom w:val="single" w:color="000000" w:sz="4" w:space="0"/>
              <w:right w:val="single" w:color="000000" w:sz="4" w:space="0"/>
            </w:tcBorders>
            <w:noWrap w:val="0"/>
            <w:vAlign w:val="top"/>
          </w:tcPr>
          <w:p w14:paraId="3344F30E">
            <w:pPr>
              <w:widowControl/>
              <w:spacing w:line="280" w:lineRule="exact"/>
              <w:rPr>
                <w:rFonts w:ascii="楷体" w:eastAsia="楷体" w:cs="仿宋"/>
                <w:bCs/>
                <w:kern w:val="2"/>
                <w:szCs w:val="21"/>
              </w:rPr>
            </w:pPr>
            <w:r>
              <w:rPr>
                <w:rFonts w:hint="eastAsia" w:ascii="楷体" w:eastAsia="楷体" w:cs="仿宋"/>
                <w:bCs/>
                <w:kern w:val="2"/>
                <w:szCs w:val="21"/>
              </w:rPr>
              <w:t>课程目标1：</w:t>
            </w:r>
          </w:p>
          <w:p w14:paraId="1F9F8AAB">
            <w:pPr>
              <w:widowControl/>
              <w:spacing w:line="280" w:lineRule="exact"/>
              <w:rPr>
                <w:rFonts w:ascii="楷体" w:eastAsia="楷体" w:cs="仿宋"/>
                <w:bCs/>
                <w:kern w:val="2"/>
                <w:szCs w:val="21"/>
              </w:rPr>
            </w:pPr>
            <w:r>
              <w:rPr>
                <w:rFonts w:hint="eastAsia" w:ascii="楷体" w:eastAsia="楷体" w:cs="仿宋"/>
                <w:bCs/>
                <w:kern w:val="2"/>
                <w:szCs w:val="21"/>
              </w:rPr>
              <w:t>熟悉有思政教育意义的歌曲，并了解其背景内涵，正确诠释；了解弹唱曲目的文化历史背景、教育意义，对于歌曲蕴含的思政背景有正确的把握，能够正确引领学生品鉴作品内含的世界音乐文化精髓和</w:t>
            </w:r>
            <w:r>
              <w:rPr>
                <w:rFonts w:hint="eastAsia" w:ascii="楷体" w:eastAsia="楷体" w:cs="仿宋"/>
                <w:kern w:val="2"/>
                <w:szCs w:val="21"/>
              </w:rPr>
              <w:t xml:space="preserve">社会主义核心价值观。 </w:t>
            </w:r>
          </w:p>
        </w:tc>
        <w:tc>
          <w:tcPr>
            <w:tcW w:w="0" w:type="auto"/>
            <w:tcBorders>
              <w:top w:val="single" w:color="000000" w:sz="4" w:space="0"/>
              <w:left w:val="single" w:color="000000" w:sz="4" w:space="0"/>
              <w:bottom w:val="single" w:color="000000" w:sz="4" w:space="0"/>
              <w:right w:val="single" w:color="000000" w:sz="4" w:space="0"/>
            </w:tcBorders>
            <w:noWrap w:val="0"/>
            <w:vAlign w:val="top"/>
          </w:tcPr>
          <w:p w14:paraId="666FA98A">
            <w:pPr>
              <w:widowControl/>
              <w:spacing w:line="280" w:lineRule="exact"/>
              <w:rPr>
                <w:rFonts w:ascii="楷体" w:eastAsia="楷体" w:cs="仿宋"/>
                <w:bCs/>
                <w:kern w:val="2"/>
                <w:szCs w:val="21"/>
              </w:rPr>
            </w:pPr>
            <w:r>
              <w:rPr>
                <w:rFonts w:hint="eastAsia" w:ascii="楷体" w:eastAsia="楷体" w:cs="仿宋"/>
                <w:bCs/>
                <w:kern w:val="2"/>
                <w:szCs w:val="21"/>
              </w:rPr>
              <w:t>在弹唱作业中表现出良好的精神风貌与教态；对于作品的文化精髓和价值观理解到位，表现清晰，熟练，优秀能力。</w:t>
            </w:r>
          </w:p>
        </w:tc>
        <w:tc>
          <w:tcPr>
            <w:tcW w:w="0" w:type="auto"/>
            <w:tcBorders>
              <w:top w:val="single" w:color="000000" w:sz="4" w:space="0"/>
              <w:left w:val="single" w:color="000000" w:sz="4" w:space="0"/>
              <w:bottom w:val="single" w:color="000000" w:sz="4" w:space="0"/>
              <w:right w:val="single" w:color="000000" w:sz="4" w:space="0"/>
            </w:tcBorders>
            <w:noWrap w:val="0"/>
            <w:vAlign w:val="top"/>
          </w:tcPr>
          <w:p w14:paraId="50EF97F6">
            <w:pPr>
              <w:widowControl/>
              <w:spacing w:line="280" w:lineRule="exact"/>
              <w:rPr>
                <w:rFonts w:ascii="楷体" w:eastAsia="楷体" w:cs="仿宋"/>
                <w:bCs/>
                <w:kern w:val="2"/>
                <w:szCs w:val="21"/>
              </w:rPr>
            </w:pPr>
            <w:r>
              <w:rPr>
                <w:rFonts w:hint="eastAsia" w:ascii="楷体" w:eastAsia="楷体" w:cs="仿宋"/>
                <w:bCs/>
                <w:kern w:val="2"/>
                <w:szCs w:val="21"/>
              </w:rPr>
              <w:t>在弹唱作业中表现出较好的精神风貌与教态；对于作品的文化精髓和价值观理解到位，有一定表现。</w:t>
            </w:r>
          </w:p>
        </w:tc>
        <w:tc>
          <w:tcPr>
            <w:tcW w:w="0" w:type="auto"/>
            <w:tcBorders>
              <w:top w:val="single" w:color="000000" w:sz="4" w:space="0"/>
              <w:left w:val="single" w:color="000000" w:sz="4" w:space="0"/>
              <w:bottom w:val="single" w:color="000000" w:sz="4" w:space="0"/>
              <w:right w:val="single" w:color="000000" w:sz="4" w:space="0"/>
            </w:tcBorders>
            <w:noWrap w:val="0"/>
            <w:vAlign w:val="top"/>
          </w:tcPr>
          <w:p w14:paraId="38BF3A67">
            <w:pPr>
              <w:widowControl/>
              <w:spacing w:line="280" w:lineRule="exact"/>
              <w:rPr>
                <w:rFonts w:ascii="楷体" w:eastAsia="楷体" w:cs="仿宋"/>
                <w:bCs/>
                <w:kern w:val="2"/>
                <w:szCs w:val="21"/>
              </w:rPr>
            </w:pPr>
            <w:r>
              <w:rPr>
                <w:rFonts w:hint="eastAsia" w:ascii="楷体" w:eastAsia="楷体" w:cs="仿宋"/>
                <w:bCs/>
                <w:kern w:val="2"/>
                <w:szCs w:val="21"/>
              </w:rPr>
              <w:t>在弹唱作业中能够注意自己的精神风貌与教态；对于作品的文化精髓和价值观有理解，表现不够明显。</w:t>
            </w:r>
          </w:p>
        </w:tc>
        <w:tc>
          <w:tcPr>
            <w:tcW w:w="0" w:type="auto"/>
            <w:tcBorders>
              <w:top w:val="single" w:color="000000" w:sz="4" w:space="0"/>
              <w:left w:val="single" w:color="000000" w:sz="4" w:space="0"/>
              <w:bottom w:val="single" w:color="000000" w:sz="4" w:space="0"/>
              <w:right w:val="single" w:color="000000" w:sz="4" w:space="0"/>
            </w:tcBorders>
            <w:noWrap w:val="0"/>
            <w:vAlign w:val="top"/>
          </w:tcPr>
          <w:p w14:paraId="6E8103D3">
            <w:pPr>
              <w:widowControl/>
              <w:spacing w:line="280" w:lineRule="exact"/>
              <w:rPr>
                <w:rFonts w:ascii="楷体" w:eastAsia="楷体" w:cs="仿宋"/>
                <w:bCs/>
                <w:kern w:val="2"/>
                <w:szCs w:val="21"/>
              </w:rPr>
            </w:pPr>
            <w:r>
              <w:rPr>
                <w:rFonts w:hint="eastAsia" w:ascii="楷体" w:eastAsia="楷体" w:cs="仿宋"/>
                <w:bCs/>
                <w:kern w:val="2"/>
                <w:szCs w:val="21"/>
              </w:rPr>
              <w:t>在弹唱作业中能够基本能够注意自己的教师形象；对于作品的文化精髓和价值观没有深入的理解，表现不够明显。</w:t>
            </w:r>
          </w:p>
        </w:tc>
        <w:tc>
          <w:tcPr>
            <w:tcW w:w="0" w:type="auto"/>
            <w:tcBorders>
              <w:top w:val="single" w:color="000000" w:sz="4" w:space="0"/>
              <w:left w:val="single" w:color="000000" w:sz="4" w:space="0"/>
              <w:bottom w:val="single" w:color="000000" w:sz="4" w:space="0"/>
              <w:right w:val="single" w:color="000000" w:sz="4" w:space="0"/>
            </w:tcBorders>
            <w:noWrap w:val="0"/>
            <w:vAlign w:val="top"/>
          </w:tcPr>
          <w:p w14:paraId="573929B5">
            <w:pPr>
              <w:widowControl/>
              <w:spacing w:line="280" w:lineRule="exact"/>
              <w:rPr>
                <w:rFonts w:ascii="楷体" w:eastAsia="楷体" w:cs="仿宋"/>
                <w:bCs/>
                <w:kern w:val="2"/>
                <w:szCs w:val="21"/>
              </w:rPr>
            </w:pPr>
            <w:r>
              <w:rPr>
                <w:rFonts w:hint="eastAsia" w:ascii="楷体" w:eastAsia="楷体" w:cs="仿宋"/>
                <w:bCs/>
                <w:kern w:val="2"/>
                <w:szCs w:val="21"/>
              </w:rPr>
              <w:t>在弹唱作业中能够不够注意自己的教师形象；对于作品的文化精髓和价值观没有深入的理解。</w:t>
            </w:r>
          </w:p>
        </w:tc>
      </w:tr>
      <w:tr w14:paraId="043F0B92">
        <w:trPr>
          <w:trHeight w:val="1278" w:hRule="atLeast"/>
        </w:trPr>
        <w:tc>
          <w:tcPr>
            <w:tcW w:w="0" w:type="auto"/>
            <w:tcBorders>
              <w:top w:val="single" w:color="000000" w:sz="4" w:space="0"/>
              <w:left w:val="single" w:color="000000" w:sz="4" w:space="0"/>
              <w:bottom w:val="single" w:color="000000" w:sz="4" w:space="0"/>
              <w:right w:val="single" w:color="000000" w:sz="4" w:space="0"/>
            </w:tcBorders>
            <w:noWrap w:val="0"/>
            <w:vAlign w:val="top"/>
          </w:tcPr>
          <w:p w14:paraId="5F06489D">
            <w:pPr>
              <w:widowControl/>
              <w:spacing w:line="280" w:lineRule="exact"/>
              <w:rPr>
                <w:rFonts w:ascii="楷体" w:eastAsia="楷体" w:cs="仿宋"/>
                <w:bCs/>
                <w:kern w:val="2"/>
                <w:szCs w:val="21"/>
              </w:rPr>
            </w:pPr>
            <w:r>
              <w:rPr>
                <w:rFonts w:hint="eastAsia" w:ascii="楷体" w:eastAsia="楷体" w:cs="仿宋"/>
                <w:bCs/>
                <w:kern w:val="2"/>
                <w:szCs w:val="21"/>
              </w:rPr>
              <w:t>课程目标2：</w:t>
            </w:r>
          </w:p>
          <w:p w14:paraId="272D26A8">
            <w:pPr>
              <w:widowControl/>
              <w:spacing w:line="280" w:lineRule="exact"/>
              <w:rPr>
                <w:rFonts w:ascii="楷体" w:eastAsia="楷体" w:cs="仿宋"/>
                <w:bCs/>
                <w:kern w:val="2"/>
                <w:szCs w:val="21"/>
              </w:rPr>
            </w:pPr>
            <w:r>
              <w:rPr>
                <w:rFonts w:hint="eastAsia" w:ascii="楷体" w:eastAsia="楷体" w:cs="仿宋"/>
                <w:bCs/>
                <w:kern w:val="2"/>
                <w:szCs w:val="21"/>
              </w:rPr>
              <w:t>学生能够从教师的心态出发，在弹唱作业中表现出教育工作者应有的精神风貌与良好的教态,并能够综合学段学情、作品音乐文化背景、编写者意图，通过自弹自唱形式构建兼具艺术性和教育性的弹唱作品。</w:t>
            </w:r>
          </w:p>
        </w:tc>
        <w:tc>
          <w:tcPr>
            <w:tcW w:w="0" w:type="auto"/>
            <w:tcBorders>
              <w:top w:val="single" w:color="000000" w:sz="4" w:space="0"/>
              <w:left w:val="single" w:color="000000" w:sz="4" w:space="0"/>
              <w:bottom w:val="single" w:color="000000" w:sz="4" w:space="0"/>
              <w:right w:val="single" w:color="000000" w:sz="4" w:space="0"/>
            </w:tcBorders>
            <w:noWrap w:val="0"/>
            <w:vAlign w:val="top"/>
          </w:tcPr>
          <w:p w14:paraId="69764BDF">
            <w:pPr>
              <w:widowControl/>
              <w:spacing w:line="280" w:lineRule="exact"/>
              <w:rPr>
                <w:rFonts w:ascii="楷体" w:eastAsia="楷体" w:cs="仿宋"/>
                <w:bCs/>
                <w:kern w:val="2"/>
                <w:szCs w:val="21"/>
              </w:rPr>
            </w:pPr>
            <w:r>
              <w:rPr>
                <w:rFonts w:hint="eastAsia" w:ascii="楷体" w:eastAsia="楷体" w:cs="仿宋"/>
                <w:bCs/>
                <w:kern w:val="2"/>
                <w:szCs w:val="21"/>
              </w:rPr>
              <w:t>弹唱作品时能够考虑学生的学情学段，以贴切的表情、语气弹唱，能够全面传达歌曲表现的艺术形象。</w:t>
            </w:r>
          </w:p>
        </w:tc>
        <w:tc>
          <w:tcPr>
            <w:tcW w:w="0" w:type="auto"/>
            <w:tcBorders>
              <w:top w:val="single" w:color="000000" w:sz="4" w:space="0"/>
              <w:left w:val="single" w:color="000000" w:sz="4" w:space="0"/>
              <w:bottom w:val="single" w:color="000000" w:sz="4" w:space="0"/>
              <w:right w:val="single" w:color="000000" w:sz="4" w:space="0"/>
            </w:tcBorders>
            <w:noWrap w:val="0"/>
            <w:vAlign w:val="top"/>
          </w:tcPr>
          <w:p w14:paraId="342318A4">
            <w:pPr>
              <w:widowControl/>
              <w:spacing w:line="280" w:lineRule="exact"/>
              <w:rPr>
                <w:rFonts w:ascii="楷体" w:eastAsia="楷体" w:cs="仿宋"/>
                <w:bCs/>
                <w:kern w:val="2"/>
                <w:szCs w:val="21"/>
              </w:rPr>
            </w:pPr>
            <w:r>
              <w:rPr>
                <w:rFonts w:hint="eastAsia" w:ascii="楷体" w:eastAsia="楷体" w:cs="仿宋"/>
                <w:bCs/>
                <w:kern w:val="2"/>
                <w:szCs w:val="21"/>
              </w:rPr>
              <w:t>弹唱作品时能够考虑学生的学情学段，以基本贴切的表情、语气弹唱，大体完整地传达歌曲表现的艺术形象。</w:t>
            </w:r>
          </w:p>
        </w:tc>
        <w:tc>
          <w:tcPr>
            <w:tcW w:w="0" w:type="auto"/>
            <w:tcBorders>
              <w:top w:val="single" w:color="000000" w:sz="4" w:space="0"/>
              <w:left w:val="single" w:color="000000" w:sz="4" w:space="0"/>
              <w:bottom w:val="single" w:color="000000" w:sz="4" w:space="0"/>
              <w:right w:val="single" w:color="000000" w:sz="4" w:space="0"/>
            </w:tcBorders>
            <w:noWrap w:val="0"/>
            <w:vAlign w:val="top"/>
          </w:tcPr>
          <w:p w14:paraId="5860A6E8">
            <w:pPr>
              <w:widowControl/>
              <w:spacing w:line="280" w:lineRule="exact"/>
              <w:rPr>
                <w:rFonts w:ascii="楷体" w:eastAsia="楷体" w:cs="仿宋"/>
                <w:bCs/>
                <w:kern w:val="2"/>
                <w:szCs w:val="21"/>
              </w:rPr>
            </w:pPr>
            <w:r>
              <w:rPr>
                <w:rFonts w:hint="eastAsia" w:ascii="楷体" w:eastAsia="楷体" w:cs="仿宋"/>
                <w:bCs/>
                <w:kern w:val="2"/>
                <w:szCs w:val="21"/>
              </w:rPr>
              <w:t>弹唱作品时能够考虑学生的学情学段，弹唱表情、语气不够生动，大体完整地传达歌曲表现的艺术形象。</w:t>
            </w:r>
          </w:p>
        </w:tc>
        <w:tc>
          <w:tcPr>
            <w:tcW w:w="0" w:type="auto"/>
            <w:tcBorders>
              <w:top w:val="single" w:color="000000" w:sz="4" w:space="0"/>
              <w:left w:val="single" w:color="000000" w:sz="4" w:space="0"/>
              <w:bottom w:val="single" w:color="000000" w:sz="4" w:space="0"/>
              <w:right w:val="single" w:color="000000" w:sz="4" w:space="0"/>
            </w:tcBorders>
            <w:noWrap w:val="0"/>
            <w:vAlign w:val="top"/>
          </w:tcPr>
          <w:p w14:paraId="0168A747">
            <w:pPr>
              <w:widowControl/>
              <w:spacing w:line="280" w:lineRule="exact"/>
              <w:rPr>
                <w:rFonts w:ascii="楷体" w:eastAsia="楷体" w:cs="仿宋"/>
                <w:bCs/>
                <w:kern w:val="2"/>
                <w:szCs w:val="21"/>
              </w:rPr>
            </w:pPr>
            <w:r>
              <w:rPr>
                <w:rFonts w:hint="eastAsia" w:ascii="楷体" w:eastAsia="楷体" w:cs="仿宋"/>
                <w:bCs/>
                <w:kern w:val="2"/>
                <w:szCs w:val="21"/>
              </w:rPr>
              <w:t>弹唱作品时未考虑学生的学情学段，弹唱表情、语气不够生动，表情不足。</w:t>
            </w:r>
          </w:p>
        </w:tc>
        <w:tc>
          <w:tcPr>
            <w:tcW w:w="0" w:type="auto"/>
            <w:tcBorders>
              <w:top w:val="single" w:color="000000" w:sz="4" w:space="0"/>
              <w:left w:val="single" w:color="000000" w:sz="4" w:space="0"/>
              <w:bottom w:val="single" w:color="000000" w:sz="4" w:space="0"/>
              <w:right w:val="single" w:color="000000" w:sz="4" w:space="0"/>
            </w:tcBorders>
            <w:noWrap w:val="0"/>
            <w:vAlign w:val="top"/>
          </w:tcPr>
          <w:p w14:paraId="4C029A37">
            <w:pPr>
              <w:widowControl/>
              <w:spacing w:line="280" w:lineRule="exact"/>
              <w:rPr>
                <w:rFonts w:ascii="楷体" w:eastAsia="楷体" w:cs="仿宋"/>
                <w:bCs/>
                <w:kern w:val="2"/>
                <w:szCs w:val="21"/>
              </w:rPr>
            </w:pPr>
            <w:r>
              <w:rPr>
                <w:rFonts w:hint="eastAsia" w:ascii="楷体" w:eastAsia="楷体" w:cs="仿宋"/>
                <w:bCs/>
                <w:kern w:val="2"/>
                <w:szCs w:val="21"/>
              </w:rPr>
              <w:t>弹唱作品时未考虑学生的学情学段，弹唱基本无表情、语气变化、歌唱语言严重不准确，或音准严重偏差。</w:t>
            </w:r>
          </w:p>
        </w:tc>
      </w:tr>
      <w:tr w14:paraId="1755F256">
        <w:trPr>
          <w:trHeight w:val="624" w:hRule="atLeast"/>
        </w:trPr>
        <w:tc>
          <w:tcPr>
            <w:tcW w:w="0" w:type="auto"/>
            <w:tcBorders>
              <w:top w:val="single" w:color="000000" w:sz="4" w:space="0"/>
              <w:left w:val="single" w:color="000000" w:sz="4" w:space="0"/>
              <w:bottom w:val="single" w:color="000000" w:sz="4" w:space="0"/>
              <w:right w:val="single" w:color="000000" w:sz="4" w:space="0"/>
            </w:tcBorders>
            <w:noWrap w:val="0"/>
            <w:vAlign w:val="top"/>
          </w:tcPr>
          <w:p w14:paraId="67D9FBD3">
            <w:pPr>
              <w:widowControl/>
              <w:spacing w:line="280" w:lineRule="exact"/>
              <w:rPr>
                <w:rFonts w:ascii="楷体" w:eastAsia="楷体" w:cs="仿宋"/>
                <w:bCs/>
                <w:kern w:val="2"/>
                <w:szCs w:val="21"/>
              </w:rPr>
            </w:pPr>
            <w:r>
              <w:rPr>
                <w:rFonts w:hint="eastAsia" w:ascii="楷体" w:eastAsia="楷体" w:cs="仿宋"/>
                <w:bCs/>
                <w:kern w:val="2"/>
                <w:szCs w:val="21"/>
              </w:rPr>
              <w:t>课程目标3：</w:t>
            </w:r>
          </w:p>
          <w:p w14:paraId="045AE750">
            <w:pPr>
              <w:widowControl/>
              <w:spacing w:line="280" w:lineRule="exact"/>
              <w:rPr>
                <w:rFonts w:ascii="楷体" w:eastAsia="楷体" w:cs="仿宋"/>
                <w:bCs/>
                <w:kern w:val="2"/>
                <w:szCs w:val="21"/>
              </w:rPr>
            </w:pPr>
            <w:r>
              <w:rPr>
                <w:rFonts w:hint="eastAsia" w:ascii="楷体" w:eastAsia="楷体" w:cs="仿宋"/>
                <w:bCs/>
                <w:kern w:val="2"/>
                <w:szCs w:val="21"/>
              </w:rPr>
              <w:t>能够弹唱好中学音乐课本歌曲，进而喜欢这些歌曲；基本掌握大部分中小学音乐课程中唱歌课曲目的自弹自唱，能够以清晰的音量，适当的音型和声，表现出比较准确的艺术形象；进一步提高同步弹唱，手口配合能力；进一步掌握编配伴奏技能；具备较好的简谱视唱弹奏能力。</w:t>
            </w:r>
          </w:p>
        </w:tc>
        <w:tc>
          <w:tcPr>
            <w:tcW w:w="0" w:type="auto"/>
            <w:tcBorders>
              <w:top w:val="single" w:color="000000" w:sz="4" w:space="0"/>
              <w:left w:val="single" w:color="000000" w:sz="4" w:space="0"/>
              <w:bottom w:val="single" w:color="000000" w:sz="4" w:space="0"/>
              <w:right w:val="single" w:color="000000" w:sz="4" w:space="0"/>
            </w:tcBorders>
            <w:noWrap w:val="0"/>
            <w:vAlign w:val="top"/>
          </w:tcPr>
          <w:p w14:paraId="4066519A">
            <w:pPr>
              <w:widowControl/>
              <w:spacing w:line="280" w:lineRule="exact"/>
              <w:rPr>
                <w:rFonts w:ascii="楷体" w:eastAsia="楷体" w:cs="仿宋"/>
                <w:bCs/>
                <w:kern w:val="2"/>
                <w:szCs w:val="21"/>
              </w:rPr>
            </w:pPr>
            <w:r>
              <w:rPr>
                <w:rFonts w:hint="eastAsia" w:ascii="楷体" w:eastAsia="楷体" w:cs="仿宋"/>
                <w:bCs/>
                <w:kern w:val="2"/>
                <w:szCs w:val="21"/>
              </w:rPr>
              <w:t>曲目全部完成，弹唱完整，音乐表现精彩，音乐风格、个性把握到位，演绎准确；弹唱配合精彩，各个声部协调，主次安排合理，艺术形象生动，课堂汇报形式丰富，效果良好。</w:t>
            </w:r>
          </w:p>
          <w:p w14:paraId="0156B360">
            <w:pPr>
              <w:widowControl/>
              <w:spacing w:line="280" w:lineRule="exact"/>
              <w:rPr>
                <w:rFonts w:ascii="楷体" w:eastAsia="楷体" w:cs="仿宋"/>
                <w:bCs/>
                <w:kern w:val="2"/>
                <w:szCs w:val="21"/>
              </w:rPr>
            </w:pPr>
          </w:p>
        </w:tc>
        <w:tc>
          <w:tcPr>
            <w:tcW w:w="0" w:type="auto"/>
            <w:tcBorders>
              <w:top w:val="single" w:color="000000" w:sz="4" w:space="0"/>
              <w:left w:val="single" w:color="000000" w:sz="4" w:space="0"/>
              <w:bottom w:val="single" w:color="000000" w:sz="4" w:space="0"/>
              <w:right w:val="single" w:color="000000" w:sz="4" w:space="0"/>
            </w:tcBorders>
            <w:noWrap w:val="0"/>
            <w:vAlign w:val="top"/>
          </w:tcPr>
          <w:p w14:paraId="6E6FDF6F">
            <w:pPr>
              <w:widowControl/>
              <w:spacing w:line="280" w:lineRule="exact"/>
              <w:rPr>
                <w:rFonts w:ascii="楷体" w:eastAsia="楷体" w:cs="仿宋"/>
                <w:bCs/>
                <w:kern w:val="2"/>
                <w:szCs w:val="21"/>
              </w:rPr>
            </w:pPr>
            <w:r>
              <w:rPr>
                <w:rFonts w:hint="eastAsia" w:ascii="楷体" w:eastAsia="楷体" w:cs="仿宋"/>
                <w:bCs/>
                <w:kern w:val="2"/>
                <w:szCs w:val="21"/>
              </w:rPr>
              <w:t>曲目全部完成，弹唱熟练顺畅，无明显错断或技术失误；音乐内容处理得当；有乐感；弹唱配合良好，声部脉络清晰；课堂汇报效果良好。</w:t>
            </w:r>
          </w:p>
          <w:p w14:paraId="5DF1787A">
            <w:pPr>
              <w:widowControl/>
              <w:spacing w:line="280" w:lineRule="exact"/>
              <w:rPr>
                <w:rFonts w:ascii="楷体" w:eastAsia="楷体" w:cs="仿宋"/>
                <w:bCs/>
                <w:kern w:val="2"/>
                <w:szCs w:val="21"/>
              </w:rPr>
            </w:pPr>
          </w:p>
        </w:tc>
        <w:tc>
          <w:tcPr>
            <w:tcW w:w="0" w:type="auto"/>
            <w:tcBorders>
              <w:top w:val="single" w:color="000000" w:sz="4" w:space="0"/>
              <w:left w:val="single" w:color="000000" w:sz="4" w:space="0"/>
              <w:bottom w:val="single" w:color="000000" w:sz="4" w:space="0"/>
              <w:right w:val="single" w:color="000000" w:sz="4" w:space="0"/>
            </w:tcBorders>
            <w:noWrap w:val="0"/>
            <w:vAlign w:val="top"/>
          </w:tcPr>
          <w:p w14:paraId="314DC7C0">
            <w:pPr>
              <w:widowControl/>
              <w:spacing w:line="280" w:lineRule="exact"/>
              <w:rPr>
                <w:rFonts w:ascii="楷体" w:eastAsia="楷体" w:cs="仿宋"/>
                <w:bCs/>
                <w:kern w:val="2"/>
                <w:szCs w:val="21"/>
              </w:rPr>
            </w:pPr>
            <w:r>
              <w:rPr>
                <w:rFonts w:hint="eastAsia" w:ascii="楷体" w:eastAsia="楷体" w:cs="仿宋"/>
                <w:bCs/>
                <w:kern w:val="2"/>
                <w:szCs w:val="21"/>
              </w:rPr>
              <w:t>曲目全部完成，弹唱大体顺畅，总体不超过3处停顿；无技术障碍；能够按照谱面表情术语指示弹奏；弹唱配合无明显失误；课堂汇报基本能够解决曲目教学重难点。</w:t>
            </w:r>
          </w:p>
          <w:p w14:paraId="408FA16F">
            <w:pPr>
              <w:widowControl/>
              <w:spacing w:line="280" w:lineRule="exact"/>
              <w:rPr>
                <w:rFonts w:ascii="楷体" w:eastAsia="楷体" w:cs="仿宋"/>
                <w:bCs/>
                <w:kern w:val="2"/>
                <w:szCs w:val="21"/>
              </w:rPr>
            </w:pPr>
          </w:p>
        </w:tc>
        <w:tc>
          <w:tcPr>
            <w:tcW w:w="0" w:type="auto"/>
            <w:tcBorders>
              <w:top w:val="single" w:color="000000" w:sz="4" w:space="0"/>
              <w:left w:val="single" w:color="000000" w:sz="4" w:space="0"/>
              <w:bottom w:val="single" w:color="000000" w:sz="4" w:space="0"/>
              <w:right w:val="single" w:color="000000" w:sz="4" w:space="0"/>
            </w:tcBorders>
            <w:noWrap w:val="0"/>
            <w:vAlign w:val="top"/>
          </w:tcPr>
          <w:p w14:paraId="2FC07BF0">
            <w:pPr>
              <w:widowControl/>
              <w:spacing w:line="280" w:lineRule="exact"/>
              <w:rPr>
                <w:rFonts w:ascii="楷体" w:eastAsia="楷体" w:cs="仿宋"/>
                <w:bCs/>
                <w:kern w:val="2"/>
                <w:szCs w:val="21"/>
              </w:rPr>
            </w:pPr>
            <w:r>
              <w:rPr>
                <w:rFonts w:hint="eastAsia" w:ascii="楷体" w:eastAsia="楷体" w:cs="仿宋"/>
                <w:bCs/>
                <w:kern w:val="2"/>
                <w:szCs w:val="21"/>
              </w:rPr>
              <w:t>每次不超过一首曲目未完成，完整性尚可，但犹豫较多，有不熟练迹象；能够应付技术困难段落；无暇顾及音乐表情；弹唱大致能配合在一起；课堂汇报陈述乏味无过。</w:t>
            </w:r>
          </w:p>
        </w:tc>
        <w:tc>
          <w:tcPr>
            <w:tcW w:w="0" w:type="auto"/>
            <w:tcBorders>
              <w:top w:val="single" w:color="000000" w:sz="4" w:space="0"/>
              <w:left w:val="single" w:color="000000" w:sz="4" w:space="0"/>
              <w:bottom w:val="single" w:color="000000" w:sz="4" w:space="0"/>
              <w:right w:val="single" w:color="000000" w:sz="4" w:space="0"/>
            </w:tcBorders>
            <w:noWrap w:val="0"/>
            <w:vAlign w:val="top"/>
          </w:tcPr>
          <w:p w14:paraId="3686C7CF">
            <w:pPr>
              <w:widowControl/>
              <w:spacing w:line="280" w:lineRule="exact"/>
              <w:rPr>
                <w:rFonts w:ascii="楷体" w:eastAsia="楷体" w:cs="仿宋"/>
                <w:bCs/>
                <w:kern w:val="2"/>
                <w:szCs w:val="21"/>
              </w:rPr>
            </w:pPr>
            <w:r>
              <w:rPr>
                <w:rFonts w:hint="eastAsia" w:ascii="楷体" w:eastAsia="楷体" w:cs="仿宋"/>
                <w:bCs/>
                <w:kern w:val="2"/>
                <w:szCs w:val="21"/>
              </w:rPr>
              <w:t>每次超过一首曲目未完成，曲目演奏过程中平均每页乐谱有超过3处停顿/重复；或旋律、和声编配、艺术形象表现有严重错误；或旷课超过5次；或作业超过3次未提交；弹唱无法契合；课堂汇报内容严重跑题，与曲目教学重难点基本无关。</w:t>
            </w:r>
          </w:p>
        </w:tc>
      </w:tr>
    </w:tbl>
    <w:p w14:paraId="2B922B41">
      <w:pPr>
        <w:rPr>
          <w:sz w:val="2"/>
          <w:szCs w:val="2"/>
        </w:rPr>
        <w:sectPr>
          <w:headerReference r:id="rId83" w:type="default"/>
          <w:footerReference r:id="rId84" w:type="default"/>
          <w:pgSz w:w="11906" w:h="16838"/>
          <w:pgMar w:top="1440" w:right="1800" w:bottom="1440" w:left="1800" w:header="851" w:footer="992" w:gutter="0"/>
          <w:cols w:space="425" w:num="1"/>
          <w:docGrid w:type="lines" w:linePitch="312" w:charSpace="0"/>
        </w:sectPr>
      </w:pPr>
    </w:p>
    <w:p w14:paraId="090C3641">
      <w:pPr>
        <w:ind w:left="420"/>
        <w:rPr>
          <w:rFonts w:hint="eastAsia" w:eastAsia="隶书"/>
          <w:b/>
          <w:bCs/>
          <w:spacing w:val="-20"/>
          <w:sz w:val="72"/>
        </w:rPr>
      </w:pPr>
      <w:r>
        <w:drawing>
          <wp:inline distT="0" distB="0" distL="114300" distR="114300">
            <wp:extent cx="2987040" cy="882650"/>
            <wp:effectExtent l="0" t="0" r="10160" b="6350"/>
            <wp:docPr id="2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
                    <pic:cNvPicPr>
                      <a:picLocks noChangeAspect="1"/>
                    </pic:cNvPicPr>
                  </pic:nvPicPr>
                  <pic:blipFill>
                    <a:blip r:embed="rId144"/>
                    <a:stretch>
                      <a:fillRect/>
                    </a:stretch>
                  </pic:blipFill>
                  <pic:spPr>
                    <a:xfrm>
                      <a:off x="0" y="0"/>
                      <a:ext cx="2987040" cy="882650"/>
                    </a:xfrm>
                    <a:prstGeom prst="rect">
                      <a:avLst/>
                    </a:prstGeom>
                    <a:noFill/>
                    <a:ln>
                      <a:noFill/>
                    </a:ln>
                  </pic:spPr>
                </pic:pic>
              </a:graphicData>
            </a:graphic>
          </wp:inline>
        </w:drawing>
      </w:r>
    </w:p>
    <w:p w14:paraId="411475A5">
      <w:pPr>
        <w:ind w:left="420"/>
        <w:rPr>
          <w:rFonts w:hint="eastAsia" w:ascii="黑体" w:eastAsia="黑体"/>
          <w:b/>
          <w:bCs/>
          <w:spacing w:val="-20"/>
          <w:szCs w:val="21"/>
        </w:rPr>
      </w:pPr>
    </w:p>
    <w:p w14:paraId="751FCED4">
      <w:pPr>
        <w:rPr>
          <w:rFonts w:hint="eastAsia"/>
        </w:rPr>
      </w:pPr>
    </w:p>
    <w:p w14:paraId="2D023B22">
      <w:pPr>
        <w:rPr>
          <w:rFonts w:hint="eastAsia"/>
        </w:rPr>
      </w:pPr>
    </w:p>
    <w:p w14:paraId="7FC52823">
      <w:pPr>
        <w:rPr>
          <w:rFonts w:hint="eastAsia"/>
        </w:rPr>
      </w:pPr>
    </w:p>
    <w:p w14:paraId="275201D7">
      <w:pPr>
        <w:rPr>
          <w:rFonts w:hint="eastAsia"/>
        </w:rPr>
      </w:pPr>
    </w:p>
    <w:p w14:paraId="3BCC68F4">
      <w:pPr>
        <w:rPr>
          <w:rFonts w:hint="eastAsia"/>
        </w:rPr>
      </w:pPr>
    </w:p>
    <w:p w14:paraId="2A6B1FE6">
      <w:pPr>
        <w:rPr>
          <w:rFonts w:hint="eastAsia"/>
        </w:rPr>
      </w:pPr>
    </w:p>
    <w:p w14:paraId="06150BC4">
      <w:pPr>
        <w:rPr>
          <w:rFonts w:hint="eastAsia"/>
        </w:rPr>
      </w:pPr>
    </w:p>
    <w:p w14:paraId="6DE54E90">
      <w:pPr>
        <w:spacing w:line="360" w:lineRule="auto"/>
        <w:jc w:val="center"/>
        <w:rPr>
          <w:rFonts w:hint="eastAsia" w:ascii="楷体_GB2312" w:hAnsi="宋体" w:eastAsia="楷体_GB2312"/>
          <w:spacing w:val="14"/>
          <w:sz w:val="44"/>
          <w:szCs w:val="44"/>
        </w:rPr>
      </w:pPr>
      <w:r>
        <w:rPr>
          <w:rFonts w:ascii="方正小标宋简体" w:hAnsi="方正小标宋简体" w:eastAsia="方正小标宋简体" w:cs="方正小标宋简体"/>
          <w:b/>
          <w:spacing w:val="14"/>
          <w:sz w:val="44"/>
        </w:rPr>
        <w:t>2025—2026 学年第二学期</w:t>
      </w:r>
    </w:p>
    <w:p w14:paraId="389E82E8">
      <w:pPr>
        <w:spacing w:before="156" w:beforeLines="50" w:after="156" w:afterLines="50" w:line="360" w:lineRule="auto"/>
        <w:jc w:val="center"/>
        <w:rPr>
          <w:rFonts w:hint="eastAsia" w:ascii="方正小标宋简体" w:hAnsi="方正小标宋简体" w:eastAsia="方正小标宋简体" w:cs="方正小标宋简体"/>
          <w:b/>
          <w:spacing w:val="14"/>
          <w:sz w:val="72"/>
          <w:szCs w:val="72"/>
        </w:rPr>
      </w:pPr>
      <w:r>
        <w:rPr>
          <w:rFonts w:hint="eastAsia" w:ascii="方正小标宋简体" w:hAnsi="方正小标宋简体" w:eastAsia="方正小标宋简体" w:cs="方正小标宋简体"/>
          <w:b/>
          <w:spacing w:val="14"/>
          <w:sz w:val="72"/>
          <w:szCs w:val="72"/>
        </w:rPr>
        <w:t>音乐学（</w:t>
      </w:r>
      <w:r>
        <w:rPr>
          <w:rFonts w:hint="eastAsia" w:ascii="方正小标宋简体" w:hAnsi="方正小标宋简体" w:eastAsia="方正小标宋简体" w:cs="方正小标宋简体"/>
          <w:b/>
          <w:spacing w:val="14"/>
          <w:sz w:val="72"/>
          <w:szCs w:val="72"/>
          <w:lang w:val="en-US" w:eastAsia="zh-CN"/>
        </w:rPr>
        <w:t>音乐教育</w:t>
      </w:r>
      <w:r>
        <w:rPr>
          <w:rFonts w:hint="eastAsia" w:ascii="方正小标宋简体" w:hAnsi="方正小标宋简体" w:eastAsia="方正小标宋简体" w:cs="方正小标宋简体"/>
          <w:b/>
          <w:spacing w:val="14"/>
          <w:sz w:val="72"/>
          <w:szCs w:val="72"/>
        </w:rPr>
        <w:t>）专业</w:t>
      </w:r>
    </w:p>
    <w:p w14:paraId="55D12E05">
      <w:pPr>
        <w:spacing w:before="156" w:beforeLines="50" w:after="156" w:afterLines="50" w:line="360" w:lineRule="auto"/>
        <w:jc w:val="center"/>
        <w:rPr>
          <w:rFonts w:hint="eastAsia" w:ascii="方正小标宋简体" w:hAnsi="方正小标宋简体" w:eastAsia="方正小标宋简体" w:cs="方正小标宋简体"/>
          <w:b/>
          <w:color w:val="FF0000"/>
          <w:spacing w:val="14"/>
          <w:sz w:val="72"/>
          <w:szCs w:val="72"/>
        </w:rPr>
      </w:pPr>
      <w:r>
        <w:rPr>
          <w:rFonts w:hint="eastAsia" w:ascii="方正小标宋简体" w:hAnsi="方正小标宋简体" w:eastAsia="方正小标宋简体" w:cs="方正小标宋简体"/>
          <w:b/>
          <w:spacing w:val="14"/>
          <w:sz w:val="72"/>
          <w:szCs w:val="72"/>
        </w:rPr>
        <w:t>课程教学大纲</w:t>
      </w:r>
    </w:p>
    <w:p w14:paraId="04C5BBD9">
      <w:pPr>
        <w:spacing w:before="312" w:beforeLines="100" w:after="156" w:afterLines="50" w:line="360" w:lineRule="auto"/>
        <w:jc w:val="center"/>
        <w:rPr>
          <w:rFonts w:hint="eastAsia" w:ascii="宋体" w:hAnsi="宋体"/>
          <w:spacing w:val="14"/>
          <w:sz w:val="44"/>
          <w:szCs w:val="44"/>
        </w:rPr>
      </w:pPr>
    </w:p>
    <w:p w14:paraId="1113D65F">
      <w:pPr>
        <w:rPr>
          <w:rFonts w:hint="eastAsia" w:ascii="Arial" w:hAnsi="Arial" w:eastAsia="楷体_GB2312"/>
          <w:sz w:val="36"/>
        </w:rPr>
      </w:pPr>
    </w:p>
    <w:p w14:paraId="03BFACAF">
      <w:pPr>
        <w:rPr>
          <w:rFonts w:hint="eastAsia" w:ascii="Arial" w:hAnsi="Arial" w:eastAsia="楷体_GB2312"/>
          <w:sz w:val="36"/>
        </w:rPr>
      </w:pPr>
    </w:p>
    <w:p w14:paraId="26CCBD37">
      <w:pPr>
        <w:jc w:val="left"/>
        <w:rPr>
          <w:rFonts w:hint="eastAsia" w:ascii="宋体" w:hAnsi="宋体" w:cs="宋体"/>
          <w:sz w:val="44"/>
          <w:szCs w:val="44"/>
        </w:rPr>
      </w:pPr>
    </w:p>
    <w:p w14:paraId="56181250">
      <w:pPr>
        <w:ind w:firstLine="2202" w:firstLineChars="500"/>
        <w:jc w:val="left"/>
        <w:rPr>
          <w:rFonts w:hint="eastAsia" w:ascii="宋体" w:hAnsi="宋体" w:eastAsia="宋体" w:cs="宋体"/>
          <w:b/>
          <w:bCs/>
          <w:sz w:val="44"/>
          <w:szCs w:val="44"/>
          <w:lang w:val="en-US" w:eastAsia="zh-Hans"/>
        </w:rPr>
      </w:pPr>
      <w:r>
        <w:rPr>
          <w:rFonts w:hint="eastAsia" w:ascii="宋体" w:hAnsi="宋体" w:cs="宋体"/>
          <w:b/>
          <w:bCs/>
          <w:sz w:val="44"/>
          <w:szCs w:val="44"/>
        </w:rPr>
        <w:t>开课单位：</w:t>
      </w:r>
      <w:r>
        <w:rPr>
          <w:rFonts w:hint="eastAsia" w:ascii="宋体" w:hAnsi="宋体" w:cs="宋体"/>
          <w:b/>
          <w:bCs/>
          <w:sz w:val="44"/>
          <w:szCs w:val="44"/>
          <w:lang w:val="en-US" w:eastAsia="zh-Hans"/>
        </w:rPr>
        <w:t>教育与音乐学院</w:t>
      </w:r>
    </w:p>
    <w:p w14:paraId="1BE7CD5B">
      <w:pPr>
        <w:ind w:firstLine="2202" w:firstLineChars="500"/>
        <w:jc w:val="left"/>
        <w:rPr>
          <w:rFonts w:hint="default" w:ascii="宋体" w:hAnsi="宋体" w:eastAsia="宋体" w:cs="宋体"/>
          <w:b/>
          <w:bCs/>
          <w:sz w:val="44"/>
          <w:szCs w:val="44"/>
          <w:lang w:val="en-US" w:eastAsia="zh-Hans"/>
        </w:rPr>
      </w:pPr>
      <w:r>
        <w:rPr>
          <w:rFonts w:hint="eastAsia" w:ascii="宋体" w:hAnsi="宋体" w:cs="宋体"/>
          <w:b/>
          <w:bCs/>
          <w:sz w:val="44"/>
          <w:szCs w:val="44"/>
        </w:rPr>
        <w:t>适用年级：2023级音乐学</w:t>
      </w:r>
    </w:p>
    <w:p w14:paraId="6607FA8E">
      <w:pPr>
        <w:rPr>
          <w:rFonts w:hint="eastAsia" w:ascii="Arial" w:hAnsi="Arial" w:eastAsia="楷体_GB2312"/>
          <w:sz w:val="36"/>
        </w:rPr>
      </w:pPr>
    </w:p>
    <w:p w14:paraId="377400CA">
      <w:pPr>
        <w:rPr>
          <w:rFonts w:hint="eastAsia" w:ascii="Arial" w:hAnsi="Arial" w:eastAsia="楷体_GB2312"/>
          <w:sz w:val="36"/>
        </w:rPr>
      </w:pPr>
    </w:p>
    <w:p w14:paraId="68B0C5AD">
      <w:pPr>
        <w:jc w:val="center"/>
        <w:rPr>
          <w:rFonts w:hint="eastAsia" w:ascii="楷体" w:hAnsi="楷体" w:eastAsia="楷体" w:cs="楷体"/>
          <w:sz w:val="36"/>
        </w:rPr>
      </w:pPr>
      <w:r>
        <w:rPr>
          <w:rFonts w:hint="eastAsia" w:ascii="楷体" w:hAnsi="楷体" w:eastAsia="楷体" w:cs="楷体"/>
          <w:sz w:val="36"/>
        </w:rPr>
        <w:t>二○二六年二月</w:t>
      </w:r>
    </w:p>
    <w:p w14:paraId="14AA4DEA">
      <w:pPr>
        <w:rPr>
          <w:sz w:val="2"/>
          <w:szCs w:val="2"/>
        </w:rPr>
        <w:sectPr>
          <w:headerReference r:id="rId85" w:type="default"/>
          <w:footerReference r:id="rId86" w:type="default"/>
          <w:pgSz w:w="11906" w:h="16838"/>
          <w:pgMar w:top="1440" w:right="1800" w:bottom="1440" w:left="1800" w:header="851" w:footer="992" w:gutter="0"/>
          <w:cols w:space="425" w:num="1"/>
          <w:docGrid w:type="lines" w:linePitch="312" w:charSpace="0"/>
        </w:sectPr>
      </w:pPr>
    </w:p>
    <w:p w14:paraId="62EA0A74">
      <w:pPr>
        <w:spacing w:after="520" w:line="500" w:lineRule="exact"/>
        <w:jc w:val="center"/>
      </w:pPr>
      <w:r>
        <w:rPr>
          <w:rFonts w:ascii="宋体" w:hAnsi="宋体" w:eastAsia="宋体" w:cs="宋体"/>
          <w:b/>
          <w:spacing w:val="14"/>
          <w:sz w:val="28"/>
        </w:rPr>
        <w:t>目录</w:t>
      </w:r>
    </w:p>
    <w:p w14:paraId="456CFFB5">
      <w:pPr>
        <w:tabs>
          <w:tab w:val="right" w:leader="dot" w:pos="8306"/>
        </w:tabs>
        <w:spacing w:line="480" w:lineRule="exact"/>
      </w:pPr>
      <w:r>
        <w:rPr>
          <w:rFonts w:ascii="宋体" w:hAnsi="宋体" w:eastAsia="宋体" w:cs="宋体"/>
          <w:b w:val="0"/>
          <w:sz w:val="21"/>
        </w:rPr>
        <w:t>《合唱与指挥》课程教学大纲</w:t>
      </w:r>
      <w:r>
        <w:rPr>
          <w:rFonts w:ascii="宋体" w:hAnsi="宋体" w:eastAsia="宋体" w:cs="宋体"/>
          <w:b w:val="0"/>
          <w:sz w:val="21"/>
        </w:rPr>
        <w:tab/>
      </w:r>
      <w:r>
        <w:rPr>
          <w:rFonts w:ascii="宋体" w:hAnsi="宋体" w:eastAsia="宋体" w:cs="宋体"/>
          <w:b w:val="0"/>
          <w:sz w:val="21"/>
        </w:rPr>
        <w:t>238</w:t>
      </w:r>
    </w:p>
    <w:p w14:paraId="3FCE3260">
      <w:pPr>
        <w:tabs>
          <w:tab w:val="right" w:leader="dot" w:pos="8306"/>
        </w:tabs>
        <w:spacing w:line="480" w:lineRule="exact"/>
      </w:pPr>
      <w:r>
        <w:rPr>
          <w:rFonts w:ascii="宋体" w:hAnsi="宋体" w:eastAsia="宋体" w:cs="宋体"/>
          <w:b w:val="0"/>
          <w:sz w:val="21"/>
        </w:rPr>
        <w:t>《钢琴即兴伴奏》课程教学大纲</w:t>
      </w:r>
      <w:r>
        <w:rPr>
          <w:rFonts w:ascii="宋体" w:hAnsi="宋体" w:eastAsia="宋体" w:cs="宋体"/>
          <w:b w:val="0"/>
          <w:sz w:val="21"/>
        </w:rPr>
        <w:tab/>
      </w:r>
      <w:r>
        <w:rPr>
          <w:rFonts w:ascii="宋体" w:hAnsi="宋体" w:eastAsia="宋体" w:cs="宋体"/>
          <w:b w:val="0"/>
          <w:sz w:val="21"/>
        </w:rPr>
        <w:t>245</w:t>
      </w:r>
    </w:p>
    <w:p w14:paraId="43FEC413">
      <w:pPr>
        <w:tabs>
          <w:tab w:val="right" w:leader="dot" w:pos="8306"/>
        </w:tabs>
        <w:spacing w:line="480" w:lineRule="exact"/>
      </w:pPr>
      <w:r>
        <w:rPr>
          <w:rFonts w:ascii="宋体" w:hAnsi="宋体" w:eastAsia="宋体" w:cs="宋体"/>
          <w:b w:val="0"/>
          <w:sz w:val="21"/>
        </w:rPr>
        <w:t>《声乐演唱》课程教学大纲</w:t>
      </w:r>
      <w:r>
        <w:rPr>
          <w:rFonts w:ascii="宋体" w:hAnsi="宋体" w:eastAsia="宋体" w:cs="宋体"/>
          <w:b w:val="0"/>
          <w:sz w:val="21"/>
        </w:rPr>
        <w:tab/>
      </w:r>
      <w:r>
        <w:rPr>
          <w:rFonts w:ascii="宋体" w:hAnsi="宋体" w:eastAsia="宋体" w:cs="宋体"/>
          <w:b w:val="0"/>
          <w:sz w:val="21"/>
        </w:rPr>
        <w:t>251</w:t>
      </w:r>
    </w:p>
    <w:p w14:paraId="5EB4B615">
      <w:pPr>
        <w:tabs>
          <w:tab w:val="right" w:leader="dot" w:pos="8306"/>
        </w:tabs>
        <w:spacing w:line="480" w:lineRule="exact"/>
      </w:pPr>
      <w:r>
        <w:rPr>
          <w:rFonts w:ascii="宋体" w:hAnsi="宋体" w:eastAsia="宋体" w:cs="宋体"/>
          <w:b w:val="0"/>
          <w:sz w:val="21"/>
        </w:rPr>
        <w:t>《声乐教学法》课程教学大纲</w:t>
      </w:r>
      <w:r>
        <w:rPr>
          <w:rFonts w:ascii="宋体" w:hAnsi="宋体" w:eastAsia="宋体" w:cs="宋体"/>
          <w:b w:val="0"/>
          <w:sz w:val="21"/>
        </w:rPr>
        <w:tab/>
      </w:r>
      <w:r>
        <w:rPr>
          <w:rFonts w:ascii="宋体" w:hAnsi="宋体" w:eastAsia="宋体" w:cs="宋体"/>
          <w:b w:val="0"/>
          <w:sz w:val="21"/>
        </w:rPr>
        <w:t>265</w:t>
      </w:r>
    </w:p>
    <w:p w14:paraId="00B7AE83">
      <w:pPr>
        <w:tabs>
          <w:tab w:val="right" w:leader="dot" w:pos="8306"/>
        </w:tabs>
        <w:spacing w:line="480" w:lineRule="exact"/>
      </w:pPr>
      <w:r>
        <w:rPr>
          <w:rFonts w:ascii="宋体" w:hAnsi="宋体" w:eastAsia="宋体" w:cs="宋体"/>
          <w:b w:val="0"/>
          <w:sz w:val="21"/>
        </w:rPr>
        <w:t>《钢琴演奏》课程教学大纲</w:t>
      </w:r>
      <w:r>
        <w:rPr>
          <w:rFonts w:ascii="宋体" w:hAnsi="宋体" w:eastAsia="宋体" w:cs="宋体"/>
          <w:b w:val="0"/>
          <w:sz w:val="21"/>
        </w:rPr>
        <w:tab/>
      </w:r>
      <w:r>
        <w:rPr>
          <w:rFonts w:ascii="宋体" w:hAnsi="宋体" w:eastAsia="宋体" w:cs="宋体"/>
          <w:b w:val="0"/>
          <w:sz w:val="21"/>
        </w:rPr>
        <w:t>274</w:t>
      </w:r>
    </w:p>
    <w:p w14:paraId="3418E2D9">
      <w:pPr>
        <w:tabs>
          <w:tab w:val="right" w:leader="dot" w:pos="8306"/>
        </w:tabs>
        <w:spacing w:line="480" w:lineRule="exact"/>
      </w:pPr>
      <w:r>
        <w:rPr>
          <w:rFonts w:ascii="宋体" w:hAnsi="宋体" w:eastAsia="宋体" w:cs="宋体"/>
          <w:b w:val="0"/>
          <w:sz w:val="21"/>
        </w:rPr>
        <w:t>《钢琴教学法》课程教学大纲</w:t>
      </w:r>
      <w:r>
        <w:rPr>
          <w:rFonts w:ascii="宋体" w:hAnsi="宋体" w:eastAsia="宋体" w:cs="宋体"/>
          <w:b w:val="0"/>
          <w:sz w:val="21"/>
        </w:rPr>
        <w:tab/>
      </w:r>
      <w:r>
        <w:rPr>
          <w:rFonts w:ascii="宋体" w:hAnsi="宋体" w:eastAsia="宋体" w:cs="宋体"/>
          <w:b w:val="0"/>
          <w:sz w:val="21"/>
        </w:rPr>
        <w:t>282</w:t>
      </w:r>
    </w:p>
    <w:p w14:paraId="19361E5B">
      <w:pPr>
        <w:tabs>
          <w:tab w:val="right" w:leader="dot" w:pos="8306"/>
        </w:tabs>
        <w:spacing w:line="480" w:lineRule="exact"/>
      </w:pPr>
      <w:r>
        <w:rPr>
          <w:rFonts w:ascii="宋体" w:hAnsi="宋体" w:eastAsia="宋体" w:cs="宋体"/>
          <w:b w:val="0"/>
          <w:sz w:val="21"/>
        </w:rPr>
        <w:t>《乐器演奏》课程教学大纲</w:t>
      </w:r>
      <w:r>
        <w:rPr>
          <w:rFonts w:ascii="宋体" w:hAnsi="宋体" w:eastAsia="宋体" w:cs="宋体"/>
          <w:b w:val="0"/>
          <w:sz w:val="21"/>
        </w:rPr>
        <w:tab/>
      </w:r>
      <w:r>
        <w:rPr>
          <w:rFonts w:ascii="宋体" w:hAnsi="宋体" w:eastAsia="宋体" w:cs="宋体"/>
          <w:b w:val="0"/>
          <w:sz w:val="21"/>
        </w:rPr>
        <w:t>289</w:t>
      </w:r>
    </w:p>
    <w:p w14:paraId="3ECA1A9E">
      <w:pPr>
        <w:tabs>
          <w:tab w:val="right" w:leader="dot" w:pos="8306"/>
        </w:tabs>
        <w:spacing w:line="480" w:lineRule="exact"/>
      </w:pPr>
      <w:r>
        <w:rPr>
          <w:rFonts w:ascii="宋体" w:hAnsi="宋体" w:eastAsia="宋体" w:cs="宋体"/>
          <w:b w:val="0"/>
          <w:sz w:val="21"/>
        </w:rPr>
        <w:t>《器乐合奏》课程教学大纲</w:t>
      </w:r>
      <w:r>
        <w:rPr>
          <w:rFonts w:ascii="宋体" w:hAnsi="宋体" w:eastAsia="宋体" w:cs="宋体"/>
          <w:b w:val="0"/>
          <w:sz w:val="21"/>
        </w:rPr>
        <w:tab/>
      </w:r>
      <w:r>
        <w:rPr>
          <w:rFonts w:ascii="宋体" w:hAnsi="宋体" w:eastAsia="宋体" w:cs="宋体"/>
          <w:b w:val="0"/>
          <w:sz w:val="21"/>
        </w:rPr>
        <w:t>303</w:t>
      </w:r>
    </w:p>
    <w:p w14:paraId="49C65E4D">
      <w:pPr>
        <w:tabs>
          <w:tab w:val="right" w:leader="dot" w:pos="8306"/>
        </w:tabs>
        <w:spacing w:line="480" w:lineRule="exact"/>
      </w:pPr>
      <w:r>
        <w:rPr>
          <w:rFonts w:ascii="宋体" w:hAnsi="宋体" w:eastAsia="宋体" w:cs="宋体"/>
          <w:b w:val="0"/>
          <w:sz w:val="21"/>
        </w:rPr>
        <w:t>《小乐队编配》课程教学大纲</w:t>
      </w:r>
      <w:r>
        <w:rPr>
          <w:rFonts w:ascii="宋体" w:hAnsi="宋体" w:eastAsia="宋体" w:cs="宋体"/>
          <w:b w:val="0"/>
          <w:sz w:val="21"/>
        </w:rPr>
        <w:tab/>
      </w:r>
      <w:r>
        <w:rPr>
          <w:rFonts w:ascii="宋体" w:hAnsi="宋体" w:eastAsia="宋体" w:cs="宋体"/>
          <w:b w:val="0"/>
          <w:sz w:val="21"/>
        </w:rPr>
        <w:t>309</w:t>
      </w:r>
    </w:p>
    <w:p w14:paraId="42EDAA59">
      <w:pPr>
        <w:tabs>
          <w:tab w:val="right" w:leader="dot" w:pos="8306"/>
        </w:tabs>
        <w:spacing w:line="480" w:lineRule="exact"/>
      </w:pPr>
      <w:r>
        <w:rPr>
          <w:rFonts w:ascii="宋体" w:hAnsi="宋体" w:eastAsia="宋体" w:cs="宋体"/>
          <w:b w:val="0"/>
          <w:sz w:val="21"/>
        </w:rPr>
        <w:t>《中小学舞蹈编创》课程教学大纲</w:t>
      </w:r>
      <w:r>
        <w:rPr>
          <w:rFonts w:ascii="宋体" w:hAnsi="宋体" w:eastAsia="宋体" w:cs="宋体"/>
          <w:b w:val="0"/>
          <w:sz w:val="21"/>
        </w:rPr>
        <w:tab/>
      </w:r>
      <w:r>
        <w:rPr>
          <w:rFonts w:ascii="宋体" w:hAnsi="宋体" w:eastAsia="宋体" w:cs="宋体"/>
          <w:b w:val="0"/>
          <w:sz w:val="21"/>
        </w:rPr>
        <w:t>316</w:t>
      </w:r>
    </w:p>
    <w:p w14:paraId="7DF15CE2">
      <w:pPr>
        <w:tabs>
          <w:tab w:val="right" w:leader="dot" w:pos="8306"/>
        </w:tabs>
        <w:spacing w:line="480" w:lineRule="exact"/>
      </w:pPr>
      <w:r>
        <w:rPr>
          <w:rFonts w:ascii="宋体" w:hAnsi="宋体" w:eastAsia="宋体" w:cs="宋体"/>
          <w:b w:val="0"/>
          <w:sz w:val="21"/>
        </w:rPr>
        <w:t>《剧目排练》课程教学大纲</w:t>
      </w:r>
      <w:r>
        <w:rPr>
          <w:rFonts w:ascii="宋体" w:hAnsi="宋体" w:eastAsia="宋体" w:cs="宋体"/>
          <w:b w:val="0"/>
          <w:sz w:val="21"/>
        </w:rPr>
        <w:tab/>
      </w:r>
      <w:r>
        <w:rPr>
          <w:rFonts w:ascii="宋体" w:hAnsi="宋体" w:eastAsia="宋体" w:cs="宋体"/>
          <w:b w:val="0"/>
          <w:sz w:val="21"/>
        </w:rPr>
        <w:t>320</w:t>
      </w:r>
    </w:p>
    <w:p w14:paraId="673D7AF7">
      <w:pPr>
        <w:tabs>
          <w:tab w:val="right" w:leader="dot" w:pos="8306"/>
        </w:tabs>
        <w:spacing w:line="480" w:lineRule="exact"/>
      </w:pPr>
      <w:r>
        <w:rPr>
          <w:rFonts w:ascii="宋体" w:hAnsi="宋体" w:eastAsia="宋体" w:cs="宋体"/>
          <w:b w:val="0"/>
          <w:sz w:val="21"/>
        </w:rPr>
        <w:t>《歌曲作法》课程教学大纲</w:t>
      </w:r>
      <w:r>
        <w:rPr>
          <w:rFonts w:ascii="宋体" w:hAnsi="宋体" w:eastAsia="宋体" w:cs="宋体"/>
          <w:b w:val="0"/>
          <w:sz w:val="21"/>
        </w:rPr>
        <w:tab/>
      </w:r>
      <w:r>
        <w:rPr>
          <w:rFonts w:ascii="宋体" w:hAnsi="宋体" w:eastAsia="宋体" w:cs="宋体"/>
          <w:b w:val="0"/>
          <w:sz w:val="21"/>
        </w:rPr>
        <w:t>325</w:t>
      </w:r>
    </w:p>
    <w:p w14:paraId="4D266CB1">
      <w:pPr>
        <w:tabs>
          <w:tab w:val="right" w:leader="dot" w:pos="8306"/>
        </w:tabs>
        <w:spacing w:line="480" w:lineRule="exact"/>
      </w:pPr>
      <w:r>
        <w:rPr>
          <w:rFonts w:ascii="宋体" w:hAnsi="宋体" w:eastAsia="宋体" w:cs="宋体"/>
          <w:b w:val="0"/>
          <w:sz w:val="21"/>
        </w:rPr>
        <w:t>《演出策划与管理》课程教学大纲</w:t>
      </w:r>
      <w:r>
        <w:rPr>
          <w:rFonts w:ascii="宋体" w:hAnsi="宋体" w:eastAsia="宋体" w:cs="宋体"/>
          <w:b w:val="0"/>
          <w:sz w:val="21"/>
        </w:rPr>
        <w:tab/>
      </w:r>
      <w:r>
        <w:rPr>
          <w:rFonts w:ascii="宋体" w:hAnsi="宋体" w:eastAsia="宋体" w:cs="宋体"/>
          <w:b w:val="0"/>
          <w:sz w:val="21"/>
        </w:rPr>
        <w:t>330</w:t>
      </w:r>
    </w:p>
    <w:p w14:paraId="63E8EB7C">
      <w:pPr>
        <w:tabs>
          <w:tab w:val="right" w:leader="dot" w:pos="8306"/>
        </w:tabs>
        <w:spacing w:line="480" w:lineRule="exact"/>
      </w:pPr>
      <w:r>
        <w:rPr>
          <w:rFonts w:ascii="宋体" w:hAnsi="宋体" w:eastAsia="宋体" w:cs="宋体"/>
          <w:b w:val="0"/>
          <w:sz w:val="21"/>
        </w:rPr>
        <w:t>《福建客家音乐》课程教学大纲</w:t>
      </w:r>
      <w:r>
        <w:rPr>
          <w:rFonts w:ascii="宋体" w:hAnsi="宋体" w:eastAsia="宋体" w:cs="宋体"/>
          <w:b w:val="0"/>
          <w:sz w:val="21"/>
        </w:rPr>
        <w:tab/>
      </w:r>
      <w:r>
        <w:rPr>
          <w:rFonts w:ascii="宋体" w:hAnsi="宋体" w:eastAsia="宋体" w:cs="宋体"/>
          <w:b w:val="0"/>
          <w:sz w:val="21"/>
        </w:rPr>
        <w:t>338</w:t>
      </w:r>
    </w:p>
    <w:p w14:paraId="1FAF8443">
      <w:pPr>
        <w:tabs>
          <w:tab w:val="right" w:leader="dot" w:pos="8306"/>
        </w:tabs>
        <w:spacing w:line="480" w:lineRule="exact"/>
      </w:pPr>
      <w:r>
        <w:rPr>
          <w:rFonts w:ascii="宋体" w:hAnsi="宋体" w:eastAsia="宋体" w:cs="宋体"/>
          <w:b w:val="0"/>
          <w:sz w:val="21"/>
        </w:rPr>
        <w:t>《音乐剧》课程教学大纲</w:t>
      </w:r>
      <w:r>
        <w:rPr>
          <w:rFonts w:ascii="宋体" w:hAnsi="宋体" w:eastAsia="宋体" w:cs="宋体"/>
          <w:b w:val="0"/>
          <w:sz w:val="21"/>
        </w:rPr>
        <w:tab/>
      </w:r>
      <w:r>
        <w:rPr>
          <w:rFonts w:ascii="宋体" w:hAnsi="宋体" w:eastAsia="宋体" w:cs="宋体"/>
          <w:b w:val="0"/>
          <w:sz w:val="21"/>
        </w:rPr>
        <w:t>343</w:t>
      </w:r>
    </w:p>
    <w:p w14:paraId="02E3106B">
      <w:pPr>
        <w:tabs>
          <w:tab w:val="right" w:leader="dot" w:pos="8306"/>
        </w:tabs>
        <w:spacing w:line="480" w:lineRule="exact"/>
      </w:pPr>
      <w:r>
        <w:rPr>
          <w:rFonts w:ascii="宋体" w:hAnsi="宋体" w:eastAsia="宋体" w:cs="宋体"/>
          <w:b w:val="0"/>
          <w:sz w:val="21"/>
        </w:rPr>
        <w:t>《音乐微格与片段教学》课程教学大纲</w:t>
      </w:r>
      <w:r>
        <w:rPr>
          <w:rFonts w:ascii="宋体" w:hAnsi="宋体" w:eastAsia="宋体" w:cs="宋体"/>
          <w:b w:val="0"/>
          <w:sz w:val="21"/>
        </w:rPr>
        <w:tab/>
      </w:r>
      <w:r>
        <w:rPr>
          <w:rFonts w:ascii="宋体" w:hAnsi="宋体" w:eastAsia="宋体" w:cs="宋体"/>
          <w:b w:val="0"/>
          <w:sz w:val="21"/>
        </w:rPr>
        <w:t>349</w:t>
      </w:r>
    </w:p>
    <w:p w14:paraId="6F19AF01">
      <w:pPr>
        <w:rPr>
          <w:sz w:val="2"/>
          <w:szCs w:val="2"/>
        </w:rPr>
        <w:sectPr>
          <w:headerReference r:id="rId87" w:type="default"/>
          <w:footerReference r:id="rId88" w:type="default"/>
          <w:pgSz w:w="11906" w:h="16838"/>
          <w:pgMar w:top="1440" w:right="1800" w:bottom="1440" w:left="1800" w:header="851" w:footer="992" w:gutter="0"/>
          <w:cols w:space="425" w:num="1"/>
          <w:docGrid w:type="lines" w:linePitch="312" w:charSpace="0"/>
        </w:sectPr>
      </w:pPr>
    </w:p>
    <w:p w14:paraId="754DBF92">
      <w:pPr>
        <w:adjustRightInd w:val="0"/>
        <w:snapToGrid w:val="0"/>
        <w:spacing w:line="560" w:lineRule="exact"/>
        <w:jc w:val="center"/>
        <w:rPr>
          <w:rFonts w:hint="eastAsia" w:eastAsia="方正小标宋简体"/>
          <w:sz w:val="44"/>
          <w:szCs w:val="44"/>
          <w:lang w:eastAsia="zh-CN"/>
        </w:rPr>
      </w:pPr>
      <w:r>
        <w:rPr>
          <w:rFonts w:hint="eastAsia" w:eastAsia="方正小标宋简体"/>
          <w:sz w:val="44"/>
          <w:szCs w:val="44"/>
        </w:rPr>
        <w:t>三明学院音乐学（音乐教育）专业</w:t>
      </w:r>
    </w:p>
    <w:p w14:paraId="61E22AE1">
      <w:pPr>
        <w:pStyle w:val="2"/>
        <w:pageBreakBefore w:val="0"/>
        <w:kinsoku/>
        <w:overflowPunct/>
        <w:topLinePunct w:val="0"/>
        <w:bidi w:val="0"/>
        <w:spacing w:before="0" w:beforeAutospacing="0" w:after="0" w:afterAutospacing="0" w:line="240" w:lineRule="auto"/>
        <w:jc w:val="center"/>
        <w:rPr>
          <w:rFonts w:hint="eastAsia" w:eastAsia="方正小标宋简体"/>
          <w:sz w:val="24"/>
          <w:szCs w:val="24"/>
        </w:rPr>
      </w:pPr>
      <w:bookmarkStart w:id="128" w:name="_Toc592431338"/>
      <w:bookmarkStart w:id="129" w:name="_Toc852359104"/>
      <w:r>
        <w:rPr>
          <w:rFonts w:hint="eastAsia" w:ascii="方正小标宋简体" w:hAnsi="方正小标宋简体" w:eastAsia="方正小标宋简体" w:cs="方正小标宋简体"/>
          <w:b w:val="0"/>
          <w:bCs w:val="0"/>
          <w:sz w:val="44"/>
          <w:szCs w:val="44"/>
          <w:lang w:val="en-US" w:eastAsia="zh-CN"/>
        </w:rPr>
        <w:t>《合唱与指挥》课程教学大纲</w:t>
      </w:r>
      <w:bookmarkEnd w:id="128"/>
      <w:bookmarkEnd w:id="129"/>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032"/>
        <w:gridCol w:w="142"/>
        <w:gridCol w:w="1094"/>
        <w:gridCol w:w="108"/>
        <w:gridCol w:w="1493"/>
        <w:gridCol w:w="113"/>
        <w:gridCol w:w="297"/>
        <w:gridCol w:w="555"/>
        <w:gridCol w:w="409"/>
        <w:gridCol w:w="166"/>
        <w:gridCol w:w="286"/>
        <w:gridCol w:w="512"/>
        <w:gridCol w:w="256"/>
        <w:gridCol w:w="385"/>
        <w:gridCol w:w="323"/>
        <w:gridCol w:w="12"/>
        <w:gridCol w:w="584"/>
        <w:gridCol w:w="17"/>
      </w:tblGrid>
      <w:tr w14:paraId="04BD00B7">
        <w:trPr>
          <w:trHeight w:val="454" w:hRule="atLeast"/>
          <w:jc w:val="center"/>
        </w:trPr>
        <w:tc>
          <w:tcPr>
            <w:tcW w:w="1376" w:type="dxa"/>
            <w:noWrap w:val="0"/>
            <w:vAlign w:val="center"/>
          </w:tcPr>
          <w:p w14:paraId="7A927B21">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课程名称</w:t>
            </w:r>
          </w:p>
        </w:tc>
        <w:tc>
          <w:tcPr>
            <w:tcW w:w="4834" w:type="dxa"/>
            <w:gridSpan w:val="8"/>
            <w:noWrap w:val="0"/>
            <w:vAlign w:val="center"/>
          </w:tcPr>
          <w:p w14:paraId="00CCA884">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合唱与指挥</w:t>
            </w:r>
            <w:r>
              <w:rPr>
                <w:rFonts w:hint="default" w:ascii="仿宋" w:hAnsi="仿宋" w:eastAsia="仿宋" w:cs="仿宋"/>
                <w:color w:val="auto"/>
                <w:sz w:val="24"/>
                <w:szCs w:val="24"/>
                <w:lang w:val="en-US" w:eastAsia="zh-CN"/>
              </w:rPr>
              <w:t>(</w:t>
            </w:r>
            <w:r>
              <w:rPr>
                <w:rFonts w:hint="eastAsia" w:ascii="仿宋" w:hAnsi="仿宋" w:eastAsia="仿宋" w:cs="仿宋"/>
                <w:color w:val="auto"/>
                <w:sz w:val="24"/>
                <w:szCs w:val="24"/>
                <w:lang w:val="en-US" w:eastAsia="zh-CN"/>
              </w:rPr>
              <w:t>一）</w:t>
            </w:r>
            <w:r>
              <w:rPr>
                <w:rFonts w:hint="eastAsia" w:ascii="仿宋" w:hAnsi="仿宋" w:eastAsia="仿宋" w:cs="仿宋"/>
                <w:color w:val="auto"/>
                <w:sz w:val="24"/>
                <w:szCs w:val="24"/>
                <w:lang w:eastAsia="zh-CN"/>
              </w:rPr>
              <w:t>》</w:t>
            </w:r>
          </w:p>
          <w:p w14:paraId="0548A247">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合唱与指挥</w:t>
            </w:r>
            <w:r>
              <w:rPr>
                <w:rFonts w:hint="default" w:ascii="仿宋" w:hAnsi="仿宋" w:eastAsia="仿宋" w:cs="仿宋"/>
                <w:color w:val="auto"/>
                <w:sz w:val="24"/>
                <w:szCs w:val="24"/>
                <w:lang w:val="en-US" w:eastAsia="zh-CN"/>
              </w:rPr>
              <w:t>(</w:t>
            </w:r>
            <w:r>
              <w:rPr>
                <w:rFonts w:hint="eastAsia" w:ascii="仿宋" w:hAnsi="仿宋" w:eastAsia="仿宋" w:cs="仿宋"/>
                <w:color w:val="auto"/>
                <w:sz w:val="24"/>
                <w:szCs w:val="24"/>
                <w:lang w:val="en-US" w:eastAsia="zh-CN"/>
              </w:rPr>
              <w:t>二）</w:t>
            </w:r>
            <w:r>
              <w:rPr>
                <w:rFonts w:hint="eastAsia" w:ascii="仿宋" w:hAnsi="仿宋" w:eastAsia="仿宋" w:cs="仿宋"/>
                <w:color w:val="auto"/>
                <w:sz w:val="24"/>
                <w:szCs w:val="24"/>
                <w:lang w:eastAsia="zh-CN"/>
              </w:rPr>
              <w:t>》</w:t>
            </w:r>
          </w:p>
          <w:p w14:paraId="3A19B119">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合唱与指挥</w:t>
            </w:r>
            <w:r>
              <w:rPr>
                <w:rFonts w:hint="default" w:ascii="仿宋" w:hAnsi="仿宋" w:eastAsia="仿宋" w:cs="仿宋"/>
                <w:color w:val="auto"/>
                <w:sz w:val="24"/>
                <w:szCs w:val="24"/>
                <w:lang w:val="en-US" w:eastAsia="zh-CN"/>
              </w:rPr>
              <w:t>(</w:t>
            </w:r>
            <w:r>
              <w:rPr>
                <w:rFonts w:hint="eastAsia" w:ascii="仿宋" w:hAnsi="仿宋" w:eastAsia="仿宋" w:cs="仿宋"/>
                <w:color w:val="auto"/>
                <w:sz w:val="24"/>
                <w:szCs w:val="24"/>
                <w:lang w:val="en-US" w:eastAsia="zh-CN"/>
              </w:rPr>
              <w:t>三）</w:t>
            </w:r>
            <w:r>
              <w:rPr>
                <w:rFonts w:hint="eastAsia" w:ascii="仿宋" w:hAnsi="仿宋" w:eastAsia="仿宋" w:cs="仿宋"/>
                <w:color w:val="auto"/>
                <w:sz w:val="24"/>
                <w:szCs w:val="24"/>
                <w:lang w:eastAsia="zh-CN"/>
              </w:rPr>
              <w:t>》</w:t>
            </w:r>
          </w:p>
          <w:p w14:paraId="614D6E49">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合唱与指挥</w:t>
            </w:r>
            <w:r>
              <w:rPr>
                <w:rFonts w:hint="default" w:ascii="仿宋" w:hAnsi="仿宋" w:eastAsia="仿宋" w:cs="仿宋"/>
                <w:color w:val="auto"/>
                <w:sz w:val="24"/>
                <w:szCs w:val="24"/>
                <w:lang w:val="en-US" w:eastAsia="zh-CN"/>
              </w:rPr>
              <w:t>(</w:t>
            </w:r>
            <w:r>
              <w:rPr>
                <w:rFonts w:hint="eastAsia" w:ascii="仿宋" w:hAnsi="仿宋" w:eastAsia="仿宋" w:cs="仿宋"/>
                <w:color w:val="auto"/>
                <w:sz w:val="24"/>
                <w:szCs w:val="24"/>
                <w:lang w:val="en-US" w:eastAsia="zh-CN"/>
              </w:rPr>
              <w:t>四）</w:t>
            </w:r>
            <w:r>
              <w:rPr>
                <w:rFonts w:hint="eastAsia" w:ascii="仿宋" w:hAnsi="仿宋" w:eastAsia="仿宋" w:cs="仿宋"/>
                <w:color w:val="auto"/>
                <w:sz w:val="24"/>
                <w:szCs w:val="24"/>
                <w:lang w:eastAsia="zh-CN"/>
              </w:rPr>
              <w:t>》</w:t>
            </w:r>
          </w:p>
        </w:tc>
        <w:tc>
          <w:tcPr>
            <w:tcW w:w="575" w:type="dxa"/>
            <w:gridSpan w:val="2"/>
            <w:noWrap w:val="0"/>
            <w:vAlign w:val="center"/>
          </w:tcPr>
          <w:p w14:paraId="67EFE92A">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w:t>
            </w:r>
          </w:p>
          <w:p w14:paraId="66749817">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代码</w:t>
            </w:r>
          </w:p>
        </w:tc>
        <w:tc>
          <w:tcPr>
            <w:tcW w:w="2375" w:type="dxa"/>
            <w:gridSpan w:val="8"/>
            <w:noWrap w:val="0"/>
            <w:vAlign w:val="center"/>
          </w:tcPr>
          <w:p w14:paraId="75F267AD">
            <w:pPr>
              <w:keepNext w:val="0"/>
              <w:keepLines w:val="0"/>
              <w:pageBreakBefore w:val="0"/>
              <w:kinsoku/>
              <w:wordWrap/>
              <w:overflowPunct/>
              <w:topLinePunct w:val="0"/>
              <w:bidi w:val="0"/>
              <w:adjustRightInd w:val="0"/>
              <w:snapToGrid w:val="0"/>
              <w:spacing w:line="240" w:lineRule="auto"/>
              <w:jc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1212304605</w:t>
            </w:r>
          </w:p>
          <w:p w14:paraId="5953C64C">
            <w:pPr>
              <w:keepNext w:val="0"/>
              <w:keepLines w:val="0"/>
              <w:pageBreakBefore w:val="0"/>
              <w:kinsoku/>
              <w:wordWrap/>
              <w:overflowPunct/>
              <w:topLinePunct w:val="0"/>
              <w:bidi w:val="0"/>
              <w:adjustRightInd w:val="0"/>
              <w:snapToGrid w:val="0"/>
              <w:spacing w:line="240" w:lineRule="auto"/>
              <w:jc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1212304606</w:t>
            </w:r>
          </w:p>
          <w:p w14:paraId="5682A20F">
            <w:pPr>
              <w:keepNext w:val="0"/>
              <w:keepLines w:val="0"/>
              <w:pageBreakBefore w:val="0"/>
              <w:kinsoku/>
              <w:wordWrap/>
              <w:overflowPunct/>
              <w:topLinePunct w:val="0"/>
              <w:bidi w:val="0"/>
              <w:adjustRightInd w:val="0"/>
              <w:snapToGrid w:val="0"/>
              <w:spacing w:line="240" w:lineRule="auto"/>
              <w:jc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1212304607</w:t>
            </w:r>
          </w:p>
          <w:p w14:paraId="19B6F70E">
            <w:pPr>
              <w:keepNext w:val="0"/>
              <w:keepLines w:val="0"/>
              <w:pageBreakBefore w:val="0"/>
              <w:kinsoku/>
              <w:wordWrap/>
              <w:overflowPunct/>
              <w:topLinePunct w:val="0"/>
              <w:bidi w:val="0"/>
              <w:adjustRightInd w:val="0"/>
              <w:snapToGrid w:val="0"/>
              <w:spacing w:line="240" w:lineRule="auto"/>
              <w:jc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1212304608</w:t>
            </w:r>
          </w:p>
        </w:tc>
      </w:tr>
      <w:tr w14:paraId="5061B584">
        <w:trPr>
          <w:trHeight w:val="454" w:hRule="atLeast"/>
          <w:jc w:val="center"/>
        </w:trPr>
        <w:tc>
          <w:tcPr>
            <w:tcW w:w="1376" w:type="dxa"/>
            <w:noWrap w:val="0"/>
            <w:vAlign w:val="center"/>
          </w:tcPr>
          <w:p w14:paraId="6890A938">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课程类型</w:t>
            </w:r>
          </w:p>
        </w:tc>
        <w:tc>
          <w:tcPr>
            <w:tcW w:w="7784" w:type="dxa"/>
            <w:gridSpan w:val="18"/>
            <w:noWrap w:val="0"/>
            <w:vAlign w:val="center"/>
          </w:tcPr>
          <w:p w14:paraId="4C636704">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color w:val="auto"/>
                <w:sz w:val="24"/>
                <w:szCs w:val="24"/>
              </w:rPr>
            </w:pP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通识必修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通识选修 </w:t>
            </w: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 xml:space="preserve">专业必修 </w:t>
            </w:r>
          </w:p>
          <w:p w14:paraId="0AAA8C41">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color w:val="auto"/>
                <w:sz w:val="24"/>
                <w:szCs w:val="24"/>
              </w:rPr>
            </w:pP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专业选修</w:t>
            </w:r>
            <w:r>
              <w:rPr>
                <w:rFonts w:hint="eastAsia" w:ascii="仿宋" w:hAnsi="仿宋" w:eastAsia="仿宋" w:cs="仿宋"/>
                <w:color w:val="auto"/>
                <w:sz w:val="24"/>
                <w:szCs w:val="24"/>
                <w:lang w:eastAsia="zh-TW"/>
              </w:rPr>
              <w:t xml:space="preserve">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教师教育必修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教师教育选修</w:t>
            </w:r>
          </w:p>
        </w:tc>
      </w:tr>
      <w:tr w14:paraId="6482CA66">
        <w:trPr>
          <w:trHeight w:val="406" w:hRule="atLeast"/>
          <w:jc w:val="center"/>
        </w:trPr>
        <w:tc>
          <w:tcPr>
            <w:tcW w:w="1376" w:type="dxa"/>
            <w:noWrap w:val="0"/>
            <w:vAlign w:val="center"/>
          </w:tcPr>
          <w:p w14:paraId="16E5B3CB">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开课学期</w:t>
            </w:r>
          </w:p>
        </w:tc>
        <w:tc>
          <w:tcPr>
            <w:tcW w:w="1174" w:type="dxa"/>
            <w:gridSpan w:val="2"/>
            <w:noWrap w:val="0"/>
            <w:vAlign w:val="center"/>
          </w:tcPr>
          <w:p w14:paraId="36891E1F">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第3、4、5、6学期</w:t>
            </w:r>
          </w:p>
        </w:tc>
        <w:tc>
          <w:tcPr>
            <w:tcW w:w="1202" w:type="dxa"/>
            <w:gridSpan w:val="2"/>
            <w:noWrap w:val="0"/>
            <w:vAlign w:val="center"/>
          </w:tcPr>
          <w:p w14:paraId="43EA1BD3">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学分</w:t>
            </w:r>
          </w:p>
        </w:tc>
        <w:tc>
          <w:tcPr>
            <w:tcW w:w="1606" w:type="dxa"/>
            <w:gridSpan w:val="2"/>
            <w:noWrap w:val="0"/>
            <w:vAlign w:val="center"/>
          </w:tcPr>
          <w:p w14:paraId="10DAAD99">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8</w:t>
            </w:r>
          </w:p>
        </w:tc>
        <w:tc>
          <w:tcPr>
            <w:tcW w:w="1427" w:type="dxa"/>
            <w:gridSpan w:val="4"/>
            <w:noWrap w:val="0"/>
            <w:vAlign w:val="center"/>
          </w:tcPr>
          <w:p w14:paraId="470B7AB2">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课程负责人</w:t>
            </w:r>
          </w:p>
        </w:tc>
        <w:tc>
          <w:tcPr>
            <w:tcW w:w="2375" w:type="dxa"/>
            <w:gridSpan w:val="8"/>
            <w:noWrap w:val="0"/>
            <w:vAlign w:val="center"/>
          </w:tcPr>
          <w:p w14:paraId="16BBE0F9">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徐艳萍</w:t>
            </w:r>
          </w:p>
        </w:tc>
      </w:tr>
      <w:tr w14:paraId="38DE163B">
        <w:trPr>
          <w:trHeight w:val="485" w:hRule="atLeast"/>
          <w:jc w:val="center"/>
        </w:trPr>
        <w:tc>
          <w:tcPr>
            <w:tcW w:w="1376" w:type="dxa"/>
            <w:noWrap w:val="0"/>
            <w:vAlign w:val="center"/>
          </w:tcPr>
          <w:p w14:paraId="388267B1">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总学时</w:t>
            </w:r>
          </w:p>
        </w:tc>
        <w:tc>
          <w:tcPr>
            <w:tcW w:w="1174" w:type="dxa"/>
            <w:gridSpan w:val="2"/>
            <w:noWrap w:val="0"/>
            <w:vAlign w:val="center"/>
          </w:tcPr>
          <w:p w14:paraId="20155349">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128</w:t>
            </w:r>
          </w:p>
        </w:tc>
        <w:tc>
          <w:tcPr>
            <w:tcW w:w="1202" w:type="dxa"/>
            <w:gridSpan w:val="2"/>
            <w:noWrap w:val="0"/>
            <w:vAlign w:val="center"/>
          </w:tcPr>
          <w:p w14:paraId="1992D199">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理论学时</w:t>
            </w:r>
          </w:p>
        </w:tc>
        <w:tc>
          <w:tcPr>
            <w:tcW w:w="1606" w:type="dxa"/>
            <w:gridSpan w:val="2"/>
            <w:noWrap w:val="0"/>
            <w:vAlign w:val="center"/>
          </w:tcPr>
          <w:p w14:paraId="39BFB525">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64</w:t>
            </w:r>
          </w:p>
        </w:tc>
        <w:tc>
          <w:tcPr>
            <w:tcW w:w="1427" w:type="dxa"/>
            <w:gridSpan w:val="4"/>
            <w:tcBorders>
              <w:right w:val="single" w:color="000000" w:sz="4" w:space="0"/>
            </w:tcBorders>
            <w:noWrap w:val="0"/>
            <w:vAlign w:val="center"/>
          </w:tcPr>
          <w:p w14:paraId="73A4C18D">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实践学时</w:t>
            </w:r>
          </w:p>
        </w:tc>
        <w:tc>
          <w:tcPr>
            <w:tcW w:w="2375" w:type="dxa"/>
            <w:gridSpan w:val="8"/>
            <w:tcBorders>
              <w:left w:val="single" w:color="000000" w:sz="4" w:space="0"/>
            </w:tcBorders>
            <w:noWrap w:val="0"/>
            <w:vAlign w:val="center"/>
          </w:tcPr>
          <w:p w14:paraId="334D7EF7">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64</w:t>
            </w:r>
          </w:p>
        </w:tc>
      </w:tr>
      <w:tr w14:paraId="0B7194C5">
        <w:trPr>
          <w:trHeight w:val="454" w:hRule="atLeast"/>
          <w:jc w:val="center"/>
        </w:trPr>
        <w:tc>
          <w:tcPr>
            <w:tcW w:w="1376" w:type="dxa"/>
            <w:noWrap w:val="0"/>
            <w:vAlign w:val="center"/>
          </w:tcPr>
          <w:p w14:paraId="281EB226">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先修课程与后续课程</w:t>
            </w:r>
          </w:p>
        </w:tc>
        <w:tc>
          <w:tcPr>
            <w:tcW w:w="7784" w:type="dxa"/>
            <w:gridSpan w:val="18"/>
            <w:noWrap w:val="0"/>
            <w:vAlign w:val="center"/>
          </w:tcPr>
          <w:p w14:paraId="7E503E1C">
            <w:pPr>
              <w:keepNext w:val="0"/>
              <w:keepLines w:val="0"/>
              <w:pageBreakBefore w:val="0"/>
              <w:tabs>
                <w:tab w:val="left" w:pos="720"/>
              </w:tabs>
              <w:kinsoku/>
              <w:wordWrap/>
              <w:overflowPunct/>
              <w:topLinePunct w:val="0"/>
              <w:bidi w:val="0"/>
              <w:adjustRightInd w:val="0"/>
              <w:snapToGrid w:val="0"/>
              <w:spacing w:line="240" w:lineRule="auto"/>
              <w:jc w:val="left"/>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rPr>
              <w:t>先修课程：</w:t>
            </w:r>
            <w:r>
              <w:rPr>
                <w:rFonts w:hint="eastAsia" w:ascii="仿宋" w:hAnsi="仿宋" w:eastAsia="仿宋" w:cs="仿宋"/>
                <w:color w:val="auto"/>
                <w:sz w:val="24"/>
                <w:szCs w:val="24"/>
                <w:lang w:val="en-US" w:eastAsia="zh-CN"/>
              </w:rPr>
              <w:t>声乐基础、钢琴基础、基本乐理、视唱练耳</w:t>
            </w:r>
          </w:p>
          <w:p w14:paraId="32E79F32">
            <w:pPr>
              <w:keepNext w:val="0"/>
              <w:keepLines w:val="0"/>
              <w:pageBreakBefore w:val="0"/>
              <w:tabs>
                <w:tab w:val="left" w:pos="720"/>
              </w:tabs>
              <w:kinsoku/>
              <w:wordWrap/>
              <w:overflowPunct/>
              <w:topLinePunct w:val="0"/>
              <w:bidi w:val="0"/>
              <w:adjustRightInd w:val="0"/>
              <w:snapToGrid w:val="0"/>
              <w:spacing w:line="240" w:lineRule="auto"/>
              <w:jc w:val="left"/>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rPr>
              <w:t>后续课程：</w:t>
            </w:r>
            <w:r>
              <w:rPr>
                <w:rFonts w:hint="eastAsia" w:ascii="仿宋" w:hAnsi="仿宋" w:eastAsia="仿宋" w:cs="仿宋"/>
                <w:color w:val="auto"/>
                <w:sz w:val="24"/>
                <w:szCs w:val="24"/>
                <w:lang w:val="en-US" w:eastAsia="zh-CN"/>
              </w:rPr>
              <w:t>和音课、指挥法</w:t>
            </w:r>
          </w:p>
        </w:tc>
      </w:tr>
      <w:tr w14:paraId="5951CE0B">
        <w:trPr>
          <w:trHeight w:val="454" w:hRule="atLeast"/>
          <w:jc w:val="center"/>
        </w:trPr>
        <w:tc>
          <w:tcPr>
            <w:tcW w:w="1376" w:type="dxa"/>
            <w:noWrap w:val="0"/>
            <w:vAlign w:val="center"/>
          </w:tcPr>
          <w:p w14:paraId="20447DAF">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适用专业</w:t>
            </w:r>
          </w:p>
        </w:tc>
        <w:tc>
          <w:tcPr>
            <w:tcW w:w="7784" w:type="dxa"/>
            <w:gridSpan w:val="18"/>
            <w:noWrap w:val="0"/>
            <w:vAlign w:val="center"/>
          </w:tcPr>
          <w:p w14:paraId="4E8FE4DF">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音乐学</w:t>
            </w:r>
          </w:p>
        </w:tc>
      </w:tr>
      <w:tr w14:paraId="09963B70">
        <w:trPr>
          <w:jc w:val="center"/>
        </w:trPr>
        <w:tc>
          <w:tcPr>
            <w:tcW w:w="1376" w:type="dxa"/>
            <w:tcBorders>
              <w:bottom w:val="single" w:color="auto" w:sz="4" w:space="0"/>
            </w:tcBorders>
            <w:noWrap w:val="0"/>
            <w:vAlign w:val="center"/>
          </w:tcPr>
          <w:p w14:paraId="7114ACC5">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A</w:t>
            </w:r>
          </w:p>
          <w:p w14:paraId="20197F6F">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参考教材</w:t>
            </w:r>
          </w:p>
        </w:tc>
        <w:tc>
          <w:tcPr>
            <w:tcW w:w="7784" w:type="dxa"/>
            <w:gridSpan w:val="18"/>
            <w:tcBorders>
              <w:bottom w:val="single" w:color="auto" w:sz="4" w:space="0"/>
            </w:tcBorders>
            <w:noWrap w:val="0"/>
            <w:vAlign w:val="center"/>
          </w:tcPr>
          <w:p w14:paraId="0C9136F6">
            <w:pPr>
              <w:keepNext w:val="0"/>
              <w:keepLines w:val="0"/>
              <w:pageBreakBefore w:val="0"/>
              <w:kinsoku/>
              <w:wordWrap/>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韩德森，《合唱与指挥教程》，南京师范大学出版社，2010年4月，第1次</w:t>
            </w:r>
          </w:p>
        </w:tc>
      </w:tr>
      <w:tr w14:paraId="79E1F89C">
        <w:trPr>
          <w:jc w:val="center"/>
        </w:trPr>
        <w:tc>
          <w:tcPr>
            <w:tcW w:w="1376" w:type="dxa"/>
            <w:tcBorders>
              <w:bottom w:val="single" w:color="auto" w:sz="4" w:space="0"/>
            </w:tcBorders>
            <w:noWrap w:val="0"/>
            <w:vAlign w:val="center"/>
          </w:tcPr>
          <w:p w14:paraId="25085380">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B</w:t>
            </w:r>
          </w:p>
          <w:p w14:paraId="4364192E">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主要参考书籍</w:t>
            </w:r>
          </w:p>
        </w:tc>
        <w:tc>
          <w:tcPr>
            <w:tcW w:w="7784" w:type="dxa"/>
            <w:gridSpan w:val="18"/>
            <w:tcBorders>
              <w:bottom w:val="single" w:color="auto" w:sz="4" w:space="0"/>
            </w:tcBorders>
            <w:noWrap w:val="0"/>
            <w:vAlign w:val="center"/>
          </w:tcPr>
          <w:p w14:paraId="622AEB75">
            <w:pPr>
              <w:keepNext w:val="0"/>
              <w:keepLines w:val="0"/>
              <w:pageBreakBefore w:val="0"/>
              <w:kinsoku/>
              <w:wordWrap/>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杨鸿年，《合唱训练学》（上册、下册），中央音乐学院出版社，2008年3月，第1次</w:t>
            </w:r>
          </w:p>
          <w:p w14:paraId="48F5A390">
            <w:pPr>
              <w:keepNext w:val="0"/>
              <w:keepLines w:val="0"/>
              <w:pageBreakBefore w:val="0"/>
              <w:kinsoku/>
              <w:wordWrap/>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杨鸿年，《合唱》（1、2、3），上海音乐出版社、人民音乐出版社，2008年10月，第1次</w:t>
            </w:r>
          </w:p>
          <w:p w14:paraId="64FDA840">
            <w:pPr>
              <w:keepNext w:val="0"/>
              <w:keepLines w:val="0"/>
              <w:pageBreakBefore w:val="0"/>
              <w:kinsoku/>
              <w:wordWrap/>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[3]蓬勃，《指挥》，上海音乐出版社、人民音乐出版社，2020年5月，第1次</w:t>
            </w:r>
          </w:p>
        </w:tc>
      </w:tr>
      <w:tr w14:paraId="0DE9F07F">
        <w:trPr>
          <w:jc w:val="center"/>
        </w:trPr>
        <w:tc>
          <w:tcPr>
            <w:tcW w:w="1376" w:type="dxa"/>
            <w:tcBorders>
              <w:bottom w:val="single" w:color="auto" w:sz="4" w:space="0"/>
            </w:tcBorders>
            <w:noWrap w:val="0"/>
            <w:vAlign w:val="center"/>
          </w:tcPr>
          <w:p w14:paraId="130C3DB5">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C</w:t>
            </w:r>
          </w:p>
          <w:p w14:paraId="2D64B678">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线上学习资源</w:t>
            </w:r>
          </w:p>
        </w:tc>
        <w:tc>
          <w:tcPr>
            <w:tcW w:w="7784" w:type="dxa"/>
            <w:gridSpan w:val="18"/>
            <w:tcBorders>
              <w:bottom w:val="single" w:color="auto" w:sz="4" w:space="0"/>
            </w:tcBorders>
            <w:noWrap w:val="0"/>
            <w:vAlign w:val="center"/>
          </w:tcPr>
          <w:p w14:paraId="7C5FB94E">
            <w:pPr>
              <w:keepNext w:val="0"/>
              <w:keepLines w:val="0"/>
              <w:pageBreakBefore w:val="0"/>
              <w:kinsoku/>
              <w:wordWrap/>
              <w:overflowPunct/>
              <w:topLinePunct w:val="0"/>
              <w:bidi w:val="0"/>
              <w:adjustRightInd w:val="0"/>
              <w:snapToGrid w:val="0"/>
              <w:spacing w:line="240" w:lineRule="auto"/>
              <w:jc w:val="left"/>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学习通平台《合唱与指挥》（怀化学院 刘洁、徐艳萍等）</w:t>
            </w:r>
          </w:p>
        </w:tc>
      </w:tr>
      <w:tr w14:paraId="3EE705C5">
        <w:trPr>
          <w:trHeight w:val="90" w:hRule="atLeast"/>
          <w:jc w:val="center"/>
        </w:trPr>
        <w:tc>
          <w:tcPr>
            <w:tcW w:w="1376" w:type="dxa"/>
            <w:shd w:val="clear" w:color="auto" w:fill="FFFFFF"/>
            <w:noWrap w:val="0"/>
            <w:vAlign w:val="center"/>
          </w:tcPr>
          <w:p w14:paraId="7E30D14C">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D</w:t>
            </w:r>
          </w:p>
          <w:p w14:paraId="616F1B3C">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 xml:space="preserve">课程描述 </w:t>
            </w:r>
          </w:p>
          <w:p w14:paraId="12B5DD4A">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lang w:eastAsia="zh-TW"/>
              </w:rPr>
              <w:t>(</w:t>
            </w:r>
            <w:r>
              <w:rPr>
                <w:rFonts w:hint="eastAsia" w:ascii="仿宋" w:hAnsi="仿宋" w:eastAsia="仿宋" w:cs="仿宋"/>
                <w:color w:val="auto"/>
                <w:sz w:val="24"/>
                <w:szCs w:val="24"/>
              </w:rPr>
              <w:t>含</w:t>
            </w:r>
            <w:r>
              <w:rPr>
                <w:rFonts w:hint="eastAsia" w:ascii="仿宋" w:hAnsi="仿宋" w:eastAsia="仿宋" w:cs="仿宋"/>
                <w:color w:val="auto"/>
                <w:sz w:val="24"/>
                <w:szCs w:val="24"/>
                <w:lang w:eastAsia="zh-TW"/>
              </w:rPr>
              <w:t>性质、地位和任务)</w:t>
            </w:r>
          </w:p>
        </w:tc>
        <w:tc>
          <w:tcPr>
            <w:tcW w:w="7784" w:type="dxa"/>
            <w:gridSpan w:val="18"/>
            <w:tcBorders>
              <w:bottom w:val="single" w:color="auto" w:sz="4" w:space="0"/>
            </w:tcBorders>
            <w:shd w:val="clear" w:color="auto" w:fill="FFFFFF"/>
            <w:noWrap w:val="0"/>
            <w:vAlign w:val="center"/>
          </w:tcPr>
          <w:p w14:paraId="2B088C73">
            <w:pPr>
              <w:keepNext w:val="0"/>
              <w:keepLines w:val="0"/>
              <w:pageBreakBefore w:val="0"/>
              <w:kinsoku/>
              <w:wordWrap/>
              <w:overflowPunct/>
              <w:topLinePunct w:val="0"/>
              <w:bidi w:val="0"/>
              <w:adjustRightInd w:val="0"/>
              <w:snapToGrid w:val="0"/>
              <w:spacing w:line="240" w:lineRule="auto"/>
              <w:jc w:val="left"/>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本课程是音乐学专业的专业必修课，学生通过课堂教学并参与具有教学实践性质的作品排练以及音乐会演出等教学活动，选择具有不同艺术表现风格、有适当技艺难度、主要能够适应中小学教学活动的合唱以及重唱曲目进行训练，并结合声乐发声的训练，在读谱、声部排练、歌曲的处理和分析、交流评价等方面，培养学生不仅具有较为全面的合唱感知和表现能力，同时也能基本掌握合唱歌曲的指挥能力以及相关的作品处理、合唱训练能力，学生除了掌握基本的合唱声音训练方法，同时也能够通过合唱课了解一些合唱指挥的理论和声乐训练的知识。</w:t>
            </w:r>
          </w:p>
        </w:tc>
      </w:tr>
      <w:tr w14:paraId="739B3A18">
        <w:trPr>
          <w:trHeight w:val="3071" w:hRule="atLeast"/>
          <w:jc w:val="center"/>
        </w:trPr>
        <w:tc>
          <w:tcPr>
            <w:tcW w:w="1376" w:type="dxa"/>
            <w:vMerge w:val="restart"/>
            <w:shd w:val="clear" w:color="auto" w:fill="FFFFFF"/>
            <w:noWrap w:val="0"/>
            <w:vAlign w:val="center"/>
          </w:tcPr>
          <w:p w14:paraId="50EE1455">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E</w:t>
            </w:r>
          </w:p>
          <w:p w14:paraId="1D1C3DD0">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课程学习目标及其与毕业要求的对应关系</w:t>
            </w:r>
          </w:p>
        </w:tc>
        <w:tc>
          <w:tcPr>
            <w:tcW w:w="7784" w:type="dxa"/>
            <w:gridSpan w:val="18"/>
            <w:tcBorders>
              <w:bottom w:val="single" w:color="auto" w:sz="4" w:space="0"/>
            </w:tcBorders>
            <w:shd w:val="clear" w:color="auto" w:fill="FFFFFF"/>
            <w:noWrap w:val="0"/>
            <w:vAlign w:val="center"/>
          </w:tcPr>
          <w:p w14:paraId="7D620952">
            <w:pPr>
              <w:keepNext w:val="0"/>
              <w:keepLines w:val="0"/>
              <w:pageBreakBefore w:val="0"/>
              <w:kinsoku/>
              <w:wordWrap/>
              <w:overflowPunct/>
              <w:topLinePunct w:val="0"/>
              <w:bidi w:val="0"/>
              <w:adjustRightInd w:val="0"/>
              <w:snapToGrid w:val="0"/>
              <w:spacing w:line="240" w:lineRule="auto"/>
              <w:jc w:val="left"/>
              <w:rPr>
                <w:rFonts w:hint="eastAsia" w:ascii="仿宋" w:hAnsi="仿宋" w:eastAsia="仿宋" w:cs="仿宋"/>
                <w:color w:val="auto"/>
                <w:sz w:val="24"/>
                <w:szCs w:val="24"/>
                <w:lang w:val="en-US" w:eastAsia="zh-TW"/>
              </w:rPr>
            </w:pPr>
            <w:r>
              <w:rPr>
                <w:rFonts w:hint="eastAsia" w:ascii="仿宋" w:hAnsi="仿宋" w:eastAsia="仿宋" w:cs="仿宋"/>
                <w:color w:val="auto"/>
                <w:sz w:val="24"/>
                <w:szCs w:val="24"/>
                <w:lang w:val="en-US" w:eastAsia="zh-CN"/>
              </w:rPr>
              <w:t>通过本课程的学习，学生具备如下知识、能力及情感态度价值观：</w:t>
            </w:r>
          </w:p>
          <w:p w14:paraId="6BCDA89E">
            <w:pPr>
              <w:keepNext w:val="0"/>
              <w:keepLines w:val="0"/>
              <w:pageBreakBefore w:val="0"/>
              <w:kinsoku/>
              <w:wordWrap/>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课程目标1：初步掌握基本的合唱指挥理论知识，系统掌握基本的合唱指挥音乐素质，其中包括适应多种音乐风格和表现需要的音准感、节奏感、音律感、声部谐和感、咬字行腔方法以及与音乐情绪表现相关的各种科学发声方法。其次，熟练掌握基本的合唱指挥技能技巧，并具有不同风格合唱作品的艺术处理能力；（支撑毕业要求3.1） </w:t>
            </w:r>
          </w:p>
          <w:p w14:paraId="6F2BDD57">
            <w:pPr>
              <w:keepNext w:val="0"/>
              <w:keepLines w:val="0"/>
              <w:pageBreakBefore w:val="0"/>
              <w:kinsoku/>
              <w:wordWrap/>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课程目标2：比较熟练使用合唱指挥基本技术，运用科学的方法和手段将作品的思想性与艺术性体现在舞台上；（支撑毕业要求4.2）</w:t>
            </w:r>
          </w:p>
          <w:p w14:paraId="22E1116F">
            <w:pPr>
              <w:keepNext w:val="0"/>
              <w:keepLines w:val="0"/>
              <w:pageBreakBefore w:val="0"/>
              <w:kinsoku/>
              <w:wordWrap/>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知晓合唱指挥发展的趋势、动态以及与合唱指挥教学的联系，进行课堂教学和开展课外活动；（支撑毕业要求4.3）</w:t>
            </w:r>
          </w:p>
          <w:p w14:paraId="4EA28DE0">
            <w:pPr>
              <w:keepNext w:val="0"/>
              <w:keepLines w:val="0"/>
              <w:pageBreakBefore w:val="0"/>
              <w:kinsoku/>
              <w:wordWrap/>
              <w:overflowPunct/>
              <w:topLinePunct w:val="0"/>
              <w:bidi w:val="0"/>
              <w:adjustRightInd w:val="0"/>
              <w:snapToGrid w:val="0"/>
              <w:spacing w:line="240" w:lineRule="auto"/>
              <w:jc w:val="left"/>
              <w:rPr>
                <w:rFonts w:hint="eastAsia" w:ascii="仿宋" w:hAnsi="仿宋" w:eastAsia="仿宋" w:cs="仿宋"/>
                <w:color w:val="auto"/>
                <w:sz w:val="24"/>
                <w:szCs w:val="24"/>
                <w:lang w:val="en-US" w:eastAsia="zh-TW"/>
              </w:rPr>
            </w:pPr>
            <w:r>
              <w:rPr>
                <w:rFonts w:hint="eastAsia" w:ascii="仿宋" w:hAnsi="仿宋" w:eastAsia="仿宋" w:cs="仿宋"/>
                <w:color w:val="auto"/>
                <w:sz w:val="24"/>
                <w:szCs w:val="24"/>
                <w:lang w:val="en-US" w:eastAsia="zh-CN"/>
              </w:rPr>
              <w:t>课程目标3：理解合唱合作意识和精神培养具体作用，培养团队合作精神。理解指挥不仅是合唱团的组织者、领导者，而且是艺术的指导者。（支撑毕业要求8.2）</w:t>
            </w:r>
          </w:p>
        </w:tc>
      </w:tr>
      <w:tr w14:paraId="3E35034B">
        <w:trPr>
          <w:gridAfter w:val="1"/>
          <w:wAfter w:w="17" w:type="dxa"/>
          <w:trHeight w:val="642" w:hRule="atLeast"/>
          <w:jc w:val="center"/>
        </w:trPr>
        <w:tc>
          <w:tcPr>
            <w:tcW w:w="1376" w:type="dxa"/>
            <w:vMerge w:val="continue"/>
            <w:shd w:val="clear" w:color="auto" w:fill="FFFFFF"/>
            <w:noWrap w:val="0"/>
            <w:vAlign w:val="center"/>
          </w:tcPr>
          <w:p w14:paraId="357B2605">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p>
        </w:tc>
        <w:tc>
          <w:tcPr>
            <w:tcW w:w="2268" w:type="dxa"/>
            <w:gridSpan w:val="3"/>
            <w:tcBorders>
              <w:bottom w:val="single" w:color="auto" w:sz="4" w:space="0"/>
            </w:tcBorders>
            <w:shd w:val="clear" w:color="auto" w:fill="FFFFFF"/>
            <w:noWrap w:val="0"/>
            <w:vAlign w:val="center"/>
          </w:tcPr>
          <w:p w14:paraId="06278AE6">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课程目标</w:t>
            </w:r>
          </w:p>
        </w:tc>
        <w:tc>
          <w:tcPr>
            <w:tcW w:w="4195" w:type="dxa"/>
            <w:gridSpan w:val="10"/>
            <w:tcBorders>
              <w:bottom w:val="single" w:color="auto" w:sz="4" w:space="0"/>
            </w:tcBorders>
            <w:shd w:val="clear" w:color="auto" w:fill="FFFFFF"/>
            <w:noWrap w:val="0"/>
            <w:vAlign w:val="center"/>
          </w:tcPr>
          <w:p w14:paraId="38A4B152">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毕业要求分解指标点</w:t>
            </w:r>
          </w:p>
        </w:tc>
        <w:tc>
          <w:tcPr>
            <w:tcW w:w="1304" w:type="dxa"/>
            <w:gridSpan w:val="4"/>
            <w:tcBorders>
              <w:bottom w:val="single" w:color="auto" w:sz="4" w:space="0"/>
            </w:tcBorders>
            <w:shd w:val="clear" w:color="auto" w:fill="FFFFFF"/>
            <w:noWrap w:val="0"/>
            <w:vAlign w:val="center"/>
          </w:tcPr>
          <w:p w14:paraId="14EE5D10">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毕业要求</w:t>
            </w:r>
          </w:p>
        </w:tc>
      </w:tr>
      <w:tr w14:paraId="32A536EE">
        <w:trPr>
          <w:gridAfter w:val="1"/>
          <w:wAfter w:w="17" w:type="dxa"/>
          <w:trHeight w:val="810" w:hRule="atLeast"/>
          <w:jc w:val="center"/>
        </w:trPr>
        <w:tc>
          <w:tcPr>
            <w:tcW w:w="1376" w:type="dxa"/>
            <w:vMerge w:val="continue"/>
            <w:shd w:val="clear" w:color="auto" w:fill="FFFFFF"/>
            <w:noWrap w:val="0"/>
            <w:vAlign w:val="center"/>
          </w:tcPr>
          <w:p w14:paraId="2E2E0A67">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p>
        </w:tc>
        <w:tc>
          <w:tcPr>
            <w:tcW w:w="2268" w:type="dxa"/>
            <w:gridSpan w:val="3"/>
            <w:tcBorders>
              <w:bottom w:val="single" w:color="auto" w:sz="4" w:space="0"/>
            </w:tcBorders>
            <w:shd w:val="clear" w:color="auto" w:fill="FFFFFF"/>
            <w:noWrap w:val="0"/>
            <w:vAlign w:val="center"/>
          </w:tcPr>
          <w:p w14:paraId="42A15C18">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课程目标1</w:t>
            </w:r>
          </w:p>
        </w:tc>
        <w:tc>
          <w:tcPr>
            <w:tcW w:w="4195" w:type="dxa"/>
            <w:gridSpan w:val="10"/>
            <w:shd w:val="clear" w:color="auto" w:fill="FFFFFF"/>
            <w:noWrap w:val="0"/>
            <w:vAlign w:val="center"/>
          </w:tcPr>
          <w:p w14:paraId="439A1E4B">
            <w:pPr>
              <w:keepNext w:val="0"/>
              <w:keepLines w:val="0"/>
              <w:pageBreakBefore w:val="0"/>
              <w:kinsoku/>
              <w:wordWrap/>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default" w:ascii="仿宋" w:hAnsi="仿宋" w:eastAsia="仿宋" w:cs="仿宋"/>
                <w:color w:val="auto"/>
                <w:sz w:val="24"/>
                <w:szCs w:val="24"/>
                <w:lang w:val="en-US" w:eastAsia="zh-CN"/>
              </w:rPr>
              <w:t>3.</w:t>
            </w:r>
            <w:r>
              <w:rPr>
                <w:rFonts w:hint="eastAsia" w:ascii="仿宋" w:hAnsi="仿宋" w:eastAsia="仿宋" w:cs="仿宋"/>
                <w:color w:val="auto"/>
                <w:sz w:val="24"/>
                <w:szCs w:val="24"/>
                <w:lang w:val="en-US" w:eastAsia="zh-CN"/>
              </w:rPr>
              <w:t>1【专业基本功】掌握音乐学科技法技能多项基本功，具备较强的课堂教学能力，形成音乐学科核心素养。</w:t>
            </w:r>
          </w:p>
        </w:tc>
        <w:tc>
          <w:tcPr>
            <w:tcW w:w="1304" w:type="dxa"/>
            <w:gridSpan w:val="4"/>
            <w:shd w:val="clear" w:color="auto" w:fill="FFFFFF"/>
            <w:noWrap w:val="0"/>
            <w:vAlign w:val="center"/>
          </w:tcPr>
          <w:p w14:paraId="5A7BAD29">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bCs/>
                <w:color w:val="auto"/>
                <w:sz w:val="24"/>
                <w:szCs w:val="24"/>
              </w:rPr>
              <w:t>学科素养（</w:t>
            </w:r>
            <w:r>
              <w:rPr>
                <w:rFonts w:hint="eastAsia" w:ascii="仿宋" w:hAnsi="仿宋" w:eastAsia="仿宋" w:cs="仿宋"/>
                <w:bCs/>
                <w:color w:val="auto"/>
                <w:sz w:val="24"/>
                <w:szCs w:val="24"/>
                <w:lang w:val="en-US" w:eastAsia="zh-CN"/>
              </w:rPr>
              <w:t>H</w:t>
            </w:r>
            <w:r>
              <w:rPr>
                <w:rFonts w:hint="eastAsia" w:ascii="仿宋" w:hAnsi="仿宋" w:eastAsia="仿宋" w:cs="仿宋"/>
                <w:bCs/>
                <w:color w:val="auto"/>
                <w:sz w:val="24"/>
                <w:szCs w:val="24"/>
              </w:rPr>
              <w:t>）</w:t>
            </w:r>
          </w:p>
        </w:tc>
      </w:tr>
      <w:tr w14:paraId="2D350A48">
        <w:trPr>
          <w:gridAfter w:val="1"/>
          <w:wAfter w:w="17" w:type="dxa"/>
          <w:trHeight w:val="817" w:hRule="atLeast"/>
          <w:jc w:val="center"/>
        </w:trPr>
        <w:tc>
          <w:tcPr>
            <w:tcW w:w="1376" w:type="dxa"/>
            <w:vMerge w:val="continue"/>
            <w:shd w:val="clear" w:color="auto" w:fill="FFFFFF"/>
            <w:noWrap w:val="0"/>
            <w:vAlign w:val="center"/>
          </w:tcPr>
          <w:p w14:paraId="40F87BA8">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p>
        </w:tc>
        <w:tc>
          <w:tcPr>
            <w:tcW w:w="2268" w:type="dxa"/>
            <w:gridSpan w:val="3"/>
            <w:shd w:val="clear" w:color="auto" w:fill="FFFFFF"/>
            <w:noWrap w:val="0"/>
            <w:vAlign w:val="center"/>
          </w:tcPr>
          <w:p w14:paraId="5B0EB503">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课程目标</w:t>
            </w:r>
            <w:r>
              <w:rPr>
                <w:rFonts w:hint="eastAsia" w:ascii="仿宋" w:hAnsi="仿宋" w:eastAsia="仿宋" w:cs="仿宋"/>
                <w:color w:val="auto"/>
                <w:sz w:val="24"/>
                <w:szCs w:val="24"/>
                <w:lang w:val="en-US" w:eastAsia="zh-CN"/>
              </w:rPr>
              <w:t>2</w:t>
            </w:r>
          </w:p>
        </w:tc>
        <w:tc>
          <w:tcPr>
            <w:tcW w:w="4195" w:type="dxa"/>
            <w:gridSpan w:val="10"/>
            <w:shd w:val="clear" w:color="auto" w:fill="FFFFFF"/>
            <w:noWrap w:val="0"/>
            <w:vAlign w:val="center"/>
          </w:tcPr>
          <w:p w14:paraId="4207E203">
            <w:pPr>
              <w:keepNext w:val="0"/>
              <w:keepLines w:val="0"/>
              <w:pageBreakBefore w:val="0"/>
              <w:kinsoku/>
              <w:wordWrap/>
              <w:overflowPunct/>
              <w:topLinePunct w:val="0"/>
              <w:bidi w:val="0"/>
              <w:adjustRightInd w:val="0"/>
              <w:snapToGrid w:val="0"/>
              <w:spacing w:line="240" w:lineRule="auto"/>
              <w:jc w:val="left"/>
              <w:rPr>
                <w:rFonts w:hint="default" w:ascii="仿宋" w:hAnsi="仿宋" w:eastAsia="仿宋" w:cs="仿宋"/>
                <w:color w:val="auto"/>
                <w:sz w:val="24"/>
                <w:szCs w:val="24"/>
                <w:lang w:val="en-US" w:eastAsia="zh-CN"/>
              </w:rPr>
            </w:pPr>
            <w:r>
              <w:rPr>
                <w:rFonts w:hint="default" w:ascii="仿宋" w:hAnsi="仿宋" w:eastAsia="仿宋" w:cs="仿宋"/>
                <w:color w:val="auto"/>
                <w:sz w:val="24"/>
                <w:szCs w:val="24"/>
                <w:lang w:val="en-US" w:eastAsia="zh-CN"/>
              </w:rPr>
              <w:t>4.</w:t>
            </w:r>
            <w:r>
              <w:rPr>
                <w:rFonts w:hint="eastAsia" w:ascii="仿宋" w:hAnsi="仿宋" w:eastAsia="仿宋" w:cs="仿宋"/>
                <w:color w:val="auto"/>
                <w:sz w:val="24"/>
                <w:szCs w:val="24"/>
                <w:lang w:val="en-US" w:eastAsia="zh-CN"/>
              </w:rPr>
              <w:t xml:space="preserve">2【课外音乐活动策划组织能力】能组织课外音乐活动，编排节目，指导和训练学生艺术团，能配合团队进行校园文化艺术节的策划、组织、编排和指导工作。 </w:t>
            </w:r>
          </w:p>
          <w:p w14:paraId="50E87EBC">
            <w:pPr>
              <w:keepNext w:val="0"/>
              <w:keepLines w:val="0"/>
              <w:pageBreakBefore w:val="0"/>
              <w:kinsoku/>
              <w:wordWrap/>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default" w:ascii="仿宋" w:hAnsi="仿宋" w:eastAsia="仿宋" w:cs="仿宋"/>
                <w:color w:val="auto"/>
                <w:sz w:val="24"/>
                <w:szCs w:val="24"/>
                <w:lang w:val="en-US" w:eastAsia="zh-CN"/>
              </w:rPr>
              <w:t>4.</w:t>
            </w:r>
            <w:r>
              <w:rPr>
                <w:rFonts w:hint="eastAsia" w:ascii="仿宋" w:hAnsi="仿宋" w:eastAsia="仿宋" w:cs="仿宋"/>
                <w:color w:val="auto"/>
                <w:sz w:val="24"/>
                <w:szCs w:val="24"/>
                <w:lang w:val="en-US" w:eastAsia="zh-CN"/>
              </w:rPr>
              <w:t>3【中国传统音乐舞蹈文化传承能力】具有传承传统音乐舞蹈文化的意识，能运用传统音乐舞蹈资源进行课堂教学和开展课外音乐舞蹈活动。</w:t>
            </w:r>
            <w:r>
              <w:rPr>
                <w:rFonts w:hint="eastAsia" w:ascii="宋体" w:hAnsi="宋体" w:eastAsia="宋体" w:cs="宋体"/>
                <w:color w:val="auto"/>
                <w:kern w:val="0"/>
                <w:sz w:val="22"/>
                <w:szCs w:val="22"/>
                <w:lang w:val="en-US" w:eastAsia="zh-CN" w:bidi="ar"/>
              </w:rPr>
              <w:t xml:space="preserve"> </w:t>
            </w:r>
          </w:p>
        </w:tc>
        <w:tc>
          <w:tcPr>
            <w:tcW w:w="1304" w:type="dxa"/>
            <w:gridSpan w:val="4"/>
            <w:shd w:val="clear" w:color="auto" w:fill="FFFFFF"/>
            <w:noWrap w:val="0"/>
            <w:vAlign w:val="center"/>
          </w:tcPr>
          <w:p w14:paraId="70D8DDDC">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教学能力</w:t>
            </w:r>
            <w:r>
              <w:rPr>
                <w:rFonts w:hint="eastAsia" w:ascii="仿宋" w:hAnsi="仿宋" w:eastAsia="仿宋" w:cs="仿宋"/>
                <w:color w:val="auto"/>
                <w:sz w:val="24"/>
                <w:szCs w:val="24"/>
              </w:rPr>
              <w:t>（</w:t>
            </w:r>
            <w:r>
              <w:rPr>
                <w:rFonts w:hint="eastAsia" w:ascii="仿宋" w:hAnsi="仿宋" w:eastAsia="仿宋" w:cs="仿宋"/>
                <w:color w:val="auto"/>
                <w:sz w:val="24"/>
                <w:szCs w:val="24"/>
                <w:lang w:val="en-US" w:eastAsia="zh-CN"/>
              </w:rPr>
              <w:t>M</w:t>
            </w:r>
            <w:r>
              <w:rPr>
                <w:rFonts w:hint="eastAsia" w:ascii="仿宋" w:hAnsi="仿宋" w:eastAsia="仿宋" w:cs="仿宋"/>
                <w:color w:val="auto"/>
                <w:sz w:val="24"/>
                <w:szCs w:val="24"/>
              </w:rPr>
              <w:t>）</w:t>
            </w:r>
          </w:p>
        </w:tc>
      </w:tr>
      <w:tr w14:paraId="6EE214EB">
        <w:trPr>
          <w:gridAfter w:val="1"/>
          <w:wAfter w:w="17" w:type="dxa"/>
          <w:trHeight w:val="817" w:hRule="atLeast"/>
          <w:jc w:val="center"/>
        </w:trPr>
        <w:tc>
          <w:tcPr>
            <w:tcW w:w="1376" w:type="dxa"/>
            <w:vMerge w:val="continue"/>
            <w:shd w:val="clear" w:color="auto" w:fill="FFFFFF"/>
            <w:noWrap w:val="0"/>
            <w:vAlign w:val="center"/>
          </w:tcPr>
          <w:p w14:paraId="7D2ED22B">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p>
        </w:tc>
        <w:tc>
          <w:tcPr>
            <w:tcW w:w="2268" w:type="dxa"/>
            <w:gridSpan w:val="3"/>
            <w:shd w:val="clear" w:color="auto" w:fill="FFFFFF"/>
            <w:noWrap w:val="0"/>
            <w:vAlign w:val="center"/>
          </w:tcPr>
          <w:p w14:paraId="72F229C2">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课程目标</w:t>
            </w:r>
            <w:r>
              <w:rPr>
                <w:rFonts w:hint="eastAsia" w:ascii="仿宋" w:hAnsi="仿宋" w:eastAsia="仿宋" w:cs="仿宋"/>
                <w:color w:val="auto"/>
                <w:sz w:val="24"/>
                <w:szCs w:val="24"/>
                <w:lang w:val="en-US" w:eastAsia="zh-CN"/>
              </w:rPr>
              <w:t>3</w:t>
            </w:r>
          </w:p>
        </w:tc>
        <w:tc>
          <w:tcPr>
            <w:tcW w:w="4195" w:type="dxa"/>
            <w:gridSpan w:val="10"/>
            <w:shd w:val="clear" w:color="auto" w:fill="FFFFFF"/>
            <w:noWrap w:val="0"/>
            <w:vAlign w:val="center"/>
          </w:tcPr>
          <w:p w14:paraId="0905F150">
            <w:pPr>
              <w:keepNext w:val="0"/>
              <w:keepLines w:val="0"/>
              <w:pageBreakBefore w:val="0"/>
              <w:kinsoku/>
              <w:wordWrap/>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default" w:ascii="仿宋" w:hAnsi="仿宋" w:eastAsia="仿宋" w:cs="仿宋"/>
                <w:color w:val="auto"/>
                <w:sz w:val="24"/>
                <w:szCs w:val="24"/>
                <w:lang w:val="en-US" w:eastAsia="zh-CN"/>
              </w:rPr>
              <w:t>8.</w:t>
            </w:r>
            <w:r>
              <w:rPr>
                <w:rFonts w:hint="eastAsia" w:ascii="仿宋" w:hAnsi="仿宋" w:eastAsia="仿宋" w:cs="仿宋"/>
                <w:color w:val="auto"/>
                <w:sz w:val="24"/>
                <w:szCs w:val="24"/>
                <w:lang w:val="en-US" w:eastAsia="zh-CN"/>
              </w:rPr>
              <w:t>2【团队合作精神】理解学习共同体的作用，在课程学习、教育实践、艺术实践等活动中，具有良好的团队合作精神，积极参加团队协助工作，服从团队统一指挥，主动协调和推进团队工作。</w:t>
            </w:r>
          </w:p>
        </w:tc>
        <w:tc>
          <w:tcPr>
            <w:tcW w:w="1304" w:type="dxa"/>
            <w:gridSpan w:val="4"/>
            <w:shd w:val="clear" w:color="auto" w:fill="FFFFFF"/>
            <w:noWrap w:val="0"/>
            <w:vAlign w:val="center"/>
          </w:tcPr>
          <w:p w14:paraId="58D750E1">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沟通合作（</w:t>
            </w:r>
            <w:r>
              <w:rPr>
                <w:rFonts w:hint="eastAsia" w:ascii="仿宋" w:hAnsi="仿宋" w:eastAsia="仿宋" w:cs="仿宋"/>
                <w:color w:val="auto"/>
                <w:sz w:val="24"/>
                <w:szCs w:val="24"/>
                <w:lang w:val="en-US" w:eastAsia="zh-CN"/>
              </w:rPr>
              <w:t>M</w:t>
            </w:r>
            <w:r>
              <w:rPr>
                <w:rFonts w:hint="eastAsia" w:ascii="仿宋" w:hAnsi="仿宋" w:eastAsia="仿宋" w:cs="仿宋"/>
                <w:color w:val="auto"/>
                <w:sz w:val="24"/>
                <w:szCs w:val="24"/>
              </w:rPr>
              <w:t>）</w:t>
            </w:r>
          </w:p>
        </w:tc>
      </w:tr>
      <w:tr w14:paraId="674F8435">
        <w:trPr>
          <w:trHeight w:val="582" w:hRule="atLeast"/>
          <w:jc w:val="center"/>
        </w:trPr>
        <w:tc>
          <w:tcPr>
            <w:tcW w:w="1376" w:type="dxa"/>
            <w:vMerge w:val="restart"/>
            <w:shd w:val="clear" w:color="auto" w:fill="FFFFFF"/>
            <w:noWrap w:val="0"/>
            <w:vAlign w:val="center"/>
          </w:tcPr>
          <w:p w14:paraId="02285D26">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F</w:t>
            </w:r>
          </w:p>
          <w:p w14:paraId="54ADC2C6">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理论学习内容</w:t>
            </w:r>
          </w:p>
        </w:tc>
        <w:tc>
          <w:tcPr>
            <w:tcW w:w="5695" w:type="dxa"/>
            <w:gridSpan w:val="11"/>
            <w:shd w:val="clear" w:color="auto" w:fill="FFFFFF"/>
            <w:noWrap w:val="0"/>
            <w:vAlign w:val="center"/>
          </w:tcPr>
          <w:p w14:paraId="26BAFC02">
            <w:pPr>
              <w:keepNext w:val="0"/>
              <w:keepLines w:val="0"/>
              <w:pageBreakBefore w:val="0"/>
              <w:kinsoku/>
              <w:wordWrap/>
              <w:overflowPunct/>
              <w:topLinePunct w:val="0"/>
              <w:bidi w:val="0"/>
              <w:adjustRightInd w:val="0"/>
              <w:snapToGrid w:val="0"/>
              <w:spacing w:line="240" w:lineRule="auto"/>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章节学习内容与学习要求</w:t>
            </w:r>
          </w:p>
        </w:tc>
        <w:tc>
          <w:tcPr>
            <w:tcW w:w="1153" w:type="dxa"/>
            <w:gridSpan w:val="3"/>
            <w:shd w:val="clear" w:color="auto" w:fill="FFFFFF"/>
            <w:noWrap w:val="0"/>
            <w:vAlign w:val="center"/>
          </w:tcPr>
          <w:p w14:paraId="1E7CD74F">
            <w:pPr>
              <w:keepNext w:val="0"/>
              <w:keepLines w:val="0"/>
              <w:pageBreakBefore w:val="0"/>
              <w:kinsoku/>
              <w:wordWrap/>
              <w:overflowPunct/>
              <w:topLinePunct w:val="0"/>
              <w:bidi w:val="0"/>
              <w:adjustRightInd w:val="0"/>
              <w:snapToGrid w:val="0"/>
              <w:spacing w:line="240" w:lineRule="auto"/>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支撑课程</w:t>
            </w:r>
          </w:p>
          <w:p w14:paraId="6A6AB6F6">
            <w:pPr>
              <w:keepNext w:val="0"/>
              <w:keepLines w:val="0"/>
              <w:pageBreakBefore w:val="0"/>
              <w:kinsoku/>
              <w:wordWrap/>
              <w:overflowPunct/>
              <w:topLinePunct w:val="0"/>
              <w:bidi w:val="0"/>
              <w:adjustRightInd w:val="0"/>
              <w:snapToGrid w:val="0"/>
              <w:spacing w:line="240" w:lineRule="auto"/>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目标</w:t>
            </w:r>
          </w:p>
        </w:tc>
        <w:tc>
          <w:tcPr>
            <w:tcW w:w="936" w:type="dxa"/>
            <w:gridSpan w:val="4"/>
            <w:shd w:val="clear" w:color="auto" w:fill="FFFFFF"/>
            <w:noWrap w:val="0"/>
            <w:vAlign w:val="center"/>
          </w:tcPr>
          <w:p w14:paraId="20824F7B">
            <w:pPr>
              <w:keepNext w:val="0"/>
              <w:keepLines w:val="0"/>
              <w:pageBreakBefore w:val="0"/>
              <w:kinsoku/>
              <w:wordWrap/>
              <w:overflowPunct/>
              <w:topLinePunct w:val="0"/>
              <w:bidi w:val="0"/>
              <w:adjustRightInd w:val="0"/>
              <w:snapToGrid w:val="0"/>
              <w:spacing w:line="240" w:lineRule="auto"/>
              <w:jc w:val="center"/>
              <w:textAlignment w:val="baseline"/>
              <w:rPr>
                <w:rFonts w:ascii="仿宋" w:hAnsi="仿宋" w:eastAsia="仿宋" w:cs="仿宋"/>
                <w:color w:val="auto"/>
                <w:kern w:val="0"/>
                <w:sz w:val="24"/>
                <w:szCs w:val="24"/>
              </w:rPr>
            </w:pPr>
            <w:r>
              <w:rPr>
                <w:rFonts w:hint="eastAsia" w:ascii="仿宋" w:hAnsi="仿宋" w:eastAsia="仿宋" w:cs="仿宋"/>
                <w:color w:val="auto"/>
                <w:kern w:val="0"/>
                <w:sz w:val="24"/>
                <w:szCs w:val="24"/>
              </w:rPr>
              <w:t>学时</w:t>
            </w:r>
          </w:p>
          <w:p w14:paraId="5979178A">
            <w:pPr>
              <w:keepNext w:val="0"/>
              <w:keepLines w:val="0"/>
              <w:pageBreakBefore w:val="0"/>
              <w:kinsoku/>
              <w:wordWrap/>
              <w:overflowPunct/>
              <w:topLinePunct w:val="0"/>
              <w:bidi w:val="0"/>
              <w:adjustRightInd w:val="0"/>
              <w:snapToGrid w:val="0"/>
              <w:spacing w:line="240" w:lineRule="auto"/>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分配</w:t>
            </w:r>
          </w:p>
        </w:tc>
      </w:tr>
      <w:tr w14:paraId="7D9160E8">
        <w:trPr>
          <w:trHeight w:val="1779" w:hRule="atLeast"/>
          <w:jc w:val="center"/>
        </w:trPr>
        <w:tc>
          <w:tcPr>
            <w:tcW w:w="1376" w:type="dxa"/>
            <w:vMerge w:val="continue"/>
            <w:shd w:val="clear" w:color="auto" w:fill="FFFFFF"/>
            <w:noWrap w:val="0"/>
            <w:vAlign w:val="center"/>
          </w:tcPr>
          <w:p w14:paraId="19A47E15">
            <w:pPr>
              <w:keepNext w:val="0"/>
              <w:keepLines w:val="0"/>
              <w:pageBreakBefore w:val="0"/>
              <w:kinsoku/>
              <w:wordWrap/>
              <w:overflowPunct/>
              <w:topLinePunct w:val="0"/>
              <w:bidi w:val="0"/>
              <w:adjustRightInd w:val="0"/>
              <w:snapToGrid w:val="0"/>
              <w:spacing w:line="240" w:lineRule="auto"/>
              <w:jc w:val="right"/>
              <w:rPr>
                <w:rFonts w:hint="eastAsia" w:ascii="仿宋" w:hAnsi="仿宋" w:eastAsia="仿宋" w:cs="仿宋"/>
                <w:color w:val="auto"/>
                <w:sz w:val="24"/>
                <w:szCs w:val="24"/>
              </w:rPr>
            </w:pPr>
          </w:p>
        </w:tc>
        <w:tc>
          <w:tcPr>
            <w:tcW w:w="5695" w:type="dxa"/>
            <w:gridSpan w:val="11"/>
            <w:shd w:val="clear" w:color="auto" w:fill="auto"/>
            <w:noWrap w:val="0"/>
            <w:vAlign w:val="center"/>
          </w:tcPr>
          <w:p w14:paraId="40275462">
            <w:pPr>
              <w:keepNext w:val="0"/>
              <w:keepLines w:val="0"/>
              <w:pageBreakBefore w:val="0"/>
              <w:numPr>
                <w:ilvl w:val="0"/>
                <w:numId w:val="0"/>
              </w:numPr>
              <w:kinsoku/>
              <w:wordWrap/>
              <w:overflowPunct/>
              <w:topLinePunct w:val="0"/>
              <w:bidi w:val="0"/>
              <w:adjustRightInd w:val="0"/>
              <w:snapToGrid w:val="0"/>
              <w:spacing w:line="240" w:lineRule="auto"/>
              <w:ind w:leftChars="0"/>
              <w:rPr>
                <w:rFonts w:hint="eastAsia" w:ascii="仿宋" w:hAnsi="仿宋" w:eastAsia="仿宋" w:cs="仿宋"/>
                <w:bCs/>
                <w:color w:val="auto"/>
                <w:sz w:val="24"/>
                <w:szCs w:val="24"/>
              </w:rPr>
            </w:pPr>
            <w:r>
              <w:rPr>
                <w:rFonts w:hint="eastAsia" w:ascii="仿宋" w:hAnsi="仿宋" w:eastAsia="仿宋" w:cs="仿宋"/>
                <w:bCs/>
                <w:color w:val="auto"/>
                <w:sz w:val="24"/>
                <w:szCs w:val="24"/>
                <w:lang w:val="en-US" w:eastAsia="zh-CN"/>
              </w:rPr>
              <w:t>合唱篇</w:t>
            </w:r>
          </w:p>
          <w:p w14:paraId="6AB61E52">
            <w:pPr>
              <w:keepNext w:val="0"/>
              <w:keepLines w:val="0"/>
              <w:pageBreakBefore w:val="0"/>
              <w:kinsoku/>
              <w:wordWrap/>
              <w:overflowPunct/>
              <w:topLinePunct w:val="0"/>
              <w:bidi w:val="0"/>
              <w:spacing w:line="240" w:lineRule="auto"/>
              <w:rPr>
                <w:rFonts w:hint="eastAsia" w:ascii="宋体" w:hAnsi="宋体"/>
                <w:color w:val="auto"/>
                <w:szCs w:val="21"/>
              </w:rPr>
            </w:pPr>
            <w:r>
              <w:rPr>
                <w:rFonts w:hint="eastAsia" w:ascii="仿宋" w:hAnsi="仿宋" w:eastAsia="仿宋" w:cs="仿宋"/>
                <w:color w:val="auto"/>
                <w:kern w:val="0"/>
                <w:sz w:val="24"/>
                <w:szCs w:val="24"/>
              </w:rPr>
              <w:t>知道：</w:t>
            </w:r>
            <w:r>
              <w:rPr>
                <w:rFonts w:hint="eastAsia" w:ascii="仿宋" w:hAnsi="仿宋" w:eastAsia="仿宋" w:cs="仿宋"/>
                <w:bCs/>
                <w:color w:val="auto"/>
                <w:sz w:val="24"/>
                <w:szCs w:val="24"/>
              </w:rPr>
              <w:t>合唱的组织</w:t>
            </w:r>
          </w:p>
          <w:p w14:paraId="02018E1A">
            <w:pPr>
              <w:keepNext w:val="0"/>
              <w:keepLines w:val="0"/>
              <w:pageBreakBefore w:val="0"/>
              <w:widowControl/>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color w:val="auto"/>
                <w:kern w:val="0"/>
                <w:sz w:val="24"/>
                <w:szCs w:val="24"/>
              </w:rPr>
              <w:t>领会：</w:t>
            </w:r>
            <w:r>
              <w:rPr>
                <w:rFonts w:hint="eastAsia" w:ascii="仿宋" w:hAnsi="仿宋" w:eastAsia="仿宋" w:cs="仿宋"/>
                <w:bCs/>
                <w:color w:val="auto"/>
                <w:sz w:val="24"/>
                <w:szCs w:val="24"/>
              </w:rPr>
              <w:t>合唱的协调</w:t>
            </w:r>
          </w:p>
          <w:p w14:paraId="698F3D41">
            <w:pPr>
              <w:keepNext w:val="0"/>
              <w:keepLines w:val="0"/>
              <w:pageBreakBefore w:val="0"/>
              <w:widowControl/>
              <w:kinsoku/>
              <w:wordWrap/>
              <w:overflowPunct/>
              <w:topLinePunct w:val="0"/>
              <w:bidi w:val="0"/>
              <w:adjustRightInd w:val="0"/>
              <w:snapToGrid w:val="0"/>
              <w:spacing w:line="240" w:lineRule="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应用：</w:t>
            </w:r>
            <w:r>
              <w:rPr>
                <w:rFonts w:hint="eastAsia" w:ascii="仿宋" w:hAnsi="仿宋" w:eastAsia="仿宋" w:cs="仿宋"/>
                <w:bCs/>
                <w:color w:val="auto"/>
                <w:sz w:val="24"/>
                <w:szCs w:val="24"/>
              </w:rPr>
              <w:t>合唱的字音</w:t>
            </w:r>
            <w:r>
              <w:rPr>
                <w:rFonts w:hint="eastAsia" w:ascii="仿宋" w:hAnsi="仿宋" w:eastAsia="仿宋" w:cs="仿宋"/>
                <w:bCs/>
                <w:color w:val="auto"/>
                <w:sz w:val="24"/>
                <w:szCs w:val="24"/>
                <w:lang w:eastAsia="zh-CN"/>
              </w:rPr>
              <w:t>；</w:t>
            </w:r>
            <w:r>
              <w:rPr>
                <w:rFonts w:hint="eastAsia" w:ascii="仿宋" w:hAnsi="仿宋" w:eastAsia="仿宋" w:cs="仿宋"/>
                <w:bCs/>
                <w:color w:val="auto"/>
                <w:sz w:val="24"/>
                <w:szCs w:val="24"/>
              </w:rPr>
              <w:t>合唱的技能</w:t>
            </w:r>
          </w:p>
          <w:p w14:paraId="65031610">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color w:val="auto"/>
                <w:kern w:val="0"/>
                <w:sz w:val="24"/>
                <w:szCs w:val="24"/>
              </w:rPr>
              <w:t>分析：</w:t>
            </w:r>
            <w:r>
              <w:rPr>
                <w:rFonts w:hint="eastAsia" w:ascii="仿宋" w:hAnsi="仿宋" w:eastAsia="仿宋" w:cs="仿宋"/>
                <w:bCs/>
                <w:color w:val="auto"/>
                <w:sz w:val="24"/>
                <w:szCs w:val="24"/>
              </w:rPr>
              <w:t>与合唱相关的声乐知识</w:t>
            </w:r>
          </w:p>
          <w:p w14:paraId="0C73E675">
            <w:pPr>
              <w:keepNext w:val="0"/>
              <w:keepLines w:val="0"/>
              <w:pageBreakBefore w:val="0"/>
              <w:kinsoku/>
              <w:wordWrap/>
              <w:overflowPunct/>
              <w:topLinePunct w:val="0"/>
              <w:bidi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综合：童声合唱</w:t>
            </w:r>
            <w:r>
              <w:rPr>
                <w:rFonts w:hint="eastAsia" w:ascii="仿宋" w:hAnsi="仿宋" w:eastAsia="仿宋" w:cs="仿宋"/>
                <w:bCs/>
                <w:color w:val="auto"/>
                <w:sz w:val="24"/>
                <w:szCs w:val="24"/>
                <w:lang w:eastAsia="zh-CN"/>
              </w:rPr>
              <w:t>；</w:t>
            </w:r>
            <w:r>
              <w:rPr>
                <w:rFonts w:hint="eastAsia" w:ascii="仿宋" w:hAnsi="仿宋" w:eastAsia="仿宋" w:cs="仿宋"/>
                <w:bCs/>
                <w:color w:val="auto"/>
                <w:sz w:val="24"/>
                <w:szCs w:val="24"/>
              </w:rPr>
              <w:t xml:space="preserve">成人及中老年合唱    </w:t>
            </w:r>
          </w:p>
        </w:tc>
        <w:tc>
          <w:tcPr>
            <w:tcW w:w="1153" w:type="dxa"/>
            <w:gridSpan w:val="3"/>
            <w:shd w:val="clear" w:color="auto" w:fill="auto"/>
            <w:noWrap w:val="0"/>
            <w:vAlign w:val="center"/>
          </w:tcPr>
          <w:p w14:paraId="0EBE810A">
            <w:pPr>
              <w:keepNext w:val="0"/>
              <w:keepLines w:val="0"/>
              <w:pageBreakBefore w:val="0"/>
              <w:widowControl/>
              <w:kinsoku/>
              <w:wordWrap/>
              <w:overflowPunct/>
              <w:topLinePunct w:val="0"/>
              <w:bidi w:val="0"/>
              <w:adjustRightInd w:val="0"/>
              <w:snapToGrid w:val="0"/>
              <w:spacing w:line="240" w:lineRule="auto"/>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tc>
        <w:tc>
          <w:tcPr>
            <w:tcW w:w="936" w:type="dxa"/>
            <w:gridSpan w:val="4"/>
            <w:shd w:val="clear" w:color="auto" w:fill="FFFFFF"/>
            <w:noWrap w:val="0"/>
            <w:vAlign w:val="center"/>
          </w:tcPr>
          <w:p w14:paraId="12CE03AD">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32</w:t>
            </w:r>
          </w:p>
        </w:tc>
      </w:tr>
      <w:tr w14:paraId="18ABFD7A">
        <w:trPr>
          <w:trHeight w:val="1988" w:hRule="atLeast"/>
          <w:jc w:val="center"/>
        </w:trPr>
        <w:tc>
          <w:tcPr>
            <w:tcW w:w="1376" w:type="dxa"/>
            <w:vMerge w:val="continue"/>
            <w:shd w:val="clear" w:color="auto" w:fill="FFFFFF"/>
            <w:noWrap w:val="0"/>
            <w:vAlign w:val="center"/>
          </w:tcPr>
          <w:p w14:paraId="0120E644">
            <w:pPr>
              <w:keepNext w:val="0"/>
              <w:keepLines w:val="0"/>
              <w:pageBreakBefore w:val="0"/>
              <w:kinsoku/>
              <w:wordWrap/>
              <w:overflowPunct/>
              <w:topLinePunct w:val="0"/>
              <w:bidi w:val="0"/>
              <w:adjustRightInd w:val="0"/>
              <w:snapToGrid w:val="0"/>
              <w:spacing w:line="240" w:lineRule="auto"/>
              <w:jc w:val="right"/>
              <w:rPr>
                <w:rFonts w:hint="eastAsia" w:ascii="仿宋" w:hAnsi="仿宋" w:eastAsia="仿宋" w:cs="仿宋"/>
                <w:color w:val="auto"/>
                <w:sz w:val="24"/>
                <w:szCs w:val="24"/>
              </w:rPr>
            </w:pPr>
          </w:p>
        </w:tc>
        <w:tc>
          <w:tcPr>
            <w:tcW w:w="5695" w:type="dxa"/>
            <w:gridSpan w:val="11"/>
            <w:shd w:val="clear" w:color="auto" w:fill="auto"/>
            <w:noWrap w:val="0"/>
            <w:vAlign w:val="center"/>
          </w:tcPr>
          <w:p w14:paraId="1EAED908">
            <w:pPr>
              <w:keepNext w:val="0"/>
              <w:keepLines w:val="0"/>
              <w:pageBreakBefore w:val="0"/>
              <w:numPr>
                <w:ilvl w:val="0"/>
                <w:numId w:val="0"/>
              </w:numPr>
              <w:kinsoku/>
              <w:wordWrap/>
              <w:overflowPunct/>
              <w:topLinePunct w:val="0"/>
              <w:bidi w:val="0"/>
              <w:adjustRightInd w:val="0"/>
              <w:snapToGrid w:val="0"/>
              <w:spacing w:line="240" w:lineRule="auto"/>
              <w:ind w:leftChars="0"/>
              <w:rPr>
                <w:rFonts w:hint="default"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指挥篇</w:t>
            </w:r>
          </w:p>
          <w:p w14:paraId="464B540A">
            <w:pPr>
              <w:keepNext w:val="0"/>
              <w:keepLines w:val="0"/>
              <w:pageBreakBefore w:val="0"/>
              <w:widowControl/>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color w:val="auto"/>
                <w:kern w:val="0"/>
                <w:sz w:val="24"/>
                <w:szCs w:val="24"/>
              </w:rPr>
              <w:t>知道：</w:t>
            </w:r>
            <w:r>
              <w:rPr>
                <w:rFonts w:hint="eastAsia" w:ascii="仿宋" w:hAnsi="仿宋" w:eastAsia="仿宋" w:cs="仿宋"/>
                <w:bCs/>
                <w:color w:val="auto"/>
                <w:sz w:val="24"/>
                <w:szCs w:val="24"/>
              </w:rPr>
              <w:t>指挥的职责</w:t>
            </w:r>
          </w:p>
          <w:p w14:paraId="6BC3FAAE">
            <w:pPr>
              <w:keepNext w:val="0"/>
              <w:keepLines w:val="0"/>
              <w:pageBreakBefore w:val="0"/>
              <w:widowControl/>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color w:val="auto"/>
                <w:kern w:val="0"/>
                <w:sz w:val="24"/>
                <w:szCs w:val="24"/>
              </w:rPr>
              <w:t>领会：</w:t>
            </w:r>
            <w:r>
              <w:rPr>
                <w:rFonts w:hint="eastAsia" w:ascii="仿宋" w:hAnsi="仿宋" w:eastAsia="仿宋" w:cs="仿宋"/>
                <w:bCs/>
                <w:color w:val="auto"/>
                <w:sz w:val="24"/>
                <w:szCs w:val="24"/>
              </w:rPr>
              <w:t>指挥的手势调控</w:t>
            </w:r>
          </w:p>
          <w:p w14:paraId="4A869B55">
            <w:pPr>
              <w:keepNext w:val="0"/>
              <w:keepLines w:val="0"/>
              <w:pageBreakBefore w:val="0"/>
              <w:widowControl/>
              <w:kinsoku/>
              <w:wordWrap/>
              <w:overflowPunct/>
              <w:topLinePunct w:val="0"/>
              <w:bidi w:val="0"/>
              <w:adjustRightInd w:val="0"/>
              <w:snapToGrid w:val="0"/>
              <w:spacing w:line="240" w:lineRule="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应用：</w:t>
            </w:r>
            <w:r>
              <w:rPr>
                <w:rFonts w:hint="eastAsia" w:ascii="仿宋" w:hAnsi="仿宋" w:eastAsia="仿宋" w:cs="仿宋"/>
                <w:bCs/>
                <w:color w:val="auto"/>
                <w:sz w:val="24"/>
                <w:szCs w:val="24"/>
              </w:rPr>
              <w:t>指挥的技能</w:t>
            </w:r>
          </w:p>
          <w:p w14:paraId="755FC10D">
            <w:pPr>
              <w:keepNext w:val="0"/>
              <w:keepLines w:val="0"/>
              <w:pageBreakBefore w:val="0"/>
              <w:kinsoku/>
              <w:wordWrap/>
              <w:overflowPunct/>
              <w:topLinePunct w:val="0"/>
              <w:bidi w:val="0"/>
              <w:spacing w:line="240" w:lineRule="auto"/>
              <w:rPr>
                <w:rFonts w:hint="eastAsia" w:ascii="仿宋" w:hAnsi="仿宋" w:eastAsia="仿宋" w:cs="仿宋"/>
                <w:bCs/>
                <w:color w:val="auto"/>
                <w:sz w:val="24"/>
                <w:szCs w:val="24"/>
              </w:rPr>
            </w:pPr>
            <w:r>
              <w:rPr>
                <w:rFonts w:hint="eastAsia" w:ascii="仿宋" w:hAnsi="仿宋" w:eastAsia="仿宋" w:cs="仿宋"/>
                <w:color w:val="auto"/>
                <w:kern w:val="0"/>
                <w:sz w:val="24"/>
                <w:szCs w:val="24"/>
              </w:rPr>
              <w:t>分析：</w:t>
            </w:r>
            <w:r>
              <w:rPr>
                <w:rFonts w:hint="eastAsia" w:ascii="仿宋" w:hAnsi="仿宋" w:eastAsia="仿宋" w:cs="仿宋"/>
                <w:bCs/>
                <w:color w:val="auto"/>
                <w:sz w:val="24"/>
                <w:szCs w:val="24"/>
              </w:rPr>
              <w:t>合唱的风格表现与艺术处理</w:t>
            </w:r>
          </w:p>
          <w:p w14:paraId="735345C7">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综合：合唱教学及排练、演出事宜的处置</w:t>
            </w:r>
          </w:p>
        </w:tc>
        <w:tc>
          <w:tcPr>
            <w:tcW w:w="1153" w:type="dxa"/>
            <w:gridSpan w:val="3"/>
            <w:shd w:val="clear" w:color="auto" w:fill="auto"/>
            <w:noWrap w:val="0"/>
            <w:vAlign w:val="center"/>
          </w:tcPr>
          <w:p w14:paraId="6D9F839D">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bCs/>
                <w:color w:val="auto"/>
                <w:sz w:val="24"/>
                <w:szCs w:val="24"/>
              </w:rPr>
            </w:pPr>
          </w:p>
          <w:p w14:paraId="3C86EC7C">
            <w:pPr>
              <w:keepNext w:val="0"/>
              <w:keepLines w:val="0"/>
              <w:pageBreakBefore w:val="0"/>
              <w:widowControl/>
              <w:kinsoku/>
              <w:wordWrap/>
              <w:overflowPunct/>
              <w:topLinePunct w:val="0"/>
              <w:bidi w:val="0"/>
              <w:adjustRightInd w:val="0"/>
              <w:snapToGrid w:val="0"/>
              <w:spacing w:line="240" w:lineRule="auto"/>
              <w:jc w:val="center"/>
              <w:rPr>
                <w:rFonts w:hint="eastAsia" w:ascii="仿宋" w:hAnsi="仿宋" w:eastAsia="仿宋" w:cs="仿宋"/>
                <w:bCs/>
                <w:color w:val="auto"/>
                <w:sz w:val="24"/>
                <w:szCs w:val="24"/>
              </w:rPr>
            </w:pPr>
          </w:p>
          <w:p w14:paraId="6D55C34B">
            <w:pPr>
              <w:keepNext w:val="0"/>
              <w:keepLines w:val="0"/>
              <w:pageBreakBefore w:val="0"/>
              <w:widowControl/>
              <w:kinsoku/>
              <w:wordWrap/>
              <w:overflowPunct/>
              <w:topLinePunct w:val="0"/>
              <w:bidi w:val="0"/>
              <w:adjustRightInd w:val="0"/>
              <w:snapToGrid w:val="0"/>
              <w:spacing w:line="240" w:lineRule="auto"/>
              <w:jc w:val="center"/>
              <w:rPr>
                <w:rFonts w:hint="default" w:ascii="仿宋" w:hAnsi="仿宋" w:eastAsia="仿宋" w:cs="仿宋"/>
                <w:bCs/>
                <w:color w:val="auto"/>
                <w:sz w:val="24"/>
                <w:szCs w:val="24"/>
                <w:lang w:val="en-US" w:eastAsia="zh-CN"/>
              </w:rPr>
            </w:pPr>
            <w:r>
              <w:rPr>
                <w:rFonts w:hint="eastAsia" w:ascii="仿宋" w:hAnsi="仿宋" w:eastAsia="仿宋" w:cs="仿宋"/>
                <w:bCs/>
                <w:color w:val="auto"/>
                <w:sz w:val="24"/>
                <w:szCs w:val="24"/>
              </w:rPr>
              <w:t>支撑课程目标1、2、3</w:t>
            </w:r>
          </w:p>
          <w:p w14:paraId="7EAAB01A">
            <w:pPr>
              <w:keepNext w:val="0"/>
              <w:keepLines w:val="0"/>
              <w:pageBreakBefore w:val="0"/>
              <w:kinsoku/>
              <w:wordWrap/>
              <w:overflowPunct/>
              <w:topLinePunct w:val="0"/>
              <w:bidi w:val="0"/>
              <w:adjustRightInd w:val="0"/>
              <w:snapToGrid w:val="0"/>
              <w:spacing w:line="240" w:lineRule="auto"/>
              <w:jc w:val="both"/>
              <w:rPr>
                <w:rFonts w:hint="eastAsia" w:ascii="仿宋" w:hAnsi="仿宋" w:eastAsia="仿宋" w:cs="仿宋"/>
                <w:bCs/>
                <w:color w:val="auto"/>
                <w:sz w:val="24"/>
                <w:szCs w:val="24"/>
              </w:rPr>
            </w:pPr>
          </w:p>
        </w:tc>
        <w:tc>
          <w:tcPr>
            <w:tcW w:w="936" w:type="dxa"/>
            <w:gridSpan w:val="4"/>
            <w:shd w:val="clear" w:color="auto" w:fill="FFFFFF"/>
            <w:noWrap w:val="0"/>
            <w:vAlign w:val="center"/>
          </w:tcPr>
          <w:p w14:paraId="3FD3F8CF">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32</w:t>
            </w:r>
          </w:p>
        </w:tc>
      </w:tr>
      <w:tr w14:paraId="0B2EDBE0">
        <w:trPr>
          <w:trHeight w:val="454" w:hRule="atLeast"/>
          <w:jc w:val="center"/>
        </w:trPr>
        <w:tc>
          <w:tcPr>
            <w:tcW w:w="1376" w:type="dxa"/>
            <w:vMerge w:val="continue"/>
            <w:shd w:val="clear" w:color="auto" w:fill="FFFFFF"/>
            <w:noWrap w:val="0"/>
            <w:vAlign w:val="center"/>
          </w:tcPr>
          <w:p w14:paraId="152D46A4">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p>
        </w:tc>
        <w:tc>
          <w:tcPr>
            <w:tcW w:w="6848" w:type="dxa"/>
            <w:gridSpan w:val="14"/>
            <w:shd w:val="clear" w:color="auto" w:fill="auto"/>
            <w:noWrap w:val="0"/>
            <w:vAlign w:val="center"/>
          </w:tcPr>
          <w:p w14:paraId="5ED8FE8E">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合计</w:t>
            </w:r>
          </w:p>
        </w:tc>
        <w:tc>
          <w:tcPr>
            <w:tcW w:w="936" w:type="dxa"/>
            <w:gridSpan w:val="4"/>
            <w:shd w:val="clear" w:color="auto" w:fill="FFFFFF"/>
            <w:noWrap w:val="0"/>
            <w:vAlign w:val="center"/>
          </w:tcPr>
          <w:p w14:paraId="4DA5CBF5">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64</w:t>
            </w:r>
          </w:p>
        </w:tc>
      </w:tr>
      <w:tr w14:paraId="592D89D0">
        <w:trPr>
          <w:trHeight w:val="454" w:hRule="atLeast"/>
          <w:jc w:val="center"/>
        </w:trPr>
        <w:tc>
          <w:tcPr>
            <w:tcW w:w="1376" w:type="dxa"/>
            <w:vMerge w:val="restart"/>
            <w:shd w:val="clear" w:color="auto" w:fill="FFFFFF"/>
            <w:noWrap w:val="0"/>
            <w:vAlign w:val="center"/>
          </w:tcPr>
          <w:p w14:paraId="134EFBFA">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G</w:t>
            </w:r>
          </w:p>
          <w:p w14:paraId="0BBA1976">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技能（实训）</w:t>
            </w:r>
            <w:r>
              <w:rPr>
                <w:rFonts w:hint="eastAsia" w:ascii="仿宋" w:hAnsi="仿宋" w:eastAsia="仿宋" w:cs="仿宋"/>
                <w:color w:val="auto"/>
                <w:sz w:val="24"/>
                <w:szCs w:val="24"/>
              </w:rPr>
              <w:t>内容</w:t>
            </w:r>
          </w:p>
        </w:tc>
        <w:tc>
          <w:tcPr>
            <w:tcW w:w="5695" w:type="dxa"/>
            <w:gridSpan w:val="11"/>
            <w:shd w:val="clear" w:color="auto" w:fill="auto"/>
            <w:noWrap w:val="0"/>
            <w:vAlign w:val="center"/>
          </w:tcPr>
          <w:p w14:paraId="7D385B49">
            <w:pPr>
              <w:keepNext w:val="0"/>
              <w:keepLines w:val="0"/>
              <w:pageBreakBefore w:val="0"/>
              <w:kinsoku/>
              <w:wordWrap/>
              <w:overflowPunct/>
              <w:topLinePunct w:val="0"/>
              <w:bidi w:val="0"/>
              <w:adjustRightInd w:val="0"/>
              <w:snapToGrid w:val="0"/>
              <w:spacing w:line="240" w:lineRule="auto"/>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实训内容及训练</w:t>
            </w:r>
            <w:r>
              <w:rPr>
                <w:rFonts w:hint="eastAsia" w:ascii="仿宋" w:hAnsi="仿宋" w:eastAsia="仿宋" w:cs="仿宋"/>
                <w:color w:val="auto"/>
                <w:kern w:val="0"/>
                <w:sz w:val="24"/>
                <w:szCs w:val="24"/>
              </w:rPr>
              <w:t>要求</w:t>
            </w:r>
          </w:p>
        </w:tc>
        <w:tc>
          <w:tcPr>
            <w:tcW w:w="1153" w:type="dxa"/>
            <w:gridSpan w:val="3"/>
            <w:shd w:val="clear" w:color="auto" w:fill="auto"/>
            <w:noWrap w:val="0"/>
            <w:vAlign w:val="center"/>
          </w:tcPr>
          <w:p w14:paraId="397B4825">
            <w:pPr>
              <w:keepNext w:val="0"/>
              <w:keepLines w:val="0"/>
              <w:pageBreakBefore w:val="0"/>
              <w:kinsoku/>
              <w:wordWrap/>
              <w:overflowPunct/>
              <w:topLinePunct w:val="0"/>
              <w:bidi w:val="0"/>
              <w:adjustRightInd w:val="0"/>
              <w:snapToGrid w:val="0"/>
              <w:spacing w:line="240" w:lineRule="auto"/>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支撑课程</w:t>
            </w:r>
          </w:p>
          <w:p w14:paraId="5C183431">
            <w:pPr>
              <w:keepNext w:val="0"/>
              <w:keepLines w:val="0"/>
              <w:pageBreakBefore w:val="0"/>
              <w:kinsoku/>
              <w:wordWrap/>
              <w:overflowPunct/>
              <w:topLinePunct w:val="0"/>
              <w:bidi w:val="0"/>
              <w:adjustRightInd w:val="0"/>
              <w:snapToGrid w:val="0"/>
              <w:spacing w:line="240" w:lineRule="auto"/>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目标</w:t>
            </w:r>
          </w:p>
        </w:tc>
        <w:tc>
          <w:tcPr>
            <w:tcW w:w="936" w:type="dxa"/>
            <w:gridSpan w:val="4"/>
            <w:shd w:val="clear" w:color="auto" w:fill="FFFFFF"/>
            <w:noWrap w:val="0"/>
            <w:vAlign w:val="center"/>
          </w:tcPr>
          <w:p w14:paraId="2CBF0057">
            <w:pPr>
              <w:keepNext w:val="0"/>
              <w:keepLines w:val="0"/>
              <w:pageBreakBefore w:val="0"/>
              <w:kinsoku/>
              <w:wordWrap/>
              <w:overflowPunct/>
              <w:topLinePunct w:val="0"/>
              <w:bidi w:val="0"/>
              <w:adjustRightInd w:val="0"/>
              <w:snapToGrid w:val="0"/>
              <w:spacing w:line="240" w:lineRule="auto"/>
              <w:jc w:val="center"/>
              <w:rPr>
                <w:rFonts w:ascii="仿宋" w:hAnsi="仿宋" w:eastAsia="仿宋" w:cs="仿宋"/>
                <w:color w:val="auto"/>
                <w:kern w:val="0"/>
                <w:sz w:val="24"/>
                <w:szCs w:val="24"/>
              </w:rPr>
            </w:pPr>
            <w:r>
              <w:rPr>
                <w:rFonts w:hint="eastAsia" w:ascii="仿宋" w:hAnsi="仿宋" w:eastAsia="仿宋" w:cs="仿宋"/>
                <w:color w:val="auto"/>
                <w:kern w:val="0"/>
                <w:sz w:val="24"/>
                <w:szCs w:val="24"/>
              </w:rPr>
              <w:t xml:space="preserve">学时 </w:t>
            </w:r>
          </w:p>
          <w:p w14:paraId="37CF6E6E">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kern w:val="0"/>
                <w:sz w:val="24"/>
                <w:szCs w:val="24"/>
              </w:rPr>
              <w:t>分配</w:t>
            </w:r>
          </w:p>
        </w:tc>
      </w:tr>
      <w:tr w14:paraId="7AA4D5C8">
        <w:trPr>
          <w:trHeight w:val="454" w:hRule="atLeast"/>
          <w:jc w:val="center"/>
        </w:trPr>
        <w:tc>
          <w:tcPr>
            <w:tcW w:w="1376" w:type="dxa"/>
            <w:vMerge w:val="continue"/>
            <w:shd w:val="clear" w:color="auto" w:fill="FFFFFF"/>
            <w:noWrap w:val="0"/>
            <w:vAlign w:val="center"/>
          </w:tcPr>
          <w:p w14:paraId="423BF176">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p>
        </w:tc>
        <w:tc>
          <w:tcPr>
            <w:tcW w:w="5695" w:type="dxa"/>
            <w:gridSpan w:val="11"/>
            <w:shd w:val="clear" w:color="auto" w:fill="auto"/>
            <w:noWrap w:val="0"/>
            <w:vAlign w:val="center"/>
          </w:tcPr>
          <w:p w14:paraId="1E0D4970">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实</w:t>
            </w:r>
            <w:r>
              <w:rPr>
                <w:rFonts w:hint="eastAsia" w:ascii="仿宋" w:hAnsi="仿宋" w:eastAsia="仿宋" w:cs="仿宋"/>
                <w:bCs/>
                <w:color w:val="auto"/>
                <w:sz w:val="24"/>
                <w:szCs w:val="24"/>
                <w:lang w:val="en-US" w:eastAsia="zh-CN"/>
              </w:rPr>
              <w:t>训</w:t>
            </w:r>
            <w:r>
              <w:rPr>
                <w:rFonts w:hint="eastAsia" w:ascii="仿宋" w:hAnsi="仿宋" w:eastAsia="仿宋" w:cs="仿宋"/>
                <w:bCs/>
                <w:color w:val="auto"/>
                <w:sz w:val="24"/>
                <w:szCs w:val="24"/>
              </w:rPr>
              <w:t>一</w:t>
            </w:r>
          </w:p>
          <w:p w14:paraId="145C73C8">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实验目的：</w:t>
            </w:r>
            <w:r>
              <w:rPr>
                <w:rFonts w:hint="eastAsia" w:ascii="仿宋" w:hAnsi="仿宋" w:eastAsia="仿宋" w:cs="仿宋"/>
                <w:bCs/>
                <w:color w:val="auto"/>
                <w:sz w:val="24"/>
                <w:szCs w:val="24"/>
                <w:lang w:val="en-US" w:eastAsia="zh-CN"/>
              </w:rPr>
              <w:t>培养学生的合唱音乐能力、具有综合的合唱音乐素质，通过合唱实践，理解合唱的统一、平衡与和谐，并根据合唱作品的风格和表现的要求，对合唱队各声部的声音及其表现进行调整。</w:t>
            </w:r>
          </w:p>
          <w:p w14:paraId="5E7B50DC">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实</w:t>
            </w:r>
            <w:r>
              <w:rPr>
                <w:rFonts w:hint="eastAsia" w:ascii="仿宋" w:hAnsi="仿宋" w:eastAsia="仿宋" w:cs="仿宋"/>
                <w:bCs/>
                <w:color w:val="auto"/>
                <w:sz w:val="24"/>
                <w:szCs w:val="24"/>
                <w:lang w:val="en-US" w:eastAsia="zh-CN"/>
              </w:rPr>
              <w:t>训</w:t>
            </w:r>
            <w:r>
              <w:rPr>
                <w:rFonts w:hint="eastAsia" w:ascii="仿宋" w:hAnsi="仿宋" w:eastAsia="仿宋" w:cs="仿宋"/>
                <w:bCs/>
                <w:color w:val="auto"/>
                <w:sz w:val="24"/>
                <w:szCs w:val="24"/>
              </w:rPr>
              <w:t>任务：</w:t>
            </w:r>
          </w:p>
          <w:p w14:paraId="56164D68">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Ⅰ.  《在太行山上》</w:t>
            </w:r>
          </w:p>
          <w:p w14:paraId="0F6AE9A9">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Ⅱ.  《远方的客人请你留下来》</w:t>
            </w:r>
          </w:p>
          <w:p w14:paraId="5A336C54">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III. 《美丽的草原我的家》</w:t>
            </w:r>
          </w:p>
          <w:p w14:paraId="1B467356">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IV.  《闲聊波尔卡》</w:t>
            </w:r>
          </w:p>
          <w:p w14:paraId="0C8E8C33">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V.   《青春舞曲》</w:t>
            </w:r>
          </w:p>
          <w:p w14:paraId="05F48AF7">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VI.  《阿拉木汗》</w:t>
            </w:r>
          </w:p>
          <w:p w14:paraId="26A5B335">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VII. 《嘎哦丽泰》</w:t>
            </w:r>
          </w:p>
          <w:p w14:paraId="78A24A04">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VIII.《半个月亮爬上来》</w:t>
            </w:r>
          </w:p>
          <w:p w14:paraId="749D563C">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IX.  《茨岗》</w:t>
            </w:r>
          </w:p>
          <w:p w14:paraId="3334BF41">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X.   《哈利路亚》</w:t>
            </w:r>
          </w:p>
          <w:p w14:paraId="6B757D93">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XI.  《乘着歌声的翅膀》</w:t>
            </w:r>
          </w:p>
          <w:p w14:paraId="0FCBDA8B">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XII. 《美丽的梦神》</w:t>
            </w:r>
          </w:p>
          <w:p w14:paraId="3A2832DD">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XIII.《回忆》</w:t>
            </w:r>
          </w:p>
          <w:p w14:paraId="06695052">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XIV. 《黄水谣》</w:t>
            </w:r>
          </w:p>
          <w:p w14:paraId="5C2ED5C4">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XV.  《飞来的花瓣》</w:t>
            </w:r>
          </w:p>
          <w:p w14:paraId="365A9E7F">
            <w:pPr>
              <w:keepNext w:val="0"/>
              <w:keepLines w:val="0"/>
              <w:pageBreakBefore w:val="0"/>
              <w:kinsoku/>
              <w:wordWrap/>
              <w:overflowPunct/>
              <w:topLinePunct w:val="0"/>
              <w:bidi w:val="0"/>
              <w:adjustRightInd w:val="0"/>
              <w:snapToGrid w:val="0"/>
              <w:spacing w:line="240" w:lineRule="auto"/>
              <w:rPr>
                <w:rFonts w:hint="default"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w:t>
            </w:r>
          </w:p>
          <w:p w14:paraId="59CAD505">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注：教学谱例根据实际需要，不断增补调整。</w:t>
            </w:r>
          </w:p>
        </w:tc>
        <w:tc>
          <w:tcPr>
            <w:tcW w:w="1153" w:type="dxa"/>
            <w:gridSpan w:val="3"/>
            <w:shd w:val="clear" w:color="auto" w:fill="auto"/>
            <w:noWrap w:val="0"/>
            <w:vAlign w:val="center"/>
          </w:tcPr>
          <w:p w14:paraId="09B264D3">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tc>
        <w:tc>
          <w:tcPr>
            <w:tcW w:w="936" w:type="dxa"/>
            <w:gridSpan w:val="4"/>
            <w:shd w:val="clear" w:color="auto" w:fill="FFFFFF"/>
            <w:noWrap w:val="0"/>
            <w:vAlign w:val="center"/>
          </w:tcPr>
          <w:p w14:paraId="7231109C">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32</w:t>
            </w:r>
          </w:p>
        </w:tc>
      </w:tr>
      <w:tr w14:paraId="66C57DE6">
        <w:trPr>
          <w:trHeight w:val="454" w:hRule="atLeast"/>
          <w:jc w:val="center"/>
        </w:trPr>
        <w:tc>
          <w:tcPr>
            <w:tcW w:w="1376" w:type="dxa"/>
            <w:vMerge w:val="continue"/>
            <w:shd w:val="clear" w:color="auto" w:fill="FFFFFF"/>
            <w:noWrap w:val="0"/>
            <w:vAlign w:val="center"/>
          </w:tcPr>
          <w:p w14:paraId="5F082C40">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p>
        </w:tc>
        <w:tc>
          <w:tcPr>
            <w:tcW w:w="5695" w:type="dxa"/>
            <w:gridSpan w:val="11"/>
            <w:shd w:val="clear" w:color="auto" w:fill="auto"/>
            <w:noWrap w:val="0"/>
            <w:vAlign w:val="center"/>
          </w:tcPr>
          <w:p w14:paraId="67F2EC83">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实</w:t>
            </w:r>
            <w:r>
              <w:rPr>
                <w:rFonts w:hint="eastAsia" w:ascii="仿宋" w:hAnsi="仿宋" w:eastAsia="仿宋" w:cs="仿宋"/>
                <w:bCs/>
                <w:color w:val="auto"/>
                <w:sz w:val="24"/>
                <w:szCs w:val="24"/>
                <w:lang w:val="en-US" w:eastAsia="zh-CN"/>
              </w:rPr>
              <w:t>训</w:t>
            </w:r>
            <w:r>
              <w:rPr>
                <w:rFonts w:hint="eastAsia" w:ascii="仿宋" w:hAnsi="仿宋" w:eastAsia="仿宋" w:cs="仿宋"/>
                <w:bCs/>
                <w:color w:val="auto"/>
                <w:sz w:val="24"/>
                <w:szCs w:val="24"/>
              </w:rPr>
              <w:t>二</w:t>
            </w:r>
          </w:p>
          <w:p w14:paraId="52AEC557">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实</w:t>
            </w:r>
            <w:r>
              <w:rPr>
                <w:rFonts w:hint="eastAsia" w:ascii="仿宋" w:hAnsi="仿宋" w:eastAsia="仿宋" w:cs="仿宋"/>
                <w:bCs/>
                <w:color w:val="auto"/>
                <w:sz w:val="24"/>
                <w:szCs w:val="24"/>
                <w:lang w:val="en-US" w:eastAsia="zh-CN"/>
              </w:rPr>
              <w:t>训</w:t>
            </w:r>
            <w:r>
              <w:rPr>
                <w:rFonts w:hint="eastAsia" w:ascii="仿宋" w:hAnsi="仿宋" w:eastAsia="仿宋" w:cs="仿宋"/>
                <w:bCs/>
                <w:color w:val="auto"/>
                <w:sz w:val="24"/>
                <w:szCs w:val="24"/>
              </w:rPr>
              <w:t>目的：介绍常用的指挥技法和处理表现作品设计指挥方案，让学生能熟悉和掌握各种指挥技法，以及对音乐作品理解和诠释的能力。</w:t>
            </w:r>
          </w:p>
          <w:p w14:paraId="4BC4C15F">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实</w:t>
            </w:r>
            <w:r>
              <w:rPr>
                <w:rFonts w:hint="eastAsia" w:ascii="仿宋" w:hAnsi="仿宋" w:eastAsia="仿宋" w:cs="仿宋"/>
                <w:bCs/>
                <w:color w:val="auto"/>
                <w:sz w:val="24"/>
                <w:szCs w:val="24"/>
                <w:lang w:val="en-US" w:eastAsia="zh-CN"/>
              </w:rPr>
              <w:t>训</w:t>
            </w:r>
            <w:r>
              <w:rPr>
                <w:rFonts w:hint="eastAsia" w:ascii="仿宋" w:hAnsi="仿宋" w:eastAsia="仿宋" w:cs="仿宋"/>
                <w:bCs/>
                <w:color w:val="auto"/>
                <w:sz w:val="24"/>
                <w:szCs w:val="24"/>
              </w:rPr>
              <w:t>任务：</w:t>
            </w:r>
          </w:p>
          <w:p w14:paraId="400819FF">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I.   《在太行山上》</w:t>
            </w:r>
          </w:p>
          <w:p w14:paraId="4A6C3649">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II.  《远方的客人请你留下来》</w:t>
            </w:r>
          </w:p>
          <w:p w14:paraId="6182DAC5">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III. 《渔阳轚鼓动起来》</w:t>
            </w:r>
          </w:p>
          <w:p w14:paraId="474A9C43">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IV.  《半个月亮爬上来》</w:t>
            </w:r>
          </w:p>
          <w:p w14:paraId="09DFD8BB">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V.   《茨岗》</w:t>
            </w:r>
          </w:p>
          <w:p w14:paraId="099E2B9E">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VI.  《雨后彩虹》</w:t>
            </w:r>
          </w:p>
          <w:p w14:paraId="1095AC44">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VII. 《乘着歌声的翅膀》</w:t>
            </w:r>
          </w:p>
          <w:p w14:paraId="1F24EED6">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VIII.《美丽的梦神》</w:t>
            </w:r>
          </w:p>
          <w:p w14:paraId="19D873B2">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IX.  《黄水谣》</w:t>
            </w:r>
          </w:p>
          <w:p w14:paraId="37A10015">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X.   《飞来的花瓣》</w:t>
            </w:r>
          </w:p>
          <w:p w14:paraId="7F764160">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w:t>
            </w:r>
          </w:p>
          <w:p w14:paraId="0CAE9E95">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注：教学谱例根据实际需要，不断增补调整。</w:t>
            </w:r>
          </w:p>
        </w:tc>
        <w:tc>
          <w:tcPr>
            <w:tcW w:w="1153" w:type="dxa"/>
            <w:gridSpan w:val="3"/>
            <w:shd w:val="clear" w:color="auto" w:fill="auto"/>
            <w:noWrap w:val="0"/>
            <w:vAlign w:val="center"/>
          </w:tcPr>
          <w:p w14:paraId="2B97A26B">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tc>
        <w:tc>
          <w:tcPr>
            <w:tcW w:w="936" w:type="dxa"/>
            <w:gridSpan w:val="4"/>
            <w:shd w:val="clear" w:color="auto" w:fill="FFFFFF"/>
            <w:noWrap w:val="0"/>
            <w:vAlign w:val="center"/>
          </w:tcPr>
          <w:p w14:paraId="6BB7D8AC">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32</w:t>
            </w:r>
          </w:p>
        </w:tc>
      </w:tr>
      <w:tr w14:paraId="6D2040B1">
        <w:trPr>
          <w:trHeight w:val="504" w:hRule="atLeast"/>
          <w:jc w:val="center"/>
        </w:trPr>
        <w:tc>
          <w:tcPr>
            <w:tcW w:w="1376" w:type="dxa"/>
            <w:vMerge w:val="continue"/>
            <w:shd w:val="clear" w:color="auto" w:fill="FFFFFF"/>
            <w:noWrap w:val="0"/>
            <w:vAlign w:val="center"/>
          </w:tcPr>
          <w:p w14:paraId="7434E815">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p>
        </w:tc>
        <w:tc>
          <w:tcPr>
            <w:tcW w:w="6848" w:type="dxa"/>
            <w:gridSpan w:val="14"/>
            <w:shd w:val="clear" w:color="auto" w:fill="auto"/>
            <w:noWrap w:val="0"/>
            <w:vAlign w:val="center"/>
          </w:tcPr>
          <w:p w14:paraId="6F6A8273">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合计</w:t>
            </w:r>
          </w:p>
        </w:tc>
        <w:tc>
          <w:tcPr>
            <w:tcW w:w="936" w:type="dxa"/>
            <w:gridSpan w:val="4"/>
            <w:shd w:val="clear" w:color="auto" w:fill="FFFFFF"/>
            <w:noWrap w:val="0"/>
            <w:vAlign w:val="center"/>
          </w:tcPr>
          <w:p w14:paraId="5F6D500A">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64</w:t>
            </w:r>
          </w:p>
        </w:tc>
      </w:tr>
      <w:tr w14:paraId="274EA5E3">
        <w:trPr>
          <w:trHeight w:val="495" w:hRule="atLeast"/>
          <w:jc w:val="center"/>
        </w:trPr>
        <w:tc>
          <w:tcPr>
            <w:tcW w:w="1376" w:type="dxa"/>
            <w:vMerge w:val="restart"/>
            <w:shd w:val="clear" w:color="auto" w:fill="FFFFFF"/>
            <w:noWrap w:val="0"/>
            <w:vAlign w:val="center"/>
          </w:tcPr>
          <w:p w14:paraId="37325B70">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H</w:t>
            </w:r>
          </w:p>
          <w:p w14:paraId="2A11D305">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实践内容（含教育实习、见习、研习，专业实习、毕业论文或毕业设计等）</w:t>
            </w:r>
          </w:p>
        </w:tc>
        <w:tc>
          <w:tcPr>
            <w:tcW w:w="5695" w:type="dxa"/>
            <w:gridSpan w:val="11"/>
            <w:noWrap w:val="0"/>
            <w:vAlign w:val="center"/>
          </w:tcPr>
          <w:p w14:paraId="79730AD0">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实践主要内容和要求</w:t>
            </w:r>
          </w:p>
        </w:tc>
        <w:tc>
          <w:tcPr>
            <w:tcW w:w="1153" w:type="dxa"/>
            <w:gridSpan w:val="3"/>
            <w:noWrap w:val="0"/>
            <w:vAlign w:val="center"/>
          </w:tcPr>
          <w:p w14:paraId="223A6136">
            <w:pPr>
              <w:keepNext w:val="0"/>
              <w:keepLines w:val="0"/>
              <w:pageBreakBefore w:val="0"/>
              <w:kinsoku/>
              <w:wordWrap/>
              <w:overflowPunct/>
              <w:topLinePunct w:val="0"/>
              <w:bidi w:val="0"/>
              <w:adjustRightInd w:val="0"/>
              <w:snapToGrid w:val="0"/>
              <w:spacing w:line="240" w:lineRule="auto"/>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支撑课程</w:t>
            </w:r>
          </w:p>
          <w:p w14:paraId="38198693">
            <w:pPr>
              <w:keepNext w:val="0"/>
              <w:keepLines w:val="0"/>
              <w:pageBreakBefore w:val="0"/>
              <w:kinsoku/>
              <w:wordWrap/>
              <w:overflowPunct/>
              <w:topLinePunct w:val="0"/>
              <w:bidi w:val="0"/>
              <w:adjustRightInd w:val="0"/>
              <w:snapToGrid w:val="0"/>
              <w:spacing w:line="240" w:lineRule="auto"/>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目标</w:t>
            </w:r>
          </w:p>
        </w:tc>
        <w:tc>
          <w:tcPr>
            <w:tcW w:w="936" w:type="dxa"/>
            <w:gridSpan w:val="4"/>
            <w:noWrap w:val="0"/>
            <w:vAlign w:val="center"/>
          </w:tcPr>
          <w:p w14:paraId="4E4C7DD1">
            <w:pPr>
              <w:keepNext w:val="0"/>
              <w:keepLines w:val="0"/>
              <w:pageBreakBefore w:val="0"/>
              <w:kinsoku/>
              <w:wordWrap/>
              <w:overflowPunct/>
              <w:topLinePunct w:val="0"/>
              <w:bidi w:val="0"/>
              <w:adjustRightInd w:val="0"/>
              <w:snapToGrid w:val="0"/>
              <w:spacing w:line="240" w:lineRule="auto"/>
              <w:jc w:val="center"/>
              <w:rPr>
                <w:rFonts w:ascii="仿宋" w:hAnsi="仿宋" w:eastAsia="仿宋" w:cs="仿宋"/>
                <w:color w:val="auto"/>
                <w:kern w:val="0"/>
                <w:sz w:val="24"/>
                <w:szCs w:val="24"/>
              </w:rPr>
            </w:pPr>
            <w:r>
              <w:rPr>
                <w:rFonts w:hint="eastAsia" w:ascii="仿宋" w:hAnsi="仿宋" w:eastAsia="仿宋" w:cs="仿宋"/>
                <w:color w:val="auto"/>
                <w:kern w:val="0"/>
                <w:sz w:val="24"/>
                <w:szCs w:val="24"/>
              </w:rPr>
              <w:t>时长</w:t>
            </w:r>
          </w:p>
          <w:p w14:paraId="3DACC139">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kern w:val="0"/>
                <w:sz w:val="24"/>
                <w:szCs w:val="24"/>
              </w:rPr>
              <w:t>分配</w:t>
            </w:r>
          </w:p>
        </w:tc>
      </w:tr>
      <w:tr w14:paraId="3D363EB2">
        <w:trPr>
          <w:trHeight w:val="90" w:hRule="atLeast"/>
          <w:jc w:val="center"/>
        </w:trPr>
        <w:tc>
          <w:tcPr>
            <w:tcW w:w="1376" w:type="dxa"/>
            <w:vMerge w:val="continue"/>
            <w:shd w:val="clear" w:color="auto" w:fill="FFFFFF"/>
            <w:noWrap w:val="0"/>
            <w:vAlign w:val="center"/>
          </w:tcPr>
          <w:p w14:paraId="39966DBC">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p>
        </w:tc>
        <w:tc>
          <w:tcPr>
            <w:tcW w:w="5695" w:type="dxa"/>
            <w:gridSpan w:val="11"/>
            <w:noWrap w:val="0"/>
            <w:vAlign w:val="top"/>
          </w:tcPr>
          <w:p w14:paraId="329E1781">
            <w:pPr>
              <w:keepNext w:val="0"/>
              <w:keepLines w:val="0"/>
              <w:pageBreakBefore w:val="0"/>
              <w:widowControl/>
              <w:kinsoku/>
              <w:wordWrap/>
              <w:overflowPunct/>
              <w:topLinePunct w:val="0"/>
              <w:autoSpaceDE w:val="0"/>
              <w:autoSpaceDN w:val="0"/>
              <w:bidi w:val="0"/>
              <w:adjustRightInd w:val="0"/>
              <w:snapToGrid w:val="0"/>
              <w:spacing w:line="240" w:lineRule="auto"/>
              <w:jc w:val="left"/>
              <w:textAlignment w:val="bottom"/>
              <w:rPr>
                <w:rFonts w:hint="eastAsia" w:ascii="仿宋" w:hAnsi="仿宋" w:eastAsia="仿宋" w:cs="仿宋"/>
                <w:color w:val="auto"/>
                <w:sz w:val="24"/>
                <w:szCs w:val="24"/>
              </w:rPr>
            </w:pPr>
          </w:p>
        </w:tc>
        <w:tc>
          <w:tcPr>
            <w:tcW w:w="1153" w:type="dxa"/>
            <w:gridSpan w:val="3"/>
            <w:noWrap w:val="0"/>
            <w:vAlign w:val="top"/>
          </w:tcPr>
          <w:p w14:paraId="34803851">
            <w:pPr>
              <w:keepNext w:val="0"/>
              <w:keepLines w:val="0"/>
              <w:pageBreakBefore w:val="0"/>
              <w:kinsoku/>
              <w:wordWrap/>
              <w:overflowPunct/>
              <w:topLinePunct w:val="0"/>
              <w:bidi w:val="0"/>
              <w:adjustRightInd w:val="0"/>
              <w:snapToGrid w:val="0"/>
              <w:spacing w:line="240" w:lineRule="auto"/>
              <w:jc w:val="left"/>
              <w:rPr>
                <w:rFonts w:hint="eastAsia" w:ascii="仿宋" w:hAnsi="仿宋" w:eastAsia="仿宋" w:cs="仿宋"/>
                <w:color w:val="auto"/>
                <w:sz w:val="24"/>
                <w:szCs w:val="24"/>
              </w:rPr>
            </w:pPr>
          </w:p>
        </w:tc>
        <w:tc>
          <w:tcPr>
            <w:tcW w:w="936" w:type="dxa"/>
            <w:gridSpan w:val="4"/>
            <w:noWrap w:val="0"/>
            <w:vAlign w:val="top"/>
          </w:tcPr>
          <w:p w14:paraId="593269B1">
            <w:pPr>
              <w:keepNext w:val="0"/>
              <w:keepLines w:val="0"/>
              <w:pageBreakBefore w:val="0"/>
              <w:kinsoku/>
              <w:wordWrap/>
              <w:overflowPunct/>
              <w:topLinePunct w:val="0"/>
              <w:bidi w:val="0"/>
              <w:adjustRightInd w:val="0"/>
              <w:snapToGrid w:val="0"/>
              <w:spacing w:line="240" w:lineRule="auto"/>
              <w:jc w:val="left"/>
              <w:rPr>
                <w:rFonts w:hint="eastAsia" w:ascii="仿宋" w:hAnsi="仿宋" w:eastAsia="仿宋" w:cs="仿宋"/>
                <w:color w:val="auto"/>
                <w:sz w:val="24"/>
                <w:szCs w:val="24"/>
              </w:rPr>
            </w:pPr>
          </w:p>
        </w:tc>
      </w:tr>
      <w:tr w14:paraId="5AB0560E">
        <w:trPr>
          <w:trHeight w:val="921" w:hRule="atLeast"/>
          <w:jc w:val="center"/>
        </w:trPr>
        <w:tc>
          <w:tcPr>
            <w:tcW w:w="1376" w:type="dxa"/>
            <w:noWrap w:val="0"/>
            <w:vAlign w:val="center"/>
          </w:tcPr>
          <w:p w14:paraId="3943F825">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I</w:t>
            </w:r>
          </w:p>
          <w:p w14:paraId="75460EF7">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lang w:eastAsia="zh-TW"/>
              </w:rPr>
            </w:pPr>
            <w:r>
              <w:rPr>
                <w:rFonts w:hint="eastAsia" w:ascii="仿宋" w:hAnsi="仿宋" w:eastAsia="仿宋" w:cs="仿宋"/>
                <w:color w:val="auto"/>
                <w:sz w:val="24"/>
                <w:szCs w:val="24"/>
              </w:rPr>
              <w:t>教学方法与教学方式</w:t>
            </w:r>
          </w:p>
        </w:tc>
        <w:tc>
          <w:tcPr>
            <w:tcW w:w="7784" w:type="dxa"/>
            <w:gridSpan w:val="18"/>
            <w:tcBorders>
              <w:bottom w:val="single" w:color="auto" w:sz="4" w:space="0"/>
            </w:tcBorders>
            <w:noWrap w:val="0"/>
            <w:vAlign w:val="center"/>
          </w:tcPr>
          <w:p w14:paraId="7BCECB9C">
            <w:pPr>
              <w:keepNext w:val="0"/>
              <w:keepLines w:val="0"/>
              <w:pageBreakBefore w:val="0"/>
              <w:numPr>
                <w:ilvl w:val="0"/>
                <w:numId w:val="0"/>
              </w:numPr>
              <w:kinsoku/>
              <w:wordWrap/>
              <w:overflowPunct/>
              <w:topLinePunct w:val="0"/>
              <w:bidi w:val="0"/>
              <w:adjustRightInd w:val="0"/>
              <w:snapToGrid w:val="0"/>
              <w:spacing w:line="240" w:lineRule="auto"/>
              <w:ind w:left="240" w:leftChars="0" w:hanging="240" w:hangingChars="100"/>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1.理论课与实践课是</w:t>
            </w:r>
            <w:r>
              <w:rPr>
                <w:rFonts w:hint="default" w:ascii="仿宋" w:hAnsi="仿宋" w:eastAsia="仿宋" w:cs="仿宋"/>
                <w:color w:val="auto"/>
                <w:sz w:val="24"/>
                <w:szCs w:val="24"/>
              </w:rPr>
              <w:t>通过叙述、描绘、解释、推论来传递信息、传授知识、阐明概念、论证定律和公式，引导学生分析和认识问题。</w:t>
            </w:r>
            <w:r>
              <w:rPr>
                <w:rFonts w:hint="eastAsia" w:ascii="仿宋" w:hAnsi="仿宋" w:eastAsia="仿宋" w:cs="仿宋"/>
                <w:color w:val="auto"/>
                <w:sz w:val="24"/>
                <w:szCs w:val="24"/>
              </w:rPr>
              <w:t>学生在教师的指导下巩固知识、运用知识、形成技能技巧。</w:t>
            </w:r>
          </w:p>
          <w:p w14:paraId="512B3BD3">
            <w:pPr>
              <w:keepNext w:val="0"/>
              <w:keepLines w:val="0"/>
              <w:pageBreakBefore w:val="0"/>
              <w:numPr>
                <w:ilvl w:val="0"/>
                <w:numId w:val="0"/>
              </w:numPr>
              <w:kinsoku/>
              <w:wordWrap/>
              <w:overflowPunct/>
              <w:topLinePunct w:val="0"/>
              <w:bidi w:val="0"/>
              <w:adjustRightInd w:val="0"/>
              <w:snapToGrid w:val="0"/>
              <w:spacing w:line="240" w:lineRule="auto"/>
              <w:ind w:left="240" w:leftChars="0" w:hanging="240" w:hangingChars="100"/>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2.</w:t>
            </w:r>
            <w:r>
              <w:rPr>
                <w:rFonts w:hint="eastAsia" w:ascii="仿宋" w:hAnsi="仿宋" w:eastAsia="仿宋" w:cs="仿宋"/>
                <w:color w:val="auto"/>
                <w:sz w:val="24"/>
                <w:szCs w:val="24"/>
              </w:rPr>
              <w:t>开通网络课堂，达到与学生及时沟通、交流的目的。同时重视师生互动与小组活动，组织课堂小组讨论和论文写作等活动，将课堂教学变为师生共同活动的过程。</w:t>
            </w:r>
          </w:p>
          <w:p w14:paraId="793A998A">
            <w:pPr>
              <w:keepNext w:val="0"/>
              <w:keepLines w:val="0"/>
              <w:pageBreakBefore w:val="0"/>
              <w:numPr>
                <w:ilvl w:val="0"/>
                <w:numId w:val="0"/>
              </w:numPr>
              <w:kinsoku/>
              <w:wordWrap/>
              <w:overflowPunct/>
              <w:topLinePunct w:val="0"/>
              <w:bidi w:val="0"/>
              <w:adjustRightInd w:val="0"/>
              <w:snapToGrid w:val="0"/>
              <w:spacing w:line="240" w:lineRule="auto"/>
              <w:ind w:leftChars="0"/>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3.</w:t>
            </w:r>
            <w:r>
              <w:rPr>
                <w:rFonts w:hint="eastAsia" w:ascii="仿宋" w:hAnsi="仿宋" w:eastAsia="仿宋" w:cs="仿宋"/>
                <w:color w:val="auto"/>
                <w:sz w:val="24"/>
                <w:szCs w:val="24"/>
              </w:rPr>
              <w:t>主要方式：</w:t>
            </w:r>
          </w:p>
          <w:p w14:paraId="7D1552E7">
            <w:pPr>
              <w:keepNext w:val="0"/>
              <w:keepLines w:val="0"/>
              <w:pageBreakBefore w:val="0"/>
              <w:numPr>
                <w:ilvl w:val="0"/>
                <w:numId w:val="0"/>
              </w:numPr>
              <w:kinsoku/>
              <w:wordWrap/>
              <w:overflowPunct/>
              <w:topLinePunct w:val="0"/>
              <w:bidi w:val="0"/>
              <w:adjustRightInd w:val="0"/>
              <w:snapToGrid w:val="0"/>
              <w:spacing w:line="240" w:lineRule="auto"/>
              <w:ind w:firstLine="240" w:firstLineChars="100"/>
              <w:rPr>
                <w:rFonts w:hint="eastAsia" w:ascii="仿宋" w:hAnsi="仿宋" w:eastAsia="仿宋" w:cs="仿宋"/>
                <w:color w:val="auto"/>
                <w:sz w:val="24"/>
                <w:szCs w:val="24"/>
              </w:rPr>
            </w:pP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 xml:space="preserve">讲授  </w:t>
            </w: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 xml:space="preserve">网络学习  </w:t>
            </w: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 xml:space="preserve">讨论或座谈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问题导向学</w:t>
            </w:r>
            <w:r>
              <w:rPr>
                <w:rFonts w:hint="eastAsia" w:ascii="仿宋" w:hAnsi="仿宋" w:eastAsia="仿宋" w:cs="仿宋"/>
                <w:color w:val="auto"/>
                <w:sz w:val="24"/>
                <w:szCs w:val="24"/>
                <w:lang w:eastAsia="zh-CN"/>
              </w:rPr>
              <w:t>习</w:t>
            </w:r>
            <w:r>
              <w:rPr>
                <w:rFonts w:hint="eastAsia" w:ascii="仿宋" w:hAnsi="仿宋" w:eastAsia="仿宋" w:cs="仿宋"/>
                <w:color w:val="auto"/>
                <w:sz w:val="24"/>
                <w:szCs w:val="24"/>
              </w:rPr>
              <w:t xml:space="preserve">  </w:t>
            </w:r>
          </w:p>
          <w:p w14:paraId="3EF17AE5">
            <w:pPr>
              <w:keepNext w:val="0"/>
              <w:keepLines w:val="0"/>
              <w:pageBreakBefore w:val="0"/>
              <w:numPr>
                <w:ilvl w:val="0"/>
                <w:numId w:val="0"/>
              </w:numPr>
              <w:kinsoku/>
              <w:wordWrap/>
              <w:overflowPunct/>
              <w:topLinePunct w:val="0"/>
              <w:bidi w:val="0"/>
              <w:adjustRightInd w:val="0"/>
              <w:snapToGrid w:val="0"/>
              <w:spacing w:line="240" w:lineRule="auto"/>
              <w:ind w:firstLine="240" w:firstLineChars="100"/>
              <w:rPr>
                <w:rFonts w:hint="eastAsia" w:ascii="仿宋" w:hAnsi="仿宋" w:eastAsia="仿宋" w:cs="仿宋"/>
                <w:color w:val="auto"/>
                <w:sz w:val="24"/>
                <w:szCs w:val="24"/>
              </w:rPr>
            </w:pP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 xml:space="preserve">分组合作学习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专题学习  </w:t>
            </w: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 xml:space="preserve">实作学习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发表学习  </w:t>
            </w:r>
          </w:p>
          <w:p w14:paraId="22F7EEEB">
            <w:pPr>
              <w:keepNext w:val="0"/>
              <w:keepLines w:val="0"/>
              <w:pageBreakBefore w:val="0"/>
              <w:numPr>
                <w:ilvl w:val="0"/>
                <w:numId w:val="0"/>
              </w:numPr>
              <w:kinsoku/>
              <w:wordWrap/>
              <w:overflowPunct/>
              <w:topLinePunct w:val="0"/>
              <w:bidi w:val="0"/>
              <w:adjustRightInd w:val="0"/>
              <w:snapToGrid w:val="0"/>
              <w:spacing w:line="240" w:lineRule="auto"/>
              <w:ind w:firstLine="240" w:firstLineChars="100"/>
              <w:rPr>
                <w:rFonts w:hint="eastAsia" w:ascii="仿宋" w:hAnsi="仿宋" w:eastAsia="仿宋" w:cs="仿宋"/>
                <w:color w:val="auto"/>
                <w:sz w:val="24"/>
                <w:szCs w:val="24"/>
              </w:rPr>
            </w:pP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实习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参观访问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其它</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rPr>
              <w:t>(</w:t>
            </w:r>
            <w:r>
              <w:rPr>
                <w:rFonts w:hint="eastAsia" w:ascii="仿宋" w:hAnsi="仿宋" w:eastAsia="仿宋" w:cs="仿宋"/>
                <w:color w:val="auto"/>
                <w:sz w:val="24"/>
                <w:szCs w:val="24"/>
                <w:lang w:val="en-US" w:eastAsia="zh-CN"/>
              </w:rPr>
              <w:t>如</w:t>
            </w:r>
            <w:r>
              <w:rPr>
                <w:rFonts w:hint="eastAsia" w:ascii="仿宋" w:hAnsi="仿宋" w:eastAsia="仿宋" w:cs="仿宋"/>
                <w:color w:val="auto"/>
                <w:sz w:val="24"/>
                <w:szCs w:val="24"/>
              </w:rPr>
              <w:t>口头训练</w:t>
            </w:r>
            <w:r>
              <w:rPr>
                <w:rFonts w:hint="eastAsia" w:ascii="仿宋" w:hAnsi="仿宋" w:eastAsia="仿宋" w:cs="仿宋"/>
                <w:color w:val="auto"/>
                <w:sz w:val="24"/>
                <w:szCs w:val="24"/>
                <w:lang w:val="en-US" w:eastAsia="zh-CN"/>
              </w:rPr>
              <w:t>等</w:t>
            </w:r>
            <w:r>
              <w:rPr>
                <w:rFonts w:hint="eastAsia" w:ascii="仿宋" w:hAnsi="仿宋" w:eastAsia="仿宋" w:cs="仿宋"/>
                <w:color w:val="auto"/>
                <w:sz w:val="24"/>
                <w:szCs w:val="24"/>
              </w:rPr>
              <w:t>)</w:t>
            </w:r>
          </w:p>
        </w:tc>
      </w:tr>
      <w:tr w14:paraId="5EDCEFD3">
        <w:trPr>
          <w:trHeight w:val="580" w:hRule="atLeast"/>
          <w:jc w:val="center"/>
        </w:trPr>
        <w:tc>
          <w:tcPr>
            <w:tcW w:w="1376" w:type="dxa"/>
            <w:noWrap w:val="0"/>
            <w:vAlign w:val="center"/>
          </w:tcPr>
          <w:p w14:paraId="266A4A5C">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J</w:t>
            </w:r>
          </w:p>
          <w:p w14:paraId="15A9456C">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教学条件</w:t>
            </w:r>
          </w:p>
          <w:p w14:paraId="5F6364C2">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需求</w:t>
            </w:r>
          </w:p>
        </w:tc>
        <w:tc>
          <w:tcPr>
            <w:tcW w:w="7784" w:type="dxa"/>
            <w:gridSpan w:val="18"/>
            <w:tcBorders>
              <w:bottom w:val="single" w:color="auto" w:sz="4" w:space="0"/>
            </w:tcBorders>
            <w:noWrap w:val="0"/>
            <w:vAlign w:val="center"/>
          </w:tcPr>
          <w:p w14:paraId="276AC717">
            <w:pPr>
              <w:keepNext w:val="0"/>
              <w:keepLines w:val="0"/>
              <w:pageBreakBefore w:val="0"/>
              <w:tabs>
                <w:tab w:val="left" w:pos="720"/>
              </w:tabs>
              <w:kinsoku/>
              <w:wordWrap/>
              <w:overflowPunct/>
              <w:topLinePunct w:val="0"/>
              <w:bidi w:val="0"/>
              <w:adjustRightInd w:val="0"/>
              <w:snapToGrid w:val="0"/>
              <w:spacing w:line="240" w:lineRule="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（如时间、地点安排与“一课双师”等教师配备需求等）</w:t>
            </w:r>
          </w:p>
          <w:p w14:paraId="44192DFE">
            <w:pPr>
              <w:keepNext w:val="0"/>
              <w:keepLines w:val="0"/>
              <w:pageBreakBefore w:val="0"/>
              <w:numPr>
                <w:ilvl w:val="0"/>
                <w:numId w:val="0"/>
              </w:numPr>
              <w:tabs>
                <w:tab w:val="left" w:pos="720"/>
              </w:tabs>
              <w:kinsoku/>
              <w:wordWrap/>
              <w:overflowPunct/>
              <w:topLinePunct w:val="0"/>
              <w:bidi w:val="0"/>
              <w:adjustRightInd w:val="0"/>
              <w:snapToGrid w:val="0"/>
              <w:spacing w:line="240" w:lineRule="auto"/>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1.合唱厅</w:t>
            </w:r>
          </w:p>
          <w:p w14:paraId="2510E1EF">
            <w:pPr>
              <w:keepNext w:val="0"/>
              <w:keepLines w:val="0"/>
              <w:pageBreakBefore w:val="0"/>
              <w:numPr>
                <w:ilvl w:val="0"/>
                <w:numId w:val="0"/>
              </w:numPr>
              <w:tabs>
                <w:tab w:val="left" w:pos="720"/>
              </w:tabs>
              <w:kinsoku/>
              <w:wordWrap/>
              <w:overflowPunct/>
              <w:topLinePunct w:val="0"/>
              <w:bidi w:val="0"/>
              <w:adjustRightInd w:val="0"/>
              <w:snapToGrid w:val="0"/>
              <w:spacing w:line="240" w:lineRule="auto"/>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2.钢琴</w:t>
            </w:r>
          </w:p>
          <w:p w14:paraId="629631E2">
            <w:pPr>
              <w:keepNext w:val="0"/>
              <w:keepLines w:val="0"/>
              <w:pageBreakBefore w:val="0"/>
              <w:numPr>
                <w:ilvl w:val="0"/>
                <w:numId w:val="0"/>
              </w:numPr>
              <w:tabs>
                <w:tab w:val="left" w:pos="720"/>
              </w:tabs>
              <w:kinsoku/>
              <w:wordWrap/>
              <w:overflowPunct/>
              <w:topLinePunct w:val="0"/>
              <w:bidi w:val="0"/>
              <w:adjustRightInd w:val="0"/>
              <w:snapToGrid w:val="0"/>
              <w:spacing w:line="240" w:lineRule="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3.音响</w:t>
            </w:r>
          </w:p>
        </w:tc>
      </w:tr>
      <w:tr w14:paraId="559AC8EE">
        <w:trPr>
          <w:trHeight w:val="711" w:hRule="atLeast"/>
          <w:jc w:val="center"/>
        </w:trPr>
        <w:tc>
          <w:tcPr>
            <w:tcW w:w="1376" w:type="dxa"/>
            <w:vMerge w:val="restart"/>
            <w:noWrap w:val="0"/>
            <w:vAlign w:val="center"/>
          </w:tcPr>
          <w:p w14:paraId="493211E6">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K</w:t>
            </w:r>
          </w:p>
          <w:p w14:paraId="6F0853DC">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课程目标及其考核内容、考核方式及评分占比</w:t>
            </w:r>
          </w:p>
        </w:tc>
        <w:tc>
          <w:tcPr>
            <w:tcW w:w="1032" w:type="dxa"/>
            <w:vMerge w:val="restart"/>
            <w:noWrap w:val="0"/>
            <w:vAlign w:val="center"/>
          </w:tcPr>
          <w:p w14:paraId="5BCD2E1F">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color w:val="auto"/>
                <w:sz w:val="24"/>
                <w:szCs w:val="24"/>
              </w:rPr>
            </w:pPr>
            <w:r>
              <w:rPr>
                <w:rFonts w:hint="eastAsia" w:ascii="仿宋" w:hAnsi="仿宋" w:eastAsia="仿宋" w:cs="仿宋"/>
                <w:color w:val="auto"/>
                <w:sz w:val="24"/>
                <w:szCs w:val="24"/>
              </w:rPr>
              <w:t>课程目标及评分占比</w:t>
            </w:r>
          </w:p>
        </w:tc>
        <w:tc>
          <w:tcPr>
            <w:tcW w:w="3247" w:type="dxa"/>
            <w:gridSpan w:val="6"/>
            <w:vMerge w:val="restart"/>
            <w:tcBorders>
              <w:right w:val="single" w:color="000000" w:sz="4" w:space="0"/>
            </w:tcBorders>
            <w:noWrap w:val="0"/>
            <w:vAlign w:val="center"/>
          </w:tcPr>
          <w:p w14:paraId="440CFBD9">
            <w:pPr>
              <w:keepNext w:val="0"/>
              <w:keepLines w:val="0"/>
              <w:pageBreakBefore w:val="0"/>
              <w:tabs>
                <w:tab w:val="left" w:pos="720"/>
              </w:tabs>
              <w:kinsoku/>
              <w:wordWrap/>
              <w:overflowPunct/>
              <w:topLinePunct w:val="0"/>
              <w:bidi w:val="0"/>
              <w:adjustRightInd w:val="0"/>
              <w:snapToGrid w:val="0"/>
              <w:spacing w:line="240" w:lineRule="auto"/>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考核内容</w:t>
            </w:r>
          </w:p>
        </w:tc>
        <w:tc>
          <w:tcPr>
            <w:tcW w:w="2904" w:type="dxa"/>
            <w:gridSpan w:val="9"/>
            <w:tcBorders>
              <w:left w:val="single" w:color="000000" w:sz="4" w:space="0"/>
              <w:right w:val="single" w:color="000000" w:sz="4" w:space="0"/>
            </w:tcBorders>
            <w:noWrap w:val="0"/>
            <w:vAlign w:val="center"/>
          </w:tcPr>
          <w:p w14:paraId="48723D13">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考核方式</w:t>
            </w:r>
          </w:p>
        </w:tc>
        <w:tc>
          <w:tcPr>
            <w:tcW w:w="601" w:type="dxa"/>
            <w:gridSpan w:val="2"/>
            <w:tcBorders>
              <w:left w:val="single" w:color="000000" w:sz="4" w:space="0"/>
            </w:tcBorders>
            <w:noWrap w:val="0"/>
            <w:vAlign w:val="center"/>
          </w:tcPr>
          <w:p w14:paraId="5EAEB9DD">
            <w:pPr>
              <w:keepNext w:val="0"/>
              <w:keepLines w:val="0"/>
              <w:pageBreakBefore w:val="0"/>
              <w:tabs>
                <w:tab w:val="left" w:pos="720"/>
              </w:tabs>
              <w:kinsoku/>
              <w:wordWrap/>
              <w:overflowPunct/>
              <w:topLinePunct w:val="0"/>
              <w:bidi w:val="0"/>
              <w:adjustRightInd w:val="0"/>
              <w:snapToGrid w:val="0"/>
              <w:spacing w:line="240" w:lineRule="auto"/>
              <w:jc w:val="center"/>
              <w:rPr>
                <w:rFonts w:hint="eastAsia" w:ascii="仿宋" w:hAnsi="仿宋" w:eastAsia="仿宋" w:cs="仿宋"/>
                <w:color w:val="auto"/>
                <w:kern w:val="0"/>
                <w:sz w:val="24"/>
                <w:szCs w:val="24"/>
              </w:rPr>
            </w:pPr>
            <w:r>
              <w:rPr>
                <w:rFonts w:hint="eastAsia" w:ascii="仿宋" w:hAnsi="仿宋" w:eastAsia="仿宋" w:cs="仿宋"/>
                <w:color w:val="auto"/>
                <w:sz w:val="24"/>
                <w:szCs w:val="24"/>
              </w:rPr>
              <w:t>课程分目标的达成度</w:t>
            </w:r>
          </w:p>
        </w:tc>
      </w:tr>
      <w:tr w14:paraId="173B7EC6">
        <w:trPr>
          <w:trHeight w:val="184" w:hRule="atLeast"/>
          <w:jc w:val="center"/>
        </w:trPr>
        <w:tc>
          <w:tcPr>
            <w:tcW w:w="1376" w:type="dxa"/>
            <w:vMerge w:val="continue"/>
            <w:noWrap w:val="0"/>
            <w:vAlign w:val="center"/>
          </w:tcPr>
          <w:p w14:paraId="4F0838A9">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p>
        </w:tc>
        <w:tc>
          <w:tcPr>
            <w:tcW w:w="1032" w:type="dxa"/>
            <w:vMerge w:val="continue"/>
            <w:tcBorders>
              <w:tl2br w:val="single" w:color="auto" w:sz="4" w:space="0"/>
            </w:tcBorders>
            <w:noWrap w:val="0"/>
            <w:vAlign w:val="center"/>
          </w:tcPr>
          <w:p w14:paraId="2C21CBE9">
            <w:pPr>
              <w:keepNext w:val="0"/>
              <w:keepLines w:val="0"/>
              <w:pageBreakBefore w:val="0"/>
              <w:kinsoku/>
              <w:wordWrap/>
              <w:overflowPunct/>
              <w:topLinePunct w:val="0"/>
              <w:bidi w:val="0"/>
              <w:adjustRightInd w:val="0"/>
              <w:snapToGrid w:val="0"/>
              <w:spacing w:line="240" w:lineRule="auto"/>
              <w:jc w:val="right"/>
              <w:rPr>
                <w:rFonts w:hint="eastAsia" w:ascii="仿宋" w:hAnsi="仿宋" w:eastAsia="仿宋" w:cs="仿宋"/>
                <w:color w:val="auto"/>
                <w:sz w:val="24"/>
                <w:szCs w:val="24"/>
              </w:rPr>
            </w:pPr>
          </w:p>
        </w:tc>
        <w:tc>
          <w:tcPr>
            <w:tcW w:w="3247" w:type="dxa"/>
            <w:gridSpan w:val="6"/>
            <w:vMerge w:val="continue"/>
            <w:tcBorders>
              <w:right w:val="single" w:color="000000" w:sz="4" w:space="0"/>
            </w:tcBorders>
            <w:noWrap w:val="0"/>
            <w:vAlign w:val="center"/>
          </w:tcPr>
          <w:p w14:paraId="60DC8373">
            <w:pPr>
              <w:keepNext w:val="0"/>
              <w:keepLines w:val="0"/>
              <w:pageBreakBefore w:val="0"/>
              <w:tabs>
                <w:tab w:val="left" w:pos="720"/>
              </w:tabs>
              <w:kinsoku/>
              <w:wordWrap/>
              <w:overflowPunct/>
              <w:topLinePunct w:val="0"/>
              <w:bidi w:val="0"/>
              <w:adjustRightInd w:val="0"/>
              <w:snapToGrid w:val="0"/>
              <w:spacing w:line="240" w:lineRule="auto"/>
              <w:jc w:val="center"/>
              <w:rPr>
                <w:rFonts w:hint="eastAsia" w:ascii="仿宋" w:hAnsi="仿宋" w:eastAsia="仿宋" w:cs="仿宋"/>
                <w:color w:val="auto"/>
                <w:kern w:val="0"/>
                <w:sz w:val="24"/>
                <w:szCs w:val="24"/>
              </w:rPr>
            </w:pPr>
          </w:p>
        </w:tc>
        <w:tc>
          <w:tcPr>
            <w:tcW w:w="964" w:type="dxa"/>
            <w:gridSpan w:val="2"/>
            <w:tcBorders>
              <w:left w:val="single" w:color="000000" w:sz="4" w:space="0"/>
              <w:right w:val="single" w:color="000000" w:sz="4" w:space="0"/>
            </w:tcBorders>
            <w:noWrap w:val="0"/>
            <w:vAlign w:val="center"/>
          </w:tcPr>
          <w:p w14:paraId="23DFB85B">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平时</w:t>
            </w:r>
            <w:r>
              <w:rPr>
                <w:rFonts w:hint="eastAsia" w:ascii="仿宋" w:hAnsi="仿宋" w:eastAsia="仿宋" w:cs="仿宋"/>
                <w:color w:val="auto"/>
                <w:sz w:val="24"/>
                <w:szCs w:val="24"/>
              </w:rPr>
              <w:t>评分占比（</w:t>
            </w:r>
            <w:r>
              <w:rPr>
                <w:rFonts w:hint="eastAsia" w:ascii="仿宋" w:hAnsi="仿宋" w:eastAsia="仿宋" w:cs="仿宋"/>
                <w:color w:val="auto"/>
                <w:sz w:val="24"/>
                <w:szCs w:val="24"/>
                <w:lang w:val="en-US" w:eastAsia="zh-CN"/>
              </w:rPr>
              <w:t>20</w:t>
            </w:r>
            <w:r>
              <w:rPr>
                <w:rFonts w:hint="eastAsia" w:ascii="仿宋" w:hAnsi="仿宋" w:eastAsia="仿宋" w:cs="仿宋"/>
                <w:color w:val="auto"/>
                <w:sz w:val="24"/>
                <w:szCs w:val="24"/>
              </w:rPr>
              <w:t>%）</w:t>
            </w:r>
          </w:p>
        </w:tc>
        <w:tc>
          <w:tcPr>
            <w:tcW w:w="964" w:type="dxa"/>
            <w:gridSpan w:val="3"/>
            <w:tcBorders>
              <w:left w:val="single" w:color="000000" w:sz="4" w:space="0"/>
              <w:bottom w:val="single" w:color="auto" w:sz="4" w:space="0"/>
            </w:tcBorders>
            <w:noWrap w:val="0"/>
            <w:vAlign w:val="center"/>
          </w:tcPr>
          <w:p w14:paraId="38D676F6">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期中考试评分占比</w:t>
            </w:r>
            <w:r>
              <w:rPr>
                <w:rFonts w:hint="eastAsia" w:ascii="仿宋" w:hAnsi="仿宋" w:eastAsia="仿宋" w:cs="仿宋"/>
                <w:color w:val="auto"/>
                <w:sz w:val="24"/>
                <w:szCs w:val="24"/>
              </w:rPr>
              <w:t>（</w:t>
            </w:r>
            <w:r>
              <w:rPr>
                <w:rFonts w:hint="eastAsia" w:ascii="仿宋" w:hAnsi="仿宋" w:eastAsia="仿宋" w:cs="仿宋"/>
                <w:color w:val="auto"/>
                <w:sz w:val="24"/>
                <w:szCs w:val="24"/>
                <w:lang w:val="en-US" w:eastAsia="zh-CN"/>
              </w:rPr>
              <w:t>40</w:t>
            </w:r>
            <w:r>
              <w:rPr>
                <w:rFonts w:hint="eastAsia" w:ascii="仿宋" w:hAnsi="仿宋" w:eastAsia="仿宋" w:cs="仿宋"/>
                <w:color w:val="auto"/>
                <w:sz w:val="24"/>
                <w:szCs w:val="24"/>
              </w:rPr>
              <w:t>%）</w:t>
            </w:r>
          </w:p>
        </w:tc>
        <w:tc>
          <w:tcPr>
            <w:tcW w:w="964" w:type="dxa"/>
            <w:gridSpan w:val="3"/>
            <w:tcBorders>
              <w:left w:val="single" w:color="000000" w:sz="4" w:space="0"/>
              <w:bottom w:val="single" w:color="auto" w:sz="4" w:space="0"/>
              <w:right w:val="single" w:color="000000" w:sz="4" w:space="0"/>
            </w:tcBorders>
            <w:noWrap w:val="0"/>
            <w:vAlign w:val="center"/>
          </w:tcPr>
          <w:p w14:paraId="20978D38">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期末考试评分占比（</w:t>
            </w:r>
            <w:r>
              <w:rPr>
                <w:rFonts w:hint="eastAsia" w:ascii="仿宋" w:hAnsi="仿宋" w:eastAsia="仿宋" w:cs="仿宋"/>
                <w:color w:val="auto"/>
                <w:sz w:val="24"/>
                <w:szCs w:val="24"/>
                <w:lang w:val="en-US" w:eastAsia="zh-CN"/>
              </w:rPr>
              <w:t>40</w:t>
            </w:r>
            <w:r>
              <w:rPr>
                <w:rFonts w:hint="eastAsia" w:ascii="仿宋" w:hAnsi="仿宋" w:eastAsia="仿宋" w:cs="仿宋"/>
                <w:color w:val="auto"/>
                <w:sz w:val="24"/>
                <w:szCs w:val="24"/>
              </w:rPr>
              <w:t>%）</w:t>
            </w:r>
          </w:p>
        </w:tc>
        <w:tc>
          <w:tcPr>
            <w:tcW w:w="613" w:type="dxa"/>
            <w:gridSpan w:val="3"/>
            <w:tcBorders>
              <w:left w:val="single" w:color="000000" w:sz="4" w:space="0"/>
            </w:tcBorders>
            <w:noWrap w:val="0"/>
            <w:vAlign w:val="center"/>
          </w:tcPr>
          <w:p w14:paraId="6E6EADA7">
            <w:pPr>
              <w:keepNext w:val="0"/>
              <w:keepLines w:val="0"/>
              <w:pageBreakBefore w:val="0"/>
              <w:tabs>
                <w:tab w:val="left" w:pos="720"/>
              </w:tabs>
              <w:kinsoku/>
              <w:wordWrap/>
              <w:overflowPunct/>
              <w:topLinePunct w:val="0"/>
              <w:bidi w:val="0"/>
              <w:adjustRightInd w:val="0"/>
              <w:snapToGrid w:val="0"/>
              <w:spacing w:line="240" w:lineRule="auto"/>
              <w:jc w:val="center"/>
              <w:rPr>
                <w:rFonts w:hint="default" w:ascii="仿宋" w:hAnsi="仿宋" w:eastAsia="仿宋" w:cs="仿宋"/>
                <w:color w:val="auto"/>
                <w:sz w:val="24"/>
                <w:szCs w:val="24"/>
                <w:lang w:val="en-US" w:eastAsia="zh-CN"/>
              </w:rPr>
            </w:pPr>
          </w:p>
        </w:tc>
      </w:tr>
      <w:tr w14:paraId="74964654">
        <w:trPr>
          <w:jc w:val="center"/>
        </w:trPr>
        <w:tc>
          <w:tcPr>
            <w:tcW w:w="1376" w:type="dxa"/>
            <w:vMerge w:val="continue"/>
            <w:noWrap w:val="0"/>
            <w:vAlign w:val="center"/>
          </w:tcPr>
          <w:p w14:paraId="0641A9AF">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lang w:eastAsia="zh-TW"/>
              </w:rPr>
            </w:pPr>
          </w:p>
        </w:tc>
        <w:tc>
          <w:tcPr>
            <w:tcW w:w="1032" w:type="dxa"/>
            <w:tcBorders>
              <w:bottom w:val="single" w:color="auto" w:sz="4" w:space="0"/>
            </w:tcBorders>
            <w:noWrap w:val="0"/>
            <w:vAlign w:val="center"/>
          </w:tcPr>
          <w:p w14:paraId="39A3DA63">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kern w:val="0"/>
                <w:sz w:val="24"/>
                <w:szCs w:val="24"/>
              </w:rPr>
              <w:t>课程目标1（</w:t>
            </w:r>
            <w:r>
              <w:rPr>
                <w:rFonts w:hint="eastAsia" w:ascii="仿宋" w:hAnsi="仿宋" w:eastAsia="仿宋" w:cs="仿宋"/>
                <w:color w:val="auto"/>
                <w:kern w:val="0"/>
                <w:sz w:val="24"/>
                <w:szCs w:val="24"/>
                <w:lang w:val="en-US" w:eastAsia="zh-CN"/>
              </w:rPr>
              <w:t>40</w:t>
            </w:r>
            <w:r>
              <w:rPr>
                <w:rFonts w:hint="eastAsia" w:ascii="仿宋" w:hAnsi="仿宋" w:eastAsia="仿宋" w:cs="仿宋"/>
                <w:color w:val="auto"/>
                <w:kern w:val="0"/>
                <w:sz w:val="24"/>
                <w:szCs w:val="24"/>
              </w:rPr>
              <w:t>%）</w:t>
            </w:r>
          </w:p>
        </w:tc>
        <w:tc>
          <w:tcPr>
            <w:tcW w:w="3247" w:type="dxa"/>
            <w:gridSpan w:val="6"/>
            <w:tcBorders>
              <w:bottom w:val="single" w:color="auto" w:sz="4" w:space="0"/>
              <w:right w:val="single" w:color="000000" w:sz="4" w:space="0"/>
            </w:tcBorders>
            <w:noWrap w:val="0"/>
            <w:vAlign w:val="center"/>
          </w:tcPr>
          <w:p w14:paraId="1244F100">
            <w:pPr>
              <w:keepNext w:val="0"/>
              <w:keepLines w:val="0"/>
              <w:pageBreakBefore w:val="0"/>
              <w:widowControl/>
              <w:numPr>
                <w:ilvl w:val="0"/>
                <w:numId w:val="0"/>
              </w:numPr>
              <w:kinsoku/>
              <w:wordWrap/>
              <w:overflowPunct/>
              <w:topLinePunct w:val="0"/>
              <w:autoSpaceDE w:val="0"/>
              <w:autoSpaceDN w:val="0"/>
              <w:bidi w:val="0"/>
              <w:adjustRightInd w:val="0"/>
              <w:snapToGrid w:val="0"/>
              <w:spacing w:line="240" w:lineRule="auto"/>
              <w:jc w:val="left"/>
              <w:textAlignment w:val="bottom"/>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lang w:val="en-US" w:eastAsia="zh-CN"/>
              </w:rPr>
              <w:t>1.掌握</w:t>
            </w:r>
            <w:r>
              <w:rPr>
                <w:rFonts w:hint="eastAsia" w:ascii="仿宋" w:hAnsi="仿宋" w:eastAsia="仿宋" w:cs="仿宋"/>
                <w:color w:val="auto"/>
                <w:kern w:val="0"/>
                <w:sz w:val="24"/>
                <w:szCs w:val="24"/>
              </w:rPr>
              <w:t>基本的合唱</w:t>
            </w:r>
            <w:r>
              <w:rPr>
                <w:rFonts w:hint="eastAsia" w:ascii="仿宋" w:hAnsi="仿宋" w:eastAsia="仿宋" w:cs="仿宋"/>
                <w:color w:val="auto"/>
                <w:kern w:val="0"/>
                <w:sz w:val="24"/>
                <w:szCs w:val="24"/>
                <w:lang w:val="en-US" w:eastAsia="zh-CN"/>
              </w:rPr>
              <w:t>指挥</w:t>
            </w:r>
            <w:r>
              <w:rPr>
                <w:rFonts w:hint="eastAsia" w:ascii="仿宋" w:hAnsi="仿宋" w:eastAsia="仿宋" w:cs="仿宋"/>
                <w:color w:val="auto"/>
                <w:kern w:val="0"/>
                <w:sz w:val="24"/>
                <w:szCs w:val="24"/>
              </w:rPr>
              <w:t>理论知识</w:t>
            </w:r>
            <w:r>
              <w:rPr>
                <w:rFonts w:hint="eastAsia" w:ascii="仿宋" w:hAnsi="仿宋" w:eastAsia="仿宋" w:cs="仿宋"/>
                <w:color w:val="auto"/>
                <w:kern w:val="0"/>
                <w:sz w:val="24"/>
                <w:szCs w:val="24"/>
                <w:lang w:eastAsia="zh-CN"/>
              </w:rPr>
              <w:t>。</w:t>
            </w:r>
          </w:p>
          <w:p w14:paraId="4588A7E2">
            <w:pPr>
              <w:keepNext w:val="0"/>
              <w:keepLines w:val="0"/>
              <w:pageBreakBefore w:val="0"/>
              <w:widowControl/>
              <w:numPr>
                <w:ilvl w:val="0"/>
                <w:numId w:val="0"/>
              </w:numPr>
              <w:kinsoku/>
              <w:wordWrap/>
              <w:overflowPunct/>
              <w:topLinePunct w:val="0"/>
              <w:autoSpaceDE w:val="0"/>
              <w:autoSpaceDN w:val="0"/>
              <w:bidi w:val="0"/>
              <w:adjustRightInd w:val="0"/>
              <w:snapToGrid w:val="0"/>
              <w:spacing w:line="240" w:lineRule="auto"/>
              <w:jc w:val="left"/>
              <w:textAlignment w:val="bottom"/>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lang w:val="en-US" w:eastAsia="zh-CN"/>
              </w:rPr>
              <w:t>2.</w:t>
            </w:r>
            <w:r>
              <w:rPr>
                <w:rFonts w:hint="eastAsia" w:ascii="仿宋" w:hAnsi="仿宋" w:eastAsia="仿宋" w:cs="仿宋"/>
                <w:color w:val="auto"/>
                <w:kern w:val="0"/>
                <w:sz w:val="24"/>
                <w:szCs w:val="24"/>
              </w:rPr>
              <w:t>掌握基本的合唱</w:t>
            </w:r>
            <w:r>
              <w:rPr>
                <w:rFonts w:hint="eastAsia" w:ascii="仿宋" w:hAnsi="仿宋" w:eastAsia="仿宋" w:cs="仿宋"/>
                <w:color w:val="auto"/>
                <w:kern w:val="0"/>
                <w:sz w:val="24"/>
                <w:szCs w:val="24"/>
                <w:lang w:val="en-US" w:eastAsia="zh-CN"/>
              </w:rPr>
              <w:t>指挥</w:t>
            </w:r>
            <w:r>
              <w:rPr>
                <w:rFonts w:hint="eastAsia" w:ascii="仿宋" w:hAnsi="仿宋" w:eastAsia="仿宋" w:cs="仿宋"/>
                <w:color w:val="auto"/>
                <w:kern w:val="0"/>
                <w:sz w:val="24"/>
                <w:szCs w:val="24"/>
              </w:rPr>
              <w:t>音乐素质</w:t>
            </w:r>
            <w:r>
              <w:rPr>
                <w:rFonts w:hint="eastAsia" w:ascii="仿宋" w:hAnsi="仿宋" w:eastAsia="仿宋" w:cs="仿宋"/>
                <w:color w:val="auto"/>
                <w:kern w:val="0"/>
                <w:sz w:val="24"/>
                <w:szCs w:val="24"/>
                <w:lang w:eastAsia="zh-CN"/>
              </w:rPr>
              <w:t>。</w:t>
            </w:r>
          </w:p>
          <w:p w14:paraId="5E751816">
            <w:pPr>
              <w:keepNext w:val="0"/>
              <w:keepLines w:val="0"/>
              <w:pageBreakBefore w:val="0"/>
              <w:widowControl/>
              <w:numPr>
                <w:ilvl w:val="0"/>
                <w:numId w:val="0"/>
              </w:numPr>
              <w:kinsoku/>
              <w:wordWrap/>
              <w:overflowPunct/>
              <w:topLinePunct w:val="0"/>
              <w:autoSpaceDE w:val="0"/>
              <w:autoSpaceDN w:val="0"/>
              <w:bidi w:val="0"/>
              <w:adjustRightInd w:val="0"/>
              <w:snapToGrid w:val="0"/>
              <w:spacing w:line="240" w:lineRule="auto"/>
              <w:jc w:val="left"/>
              <w:textAlignment w:val="bottom"/>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3.</w:t>
            </w:r>
            <w:r>
              <w:rPr>
                <w:rFonts w:hint="eastAsia" w:ascii="仿宋" w:hAnsi="仿宋" w:eastAsia="仿宋" w:cs="仿宋"/>
                <w:color w:val="auto"/>
                <w:kern w:val="0"/>
                <w:sz w:val="24"/>
                <w:szCs w:val="24"/>
              </w:rPr>
              <w:t>掌握</w:t>
            </w:r>
            <w:r>
              <w:rPr>
                <w:rFonts w:hint="eastAsia" w:ascii="仿宋" w:hAnsi="仿宋" w:eastAsia="仿宋" w:cs="仿宋"/>
                <w:color w:val="auto"/>
                <w:kern w:val="0"/>
                <w:sz w:val="24"/>
                <w:szCs w:val="24"/>
                <w:lang w:val="en-US" w:eastAsia="zh-CN"/>
              </w:rPr>
              <w:t>基本的合唱指挥技能技巧。</w:t>
            </w:r>
          </w:p>
          <w:p w14:paraId="4C3ED494">
            <w:pPr>
              <w:keepNext w:val="0"/>
              <w:keepLines w:val="0"/>
              <w:pageBreakBefore w:val="0"/>
              <w:widowControl/>
              <w:numPr>
                <w:ilvl w:val="0"/>
                <w:numId w:val="0"/>
              </w:numPr>
              <w:kinsoku/>
              <w:wordWrap/>
              <w:overflowPunct/>
              <w:topLinePunct w:val="0"/>
              <w:autoSpaceDE w:val="0"/>
              <w:autoSpaceDN w:val="0"/>
              <w:bidi w:val="0"/>
              <w:adjustRightInd w:val="0"/>
              <w:snapToGrid w:val="0"/>
              <w:spacing w:line="240" w:lineRule="auto"/>
              <w:jc w:val="left"/>
              <w:textAlignment w:val="bottom"/>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lang w:val="en-US" w:eastAsia="zh-CN"/>
              </w:rPr>
              <w:t>4.</w:t>
            </w:r>
            <w:r>
              <w:rPr>
                <w:rFonts w:hint="eastAsia" w:ascii="仿宋" w:hAnsi="仿宋" w:eastAsia="仿宋" w:cs="仿宋"/>
                <w:color w:val="auto"/>
                <w:kern w:val="0"/>
                <w:sz w:val="24"/>
                <w:szCs w:val="24"/>
              </w:rPr>
              <w:t>不同风格合唱作品的艺术处理能力</w:t>
            </w:r>
            <w:r>
              <w:rPr>
                <w:rFonts w:hint="eastAsia" w:ascii="仿宋" w:hAnsi="仿宋" w:eastAsia="仿宋" w:cs="仿宋"/>
                <w:color w:val="auto"/>
                <w:kern w:val="0"/>
                <w:sz w:val="24"/>
                <w:szCs w:val="24"/>
                <w:lang w:eastAsia="zh-CN"/>
              </w:rPr>
              <w:t>。</w:t>
            </w:r>
          </w:p>
        </w:tc>
        <w:tc>
          <w:tcPr>
            <w:tcW w:w="964" w:type="dxa"/>
            <w:gridSpan w:val="2"/>
            <w:tcBorders>
              <w:left w:val="single" w:color="000000" w:sz="4" w:space="0"/>
              <w:bottom w:val="single" w:color="auto" w:sz="4" w:space="0"/>
              <w:right w:val="single" w:color="000000" w:sz="4" w:space="0"/>
            </w:tcBorders>
            <w:noWrap w:val="0"/>
            <w:vAlign w:val="center"/>
          </w:tcPr>
          <w:p w14:paraId="05D323BF">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10</w:t>
            </w:r>
          </w:p>
        </w:tc>
        <w:tc>
          <w:tcPr>
            <w:tcW w:w="964" w:type="dxa"/>
            <w:gridSpan w:val="3"/>
            <w:tcBorders>
              <w:left w:val="single" w:color="000000" w:sz="4" w:space="0"/>
              <w:bottom w:val="single" w:color="auto" w:sz="4" w:space="0"/>
              <w:right w:val="single" w:color="auto" w:sz="4" w:space="0"/>
            </w:tcBorders>
            <w:noWrap w:val="0"/>
            <w:vAlign w:val="center"/>
          </w:tcPr>
          <w:p w14:paraId="79F59FCE">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14</w:t>
            </w:r>
          </w:p>
        </w:tc>
        <w:tc>
          <w:tcPr>
            <w:tcW w:w="964" w:type="dxa"/>
            <w:gridSpan w:val="3"/>
            <w:tcBorders>
              <w:left w:val="single" w:color="000000" w:sz="4" w:space="0"/>
              <w:bottom w:val="single" w:color="auto" w:sz="4" w:space="0"/>
              <w:right w:val="single" w:color="auto" w:sz="4" w:space="0"/>
            </w:tcBorders>
            <w:noWrap w:val="0"/>
            <w:vAlign w:val="center"/>
          </w:tcPr>
          <w:p w14:paraId="443FF29C">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16</w:t>
            </w:r>
          </w:p>
        </w:tc>
        <w:tc>
          <w:tcPr>
            <w:tcW w:w="613" w:type="dxa"/>
            <w:gridSpan w:val="3"/>
            <w:tcBorders>
              <w:left w:val="single" w:color="auto" w:sz="4" w:space="0"/>
              <w:bottom w:val="single" w:color="auto" w:sz="4" w:space="0"/>
            </w:tcBorders>
            <w:noWrap w:val="0"/>
            <w:vAlign w:val="center"/>
          </w:tcPr>
          <w:p w14:paraId="11C81650">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0.70</w:t>
            </w:r>
          </w:p>
        </w:tc>
      </w:tr>
      <w:tr w14:paraId="0A4563AF">
        <w:trPr>
          <w:trHeight w:val="745" w:hRule="atLeast"/>
          <w:jc w:val="center"/>
        </w:trPr>
        <w:tc>
          <w:tcPr>
            <w:tcW w:w="1376" w:type="dxa"/>
            <w:vMerge w:val="continue"/>
            <w:noWrap w:val="0"/>
            <w:vAlign w:val="center"/>
          </w:tcPr>
          <w:p w14:paraId="53B10F81">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lang w:eastAsia="zh-TW"/>
              </w:rPr>
            </w:pPr>
          </w:p>
        </w:tc>
        <w:tc>
          <w:tcPr>
            <w:tcW w:w="1032" w:type="dxa"/>
            <w:noWrap w:val="0"/>
            <w:vAlign w:val="center"/>
          </w:tcPr>
          <w:p w14:paraId="57534116">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课程目标2（</w:t>
            </w:r>
            <w:r>
              <w:rPr>
                <w:rFonts w:hint="eastAsia" w:ascii="仿宋" w:hAnsi="仿宋" w:eastAsia="仿宋" w:cs="仿宋"/>
                <w:color w:val="auto"/>
                <w:kern w:val="0"/>
                <w:sz w:val="24"/>
                <w:szCs w:val="24"/>
                <w:lang w:val="en-US" w:eastAsia="zh-CN"/>
              </w:rPr>
              <w:t>30</w:t>
            </w:r>
            <w:r>
              <w:rPr>
                <w:rFonts w:hint="eastAsia" w:ascii="仿宋" w:hAnsi="仿宋" w:eastAsia="仿宋" w:cs="仿宋"/>
                <w:color w:val="auto"/>
                <w:kern w:val="0"/>
                <w:sz w:val="24"/>
                <w:szCs w:val="24"/>
              </w:rPr>
              <w:t>%）</w:t>
            </w:r>
          </w:p>
        </w:tc>
        <w:tc>
          <w:tcPr>
            <w:tcW w:w="3247" w:type="dxa"/>
            <w:gridSpan w:val="6"/>
            <w:tcBorders>
              <w:right w:val="single" w:color="000000" w:sz="4" w:space="0"/>
            </w:tcBorders>
            <w:noWrap w:val="0"/>
            <w:vAlign w:val="center"/>
          </w:tcPr>
          <w:p w14:paraId="6A1E7D3C">
            <w:pPr>
              <w:keepNext w:val="0"/>
              <w:keepLines w:val="0"/>
              <w:pageBreakBefore w:val="0"/>
              <w:widowControl/>
              <w:kinsoku/>
              <w:wordWrap/>
              <w:overflowPunct/>
              <w:topLinePunct w:val="0"/>
              <w:autoSpaceDE w:val="0"/>
              <w:autoSpaceDN w:val="0"/>
              <w:bidi w:val="0"/>
              <w:adjustRightInd w:val="0"/>
              <w:snapToGrid w:val="0"/>
              <w:spacing w:line="240" w:lineRule="auto"/>
              <w:jc w:val="left"/>
              <w:textAlignment w:val="bottom"/>
              <w:rPr>
                <w:rFonts w:hint="eastAsia" w:ascii="仿宋" w:hAnsi="仿宋" w:eastAsia="仿宋" w:cs="仿宋"/>
                <w:color w:val="auto"/>
                <w:sz w:val="24"/>
                <w:szCs w:val="24"/>
              </w:rPr>
            </w:pPr>
            <w:r>
              <w:rPr>
                <w:rFonts w:hint="eastAsia" w:ascii="仿宋" w:hAnsi="仿宋" w:eastAsia="仿宋" w:cs="仿宋"/>
                <w:color w:val="auto"/>
                <w:sz w:val="24"/>
                <w:szCs w:val="24"/>
              </w:rPr>
              <w:t>1.对</w:t>
            </w:r>
            <w:r>
              <w:rPr>
                <w:rFonts w:hint="eastAsia" w:ascii="仿宋" w:hAnsi="仿宋" w:eastAsia="仿宋" w:cs="仿宋"/>
                <w:color w:val="auto"/>
                <w:sz w:val="24"/>
                <w:szCs w:val="24"/>
                <w:lang w:val="en-US" w:eastAsia="zh-CN"/>
              </w:rPr>
              <w:t>合唱指挥</w:t>
            </w:r>
            <w:r>
              <w:rPr>
                <w:rFonts w:hint="eastAsia" w:ascii="仿宋" w:hAnsi="仿宋" w:eastAsia="仿宋" w:cs="仿宋"/>
                <w:color w:val="auto"/>
                <w:sz w:val="24"/>
                <w:szCs w:val="24"/>
              </w:rPr>
              <w:t>实际应用案例的理解。</w:t>
            </w:r>
          </w:p>
          <w:p w14:paraId="393CF460">
            <w:pPr>
              <w:keepNext w:val="0"/>
              <w:keepLines w:val="0"/>
              <w:pageBreakBefore w:val="0"/>
              <w:numPr>
                <w:ilvl w:val="0"/>
                <w:numId w:val="0"/>
              </w:numPr>
              <w:kinsoku/>
              <w:wordWrap/>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2.对</w:t>
            </w:r>
            <w:r>
              <w:rPr>
                <w:rFonts w:hint="eastAsia" w:ascii="仿宋" w:hAnsi="仿宋" w:eastAsia="仿宋" w:cs="仿宋"/>
                <w:color w:val="auto"/>
                <w:sz w:val="24"/>
                <w:szCs w:val="24"/>
                <w:lang w:val="en-US" w:eastAsia="zh-CN"/>
              </w:rPr>
              <w:t>合唱指挥</w:t>
            </w:r>
            <w:r>
              <w:rPr>
                <w:rFonts w:hint="eastAsia" w:ascii="仿宋" w:hAnsi="仿宋" w:eastAsia="仿宋" w:cs="仿宋"/>
                <w:color w:val="auto"/>
                <w:sz w:val="24"/>
                <w:szCs w:val="24"/>
              </w:rPr>
              <w:t>发展史及国内外发展现状和趋势的了解。</w:t>
            </w:r>
          </w:p>
        </w:tc>
        <w:tc>
          <w:tcPr>
            <w:tcW w:w="964" w:type="dxa"/>
            <w:gridSpan w:val="2"/>
            <w:tcBorders>
              <w:left w:val="single" w:color="000000" w:sz="4" w:space="0"/>
              <w:right w:val="single" w:color="000000" w:sz="4" w:space="0"/>
            </w:tcBorders>
            <w:noWrap w:val="0"/>
            <w:vAlign w:val="center"/>
          </w:tcPr>
          <w:p w14:paraId="7E42CA5F">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6</w:t>
            </w:r>
          </w:p>
        </w:tc>
        <w:tc>
          <w:tcPr>
            <w:tcW w:w="964" w:type="dxa"/>
            <w:gridSpan w:val="3"/>
            <w:tcBorders>
              <w:left w:val="single" w:color="000000" w:sz="4" w:space="0"/>
              <w:bottom w:val="single" w:color="000000" w:sz="4" w:space="0"/>
            </w:tcBorders>
            <w:noWrap w:val="0"/>
            <w:vAlign w:val="center"/>
          </w:tcPr>
          <w:p w14:paraId="4DFE0737">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14</w:t>
            </w:r>
          </w:p>
        </w:tc>
        <w:tc>
          <w:tcPr>
            <w:tcW w:w="964" w:type="dxa"/>
            <w:gridSpan w:val="3"/>
            <w:tcBorders>
              <w:left w:val="single" w:color="000000" w:sz="4" w:space="0"/>
              <w:bottom w:val="single" w:color="000000" w:sz="4" w:space="0"/>
              <w:right w:val="single" w:color="000000" w:sz="4" w:space="0"/>
            </w:tcBorders>
            <w:noWrap w:val="0"/>
            <w:vAlign w:val="center"/>
          </w:tcPr>
          <w:p w14:paraId="0841CAA9">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10</w:t>
            </w:r>
          </w:p>
        </w:tc>
        <w:tc>
          <w:tcPr>
            <w:tcW w:w="613" w:type="dxa"/>
            <w:gridSpan w:val="3"/>
            <w:tcBorders>
              <w:left w:val="single" w:color="000000" w:sz="4" w:space="0"/>
              <w:bottom w:val="single" w:color="000000" w:sz="4" w:space="0"/>
            </w:tcBorders>
            <w:noWrap w:val="0"/>
            <w:vAlign w:val="center"/>
          </w:tcPr>
          <w:p w14:paraId="2BF52D33">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0.70</w:t>
            </w:r>
          </w:p>
        </w:tc>
      </w:tr>
      <w:tr w14:paraId="4B38403C">
        <w:trPr>
          <w:trHeight w:val="515" w:hRule="atLeast"/>
          <w:jc w:val="center"/>
        </w:trPr>
        <w:tc>
          <w:tcPr>
            <w:tcW w:w="1376" w:type="dxa"/>
            <w:vMerge w:val="continue"/>
            <w:noWrap w:val="0"/>
            <w:vAlign w:val="center"/>
          </w:tcPr>
          <w:p w14:paraId="5D620250">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lang w:eastAsia="zh-TW"/>
              </w:rPr>
            </w:pPr>
          </w:p>
        </w:tc>
        <w:tc>
          <w:tcPr>
            <w:tcW w:w="1032" w:type="dxa"/>
            <w:tcBorders>
              <w:bottom w:val="single" w:color="auto" w:sz="4" w:space="0"/>
            </w:tcBorders>
            <w:noWrap w:val="0"/>
            <w:vAlign w:val="center"/>
          </w:tcPr>
          <w:p w14:paraId="73A9A417">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kern w:val="0"/>
                <w:sz w:val="24"/>
                <w:szCs w:val="24"/>
              </w:rPr>
              <w:t>课程目标3（</w:t>
            </w:r>
            <w:r>
              <w:rPr>
                <w:rFonts w:hint="eastAsia" w:ascii="仿宋" w:hAnsi="仿宋" w:eastAsia="仿宋" w:cs="仿宋"/>
                <w:color w:val="auto"/>
                <w:kern w:val="0"/>
                <w:sz w:val="24"/>
                <w:szCs w:val="24"/>
                <w:lang w:val="en-US" w:eastAsia="zh-CN"/>
              </w:rPr>
              <w:t>30</w:t>
            </w:r>
            <w:r>
              <w:rPr>
                <w:rFonts w:hint="eastAsia" w:ascii="仿宋" w:hAnsi="仿宋" w:eastAsia="仿宋" w:cs="仿宋"/>
                <w:color w:val="auto"/>
                <w:kern w:val="0"/>
                <w:sz w:val="24"/>
                <w:szCs w:val="24"/>
              </w:rPr>
              <w:t>%）</w:t>
            </w:r>
          </w:p>
        </w:tc>
        <w:tc>
          <w:tcPr>
            <w:tcW w:w="3247" w:type="dxa"/>
            <w:gridSpan w:val="6"/>
            <w:tcBorders>
              <w:bottom w:val="single" w:color="auto" w:sz="4" w:space="0"/>
              <w:right w:val="single" w:color="000000" w:sz="4" w:space="0"/>
            </w:tcBorders>
            <w:noWrap w:val="0"/>
            <w:vAlign w:val="center"/>
          </w:tcPr>
          <w:p w14:paraId="29203742">
            <w:pPr>
              <w:keepNext w:val="0"/>
              <w:keepLines w:val="0"/>
              <w:pageBreakBefore w:val="0"/>
              <w:widowControl/>
              <w:numPr>
                <w:ilvl w:val="0"/>
                <w:numId w:val="0"/>
              </w:numPr>
              <w:kinsoku/>
              <w:wordWrap/>
              <w:overflowPunct/>
              <w:topLinePunct w:val="0"/>
              <w:autoSpaceDE w:val="0"/>
              <w:autoSpaceDN w:val="0"/>
              <w:bidi w:val="0"/>
              <w:adjustRightInd w:val="0"/>
              <w:snapToGrid w:val="0"/>
              <w:spacing w:line="240" w:lineRule="auto"/>
              <w:jc w:val="left"/>
              <w:textAlignment w:val="bottom"/>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1.团队合作精神。</w:t>
            </w:r>
          </w:p>
          <w:p w14:paraId="4ED1AF6B">
            <w:pPr>
              <w:keepNext w:val="0"/>
              <w:keepLines w:val="0"/>
              <w:pageBreakBefore w:val="0"/>
              <w:widowControl/>
              <w:numPr>
                <w:ilvl w:val="0"/>
                <w:numId w:val="0"/>
              </w:numPr>
              <w:kinsoku/>
              <w:wordWrap/>
              <w:overflowPunct/>
              <w:topLinePunct w:val="0"/>
              <w:autoSpaceDE w:val="0"/>
              <w:autoSpaceDN w:val="0"/>
              <w:bidi w:val="0"/>
              <w:adjustRightInd w:val="0"/>
              <w:snapToGrid w:val="0"/>
              <w:spacing w:line="240" w:lineRule="auto"/>
              <w:jc w:val="left"/>
              <w:textAlignment w:val="bottom"/>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2.指挥</w:t>
            </w:r>
            <w:r>
              <w:rPr>
                <w:rFonts w:hint="eastAsia" w:ascii="仿宋" w:hAnsi="仿宋" w:eastAsia="仿宋" w:cs="仿宋"/>
                <w:color w:val="auto"/>
                <w:kern w:val="0"/>
                <w:sz w:val="24"/>
                <w:szCs w:val="24"/>
              </w:rPr>
              <w:t>指导</w:t>
            </w:r>
            <w:r>
              <w:rPr>
                <w:rFonts w:hint="eastAsia" w:ascii="仿宋" w:hAnsi="仿宋" w:eastAsia="仿宋" w:cs="仿宋"/>
                <w:color w:val="auto"/>
                <w:kern w:val="0"/>
                <w:sz w:val="24"/>
                <w:szCs w:val="24"/>
                <w:lang w:val="en-US" w:eastAsia="zh-CN"/>
              </w:rPr>
              <w:t>艺术</w:t>
            </w:r>
            <w:r>
              <w:rPr>
                <w:rFonts w:hint="eastAsia" w:ascii="仿宋" w:hAnsi="仿宋" w:eastAsia="仿宋" w:cs="仿宋"/>
                <w:color w:val="auto"/>
                <w:kern w:val="0"/>
                <w:sz w:val="24"/>
                <w:szCs w:val="24"/>
                <w:lang w:eastAsia="zh-CN"/>
              </w:rPr>
              <w:t>。</w:t>
            </w:r>
          </w:p>
        </w:tc>
        <w:tc>
          <w:tcPr>
            <w:tcW w:w="964" w:type="dxa"/>
            <w:gridSpan w:val="2"/>
            <w:tcBorders>
              <w:left w:val="single" w:color="000000" w:sz="4" w:space="0"/>
              <w:bottom w:val="single" w:color="auto" w:sz="4" w:space="0"/>
              <w:right w:val="single" w:color="000000" w:sz="4" w:space="0"/>
            </w:tcBorders>
            <w:noWrap w:val="0"/>
            <w:vAlign w:val="center"/>
          </w:tcPr>
          <w:p w14:paraId="78039E4F">
            <w:pPr>
              <w:keepNext w:val="0"/>
              <w:keepLines w:val="0"/>
              <w:pageBreakBefore w:val="0"/>
              <w:tabs>
                <w:tab w:val="left" w:pos="331"/>
              </w:tabs>
              <w:kinsoku/>
              <w:wordWrap/>
              <w:overflowPunct/>
              <w:topLinePunct w:val="0"/>
              <w:bidi w:val="0"/>
              <w:adjustRightInd w:val="0"/>
              <w:snapToGrid w:val="0"/>
              <w:spacing w:line="240" w:lineRule="auto"/>
              <w:jc w:val="left"/>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eastAsia="zh-CN"/>
              </w:rPr>
              <w:tab/>
            </w:r>
            <w:r>
              <w:rPr>
                <w:rFonts w:hint="eastAsia" w:ascii="仿宋" w:hAnsi="仿宋" w:eastAsia="仿宋" w:cs="仿宋"/>
                <w:color w:val="auto"/>
                <w:kern w:val="0"/>
                <w:sz w:val="24"/>
                <w:szCs w:val="24"/>
                <w:lang w:val="en-US" w:eastAsia="zh-CN"/>
              </w:rPr>
              <w:t>4</w:t>
            </w:r>
          </w:p>
        </w:tc>
        <w:tc>
          <w:tcPr>
            <w:tcW w:w="964" w:type="dxa"/>
            <w:gridSpan w:val="3"/>
            <w:tcBorders>
              <w:top w:val="single" w:color="000000" w:sz="4" w:space="0"/>
              <w:left w:val="single" w:color="000000" w:sz="4" w:space="0"/>
              <w:bottom w:val="single" w:color="auto" w:sz="4" w:space="0"/>
            </w:tcBorders>
            <w:noWrap w:val="0"/>
            <w:vAlign w:val="center"/>
          </w:tcPr>
          <w:p w14:paraId="4C1DA217">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12</w:t>
            </w:r>
          </w:p>
        </w:tc>
        <w:tc>
          <w:tcPr>
            <w:tcW w:w="964" w:type="dxa"/>
            <w:gridSpan w:val="3"/>
            <w:tcBorders>
              <w:top w:val="single" w:color="000000" w:sz="4" w:space="0"/>
              <w:left w:val="single" w:color="000000" w:sz="4" w:space="0"/>
              <w:bottom w:val="single" w:color="auto" w:sz="4" w:space="0"/>
              <w:right w:val="single" w:color="000000" w:sz="4" w:space="0"/>
            </w:tcBorders>
            <w:noWrap w:val="0"/>
            <w:vAlign w:val="center"/>
          </w:tcPr>
          <w:p w14:paraId="12ED68EF">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14</w:t>
            </w:r>
          </w:p>
        </w:tc>
        <w:tc>
          <w:tcPr>
            <w:tcW w:w="613" w:type="dxa"/>
            <w:gridSpan w:val="3"/>
            <w:tcBorders>
              <w:top w:val="single" w:color="000000" w:sz="4" w:space="0"/>
              <w:left w:val="single" w:color="000000" w:sz="4" w:space="0"/>
              <w:bottom w:val="single" w:color="auto" w:sz="4" w:space="0"/>
            </w:tcBorders>
            <w:noWrap w:val="0"/>
            <w:vAlign w:val="center"/>
          </w:tcPr>
          <w:p w14:paraId="1EE18E0E">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0.70</w:t>
            </w:r>
          </w:p>
        </w:tc>
      </w:tr>
      <w:tr w14:paraId="1C2C8443">
        <w:trPr>
          <w:trHeight w:val="515" w:hRule="atLeast"/>
          <w:jc w:val="center"/>
        </w:trPr>
        <w:tc>
          <w:tcPr>
            <w:tcW w:w="1376" w:type="dxa"/>
            <w:vMerge w:val="continue"/>
            <w:noWrap w:val="0"/>
            <w:vAlign w:val="center"/>
          </w:tcPr>
          <w:p w14:paraId="28A0167F">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lang w:eastAsia="zh-TW"/>
              </w:rPr>
            </w:pPr>
          </w:p>
        </w:tc>
        <w:tc>
          <w:tcPr>
            <w:tcW w:w="4279" w:type="dxa"/>
            <w:gridSpan w:val="7"/>
            <w:tcBorders>
              <w:bottom w:val="single" w:color="auto" w:sz="4" w:space="0"/>
              <w:right w:val="single" w:color="000000" w:sz="4" w:space="0"/>
            </w:tcBorders>
            <w:noWrap w:val="0"/>
            <w:vAlign w:val="center"/>
          </w:tcPr>
          <w:p w14:paraId="639D7D8C">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ottom"/>
              <w:rPr>
                <w:rFonts w:hint="eastAsia" w:ascii="仿宋" w:hAnsi="仿宋" w:eastAsia="仿宋" w:cs="仿宋"/>
                <w:color w:val="auto"/>
                <w:sz w:val="24"/>
                <w:szCs w:val="24"/>
              </w:rPr>
            </w:pPr>
            <w:r>
              <w:rPr>
                <w:rFonts w:hint="eastAsia" w:ascii="仿宋" w:hAnsi="仿宋" w:eastAsia="仿宋" w:cs="仿宋"/>
                <w:color w:val="auto"/>
                <w:sz w:val="24"/>
                <w:szCs w:val="24"/>
              </w:rPr>
              <w:t>总分</w:t>
            </w:r>
          </w:p>
        </w:tc>
        <w:tc>
          <w:tcPr>
            <w:tcW w:w="964" w:type="dxa"/>
            <w:gridSpan w:val="2"/>
            <w:tcBorders>
              <w:left w:val="single" w:color="000000" w:sz="4" w:space="0"/>
              <w:bottom w:val="single" w:color="auto" w:sz="4" w:space="0"/>
              <w:right w:val="single" w:color="000000" w:sz="4" w:space="0"/>
            </w:tcBorders>
            <w:noWrap w:val="0"/>
            <w:vAlign w:val="center"/>
          </w:tcPr>
          <w:p w14:paraId="2FC91F0F">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20</w:t>
            </w:r>
          </w:p>
        </w:tc>
        <w:tc>
          <w:tcPr>
            <w:tcW w:w="964" w:type="dxa"/>
            <w:gridSpan w:val="3"/>
            <w:tcBorders>
              <w:top w:val="single" w:color="000000" w:sz="4" w:space="0"/>
              <w:left w:val="single" w:color="000000" w:sz="4" w:space="0"/>
              <w:bottom w:val="single" w:color="auto" w:sz="4" w:space="0"/>
            </w:tcBorders>
            <w:noWrap w:val="0"/>
            <w:vAlign w:val="center"/>
          </w:tcPr>
          <w:p w14:paraId="1FDBDE4C">
            <w:pPr>
              <w:keepNext w:val="0"/>
              <w:keepLines w:val="0"/>
              <w:pageBreakBefore w:val="0"/>
              <w:tabs>
                <w:tab w:val="left" w:pos="720"/>
              </w:tabs>
              <w:kinsoku/>
              <w:wordWrap/>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40</w:t>
            </w:r>
          </w:p>
        </w:tc>
        <w:tc>
          <w:tcPr>
            <w:tcW w:w="964" w:type="dxa"/>
            <w:gridSpan w:val="3"/>
            <w:tcBorders>
              <w:top w:val="single" w:color="000000" w:sz="4" w:space="0"/>
              <w:left w:val="single" w:color="000000" w:sz="4" w:space="0"/>
              <w:bottom w:val="single" w:color="auto" w:sz="4" w:space="0"/>
              <w:right w:val="single" w:color="000000" w:sz="4" w:space="0"/>
            </w:tcBorders>
            <w:noWrap w:val="0"/>
            <w:vAlign w:val="center"/>
          </w:tcPr>
          <w:p w14:paraId="6A7DD3D9">
            <w:pPr>
              <w:keepNext w:val="0"/>
              <w:keepLines w:val="0"/>
              <w:pageBreakBefore w:val="0"/>
              <w:tabs>
                <w:tab w:val="left" w:pos="720"/>
              </w:tabs>
              <w:kinsoku/>
              <w:wordWrap/>
              <w:overflowPunct/>
              <w:topLinePunct w:val="0"/>
              <w:bidi w:val="0"/>
              <w:adjustRightInd w:val="0"/>
              <w:snapToGrid w:val="0"/>
              <w:spacing w:line="240" w:lineRule="auto"/>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40</w:t>
            </w:r>
          </w:p>
        </w:tc>
        <w:tc>
          <w:tcPr>
            <w:tcW w:w="613" w:type="dxa"/>
            <w:gridSpan w:val="3"/>
            <w:tcBorders>
              <w:top w:val="single" w:color="000000" w:sz="4" w:space="0"/>
              <w:left w:val="single" w:color="000000" w:sz="4" w:space="0"/>
              <w:bottom w:val="single" w:color="auto" w:sz="4" w:space="0"/>
            </w:tcBorders>
            <w:noWrap w:val="0"/>
            <w:vAlign w:val="center"/>
          </w:tcPr>
          <w:p w14:paraId="712F33AB">
            <w:pPr>
              <w:keepNext w:val="0"/>
              <w:keepLines w:val="0"/>
              <w:pageBreakBefore w:val="0"/>
              <w:tabs>
                <w:tab w:val="left" w:pos="720"/>
              </w:tabs>
              <w:kinsoku/>
              <w:wordWrap/>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0.70</w:t>
            </w:r>
          </w:p>
        </w:tc>
      </w:tr>
      <w:tr w14:paraId="6EC1A2D9">
        <w:trPr>
          <w:jc w:val="center"/>
        </w:trPr>
        <w:tc>
          <w:tcPr>
            <w:tcW w:w="1376" w:type="dxa"/>
            <w:noWrap w:val="0"/>
            <w:vAlign w:val="center"/>
          </w:tcPr>
          <w:p w14:paraId="66B62D36">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L</w:t>
            </w:r>
          </w:p>
          <w:p w14:paraId="5C8EB7C1">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学习建议</w:t>
            </w:r>
          </w:p>
        </w:tc>
        <w:tc>
          <w:tcPr>
            <w:tcW w:w="7784" w:type="dxa"/>
            <w:gridSpan w:val="18"/>
            <w:tcBorders>
              <w:bottom w:val="single" w:color="auto" w:sz="4" w:space="0"/>
            </w:tcBorders>
            <w:noWrap w:val="0"/>
            <w:vAlign w:val="center"/>
          </w:tcPr>
          <w:p w14:paraId="183CE97B">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1.自主学习。建议学生通过预习教材，并通过网络、图书馆自主查阅课程中涉及的学习资源，独立规划自己的课程学习计划，充分发挥自身的学习能动性。</w:t>
            </w:r>
          </w:p>
          <w:p w14:paraId="20591FEB">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color w:val="auto"/>
                <w:kern w:val="0"/>
                <w:sz w:val="24"/>
                <w:szCs w:val="24"/>
              </w:rPr>
            </w:pPr>
            <w:r>
              <w:rPr>
                <w:rFonts w:hint="eastAsia" w:ascii="仿宋" w:hAnsi="仿宋" w:eastAsia="仿宋" w:cs="仿宋"/>
                <w:bCs/>
                <w:color w:val="auto"/>
                <w:sz w:val="24"/>
                <w:szCs w:val="24"/>
              </w:rPr>
              <w:t>2.研究性学习。鼓励学生针对课程教学内容，尝试理论课结合</w:t>
            </w:r>
            <w:r>
              <w:rPr>
                <w:rFonts w:hint="eastAsia" w:ascii="仿宋" w:hAnsi="仿宋" w:eastAsia="仿宋" w:cs="仿宋"/>
                <w:bCs/>
                <w:color w:val="auto"/>
                <w:sz w:val="24"/>
                <w:szCs w:val="24"/>
                <w:lang w:val="en-US" w:eastAsia="zh-CN"/>
              </w:rPr>
              <w:t>实践课</w:t>
            </w:r>
            <w:r>
              <w:rPr>
                <w:rFonts w:hint="eastAsia" w:ascii="仿宋" w:hAnsi="仿宋" w:eastAsia="仿宋" w:cs="仿宋"/>
                <w:bCs/>
                <w:color w:val="auto"/>
                <w:sz w:val="24"/>
                <w:szCs w:val="24"/>
              </w:rPr>
              <w:t>的教学方式，开展相关的</w:t>
            </w:r>
            <w:r>
              <w:rPr>
                <w:rFonts w:hint="eastAsia" w:ascii="仿宋" w:hAnsi="仿宋" w:eastAsia="仿宋" w:cs="仿宋"/>
                <w:bCs/>
                <w:color w:val="auto"/>
                <w:sz w:val="24"/>
                <w:szCs w:val="24"/>
                <w:lang w:val="en-US" w:eastAsia="zh-CN"/>
              </w:rPr>
              <w:t>合唱指挥</w:t>
            </w:r>
            <w:r>
              <w:rPr>
                <w:rFonts w:hint="eastAsia" w:ascii="仿宋" w:hAnsi="仿宋" w:eastAsia="仿宋" w:cs="仿宋"/>
                <w:bCs/>
                <w:color w:val="auto"/>
                <w:sz w:val="24"/>
                <w:szCs w:val="24"/>
              </w:rPr>
              <w:t>进展和专题讲座，提高学生的学习兴趣，了解国内外最新</w:t>
            </w:r>
            <w:r>
              <w:rPr>
                <w:rFonts w:hint="eastAsia" w:ascii="仿宋" w:hAnsi="仿宋" w:eastAsia="仿宋" w:cs="仿宋"/>
                <w:bCs/>
                <w:color w:val="auto"/>
                <w:sz w:val="24"/>
                <w:szCs w:val="24"/>
                <w:lang w:val="en-US" w:eastAsia="zh-CN"/>
              </w:rPr>
              <w:t>合唱指挥</w:t>
            </w:r>
            <w:r>
              <w:rPr>
                <w:rFonts w:hint="eastAsia" w:ascii="仿宋" w:hAnsi="仿宋" w:eastAsia="仿宋" w:cs="仿宋"/>
                <w:bCs/>
                <w:color w:val="auto"/>
                <w:sz w:val="24"/>
                <w:szCs w:val="24"/>
              </w:rPr>
              <w:t>知识，开阔学生的视野。</w:t>
            </w:r>
          </w:p>
        </w:tc>
      </w:tr>
      <w:tr w14:paraId="48DC0982">
        <w:trPr>
          <w:trHeight w:val="454" w:hRule="atLeast"/>
          <w:jc w:val="center"/>
        </w:trPr>
        <w:tc>
          <w:tcPr>
            <w:tcW w:w="1376" w:type="dxa"/>
            <w:noWrap w:val="0"/>
            <w:vAlign w:val="center"/>
          </w:tcPr>
          <w:p w14:paraId="4147B93E">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M</w:t>
            </w:r>
          </w:p>
          <w:p w14:paraId="7B799411">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评分量表</w:t>
            </w:r>
          </w:p>
        </w:tc>
        <w:tc>
          <w:tcPr>
            <w:tcW w:w="7784" w:type="dxa"/>
            <w:gridSpan w:val="18"/>
            <w:noWrap w:val="0"/>
            <w:vAlign w:val="center"/>
          </w:tcPr>
          <w:p w14:paraId="5EABA647">
            <w:pPr>
              <w:keepNext w:val="0"/>
              <w:keepLines w:val="0"/>
              <w:pageBreakBefore w:val="0"/>
              <w:tabs>
                <w:tab w:val="left" w:pos="720"/>
              </w:tabs>
              <w:kinsoku/>
              <w:wordWrap/>
              <w:overflowPunct/>
              <w:topLinePunct w:val="0"/>
              <w:bidi w:val="0"/>
              <w:adjustRightInd w:val="0"/>
              <w:snapToGrid w:val="0"/>
              <w:spacing w:line="240" w:lineRule="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w:t>
            </w:r>
            <w:r>
              <w:rPr>
                <w:rFonts w:hint="eastAsia" w:ascii="仿宋" w:hAnsi="仿宋" w:eastAsia="仿宋" w:cs="仿宋"/>
                <w:bCs/>
                <w:color w:val="auto"/>
                <w:sz w:val="24"/>
                <w:szCs w:val="24"/>
                <w:lang w:val="en-US" w:eastAsia="zh-CN"/>
              </w:rPr>
              <w:t>合唱与指挥</w:t>
            </w:r>
            <w:r>
              <w:rPr>
                <w:rFonts w:hint="eastAsia" w:ascii="仿宋" w:hAnsi="仿宋" w:eastAsia="仿宋" w:cs="仿宋"/>
                <w:color w:val="auto"/>
                <w:kern w:val="0"/>
                <w:sz w:val="24"/>
                <w:szCs w:val="24"/>
              </w:rPr>
              <w:t>》课程目标评分量表见附表。</w:t>
            </w:r>
          </w:p>
        </w:tc>
      </w:tr>
      <w:tr w14:paraId="5F6B12D8">
        <w:trPr>
          <w:trHeight w:val="454" w:hRule="atLeast"/>
          <w:jc w:val="center"/>
        </w:trPr>
        <w:tc>
          <w:tcPr>
            <w:tcW w:w="1376" w:type="dxa"/>
            <w:noWrap w:val="0"/>
            <w:vAlign w:val="center"/>
          </w:tcPr>
          <w:p w14:paraId="4B38F323">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备注</w:t>
            </w:r>
          </w:p>
        </w:tc>
        <w:tc>
          <w:tcPr>
            <w:tcW w:w="7784" w:type="dxa"/>
            <w:gridSpan w:val="18"/>
            <w:noWrap w:val="0"/>
            <w:vAlign w:val="center"/>
          </w:tcPr>
          <w:p w14:paraId="59CE6AD9">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color w:val="auto"/>
                <w:kern w:val="0"/>
                <w:sz w:val="24"/>
                <w:szCs w:val="24"/>
              </w:rPr>
            </w:pPr>
            <w:r>
              <w:rPr>
                <w:rFonts w:hint="eastAsia" w:ascii="仿宋" w:hAnsi="仿宋" w:eastAsia="仿宋" w:cs="仿宋"/>
                <w:color w:val="auto"/>
                <w:sz w:val="24"/>
                <w:szCs w:val="24"/>
              </w:rPr>
              <w:t>课程大纲A—M项由开课学院审批通过，任课教师不能自行更改。</w:t>
            </w:r>
          </w:p>
        </w:tc>
      </w:tr>
      <w:tr w14:paraId="6059CF57">
        <w:trPr>
          <w:trHeight w:val="771" w:hRule="atLeast"/>
          <w:jc w:val="center"/>
        </w:trPr>
        <w:tc>
          <w:tcPr>
            <w:tcW w:w="1376" w:type="dxa"/>
            <w:noWrap w:val="0"/>
            <w:vAlign w:val="center"/>
          </w:tcPr>
          <w:p w14:paraId="1519686B">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审批</w:t>
            </w:r>
          </w:p>
          <w:p w14:paraId="331CBA32">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意见</w:t>
            </w:r>
          </w:p>
        </w:tc>
        <w:tc>
          <w:tcPr>
            <w:tcW w:w="3869" w:type="dxa"/>
            <w:gridSpan w:val="5"/>
            <w:noWrap w:val="0"/>
            <w:vAlign w:val="center"/>
          </w:tcPr>
          <w:p w14:paraId="41C6402B">
            <w:pPr>
              <w:keepNext w:val="0"/>
              <w:keepLines w:val="0"/>
              <w:pageBreakBefore w:val="0"/>
              <w:widowControl/>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课程</w:t>
            </w:r>
            <w:r>
              <w:rPr>
                <w:rFonts w:hint="eastAsia" w:ascii="仿宋" w:hAnsi="仿宋" w:eastAsia="仿宋" w:cs="仿宋"/>
                <w:color w:val="auto"/>
                <w:kern w:val="0"/>
                <w:sz w:val="24"/>
                <w:szCs w:val="24"/>
                <w:lang w:val="en-US" w:eastAsia="zh-CN"/>
              </w:rPr>
              <w:t>教学</w:t>
            </w:r>
            <w:r>
              <w:rPr>
                <w:rFonts w:hint="eastAsia" w:ascii="仿宋" w:hAnsi="仿宋" w:eastAsia="仿宋" w:cs="仿宋"/>
                <w:color w:val="auto"/>
                <w:kern w:val="0"/>
                <w:sz w:val="24"/>
                <w:szCs w:val="24"/>
              </w:rPr>
              <w:t>大纲</w:t>
            </w:r>
            <w:r>
              <w:rPr>
                <w:rFonts w:hint="eastAsia" w:ascii="仿宋" w:hAnsi="仿宋" w:eastAsia="仿宋" w:cs="仿宋"/>
                <w:color w:val="auto"/>
                <w:kern w:val="0"/>
                <w:sz w:val="24"/>
                <w:szCs w:val="24"/>
                <w:lang w:val="en-US" w:eastAsia="zh-CN"/>
              </w:rPr>
              <w:t>修订</w:t>
            </w:r>
            <w:r>
              <w:rPr>
                <w:rFonts w:hint="eastAsia" w:ascii="仿宋" w:hAnsi="仿宋" w:eastAsia="仿宋" w:cs="仿宋"/>
                <w:color w:val="auto"/>
                <w:kern w:val="0"/>
                <w:sz w:val="24"/>
                <w:szCs w:val="24"/>
              </w:rPr>
              <w:t>负责人</w:t>
            </w:r>
            <w:r>
              <w:rPr>
                <w:rFonts w:hint="eastAsia" w:ascii="仿宋" w:hAnsi="仿宋" w:eastAsia="仿宋" w:cs="仿宋"/>
                <w:color w:val="auto"/>
                <w:kern w:val="0"/>
                <w:sz w:val="24"/>
                <w:szCs w:val="24"/>
                <w:lang w:val="en-US" w:eastAsia="zh-CN"/>
              </w:rPr>
              <w:t>及教学团队成员</w:t>
            </w:r>
            <w:r>
              <w:rPr>
                <w:rFonts w:hint="eastAsia" w:ascii="仿宋" w:hAnsi="仿宋" w:eastAsia="仿宋" w:cs="仿宋"/>
                <w:color w:val="auto"/>
                <w:sz w:val="24"/>
                <w:szCs w:val="24"/>
              </w:rPr>
              <w:t>签名</w:t>
            </w:r>
            <w:r>
              <w:rPr>
                <w:rFonts w:hint="eastAsia" w:ascii="仿宋" w:hAnsi="仿宋" w:eastAsia="仿宋" w:cs="仿宋"/>
                <w:color w:val="auto"/>
                <w:kern w:val="0"/>
                <w:sz w:val="24"/>
                <w:szCs w:val="24"/>
              </w:rPr>
              <w:t xml:space="preserve">：   </w:t>
            </w:r>
          </w:p>
          <w:p w14:paraId="10B07209">
            <w:pPr>
              <w:keepNext w:val="0"/>
              <w:keepLines w:val="0"/>
              <w:pageBreakBefore w:val="0"/>
              <w:widowControl/>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p>
          <w:p w14:paraId="4BB29CF8">
            <w:pPr>
              <w:keepNext w:val="0"/>
              <w:keepLines w:val="0"/>
              <w:pageBreakBefore w:val="0"/>
              <w:widowControl/>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p>
          <w:p w14:paraId="7E3F792B">
            <w:pPr>
              <w:keepNext w:val="0"/>
              <w:keepLines w:val="0"/>
              <w:pageBreakBefore w:val="0"/>
              <w:widowControl/>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p>
          <w:p w14:paraId="541199F4">
            <w:pPr>
              <w:keepNext w:val="0"/>
              <w:keepLines w:val="0"/>
              <w:pageBreakBefore w:val="0"/>
              <w:widowControl/>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p>
          <w:p w14:paraId="2420097C">
            <w:pPr>
              <w:keepNext w:val="0"/>
              <w:keepLines w:val="0"/>
              <w:pageBreakBefore w:val="0"/>
              <w:widowControl/>
              <w:kinsoku/>
              <w:wordWrap/>
              <w:overflowPunct/>
              <w:topLinePunct w:val="0"/>
              <w:bidi w:val="0"/>
              <w:adjustRightInd w:val="0"/>
              <w:snapToGrid w:val="0"/>
              <w:spacing w:line="240" w:lineRule="auto"/>
              <w:jc w:val="right"/>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rPr>
              <w:t xml:space="preserve">                                                   年   月   日</w:t>
            </w:r>
            <w:r>
              <w:rPr>
                <w:rFonts w:hint="eastAsia" w:ascii="仿宋" w:hAnsi="仿宋" w:eastAsia="仿宋" w:cs="仿宋"/>
                <w:color w:val="auto"/>
                <w:kern w:val="0"/>
                <w:sz w:val="24"/>
                <w:szCs w:val="24"/>
                <w:lang w:val="en-US" w:eastAsia="zh-CN"/>
              </w:rPr>
              <w:t xml:space="preserve"> </w:t>
            </w:r>
          </w:p>
          <w:p w14:paraId="49DE30B6">
            <w:pPr>
              <w:keepNext w:val="0"/>
              <w:keepLines w:val="0"/>
              <w:pageBreakBefore w:val="0"/>
              <w:widowControl/>
              <w:kinsoku/>
              <w:wordWrap/>
              <w:overflowPunct/>
              <w:topLinePunct w:val="0"/>
              <w:bidi w:val="0"/>
              <w:adjustRightInd w:val="0"/>
              <w:snapToGrid w:val="0"/>
              <w:spacing w:line="240" w:lineRule="auto"/>
              <w:jc w:val="right"/>
              <w:rPr>
                <w:rFonts w:hint="eastAsia" w:ascii="仿宋" w:hAnsi="仿宋" w:eastAsia="仿宋" w:cs="仿宋"/>
                <w:color w:val="auto"/>
                <w:kern w:val="0"/>
                <w:sz w:val="24"/>
                <w:szCs w:val="24"/>
              </w:rPr>
            </w:pPr>
          </w:p>
        </w:tc>
        <w:tc>
          <w:tcPr>
            <w:tcW w:w="3915" w:type="dxa"/>
            <w:gridSpan w:val="13"/>
            <w:noWrap w:val="0"/>
            <w:vAlign w:val="center"/>
          </w:tcPr>
          <w:p w14:paraId="6807BC8D">
            <w:pPr>
              <w:keepNext w:val="0"/>
              <w:keepLines w:val="0"/>
              <w:pageBreakBefore w:val="0"/>
              <w:widowControl/>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系主任审核</w:t>
            </w:r>
            <w:r>
              <w:rPr>
                <w:rFonts w:hint="eastAsia" w:ascii="仿宋" w:hAnsi="仿宋" w:eastAsia="仿宋" w:cs="仿宋"/>
                <w:color w:val="auto"/>
                <w:kern w:val="0"/>
                <w:sz w:val="24"/>
                <w:szCs w:val="24"/>
              </w:rPr>
              <w:t>意见：</w:t>
            </w:r>
          </w:p>
          <w:p w14:paraId="1E7A37BA">
            <w:pPr>
              <w:keepNext w:val="0"/>
              <w:keepLines w:val="0"/>
              <w:pageBreakBefore w:val="0"/>
              <w:widowControl/>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p>
          <w:p w14:paraId="3FCFF432">
            <w:pPr>
              <w:keepNext w:val="0"/>
              <w:keepLines w:val="0"/>
              <w:pageBreakBefore w:val="0"/>
              <w:widowControl/>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p>
          <w:p w14:paraId="76113A2A">
            <w:pPr>
              <w:keepNext w:val="0"/>
              <w:keepLines w:val="0"/>
              <w:pageBreakBefore w:val="0"/>
              <w:widowControl/>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p>
          <w:p w14:paraId="7D2776A4">
            <w:pPr>
              <w:keepNext w:val="0"/>
              <w:keepLines w:val="0"/>
              <w:pageBreakBefore w:val="0"/>
              <w:widowControl/>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p>
          <w:p w14:paraId="05E3041B">
            <w:pPr>
              <w:keepNext w:val="0"/>
              <w:keepLines w:val="0"/>
              <w:pageBreakBefore w:val="0"/>
              <w:widowControl/>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系主任</w:t>
            </w:r>
            <w:r>
              <w:rPr>
                <w:rFonts w:hint="eastAsia" w:ascii="仿宋" w:hAnsi="仿宋" w:eastAsia="仿宋" w:cs="仿宋"/>
                <w:color w:val="auto"/>
                <w:kern w:val="0"/>
                <w:sz w:val="24"/>
                <w:szCs w:val="24"/>
              </w:rPr>
              <w:t>签名：</w:t>
            </w:r>
          </w:p>
          <w:p w14:paraId="6D72C355">
            <w:pPr>
              <w:keepNext w:val="0"/>
              <w:keepLines w:val="0"/>
              <w:pageBreakBefore w:val="0"/>
              <w:widowControl/>
              <w:kinsoku/>
              <w:wordWrap/>
              <w:overflowPunct/>
              <w:topLinePunct w:val="0"/>
              <w:bidi w:val="0"/>
              <w:adjustRightInd w:val="0"/>
              <w:snapToGrid w:val="0"/>
              <w:spacing w:line="240" w:lineRule="auto"/>
              <w:jc w:val="right"/>
              <w:rPr>
                <w:rFonts w:hint="eastAsia" w:ascii="仿宋" w:hAnsi="仿宋" w:eastAsia="仿宋" w:cs="仿宋"/>
                <w:color w:val="auto"/>
                <w:kern w:val="0"/>
                <w:sz w:val="24"/>
                <w:szCs w:val="24"/>
              </w:rPr>
            </w:pPr>
          </w:p>
          <w:p w14:paraId="2EBC8601">
            <w:pPr>
              <w:keepNext w:val="0"/>
              <w:keepLines w:val="0"/>
              <w:pageBreakBefore w:val="0"/>
              <w:widowControl/>
              <w:kinsoku/>
              <w:wordWrap/>
              <w:overflowPunct/>
              <w:topLinePunct w:val="0"/>
              <w:bidi w:val="0"/>
              <w:adjustRightInd w:val="0"/>
              <w:snapToGrid w:val="0"/>
              <w:spacing w:line="240" w:lineRule="auto"/>
              <w:jc w:val="righ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年   月   日</w:t>
            </w:r>
          </w:p>
          <w:p w14:paraId="123BCDCD">
            <w:pPr>
              <w:keepNext w:val="0"/>
              <w:keepLines w:val="0"/>
              <w:pageBreakBefore w:val="0"/>
              <w:widowControl/>
              <w:kinsoku/>
              <w:wordWrap/>
              <w:overflowPunct/>
              <w:topLinePunct w:val="0"/>
              <w:bidi w:val="0"/>
              <w:adjustRightInd w:val="0"/>
              <w:snapToGrid w:val="0"/>
              <w:spacing w:line="240" w:lineRule="auto"/>
              <w:jc w:val="right"/>
              <w:rPr>
                <w:rFonts w:hint="eastAsia" w:ascii="仿宋" w:hAnsi="仿宋" w:eastAsia="仿宋" w:cs="仿宋"/>
                <w:color w:val="auto"/>
                <w:kern w:val="0"/>
                <w:sz w:val="24"/>
                <w:szCs w:val="24"/>
              </w:rPr>
            </w:pPr>
          </w:p>
        </w:tc>
      </w:tr>
    </w:tbl>
    <w:p w14:paraId="2C67729F">
      <w:pPr>
        <w:widowControl/>
        <w:spacing w:line="360" w:lineRule="auto"/>
        <w:ind w:right="480" w:firstLine="420" w:firstLineChars="200"/>
        <w:rPr>
          <w:rFonts w:hint="eastAsia" w:eastAsia="PMingLiU" w:cs="黑体"/>
          <w:lang w:eastAsia="zh-TW"/>
        </w:rPr>
      </w:pPr>
    </w:p>
    <w:p w14:paraId="00FD8952">
      <w:pPr>
        <w:widowControl/>
        <w:spacing w:line="360" w:lineRule="auto"/>
        <w:ind w:right="480" w:firstLine="420" w:firstLineChars="200"/>
        <w:rPr>
          <w:rFonts w:hint="default" w:eastAsia="宋体" w:cs="黑体"/>
          <w:lang w:val="en-US" w:eastAsia="zh-CN"/>
        </w:rPr>
        <w:sectPr>
          <w:headerReference r:id="rId89" w:type="default"/>
          <w:footerReference r:id="rId90" w:type="default"/>
          <w:pgSz w:w="11906" w:h="16838"/>
          <w:pgMar w:top="1134" w:right="1417" w:bottom="1134" w:left="1417" w:header="851" w:footer="992" w:gutter="0"/>
          <w:cols w:space="720" w:num="1"/>
          <w:rtlGutter w:val="0"/>
          <w:docGrid w:type="lines" w:linePitch="312" w:charSpace="0"/>
        </w:sectPr>
      </w:pPr>
    </w:p>
    <w:p w14:paraId="780B28DE">
      <w:pPr>
        <w:adjustRightInd w:val="0"/>
        <w:snapToGrid w:val="0"/>
        <w:spacing w:line="360" w:lineRule="auto"/>
        <w:jc w:val="center"/>
        <w:rPr>
          <w:rFonts w:hint="eastAsia" w:ascii="仿宋" w:hAnsi="仿宋" w:eastAsia="仿宋" w:cs="仿宋"/>
          <w:color w:val="000000"/>
          <w:sz w:val="28"/>
          <w:szCs w:val="28"/>
        </w:rPr>
      </w:pPr>
      <w:r>
        <w:rPr>
          <w:rFonts w:hint="eastAsia" w:ascii="仿宋" w:hAnsi="仿宋" w:eastAsia="仿宋" w:cs="仿宋"/>
          <w:color w:val="000000"/>
          <w:sz w:val="28"/>
          <w:szCs w:val="28"/>
        </w:rPr>
        <w:t>附表《</w:t>
      </w:r>
      <w:r>
        <w:rPr>
          <w:rFonts w:hint="eastAsia" w:ascii="仿宋" w:hAnsi="仿宋" w:eastAsia="仿宋" w:cs="仿宋"/>
          <w:color w:val="000000"/>
          <w:sz w:val="28"/>
          <w:szCs w:val="28"/>
          <w:lang w:val="en-US" w:eastAsia="zh-CN"/>
        </w:rPr>
        <w:t>合唱与指挥</w:t>
      </w:r>
      <w:r>
        <w:rPr>
          <w:rFonts w:hint="eastAsia" w:ascii="仿宋" w:hAnsi="仿宋" w:eastAsia="仿宋" w:cs="仿宋"/>
          <w:color w:val="000000"/>
          <w:sz w:val="28"/>
          <w:szCs w:val="28"/>
        </w:rPr>
        <w:t>》课程目标评分量表</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28" w:type="dxa"/>
        </w:tblCellMar>
      </w:tblPr>
      <w:tblGrid>
        <w:gridCol w:w="1412"/>
        <w:gridCol w:w="1394"/>
        <w:gridCol w:w="1362"/>
        <w:gridCol w:w="1383"/>
        <w:gridCol w:w="1404"/>
        <w:gridCol w:w="1384"/>
      </w:tblGrid>
      <w:tr w14:paraId="5E15896B">
        <w:trPr>
          <w:trHeight w:val="90" w:hRule="atLeast"/>
          <w:jc w:val="center"/>
        </w:trPr>
        <w:tc>
          <w:tcPr>
            <w:tcW w:w="0" w:type="auto"/>
            <w:noWrap w:val="0"/>
            <w:vAlign w:val="center"/>
          </w:tcPr>
          <w:p w14:paraId="6AF11AD8">
            <w:pPr>
              <w:widowControl/>
              <w:adjustRightInd w:val="0"/>
              <w:snapToGrid w:val="0"/>
              <w:ind w:firstLine="420" w:firstLineChars="200"/>
              <w:rPr>
                <w:rFonts w:hint="eastAsia" w:ascii="楷体" w:hAnsi="楷体" w:eastAsia="楷体" w:cs="楷体"/>
                <w:color w:val="auto"/>
                <w:kern w:val="0"/>
                <w:sz w:val="21"/>
                <w:szCs w:val="21"/>
              </w:rPr>
            </w:pPr>
            <w:r>
              <w:rPr>
                <w:rFonts w:hint="eastAsia" w:ascii="楷体" w:hAnsi="楷体" w:eastAsia="楷体" w:cs="楷体"/>
                <w:color w:val="auto"/>
                <w:kern w:val="0"/>
                <w:sz w:val="21"/>
                <w:szCs w:val="21"/>
              </w:rPr>
              <w:t>课程目标</w:t>
            </w:r>
          </w:p>
        </w:tc>
        <w:tc>
          <w:tcPr>
            <w:tcW w:w="0" w:type="auto"/>
            <w:noWrap w:val="0"/>
            <w:vAlign w:val="center"/>
          </w:tcPr>
          <w:p w14:paraId="342AC65F">
            <w:pPr>
              <w:widowControl/>
              <w:adjustRightInd w:val="0"/>
              <w:snapToGrid w:val="0"/>
              <w:ind w:firstLine="420" w:firstLineChars="200"/>
              <w:rPr>
                <w:rFonts w:hint="eastAsia" w:ascii="楷体" w:hAnsi="楷体" w:eastAsia="楷体" w:cs="楷体"/>
                <w:color w:val="auto"/>
                <w:kern w:val="0"/>
                <w:sz w:val="21"/>
                <w:szCs w:val="21"/>
              </w:rPr>
            </w:pPr>
            <w:r>
              <w:rPr>
                <w:rFonts w:hint="eastAsia" w:ascii="楷体" w:hAnsi="楷体" w:eastAsia="楷体" w:cs="楷体"/>
                <w:color w:val="auto"/>
                <w:kern w:val="0"/>
                <w:sz w:val="21"/>
                <w:szCs w:val="21"/>
              </w:rPr>
              <w:t>优（X≧90）</w:t>
            </w:r>
          </w:p>
        </w:tc>
        <w:tc>
          <w:tcPr>
            <w:tcW w:w="0" w:type="auto"/>
            <w:noWrap w:val="0"/>
            <w:vAlign w:val="center"/>
          </w:tcPr>
          <w:p w14:paraId="62A73CA4">
            <w:pPr>
              <w:widowControl/>
              <w:adjustRightInd w:val="0"/>
              <w:snapToGrid w:val="0"/>
              <w:ind w:firstLine="420" w:firstLineChars="200"/>
              <w:rPr>
                <w:rFonts w:hint="eastAsia" w:ascii="楷体" w:hAnsi="楷体" w:eastAsia="楷体" w:cs="楷体"/>
                <w:color w:val="auto"/>
                <w:kern w:val="0"/>
                <w:sz w:val="21"/>
                <w:szCs w:val="21"/>
              </w:rPr>
            </w:pPr>
            <w:r>
              <w:rPr>
                <w:rFonts w:hint="eastAsia" w:ascii="楷体" w:hAnsi="楷体" w:eastAsia="楷体" w:cs="楷体"/>
                <w:color w:val="auto"/>
                <w:kern w:val="0"/>
                <w:sz w:val="21"/>
                <w:szCs w:val="21"/>
              </w:rPr>
              <w:t>良（80≦X＜90）</w:t>
            </w:r>
          </w:p>
        </w:tc>
        <w:tc>
          <w:tcPr>
            <w:tcW w:w="0" w:type="auto"/>
            <w:noWrap w:val="0"/>
            <w:vAlign w:val="center"/>
          </w:tcPr>
          <w:p w14:paraId="291E29F0">
            <w:pPr>
              <w:widowControl/>
              <w:adjustRightInd w:val="0"/>
              <w:snapToGrid w:val="0"/>
              <w:ind w:firstLine="420" w:firstLineChars="200"/>
              <w:rPr>
                <w:rFonts w:hint="eastAsia" w:ascii="楷体" w:hAnsi="楷体" w:eastAsia="楷体" w:cs="楷体"/>
                <w:color w:val="auto"/>
                <w:kern w:val="0"/>
                <w:sz w:val="21"/>
                <w:szCs w:val="21"/>
              </w:rPr>
            </w:pPr>
            <w:r>
              <w:rPr>
                <w:rFonts w:hint="eastAsia" w:ascii="楷体" w:hAnsi="楷体" w:eastAsia="楷体" w:cs="楷体"/>
                <w:color w:val="auto"/>
                <w:kern w:val="0"/>
                <w:sz w:val="21"/>
                <w:szCs w:val="21"/>
              </w:rPr>
              <w:t>中（70≦X＜80）</w:t>
            </w:r>
          </w:p>
        </w:tc>
        <w:tc>
          <w:tcPr>
            <w:tcW w:w="0" w:type="auto"/>
            <w:noWrap w:val="0"/>
            <w:vAlign w:val="center"/>
          </w:tcPr>
          <w:p w14:paraId="39AC745A">
            <w:pPr>
              <w:widowControl/>
              <w:adjustRightInd w:val="0"/>
              <w:snapToGrid w:val="0"/>
              <w:ind w:firstLine="420" w:firstLineChars="200"/>
              <w:rPr>
                <w:rFonts w:hint="eastAsia" w:ascii="楷体" w:hAnsi="楷体" w:eastAsia="楷体" w:cs="楷体"/>
                <w:color w:val="auto"/>
                <w:kern w:val="0"/>
                <w:sz w:val="21"/>
                <w:szCs w:val="21"/>
              </w:rPr>
            </w:pPr>
            <w:r>
              <w:rPr>
                <w:rFonts w:hint="eastAsia" w:ascii="楷体" w:hAnsi="楷体" w:eastAsia="楷体" w:cs="楷体"/>
                <w:color w:val="auto"/>
                <w:kern w:val="0"/>
                <w:sz w:val="21"/>
                <w:szCs w:val="21"/>
              </w:rPr>
              <w:t>及格（60≦X＜70）</w:t>
            </w:r>
          </w:p>
        </w:tc>
        <w:tc>
          <w:tcPr>
            <w:tcW w:w="0" w:type="auto"/>
            <w:noWrap w:val="0"/>
            <w:vAlign w:val="center"/>
          </w:tcPr>
          <w:p w14:paraId="7B72D236">
            <w:pPr>
              <w:widowControl/>
              <w:adjustRightInd w:val="0"/>
              <w:snapToGrid w:val="0"/>
              <w:ind w:firstLine="420" w:firstLineChars="200"/>
              <w:rPr>
                <w:rFonts w:hint="eastAsia" w:ascii="楷体" w:hAnsi="楷体" w:eastAsia="楷体" w:cs="楷体"/>
                <w:color w:val="auto"/>
                <w:kern w:val="0"/>
                <w:sz w:val="21"/>
                <w:szCs w:val="21"/>
              </w:rPr>
            </w:pPr>
            <w:r>
              <w:rPr>
                <w:rFonts w:hint="eastAsia" w:ascii="楷体" w:hAnsi="楷体" w:eastAsia="楷体" w:cs="楷体"/>
                <w:color w:val="auto"/>
                <w:kern w:val="0"/>
                <w:sz w:val="21"/>
                <w:szCs w:val="21"/>
              </w:rPr>
              <w:t>不及格（＜60）</w:t>
            </w:r>
          </w:p>
        </w:tc>
      </w:tr>
      <w:tr w14:paraId="322DECAC">
        <w:trPr>
          <w:trHeight w:val="5192" w:hRule="atLeast"/>
          <w:jc w:val="center"/>
        </w:trPr>
        <w:tc>
          <w:tcPr>
            <w:tcW w:w="0" w:type="auto"/>
            <w:noWrap w:val="0"/>
            <w:vAlign w:val="top"/>
          </w:tcPr>
          <w:p w14:paraId="642D5039">
            <w:pPr>
              <w:widowControl/>
              <w:adjustRightInd w:val="0"/>
              <w:snapToGrid w:val="0"/>
              <w:ind w:firstLine="420" w:firstLineChars="200"/>
              <w:rPr>
                <w:rFonts w:hint="eastAsia" w:ascii="楷体" w:hAnsi="楷体" w:eastAsia="楷体" w:cs="楷体"/>
                <w:color w:val="auto"/>
                <w:kern w:val="0"/>
                <w:sz w:val="21"/>
                <w:szCs w:val="21"/>
              </w:rPr>
            </w:pPr>
            <w:r>
              <w:rPr>
                <w:rFonts w:hint="eastAsia" w:ascii="楷体" w:hAnsi="楷体" w:eastAsia="楷体" w:cs="楷体"/>
                <w:color w:val="auto"/>
                <w:kern w:val="0"/>
                <w:sz w:val="21"/>
                <w:szCs w:val="21"/>
              </w:rPr>
              <w:t>课程目标1.</w:t>
            </w:r>
            <w:r>
              <w:rPr>
                <w:rFonts w:hint="eastAsia" w:ascii="楷体" w:hAnsi="楷体" w:eastAsia="楷体" w:cs="楷体"/>
                <w:color w:val="auto"/>
                <w:kern w:val="0"/>
                <w:sz w:val="21"/>
                <w:szCs w:val="21"/>
              </w:rPr>
              <w:tab/>
            </w:r>
          </w:p>
          <w:p w14:paraId="4F1B466A">
            <w:pPr>
              <w:widowControl/>
              <w:adjustRightInd w:val="0"/>
              <w:snapToGrid w:val="0"/>
              <w:ind w:firstLine="420" w:firstLineChars="200"/>
              <w:rPr>
                <w:rFonts w:hint="eastAsia" w:ascii="楷体" w:hAnsi="楷体" w:eastAsia="楷体" w:cs="楷体"/>
                <w:color w:val="auto"/>
                <w:kern w:val="0"/>
                <w:sz w:val="21"/>
                <w:szCs w:val="21"/>
              </w:rPr>
            </w:pPr>
            <w:r>
              <w:rPr>
                <w:rFonts w:hint="eastAsia" w:ascii="楷体" w:hAnsi="楷体" w:eastAsia="楷体" w:cs="楷体"/>
                <w:color w:val="auto"/>
                <w:kern w:val="0"/>
                <w:sz w:val="21"/>
                <w:szCs w:val="21"/>
                <w:lang w:val="en-US" w:eastAsia="zh-CN"/>
              </w:rPr>
              <w:t>初步掌握</w:t>
            </w:r>
            <w:r>
              <w:rPr>
                <w:rFonts w:hint="eastAsia" w:ascii="楷体" w:hAnsi="楷体" w:eastAsia="楷体" w:cs="楷体"/>
                <w:color w:val="auto"/>
                <w:kern w:val="0"/>
                <w:sz w:val="21"/>
                <w:szCs w:val="21"/>
              </w:rPr>
              <w:t>基本的合唱</w:t>
            </w:r>
            <w:r>
              <w:rPr>
                <w:rFonts w:hint="eastAsia" w:ascii="楷体" w:hAnsi="楷体" w:eastAsia="楷体" w:cs="楷体"/>
                <w:color w:val="auto"/>
                <w:kern w:val="0"/>
                <w:sz w:val="21"/>
                <w:szCs w:val="21"/>
                <w:lang w:val="en-US" w:eastAsia="zh-CN"/>
              </w:rPr>
              <w:t>指挥</w:t>
            </w:r>
            <w:r>
              <w:rPr>
                <w:rFonts w:hint="eastAsia" w:ascii="楷体" w:hAnsi="楷体" w:eastAsia="楷体" w:cs="楷体"/>
                <w:color w:val="auto"/>
                <w:kern w:val="0"/>
                <w:sz w:val="21"/>
                <w:szCs w:val="21"/>
              </w:rPr>
              <w:t>理论知识</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lang w:val="en-US" w:eastAsia="zh-CN"/>
              </w:rPr>
              <w:t>系统</w:t>
            </w:r>
            <w:r>
              <w:rPr>
                <w:rFonts w:hint="eastAsia" w:ascii="楷体" w:hAnsi="楷体" w:eastAsia="楷体" w:cs="楷体"/>
                <w:color w:val="auto"/>
                <w:kern w:val="0"/>
                <w:sz w:val="21"/>
                <w:szCs w:val="21"/>
              </w:rPr>
              <w:t>掌握基本的合唱</w:t>
            </w:r>
            <w:r>
              <w:rPr>
                <w:rFonts w:hint="eastAsia" w:ascii="楷体" w:hAnsi="楷体" w:eastAsia="楷体" w:cs="楷体"/>
                <w:color w:val="auto"/>
                <w:kern w:val="0"/>
                <w:sz w:val="21"/>
                <w:szCs w:val="21"/>
                <w:lang w:val="en-US" w:eastAsia="zh-CN"/>
              </w:rPr>
              <w:t>指挥</w:t>
            </w:r>
            <w:r>
              <w:rPr>
                <w:rFonts w:hint="eastAsia" w:ascii="楷体" w:hAnsi="楷体" w:eastAsia="楷体" w:cs="楷体"/>
                <w:color w:val="auto"/>
                <w:kern w:val="0"/>
                <w:sz w:val="21"/>
                <w:szCs w:val="21"/>
              </w:rPr>
              <w:t>音乐素质，其中包括适应多种音乐风格和表现需要的音准感、节奏感、音律感、声部谐和感、咬字行腔方法以及与音乐情绪表现相关的各种</w:t>
            </w:r>
            <w:r>
              <w:rPr>
                <w:rFonts w:hint="eastAsia" w:ascii="楷体" w:hAnsi="楷体" w:eastAsia="楷体" w:cs="楷体"/>
                <w:color w:val="auto"/>
                <w:kern w:val="0"/>
                <w:sz w:val="21"/>
                <w:szCs w:val="21"/>
                <w:lang w:val="en-US" w:eastAsia="zh-CN"/>
              </w:rPr>
              <w:t>科学发声方法</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lang w:val="en-US" w:eastAsia="zh-CN"/>
              </w:rPr>
              <w:t>其次，熟练</w:t>
            </w:r>
            <w:r>
              <w:rPr>
                <w:rFonts w:hint="eastAsia" w:ascii="楷体" w:hAnsi="楷体" w:eastAsia="楷体" w:cs="楷体"/>
                <w:color w:val="auto"/>
                <w:kern w:val="0"/>
                <w:sz w:val="21"/>
                <w:szCs w:val="21"/>
              </w:rPr>
              <w:t>掌握</w:t>
            </w:r>
            <w:r>
              <w:rPr>
                <w:rFonts w:hint="eastAsia" w:ascii="楷体" w:hAnsi="楷体" w:eastAsia="楷体" w:cs="楷体"/>
                <w:color w:val="auto"/>
                <w:kern w:val="0"/>
                <w:sz w:val="21"/>
                <w:szCs w:val="21"/>
                <w:lang w:val="en-US" w:eastAsia="zh-CN"/>
              </w:rPr>
              <w:t>基本的合唱指挥技能技巧</w:t>
            </w:r>
            <w:r>
              <w:rPr>
                <w:rFonts w:hint="eastAsia" w:ascii="楷体" w:hAnsi="楷体" w:eastAsia="楷体" w:cs="楷体"/>
                <w:color w:val="auto"/>
                <w:kern w:val="0"/>
                <w:sz w:val="21"/>
                <w:szCs w:val="21"/>
              </w:rPr>
              <w:t>，并具有不同风格合唱作品的艺术处理能力</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rPr>
              <w:t xml:space="preserve">（支撑毕业要求3.1） </w:t>
            </w:r>
          </w:p>
        </w:tc>
        <w:tc>
          <w:tcPr>
            <w:tcW w:w="0" w:type="auto"/>
            <w:noWrap w:val="0"/>
            <w:vAlign w:val="top"/>
          </w:tcPr>
          <w:p w14:paraId="7E92BDE1">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lang w:val="en-US" w:eastAsia="zh-CN"/>
              </w:rPr>
              <w:t>初步掌握</w:t>
            </w:r>
            <w:r>
              <w:rPr>
                <w:rFonts w:hint="eastAsia" w:ascii="楷体" w:hAnsi="楷体" w:eastAsia="楷体" w:cs="楷体"/>
                <w:color w:val="auto"/>
                <w:kern w:val="0"/>
                <w:sz w:val="21"/>
                <w:szCs w:val="21"/>
              </w:rPr>
              <w:t>基本的合唱</w:t>
            </w:r>
            <w:r>
              <w:rPr>
                <w:rFonts w:hint="eastAsia" w:ascii="楷体" w:hAnsi="楷体" w:eastAsia="楷体" w:cs="楷体"/>
                <w:color w:val="auto"/>
                <w:kern w:val="0"/>
                <w:sz w:val="21"/>
                <w:szCs w:val="21"/>
                <w:lang w:val="en-US" w:eastAsia="zh-CN"/>
              </w:rPr>
              <w:t>指挥</w:t>
            </w:r>
            <w:r>
              <w:rPr>
                <w:rFonts w:hint="eastAsia" w:ascii="楷体" w:hAnsi="楷体" w:eastAsia="楷体" w:cs="楷体"/>
                <w:color w:val="auto"/>
                <w:kern w:val="0"/>
                <w:sz w:val="21"/>
                <w:szCs w:val="21"/>
              </w:rPr>
              <w:t>理论知识</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rPr>
              <w:t>能够扎实地掌握基本的合唱</w:t>
            </w:r>
            <w:r>
              <w:rPr>
                <w:rFonts w:hint="eastAsia" w:ascii="楷体" w:hAnsi="楷体" w:eastAsia="楷体" w:cs="楷体"/>
                <w:color w:val="auto"/>
                <w:kern w:val="0"/>
                <w:sz w:val="21"/>
                <w:szCs w:val="21"/>
                <w:lang w:val="en-US" w:eastAsia="zh-CN"/>
              </w:rPr>
              <w:t>指挥</w:t>
            </w:r>
            <w:r>
              <w:rPr>
                <w:rFonts w:hint="eastAsia" w:ascii="楷体" w:hAnsi="楷体" w:eastAsia="楷体" w:cs="楷体"/>
                <w:color w:val="auto"/>
                <w:kern w:val="0"/>
                <w:sz w:val="21"/>
                <w:szCs w:val="21"/>
              </w:rPr>
              <w:t>音乐素质，其中包括适应多种音乐风格和表现需要的音准感、节奏感、音律感、声部谐和感、咬字行腔方法以及与音乐情绪表现相关的各种</w:t>
            </w:r>
            <w:r>
              <w:rPr>
                <w:rFonts w:hint="eastAsia" w:ascii="楷体" w:hAnsi="楷体" w:eastAsia="楷体" w:cs="楷体"/>
                <w:color w:val="auto"/>
                <w:kern w:val="0"/>
                <w:sz w:val="21"/>
                <w:szCs w:val="21"/>
                <w:lang w:val="en-US" w:eastAsia="zh-CN"/>
              </w:rPr>
              <w:t>科学发声方法</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lang w:val="en-US" w:eastAsia="zh-CN"/>
              </w:rPr>
              <w:t>其次，</w:t>
            </w:r>
            <w:r>
              <w:rPr>
                <w:rFonts w:hint="eastAsia" w:ascii="楷体" w:hAnsi="楷体" w:eastAsia="楷体" w:cs="楷体"/>
                <w:color w:val="auto"/>
                <w:kern w:val="0"/>
                <w:sz w:val="21"/>
                <w:szCs w:val="21"/>
              </w:rPr>
              <w:t>能够扎实地掌握</w:t>
            </w:r>
            <w:r>
              <w:rPr>
                <w:rFonts w:hint="eastAsia" w:ascii="楷体" w:hAnsi="楷体" w:eastAsia="楷体" w:cs="楷体"/>
                <w:color w:val="auto"/>
                <w:kern w:val="0"/>
                <w:sz w:val="21"/>
                <w:szCs w:val="21"/>
                <w:lang w:val="en-US" w:eastAsia="zh-CN"/>
              </w:rPr>
              <w:t>基本的合唱指挥技能技巧</w:t>
            </w:r>
            <w:r>
              <w:rPr>
                <w:rFonts w:hint="eastAsia" w:ascii="楷体" w:hAnsi="楷体" w:eastAsia="楷体" w:cs="楷体"/>
                <w:color w:val="auto"/>
                <w:kern w:val="0"/>
                <w:sz w:val="21"/>
                <w:szCs w:val="21"/>
              </w:rPr>
              <w:t>，并具有不同风格合唱作品的艺术处理能力</w:t>
            </w:r>
            <w:r>
              <w:rPr>
                <w:rFonts w:hint="eastAsia" w:ascii="楷体" w:hAnsi="楷体" w:eastAsia="楷体" w:cs="楷体"/>
                <w:color w:val="auto"/>
                <w:kern w:val="0"/>
                <w:sz w:val="21"/>
                <w:szCs w:val="21"/>
                <w:lang w:eastAsia="zh-CN"/>
              </w:rPr>
              <w:t>。</w:t>
            </w:r>
          </w:p>
          <w:p w14:paraId="46FA0AAB">
            <w:pPr>
              <w:widowControl/>
              <w:adjustRightInd w:val="0"/>
              <w:snapToGrid w:val="0"/>
              <w:ind w:firstLine="420" w:firstLineChars="200"/>
              <w:rPr>
                <w:rFonts w:hint="eastAsia" w:ascii="楷体" w:hAnsi="楷体" w:eastAsia="楷体" w:cs="楷体"/>
                <w:color w:val="auto"/>
                <w:kern w:val="0"/>
                <w:sz w:val="21"/>
                <w:szCs w:val="21"/>
              </w:rPr>
            </w:pPr>
          </w:p>
        </w:tc>
        <w:tc>
          <w:tcPr>
            <w:tcW w:w="0" w:type="auto"/>
            <w:noWrap w:val="0"/>
            <w:vAlign w:val="top"/>
          </w:tcPr>
          <w:p w14:paraId="4766CA3E">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lang w:val="en-US" w:eastAsia="zh-CN"/>
              </w:rPr>
              <w:t>初步掌握</w:t>
            </w:r>
            <w:r>
              <w:rPr>
                <w:rFonts w:hint="eastAsia" w:ascii="楷体" w:hAnsi="楷体" w:eastAsia="楷体" w:cs="楷体"/>
                <w:color w:val="auto"/>
                <w:kern w:val="0"/>
                <w:sz w:val="21"/>
                <w:szCs w:val="21"/>
              </w:rPr>
              <w:t>基本的合唱</w:t>
            </w:r>
            <w:r>
              <w:rPr>
                <w:rFonts w:hint="eastAsia" w:ascii="楷体" w:hAnsi="楷体" w:eastAsia="楷体" w:cs="楷体"/>
                <w:color w:val="auto"/>
                <w:kern w:val="0"/>
                <w:sz w:val="21"/>
                <w:szCs w:val="21"/>
                <w:lang w:val="en-US" w:eastAsia="zh-CN"/>
              </w:rPr>
              <w:t>指挥</w:t>
            </w:r>
            <w:r>
              <w:rPr>
                <w:rFonts w:hint="eastAsia" w:ascii="楷体" w:hAnsi="楷体" w:eastAsia="楷体" w:cs="楷体"/>
                <w:color w:val="auto"/>
                <w:kern w:val="0"/>
                <w:sz w:val="21"/>
                <w:szCs w:val="21"/>
              </w:rPr>
              <w:t>理论知识</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rPr>
              <w:t>能够掌握基本的合唱</w:t>
            </w:r>
            <w:r>
              <w:rPr>
                <w:rFonts w:hint="eastAsia" w:ascii="楷体" w:hAnsi="楷体" w:eastAsia="楷体" w:cs="楷体"/>
                <w:color w:val="auto"/>
                <w:kern w:val="0"/>
                <w:sz w:val="21"/>
                <w:szCs w:val="21"/>
                <w:lang w:val="en-US" w:eastAsia="zh-CN"/>
              </w:rPr>
              <w:t>指挥</w:t>
            </w:r>
            <w:r>
              <w:rPr>
                <w:rFonts w:hint="eastAsia" w:ascii="楷体" w:hAnsi="楷体" w:eastAsia="楷体" w:cs="楷体"/>
                <w:color w:val="auto"/>
                <w:kern w:val="0"/>
                <w:sz w:val="21"/>
                <w:szCs w:val="21"/>
              </w:rPr>
              <w:t>音乐素质，其中包括适应多种音乐风格和表现需要的音准感、节奏感、音律感、声部谐和感、咬字行腔方法以及与音乐情绪表现相关的各种</w:t>
            </w:r>
            <w:r>
              <w:rPr>
                <w:rFonts w:hint="eastAsia" w:ascii="楷体" w:hAnsi="楷体" w:eastAsia="楷体" w:cs="楷体"/>
                <w:color w:val="auto"/>
                <w:kern w:val="0"/>
                <w:sz w:val="21"/>
                <w:szCs w:val="21"/>
                <w:lang w:val="en-US" w:eastAsia="zh-CN"/>
              </w:rPr>
              <w:t>科学发声方法</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lang w:val="en-US" w:eastAsia="zh-CN"/>
              </w:rPr>
              <w:t>其次，能够</w:t>
            </w:r>
            <w:r>
              <w:rPr>
                <w:rFonts w:hint="eastAsia" w:ascii="楷体" w:hAnsi="楷体" w:eastAsia="楷体" w:cs="楷体"/>
                <w:color w:val="auto"/>
                <w:kern w:val="0"/>
                <w:sz w:val="21"/>
                <w:szCs w:val="21"/>
              </w:rPr>
              <w:t>掌握</w:t>
            </w:r>
            <w:r>
              <w:rPr>
                <w:rFonts w:hint="eastAsia" w:ascii="楷体" w:hAnsi="楷体" w:eastAsia="楷体" w:cs="楷体"/>
                <w:color w:val="auto"/>
                <w:kern w:val="0"/>
                <w:sz w:val="21"/>
                <w:szCs w:val="21"/>
                <w:lang w:val="en-US" w:eastAsia="zh-CN"/>
              </w:rPr>
              <w:t>基本的合唱指挥技能技巧</w:t>
            </w:r>
            <w:r>
              <w:rPr>
                <w:rFonts w:hint="eastAsia" w:ascii="楷体" w:hAnsi="楷体" w:eastAsia="楷体" w:cs="楷体"/>
                <w:color w:val="auto"/>
                <w:kern w:val="0"/>
                <w:sz w:val="21"/>
                <w:szCs w:val="21"/>
              </w:rPr>
              <w:t>，并具有不同风格合唱作品的艺术处理能力</w:t>
            </w:r>
            <w:r>
              <w:rPr>
                <w:rFonts w:hint="eastAsia" w:ascii="楷体" w:hAnsi="楷体" w:eastAsia="楷体" w:cs="楷体"/>
                <w:color w:val="auto"/>
                <w:kern w:val="0"/>
                <w:sz w:val="21"/>
                <w:szCs w:val="21"/>
                <w:lang w:eastAsia="zh-CN"/>
              </w:rPr>
              <w:t>。</w:t>
            </w:r>
          </w:p>
          <w:p w14:paraId="66B63C93">
            <w:pPr>
              <w:widowControl/>
              <w:adjustRightInd w:val="0"/>
              <w:snapToGrid w:val="0"/>
              <w:ind w:firstLine="420" w:firstLineChars="200"/>
              <w:rPr>
                <w:rFonts w:hint="eastAsia" w:ascii="楷体" w:hAnsi="楷体" w:eastAsia="楷体" w:cs="楷体"/>
                <w:color w:val="auto"/>
                <w:kern w:val="0"/>
                <w:sz w:val="21"/>
                <w:szCs w:val="21"/>
              </w:rPr>
            </w:pPr>
          </w:p>
        </w:tc>
        <w:tc>
          <w:tcPr>
            <w:tcW w:w="0" w:type="auto"/>
            <w:noWrap w:val="0"/>
            <w:vAlign w:val="top"/>
          </w:tcPr>
          <w:p w14:paraId="76B228D6">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lang w:val="en-US" w:eastAsia="zh-CN"/>
              </w:rPr>
              <w:t>初步掌握</w:t>
            </w:r>
            <w:r>
              <w:rPr>
                <w:rFonts w:hint="eastAsia" w:ascii="楷体" w:hAnsi="楷体" w:eastAsia="楷体" w:cs="楷体"/>
                <w:color w:val="auto"/>
                <w:kern w:val="0"/>
                <w:sz w:val="21"/>
                <w:szCs w:val="21"/>
              </w:rPr>
              <w:t>基本的合唱</w:t>
            </w:r>
            <w:r>
              <w:rPr>
                <w:rFonts w:hint="eastAsia" w:ascii="楷体" w:hAnsi="楷体" w:eastAsia="楷体" w:cs="楷体"/>
                <w:color w:val="auto"/>
                <w:kern w:val="0"/>
                <w:sz w:val="21"/>
                <w:szCs w:val="21"/>
                <w:lang w:val="en-US" w:eastAsia="zh-CN"/>
              </w:rPr>
              <w:t>指挥</w:t>
            </w:r>
            <w:r>
              <w:rPr>
                <w:rFonts w:hint="eastAsia" w:ascii="楷体" w:hAnsi="楷体" w:eastAsia="楷体" w:cs="楷体"/>
                <w:color w:val="auto"/>
                <w:kern w:val="0"/>
                <w:sz w:val="21"/>
                <w:szCs w:val="21"/>
              </w:rPr>
              <w:t>理论知识</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rPr>
              <w:t>能够基本掌握基本的合唱</w:t>
            </w:r>
            <w:r>
              <w:rPr>
                <w:rFonts w:hint="eastAsia" w:ascii="楷体" w:hAnsi="楷体" w:eastAsia="楷体" w:cs="楷体"/>
                <w:color w:val="auto"/>
                <w:kern w:val="0"/>
                <w:sz w:val="21"/>
                <w:szCs w:val="21"/>
                <w:lang w:val="en-US" w:eastAsia="zh-CN"/>
              </w:rPr>
              <w:t>指挥</w:t>
            </w:r>
            <w:r>
              <w:rPr>
                <w:rFonts w:hint="eastAsia" w:ascii="楷体" w:hAnsi="楷体" w:eastAsia="楷体" w:cs="楷体"/>
                <w:color w:val="auto"/>
                <w:kern w:val="0"/>
                <w:sz w:val="21"/>
                <w:szCs w:val="21"/>
              </w:rPr>
              <w:t>音乐素质，其中包括适应多种音乐风格和表现需要的音准感、节奏感、音律感、声部谐和感、咬字行腔方法以及与音乐情绪表现相关的各种</w:t>
            </w:r>
            <w:r>
              <w:rPr>
                <w:rFonts w:hint="eastAsia" w:ascii="楷体" w:hAnsi="楷体" w:eastAsia="楷体" w:cs="楷体"/>
                <w:color w:val="auto"/>
                <w:kern w:val="0"/>
                <w:sz w:val="21"/>
                <w:szCs w:val="21"/>
                <w:lang w:val="en-US" w:eastAsia="zh-CN"/>
              </w:rPr>
              <w:t>科学发声方法</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lang w:val="en-US" w:eastAsia="zh-CN"/>
              </w:rPr>
              <w:t>其次，</w:t>
            </w:r>
            <w:r>
              <w:rPr>
                <w:rFonts w:hint="eastAsia" w:ascii="楷体" w:hAnsi="楷体" w:eastAsia="楷体" w:cs="楷体"/>
                <w:color w:val="auto"/>
                <w:kern w:val="0"/>
                <w:sz w:val="21"/>
                <w:szCs w:val="21"/>
              </w:rPr>
              <w:t>能够基本掌握</w:t>
            </w:r>
            <w:r>
              <w:rPr>
                <w:rFonts w:hint="eastAsia" w:ascii="楷体" w:hAnsi="楷体" w:eastAsia="楷体" w:cs="楷体"/>
                <w:color w:val="auto"/>
                <w:kern w:val="0"/>
                <w:sz w:val="21"/>
                <w:szCs w:val="21"/>
                <w:lang w:val="en-US" w:eastAsia="zh-CN"/>
              </w:rPr>
              <w:t>基本的合唱指挥技能技巧</w:t>
            </w:r>
            <w:r>
              <w:rPr>
                <w:rFonts w:hint="eastAsia" w:ascii="楷体" w:hAnsi="楷体" w:eastAsia="楷体" w:cs="楷体"/>
                <w:color w:val="auto"/>
                <w:kern w:val="0"/>
                <w:sz w:val="21"/>
                <w:szCs w:val="21"/>
              </w:rPr>
              <w:t>，并具有不同风格合唱作品的艺术处理能力</w:t>
            </w:r>
            <w:r>
              <w:rPr>
                <w:rFonts w:hint="eastAsia" w:ascii="楷体" w:hAnsi="楷体" w:eastAsia="楷体" w:cs="楷体"/>
                <w:color w:val="auto"/>
                <w:kern w:val="0"/>
                <w:sz w:val="21"/>
                <w:szCs w:val="21"/>
                <w:lang w:eastAsia="zh-CN"/>
              </w:rPr>
              <w:t>。</w:t>
            </w:r>
          </w:p>
          <w:p w14:paraId="46EEDF1B">
            <w:pPr>
              <w:widowControl/>
              <w:adjustRightInd w:val="0"/>
              <w:snapToGrid w:val="0"/>
              <w:ind w:firstLine="420" w:firstLineChars="200"/>
              <w:rPr>
                <w:rFonts w:hint="eastAsia" w:ascii="楷体" w:hAnsi="楷体" w:eastAsia="楷体" w:cs="楷体"/>
                <w:color w:val="auto"/>
                <w:kern w:val="0"/>
                <w:sz w:val="21"/>
                <w:szCs w:val="21"/>
              </w:rPr>
            </w:pPr>
          </w:p>
        </w:tc>
        <w:tc>
          <w:tcPr>
            <w:tcW w:w="0" w:type="auto"/>
            <w:noWrap w:val="0"/>
            <w:vAlign w:val="top"/>
          </w:tcPr>
          <w:p w14:paraId="5E12AD8F">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lang w:val="en-US" w:eastAsia="zh-CN"/>
              </w:rPr>
              <w:t>初步掌握</w:t>
            </w:r>
            <w:r>
              <w:rPr>
                <w:rFonts w:hint="eastAsia" w:ascii="楷体" w:hAnsi="楷体" w:eastAsia="楷体" w:cs="楷体"/>
                <w:color w:val="auto"/>
                <w:kern w:val="0"/>
                <w:sz w:val="21"/>
                <w:szCs w:val="21"/>
              </w:rPr>
              <w:t>基本的合唱</w:t>
            </w:r>
            <w:r>
              <w:rPr>
                <w:rFonts w:hint="eastAsia" w:ascii="楷体" w:hAnsi="楷体" w:eastAsia="楷体" w:cs="楷体"/>
                <w:color w:val="auto"/>
                <w:kern w:val="0"/>
                <w:sz w:val="21"/>
                <w:szCs w:val="21"/>
                <w:lang w:val="en-US" w:eastAsia="zh-CN"/>
              </w:rPr>
              <w:t>指挥</w:t>
            </w:r>
            <w:r>
              <w:rPr>
                <w:rFonts w:hint="eastAsia" w:ascii="楷体" w:hAnsi="楷体" w:eastAsia="楷体" w:cs="楷体"/>
                <w:color w:val="auto"/>
                <w:kern w:val="0"/>
                <w:sz w:val="21"/>
                <w:szCs w:val="21"/>
              </w:rPr>
              <w:t>理论知识</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rPr>
              <w:t>能够基本掌握部分基本的合唱</w:t>
            </w:r>
            <w:r>
              <w:rPr>
                <w:rFonts w:hint="eastAsia" w:ascii="楷体" w:hAnsi="楷体" w:eastAsia="楷体" w:cs="楷体"/>
                <w:color w:val="auto"/>
                <w:kern w:val="0"/>
                <w:sz w:val="21"/>
                <w:szCs w:val="21"/>
                <w:lang w:val="en-US" w:eastAsia="zh-CN"/>
              </w:rPr>
              <w:t>指挥</w:t>
            </w:r>
            <w:r>
              <w:rPr>
                <w:rFonts w:hint="eastAsia" w:ascii="楷体" w:hAnsi="楷体" w:eastAsia="楷体" w:cs="楷体"/>
                <w:color w:val="auto"/>
                <w:kern w:val="0"/>
                <w:sz w:val="21"/>
                <w:szCs w:val="21"/>
              </w:rPr>
              <w:t>音乐素质，其中包括适应多种音乐风格和表现需要的音准感、节奏感、音律感、声部谐和感、咬字行腔方法以及与音乐情绪表现相关的各种</w:t>
            </w:r>
            <w:r>
              <w:rPr>
                <w:rFonts w:hint="eastAsia" w:ascii="楷体" w:hAnsi="楷体" w:eastAsia="楷体" w:cs="楷体"/>
                <w:color w:val="auto"/>
                <w:kern w:val="0"/>
                <w:sz w:val="21"/>
                <w:szCs w:val="21"/>
                <w:lang w:val="en-US" w:eastAsia="zh-CN"/>
              </w:rPr>
              <w:t>科学发声方法</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lang w:val="en-US" w:eastAsia="zh-CN"/>
              </w:rPr>
              <w:t>其次，</w:t>
            </w:r>
            <w:r>
              <w:rPr>
                <w:rFonts w:hint="eastAsia" w:ascii="楷体" w:hAnsi="楷体" w:eastAsia="楷体" w:cs="楷体"/>
                <w:color w:val="auto"/>
                <w:kern w:val="0"/>
                <w:sz w:val="21"/>
                <w:szCs w:val="21"/>
              </w:rPr>
              <w:t>能够基本掌握部分</w:t>
            </w:r>
            <w:r>
              <w:rPr>
                <w:rFonts w:hint="eastAsia" w:ascii="楷体" w:hAnsi="楷体" w:eastAsia="楷体" w:cs="楷体"/>
                <w:color w:val="auto"/>
                <w:kern w:val="0"/>
                <w:sz w:val="21"/>
                <w:szCs w:val="21"/>
                <w:lang w:val="en-US" w:eastAsia="zh-CN"/>
              </w:rPr>
              <w:t>基本的合唱指挥技能技巧</w:t>
            </w:r>
            <w:r>
              <w:rPr>
                <w:rFonts w:hint="eastAsia" w:ascii="楷体" w:hAnsi="楷体" w:eastAsia="楷体" w:cs="楷体"/>
                <w:color w:val="auto"/>
                <w:kern w:val="0"/>
                <w:sz w:val="21"/>
                <w:szCs w:val="21"/>
              </w:rPr>
              <w:t>，并具有不同风格合唱作品的艺术处理能力</w:t>
            </w:r>
            <w:r>
              <w:rPr>
                <w:rFonts w:hint="eastAsia" w:ascii="楷体" w:hAnsi="楷体" w:eastAsia="楷体" w:cs="楷体"/>
                <w:color w:val="auto"/>
                <w:kern w:val="0"/>
                <w:sz w:val="21"/>
                <w:szCs w:val="21"/>
                <w:lang w:eastAsia="zh-CN"/>
              </w:rPr>
              <w:t>。</w:t>
            </w:r>
          </w:p>
          <w:p w14:paraId="34853FA7">
            <w:pPr>
              <w:widowControl/>
              <w:adjustRightInd w:val="0"/>
              <w:snapToGrid w:val="0"/>
              <w:ind w:firstLine="420" w:firstLineChars="200"/>
              <w:rPr>
                <w:rFonts w:hint="eastAsia" w:ascii="楷体" w:hAnsi="楷体" w:eastAsia="楷体" w:cs="楷体"/>
                <w:color w:val="auto"/>
                <w:kern w:val="0"/>
                <w:sz w:val="21"/>
                <w:szCs w:val="21"/>
              </w:rPr>
            </w:pPr>
          </w:p>
        </w:tc>
        <w:tc>
          <w:tcPr>
            <w:tcW w:w="0" w:type="auto"/>
            <w:noWrap w:val="0"/>
            <w:vAlign w:val="top"/>
          </w:tcPr>
          <w:p w14:paraId="1B7AFC9F">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lang w:val="en-US" w:eastAsia="zh-CN"/>
              </w:rPr>
              <w:t>初步掌握</w:t>
            </w:r>
            <w:r>
              <w:rPr>
                <w:rFonts w:hint="eastAsia" w:ascii="楷体" w:hAnsi="楷体" w:eastAsia="楷体" w:cs="楷体"/>
                <w:color w:val="auto"/>
                <w:kern w:val="0"/>
                <w:sz w:val="21"/>
                <w:szCs w:val="21"/>
              </w:rPr>
              <w:t>基本的合唱</w:t>
            </w:r>
            <w:r>
              <w:rPr>
                <w:rFonts w:hint="eastAsia" w:ascii="楷体" w:hAnsi="楷体" w:eastAsia="楷体" w:cs="楷体"/>
                <w:color w:val="auto"/>
                <w:kern w:val="0"/>
                <w:sz w:val="21"/>
                <w:szCs w:val="21"/>
                <w:lang w:val="en-US" w:eastAsia="zh-CN"/>
              </w:rPr>
              <w:t>指挥</w:t>
            </w:r>
            <w:r>
              <w:rPr>
                <w:rFonts w:hint="eastAsia" w:ascii="楷体" w:hAnsi="楷体" w:eastAsia="楷体" w:cs="楷体"/>
                <w:color w:val="auto"/>
                <w:kern w:val="0"/>
                <w:sz w:val="21"/>
                <w:szCs w:val="21"/>
              </w:rPr>
              <w:t>理论知识</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rPr>
              <w:t>未能很好掌握基本的合唱</w:t>
            </w:r>
            <w:r>
              <w:rPr>
                <w:rFonts w:hint="eastAsia" w:ascii="楷体" w:hAnsi="楷体" w:eastAsia="楷体" w:cs="楷体"/>
                <w:color w:val="auto"/>
                <w:kern w:val="0"/>
                <w:sz w:val="21"/>
                <w:szCs w:val="21"/>
                <w:lang w:val="en-US" w:eastAsia="zh-CN"/>
              </w:rPr>
              <w:t>指挥</w:t>
            </w:r>
            <w:r>
              <w:rPr>
                <w:rFonts w:hint="eastAsia" w:ascii="楷体" w:hAnsi="楷体" w:eastAsia="楷体" w:cs="楷体"/>
                <w:color w:val="auto"/>
                <w:kern w:val="0"/>
                <w:sz w:val="21"/>
                <w:szCs w:val="21"/>
              </w:rPr>
              <w:t>音乐素质，其中包括适应多种音乐风格和表现需要的音准感、节奏感、音律感、声部谐和感、咬字行腔方法以及与音乐情绪表现相关的各种</w:t>
            </w:r>
            <w:r>
              <w:rPr>
                <w:rFonts w:hint="eastAsia" w:ascii="楷体" w:hAnsi="楷体" w:eastAsia="楷体" w:cs="楷体"/>
                <w:color w:val="auto"/>
                <w:kern w:val="0"/>
                <w:sz w:val="21"/>
                <w:szCs w:val="21"/>
                <w:lang w:val="en-US" w:eastAsia="zh-CN"/>
              </w:rPr>
              <w:t>科学发声方法</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lang w:val="en-US" w:eastAsia="zh-CN"/>
              </w:rPr>
              <w:t>其次，</w:t>
            </w:r>
            <w:r>
              <w:rPr>
                <w:rFonts w:hint="eastAsia" w:ascii="楷体" w:hAnsi="楷体" w:eastAsia="楷体" w:cs="楷体"/>
                <w:color w:val="auto"/>
                <w:kern w:val="0"/>
                <w:sz w:val="21"/>
                <w:szCs w:val="21"/>
              </w:rPr>
              <w:t>未能很好掌握</w:t>
            </w:r>
            <w:r>
              <w:rPr>
                <w:rFonts w:hint="eastAsia" w:ascii="楷体" w:hAnsi="楷体" w:eastAsia="楷体" w:cs="楷体"/>
                <w:color w:val="auto"/>
                <w:kern w:val="0"/>
                <w:sz w:val="21"/>
                <w:szCs w:val="21"/>
                <w:lang w:val="en-US" w:eastAsia="zh-CN"/>
              </w:rPr>
              <w:t>基本的合唱指挥技能技巧</w:t>
            </w:r>
            <w:r>
              <w:rPr>
                <w:rFonts w:hint="eastAsia" w:ascii="楷体" w:hAnsi="楷体" w:eastAsia="楷体" w:cs="楷体"/>
                <w:color w:val="auto"/>
                <w:kern w:val="0"/>
                <w:sz w:val="21"/>
                <w:szCs w:val="21"/>
              </w:rPr>
              <w:t>，并具有不同风格合唱作品的艺术处理能力</w:t>
            </w:r>
            <w:r>
              <w:rPr>
                <w:rFonts w:hint="eastAsia" w:ascii="楷体" w:hAnsi="楷体" w:eastAsia="楷体" w:cs="楷体"/>
                <w:color w:val="auto"/>
                <w:kern w:val="0"/>
                <w:sz w:val="21"/>
                <w:szCs w:val="21"/>
                <w:lang w:eastAsia="zh-CN"/>
              </w:rPr>
              <w:t>。</w:t>
            </w:r>
          </w:p>
          <w:p w14:paraId="7D29ACC8">
            <w:pPr>
              <w:widowControl/>
              <w:adjustRightInd w:val="0"/>
              <w:snapToGrid w:val="0"/>
              <w:ind w:firstLine="420" w:firstLineChars="200"/>
              <w:rPr>
                <w:rFonts w:hint="eastAsia" w:ascii="楷体" w:hAnsi="楷体" w:eastAsia="楷体" w:cs="楷体"/>
                <w:color w:val="auto"/>
                <w:kern w:val="0"/>
                <w:sz w:val="21"/>
                <w:szCs w:val="21"/>
              </w:rPr>
            </w:pPr>
          </w:p>
        </w:tc>
      </w:tr>
      <w:tr w14:paraId="4B34212D">
        <w:trPr>
          <w:trHeight w:val="416" w:hRule="atLeast"/>
          <w:jc w:val="center"/>
        </w:trPr>
        <w:tc>
          <w:tcPr>
            <w:tcW w:w="0" w:type="auto"/>
            <w:noWrap w:val="0"/>
            <w:vAlign w:val="top"/>
          </w:tcPr>
          <w:p w14:paraId="62B89DDA">
            <w:pPr>
              <w:widowControl/>
              <w:adjustRightInd w:val="0"/>
              <w:snapToGrid w:val="0"/>
              <w:ind w:firstLine="420" w:firstLineChars="200"/>
              <w:rPr>
                <w:rFonts w:hint="eastAsia" w:ascii="楷体" w:hAnsi="楷体" w:eastAsia="楷体" w:cs="楷体"/>
                <w:color w:val="auto"/>
                <w:kern w:val="0"/>
                <w:sz w:val="21"/>
                <w:szCs w:val="21"/>
              </w:rPr>
            </w:pPr>
            <w:r>
              <w:rPr>
                <w:rFonts w:hint="eastAsia" w:ascii="楷体" w:hAnsi="楷体" w:eastAsia="楷体" w:cs="楷体"/>
                <w:color w:val="auto"/>
                <w:kern w:val="0"/>
                <w:sz w:val="21"/>
                <w:szCs w:val="21"/>
              </w:rPr>
              <w:t>课程目标2.</w:t>
            </w:r>
          </w:p>
          <w:p w14:paraId="04BEF511">
            <w:pPr>
              <w:widowControl/>
              <w:adjustRightInd w:val="0"/>
              <w:snapToGrid w:val="0"/>
              <w:ind w:firstLine="420" w:firstLineChars="200"/>
              <w:rPr>
                <w:rFonts w:hint="eastAsia" w:ascii="楷体" w:hAnsi="楷体" w:eastAsia="楷体" w:cs="楷体"/>
                <w:color w:val="auto"/>
                <w:kern w:val="0"/>
                <w:sz w:val="21"/>
                <w:szCs w:val="21"/>
              </w:rPr>
            </w:pPr>
            <w:r>
              <w:rPr>
                <w:rFonts w:hint="eastAsia" w:ascii="楷体" w:hAnsi="楷体" w:eastAsia="楷体" w:cs="楷体"/>
                <w:color w:val="auto"/>
                <w:kern w:val="0"/>
                <w:sz w:val="21"/>
                <w:szCs w:val="21"/>
                <w:lang w:val="en-US" w:eastAsia="zh-CN"/>
              </w:rPr>
              <w:t>比较熟练使用合唱</w:t>
            </w:r>
            <w:r>
              <w:rPr>
                <w:rFonts w:hint="eastAsia" w:ascii="楷体" w:hAnsi="楷体" w:eastAsia="楷体" w:cs="楷体"/>
                <w:color w:val="auto"/>
                <w:kern w:val="0"/>
                <w:sz w:val="21"/>
                <w:szCs w:val="21"/>
              </w:rPr>
              <w:t>指挥</w:t>
            </w:r>
            <w:r>
              <w:rPr>
                <w:rFonts w:hint="eastAsia" w:ascii="楷体" w:hAnsi="楷体" w:eastAsia="楷体" w:cs="楷体"/>
                <w:color w:val="auto"/>
                <w:kern w:val="0"/>
                <w:sz w:val="21"/>
                <w:szCs w:val="21"/>
                <w:lang w:val="en-US" w:eastAsia="zh-CN"/>
              </w:rPr>
              <w:t>基本</w:t>
            </w:r>
            <w:r>
              <w:rPr>
                <w:rFonts w:hint="eastAsia" w:ascii="楷体" w:hAnsi="楷体" w:eastAsia="楷体" w:cs="楷体"/>
                <w:color w:val="auto"/>
                <w:kern w:val="0"/>
                <w:sz w:val="21"/>
                <w:szCs w:val="21"/>
              </w:rPr>
              <w:t>技术，</w:t>
            </w:r>
            <w:r>
              <w:rPr>
                <w:rFonts w:hint="eastAsia" w:ascii="楷体" w:hAnsi="楷体" w:eastAsia="楷体" w:cs="楷体"/>
                <w:color w:val="auto"/>
                <w:kern w:val="0"/>
                <w:sz w:val="21"/>
                <w:szCs w:val="21"/>
                <w:lang w:val="en-US" w:eastAsia="zh-CN"/>
              </w:rPr>
              <w:t>运</w:t>
            </w:r>
            <w:r>
              <w:rPr>
                <w:rFonts w:hint="eastAsia" w:ascii="楷体" w:hAnsi="楷体" w:eastAsia="楷体" w:cs="楷体"/>
                <w:color w:val="auto"/>
                <w:kern w:val="0"/>
                <w:sz w:val="21"/>
                <w:szCs w:val="21"/>
              </w:rPr>
              <w:t>用科学的方法和手段将作品的思想性与艺术性体现在舞台上</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rPr>
              <w:t>（支撑毕业要求</w:t>
            </w:r>
            <w:r>
              <w:rPr>
                <w:rFonts w:hint="eastAsia" w:ascii="楷体" w:hAnsi="楷体" w:eastAsia="楷体" w:cs="楷体"/>
                <w:color w:val="auto"/>
                <w:kern w:val="0"/>
                <w:sz w:val="21"/>
                <w:szCs w:val="21"/>
                <w:lang w:val="en-US" w:eastAsia="zh-CN"/>
              </w:rPr>
              <w:t>4</w:t>
            </w:r>
            <w:r>
              <w:rPr>
                <w:rFonts w:hint="eastAsia" w:ascii="楷体" w:hAnsi="楷体" w:eastAsia="楷体" w:cs="楷体"/>
                <w:color w:val="auto"/>
                <w:kern w:val="0"/>
                <w:sz w:val="21"/>
                <w:szCs w:val="21"/>
              </w:rPr>
              <w:t>.</w:t>
            </w:r>
            <w:r>
              <w:rPr>
                <w:rFonts w:hint="eastAsia" w:ascii="楷体" w:hAnsi="楷体" w:eastAsia="楷体" w:cs="楷体"/>
                <w:color w:val="auto"/>
                <w:kern w:val="0"/>
                <w:sz w:val="21"/>
                <w:szCs w:val="21"/>
                <w:lang w:val="en-US" w:eastAsia="zh-CN"/>
              </w:rPr>
              <w:t>2</w:t>
            </w:r>
            <w:r>
              <w:rPr>
                <w:rFonts w:hint="eastAsia" w:ascii="楷体" w:hAnsi="楷体" w:eastAsia="楷体" w:cs="楷体"/>
                <w:color w:val="auto"/>
                <w:kern w:val="0"/>
                <w:sz w:val="21"/>
                <w:szCs w:val="21"/>
              </w:rPr>
              <w:t>）</w:t>
            </w:r>
          </w:p>
          <w:p w14:paraId="57B9BDC7">
            <w:pPr>
              <w:widowControl/>
              <w:adjustRightInd w:val="0"/>
              <w:snapToGrid w:val="0"/>
              <w:ind w:firstLine="420" w:firstLineChars="200"/>
              <w:rPr>
                <w:rFonts w:hint="eastAsia" w:ascii="楷体" w:hAnsi="楷体" w:eastAsia="楷体" w:cs="楷体"/>
                <w:color w:val="auto"/>
                <w:kern w:val="0"/>
                <w:sz w:val="21"/>
                <w:szCs w:val="21"/>
              </w:rPr>
            </w:pPr>
            <w:r>
              <w:rPr>
                <w:rFonts w:hint="eastAsia" w:ascii="楷体" w:hAnsi="楷体" w:eastAsia="楷体" w:cs="楷体"/>
                <w:color w:val="auto"/>
                <w:kern w:val="0"/>
                <w:sz w:val="21"/>
                <w:szCs w:val="21"/>
              </w:rPr>
              <w:t>知晓</w:t>
            </w:r>
            <w:r>
              <w:rPr>
                <w:rFonts w:hint="eastAsia" w:ascii="楷体" w:hAnsi="楷体" w:eastAsia="楷体" w:cs="楷体"/>
                <w:color w:val="auto"/>
                <w:kern w:val="0"/>
                <w:sz w:val="21"/>
                <w:szCs w:val="21"/>
                <w:lang w:val="en-US" w:eastAsia="zh-CN"/>
              </w:rPr>
              <w:t>合唱指挥</w:t>
            </w:r>
            <w:r>
              <w:rPr>
                <w:rFonts w:hint="eastAsia" w:ascii="楷体" w:hAnsi="楷体" w:eastAsia="楷体" w:cs="楷体"/>
                <w:color w:val="auto"/>
                <w:kern w:val="0"/>
                <w:sz w:val="21"/>
                <w:szCs w:val="21"/>
              </w:rPr>
              <w:t>发展的趋势、动态以及与</w:t>
            </w:r>
            <w:r>
              <w:rPr>
                <w:rFonts w:hint="eastAsia" w:ascii="楷体" w:hAnsi="楷体" w:eastAsia="楷体" w:cs="楷体"/>
                <w:color w:val="auto"/>
                <w:kern w:val="0"/>
                <w:sz w:val="21"/>
                <w:szCs w:val="21"/>
                <w:lang w:val="en-US" w:eastAsia="zh-CN"/>
              </w:rPr>
              <w:t>合唱指挥教学</w:t>
            </w:r>
            <w:r>
              <w:rPr>
                <w:rFonts w:hint="eastAsia" w:ascii="楷体" w:hAnsi="楷体" w:eastAsia="楷体" w:cs="楷体"/>
                <w:color w:val="auto"/>
                <w:kern w:val="0"/>
                <w:sz w:val="21"/>
                <w:szCs w:val="21"/>
              </w:rPr>
              <w:t>的联系</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lang w:val="en-US" w:eastAsia="zh-CN"/>
              </w:rPr>
              <w:t>进行课堂教学和开展课外活动。</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rPr>
              <w:t>支撑毕业要求</w:t>
            </w:r>
            <w:r>
              <w:rPr>
                <w:rFonts w:hint="eastAsia" w:ascii="楷体" w:hAnsi="楷体" w:eastAsia="楷体" w:cs="楷体"/>
                <w:color w:val="auto"/>
                <w:kern w:val="0"/>
                <w:sz w:val="21"/>
                <w:szCs w:val="21"/>
                <w:lang w:val="en-US" w:eastAsia="zh-CN"/>
              </w:rPr>
              <w:t>4</w:t>
            </w:r>
            <w:r>
              <w:rPr>
                <w:rFonts w:hint="eastAsia" w:ascii="楷体" w:hAnsi="楷体" w:eastAsia="楷体" w:cs="楷体"/>
                <w:color w:val="auto"/>
                <w:kern w:val="0"/>
                <w:sz w:val="21"/>
                <w:szCs w:val="21"/>
              </w:rPr>
              <w:t>.</w:t>
            </w:r>
            <w:r>
              <w:rPr>
                <w:rFonts w:hint="eastAsia" w:ascii="楷体" w:hAnsi="楷体" w:eastAsia="楷体" w:cs="楷体"/>
                <w:color w:val="auto"/>
                <w:kern w:val="0"/>
                <w:sz w:val="21"/>
                <w:szCs w:val="21"/>
                <w:lang w:val="en-US" w:eastAsia="zh-CN"/>
              </w:rPr>
              <w:t>3</w:t>
            </w:r>
            <w:r>
              <w:rPr>
                <w:rFonts w:hint="eastAsia" w:ascii="楷体" w:hAnsi="楷体" w:eastAsia="楷体" w:cs="楷体"/>
                <w:color w:val="auto"/>
                <w:kern w:val="0"/>
                <w:sz w:val="21"/>
                <w:szCs w:val="21"/>
              </w:rPr>
              <w:t>）</w:t>
            </w:r>
          </w:p>
        </w:tc>
        <w:tc>
          <w:tcPr>
            <w:tcW w:w="0" w:type="auto"/>
            <w:noWrap w:val="0"/>
            <w:vAlign w:val="top"/>
          </w:tcPr>
          <w:p w14:paraId="5439BBCF">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rPr>
              <w:t>能够扎实地掌握纯熟的</w:t>
            </w:r>
            <w:r>
              <w:rPr>
                <w:rFonts w:hint="eastAsia" w:ascii="楷体" w:hAnsi="楷体" w:eastAsia="楷体" w:cs="楷体"/>
                <w:color w:val="auto"/>
                <w:kern w:val="0"/>
                <w:sz w:val="21"/>
                <w:szCs w:val="21"/>
                <w:lang w:val="en-US" w:eastAsia="zh-CN"/>
              </w:rPr>
              <w:t>合唱</w:t>
            </w:r>
            <w:r>
              <w:rPr>
                <w:rFonts w:hint="eastAsia" w:ascii="楷体" w:hAnsi="楷体" w:eastAsia="楷体" w:cs="楷体"/>
                <w:color w:val="auto"/>
                <w:kern w:val="0"/>
                <w:sz w:val="21"/>
                <w:szCs w:val="21"/>
              </w:rPr>
              <w:t>指挥</w:t>
            </w:r>
            <w:r>
              <w:rPr>
                <w:rFonts w:hint="eastAsia" w:ascii="楷体" w:hAnsi="楷体" w:eastAsia="楷体" w:cs="楷体"/>
                <w:color w:val="auto"/>
                <w:kern w:val="0"/>
                <w:sz w:val="21"/>
                <w:szCs w:val="21"/>
                <w:lang w:val="en-US" w:eastAsia="zh-CN"/>
              </w:rPr>
              <w:t>基本</w:t>
            </w:r>
            <w:r>
              <w:rPr>
                <w:rFonts w:hint="eastAsia" w:ascii="楷体" w:hAnsi="楷体" w:eastAsia="楷体" w:cs="楷体"/>
                <w:color w:val="auto"/>
                <w:kern w:val="0"/>
                <w:sz w:val="21"/>
                <w:szCs w:val="21"/>
              </w:rPr>
              <w:t>技术，</w:t>
            </w:r>
            <w:r>
              <w:rPr>
                <w:rFonts w:hint="eastAsia" w:ascii="楷体" w:hAnsi="楷体" w:eastAsia="楷体" w:cs="楷体"/>
                <w:color w:val="auto"/>
                <w:kern w:val="0"/>
                <w:sz w:val="21"/>
                <w:szCs w:val="21"/>
                <w:lang w:val="en-US" w:eastAsia="zh-CN"/>
              </w:rPr>
              <w:t>运</w:t>
            </w:r>
            <w:r>
              <w:rPr>
                <w:rFonts w:hint="eastAsia" w:ascii="楷体" w:hAnsi="楷体" w:eastAsia="楷体" w:cs="楷体"/>
                <w:color w:val="auto"/>
                <w:kern w:val="0"/>
                <w:sz w:val="21"/>
                <w:szCs w:val="21"/>
              </w:rPr>
              <w:t>用科学的方法和手段将作品的思想性与艺术性体现在舞台上</w:t>
            </w:r>
            <w:r>
              <w:rPr>
                <w:rFonts w:hint="eastAsia" w:ascii="楷体" w:hAnsi="楷体" w:eastAsia="楷体" w:cs="楷体"/>
                <w:color w:val="auto"/>
                <w:kern w:val="0"/>
                <w:sz w:val="21"/>
                <w:szCs w:val="21"/>
                <w:lang w:eastAsia="zh-CN"/>
              </w:rPr>
              <w:t>。</w:t>
            </w:r>
          </w:p>
          <w:p w14:paraId="588770F0">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lang w:val="en-US" w:eastAsia="zh-CN"/>
              </w:rPr>
              <w:t>很</w:t>
            </w:r>
            <w:r>
              <w:rPr>
                <w:rFonts w:hint="eastAsia" w:ascii="楷体" w:hAnsi="楷体" w:eastAsia="楷体" w:cs="楷体"/>
                <w:color w:val="auto"/>
                <w:kern w:val="0"/>
                <w:sz w:val="21"/>
                <w:szCs w:val="21"/>
              </w:rPr>
              <w:t>好的知晓</w:t>
            </w:r>
            <w:r>
              <w:rPr>
                <w:rFonts w:hint="eastAsia" w:ascii="楷体" w:hAnsi="楷体" w:eastAsia="楷体" w:cs="楷体"/>
                <w:color w:val="auto"/>
                <w:kern w:val="0"/>
                <w:sz w:val="21"/>
                <w:szCs w:val="21"/>
                <w:lang w:val="en-US" w:eastAsia="zh-CN"/>
              </w:rPr>
              <w:t>合唱指挥</w:t>
            </w:r>
            <w:r>
              <w:rPr>
                <w:rFonts w:hint="eastAsia" w:ascii="楷体" w:hAnsi="楷体" w:eastAsia="楷体" w:cs="楷体"/>
                <w:color w:val="auto"/>
                <w:kern w:val="0"/>
                <w:sz w:val="21"/>
                <w:szCs w:val="21"/>
              </w:rPr>
              <w:t>发展的趋势、动态以及与</w:t>
            </w:r>
            <w:r>
              <w:rPr>
                <w:rFonts w:hint="eastAsia" w:ascii="楷体" w:hAnsi="楷体" w:eastAsia="楷体" w:cs="楷体"/>
                <w:color w:val="auto"/>
                <w:kern w:val="0"/>
                <w:sz w:val="21"/>
                <w:szCs w:val="21"/>
                <w:lang w:val="en-US" w:eastAsia="zh-CN"/>
              </w:rPr>
              <w:t>合唱指挥教学</w:t>
            </w:r>
            <w:r>
              <w:rPr>
                <w:rFonts w:hint="eastAsia" w:ascii="楷体" w:hAnsi="楷体" w:eastAsia="楷体" w:cs="楷体"/>
                <w:color w:val="auto"/>
                <w:kern w:val="0"/>
                <w:sz w:val="21"/>
                <w:szCs w:val="21"/>
              </w:rPr>
              <w:t>的联系</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lang w:val="en-US" w:eastAsia="zh-CN"/>
              </w:rPr>
              <w:t>进行课堂教学和开展课外活动</w:t>
            </w:r>
            <w:r>
              <w:rPr>
                <w:rFonts w:hint="eastAsia" w:ascii="楷体" w:hAnsi="楷体" w:eastAsia="楷体" w:cs="楷体"/>
                <w:color w:val="auto"/>
                <w:kern w:val="0"/>
                <w:sz w:val="21"/>
                <w:szCs w:val="21"/>
              </w:rPr>
              <w:t>质量高</w:t>
            </w:r>
            <w:r>
              <w:rPr>
                <w:rFonts w:hint="eastAsia" w:ascii="楷体" w:hAnsi="楷体" w:eastAsia="楷体" w:cs="楷体"/>
                <w:color w:val="auto"/>
                <w:kern w:val="0"/>
                <w:sz w:val="21"/>
                <w:szCs w:val="21"/>
                <w:lang w:val="en-US" w:eastAsia="zh-CN"/>
              </w:rPr>
              <w:t>。</w:t>
            </w:r>
          </w:p>
          <w:p w14:paraId="62CD4EE8">
            <w:pPr>
              <w:widowControl/>
              <w:adjustRightInd w:val="0"/>
              <w:snapToGrid w:val="0"/>
              <w:ind w:firstLine="420" w:firstLineChars="200"/>
              <w:rPr>
                <w:rFonts w:hint="eastAsia" w:ascii="楷体" w:hAnsi="楷体" w:eastAsia="楷体" w:cs="楷体"/>
                <w:color w:val="auto"/>
                <w:kern w:val="0"/>
                <w:sz w:val="21"/>
                <w:szCs w:val="21"/>
                <w:lang w:eastAsia="zh-CN"/>
              </w:rPr>
            </w:pPr>
          </w:p>
        </w:tc>
        <w:tc>
          <w:tcPr>
            <w:tcW w:w="0" w:type="auto"/>
            <w:noWrap w:val="0"/>
            <w:vAlign w:val="top"/>
          </w:tcPr>
          <w:p w14:paraId="7CE6F671">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lang w:val="en-US" w:eastAsia="zh-CN"/>
              </w:rPr>
              <w:t>能够</w:t>
            </w:r>
            <w:r>
              <w:rPr>
                <w:rFonts w:hint="eastAsia" w:ascii="楷体" w:hAnsi="楷体" w:eastAsia="楷体" w:cs="楷体"/>
                <w:color w:val="auto"/>
                <w:kern w:val="0"/>
                <w:sz w:val="21"/>
                <w:szCs w:val="21"/>
              </w:rPr>
              <w:t>掌握纯熟的</w:t>
            </w:r>
            <w:r>
              <w:rPr>
                <w:rFonts w:hint="eastAsia" w:ascii="楷体" w:hAnsi="楷体" w:eastAsia="楷体" w:cs="楷体"/>
                <w:color w:val="auto"/>
                <w:kern w:val="0"/>
                <w:sz w:val="21"/>
                <w:szCs w:val="21"/>
                <w:lang w:val="en-US" w:eastAsia="zh-CN"/>
              </w:rPr>
              <w:t>合唱</w:t>
            </w:r>
            <w:r>
              <w:rPr>
                <w:rFonts w:hint="eastAsia" w:ascii="楷体" w:hAnsi="楷体" w:eastAsia="楷体" w:cs="楷体"/>
                <w:color w:val="auto"/>
                <w:kern w:val="0"/>
                <w:sz w:val="21"/>
                <w:szCs w:val="21"/>
              </w:rPr>
              <w:t>指挥</w:t>
            </w:r>
            <w:r>
              <w:rPr>
                <w:rFonts w:hint="eastAsia" w:ascii="楷体" w:hAnsi="楷体" w:eastAsia="楷体" w:cs="楷体"/>
                <w:color w:val="auto"/>
                <w:kern w:val="0"/>
                <w:sz w:val="21"/>
                <w:szCs w:val="21"/>
                <w:lang w:val="en-US" w:eastAsia="zh-CN"/>
              </w:rPr>
              <w:t>基本</w:t>
            </w:r>
            <w:r>
              <w:rPr>
                <w:rFonts w:hint="eastAsia" w:ascii="楷体" w:hAnsi="楷体" w:eastAsia="楷体" w:cs="楷体"/>
                <w:color w:val="auto"/>
                <w:kern w:val="0"/>
                <w:sz w:val="21"/>
                <w:szCs w:val="21"/>
              </w:rPr>
              <w:t>技术，</w:t>
            </w:r>
            <w:r>
              <w:rPr>
                <w:rFonts w:hint="eastAsia" w:ascii="楷体" w:hAnsi="楷体" w:eastAsia="楷体" w:cs="楷体"/>
                <w:color w:val="auto"/>
                <w:kern w:val="0"/>
                <w:sz w:val="21"/>
                <w:szCs w:val="21"/>
                <w:lang w:val="en-US" w:eastAsia="zh-CN"/>
              </w:rPr>
              <w:t>运</w:t>
            </w:r>
            <w:r>
              <w:rPr>
                <w:rFonts w:hint="eastAsia" w:ascii="楷体" w:hAnsi="楷体" w:eastAsia="楷体" w:cs="楷体"/>
                <w:color w:val="auto"/>
                <w:kern w:val="0"/>
                <w:sz w:val="21"/>
                <w:szCs w:val="21"/>
              </w:rPr>
              <w:t>用科学的方法和手段将作品的思想性与艺术性体现在舞台上</w:t>
            </w:r>
            <w:r>
              <w:rPr>
                <w:rFonts w:hint="eastAsia" w:ascii="楷体" w:hAnsi="楷体" w:eastAsia="楷体" w:cs="楷体"/>
                <w:color w:val="auto"/>
                <w:kern w:val="0"/>
                <w:sz w:val="21"/>
                <w:szCs w:val="21"/>
                <w:lang w:eastAsia="zh-CN"/>
              </w:rPr>
              <w:t>。</w:t>
            </w:r>
          </w:p>
          <w:p w14:paraId="055230AE">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lang w:val="en-US" w:eastAsia="zh-CN"/>
              </w:rPr>
              <w:t>较</w:t>
            </w:r>
            <w:r>
              <w:rPr>
                <w:rFonts w:hint="eastAsia" w:ascii="楷体" w:hAnsi="楷体" w:eastAsia="楷体" w:cs="楷体"/>
                <w:color w:val="auto"/>
                <w:kern w:val="0"/>
                <w:sz w:val="21"/>
                <w:szCs w:val="21"/>
              </w:rPr>
              <w:t>好的知晓</w:t>
            </w:r>
            <w:r>
              <w:rPr>
                <w:rFonts w:hint="eastAsia" w:ascii="楷体" w:hAnsi="楷体" w:eastAsia="楷体" w:cs="楷体"/>
                <w:color w:val="auto"/>
                <w:kern w:val="0"/>
                <w:sz w:val="21"/>
                <w:szCs w:val="21"/>
                <w:lang w:val="en-US" w:eastAsia="zh-CN"/>
              </w:rPr>
              <w:t>合唱指挥</w:t>
            </w:r>
            <w:r>
              <w:rPr>
                <w:rFonts w:hint="eastAsia" w:ascii="楷体" w:hAnsi="楷体" w:eastAsia="楷体" w:cs="楷体"/>
                <w:color w:val="auto"/>
                <w:kern w:val="0"/>
                <w:sz w:val="21"/>
                <w:szCs w:val="21"/>
              </w:rPr>
              <w:t>发展的趋势、动态以及与</w:t>
            </w:r>
            <w:r>
              <w:rPr>
                <w:rFonts w:hint="eastAsia" w:ascii="楷体" w:hAnsi="楷体" w:eastAsia="楷体" w:cs="楷体"/>
                <w:color w:val="auto"/>
                <w:kern w:val="0"/>
                <w:sz w:val="21"/>
                <w:szCs w:val="21"/>
                <w:lang w:val="en-US" w:eastAsia="zh-CN"/>
              </w:rPr>
              <w:t>合唱指挥教学</w:t>
            </w:r>
            <w:r>
              <w:rPr>
                <w:rFonts w:hint="eastAsia" w:ascii="楷体" w:hAnsi="楷体" w:eastAsia="楷体" w:cs="楷体"/>
                <w:color w:val="auto"/>
                <w:kern w:val="0"/>
                <w:sz w:val="21"/>
                <w:szCs w:val="21"/>
              </w:rPr>
              <w:t>的联系</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lang w:val="en-US" w:eastAsia="zh-CN"/>
              </w:rPr>
              <w:t>进行课堂教学和开展课外活动</w:t>
            </w:r>
            <w:r>
              <w:rPr>
                <w:rFonts w:hint="eastAsia" w:ascii="楷体" w:hAnsi="楷体" w:eastAsia="楷体" w:cs="楷体"/>
                <w:color w:val="auto"/>
                <w:kern w:val="0"/>
                <w:sz w:val="21"/>
                <w:szCs w:val="21"/>
              </w:rPr>
              <w:t>质量较高</w:t>
            </w:r>
            <w:r>
              <w:rPr>
                <w:rFonts w:hint="eastAsia" w:ascii="楷体" w:hAnsi="楷体" w:eastAsia="楷体" w:cs="楷体"/>
                <w:color w:val="auto"/>
                <w:kern w:val="0"/>
                <w:sz w:val="21"/>
                <w:szCs w:val="21"/>
                <w:lang w:val="en-US" w:eastAsia="zh-CN"/>
              </w:rPr>
              <w:t>。</w:t>
            </w:r>
          </w:p>
        </w:tc>
        <w:tc>
          <w:tcPr>
            <w:tcW w:w="0" w:type="auto"/>
            <w:noWrap w:val="0"/>
            <w:vAlign w:val="top"/>
          </w:tcPr>
          <w:p w14:paraId="571D8D69">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rPr>
              <w:t>能够基本掌握纯熟的</w:t>
            </w:r>
            <w:r>
              <w:rPr>
                <w:rFonts w:hint="eastAsia" w:ascii="楷体" w:hAnsi="楷体" w:eastAsia="楷体" w:cs="楷体"/>
                <w:color w:val="auto"/>
                <w:kern w:val="0"/>
                <w:sz w:val="21"/>
                <w:szCs w:val="21"/>
                <w:lang w:val="en-US" w:eastAsia="zh-CN"/>
              </w:rPr>
              <w:t>合唱</w:t>
            </w:r>
            <w:r>
              <w:rPr>
                <w:rFonts w:hint="eastAsia" w:ascii="楷体" w:hAnsi="楷体" w:eastAsia="楷体" w:cs="楷体"/>
                <w:color w:val="auto"/>
                <w:kern w:val="0"/>
                <w:sz w:val="21"/>
                <w:szCs w:val="21"/>
              </w:rPr>
              <w:t>指挥</w:t>
            </w:r>
            <w:r>
              <w:rPr>
                <w:rFonts w:hint="eastAsia" w:ascii="楷体" w:hAnsi="楷体" w:eastAsia="楷体" w:cs="楷体"/>
                <w:color w:val="auto"/>
                <w:kern w:val="0"/>
                <w:sz w:val="21"/>
                <w:szCs w:val="21"/>
                <w:lang w:val="en-US" w:eastAsia="zh-CN"/>
              </w:rPr>
              <w:t>基本</w:t>
            </w:r>
            <w:r>
              <w:rPr>
                <w:rFonts w:hint="eastAsia" w:ascii="楷体" w:hAnsi="楷体" w:eastAsia="楷体" w:cs="楷体"/>
                <w:color w:val="auto"/>
                <w:kern w:val="0"/>
                <w:sz w:val="21"/>
                <w:szCs w:val="21"/>
              </w:rPr>
              <w:t>技术，</w:t>
            </w:r>
            <w:r>
              <w:rPr>
                <w:rFonts w:hint="eastAsia" w:ascii="楷体" w:hAnsi="楷体" w:eastAsia="楷体" w:cs="楷体"/>
                <w:color w:val="auto"/>
                <w:kern w:val="0"/>
                <w:sz w:val="21"/>
                <w:szCs w:val="21"/>
                <w:lang w:val="en-US" w:eastAsia="zh-CN"/>
              </w:rPr>
              <w:t>运</w:t>
            </w:r>
            <w:r>
              <w:rPr>
                <w:rFonts w:hint="eastAsia" w:ascii="楷体" w:hAnsi="楷体" w:eastAsia="楷体" w:cs="楷体"/>
                <w:color w:val="auto"/>
                <w:kern w:val="0"/>
                <w:sz w:val="21"/>
                <w:szCs w:val="21"/>
              </w:rPr>
              <w:t>用科学的方法和手段将作品的思想性与艺术性体现在舞台上</w:t>
            </w:r>
            <w:r>
              <w:rPr>
                <w:rFonts w:hint="eastAsia" w:ascii="楷体" w:hAnsi="楷体" w:eastAsia="楷体" w:cs="楷体"/>
                <w:color w:val="auto"/>
                <w:kern w:val="0"/>
                <w:sz w:val="21"/>
                <w:szCs w:val="21"/>
                <w:lang w:eastAsia="zh-CN"/>
              </w:rPr>
              <w:t>。</w:t>
            </w:r>
          </w:p>
          <w:p w14:paraId="78CE04DD">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rPr>
              <w:t>知晓</w:t>
            </w:r>
            <w:r>
              <w:rPr>
                <w:rFonts w:hint="eastAsia" w:ascii="楷体" w:hAnsi="楷体" w:eastAsia="楷体" w:cs="楷体"/>
                <w:color w:val="auto"/>
                <w:kern w:val="0"/>
                <w:sz w:val="21"/>
                <w:szCs w:val="21"/>
                <w:lang w:val="en-US" w:eastAsia="zh-CN"/>
              </w:rPr>
              <w:t>合唱指挥</w:t>
            </w:r>
            <w:r>
              <w:rPr>
                <w:rFonts w:hint="eastAsia" w:ascii="楷体" w:hAnsi="楷体" w:eastAsia="楷体" w:cs="楷体"/>
                <w:color w:val="auto"/>
                <w:kern w:val="0"/>
                <w:sz w:val="21"/>
                <w:szCs w:val="21"/>
              </w:rPr>
              <w:t>发展的趋势、动态以及与</w:t>
            </w:r>
            <w:r>
              <w:rPr>
                <w:rFonts w:hint="eastAsia" w:ascii="楷体" w:hAnsi="楷体" w:eastAsia="楷体" w:cs="楷体"/>
                <w:color w:val="auto"/>
                <w:kern w:val="0"/>
                <w:sz w:val="21"/>
                <w:szCs w:val="21"/>
                <w:lang w:val="en-US" w:eastAsia="zh-CN"/>
              </w:rPr>
              <w:t>合唱指挥教学</w:t>
            </w:r>
            <w:r>
              <w:rPr>
                <w:rFonts w:hint="eastAsia" w:ascii="楷体" w:hAnsi="楷体" w:eastAsia="楷体" w:cs="楷体"/>
                <w:color w:val="auto"/>
                <w:kern w:val="0"/>
                <w:sz w:val="21"/>
                <w:szCs w:val="21"/>
              </w:rPr>
              <w:t>的联系</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lang w:val="en-US" w:eastAsia="zh-CN"/>
              </w:rPr>
              <w:t>进行课堂教学和开展课外活动</w:t>
            </w:r>
            <w:r>
              <w:rPr>
                <w:rFonts w:hint="eastAsia" w:ascii="楷体" w:hAnsi="楷体" w:eastAsia="楷体" w:cs="楷体"/>
                <w:color w:val="auto"/>
                <w:kern w:val="0"/>
                <w:sz w:val="21"/>
                <w:szCs w:val="21"/>
              </w:rPr>
              <w:t>质量一般</w:t>
            </w:r>
            <w:r>
              <w:rPr>
                <w:rFonts w:hint="eastAsia" w:ascii="楷体" w:hAnsi="楷体" w:eastAsia="楷体" w:cs="楷体"/>
                <w:color w:val="auto"/>
                <w:kern w:val="0"/>
                <w:sz w:val="21"/>
                <w:szCs w:val="21"/>
                <w:lang w:val="en-US" w:eastAsia="zh-CN"/>
              </w:rPr>
              <w:t>。</w:t>
            </w:r>
          </w:p>
        </w:tc>
        <w:tc>
          <w:tcPr>
            <w:tcW w:w="0" w:type="auto"/>
            <w:noWrap w:val="0"/>
            <w:vAlign w:val="top"/>
          </w:tcPr>
          <w:p w14:paraId="536B92DE">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rPr>
              <w:t>能够基本掌握纯熟的</w:t>
            </w:r>
            <w:r>
              <w:rPr>
                <w:rFonts w:hint="eastAsia" w:ascii="楷体" w:hAnsi="楷体" w:eastAsia="楷体" w:cs="楷体"/>
                <w:color w:val="auto"/>
                <w:kern w:val="0"/>
                <w:sz w:val="21"/>
                <w:szCs w:val="21"/>
                <w:lang w:val="en-US" w:eastAsia="zh-CN"/>
              </w:rPr>
              <w:t>合唱</w:t>
            </w:r>
            <w:r>
              <w:rPr>
                <w:rFonts w:hint="eastAsia" w:ascii="楷体" w:hAnsi="楷体" w:eastAsia="楷体" w:cs="楷体"/>
                <w:color w:val="auto"/>
                <w:kern w:val="0"/>
                <w:sz w:val="21"/>
                <w:szCs w:val="21"/>
              </w:rPr>
              <w:t>指挥</w:t>
            </w:r>
            <w:r>
              <w:rPr>
                <w:rFonts w:hint="eastAsia" w:ascii="楷体" w:hAnsi="楷体" w:eastAsia="楷体" w:cs="楷体"/>
                <w:color w:val="auto"/>
                <w:kern w:val="0"/>
                <w:sz w:val="21"/>
                <w:szCs w:val="21"/>
                <w:lang w:val="en-US" w:eastAsia="zh-CN"/>
              </w:rPr>
              <w:t>基本</w:t>
            </w:r>
            <w:r>
              <w:rPr>
                <w:rFonts w:hint="eastAsia" w:ascii="楷体" w:hAnsi="楷体" w:eastAsia="楷体" w:cs="楷体"/>
                <w:color w:val="auto"/>
                <w:kern w:val="0"/>
                <w:sz w:val="21"/>
                <w:szCs w:val="21"/>
              </w:rPr>
              <w:t>技术，</w:t>
            </w:r>
            <w:r>
              <w:rPr>
                <w:rFonts w:hint="eastAsia" w:ascii="楷体" w:hAnsi="楷体" w:eastAsia="楷体" w:cs="楷体"/>
                <w:color w:val="auto"/>
                <w:kern w:val="0"/>
                <w:sz w:val="21"/>
                <w:szCs w:val="21"/>
                <w:lang w:val="en-US" w:eastAsia="zh-CN"/>
              </w:rPr>
              <w:t>运</w:t>
            </w:r>
            <w:r>
              <w:rPr>
                <w:rFonts w:hint="eastAsia" w:ascii="楷体" w:hAnsi="楷体" w:eastAsia="楷体" w:cs="楷体"/>
                <w:color w:val="auto"/>
                <w:kern w:val="0"/>
                <w:sz w:val="21"/>
                <w:szCs w:val="21"/>
              </w:rPr>
              <w:t>用科学的方法和手段将作品的思想性与艺术性体现在舞台上</w:t>
            </w:r>
            <w:r>
              <w:rPr>
                <w:rFonts w:hint="eastAsia" w:ascii="楷体" w:hAnsi="楷体" w:eastAsia="楷体" w:cs="楷体"/>
                <w:color w:val="auto"/>
                <w:kern w:val="0"/>
                <w:sz w:val="21"/>
                <w:szCs w:val="21"/>
                <w:lang w:eastAsia="zh-CN"/>
              </w:rPr>
              <w:t>。</w:t>
            </w:r>
          </w:p>
          <w:p w14:paraId="3D215A67">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rPr>
              <w:t>能够知晓</w:t>
            </w:r>
            <w:r>
              <w:rPr>
                <w:rFonts w:hint="eastAsia" w:ascii="楷体" w:hAnsi="楷体" w:eastAsia="楷体" w:cs="楷体"/>
                <w:color w:val="auto"/>
                <w:kern w:val="0"/>
                <w:sz w:val="21"/>
                <w:szCs w:val="21"/>
                <w:lang w:val="en-US" w:eastAsia="zh-CN"/>
              </w:rPr>
              <w:t>合唱指挥</w:t>
            </w:r>
            <w:r>
              <w:rPr>
                <w:rFonts w:hint="eastAsia" w:ascii="楷体" w:hAnsi="楷体" w:eastAsia="楷体" w:cs="楷体"/>
                <w:color w:val="auto"/>
                <w:kern w:val="0"/>
                <w:sz w:val="21"/>
                <w:szCs w:val="21"/>
              </w:rPr>
              <w:t>发展的趋势、动态以及与</w:t>
            </w:r>
            <w:r>
              <w:rPr>
                <w:rFonts w:hint="eastAsia" w:ascii="楷体" w:hAnsi="楷体" w:eastAsia="楷体" w:cs="楷体"/>
                <w:color w:val="auto"/>
                <w:kern w:val="0"/>
                <w:sz w:val="21"/>
                <w:szCs w:val="21"/>
                <w:lang w:val="en-US" w:eastAsia="zh-CN"/>
              </w:rPr>
              <w:t>合唱指挥教学</w:t>
            </w:r>
            <w:r>
              <w:rPr>
                <w:rFonts w:hint="eastAsia" w:ascii="楷体" w:hAnsi="楷体" w:eastAsia="楷体" w:cs="楷体"/>
                <w:color w:val="auto"/>
                <w:kern w:val="0"/>
                <w:sz w:val="21"/>
                <w:szCs w:val="21"/>
              </w:rPr>
              <w:t>的联系</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lang w:val="en-US" w:eastAsia="zh-CN"/>
              </w:rPr>
              <w:t>进行课堂教学和开展课外活动</w:t>
            </w:r>
            <w:r>
              <w:rPr>
                <w:rFonts w:hint="eastAsia" w:ascii="楷体" w:hAnsi="楷体" w:eastAsia="楷体" w:cs="楷体"/>
                <w:color w:val="auto"/>
                <w:kern w:val="0"/>
                <w:sz w:val="21"/>
                <w:szCs w:val="21"/>
              </w:rPr>
              <w:t>质量一般</w:t>
            </w:r>
            <w:r>
              <w:rPr>
                <w:rFonts w:hint="eastAsia" w:ascii="楷体" w:hAnsi="楷体" w:eastAsia="楷体" w:cs="楷体"/>
                <w:color w:val="auto"/>
                <w:kern w:val="0"/>
                <w:sz w:val="21"/>
                <w:szCs w:val="21"/>
                <w:lang w:val="en-US" w:eastAsia="zh-CN"/>
              </w:rPr>
              <w:t>。</w:t>
            </w:r>
          </w:p>
        </w:tc>
        <w:tc>
          <w:tcPr>
            <w:tcW w:w="0" w:type="auto"/>
            <w:noWrap w:val="0"/>
            <w:vAlign w:val="top"/>
          </w:tcPr>
          <w:p w14:paraId="6728824F">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rPr>
              <w:t>未能很好掌握纯熟的</w:t>
            </w:r>
            <w:r>
              <w:rPr>
                <w:rFonts w:hint="eastAsia" w:ascii="楷体" w:hAnsi="楷体" w:eastAsia="楷体" w:cs="楷体"/>
                <w:color w:val="auto"/>
                <w:kern w:val="0"/>
                <w:sz w:val="21"/>
                <w:szCs w:val="21"/>
                <w:lang w:val="en-US" w:eastAsia="zh-CN"/>
              </w:rPr>
              <w:t>合唱</w:t>
            </w:r>
            <w:r>
              <w:rPr>
                <w:rFonts w:hint="eastAsia" w:ascii="楷体" w:hAnsi="楷体" w:eastAsia="楷体" w:cs="楷体"/>
                <w:color w:val="auto"/>
                <w:kern w:val="0"/>
                <w:sz w:val="21"/>
                <w:szCs w:val="21"/>
              </w:rPr>
              <w:t>指挥</w:t>
            </w:r>
            <w:r>
              <w:rPr>
                <w:rFonts w:hint="eastAsia" w:ascii="楷体" w:hAnsi="楷体" w:eastAsia="楷体" w:cs="楷体"/>
                <w:color w:val="auto"/>
                <w:kern w:val="0"/>
                <w:sz w:val="21"/>
                <w:szCs w:val="21"/>
                <w:lang w:val="en-US" w:eastAsia="zh-CN"/>
              </w:rPr>
              <w:t>基本</w:t>
            </w:r>
            <w:r>
              <w:rPr>
                <w:rFonts w:hint="eastAsia" w:ascii="楷体" w:hAnsi="楷体" w:eastAsia="楷体" w:cs="楷体"/>
                <w:color w:val="auto"/>
                <w:kern w:val="0"/>
                <w:sz w:val="21"/>
                <w:szCs w:val="21"/>
              </w:rPr>
              <w:t>技术，</w:t>
            </w:r>
            <w:r>
              <w:rPr>
                <w:rFonts w:hint="eastAsia" w:ascii="楷体" w:hAnsi="楷体" w:eastAsia="楷体" w:cs="楷体"/>
                <w:color w:val="auto"/>
                <w:kern w:val="0"/>
                <w:sz w:val="21"/>
                <w:szCs w:val="21"/>
                <w:lang w:val="en-US" w:eastAsia="zh-CN"/>
              </w:rPr>
              <w:t>运</w:t>
            </w:r>
            <w:r>
              <w:rPr>
                <w:rFonts w:hint="eastAsia" w:ascii="楷体" w:hAnsi="楷体" w:eastAsia="楷体" w:cs="楷体"/>
                <w:color w:val="auto"/>
                <w:kern w:val="0"/>
                <w:sz w:val="21"/>
                <w:szCs w:val="21"/>
              </w:rPr>
              <w:t>用科学的方法和手段将作品的思想性与艺术性体现在舞台上</w:t>
            </w:r>
            <w:r>
              <w:rPr>
                <w:rFonts w:hint="eastAsia" w:ascii="楷体" w:hAnsi="楷体" w:eastAsia="楷体" w:cs="楷体"/>
                <w:color w:val="auto"/>
                <w:kern w:val="0"/>
                <w:sz w:val="21"/>
                <w:szCs w:val="21"/>
                <w:lang w:eastAsia="zh-CN"/>
              </w:rPr>
              <w:t>。</w:t>
            </w:r>
          </w:p>
          <w:p w14:paraId="034C257B">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rPr>
              <w:t>能够知晓</w:t>
            </w:r>
            <w:r>
              <w:rPr>
                <w:rFonts w:hint="eastAsia" w:ascii="楷体" w:hAnsi="楷体" w:eastAsia="楷体" w:cs="楷体"/>
                <w:color w:val="auto"/>
                <w:kern w:val="0"/>
                <w:sz w:val="21"/>
                <w:szCs w:val="21"/>
                <w:lang w:val="en-US" w:eastAsia="zh-CN"/>
              </w:rPr>
              <w:t>合唱指挥</w:t>
            </w:r>
            <w:r>
              <w:rPr>
                <w:rFonts w:hint="eastAsia" w:ascii="楷体" w:hAnsi="楷体" w:eastAsia="楷体" w:cs="楷体"/>
                <w:color w:val="auto"/>
                <w:kern w:val="0"/>
                <w:sz w:val="21"/>
                <w:szCs w:val="21"/>
              </w:rPr>
              <w:t>发展的趋势、动态以及与</w:t>
            </w:r>
            <w:r>
              <w:rPr>
                <w:rFonts w:hint="eastAsia" w:ascii="楷体" w:hAnsi="楷体" w:eastAsia="楷体" w:cs="楷体"/>
                <w:color w:val="auto"/>
                <w:kern w:val="0"/>
                <w:sz w:val="21"/>
                <w:szCs w:val="21"/>
                <w:lang w:val="en-US" w:eastAsia="zh-CN"/>
              </w:rPr>
              <w:t>合唱指挥教学</w:t>
            </w:r>
            <w:r>
              <w:rPr>
                <w:rFonts w:hint="eastAsia" w:ascii="楷体" w:hAnsi="楷体" w:eastAsia="楷体" w:cs="楷体"/>
                <w:color w:val="auto"/>
                <w:kern w:val="0"/>
                <w:sz w:val="21"/>
                <w:szCs w:val="21"/>
              </w:rPr>
              <w:t>的联系</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lang w:val="en-US" w:eastAsia="zh-CN"/>
              </w:rPr>
              <w:t>进行课堂教学和开展课外活动</w:t>
            </w:r>
            <w:r>
              <w:rPr>
                <w:rFonts w:hint="eastAsia" w:ascii="楷体" w:hAnsi="楷体" w:eastAsia="楷体" w:cs="楷体"/>
                <w:color w:val="auto"/>
                <w:kern w:val="0"/>
                <w:sz w:val="21"/>
                <w:szCs w:val="21"/>
              </w:rPr>
              <w:t>量较差</w:t>
            </w:r>
            <w:r>
              <w:rPr>
                <w:rFonts w:hint="eastAsia" w:ascii="楷体" w:hAnsi="楷体" w:eastAsia="楷体" w:cs="楷体"/>
                <w:color w:val="auto"/>
                <w:kern w:val="0"/>
                <w:sz w:val="21"/>
                <w:szCs w:val="21"/>
                <w:lang w:val="en-US" w:eastAsia="zh-CN"/>
              </w:rPr>
              <w:t>。</w:t>
            </w:r>
          </w:p>
        </w:tc>
      </w:tr>
      <w:tr w14:paraId="777190C0">
        <w:trPr>
          <w:trHeight w:val="1131" w:hRule="atLeast"/>
          <w:jc w:val="center"/>
        </w:trPr>
        <w:tc>
          <w:tcPr>
            <w:tcW w:w="0" w:type="auto"/>
            <w:noWrap w:val="0"/>
            <w:vAlign w:val="top"/>
          </w:tcPr>
          <w:p w14:paraId="2E3B0388">
            <w:pPr>
              <w:widowControl/>
              <w:adjustRightInd w:val="0"/>
              <w:snapToGrid w:val="0"/>
              <w:ind w:firstLine="420" w:firstLineChars="200"/>
              <w:rPr>
                <w:rFonts w:hint="eastAsia" w:ascii="楷体" w:hAnsi="楷体" w:eastAsia="楷体" w:cs="楷体"/>
                <w:color w:val="auto"/>
                <w:kern w:val="0"/>
                <w:sz w:val="21"/>
                <w:szCs w:val="21"/>
              </w:rPr>
            </w:pPr>
            <w:r>
              <w:rPr>
                <w:rFonts w:hint="eastAsia" w:ascii="楷体" w:hAnsi="楷体" w:eastAsia="楷体" w:cs="楷体"/>
                <w:color w:val="auto"/>
                <w:kern w:val="0"/>
                <w:sz w:val="21"/>
                <w:szCs w:val="21"/>
              </w:rPr>
              <w:t>课程目标3.</w:t>
            </w:r>
          </w:p>
          <w:p w14:paraId="255A87DA">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lang w:val="en-US" w:eastAsia="zh-CN"/>
              </w:rPr>
              <w:t>理解合唱合作意识和精神培养具体作用，培养团队合作精神。理解指挥不仅是合唱团的组织者、</w:t>
            </w:r>
            <w:r>
              <w:rPr>
                <w:rFonts w:hint="eastAsia" w:ascii="楷体" w:hAnsi="楷体" w:eastAsia="楷体" w:cs="楷体"/>
                <w:color w:val="auto"/>
                <w:kern w:val="0"/>
                <w:sz w:val="21"/>
                <w:szCs w:val="21"/>
              </w:rPr>
              <w:t>领导者，而且是艺术的指导者</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rPr>
              <w:t>（支撑毕业要求8.2）</w:t>
            </w:r>
          </w:p>
        </w:tc>
        <w:tc>
          <w:tcPr>
            <w:tcW w:w="0" w:type="auto"/>
            <w:noWrap w:val="0"/>
            <w:vAlign w:val="top"/>
          </w:tcPr>
          <w:p w14:paraId="6A097331">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lang w:val="en-US" w:eastAsia="zh-CN"/>
              </w:rPr>
              <w:t>有深入的理解合唱合作意识和精神培养具体作用，培养团队合作精神。有深入的理解指挥不仅是合唱团的组织者、</w:t>
            </w:r>
            <w:r>
              <w:rPr>
                <w:rFonts w:hint="eastAsia" w:ascii="楷体" w:hAnsi="楷体" w:eastAsia="楷体" w:cs="楷体"/>
                <w:color w:val="auto"/>
                <w:kern w:val="0"/>
                <w:sz w:val="21"/>
                <w:szCs w:val="21"/>
              </w:rPr>
              <w:t>领导者，而且是艺术的指导者</w:t>
            </w:r>
            <w:r>
              <w:rPr>
                <w:rFonts w:hint="eastAsia" w:ascii="楷体" w:hAnsi="楷体" w:eastAsia="楷体" w:cs="楷体"/>
                <w:color w:val="auto"/>
                <w:kern w:val="0"/>
                <w:sz w:val="21"/>
                <w:szCs w:val="21"/>
                <w:lang w:eastAsia="zh-CN"/>
              </w:rPr>
              <w:t>。</w:t>
            </w:r>
          </w:p>
          <w:p w14:paraId="7C5E83A8">
            <w:pPr>
              <w:widowControl/>
              <w:adjustRightInd w:val="0"/>
              <w:snapToGrid w:val="0"/>
              <w:ind w:firstLine="420" w:firstLineChars="200"/>
              <w:rPr>
                <w:rFonts w:hint="eastAsia" w:ascii="楷体" w:hAnsi="楷体" w:eastAsia="楷体" w:cs="楷体"/>
                <w:color w:val="auto"/>
                <w:kern w:val="0"/>
                <w:sz w:val="21"/>
                <w:szCs w:val="21"/>
                <w:lang w:eastAsia="zh-CN"/>
              </w:rPr>
            </w:pPr>
          </w:p>
        </w:tc>
        <w:tc>
          <w:tcPr>
            <w:tcW w:w="0" w:type="auto"/>
            <w:noWrap w:val="0"/>
            <w:vAlign w:val="top"/>
          </w:tcPr>
          <w:p w14:paraId="1D877F71">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lang w:val="en-US" w:eastAsia="zh-CN"/>
              </w:rPr>
              <w:t>有</w:t>
            </w:r>
            <w:r>
              <w:rPr>
                <w:rFonts w:hint="eastAsia" w:ascii="楷体" w:hAnsi="楷体" w:eastAsia="楷体" w:cs="楷体"/>
                <w:color w:val="auto"/>
                <w:kern w:val="0"/>
                <w:sz w:val="21"/>
                <w:szCs w:val="21"/>
              </w:rPr>
              <w:t>较深入的</w:t>
            </w:r>
            <w:r>
              <w:rPr>
                <w:rFonts w:hint="eastAsia" w:ascii="楷体" w:hAnsi="楷体" w:eastAsia="楷体" w:cs="楷体"/>
                <w:color w:val="auto"/>
                <w:kern w:val="0"/>
                <w:sz w:val="21"/>
                <w:szCs w:val="21"/>
                <w:lang w:val="en-US" w:eastAsia="zh-CN"/>
              </w:rPr>
              <w:t>理解合唱合作意识和精神培养具体作用，培养团队合作精神。有</w:t>
            </w:r>
            <w:r>
              <w:rPr>
                <w:rFonts w:hint="eastAsia" w:ascii="楷体" w:hAnsi="楷体" w:eastAsia="楷体" w:cs="楷体"/>
                <w:color w:val="auto"/>
                <w:kern w:val="0"/>
                <w:sz w:val="21"/>
                <w:szCs w:val="21"/>
              </w:rPr>
              <w:t>较深入的</w:t>
            </w:r>
            <w:r>
              <w:rPr>
                <w:rFonts w:hint="eastAsia" w:ascii="楷体" w:hAnsi="楷体" w:eastAsia="楷体" w:cs="楷体"/>
                <w:color w:val="auto"/>
                <w:kern w:val="0"/>
                <w:sz w:val="21"/>
                <w:szCs w:val="21"/>
                <w:lang w:val="en-US" w:eastAsia="zh-CN"/>
              </w:rPr>
              <w:t>理解指挥不仅是合唱团的组织者、</w:t>
            </w:r>
            <w:r>
              <w:rPr>
                <w:rFonts w:hint="eastAsia" w:ascii="楷体" w:hAnsi="楷体" w:eastAsia="楷体" w:cs="楷体"/>
                <w:color w:val="auto"/>
                <w:kern w:val="0"/>
                <w:sz w:val="21"/>
                <w:szCs w:val="21"/>
              </w:rPr>
              <w:t>领导者，而且是艺术的指导者</w:t>
            </w:r>
            <w:r>
              <w:rPr>
                <w:rFonts w:hint="eastAsia" w:ascii="楷体" w:hAnsi="楷体" w:eastAsia="楷体" w:cs="楷体"/>
                <w:color w:val="auto"/>
                <w:kern w:val="0"/>
                <w:sz w:val="21"/>
                <w:szCs w:val="21"/>
                <w:lang w:eastAsia="zh-CN"/>
              </w:rPr>
              <w:t>。</w:t>
            </w:r>
          </w:p>
          <w:p w14:paraId="5CF606F6">
            <w:pPr>
              <w:widowControl/>
              <w:adjustRightInd w:val="0"/>
              <w:snapToGrid w:val="0"/>
              <w:ind w:firstLine="420" w:firstLineChars="200"/>
              <w:rPr>
                <w:rFonts w:hint="eastAsia" w:ascii="楷体" w:hAnsi="楷体" w:eastAsia="楷体" w:cs="楷体"/>
                <w:color w:val="auto"/>
                <w:kern w:val="0"/>
                <w:sz w:val="21"/>
                <w:szCs w:val="21"/>
                <w:lang w:eastAsia="zh-CN"/>
              </w:rPr>
            </w:pPr>
          </w:p>
        </w:tc>
        <w:tc>
          <w:tcPr>
            <w:tcW w:w="0" w:type="auto"/>
            <w:noWrap w:val="0"/>
            <w:vAlign w:val="top"/>
          </w:tcPr>
          <w:p w14:paraId="4584120D">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lang w:val="en-US" w:eastAsia="zh-CN"/>
              </w:rPr>
              <w:t>有</w:t>
            </w:r>
            <w:r>
              <w:rPr>
                <w:rFonts w:hint="eastAsia" w:ascii="楷体" w:hAnsi="楷体" w:eastAsia="楷体" w:cs="楷体"/>
                <w:color w:val="auto"/>
                <w:kern w:val="0"/>
                <w:sz w:val="21"/>
                <w:szCs w:val="21"/>
              </w:rPr>
              <w:t>一定的</w:t>
            </w:r>
            <w:r>
              <w:rPr>
                <w:rFonts w:hint="eastAsia" w:ascii="楷体" w:hAnsi="楷体" w:eastAsia="楷体" w:cs="楷体"/>
                <w:color w:val="auto"/>
                <w:kern w:val="0"/>
                <w:sz w:val="21"/>
                <w:szCs w:val="21"/>
                <w:lang w:val="en-US" w:eastAsia="zh-CN"/>
              </w:rPr>
              <w:t>理解合唱合作意识和精神培养具体作用，培养团队合作精神。有</w:t>
            </w:r>
            <w:r>
              <w:rPr>
                <w:rFonts w:hint="eastAsia" w:ascii="楷体" w:hAnsi="楷体" w:eastAsia="楷体" w:cs="楷体"/>
                <w:color w:val="auto"/>
                <w:kern w:val="0"/>
                <w:sz w:val="21"/>
                <w:szCs w:val="21"/>
              </w:rPr>
              <w:t>一定的</w:t>
            </w:r>
            <w:r>
              <w:rPr>
                <w:rFonts w:hint="eastAsia" w:ascii="楷体" w:hAnsi="楷体" w:eastAsia="楷体" w:cs="楷体"/>
                <w:color w:val="auto"/>
                <w:kern w:val="0"/>
                <w:sz w:val="21"/>
                <w:szCs w:val="21"/>
                <w:lang w:val="en-US" w:eastAsia="zh-CN"/>
              </w:rPr>
              <w:t>理解指挥不仅是合唱团的组织者、</w:t>
            </w:r>
            <w:r>
              <w:rPr>
                <w:rFonts w:hint="eastAsia" w:ascii="楷体" w:hAnsi="楷体" w:eastAsia="楷体" w:cs="楷体"/>
                <w:color w:val="auto"/>
                <w:kern w:val="0"/>
                <w:sz w:val="21"/>
                <w:szCs w:val="21"/>
              </w:rPr>
              <w:t>领导者，而且是艺术的指导者</w:t>
            </w:r>
            <w:r>
              <w:rPr>
                <w:rFonts w:hint="eastAsia" w:ascii="楷体" w:hAnsi="楷体" w:eastAsia="楷体" w:cs="楷体"/>
                <w:color w:val="auto"/>
                <w:kern w:val="0"/>
                <w:sz w:val="21"/>
                <w:szCs w:val="21"/>
                <w:lang w:eastAsia="zh-CN"/>
              </w:rPr>
              <w:t>。</w:t>
            </w:r>
          </w:p>
          <w:p w14:paraId="164A3945">
            <w:pPr>
              <w:widowControl/>
              <w:adjustRightInd w:val="0"/>
              <w:snapToGrid w:val="0"/>
              <w:ind w:firstLine="420" w:firstLineChars="200"/>
              <w:rPr>
                <w:rFonts w:hint="eastAsia" w:ascii="楷体" w:hAnsi="楷体" w:eastAsia="楷体" w:cs="楷体"/>
                <w:color w:val="auto"/>
                <w:kern w:val="0"/>
                <w:sz w:val="21"/>
                <w:szCs w:val="21"/>
                <w:lang w:eastAsia="zh-CN"/>
              </w:rPr>
            </w:pPr>
          </w:p>
        </w:tc>
        <w:tc>
          <w:tcPr>
            <w:tcW w:w="0" w:type="auto"/>
            <w:noWrap w:val="0"/>
            <w:vAlign w:val="top"/>
          </w:tcPr>
          <w:p w14:paraId="29F5C56C">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rPr>
              <w:t>有基本的</w:t>
            </w:r>
            <w:r>
              <w:rPr>
                <w:rFonts w:hint="eastAsia" w:ascii="楷体" w:hAnsi="楷体" w:eastAsia="楷体" w:cs="楷体"/>
                <w:color w:val="auto"/>
                <w:kern w:val="0"/>
                <w:sz w:val="21"/>
                <w:szCs w:val="21"/>
                <w:lang w:val="en-US" w:eastAsia="zh-CN"/>
              </w:rPr>
              <w:t>理解合唱合作意识和精神培养具体作用，培养团队合作精神。</w:t>
            </w:r>
            <w:r>
              <w:rPr>
                <w:rFonts w:hint="eastAsia" w:ascii="楷体" w:hAnsi="楷体" w:eastAsia="楷体" w:cs="楷体"/>
                <w:color w:val="auto"/>
                <w:kern w:val="0"/>
                <w:sz w:val="21"/>
                <w:szCs w:val="21"/>
              </w:rPr>
              <w:t>有基本的</w:t>
            </w:r>
            <w:r>
              <w:rPr>
                <w:rFonts w:hint="eastAsia" w:ascii="楷体" w:hAnsi="楷体" w:eastAsia="楷体" w:cs="楷体"/>
                <w:color w:val="auto"/>
                <w:kern w:val="0"/>
                <w:sz w:val="21"/>
                <w:szCs w:val="21"/>
                <w:lang w:val="en-US" w:eastAsia="zh-CN"/>
              </w:rPr>
              <w:t>理解指挥不仅是合唱团的组织者、</w:t>
            </w:r>
            <w:r>
              <w:rPr>
                <w:rFonts w:hint="eastAsia" w:ascii="楷体" w:hAnsi="楷体" w:eastAsia="楷体" w:cs="楷体"/>
                <w:color w:val="auto"/>
                <w:kern w:val="0"/>
                <w:sz w:val="21"/>
                <w:szCs w:val="21"/>
              </w:rPr>
              <w:t>领导者，而且是艺术的指导者</w:t>
            </w:r>
            <w:r>
              <w:rPr>
                <w:rFonts w:hint="eastAsia" w:ascii="楷体" w:hAnsi="楷体" w:eastAsia="楷体" w:cs="楷体"/>
                <w:color w:val="auto"/>
                <w:kern w:val="0"/>
                <w:sz w:val="21"/>
                <w:szCs w:val="21"/>
                <w:lang w:eastAsia="zh-CN"/>
              </w:rPr>
              <w:t>。</w:t>
            </w:r>
          </w:p>
          <w:p w14:paraId="355A56C6">
            <w:pPr>
              <w:widowControl/>
              <w:adjustRightInd w:val="0"/>
              <w:snapToGrid w:val="0"/>
              <w:ind w:firstLine="420" w:firstLineChars="200"/>
              <w:rPr>
                <w:rFonts w:hint="eastAsia" w:ascii="楷体" w:hAnsi="楷体" w:eastAsia="楷体" w:cs="楷体"/>
                <w:color w:val="auto"/>
                <w:kern w:val="0"/>
                <w:sz w:val="21"/>
                <w:szCs w:val="21"/>
                <w:lang w:eastAsia="zh-CN"/>
              </w:rPr>
            </w:pPr>
          </w:p>
        </w:tc>
        <w:tc>
          <w:tcPr>
            <w:tcW w:w="0" w:type="auto"/>
            <w:noWrap w:val="0"/>
            <w:vAlign w:val="top"/>
          </w:tcPr>
          <w:p w14:paraId="4D02C37B">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lang w:val="en-US" w:eastAsia="zh-CN"/>
              </w:rPr>
              <w:t>不够理解合唱合作意识和精神培养具体作用，培养团队合作精神。不够理解指挥不仅是合唱团的组织者、</w:t>
            </w:r>
            <w:r>
              <w:rPr>
                <w:rFonts w:hint="eastAsia" w:ascii="楷体" w:hAnsi="楷体" w:eastAsia="楷体" w:cs="楷体"/>
                <w:color w:val="auto"/>
                <w:kern w:val="0"/>
                <w:sz w:val="21"/>
                <w:szCs w:val="21"/>
              </w:rPr>
              <w:t>领导者，而且是艺术的指导者</w:t>
            </w:r>
            <w:r>
              <w:rPr>
                <w:rFonts w:hint="eastAsia" w:ascii="楷体" w:hAnsi="楷体" w:eastAsia="楷体" w:cs="楷体"/>
                <w:color w:val="auto"/>
                <w:kern w:val="0"/>
                <w:sz w:val="21"/>
                <w:szCs w:val="21"/>
                <w:lang w:eastAsia="zh-CN"/>
              </w:rPr>
              <w:t>。</w:t>
            </w:r>
          </w:p>
          <w:p w14:paraId="522B8898">
            <w:pPr>
              <w:widowControl/>
              <w:adjustRightInd w:val="0"/>
              <w:snapToGrid w:val="0"/>
              <w:ind w:firstLine="420" w:firstLineChars="200"/>
              <w:rPr>
                <w:rFonts w:hint="eastAsia" w:ascii="楷体" w:hAnsi="楷体" w:eastAsia="楷体" w:cs="楷体"/>
                <w:color w:val="auto"/>
                <w:kern w:val="0"/>
                <w:sz w:val="21"/>
                <w:szCs w:val="21"/>
                <w:lang w:eastAsia="zh-CN"/>
              </w:rPr>
            </w:pPr>
          </w:p>
        </w:tc>
      </w:tr>
    </w:tbl>
    <w:p w14:paraId="20F2D2CF">
      <w:pPr>
        <w:rPr>
          <w:sz w:val="2"/>
          <w:szCs w:val="2"/>
        </w:rPr>
        <w:sectPr>
          <w:headerReference r:id="rId91" w:type="default"/>
          <w:footerReference r:id="rId92" w:type="default"/>
          <w:pgSz w:w="11906" w:h="16838"/>
          <w:pgMar w:top="1440" w:right="1800" w:bottom="1440" w:left="1800" w:header="851" w:footer="992" w:gutter="0"/>
          <w:cols w:space="425" w:num="1"/>
          <w:docGrid w:type="lines" w:linePitch="312" w:charSpace="0"/>
        </w:sectPr>
      </w:pPr>
    </w:p>
    <w:p w14:paraId="419C7909">
      <w:pPr>
        <w:adjustRightInd w:val="0"/>
        <w:snapToGrid w:val="0"/>
        <w:jc w:val="center"/>
        <w:rPr>
          <w:rFonts w:ascii="微软雅黑" w:eastAsia="微软雅黑"/>
          <w:sz w:val="44"/>
          <w:szCs w:val="44"/>
        </w:rPr>
      </w:pPr>
      <w:r>
        <w:rPr>
          <w:rFonts w:hint="eastAsia" w:ascii="微软雅黑" w:eastAsia="微软雅黑"/>
          <w:sz w:val="44"/>
          <w:szCs w:val="44"/>
        </w:rPr>
        <w:t>三明学院音乐学（音乐教育）专业</w:t>
      </w:r>
    </w:p>
    <w:p w14:paraId="1B770955">
      <w:pPr>
        <w:pStyle w:val="2"/>
        <w:pageBreakBefore w:val="0"/>
        <w:kinsoku/>
        <w:overflowPunct/>
        <w:topLinePunct w:val="0"/>
        <w:bidi w:val="0"/>
        <w:spacing w:before="0" w:beforeAutospacing="0" w:after="0" w:afterAutospacing="0" w:line="240" w:lineRule="auto"/>
        <w:jc w:val="center"/>
        <w:rPr>
          <w:rFonts w:hint="eastAsia" w:ascii="方正小标宋简体" w:hAnsi="方正小标宋简体" w:eastAsia="方正小标宋简体" w:cs="方正小标宋简体"/>
          <w:b w:val="0"/>
          <w:bCs w:val="0"/>
          <w:sz w:val="44"/>
          <w:szCs w:val="44"/>
        </w:rPr>
      </w:pPr>
      <w:bookmarkStart w:id="130" w:name="_Toc1149525160"/>
      <w:bookmarkStart w:id="131" w:name="_Toc84465676"/>
      <w:bookmarkStart w:id="132" w:name="_Toc75062420"/>
      <w:bookmarkStart w:id="133" w:name="_Toc16695554"/>
      <w:bookmarkStart w:id="134" w:name="_Toc75062094"/>
      <w:bookmarkStart w:id="135" w:name="_Toc1883535438"/>
      <w:bookmarkStart w:id="136" w:name="_Toc75062323"/>
      <w:bookmarkStart w:id="137" w:name="_Toc84465598"/>
      <w:bookmarkStart w:id="138" w:name="_Toc84465650"/>
      <w:bookmarkStart w:id="139" w:name="_Toc1747222187"/>
      <w:bookmarkStart w:id="140" w:name="_Toc78044684"/>
      <w:bookmarkStart w:id="141" w:name="_Toc39436602"/>
      <w:bookmarkStart w:id="142" w:name="_Toc78044642"/>
      <w:bookmarkStart w:id="143" w:name="_Toc78044730"/>
      <w:bookmarkStart w:id="144" w:name="_Toc75062214"/>
      <w:bookmarkStart w:id="145" w:name="_Toc39436510"/>
      <w:bookmarkStart w:id="146" w:name="_Toc65478585"/>
      <w:r>
        <w:rPr>
          <w:rFonts w:hint="eastAsia" w:ascii="方正小标宋简体" w:hAnsi="方正小标宋简体" w:eastAsia="方正小标宋简体" w:cs="方正小标宋简体"/>
          <w:b w:val="0"/>
          <w:bCs w:val="0"/>
          <w:sz w:val="44"/>
          <w:szCs w:val="44"/>
        </w:rPr>
        <w:t>《钢琴即兴伴奏》课程教学大纲</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tbl>
      <w:tblPr>
        <w:tblStyle w:val="22"/>
        <w:tblW w:w="9366" w:type="dxa"/>
        <w:tblInd w:w="-10" w:type="dxa"/>
        <w:tblLayout w:type="fixed"/>
        <w:tblCellMar>
          <w:top w:w="0" w:type="dxa"/>
          <w:left w:w="0" w:type="dxa"/>
          <w:bottom w:w="0" w:type="dxa"/>
          <w:right w:w="28" w:type="dxa"/>
        </w:tblCellMar>
      </w:tblPr>
      <w:tblGrid>
        <w:gridCol w:w="1299"/>
        <w:gridCol w:w="1324"/>
        <w:gridCol w:w="36"/>
        <w:gridCol w:w="102"/>
        <w:gridCol w:w="1128"/>
        <w:gridCol w:w="1064"/>
        <w:gridCol w:w="412"/>
        <w:gridCol w:w="709"/>
        <w:gridCol w:w="900"/>
        <w:gridCol w:w="827"/>
        <w:gridCol w:w="714"/>
        <w:gridCol w:w="69"/>
        <w:gridCol w:w="782"/>
      </w:tblGrid>
      <w:tr w14:paraId="7553A0F7">
        <w:trPr>
          <w:trHeight w:val="454" w:hRule="atLeast"/>
        </w:trPr>
        <w:tc>
          <w:tcPr>
            <w:tcW w:w="1299" w:type="dxa"/>
            <w:tcBorders>
              <w:top w:val="single" w:color="000000" w:sz="4" w:space="0"/>
              <w:left w:val="single" w:color="000000" w:sz="4" w:space="0"/>
              <w:bottom w:val="single" w:color="000000" w:sz="4" w:space="0"/>
              <w:right w:val="single" w:color="000000" w:sz="4" w:space="0"/>
            </w:tcBorders>
            <w:noWrap w:val="0"/>
            <w:vAlign w:val="center"/>
          </w:tcPr>
          <w:p w14:paraId="1B2EDF36">
            <w:pPr>
              <w:jc w:val="center"/>
              <w:rPr>
                <w:rFonts w:ascii="仿宋" w:eastAsia="仿宋" w:cs="仿宋"/>
                <w:sz w:val="24"/>
                <w:szCs w:val="24"/>
              </w:rPr>
            </w:pPr>
            <w:r>
              <w:rPr>
                <w:rFonts w:hint="eastAsia" w:ascii="仿宋" w:eastAsia="仿宋" w:cs="仿宋"/>
                <w:sz w:val="24"/>
                <w:szCs w:val="24"/>
              </w:rPr>
              <w:t>课程名称</w:t>
            </w:r>
          </w:p>
        </w:tc>
        <w:tc>
          <w:tcPr>
            <w:tcW w:w="4066" w:type="dxa"/>
            <w:gridSpan w:val="6"/>
            <w:tcBorders>
              <w:top w:val="single" w:color="000000" w:sz="4" w:space="0"/>
              <w:left w:val="single" w:color="000000" w:sz="4" w:space="0"/>
              <w:bottom w:val="single" w:color="000000" w:sz="4" w:space="0"/>
              <w:right w:val="single" w:color="000000" w:sz="4" w:space="0"/>
            </w:tcBorders>
            <w:noWrap w:val="0"/>
            <w:vAlign w:val="center"/>
          </w:tcPr>
          <w:p w14:paraId="3460A109">
            <w:pPr>
              <w:adjustRightInd w:val="0"/>
              <w:snapToGrid w:val="0"/>
              <w:jc w:val="center"/>
              <w:rPr>
                <w:rFonts w:ascii="仿宋" w:eastAsia="仿宋" w:cs="仿宋"/>
                <w:sz w:val="24"/>
                <w:szCs w:val="24"/>
              </w:rPr>
            </w:pPr>
            <w:r>
              <w:rPr>
                <w:rFonts w:hint="eastAsia" w:ascii="仿宋" w:eastAsia="仿宋" w:cs="仿宋"/>
                <w:sz w:val="24"/>
                <w:szCs w:val="24"/>
              </w:rPr>
              <w:t>《钢琴即兴伴奏》</w:t>
            </w:r>
          </w:p>
        </w:tc>
        <w:tc>
          <w:tcPr>
            <w:tcW w:w="1609" w:type="dxa"/>
            <w:gridSpan w:val="2"/>
            <w:tcBorders>
              <w:top w:val="single" w:color="000000" w:sz="4" w:space="0"/>
              <w:left w:val="single" w:color="000000" w:sz="4" w:space="0"/>
              <w:bottom w:val="single" w:color="000000" w:sz="4" w:space="0"/>
              <w:right w:val="single" w:color="000000" w:sz="4" w:space="0"/>
            </w:tcBorders>
            <w:noWrap w:val="0"/>
            <w:vAlign w:val="center"/>
          </w:tcPr>
          <w:p w14:paraId="705F6262">
            <w:pPr>
              <w:adjustRightInd w:val="0"/>
              <w:snapToGrid w:val="0"/>
              <w:jc w:val="center"/>
              <w:rPr>
                <w:rFonts w:ascii="仿宋" w:eastAsia="仿宋" w:cs="仿宋"/>
                <w:sz w:val="24"/>
                <w:szCs w:val="24"/>
              </w:rPr>
            </w:pPr>
            <w:r>
              <w:rPr>
                <w:rFonts w:hint="eastAsia" w:ascii="仿宋" w:eastAsia="仿宋" w:cs="仿宋"/>
                <w:sz w:val="24"/>
                <w:szCs w:val="24"/>
              </w:rPr>
              <w:t>课程代码</w:t>
            </w:r>
          </w:p>
        </w:tc>
        <w:tc>
          <w:tcPr>
            <w:tcW w:w="2392" w:type="dxa"/>
            <w:gridSpan w:val="4"/>
            <w:tcBorders>
              <w:top w:val="single" w:color="000000" w:sz="4" w:space="0"/>
              <w:left w:val="single" w:color="000000" w:sz="4" w:space="0"/>
              <w:bottom w:val="single" w:color="000000" w:sz="4" w:space="0"/>
              <w:right w:val="single" w:color="000000" w:sz="4" w:space="0"/>
            </w:tcBorders>
            <w:noWrap w:val="0"/>
            <w:vAlign w:val="center"/>
          </w:tcPr>
          <w:p w14:paraId="773047DA">
            <w:pPr>
              <w:adjustRightInd w:val="0"/>
              <w:snapToGrid w:val="0"/>
              <w:jc w:val="center"/>
              <w:rPr>
                <w:rFonts w:hint="eastAsia" w:ascii="仿宋" w:eastAsia="仿宋" w:cs="仿宋"/>
                <w:sz w:val="24"/>
                <w:szCs w:val="24"/>
                <w:lang w:val="en-US" w:eastAsia="zh-CN"/>
              </w:rPr>
            </w:pPr>
            <w:r>
              <w:rPr>
                <w:rFonts w:ascii="仿宋" w:eastAsia="仿宋" w:cs="仿宋"/>
                <w:sz w:val="24"/>
                <w:szCs w:val="24"/>
              </w:rPr>
              <w:t>1213302615</w:t>
            </w:r>
          </w:p>
          <w:p w14:paraId="168C2BFE">
            <w:pPr>
              <w:adjustRightInd w:val="0"/>
              <w:snapToGrid w:val="0"/>
              <w:jc w:val="center"/>
              <w:rPr>
                <w:rFonts w:hint="eastAsia" w:ascii="仿宋" w:eastAsia="仿宋" w:cs="仿宋"/>
                <w:sz w:val="24"/>
                <w:szCs w:val="24"/>
                <w:lang w:val="en-US" w:eastAsia="zh-CN"/>
              </w:rPr>
            </w:pPr>
            <w:r>
              <w:rPr>
                <w:rFonts w:ascii="仿宋" w:eastAsia="仿宋" w:cs="仿宋"/>
                <w:sz w:val="24"/>
                <w:szCs w:val="24"/>
              </w:rPr>
              <w:t>1213302616</w:t>
            </w:r>
          </w:p>
        </w:tc>
      </w:tr>
      <w:tr w14:paraId="489B5B6D">
        <w:trPr>
          <w:trHeight w:val="454" w:hRule="atLeast"/>
        </w:trPr>
        <w:tc>
          <w:tcPr>
            <w:tcW w:w="1299" w:type="dxa"/>
            <w:tcBorders>
              <w:top w:val="single" w:color="000000" w:sz="4" w:space="0"/>
              <w:left w:val="single" w:color="000000" w:sz="4" w:space="0"/>
              <w:bottom w:val="single" w:color="000000" w:sz="4" w:space="0"/>
              <w:right w:val="single" w:color="000000" w:sz="4" w:space="0"/>
            </w:tcBorders>
            <w:noWrap w:val="0"/>
            <w:vAlign w:val="center"/>
          </w:tcPr>
          <w:p w14:paraId="5BE8746E">
            <w:pPr>
              <w:jc w:val="center"/>
              <w:rPr>
                <w:rFonts w:ascii="仿宋" w:eastAsia="仿宋" w:cs="仿宋"/>
                <w:sz w:val="24"/>
                <w:szCs w:val="24"/>
              </w:rPr>
            </w:pPr>
            <w:r>
              <w:rPr>
                <w:rFonts w:hint="eastAsia" w:ascii="仿宋" w:eastAsia="仿宋" w:cs="仿宋"/>
                <w:sz w:val="24"/>
                <w:szCs w:val="24"/>
              </w:rPr>
              <w:t>课程类型</w:t>
            </w:r>
          </w:p>
        </w:tc>
        <w:tc>
          <w:tcPr>
            <w:tcW w:w="8067" w:type="dxa"/>
            <w:gridSpan w:val="12"/>
            <w:tcBorders>
              <w:top w:val="single" w:color="000000" w:sz="4" w:space="0"/>
              <w:left w:val="single" w:color="000000" w:sz="4" w:space="0"/>
              <w:bottom w:val="single" w:color="000000" w:sz="4" w:space="0"/>
              <w:right w:val="single" w:color="000000" w:sz="4" w:space="0"/>
            </w:tcBorders>
            <w:noWrap w:val="0"/>
            <w:vAlign w:val="center"/>
          </w:tcPr>
          <w:p w14:paraId="5BC47A2B">
            <w:pPr>
              <w:rPr>
                <w:rFonts w:ascii="仿宋" w:eastAsia="仿宋" w:cs="仿宋"/>
                <w:sz w:val="24"/>
                <w:szCs w:val="24"/>
              </w:rPr>
            </w:pPr>
            <w:r>
              <w:rPr>
                <w:rFonts w:ascii="Wingdings" w:hAnsi="Wingdings" w:eastAsia="仿宋" w:cs="仿宋"/>
                <w:sz w:val="24"/>
                <w:szCs w:val="24"/>
              </w:rPr>
              <w:t>¨</w:t>
            </w:r>
            <w:r>
              <w:rPr>
                <w:rFonts w:hint="eastAsia" w:ascii="仿宋" w:eastAsia="仿宋" w:cs="仿宋"/>
                <w:sz w:val="24"/>
                <w:szCs w:val="24"/>
              </w:rPr>
              <w:t xml:space="preserve">通识必修 </w:t>
            </w:r>
            <w:r>
              <w:rPr>
                <w:rFonts w:ascii="Wingdings" w:hAnsi="Wingdings" w:eastAsia="仿宋" w:cs="仿宋"/>
                <w:sz w:val="24"/>
                <w:szCs w:val="24"/>
              </w:rPr>
              <w:t>¨</w:t>
            </w:r>
            <w:r>
              <w:rPr>
                <w:rFonts w:hint="eastAsia" w:ascii="仿宋" w:eastAsia="仿宋" w:cs="仿宋"/>
                <w:sz w:val="24"/>
                <w:szCs w:val="24"/>
              </w:rPr>
              <w:t xml:space="preserve">通识选修 </w:t>
            </w:r>
            <w:r>
              <w:rPr>
                <w:rFonts w:ascii="Wingdings" w:hAnsi="Wingdings" w:eastAsia="仿宋" w:cs="仿宋"/>
                <w:sz w:val="24"/>
                <w:szCs w:val="24"/>
              </w:rPr>
              <w:t>þ</w:t>
            </w:r>
            <w:r>
              <w:rPr>
                <w:rFonts w:hint="eastAsia" w:ascii="仿宋" w:eastAsia="仿宋" w:cs="仿宋"/>
                <w:sz w:val="24"/>
                <w:szCs w:val="24"/>
              </w:rPr>
              <w:t xml:space="preserve">专业必修 </w:t>
            </w:r>
          </w:p>
          <w:p w14:paraId="6431A020">
            <w:pPr>
              <w:rPr>
                <w:rFonts w:ascii="仿宋" w:eastAsia="仿宋" w:cs="仿宋"/>
                <w:sz w:val="24"/>
                <w:szCs w:val="24"/>
              </w:rPr>
            </w:pPr>
            <w:r>
              <w:rPr>
                <w:rFonts w:ascii="Wingdings" w:hAnsi="Wingdings" w:eastAsia="仿宋" w:cs="仿宋"/>
                <w:sz w:val="24"/>
                <w:szCs w:val="24"/>
              </w:rPr>
              <w:t>¨</w:t>
            </w:r>
            <w:r>
              <w:rPr>
                <w:rFonts w:hint="eastAsia" w:ascii="仿宋" w:eastAsia="仿宋" w:cs="仿宋"/>
                <w:sz w:val="24"/>
                <w:szCs w:val="24"/>
              </w:rPr>
              <w:t xml:space="preserve">专业选修 </w:t>
            </w:r>
            <w:r>
              <w:rPr>
                <w:rFonts w:ascii="Wingdings" w:hAnsi="Wingdings" w:eastAsia="仿宋" w:cs="仿宋"/>
                <w:sz w:val="24"/>
                <w:szCs w:val="24"/>
              </w:rPr>
              <w:t>¨</w:t>
            </w:r>
            <w:r>
              <w:rPr>
                <w:rFonts w:hint="eastAsia" w:ascii="仿宋" w:eastAsia="仿宋" w:cs="仿宋"/>
                <w:sz w:val="24"/>
                <w:szCs w:val="24"/>
              </w:rPr>
              <w:t xml:space="preserve">教师教育必修 </w:t>
            </w:r>
            <w:r>
              <w:rPr>
                <w:rFonts w:ascii="Wingdings" w:hAnsi="Wingdings" w:eastAsia="仿宋" w:cs="仿宋"/>
                <w:sz w:val="24"/>
                <w:szCs w:val="24"/>
              </w:rPr>
              <w:t>¨</w:t>
            </w:r>
            <w:r>
              <w:rPr>
                <w:rFonts w:hint="eastAsia" w:ascii="仿宋" w:eastAsia="仿宋" w:cs="仿宋"/>
                <w:sz w:val="24"/>
                <w:szCs w:val="24"/>
              </w:rPr>
              <w:t>教师教育选修</w:t>
            </w:r>
          </w:p>
        </w:tc>
      </w:tr>
      <w:tr w14:paraId="2F4FCFC5">
        <w:trPr>
          <w:trHeight w:val="406" w:hRule="atLeast"/>
        </w:trPr>
        <w:tc>
          <w:tcPr>
            <w:tcW w:w="1299" w:type="dxa"/>
            <w:tcBorders>
              <w:top w:val="single" w:color="000000" w:sz="4" w:space="0"/>
              <w:left w:val="single" w:color="000000" w:sz="4" w:space="0"/>
              <w:bottom w:val="single" w:color="000000" w:sz="4" w:space="0"/>
              <w:right w:val="single" w:color="000000" w:sz="4" w:space="0"/>
            </w:tcBorders>
            <w:noWrap w:val="0"/>
            <w:vAlign w:val="center"/>
          </w:tcPr>
          <w:p w14:paraId="08673FBE">
            <w:pPr>
              <w:jc w:val="center"/>
              <w:rPr>
                <w:rFonts w:ascii="仿宋" w:eastAsia="仿宋" w:cs="仿宋"/>
                <w:sz w:val="24"/>
                <w:szCs w:val="24"/>
              </w:rPr>
            </w:pPr>
            <w:r>
              <w:rPr>
                <w:rFonts w:hint="eastAsia" w:ascii="仿宋" w:eastAsia="仿宋" w:cs="仿宋"/>
                <w:sz w:val="24"/>
                <w:szCs w:val="24"/>
              </w:rPr>
              <w:t>开课学期</w:t>
            </w:r>
          </w:p>
        </w:tc>
        <w:tc>
          <w:tcPr>
            <w:tcW w:w="1462" w:type="dxa"/>
            <w:gridSpan w:val="3"/>
            <w:tcBorders>
              <w:top w:val="single" w:color="000000" w:sz="4" w:space="0"/>
              <w:left w:val="single" w:color="000000" w:sz="4" w:space="0"/>
              <w:bottom w:val="single" w:color="000000" w:sz="4" w:space="0"/>
              <w:right w:val="single" w:color="000000" w:sz="4" w:space="0"/>
            </w:tcBorders>
            <w:noWrap w:val="0"/>
            <w:vAlign w:val="center"/>
          </w:tcPr>
          <w:p w14:paraId="23B2ADBD">
            <w:pPr>
              <w:adjustRightInd w:val="0"/>
              <w:snapToGrid w:val="0"/>
              <w:jc w:val="center"/>
              <w:rPr>
                <w:rFonts w:ascii="仿宋" w:eastAsia="仿宋" w:cs="仿宋"/>
                <w:sz w:val="24"/>
                <w:szCs w:val="24"/>
              </w:rPr>
            </w:pPr>
            <w:r>
              <w:rPr>
                <w:rFonts w:hint="eastAsia" w:ascii="仿宋" w:eastAsia="仿宋" w:cs="仿宋"/>
                <w:sz w:val="24"/>
                <w:szCs w:val="24"/>
              </w:rPr>
              <w:t>第5、6学期</w:t>
            </w:r>
          </w:p>
        </w:tc>
        <w:tc>
          <w:tcPr>
            <w:tcW w:w="1128" w:type="dxa"/>
            <w:tcBorders>
              <w:top w:val="single" w:color="000000" w:sz="4" w:space="0"/>
              <w:left w:val="single" w:color="000000" w:sz="4" w:space="0"/>
              <w:bottom w:val="single" w:color="000000" w:sz="4" w:space="0"/>
              <w:right w:val="single" w:color="000000" w:sz="4" w:space="0"/>
            </w:tcBorders>
            <w:noWrap w:val="0"/>
            <w:vAlign w:val="center"/>
          </w:tcPr>
          <w:p w14:paraId="556B033C">
            <w:pPr>
              <w:adjustRightInd w:val="0"/>
              <w:snapToGrid w:val="0"/>
              <w:jc w:val="center"/>
              <w:rPr>
                <w:rFonts w:ascii="仿宋" w:eastAsia="仿宋" w:cs="仿宋"/>
                <w:sz w:val="24"/>
                <w:szCs w:val="24"/>
              </w:rPr>
            </w:pPr>
            <w:r>
              <w:rPr>
                <w:rFonts w:hint="eastAsia" w:ascii="仿宋" w:eastAsia="仿宋" w:cs="仿宋"/>
                <w:sz w:val="24"/>
                <w:szCs w:val="24"/>
              </w:rPr>
              <w:t>学分</w:t>
            </w:r>
          </w:p>
        </w:tc>
        <w:tc>
          <w:tcPr>
            <w:tcW w:w="1476" w:type="dxa"/>
            <w:gridSpan w:val="2"/>
            <w:tcBorders>
              <w:top w:val="single" w:color="000000" w:sz="4" w:space="0"/>
              <w:left w:val="single" w:color="000000" w:sz="4" w:space="0"/>
              <w:bottom w:val="single" w:color="000000" w:sz="4" w:space="0"/>
              <w:right w:val="single" w:color="000000" w:sz="4" w:space="0"/>
            </w:tcBorders>
            <w:noWrap w:val="0"/>
            <w:vAlign w:val="center"/>
          </w:tcPr>
          <w:p w14:paraId="4C915EEE">
            <w:pPr>
              <w:adjustRightInd w:val="0"/>
              <w:snapToGrid w:val="0"/>
              <w:jc w:val="center"/>
              <w:rPr>
                <w:rFonts w:ascii="仿宋" w:eastAsia="仿宋" w:cs="仿宋"/>
                <w:sz w:val="24"/>
                <w:szCs w:val="24"/>
              </w:rPr>
            </w:pPr>
            <w:r>
              <w:rPr>
                <w:rFonts w:ascii="仿宋" w:eastAsia="仿宋" w:cs="仿宋"/>
                <w:sz w:val="24"/>
                <w:szCs w:val="24"/>
              </w:rPr>
              <w:t>4</w:t>
            </w:r>
          </w:p>
        </w:tc>
        <w:tc>
          <w:tcPr>
            <w:tcW w:w="1609" w:type="dxa"/>
            <w:gridSpan w:val="2"/>
            <w:tcBorders>
              <w:top w:val="single" w:color="000000" w:sz="4" w:space="0"/>
              <w:left w:val="single" w:color="000000" w:sz="4" w:space="0"/>
              <w:bottom w:val="single" w:color="000000" w:sz="4" w:space="0"/>
              <w:right w:val="single" w:color="000000" w:sz="4" w:space="0"/>
            </w:tcBorders>
            <w:noWrap w:val="0"/>
            <w:vAlign w:val="center"/>
          </w:tcPr>
          <w:p w14:paraId="32238EA3">
            <w:pPr>
              <w:adjustRightInd w:val="0"/>
              <w:snapToGrid w:val="0"/>
              <w:jc w:val="center"/>
              <w:rPr>
                <w:rFonts w:ascii="仿宋" w:eastAsia="仿宋" w:cs="仿宋"/>
                <w:sz w:val="24"/>
                <w:szCs w:val="24"/>
              </w:rPr>
            </w:pPr>
            <w:r>
              <w:rPr>
                <w:rFonts w:hint="eastAsia" w:ascii="仿宋" w:eastAsia="仿宋" w:cs="仿宋"/>
                <w:sz w:val="24"/>
                <w:szCs w:val="24"/>
              </w:rPr>
              <w:t>课程负责人</w:t>
            </w:r>
          </w:p>
        </w:tc>
        <w:tc>
          <w:tcPr>
            <w:tcW w:w="2392" w:type="dxa"/>
            <w:gridSpan w:val="4"/>
            <w:tcBorders>
              <w:top w:val="single" w:color="000000" w:sz="4" w:space="0"/>
              <w:left w:val="single" w:color="000000" w:sz="4" w:space="0"/>
              <w:bottom w:val="single" w:color="000000" w:sz="4" w:space="0"/>
              <w:right w:val="single" w:color="000000" w:sz="4" w:space="0"/>
            </w:tcBorders>
            <w:noWrap w:val="0"/>
            <w:vAlign w:val="center"/>
          </w:tcPr>
          <w:p w14:paraId="364D9D43">
            <w:pPr>
              <w:adjustRightInd w:val="0"/>
              <w:snapToGrid w:val="0"/>
              <w:jc w:val="center"/>
              <w:rPr>
                <w:rFonts w:ascii="仿宋" w:eastAsia="仿宋" w:cs="仿宋"/>
                <w:sz w:val="24"/>
                <w:szCs w:val="24"/>
              </w:rPr>
            </w:pPr>
            <w:r>
              <w:rPr>
                <w:rFonts w:hint="eastAsia" w:ascii="仿宋" w:eastAsia="仿宋" w:cs="仿宋"/>
                <w:sz w:val="24"/>
                <w:szCs w:val="24"/>
              </w:rPr>
              <w:t>林心河</w:t>
            </w:r>
          </w:p>
        </w:tc>
      </w:tr>
      <w:tr w14:paraId="36C2DD1B">
        <w:trPr>
          <w:trHeight w:val="485" w:hRule="atLeast"/>
        </w:trPr>
        <w:tc>
          <w:tcPr>
            <w:tcW w:w="1299" w:type="dxa"/>
            <w:tcBorders>
              <w:top w:val="single" w:color="000000" w:sz="4" w:space="0"/>
              <w:left w:val="single" w:color="000000" w:sz="4" w:space="0"/>
              <w:bottom w:val="single" w:color="000000" w:sz="4" w:space="0"/>
              <w:right w:val="single" w:color="000000" w:sz="4" w:space="0"/>
            </w:tcBorders>
            <w:noWrap w:val="0"/>
            <w:vAlign w:val="center"/>
          </w:tcPr>
          <w:p w14:paraId="180AA09F">
            <w:pPr>
              <w:jc w:val="center"/>
              <w:rPr>
                <w:rFonts w:ascii="仿宋" w:eastAsia="仿宋" w:cs="仿宋"/>
                <w:sz w:val="24"/>
                <w:szCs w:val="24"/>
              </w:rPr>
            </w:pPr>
            <w:r>
              <w:rPr>
                <w:rFonts w:hint="eastAsia" w:ascii="仿宋" w:eastAsia="仿宋" w:cs="仿宋"/>
                <w:sz w:val="24"/>
                <w:szCs w:val="24"/>
              </w:rPr>
              <w:t>总学时</w:t>
            </w:r>
          </w:p>
        </w:tc>
        <w:tc>
          <w:tcPr>
            <w:tcW w:w="1462" w:type="dxa"/>
            <w:gridSpan w:val="3"/>
            <w:tcBorders>
              <w:top w:val="single" w:color="000000" w:sz="4" w:space="0"/>
              <w:left w:val="single" w:color="000000" w:sz="4" w:space="0"/>
              <w:bottom w:val="single" w:color="000000" w:sz="4" w:space="0"/>
              <w:right w:val="single" w:color="000000" w:sz="4" w:space="0"/>
            </w:tcBorders>
            <w:noWrap w:val="0"/>
            <w:vAlign w:val="center"/>
          </w:tcPr>
          <w:p w14:paraId="396BDD88">
            <w:pPr>
              <w:adjustRightInd w:val="0"/>
              <w:snapToGrid w:val="0"/>
              <w:jc w:val="center"/>
              <w:rPr>
                <w:rFonts w:ascii="仿宋" w:eastAsia="仿宋" w:cs="仿宋"/>
                <w:sz w:val="24"/>
                <w:szCs w:val="24"/>
              </w:rPr>
            </w:pPr>
            <w:r>
              <w:rPr>
                <w:rFonts w:hint="eastAsia" w:ascii="仿宋" w:eastAsia="仿宋" w:cs="仿宋"/>
                <w:sz w:val="24"/>
                <w:szCs w:val="24"/>
              </w:rPr>
              <w:t>64</w:t>
            </w:r>
          </w:p>
        </w:tc>
        <w:tc>
          <w:tcPr>
            <w:tcW w:w="1128" w:type="dxa"/>
            <w:tcBorders>
              <w:top w:val="single" w:color="000000" w:sz="4" w:space="0"/>
              <w:left w:val="single" w:color="000000" w:sz="4" w:space="0"/>
              <w:bottom w:val="single" w:color="000000" w:sz="4" w:space="0"/>
              <w:right w:val="single" w:color="000000" w:sz="4" w:space="0"/>
            </w:tcBorders>
            <w:noWrap w:val="0"/>
            <w:vAlign w:val="center"/>
          </w:tcPr>
          <w:p w14:paraId="0EFE5FEA">
            <w:pPr>
              <w:adjustRightInd w:val="0"/>
              <w:snapToGrid w:val="0"/>
              <w:jc w:val="center"/>
              <w:rPr>
                <w:rFonts w:ascii="仿宋" w:eastAsia="仿宋" w:cs="仿宋"/>
                <w:sz w:val="24"/>
                <w:szCs w:val="24"/>
              </w:rPr>
            </w:pPr>
            <w:r>
              <w:rPr>
                <w:rFonts w:hint="eastAsia" w:ascii="仿宋" w:eastAsia="仿宋" w:cs="仿宋"/>
                <w:sz w:val="24"/>
                <w:szCs w:val="24"/>
              </w:rPr>
              <w:t>理论学时</w:t>
            </w:r>
          </w:p>
        </w:tc>
        <w:tc>
          <w:tcPr>
            <w:tcW w:w="1476" w:type="dxa"/>
            <w:gridSpan w:val="2"/>
            <w:tcBorders>
              <w:top w:val="single" w:color="000000" w:sz="4" w:space="0"/>
              <w:left w:val="single" w:color="000000" w:sz="4" w:space="0"/>
              <w:bottom w:val="single" w:color="000000" w:sz="4" w:space="0"/>
              <w:right w:val="single" w:color="000000" w:sz="4" w:space="0"/>
            </w:tcBorders>
            <w:noWrap w:val="0"/>
            <w:vAlign w:val="center"/>
          </w:tcPr>
          <w:p w14:paraId="4E7502F3">
            <w:pPr>
              <w:adjustRightInd w:val="0"/>
              <w:snapToGrid w:val="0"/>
              <w:jc w:val="center"/>
              <w:rPr>
                <w:rFonts w:ascii="仿宋" w:eastAsia="仿宋" w:cs="仿宋"/>
                <w:sz w:val="24"/>
                <w:szCs w:val="24"/>
              </w:rPr>
            </w:pPr>
          </w:p>
        </w:tc>
        <w:tc>
          <w:tcPr>
            <w:tcW w:w="1609" w:type="dxa"/>
            <w:gridSpan w:val="2"/>
            <w:tcBorders>
              <w:top w:val="single" w:color="000000" w:sz="4" w:space="0"/>
              <w:left w:val="single" w:color="000000" w:sz="4" w:space="0"/>
              <w:bottom w:val="single" w:color="000000" w:sz="4" w:space="0"/>
              <w:right w:val="single" w:color="000000" w:sz="4" w:space="0"/>
            </w:tcBorders>
            <w:noWrap w:val="0"/>
            <w:vAlign w:val="center"/>
          </w:tcPr>
          <w:p w14:paraId="6A3C4C72">
            <w:pPr>
              <w:adjustRightInd w:val="0"/>
              <w:snapToGrid w:val="0"/>
              <w:jc w:val="center"/>
              <w:rPr>
                <w:rFonts w:ascii="仿宋" w:eastAsia="仿宋" w:cs="仿宋"/>
                <w:sz w:val="24"/>
                <w:szCs w:val="24"/>
              </w:rPr>
            </w:pPr>
            <w:r>
              <w:rPr>
                <w:rFonts w:hint="eastAsia" w:ascii="仿宋" w:eastAsia="仿宋" w:cs="仿宋"/>
                <w:sz w:val="24"/>
                <w:szCs w:val="24"/>
              </w:rPr>
              <w:t>实践学时</w:t>
            </w:r>
          </w:p>
        </w:tc>
        <w:tc>
          <w:tcPr>
            <w:tcW w:w="2392" w:type="dxa"/>
            <w:gridSpan w:val="4"/>
            <w:tcBorders>
              <w:top w:val="single" w:color="000000" w:sz="4" w:space="0"/>
              <w:left w:val="single" w:color="000000" w:sz="4" w:space="0"/>
              <w:bottom w:val="single" w:color="000000" w:sz="4" w:space="0"/>
              <w:right w:val="single" w:color="000000" w:sz="4" w:space="0"/>
            </w:tcBorders>
            <w:noWrap w:val="0"/>
            <w:vAlign w:val="center"/>
          </w:tcPr>
          <w:p w14:paraId="16F3AF9F">
            <w:pPr>
              <w:adjustRightInd w:val="0"/>
              <w:snapToGrid w:val="0"/>
              <w:jc w:val="center"/>
              <w:rPr>
                <w:rFonts w:ascii="仿宋" w:eastAsia="仿宋" w:cs="仿宋"/>
                <w:sz w:val="24"/>
                <w:szCs w:val="24"/>
              </w:rPr>
            </w:pPr>
            <w:r>
              <w:rPr>
                <w:rFonts w:ascii="仿宋" w:eastAsia="仿宋" w:cs="仿宋"/>
                <w:sz w:val="24"/>
                <w:szCs w:val="24"/>
              </w:rPr>
              <w:t>64</w:t>
            </w:r>
          </w:p>
        </w:tc>
      </w:tr>
      <w:tr w14:paraId="6E8024FC">
        <w:trPr>
          <w:trHeight w:val="454" w:hRule="atLeast"/>
        </w:trPr>
        <w:tc>
          <w:tcPr>
            <w:tcW w:w="1299" w:type="dxa"/>
            <w:tcBorders>
              <w:top w:val="single" w:color="000000" w:sz="4" w:space="0"/>
              <w:left w:val="single" w:color="000000" w:sz="4" w:space="0"/>
              <w:bottom w:val="single" w:color="000000" w:sz="4" w:space="0"/>
              <w:right w:val="single" w:color="000000" w:sz="4" w:space="0"/>
            </w:tcBorders>
            <w:noWrap w:val="0"/>
            <w:vAlign w:val="center"/>
          </w:tcPr>
          <w:p w14:paraId="2D16A106">
            <w:pPr>
              <w:jc w:val="center"/>
              <w:rPr>
                <w:rFonts w:ascii="仿宋" w:eastAsia="仿宋" w:cs="仿宋"/>
                <w:sz w:val="24"/>
                <w:szCs w:val="24"/>
              </w:rPr>
            </w:pPr>
            <w:r>
              <w:rPr>
                <w:rFonts w:hint="eastAsia" w:ascii="仿宋" w:eastAsia="仿宋" w:cs="仿宋"/>
                <w:sz w:val="24"/>
                <w:szCs w:val="24"/>
              </w:rPr>
              <w:t>先修课程与后续课程</w:t>
            </w:r>
          </w:p>
        </w:tc>
        <w:tc>
          <w:tcPr>
            <w:tcW w:w="8067" w:type="dxa"/>
            <w:gridSpan w:val="12"/>
            <w:tcBorders>
              <w:top w:val="single" w:color="000000" w:sz="4" w:space="0"/>
              <w:left w:val="single" w:color="000000" w:sz="4" w:space="0"/>
              <w:bottom w:val="single" w:color="000000" w:sz="4" w:space="0"/>
              <w:right w:val="single" w:color="000000" w:sz="4" w:space="0"/>
            </w:tcBorders>
            <w:noWrap w:val="0"/>
            <w:vAlign w:val="center"/>
          </w:tcPr>
          <w:p w14:paraId="3DF1B98B">
            <w:pPr>
              <w:tabs>
                <w:tab w:val="left" w:pos="720"/>
              </w:tabs>
              <w:adjustRightInd w:val="0"/>
              <w:snapToGrid w:val="0"/>
              <w:jc w:val="left"/>
              <w:rPr>
                <w:rFonts w:ascii="仿宋" w:eastAsia="仿宋" w:cs="仿宋"/>
                <w:sz w:val="24"/>
                <w:szCs w:val="24"/>
              </w:rPr>
            </w:pPr>
            <w:r>
              <w:rPr>
                <w:rFonts w:hint="eastAsia" w:ascii="仿宋" w:eastAsia="仿宋" w:cs="仿宋"/>
                <w:sz w:val="24"/>
                <w:szCs w:val="24"/>
              </w:rPr>
              <w:t>先修课程：基本乐理、和声、钢琴基础、学校音乐教育实践技能训练（中小学歌曲弹唱）</w:t>
            </w:r>
          </w:p>
          <w:p w14:paraId="0BD0602D">
            <w:pPr>
              <w:tabs>
                <w:tab w:val="left" w:pos="720"/>
              </w:tabs>
              <w:adjustRightInd w:val="0"/>
              <w:snapToGrid w:val="0"/>
              <w:jc w:val="left"/>
              <w:rPr>
                <w:rFonts w:ascii="仿宋" w:eastAsia="仿宋" w:cs="仿宋"/>
                <w:sz w:val="24"/>
                <w:szCs w:val="24"/>
              </w:rPr>
            </w:pPr>
            <w:r>
              <w:rPr>
                <w:rFonts w:hint="eastAsia" w:ascii="仿宋" w:eastAsia="仿宋" w:cs="仿宋"/>
                <w:sz w:val="24"/>
                <w:szCs w:val="24"/>
              </w:rPr>
              <w:t>后续课程：教育见习、教育实习</w:t>
            </w:r>
          </w:p>
        </w:tc>
      </w:tr>
      <w:tr w14:paraId="35F8DB44">
        <w:trPr>
          <w:trHeight w:val="454" w:hRule="atLeast"/>
        </w:trPr>
        <w:tc>
          <w:tcPr>
            <w:tcW w:w="1299" w:type="dxa"/>
            <w:tcBorders>
              <w:top w:val="single" w:color="000000" w:sz="4" w:space="0"/>
              <w:left w:val="single" w:color="000000" w:sz="4" w:space="0"/>
              <w:bottom w:val="single" w:color="000000" w:sz="4" w:space="0"/>
              <w:right w:val="single" w:color="000000" w:sz="4" w:space="0"/>
            </w:tcBorders>
            <w:noWrap w:val="0"/>
            <w:vAlign w:val="center"/>
          </w:tcPr>
          <w:p w14:paraId="4D6A1C44">
            <w:pPr>
              <w:jc w:val="center"/>
              <w:rPr>
                <w:rFonts w:ascii="仿宋" w:eastAsia="仿宋" w:cs="仿宋"/>
                <w:sz w:val="24"/>
                <w:szCs w:val="24"/>
              </w:rPr>
            </w:pPr>
            <w:r>
              <w:rPr>
                <w:rFonts w:hint="eastAsia" w:ascii="仿宋" w:eastAsia="仿宋" w:cs="仿宋"/>
                <w:sz w:val="24"/>
                <w:szCs w:val="24"/>
              </w:rPr>
              <w:t>适用专业</w:t>
            </w:r>
          </w:p>
        </w:tc>
        <w:tc>
          <w:tcPr>
            <w:tcW w:w="8067" w:type="dxa"/>
            <w:gridSpan w:val="12"/>
            <w:tcBorders>
              <w:top w:val="single" w:color="000000" w:sz="4" w:space="0"/>
              <w:left w:val="single" w:color="000000" w:sz="4" w:space="0"/>
              <w:bottom w:val="single" w:color="000000" w:sz="4" w:space="0"/>
              <w:right w:val="single" w:color="000000" w:sz="4" w:space="0"/>
            </w:tcBorders>
            <w:noWrap w:val="0"/>
            <w:vAlign w:val="center"/>
          </w:tcPr>
          <w:p w14:paraId="16088F9A">
            <w:pPr>
              <w:adjustRightInd w:val="0"/>
              <w:snapToGrid w:val="0"/>
              <w:jc w:val="center"/>
              <w:rPr>
                <w:rFonts w:ascii="仿宋" w:eastAsia="仿宋" w:cs="仿宋"/>
                <w:sz w:val="24"/>
                <w:szCs w:val="24"/>
              </w:rPr>
            </w:pPr>
            <w:r>
              <w:rPr>
                <w:rFonts w:hint="eastAsia" w:ascii="仿宋" w:eastAsia="仿宋" w:cs="仿宋"/>
                <w:sz w:val="24"/>
                <w:szCs w:val="24"/>
              </w:rPr>
              <w:t>音乐学</w:t>
            </w:r>
          </w:p>
        </w:tc>
      </w:tr>
      <w:tr w14:paraId="19E3E9AA">
        <w:tc>
          <w:tcPr>
            <w:tcW w:w="1299" w:type="dxa"/>
            <w:tcBorders>
              <w:top w:val="single" w:color="000000" w:sz="4" w:space="0"/>
              <w:left w:val="single" w:color="000000" w:sz="4" w:space="0"/>
              <w:bottom w:val="single" w:color="000000" w:sz="4" w:space="0"/>
              <w:right w:val="single" w:color="000000" w:sz="4" w:space="0"/>
            </w:tcBorders>
            <w:noWrap w:val="0"/>
            <w:vAlign w:val="center"/>
          </w:tcPr>
          <w:p w14:paraId="129DA063">
            <w:pPr>
              <w:jc w:val="center"/>
              <w:rPr>
                <w:rFonts w:ascii="仿宋" w:eastAsia="仿宋" w:cs="仿宋"/>
                <w:sz w:val="24"/>
                <w:szCs w:val="24"/>
              </w:rPr>
            </w:pPr>
            <w:r>
              <w:rPr>
                <w:rFonts w:hint="eastAsia" w:ascii="仿宋" w:eastAsia="仿宋" w:cs="仿宋"/>
                <w:sz w:val="24"/>
                <w:szCs w:val="24"/>
              </w:rPr>
              <w:t>A</w:t>
            </w:r>
          </w:p>
          <w:p w14:paraId="6B9AB643">
            <w:pPr>
              <w:jc w:val="center"/>
              <w:rPr>
                <w:rFonts w:ascii="仿宋" w:eastAsia="仿宋" w:cs="仿宋"/>
                <w:sz w:val="24"/>
                <w:szCs w:val="24"/>
              </w:rPr>
            </w:pPr>
            <w:r>
              <w:rPr>
                <w:rFonts w:hint="eastAsia" w:ascii="仿宋" w:eastAsia="仿宋" w:cs="仿宋"/>
                <w:sz w:val="24"/>
                <w:szCs w:val="24"/>
              </w:rPr>
              <w:t>参考教材</w:t>
            </w:r>
          </w:p>
        </w:tc>
        <w:tc>
          <w:tcPr>
            <w:tcW w:w="8067" w:type="dxa"/>
            <w:gridSpan w:val="12"/>
            <w:tcBorders>
              <w:top w:val="single" w:color="000000" w:sz="4" w:space="0"/>
              <w:left w:val="single" w:color="000000" w:sz="4" w:space="0"/>
              <w:bottom w:val="single" w:color="000000" w:sz="4" w:space="0"/>
              <w:right w:val="single" w:color="000000" w:sz="4" w:space="0"/>
            </w:tcBorders>
            <w:noWrap w:val="0"/>
            <w:vAlign w:val="center"/>
          </w:tcPr>
          <w:p w14:paraId="2CCA478C">
            <w:pPr>
              <w:adjustRightInd w:val="0"/>
              <w:snapToGrid w:val="0"/>
              <w:jc w:val="left"/>
              <w:rPr>
                <w:rFonts w:hint="eastAsia" w:ascii="仿宋" w:hAnsi="仿宋" w:eastAsia="仿宋" w:cs="仿宋"/>
                <w:bCs/>
                <w:color w:val="000000"/>
                <w:sz w:val="24"/>
                <w:szCs w:val="24"/>
              </w:rPr>
            </w:pPr>
            <w:r>
              <w:rPr>
                <w:rFonts w:hint="eastAsia" w:ascii="仿宋" w:hAnsi="仿宋" w:eastAsia="仿宋" w:cs="仿宋"/>
                <w:bCs/>
                <w:color w:val="000000"/>
                <w:sz w:val="24"/>
                <w:szCs w:val="24"/>
              </w:rPr>
              <w:t>[1]</w:t>
            </w:r>
            <w:r>
              <w:rPr>
                <w:rFonts w:ascii="仿宋" w:hAnsi="仿宋" w:eastAsia="仿宋" w:cs="仿宋"/>
                <w:bCs/>
                <w:color w:val="000000"/>
                <w:sz w:val="24"/>
                <w:szCs w:val="24"/>
              </w:rPr>
              <w:t xml:space="preserve"> 李易忆.《钢琴即兴伴奏(演奏)实用教程》，上海音乐出版社。</w:t>
            </w:r>
          </w:p>
          <w:p w14:paraId="6D723078">
            <w:pPr>
              <w:adjustRightInd w:val="0"/>
              <w:snapToGrid w:val="0"/>
              <w:jc w:val="left"/>
              <w:rPr>
                <w:rFonts w:ascii="仿宋" w:hAnsi="仿宋" w:eastAsia="仿宋" w:cs="仿宋"/>
                <w:bCs/>
                <w:color w:val="000000"/>
                <w:sz w:val="24"/>
                <w:szCs w:val="24"/>
              </w:rPr>
            </w:pPr>
            <w:r>
              <w:rPr>
                <w:rFonts w:hint="eastAsia" w:ascii="仿宋" w:hAnsi="仿宋" w:eastAsia="仿宋" w:cs="仿宋"/>
                <w:bCs/>
                <w:color w:val="000000"/>
                <w:sz w:val="24"/>
                <w:szCs w:val="24"/>
              </w:rPr>
              <w:t>[2]《中小学音乐教材》，人民教育出版社。</w:t>
            </w:r>
          </w:p>
          <w:p w14:paraId="7AC35BA8">
            <w:pPr>
              <w:adjustRightInd w:val="0"/>
              <w:snapToGrid w:val="0"/>
              <w:jc w:val="left"/>
              <w:rPr>
                <w:rFonts w:hint="eastAsia" w:ascii="仿宋" w:hAnsi="仿宋" w:eastAsia="仿宋" w:cs="仿宋"/>
                <w:bCs/>
                <w:color w:val="000000"/>
                <w:sz w:val="24"/>
                <w:szCs w:val="24"/>
              </w:rPr>
            </w:pPr>
            <w:r>
              <w:rPr>
                <w:rFonts w:hint="eastAsia" w:ascii="仿宋" w:hAnsi="仿宋" w:eastAsia="仿宋" w:cs="仿宋"/>
                <w:bCs/>
                <w:color w:val="000000"/>
                <w:sz w:val="24"/>
                <w:szCs w:val="24"/>
              </w:rPr>
              <w:t>[</w:t>
            </w:r>
            <w:r>
              <w:rPr>
                <w:rFonts w:ascii="仿宋" w:hAnsi="仿宋" w:eastAsia="仿宋" w:cs="仿宋"/>
                <w:bCs/>
                <w:color w:val="000000"/>
                <w:sz w:val="24"/>
                <w:szCs w:val="24"/>
              </w:rPr>
              <w:t>3</w:t>
            </w:r>
            <w:r>
              <w:rPr>
                <w:rFonts w:hint="eastAsia" w:ascii="仿宋" w:hAnsi="仿宋" w:eastAsia="仿宋" w:cs="仿宋"/>
                <w:bCs/>
                <w:color w:val="000000"/>
                <w:sz w:val="24"/>
                <w:szCs w:val="24"/>
              </w:rPr>
              <w:t>]《中小学音乐教材》，人民音乐出版社。</w:t>
            </w:r>
          </w:p>
        </w:tc>
      </w:tr>
      <w:tr w14:paraId="73740CA5">
        <w:tc>
          <w:tcPr>
            <w:tcW w:w="1299" w:type="dxa"/>
            <w:tcBorders>
              <w:top w:val="single" w:color="000000" w:sz="4" w:space="0"/>
              <w:left w:val="single" w:color="000000" w:sz="4" w:space="0"/>
              <w:bottom w:val="single" w:color="000000" w:sz="4" w:space="0"/>
              <w:right w:val="single" w:color="000000" w:sz="4" w:space="0"/>
            </w:tcBorders>
            <w:noWrap w:val="0"/>
            <w:vAlign w:val="center"/>
          </w:tcPr>
          <w:p w14:paraId="1AC824C7">
            <w:pPr>
              <w:jc w:val="center"/>
              <w:rPr>
                <w:rFonts w:ascii="仿宋" w:eastAsia="仿宋" w:cs="仿宋"/>
                <w:sz w:val="24"/>
                <w:szCs w:val="24"/>
              </w:rPr>
            </w:pPr>
            <w:r>
              <w:rPr>
                <w:rFonts w:hint="eastAsia" w:ascii="仿宋" w:eastAsia="仿宋" w:cs="仿宋"/>
                <w:sz w:val="24"/>
                <w:szCs w:val="24"/>
              </w:rPr>
              <w:t>B</w:t>
            </w:r>
          </w:p>
          <w:p w14:paraId="3EE4FF4F">
            <w:pPr>
              <w:jc w:val="center"/>
              <w:rPr>
                <w:rFonts w:ascii="仿宋" w:eastAsia="仿宋" w:cs="仿宋"/>
                <w:sz w:val="24"/>
                <w:szCs w:val="24"/>
              </w:rPr>
            </w:pPr>
            <w:r>
              <w:rPr>
                <w:rFonts w:hint="eastAsia" w:ascii="仿宋" w:eastAsia="仿宋" w:cs="仿宋"/>
                <w:sz w:val="24"/>
                <w:szCs w:val="24"/>
              </w:rPr>
              <w:t>主要参考书籍</w:t>
            </w:r>
          </w:p>
        </w:tc>
        <w:tc>
          <w:tcPr>
            <w:tcW w:w="8067" w:type="dxa"/>
            <w:gridSpan w:val="12"/>
            <w:tcBorders>
              <w:top w:val="single" w:color="000000" w:sz="4" w:space="0"/>
              <w:left w:val="single" w:color="000000" w:sz="4" w:space="0"/>
              <w:bottom w:val="single" w:color="000000" w:sz="4" w:space="0"/>
              <w:right w:val="single" w:color="000000" w:sz="4" w:space="0"/>
            </w:tcBorders>
            <w:noWrap w:val="0"/>
            <w:vAlign w:val="center"/>
          </w:tcPr>
          <w:p w14:paraId="164D7617">
            <w:pPr>
              <w:adjustRightInd w:val="0"/>
              <w:snapToGrid w:val="0"/>
              <w:jc w:val="left"/>
              <w:rPr>
                <w:rFonts w:ascii="仿宋" w:hAnsi="仿宋" w:eastAsia="仿宋" w:cs="仿宋"/>
                <w:bCs/>
                <w:sz w:val="24"/>
                <w:szCs w:val="24"/>
              </w:rPr>
            </w:pPr>
            <w:r>
              <w:rPr>
                <w:rFonts w:hint="eastAsia" w:ascii="仿宋" w:hAnsi="仿宋" w:eastAsia="仿宋" w:cs="仿宋"/>
                <w:bCs/>
                <w:color w:val="000000"/>
                <w:sz w:val="24"/>
                <w:szCs w:val="24"/>
              </w:rPr>
              <w:t>[1] 冯德钢.《歌曲钢琴即兴伴奏》，西南师范大学出版社。</w:t>
            </w:r>
          </w:p>
          <w:p w14:paraId="0E371CB5">
            <w:pPr>
              <w:adjustRightInd w:val="0"/>
              <w:snapToGrid w:val="0"/>
              <w:jc w:val="left"/>
              <w:rPr>
                <w:rFonts w:hint="eastAsia" w:ascii="仿宋" w:hAnsi="仿宋" w:eastAsia="仿宋" w:cs="仿宋"/>
                <w:bCs/>
                <w:sz w:val="24"/>
                <w:szCs w:val="24"/>
              </w:rPr>
            </w:pPr>
            <w:r>
              <w:rPr>
                <w:rFonts w:hint="eastAsia" w:ascii="仿宋" w:hAnsi="仿宋" w:eastAsia="仿宋" w:cs="仿宋"/>
                <w:bCs/>
                <w:color w:val="000000"/>
                <w:sz w:val="24"/>
                <w:szCs w:val="24"/>
              </w:rPr>
              <w:t>[2] 张伟.《自弹自唱基础教程》，高等教育出版社。</w:t>
            </w:r>
          </w:p>
        </w:tc>
      </w:tr>
      <w:tr w14:paraId="3834A8A1">
        <w:tc>
          <w:tcPr>
            <w:tcW w:w="1299" w:type="dxa"/>
            <w:tcBorders>
              <w:top w:val="single" w:color="000000" w:sz="4" w:space="0"/>
              <w:left w:val="single" w:color="000000" w:sz="4" w:space="0"/>
              <w:bottom w:val="single" w:color="000000" w:sz="4" w:space="0"/>
              <w:right w:val="single" w:color="000000" w:sz="4" w:space="0"/>
            </w:tcBorders>
            <w:noWrap w:val="0"/>
            <w:vAlign w:val="center"/>
          </w:tcPr>
          <w:p w14:paraId="68F4BA18">
            <w:pPr>
              <w:jc w:val="center"/>
              <w:rPr>
                <w:rFonts w:ascii="仿宋" w:eastAsia="仿宋" w:cs="仿宋"/>
                <w:sz w:val="24"/>
                <w:szCs w:val="24"/>
              </w:rPr>
            </w:pPr>
            <w:r>
              <w:rPr>
                <w:rFonts w:hint="eastAsia" w:ascii="仿宋" w:eastAsia="仿宋" w:cs="仿宋"/>
                <w:sz w:val="24"/>
                <w:szCs w:val="24"/>
              </w:rPr>
              <w:t>C</w:t>
            </w:r>
          </w:p>
          <w:p w14:paraId="0973D693">
            <w:pPr>
              <w:jc w:val="center"/>
              <w:rPr>
                <w:rFonts w:ascii="仿宋" w:eastAsia="仿宋" w:cs="仿宋"/>
                <w:sz w:val="24"/>
                <w:szCs w:val="24"/>
              </w:rPr>
            </w:pPr>
            <w:r>
              <w:rPr>
                <w:rFonts w:hint="eastAsia" w:ascii="仿宋" w:eastAsia="仿宋" w:cs="仿宋"/>
                <w:sz w:val="24"/>
                <w:szCs w:val="24"/>
              </w:rPr>
              <w:t>线上学习资源</w:t>
            </w:r>
          </w:p>
        </w:tc>
        <w:tc>
          <w:tcPr>
            <w:tcW w:w="8067" w:type="dxa"/>
            <w:gridSpan w:val="12"/>
            <w:tcBorders>
              <w:top w:val="single" w:color="000000" w:sz="4" w:space="0"/>
              <w:left w:val="single" w:color="000000" w:sz="4" w:space="0"/>
              <w:bottom w:val="single" w:color="000000" w:sz="4" w:space="0"/>
              <w:right w:val="single" w:color="000000" w:sz="4" w:space="0"/>
            </w:tcBorders>
            <w:noWrap w:val="0"/>
            <w:vAlign w:val="center"/>
          </w:tcPr>
          <w:p w14:paraId="14C78222">
            <w:pPr>
              <w:adjustRightInd w:val="0"/>
              <w:snapToGrid w:val="0"/>
              <w:jc w:val="left"/>
              <w:rPr>
                <w:rFonts w:ascii="仿宋" w:hAnsi="仿宋" w:eastAsia="仿宋" w:cs="仿宋"/>
                <w:bCs/>
                <w:sz w:val="24"/>
                <w:szCs w:val="24"/>
              </w:rPr>
            </w:pPr>
            <w:r>
              <w:rPr>
                <w:rFonts w:hint="eastAsia" w:ascii="仿宋" w:hAnsi="仿宋" w:eastAsia="仿宋" w:cs="仿宋"/>
                <w:bCs/>
                <w:color w:val="000000"/>
                <w:sz w:val="24"/>
                <w:szCs w:val="24"/>
              </w:rPr>
              <w:t>线上课程推荐：</w:t>
            </w:r>
          </w:p>
          <w:p w14:paraId="25B4A9AC">
            <w:pPr>
              <w:adjustRightInd w:val="0"/>
              <w:snapToGrid w:val="0"/>
              <w:jc w:val="left"/>
              <w:rPr>
                <w:rFonts w:ascii="仿宋" w:hAnsi="仿宋" w:eastAsia="仿宋" w:cs="仿宋"/>
                <w:bCs/>
                <w:sz w:val="24"/>
                <w:szCs w:val="24"/>
              </w:rPr>
            </w:pPr>
            <w:r>
              <w:rPr>
                <w:rFonts w:hint="eastAsia" w:ascii="仿宋" w:hAnsi="仿宋" w:eastAsia="仿宋" w:cs="仿宋"/>
                <w:bCs/>
                <w:color w:val="000000"/>
                <w:sz w:val="24"/>
                <w:szCs w:val="24"/>
              </w:rPr>
              <w:t>[1]抖音-</w:t>
            </w:r>
            <w:r>
              <w:rPr>
                <w:rFonts w:ascii="仿宋" w:hAnsi="仿宋" w:eastAsia="仿宋" w:cs="仿宋"/>
                <w:bCs/>
                <w:color w:val="000000"/>
                <w:sz w:val="24"/>
                <w:szCs w:val="24"/>
              </w:rPr>
              <w:t>--</w:t>
            </w:r>
            <w:r>
              <w:rPr>
                <w:rFonts w:hint="eastAsia" w:ascii="仿宋" w:hAnsi="仿宋" w:eastAsia="仿宋" w:cs="仿宋"/>
                <w:bCs/>
                <w:color w:val="000000"/>
                <w:sz w:val="24"/>
                <w:szCs w:val="24"/>
              </w:rPr>
              <w:t>邓垚</w:t>
            </w:r>
          </w:p>
          <w:p w14:paraId="09503DBE">
            <w:pPr>
              <w:adjustRightInd w:val="0"/>
              <w:snapToGrid w:val="0"/>
              <w:jc w:val="left"/>
              <w:rPr>
                <w:rFonts w:ascii="仿宋" w:hAnsi="仿宋" w:eastAsia="仿宋" w:cs="仿宋"/>
                <w:bCs/>
                <w:sz w:val="24"/>
                <w:szCs w:val="24"/>
              </w:rPr>
            </w:pPr>
            <w:r>
              <w:rPr>
                <w:rFonts w:hint="eastAsia" w:ascii="仿宋" w:hAnsi="仿宋" w:eastAsia="仿宋" w:cs="仿宋"/>
                <w:bCs/>
                <w:color w:val="000000"/>
                <w:sz w:val="24"/>
                <w:szCs w:val="24"/>
              </w:rPr>
              <w:t>[</w:t>
            </w:r>
            <w:r>
              <w:rPr>
                <w:rFonts w:ascii="仿宋" w:hAnsi="仿宋" w:eastAsia="仿宋" w:cs="仿宋"/>
                <w:bCs/>
                <w:color w:val="000000"/>
                <w:sz w:val="24"/>
                <w:szCs w:val="24"/>
              </w:rPr>
              <w:t>2</w:t>
            </w:r>
            <w:r>
              <w:rPr>
                <w:rFonts w:hint="eastAsia" w:ascii="仿宋" w:hAnsi="仿宋" w:eastAsia="仿宋" w:cs="仿宋"/>
                <w:bCs/>
                <w:color w:val="000000"/>
                <w:sz w:val="24"/>
                <w:szCs w:val="24"/>
              </w:rPr>
              <w:t>]音乐人网</w:t>
            </w:r>
          </w:p>
          <w:p w14:paraId="7C0F1D56">
            <w:pPr>
              <w:adjustRightInd w:val="0"/>
              <w:snapToGrid w:val="0"/>
              <w:jc w:val="left"/>
              <w:rPr>
                <w:rFonts w:ascii="仿宋" w:hAnsi="仿宋" w:eastAsia="仿宋" w:cs="仿宋"/>
                <w:bCs/>
                <w:sz w:val="24"/>
                <w:szCs w:val="24"/>
              </w:rPr>
            </w:pPr>
            <w:r>
              <w:rPr>
                <w:rFonts w:hint="eastAsia" w:ascii="仿宋" w:hAnsi="仿宋" w:eastAsia="仿宋" w:cs="仿宋"/>
                <w:bCs/>
                <w:color w:val="000000"/>
                <w:sz w:val="24"/>
                <w:szCs w:val="24"/>
              </w:rPr>
              <w:t>[</w:t>
            </w:r>
            <w:r>
              <w:rPr>
                <w:rFonts w:ascii="仿宋" w:hAnsi="仿宋" w:eastAsia="仿宋" w:cs="仿宋"/>
                <w:bCs/>
                <w:color w:val="000000"/>
                <w:sz w:val="24"/>
                <w:szCs w:val="24"/>
              </w:rPr>
              <w:t>3</w:t>
            </w:r>
            <w:r>
              <w:rPr>
                <w:rFonts w:hint="eastAsia" w:ascii="仿宋" w:hAnsi="仿宋" w:eastAsia="仿宋" w:cs="仿宋"/>
                <w:bCs/>
                <w:color w:val="000000"/>
                <w:sz w:val="24"/>
                <w:szCs w:val="24"/>
              </w:rPr>
              <w:t>]即兴音乐人公众号</w:t>
            </w:r>
          </w:p>
        </w:tc>
      </w:tr>
      <w:tr w14:paraId="6079CDF7">
        <w:trPr>
          <w:trHeight w:val="90" w:hRule="atLeast"/>
        </w:trPr>
        <w:tc>
          <w:tcPr>
            <w:tcW w:w="12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59DD2F">
            <w:pPr>
              <w:jc w:val="center"/>
              <w:rPr>
                <w:rFonts w:ascii="仿宋" w:eastAsia="仿宋" w:cs="仿宋"/>
                <w:sz w:val="24"/>
                <w:szCs w:val="24"/>
              </w:rPr>
            </w:pPr>
            <w:r>
              <w:rPr>
                <w:rFonts w:hint="eastAsia" w:ascii="仿宋" w:eastAsia="仿宋" w:cs="仿宋"/>
                <w:sz w:val="24"/>
                <w:szCs w:val="24"/>
              </w:rPr>
              <w:t>D</w:t>
            </w:r>
          </w:p>
          <w:p w14:paraId="657DD536">
            <w:pPr>
              <w:jc w:val="center"/>
              <w:rPr>
                <w:rFonts w:ascii="仿宋" w:eastAsia="仿宋" w:cs="仿宋"/>
                <w:sz w:val="24"/>
                <w:szCs w:val="24"/>
              </w:rPr>
            </w:pPr>
            <w:r>
              <w:rPr>
                <w:rFonts w:hint="eastAsia" w:ascii="仿宋" w:eastAsia="仿宋" w:cs="仿宋"/>
                <w:sz w:val="24"/>
                <w:szCs w:val="24"/>
              </w:rPr>
              <w:t xml:space="preserve">课程描述 </w:t>
            </w:r>
          </w:p>
          <w:p w14:paraId="1C5B3B66">
            <w:pPr>
              <w:jc w:val="center"/>
              <w:rPr>
                <w:rFonts w:ascii="仿宋" w:eastAsia="仿宋" w:cs="仿宋"/>
                <w:sz w:val="24"/>
                <w:szCs w:val="24"/>
              </w:rPr>
            </w:pPr>
            <w:r>
              <w:rPr>
                <w:rFonts w:hint="eastAsia" w:ascii="仿宋" w:eastAsia="仿宋" w:cs="仿宋"/>
                <w:sz w:val="24"/>
                <w:szCs w:val="24"/>
                <w:lang w:eastAsia="zh-TW"/>
              </w:rPr>
              <w:t>(</w:t>
            </w:r>
            <w:r>
              <w:rPr>
                <w:rFonts w:hint="eastAsia" w:ascii="仿宋" w:eastAsia="仿宋" w:cs="仿宋"/>
                <w:sz w:val="24"/>
                <w:szCs w:val="24"/>
              </w:rPr>
              <w:t>含</w:t>
            </w:r>
            <w:r>
              <w:rPr>
                <w:rFonts w:hint="eastAsia" w:ascii="仿宋" w:eastAsia="仿宋" w:cs="仿宋"/>
                <w:sz w:val="24"/>
                <w:szCs w:val="24"/>
                <w:lang w:eastAsia="zh-TW"/>
              </w:rPr>
              <w:t>性质、地位和任务)</w:t>
            </w:r>
          </w:p>
        </w:tc>
        <w:tc>
          <w:tcPr>
            <w:tcW w:w="8067" w:type="dxa"/>
            <w:gridSpan w:val="1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621964">
            <w:pPr>
              <w:adjustRightInd w:val="0"/>
              <w:snapToGrid w:val="0"/>
              <w:jc w:val="left"/>
              <w:rPr>
                <w:rFonts w:ascii="仿宋" w:hAnsi="仿宋" w:eastAsia="仿宋" w:cs="仿宋"/>
                <w:bCs/>
                <w:sz w:val="24"/>
                <w:szCs w:val="24"/>
              </w:rPr>
            </w:pPr>
            <w:r>
              <w:rPr>
                <w:rFonts w:hint="eastAsia" w:ascii="仿宋" w:hAnsi="仿宋" w:eastAsia="仿宋" w:cs="仿宋"/>
                <w:bCs/>
                <w:color w:val="000000"/>
                <w:sz w:val="24"/>
                <w:szCs w:val="24"/>
              </w:rPr>
              <w:t>钢琴即兴伴奏作为音乐学专业的专业核心课，旨在培养学生编配及弹奏歌曲伴奏、弹唱中小学音乐教材及其它相关歌曲的意识和能力。通过线上线下混合式学习、同伴式探究学习、实践驱动等形式，引导学生重视伴奏编配方法与弹奏实践，习得教育见习与实习课程所必须的专业技能。</w:t>
            </w:r>
          </w:p>
        </w:tc>
      </w:tr>
      <w:tr w14:paraId="3D3BDFA6">
        <w:trPr>
          <w:trHeight w:val="769" w:hRule="atLeast"/>
        </w:trPr>
        <w:tc>
          <w:tcPr>
            <w:tcW w:w="1299"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71C524">
            <w:pPr>
              <w:jc w:val="center"/>
              <w:rPr>
                <w:rFonts w:ascii="仿宋" w:eastAsia="仿宋" w:cs="仿宋"/>
                <w:sz w:val="24"/>
                <w:szCs w:val="24"/>
              </w:rPr>
            </w:pPr>
            <w:r>
              <w:rPr>
                <w:rFonts w:hint="eastAsia" w:ascii="仿宋" w:eastAsia="仿宋" w:cs="仿宋"/>
                <w:sz w:val="24"/>
                <w:szCs w:val="24"/>
              </w:rPr>
              <w:t>E</w:t>
            </w:r>
          </w:p>
          <w:p w14:paraId="72EC2642">
            <w:pPr>
              <w:jc w:val="center"/>
              <w:rPr>
                <w:rFonts w:ascii="仿宋" w:eastAsia="仿宋" w:cs="仿宋"/>
                <w:sz w:val="24"/>
                <w:szCs w:val="24"/>
              </w:rPr>
            </w:pPr>
            <w:r>
              <w:rPr>
                <w:rFonts w:hint="eastAsia" w:ascii="仿宋" w:eastAsia="仿宋" w:cs="仿宋"/>
                <w:sz w:val="24"/>
                <w:szCs w:val="24"/>
              </w:rPr>
              <w:t>课程学习目标及其与毕业要求的对应关系</w:t>
            </w:r>
          </w:p>
        </w:tc>
        <w:tc>
          <w:tcPr>
            <w:tcW w:w="8067" w:type="dxa"/>
            <w:gridSpan w:val="1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B4CDF6">
            <w:pPr>
              <w:adjustRightInd w:val="0"/>
              <w:snapToGrid w:val="0"/>
              <w:jc w:val="left"/>
              <w:rPr>
                <w:rFonts w:ascii="仿宋" w:eastAsia="仿宋" w:cs="仿宋"/>
                <w:sz w:val="24"/>
                <w:szCs w:val="24"/>
              </w:rPr>
            </w:pPr>
            <w:r>
              <w:rPr>
                <w:rFonts w:hint="eastAsia" w:ascii="仿宋" w:eastAsia="仿宋" w:cs="仿宋"/>
                <w:sz w:val="24"/>
                <w:szCs w:val="24"/>
              </w:rPr>
              <w:t>通过本课程的学习，学生具备如下知识、能力及情感态度价值观：</w:t>
            </w:r>
          </w:p>
          <w:p w14:paraId="123C8734">
            <w:pPr>
              <w:widowControl/>
              <w:adjustRightInd w:val="0"/>
              <w:snapToGrid w:val="0"/>
              <w:jc w:val="left"/>
              <w:rPr>
                <w:rFonts w:ascii="仿宋" w:eastAsia="仿宋" w:cs="仿宋"/>
                <w:sz w:val="24"/>
                <w:szCs w:val="24"/>
              </w:rPr>
            </w:pPr>
            <w:r>
              <w:rPr>
                <w:rFonts w:hint="eastAsia" w:ascii="仿宋" w:eastAsia="仿宋" w:cs="仿宋"/>
                <w:sz w:val="24"/>
                <w:szCs w:val="24"/>
              </w:rPr>
              <w:t>课程目标1：了解钢琴即兴伴奏的基本理论与研究方法；掌握为中小学音乐教材歌曲编配钢琴伴奏的方法。鉴别中国传统歌曲和欧美歌曲及现代流行歌曲的和声特征的异同。（支撑毕业要求4.3）</w:t>
            </w:r>
          </w:p>
          <w:p w14:paraId="25AB90B7">
            <w:pPr>
              <w:widowControl/>
              <w:adjustRightInd w:val="0"/>
              <w:snapToGrid w:val="0"/>
              <w:jc w:val="left"/>
              <w:rPr>
                <w:rFonts w:ascii="仿宋" w:eastAsia="仿宋" w:cs="仿宋"/>
                <w:sz w:val="24"/>
                <w:szCs w:val="24"/>
              </w:rPr>
            </w:pPr>
            <w:r>
              <w:rPr>
                <w:rFonts w:hint="eastAsia" w:ascii="仿宋" w:eastAsia="仿宋" w:cs="仿宋"/>
                <w:sz w:val="24"/>
                <w:szCs w:val="24"/>
              </w:rPr>
              <w:t>课程目标2：掌握弹奏中小学音乐教材歌曲伴奏并演唱的技能。正确弹奏大小调体系和声与民族和声。（支撑毕业要求3.1）</w:t>
            </w:r>
          </w:p>
          <w:p w14:paraId="1A72BCD9">
            <w:pPr>
              <w:snapToGrid w:val="0"/>
              <w:rPr>
                <w:rFonts w:ascii="仿宋" w:eastAsia="仿宋"/>
                <w:sz w:val="24"/>
              </w:rPr>
            </w:pPr>
            <w:r>
              <w:rPr>
                <w:rFonts w:hint="eastAsia" w:ascii="仿宋" w:eastAsia="仿宋" w:cs="仿宋"/>
                <w:sz w:val="24"/>
                <w:szCs w:val="24"/>
              </w:rPr>
              <w:t>课程目标3：具备团队协作进行作品创编、排练演出的能力。领会沟通合作在音乐创作与排演中的重要意义。（支撑毕业要求8.1、8.2）</w:t>
            </w:r>
          </w:p>
        </w:tc>
      </w:tr>
      <w:tr w14:paraId="32E3E879">
        <w:trPr>
          <w:trHeight w:val="642" w:hRule="atLeast"/>
        </w:trPr>
        <w:tc>
          <w:tcPr>
            <w:tcW w:w="129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AF1EE7"/>
        </w:tc>
        <w:tc>
          <w:tcPr>
            <w:tcW w:w="132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B5C4C1">
            <w:pPr>
              <w:jc w:val="center"/>
              <w:rPr>
                <w:rFonts w:ascii="仿宋" w:eastAsia="仿宋" w:cs="仿宋"/>
                <w:sz w:val="24"/>
                <w:szCs w:val="24"/>
              </w:rPr>
            </w:pPr>
            <w:r>
              <w:rPr>
                <w:rFonts w:hint="eastAsia" w:ascii="仿宋" w:eastAsia="仿宋" w:cs="仿宋"/>
                <w:sz w:val="24"/>
                <w:szCs w:val="24"/>
              </w:rPr>
              <w:t>课程目标</w:t>
            </w:r>
          </w:p>
        </w:tc>
        <w:tc>
          <w:tcPr>
            <w:tcW w:w="4351" w:type="dxa"/>
            <w:gridSpan w:val="7"/>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A85F4B">
            <w:pPr>
              <w:jc w:val="center"/>
              <w:rPr>
                <w:rFonts w:ascii="仿宋" w:eastAsia="仿宋" w:cs="仿宋"/>
                <w:sz w:val="24"/>
                <w:szCs w:val="24"/>
              </w:rPr>
            </w:pPr>
            <w:r>
              <w:rPr>
                <w:rFonts w:hint="eastAsia" w:ascii="仿宋" w:eastAsia="仿宋" w:cs="仿宋"/>
                <w:sz w:val="24"/>
                <w:szCs w:val="24"/>
              </w:rPr>
              <w:t>毕业要求分解指标点</w:t>
            </w:r>
          </w:p>
        </w:tc>
        <w:tc>
          <w:tcPr>
            <w:tcW w:w="2392"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4388AB">
            <w:pPr>
              <w:jc w:val="center"/>
              <w:rPr>
                <w:rFonts w:ascii="仿宋" w:eastAsia="仿宋" w:cs="仿宋"/>
                <w:sz w:val="24"/>
                <w:szCs w:val="24"/>
              </w:rPr>
            </w:pPr>
            <w:r>
              <w:rPr>
                <w:rFonts w:hint="eastAsia" w:ascii="仿宋" w:eastAsia="仿宋" w:cs="仿宋"/>
                <w:sz w:val="24"/>
                <w:szCs w:val="24"/>
              </w:rPr>
              <w:t>毕业要求</w:t>
            </w:r>
          </w:p>
        </w:tc>
      </w:tr>
      <w:tr w14:paraId="73AD830B">
        <w:trPr>
          <w:trHeight w:val="817" w:hRule="atLeast"/>
        </w:trPr>
        <w:tc>
          <w:tcPr>
            <w:tcW w:w="129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B24A0C"/>
        </w:tc>
        <w:tc>
          <w:tcPr>
            <w:tcW w:w="132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C6D461">
            <w:pPr>
              <w:adjustRightInd w:val="0"/>
              <w:snapToGrid w:val="0"/>
              <w:jc w:val="center"/>
              <w:rPr>
                <w:rFonts w:ascii="仿宋" w:eastAsia="仿宋"/>
                <w:sz w:val="24"/>
              </w:rPr>
            </w:pPr>
            <w:r>
              <w:rPr>
                <w:rFonts w:hint="eastAsia" w:ascii="仿宋" w:eastAsia="仿宋"/>
                <w:sz w:val="24"/>
              </w:rPr>
              <w:t>课程目标1</w:t>
            </w:r>
          </w:p>
        </w:tc>
        <w:tc>
          <w:tcPr>
            <w:tcW w:w="4351" w:type="dxa"/>
            <w:gridSpan w:val="7"/>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4A4D95">
            <w:pPr>
              <w:adjustRightInd w:val="0"/>
              <w:snapToGrid w:val="0"/>
              <w:jc w:val="left"/>
              <w:rPr>
                <w:rFonts w:ascii="仿宋" w:hAnsi="仿宋" w:eastAsia="仿宋" w:cs="仿宋"/>
                <w:bCs/>
                <w:sz w:val="24"/>
                <w:szCs w:val="24"/>
              </w:rPr>
            </w:pPr>
            <w:r>
              <w:rPr>
                <w:rFonts w:hint="eastAsia" w:ascii="仿宋" w:hAnsi="仿宋" w:eastAsia="仿宋" w:cs="仿宋"/>
                <w:bCs/>
                <w:color w:val="000000"/>
                <w:sz w:val="24"/>
                <w:szCs w:val="24"/>
              </w:rPr>
              <w:t xml:space="preserve">4.3【传统文化传承】具有传承传统音乐舞蹈文化的意识，能够运用传统音乐舞蹈文化资源 进行课堂教学和开展课外音乐舞蹈活动。 </w:t>
            </w:r>
          </w:p>
        </w:tc>
        <w:tc>
          <w:tcPr>
            <w:tcW w:w="2392"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DACB3A">
            <w:pPr>
              <w:pStyle w:val="19"/>
              <w:shd w:val="clear" w:color="auto" w:fill="FFFFFF"/>
              <w:jc w:val="center"/>
              <w:rPr>
                <w:rFonts w:ascii="仿宋" w:eastAsia="仿宋" w:cs="仿宋"/>
                <w:kern w:val="2"/>
              </w:rPr>
            </w:pPr>
            <w:r>
              <w:rPr>
                <w:rFonts w:hint="eastAsia" w:ascii="仿宋" w:eastAsia="仿宋" w:cs="仿宋"/>
                <w:kern w:val="2"/>
              </w:rPr>
              <w:t>教学能力（H）</w:t>
            </w:r>
          </w:p>
        </w:tc>
      </w:tr>
      <w:tr w14:paraId="52EF0510">
        <w:trPr>
          <w:trHeight w:val="817" w:hRule="atLeast"/>
        </w:trPr>
        <w:tc>
          <w:tcPr>
            <w:tcW w:w="129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D0436E"/>
        </w:tc>
        <w:tc>
          <w:tcPr>
            <w:tcW w:w="132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D6DECB">
            <w:pPr>
              <w:adjustRightInd w:val="0"/>
              <w:snapToGrid w:val="0"/>
              <w:jc w:val="center"/>
              <w:rPr>
                <w:rFonts w:ascii="仿宋" w:eastAsia="仿宋"/>
                <w:sz w:val="24"/>
              </w:rPr>
            </w:pPr>
            <w:r>
              <w:rPr>
                <w:rFonts w:hint="eastAsia" w:ascii="仿宋" w:eastAsia="仿宋"/>
                <w:sz w:val="24"/>
              </w:rPr>
              <w:t>课程目标2</w:t>
            </w:r>
          </w:p>
        </w:tc>
        <w:tc>
          <w:tcPr>
            <w:tcW w:w="4351" w:type="dxa"/>
            <w:gridSpan w:val="7"/>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5A403F">
            <w:pPr>
              <w:adjustRightInd w:val="0"/>
              <w:snapToGrid w:val="0"/>
              <w:jc w:val="left"/>
              <w:rPr>
                <w:rFonts w:ascii="仿宋" w:hAnsi="仿宋" w:eastAsia="仿宋" w:cs="仿宋"/>
                <w:bCs/>
                <w:sz w:val="24"/>
                <w:szCs w:val="24"/>
              </w:rPr>
            </w:pPr>
            <w:r>
              <w:rPr>
                <w:rFonts w:hint="eastAsia" w:ascii="仿宋" w:hAnsi="仿宋" w:eastAsia="仿宋" w:cs="仿宋"/>
                <w:bCs/>
                <w:color w:val="000000"/>
                <w:sz w:val="24"/>
                <w:szCs w:val="24"/>
              </w:rPr>
              <w:t xml:space="preserve">3.1【专业技能】掌握音乐学科技法技能多项基本功，掌握音乐学科基础知识、基本理论、体系结构与思想方法，理解音乐学科的核心素养的内涵，形成音乐学科核心素养。 </w:t>
            </w:r>
          </w:p>
        </w:tc>
        <w:tc>
          <w:tcPr>
            <w:tcW w:w="2392"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46491B">
            <w:pPr>
              <w:pStyle w:val="19"/>
              <w:shd w:val="clear" w:color="auto" w:fill="FFFFFF"/>
              <w:jc w:val="center"/>
              <w:rPr>
                <w:rFonts w:ascii="仿宋" w:eastAsia="仿宋" w:cs="仿宋"/>
                <w:kern w:val="2"/>
              </w:rPr>
            </w:pPr>
            <w:r>
              <w:rPr>
                <w:rFonts w:hint="eastAsia" w:ascii="仿宋" w:eastAsia="仿宋" w:cs="仿宋"/>
                <w:kern w:val="2"/>
              </w:rPr>
              <w:t>学科素养</w:t>
            </w:r>
            <w:r>
              <w:rPr>
                <w:rFonts w:hint="eastAsia" w:ascii="仿宋" w:eastAsia="仿宋" w:cs="仿宋"/>
              </w:rPr>
              <w:t>（H）</w:t>
            </w:r>
          </w:p>
        </w:tc>
      </w:tr>
      <w:tr w14:paraId="755417F9">
        <w:trPr>
          <w:trHeight w:val="817" w:hRule="atLeast"/>
        </w:trPr>
        <w:tc>
          <w:tcPr>
            <w:tcW w:w="129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37A339"/>
        </w:tc>
        <w:tc>
          <w:tcPr>
            <w:tcW w:w="132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4472D7">
            <w:pPr>
              <w:adjustRightInd w:val="0"/>
              <w:snapToGrid w:val="0"/>
              <w:jc w:val="center"/>
              <w:rPr>
                <w:rFonts w:ascii="仿宋" w:eastAsia="仿宋"/>
                <w:sz w:val="24"/>
              </w:rPr>
            </w:pPr>
            <w:r>
              <w:rPr>
                <w:rFonts w:hint="eastAsia" w:ascii="仿宋" w:eastAsia="仿宋"/>
                <w:sz w:val="24"/>
              </w:rPr>
              <w:t>课程目标3</w:t>
            </w:r>
          </w:p>
        </w:tc>
        <w:tc>
          <w:tcPr>
            <w:tcW w:w="4351" w:type="dxa"/>
            <w:gridSpan w:val="7"/>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0DD531">
            <w:pPr>
              <w:adjustRightInd w:val="0"/>
              <w:snapToGrid w:val="0"/>
              <w:jc w:val="left"/>
              <w:rPr>
                <w:rFonts w:ascii="仿宋" w:hAnsi="仿宋" w:eastAsia="仿宋" w:cs="仿宋"/>
                <w:bCs/>
                <w:sz w:val="24"/>
                <w:szCs w:val="24"/>
              </w:rPr>
            </w:pPr>
            <w:r>
              <w:rPr>
                <w:rFonts w:hint="eastAsia" w:ascii="仿宋" w:hAnsi="仿宋" w:eastAsia="仿宋" w:cs="仿宋"/>
                <w:bCs/>
                <w:color w:val="000000"/>
                <w:sz w:val="24"/>
                <w:szCs w:val="24"/>
              </w:rPr>
              <w:t xml:space="preserve">8.1【沟通交流】掌握人际交往和沟通的方式方法，能够在教育实践、社会实践中与同事、 同行、专家等进行有效沟通交流。 </w:t>
            </w:r>
          </w:p>
          <w:p w14:paraId="631866E2">
            <w:pPr>
              <w:adjustRightInd w:val="0"/>
              <w:snapToGrid w:val="0"/>
              <w:jc w:val="left"/>
              <w:rPr>
                <w:rFonts w:ascii="仿宋" w:hAnsi="仿宋" w:eastAsia="仿宋" w:cs="仿宋"/>
                <w:bCs/>
                <w:sz w:val="24"/>
                <w:szCs w:val="24"/>
              </w:rPr>
            </w:pPr>
            <w:r>
              <w:rPr>
                <w:rFonts w:hint="eastAsia" w:ascii="仿宋" w:hAnsi="仿宋" w:eastAsia="仿宋" w:cs="仿宋"/>
                <w:bCs/>
                <w:color w:val="000000"/>
                <w:sz w:val="24"/>
                <w:szCs w:val="24"/>
              </w:rPr>
              <w:t xml:space="preserve">8.2【团队协作】理解学习共同体的作用，掌握团队协作的基本策略，在课程学习、教育实践、艺术实践等活动中，具有良好的团队协作精神。 </w:t>
            </w:r>
          </w:p>
        </w:tc>
        <w:tc>
          <w:tcPr>
            <w:tcW w:w="2392"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250924">
            <w:pPr>
              <w:widowControl/>
              <w:adjustRightInd w:val="0"/>
              <w:snapToGrid w:val="0"/>
              <w:jc w:val="center"/>
              <w:rPr>
                <w:rFonts w:ascii="仿宋" w:eastAsia="仿宋" w:cs="仿宋"/>
                <w:sz w:val="24"/>
                <w:szCs w:val="24"/>
              </w:rPr>
            </w:pPr>
            <w:r>
              <w:rPr>
                <w:rFonts w:hint="eastAsia" w:ascii="仿宋" w:eastAsia="仿宋" w:cs="仿宋"/>
                <w:sz w:val="24"/>
                <w:szCs w:val="24"/>
              </w:rPr>
              <w:t>沟通合作（L）</w:t>
            </w:r>
          </w:p>
        </w:tc>
      </w:tr>
      <w:tr w14:paraId="1FFD87BF">
        <w:trPr>
          <w:trHeight w:val="582" w:hRule="atLeast"/>
        </w:trPr>
        <w:tc>
          <w:tcPr>
            <w:tcW w:w="1299"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08EFF2">
            <w:pPr>
              <w:jc w:val="center"/>
              <w:rPr>
                <w:rFonts w:ascii="仿宋" w:eastAsia="仿宋" w:cs="仿宋"/>
                <w:sz w:val="24"/>
                <w:szCs w:val="24"/>
              </w:rPr>
            </w:pPr>
            <w:r>
              <w:rPr>
                <w:rFonts w:hint="eastAsia" w:ascii="仿宋" w:eastAsia="仿宋" w:cs="仿宋"/>
                <w:sz w:val="24"/>
                <w:szCs w:val="24"/>
              </w:rPr>
              <w:t>F</w:t>
            </w:r>
          </w:p>
          <w:p w14:paraId="11495B18">
            <w:pPr>
              <w:jc w:val="center"/>
              <w:rPr>
                <w:rFonts w:ascii="仿宋" w:eastAsia="仿宋" w:cs="仿宋"/>
                <w:sz w:val="24"/>
                <w:szCs w:val="24"/>
              </w:rPr>
            </w:pPr>
            <w:r>
              <w:rPr>
                <w:rFonts w:hint="eastAsia" w:ascii="仿宋" w:eastAsia="仿宋" w:cs="仿宋"/>
                <w:sz w:val="24"/>
                <w:szCs w:val="24"/>
              </w:rPr>
              <w:t>理论学习内容</w:t>
            </w:r>
          </w:p>
        </w:tc>
        <w:tc>
          <w:tcPr>
            <w:tcW w:w="5675" w:type="dxa"/>
            <w:gridSpan w:val="8"/>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C4A050">
            <w:pPr>
              <w:jc w:val="center"/>
              <w:rPr>
                <w:rFonts w:ascii="仿宋" w:eastAsia="仿宋" w:cs="仿宋"/>
                <w:sz w:val="24"/>
                <w:szCs w:val="24"/>
              </w:rPr>
            </w:pPr>
            <w:r>
              <w:rPr>
                <w:rFonts w:hint="eastAsia" w:ascii="仿宋" w:eastAsia="仿宋" w:cs="仿宋"/>
                <w:sz w:val="24"/>
                <w:szCs w:val="24"/>
              </w:rPr>
              <w:t>章节学习内容与学习要求</w:t>
            </w:r>
          </w:p>
        </w:tc>
        <w:tc>
          <w:tcPr>
            <w:tcW w:w="1541"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02CE42">
            <w:pPr>
              <w:jc w:val="center"/>
              <w:rPr>
                <w:rFonts w:ascii="仿宋" w:eastAsia="仿宋" w:cs="仿宋"/>
                <w:sz w:val="24"/>
                <w:szCs w:val="24"/>
              </w:rPr>
            </w:pPr>
            <w:r>
              <w:rPr>
                <w:rFonts w:hint="eastAsia" w:ascii="仿宋" w:eastAsia="仿宋" w:cs="仿宋"/>
                <w:sz w:val="24"/>
                <w:szCs w:val="24"/>
              </w:rPr>
              <w:t>支撑课程</w:t>
            </w:r>
          </w:p>
          <w:p w14:paraId="4F1383BD">
            <w:pPr>
              <w:jc w:val="center"/>
              <w:rPr>
                <w:rFonts w:ascii="仿宋" w:eastAsia="仿宋" w:cs="仿宋"/>
                <w:sz w:val="24"/>
                <w:szCs w:val="24"/>
              </w:rPr>
            </w:pPr>
            <w:r>
              <w:rPr>
                <w:rFonts w:hint="eastAsia" w:ascii="仿宋" w:eastAsia="仿宋" w:cs="仿宋"/>
                <w:sz w:val="24"/>
                <w:szCs w:val="24"/>
              </w:rPr>
              <w:t>目标</w:t>
            </w: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B0FD1A">
            <w:pPr>
              <w:jc w:val="center"/>
              <w:rPr>
                <w:rFonts w:ascii="仿宋" w:eastAsia="仿宋" w:cs="仿宋"/>
                <w:sz w:val="24"/>
                <w:szCs w:val="24"/>
              </w:rPr>
            </w:pPr>
            <w:r>
              <w:rPr>
                <w:rFonts w:hint="eastAsia" w:ascii="仿宋" w:eastAsia="仿宋" w:cs="仿宋"/>
                <w:sz w:val="24"/>
                <w:szCs w:val="24"/>
              </w:rPr>
              <w:t>学时</w:t>
            </w:r>
          </w:p>
          <w:p w14:paraId="5E8344DF">
            <w:pPr>
              <w:jc w:val="center"/>
              <w:rPr>
                <w:rFonts w:ascii="仿宋" w:eastAsia="仿宋" w:cs="仿宋"/>
                <w:sz w:val="24"/>
                <w:szCs w:val="24"/>
              </w:rPr>
            </w:pPr>
            <w:r>
              <w:rPr>
                <w:rFonts w:hint="eastAsia" w:ascii="仿宋" w:eastAsia="仿宋" w:cs="仿宋"/>
                <w:sz w:val="24"/>
                <w:szCs w:val="24"/>
              </w:rPr>
              <w:t>分配</w:t>
            </w:r>
          </w:p>
        </w:tc>
      </w:tr>
      <w:tr w14:paraId="78946411">
        <w:trPr>
          <w:trHeight w:val="454" w:hRule="atLeast"/>
        </w:trPr>
        <w:tc>
          <w:tcPr>
            <w:tcW w:w="129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7F4BCE"/>
        </w:tc>
        <w:tc>
          <w:tcPr>
            <w:tcW w:w="5675" w:type="dxa"/>
            <w:gridSpan w:val="8"/>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AA0BE8">
            <w:pPr>
              <w:jc w:val="center"/>
              <w:rPr>
                <w:rFonts w:ascii="仿宋" w:eastAsia="仿宋" w:cs="仿宋"/>
                <w:sz w:val="24"/>
                <w:szCs w:val="24"/>
              </w:rPr>
            </w:pPr>
            <w:r>
              <w:rPr>
                <w:rFonts w:hint="eastAsia" w:ascii="仿宋" w:eastAsia="仿宋" w:cs="仿宋"/>
                <w:sz w:val="24"/>
                <w:szCs w:val="24"/>
              </w:rPr>
              <w:t>合计</w:t>
            </w:r>
          </w:p>
        </w:tc>
        <w:tc>
          <w:tcPr>
            <w:tcW w:w="1541"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198E6B">
            <w:pPr>
              <w:jc w:val="center"/>
              <w:rPr>
                <w:rFonts w:hint="eastAsia" w:ascii="仿宋" w:eastAsia="仿宋" w:cs="仿宋"/>
                <w:color w:val="4472C4"/>
                <w:sz w:val="24"/>
                <w:szCs w:val="24"/>
              </w:rPr>
            </w:pP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489C84">
            <w:pPr>
              <w:jc w:val="center"/>
              <w:rPr>
                <w:rFonts w:hint="eastAsia" w:ascii="仿宋" w:eastAsia="仿宋" w:cs="仿宋"/>
                <w:color w:val="4472C4"/>
                <w:sz w:val="24"/>
                <w:szCs w:val="24"/>
              </w:rPr>
            </w:pPr>
            <w:r>
              <w:rPr>
                <w:rFonts w:hint="eastAsia" w:ascii="仿宋" w:eastAsia="仿宋" w:cs="仿宋"/>
                <w:color w:val="4472C4"/>
                <w:sz w:val="24"/>
                <w:szCs w:val="24"/>
              </w:rPr>
              <w:t>0</w:t>
            </w:r>
          </w:p>
        </w:tc>
      </w:tr>
      <w:tr w14:paraId="72544E87">
        <w:trPr>
          <w:trHeight w:val="71" w:hRule="atLeast"/>
        </w:trPr>
        <w:tc>
          <w:tcPr>
            <w:tcW w:w="1299" w:type="dxa"/>
            <w:vMerge w:val="restart"/>
            <w:tcBorders>
              <w:top w:val="single" w:color="000000" w:sz="4" w:space="0"/>
              <w:left w:val="single" w:color="000000" w:sz="4" w:space="0"/>
              <w:bottom w:val="single" w:color="000000" w:sz="4" w:space="0"/>
              <w:right w:val="single" w:color="000000" w:sz="4" w:space="0"/>
            </w:tcBorders>
            <w:noWrap w:val="0"/>
            <w:vAlign w:val="center"/>
          </w:tcPr>
          <w:p w14:paraId="4ECBF2F2">
            <w:pPr>
              <w:adjustRightInd w:val="0"/>
              <w:snapToGrid w:val="0"/>
              <w:jc w:val="center"/>
              <w:rPr>
                <w:rFonts w:ascii="仿宋" w:eastAsia="仿宋" w:cs="仿宋"/>
                <w:sz w:val="24"/>
                <w:szCs w:val="24"/>
              </w:rPr>
            </w:pPr>
            <w:r>
              <w:rPr>
                <w:rFonts w:hint="eastAsia" w:ascii="仿宋" w:eastAsia="仿宋" w:cs="仿宋"/>
                <w:sz w:val="24"/>
                <w:szCs w:val="24"/>
              </w:rPr>
              <w:t>G</w:t>
            </w:r>
          </w:p>
          <w:p w14:paraId="03C18320">
            <w:pPr>
              <w:jc w:val="center"/>
              <w:rPr>
                <w:rFonts w:ascii="仿宋" w:eastAsia="仿宋" w:cs="宋体"/>
                <w:sz w:val="24"/>
              </w:rPr>
            </w:pPr>
            <w:r>
              <w:rPr>
                <w:rFonts w:hint="eastAsia" w:ascii="仿宋" w:eastAsia="仿宋" w:cs="仿宋"/>
                <w:sz w:val="24"/>
                <w:szCs w:val="24"/>
              </w:rPr>
              <w:t>实训内容</w:t>
            </w:r>
          </w:p>
        </w:tc>
        <w:tc>
          <w:tcPr>
            <w:tcW w:w="5675" w:type="dxa"/>
            <w:gridSpan w:val="8"/>
            <w:tcBorders>
              <w:top w:val="single" w:color="000000" w:sz="4" w:space="0"/>
              <w:left w:val="single" w:color="000000" w:sz="4" w:space="0"/>
              <w:bottom w:val="single" w:color="000000" w:sz="4" w:space="0"/>
              <w:right w:val="single" w:color="000000" w:sz="4" w:space="0"/>
            </w:tcBorders>
            <w:noWrap w:val="0"/>
            <w:vAlign w:val="center"/>
          </w:tcPr>
          <w:p w14:paraId="709DFD55">
            <w:pPr>
              <w:adjustRightInd w:val="0"/>
              <w:snapToGrid w:val="0"/>
              <w:jc w:val="center"/>
              <w:textAlignment w:val="baseline"/>
              <w:rPr>
                <w:rFonts w:ascii="仿宋" w:eastAsia="仿宋" w:cs="仿宋"/>
                <w:sz w:val="24"/>
                <w:szCs w:val="24"/>
              </w:rPr>
            </w:pPr>
            <w:r>
              <w:rPr>
                <w:rFonts w:hint="eastAsia" w:ascii="仿宋" w:eastAsia="仿宋" w:cs="仿宋"/>
                <w:sz w:val="24"/>
                <w:szCs w:val="24"/>
              </w:rPr>
              <w:t>实训内容及训练要求</w:t>
            </w:r>
          </w:p>
        </w:tc>
        <w:tc>
          <w:tcPr>
            <w:tcW w:w="1541" w:type="dxa"/>
            <w:gridSpan w:val="2"/>
            <w:tcBorders>
              <w:top w:val="single" w:color="000000" w:sz="4" w:space="0"/>
              <w:left w:val="single" w:color="000000" w:sz="4" w:space="0"/>
              <w:bottom w:val="single" w:color="000000" w:sz="4" w:space="0"/>
              <w:right w:val="single" w:color="000000" w:sz="4" w:space="0"/>
            </w:tcBorders>
            <w:noWrap w:val="0"/>
            <w:vAlign w:val="center"/>
          </w:tcPr>
          <w:p w14:paraId="1D34B3C2">
            <w:pPr>
              <w:adjustRightInd w:val="0"/>
              <w:snapToGrid w:val="0"/>
              <w:jc w:val="center"/>
              <w:rPr>
                <w:rFonts w:ascii="仿宋" w:eastAsia="仿宋" w:cs="仿宋"/>
                <w:sz w:val="24"/>
                <w:szCs w:val="24"/>
              </w:rPr>
            </w:pPr>
            <w:r>
              <w:rPr>
                <w:rFonts w:hint="eastAsia" w:ascii="仿宋" w:eastAsia="仿宋" w:cs="仿宋"/>
                <w:sz w:val="24"/>
                <w:szCs w:val="24"/>
              </w:rPr>
              <w:t>支撑课程目标</w:t>
            </w:r>
          </w:p>
        </w:tc>
        <w:tc>
          <w:tcPr>
            <w:tcW w:w="851" w:type="dxa"/>
            <w:gridSpan w:val="2"/>
            <w:tcBorders>
              <w:top w:val="single" w:color="000000" w:sz="4" w:space="0"/>
              <w:left w:val="single" w:color="000000" w:sz="4" w:space="0"/>
              <w:bottom w:val="single" w:color="000000" w:sz="4" w:space="0"/>
              <w:right w:val="single" w:color="000000" w:sz="4" w:space="0"/>
            </w:tcBorders>
            <w:noWrap w:val="0"/>
            <w:vAlign w:val="center"/>
          </w:tcPr>
          <w:p w14:paraId="3A296899">
            <w:pPr>
              <w:adjustRightInd w:val="0"/>
              <w:snapToGrid w:val="0"/>
              <w:jc w:val="center"/>
              <w:rPr>
                <w:rFonts w:ascii="仿宋" w:eastAsia="仿宋" w:cs="仿宋"/>
                <w:sz w:val="24"/>
                <w:szCs w:val="24"/>
              </w:rPr>
            </w:pPr>
            <w:r>
              <w:rPr>
                <w:rFonts w:hint="eastAsia" w:ascii="仿宋" w:eastAsia="仿宋" w:cs="仿宋"/>
                <w:sz w:val="24"/>
                <w:szCs w:val="24"/>
              </w:rPr>
              <w:t>学时分配</w:t>
            </w:r>
          </w:p>
        </w:tc>
      </w:tr>
      <w:tr w14:paraId="4BC935A1">
        <w:trPr>
          <w:trHeight w:val="71" w:hRule="atLeast"/>
        </w:trPr>
        <w:tc>
          <w:tcPr>
            <w:tcW w:w="129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DE4E5B"/>
        </w:tc>
        <w:tc>
          <w:tcPr>
            <w:tcW w:w="5675" w:type="dxa"/>
            <w:gridSpan w:val="8"/>
            <w:tcBorders>
              <w:top w:val="single" w:color="000000" w:sz="4" w:space="0"/>
              <w:left w:val="single" w:color="000000" w:sz="4" w:space="0"/>
              <w:bottom w:val="single" w:color="000000" w:sz="4" w:space="0"/>
              <w:right w:val="single" w:color="000000" w:sz="4" w:space="0"/>
            </w:tcBorders>
            <w:noWrap w:val="0"/>
            <w:vAlign w:val="center"/>
          </w:tcPr>
          <w:p w14:paraId="2AB6CE64">
            <w:pPr>
              <w:adjustRightInd w:val="0"/>
              <w:snapToGrid w:val="0"/>
              <w:jc w:val="left"/>
              <w:textAlignment w:val="baseline"/>
              <w:rPr>
                <w:rFonts w:ascii="仿宋" w:eastAsia="仿宋" w:cs="仿宋"/>
                <w:sz w:val="24"/>
                <w:szCs w:val="24"/>
              </w:rPr>
            </w:pPr>
            <w:r>
              <w:rPr>
                <w:rFonts w:hint="eastAsia" w:ascii="仿宋" w:eastAsia="仿宋" w:cs="仿宋"/>
                <w:sz w:val="24"/>
                <w:szCs w:val="24"/>
              </w:rPr>
              <w:t>实训一  钢琴即兴伴奏学法概述</w:t>
            </w:r>
          </w:p>
          <w:p w14:paraId="002FBEE5">
            <w:pPr>
              <w:widowControl/>
              <w:adjustRightInd w:val="0"/>
              <w:snapToGrid w:val="0"/>
              <w:jc w:val="left"/>
              <w:rPr>
                <w:rFonts w:ascii="仿宋" w:eastAsia="仿宋" w:cs="仿宋"/>
                <w:sz w:val="24"/>
                <w:szCs w:val="24"/>
              </w:rPr>
            </w:pPr>
            <w:r>
              <w:rPr>
                <w:rFonts w:hint="eastAsia" w:ascii="仿宋" w:eastAsia="仿宋" w:cs="仿宋"/>
                <w:sz w:val="24"/>
                <w:szCs w:val="24"/>
              </w:rPr>
              <w:t>实训目的：复习正三和弦在大小调中的用法</w:t>
            </w:r>
          </w:p>
          <w:p w14:paraId="131B54AB">
            <w:pPr>
              <w:widowControl/>
              <w:adjustRightInd w:val="0"/>
              <w:snapToGrid w:val="0"/>
              <w:ind w:firstLine="1200" w:firstLineChars="500"/>
              <w:jc w:val="left"/>
              <w:rPr>
                <w:rFonts w:ascii="仿宋" w:eastAsia="仿宋" w:cs="仿宋"/>
                <w:sz w:val="24"/>
                <w:szCs w:val="24"/>
              </w:rPr>
            </w:pPr>
            <w:r>
              <w:rPr>
                <w:rFonts w:hint="eastAsia" w:ascii="仿宋" w:eastAsia="仿宋" w:cs="仿宋"/>
                <w:sz w:val="24"/>
                <w:szCs w:val="24"/>
              </w:rPr>
              <w:t>复习半终止和终止式</w:t>
            </w:r>
          </w:p>
          <w:p w14:paraId="20175EB5">
            <w:pPr>
              <w:widowControl/>
              <w:adjustRightInd w:val="0"/>
              <w:snapToGrid w:val="0"/>
              <w:jc w:val="left"/>
              <w:rPr>
                <w:rFonts w:ascii="仿宋" w:eastAsia="仿宋" w:cs="仿宋"/>
                <w:sz w:val="24"/>
                <w:szCs w:val="24"/>
              </w:rPr>
            </w:pPr>
            <w:r>
              <w:rPr>
                <w:rFonts w:hint="eastAsia" w:ascii="仿宋" w:eastAsia="仿宋" w:cs="仿宋"/>
                <w:sz w:val="24"/>
                <w:szCs w:val="24"/>
              </w:rPr>
              <w:t>实训任务：使用正三和弦弹奏大小调歌曲</w:t>
            </w:r>
          </w:p>
          <w:p w14:paraId="0197D8C4">
            <w:pPr>
              <w:widowControl/>
              <w:adjustRightInd w:val="0"/>
              <w:snapToGrid w:val="0"/>
              <w:jc w:val="left"/>
              <w:rPr>
                <w:rFonts w:hint="eastAsia" w:ascii="仿宋" w:eastAsia="仿宋" w:cs="仿宋"/>
                <w:sz w:val="24"/>
                <w:szCs w:val="24"/>
              </w:rPr>
            </w:pPr>
            <w:r>
              <w:rPr>
                <w:rFonts w:ascii="仿宋" w:eastAsia="仿宋" w:cs="仿宋"/>
                <w:sz w:val="24"/>
                <w:szCs w:val="24"/>
              </w:rPr>
              <w:t xml:space="preserve">          </w:t>
            </w:r>
            <w:r>
              <w:rPr>
                <w:rFonts w:hint="eastAsia" w:ascii="仿宋" w:eastAsia="仿宋" w:cs="仿宋"/>
                <w:sz w:val="24"/>
                <w:szCs w:val="24"/>
              </w:rPr>
              <w:t>使用副三和弦润色歌曲配奏</w:t>
            </w:r>
          </w:p>
        </w:tc>
        <w:tc>
          <w:tcPr>
            <w:tcW w:w="1541" w:type="dxa"/>
            <w:gridSpan w:val="2"/>
            <w:tcBorders>
              <w:top w:val="single" w:color="000000" w:sz="4" w:space="0"/>
              <w:left w:val="single" w:color="000000" w:sz="4" w:space="0"/>
              <w:bottom w:val="single" w:color="000000" w:sz="4" w:space="0"/>
              <w:right w:val="single" w:color="000000" w:sz="4" w:space="0"/>
            </w:tcBorders>
            <w:noWrap w:val="0"/>
            <w:vAlign w:val="center"/>
          </w:tcPr>
          <w:p w14:paraId="780F32FA">
            <w:pPr>
              <w:adjustRightInd w:val="0"/>
              <w:snapToGrid w:val="0"/>
              <w:jc w:val="center"/>
              <w:rPr>
                <w:rFonts w:ascii="仿宋" w:eastAsia="仿宋" w:cs="仿宋"/>
                <w:sz w:val="24"/>
                <w:szCs w:val="24"/>
              </w:rPr>
            </w:pPr>
            <w:r>
              <w:rPr>
                <w:rFonts w:hint="eastAsia" w:ascii="仿宋" w:eastAsia="仿宋" w:cs="仿宋"/>
                <w:sz w:val="24"/>
                <w:szCs w:val="24"/>
              </w:rPr>
              <w:t>支撑课程目标1、2</w:t>
            </w:r>
          </w:p>
        </w:tc>
        <w:tc>
          <w:tcPr>
            <w:tcW w:w="851" w:type="dxa"/>
            <w:gridSpan w:val="2"/>
            <w:tcBorders>
              <w:top w:val="single" w:color="000000" w:sz="4" w:space="0"/>
              <w:left w:val="single" w:color="000000" w:sz="4" w:space="0"/>
              <w:bottom w:val="single" w:color="000000" w:sz="4" w:space="0"/>
              <w:right w:val="single" w:color="000000" w:sz="4" w:space="0"/>
            </w:tcBorders>
            <w:noWrap w:val="0"/>
            <w:vAlign w:val="center"/>
          </w:tcPr>
          <w:p w14:paraId="7C7A0AF8">
            <w:pPr>
              <w:adjustRightInd w:val="0"/>
              <w:snapToGrid w:val="0"/>
              <w:jc w:val="center"/>
              <w:rPr>
                <w:rFonts w:ascii="仿宋" w:eastAsia="仿宋" w:cs="仿宋"/>
                <w:sz w:val="24"/>
                <w:szCs w:val="24"/>
              </w:rPr>
            </w:pPr>
            <w:r>
              <w:rPr>
                <w:rFonts w:ascii="仿宋" w:eastAsia="仿宋" w:cs="仿宋"/>
                <w:sz w:val="24"/>
                <w:szCs w:val="24"/>
              </w:rPr>
              <w:t>4</w:t>
            </w:r>
          </w:p>
        </w:tc>
      </w:tr>
      <w:tr w14:paraId="398ADCAB">
        <w:trPr>
          <w:trHeight w:val="71" w:hRule="atLeast"/>
        </w:trPr>
        <w:tc>
          <w:tcPr>
            <w:tcW w:w="129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32EB19"/>
        </w:tc>
        <w:tc>
          <w:tcPr>
            <w:tcW w:w="5675" w:type="dxa"/>
            <w:gridSpan w:val="8"/>
            <w:tcBorders>
              <w:top w:val="single" w:color="000000" w:sz="4" w:space="0"/>
              <w:left w:val="single" w:color="000000" w:sz="4" w:space="0"/>
              <w:bottom w:val="single" w:color="000000" w:sz="4" w:space="0"/>
              <w:right w:val="single" w:color="000000" w:sz="4" w:space="0"/>
            </w:tcBorders>
            <w:noWrap w:val="0"/>
            <w:vAlign w:val="center"/>
          </w:tcPr>
          <w:p w14:paraId="71977A08">
            <w:pPr>
              <w:adjustRightInd w:val="0"/>
              <w:snapToGrid w:val="0"/>
              <w:jc w:val="left"/>
              <w:textAlignment w:val="baseline"/>
              <w:rPr>
                <w:rFonts w:ascii="仿宋" w:eastAsia="仿宋" w:cs="仿宋"/>
                <w:sz w:val="24"/>
                <w:szCs w:val="24"/>
              </w:rPr>
            </w:pPr>
            <w:r>
              <w:rPr>
                <w:rFonts w:hint="eastAsia" w:ascii="仿宋" w:eastAsia="仿宋" w:cs="仿宋"/>
                <w:sz w:val="24"/>
                <w:szCs w:val="24"/>
              </w:rPr>
              <w:t>实训二  音型配奏方法</w:t>
            </w:r>
          </w:p>
          <w:p w14:paraId="6161ED5E">
            <w:pPr>
              <w:widowControl/>
              <w:adjustRightInd w:val="0"/>
              <w:snapToGrid w:val="0"/>
              <w:ind w:left="1200" w:hanging="1200" w:hangingChars="500"/>
              <w:jc w:val="left"/>
              <w:rPr>
                <w:rFonts w:ascii="仿宋" w:eastAsia="仿宋" w:cs="仿宋"/>
                <w:sz w:val="24"/>
                <w:szCs w:val="24"/>
              </w:rPr>
            </w:pPr>
            <w:r>
              <w:rPr>
                <w:rFonts w:hint="eastAsia" w:ascii="仿宋" w:eastAsia="仿宋" w:cs="仿宋"/>
                <w:sz w:val="24"/>
                <w:szCs w:val="24"/>
              </w:rPr>
              <w:t>实训目的：运用柱式和弦、半分解、分解、琶音等音型进行歌曲配奏</w:t>
            </w:r>
          </w:p>
          <w:p w14:paraId="1F7F3059">
            <w:pPr>
              <w:widowControl/>
              <w:adjustRightInd w:val="0"/>
              <w:snapToGrid w:val="0"/>
              <w:jc w:val="left"/>
              <w:rPr>
                <w:rFonts w:hint="eastAsia" w:ascii="仿宋" w:eastAsia="仿宋" w:cs="仿宋"/>
                <w:sz w:val="24"/>
                <w:szCs w:val="24"/>
              </w:rPr>
            </w:pPr>
            <w:r>
              <w:rPr>
                <w:rFonts w:hint="eastAsia" w:ascii="仿宋" w:eastAsia="仿宋" w:cs="仿宋"/>
                <w:sz w:val="24"/>
                <w:szCs w:val="24"/>
              </w:rPr>
              <w:t>实训任务：复习音型的基本配奏法</w:t>
            </w:r>
          </w:p>
          <w:p w14:paraId="4603F73F">
            <w:pPr>
              <w:widowControl/>
              <w:adjustRightInd w:val="0"/>
              <w:snapToGrid w:val="0"/>
              <w:ind w:firstLine="1200" w:firstLineChars="500"/>
              <w:jc w:val="left"/>
              <w:rPr>
                <w:rFonts w:hint="eastAsia" w:ascii="仿宋" w:eastAsia="仿宋" w:cs="仿宋"/>
                <w:sz w:val="24"/>
                <w:szCs w:val="24"/>
              </w:rPr>
            </w:pPr>
            <w:r>
              <w:rPr>
                <w:rFonts w:hint="eastAsia" w:ascii="仿宋" w:eastAsia="仿宋" w:cs="仿宋"/>
                <w:sz w:val="24"/>
                <w:szCs w:val="24"/>
              </w:rPr>
              <w:t>学习音型的复杂配奏法</w:t>
            </w:r>
          </w:p>
        </w:tc>
        <w:tc>
          <w:tcPr>
            <w:tcW w:w="1541" w:type="dxa"/>
            <w:gridSpan w:val="2"/>
            <w:tcBorders>
              <w:top w:val="single" w:color="000000" w:sz="4" w:space="0"/>
              <w:left w:val="single" w:color="000000" w:sz="4" w:space="0"/>
              <w:bottom w:val="single" w:color="000000" w:sz="4" w:space="0"/>
              <w:right w:val="single" w:color="000000" w:sz="4" w:space="0"/>
            </w:tcBorders>
            <w:noWrap w:val="0"/>
            <w:vAlign w:val="center"/>
          </w:tcPr>
          <w:p w14:paraId="0BBF241E">
            <w:pPr>
              <w:adjustRightInd w:val="0"/>
              <w:snapToGrid w:val="0"/>
              <w:jc w:val="center"/>
              <w:rPr>
                <w:rFonts w:ascii="仿宋" w:eastAsia="仿宋" w:cs="仿宋"/>
                <w:sz w:val="24"/>
                <w:szCs w:val="24"/>
              </w:rPr>
            </w:pPr>
            <w:r>
              <w:rPr>
                <w:rFonts w:hint="eastAsia" w:ascii="仿宋" w:eastAsia="仿宋" w:cs="仿宋"/>
                <w:sz w:val="24"/>
                <w:szCs w:val="24"/>
              </w:rPr>
              <w:t>支撑课程目标1、2</w:t>
            </w:r>
          </w:p>
        </w:tc>
        <w:tc>
          <w:tcPr>
            <w:tcW w:w="851" w:type="dxa"/>
            <w:gridSpan w:val="2"/>
            <w:tcBorders>
              <w:top w:val="single" w:color="000000" w:sz="4" w:space="0"/>
              <w:left w:val="single" w:color="000000" w:sz="4" w:space="0"/>
              <w:bottom w:val="single" w:color="000000" w:sz="4" w:space="0"/>
              <w:right w:val="single" w:color="000000" w:sz="4" w:space="0"/>
            </w:tcBorders>
            <w:noWrap w:val="0"/>
            <w:vAlign w:val="center"/>
          </w:tcPr>
          <w:p w14:paraId="4361A9E3">
            <w:pPr>
              <w:adjustRightInd w:val="0"/>
              <w:snapToGrid w:val="0"/>
              <w:jc w:val="center"/>
              <w:rPr>
                <w:rFonts w:ascii="仿宋" w:eastAsia="仿宋" w:cs="仿宋"/>
                <w:sz w:val="24"/>
                <w:szCs w:val="24"/>
              </w:rPr>
            </w:pPr>
            <w:r>
              <w:rPr>
                <w:rFonts w:ascii="仿宋" w:eastAsia="仿宋" w:cs="仿宋"/>
                <w:sz w:val="24"/>
                <w:szCs w:val="24"/>
              </w:rPr>
              <w:t>12</w:t>
            </w:r>
          </w:p>
        </w:tc>
      </w:tr>
      <w:tr w14:paraId="0A6CDFB6">
        <w:trPr>
          <w:trHeight w:val="71" w:hRule="atLeast"/>
        </w:trPr>
        <w:tc>
          <w:tcPr>
            <w:tcW w:w="129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DE6E8A"/>
        </w:tc>
        <w:tc>
          <w:tcPr>
            <w:tcW w:w="5675" w:type="dxa"/>
            <w:gridSpan w:val="8"/>
            <w:tcBorders>
              <w:top w:val="single" w:color="000000" w:sz="4" w:space="0"/>
              <w:left w:val="single" w:color="000000" w:sz="4" w:space="0"/>
              <w:bottom w:val="single" w:color="000000" w:sz="4" w:space="0"/>
              <w:right w:val="single" w:color="000000" w:sz="4" w:space="0"/>
            </w:tcBorders>
            <w:noWrap w:val="0"/>
            <w:vAlign w:val="center"/>
          </w:tcPr>
          <w:p w14:paraId="237D4890">
            <w:pPr>
              <w:adjustRightInd w:val="0"/>
              <w:snapToGrid w:val="0"/>
              <w:jc w:val="left"/>
              <w:textAlignment w:val="baseline"/>
              <w:rPr>
                <w:rFonts w:ascii="仿宋" w:eastAsia="仿宋" w:cs="仿宋"/>
                <w:sz w:val="24"/>
                <w:szCs w:val="24"/>
              </w:rPr>
            </w:pPr>
            <w:r>
              <w:rPr>
                <w:rFonts w:hint="eastAsia" w:ascii="仿宋" w:eastAsia="仿宋" w:cs="仿宋"/>
                <w:sz w:val="24"/>
                <w:szCs w:val="24"/>
              </w:rPr>
              <w:t>实训三  中国民族调式</w:t>
            </w:r>
          </w:p>
          <w:p w14:paraId="4EB99DE5">
            <w:pPr>
              <w:widowControl/>
              <w:adjustRightInd w:val="0"/>
              <w:snapToGrid w:val="0"/>
              <w:jc w:val="left"/>
              <w:rPr>
                <w:rFonts w:ascii="仿宋" w:eastAsia="仿宋" w:cs="仿宋"/>
                <w:sz w:val="24"/>
                <w:szCs w:val="24"/>
              </w:rPr>
            </w:pPr>
            <w:r>
              <w:rPr>
                <w:rFonts w:hint="eastAsia" w:ascii="仿宋" w:eastAsia="仿宋" w:cs="仿宋"/>
                <w:sz w:val="24"/>
                <w:szCs w:val="24"/>
              </w:rPr>
              <w:t>实训目的：运用民族和声进行地方民歌配奏</w:t>
            </w:r>
          </w:p>
          <w:p w14:paraId="21A30257">
            <w:pPr>
              <w:widowControl/>
              <w:adjustRightInd w:val="0"/>
              <w:snapToGrid w:val="0"/>
              <w:jc w:val="left"/>
              <w:rPr>
                <w:rFonts w:ascii="仿宋" w:eastAsia="仿宋" w:cs="仿宋"/>
                <w:sz w:val="24"/>
                <w:szCs w:val="24"/>
              </w:rPr>
            </w:pPr>
            <w:r>
              <w:rPr>
                <w:rFonts w:hint="eastAsia" w:ascii="仿宋" w:eastAsia="仿宋" w:cs="仿宋"/>
                <w:sz w:val="24"/>
                <w:szCs w:val="24"/>
              </w:rPr>
              <w:t>实训任务：了解民族调式与民族和声</w:t>
            </w:r>
          </w:p>
          <w:p w14:paraId="50713936">
            <w:pPr>
              <w:widowControl/>
              <w:adjustRightInd w:val="0"/>
              <w:snapToGrid w:val="0"/>
              <w:ind w:firstLine="1200" w:firstLineChars="500"/>
              <w:jc w:val="left"/>
              <w:rPr>
                <w:rFonts w:ascii="仿宋" w:eastAsia="仿宋" w:cs="仿宋"/>
                <w:sz w:val="24"/>
                <w:szCs w:val="24"/>
              </w:rPr>
            </w:pPr>
            <w:r>
              <w:rPr>
                <w:rFonts w:hint="eastAsia" w:ascii="仿宋" w:eastAsia="仿宋" w:cs="仿宋"/>
                <w:sz w:val="24"/>
                <w:szCs w:val="24"/>
              </w:rPr>
              <w:t>运用加音和弦与换音和弦</w:t>
            </w:r>
          </w:p>
          <w:p w14:paraId="5F080A82">
            <w:pPr>
              <w:widowControl/>
              <w:adjustRightInd w:val="0"/>
              <w:snapToGrid w:val="0"/>
              <w:ind w:firstLine="1200" w:firstLineChars="500"/>
              <w:jc w:val="left"/>
              <w:rPr>
                <w:rFonts w:ascii="仿宋" w:eastAsia="仿宋" w:cs="仿宋"/>
                <w:sz w:val="24"/>
                <w:szCs w:val="24"/>
              </w:rPr>
            </w:pPr>
            <w:r>
              <w:rPr>
                <w:rFonts w:hint="eastAsia" w:ascii="仿宋" w:eastAsia="仿宋" w:cs="仿宋"/>
                <w:sz w:val="24"/>
                <w:szCs w:val="24"/>
              </w:rPr>
              <w:t>弹奏江南小调、西南民歌</w:t>
            </w:r>
          </w:p>
          <w:p w14:paraId="7F5DD4E6">
            <w:pPr>
              <w:widowControl/>
              <w:adjustRightInd w:val="0"/>
              <w:snapToGrid w:val="0"/>
              <w:ind w:firstLine="1200" w:firstLineChars="500"/>
              <w:jc w:val="left"/>
              <w:rPr>
                <w:rFonts w:ascii="仿宋" w:eastAsia="仿宋" w:cs="仿宋"/>
                <w:sz w:val="24"/>
                <w:szCs w:val="24"/>
              </w:rPr>
            </w:pPr>
            <w:r>
              <w:rPr>
                <w:rFonts w:hint="eastAsia" w:ascii="仿宋" w:eastAsia="仿宋" w:cs="仿宋"/>
                <w:sz w:val="24"/>
                <w:szCs w:val="24"/>
              </w:rPr>
              <w:t>运用双四度叠置和弦</w:t>
            </w:r>
          </w:p>
          <w:p w14:paraId="66DB16CF">
            <w:pPr>
              <w:widowControl/>
              <w:adjustRightInd w:val="0"/>
              <w:snapToGrid w:val="0"/>
              <w:ind w:firstLine="1200" w:firstLineChars="500"/>
              <w:jc w:val="left"/>
              <w:rPr>
                <w:rFonts w:ascii="仿宋" w:eastAsia="仿宋" w:cs="仿宋"/>
                <w:sz w:val="24"/>
                <w:szCs w:val="24"/>
              </w:rPr>
            </w:pPr>
            <w:r>
              <w:rPr>
                <w:rFonts w:hint="eastAsia" w:ascii="仿宋" w:eastAsia="仿宋" w:cs="仿宋"/>
                <w:sz w:val="24"/>
                <w:szCs w:val="24"/>
              </w:rPr>
              <w:t>弹奏西北民歌、东北民歌</w:t>
            </w:r>
          </w:p>
          <w:p w14:paraId="2B5F8F78">
            <w:pPr>
              <w:widowControl/>
              <w:adjustRightInd w:val="0"/>
              <w:snapToGrid w:val="0"/>
              <w:ind w:firstLine="1200" w:firstLineChars="500"/>
              <w:jc w:val="left"/>
              <w:rPr>
                <w:rFonts w:ascii="仿宋" w:eastAsia="仿宋" w:cs="仿宋"/>
                <w:sz w:val="24"/>
                <w:szCs w:val="24"/>
              </w:rPr>
            </w:pPr>
            <w:r>
              <w:rPr>
                <w:rFonts w:hint="eastAsia" w:ascii="仿宋" w:eastAsia="仿宋" w:cs="仿宋"/>
                <w:sz w:val="24"/>
                <w:szCs w:val="24"/>
              </w:rPr>
              <w:t>运用空五八度和弦</w:t>
            </w:r>
          </w:p>
          <w:p w14:paraId="11568535">
            <w:pPr>
              <w:widowControl/>
              <w:adjustRightInd w:val="0"/>
              <w:snapToGrid w:val="0"/>
              <w:ind w:firstLine="1200" w:firstLineChars="500"/>
              <w:jc w:val="left"/>
              <w:rPr>
                <w:rFonts w:ascii="仿宋" w:eastAsia="仿宋" w:cs="仿宋"/>
                <w:sz w:val="24"/>
                <w:szCs w:val="24"/>
              </w:rPr>
            </w:pPr>
            <w:r>
              <w:rPr>
                <w:rFonts w:hint="eastAsia" w:ascii="仿宋" w:eastAsia="仿宋" w:cs="仿宋"/>
                <w:sz w:val="24"/>
                <w:szCs w:val="24"/>
              </w:rPr>
              <w:t>配奏古曲与戏曲</w:t>
            </w:r>
          </w:p>
        </w:tc>
        <w:tc>
          <w:tcPr>
            <w:tcW w:w="1541" w:type="dxa"/>
            <w:gridSpan w:val="2"/>
            <w:tcBorders>
              <w:top w:val="single" w:color="000000" w:sz="4" w:space="0"/>
              <w:left w:val="single" w:color="000000" w:sz="4" w:space="0"/>
              <w:bottom w:val="single" w:color="000000" w:sz="4" w:space="0"/>
              <w:right w:val="single" w:color="000000" w:sz="4" w:space="0"/>
            </w:tcBorders>
            <w:noWrap w:val="0"/>
            <w:vAlign w:val="center"/>
          </w:tcPr>
          <w:p w14:paraId="14E90109">
            <w:pPr>
              <w:jc w:val="center"/>
            </w:pPr>
            <w:r>
              <w:rPr>
                <w:rFonts w:hint="eastAsia" w:ascii="仿宋" w:eastAsia="仿宋" w:cs="仿宋"/>
                <w:sz w:val="24"/>
                <w:szCs w:val="24"/>
              </w:rPr>
              <w:t>支撑课程目标1、2</w:t>
            </w:r>
          </w:p>
        </w:tc>
        <w:tc>
          <w:tcPr>
            <w:tcW w:w="851" w:type="dxa"/>
            <w:gridSpan w:val="2"/>
            <w:tcBorders>
              <w:top w:val="single" w:color="000000" w:sz="4" w:space="0"/>
              <w:left w:val="single" w:color="000000" w:sz="4" w:space="0"/>
              <w:bottom w:val="single" w:color="000000" w:sz="4" w:space="0"/>
              <w:right w:val="single" w:color="000000" w:sz="4" w:space="0"/>
            </w:tcBorders>
            <w:noWrap w:val="0"/>
            <w:vAlign w:val="center"/>
          </w:tcPr>
          <w:p w14:paraId="324441EC">
            <w:pPr>
              <w:adjustRightInd w:val="0"/>
              <w:snapToGrid w:val="0"/>
              <w:jc w:val="center"/>
              <w:rPr>
                <w:rFonts w:ascii="仿宋" w:eastAsia="仿宋" w:cs="仿宋"/>
                <w:sz w:val="24"/>
                <w:szCs w:val="24"/>
              </w:rPr>
            </w:pPr>
            <w:r>
              <w:rPr>
                <w:rFonts w:ascii="仿宋" w:eastAsia="仿宋" w:cs="仿宋"/>
                <w:sz w:val="24"/>
                <w:szCs w:val="24"/>
              </w:rPr>
              <w:t>16</w:t>
            </w:r>
          </w:p>
        </w:tc>
      </w:tr>
      <w:tr w14:paraId="2B98C06E">
        <w:trPr>
          <w:trHeight w:val="71" w:hRule="atLeast"/>
        </w:trPr>
        <w:tc>
          <w:tcPr>
            <w:tcW w:w="129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100E6C"/>
        </w:tc>
        <w:tc>
          <w:tcPr>
            <w:tcW w:w="5675" w:type="dxa"/>
            <w:gridSpan w:val="8"/>
            <w:tcBorders>
              <w:top w:val="single" w:color="000000" w:sz="4" w:space="0"/>
              <w:left w:val="single" w:color="000000" w:sz="4" w:space="0"/>
              <w:bottom w:val="single" w:color="000000" w:sz="4" w:space="0"/>
              <w:right w:val="single" w:color="000000" w:sz="4" w:space="0"/>
            </w:tcBorders>
            <w:noWrap w:val="0"/>
            <w:vAlign w:val="center"/>
          </w:tcPr>
          <w:p w14:paraId="3DB60B95">
            <w:pPr>
              <w:adjustRightInd w:val="0"/>
              <w:snapToGrid w:val="0"/>
              <w:jc w:val="left"/>
              <w:textAlignment w:val="baseline"/>
              <w:rPr>
                <w:rFonts w:ascii="仿宋" w:eastAsia="仿宋" w:cs="仿宋"/>
                <w:sz w:val="24"/>
                <w:szCs w:val="24"/>
              </w:rPr>
            </w:pPr>
            <w:r>
              <w:rPr>
                <w:rFonts w:hint="eastAsia" w:ascii="仿宋" w:eastAsia="仿宋" w:cs="仿宋"/>
                <w:sz w:val="24"/>
                <w:szCs w:val="24"/>
              </w:rPr>
              <w:t>实训四  高级和弦专题探究</w:t>
            </w:r>
          </w:p>
          <w:p w14:paraId="04DBA7B3">
            <w:pPr>
              <w:widowControl/>
              <w:adjustRightInd w:val="0"/>
              <w:snapToGrid w:val="0"/>
              <w:jc w:val="left"/>
              <w:rPr>
                <w:rFonts w:ascii="仿宋" w:eastAsia="仿宋" w:cs="仿宋"/>
                <w:sz w:val="24"/>
                <w:szCs w:val="24"/>
              </w:rPr>
            </w:pPr>
            <w:r>
              <w:rPr>
                <w:rFonts w:hint="eastAsia" w:ascii="仿宋" w:eastAsia="仿宋" w:cs="仿宋"/>
                <w:sz w:val="24"/>
                <w:szCs w:val="24"/>
              </w:rPr>
              <w:t>实训目的：弹奏并运用附属和弦和重属和弦</w:t>
            </w:r>
          </w:p>
          <w:p w14:paraId="77979AD0">
            <w:pPr>
              <w:widowControl/>
              <w:adjustRightInd w:val="0"/>
              <w:snapToGrid w:val="0"/>
              <w:ind w:left="1200" w:hanging="1200" w:hangingChars="500"/>
              <w:jc w:val="left"/>
              <w:rPr>
                <w:rFonts w:ascii="仿宋" w:eastAsia="仿宋" w:cs="仿宋"/>
                <w:sz w:val="24"/>
                <w:szCs w:val="24"/>
              </w:rPr>
            </w:pPr>
            <w:r>
              <w:rPr>
                <w:rFonts w:hint="eastAsia" w:ascii="仿宋" w:eastAsia="仿宋" w:cs="仿宋"/>
                <w:sz w:val="24"/>
                <w:szCs w:val="24"/>
              </w:rPr>
              <w:t>实训任务：了解大调式中的降III、降VI、降VII级和弦</w:t>
            </w:r>
          </w:p>
          <w:p w14:paraId="0A4136FC">
            <w:pPr>
              <w:widowControl/>
              <w:adjustRightInd w:val="0"/>
              <w:snapToGrid w:val="0"/>
              <w:ind w:firstLine="1200" w:firstLineChars="500"/>
              <w:jc w:val="left"/>
              <w:rPr>
                <w:rFonts w:ascii="仿宋" w:eastAsia="仿宋" w:cs="仿宋"/>
                <w:sz w:val="24"/>
                <w:szCs w:val="24"/>
              </w:rPr>
            </w:pPr>
            <w:r>
              <w:rPr>
                <w:rFonts w:hint="eastAsia" w:ascii="仿宋" w:eastAsia="仿宋" w:cs="仿宋"/>
                <w:sz w:val="24"/>
                <w:szCs w:val="24"/>
              </w:rPr>
              <w:t>使用附属和弦与重属和弦进行歌曲编配</w:t>
            </w:r>
          </w:p>
        </w:tc>
        <w:tc>
          <w:tcPr>
            <w:tcW w:w="1541" w:type="dxa"/>
            <w:gridSpan w:val="2"/>
            <w:tcBorders>
              <w:top w:val="single" w:color="000000" w:sz="4" w:space="0"/>
              <w:left w:val="single" w:color="000000" w:sz="4" w:space="0"/>
              <w:bottom w:val="single" w:color="000000" w:sz="4" w:space="0"/>
              <w:right w:val="single" w:color="000000" w:sz="4" w:space="0"/>
            </w:tcBorders>
            <w:noWrap w:val="0"/>
            <w:vAlign w:val="center"/>
          </w:tcPr>
          <w:p w14:paraId="5226B078">
            <w:pPr>
              <w:jc w:val="center"/>
            </w:pPr>
            <w:r>
              <w:rPr>
                <w:rFonts w:hint="eastAsia" w:ascii="仿宋" w:eastAsia="仿宋" w:cs="仿宋"/>
                <w:sz w:val="24"/>
                <w:szCs w:val="24"/>
              </w:rPr>
              <w:t>支撑课程目标1、2</w:t>
            </w:r>
          </w:p>
        </w:tc>
        <w:tc>
          <w:tcPr>
            <w:tcW w:w="851" w:type="dxa"/>
            <w:gridSpan w:val="2"/>
            <w:tcBorders>
              <w:top w:val="single" w:color="000000" w:sz="4" w:space="0"/>
              <w:left w:val="single" w:color="000000" w:sz="4" w:space="0"/>
              <w:bottom w:val="single" w:color="000000" w:sz="4" w:space="0"/>
              <w:right w:val="single" w:color="000000" w:sz="4" w:space="0"/>
            </w:tcBorders>
            <w:noWrap w:val="0"/>
            <w:vAlign w:val="center"/>
          </w:tcPr>
          <w:p w14:paraId="6E5EE09E">
            <w:pPr>
              <w:adjustRightInd w:val="0"/>
              <w:snapToGrid w:val="0"/>
              <w:jc w:val="center"/>
              <w:rPr>
                <w:rFonts w:ascii="仿宋" w:eastAsia="仿宋" w:cs="仿宋"/>
                <w:sz w:val="24"/>
                <w:szCs w:val="24"/>
              </w:rPr>
            </w:pPr>
            <w:r>
              <w:rPr>
                <w:rFonts w:ascii="仿宋" w:eastAsia="仿宋" w:cs="仿宋"/>
                <w:sz w:val="24"/>
                <w:szCs w:val="24"/>
              </w:rPr>
              <w:t>8</w:t>
            </w:r>
          </w:p>
        </w:tc>
      </w:tr>
      <w:tr w14:paraId="2A0E85D3">
        <w:trPr>
          <w:trHeight w:val="71" w:hRule="atLeast"/>
        </w:trPr>
        <w:tc>
          <w:tcPr>
            <w:tcW w:w="129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E1ED0C"/>
        </w:tc>
        <w:tc>
          <w:tcPr>
            <w:tcW w:w="5675" w:type="dxa"/>
            <w:gridSpan w:val="8"/>
            <w:tcBorders>
              <w:top w:val="single" w:color="000000" w:sz="4" w:space="0"/>
              <w:left w:val="single" w:color="000000" w:sz="4" w:space="0"/>
              <w:bottom w:val="single" w:color="000000" w:sz="4" w:space="0"/>
              <w:right w:val="single" w:color="000000" w:sz="4" w:space="0"/>
            </w:tcBorders>
            <w:noWrap w:val="0"/>
            <w:vAlign w:val="center"/>
          </w:tcPr>
          <w:p w14:paraId="0346437E">
            <w:pPr>
              <w:adjustRightInd w:val="0"/>
              <w:snapToGrid w:val="0"/>
              <w:jc w:val="left"/>
              <w:textAlignment w:val="baseline"/>
              <w:rPr>
                <w:rFonts w:ascii="仿宋" w:eastAsia="仿宋" w:cs="仿宋"/>
                <w:sz w:val="24"/>
                <w:szCs w:val="24"/>
              </w:rPr>
            </w:pPr>
            <w:r>
              <w:rPr>
                <w:rFonts w:hint="eastAsia" w:ascii="仿宋" w:eastAsia="仿宋" w:cs="仿宋"/>
                <w:sz w:val="24"/>
                <w:szCs w:val="24"/>
              </w:rPr>
              <w:t>实训五  流行通俗歌曲的钢琴伴奏专题探究</w:t>
            </w:r>
          </w:p>
          <w:p w14:paraId="7B2D2492">
            <w:pPr>
              <w:widowControl/>
              <w:adjustRightInd w:val="0"/>
              <w:snapToGrid w:val="0"/>
              <w:jc w:val="left"/>
              <w:rPr>
                <w:rFonts w:ascii="仿宋" w:eastAsia="仿宋" w:cs="仿宋"/>
                <w:sz w:val="24"/>
                <w:szCs w:val="24"/>
              </w:rPr>
            </w:pPr>
            <w:r>
              <w:rPr>
                <w:rFonts w:hint="eastAsia" w:ascii="仿宋" w:eastAsia="仿宋" w:cs="仿宋"/>
                <w:sz w:val="24"/>
                <w:szCs w:val="24"/>
              </w:rPr>
              <w:t>实训目的：编配并弹奏流行通俗歌曲的钢琴伴奏</w:t>
            </w:r>
          </w:p>
          <w:p w14:paraId="4E59F02E">
            <w:pPr>
              <w:widowControl/>
              <w:adjustRightInd w:val="0"/>
              <w:snapToGrid w:val="0"/>
              <w:jc w:val="left"/>
              <w:rPr>
                <w:rFonts w:ascii="仿宋" w:eastAsia="仿宋" w:cs="仿宋"/>
                <w:sz w:val="24"/>
                <w:szCs w:val="24"/>
              </w:rPr>
            </w:pPr>
            <w:r>
              <w:rPr>
                <w:rFonts w:hint="eastAsia" w:ascii="仿宋" w:eastAsia="仿宋" w:cs="仿宋"/>
                <w:sz w:val="24"/>
                <w:szCs w:val="24"/>
              </w:rPr>
              <w:t>实训任务：弹奏卡农和弦连接并运用创编</w:t>
            </w:r>
          </w:p>
          <w:p w14:paraId="09999802">
            <w:pPr>
              <w:widowControl/>
              <w:adjustRightInd w:val="0"/>
              <w:snapToGrid w:val="0"/>
              <w:ind w:firstLine="1200" w:firstLineChars="500"/>
              <w:jc w:val="left"/>
              <w:rPr>
                <w:rFonts w:ascii="仿宋" w:eastAsia="仿宋" w:cs="仿宋"/>
                <w:sz w:val="24"/>
                <w:szCs w:val="24"/>
              </w:rPr>
            </w:pPr>
            <w:r>
              <w:rPr>
                <w:rFonts w:hint="eastAsia" w:ascii="仿宋" w:eastAsia="仿宋" w:cs="仿宋"/>
                <w:sz w:val="24"/>
                <w:szCs w:val="24"/>
              </w:rPr>
              <w:t>弹奏万能和弦连接并运用创编</w:t>
            </w:r>
          </w:p>
          <w:p w14:paraId="71DF6EF6">
            <w:pPr>
              <w:widowControl/>
              <w:adjustRightInd w:val="0"/>
              <w:snapToGrid w:val="0"/>
              <w:ind w:firstLine="1200" w:firstLineChars="500"/>
              <w:jc w:val="left"/>
              <w:rPr>
                <w:rFonts w:ascii="仿宋" w:eastAsia="仿宋" w:cs="仿宋"/>
                <w:sz w:val="24"/>
                <w:szCs w:val="24"/>
              </w:rPr>
            </w:pPr>
            <w:r>
              <w:rPr>
                <w:rFonts w:hint="eastAsia" w:ascii="仿宋" w:eastAsia="仿宋" w:cs="仿宋"/>
                <w:sz w:val="24"/>
                <w:szCs w:val="24"/>
              </w:rPr>
              <w:t>弹奏爵士与流行爵士和弦并运用创编</w:t>
            </w:r>
          </w:p>
          <w:p w14:paraId="1E735B04">
            <w:pPr>
              <w:widowControl/>
              <w:adjustRightInd w:val="0"/>
              <w:snapToGrid w:val="0"/>
              <w:ind w:left="1155" w:leftChars="550"/>
              <w:jc w:val="left"/>
              <w:rPr>
                <w:rFonts w:ascii="仿宋" w:eastAsia="仿宋" w:cs="仿宋"/>
                <w:sz w:val="24"/>
                <w:szCs w:val="24"/>
              </w:rPr>
            </w:pPr>
            <w:r>
              <w:rPr>
                <w:rFonts w:hint="eastAsia" w:ascii="仿宋" w:eastAsia="仿宋" w:cs="仿宋"/>
                <w:sz w:val="24"/>
                <w:szCs w:val="24"/>
              </w:rPr>
              <w:t>弹奏其它流行通俗歌曲的伴奏形态并运用创编</w:t>
            </w:r>
          </w:p>
        </w:tc>
        <w:tc>
          <w:tcPr>
            <w:tcW w:w="1541" w:type="dxa"/>
            <w:gridSpan w:val="2"/>
            <w:tcBorders>
              <w:top w:val="single" w:color="000000" w:sz="4" w:space="0"/>
              <w:left w:val="single" w:color="000000" w:sz="4" w:space="0"/>
              <w:bottom w:val="single" w:color="000000" w:sz="4" w:space="0"/>
              <w:right w:val="single" w:color="000000" w:sz="4" w:space="0"/>
            </w:tcBorders>
            <w:noWrap w:val="0"/>
            <w:vAlign w:val="center"/>
          </w:tcPr>
          <w:p w14:paraId="18DD6454">
            <w:pPr>
              <w:jc w:val="center"/>
            </w:pPr>
            <w:r>
              <w:rPr>
                <w:rFonts w:hint="eastAsia" w:ascii="仿宋" w:eastAsia="仿宋" w:cs="仿宋"/>
                <w:sz w:val="24"/>
                <w:szCs w:val="24"/>
              </w:rPr>
              <w:t>支撑课程目标1、2、3</w:t>
            </w:r>
          </w:p>
        </w:tc>
        <w:tc>
          <w:tcPr>
            <w:tcW w:w="851" w:type="dxa"/>
            <w:gridSpan w:val="2"/>
            <w:tcBorders>
              <w:top w:val="single" w:color="000000" w:sz="4" w:space="0"/>
              <w:left w:val="single" w:color="000000" w:sz="4" w:space="0"/>
              <w:bottom w:val="single" w:color="000000" w:sz="4" w:space="0"/>
              <w:right w:val="single" w:color="000000" w:sz="4" w:space="0"/>
            </w:tcBorders>
            <w:noWrap w:val="0"/>
            <w:vAlign w:val="center"/>
          </w:tcPr>
          <w:p w14:paraId="10118537">
            <w:pPr>
              <w:adjustRightInd w:val="0"/>
              <w:snapToGrid w:val="0"/>
              <w:rPr>
                <w:rFonts w:ascii="仿宋" w:eastAsia="仿宋" w:cs="仿宋"/>
                <w:sz w:val="24"/>
                <w:szCs w:val="24"/>
              </w:rPr>
            </w:pPr>
            <w:r>
              <w:rPr>
                <w:rFonts w:hint="eastAsia" w:ascii="仿宋" w:eastAsia="仿宋" w:cs="仿宋"/>
                <w:sz w:val="24"/>
                <w:szCs w:val="24"/>
              </w:rPr>
              <w:t xml:space="preserve"> </w:t>
            </w:r>
            <w:r>
              <w:rPr>
                <w:rFonts w:ascii="仿宋" w:eastAsia="仿宋" w:cs="仿宋"/>
                <w:sz w:val="24"/>
                <w:szCs w:val="24"/>
              </w:rPr>
              <w:t>12</w:t>
            </w:r>
          </w:p>
        </w:tc>
      </w:tr>
      <w:tr w14:paraId="7CF3AC3B">
        <w:trPr>
          <w:trHeight w:val="71" w:hRule="atLeast"/>
        </w:trPr>
        <w:tc>
          <w:tcPr>
            <w:tcW w:w="129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0F1707"/>
        </w:tc>
        <w:tc>
          <w:tcPr>
            <w:tcW w:w="5675" w:type="dxa"/>
            <w:gridSpan w:val="8"/>
            <w:tcBorders>
              <w:top w:val="single" w:color="000000" w:sz="4" w:space="0"/>
              <w:left w:val="single" w:color="000000" w:sz="4" w:space="0"/>
              <w:bottom w:val="single" w:color="000000" w:sz="4" w:space="0"/>
              <w:right w:val="single" w:color="000000" w:sz="4" w:space="0"/>
            </w:tcBorders>
            <w:noWrap w:val="0"/>
            <w:vAlign w:val="center"/>
          </w:tcPr>
          <w:p w14:paraId="28262790">
            <w:pPr>
              <w:widowControl/>
              <w:adjustRightInd w:val="0"/>
              <w:snapToGrid w:val="0"/>
              <w:jc w:val="left"/>
              <w:rPr>
                <w:rFonts w:ascii="仿宋" w:eastAsia="仿宋" w:cs="仿宋"/>
                <w:sz w:val="24"/>
                <w:szCs w:val="24"/>
              </w:rPr>
            </w:pPr>
            <w:r>
              <w:rPr>
                <w:rFonts w:hint="eastAsia" w:ascii="仿宋" w:eastAsia="仿宋" w:cs="仿宋"/>
                <w:sz w:val="24"/>
                <w:szCs w:val="24"/>
              </w:rPr>
              <w:t>实训六  以钢琴即兴伴奏为基础的音乐创编专题探究</w:t>
            </w:r>
          </w:p>
          <w:p w14:paraId="558071F0">
            <w:pPr>
              <w:widowControl/>
              <w:adjustRightInd w:val="0"/>
              <w:snapToGrid w:val="0"/>
              <w:jc w:val="left"/>
              <w:rPr>
                <w:rFonts w:ascii="仿宋" w:eastAsia="仿宋" w:cs="仿宋"/>
                <w:sz w:val="24"/>
                <w:szCs w:val="24"/>
              </w:rPr>
            </w:pPr>
            <w:r>
              <w:rPr>
                <w:rFonts w:hint="eastAsia" w:ascii="仿宋" w:eastAsia="仿宋" w:cs="仿宋"/>
                <w:sz w:val="24"/>
                <w:szCs w:val="24"/>
              </w:rPr>
              <w:t>实训目的：从即兴伴奏的视角进行音乐创编</w:t>
            </w:r>
          </w:p>
          <w:p w14:paraId="0BBE11D2">
            <w:pPr>
              <w:widowControl/>
              <w:adjustRightInd w:val="0"/>
              <w:snapToGrid w:val="0"/>
              <w:jc w:val="left"/>
              <w:rPr>
                <w:rFonts w:ascii="仿宋" w:eastAsia="仿宋" w:cs="仿宋"/>
                <w:sz w:val="24"/>
                <w:szCs w:val="24"/>
              </w:rPr>
            </w:pPr>
            <w:r>
              <w:rPr>
                <w:rFonts w:hint="eastAsia" w:ascii="仿宋" w:eastAsia="仿宋" w:cs="仿宋"/>
                <w:sz w:val="24"/>
                <w:szCs w:val="24"/>
              </w:rPr>
              <w:t>实训任务：运用公式进行旋律创编</w:t>
            </w:r>
          </w:p>
          <w:p w14:paraId="6FD526B6">
            <w:pPr>
              <w:widowControl/>
              <w:adjustRightInd w:val="0"/>
              <w:snapToGrid w:val="0"/>
              <w:ind w:firstLine="1200" w:firstLineChars="500"/>
              <w:jc w:val="left"/>
              <w:rPr>
                <w:rFonts w:ascii="仿宋" w:eastAsia="仿宋" w:cs="仿宋"/>
                <w:sz w:val="24"/>
                <w:szCs w:val="24"/>
              </w:rPr>
            </w:pPr>
            <w:r>
              <w:rPr>
                <w:rFonts w:hint="eastAsia" w:ascii="仿宋" w:eastAsia="仿宋" w:cs="仿宋"/>
                <w:sz w:val="24"/>
                <w:szCs w:val="24"/>
              </w:rPr>
              <w:t>以键盘和声为基础进行旋律创编</w:t>
            </w:r>
          </w:p>
          <w:p w14:paraId="75FEA6A1">
            <w:pPr>
              <w:widowControl/>
              <w:adjustRightInd w:val="0"/>
              <w:snapToGrid w:val="0"/>
              <w:ind w:firstLine="1200" w:firstLineChars="500"/>
              <w:jc w:val="left"/>
              <w:rPr>
                <w:rFonts w:ascii="仿宋" w:eastAsia="仿宋" w:cs="仿宋"/>
                <w:sz w:val="24"/>
                <w:szCs w:val="24"/>
              </w:rPr>
            </w:pPr>
            <w:r>
              <w:rPr>
                <w:rFonts w:hint="eastAsia" w:ascii="仿宋" w:eastAsia="仿宋" w:cs="仿宋"/>
                <w:sz w:val="24"/>
                <w:szCs w:val="24"/>
              </w:rPr>
              <w:t>听音记写</w:t>
            </w:r>
          </w:p>
          <w:p w14:paraId="0B16B4ED">
            <w:pPr>
              <w:widowControl/>
              <w:adjustRightInd w:val="0"/>
              <w:snapToGrid w:val="0"/>
              <w:ind w:firstLine="1200" w:firstLineChars="500"/>
              <w:jc w:val="left"/>
              <w:rPr>
                <w:rFonts w:ascii="仿宋" w:eastAsia="仿宋" w:cs="仿宋"/>
                <w:sz w:val="24"/>
                <w:szCs w:val="24"/>
              </w:rPr>
            </w:pPr>
            <w:r>
              <w:rPr>
                <w:rFonts w:hint="eastAsia" w:ascii="仿宋" w:eastAsia="仿宋" w:cs="仿宋"/>
                <w:sz w:val="24"/>
                <w:szCs w:val="24"/>
              </w:rPr>
              <w:t>以钢琴即兴伴奏为基础的小乐队伴奏创作</w:t>
            </w:r>
          </w:p>
        </w:tc>
        <w:tc>
          <w:tcPr>
            <w:tcW w:w="1541" w:type="dxa"/>
            <w:gridSpan w:val="2"/>
            <w:tcBorders>
              <w:top w:val="single" w:color="000000" w:sz="4" w:space="0"/>
              <w:left w:val="single" w:color="000000" w:sz="4" w:space="0"/>
              <w:bottom w:val="single" w:color="000000" w:sz="4" w:space="0"/>
              <w:right w:val="single" w:color="000000" w:sz="4" w:space="0"/>
            </w:tcBorders>
            <w:noWrap w:val="0"/>
            <w:vAlign w:val="center"/>
          </w:tcPr>
          <w:p w14:paraId="531DE60B">
            <w:pPr>
              <w:jc w:val="center"/>
            </w:pPr>
            <w:r>
              <w:rPr>
                <w:rFonts w:hint="eastAsia" w:ascii="仿宋" w:eastAsia="仿宋" w:cs="仿宋"/>
                <w:sz w:val="24"/>
                <w:szCs w:val="24"/>
              </w:rPr>
              <w:t>支撑课程目标1、2、3</w:t>
            </w:r>
          </w:p>
        </w:tc>
        <w:tc>
          <w:tcPr>
            <w:tcW w:w="851" w:type="dxa"/>
            <w:gridSpan w:val="2"/>
            <w:tcBorders>
              <w:top w:val="single" w:color="000000" w:sz="4" w:space="0"/>
              <w:left w:val="single" w:color="000000" w:sz="4" w:space="0"/>
              <w:bottom w:val="single" w:color="000000" w:sz="4" w:space="0"/>
              <w:right w:val="single" w:color="000000" w:sz="4" w:space="0"/>
            </w:tcBorders>
            <w:noWrap w:val="0"/>
            <w:vAlign w:val="center"/>
          </w:tcPr>
          <w:p w14:paraId="608757EA">
            <w:pPr>
              <w:adjustRightInd w:val="0"/>
              <w:snapToGrid w:val="0"/>
              <w:jc w:val="center"/>
              <w:rPr>
                <w:rFonts w:ascii="仿宋" w:eastAsia="仿宋" w:cs="仿宋"/>
                <w:sz w:val="24"/>
                <w:szCs w:val="24"/>
              </w:rPr>
            </w:pPr>
            <w:r>
              <w:rPr>
                <w:rFonts w:ascii="仿宋" w:eastAsia="仿宋" w:cs="仿宋"/>
                <w:sz w:val="24"/>
                <w:szCs w:val="24"/>
              </w:rPr>
              <w:t>12</w:t>
            </w:r>
          </w:p>
        </w:tc>
      </w:tr>
      <w:tr w14:paraId="404A2D13">
        <w:trPr>
          <w:trHeight w:val="409" w:hRule="atLeast"/>
        </w:trPr>
        <w:tc>
          <w:tcPr>
            <w:tcW w:w="129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14C1B9"/>
        </w:tc>
        <w:tc>
          <w:tcPr>
            <w:tcW w:w="5675" w:type="dxa"/>
            <w:gridSpan w:val="8"/>
            <w:tcBorders>
              <w:top w:val="single" w:color="000000" w:sz="4" w:space="0"/>
              <w:left w:val="single" w:color="000000" w:sz="4" w:space="0"/>
              <w:bottom w:val="single" w:color="000000" w:sz="4" w:space="0"/>
              <w:right w:val="single" w:color="000000" w:sz="4" w:space="0"/>
            </w:tcBorders>
            <w:noWrap w:val="0"/>
            <w:vAlign w:val="center"/>
          </w:tcPr>
          <w:p w14:paraId="17EC868B">
            <w:pPr>
              <w:adjustRightInd w:val="0"/>
              <w:snapToGrid w:val="0"/>
              <w:jc w:val="center"/>
              <w:rPr>
                <w:rFonts w:ascii="仿宋" w:eastAsia="仿宋" w:cs="仿宋"/>
                <w:sz w:val="24"/>
                <w:szCs w:val="24"/>
              </w:rPr>
            </w:pPr>
            <w:r>
              <w:rPr>
                <w:rFonts w:hint="eastAsia" w:ascii="仿宋" w:eastAsia="仿宋" w:cs="仿宋"/>
                <w:sz w:val="24"/>
                <w:szCs w:val="24"/>
              </w:rPr>
              <w:t>合计</w:t>
            </w:r>
          </w:p>
        </w:tc>
        <w:tc>
          <w:tcPr>
            <w:tcW w:w="2392" w:type="dxa"/>
            <w:gridSpan w:val="4"/>
            <w:tcBorders>
              <w:top w:val="single" w:color="000000" w:sz="4" w:space="0"/>
              <w:left w:val="single" w:color="000000" w:sz="4" w:space="0"/>
              <w:bottom w:val="single" w:color="000000" w:sz="4" w:space="0"/>
              <w:right w:val="single" w:color="000000" w:sz="4" w:space="0"/>
            </w:tcBorders>
            <w:noWrap w:val="0"/>
            <w:vAlign w:val="center"/>
          </w:tcPr>
          <w:p w14:paraId="0C67D6F2">
            <w:pPr>
              <w:adjustRightInd w:val="0"/>
              <w:snapToGrid w:val="0"/>
              <w:jc w:val="center"/>
              <w:rPr>
                <w:rFonts w:ascii="仿宋" w:eastAsia="仿宋" w:cs="仿宋"/>
                <w:sz w:val="24"/>
                <w:szCs w:val="24"/>
              </w:rPr>
            </w:pPr>
            <w:r>
              <w:rPr>
                <w:rFonts w:ascii="仿宋" w:eastAsia="仿宋" w:cs="仿宋"/>
                <w:sz w:val="24"/>
                <w:szCs w:val="24"/>
              </w:rPr>
              <w:t>64</w:t>
            </w:r>
          </w:p>
        </w:tc>
      </w:tr>
      <w:tr w14:paraId="5B4455AC">
        <w:trPr>
          <w:trHeight w:val="921" w:hRule="atLeast"/>
        </w:trPr>
        <w:tc>
          <w:tcPr>
            <w:tcW w:w="1299" w:type="dxa"/>
            <w:tcBorders>
              <w:top w:val="single" w:color="000000" w:sz="4" w:space="0"/>
              <w:left w:val="single" w:color="000000" w:sz="4" w:space="0"/>
              <w:bottom w:val="single" w:color="000000" w:sz="4" w:space="0"/>
              <w:right w:val="single" w:color="000000" w:sz="4" w:space="0"/>
            </w:tcBorders>
            <w:noWrap w:val="0"/>
            <w:vAlign w:val="center"/>
          </w:tcPr>
          <w:p w14:paraId="2B14B1A6">
            <w:pPr>
              <w:jc w:val="center"/>
              <w:rPr>
                <w:rFonts w:ascii="仿宋" w:eastAsia="仿宋" w:cs="宋体"/>
                <w:sz w:val="24"/>
              </w:rPr>
            </w:pPr>
            <w:r>
              <w:rPr>
                <w:rFonts w:hint="eastAsia" w:ascii="仿宋" w:eastAsia="仿宋" w:cs="宋体"/>
                <w:sz w:val="24"/>
              </w:rPr>
              <w:t>I</w:t>
            </w:r>
          </w:p>
          <w:p w14:paraId="08FA9359">
            <w:pPr>
              <w:jc w:val="center"/>
              <w:rPr>
                <w:rFonts w:ascii="宋体" w:cs="宋体"/>
                <w:sz w:val="24"/>
              </w:rPr>
            </w:pPr>
            <w:r>
              <w:rPr>
                <w:rFonts w:hint="eastAsia" w:ascii="仿宋" w:eastAsia="仿宋" w:cs="宋体"/>
                <w:sz w:val="24"/>
              </w:rPr>
              <w:t>教学方法与教学方式</w:t>
            </w:r>
          </w:p>
        </w:tc>
        <w:tc>
          <w:tcPr>
            <w:tcW w:w="8067" w:type="dxa"/>
            <w:gridSpan w:val="12"/>
            <w:tcBorders>
              <w:top w:val="single" w:color="000000" w:sz="4" w:space="0"/>
              <w:left w:val="single" w:color="000000" w:sz="4" w:space="0"/>
              <w:bottom w:val="single" w:color="000000" w:sz="4" w:space="0"/>
              <w:right w:val="single" w:color="000000" w:sz="4" w:space="0"/>
            </w:tcBorders>
            <w:noWrap w:val="0"/>
            <w:vAlign w:val="center"/>
          </w:tcPr>
          <w:p w14:paraId="509F4B0D">
            <w:pPr>
              <w:adjustRightInd w:val="0"/>
              <w:snapToGrid w:val="0"/>
              <w:rPr>
                <w:rFonts w:ascii="仿宋" w:eastAsia="仿宋" w:cs="仿宋"/>
                <w:sz w:val="24"/>
                <w:szCs w:val="24"/>
              </w:rPr>
            </w:pPr>
            <w:r>
              <w:rPr>
                <w:rFonts w:hint="eastAsia" w:ascii="仿宋" w:eastAsia="仿宋" w:cs="仿宋"/>
                <w:sz w:val="24"/>
                <w:szCs w:val="24"/>
              </w:rPr>
              <w:t>1.理论课全部采用多媒体教学，应用自编或改编的多媒体课件，改善理论课的枯燥和沉闷，吸引学生的注意力，加强授课效果。</w:t>
            </w:r>
          </w:p>
          <w:p w14:paraId="2DC477D7">
            <w:pPr>
              <w:adjustRightInd w:val="0"/>
              <w:snapToGrid w:val="0"/>
              <w:rPr>
                <w:rFonts w:ascii="仿宋" w:eastAsia="仿宋" w:cs="仿宋"/>
                <w:sz w:val="24"/>
                <w:szCs w:val="24"/>
              </w:rPr>
            </w:pPr>
            <w:r>
              <w:rPr>
                <w:rFonts w:hint="eastAsia" w:ascii="仿宋" w:eastAsia="仿宋" w:cs="仿宋"/>
                <w:sz w:val="24"/>
                <w:szCs w:val="24"/>
              </w:rPr>
              <w:t>2.开通网络课堂，达到与学生及时沟通、交流的目的。同时重视师生互动与小组活动，组织课堂小组讨论等活动，将课堂教学变为师生共同活动的过程。</w:t>
            </w:r>
          </w:p>
          <w:p w14:paraId="52E8AD07">
            <w:pPr>
              <w:adjustRightInd w:val="0"/>
              <w:snapToGrid w:val="0"/>
              <w:rPr>
                <w:rFonts w:ascii="仿宋" w:eastAsia="仿宋" w:cs="仿宋"/>
                <w:sz w:val="24"/>
                <w:szCs w:val="24"/>
              </w:rPr>
            </w:pPr>
            <w:r>
              <w:rPr>
                <w:rFonts w:hint="eastAsia" w:ascii="仿宋" w:eastAsia="仿宋" w:cs="仿宋"/>
                <w:sz w:val="24"/>
                <w:szCs w:val="24"/>
              </w:rPr>
              <w:t>3.主要方式：</w:t>
            </w:r>
          </w:p>
          <w:p w14:paraId="053AD124">
            <w:pPr>
              <w:adjustRightInd w:val="0"/>
              <w:snapToGrid w:val="0"/>
              <w:rPr>
                <w:rFonts w:ascii="仿宋" w:eastAsia="仿宋" w:cs="仿宋"/>
                <w:sz w:val="24"/>
                <w:szCs w:val="24"/>
              </w:rPr>
            </w:pPr>
            <w:r>
              <w:rPr>
                <w:rFonts w:ascii="仿宋" w:eastAsia="仿宋" w:cs="仿宋"/>
                <w:sz w:val="24"/>
                <w:szCs w:val="24"/>
              </w:rPr>
              <w:sym w:font="Wingdings" w:char="00FE"/>
            </w:r>
            <w:r>
              <w:rPr>
                <w:rFonts w:hint="eastAsia" w:ascii="仿宋" w:eastAsia="仿宋" w:cs="仿宋"/>
                <w:sz w:val="24"/>
                <w:szCs w:val="24"/>
              </w:rPr>
              <w:t xml:space="preserve">讲授  </w:t>
            </w:r>
            <w:r>
              <w:rPr>
                <w:rFonts w:ascii="仿宋" w:eastAsia="仿宋" w:cs="仿宋"/>
                <w:sz w:val="24"/>
                <w:szCs w:val="24"/>
              </w:rPr>
              <w:sym w:font="Wingdings" w:char="00FE"/>
            </w:r>
            <w:r>
              <w:rPr>
                <w:rFonts w:hint="eastAsia" w:ascii="仿宋" w:eastAsia="仿宋" w:cs="仿宋"/>
                <w:sz w:val="24"/>
                <w:szCs w:val="24"/>
              </w:rPr>
              <w:t xml:space="preserve">网络学习  </w:t>
            </w:r>
            <w:r>
              <w:rPr>
                <w:rFonts w:ascii="仿宋" w:eastAsia="仿宋" w:cs="仿宋"/>
                <w:sz w:val="24"/>
                <w:szCs w:val="24"/>
              </w:rPr>
              <w:sym w:font="Wingdings" w:char="00FE"/>
            </w:r>
            <w:r>
              <w:rPr>
                <w:rFonts w:hint="eastAsia" w:ascii="仿宋" w:eastAsia="仿宋" w:cs="仿宋"/>
                <w:sz w:val="24"/>
                <w:szCs w:val="24"/>
              </w:rPr>
              <w:t xml:space="preserve">讨论或座谈  </w:t>
            </w:r>
            <w:r>
              <w:rPr>
                <w:rFonts w:ascii="仿宋" w:eastAsia="仿宋" w:cs="仿宋"/>
                <w:sz w:val="24"/>
                <w:szCs w:val="24"/>
              </w:rPr>
              <w:sym w:font="Wingdings" w:char="00FE"/>
            </w:r>
            <w:r>
              <w:rPr>
                <w:rFonts w:hint="eastAsia" w:ascii="仿宋" w:eastAsia="仿宋" w:cs="仿宋"/>
                <w:sz w:val="24"/>
                <w:szCs w:val="24"/>
              </w:rPr>
              <w:t xml:space="preserve">问题导向学习  </w:t>
            </w:r>
          </w:p>
          <w:p w14:paraId="09856654">
            <w:pPr>
              <w:adjustRightInd w:val="0"/>
              <w:snapToGrid w:val="0"/>
              <w:rPr>
                <w:rFonts w:ascii="仿宋" w:eastAsia="仿宋" w:cs="仿宋"/>
                <w:sz w:val="24"/>
                <w:szCs w:val="24"/>
              </w:rPr>
            </w:pPr>
            <w:r>
              <w:rPr>
                <w:rFonts w:ascii="仿宋" w:eastAsia="仿宋" w:cs="仿宋"/>
                <w:sz w:val="24"/>
                <w:szCs w:val="24"/>
              </w:rPr>
              <w:sym w:font="Wingdings" w:char="00FE"/>
            </w:r>
            <w:r>
              <w:rPr>
                <w:rFonts w:hint="eastAsia" w:ascii="仿宋" w:eastAsia="仿宋" w:cs="仿宋"/>
                <w:sz w:val="24"/>
                <w:szCs w:val="24"/>
              </w:rPr>
              <w:t xml:space="preserve">分组合作学习  </w:t>
            </w:r>
            <w:r>
              <w:rPr>
                <w:rFonts w:ascii="仿宋" w:eastAsia="仿宋" w:cs="仿宋"/>
                <w:sz w:val="24"/>
                <w:szCs w:val="24"/>
              </w:rPr>
              <w:sym w:font="Wingdings" w:char="00FE"/>
            </w:r>
            <w:r>
              <w:rPr>
                <w:rFonts w:hint="eastAsia" w:ascii="仿宋" w:eastAsia="仿宋" w:cs="仿宋"/>
                <w:sz w:val="24"/>
                <w:szCs w:val="24"/>
              </w:rPr>
              <w:t xml:space="preserve">专题学习  </w:t>
            </w:r>
            <w:r>
              <w:rPr>
                <w:rFonts w:ascii="仿宋" w:eastAsia="仿宋" w:cs="仿宋"/>
                <w:sz w:val="24"/>
                <w:szCs w:val="24"/>
              </w:rPr>
              <w:sym w:font="Wingdings" w:char="00FE"/>
            </w:r>
            <w:r>
              <w:rPr>
                <w:rFonts w:hint="eastAsia" w:ascii="仿宋" w:eastAsia="仿宋" w:cs="仿宋"/>
                <w:sz w:val="24"/>
                <w:szCs w:val="24"/>
              </w:rPr>
              <w:t xml:space="preserve">实作学习  </w:t>
            </w:r>
            <w:r>
              <w:rPr>
                <w:rFonts w:ascii="仿宋" w:eastAsia="仿宋" w:cs="仿宋"/>
                <w:sz w:val="24"/>
                <w:szCs w:val="24"/>
              </w:rPr>
              <w:sym w:font="Wingdings" w:char="00A8"/>
            </w:r>
            <w:r>
              <w:rPr>
                <w:rFonts w:hint="eastAsia" w:ascii="仿宋" w:eastAsia="仿宋" w:cs="仿宋"/>
                <w:sz w:val="24"/>
                <w:szCs w:val="24"/>
              </w:rPr>
              <w:t xml:space="preserve">发表学习  </w:t>
            </w:r>
          </w:p>
          <w:p w14:paraId="4A8320A5">
            <w:pPr>
              <w:rPr>
                <w:rFonts w:ascii="宋体" w:cs="宋体"/>
                <w:sz w:val="24"/>
              </w:rPr>
            </w:pPr>
            <w:r>
              <w:rPr>
                <w:rFonts w:ascii="仿宋" w:eastAsia="仿宋" w:cs="仿宋"/>
                <w:sz w:val="24"/>
                <w:szCs w:val="24"/>
              </w:rPr>
              <w:sym w:font="Wingdings" w:char="00A8"/>
            </w:r>
            <w:r>
              <w:rPr>
                <w:rFonts w:hint="eastAsia" w:ascii="仿宋" w:eastAsia="仿宋" w:cs="仿宋"/>
                <w:sz w:val="24"/>
                <w:szCs w:val="24"/>
              </w:rPr>
              <w:t xml:space="preserve">实习  </w:t>
            </w:r>
            <w:r>
              <w:rPr>
                <w:rFonts w:ascii="仿宋" w:eastAsia="仿宋" w:cs="仿宋"/>
                <w:sz w:val="24"/>
                <w:szCs w:val="24"/>
              </w:rPr>
              <w:sym w:font="Wingdings" w:char="00A8"/>
            </w:r>
            <w:r>
              <w:rPr>
                <w:rFonts w:hint="eastAsia" w:ascii="仿宋" w:eastAsia="仿宋" w:cs="仿宋"/>
                <w:sz w:val="24"/>
                <w:szCs w:val="24"/>
              </w:rPr>
              <w:t xml:space="preserve">参观访问  </w:t>
            </w:r>
            <w:r>
              <w:rPr>
                <w:rFonts w:ascii="仿宋" w:eastAsia="仿宋" w:cs="仿宋"/>
                <w:sz w:val="24"/>
                <w:szCs w:val="24"/>
              </w:rPr>
              <w:sym w:font="Wingdings" w:char="00A8"/>
            </w:r>
            <w:r>
              <w:rPr>
                <w:rFonts w:hint="eastAsia" w:ascii="仿宋" w:eastAsia="仿宋" w:cs="仿宋"/>
                <w:sz w:val="24"/>
                <w:szCs w:val="24"/>
              </w:rPr>
              <w:t>其它：</w:t>
            </w:r>
            <w:r>
              <w:rPr>
                <w:rFonts w:hint="eastAsia" w:ascii="仿宋" w:eastAsia="仿宋" w:cs="仿宋"/>
                <w:sz w:val="24"/>
                <w:szCs w:val="24"/>
                <w:u w:val="single"/>
              </w:rPr>
              <w:t xml:space="preserve"> 技能训练  </w:t>
            </w:r>
            <w:r>
              <w:rPr>
                <w:rFonts w:hint="eastAsia" w:ascii="仿宋" w:eastAsia="仿宋" w:cs="仿宋"/>
                <w:sz w:val="24"/>
                <w:szCs w:val="24"/>
              </w:rPr>
              <w:t>(如口头训练等)</w:t>
            </w:r>
          </w:p>
        </w:tc>
      </w:tr>
      <w:tr w14:paraId="51B38A71">
        <w:trPr>
          <w:trHeight w:val="580" w:hRule="atLeast"/>
        </w:trPr>
        <w:tc>
          <w:tcPr>
            <w:tcW w:w="1299" w:type="dxa"/>
            <w:tcBorders>
              <w:top w:val="single" w:color="000000" w:sz="4" w:space="0"/>
              <w:left w:val="single" w:color="000000" w:sz="4" w:space="0"/>
              <w:bottom w:val="single" w:color="000000" w:sz="4" w:space="0"/>
              <w:right w:val="single" w:color="000000" w:sz="4" w:space="0"/>
            </w:tcBorders>
            <w:noWrap w:val="0"/>
            <w:vAlign w:val="center"/>
          </w:tcPr>
          <w:p w14:paraId="51203A39">
            <w:pPr>
              <w:jc w:val="center"/>
              <w:rPr>
                <w:rFonts w:ascii="仿宋" w:eastAsia="仿宋" w:cs="仿宋"/>
                <w:sz w:val="24"/>
                <w:szCs w:val="24"/>
              </w:rPr>
            </w:pPr>
            <w:r>
              <w:rPr>
                <w:rFonts w:hint="eastAsia" w:ascii="仿宋" w:eastAsia="仿宋" w:cs="仿宋"/>
                <w:sz w:val="24"/>
                <w:szCs w:val="24"/>
              </w:rPr>
              <w:t>J</w:t>
            </w:r>
          </w:p>
          <w:p w14:paraId="31AD3BE5">
            <w:pPr>
              <w:jc w:val="center"/>
              <w:rPr>
                <w:rFonts w:ascii="仿宋" w:eastAsia="仿宋" w:cs="仿宋"/>
                <w:sz w:val="24"/>
                <w:szCs w:val="24"/>
              </w:rPr>
            </w:pPr>
            <w:r>
              <w:rPr>
                <w:rFonts w:hint="eastAsia" w:ascii="仿宋" w:eastAsia="仿宋" w:cs="仿宋"/>
                <w:sz w:val="24"/>
                <w:szCs w:val="24"/>
              </w:rPr>
              <w:t>教学条件</w:t>
            </w:r>
          </w:p>
          <w:p w14:paraId="2AB89DFB">
            <w:pPr>
              <w:jc w:val="center"/>
              <w:rPr>
                <w:rFonts w:ascii="仿宋" w:eastAsia="仿宋" w:cs="仿宋"/>
                <w:sz w:val="24"/>
                <w:szCs w:val="24"/>
              </w:rPr>
            </w:pPr>
            <w:r>
              <w:rPr>
                <w:rFonts w:hint="eastAsia" w:ascii="仿宋" w:eastAsia="仿宋" w:cs="仿宋"/>
                <w:sz w:val="24"/>
                <w:szCs w:val="24"/>
              </w:rPr>
              <w:t>需求</w:t>
            </w:r>
          </w:p>
        </w:tc>
        <w:tc>
          <w:tcPr>
            <w:tcW w:w="8067" w:type="dxa"/>
            <w:gridSpan w:val="12"/>
            <w:tcBorders>
              <w:top w:val="single" w:color="000000" w:sz="4" w:space="0"/>
              <w:left w:val="single" w:color="000000" w:sz="4" w:space="0"/>
              <w:bottom w:val="single" w:color="000000" w:sz="4" w:space="0"/>
              <w:right w:val="single" w:color="000000" w:sz="4" w:space="0"/>
            </w:tcBorders>
            <w:noWrap w:val="0"/>
            <w:vAlign w:val="center"/>
          </w:tcPr>
          <w:p w14:paraId="614A2931">
            <w:pPr>
              <w:tabs>
                <w:tab w:val="left" w:pos="720"/>
              </w:tabs>
              <w:adjustRightInd w:val="0"/>
              <w:snapToGrid w:val="0"/>
              <w:rPr>
                <w:rFonts w:ascii="仿宋" w:eastAsia="仿宋" w:cs="仿宋"/>
                <w:sz w:val="24"/>
                <w:szCs w:val="24"/>
              </w:rPr>
            </w:pPr>
            <w:r>
              <w:rPr>
                <w:rFonts w:hint="eastAsia" w:ascii="仿宋" w:eastAsia="仿宋" w:cs="仿宋"/>
                <w:sz w:val="24"/>
                <w:szCs w:val="24"/>
              </w:rPr>
              <w:t>1.智慧钢琴教室</w:t>
            </w:r>
          </w:p>
          <w:p w14:paraId="530CD714">
            <w:pPr>
              <w:tabs>
                <w:tab w:val="left" w:pos="720"/>
              </w:tabs>
              <w:rPr>
                <w:rFonts w:ascii="仿宋" w:eastAsia="仿宋" w:cs="仿宋"/>
                <w:sz w:val="24"/>
                <w:szCs w:val="24"/>
              </w:rPr>
            </w:pPr>
            <w:r>
              <w:rPr>
                <w:rFonts w:hint="eastAsia" w:ascii="仿宋" w:eastAsia="仿宋" w:cs="仿宋"/>
                <w:sz w:val="24"/>
                <w:szCs w:val="24"/>
              </w:rPr>
              <w:t>2.数码教学平台</w:t>
            </w:r>
          </w:p>
        </w:tc>
      </w:tr>
      <w:tr w14:paraId="7CACD641">
        <w:trPr>
          <w:trHeight w:val="481" w:hRule="atLeast"/>
        </w:trPr>
        <w:tc>
          <w:tcPr>
            <w:tcW w:w="1299" w:type="dxa"/>
            <w:vMerge w:val="restart"/>
            <w:tcBorders>
              <w:top w:val="single" w:color="000000" w:sz="4" w:space="0"/>
              <w:left w:val="single" w:color="000000" w:sz="4" w:space="0"/>
              <w:bottom w:val="single" w:color="000000" w:sz="4" w:space="0"/>
              <w:right w:val="single" w:color="000000" w:sz="4" w:space="0"/>
            </w:tcBorders>
            <w:noWrap w:val="0"/>
            <w:vAlign w:val="center"/>
          </w:tcPr>
          <w:p w14:paraId="1AC71A91">
            <w:pPr>
              <w:jc w:val="center"/>
              <w:rPr>
                <w:rFonts w:ascii="仿宋" w:eastAsia="仿宋" w:cs="仿宋"/>
                <w:sz w:val="24"/>
                <w:szCs w:val="24"/>
              </w:rPr>
            </w:pPr>
            <w:r>
              <w:rPr>
                <w:rFonts w:hint="eastAsia" w:ascii="仿宋" w:eastAsia="仿宋" w:cs="仿宋"/>
                <w:sz w:val="24"/>
                <w:szCs w:val="24"/>
              </w:rPr>
              <w:t>K</w:t>
            </w:r>
          </w:p>
          <w:p w14:paraId="1489A73C">
            <w:pPr>
              <w:jc w:val="center"/>
              <w:rPr>
                <w:rFonts w:ascii="仿宋" w:eastAsia="仿宋" w:cs="仿宋"/>
                <w:sz w:val="24"/>
                <w:szCs w:val="24"/>
              </w:rPr>
            </w:pPr>
            <w:r>
              <w:rPr>
                <w:rFonts w:hint="eastAsia" w:ascii="仿宋" w:eastAsia="仿宋" w:cs="仿宋"/>
                <w:sz w:val="24"/>
                <w:szCs w:val="24"/>
              </w:rPr>
              <w:t>课程目标及其考核内容、考核方式及评分占比</w:t>
            </w:r>
          </w:p>
        </w:tc>
        <w:tc>
          <w:tcPr>
            <w:tcW w:w="136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5CC597C">
            <w:pPr>
              <w:rPr>
                <w:rFonts w:ascii="仿宋" w:eastAsia="仿宋" w:cs="仿宋"/>
                <w:sz w:val="24"/>
                <w:szCs w:val="24"/>
              </w:rPr>
            </w:pPr>
            <w:r>
              <w:rPr>
                <w:rFonts w:hint="eastAsia" w:ascii="仿宋" w:eastAsia="仿宋" w:cs="仿宋"/>
                <w:sz w:val="24"/>
                <w:szCs w:val="24"/>
              </w:rPr>
              <w:t>课程目标及评分占比</w:t>
            </w:r>
          </w:p>
        </w:tc>
        <w:tc>
          <w:tcPr>
            <w:tcW w:w="3415" w:type="dxa"/>
            <w:gridSpan w:val="5"/>
            <w:vMerge w:val="restart"/>
            <w:tcBorders>
              <w:top w:val="single" w:color="000000" w:sz="4" w:space="0"/>
              <w:left w:val="single" w:color="000000" w:sz="4" w:space="0"/>
              <w:bottom w:val="single" w:color="000000" w:sz="4" w:space="0"/>
              <w:right w:val="single" w:color="000000" w:sz="4" w:space="0"/>
            </w:tcBorders>
            <w:noWrap w:val="0"/>
            <w:vAlign w:val="center"/>
          </w:tcPr>
          <w:p w14:paraId="547D5407">
            <w:pPr>
              <w:tabs>
                <w:tab w:val="left" w:pos="720"/>
              </w:tabs>
              <w:jc w:val="center"/>
              <w:rPr>
                <w:rFonts w:ascii="仿宋" w:eastAsia="仿宋" w:cs="仿宋"/>
                <w:sz w:val="24"/>
                <w:szCs w:val="24"/>
              </w:rPr>
            </w:pPr>
            <w:r>
              <w:rPr>
                <w:rFonts w:hint="eastAsia" w:ascii="仿宋" w:eastAsia="仿宋" w:cs="仿宋"/>
                <w:sz w:val="24"/>
                <w:szCs w:val="24"/>
              </w:rPr>
              <w:t>考核内容</w:t>
            </w:r>
          </w:p>
        </w:tc>
        <w:tc>
          <w:tcPr>
            <w:tcW w:w="2510" w:type="dxa"/>
            <w:gridSpan w:val="4"/>
            <w:tcBorders>
              <w:top w:val="single" w:color="000000" w:sz="4" w:space="0"/>
              <w:left w:val="single" w:color="000000" w:sz="4" w:space="0"/>
              <w:bottom w:val="single" w:color="000000" w:sz="4" w:space="0"/>
              <w:right w:val="single" w:color="000000" w:sz="4" w:space="0"/>
            </w:tcBorders>
            <w:noWrap w:val="0"/>
            <w:vAlign w:val="center"/>
          </w:tcPr>
          <w:p w14:paraId="620F1E37">
            <w:pPr>
              <w:tabs>
                <w:tab w:val="left" w:pos="720"/>
              </w:tabs>
              <w:jc w:val="center"/>
              <w:rPr>
                <w:rFonts w:ascii="仿宋" w:eastAsia="仿宋" w:cs="仿宋"/>
                <w:color w:val="4472C4"/>
                <w:sz w:val="24"/>
                <w:szCs w:val="24"/>
              </w:rPr>
            </w:pPr>
            <w:r>
              <w:rPr>
                <w:rFonts w:hint="eastAsia" w:ascii="仿宋" w:eastAsia="仿宋" w:cs="仿宋"/>
                <w:sz w:val="24"/>
                <w:szCs w:val="24"/>
              </w:rPr>
              <w:t>考核方式</w:t>
            </w: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5ADFC65E">
            <w:pPr>
              <w:tabs>
                <w:tab w:val="left" w:pos="720"/>
              </w:tabs>
              <w:jc w:val="center"/>
              <w:rPr>
                <w:rFonts w:ascii="仿宋" w:eastAsia="仿宋" w:cs="仿宋"/>
                <w:sz w:val="24"/>
                <w:szCs w:val="24"/>
              </w:rPr>
            </w:pPr>
            <w:r>
              <w:rPr>
                <w:rFonts w:hint="eastAsia" w:ascii="仿宋" w:eastAsia="仿宋" w:cs="仿宋"/>
                <w:sz w:val="24"/>
                <w:szCs w:val="24"/>
              </w:rPr>
              <w:t>课程分目标的达成度</w:t>
            </w:r>
          </w:p>
        </w:tc>
      </w:tr>
      <w:tr w14:paraId="250CDEE8">
        <w:trPr>
          <w:trHeight w:val="184" w:hRule="atLeast"/>
        </w:trPr>
        <w:tc>
          <w:tcPr>
            <w:tcW w:w="129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23F64E"/>
        </w:tc>
        <w:tc>
          <w:tcPr>
            <w:tcW w:w="136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1A77EA9"/>
        </w:tc>
        <w:tc>
          <w:tcPr>
            <w:tcW w:w="3415" w:type="dxa"/>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18BA193D"/>
        </w:tc>
        <w:tc>
          <w:tcPr>
            <w:tcW w:w="900" w:type="dxa"/>
            <w:tcBorders>
              <w:top w:val="single" w:color="000000" w:sz="4" w:space="0"/>
              <w:left w:val="single" w:color="000000" w:sz="4" w:space="0"/>
              <w:bottom w:val="single" w:color="000000" w:sz="4" w:space="0"/>
              <w:right w:val="single" w:color="000000" w:sz="4" w:space="0"/>
            </w:tcBorders>
            <w:noWrap w:val="0"/>
            <w:vAlign w:val="top"/>
          </w:tcPr>
          <w:p w14:paraId="2273354A">
            <w:pPr>
              <w:tabs>
                <w:tab w:val="left" w:pos="720"/>
              </w:tabs>
              <w:adjustRightInd w:val="0"/>
              <w:snapToGrid w:val="0"/>
              <w:jc w:val="center"/>
              <w:rPr>
                <w:rFonts w:ascii="仿宋" w:eastAsia="仿宋" w:cs="仿宋"/>
                <w:sz w:val="24"/>
                <w:szCs w:val="24"/>
              </w:rPr>
            </w:pPr>
            <w:r>
              <w:rPr>
                <w:rFonts w:hint="eastAsia" w:ascii="仿宋" w:eastAsia="仿宋" w:cs="仿宋"/>
                <w:sz w:val="24"/>
                <w:szCs w:val="24"/>
              </w:rPr>
              <w:t>平时成绩占比</w:t>
            </w:r>
            <w:r>
              <w:rPr>
                <w:rFonts w:hint="eastAsia" w:ascii="仿宋" w:eastAsia="仿宋" w:cs="仿宋"/>
                <w:szCs w:val="21"/>
              </w:rPr>
              <w:t>（20%）</w:t>
            </w:r>
          </w:p>
        </w:tc>
        <w:tc>
          <w:tcPr>
            <w:tcW w:w="827" w:type="dxa"/>
            <w:tcBorders>
              <w:top w:val="single" w:color="000000" w:sz="4" w:space="0"/>
              <w:left w:val="single" w:color="000000" w:sz="4" w:space="0"/>
              <w:bottom w:val="single" w:color="000000" w:sz="4" w:space="0"/>
              <w:right w:val="single" w:color="000000" w:sz="4" w:space="0"/>
            </w:tcBorders>
            <w:noWrap w:val="0"/>
            <w:vAlign w:val="top"/>
          </w:tcPr>
          <w:p w14:paraId="54726188">
            <w:pPr>
              <w:tabs>
                <w:tab w:val="left" w:pos="720"/>
              </w:tabs>
              <w:adjustRightInd w:val="0"/>
              <w:snapToGrid w:val="0"/>
              <w:jc w:val="center"/>
              <w:rPr>
                <w:rFonts w:ascii="仿宋" w:eastAsia="仿宋" w:cs="仿宋"/>
                <w:sz w:val="24"/>
                <w:szCs w:val="24"/>
              </w:rPr>
            </w:pPr>
            <w:r>
              <w:rPr>
                <w:rFonts w:hint="eastAsia" w:ascii="仿宋" w:eastAsia="仿宋" w:cs="仿宋"/>
                <w:sz w:val="24"/>
                <w:szCs w:val="24"/>
              </w:rPr>
              <w:t>期中考试评分占比</w:t>
            </w:r>
            <w:r>
              <w:rPr>
                <w:rFonts w:hint="eastAsia" w:ascii="仿宋" w:eastAsia="仿宋" w:cs="仿宋"/>
                <w:szCs w:val="21"/>
              </w:rPr>
              <w:t>（40%）</w:t>
            </w:r>
          </w:p>
        </w:tc>
        <w:tc>
          <w:tcPr>
            <w:tcW w:w="783" w:type="dxa"/>
            <w:gridSpan w:val="2"/>
            <w:tcBorders>
              <w:top w:val="single" w:color="000000" w:sz="4" w:space="0"/>
              <w:left w:val="single" w:color="000000" w:sz="4" w:space="0"/>
              <w:bottom w:val="single" w:color="000000" w:sz="4" w:space="0"/>
              <w:right w:val="single" w:color="000000" w:sz="4" w:space="0"/>
            </w:tcBorders>
            <w:noWrap w:val="0"/>
            <w:vAlign w:val="top"/>
          </w:tcPr>
          <w:p w14:paraId="1549A2CD">
            <w:pPr>
              <w:tabs>
                <w:tab w:val="left" w:pos="720"/>
              </w:tabs>
              <w:adjustRightInd w:val="0"/>
              <w:snapToGrid w:val="0"/>
              <w:jc w:val="center"/>
              <w:rPr>
                <w:rFonts w:ascii="仿宋" w:eastAsia="仿宋" w:cs="仿宋"/>
                <w:sz w:val="24"/>
                <w:szCs w:val="24"/>
              </w:rPr>
            </w:pPr>
            <w:r>
              <w:rPr>
                <w:rFonts w:hint="eastAsia" w:ascii="仿宋" w:eastAsia="仿宋" w:cs="仿宋"/>
                <w:sz w:val="24"/>
                <w:szCs w:val="24"/>
              </w:rPr>
              <w:t>期末考试评分占比</w:t>
            </w:r>
            <w:r>
              <w:rPr>
                <w:rFonts w:hint="eastAsia" w:ascii="仿宋" w:eastAsia="仿宋" w:cs="仿宋"/>
                <w:szCs w:val="21"/>
              </w:rPr>
              <w:t>（40%）</w:t>
            </w: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253263"/>
        </w:tc>
      </w:tr>
      <w:tr w14:paraId="4A184410">
        <w:trPr>
          <w:trHeight w:val="1652" w:hRule="atLeast"/>
        </w:trPr>
        <w:tc>
          <w:tcPr>
            <w:tcW w:w="129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0E0873"/>
        </w:tc>
        <w:tc>
          <w:tcPr>
            <w:tcW w:w="1360" w:type="dxa"/>
            <w:gridSpan w:val="2"/>
            <w:tcBorders>
              <w:top w:val="single" w:color="000000" w:sz="4" w:space="0"/>
              <w:left w:val="single" w:color="000000" w:sz="4" w:space="0"/>
              <w:bottom w:val="single" w:color="000000" w:sz="4" w:space="0"/>
              <w:right w:val="single" w:color="000000" w:sz="4" w:space="0"/>
            </w:tcBorders>
            <w:noWrap w:val="0"/>
            <w:vAlign w:val="center"/>
          </w:tcPr>
          <w:p w14:paraId="538197CE">
            <w:pPr>
              <w:widowControl/>
              <w:adjustRightInd w:val="0"/>
              <w:snapToGrid w:val="0"/>
              <w:jc w:val="center"/>
              <w:rPr>
                <w:rFonts w:ascii="仿宋" w:eastAsia="仿宋"/>
                <w:sz w:val="24"/>
                <w:szCs w:val="24"/>
              </w:rPr>
            </w:pPr>
            <w:r>
              <w:rPr>
                <w:rFonts w:hint="eastAsia" w:ascii="仿宋" w:eastAsia="仿宋"/>
                <w:sz w:val="24"/>
                <w:szCs w:val="24"/>
              </w:rPr>
              <w:t>课程目标1 (40%)</w:t>
            </w:r>
          </w:p>
        </w:tc>
        <w:tc>
          <w:tcPr>
            <w:tcW w:w="3415" w:type="dxa"/>
            <w:gridSpan w:val="5"/>
            <w:tcBorders>
              <w:top w:val="single" w:color="000000" w:sz="4" w:space="0"/>
              <w:left w:val="single" w:color="000000" w:sz="4" w:space="0"/>
              <w:bottom w:val="single" w:color="000000" w:sz="4" w:space="0"/>
              <w:right w:val="single" w:color="000000" w:sz="4" w:space="0"/>
            </w:tcBorders>
            <w:noWrap w:val="0"/>
            <w:vAlign w:val="center"/>
          </w:tcPr>
          <w:p w14:paraId="2C3C707C">
            <w:pPr>
              <w:jc w:val="left"/>
              <w:rPr>
                <w:rFonts w:ascii="仿宋" w:eastAsia="仿宋" w:cs="仿宋"/>
                <w:sz w:val="24"/>
                <w:szCs w:val="24"/>
              </w:rPr>
            </w:pPr>
            <w:r>
              <w:rPr>
                <w:rFonts w:hint="eastAsia" w:ascii="仿宋" w:eastAsia="仿宋" w:cs="仿宋"/>
                <w:sz w:val="24"/>
                <w:szCs w:val="24"/>
              </w:rPr>
              <w:t>为中小学音乐教材歌曲编配钢琴伴奏。能区分民族和声与大小调体系和声并运用。</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58D10EA7">
            <w:pPr>
              <w:tabs>
                <w:tab w:val="left" w:pos="720"/>
              </w:tabs>
              <w:adjustRightInd w:val="0"/>
              <w:snapToGrid w:val="0"/>
              <w:jc w:val="center"/>
              <w:rPr>
                <w:rFonts w:ascii="仿宋" w:eastAsia="仿宋" w:cs="仿宋"/>
                <w:sz w:val="24"/>
                <w:szCs w:val="24"/>
              </w:rPr>
            </w:pPr>
            <w:r>
              <w:rPr>
                <w:rFonts w:hint="eastAsia" w:ascii="仿宋" w:eastAsia="仿宋" w:cs="仿宋"/>
                <w:sz w:val="24"/>
                <w:szCs w:val="24"/>
              </w:rPr>
              <w:t>8</w:t>
            </w:r>
          </w:p>
        </w:tc>
        <w:tc>
          <w:tcPr>
            <w:tcW w:w="827" w:type="dxa"/>
            <w:tcBorders>
              <w:top w:val="single" w:color="000000" w:sz="4" w:space="0"/>
              <w:left w:val="single" w:color="000000" w:sz="4" w:space="0"/>
              <w:bottom w:val="single" w:color="000000" w:sz="4" w:space="0"/>
              <w:right w:val="single" w:color="000000" w:sz="4" w:space="0"/>
            </w:tcBorders>
            <w:noWrap w:val="0"/>
            <w:vAlign w:val="center"/>
          </w:tcPr>
          <w:p w14:paraId="6C03092E">
            <w:pPr>
              <w:tabs>
                <w:tab w:val="left" w:pos="720"/>
              </w:tabs>
              <w:adjustRightInd w:val="0"/>
              <w:snapToGrid w:val="0"/>
              <w:jc w:val="center"/>
              <w:rPr>
                <w:rFonts w:ascii="仿宋" w:eastAsia="仿宋" w:cs="仿宋"/>
                <w:sz w:val="24"/>
                <w:szCs w:val="24"/>
              </w:rPr>
            </w:pPr>
            <w:r>
              <w:rPr>
                <w:rFonts w:hint="eastAsia" w:ascii="仿宋" w:eastAsia="仿宋" w:cs="仿宋"/>
                <w:sz w:val="24"/>
                <w:szCs w:val="24"/>
              </w:rPr>
              <w:t>16</w:t>
            </w:r>
          </w:p>
        </w:tc>
        <w:tc>
          <w:tcPr>
            <w:tcW w:w="783" w:type="dxa"/>
            <w:gridSpan w:val="2"/>
            <w:tcBorders>
              <w:top w:val="single" w:color="000000" w:sz="4" w:space="0"/>
              <w:left w:val="single" w:color="000000" w:sz="4" w:space="0"/>
              <w:bottom w:val="single" w:color="000000" w:sz="4" w:space="0"/>
              <w:right w:val="single" w:color="000000" w:sz="4" w:space="0"/>
            </w:tcBorders>
            <w:noWrap w:val="0"/>
            <w:vAlign w:val="center"/>
          </w:tcPr>
          <w:p w14:paraId="71902EC2">
            <w:pPr>
              <w:tabs>
                <w:tab w:val="left" w:pos="720"/>
              </w:tabs>
              <w:adjustRightInd w:val="0"/>
              <w:snapToGrid w:val="0"/>
              <w:jc w:val="center"/>
              <w:rPr>
                <w:rFonts w:ascii="仿宋" w:eastAsia="仿宋" w:cs="仿宋"/>
                <w:sz w:val="24"/>
                <w:szCs w:val="24"/>
              </w:rPr>
            </w:pPr>
            <w:r>
              <w:rPr>
                <w:rFonts w:hint="eastAsia" w:ascii="仿宋" w:eastAsia="仿宋" w:cs="仿宋"/>
                <w:sz w:val="24"/>
                <w:szCs w:val="24"/>
              </w:rPr>
              <w:t>16</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33680846">
            <w:pPr>
              <w:tabs>
                <w:tab w:val="left" w:pos="720"/>
              </w:tabs>
              <w:adjustRightInd w:val="0"/>
              <w:snapToGrid w:val="0"/>
              <w:jc w:val="center"/>
              <w:rPr>
                <w:rFonts w:ascii="仿宋" w:eastAsia="仿宋" w:cs="仿宋"/>
                <w:sz w:val="24"/>
                <w:szCs w:val="24"/>
              </w:rPr>
            </w:pPr>
            <w:r>
              <w:rPr>
                <w:rFonts w:hint="eastAsia" w:ascii="仿宋" w:eastAsia="仿宋" w:cs="仿宋"/>
                <w:sz w:val="24"/>
                <w:szCs w:val="24"/>
              </w:rPr>
              <w:t>0.6</w:t>
            </w:r>
            <w:r>
              <w:rPr>
                <w:rFonts w:ascii="仿宋" w:eastAsia="仿宋" w:cs="仿宋"/>
                <w:sz w:val="24"/>
                <w:szCs w:val="24"/>
              </w:rPr>
              <w:t>5</w:t>
            </w:r>
          </w:p>
        </w:tc>
      </w:tr>
      <w:tr w14:paraId="28B4EA7F">
        <w:trPr>
          <w:trHeight w:val="1430" w:hRule="atLeast"/>
        </w:trPr>
        <w:tc>
          <w:tcPr>
            <w:tcW w:w="129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5CA560"/>
        </w:tc>
        <w:tc>
          <w:tcPr>
            <w:tcW w:w="1360" w:type="dxa"/>
            <w:gridSpan w:val="2"/>
            <w:tcBorders>
              <w:top w:val="single" w:color="000000" w:sz="4" w:space="0"/>
              <w:left w:val="single" w:color="000000" w:sz="4" w:space="0"/>
              <w:bottom w:val="single" w:color="000000" w:sz="4" w:space="0"/>
              <w:right w:val="single" w:color="000000" w:sz="4" w:space="0"/>
            </w:tcBorders>
            <w:noWrap w:val="0"/>
            <w:vAlign w:val="center"/>
          </w:tcPr>
          <w:p w14:paraId="7E6672A6">
            <w:pPr>
              <w:widowControl/>
              <w:adjustRightInd w:val="0"/>
              <w:snapToGrid w:val="0"/>
              <w:jc w:val="center"/>
              <w:rPr>
                <w:rFonts w:ascii="仿宋" w:eastAsia="仿宋"/>
                <w:sz w:val="24"/>
                <w:szCs w:val="24"/>
              </w:rPr>
            </w:pPr>
            <w:r>
              <w:rPr>
                <w:rFonts w:hint="eastAsia" w:ascii="仿宋" w:eastAsia="仿宋"/>
                <w:sz w:val="24"/>
                <w:szCs w:val="24"/>
              </w:rPr>
              <w:t>课程目标2</w:t>
            </w:r>
          </w:p>
          <w:p w14:paraId="7D06D40B">
            <w:pPr>
              <w:widowControl/>
              <w:adjustRightInd w:val="0"/>
              <w:snapToGrid w:val="0"/>
              <w:jc w:val="center"/>
              <w:rPr>
                <w:rFonts w:ascii="仿宋" w:eastAsia="仿宋" w:cs="仿宋"/>
                <w:sz w:val="24"/>
                <w:szCs w:val="24"/>
              </w:rPr>
            </w:pPr>
            <w:r>
              <w:rPr>
                <w:rFonts w:hint="eastAsia" w:ascii="仿宋" w:eastAsia="仿宋"/>
                <w:sz w:val="24"/>
                <w:szCs w:val="24"/>
              </w:rPr>
              <w:t>(40%)</w:t>
            </w:r>
          </w:p>
        </w:tc>
        <w:tc>
          <w:tcPr>
            <w:tcW w:w="3415" w:type="dxa"/>
            <w:gridSpan w:val="5"/>
            <w:tcBorders>
              <w:top w:val="single" w:color="000000" w:sz="4" w:space="0"/>
              <w:left w:val="single" w:color="000000" w:sz="4" w:space="0"/>
              <w:bottom w:val="single" w:color="000000" w:sz="4" w:space="0"/>
              <w:right w:val="single" w:color="000000" w:sz="4" w:space="0"/>
            </w:tcBorders>
            <w:noWrap w:val="0"/>
            <w:vAlign w:val="center"/>
          </w:tcPr>
          <w:p w14:paraId="4FC99AF8">
            <w:pPr>
              <w:tabs>
                <w:tab w:val="left" w:pos="720"/>
              </w:tabs>
              <w:adjustRightInd w:val="0"/>
              <w:snapToGrid w:val="0"/>
              <w:jc w:val="left"/>
              <w:rPr>
                <w:rFonts w:ascii="仿宋" w:eastAsia="仿宋" w:cs="仿宋"/>
                <w:sz w:val="24"/>
                <w:szCs w:val="24"/>
              </w:rPr>
            </w:pPr>
            <w:r>
              <w:rPr>
                <w:rFonts w:hint="eastAsia" w:ascii="仿宋" w:eastAsia="仿宋" w:cs="仿宋"/>
                <w:sz w:val="24"/>
                <w:szCs w:val="24"/>
              </w:rPr>
              <w:t>使用演奏、演唱技巧完整弹唱歌曲，在演奏、演唱中准确体现作品的地域特征和流派风格。</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2CA17E2C">
            <w:pPr>
              <w:tabs>
                <w:tab w:val="left" w:pos="720"/>
              </w:tabs>
              <w:adjustRightInd w:val="0"/>
              <w:snapToGrid w:val="0"/>
              <w:jc w:val="center"/>
              <w:rPr>
                <w:rFonts w:ascii="仿宋" w:eastAsia="仿宋" w:cs="仿宋"/>
                <w:sz w:val="24"/>
                <w:szCs w:val="24"/>
              </w:rPr>
            </w:pPr>
            <w:r>
              <w:rPr>
                <w:rFonts w:hint="eastAsia" w:ascii="仿宋" w:eastAsia="仿宋" w:cs="仿宋"/>
                <w:sz w:val="24"/>
                <w:szCs w:val="24"/>
              </w:rPr>
              <w:t>8</w:t>
            </w:r>
          </w:p>
        </w:tc>
        <w:tc>
          <w:tcPr>
            <w:tcW w:w="827" w:type="dxa"/>
            <w:tcBorders>
              <w:top w:val="single" w:color="000000" w:sz="4" w:space="0"/>
              <w:left w:val="single" w:color="000000" w:sz="4" w:space="0"/>
              <w:bottom w:val="single" w:color="000000" w:sz="4" w:space="0"/>
              <w:right w:val="single" w:color="000000" w:sz="4" w:space="0"/>
            </w:tcBorders>
            <w:noWrap w:val="0"/>
            <w:vAlign w:val="center"/>
          </w:tcPr>
          <w:p w14:paraId="22003EDD">
            <w:pPr>
              <w:tabs>
                <w:tab w:val="left" w:pos="720"/>
              </w:tabs>
              <w:adjustRightInd w:val="0"/>
              <w:snapToGrid w:val="0"/>
              <w:jc w:val="center"/>
              <w:rPr>
                <w:rFonts w:ascii="仿宋" w:eastAsia="仿宋" w:cs="仿宋"/>
                <w:sz w:val="24"/>
                <w:szCs w:val="24"/>
              </w:rPr>
            </w:pPr>
            <w:r>
              <w:rPr>
                <w:rFonts w:hint="eastAsia" w:ascii="仿宋" w:eastAsia="仿宋" w:cs="仿宋"/>
                <w:sz w:val="24"/>
                <w:szCs w:val="24"/>
              </w:rPr>
              <w:t>16</w:t>
            </w:r>
          </w:p>
        </w:tc>
        <w:tc>
          <w:tcPr>
            <w:tcW w:w="783" w:type="dxa"/>
            <w:gridSpan w:val="2"/>
            <w:tcBorders>
              <w:top w:val="single" w:color="000000" w:sz="4" w:space="0"/>
              <w:left w:val="single" w:color="000000" w:sz="4" w:space="0"/>
              <w:bottom w:val="single" w:color="000000" w:sz="4" w:space="0"/>
              <w:right w:val="single" w:color="000000" w:sz="4" w:space="0"/>
            </w:tcBorders>
            <w:noWrap w:val="0"/>
            <w:vAlign w:val="center"/>
          </w:tcPr>
          <w:p w14:paraId="76FB58A7">
            <w:pPr>
              <w:tabs>
                <w:tab w:val="left" w:pos="720"/>
              </w:tabs>
              <w:adjustRightInd w:val="0"/>
              <w:snapToGrid w:val="0"/>
              <w:jc w:val="center"/>
              <w:rPr>
                <w:rFonts w:ascii="仿宋" w:eastAsia="仿宋" w:cs="仿宋"/>
                <w:sz w:val="24"/>
                <w:szCs w:val="24"/>
              </w:rPr>
            </w:pPr>
            <w:r>
              <w:rPr>
                <w:rFonts w:hint="eastAsia" w:ascii="仿宋" w:eastAsia="仿宋" w:cs="仿宋"/>
                <w:sz w:val="24"/>
                <w:szCs w:val="24"/>
              </w:rPr>
              <w:t>16</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522594C5">
            <w:pPr>
              <w:tabs>
                <w:tab w:val="left" w:pos="720"/>
              </w:tabs>
              <w:adjustRightInd w:val="0"/>
              <w:snapToGrid w:val="0"/>
              <w:jc w:val="center"/>
              <w:rPr>
                <w:rFonts w:ascii="仿宋" w:eastAsia="仿宋" w:cs="仿宋"/>
                <w:sz w:val="24"/>
                <w:szCs w:val="24"/>
              </w:rPr>
            </w:pPr>
            <w:r>
              <w:rPr>
                <w:rFonts w:hint="eastAsia" w:ascii="仿宋" w:eastAsia="仿宋" w:cs="仿宋"/>
                <w:sz w:val="24"/>
                <w:szCs w:val="24"/>
              </w:rPr>
              <w:t>0.6</w:t>
            </w:r>
            <w:r>
              <w:rPr>
                <w:rFonts w:ascii="仿宋" w:eastAsia="仿宋" w:cs="仿宋"/>
                <w:sz w:val="24"/>
                <w:szCs w:val="24"/>
              </w:rPr>
              <w:t>5</w:t>
            </w:r>
          </w:p>
        </w:tc>
      </w:tr>
      <w:tr w14:paraId="34AE4300">
        <w:trPr>
          <w:trHeight w:val="1046" w:hRule="atLeast"/>
        </w:trPr>
        <w:tc>
          <w:tcPr>
            <w:tcW w:w="129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EEAB09"/>
        </w:tc>
        <w:tc>
          <w:tcPr>
            <w:tcW w:w="1360" w:type="dxa"/>
            <w:gridSpan w:val="2"/>
            <w:tcBorders>
              <w:top w:val="single" w:color="000000" w:sz="4" w:space="0"/>
              <w:left w:val="single" w:color="000000" w:sz="4" w:space="0"/>
              <w:bottom w:val="single" w:color="000000" w:sz="4" w:space="0"/>
              <w:right w:val="single" w:color="000000" w:sz="4" w:space="0"/>
            </w:tcBorders>
            <w:noWrap w:val="0"/>
            <w:vAlign w:val="center"/>
          </w:tcPr>
          <w:p w14:paraId="5EC2BEFB">
            <w:pPr>
              <w:widowControl/>
              <w:adjustRightInd w:val="0"/>
              <w:snapToGrid w:val="0"/>
              <w:jc w:val="center"/>
              <w:rPr>
                <w:rFonts w:ascii="仿宋" w:eastAsia="仿宋"/>
                <w:sz w:val="24"/>
                <w:szCs w:val="24"/>
              </w:rPr>
            </w:pPr>
            <w:r>
              <w:rPr>
                <w:rFonts w:hint="eastAsia" w:ascii="仿宋" w:eastAsia="仿宋"/>
                <w:sz w:val="24"/>
                <w:szCs w:val="24"/>
              </w:rPr>
              <w:t>课程目标3</w:t>
            </w:r>
          </w:p>
          <w:p w14:paraId="59B33DE9">
            <w:pPr>
              <w:tabs>
                <w:tab w:val="left" w:pos="720"/>
              </w:tabs>
              <w:adjustRightInd w:val="0"/>
              <w:snapToGrid w:val="0"/>
              <w:jc w:val="center"/>
              <w:rPr>
                <w:rFonts w:ascii="仿宋" w:eastAsia="仿宋" w:cs="仿宋"/>
                <w:sz w:val="24"/>
                <w:szCs w:val="24"/>
              </w:rPr>
            </w:pPr>
            <w:r>
              <w:rPr>
                <w:rFonts w:hint="eastAsia" w:ascii="仿宋" w:eastAsia="仿宋"/>
                <w:sz w:val="24"/>
                <w:szCs w:val="24"/>
              </w:rPr>
              <w:t>(20%)</w:t>
            </w:r>
          </w:p>
        </w:tc>
        <w:tc>
          <w:tcPr>
            <w:tcW w:w="3415" w:type="dxa"/>
            <w:gridSpan w:val="5"/>
            <w:tcBorders>
              <w:top w:val="single" w:color="000000" w:sz="4" w:space="0"/>
              <w:left w:val="single" w:color="000000" w:sz="4" w:space="0"/>
              <w:bottom w:val="single" w:color="000000" w:sz="4" w:space="0"/>
              <w:right w:val="single" w:color="000000" w:sz="4" w:space="0"/>
            </w:tcBorders>
            <w:noWrap w:val="0"/>
            <w:vAlign w:val="center"/>
          </w:tcPr>
          <w:p w14:paraId="64EB4BFE">
            <w:pPr>
              <w:tabs>
                <w:tab w:val="left" w:pos="720"/>
              </w:tabs>
              <w:adjustRightInd w:val="0"/>
              <w:snapToGrid w:val="0"/>
              <w:jc w:val="left"/>
              <w:rPr>
                <w:rFonts w:hint="eastAsia" w:ascii="仿宋" w:eastAsia="仿宋" w:cs="仿宋"/>
                <w:sz w:val="24"/>
                <w:szCs w:val="24"/>
              </w:rPr>
            </w:pPr>
            <w:r>
              <w:rPr>
                <w:rFonts w:hint="eastAsia" w:ascii="仿宋" w:eastAsia="仿宋" w:cs="仿宋"/>
                <w:sz w:val="24"/>
                <w:szCs w:val="24"/>
              </w:rPr>
              <w:t>建立在即兴伴奏基础上的小乐队合奏排演，进行突破传统音乐表现形式的创新编排。</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4B022C9C">
            <w:pPr>
              <w:tabs>
                <w:tab w:val="left" w:pos="720"/>
              </w:tabs>
              <w:adjustRightInd w:val="0"/>
              <w:snapToGrid w:val="0"/>
              <w:jc w:val="center"/>
              <w:rPr>
                <w:rFonts w:ascii="仿宋" w:eastAsia="仿宋" w:cs="仿宋"/>
                <w:sz w:val="24"/>
                <w:szCs w:val="24"/>
              </w:rPr>
            </w:pPr>
            <w:r>
              <w:rPr>
                <w:rFonts w:hint="eastAsia" w:ascii="仿宋" w:eastAsia="仿宋" w:cs="仿宋"/>
                <w:sz w:val="24"/>
                <w:szCs w:val="24"/>
              </w:rPr>
              <w:t>4</w:t>
            </w:r>
          </w:p>
        </w:tc>
        <w:tc>
          <w:tcPr>
            <w:tcW w:w="827" w:type="dxa"/>
            <w:tcBorders>
              <w:top w:val="single" w:color="000000" w:sz="4" w:space="0"/>
              <w:left w:val="single" w:color="000000" w:sz="4" w:space="0"/>
              <w:bottom w:val="single" w:color="000000" w:sz="4" w:space="0"/>
              <w:right w:val="single" w:color="000000" w:sz="4" w:space="0"/>
            </w:tcBorders>
            <w:noWrap w:val="0"/>
            <w:vAlign w:val="center"/>
          </w:tcPr>
          <w:p w14:paraId="0B89259E">
            <w:pPr>
              <w:tabs>
                <w:tab w:val="left" w:pos="720"/>
              </w:tabs>
              <w:adjustRightInd w:val="0"/>
              <w:snapToGrid w:val="0"/>
              <w:jc w:val="center"/>
              <w:rPr>
                <w:rFonts w:ascii="仿宋" w:eastAsia="仿宋" w:cs="仿宋"/>
                <w:sz w:val="24"/>
                <w:szCs w:val="24"/>
              </w:rPr>
            </w:pPr>
            <w:r>
              <w:rPr>
                <w:rFonts w:hint="eastAsia" w:ascii="仿宋" w:eastAsia="仿宋" w:cs="仿宋"/>
                <w:sz w:val="24"/>
                <w:szCs w:val="24"/>
              </w:rPr>
              <w:t>8</w:t>
            </w:r>
          </w:p>
        </w:tc>
        <w:tc>
          <w:tcPr>
            <w:tcW w:w="783" w:type="dxa"/>
            <w:gridSpan w:val="2"/>
            <w:tcBorders>
              <w:top w:val="single" w:color="000000" w:sz="4" w:space="0"/>
              <w:left w:val="single" w:color="000000" w:sz="4" w:space="0"/>
              <w:bottom w:val="single" w:color="000000" w:sz="4" w:space="0"/>
              <w:right w:val="single" w:color="000000" w:sz="4" w:space="0"/>
            </w:tcBorders>
            <w:noWrap w:val="0"/>
            <w:vAlign w:val="center"/>
          </w:tcPr>
          <w:p w14:paraId="32FADD8C">
            <w:pPr>
              <w:tabs>
                <w:tab w:val="left" w:pos="720"/>
              </w:tabs>
              <w:adjustRightInd w:val="0"/>
              <w:snapToGrid w:val="0"/>
              <w:jc w:val="center"/>
              <w:rPr>
                <w:rFonts w:ascii="仿宋" w:eastAsia="仿宋" w:cs="仿宋"/>
                <w:sz w:val="24"/>
                <w:szCs w:val="24"/>
              </w:rPr>
            </w:pPr>
            <w:r>
              <w:rPr>
                <w:rFonts w:hint="eastAsia" w:ascii="仿宋" w:eastAsia="仿宋" w:cs="仿宋"/>
                <w:sz w:val="24"/>
                <w:szCs w:val="24"/>
              </w:rPr>
              <w:t>8</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0623E988">
            <w:pPr>
              <w:tabs>
                <w:tab w:val="left" w:pos="720"/>
              </w:tabs>
              <w:adjustRightInd w:val="0"/>
              <w:snapToGrid w:val="0"/>
              <w:jc w:val="center"/>
              <w:rPr>
                <w:rFonts w:ascii="仿宋" w:eastAsia="仿宋" w:cs="仿宋"/>
                <w:sz w:val="24"/>
                <w:szCs w:val="24"/>
              </w:rPr>
            </w:pPr>
            <w:r>
              <w:rPr>
                <w:rFonts w:hint="eastAsia" w:ascii="仿宋" w:eastAsia="仿宋" w:cs="仿宋"/>
                <w:sz w:val="24"/>
                <w:szCs w:val="24"/>
              </w:rPr>
              <w:t>0.6</w:t>
            </w:r>
            <w:r>
              <w:rPr>
                <w:rFonts w:ascii="仿宋" w:eastAsia="仿宋" w:cs="仿宋"/>
                <w:sz w:val="24"/>
                <w:szCs w:val="24"/>
              </w:rPr>
              <w:t>5</w:t>
            </w:r>
          </w:p>
        </w:tc>
      </w:tr>
      <w:tr w14:paraId="41D8424C">
        <w:trPr>
          <w:trHeight w:val="569" w:hRule="atLeast"/>
        </w:trPr>
        <w:tc>
          <w:tcPr>
            <w:tcW w:w="129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48E4C7"/>
        </w:tc>
        <w:tc>
          <w:tcPr>
            <w:tcW w:w="4775" w:type="dxa"/>
            <w:gridSpan w:val="7"/>
            <w:tcBorders>
              <w:top w:val="single" w:color="000000" w:sz="4" w:space="0"/>
              <w:left w:val="single" w:color="000000" w:sz="4" w:space="0"/>
              <w:bottom w:val="single" w:color="000000" w:sz="4" w:space="0"/>
              <w:right w:val="single" w:color="000000" w:sz="4" w:space="0"/>
            </w:tcBorders>
            <w:noWrap w:val="0"/>
            <w:vAlign w:val="center"/>
          </w:tcPr>
          <w:p w14:paraId="70CBC005">
            <w:pPr>
              <w:jc w:val="center"/>
              <w:rPr>
                <w:rFonts w:ascii="宋体" w:cs="宋体"/>
                <w:szCs w:val="21"/>
              </w:rPr>
            </w:pPr>
            <w:r>
              <w:rPr>
                <w:rFonts w:hint="eastAsia" w:ascii="仿宋" w:hAnsi="仿宋" w:eastAsia="仿宋" w:cs="仿宋"/>
                <w:szCs w:val="21"/>
              </w:rPr>
              <w:t>总分</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4F9E4FD6">
            <w:pPr>
              <w:tabs>
                <w:tab w:val="left" w:pos="720"/>
              </w:tabs>
              <w:adjustRightInd w:val="0"/>
              <w:snapToGrid w:val="0"/>
              <w:jc w:val="center"/>
              <w:rPr>
                <w:rFonts w:ascii="仿宋" w:eastAsia="仿宋" w:cs="仿宋"/>
                <w:sz w:val="24"/>
                <w:szCs w:val="24"/>
              </w:rPr>
            </w:pPr>
            <w:r>
              <w:rPr>
                <w:rFonts w:hint="eastAsia" w:ascii="仿宋" w:eastAsia="仿宋" w:cs="仿宋"/>
                <w:sz w:val="24"/>
                <w:szCs w:val="24"/>
              </w:rPr>
              <w:t>20</w:t>
            </w:r>
          </w:p>
        </w:tc>
        <w:tc>
          <w:tcPr>
            <w:tcW w:w="827" w:type="dxa"/>
            <w:tcBorders>
              <w:top w:val="single" w:color="000000" w:sz="4" w:space="0"/>
              <w:left w:val="single" w:color="000000" w:sz="4" w:space="0"/>
              <w:bottom w:val="single" w:color="000000" w:sz="4" w:space="0"/>
              <w:right w:val="single" w:color="000000" w:sz="4" w:space="0"/>
            </w:tcBorders>
            <w:noWrap w:val="0"/>
            <w:vAlign w:val="center"/>
          </w:tcPr>
          <w:p w14:paraId="0B9B25E4">
            <w:pPr>
              <w:tabs>
                <w:tab w:val="left" w:pos="720"/>
              </w:tabs>
              <w:adjustRightInd w:val="0"/>
              <w:snapToGrid w:val="0"/>
              <w:jc w:val="center"/>
              <w:rPr>
                <w:rFonts w:ascii="仿宋" w:eastAsia="仿宋" w:cs="仿宋"/>
                <w:sz w:val="24"/>
                <w:szCs w:val="24"/>
              </w:rPr>
            </w:pPr>
            <w:r>
              <w:rPr>
                <w:rFonts w:hint="eastAsia" w:ascii="仿宋" w:eastAsia="仿宋" w:cs="仿宋"/>
                <w:sz w:val="24"/>
                <w:szCs w:val="24"/>
              </w:rPr>
              <w:t>40</w:t>
            </w:r>
          </w:p>
        </w:tc>
        <w:tc>
          <w:tcPr>
            <w:tcW w:w="783" w:type="dxa"/>
            <w:gridSpan w:val="2"/>
            <w:tcBorders>
              <w:top w:val="single" w:color="000000" w:sz="4" w:space="0"/>
              <w:left w:val="single" w:color="000000" w:sz="4" w:space="0"/>
              <w:bottom w:val="single" w:color="000000" w:sz="4" w:space="0"/>
              <w:right w:val="single" w:color="000000" w:sz="4" w:space="0"/>
            </w:tcBorders>
            <w:noWrap w:val="0"/>
            <w:vAlign w:val="center"/>
          </w:tcPr>
          <w:p w14:paraId="0765B326">
            <w:pPr>
              <w:tabs>
                <w:tab w:val="left" w:pos="720"/>
              </w:tabs>
              <w:adjustRightInd w:val="0"/>
              <w:snapToGrid w:val="0"/>
              <w:jc w:val="center"/>
              <w:rPr>
                <w:rFonts w:ascii="仿宋" w:eastAsia="仿宋" w:cs="仿宋"/>
                <w:sz w:val="24"/>
                <w:szCs w:val="24"/>
              </w:rPr>
            </w:pPr>
            <w:r>
              <w:rPr>
                <w:rFonts w:hint="eastAsia" w:ascii="仿宋" w:eastAsia="仿宋" w:cs="仿宋"/>
                <w:sz w:val="24"/>
                <w:szCs w:val="24"/>
              </w:rPr>
              <w:t>40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6442BC2E">
            <w:pPr>
              <w:tabs>
                <w:tab w:val="left" w:pos="720"/>
              </w:tabs>
              <w:jc w:val="center"/>
              <w:rPr>
                <w:rFonts w:ascii="仿宋" w:eastAsia="仿宋" w:cs="仿宋"/>
                <w:sz w:val="24"/>
                <w:szCs w:val="24"/>
              </w:rPr>
            </w:pPr>
            <w:r>
              <w:rPr>
                <w:rFonts w:hint="eastAsia" w:ascii="仿宋" w:eastAsia="仿宋" w:cs="仿宋"/>
                <w:sz w:val="24"/>
                <w:szCs w:val="24"/>
              </w:rPr>
              <w:t>0.6</w:t>
            </w:r>
            <w:r>
              <w:rPr>
                <w:rFonts w:ascii="仿宋" w:eastAsia="仿宋" w:cs="仿宋"/>
                <w:sz w:val="24"/>
                <w:szCs w:val="24"/>
              </w:rPr>
              <w:t>5</w:t>
            </w:r>
          </w:p>
        </w:tc>
      </w:tr>
      <w:tr w14:paraId="22D39B10">
        <w:tc>
          <w:tcPr>
            <w:tcW w:w="1299" w:type="dxa"/>
            <w:tcBorders>
              <w:top w:val="single" w:color="000000" w:sz="4" w:space="0"/>
              <w:left w:val="single" w:color="000000" w:sz="4" w:space="0"/>
              <w:bottom w:val="single" w:color="000000" w:sz="4" w:space="0"/>
              <w:right w:val="single" w:color="000000" w:sz="4" w:space="0"/>
            </w:tcBorders>
            <w:noWrap w:val="0"/>
            <w:vAlign w:val="center"/>
          </w:tcPr>
          <w:p w14:paraId="62AAEDF5">
            <w:pPr>
              <w:jc w:val="center"/>
              <w:rPr>
                <w:rFonts w:ascii="仿宋" w:eastAsia="仿宋" w:cs="仿宋"/>
                <w:sz w:val="24"/>
                <w:szCs w:val="24"/>
              </w:rPr>
            </w:pPr>
            <w:r>
              <w:rPr>
                <w:rFonts w:hint="eastAsia" w:ascii="仿宋" w:eastAsia="仿宋" w:cs="仿宋"/>
                <w:sz w:val="24"/>
                <w:szCs w:val="24"/>
              </w:rPr>
              <w:t>L</w:t>
            </w:r>
          </w:p>
          <w:p w14:paraId="38555ACD">
            <w:pPr>
              <w:jc w:val="center"/>
              <w:rPr>
                <w:rFonts w:ascii="仿宋" w:eastAsia="仿宋" w:cs="仿宋"/>
                <w:sz w:val="24"/>
                <w:szCs w:val="24"/>
              </w:rPr>
            </w:pPr>
            <w:r>
              <w:rPr>
                <w:rFonts w:hint="eastAsia" w:ascii="仿宋" w:eastAsia="仿宋" w:cs="仿宋"/>
                <w:sz w:val="24"/>
                <w:szCs w:val="24"/>
              </w:rPr>
              <w:t>学习建议</w:t>
            </w:r>
          </w:p>
        </w:tc>
        <w:tc>
          <w:tcPr>
            <w:tcW w:w="8067" w:type="dxa"/>
            <w:gridSpan w:val="12"/>
            <w:tcBorders>
              <w:top w:val="single" w:color="000000" w:sz="4" w:space="0"/>
              <w:left w:val="single" w:color="000000" w:sz="4" w:space="0"/>
              <w:bottom w:val="single" w:color="000000" w:sz="4" w:space="0"/>
              <w:right w:val="single" w:color="000000" w:sz="4" w:space="0"/>
            </w:tcBorders>
            <w:noWrap w:val="0"/>
            <w:vAlign w:val="center"/>
          </w:tcPr>
          <w:p w14:paraId="0CEF87E1">
            <w:pPr>
              <w:adjustRightInd w:val="0"/>
              <w:snapToGrid w:val="0"/>
              <w:jc w:val="left"/>
              <w:rPr>
                <w:rFonts w:ascii="仿宋" w:eastAsia="仿宋" w:cs="仿宋"/>
                <w:bCs/>
                <w:sz w:val="24"/>
                <w:szCs w:val="24"/>
              </w:rPr>
            </w:pPr>
            <w:r>
              <w:rPr>
                <w:rFonts w:hint="eastAsia" w:ascii="仿宋" w:eastAsia="仿宋" w:cs="仿宋"/>
                <w:bCs/>
                <w:sz w:val="24"/>
                <w:szCs w:val="24"/>
              </w:rPr>
              <w:t>1.自主学习。建议学生通过预习教材，并通过网络、图书馆自主查阅课程中涉及的学习资源，独立规划自己的课程学习计划，充分发挥自身的学习能动性。</w:t>
            </w:r>
          </w:p>
          <w:p w14:paraId="0EF0CA3D">
            <w:pPr>
              <w:adjustRightInd w:val="0"/>
              <w:snapToGrid w:val="0"/>
              <w:jc w:val="left"/>
              <w:rPr>
                <w:rFonts w:ascii="仿宋" w:eastAsia="仿宋" w:cs="仿宋"/>
                <w:sz w:val="24"/>
                <w:szCs w:val="24"/>
              </w:rPr>
            </w:pPr>
            <w:r>
              <w:rPr>
                <w:rFonts w:hint="eastAsia" w:ascii="仿宋" w:eastAsia="仿宋" w:cs="仿宋"/>
                <w:bCs/>
                <w:sz w:val="24"/>
                <w:szCs w:val="24"/>
              </w:rPr>
              <w:t>2.研究性学习。鼓励学生针对课程教学内容，尝试理论课结合专题报告的教学方式，开阔学生的视野。</w:t>
            </w:r>
          </w:p>
        </w:tc>
      </w:tr>
      <w:tr w14:paraId="67976A8F">
        <w:trPr>
          <w:trHeight w:val="454" w:hRule="atLeast"/>
        </w:trPr>
        <w:tc>
          <w:tcPr>
            <w:tcW w:w="1299" w:type="dxa"/>
            <w:tcBorders>
              <w:top w:val="single" w:color="000000" w:sz="4" w:space="0"/>
              <w:left w:val="single" w:color="000000" w:sz="4" w:space="0"/>
              <w:bottom w:val="single" w:color="000000" w:sz="4" w:space="0"/>
              <w:right w:val="single" w:color="000000" w:sz="4" w:space="0"/>
            </w:tcBorders>
            <w:noWrap w:val="0"/>
            <w:vAlign w:val="center"/>
          </w:tcPr>
          <w:p w14:paraId="72579AD1">
            <w:pPr>
              <w:jc w:val="center"/>
              <w:rPr>
                <w:rFonts w:ascii="仿宋" w:eastAsia="仿宋" w:cs="仿宋"/>
                <w:sz w:val="24"/>
                <w:szCs w:val="24"/>
              </w:rPr>
            </w:pPr>
            <w:r>
              <w:rPr>
                <w:rFonts w:hint="eastAsia" w:ascii="仿宋" w:eastAsia="仿宋" w:cs="仿宋"/>
                <w:sz w:val="24"/>
                <w:szCs w:val="24"/>
              </w:rPr>
              <w:t>M</w:t>
            </w:r>
          </w:p>
          <w:p w14:paraId="0C9E4A11">
            <w:pPr>
              <w:jc w:val="center"/>
              <w:rPr>
                <w:rFonts w:ascii="仿宋" w:eastAsia="仿宋" w:cs="仿宋"/>
                <w:sz w:val="24"/>
                <w:szCs w:val="24"/>
              </w:rPr>
            </w:pPr>
            <w:r>
              <w:rPr>
                <w:rFonts w:hint="eastAsia" w:ascii="仿宋" w:eastAsia="仿宋" w:cs="仿宋"/>
                <w:sz w:val="24"/>
                <w:szCs w:val="24"/>
              </w:rPr>
              <w:t>评分量表</w:t>
            </w:r>
          </w:p>
        </w:tc>
        <w:tc>
          <w:tcPr>
            <w:tcW w:w="8067" w:type="dxa"/>
            <w:gridSpan w:val="12"/>
            <w:tcBorders>
              <w:top w:val="single" w:color="000000" w:sz="4" w:space="0"/>
              <w:left w:val="single" w:color="000000" w:sz="4" w:space="0"/>
              <w:bottom w:val="single" w:color="000000" w:sz="4" w:space="0"/>
              <w:right w:val="single" w:color="000000" w:sz="4" w:space="0"/>
            </w:tcBorders>
            <w:noWrap w:val="0"/>
            <w:vAlign w:val="center"/>
          </w:tcPr>
          <w:p w14:paraId="2809C151">
            <w:pPr>
              <w:tabs>
                <w:tab w:val="left" w:pos="720"/>
              </w:tabs>
              <w:adjustRightInd w:val="0"/>
              <w:snapToGrid w:val="0"/>
              <w:jc w:val="left"/>
              <w:rPr>
                <w:rFonts w:ascii="仿宋" w:eastAsia="仿宋" w:cs="仿宋"/>
                <w:sz w:val="24"/>
                <w:szCs w:val="24"/>
              </w:rPr>
            </w:pPr>
            <w:r>
              <w:rPr>
                <w:rFonts w:hint="eastAsia" w:ascii="仿宋" w:eastAsia="仿宋" w:cs="仿宋"/>
                <w:sz w:val="24"/>
                <w:szCs w:val="24"/>
              </w:rPr>
              <w:t>《</w:t>
            </w:r>
            <w:r>
              <w:rPr>
                <w:rFonts w:hint="eastAsia" w:ascii="仿宋" w:eastAsia="仿宋" w:cs="仿宋"/>
                <w:bCs/>
                <w:sz w:val="24"/>
                <w:szCs w:val="24"/>
              </w:rPr>
              <w:t>钢琴即兴伴奏</w:t>
            </w:r>
            <w:r>
              <w:rPr>
                <w:rFonts w:hint="eastAsia" w:ascii="仿宋" w:eastAsia="仿宋" w:cs="仿宋"/>
                <w:sz w:val="24"/>
                <w:szCs w:val="24"/>
              </w:rPr>
              <w:t>》课程目标评分量表见附表。</w:t>
            </w:r>
          </w:p>
        </w:tc>
      </w:tr>
      <w:tr w14:paraId="2D934D8F">
        <w:trPr>
          <w:trHeight w:val="454" w:hRule="atLeast"/>
        </w:trPr>
        <w:tc>
          <w:tcPr>
            <w:tcW w:w="1299" w:type="dxa"/>
            <w:tcBorders>
              <w:top w:val="single" w:color="000000" w:sz="4" w:space="0"/>
              <w:left w:val="single" w:color="000000" w:sz="4" w:space="0"/>
              <w:bottom w:val="single" w:color="000000" w:sz="4" w:space="0"/>
              <w:right w:val="single" w:color="000000" w:sz="4" w:space="0"/>
            </w:tcBorders>
            <w:noWrap w:val="0"/>
            <w:vAlign w:val="center"/>
          </w:tcPr>
          <w:p w14:paraId="7EE91EFF">
            <w:pPr>
              <w:jc w:val="center"/>
              <w:rPr>
                <w:rFonts w:ascii="仿宋" w:eastAsia="仿宋" w:cs="仿宋"/>
                <w:sz w:val="24"/>
                <w:szCs w:val="24"/>
              </w:rPr>
            </w:pPr>
            <w:r>
              <w:rPr>
                <w:rFonts w:hint="eastAsia" w:ascii="仿宋" w:eastAsia="仿宋" w:cs="仿宋"/>
                <w:sz w:val="24"/>
                <w:szCs w:val="24"/>
              </w:rPr>
              <w:t>备注</w:t>
            </w:r>
          </w:p>
        </w:tc>
        <w:tc>
          <w:tcPr>
            <w:tcW w:w="8067" w:type="dxa"/>
            <w:gridSpan w:val="12"/>
            <w:tcBorders>
              <w:top w:val="single" w:color="000000" w:sz="4" w:space="0"/>
              <w:left w:val="single" w:color="000000" w:sz="4" w:space="0"/>
              <w:bottom w:val="single" w:color="000000" w:sz="4" w:space="0"/>
              <w:right w:val="single" w:color="000000" w:sz="4" w:space="0"/>
            </w:tcBorders>
            <w:noWrap w:val="0"/>
            <w:vAlign w:val="center"/>
          </w:tcPr>
          <w:p w14:paraId="2BE35415">
            <w:pPr>
              <w:rPr>
                <w:rFonts w:ascii="仿宋" w:eastAsia="仿宋" w:cs="仿宋"/>
                <w:sz w:val="24"/>
                <w:szCs w:val="24"/>
              </w:rPr>
            </w:pPr>
            <w:r>
              <w:rPr>
                <w:rFonts w:hint="eastAsia" w:ascii="仿宋" w:eastAsia="仿宋" w:cs="仿宋"/>
                <w:sz w:val="24"/>
                <w:szCs w:val="24"/>
              </w:rPr>
              <w:t>课程大纲A—M项由开课学院审批通过，任课教师不能自行更改。</w:t>
            </w:r>
          </w:p>
        </w:tc>
      </w:tr>
      <w:tr w14:paraId="7F89889A">
        <w:trPr>
          <w:trHeight w:val="771" w:hRule="atLeast"/>
        </w:trPr>
        <w:tc>
          <w:tcPr>
            <w:tcW w:w="1299" w:type="dxa"/>
            <w:tcBorders>
              <w:top w:val="single" w:color="000000" w:sz="4" w:space="0"/>
              <w:left w:val="single" w:color="000000" w:sz="4" w:space="0"/>
              <w:bottom w:val="single" w:color="000000" w:sz="4" w:space="0"/>
              <w:right w:val="single" w:color="000000" w:sz="4" w:space="0"/>
            </w:tcBorders>
            <w:noWrap w:val="0"/>
            <w:vAlign w:val="center"/>
          </w:tcPr>
          <w:p w14:paraId="72558BE4">
            <w:pPr>
              <w:jc w:val="center"/>
              <w:rPr>
                <w:rFonts w:ascii="仿宋" w:eastAsia="仿宋" w:cs="仿宋"/>
                <w:sz w:val="24"/>
                <w:szCs w:val="24"/>
              </w:rPr>
            </w:pPr>
            <w:r>
              <w:rPr>
                <w:rFonts w:hint="eastAsia" w:ascii="仿宋" w:eastAsia="仿宋" w:cs="仿宋"/>
                <w:sz w:val="24"/>
                <w:szCs w:val="24"/>
              </w:rPr>
              <w:t>审批</w:t>
            </w:r>
          </w:p>
          <w:p w14:paraId="4295CEF0">
            <w:pPr>
              <w:jc w:val="center"/>
              <w:rPr>
                <w:rFonts w:ascii="仿宋" w:eastAsia="仿宋" w:cs="仿宋"/>
                <w:sz w:val="24"/>
                <w:szCs w:val="24"/>
              </w:rPr>
            </w:pPr>
            <w:r>
              <w:rPr>
                <w:rFonts w:hint="eastAsia" w:ascii="仿宋" w:eastAsia="仿宋" w:cs="仿宋"/>
                <w:sz w:val="24"/>
                <w:szCs w:val="24"/>
              </w:rPr>
              <w:t>意见</w:t>
            </w:r>
          </w:p>
        </w:tc>
        <w:tc>
          <w:tcPr>
            <w:tcW w:w="3654" w:type="dxa"/>
            <w:gridSpan w:val="5"/>
            <w:tcBorders>
              <w:top w:val="single" w:color="000000" w:sz="4" w:space="0"/>
              <w:left w:val="single" w:color="000000" w:sz="4" w:space="0"/>
              <w:bottom w:val="single" w:color="000000" w:sz="4" w:space="0"/>
              <w:right w:val="single" w:color="000000" w:sz="4" w:space="0"/>
            </w:tcBorders>
            <w:noWrap w:val="0"/>
            <w:vAlign w:val="center"/>
          </w:tcPr>
          <w:p w14:paraId="20BCE40F">
            <w:pPr>
              <w:widowControl/>
              <w:jc w:val="left"/>
              <w:rPr>
                <w:rFonts w:ascii="仿宋" w:eastAsia="仿宋" w:cs="仿宋"/>
                <w:sz w:val="24"/>
                <w:szCs w:val="24"/>
              </w:rPr>
            </w:pPr>
            <w:r>
              <w:rPr>
                <w:rFonts w:hint="eastAsia" w:ascii="仿宋" w:eastAsia="仿宋" w:cs="仿宋"/>
                <w:sz w:val="24"/>
                <w:szCs w:val="24"/>
              </w:rPr>
              <w:t xml:space="preserve">课程教学大纲修订负责人及教学团队成员签名：   </w:t>
            </w:r>
          </w:p>
          <w:p w14:paraId="0844F827">
            <w:pPr>
              <w:widowControl/>
              <w:jc w:val="left"/>
              <w:rPr>
                <w:rFonts w:ascii="仿宋" w:eastAsia="仿宋" w:cs="仿宋"/>
                <w:sz w:val="24"/>
                <w:szCs w:val="24"/>
              </w:rPr>
            </w:pPr>
          </w:p>
          <w:p w14:paraId="4165A92F">
            <w:pPr>
              <w:widowControl/>
              <w:jc w:val="right"/>
              <w:rPr>
                <w:rFonts w:ascii="仿宋" w:eastAsia="仿宋" w:cs="仿宋"/>
                <w:sz w:val="24"/>
                <w:szCs w:val="24"/>
              </w:rPr>
            </w:pPr>
            <w:r>
              <w:rPr>
                <w:rFonts w:hint="eastAsia" w:ascii="仿宋" w:eastAsia="仿宋" w:cs="仿宋"/>
                <w:sz w:val="24"/>
                <w:szCs w:val="24"/>
              </w:rPr>
              <w:t xml:space="preserve">                                                   年   月   日 </w:t>
            </w:r>
          </w:p>
        </w:tc>
        <w:tc>
          <w:tcPr>
            <w:tcW w:w="4413" w:type="dxa"/>
            <w:gridSpan w:val="7"/>
            <w:tcBorders>
              <w:top w:val="single" w:color="000000" w:sz="4" w:space="0"/>
              <w:left w:val="single" w:color="000000" w:sz="4" w:space="0"/>
              <w:bottom w:val="single" w:color="000000" w:sz="4" w:space="0"/>
              <w:right w:val="single" w:color="000000" w:sz="4" w:space="0"/>
            </w:tcBorders>
            <w:noWrap w:val="0"/>
            <w:vAlign w:val="center"/>
          </w:tcPr>
          <w:p w14:paraId="638743B7">
            <w:pPr>
              <w:widowControl/>
              <w:jc w:val="left"/>
              <w:rPr>
                <w:rFonts w:ascii="仿宋" w:eastAsia="仿宋" w:cs="仿宋"/>
                <w:sz w:val="24"/>
                <w:szCs w:val="24"/>
              </w:rPr>
            </w:pPr>
            <w:r>
              <w:rPr>
                <w:rFonts w:hint="eastAsia" w:ascii="仿宋" w:eastAsia="仿宋" w:cs="仿宋"/>
                <w:sz w:val="24"/>
                <w:szCs w:val="24"/>
              </w:rPr>
              <w:t>系主任审核意见：</w:t>
            </w:r>
          </w:p>
          <w:p w14:paraId="0FD39615">
            <w:pPr>
              <w:widowControl/>
              <w:jc w:val="left"/>
              <w:rPr>
                <w:rFonts w:ascii="仿宋" w:eastAsia="仿宋" w:cs="仿宋"/>
                <w:sz w:val="24"/>
                <w:szCs w:val="24"/>
              </w:rPr>
            </w:pPr>
          </w:p>
          <w:p w14:paraId="2FF6AFC9">
            <w:pPr>
              <w:widowControl/>
              <w:jc w:val="left"/>
              <w:rPr>
                <w:rFonts w:ascii="仿宋" w:eastAsia="仿宋" w:cs="仿宋"/>
                <w:sz w:val="24"/>
                <w:szCs w:val="24"/>
              </w:rPr>
            </w:pPr>
            <w:r>
              <w:rPr>
                <w:rFonts w:hint="eastAsia" w:ascii="仿宋" w:eastAsia="仿宋" w:cs="仿宋"/>
                <w:sz w:val="24"/>
                <w:szCs w:val="24"/>
              </w:rPr>
              <w:t>系主任签名：</w:t>
            </w:r>
          </w:p>
          <w:p w14:paraId="6718152E">
            <w:pPr>
              <w:widowControl/>
              <w:jc w:val="right"/>
              <w:rPr>
                <w:rFonts w:ascii="仿宋" w:eastAsia="仿宋" w:cs="仿宋"/>
                <w:sz w:val="24"/>
                <w:szCs w:val="24"/>
              </w:rPr>
            </w:pPr>
          </w:p>
          <w:p w14:paraId="21692144">
            <w:pPr>
              <w:widowControl/>
              <w:jc w:val="right"/>
              <w:rPr>
                <w:rFonts w:ascii="仿宋" w:eastAsia="仿宋" w:cs="仿宋"/>
                <w:sz w:val="24"/>
                <w:szCs w:val="24"/>
              </w:rPr>
            </w:pPr>
            <w:r>
              <w:rPr>
                <w:rFonts w:hint="eastAsia" w:ascii="仿宋" w:eastAsia="仿宋" w:cs="仿宋"/>
                <w:sz w:val="24"/>
                <w:szCs w:val="24"/>
              </w:rPr>
              <w:t>年   月   日</w:t>
            </w:r>
          </w:p>
        </w:tc>
      </w:tr>
    </w:tbl>
    <w:p w14:paraId="64B589CA">
      <w:pPr>
        <w:spacing w:before="120"/>
        <w:jc w:val="center"/>
        <w:rPr>
          <w:rFonts w:ascii="仿宋" w:eastAsia="仿宋" w:cs="仿宋"/>
          <w:b/>
          <w:sz w:val="28"/>
          <w:szCs w:val="28"/>
        </w:rPr>
      </w:pPr>
    </w:p>
    <w:p w14:paraId="7A9CCE78">
      <w:pPr>
        <w:spacing w:before="120"/>
        <w:jc w:val="center"/>
        <w:outlineLvl w:val="0"/>
        <w:rPr>
          <w:rFonts w:ascii="仿宋" w:eastAsia="仿宋" w:cs="黑体"/>
          <w:b/>
          <w:sz w:val="28"/>
          <w:szCs w:val="28"/>
        </w:rPr>
      </w:pPr>
      <w:bookmarkStart w:id="147" w:name="_Toc523666039"/>
      <w:r>
        <w:rPr>
          <w:rFonts w:hint="eastAsia" w:ascii="仿宋" w:eastAsia="仿宋" w:cs="仿宋"/>
          <w:b/>
          <w:sz w:val="28"/>
          <w:szCs w:val="28"/>
        </w:rPr>
        <w:t>附表：《</w:t>
      </w:r>
      <w:r>
        <w:rPr>
          <w:rFonts w:hint="eastAsia" w:ascii="仿宋" w:eastAsia="仿宋" w:cs="仿宋"/>
          <w:b/>
          <w:bCs/>
          <w:sz w:val="28"/>
          <w:szCs w:val="28"/>
        </w:rPr>
        <w:t>钢琴即兴伴奏</w:t>
      </w:r>
      <w:r>
        <w:rPr>
          <w:rFonts w:hint="eastAsia" w:ascii="仿宋" w:eastAsia="仿宋" w:cs="仿宋"/>
          <w:b/>
          <w:sz w:val="28"/>
          <w:szCs w:val="28"/>
        </w:rPr>
        <w:t>》课程目标评分量表</w:t>
      </w:r>
      <w:bookmarkEnd w:id="147"/>
    </w:p>
    <w:tbl>
      <w:tblPr>
        <w:tblStyle w:val="22"/>
        <w:tblW w:w="9211" w:type="dxa"/>
        <w:tblInd w:w="80" w:type="dxa"/>
        <w:tblLayout w:type="autofit"/>
        <w:tblCellMar>
          <w:top w:w="0" w:type="dxa"/>
          <w:left w:w="108" w:type="dxa"/>
          <w:bottom w:w="0" w:type="dxa"/>
          <w:right w:w="108" w:type="dxa"/>
        </w:tblCellMar>
      </w:tblPr>
      <w:tblGrid>
        <w:gridCol w:w="1498"/>
        <w:gridCol w:w="1582"/>
        <w:gridCol w:w="1540"/>
        <w:gridCol w:w="1567"/>
        <w:gridCol w:w="1496"/>
        <w:gridCol w:w="1528"/>
      </w:tblGrid>
      <w:tr w14:paraId="5B42D299">
        <w:trPr>
          <w:trHeight w:val="624" w:hRule="atLeast"/>
        </w:trPr>
        <w:tc>
          <w:tcPr>
            <w:tcW w:w="1498" w:type="dxa"/>
            <w:tcBorders>
              <w:top w:val="single" w:color="000000" w:sz="4" w:space="0"/>
              <w:left w:val="single" w:color="000000" w:sz="4" w:space="0"/>
              <w:bottom w:val="single" w:color="000000" w:sz="4" w:space="0"/>
              <w:right w:val="single" w:color="000000" w:sz="4" w:space="0"/>
            </w:tcBorders>
            <w:noWrap w:val="0"/>
            <w:vAlign w:val="center"/>
          </w:tcPr>
          <w:p w14:paraId="2C7BA4EA">
            <w:pPr>
              <w:tabs>
                <w:tab w:val="left" w:pos="720"/>
              </w:tabs>
              <w:jc w:val="center"/>
              <w:rPr>
                <w:rFonts w:ascii="仿宋" w:eastAsia="仿宋" w:cs="仿宋"/>
                <w:b/>
                <w:szCs w:val="21"/>
              </w:rPr>
            </w:pPr>
            <w:r>
              <w:rPr>
                <w:rFonts w:hint="eastAsia" w:ascii="仿宋" w:eastAsia="仿宋" w:cs="仿宋"/>
                <w:b/>
                <w:szCs w:val="21"/>
              </w:rPr>
              <w:t>课程目标</w:t>
            </w:r>
          </w:p>
        </w:tc>
        <w:tc>
          <w:tcPr>
            <w:tcW w:w="1582" w:type="dxa"/>
            <w:tcBorders>
              <w:top w:val="single" w:color="000000" w:sz="4" w:space="0"/>
              <w:left w:val="single" w:color="000000" w:sz="4" w:space="0"/>
              <w:bottom w:val="single" w:color="000000" w:sz="4" w:space="0"/>
              <w:right w:val="single" w:color="000000" w:sz="4" w:space="0"/>
            </w:tcBorders>
            <w:noWrap w:val="0"/>
            <w:vAlign w:val="center"/>
          </w:tcPr>
          <w:p w14:paraId="0DCD34DD">
            <w:pPr>
              <w:tabs>
                <w:tab w:val="left" w:pos="720"/>
              </w:tabs>
              <w:jc w:val="center"/>
              <w:rPr>
                <w:rFonts w:ascii="仿宋" w:eastAsia="仿宋" w:cs="仿宋"/>
                <w:b/>
                <w:szCs w:val="21"/>
              </w:rPr>
            </w:pPr>
            <w:r>
              <w:rPr>
                <w:rFonts w:hint="eastAsia" w:ascii="仿宋" w:eastAsia="仿宋" w:cs="仿宋"/>
                <w:b/>
                <w:szCs w:val="21"/>
              </w:rPr>
              <w:t>优</w:t>
            </w:r>
          </w:p>
          <w:p w14:paraId="5684ACE1">
            <w:pPr>
              <w:tabs>
                <w:tab w:val="left" w:pos="720"/>
              </w:tabs>
              <w:jc w:val="center"/>
              <w:rPr>
                <w:rFonts w:ascii="仿宋" w:eastAsia="仿宋" w:cs="仿宋"/>
                <w:b/>
                <w:szCs w:val="21"/>
              </w:rPr>
            </w:pPr>
            <w:r>
              <w:rPr>
                <w:rFonts w:hint="eastAsia" w:ascii="仿宋" w:eastAsia="仿宋" w:cs="仿宋"/>
                <w:b/>
                <w:szCs w:val="21"/>
              </w:rPr>
              <w:t>（X≧90）</w:t>
            </w:r>
          </w:p>
        </w:tc>
        <w:tc>
          <w:tcPr>
            <w:tcW w:w="1540" w:type="dxa"/>
            <w:tcBorders>
              <w:top w:val="single" w:color="000000" w:sz="4" w:space="0"/>
              <w:left w:val="single" w:color="000000" w:sz="4" w:space="0"/>
              <w:bottom w:val="single" w:color="000000" w:sz="4" w:space="0"/>
              <w:right w:val="single" w:color="000000" w:sz="4" w:space="0"/>
            </w:tcBorders>
            <w:noWrap w:val="0"/>
            <w:vAlign w:val="center"/>
          </w:tcPr>
          <w:p w14:paraId="4779535F">
            <w:pPr>
              <w:tabs>
                <w:tab w:val="left" w:pos="720"/>
              </w:tabs>
              <w:jc w:val="center"/>
              <w:rPr>
                <w:rFonts w:ascii="仿宋" w:eastAsia="仿宋" w:cs="仿宋"/>
                <w:b/>
                <w:szCs w:val="21"/>
              </w:rPr>
            </w:pPr>
            <w:r>
              <w:rPr>
                <w:rFonts w:hint="eastAsia" w:ascii="仿宋" w:eastAsia="仿宋" w:cs="仿宋"/>
                <w:b/>
                <w:szCs w:val="21"/>
              </w:rPr>
              <w:t>良</w:t>
            </w:r>
          </w:p>
          <w:p w14:paraId="5E7A26EE">
            <w:pPr>
              <w:tabs>
                <w:tab w:val="left" w:pos="720"/>
              </w:tabs>
              <w:ind w:left="-107"/>
              <w:jc w:val="center"/>
              <w:rPr>
                <w:rFonts w:ascii="仿宋" w:eastAsia="仿宋" w:cs="仿宋"/>
                <w:b/>
                <w:szCs w:val="21"/>
              </w:rPr>
            </w:pPr>
            <w:r>
              <w:rPr>
                <w:rFonts w:hint="eastAsia" w:ascii="仿宋" w:eastAsia="仿宋" w:cs="仿宋"/>
                <w:b/>
                <w:szCs w:val="21"/>
              </w:rPr>
              <w:t>（80≦X＜90）</w:t>
            </w:r>
          </w:p>
        </w:tc>
        <w:tc>
          <w:tcPr>
            <w:tcW w:w="1567" w:type="dxa"/>
            <w:tcBorders>
              <w:top w:val="single" w:color="000000" w:sz="4" w:space="0"/>
              <w:left w:val="single" w:color="000000" w:sz="4" w:space="0"/>
              <w:bottom w:val="single" w:color="000000" w:sz="4" w:space="0"/>
              <w:right w:val="single" w:color="000000" w:sz="4" w:space="0"/>
            </w:tcBorders>
            <w:noWrap w:val="0"/>
            <w:vAlign w:val="center"/>
          </w:tcPr>
          <w:p w14:paraId="29936559">
            <w:pPr>
              <w:tabs>
                <w:tab w:val="left" w:pos="720"/>
              </w:tabs>
              <w:jc w:val="center"/>
              <w:rPr>
                <w:rFonts w:ascii="仿宋" w:eastAsia="仿宋" w:cs="仿宋"/>
                <w:b/>
                <w:szCs w:val="21"/>
              </w:rPr>
            </w:pPr>
            <w:r>
              <w:rPr>
                <w:rFonts w:hint="eastAsia" w:ascii="仿宋" w:eastAsia="仿宋" w:cs="仿宋"/>
                <w:b/>
                <w:szCs w:val="21"/>
              </w:rPr>
              <w:t>中</w:t>
            </w:r>
          </w:p>
          <w:p w14:paraId="2D08F22E">
            <w:pPr>
              <w:tabs>
                <w:tab w:val="left" w:pos="720"/>
              </w:tabs>
              <w:ind w:left="-107" w:right="-54"/>
              <w:jc w:val="center"/>
              <w:rPr>
                <w:rFonts w:ascii="仿宋" w:eastAsia="仿宋" w:cs="仿宋"/>
                <w:b/>
                <w:szCs w:val="21"/>
              </w:rPr>
            </w:pPr>
            <w:r>
              <w:rPr>
                <w:rFonts w:hint="eastAsia" w:ascii="仿宋" w:eastAsia="仿宋" w:cs="仿宋"/>
                <w:b/>
                <w:szCs w:val="21"/>
              </w:rPr>
              <w:t>（70≦X＜80）</w:t>
            </w:r>
          </w:p>
        </w:tc>
        <w:tc>
          <w:tcPr>
            <w:tcW w:w="1496" w:type="dxa"/>
            <w:tcBorders>
              <w:top w:val="single" w:color="000000" w:sz="4" w:space="0"/>
              <w:left w:val="single" w:color="000000" w:sz="4" w:space="0"/>
              <w:bottom w:val="single" w:color="000000" w:sz="4" w:space="0"/>
              <w:right w:val="single" w:color="000000" w:sz="4" w:space="0"/>
            </w:tcBorders>
            <w:noWrap w:val="0"/>
            <w:vAlign w:val="center"/>
          </w:tcPr>
          <w:p w14:paraId="29EF7B12">
            <w:pPr>
              <w:tabs>
                <w:tab w:val="left" w:pos="720"/>
              </w:tabs>
              <w:jc w:val="center"/>
              <w:rPr>
                <w:rFonts w:ascii="仿宋" w:eastAsia="仿宋" w:cs="仿宋"/>
                <w:b/>
                <w:szCs w:val="21"/>
              </w:rPr>
            </w:pPr>
            <w:r>
              <w:rPr>
                <w:rFonts w:hint="eastAsia" w:ascii="仿宋" w:eastAsia="仿宋" w:cs="仿宋"/>
                <w:b/>
                <w:szCs w:val="21"/>
              </w:rPr>
              <w:t>及格</w:t>
            </w:r>
          </w:p>
          <w:p w14:paraId="306ABAF2">
            <w:pPr>
              <w:tabs>
                <w:tab w:val="left" w:pos="720"/>
              </w:tabs>
              <w:ind w:left="-107" w:right="-54"/>
              <w:jc w:val="center"/>
              <w:rPr>
                <w:rFonts w:ascii="仿宋" w:eastAsia="仿宋" w:cs="仿宋"/>
                <w:b/>
                <w:szCs w:val="21"/>
              </w:rPr>
            </w:pPr>
            <w:r>
              <w:rPr>
                <w:rFonts w:hint="eastAsia" w:ascii="仿宋" w:eastAsia="仿宋" w:cs="仿宋"/>
                <w:b/>
                <w:szCs w:val="21"/>
              </w:rPr>
              <w:t>（60≦X＜70）</w:t>
            </w:r>
          </w:p>
        </w:tc>
        <w:tc>
          <w:tcPr>
            <w:tcW w:w="1528" w:type="dxa"/>
            <w:tcBorders>
              <w:top w:val="single" w:color="000000" w:sz="4" w:space="0"/>
              <w:left w:val="single" w:color="000000" w:sz="4" w:space="0"/>
              <w:bottom w:val="single" w:color="000000" w:sz="4" w:space="0"/>
              <w:right w:val="single" w:color="000000" w:sz="4" w:space="0"/>
            </w:tcBorders>
            <w:noWrap w:val="0"/>
            <w:vAlign w:val="center"/>
          </w:tcPr>
          <w:p w14:paraId="3EE81338">
            <w:pPr>
              <w:tabs>
                <w:tab w:val="left" w:pos="720"/>
              </w:tabs>
              <w:jc w:val="center"/>
              <w:rPr>
                <w:rFonts w:ascii="仿宋" w:eastAsia="仿宋" w:cs="仿宋"/>
                <w:b/>
                <w:szCs w:val="21"/>
              </w:rPr>
            </w:pPr>
            <w:r>
              <w:rPr>
                <w:rFonts w:hint="eastAsia" w:ascii="仿宋" w:eastAsia="仿宋" w:cs="仿宋"/>
                <w:b/>
                <w:szCs w:val="21"/>
              </w:rPr>
              <w:t>不及格</w:t>
            </w:r>
          </w:p>
          <w:p w14:paraId="03A19AEC">
            <w:pPr>
              <w:tabs>
                <w:tab w:val="left" w:pos="720"/>
              </w:tabs>
              <w:jc w:val="center"/>
              <w:rPr>
                <w:rFonts w:ascii="仿宋" w:eastAsia="仿宋" w:cs="仿宋"/>
                <w:b/>
                <w:szCs w:val="21"/>
              </w:rPr>
            </w:pPr>
            <w:r>
              <w:rPr>
                <w:rFonts w:hint="eastAsia" w:ascii="仿宋" w:eastAsia="仿宋" w:cs="仿宋"/>
                <w:b/>
                <w:szCs w:val="21"/>
              </w:rPr>
              <w:t>（X＜60）</w:t>
            </w:r>
          </w:p>
        </w:tc>
      </w:tr>
      <w:tr w14:paraId="6097CE89">
        <w:trPr>
          <w:trHeight w:val="624" w:hRule="atLeast"/>
        </w:trPr>
        <w:tc>
          <w:tcPr>
            <w:tcW w:w="1498" w:type="dxa"/>
            <w:tcBorders>
              <w:top w:val="single" w:color="000000" w:sz="4" w:space="0"/>
              <w:left w:val="single" w:color="000000" w:sz="4" w:space="0"/>
              <w:bottom w:val="single" w:color="000000" w:sz="4" w:space="0"/>
              <w:right w:val="single" w:color="000000" w:sz="4" w:space="0"/>
            </w:tcBorders>
            <w:noWrap w:val="0"/>
            <w:vAlign w:val="top"/>
          </w:tcPr>
          <w:p w14:paraId="3F88F11C">
            <w:pPr>
              <w:tabs>
                <w:tab w:val="left" w:pos="480"/>
              </w:tabs>
              <w:rPr>
                <w:rFonts w:ascii="楷体" w:eastAsia="楷体" w:cs="楷体"/>
                <w:szCs w:val="21"/>
              </w:rPr>
            </w:pPr>
            <w:r>
              <w:rPr>
                <w:rFonts w:hint="eastAsia" w:ascii="楷体" w:eastAsia="楷体" w:cs="楷体"/>
                <w:szCs w:val="21"/>
              </w:rPr>
              <w:t>课程目标1：</w:t>
            </w:r>
          </w:p>
          <w:p w14:paraId="5C840A87">
            <w:pPr>
              <w:tabs>
                <w:tab w:val="left" w:pos="480"/>
              </w:tabs>
              <w:rPr>
                <w:rFonts w:ascii="楷体" w:eastAsia="楷体" w:cs="楷体"/>
                <w:szCs w:val="21"/>
              </w:rPr>
            </w:pPr>
            <w:r>
              <w:rPr>
                <w:rFonts w:hint="eastAsia" w:ascii="楷体" w:eastAsia="楷体" w:cs="楷体"/>
                <w:szCs w:val="21"/>
              </w:rPr>
              <w:t>了解钢琴即兴伴奏的基本理论与学习方法；掌握为中小学音乐教材歌曲编配钢琴伴奏的方法。鉴别中国传统歌曲和欧美歌曲及现代流行歌曲的和声特征的异同。</w:t>
            </w:r>
          </w:p>
        </w:tc>
        <w:tc>
          <w:tcPr>
            <w:tcW w:w="1582" w:type="dxa"/>
            <w:tcBorders>
              <w:top w:val="single" w:color="000000" w:sz="4" w:space="0"/>
              <w:left w:val="single" w:color="000000" w:sz="4" w:space="0"/>
              <w:bottom w:val="single" w:color="000000" w:sz="4" w:space="0"/>
              <w:right w:val="single" w:color="000000" w:sz="4" w:space="0"/>
            </w:tcBorders>
            <w:noWrap w:val="0"/>
            <w:vAlign w:val="top"/>
          </w:tcPr>
          <w:p w14:paraId="02E6AE43">
            <w:pPr>
              <w:tabs>
                <w:tab w:val="left" w:pos="480"/>
              </w:tabs>
              <w:rPr>
                <w:rFonts w:ascii="楷体" w:eastAsia="楷体" w:cs="楷体"/>
                <w:szCs w:val="21"/>
              </w:rPr>
            </w:pPr>
            <w:r>
              <w:rPr>
                <w:rFonts w:hint="eastAsia" w:ascii="楷体" w:eastAsia="楷体" w:cs="楷体"/>
                <w:szCs w:val="21"/>
              </w:rPr>
              <w:t>能够准确地阐述钢琴即兴伴奏的基本理论与学习方法，并熟练准确地鉴别中国传统歌曲和欧美歌曲及现代流行歌曲的和声特征的异同。能够扎实掌握为中小学音乐教材歌曲编配钢琴伴奏的方法，和弦与音型编配的正确率高于90%。</w:t>
            </w:r>
          </w:p>
        </w:tc>
        <w:tc>
          <w:tcPr>
            <w:tcW w:w="1540" w:type="dxa"/>
            <w:tcBorders>
              <w:top w:val="single" w:color="000000" w:sz="4" w:space="0"/>
              <w:left w:val="single" w:color="000000" w:sz="4" w:space="0"/>
              <w:bottom w:val="single" w:color="000000" w:sz="4" w:space="0"/>
              <w:right w:val="single" w:color="000000" w:sz="4" w:space="0"/>
            </w:tcBorders>
            <w:noWrap w:val="0"/>
            <w:vAlign w:val="top"/>
          </w:tcPr>
          <w:p w14:paraId="4D37693B">
            <w:pPr>
              <w:tabs>
                <w:tab w:val="left" w:pos="480"/>
              </w:tabs>
              <w:rPr>
                <w:rFonts w:ascii="楷体" w:eastAsia="楷体" w:cs="楷体"/>
                <w:szCs w:val="21"/>
              </w:rPr>
            </w:pPr>
            <w:r>
              <w:rPr>
                <w:rFonts w:hint="eastAsia" w:ascii="楷体" w:eastAsia="楷体" w:cs="楷体"/>
                <w:szCs w:val="21"/>
              </w:rPr>
              <w:t>能够较准确地阐述钢琴即兴伴奏的基本理论与学习方法，并熟练准确地鉴别中国传统歌曲和欧美歌曲及现代流行歌曲的和声特征的异同。能够较好地掌握为中小学音乐教材歌曲编配钢琴伴奏的方法，和弦编配的正确率达到</w:t>
            </w:r>
          </w:p>
          <w:p w14:paraId="10778D0D">
            <w:pPr>
              <w:tabs>
                <w:tab w:val="left" w:pos="480"/>
              </w:tabs>
              <w:rPr>
                <w:rFonts w:ascii="楷体" w:eastAsia="楷体" w:cs="楷体"/>
                <w:szCs w:val="21"/>
              </w:rPr>
            </w:pPr>
            <w:r>
              <w:rPr>
                <w:rFonts w:hint="eastAsia" w:ascii="楷体" w:eastAsia="楷体" w:cs="楷体"/>
                <w:szCs w:val="21"/>
              </w:rPr>
              <w:t>80%-89%。</w:t>
            </w:r>
          </w:p>
        </w:tc>
        <w:tc>
          <w:tcPr>
            <w:tcW w:w="1567" w:type="dxa"/>
            <w:tcBorders>
              <w:top w:val="single" w:color="000000" w:sz="4" w:space="0"/>
              <w:left w:val="single" w:color="000000" w:sz="4" w:space="0"/>
              <w:bottom w:val="single" w:color="000000" w:sz="4" w:space="0"/>
              <w:right w:val="single" w:color="000000" w:sz="4" w:space="0"/>
            </w:tcBorders>
            <w:noWrap w:val="0"/>
            <w:vAlign w:val="top"/>
          </w:tcPr>
          <w:p w14:paraId="2F19B6A1">
            <w:pPr>
              <w:tabs>
                <w:tab w:val="left" w:pos="480"/>
              </w:tabs>
              <w:rPr>
                <w:rFonts w:ascii="楷体" w:eastAsia="楷体" w:cs="楷体"/>
                <w:szCs w:val="21"/>
              </w:rPr>
            </w:pPr>
            <w:r>
              <w:rPr>
                <w:rFonts w:hint="eastAsia" w:ascii="楷体" w:eastAsia="楷体" w:cs="楷体"/>
                <w:szCs w:val="21"/>
              </w:rPr>
              <w:t>能够基本准确地阐述钢琴即兴伴奏的基本理论与学习方法，并能较为准确地鉴别中国传统歌曲和欧美歌曲及现代流行歌曲的和声特征的异同。能够掌握为中小学音乐教材歌曲编配钢琴伴奏的方法，和弦编配的正确率达到70%-79%。</w:t>
            </w:r>
          </w:p>
        </w:tc>
        <w:tc>
          <w:tcPr>
            <w:tcW w:w="1496" w:type="dxa"/>
            <w:tcBorders>
              <w:top w:val="single" w:color="000000" w:sz="4" w:space="0"/>
              <w:left w:val="single" w:color="000000" w:sz="4" w:space="0"/>
              <w:bottom w:val="single" w:color="000000" w:sz="4" w:space="0"/>
              <w:right w:val="single" w:color="000000" w:sz="4" w:space="0"/>
            </w:tcBorders>
            <w:noWrap w:val="0"/>
            <w:vAlign w:val="top"/>
          </w:tcPr>
          <w:p w14:paraId="5EA031BF">
            <w:pPr>
              <w:tabs>
                <w:tab w:val="left" w:pos="480"/>
              </w:tabs>
              <w:rPr>
                <w:rFonts w:ascii="楷体" w:eastAsia="楷体" w:cs="楷体"/>
                <w:szCs w:val="21"/>
              </w:rPr>
            </w:pPr>
            <w:r>
              <w:rPr>
                <w:rFonts w:hint="eastAsia" w:ascii="楷体" w:eastAsia="楷体" w:cs="楷体"/>
                <w:szCs w:val="21"/>
              </w:rPr>
              <w:t>能够初步阐述钢琴即兴伴奏的基本理论与学习方法，并能基本准确地鉴别中国传统歌曲和欧美歌曲及现代流行歌曲的和声特征的异同。能够掌握为中小学音乐教材歌曲编配钢琴伴奏的方法，和弦编配的正确率达到</w:t>
            </w:r>
          </w:p>
          <w:p w14:paraId="3EA3A8FA">
            <w:pPr>
              <w:tabs>
                <w:tab w:val="left" w:pos="480"/>
              </w:tabs>
              <w:rPr>
                <w:rFonts w:ascii="楷体" w:eastAsia="楷体" w:cs="楷体"/>
                <w:szCs w:val="21"/>
              </w:rPr>
            </w:pPr>
            <w:r>
              <w:rPr>
                <w:rFonts w:hint="eastAsia" w:ascii="楷体" w:eastAsia="楷体" w:cs="楷体"/>
                <w:szCs w:val="21"/>
              </w:rPr>
              <w:t>60%-69%。</w:t>
            </w:r>
          </w:p>
        </w:tc>
        <w:tc>
          <w:tcPr>
            <w:tcW w:w="1528" w:type="dxa"/>
            <w:tcBorders>
              <w:top w:val="single" w:color="000000" w:sz="4" w:space="0"/>
              <w:left w:val="single" w:color="000000" w:sz="4" w:space="0"/>
              <w:bottom w:val="single" w:color="000000" w:sz="4" w:space="0"/>
              <w:right w:val="single" w:color="000000" w:sz="4" w:space="0"/>
            </w:tcBorders>
            <w:noWrap w:val="0"/>
            <w:vAlign w:val="top"/>
          </w:tcPr>
          <w:p w14:paraId="72D57B29">
            <w:pPr>
              <w:tabs>
                <w:tab w:val="left" w:pos="480"/>
              </w:tabs>
              <w:rPr>
                <w:rFonts w:ascii="楷体" w:eastAsia="楷体" w:cs="楷体"/>
                <w:szCs w:val="21"/>
              </w:rPr>
            </w:pPr>
            <w:r>
              <w:rPr>
                <w:rFonts w:hint="eastAsia" w:ascii="楷体" w:eastAsia="楷体" w:cs="楷体"/>
                <w:szCs w:val="21"/>
              </w:rPr>
              <w:t>未能很好阐述钢琴即兴伴奏的基本理论与学习方法，并基本准确地鉴别中国传统歌曲和欧美歌曲及现代流行歌曲的和声特征的异同。未能掌握为中小学音乐教材歌曲编配钢琴伴奏的方法，和弦编配的正确率低于60%。</w:t>
            </w:r>
          </w:p>
        </w:tc>
      </w:tr>
      <w:tr w14:paraId="25D4A3CD">
        <w:trPr>
          <w:trHeight w:val="624" w:hRule="atLeast"/>
        </w:trPr>
        <w:tc>
          <w:tcPr>
            <w:tcW w:w="1498" w:type="dxa"/>
            <w:tcBorders>
              <w:top w:val="single" w:color="000000" w:sz="4" w:space="0"/>
              <w:left w:val="single" w:color="000000" w:sz="4" w:space="0"/>
              <w:bottom w:val="single" w:color="000000" w:sz="4" w:space="0"/>
              <w:right w:val="single" w:color="000000" w:sz="4" w:space="0"/>
            </w:tcBorders>
            <w:noWrap w:val="0"/>
            <w:vAlign w:val="top"/>
          </w:tcPr>
          <w:p w14:paraId="2330D923">
            <w:pPr>
              <w:tabs>
                <w:tab w:val="left" w:pos="480"/>
              </w:tabs>
              <w:rPr>
                <w:rFonts w:ascii="楷体" w:eastAsia="楷体" w:cs="楷体"/>
                <w:szCs w:val="21"/>
              </w:rPr>
            </w:pPr>
            <w:r>
              <w:rPr>
                <w:rFonts w:hint="eastAsia" w:ascii="楷体" w:eastAsia="楷体" w:cs="楷体"/>
                <w:szCs w:val="21"/>
              </w:rPr>
              <w:t>课程目标2：</w:t>
            </w:r>
          </w:p>
          <w:p w14:paraId="629AE28F">
            <w:pPr>
              <w:tabs>
                <w:tab w:val="left" w:pos="480"/>
              </w:tabs>
              <w:rPr>
                <w:rFonts w:ascii="楷体" w:eastAsia="楷体" w:cs="楷体"/>
                <w:szCs w:val="21"/>
              </w:rPr>
            </w:pPr>
            <w:r>
              <w:rPr>
                <w:rFonts w:hint="eastAsia" w:ascii="楷体" w:eastAsia="楷体" w:cs="楷体"/>
                <w:szCs w:val="21"/>
              </w:rPr>
              <w:t>掌握弹奏中小学音乐教材歌曲伴奏并演唱的技能。正确弹奏大小调体系和声与民族和声。</w:t>
            </w:r>
          </w:p>
        </w:tc>
        <w:tc>
          <w:tcPr>
            <w:tcW w:w="1582" w:type="dxa"/>
            <w:tcBorders>
              <w:top w:val="single" w:color="000000" w:sz="4" w:space="0"/>
              <w:left w:val="single" w:color="000000" w:sz="4" w:space="0"/>
              <w:bottom w:val="single" w:color="000000" w:sz="4" w:space="0"/>
              <w:right w:val="single" w:color="000000" w:sz="4" w:space="0"/>
            </w:tcBorders>
            <w:noWrap w:val="0"/>
            <w:vAlign w:val="top"/>
          </w:tcPr>
          <w:p w14:paraId="76B0190E">
            <w:pPr>
              <w:tabs>
                <w:tab w:val="left" w:pos="480"/>
              </w:tabs>
              <w:rPr>
                <w:rFonts w:ascii="楷体" w:eastAsia="楷体" w:cs="楷体"/>
                <w:szCs w:val="21"/>
              </w:rPr>
            </w:pPr>
            <w:r>
              <w:rPr>
                <w:rFonts w:hint="eastAsia" w:ascii="楷体" w:eastAsia="楷体" w:cs="楷体"/>
                <w:szCs w:val="21"/>
              </w:rPr>
              <w:t>能够准确地掌握弹奏中小学音乐教材歌曲伴奏并演唱的技能。能够熟练正确地弹奏大小调体系和声与民族和声，弹奏的正确率高于90%。</w:t>
            </w:r>
          </w:p>
        </w:tc>
        <w:tc>
          <w:tcPr>
            <w:tcW w:w="1540" w:type="dxa"/>
            <w:tcBorders>
              <w:top w:val="single" w:color="000000" w:sz="4" w:space="0"/>
              <w:left w:val="single" w:color="000000" w:sz="4" w:space="0"/>
              <w:bottom w:val="single" w:color="000000" w:sz="4" w:space="0"/>
              <w:right w:val="single" w:color="000000" w:sz="4" w:space="0"/>
            </w:tcBorders>
            <w:noWrap w:val="0"/>
            <w:vAlign w:val="top"/>
          </w:tcPr>
          <w:p w14:paraId="07872212">
            <w:pPr>
              <w:tabs>
                <w:tab w:val="left" w:pos="480"/>
              </w:tabs>
              <w:rPr>
                <w:rFonts w:ascii="楷体" w:eastAsia="楷体" w:cs="楷体"/>
                <w:szCs w:val="21"/>
              </w:rPr>
            </w:pPr>
            <w:r>
              <w:rPr>
                <w:rFonts w:hint="eastAsia" w:ascii="楷体" w:eastAsia="楷体" w:cs="楷体"/>
                <w:szCs w:val="21"/>
              </w:rPr>
              <w:t>能够较好地掌握弹奏中小学音乐教材歌曲伴奏并演唱的技能。能够较为熟练地弹奏大小调体系和声与民族和声，弹奏的正确率达到80%-89%。</w:t>
            </w:r>
          </w:p>
        </w:tc>
        <w:tc>
          <w:tcPr>
            <w:tcW w:w="1567" w:type="dxa"/>
            <w:tcBorders>
              <w:top w:val="single" w:color="000000" w:sz="4" w:space="0"/>
              <w:left w:val="single" w:color="000000" w:sz="4" w:space="0"/>
              <w:bottom w:val="single" w:color="000000" w:sz="4" w:space="0"/>
              <w:right w:val="single" w:color="000000" w:sz="4" w:space="0"/>
            </w:tcBorders>
            <w:noWrap w:val="0"/>
            <w:vAlign w:val="top"/>
          </w:tcPr>
          <w:p w14:paraId="6F07E750">
            <w:pPr>
              <w:tabs>
                <w:tab w:val="left" w:pos="480"/>
              </w:tabs>
              <w:rPr>
                <w:rFonts w:ascii="楷体" w:eastAsia="楷体" w:cs="楷体"/>
                <w:szCs w:val="21"/>
              </w:rPr>
            </w:pPr>
            <w:r>
              <w:rPr>
                <w:rFonts w:hint="eastAsia" w:ascii="楷体" w:eastAsia="楷体" w:cs="楷体"/>
                <w:szCs w:val="21"/>
              </w:rPr>
              <w:t>能够基本准确地掌握弹奏中小学音乐教材歌曲伴奏并演唱的技能。能够弹奏大小调体系和声与民族和声，弹奏的正确率达到70%-79%。</w:t>
            </w:r>
          </w:p>
        </w:tc>
        <w:tc>
          <w:tcPr>
            <w:tcW w:w="1496" w:type="dxa"/>
            <w:tcBorders>
              <w:top w:val="single" w:color="000000" w:sz="4" w:space="0"/>
              <w:left w:val="single" w:color="000000" w:sz="4" w:space="0"/>
              <w:bottom w:val="single" w:color="000000" w:sz="4" w:space="0"/>
              <w:right w:val="single" w:color="000000" w:sz="4" w:space="0"/>
            </w:tcBorders>
            <w:noWrap w:val="0"/>
            <w:vAlign w:val="top"/>
          </w:tcPr>
          <w:p w14:paraId="6523A1BB">
            <w:pPr>
              <w:tabs>
                <w:tab w:val="left" w:pos="480"/>
              </w:tabs>
              <w:rPr>
                <w:rFonts w:ascii="楷体" w:eastAsia="楷体" w:cs="楷体"/>
                <w:szCs w:val="21"/>
              </w:rPr>
            </w:pPr>
            <w:r>
              <w:rPr>
                <w:rFonts w:hint="eastAsia" w:ascii="楷体" w:eastAsia="楷体" w:cs="楷体"/>
                <w:szCs w:val="21"/>
              </w:rPr>
              <w:t>能够初步掌握弹奏中小学音乐教材歌曲伴奏并演唱的技能。能够弹奏大小调体系和声与民族和声，弹奏的正确率达到60%-69%。</w:t>
            </w:r>
          </w:p>
        </w:tc>
        <w:tc>
          <w:tcPr>
            <w:tcW w:w="1528" w:type="dxa"/>
            <w:tcBorders>
              <w:top w:val="single" w:color="000000" w:sz="4" w:space="0"/>
              <w:left w:val="single" w:color="000000" w:sz="4" w:space="0"/>
              <w:bottom w:val="single" w:color="000000" w:sz="4" w:space="0"/>
              <w:right w:val="single" w:color="000000" w:sz="4" w:space="0"/>
            </w:tcBorders>
            <w:noWrap w:val="0"/>
            <w:vAlign w:val="top"/>
          </w:tcPr>
          <w:p w14:paraId="2232C8E7">
            <w:pPr>
              <w:tabs>
                <w:tab w:val="left" w:pos="480"/>
              </w:tabs>
              <w:rPr>
                <w:rFonts w:ascii="楷体" w:eastAsia="楷体" w:cs="楷体"/>
                <w:szCs w:val="21"/>
              </w:rPr>
            </w:pPr>
            <w:r>
              <w:rPr>
                <w:rFonts w:hint="eastAsia" w:ascii="楷体" w:eastAsia="楷体" w:cs="楷体"/>
                <w:szCs w:val="21"/>
              </w:rPr>
              <w:t>未能掌握弹奏中小学音乐教材歌曲伴奏并演唱的技能。弹奏大小调体系和声与民族和声60%。</w:t>
            </w:r>
          </w:p>
        </w:tc>
      </w:tr>
      <w:tr w14:paraId="42D3BFDC">
        <w:trPr>
          <w:trHeight w:val="624" w:hRule="atLeast"/>
        </w:trPr>
        <w:tc>
          <w:tcPr>
            <w:tcW w:w="1498" w:type="dxa"/>
            <w:tcBorders>
              <w:top w:val="single" w:color="000000" w:sz="4" w:space="0"/>
              <w:left w:val="single" w:color="000000" w:sz="4" w:space="0"/>
              <w:bottom w:val="single" w:color="000000" w:sz="4" w:space="0"/>
              <w:right w:val="single" w:color="000000" w:sz="4" w:space="0"/>
            </w:tcBorders>
            <w:noWrap w:val="0"/>
            <w:vAlign w:val="top"/>
          </w:tcPr>
          <w:p w14:paraId="6F9BC7DE">
            <w:pPr>
              <w:tabs>
                <w:tab w:val="left" w:pos="480"/>
              </w:tabs>
              <w:rPr>
                <w:rFonts w:ascii="楷体" w:eastAsia="楷体" w:cs="楷体"/>
                <w:szCs w:val="21"/>
              </w:rPr>
            </w:pPr>
            <w:r>
              <w:rPr>
                <w:rFonts w:hint="eastAsia" w:ascii="楷体" w:eastAsia="楷体" w:cs="楷体"/>
                <w:szCs w:val="21"/>
              </w:rPr>
              <w:t>课程目标3：</w:t>
            </w:r>
          </w:p>
          <w:p w14:paraId="24ED8B39">
            <w:pPr>
              <w:tabs>
                <w:tab w:val="left" w:pos="480"/>
              </w:tabs>
              <w:rPr>
                <w:rFonts w:ascii="楷体" w:eastAsia="楷体" w:cs="楷体"/>
                <w:szCs w:val="21"/>
              </w:rPr>
            </w:pPr>
            <w:r>
              <w:rPr>
                <w:rFonts w:hint="eastAsia" w:ascii="楷体" w:eastAsia="楷体" w:cs="楷体"/>
                <w:szCs w:val="21"/>
              </w:rPr>
              <w:t>具备团队协作进行作品创编、排练演出的能力。领会沟通合作在音乐创作与排演中的重要意义。</w:t>
            </w:r>
          </w:p>
        </w:tc>
        <w:tc>
          <w:tcPr>
            <w:tcW w:w="1582" w:type="dxa"/>
            <w:tcBorders>
              <w:top w:val="single" w:color="000000" w:sz="4" w:space="0"/>
              <w:left w:val="single" w:color="000000" w:sz="4" w:space="0"/>
              <w:bottom w:val="single" w:color="000000" w:sz="4" w:space="0"/>
              <w:right w:val="single" w:color="000000" w:sz="4" w:space="0"/>
            </w:tcBorders>
            <w:noWrap w:val="0"/>
            <w:vAlign w:val="top"/>
          </w:tcPr>
          <w:p w14:paraId="4B329480">
            <w:pPr>
              <w:tabs>
                <w:tab w:val="left" w:pos="480"/>
              </w:tabs>
              <w:rPr>
                <w:rFonts w:ascii="楷体" w:eastAsia="楷体" w:cs="楷体"/>
                <w:szCs w:val="21"/>
              </w:rPr>
            </w:pPr>
            <w:r>
              <w:rPr>
                <w:rFonts w:hint="eastAsia" w:ascii="楷体" w:eastAsia="楷体" w:cs="楷体"/>
                <w:szCs w:val="21"/>
              </w:rPr>
              <w:t>能够准确地运用钢琴即兴伴奏研究的方法论进行自主学习，谱例分析、音频听记的正确率高于90%。</w:t>
            </w:r>
          </w:p>
        </w:tc>
        <w:tc>
          <w:tcPr>
            <w:tcW w:w="1540" w:type="dxa"/>
            <w:tcBorders>
              <w:top w:val="single" w:color="000000" w:sz="4" w:space="0"/>
              <w:left w:val="single" w:color="000000" w:sz="4" w:space="0"/>
              <w:bottom w:val="single" w:color="000000" w:sz="4" w:space="0"/>
              <w:right w:val="single" w:color="000000" w:sz="4" w:space="0"/>
            </w:tcBorders>
            <w:noWrap w:val="0"/>
            <w:vAlign w:val="top"/>
          </w:tcPr>
          <w:p w14:paraId="750BFCCC">
            <w:pPr>
              <w:tabs>
                <w:tab w:val="left" w:pos="480"/>
              </w:tabs>
              <w:rPr>
                <w:rFonts w:ascii="楷体" w:eastAsia="楷体" w:cs="楷体"/>
                <w:szCs w:val="21"/>
              </w:rPr>
            </w:pPr>
            <w:r>
              <w:rPr>
                <w:rFonts w:hint="eastAsia" w:ascii="楷体" w:eastAsia="楷体" w:cs="楷体"/>
                <w:szCs w:val="21"/>
              </w:rPr>
              <w:t>能够较好地运用钢琴即兴伴奏研究的方法论进行自主学习，谱例分析、音频听记的正确率达到80%-89%。</w:t>
            </w:r>
          </w:p>
        </w:tc>
        <w:tc>
          <w:tcPr>
            <w:tcW w:w="1567" w:type="dxa"/>
            <w:tcBorders>
              <w:top w:val="single" w:color="000000" w:sz="4" w:space="0"/>
              <w:left w:val="single" w:color="000000" w:sz="4" w:space="0"/>
              <w:bottom w:val="single" w:color="000000" w:sz="4" w:space="0"/>
              <w:right w:val="single" w:color="000000" w:sz="4" w:space="0"/>
            </w:tcBorders>
            <w:noWrap w:val="0"/>
            <w:vAlign w:val="top"/>
          </w:tcPr>
          <w:p w14:paraId="700B181A">
            <w:pPr>
              <w:tabs>
                <w:tab w:val="left" w:pos="480"/>
              </w:tabs>
              <w:rPr>
                <w:rFonts w:ascii="楷体" w:eastAsia="楷体" w:cs="楷体"/>
                <w:szCs w:val="21"/>
              </w:rPr>
            </w:pPr>
            <w:r>
              <w:rPr>
                <w:rFonts w:hint="eastAsia" w:ascii="楷体" w:eastAsia="楷体" w:cs="楷体"/>
                <w:szCs w:val="21"/>
              </w:rPr>
              <w:t>能够基本准确地运用钢琴即兴伴奏研究的方法论进行自主学习，谱例分析、音频听记的正确率达到70%-79%。</w:t>
            </w:r>
          </w:p>
        </w:tc>
        <w:tc>
          <w:tcPr>
            <w:tcW w:w="1496" w:type="dxa"/>
            <w:tcBorders>
              <w:top w:val="single" w:color="000000" w:sz="4" w:space="0"/>
              <w:left w:val="single" w:color="000000" w:sz="4" w:space="0"/>
              <w:bottom w:val="single" w:color="000000" w:sz="4" w:space="0"/>
              <w:right w:val="single" w:color="000000" w:sz="4" w:space="0"/>
            </w:tcBorders>
            <w:noWrap w:val="0"/>
            <w:vAlign w:val="top"/>
          </w:tcPr>
          <w:p w14:paraId="6F3B722D">
            <w:pPr>
              <w:tabs>
                <w:tab w:val="left" w:pos="480"/>
              </w:tabs>
              <w:rPr>
                <w:rFonts w:ascii="楷体" w:eastAsia="楷体" w:cs="楷体"/>
                <w:szCs w:val="21"/>
              </w:rPr>
            </w:pPr>
            <w:r>
              <w:rPr>
                <w:rFonts w:hint="eastAsia" w:ascii="楷体" w:eastAsia="楷体" w:cs="楷体"/>
                <w:szCs w:val="21"/>
              </w:rPr>
              <w:t>能够初步运用钢琴即兴伴奏研究的方法论进行自主学习，谱例分析、音频听记的正确率达到60%-69%。</w:t>
            </w:r>
          </w:p>
        </w:tc>
        <w:tc>
          <w:tcPr>
            <w:tcW w:w="1528" w:type="dxa"/>
            <w:tcBorders>
              <w:top w:val="single" w:color="000000" w:sz="4" w:space="0"/>
              <w:left w:val="single" w:color="000000" w:sz="4" w:space="0"/>
              <w:bottom w:val="single" w:color="000000" w:sz="4" w:space="0"/>
              <w:right w:val="single" w:color="000000" w:sz="4" w:space="0"/>
            </w:tcBorders>
            <w:noWrap w:val="0"/>
            <w:vAlign w:val="top"/>
          </w:tcPr>
          <w:p w14:paraId="14BBC199">
            <w:pPr>
              <w:tabs>
                <w:tab w:val="left" w:pos="480"/>
              </w:tabs>
              <w:rPr>
                <w:rFonts w:ascii="楷体" w:eastAsia="楷体" w:cs="楷体"/>
                <w:szCs w:val="21"/>
              </w:rPr>
            </w:pPr>
            <w:r>
              <w:rPr>
                <w:rFonts w:hint="eastAsia" w:ascii="楷体" w:eastAsia="楷体" w:cs="楷体"/>
                <w:szCs w:val="21"/>
              </w:rPr>
              <w:t>未能运用钢琴即兴伴奏研究的方法论进行自主学习，谱例分析、音频听记的正确率低于60%。</w:t>
            </w:r>
          </w:p>
        </w:tc>
      </w:tr>
    </w:tbl>
    <w:p w14:paraId="1023C248">
      <w:pPr>
        <w:rPr>
          <w:sz w:val="2"/>
          <w:szCs w:val="2"/>
        </w:rPr>
        <w:sectPr>
          <w:headerReference r:id="rId93" w:type="default"/>
          <w:footerReference r:id="rId94" w:type="default"/>
          <w:pgSz w:w="11906" w:h="16838"/>
          <w:pgMar w:top="1440" w:right="1800" w:bottom="1440" w:left="1800" w:header="851" w:footer="992" w:gutter="0"/>
          <w:cols w:space="425" w:num="1"/>
          <w:docGrid w:type="lines" w:linePitch="312" w:charSpace="0"/>
        </w:sectPr>
      </w:pPr>
    </w:p>
    <w:p w14:paraId="5E00CF22">
      <w:pPr>
        <w:jc w:val="center"/>
        <w:rPr>
          <w:rFonts w:hint="eastAsia" w:eastAsia="方正小标宋简体"/>
          <w:sz w:val="44"/>
          <w:szCs w:val="44"/>
        </w:rPr>
      </w:pPr>
      <w:r>
        <w:rPr>
          <w:rFonts w:hint="eastAsia" w:eastAsia="方正小标宋简体"/>
          <w:sz w:val="44"/>
          <w:szCs w:val="44"/>
        </w:rPr>
        <w:t>三明学院音乐学（音乐教育）专业</w:t>
      </w:r>
    </w:p>
    <w:p w14:paraId="54968436">
      <w:pPr>
        <w:jc w:val="center"/>
        <w:rPr>
          <w:rFonts w:hint="eastAsia" w:eastAsia="方正小标宋简体"/>
          <w:sz w:val="28"/>
          <w:szCs w:val="28"/>
        </w:rPr>
      </w:pPr>
      <w:r>
        <w:rPr>
          <w:rFonts w:hint="eastAsia" w:eastAsia="方正小标宋简体"/>
          <w:sz w:val="44"/>
          <w:szCs w:val="44"/>
        </w:rPr>
        <w:t>《声乐演唱》课程教学大纲</w:t>
      </w:r>
    </w:p>
    <w:p w14:paraId="3A536895">
      <w:pPr>
        <w:jc w:val="center"/>
        <w:rPr>
          <w:rFonts w:hint="eastAsia" w:eastAsia="方正小标宋简体"/>
          <w:sz w:val="24"/>
          <w:szCs w:val="24"/>
        </w:rPr>
      </w:pPr>
    </w:p>
    <w:tbl>
      <w:tblPr>
        <w:tblStyle w:val="22"/>
        <w:tblW w:w="9148"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28" w:type="dxa"/>
        </w:tblCellMar>
      </w:tblPr>
      <w:tblGrid>
        <w:gridCol w:w="1376"/>
        <w:gridCol w:w="1174"/>
        <w:gridCol w:w="7"/>
        <w:gridCol w:w="1195"/>
        <w:gridCol w:w="1493"/>
        <w:gridCol w:w="113"/>
        <w:gridCol w:w="297"/>
        <w:gridCol w:w="1130"/>
        <w:gridCol w:w="286"/>
        <w:gridCol w:w="589"/>
        <w:gridCol w:w="564"/>
        <w:gridCol w:w="335"/>
        <w:gridCol w:w="589"/>
      </w:tblGrid>
      <w:tr w14:paraId="6ADF83B7">
        <w:trPr>
          <w:trHeight w:val="454" w:hRule="atLeast"/>
        </w:trPr>
        <w:tc>
          <w:tcPr>
            <w:tcW w:w="1376" w:type="dxa"/>
            <w:vAlign w:val="center"/>
          </w:tcPr>
          <w:p w14:paraId="061F1E3B">
            <w:pPr>
              <w:numPr>
                <w:ilvl w:val="0"/>
                <w:numId w:val="30"/>
              </w:numPr>
              <w:jc w:val="center"/>
              <w:rPr>
                <w:rFonts w:hint="eastAsia" w:ascii="仿宋" w:hAnsi="仿宋" w:eastAsia="仿宋" w:cs="仿宋"/>
                <w:sz w:val="24"/>
                <w:szCs w:val="24"/>
              </w:rPr>
            </w:pPr>
            <w:r>
              <w:rPr>
                <w:rFonts w:hint="eastAsia" w:ascii="仿宋" w:hAnsi="仿宋" w:eastAsia="仿宋" w:cs="仿宋"/>
                <w:sz w:val="24"/>
                <w:szCs w:val="24"/>
              </w:rPr>
              <w:t>课程名称</w:t>
            </w:r>
          </w:p>
        </w:tc>
        <w:tc>
          <w:tcPr>
            <w:tcW w:w="3982" w:type="dxa"/>
            <w:gridSpan w:val="5"/>
            <w:vAlign w:val="center"/>
          </w:tcPr>
          <w:p w14:paraId="130A8F6B">
            <w:pPr>
              <w:jc w:val="center"/>
              <w:rPr>
                <w:rFonts w:hint="eastAsia" w:ascii="仿宋" w:hAnsi="仿宋" w:eastAsia="仿宋" w:cs="仿宋"/>
                <w:sz w:val="24"/>
                <w:szCs w:val="24"/>
              </w:rPr>
            </w:pPr>
            <w:r>
              <w:rPr>
                <w:rFonts w:hint="eastAsia" w:ascii="仿宋" w:hAnsi="仿宋" w:eastAsia="仿宋" w:cs="仿宋"/>
                <w:sz w:val="24"/>
                <w:szCs w:val="24"/>
              </w:rPr>
              <w:t>《声乐演唱》</w:t>
            </w:r>
          </w:p>
        </w:tc>
        <w:tc>
          <w:tcPr>
            <w:tcW w:w="1427" w:type="dxa"/>
            <w:gridSpan w:val="2"/>
            <w:vAlign w:val="center"/>
          </w:tcPr>
          <w:p w14:paraId="1B9F1472">
            <w:pPr>
              <w:jc w:val="center"/>
              <w:rPr>
                <w:rFonts w:hint="eastAsia" w:ascii="仿宋" w:hAnsi="仿宋" w:eastAsia="仿宋" w:cs="仿宋"/>
                <w:sz w:val="24"/>
                <w:szCs w:val="24"/>
              </w:rPr>
            </w:pPr>
            <w:r>
              <w:rPr>
                <w:rFonts w:hint="eastAsia" w:ascii="仿宋" w:hAnsi="仿宋" w:eastAsia="仿宋" w:cs="仿宋"/>
                <w:sz w:val="24"/>
                <w:szCs w:val="24"/>
              </w:rPr>
              <w:t>课程</w:t>
            </w:r>
          </w:p>
          <w:p w14:paraId="1C341B10">
            <w:pPr>
              <w:jc w:val="center"/>
              <w:rPr>
                <w:rFonts w:hint="eastAsia" w:ascii="仿宋" w:hAnsi="仿宋" w:eastAsia="仿宋" w:cs="仿宋"/>
                <w:sz w:val="24"/>
                <w:szCs w:val="24"/>
              </w:rPr>
            </w:pPr>
            <w:r>
              <w:rPr>
                <w:rFonts w:hint="eastAsia" w:ascii="仿宋" w:hAnsi="仿宋" w:eastAsia="仿宋" w:cs="仿宋"/>
                <w:sz w:val="24"/>
                <w:szCs w:val="24"/>
              </w:rPr>
              <w:t>代码</w:t>
            </w:r>
          </w:p>
        </w:tc>
        <w:tc>
          <w:tcPr>
            <w:tcW w:w="2363" w:type="dxa"/>
            <w:gridSpan w:val="5"/>
            <w:vAlign w:val="center"/>
          </w:tcPr>
          <w:p w14:paraId="5ED47542">
            <w:pPr>
              <w:jc w:val="center"/>
              <w:rPr>
                <w:rFonts w:hint="eastAsia" w:ascii="宋体" w:hAnsi="宋体" w:cs="宋体"/>
                <w:kern w:val="0"/>
                <w:szCs w:val="21"/>
                <w:lang w:bidi="ar"/>
              </w:rPr>
            </w:pPr>
            <w:r>
              <w:rPr>
                <w:rFonts w:hint="eastAsia" w:ascii="宋体" w:hAnsi="宋体" w:cs="宋体"/>
                <w:kern w:val="0"/>
                <w:szCs w:val="21"/>
                <w:lang w:bidi="ar"/>
              </w:rPr>
              <w:t>1213402601</w:t>
            </w:r>
          </w:p>
          <w:p w14:paraId="74088C10">
            <w:pPr>
              <w:jc w:val="center"/>
              <w:rPr>
                <w:rFonts w:hint="eastAsia" w:ascii="宋体" w:hAnsi="宋体" w:cs="宋体"/>
                <w:kern w:val="0"/>
                <w:szCs w:val="21"/>
                <w:lang w:bidi="ar"/>
              </w:rPr>
            </w:pPr>
            <w:r>
              <w:rPr>
                <w:rFonts w:hint="eastAsia" w:ascii="宋体" w:hAnsi="宋体" w:cs="宋体"/>
                <w:kern w:val="0"/>
                <w:szCs w:val="21"/>
                <w:lang w:bidi="ar"/>
              </w:rPr>
              <w:t>1213402602</w:t>
            </w:r>
          </w:p>
          <w:p w14:paraId="5E82942C">
            <w:pPr>
              <w:jc w:val="center"/>
              <w:rPr>
                <w:rFonts w:hint="eastAsia" w:ascii="宋体" w:hAnsi="宋体" w:cs="宋体"/>
                <w:kern w:val="0"/>
                <w:szCs w:val="21"/>
                <w:lang w:bidi="ar"/>
              </w:rPr>
            </w:pPr>
            <w:r>
              <w:rPr>
                <w:rFonts w:hint="eastAsia" w:ascii="宋体" w:hAnsi="宋体" w:cs="宋体"/>
                <w:kern w:val="0"/>
                <w:szCs w:val="21"/>
                <w:lang w:bidi="ar"/>
              </w:rPr>
              <w:t>1213402603</w:t>
            </w:r>
          </w:p>
        </w:tc>
      </w:tr>
      <w:tr w14:paraId="75D0C254">
        <w:trPr>
          <w:trHeight w:val="454" w:hRule="atLeast"/>
        </w:trPr>
        <w:tc>
          <w:tcPr>
            <w:tcW w:w="1376" w:type="dxa"/>
            <w:vAlign w:val="center"/>
          </w:tcPr>
          <w:p w14:paraId="3D80797B">
            <w:pPr>
              <w:jc w:val="center"/>
              <w:rPr>
                <w:rFonts w:hint="eastAsia" w:ascii="仿宋" w:hAnsi="仿宋" w:eastAsia="仿宋" w:cs="仿宋"/>
                <w:sz w:val="24"/>
                <w:szCs w:val="24"/>
              </w:rPr>
            </w:pPr>
            <w:r>
              <w:rPr>
                <w:rFonts w:hint="eastAsia" w:ascii="仿宋" w:hAnsi="仿宋" w:eastAsia="仿宋" w:cs="仿宋"/>
                <w:sz w:val="24"/>
                <w:szCs w:val="24"/>
              </w:rPr>
              <w:t>课程类型</w:t>
            </w:r>
          </w:p>
        </w:tc>
        <w:tc>
          <w:tcPr>
            <w:tcW w:w="7772" w:type="dxa"/>
            <w:gridSpan w:val="12"/>
            <w:vAlign w:val="center"/>
          </w:tcPr>
          <w:p w14:paraId="1A495D3A">
            <w:pPr>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通识必修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通识选修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专业必修 </w:t>
            </w:r>
          </w:p>
          <w:p w14:paraId="6DEC84F0">
            <w:pPr>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专业选修</w:t>
            </w:r>
            <w:r>
              <w:rPr>
                <w:rFonts w:hint="eastAsia" w:ascii="仿宋" w:hAnsi="仿宋" w:eastAsia="仿宋" w:cs="仿宋"/>
                <w:sz w:val="24"/>
                <w:szCs w:val="24"/>
                <w:lang w:eastAsia="zh-TW"/>
              </w:rPr>
              <w:t xml:space="preserve">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教师教育必修 </w:t>
            </w:r>
            <w:r>
              <w:rPr>
                <w:rFonts w:hint="eastAsia" w:ascii="仿宋" w:hAnsi="仿宋" w:eastAsia="仿宋" w:cs="仿宋"/>
                <w:sz w:val="24"/>
                <w:szCs w:val="24"/>
              </w:rPr>
              <w:sym w:font="Wingdings" w:char="00A8"/>
            </w:r>
            <w:r>
              <w:rPr>
                <w:rFonts w:hint="eastAsia" w:ascii="仿宋" w:hAnsi="仿宋" w:eastAsia="仿宋" w:cs="仿宋"/>
                <w:sz w:val="24"/>
                <w:szCs w:val="24"/>
              </w:rPr>
              <w:t>教师教育选修</w:t>
            </w:r>
          </w:p>
        </w:tc>
      </w:tr>
      <w:tr w14:paraId="05374203">
        <w:trPr>
          <w:trHeight w:val="406" w:hRule="atLeast"/>
        </w:trPr>
        <w:tc>
          <w:tcPr>
            <w:tcW w:w="1376" w:type="dxa"/>
            <w:vAlign w:val="center"/>
          </w:tcPr>
          <w:p w14:paraId="0600177A">
            <w:pPr>
              <w:jc w:val="center"/>
              <w:rPr>
                <w:rFonts w:hint="eastAsia" w:ascii="仿宋" w:hAnsi="仿宋" w:eastAsia="仿宋" w:cs="仿宋"/>
                <w:sz w:val="24"/>
                <w:szCs w:val="24"/>
              </w:rPr>
            </w:pPr>
            <w:r>
              <w:rPr>
                <w:rFonts w:hint="eastAsia" w:ascii="仿宋" w:hAnsi="仿宋" w:eastAsia="仿宋" w:cs="仿宋"/>
                <w:sz w:val="24"/>
                <w:szCs w:val="24"/>
              </w:rPr>
              <w:t>开课学期</w:t>
            </w:r>
          </w:p>
        </w:tc>
        <w:tc>
          <w:tcPr>
            <w:tcW w:w="1174" w:type="dxa"/>
            <w:vAlign w:val="center"/>
          </w:tcPr>
          <w:p w14:paraId="32D27924">
            <w:pPr>
              <w:jc w:val="center"/>
              <w:rPr>
                <w:rFonts w:hint="eastAsia" w:ascii="仿宋" w:hAnsi="仿宋" w:eastAsia="仿宋" w:cs="仿宋"/>
                <w:sz w:val="24"/>
                <w:szCs w:val="24"/>
              </w:rPr>
            </w:pPr>
            <w:r>
              <w:rPr>
                <w:rFonts w:hint="eastAsia" w:ascii="仿宋" w:hAnsi="仿宋" w:eastAsia="仿宋" w:cs="仿宋"/>
                <w:sz w:val="24"/>
                <w:szCs w:val="24"/>
              </w:rPr>
              <w:t>5.6.8</w:t>
            </w:r>
          </w:p>
        </w:tc>
        <w:tc>
          <w:tcPr>
            <w:tcW w:w="1202" w:type="dxa"/>
            <w:gridSpan w:val="2"/>
            <w:vAlign w:val="center"/>
          </w:tcPr>
          <w:p w14:paraId="63EA52B6">
            <w:pPr>
              <w:jc w:val="center"/>
              <w:rPr>
                <w:rFonts w:hint="eastAsia" w:ascii="仿宋" w:hAnsi="仿宋" w:eastAsia="仿宋" w:cs="仿宋"/>
                <w:sz w:val="24"/>
                <w:szCs w:val="24"/>
              </w:rPr>
            </w:pPr>
            <w:r>
              <w:rPr>
                <w:rFonts w:hint="eastAsia" w:ascii="仿宋" w:hAnsi="仿宋" w:eastAsia="仿宋" w:cs="仿宋"/>
                <w:sz w:val="24"/>
                <w:szCs w:val="24"/>
              </w:rPr>
              <w:t>学分</w:t>
            </w:r>
          </w:p>
        </w:tc>
        <w:tc>
          <w:tcPr>
            <w:tcW w:w="1606" w:type="dxa"/>
            <w:gridSpan w:val="2"/>
            <w:vAlign w:val="center"/>
          </w:tcPr>
          <w:p w14:paraId="3DAF1656">
            <w:pPr>
              <w:jc w:val="center"/>
              <w:rPr>
                <w:rFonts w:hint="eastAsia" w:ascii="仿宋" w:hAnsi="仿宋" w:eastAsia="仿宋" w:cs="仿宋"/>
                <w:sz w:val="24"/>
                <w:szCs w:val="24"/>
              </w:rPr>
            </w:pPr>
            <w:r>
              <w:rPr>
                <w:rFonts w:hint="eastAsia" w:ascii="仿宋" w:hAnsi="仿宋" w:eastAsia="仿宋" w:cs="仿宋"/>
                <w:sz w:val="24"/>
                <w:szCs w:val="24"/>
              </w:rPr>
              <w:t xml:space="preserve">3 </w:t>
            </w:r>
          </w:p>
        </w:tc>
        <w:tc>
          <w:tcPr>
            <w:tcW w:w="1427" w:type="dxa"/>
            <w:gridSpan w:val="2"/>
            <w:vAlign w:val="center"/>
          </w:tcPr>
          <w:p w14:paraId="1F7F1809">
            <w:pPr>
              <w:jc w:val="center"/>
              <w:rPr>
                <w:rFonts w:hint="eastAsia" w:ascii="仿宋" w:hAnsi="仿宋" w:eastAsia="仿宋" w:cs="仿宋"/>
                <w:sz w:val="24"/>
                <w:szCs w:val="24"/>
              </w:rPr>
            </w:pPr>
            <w:r>
              <w:rPr>
                <w:rFonts w:hint="eastAsia" w:ascii="仿宋" w:hAnsi="仿宋" w:eastAsia="仿宋" w:cs="仿宋"/>
                <w:sz w:val="24"/>
                <w:szCs w:val="24"/>
              </w:rPr>
              <w:t>课程负责人</w:t>
            </w:r>
          </w:p>
        </w:tc>
        <w:tc>
          <w:tcPr>
            <w:tcW w:w="2363" w:type="dxa"/>
            <w:gridSpan w:val="5"/>
            <w:vAlign w:val="center"/>
          </w:tcPr>
          <w:p w14:paraId="06B98657">
            <w:pPr>
              <w:jc w:val="center"/>
              <w:rPr>
                <w:rFonts w:ascii="仿宋" w:hAnsi="仿宋" w:eastAsia="仿宋" w:cs="仿宋"/>
                <w:sz w:val="24"/>
                <w:szCs w:val="24"/>
                <w:lang w:val="en-US" w:eastAsia="zh-CN"/>
              </w:rPr>
            </w:pPr>
            <w:r>
              <w:rPr>
                <w:rFonts w:hint="eastAsia" w:ascii="仿宋" w:hAnsi="仿宋" w:eastAsia="仿宋" w:cs="仿宋"/>
                <w:sz w:val="24"/>
                <w:szCs w:val="24"/>
                <w:lang w:val="en-US" w:eastAsia="zh-CN"/>
              </w:rPr>
              <w:t>吴碧玲</w:t>
            </w:r>
          </w:p>
        </w:tc>
      </w:tr>
      <w:tr w14:paraId="645B9E38">
        <w:trPr>
          <w:trHeight w:val="485" w:hRule="atLeast"/>
        </w:trPr>
        <w:tc>
          <w:tcPr>
            <w:tcW w:w="1376" w:type="dxa"/>
            <w:vAlign w:val="center"/>
          </w:tcPr>
          <w:p w14:paraId="6B17A978">
            <w:pPr>
              <w:jc w:val="center"/>
              <w:rPr>
                <w:rFonts w:hint="eastAsia" w:ascii="仿宋" w:hAnsi="仿宋" w:eastAsia="仿宋" w:cs="仿宋"/>
                <w:sz w:val="24"/>
                <w:szCs w:val="24"/>
              </w:rPr>
            </w:pPr>
            <w:r>
              <w:rPr>
                <w:rFonts w:hint="eastAsia" w:ascii="仿宋" w:hAnsi="仿宋" w:eastAsia="仿宋" w:cs="仿宋"/>
                <w:sz w:val="24"/>
                <w:szCs w:val="24"/>
              </w:rPr>
              <w:t>总学时</w:t>
            </w:r>
          </w:p>
        </w:tc>
        <w:tc>
          <w:tcPr>
            <w:tcW w:w="1174" w:type="dxa"/>
            <w:vAlign w:val="center"/>
          </w:tcPr>
          <w:p w14:paraId="14DFE3DD">
            <w:pPr>
              <w:jc w:val="center"/>
              <w:rPr>
                <w:rFonts w:ascii="仿宋" w:hAnsi="仿宋" w:eastAsia="仿宋" w:cs="仿宋"/>
                <w:sz w:val="24"/>
                <w:szCs w:val="24"/>
              </w:rPr>
            </w:pPr>
            <w:r>
              <w:rPr>
                <w:rFonts w:hint="eastAsia" w:ascii="仿宋" w:hAnsi="仿宋" w:eastAsia="仿宋" w:cs="仿宋"/>
                <w:sz w:val="24"/>
                <w:szCs w:val="24"/>
              </w:rPr>
              <w:t>48</w:t>
            </w:r>
          </w:p>
        </w:tc>
        <w:tc>
          <w:tcPr>
            <w:tcW w:w="1202" w:type="dxa"/>
            <w:gridSpan w:val="2"/>
            <w:vAlign w:val="center"/>
          </w:tcPr>
          <w:p w14:paraId="35B0D448">
            <w:pPr>
              <w:jc w:val="center"/>
              <w:rPr>
                <w:rFonts w:hint="eastAsia" w:ascii="仿宋" w:hAnsi="仿宋" w:eastAsia="仿宋" w:cs="仿宋"/>
                <w:sz w:val="24"/>
                <w:szCs w:val="24"/>
              </w:rPr>
            </w:pPr>
            <w:r>
              <w:rPr>
                <w:rFonts w:hint="eastAsia" w:ascii="仿宋" w:hAnsi="仿宋" w:eastAsia="仿宋" w:cs="仿宋"/>
                <w:sz w:val="24"/>
                <w:szCs w:val="24"/>
              </w:rPr>
              <w:t>理论学时</w:t>
            </w:r>
          </w:p>
        </w:tc>
        <w:tc>
          <w:tcPr>
            <w:tcW w:w="1606" w:type="dxa"/>
            <w:gridSpan w:val="2"/>
            <w:vAlign w:val="center"/>
          </w:tcPr>
          <w:p w14:paraId="753DC0D1">
            <w:pPr>
              <w:jc w:val="center"/>
              <w:rPr>
                <w:rFonts w:ascii="仿宋" w:hAnsi="仿宋" w:eastAsia="仿宋" w:cs="仿宋"/>
                <w:sz w:val="24"/>
                <w:szCs w:val="24"/>
              </w:rPr>
            </w:pPr>
            <w:r>
              <w:rPr>
                <w:rFonts w:hint="eastAsia" w:ascii="仿宋" w:hAnsi="仿宋" w:eastAsia="仿宋" w:cs="仿宋"/>
                <w:sz w:val="24"/>
                <w:szCs w:val="24"/>
              </w:rPr>
              <w:t>0</w:t>
            </w:r>
          </w:p>
        </w:tc>
        <w:tc>
          <w:tcPr>
            <w:tcW w:w="1427" w:type="dxa"/>
            <w:gridSpan w:val="2"/>
            <w:tcBorders>
              <w:right w:val="single" w:color="000000" w:sz="4" w:space="0"/>
            </w:tcBorders>
            <w:vAlign w:val="center"/>
          </w:tcPr>
          <w:p w14:paraId="7EF38265">
            <w:pPr>
              <w:jc w:val="center"/>
              <w:rPr>
                <w:rFonts w:hint="eastAsia" w:ascii="仿宋" w:hAnsi="仿宋" w:eastAsia="仿宋" w:cs="仿宋"/>
                <w:sz w:val="24"/>
                <w:szCs w:val="24"/>
              </w:rPr>
            </w:pPr>
            <w:r>
              <w:rPr>
                <w:rFonts w:hint="eastAsia" w:ascii="仿宋" w:hAnsi="仿宋" w:eastAsia="仿宋" w:cs="仿宋"/>
                <w:sz w:val="24"/>
                <w:szCs w:val="24"/>
              </w:rPr>
              <w:t>实践学时</w:t>
            </w:r>
          </w:p>
        </w:tc>
        <w:tc>
          <w:tcPr>
            <w:tcW w:w="2363" w:type="dxa"/>
            <w:gridSpan w:val="5"/>
            <w:tcBorders>
              <w:left w:val="single" w:color="000000" w:sz="4" w:space="0"/>
            </w:tcBorders>
            <w:vAlign w:val="center"/>
          </w:tcPr>
          <w:p w14:paraId="220013DD">
            <w:pPr>
              <w:jc w:val="center"/>
              <w:rPr>
                <w:rFonts w:ascii="仿宋" w:hAnsi="仿宋" w:eastAsia="仿宋" w:cs="仿宋"/>
                <w:sz w:val="24"/>
                <w:szCs w:val="24"/>
              </w:rPr>
            </w:pPr>
            <w:r>
              <w:rPr>
                <w:rFonts w:hint="eastAsia" w:ascii="仿宋" w:hAnsi="仿宋" w:eastAsia="仿宋" w:cs="仿宋"/>
                <w:sz w:val="24"/>
                <w:szCs w:val="24"/>
              </w:rPr>
              <w:t>48</w:t>
            </w:r>
          </w:p>
        </w:tc>
      </w:tr>
      <w:tr w14:paraId="1DE473C1">
        <w:trPr>
          <w:trHeight w:val="454" w:hRule="atLeast"/>
        </w:trPr>
        <w:tc>
          <w:tcPr>
            <w:tcW w:w="1376" w:type="dxa"/>
            <w:vAlign w:val="center"/>
          </w:tcPr>
          <w:p w14:paraId="0D926B42">
            <w:pPr>
              <w:jc w:val="center"/>
              <w:rPr>
                <w:rFonts w:hint="eastAsia" w:ascii="仿宋" w:hAnsi="仿宋" w:eastAsia="仿宋" w:cs="仿宋"/>
                <w:sz w:val="24"/>
                <w:szCs w:val="24"/>
              </w:rPr>
            </w:pPr>
            <w:r>
              <w:rPr>
                <w:rFonts w:hint="eastAsia" w:ascii="仿宋" w:hAnsi="仿宋" w:eastAsia="仿宋" w:cs="仿宋"/>
                <w:sz w:val="24"/>
                <w:szCs w:val="24"/>
              </w:rPr>
              <w:t>先修课程与后续课程</w:t>
            </w:r>
          </w:p>
        </w:tc>
        <w:tc>
          <w:tcPr>
            <w:tcW w:w="7772" w:type="dxa"/>
            <w:gridSpan w:val="12"/>
            <w:vAlign w:val="center"/>
          </w:tcPr>
          <w:p w14:paraId="031C9FE7">
            <w:pPr>
              <w:tabs>
                <w:tab w:val="left" w:pos="720"/>
              </w:tabs>
              <w:jc w:val="left"/>
              <w:rPr>
                <w:rFonts w:hint="eastAsia" w:ascii="仿宋" w:hAnsi="仿宋" w:eastAsia="仿宋" w:cs="仿宋"/>
                <w:sz w:val="24"/>
                <w:szCs w:val="24"/>
              </w:rPr>
            </w:pPr>
            <w:r>
              <w:rPr>
                <w:rFonts w:hint="eastAsia" w:ascii="仿宋" w:hAnsi="仿宋" w:eastAsia="仿宋" w:cs="仿宋"/>
                <w:sz w:val="24"/>
                <w:szCs w:val="24"/>
              </w:rPr>
              <w:t>先修课程：乐理、视唱练耳、声乐基础、意大利语等</w:t>
            </w:r>
          </w:p>
          <w:p w14:paraId="0F1E9B09">
            <w:pPr>
              <w:tabs>
                <w:tab w:val="left" w:pos="720"/>
              </w:tabs>
              <w:jc w:val="left"/>
              <w:rPr>
                <w:rFonts w:hint="eastAsia" w:ascii="仿宋" w:hAnsi="仿宋" w:eastAsia="仿宋" w:cs="仿宋"/>
                <w:sz w:val="24"/>
                <w:szCs w:val="24"/>
              </w:rPr>
            </w:pPr>
            <w:r>
              <w:rPr>
                <w:rFonts w:hint="eastAsia" w:ascii="仿宋" w:hAnsi="仿宋" w:eastAsia="仿宋" w:cs="仿宋"/>
                <w:sz w:val="24"/>
                <w:szCs w:val="24"/>
              </w:rPr>
              <w:t>后续课程：重唱与表演唱、和音、舞台表演、戏曲鉴赏等</w:t>
            </w:r>
          </w:p>
        </w:tc>
      </w:tr>
      <w:tr w14:paraId="1D2B66B1">
        <w:trPr>
          <w:trHeight w:val="454" w:hRule="atLeast"/>
        </w:trPr>
        <w:tc>
          <w:tcPr>
            <w:tcW w:w="1376" w:type="dxa"/>
            <w:vAlign w:val="center"/>
          </w:tcPr>
          <w:p w14:paraId="65001F9E">
            <w:pPr>
              <w:jc w:val="center"/>
              <w:rPr>
                <w:rFonts w:hint="eastAsia" w:ascii="仿宋" w:hAnsi="仿宋" w:eastAsia="仿宋" w:cs="仿宋"/>
                <w:sz w:val="24"/>
                <w:szCs w:val="24"/>
              </w:rPr>
            </w:pPr>
            <w:r>
              <w:rPr>
                <w:rFonts w:hint="eastAsia" w:ascii="仿宋" w:hAnsi="仿宋" w:eastAsia="仿宋" w:cs="仿宋"/>
                <w:sz w:val="24"/>
                <w:szCs w:val="24"/>
              </w:rPr>
              <w:t>适用专业</w:t>
            </w:r>
          </w:p>
        </w:tc>
        <w:tc>
          <w:tcPr>
            <w:tcW w:w="7772" w:type="dxa"/>
            <w:gridSpan w:val="12"/>
            <w:vAlign w:val="center"/>
          </w:tcPr>
          <w:p w14:paraId="7C1EA66E">
            <w:pPr>
              <w:jc w:val="center"/>
              <w:rPr>
                <w:rFonts w:hint="eastAsia" w:ascii="仿宋" w:hAnsi="仿宋" w:eastAsia="仿宋" w:cs="仿宋"/>
                <w:sz w:val="24"/>
                <w:szCs w:val="24"/>
              </w:rPr>
            </w:pPr>
            <w:r>
              <w:rPr>
                <w:rFonts w:hint="eastAsia" w:ascii="仿宋" w:hAnsi="仿宋" w:eastAsia="仿宋" w:cs="仿宋"/>
                <w:sz w:val="24"/>
                <w:szCs w:val="24"/>
              </w:rPr>
              <w:t>音乐学</w:t>
            </w:r>
          </w:p>
        </w:tc>
      </w:tr>
      <w:tr w14:paraId="1A3A219F">
        <w:tc>
          <w:tcPr>
            <w:tcW w:w="1376" w:type="dxa"/>
            <w:tcBorders>
              <w:bottom w:val="single" w:color="auto" w:sz="4" w:space="0"/>
            </w:tcBorders>
            <w:vAlign w:val="center"/>
          </w:tcPr>
          <w:p w14:paraId="6A54E85B">
            <w:pPr>
              <w:jc w:val="center"/>
              <w:rPr>
                <w:rFonts w:hint="eastAsia" w:ascii="仿宋" w:hAnsi="仿宋" w:eastAsia="仿宋" w:cs="仿宋"/>
                <w:sz w:val="24"/>
                <w:szCs w:val="24"/>
              </w:rPr>
            </w:pPr>
            <w:r>
              <w:rPr>
                <w:rFonts w:hint="eastAsia" w:ascii="仿宋" w:hAnsi="仿宋" w:eastAsia="仿宋" w:cs="仿宋"/>
                <w:sz w:val="24"/>
                <w:szCs w:val="24"/>
              </w:rPr>
              <w:t>A</w:t>
            </w:r>
          </w:p>
          <w:p w14:paraId="0C002EF5">
            <w:pPr>
              <w:jc w:val="center"/>
              <w:rPr>
                <w:rFonts w:hint="eastAsia" w:ascii="仿宋" w:hAnsi="仿宋" w:eastAsia="仿宋" w:cs="仿宋"/>
                <w:sz w:val="24"/>
                <w:szCs w:val="24"/>
              </w:rPr>
            </w:pPr>
            <w:r>
              <w:rPr>
                <w:rFonts w:hint="eastAsia" w:ascii="仿宋" w:hAnsi="仿宋" w:eastAsia="仿宋" w:cs="仿宋"/>
                <w:sz w:val="24"/>
                <w:szCs w:val="24"/>
              </w:rPr>
              <w:t>参考教材</w:t>
            </w:r>
          </w:p>
        </w:tc>
        <w:tc>
          <w:tcPr>
            <w:tcW w:w="7772" w:type="dxa"/>
            <w:gridSpan w:val="12"/>
            <w:tcBorders>
              <w:bottom w:val="single" w:color="auto" w:sz="4" w:space="0"/>
            </w:tcBorders>
            <w:vAlign w:val="center"/>
          </w:tcPr>
          <w:p w14:paraId="5CA55BB0">
            <w:pPr>
              <w:jc w:val="left"/>
              <w:outlineLvl w:val="2"/>
              <w:rPr>
                <w:rFonts w:hint="eastAsia" w:ascii="仿宋" w:hAnsi="仿宋" w:eastAsia="仿宋" w:cs="仿宋"/>
                <w:sz w:val="24"/>
                <w:szCs w:val="24"/>
              </w:rPr>
            </w:pPr>
            <w:r>
              <w:rPr>
                <w:rFonts w:hint="eastAsia" w:ascii="仿宋" w:hAnsi="仿宋" w:eastAsia="仿宋" w:cs="仿宋"/>
                <w:sz w:val="24"/>
                <w:szCs w:val="24"/>
              </w:rPr>
              <w:t>1、《全国高等师范试用教材》，声乐曲选集，共八册， 人民音乐出版社1988年，第一版。</w:t>
            </w:r>
          </w:p>
          <w:p w14:paraId="7EDD522B">
            <w:pPr>
              <w:jc w:val="left"/>
              <w:outlineLvl w:val="2"/>
              <w:rPr>
                <w:rFonts w:hint="eastAsia" w:ascii="仿宋" w:hAnsi="仿宋" w:eastAsia="仿宋" w:cs="仿宋"/>
                <w:sz w:val="24"/>
                <w:szCs w:val="24"/>
              </w:rPr>
            </w:pPr>
            <w:r>
              <w:rPr>
                <w:rFonts w:hint="eastAsia" w:ascii="仿宋" w:hAnsi="仿宋" w:eastAsia="仿宋" w:cs="仿宋"/>
                <w:sz w:val="24"/>
                <w:szCs w:val="24"/>
              </w:rPr>
              <w:t>2、尚家襄，《古典意大利歌曲集》，人民音乐出版社1988年，第一版。</w:t>
            </w:r>
          </w:p>
          <w:p w14:paraId="7ACAC7A1">
            <w:pPr>
              <w:jc w:val="left"/>
              <w:outlineLvl w:val="2"/>
              <w:rPr>
                <w:rFonts w:hint="eastAsia" w:ascii="仿宋" w:hAnsi="仿宋" w:eastAsia="仿宋" w:cs="仿宋"/>
                <w:sz w:val="24"/>
                <w:szCs w:val="24"/>
              </w:rPr>
            </w:pPr>
            <w:r>
              <w:rPr>
                <w:rFonts w:hint="eastAsia" w:ascii="仿宋" w:hAnsi="仿宋" w:eastAsia="仿宋" w:cs="仿宋"/>
                <w:sz w:val="24"/>
                <w:szCs w:val="24"/>
              </w:rPr>
              <w:t>3、胡郁青主编，《中外声乐曲选集》，西南师范大学出版社，2008年第一版。</w:t>
            </w:r>
          </w:p>
        </w:tc>
      </w:tr>
      <w:tr w14:paraId="7DD00F6C">
        <w:tc>
          <w:tcPr>
            <w:tcW w:w="1376" w:type="dxa"/>
            <w:tcBorders>
              <w:bottom w:val="single" w:color="auto" w:sz="4" w:space="0"/>
            </w:tcBorders>
            <w:vAlign w:val="center"/>
          </w:tcPr>
          <w:p w14:paraId="73E5579F">
            <w:pPr>
              <w:jc w:val="center"/>
              <w:rPr>
                <w:rFonts w:hint="eastAsia" w:ascii="仿宋" w:hAnsi="仿宋" w:eastAsia="仿宋" w:cs="仿宋"/>
                <w:sz w:val="24"/>
                <w:szCs w:val="24"/>
              </w:rPr>
            </w:pPr>
            <w:r>
              <w:rPr>
                <w:rFonts w:hint="eastAsia" w:ascii="仿宋" w:hAnsi="仿宋" w:eastAsia="仿宋" w:cs="仿宋"/>
                <w:sz w:val="24"/>
                <w:szCs w:val="24"/>
              </w:rPr>
              <w:t>B</w:t>
            </w:r>
          </w:p>
          <w:p w14:paraId="465DBE30">
            <w:pPr>
              <w:jc w:val="center"/>
              <w:rPr>
                <w:rFonts w:hint="eastAsia" w:ascii="仿宋" w:hAnsi="仿宋" w:eastAsia="仿宋" w:cs="仿宋"/>
                <w:sz w:val="24"/>
                <w:szCs w:val="24"/>
              </w:rPr>
            </w:pPr>
            <w:r>
              <w:rPr>
                <w:rFonts w:hint="eastAsia" w:ascii="仿宋" w:hAnsi="仿宋" w:eastAsia="仿宋" w:cs="仿宋"/>
                <w:sz w:val="24"/>
                <w:szCs w:val="24"/>
              </w:rPr>
              <w:t>主要参考书籍</w:t>
            </w:r>
          </w:p>
        </w:tc>
        <w:tc>
          <w:tcPr>
            <w:tcW w:w="7772" w:type="dxa"/>
            <w:gridSpan w:val="12"/>
            <w:tcBorders>
              <w:bottom w:val="single" w:color="auto" w:sz="4" w:space="0"/>
            </w:tcBorders>
            <w:vAlign w:val="top"/>
          </w:tcPr>
          <w:p w14:paraId="3AADCB50">
            <w:pPr>
              <w:jc w:val="left"/>
              <w:outlineLvl w:val="2"/>
              <w:rPr>
                <w:rFonts w:hint="eastAsia" w:ascii="仿宋" w:hAnsi="仿宋" w:eastAsia="仿宋" w:cs="仿宋"/>
                <w:sz w:val="24"/>
                <w:szCs w:val="24"/>
              </w:rPr>
            </w:pPr>
            <w:r>
              <w:rPr>
                <w:rFonts w:hint="eastAsia" w:ascii="仿宋" w:hAnsi="仿宋" w:eastAsia="仿宋" w:cs="仿宋"/>
                <w:sz w:val="24"/>
                <w:szCs w:val="24"/>
              </w:rPr>
              <w:t>1、邹本初著，《歌唱学--沈湘歌唱学体系研究》，人民音乐出版社2000年第一版。</w:t>
            </w:r>
          </w:p>
          <w:p w14:paraId="5C7D4867">
            <w:pPr>
              <w:jc w:val="left"/>
              <w:outlineLvl w:val="2"/>
              <w:rPr>
                <w:rFonts w:hint="eastAsia" w:ascii="仿宋" w:hAnsi="仿宋" w:eastAsia="仿宋" w:cs="仿宋"/>
                <w:sz w:val="24"/>
                <w:szCs w:val="24"/>
              </w:rPr>
            </w:pPr>
            <w:r>
              <w:rPr>
                <w:rFonts w:hint="eastAsia" w:ascii="仿宋" w:hAnsi="仿宋" w:eastAsia="仿宋" w:cs="仿宋"/>
                <w:sz w:val="24"/>
                <w:szCs w:val="24"/>
              </w:rPr>
              <w:t>2、李晋玮著，《沈湘声乐教学艺术》、人民音乐出版社1998年第一版。</w:t>
            </w:r>
          </w:p>
          <w:p w14:paraId="58CEFF21">
            <w:pPr>
              <w:jc w:val="left"/>
              <w:outlineLvl w:val="2"/>
              <w:rPr>
                <w:rFonts w:hint="eastAsia" w:ascii="仿宋" w:hAnsi="仿宋" w:eastAsia="仿宋" w:cs="仿宋"/>
                <w:sz w:val="24"/>
                <w:szCs w:val="24"/>
              </w:rPr>
            </w:pPr>
            <w:r>
              <w:rPr>
                <w:rFonts w:hint="eastAsia" w:ascii="仿宋" w:hAnsi="仿宋" w:eastAsia="仿宋" w:cs="仿宋"/>
                <w:sz w:val="24"/>
                <w:szCs w:val="24"/>
              </w:rPr>
              <w:t xml:space="preserve">3、管林 著，《中国民族声乐史》，中国文联出版公司，1998年，第一版。 </w:t>
            </w:r>
          </w:p>
          <w:p w14:paraId="0A49196E">
            <w:pPr>
              <w:jc w:val="left"/>
              <w:outlineLvl w:val="2"/>
              <w:rPr>
                <w:rFonts w:hint="eastAsia" w:ascii="仿宋" w:hAnsi="仿宋" w:eastAsia="仿宋" w:cs="仿宋"/>
                <w:sz w:val="24"/>
                <w:szCs w:val="24"/>
              </w:rPr>
            </w:pPr>
            <w:r>
              <w:rPr>
                <w:rFonts w:hint="eastAsia" w:ascii="仿宋" w:hAnsi="仿宋" w:eastAsia="仿宋" w:cs="仿宋"/>
                <w:sz w:val="24"/>
                <w:szCs w:val="24"/>
              </w:rPr>
              <w:t>4、杰罗姆.汉涅斯著，《大歌唱家谈精湛的演唱技巧》，中国青年出版社，1996年第一版。</w:t>
            </w:r>
          </w:p>
          <w:p w14:paraId="5CA8FB43">
            <w:pPr>
              <w:jc w:val="left"/>
              <w:outlineLvl w:val="2"/>
              <w:rPr>
                <w:rFonts w:hint="eastAsia" w:ascii="仿宋" w:hAnsi="仿宋" w:eastAsia="仿宋" w:cs="仿宋"/>
                <w:sz w:val="24"/>
                <w:szCs w:val="24"/>
              </w:rPr>
            </w:pPr>
            <w:r>
              <w:rPr>
                <w:rFonts w:hint="eastAsia" w:ascii="仿宋" w:hAnsi="仿宋" w:eastAsia="仿宋" w:cs="仿宋"/>
                <w:sz w:val="24"/>
                <w:szCs w:val="24"/>
              </w:rPr>
              <w:t>5、王如湘编著，《跟我学唱歌——民族、美声卷》，湖南文艺出版社，2004年新一版。</w:t>
            </w:r>
          </w:p>
          <w:p w14:paraId="296BE0DE">
            <w:pPr>
              <w:jc w:val="left"/>
              <w:outlineLvl w:val="2"/>
              <w:rPr>
                <w:rFonts w:hint="eastAsia" w:ascii="仿宋" w:hAnsi="仿宋" w:eastAsia="仿宋" w:cs="仿宋"/>
                <w:sz w:val="24"/>
                <w:szCs w:val="24"/>
              </w:rPr>
            </w:pPr>
            <w:r>
              <w:rPr>
                <w:rFonts w:hint="eastAsia" w:ascii="仿宋" w:hAnsi="仿宋" w:eastAsia="仿宋" w:cs="仿宋"/>
                <w:sz w:val="24"/>
                <w:szCs w:val="24"/>
              </w:rPr>
              <w:t>6、俞子正，《21世纪声乐教学论》．西师出版社，2000.。</w:t>
            </w:r>
          </w:p>
          <w:p w14:paraId="32F6B88F">
            <w:pPr>
              <w:jc w:val="left"/>
              <w:outlineLvl w:val="2"/>
              <w:rPr>
                <w:rFonts w:hint="eastAsia" w:ascii="仿宋" w:hAnsi="仿宋" w:eastAsia="仿宋" w:cs="仿宋"/>
                <w:sz w:val="24"/>
                <w:szCs w:val="24"/>
              </w:rPr>
            </w:pPr>
            <w:r>
              <w:rPr>
                <w:rFonts w:hint="eastAsia" w:ascii="仿宋" w:hAnsi="仿宋" w:eastAsia="仿宋" w:cs="仿宋"/>
                <w:sz w:val="24"/>
                <w:szCs w:val="24"/>
              </w:rPr>
              <w:t>7、赵震民．《声乐理论与教学》．上海音乐出版社，2002。</w:t>
            </w:r>
          </w:p>
          <w:p w14:paraId="2E1232F9">
            <w:pPr>
              <w:jc w:val="left"/>
              <w:outlineLvl w:val="2"/>
              <w:rPr>
                <w:rFonts w:ascii="仿宋" w:hAnsi="仿宋" w:eastAsia="仿宋" w:cs="仿宋"/>
                <w:sz w:val="24"/>
                <w:szCs w:val="24"/>
              </w:rPr>
            </w:pPr>
            <w:r>
              <w:rPr>
                <w:rFonts w:hint="eastAsia" w:ascii="仿宋" w:hAnsi="仿宋" w:eastAsia="仿宋" w:cs="仿宋"/>
                <w:sz w:val="24"/>
                <w:szCs w:val="24"/>
              </w:rPr>
              <w:t>8、金铁霖主编，《金铁霖声乐教学曲选》，人民音乐出版社2006年第一版等。</w:t>
            </w:r>
          </w:p>
        </w:tc>
      </w:tr>
      <w:tr w14:paraId="4F3CBAF3">
        <w:tc>
          <w:tcPr>
            <w:tcW w:w="1376" w:type="dxa"/>
            <w:tcBorders>
              <w:bottom w:val="single" w:color="auto" w:sz="4" w:space="0"/>
            </w:tcBorders>
            <w:vAlign w:val="center"/>
          </w:tcPr>
          <w:p w14:paraId="293AACC3">
            <w:pPr>
              <w:jc w:val="center"/>
              <w:rPr>
                <w:rFonts w:hint="eastAsia" w:ascii="仿宋" w:hAnsi="仿宋" w:eastAsia="仿宋" w:cs="仿宋"/>
                <w:sz w:val="24"/>
                <w:szCs w:val="24"/>
              </w:rPr>
            </w:pPr>
            <w:r>
              <w:rPr>
                <w:rFonts w:hint="eastAsia" w:ascii="仿宋" w:hAnsi="仿宋" w:eastAsia="仿宋" w:cs="仿宋"/>
                <w:sz w:val="24"/>
                <w:szCs w:val="24"/>
              </w:rPr>
              <w:t>C</w:t>
            </w:r>
          </w:p>
          <w:p w14:paraId="7DBAA456">
            <w:pPr>
              <w:jc w:val="center"/>
              <w:rPr>
                <w:rFonts w:hint="eastAsia" w:ascii="仿宋" w:hAnsi="仿宋" w:eastAsia="仿宋" w:cs="仿宋"/>
                <w:sz w:val="24"/>
                <w:szCs w:val="24"/>
              </w:rPr>
            </w:pPr>
            <w:r>
              <w:rPr>
                <w:rFonts w:hint="eastAsia" w:ascii="仿宋" w:hAnsi="仿宋" w:eastAsia="仿宋" w:cs="仿宋"/>
                <w:sz w:val="24"/>
                <w:szCs w:val="24"/>
              </w:rPr>
              <w:t>线上学习资源</w:t>
            </w:r>
          </w:p>
        </w:tc>
        <w:tc>
          <w:tcPr>
            <w:tcW w:w="7772" w:type="dxa"/>
            <w:gridSpan w:val="12"/>
            <w:tcBorders>
              <w:bottom w:val="single" w:color="auto" w:sz="4" w:space="0"/>
            </w:tcBorders>
            <w:vAlign w:val="center"/>
          </w:tcPr>
          <w:p w14:paraId="25A4F5E7">
            <w:pPr>
              <w:rPr>
                <w:rFonts w:hint="eastAsia" w:ascii="仿宋" w:hAnsi="仿宋" w:eastAsia="仿宋" w:cs="仿宋"/>
                <w:sz w:val="24"/>
                <w:szCs w:val="24"/>
              </w:rPr>
            </w:pPr>
            <w:r>
              <w:rPr>
                <w:rFonts w:hint="eastAsia" w:ascii="仿宋" w:hAnsi="仿宋" w:eastAsia="仿宋" w:cs="仿宋"/>
                <w:sz w:val="24"/>
                <w:szCs w:val="24"/>
              </w:rPr>
              <w:t>1.本课程已经建立超星平台网络课程，同学们依据学校提供的帐号与密码登录课程网站，可查看教学大纲、授课计划、考核方法、课程PPT、教学视频、电子教材、音频、阅读资料、仿真软件、网络文献链接网址等教学资源。</w:t>
            </w:r>
          </w:p>
          <w:p w14:paraId="37F61B73">
            <w:pPr>
              <w:rPr>
                <w:rFonts w:hint="eastAsia" w:ascii="仿宋" w:hAnsi="仿宋" w:eastAsia="仿宋" w:cs="仿宋"/>
                <w:kern w:val="0"/>
                <w:sz w:val="24"/>
                <w:szCs w:val="24"/>
              </w:rPr>
            </w:pPr>
            <w:r>
              <w:rPr>
                <w:rFonts w:hint="eastAsia" w:ascii="仿宋" w:hAnsi="仿宋" w:eastAsia="仿宋" w:cs="仿宋"/>
                <w:kern w:val="0"/>
                <w:sz w:val="24"/>
                <w:szCs w:val="24"/>
              </w:rPr>
              <w:t>2.中国大学MOOC平台、三明学院网络课程平台等。</w:t>
            </w:r>
          </w:p>
        </w:tc>
      </w:tr>
      <w:tr w14:paraId="48217913">
        <w:trPr>
          <w:trHeight w:val="90" w:hRule="atLeast"/>
        </w:trPr>
        <w:tc>
          <w:tcPr>
            <w:tcW w:w="1376" w:type="dxa"/>
            <w:shd w:val="clear" w:color="auto" w:fill="FFFFFF"/>
            <w:vAlign w:val="center"/>
          </w:tcPr>
          <w:p w14:paraId="2CD7BBB5">
            <w:pPr>
              <w:jc w:val="center"/>
              <w:rPr>
                <w:rFonts w:hint="eastAsia" w:ascii="仿宋" w:hAnsi="仿宋" w:eastAsia="仿宋" w:cs="仿宋"/>
                <w:sz w:val="24"/>
                <w:szCs w:val="24"/>
              </w:rPr>
            </w:pPr>
            <w:r>
              <w:rPr>
                <w:rFonts w:hint="eastAsia" w:ascii="仿宋" w:hAnsi="仿宋" w:eastAsia="仿宋" w:cs="仿宋"/>
                <w:sz w:val="24"/>
                <w:szCs w:val="24"/>
              </w:rPr>
              <w:t>D</w:t>
            </w:r>
          </w:p>
          <w:p w14:paraId="66378BE6">
            <w:pPr>
              <w:jc w:val="center"/>
              <w:rPr>
                <w:rFonts w:hint="eastAsia" w:ascii="仿宋" w:hAnsi="仿宋" w:eastAsia="仿宋" w:cs="仿宋"/>
                <w:sz w:val="24"/>
                <w:szCs w:val="24"/>
              </w:rPr>
            </w:pPr>
            <w:r>
              <w:rPr>
                <w:rFonts w:hint="eastAsia" w:ascii="仿宋" w:hAnsi="仿宋" w:eastAsia="仿宋" w:cs="仿宋"/>
                <w:sz w:val="24"/>
                <w:szCs w:val="24"/>
              </w:rPr>
              <w:t xml:space="preserve">课程描述 </w:t>
            </w:r>
          </w:p>
          <w:p w14:paraId="788D76D3">
            <w:pPr>
              <w:jc w:val="center"/>
              <w:rPr>
                <w:rFonts w:hint="eastAsia" w:ascii="仿宋" w:hAnsi="仿宋" w:eastAsia="仿宋" w:cs="仿宋"/>
                <w:sz w:val="24"/>
                <w:szCs w:val="24"/>
              </w:rPr>
            </w:pPr>
            <w:r>
              <w:rPr>
                <w:rFonts w:hint="eastAsia" w:ascii="仿宋" w:hAnsi="仿宋" w:eastAsia="仿宋" w:cs="仿宋"/>
                <w:sz w:val="24"/>
                <w:szCs w:val="24"/>
                <w:lang w:eastAsia="zh-TW"/>
              </w:rPr>
              <w:t>(</w:t>
            </w:r>
            <w:r>
              <w:rPr>
                <w:rFonts w:hint="eastAsia" w:ascii="仿宋" w:hAnsi="仿宋" w:eastAsia="仿宋" w:cs="仿宋"/>
                <w:sz w:val="24"/>
                <w:szCs w:val="24"/>
              </w:rPr>
              <w:t>含</w:t>
            </w:r>
            <w:r>
              <w:rPr>
                <w:rFonts w:hint="eastAsia" w:ascii="仿宋" w:hAnsi="仿宋" w:eastAsia="仿宋" w:cs="仿宋"/>
                <w:sz w:val="24"/>
                <w:szCs w:val="24"/>
                <w:lang w:eastAsia="zh-TW"/>
              </w:rPr>
              <w:t>性质、地位和任务)</w:t>
            </w:r>
          </w:p>
        </w:tc>
        <w:tc>
          <w:tcPr>
            <w:tcW w:w="7772" w:type="dxa"/>
            <w:gridSpan w:val="12"/>
            <w:tcBorders>
              <w:bottom w:val="single" w:color="auto" w:sz="4" w:space="0"/>
            </w:tcBorders>
            <w:shd w:val="clear" w:color="auto" w:fill="FFFFFF"/>
            <w:vAlign w:val="center"/>
          </w:tcPr>
          <w:p w14:paraId="00433A46">
            <w:pPr>
              <w:ind w:right="-334" w:rightChars="-159" w:firstLine="480" w:firstLineChars="200"/>
              <w:jc w:val="left"/>
              <w:outlineLvl w:val="2"/>
              <w:rPr>
                <w:rFonts w:hint="eastAsia" w:ascii="仿宋" w:hAnsi="仿宋" w:eastAsia="仿宋" w:cs="仿宋"/>
                <w:sz w:val="24"/>
                <w:szCs w:val="24"/>
              </w:rPr>
            </w:pPr>
            <w:r>
              <w:rPr>
                <w:rFonts w:hint="eastAsia" w:ascii="仿宋" w:hAnsi="仿宋" w:eastAsia="仿宋" w:cs="仿宋"/>
                <w:sz w:val="24"/>
                <w:szCs w:val="24"/>
              </w:rPr>
              <w:t>本课程为音乐学（师范）专业开设的声乐专业方向课程，是一门提高</w:t>
            </w:r>
          </w:p>
          <w:p w14:paraId="789776BD">
            <w:pPr>
              <w:ind w:right="-334" w:rightChars="-159"/>
              <w:jc w:val="left"/>
              <w:outlineLvl w:val="2"/>
              <w:rPr>
                <w:rFonts w:hint="eastAsia" w:ascii="仿宋" w:hAnsi="仿宋" w:eastAsia="仿宋" w:cs="仿宋"/>
                <w:sz w:val="24"/>
                <w:szCs w:val="24"/>
              </w:rPr>
            </w:pPr>
            <w:r>
              <w:rPr>
                <w:rFonts w:hint="eastAsia" w:ascii="仿宋" w:hAnsi="仿宋" w:eastAsia="仿宋" w:cs="仿宋"/>
                <w:sz w:val="24"/>
                <w:szCs w:val="24"/>
              </w:rPr>
              <w:t>性的教学课程。学生是在经过一、二年级声乐基础课学习的基础上，通过</w:t>
            </w:r>
          </w:p>
          <w:p w14:paraId="5DAD62BA">
            <w:pPr>
              <w:ind w:right="-334" w:rightChars="-159"/>
              <w:jc w:val="left"/>
              <w:outlineLvl w:val="2"/>
              <w:rPr>
                <w:rFonts w:hint="eastAsia" w:ascii="仿宋" w:hAnsi="仿宋" w:eastAsia="仿宋" w:cs="仿宋"/>
                <w:sz w:val="24"/>
                <w:szCs w:val="24"/>
              </w:rPr>
            </w:pPr>
            <w:r>
              <w:rPr>
                <w:rFonts w:hint="eastAsia" w:ascii="仿宋" w:hAnsi="仿宋" w:eastAsia="仿宋" w:cs="仿宋"/>
                <w:sz w:val="24"/>
                <w:szCs w:val="24"/>
              </w:rPr>
              <w:t>了结业考试，达到了规定分数线才入选的。学生须从基础的演唱过渡到更</w:t>
            </w:r>
          </w:p>
          <w:p w14:paraId="47492B38">
            <w:pPr>
              <w:ind w:right="-334" w:rightChars="-159"/>
              <w:jc w:val="left"/>
              <w:outlineLvl w:val="2"/>
              <w:rPr>
                <w:rFonts w:hint="eastAsia" w:ascii="仿宋" w:hAnsi="仿宋" w:eastAsia="仿宋" w:cs="仿宋"/>
                <w:sz w:val="24"/>
                <w:szCs w:val="24"/>
              </w:rPr>
            </w:pPr>
            <w:r>
              <w:rPr>
                <w:rFonts w:hint="eastAsia" w:ascii="仿宋" w:hAnsi="仿宋" w:eastAsia="仿宋" w:cs="仿宋"/>
                <w:sz w:val="24"/>
                <w:szCs w:val="24"/>
              </w:rPr>
              <w:t>高水平的演唱。本课程将从发声的技能技巧、歌曲处理、歌唱的表现力、</w:t>
            </w:r>
          </w:p>
          <w:p w14:paraId="1F2F446E">
            <w:pPr>
              <w:ind w:right="-334" w:rightChars="-159"/>
              <w:jc w:val="left"/>
              <w:outlineLvl w:val="2"/>
              <w:rPr>
                <w:rFonts w:hint="eastAsia" w:ascii="仿宋" w:hAnsi="仿宋" w:eastAsia="仿宋" w:cs="仿宋"/>
                <w:sz w:val="24"/>
                <w:szCs w:val="24"/>
              </w:rPr>
            </w:pPr>
            <w:r>
              <w:rPr>
                <w:rFonts w:hint="eastAsia" w:ascii="仿宋" w:hAnsi="仿宋" w:eastAsia="仿宋" w:cs="仿宋"/>
                <w:sz w:val="24"/>
                <w:szCs w:val="24"/>
              </w:rPr>
              <w:t>舞台的实践能力等方面对学生提出更高的要求。学生必须在较熟练地掌握</w:t>
            </w:r>
          </w:p>
          <w:p w14:paraId="33ACC512">
            <w:pPr>
              <w:ind w:right="-334" w:rightChars="-159"/>
              <w:jc w:val="left"/>
              <w:outlineLvl w:val="2"/>
              <w:rPr>
                <w:rFonts w:hint="eastAsia" w:ascii="仿宋" w:hAnsi="仿宋" w:eastAsia="仿宋" w:cs="仿宋"/>
                <w:sz w:val="24"/>
                <w:szCs w:val="24"/>
              </w:rPr>
            </w:pPr>
            <w:r>
              <w:rPr>
                <w:rFonts w:hint="eastAsia" w:ascii="仿宋" w:hAnsi="仿宋" w:eastAsia="仿宋" w:cs="仿宋"/>
                <w:sz w:val="24"/>
                <w:szCs w:val="24"/>
              </w:rPr>
              <w:t>声乐基础理论的技能技巧的基础上，演唱难度较大、风格多样的典范声乐作品，并能较好地表现作品，初步形成自己的演唱风格。本课程旨在培养具备声</w:t>
            </w:r>
          </w:p>
          <w:p w14:paraId="26C97358">
            <w:pPr>
              <w:ind w:right="-334" w:rightChars="-159"/>
              <w:jc w:val="left"/>
              <w:outlineLvl w:val="2"/>
              <w:rPr>
                <w:rFonts w:hint="eastAsia" w:ascii="仿宋" w:hAnsi="仿宋" w:eastAsia="仿宋" w:cs="仿宋"/>
                <w:sz w:val="24"/>
                <w:szCs w:val="24"/>
              </w:rPr>
            </w:pPr>
            <w:r>
              <w:rPr>
                <w:rFonts w:hint="eastAsia" w:ascii="仿宋" w:hAnsi="仿宋" w:eastAsia="仿宋" w:cs="仿宋"/>
                <w:sz w:val="24"/>
                <w:szCs w:val="24"/>
              </w:rPr>
              <w:t>乐演唱与教学能力的复合型人才，其过程中更加注重:</w:t>
            </w:r>
          </w:p>
          <w:p w14:paraId="69936517">
            <w:pPr>
              <w:widowControl/>
              <w:jc w:val="left"/>
              <w:outlineLvl w:val="2"/>
              <w:rPr>
                <w:rFonts w:hint="eastAsia" w:ascii="仿宋" w:hAnsi="仿宋" w:eastAsia="仿宋" w:cs="仿宋"/>
                <w:sz w:val="24"/>
                <w:szCs w:val="24"/>
              </w:rPr>
            </w:pPr>
            <w:r>
              <w:rPr>
                <w:rFonts w:hint="eastAsia" w:ascii="仿宋" w:hAnsi="仿宋" w:eastAsia="仿宋" w:cs="仿宋"/>
                <w:sz w:val="24"/>
                <w:szCs w:val="24"/>
              </w:rPr>
              <w:t>1.与党的教育方针一致，努力培养为地方音乐教育事业发力的青年；</w:t>
            </w:r>
          </w:p>
          <w:p w14:paraId="3BAEE7F4">
            <w:pPr>
              <w:ind w:right="-334" w:rightChars="-159"/>
              <w:jc w:val="left"/>
              <w:outlineLvl w:val="2"/>
              <w:rPr>
                <w:rFonts w:ascii="仿宋" w:hAnsi="仿宋" w:eastAsia="仿宋" w:cs="仿宋"/>
                <w:sz w:val="24"/>
                <w:szCs w:val="24"/>
              </w:rPr>
            </w:pPr>
            <w:r>
              <w:rPr>
                <w:rFonts w:hint="eastAsia" w:ascii="仿宋" w:hAnsi="仿宋" w:eastAsia="仿宋" w:cs="仿宋"/>
                <w:sz w:val="24"/>
                <w:szCs w:val="24"/>
              </w:rPr>
              <w:t>2.加强对民族传统文化的引导深入，让学生提升文化自信。</w:t>
            </w:r>
          </w:p>
        </w:tc>
      </w:tr>
      <w:tr w14:paraId="4F39871B">
        <w:trPr>
          <w:trHeight w:val="3071" w:hRule="atLeast"/>
        </w:trPr>
        <w:tc>
          <w:tcPr>
            <w:tcW w:w="1376" w:type="dxa"/>
            <w:vMerge w:val="restart"/>
            <w:shd w:val="clear" w:color="auto" w:fill="FFFFFF"/>
            <w:vAlign w:val="center"/>
          </w:tcPr>
          <w:p w14:paraId="30AE7726">
            <w:pPr>
              <w:jc w:val="center"/>
              <w:rPr>
                <w:rFonts w:hint="eastAsia" w:ascii="仿宋" w:hAnsi="仿宋" w:eastAsia="仿宋" w:cs="仿宋"/>
                <w:sz w:val="24"/>
                <w:szCs w:val="24"/>
              </w:rPr>
            </w:pPr>
            <w:r>
              <w:rPr>
                <w:rFonts w:hint="eastAsia" w:ascii="仿宋" w:hAnsi="仿宋" w:eastAsia="仿宋" w:cs="仿宋"/>
                <w:sz w:val="24"/>
                <w:szCs w:val="24"/>
              </w:rPr>
              <w:t>E</w:t>
            </w:r>
          </w:p>
          <w:p w14:paraId="7280BE4F">
            <w:pPr>
              <w:jc w:val="center"/>
              <w:rPr>
                <w:rFonts w:hint="eastAsia" w:ascii="仿宋" w:hAnsi="仿宋" w:eastAsia="仿宋" w:cs="仿宋"/>
                <w:sz w:val="24"/>
                <w:szCs w:val="24"/>
              </w:rPr>
            </w:pPr>
            <w:r>
              <w:rPr>
                <w:rFonts w:hint="eastAsia" w:ascii="仿宋" w:hAnsi="仿宋" w:eastAsia="仿宋" w:cs="仿宋"/>
                <w:sz w:val="24"/>
                <w:szCs w:val="24"/>
              </w:rPr>
              <w:t>课程学习目标及其与毕业要求的对应关系</w:t>
            </w:r>
          </w:p>
        </w:tc>
        <w:tc>
          <w:tcPr>
            <w:tcW w:w="7772" w:type="dxa"/>
            <w:gridSpan w:val="12"/>
            <w:tcBorders>
              <w:bottom w:val="single" w:color="auto" w:sz="4" w:space="0"/>
            </w:tcBorders>
            <w:shd w:val="clear" w:color="auto" w:fill="FFFFFF"/>
            <w:vAlign w:val="center"/>
          </w:tcPr>
          <w:p w14:paraId="1BDB12AE">
            <w:pPr>
              <w:jc w:val="left"/>
              <w:rPr>
                <w:rFonts w:hint="eastAsia" w:ascii="仿宋" w:hAnsi="仿宋" w:eastAsia="仿宋" w:cs="仿宋"/>
                <w:sz w:val="24"/>
                <w:szCs w:val="24"/>
              </w:rPr>
            </w:pPr>
            <w:r>
              <w:rPr>
                <w:rFonts w:hint="eastAsia" w:ascii="仿宋" w:hAnsi="仿宋" w:eastAsia="仿宋" w:cs="仿宋"/>
                <w:sz w:val="24"/>
                <w:szCs w:val="24"/>
              </w:rPr>
              <w:t>通过本课程的学习，学生具备如下知识、能力及情感态度价值观：</w:t>
            </w:r>
          </w:p>
          <w:p w14:paraId="4C323C6D">
            <w:pPr>
              <w:rPr>
                <w:rFonts w:ascii="仿宋" w:hAnsi="仿宋" w:eastAsia="仿宋"/>
                <w:sz w:val="24"/>
                <w:szCs w:val="24"/>
              </w:rPr>
            </w:pPr>
            <w:r>
              <w:rPr>
                <w:rFonts w:hint="eastAsia" w:ascii="仿宋" w:hAnsi="仿宋" w:eastAsia="仿宋" w:cs="仿宋"/>
                <w:b/>
                <w:bCs/>
                <w:sz w:val="24"/>
                <w:szCs w:val="24"/>
              </w:rPr>
              <w:t>课程目标1：</w:t>
            </w:r>
            <w:r>
              <w:rPr>
                <w:rFonts w:hint="eastAsia" w:ascii="仿宋" w:hAnsi="仿宋" w:eastAsia="仿宋"/>
                <w:sz w:val="24"/>
                <w:szCs w:val="24"/>
              </w:rPr>
              <w:t>领会立德树人的理念，</w:t>
            </w:r>
            <w:r>
              <w:rPr>
                <w:rStyle w:val="143"/>
                <w:rFonts w:hint="eastAsia" w:ascii="仿宋" w:hAnsi="仿宋" w:eastAsia="仿宋"/>
                <w:sz w:val="24"/>
                <w:szCs w:val="24"/>
              </w:rPr>
              <w:t>掌握立德树人的途径与方法，</w:t>
            </w:r>
            <w:r>
              <w:rPr>
                <w:rFonts w:hint="eastAsia" w:ascii="仿宋" w:hAnsi="仿宋" w:eastAsia="仿宋"/>
                <w:sz w:val="24"/>
                <w:szCs w:val="24"/>
              </w:rPr>
              <w:t>能践行社会主义核心价值观，贯彻党的教育方针，遵守中小学教师职业道德规范。（支撑毕业要求 1.2）</w:t>
            </w:r>
            <w:r>
              <w:rPr>
                <w:rStyle w:val="143"/>
                <w:rFonts w:hint="eastAsia" w:ascii="仿宋" w:hAnsi="仿宋" w:eastAsia="仿宋"/>
                <w:sz w:val="24"/>
                <w:szCs w:val="24"/>
              </w:rPr>
              <w:t>热爱音乐教育事业，具有从教意愿，认同教师工作的价值和意义，理解教师是学生学习的促进者与学生成长的引路人。</w:t>
            </w:r>
            <w:r>
              <w:rPr>
                <w:rFonts w:hint="eastAsia" w:ascii="仿宋" w:hAnsi="仿宋" w:eastAsia="仿宋"/>
                <w:sz w:val="24"/>
                <w:szCs w:val="24"/>
              </w:rPr>
              <w:t>具有正确的教育观、学生观、教师观、课程观、教学观。（支撑毕业要求 2.1）</w:t>
            </w:r>
          </w:p>
          <w:p w14:paraId="4C247348">
            <w:pPr>
              <w:rPr>
                <w:rFonts w:ascii="仿宋" w:hAnsi="仿宋" w:eastAsia="仿宋" w:cs="仿宋"/>
                <w:b/>
                <w:sz w:val="24"/>
                <w:szCs w:val="24"/>
              </w:rPr>
            </w:pPr>
            <w:r>
              <w:rPr>
                <w:rFonts w:hint="eastAsia" w:ascii="仿宋" w:hAnsi="仿宋" w:eastAsia="仿宋" w:cs="仿宋"/>
                <w:b/>
                <w:bCs/>
                <w:sz w:val="24"/>
                <w:szCs w:val="24"/>
              </w:rPr>
              <w:t>课程目标2：</w:t>
            </w:r>
            <w:r>
              <w:rPr>
                <w:rFonts w:hint="eastAsia" w:ascii="仿宋" w:hAnsi="仿宋" w:eastAsia="仿宋" w:cs="仿宋"/>
                <w:sz w:val="24"/>
                <w:szCs w:val="24"/>
              </w:rPr>
              <w:t>领会并熟练掌握声乐基本原理与演唱形式，掌握不同声部演唱的音域及音色差异，演唱一定数量的声乐作品，</w:t>
            </w:r>
            <w:r>
              <w:rPr>
                <w:rFonts w:hint="eastAsia" w:ascii="仿宋" w:hAnsi="仿宋" w:eastAsia="仿宋" w:cs="宋体"/>
                <w:sz w:val="24"/>
                <w:szCs w:val="24"/>
              </w:rPr>
              <w:t>了解音乐学科与其他学科的联系，具有跨学科意识，形成初步的融合、综合学习的能力</w:t>
            </w:r>
            <w:r>
              <w:rPr>
                <w:rFonts w:hint="eastAsia" w:ascii="仿宋" w:hAnsi="仿宋" w:eastAsia="仿宋" w:cs="仿宋"/>
                <w:sz w:val="24"/>
                <w:szCs w:val="24"/>
              </w:rPr>
              <w:t>来科学地演唱作品，</w:t>
            </w:r>
            <w:r>
              <w:rPr>
                <w:rFonts w:hint="eastAsia" w:ascii="仿宋" w:hAnsi="仿宋" w:eastAsia="仿宋" w:cs="宋体"/>
                <w:sz w:val="24"/>
                <w:szCs w:val="24"/>
              </w:rPr>
              <w:t>解决理论联系实际的问题。</w:t>
            </w:r>
            <w:r>
              <w:rPr>
                <w:rFonts w:hint="eastAsia" w:ascii="仿宋" w:hAnsi="仿宋" w:eastAsia="仿宋" w:cs="仿宋"/>
                <w:sz w:val="24"/>
                <w:szCs w:val="24"/>
              </w:rPr>
              <w:t>（支撑毕业要求3.3）掌握义务教育阶段和中（小）学音乐课程标准的理念，根据中学生身心发展规律和音乐认知特点，尤其是中学生个体的身体和嗓音条件，从教学目标、教学方法、重点、难点等方面，利用信息技术辅助手段进行教学设计。（支撑毕业要求</w:t>
            </w:r>
            <w:r>
              <w:rPr>
                <w:rFonts w:ascii="仿宋" w:hAnsi="仿宋" w:eastAsia="仿宋" w:cs="仿宋"/>
                <w:sz w:val="24"/>
                <w:szCs w:val="24"/>
              </w:rPr>
              <w:t>4</w:t>
            </w:r>
            <w:r>
              <w:rPr>
                <w:rFonts w:hint="eastAsia" w:ascii="仿宋" w:hAnsi="仿宋" w:eastAsia="仿宋" w:cs="仿宋"/>
                <w:sz w:val="24"/>
                <w:szCs w:val="24"/>
              </w:rPr>
              <w:t>.1）</w:t>
            </w:r>
          </w:p>
          <w:p w14:paraId="051ACF6D">
            <w:pPr>
              <w:widowControl/>
              <w:rPr>
                <w:rFonts w:ascii="仿宋" w:hAnsi="仿宋" w:eastAsia="仿宋" w:cs="仿宋"/>
                <w:b/>
                <w:bCs/>
                <w:sz w:val="24"/>
                <w:szCs w:val="24"/>
              </w:rPr>
            </w:pPr>
            <w:r>
              <w:rPr>
                <w:rFonts w:hint="eastAsia" w:ascii="仿宋" w:hAnsi="仿宋" w:eastAsia="仿宋" w:cs="仿宋"/>
                <w:b/>
                <w:bCs/>
                <w:sz w:val="24"/>
                <w:szCs w:val="24"/>
              </w:rPr>
              <w:t>课程目标3：</w:t>
            </w:r>
          </w:p>
          <w:p w14:paraId="491D5239">
            <w:pPr>
              <w:rPr>
                <w:rFonts w:hint="eastAsia" w:ascii="仿宋" w:hAnsi="仿宋" w:eastAsia="仿宋" w:cs="仿宋"/>
                <w:sz w:val="24"/>
                <w:szCs w:val="24"/>
                <w:lang w:eastAsia="zh-TW"/>
              </w:rPr>
            </w:pPr>
            <w:r>
              <w:rPr>
                <w:rFonts w:hint="eastAsia" w:ascii="仿宋" w:hAnsi="仿宋" w:eastAsia="仿宋" w:cs="仿宋"/>
                <w:sz w:val="24"/>
                <w:szCs w:val="24"/>
              </w:rPr>
              <w:t>在理论学习与实践中，能够找出自己的困难并能解决。在每一次教学活动后能够及时总结与反思，对教学过程、重难点、教学目标达成、师生互动、中学生教育教学主体等方面检查自己的问题，自我诊断、追溯原因，提出下一步改进的具体措施。（支撑毕业要求7.1）</w:t>
            </w:r>
          </w:p>
        </w:tc>
      </w:tr>
      <w:tr w14:paraId="222DDE6B">
        <w:trPr>
          <w:trHeight w:val="642" w:hRule="atLeast"/>
        </w:trPr>
        <w:tc>
          <w:tcPr>
            <w:tcW w:w="1376" w:type="dxa"/>
            <w:vMerge w:val="continue"/>
            <w:shd w:val="clear" w:color="auto" w:fill="FFFFFF"/>
            <w:vAlign w:val="center"/>
          </w:tcPr>
          <w:p w14:paraId="23B9AB72">
            <w:pPr>
              <w:jc w:val="center"/>
              <w:rPr>
                <w:rFonts w:hint="eastAsia" w:ascii="仿宋" w:hAnsi="仿宋" w:eastAsia="仿宋" w:cs="仿宋"/>
                <w:sz w:val="24"/>
                <w:szCs w:val="24"/>
              </w:rPr>
            </w:pPr>
          </w:p>
        </w:tc>
        <w:tc>
          <w:tcPr>
            <w:tcW w:w="1174" w:type="dxa"/>
            <w:tcBorders>
              <w:bottom w:val="single" w:color="auto" w:sz="4" w:space="0"/>
            </w:tcBorders>
            <w:shd w:val="clear" w:color="auto" w:fill="FFFFFF"/>
            <w:vAlign w:val="center"/>
          </w:tcPr>
          <w:p w14:paraId="5901BBA9">
            <w:pPr>
              <w:jc w:val="center"/>
              <w:rPr>
                <w:rFonts w:hint="eastAsia" w:ascii="仿宋" w:hAnsi="仿宋" w:eastAsia="仿宋" w:cs="仿宋"/>
                <w:sz w:val="24"/>
                <w:szCs w:val="24"/>
              </w:rPr>
            </w:pPr>
            <w:r>
              <w:rPr>
                <w:rFonts w:hint="eastAsia" w:ascii="仿宋" w:hAnsi="仿宋" w:eastAsia="仿宋" w:cs="仿宋"/>
                <w:sz w:val="24"/>
                <w:szCs w:val="24"/>
              </w:rPr>
              <w:t>课程目标</w:t>
            </w:r>
          </w:p>
        </w:tc>
        <w:tc>
          <w:tcPr>
            <w:tcW w:w="4521" w:type="dxa"/>
            <w:gridSpan w:val="7"/>
            <w:tcBorders>
              <w:bottom w:val="single" w:color="auto" w:sz="4" w:space="0"/>
            </w:tcBorders>
            <w:shd w:val="clear" w:color="auto" w:fill="FFFFFF"/>
            <w:vAlign w:val="center"/>
          </w:tcPr>
          <w:p w14:paraId="2DFC0878">
            <w:pPr>
              <w:jc w:val="center"/>
              <w:rPr>
                <w:rFonts w:hint="eastAsia" w:ascii="仿宋" w:hAnsi="仿宋" w:eastAsia="仿宋" w:cs="仿宋"/>
                <w:sz w:val="24"/>
                <w:szCs w:val="24"/>
              </w:rPr>
            </w:pPr>
            <w:r>
              <w:rPr>
                <w:rFonts w:hint="eastAsia" w:ascii="仿宋" w:hAnsi="仿宋" w:eastAsia="仿宋" w:cs="仿宋"/>
                <w:sz w:val="24"/>
                <w:szCs w:val="24"/>
              </w:rPr>
              <w:t>毕业要求分解指标点</w:t>
            </w:r>
          </w:p>
        </w:tc>
        <w:tc>
          <w:tcPr>
            <w:tcW w:w="2077" w:type="dxa"/>
            <w:gridSpan w:val="4"/>
            <w:tcBorders>
              <w:bottom w:val="single" w:color="auto" w:sz="4" w:space="0"/>
            </w:tcBorders>
            <w:shd w:val="clear" w:color="auto" w:fill="FFFFFF"/>
            <w:vAlign w:val="center"/>
          </w:tcPr>
          <w:p w14:paraId="5AAF22D1">
            <w:pPr>
              <w:jc w:val="center"/>
              <w:rPr>
                <w:rFonts w:hint="eastAsia" w:ascii="仿宋" w:hAnsi="仿宋" w:eastAsia="仿宋" w:cs="仿宋"/>
                <w:sz w:val="24"/>
                <w:szCs w:val="24"/>
              </w:rPr>
            </w:pPr>
            <w:r>
              <w:rPr>
                <w:rFonts w:hint="eastAsia" w:ascii="仿宋" w:hAnsi="仿宋" w:eastAsia="仿宋" w:cs="仿宋"/>
                <w:sz w:val="24"/>
                <w:szCs w:val="24"/>
              </w:rPr>
              <w:t>毕业要求</w:t>
            </w:r>
          </w:p>
        </w:tc>
      </w:tr>
      <w:tr w14:paraId="120C19FE">
        <w:trPr>
          <w:trHeight w:val="817" w:hRule="atLeast"/>
        </w:trPr>
        <w:tc>
          <w:tcPr>
            <w:tcW w:w="1376" w:type="dxa"/>
            <w:vMerge w:val="continue"/>
            <w:shd w:val="clear" w:color="auto" w:fill="FFFFFF"/>
            <w:vAlign w:val="center"/>
          </w:tcPr>
          <w:p w14:paraId="3DF7D0F6">
            <w:pPr>
              <w:jc w:val="center"/>
              <w:rPr>
                <w:rFonts w:hint="eastAsia" w:ascii="仿宋" w:hAnsi="仿宋" w:eastAsia="仿宋" w:cs="仿宋"/>
                <w:sz w:val="24"/>
                <w:szCs w:val="24"/>
              </w:rPr>
            </w:pPr>
          </w:p>
        </w:tc>
        <w:tc>
          <w:tcPr>
            <w:tcW w:w="1174" w:type="dxa"/>
            <w:tcBorders>
              <w:bottom w:val="single" w:color="auto" w:sz="4" w:space="0"/>
            </w:tcBorders>
            <w:shd w:val="clear" w:color="auto" w:fill="FFFFFF"/>
            <w:vAlign w:val="center"/>
          </w:tcPr>
          <w:p w14:paraId="097EB040">
            <w:pPr>
              <w:rPr>
                <w:rFonts w:hint="eastAsia" w:ascii="仿宋" w:hAnsi="仿宋" w:eastAsia="仿宋" w:cs="仿宋"/>
                <w:kern w:val="0"/>
                <w:sz w:val="24"/>
                <w:szCs w:val="24"/>
              </w:rPr>
            </w:pPr>
            <w:r>
              <w:rPr>
                <w:rFonts w:hint="eastAsia" w:ascii="仿宋" w:hAnsi="仿宋" w:eastAsia="仿宋" w:cs="仿宋"/>
                <w:kern w:val="0"/>
                <w:sz w:val="24"/>
                <w:szCs w:val="24"/>
              </w:rPr>
              <w:t>课程目标1</w:t>
            </w:r>
          </w:p>
        </w:tc>
        <w:tc>
          <w:tcPr>
            <w:tcW w:w="4521" w:type="dxa"/>
            <w:gridSpan w:val="7"/>
            <w:shd w:val="clear" w:color="auto" w:fill="FFFFFF"/>
            <w:vAlign w:val="center"/>
          </w:tcPr>
          <w:p w14:paraId="335C1BE3">
            <w:pPr>
              <w:rPr>
                <w:rFonts w:hint="eastAsia" w:ascii="仿宋" w:hAnsi="仿宋" w:eastAsia="仿宋" w:cs="宋体"/>
                <w:sz w:val="24"/>
                <w:szCs w:val="24"/>
              </w:rPr>
            </w:pPr>
            <w:r>
              <w:rPr>
                <w:rFonts w:hint="eastAsia" w:ascii="仿宋" w:hAnsi="仿宋" w:eastAsia="仿宋" w:cs="宋体"/>
                <w:sz w:val="24"/>
                <w:szCs w:val="24"/>
              </w:rPr>
              <w:t>1.2【立德树人】具有正确的学生观、教师观、教育观、艺术观，坚定立德树人的理念，掌握立德树人的途径与方法，能够依据德智体美劳全面发展的教育方针开展教育教学。</w:t>
            </w:r>
          </w:p>
          <w:p w14:paraId="121EEFFA">
            <w:pPr>
              <w:rPr>
                <w:rFonts w:hint="eastAsia" w:ascii="仿宋" w:hAnsi="仿宋" w:eastAsia="仿宋"/>
                <w:sz w:val="24"/>
                <w:szCs w:val="24"/>
              </w:rPr>
            </w:pPr>
            <w:r>
              <w:rPr>
                <w:rFonts w:hint="eastAsia" w:ascii="仿宋" w:hAnsi="仿宋" w:eastAsia="仿宋" w:cs="宋体"/>
                <w:sz w:val="24"/>
                <w:szCs w:val="24"/>
              </w:rPr>
              <w:t>2.1【职业认同】热爱音乐教育事业，具有从教意愿，认同教师工作的价值和意义，理解教师是学生学习的促进者与学生成长的引路人，了解中学教师的职业特征，领会中学教育对学生发展的价值和意义。</w:t>
            </w:r>
            <w:r>
              <w:rPr>
                <w:rFonts w:hint="eastAsia" w:ascii="仿宋" w:hAnsi="仿宋" w:eastAsia="仿宋"/>
                <w:sz w:val="24"/>
                <w:szCs w:val="24"/>
              </w:rPr>
              <w:t xml:space="preserve">  </w:t>
            </w:r>
          </w:p>
        </w:tc>
        <w:tc>
          <w:tcPr>
            <w:tcW w:w="2077" w:type="dxa"/>
            <w:gridSpan w:val="4"/>
            <w:shd w:val="clear" w:color="auto" w:fill="FFFFFF"/>
            <w:vAlign w:val="center"/>
          </w:tcPr>
          <w:p w14:paraId="48EC1F5F">
            <w:pPr>
              <w:widowControl/>
              <w:autoSpaceDE w:val="0"/>
              <w:ind w:firstLine="360" w:firstLineChars="150"/>
              <w:jc w:val="left"/>
              <w:rPr>
                <w:rFonts w:ascii="仿宋" w:hAnsi="仿宋" w:eastAsia="仿宋"/>
                <w:sz w:val="24"/>
                <w:szCs w:val="24"/>
              </w:rPr>
            </w:pPr>
            <w:r>
              <w:rPr>
                <w:rFonts w:hint="eastAsia" w:ascii="仿宋" w:hAnsi="仿宋" w:eastAsia="仿宋"/>
                <w:sz w:val="24"/>
                <w:szCs w:val="24"/>
              </w:rPr>
              <w:t>师德规范</w:t>
            </w:r>
          </w:p>
          <w:p w14:paraId="41C9FF59">
            <w:pPr>
              <w:pStyle w:val="142"/>
              <w:autoSpaceDE w:val="0"/>
              <w:ind w:firstLine="588" w:firstLineChars="245"/>
              <w:rPr>
                <w:rFonts w:hint="eastAsia" w:ascii="仿宋" w:hAnsi="仿宋" w:eastAsia="仿宋"/>
                <w:sz w:val="24"/>
                <w:szCs w:val="24"/>
              </w:rPr>
            </w:pPr>
            <w:r>
              <w:rPr>
                <w:rFonts w:hint="eastAsia" w:ascii="仿宋" w:hAnsi="仿宋" w:eastAsia="仿宋"/>
                <w:bCs/>
                <w:sz w:val="24"/>
                <w:szCs w:val="24"/>
              </w:rPr>
              <w:t>（L）</w:t>
            </w:r>
          </w:p>
          <w:p w14:paraId="58CA46E0">
            <w:pPr>
              <w:widowControl/>
              <w:autoSpaceDE w:val="0"/>
              <w:ind w:firstLine="360" w:firstLineChars="150"/>
              <w:jc w:val="left"/>
              <w:rPr>
                <w:rFonts w:hint="eastAsia" w:ascii="仿宋" w:hAnsi="仿宋" w:eastAsia="仿宋"/>
                <w:sz w:val="24"/>
                <w:szCs w:val="24"/>
              </w:rPr>
            </w:pPr>
            <w:r>
              <w:rPr>
                <w:rFonts w:hint="eastAsia" w:ascii="仿宋" w:hAnsi="仿宋" w:eastAsia="仿宋"/>
                <w:sz w:val="24"/>
                <w:szCs w:val="24"/>
              </w:rPr>
              <w:t>教育情怀</w:t>
            </w:r>
          </w:p>
          <w:p w14:paraId="502AD526">
            <w:pPr>
              <w:autoSpaceDE w:val="0"/>
              <w:ind w:firstLine="600" w:firstLineChars="250"/>
              <w:rPr>
                <w:rFonts w:hint="eastAsia" w:ascii="仿宋" w:hAnsi="仿宋" w:eastAsia="仿宋"/>
                <w:bCs/>
                <w:sz w:val="24"/>
                <w:szCs w:val="24"/>
              </w:rPr>
            </w:pPr>
            <w:r>
              <w:rPr>
                <w:rFonts w:hint="eastAsia" w:ascii="仿宋" w:hAnsi="仿宋" w:eastAsia="仿宋"/>
                <w:bCs/>
                <w:sz w:val="24"/>
                <w:szCs w:val="24"/>
              </w:rPr>
              <w:t>（M）</w:t>
            </w:r>
          </w:p>
          <w:p w14:paraId="77FC08B8">
            <w:pPr>
              <w:jc w:val="center"/>
              <w:rPr>
                <w:rFonts w:hint="eastAsia" w:ascii="仿宋" w:hAnsi="仿宋" w:eastAsia="仿宋" w:cs="仿宋"/>
                <w:bCs/>
                <w:sz w:val="24"/>
                <w:szCs w:val="24"/>
              </w:rPr>
            </w:pPr>
          </w:p>
        </w:tc>
      </w:tr>
      <w:tr w14:paraId="3D2B57ED">
        <w:trPr>
          <w:trHeight w:val="817" w:hRule="atLeast"/>
        </w:trPr>
        <w:tc>
          <w:tcPr>
            <w:tcW w:w="1376" w:type="dxa"/>
            <w:vMerge w:val="continue"/>
            <w:shd w:val="clear" w:color="auto" w:fill="FFFFFF"/>
            <w:vAlign w:val="center"/>
          </w:tcPr>
          <w:p w14:paraId="4900A517">
            <w:pPr>
              <w:jc w:val="center"/>
              <w:rPr>
                <w:rFonts w:hint="eastAsia" w:ascii="仿宋" w:hAnsi="仿宋" w:eastAsia="仿宋" w:cs="仿宋"/>
                <w:sz w:val="24"/>
                <w:szCs w:val="24"/>
              </w:rPr>
            </w:pPr>
          </w:p>
        </w:tc>
        <w:tc>
          <w:tcPr>
            <w:tcW w:w="1174" w:type="dxa"/>
            <w:tcBorders>
              <w:bottom w:val="single" w:color="auto" w:sz="4" w:space="0"/>
            </w:tcBorders>
            <w:shd w:val="clear" w:color="auto" w:fill="FFFFFF"/>
            <w:vAlign w:val="center"/>
          </w:tcPr>
          <w:p w14:paraId="25839D8B">
            <w:pPr>
              <w:jc w:val="center"/>
              <w:rPr>
                <w:rFonts w:hint="eastAsia" w:ascii="仿宋" w:hAnsi="仿宋" w:eastAsia="仿宋" w:cs="仿宋"/>
                <w:sz w:val="24"/>
                <w:szCs w:val="24"/>
              </w:rPr>
            </w:pPr>
            <w:r>
              <w:rPr>
                <w:rFonts w:hint="eastAsia" w:ascii="仿宋" w:hAnsi="仿宋" w:eastAsia="仿宋" w:cs="仿宋"/>
                <w:sz w:val="24"/>
                <w:szCs w:val="24"/>
              </w:rPr>
              <w:t>课程目标2</w:t>
            </w:r>
          </w:p>
        </w:tc>
        <w:tc>
          <w:tcPr>
            <w:tcW w:w="4521" w:type="dxa"/>
            <w:gridSpan w:val="7"/>
            <w:shd w:val="clear" w:color="auto" w:fill="FFFFFF"/>
            <w:vAlign w:val="center"/>
          </w:tcPr>
          <w:p w14:paraId="4A13750C">
            <w:pPr>
              <w:jc w:val="left"/>
              <w:rPr>
                <w:rFonts w:hint="eastAsia" w:ascii="仿宋" w:hAnsi="仿宋" w:eastAsia="仿宋" w:cs="宋体"/>
                <w:sz w:val="24"/>
                <w:szCs w:val="24"/>
              </w:rPr>
            </w:pPr>
            <w:r>
              <w:rPr>
                <w:rFonts w:hint="eastAsia" w:ascii="仿宋" w:hAnsi="仿宋" w:eastAsia="仿宋" w:cs="宋体"/>
                <w:sz w:val="24"/>
                <w:szCs w:val="24"/>
              </w:rPr>
              <w:t>3.3【知识整合】具有跨学科意识，</w:t>
            </w:r>
            <w:r>
              <w:rPr>
                <w:rFonts w:hint="eastAsia" w:ascii="仿宋" w:hAnsi="仿宋" w:eastAsia="仿宋" w:cs="宋体"/>
                <w:sz w:val="24"/>
                <w:szCs w:val="24"/>
                <w:lang w:eastAsia="en-US"/>
              </w:rPr>
              <w:t>了解学习科学相关知识，</w:t>
            </w:r>
            <w:r>
              <w:rPr>
                <w:rFonts w:hint="eastAsia" w:ascii="仿宋" w:hAnsi="仿宋" w:eastAsia="仿宋" w:cs="宋体"/>
                <w:sz w:val="24"/>
                <w:szCs w:val="24"/>
              </w:rPr>
              <w:t>了解音乐学科与其他学科的联系，形成初步融合、综合学习的能力，能运用跨学科知识分析和解决音乐教学中的问题。</w:t>
            </w:r>
          </w:p>
          <w:p w14:paraId="065C2FA4">
            <w:pPr>
              <w:jc w:val="left"/>
              <w:rPr>
                <w:rFonts w:hint="eastAsia" w:ascii="仿宋" w:hAnsi="仿宋" w:eastAsia="仿宋" w:cs="仿宋"/>
                <w:bCs/>
                <w:sz w:val="24"/>
                <w:szCs w:val="24"/>
              </w:rPr>
            </w:pPr>
            <w:r>
              <w:rPr>
                <w:rFonts w:hint="eastAsia" w:ascii="仿宋" w:hAnsi="仿宋" w:eastAsia="仿宋" w:cs="宋体"/>
                <w:sz w:val="24"/>
                <w:szCs w:val="24"/>
              </w:rPr>
              <w:t>4.1【教学设计与实施】熟悉中学音乐课程标准和教材，能够运用学科知识和现代信息技术进行课堂教学设计，合理安排教学过程和环节，科学设计评价内容和方式，根据学生音乐认知的特征和个体差异，进行差异化教学。课后能够及时反思、总结，形成初步的音乐教研能力。</w:t>
            </w:r>
          </w:p>
        </w:tc>
        <w:tc>
          <w:tcPr>
            <w:tcW w:w="2077" w:type="dxa"/>
            <w:gridSpan w:val="4"/>
            <w:shd w:val="clear" w:color="auto" w:fill="FFFFFF"/>
            <w:vAlign w:val="center"/>
          </w:tcPr>
          <w:p w14:paraId="2217AD4E">
            <w:pPr>
              <w:jc w:val="center"/>
              <w:rPr>
                <w:rFonts w:hint="eastAsia" w:ascii="仿宋" w:hAnsi="仿宋" w:eastAsia="仿宋" w:cs="仿宋"/>
                <w:bCs/>
                <w:sz w:val="24"/>
                <w:szCs w:val="24"/>
              </w:rPr>
            </w:pPr>
            <w:r>
              <w:rPr>
                <w:rFonts w:hint="eastAsia" w:ascii="仿宋" w:hAnsi="仿宋" w:eastAsia="仿宋" w:cs="仿宋"/>
                <w:bCs/>
                <w:sz w:val="24"/>
                <w:szCs w:val="24"/>
              </w:rPr>
              <w:t>学科素养</w:t>
            </w:r>
          </w:p>
          <w:p w14:paraId="2577D0C1">
            <w:pPr>
              <w:jc w:val="center"/>
              <w:rPr>
                <w:rFonts w:hint="eastAsia" w:ascii="仿宋" w:hAnsi="仿宋" w:eastAsia="仿宋" w:cs="仿宋"/>
                <w:bCs/>
                <w:sz w:val="24"/>
                <w:szCs w:val="24"/>
              </w:rPr>
            </w:pPr>
            <w:r>
              <w:rPr>
                <w:rFonts w:hint="eastAsia" w:ascii="仿宋" w:hAnsi="仿宋" w:eastAsia="仿宋" w:cs="仿宋"/>
                <w:bCs/>
                <w:sz w:val="24"/>
                <w:szCs w:val="24"/>
              </w:rPr>
              <w:t>（H）</w:t>
            </w:r>
          </w:p>
          <w:p w14:paraId="325C66B8">
            <w:pPr>
              <w:ind w:firstLine="600" w:firstLineChars="250"/>
              <w:rPr>
                <w:rFonts w:hint="eastAsia" w:ascii="仿宋" w:hAnsi="仿宋" w:eastAsia="仿宋" w:cs="宋体"/>
                <w:sz w:val="24"/>
                <w:szCs w:val="24"/>
              </w:rPr>
            </w:pPr>
            <w:r>
              <w:rPr>
                <w:rFonts w:hint="eastAsia" w:ascii="仿宋" w:hAnsi="仿宋" w:eastAsia="仿宋" w:cs="宋体"/>
                <w:sz w:val="24"/>
                <w:szCs w:val="24"/>
              </w:rPr>
              <w:t>教学能力</w:t>
            </w:r>
          </w:p>
          <w:p w14:paraId="120B63E7">
            <w:pPr>
              <w:ind w:firstLine="720" w:firstLineChars="300"/>
              <w:rPr>
                <w:rFonts w:hint="eastAsia" w:ascii="仿宋" w:hAnsi="仿宋" w:eastAsia="仿宋" w:cs="仿宋"/>
                <w:sz w:val="24"/>
                <w:szCs w:val="24"/>
              </w:rPr>
            </w:pPr>
            <w:r>
              <w:rPr>
                <w:rFonts w:hint="eastAsia" w:ascii="仿宋" w:hAnsi="仿宋" w:eastAsia="仿宋" w:cs="仿宋"/>
                <w:bCs/>
                <w:sz w:val="24"/>
                <w:szCs w:val="24"/>
              </w:rPr>
              <w:t>（H）</w:t>
            </w:r>
          </w:p>
        </w:tc>
      </w:tr>
      <w:tr w14:paraId="1EDAE26B">
        <w:trPr>
          <w:trHeight w:val="558" w:hRule="atLeast"/>
        </w:trPr>
        <w:tc>
          <w:tcPr>
            <w:tcW w:w="1376" w:type="dxa"/>
            <w:vMerge w:val="continue"/>
            <w:shd w:val="clear" w:color="auto" w:fill="FFFFFF"/>
            <w:vAlign w:val="center"/>
          </w:tcPr>
          <w:p w14:paraId="0FA42F57">
            <w:pPr>
              <w:jc w:val="center"/>
              <w:rPr>
                <w:rFonts w:hint="eastAsia" w:ascii="仿宋" w:hAnsi="仿宋" w:eastAsia="仿宋" w:cs="仿宋"/>
                <w:sz w:val="24"/>
                <w:szCs w:val="24"/>
              </w:rPr>
            </w:pPr>
          </w:p>
        </w:tc>
        <w:tc>
          <w:tcPr>
            <w:tcW w:w="1174" w:type="dxa"/>
            <w:tcBorders>
              <w:bottom w:val="single" w:color="auto" w:sz="4" w:space="0"/>
            </w:tcBorders>
            <w:shd w:val="clear" w:color="auto" w:fill="FFFFFF"/>
            <w:vAlign w:val="center"/>
          </w:tcPr>
          <w:p w14:paraId="511B8956">
            <w:pPr>
              <w:jc w:val="center"/>
              <w:rPr>
                <w:rFonts w:hint="eastAsia" w:ascii="仿宋" w:hAnsi="仿宋" w:eastAsia="仿宋" w:cs="仿宋"/>
                <w:sz w:val="24"/>
                <w:szCs w:val="24"/>
              </w:rPr>
            </w:pPr>
            <w:r>
              <w:rPr>
                <w:rFonts w:hint="eastAsia" w:ascii="仿宋" w:hAnsi="仿宋" w:eastAsia="仿宋" w:cs="仿宋"/>
                <w:sz w:val="24"/>
                <w:szCs w:val="24"/>
              </w:rPr>
              <w:t>课程目标</w:t>
            </w:r>
            <w:r>
              <w:rPr>
                <w:rFonts w:ascii="仿宋" w:hAnsi="仿宋" w:eastAsia="仿宋" w:cs="仿宋"/>
                <w:sz w:val="24"/>
                <w:szCs w:val="24"/>
              </w:rPr>
              <w:t>3</w:t>
            </w:r>
          </w:p>
        </w:tc>
        <w:tc>
          <w:tcPr>
            <w:tcW w:w="4521" w:type="dxa"/>
            <w:gridSpan w:val="7"/>
            <w:tcBorders>
              <w:bottom w:val="single" w:color="auto" w:sz="4" w:space="0"/>
            </w:tcBorders>
            <w:shd w:val="clear" w:color="auto" w:fill="FFFFFF"/>
            <w:vAlign w:val="center"/>
          </w:tcPr>
          <w:p w14:paraId="716CE2BF">
            <w:pPr>
              <w:rPr>
                <w:rFonts w:hint="eastAsia" w:ascii="仿宋" w:hAnsi="仿宋" w:eastAsia="仿宋" w:cs="宋体"/>
                <w:sz w:val="24"/>
                <w:szCs w:val="24"/>
              </w:rPr>
            </w:pPr>
            <w:r>
              <w:rPr>
                <w:rFonts w:hint="eastAsia" w:ascii="仿宋" w:hAnsi="仿宋" w:eastAsia="仿宋" w:cs="仿宋"/>
                <w:b/>
                <w:bCs/>
                <w:sz w:val="24"/>
                <w:szCs w:val="24"/>
              </w:rPr>
              <w:t xml:space="preserve"> </w:t>
            </w:r>
            <w:r>
              <w:rPr>
                <w:rFonts w:hint="eastAsia" w:ascii="仿宋" w:hAnsi="仿宋" w:eastAsia="仿宋" w:cs="宋体"/>
                <w:sz w:val="24"/>
                <w:szCs w:val="24"/>
              </w:rPr>
              <w:t>7.1【反思改进】具有反思意识和批判性思维，初步掌握教育教学反思的基本方法和策略，能够对相关学习、教育教学实践活动进行有效的自我诊断，提出改进思路。</w:t>
            </w:r>
          </w:p>
        </w:tc>
        <w:tc>
          <w:tcPr>
            <w:tcW w:w="2077" w:type="dxa"/>
            <w:gridSpan w:val="4"/>
            <w:tcBorders>
              <w:bottom w:val="single" w:color="auto" w:sz="4" w:space="0"/>
            </w:tcBorders>
            <w:shd w:val="clear" w:color="auto" w:fill="FFFFFF"/>
            <w:vAlign w:val="center"/>
          </w:tcPr>
          <w:p w14:paraId="2FDD5ADC">
            <w:pPr>
              <w:jc w:val="center"/>
              <w:rPr>
                <w:rFonts w:hint="eastAsia" w:ascii="仿宋" w:hAnsi="仿宋" w:eastAsia="仿宋" w:cs="仿宋"/>
                <w:sz w:val="24"/>
                <w:szCs w:val="24"/>
              </w:rPr>
            </w:pPr>
            <w:r>
              <w:rPr>
                <w:rFonts w:hint="eastAsia" w:ascii="仿宋" w:hAnsi="仿宋" w:eastAsia="仿宋" w:cs="仿宋"/>
                <w:sz w:val="24"/>
                <w:szCs w:val="24"/>
              </w:rPr>
              <w:t>学会反思</w:t>
            </w:r>
          </w:p>
          <w:p w14:paraId="2681F4A2">
            <w:pPr>
              <w:jc w:val="center"/>
              <w:rPr>
                <w:rFonts w:hint="eastAsia" w:ascii="仿宋" w:hAnsi="仿宋" w:eastAsia="仿宋" w:cs="仿宋"/>
                <w:sz w:val="24"/>
                <w:szCs w:val="24"/>
              </w:rPr>
            </w:pPr>
            <w:r>
              <w:rPr>
                <w:rFonts w:hint="eastAsia" w:ascii="仿宋" w:hAnsi="仿宋" w:eastAsia="仿宋" w:cs="仿宋"/>
                <w:sz w:val="24"/>
                <w:szCs w:val="24"/>
              </w:rPr>
              <w:t>（M）</w:t>
            </w:r>
          </w:p>
        </w:tc>
      </w:tr>
      <w:tr w14:paraId="491C7C74">
        <w:trPr>
          <w:trHeight w:val="582" w:hRule="atLeast"/>
        </w:trPr>
        <w:tc>
          <w:tcPr>
            <w:tcW w:w="1376" w:type="dxa"/>
            <w:vMerge w:val="restart"/>
            <w:shd w:val="clear" w:color="auto" w:fill="FFFFFF"/>
            <w:vAlign w:val="center"/>
          </w:tcPr>
          <w:p w14:paraId="1E5C2598">
            <w:pPr>
              <w:jc w:val="center"/>
              <w:rPr>
                <w:rFonts w:hint="eastAsia" w:ascii="仿宋" w:hAnsi="仿宋" w:eastAsia="仿宋" w:cs="仿宋"/>
                <w:sz w:val="24"/>
                <w:szCs w:val="24"/>
              </w:rPr>
            </w:pPr>
            <w:r>
              <w:rPr>
                <w:rFonts w:hint="eastAsia" w:ascii="仿宋" w:hAnsi="仿宋" w:eastAsia="仿宋" w:cs="仿宋"/>
                <w:sz w:val="24"/>
                <w:szCs w:val="24"/>
              </w:rPr>
              <w:t>F</w:t>
            </w:r>
          </w:p>
          <w:p w14:paraId="6A24FDF5">
            <w:pPr>
              <w:jc w:val="center"/>
              <w:rPr>
                <w:rFonts w:hint="eastAsia" w:ascii="仿宋" w:hAnsi="仿宋" w:eastAsia="仿宋" w:cs="仿宋"/>
                <w:sz w:val="24"/>
                <w:szCs w:val="24"/>
              </w:rPr>
            </w:pPr>
            <w:r>
              <w:rPr>
                <w:rFonts w:hint="eastAsia" w:ascii="仿宋" w:hAnsi="仿宋" w:eastAsia="仿宋" w:cs="仿宋"/>
                <w:sz w:val="24"/>
                <w:szCs w:val="24"/>
              </w:rPr>
              <w:t>理论学习内容</w:t>
            </w:r>
          </w:p>
        </w:tc>
        <w:tc>
          <w:tcPr>
            <w:tcW w:w="5695" w:type="dxa"/>
            <w:gridSpan w:val="8"/>
            <w:shd w:val="clear" w:color="auto" w:fill="FFFFFF"/>
            <w:vAlign w:val="center"/>
          </w:tcPr>
          <w:p w14:paraId="604FFDD4">
            <w:pPr>
              <w:jc w:val="center"/>
              <w:rPr>
                <w:rFonts w:hint="eastAsia" w:ascii="仿宋" w:hAnsi="仿宋" w:eastAsia="仿宋" w:cs="仿宋"/>
                <w:kern w:val="0"/>
                <w:sz w:val="24"/>
                <w:szCs w:val="24"/>
              </w:rPr>
            </w:pPr>
            <w:r>
              <w:rPr>
                <w:rFonts w:hint="eastAsia" w:ascii="仿宋" w:hAnsi="仿宋" w:eastAsia="仿宋" w:cs="仿宋"/>
                <w:kern w:val="0"/>
                <w:sz w:val="24"/>
                <w:szCs w:val="24"/>
              </w:rPr>
              <w:t>章节学习内容与学习要求</w:t>
            </w:r>
          </w:p>
        </w:tc>
        <w:tc>
          <w:tcPr>
            <w:tcW w:w="1153" w:type="dxa"/>
            <w:gridSpan w:val="2"/>
            <w:shd w:val="clear" w:color="auto" w:fill="FFFFFF"/>
            <w:vAlign w:val="center"/>
          </w:tcPr>
          <w:p w14:paraId="2812B690">
            <w:pPr>
              <w:jc w:val="center"/>
              <w:rPr>
                <w:rFonts w:hint="eastAsia" w:ascii="仿宋" w:hAnsi="仿宋" w:eastAsia="仿宋" w:cs="仿宋"/>
                <w:kern w:val="0"/>
                <w:sz w:val="24"/>
                <w:szCs w:val="24"/>
              </w:rPr>
            </w:pPr>
            <w:r>
              <w:rPr>
                <w:rFonts w:hint="eastAsia" w:ascii="仿宋" w:hAnsi="仿宋" w:eastAsia="仿宋" w:cs="仿宋"/>
                <w:kern w:val="0"/>
                <w:sz w:val="24"/>
                <w:szCs w:val="24"/>
              </w:rPr>
              <w:t>支撑课程</w:t>
            </w:r>
          </w:p>
          <w:p w14:paraId="3B5B3F4D">
            <w:pPr>
              <w:jc w:val="center"/>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924" w:type="dxa"/>
            <w:gridSpan w:val="2"/>
            <w:shd w:val="clear" w:color="auto" w:fill="FFFFFF"/>
            <w:vAlign w:val="center"/>
          </w:tcPr>
          <w:p w14:paraId="04926E65">
            <w:pPr>
              <w:jc w:val="center"/>
              <w:rPr>
                <w:rFonts w:ascii="仿宋" w:hAnsi="仿宋" w:eastAsia="仿宋" w:cs="仿宋"/>
                <w:kern w:val="0"/>
                <w:sz w:val="24"/>
                <w:szCs w:val="24"/>
              </w:rPr>
            </w:pPr>
            <w:r>
              <w:rPr>
                <w:rFonts w:hint="eastAsia" w:ascii="仿宋" w:hAnsi="仿宋" w:eastAsia="仿宋" w:cs="仿宋"/>
                <w:kern w:val="0"/>
                <w:sz w:val="24"/>
                <w:szCs w:val="24"/>
              </w:rPr>
              <w:t>学时</w:t>
            </w:r>
          </w:p>
          <w:p w14:paraId="5E7507A7">
            <w:pPr>
              <w:jc w:val="center"/>
              <w:rPr>
                <w:rFonts w:hint="eastAsia" w:ascii="仿宋" w:hAnsi="仿宋" w:eastAsia="仿宋" w:cs="仿宋"/>
                <w:kern w:val="0"/>
                <w:sz w:val="24"/>
                <w:szCs w:val="24"/>
              </w:rPr>
            </w:pPr>
            <w:r>
              <w:rPr>
                <w:rFonts w:hint="eastAsia" w:ascii="仿宋" w:hAnsi="仿宋" w:eastAsia="仿宋" w:cs="仿宋"/>
                <w:kern w:val="0"/>
                <w:sz w:val="24"/>
                <w:szCs w:val="24"/>
              </w:rPr>
              <w:t>分配</w:t>
            </w:r>
          </w:p>
        </w:tc>
      </w:tr>
      <w:tr w14:paraId="49240FA9">
        <w:trPr>
          <w:trHeight w:val="454" w:hRule="atLeast"/>
        </w:trPr>
        <w:tc>
          <w:tcPr>
            <w:tcW w:w="1376" w:type="dxa"/>
            <w:vMerge w:val="continue"/>
            <w:shd w:val="clear" w:color="auto" w:fill="FFFFFF"/>
            <w:vAlign w:val="center"/>
          </w:tcPr>
          <w:p w14:paraId="33C9FFE4">
            <w:pPr>
              <w:jc w:val="right"/>
              <w:rPr>
                <w:rFonts w:hint="eastAsia" w:ascii="仿宋" w:hAnsi="仿宋" w:eastAsia="仿宋" w:cs="仿宋"/>
                <w:sz w:val="24"/>
                <w:szCs w:val="24"/>
              </w:rPr>
            </w:pPr>
          </w:p>
        </w:tc>
        <w:tc>
          <w:tcPr>
            <w:tcW w:w="5695" w:type="dxa"/>
            <w:gridSpan w:val="8"/>
            <w:vAlign w:val="center"/>
          </w:tcPr>
          <w:p w14:paraId="31022411">
            <w:pPr>
              <w:widowControl/>
              <w:rPr>
                <w:rFonts w:hint="eastAsia" w:ascii="仿宋" w:hAnsi="仿宋" w:eastAsia="仿宋" w:cs="仿宋"/>
                <w:kern w:val="0"/>
                <w:sz w:val="24"/>
                <w:szCs w:val="24"/>
              </w:rPr>
            </w:pPr>
          </w:p>
        </w:tc>
        <w:tc>
          <w:tcPr>
            <w:tcW w:w="1153" w:type="dxa"/>
            <w:gridSpan w:val="2"/>
            <w:vAlign w:val="center"/>
          </w:tcPr>
          <w:p w14:paraId="2AED1F2A">
            <w:pPr>
              <w:widowControl/>
              <w:jc w:val="center"/>
              <w:rPr>
                <w:rFonts w:hint="eastAsia" w:ascii="仿宋" w:hAnsi="仿宋" w:eastAsia="仿宋" w:cs="仿宋"/>
                <w:bCs/>
                <w:sz w:val="24"/>
                <w:szCs w:val="24"/>
              </w:rPr>
            </w:pPr>
          </w:p>
        </w:tc>
        <w:tc>
          <w:tcPr>
            <w:tcW w:w="924" w:type="dxa"/>
            <w:gridSpan w:val="2"/>
            <w:shd w:val="clear" w:color="auto" w:fill="FFFFFF"/>
            <w:vAlign w:val="center"/>
          </w:tcPr>
          <w:p w14:paraId="60D577EC">
            <w:pPr>
              <w:jc w:val="center"/>
              <w:rPr>
                <w:rFonts w:hint="eastAsia" w:ascii="仿宋" w:hAnsi="仿宋" w:eastAsia="仿宋" w:cs="仿宋"/>
                <w:sz w:val="24"/>
                <w:szCs w:val="24"/>
              </w:rPr>
            </w:pPr>
          </w:p>
        </w:tc>
      </w:tr>
      <w:tr w14:paraId="3D4A5792">
        <w:trPr>
          <w:trHeight w:val="454" w:hRule="atLeast"/>
        </w:trPr>
        <w:tc>
          <w:tcPr>
            <w:tcW w:w="1376" w:type="dxa"/>
            <w:vMerge w:val="continue"/>
            <w:shd w:val="clear" w:color="auto" w:fill="FFFFFF"/>
            <w:vAlign w:val="center"/>
          </w:tcPr>
          <w:p w14:paraId="1FFB7831">
            <w:pPr>
              <w:jc w:val="center"/>
              <w:rPr>
                <w:rFonts w:hint="eastAsia" w:ascii="仿宋" w:hAnsi="仿宋" w:eastAsia="仿宋" w:cs="仿宋"/>
                <w:sz w:val="24"/>
                <w:szCs w:val="24"/>
              </w:rPr>
            </w:pPr>
          </w:p>
        </w:tc>
        <w:tc>
          <w:tcPr>
            <w:tcW w:w="6848" w:type="dxa"/>
            <w:gridSpan w:val="10"/>
            <w:vAlign w:val="center"/>
          </w:tcPr>
          <w:p w14:paraId="10627FA3">
            <w:pPr>
              <w:jc w:val="center"/>
              <w:rPr>
                <w:rFonts w:hint="eastAsia" w:ascii="仿宋" w:hAnsi="仿宋" w:eastAsia="仿宋" w:cs="仿宋"/>
                <w:bCs/>
                <w:sz w:val="24"/>
                <w:szCs w:val="24"/>
              </w:rPr>
            </w:pPr>
            <w:r>
              <w:rPr>
                <w:rFonts w:hint="eastAsia" w:ascii="仿宋" w:hAnsi="仿宋" w:eastAsia="仿宋" w:cs="仿宋"/>
                <w:bCs/>
                <w:sz w:val="24"/>
                <w:szCs w:val="24"/>
              </w:rPr>
              <w:t>合计</w:t>
            </w:r>
          </w:p>
        </w:tc>
        <w:tc>
          <w:tcPr>
            <w:tcW w:w="924" w:type="dxa"/>
            <w:gridSpan w:val="2"/>
            <w:shd w:val="clear" w:color="auto" w:fill="FFFFFF"/>
            <w:vAlign w:val="center"/>
          </w:tcPr>
          <w:p w14:paraId="7E7690DF">
            <w:pPr>
              <w:jc w:val="center"/>
              <w:rPr>
                <w:rFonts w:hint="eastAsia" w:ascii="仿宋" w:hAnsi="仿宋" w:eastAsia="仿宋" w:cs="仿宋"/>
                <w:sz w:val="24"/>
                <w:szCs w:val="24"/>
              </w:rPr>
            </w:pPr>
          </w:p>
        </w:tc>
      </w:tr>
      <w:tr w14:paraId="68CCB283">
        <w:trPr>
          <w:trHeight w:val="454" w:hRule="atLeast"/>
        </w:trPr>
        <w:tc>
          <w:tcPr>
            <w:tcW w:w="1376" w:type="dxa"/>
            <w:vMerge w:val="restart"/>
            <w:shd w:val="clear" w:color="auto" w:fill="FFFFFF"/>
            <w:vAlign w:val="center"/>
          </w:tcPr>
          <w:p w14:paraId="715626C1">
            <w:pPr>
              <w:jc w:val="center"/>
              <w:rPr>
                <w:rFonts w:hint="eastAsia" w:ascii="仿宋" w:hAnsi="仿宋" w:eastAsia="仿宋" w:cs="仿宋"/>
                <w:sz w:val="24"/>
                <w:szCs w:val="24"/>
              </w:rPr>
            </w:pPr>
            <w:r>
              <w:rPr>
                <w:rFonts w:hint="eastAsia" w:ascii="仿宋" w:hAnsi="仿宋" w:eastAsia="仿宋" w:cs="仿宋"/>
                <w:sz w:val="24"/>
                <w:szCs w:val="24"/>
              </w:rPr>
              <w:t>G</w:t>
            </w:r>
          </w:p>
          <w:p w14:paraId="01489D56">
            <w:pPr>
              <w:jc w:val="center"/>
              <w:rPr>
                <w:rFonts w:hint="eastAsia" w:ascii="仿宋" w:hAnsi="仿宋" w:eastAsia="仿宋" w:cs="仿宋"/>
                <w:sz w:val="24"/>
                <w:szCs w:val="24"/>
              </w:rPr>
            </w:pPr>
            <w:r>
              <w:rPr>
                <w:rFonts w:hint="eastAsia" w:ascii="仿宋" w:hAnsi="仿宋" w:eastAsia="仿宋" w:cs="仿宋"/>
                <w:sz w:val="24"/>
                <w:szCs w:val="24"/>
              </w:rPr>
              <w:t>技能（实训）内容</w:t>
            </w:r>
          </w:p>
        </w:tc>
        <w:tc>
          <w:tcPr>
            <w:tcW w:w="5695" w:type="dxa"/>
            <w:gridSpan w:val="8"/>
            <w:vAlign w:val="center"/>
          </w:tcPr>
          <w:p w14:paraId="11A57524">
            <w:pPr>
              <w:jc w:val="center"/>
              <w:rPr>
                <w:rFonts w:hint="eastAsia" w:ascii="仿宋" w:hAnsi="仿宋" w:eastAsia="仿宋" w:cs="仿宋"/>
                <w:kern w:val="0"/>
                <w:sz w:val="24"/>
                <w:szCs w:val="24"/>
              </w:rPr>
            </w:pPr>
            <w:r>
              <w:rPr>
                <w:rFonts w:hint="eastAsia" w:ascii="仿宋" w:hAnsi="仿宋" w:eastAsia="仿宋" w:cs="仿宋"/>
                <w:kern w:val="0"/>
                <w:sz w:val="24"/>
                <w:szCs w:val="24"/>
              </w:rPr>
              <w:t>实训目的及任务</w:t>
            </w:r>
          </w:p>
        </w:tc>
        <w:tc>
          <w:tcPr>
            <w:tcW w:w="1153" w:type="dxa"/>
            <w:gridSpan w:val="2"/>
            <w:vAlign w:val="center"/>
          </w:tcPr>
          <w:p w14:paraId="4C11F26D">
            <w:pPr>
              <w:jc w:val="center"/>
              <w:rPr>
                <w:rFonts w:hint="eastAsia" w:ascii="仿宋" w:hAnsi="仿宋" w:eastAsia="仿宋" w:cs="仿宋"/>
                <w:kern w:val="0"/>
                <w:sz w:val="24"/>
                <w:szCs w:val="24"/>
              </w:rPr>
            </w:pPr>
            <w:r>
              <w:rPr>
                <w:rFonts w:hint="eastAsia" w:ascii="仿宋" w:hAnsi="仿宋" w:eastAsia="仿宋" w:cs="仿宋"/>
                <w:kern w:val="0"/>
                <w:sz w:val="24"/>
                <w:szCs w:val="24"/>
              </w:rPr>
              <w:t>支撑课程</w:t>
            </w:r>
          </w:p>
          <w:p w14:paraId="21BD0CBE">
            <w:pPr>
              <w:jc w:val="center"/>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924" w:type="dxa"/>
            <w:gridSpan w:val="2"/>
            <w:shd w:val="clear" w:color="auto" w:fill="FFFFFF"/>
            <w:vAlign w:val="center"/>
          </w:tcPr>
          <w:p w14:paraId="3E5AB2F1">
            <w:pPr>
              <w:jc w:val="center"/>
              <w:rPr>
                <w:rFonts w:ascii="仿宋" w:hAnsi="仿宋" w:eastAsia="仿宋" w:cs="仿宋"/>
                <w:kern w:val="0"/>
                <w:sz w:val="24"/>
                <w:szCs w:val="24"/>
              </w:rPr>
            </w:pPr>
            <w:r>
              <w:rPr>
                <w:rFonts w:hint="eastAsia" w:ascii="仿宋" w:hAnsi="仿宋" w:eastAsia="仿宋" w:cs="仿宋"/>
                <w:kern w:val="0"/>
                <w:sz w:val="24"/>
                <w:szCs w:val="24"/>
              </w:rPr>
              <w:t xml:space="preserve">学时 </w:t>
            </w:r>
          </w:p>
          <w:p w14:paraId="316659F2">
            <w:pPr>
              <w:jc w:val="center"/>
              <w:rPr>
                <w:rFonts w:hint="eastAsia" w:ascii="仿宋" w:hAnsi="仿宋" w:eastAsia="仿宋" w:cs="仿宋"/>
                <w:sz w:val="24"/>
                <w:szCs w:val="24"/>
              </w:rPr>
            </w:pPr>
            <w:r>
              <w:rPr>
                <w:rFonts w:hint="eastAsia" w:ascii="仿宋" w:hAnsi="仿宋" w:eastAsia="仿宋" w:cs="仿宋"/>
                <w:kern w:val="0"/>
                <w:sz w:val="24"/>
                <w:szCs w:val="24"/>
              </w:rPr>
              <w:t>分配</w:t>
            </w:r>
          </w:p>
        </w:tc>
      </w:tr>
      <w:tr w14:paraId="5E3D4CDB">
        <w:trPr>
          <w:trHeight w:val="171" w:hRule="atLeast"/>
        </w:trPr>
        <w:tc>
          <w:tcPr>
            <w:tcW w:w="1376" w:type="dxa"/>
            <w:vMerge w:val="continue"/>
            <w:shd w:val="clear" w:color="auto" w:fill="FFFFFF"/>
            <w:vAlign w:val="center"/>
          </w:tcPr>
          <w:p w14:paraId="7512930B">
            <w:pPr>
              <w:jc w:val="center"/>
              <w:rPr>
                <w:rFonts w:hint="eastAsia" w:ascii="仿宋" w:hAnsi="仿宋" w:eastAsia="仿宋" w:cs="仿宋"/>
                <w:sz w:val="24"/>
                <w:szCs w:val="24"/>
              </w:rPr>
            </w:pPr>
          </w:p>
        </w:tc>
        <w:tc>
          <w:tcPr>
            <w:tcW w:w="5695" w:type="dxa"/>
            <w:gridSpan w:val="8"/>
            <w:vAlign w:val="center"/>
          </w:tcPr>
          <w:p w14:paraId="64696E3D">
            <w:pPr>
              <w:rPr>
                <w:rFonts w:hint="eastAsia" w:ascii="仿宋" w:hAnsi="仿宋" w:eastAsia="仿宋" w:cs="仿宋"/>
                <w:b/>
                <w:kern w:val="0"/>
                <w:sz w:val="24"/>
                <w:szCs w:val="24"/>
              </w:rPr>
            </w:pPr>
            <w:r>
              <w:rPr>
                <w:rFonts w:hint="eastAsia" w:ascii="仿宋" w:hAnsi="仿宋" w:eastAsia="仿宋" w:cs="仿宋"/>
                <w:b/>
                <w:kern w:val="0"/>
                <w:sz w:val="24"/>
                <w:szCs w:val="24"/>
              </w:rPr>
              <w:t>训练一：扩展音域的发声训练</w:t>
            </w:r>
          </w:p>
          <w:p w14:paraId="6CE3F108">
            <w:pPr>
              <w:widowControl/>
              <w:rPr>
                <w:rFonts w:hint="eastAsia" w:ascii="仿宋" w:hAnsi="仿宋" w:eastAsia="仿宋" w:cs="仿宋"/>
                <w:kern w:val="0"/>
                <w:sz w:val="24"/>
                <w:szCs w:val="24"/>
              </w:rPr>
            </w:pPr>
            <w:r>
              <w:rPr>
                <w:rFonts w:hint="eastAsia" w:ascii="仿宋" w:hAnsi="仿宋" w:eastAsia="仿宋" w:cs="仿宋"/>
                <w:b/>
                <w:kern w:val="0"/>
                <w:sz w:val="24"/>
                <w:szCs w:val="24"/>
              </w:rPr>
              <w:t>实训目的：</w:t>
            </w:r>
            <w:r>
              <w:rPr>
                <w:rFonts w:hint="eastAsia" w:ascii="仿宋" w:hAnsi="仿宋" w:eastAsia="仿宋" w:cs="仿宋"/>
                <w:kern w:val="0"/>
                <w:sz w:val="24"/>
                <w:szCs w:val="24"/>
              </w:rPr>
              <w:t>在学生中声区稳定的状态下能根据学生声部的特点，进一步加强歌唱发声的技巧训练，演唱较为复杂的练声曲及歌曲，统一声区，达到具有声部特点的应有的音域。</w:t>
            </w:r>
          </w:p>
          <w:p w14:paraId="5879A153">
            <w:pPr>
              <w:widowControl/>
              <w:rPr>
                <w:rFonts w:hint="eastAsia" w:ascii="仿宋" w:hAnsi="仿宋" w:eastAsia="仿宋" w:cs="仿宋"/>
                <w:kern w:val="0"/>
                <w:sz w:val="24"/>
                <w:szCs w:val="24"/>
              </w:rPr>
            </w:pPr>
            <w:r>
              <w:rPr>
                <w:rFonts w:hint="eastAsia" w:ascii="仿宋" w:hAnsi="仿宋" w:eastAsia="仿宋" w:cs="仿宋"/>
                <w:b/>
                <w:kern w:val="0"/>
                <w:sz w:val="24"/>
                <w:szCs w:val="24"/>
              </w:rPr>
              <w:t>实训任务：1.</w:t>
            </w:r>
            <w:r>
              <w:rPr>
                <w:rFonts w:hint="eastAsia" w:ascii="仿宋" w:hAnsi="仿宋" w:eastAsia="仿宋" w:cs="仿宋"/>
                <w:kern w:val="0"/>
                <w:sz w:val="24"/>
                <w:szCs w:val="24"/>
              </w:rPr>
              <w:t>演唱较为完整、生动；咬字清晰准确。</w:t>
            </w:r>
          </w:p>
          <w:p w14:paraId="5EDFA3D1">
            <w:pPr>
              <w:widowControl/>
              <w:ind w:firstLine="1205" w:firstLineChars="500"/>
              <w:rPr>
                <w:rFonts w:hint="eastAsia" w:ascii="仿宋" w:hAnsi="仿宋" w:eastAsia="仿宋" w:cs="仿宋"/>
                <w:bCs/>
                <w:sz w:val="24"/>
                <w:szCs w:val="24"/>
              </w:rPr>
            </w:pPr>
            <w:r>
              <w:rPr>
                <w:rFonts w:hint="eastAsia" w:ascii="仿宋" w:hAnsi="仿宋" w:eastAsia="仿宋" w:cs="仿宋"/>
                <w:b/>
                <w:kern w:val="0"/>
                <w:sz w:val="24"/>
                <w:szCs w:val="24"/>
              </w:rPr>
              <w:t>2.</w:t>
            </w:r>
            <w:r>
              <w:rPr>
                <w:rFonts w:hint="eastAsia" w:ascii="仿宋" w:hAnsi="仿宋" w:eastAsia="仿宋" w:cs="仿宋"/>
                <w:kern w:val="0"/>
                <w:sz w:val="24"/>
                <w:szCs w:val="24"/>
              </w:rPr>
              <w:t>在中声区稳定的状态下进一步扩展音域。</w:t>
            </w:r>
          </w:p>
        </w:tc>
        <w:tc>
          <w:tcPr>
            <w:tcW w:w="1153" w:type="dxa"/>
            <w:gridSpan w:val="2"/>
            <w:vAlign w:val="center"/>
          </w:tcPr>
          <w:p w14:paraId="67814822">
            <w:pPr>
              <w:widowControl/>
              <w:jc w:val="center"/>
              <w:rPr>
                <w:rFonts w:hint="eastAsia" w:ascii="仿宋" w:hAnsi="仿宋" w:eastAsia="仿宋" w:cs="仿宋"/>
                <w:bCs/>
                <w:sz w:val="24"/>
                <w:szCs w:val="24"/>
              </w:rPr>
            </w:pPr>
            <w:r>
              <w:rPr>
                <w:rFonts w:hint="eastAsia" w:ascii="仿宋" w:hAnsi="仿宋" w:eastAsia="仿宋" w:cs="仿宋"/>
                <w:bCs/>
                <w:sz w:val="24"/>
                <w:szCs w:val="24"/>
              </w:rPr>
              <w:t>支撑课程目标1、2、3</w:t>
            </w:r>
          </w:p>
        </w:tc>
        <w:tc>
          <w:tcPr>
            <w:tcW w:w="924" w:type="dxa"/>
            <w:gridSpan w:val="2"/>
            <w:shd w:val="clear" w:color="auto" w:fill="FFFFFF"/>
            <w:vAlign w:val="center"/>
          </w:tcPr>
          <w:p w14:paraId="3A5DAAA9">
            <w:pPr>
              <w:jc w:val="center"/>
              <w:rPr>
                <w:rFonts w:hint="eastAsia" w:ascii="仿宋" w:hAnsi="仿宋" w:eastAsia="仿宋" w:cs="仿宋"/>
                <w:sz w:val="24"/>
                <w:szCs w:val="24"/>
              </w:rPr>
            </w:pPr>
            <w:r>
              <w:rPr>
                <w:rFonts w:hint="eastAsia" w:ascii="仿宋" w:hAnsi="仿宋" w:eastAsia="仿宋" w:cs="仿宋"/>
                <w:sz w:val="24"/>
                <w:szCs w:val="24"/>
              </w:rPr>
              <w:t>5</w:t>
            </w:r>
          </w:p>
        </w:tc>
      </w:tr>
      <w:tr w14:paraId="77D172E1">
        <w:trPr>
          <w:trHeight w:val="150" w:hRule="atLeast"/>
        </w:trPr>
        <w:tc>
          <w:tcPr>
            <w:tcW w:w="1376" w:type="dxa"/>
            <w:vMerge w:val="continue"/>
            <w:shd w:val="clear" w:color="auto" w:fill="FFFFFF"/>
            <w:vAlign w:val="center"/>
          </w:tcPr>
          <w:p w14:paraId="0A6AE9E2">
            <w:pPr>
              <w:jc w:val="center"/>
              <w:rPr>
                <w:rFonts w:hint="eastAsia" w:ascii="仿宋" w:hAnsi="仿宋" w:eastAsia="仿宋" w:cs="仿宋"/>
                <w:sz w:val="24"/>
                <w:szCs w:val="24"/>
              </w:rPr>
            </w:pPr>
          </w:p>
        </w:tc>
        <w:tc>
          <w:tcPr>
            <w:tcW w:w="5695" w:type="dxa"/>
            <w:gridSpan w:val="8"/>
            <w:vAlign w:val="center"/>
          </w:tcPr>
          <w:p w14:paraId="2983D615">
            <w:pPr>
              <w:rPr>
                <w:rFonts w:hint="eastAsia" w:ascii="仿宋" w:hAnsi="仿宋" w:eastAsia="仿宋" w:cs="仿宋"/>
                <w:b/>
                <w:kern w:val="0"/>
                <w:sz w:val="24"/>
                <w:szCs w:val="24"/>
              </w:rPr>
            </w:pPr>
            <w:r>
              <w:rPr>
                <w:rFonts w:hint="eastAsia" w:ascii="仿宋" w:hAnsi="仿宋" w:eastAsia="仿宋" w:cs="仿宋"/>
                <w:b/>
                <w:kern w:val="0"/>
                <w:sz w:val="24"/>
                <w:szCs w:val="24"/>
              </w:rPr>
              <w:t>训练二：有控制地运用气息和共鸣的歌唱训练</w:t>
            </w:r>
          </w:p>
          <w:p w14:paraId="2FFE63AF">
            <w:pPr>
              <w:widowControl/>
              <w:rPr>
                <w:rFonts w:hint="eastAsia" w:ascii="仿宋" w:hAnsi="仿宋" w:eastAsia="仿宋" w:cs="仿宋"/>
                <w:kern w:val="0"/>
                <w:sz w:val="24"/>
                <w:szCs w:val="24"/>
              </w:rPr>
            </w:pPr>
            <w:r>
              <w:rPr>
                <w:rFonts w:hint="eastAsia" w:ascii="仿宋" w:hAnsi="仿宋" w:eastAsia="仿宋" w:cs="仿宋"/>
                <w:b/>
                <w:kern w:val="0"/>
                <w:sz w:val="24"/>
                <w:szCs w:val="24"/>
              </w:rPr>
              <w:t>实训目的：</w:t>
            </w:r>
            <w:r>
              <w:rPr>
                <w:rFonts w:hint="eastAsia" w:ascii="仿宋" w:hAnsi="仿宋" w:eastAsia="仿宋" w:cs="仿宋"/>
                <w:kern w:val="0"/>
                <w:sz w:val="24"/>
                <w:szCs w:val="24"/>
              </w:rPr>
              <w:t>根据学生声部的特点在统一声区的基础上，进一步加强歌唱发声的技巧训练，着重气息控制训练，使学生逐步获得较好的头腔共鸣及整体共鸣，能有控制地运用气息和共鸣歌唱；</w:t>
            </w:r>
          </w:p>
          <w:p w14:paraId="4E3B89EF">
            <w:pPr>
              <w:widowControl/>
              <w:rPr>
                <w:rFonts w:hint="eastAsia" w:ascii="仿宋" w:hAnsi="仿宋" w:eastAsia="仿宋" w:cs="仿宋"/>
                <w:kern w:val="0"/>
                <w:sz w:val="24"/>
                <w:szCs w:val="24"/>
              </w:rPr>
            </w:pPr>
            <w:r>
              <w:rPr>
                <w:rFonts w:hint="eastAsia" w:ascii="仿宋" w:hAnsi="仿宋" w:eastAsia="仿宋" w:cs="仿宋"/>
                <w:b/>
                <w:kern w:val="0"/>
                <w:sz w:val="24"/>
                <w:szCs w:val="24"/>
              </w:rPr>
              <w:t>实训任务：1.</w:t>
            </w:r>
            <w:r>
              <w:rPr>
                <w:rFonts w:hint="eastAsia" w:ascii="仿宋" w:hAnsi="仿宋" w:eastAsia="仿宋" w:cs="仿宋"/>
                <w:kern w:val="0"/>
                <w:sz w:val="24"/>
                <w:szCs w:val="24"/>
              </w:rPr>
              <w:t>有控制地运用气息和共鸣歌唱。</w:t>
            </w:r>
          </w:p>
          <w:p w14:paraId="0CDBEDD5">
            <w:pPr>
              <w:ind w:firstLine="1205" w:firstLineChars="500"/>
              <w:jc w:val="left"/>
              <w:outlineLvl w:val="2"/>
              <w:rPr>
                <w:rFonts w:hint="eastAsia" w:ascii="仿宋" w:hAnsi="仿宋" w:eastAsia="仿宋" w:cs="仿宋"/>
                <w:bCs/>
                <w:sz w:val="24"/>
                <w:szCs w:val="24"/>
              </w:rPr>
            </w:pPr>
            <w:r>
              <w:rPr>
                <w:rFonts w:hint="eastAsia" w:ascii="仿宋" w:hAnsi="仿宋" w:eastAsia="仿宋" w:cs="仿宋"/>
                <w:b/>
                <w:kern w:val="0"/>
                <w:sz w:val="24"/>
                <w:szCs w:val="24"/>
              </w:rPr>
              <w:t>2.</w:t>
            </w:r>
            <w:r>
              <w:rPr>
                <w:rFonts w:hint="eastAsia" w:ascii="仿宋" w:hAnsi="仿宋" w:eastAsia="仿宋" w:cs="仿宋"/>
                <w:kern w:val="0"/>
                <w:sz w:val="24"/>
                <w:szCs w:val="24"/>
              </w:rPr>
              <w:t>对气息和声音有一定的控制能力，做到一定程度地、有控制地运用气息和共鸣歌唱。</w:t>
            </w:r>
          </w:p>
        </w:tc>
        <w:tc>
          <w:tcPr>
            <w:tcW w:w="1153" w:type="dxa"/>
            <w:gridSpan w:val="2"/>
            <w:vAlign w:val="center"/>
          </w:tcPr>
          <w:p w14:paraId="32ACDCB4">
            <w:pPr>
              <w:widowControl/>
              <w:jc w:val="center"/>
              <w:rPr>
                <w:rFonts w:hint="eastAsia" w:ascii="仿宋" w:hAnsi="仿宋" w:eastAsia="仿宋" w:cs="仿宋"/>
                <w:bCs/>
                <w:sz w:val="24"/>
                <w:szCs w:val="24"/>
              </w:rPr>
            </w:pPr>
            <w:r>
              <w:rPr>
                <w:rFonts w:hint="eastAsia" w:ascii="仿宋" w:hAnsi="仿宋" w:eastAsia="仿宋" w:cs="仿宋"/>
                <w:bCs/>
                <w:sz w:val="24"/>
                <w:szCs w:val="24"/>
              </w:rPr>
              <w:t>支撑课程目标1、2、3</w:t>
            </w:r>
          </w:p>
        </w:tc>
        <w:tc>
          <w:tcPr>
            <w:tcW w:w="924" w:type="dxa"/>
            <w:gridSpan w:val="2"/>
            <w:shd w:val="clear" w:color="auto" w:fill="FFFFFF"/>
            <w:vAlign w:val="center"/>
          </w:tcPr>
          <w:p w14:paraId="316BF8D0">
            <w:pPr>
              <w:jc w:val="center"/>
              <w:rPr>
                <w:rFonts w:hint="eastAsia" w:ascii="仿宋" w:hAnsi="仿宋" w:eastAsia="仿宋" w:cs="仿宋"/>
                <w:sz w:val="24"/>
                <w:szCs w:val="24"/>
              </w:rPr>
            </w:pPr>
            <w:r>
              <w:rPr>
                <w:rFonts w:hint="eastAsia" w:ascii="仿宋" w:hAnsi="仿宋" w:eastAsia="仿宋" w:cs="仿宋"/>
                <w:sz w:val="24"/>
                <w:szCs w:val="24"/>
              </w:rPr>
              <w:t>7</w:t>
            </w:r>
          </w:p>
        </w:tc>
      </w:tr>
      <w:tr w14:paraId="2CC381AF">
        <w:trPr>
          <w:trHeight w:val="190" w:hRule="atLeast"/>
        </w:trPr>
        <w:tc>
          <w:tcPr>
            <w:tcW w:w="1376" w:type="dxa"/>
            <w:vMerge w:val="continue"/>
            <w:shd w:val="clear" w:color="auto" w:fill="FFFFFF"/>
            <w:vAlign w:val="center"/>
          </w:tcPr>
          <w:p w14:paraId="0A3646D3">
            <w:pPr>
              <w:jc w:val="center"/>
              <w:rPr>
                <w:rFonts w:hint="eastAsia" w:ascii="仿宋" w:hAnsi="仿宋" w:eastAsia="仿宋" w:cs="仿宋"/>
                <w:sz w:val="24"/>
                <w:szCs w:val="24"/>
              </w:rPr>
            </w:pPr>
          </w:p>
        </w:tc>
        <w:tc>
          <w:tcPr>
            <w:tcW w:w="5695" w:type="dxa"/>
            <w:gridSpan w:val="8"/>
            <w:vAlign w:val="center"/>
          </w:tcPr>
          <w:p w14:paraId="03E23280">
            <w:pPr>
              <w:rPr>
                <w:rFonts w:hint="eastAsia" w:ascii="仿宋" w:hAnsi="仿宋" w:eastAsia="仿宋" w:cs="仿宋"/>
                <w:b/>
                <w:kern w:val="0"/>
                <w:sz w:val="24"/>
                <w:szCs w:val="24"/>
              </w:rPr>
            </w:pPr>
            <w:r>
              <w:rPr>
                <w:rFonts w:hint="eastAsia" w:ascii="仿宋" w:hAnsi="仿宋" w:eastAsia="仿宋" w:cs="仿宋"/>
                <w:b/>
                <w:kern w:val="0"/>
                <w:sz w:val="24"/>
                <w:szCs w:val="24"/>
              </w:rPr>
              <w:t>训练三：学习掌握运用较科学的演唱技巧</w:t>
            </w:r>
          </w:p>
          <w:p w14:paraId="747F78A5">
            <w:pPr>
              <w:jc w:val="left"/>
              <w:outlineLvl w:val="2"/>
              <w:rPr>
                <w:rFonts w:hint="eastAsia" w:ascii="仿宋" w:hAnsi="仿宋" w:eastAsia="仿宋" w:cs="仿宋"/>
                <w:kern w:val="0"/>
                <w:sz w:val="24"/>
                <w:szCs w:val="24"/>
              </w:rPr>
            </w:pPr>
            <w:r>
              <w:rPr>
                <w:rFonts w:hint="eastAsia" w:ascii="仿宋" w:hAnsi="仿宋" w:eastAsia="仿宋" w:cs="仿宋"/>
                <w:b/>
                <w:kern w:val="0"/>
                <w:sz w:val="24"/>
                <w:szCs w:val="24"/>
              </w:rPr>
              <w:t>实训目的：</w:t>
            </w:r>
            <w:r>
              <w:rPr>
                <w:rFonts w:hint="eastAsia" w:ascii="仿宋" w:hAnsi="仿宋" w:eastAsia="仿宋" w:cs="仿宋"/>
                <w:kern w:val="0"/>
                <w:sz w:val="24"/>
                <w:szCs w:val="24"/>
              </w:rPr>
              <w:t>在扩展音域的发声训练、有控制地运用气息和共鸣的歌唱训练的基础上，注重培养学生控制、变化音量和音色等技能技巧。引导学生通过吐字咬字及音色、音量、力度的调整来正确地表现声乐作品，在歌唱中能较完整地表达歌曲的内容和意境，声情并茂；</w:t>
            </w:r>
          </w:p>
          <w:p w14:paraId="2D645102">
            <w:pPr>
              <w:jc w:val="left"/>
              <w:outlineLvl w:val="2"/>
              <w:rPr>
                <w:rFonts w:hint="eastAsia" w:ascii="仿宋" w:hAnsi="仿宋" w:eastAsia="仿宋" w:cs="仿宋"/>
                <w:kern w:val="0"/>
                <w:sz w:val="24"/>
                <w:szCs w:val="24"/>
              </w:rPr>
            </w:pPr>
            <w:r>
              <w:rPr>
                <w:rFonts w:hint="eastAsia" w:ascii="仿宋" w:hAnsi="仿宋" w:eastAsia="仿宋" w:cs="仿宋"/>
                <w:b/>
                <w:kern w:val="0"/>
                <w:sz w:val="24"/>
                <w:szCs w:val="24"/>
              </w:rPr>
              <w:t>实训任务：1.</w:t>
            </w:r>
            <w:r>
              <w:rPr>
                <w:rFonts w:hint="eastAsia" w:ascii="仿宋" w:hAnsi="仿宋" w:eastAsia="仿宋" w:cs="仿宋"/>
                <w:kern w:val="0"/>
                <w:sz w:val="24"/>
                <w:szCs w:val="24"/>
              </w:rPr>
              <w:t>运用科学的演唱技巧来表现音乐。</w:t>
            </w:r>
          </w:p>
          <w:p w14:paraId="58A82BB5">
            <w:pPr>
              <w:ind w:firstLine="1205" w:firstLineChars="500"/>
              <w:jc w:val="left"/>
              <w:outlineLvl w:val="2"/>
              <w:rPr>
                <w:rFonts w:hint="eastAsia" w:ascii="仿宋" w:hAnsi="仿宋" w:eastAsia="仿宋" w:cs="仿宋"/>
                <w:bCs/>
                <w:sz w:val="24"/>
                <w:szCs w:val="24"/>
              </w:rPr>
            </w:pPr>
            <w:r>
              <w:rPr>
                <w:rFonts w:hint="eastAsia" w:ascii="仿宋" w:hAnsi="仿宋" w:eastAsia="仿宋" w:cs="仿宋"/>
                <w:b/>
                <w:kern w:val="0"/>
                <w:sz w:val="24"/>
                <w:szCs w:val="24"/>
              </w:rPr>
              <w:t>2.</w:t>
            </w:r>
            <w:r>
              <w:rPr>
                <w:rFonts w:hint="eastAsia" w:ascii="仿宋" w:hAnsi="仿宋" w:eastAsia="仿宋" w:cs="仿宋"/>
                <w:kern w:val="0"/>
                <w:sz w:val="24"/>
                <w:szCs w:val="24"/>
              </w:rPr>
              <w:t>能较准确地运用声音的音色、音量、力度的变化，表达歌曲的内容和意境。</w:t>
            </w:r>
          </w:p>
        </w:tc>
        <w:tc>
          <w:tcPr>
            <w:tcW w:w="1153" w:type="dxa"/>
            <w:gridSpan w:val="2"/>
            <w:vAlign w:val="center"/>
          </w:tcPr>
          <w:p w14:paraId="7424B4CB">
            <w:pPr>
              <w:widowControl/>
              <w:jc w:val="center"/>
              <w:rPr>
                <w:rFonts w:hint="eastAsia" w:ascii="仿宋" w:hAnsi="仿宋" w:eastAsia="仿宋" w:cs="仿宋"/>
                <w:bCs/>
                <w:sz w:val="24"/>
                <w:szCs w:val="24"/>
              </w:rPr>
            </w:pPr>
            <w:r>
              <w:rPr>
                <w:rFonts w:hint="eastAsia" w:ascii="仿宋" w:hAnsi="仿宋" w:eastAsia="仿宋" w:cs="仿宋"/>
                <w:bCs/>
                <w:sz w:val="24"/>
                <w:szCs w:val="24"/>
              </w:rPr>
              <w:t>支撑课程目标1、2、3</w:t>
            </w:r>
          </w:p>
          <w:p w14:paraId="48F4DBB1">
            <w:pPr>
              <w:jc w:val="center"/>
              <w:rPr>
                <w:rFonts w:hint="eastAsia" w:ascii="仿宋" w:hAnsi="仿宋" w:eastAsia="仿宋" w:cs="仿宋"/>
                <w:bCs/>
                <w:sz w:val="24"/>
                <w:szCs w:val="24"/>
              </w:rPr>
            </w:pPr>
          </w:p>
        </w:tc>
        <w:tc>
          <w:tcPr>
            <w:tcW w:w="924" w:type="dxa"/>
            <w:gridSpan w:val="2"/>
            <w:shd w:val="clear" w:color="auto" w:fill="FFFFFF"/>
            <w:vAlign w:val="center"/>
          </w:tcPr>
          <w:p w14:paraId="0D1FA250">
            <w:pPr>
              <w:jc w:val="center"/>
              <w:rPr>
                <w:rFonts w:hint="eastAsia" w:ascii="仿宋" w:hAnsi="仿宋" w:eastAsia="仿宋" w:cs="仿宋"/>
                <w:sz w:val="24"/>
                <w:szCs w:val="24"/>
              </w:rPr>
            </w:pPr>
            <w:r>
              <w:rPr>
                <w:rFonts w:hint="eastAsia" w:ascii="仿宋" w:hAnsi="仿宋" w:eastAsia="仿宋" w:cs="仿宋"/>
                <w:sz w:val="24"/>
                <w:szCs w:val="24"/>
              </w:rPr>
              <w:t>18</w:t>
            </w:r>
          </w:p>
        </w:tc>
      </w:tr>
      <w:tr w14:paraId="306CEB10">
        <w:trPr>
          <w:trHeight w:val="182" w:hRule="atLeast"/>
        </w:trPr>
        <w:tc>
          <w:tcPr>
            <w:tcW w:w="1376" w:type="dxa"/>
            <w:vMerge w:val="continue"/>
            <w:shd w:val="clear" w:color="auto" w:fill="FFFFFF"/>
            <w:vAlign w:val="center"/>
          </w:tcPr>
          <w:p w14:paraId="5C7DF757">
            <w:pPr>
              <w:jc w:val="center"/>
              <w:rPr>
                <w:rFonts w:hint="eastAsia" w:ascii="仿宋" w:hAnsi="仿宋" w:eastAsia="仿宋" w:cs="仿宋"/>
                <w:sz w:val="24"/>
                <w:szCs w:val="24"/>
              </w:rPr>
            </w:pPr>
          </w:p>
        </w:tc>
        <w:tc>
          <w:tcPr>
            <w:tcW w:w="5695" w:type="dxa"/>
            <w:gridSpan w:val="8"/>
            <w:vAlign w:val="center"/>
          </w:tcPr>
          <w:p w14:paraId="7AD5F61A">
            <w:pPr>
              <w:rPr>
                <w:rFonts w:hint="eastAsia" w:ascii="仿宋" w:hAnsi="仿宋" w:eastAsia="仿宋" w:cs="仿宋"/>
                <w:b/>
                <w:kern w:val="0"/>
                <w:sz w:val="24"/>
                <w:szCs w:val="24"/>
              </w:rPr>
            </w:pPr>
            <w:r>
              <w:rPr>
                <w:rFonts w:hint="eastAsia" w:ascii="仿宋" w:hAnsi="仿宋" w:eastAsia="仿宋" w:cs="仿宋"/>
                <w:b/>
                <w:kern w:val="0"/>
                <w:sz w:val="24"/>
                <w:szCs w:val="24"/>
              </w:rPr>
              <w:t>训练四：培养歌唱表现能力和初步的演唱风格</w:t>
            </w:r>
          </w:p>
          <w:p w14:paraId="55DCE2B7">
            <w:pPr>
              <w:ind w:right="-334" w:rightChars="-159"/>
              <w:jc w:val="left"/>
              <w:outlineLvl w:val="2"/>
              <w:rPr>
                <w:rFonts w:hint="eastAsia" w:ascii="仿宋" w:hAnsi="仿宋" w:eastAsia="仿宋" w:cs="仿宋"/>
                <w:kern w:val="0"/>
                <w:sz w:val="24"/>
                <w:szCs w:val="24"/>
              </w:rPr>
            </w:pPr>
            <w:r>
              <w:rPr>
                <w:rFonts w:hint="eastAsia" w:ascii="仿宋" w:hAnsi="仿宋" w:eastAsia="仿宋" w:cs="仿宋"/>
                <w:b/>
                <w:kern w:val="0"/>
                <w:sz w:val="24"/>
                <w:szCs w:val="24"/>
              </w:rPr>
              <w:t>实训目的：</w:t>
            </w:r>
            <w:r>
              <w:rPr>
                <w:rFonts w:hint="eastAsia" w:ascii="仿宋" w:hAnsi="仿宋" w:eastAsia="仿宋" w:cs="仿宋"/>
                <w:kern w:val="0"/>
                <w:sz w:val="24"/>
                <w:szCs w:val="24"/>
              </w:rPr>
              <w:t>培养学生在较熟练地掌握科学演唱技巧的基础上，能演唱难度较大、风格多样的典范声乐作品，演唱的音色与作品统一、情感与作品统一，演唱较为完整、生动，“声情并茂”，初步形成自己的演唱风格；</w:t>
            </w:r>
          </w:p>
          <w:p w14:paraId="05AD8552">
            <w:pPr>
              <w:widowControl/>
              <w:rPr>
                <w:rFonts w:hint="eastAsia" w:ascii="仿宋" w:hAnsi="仿宋" w:eastAsia="仿宋" w:cs="仿宋"/>
                <w:kern w:val="0"/>
                <w:sz w:val="24"/>
                <w:szCs w:val="24"/>
              </w:rPr>
            </w:pPr>
            <w:r>
              <w:rPr>
                <w:rFonts w:hint="eastAsia" w:ascii="仿宋" w:hAnsi="仿宋" w:eastAsia="仿宋" w:cs="仿宋"/>
                <w:b/>
                <w:kern w:val="0"/>
                <w:sz w:val="24"/>
                <w:szCs w:val="24"/>
              </w:rPr>
              <w:t>实训任务：1.</w:t>
            </w:r>
            <w:r>
              <w:rPr>
                <w:rFonts w:hint="eastAsia" w:ascii="仿宋" w:hAnsi="仿宋" w:eastAsia="仿宋" w:cs="仿宋"/>
                <w:kern w:val="0"/>
                <w:sz w:val="24"/>
                <w:szCs w:val="24"/>
              </w:rPr>
              <w:t>具备独立分析处理和表现声乐作品的能力。</w:t>
            </w:r>
          </w:p>
          <w:p w14:paraId="4401790D">
            <w:pPr>
              <w:ind w:firstLine="1205" w:firstLineChars="500"/>
              <w:jc w:val="left"/>
              <w:outlineLvl w:val="2"/>
              <w:rPr>
                <w:rFonts w:hint="eastAsia" w:ascii="仿宋" w:hAnsi="仿宋" w:eastAsia="仿宋" w:cs="仿宋"/>
                <w:bCs/>
                <w:sz w:val="24"/>
                <w:szCs w:val="24"/>
              </w:rPr>
            </w:pPr>
            <w:r>
              <w:rPr>
                <w:rFonts w:hint="eastAsia" w:ascii="仿宋" w:hAnsi="仿宋" w:eastAsia="仿宋" w:cs="仿宋"/>
                <w:b/>
                <w:kern w:val="0"/>
                <w:sz w:val="24"/>
                <w:szCs w:val="24"/>
              </w:rPr>
              <w:t>2.</w:t>
            </w:r>
            <w:r>
              <w:rPr>
                <w:rFonts w:hint="eastAsia" w:ascii="仿宋" w:hAnsi="仿宋" w:eastAsia="仿宋" w:cs="仿宋"/>
                <w:kern w:val="0"/>
                <w:sz w:val="24"/>
                <w:szCs w:val="24"/>
              </w:rPr>
              <w:t>演唱中外艺术歌曲和歌剧，培养独立分析处理和表现声乐作品的能力，培养独立分析和表现这类声乐作品的能力。</w:t>
            </w:r>
          </w:p>
        </w:tc>
        <w:tc>
          <w:tcPr>
            <w:tcW w:w="1153" w:type="dxa"/>
            <w:gridSpan w:val="2"/>
            <w:vAlign w:val="center"/>
          </w:tcPr>
          <w:p w14:paraId="4B3A259B">
            <w:pPr>
              <w:widowControl/>
              <w:rPr>
                <w:rFonts w:hint="eastAsia" w:ascii="仿宋" w:hAnsi="仿宋" w:eastAsia="仿宋" w:cs="仿宋"/>
                <w:bCs/>
                <w:sz w:val="24"/>
                <w:szCs w:val="24"/>
              </w:rPr>
            </w:pPr>
            <w:r>
              <w:rPr>
                <w:rFonts w:hint="eastAsia" w:ascii="仿宋" w:hAnsi="仿宋" w:eastAsia="仿宋" w:cs="仿宋"/>
                <w:bCs/>
                <w:sz w:val="24"/>
                <w:szCs w:val="24"/>
              </w:rPr>
              <w:t>支撑课程目标1、2、3</w:t>
            </w:r>
          </w:p>
          <w:p w14:paraId="4BEC0C2C">
            <w:pPr>
              <w:jc w:val="center"/>
              <w:rPr>
                <w:rFonts w:hint="eastAsia" w:ascii="仿宋" w:hAnsi="仿宋" w:eastAsia="仿宋" w:cs="仿宋"/>
                <w:bCs/>
                <w:sz w:val="24"/>
                <w:szCs w:val="24"/>
              </w:rPr>
            </w:pPr>
          </w:p>
        </w:tc>
        <w:tc>
          <w:tcPr>
            <w:tcW w:w="924" w:type="dxa"/>
            <w:gridSpan w:val="2"/>
            <w:shd w:val="clear" w:color="auto" w:fill="FFFFFF"/>
            <w:vAlign w:val="center"/>
          </w:tcPr>
          <w:p w14:paraId="6423AA26">
            <w:pPr>
              <w:jc w:val="center"/>
              <w:rPr>
                <w:rFonts w:hint="eastAsia" w:ascii="仿宋" w:hAnsi="仿宋" w:eastAsia="仿宋" w:cs="仿宋"/>
                <w:sz w:val="24"/>
                <w:szCs w:val="24"/>
              </w:rPr>
            </w:pPr>
            <w:r>
              <w:rPr>
                <w:rFonts w:hint="eastAsia" w:ascii="仿宋" w:hAnsi="仿宋" w:eastAsia="仿宋" w:cs="仿宋"/>
                <w:sz w:val="24"/>
                <w:szCs w:val="24"/>
              </w:rPr>
              <w:t>18</w:t>
            </w:r>
          </w:p>
        </w:tc>
      </w:tr>
      <w:tr w14:paraId="093BA00D">
        <w:trPr>
          <w:trHeight w:val="454" w:hRule="atLeast"/>
        </w:trPr>
        <w:tc>
          <w:tcPr>
            <w:tcW w:w="1376" w:type="dxa"/>
            <w:vMerge w:val="continue"/>
            <w:shd w:val="clear" w:color="auto" w:fill="FFFFFF"/>
            <w:vAlign w:val="center"/>
          </w:tcPr>
          <w:p w14:paraId="7509C1AF">
            <w:pPr>
              <w:jc w:val="center"/>
              <w:rPr>
                <w:rFonts w:hint="eastAsia" w:ascii="仿宋" w:hAnsi="仿宋" w:eastAsia="仿宋" w:cs="仿宋"/>
                <w:sz w:val="24"/>
                <w:szCs w:val="24"/>
              </w:rPr>
            </w:pPr>
          </w:p>
        </w:tc>
        <w:tc>
          <w:tcPr>
            <w:tcW w:w="6848" w:type="dxa"/>
            <w:gridSpan w:val="10"/>
            <w:vAlign w:val="center"/>
          </w:tcPr>
          <w:p w14:paraId="5B6AA638">
            <w:pPr>
              <w:jc w:val="center"/>
              <w:rPr>
                <w:rFonts w:hint="eastAsia" w:ascii="仿宋" w:hAnsi="仿宋" w:eastAsia="仿宋" w:cs="仿宋"/>
                <w:bCs/>
                <w:sz w:val="24"/>
                <w:szCs w:val="24"/>
              </w:rPr>
            </w:pPr>
            <w:r>
              <w:rPr>
                <w:rFonts w:hint="eastAsia" w:ascii="仿宋" w:hAnsi="仿宋" w:eastAsia="仿宋" w:cs="仿宋"/>
                <w:bCs/>
                <w:sz w:val="24"/>
                <w:szCs w:val="24"/>
              </w:rPr>
              <w:t>合计</w:t>
            </w:r>
          </w:p>
        </w:tc>
        <w:tc>
          <w:tcPr>
            <w:tcW w:w="924" w:type="dxa"/>
            <w:gridSpan w:val="2"/>
            <w:shd w:val="clear" w:color="auto" w:fill="FFFFFF"/>
            <w:vAlign w:val="center"/>
          </w:tcPr>
          <w:p w14:paraId="28382B53">
            <w:pPr>
              <w:jc w:val="center"/>
              <w:rPr>
                <w:rFonts w:hint="eastAsia" w:ascii="仿宋" w:hAnsi="仿宋" w:eastAsia="仿宋" w:cs="仿宋"/>
                <w:sz w:val="24"/>
                <w:szCs w:val="24"/>
              </w:rPr>
            </w:pPr>
            <w:r>
              <w:rPr>
                <w:rFonts w:hint="eastAsia" w:ascii="仿宋" w:hAnsi="仿宋" w:eastAsia="仿宋" w:cs="仿宋"/>
                <w:sz w:val="24"/>
                <w:szCs w:val="24"/>
              </w:rPr>
              <w:t>48</w:t>
            </w:r>
          </w:p>
        </w:tc>
      </w:tr>
      <w:tr w14:paraId="5E0F8724">
        <w:trPr>
          <w:trHeight w:val="495" w:hRule="atLeast"/>
        </w:trPr>
        <w:tc>
          <w:tcPr>
            <w:tcW w:w="1376" w:type="dxa"/>
            <w:vMerge w:val="restart"/>
            <w:shd w:val="clear" w:color="auto" w:fill="FFFFFF"/>
            <w:vAlign w:val="center"/>
          </w:tcPr>
          <w:p w14:paraId="2F15434D">
            <w:pPr>
              <w:jc w:val="center"/>
              <w:rPr>
                <w:rFonts w:hint="eastAsia" w:ascii="仿宋" w:hAnsi="仿宋" w:eastAsia="仿宋" w:cs="仿宋"/>
                <w:sz w:val="24"/>
                <w:szCs w:val="24"/>
              </w:rPr>
            </w:pPr>
            <w:r>
              <w:rPr>
                <w:rFonts w:hint="eastAsia" w:ascii="仿宋" w:hAnsi="仿宋" w:eastAsia="仿宋" w:cs="仿宋"/>
                <w:sz w:val="24"/>
                <w:szCs w:val="24"/>
              </w:rPr>
              <w:t>H</w:t>
            </w:r>
          </w:p>
          <w:p w14:paraId="177E7E80">
            <w:pPr>
              <w:jc w:val="center"/>
              <w:rPr>
                <w:rFonts w:hint="eastAsia" w:ascii="仿宋" w:hAnsi="仿宋" w:eastAsia="仿宋" w:cs="仿宋"/>
                <w:sz w:val="24"/>
                <w:szCs w:val="24"/>
              </w:rPr>
            </w:pPr>
            <w:r>
              <w:rPr>
                <w:rFonts w:hint="eastAsia" w:ascii="仿宋" w:hAnsi="仿宋" w:eastAsia="仿宋" w:cs="仿宋"/>
                <w:sz w:val="24"/>
                <w:szCs w:val="24"/>
              </w:rPr>
              <w:t>实践内容（含教育实习、见习、研习，专业实习、毕业论文或毕业设计等）</w:t>
            </w:r>
          </w:p>
        </w:tc>
        <w:tc>
          <w:tcPr>
            <w:tcW w:w="5695" w:type="dxa"/>
            <w:gridSpan w:val="8"/>
            <w:vAlign w:val="center"/>
          </w:tcPr>
          <w:p w14:paraId="78A18BAE">
            <w:pPr>
              <w:jc w:val="center"/>
              <w:rPr>
                <w:rFonts w:hint="eastAsia" w:ascii="仿宋" w:hAnsi="仿宋" w:eastAsia="仿宋" w:cs="仿宋"/>
                <w:sz w:val="24"/>
                <w:szCs w:val="24"/>
              </w:rPr>
            </w:pPr>
            <w:r>
              <w:rPr>
                <w:rFonts w:hint="eastAsia" w:ascii="仿宋" w:hAnsi="仿宋" w:eastAsia="仿宋" w:cs="仿宋"/>
                <w:sz w:val="24"/>
                <w:szCs w:val="24"/>
              </w:rPr>
              <w:t>实践主要内容和要求</w:t>
            </w:r>
          </w:p>
        </w:tc>
        <w:tc>
          <w:tcPr>
            <w:tcW w:w="1153" w:type="dxa"/>
            <w:gridSpan w:val="2"/>
            <w:vAlign w:val="center"/>
          </w:tcPr>
          <w:p w14:paraId="12E90B1F">
            <w:pPr>
              <w:jc w:val="center"/>
              <w:rPr>
                <w:rFonts w:hint="eastAsia" w:ascii="仿宋" w:hAnsi="仿宋" w:eastAsia="仿宋" w:cs="仿宋"/>
                <w:kern w:val="0"/>
                <w:sz w:val="24"/>
                <w:szCs w:val="24"/>
              </w:rPr>
            </w:pPr>
            <w:r>
              <w:rPr>
                <w:rFonts w:hint="eastAsia" w:ascii="仿宋" w:hAnsi="仿宋" w:eastAsia="仿宋" w:cs="仿宋"/>
                <w:kern w:val="0"/>
                <w:sz w:val="24"/>
                <w:szCs w:val="24"/>
              </w:rPr>
              <w:t>支撑课程</w:t>
            </w:r>
          </w:p>
          <w:p w14:paraId="0F7A9007">
            <w:pPr>
              <w:jc w:val="center"/>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924" w:type="dxa"/>
            <w:gridSpan w:val="2"/>
            <w:vAlign w:val="center"/>
          </w:tcPr>
          <w:p w14:paraId="0680FE16">
            <w:pPr>
              <w:jc w:val="center"/>
              <w:rPr>
                <w:rFonts w:ascii="仿宋" w:hAnsi="仿宋" w:eastAsia="仿宋" w:cs="仿宋"/>
                <w:kern w:val="0"/>
                <w:sz w:val="24"/>
                <w:szCs w:val="24"/>
              </w:rPr>
            </w:pPr>
            <w:r>
              <w:rPr>
                <w:rFonts w:hint="eastAsia" w:ascii="仿宋" w:hAnsi="仿宋" w:eastAsia="仿宋" w:cs="仿宋"/>
                <w:kern w:val="0"/>
                <w:sz w:val="24"/>
                <w:szCs w:val="24"/>
              </w:rPr>
              <w:t>时长</w:t>
            </w:r>
          </w:p>
          <w:p w14:paraId="5E65C0B3">
            <w:pPr>
              <w:jc w:val="center"/>
              <w:rPr>
                <w:rFonts w:hint="eastAsia" w:ascii="仿宋" w:hAnsi="仿宋" w:eastAsia="仿宋" w:cs="仿宋"/>
                <w:sz w:val="24"/>
                <w:szCs w:val="24"/>
              </w:rPr>
            </w:pPr>
            <w:r>
              <w:rPr>
                <w:rFonts w:hint="eastAsia" w:ascii="仿宋" w:hAnsi="仿宋" w:eastAsia="仿宋" w:cs="仿宋"/>
                <w:kern w:val="0"/>
                <w:sz w:val="24"/>
                <w:szCs w:val="24"/>
              </w:rPr>
              <w:t>分配</w:t>
            </w:r>
          </w:p>
        </w:tc>
      </w:tr>
      <w:tr w14:paraId="62636655">
        <w:trPr>
          <w:trHeight w:val="90" w:hRule="atLeast"/>
        </w:trPr>
        <w:tc>
          <w:tcPr>
            <w:tcW w:w="1376" w:type="dxa"/>
            <w:vMerge w:val="continue"/>
            <w:shd w:val="clear" w:color="auto" w:fill="FFFFFF"/>
            <w:vAlign w:val="center"/>
          </w:tcPr>
          <w:p w14:paraId="314A6F6B">
            <w:pPr>
              <w:jc w:val="center"/>
              <w:rPr>
                <w:rFonts w:hint="eastAsia" w:ascii="仿宋" w:hAnsi="仿宋" w:eastAsia="仿宋" w:cs="仿宋"/>
                <w:sz w:val="24"/>
                <w:szCs w:val="24"/>
              </w:rPr>
            </w:pPr>
          </w:p>
        </w:tc>
        <w:tc>
          <w:tcPr>
            <w:tcW w:w="5695" w:type="dxa"/>
            <w:gridSpan w:val="8"/>
            <w:vAlign w:val="top"/>
          </w:tcPr>
          <w:p w14:paraId="14B0220A">
            <w:pPr>
              <w:widowControl/>
              <w:autoSpaceDE w:val="0"/>
              <w:autoSpaceDN w:val="0"/>
              <w:jc w:val="left"/>
              <w:rPr>
                <w:rFonts w:hint="eastAsia" w:ascii="仿宋" w:hAnsi="仿宋" w:eastAsia="仿宋" w:cs="仿宋"/>
                <w:sz w:val="24"/>
                <w:szCs w:val="24"/>
              </w:rPr>
            </w:pPr>
          </w:p>
        </w:tc>
        <w:tc>
          <w:tcPr>
            <w:tcW w:w="1153" w:type="dxa"/>
            <w:gridSpan w:val="2"/>
            <w:vAlign w:val="top"/>
          </w:tcPr>
          <w:p w14:paraId="286BEF2D">
            <w:pPr>
              <w:jc w:val="left"/>
              <w:rPr>
                <w:rFonts w:hint="eastAsia" w:ascii="仿宋" w:hAnsi="仿宋" w:eastAsia="仿宋" w:cs="仿宋"/>
                <w:sz w:val="24"/>
                <w:szCs w:val="24"/>
              </w:rPr>
            </w:pPr>
          </w:p>
        </w:tc>
        <w:tc>
          <w:tcPr>
            <w:tcW w:w="924" w:type="dxa"/>
            <w:gridSpan w:val="2"/>
            <w:vAlign w:val="top"/>
          </w:tcPr>
          <w:p w14:paraId="124D3D7F">
            <w:pPr>
              <w:jc w:val="left"/>
              <w:rPr>
                <w:rFonts w:hint="eastAsia" w:ascii="仿宋" w:hAnsi="仿宋" w:eastAsia="仿宋" w:cs="仿宋"/>
                <w:sz w:val="24"/>
                <w:szCs w:val="24"/>
              </w:rPr>
            </w:pPr>
            <w:r>
              <w:rPr>
                <w:rFonts w:hint="eastAsia" w:ascii="仿宋" w:hAnsi="仿宋" w:eastAsia="仿宋" w:cs="仿宋"/>
                <w:sz w:val="24"/>
                <w:szCs w:val="24"/>
              </w:rPr>
              <w:t xml:space="preserve"> </w:t>
            </w:r>
          </w:p>
          <w:p w14:paraId="5DED2375">
            <w:pPr>
              <w:jc w:val="left"/>
              <w:rPr>
                <w:rFonts w:hint="eastAsia" w:ascii="仿宋" w:hAnsi="仿宋" w:eastAsia="仿宋" w:cs="仿宋"/>
                <w:sz w:val="24"/>
                <w:szCs w:val="24"/>
              </w:rPr>
            </w:pPr>
          </w:p>
          <w:p w14:paraId="13562F82">
            <w:pPr>
              <w:jc w:val="left"/>
              <w:rPr>
                <w:rFonts w:hint="eastAsia" w:ascii="仿宋" w:hAnsi="仿宋" w:eastAsia="仿宋" w:cs="仿宋"/>
                <w:sz w:val="24"/>
                <w:szCs w:val="24"/>
              </w:rPr>
            </w:pPr>
            <w:r>
              <w:rPr>
                <w:rFonts w:hint="eastAsia" w:ascii="仿宋" w:hAnsi="仿宋" w:eastAsia="仿宋" w:cs="仿宋"/>
                <w:sz w:val="24"/>
                <w:szCs w:val="24"/>
              </w:rPr>
              <w:t xml:space="preserve">   </w:t>
            </w:r>
          </w:p>
        </w:tc>
      </w:tr>
      <w:tr w14:paraId="2BD3C405">
        <w:trPr>
          <w:trHeight w:val="921" w:hRule="atLeast"/>
        </w:trPr>
        <w:tc>
          <w:tcPr>
            <w:tcW w:w="1376" w:type="dxa"/>
            <w:vAlign w:val="center"/>
          </w:tcPr>
          <w:p w14:paraId="23413EB4">
            <w:pPr>
              <w:jc w:val="center"/>
              <w:rPr>
                <w:rFonts w:hint="eastAsia" w:ascii="仿宋" w:hAnsi="仿宋" w:eastAsia="仿宋" w:cs="仿宋"/>
                <w:sz w:val="24"/>
                <w:szCs w:val="24"/>
              </w:rPr>
            </w:pPr>
            <w:r>
              <w:rPr>
                <w:rFonts w:hint="eastAsia" w:ascii="仿宋" w:hAnsi="仿宋" w:eastAsia="仿宋" w:cs="仿宋"/>
                <w:sz w:val="24"/>
                <w:szCs w:val="24"/>
              </w:rPr>
              <w:t>I</w:t>
            </w:r>
          </w:p>
          <w:p w14:paraId="405DFEC6">
            <w:pPr>
              <w:jc w:val="center"/>
              <w:rPr>
                <w:rFonts w:hint="eastAsia" w:ascii="仿宋" w:hAnsi="仿宋" w:eastAsia="仿宋" w:cs="仿宋"/>
                <w:sz w:val="24"/>
                <w:szCs w:val="24"/>
                <w:lang w:eastAsia="zh-TW"/>
              </w:rPr>
            </w:pPr>
            <w:r>
              <w:rPr>
                <w:rFonts w:hint="eastAsia" w:ascii="仿宋" w:hAnsi="仿宋" w:eastAsia="仿宋" w:cs="仿宋"/>
                <w:sz w:val="24"/>
                <w:szCs w:val="24"/>
              </w:rPr>
              <w:t>教学方法与教学方式</w:t>
            </w:r>
          </w:p>
        </w:tc>
        <w:tc>
          <w:tcPr>
            <w:tcW w:w="7772" w:type="dxa"/>
            <w:gridSpan w:val="12"/>
            <w:tcBorders>
              <w:bottom w:val="single" w:color="auto" w:sz="4" w:space="0"/>
            </w:tcBorders>
            <w:vAlign w:val="center"/>
          </w:tcPr>
          <w:p w14:paraId="70267529">
            <w:pPr>
              <w:numPr>
                <w:ilvl w:val="0"/>
                <w:numId w:val="31"/>
              </w:numPr>
              <w:rPr>
                <w:rFonts w:hint="eastAsia" w:ascii="仿宋" w:hAnsi="仿宋" w:eastAsia="仿宋" w:cs="仿宋"/>
                <w:sz w:val="24"/>
                <w:szCs w:val="24"/>
              </w:rPr>
            </w:pPr>
            <w:r>
              <w:rPr>
                <w:rFonts w:hint="eastAsia" w:ascii="仿宋" w:hAnsi="仿宋" w:eastAsia="仿宋" w:cs="仿宋"/>
                <w:sz w:val="24"/>
                <w:szCs w:val="24"/>
              </w:rPr>
              <w:t>示范教学法，在课堂上进行示范演奏，让学生直观学习。</w:t>
            </w:r>
          </w:p>
          <w:p w14:paraId="1C6DB9CF">
            <w:pPr>
              <w:rPr>
                <w:rFonts w:hint="eastAsia" w:ascii="仿宋" w:hAnsi="仿宋" w:eastAsia="仿宋" w:cs="仿宋"/>
                <w:sz w:val="24"/>
                <w:szCs w:val="24"/>
              </w:rPr>
            </w:pPr>
            <w:r>
              <w:rPr>
                <w:rFonts w:hint="eastAsia" w:ascii="仿宋" w:hAnsi="仿宋" w:eastAsia="仿宋" w:cs="仿宋"/>
                <w:sz w:val="24"/>
                <w:szCs w:val="24"/>
              </w:rPr>
              <w:t>2、分析教学法，通过课堂对技能技巧以及音乐情感如何表现进行分析，加上讨论纠错等方式，引导学生发现问题解决问题。</w:t>
            </w:r>
          </w:p>
          <w:p w14:paraId="5FDBA1A8">
            <w:pPr>
              <w:rPr>
                <w:rFonts w:hint="eastAsia" w:ascii="仿宋" w:hAnsi="仿宋" w:eastAsia="仿宋" w:cs="仿宋"/>
                <w:sz w:val="24"/>
                <w:szCs w:val="24"/>
              </w:rPr>
            </w:pPr>
            <w:r>
              <w:rPr>
                <w:rFonts w:hint="eastAsia" w:ascii="仿宋" w:hAnsi="仿宋" w:eastAsia="仿宋" w:cs="仿宋"/>
                <w:sz w:val="24"/>
                <w:szCs w:val="24"/>
              </w:rPr>
              <w:t>3、本课程以课堂讲授与练习相结合，采用小组课的授课方式，对学生的表演、演唱技巧及与声乐相关的其他相关的知识进行细致详尽的讲解、示范与辅导。</w:t>
            </w:r>
          </w:p>
          <w:p w14:paraId="7F62E291">
            <w:pPr>
              <w:rPr>
                <w:rFonts w:hint="eastAsia" w:ascii="仿宋" w:hAnsi="仿宋" w:eastAsia="仿宋" w:cs="仿宋"/>
                <w:sz w:val="24"/>
                <w:szCs w:val="24"/>
              </w:rPr>
            </w:pPr>
            <w:r>
              <w:rPr>
                <w:rFonts w:hint="eastAsia" w:ascii="仿宋" w:hAnsi="仿宋" w:eastAsia="仿宋" w:cs="仿宋"/>
                <w:sz w:val="24"/>
                <w:szCs w:val="24"/>
              </w:rPr>
              <w:t>4、开通网络课堂，达到与学生及时沟通、交流的目的。同时重视师生互动与小组活动，组织课堂小组讨论和小组练习，将课堂教学变为师生共同活动的过程。</w:t>
            </w:r>
          </w:p>
          <w:p w14:paraId="7D11A311">
            <w:pPr>
              <w:rPr>
                <w:rFonts w:hint="eastAsia" w:ascii="仿宋" w:hAnsi="仿宋" w:eastAsia="仿宋" w:cs="仿宋"/>
                <w:sz w:val="24"/>
                <w:szCs w:val="24"/>
              </w:rPr>
            </w:pPr>
            <w:r>
              <w:rPr>
                <w:rFonts w:hint="eastAsia" w:ascii="仿宋" w:hAnsi="仿宋" w:eastAsia="仿宋" w:cs="仿宋"/>
                <w:sz w:val="24"/>
                <w:szCs w:val="24"/>
              </w:rPr>
              <w:t>5、主要方式：</w:t>
            </w:r>
          </w:p>
          <w:p w14:paraId="1E4E46D4">
            <w:pPr>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讲授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网络学习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讨论或座谈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问题导向学  </w:t>
            </w:r>
          </w:p>
          <w:p w14:paraId="0FEA1C84">
            <w:pPr>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分组合作学习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专题学习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实作学习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发表学习  </w:t>
            </w:r>
          </w:p>
          <w:p w14:paraId="2C031AB2">
            <w:pPr>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实习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参观访问  </w:t>
            </w:r>
            <w:r>
              <w:rPr>
                <w:rFonts w:hint="eastAsia" w:ascii="仿宋" w:hAnsi="仿宋" w:eastAsia="仿宋" w:cs="仿宋"/>
                <w:sz w:val="24"/>
                <w:szCs w:val="24"/>
              </w:rPr>
              <w:sym w:font="Wingdings" w:char="00A8"/>
            </w:r>
            <w:r>
              <w:rPr>
                <w:rFonts w:hint="eastAsia" w:ascii="仿宋" w:hAnsi="仿宋" w:eastAsia="仿宋" w:cs="仿宋"/>
                <w:sz w:val="24"/>
                <w:szCs w:val="24"/>
              </w:rPr>
              <w:t>其它：        (如口头训练等)</w:t>
            </w:r>
          </w:p>
        </w:tc>
      </w:tr>
      <w:tr w14:paraId="7E887495">
        <w:trPr>
          <w:trHeight w:val="580" w:hRule="atLeast"/>
        </w:trPr>
        <w:tc>
          <w:tcPr>
            <w:tcW w:w="1376" w:type="dxa"/>
            <w:vAlign w:val="center"/>
          </w:tcPr>
          <w:p w14:paraId="52D8D3D2">
            <w:pPr>
              <w:jc w:val="center"/>
              <w:rPr>
                <w:rFonts w:hint="eastAsia" w:ascii="仿宋" w:hAnsi="仿宋" w:eastAsia="仿宋" w:cs="仿宋"/>
                <w:sz w:val="24"/>
                <w:szCs w:val="24"/>
              </w:rPr>
            </w:pPr>
            <w:r>
              <w:rPr>
                <w:rFonts w:hint="eastAsia" w:ascii="仿宋" w:hAnsi="仿宋" w:eastAsia="仿宋" w:cs="仿宋"/>
                <w:sz w:val="24"/>
                <w:szCs w:val="24"/>
              </w:rPr>
              <w:t>J</w:t>
            </w:r>
          </w:p>
          <w:p w14:paraId="3C713147">
            <w:pPr>
              <w:jc w:val="center"/>
              <w:rPr>
                <w:rFonts w:hint="eastAsia" w:ascii="仿宋" w:hAnsi="仿宋" w:eastAsia="仿宋" w:cs="仿宋"/>
                <w:sz w:val="24"/>
                <w:szCs w:val="24"/>
              </w:rPr>
            </w:pPr>
            <w:r>
              <w:rPr>
                <w:rFonts w:hint="eastAsia" w:ascii="仿宋" w:hAnsi="仿宋" w:eastAsia="仿宋" w:cs="仿宋"/>
                <w:sz w:val="24"/>
                <w:szCs w:val="24"/>
              </w:rPr>
              <w:t>教学条件</w:t>
            </w:r>
          </w:p>
          <w:p w14:paraId="07B57C40">
            <w:pPr>
              <w:jc w:val="center"/>
              <w:rPr>
                <w:rFonts w:hint="eastAsia" w:ascii="仿宋" w:hAnsi="仿宋" w:eastAsia="仿宋" w:cs="仿宋"/>
                <w:sz w:val="24"/>
                <w:szCs w:val="24"/>
              </w:rPr>
            </w:pPr>
            <w:r>
              <w:rPr>
                <w:rFonts w:hint="eastAsia" w:ascii="仿宋" w:hAnsi="仿宋" w:eastAsia="仿宋" w:cs="仿宋"/>
                <w:sz w:val="24"/>
                <w:szCs w:val="24"/>
              </w:rPr>
              <w:t>需求</w:t>
            </w:r>
          </w:p>
        </w:tc>
        <w:tc>
          <w:tcPr>
            <w:tcW w:w="7772" w:type="dxa"/>
            <w:gridSpan w:val="12"/>
            <w:tcBorders>
              <w:bottom w:val="single" w:color="auto" w:sz="4" w:space="0"/>
            </w:tcBorders>
            <w:vAlign w:val="center"/>
          </w:tcPr>
          <w:p w14:paraId="37DFF699">
            <w:pPr>
              <w:tabs>
                <w:tab w:val="left" w:pos="720"/>
              </w:tabs>
              <w:rPr>
                <w:rFonts w:hint="eastAsia" w:ascii="仿宋" w:hAnsi="仿宋" w:eastAsia="仿宋" w:cs="仿宋"/>
                <w:kern w:val="0"/>
                <w:sz w:val="24"/>
                <w:szCs w:val="24"/>
              </w:rPr>
            </w:pPr>
            <w:r>
              <w:rPr>
                <w:rFonts w:hint="eastAsia" w:ascii="仿宋" w:hAnsi="仿宋" w:eastAsia="仿宋" w:cs="仿宋"/>
                <w:kern w:val="0"/>
                <w:sz w:val="24"/>
                <w:szCs w:val="24"/>
              </w:rPr>
              <w:t>（如时间、地点安排与“一课双师”等教师配备需求等）</w:t>
            </w:r>
          </w:p>
          <w:p w14:paraId="67EA4F32">
            <w:pPr>
              <w:tabs>
                <w:tab w:val="left" w:pos="720"/>
              </w:tabs>
              <w:rPr>
                <w:rFonts w:hint="eastAsia" w:ascii="仿宋" w:hAnsi="仿宋" w:eastAsia="仿宋" w:cs="仿宋"/>
                <w:sz w:val="24"/>
                <w:szCs w:val="24"/>
              </w:rPr>
            </w:pPr>
            <w:r>
              <w:rPr>
                <w:rFonts w:hint="eastAsia" w:ascii="仿宋" w:hAnsi="仿宋" w:eastAsia="仿宋" w:cs="仿宋"/>
                <w:sz w:val="24"/>
                <w:szCs w:val="24"/>
              </w:rPr>
              <w:t>1.需要钢琴、演艺厅、教学琴房等教学场所、工具需求。</w:t>
            </w:r>
          </w:p>
          <w:p w14:paraId="5AA01F4E">
            <w:pPr>
              <w:tabs>
                <w:tab w:val="left" w:pos="720"/>
              </w:tabs>
              <w:rPr>
                <w:rFonts w:hint="eastAsia" w:ascii="仿宋" w:hAnsi="仿宋" w:eastAsia="仿宋" w:cs="仿宋"/>
                <w:kern w:val="0"/>
                <w:sz w:val="24"/>
                <w:szCs w:val="24"/>
              </w:rPr>
            </w:pPr>
            <w:r>
              <w:rPr>
                <w:rFonts w:hint="eastAsia" w:ascii="仿宋" w:hAnsi="仿宋" w:eastAsia="仿宋" w:cs="仿宋"/>
                <w:kern w:val="0"/>
                <w:sz w:val="24"/>
                <w:szCs w:val="24"/>
              </w:rPr>
              <w:t>2.根据课程特点，需要个别声乐专家进行“一课双师”授课。</w:t>
            </w:r>
          </w:p>
        </w:tc>
      </w:tr>
      <w:tr w14:paraId="00C1FDA6">
        <w:trPr>
          <w:trHeight w:val="711" w:hRule="atLeast"/>
        </w:trPr>
        <w:tc>
          <w:tcPr>
            <w:tcW w:w="1376" w:type="dxa"/>
            <w:vMerge w:val="restart"/>
            <w:vAlign w:val="center"/>
          </w:tcPr>
          <w:p w14:paraId="5D38053D">
            <w:pPr>
              <w:jc w:val="center"/>
              <w:rPr>
                <w:rFonts w:hint="eastAsia" w:ascii="仿宋" w:hAnsi="仿宋" w:eastAsia="仿宋" w:cs="仿宋"/>
                <w:sz w:val="24"/>
                <w:szCs w:val="24"/>
              </w:rPr>
            </w:pPr>
            <w:r>
              <w:rPr>
                <w:rFonts w:hint="eastAsia" w:ascii="仿宋" w:hAnsi="仿宋" w:eastAsia="仿宋" w:cs="仿宋"/>
                <w:sz w:val="24"/>
                <w:szCs w:val="24"/>
              </w:rPr>
              <w:t>K</w:t>
            </w:r>
          </w:p>
          <w:p w14:paraId="47D803FB">
            <w:pPr>
              <w:jc w:val="center"/>
              <w:rPr>
                <w:rFonts w:hint="eastAsia" w:ascii="仿宋" w:hAnsi="仿宋" w:eastAsia="仿宋" w:cs="仿宋"/>
                <w:sz w:val="24"/>
                <w:szCs w:val="24"/>
              </w:rPr>
            </w:pPr>
            <w:r>
              <w:rPr>
                <w:rFonts w:hint="eastAsia" w:ascii="仿宋" w:hAnsi="仿宋" w:eastAsia="仿宋" w:cs="仿宋"/>
                <w:sz w:val="24"/>
                <w:szCs w:val="24"/>
              </w:rPr>
              <w:t>课程目标及其考核内容、考核方式及评分占比</w:t>
            </w:r>
          </w:p>
        </w:tc>
        <w:tc>
          <w:tcPr>
            <w:tcW w:w="1181" w:type="dxa"/>
            <w:gridSpan w:val="2"/>
            <w:vMerge w:val="restart"/>
            <w:vAlign w:val="center"/>
          </w:tcPr>
          <w:p w14:paraId="1234930D">
            <w:pPr>
              <w:rPr>
                <w:rFonts w:hint="eastAsia" w:ascii="仿宋" w:hAnsi="仿宋" w:eastAsia="仿宋" w:cs="仿宋"/>
                <w:sz w:val="24"/>
                <w:szCs w:val="24"/>
              </w:rPr>
            </w:pPr>
            <w:r>
              <w:rPr>
                <w:rFonts w:hint="eastAsia" w:ascii="仿宋" w:hAnsi="仿宋" w:eastAsia="仿宋" w:cs="仿宋"/>
                <w:sz w:val="24"/>
                <w:szCs w:val="24"/>
              </w:rPr>
              <w:t>课程目标及评分占比</w:t>
            </w:r>
          </w:p>
        </w:tc>
        <w:tc>
          <w:tcPr>
            <w:tcW w:w="3098" w:type="dxa"/>
            <w:gridSpan w:val="4"/>
            <w:vMerge w:val="restart"/>
            <w:tcBorders>
              <w:right w:val="single" w:color="000000" w:sz="4" w:space="0"/>
            </w:tcBorders>
            <w:vAlign w:val="center"/>
          </w:tcPr>
          <w:p w14:paraId="5964B203">
            <w:pPr>
              <w:tabs>
                <w:tab w:val="left" w:pos="720"/>
              </w:tabs>
              <w:jc w:val="center"/>
              <w:rPr>
                <w:rFonts w:hint="eastAsia" w:ascii="仿宋" w:hAnsi="仿宋" w:eastAsia="仿宋" w:cs="仿宋"/>
                <w:kern w:val="0"/>
                <w:sz w:val="24"/>
                <w:szCs w:val="24"/>
              </w:rPr>
            </w:pPr>
            <w:r>
              <w:rPr>
                <w:rFonts w:hint="eastAsia" w:ascii="仿宋" w:hAnsi="仿宋" w:eastAsia="仿宋" w:cs="仿宋"/>
                <w:kern w:val="0"/>
                <w:sz w:val="24"/>
                <w:szCs w:val="24"/>
              </w:rPr>
              <w:t>考核内容</w:t>
            </w:r>
          </w:p>
        </w:tc>
        <w:tc>
          <w:tcPr>
            <w:tcW w:w="2904" w:type="dxa"/>
            <w:gridSpan w:val="5"/>
            <w:tcBorders>
              <w:left w:val="single" w:color="000000" w:sz="4" w:space="0"/>
              <w:right w:val="single" w:color="000000" w:sz="4" w:space="0"/>
            </w:tcBorders>
            <w:vAlign w:val="center"/>
          </w:tcPr>
          <w:p w14:paraId="0CE5B908">
            <w:pPr>
              <w:jc w:val="center"/>
              <w:rPr>
                <w:rFonts w:hint="eastAsia" w:ascii="仿宋" w:hAnsi="仿宋" w:eastAsia="仿宋" w:cs="仿宋"/>
                <w:sz w:val="24"/>
                <w:szCs w:val="24"/>
              </w:rPr>
            </w:pPr>
            <w:r>
              <w:rPr>
                <w:rFonts w:hint="eastAsia" w:ascii="仿宋" w:hAnsi="仿宋" w:eastAsia="仿宋" w:cs="仿宋"/>
                <w:sz w:val="24"/>
                <w:szCs w:val="24"/>
              </w:rPr>
              <w:t>考核方式</w:t>
            </w:r>
          </w:p>
        </w:tc>
        <w:tc>
          <w:tcPr>
            <w:tcW w:w="589" w:type="dxa"/>
            <w:vMerge w:val="restart"/>
            <w:tcBorders>
              <w:left w:val="single" w:color="000000" w:sz="4" w:space="0"/>
            </w:tcBorders>
            <w:vAlign w:val="center"/>
          </w:tcPr>
          <w:p w14:paraId="5B0125EB">
            <w:pPr>
              <w:tabs>
                <w:tab w:val="left" w:pos="720"/>
              </w:tabs>
              <w:jc w:val="center"/>
              <w:rPr>
                <w:rFonts w:hint="eastAsia" w:ascii="仿宋" w:hAnsi="仿宋" w:eastAsia="仿宋" w:cs="仿宋"/>
                <w:kern w:val="0"/>
                <w:sz w:val="24"/>
                <w:szCs w:val="24"/>
              </w:rPr>
            </w:pPr>
            <w:r>
              <w:rPr>
                <w:rFonts w:hint="eastAsia" w:ascii="仿宋" w:hAnsi="仿宋" w:eastAsia="仿宋" w:cs="仿宋"/>
                <w:sz w:val="24"/>
                <w:szCs w:val="24"/>
              </w:rPr>
              <w:t>课程分目标的达成度</w:t>
            </w:r>
          </w:p>
        </w:tc>
      </w:tr>
      <w:tr w14:paraId="21A1FD5C">
        <w:trPr>
          <w:trHeight w:val="184" w:hRule="atLeast"/>
        </w:trPr>
        <w:tc>
          <w:tcPr>
            <w:tcW w:w="1376" w:type="dxa"/>
            <w:vMerge w:val="continue"/>
            <w:vAlign w:val="center"/>
          </w:tcPr>
          <w:p w14:paraId="25FAC83D">
            <w:pPr>
              <w:jc w:val="center"/>
              <w:rPr>
                <w:rFonts w:hint="eastAsia" w:ascii="仿宋" w:hAnsi="仿宋" w:eastAsia="仿宋" w:cs="仿宋"/>
                <w:sz w:val="24"/>
                <w:szCs w:val="24"/>
              </w:rPr>
            </w:pPr>
          </w:p>
        </w:tc>
        <w:tc>
          <w:tcPr>
            <w:tcW w:w="1181" w:type="dxa"/>
            <w:gridSpan w:val="2"/>
            <w:vMerge w:val="continue"/>
            <w:vAlign w:val="center"/>
          </w:tcPr>
          <w:p w14:paraId="6014B160">
            <w:pPr>
              <w:jc w:val="right"/>
              <w:rPr>
                <w:rFonts w:hint="eastAsia" w:ascii="仿宋" w:hAnsi="仿宋" w:eastAsia="仿宋" w:cs="仿宋"/>
                <w:sz w:val="24"/>
                <w:szCs w:val="24"/>
              </w:rPr>
            </w:pPr>
          </w:p>
        </w:tc>
        <w:tc>
          <w:tcPr>
            <w:tcW w:w="3098" w:type="dxa"/>
            <w:gridSpan w:val="4"/>
            <w:vMerge w:val="continue"/>
            <w:tcBorders>
              <w:right w:val="single" w:color="000000" w:sz="4" w:space="0"/>
            </w:tcBorders>
            <w:vAlign w:val="center"/>
          </w:tcPr>
          <w:p w14:paraId="2C836E7F">
            <w:pPr>
              <w:tabs>
                <w:tab w:val="left" w:pos="720"/>
              </w:tabs>
              <w:jc w:val="center"/>
              <w:rPr>
                <w:rFonts w:hint="eastAsia" w:ascii="仿宋" w:hAnsi="仿宋" w:eastAsia="仿宋" w:cs="仿宋"/>
                <w:kern w:val="0"/>
                <w:sz w:val="24"/>
                <w:szCs w:val="24"/>
              </w:rPr>
            </w:pPr>
          </w:p>
        </w:tc>
        <w:tc>
          <w:tcPr>
            <w:tcW w:w="1130" w:type="dxa"/>
            <w:tcBorders>
              <w:left w:val="single" w:color="000000" w:sz="4" w:space="0"/>
              <w:right w:val="single" w:color="000000" w:sz="4" w:space="0"/>
            </w:tcBorders>
            <w:vAlign w:val="center"/>
          </w:tcPr>
          <w:p w14:paraId="04E948BE">
            <w:pPr>
              <w:jc w:val="center"/>
              <w:rPr>
                <w:rFonts w:hint="eastAsia" w:ascii="仿宋" w:hAnsi="仿宋" w:eastAsia="仿宋" w:cs="仿宋"/>
                <w:sz w:val="24"/>
                <w:szCs w:val="24"/>
              </w:rPr>
            </w:pPr>
            <w:r>
              <w:rPr>
                <w:rFonts w:hint="eastAsia" w:ascii="仿宋" w:hAnsi="仿宋" w:eastAsia="仿宋" w:cs="仿宋"/>
                <w:sz w:val="24"/>
                <w:szCs w:val="24"/>
              </w:rPr>
              <w:t>平时成绩占比（作业/课堂表现/考勤评分）（20%）</w:t>
            </w:r>
          </w:p>
        </w:tc>
        <w:tc>
          <w:tcPr>
            <w:tcW w:w="875" w:type="dxa"/>
            <w:gridSpan w:val="2"/>
            <w:tcBorders>
              <w:left w:val="single" w:color="000000" w:sz="4" w:space="0"/>
              <w:bottom w:val="single" w:color="auto" w:sz="4" w:space="0"/>
            </w:tcBorders>
            <w:vAlign w:val="center"/>
          </w:tcPr>
          <w:p w14:paraId="138F5EE3">
            <w:pPr>
              <w:jc w:val="center"/>
              <w:rPr>
                <w:rFonts w:hint="eastAsia" w:ascii="仿宋" w:hAnsi="仿宋" w:eastAsia="仿宋" w:cs="仿宋"/>
                <w:sz w:val="24"/>
                <w:szCs w:val="24"/>
              </w:rPr>
            </w:pPr>
            <w:r>
              <w:rPr>
                <w:rFonts w:hint="eastAsia" w:ascii="仿宋" w:hAnsi="仿宋" w:eastAsia="仿宋" w:cs="仿宋"/>
                <w:kern w:val="0"/>
                <w:sz w:val="24"/>
                <w:szCs w:val="24"/>
              </w:rPr>
              <w:t>期中考试评分占比</w:t>
            </w:r>
            <w:r>
              <w:rPr>
                <w:rFonts w:hint="eastAsia" w:ascii="仿宋" w:hAnsi="仿宋" w:eastAsia="仿宋" w:cs="仿宋"/>
                <w:sz w:val="24"/>
                <w:szCs w:val="24"/>
              </w:rPr>
              <w:t>（20%）</w:t>
            </w:r>
          </w:p>
        </w:tc>
        <w:tc>
          <w:tcPr>
            <w:tcW w:w="899" w:type="dxa"/>
            <w:gridSpan w:val="2"/>
            <w:tcBorders>
              <w:bottom w:val="single" w:color="auto" w:sz="4" w:space="0"/>
              <w:right w:val="single" w:color="000000" w:sz="4" w:space="0"/>
            </w:tcBorders>
            <w:vAlign w:val="center"/>
          </w:tcPr>
          <w:p w14:paraId="58E589A3">
            <w:pPr>
              <w:jc w:val="center"/>
              <w:rPr>
                <w:rFonts w:hint="eastAsia" w:ascii="仿宋" w:hAnsi="仿宋" w:eastAsia="仿宋" w:cs="仿宋"/>
                <w:sz w:val="24"/>
                <w:szCs w:val="24"/>
              </w:rPr>
            </w:pPr>
            <w:r>
              <w:rPr>
                <w:rFonts w:hint="eastAsia" w:ascii="仿宋" w:hAnsi="仿宋" w:eastAsia="仿宋" w:cs="仿宋"/>
                <w:sz w:val="24"/>
                <w:szCs w:val="24"/>
              </w:rPr>
              <w:t>期末考试评分占比（60%）</w:t>
            </w:r>
          </w:p>
        </w:tc>
        <w:tc>
          <w:tcPr>
            <w:tcW w:w="589" w:type="dxa"/>
            <w:vMerge w:val="continue"/>
            <w:tcBorders>
              <w:left w:val="single" w:color="000000" w:sz="4" w:space="0"/>
              <w:bottom w:val="single" w:color="auto" w:sz="4" w:space="0"/>
            </w:tcBorders>
            <w:vAlign w:val="center"/>
          </w:tcPr>
          <w:p w14:paraId="1526C503">
            <w:pPr>
              <w:tabs>
                <w:tab w:val="left" w:pos="720"/>
              </w:tabs>
              <w:jc w:val="center"/>
              <w:rPr>
                <w:rFonts w:hint="eastAsia" w:ascii="仿宋" w:hAnsi="仿宋" w:eastAsia="仿宋" w:cs="仿宋"/>
                <w:sz w:val="24"/>
                <w:szCs w:val="24"/>
              </w:rPr>
            </w:pPr>
          </w:p>
        </w:tc>
      </w:tr>
      <w:tr w14:paraId="38B56F85">
        <w:tc>
          <w:tcPr>
            <w:tcW w:w="1376" w:type="dxa"/>
            <w:vMerge w:val="continue"/>
            <w:vAlign w:val="center"/>
          </w:tcPr>
          <w:p w14:paraId="7E4EB182">
            <w:pPr>
              <w:jc w:val="center"/>
              <w:rPr>
                <w:rFonts w:hint="eastAsia" w:ascii="仿宋" w:hAnsi="仿宋" w:eastAsia="仿宋" w:cs="仿宋"/>
                <w:sz w:val="24"/>
                <w:szCs w:val="24"/>
                <w:lang w:eastAsia="zh-TW"/>
              </w:rPr>
            </w:pPr>
          </w:p>
        </w:tc>
        <w:tc>
          <w:tcPr>
            <w:tcW w:w="1181" w:type="dxa"/>
            <w:gridSpan w:val="2"/>
            <w:tcBorders>
              <w:bottom w:val="single" w:color="auto" w:sz="4" w:space="0"/>
            </w:tcBorders>
            <w:vAlign w:val="center"/>
          </w:tcPr>
          <w:p w14:paraId="68ED9AFC">
            <w:pPr>
              <w:rPr>
                <w:rFonts w:hint="eastAsia" w:ascii="仿宋" w:hAnsi="仿宋" w:eastAsia="仿宋" w:cs="仿宋"/>
                <w:kern w:val="0"/>
                <w:sz w:val="24"/>
                <w:szCs w:val="24"/>
              </w:rPr>
            </w:pPr>
            <w:r>
              <w:rPr>
                <w:rFonts w:hint="eastAsia" w:ascii="仿宋" w:hAnsi="仿宋" w:eastAsia="仿宋" w:cs="仿宋"/>
                <w:kern w:val="0"/>
                <w:sz w:val="24"/>
                <w:szCs w:val="24"/>
              </w:rPr>
              <w:t>课程目标1（20%）</w:t>
            </w:r>
          </w:p>
        </w:tc>
        <w:tc>
          <w:tcPr>
            <w:tcW w:w="3098" w:type="dxa"/>
            <w:gridSpan w:val="4"/>
            <w:tcBorders>
              <w:bottom w:val="single" w:color="auto" w:sz="4" w:space="0"/>
              <w:right w:val="single" w:color="000000" w:sz="4" w:space="0"/>
            </w:tcBorders>
            <w:vAlign w:val="center"/>
          </w:tcPr>
          <w:p w14:paraId="7FCBBDD4">
            <w:pPr>
              <w:widowControl/>
              <w:jc w:val="left"/>
              <w:rPr>
                <w:rFonts w:ascii="仿宋" w:hAnsi="仿宋" w:eastAsia="仿宋"/>
                <w:sz w:val="24"/>
                <w:szCs w:val="24"/>
              </w:rPr>
            </w:pPr>
            <w:r>
              <w:rPr>
                <w:rFonts w:hint="eastAsia" w:ascii="仿宋" w:hAnsi="仿宋" w:eastAsia="仿宋"/>
                <w:sz w:val="24"/>
                <w:szCs w:val="24"/>
              </w:rPr>
              <w:t xml:space="preserve">1.全面发展教育观、素质教育观； </w:t>
            </w:r>
          </w:p>
          <w:p w14:paraId="7C7D9856">
            <w:pPr>
              <w:rPr>
                <w:rFonts w:hint="eastAsia"/>
                <w:szCs w:val="21"/>
              </w:rPr>
            </w:pPr>
            <w:r>
              <w:rPr>
                <w:rFonts w:hint="eastAsia" w:ascii="仿宋" w:hAnsi="仿宋" w:eastAsia="仿宋"/>
                <w:sz w:val="24"/>
                <w:szCs w:val="24"/>
              </w:rPr>
              <w:t xml:space="preserve">2.教师专业素质、新课改倡导的教师观。    </w:t>
            </w:r>
          </w:p>
        </w:tc>
        <w:tc>
          <w:tcPr>
            <w:tcW w:w="1130" w:type="dxa"/>
            <w:tcBorders>
              <w:left w:val="single" w:color="000000" w:sz="4" w:space="0"/>
              <w:bottom w:val="single" w:color="auto" w:sz="4" w:space="0"/>
              <w:right w:val="single" w:color="000000" w:sz="4" w:space="0"/>
            </w:tcBorders>
            <w:vAlign w:val="center"/>
          </w:tcPr>
          <w:p w14:paraId="46D81526">
            <w:pPr>
              <w:jc w:val="center"/>
              <w:rPr>
                <w:rFonts w:hint="eastAsia" w:ascii="仿宋" w:hAnsi="仿宋" w:eastAsia="仿宋" w:cs="仿宋"/>
                <w:kern w:val="0"/>
                <w:sz w:val="24"/>
                <w:szCs w:val="24"/>
              </w:rPr>
            </w:pPr>
            <w:r>
              <w:rPr>
                <w:rFonts w:hint="eastAsia" w:ascii="仿宋" w:hAnsi="仿宋" w:eastAsia="仿宋" w:cs="仿宋"/>
                <w:kern w:val="0"/>
                <w:sz w:val="24"/>
                <w:szCs w:val="24"/>
              </w:rPr>
              <w:t>4</w:t>
            </w:r>
          </w:p>
        </w:tc>
        <w:tc>
          <w:tcPr>
            <w:tcW w:w="875" w:type="dxa"/>
            <w:gridSpan w:val="2"/>
            <w:tcBorders>
              <w:left w:val="single" w:color="000000" w:sz="4" w:space="0"/>
              <w:bottom w:val="single" w:color="auto" w:sz="4" w:space="0"/>
              <w:right w:val="single" w:color="auto" w:sz="4" w:space="0"/>
            </w:tcBorders>
            <w:vAlign w:val="center"/>
          </w:tcPr>
          <w:p w14:paraId="232CEDE1">
            <w:pPr>
              <w:jc w:val="center"/>
              <w:rPr>
                <w:rFonts w:hint="eastAsia" w:ascii="仿宋" w:hAnsi="仿宋" w:eastAsia="仿宋" w:cs="仿宋"/>
                <w:kern w:val="0"/>
                <w:sz w:val="24"/>
                <w:szCs w:val="24"/>
              </w:rPr>
            </w:pPr>
            <w:r>
              <w:rPr>
                <w:rFonts w:hint="eastAsia" w:ascii="仿宋" w:hAnsi="仿宋" w:eastAsia="仿宋" w:cs="仿宋"/>
                <w:kern w:val="0"/>
                <w:sz w:val="24"/>
                <w:szCs w:val="24"/>
              </w:rPr>
              <w:t>4</w:t>
            </w:r>
          </w:p>
        </w:tc>
        <w:tc>
          <w:tcPr>
            <w:tcW w:w="899" w:type="dxa"/>
            <w:gridSpan w:val="2"/>
            <w:tcBorders>
              <w:left w:val="single" w:color="auto" w:sz="4" w:space="0"/>
              <w:bottom w:val="single" w:color="auto" w:sz="4" w:space="0"/>
              <w:right w:val="single" w:color="auto" w:sz="4" w:space="0"/>
            </w:tcBorders>
            <w:vAlign w:val="center"/>
          </w:tcPr>
          <w:p w14:paraId="2A480DAB">
            <w:pPr>
              <w:tabs>
                <w:tab w:val="left" w:pos="720"/>
              </w:tabs>
              <w:jc w:val="center"/>
              <w:rPr>
                <w:rFonts w:hint="eastAsia" w:ascii="仿宋" w:hAnsi="仿宋" w:eastAsia="仿宋" w:cs="仿宋"/>
                <w:kern w:val="0"/>
                <w:sz w:val="24"/>
                <w:szCs w:val="24"/>
              </w:rPr>
            </w:pPr>
            <w:r>
              <w:rPr>
                <w:rFonts w:hint="eastAsia" w:ascii="仿宋" w:hAnsi="仿宋" w:eastAsia="仿宋" w:cs="仿宋"/>
                <w:kern w:val="0"/>
                <w:sz w:val="24"/>
                <w:szCs w:val="24"/>
              </w:rPr>
              <w:t>12</w:t>
            </w:r>
          </w:p>
        </w:tc>
        <w:tc>
          <w:tcPr>
            <w:tcW w:w="589" w:type="dxa"/>
            <w:tcBorders>
              <w:left w:val="single" w:color="auto" w:sz="4" w:space="0"/>
              <w:bottom w:val="single" w:color="auto" w:sz="4" w:space="0"/>
            </w:tcBorders>
            <w:vAlign w:val="center"/>
          </w:tcPr>
          <w:p w14:paraId="51FFD06E">
            <w:pPr>
              <w:tabs>
                <w:tab w:val="left" w:pos="720"/>
              </w:tabs>
              <w:jc w:val="center"/>
              <w:rPr>
                <w:rFonts w:hint="eastAsia" w:ascii="仿宋" w:hAnsi="仿宋" w:eastAsia="仿宋" w:cs="仿宋"/>
                <w:kern w:val="0"/>
                <w:sz w:val="24"/>
                <w:szCs w:val="24"/>
              </w:rPr>
            </w:pPr>
            <w:r>
              <w:rPr>
                <w:rFonts w:hint="eastAsia" w:ascii="仿宋" w:hAnsi="仿宋" w:eastAsia="仿宋" w:cs="仿宋"/>
                <w:kern w:val="0"/>
                <w:sz w:val="24"/>
                <w:szCs w:val="24"/>
              </w:rPr>
              <w:t>0.80</w:t>
            </w:r>
          </w:p>
        </w:tc>
      </w:tr>
      <w:tr w14:paraId="4230404B">
        <w:tc>
          <w:tcPr>
            <w:tcW w:w="1376" w:type="dxa"/>
            <w:vMerge w:val="continue"/>
            <w:vAlign w:val="center"/>
          </w:tcPr>
          <w:p w14:paraId="3AA7C53F">
            <w:pPr>
              <w:jc w:val="center"/>
              <w:rPr>
                <w:rFonts w:hint="eastAsia" w:ascii="仿宋" w:hAnsi="仿宋" w:eastAsia="仿宋" w:cs="仿宋"/>
                <w:sz w:val="24"/>
                <w:szCs w:val="24"/>
                <w:lang w:eastAsia="zh-TW"/>
              </w:rPr>
            </w:pPr>
          </w:p>
        </w:tc>
        <w:tc>
          <w:tcPr>
            <w:tcW w:w="1181" w:type="dxa"/>
            <w:gridSpan w:val="2"/>
            <w:tcBorders>
              <w:bottom w:val="single" w:color="auto" w:sz="4" w:space="0"/>
            </w:tcBorders>
            <w:vAlign w:val="center"/>
          </w:tcPr>
          <w:p w14:paraId="4854141A">
            <w:pPr>
              <w:jc w:val="center"/>
              <w:rPr>
                <w:rFonts w:hint="eastAsia" w:ascii="仿宋" w:hAnsi="仿宋" w:eastAsia="仿宋" w:cs="仿宋"/>
                <w:sz w:val="24"/>
                <w:szCs w:val="24"/>
              </w:rPr>
            </w:pPr>
            <w:r>
              <w:rPr>
                <w:rFonts w:hint="eastAsia" w:ascii="仿宋" w:hAnsi="仿宋" w:eastAsia="仿宋" w:cs="仿宋"/>
                <w:kern w:val="0"/>
                <w:sz w:val="24"/>
                <w:szCs w:val="24"/>
              </w:rPr>
              <w:t>课程目标2（</w:t>
            </w:r>
            <w:r>
              <w:rPr>
                <w:rFonts w:ascii="仿宋" w:hAnsi="仿宋" w:eastAsia="仿宋" w:cs="仿宋"/>
                <w:kern w:val="0"/>
                <w:sz w:val="24"/>
                <w:szCs w:val="24"/>
              </w:rPr>
              <w:t>5</w:t>
            </w:r>
            <w:r>
              <w:rPr>
                <w:rFonts w:hint="eastAsia" w:ascii="仿宋" w:hAnsi="仿宋" w:eastAsia="仿宋" w:cs="仿宋"/>
                <w:kern w:val="0"/>
                <w:sz w:val="24"/>
                <w:szCs w:val="24"/>
              </w:rPr>
              <w:t>0%）</w:t>
            </w:r>
          </w:p>
        </w:tc>
        <w:tc>
          <w:tcPr>
            <w:tcW w:w="3098" w:type="dxa"/>
            <w:gridSpan w:val="4"/>
            <w:tcBorders>
              <w:bottom w:val="single" w:color="auto" w:sz="4" w:space="0"/>
              <w:right w:val="single" w:color="000000" w:sz="4" w:space="0"/>
            </w:tcBorders>
            <w:vAlign w:val="center"/>
          </w:tcPr>
          <w:p w14:paraId="6FF81170">
            <w:pPr>
              <w:widowControl/>
              <w:autoSpaceDE w:val="0"/>
              <w:autoSpaceDN w:val="0"/>
              <w:jc w:val="left"/>
              <w:rPr>
                <w:rFonts w:hint="eastAsia" w:ascii="仿宋" w:hAnsi="仿宋" w:eastAsia="仿宋" w:cs="仿宋"/>
                <w:sz w:val="24"/>
                <w:szCs w:val="24"/>
              </w:rPr>
            </w:pPr>
            <w:r>
              <w:rPr>
                <w:rFonts w:hint="eastAsia" w:ascii="仿宋" w:hAnsi="仿宋" w:eastAsia="仿宋" w:cs="仿宋"/>
                <w:sz w:val="24"/>
                <w:szCs w:val="24"/>
              </w:rPr>
              <w:t>1.对声乐史及国内外发展现状和趋势的了解。</w:t>
            </w:r>
            <w:r>
              <w:rPr>
                <w:rFonts w:hint="eastAsia" w:ascii="仿宋" w:hAnsi="仿宋" w:eastAsia="仿宋" w:cs="宋体"/>
                <w:sz w:val="24"/>
                <w:szCs w:val="24"/>
              </w:rPr>
              <w:t>运用跨学科知识分析和解决声乐作品演唱和教学中的问题。</w:t>
            </w:r>
          </w:p>
          <w:p w14:paraId="61BF6479">
            <w:pPr>
              <w:widowControl/>
              <w:autoSpaceDE w:val="0"/>
              <w:autoSpaceDN w:val="0"/>
              <w:jc w:val="left"/>
              <w:rPr>
                <w:rFonts w:hint="eastAsia" w:ascii="仿宋" w:hAnsi="仿宋" w:eastAsia="仿宋" w:cs="仿宋"/>
                <w:sz w:val="24"/>
                <w:szCs w:val="24"/>
              </w:rPr>
            </w:pPr>
            <w:r>
              <w:rPr>
                <w:rFonts w:hint="eastAsia" w:ascii="仿宋" w:hAnsi="仿宋" w:eastAsia="仿宋" w:cs="仿宋"/>
                <w:sz w:val="24"/>
                <w:szCs w:val="24"/>
              </w:rPr>
              <w:t>2.对声乐应用案例的设计和理解。</w:t>
            </w:r>
          </w:p>
        </w:tc>
        <w:tc>
          <w:tcPr>
            <w:tcW w:w="1130" w:type="dxa"/>
            <w:tcBorders>
              <w:left w:val="single" w:color="000000" w:sz="4" w:space="0"/>
              <w:bottom w:val="single" w:color="auto" w:sz="4" w:space="0"/>
              <w:right w:val="single" w:color="000000" w:sz="4" w:space="0"/>
            </w:tcBorders>
            <w:vAlign w:val="center"/>
          </w:tcPr>
          <w:p w14:paraId="695813B0">
            <w:pPr>
              <w:jc w:val="center"/>
              <w:rPr>
                <w:rFonts w:hint="eastAsia" w:ascii="仿宋" w:hAnsi="仿宋" w:eastAsia="仿宋" w:cs="仿宋"/>
                <w:kern w:val="0"/>
                <w:sz w:val="24"/>
                <w:szCs w:val="24"/>
              </w:rPr>
            </w:pPr>
            <w:r>
              <w:rPr>
                <w:rFonts w:hint="eastAsia" w:ascii="仿宋" w:hAnsi="仿宋" w:eastAsia="仿宋" w:cs="仿宋"/>
                <w:kern w:val="0"/>
                <w:sz w:val="24"/>
                <w:szCs w:val="24"/>
              </w:rPr>
              <w:t>10</w:t>
            </w:r>
          </w:p>
        </w:tc>
        <w:tc>
          <w:tcPr>
            <w:tcW w:w="875" w:type="dxa"/>
            <w:gridSpan w:val="2"/>
            <w:tcBorders>
              <w:left w:val="single" w:color="000000" w:sz="4" w:space="0"/>
              <w:bottom w:val="single" w:color="auto" w:sz="4" w:space="0"/>
              <w:right w:val="single" w:color="auto" w:sz="4" w:space="0"/>
            </w:tcBorders>
            <w:vAlign w:val="center"/>
          </w:tcPr>
          <w:p w14:paraId="507F83F6">
            <w:pPr>
              <w:jc w:val="center"/>
              <w:rPr>
                <w:rFonts w:hint="eastAsia" w:ascii="仿宋" w:hAnsi="仿宋" w:eastAsia="仿宋" w:cs="仿宋"/>
                <w:kern w:val="0"/>
                <w:sz w:val="24"/>
                <w:szCs w:val="24"/>
              </w:rPr>
            </w:pPr>
            <w:r>
              <w:rPr>
                <w:rFonts w:hint="eastAsia" w:ascii="仿宋" w:hAnsi="仿宋" w:eastAsia="仿宋" w:cs="仿宋"/>
                <w:kern w:val="0"/>
                <w:sz w:val="24"/>
                <w:szCs w:val="24"/>
              </w:rPr>
              <w:t>10</w:t>
            </w:r>
          </w:p>
        </w:tc>
        <w:tc>
          <w:tcPr>
            <w:tcW w:w="899" w:type="dxa"/>
            <w:gridSpan w:val="2"/>
            <w:tcBorders>
              <w:left w:val="single" w:color="auto" w:sz="4" w:space="0"/>
              <w:bottom w:val="single" w:color="auto" w:sz="4" w:space="0"/>
              <w:right w:val="single" w:color="auto" w:sz="4" w:space="0"/>
            </w:tcBorders>
            <w:vAlign w:val="center"/>
          </w:tcPr>
          <w:p w14:paraId="5B1F1384">
            <w:pPr>
              <w:tabs>
                <w:tab w:val="left" w:pos="720"/>
              </w:tabs>
              <w:jc w:val="center"/>
              <w:rPr>
                <w:rFonts w:ascii="仿宋" w:hAnsi="仿宋" w:eastAsia="仿宋" w:cs="仿宋"/>
                <w:kern w:val="0"/>
                <w:sz w:val="24"/>
                <w:szCs w:val="24"/>
              </w:rPr>
            </w:pPr>
            <w:r>
              <w:rPr>
                <w:rFonts w:hint="eastAsia" w:ascii="仿宋" w:hAnsi="仿宋" w:eastAsia="仿宋" w:cs="仿宋"/>
                <w:kern w:val="0"/>
                <w:sz w:val="24"/>
                <w:szCs w:val="24"/>
              </w:rPr>
              <w:t>30</w:t>
            </w:r>
          </w:p>
        </w:tc>
        <w:tc>
          <w:tcPr>
            <w:tcW w:w="589" w:type="dxa"/>
            <w:tcBorders>
              <w:left w:val="single" w:color="auto" w:sz="4" w:space="0"/>
              <w:bottom w:val="single" w:color="auto" w:sz="4" w:space="0"/>
            </w:tcBorders>
            <w:vAlign w:val="center"/>
          </w:tcPr>
          <w:p w14:paraId="0E481C8D">
            <w:pPr>
              <w:tabs>
                <w:tab w:val="left" w:pos="720"/>
              </w:tabs>
              <w:jc w:val="center"/>
              <w:rPr>
                <w:rFonts w:hint="eastAsia" w:ascii="仿宋" w:hAnsi="仿宋" w:eastAsia="仿宋" w:cs="仿宋"/>
                <w:kern w:val="0"/>
                <w:sz w:val="24"/>
                <w:szCs w:val="24"/>
              </w:rPr>
            </w:pPr>
            <w:r>
              <w:rPr>
                <w:rFonts w:hint="eastAsia" w:ascii="仿宋" w:hAnsi="仿宋" w:eastAsia="仿宋" w:cs="仿宋"/>
                <w:kern w:val="0"/>
                <w:sz w:val="24"/>
                <w:szCs w:val="24"/>
              </w:rPr>
              <w:t>0.80</w:t>
            </w:r>
          </w:p>
        </w:tc>
      </w:tr>
      <w:tr w14:paraId="4AFC340B">
        <w:trPr>
          <w:trHeight w:val="745" w:hRule="atLeast"/>
        </w:trPr>
        <w:tc>
          <w:tcPr>
            <w:tcW w:w="1376" w:type="dxa"/>
            <w:vMerge w:val="continue"/>
            <w:vAlign w:val="center"/>
          </w:tcPr>
          <w:p w14:paraId="6B256A3F">
            <w:pPr>
              <w:jc w:val="center"/>
              <w:rPr>
                <w:rFonts w:hint="eastAsia" w:ascii="仿宋" w:hAnsi="仿宋" w:eastAsia="仿宋" w:cs="仿宋"/>
                <w:sz w:val="24"/>
                <w:szCs w:val="24"/>
                <w:lang w:eastAsia="zh-TW"/>
              </w:rPr>
            </w:pPr>
          </w:p>
        </w:tc>
        <w:tc>
          <w:tcPr>
            <w:tcW w:w="1181" w:type="dxa"/>
            <w:gridSpan w:val="2"/>
            <w:vAlign w:val="center"/>
          </w:tcPr>
          <w:p w14:paraId="4D05A9CF">
            <w:pPr>
              <w:jc w:val="center"/>
              <w:rPr>
                <w:rFonts w:hint="eastAsia" w:ascii="仿宋" w:hAnsi="仿宋" w:eastAsia="仿宋" w:cs="仿宋"/>
                <w:kern w:val="0"/>
                <w:sz w:val="24"/>
                <w:szCs w:val="24"/>
              </w:rPr>
            </w:pPr>
            <w:r>
              <w:rPr>
                <w:rFonts w:hint="eastAsia" w:ascii="仿宋" w:hAnsi="仿宋" w:eastAsia="仿宋" w:cs="仿宋"/>
                <w:kern w:val="0"/>
                <w:sz w:val="24"/>
                <w:szCs w:val="24"/>
              </w:rPr>
              <w:t>课程目标3（3</w:t>
            </w:r>
            <w:r>
              <w:rPr>
                <w:rFonts w:ascii="仿宋" w:hAnsi="仿宋" w:eastAsia="仿宋" w:cs="仿宋"/>
                <w:kern w:val="0"/>
                <w:sz w:val="24"/>
                <w:szCs w:val="24"/>
              </w:rPr>
              <w:t>0</w:t>
            </w:r>
            <w:r>
              <w:rPr>
                <w:rFonts w:hint="eastAsia" w:ascii="仿宋" w:hAnsi="仿宋" w:eastAsia="仿宋" w:cs="仿宋"/>
                <w:kern w:val="0"/>
                <w:sz w:val="24"/>
                <w:szCs w:val="24"/>
              </w:rPr>
              <w:t>%）</w:t>
            </w:r>
          </w:p>
        </w:tc>
        <w:tc>
          <w:tcPr>
            <w:tcW w:w="3098" w:type="dxa"/>
            <w:gridSpan w:val="4"/>
            <w:tcBorders>
              <w:right w:val="single" w:color="000000" w:sz="4" w:space="0"/>
            </w:tcBorders>
            <w:vAlign w:val="center"/>
          </w:tcPr>
          <w:p w14:paraId="59BDB916">
            <w:pPr>
              <w:widowControl/>
              <w:autoSpaceDE w:val="0"/>
              <w:autoSpaceDN w:val="0"/>
              <w:jc w:val="left"/>
              <w:rPr>
                <w:rFonts w:hint="eastAsia" w:ascii="仿宋" w:hAnsi="仿宋" w:eastAsia="仿宋" w:cs="仿宋"/>
                <w:sz w:val="24"/>
                <w:szCs w:val="24"/>
              </w:rPr>
            </w:pPr>
            <w:r>
              <w:rPr>
                <w:rFonts w:hint="eastAsia" w:ascii="仿宋" w:hAnsi="仿宋" w:eastAsia="仿宋" w:cs="仿宋"/>
                <w:sz w:val="24"/>
                <w:szCs w:val="24"/>
              </w:rPr>
              <w:t>1.对声乐的一些基本问题的理解；能够就声乐问题进行思考、表达和沟通。</w:t>
            </w:r>
          </w:p>
          <w:p w14:paraId="174826BA">
            <w:pPr>
              <w:jc w:val="left"/>
              <w:rPr>
                <w:rFonts w:hint="eastAsia" w:ascii="仿宋" w:hAnsi="仿宋" w:eastAsia="仿宋" w:cs="仿宋"/>
                <w:kern w:val="0"/>
                <w:sz w:val="24"/>
                <w:szCs w:val="24"/>
              </w:rPr>
            </w:pPr>
            <w:r>
              <w:rPr>
                <w:rFonts w:hint="eastAsia" w:ascii="仿宋" w:hAnsi="仿宋" w:eastAsia="仿宋" w:cs="仿宋"/>
                <w:sz w:val="24"/>
                <w:szCs w:val="24"/>
              </w:rPr>
              <w:t>2.对声乐教学相关问题的分析能力、反思、总结能力。</w:t>
            </w:r>
          </w:p>
        </w:tc>
        <w:tc>
          <w:tcPr>
            <w:tcW w:w="1130" w:type="dxa"/>
            <w:tcBorders>
              <w:left w:val="single" w:color="000000" w:sz="4" w:space="0"/>
              <w:right w:val="single" w:color="000000" w:sz="4" w:space="0"/>
            </w:tcBorders>
            <w:vAlign w:val="center"/>
          </w:tcPr>
          <w:p w14:paraId="70A75C03">
            <w:pPr>
              <w:jc w:val="center"/>
              <w:rPr>
                <w:rFonts w:hint="eastAsia" w:ascii="仿宋" w:hAnsi="仿宋" w:eastAsia="仿宋" w:cs="仿宋"/>
                <w:kern w:val="0"/>
                <w:sz w:val="24"/>
                <w:szCs w:val="24"/>
              </w:rPr>
            </w:pPr>
            <w:r>
              <w:rPr>
                <w:rFonts w:hint="eastAsia" w:ascii="仿宋" w:hAnsi="仿宋" w:eastAsia="仿宋" w:cs="仿宋"/>
                <w:kern w:val="0"/>
                <w:sz w:val="24"/>
                <w:szCs w:val="24"/>
              </w:rPr>
              <w:t>6</w:t>
            </w:r>
          </w:p>
        </w:tc>
        <w:tc>
          <w:tcPr>
            <w:tcW w:w="875" w:type="dxa"/>
            <w:gridSpan w:val="2"/>
            <w:tcBorders>
              <w:left w:val="single" w:color="000000" w:sz="4" w:space="0"/>
              <w:bottom w:val="single" w:color="000000" w:sz="4" w:space="0"/>
            </w:tcBorders>
            <w:vAlign w:val="center"/>
          </w:tcPr>
          <w:p w14:paraId="5A1EC185">
            <w:pPr>
              <w:jc w:val="center"/>
              <w:rPr>
                <w:rFonts w:hint="eastAsia" w:ascii="仿宋" w:hAnsi="仿宋" w:eastAsia="仿宋" w:cs="仿宋"/>
                <w:kern w:val="0"/>
                <w:sz w:val="24"/>
                <w:szCs w:val="24"/>
              </w:rPr>
            </w:pPr>
            <w:r>
              <w:rPr>
                <w:rFonts w:hint="eastAsia" w:ascii="仿宋" w:hAnsi="仿宋" w:eastAsia="仿宋" w:cs="仿宋"/>
                <w:kern w:val="0"/>
                <w:sz w:val="24"/>
                <w:szCs w:val="24"/>
              </w:rPr>
              <w:t>6</w:t>
            </w:r>
          </w:p>
        </w:tc>
        <w:tc>
          <w:tcPr>
            <w:tcW w:w="899" w:type="dxa"/>
            <w:gridSpan w:val="2"/>
            <w:tcBorders>
              <w:bottom w:val="single" w:color="000000" w:sz="4" w:space="0"/>
              <w:right w:val="single" w:color="000000" w:sz="4" w:space="0"/>
            </w:tcBorders>
            <w:vAlign w:val="center"/>
          </w:tcPr>
          <w:p w14:paraId="453CB596">
            <w:pPr>
              <w:tabs>
                <w:tab w:val="left" w:pos="720"/>
              </w:tabs>
              <w:jc w:val="center"/>
              <w:rPr>
                <w:rFonts w:ascii="仿宋" w:hAnsi="仿宋" w:eastAsia="仿宋" w:cs="仿宋"/>
                <w:kern w:val="0"/>
                <w:sz w:val="24"/>
                <w:szCs w:val="24"/>
              </w:rPr>
            </w:pPr>
            <w:r>
              <w:rPr>
                <w:rFonts w:hint="eastAsia" w:ascii="仿宋" w:hAnsi="仿宋" w:eastAsia="仿宋" w:cs="仿宋"/>
                <w:kern w:val="0"/>
                <w:sz w:val="24"/>
                <w:szCs w:val="24"/>
              </w:rPr>
              <w:t>18</w:t>
            </w:r>
          </w:p>
        </w:tc>
        <w:tc>
          <w:tcPr>
            <w:tcW w:w="589" w:type="dxa"/>
            <w:tcBorders>
              <w:left w:val="single" w:color="000000" w:sz="4" w:space="0"/>
              <w:bottom w:val="single" w:color="000000" w:sz="4" w:space="0"/>
            </w:tcBorders>
            <w:vAlign w:val="center"/>
          </w:tcPr>
          <w:p w14:paraId="0BEDD1B5">
            <w:pPr>
              <w:tabs>
                <w:tab w:val="left" w:pos="720"/>
              </w:tabs>
              <w:jc w:val="center"/>
              <w:rPr>
                <w:rFonts w:hint="eastAsia" w:ascii="仿宋" w:hAnsi="仿宋" w:eastAsia="仿宋" w:cs="仿宋"/>
                <w:kern w:val="0"/>
                <w:sz w:val="24"/>
                <w:szCs w:val="24"/>
              </w:rPr>
            </w:pPr>
            <w:r>
              <w:rPr>
                <w:rFonts w:hint="eastAsia" w:ascii="仿宋" w:hAnsi="仿宋" w:eastAsia="仿宋" w:cs="仿宋"/>
                <w:kern w:val="0"/>
                <w:sz w:val="24"/>
                <w:szCs w:val="24"/>
              </w:rPr>
              <w:t>0.80</w:t>
            </w:r>
          </w:p>
        </w:tc>
      </w:tr>
      <w:tr w14:paraId="46BE5571">
        <w:trPr>
          <w:trHeight w:val="515" w:hRule="atLeast"/>
        </w:trPr>
        <w:tc>
          <w:tcPr>
            <w:tcW w:w="1376" w:type="dxa"/>
            <w:vMerge w:val="continue"/>
            <w:vAlign w:val="center"/>
          </w:tcPr>
          <w:p w14:paraId="55359C1B">
            <w:pPr>
              <w:jc w:val="center"/>
              <w:rPr>
                <w:rFonts w:hint="eastAsia" w:ascii="仿宋" w:hAnsi="仿宋" w:eastAsia="仿宋" w:cs="仿宋"/>
                <w:sz w:val="24"/>
                <w:szCs w:val="24"/>
                <w:lang w:eastAsia="zh-TW"/>
              </w:rPr>
            </w:pPr>
          </w:p>
        </w:tc>
        <w:tc>
          <w:tcPr>
            <w:tcW w:w="4279" w:type="dxa"/>
            <w:gridSpan w:val="6"/>
            <w:tcBorders>
              <w:bottom w:val="single" w:color="auto" w:sz="4" w:space="0"/>
              <w:right w:val="single" w:color="000000" w:sz="4" w:space="0"/>
            </w:tcBorders>
            <w:vAlign w:val="center"/>
          </w:tcPr>
          <w:p w14:paraId="5C5A721D">
            <w:pPr>
              <w:widowControl/>
              <w:autoSpaceDE w:val="0"/>
              <w:autoSpaceDN w:val="0"/>
              <w:jc w:val="center"/>
              <w:rPr>
                <w:rFonts w:hint="eastAsia" w:ascii="仿宋" w:hAnsi="仿宋" w:eastAsia="仿宋" w:cs="仿宋"/>
                <w:sz w:val="24"/>
                <w:szCs w:val="24"/>
              </w:rPr>
            </w:pPr>
            <w:r>
              <w:rPr>
                <w:rFonts w:hint="eastAsia" w:ascii="仿宋" w:hAnsi="仿宋" w:eastAsia="仿宋" w:cs="仿宋"/>
                <w:sz w:val="24"/>
                <w:szCs w:val="24"/>
              </w:rPr>
              <w:t>总分</w:t>
            </w:r>
          </w:p>
        </w:tc>
        <w:tc>
          <w:tcPr>
            <w:tcW w:w="1130" w:type="dxa"/>
            <w:tcBorders>
              <w:left w:val="single" w:color="000000" w:sz="4" w:space="0"/>
              <w:bottom w:val="single" w:color="auto" w:sz="4" w:space="0"/>
              <w:right w:val="single" w:color="000000" w:sz="4" w:space="0"/>
            </w:tcBorders>
            <w:vAlign w:val="center"/>
          </w:tcPr>
          <w:p w14:paraId="4782C0DF">
            <w:pPr>
              <w:jc w:val="center"/>
              <w:rPr>
                <w:rFonts w:hint="eastAsia" w:ascii="仿宋" w:hAnsi="仿宋" w:eastAsia="仿宋" w:cs="仿宋"/>
                <w:kern w:val="0"/>
                <w:sz w:val="24"/>
                <w:szCs w:val="24"/>
              </w:rPr>
            </w:pPr>
            <w:r>
              <w:rPr>
                <w:rFonts w:hint="eastAsia" w:ascii="仿宋" w:hAnsi="仿宋" w:eastAsia="仿宋" w:cs="仿宋"/>
                <w:kern w:val="0"/>
                <w:sz w:val="24"/>
                <w:szCs w:val="24"/>
              </w:rPr>
              <w:t>20</w:t>
            </w:r>
          </w:p>
        </w:tc>
        <w:tc>
          <w:tcPr>
            <w:tcW w:w="875" w:type="dxa"/>
            <w:gridSpan w:val="2"/>
            <w:tcBorders>
              <w:top w:val="single" w:color="000000" w:sz="4" w:space="0"/>
              <w:left w:val="single" w:color="000000" w:sz="4" w:space="0"/>
              <w:bottom w:val="single" w:color="auto" w:sz="4" w:space="0"/>
            </w:tcBorders>
            <w:vAlign w:val="center"/>
          </w:tcPr>
          <w:p w14:paraId="4EA4B2DE">
            <w:pPr>
              <w:tabs>
                <w:tab w:val="left" w:pos="720"/>
              </w:tabs>
              <w:jc w:val="center"/>
              <w:rPr>
                <w:rFonts w:hint="eastAsia" w:ascii="仿宋" w:hAnsi="仿宋" w:eastAsia="仿宋" w:cs="仿宋"/>
                <w:kern w:val="0"/>
                <w:sz w:val="24"/>
                <w:szCs w:val="24"/>
              </w:rPr>
            </w:pPr>
            <w:r>
              <w:rPr>
                <w:rFonts w:hint="eastAsia" w:ascii="仿宋" w:hAnsi="仿宋" w:eastAsia="仿宋" w:cs="仿宋"/>
                <w:kern w:val="0"/>
                <w:sz w:val="24"/>
                <w:szCs w:val="24"/>
              </w:rPr>
              <w:t>2</w:t>
            </w:r>
            <w:r>
              <w:rPr>
                <w:rFonts w:ascii="仿宋" w:hAnsi="仿宋" w:eastAsia="仿宋" w:cs="仿宋"/>
                <w:kern w:val="0"/>
                <w:sz w:val="24"/>
                <w:szCs w:val="24"/>
              </w:rPr>
              <w:t>0</w:t>
            </w:r>
          </w:p>
        </w:tc>
        <w:tc>
          <w:tcPr>
            <w:tcW w:w="899" w:type="dxa"/>
            <w:gridSpan w:val="2"/>
            <w:tcBorders>
              <w:top w:val="single" w:color="000000" w:sz="4" w:space="0"/>
              <w:bottom w:val="single" w:color="auto" w:sz="4" w:space="0"/>
              <w:right w:val="single" w:color="000000" w:sz="4" w:space="0"/>
            </w:tcBorders>
            <w:vAlign w:val="center"/>
          </w:tcPr>
          <w:p w14:paraId="4A381C50">
            <w:pPr>
              <w:tabs>
                <w:tab w:val="left" w:pos="720"/>
              </w:tabs>
              <w:jc w:val="center"/>
              <w:rPr>
                <w:rFonts w:ascii="仿宋" w:hAnsi="仿宋" w:eastAsia="仿宋" w:cs="仿宋"/>
                <w:kern w:val="0"/>
                <w:sz w:val="24"/>
                <w:szCs w:val="24"/>
              </w:rPr>
            </w:pPr>
            <w:r>
              <w:rPr>
                <w:rFonts w:hint="eastAsia" w:ascii="仿宋" w:hAnsi="仿宋" w:eastAsia="仿宋" w:cs="仿宋"/>
                <w:kern w:val="0"/>
                <w:sz w:val="24"/>
                <w:szCs w:val="24"/>
              </w:rPr>
              <w:t>60</w:t>
            </w:r>
          </w:p>
        </w:tc>
        <w:tc>
          <w:tcPr>
            <w:tcW w:w="589" w:type="dxa"/>
            <w:tcBorders>
              <w:top w:val="single" w:color="000000" w:sz="4" w:space="0"/>
              <w:left w:val="single" w:color="000000" w:sz="4" w:space="0"/>
              <w:bottom w:val="single" w:color="auto" w:sz="4" w:space="0"/>
            </w:tcBorders>
            <w:vAlign w:val="center"/>
          </w:tcPr>
          <w:p w14:paraId="7F83C339">
            <w:pPr>
              <w:tabs>
                <w:tab w:val="left" w:pos="720"/>
              </w:tabs>
              <w:jc w:val="center"/>
              <w:rPr>
                <w:rFonts w:hint="eastAsia" w:ascii="仿宋" w:hAnsi="仿宋" w:eastAsia="仿宋" w:cs="仿宋"/>
                <w:kern w:val="0"/>
                <w:sz w:val="24"/>
                <w:szCs w:val="24"/>
              </w:rPr>
            </w:pPr>
            <w:r>
              <w:rPr>
                <w:rFonts w:hint="eastAsia" w:ascii="仿宋" w:hAnsi="仿宋" w:eastAsia="仿宋" w:cs="仿宋"/>
                <w:kern w:val="0"/>
                <w:sz w:val="24"/>
                <w:szCs w:val="24"/>
              </w:rPr>
              <w:t>0.80</w:t>
            </w:r>
          </w:p>
        </w:tc>
      </w:tr>
      <w:tr w14:paraId="5F6B374E">
        <w:tc>
          <w:tcPr>
            <w:tcW w:w="1376" w:type="dxa"/>
            <w:vAlign w:val="center"/>
          </w:tcPr>
          <w:p w14:paraId="646373C7">
            <w:pPr>
              <w:jc w:val="center"/>
              <w:rPr>
                <w:rFonts w:hint="eastAsia" w:ascii="仿宋" w:hAnsi="仿宋" w:eastAsia="仿宋" w:cs="仿宋"/>
                <w:sz w:val="24"/>
                <w:szCs w:val="24"/>
              </w:rPr>
            </w:pPr>
            <w:r>
              <w:rPr>
                <w:rFonts w:hint="eastAsia" w:ascii="仿宋" w:hAnsi="仿宋" w:eastAsia="仿宋" w:cs="仿宋"/>
                <w:sz w:val="24"/>
                <w:szCs w:val="24"/>
              </w:rPr>
              <w:t>L</w:t>
            </w:r>
          </w:p>
          <w:p w14:paraId="0F72FB39">
            <w:pPr>
              <w:jc w:val="center"/>
              <w:rPr>
                <w:rFonts w:hint="eastAsia" w:ascii="仿宋" w:hAnsi="仿宋" w:eastAsia="仿宋" w:cs="仿宋"/>
                <w:sz w:val="24"/>
                <w:szCs w:val="24"/>
              </w:rPr>
            </w:pPr>
            <w:r>
              <w:rPr>
                <w:rFonts w:hint="eastAsia" w:ascii="仿宋" w:hAnsi="仿宋" w:eastAsia="仿宋" w:cs="仿宋"/>
                <w:sz w:val="24"/>
                <w:szCs w:val="24"/>
              </w:rPr>
              <w:t>学习建议</w:t>
            </w:r>
          </w:p>
        </w:tc>
        <w:tc>
          <w:tcPr>
            <w:tcW w:w="7772" w:type="dxa"/>
            <w:gridSpan w:val="12"/>
            <w:tcBorders>
              <w:bottom w:val="single" w:color="auto" w:sz="4" w:space="0"/>
            </w:tcBorders>
            <w:vAlign w:val="center"/>
          </w:tcPr>
          <w:p w14:paraId="0E2D060D">
            <w:pPr>
              <w:rPr>
                <w:rFonts w:hint="eastAsia" w:ascii="仿宋" w:hAnsi="仿宋" w:eastAsia="仿宋" w:cs="仿宋"/>
                <w:bCs/>
                <w:sz w:val="24"/>
                <w:szCs w:val="24"/>
              </w:rPr>
            </w:pPr>
            <w:r>
              <w:rPr>
                <w:rFonts w:hint="eastAsia" w:ascii="仿宋" w:hAnsi="仿宋" w:eastAsia="仿宋" w:cs="仿宋"/>
                <w:bCs/>
                <w:sz w:val="24"/>
                <w:szCs w:val="24"/>
              </w:rPr>
              <w:t>1.自主学习。建议学生通过预习教材，并通过网络、图书馆自主查阅课程中涉及的学习资源，独立规划自己的课程学习计划，充分发挥自身的学习能动性。</w:t>
            </w:r>
          </w:p>
          <w:p w14:paraId="21DBB5D9">
            <w:pPr>
              <w:rPr>
                <w:rFonts w:hint="eastAsia" w:ascii="仿宋" w:hAnsi="仿宋" w:eastAsia="仿宋" w:cs="仿宋"/>
                <w:bCs/>
                <w:sz w:val="24"/>
                <w:szCs w:val="24"/>
              </w:rPr>
            </w:pPr>
            <w:r>
              <w:rPr>
                <w:rFonts w:hint="eastAsia" w:ascii="仿宋" w:hAnsi="仿宋" w:eastAsia="仿宋" w:cs="仿宋"/>
                <w:bCs/>
                <w:sz w:val="24"/>
                <w:szCs w:val="24"/>
              </w:rPr>
              <w:t>2.研究性学习。鼓励学生针对课程教学内容，尝试理论课结合专题报告的教学方式，开展相关的声乐艺术的进展和专题讲座，提高学生的学习兴趣，了解国内外最新生化知识，开阔学生的视野。</w:t>
            </w:r>
          </w:p>
          <w:p w14:paraId="07816DA4">
            <w:pPr>
              <w:rPr>
                <w:rFonts w:hint="eastAsia" w:ascii="仿宋" w:hAnsi="仿宋" w:eastAsia="仿宋" w:cs="仿宋"/>
                <w:kern w:val="0"/>
                <w:sz w:val="24"/>
                <w:szCs w:val="24"/>
              </w:rPr>
            </w:pPr>
            <w:r>
              <w:rPr>
                <w:rFonts w:hint="eastAsia" w:ascii="仿宋" w:hAnsi="仿宋" w:eastAsia="仿宋" w:cs="仿宋"/>
                <w:bCs/>
                <w:sz w:val="24"/>
                <w:szCs w:val="24"/>
              </w:rPr>
              <w:t>3.小组讨论学习。鼓励学生二人或多人一组进行讨论学习，通过交流自己演唱时的身体上的状态，或进行适当的示范，来相互加深对声乐方法或感觉的理解。</w:t>
            </w:r>
          </w:p>
        </w:tc>
      </w:tr>
      <w:tr w14:paraId="6334420C">
        <w:trPr>
          <w:trHeight w:val="454" w:hRule="atLeast"/>
        </w:trPr>
        <w:tc>
          <w:tcPr>
            <w:tcW w:w="1376" w:type="dxa"/>
            <w:vAlign w:val="center"/>
          </w:tcPr>
          <w:p w14:paraId="0F6CC256">
            <w:pPr>
              <w:jc w:val="center"/>
              <w:rPr>
                <w:rFonts w:hint="eastAsia" w:ascii="仿宋" w:hAnsi="仿宋" w:eastAsia="仿宋" w:cs="仿宋"/>
                <w:sz w:val="24"/>
                <w:szCs w:val="24"/>
              </w:rPr>
            </w:pPr>
            <w:r>
              <w:rPr>
                <w:rFonts w:hint="eastAsia" w:ascii="仿宋" w:hAnsi="仿宋" w:eastAsia="仿宋" w:cs="仿宋"/>
                <w:sz w:val="24"/>
                <w:szCs w:val="24"/>
              </w:rPr>
              <w:t>M</w:t>
            </w:r>
          </w:p>
          <w:p w14:paraId="41E7936D">
            <w:pPr>
              <w:jc w:val="center"/>
              <w:rPr>
                <w:rFonts w:hint="eastAsia" w:ascii="仿宋" w:hAnsi="仿宋" w:eastAsia="仿宋" w:cs="仿宋"/>
                <w:sz w:val="24"/>
                <w:szCs w:val="24"/>
              </w:rPr>
            </w:pPr>
            <w:r>
              <w:rPr>
                <w:rFonts w:hint="eastAsia" w:ascii="仿宋" w:hAnsi="仿宋" w:eastAsia="仿宋" w:cs="仿宋"/>
                <w:sz w:val="24"/>
                <w:szCs w:val="24"/>
              </w:rPr>
              <w:t>评分量表</w:t>
            </w:r>
          </w:p>
        </w:tc>
        <w:tc>
          <w:tcPr>
            <w:tcW w:w="7772" w:type="dxa"/>
            <w:gridSpan w:val="12"/>
            <w:vAlign w:val="center"/>
          </w:tcPr>
          <w:p w14:paraId="73C8D3D0">
            <w:pPr>
              <w:tabs>
                <w:tab w:val="left" w:pos="720"/>
              </w:tabs>
              <w:rPr>
                <w:rFonts w:hint="eastAsia" w:ascii="仿宋" w:hAnsi="仿宋" w:eastAsia="仿宋" w:cs="仿宋"/>
                <w:kern w:val="0"/>
                <w:sz w:val="24"/>
                <w:szCs w:val="24"/>
              </w:rPr>
            </w:pPr>
            <w:r>
              <w:rPr>
                <w:rFonts w:hint="eastAsia" w:ascii="仿宋" w:hAnsi="仿宋" w:eastAsia="仿宋" w:cs="仿宋"/>
                <w:kern w:val="0"/>
                <w:sz w:val="24"/>
                <w:szCs w:val="24"/>
              </w:rPr>
              <w:t>《</w:t>
            </w:r>
            <w:r>
              <w:rPr>
                <w:rFonts w:hint="eastAsia" w:ascii="仿宋" w:hAnsi="仿宋" w:eastAsia="仿宋" w:cs="仿宋"/>
                <w:bCs/>
                <w:sz w:val="24"/>
                <w:szCs w:val="24"/>
              </w:rPr>
              <w:t>声乐演唱</w:t>
            </w:r>
            <w:r>
              <w:rPr>
                <w:rFonts w:hint="eastAsia" w:ascii="仿宋" w:hAnsi="仿宋" w:eastAsia="仿宋" w:cs="仿宋"/>
                <w:kern w:val="0"/>
                <w:sz w:val="24"/>
                <w:szCs w:val="24"/>
              </w:rPr>
              <w:t>》课程目标评分量表见附表。</w:t>
            </w:r>
          </w:p>
        </w:tc>
      </w:tr>
      <w:tr w14:paraId="713107DF">
        <w:trPr>
          <w:trHeight w:val="454" w:hRule="atLeast"/>
        </w:trPr>
        <w:tc>
          <w:tcPr>
            <w:tcW w:w="1376" w:type="dxa"/>
            <w:vAlign w:val="center"/>
          </w:tcPr>
          <w:p w14:paraId="1AD59B37">
            <w:pPr>
              <w:jc w:val="center"/>
              <w:rPr>
                <w:rFonts w:hint="eastAsia" w:ascii="仿宋" w:hAnsi="仿宋" w:eastAsia="仿宋" w:cs="仿宋"/>
                <w:sz w:val="24"/>
                <w:szCs w:val="24"/>
              </w:rPr>
            </w:pPr>
            <w:r>
              <w:rPr>
                <w:rFonts w:hint="eastAsia" w:ascii="仿宋" w:hAnsi="仿宋" w:eastAsia="仿宋" w:cs="仿宋"/>
                <w:sz w:val="24"/>
                <w:szCs w:val="24"/>
              </w:rPr>
              <w:t>备注</w:t>
            </w:r>
          </w:p>
        </w:tc>
        <w:tc>
          <w:tcPr>
            <w:tcW w:w="7772" w:type="dxa"/>
            <w:gridSpan w:val="12"/>
            <w:vAlign w:val="center"/>
          </w:tcPr>
          <w:p w14:paraId="62F5F7DC">
            <w:pPr>
              <w:rPr>
                <w:rFonts w:hint="eastAsia" w:ascii="仿宋" w:hAnsi="仿宋" w:eastAsia="仿宋" w:cs="仿宋"/>
                <w:sz w:val="24"/>
                <w:szCs w:val="24"/>
              </w:rPr>
            </w:pPr>
            <w:r>
              <w:rPr>
                <w:rFonts w:hint="eastAsia" w:ascii="仿宋" w:hAnsi="仿宋" w:eastAsia="仿宋" w:cs="仿宋"/>
                <w:sz w:val="24"/>
                <w:szCs w:val="24"/>
              </w:rPr>
              <w:t>课程大纲A—M项由开课学院审批通过，任课教师不能自行更改。</w:t>
            </w:r>
          </w:p>
        </w:tc>
      </w:tr>
      <w:tr w14:paraId="0217D05E">
        <w:trPr>
          <w:trHeight w:val="771" w:hRule="atLeast"/>
        </w:trPr>
        <w:tc>
          <w:tcPr>
            <w:tcW w:w="1376" w:type="dxa"/>
            <w:vAlign w:val="center"/>
          </w:tcPr>
          <w:p w14:paraId="5A86F916">
            <w:pPr>
              <w:jc w:val="center"/>
              <w:rPr>
                <w:rFonts w:hint="eastAsia" w:ascii="仿宋" w:hAnsi="仿宋" w:eastAsia="仿宋" w:cs="仿宋"/>
                <w:sz w:val="24"/>
                <w:szCs w:val="24"/>
              </w:rPr>
            </w:pPr>
            <w:r>
              <w:rPr>
                <w:rFonts w:hint="eastAsia" w:ascii="仿宋" w:hAnsi="仿宋" w:eastAsia="仿宋" w:cs="仿宋"/>
                <w:sz w:val="24"/>
                <w:szCs w:val="24"/>
              </w:rPr>
              <w:t>审批</w:t>
            </w:r>
          </w:p>
          <w:p w14:paraId="202E3C95">
            <w:pPr>
              <w:jc w:val="center"/>
              <w:rPr>
                <w:rFonts w:hint="eastAsia" w:ascii="仿宋" w:hAnsi="仿宋" w:eastAsia="仿宋" w:cs="仿宋"/>
                <w:sz w:val="24"/>
                <w:szCs w:val="24"/>
              </w:rPr>
            </w:pPr>
            <w:r>
              <w:rPr>
                <w:rFonts w:hint="eastAsia" w:ascii="仿宋" w:hAnsi="仿宋" w:eastAsia="仿宋" w:cs="仿宋"/>
                <w:sz w:val="24"/>
                <w:szCs w:val="24"/>
              </w:rPr>
              <w:t>意见</w:t>
            </w:r>
          </w:p>
        </w:tc>
        <w:tc>
          <w:tcPr>
            <w:tcW w:w="3869" w:type="dxa"/>
            <w:gridSpan w:val="4"/>
            <w:vAlign w:val="center"/>
          </w:tcPr>
          <w:p w14:paraId="722A1E46">
            <w:pPr>
              <w:widowControl/>
              <w:jc w:val="left"/>
              <w:rPr>
                <w:rFonts w:hint="eastAsia" w:ascii="仿宋" w:hAnsi="仿宋" w:eastAsia="仿宋" w:cs="仿宋"/>
                <w:kern w:val="0"/>
                <w:sz w:val="24"/>
                <w:szCs w:val="24"/>
              </w:rPr>
            </w:pPr>
            <w:r>
              <w:rPr>
                <w:rFonts w:hint="eastAsia" w:ascii="仿宋" w:hAnsi="仿宋" w:eastAsia="仿宋" w:cs="仿宋"/>
                <w:kern w:val="0"/>
                <w:sz w:val="24"/>
                <w:szCs w:val="24"/>
              </w:rPr>
              <w:t>课程教学大纲修订负责人及教学团队成员</w:t>
            </w:r>
            <w:r>
              <w:rPr>
                <w:rFonts w:hint="eastAsia" w:ascii="仿宋" w:hAnsi="仿宋" w:eastAsia="仿宋" w:cs="仿宋"/>
                <w:sz w:val="24"/>
                <w:szCs w:val="24"/>
              </w:rPr>
              <w:t>签名</w:t>
            </w:r>
            <w:r>
              <w:rPr>
                <w:rFonts w:hint="eastAsia" w:ascii="仿宋" w:hAnsi="仿宋" w:eastAsia="仿宋" w:cs="仿宋"/>
                <w:kern w:val="0"/>
                <w:sz w:val="24"/>
                <w:szCs w:val="24"/>
              </w:rPr>
              <w:t>：  吴碧玲</w:t>
            </w:r>
          </w:p>
          <w:p w14:paraId="1DE3F747">
            <w:pPr>
              <w:widowControl/>
              <w:jc w:val="left"/>
              <w:rPr>
                <w:rFonts w:hint="eastAsia" w:ascii="仿宋" w:hAnsi="仿宋" w:eastAsia="仿宋" w:cs="仿宋"/>
                <w:kern w:val="0"/>
                <w:sz w:val="24"/>
                <w:szCs w:val="24"/>
              </w:rPr>
            </w:pPr>
          </w:p>
          <w:p w14:paraId="3FB3EF47">
            <w:pPr>
              <w:widowControl/>
              <w:jc w:val="left"/>
              <w:rPr>
                <w:rFonts w:hint="eastAsia" w:ascii="仿宋" w:hAnsi="仿宋" w:eastAsia="仿宋" w:cs="仿宋"/>
                <w:kern w:val="0"/>
                <w:sz w:val="24"/>
                <w:szCs w:val="24"/>
              </w:rPr>
            </w:pPr>
          </w:p>
          <w:p w14:paraId="5D039714">
            <w:pPr>
              <w:widowControl/>
              <w:jc w:val="left"/>
              <w:rPr>
                <w:rFonts w:hint="eastAsia" w:ascii="仿宋" w:hAnsi="仿宋" w:eastAsia="仿宋" w:cs="仿宋"/>
                <w:kern w:val="0"/>
                <w:sz w:val="24"/>
                <w:szCs w:val="24"/>
              </w:rPr>
            </w:pPr>
          </w:p>
          <w:p w14:paraId="253E6E5D">
            <w:pPr>
              <w:widowControl/>
              <w:jc w:val="left"/>
              <w:rPr>
                <w:rFonts w:hint="eastAsia" w:ascii="仿宋" w:hAnsi="仿宋" w:eastAsia="仿宋" w:cs="仿宋"/>
                <w:kern w:val="0"/>
                <w:sz w:val="24"/>
                <w:szCs w:val="24"/>
              </w:rPr>
            </w:pPr>
          </w:p>
          <w:p w14:paraId="144DF341">
            <w:pPr>
              <w:widowControl/>
              <w:jc w:val="right"/>
              <w:rPr>
                <w:rFonts w:hint="eastAsia" w:ascii="仿宋" w:hAnsi="仿宋" w:eastAsia="仿宋" w:cs="仿宋"/>
                <w:kern w:val="0"/>
                <w:sz w:val="24"/>
                <w:szCs w:val="24"/>
              </w:rPr>
            </w:pPr>
            <w:r>
              <w:rPr>
                <w:rFonts w:hint="eastAsia" w:ascii="仿宋" w:hAnsi="仿宋" w:eastAsia="仿宋" w:cs="仿宋"/>
                <w:kern w:val="0"/>
                <w:sz w:val="24"/>
                <w:szCs w:val="24"/>
              </w:rPr>
              <w:t xml:space="preserve">                                              2024年  7月 10日 </w:t>
            </w:r>
          </w:p>
          <w:p w14:paraId="5E1ABBE7">
            <w:pPr>
              <w:widowControl/>
              <w:jc w:val="right"/>
              <w:rPr>
                <w:rFonts w:hint="eastAsia" w:ascii="仿宋" w:hAnsi="仿宋" w:eastAsia="仿宋" w:cs="仿宋"/>
                <w:kern w:val="0"/>
                <w:sz w:val="24"/>
                <w:szCs w:val="24"/>
              </w:rPr>
            </w:pPr>
          </w:p>
        </w:tc>
        <w:tc>
          <w:tcPr>
            <w:tcW w:w="3903" w:type="dxa"/>
            <w:gridSpan w:val="8"/>
            <w:vAlign w:val="center"/>
          </w:tcPr>
          <w:p w14:paraId="7A70F8D3">
            <w:pPr>
              <w:widowControl/>
              <w:jc w:val="left"/>
              <w:rPr>
                <w:rFonts w:hint="eastAsia" w:ascii="仿宋" w:hAnsi="仿宋" w:eastAsia="仿宋" w:cs="仿宋"/>
                <w:kern w:val="0"/>
                <w:sz w:val="24"/>
                <w:szCs w:val="24"/>
              </w:rPr>
            </w:pPr>
            <w:r>
              <w:rPr>
                <w:rFonts w:hint="eastAsia" w:ascii="仿宋" w:hAnsi="仿宋" w:eastAsia="仿宋" w:cs="仿宋"/>
                <w:kern w:val="0"/>
                <w:sz w:val="24"/>
                <w:szCs w:val="24"/>
              </w:rPr>
              <w:t>系主任审核意见：</w:t>
            </w:r>
          </w:p>
          <w:p w14:paraId="04AA0CF3">
            <w:pPr>
              <w:widowControl/>
              <w:jc w:val="left"/>
              <w:rPr>
                <w:rFonts w:hint="eastAsia" w:ascii="仿宋" w:hAnsi="仿宋" w:eastAsia="仿宋" w:cs="仿宋"/>
                <w:kern w:val="0"/>
                <w:sz w:val="24"/>
                <w:szCs w:val="24"/>
              </w:rPr>
            </w:pPr>
          </w:p>
          <w:p w14:paraId="26E4D0FB">
            <w:pPr>
              <w:widowControl/>
              <w:jc w:val="left"/>
              <w:rPr>
                <w:rFonts w:hint="eastAsia" w:ascii="仿宋" w:hAnsi="仿宋" w:eastAsia="仿宋" w:cs="仿宋"/>
                <w:kern w:val="0"/>
                <w:sz w:val="24"/>
                <w:szCs w:val="24"/>
              </w:rPr>
            </w:pPr>
          </w:p>
          <w:p w14:paraId="471CBACA">
            <w:pPr>
              <w:widowControl/>
              <w:jc w:val="left"/>
              <w:rPr>
                <w:rFonts w:hint="eastAsia" w:ascii="仿宋" w:hAnsi="仿宋" w:eastAsia="仿宋" w:cs="仿宋"/>
                <w:kern w:val="0"/>
                <w:sz w:val="24"/>
                <w:szCs w:val="24"/>
              </w:rPr>
            </w:pPr>
          </w:p>
          <w:p w14:paraId="453A4152">
            <w:pPr>
              <w:widowControl/>
              <w:jc w:val="left"/>
              <w:rPr>
                <w:rFonts w:hint="eastAsia" w:ascii="仿宋" w:hAnsi="仿宋" w:eastAsia="仿宋" w:cs="仿宋"/>
                <w:kern w:val="0"/>
                <w:sz w:val="24"/>
                <w:szCs w:val="24"/>
              </w:rPr>
            </w:pPr>
          </w:p>
          <w:p w14:paraId="038362C9">
            <w:pPr>
              <w:widowControl/>
              <w:jc w:val="left"/>
              <w:rPr>
                <w:rFonts w:hint="eastAsia" w:ascii="仿宋" w:hAnsi="仿宋" w:eastAsia="仿宋" w:cs="仿宋"/>
                <w:kern w:val="0"/>
                <w:sz w:val="24"/>
                <w:szCs w:val="24"/>
              </w:rPr>
            </w:pPr>
          </w:p>
          <w:p w14:paraId="2ED78594">
            <w:pPr>
              <w:widowControl/>
              <w:jc w:val="left"/>
              <w:rPr>
                <w:rFonts w:hint="eastAsia" w:ascii="仿宋" w:hAnsi="仿宋" w:eastAsia="仿宋" w:cs="仿宋"/>
                <w:kern w:val="0"/>
                <w:sz w:val="24"/>
                <w:szCs w:val="24"/>
              </w:rPr>
            </w:pPr>
            <w:r>
              <w:rPr>
                <w:rFonts w:hint="eastAsia" w:ascii="仿宋" w:hAnsi="仿宋" w:eastAsia="仿宋" w:cs="仿宋"/>
                <w:kern w:val="0"/>
                <w:sz w:val="24"/>
                <w:szCs w:val="24"/>
              </w:rPr>
              <w:t>系主任签名：</w:t>
            </w:r>
          </w:p>
          <w:p w14:paraId="714BC24D">
            <w:pPr>
              <w:widowControl/>
              <w:jc w:val="right"/>
              <w:rPr>
                <w:rFonts w:hint="eastAsia" w:ascii="仿宋" w:hAnsi="仿宋" w:eastAsia="仿宋" w:cs="仿宋"/>
                <w:kern w:val="0"/>
                <w:sz w:val="24"/>
                <w:szCs w:val="24"/>
              </w:rPr>
            </w:pPr>
          </w:p>
          <w:p w14:paraId="2364D135">
            <w:pPr>
              <w:widowControl/>
              <w:jc w:val="right"/>
              <w:rPr>
                <w:rFonts w:hint="eastAsia" w:ascii="仿宋" w:hAnsi="仿宋" w:eastAsia="仿宋" w:cs="仿宋"/>
                <w:kern w:val="0"/>
                <w:sz w:val="24"/>
                <w:szCs w:val="24"/>
              </w:rPr>
            </w:pPr>
            <w:r>
              <w:rPr>
                <w:rFonts w:hint="eastAsia" w:ascii="仿宋" w:hAnsi="仿宋" w:eastAsia="仿宋" w:cs="仿宋"/>
                <w:kern w:val="0"/>
                <w:sz w:val="24"/>
                <w:szCs w:val="24"/>
              </w:rPr>
              <w:t>年   月   日</w:t>
            </w:r>
          </w:p>
          <w:p w14:paraId="4DBCB456">
            <w:pPr>
              <w:widowControl/>
              <w:jc w:val="right"/>
              <w:rPr>
                <w:rFonts w:hint="eastAsia" w:ascii="仿宋" w:hAnsi="仿宋" w:eastAsia="仿宋" w:cs="仿宋"/>
                <w:kern w:val="0"/>
                <w:sz w:val="24"/>
                <w:szCs w:val="24"/>
              </w:rPr>
            </w:pPr>
          </w:p>
        </w:tc>
      </w:tr>
    </w:tbl>
    <w:p w14:paraId="34916664">
      <w:pPr>
        <w:widowControl/>
        <w:ind w:right="480" w:firstLine="420" w:firstLineChars="200"/>
        <w:rPr>
          <w:rFonts w:hint="eastAsia" w:eastAsia="PMingLiU" w:cs="黑体"/>
          <w:lang w:eastAsia="zh-TW"/>
        </w:rPr>
      </w:pPr>
    </w:p>
    <w:p w14:paraId="56AA0E26">
      <w:pPr>
        <w:widowControl/>
        <w:ind w:right="480" w:firstLine="420" w:firstLineChars="200"/>
        <w:rPr>
          <w:rFonts w:hint="eastAsia" w:eastAsia="PMingLiU" w:cs="黑体"/>
          <w:lang w:eastAsia="zh-TW"/>
        </w:rPr>
      </w:pPr>
    </w:p>
    <w:p w14:paraId="0A30B8A4">
      <w:pPr>
        <w:widowControl/>
        <w:ind w:right="480" w:firstLine="420" w:firstLineChars="200"/>
        <w:rPr>
          <w:rFonts w:cs="黑体"/>
        </w:rPr>
        <w:sectPr>
          <w:headerReference r:id="rId95" w:type="default"/>
          <w:footerReference r:id="rId96" w:type="default"/>
          <w:pgSz w:w="11906" w:h="16838"/>
          <w:pgMar w:top="1134" w:right="1417" w:bottom="1134" w:left="1417" w:header="851" w:footer="992" w:gutter="0"/>
          <w:cols w:space="720" w:num="1"/>
          <w:docGrid w:type="lines" w:linePitch="312" w:charSpace="0"/>
        </w:sectPr>
      </w:pPr>
    </w:p>
    <w:p w14:paraId="3CD28CA6">
      <w:pPr>
        <w:jc w:val="left"/>
        <w:rPr>
          <w:rFonts w:hint="eastAsia" w:cs="黑体"/>
        </w:rPr>
      </w:pPr>
      <w:r>
        <w:rPr>
          <w:rFonts w:hint="eastAsia" w:ascii="仿宋" w:hAnsi="仿宋" w:eastAsia="仿宋" w:cs="仿宋"/>
          <w:sz w:val="32"/>
          <w:szCs w:val="32"/>
        </w:rPr>
        <w:t xml:space="preserve">附表  </w:t>
      </w:r>
      <w:r>
        <w:rPr>
          <w:rFonts w:hint="eastAsia" w:cs="黑体"/>
        </w:rPr>
        <w:t xml:space="preserve">                          </w:t>
      </w:r>
      <w:r>
        <w:rPr>
          <w:rFonts w:hint="eastAsia" w:eastAsia="方正小标宋简体"/>
          <w:sz w:val="44"/>
          <w:szCs w:val="44"/>
        </w:rPr>
        <w:t>《声乐演唱》课程目标评分量表</w:t>
      </w:r>
    </w:p>
    <w:tbl>
      <w:tblPr>
        <w:tblStyle w:val="22"/>
        <w:tblW w:w="1467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28" w:type="dxa"/>
        </w:tblCellMar>
      </w:tblPr>
      <w:tblGrid>
        <w:gridCol w:w="621"/>
        <w:gridCol w:w="2694"/>
        <w:gridCol w:w="2426"/>
        <w:gridCol w:w="2234"/>
        <w:gridCol w:w="2234"/>
        <w:gridCol w:w="2234"/>
        <w:gridCol w:w="2235"/>
      </w:tblGrid>
      <w:tr w14:paraId="6E37D636">
        <w:trPr>
          <w:trHeight w:val="90" w:hRule="atLeast"/>
          <w:jc w:val="center"/>
        </w:trPr>
        <w:tc>
          <w:tcPr>
            <w:tcW w:w="621" w:type="dxa"/>
            <w:vMerge w:val="restart"/>
            <w:vAlign w:val="center"/>
          </w:tcPr>
          <w:p w14:paraId="4B61AA8A">
            <w:pPr>
              <w:jc w:val="center"/>
              <w:rPr>
                <w:rFonts w:hint="eastAsia" w:ascii="楷体" w:hAnsi="楷体" w:eastAsia="楷体" w:cs="仿宋"/>
                <w:sz w:val="24"/>
                <w:szCs w:val="24"/>
              </w:rPr>
            </w:pPr>
            <w:r>
              <w:rPr>
                <w:rFonts w:hint="eastAsia" w:ascii="楷体" w:hAnsi="楷体" w:eastAsia="楷体" w:cs="仿宋"/>
                <w:sz w:val="24"/>
                <w:szCs w:val="24"/>
              </w:rPr>
              <w:t>M</w:t>
            </w:r>
          </w:p>
          <w:p w14:paraId="32493EB1">
            <w:pPr>
              <w:jc w:val="center"/>
              <w:rPr>
                <w:rFonts w:hint="eastAsia" w:ascii="楷体" w:hAnsi="楷体" w:eastAsia="楷体" w:cs="宋体"/>
                <w:sz w:val="24"/>
                <w:szCs w:val="24"/>
              </w:rPr>
            </w:pPr>
            <w:r>
              <w:rPr>
                <w:rFonts w:hint="eastAsia" w:ascii="楷体" w:hAnsi="楷体" w:eastAsia="楷体" w:cs="仿宋"/>
                <w:sz w:val="24"/>
                <w:szCs w:val="24"/>
              </w:rPr>
              <w:t>评分量表</w:t>
            </w:r>
          </w:p>
        </w:tc>
        <w:tc>
          <w:tcPr>
            <w:tcW w:w="2694" w:type="dxa"/>
            <w:vAlign w:val="center"/>
          </w:tcPr>
          <w:p w14:paraId="7982A849">
            <w:pPr>
              <w:tabs>
                <w:tab w:val="left" w:pos="720"/>
              </w:tabs>
              <w:jc w:val="center"/>
              <w:rPr>
                <w:rFonts w:hint="eastAsia" w:ascii="楷体" w:hAnsi="楷体" w:eastAsia="楷体" w:cs="仿宋"/>
                <w:kern w:val="0"/>
                <w:sz w:val="24"/>
                <w:szCs w:val="24"/>
              </w:rPr>
            </w:pPr>
            <w:r>
              <w:rPr>
                <w:rFonts w:hint="eastAsia" w:ascii="楷体" w:hAnsi="楷体" w:eastAsia="楷体" w:cs="仿宋"/>
                <w:kern w:val="0"/>
                <w:sz w:val="24"/>
                <w:szCs w:val="24"/>
              </w:rPr>
              <w:t>课程目标</w:t>
            </w:r>
          </w:p>
        </w:tc>
        <w:tc>
          <w:tcPr>
            <w:tcW w:w="2426" w:type="dxa"/>
            <w:vAlign w:val="center"/>
          </w:tcPr>
          <w:p w14:paraId="09F320C9">
            <w:pPr>
              <w:tabs>
                <w:tab w:val="left" w:pos="720"/>
              </w:tabs>
              <w:jc w:val="center"/>
              <w:rPr>
                <w:rFonts w:hint="eastAsia" w:ascii="楷体" w:hAnsi="楷体" w:eastAsia="楷体" w:cs="仿宋"/>
                <w:kern w:val="0"/>
                <w:sz w:val="24"/>
                <w:szCs w:val="24"/>
              </w:rPr>
            </w:pPr>
            <w:r>
              <w:rPr>
                <w:rFonts w:hint="eastAsia" w:ascii="楷体" w:hAnsi="楷体" w:eastAsia="楷体" w:cs="仿宋"/>
                <w:kern w:val="0"/>
                <w:sz w:val="24"/>
                <w:szCs w:val="24"/>
              </w:rPr>
              <w:t>优（X≧90）</w:t>
            </w:r>
          </w:p>
        </w:tc>
        <w:tc>
          <w:tcPr>
            <w:tcW w:w="2234" w:type="dxa"/>
            <w:vAlign w:val="center"/>
          </w:tcPr>
          <w:p w14:paraId="6602BA6F">
            <w:pPr>
              <w:tabs>
                <w:tab w:val="left" w:pos="720"/>
              </w:tabs>
              <w:jc w:val="center"/>
              <w:rPr>
                <w:rFonts w:hint="eastAsia" w:ascii="楷体" w:hAnsi="楷体" w:eastAsia="楷体" w:cs="仿宋"/>
                <w:kern w:val="0"/>
                <w:sz w:val="24"/>
                <w:szCs w:val="24"/>
              </w:rPr>
            </w:pPr>
            <w:r>
              <w:rPr>
                <w:rFonts w:hint="eastAsia" w:ascii="楷体" w:hAnsi="楷体" w:eastAsia="楷体" w:cs="仿宋"/>
                <w:kern w:val="0"/>
                <w:sz w:val="24"/>
                <w:szCs w:val="24"/>
              </w:rPr>
              <w:t>良（80≦X＜90）</w:t>
            </w:r>
          </w:p>
        </w:tc>
        <w:tc>
          <w:tcPr>
            <w:tcW w:w="2234" w:type="dxa"/>
            <w:vAlign w:val="center"/>
          </w:tcPr>
          <w:p w14:paraId="5CB45C35">
            <w:pPr>
              <w:tabs>
                <w:tab w:val="left" w:pos="720"/>
              </w:tabs>
              <w:jc w:val="center"/>
              <w:rPr>
                <w:rFonts w:hint="eastAsia" w:ascii="楷体" w:hAnsi="楷体" w:eastAsia="楷体" w:cs="仿宋"/>
                <w:kern w:val="0"/>
                <w:sz w:val="24"/>
                <w:szCs w:val="24"/>
              </w:rPr>
            </w:pPr>
            <w:r>
              <w:rPr>
                <w:rFonts w:hint="eastAsia" w:ascii="楷体" w:hAnsi="楷体" w:eastAsia="楷体" w:cs="仿宋"/>
                <w:kern w:val="0"/>
                <w:sz w:val="24"/>
                <w:szCs w:val="24"/>
              </w:rPr>
              <w:t>中（70≦X＜80）</w:t>
            </w:r>
          </w:p>
        </w:tc>
        <w:tc>
          <w:tcPr>
            <w:tcW w:w="2234" w:type="dxa"/>
            <w:vAlign w:val="center"/>
          </w:tcPr>
          <w:p w14:paraId="6BEF5A83">
            <w:pPr>
              <w:tabs>
                <w:tab w:val="left" w:pos="720"/>
              </w:tabs>
              <w:jc w:val="center"/>
              <w:rPr>
                <w:rFonts w:hint="eastAsia" w:ascii="楷体" w:hAnsi="楷体" w:eastAsia="楷体" w:cs="仿宋"/>
                <w:kern w:val="0"/>
                <w:sz w:val="24"/>
                <w:szCs w:val="24"/>
              </w:rPr>
            </w:pPr>
            <w:r>
              <w:rPr>
                <w:rFonts w:hint="eastAsia" w:ascii="楷体" w:hAnsi="楷体" w:eastAsia="楷体" w:cs="仿宋"/>
                <w:kern w:val="0"/>
                <w:sz w:val="24"/>
                <w:szCs w:val="24"/>
              </w:rPr>
              <w:t>及格（60≦X＜70）</w:t>
            </w:r>
          </w:p>
        </w:tc>
        <w:tc>
          <w:tcPr>
            <w:tcW w:w="2235" w:type="dxa"/>
            <w:vAlign w:val="center"/>
          </w:tcPr>
          <w:p w14:paraId="05BF758F">
            <w:pPr>
              <w:tabs>
                <w:tab w:val="left" w:pos="720"/>
              </w:tabs>
              <w:jc w:val="center"/>
              <w:rPr>
                <w:rFonts w:hint="eastAsia" w:ascii="楷体" w:hAnsi="楷体" w:eastAsia="楷体" w:cs="仿宋"/>
                <w:kern w:val="0"/>
                <w:sz w:val="24"/>
                <w:szCs w:val="24"/>
              </w:rPr>
            </w:pPr>
            <w:r>
              <w:rPr>
                <w:rFonts w:hint="eastAsia" w:ascii="楷体" w:hAnsi="楷体" w:eastAsia="楷体" w:cs="仿宋"/>
                <w:kern w:val="0"/>
                <w:sz w:val="24"/>
                <w:szCs w:val="24"/>
              </w:rPr>
              <w:t>不及格（＜60）</w:t>
            </w:r>
          </w:p>
        </w:tc>
      </w:tr>
      <w:tr w14:paraId="6F8A764A">
        <w:trPr>
          <w:trHeight w:val="3132" w:hRule="atLeast"/>
          <w:jc w:val="center"/>
        </w:trPr>
        <w:tc>
          <w:tcPr>
            <w:tcW w:w="621" w:type="dxa"/>
            <w:vMerge w:val="continue"/>
            <w:vAlign w:val="center"/>
          </w:tcPr>
          <w:p w14:paraId="62E6011D">
            <w:pPr>
              <w:jc w:val="center"/>
              <w:rPr>
                <w:rFonts w:ascii="楷体" w:hAnsi="楷体" w:eastAsia="楷体" w:cs="宋体"/>
                <w:sz w:val="24"/>
                <w:szCs w:val="24"/>
              </w:rPr>
            </w:pPr>
          </w:p>
        </w:tc>
        <w:tc>
          <w:tcPr>
            <w:tcW w:w="2694" w:type="dxa"/>
            <w:vAlign w:val="top"/>
          </w:tcPr>
          <w:p w14:paraId="29AB4340">
            <w:pPr>
              <w:widowControl/>
              <w:jc w:val="left"/>
              <w:rPr>
                <w:rFonts w:hint="eastAsia" w:ascii="楷体" w:hAnsi="楷体" w:eastAsia="楷体"/>
                <w:b/>
                <w:sz w:val="24"/>
                <w:szCs w:val="24"/>
              </w:rPr>
            </w:pPr>
            <w:r>
              <w:rPr>
                <w:rFonts w:hint="eastAsia" w:ascii="楷体" w:hAnsi="楷体" w:eastAsia="楷体"/>
                <w:b/>
                <w:sz w:val="24"/>
                <w:szCs w:val="24"/>
              </w:rPr>
              <w:t>课程目标 1</w:t>
            </w:r>
          </w:p>
          <w:p w14:paraId="234AEA48">
            <w:pPr>
              <w:widowControl/>
              <w:jc w:val="left"/>
              <w:rPr>
                <w:rFonts w:ascii="楷体" w:hAnsi="楷体" w:eastAsia="楷体"/>
                <w:bCs/>
                <w:color w:val="000000"/>
                <w:sz w:val="24"/>
                <w:szCs w:val="24"/>
              </w:rPr>
            </w:pPr>
            <w:r>
              <w:rPr>
                <w:rFonts w:hint="eastAsia" w:ascii="楷体" w:hAnsi="楷体" w:eastAsia="楷体"/>
                <w:sz w:val="24"/>
                <w:szCs w:val="24"/>
              </w:rPr>
              <w:t>领会立德树人的理念，</w:t>
            </w:r>
            <w:r>
              <w:rPr>
                <w:rStyle w:val="143"/>
                <w:rFonts w:hint="eastAsia" w:ascii="楷体" w:hAnsi="楷体" w:eastAsia="楷体"/>
                <w:sz w:val="24"/>
                <w:szCs w:val="24"/>
              </w:rPr>
              <w:t>掌握立德树人的途径与方法，</w:t>
            </w:r>
            <w:r>
              <w:rPr>
                <w:rFonts w:hint="eastAsia" w:ascii="楷体" w:hAnsi="楷体" w:eastAsia="楷体"/>
                <w:sz w:val="24"/>
                <w:szCs w:val="24"/>
              </w:rPr>
              <w:t>能践行社会主义核心价值观，贯彻党的教育方针，遵守中小学教师职业道德规范。</w:t>
            </w:r>
            <w:r>
              <w:rPr>
                <w:rStyle w:val="143"/>
                <w:rFonts w:hint="eastAsia" w:ascii="楷体" w:hAnsi="楷体" w:eastAsia="楷体"/>
                <w:sz w:val="24"/>
                <w:szCs w:val="24"/>
              </w:rPr>
              <w:t>热爱音乐教育事业，有从教意愿，</w:t>
            </w:r>
            <w:r>
              <w:rPr>
                <w:rFonts w:hint="eastAsia" w:ascii="楷体" w:hAnsi="楷体" w:eastAsia="楷体"/>
                <w:sz w:val="24"/>
                <w:szCs w:val="24"/>
              </w:rPr>
              <w:t>具有正确的教育观、学生观、教师观、课程观、教学观。</w:t>
            </w:r>
          </w:p>
        </w:tc>
        <w:tc>
          <w:tcPr>
            <w:tcW w:w="2426" w:type="dxa"/>
            <w:vAlign w:val="top"/>
          </w:tcPr>
          <w:p w14:paraId="49144B21">
            <w:pPr>
              <w:widowControl/>
              <w:jc w:val="left"/>
              <w:rPr>
                <w:rFonts w:ascii="楷体" w:hAnsi="楷体" w:eastAsia="楷体"/>
                <w:bCs/>
                <w:color w:val="000000"/>
                <w:sz w:val="24"/>
                <w:szCs w:val="24"/>
              </w:rPr>
            </w:pPr>
            <w:r>
              <w:rPr>
                <w:rFonts w:hint="eastAsia" w:ascii="楷体" w:hAnsi="楷体" w:eastAsia="楷体"/>
                <w:sz w:val="24"/>
                <w:szCs w:val="24"/>
              </w:rPr>
              <w:t>领会立德树人的理念，扎实地</w:t>
            </w:r>
            <w:r>
              <w:rPr>
                <w:rStyle w:val="143"/>
                <w:rFonts w:hint="eastAsia" w:ascii="楷体" w:hAnsi="楷体" w:eastAsia="楷体"/>
                <w:sz w:val="24"/>
                <w:szCs w:val="24"/>
              </w:rPr>
              <w:t>掌握立德树人的途径与方法，</w:t>
            </w:r>
            <w:r>
              <w:rPr>
                <w:rFonts w:hint="eastAsia" w:ascii="楷体" w:hAnsi="楷体" w:eastAsia="楷体"/>
                <w:sz w:val="24"/>
                <w:szCs w:val="24"/>
              </w:rPr>
              <w:t>模范地践行社会主义核心价值观、贯彻党的教育方方针，遵守中小学教师职业道德规范。能够</w:t>
            </w:r>
            <w:r>
              <w:rPr>
                <w:rStyle w:val="143"/>
                <w:rFonts w:hint="eastAsia" w:ascii="楷体" w:hAnsi="楷体" w:eastAsia="楷体"/>
                <w:sz w:val="24"/>
                <w:szCs w:val="24"/>
              </w:rPr>
              <w:t xml:space="preserve">热爱音乐教育事业，具有从教意愿， </w:t>
            </w:r>
            <w:r>
              <w:rPr>
                <w:rFonts w:hint="eastAsia" w:ascii="楷体" w:hAnsi="楷体" w:eastAsia="楷体"/>
                <w:sz w:val="24"/>
                <w:szCs w:val="24"/>
              </w:rPr>
              <w:t>具有正确的教育观、学生观、教师观、课程观、教学观。</w:t>
            </w:r>
          </w:p>
        </w:tc>
        <w:tc>
          <w:tcPr>
            <w:tcW w:w="2234" w:type="dxa"/>
            <w:vAlign w:val="top"/>
          </w:tcPr>
          <w:p w14:paraId="581C7696">
            <w:pPr>
              <w:widowControl/>
              <w:jc w:val="left"/>
              <w:rPr>
                <w:rFonts w:hint="eastAsia" w:ascii="楷体" w:hAnsi="楷体" w:eastAsia="楷体"/>
                <w:color w:val="000000"/>
                <w:sz w:val="24"/>
                <w:szCs w:val="24"/>
              </w:rPr>
            </w:pPr>
            <w:r>
              <w:rPr>
                <w:rFonts w:hint="eastAsia" w:ascii="楷体" w:hAnsi="楷体" w:eastAsia="楷体"/>
                <w:sz w:val="24"/>
                <w:szCs w:val="24"/>
              </w:rPr>
              <w:t>领会立德树人的理念、</w:t>
            </w:r>
            <w:r>
              <w:rPr>
                <w:rStyle w:val="143"/>
                <w:rFonts w:hint="eastAsia" w:ascii="楷体" w:hAnsi="楷体" w:eastAsia="楷体"/>
                <w:sz w:val="24"/>
                <w:szCs w:val="24"/>
              </w:rPr>
              <w:t>途径与方法，较好地</w:t>
            </w:r>
            <w:r>
              <w:rPr>
                <w:rFonts w:hint="eastAsia" w:ascii="楷体" w:hAnsi="楷体" w:eastAsia="楷体"/>
                <w:sz w:val="24"/>
                <w:szCs w:val="24"/>
              </w:rPr>
              <w:t>践行社会主义核心价值观、贯彻党的教育方针，遵守中小学教师职业道德规范。能够</w:t>
            </w:r>
            <w:r>
              <w:rPr>
                <w:rStyle w:val="143"/>
                <w:rFonts w:hint="eastAsia" w:ascii="楷体" w:hAnsi="楷体" w:eastAsia="楷体"/>
                <w:sz w:val="24"/>
                <w:szCs w:val="24"/>
              </w:rPr>
              <w:t>热爱音乐教育事业，有从教意愿，</w:t>
            </w:r>
            <w:r>
              <w:rPr>
                <w:rFonts w:hint="eastAsia" w:ascii="楷体" w:hAnsi="楷体" w:eastAsia="楷体"/>
                <w:sz w:val="24"/>
                <w:szCs w:val="24"/>
              </w:rPr>
              <w:t>具有正确的教育观、学生观、教师观、课程观、教学观。</w:t>
            </w:r>
          </w:p>
          <w:p w14:paraId="16145C17">
            <w:pPr>
              <w:widowControl/>
              <w:jc w:val="left"/>
              <w:rPr>
                <w:rFonts w:hint="eastAsia" w:ascii="楷体" w:hAnsi="楷体" w:eastAsia="楷体"/>
                <w:bCs/>
                <w:color w:val="000000"/>
                <w:sz w:val="24"/>
                <w:szCs w:val="24"/>
              </w:rPr>
            </w:pPr>
          </w:p>
        </w:tc>
        <w:tc>
          <w:tcPr>
            <w:tcW w:w="2234" w:type="dxa"/>
            <w:vAlign w:val="top"/>
          </w:tcPr>
          <w:p w14:paraId="70EFE095">
            <w:pPr>
              <w:widowControl/>
              <w:jc w:val="left"/>
              <w:rPr>
                <w:rFonts w:hint="eastAsia" w:ascii="楷体" w:hAnsi="楷体" w:eastAsia="楷体"/>
                <w:color w:val="000000"/>
                <w:sz w:val="24"/>
                <w:szCs w:val="24"/>
              </w:rPr>
            </w:pPr>
            <w:r>
              <w:rPr>
                <w:rFonts w:hint="eastAsia" w:ascii="楷体" w:hAnsi="楷体" w:eastAsia="楷体"/>
                <w:sz w:val="24"/>
                <w:szCs w:val="24"/>
              </w:rPr>
              <w:t>基本领会立德树人的理念、</w:t>
            </w:r>
            <w:r>
              <w:rPr>
                <w:rStyle w:val="143"/>
                <w:rFonts w:hint="eastAsia" w:ascii="楷体" w:hAnsi="楷体" w:eastAsia="楷体"/>
                <w:sz w:val="24"/>
                <w:szCs w:val="24"/>
              </w:rPr>
              <w:t>途径与方法，基本地</w:t>
            </w:r>
            <w:r>
              <w:rPr>
                <w:rFonts w:hint="eastAsia" w:ascii="楷体" w:hAnsi="楷体" w:eastAsia="楷体"/>
                <w:sz w:val="24"/>
                <w:szCs w:val="24"/>
              </w:rPr>
              <w:t>践行社会主义核心价值观、贯彻党的教育方方针，遵守中小学教师职业道德规范。能够</w:t>
            </w:r>
            <w:r>
              <w:rPr>
                <w:rStyle w:val="143"/>
                <w:rFonts w:hint="eastAsia" w:ascii="楷体" w:hAnsi="楷体" w:eastAsia="楷体"/>
                <w:sz w:val="24"/>
                <w:szCs w:val="24"/>
              </w:rPr>
              <w:t xml:space="preserve">热爱音乐教育事业，有从教意愿， </w:t>
            </w:r>
            <w:r>
              <w:rPr>
                <w:rFonts w:hint="eastAsia" w:ascii="楷体" w:hAnsi="楷体" w:eastAsia="楷体"/>
                <w:sz w:val="24"/>
                <w:szCs w:val="24"/>
              </w:rPr>
              <w:t>具有正确的教育观、学生观、教师观、课程观、教学观。</w:t>
            </w:r>
          </w:p>
        </w:tc>
        <w:tc>
          <w:tcPr>
            <w:tcW w:w="2234" w:type="dxa"/>
            <w:vAlign w:val="top"/>
          </w:tcPr>
          <w:p w14:paraId="5681B5CA">
            <w:pPr>
              <w:widowControl/>
              <w:jc w:val="left"/>
              <w:rPr>
                <w:rFonts w:hint="eastAsia" w:ascii="楷体" w:hAnsi="楷体" w:eastAsia="楷体"/>
                <w:bCs/>
                <w:color w:val="000000"/>
                <w:sz w:val="24"/>
                <w:szCs w:val="24"/>
              </w:rPr>
            </w:pPr>
            <w:r>
              <w:rPr>
                <w:rFonts w:hint="eastAsia" w:ascii="楷体" w:hAnsi="楷体" w:eastAsia="楷体"/>
                <w:sz w:val="24"/>
                <w:szCs w:val="24"/>
              </w:rPr>
              <w:t>基本领会立德树人的理念和部分掌握</w:t>
            </w:r>
            <w:r>
              <w:rPr>
                <w:rStyle w:val="143"/>
                <w:rFonts w:hint="eastAsia" w:ascii="楷体" w:hAnsi="楷体" w:eastAsia="楷体"/>
                <w:sz w:val="24"/>
                <w:szCs w:val="24"/>
              </w:rPr>
              <w:t>立德树人的途径与方法，部分</w:t>
            </w:r>
            <w:r>
              <w:rPr>
                <w:rFonts w:hint="eastAsia" w:ascii="楷体" w:hAnsi="楷体" w:eastAsia="楷体"/>
                <w:sz w:val="24"/>
                <w:szCs w:val="24"/>
              </w:rPr>
              <w:t>践行社会主义核心价值观、贯彻党的教育方方针，遵守中小学教师职业道德规范。能够</w:t>
            </w:r>
            <w:r>
              <w:rPr>
                <w:rStyle w:val="143"/>
                <w:rFonts w:hint="eastAsia" w:ascii="楷体" w:hAnsi="楷体" w:eastAsia="楷体"/>
                <w:sz w:val="24"/>
                <w:szCs w:val="24"/>
              </w:rPr>
              <w:t>热爱音乐教育事业，有从教意愿，</w:t>
            </w:r>
            <w:r>
              <w:rPr>
                <w:rFonts w:hint="eastAsia" w:ascii="楷体" w:hAnsi="楷体" w:eastAsia="楷体"/>
                <w:sz w:val="24"/>
                <w:szCs w:val="24"/>
              </w:rPr>
              <w:t>具有正确的教育观、学生观、教师观、课程观、教学观。</w:t>
            </w:r>
          </w:p>
        </w:tc>
        <w:tc>
          <w:tcPr>
            <w:tcW w:w="2235" w:type="dxa"/>
            <w:vAlign w:val="top"/>
          </w:tcPr>
          <w:p w14:paraId="2B335BF2">
            <w:pPr>
              <w:widowControl/>
              <w:jc w:val="left"/>
              <w:rPr>
                <w:rFonts w:hint="eastAsia" w:ascii="楷体" w:hAnsi="楷体" w:eastAsia="楷体"/>
                <w:bCs/>
                <w:color w:val="000000"/>
                <w:sz w:val="24"/>
                <w:szCs w:val="24"/>
              </w:rPr>
            </w:pPr>
            <w:r>
              <w:rPr>
                <w:rFonts w:hint="eastAsia" w:ascii="楷体" w:hAnsi="楷体" w:eastAsia="楷体"/>
                <w:sz w:val="24"/>
                <w:szCs w:val="24"/>
              </w:rPr>
              <w:t>未能领会掌握立德树人的理念、</w:t>
            </w:r>
            <w:r>
              <w:rPr>
                <w:rStyle w:val="143"/>
                <w:rFonts w:hint="eastAsia" w:ascii="楷体" w:hAnsi="楷体" w:eastAsia="楷体"/>
                <w:sz w:val="24"/>
                <w:szCs w:val="24"/>
              </w:rPr>
              <w:t>途径与方法，未能</w:t>
            </w:r>
            <w:r>
              <w:rPr>
                <w:rFonts w:hint="eastAsia" w:ascii="楷体" w:hAnsi="楷体" w:eastAsia="楷体"/>
                <w:sz w:val="24"/>
                <w:szCs w:val="24"/>
              </w:rPr>
              <w:t>践行社会主义核心价值观、未能贯彻党的教育方方针，未能遵守中小学教师职业道德规范。不</w:t>
            </w:r>
            <w:r>
              <w:rPr>
                <w:rStyle w:val="143"/>
                <w:rFonts w:hint="eastAsia" w:ascii="楷体" w:hAnsi="楷体" w:eastAsia="楷体"/>
                <w:sz w:val="24"/>
                <w:szCs w:val="24"/>
              </w:rPr>
              <w:t>热爱音乐教育事业，不</w:t>
            </w:r>
            <w:r>
              <w:rPr>
                <w:rFonts w:hint="eastAsia" w:ascii="楷体" w:hAnsi="楷体" w:eastAsia="楷体"/>
                <w:sz w:val="24"/>
                <w:szCs w:val="24"/>
              </w:rPr>
              <w:t>具有正确的教育观、学生观、教师观、课程观、教学观。</w:t>
            </w:r>
          </w:p>
        </w:tc>
      </w:tr>
      <w:tr w14:paraId="10DFE897">
        <w:trPr>
          <w:trHeight w:val="1133" w:hRule="atLeast"/>
          <w:jc w:val="center"/>
        </w:trPr>
        <w:tc>
          <w:tcPr>
            <w:tcW w:w="621" w:type="dxa"/>
            <w:vMerge w:val="continue"/>
            <w:vAlign w:val="center"/>
          </w:tcPr>
          <w:p w14:paraId="0E93EB29">
            <w:pPr>
              <w:jc w:val="center"/>
              <w:rPr>
                <w:rFonts w:ascii="楷体" w:hAnsi="楷体" w:eastAsia="楷体" w:cs="宋体"/>
                <w:sz w:val="24"/>
                <w:szCs w:val="24"/>
              </w:rPr>
            </w:pPr>
          </w:p>
        </w:tc>
        <w:tc>
          <w:tcPr>
            <w:tcW w:w="2694" w:type="dxa"/>
            <w:vAlign w:val="top"/>
          </w:tcPr>
          <w:p w14:paraId="5AEC6B61">
            <w:pPr>
              <w:widowControl/>
              <w:jc w:val="left"/>
              <w:rPr>
                <w:rFonts w:hint="eastAsia" w:ascii="楷体" w:hAnsi="楷体" w:eastAsia="楷体" w:cs="仿宋"/>
                <w:bCs/>
                <w:sz w:val="24"/>
                <w:szCs w:val="24"/>
              </w:rPr>
            </w:pPr>
            <w:r>
              <w:rPr>
                <w:rFonts w:hint="eastAsia" w:ascii="楷体" w:hAnsi="楷体" w:eastAsia="楷体" w:cs="仿宋"/>
                <w:b/>
                <w:bCs/>
                <w:sz w:val="24"/>
                <w:szCs w:val="24"/>
              </w:rPr>
              <w:t>课程目标2</w:t>
            </w:r>
          </w:p>
          <w:p w14:paraId="10AD9BFC">
            <w:pPr>
              <w:widowControl/>
              <w:autoSpaceDE w:val="0"/>
              <w:autoSpaceDN w:val="0"/>
              <w:jc w:val="left"/>
              <w:rPr>
                <w:rFonts w:hint="eastAsia" w:ascii="楷体" w:hAnsi="楷体" w:eastAsia="楷体" w:cs="宋体"/>
                <w:sz w:val="24"/>
                <w:szCs w:val="24"/>
              </w:rPr>
            </w:pPr>
            <w:r>
              <w:rPr>
                <w:rFonts w:hint="eastAsia" w:ascii="楷体" w:hAnsi="楷体" w:eastAsia="楷体" w:cs="仿宋"/>
                <w:sz w:val="24"/>
                <w:szCs w:val="24"/>
              </w:rPr>
              <w:t>领会声课程的基本学习内容，掌握声乐基本原理、熟练声乐演唱形式，掌握不同声部演唱的音域及音色差异，演唱一定数量的声乐作品，并同时能够很好地把握作品风格及演绎人物角色；</w:t>
            </w:r>
            <w:r>
              <w:rPr>
                <w:rFonts w:hint="eastAsia" w:ascii="楷体" w:hAnsi="楷体" w:eastAsia="楷体" w:cs="宋体"/>
                <w:sz w:val="24"/>
                <w:szCs w:val="24"/>
              </w:rPr>
              <w:t>运用跨学科知识分析和解决声乐作品演唱和教学中的问题。</w:t>
            </w:r>
            <w:r>
              <w:rPr>
                <w:rFonts w:hint="eastAsia" w:ascii="楷体" w:hAnsi="楷体" w:eastAsia="楷体" w:cs="仿宋"/>
                <w:sz w:val="24"/>
                <w:szCs w:val="24"/>
              </w:rPr>
              <w:t>掌握义务教育阶段和中（小）学音乐课程标准的理念，根据中学生身心发展规律和音乐认知特点，尤其是中学生个体的身体和嗓音条件，从教学目标、教学方法、重点、难点等方面，利用信息技术辅助手段进行教学设计。</w:t>
            </w:r>
          </w:p>
          <w:p w14:paraId="49B7ED23">
            <w:pPr>
              <w:widowControl/>
              <w:ind w:firstLine="480" w:firstLineChars="200"/>
              <w:jc w:val="left"/>
              <w:rPr>
                <w:rFonts w:ascii="楷体" w:hAnsi="楷体" w:eastAsia="楷体"/>
                <w:sz w:val="24"/>
                <w:szCs w:val="24"/>
              </w:rPr>
            </w:pPr>
          </w:p>
        </w:tc>
        <w:tc>
          <w:tcPr>
            <w:tcW w:w="2426" w:type="dxa"/>
            <w:vAlign w:val="top"/>
          </w:tcPr>
          <w:p w14:paraId="317C787C">
            <w:pPr>
              <w:widowControl/>
              <w:autoSpaceDE w:val="0"/>
              <w:autoSpaceDN w:val="0"/>
              <w:jc w:val="left"/>
              <w:rPr>
                <w:rFonts w:hint="eastAsia" w:ascii="楷体" w:hAnsi="楷体" w:eastAsia="楷体" w:cs="宋体"/>
                <w:sz w:val="24"/>
                <w:szCs w:val="24"/>
              </w:rPr>
            </w:pPr>
            <w:r>
              <w:rPr>
                <w:rFonts w:hint="eastAsia" w:ascii="楷体" w:hAnsi="楷体" w:eastAsia="楷体" w:cs="仿宋"/>
                <w:sz w:val="24"/>
                <w:szCs w:val="24"/>
              </w:rPr>
              <w:t>深刻领会课程的基本学习内容，熟练掌握声乐基本原理、熟练声乐演唱形式，熟练掌握不同声部演唱的音域及音色差异，演唱大量的声乐作品，并同时能够很好地把握作品风格及演绎人物角色；熟练地</w:t>
            </w:r>
            <w:r>
              <w:rPr>
                <w:rFonts w:hint="eastAsia" w:ascii="楷体" w:hAnsi="楷体" w:eastAsia="楷体" w:cs="宋体"/>
                <w:sz w:val="24"/>
                <w:szCs w:val="24"/>
              </w:rPr>
              <w:t>运用跨学科知识分析和解决声乐作品演唱和教学中的问题。</w:t>
            </w:r>
            <w:r>
              <w:rPr>
                <w:rFonts w:hint="eastAsia" w:ascii="楷体" w:hAnsi="楷体" w:eastAsia="楷体" w:cs="仿宋"/>
                <w:sz w:val="24"/>
                <w:szCs w:val="24"/>
              </w:rPr>
              <w:t>扎实掌握义务教育阶段和中（小）学音乐课程标准的理念，能够根据中学生身心发展规律和音乐认知特点，尤其是中学生个体的身体和嗓音条件，从教学目标、教学方法、重点、难点等方面，利用信息技术辅助手段灵活地进行教学设计。</w:t>
            </w:r>
          </w:p>
          <w:p w14:paraId="574B6412">
            <w:pPr>
              <w:ind w:firstLine="480" w:firstLineChars="200"/>
              <w:rPr>
                <w:rFonts w:ascii="楷体" w:hAnsi="楷体" w:eastAsia="楷体"/>
                <w:sz w:val="24"/>
                <w:szCs w:val="24"/>
              </w:rPr>
            </w:pPr>
          </w:p>
        </w:tc>
        <w:tc>
          <w:tcPr>
            <w:tcW w:w="2234" w:type="dxa"/>
            <w:vAlign w:val="top"/>
          </w:tcPr>
          <w:p w14:paraId="2A1CF415">
            <w:pPr>
              <w:widowControl/>
              <w:autoSpaceDE w:val="0"/>
              <w:autoSpaceDN w:val="0"/>
              <w:jc w:val="left"/>
              <w:rPr>
                <w:rFonts w:hint="eastAsia" w:ascii="楷体" w:hAnsi="楷体" w:eastAsia="楷体" w:cs="宋体"/>
                <w:sz w:val="24"/>
                <w:szCs w:val="24"/>
              </w:rPr>
            </w:pPr>
            <w:r>
              <w:rPr>
                <w:rFonts w:hint="eastAsia" w:ascii="楷体" w:hAnsi="楷体" w:eastAsia="楷体" w:cs="仿宋"/>
                <w:sz w:val="24"/>
                <w:szCs w:val="24"/>
              </w:rPr>
              <w:t>能够领会课程的基本学习内容，能够掌握声乐基本原理、能够掌握声乐演唱形式，能够掌握不同声部演唱的音域及音色差异，能够演唱一定数量的声乐作品，并同时能够把握作品风格及演绎人物角色；能够</w:t>
            </w:r>
            <w:r>
              <w:rPr>
                <w:rFonts w:hint="eastAsia" w:ascii="楷体" w:hAnsi="楷体" w:eastAsia="楷体" w:cs="宋体"/>
                <w:sz w:val="24"/>
                <w:szCs w:val="24"/>
              </w:rPr>
              <w:t>运用跨学科知识分析和解决声乐作品演唱和教学中的问题。</w:t>
            </w:r>
            <w:r>
              <w:rPr>
                <w:rFonts w:hint="eastAsia" w:ascii="楷体" w:hAnsi="楷体" w:eastAsia="楷体" w:cs="仿宋"/>
                <w:sz w:val="24"/>
                <w:szCs w:val="24"/>
              </w:rPr>
              <w:t>掌握义务教育阶段和中（小）学音乐课程标准的理念，根据中学生身心发展规律和音乐认知特点，尤其是中学生个体的身体和嗓音条件，从教学目标、教学方法、重点、难点等方面，利用信息技术辅助手段进行教学设计。</w:t>
            </w:r>
          </w:p>
          <w:p w14:paraId="23CB6997">
            <w:pPr>
              <w:ind w:firstLine="480" w:firstLineChars="200"/>
              <w:rPr>
                <w:rFonts w:ascii="楷体" w:hAnsi="楷体" w:eastAsia="楷体"/>
                <w:sz w:val="24"/>
                <w:szCs w:val="24"/>
              </w:rPr>
            </w:pPr>
          </w:p>
        </w:tc>
        <w:tc>
          <w:tcPr>
            <w:tcW w:w="2234" w:type="dxa"/>
            <w:vAlign w:val="top"/>
          </w:tcPr>
          <w:p w14:paraId="12945529">
            <w:pPr>
              <w:widowControl/>
              <w:autoSpaceDE w:val="0"/>
              <w:autoSpaceDN w:val="0"/>
              <w:jc w:val="left"/>
              <w:rPr>
                <w:rFonts w:ascii="楷体" w:hAnsi="楷体" w:eastAsia="楷体" w:cs="宋体"/>
                <w:sz w:val="24"/>
                <w:szCs w:val="24"/>
              </w:rPr>
            </w:pPr>
            <w:r>
              <w:rPr>
                <w:rFonts w:hint="eastAsia" w:ascii="楷体" w:hAnsi="楷体" w:eastAsia="楷体" w:cs="仿宋"/>
                <w:sz w:val="24"/>
                <w:szCs w:val="24"/>
              </w:rPr>
              <w:t>基本能够领会课程的基本学习内容，基本能够掌握声乐基本原理、基本熟练声乐演唱形式，基本能够掌握不同声部演唱的音域及音色差异，演唱一定数量的声乐作品，并同时基本能够把握作品风格及演绎人物角色；基本能够</w:t>
            </w:r>
            <w:r>
              <w:rPr>
                <w:rFonts w:hint="eastAsia" w:ascii="楷体" w:hAnsi="楷体" w:eastAsia="楷体" w:cs="宋体"/>
                <w:sz w:val="24"/>
                <w:szCs w:val="24"/>
              </w:rPr>
              <w:t>运用跨学科知识分析和解决声乐作品演唱和教学中的问题。</w:t>
            </w:r>
            <w:r>
              <w:rPr>
                <w:rFonts w:hint="eastAsia" w:ascii="楷体" w:hAnsi="楷体" w:eastAsia="楷体" w:cs="仿宋"/>
                <w:sz w:val="24"/>
                <w:szCs w:val="24"/>
              </w:rPr>
              <w:t>基本掌握义务教育阶段和中（小）学音乐课程标准的理念，基本能够根据中学生身心发展规律和音乐认知特点，尤其是中学生个体的身体和嗓音条件，从教学目标、教学方法、重点、难点等方面，利用信息技术辅助手段进行简单教学设计。</w:t>
            </w:r>
          </w:p>
        </w:tc>
        <w:tc>
          <w:tcPr>
            <w:tcW w:w="2234" w:type="dxa"/>
            <w:vAlign w:val="top"/>
          </w:tcPr>
          <w:p w14:paraId="5E2A869A">
            <w:pPr>
              <w:widowControl/>
              <w:autoSpaceDE w:val="0"/>
              <w:autoSpaceDN w:val="0"/>
              <w:jc w:val="left"/>
              <w:rPr>
                <w:rFonts w:hint="eastAsia" w:ascii="楷体" w:hAnsi="楷体" w:eastAsia="楷体" w:cs="宋体"/>
                <w:sz w:val="24"/>
                <w:szCs w:val="24"/>
              </w:rPr>
            </w:pPr>
            <w:r>
              <w:rPr>
                <w:rFonts w:hint="eastAsia" w:ascii="楷体" w:hAnsi="楷体" w:eastAsia="楷体" w:cs="仿宋"/>
                <w:sz w:val="24"/>
                <w:szCs w:val="24"/>
              </w:rPr>
              <w:t>简单熟悉课程的基本学习内容，简单熟悉声乐基本原理、简单熟悉声乐演唱形式，简单熟悉不同声部演唱的音域及音色差异，演唱少量的声乐作品，并同时简单熟悉作品风格及演绎人物角色；不能综合</w:t>
            </w:r>
            <w:r>
              <w:rPr>
                <w:rFonts w:hint="eastAsia" w:ascii="楷体" w:hAnsi="楷体" w:eastAsia="楷体" w:cs="宋体"/>
                <w:sz w:val="24"/>
                <w:szCs w:val="24"/>
              </w:rPr>
              <w:t>运用跨学科知识分析和解决声乐作品演唱和教学中的问题。</w:t>
            </w:r>
            <w:r>
              <w:rPr>
                <w:rFonts w:hint="eastAsia" w:ascii="楷体" w:hAnsi="楷体" w:eastAsia="楷体" w:cs="仿宋"/>
                <w:sz w:val="24"/>
                <w:szCs w:val="24"/>
              </w:rPr>
              <w:t>简单了解义务教育阶段和中（小）学音乐课程标准的理念，根据中学生身心发展规律和音乐认知特点，尤其是中学生个体的身体和嗓音条件，从教学目标、教学方法、重点、难点等方面，能够简单地利用信息技术辅助手段进行初步教学设计。</w:t>
            </w:r>
          </w:p>
          <w:p w14:paraId="6062BF2B">
            <w:pPr>
              <w:ind w:firstLine="480" w:firstLineChars="200"/>
              <w:rPr>
                <w:rFonts w:ascii="楷体" w:hAnsi="楷体" w:eastAsia="楷体"/>
                <w:sz w:val="24"/>
                <w:szCs w:val="24"/>
              </w:rPr>
            </w:pPr>
          </w:p>
        </w:tc>
        <w:tc>
          <w:tcPr>
            <w:tcW w:w="2235" w:type="dxa"/>
            <w:vAlign w:val="top"/>
          </w:tcPr>
          <w:p w14:paraId="40905BBD">
            <w:pPr>
              <w:widowControl/>
              <w:autoSpaceDE w:val="0"/>
              <w:autoSpaceDN w:val="0"/>
              <w:jc w:val="left"/>
              <w:rPr>
                <w:rFonts w:hint="eastAsia" w:ascii="楷体" w:hAnsi="楷体" w:eastAsia="楷体" w:cs="宋体"/>
                <w:sz w:val="24"/>
                <w:szCs w:val="24"/>
              </w:rPr>
            </w:pPr>
            <w:r>
              <w:rPr>
                <w:rFonts w:hint="eastAsia" w:ascii="楷体" w:hAnsi="楷体" w:eastAsia="楷体" w:cs="仿宋"/>
                <w:sz w:val="24"/>
                <w:szCs w:val="24"/>
              </w:rPr>
              <w:t>未能领会课程的基本学习内容，未能掌握声乐基本原理、未能掌握声乐演唱形式，未能掌握不同声部演唱的音域及音色差异，演唱极少的的声乐作品，未能把握作品风格及演绎人物角色；不能综合</w:t>
            </w:r>
            <w:r>
              <w:rPr>
                <w:rFonts w:hint="eastAsia" w:ascii="楷体" w:hAnsi="楷体" w:eastAsia="楷体" w:cs="宋体"/>
                <w:sz w:val="24"/>
                <w:szCs w:val="24"/>
              </w:rPr>
              <w:t>运用跨学科知识分析和解决声乐作品演唱和教学中的问题。</w:t>
            </w:r>
            <w:r>
              <w:rPr>
                <w:rFonts w:hint="eastAsia" w:ascii="楷体" w:hAnsi="楷体" w:eastAsia="楷体" w:cs="仿宋"/>
                <w:sz w:val="24"/>
                <w:szCs w:val="24"/>
              </w:rPr>
              <w:t>不能掌握义务教育阶段和中（小）学音乐课程标准的理念，不能根据中学生身心发展规律和音乐认知特点，尤其是中学生个体的身体和嗓音条件，从教学目标、教学方法、重点、难点等方面，利用信息技术辅助手段进行教学设计。</w:t>
            </w:r>
          </w:p>
          <w:p w14:paraId="7EA76A4C">
            <w:pPr>
              <w:ind w:firstLine="480" w:firstLineChars="200"/>
              <w:rPr>
                <w:rFonts w:ascii="楷体" w:hAnsi="楷体" w:eastAsia="楷体"/>
                <w:sz w:val="24"/>
                <w:szCs w:val="24"/>
              </w:rPr>
            </w:pPr>
          </w:p>
        </w:tc>
      </w:tr>
      <w:tr w14:paraId="6E309325">
        <w:trPr>
          <w:trHeight w:val="416" w:hRule="atLeast"/>
          <w:jc w:val="center"/>
        </w:trPr>
        <w:tc>
          <w:tcPr>
            <w:tcW w:w="621" w:type="dxa"/>
            <w:vMerge w:val="continue"/>
            <w:vAlign w:val="center"/>
          </w:tcPr>
          <w:p w14:paraId="597F3B7B">
            <w:pPr>
              <w:jc w:val="center"/>
              <w:rPr>
                <w:rFonts w:ascii="楷体" w:hAnsi="楷体" w:eastAsia="楷体" w:cs="宋体"/>
                <w:sz w:val="24"/>
                <w:szCs w:val="24"/>
              </w:rPr>
            </w:pPr>
          </w:p>
        </w:tc>
        <w:tc>
          <w:tcPr>
            <w:tcW w:w="2694" w:type="dxa"/>
            <w:vAlign w:val="top"/>
          </w:tcPr>
          <w:p w14:paraId="0CF75AC4">
            <w:pPr>
              <w:widowControl/>
              <w:rPr>
                <w:rFonts w:hint="eastAsia" w:ascii="楷体" w:hAnsi="楷体" w:eastAsia="楷体" w:cs="仿宋"/>
                <w:b/>
                <w:bCs/>
                <w:sz w:val="24"/>
                <w:szCs w:val="24"/>
              </w:rPr>
            </w:pPr>
            <w:r>
              <w:rPr>
                <w:rFonts w:hint="eastAsia" w:ascii="楷体" w:hAnsi="楷体" w:eastAsia="楷体" w:cs="仿宋"/>
                <w:b/>
                <w:bCs/>
                <w:sz w:val="24"/>
                <w:szCs w:val="24"/>
              </w:rPr>
              <w:t>课程目标3</w:t>
            </w:r>
          </w:p>
          <w:p w14:paraId="1333CB0E">
            <w:pPr>
              <w:rPr>
                <w:rFonts w:hint="eastAsia" w:ascii="楷体" w:hAnsi="楷体" w:eastAsia="楷体" w:cs="仿宋"/>
                <w:bCs/>
                <w:sz w:val="24"/>
                <w:szCs w:val="24"/>
              </w:rPr>
            </w:pPr>
            <w:r>
              <w:rPr>
                <w:rFonts w:hint="eastAsia" w:ascii="楷体" w:hAnsi="楷体" w:eastAsia="楷体" w:cs="仿宋"/>
                <w:bCs/>
                <w:kern w:val="0"/>
                <w:sz w:val="24"/>
                <w:szCs w:val="24"/>
              </w:rPr>
              <w:t>师范生需要根据自身身体、嗓音条件及综合课堂表现，积极总结自身发声特点，对出现的问题及时改进并能够触类旁通。学习、掌握声乐机理，适当尝试声乐教学实践，对教学中可能出现的问题进行预判，实际中出现的问题深究原因，提出具体解决对策，真正做到教学相长。</w:t>
            </w:r>
          </w:p>
        </w:tc>
        <w:tc>
          <w:tcPr>
            <w:tcW w:w="2426" w:type="dxa"/>
            <w:vAlign w:val="top"/>
          </w:tcPr>
          <w:p w14:paraId="62278A7C">
            <w:pPr>
              <w:widowControl/>
              <w:rPr>
                <w:rFonts w:hint="eastAsia" w:ascii="楷体" w:hAnsi="楷体" w:eastAsia="楷体"/>
                <w:bCs/>
                <w:sz w:val="24"/>
                <w:szCs w:val="24"/>
              </w:rPr>
            </w:pPr>
            <w:r>
              <w:rPr>
                <w:rFonts w:hint="eastAsia" w:ascii="楷体" w:hAnsi="楷体" w:eastAsia="楷体" w:cs="仿宋"/>
                <w:bCs/>
                <w:kern w:val="0"/>
                <w:sz w:val="24"/>
                <w:szCs w:val="24"/>
              </w:rPr>
              <w:t>师范生能够很好地根据自身身体、嗓音条件及综合课堂表现，积极总结自身发声特点，对出现的问题很好地及时改进并能够触类旁通。学习、掌握声乐机理，适当尝试声乐教学实践，对教学中可能出现的问题进行良好预判，实际中出现的问题深究原因，能够提出具体解决对策，能够真正做到教学相长。</w:t>
            </w:r>
          </w:p>
        </w:tc>
        <w:tc>
          <w:tcPr>
            <w:tcW w:w="2234" w:type="dxa"/>
            <w:vAlign w:val="top"/>
          </w:tcPr>
          <w:p w14:paraId="3D826390">
            <w:pPr>
              <w:widowControl/>
              <w:rPr>
                <w:rFonts w:hint="eastAsia" w:ascii="楷体" w:hAnsi="楷体" w:eastAsia="楷体"/>
                <w:bCs/>
                <w:sz w:val="24"/>
                <w:szCs w:val="24"/>
              </w:rPr>
            </w:pPr>
            <w:r>
              <w:rPr>
                <w:rFonts w:hint="eastAsia" w:ascii="楷体" w:hAnsi="楷体" w:eastAsia="楷体" w:cs="仿宋"/>
                <w:bCs/>
                <w:kern w:val="0"/>
                <w:sz w:val="24"/>
                <w:szCs w:val="24"/>
              </w:rPr>
              <w:t>师范生能够根据自身身体、嗓音条件及综合课堂表现，能够总结自身发声特点，对出现的问题及时改进并能够触类旁通。能够学习、掌握声乐机理，适当尝试声乐教学实践，对教学中可能出现的问题能够进行预判，实际中出现的问题深究原因，能够提出具体解决对策，真正做到教学相长。</w:t>
            </w:r>
          </w:p>
        </w:tc>
        <w:tc>
          <w:tcPr>
            <w:tcW w:w="2234" w:type="dxa"/>
            <w:vAlign w:val="top"/>
          </w:tcPr>
          <w:p w14:paraId="05CD723C">
            <w:pPr>
              <w:widowControl/>
              <w:rPr>
                <w:rFonts w:hint="eastAsia" w:ascii="楷体" w:hAnsi="楷体" w:eastAsia="楷体"/>
                <w:sz w:val="24"/>
                <w:szCs w:val="24"/>
              </w:rPr>
            </w:pPr>
            <w:r>
              <w:rPr>
                <w:rFonts w:hint="eastAsia" w:ascii="楷体" w:hAnsi="楷体" w:eastAsia="楷体" w:cs="仿宋"/>
                <w:bCs/>
                <w:kern w:val="0"/>
                <w:sz w:val="24"/>
                <w:szCs w:val="24"/>
              </w:rPr>
              <w:t>师范生基本能够根据自身身体、嗓音条件及综合课堂表现，基本能够总结自身发声特点，对出现的问题及时改进并能够触类旁通。基本能够学习、掌握声乐机理，适当尝试声乐教学实践，对教学中可能出现的问题基本能够进行预判，实际中出现的问题深究原因，基本能够提出具体解决对策，真正做到教学相长。</w:t>
            </w:r>
          </w:p>
        </w:tc>
        <w:tc>
          <w:tcPr>
            <w:tcW w:w="2234" w:type="dxa"/>
            <w:vAlign w:val="top"/>
          </w:tcPr>
          <w:p w14:paraId="46C93C43">
            <w:pPr>
              <w:widowControl/>
              <w:rPr>
                <w:rFonts w:hint="eastAsia" w:ascii="楷体" w:hAnsi="楷体" w:eastAsia="楷体"/>
                <w:sz w:val="24"/>
                <w:szCs w:val="24"/>
              </w:rPr>
            </w:pPr>
            <w:r>
              <w:rPr>
                <w:rFonts w:hint="eastAsia" w:ascii="楷体" w:hAnsi="楷体" w:eastAsia="楷体" w:cs="仿宋"/>
                <w:bCs/>
                <w:kern w:val="0"/>
                <w:sz w:val="24"/>
                <w:szCs w:val="24"/>
              </w:rPr>
              <w:t>师范生基本能够根据自身身体、嗓音条件及综合课堂表现，不太积极地总结自身发声特点，对出现的问题基本能够改进但不能够触类旁通。基本能够学习、掌握声乐机理，适当尝试声乐教学实践，但对教学中可能出现的问题不能进行预判，实际中出现的问题不能深究原因，不能提出具体解决对策，不能做到教学相长。</w:t>
            </w:r>
          </w:p>
        </w:tc>
        <w:tc>
          <w:tcPr>
            <w:tcW w:w="2235" w:type="dxa"/>
            <w:vAlign w:val="top"/>
          </w:tcPr>
          <w:p w14:paraId="112B8C15">
            <w:pPr>
              <w:widowControl/>
              <w:rPr>
                <w:rFonts w:hint="eastAsia" w:ascii="楷体" w:hAnsi="楷体" w:eastAsia="楷体"/>
                <w:b/>
                <w:kern w:val="0"/>
                <w:sz w:val="24"/>
                <w:szCs w:val="24"/>
              </w:rPr>
            </w:pPr>
            <w:r>
              <w:rPr>
                <w:rFonts w:hint="eastAsia" w:ascii="楷体" w:hAnsi="楷体" w:eastAsia="楷体" w:cs="仿宋"/>
                <w:bCs/>
                <w:kern w:val="0"/>
                <w:sz w:val="24"/>
                <w:szCs w:val="24"/>
              </w:rPr>
              <w:t>师范生未能根据自身身体、嗓音条件及综合课堂表现，不能总结自身发声特点，对出现的问题不能及时改进，做不到够触类旁通。未能学习、掌握声乐机理，不能尝试进行声乐教学实践，对教学中可能出现的问题不能进行预判，实际中出现的问题不能深究原因，不能提出具体解决对策，不能做到教学相长。</w:t>
            </w:r>
          </w:p>
        </w:tc>
      </w:tr>
    </w:tbl>
    <w:p w14:paraId="12C5E3B4">
      <w:pPr>
        <w:rPr>
          <w:sz w:val="2"/>
          <w:szCs w:val="2"/>
        </w:rPr>
        <w:sectPr>
          <w:headerReference r:id="rId97" w:type="default"/>
          <w:footerReference r:id="rId98" w:type="default"/>
          <w:pgSz w:w="16838" w:h="11906" w:orient="landscape"/>
          <w:pgMar w:top="1417" w:right="1134" w:bottom="1417" w:left="1134" w:header="851" w:footer="992" w:gutter="0"/>
          <w:cols w:space="720" w:num="1"/>
          <w:docGrid w:type="lines" w:linePitch="312" w:charSpace="0"/>
        </w:sectPr>
      </w:pPr>
    </w:p>
    <w:p w14:paraId="787268BD">
      <w:pPr>
        <w:pStyle w:val="10"/>
        <w:pageBreakBefore w:val="0"/>
        <w:widowControl w:val="0"/>
        <w:kinsoku/>
        <w:overflowPunct/>
        <w:topLinePunct w:val="0"/>
        <w:bidi w:val="0"/>
        <w:spacing w:line="240" w:lineRule="auto"/>
        <w:jc w:val="center"/>
        <w:rPr>
          <w:rFonts w:hint="eastAsia" w:eastAsia="微软雅黑" w:cs="Times New Roman"/>
          <w:sz w:val="44"/>
          <w:szCs w:val="44"/>
          <w:lang w:bidi="ar-SA"/>
        </w:rPr>
      </w:pPr>
      <w:r>
        <w:rPr>
          <w:rFonts w:hint="default" w:eastAsia="微软雅黑" w:cs="Times New Roman"/>
          <w:sz w:val="44"/>
          <w:szCs w:val="44"/>
          <w:lang w:bidi="ar-SA"/>
        </w:rPr>
        <w:t>三明学院音乐学（音乐教育）专业</w:t>
      </w:r>
    </w:p>
    <w:p w14:paraId="73FA1418">
      <w:pPr>
        <w:pStyle w:val="2"/>
        <w:pageBreakBefore w:val="0"/>
        <w:widowControl w:val="0"/>
        <w:kinsoku/>
        <w:overflowPunct/>
        <w:topLinePunct w:val="0"/>
        <w:bidi w:val="0"/>
        <w:spacing w:before="0" w:beforeAutospacing="0" w:after="0" w:afterAutospacing="0" w:line="240" w:lineRule="auto"/>
        <w:jc w:val="center"/>
        <w:rPr>
          <w:rFonts w:hint="eastAsia" w:ascii="微软雅黑" w:eastAsia="微软雅黑"/>
          <w:b w:val="0"/>
          <w:bCs w:val="0"/>
          <w:sz w:val="28"/>
          <w:szCs w:val="28"/>
        </w:rPr>
      </w:pPr>
      <w:bookmarkStart w:id="148" w:name="_Toc78044725"/>
      <w:bookmarkStart w:id="149" w:name="_Toc84465645"/>
      <w:bookmarkStart w:id="150" w:name="_Toc16695451"/>
      <w:bookmarkStart w:id="151" w:name="_Toc16695136"/>
      <w:bookmarkStart w:id="152" w:name="_Toc75062415"/>
      <w:bookmarkStart w:id="153" w:name="_Toc744675070"/>
      <w:bookmarkStart w:id="154" w:name="_Toc39436505"/>
      <w:bookmarkStart w:id="155" w:name="_Toc84465671"/>
      <w:bookmarkStart w:id="156" w:name="_Toc75062089"/>
      <w:bookmarkStart w:id="157" w:name="_Toc75062318"/>
      <w:bookmarkStart w:id="158" w:name="_Toc39436597"/>
      <w:bookmarkStart w:id="159" w:name="_Toc16695030"/>
      <w:bookmarkStart w:id="160" w:name="_Toc78044679"/>
      <w:bookmarkStart w:id="161" w:name="_Toc65478580"/>
      <w:bookmarkStart w:id="162" w:name="_Toc78044637"/>
      <w:bookmarkStart w:id="163" w:name="_Toc16695549"/>
      <w:bookmarkStart w:id="164" w:name="_Toc16695239"/>
      <w:bookmarkStart w:id="165" w:name="_Toc84465593"/>
      <w:bookmarkStart w:id="166" w:name="_Toc1116758028"/>
      <w:bookmarkStart w:id="167" w:name="_Toc16695343"/>
      <w:bookmarkStart w:id="168" w:name="_Toc75062209"/>
      <w:r>
        <w:rPr>
          <w:rFonts w:hint="eastAsia" w:ascii="微软雅黑" w:eastAsia="微软雅黑"/>
          <w:b w:val="0"/>
          <w:bCs w:val="0"/>
          <w:sz w:val="44"/>
          <w:szCs w:val="44"/>
        </w:rPr>
        <w:t>《声乐教学法》课程教学大纲</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tbl>
      <w:tblPr>
        <w:tblStyle w:val="22"/>
        <w:tblW w:w="9148"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212"/>
        <w:gridCol w:w="116"/>
        <w:gridCol w:w="226"/>
        <w:gridCol w:w="1554"/>
        <w:gridCol w:w="1192"/>
        <w:gridCol w:w="362"/>
        <w:gridCol w:w="615"/>
        <w:gridCol w:w="581"/>
        <w:gridCol w:w="358"/>
        <w:gridCol w:w="38"/>
        <w:gridCol w:w="844"/>
        <w:gridCol w:w="134"/>
        <w:gridCol w:w="1"/>
        <w:gridCol w:w="539"/>
      </w:tblGrid>
      <w:tr w14:paraId="7678ED5D">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14:paraId="356E1AA1">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课程名称</w:t>
            </w:r>
          </w:p>
        </w:tc>
        <w:tc>
          <w:tcPr>
            <w:tcW w:w="4662" w:type="dxa"/>
            <w:gridSpan w:val="6"/>
            <w:tcBorders>
              <w:top w:val="single" w:color="auto" w:sz="4" w:space="0"/>
              <w:left w:val="single" w:color="auto" w:sz="4" w:space="0"/>
              <w:bottom w:val="single" w:color="auto" w:sz="4" w:space="0"/>
              <w:right w:val="single" w:color="auto" w:sz="4" w:space="0"/>
            </w:tcBorders>
            <w:noWrap/>
            <w:vAlign w:val="center"/>
          </w:tcPr>
          <w:p w14:paraId="0E723F74">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Hans"/>
              </w:rPr>
            </w:pPr>
            <w:r>
              <w:rPr>
                <w:rFonts w:hint="eastAsia" w:ascii="仿宋" w:eastAsia="仿宋" w:cs="仿宋"/>
                <w:color w:val="000000"/>
                <w:sz w:val="24"/>
                <w:szCs w:val="24"/>
                <w:lang w:val="en-US" w:eastAsia="zh-Hans"/>
              </w:rPr>
              <w:t>声乐教学法</w:t>
            </w:r>
          </w:p>
        </w:tc>
        <w:tc>
          <w:tcPr>
            <w:tcW w:w="1554" w:type="dxa"/>
            <w:gridSpan w:val="3"/>
            <w:tcBorders>
              <w:top w:val="single" w:color="auto" w:sz="4" w:space="0"/>
              <w:left w:val="single" w:color="auto" w:sz="4" w:space="0"/>
              <w:bottom w:val="single" w:color="auto" w:sz="4" w:space="0"/>
              <w:right w:val="single" w:color="auto" w:sz="4" w:space="0"/>
            </w:tcBorders>
            <w:noWrap/>
            <w:vAlign w:val="center"/>
          </w:tcPr>
          <w:p w14:paraId="4B28BE5A">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课程代码</w:t>
            </w:r>
          </w:p>
        </w:tc>
        <w:tc>
          <w:tcPr>
            <w:tcW w:w="1556" w:type="dxa"/>
            <w:gridSpan w:val="5"/>
            <w:tcBorders>
              <w:top w:val="single" w:color="auto" w:sz="4" w:space="0"/>
              <w:left w:val="single" w:color="auto" w:sz="4" w:space="0"/>
              <w:bottom w:val="single" w:color="auto" w:sz="4" w:space="0"/>
              <w:right w:val="single" w:color="auto" w:sz="4" w:space="0"/>
            </w:tcBorders>
            <w:noWrap/>
            <w:vAlign w:val="center"/>
          </w:tcPr>
          <w:p w14:paraId="0D2B9D4C">
            <w:pPr>
              <w:jc w:val="center"/>
              <w:rPr>
                <w:rFonts w:hint="default" w:ascii="仿宋" w:eastAsia="仿宋" w:cs="仿宋"/>
                <w:color w:val="000000"/>
                <w:sz w:val="24"/>
                <w:szCs w:val="24"/>
                <w:lang w:eastAsia="zh-CN"/>
              </w:rPr>
            </w:pPr>
            <w:r>
              <w:rPr>
                <w:rFonts w:hint="eastAsia" w:ascii="仿宋" w:eastAsia="仿宋" w:cs="仿宋"/>
                <w:color w:val="000000"/>
                <w:sz w:val="24"/>
                <w:szCs w:val="24"/>
                <w:lang w:val="en-US" w:eastAsia="zh-CN"/>
              </w:rPr>
              <w:t>1211402601</w:t>
            </w:r>
          </w:p>
        </w:tc>
      </w:tr>
      <w:tr w14:paraId="0FED90AB">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14:paraId="25B49EEE">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课程类型</w:t>
            </w:r>
          </w:p>
        </w:tc>
        <w:tc>
          <w:tcPr>
            <w:tcW w:w="7772" w:type="dxa"/>
            <w:gridSpan w:val="14"/>
            <w:tcBorders>
              <w:top w:val="single" w:color="auto" w:sz="4" w:space="0"/>
              <w:left w:val="single" w:color="auto" w:sz="4" w:space="0"/>
              <w:bottom w:val="single" w:color="auto" w:sz="4" w:space="0"/>
              <w:right w:val="single" w:color="auto" w:sz="4" w:space="0"/>
            </w:tcBorders>
            <w:noWrap/>
            <w:vAlign w:val="center"/>
          </w:tcPr>
          <w:p w14:paraId="22657D41">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rPr>
            </w:pPr>
            <w:r>
              <w:rPr>
                <w:rFonts w:hint="eastAsia" w:ascii="仿宋" w:eastAsia="仿宋" w:cs="仿宋"/>
                <w:color w:val="000000"/>
                <w:sz w:val="24"/>
                <w:szCs w:val="24"/>
              </w:rPr>
              <w:sym w:font="Wingdings" w:char="00A8"/>
            </w:r>
            <w:r>
              <w:rPr>
                <w:rFonts w:hint="eastAsia" w:ascii="仿宋" w:eastAsia="仿宋" w:cs="仿宋"/>
                <w:color w:val="000000"/>
                <w:sz w:val="24"/>
                <w:szCs w:val="24"/>
              </w:rPr>
              <w:t xml:space="preserve">通识必修 </w:t>
            </w:r>
            <w:r>
              <w:rPr>
                <w:rFonts w:hint="eastAsia" w:ascii="仿宋" w:eastAsia="仿宋" w:cs="仿宋"/>
                <w:color w:val="000000"/>
                <w:sz w:val="24"/>
                <w:szCs w:val="24"/>
              </w:rPr>
              <w:sym w:font="Wingdings" w:char="00A8"/>
            </w:r>
            <w:r>
              <w:rPr>
                <w:rFonts w:hint="eastAsia" w:ascii="仿宋" w:eastAsia="仿宋" w:cs="仿宋"/>
                <w:color w:val="000000"/>
                <w:sz w:val="24"/>
                <w:szCs w:val="24"/>
              </w:rPr>
              <w:t xml:space="preserve">通识选修 </w:t>
            </w:r>
            <w:r>
              <w:rPr>
                <w:rFonts w:hint="eastAsia" w:ascii="仿宋" w:eastAsia="仿宋" w:cs="仿宋"/>
                <w:color w:val="000000"/>
                <w:sz w:val="24"/>
                <w:szCs w:val="24"/>
              </w:rPr>
              <w:sym w:font="Wingdings" w:char="00FE"/>
            </w:r>
            <w:r>
              <w:rPr>
                <w:rFonts w:hint="eastAsia" w:ascii="仿宋" w:eastAsia="仿宋" w:cs="仿宋"/>
                <w:color w:val="000000"/>
                <w:sz w:val="24"/>
                <w:szCs w:val="24"/>
              </w:rPr>
              <w:t xml:space="preserve">专业必修 </w:t>
            </w:r>
          </w:p>
          <w:p w14:paraId="5E6C3C13">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rPr>
            </w:pPr>
            <w:r>
              <w:rPr>
                <w:rFonts w:hint="eastAsia" w:ascii="仿宋" w:eastAsia="仿宋" w:cs="仿宋"/>
                <w:color w:val="000000"/>
                <w:sz w:val="24"/>
                <w:szCs w:val="24"/>
              </w:rPr>
              <w:sym w:font="Wingdings" w:char="00FE"/>
            </w:r>
            <w:r>
              <w:rPr>
                <w:rFonts w:hint="eastAsia" w:ascii="仿宋" w:eastAsia="仿宋" w:cs="仿宋"/>
                <w:color w:val="000000"/>
                <w:sz w:val="24"/>
                <w:szCs w:val="24"/>
              </w:rPr>
              <w:t>专业选修</w:t>
            </w:r>
            <w:r>
              <w:rPr>
                <w:rFonts w:hint="eastAsia" w:ascii="仿宋" w:eastAsia="仿宋" w:cs="仿宋"/>
                <w:color w:val="000000"/>
                <w:sz w:val="24"/>
                <w:szCs w:val="24"/>
                <w:lang w:eastAsia="zh-TW"/>
              </w:rPr>
              <w:t xml:space="preserve"> </w:t>
            </w:r>
            <w:r>
              <w:rPr>
                <w:rFonts w:hint="eastAsia" w:ascii="仿宋" w:eastAsia="仿宋" w:cs="仿宋"/>
                <w:color w:val="000000"/>
                <w:sz w:val="24"/>
                <w:szCs w:val="24"/>
              </w:rPr>
              <w:sym w:font="Wingdings" w:char="00A8"/>
            </w:r>
            <w:r>
              <w:rPr>
                <w:rFonts w:hint="eastAsia" w:ascii="仿宋" w:eastAsia="仿宋" w:cs="仿宋"/>
                <w:color w:val="000000"/>
                <w:sz w:val="24"/>
                <w:szCs w:val="24"/>
              </w:rPr>
              <w:t xml:space="preserve">教师教育必修 </w:t>
            </w:r>
            <w:r>
              <w:rPr>
                <w:rFonts w:hint="eastAsia" w:ascii="仿宋" w:eastAsia="仿宋" w:cs="仿宋"/>
                <w:color w:val="000000"/>
                <w:sz w:val="24"/>
                <w:szCs w:val="24"/>
              </w:rPr>
              <w:sym w:font="Wingdings" w:char="00A8"/>
            </w:r>
            <w:r>
              <w:rPr>
                <w:rFonts w:hint="eastAsia" w:ascii="仿宋" w:eastAsia="仿宋" w:cs="仿宋"/>
                <w:color w:val="000000"/>
                <w:sz w:val="24"/>
                <w:szCs w:val="24"/>
              </w:rPr>
              <w:t>教师教育选修</w:t>
            </w:r>
          </w:p>
        </w:tc>
      </w:tr>
      <w:tr w14:paraId="2320AC01">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14:paraId="12524B44">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开课学期</w:t>
            </w:r>
          </w:p>
        </w:tc>
        <w:tc>
          <w:tcPr>
            <w:tcW w:w="1554" w:type="dxa"/>
            <w:gridSpan w:val="3"/>
            <w:tcBorders>
              <w:top w:val="single" w:color="auto" w:sz="4" w:space="0"/>
              <w:left w:val="single" w:color="auto" w:sz="4" w:space="0"/>
              <w:bottom w:val="single" w:color="auto" w:sz="4" w:space="0"/>
              <w:right w:val="single" w:color="auto" w:sz="4" w:space="0"/>
            </w:tcBorders>
            <w:noWrap/>
            <w:vAlign w:val="center"/>
          </w:tcPr>
          <w:p w14:paraId="4E0CC142">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第</w:t>
            </w:r>
            <w:r>
              <w:rPr>
                <w:rFonts w:hint="default" w:ascii="仿宋" w:eastAsia="仿宋" w:cs="仿宋"/>
                <w:color w:val="000000"/>
                <w:sz w:val="24"/>
                <w:szCs w:val="24"/>
              </w:rPr>
              <w:t>6</w:t>
            </w:r>
            <w:r>
              <w:rPr>
                <w:rFonts w:hint="eastAsia" w:ascii="仿宋" w:eastAsia="仿宋" w:cs="仿宋"/>
                <w:color w:val="000000"/>
                <w:sz w:val="24"/>
                <w:szCs w:val="24"/>
              </w:rPr>
              <w:t>学期</w:t>
            </w:r>
          </w:p>
        </w:tc>
        <w:tc>
          <w:tcPr>
            <w:tcW w:w="1554" w:type="dxa"/>
            <w:tcBorders>
              <w:top w:val="single" w:color="auto" w:sz="4" w:space="0"/>
              <w:left w:val="single" w:color="auto" w:sz="4" w:space="0"/>
              <w:bottom w:val="single" w:color="auto" w:sz="4" w:space="0"/>
              <w:right w:val="single" w:color="auto" w:sz="4" w:space="0"/>
            </w:tcBorders>
            <w:noWrap/>
            <w:vAlign w:val="center"/>
          </w:tcPr>
          <w:p w14:paraId="705699D5">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学分</w:t>
            </w:r>
          </w:p>
        </w:tc>
        <w:tc>
          <w:tcPr>
            <w:tcW w:w="1554" w:type="dxa"/>
            <w:gridSpan w:val="2"/>
            <w:tcBorders>
              <w:top w:val="single" w:color="auto" w:sz="4" w:space="0"/>
              <w:left w:val="single" w:color="auto" w:sz="4" w:space="0"/>
              <w:bottom w:val="single" w:color="auto" w:sz="4" w:space="0"/>
              <w:right w:val="single" w:color="auto" w:sz="4" w:space="0"/>
            </w:tcBorders>
            <w:noWrap/>
            <w:vAlign w:val="center"/>
          </w:tcPr>
          <w:p w14:paraId="07E03A4B">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CN"/>
              </w:rPr>
              <w:t>2</w:t>
            </w:r>
          </w:p>
        </w:tc>
        <w:tc>
          <w:tcPr>
            <w:tcW w:w="1554" w:type="dxa"/>
            <w:gridSpan w:val="3"/>
            <w:tcBorders>
              <w:top w:val="single" w:color="auto" w:sz="4" w:space="0"/>
              <w:left w:val="single" w:color="auto" w:sz="4" w:space="0"/>
              <w:bottom w:val="single" w:color="auto" w:sz="4" w:space="0"/>
              <w:right w:val="single" w:color="auto" w:sz="4" w:space="0"/>
            </w:tcBorders>
            <w:noWrap/>
            <w:vAlign w:val="center"/>
          </w:tcPr>
          <w:p w14:paraId="7B9E374E">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课程负责人</w:t>
            </w:r>
          </w:p>
        </w:tc>
        <w:tc>
          <w:tcPr>
            <w:tcW w:w="1556" w:type="dxa"/>
            <w:gridSpan w:val="5"/>
            <w:tcBorders>
              <w:top w:val="single" w:color="auto" w:sz="4" w:space="0"/>
              <w:left w:val="single" w:color="auto" w:sz="4" w:space="0"/>
              <w:bottom w:val="single" w:color="auto" w:sz="4" w:space="0"/>
              <w:right w:val="single" w:color="auto" w:sz="4" w:space="0"/>
            </w:tcBorders>
            <w:noWrap/>
            <w:vAlign w:val="center"/>
          </w:tcPr>
          <w:p w14:paraId="204473C0">
            <w:pPr>
              <w:pageBreakBefore w:val="0"/>
              <w:widowControl w:val="0"/>
              <w:kinsoku/>
              <w:overflowPunct/>
              <w:topLinePunct w:val="0"/>
              <w:bidi w:val="0"/>
              <w:adjustRightInd w:val="0"/>
              <w:snapToGrid w:val="0"/>
              <w:spacing w:line="240" w:lineRule="auto"/>
              <w:jc w:val="both"/>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CN"/>
              </w:rPr>
              <w:t xml:space="preserve">  吴碧玲</w:t>
            </w:r>
          </w:p>
        </w:tc>
      </w:tr>
      <w:tr w14:paraId="5D4E85B6">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14:paraId="29CD5560">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总学时</w:t>
            </w:r>
          </w:p>
        </w:tc>
        <w:tc>
          <w:tcPr>
            <w:tcW w:w="1554" w:type="dxa"/>
            <w:gridSpan w:val="3"/>
            <w:tcBorders>
              <w:top w:val="single" w:color="auto" w:sz="4" w:space="0"/>
              <w:left w:val="single" w:color="auto" w:sz="4" w:space="0"/>
              <w:bottom w:val="single" w:color="auto" w:sz="4" w:space="0"/>
              <w:right w:val="single" w:color="auto" w:sz="4" w:space="0"/>
            </w:tcBorders>
            <w:noWrap/>
            <w:vAlign w:val="center"/>
          </w:tcPr>
          <w:p w14:paraId="74047A71">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r>
              <w:rPr>
                <w:rFonts w:hint="default" w:ascii="仿宋" w:eastAsia="仿宋" w:cs="仿宋"/>
                <w:color w:val="000000"/>
                <w:sz w:val="24"/>
                <w:szCs w:val="24"/>
                <w:lang w:eastAsia="zh-CN"/>
              </w:rPr>
              <w:t>32</w:t>
            </w:r>
          </w:p>
        </w:tc>
        <w:tc>
          <w:tcPr>
            <w:tcW w:w="1554" w:type="dxa"/>
            <w:tcBorders>
              <w:top w:val="single" w:color="auto" w:sz="4" w:space="0"/>
              <w:left w:val="single" w:color="auto" w:sz="4" w:space="0"/>
              <w:bottom w:val="single" w:color="auto" w:sz="4" w:space="0"/>
              <w:right w:val="single" w:color="auto" w:sz="4" w:space="0"/>
            </w:tcBorders>
            <w:noWrap/>
            <w:vAlign w:val="center"/>
          </w:tcPr>
          <w:p w14:paraId="336D9338">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理论学时</w:t>
            </w:r>
          </w:p>
        </w:tc>
        <w:tc>
          <w:tcPr>
            <w:tcW w:w="1554" w:type="dxa"/>
            <w:gridSpan w:val="2"/>
            <w:tcBorders>
              <w:top w:val="single" w:color="auto" w:sz="4" w:space="0"/>
              <w:left w:val="single" w:color="auto" w:sz="4" w:space="0"/>
              <w:bottom w:val="single" w:color="auto" w:sz="4" w:space="0"/>
              <w:right w:val="single" w:color="auto" w:sz="4" w:space="0"/>
            </w:tcBorders>
            <w:noWrap/>
            <w:vAlign w:val="center"/>
          </w:tcPr>
          <w:p w14:paraId="4AF5FDA6">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val="en-US" w:eastAsia="zh-CN"/>
              </w:rPr>
            </w:pPr>
            <w:r>
              <w:rPr>
                <w:rFonts w:hint="eastAsia" w:ascii="仿宋" w:eastAsia="仿宋" w:cs="仿宋"/>
                <w:color w:val="000000"/>
                <w:sz w:val="24"/>
                <w:szCs w:val="24"/>
                <w:lang w:val="en-US" w:eastAsia="zh-CN"/>
              </w:rPr>
              <w:t>18</w:t>
            </w:r>
          </w:p>
        </w:tc>
        <w:tc>
          <w:tcPr>
            <w:tcW w:w="1554" w:type="dxa"/>
            <w:gridSpan w:val="3"/>
            <w:tcBorders>
              <w:top w:val="single" w:color="auto" w:sz="4" w:space="0"/>
              <w:left w:val="single" w:color="auto" w:sz="4" w:space="0"/>
              <w:bottom w:val="single" w:color="auto" w:sz="4" w:space="0"/>
              <w:right w:val="single" w:color="000000" w:sz="4" w:space="0"/>
            </w:tcBorders>
            <w:noWrap/>
            <w:vAlign w:val="center"/>
          </w:tcPr>
          <w:p w14:paraId="28EC70DE">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实践学时</w:t>
            </w:r>
          </w:p>
        </w:tc>
        <w:tc>
          <w:tcPr>
            <w:tcW w:w="1556" w:type="dxa"/>
            <w:gridSpan w:val="5"/>
            <w:tcBorders>
              <w:top w:val="single" w:color="auto" w:sz="4" w:space="0"/>
              <w:left w:val="single" w:color="000000" w:sz="4" w:space="0"/>
              <w:bottom w:val="single" w:color="auto" w:sz="4" w:space="0"/>
              <w:right w:val="single" w:color="auto" w:sz="4" w:space="0"/>
            </w:tcBorders>
            <w:noWrap/>
            <w:vAlign w:val="center"/>
          </w:tcPr>
          <w:p w14:paraId="1BDF9589">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val="en-US" w:eastAsia="zh-CN"/>
              </w:rPr>
            </w:pPr>
            <w:r>
              <w:rPr>
                <w:rFonts w:hint="eastAsia" w:ascii="仿宋" w:eastAsia="仿宋" w:cs="仿宋"/>
                <w:color w:val="000000"/>
                <w:sz w:val="24"/>
                <w:szCs w:val="24"/>
                <w:lang w:val="en-US" w:eastAsia="zh-CN"/>
              </w:rPr>
              <w:t>14</w:t>
            </w:r>
          </w:p>
        </w:tc>
      </w:tr>
      <w:tr w14:paraId="433F9E33">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14:paraId="4E876E61">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先修课程与后续课程</w:t>
            </w:r>
          </w:p>
        </w:tc>
        <w:tc>
          <w:tcPr>
            <w:tcW w:w="7772" w:type="dxa"/>
            <w:gridSpan w:val="14"/>
            <w:tcBorders>
              <w:top w:val="single" w:color="auto" w:sz="4" w:space="0"/>
              <w:left w:val="single" w:color="auto" w:sz="4" w:space="0"/>
              <w:bottom w:val="single" w:color="auto" w:sz="4" w:space="0"/>
              <w:right w:val="single" w:color="auto" w:sz="4" w:space="0"/>
            </w:tcBorders>
            <w:noWrap/>
            <w:vAlign w:val="center"/>
          </w:tcPr>
          <w:p w14:paraId="361C00DD">
            <w:pPr>
              <w:pageBreakBefore w:val="0"/>
              <w:widowControl w:val="0"/>
              <w:tabs>
                <w:tab w:val="left" w:pos="720"/>
              </w:tabs>
              <w:kinsoku/>
              <w:overflowPunct/>
              <w:topLinePunct w:val="0"/>
              <w:bidi w:val="0"/>
              <w:adjustRightInd w:val="0"/>
              <w:snapToGrid w:val="0"/>
              <w:spacing w:line="240" w:lineRule="auto"/>
              <w:jc w:val="left"/>
              <w:rPr>
                <w:rFonts w:hint="eastAsia" w:ascii="仿宋" w:eastAsia="仿宋" w:cs="仿宋"/>
                <w:color w:val="000000"/>
                <w:sz w:val="24"/>
                <w:szCs w:val="24"/>
                <w:lang w:val="en-US" w:eastAsia="zh-Hans"/>
              </w:rPr>
            </w:pPr>
            <w:r>
              <w:rPr>
                <w:rFonts w:hint="eastAsia" w:ascii="仿宋" w:eastAsia="仿宋" w:cs="仿宋"/>
                <w:color w:val="000000"/>
                <w:sz w:val="24"/>
                <w:szCs w:val="24"/>
              </w:rPr>
              <w:t>先修课程：</w:t>
            </w:r>
            <w:r>
              <w:rPr>
                <w:rFonts w:hint="default" w:ascii="仿宋" w:eastAsia="仿宋" w:cs="仿宋"/>
                <w:color w:val="000000"/>
                <w:sz w:val="24"/>
                <w:szCs w:val="24"/>
              </w:rPr>
              <w:t>《</w:t>
            </w:r>
            <w:r>
              <w:rPr>
                <w:rFonts w:hint="eastAsia" w:ascii="仿宋" w:eastAsia="仿宋" w:cs="仿宋"/>
                <w:color w:val="000000"/>
                <w:sz w:val="24"/>
                <w:szCs w:val="24"/>
                <w:lang w:val="en-US" w:eastAsia="zh-Hans"/>
              </w:rPr>
              <w:t>乐理</w:t>
            </w:r>
            <w:r>
              <w:rPr>
                <w:rFonts w:hint="default" w:ascii="仿宋" w:eastAsia="仿宋" w:cs="仿宋"/>
                <w:color w:val="000000"/>
                <w:sz w:val="24"/>
                <w:szCs w:val="24"/>
              </w:rPr>
              <w:t>》、</w:t>
            </w:r>
            <w:r>
              <w:rPr>
                <w:rFonts w:hint="eastAsia" w:ascii="仿宋" w:eastAsia="仿宋" w:cs="仿宋"/>
                <w:color w:val="000000"/>
                <w:sz w:val="24"/>
                <w:szCs w:val="24"/>
                <w:lang w:eastAsia="zh-CN"/>
              </w:rPr>
              <w:t>《</w:t>
            </w:r>
            <w:r>
              <w:rPr>
                <w:rFonts w:hint="eastAsia" w:ascii="仿宋" w:eastAsia="仿宋" w:cs="仿宋"/>
                <w:color w:val="000000"/>
                <w:sz w:val="24"/>
                <w:szCs w:val="24"/>
                <w:lang w:val="en-US"/>
              </w:rPr>
              <w:t>声乐基础</w:t>
            </w:r>
            <w:r>
              <w:rPr>
                <w:rFonts w:hint="eastAsia" w:ascii="仿宋" w:eastAsia="仿宋" w:cs="仿宋"/>
                <w:color w:val="000000"/>
                <w:sz w:val="24"/>
                <w:szCs w:val="24"/>
                <w:lang w:val="en-US" w:eastAsia="zh-CN"/>
              </w:rPr>
              <w:t>》</w:t>
            </w:r>
            <w:r>
              <w:rPr>
                <w:rFonts w:ascii="仿宋" w:eastAsia="仿宋" w:cs="仿宋"/>
                <w:color w:val="000000"/>
                <w:sz w:val="24"/>
                <w:szCs w:val="24"/>
              </w:rPr>
              <w:t>、《</w:t>
            </w:r>
            <w:r>
              <w:rPr>
                <w:rFonts w:hint="eastAsia" w:ascii="仿宋" w:eastAsia="仿宋" w:cs="仿宋"/>
                <w:color w:val="000000"/>
                <w:sz w:val="24"/>
                <w:szCs w:val="24"/>
                <w:lang w:val="en-US" w:eastAsia="zh-Hans"/>
              </w:rPr>
              <w:t>中国民族音乐</w:t>
            </w:r>
            <w:r>
              <w:rPr>
                <w:rFonts w:ascii="仿宋" w:eastAsia="仿宋" w:cs="仿宋"/>
                <w:color w:val="000000"/>
                <w:sz w:val="24"/>
                <w:szCs w:val="24"/>
              </w:rPr>
              <w:t>》、《</w:t>
            </w:r>
            <w:r>
              <w:rPr>
                <w:rFonts w:hint="eastAsia" w:ascii="仿宋" w:eastAsia="仿宋" w:cs="仿宋"/>
                <w:color w:val="000000"/>
                <w:sz w:val="24"/>
                <w:szCs w:val="24"/>
                <w:lang w:val="en-US" w:eastAsia="zh-Hans"/>
              </w:rPr>
              <w:t>意大利语</w:t>
            </w:r>
            <w:r>
              <w:rPr>
                <w:rFonts w:hint="default" w:ascii="仿宋" w:eastAsia="仿宋" w:cs="仿宋"/>
                <w:color w:val="000000"/>
                <w:sz w:val="24"/>
                <w:szCs w:val="24"/>
                <w:lang w:eastAsia="zh-Hans"/>
              </w:rPr>
              <w:t>》、</w:t>
            </w:r>
            <w:r>
              <w:rPr>
                <w:rFonts w:hint="eastAsia" w:ascii="仿宋" w:eastAsia="仿宋" w:cs="仿宋"/>
                <w:color w:val="000000"/>
                <w:kern w:val="0"/>
                <w:sz w:val="24"/>
                <w:szCs w:val="24"/>
                <w:shd w:val="clear" w:color="auto" w:fill="FFFFFF"/>
                <w:lang w:val="en-US" w:eastAsia="zh-CN"/>
              </w:rPr>
              <w:t>《</w:t>
            </w:r>
            <w:r>
              <w:rPr>
                <w:rFonts w:hint="eastAsia" w:ascii="仿宋" w:eastAsia="仿宋" w:cs="仿宋"/>
                <w:color w:val="000000"/>
                <w:kern w:val="0"/>
                <w:sz w:val="24"/>
                <w:szCs w:val="24"/>
                <w:shd w:val="clear" w:color="auto" w:fill="FFFFFF"/>
                <w:lang w:val="en-US"/>
              </w:rPr>
              <w:t>声乐演唱</w:t>
            </w:r>
            <w:r>
              <w:rPr>
                <w:rFonts w:hint="eastAsia" w:ascii="仿宋" w:eastAsia="仿宋" w:cs="仿宋"/>
                <w:color w:val="000000"/>
                <w:kern w:val="0"/>
                <w:sz w:val="24"/>
                <w:szCs w:val="24"/>
                <w:shd w:val="clear" w:color="auto" w:fill="FFFFFF"/>
                <w:lang w:val="en-US" w:eastAsia="zh-CN"/>
              </w:rPr>
              <w:t>》</w:t>
            </w:r>
            <w:r>
              <w:rPr>
                <w:rFonts w:hint="eastAsia" w:ascii="仿宋" w:eastAsia="仿宋" w:cs="仿宋"/>
                <w:color w:val="000000"/>
                <w:kern w:val="0"/>
                <w:sz w:val="24"/>
                <w:szCs w:val="24"/>
                <w:shd w:val="clear" w:color="auto" w:fill="FFFFFF"/>
                <w:lang w:val="en-US" w:eastAsia="zh-Hans"/>
              </w:rPr>
              <w:t>等</w:t>
            </w:r>
          </w:p>
          <w:p w14:paraId="6021B37F">
            <w:pPr>
              <w:pageBreakBefore w:val="0"/>
              <w:widowControl w:val="0"/>
              <w:tabs>
                <w:tab w:val="left" w:pos="720"/>
              </w:tabs>
              <w:kinsoku/>
              <w:overflowPunct/>
              <w:topLinePunct w:val="0"/>
              <w:bidi w:val="0"/>
              <w:adjustRightInd w:val="0"/>
              <w:snapToGrid w:val="0"/>
              <w:spacing w:line="240" w:lineRule="auto"/>
              <w:jc w:val="left"/>
              <w:rPr>
                <w:rFonts w:hint="eastAsia" w:ascii="仿宋" w:eastAsia="仿宋" w:cs="仿宋"/>
                <w:color w:val="000000"/>
                <w:sz w:val="24"/>
                <w:szCs w:val="24"/>
              </w:rPr>
            </w:pPr>
          </w:p>
        </w:tc>
      </w:tr>
      <w:tr w14:paraId="2028859E">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14:paraId="4D71A530">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适用专业</w:t>
            </w:r>
          </w:p>
        </w:tc>
        <w:tc>
          <w:tcPr>
            <w:tcW w:w="7772" w:type="dxa"/>
            <w:gridSpan w:val="14"/>
            <w:tcBorders>
              <w:top w:val="single" w:color="auto" w:sz="4" w:space="0"/>
              <w:left w:val="single" w:color="auto" w:sz="4" w:space="0"/>
              <w:bottom w:val="single" w:color="auto" w:sz="4" w:space="0"/>
              <w:right w:val="single" w:color="auto" w:sz="4" w:space="0"/>
            </w:tcBorders>
            <w:noWrap/>
            <w:vAlign w:val="center"/>
          </w:tcPr>
          <w:p w14:paraId="25106571">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eastAsia="zh-CN"/>
              </w:rPr>
            </w:pPr>
            <w:r>
              <w:rPr>
                <w:rFonts w:hint="eastAsia" w:ascii="仿宋" w:eastAsia="仿宋" w:cs="仿宋"/>
                <w:color w:val="000000"/>
                <w:sz w:val="24"/>
                <w:szCs w:val="24"/>
                <w:lang w:val="en-US" w:eastAsia="zh-CN"/>
              </w:rPr>
              <w:t>音乐学</w:t>
            </w:r>
          </w:p>
        </w:tc>
      </w:tr>
      <w:tr w14:paraId="4A4FD2D4">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14:paraId="170D912E">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A</w:t>
            </w:r>
          </w:p>
          <w:p w14:paraId="46270B09">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参考教材</w:t>
            </w:r>
          </w:p>
        </w:tc>
        <w:tc>
          <w:tcPr>
            <w:tcW w:w="7772" w:type="dxa"/>
            <w:gridSpan w:val="14"/>
            <w:tcBorders>
              <w:top w:val="single" w:color="auto" w:sz="4" w:space="0"/>
              <w:left w:val="single" w:color="auto" w:sz="4" w:space="0"/>
              <w:bottom w:val="single" w:color="auto" w:sz="4" w:space="0"/>
              <w:right w:val="single" w:color="auto" w:sz="4" w:space="0"/>
            </w:tcBorders>
            <w:noWrap/>
            <w:vAlign w:val="center"/>
          </w:tcPr>
          <w:p w14:paraId="4F5B41E2">
            <w:pPr>
              <w:keepNext w:val="0"/>
              <w:keepLines w:val="0"/>
              <w:pageBreakBefore w:val="0"/>
              <w:widowControl w:val="0"/>
              <w:tabs>
                <w:tab w:val="left" w:pos="720"/>
              </w:tabs>
              <w:kinsoku/>
              <w:wordWrap/>
              <w:overflowPunct/>
              <w:topLinePunct w:val="0"/>
              <w:autoSpaceDE/>
              <w:autoSpaceDN/>
              <w:bidi w:val="0"/>
              <w:adjustRightInd w:val="0"/>
              <w:snapToGrid w:val="0"/>
              <w:spacing w:line="360" w:lineRule="exact"/>
              <w:textAlignment w:val="auto"/>
              <w:rPr>
                <w:rFonts w:hint="eastAsia" w:ascii="仿宋" w:eastAsia="仿宋" w:cs="仿宋"/>
                <w:color w:val="4472C4"/>
                <w:kern w:val="0"/>
                <w:sz w:val="24"/>
                <w:szCs w:val="24"/>
                <w:lang w:val="en-US" w:eastAsia="zh-CN"/>
              </w:rPr>
            </w:pPr>
            <w:r>
              <w:rPr>
                <w:rFonts w:hint="eastAsia" w:ascii="仿宋" w:eastAsia="仿宋" w:cs="仿宋"/>
                <w:color w:val="auto"/>
                <w:kern w:val="0"/>
                <w:sz w:val="24"/>
                <w:szCs w:val="24"/>
                <w:lang w:val="en-US" w:eastAsia="zh-CN"/>
              </w:rPr>
              <w:t>1.</w:t>
            </w:r>
            <w:r>
              <w:rPr>
                <w:rFonts w:hint="eastAsia" w:ascii="仿宋" w:eastAsia="仿宋" w:cs="仿宋"/>
                <w:color w:val="auto"/>
                <w:kern w:val="0"/>
                <w:sz w:val="24"/>
                <w:szCs w:val="24"/>
                <w:lang w:val="en-US" w:eastAsia="zh-Hans"/>
              </w:rPr>
              <w:t>俞子正</w:t>
            </w:r>
            <w:r>
              <w:rPr>
                <w:rFonts w:hint="eastAsia" w:ascii="仿宋" w:eastAsia="仿宋" w:cs="仿宋"/>
                <w:color w:val="auto"/>
                <w:kern w:val="0"/>
                <w:sz w:val="24"/>
                <w:szCs w:val="24"/>
                <w:lang w:val="en-US" w:eastAsia="zh-CN"/>
              </w:rPr>
              <w:t>，</w:t>
            </w:r>
            <w:r>
              <w:rPr>
                <w:rFonts w:hint="eastAsia" w:ascii="仿宋" w:eastAsia="仿宋" w:cs="仿宋"/>
                <w:color w:val="auto"/>
                <w:kern w:val="0"/>
                <w:sz w:val="24"/>
                <w:szCs w:val="24"/>
                <w:lang w:val="en-US" w:eastAsia="zh-Hans"/>
              </w:rPr>
              <w:t>声乐教学论</w:t>
            </w:r>
            <w:r>
              <w:rPr>
                <w:rFonts w:hint="eastAsia" w:ascii="仿宋" w:eastAsia="仿宋" w:cs="仿宋"/>
                <w:color w:val="auto"/>
                <w:kern w:val="0"/>
                <w:sz w:val="24"/>
                <w:szCs w:val="24"/>
                <w:lang w:val="en-US" w:eastAsia="zh-CN"/>
              </w:rPr>
              <w:t>，第</w:t>
            </w:r>
            <w:r>
              <w:rPr>
                <w:rFonts w:hint="eastAsia" w:ascii="仿宋" w:eastAsia="仿宋" w:cs="仿宋"/>
                <w:color w:val="auto"/>
                <w:kern w:val="0"/>
                <w:sz w:val="24"/>
                <w:szCs w:val="24"/>
                <w:lang w:val="en-US" w:eastAsia="zh-Hans"/>
              </w:rPr>
              <w:t>二</w:t>
            </w:r>
            <w:r>
              <w:rPr>
                <w:rFonts w:hint="eastAsia" w:ascii="仿宋" w:eastAsia="仿宋" w:cs="仿宋"/>
                <w:color w:val="auto"/>
                <w:kern w:val="0"/>
                <w:sz w:val="24"/>
                <w:szCs w:val="24"/>
                <w:lang w:val="en-US" w:eastAsia="zh-CN"/>
              </w:rPr>
              <w:t>版，</w:t>
            </w:r>
            <w:r>
              <w:rPr>
                <w:rFonts w:hint="eastAsia" w:ascii="仿宋" w:eastAsia="仿宋" w:cs="仿宋"/>
                <w:color w:val="auto"/>
                <w:kern w:val="0"/>
                <w:sz w:val="24"/>
                <w:szCs w:val="24"/>
                <w:lang w:val="en-US" w:eastAsia="zh-Hans"/>
              </w:rPr>
              <w:t>西南师范大学出版社</w:t>
            </w:r>
            <w:r>
              <w:rPr>
                <w:rFonts w:hint="eastAsia" w:ascii="仿宋" w:eastAsia="仿宋" w:cs="仿宋"/>
                <w:color w:val="auto"/>
                <w:kern w:val="0"/>
                <w:sz w:val="24"/>
                <w:szCs w:val="24"/>
                <w:lang w:val="en-US" w:eastAsia="zh-CN"/>
              </w:rPr>
              <w:t>，20</w:t>
            </w:r>
            <w:r>
              <w:rPr>
                <w:rFonts w:hint="default" w:ascii="仿宋" w:eastAsia="仿宋" w:cs="仿宋"/>
                <w:color w:val="auto"/>
                <w:kern w:val="0"/>
                <w:sz w:val="24"/>
                <w:szCs w:val="24"/>
                <w:lang w:eastAsia="zh-CN"/>
              </w:rPr>
              <w:t>12</w:t>
            </w:r>
            <w:r>
              <w:rPr>
                <w:rFonts w:hint="eastAsia" w:ascii="仿宋" w:eastAsia="仿宋" w:cs="仿宋"/>
                <w:color w:val="auto"/>
                <w:kern w:val="0"/>
                <w:sz w:val="24"/>
                <w:szCs w:val="24"/>
                <w:lang w:val="en-US" w:eastAsia="zh-CN"/>
              </w:rPr>
              <w:t>年</w:t>
            </w:r>
          </w:p>
        </w:tc>
      </w:tr>
      <w:tr w14:paraId="7C4BB950">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14:paraId="47021509">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B</w:t>
            </w:r>
          </w:p>
          <w:p w14:paraId="3B77159B">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主要参考书籍</w:t>
            </w:r>
          </w:p>
        </w:tc>
        <w:tc>
          <w:tcPr>
            <w:tcW w:w="7772" w:type="dxa"/>
            <w:gridSpan w:val="14"/>
            <w:tcBorders>
              <w:top w:val="single" w:color="auto" w:sz="4" w:space="0"/>
              <w:left w:val="single" w:color="auto" w:sz="4" w:space="0"/>
              <w:bottom w:val="single" w:color="auto" w:sz="4" w:space="0"/>
              <w:right w:val="single" w:color="auto" w:sz="4" w:space="0"/>
            </w:tcBorders>
            <w:noWrap/>
            <w:vAlign w:val="center"/>
          </w:tcPr>
          <w:p w14:paraId="4FADF946">
            <w:pPr>
              <w:keepNext w:val="0"/>
              <w:keepLines w:val="0"/>
              <w:pageBreakBefore w:val="0"/>
              <w:widowControl w:val="0"/>
              <w:tabs>
                <w:tab w:val="left" w:pos="720"/>
              </w:tabs>
              <w:kinsoku/>
              <w:wordWrap/>
              <w:overflowPunct/>
              <w:topLinePunct w:val="0"/>
              <w:autoSpaceDE/>
              <w:autoSpaceDN/>
              <w:bidi w:val="0"/>
              <w:adjustRightInd w:val="0"/>
              <w:snapToGrid w:val="0"/>
              <w:spacing w:line="360" w:lineRule="exact"/>
              <w:textAlignment w:val="auto"/>
              <w:rPr>
                <w:rFonts w:hint="eastAsia" w:ascii="仿宋" w:eastAsia="仿宋" w:cs="仿宋"/>
                <w:color w:val="auto"/>
                <w:kern w:val="0"/>
                <w:sz w:val="24"/>
                <w:szCs w:val="24"/>
                <w:lang w:val="en-US" w:eastAsia="zh-CN"/>
              </w:rPr>
            </w:pPr>
            <w:r>
              <w:rPr>
                <w:rFonts w:hint="eastAsia" w:ascii="仿宋" w:eastAsia="仿宋" w:cs="仿宋"/>
                <w:color w:val="auto"/>
                <w:kern w:val="0"/>
                <w:sz w:val="24"/>
                <w:szCs w:val="24"/>
                <w:lang w:val="en-US" w:eastAsia="zh-CN"/>
              </w:rPr>
              <w:t>1.杨立岗，</w:t>
            </w:r>
            <w:r>
              <w:rPr>
                <w:rFonts w:hint="eastAsia" w:ascii="仿宋" w:eastAsia="仿宋" w:cs="仿宋"/>
                <w:color w:val="auto"/>
                <w:kern w:val="0"/>
                <w:sz w:val="24"/>
                <w:szCs w:val="24"/>
                <w:lang w:val="en-US" w:eastAsia="zh-Hans"/>
              </w:rPr>
              <w:t>声乐教学法</w:t>
            </w:r>
            <w:r>
              <w:rPr>
                <w:rFonts w:hint="eastAsia" w:ascii="仿宋" w:eastAsia="仿宋" w:cs="仿宋"/>
                <w:color w:val="auto"/>
                <w:kern w:val="0"/>
                <w:sz w:val="24"/>
                <w:szCs w:val="24"/>
                <w:lang w:val="en-US" w:eastAsia="zh-CN"/>
              </w:rPr>
              <w:t>，</w:t>
            </w:r>
            <w:r>
              <w:rPr>
                <w:rFonts w:hint="eastAsia" w:ascii="仿宋" w:eastAsia="仿宋" w:cs="仿宋"/>
                <w:color w:val="auto"/>
                <w:kern w:val="0"/>
                <w:sz w:val="24"/>
                <w:szCs w:val="24"/>
                <w:lang w:val="en-US" w:eastAsia="zh-Hans"/>
              </w:rPr>
              <w:t>上海音乐出版社</w:t>
            </w:r>
            <w:r>
              <w:rPr>
                <w:rFonts w:hint="eastAsia" w:ascii="仿宋" w:eastAsia="仿宋" w:cs="仿宋"/>
                <w:color w:val="auto"/>
                <w:kern w:val="0"/>
                <w:sz w:val="24"/>
                <w:szCs w:val="24"/>
                <w:lang w:val="en-US" w:eastAsia="zh-CN"/>
              </w:rPr>
              <w:t>，200</w:t>
            </w:r>
            <w:r>
              <w:rPr>
                <w:rFonts w:hint="default" w:ascii="仿宋" w:eastAsia="仿宋" w:cs="仿宋"/>
                <w:color w:val="auto"/>
                <w:kern w:val="0"/>
                <w:sz w:val="24"/>
                <w:szCs w:val="24"/>
                <w:lang w:eastAsia="zh-CN"/>
              </w:rPr>
              <w:t>7</w:t>
            </w:r>
            <w:r>
              <w:rPr>
                <w:rFonts w:hint="eastAsia" w:ascii="仿宋" w:eastAsia="仿宋" w:cs="仿宋"/>
                <w:color w:val="auto"/>
                <w:kern w:val="0"/>
                <w:sz w:val="24"/>
                <w:szCs w:val="24"/>
                <w:lang w:val="en-US" w:eastAsia="zh-CN"/>
              </w:rPr>
              <w:t>年</w:t>
            </w:r>
          </w:p>
          <w:p w14:paraId="431A4378">
            <w:pPr>
              <w:keepNext w:val="0"/>
              <w:keepLines w:val="0"/>
              <w:pageBreakBefore w:val="0"/>
              <w:widowControl w:val="0"/>
              <w:tabs>
                <w:tab w:val="left" w:pos="720"/>
              </w:tabs>
              <w:kinsoku/>
              <w:wordWrap/>
              <w:overflowPunct/>
              <w:topLinePunct w:val="0"/>
              <w:autoSpaceDE/>
              <w:autoSpaceDN/>
              <w:bidi w:val="0"/>
              <w:adjustRightInd w:val="0"/>
              <w:snapToGrid w:val="0"/>
              <w:spacing w:line="360" w:lineRule="exact"/>
              <w:textAlignment w:val="auto"/>
              <w:rPr>
                <w:rFonts w:hint="default" w:ascii="仿宋" w:eastAsia="仿宋" w:cs="仿宋"/>
                <w:color w:val="auto"/>
                <w:kern w:val="0"/>
                <w:sz w:val="24"/>
                <w:szCs w:val="24"/>
                <w:lang w:val="en-US" w:eastAsia="zh-Hans"/>
              </w:rPr>
            </w:pPr>
            <w:r>
              <w:rPr>
                <w:rFonts w:hint="default" w:ascii="仿宋" w:eastAsia="仿宋" w:cs="仿宋"/>
                <w:color w:val="auto"/>
                <w:kern w:val="0"/>
                <w:sz w:val="24"/>
                <w:szCs w:val="24"/>
                <w:lang w:val="en-US" w:eastAsia="zh-CN"/>
              </w:rPr>
              <w:t>2</w:t>
            </w:r>
            <w:r>
              <w:rPr>
                <w:rFonts w:hint="eastAsia" w:ascii="仿宋" w:eastAsia="仿宋" w:cs="仿宋"/>
                <w:color w:val="auto"/>
                <w:kern w:val="0"/>
                <w:sz w:val="24"/>
                <w:szCs w:val="24"/>
                <w:lang w:val="en-US" w:eastAsia="zh-Hans"/>
              </w:rPr>
              <w:t>.石惟正</w:t>
            </w:r>
            <w:r>
              <w:rPr>
                <w:rFonts w:hint="default" w:ascii="仿宋" w:eastAsia="仿宋" w:cs="仿宋"/>
                <w:color w:val="auto"/>
                <w:kern w:val="0"/>
                <w:sz w:val="24"/>
                <w:szCs w:val="24"/>
                <w:lang w:eastAsia="zh-Hans"/>
              </w:rPr>
              <w:t>，</w:t>
            </w:r>
            <w:r>
              <w:rPr>
                <w:rFonts w:hint="eastAsia" w:ascii="仿宋" w:eastAsia="仿宋" w:cs="仿宋"/>
                <w:color w:val="auto"/>
                <w:kern w:val="0"/>
                <w:sz w:val="24"/>
                <w:szCs w:val="24"/>
                <w:lang w:val="en-US" w:eastAsia="zh-Hans"/>
              </w:rPr>
              <w:t>声乐学基础，人民音乐出版社，</w:t>
            </w:r>
            <w:r>
              <w:rPr>
                <w:rFonts w:hint="default" w:ascii="仿宋" w:eastAsia="仿宋" w:cs="仿宋"/>
                <w:color w:val="auto"/>
                <w:kern w:val="0"/>
                <w:sz w:val="24"/>
                <w:szCs w:val="24"/>
                <w:lang w:eastAsia="zh-Hans"/>
              </w:rPr>
              <w:t>2002</w:t>
            </w:r>
            <w:r>
              <w:rPr>
                <w:rFonts w:hint="eastAsia" w:ascii="仿宋" w:eastAsia="仿宋" w:cs="仿宋"/>
                <w:color w:val="auto"/>
                <w:kern w:val="0"/>
                <w:sz w:val="24"/>
                <w:szCs w:val="24"/>
                <w:lang w:val="en-US" w:eastAsia="zh-Hans"/>
              </w:rPr>
              <w:t>年</w:t>
            </w:r>
          </w:p>
          <w:p w14:paraId="759D8FC2">
            <w:pPr>
              <w:keepNext w:val="0"/>
              <w:keepLines w:val="0"/>
              <w:pageBreakBefore w:val="0"/>
              <w:widowControl w:val="0"/>
              <w:tabs>
                <w:tab w:val="left" w:pos="720"/>
              </w:tabs>
              <w:kinsoku/>
              <w:wordWrap/>
              <w:overflowPunct/>
              <w:topLinePunct w:val="0"/>
              <w:autoSpaceDE/>
              <w:autoSpaceDN/>
              <w:bidi w:val="0"/>
              <w:adjustRightInd w:val="0"/>
              <w:snapToGrid w:val="0"/>
              <w:spacing w:line="360" w:lineRule="exact"/>
              <w:textAlignment w:val="auto"/>
              <w:rPr>
                <w:rFonts w:hint="default" w:ascii="仿宋" w:eastAsia="仿宋" w:cs="仿宋"/>
                <w:color w:val="auto"/>
                <w:kern w:val="0"/>
                <w:sz w:val="24"/>
                <w:szCs w:val="24"/>
                <w:lang w:val="en-US" w:eastAsia="zh-Hans"/>
              </w:rPr>
            </w:pPr>
            <w:r>
              <w:rPr>
                <w:rFonts w:hint="default" w:ascii="仿宋" w:eastAsia="仿宋" w:cs="仿宋"/>
                <w:color w:val="auto"/>
                <w:kern w:val="0"/>
                <w:sz w:val="24"/>
                <w:szCs w:val="24"/>
                <w:lang w:val="en-US" w:eastAsia="zh-Hans"/>
              </w:rPr>
              <w:t>3</w:t>
            </w:r>
            <w:r>
              <w:rPr>
                <w:rFonts w:hint="eastAsia" w:ascii="仿宋" w:eastAsia="仿宋" w:cs="仿宋"/>
                <w:color w:val="auto"/>
                <w:kern w:val="0"/>
                <w:sz w:val="24"/>
                <w:szCs w:val="24"/>
                <w:lang w:val="en-US" w:eastAsia="zh-Hans"/>
              </w:rPr>
              <w:t>.邹本初</w:t>
            </w:r>
            <w:r>
              <w:rPr>
                <w:rFonts w:hint="default" w:ascii="仿宋" w:eastAsia="仿宋" w:cs="仿宋"/>
                <w:color w:val="auto"/>
                <w:kern w:val="0"/>
                <w:sz w:val="24"/>
                <w:szCs w:val="24"/>
                <w:lang w:eastAsia="zh-Hans"/>
              </w:rPr>
              <w:t>，</w:t>
            </w:r>
            <w:r>
              <w:rPr>
                <w:rFonts w:hint="eastAsia" w:ascii="仿宋" w:eastAsia="仿宋" w:cs="仿宋"/>
                <w:color w:val="auto"/>
                <w:kern w:val="0"/>
                <w:sz w:val="24"/>
                <w:szCs w:val="24"/>
                <w:lang w:val="en-US" w:eastAsia="zh-Hans"/>
              </w:rPr>
              <w:t>歌唱学</w:t>
            </w:r>
            <w:r>
              <w:rPr>
                <w:rFonts w:hint="default" w:ascii="仿宋" w:eastAsia="仿宋" w:cs="仿宋"/>
                <w:color w:val="auto"/>
                <w:kern w:val="0"/>
                <w:sz w:val="24"/>
                <w:szCs w:val="24"/>
                <w:lang w:eastAsia="zh-Hans"/>
              </w:rPr>
              <w:t>——</w:t>
            </w:r>
            <w:r>
              <w:rPr>
                <w:rFonts w:hint="eastAsia" w:ascii="仿宋" w:eastAsia="仿宋" w:cs="仿宋"/>
                <w:color w:val="auto"/>
                <w:kern w:val="0"/>
                <w:sz w:val="24"/>
                <w:szCs w:val="24"/>
                <w:lang w:val="en-US" w:eastAsia="zh-Hans"/>
              </w:rPr>
              <w:t>沈湘歌唱学体系研宄</w:t>
            </w:r>
            <w:r>
              <w:rPr>
                <w:rFonts w:hint="default" w:ascii="仿宋" w:eastAsia="仿宋" w:cs="仿宋"/>
                <w:color w:val="auto"/>
                <w:kern w:val="0"/>
                <w:sz w:val="24"/>
                <w:szCs w:val="24"/>
                <w:lang w:eastAsia="zh-Hans"/>
              </w:rPr>
              <w:t>，</w:t>
            </w:r>
            <w:r>
              <w:rPr>
                <w:rFonts w:hint="eastAsia" w:ascii="仿宋" w:eastAsia="仿宋" w:cs="仿宋"/>
                <w:color w:val="auto"/>
                <w:kern w:val="0"/>
                <w:sz w:val="24"/>
                <w:szCs w:val="24"/>
                <w:lang w:val="en-US" w:eastAsia="zh-Hans"/>
              </w:rPr>
              <w:t>人民音乐出版社</w:t>
            </w:r>
            <w:r>
              <w:rPr>
                <w:rFonts w:hint="default" w:ascii="仿宋" w:eastAsia="仿宋" w:cs="仿宋"/>
                <w:color w:val="auto"/>
                <w:kern w:val="0"/>
                <w:sz w:val="24"/>
                <w:szCs w:val="24"/>
                <w:lang w:eastAsia="zh-Hans"/>
              </w:rPr>
              <w:t>，2000</w:t>
            </w:r>
            <w:r>
              <w:rPr>
                <w:rFonts w:hint="eastAsia" w:ascii="仿宋" w:eastAsia="仿宋" w:cs="仿宋"/>
                <w:color w:val="auto"/>
                <w:kern w:val="0"/>
                <w:sz w:val="24"/>
                <w:szCs w:val="24"/>
                <w:lang w:val="en-US" w:eastAsia="zh-Hans"/>
              </w:rPr>
              <w:t>年</w:t>
            </w:r>
          </w:p>
          <w:p w14:paraId="76E582C7">
            <w:pPr>
              <w:keepNext w:val="0"/>
              <w:keepLines w:val="0"/>
              <w:pageBreakBefore w:val="0"/>
              <w:widowControl w:val="0"/>
              <w:tabs>
                <w:tab w:val="left" w:pos="720"/>
              </w:tabs>
              <w:kinsoku/>
              <w:wordWrap/>
              <w:overflowPunct/>
              <w:topLinePunct w:val="0"/>
              <w:autoSpaceDE/>
              <w:autoSpaceDN/>
              <w:bidi w:val="0"/>
              <w:adjustRightInd w:val="0"/>
              <w:snapToGrid w:val="0"/>
              <w:spacing w:line="360" w:lineRule="exact"/>
              <w:textAlignment w:val="auto"/>
              <w:rPr>
                <w:rFonts w:hint="default" w:ascii="仿宋" w:eastAsia="仿宋" w:cs="仿宋"/>
                <w:color w:val="auto"/>
                <w:kern w:val="0"/>
                <w:sz w:val="24"/>
                <w:szCs w:val="24"/>
                <w:lang w:val="en-US" w:eastAsia="zh-CN"/>
              </w:rPr>
            </w:pPr>
            <w:r>
              <w:rPr>
                <w:rFonts w:hint="default" w:ascii="仿宋" w:eastAsia="仿宋" w:cs="仿宋"/>
                <w:color w:val="auto"/>
                <w:kern w:val="0"/>
                <w:sz w:val="24"/>
                <w:szCs w:val="24"/>
                <w:lang w:val="en-US" w:eastAsia="zh-CN"/>
              </w:rPr>
              <w:t>4</w:t>
            </w:r>
            <w:r>
              <w:rPr>
                <w:rFonts w:hint="eastAsia" w:ascii="仿宋" w:eastAsia="仿宋" w:cs="仿宋"/>
                <w:color w:val="auto"/>
                <w:kern w:val="0"/>
                <w:sz w:val="24"/>
                <w:szCs w:val="24"/>
                <w:lang w:val="en-US" w:eastAsia="zh-CN"/>
              </w:rPr>
              <w:t>.</w:t>
            </w:r>
            <w:r>
              <w:rPr>
                <w:rFonts w:hint="default" w:ascii="仿宋" w:eastAsia="仿宋" w:cs="仿宋"/>
                <w:color w:val="auto"/>
                <w:kern w:val="0"/>
                <w:sz w:val="24"/>
                <w:szCs w:val="24"/>
                <w:lang w:val="en-US" w:eastAsia="zh-CN"/>
              </w:rPr>
              <w:t>许燕</w:t>
            </w:r>
            <w:r>
              <w:rPr>
                <w:rFonts w:hint="default" w:ascii="仿宋" w:eastAsia="仿宋" w:cs="仿宋"/>
                <w:color w:val="auto"/>
                <w:kern w:val="0"/>
                <w:sz w:val="24"/>
                <w:szCs w:val="24"/>
                <w:lang w:eastAsia="zh-CN"/>
              </w:rPr>
              <w:t>，</w:t>
            </w:r>
            <w:r>
              <w:rPr>
                <w:rFonts w:hint="default" w:ascii="仿宋" w:eastAsia="仿宋" w:cs="仿宋"/>
                <w:color w:val="auto"/>
                <w:kern w:val="0"/>
                <w:sz w:val="24"/>
                <w:szCs w:val="24"/>
                <w:lang w:val="en-US" w:eastAsia="zh-CN"/>
              </w:rPr>
              <w:t>高师声乐教育基础理论与演唱，广西师范大学出版社，</w:t>
            </w:r>
            <w:r>
              <w:rPr>
                <w:rFonts w:hint="default" w:ascii="仿宋" w:eastAsia="仿宋" w:cs="仿宋"/>
                <w:color w:val="auto"/>
                <w:kern w:val="0"/>
                <w:sz w:val="24"/>
                <w:szCs w:val="24"/>
                <w:lang w:eastAsia="zh-CN"/>
              </w:rPr>
              <w:t>2008</w:t>
            </w:r>
            <w:r>
              <w:rPr>
                <w:rFonts w:hint="default" w:ascii="仿宋" w:eastAsia="仿宋" w:cs="仿宋"/>
                <w:color w:val="auto"/>
                <w:kern w:val="0"/>
                <w:sz w:val="24"/>
                <w:szCs w:val="24"/>
                <w:lang w:val="en-US" w:eastAsia="zh-CN"/>
              </w:rPr>
              <w:t>年</w:t>
            </w:r>
          </w:p>
          <w:p w14:paraId="4AE3748A">
            <w:pPr>
              <w:keepNext w:val="0"/>
              <w:keepLines w:val="0"/>
              <w:pageBreakBefore w:val="0"/>
              <w:widowControl w:val="0"/>
              <w:tabs>
                <w:tab w:val="left" w:pos="720"/>
              </w:tabs>
              <w:kinsoku/>
              <w:wordWrap/>
              <w:overflowPunct/>
              <w:topLinePunct w:val="0"/>
              <w:autoSpaceDE/>
              <w:autoSpaceDN/>
              <w:bidi w:val="0"/>
              <w:adjustRightInd w:val="0"/>
              <w:snapToGrid w:val="0"/>
              <w:spacing w:line="360" w:lineRule="exact"/>
              <w:textAlignment w:val="auto"/>
              <w:rPr>
                <w:rFonts w:hint="default" w:ascii="仿宋" w:eastAsia="仿宋" w:cs="仿宋"/>
                <w:color w:val="auto"/>
                <w:kern w:val="0"/>
                <w:sz w:val="24"/>
                <w:szCs w:val="24"/>
                <w:lang w:val="en-US" w:eastAsia="zh-Hans"/>
              </w:rPr>
            </w:pPr>
          </w:p>
        </w:tc>
      </w:tr>
      <w:tr w14:paraId="0F572504">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14:paraId="5758CD90">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C</w:t>
            </w:r>
          </w:p>
          <w:p w14:paraId="64726B4E">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线上学习资源</w:t>
            </w:r>
          </w:p>
        </w:tc>
        <w:tc>
          <w:tcPr>
            <w:tcW w:w="7772" w:type="dxa"/>
            <w:gridSpan w:val="14"/>
            <w:tcBorders>
              <w:top w:val="single" w:color="auto" w:sz="4" w:space="0"/>
              <w:left w:val="single" w:color="auto" w:sz="4" w:space="0"/>
              <w:bottom w:val="single" w:color="auto" w:sz="4" w:space="0"/>
              <w:right w:val="single" w:color="auto" w:sz="4" w:space="0"/>
            </w:tcBorders>
            <w:noWrap/>
            <w:vAlign w:val="center"/>
          </w:tcPr>
          <w:p w14:paraId="4864D019">
            <w:pPr>
              <w:keepNext w:val="0"/>
              <w:keepLines w:val="0"/>
              <w:pageBreakBefore w:val="0"/>
              <w:widowControl w:val="0"/>
              <w:tabs>
                <w:tab w:val="left" w:pos="720"/>
              </w:tabs>
              <w:kinsoku/>
              <w:wordWrap/>
              <w:overflowPunct/>
              <w:topLinePunct w:val="0"/>
              <w:autoSpaceDE/>
              <w:autoSpaceDN/>
              <w:bidi w:val="0"/>
              <w:adjustRightInd w:val="0"/>
              <w:snapToGrid w:val="0"/>
              <w:spacing w:line="360" w:lineRule="exact"/>
              <w:textAlignment w:val="auto"/>
              <w:rPr>
                <w:rFonts w:hint="eastAsia" w:ascii="仿宋" w:eastAsia="仿宋" w:cs="仿宋"/>
                <w:color w:val="auto"/>
                <w:kern w:val="0"/>
                <w:sz w:val="24"/>
                <w:szCs w:val="24"/>
                <w:lang w:val="en-US" w:eastAsia="zh-TW"/>
              </w:rPr>
            </w:pPr>
          </w:p>
          <w:p w14:paraId="3B04078D">
            <w:pPr>
              <w:keepNext w:val="0"/>
              <w:keepLines w:val="0"/>
              <w:pageBreakBefore w:val="0"/>
              <w:widowControl w:val="0"/>
              <w:tabs>
                <w:tab w:val="left" w:pos="720"/>
              </w:tabs>
              <w:kinsoku/>
              <w:wordWrap/>
              <w:overflowPunct/>
              <w:topLinePunct w:val="0"/>
              <w:autoSpaceDE/>
              <w:autoSpaceDN/>
              <w:bidi w:val="0"/>
              <w:adjustRightInd w:val="0"/>
              <w:snapToGrid w:val="0"/>
              <w:spacing w:line="360" w:lineRule="exact"/>
              <w:textAlignment w:val="auto"/>
              <w:rPr>
                <w:rFonts w:hint="eastAsia" w:ascii="仿宋" w:eastAsia="仿宋" w:cs="仿宋"/>
                <w:color w:val="auto"/>
                <w:kern w:val="0"/>
                <w:sz w:val="24"/>
                <w:szCs w:val="24"/>
                <w:lang w:val="en-US" w:eastAsia="zh-TW"/>
              </w:rPr>
            </w:pPr>
            <w:r>
              <w:rPr>
                <w:rFonts w:hint="eastAsia" w:ascii="仿宋" w:eastAsia="仿宋" w:cs="仿宋"/>
                <w:color w:val="auto"/>
                <w:kern w:val="0"/>
                <w:sz w:val="24"/>
                <w:szCs w:val="24"/>
                <w:lang w:val="en-US" w:eastAsia="zh-TW"/>
              </w:rPr>
              <w:t>1.本课程已经建立校网络课程，同学们依据学校提供的帐号与密码登录课程网站，可查看教学大纲、授课计划、考核方法、教学视频、电子教材、音频、阅读资料、网络文献链接网址等教学资源。</w:t>
            </w:r>
          </w:p>
          <w:p w14:paraId="08B4EF60">
            <w:pPr>
              <w:keepNext w:val="0"/>
              <w:keepLines w:val="0"/>
              <w:pageBreakBefore w:val="0"/>
              <w:widowControl w:val="0"/>
              <w:tabs>
                <w:tab w:val="left" w:pos="720"/>
              </w:tabs>
              <w:kinsoku/>
              <w:wordWrap/>
              <w:overflowPunct/>
              <w:topLinePunct w:val="0"/>
              <w:autoSpaceDE/>
              <w:autoSpaceDN/>
              <w:bidi w:val="0"/>
              <w:adjustRightInd w:val="0"/>
              <w:snapToGrid w:val="0"/>
              <w:spacing w:line="360" w:lineRule="exact"/>
              <w:textAlignment w:val="auto"/>
              <w:rPr>
                <w:rFonts w:hint="eastAsia" w:ascii="仿宋" w:eastAsia="仿宋" w:cs="仿宋"/>
                <w:color w:val="auto"/>
                <w:kern w:val="0"/>
                <w:sz w:val="24"/>
                <w:szCs w:val="24"/>
                <w:lang w:val="en-US" w:eastAsia="zh-CN"/>
              </w:rPr>
            </w:pPr>
            <w:r>
              <w:rPr>
                <w:rFonts w:hint="eastAsia" w:ascii="仿宋" w:eastAsia="仿宋" w:cs="仿宋"/>
                <w:color w:val="auto"/>
                <w:kern w:val="0"/>
                <w:sz w:val="24"/>
                <w:szCs w:val="24"/>
                <w:lang w:val="en-US" w:eastAsia="zh-TW"/>
              </w:rPr>
              <w:t>2.微信平台</w:t>
            </w:r>
            <w:r>
              <w:rPr>
                <w:rFonts w:hint="eastAsia" w:ascii="仿宋" w:eastAsia="仿宋" w:cs="仿宋"/>
                <w:color w:val="auto"/>
                <w:kern w:val="0"/>
                <w:sz w:val="24"/>
                <w:szCs w:val="24"/>
                <w:lang w:val="en-US" w:eastAsia="zh-Hans"/>
              </w:rPr>
              <w:t>声乐教学</w:t>
            </w:r>
            <w:r>
              <w:rPr>
                <w:rFonts w:hint="eastAsia" w:ascii="仿宋" w:eastAsia="仿宋" w:cs="仿宋"/>
                <w:color w:val="auto"/>
                <w:kern w:val="0"/>
                <w:sz w:val="24"/>
                <w:szCs w:val="24"/>
                <w:lang w:val="en-US" w:eastAsia="zh-CN"/>
              </w:rPr>
              <w:t>学习群</w:t>
            </w:r>
          </w:p>
          <w:p w14:paraId="11366A8D">
            <w:pPr>
              <w:keepNext w:val="0"/>
              <w:keepLines w:val="0"/>
              <w:pageBreakBefore w:val="0"/>
              <w:widowControl w:val="0"/>
              <w:tabs>
                <w:tab w:val="left" w:pos="720"/>
              </w:tabs>
              <w:kinsoku/>
              <w:wordWrap/>
              <w:overflowPunct/>
              <w:topLinePunct w:val="0"/>
              <w:autoSpaceDE/>
              <w:autoSpaceDN/>
              <w:bidi w:val="0"/>
              <w:adjustRightInd w:val="0"/>
              <w:snapToGrid w:val="0"/>
              <w:spacing w:line="360" w:lineRule="exact"/>
              <w:textAlignment w:val="auto"/>
              <w:rPr>
                <w:rFonts w:hint="eastAsia" w:ascii="仿宋" w:eastAsia="仿宋" w:cs="仿宋"/>
                <w:color w:val="auto"/>
                <w:kern w:val="0"/>
                <w:sz w:val="24"/>
                <w:szCs w:val="24"/>
                <w:lang w:val="en-US" w:eastAsia="zh-CN"/>
              </w:rPr>
            </w:pPr>
          </w:p>
        </w:tc>
      </w:tr>
      <w:tr w14:paraId="514F8752">
        <w:trPr>
          <w:trHeight w:val="624" w:hRule="atLeast"/>
        </w:trPr>
        <w:tc>
          <w:tcPr>
            <w:tcW w:w="1376"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FE661BE">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D</w:t>
            </w:r>
          </w:p>
          <w:p w14:paraId="329DF5F2">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 xml:space="preserve">课程描述 </w:t>
            </w:r>
          </w:p>
          <w:p w14:paraId="5074C1A9">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lang w:eastAsia="zh-TW"/>
              </w:rPr>
              <w:t>(</w:t>
            </w:r>
            <w:r>
              <w:rPr>
                <w:rFonts w:hint="eastAsia" w:ascii="仿宋" w:eastAsia="仿宋" w:cs="仿宋"/>
                <w:color w:val="000000"/>
                <w:sz w:val="24"/>
                <w:szCs w:val="24"/>
              </w:rPr>
              <w:t>含</w:t>
            </w:r>
            <w:r>
              <w:rPr>
                <w:rFonts w:hint="eastAsia" w:ascii="仿宋" w:eastAsia="仿宋" w:cs="仿宋"/>
                <w:color w:val="000000"/>
                <w:sz w:val="24"/>
                <w:szCs w:val="24"/>
                <w:lang w:eastAsia="zh-TW"/>
              </w:rPr>
              <w:t>性质、地位和任务)</w:t>
            </w:r>
          </w:p>
        </w:tc>
        <w:tc>
          <w:tcPr>
            <w:tcW w:w="7772" w:type="dxa"/>
            <w:gridSpan w:val="14"/>
            <w:tcBorders>
              <w:top w:val="single" w:color="auto" w:sz="4" w:space="0"/>
              <w:left w:val="single" w:color="auto" w:sz="4" w:space="0"/>
              <w:bottom w:val="single" w:color="auto" w:sz="4" w:space="0"/>
              <w:right w:val="single" w:color="auto" w:sz="4" w:space="0"/>
            </w:tcBorders>
            <w:shd w:val="clear" w:color="auto" w:fill="FFFFFF"/>
            <w:noWrap/>
            <w:vAlign w:val="center"/>
          </w:tcPr>
          <w:p w14:paraId="06CB7A22">
            <w:pPr>
              <w:keepNext w:val="0"/>
              <w:keepLines w:val="0"/>
              <w:pageBreakBefore w:val="0"/>
              <w:widowControl w:val="0"/>
              <w:tabs>
                <w:tab w:val="left" w:pos="720"/>
              </w:tabs>
              <w:kinsoku/>
              <w:wordWrap/>
              <w:overflowPunct/>
              <w:topLinePunct w:val="0"/>
              <w:autoSpaceDE/>
              <w:autoSpaceDN/>
              <w:bidi w:val="0"/>
              <w:adjustRightInd w:val="0"/>
              <w:snapToGrid w:val="0"/>
              <w:spacing w:line="360" w:lineRule="exact"/>
              <w:textAlignment w:val="auto"/>
              <w:rPr>
                <w:rFonts w:hint="eastAsia" w:ascii="仿宋" w:eastAsia="仿宋" w:cs="仿宋"/>
                <w:color w:val="auto"/>
                <w:kern w:val="0"/>
                <w:sz w:val="24"/>
                <w:szCs w:val="24"/>
                <w:lang w:val="en-US" w:eastAsia="zh-TW"/>
              </w:rPr>
            </w:pPr>
          </w:p>
          <w:p w14:paraId="7FF3A965">
            <w:pPr>
              <w:keepNext w:val="0"/>
              <w:keepLines w:val="0"/>
              <w:pageBreakBefore w:val="0"/>
              <w:widowControl w:val="0"/>
              <w:tabs>
                <w:tab w:val="left" w:pos="720"/>
              </w:tabs>
              <w:kinsoku/>
              <w:wordWrap/>
              <w:overflowPunct/>
              <w:topLinePunct w:val="0"/>
              <w:autoSpaceDE/>
              <w:autoSpaceDN/>
              <w:bidi w:val="0"/>
              <w:adjustRightInd w:val="0"/>
              <w:snapToGrid w:val="0"/>
              <w:spacing w:line="360" w:lineRule="exact"/>
              <w:textAlignment w:val="auto"/>
              <w:rPr>
                <w:rFonts w:hint="eastAsia" w:ascii="仿宋" w:eastAsia="仿宋" w:cs="仿宋"/>
                <w:color w:val="auto"/>
                <w:kern w:val="0"/>
                <w:sz w:val="24"/>
                <w:szCs w:val="24"/>
                <w:lang w:val="en-US" w:eastAsia="zh-TW"/>
              </w:rPr>
            </w:pPr>
            <w:r>
              <w:rPr>
                <w:rFonts w:hint="eastAsia" w:ascii="仿宋" w:eastAsia="仿宋" w:cs="仿宋"/>
                <w:color w:val="auto"/>
                <w:kern w:val="0"/>
                <w:sz w:val="24"/>
                <w:szCs w:val="24"/>
                <w:lang w:val="en-US" w:eastAsia="zh-TW"/>
              </w:rPr>
              <w:t>本课程为音乐学专业方向课程。通过本课程的学习，</w:t>
            </w:r>
            <w:r>
              <w:rPr>
                <w:rFonts w:hint="eastAsia" w:ascii="仿宋" w:eastAsia="仿宋" w:cs="仿宋"/>
                <w:color w:val="auto"/>
                <w:kern w:val="0"/>
                <w:sz w:val="24"/>
                <w:szCs w:val="24"/>
                <w:lang w:val="en-US" w:eastAsia="zh-Hans"/>
              </w:rPr>
              <w:t>引导</w:t>
            </w:r>
            <w:r>
              <w:rPr>
                <w:rFonts w:hint="eastAsia" w:ascii="仿宋" w:eastAsia="仿宋" w:cs="仿宋"/>
                <w:color w:val="auto"/>
                <w:kern w:val="0"/>
                <w:sz w:val="24"/>
                <w:szCs w:val="24"/>
                <w:lang w:val="en-US" w:eastAsia="zh-TW"/>
              </w:rPr>
              <w:t>学生了解并掌握歌唱器官的构造和发声原理</w:t>
            </w:r>
            <w:r>
              <w:rPr>
                <w:rFonts w:hint="eastAsia" w:ascii="仿宋" w:eastAsia="仿宋" w:cs="仿宋"/>
                <w:color w:val="auto"/>
                <w:kern w:val="0"/>
                <w:sz w:val="24"/>
                <w:szCs w:val="24"/>
                <w:lang w:eastAsia="zh-TW"/>
              </w:rPr>
              <w:t>，</w:t>
            </w:r>
            <w:r>
              <w:rPr>
                <w:rFonts w:hint="eastAsia" w:ascii="仿宋" w:eastAsia="仿宋" w:cs="仿宋"/>
                <w:color w:val="auto"/>
                <w:kern w:val="0"/>
                <w:sz w:val="24"/>
                <w:szCs w:val="24"/>
                <w:lang w:val="en-US" w:eastAsia="zh-Hans"/>
              </w:rPr>
              <w:t>学习</w:t>
            </w:r>
            <w:r>
              <w:rPr>
                <w:rFonts w:hint="eastAsia" w:ascii="仿宋" w:eastAsia="仿宋" w:cs="仿宋"/>
                <w:color w:val="auto"/>
                <w:kern w:val="0"/>
                <w:sz w:val="24"/>
                <w:szCs w:val="24"/>
                <w:lang w:val="en-US" w:eastAsia="zh-TW"/>
              </w:rPr>
              <w:t>声乐教育理论和教学法，深入研究包括声乐教学内容、组织形式、过程、评价以及相关学科内容在内的声乐教学法。积累和掌握一定的教学经验，增强学生的想象力，树立正确的音乐审美观、价值观。培养学生的创新能力，从而提高学生的声乐教学水平和歌唱的技巧，进一步适应社会的师范需求。</w:t>
            </w:r>
          </w:p>
          <w:p w14:paraId="7C8863E4">
            <w:pPr>
              <w:keepNext w:val="0"/>
              <w:keepLines w:val="0"/>
              <w:pageBreakBefore w:val="0"/>
              <w:widowControl w:val="0"/>
              <w:tabs>
                <w:tab w:val="left" w:pos="720"/>
              </w:tabs>
              <w:kinsoku/>
              <w:wordWrap/>
              <w:overflowPunct/>
              <w:topLinePunct w:val="0"/>
              <w:autoSpaceDE/>
              <w:autoSpaceDN/>
              <w:bidi w:val="0"/>
              <w:adjustRightInd w:val="0"/>
              <w:snapToGrid w:val="0"/>
              <w:spacing w:line="360" w:lineRule="exact"/>
              <w:textAlignment w:val="auto"/>
              <w:rPr>
                <w:rFonts w:hint="eastAsia" w:ascii="仿宋" w:eastAsia="仿宋" w:cs="仿宋"/>
                <w:color w:val="auto"/>
                <w:kern w:val="0"/>
                <w:sz w:val="24"/>
                <w:szCs w:val="24"/>
                <w:lang w:val="en-US" w:eastAsia="zh-CN"/>
              </w:rPr>
            </w:pPr>
          </w:p>
        </w:tc>
      </w:tr>
      <w:tr w14:paraId="1713EF51">
        <w:trPr>
          <w:trHeight w:val="624" w:hRule="atLeast"/>
        </w:trPr>
        <w:tc>
          <w:tcPr>
            <w:tcW w:w="1376" w:type="dxa"/>
            <w:vMerge w:val="restart"/>
            <w:tcBorders>
              <w:top w:val="single" w:color="auto" w:sz="4" w:space="0"/>
              <w:left w:val="single" w:color="auto" w:sz="4" w:space="0"/>
              <w:bottom w:val="single" w:color="auto" w:sz="4" w:space="0"/>
              <w:right w:val="single" w:color="auto" w:sz="4" w:space="0"/>
            </w:tcBorders>
            <w:shd w:val="clear" w:color="auto" w:fill="FFFFFF"/>
            <w:noWrap/>
            <w:vAlign w:val="center"/>
          </w:tcPr>
          <w:p w14:paraId="4C6ECBEF">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E</w:t>
            </w:r>
          </w:p>
          <w:p w14:paraId="27A029FE">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课程学习目标及其与毕业要求的对应关系</w:t>
            </w:r>
          </w:p>
        </w:tc>
        <w:tc>
          <w:tcPr>
            <w:tcW w:w="7772" w:type="dxa"/>
            <w:gridSpan w:val="14"/>
            <w:tcBorders>
              <w:top w:val="single" w:color="auto" w:sz="4" w:space="0"/>
              <w:left w:val="single" w:color="auto" w:sz="4" w:space="0"/>
              <w:bottom w:val="single" w:color="auto" w:sz="4" w:space="0"/>
              <w:right w:val="single" w:color="auto" w:sz="4" w:space="0"/>
            </w:tcBorders>
            <w:shd w:val="clear" w:color="auto" w:fill="FFFFFF"/>
            <w:noWrap/>
            <w:vAlign w:val="center"/>
          </w:tcPr>
          <w:p w14:paraId="5AD91ADB">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eastAsia="zh-TW"/>
              </w:rPr>
            </w:pPr>
            <w:r>
              <w:rPr>
                <w:rFonts w:ascii="仿宋" w:eastAsia="仿宋" w:cs="仿宋"/>
                <w:color w:val="000000"/>
                <w:sz w:val="24"/>
                <w:szCs w:val="24"/>
                <w:lang w:val="en-US" w:eastAsia="zh-TW"/>
              </w:rPr>
              <w:t>通过本课程的学习，学生具备如下知识、能力及情感态度价值观：</w:t>
            </w:r>
          </w:p>
          <w:p w14:paraId="7E1FFF5B">
            <w:pPr>
              <w:keepNext w:val="0"/>
              <w:keepLines w:val="0"/>
              <w:pageBreakBefore w:val="0"/>
              <w:widowControl w:val="0"/>
              <w:kinsoku/>
              <w:wordWrap/>
              <w:overflowPunct/>
              <w:topLinePunct w:val="0"/>
              <w:autoSpaceDE/>
              <w:autoSpaceDN/>
              <w:bidi w:val="0"/>
              <w:adjustRightInd w:val="0"/>
              <w:snapToGrid w:val="0"/>
              <w:spacing w:line="380" w:lineRule="exact"/>
              <w:textAlignment w:val="auto"/>
              <w:rPr>
                <w:lang w:val="en-US" w:eastAsia="zh-CN"/>
              </w:rPr>
            </w:pPr>
            <w:r>
              <w:rPr>
                <w:rFonts w:ascii="仿宋" w:eastAsia="仿宋" w:cs="仿宋"/>
                <w:b w:val="0"/>
                <w:bCs w:val="0"/>
                <w:color w:val="000000"/>
                <w:sz w:val="24"/>
                <w:szCs w:val="24"/>
                <w:lang w:val="en-US" w:eastAsia="zh-TW"/>
              </w:rPr>
              <w:t>课程目标1：</w:t>
            </w:r>
            <w:r>
              <w:rPr>
                <w:rFonts w:hint="eastAsia" w:ascii="仿宋" w:eastAsia="仿宋" w:cs="仿宋"/>
                <w:b w:val="0"/>
                <w:bCs w:val="0"/>
                <w:color w:val="000000"/>
                <w:sz w:val="24"/>
                <w:szCs w:val="24"/>
                <w:lang w:val="en-US" w:eastAsia="zh-TW"/>
              </w:rPr>
              <w:t>学生能够从教师的心态出发，在</w:t>
            </w:r>
            <w:r>
              <w:rPr>
                <w:rFonts w:hint="eastAsia" w:ascii="仿宋" w:eastAsia="仿宋" w:cs="仿宋"/>
                <w:b w:val="0"/>
                <w:bCs w:val="0"/>
                <w:color w:val="000000"/>
                <w:sz w:val="24"/>
                <w:szCs w:val="24"/>
                <w:lang w:val="en-US" w:eastAsia="zh-Hans"/>
              </w:rPr>
              <w:t>试讲</w:t>
            </w:r>
            <w:r>
              <w:rPr>
                <w:rFonts w:hint="eastAsia" w:ascii="仿宋" w:eastAsia="仿宋" w:cs="仿宋"/>
                <w:b w:val="0"/>
                <w:bCs w:val="0"/>
                <w:color w:val="000000"/>
                <w:sz w:val="24"/>
                <w:szCs w:val="24"/>
                <w:lang w:val="en-US" w:eastAsia="zh-TW"/>
              </w:rPr>
              <w:t>中表现出教育工作者应有的精神风貌与良好的教态</w:t>
            </w:r>
            <w:r>
              <w:rPr>
                <w:rFonts w:hint="default" w:ascii="仿宋" w:eastAsia="仿宋" w:cs="仿宋"/>
                <w:b w:val="0"/>
                <w:bCs w:val="0"/>
                <w:color w:val="000000"/>
                <w:sz w:val="24"/>
                <w:szCs w:val="24"/>
                <w:lang w:eastAsia="zh-TW"/>
              </w:rPr>
              <w:t>，</w:t>
            </w:r>
            <w:r>
              <w:rPr>
                <w:rFonts w:hint="eastAsia" w:ascii="仿宋" w:eastAsia="仿宋" w:cs="仿宋"/>
                <w:b w:val="0"/>
                <w:bCs w:val="0"/>
                <w:color w:val="000000"/>
                <w:sz w:val="24"/>
                <w:szCs w:val="24"/>
                <w:lang w:val="en-US" w:eastAsia="zh-TW"/>
              </w:rPr>
              <w:t>并能够综合学段学情、作品音乐文化背景、编写者意图，通过</w:t>
            </w:r>
            <w:r>
              <w:rPr>
                <w:rFonts w:hint="eastAsia" w:ascii="仿宋" w:eastAsia="仿宋" w:cs="仿宋"/>
                <w:b w:val="0"/>
                <w:bCs w:val="0"/>
                <w:color w:val="000000"/>
                <w:sz w:val="24"/>
                <w:szCs w:val="24"/>
                <w:lang w:val="en-US" w:eastAsia="zh-Hans"/>
              </w:rPr>
              <w:t>教学</w:t>
            </w:r>
            <w:r>
              <w:rPr>
                <w:rFonts w:hint="default" w:ascii="仿宋" w:eastAsia="仿宋" w:cs="仿宋"/>
                <w:b w:val="0"/>
                <w:bCs w:val="0"/>
                <w:color w:val="000000"/>
                <w:sz w:val="24"/>
                <w:szCs w:val="24"/>
                <w:lang w:eastAsia="zh-Hans"/>
              </w:rPr>
              <w:t>、</w:t>
            </w:r>
            <w:r>
              <w:rPr>
                <w:rFonts w:hint="eastAsia" w:ascii="仿宋" w:eastAsia="仿宋" w:cs="仿宋"/>
                <w:b w:val="0"/>
                <w:bCs w:val="0"/>
                <w:color w:val="000000"/>
                <w:sz w:val="24"/>
                <w:szCs w:val="24"/>
                <w:lang w:val="en-US" w:eastAsia="zh-Hans"/>
              </w:rPr>
              <w:t>演唱</w:t>
            </w:r>
            <w:r>
              <w:rPr>
                <w:rFonts w:hint="eastAsia" w:ascii="仿宋" w:eastAsia="仿宋" w:cs="仿宋"/>
                <w:b w:val="0"/>
                <w:bCs w:val="0"/>
                <w:color w:val="000000"/>
                <w:sz w:val="24"/>
                <w:szCs w:val="24"/>
                <w:lang w:val="en-US" w:eastAsia="zh-TW"/>
              </w:rPr>
              <w:t>形式构建兼具艺术性和</w:t>
            </w:r>
            <w:r>
              <w:rPr>
                <w:rFonts w:hint="eastAsia" w:ascii="仿宋" w:eastAsia="仿宋" w:cs="仿宋"/>
                <w:b w:val="0"/>
                <w:bCs w:val="0"/>
                <w:color w:val="000000"/>
                <w:sz w:val="24"/>
                <w:szCs w:val="24"/>
                <w:highlight w:val="none"/>
                <w:lang w:val="en-US" w:eastAsia="zh-TW"/>
              </w:rPr>
              <w:t>教育性的</w:t>
            </w:r>
            <w:r>
              <w:rPr>
                <w:rFonts w:hint="eastAsia" w:ascii="仿宋" w:eastAsia="仿宋" w:cs="仿宋"/>
                <w:b w:val="0"/>
                <w:bCs w:val="0"/>
                <w:color w:val="000000"/>
                <w:sz w:val="24"/>
                <w:szCs w:val="24"/>
                <w:highlight w:val="none"/>
                <w:lang w:val="en-US" w:eastAsia="zh-Hans"/>
              </w:rPr>
              <w:t>声乐</w:t>
            </w:r>
            <w:r>
              <w:rPr>
                <w:rFonts w:hint="eastAsia" w:ascii="仿宋" w:eastAsia="仿宋" w:cs="仿宋"/>
                <w:b w:val="0"/>
                <w:bCs w:val="0"/>
                <w:color w:val="000000"/>
                <w:sz w:val="24"/>
                <w:szCs w:val="24"/>
                <w:highlight w:val="none"/>
                <w:lang w:val="en-US" w:eastAsia="zh-TW"/>
              </w:rPr>
              <w:t>作品</w:t>
            </w:r>
            <w:r>
              <w:rPr>
                <w:rFonts w:hint="default" w:ascii="仿宋" w:eastAsia="仿宋" w:cs="仿宋"/>
                <w:b w:val="0"/>
                <w:bCs w:val="0"/>
                <w:color w:val="000000"/>
                <w:sz w:val="24"/>
                <w:szCs w:val="24"/>
                <w:highlight w:val="none"/>
                <w:lang w:eastAsia="zh-TW"/>
              </w:rPr>
              <w:t>。</w:t>
            </w:r>
            <w:r>
              <w:rPr>
                <w:rFonts w:hint="eastAsia" w:ascii="仿宋" w:eastAsia="仿宋" w:cs="仿宋"/>
                <w:b w:val="0"/>
                <w:bCs w:val="0"/>
                <w:color w:val="000000"/>
                <w:sz w:val="24"/>
                <w:szCs w:val="24"/>
                <w:highlight w:val="none"/>
                <w:lang w:val="en-US" w:eastAsia="zh-CN"/>
              </w:rPr>
              <w:t>（支撑毕业要求</w:t>
            </w:r>
            <w:r>
              <w:rPr>
                <w:rFonts w:hint="default" w:ascii="仿宋" w:eastAsia="仿宋" w:cs="仿宋"/>
                <w:b w:val="0"/>
                <w:bCs w:val="0"/>
                <w:color w:val="000000"/>
                <w:sz w:val="24"/>
                <w:szCs w:val="24"/>
                <w:highlight w:val="none"/>
                <w:lang w:eastAsia="zh-CN"/>
              </w:rPr>
              <w:t>2</w:t>
            </w:r>
            <w:r>
              <w:rPr>
                <w:rFonts w:hint="eastAsia" w:ascii="仿宋" w:eastAsia="仿宋" w:cs="仿宋"/>
                <w:b w:val="0"/>
                <w:bCs w:val="0"/>
                <w:color w:val="000000"/>
                <w:sz w:val="24"/>
                <w:szCs w:val="24"/>
                <w:highlight w:val="none"/>
                <w:lang w:val="en-US" w:eastAsia="zh-CN"/>
              </w:rPr>
              <w:t>.</w:t>
            </w:r>
            <w:r>
              <w:rPr>
                <w:rFonts w:hint="default" w:ascii="仿宋" w:eastAsia="仿宋" w:cs="仿宋"/>
                <w:b w:val="0"/>
                <w:bCs w:val="0"/>
                <w:color w:val="000000"/>
                <w:sz w:val="24"/>
                <w:szCs w:val="24"/>
                <w:highlight w:val="none"/>
                <w:lang w:eastAsia="zh-CN"/>
              </w:rPr>
              <w:t>1</w:t>
            </w:r>
            <w:r>
              <w:rPr>
                <w:rFonts w:hint="eastAsia" w:ascii="仿宋" w:eastAsia="仿宋" w:cs="仿宋"/>
                <w:b w:val="0"/>
                <w:bCs w:val="0"/>
                <w:color w:val="000000"/>
                <w:sz w:val="24"/>
                <w:szCs w:val="24"/>
                <w:highlight w:val="none"/>
                <w:lang w:val="en-US" w:eastAsia="zh-CN"/>
              </w:rPr>
              <w:t>）</w:t>
            </w:r>
          </w:p>
          <w:p w14:paraId="03E957CF">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lang w:eastAsia="zh-TW"/>
              </w:rPr>
            </w:pPr>
            <w:r>
              <w:rPr>
                <w:rFonts w:ascii="仿宋" w:eastAsia="仿宋" w:cs="仿宋"/>
                <w:b w:val="0"/>
                <w:bCs w:val="0"/>
                <w:color w:val="000000"/>
                <w:sz w:val="24"/>
                <w:szCs w:val="24"/>
                <w:lang w:val="en-US" w:eastAsia="zh-TW"/>
              </w:rPr>
              <w:t>课程目标2：</w:t>
            </w:r>
            <w:r>
              <w:rPr>
                <w:rFonts w:hint="eastAsia" w:ascii="仿宋" w:eastAsia="仿宋" w:cs="仿宋"/>
                <w:b w:val="0"/>
                <w:bCs w:val="0"/>
                <w:color w:val="000000"/>
                <w:sz w:val="24"/>
                <w:szCs w:val="24"/>
                <w:lang w:val="en-US" w:eastAsia="zh-TW"/>
              </w:rPr>
              <w:t>了解并掌握声乐教学的特点和规律，明确声乐教学的任务、目的及具体实施办法，帮助学生以后能在专业的理论指导下进行声乐教学。深刻理解声乐教学法的关键内涵，以便在中小学音乐教师岗位上应对各种教学环境。学生掌握声乐的基本理论、原则与关键问题，更有的放矢地进行声乐教育工作。</w:t>
            </w:r>
            <w:r>
              <w:rPr>
                <w:rFonts w:hint="eastAsia" w:ascii="仿宋" w:eastAsia="仿宋" w:cs="仿宋"/>
                <w:b w:val="0"/>
                <w:bCs w:val="0"/>
                <w:color w:val="000000"/>
                <w:sz w:val="24"/>
                <w:szCs w:val="24"/>
                <w:lang w:val="en-US" w:eastAsia="zh-CN"/>
              </w:rPr>
              <w:t>（支撑毕业要求</w:t>
            </w:r>
            <w:r>
              <w:rPr>
                <w:rFonts w:hint="default" w:ascii="仿宋" w:eastAsia="仿宋" w:cs="仿宋"/>
                <w:b w:val="0"/>
                <w:bCs w:val="0"/>
                <w:color w:val="000000"/>
                <w:sz w:val="24"/>
                <w:szCs w:val="24"/>
                <w:lang w:eastAsia="zh-CN"/>
              </w:rPr>
              <w:t>3</w:t>
            </w:r>
            <w:r>
              <w:rPr>
                <w:rFonts w:hint="eastAsia" w:ascii="仿宋" w:eastAsia="仿宋" w:cs="仿宋"/>
                <w:b w:val="0"/>
                <w:bCs w:val="0"/>
                <w:color w:val="000000"/>
                <w:sz w:val="24"/>
                <w:szCs w:val="24"/>
                <w:lang w:val="en-US" w:eastAsia="zh-CN"/>
              </w:rPr>
              <w:t>.1，</w:t>
            </w:r>
            <w:r>
              <w:rPr>
                <w:rFonts w:hint="default" w:ascii="仿宋" w:eastAsia="仿宋" w:cs="仿宋"/>
                <w:b w:val="0"/>
                <w:bCs w:val="0"/>
                <w:color w:val="000000"/>
                <w:sz w:val="24"/>
                <w:szCs w:val="24"/>
                <w:lang w:eastAsia="zh-CN"/>
              </w:rPr>
              <w:t>3</w:t>
            </w:r>
            <w:r>
              <w:rPr>
                <w:rFonts w:hint="eastAsia" w:ascii="仿宋" w:eastAsia="仿宋" w:cs="仿宋"/>
                <w:b w:val="0"/>
                <w:bCs w:val="0"/>
                <w:color w:val="000000"/>
                <w:sz w:val="24"/>
                <w:szCs w:val="24"/>
                <w:lang w:val="en-US"/>
              </w:rPr>
              <w:t>.</w:t>
            </w:r>
            <w:r>
              <w:rPr>
                <w:rFonts w:ascii="仿宋" w:eastAsia="仿宋" w:cs="仿宋"/>
                <w:b w:val="0"/>
                <w:bCs w:val="0"/>
                <w:color w:val="000000"/>
                <w:sz w:val="24"/>
                <w:szCs w:val="24"/>
              </w:rPr>
              <w:t>3</w:t>
            </w:r>
            <w:r>
              <w:rPr>
                <w:rFonts w:hint="eastAsia" w:ascii="仿宋" w:eastAsia="仿宋" w:cs="仿宋"/>
                <w:b w:val="0"/>
                <w:bCs w:val="0"/>
                <w:color w:val="000000"/>
                <w:sz w:val="24"/>
                <w:szCs w:val="24"/>
                <w:lang w:val="en-US" w:eastAsia="zh-CN"/>
              </w:rPr>
              <w:t>）</w:t>
            </w:r>
          </w:p>
          <w:p w14:paraId="1ADAD95C">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TW"/>
              </w:rPr>
            </w:pPr>
            <w:r>
              <w:rPr>
                <w:rFonts w:ascii="仿宋" w:eastAsia="仿宋" w:cs="仿宋"/>
                <w:b w:val="0"/>
                <w:bCs w:val="0"/>
                <w:color w:val="000000"/>
                <w:sz w:val="24"/>
                <w:szCs w:val="24"/>
                <w:lang w:val="en-US" w:eastAsia="zh-TW"/>
              </w:rPr>
              <w:t>课程目标3：</w:t>
            </w:r>
            <w:r>
              <w:rPr>
                <w:rFonts w:hint="eastAsia" w:ascii="仿宋" w:eastAsia="仿宋" w:cs="仿宋"/>
                <w:color w:val="000000"/>
                <w:sz w:val="24"/>
                <w:szCs w:val="24"/>
                <w:lang w:val="en-US" w:eastAsia="zh-TW"/>
              </w:rPr>
              <w:t>根据教学内容制定教学目标，</w:t>
            </w:r>
            <w:r>
              <w:rPr>
                <w:rFonts w:hint="eastAsia" w:ascii="仿宋" w:eastAsia="仿宋" w:cs="仿宋"/>
                <w:color w:val="000000"/>
                <w:sz w:val="24"/>
                <w:szCs w:val="24"/>
                <w:lang w:val="en-US" w:eastAsia="zh-Hans"/>
              </w:rPr>
              <w:t>设计</w:t>
            </w:r>
            <w:r>
              <w:rPr>
                <w:rFonts w:hint="eastAsia" w:ascii="仿宋" w:eastAsia="仿宋" w:cs="仿宋"/>
                <w:color w:val="000000"/>
                <w:sz w:val="24"/>
                <w:szCs w:val="24"/>
                <w:lang w:val="en-US" w:eastAsia="zh-TW"/>
              </w:rPr>
              <w:t>教案，到课堂教学过程中每个环节的设置来完整的完成一节声乐课的教学。</w:t>
            </w:r>
            <w:r>
              <w:rPr>
                <w:rFonts w:hint="eastAsia" w:ascii="仿宋" w:eastAsia="仿宋" w:cs="仿宋"/>
                <w:color w:val="000000"/>
                <w:sz w:val="24"/>
                <w:szCs w:val="24"/>
                <w:lang w:val="en-US" w:eastAsia="zh-Hans"/>
              </w:rPr>
              <w:t>锻炼</w:t>
            </w:r>
            <w:r>
              <w:rPr>
                <w:rFonts w:hint="eastAsia" w:ascii="仿宋" w:eastAsia="仿宋" w:cs="仿宋"/>
                <w:color w:val="000000"/>
                <w:sz w:val="24"/>
                <w:szCs w:val="24"/>
                <w:lang w:val="en-US" w:eastAsia="zh-TW"/>
              </w:rPr>
              <w:t>语言组织能力、课堂节奏把握能力以及声乐教学的必备技能，如钢琴伴奏能力、歌曲范唱讲解能力等。</w:t>
            </w:r>
            <w:r>
              <w:rPr>
                <w:rFonts w:ascii="仿宋" w:eastAsia="仿宋" w:cs="仿宋"/>
                <w:b w:val="0"/>
                <w:bCs w:val="0"/>
                <w:color w:val="000000"/>
                <w:sz w:val="24"/>
                <w:szCs w:val="24"/>
                <w:lang w:val="en-US" w:eastAsia="zh-TW"/>
              </w:rPr>
              <w:t>对不同类型的</w:t>
            </w:r>
            <w:r>
              <w:rPr>
                <w:rFonts w:hint="eastAsia" w:ascii="仿宋" w:eastAsia="仿宋" w:cs="仿宋"/>
                <w:b w:val="0"/>
                <w:bCs w:val="0"/>
                <w:color w:val="000000"/>
                <w:sz w:val="24"/>
                <w:szCs w:val="24"/>
                <w:lang w:val="en-US" w:eastAsia="zh-Hans"/>
              </w:rPr>
              <w:t>歌曲</w:t>
            </w:r>
            <w:r>
              <w:rPr>
                <w:rFonts w:ascii="仿宋" w:eastAsia="仿宋" w:cs="仿宋"/>
                <w:b w:val="0"/>
                <w:bCs w:val="0"/>
                <w:color w:val="000000"/>
                <w:sz w:val="24"/>
                <w:szCs w:val="24"/>
                <w:lang w:val="en-US" w:eastAsia="zh-TW"/>
              </w:rPr>
              <w:t>、</w:t>
            </w:r>
            <w:r>
              <w:rPr>
                <w:rFonts w:hint="eastAsia" w:ascii="仿宋" w:eastAsia="仿宋" w:cs="仿宋"/>
                <w:b w:val="0"/>
                <w:bCs w:val="0"/>
                <w:color w:val="000000"/>
                <w:sz w:val="24"/>
                <w:szCs w:val="24"/>
                <w:lang w:val="en-US" w:eastAsia="zh-Hans"/>
              </w:rPr>
              <w:t>唱法</w:t>
            </w:r>
            <w:r>
              <w:rPr>
                <w:rFonts w:ascii="仿宋" w:eastAsia="仿宋" w:cs="仿宋"/>
                <w:b w:val="0"/>
                <w:bCs w:val="0"/>
                <w:color w:val="000000"/>
                <w:sz w:val="24"/>
                <w:szCs w:val="24"/>
                <w:lang w:val="en-US" w:eastAsia="zh-TW"/>
              </w:rPr>
              <w:t>具有一定的辨别和分析能力</w:t>
            </w:r>
            <w:r>
              <w:rPr>
                <w:rFonts w:ascii="仿宋" w:eastAsia="仿宋" w:cs="仿宋"/>
                <w:b w:val="0"/>
                <w:bCs w:val="0"/>
                <w:color w:val="000000"/>
                <w:sz w:val="24"/>
                <w:szCs w:val="24"/>
                <w:lang w:eastAsia="zh-TW"/>
              </w:rPr>
              <w:t>，</w:t>
            </w:r>
            <w:r>
              <w:rPr>
                <w:rFonts w:ascii="仿宋" w:eastAsia="仿宋" w:cs="仿宋"/>
                <w:b w:val="0"/>
                <w:bCs w:val="0"/>
                <w:color w:val="000000"/>
                <w:sz w:val="24"/>
                <w:szCs w:val="24"/>
                <w:lang w:val="en-US" w:eastAsia="zh-TW"/>
              </w:rPr>
              <w:t>为在演唱作品时把握作品风格奠定基础</w:t>
            </w:r>
            <w:r>
              <w:rPr>
                <w:rFonts w:ascii="仿宋" w:eastAsia="仿宋" w:cs="仿宋"/>
                <w:b w:val="0"/>
                <w:bCs w:val="0"/>
                <w:color w:val="000000"/>
                <w:sz w:val="24"/>
                <w:szCs w:val="24"/>
                <w:lang w:eastAsia="zh-TW"/>
              </w:rPr>
              <w:t>，</w:t>
            </w:r>
            <w:r>
              <w:rPr>
                <w:rFonts w:ascii="仿宋" w:eastAsia="仿宋" w:cs="仿宋"/>
                <w:b w:val="0"/>
                <w:bCs w:val="0"/>
                <w:color w:val="000000"/>
                <w:sz w:val="24"/>
                <w:szCs w:val="24"/>
                <w:lang w:val="en-US" w:eastAsia="zh-TW"/>
              </w:rPr>
              <w:t>增强</w:t>
            </w:r>
            <w:r>
              <w:rPr>
                <w:rFonts w:hint="eastAsia" w:ascii="仿宋" w:eastAsia="仿宋" w:cs="仿宋"/>
                <w:b w:val="0"/>
                <w:bCs w:val="0"/>
                <w:color w:val="000000"/>
                <w:sz w:val="24"/>
                <w:szCs w:val="24"/>
                <w:lang w:val="en-US" w:eastAsia="zh-Hans"/>
              </w:rPr>
              <w:t>不同地方音乐</w:t>
            </w:r>
            <w:r>
              <w:rPr>
                <w:rFonts w:ascii="仿宋" w:eastAsia="仿宋" w:cs="仿宋"/>
                <w:b w:val="0"/>
                <w:bCs w:val="0"/>
                <w:color w:val="000000"/>
                <w:sz w:val="24"/>
                <w:szCs w:val="24"/>
                <w:lang w:val="en-US" w:eastAsia="zh-TW"/>
              </w:rPr>
              <w:t>文化、民族文化认同的责任感，</w:t>
            </w:r>
            <w:r>
              <w:rPr>
                <w:rFonts w:hint="eastAsia" w:ascii="仿宋" w:eastAsia="仿宋" w:cs="仿宋"/>
                <w:b w:val="0"/>
                <w:bCs w:val="0"/>
                <w:color w:val="000000"/>
                <w:sz w:val="24"/>
                <w:szCs w:val="24"/>
                <w:lang w:val="en-US"/>
              </w:rPr>
              <w:t>树立</w:t>
            </w:r>
            <w:r>
              <w:rPr>
                <w:rFonts w:ascii="仿宋" w:eastAsia="仿宋" w:cs="仿宋"/>
                <w:b w:val="0"/>
                <w:bCs w:val="0"/>
                <w:color w:val="000000"/>
                <w:sz w:val="24"/>
                <w:szCs w:val="24"/>
                <w:lang w:val="en-US" w:eastAsia="zh-TW"/>
              </w:rPr>
              <w:t>担当中国传统音乐文化传播</w:t>
            </w:r>
            <w:r>
              <w:rPr>
                <w:rFonts w:ascii="仿宋" w:eastAsia="仿宋" w:cs="仿宋"/>
                <w:b w:val="0"/>
                <w:bCs w:val="0"/>
                <w:color w:val="000000"/>
                <w:sz w:val="24"/>
                <w:szCs w:val="24"/>
                <w:lang w:eastAsia="zh-TW"/>
              </w:rPr>
              <w:t>、</w:t>
            </w:r>
            <w:r>
              <w:rPr>
                <w:rFonts w:ascii="仿宋" w:eastAsia="仿宋" w:cs="仿宋"/>
                <w:b w:val="0"/>
                <w:bCs w:val="0"/>
                <w:color w:val="000000"/>
                <w:sz w:val="24"/>
                <w:szCs w:val="24"/>
                <w:lang w:val="en-US" w:eastAsia="zh-TW"/>
              </w:rPr>
              <w:t>传承</w:t>
            </w:r>
            <w:r>
              <w:rPr>
                <w:rFonts w:hint="eastAsia" w:ascii="仿宋" w:eastAsia="仿宋" w:cs="仿宋"/>
                <w:b w:val="0"/>
                <w:bCs w:val="0"/>
                <w:color w:val="000000"/>
                <w:sz w:val="24"/>
                <w:szCs w:val="24"/>
                <w:lang w:val="en-US"/>
              </w:rPr>
              <w:t>的</w:t>
            </w:r>
            <w:r>
              <w:rPr>
                <w:rFonts w:ascii="仿宋" w:eastAsia="仿宋" w:cs="仿宋"/>
                <w:b w:val="0"/>
                <w:bCs w:val="0"/>
                <w:color w:val="000000"/>
                <w:sz w:val="24"/>
                <w:szCs w:val="24"/>
                <w:lang w:val="en-US" w:eastAsia="zh-TW"/>
              </w:rPr>
              <w:t>历史使命</w:t>
            </w:r>
            <w:r>
              <w:rPr>
                <w:rFonts w:hint="eastAsia" w:ascii="仿宋" w:eastAsia="仿宋" w:cs="仿宋"/>
                <w:b w:val="0"/>
                <w:bCs w:val="0"/>
                <w:color w:val="000000"/>
                <w:sz w:val="24"/>
                <w:szCs w:val="24"/>
                <w:lang w:val="en-US"/>
              </w:rPr>
              <w:t>的信念</w:t>
            </w:r>
            <w:r>
              <w:rPr>
                <w:rFonts w:ascii="仿宋" w:eastAsia="仿宋" w:cs="仿宋"/>
                <w:b w:val="0"/>
                <w:bCs w:val="0"/>
                <w:color w:val="000000"/>
                <w:sz w:val="24"/>
                <w:szCs w:val="24"/>
                <w:lang w:val="en-US" w:eastAsia="zh-TW"/>
              </w:rPr>
              <w:t>。</w:t>
            </w:r>
            <w:r>
              <w:rPr>
                <w:rFonts w:hint="eastAsia" w:ascii="仿宋" w:eastAsia="仿宋" w:cs="仿宋"/>
                <w:color w:val="000000"/>
                <w:sz w:val="24"/>
                <w:szCs w:val="24"/>
                <w:lang w:val="en-US" w:eastAsia="zh-CN"/>
              </w:rPr>
              <w:t>（支撑毕业要求</w:t>
            </w:r>
            <w:r>
              <w:rPr>
                <w:rFonts w:hint="default" w:ascii="仿宋" w:eastAsia="仿宋" w:cs="仿宋"/>
                <w:color w:val="000000"/>
                <w:sz w:val="24"/>
                <w:szCs w:val="24"/>
                <w:lang w:eastAsia="zh-CN"/>
              </w:rPr>
              <w:t>4</w:t>
            </w:r>
            <w:r>
              <w:rPr>
                <w:rFonts w:hint="eastAsia" w:ascii="仿宋" w:eastAsia="仿宋" w:cs="仿宋"/>
                <w:color w:val="000000"/>
                <w:sz w:val="24"/>
                <w:szCs w:val="24"/>
                <w:lang w:val="en-US"/>
              </w:rPr>
              <w:t>.</w:t>
            </w:r>
            <w:r>
              <w:rPr>
                <w:rFonts w:ascii="仿宋" w:eastAsia="仿宋" w:cs="仿宋"/>
                <w:color w:val="000000"/>
                <w:sz w:val="24"/>
                <w:szCs w:val="24"/>
              </w:rPr>
              <w:t>1，</w:t>
            </w:r>
            <w:r>
              <w:rPr>
                <w:rFonts w:hint="default" w:ascii="仿宋" w:eastAsia="仿宋" w:cs="仿宋"/>
                <w:color w:val="000000"/>
                <w:sz w:val="24"/>
                <w:szCs w:val="24"/>
              </w:rPr>
              <w:t>4</w:t>
            </w:r>
            <w:r>
              <w:rPr>
                <w:rFonts w:hint="eastAsia" w:ascii="仿宋" w:eastAsia="仿宋" w:cs="仿宋"/>
                <w:color w:val="000000"/>
                <w:sz w:val="24"/>
                <w:szCs w:val="24"/>
                <w:lang w:val="en-US" w:eastAsia="zh-Hans"/>
              </w:rPr>
              <w:t>.</w:t>
            </w:r>
            <w:r>
              <w:rPr>
                <w:rFonts w:hint="default" w:ascii="仿宋" w:eastAsia="仿宋" w:cs="仿宋"/>
                <w:color w:val="000000"/>
                <w:sz w:val="24"/>
                <w:szCs w:val="24"/>
                <w:lang w:eastAsia="zh-Hans"/>
              </w:rPr>
              <w:t>3</w:t>
            </w:r>
            <w:r>
              <w:rPr>
                <w:rFonts w:hint="eastAsia" w:ascii="仿宋" w:eastAsia="仿宋" w:cs="仿宋"/>
                <w:color w:val="000000"/>
                <w:sz w:val="24"/>
                <w:szCs w:val="24"/>
                <w:lang w:val="en-US" w:eastAsia="zh-CN"/>
              </w:rPr>
              <w:t>）</w:t>
            </w:r>
          </w:p>
        </w:tc>
      </w:tr>
      <w:tr w14:paraId="54EA9286">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14:paraId="2428105E"/>
        </w:tc>
        <w:tc>
          <w:tcPr>
            <w:tcW w:w="1328"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14:paraId="06BEE2B3">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课程目标</w:t>
            </w:r>
          </w:p>
        </w:tc>
        <w:tc>
          <w:tcPr>
            <w:tcW w:w="4530" w:type="dxa"/>
            <w:gridSpan w:val="6"/>
            <w:tcBorders>
              <w:top w:val="single" w:color="auto" w:sz="4" w:space="0"/>
              <w:left w:val="single" w:color="auto" w:sz="4" w:space="0"/>
              <w:bottom w:val="single" w:color="auto" w:sz="4" w:space="0"/>
              <w:right w:val="single" w:color="auto" w:sz="4" w:space="0"/>
            </w:tcBorders>
            <w:shd w:val="clear" w:color="auto" w:fill="FFFFFF"/>
            <w:noWrap/>
            <w:vAlign w:val="center"/>
          </w:tcPr>
          <w:p w14:paraId="7016F0DA">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毕业要求分解指标点</w:t>
            </w:r>
          </w:p>
        </w:tc>
        <w:tc>
          <w:tcPr>
            <w:tcW w:w="1914" w:type="dxa"/>
            <w:gridSpan w:val="6"/>
            <w:tcBorders>
              <w:top w:val="single" w:color="auto" w:sz="4" w:space="0"/>
              <w:left w:val="single" w:color="auto" w:sz="4" w:space="0"/>
              <w:bottom w:val="single" w:color="auto" w:sz="4" w:space="0"/>
              <w:right w:val="single" w:color="auto" w:sz="4" w:space="0"/>
            </w:tcBorders>
            <w:shd w:val="clear" w:color="auto" w:fill="FFFFFF"/>
            <w:noWrap/>
            <w:vAlign w:val="center"/>
          </w:tcPr>
          <w:p w14:paraId="644C8A40">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毕业要求</w:t>
            </w:r>
          </w:p>
        </w:tc>
      </w:tr>
      <w:tr w14:paraId="43D7CB68">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14:paraId="060D72BE"/>
        </w:tc>
        <w:tc>
          <w:tcPr>
            <w:tcW w:w="1328"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14:paraId="71BCE804">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课程目标1</w:t>
            </w:r>
          </w:p>
          <w:p w14:paraId="515F09FE">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p>
        </w:tc>
        <w:tc>
          <w:tcPr>
            <w:tcW w:w="4530" w:type="dxa"/>
            <w:gridSpan w:val="6"/>
            <w:tcBorders>
              <w:top w:val="single" w:color="auto" w:sz="4" w:space="0"/>
              <w:left w:val="single" w:color="auto" w:sz="4" w:space="0"/>
              <w:bottom w:val="single" w:color="auto" w:sz="4" w:space="0"/>
              <w:right w:val="single" w:color="auto" w:sz="4" w:space="0"/>
            </w:tcBorders>
            <w:shd w:val="clear" w:color="auto" w:fill="FFFFFF"/>
            <w:noWrap/>
            <w:vAlign w:val="center"/>
          </w:tcPr>
          <w:p w14:paraId="59B7F3E6">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TW"/>
              </w:rPr>
              <w:t>2.1【职业认同】热爱音乐教育事业，具有从教意愿，认同教师工作的价值和意义，理解教师是学生学习的促进者与学生成长的引路人。了解中学教师的职业特征，领会中学教育对学生发展的价值和意义。</w:t>
            </w:r>
          </w:p>
        </w:tc>
        <w:tc>
          <w:tcPr>
            <w:tcW w:w="1914" w:type="dxa"/>
            <w:gridSpan w:val="6"/>
            <w:tcBorders>
              <w:top w:val="single" w:color="auto" w:sz="4" w:space="0"/>
              <w:left w:val="single" w:color="auto" w:sz="4" w:space="0"/>
              <w:bottom w:val="single" w:color="auto" w:sz="4" w:space="0"/>
              <w:right w:val="single" w:color="auto" w:sz="4" w:space="0"/>
            </w:tcBorders>
            <w:shd w:val="clear" w:color="auto" w:fill="FFFFFF"/>
            <w:noWrap/>
            <w:vAlign w:val="center"/>
          </w:tcPr>
          <w:p w14:paraId="12A9C965">
            <w:pPr>
              <w:pageBreakBefore w:val="0"/>
              <w:widowControl w:val="0"/>
              <w:kinsoku/>
              <w:overflowPunct/>
              <w:topLinePunct w:val="0"/>
              <w:bidi w:val="0"/>
              <w:adjustRightInd w:val="0"/>
              <w:snapToGrid w:val="0"/>
              <w:spacing w:line="240" w:lineRule="auto"/>
              <w:jc w:val="center"/>
              <w:rPr>
                <w:rFonts w:hint="eastAsia" w:ascii="仿宋" w:eastAsia="仿宋" w:cs="仿宋"/>
                <w:bCs/>
                <w:color w:val="000000"/>
                <w:sz w:val="24"/>
                <w:szCs w:val="24"/>
                <w:lang w:val="en-US" w:eastAsia="zh-Hans"/>
              </w:rPr>
            </w:pPr>
            <w:r>
              <w:rPr>
                <w:rFonts w:hint="eastAsia" w:ascii="仿宋" w:eastAsia="仿宋" w:cs="仿宋"/>
                <w:bCs/>
                <w:color w:val="000000"/>
                <w:sz w:val="24"/>
                <w:szCs w:val="24"/>
                <w:lang w:val="en-US" w:eastAsia="zh-Hans"/>
              </w:rPr>
              <w:t>教育情怀</w:t>
            </w:r>
          </w:p>
          <w:p w14:paraId="08FA8CCA">
            <w:pPr>
              <w:pageBreakBefore w:val="0"/>
              <w:widowControl w:val="0"/>
              <w:kinsoku/>
              <w:overflowPunct/>
              <w:topLinePunct w:val="0"/>
              <w:bidi w:val="0"/>
              <w:adjustRightInd w:val="0"/>
              <w:snapToGrid w:val="0"/>
              <w:spacing w:line="240" w:lineRule="auto"/>
              <w:jc w:val="center"/>
              <w:rPr>
                <w:rFonts w:hint="default"/>
                <w:lang w:val="en-US" w:eastAsia="zh-Hans"/>
              </w:rPr>
            </w:pPr>
            <w:r>
              <w:rPr>
                <w:rFonts w:hint="default" w:ascii="仿宋" w:eastAsia="仿宋" w:cs="仿宋"/>
                <w:bCs/>
                <w:color w:val="000000"/>
                <w:sz w:val="24"/>
                <w:szCs w:val="24"/>
                <w:lang w:eastAsia="zh-Hans"/>
              </w:rPr>
              <w:t>（</w:t>
            </w:r>
            <w:r>
              <w:rPr>
                <w:rFonts w:hint="eastAsia" w:ascii="仿宋" w:eastAsia="仿宋" w:cs="仿宋"/>
                <w:bCs/>
                <w:color w:val="000000"/>
                <w:sz w:val="24"/>
                <w:szCs w:val="24"/>
                <w:lang w:val="en-US" w:eastAsia="zh-Hans"/>
              </w:rPr>
              <w:t>M）</w:t>
            </w:r>
          </w:p>
        </w:tc>
      </w:tr>
      <w:tr w14:paraId="5384A326">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14:paraId="1630D2FA"/>
        </w:tc>
        <w:tc>
          <w:tcPr>
            <w:tcW w:w="1328"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14:paraId="618F9DA7">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TW"/>
              </w:rPr>
              <w:t>课程目标</w:t>
            </w:r>
            <w:r>
              <w:rPr>
                <w:rFonts w:hint="eastAsia" w:ascii="仿宋" w:eastAsia="仿宋" w:cs="仿宋"/>
                <w:color w:val="000000"/>
                <w:sz w:val="24"/>
                <w:szCs w:val="24"/>
                <w:lang w:val="en-US" w:eastAsia="zh-CN"/>
              </w:rPr>
              <w:t>2</w:t>
            </w:r>
          </w:p>
        </w:tc>
        <w:tc>
          <w:tcPr>
            <w:tcW w:w="4530" w:type="dxa"/>
            <w:gridSpan w:val="6"/>
            <w:tcBorders>
              <w:top w:val="single" w:color="auto" w:sz="4" w:space="0"/>
              <w:left w:val="single" w:color="auto" w:sz="4" w:space="0"/>
              <w:bottom w:val="single" w:color="auto" w:sz="4" w:space="0"/>
              <w:right w:val="single" w:color="auto" w:sz="4" w:space="0"/>
            </w:tcBorders>
            <w:shd w:val="clear" w:color="auto" w:fill="FFFFFF"/>
            <w:noWrap/>
            <w:vAlign w:val="center"/>
          </w:tcPr>
          <w:p w14:paraId="20E686FA">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CN"/>
              </w:rPr>
              <w:t>3.1【专业技能】掌握音乐学科技法技能多项基本功，掌握音乐学科基础知识、基本理论、体系结构与思想方法，理解音乐学科的核心素养的内涵，形成音乐学科核心素养。</w:t>
            </w:r>
          </w:p>
          <w:p w14:paraId="108D04A6">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3.3【知识整合】具有跨学科意识，</w:t>
            </w:r>
            <w:r>
              <w:rPr>
                <w:rFonts w:hint="eastAsia" w:ascii="仿宋" w:eastAsia="仿宋" w:cs="仿宋"/>
                <w:color w:val="000000"/>
                <w:sz w:val="24"/>
                <w:szCs w:val="24"/>
                <w:lang w:val="en-US" w:eastAsia="zh-Hans"/>
              </w:rPr>
              <w:t>了解学习科学相关知识，</w:t>
            </w:r>
            <w:r>
              <w:rPr>
                <w:rFonts w:hint="eastAsia" w:ascii="仿宋" w:eastAsia="仿宋" w:cs="仿宋"/>
                <w:color w:val="000000"/>
                <w:sz w:val="24"/>
                <w:szCs w:val="24"/>
                <w:lang w:val="en-US" w:eastAsia="zh-TW"/>
              </w:rPr>
              <w:t>了解音乐学科与其他学科的联系，了解融合教育的意义和作用，形成综合性的教育教学知识体系，能整合相关学科知识，运用跨学科知识分析和解决音乐教学中的问题。</w:t>
            </w:r>
          </w:p>
        </w:tc>
        <w:tc>
          <w:tcPr>
            <w:tcW w:w="1914" w:type="dxa"/>
            <w:gridSpan w:val="6"/>
            <w:tcBorders>
              <w:top w:val="single" w:color="auto" w:sz="4" w:space="0"/>
              <w:left w:val="single" w:color="auto" w:sz="4" w:space="0"/>
              <w:bottom w:val="single" w:color="auto" w:sz="4" w:space="0"/>
              <w:right w:val="single" w:color="auto" w:sz="4" w:space="0"/>
            </w:tcBorders>
            <w:shd w:val="clear" w:color="auto" w:fill="FFFFFF"/>
            <w:noWrap/>
            <w:vAlign w:val="center"/>
          </w:tcPr>
          <w:p w14:paraId="481250F2">
            <w:pPr>
              <w:pageBreakBefore w:val="0"/>
              <w:widowControl w:val="0"/>
              <w:kinsoku/>
              <w:overflowPunct/>
              <w:topLinePunct w:val="0"/>
              <w:bidi w:val="0"/>
              <w:adjustRightInd w:val="0"/>
              <w:snapToGrid w:val="0"/>
              <w:spacing w:line="240" w:lineRule="auto"/>
              <w:jc w:val="center"/>
              <w:rPr>
                <w:rFonts w:hint="eastAsia" w:ascii="仿宋" w:eastAsia="仿宋" w:cs="仿宋"/>
                <w:bCs/>
                <w:color w:val="000000"/>
                <w:sz w:val="24"/>
                <w:szCs w:val="24"/>
              </w:rPr>
            </w:pPr>
            <w:r>
              <w:rPr>
                <w:rFonts w:hint="eastAsia" w:ascii="仿宋" w:eastAsia="仿宋" w:cs="仿宋"/>
                <w:bCs/>
                <w:color w:val="000000"/>
                <w:sz w:val="24"/>
                <w:szCs w:val="24"/>
              </w:rPr>
              <w:t>学科素养</w:t>
            </w:r>
          </w:p>
          <w:p w14:paraId="4E2D789A">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eastAsia="zh-CN"/>
              </w:rPr>
            </w:pPr>
            <w:r>
              <w:rPr>
                <w:rFonts w:hint="eastAsia" w:ascii="仿宋" w:eastAsia="仿宋" w:cs="仿宋"/>
                <w:bCs/>
                <w:color w:val="000000"/>
                <w:sz w:val="24"/>
                <w:szCs w:val="24"/>
                <w:lang w:eastAsia="zh-CN"/>
              </w:rPr>
              <w:t>（</w:t>
            </w:r>
            <w:r>
              <w:rPr>
                <w:rFonts w:hint="eastAsia" w:ascii="仿宋" w:eastAsia="仿宋" w:cs="仿宋"/>
                <w:bCs/>
                <w:color w:val="000000"/>
                <w:sz w:val="24"/>
                <w:szCs w:val="24"/>
                <w:lang w:val="en-US" w:eastAsia="zh-Hans"/>
              </w:rPr>
              <w:t>M</w:t>
            </w:r>
            <w:r>
              <w:rPr>
                <w:rFonts w:hint="eastAsia" w:ascii="仿宋" w:eastAsia="仿宋" w:cs="仿宋"/>
                <w:bCs/>
                <w:color w:val="000000"/>
                <w:sz w:val="24"/>
                <w:szCs w:val="24"/>
                <w:lang w:val="en-US" w:eastAsia="zh-CN"/>
              </w:rPr>
              <w:t>）</w:t>
            </w:r>
          </w:p>
        </w:tc>
      </w:tr>
      <w:tr w14:paraId="474368AF">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14:paraId="4CA0502D"/>
        </w:tc>
        <w:tc>
          <w:tcPr>
            <w:tcW w:w="1328"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14:paraId="529EBD0E">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TW"/>
              </w:rPr>
              <w:t>课程目标</w:t>
            </w:r>
            <w:r>
              <w:rPr>
                <w:rFonts w:hint="eastAsia" w:ascii="仿宋" w:eastAsia="仿宋" w:cs="仿宋"/>
                <w:color w:val="000000"/>
                <w:sz w:val="24"/>
                <w:szCs w:val="24"/>
                <w:lang w:val="en-US" w:eastAsia="zh-CN"/>
              </w:rPr>
              <w:t>3</w:t>
            </w:r>
          </w:p>
        </w:tc>
        <w:tc>
          <w:tcPr>
            <w:tcW w:w="4530" w:type="dxa"/>
            <w:gridSpan w:val="6"/>
            <w:tcBorders>
              <w:top w:val="single" w:color="auto" w:sz="4" w:space="0"/>
              <w:left w:val="single" w:color="auto" w:sz="4" w:space="0"/>
              <w:bottom w:val="single" w:color="auto" w:sz="4" w:space="0"/>
              <w:right w:val="single" w:color="auto" w:sz="4" w:space="0"/>
            </w:tcBorders>
            <w:shd w:val="clear" w:color="auto" w:fill="FFFFFF"/>
            <w:noWrap/>
            <w:vAlign w:val="center"/>
          </w:tcPr>
          <w:p w14:paraId="50341DE1">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ascii="仿宋" w:eastAsia="仿宋" w:cs="仿宋"/>
                <w:color w:val="000000"/>
                <w:sz w:val="24"/>
                <w:szCs w:val="24"/>
                <w:lang w:val="en-US" w:eastAsia="zh-TW"/>
              </w:rPr>
            </w:pPr>
            <w:r>
              <w:rPr>
                <w:rFonts w:hint="eastAsia" w:ascii="仿宋" w:eastAsia="仿宋" w:cs="仿宋"/>
                <w:color w:val="000000"/>
                <w:sz w:val="24"/>
                <w:szCs w:val="24"/>
                <w:lang w:val="en-US" w:eastAsia="zh-CN"/>
              </w:rPr>
              <w:t>4.1</w:t>
            </w:r>
            <w:r>
              <w:rPr>
                <w:rFonts w:ascii="仿宋" w:eastAsia="仿宋" w:cs="仿宋"/>
                <w:color w:val="000000"/>
                <w:sz w:val="24"/>
                <w:szCs w:val="24"/>
                <w:lang w:val="en-US" w:eastAsia="zh-TW"/>
              </w:rPr>
              <w:t>【教学设计与实施】熟悉中学音乐课程标准和教材，能够正确处理课标和教材的关系，科学合理地进行教学设计并实施教学，准确把握教学内容，分析学情，合理安排教学过程和环节，科学设计评价内容和方式，根据学生音乐认知的特征和个体差异，注重差异化教学。课后能够及时反思、总结形成初步的教研能力。</w:t>
            </w:r>
          </w:p>
          <w:p w14:paraId="781A6603">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TW"/>
              </w:rPr>
            </w:pPr>
            <w:r>
              <w:rPr>
                <w:rFonts w:ascii="仿宋" w:eastAsia="仿宋" w:cs="仿宋"/>
                <w:color w:val="000000"/>
                <w:sz w:val="24"/>
                <w:szCs w:val="24"/>
                <w:lang w:val="en-US" w:eastAsia="zh-CN"/>
              </w:rPr>
              <w:t>4.3</w:t>
            </w:r>
            <w:r>
              <w:rPr>
                <w:rFonts w:hint="eastAsia" w:ascii="仿宋" w:eastAsia="仿宋" w:cs="仿宋"/>
                <w:color w:val="000000"/>
                <w:sz w:val="24"/>
                <w:szCs w:val="24"/>
                <w:lang w:val="en-US" w:eastAsia="zh-CN"/>
              </w:rPr>
              <w:t>【传统文化传承】具有传承传统音乐舞蹈文化的意识，能够运用传统音乐舞蹈文化资源进行课堂教学和开展课外音乐舞蹈活动。</w:t>
            </w:r>
          </w:p>
        </w:tc>
        <w:tc>
          <w:tcPr>
            <w:tcW w:w="1914" w:type="dxa"/>
            <w:gridSpan w:val="6"/>
            <w:tcBorders>
              <w:top w:val="single" w:color="auto" w:sz="4" w:space="0"/>
              <w:left w:val="single" w:color="auto" w:sz="4" w:space="0"/>
              <w:bottom w:val="single" w:color="auto" w:sz="4" w:space="0"/>
              <w:right w:val="single" w:color="auto" w:sz="4" w:space="0"/>
            </w:tcBorders>
            <w:shd w:val="clear" w:color="auto" w:fill="FFFFFF"/>
            <w:noWrap/>
            <w:vAlign w:val="center"/>
          </w:tcPr>
          <w:p w14:paraId="17B5DAB2">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CN"/>
              </w:rPr>
              <w:t>教学能力</w:t>
            </w:r>
          </w:p>
          <w:p w14:paraId="255EB2ED">
            <w:pPr>
              <w:pageBreakBefore w:val="0"/>
              <w:widowControl w:val="0"/>
              <w:kinsoku/>
              <w:overflowPunct/>
              <w:topLinePunct w:val="0"/>
              <w:bidi w:val="0"/>
              <w:adjustRightInd w:val="0"/>
              <w:snapToGrid w:val="0"/>
              <w:spacing w:line="240" w:lineRule="auto"/>
              <w:jc w:val="center"/>
              <w:rPr>
                <w:rFonts w:ascii="仿宋" w:eastAsia="仿宋" w:cs="仿宋"/>
                <w:color w:val="000000"/>
                <w:sz w:val="24"/>
                <w:szCs w:val="24"/>
                <w:highlight w:val="yellow"/>
                <w:lang w:val="en-US" w:eastAsia="zh-CN"/>
              </w:rPr>
            </w:pPr>
            <w:r>
              <w:rPr>
                <w:rFonts w:hint="eastAsia" w:ascii="仿宋" w:eastAsia="仿宋" w:cs="仿宋"/>
                <w:color w:val="000000"/>
                <w:sz w:val="24"/>
                <w:szCs w:val="24"/>
                <w:lang w:val="en-US" w:eastAsia="zh-CN"/>
              </w:rPr>
              <w:t>（</w:t>
            </w:r>
            <w:r>
              <w:rPr>
                <w:rFonts w:ascii="仿宋" w:eastAsia="仿宋" w:cs="仿宋"/>
                <w:color w:val="000000"/>
                <w:sz w:val="24"/>
                <w:szCs w:val="24"/>
                <w:lang w:val="en-US" w:eastAsia="zh-CN"/>
              </w:rPr>
              <w:t>H</w:t>
            </w:r>
            <w:r>
              <w:rPr>
                <w:rFonts w:hint="eastAsia" w:ascii="仿宋" w:eastAsia="仿宋" w:cs="仿宋"/>
                <w:color w:val="000000"/>
                <w:sz w:val="24"/>
                <w:szCs w:val="24"/>
                <w:lang w:val="en-US" w:eastAsia="zh-CN"/>
              </w:rPr>
              <w:t>）</w:t>
            </w:r>
          </w:p>
        </w:tc>
      </w:tr>
      <w:tr w14:paraId="09B9D4BF">
        <w:trPr>
          <w:trHeight w:val="624" w:hRule="atLeast"/>
        </w:trPr>
        <w:tc>
          <w:tcPr>
            <w:tcW w:w="1376" w:type="dxa"/>
            <w:vMerge w:val="restart"/>
            <w:tcBorders>
              <w:top w:val="single" w:color="auto" w:sz="4" w:space="0"/>
              <w:left w:val="single" w:color="auto" w:sz="4" w:space="0"/>
              <w:bottom w:val="single" w:color="auto" w:sz="4" w:space="0"/>
              <w:right w:val="single" w:color="auto" w:sz="4" w:space="0"/>
            </w:tcBorders>
            <w:shd w:val="clear" w:color="auto" w:fill="FFFFFF"/>
            <w:noWrap/>
            <w:vAlign w:val="center"/>
          </w:tcPr>
          <w:p w14:paraId="0F94E334">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14:paraId="3679FBD9">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14:paraId="0CC8AF9D">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p>
          <w:p w14:paraId="66946361">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p>
          <w:p w14:paraId="7C266948">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p>
          <w:p w14:paraId="1B84DF6C">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p>
          <w:p w14:paraId="29E74895">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p>
          <w:p w14:paraId="717487F4">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F</w:t>
            </w:r>
          </w:p>
          <w:p w14:paraId="2880024A">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CN"/>
              </w:rPr>
              <w:t>实践教学</w:t>
            </w:r>
            <w:r>
              <w:rPr>
                <w:rFonts w:hint="eastAsia" w:ascii="仿宋" w:eastAsia="仿宋" w:cs="仿宋"/>
                <w:color w:val="000000"/>
                <w:sz w:val="24"/>
                <w:szCs w:val="24"/>
                <w:lang w:val="en-US" w:eastAsia="zh-TW"/>
              </w:rPr>
              <w:t>内容</w:t>
            </w:r>
          </w:p>
          <w:p w14:paraId="256ECEA9">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14:paraId="609A4A19">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14:paraId="7EF9BC88">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14:paraId="6B9E175A">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14:paraId="40F0B0F9">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14:paraId="44C7D3F7">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14:paraId="06BA0DA4">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14:paraId="2C3B8F6C">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14:paraId="35896022">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14:paraId="47CAA957">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14:paraId="6695C812">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14:paraId="5791BAF1">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14:paraId="56595A90">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14:paraId="0DAB39F4">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14:paraId="00167FF5">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14:paraId="127C9C16">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14:paraId="72A6157C">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CN"/>
              </w:rPr>
            </w:pPr>
          </w:p>
        </w:tc>
        <w:tc>
          <w:tcPr>
            <w:tcW w:w="5858" w:type="dxa"/>
            <w:gridSpan w:val="8"/>
            <w:tcBorders>
              <w:top w:val="single" w:color="auto" w:sz="4" w:space="0"/>
              <w:left w:val="single" w:color="auto" w:sz="4" w:space="0"/>
              <w:bottom w:val="single" w:color="auto" w:sz="4" w:space="0"/>
              <w:right w:val="single" w:color="auto" w:sz="4" w:space="0"/>
            </w:tcBorders>
            <w:shd w:val="clear" w:color="auto" w:fill="FFFFFF"/>
            <w:noWrap/>
            <w:vAlign w:val="center"/>
          </w:tcPr>
          <w:p w14:paraId="20DC516E">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章节学习内容与学习要求</w:t>
            </w:r>
          </w:p>
        </w:tc>
        <w:tc>
          <w:tcPr>
            <w:tcW w:w="1240"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14:paraId="0864153D">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支撑课程目标</w:t>
            </w:r>
          </w:p>
        </w:tc>
        <w:tc>
          <w:tcPr>
            <w:tcW w:w="674"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14:paraId="75955D43">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学时</w:t>
            </w:r>
          </w:p>
          <w:p w14:paraId="1E7A4E5A">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分配</w:t>
            </w:r>
          </w:p>
        </w:tc>
      </w:tr>
      <w:tr w14:paraId="7640574C">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14:paraId="32BBFFA7"/>
        </w:tc>
        <w:tc>
          <w:tcPr>
            <w:tcW w:w="5858" w:type="dxa"/>
            <w:gridSpan w:val="8"/>
            <w:tcBorders>
              <w:top w:val="single" w:color="auto" w:sz="4" w:space="0"/>
              <w:left w:val="single" w:color="auto" w:sz="4" w:space="0"/>
              <w:bottom w:val="single" w:color="auto" w:sz="4" w:space="0"/>
              <w:right w:val="single" w:color="auto" w:sz="4" w:space="0"/>
            </w:tcBorders>
            <w:shd w:val="clear" w:color="auto" w:fill="auto"/>
            <w:noWrap/>
          </w:tcPr>
          <w:p w14:paraId="585B442A">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b/>
                <w:bCs/>
                <w:color w:val="000000"/>
                <w:sz w:val="24"/>
                <w:szCs w:val="24"/>
                <w:lang w:val="en-US" w:eastAsia="zh-Hans"/>
              </w:rPr>
            </w:pPr>
            <w:r>
              <w:rPr>
                <w:rFonts w:hint="eastAsia" w:ascii="仿宋" w:eastAsia="仿宋" w:cs="仿宋"/>
                <w:b/>
                <w:bCs/>
                <w:color w:val="000000"/>
                <w:sz w:val="24"/>
                <w:szCs w:val="24"/>
                <w:lang w:val="en-US" w:eastAsia="zh-Hans"/>
              </w:rPr>
              <w:t>第一章 绪论</w:t>
            </w:r>
          </w:p>
          <w:p w14:paraId="5B3358C0">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CN"/>
              </w:rPr>
              <w:t>第一节 声乐教学法概述</w:t>
            </w:r>
          </w:p>
          <w:p w14:paraId="5E867280">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CN"/>
              </w:rPr>
              <w:t>第二节 声乐教学法的起源和发展</w:t>
            </w:r>
          </w:p>
          <w:p w14:paraId="50737ADD">
            <w:pPr>
              <w:keepNext w:val="0"/>
              <w:keepLines w:val="0"/>
              <w:pageBreakBefore w:val="0"/>
              <w:widowControl w:val="0"/>
              <w:kinsoku/>
              <w:wordWrap/>
              <w:overflowPunct/>
              <w:topLinePunct w:val="0"/>
              <w:autoSpaceDE/>
              <w:autoSpaceDN/>
              <w:bidi w:val="0"/>
              <w:adjustRightInd w:val="0"/>
              <w:snapToGrid w:val="0"/>
              <w:spacing w:line="380" w:lineRule="exact"/>
              <w:ind w:firstLine="480" w:firstLineChars="200"/>
              <w:textAlignment w:val="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知道层</w:t>
            </w:r>
            <w:r>
              <w:rPr>
                <w:rFonts w:hint="eastAsia" w:ascii="仿宋" w:eastAsia="仿宋" w:cs="仿宋"/>
                <w:color w:val="000000"/>
                <w:sz w:val="24"/>
                <w:szCs w:val="24"/>
                <w:lang w:val="en-US" w:eastAsia="zh-Hans"/>
              </w:rPr>
              <w:t>面</w:t>
            </w:r>
            <w:r>
              <w:rPr>
                <w:rFonts w:hint="eastAsia" w:ascii="仿宋" w:eastAsia="仿宋" w:cs="仿宋"/>
                <w:color w:val="000000"/>
                <w:sz w:val="24"/>
                <w:szCs w:val="24"/>
                <w:lang w:val="en-US" w:eastAsia="zh-TW"/>
              </w:rPr>
              <w:t>：声乐教学法的性质、对象、任务和目的，以及声乐教学法与声乐表演艺术之间的联系和区别。</w:t>
            </w:r>
          </w:p>
          <w:p w14:paraId="0F494160">
            <w:pPr>
              <w:keepNext w:val="0"/>
              <w:keepLines w:val="0"/>
              <w:pageBreakBefore w:val="0"/>
              <w:widowControl w:val="0"/>
              <w:kinsoku/>
              <w:wordWrap/>
              <w:overflowPunct/>
              <w:topLinePunct w:val="0"/>
              <w:autoSpaceDE/>
              <w:autoSpaceDN/>
              <w:bidi w:val="0"/>
              <w:adjustRightInd w:val="0"/>
              <w:snapToGrid w:val="0"/>
              <w:spacing w:line="380" w:lineRule="exact"/>
              <w:ind w:firstLine="480" w:firstLineChars="200"/>
              <w:textAlignment w:val="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领会层</w:t>
            </w:r>
            <w:r>
              <w:rPr>
                <w:rFonts w:hint="eastAsia" w:ascii="仿宋" w:eastAsia="仿宋" w:cs="仿宋"/>
                <w:color w:val="000000"/>
                <w:sz w:val="24"/>
                <w:szCs w:val="24"/>
                <w:lang w:val="en-US" w:eastAsia="zh-Hans"/>
              </w:rPr>
              <w:t>面</w:t>
            </w:r>
            <w:r>
              <w:rPr>
                <w:rFonts w:hint="eastAsia" w:ascii="仿宋" w:eastAsia="仿宋" w:cs="仿宋"/>
                <w:color w:val="000000"/>
                <w:sz w:val="24"/>
                <w:szCs w:val="24"/>
                <w:lang w:val="en-US" w:eastAsia="zh-TW"/>
              </w:rPr>
              <w:t>：声乐教学法在国内外的起源和发展概况，各阶段的重要声乐教学理论和代表人物的相同和不同的观点。</w:t>
            </w:r>
          </w:p>
          <w:p w14:paraId="794CAABF">
            <w:pPr>
              <w:keepNext w:val="0"/>
              <w:keepLines w:val="0"/>
              <w:pageBreakBefore w:val="0"/>
              <w:widowControl w:val="0"/>
              <w:kinsoku/>
              <w:wordWrap/>
              <w:overflowPunct/>
              <w:topLinePunct w:val="0"/>
              <w:autoSpaceDE/>
              <w:autoSpaceDN/>
              <w:bidi w:val="0"/>
              <w:adjustRightInd w:val="0"/>
              <w:snapToGrid w:val="0"/>
              <w:spacing w:line="380" w:lineRule="exact"/>
              <w:ind w:firstLine="480" w:firstLineChars="200"/>
              <w:textAlignment w:val="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应用层</w:t>
            </w:r>
            <w:r>
              <w:rPr>
                <w:rFonts w:hint="eastAsia" w:ascii="仿宋" w:eastAsia="仿宋" w:cs="仿宋"/>
                <w:color w:val="000000"/>
                <w:sz w:val="24"/>
                <w:szCs w:val="24"/>
                <w:lang w:val="en-US" w:eastAsia="zh-Hans"/>
              </w:rPr>
              <w:t>面</w:t>
            </w:r>
            <w:r>
              <w:rPr>
                <w:rFonts w:hint="eastAsia" w:ascii="仿宋" w:eastAsia="仿宋" w:cs="仿宋"/>
                <w:color w:val="000000"/>
                <w:sz w:val="24"/>
                <w:szCs w:val="24"/>
                <w:lang w:val="en-US" w:eastAsia="zh-TW"/>
              </w:rPr>
              <w:t>：归纳</w:t>
            </w:r>
            <w:r>
              <w:rPr>
                <w:rFonts w:hint="eastAsia" w:ascii="仿宋" w:eastAsia="仿宋" w:cs="仿宋"/>
                <w:color w:val="000000"/>
                <w:sz w:val="24"/>
                <w:szCs w:val="24"/>
                <w:lang w:val="en-US" w:eastAsia="zh-Hans"/>
              </w:rPr>
              <w:t>国内外不同派别的教学</w:t>
            </w:r>
            <w:r>
              <w:rPr>
                <w:rFonts w:hint="eastAsia" w:ascii="仿宋" w:eastAsia="仿宋" w:cs="仿宋"/>
                <w:color w:val="000000"/>
                <w:sz w:val="24"/>
                <w:szCs w:val="24"/>
                <w:lang w:val="en-US" w:eastAsia="zh-TW"/>
              </w:rPr>
              <w:t>风格特点。</w:t>
            </w:r>
          </w:p>
          <w:p w14:paraId="0865957C">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TW"/>
              </w:rPr>
            </w:pPr>
          </w:p>
          <w:p w14:paraId="1A6B6014">
            <w:pPr>
              <w:keepNext w:val="0"/>
              <w:keepLines w:val="0"/>
              <w:pageBreakBefore w:val="0"/>
              <w:widowControl w:val="0"/>
              <w:kinsoku/>
              <w:wordWrap/>
              <w:overflowPunct/>
              <w:topLinePunct w:val="0"/>
              <w:autoSpaceDE/>
              <w:autoSpaceDN/>
              <w:bidi w:val="0"/>
              <w:adjustRightInd w:val="0"/>
              <w:snapToGrid w:val="0"/>
              <w:spacing w:line="380" w:lineRule="exact"/>
              <w:ind w:firstLine="480" w:firstLineChars="200"/>
              <w:textAlignment w:val="auto"/>
              <w:rPr>
                <w:rFonts w:hint="default" w:ascii="仿宋" w:eastAsia="仿宋" w:cs="仿宋"/>
                <w:color w:val="000000"/>
                <w:sz w:val="24"/>
                <w:szCs w:val="24"/>
                <w:lang w:val="en-US" w:eastAsia="zh-Hans"/>
              </w:rPr>
            </w:pPr>
            <w:r>
              <w:rPr>
                <w:rFonts w:hint="eastAsia" w:ascii="仿宋" w:eastAsia="仿宋" w:cs="仿宋"/>
                <w:color w:val="000000"/>
                <w:sz w:val="24"/>
                <w:szCs w:val="24"/>
                <w:lang w:val="en-US" w:eastAsia="zh-Hans"/>
              </w:rPr>
              <w:t>思政融入</w:t>
            </w:r>
            <w:r>
              <w:rPr>
                <w:rFonts w:hint="default" w:ascii="仿宋" w:eastAsia="仿宋" w:cs="仿宋"/>
                <w:color w:val="000000"/>
                <w:sz w:val="24"/>
                <w:szCs w:val="24"/>
                <w:lang w:val="en-US" w:eastAsia="zh-Hans"/>
              </w:rPr>
              <w:t>：以</w:t>
            </w:r>
            <w:r>
              <w:rPr>
                <w:rFonts w:hint="eastAsia" w:ascii="仿宋" w:eastAsia="仿宋" w:cs="仿宋"/>
                <w:color w:val="000000"/>
                <w:sz w:val="24"/>
                <w:szCs w:val="24"/>
                <w:lang w:val="en-US" w:eastAsia="zh-Hans"/>
              </w:rPr>
              <w:t>中</w:t>
            </w:r>
            <w:r>
              <w:rPr>
                <w:rFonts w:hint="default" w:ascii="仿宋" w:eastAsia="仿宋" w:cs="仿宋"/>
                <w:color w:val="000000"/>
                <w:sz w:val="24"/>
                <w:szCs w:val="24"/>
                <w:lang w:val="en-US" w:eastAsia="zh-Hans"/>
              </w:rPr>
              <w:t>国改革开放以来</w:t>
            </w:r>
            <w:r>
              <w:rPr>
                <w:rFonts w:hint="eastAsia" w:ascii="仿宋" w:eastAsia="仿宋" w:cs="仿宋"/>
                <w:color w:val="000000"/>
                <w:sz w:val="24"/>
                <w:szCs w:val="24"/>
                <w:lang w:val="en-US" w:eastAsia="zh-Hans"/>
              </w:rPr>
              <w:t>声乐教育</w:t>
            </w:r>
            <w:r>
              <w:rPr>
                <w:rFonts w:hint="default" w:ascii="仿宋" w:eastAsia="仿宋" w:cs="仿宋"/>
                <w:color w:val="000000"/>
                <w:sz w:val="24"/>
                <w:szCs w:val="24"/>
                <w:lang w:val="en-US" w:eastAsia="zh-Hans"/>
              </w:rPr>
              <w:t>发展为主线，以</w:t>
            </w:r>
            <w:r>
              <w:rPr>
                <w:rFonts w:hint="eastAsia" w:ascii="仿宋" w:eastAsia="仿宋" w:cs="仿宋"/>
                <w:color w:val="000000"/>
                <w:sz w:val="24"/>
                <w:szCs w:val="24"/>
                <w:lang w:val="en-US" w:eastAsia="zh-Hans"/>
              </w:rPr>
              <w:t>教育家</w:t>
            </w:r>
            <w:r>
              <w:rPr>
                <w:rFonts w:hint="default" w:ascii="仿宋" w:eastAsia="仿宋" w:cs="仿宋"/>
                <w:color w:val="000000"/>
                <w:sz w:val="24"/>
                <w:szCs w:val="24"/>
                <w:lang w:eastAsia="zh-Hans"/>
              </w:rPr>
              <w:t>、</w:t>
            </w:r>
            <w:r>
              <w:rPr>
                <w:rFonts w:hint="eastAsia" w:ascii="仿宋" w:eastAsia="仿宋" w:cs="仿宋"/>
                <w:color w:val="000000"/>
                <w:sz w:val="24"/>
                <w:szCs w:val="24"/>
                <w:lang w:val="en-US" w:eastAsia="zh-Hans"/>
              </w:rPr>
              <w:t>作曲家和其</w:t>
            </w:r>
            <w:r>
              <w:rPr>
                <w:rFonts w:hint="default" w:ascii="仿宋" w:eastAsia="仿宋" w:cs="仿宋"/>
                <w:color w:val="000000"/>
                <w:sz w:val="24"/>
                <w:szCs w:val="24"/>
                <w:lang w:val="en-US" w:eastAsia="zh-Hans"/>
              </w:rPr>
              <w:t>作品为圆心向外拓展，结合特定历史时期的文化背景，解读</w:t>
            </w:r>
            <w:r>
              <w:rPr>
                <w:rFonts w:hint="eastAsia" w:ascii="仿宋" w:eastAsia="仿宋" w:cs="仿宋"/>
                <w:color w:val="000000"/>
                <w:sz w:val="24"/>
                <w:szCs w:val="24"/>
                <w:lang w:val="en-US" w:eastAsia="zh-Hans"/>
              </w:rPr>
              <w:t>教育理论</w:t>
            </w:r>
            <w:r>
              <w:rPr>
                <w:rFonts w:hint="default" w:ascii="仿宋" w:eastAsia="仿宋" w:cs="仿宋"/>
                <w:color w:val="000000"/>
                <w:sz w:val="24"/>
                <w:szCs w:val="24"/>
                <w:lang w:val="en-US" w:eastAsia="zh-Hans"/>
              </w:rPr>
              <w:t>却不局限于</w:t>
            </w:r>
            <w:r>
              <w:rPr>
                <w:rFonts w:hint="eastAsia" w:ascii="仿宋" w:eastAsia="仿宋" w:cs="仿宋"/>
                <w:color w:val="000000"/>
                <w:sz w:val="24"/>
                <w:szCs w:val="24"/>
                <w:lang w:val="en-US" w:eastAsia="zh-Hans"/>
              </w:rPr>
              <w:t>理论</w:t>
            </w:r>
            <w:r>
              <w:rPr>
                <w:rFonts w:hint="default" w:ascii="仿宋" w:eastAsia="仿宋" w:cs="仿宋"/>
                <w:color w:val="000000"/>
                <w:sz w:val="24"/>
                <w:szCs w:val="24"/>
                <w:lang w:val="en-US" w:eastAsia="zh-Hans"/>
              </w:rPr>
              <w:t>本身，让学生在学习不同时期</w:t>
            </w:r>
            <w:r>
              <w:rPr>
                <w:rFonts w:hint="eastAsia" w:ascii="仿宋" w:eastAsia="仿宋" w:cs="仿宋"/>
                <w:color w:val="000000"/>
                <w:sz w:val="24"/>
                <w:szCs w:val="24"/>
                <w:lang w:val="en-US" w:eastAsia="zh-Hans"/>
              </w:rPr>
              <w:t>声乐教学法</w:t>
            </w:r>
            <w:r>
              <w:rPr>
                <w:rFonts w:hint="default" w:ascii="仿宋" w:eastAsia="仿宋" w:cs="仿宋"/>
                <w:color w:val="000000"/>
                <w:sz w:val="24"/>
                <w:szCs w:val="24"/>
                <w:lang w:val="en-US" w:eastAsia="zh-Hans"/>
              </w:rPr>
              <w:t>的同时深刻感知其时代意义。</w:t>
            </w:r>
          </w:p>
          <w:p w14:paraId="11C02D8D">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default" w:ascii="仿宋" w:eastAsia="仿宋" w:cs="仿宋"/>
                <w:color w:val="000000"/>
                <w:sz w:val="24"/>
                <w:szCs w:val="24"/>
                <w:lang w:val="en-US" w:eastAsia="zh-TW"/>
              </w:rPr>
            </w:pPr>
          </w:p>
        </w:tc>
        <w:tc>
          <w:tcPr>
            <w:tcW w:w="1240" w:type="dxa"/>
            <w:gridSpan w:val="3"/>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2D168334">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TW"/>
              </w:rPr>
            </w:pPr>
            <w:r>
              <w:rPr>
                <w:rFonts w:hint="eastAsia" w:ascii="仿宋" w:eastAsia="仿宋" w:cs="仿宋"/>
                <w:color w:val="000000"/>
                <w:sz w:val="24"/>
                <w:szCs w:val="24"/>
                <w:lang w:val="en-US" w:eastAsia="zh-CN"/>
              </w:rPr>
              <w:t>支撑课程</w:t>
            </w:r>
            <w:r>
              <w:rPr>
                <w:rFonts w:hint="eastAsia" w:ascii="仿宋" w:eastAsia="仿宋" w:cs="仿宋"/>
                <w:color w:val="000000"/>
                <w:sz w:val="24"/>
                <w:szCs w:val="24"/>
                <w:lang w:val="en-US" w:eastAsia="zh-TW"/>
              </w:rPr>
              <w:t>目标1、2</w:t>
            </w:r>
          </w:p>
        </w:tc>
        <w:tc>
          <w:tcPr>
            <w:tcW w:w="674" w:type="dxa"/>
            <w:gridSpan w:val="3"/>
            <w:vMerge w:val="restart"/>
            <w:tcBorders>
              <w:top w:val="single" w:color="auto" w:sz="4" w:space="0"/>
              <w:left w:val="single" w:color="auto" w:sz="4" w:space="0"/>
              <w:bottom w:val="single" w:color="auto" w:sz="4" w:space="0"/>
              <w:right w:val="single" w:color="auto" w:sz="4" w:space="0"/>
            </w:tcBorders>
            <w:shd w:val="clear" w:color="auto" w:fill="FFFFFF"/>
            <w:noWrap/>
            <w:vAlign w:val="center"/>
          </w:tcPr>
          <w:p w14:paraId="5592718C">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Hans"/>
              </w:rPr>
            </w:pPr>
            <w:r>
              <w:rPr>
                <w:rFonts w:hint="default" w:ascii="仿宋" w:eastAsia="仿宋" w:cs="仿宋"/>
                <w:color w:val="000000"/>
                <w:sz w:val="24"/>
                <w:szCs w:val="24"/>
                <w:lang w:eastAsia="zh-CN"/>
              </w:rPr>
              <w:t>1</w:t>
            </w:r>
            <w:r>
              <w:rPr>
                <w:rFonts w:hint="default" w:ascii="仿宋" w:eastAsia="仿宋" w:cs="仿宋"/>
                <w:color w:val="000000"/>
                <w:sz w:val="24"/>
                <w:szCs w:val="24"/>
                <w:lang w:eastAsia="zh-Hans"/>
              </w:rPr>
              <w:t>6</w:t>
            </w:r>
          </w:p>
        </w:tc>
      </w:tr>
      <w:tr w14:paraId="43B2E208">
        <w:trPr>
          <w:trHeight w:val="0"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14:paraId="5D30FFF8"/>
        </w:tc>
        <w:tc>
          <w:tcPr>
            <w:tcW w:w="5858" w:type="dxa"/>
            <w:gridSpan w:val="8"/>
            <w:tcBorders>
              <w:top w:val="single" w:color="auto" w:sz="4" w:space="0"/>
              <w:left w:val="single" w:color="auto" w:sz="4" w:space="0"/>
              <w:bottom w:val="single" w:color="auto" w:sz="4" w:space="0"/>
              <w:right w:val="single" w:color="auto" w:sz="4" w:space="0"/>
            </w:tcBorders>
            <w:shd w:val="clear" w:color="auto" w:fill="auto"/>
            <w:noWrap/>
          </w:tcPr>
          <w:p w14:paraId="71FE8421">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default" w:ascii="仿宋" w:eastAsia="仿宋" w:cs="仿宋"/>
                <w:b/>
                <w:bCs/>
                <w:color w:val="000000"/>
                <w:sz w:val="24"/>
                <w:szCs w:val="24"/>
                <w:lang w:val="en-US" w:eastAsia="zh-Hans"/>
              </w:rPr>
            </w:pPr>
            <w:r>
              <w:rPr>
                <w:rFonts w:hint="eastAsia" w:ascii="仿宋" w:eastAsia="仿宋" w:cs="仿宋"/>
                <w:b/>
                <w:bCs/>
                <w:color w:val="000000"/>
                <w:sz w:val="24"/>
                <w:szCs w:val="24"/>
                <w:lang w:val="en-US" w:eastAsia="zh-TW"/>
              </w:rPr>
              <w:t>第二章 声乐教学的理论、原则</w:t>
            </w:r>
          </w:p>
          <w:p w14:paraId="335FD9D2">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第一节 声乐教学理论</w:t>
            </w:r>
          </w:p>
          <w:p w14:paraId="6A14A7BF">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第二节 声乐教学原则</w:t>
            </w:r>
          </w:p>
          <w:p w14:paraId="7BAB81A2">
            <w:pPr>
              <w:keepNext w:val="0"/>
              <w:keepLines w:val="0"/>
              <w:pageBreakBefore w:val="0"/>
              <w:widowControl w:val="0"/>
              <w:kinsoku/>
              <w:wordWrap/>
              <w:overflowPunct/>
              <w:topLinePunct w:val="0"/>
              <w:autoSpaceDE/>
              <w:autoSpaceDN/>
              <w:bidi w:val="0"/>
              <w:adjustRightInd w:val="0"/>
              <w:snapToGrid w:val="0"/>
              <w:spacing w:line="380" w:lineRule="exact"/>
              <w:ind w:firstLine="480" w:firstLineChars="200"/>
              <w:textAlignment w:val="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知道层</w:t>
            </w:r>
            <w:r>
              <w:rPr>
                <w:rFonts w:hint="eastAsia" w:ascii="仿宋" w:eastAsia="仿宋" w:cs="仿宋"/>
                <w:color w:val="000000"/>
                <w:sz w:val="24"/>
                <w:szCs w:val="24"/>
                <w:lang w:val="en-US" w:eastAsia="zh-Hans"/>
              </w:rPr>
              <w:t>面</w:t>
            </w:r>
            <w:r>
              <w:rPr>
                <w:rFonts w:hint="eastAsia" w:ascii="仿宋" w:eastAsia="仿宋" w:cs="仿宋"/>
                <w:color w:val="000000"/>
                <w:sz w:val="24"/>
                <w:szCs w:val="24"/>
                <w:lang w:val="en-US" w:eastAsia="zh-TW"/>
              </w:rPr>
              <w:t>：声乐教学理论</w:t>
            </w:r>
            <w:r>
              <w:rPr>
                <w:rFonts w:hint="eastAsia" w:ascii="仿宋" w:eastAsia="仿宋" w:cs="仿宋"/>
                <w:color w:val="000000"/>
                <w:sz w:val="24"/>
                <w:szCs w:val="24"/>
                <w:lang w:val="en-US" w:eastAsia="zh-Hans"/>
              </w:rPr>
              <w:t>的</w:t>
            </w:r>
            <w:r>
              <w:rPr>
                <w:rFonts w:hint="eastAsia" w:ascii="仿宋" w:eastAsia="仿宋" w:cs="仿宋"/>
                <w:color w:val="000000"/>
                <w:sz w:val="24"/>
                <w:szCs w:val="24"/>
                <w:lang w:val="en-US" w:eastAsia="zh-TW"/>
              </w:rPr>
              <w:t>含义及其重要意义</w:t>
            </w:r>
            <w:r>
              <w:rPr>
                <w:rFonts w:hint="default" w:ascii="仿宋" w:eastAsia="仿宋" w:cs="仿宋"/>
                <w:color w:val="000000"/>
                <w:sz w:val="24"/>
                <w:szCs w:val="24"/>
                <w:lang w:eastAsia="zh-TW"/>
              </w:rPr>
              <w:t>、</w:t>
            </w:r>
            <w:r>
              <w:rPr>
                <w:rFonts w:hint="eastAsia" w:ascii="仿宋" w:eastAsia="仿宋" w:cs="仿宋"/>
                <w:color w:val="000000"/>
                <w:sz w:val="24"/>
                <w:szCs w:val="24"/>
                <w:lang w:val="en-US" w:eastAsia="zh-TW"/>
              </w:rPr>
              <w:t>歌唱时“三个支点”的重要理论知识。</w:t>
            </w:r>
          </w:p>
          <w:p w14:paraId="4C25B57C">
            <w:pPr>
              <w:keepNext w:val="0"/>
              <w:keepLines w:val="0"/>
              <w:pageBreakBefore w:val="0"/>
              <w:widowControl w:val="0"/>
              <w:kinsoku/>
              <w:wordWrap/>
              <w:overflowPunct/>
              <w:topLinePunct w:val="0"/>
              <w:autoSpaceDE/>
              <w:autoSpaceDN/>
              <w:bidi w:val="0"/>
              <w:adjustRightInd w:val="0"/>
              <w:snapToGrid w:val="0"/>
              <w:spacing w:line="380" w:lineRule="exact"/>
              <w:ind w:firstLine="480" w:firstLineChars="200"/>
              <w:textAlignment w:val="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领会层</w:t>
            </w:r>
            <w:r>
              <w:rPr>
                <w:rFonts w:hint="eastAsia" w:ascii="仿宋" w:eastAsia="仿宋" w:cs="仿宋"/>
                <w:color w:val="000000"/>
                <w:sz w:val="24"/>
                <w:szCs w:val="24"/>
                <w:lang w:val="en-US" w:eastAsia="zh-Hans"/>
              </w:rPr>
              <w:t>面</w:t>
            </w:r>
            <w:r>
              <w:rPr>
                <w:rFonts w:hint="eastAsia" w:ascii="仿宋" w:eastAsia="仿宋" w:cs="仿宋"/>
                <w:color w:val="000000"/>
                <w:sz w:val="24"/>
                <w:szCs w:val="24"/>
                <w:lang w:val="en-US" w:eastAsia="zh-TW"/>
              </w:rPr>
              <w:t>：声乐教学过程中的</w:t>
            </w:r>
            <w:r>
              <w:rPr>
                <w:rFonts w:hint="eastAsia" w:ascii="仿宋" w:eastAsia="仿宋" w:cs="仿宋"/>
                <w:color w:val="000000"/>
                <w:sz w:val="24"/>
                <w:szCs w:val="24"/>
                <w:lang w:val="en-US" w:eastAsia="zh-Hans"/>
              </w:rPr>
              <w:t>六</w:t>
            </w:r>
            <w:r>
              <w:rPr>
                <w:rFonts w:hint="eastAsia" w:ascii="仿宋" w:eastAsia="仿宋" w:cs="仿宋"/>
                <w:color w:val="000000"/>
                <w:sz w:val="24"/>
                <w:szCs w:val="24"/>
                <w:lang w:val="en-US" w:eastAsia="zh-TW"/>
              </w:rPr>
              <w:t>项原则。</w:t>
            </w:r>
          </w:p>
          <w:p w14:paraId="29D208D0">
            <w:pPr>
              <w:keepNext w:val="0"/>
              <w:keepLines w:val="0"/>
              <w:pageBreakBefore w:val="0"/>
              <w:widowControl w:val="0"/>
              <w:kinsoku/>
              <w:wordWrap/>
              <w:overflowPunct/>
              <w:topLinePunct w:val="0"/>
              <w:autoSpaceDE/>
              <w:autoSpaceDN/>
              <w:bidi w:val="0"/>
              <w:adjustRightInd w:val="0"/>
              <w:snapToGrid w:val="0"/>
              <w:spacing w:line="380" w:lineRule="exact"/>
              <w:ind w:firstLine="480" w:firstLineChars="200"/>
              <w:textAlignment w:val="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应用层</w:t>
            </w:r>
            <w:r>
              <w:rPr>
                <w:rFonts w:hint="eastAsia" w:ascii="仿宋" w:eastAsia="仿宋" w:cs="仿宋"/>
                <w:color w:val="000000"/>
                <w:sz w:val="24"/>
                <w:szCs w:val="24"/>
                <w:lang w:val="en-US" w:eastAsia="zh-Hans"/>
              </w:rPr>
              <w:t>面</w:t>
            </w:r>
            <w:r>
              <w:rPr>
                <w:rFonts w:hint="eastAsia" w:ascii="仿宋" w:eastAsia="仿宋" w:cs="仿宋"/>
                <w:color w:val="000000"/>
                <w:sz w:val="24"/>
                <w:szCs w:val="24"/>
                <w:lang w:val="en-US" w:eastAsia="zh-TW"/>
              </w:rPr>
              <w:t>：</w:t>
            </w:r>
            <w:r>
              <w:rPr>
                <w:rFonts w:hint="eastAsia" w:ascii="仿宋" w:eastAsia="仿宋" w:cs="仿宋"/>
                <w:color w:val="000000"/>
                <w:sz w:val="24"/>
                <w:szCs w:val="24"/>
                <w:lang w:val="en-US" w:eastAsia="zh-Hans"/>
              </w:rPr>
              <w:t>树立传统文化价值观，归纳声乐教学观点</w:t>
            </w:r>
            <w:r>
              <w:rPr>
                <w:rFonts w:hint="eastAsia" w:ascii="仿宋" w:eastAsia="仿宋" w:cs="仿宋"/>
                <w:color w:val="000000"/>
                <w:sz w:val="24"/>
                <w:szCs w:val="24"/>
                <w:lang w:val="en-US" w:eastAsia="zh-TW"/>
              </w:rPr>
              <w:t>应用到声乐</w:t>
            </w:r>
            <w:r>
              <w:rPr>
                <w:rFonts w:hint="eastAsia" w:ascii="仿宋" w:eastAsia="仿宋" w:cs="仿宋"/>
                <w:color w:val="000000"/>
                <w:sz w:val="24"/>
                <w:szCs w:val="24"/>
                <w:lang w:val="en-US" w:eastAsia="zh-Hans"/>
              </w:rPr>
              <w:t>教学</w:t>
            </w:r>
            <w:r>
              <w:rPr>
                <w:rFonts w:hint="eastAsia" w:ascii="仿宋" w:eastAsia="仿宋" w:cs="仿宋"/>
                <w:color w:val="000000"/>
                <w:sz w:val="24"/>
                <w:szCs w:val="24"/>
                <w:lang w:val="en-US" w:eastAsia="zh-TW"/>
              </w:rPr>
              <w:t>中。</w:t>
            </w:r>
          </w:p>
        </w:tc>
        <w:tc>
          <w:tcPr>
            <w:tcW w:w="1240" w:type="dxa"/>
            <w:gridSpan w:val="3"/>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7BCB3764"/>
        </w:tc>
        <w:tc>
          <w:tcPr>
            <w:tcW w:w="674" w:type="dxa"/>
            <w:gridSpan w:val="3"/>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14:paraId="5156D4DD"/>
        </w:tc>
      </w:tr>
      <w:tr w14:paraId="1FEDA9AF">
        <w:trPr>
          <w:trHeight w:val="0" w:hRule="atLeast"/>
        </w:trPr>
        <w:tc>
          <w:tcPr>
            <w:tcW w:w="1376" w:type="dxa"/>
            <w:vMerge w:val="continue"/>
            <w:tcBorders>
              <w:left w:val="single" w:color="auto" w:sz="4" w:space="0"/>
              <w:bottom w:val="single" w:color="auto" w:sz="4" w:space="0"/>
              <w:right w:val="single" w:color="auto" w:sz="4" w:space="0"/>
            </w:tcBorders>
            <w:shd w:val="clear" w:color="auto" w:fill="FFFFFF"/>
            <w:noWrap/>
            <w:vAlign w:val="center"/>
          </w:tcPr>
          <w:p w14:paraId="65270279">
            <w:pPr>
              <w:pageBreakBefore w:val="0"/>
              <w:widowControl w:val="0"/>
              <w:kinsoku/>
              <w:overflowPunct/>
              <w:topLinePunct w:val="0"/>
              <w:bidi w:val="0"/>
              <w:adjustRightInd w:val="0"/>
              <w:snapToGrid w:val="0"/>
              <w:spacing w:line="240" w:lineRule="auto"/>
            </w:pPr>
          </w:p>
        </w:tc>
        <w:tc>
          <w:tcPr>
            <w:tcW w:w="5858" w:type="dxa"/>
            <w:gridSpan w:val="8"/>
            <w:tcBorders>
              <w:top w:val="single" w:color="auto" w:sz="4" w:space="0"/>
              <w:left w:val="single" w:color="auto" w:sz="4" w:space="0"/>
              <w:bottom w:val="single" w:color="auto" w:sz="4" w:space="0"/>
              <w:right w:val="single" w:color="auto" w:sz="4" w:space="0"/>
            </w:tcBorders>
            <w:shd w:val="clear" w:color="auto" w:fill="auto"/>
            <w:noWrap/>
          </w:tcPr>
          <w:p w14:paraId="4252E1E1">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b/>
                <w:bCs/>
                <w:color w:val="000000"/>
                <w:sz w:val="24"/>
                <w:szCs w:val="24"/>
                <w:lang w:val="en-US" w:eastAsia="zh-TW"/>
              </w:rPr>
            </w:pPr>
            <w:r>
              <w:rPr>
                <w:rFonts w:hint="eastAsia" w:ascii="仿宋" w:eastAsia="仿宋" w:cs="仿宋"/>
                <w:b/>
                <w:bCs/>
                <w:color w:val="000000"/>
                <w:sz w:val="24"/>
                <w:szCs w:val="24"/>
                <w:lang w:val="en-US" w:eastAsia="zh-Hans"/>
              </w:rPr>
              <w:t>第三章</w:t>
            </w:r>
            <w:r>
              <w:rPr>
                <w:rFonts w:hint="default" w:ascii="仿宋" w:eastAsia="仿宋" w:cs="仿宋"/>
                <w:b/>
                <w:bCs/>
                <w:color w:val="000000"/>
                <w:sz w:val="24"/>
                <w:szCs w:val="24"/>
                <w:lang w:eastAsia="zh-Hans"/>
              </w:rPr>
              <w:t xml:space="preserve"> </w:t>
            </w:r>
            <w:r>
              <w:rPr>
                <w:rFonts w:hint="eastAsia" w:ascii="仿宋" w:eastAsia="仿宋" w:cs="仿宋"/>
                <w:b/>
                <w:bCs/>
                <w:color w:val="000000"/>
                <w:sz w:val="24"/>
                <w:szCs w:val="24"/>
                <w:lang w:val="en-US" w:eastAsia="zh-TW"/>
              </w:rPr>
              <w:t>声乐教学的内容</w:t>
            </w:r>
          </w:p>
          <w:p w14:paraId="4B775A99">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第一节 声乐教学计划</w:t>
            </w:r>
          </w:p>
          <w:p w14:paraId="3F977AC7">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第</w:t>
            </w:r>
            <w:r>
              <w:rPr>
                <w:rFonts w:hint="eastAsia" w:ascii="仿宋" w:eastAsia="仿宋" w:cs="仿宋"/>
                <w:color w:val="000000"/>
                <w:sz w:val="24"/>
                <w:szCs w:val="24"/>
                <w:lang w:val="en-US" w:eastAsia="zh-Hans"/>
              </w:rPr>
              <w:t>二</w:t>
            </w:r>
            <w:r>
              <w:rPr>
                <w:rFonts w:hint="eastAsia" w:ascii="仿宋" w:eastAsia="仿宋" w:cs="仿宋"/>
                <w:color w:val="000000"/>
                <w:sz w:val="24"/>
                <w:szCs w:val="24"/>
                <w:lang w:val="en-US" w:eastAsia="zh-TW"/>
              </w:rPr>
              <w:t>节 声乐教材</w:t>
            </w:r>
          </w:p>
          <w:p w14:paraId="0D85E325">
            <w:pPr>
              <w:keepNext w:val="0"/>
              <w:keepLines w:val="0"/>
              <w:pageBreakBefore w:val="0"/>
              <w:widowControl w:val="0"/>
              <w:kinsoku/>
              <w:wordWrap/>
              <w:overflowPunct/>
              <w:topLinePunct w:val="0"/>
              <w:autoSpaceDE/>
              <w:autoSpaceDN/>
              <w:bidi w:val="0"/>
              <w:adjustRightInd w:val="0"/>
              <w:snapToGrid w:val="0"/>
              <w:spacing w:line="380" w:lineRule="exact"/>
              <w:ind w:firstLine="480" w:firstLineChars="200"/>
              <w:textAlignment w:val="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知道层</w:t>
            </w:r>
            <w:r>
              <w:rPr>
                <w:rFonts w:hint="eastAsia" w:ascii="仿宋" w:eastAsia="仿宋" w:cs="仿宋"/>
                <w:color w:val="000000"/>
                <w:sz w:val="24"/>
                <w:szCs w:val="24"/>
                <w:lang w:val="en-US" w:eastAsia="zh-Hans"/>
              </w:rPr>
              <w:t>面</w:t>
            </w:r>
            <w:r>
              <w:rPr>
                <w:rFonts w:hint="eastAsia" w:ascii="仿宋" w:eastAsia="仿宋" w:cs="仿宋"/>
                <w:color w:val="000000"/>
                <w:sz w:val="24"/>
                <w:szCs w:val="24"/>
                <w:lang w:val="en-US" w:eastAsia="zh-TW"/>
              </w:rPr>
              <w:t>：</w:t>
            </w:r>
            <w:r>
              <w:rPr>
                <w:rFonts w:hint="eastAsia" w:ascii="仿宋" w:eastAsia="仿宋" w:cs="仿宋"/>
                <w:color w:val="000000"/>
                <w:sz w:val="24"/>
                <w:szCs w:val="24"/>
                <w:lang w:val="en-US" w:eastAsia="zh-Hans"/>
              </w:rPr>
              <w:t>声乐教学</w:t>
            </w:r>
            <w:r>
              <w:rPr>
                <w:rFonts w:hint="eastAsia" w:ascii="仿宋" w:eastAsia="仿宋" w:cs="仿宋"/>
                <w:color w:val="000000"/>
                <w:sz w:val="24"/>
                <w:szCs w:val="24"/>
                <w:lang w:val="en-US" w:eastAsia="zh-TW"/>
              </w:rPr>
              <w:t>发展及其特点。</w:t>
            </w:r>
          </w:p>
          <w:p w14:paraId="39D425C7">
            <w:pPr>
              <w:keepNext w:val="0"/>
              <w:keepLines w:val="0"/>
              <w:pageBreakBefore w:val="0"/>
              <w:widowControl w:val="0"/>
              <w:kinsoku/>
              <w:wordWrap/>
              <w:overflowPunct/>
              <w:topLinePunct w:val="0"/>
              <w:autoSpaceDE/>
              <w:autoSpaceDN/>
              <w:bidi w:val="0"/>
              <w:adjustRightInd w:val="0"/>
              <w:snapToGrid w:val="0"/>
              <w:spacing w:line="380" w:lineRule="exact"/>
              <w:ind w:firstLine="480" w:firstLineChars="200"/>
              <w:textAlignment w:val="auto"/>
              <w:rPr>
                <w:rFonts w:hint="default" w:ascii="仿宋" w:eastAsia="仿宋" w:cs="仿宋"/>
                <w:color w:val="000000"/>
                <w:sz w:val="24"/>
                <w:szCs w:val="24"/>
                <w:lang w:eastAsia="zh-TW"/>
              </w:rPr>
            </w:pPr>
            <w:r>
              <w:rPr>
                <w:rFonts w:hint="eastAsia" w:ascii="仿宋" w:eastAsia="仿宋" w:cs="仿宋"/>
                <w:color w:val="000000"/>
                <w:sz w:val="24"/>
                <w:szCs w:val="24"/>
                <w:lang w:val="en-US" w:eastAsia="zh-TW"/>
              </w:rPr>
              <w:t>领会层</w:t>
            </w:r>
            <w:r>
              <w:rPr>
                <w:rFonts w:hint="eastAsia" w:ascii="仿宋" w:eastAsia="仿宋" w:cs="仿宋"/>
                <w:color w:val="000000"/>
                <w:sz w:val="24"/>
                <w:szCs w:val="24"/>
                <w:lang w:val="en-US" w:eastAsia="zh-Hans"/>
              </w:rPr>
              <w:t>面</w:t>
            </w:r>
            <w:r>
              <w:rPr>
                <w:rFonts w:hint="eastAsia" w:ascii="仿宋" w:eastAsia="仿宋" w:cs="仿宋"/>
                <w:color w:val="000000"/>
                <w:sz w:val="24"/>
                <w:szCs w:val="24"/>
                <w:lang w:val="en-US" w:eastAsia="zh-TW"/>
              </w:rPr>
              <w:t>：不同阶段学生的声乐教学计划、声乐教学大纲的制以及教材的选择</w:t>
            </w:r>
            <w:r>
              <w:rPr>
                <w:rFonts w:hint="default" w:ascii="仿宋" w:eastAsia="仿宋" w:cs="仿宋"/>
                <w:color w:val="000000"/>
                <w:sz w:val="24"/>
                <w:szCs w:val="24"/>
                <w:lang w:eastAsia="zh-TW"/>
              </w:rPr>
              <w:t>。</w:t>
            </w:r>
          </w:p>
          <w:p w14:paraId="596721B7">
            <w:pPr>
              <w:keepNext w:val="0"/>
              <w:keepLines w:val="0"/>
              <w:pageBreakBefore w:val="0"/>
              <w:widowControl w:val="0"/>
              <w:kinsoku/>
              <w:wordWrap/>
              <w:overflowPunct/>
              <w:topLinePunct w:val="0"/>
              <w:autoSpaceDE/>
              <w:autoSpaceDN/>
              <w:bidi w:val="0"/>
              <w:adjustRightInd w:val="0"/>
              <w:snapToGrid w:val="0"/>
              <w:spacing w:line="380" w:lineRule="exact"/>
              <w:ind w:firstLine="480" w:firstLineChars="200"/>
              <w:textAlignment w:val="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应用层</w:t>
            </w:r>
            <w:r>
              <w:rPr>
                <w:rFonts w:hint="eastAsia" w:ascii="仿宋" w:eastAsia="仿宋" w:cs="仿宋"/>
                <w:color w:val="000000"/>
                <w:sz w:val="24"/>
                <w:szCs w:val="24"/>
                <w:lang w:val="en-US" w:eastAsia="zh-Hans"/>
              </w:rPr>
              <w:t>面</w:t>
            </w:r>
            <w:r>
              <w:rPr>
                <w:rFonts w:hint="eastAsia" w:ascii="仿宋" w:eastAsia="仿宋" w:cs="仿宋"/>
                <w:color w:val="000000"/>
                <w:sz w:val="24"/>
                <w:szCs w:val="24"/>
                <w:lang w:val="en-US" w:eastAsia="zh-TW"/>
              </w:rPr>
              <w:t>：声乐教学过程中针对不同学生的教学原则和方法。</w:t>
            </w:r>
          </w:p>
          <w:p w14:paraId="68CD5445">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TW"/>
              </w:rPr>
            </w:pPr>
          </w:p>
          <w:p w14:paraId="5B96F401">
            <w:pPr>
              <w:keepNext w:val="0"/>
              <w:keepLines w:val="0"/>
              <w:pageBreakBefore w:val="0"/>
              <w:widowControl w:val="0"/>
              <w:kinsoku/>
              <w:wordWrap/>
              <w:overflowPunct/>
              <w:topLinePunct w:val="0"/>
              <w:autoSpaceDE/>
              <w:autoSpaceDN/>
              <w:bidi w:val="0"/>
              <w:adjustRightInd w:val="0"/>
              <w:snapToGrid w:val="0"/>
              <w:spacing w:line="380" w:lineRule="exact"/>
              <w:ind w:firstLine="480" w:firstLineChars="200"/>
              <w:textAlignment w:val="auto"/>
              <w:rPr>
                <w:rFonts w:hint="default" w:ascii="仿宋" w:eastAsia="仿宋" w:cs="仿宋"/>
                <w:color w:val="000000"/>
                <w:sz w:val="24"/>
                <w:szCs w:val="24"/>
                <w:lang w:eastAsia="zh-Hans"/>
              </w:rPr>
            </w:pPr>
            <w:r>
              <w:rPr>
                <w:rFonts w:hint="eastAsia" w:ascii="仿宋" w:eastAsia="仿宋" w:cs="仿宋"/>
                <w:color w:val="000000"/>
                <w:sz w:val="24"/>
                <w:szCs w:val="24"/>
                <w:lang w:val="en-US" w:eastAsia="zh-Hans"/>
              </w:rPr>
              <w:t>思政融入</w:t>
            </w:r>
            <w:r>
              <w:rPr>
                <w:rFonts w:hint="default" w:ascii="仿宋" w:eastAsia="仿宋" w:cs="仿宋"/>
                <w:color w:val="000000"/>
                <w:sz w:val="24"/>
                <w:szCs w:val="24"/>
                <w:lang w:eastAsia="zh-Hans"/>
              </w:rPr>
              <w:t>：借助重要时间节点和时事热点升华作品感染力，在重要的时间节点上往往烙刻着清晰的传统文化印记，传承着优秀的民族意志品质，寄托着人们美好的情感愿望，抓住这一时机，引导学生在声乐</w:t>
            </w:r>
            <w:r>
              <w:rPr>
                <w:rFonts w:hint="eastAsia" w:ascii="仿宋" w:eastAsia="仿宋" w:cs="仿宋"/>
                <w:color w:val="000000"/>
                <w:sz w:val="24"/>
                <w:szCs w:val="24"/>
                <w:lang w:val="en-US" w:eastAsia="zh-Hans"/>
              </w:rPr>
              <w:t>教学</w:t>
            </w:r>
            <w:r>
              <w:rPr>
                <w:rFonts w:hint="default" w:ascii="仿宋" w:eastAsia="仿宋" w:cs="仿宋"/>
                <w:color w:val="000000"/>
                <w:sz w:val="24"/>
                <w:szCs w:val="24"/>
                <w:lang w:eastAsia="zh-Hans"/>
              </w:rPr>
              <w:t>中演唱契合时间节点和时事热点的作品，能够起到情景交融、事半功倍的 教育效果。 比如，在七·一中国共产党的诞生纪念日前夕就可选用《不忘初心》作为教学内容，激发爱国主义情怀，提升精神境界。</w:t>
            </w:r>
          </w:p>
        </w:tc>
        <w:tc>
          <w:tcPr>
            <w:tcW w:w="1240" w:type="dxa"/>
            <w:gridSpan w:val="3"/>
            <w:vMerge w:val="continue"/>
            <w:tcBorders>
              <w:left w:val="single" w:color="auto" w:sz="4" w:space="0"/>
              <w:bottom w:val="single" w:color="auto" w:sz="4" w:space="0"/>
              <w:right w:val="single" w:color="auto" w:sz="4" w:space="0"/>
            </w:tcBorders>
            <w:shd w:val="clear" w:color="auto" w:fill="auto"/>
            <w:noWrap/>
            <w:vAlign w:val="center"/>
          </w:tcPr>
          <w:p w14:paraId="0E27E1B0">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tc>
        <w:tc>
          <w:tcPr>
            <w:tcW w:w="674" w:type="dxa"/>
            <w:gridSpan w:val="3"/>
            <w:vMerge w:val="continue"/>
            <w:tcBorders>
              <w:left w:val="single" w:color="auto" w:sz="4" w:space="0"/>
              <w:bottom w:val="single" w:color="auto" w:sz="4" w:space="0"/>
              <w:right w:val="single" w:color="auto" w:sz="4" w:space="0"/>
            </w:tcBorders>
            <w:shd w:val="clear" w:color="auto" w:fill="FFFFFF"/>
            <w:noWrap/>
            <w:vAlign w:val="center"/>
          </w:tcPr>
          <w:p w14:paraId="7860A96F">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tc>
      </w:tr>
      <w:tr w14:paraId="2BE180EF">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14:paraId="080297BF"/>
        </w:tc>
        <w:tc>
          <w:tcPr>
            <w:tcW w:w="5858" w:type="dxa"/>
            <w:gridSpan w:val="8"/>
            <w:tcBorders>
              <w:top w:val="single" w:color="auto" w:sz="4" w:space="0"/>
              <w:left w:val="single" w:color="auto" w:sz="4" w:space="0"/>
              <w:bottom w:val="single" w:color="auto" w:sz="4" w:space="0"/>
              <w:right w:val="single" w:color="auto" w:sz="4" w:space="0"/>
            </w:tcBorders>
            <w:shd w:val="clear" w:color="auto" w:fill="auto"/>
            <w:noWrap/>
          </w:tcPr>
          <w:p w14:paraId="47C0D260">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TW"/>
              </w:rPr>
            </w:pPr>
            <w:r>
              <w:rPr>
                <w:rFonts w:hint="eastAsia" w:ascii="仿宋" w:eastAsia="仿宋" w:cs="仿宋"/>
                <w:b/>
                <w:bCs/>
                <w:color w:val="000000"/>
                <w:sz w:val="24"/>
                <w:szCs w:val="24"/>
                <w:lang w:val="en-US" w:eastAsia="zh-Hans"/>
              </w:rPr>
              <w:t>第四章</w:t>
            </w:r>
            <w:r>
              <w:rPr>
                <w:rFonts w:hint="default" w:ascii="仿宋" w:eastAsia="仿宋" w:cs="仿宋"/>
                <w:b/>
                <w:bCs/>
                <w:color w:val="000000"/>
                <w:sz w:val="24"/>
                <w:szCs w:val="24"/>
                <w:lang w:eastAsia="zh-Hans"/>
              </w:rPr>
              <w:t xml:space="preserve"> </w:t>
            </w:r>
            <w:r>
              <w:rPr>
                <w:rFonts w:hint="eastAsia" w:ascii="仿宋" w:eastAsia="仿宋" w:cs="仿宋"/>
                <w:b/>
                <w:bCs/>
                <w:color w:val="000000"/>
                <w:sz w:val="24"/>
                <w:szCs w:val="24"/>
                <w:lang w:val="en-US" w:eastAsia="zh-TW"/>
              </w:rPr>
              <w:t>声乐教学的组织形式</w:t>
            </w:r>
            <w:r>
              <w:rPr>
                <w:rFonts w:hint="eastAsia" w:ascii="仿宋" w:eastAsia="仿宋" w:cs="仿宋"/>
                <w:color w:val="000000"/>
                <w:sz w:val="24"/>
                <w:szCs w:val="24"/>
                <w:lang w:val="en-US" w:eastAsia="zh-TW"/>
              </w:rPr>
              <w:t xml:space="preserve"> </w:t>
            </w:r>
          </w:p>
          <w:p w14:paraId="06F0C25F">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Hans"/>
              </w:rPr>
              <w:t>第一节</w:t>
            </w:r>
            <w:r>
              <w:rPr>
                <w:rFonts w:hint="default" w:ascii="仿宋" w:eastAsia="仿宋" w:cs="仿宋"/>
                <w:color w:val="000000"/>
                <w:sz w:val="24"/>
                <w:szCs w:val="24"/>
                <w:lang w:eastAsia="zh-Hans"/>
              </w:rPr>
              <w:t xml:space="preserve"> </w:t>
            </w:r>
            <w:r>
              <w:rPr>
                <w:rFonts w:hint="eastAsia" w:ascii="仿宋" w:eastAsia="仿宋" w:cs="仿宋"/>
                <w:color w:val="000000"/>
                <w:sz w:val="24"/>
                <w:szCs w:val="24"/>
                <w:lang w:val="en-US" w:eastAsia="zh-CN"/>
              </w:rPr>
              <w:t>声乐大课</w:t>
            </w:r>
          </w:p>
          <w:p w14:paraId="7EFED39E">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Hans"/>
              </w:rPr>
              <w:t>第二节</w:t>
            </w:r>
            <w:r>
              <w:rPr>
                <w:rFonts w:hint="default" w:ascii="仿宋" w:eastAsia="仿宋" w:cs="仿宋"/>
                <w:color w:val="000000"/>
                <w:sz w:val="24"/>
                <w:szCs w:val="24"/>
                <w:lang w:eastAsia="zh-Hans"/>
              </w:rPr>
              <w:t xml:space="preserve"> </w:t>
            </w:r>
            <w:r>
              <w:rPr>
                <w:rFonts w:hint="eastAsia" w:ascii="仿宋" w:eastAsia="仿宋" w:cs="仿宋"/>
                <w:color w:val="000000"/>
                <w:sz w:val="24"/>
                <w:szCs w:val="24"/>
                <w:lang w:val="en-US" w:eastAsia="zh-CN"/>
              </w:rPr>
              <w:t>声乐小组课</w:t>
            </w:r>
          </w:p>
          <w:p w14:paraId="2EDE638B">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CN"/>
              </w:rPr>
              <w:t>第三节 声乐个别课</w:t>
            </w:r>
          </w:p>
          <w:p w14:paraId="6B9CD8D1">
            <w:pPr>
              <w:keepNext w:val="0"/>
              <w:keepLines w:val="0"/>
              <w:pageBreakBefore w:val="0"/>
              <w:widowControl w:val="0"/>
              <w:kinsoku/>
              <w:wordWrap/>
              <w:overflowPunct/>
              <w:topLinePunct w:val="0"/>
              <w:autoSpaceDE/>
              <w:autoSpaceDN/>
              <w:bidi w:val="0"/>
              <w:adjustRightInd w:val="0"/>
              <w:snapToGrid w:val="0"/>
              <w:spacing w:line="380" w:lineRule="exact"/>
              <w:ind w:firstLine="480" w:firstLineChars="200"/>
              <w:textAlignment w:val="auto"/>
              <w:rPr>
                <w:rFonts w:hint="default" w:ascii="仿宋" w:eastAsia="仿宋" w:cs="仿宋"/>
                <w:color w:val="000000"/>
                <w:sz w:val="24"/>
                <w:szCs w:val="24"/>
                <w:lang w:val="en-US" w:eastAsia="zh-TW"/>
              </w:rPr>
            </w:pPr>
            <w:r>
              <w:rPr>
                <w:rFonts w:hint="eastAsia" w:ascii="仿宋" w:eastAsia="仿宋" w:cs="仿宋"/>
                <w:color w:val="000000"/>
                <w:sz w:val="24"/>
                <w:szCs w:val="24"/>
                <w:lang w:val="en-US" w:eastAsia="zh-TW"/>
              </w:rPr>
              <w:t>知道层</w:t>
            </w:r>
            <w:r>
              <w:rPr>
                <w:rFonts w:hint="eastAsia" w:ascii="仿宋" w:eastAsia="仿宋" w:cs="仿宋"/>
                <w:color w:val="000000"/>
                <w:sz w:val="24"/>
                <w:szCs w:val="24"/>
                <w:lang w:val="en-US" w:eastAsia="zh-Hans"/>
              </w:rPr>
              <w:t>面</w:t>
            </w:r>
            <w:r>
              <w:rPr>
                <w:rFonts w:hint="eastAsia" w:ascii="仿宋" w:eastAsia="仿宋" w:cs="仿宋"/>
                <w:color w:val="000000"/>
                <w:sz w:val="24"/>
                <w:szCs w:val="24"/>
                <w:lang w:val="en-US" w:eastAsia="zh-TW"/>
              </w:rPr>
              <w:t>：</w:t>
            </w:r>
            <w:r>
              <w:rPr>
                <w:rFonts w:hint="default" w:ascii="仿宋" w:eastAsia="仿宋" w:cs="仿宋"/>
                <w:color w:val="000000"/>
                <w:sz w:val="24"/>
                <w:szCs w:val="24"/>
                <w:lang w:val="en-US" w:eastAsia="zh-TW"/>
              </w:rPr>
              <w:t>掌握声乐教学的不同组织形式，包括大课、小组课、个别课，认识每一种形式的目的和特征。</w:t>
            </w:r>
          </w:p>
          <w:p w14:paraId="58A81474">
            <w:pPr>
              <w:keepNext w:val="0"/>
              <w:keepLines w:val="0"/>
              <w:pageBreakBefore w:val="0"/>
              <w:widowControl w:val="0"/>
              <w:kinsoku/>
              <w:wordWrap/>
              <w:overflowPunct/>
              <w:topLinePunct w:val="0"/>
              <w:autoSpaceDE/>
              <w:autoSpaceDN/>
              <w:bidi w:val="0"/>
              <w:adjustRightInd w:val="0"/>
              <w:snapToGrid w:val="0"/>
              <w:spacing w:line="380" w:lineRule="exact"/>
              <w:ind w:firstLine="480" w:firstLineChars="200"/>
              <w:textAlignment w:val="auto"/>
              <w:rPr>
                <w:rFonts w:hint="default" w:ascii="仿宋" w:eastAsia="仿宋" w:cs="仿宋"/>
                <w:color w:val="000000"/>
                <w:sz w:val="24"/>
                <w:szCs w:val="24"/>
                <w:lang w:val="en-US" w:eastAsia="zh-TW"/>
              </w:rPr>
            </w:pPr>
            <w:r>
              <w:rPr>
                <w:rFonts w:hint="eastAsia" w:ascii="仿宋" w:eastAsia="仿宋" w:cs="仿宋"/>
                <w:color w:val="000000"/>
                <w:sz w:val="24"/>
                <w:szCs w:val="24"/>
                <w:lang w:val="en-US" w:eastAsia="zh-TW"/>
              </w:rPr>
              <w:t>领会层</w:t>
            </w:r>
            <w:r>
              <w:rPr>
                <w:rFonts w:hint="eastAsia" w:ascii="仿宋" w:eastAsia="仿宋" w:cs="仿宋"/>
                <w:color w:val="000000"/>
                <w:sz w:val="24"/>
                <w:szCs w:val="24"/>
                <w:lang w:val="en-US" w:eastAsia="zh-Hans"/>
              </w:rPr>
              <w:t>面</w:t>
            </w:r>
            <w:r>
              <w:rPr>
                <w:rFonts w:hint="eastAsia" w:ascii="仿宋" w:eastAsia="仿宋" w:cs="仿宋"/>
                <w:color w:val="000000"/>
                <w:sz w:val="24"/>
                <w:szCs w:val="24"/>
                <w:lang w:val="en-US" w:eastAsia="zh-TW"/>
              </w:rPr>
              <w:t>：每种形式的优越性和不</w:t>
            </w:r>
            <w:r>
              <w:rPr>
                <w:rFonts w:hint="eastAsia" w:ascii="仿宋" w:eastAsia="仿宋" w:cs="仿宋"/>
                <w:color w:val="000000"/>
                <w:sz w:val="24"/>
                <w:szCs w:val="24"/>
                <w:lang w:val="en-US" w:eastAsia="zh-Hans"/>
              </w:rPr>
              <w:t>足。</w:t>
            </w:r>
          </w:p>
          <w:p w14:paraId="2DC77892">
            <w:pPr>
              <w:keepNext w:val="0"/>
              <w:keepLines w:val="0"/>
              <w:pageBreakBefore w:val="0"/>
              <w:widowControl w:val="0"/>
              <w:kinsoku/>
              <w:wordWrap/>
              <w:overflowPunct/>
              <w:topLinePunct w:val="0"/>
              <w:autoSpaceDE/>
              <w:autoSpaceDN/>
              <w:bidi w:val="0"/>
              <w:adjustRightInd w:val="0"/>
              <w:snapToGrid w:val="0"/>
              <w:spacing w:line="380" w:lineRule="exact"/>
              <w:ind w:firstLine="480" w:firstLineChars="200"/>
              <w:textAlignment w:val="auto"/>
              <w:rPr>
                <w:rFonts w:hint="eastAsia" w:ascii="仿宋" w:eastAsia="仿宋" w:cs="仿宋"/>
                <w:color w:val="000000"/>
                <w:sz w:val="24"/>
                <w:szCs w:val="24"/>
                <w:lang w:val="en-US" w:eastAsia="zh-Hans"/>
              </w:rPr>
            </w:pPr>
            <w:r>
              <w:rPr>
                <w:rFonts w:hint="eastAsia" w:ascii="仿宋" w:eastAsia="仿宋" w:cs="仿宋"/>
                <w:color w:val="000000"/>
                <w:sz w:val="24"/>
                <w:szCs w:val="24"/>
                <w:lang w:val="en-US" w:eastAsia="zh-TW"/>
              </w:rPr>
              <w:t>应用层</w:t>
            </w:r>
            <w:r>
              <w:rPr>
                <w:rFonts w:hint="eastAsia" w:ascii="仿宋" w:eastAsia="仿宋" w:cs="仿宋"/>
                <w:color w:val="000000"/>
                <w:sz w:val="24"/>
                <w:szCs w:val="24"/>
                <w:lang w:val="en-US" w:eastAsia="zh-Hans"/>
              </w:rPr>
              <w:t>面</w:t>
            </w:r>
            <w:r>
              <w:rPr>
                <w:rFonts w:hint="eastAsia" w:ascii="仿宋" w:eastAsia="仿宋" w:cs="仿宋"/>
                <w:color w:val="000000"/>
                <w:sz w:val="24"/>
                <w:szCs w:val="24"/>
                <w:lang w:val="en-US" w:eastAsia="zh-TW"/>
              </w:rPr>
              <w:t>：</w:t>
            </w:r>
            <w:r>
              <w:rPr>
                <w:rFonts w:hint="eastAsia" w:ascii="仿宋" w:eastAsia="仿宋" w:cs="仿宋"/>
                <w:color w:val="000000"/>
                <w:sz w:val="24"/>
                <w:szCs w:val="24"/>
                <w:lang w:val="en-US" w:eastAsia="zh-Hans"/>
              </w:rPr>
              <w:t>学会针对不同的学生采用不同的上课形式</w:t>
            </w:r>
            <w:r>
              <w:rPr>
                <w:rFonts w:hint="default" w:ascii="仿宋" w:eastAsia="仿宋" w:cs="仿宋"/>
                <w:color w:val="000000"/>
                <w:sz w:val="24"/>
                <w:szCs w:val="24"/>
                <w:lang w:eastAsia="zh-Hans"/>
              </w:rPr>
              <w:t>，</w:t>
            </w:r>
            <w:r>
              <w:rPr>
                <w:rFonts w:hint="eastAsia" w:ascii="仿宋" w:eastAsia="仿宋" w:cs="仿宋"/>
                <w:color w:val="000000"/>
                <w:sz w:val="24"/>
                <w:szCs w:val="24"/>
                <w:lang w:val="en-US" w:eastAsia="zh-Hans"/>
              </w:rPr>
              <w:t>了解艺术实践与实习课在声乐教学中的重要作用和意义。</w:t>
            </w:r>
          </w:p>
          <w:p w14:paraId="030C3D62">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TW"/>
              </w:rPr>
            </w:pPr>
          </w:p>
          <w:p w14:paraId="3B99F611">
            <w:pPr>
              <w:keepNext w:val="0"/>
              <w:keepLines w:val="0"/>
              <w:pageBreakBefore w:val="0"/>
              <w:widowControl w:val="0"/>
              <w:kinsoku/>
              <w:wordWrap/>
              <w:overflowPunct/>
              <w:topLinePunct w:val="0"/>
              <w:autoSpaceDE/>
              <w:autoSpaceDN/>
              <w:bidi w:val="0"/>
              <w:adjustRightInd w:val="0"/>
              <w:snapToGrid w:val="0"/>
              <w:spacing w:line="380" w:lineRule="exact"/>
              <w:ind w:firstLine="480" w:firstLineChars="200"/>
              <w:textAlignment w:val="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Hans"/>
              </w:rPr>
              <w:t>思政融入</w:t>
            </w:r>
            <w:r>
              <w:rPr>
                <w:rFonts w:hint="default" w:ascii="仿宋" w:eastAsia="仿宋" w:cs="仿宋"/>
                <w:color w:val="000000"/>
                <w:sz w:val="24"/>
                <w:szCs w:val="24"/>
                <w:lang w:val="en-US" w:eastAsia="zh-Hans"/>
              </w:rPr>
              <w:t>：以小课、小组课的形式，与学生近距离开展教育教学更能充分发挥</w:t>
            </w:r>
            <w:r>
              <w:rPr>
                <w:rFonts w:hint="eastAsia" w:ascii="仿宋" w:eastAsia="仿宋" w:cs="仿宋"/>
                <w:color w:val="000000"/>
                <w:sz w:val="24"/>
                <w:szCs w:val="24"/>
                <w:lang w:val="en-US" w:eastAsia="zh-Hans"/>
              </w:rPr>
              <w:t>教学法课程</w:t>
            </w:r>
            <w:r>
              <w:rPr>
                <w:rFonts w:hint="default" w:ascii="仿宋" w:eastAsia="仿宋" w:cs="仿宋"/>
                <w:color w:val="000000"/>
                <w:sz w:val="24"/>
                <w:szCs w:val="24"/>
                <w:lang w:val="en-US" w:eastAsia="zh-Hans"/>
              </w:rPr>
              <w:t>的传统优势。</w:t>
            </w:r>
            <w:r>
              <w:rPr>
                <w:rFonts w:hint="eastAsia" w:ascii="仿宋" w:eastAsia="仿宋" w:cs="仿宋"/>
                <w:color w:val="000000"/>
                <w:sz w:val="24"/>
                <w:szCs w:val="24"/>
                <w:lang w:val="en-US" w:eastAsia="zh-Hans"/>
              </w:rPr>
              <w:t>引导学生产生职业认同</w:t>
            </w:r>
            <w:r>
              <w:rPr>
                <w:rFonts w:hint="default" w:ascii="仿宋" w:eastAsia="仿宋" w:cs="仿宋"/>
                <w:color w:val="000000"/>
                <w:sz w:val="24"/>
                <w:szCs w:val="24"/>
                <w:lang w:eastAsia="zh-Hans"/>
              </w:rPr>
              <w:t>，</w:t>
            </w:r>
            <w:r>
              <w:rPr>
                <w:rFonts w:hint="default" w:ascii="仿宋" w:eastAsia="仿宋" w:cs="仿宋"/>
                <w:color w:val="000000"/>
                <w:sz w:val="24"/>
                <w:szCs w:val="24"/>
                <w:lang w:val="en-US" w:eastAsia="zh-Hans"/>
              </w:rPr>
              <w:t>在学习中接受思想教育和价值引领，能够充分调动学生的学习积极性、自主性和创造性，使声乐专业课程教学更具思想性、亲和力和针对性。</w:t>
            </w:r>
          </w:p>
        </w:tc>
        <w:tc>
          <w:tcPr>
            <w:tcW w:w="1240" w:type="dxa"/>
            <w:gridSpan w:val="3"/>
            <w:vMerge w:val="restart"/>
            <w:tcBorders>
              <w:top w:val="single" w:color="auto" w:sz="4" w:space="0"/>
              <w:left w:val="single" w:color="auto" w:sz="4" w:space="0"/>
              <w:right w:val="single" w:color="auto" w:sz="4" w:space="0"/>
            </w:tcBorders>
            <w:shd w:val="clear" w:color="auto" w:fill="auto"/>
            <w:noWrap/>
            <w:vAlign w:val="center"/>
          </w:tcPr>
          <w:p w14:paraId="3CF74071">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14:paraId="247980B5">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14:paraId="2F7B872C">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CN"/>
              </w:rPr>
              <w:t>支撑课程</w:t>
            </w:r>
            <w:r>
              <w:rPr>
                <w:rFonts w:hint="eastAsia" w:ascii="仿宋" w:eastAsia="仿宋" w:cs="仿宋"/>
                <w:color w:val="000000"/>
                <w:sz w:val="24"/>
                <w:szCs w:val="24"/>
                <w:lang w:val="en-US" w:eastAsia="zh-TW"/>
              </w:rPr>
              <w:t>目标1、2、3</w:t>
            </w:r>
          </w:p>
          <w:p w14:paraId="18F78A81">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14:paraId="176250BA">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tc>
        <w:tc>
          <w:tcPr>
            <w:tcW w:w="674" w:type="dxa"/>
            <w:gridSpan w:val="3"/>
            <w:vMerge w:val="restart"/>
            <w:tcBorders>
              <w:top w:val="single" w:color="auto" w:sz="4" w:space="0"/>
              <w:left w:val="single" w:color="auto" w:sz="4" w:space="0"/>
              <w:right w:val="single" w:color="auto" w:sz="4" w:space="0"/>
            </w:tcBorders>
            <w:shd w:val="clear" w:color="auto" w:fill="FFFFFF"/>
            <w:noWrap/>
            <w:vAlign w:val="center"/>
          </w:tcPr>
          <w:p w14:paraId="22E6C34D">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p>
          <w:p w14:paraId="565A32E4">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p>
          <w:p w14:paraId="1BA8FC98">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p>
          <w:p w14:paraId="50A89B9F">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p>
          <w:p w14:paraId="2FD77C46">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p>
          <w:p w14:paraId="1791DC49">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p>
          <w:p w14:paraId="5D264D9A">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p>
          <w:p w14:paraId="78A569B4">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p>
          <w:p w14:paraId="2EF8ECA8">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p>
          <w:p w14:paraId="6C4FDB62">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p>
          <w:p w14:paraId="575CD82E">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p>
          <w:p w14:paraId="348CA966">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r>
              <w:rPr>
                <w:rFonts w:hint="default" w:ascii="仿宋" w:eastAsia="仿宋" w:cs="仿宋"/>
                <w:color w:val="000000"/>
                <w:sz w:val="24"/>
                <w:szCs w:val="24"/>
                <w:lang w:eastAsia="zh-CN"/>
              </w:rPr>
              <w:t>16</w:t>
            </w:r>
          </w:p>
        </w:tc>
      </w:tr>
      <w:tr w14:paraId="2668CBC3">
        <w:trPr>
          <w:trHeight w:val="808"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14:paraId="34A4B125"/>
        </w:tc>
        <w:tc>
          <w:tcPr>
            <w:tcW w:w="5858" w:type="dxa"/>
            <w:gridSpan w:val="8"/>
            <w:tcBorders>
              <w:top w:val="single" w:color="auto" w:sz="4" w:space="0"/>
              <w:left w:val="single" w:color="auto" w:sz="4" w:space="0"/>
              <w:right w:val="single" w:color="auto" w:sz="4" w:space="0"/>
            </w:tcBorders>
            <w:shd w:val="clear" w:color="auto" w:fill="auto"/>
            <w:noWrap/>
          </w:tcPr>
          <w:p w14:paraId="7CBF1A5E">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b/>
                <w:bCs/>
                <w:color w:val="000000"/>
                <w:sz w:val="24"/>
                <w:szCs w:val="24"/>
                <w:lang w:val="en-US" w:eastAsia="zh-TW"/>
              </w:rPr>
            </w:pPr>
            <w:r>
              <w:rPr>
                <w:rFonts w:hint="eastAsia" w:ascii="仿宋" w:eastAsia="仿宋" w:cs="仿宋"/>
                <w:b/>
                <w:bCs/>
                <w:color w:val="000000"/>
                <w:sz w:val="24"/>
                <w:szCs w:val="24"/>
                <w:lang w:val="en-US" w:eastAsia="zh-Hans"/>
              </w:rPr>
              <w:t>第五章</w:t>
            </w:r>
            <w:r>
              <w:rPr>
                <w:rFonts w:hint="default" w:ascii="仿宋" w:eastAsia="仿宋" w:cs="仿宋"/>
                <w:b/>
                <w:bCs/>
                <w:color w:val="000000"/>
                <w:sz w:val="24"/>
                <w:szCs w:val="24"/>
                <w:lang w:eastAsia="zh-Hans"/>
              </w:rPr>
              <w:t xml:space="preserve"> </w:t>
            </w:r>
            <w:r>
              <w:rPr>
                <w:rFonts w:hint="eastAsia" w:ascii="仿宋" w:eastAsia="仿宋" w:cs="仿宋"/>
                <w:b/>
                <w:bCs/>
                <w:color w:val="000000"/>
                <w:sz w:val="24"/>
                <w:szCs w:val="24"/>
                <w:lang w:val="en-US" w:eastAsia="zh-TW"/>
              </w:rPr>
              <w:t>声乐教学的评价</w:t>
            </w:r>
          </w:p>
          <w:p w14:paraId="4DD3C2DB">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CN"/>
              </w:rPr>
            </w:pPr>
          </w:p>
          <w:p w14:paraId="5F3733CE">
            <w:pPr>
              <w:keepNext w:val="0"/>
              <w:keepLines w:val="0"/>
              <w:pageBreakBefore w:val="0"/>
              <w:widowControl w:val="0"/>
              <w:kinsoku/>
              <w:wordWrap/>
              <w:overflowPunct/>
              <w:topLinePunct w:val="0"/>
              <w:autoSpaceDE/>
              <w:autoSpaceDN/>
              <w:bidi w:val="0"/>
              <w:adjustRightInd w:val="0"/>
              <w:snapToGrid w:val="0"/>
              <w:spacing w:line="380" w:lineRule="exact"/>
              <w:ind w:firstLine="480" w:firstLineChars="200"/>
              <w:textAlignment w:val="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CN"/>
              </w:rPr>
              <w:t>知道层</w:t>
            </w:r>
            <w:r>
              <w:rPr>
                <w:rFonts w:hint="eastAsia" w:ascii="仿宋" w:eastAsia="仿宋" w:cs="仿宋"/>
                <w:color w:val="000000"/>
                <w:sz w:val="24"/>
                <w:szCs w:val="24"/>
                <w:lang w:val="en-US" w:eastAsia="zh-Hans"/>
              </w:rPr>
              <w:t>面</w:t>
            </w:r>
            <w:r>
              <w:rPr>
                <w:rFonts w:hint="eastAsia" w:ascii="仿宋" w:eastAsia="仿宋" w:cs="仿宋"/>
                <w:color w:val="000000"/>
                <w:sz w:val="24"/>
                <w:szCs w:val="24"/>
                <w:lang w:val="en-US" w:eastAsia="zh-CN"/>
              </w:rPr>
              <w:t>：</w:t>
            </w:r>
            <w:r>
              <w:rPr>
                <w:rFonts w:hint="eastAsia" w:ascii="仿宋" w:eastAsia="仿宋" w:cs="仿宋"/>
                <w:color w:val="000000"/>
                <w:sz w:val="24"/>
                <w:szCs w:val="24"/>
                <w:lang w:val="en-US" w:eastAsia="zh-TW"/>
              </w:rPr>
              <w:t>了解教学评价的功能、目的，评价的形式、办法、以及对各评价对象的评价标准。</w:t>
            </w:r>
          </w:p>
          <w:p w14:paraId="757A23AA">
            <w:pPr>
              <w:keepNext w:val="0"/>
              <w:keepLines w:val="0"/>
              <w:pageBreakBefore w:val="0"/>
              <w:widowControl w:val="0"/>
              <w:kinsoku/>
              <w:wordWrap/>
              <w:overflowPunct/>
              <w:topLinePunct w:val="0"/>
              <w:autoSpaceDE/>
              <w:autoSpaceDN/>
              <w:bidi w:val="0"/>
              <w:adjustRightInd w:val="0"/>
              <w:snapToGrid w:val="0"/>
              <w:spacing w:line="380" w:lineRule="exact"/>
              <w:ind w:firstLine="480" w:firstLineChars="200"/>
              <w:textAlignment w:val="auto"/>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CN"/>
              </w:rPr>
              <w:t>领会层</w:t>
            </w:r>
            <w:r>
              <w:rPr>
                <w:rFonts w:hint="eastAsia" w:ascii="仿宋" w:eastAsia="仿宋" w:cs="仿宋"/>
                <w:color w:val="000000"/>
                <w:sz w:val="24"/>
                <w:szCs w:val="24"/>
                <w:lang w:val="en-US" w:eastAsia="zh-Hans"/>
              </w:rPr>
              <w:t>面</w:t>
            </w:r>
            <w:r>
              <w:rPr>
                <w:rFonts w:hint="eastAsia" w:ascii="仿宋" w:eastAsia="仿宋" w:cs="仿宋"/>
                <w:color w:val="000000"/>
                <w:sz w:val="24"/>
                <w:szCs w:val="24"/>
                <w:lang w:val="en-US" w:eastAsia="zh-CN"/>
              </w:rPr>
              <w:t>：</w:t>
            </w:r>
            <w:r>
              <w:rPr>
                <w:rFonts w:hint="eastAsia" w:ascii="仿宋" w:eastAsia="仿宋" w:cs="仿宋"/>
                <w:color w:val="000000"/>
                <w:sz w:val="24"/>
                <w:szCs w:val="24"/>
                <w:lang w:val="en-US" w:eastAsia="zh-TW"/>
              </w:rPr>
              <w:t>声乐教学评价包括对声乐教师的艺术素质、教学水平、职业道德修养的评价，对学生学习质量的评价，以及对声乐课堂教学质量的评价等</w:t>
            </w:r>
            <w:r>
              <w:rPr>
                <w:rFonts w:hint="eastAsia" w:ascii="仿宋" w:eastAsia="仿宋" w:cs="仿宋"/>
                <w:color w:val="000000"/>
                <w:sz w:val="24"/>
                <w:szCs w:val="24"/>
                <w:lang w:val="en-US" w:eastAsia="zh-CN"/>
              </w:rPr>
              <w:t>。</w:t>
            </w:r>
          </w:p>
          <w:p w14:paraId="1238DA39">
            <w:pPr>
              <w:keepNext w:val="0"/>
              <w:keepLines w:val="0"/>
              <w:pageBreakBefore w:val="0"/>
              <w:widowControl w:val="0"/>
              <w:kinsoku/>
              <w:wordWrap/>
              <w:overflowPunct/>
              <w:topLinePunct w:val="0"/>
              <w:autoSpaceDE/>
              <w:autoSpaceDN/>
              <w:bidi w:val="0"/>
              <w:adjustRightInd w:val="0"/>
              <w:snapToGrid w:val="0"/>
              <w:spacing w:line="380" w:lineRule="exact"/>
              <w:ind w:firstLine="480" w:firstLineChars="200"/>
              <w:textAlignment w:val="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CN"/>
              </w:rPr>
              <w:t>应用层</w:t>
            </w:r>
            <w:r>
              <w:rPr>
                <w:rFonts w:hint="eastAsia" w:ascii="仿宋" w:eastAsia="仿宋" w:cs="仿宋"/>
                <w:color w:val="000000"/>
                <w:sz w:val="24"/>
                <w:szCs w:val="24"/>
                <w:lang w:val="en-US" w:eastAsia="zh-Hans"/>
              </w:rPr>
              <w:t>面</w:t>
            </w:r>
            <w:r>
              <w:rPr>
                <w:rFonts w:hint="eastAsia" w:ascii="仿宋" w:eastAsia="仿宋" w:cs="仿宋"/>
                <w:color w:val="000000"/>
                <w:sz w:val="24"/>
                <w:szCs w:val="24"/>
                <w:lang w:val="en-US" w:eastAsia="zh-CN"/>
              </w:rPr>
              <w:t>：</w:t>
            </w:r>
            <w:r>
              <w:rPr>
                <w:rFonts w:hint="eastAsia" w:ascii="仿宋" w:eastAsia="仿宋" w:cs="仿宋"/>
                <w:color w:val="000000"/>
                <w:sz w:val="24"/>
                <w:szCs w:val="24"/>
                <w:lang w:val="en-US" w:eastAsia="zh-Hans"/>
              </w:rPr>
              <w:t>将评价形式</w:t>
            </w:r>
            <w:r>
              <w:rPr>
                <w:rFonts w:hint="default" w:ascii="仿宋" w:eastAsia="仿宋" w:cs="仿宋"/>
                <w:color w:val="000000"/>
                <w:sz w:val="24"/>
                <w:szCs w:val="24"/>
                <w:lang w:eastAsia="zh-Hans"/>
              </w:rPr>
              <w:t>、</w:t>
            </w:r>
            <w:r>
              <w:rPr>
                <w:rFonts w:hint="eastAsia" w:ascii="仿宋" w:eastAsia="仿宋" w:cs="仿宋"/>
                <w:color w:val="000000"/>
                <w:sz w:val="24"/>
                <w:szCs w:val="24"/>
                <w:lang w:val="en-US" w:eastAsia="zh-Hans"/>
              </w:rPr>
              <w:t>办法运用与声乐教学环节中</w:t>
            </w:r>
            <w:r>
              <w:rPr>
                <w:rFonts w:hint="default" w:ascii="仿宋" w:eastAsia="仿宋" w:cs="仿宋"/>
                <w:color w:val="000000"/>
                <w:sz w:val="24"/>
                <w:szCs w:val="24"/>
                <w:lang w:eastAsia="zh-Hans"/>
              </w:rPr>
              <w:t>。</w:t>
            </w:r>
          </w:p>
          <w:p w14:paraId="485103F8">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ascii="仿宋" w:eastAsia="仿宋" w:cs="仿宋"/>
                <w:color w:val="000000"/>
                <w:sz w:val="24"/>
                <w:szCs w:val="24"/>
                <w:lang w:val="en-US" w:eastAsia="zh-TW"/>
              </w:rPr>
            </w:pPr>
          </w:p>
        </w:tc>
        <w:tc>
          <w:tcPr>
            <w:tcW w:w="1240" w:type="dxa"/>
            <w:gridSpan w:val="3"/>
            <w:vMerge w:val="continue"/>
            <w:tcBorders>
              <w:left w:val="single" w:color="auto" w:sz="4" w:space="0"/>
              <w:right w:val="single" w:color="auto" w:sz="4" w:space="0"/>
            </w:tcBorders>
            <w:shd w:val="clear" w:color="auto" w:fill="auto"/>
            <w:noWrap/>
            <w:vAlign w:val="center"/>
          </w:tcPr>
          <w:p w14:paraId="283AA92D"/>
        </w:tc>
        <w:tc>
          <w:tcPr>
            <w:tcW w:w="674" w:type="dxa"/>
            <w:gridSpan w:val="3"/>
            <w:vMerge w:val="continue"/>
            <w:tcBorders>
              <w:left w:val="single" w:color="auto" w:sz="4" w:space="0"/>
              <w:right w:val="single" w:color="auto" w:sz="4" w:space="0"/>
            </w:tcBorders>
            <w:shd w:val="clear" w:color="auto" w:fill="FFFFFF"/>
            <w:noWrap/>
            <w:vAlign w:val="center"/>
          </w:tcPr>
          <w:p w14:paraId="47AA3EEC">
            <w:pPr>
              <w:jc w:val="center"/>
            </w:pPr>
          </w:p>
        </w:tc>
      </w:tr>
      <w:tr w14:paraId="7BCF7E4B">
        <w:trPr>
          <w:trHeight w:val="918"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14:paraId="635A9E7F">
            <w:pPr>
              <w:pStyle w:val="129"/>
            </w:pPr>
          </w:p>
        </w:tc>
        <w:tc>
          <w:tcPr>
            <w:tcW w:w="5858" w:type="dxa"/>
            <w:gridSpan w:val="8"/>
            <w:tcBorders>
              <w:top w:val="single" w:color="auto" w:sz="4" w:space="0"/>
              <w:left w:val="single" w:color="auto" w:sz="4" w:space="0"/>
              <w:right w:val="single" w:color="auto" w:sz="4" w:space="0"/>
            </w:tcBorders>
            <w:shd w:val="clear" w:color="auto" w:fill="auto"/>
            <w:noWrap/>
          </w:tcPr>
          <w:p w14:paraId="4B080BFF">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b/>
                <w:bCs/>
                <w:color w:val="000000"/>
                <w:sz w:val="24"/>
                <w:szCs w:val="24"/>
                <w:lang w:val="en-US" w:eastAsia="zh-TW"/>
              </w:rPr>
            </w:pPr>
            <w:r>
              <w:rPr>
                <w:rFonts w:hint="eastAsia" w:ascii="仿宋" w:eastAsia="仿宋" w:cs="仿宋"/>
                <w:b/>
                <w:bCs/>
                <w:color w:val="000000"/>
                <w:sz w:val="24"/>
                <w:szCs w:val="24"/>
                <w:lang w:val="en-US" w:eastAsia="zh-Hans"/>
              </w:rPr>
              <w:t>第六章</w:t>
            </w:r>
            <w:r>
              <w:rPr>
                <w:rFonts w:hint="default" w:ascii="仿宋" w:eastAsia="仿宋" w:cs="仿宋"/>
                <w:b/>
                <w:bCs/>
                <w:color w:val="000000"/>
                <w:sz w:val="24"/>
                <w:szCs w:val="24"/>
                <w:lang w:eastAsia="zh-Hans"/>
              </w:rPr>
              <w:t xml:space="preserve"> </w:t>
            </w:r>
            <w:r>
              <w:rPr>
                <w:rFonts w:hint="eastAsia" w:ascii="仿宋" w:eastAsia="仿宋" w:cs="仿宋"/>
                <w:b/>
                <w:bCs/>
                <w:color w:val="000000"/>
                <w:sz w:val="24"/>
                <w:szCs w:val="24"/>
                <w:lang w:val="en-US" w:eastAsia="zh-TW"/>
              </w:rPr>
              <w:t>声乐教学应注意的问题</w:t>
            </w:r>
          </w:p>
          <w:p w14:paraId="1207628C">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第一节 声音观念问题</w:t>
            </w:r>
          </w:p>
          <w:p w14:paraId="16559426">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第二节 声部和唱法的界定问题</w:t>
            </w:r>
          </w:p>
          <w:p w14:paraId="24E2B702">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第三节 音准问题</w:t>
            </w:r>
          </w:p>
          <w:p w14:paraId="2D506125">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第四节 吐字、归韵问题</w:t>
            </w:r>
          </w:p>
          <w:p w14:paraId="51D61FAA">
            <w:pPr>
              <w:keepNext w:val="0"/>
              <w:keepLines w:val="0"/>
              <w:pageBreakBefore w:val="0"/>
              <w:widowControl w:val="0"/>
              <w:kinsoku/>
              <w:wordWrap/>
              <w:overflowPunct/>
              <w:topLinePunct w:val="0"/>
              <w:autoSpaceDE/>
              <w:autoSpaceDN/>
              <w:bidi w:val="0"/>
              <w:adjustRightInd w:val="0"/>
              <w:snapToGrid w:val="0"/>
              <w:spacing w:line="380" w:lineRule="exact"/>
              <w:ind w:firstLine="480" w:firstLineChars="200"/>
              <w:textAlignment w:val="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Hans"/>
              </w:rPr>
              <w:t>知道层面</w:t>
            </w:r>
            <w:r>
              <w:rPr>
                <w:rFonts w:hint="eastAsia" w:ascii="仿宋" w:eastAsia="仿宋" w:cs="仿宋"/>
                <w:color w:val="000000"/>
                <w:sz w:val="24"/>
                <w:szCs w:val="24"/>
                <w:lang w:val="en-US" w:eastAsia="zh-CN"/>
              </w:rPr>
              <w:t>：</w:t>
            </w:r>
            <w:r>
              <w:rPr>
                <w:rFonts w:hint="eastAsia" w:ascii="仿宋" w:eastAsia="仿宋" w:cs="仿宋"/>
                <w:color w:val="000000"/>
                <w:sz w:val="24"/>
                <w:szCs w:val="24"/>
                <w:lang w:val="en-US" w:eastAsia="zh-TW"/>
              </w:rPr>
              <w:t>了解声乐教学中常见的问题，如正确的声音观念、声部和唱法的界定、音准的影响因素、吐字归韵的正确方法、不同阶段的曲目选择，以及如何解决高喉器、音色、音域的问题等。</w:t>
            </w:r>
          </w:p>
          <w:p w14:paraId="4165E2BA">
            <w:pPr>
              <w:keepNext w:val="0"/>
              <w:keepLines w:val="0"/>
              <w:pageBreakBefore w:val="0"/>
              <w:widowControl w:val="0"/>
              <w:kinsoku/>
              <w:wordWrap/>
              <w:overflowPunct/>
              <w:topLinePunct w:val="0"/>
              <w:autoSpaceDE/>
              <w:autoSpaceDN/>
              <w:bidi w:val="0"/>
              <w:adjustRightInd w:val="0"/>
              <w:snapToGrid w:val="0"/>
              <w:spacing w:line="380" w:lineRule="exact"/>
              <w:ind w:firstLine="480" w:firstLineChars="200"/>
              <w:textAlignment w:val="auto"/>
              <w:rPr>
                <w:rFonts w:hint="default" w:ascii="仿宋" w:eastAsia="仿宋" w:cs="仿宋"/>
                <w:color w:val="000000"/>
                <w:sz w:val="24"/>
                <w:szCs w:val="24"/>
                <w:lang w:eastAsia="zh-Hans"/>
              </w:rPr>
            </w:pPr>
            <w:r>
              <w:rPr>
                <w:rFonts w:hint="eastAsia" w:ascii="仿宋" w:eastAsia="仿宋" w:cs="仿宋"/>
                <w:color w:val="000000"/>
                <w:sz w:val="24"/>
                <w:szCs w:val="24"/>
                <w:lang w:val="en-US" w:eastAsia="zh-Hans"/>
              </w:rPr>
              <w:t>领会层面</w:t>
            </w:r>
            <w:r>
              <w:rPr>
                <w:rFonts w:hint="default" w:ascii="仿宋" w:eastAsia="仿宋" w:cs="仿宋"/>
                <w:color w:val="000000"/>
                <w:sz w:val="24"/>
                <w:szCs w:val="24"/>
                <w:lang w:eastAsia="zh-Hans"/>
              </w:rPr>
              <w:t>：</w:t>
            </w:r>
            <w:r>
              <w:rPr>
                <w:rFonts w:hint="eastAsia" w:ascii="仿宋" w:eastAsia="仿宋" w:cs="仿宋"/>
                <w:color w:val="000000"/>
                <w:sz w:val="24"/>
                <w:szCs w:val="24"/>
                <w:lang w:val="en-US" w:eastAsia="zh-Hans"/>
              </w:rPr>
              <w:t>教学问题</w:t>
            </w:r>
            <w:r>
              <w:rPr>
                <w:rFonts w:hint="eastAsia" w:ascii="仿宋" w:eastAsia="仿宋" w:cs="仿宋"/>
                <w:color w:val="000000"/>
                <w:sz w:val="24"/>
                <w:szCs w:val="24"/>
                <w:lang w:val="en-US" w:eastAsia="zh-TW"/>
              </w:rPr>
              <w:t>产生的原因及相对应的特征</w:t>
            </w:r>
            <w:r>
              <w:rPr>
                <w:rFonts w:hint="default" w:ascii="仿宋" w:eastAsia="仿宋" w:cs="仿宋"/>
                <w:color w:val="000000"/>
                <w:sz w:val="24"/>
                <w:szCs w:val="24"/>
                <w:lang w:eastAsia="zh-TW"/>
              </w:rPr>
              <w:t>。</w:t>
            </w:r>
          </w:p>
          <w:p w14:paraId="560EFADD">
            <w:pPr>
              <w:keepNext w:val="0"/>
              <w:keepLines w:val="0"/>
              <w:pageBreakBefore w:val="0"/>
              <w:widowControl w:val="0"/>
              <w:kinsoku/>
              <w:wordWrap/>
              <w:overflowPunct/>
              <w:topLinePunct w:val="0"/>
              <w:autoSpaceDE/>
              <w:autoSpaceDN/>
              <w:bidi w:val="0"/>
              <w:adjustRightInd w:val="0"/>
              <w:snapToGrid w:val="0"/>
              <w:spacing w:line="380" w:lineRule="exact"/>
              <w:ind w:firstLine="480" w:firstLineChars="200"/>
              <w:textAlignment w:val="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CN"/>
              </w:rPr>
              <w:t>应用层</w:t>
            </w:r>
            <w:r>
              <w:rPr>
                <w:rFonts w:hint="eastAsia" w:ascii="仿宋" w:eastAsia="仿宋" w:cs="仿宋"/>
                <w:color w:val="000000"/>
                <w:sz w:val="24"/>
                <w:szCs w:val="24"/>
                <w:lang w:val="en-US" w:eastAsia="zh-Hans"/>
              </w:rPr>
              <w:t>面</w:t>
            </w:r>
            <w:r>
              <w:rPr>
                <w:rFonts w:hint="default" w:ascii="仿宋" w:eastAsia="仿宋" w:cs="仿宋"/>
                <w:color w:val="000000"/>
                <w:sz w:val="24"/>
                <w:szCs w:val="24"/>
                <w:lang w:eastAsia="zh-CN"/>
              </w:rPr>
              <w:t>：</w:t>
            </w:r>
            <w:r>
              <w:rPr>
                <w:rFonts w:hint="eastAsia" w:ascii="仿宋" w:eastAsia="仿宋" w:cs="仿宋"/>
                <w:color w:val="000000"/>
                <w:sz w:val="24"/>
                <w:szCs w:val="24"/>
                <w:lang w:val="en-US" w:eastAsia="zh-TW"/>
              </w:rPr>
              <w:t>使用具体的办法来解决声乐教学实践中</w:t>
            </w:r>
            <w:r>
              <w:rPr>
                <w:rFonts w:hint="eastAsia" w:ascii="仿宋" w:eastAsia="仿宋" w:cs="仿宋"/>
                <w:color w:val="000000"/>
                <w:sz w:val="24"/>
                <w:szCs w:val="24"/>
                <w:lang w:val="en-US" w:eastAsia="zh-Hans"/>
              </w:rPr>
              <w:t>的</w:t>
            </w:r>
            <w:r>
              <w:rPr>
                <w:rFonts w:hint="eastAsia" w:ascii="仿宋" w:eastAsia="仿宋" w:cs="仿宋"/>
                <w:color w:val="000000"/>
                <w:sz w:val="24"/>
                <w:szCs w:val="24"/>
                <w:lang w:val="en-US" w:eastAsia="zh-TW"/>
              </w:rPr>
              <w:t>常见问题。</w:t>
            </w:r>
          </w:p>
          <w:p w14:paraId="1175467E">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default" w:ascii="仿宋" w:eastAsia="仿宋" w:cs="仿宋"/>
                <w:color w:val="000000"/>
                <w:sz w:val="24"/>
                <w:szCs w:val="24"/>
                <w:lang w:eastAsia="zh-TW"/>
              </w:rPr>
            </w:pPr>
          </w:p>
          <w:p w14:paraId="717C6B78">
            <w:pPr>
              <w:keepNext w:val="0"/>
              <w:keepLines w:val="0"/>
              <w:pageBreakBefore w:val="0"/>
              <w:widowControl w:val="0"/>
              <w:kinsoku/>
              <w:wordWrap/>
              <w:overflowPunct/>
              <w:topLinePunct w:val="0"/>
              <w:autoSpaceDE/>
              <w:autoSpaceDN/>
              <w:bidi w:val="0"/>
              <w:adjustRightInd w:val="0"/>
              <w:snapToGrid w:val="0"/>
              <w:spacing w:line="380" w:lineRule="exact"/>
              <w:ind w:firstLine="480" w:firstLineChars="200"/>
              <w:textAlignment w:val="auto"/>
              <w:rPr>
                <w:rFonts w:hint="default" w:ascii="仿宋" w:eastAsia="仿宋" w:cs="仿宋"/>
                <w:color w:val="000000"/>
                <w:sz w:val="24"/>
                <w:szCs w:val="24"/>
                <w:lang w:eastAsia="zh-TW"/>
              </w:rPr>
            </w:pPr>
            <w:r>
              <w:rPr>
                <w:rFonts w:hint="eastAsia" w:ascii="仿宋" w:eastAsia="仿宋" w:cs="仿宋"/>
                <w:color w:val="000000"/>
                <w:sz w:val="24"/>
                <w:szCs w:val="24"/>
                <w:lang w:val="en-US" w:eastAsia="zh-Hans"/>
              </w:rPr>
              <w:t>思政融入</w:t>
            </w:r>
            <w:r>
              <w:rPr>
                <w:rFonts w:hint="default" w:ascii="仿宋" w:eastAsia="仿宋" w:cs="仿宋"/>
                <w:color w:val="000000"/>
                <w:sz w:val="24"/>
                <w:szCs w:val="24"/>
                <w:lang w:val="en-US" w:eastAsia="zh-Hans"/>
              </w:rPr>
              <w:t>：选择具有思想性、情感性、文化性的声乐作品作为示范，</w:t>
            </w:r>
            <w:r>
              <w:rPr>
                <w:rFonts w:hint="eastAsia" w:ascii="仿宋" w:eastAsia="仿宋" w:cs="仿宋"/>
                <w:color w:val="000000"/>
                <w:sz w:val="24"/>
                <w:szCs w:val="24"/>
                <w:lang w:val="en-US" w:eastAsia="zh-Hans"/>
              </w:rPr>
              <w:t>通过</w:t>
            </w:r>
            <w:r>
              <w:rPr>
                <w:rFonts w:hint="default" w:ascii="仿宋" w:eastAsia="仿宋" w:cs="仿宋"/>
                <w:color w:val="000000"/>
                <w:sz w:val="24"/>
                <w:szCs w:val="24"/>
                <w:lang w:val="en-US" w:eastAsia="zh-Hans"/>
              </w:rPr>
              <w:t>了解音乐作品的背景、文化内涵、情感表达和社会意义，引导学生对历史事件、社会现象等进行反思和探讨，从而提升学生的审美能力和实现思想政治教育的目的。 例如，经典歌曲《我和我的祖国》 《十送红军》《天边有颗闪亮的星》等具有浓郁的爱国主义情感和思想内涵，可通过</w:t>
            </w:r>
            <w:r>
              <w:rPr>
                <w:rFonts w:hint="eastAsia" w:ascii="仿宋" w:eastAsia="仿宋" w:cs="仿宋"/>
                <w:color w:val="000000"/>
                <w:sz w:val="24"/>
                <w:szCs w:val="24"/>
                <w:lang w:val="en-US" w:eastAsia="zh-Hans"/>
              </w:rPr>
              <w:t>演唱</w:t>
            </w:r>
            <w:r>
              <w:rPr>
                <w:rFonts w:hint="default" w:ascii="仿宋" w:eastAsia="仿宋" w:cs="仿宋"/>
                <w:color w:val="000000"/>
                <w:sz w:val="24"/>
                <w:szCs w:val="24"/>
                <w:lang w:eastAsia="zh-Hans"/>
              </w:rPr>
              <w:t>、</w:t>
            </w:r>
            <w:r>
              <w:rPr>
                <w:rFonts w:hint="eastAsia" w:ascii="仿宋" w:eastAsia="仿宋" w:cs="仿宋"/>
                <w:color w:val="000000"/>
                <w:sz w:val="24"/>
                <w:szCs w:val="24"/>
                <w:lang w:val="en-US" w:eastAsia="zh-Hans"/>
              </w:rPr>
              <w:t>试讲</w:t>
            </w:r>
            <w:r>
              <w:rPr>
                <w:rFonts w:hint="default" w:ascii="仿宋" w:eastAsia="仿宋" w:cs="仿宋"/>
                <w:color w:val="000000"/>
                <w:sz w:val="24"/>
                <w:szCs w:val="24"/>
                <w:lang w:val="en-US" w:eastAsia="zh-Hans"/>
              </w:rPr>
              <w:t>等方式，引导学生</w:t>
            </w:r>
            <w:r>
              <w:rPr>
                <w:rFonts w:hint="eastAsia" w:ascii="仿宋" w:eastAsia="仿宋" w:cs="仿宋"/>
                <w:color w:val="000000"/>
                <w:sz w:val="24"/>
                <w:szCs w:val="24"/>
                <w:lang w:val="en-US" w:eastAsia="zh-Hans"/>
              </w:rPr>
              <w:t>读懂歌曲创作背后的时代特色</w:t>
            </w:r>
            <w:r>
              <w:rPr>
                <w:rFonts w:hint="default" w:ascii="仿宋" w:eastAsia="仿宋" w:cs="仿宋"/>
                <w:color w:val="000000"/>
                <w:sz w:val="24"/>
                <w:szCs w:val="24"/>
                <w:lang w:val="en-US" w:eastAsia="zh-Hans"/>
              </w:rPr>
              <w:t>，培养爱国主义情感和精神。</w:t>
            </w:r>
          </w:p>
        </w:tc>
        <w:tc>
          <w:tcPr>
            <w:tcW w:w="1240" w:type="dxa"/>
            <w:gridSpan w:val="3"/>
            <w:vMerge w:val="continue"/>
            <w:tcBorders>
              <w:left w:val="single" w:color="auto" w:sz="4" w:space="0"/>
              <w:right w:val="single" w:color="auto" w:sz="4" w:space="0"/>
            </w:tcBorders>
            <w:shd w:val="clear" w:color="auto" w:fill="auto"/>
            <w:noWrap/>
            <w:vAlign w:val="center"/>
          </w:tcPr>
          <w:p w14:paraId="187BE415">
            <w:pPr>
              <w:pStyle w:val="129"/>
              <w:rPr>
                <w:rFonts w:ascii="仿宋" w:eastAsia="仿宋" w:cs="仿宋"/>
                <w:color w:val="000000"/>
                <w:sz w:val="24"/>
                <w:szCs w:val="24"/>
                <w:lang w:val="en-US" w:eastAsia="zh-TW"/>
              </w:rPr>
            </w:pPr>
          </w:p>
        </w:tc>
        <w:tc>
          <w:tcPr>
            <w:tcW w:w="674" w:type="dxa"/>
            <w:gridSpan w:val="3"/>
            <w:vMerge w:val="continue"/>
            <w:tcBorders>
              <w:left w:val="single" w:color="auto" w:sz="4" w:space="0"/>
              <w:right w:val="single" w:color="auto" w:sz="4" w:space="0"/>
            </w:tcBorders>
            <w:shd w:val="clear" w:color="auto" w:fill="FFFFFF"/>
            <w:noWrap/>
            <w:vAlign w:val="center"/>
          </w:tcPr>
          <w:p w14:paraId="3F76AF30">
            <w:pPr>
              <w:pStyle w:val="129"/>
              <w:rPr>
                <w:rFonts w:ascii="仿宋" w:eastAsia="仿宋" w:cs="仿宋"/>
                <w:color w:val="000000"/>
                <w:sz w:val="24"/>
                <w:szCs w:val="24"/>
                <w:lang w:val="en-US" w:eastAsia="zh-TW"/>
              </w:rPr>
            </w:pPr>
          </w:p>
        </w:tc>
      </w:tr>
      <w:tr w14:paraId="6ED2EEA5">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14:paraId="75BA3E46"/>
        </w:tc>
        <w:tc>
          <w:tcPr>
            <w:tcW w:w="7098" w:type="dxa"/>
            <w:gridSpan w:val="11"/>
            <w:tcBorders>
              <w:top w:val="single" w:color="auto" w:sz="4" w:space="0"/>
              <w:left w:val="single" w:color="auto" w:sz="4" w:space="0"/>
              <w:bottom w:val="single" w:color="auto" w:sz="4" w:space="0"/>
              <w:right w:val="single" w:color="auto" w:sz="4" w:space="0"/>
            </w:tcBorders>
            <w:shd w:val="clear" w:color="auto" w:fill="auto"/>
            <w:noWrap/>
            <w:vAlign w:val="center"/>
          </w:tcPr>
          <w:p w14:paraId="1ED3AA75">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合计</w:t>
            </w:r>
          </w:p>
        </w:tc>
        <w:tc>
          <w:tcPr>
            <w:tcW w:w="674"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14:paraId="73FD24CF">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r>
              <w:rPr>
                <w:rFonts w:hint="default" w:ascii="仿宋" w:eastAsia="仿宋" w:cs="仿宋"/>
                <w:color w:val="000000"/>
                <w:sz w:val="24"/>
                <w:szCs w:val="24"/>
                <w:lang w:eastAsia="zh-CN"/>
              </w:rPr>
              <w:t>32</w:t>
            </w:r>
          </w:p>
        </w:tc>
      </w:tr>
      <w:tr w14:paraId="2280D6BD">
        <w:trPr>
          <w:trHeight w:val="624" w:hRule="atLeast"/>
        </w:trPr>
        <w:tc>
          <w:tcPr>
            <w:tcW w:w="1376" w:type="dxa"/>
            <w:vMerge w:val="restart"/>
            <w:tcBorders>
              <w:top w:val="single" w:color="auto" w:sz="4" w:space="0"/>
              <w:left w:val="single" w:color="auto" w:sz="4" w:space="0"/>
              <w:bottom w:val="single" w:color="auto" w:sz="4" w:space="0"/>
              <w:right w:val="single" w:color="auto" w:sz="4" w:space="0"/>
            </w:tcBorders>
            <w:shd w:val="clear" w:color="auto" w:fill="FFFFFF"/>
            <w:noWrap/>
            <w:vAlign w:val="center"/>
          </w:tcPr>
          <w:p w14:paraId="051E10D2">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G</w:t>
            </w:r>
          </w:p>
          <w:p w14:paraId="60A98C98">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CN"/>
              </w:rPr>
              <w:t>技能（实训）</w:t>
            </w:r>
            <w:r>
              <w:rPr>
                <w:rFonts w:hint="eastAsia" w:ascii="仿宋" w:eastAsia="仿宋" w:cs="仿宋"/>
                <w:color w:val="000000"/>
                <w:sz w:val="24"/>
                <w:szCs w:val="24"/>
                <w:lang w:val="en-US" w:eastAsia="zh-TW"/>
              </w:rPr>
              <w:t>内容</w:t>
            </w:r>
          </w:p>
        </w:tc>
        <w:tc>
          <w:tcPr>
            <w:tcW w:w="5858" w:type="dxa"/>
            <w:gridSpan w:val="8"/>
            <w:tcBorders>
              <w:top w:val="single" w:color="auto" w:sz="4" w:space="0"/>
              <w:left w:val="single" w:color="auto" w:sz="4" w:space="0"/>
              <w:bottom w:val="single" w:color="auto" w:sz="4" w:space="0"/>
              <w:right w:val="single" w:color="auto" w:sz="4" w:space="0"/>
            </w:tcBorders>
            <w:noWrap/>
            <w:vAlign w:val="center"/>
          </w:tcPr>
          <w:p w14:paraId="062499E3">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CN"/>
              </w:rPr>
              <w:t>实训目的及任务</w:t>
            </w:r>
          </w:p>
        </w:tc>
        <w:tc>
          <w:tcPr>
            <w:tcW w:w="1240" w:type="dxa"/>
            <w:gridSpan w:val="3"/>
            <w:tcBorders>
              <w:top w:val="single" w:color="auto" w:sz="4" w:space="0"/>
              <w:left w:val="single" w:color="auto" w:sz="4" w:space="0"/>
              <w:bottom w:val="single" w:color="auto" w:sz="4" w:space="0"/>
              <w:right w:val="single" w:color="auto" w:sz="4" w:space="0"/>
            </w:tcBorders>
            <w:noWrap/>
            <w:vAlign w:val="center"/>
          </w:tcPr>
          <w:p w14:paraId="497923B4">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支撑课程</w:t>
            </w:r>
          </w:p>
          <w:p w14:paraId="24CF6365">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目标</w:t>
            </w:r>
          </w:p>
        </w:tc>
        <w:tc>
          <w:tcPr>
            <w:tcW w:w="674" w:type="dxa"/>
            <w:gridSpan w:val="3"/>
            <w:tcBorders>
              <w:top w:val="single" w:color="auto" w:sz="4" w:space="0"/>
              <w:left w:val="single" w:color="auto" w:sz="4" w:space="0"/>
              <w:bottom w:val="single" w:color="auto" w:sz="4" w:space="0"/>
              <w:right w:val="single" w:color="auto" w:sz="4" w:space="0"/>
            </w:tcBorders>
            <w:noWrap/>
            <w:vAlign w:val="center"/>
          </w:tcPr>
          <w:p w14:paraId="1403D489">
            <w:pPr>
              <w:pageBreakBefore w:val="0"/>
              <w:widowControl w:val="0"/>
              <w:kinsoku/>
              <w:overflowPunct/>
              <w:topLinePunct w:val="0"/>
              <w:bidi w:val="0"/>
              <w:adjustRightInd w:val="0"/>
              <w:snapToGrid w:val="0"/>
              <w:spacing w:line="240" w:lineRule="auto"/>
              <w:jc w:val="center"/>
              <w:rPr>
                <w:rFonts w:ascii="仿宋" w:eastAsia="仿宋" w:cs="仿宋"/>
                <w:color w:val="000000"/>
                <w:sz w:val="24"/>
                <w:szCs w:val="24"/>
                <w:lang w:val="en-US" w:eastAsia="zh-TW"/>
              </w:rPr>
            </w:pPr>
            <w:r>
              <w:rPr>
                <w:rFonts w:hint="eastAsia" w:ascii="仿宋" w:eastAsia="仿宋" w:cs="仿宋"/>
                <w:color w:val="000000"/>
                <w:sz w:val="24"/>
                <w:szCs w:val="24"/>
                <w:lang w:val="en-US" w:eastAsia="zh-TW"/>
              </w:rPr>
              <w:t>学时</w:t>
            </w:r>
          </w:p>
          <w:p w14:paraId="7893B718">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分配</w:t>
            </w:r>
          </w:p>
        </w:tc>
      </w:tr>
      <w:tr w14:paraId="45208C5F">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14:paraId="34D2729B"/>
        </w:tc>
        <w:tc>
          <w:tcPr>
            <w:tcW w:w="5858" w:type="dxa"/>
            <w:gridSpan w:val="8"/>
            <w:tcBorders>
              <w:top w:val="single" w:color="auto" w:sz="4" w:space="0"/>
              <w:left w:val="single" w:color="auto" w:sz="4" w:space="0"/>
              <w:bottom w:val="single" w:color="auto" w:sz="4" w:space="0"/>
              <w:right w:val="single" w:color="auto" w:sz="4" w:space="0"/>
            </w:tcBorders>
            <w:noWrap/>
            <w:vAlign w:val="center"/>
          </w:tcPr>
          <w:p w14:paraId="066B31E1">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CN"/>
              </w:rPr>
            </w:pPr>
          </w:p>
        </w:tc>
        <w:tc>
          <w:tcPr>
            <w:tcW w:w="1240" w:type="dxa"/>
            <w:gridSpan w:val="3"/>
            <w:tcBorders>
              <w:top w:val="single" w:color="auto" w:sz="4" w:space="0"/>
              <w:left w:val="single" w:color="auto" w:sz="4" w:space="0"/>
              <w:bottom w:val="single" w:color="auto" w:sz="4" w:space="0"/>
              <w:right w:val="single" w:color="auto" w:sz="4" w:space="0"/>
            </w:tcBorders>
            <w:noWrap/>
            <w:vAlign w:val="center"/>
          </w:tcPr>
          <w:p w14:paraId="5FE12542">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tc>
        <w:tc>
          <w:tcPr>
            <w:tcW w:w="674" w:type="dxa"/>
            <w:gridSpan w:val="3"/>
            <w:tcBorders>
              <w:top w:val="single" w:color="auto" w:sz="4" w:space="0"/>
              <w:left w:val="single" w:color="auto" w:sz="4" w:space="0"/>
              <w:bottom w:val="single" w:color="auto" w:sz="4" w:space="0"/>
              <w:right w:val="single" w:color="auto" w:sz="4" w:space="0"/>
            </w:tcBorders>
            <w:noWrap/>
            <w:vAlign w:val="center"/>
          </w:tcPr>
          <w:p w14:paraId="0C0D88CE">
            <w:pPr>
              <w:pageBreakBefore w:val="0"/>
              <w:widowControl w:val="0"/>
              <w:kinsoku/>
              <w:overflowPunct/>
              <w:topLinePunct w:val="0"/>
              <w:bidi w:val="0"/>
              <w:adjustRightInd w:val="0"/>
              <w:snapToGrid w:val="0"/>
              <w:spacing w:line="240" w:lineRule="auto"/>
              <w:jc w:val="center"/>
              <w:rPr>
                <w:rFonts w:ascii="仿宋" w:eastAsia="仿宋" w:cs="仿宋"/>
                <w:color w:val="000000"/>
                <w:sz w:val="24"/>
                <w:szCs w:val="24"/>
                <w:lang w:val="en-US" w:eastAsia="zh-CN"/>
              </w:rPr>
            </w:pPr>
          </w:p>
        </w:tc>
      </w:tr>
      <w:tr w14:paraId="42A52657">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14:paraId="5691AA86"/>
        </w:tc>
        <w:tc>
          <w:tcPr>
            <w:tcW w:w="7098" w:type="dxa"/>
            <w:gridSpan w:val="11"/>
            <w:tcBorders>
              <w:top w:val="single" w:color="auto" w:sz="4" w:space="0"/>
              <w:left w:val="single" w:color="auto" w:sz="4" w:space="0"/>
              <w:bottom w:val="single" w:color="auto" w:sz="4" w:space="0"/>
              <w:right w:val="single" w:color="auto" w:sz="4" w:space="0"/>
            </w:tcBorders>
            <w:noWrap/>
            <w:vAlign w:val="center"/>
          </w:tcPr>
          <w:p w14:paraId="2CF41816">
            <w:pPr>
              <w:pageBreakBefore w:val="0"/>
              <w:widowControl w:val="0"/>
              <w:kinsoku/>
              <w:overflowPunct/>
              <w:topLinePunct w:val="0"/>
              <w:bidi w:val="0"/>
              <w:adjustRightInd w:val="0"/>
              <w:snapToGrid w:val="0"/>
              <w:spacing w:line="240" w:lineRule="auto"/>
              <w:jc w:val="center"/>
              <w:rPr>
                <w:rFonts w:ascii="仿宋" w:eastAsia="仿宋" w:cs="仿宋"/>
                <w:color w:val="000000"/>
                <w:sz w:val="24"/>
                <w:szCs w:val="24"/>
                <w:lang w:val="en-US" w:eastAsia="zh-CN"/>
              </w:rPr>
            </w:pPr>
            <w:r>
              <w:rPr>
                <w:rFonts w:hint="eastAsia" w:ascii="仿宋" w:eastAsia="仿宋" w:cs="仿宋"/>
                <w:color w:val="000000"/>
                <w:sz w:val="24"/>
                <w:szCs w:val="24"/>
                <w:lang w:val="en-US" w:eastAsia="zh-CN"/>
              </w:rPr>
              <w:t>合计</w:t>
            </w:r>
          </w:p>
        </w:tc>
        <w:tc>
          <w:tcPr>
            <w:tcW w:w="674" w:type="dxa"/>
            <w:gridSpan w:val="3"/>
            <w:tcBorders>
              <w:top w:val="single" w:color="auto" w:sz="4" w:space="0"/>
              <w:left w:val="single" w:color="auto" w:sz="4" w:space="0"/>
              <w:bottom w:val="single" w:color="auto" w:sz="4" w:space="0"/>
              <w:right w:val="single" w:color="auto" w:sz="4" w:space="0"/>
            </w:tcBorders>
            <w:noWrap/>
            <w:vAlign w:val="center"/>
          </w:tcPr>
          <w:p w14:paraId="362F7831">
            <w:pPr>
              <w:pageBreakBefore w:val="0"/>
              <w:widowControl w:val="0"/>
              <w:kinsoku/>
              <w:overflowPunct/>
              <w:topLinePunct w:val="0"/>
              <w:bidi w:val="0"/>
              <w:adjustRightInd w:val="0"/>
              <w:snapToGrid w:val="0"/>
              <w:spacing w:line="240" w:lineRule="auto"/>
              <w:jc w:val="center"/>
              <w:rPr>
                <w:rFonts w:ascii="仿宋" w:eastAsia="仿宋" w:cs="仿宋"/>
                <w:color w:val="000000"/>
                <w:sz w:val="24"/>
                <w:szCs w:val="24"/>
                <w:lang w:val="en-US" w:eastAsia="zh-CN"/>
              </w:rPr>
            </w:pPr>
          </w:p>
        </w:tc>
      </w:tr>
      <w:tr w14:paraId="508F3D99">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14:paraId="1A19DA69">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I</w:t>
            </w:r>
          </w:p>
          <w:p w14:paraId="21002A61">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教学方法与教学方式</w:t>
            </w:r>
          </w:p>
        </w:tc>
        <w:tc>
          <w:tcPr>
            <w:tcW w:w="7772" w:type="dxa"/>
            <w:gridSpan w:val="14"/>
            <w:tcBorders>
              <w:top w:val="single" w:color="auto" w:sz="4" w:space="0"/>
              <w:left w:val="single" w:color="auto" w:sz="4" w:space="0"/>
              <w:bottom w:val="single" w:color="auto" w:sz="4" w:space="0"/>
              <w:right w:val="single" w:color="auto" w:sz="4" w:space="0"/>
            </w:tcBorders>
            <w:noWrap/>
            <w:vAlign w:val="center"/>
          </w:tcPr>
          <w:p w14:paraId="453D1C8F">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CN"/>
              </w:rPr>
              <w:t>1.课程</w:t>
            </w:r>
            <w:r>
              <w:rPr>
                <w:rFonts w:hint="eastAsia" w:ascii="仿宋" w:eastAsia="仿宋" w:cs="仿宋"/>
                <w:color w:val="000000"/>
                <w:sz w:val="24"/>
                <w:szCs w:val="24"/>
                <w:lang w:val="en-US" w:eastAsia="zh-TW"/>
              </w:rPr>
              <w:t>采用</w:t>
            </w:r>
            <w:r>
              <w:rPr>
                <w:rFonts w:hint="eastAsia" w:ascii="仿宋" w:eastAsia="仿宋" w:cs="仿宋"/>
                <w:color w:val="000000"/>
                <w:sz w:val="24"/>
                <w:szCs w:val="24"/>
                <w:lang w:val="en-US" w:eastAsia="zh-CN"/>
              </w:rPr>
              <w:t>集体式</w:t>
            </w:r>
            <w:r>
              <w:rPr>
                <w:rFonts w:hint="eastAsia" w:ascii="仿宋" w:eastAsia="仿宋" w:cs="仿宋"/>
                <w:color w:val="000000"/>
                <w:sz w:val="24"/>
                <w:szCs w:val="24"/>
                <w:lang w:val="en-US" w:eastAsia="zh-TW"/>
              </w:rPr>
              <w:t>教学，改善理论课</w:t>
            </w:r>
            <w:r>
              <w:rPr>
                <w:rFonts w:hint="eastAsia" w:ascii="仿宋" w:eastAsia="仿宋" w:cs="仿宋"/>
                <w:color w:val="000000"/>
                <w:sz w:val="24"/>
                <w:szCs w:val="24"/>
                <w:lang w:val="en-US" w:eastAsia="zh-CN"/>
              </w:rPr>
              <w:t>与实践</w:t>
            </w:r>
            <w:r>
              <w:rPr>
                <w:rFonts w:hint="eastAsia" w:ascii="仿宋" w:eastAsia="仿宋" w:cs="仿宋"/>
                <w:color w:val="000000"/>
                <w:sz w:val="24"/>
                <w:szCs w:val="24"/>
                <w:lang w:val="en-US" w:eastAsia="zh-TW"/>
              </w:rPr>
              <w:t>的枯燥和沉闷，吸引学生的注意力，加强授课效果。</w:t>
            </w:r>
          </w:p>
          <w:p w14:paraId="7993D8C6">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CN"/>
              </w:rPr>
              <w:t>2.</w:t>
            </w:r>
            <w:r>
              <w:rPr>
                <w:rFonts w:hint="eastAsia" w:ascii="仿宋" w:eastAsia="仿宋" w:cs="仿宋"/>
                <w:color w:val="000000"/>
                <w:sz w:val="24"/>
                <w:szCs w:val="24"/>
                <w:lang w:val="en-US" w:eastAsia="zh-TW"/>
              </w:rPr>
              <w:t>开通网络课堂，达到与学生及时沟通、交流的目的。同时重视师生互动与小组活动，组织课堂小组讨论和论文写作等活动，将课堂教学变为师生共同活动的过程。</w:t>
            </w:r>
          </w:p>
          <w:p w14:paraId="0F79E89A">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CN"/>
              </w:rPr>
              <w:t>3.</w:t>
            </w:r>
            <w:r>
              <w:rPr>
                <w:rFonts w:hint="eastAsia" w:ascii="仿宋" w:eastAsia="仿宋" w:cs="仿宋"/>
                <w:color w:val="000000"/>
                <w:sz w:val="24"/>
                <w:szCs w:val="24"/>
                <w:lang w:val="en-US" w:eastAsia="zh-TW"/>
              </w:rPr>
              <w:t>主要方式：</w:t>
            </w:r>
          </w:p>
          <w:p w14:paraId="1EFFE6C1">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sym w:font="Wingdings" w:char="00FE"/>
            </w:r>
            <w:r>
              <w:rPr>
                <w:rFonts w:hint="eastAsia" w:ascii="仿宋" w:eastAsia="仿宋" w:cs="仿宋"/>
                <w:color w:val="000000"/>
                <w:sz w:val="24"/>
                <w:szCs w:val="24"/>
                <w:lang w:val="en-US" w:eastAsia="zh-TW"/>
              </w:rPr>
              <w:t xml:space="preserve">讲授  </w:t>
            </w:r>
            <w:r>
              <w:rPr>
                <w:rFonts w:hint="eastAsia" w:ascii="仿宋" w:eastAsia="仿宋" w:cs="仿宋"/>
                <w:color w:val="000000"/>
                <w:sz w:val="24"/>
                <w:szCs w:val="24"/>
                <w:lang w:val="en-US" w:eastAsia="zh-TW"/>
              </w:rPr>
              <w:sym w:font="Wingdings" w:char="00FE"/>
            </w:r>
            <w:r>
              <w:rPr>
                <w:rFonts w:hint="eastAsia" w:ascii="仿宋" w:eastAsia="仿宋" w:cs="仿宋"/>
                <w:color w:val="000000"/>
                <w:sz w:val="24"/>
                <w:szCs w:val="24"/>
                <w:lang w:val="en-US" w:eastAsia="zh-TW"/>
              </w:rPr>
              <w:t xml:space="preserve">网络学习  </w:t>
            </w:r>
            <w:r>
              <w:rPr>
                <w:rFonts w:hint="eastAsia" w:ascii="仿宋" w:eastAsia="仿宋" w:cs="仿宋"/>
                <w:color w:val="000000"/>
                <w:sz w:val="24"/>
                <w:szCs w:val="24"/>
                <w:lang w:val="en-US" w:eastAsia="zh-TW"/>
              </w:rPr>
              <w:sym w:font="Wingdings" w:char="00FE"/>
            </w:r>
            <w:r>
              <w:rPr>
                <w:rFonts w:hint="eastAsia" w:ascii="仿宋" w:eastAsia="仿宋" w:cs="仿宋"/>
                <w:color w:val="000000"/>
                <w:sz w:val="24"/>
                <w:szCs w:val="24"/>
                <w:lang w:val="en-US" w:eastAsia="zh-TW"/>
              </w:rPr>
              <w:t xml:space="preserve">讨论或座谈  </w:t>
            </w:r>
            <w:r>
              <w:rPr>
                <w:rFonts w:hint="eastAsia" w:ascii="仿宋" w:eastAsia="仿宋" w:cs="仿宋"/>
                <w:color w:val="000000"/>
                <w:sz w:val="24"/>
                <w:szCs w:val="24"/>
                <w:lang w:val="en-US" w:eastAsia="zh-TW"/>
              </w:rPr>
              <w:sym w:font="Wingdings" w:char="00FE"/>
            </w:r>
            <w:r>
              <w:rPr>
                <w:rFonts w:hint="eastAsia" w:ascii="仿宋" w:eastAsia="仿宋" w:cs="仿宋"/>
                <w:color w:val="000000"/>
                <w:sz w:val="24"/>
                <w:szCs w:val="24"/>
                <w:lang w:val="en-US" w:eastAsia="zh-TW"/>
              </w:rPr>
              <w:t xml:space="preserve">问题导向学  </w:t>
            </w:r>
          </w:p>
          <w:p w14:paraId="3A010931">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sym w:font="Wingdings" w:char="00FE"/>
            </w:r>
            <w:r>
              <w:rPr>
                <w:rFonts w:hint="eastAsia" w:ascii="仿宋" w:eastAsia="仿宋" w:cs="仿宋"/>
                <w:color w:val="000000"/>
                <w:sz w:val="24"/>
                <w:szCs w:val="24"/>
                <w:lang w:val="en-US" w:eastAsia="zh-TW"/>
              </w:rPr>
              <w:t xml:space="preserve">分组合作学习  </w:t>
            </w:r>
            <w:r>
              <w:rPr>
                <w:rFonts w:hint="eastAsia" w:ascii="仿宋" w:eastAsia="仿宋" w:cs="仿宋"/>
                <w:color w:val="000000"/>
                <w:sz w:val="24"/>
                <w:szCs w:val="24"/>
                <w:lang w:val="en-US" w:eastAsia="zh-TW"/>
              </w:rPr>
              <w:sym w:font="Wingdings" w:char="00A8"/>
            </w:r>
            <w:r>
              <w:rPr>
                <w:rFonts w:hint="eastAsia" w:ascii="仿宋" w:eastAsia="仿宋" w:cs="仿宋"/>
                <w:color w:val="000000"/>
                <w:sz w:val="24"/>
                <w:szCs w:val="24"/>
                <w:lang w:val="en-US" w:eastAsia="zh-TW"/>
              </w:rPr>
              <w:t xml:space="preserve">专题学习  </w:t>
            </w:r>
            <w:r>
              <w:rPr>
                <w:rFonts w:hint="eastAsia" w:ascii="仿宋" w:eastAsia="仿宋" w:cs="仿宋"/>
                <w:color w:val="000000"/>
                <w:sz w:val="24"/>
                <w:szCs w:val="24"/>
                <w:lang w:val="en-US" w:eastAsia="zh-TW"/>
              </w:rPr>
              <w:sym w:font="Wingdings" w:char="00A8"/>
            </w:r>
            <w:r>
              <w:rPr>
                <w:rFonts w:hint="eastAsia" w:ascii="仿宋" w:eastAsia="仿宋" w:cs="仿宋"/>
                <w:color w:val="000000"/>
                <w:sz w:val="24"/>
                <w:szCs w:val="24"/>
                <w:lang w:val="en-US" w:eastAsia="zh-TW"/>
              </w:rPr>
              <w:t xml:space="preserve">实作学习  </w:t>
            </w:r>
            <w:r>
              <w:rPr>
                <w:rFonts w:hint="eastAsia" w:ascii="仿宋" w:eastAsia="仿宋" w:cs="仿宋"/>
                <w:color w:val="000000"/>
                <w:sz w:val="24"/>
                <w:szCs w:val="24"/>
                <w:lang w:val="en-US" w:eastAsia="zh-TW"/>
              </w:rPr>
              <w:sym w:font="Wingdings" w:char="00A8"/>
            </w:r>
            <w:r>
              <w:rPr>
                <w:rFonts w:hint="eastAsia" w:ascii="仿宋" w:eastAsia="仿宋" w:cs="仿宋"/>
                <w:color w:val="000000"/>
                <w:sz w:val="24"/>
                <w:szCs w:val="24"/>
                <w:lang w:val="en-US" w:eastAsia="zh-TW"/>
              </w:rPr>
              <w:t xml:space="preserve">发表学习  </w:t>
            </w:r>
          </w:p>
          <w:p w14:paraId="7A81E03D">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sym w:font="Wingdings" w:char="00A8"/>
            </w:r>
            <w:r>
              <w:rPr>
                <w:rFonts w:hint="eastAsia" w:ascii="仿宋" w:eastAsia="仿宋" w:cs="仿宋"/>
                <w:color w:val="000000"/>
                <w:sz w:val="24"/>
                <w:szCs w:val="24"/>
                <w:lang w:val="en-US" w:eastAsia="zh-TW"/>
              </w:rPr>
              <w:t xml:space="preserve">实习  </w:t>
            </w:r>
            <w:r>
              <w:rPr>
                <w:rFonts w:hint="eastAsia" w:ascii="仿宋" w:eastAsia="仿宋" w:cs="仿宋"/>
                <w:color w:val="000000"/>
                <w:sz w:val="24"/>
                <w:szCs w:val="24"/>
                <w:lang w:val="en-US" w:eastAsia="zh-TW"/>
              </w:rPr>
              <w:sym w:font="Wingdings" w:char="00A8"/>
            </w:r>
            <w:r>
              <w:rPr>
                <w:rFonts w:hint="eastAsia" w:ascii="仿宋" w:eastAsia="仿宋" w:cs="仿宋"/>
                <w:color w:val="000000"/>
                <w:sz w:val="24"/>
                <w:szCs w:val="24"/>
                <w:lang w:val="en-US" w:eastAsia="zh-TW"/>
              </w:rPr>
              <w:t xml:space="preserve">参观访问  </w:t>
            </w:r>
            <w:r>
              <w:rPr>
                <w:rFonts w:hint="eastAsia" w:ascii="仿宋" w:eastAsia="仿宋" w:cs="仿宋"/>
                <w:color w:val="000000"/>
                <w:sz w:val="24"/>
                <w:szCs w:val="24"/>
                <w:lang w:val="en-US" w:eastAsia="zh-TW"/>
              </w:rPr>
              <w:sym w:font="Wingdings" w:char="00A8"/>
            </w:r>
            <w:r>
              <w:rPr>
                <w:rFonts w:hint="eastAsia" w:ascii="仿宋" w:eastAsia="仿宋" w:cs="仿宋"/>
                <w:color w:val="000000"/>
                <w:sz w:val="24"/>
                <w:szCs w:val="24"/>
                <w:lang w:val="en-US" w:eastAsia="zh-TW"/>
              </w:rPr>
              <w:t>其它</w:t>
            </w:r>
            <w:r>
              <w:rPr>
                <w:rFonts w:hint="eastAsia" w:ascii="仿宋" w:eastAsia="仿宋" w:cs="仿宋"/>
                <w:color w:val="000000"/>
                <w:sz w:val="24"/>
                <w:szCs w:val="24"/>
                <w:lang w:val="en-US" w:eastAsia="zh-CN"/>
              </w:rPr>
              <w:t xml:space="preserve">：        </w:t>
            </w:r>
            <w:r>
              <w:rPr>
                <w:rFonts w:hint="eastAsia" w:ascii="仿宋" w:eastAsia="仿宋" w:cs="仿宋"/>
                <w:color w:val="000000"/>
                <w:sz w:val="24"/>
                <w:szCs w:val="24"/>
                <w:lang w:val="en-US" w:eastAsia="zh-TW"/>
              </w:rPr>
              <w:t>(</w:t>
            </w:r>
            <w:r>
              <w:rPr>
                <w:rFonts w:hint="eastAsia" w:ascii="仿宋" w:eastAsia="仿宋" w:cs="仿宋"/>
                <w:color w:val="000000"/>
                <w:sz w:val="24"/>
                <w:szCs w:val="24"/>
                <w:lang w:val="en-US" w:eastAsia="zh-CN"/>
              </w:rPr>
              <w:t>如</w:t>
            </w:r>
            <w:r>
              <w:rPr>
                <w:rFonts w:hint="eastAsia" w:ascii="仿宋" w:eastAsia="仿宋" w:cs="仿宋"/>
                <w:color w:val="000000"/>
                <w:sz w:val="24"/>
                <w:szCs w:val="24"/>
                <w:lang w:val="en-US" w:eastAsia="zh-TW"/>
              </w:rPr>
              <w:t>口头训练</w:t>
            </w:r>
            <w:r>
              <w:rPr>
                <w:rFonts w:hint="eastAsia" w:ascii="仿宋" w:eastAsia="仿宋" w:cs="仿宋"/>
                <w:color w:val="000000"/>
                <w:sz w:val="24"/>
                <w:szCs w:val="24"/>
                <w:lang w:val="en-US" w:eastAsia="zh-CN"/>
              </w:rPr>
              <w:t>等</w:t>
            </w:r>
            <w:r>
              <w:rPr>
                <w:rFonts w:hint="eastAsia" w:ascii="仿宋" w:eastAsia="仿宋" w:cs="仿宋"/>
                <w:color w:val="000000"/>
                <w:sz w:val="24"/>
                <w:szCs w:val="24"/>
                <w:lang w:val="en-US" w:eastAsia="zh-TW"/>
              </w:rPr>
              <w:t>)</w:t>
            </w:r>
          </w:p>
          <w:p w14:paraId="4F283C38">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tc>
      </w:tr>
      <w:tr w14:paraId="21D40637">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14:paraId="3198E8E9">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J</w:t>
            </w:r>
          </w:p>
          <w:p w14:paraId="3EA7F2AA">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教学条件</w:t>
            </w:r>
          </w:p>
          <w:p w14:paraId="20FB06A6">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需求</w:t>
            </w:r>
          </w:p>
        </w:tc>
        <w:tc>
          <w:tcPr>
            <w:tcW w:w="7772" w:type="dxa"/>
            <w:gridSpan w:val="14"/>
            <w:tcBorders>
              <w:top w:val="single" w:color="auto" w:sz="4" w:space="0"/>
              <w:left w:val="single" w:color="auto" w:sz="4" w:space="0"/>
              <w:bottom w:val="single" w:color="auto" w:sz="4" w:space="0"/>
              <w:right w:val="single" w:color="auto" w:sz="4" w:space="0"/>
            </w:tcBorders>
            <w:noWrap/>
            <w:vAlign w:val="center"/>
          </w:tcPr>
          <w:p w14:paraId="5CF9AAD0">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（如时间、地点安排与“一课双师”等教师配备需求等）</w:t>
            </w:r>
          </w:p>
          <w:p w14:paraId="551838AC">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CN"/>
              </w:rPr>
              <w:t>1.需要有好的教学设备，利于课堂的学习与课后的练习，以此达到更好的效果。</w:t>
            </w:r>
          </w:p>
          <w:p w14:paraId="3CFB26BD">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CN"/>
              </w:rPr>
              <w:t>2.提供好的艺术实践，积极参与比赛活动，增强</w:t>
            </w:r>
            <w:r>
              <w:rPr>
                <w:rFonts w:hint="eastAsia" w:ascii="仿宋" w:eastAsia="仿宋" w:cs="仿宋"/>
                <w:color w:val="000000"/>
                <w:sz w:val="24"/>
                <w:szCs w:val="24"/>
                <w:lang w:val="en-US" w:eastAsia="zh-Hans"/>
              </w:rPr>
              <w:t>声乐教学法的</w:t>
            </w:r>
            <w:r>
              <w:rPr>
                <w:rFonts w:hint="eastAsia" w:ascii="仿宋" w:eastAsia="仿宋" w:cs="仿宋"/>
                <w:color w:val="000000"/>
                <w:sz w:val="24"/>
                <w:szCs w:val="24"/>
                <w:lang w:val="en-US" w:eastAsia="zh-CN"/>
              </w:rPr>
              <w:t>应用。</w:t>
            </w:r>
          </w:p>
        </w:tc>
      </w:tr>
      <w:tr w14:paraId="160F71A9">
        <w:trPr>
          <w:trHeight w:val="624" w:hRule="atLeast"/>
        </w:trPr>
        <w:tc>
          <w:tcPr>
            <w:tcW w:w="1376" w:type="dxa"/>
            <w:vMerge w:val="restart"/>
            <w:tcBorders>
              <w:top w:val="single" w:color="auto" w:sz="4" w:space="0"/>
              <w:left w:val="single" w:color="auto" w:sz="4" w:space="0"/>
              <w:bottom w:val="single" w:color="auto" w:sz="4" w:space="0"/>
              <w:right w:val="single" w:color="auto" w:sz="4" w:space="0"/>
            </w:tcBorders>
            <w:noWrap/>
            <w:vAlign w:val="center"/>
          </w:tcPr>
          <w:p w14:paraId="11B159FB">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K</w:t>
            </w:r>
          </w:p>
          <w:p w14:paraId="600DB442">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课程目标及其考核内容、考核方式及评分占比</w:t>
            </w:r>
          </w:p>
        </w:tc>
        <w:tc>
          <w:tcPr>
            <w:tcW w:w="1212" w:type="dxa"/>
            <w:vMerge w:val="restart"/>
            <w:tcBorders>
              <w:top w:val="single" w:color="auto" w:sz="4" w:space="0"/>
              <w:left w:val="single" w:color="auto" w:sz="4" w:space="0"/>
              <w:bottom w:val="single" w:color="auto" w:sz="4" w:space="0"/>
              <w:right w:val="single" w:color="auto" w:sz="4" w:space="0"/>
            </w:tcBorders>
            <w:noWrap/>
            <w:vAlign w:val="center"/>
          </w:tcPr>
          <w:p w14:paraId="3023BA21">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课程目标及评分占比</w:t>
            </w:r>
          </w:p>
        </w:tc>
        <w:tc>
          <w:tcPr>
            <w:tcW w:w="3088" w:type="dxa"/>
            <w:gridSpan w:val="4"/>
            <w:vMerge w:val="restart"/>
            <w:tcBorders>
              <w:top w:val="single" w:color="auto" w:sz="4" w:space="0"/>
              <w:left w:val="single" w:color="auto" w:sz="4" w:space="0"/>
              <w:bottom w:val="single" w:color="auto" w:sz="4" w:space="0"/>
              <w:right w:val="single" w:color="000000" w:sz="4" w:space="0"/>
            </w:tcBorders>
            <w:noWrap/>
            <w:vAlign w:val="center"/>
          </w:tcPr>
          <w:p w14:paraId="583B1172">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考核内容</w:t>
            </w:r>
          </w:p>
        </w:tc>
        <w:tc>
          <w:tcPr>
            <w:tcW w:w="2933" w:type="dxa"/>
            <w:gridSpan w:val="8"/>
            <w:tcBorders>
              <w:top w:val="single" w:color="auto" w:sz="4" w:space="0"/>
              <w:left w:val="single" w:color="000000" w:sz="4" w:space="0"/>
              <w:bottom w:val="single" w:color="auto" w:sz="4" w:space="0"/>
              <w:right w:val="single" w:color="000000" w:sz="4" w:space="0"/>
            </w:tcBorders>
            <w:noWrap/>
            <w:vAlign w:val="center"/>
          </w:tcPr>
          <w:p w14:paraId="116EC2C3">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考核方式</w:t>
            </w:r>
          </w:p>
        </w:tc>
        <w:tc>
          <w:tcPr>
            <w:tcW w:w="539" w:type="dxa"/>
            <w:vMerge w:val="restart"/>
            <w:tcBorders>
              <w:top w:val="single" w:color="auto" w:sz="4" w:space="0"/>
              <w:left w:val="single" w:color="000000" w:sz="4" w:space="0"/>
              <w:bottom w:val="single" w:color="auto" w:sz="4" w:space="0"/>
              <w:right w:val="single" w:color="auto" w:sz="4" w:space="0"/>
            </w:tcBorders>
            <w:noWrap/>
            <w:vAlign w:val="center"/>
          </w:tcPr>
          <w:p w14:paraId="745B09D9">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课程分目标的达成度</w:t>
            </w:r>
          </w:p>
        </w:tc>
      </w:tr>
      <w:tr w14:paraId="74882455">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noWrap/>
            <w:vAlign w:val="center"/>
          </w:tcPr>
          <w:p w14:paraId="6D80926B"/>
        </w:tc>
        <w:tc>
          <w:tcPr>
            <w:tcW w:w="1212" w:type="dxa"/>
            <w:vMerge w:val="continue"/>
            <w:tcBorders>
              <w:top w:val="single" w:color="auto" w:sz="4" w:space="0"/>
              <w:left w:val="single" w:color="auto" w:sz="4" w:space="0"/>
              <w:bottom w:val="single" w:color="auto" w:sz="4" w:space="0"/>
              <w:right w:val="single" w:color="auto" w:sz="4" w:space="0"/>
              <w:tl2br w:val="single" w:color="auto" w:sz="4" w:space="0"/>
            </w:tcBorders>
            <w:noWrap/>
            <w:vAlign w:val="center"/>
          </w:tcPr>
          <w:p w14:paraId="1883E804"/>
        </w:tc>
        <w:tc>
          <w:tcPr>
            <w:tcW w:w="3088" w:type="dxa"/>
            <w:gridSpan w:val="4"/>
            <w:vMerge w:val="continue"/>
            <w:tcBorders>
              <w:top w:val="single" w:color="auto" w:sz="4" w:space="0"/>
              <w:left w:val="single" w:color="auto" w:sz="4" w:space="0"/>
              <w:bottom w:val="single" w:color="auto" w:sz="4" w:space="0"/>
              <w:right w:val="single" w:color="000000" w:sz="4" w:space="0"/>
            </w:tcBorders>
            <w:noWrap/>
            <w:vAlign w:val="center"/>
          </w:tcPr>
          <w:p w14:paraId="12206BC0"/>
        </w:tc>
        <w:tc>
          <w:tcPr>
            <w:tcW w:w="977" w:type="dxa"/>
            <w:gridSpan w:val="2"/>
            <w:tcBorders>
              <w:top w:val="single" w:color="auto" w:sz="4" w:space="0"/>
              <w:left w:val="single" w:color="000000" w:sz="4" w:space="0"/>
              <w:bottom w:val="single" w:color="auto" w:sz="4" w:space="0"/>
              <w:right w:val="single" w:color="000000" w:sz="4" w:space="0"/>
            </w:tcBorders>
            <w:noWrap/>
            <w:vAlign w:val="center"/>
          </w:tcPr>
          <w:p w14:paraId="7912F7A6">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ascii="仿宋" w:eastAsia="仿宋" w:cs="仿宋"/>
                <w:color w:val="000000"/>
                <w:sz w:val="24"/>
                <w:szCs w:val="24"/>
                <w:lang w:val="en-US" w:eastAsia="zh-TW"/>
              </w:rPr>
              <w:t>作业</w:t>
            </w:r>
            <w:r>
              <w:rPr>
                <w:rFonts w:hint="eastAsia" w:ascii="仿宋" w:eastAsia="仿宋" w:cs="仿宋"/>
                <w:color w:val="000000"/>
                <w:sz w:val="24"/>
                <w:szCs w:val="24"/>
                <w:lang w:val="en-US" w:eastAsia="zh-TW"/>
              </w:rPr>
              <w:t>评分占比（</w:t>
            </w:r>
            <w:r>
              <w:rPr>
                <w:rFonts w:hint="default" w:ascii="仿宋" w:eastAsia="仿宋" w:cs="仿宋"/>
                <w:color w:val="000000"/>
                <w:sz w:val="24"/>
                <w:szCs w:val="24"/>
                <w:lang w:eastAsia="zh-TW"/>
              </w:rPr>
              <w:t>2</w:t>
            </w:r>
            <w:r>
              <w:rPr>
                <w:rFonts w:ascii="仿宋" w:eastAsia="仿宋" w:cs="仿宋"/>
                <w:color w:val="000000"/>
                <w:sz w:val="24"/>
                <w:szCs w:val="24"/>
                <w:lang w:val="en-US" w:eastAsia="zh-TW"/>
              </w:rPr>
              <w:t>0</w:t>
            </w:r>
            <w:r>
              <w:rPr>
                <w:rFonts w:hint="eastAsia" w:ascii="仿宋" w:eastAsia="仿宋" w:cs="仿宋"/>
                <w:color w:val="000000"/>
                <w:sz w:val="24"/>
                <w:szCs w:val="24"/>
                <w:lang w:val="en-US" w:eastAsia="zh-TW"/>
              </w:rPr>
              <w:t>%）</w:t>
            </w:r>
          </w:p>
        </w:tc>
        <w:tc>
          <w:tcPr>
            <w:tcW w:w="977" w:type="dxa"/>
            <w:gridSpan w:val="3"/>
            <w:tcBorders>
              <w:top w:val="single" w:color="auto" w:sz="4" w:space="0"/>
              <w:left w:val="single" w:color="000000" w:sz="4" w:space="0"/>
              <w:bottom w:val="single" w:color="auto" w:sz="4" w:space="0"/>
              <w:right w:val="single" w:color="000000" w:sz="4" w:space="0"/>
            </w:tcBorders>
            <w:noWrap/>
            <w:vAlign w:val="center"/>
          </w:tcPr>
          <w:p w14:paraId="08450703">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ascii="仿宋" w:eastAsia="仿宋" w:cs="仿宋"/>
                <w:color w:val="000000"/>
                <w:sz w:val="24"/>
                <w:szCs w:val="24"/>
                <w:lang w:val="en-US" w:eastAsia="zh-TW"/>
              </w:rPr>
              <w:t>期中考试评分占比（</w:t>
            </w:r>
            <w:r>
              <w:rPr>
                <w:rFonts w:hint="default" w:ascii="仿宋" w:eastAsia="仿宋" w:cs="仿宋"/>
                <w:color w:val="000000"/>
                <w:sz w:val="24"/>
                <w:szCs w:val="24"/>
                <w:lang w:eastAsia="zh-TW"/>
              </w:rPr>
              <w:t>3</w:t>
            </w:r>
            <w:r>
              <w:rPr>
                <w:rFonts w:ascii="仿宋" w:eastAsia="仿宋" w:cs="仿宋"/>
                <w:color w:val="000000"/>
                <w:sz w:val="24"/>
                <w:szCs w:val="24"/>
                <w:lang w:val="en-US" w:eastAsia="zh-TW"/>
              </w:rPr>
              <w:t>0%）</w:t>
            </w:r>
          </w:p>
        </w:tc>
        <w:tc>
          <w:tcPr>
            <w:tcW w:w="979" w:type="dxa"/>
            <w:gridSpan w:val="3"/>
            <w:tcBorders>
              <w:top w:val="single" w:color="auto" w:sz="4" w:space="0"/>
              <w:left w:val="single" w:color="000000" w:sz="4" w:space="0"/>
              <w:bottom w:val="single" w:color="auto" w:sz="4" w:space="0"/>
              <w:right w:val="single" w:color="000000" w:sz="4" w:space="0"/>
            </w:tcBorders>
            <w:noWrap/>
            <w:vAlign w:val="center"/>
          </w:tcPr>
          <w:p w14:paraId="57FFC7A3">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ascii="仿宋" w:eastAsia="仿宋" w:cs="仿宋"/>
                <w:color w:val="000000"/>
                <w:sz w:val="24"/>
                <w:szCs w:val="24"/>
                <w:lang w:val="en-US" w:eastAsia="zh-TW"/>
              </w:rPr>
              <w:t>期末成绩评分占比（</w:t>
            </w:r>
            <w:r>
              <w:rPr>
                <w:rFonts w:hint="default" w:ascii="仿宋" w:eastAsia="仿宋" w:cs="仿宋"/>
                <w:color w:val="000000"/>
                <w:sz w:val="24"/>
                <w:szCs w:val="24"/>
                <w:lang w:eastAsia="zh-TW"/>
              </w:rPr>
              <w:t>5</w:t>
            </w:r>
            <w:r>
              <w:rPr>
                <w:rFonts w:ascii="仿宋" w:eastAsia="仿宋" w:cs="仿宋"/>
                <w:color w:val="000000"/>
                <w:sz w:val="24"/>
                <w:szCs w:val="24"/>
                <w:lang w:val="en-US" w:eastAsia="zh-TW"/>
              </w:rPr>
              <w:t>0%）</w:t>
            </w:r>
          </w:p>
        </w:tc>
        <w:tc>
          <w:tcPr>
            <w:tcW w:w="539" w:type="dxa"/>
            <w:vMerge w:val="continue"/>
            <w:tcBorders>
              <w:top w:val="single" w:color="auto" w:sz="4" w:space="0"/>
              <w:left w:val="single" w:color="000000" w:sz="4" w:space="0"/>
              <w:bottom w:val="single" w:color="auto" w:sz="4" w:space="0"/>
              <w:right w:val="single" w:color="auto" w:sz="4" w:space="0"/>
            </w:tcBorders>
            <w:noWrap/>
            <w:vAlign w:val="center"/>
          </w:tcPr>
          <w:p w14:paraId="1769C42B">
            <w:pPr>
              <w:jc w:val="center"/>
            </w:pPr>
          </w:p>
        </w:tc>
      </w:tr>
      <w:tr w14:paraId="5B90D829">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noWrap/>
            <w:vAlign w:val="center"/>
          </w:tcPr>
          <w:p w14:paraId="555FDA5E"/>
        </w:tc>
        <w:tc>
          <w:tcPr>
            <w:tcW w:w="1212" w:type="dxa"/>
            <w:tcBorders>
              <w:top w:val="single" w:color="auto" w:sz="4" w:space="0"/>
              <w:left w:val="single" w:color="auto" w:sz="4" w:space="0"/>
              <w:bottom w:val="single" w:color="auto" w:sz="4" w:space="0"/>
              <w:right w:val="single" w:color="auto" w:sz="4" w:space="0"/>
            </w:tcBorders>
            <w:noWrap/>
            <w:vAlign w:val="center"/>
          </w:tcPr>
          <w:p w14:paraId="28FF88A8">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课程目标</w:t>
            </w:r>
            <w:r>
              <w:rPr>
                <w:rFonts w:ascii="仿宋" w:eastAsia="仿宋" w:cs="仿宋"/>
                <w:color w:val="000000"/>
                <w:sz w:val="24"/>
                <w:szCs w:val="24"/>
                <w:lang w:val="en-US" w:eastAsia="zh-TW"/>
              </w:rPr>
              <w:t>1（</w:t>
            </w:r>
            <w:r>
              <w:rPr>
                <w:rFonts w:hint="default" w:ascii="仿宋" w:eastAsia="仿宋" w:cs="仿宋"/>
                <w:color w:val="000000"/>
                <w:sz w:val="24"/>
                <w:szCs w:val="24"/>
                <w:lang w:eastAsia="zh-TW"/>
              </w:rPr>
              <w:t>3</w:t>
            </w:r>
            <w:r>
              <w:rPr>
                <w:rFonts w:ascii="仿宋" w:eastAsia="仿宋" w:cs="仿宋"/>
                <w:color w:val="000000"/>
                <w:sz w:val="24"/>
                <w:szCs w:val="24"/>
                <w:lang w:val="en-US" w:eastAsia="zh-TW"/>
              </w:rPr>
              <w:t>0%）</w:t>
            </w:r>
          </w:p>
        </w:tc>
        <w:tc>
          <w:tcPr>
            <w:tcW w:w="3088" w:type="dxa"/>
            <w:gridSpan w:val="4"/>
            <w:tcBorders>
              <w:top w:val="single" w:color="auto" w:sz="4" w:space="0"/>
              <w:left w:val="single" w:color="auto" w:sz="4" w:space="0"/>
              <w:bottom w:val="single" w:color="auto" w:sz="4" w:space="0"/>
              <w:right w:val="single" w:color="000000" w:sz="4" w:space="0"/>
            </w:tcBorders>
            <w:noWrap/>
            <w:vAlign w:val="center"/>
          </w:tcPr>
          <w:p w14:paraId="500DEAB9">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能够从教师的心态出发，在</w:t>
            </w:r>
            <w:r>
              <w:rPr>
                <w:rFonts w:hint="eastAsia" w:ascii="仿宋" w:eastAsia="仿宋" w:cs="仿宋"/>
                <w:color w:val="000000"/>
                <w:sz w:val="24"/>
                <w:szCs w:val="24"/>
                <w:lang w:val="en-US" w:eastAsia="zh-Hans"/>
              </w:rPr>
              <w:t>教学试讲</w:t>
            </w:r>
            <w:r>
              <w:rPr>
                <w:rFonts w:hint="eastAsia" w:ascii="仿宋" w:eastAsia="仿宋" w:cs="仿宋"/>
                <w:color w:val="000000"/>
                <w:sz w:val="24"/>
                <w:szCs w:val="24"/>
                <w:lang w:val="en-US" w:eastAsia="zh-TW"/>
              </w:rPr>
              <w:t>中表现出教育工作者应有的精神风貌与良好的教态，并能够综合学段学情、作品音乐文化背景、编写者意图，通过教学、演唱形式构建兼具艺术性和教育性的声乐作品。</w:t>
            </w:r>
          </w:p>
        </w:tc>
        <w:tc>
          <w:tcPr>
            <w:tcW w:w="977" w:type="dxa"/>
            <w:gridSpan w:val="2"/>
            <w:tcBorders>
              <w:top w:val="single" w:color="auto" w:sz="4" w:space="0"/>
              <w:left w:val="single" w:color="000000" w:sz="4" w:space="0"/>
              <w:bottom w:val="single" w:color="auto" w:sz="4" w:space="0"/>
              <w:right w:val="single" w:color="auto" w:sz="4" w:space="0"/>
            </w:tcBorders>
            <w:noWrap/>
            <w:vAlign w:val="center"/>
          </w:tcPr>
          <w:p w14:paraId="64372C3F">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r>
              <w:rPr>
                <w:rFonts w:hint="default" w:ascii="仿宋" w:eastAsia="仿宋" w:cs="仿宋"/>
                <w:color w:val="000000"/>
                <w:sz w:val="24"/>
                <w:szCs w:val="24"/>
                <w:lang w:eastAsia="zh-CN"/>
              </w:rPr>
              <w:t>6</w:t>
            </w:r>
          </w:p>
        </w:tc>
        <w:tc>
          <w:tcPr>
            <w:tcW w:w="977" w:type="dxa"/>
            <w:gridSpan w:val="3"/>
            <w:tcBorders>
              <w:top w:val="single" w:color="auto" w:sz="4" w:space="0"/>
              <w:left w:val="single" w:color="000000" w:sz="4" w:space="0"/>
              <w:bottom w:val="single" w:color="auto" w:sz="4" w:space="0"/>
              <w:right w:val="single" w:color="auto" w:sz="4" w:space="0"/>
            </w:tcBorders>
            <w:noWrap/>
            <w:vAlign w:val="center"/>
          </w:tcPr>
          <w:p w14:paraId="3A3344C3">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r>
              <w:rPr>
                <w:rFonts w:hint="default" w:ascii="仿宋" w:eastAsia="仿宋" w:cs="仿宋"/>
                <w:color w:val="000000"/>
                <w:sz w:val="24"/>
                <w:szCs w:val="24"/>
                <w:lang w:eastAsia="zh-CN"/>
              </w:rPr>
              <w:t>9</w:t>
            </w:r>
          </w:p>
        </w:tc>
        <w:tc>
          <w:tcPr>
            <w:tcW w:w="979" w:type="dxa"/>
            <w:gridSpan w:val="3"/>
            <w:tcBorders>
              <w:top w:val="single" w:color="auto" w:sz="4" w:space="0"/>
              <w:left w:val="single" w:color="000000" w:sz="4" w:space="0"/>
              <w:bottom w:val="single" w:color="auto" w:sz="4" w:space="0"/>
              <w:right w:val="single" w:color="auto" w:sz="4" w:space="0"/>
            </w:tcBorders>
            <w:noWrap/>
            <w:vAlign w:val="center"/>
          </w:tcPr>
          <w:p w14:paraId="0214D01F">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r>
              <w:rPr>
                <w:rFonts w:hint="default" w:ascii="仿宋" w:eastAsia="仿宋" w:cs="仿宋"/>
                <w:color w:val="000000"/>
                <w:sz w:val="24"/>
                <w:szCs w:val="24"/>
                <w:lang w:eastAsia="zh-CN"/>
              </w:rPr>
              <w:t>15</w:t>
            </w:r>
          </w:p>
        </w:tc>
        <w:tc>
          <w:tcPr>
            <w:tcW w:w="539" w:type="dxa"/>
            <w:tcBorders>
              <w:top w:val="single" w:color="auto" w:sz="4" w:space="0"/>
              <w:left w:val="single" w:color="auto" w:sz="4" w:space="0"/>
              <w:bottom w:val="single" w:color="auto" w:sz="4" w:space="0"/>
              <w:right w:val="single" w:color="auto" w:sz="4" w:space="0"/>
            </w:tcBorders>
            <w:noWrap/>
            <w:vAlign w:val="center"/>
          </w:tcPr>
          <w:p w14:paraId="056A8AD2">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r>
              <w:rPr>
                <w:rFonts w:hint="eastAsia" w:ascii="仿宋" w:eastAsia="仿宋" w:cs="仿宋"/>
                <w:color w:val="000000"/>
                <w:sz w:val="24"/>
                <w:szCs w:val="24"/>
                <w:lang w:val="en-US" w:eastAsia="zh-CN"/>
              </w:rPr>
              <w:t>0.7</w:t>
            </w:r>
            <w:r>
              <w:rPr>
                <w:rFonts w:hint="default" w:ascii="仿宋" w:eastAsia="仿宋" w:cs="仿宋"/>
                <w:color w:val="000000"/>
                <w:sz w:val="24"/>
                <w:szCs w:val="24"/>
                <w:lang w:eastAsia="zh-CN"/>
              </w:rPr>
              <w:t>0</w:t>
            </w:r>
          </w:p>
        </w:tc>
      </w:tr>
      <w:tr w14:paraId="0CC29E85">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14:paraId="3E0F18EE">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tc>
        <w:tc>
          <w:tcPr>
            <w:tcW w:w="1212" w:type="dxa"/>
            <w:tcBorders>
              <w:top w:val="single" w:color="auto" w:sz="4" w:space="0"/>
              <w:left w:val="single" w:color="auto" w:sz="4" w:space="0"/>
              <w:bottom w:val="single" w:color="auto" w:sz="4" w:space="0"/>
              <w:right w:val="single" w:color="auto" w:sz="4" w:space="0"/>
            </w:tcBorders>
            <w:noWrap/>
            <w:vAlign w:val="center"/>
          </w:tcPr>
          <w:p w14:paraId="1492615B">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ascii="仿宋" w:eastAsia="仿宋" w:cs="仿宋"/>
                <w:color w:val="000000"/>
                <w:sz w:val="24"/>
                <w:szCs w:val="24"/>
                <w:lang w:val="en-US" w:eastAsia="zh-TW"/>
              </w:rPr>
              <w:t>课程目标2（</w:t>
            </w:r>
            <w:r>
              <w:rPr>
                <w:rFonts w:hint="default" w:ascii="仿宋" w:eastAsia="仿宋" w:cs="仿宋"/>
                <w:color w:val="000000"/>
                <w:sz w:val="24"/>
                <w:szCs w:val="24"/>
                <w:lang w:eastAsia="zh-TW"/>
              </w:rPr>
              <w:t>3</w:t>
            </w:r>
            <w:r>
              <w:rPr>
                <w:rFonts w:ascii="仿宋" w:eastAsia="仿宋" w:cs="仿宋"/>
                <w:color w:val="000000"/>
                <w:sz w:val="24"/>
                <w:szCs w:val="24"/>
                <w:lang w:val="en-US" w:eastAsia="zh-TW"/>
              </w:rPr>
              <w:t>0%）</w:t>
            </w:r>
          </w:p>
        </w:tc>
        <w:tc>
          <w:tcPr>
            <w:tcW w:w="3088" w:type="dxa"/>
            <w:gridSpan w:val="4"/>
            <w:tcBorders>
              <w:top w:val="single" w:color="auto" w:sz="4" w:space="0"/>
              <w:left w:val="single" w:color="auto" w:sz="4" w:space="0"/>
              <w:bottom w:val="single" w:color="auto" w:sz="4" w:space="0"/>
              <w:right w:val="single" w:color="auto" w:sz="4" w:space="0"/>
            </w:tcBorders>
            <w:noWrap/>
            <w:vAlign w:val="center"/>
          </w:tcPr>
          <w:p w14:paraId="3DE84076">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Hans"/>
              </w:rPr>
              <w:t>能够</w:t>
            </w:r>
            <w:r>
              <w:rPr>
                <w:rFonts w:hint="eastAsia" w:ascii="仿宋" w:eastAsia="仿宋" w:cs="仿宋"/>
                <w:color w:val="000000"/>
                <w:sz w:val="24"/>
                <w:szCs w:val="24"/>
                <w:lang w:val="en-US" w:eastAsia="zh-TW"/>
              </w:rPr>
              <w:t>了解并掌握声乐教学的特点和规律，明确声乐教学的任务、目的及具体实施办法，帮助学生以后能在专业的理论指导下进行声乐教学。</w:t>
            </w:r>
          </w:p>
        </w:tc>
        <w:tc>
          <w:tcPr>
            <w:tcW w:w="977" w:type="dxa"/>
            <w:gridSpan w:val="2"/>
            <w:tcBorders>
              <w:top w:val="single" w:color="auto" w:sz="4" w:space="0"/>
              <w:left w:val="single" w:color="auto" w:sz="4" w:space="0"/>
              <w:bottom w:val="single" w:color="auto" w:sz="4" w:space="0"/>
              <w:right w:val="single" w:color="auto" w:sz="4" w:space="0"/>
            </w:tcBorders>
            <w:noWrap/>
            <w:vAlign w:val="center"/>
          </w:tcPr>
          <w:p w14:paraId="169EF903">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TW"/>
              </w:rPr>
            </w:pPr>
            <w:r>
              <w:rPr>
                <w:rFonts w:hint="default" w:ascii="仿宋" w:eastAsia="仿宋" w:cs="仿宋"/>
                <w:color w:val="000000"/>
                <w:sz w:val="24"/>
                <w:szCs w:val="24"/>
                <w:lang w:eastAsia="zh-CN"/>
              </w:rPr>
              <w:t>6</w:t>
            </w:r>
          </w:p>
        </w:tc>
        <w:tc>
          <w:tcPr>
            <w:tcW w:w="977" w:type="dxa"/>
            <w:gridSpan w:val="3"/>
            <w:tcBorders>
              <w:top w:val="single" w:color="auto" w:sz="4" w:space="0"/>
              <w:left w:val="single" w:color="auto" w:sz="4" w:space="0"/>
              <w:bottom w:val="single" w:color="auto" w:sz="4" w:space="0"/>
              <w:right w:val="single" w:color="auto" w:sz="4" w:space="0"/>
            </w:tcBorders>
            <w:noWrap/>
            <w:vAlign w:val="center"/>
          </w:tcPr>
          <w:p w14:paraId="2DA6E0CA">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TW"/>
              </w:rPr>
            </w:pPr>
            <w:r>
              <w:rPr>
                <w:rFonts w:hint="default" w:ascii="仿宋" w:eastAsia="仿宋" w:cs="仿宋"/>
                <w:color w:val="000000"/>
                <w:sz w:val="24"/>
                <w:szCs w:val="24"/>
                <w:lang w:eastAsia="zh-TW"/>
              </w:rPr>
              <w:t>9</w:t>
            </w:r>
          </w:p>
        </w:tc>
        <w:tc>
          <w:tcPr>
            <w:tcW w:w="979" w:type="dxa"/>
            <w:gridSpan w:val="3"/>
            <w:tcBorders>
              <w:top w:val="single" w:color="auto" w:sz="4" w:space="0"/>
              <w:left w:val="single" w:color="auto" w:sz="4" w:space="0"/>
              <w:bottom w:val="single" w:color="auto" w:sz="4" w:space="0"/>
              <w:right w:val="single" w:color="auto" w:sz="4" w:space="0"/>
            </w:tcBorders>
            <w:noWrap/>
            <w:vAlign w:val="center"/>
          </w:tcPr>
          <w:p w14:paraId="79911497">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r>
              <w:rPr>
                <w:rFonts w:hint="default" w:ascii="仿宋" w:eastAsia="仿宋" w:cs="仿宋"/>
                <w:color w:val="000000"/>
                <w:sz w:val="24"/>
                <w:szCs w:val="24"/>
                <w:lang w:eastAsia="zh-TW"/>
              </w:rPr>
              <w:t>15</w:t>
            </w:r>
          </w:p>
        </w:tc>
        <w:tc>
          <w:tcPr>
            <w:tcW w:w="539" w:type="dxa"/>
            <w:tcBorders>
              <w:top w:val="single" w:color="auto" w:sz="4" w:space="0"/>
              <w:left w:val="single" w:color="auto" w:sz="4" w:space="0"/>
              <w:bottom w:val="single" w:color="auto" w:sz="4" w:space="0"/>
              <w:right w:val="single" w:color="auto" w:sz="4" w:space="0"/>
            </w:tcBorders>
            <w:noWrap/>
            <w:vAlign w:val="center"/>
          </w:tcPr>
          <w:p w14:paraId="282820D7">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r>
              <w:rPr>
                <w:rFonts w:hint="eastAsia" w:ascii="仿宋" w:eastAsia="仿宋" w:cs="仿宋"/>
                <w:color w:val="000000"/>
                <w:sz w:val="24"/>
                <w:szCs w:val="24"/>
                <w:lang w:val="en-US" w:eastAsia="zh-CN"/>
              </w:rPr>
              <w:t>0.7</w:t>
            </w:r>
            <w:r>
              <w:rPr>
                <w:rFonts w:hint="default" w:ascii="仿宋" w:eastAsia="仿宋" w:cs="仿宋"/>
                <w:color w:val="000000"/>
                <w:sz w:val="24"/>
                <w:szCs w:val="24"/>
                <w:lang w:eastAsia="zh-CN"/>
              </w:rPr>
              <w:t>0</w:t>
            </w:r>
          </w:p>
        </w:tc>
      </w:tr>
      <w:tr w14:paraId="346DAAA5">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14:paraId="0645E4C6">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tc>
        <w:tc>
          <w:tcPr>
            <w:tcW w:w="1212" w:type="dxa"/>
            <w:tcBorders>
              <w:top w:val="single" w:color="auto" w:sz="4" w:space="0"/>
              <w:left w:val="single" w:color="auto" w:sz="4" w:space="0"/>
              <w:bottom w:val="single" w:color="auto" w:sz="4" w:space="0"/>
              <w:right w:val="single" w:color="auto" w:sz="4" w:space="0"/>
            </w:tcBorders>
            <w:noWrap/>
            <w:vAlign w:val="center"/>
          </w:tcPr>
          <w:p w14:paraId="225DCFFE">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ascii="仿宋" w:eastAsia="仿宋" w:cs="仿宋"/>
                <w:color w:val="000000"/>
                <w:sz w:val="24"/>
                <w:szCs w:val="24"/>
                <w:lang w:val="en-US" w:eastAsia="zh-TW"/>
              </w:rPr>
              <w:t>课程目标3（</w:t>
            </w:r>
            <w:r>
              <w:rPr>
                <w:rFonts w:hint="default" w:ascii="仿宋" w:eastAsia="仿宋" w:cs="仿宋"/>
                <w:color w:val="000000"/>
                <w:sz w:val="24"/>
                <w:szCs w:val="24"/>
                <w:lang w:eastAsia="zh-TW"/>
              </w:rPr>
              <w:t>4</w:t>
            </w:r>
            <w:r>
              <w:rPr>
                <w:rFonts w:ascii="仿宋" w:eastAsia="仿宋" w:cs="仿宋"/>
                <w:color w:val="000000"/>
                <w:sz w:val="24"/>
                <w:szCs w:val="24"/>
                <w:lang w:val="en-US" w:eastAsia="zh-TW"/>
              </w:rPr>
              <w:t>0%）</w:t>
            </w:r>
          </w:p>
        </w:tc>
        <w:tc>
          <w:tcPr>
            <w:tcW w:w="3088" w:type="dxa"/>
            <w:gridSpan w:val="4"/>
            <w:tcBorders>
              <w:top w:val="single" w:color="auto" w:sz="4" w:space="0"/>
              <w:left w:val="single" w:color="auto" w:sz="4" w:space="0"/>
              <w:bottom w:val="single" w:color="auto" w:sz="4" w:space="0"/>
              <w:right w:val="single" w:color="auto" w:sz="4" w:space="0"/>
            </w:tcBorders>
            <w:noWrap/>
            <w:vAlign w:val="center"/>
          </w:tcPr>
          <w:p w14:paraId="36AC0483">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考核学生在教学实践中教学目标、教学内容的制定，教案的撰写，以及课堂教学过程中每个环节的设置。学生的语言组织能力、课堂节奏把握能力、课堂板书艺术，以及声乐教学的必备技能，如钢琴伴奏能力、歌曲范唱讲解能力等。</w:t>
            </w:r>
          </w:p>
        </w:tc>
        <w:tc>
          <w:tcPr>
            <w:tcW w:w="977" w:type="dxa"/>
            <w:gridSpan w:val="2"/>
            <w:tcBorders>
              <w:top w:val="single" w:color="auto" w:sz="4" w:space="0"/>
              <w:left w:val="single" w:color="auto" w:sz="4" w:space="0"/>
              <w:bottom w:val="single" w:color="auto" w:sz="4" w:space="0"/>
              <w:right w:val="single" w:color="auto" w:sz="4" w:space="0"/>
            </w:tcBorders>
            <w:noWrap/>
            <w:vAlign w:val="center"/>
          </w:tcPr>
          <w:p w14:paraId="711DE9D7">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TW"/>
              </w:rPr>
            </w:pPr>
            <w:r>
              <w:rPr>
                <w:rFonts w:hint="default" w:ascii="仿宋" w:eastAsia="仿宋" w:cs="仿宋"/>
                <w:color w:val="000000"/>
                <w:sz w:val="24"/>
                <w:szCs w:val="24"/>
                <w:lang w:eastAsia="zh-CN"/>
              </w:rPr>
              <w:t>8</w:t>
            </w:r>
          </w:p>
        </w:tc>
        <w:tc>
          <w:tcPr>
            <w:tcW w:w="977" w:type="dxa"/>
            <w:gridSpan w:val="3"/>
            <w:tcBorders>
              <w:top w:val="single" w:color="auto" w:sz="4" w:space="0"/>
              <w:left w:val="single" w:color="auto" w:sz="4" w:space="0"/>
              <w:bottom w:val="single" w:color="auto" w:sz="4" w:space="0"/>
              <w:right w:val="single" w:color="auto" w:sz="4" w:space="0"/>
            </w:tcBorders>
            <w:noWrap/>
            <w:vAlign w:val="center"/>
          </w:tcPr>
          <w:p w14:paraId="5B7C4C3B">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TW"/>
              </w:rPr>
            </w:pPr>
            <w:r>
              <w:rPr>
                <w:rFonts w:hint="default" w:ascii="仿宋" w:eastAsia="仿宋" w:cs="仿宋"/>
                <w:color w:val="000000"/>
                <w:sz w:val="24"/>
                <w:szCs w:val="24"/>
                <w:lang w:eastAsia="zh-CN"/>
              </w:rPr>
              <w:t>12</w:t>
            </w:r>
          </w:p>
        </w:tc>
        <w:tc>
          <w:tcPr>
            <w:tcW w:w="979" w:type="dxa"/>
            <w:gridSpan w:val="3"/>
            <w:tcBorders>
              <w:top w:val="single" w:color="auto" w:sz="4" w:space="0"/>
              <w:left w:val="single" w:color="auto" w:sz="4" w:space="0"/>
              <w:bottom w:val="single" w:color="auto" w:sz="4" w:space="0"/>
              <w:right w:val="single" w:color="auto" w:sz="4" w:space="0"/>
            </w:tcBorders>
            <w:noWrap/>
            <w:vAlign w:val="center"/>
          </w:tcPr>
          <w:p w14:paraId="690A9DC7">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r>
              <w:rPr>
                <w:rFonts w:hint="default" w:ascii="仿宋" w:eastAsia="仿宋" w:cs="仿宋"/>
                <w:color w:val="000000"/>
                <w:sz w:val="24"/>
                <w:szCs w:val="24"/>
                <w:lang w:eastAsia="zh-CN"/>
              </w:rPr>
              <w:t>20</w:t>
            </w:r>
          </w:p>
        </w:tc>
        <w:tc>
          <w:tcPr>
            <w:tcW w:w="539" w:type="dxa"/>
            <w:tcBorders>
              <w:top w:val="single" w:color="auto" w:sz="4" w:space="0"/>
              <w:left w:val="single" w:color="auto" w:sz="4" w:space="0"/>
              <w:bottom w:val="single" w:color="auto" w:sz="4" w:space="0"/>
              <w:right w:val="single" w:color="auto" w:sz="4" w:space="0"/>
            </w:tcBorders>
            <w:noWrap/>
            <w:vAlign w:val="center"/>
          </w:tcPr>
          <w:p w14:paraId="0707293D">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r>
              <w:rPr>
                <w:rFonts w:hint="eastAsia" w:ascii="仿宋" w:eastAsia="仿宋" w:cs="仿宋"/>
                <w:color w:val="000000"/>
                <w:sz w:val="24"/>
                <w:szCs w:val="24"/>
                <w:lang w:val="en-US" w:eastAsia="zh-CN"/>
              </w:rPr>
              <w:t>0.7</w:t>
            </w:r>
            <w:r>
              <w:rPr>
                <w:rFonts w:hint="default" w:ascii="仿宋" w:eastAsia="仿宋" w:cs="仿宋"/>
                <w:color w:val="000000"/>
                <w:sz w:val="24"/>
                <w:szCs w:val="24"/>
                <w:lang w:eastAsia="zh-CN"/>
              </w:rPr>
              <w:t>0</w:t>
            </w:r>
          </w:p>
        </w:tc>
      </w:tr>
      <w:tr w14:paraId="736C5AC6">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14:paraId="6E59AD7E">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tc>
        <w:tc>
          <w:tcPr>
            <w:tcW w:w="4300" w:type="dxa"/>
            <w:gridSpan w:val="5"/>
            <w:tcBorders>
              <w:top w:val="single" w:color="auto" w:sz="4" w:space="0"/>
              <w:left w:val="single" w:color="auto" w:sz="4" w:space="0"/>
              <w:bottom w:val="single" w:color="auto" w:sz="4" w:space="0"/>
              <w:right w:val="single" w:color="auto" w:sz="4" w:space="0"/>
            </w:tcBorders>
            <w:noWrap/>
            <w:vAlign w:val="center"/>
          </w:tcPr>
          <w:p w14:paraId="75AC29BD">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ascii="仿宋" w:eastAsia="仿宋" w:cs="仿宋"/>
                <w:color w:val="000000"/>
                <w:sz w:val="24"/>
                <w:szCs w:val="24"/>
                <w:lang w:val="en-US" w:eastAsia="zh-TW"/>
              </w:rPr>
              <w:t>总分</w:t>
            </w:r>
          </w:p>
        </w:tc>
        <w:tc>
          <w:tcPr>
            <w:tcW w:w="977" w:type="dxa"/>
            <w:gridSpan w:val="2"/>
            <w:tcBorders>
              <w:top w:val="single" w:color="auto" w:sz="4" w:space="0"/>
              <w:left w:val="single" w:color="auto" w:sz="4" w:space="0"/>
              <w:bottom w:val="single" w:color="auto" w:sz="4" w:space="0"/>
              <w:right w:val="single" w:color="auto" w:sz="4" w:space="0"/>
            </w:tcBorders>
            <w:noWrap/>
            <w:vAlign w:val="center"/>
          </w:tcPr>
          <w:p w14:paraId="7757F23B">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ascii="仿宋" w:eastAsia="仿宋" w:cs="仿宋"/>
                <w:color w:val="000000"/>
                <w:sz w:val="24"/>
                <w:szCs w:val="24"/>
                <w:lang w:val="en-US" w:eastAsia="zh-TW"/>
              </w:rPr>
              <w:t>20</w:t>
            </w:r>
          </w:p>
        </w:tc>
        <w:tc>
          <w:tcPr>
            <w:tcW w:w="977" w:type="dxa"/>
            <w:gridSpan w:val="3"/>
            <w:tcBorders>
              <w:top w:val="single" w:color="auto" w:sz="4" w:space="0"/>
              <w:left w:val="single" w:color="auto" w:sz="4" w:space="0"/>
              <w:bottom w:val="single" w:color="auto" w:sz="4" w:space="0"/>
              <w:right w:val="single" w:color="auto" w:sz="4" w:space="0"/>
            </w:tcBorders>
            <w:noWrap/>
            <w:vAlign w:val="center"/>
          </w:tcPr>
          <w:p w14:paraId="49CD234B">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ascii="仿宋" w:eastAsia="仿宋" w:cs="仿宋"/>
                <w:color w:val="000000"/>
                <w:sz w:val="24"/>
                <w:szCs w:val="24"/>
                <w:lang w:val="en-US" w:eastAsia="zh-TW"/>
              </w:rPr>
              <w:t>40</w:t>
            </w:r>
          </w:p>
        </w:tc>
        <w:tc>
          <w:tcPr>
            <w:tcW w:w="978" w:type="dxa"/>
            <w:gridSpan w:val="2"/>
            <w:tcBorders>
              <w:top w:val="single" w:color="auto" w:sz="4" w:space="0"/>
              <w:left w:val="single" w:color="auto" w:sz="4" w:space="0"/>
              <w:bottom w:val="single" w:color="auto" w:sz="4" w:space="0"/>
              <w:right w:val="single" w:color="auto" w:sz="4" w:space="0"/>
            </w:tcBorders>
            <w:noWrap/>
            <w:vAlign w:val="center"/>
          </w:tcPr>
          <w:p w14:paraId="7A089250">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ascii="仿宋" w:eastAsia="仿宋" w:cs="仿宋"/>
                <w:color w:val="000000"/>
                <w:sz w:val="24"/>
                <w:szCs w:val="24"/>
                <w:lang w:val="en-US" w:eastAsia="zh-TW"/>
              </w:rPr>
              <w:t>40</w:t>
            </w:r>
          </w:p>
        </w:tc>
        <w:tc>
          <w:tcPr>
            <w:tcW w:w="540" w:type="dxa"/>
            <w:gridSpan w:val="2"/>
            <w:tcBorders>
              <w:top w:val="single" w:color="auto" w:sz="4" w:space="0"/>
              <w:left w:val="single" w:color="auto" w:sz="4" w:space="0"/>
              <w:bottom w:val="single" w:color="auto" w:sz="4" w:space="0"/>
              <w:right w:val="single" w:color="auto" w:sz="4" w:space="0"/>
            </w:tcBorders>
            <w:noWrap/>
            <w:vAlign w:val="center"/>
          </w:tcPr>
          <w:p w14:paraId="569AEC8C">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r>
              <w:rPr>
                <w:rFonts w:hint="eastAsia" w:ascii="仿宋" w:eastAsia="仿宋" w:cs="仿宋"/>
                <w:color w:val="000000"/>
                <w:sz w:val="24"/>
                <w:szCs w:val="24"/>
                <w:lang w:val="en-US" w:eastAsia="zh-CN"/>
              </w:rPr>
              <w:t>0.7</w:t>
            </w:r>
            <w:r>
              <w:rPr>
                <w:rFonts w:hint="default" w:ascii="仿宋" w:eastAsia="仿宋" w:cs="仿宋"/>
                <w:color w:val="000000"/>
                <w:sz w:val="24"/>
                <w:szCs w:val="24"/>
                <w:lang w:eastAsia="zh-CN"/>
              </w:rPr>
              <w:t>0</w:t>
            </w:r>
          </w:p>
        </w:tc>
      </w:tr>
      <w:tr w14:paraId="4297AD03">
        <w:trPr>
          <w:trHeight w:val="2025" w:hRule="atLeast"/>
        </w:trPr>
        <w:tc>
          <w:tcPr>
            <w:tcW w:w="1376" w:type="dxa"/>
            <w:tcBorders>
              <w:top w:val="single" w:color="auto" w:sz="4" w:space="0"/>
              <w:left w:val="single" w:color="auto" w:sz="4" w:space="0"/>
              <w:bottom w:val="single" w:color="auto" w:sz="4" w:space="0"/>
              <w:right w:val="single" w:color="auto" w:sz="4" w:space="0"/>
            </w:tcBorders>
            <w:noWrap/>
            <w:vAlign w:val="center"/>
          </w:tcPr>
          <w:p w14:paraId="3FD4E0C8">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L</w:t>
            </w:r>
          </w:p>
          <w:p w14:paraId="25549672">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学习建议</w:t>
            </w:r>
          </w:p>
        </w:tc>
        <w:tc>
          <w:tcPr>
            <w:tcW w:w="7772" w:type="dxa"/>
            <w:gridSpan w:val="14"/>
            <w:tcBorders>
              <w:top w:val="single" w:color="auto" w:sz="4" w:space="0"/>
              <w:left w:val="single" w:color="auto" w:sz="4" w:space="0"/>
              <w:bottom w:val="single" w:color="auto" w:sz="4" w:space="0"/>
              <w:right w:val="single" w:color="auto" w:sz="4" w:space="0"/>
            </w:tcBorders>
            <w:noWrap/>
            <w:vAlign w:val="center"/>
          </w:tcPr>
          <w:p w14:paraId="3BA0C7C3">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1.自主学习。建议学生通过预习教材，并通过网络、图书馆自主查阅课程中涉及的学习资源，独立规划自己的课程学习计划，充分发挥自身的学习能动性。</w:t>
            </w:r>
          </w:p>
          <w:p w14:paraId="670B268C">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2.研究性学习。鼓励学生针对课程教学内容，尝试理论课结合专题报告的教学方式，提高学生的学习兴趣，了解国内外最新</w:t>
            </w:r>
            <w:r>
              <w:rPr>
                <w:rFonts w:hint="eastAsia" w:ascii="仿宋" w:eastAsia="仿宋" w:cs="仿宋"/>
                <w:color w:val="000000"/>
                <w:sz w:val="24"/>
                <w:szCs w:val="24"/>
                <w:lang w:val="en-US" w:eastAsia="zh-Hans"/>
              </w:rPr>
              <w:t>声乐教学法观点</w:t>
            </w:r>
            <w:r>
              <w:rPr>
                <w:rFonts w:hint="eastAsia" w:ascii="仿宋" w:eastAsia="仿宋" w:cs="仿宋"/>
                <w:color w:val="000000"/>
                <w:sz w:val="24"/>
                <w:szCs w:val="24"/>
                <w:lang w:val="en-US" w:eastAsia="zh-TW"/>
              </w:rPr>
              <w:t>，开阔学生的视野。</w:t>
            </w:r>
          </w:p>
          <w:p w14:paraId="67DE31CC">
            <w:pPr>
              <w:pageBreakBefore w:val="0"/>
              <w:widowControl w:val="0"/>
              <w:kinsoku/>
              <w:overflowPunct/>
              <w:topLinePunct w:val="0"/>
              <w:bidi w:val="0"/>
              <w:adjustRightInd w:val="0"/>
              <w:snapToGrid w:val="0"/>
              <w:spacing w:line="240" w:lineRule="auto"/>
              <w:rPr>
                <w:rFonts w:hint="eastAsia"/>
                <w:lang w:val="en-US" w:eastAsia="zh-TW"/>
              </w:rPr>
            </w:pPr>
          </w:p>
        </w:tc>
      </w:tr>
      <w:tr w14:paraId="36699B92">
        <w:trPr>
          <w:trHeight w:val="1220" w:hRule="atLeast"/>
        </w:trPr>
        <w:tc>
          <w:tcPr>
            <w:tcW w:w="1376" w:type="dxa"/>
            <w:tcBorders>
              <w:top w:val="single" w:color="auto" w:sz="4" w:space="0"/>
              <w:left w:val="single" w:color="auto" w:sz="4" w:space="0"/>
              <w:bottom w:val="single" w:color="auto" w:sz="4" w:space="0"/>
              <w:right w:val="single" w:color="auto" w:sz="4" w:space="0"/>
            </w:tcBorders>
            <w:noWrap/>
            <w:vAlign w:val="center"/>
          </w:tcPr>
          <w:p w14:paraId="4FC91C12">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M</w:t>
            </w:r>
          </w:p>
          <w:p w14:paraId="07FB9AA8">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评分量表</w:t>
            </w:r>
          </w:p>
        </w:tc>
        <w:tc>
          <w:tcPr>
            <w:tcW w:w="7772" w:type="dxa"/>
            <w:gridSpan w:val="14"/>
            <w:tcBorders>
              <w:top w:val="single" w:color="auto" w:sz="4" w:space="0"/>
              <w:left w:val="single" w:color="auto" w:sz="4" w:space="0"/>
              <w:bottom w:val="single" w:color="auto" w:sz="4" w:space="0"/>
              <w:right w:val="single" w:color="auto" w:sz="4" w:space="0"/>
            </w:tcBorders>
            <w:noWrap/>
            <w:vAlign w:val="center"/>
          </w:tcPr>
          <w:p w14:paraId="12CBA388">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default" w:ascii="仿宋" w:eastAsia="仿宋" w:cs="仿宋"/>
                <w:kern w:val="0"/>
                <w:sz w:val="24"/>
                <w:szCs w:val="24"/>
                <w:lang w:bidi="ar-SA"/>
              </w:rPr>
              <w:t>《</w:t>
            </w:r>
            <w:r>
              <w:rPr>
                <w:rFonts w:hint="eastAsia" w:ascii="仿宋" w:eastAsia="仿宋" w:cs="仿宋"/>
                <w:kern w:val="0"/>
                <w:sz w:val="24"/>
                <w:szCs w:val="24"/>
                <w:lang w:val="en-US" w:eastAsia="zh-Hans" w:bidi="ar-SA"/>
              </w:rPr>
              <w:t>声乐教学法</w:t>
            </w:r>
            <w:r>
              <w:rPr>
                <w:rFonts w:hint="default" w:ascii="仿宋" w:eastAsia="仿宋" w:cs="仿宋"/>
                <w:kern w:val="0"/>
                <w:sz w:val="24"/>
                <w:szCs w:val="24"/>
                <w:lang w:eastAsia="zh-Hans" w:bidi="ar-SA"/>
              </w:rPr>
              <w:t>》</w:t>
            </w:r>
            <w:r>
              <w:rPr>
                <w:rFonts w:hint="eastAsia" w:ascii="仿宋" w:eastAsia="仿宋" w:cs="仿宋"/>
                <w:kern w:val="0"/>
                <w:sz w:val="24"/>
                <w:szCs w:val="24"/>
                <w:lang w:bidi="ar-SA"/>
              </w:rPr>
              <w:t>课程目标评分量表见附表。</w:t>
            </w:r>
          </w:p>
        </w:tc>
      </w:tr>
      <w:tr w14:paraId="053324DE">
        <w:trPr>
          <w:trHeight w:val="913" w:hRule="atLeast"/>
        </w:trPr>
        <w:tc>
          <w:tcPr>
            <w:tcW w:w="1376" w:type="dxa"/>
            <w:tcBorders>
              <w:top w:val="single" w:color="auto" w:sz="4" w:space="0"/>
              <w:left w:val="single" w:color="auto" w:sz="4" w:space="0"/>
              <w:bottom w:val="single" w:color="auto" w:sz="4" w:space="0"/>
              <w:right w:val="single" w:color="auto" w:sz="4" w:space="0"/>
            </w:tcBorders>
            <w:noWrap/>
            <w:vAlign w:val="center"/>
          </w:tcPr>
          <w:p w14:paraId="74668C7B">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备注</w:t>
            </w:r>
          </w:p>
        </w:tc>
        <w:tc>
          <w:tcPr>
            <w:tcW w:w="7772" w:type="dxa"/>
            <w:gridSpan w:val="14"/>
            <w:tcBorders>
              <w:top w:val="single" w:color="auto" w:sz="4" w:space="0"/>
              <w:left w:val="single" w:color="auto" w:sz="4" w:space="0"/>
              <w:bottom w:val="single" w:color="auto" w:sz="4" w:space="0"/>
              <w:right w:val="single" w:color="auto" w:sz="4" w:space="0"/>
            </w:tcBorders>
            <w:noWrap/>
            <w:vAlign w:val="center"/>
          </w:tcPr>
          <w:p w14:paraId="667B1F38">
            <w:pPr>
              <w:pageBreakBefore w:val="0"/>
              <w:widowControl w:val="0"/>
              <w:kinsoku/>
              <w:overflowPunct/>
              <w:topLinePunct w:val="0"/>
              <w:bidi w:val="0"/>
              <w:adjustRightInd w:val="0"/>
              <w:snapToGrid w:val="0"/>
              <w:spacing w:line="240" w:lineRule="auto"/>
              <w:rPr>
                <w:rFonts w:hint="eastAsia" w:ascii="仿宋" w:eastAsia="仿宋" w:cs="仿宋"/>
                <w:color w:val="000000"/>
                <w:kern w:val="0"/>
                <w:sz w:val="24"/>
                <w:szCs w:val="24"/>
              </w:rPr>
            </w:pPr>
            <w:r>
              <w:rPr>
                <w:rFonts w:hint="eastAsia" w:ascii="仿宋" w:hAnsi="仿宋" w:eastAsia="仿宋" w:cs="仿宋"/>
                <w:sz w:val="24"/>
                <w:szCs w:val="24"/>
              </w:rPr>
              <w:t>课程大纲A—M项由开课学院审批通过，任课教师不能自行更改。</w:t>
            </w:r>
          </w:p>
        </w:tc>
      </w:tr>
      <w:tr w14:paraId="2CEDE368">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14:paraId="60E003CE">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审批</w:t>
            </w:r>
          </w:p>
          <w:p w14:paraId="5C842743">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意见</w:t>
            </w:r>
          </w:p>
        </w:tc>
        <w:tc>
          <w:tcPr>
            <w:tcW w:w="4300" w:type="dxa"/>
            <w:gridSpan w:val="5"/>
            <w:tcBorders>
              <w:top w:val="single" w:color="auto" w:sz="4" w:space="0"/>
              <w:left w:val="single" w:color="auto" w:sz="4" w:space="0"/>
              <w:bottom w:val="single" w:color="auto" w:sz="4" w:space="0"/>
              <w:right w:val="single" w:color="auto" w:sz="4" w:space="0"/>
            </w:tcBorders>
            <w:noWrap/>
            <w:vAlign w:val="center"/>
          </w:tcPr>
          <w:p w14:paraId="62503B8C">
            <w:pPr>
              <w:pageBreakBefore w:val="0"/>
              <w:widowControl/>
              <w:kinsoku/>
              <w:overflowPunct/>
              <w:topLinePunct w:val="0"/>
              <w:bidi w:val="0"/>
              <w:adjustRightInd w:val="0"/>
              <w:snapToGrid w:val="0"/>
              <w:spacing w:line="240" w:lineRule="auto"/>
              <w:jc w:val="left"/>
              <w:rPr>
                <w:rFonts w:hint="eastAsia" w:ascii="仿宋" w:eastAsia="仿宋" w:cs="仿宋"/>
                <w:kern w:val="0"/>
                <w:sz w:val="24"/>
                <w:szCs w:val="24"/>
              </w:rPr>
            </w:pPr>
            <w:r>
              <w:rPr>
                <w:rFonts w:hint="eastAsia" w:ascii="仿宋" w:eastAsia="仿宋" w:cs="仿宋"/>
                <w:kern w:val="0"/>
                <w:sz w:val="24"/>
                <w:szCs w:val="24"/>
              </w:rPr>
              <w:t>课程</w:t>
            </w:r>
            <w:r>
              <w:rPr>
                <w:rFonts w:hint="eastAsia" w:ascii="仿宋" w:eastAsia="仿宋" w:cs="仿宋"/>
                <w:kern w:val="0"/>
                <w:sz w:val="24"/>
                <w:szCs w:val="24"/>
                <w:lang w:val="en-US" w:eastAsia="zh-CN"/>
              </w:rPr>
              <w:t>教学</w:t>
            </w:r>
            <w:r>
              <w:rPr>
                <w:rFonts w:hint="eastAsia" w:ascii="仿宋" w:eastAsia="仿宋" w:cs="仿宋"/>
                <w:kern w:val="0"/>
                <w:sz w:val="24"/>
                <w:szCs w:val="24"/>
              </w:rPr>
              <w:t>大纲</w:t>
            </w:r>
            <w:r>
              <w:rPr>
                <w:rFonts w:hint="eastAsia" w:ascii="仿宋" w:eastAsia="仿宋" w:cs="仿宋"/>
                <w:kern w:val="0"/>
                <w:sz w:val="24"/>
                <w:szCs w:val="24"/>
                <w:lang w:val="en-US" w:eastAsia="zh-CN"/>
              </w:rPr>
              <w:t>修订</w:t>
            </w:r>
            <w:r>
              <w:rPr>
                <w:rFonts w:hint="eastAsia" w:ascii="仿宋" w:eastAsia="仿宋" w:cs="仿宋"/>
                <w:kern w:val="0"/>
                <w:sz w:val="24"/>
                <w:szCs w:val="24"/>
              </w:rPr>
              <w:t>负责人</w:t>
            </w:r>
            <w:r>
              <w:rPr>
                <w:rFonts w:hint="eastAsia" w:ascii="仿宋" w:eastAsia="仿宋" w:cs="仿宋"/>
                <w:kern w:val="0"/>
                <w:sz w:val="24"/>
                <w:szCs w:val="24"/>
                <w:lang w:val="en-US" w:eastAsia="zh-CN"/>
              </w:rPr>
              <w:t>及教学团队成员</w:t>
            </w:r>
            <w:r>
              <w:rPr>
                <w:rFonts w:hint="eastAsia" w:ascii="仿宋" w:eastAsia="仿宋" w:cs="仿宋"/>
                <w:color w:val="000000"/>
                <w:sz w:val="24"/>
                <w:szCs w:val="24"/>
              </w:rPr>
              <w:t>签名</w:t>
            </w:r>
            <w:r>
              <w:rPr>
                <w:rFonts w:hint="eastAsia" w:ascii="仿宋" w:eastAsia="仿宋" w:cs="仿宋"/>
                <w:kern w:val="0"/>
                <w:sz w:val="24"/>
                <w:szCs w:val="24"/>
              </w:rPr>
              <w:t>：</w:t>
            </w:r>
            <w:r>
              <w:rPr>
                <w:rFonts w:hint="eastAsia" w:ascii="仿宋" w:eastAsia="仿宋" w:cs="仿宋"/>
                <w:kern w:val="0"/>
                <w:sz w:val="24"/>
                <w:szCs w:val="24"/>
                <w:lang w:eastAsia="zh-CN"/>
              </w:rPr>
              <w:t>吴碧玲</w:t>
            </w:r>
            <w:r>
              <w:rPr>
                <w:rFonts w:hint="eastAsia" w:ascii="仿宋" w:eastAsia="仿宋" w:cs="仿宋"/>
                <w:kern w:val="0"/>
                <w:sz w:val="24"/>
                <w:szCs w:val="24"/>
              </w:rPr>
              <w:t xml:space="preserve">   </w:t>
            </w:r>
          </w:p>
          <w:p w14:paraId="0C1C7E4C">
            <w:pPr>
              <w:pageBreakBefore w:val="0"/>
              <w:widowControl/>
              <w:kinsoku/>
              <w:overflowPunct/>
              <w:topLinePunct w:val="0"/>
              <w:bidi w:val="0"/>
              <w:adjustRightInd w:val="0"/>
              <w:snapToGrid w:val="0"/>
              <w:spacing w:line="240" w:lineRule="auto"/>
              <w:jc w:val="left"/>
              <w:rPr>
                <w:rFonts w:hint="eastAsia" w:ascii="仿宋" w:eastAsia="仿宋" w:cs="仿宋"/>
                <w:kern w:val="0"/>
                <w:sz w:val="24"/>
                <w:szCs w:val="24"/>
              </w:rPr>
            </w:pPr>
          </w:p>
          <w:p w14:paraId="0AE1A971">
            <w:pPr>
              <w:pageBreakBefore w:val="0"/>
              <w:widowControl/>
              <w:kinsoku/>
              <w:overflowPunct/>
              <w:topLinePunct w:val="0"/>
              <w:bidi w:val="0"/>
              <w:adjustRightInd w:val="0"/>
              <w:snapToGrid w:val="0"/>
              <w:spacing w:line="240" w:lineRule="auto"/>
              <w:jc w:val="left"/>
              <w:rPr>
                <w:rFonts w:hint="default" w:ascii="仿宋" w:eastAsia="仿宋" w:cs="仿宋"/>
                <w:kern w:val="0"/>
                <w:sz w:val="24"/>
                <w:szCs w:val="24"/>
              </w:rPr>
            </w:pPr>
          </w:p>
          <w:p w14:paraId="3CFF318E">
            <w:pPr>
              <w:pageBreakBefore w:val="0"/>
              <w:widowControl/>
              <w:kinsoku/>
              <w:overflowPunct/>
              <w:topLinePunct w:val="0"/>
              <w:bidi w:val="0"/>
              <w:adjustRightInd w:val="0"/>
              <w:snapToGrid w:val="0"/>
              <w:spacing w:line="240" w:lineRule="auto"/>
              <w:jc w:val="left"/>
              <w:rPr>
                <w:rFonts w:hint="eastAsia" w:ascii="仿宋" w:eastAsia="仿宋" w:cs="仿宋"/>
                <w:kern w:val="0"/>
                <w:sz w:val="24"/>
                <w:szCs w:val="24"/>
              </w:rPr>
            </w:pPr>
          </w:p>
          <w:p w14:paraId="59C1DB0E">
            <w:pPr>
              <w:pageBreakBefore w:val="0"/>
              <w:widowControl/>
              <w:kinsoku/>
              <w:overflowPunct/>
              <w:topLinePunct w:val="0"/>
              <w:bidi w:val="0"/>
              <w:adjustRightInd w:val="0"/>
              <w:snapToGrid w:val="0"/>
              <w:spacing w:line="240" w:lineRule="auto"/>
              <w:jc w:val="right"/>
              <w:rPr>
                <w:rFonts w:hint="eastAsia" w:ascii="仿宋" w:eastAsia="仿宋" w:cs="仿宋"/>
                <w:kern w:val="0"/>
                <w:sz w:val="24"/>
                <w:szCs w:val="24"/>
                <w:lang w:val="en-US" w:eastAsia="zh-CN"/>
              </w:rPr>
            </w:pPr>
            <w:r>
              <w:rPr>
                <w:rFonts w:hint="eastAsia" w:ascii="仿宋" w:eastAsia="仿宋" w:cs="仿宋"/>
                <w:kern w:val="0"/>
                <w:sz w:val="24"/>
                <w:szCs w:val="24"/>
              </w:rPr>
              <w:t xml:space="preserve">                                                   年   月   日</w:t>
            </w:r>
            <w:r>
              <w:rPr>
                <w:rFonts w:hint="eastAsia" w:ascii="仿宋" w:eastAsia="仿宋" w:cs="仿宋"/>
                <w:kern w:val="0"/>
                <w:sz w:val="24"/>
                <w:szCs w:val="24"/>
                <w:lang w:val="en-US" w:eastAsia="zh-CN"/>
              </w:rPr>
              <w:t xml:space="preserve"> </w:t>
            </w:r>
          </w:p>
          <w:p w14:paraId="53A36E3C">
            <w:pPr>
              <w:pageBreakBefore w:val="0"/>
              <w:widowControl/>
              <w:kinsoku/>
              <w:overflowPunct/>
              <w:topLinePunct w:val="0"/>
              <w:bidi w:val="0"/>
              <w:adjustRightInd w:val="0"/>
              <w:snapToGrid w:val="0"/>
              <w:spacing w:line="240" w:lineRule="auto"/>
              <w:jc w:val="right"/>
              <w:rPr>
                <w:rFonts w:hint="eastAsia" w:ascii="仿宋" w:eastAsia="仿宋" w:cs="仿宋"/>
                <w:kern w:val="0"/>
                <w:sz w:val="24"/>
                <w:szCs w:val="24"/>
              </w:rPr>
            </w:pPr>
          </w:p>
        </w:tc>
        <w:tc>
          <w:tcPr>
            <w:tcW w:w="3472" w:type="dxa"/>
            <w:gridSpan w:val="9"/>
            <w:tcBorders>
              <w:top w:val="single" w:color="auto" w:sz="4" w:space="0"/>
              <w:left w:val="single" w:color="auto" w:sz="4" w:space="0"/>
              <w:bottom w:val="single" w:color="auto" w:sz="4" w:space="0"/>
              <w:right w:val="single" w:color="auto" w:sz="4" w:space="0"/>
            </w:tcBorders>
            <w:noWrap/>
            <w:vAlign w:val="center"/>
          </w:tcPr>
          <w:p w14:paraId="51768882">
            <w:pPr>
              <w:pageBreakBefore w:val="0"/>
              <w:widowControl/>
              <w:kinsoku/>
              <w:overflowPunct/>
              <w:topLinePunct w:val="0"/>
              <w:bidi w:val="0"/>
              <w:adjustRightInd w:val="0"/>
              <w:snapToGrid w:val="0"/>
              <w:spacing w:line="240" w:lineRule="auto"/>
              <w:jc w:val="left"/>
              <w:rPr>
                <w:rFonts w:hint="eastAsia" w:ascii="仿宋" w:eastAsia="仿宋" w:cs="仿宋"/>
                <w:kern w:val="0"/>
                <w:sz w:val="24"/>
                <w:szCs w:val="24"/>
              </w:rPr>
            </w:pPr>
            <w:r>
              <w:rPr>
                <w:rFonts w:hint="eastAsia" w:ascii="仿宋" w:eastAsia="仿宋" w:cs="仿宋"/>
                <w:kern w:val="0"/>
                <w:sz w:val="24"/>
                <w:szCs w:val="24"/>
                <w:lang w:val="en-US" w:eastAsia="zh-CN"/>
              </w:rPr>
              <w:t>系主任审核</w:t>
            </w:r>
            <w:r>
              <w:rPr>
                <w:rFonts w:hint="eastAsia" w:ascii="仿宋" w:eastAsia="仿宋" w:cs="仿宋"/>
                <w:kern w:val="0"/>
                <w:sz w:val="24"/>
                <w:szCs w:val="24"/>
              </w:rPr>
              <w:t>意见：</w:t>
            </w:r>
          </w:p>
          <w:p w14:paraId="75972240">
            <w:pPr>
              <w:pageBreakBefore w:val="0"/>
              <w:widowControl/>
              <w:kinsoku/>
              <w:overflowPunct/>
              <w:topLinePunct w:val="0"/>
              <w:bidi w:val="0"/>
              <w:adjustRightInd w:val="0"/>
              <w:snapToGrid w:val="0"/>
              <w:spacing w:line="240" w:lineRule="auto"/>
              <w:jc w:val="left"/>
              <w:rPr>
                <w:rFonts w:hint="eastAsia" w:ascii="仿宋" w:eastAsia="仿宋" w:cs="仿宋"/>
                <w:kern w:val="0"/>
                <w:sz w:val="24"/>
                <w:szCs w:val="24"/>
              </w:rPr>
            </w:pPr>
          </w:p>
          <w:p w14:paraId="6BE2A19F">
            <w:pPr>
              <w:pageBreakBefore w:val="0"/>
              <w:widowControl/>
              <w:kinsoku/>
              <w:overflowPunct/>
              <w:topLinePunct w:val="0"/>
              <w:bidi w:val="0"/>
              <w:adjustRightInd w:val="0"/>
              <w:snapToGrid w:val="0"/>
              <w:spacing w:line="240" w:lineRule="auto"/>
              <w:jc w:val="left"/>
              <w:rPr>
                <w:rFonts w:hint="eastAsia" w:ascii="仿宋" w:eastAsia="仿宋" w:cs="仿宋"/>
                <w:kern w:val="0"/>
                <w:sz w:val="24"/>
                <w:szCs w:val="24"/>
              </w:rPr>
            </w:pPr>
          </w:p>
          <w:p w14:paraId="67BCDB7F">
            <w:pPr>
              <w:pageBreakBefore w:val="0"/>
              <w:widowControl/>
              <w:kinsoku/>
              <w:overflowPunct/>
              <w:topLinePunct w:val="0"/>
              <w:bidi w:val="0"/>
              <w:adjustRightInd w:val="0"/>
              <w:snapToGrid w:val="0"/>
              <w:spacing w:line="240" w:lineRule="auto"/>
              <w:jc w:val="left"/>
              <w:rPr>
                <w:rFonts w:hint="eastAsia" w:ascii="仿宋" w:eastAsia="仿宋" w:cs="仿宋"/>
                <w:kern w:val="0"/>
                <w:sz w:val="24"/>
                <w:szCs w:val="24"/>
              </w:rPr>
            </w:pPr>
          </w:p>
          <w:p w14:paraId="7FC87FBF">
            <w:pPr>
              <w:pageBreakBefore w:val="0"/>
              <w:widowControl/>
              <w:kinsoku/>
              <w:overflowPunct/>
              <w:topLinePunct w:val="0"/>
              <w:bidi w:val="0"/>
              <w:adjustRightInd w:val="0"/>
              <w:snapToGrid w:val="0"/>
              <w:spacing w:line="240" w:lineRule="auto"/>
              <w:jc w:val="left"/>
              <w:rPr>
                <w:rFonts w:hint="eastAsia" w:ascii="仿宋" w:eastAsia="仿宋" w:cs="仿宋"/>
                <w:kern w:val="0"/>
                <w:sz w:val="24"/>
                <w:szCs w:val="24"/>
              </w:rPr>
            </w:pPr>
          </w:p>
          <w:p w14:paraId="6A830E63">
            <w:pPr>
              <w:pageBreakBefore w:val="0"/>
              <w:widowControl/>
              <w:kinsoku/>
              <w:overflowPunct/>
              <w:topLinePunct w:val="0"/>
              <w:bidi w:val="0"/>
              <w:adjustRightInd w:val="0"/>
              <w:snapToGrid w:val="0"/>
              <w:spacing w:line="240" w:lineRule="auto"/>
              <w:jc w:val="left"/>
              <w:rPr>
                <w:rFonts w:hint="eastAsia" w:ascii="仿宋" w:eastAsia="仿宋" w:cs="仿宋"/>
                <w:kern w:val="0"/>
                <w:sz w:val="24"/>
                <w:szCs w:val="24"/>
              </w:rPr>
            </w:pPr>
            <w:r>
              <w:rPr>
                <w:rFonts w:hint="eastAsia" w:ascii="仿宋" w:eastAsia="仿宋" w:cs="仿宋"/>
                <w:kern w:val="0"/>
                <w:sz w:val="24"/>
                <w:szCs w:val="24"/>
                <w:lang w:val="en-US" w:eastAsia="zh-CN"/>
              </w:rPr>
              <w:t>系主任</w:t>
            </w:r>
            <w:r>
              <w:rPr>
                <w:rFonts w:hint="eastAsia" w:ascii="仿宋" w:eastAsia="仿宋" w:cs="仿宋"/>
                <w:kern w:val="0"/>
                <w:sz w:val="24"/>
                <w:szCs w:val="24"/>
              </w:rPr>
              <w:t>签名：</w:t>
            </w:r>
          </w:p>
          <w:p w14:paraId="6795FDA0">
            <w:pPr>
              <w:pageBreakBefore w:val="0"/>
              <w:widowControl/>
              <w:kinsoku/>
              <w:overflowPunct/>
              <w:topLinePunct w:val="0"/>
              <w:bidi w:val="0"/>
              <w:adjustRightInd w:val="0"/>
              <w:snapToGrid w:val="0"/>
              <w:spacing w:line="240" w:lineRule="auto"/>
              <w:jc w:val="right"/>
              <w:rPr>
                <w:rFonts w:hint="eastAsia" w:ascii="仿宋" w:eastAsia="仿宋" w:cs="仿宋"/>
                <w:kern w:val="0"/>
                <w:sz w:val="24"/>
                <w:szCs w:val="24"/>
              </w:rPr>
            </w:pPr>
          </w:p>
          <w:p w14:paraId="766FD4E1">
            <w:pPr>
              <w:pageBreakBefore w:val="0"/>
              <w:widowControl/>
              <w:kinsoku/>
              <w:overflowPunct/>
              <w:topLinePunct w:val="0"/>
              <w:bidi w:val="0"/>
              <w:adjustRightInd w:val="0"/>
              <w:snapToGrid w:val="0"/>
              <w:spacing w:line="240" w:lineRule="auto"/>
              <w:jc w:val="right"/>
              <w:rPr>
                <w:rFonts w:hint="eastAsia" w:ascii="仿宋" w:eastAsia="仿宋" w:cs="仿宋"/>
                <w:kern w:val="0"/>
                <w:sz w:val="24"/>
                <w:szCs w:val="24"/>
              </w:rPr>
            </w:pPr>
            <w:r>
              <w:rPr>
                <w:rFonts w:hint="eastAsia" w:ascii="仿宋" w:eastAsia="仿宋" w:cs="仿宋"/>
                <w:kern w:val="0"/>
                <w:sz w:val="24"/>
                <w:szCs w:val="24"/>
              </w:rPr>
              <w:t>年   月   日</w:t>
            </w:r>
          </w:p>
          <w:p w14:paraId="0AD5B8A8">
            <w:pPr>
              <w:pageBreakBefore w:val="0"/>
              <w:widowControl/>
              <w:kinsoku/>
              <w:overflowPunct/>
              <w:topLinePunct w:val="0"/>
              <w:bidi w:val="0"/>
              <w:adjustRightInd w:val="0"/>
              <w:snapToGrid w:val="0"/>
              <w:spacing w:line="240" w:lineRule="auto"/>
              <w:jc w:val="right"/>
              <w:rPr>
                <w:rFonts w:hint="eastAsia" w:ascii="仿宋" w:eastAsia="仿宋" w:cs="仿宋"/>
                <w:kern w:val="0"/>
                <w:sz w:val="24"/>
                <w:szCs w:val="24"/>
              </w:rPr>
            </w:pPr>
          </w:p>
        </w:tc>
      </w:tr>
    </w:tbl>
    <w:p w14:paraId="360CACAC">
      <w:pPr>
        <w:pageBreakBefore w:val="0"/>
        <w:widowControl w:val="0"/>
        <w:kinsoku/>
        <w:overflowPunct/>
        <w:topLinePunct w:val="0"/>
        <w:bidi w:val="0"/>
        <w:spacing w:before="240" w:line="240" w:lineRule="auto"/>
        <w:jc w:val="both"/>
        <w:rPr>
          <w:rFonts w:hint="eastAsia" w:ascii="仿宋" w:eastAsia="仿宋" w:cs="仿宋"/>
          <w:b/>
          <w:kern w:val="2"/>
          <w:sz w:val="28"/>
          <w:szCs w:val="28"/>
          <w:lang w:bidi="ar-SA"/>
        </w:rPr>
      </w:pPr>
    </w:p>
    <w:p w14:paraId="74C67440">
      <w:pPr>
        <w:pageBreakBefore w:val="0"/>
        <w:widowControl w:val="0"/>
        <w:kinsoku/>
        <w:overflowPunct/>
        <w:topLinePunct w:val="0"/>
        <w:bidi w:val="0"/>
        <w:spacing w:before="240" w:line="240" w:lineRule="auto"/>
        <w:jc w:val="center"/>
        <w:rPr>
          <w:rFonts w:hint="eastAsia" w:ascii="仿宋" w:eastAsia="仿宋" w:cs="黑体"/>
          <w:b/>
          <w:kern w:val="2"/>
          <w:sz w:val="28"/>
          <w:szCs w:val="28"/>
          <w:lang w:bidi="ar-SA"/>
        </w:rPr>
      </w:pPr>
      <w:r>
        <w:rPr>
          <w:rFonts w:hint="default" w:ascii="仿宋" w:eastAsia="仿宋" w:cs="仿宋"/>
          <w:b/>
          <w:kern w:val="2"/>
          <w:sz w:val="28"/>
          <w:szCs w:val="28"/>
          <w:lang w:bidi="ar-SA"/>
        </w:rPr>
        <w:t xml:space="preserve">     </w:t>
      </w:r>
      <w:r>
        <w:rPr>
          <w:rFonts w:hint="eastAsia" w:ascii="仿宋" w:eastAsia="仿宋" w:cs="仿宋"/>
          <w:b/>
          <w:kern w:val="2"/>
          <w:sz w:val="28"/>
          <w:szCs w:val="28"/>
          <w:lang w:bidi="ar-SA"/>
        </w:rPr>
        <w:t>附表：《</w:t>
      </w:r>
      <w:r>
        <w:rPr>
          <w:rFonts w:hint="eastAsia" w:ascii="仿宋" w:eastAsia="仿宋" w:cs="仿宋"/>
          <w:b/>
          <w:kern w:val="2"/>
          <w:sz w:val="28"/>
          <w:szCs w:val="28"/>
          <w:lang w:val="en-US" w:eastAsia="zh-Hans" w:bidi="ar-SA"/>
        </w:rPr>
        <w:t>声乐教学法</w:t>
      </w:r>
      <w:r>
        <w:rPr>
          <w:rFonts w:hint="eastAsia" w:ascii="仿宋" w:eastAsia="仿宋" w:cs="仿宋"/>
          <w:b/>
          <w:kern w:val="2"/>
          <w:sz w:val="28"/>
          <w:szCs w:val="28"/>
          <w:lang w:bidi="ar-SA"/>
        </w:rPr>
        <w:t>》课程目标评分量表</w:t>
      </w:r>
    </w:p>
    <w:tbl>
      <w:tblPr>
        <w:tblStyle w:val="22"/>
        <w:tblW w:w="9210" w:type="dxa"/>
        <w:tblInd w:w="8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188"/>
        <w:gridCol w:w="1404"/>
        <w:gridCol w:w="1404"/>
        <w:gridCol w:w="1404"/>
        <w:gridCol w:w="1404"/>
        <w:gridCol w:w="1406"/>
      </w:tblGrid>
      <w:tr w14:paraId="057CBE93">
        <w:trPr>
          <w:trHeight w:val="624" w:hRule="atLeast"/>
        </w:trPr>
        <w:tc>
          <w:tcPr>
            <w:tcW w:w="2188" w:type="dxa"/>
            <w:tcBorders>
              <w:top w:val="single" w:color="000000" w:sz="4" w:space="0"/>
              <w:left w:val="single" w:color="000000" w:sz="4" w:space="0"/>
              <w:bottom w:val="single" w:color="000000" w:sz="4" w:space="0"/>
              <w:right w:val="single" w:color="000000" w:sz="4" w:space="0"/>
            </w:tcBorders>
            <w:noWrap/>
            <w:vAlign w:val="center"/>
          </w:tcPr>
          <w:p w14:paraId="1C88F042">
            <w:pPr>
              <w:pageBreakBefore w:val="0"/>
              <w:widowControl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课程目标</w:t>
            </w:r>
          </w:p>
        </w:tc>
        <w:tc>
          <w:tcPr>
            <w:tcW w:w="1404" w:type="dxa"/>
            <w:tcBorders>
              <w:top w:val="single" w:color="000000" w:sz="4" w:space="0"/>
              <w:left w:val="single" w:color="000000" w:sz="4" w:space="0"/>
              <w:bottom w:val="single" w:color="000000" w:sz="4" w:space="0"/>
              <w:right w:val="single" w:color="000000" w:sz="4" w:space="0"/>
            </w:tcBorders>
            <w:noWrap/>
            <w:vAlign w:val="center"/>
          </w:tcPr>
          <w:p w14:paraId="6DF6D71B">
            <w:pPr>
              <w:pageBreakBefore w:val="0"/>
              <w:widowControl w:val="0"/>
              <w:tabs>
                <w:tab w:val="left" w:pos="719"/>
                <w:tab w:val="left" w:pos="1418"/>
                <w:tab w:val="left" w:pos="6298"/>
              </w:tabs>
              <w:kinsoku/>
              <w:overflowPunct/>
              <w:topLinePunct w:val="0"/>
              <w:bidi w:val="0"/>
              <w:spacing w:line="240" w:lineRule="auto"/>
              <w:ind w:left="-128" w:right="-75"/>
              <w:jc w:val="center"/>
              <w:rPr>
                <w:rFonts w:hint="eastAsia" w:ascii="仿宋" w:eastAsia="仿宋" w:cs="仿宋"/>
                <w:b/>
                <w:kern w:val="2"/>
                <w:szCs w:val="21"/>
                <w:lang w:bidi="ar-SA"/>
              </w:rPr>
            </w:pPr>
            <w:r>
              <w:rPr>
                <w:rFonts w:hint="eastAsia" w:ascii="仿宋" w:eastAsia="仿宋" w:cs="仿宋"/>
                <w:b/>
                <w:kern w:val="2"/>
                <w:szCs w:val="21"/>
                <w:lang w:bidi="ar-SA"/>
              </w:rPr>
              <w:t>优</w:t>
            </w:r>
          </w:p>
          <w:p w14:paraId="388DE4BA">
            <w:pPr>
              <w:pageBreakBefore w:val="0"/>
              <w:widowControl w:val="0"/>
              <w:tabs>
                <w:tab w:val="left" w:pos="719"/>
                <w:tab w:val="left" w:pos="1418"/>
                <w:tab w:val="left" w:pos="6298"/>
              </w:tabs>
              <w:kinsoku/>
              <w:overflowPunct/>
              <w:topLinePunct w:val="0"/>
              <w:bidi w:val="0"/>
              <w:spacing w:line="240" w:lineRule="auto"/>
              <w:ind w:left="-128" w:right="-75"/>
              <w:jc w:val="center"/>
              <w:rPr>
                <w:rFonts w:hint="eastAsia" w:ascii="仿宋" w:eastAsia="仿宋" w:cs="仿宋"/>
                <w:b/>
                <w:kern w:val="2"/>
                <w:szCs w:val="21"/>
                <w:lang w:bidi="ar-SA"/>
              </w:rPr>
            </w:pPr>
            <w:r>
              <w:rPr>
                <w:rFonts w:hint="eastAsia" w:ascii="仿宋" w:eastAsia="仿宋" w:cs="仿宋"/>
                <w:b/>
                <w:kern w:val="2"/>
                <w:szCs w:val="21"/>
                <w:lang w:bidi="ar-SA"/>
              </w:rPr>
              <w:t>（X≧90）</w:t>
            </w:r>
          </w:p>
        </w:tc>
        <w:tc>
          <w:tcPr>
            <w:tcW w:w="1404" w:type="dxa"/>
            <w:tcBorders>
              <w:top w:val="single" w:color="000000" w:sz="4" w:space="0"/>
              <w:left w:val="single" w:color="000000" w:sz="4" w:space="0"/>
              <w:bottom w:val="single" w:color="000000" w:sz="4" w:space="0"/>
              <w:right w:val="single" w:color="000000" w:sz="4" w:space="0"/>
            </w:tcBorders>
            <w:noWrap/>
            <w:vAlign w:val="center"/>
          </w:tcPr>
          <w:p w14:paraId="4B246B41">
            <w:pPr>
              <w:pageBreakBefore w:val="0"/>
              <w:widowControl w:val="0"/>
              <w:tabs>
                <w:tab w:val="left" w:pos="719"/>
                <w:tab w:val="left" w:pos="1418"/>
                <w:tab w:val="left" w:pos="6298"/>
              </w:tabs>
              <w:kinsoku/>
              <w:overflowPunct/>
              <w:topLinePunct w:val="0"/>
              <w:bidi w:val="0"/>
              <w:spacing w:line="240" w:lineRule="auto"/>
              <w:ind w:left="-128" w:right="-75"/>
              <w:jc w:val="center"/>
              <w:rPr>
                <w:rFonts w:hint="eastAsia" w:ascii="仿宋" w:eastAsia="仿宋" w:cs="仿宋"/>
                <w:b/>
                <w:kern w:val="2"/>
                <w:szCs w:val="21"/>
                <w:lang w:bidi="ar-SA"/>
              </w:rPr>
            </w:pPr>
            <w:r>
              <w:rPr>
                <w:rFonts w:hint="eastAsia" w:ascii="仿宋" w:eastAsia="仿宋" w:cs="仿宋"/>
                <w:b/>
                <w:kern w:val="2"/>
                <w:szCs w:val="21"/>
                <w:lang w:bidi="ar-SA"/>
              </w:rPr>
              <w:t>良</w:t>
            </w:r>
          </w:p>
          <w:p w14:paraId="7632A465">
            <w:pPr>
              <w:pageBreakBefore w:val="0"/>
              <w:widowControl w:val="0"/>
              <w:tabs>
                <w:tab w:val="left" w:pos="719"/>
                <w:tab w:val="left" w:pos="1418"/>
                <w:tab w:val="left" w:pos="6298"/>
              </w:tabs>
              <w:kinsoku/>
              <w:overflowPunct/>
              <w:topLinePunct w:val="0"/>
              <w:bidi w:val="0"/>
              <w:spacing w:line="240" w:lineRule="auto"/>
              <w:ind w:left="-128" w:right="-75"/>
              <w:jc w:val="center"/>
              <w:rPr>
                <w:rFonts w:hint="eastAsia" w:ascii="仿宋" w:eastAsia="仿宋" w:cs="仿宋"/>
                <w:b/>
                <w:kern w:val="2"/>
                <w:szCs w:val="21"/>
                <w:lang w:bidi="ar-SA"/>
              </w:rPr>
            </w:pPr>
            <w:r>
              <w:rPr>
                <w:rFonts w:hint="eastAsia" w:ascii="仿宋" w:eastAsia="仿宋" w:cs="仿宋"/>
                <w:b/>
                <w:kern w:val="2"/>
                <w:szCs w:val="21"/>
                <w:lang w:bidi="ar-SA"/>
              </w:rPr>
              <w:t>（80≦X＜90）</w:t>
            </w:r>
          </w:p>
        </w:tc>
        <w:tc>
          <w:tcPr>
            <w:tcW w:w="1404" w:type="dxa"/>
            <w:tcBorders>
              <w:top w:val="single" w:color="000000" w:sz="4" w:space="0"/>
              <w:left w:val="single" w:color="000000" w:sz="4" w:space="0"/>
              <w:bottom w:val="single" w:color="000000" w:sz="4" w:space="0"/>
              <w:right w:val="single" w:color="000000" w:sz="4" w:space="0"/>
            </w:tcBorders>
            <w:noWrap/>
            <w:vAlign w:val="center"/>
          </w:tcPr>
          <w:p w14:paraId="34C7C697">
            <w:pPr>
              <w:pageBreakBefore w:val="0"/>
              <w:widowControl w:val="0"/>
              <w:tabs>
                <w:tab w:val="left" w:pos="719"/>
                <w:tab w:val="left" w:pos="1418"/>
                <w:tab w:val="left" w:pos="6298"/>
              </w:tabs>
              <w:kinsoku/>
              <w:overflowPunct/>
              <w:topLinePunct w:val="0"/>
              <w:bidi w:val="0"/>
              <w:spacing w:line="240" w:lineRule="auto"/>
              <w:ind w:left="-128" w:right="-75"/>
              <w:jc w:val="center"/>
              <w:rPr>
                <w:rFonts w:hint="eastAsia" w:ascii="仿宋" w:eastAsia="仿宋" w:cs="仿宋"/>
                <w:b/>
                <w:kern w:val="2"/>
                <w:szCs w:val="21"/>
                <w:lang w:bidi="ar-SA"/>
              </w:rPr>
            </w:pPr>
            <w:r>
              <w:rPr>
                <w:rFonts w:hint="eastAsia" w:ascii="仿宋" w:eastAsia="仿宋" w:cs="仿宋"/>
                <w:b/>
                <w:kern w:val="2"/>
                <w:szCs w:val="21"/>
                <w:lang w:bidi="ar-SA"/>
              </w:rPr>
              <w:t>中</w:t>
            </w:r>
          </w:p>
          <w:p w14:paraId="3B50FF25">
            <w:pPr>
              <w:pageBreakBefore w:val="0"/>
              <w:widowControl w:val="0"/>
              <w:tabs>
                <w:tab w:val="left" w:pos="719"/>
                <w:tab w:val="left" w:pos="1418"/>
                <w:tab w:val="left" w:pos="6298"/>
              </w:tabs>
              <w:kinsoku/>
              <w:overflowPunct/>
              <w:topLinePunct w:val="0"/>
              <w:bidi w:val="0"/>
              <w:spacing w:line="240" w:lineRule="auto"/>
              <w:ind w:left="-128" w:right="-75"/>
              <w:jc w:val="center"/>
              <w:rPr>
                <w:rFonts w:hint="eastAsia" w:ascii="仿宋" w:eastAsia="仿宋" w:cs="仿宋"/>
                <w:b/>
                <w:kern w:val="2"/>
                <w:szCs w:val="21"/>
                <w:lang w:bidi="ar-SA"/>
              </w:rPr>
            </w:pPr>
            <w:r>
              <w:rPr>
                <w:rFonts w:hint="eastAsia" w:ascii="仿宋" w:eastAsia="仿宋" w:cs="仿宋"/>
                <w:b/>
                <w:kern w:val="2"/>
                <w:szCs w:val="21"/>
                <w:lang w:bidi="ar-SA"/>
              </w:rPr>
              <w:t>（70≦X＜80）</w:t>
            </w:r>
          </w:p>
        </w:tc>
        <w:tc>
          <w:tcPr>
            <w:tcW w:w="1404" w:type="dxa"/>
            <w:tcBorders>
              <w:top w:val="single" w:color="000000" w:sz="4" w:space="0"/>
              <w:left w:val="single" w:color="000000" w:sz="4" w:space="0"/>
              <w:bottom w:val="single" w:color="000000" w:sz="4" w:space="0"/>
              <w:right w:val="single" w:color="000000" w:sz="4" w:space="0"/>
            </w:tcBorders>
            <w:noWrap/>
            <w:vAlign w:val="center"/>
          </w:tcPr>
          <w:p w14:paraId="0AEF7148">
            <w:pPr>
              <w:pageBreakBefore w:val="0"/>
              <w:widowControl w:val="0"/>
              <w:tabs>
                <w:tab w:val="left" w:pos="719"/>
                <w:tab w:val="left" w:pos="1418"/>
                <w:tab w:val="left" w:pos="6298"/>
              </w:tabs>
              <w:kinsoku/>
              <w:overflowPunct/>
              <w:topLinePunct w:val="0"/>
              <w:bidi w:val="0"/>
              <w:spacing w:line="240" w:lineRule="auto"/>
              <w:ind w:left="-128" w:right="-75"/>
              <w:jc w:val="center"/>
              <w:rPr>
                <w:rFonts w:hint="eastAsia" w:ascii="仿宋" w:eastAsia="仿宋" w:cs="仿宋"/>
                <w:b/>
                <w:kern w:val="2"/>
                <w:szCs w:val="21"/>
                <w:lang w:bidi="ar-SA"/>
              </w:rPr>
            </w:pPr>
            <w:r>
              <w:rPr>
                <w:rFonts w:hint="eastAsia" w:ascii="仿宋" w:eastAsia="仿宋" w:cs="仿宋"/>
                <w:b/>
                <w:kern w:val="2"/>
                <w:szCs w:val="21"/>
                <w:lang w:bidi="ar-SA"/>
              </w:rPr>
              <w:t>及格</w:t>
            </w:r>
          </w:p>
          <w:p w14:paraId="409415A4">
            <w:pPr>
              <w:pageBreakBefore w:val="0"/>
              <w:widowControl w:val="0"/>
              <w:tabs>
                <w:tab w:val="left" w:pos="719"/>
                <w:tab w:val="left" w:pos="1418"/>
                <w:tab w:val="left" w:pos="6298"/>
              </w:tabs>
              <w:kinsoku/>
              <w:overflowPunct/>
              <w:topLinePunct w:val="0"/>
              <w:bidi w:val="0"/>
              <w:spacing w:line="240" w:lineRule="auto"/>
              <w:ind w:left="-128" w:right="-75"/>
              <w:jc w:val="center"/>
              <w:rPr>
                <w:rFonts w:hint="eastAsia" w:ascii="仿宋" w:eastAsia="仿宋" w:cs="仿宋"/>
                <w:b/>
                <w:kern w:val="2"/>
                <w:szCs w:val="21"/>
                <w:lang w:bidi="ar-SA"/>
              </w:rPr>
            </w:pPr>
            <w:r>
              <w:rPr>
                <w:rFonts w:hint="eastAsia" w:ascii="仿宋" w:eastAsia="仿宋" w:cs="仿宋"/>
                <w:b/>
                <w:kern w:val="2"/>
                <w:szCs w:val="21"/>
                <w:lang w:bidi="ar-SA"/>
              </w:rPr>
              <w:t>（60≦X＜70）</w:t>
            </w:r>
          </w:p>
        </w:tc>
        <w:tc>
          <w:tcPr>
            <w:tcW w:w="1406" w:type="dxa"/>
            <w:tcBorders>
              <w:top w:val="single" w:color="000000" w:sz="4" w:space="0"/>
              <w:left w:val="single" w:color="000000" w:sz="4" w:space="0"/>
              <w:bottom w:val="single" w:color="000000" w:sz="4" w:space="0"/>
              <w:right w:val="single" w:color="000000" w:sz="4" w:space="0"/>
            </w:tcBorders>
            <w:noWrap/>
            <w:vAlign w:val="center"/>
          </w:tcPr>
          <w:p w14:paraId="72C84370">
            <w:pPr>
              <w:pageBreakBefore w:val="0"/>
              <w:widowControl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不及格</w:t>
            </w:r>
          </w:p>
          <w:p w14:paraId="69EAACAA">
            <w:pPr>
              <w:pageBreakBefore w:val="0"/>
              <w:widowControl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（X＜60）</w:t>
            </w:r>
          </w:p>
        </w:tc>
      </w:tr>
      <w:tr w14:paraId="04D05B55">
        <w:trPr>
          <w:trHeight w:val="1442" w:hRule="atLeast"/>
        </w:trPr>
        <w:tc>
          <w:tcPr>
            <w:tcW w:w="2188" w:type="dxa"/>
            <w:tcBorders>
              <w:top w:val="single" w:color="000000" w:sz="4" w:space="0"/>
              <w:left w:val="single" w:color="000000" w:sz="4" w:space="0"/>
              <w:bottom w:val="single" w:color="000000" w:sz="4" w:space="0"/>
              <w:right w:val="single" w:color="000000" w:sz="4" w:space="0"/>
            </w:tcBorders>
            <w:noWrap/>
          </w:tcPr>
          <w:p w14:paraId="22DC8B5E">
            <w:pPr>
              <w:pageBreakBefore w:val="0"/>
              <w:widowControl/>
              <w:kinsoku/>
              <w:overflowPunct/>
              <w:topLinePunct w:val="0"/>
              <w:bidi w:val="0"/>
              <w:spacing w:line="240" w:lineRule="auto"/>
              <w:rPr>
                <w:rFonts w:hint="eastAsia" w:ascii="楷体" w:eastAsia="楷体" w:cs="楷体"/>
                <w:bCs/>
                <w:kern w:val="2"/>
                <w:szCs w:val="21"/>
                <w:lang w:eastAsia="zh-TW" w:bidi="ar-SA"/>
              </w:rPr>
            </w:pPr>
            <w:r>
              <w:rPr>
                <w:rFonts w:ascii="楷体" w:eastAsia="楷体" w:cs="楷体"/>
                <w:bCs/>
                <w:kern w:val="2"/>
                <w:szCs w:val="21"/>
                <w:lang w:val="en-US" w:eastAsia="zh-TW" w:bidi="ar-SA"/>
              </w:rPr>
              <w:t>课程目标1：</w:t>
            </w:r>
            <w:r>
              <w:rPr>
                <w:rFonts w:hint="eastAsia" w:ascii="楷体" w:eastAsia="楷体" w:cs="楷体"/>
                <w:bCs/>
                <w:kern w:val="2"/>
                <w:szCs w:val="21"/>
                <w:lang w:val="en-US" w:bidi="ar-SA"/>
              </w:rPr>
              <w:t>能够从教师的心态出发，在教学试讲中表现出教育工作者应有的精神风貌与良好的教态，并能够综合学段学情、作品音乐文化背景、编写者意图，通过教学、演唱形式构建兼具艺术性和教育性的声乐作品。</w:t>
            </w:r>
          </w:p>
        </w:tc>
        <w:tc>
          <w:tcPr>
            <w:tcW w:w="1404" w:type="dxa"/>
            <w:tcBorders>
              <w:top w:val="single" w:color="000000" w:sz="4" w:space="0"/>
              <w:left w:val="single" w:color="000000" w:sz="4" w:space="0"/>
              <w:bottom w:val="single" w:color="000000" w:sz="4" w:space="0"/>
              <w:right w:val="single" w:color="000000" w:sz="4" w:space="0"/>
            </w:tcBorders>
            <w:noWrap/>
          </w:tcPr>
          <w:p w14:paraId="3551205C">
            <w:pPr>
              <w:pageBreakBefore w:val="0"/>
              <w:widowControl/>
              <w:kinsoku/>
              <w:overflowPunct/>
              <w:topLinePunct w:val="0"/>
              <w:bidi w:val="0"/>
              <w:spacing w:line="240" w:lineRule="auto"/>
              <w:rPr>
                <w:rFonts w:hint="eastAsia" w:ascii="楷体" w:eastAsia="楷体" w:cs="楷体"/>
                <w:bCs/>
                <w:kern w:val="2"/>
                <w:szCs w:val="21"/>
                <w:lang w:val="en-US" w:eastAsia="zh-TW" w:bidi="ar-SA"/>
              </w:rPr>
            </w:pPr>
            <w:r>
              <w:rPr>
                <w:rFonts w:hint="eastAsia" w:ascii="楷体" w:eastAsia="楷体" w:cs="楷体"/>
                <w:bCs/>
                <w:kern w:val="2"/>
                <w:szCs w:val="21"/>
                <w:lang w:val="en-US" w:eastAsia="zh-TW" w:bidi="ar-SA"/>
              </w:rPr>
              <w:t>能够扎实掌握声乐教学法的基本理论知识，对声</w:t>
            </w:r>
          </w:p>
          <w:p w14:paraId="47CB7697">
            <w:pPr>
              <w:pageBreakBefore w:val="0"/>
              <w:widowControl/>
              <w:kinsoku/>
              <w:overflowPunct/>
              <w:topLinePunct w:val="0"/>
              <w:bidi w:val="0"/>
              <w:spacing w:line="240" w:lineRule="auto"/>
              <w:rPr>
                <w:rFonts w:hint="eastAsia" w:ascii="楷体" w:eastAsia="楷体" w:cs="楷体"/>
                <w:bCs/>
                <w:kern w:val="2"/>
                <w:szCs w:val="21"/>
                <w:lang w:val="en-US" w:eastAsia="zh-TW" w:bidi="ar-SA"/>
              </w:rPr>
            </w:pPr>
            <w:r>
              <w:rPr>
                <w:rFonts w:hint="eastAsia" w:ascii="楷体" w:eastAsia="楷体" w:cs="楷体"/>
                <w:bCs/>
                <w:kern w:val="2"/>
                <w:szCs w:val="21"/>
                <w:lang w:val="en-US" w:eastAsia="zh-TW" w:bidi="ar-SA"/>
              </w:rPr>
              <w:t>乐教学的整体理念和关键环节有深刻清晰的理解。回答问题逻辑性强，语言表达准确流畅。</w:t>
            </w:r>
          </w:p>
        </w:tc>
        <w:tc>
          <w:tcPr>
            <w:tcW w:w="1404" w:type="dxa"/>
            <w:tcBorders>
              <w:top w:val="single" w:color="000000" w:sz="4" w:space="0"/>
              <w:left w:val="single" w:color="000000" w:sz="4" w:space="0"/>
              <w:bottom w:val="single" w:color="000000" w:sz="4" w:space="0"/>
              <w:right w:val="single" w:color="000000" w:sz="4" w:space="0"/>
            </w:tcBorders>
            <w:noWrap/>
          </w:tcPr>
          <w:p w14:paraId="10C3E2DF">
            <w:pPr>
              <w:pageBreakBefore w:val="0"/>
              <w:widowControl/>
              <w:kinsoku/>
              <w:overflowPunct/>
              <w:topLinePunct w:val="0"/>
              <w:bidi w:val="0"/>
              <w:spacing w:line="240" w:lineRule="auto"/>
              <w:rPr>
                <w:rFonts w:hint="eastAsia" w:ascii="楷体" w:eastAsia="楷体" w:cs="楷体"/>
                <w:bCs/>
                <w:kern w:val="2"/>
                <w:szCs w:val="21"/>
                <w:lang w:val="en-US" w:eastAsia="zh-TW" w:bidi="ar-SA"/>
              </w:rPr>
            </w:pPr>
            <w:r>
              <w:rPr>
                <w:rFonts w:hint="eastAsia" w:ascii="楷体" w:eastAsia="楷体" w:cs="楷体"/>
                <w:bCs/>
                <w:kern w:val="2"/>
                <w:szCs w:val="21"/>
                <w:lang w:val="en-US" w:eastAsia="zh-TW" w:bidi="ar-SA"/>
              </w:rPr>
              <w:t>较为扎实掌握声乐教学法的基本理论知识，对声</w:t>
            </w:r>
          </w:p>
          <w:p w14:paraId="68490647">
            <w:pPr>
              <w:pageBreakBefore w:val="0"/>
              <w:widowControl/>
              <w:kinsoku/>
              <w:overflowPunct/>
              <w:topLinePunct w:val="0"/>
              <w:bidi w:val="0"/>
              <w:spacing w:line="240" w:lineRule="auto"/>
              <w:rPr>
                <w:rFonts w:hint="eastAsia" w:ascii="楷体" w:eastAsia="楷体" w:cs="楷体"/>
                <w:bCs/>
                <w:kern w:val="2"/>
                <w:szCs w:val="21"/>
                <w:lang w:val="en-US" w:eastAsia="zh-TW" w:bidi="ar-SA"/>
              </w:rPr>
            </w:pPr>
            <w:r>
              <w:rPr>
                <w:rFonts w:hint="eastAsia" w:ascii="楷体" w:eastAsia="楷体" w:cs="楷体"/>
                <w:bCs/>
                <w:kern w:val="2"/>
                <w:szCs w:val="21"/>
                <w:lang w:val="en-US" w:eastAsia="zh-TW" w:bidi="ar-SA"/>
              </w:rPr>
              <w:t>乐教学的整体理念和关键环节有清晰的理解。回答问题逻辑性</w:t>
            </w:r>
            <w:r>
              <w:rPr>
                <w:rFonts w:hint="eastAsia" w:ascii="楷体" w:eastAsia="楷体" w:cs="楷体"/>
                <w:bCs/>
                <w:kern w:val="2"/>
                <w:szCs w:val="21"/>
                <w:lang w:val="en-US" w:eastAsia="zh-Hans" w:bidi="ar-SA"/>
              </w:rPr>
              <w:t>较</w:t>
            </w:r>
            <w:r>
              <w:rPr>
                <w:rFonts w:hint="eastAsia" w:ascii="楷体" w:eastAsia="楷体" w:cs="楷体"/>
                <w:bCs/>
                <w:kern w:val="2"/>
                <w:szCs w:val="21"/>
                <w:lang w:val="en-US" w:eastAsia="zh-TW" w:bidi="ar-SA"/>
              </w:rPr>
              <w:t>强，语言表达准确流畅。</w:t>
            </w:r>
          </w:p>
        </w:tc>
        <w:tc>
          <w:tcPr>
            <w:tcW w:w="1404" w:type="dxa"/>
            <w:tcBorders>
              <w:top w:val="single" w:color="000000" w:sz="4" w:space="0"/>
              <w:left w:val="single" w:color="000000" w:sz="4" w:space="0"/>
              <w:bottom w:val="single" w:color="000000" w:sz="4" w:space="0"/>
              <w:right w:val="single" w:color="000000" w:sz="4" w:space="0"/>
            </w:tcBorders>
            <w:noWrap/>
          </w:tcPr>
          <w:p w14:paraId="5B3379ED">
            <w:pPr>
              <w:pageBreakBefore w:val="0"/>
              <w:widowControl/>
              <w:kinsoku/>
              <w:overflowPunct/>
              <w:topLinePunct w:val="0"/>
              <w:bidi w:val="0"/>
              <w:spacing w:line="240" w:lineRule="auto"/>
              <w:rPr>
                <w:rFonts w:hint="eastAsia" w:ascii="楷体" w:eastAsia="楷体" w:cs="楷体"/>
                <w:bCs/>
                <w:kern w:val="2"/>
                <w:szCs w:val="21"/>
                <w:lang w:val="en-US" w:eastAsia="zh-TW" w:bidi="ar-SA"/>
              </w:rPr>
            </w:pPr>
            <w:r>
              <w:rPr>
                <w:rFonts w:hint="eastAsia" w:ascii="楷体" w:eastAsia="楷体" w:cs="楷体"/>
                <w:bCs/>
                <w:kern w:val="2"/>
                <w:szCs w:val="21"/>
                <w:lang w:val="en-US" w:eastAsia="zh-TW" w:bidi="ar-SA"/>
              </w:rPr>
              <w:t>基本掌握声乐教学法的基本理论知识，对声乐教学的整体理念和关键环节有</w:t>
            </w:r>
            <w:r>
              <w:rPr>
                <w:rFonts w:hint="eastAsia" w:ascii="楷体" w:eastAsia="楷体" w:cs="楷体"/>
                <w:bCs/>
                <w:kern w:val="2"/>
                <w:szCs w:val="21"/>
                <w:lang w:val="en-US" w:eastAsia="zh-Hans" w:bidi="ar-SA"/>
              </w:rPr>
              <w:t>比较</w:t>
            </w:r>
            <w:r>
              <w:rPr>
                <w:rFonts w:hint="eastAsia" w:ascii="楷体" w:eastAsia="楷体" w:cs="楷体"/>
                <w:bCs/>
                <w:kern w:val="2"/>
                <w:szCs w:val="21"/>
                <w:lang w:val="en-US" w:eastAsia="zh-TW" w:bidi="ar-SA"/>
              </w:rPr>
              <w:t>清晰的理解。回答问题逻辑性</w:t>
            </w:r>
            <w:r>
              <w:rPr>
                <w:rFonts w:hint="eastAsia" w:ascii="楷体" w:eastAsia="楷体" w:cs="楷体"/>
                <w:bCs/>
                <w:kern w:val="2"/>
                <w:szCs w:val="21"/>
                <w:lang w:val="en-US" w:eastAsia="zh-Hans" w:bidi="ar-SA"/>
              </w:rPr>
              <w:t>中等</w:t>
            </w:r>
            <w:r>
              <w:rPr>
                <w:rFonts w:hint="eastAsia" w:ascii="楷体" w:eastAsia="楷体" w:cs="楷体"/>
                <w:bCs/>
                <w:kern w:val="2"/>
                <w:szCs w:val="21"/>
                <w:lang w:val="en-US" w:eastAsia="zh-TW" w:bidi="ar-SA"/>
              </w:rPr>
              <w:t>，语言表达</w:t>
            </w:r>
            <w:r>
              <w:rPr>
                <w:rFonts w:hint="eastAsia" w:ascii="楷体" w:eastAsia="楷体" w:cs="楷体"/>
                <w:bCs/>
                <w:kern w:val="2"/>
                <w:szCs w:val="21"/>
                <w:lang w:val="en-US" w:eastAsia="zh-Hans" w:bidi="ar-SA"/>
              </w:rPr>
              <w:t>较为</w:t>
            </w:r>
            <w:r>
              <w:rPr>
                <w:rFonts w:hint="eastAsia" w:ascii="楷体" w:eastAsia="楷体" w:cs="楷体"/>
                <w:bCs/>
                <w:kern w:val="2"/>
                <w:szCs w:val="21"/>
                <w:lang w:val="en-US" w:eastAsia="zh-TW" w:bidi="ar-SA"/>
              </w:rPr>
              <w:t>准确</w:t>
            </w:r>
            <w:r>
              <w:rPr>
                <w:rFonts w:hint="default" w:ascii="楷体" w:eastAsia="楷体" w:cs="楷体"/>
                <w:bCs/>
                <w:kern w:val="2"/>
                <w:szCs w:val="21"/>
                <w:lang w:eastAsia="zh-TW" w:bidi="ar-SA"/>
              </w:rPr>
              <w:t>、</w:t>
            </w:r>
            <w:r>
              <w:rPr>
                <w:rFonts w:hint="eastAsia" w:ascii="楷体" w:eastAsia="楷体" w:cs="楷体"/>
                <w:bCs/>
                <w:kern w:val="2"/>
                <w:szCs w:val="21"/>
                <w:lang w:val="en-US" w:eastAsia="zh-TW" w:bidi="ar-SA"/>
              </w:rPr>
              <w:t>流畅。</w:t>
            </w:r>
          </w:p>
        </w:tc>
        <w:tc>
          <w:tcPr>
            <w:tcW w:w="1404" w:type="dxa"/>
            <w:tcBorders>
              <w:top w:val="single" w:color="000000" w:sz="4" w:space="0"/>
              <w:left w:val="single" w:color="000000" w:sz="4" w:space="0"/>
              <w:bottom w:val="single" w:color="000000" w:sz="4" w:space="0"/>
              <w:right w:val="single" w:color="000000" w:sz="4" w:space="0"/>
            </w:tcBorders>
            <w:noWrap/>
          </w:tcPr>
          <w:p w14:paraId="01B6C85D">
            <w:pPr>
              <w:pageBreakBefore w:val="0"/>
              <w:widowControl/>
              <w:kinsoku/>
              <w:overflowPunct/>
              <w:topLinePunct w:val="0"/>
              <w:bidi w:val="0"/>
              <w:spacing w:line="240" w:lineRule="auto"/>
              <w:rPr>
                <w:rFonts w:hint="eastAsia" w:ascii="楷体" w:eastAsia="楷体" w:cs="楷体"/>
                <w:bCs/>
                <w:kern w:val="2"/>
                <w:szCs w:val="21"/>
                <w:lang w:val="en-US" w:eastAsia="zh-TW" w:bidi="ar-SA"/>
              </w:rPr>
            </w:pPr>
            <w:r>
              <w:rPr>
                <w:rFonts w:hint="eastAsia" w:ascii="楷体" w:eastAsia="楷体" w:cs="楷体"/>
                <w:bCs/>
                <w:kern w:val="2"/>
                <w:szCs w:val="21"/>
                <w:lang w:val="en-US" w:eastAsia="zh-TW" w:bidi="ar-SA"/>
              </w:rPr>
              <w:t>基本掌握</w:t>
            </w:r>
            <w:r>
              <w:rPr>
                <w:rFonts w:ascii="楷体" w:eastAsia="楷体" w:cs="楷体"/>
                <w:bCs/>
                <w:kern w:val="2"/>
                <w:szCs w:val="21"/>
                <w:lang w:val="en-US" w:eastAsia="zh-TW" w:bidi="ar-SA"/>
              </w:rPr>
              <w:t>民</w:t>
            </w:r>
            <w:r>
              <w:rPr>
                <w:rFonts w:hint="eastAsia" w:ascii="楷体" w:eastAsia="楷体" w:cs="楷体"/>
                <w:bCs/>
                <w:kern w:val="2"/>
                <w:szCs w:val="21"/>
                <w:lang w:val="en-US" w:eastAsia="zh-TW" w:bidi="ar-SA"/>
              </w:rPr>
              <w:t>声乐教学法的基本理论知识，对声乐教学的整体理念和关键环节理解</w:t>
            </w:r>
            <w:r>
              <w:rPr>
                <w:rFonts w:hint="eastAsia" w:ascii="楷体" w:eastAsia="楷体" w:cs="楷体"/>
                <w:bCs/>
                <w:kern w:val="2"/>
                <w:szCs w:val="21"/>
                <w:lang w:val="en-US" w:eastAsia="zh-Hans" w:bidi="ar-SA"/>
              </w:rPr>
              <w:t>偏模糊</w:t>
            </w:r>
            <w:r>
              <w:rPr>
                <w:rFonts w:hint="eastAsia" w:ascii="楷体" w:eastAsia="楷体" w:cs="楷体"/>
                <w:bCs/>
                <w:kern w:val="2"/>
                <w:szCs w:val="21"/>
                <w:lang w:val="en-US" w:eastAsia="zh-TW" w:bidi="ar-SA"/>
              </w:rPr>
              <w:t>。回答问题逻辑性</w:t>
            </w:r>
            <w:r>
              <w:rPr>
                <w:rFonts w:hint="eastAsia" w:ascii="楷体" w:eastAsia="楷体" w:cs="楷体"/>
                <w:bCs/>
                <w:kern w:val="2"/>
                <w:szCs w:val="21"/>
                <w:lang w:val="en-US" w:eastAsia="zh-Hans" w:bidi="ar-SA"/>
              </w:rPr>
              <w:t>偏弱</w:t>
            </w:r>
            <w:r>
              <w:rPr>
                <w:rFonts w:hint="eastAsia" w:ascii="楷体" w:eastAsia="楷体" w:cs="楷体"/>
                <w:bCs/>
                <w:kern w:val="2"/>
                <w:szCs w:val="21"/>
                <w:lang w:val="en-US" w:eastAsia="zh-TW" w:bidi="ar-SA"/>
              </w:rPr>
              <w:t>，语言表达</w:t>
            </w:r>
            <w:r>
              <w:rPr>
                <w:rFonts w:hint="eastAsia" w:ascii="楷体" w:eastAsia="楷体" w:cs="楷体"/>
                <w:bCs/>
                <w:kern w:val="2"/>
                <w:szCs w:val="21"/>
                <w:lang w:val="en-US" w:eastAsia="zh-Hans" w:bidi="ar-SA"/>
              </w:rPr>
              <w:t>较为</w:t>
            </w:r>
            <w:r>
              <w:rPr>
                <w:rFonts w:hint="eastAsia" w:ascii="楷体" w:eastAsia="楷体" w:cs="楷体"/>
                <w:bCs/>
                <w:kern w:val="2"/>
                <w:szCs w:val="21"/>
                <w:lang w:val="en-US" w:eastAsia="zh-TW" w:bidi="ar-SA"/>
              </w:rPr>
              <w:t>准确。</w:t>
            </w:r>
          </w:p>
        </w:tc>
        <w:tc>
          <w:tcPr>
            <w:tcW w:w="1406" w:type="dxa"/>
            <w:tcBorders>
              <w:top w:val="single" w:color="000000" w:sz="4" w:space="0"/>
              <w:left w:val="single" w:color="000000" w:sz="4" w:space="0"/>
              <w:bottom w:val="single" w:color="000000" w:sz="4" w:space="0"/>
              <w:right w:val="single" w:color="000000" w:sz="4" w:space="0"/>
            </w:tcBorders>
            <w:noWrap/>
          </w:tcPr>
          <w:p w14:paraId="1F20777D">
            <w:pPr>
              <w:pageBreakBefore w:val="0"/>
              <w:widowControl/>
              <w:kinsoku/>
              <w:overflowPunct/>
              <w:topLinePunct w:val="0"/>
              <w:bidi w:val="0"/>
              <w:spacing w:line="240" w:lineRule="auto"/>
              <w:rPr>
                <w:rFonts w:hint="eastAsia" w:ascii="楷体" w:eastAsia="楷体" w:cs="楷体"/>
                <w:bCs/>
                <w:kern w:val="2"/>
                <w:szCs w:val="21"/>
                <w:lang w:val="en-US" w:eastAsia="zh-TW" w:bidi="ar-SA"/>
              </w:rPr>
            </w:pPr>
            <w:r>
              <w:rPr>
                <w:rFonts w:hint="eastAsia" w:ascii="楷体" w:eastAsia="楷体" w:cs="楷体"/>
                <w:bCs/>
                <w:kern w:val="2"/>
                <w:szCs w:val="21"/>
                <w:lang w:val="en-US" w:eastAsia="zh-TW" w:bidi="ar-SA"/>
              </w:rPr>
              <w:t>不能够</w:t>
            </w:r>
            <w:r>
              <w:rPr>
                <w:rFonts w:hint="eastAsia" w:ascii="楷体" w:eastAsia="楷体" w:cs="楷体"/>
                <w:bCs/>
                <w:kern w:val="2"/>
                <w:szCs w:val="21"/>
                <w:lang w:val="en-US" w:eastAsia="zh-Hans" w:bidi="ar-SA"/>
              </w:rPr>
              <w:t>掌握</w:t>
            </w:r>
            <w:r>
              <w:rPr>
                <w:rFonts w:hint="eastAsia" w:ascii="楷体" w:eastAsia="楷体" w:cs="楷体"/>
                <w:bCs/>
                <w:kern w:val="2"/>
                <w:szCs w:val="21"/>
                <w:lang w:val="en-US" w:eastAsia="zh-TW" w:bidi="ar-SA"/>
              </w:rPr>
              <w:t>声乐教学法的基本理论知识，对声乐教学的整体理念和关键环节</w:t>
            </w:r>
            <w:r>
              <w:rPr>
                <w:rFonts w:hint="eastAsia" w:ascii="楷体" w:eastAsia="楷体" w:cs="楷体"/>
                <w:bCs/>
                <w:kern w:val="2"/>
                <w:szCs w:val="21"/>
                <w:lang w:val="en-US" w:eastAsia="zh-Hans" w:bidi="ar-SA"/>
              </w:rPr>
              <w:t>没有</w:t>
            </w:r>
            <w:r>
              <w:rPr>
                <w:rFonts w:hint="eastAsia" w:ascii="楷体" w:eastAsia="楷体" w:cs="楷体"/>
                <w:bCs/>
                <w:kern w:val="2"/>
                <w:szCs w:val="21"/>
                <w:lang w:val="en-US" w:eastAsia="zh-TW" w:bidi="ar-SA"/>
              </w:rPr>
              <w:t>清晰的理解。回答问题逻辑性</w:t>
            </w:r>
            <w:r>
              <w:rPr>
                <w:rFonts w:hint="eastAsia" w:ascii="楷体" w:eastAsia="楷体" w:cs="楷体"/>
                <w:bCs/>
                <w:kern w:val="2"/>
                <w:szCs w:val="21"/>
                <w:lang w:val="en-US" w:eastAsia="zh-Hans" w:bidi="ar-SA"/>
              </w:rPr>
              <w:t>差</w:t>
            </w:r>
            <w:r>
              <w:rPr>
                <w:rFonts w:hint="eastAsia" w:ascii="楷体" w:eastAsia="楷体" w:cs="楷体"/>
                <w:bCs/>
                <w:kern w:val="2"/>
                <w:szCs w:val="21"/>
                <w:lang w:val="en-US" w:eastAsia="zh-TW" w:bidi="ar-SA"/>
              </w:rPr>
              <w:t>，语言表达</w:t>
            </w:r>
            <w:r>
              <w:rPr>
                <w:rFonts w:hint="eastAsia" w:ascii="楷体" w:eastAsia="楷体" w:cs="楷体"/>
                <w:bCs/>
                <w:kern w:val="2"/>
                <w:szCs w:val="21"/>
                <w:lang w:val="en-US" w:eastAsia="zh-Hans" w:bidi="ar-SA"/>
              </w:rPr>
              <w:t>不准确</w:t>
            </w:r>
            <w:r>
              <w:rPr>
                <w:rFonts w:hint="default" w:ascii="楷体" w:eastAsia="楷体" w:cs="楷体"/>
                <w:bCs/>
                <w:kern w:val="2"/>
                <w:szCs w:val="21"/>
                <w:lang w:eastAsia="zh-Hans" w:bidi="ar-SA"/>
              </w:rPr>
              <w:t>、</w:t>
            </w:r>
            <w:r>
              <w:rPr>
                <w:rFonts w:hint="eastAsia" w:ascii="楷体" w:eastAsia="楷体" w:cs="楷体"/>
                <w:bCs/>
                <w:kern w:val="2"/>
                <w:szCs w:val="21"/>
                <w:lang w:val="en-US" w:eastAsia="zh-TW" w:bidi="ar-SA"/>
              </w:rPr>
              <w:t>流畅。</w:t>
            </w:r>
          </w:p>
        </w:tc>
      </w:tr>
      <w:tr w14:paraId="76F3A062">
        <w:trPr>
          <w:trHeight w:val="624" w:hRule="atLeast"/>
        </w:trPr>
        <w:tc>
          <w:tcPr>
            <w:tcW w:w="2188" w:type="dxa"/>
            <w:tcBorders>
              <w:top w:val="single" w:color="000000" w:sz="4" w:space="0"/>
              <w:left w:val="single" w:color="000000" w:sz="4" w:space="0"/>
              <w:bottom w:val="single" w:color="000000" w:sz="4" w:space="0"/>
              <w:right w:val="single" w:color="000000" w:sz="4" w:space="0"/>
            </w:tcBorders>
            <w:noWrap/>
          </w:tcPr>
          <w:p w14:paraId="0F8D4601">
            <w:pPr>
              <w:pStyle w:val="129"/>
              <w:rPr>
                <w:rFonts w:hint="default"/>
                <w:lang w:eastAsia="zh-TW"/>
              </w:rPr>
            </w:pPr>
            <w:r>
              <w:rPr>
                <w:rFonts w:hint="eastAsia" w:ascii="楷体" w:hAnsi="Times New Roman" w:eastAsia="楷体" w:cs="楷体"/>
                <w:bCs/>
                <w:color w:val="000000"/>
                <w:kern w:val="2"/>
                <w:sz w:val="21"/>
                <w:szCs w:val="21"/>
                <w:lang w:val="en-US" w:eastAsia="zh-TW" w:bidi="ar-SA"/>
              </w:rPr>
              <w:t>课程目标2：</w:t>
            </w:r>
            <w:r>
              <w:rPr>
                <w:rFonts w:hint="eastAsia" w:ascii="楷体" w:hAnsi="Times New Roman" w:eastAsia="楷体" w:cs="楷体"/>
                <w:bCs/>
                <w:color w:val="000000"/>
                <w:kern w:val="2"/>
                <w:sz w:val="21"/>
                <w:szCs w:val="21"/>
                <w:lang w:val="en-US" w:eastAsia="zh-Hans" w:bidi="ar-SA"/>
              </w:rPr>
              <w:t>熟练</w:t>
            </w:r>
            <w:r>
              <w:rPr>
                <w:rFonts w:hint="eastAsia" w:ascii="楷体" w:hAnsi="Times New Roman" w:eastAsia="楷体" w:cs="楷体"/>
                <w:bCs/>
                <w:color w:val="000000"/>
                <w:kern w:val="2"/>
                <w:sz w:val="21"/>
                <w:szCs w:val="21"/>
                <w:lang w:val="en-US" w:eastAsia="zh-TW" w:bidi="ar-SA"/>
              </w:rPr>
              <w:t>掌握声乐教学</w:t>
            </w:r>
            <w:r>
              <w:rPr>
                <w:rFonts w:hint="eastAsia" w:ascii="楷体" w:hAnsi="Times New Roman" w:eastAsia="楷体" w:cs="楷体"/>
                <w:bCs/>
                <w:color w:val="000000"/>
                <w:kern w:val="2"/>
                <w:sz w:val="21"/>
                <w:szCs w:val="21"/>
                <w:lang w:val="en-US" w:eastAsia="zh-Hans" w:bidi="ar-SA"/>
              </w:rPr>
              <w:t>法的</w:t>
            </w:r>
            <w:r>
              <w:rPr>
                <w:rFonts w:hint="eastAsia" w:ascii="楷体" w:hAnsi="Times New Roman" w:eastAsia="楷体" w:cs="楷体"/>
                <w:bCs/>
                <w:color w:val="000000"/>
                <w:kern w:val="2"/>
                <w:sz w:val="21"/>
                <w:szCs w:val="21"/>
                <w:lang w:val="en-US" w:eastAsia="zh-TW" w:bidi="ar-SA"/>
              </w:rPr>
              <w:t>基本理论、基本知识和基本实践技能，具备整合音乐学专业理论知识和实践知识的能力</w:t>
            </w:r>
            <w:r>
              <w:rPr>
                <w:rFonts w:hint="default" w:ascii="楷体" w:hAnsi="Times New Roman" w:eastAsia="楷体" w:cs="楷体"/>
                <w:bCs/>
                <w:color w:val="000000"/>
                <w:kern w:val="2"/>
                <w:sz w:val="21"/>
                <w:szCs w:val="21"/>
                <w:lang w:eastAsia="zh-TW" w:bidi="ar-SA"/>
              </w:rPr>
              <w:t>。了解本学科发展动态，具备</w:t>
            </w:r>
            <w:r>
              <w:rPr>
                <w:rFonts w:hint="eastAsia" w:ascii="楷体" w:hAnsi="Times New Roman" w:eastAsia="楷体" w:cs="楷体"/>
                <w:bCs/>
                <w:color w:val="000000"/>
                <w:kern w:val="2"/>
                <w:sz w:val="21"/>
                <w:szCs w:val="21"/>
                <w:lang w:val="en-US" w:eastAsia="zh-Hans" w:bidi="ar-SA"/>
              </w:rPr>
              <w:t>声乐</w:t>
            </w:r>
            <w:r>
              <w:rPr>
                <w:rFonts w:hint="default" w:ascii="楷体" w:hAnsi="Times New Roman" w:eastAsia="楷体" w:cs="楷体"/>
                <w:bCs/>
                <w:color w:val="000000"/>
                <w:kern w:val="2"/>
                <w:sz w:val="21"/>
                <w:szCs w:val="21"/>
                <w:lang w:eastAsia="zh-TW" w:bidi="ar-SA"/>
              </w:rPr>
              <w:t>课堂教学以及组织、编 排、指导校内外舞蹈活动的基本能力。</w:t>
            </w:r>
          </w:p>
        </w:tc>
        <w:tc>
          <w:tcPr>
            <w:tcW w:w="1404" w:type="dxa"/>
            <w:tcBorders>
              <w:top w:val="single" w:color="000000" w:sz="4" w:space="0"/>
              <w:left w:val="single" w:color="000000" w:sz="4" w:space="0"/>
              <w:bottom w:val="single" w:color="000000" w:sz="4" w:space="0"/>
              <w:right w:val="single" w:color="000000" w:sz="4" w:space="0"/>
            </w:tcBorders>
            <w:noWrap/>
          </w:tcPr>
          <w:p w14:paraId="4F09C6F4">
            <w:pPr>
              <w:pageBreakBefore w:val="0"/>
              <w:widowControl/>
              <w:kinsoku/>
              <w:overflowPunct/>
              <w:topLinePunct w:val="0"/>
              <w:bidi w:val="0"/>
              <w:spacing w:line="240" w:lineRule="auto"/>
              <w:rPr>
                <w:rFonts w:hint="eastAsia" w:ascii="仿宋" w:hAnsi="仿宋" w:eastAsia="仿宋" w:cs="仿宋"/>
                <w:bCs/>
                <w:kern w:val="2"/>
                <w:szCs w:val="21"/>
                <w:lang w:bidi="ar-SA"/>
              </w:rPr>
            </w:pPr>
            <w:r>
              <w:rPr>
                <w:rFonts w:hint="eastAsia" w:ascii="楷体" w:eastAsia="楷体" w:cs="楷体"/>
                <w:bCs/>
                <w:color w:val="000000"/>
                <w:kern w:val="2"/>
                <w:sz w:val="21"/>
                <w:szCs w:val="21"/>
                <w:lang w:val="en-US" w:eastAsia="zh-Hans" w:bidi="ar-SA"/>
              </w:rPr>
              <w:t>能够扎实</w:t>
            </w:r>
            <w:r>
              <w:rPr>
                <w:rFonts w:hint="eastAsia" w:ascii="楷体" w:hAnsi="Times New Roman" w:eastAsia="楷体" w:cs="楷体"/>
                <w:bCs/>
                <w:color w:val="000000"/>
                <w:kern w:val="2"/>
                <w:sz w:val="21"/>
                <w:szCs w:val="21"/>
                <w:lang w:val="en-US" w:eastAsia="zh-Hans" w:bidi="ar-SA"/>
              </w:rPr>
              <w:t>熟练</w:t>
            </w:r>
            <w:r>
              <w:rPr>
                <w:rFonts w:hint="eastAsia" w:ascii="楷体" w:hAnsi="Times New Roman" w:eastAsia="楷体" w:cs="楷体"/>
                <w:bCs/>
                <w:color w:val="000000"/>
                <w:kern w:val="2"/>
                <w:sz w:val="21"/>
                <w:szCs w:val="21"/>
                <w:lang w:val="en-US" w:eastAsia="zh-TW" w:bidi="ar-SA"/>
              </w:rPr>
              <w:t>掌握声乐教学</w:t>
            </w:r>
            <w:r>
              <w:rPr>
                <w:rFonts w:hint="eastAsia" w:ascii="楷体" w:hAnsi="Times New Roman" w:eastAsia="楷体" w:cs="楷体"/>
                <w:bCs/>
                <w:color w:val="000000"/>
                <w:kern w:val="2"/>
                <w:sz w:val="21"/>
                <w:szCs w:val="21"/>
                <w:lang w:val="en-US" w:eastAsia="zh-Hans" w:bidi="ar-SA"/>
              </w:rPr>
              <w:t>法的</w:t>
            </w:r>
            <w:r>
              <w:rPr>
                <w:rFonts w:hint="eastAsia" w:ascii="楷体" w:hAnsi="Times New Roman" w:eastAsia="楷体" w:cs="楷体"/>
                <w:bCs/>
                <w:color w:val="000000"/>
                <w:kern w:val="2"/>
                <w:sz w:val="21"/>
                <w:szCs w:val="21"/>
                <w:lang w:val="en-US" w:eastAsia="zh-TW" w:bidi="ar-SA"/>
              </w:rPr>
              <w:t>基本理论、基本知识和基本实践技能，具备</w:t>
            </w:r>
            <w:r>
              <w:rPr>
                <w:rFonts w:hint="eastAsia" w:ascii="楷体" w:eastAsia="楷体" w:cs="楷体"/>
                <w:bCs/>
                <w:color w:val="000000"/>
                <w:kern w:val="2"/>
                <w:sz w:val="21"/>
                <w:szCs w:val="21"/>
                <w:lang w:val="en-US" w:eastAsia="zh-Hans" w:bidi="ar-SA"/>
              </w:rPr>
              <w:t>良好的</w:t>
            </w:r>
            <w:r>
              <w:rPr>
                <w:rFonts w:hint="eastAsia" w:ascii="楷体" w:hAnsi="Times New Roman" w:eastAsia="楷体" w:cs="楷体"/>
                <w:bCs/>
                <w:color w:val="000000"/>
                <w:kern w:val="2"/>
                <w:sz w:val="21"/>
                <w:szCs w:val="21"/>
                <w:lang w:val="en-US" w:eastAsia="zh-TW" w:bidi="ar-SA"/>
              </w:rPr>
              <w:t>整合音乐学专业理论知识和实践知识的能力</w:t>
            </w:r>
            <w:r>
              <w:rPr>
                <w:rFonts w:hint="default" w:ascii="楷体" w:hAnsi="Times New Roman" w:eastAsia="楷体" w:cs="楷体"/>
                <w:bCs/>
                <w:color w:val="000000"/>
                <w:kern w:val="2"/>
                <w:sz w:val="21"/>
                <w:szCs w:val="21"/>
                <w:lang w:eastAsia="zh-TW" w:bidi="ar-SA"/>
              </w:rPr>
              <w:t>。</w:t>
            </w:r>
          </w:p>
        </w:tc>
        <w:tc>
          <w:tcPr>
            <w:tcW w:w="1404" w:type="dxa"/>
            <w:tcBorders>
              <w:top w:val="single" w:color="000000" w:sz="4" w:space="0"/>
              <w:left w:val="single" w:color="000000" w:sz="4" w:space="0"/>
              <w:bottom w:val="single" w:color="000000" w:sz="4" w:space="0"/>
              <w:right w:val="single" w:color="000000" w:sz="4" w:space="0"/>
            </w:tcBorders>
            <w:noWrap/>
          </w:tcPr>
          <w:p w14:paraId="04651682">
            <w:pPr>
              <w:pageBreakBefore w:val="0"/>
              <w:widowControl/>
              <w:kinsoku/>
              <w:overflowPunct/>
              <w:topLinePunct w:val="0"/>
              <w:bidi w:val="0"/>
              <w:spacing w:line="240" w:lineRule="auto"/>
              <w:rPr>
                <w:rFonts w:ascii="楷体" w:eastAsia="楷体" w:cs="楷体"/>
                <w:bCs/>
                <w:kern w:val="2"/>
                <w:szCs w:val="21"/>
                <w:lang w:eastAsia="zh-TW" w:bidi="ar-SA"/>
              </w:rPr>
            </w:pPr>
            <w:r>
              <w:rPr>
                <w:rFonts w:hint="eastAsia" w:ascii="楷体" w:eastAsia="楷体" w:cs="楷体"/>
                <w:bCs/>
                <w:color w:val="000000"/>
                <w:kern w:val="2"/>
                <w:sz w:val="21"/>
                <w:szCs w:val="21"/>
                <w:lang w:val="en-US" w:eastAsia="zh-Hans" w:bidi="ar-SA"/>
              </w:rPr>
              <w:t>较为扎实</w:t>
            </w:r>
            <w:r>
              <w:rPr>
                <w:rFonts w:hint="eastAsia" w:ascii="楷体" w:hAnsi="Times New Roman" w:eastAsia="楷体" w:cs="楷体"/>
                <w:bCs/>
                <w:color w:val="000000"/>
                <w:kern w:val="2"/>
                <w:sz w:val="21"/>
                <w:szCs w:val="21"/>
                <w:lang w:val="en-US" w:eastAsia="zh-TW" w:bidi="ar-SA"/>
              </w:rPr>
              <w:t>掌握声乐教学</w:t>
            </w:r>
            <w:r>
              <w:rPr>
                <w:rFonts w:hint="eastAsia" w:ascii="楷体" w:hAnsi="Times New Roman" w:eastAsia="楷体" w:cs="楷体"/>
                <w:bCs/>
                <w:color w:val="000000"/>
                <w:kern w:val="2"/>
                <w:sz w:val="21"/>
                <w:szCs w:val="21"/>
                <w:lang w:val="en-US" w:eastAsia="zh-Hans" w:bidi="ar-SA"/>
              </w:rPr>
              <w:t>法的</w:t>
            </w:r>
            <w:r>
              <w:rPr>
                <w:rFonts w:hint="eastAsia" w:ascii="楷体" w:hAnsi="Times New Roman" w:eastAsia="楷体" w:cs="楷体"/>
                <w:bCs/>
                <w:color w:val="000000"/>
                <w:kern w:val="2"/>
                <w:sz w:val="21"/>
                <w:szCs w:val="21"/>
                <w:lang w:val="en-US" w:eastAsia="zh-TW" w:bidi="ar-SA"/>
              </w:rPr>
              <w:t>基本理论、基本知识和基本实践技能，具备一定整合音乐学专业理论知识和实践知识的能力</w:t>
            </w:r>
            <w:r>
              <w:rPr>
                <w:rFonts w:hint="default" w:ascii="楷体" w:hAnsi="Times New Roman" w:eastAsia="楷体" w:cs="楷体"/>
                <w:bCs/>
                <w:color w:val="000000"/>
                <w:kern w:val="2"/>
                <w:sz w:val="21"/>
                <w:szCs w:val="21"/>
                <w:lang w:eastAsia="zh-TW" w:bidi="ar-SA"/>
              </w:rPr>
              <w:t>。</w:t>
            </w:r>
          </w:p>
        </w:tc>
        <w:tc>
          <w:tcPr>
            <w:tcW w:w="1404" w:type="dxa"/>
            <w:tcBorders>
              <w:top w:val="single" w:color="000000" w:sz="4" w:space="0"/>
              <w:left w:val="single" w:color="000000" w:sz="4" w:space="0"/>
              <w:bottom w:val="single" w:color="000000" w:sz="4" w:space="0"/>
              <w:right w:val="single" w:color="000000" w:sz="4" w:space="0"/>
            </w:tcBorders>
            <w:noWrap/>
          </w:tcPr>
          <w:p w14:paraId="319D3078">
            <w:pPr>
              <w:pageBreakBefore w:val="0"/>
              <w:widowControl/>
              <w:kinsoku/>
              <w:overflowPunct/>
              <w:topLinePunct w:val="0"/>
              <w:bidi w:val="0"/>
              <w:spacing w:line="240" w:lineRule="auto"/>
              <w:rPr>
                <w:rFonts w:ascii="楷体" w:eastAsia="楷体" w:cs="楷体"/>
                <w:bCs/>
                <w:kern w:val="2"/>
                <w:szCs w:val="21"/>
                <w:lang w:eastAsia="zh-TW" w:bidi="ar-SA"/>
              </w:rPr>
            </w:pPr>
            <w:r>
              <w:rPr>
                <w:rFonts w:hint="eastAsia" w:ascii="楷体" w:eastAsia="楷体" w:cs="楷体"/>
                <w:bCs/>
                <w:color w:val="000000"/>
                <w:kern w:val="2"/>
                <w:sz w:val="21"/>
                <w:szCs w:val="21"/>
                <w:lang w:val="en-US" w:eastAsia="zh-Hans" w:bidi="ar-SA"/>
              </w:rPr>
              <w:t>基本</w:t>
            </w:r>
            <w:r>
              <w:rPr>
                <w:rFonts w:hint="eastAsia" w:ascii="楷体" w:hAnsi="Times New Roman" w:eastAsia="楷体" w:cs="楷体"/>
                <w:bCs/>
                <w:color w:val="000000"/>
                <w:kern w:val="2"/>
                <w:sz w:val="21"/>
                <w:szCs w:val="21"/>
                <w:lang w:val="en-US" w:eastAsia="zh-TW" w:bidi="ar-SA"/>
              </w:rPr>
              <w:t>掌握声乐教学</w:t>
            </w:r>
            <w:r>
              <w:rPr>
                <w:rFonts w:hint="eastAsia" w:ascii="楷体" w:hAnsi="Times New Roman" w:eastAsia="楷体" w:cs="楷体"/>
                <w:bCs/>
                <w:color w:val="000000"/>
                <w:kern w:val="2"/>
                <w:sz w:val="21"/>
                <w:szCs w:val="21"/>
                <w:lang w:val="en-US" w:eastAsia="zh-Hans" w:bidi="ar-SA"/>
              </w:rPr>
              <w:t>法的</w:t>
            </w:r>
            <w:r>
              <w:rPr>
                <w:rFonts w:hint="eastAsia" w:ascii="楷体" w:hAnsi="Times New Roman" w:eastAsia="楷体" w:cs="楷体"/>
                <w:bCs/>
                <w:color w:val="000000"/>
                <w:kern w:val="2"/>
                <w:sz w:val="21"/>
                <w:szCs w:val="21"/>
                <w:lang w:val="en-US" w:eastAsia="zh-TW" w:bidi="ar-SA"/>
              </w:rPr>
              <w:t>基本理论、基本知识和基本实践技能，具备一定整合音乐学专业理论知识和实践知识的能力</w:t>
            </w:r>
            <w:r>
              <w:rPr>
                <w:rFonts w:hint="default" w:ascii="楷体" w:hAnsi="Times New Roman" w:eastAsia="楷体" w:cs="楷体"/>
                <w:bCs/>
                <w:color w:val="000000"/>
                <w:kern w:val="2"/>
                <w:sz w:val="21"/>
                <w:szCs w:val="21"/>
                <w:lang w:eastAsia="zh-TW" w:bidi="ar-SA"/>
              </w:rPr>
              <w:t>。</w:t>
            </w:r>
          </w:p>
        </w:tc>
        <w:tc>
          <w:tcPr>
            <w:tcW w:w="1404" w:type="dxa"/>
            <w:tcBorders>
              <w:top w:val="single" w:color="000000" w:sz="4" w:space="0"/>
              <w:left w:val="single" w:color="000000" w:sz="4" w:space="0"/>
              <w:bottom w:val="single" w:color="000000" w:sz="4" w:space="0"/>
              <w:right w:val="single" w:color="000000" w:sz="4" w:space="0"/>
            </w:tcBorders>
            <w:noWrap/>
          </w:tcPr>
          <w:p w14:paraId="6F32D728">
            <w:pPr>
              <w:pageBreakBefore w:val="0"/>
              <w:widowControl/>
              <w:kinsoku/>
              <w:overflowPunct/>
              <w:topLinePunct w:val="0"/>
              <w:bidi w:val="0"/>
              <w:spacing w:line="240" w:lineRule="auto"/>
              <w:rPr>
                <w:rFonts w:ascii="楷体" w:eastAsia="楷体" w:cs="楷体"/>
                <w:bCs/>
                <w:kern w:val="2"/>
                <w:szCs w:val="21"/>
                <w:lang w:eastAsia="zh-TW" w:bidi="ar-SA"/>
              </w:rPr>
            </w:pPr>
            <w:r>
              <w:rPr>
                <w:rFonts w:hint="eastAsia" w:ascii="楷体" w:eastAsia="楷体" w:cs="楷体"/>
                <w:bCs/>
                <w:color w:val="000000"/>
                <w:kern w:val="2"/>
                <w:sz w:val="21"/>
                <w:szCs w:val="21"/>
                <w:lang w:val="en-US" w:eastAsia="zh-Hans" w:bidi="ar-SA"/>
              </w:rPr>
              <w:t>基本</w:t>
            </w:r>
            <w:r>
              <w:rPr>
                <w:rFonts w:hint="eastAsia" w:ascii="楷体" w:hAnsi="Times New Roman" w:eastAsia="楷体" w:cs="楷体"/>
                <w:bCs/>
                <w:color w:val="000000"/>
                <w:kern w:val="2"/>
                <w:sz w:val="21"/>
                <w:szCs w:val="21"/>
                <w:lang w:val="en-US" w:eastAsia="zh-TW" w:bidi="ar-SA"/>
              </w:rPr>
              <w:t>掌握声乐教学</w:t>
            </w:r>
            <w:r>
              <w:rPr>
                <w:rFonts w:hint="eastAsia" w:ascii="楷体" w:hAnsi="Times New Roman" w:eastAsia="楷体" w:cs="楷体"/>
                <w:bCs/>
                <w:color w:val="000000"/>
                <w:kern w:val="2"/>
                <w:sz w:val="21"/>
                <w:szCs w:val="21"/>
                <w:lang w:val="en-US" w:eastAsia="zh-Hans" w:bidi="ar-SA"/>
              </w:rPr>
              <w:t>法的</w:t>
            </w:r>
            <w:r>
              <w:rPr>
                <w:rFonts w:hint="eastAsia" w:ascii="楷体" w:hAnsi="Times New Roman" w:eastAsia="楷体" w:cs="楷体"/>
                <w:bCs/>
                <w:color w:val="000000"/>
                <w:kern w:val="2"/>
                <w:sz w:val="21"/>
                <w:szCs w:val="21"/>
                <w:lang w:val="en-US" w:eastAsia="zh-TW" w:bidi="ar-SA"/>
              </w:rPr>
              <w:t>基本理论、基本知识和基本实践技能，</w:t>
            </w:r>
            <w:r>
              <w:rPr>
                <w:rFonts w:hint="eastAsia" w:ascii="楷体" w:eastAsia="楷体" w:cs="楷体"/>
                <w:bCs/>
                <w:color w:val="000000"/>
                <w:kern w:val="2"/>
                <w:sz w:val="21"/>
                <w:szCs w:val="21"/>
                <w:lang w:val="en-US" w:eastAsia="zh-Hans" w:bidi="ar-SA"/>
              </w:rPr>
              <w:t>基本</w:t>
            </w:r>
            <w:r>
              <w:rPr>
                <w:rFonts w:hint="eastAsia" w:ascii="楷体" w:hAnsi="Times New Roman" w:eastAsia="楷体" w:cs="楷体"/>
                <w:bCs/>
                <w:color w:val="000000"/>
                <w:kern w:val="2"/>
                <w:sz w:val="21"/>
                <w:szCs w:val="21"/>
                <w:lang w:val="en-US" w:eastAsia="zh-TW" w:bidi="ar-SA"/>
              </w:rPr>
              <w:t>具备一定整合音乐学专业理论知识和实践知识的能力</w:t>
            </w:r>
            <w:r>
              <w:rPr>
                <w:rFonts w:hint="default" w:ascii="楷体" w:hAnsi="Times New Roman" w:eastAsia="楷体" w:cs="楷体"/>
                <w:bCs/>
                <w:color w:val="000000"/>
                <w:kern w:val="2"/>
                <w:sz w:val="21"/>
                <w:szCs w:val="21"/>
                <w:lang w:eastAsia="zh-TW" w:bidi="ar-SA"/>
              </w:rPr>
              <w:t>。</w:t>
            </w:r>
          </w:p>
        </w:tc>
        <w:tc>
          <w:tcPr>
            <w:tcW w:w="1406" w:type="dxa"/>
            <w:tcBorders>
              <w:top w:val="single" w:color="000000" w:sz="4" w:space="0"/>
              <w:left w:val="single" w:color="000000" w:sz="4" w:space="0"/>
              <w:bottom w:val="single" w:color="000000" w:sz="4" w:space="0"/>
              <w:right w:val="single" w:color="000000" w:sz="4" w:space="0"/>
            </w:tcBorders>
            <w:noWrap/>
          </w:tcPr>
          <w:p w14:paraId="4FDCFB38">
            <w:pPr>
              <w:pageBreakBefore w:val="0"/>
              <w:widowControl/>
              <w:kinsoku/>
              <w:overflowPunct/>
              <w:topLinePunct w:val="0"/>
              <w:bidi w:val="0"/>
              <w:spacing w:line="240" w:lineRule="auto"/>
              <w:rPr>
                <w:rFonts w:ascii="楷体" w:eastAsia="楷体" w:cs="楷体"/>
                <w:bCs/>
                <w:kern w:val="2"/>
                <w:szCs w:val="21"/>
                <w:lang w:eastAsia="zh-TW" w:bidi="ar-SA"/>
              </w:rPr>
            </w:pPr>
            <w:r>
              <w:rPr>
                <w:rFonts w:hint="eastAsia" w:ascii="楷体" w:eastAsia="楷体" w:cs="楷体"/>
                <w:bCs/>
                <w:color w:val="000000"/>
                <w:kern w:val="2"/>
                <w:sz w:val="21"/>
                <w:szCs w:val="21"/>
                <w:lang w:val="en-US" w:eastAsia="zh-Hans" w:bidi="ar-SA"/>
              </w:rPr>
              <w:t>不能</w:t>
            </w:r>
            <w:r>
              <w:rPr>
                <w:rFonts w:hint="eastAsia" w:ascii="楷体" w:hAnsi="Times New Roman" w:eastAsia="楷体" w:cs="楷体"/>
                <w:bCs/>
                <w:color w:val="000000"/>
                <w:kern w:val="2"/>
                <w:sz w:val="21"/>
                <w:szCs w:val="21"/>
                <w:lang w:val="en-US" w:eastAsia="zh-TW" w:bidi="ar-SA"/>
              </w:rPr>
              <w:t>掌握声乐教学</w:t>
            </w:r>
            <w:r>
              <w:rPr>
                <w:rFonts w:hint="eastAsia" w:ascii="楷体" w:hAnsi="Times New Roman" w:eastAsia="楷体" w:cs="楷体"/>
                <w:bCs/>
                <w:color w:val="000000"/>
                <w:kern w:val="2"/>
                <w:sz w:val="21"/>
                <w:szCs w:val="21"/>
                <w:lang w:val="en-US" w:eastAsia="zh-Hans" w:bidi="ar-SA"/>
              </w:rPr>
              <w:t>法的</w:t>
            </w:r>
            <w:r>
              <w:rPr>
                <w:rFonts w:hint="eastAsia" w:ascii="楷体" w:hAnsi="Times New Roman" w:eastAsia="楷体" w:cs="楷体"/>
                <w:bCs/>
                <w:color w:val="000000"/>
                <w:kern w:val="2"/>
                <w:sz w:val="21"/>
                <w:szCs w:val="21"/>
                <w:lang w:val="en-US" w:eastAsia="zh-TW" w:bidi="ar-SA"/>
              </w:rPr>
              <w:t>基本理论、基本知识和基本实践技能，</w:t>
            </w:r>
            <w:r>
              <w:rPr>
                <w:rFonts w:hint="eastAsia" w:ascii="楷体" w:eastAsia="楷体" w:cs="楷体"/>
                <w:bCs/>
                <w:color w:val="000000"/>
                <w:kern w:val="2"/>
                <w:sz w:val="21"/>
                <w:szCs w:val="21"/>
                <w:lang w:val="en-US" w:eastAsia="zh-Hans" w:bidi="ar-SA"/>
              </w:rPr>
              <w:t>不</w:t>
            </w:r>
            <w:r>
              <w:rPr>
                <w:rFonts w:hint="eastAsia" w:ascii="楷体" w:hAnsi="Times New Roman" w:eastAsia="楷体" w:cs="楷体"/>
                <w:bCs/>
                <w:color w:val="000000"/>
                <w:kern w:val="2"/>
                <w:sz w:val="21"/>
                <w:szCs w:val="21"/>
                <w:lang w:val="en-US" w:eastAsia="zh-TW" w:bidi="ar-SA"/>
              </w:rPr>
              <w:t>具备一定整合音乐学专业理论知识和实践知识的能力</w:t>
            </w:r>
            <w:r>
              <w:rPr>
                <w:rFonts w:hint="default" w:ascii="楷体" w:hAnsi="Times New Roman" w:eastAsia="楷体" w:cs="楷体"/>
                <w:bCs/>
                <w:color w:val="000000"/>
                <w:kern w:val="2"/>
                <w:sz w:val="21"/>
                <w:szCs w:val="21"/>
                <w:lang w:eastAsia="zh-TW" w:bidi="ar-SA"/>
              </w:rPr>
              <w:t>。</w:t>
            </w:r>
          </w:p>
        </w:tc>
      </w:tr>
      <w:tr w14:paraId="3AC61C54">
        <w:trPr>
          <w:trHeight w:val="624" w:hRule="atLeast"/>
        </w:trPr>
        <w:tc>
          <w:tcPr>
            <w:tcW w:w="2188" w:type="dxa"/>
            <w:tcBorders>
              <w:top w:val="single" w:color="000000" w:sz="4" w:space="0"/>
              <w:left w:val="single" w:color="000000" w:sz="4" w:space="0"/>
              <w:bottom w:val="single" w:color="000000" w:sz="4" w:space="0"/>
              <w:right w:val="single" w:color="000000" w:sz="4" w:space="0"/>
            </w:tcBorders>
            <w:noWrap/>
          </w:tcPr>
          <w:p w14:paraId="3B92B581">
            <w:pPr>
              <w:pageBreakBefore w:val="0"/>
              <w:widowControl/>
              <w:kinsoku/>
              <w:overflowPunct/>
              <w:topLinePunct w:val="0"/>
              <w:bidi w:val="0"/>
              <w:spacing w:line="240" w:lineRule="auto"/>
              <w:rPr>
                <w:rFonts w:hint="eastAsia" w:ascii="楷体" w:eastAsia="楷体" w:cs="楷体"/>
                <w:bCs/>
                <w:kern w:val="2"/>
                <w:szCs w:val="21"/>
                <w:lang w:eastAsia="zh-TW" w:bidi="ar-SA"/>
              </w:rPr>
            </w:pPr>
            <w:r>
              <w:rPr>
                <w:rFonts w:ascii="楷体" w:eastAsia="楷体" w:cs="楷体"/>
                <w:bCs/>
                <w:kern w:val="2"/>
                <w:szCs w:val="21"/>
                <w:lang w:val="en-US" w:eastAsia="zh-TW" w:bidi="ar-SA"/>
              </w:rPr>
              <w:t>课程目标3：</w:t>
            </w:r>
            <w:r>
              <w:rPr>
                <w:rFonts w:hint="eastAsia" w:ascii="楷体" w:eastAsia="楷体" w:cs="楷体"/>
                <w:bCs/>
                <w:kern w:val="2"/>
                <w:szCs w:val="21"/>
                <w:lang w:val="en-US" w:eastAsia="zh-TW" w:bidi="ar-SA"/>
              </w:rPr>
              <w:t>考核学生在教学实践中教学目标、教学内容的制定，教案的撰写，以及课堂教学过程中每个环节的设置。学生的语言组织能力、课堂节奏把握能力、课堂板书艺术，以及声乐教学的必备技能，如钢琴伴奏能力、歌曲范唱讲解能力。</w:t>
            </w:r>
          </w:p>
        </w:tc>
        <w:tc>
          <w:tcPr>
            <w:tcW w:w="1404" w:type="dxa"/>
            <w:tcBorders>
              <w:top w:val="single" w:color="000000" w:sz="4" w:space="0"/>
              <w:left w:val="single" w:color="000000" w:sz="4" w:space="0"/>
              <w:bottom w:val="single" w:color="000000" w:sz="4" w:space="0"/>
              <w:right w:val="single" w:color="000000" w:sz="4" w:space="0"/>
            </w:tcBorders>
            <w:noWrap/>
          </w:tcPr>
          <w:p w14:paraId="21B137CD">
            <w:pPr>
              <w:pageBreakBefore w:val="0"/>
              <w:widowControl/>
              <w:kinsoku/>
              <w:overflowPunct/>
              <w:topLinePunct w:val="0"/>
              <w:bidi w:val="0"/>
              <w:spacing w:line="240" w:lineRule="auto"/>
              <w:rPr>
                <w:rFonts w:hint="eastAsia" w:ascii="楷体" w:eastAsia="楷体" w:cs="楷体"/>
                <w:bCs/>
                <w:kern w:val="2"/>
                <w:szCs w:val="21"/>
                <w:lang w:val="en-US" w:eastAsia="zh-TW" w:bidi="ar-SA"/>
              </w:rPr>
            </w:pPr>
            <w:r>
              <w:rPr>
                <w:rFonts w:hint="eastAsia" w:ascii="楷体" w:eastAsia="楷体" w:cs="楷体"/>
                <w:bCs/>
                <w:kern w:val="2"/>
                <w:szCs w:val="21"/>
                <w:lang w:val="en-US" w:eastAsia="zh-TW" w:bidi="ar-SA"/>
              </w:rPr>
              <w:t>能够</w:t>
            </w:r>
            <w:r>
              <w:rPr>
                <w:rFonts w:hint="eastAsia" w:ascii="楷体" w:eastAsia="楷体" w:cs="楷体"/>
                <w:bCs/>
                <w:kern w:val="2"/>
                <w:szCs w:val="21"/>
                <w:lang w:val="en-US" w:eastAsia="zh-Hans" w:bidi="ar-SA"/>
              </w:rPr>
              <w:t>细致完成</w:t>
            </w:r>
            <w:r>
              <w:rPr>
                <w:rFonts w:hint="eastAsia" w:ascii="楷体" w:eastAsia="楷体" w:cs="楷体"/>
                <w:bCs/>
                <w:kern w:val="2"/>
                <w:szCs w:val="21"/>
                <w:lang w:val="en-US" w:eastAsia="zh-TW" w:bidi="ar-SA"/>
              </w:rPr>
              <w:t>教学目标、教学内容</w:t>
            </w:r>
            <w:r>
              <w:rPr>
                <w:rFonts w:hint="eastAsia" w:ascii="楷体" w:eastAsia="楷体" w:cs="楷体"/>
                <w:bCs/>
                <w:kern w:val="2"/>
                <w:szCs w:val="21"/>
                <w:lang w:val="en-US" w:eastAsia="zh-Hans" w:bidi="ar-SA"/>
              </w:rPr>
              <w:t>的制定</w:t>
            </w:r>
            <w:r>
              <w:rPr>
                <w:rFonts w:hint="default" w:ascii="楷体" w:eastAsia="楷体" w:cs="楷体"/>
                <w:bCs/>
                <w:kern w:val="2"/>
                <w:szCs w:val="21"/>
                <w:lang w:eastAsia="zh-TW" w:bidi="ar-SA"/>
              </w:rPr>
              <w:t>、</w:t>
            </w:r>
            <w:r>
              <w:rPr>
                <w:rFonts w:hint="eastAsia" w:ascii="楷体" w:eastAsia="楷体" w:cs="楷体"/>
                <w:bCs/>
                <w:kern w:val="2"/>
                <w:szCs w:val="21"/>
                <w:lang w:val="en-US" w:eastAsia="zh-TW" w:bidi="ar-SA"/>
              </w:rPr>
              <w:t>教案的撰写，以及课堂教学过程中每个环节的设置。</w:t>
            </w:r>
            <w:r>
              <w:rPr>
                <w:rFonts w:hint="eastAsia" w:ascii="楷体" w:eastAsia="楷体" w:cs="楷体"/>
                <w:bCs/>
                <w:kern w:val="2"/>
                <w:szCs w:val="21"/>
                <w:lang w:val="en-US" w:eastAsia="zh-Hans" w:bidi="ar-SA"/>
              </w:rPr>
              <w:t>具有很强的</w:t>
            </w:r>
            <w:r>
              <w:rPr>
                <w:rFonts w:hint="eastAsia" w:ascii="楷体" w:eastAsia="楷体" w:cs="楷体"/>
                <w:bCs/>
                <w:kern w:val="2"/>
                <w:szCs w:val="21"/>
                <w:lang w:val="en-US" w:eastAsia="zh-TW" w:bidi="ar-SA"/>
              </w:rPr>
              <w:t>语言组织能力、课堂节奏把握能力、课堂板书艺术，以及声乐教学的必备技能。</w:t>
            </w:r>
          </w:p>
        </w:tc>
        <w:tc>
          <w:tcPr>
            <w:tcW w:w="1404" w:type="dxa"/>
            <w:tcBorders>
              <w:top w:val="single" w:color="000000" w:sz="4" w:space="0"/>
              <w:left w:val="single" w:color="000000" w:sz="4" w:space="0"/>
              <w:bottom w:val="single" w:color="000000" w:sz="4" w:space="0"/>
              <w:right w:val="single" w:color="000000" w:sz="4" w:space="0"/>
            </w:tcBorders>
            <w:noWrap/>
          </w:tcPr>
          <w:p w14:paraId="28FBD943">
            <w:pPr>
              <w:pageBreakBefore w:val="0"/>
              <w:widowControl/>
              <w:kinsoku/>
              <w:overflowPunct/>
              <w:topLinePunct w:val="0"/>
              <w:bidi w:val="0"/>
              <w:spacing w:line="240" w:lineRule="auto"/>
              <w:rPr>
                <w:rFonts w:hint="eastAsia" w:ascii="楷体" w:eastAsia="楷体" w:cs="楷体"/>
                <w:bCs/>
                <w:kern w:val="2"/>
                <w:szCs w:val="21"/>
                <w:lang w:val="en-US" w:eastAsia="zh-TW" w:bidi="ar-SA"/>
              </w:rPr>
            </w:pPr>
            <w:r>
              <w:rPr>
                <w:rFonts w:hint="eastAsia" w:ascii="楷体" w:eastAsia="楷体" w:cs="楷体"/>
                <w:bCs/>
                <w:kern w:val="2"/>
                <w:szCs w:val="21"/>
                <w:lang w:val="en-US" w:eastAsia="zh-TW" w:bidi="ar-SA"/>
              </w:rPr>
              <w:t>能够</w:t>
            </w:r>
            <w:r>
              <w:rPr>
                <w:rFonts w:hint="eastAsia" w:ascii="楷体" w:eastAsia="楷体" w:cs="楷体"/>
                <w:bCs/>
                <w:kern w:val="2"/>
                <w:szCs w:val="21"/>
                <w:lang w:val="en-US" w:eastAsia="zh-Hans" w:bidi="ar-SA"/>
              </w:rPr>
              <w:t>较为细致的完成</w:t>
            </w:r>
            <w:r>
              <w:rPr>
                <w:rFonts w:hint="eastAsia" w:ascii="楷体" w:eastAsia="楷体" w:cs="楷体"/>
                <w:bCs/>
                <w:kern w:val="2"/>
                <w:szCs w:val="21"/>
                <w:lang w:val="en-US" w:eastAsia="zh-TW" w:bidi="ar-SA"/>
              </w:rPr>
              <w:t>教学目标、教学内容</w:t>
            </w:r>
            <w:r>
              <w:rPr>
                <w:rFonts w:hint="eastAsia" w:ascii="楷体" w:eastAsia="楷体" w:cs="楷体"/>
                <w:bCs/>
                <w:kern w:val="2"/>
                <w:szCs w:val="21"/>
                <w:lang w:val="en-US" w:eastAsia="zh-Hans" w:bidi="ar-SA"/>
              </w:rPr>
              <w:t>的制定</w:t>
            </w:r>
            <w:r>
              <w:rPr>
                <w:rFonts w:hint="default" w:ascii="楷体" w:eastAsia="楷体" w:cs="楷体"/>
                <w:bCs/>
                <w:kern w:val="2"/>
                <w:szCs w:val="21"/>
                <w:lang w:val="en-US" w:eastAsia="zh-TW" w:bidi="ar-SA"/>
              </w:rPr>
              <w:t>、</w:t>
            </w:r>
            <w:r>
              <w:rPr>
                <w:rFonts w:hint="eastAsia" w:ascii="楷体" w:eastAsia="楷体" w:cs="楷体"/>
                <w:bCs/>
                <w:kern w:val="2"/>
                <w:szCs w:val="21"/>
                <w:lang w:val="en-US" w:eastAsia="zh-TW" w:bidi="ar-SA"/>
              </w:rPr>
              <w:t>教案的撰写，以及课堂教学过程中每个环节的设置。</w:t>
            </w:r>
            <w:r>
              <w:rPr>
                <w:rFonts w:hint="eastAsia" w:ascii="楷体" w:eastAsia="楷体" w:cs="楷体"/>
                <w:bCs/>
                <w:kern w:val="2"/>
                <w:szCs w:val="21"/>
                <w:lang w:val="en-US" w:eastAsia="zh-Hans" w:bidi="ar-SA"/>
              </w:rPr>
              <w:t>具有较强的</w:t>
            </w:r>
            <w:r>
              <w:rPr>
                <w:rFonts w:hint="eastAsia" w:ascii="楷体" w:eastAsia="楷体" w:cs="楷体"/>
                <w:bCs/>
                <w:kern w:val="2"/>
                <w:szCs w:val="21"/>
                <w:lang w:val="en-US" w:eastAsia="zh-TW" w:bidi="ar-SA"/>
              </w:rPr>
              <w:t>语言组织能力、课堂节奏把握能力、课堂板书艺术，以及声乐教学的必备技能。</w:t>
            </w:r>
          </w:p>
        </w:tc>
        <w:tc>
          <w:tcPr>
            <w:tcW w:w="1404" w:type="dxa"/>
            <w:tcBorders>
              <w:top w:val="single" w:color="000000" w:sz="4" w:space="0"/>
              <w:left w:val="single" w:color="000000" w:sz="4" w:space="0"/>
              <w:bottom w:val="single" w:color="000000" w:sz="4" w:space="0"/>
              <w:right w:val="single" w:color="000000" w:sz="4" w:space="0"/>
            </w:tcBorders>
            <w:noWrap/>
          </w:tcPr>
          <w:p w14:paraId="3143C98A">
            <w:pPr>
              <w:pageBreakBefore w:val="0"/>
              <w:widowControl/>
              <w:kinsoku/>
              <w:overflowPunct/>
              <w:topLinePunct w:val="0"/>
              <w:bidi w:val="0"/>
              <w:spacing w:line="240" w:lineRule="auto"/>
              <w:rPr>
                <w:rFonts w:hint="eastAsia" w:ascii="楷体" w:eastAsia="楷体" w:cs="楷体"/>
                <w:bCs/>
                <w:kern w:val="2"/>
                <w:szCs w:val="21"/>
                <w:lang w:val="en-US" w:eastAsia="zh-TW" w:bidi="ar-SA"/>
              </w:rPr>
            </w:pPr>
            <w:r>
              <w:rPr>
                <w:rFonts w:hint="eastAsia" w:ascii="楷体" w:eastAsia="楷体" w:cs="楷体"/>
                <w:bCs/>
                <w:kern w:val="2"/>
                <w:szCs w:val="21"/>
                <w:lang w:val="en-US" w:eastAsia="zh-TW" w:bidi="ar-SA"/>
              </w:rPr>
              <w:t>能够</w:t>
            </w:r>
            <w:r>
              <w:rPr>
                <w:rFonts w:hint="eastAsia" w:ascii="楷体" w:eastAsia="楷体" w:cs="楷体"/>
                <w:bCs/>
                <w:kern w:val="2"/>
                <w:szCs w:val="21"/>
                <w:lang w:val="en-US" w:eastAsia="zh-Hans" w:bidi="ar-SA"/>
              </w:rPr>
              <w:t>基本完成</w:t>
            </w:r>
            <w:r>
              <w:rPr>
                <w:rFonts w:hint="eastAsia" w:ascii="楷体" w:eastAsia="楷体" w:cs="楷体"/>
                <w:bCs/>
                <w:kern w:val="2"/>
                <w:szCs w:val="21"/>
                <w:lang w:val="en-US" w:eastAsia="zh-TW" w:bidi="ar-SA"/>
              </w:rPr>
              <w:t>教学目标、教学内容</w:t>
            </w:r>
            <w:r>
              <w:rPr>
                <w:rFonts w:hint="eastAsia" w:ascii="楷体" w:eastAsia="楷体" w:cs="楷体"/>
                <w:bCs/>
                <w:kern w:val="2"/>
                <w:szCs w:val="21"/>
                <w:lang w:val="en-US" w:eastAsia="zh-Hans" w:bidi="ar-SA"/>
              </w:rPr>
              <w:t>的制定</w:t>
            </w:r>
            <w:r>
              <w:rPr>
                <w:rFonts w:hint="default" w:ascii="楷体" w:eastAsia="楷体" w:cs="楷体"/>
                <w:bCs/>
                <w:kern w:val="2"/>
                <w:szCs w:val="21"/>
                <w:lang w:val="en-US" w:eastAsia="zh-TW" w:bidi="ar-SA"/>
              </w:rPr>
              <w:t>、</w:t>
            </w:r>
            <w:r>
              <w:rPr>
                <w:rFonts w:hint="eastAsia" w:ascii="楷体" w:eastAsia="楷体" w:cs="楷体"/>
                <w:bCs/>
                <w:kern w:val="2"/>
                <w:szCs w:val="21"/>
                <w:lang w:val="en-US" w:eastAsia="zh-TW" w:bidi="ar-SA"/>
              </w:rPr>
              <w:t>教案的撰写，以及课堂教学过程中每个环节的设置。</w:t>
            </w:r>
            <w:r>
              <w:rPr>
                <w:rFonts w:hint="eastAsia" w:ascii="楷体" w:eastAsia="楷体" w:cs="楷体"/>
                <w:bCs/>
                <w:kern w:val="2"/>
                <w:szCs w:val="21"/>
                <w:lang w:val="en-US" w:eastAsia="zh-Hans" w:bidi="ar-SA"/>
              </w:rPr>
              <w:t>具有一定的</w:t>
            </w:r>
            <w:r>
              <w:rPr>
                <w:rFonts w:hint="eastAsia" w:ascii="楷体" w:eastAsia="楷体" w:cs="楷体"/>
                <w:bCs/>
                <w:kern w:val="2"/>
                <w:szCs w:val="21"/>
                <w:lang w:val="en-US" w:eastAsia="zh-TW" w:bidi="ar-SA"/>
              </w:rPr>
              <w:t>语言组织能力、课堂节奏把握能力、课堂板书艺术，以及声乐教学的必备技能。</w:t>
            </w:r>
          </w:p>
        </w:tc>
        <w:tc>
          <w:tcPr>
            <w:tcW w:w="1404" w:type="dxa"/>
            <w:tcBorders>
              <w:top w:val="single" w:color="000000" w:sz="4" w:space="0"/>
              <w:left w:val="single" w:color="000000" w:sz="4" w:space="0"/>
              <w:bottom w:val="single" w:color="000000" w:sz="4" w:space="0"/>
              <w:right w:val="single" w:color="000000" w:sz="4" w:space="0"/>
            </w:tcBorders>
            <w:noWrap/>
          </w:tcPr>
          <w:p w14:paraId="29ACF596">
            <w:pPr>
              <w:pageBreakBefore w:val="0"/>
              <w:widowControl/>
              <w:kinsoku/>
              <w:overflowPunct/>
              <w:topLinePunct w:val="0"/>
              <w:bidi w:val="0"/>
              <w:spacing w:line="240" w:lineRule="auto"/>
              <w:rPr>
                <w:rFonts w:hint="eastAsia" w:ascii="楷体" w:eastAsia="楷体" w:cs="楷体"/>
                <w:bCs/>
                <w:kern w:val="2"/>
                <w:szCs w:val="21"/>
                <w:lang w:val="en-US" w:eastAsia="zh-TW" w:bidi="ar-SA"/>
              </w:rPr>
            </w:pPr>
            <w:r>
              <w:rPr>
                <w:rFonts w:hint="eastAsia" w:ascii="楷体" w:eastAsia="楷体" w:cs="楷体"/>
                <w:bCs/>
                <w:kern w:val="2"/>
                <w:szCs w:val="21"/>
                <w:lang w:val="en-US" w:eastAsia="zh-TW" w:bidi="ar-SA"/>
              </w:rPr>
              <w:t>能够</w:t>
            </w:r>
            <w:r>
              <w:rPr>
                <w:rFonts w:hint="eastAsia" w:ascii="楷体" w:eastAsia="楷体" w:cs="楷体"/>
                <w:bCs/>
                <w:kern w:val="2"/>
                <w:szCs w:val="21"/>
                <w:lang w:val="en-US" w:eastAsia="zh-Hans" w:bidi="ar-SA"/>
              </w:rPr>
              <w:t>基本完成</w:t>
            </w:r>
            <w:r>
              <w:rPr>
                <w:rFonts w:hint="eastAsia" w:ascii="楷体" w:eastAsia="楷体" w:cs="楷体"/>
                <w:bCs/>
                <w:kern w:val="2"/>
                <w:szCs w:val="21"/>
                <w:lang w:val="en-US" w:eastAsia="zh-TW" w:bidi="ar-SA"/>
              </w:rPr>
              <w:t>教学目标、教学内容</w:t>
            </w:r>
            <w:r>
              <w:rPr>
                <w:rFonts w:hint="eastAsia" w:ascii="楷体" w:eastAsia="楷体" w:cs="楷体"/>
                <w:bCs/>
                <w:kern w:val="2"/>
                <w:szCs w:val="21"/>
                <w:lang w:val="en-US" w:eastAsia="zh-Hans" w:bidi="ar-SA"/>
              </w:rPr>
              <w:t>的制定</w:t>
            </w:r>
            <w:r>
              <w:rPr>
                <w:rFonts w:hint="default" w:ascii="楷体" w:eastAsia="楷体" w:cs="楷体"/>
                <w:bCs/>
                <w:kern w:val="2"/>
                <w:szCs w:val="21"/>
                <w:lang w:val="en-US" w:eastAsia="zh-TW" w:bidi="ar-SA"/>
              </w:rPr>
              <w:t>、</w:t>
            </w:r>
            <w:r>
              <w:rPr>
                <w:rFonts w:hint="eastAsia" w:ascii="楷体" w:eastAsia="楷体" w:cs="楷体"/>
                <w:bCs/>
                <w:kern w:val="2"/>
                <w:szCs w:val="21"/>
                <w:lang w:val="en-US" w:eastAsia="zh-TW" w:bidi="ar-SA"/>
              </w:rPr>
              <w:t>教案的撰写，以及课堂教学过程中每个环节的设置。</w:t>
            </w:r>
            <w:r>
              <w:rPr>
                <w:rFonts w:hint="eastAsia" w:ascii="楷体" w:eastAsia="楷体" w:cs="楷体"/>
                <w:bCs/>
                <w:kern w:val="2"/>
                <w:szCs w:val="21"/>
                <w:lang w:val="en-US" w:eastAsia="zh-Hans" w:bidi="ar-SA"/>
              </w:rPr>
              <w:t>具备基本的</w:t>
            </w:r>
            <w:r>
              <w:rPr>
                <w:rFonts w:hint="eastAsia" w:ascii="楷体" w:eastAsia="楷体" w:cs="楷体"/>
                <w:bCs/>
                <w:kern w:val="2"/>
                <w:szCs w:val="21"/>
                <w:lang w:val="en-US" w:eastAsia="zh-TW" w:bidi="ar-SA"/>
              </w:rPr>
              <w:t>语言组织能力、课堂节奏把握能力、课堂板书艺术，以及声乐教学的必备技能。</w:t>
            </w:r>
          </w:p>
        </w:tc>
        <w:tc>
          <w:tcPr>
            <w:tcW w:w="1406" w:type="dxa"/>
            <w:tcBorders>
              <w:top w:val="single" w:color="000000" w:sz="4" w:space="0"/>
              <w:left w:val="single" w:color="000000" w:sz="4" w:space="0"/>
              <w:bottom w:val="single" w:color="000000" w:sz="4" w:space="0"/>
              <w:right w:val="single" w:color="000000" w:sz="4" w:space="0"/>
            </w:tcBorders>
            <w:noWrap/>
          </w:tcPr>
          <w:p w14:paraId="322A56FD">
            <w:pPr>
              <w:pageBreakBefore w:val="0"/>
              <w:widowControl/>
              <w:kinsoku/>
              <w:overflowPunct/>
              <w:topLinePunct w:val="0"/>
              <w:bidi w:val="0"/>
              <w:spacing w:line="240" w:lineRule="auto"/>
              <w:rPr>
                <w:rFonts w:hint="eastAsia" w:ascii="楷体" w:eastAsia="楷体" w:cs="楷体"/>
                <w:bCs/>
                <w:kern w:val="2"/>
                <w:szCs w:val="21"/>
                <w:lang w:val="en-US" w:eastAsia="zh-TW" w:bidi="ar-SA"/>
              </w:rPr>
            </w:pPr>
            <w:r>
              <w:rPr>
                <w:rFonts w:hint="eastAsia" w:ascii="楷体" w:eastAsia="楷体" w:cs="楷体"/>
                <w:bCs/>
                <w:kern w:val="2"/>
                <w:szCs w:val="21"/>
                <w:lang w:val="en-US" w:eastAsia="zh-Hans" w:bidi="ar-SA"/>
              </w:rPr>
              <w:t>不能完成</w:t>
            </w:r>
            <w:r>
              <w:rPr>
                <w:rFonts w:hint="eastAsia" w:ascii="楷体" w:eastAsia="楷体" w:cs="楷体"/>
                <w:bCs/>
                <w:kern w:val="2"/>
                <w:szCs w:val="21"/>
                <w:lang w:val="en-US" w:eastAsia="zh-TW" w:bidi="ar-SA"/>
              </w:rPr>
              <w:t>教学目标、教学内容</w:t>
            </w:r>
            <w:r>
              <w:rPr>
                <w:rFonts w:hint="eastAsia" w:ascii="楷体" w:eastAsia="楷体" w:cs="楷体"/>
                <w:bCs/>
                <w:kern w:val="2"/>
                <w:szCs w:val="21"/>
                <w:lang w:val="en-US" w:eastAsia="zh-Hans" w:bidi="ar-SA"/>
              </w:rPr>
              <w:t>的制定</w:t>
            </w:r>
            <w:r>
              <w:rPr>
                <w:rFonts w:hint="default" w:ascii="楷体" w:eastAsia="楷体" w:cs="楷体"/>
                <w:bCs/>
                <w:kern w:val="2"/>
                <w:szCs w:val="21"/>
                <w:lang w:val="en-US" w:eastAsia="zh-TW" w:bidi="ar-SA"/>
              </w:rPr>
              <w:t>、</w:t>
            </w:r>
            <w:r>
              <w:rPr>
                <w:rFonts w:hint="eastAsia" w:ascii="楷体" w:eastAsia="楷体" w:cs="楷体"/>
                <w:bCs/>
                <w:kern w:val="2"/>
                <w:szCs w:val="21"/>
                <w:lang w:val="en-US" w:eastAsia="zh-TW" w:bidi="ar-SA"/>
              </w:rPr>
              <w:t>教案的撰写，以及课堂教学过程中每个环节的设置。</w:t>
            </w:r>
            <w:r>
              <w:rPr>
                <w:rFonts w:hint="eastAsia" w:ascii="楷体" w:eastAsia="楷体" w:cs="楷体"/>
                <w:bCs/>
                <w:kern w:val="2"/>
                <w:szCs w:val="21"/>
                <w:lang w:val="en-US" w:eastAsia="zh-Hans" w:bidi="ar-SA"/>
              </w:rPr>
              <w:t>不具有基本的</w:t>
            </w:r>
            <w:r>
              <w:rPr>
                <w:rFonts w:hint="eastAsia" w:ascii="楷体" w:eastAsia="楷体" w:cs="楷体"/>
                <w:bCs/>
                <w:kern w:val="2"/>
                <w:szCs w:val="21"/>
                <w:lang w:val="en-US" w:eastAsia="zh-TW" w:bidi="ar-SA"/>
              </w:rPr>
              <w:t>语言组织能力、课堂节奏把握能力、课堂板书艺术，以及声乐教学的必备技能。</w:t>
            </w:r>
          </w:p>
        </w:tc>
      </w:tr>
    </w:tbl>
    <w:p w14:paraId="20EA77C0">
      <w:pPr>
        <w:rPr>
          <w:sz w:val="2"/>
          <w:szCs w:val="2"/>
        </w:rPr>
        <w:sectPr>
          <w:headerReference r:id="rId99" w:type="default"/>
          <w:footerReference r:id="rId100" w:type="default"/>
          <w:pgSz w:w="11906" w:h="16838"/>
          <w:pgMar w:top="1440" w:right="1800" w:bottom="1440" w:left="1800" w:header="851" w:footer="992" w:gutter="0"/>
          <w:cols w:space="425" w:num="1"/>
          <w:docGrid w:type="lines" w:linePitch="312" w:charSpace="0"/>
        </w:sectPr>
      </w:pPr>
    </w:p>
    <w:p w14:paraId="709E48E9">
      <w:pPr>
        <w:adjustRightInd w:val="0"/>
        <w:snapToGrid w:val="0"/>
        <w:spacing w:line="560" w:lineRule="exact"/>
        <w:jc w:val="center"/>
        <w:rPr>
          <w:rFonts w:eastAsia="方正小标宋简体"/>
          <w:color w:val="auto"/>
          <w:sz w:val="44"/>
          <w:szCs w:val="44"/>
        </w:rPr>
      </w:pPr>
      <w:r>
        <w:rPr>
          <w:rFonts w:hint="eastAsia" w:eastAsia="方正小标宋简体"/>
          <w:color w:val="auto"/>
          <w:sz w:val="44"/>
          <w:szCs w:val="44"/>
        </w:rPr>
        <w:t>三明学院音乐学（音乐教育）专业</w:t>
      </w:r>
    </w:p>
    <w:p w14:paraId="0A013EE3">
      <w:pPr>
        <w:adjustRightInd w:val="0"/>
        <w:snapToGrid w:val="0"/>
        <w:spacing w:line="560" w:lineRule="exact"/>
        <w:jc w:val="center"/>
        <w:rPr>
          <w:rFonts w:eastAsia="方正小标宋简体"/>
          <w:color w:val="auto"/>
          <w:sz w:val="28"/>
          <w:szCs w:val="28"/>
        </w:rPr>
      </w:pPr>
      <w:r>
        <w:rPr>
          <w:rFonts w:hint="eastAsia" w:eastAsia="方正小标宋简体"/>
          <w:color w:val="auto"/>
          <w:sz w:val="44"/>
          <w:szCs w:val="44"/>
        </w:rPr>
        <w:t>《钢琴演奏》课程教学大纲</w:t>
      </w:r>
    </w:p>
    <w:tbl>
      <w:tblPr>
        <w:tblStyle w:val="22"/>
        <w:tblW w:w="9146" w:type="dxa"/>
        <w:jc w:val="center"/>
        <w:tblLayout w:type="fixed"/>
        <w:tblCellMar>
          <w:top w:w="0" w:type="dxa"/>
          <w:left w:w="0" w:type="dxa"/>
          <w:bottom w:w="0" w:type="dxa"/>
          <w:right w:w="28" w:type="dxa"/>
        </w:tblCellMar>
      </w:tblPr>
      <w:tblGrid>
        <w:gridCol w:w="1310"/>
        <w:gridCol w:w="1134"/>
        <w:gridCol w:w="6"/>
        <w:gridCol w:w="1155"/>
        <w:gridCol w:w="1551"/>
        <w:gridCol w:w="855"/>
        <w:gridCol w:w="942"/>
        <w:gridCol w:w="613"/>
        <w:gridCol w:w="12"/>
        <w:gridCol w:w="189"/>
        <w:gridCol w:w="390"/>
        <w:gridCol w:w="375"/>
        <w:gridCol w:w="222"/>
        <w:gridCol w:w="392"/>
      </w:tblGrid>
      <w:tr w14:paraId="78738D5C">
        <w:trPr>
          <w:trHeight w:val="624" w:hRule="atLeast"/>
          <w:jc w:val="center"/>
        </w:trPr>
        <w:tc>
          <w:tcPr>
            <w:tcW w:w="1310" w:type="dxa"/>
            <w:tcBorders>
              <w:top w:val="single" w:color="000000" w:sz="4" w:space="0"/>
              <w:left w:val="single" w:color="000000" w:sz="4" w:space="0"/>
              <w:bottom w:val="single" w:color="000000" w:sz="4" w:space="0"/>
              <w:right w:val="single" w:color="000000" w:sz="4" w:space="0"/>
            </w:tcBorders>
            <w:vAlign w:val="center"/>
          </w:tcPr>
          <w:p w14:paraId="443C9670">
            <w:pPr>
              <w:adjustRightInd w:val="0"/>
              <w:snapToGrid w:val="0"/>
              <w:spacing w:line="240" w:lineRule="atLeast"/>
              <w:jc w:val="center"/>
              <w:rPr>
                <w:rFonts w:ascii="仿宋" w:eastAsia="仿宋" w:cs="仿宋"/>
                <w:color w:val="auto"/>
                <w:kern w:val="2"/>
                <w:sz w:val="24"/>
              </w:rPr>
            </w:pPr>
            <w:r>
              <w:rPr>
                <w:rFonts w:hint="eastAsia" w:ascii="仿宋" w:eastAsia="仿宋" w:cs="仿宋"/>
                <w:color w:val="auto"/>
                <w:sz w:val="24"/>
                <w:szCs w:val="24"/>
              </w:rPr>
              <w:t>课程名称</w:t>
            </w:r>
          </w:p>
        </w:tc>
        <w:tc>
          <w:tcPr>
            <w:tcW w:w="4701" w:type="dxa"/>
            <w:gridSpan w:val="5"/>
            <w:tcBorders>
              <w:top w:val="single" w:color="000000" w:sz="4" w:space="0"/>
              <w:left w:val="single" w:color="000000" w:sz="4" w:space="0"/>
              <w:bottom w:val="single" w:color="000000" w:sz="4" w:space="0"/>
              <w:right w:val="single" w:color="000000" w:sz="4" w:space="0"/>
            </w:tcBorders>
            <w:vAlign w:val="center"/>
          </w:tcPr>
          <w:p w14:paraId="3C2B8BD3">
            <w:pPr>
              <w:adjustRightInd w:val="0"/>
              <w:snapToGrid w:val="0"/>
              <w:spacing w:line="240" w:lineRule="atLeast"/>
              <w:jc w:val="center"/>
              <w:rPr>
                <w:rFonts w:ascii="仿宋" w:eastAsia="仿宋" w:cs="仿宋"/>
                <w:color w:val="auto"/>
                <w:sz w:val="24"/>
                <w:szCs w:val="24"/>
              </w:rPr>
            </w:pPr>
            <w:r>
              <w:rPr>
                <w:rFonts w:hint="eastAsia" w:ascii="仿宋" w:eastAsia="仿宋" w:cs="仿宋"/>
                <w:color w:val="auto"/>
                <w:sz w:val="24"/>
                <w:szCs w:val="24"/>
              </w:rPr>
              <w:t>《钢琴演奏》</w:t>
            </w:r>
          </w:p>
        </w:tc>
        <w:tc>
          <w:tcPr>
            <w:tcW w:w="1567" w:type="dxa"/>
            <w:gridSpan w:val="3"/>
            <w:tcBorders>
              <w:top w:val="single" w:color="000000" w:sz="4" w:space="0"/>
              <w:left w:val="single" w:color="000000" w:sz="4" w:space="0"/>
              <w:bottom w:val="single" w:color="000000" w:sz="4" w:space="0"/>
              <w:right w:val="single" w:color="000000" w:sz="4" w:space="0"/>
            </w:tcBorders>
            <w:vAlign w:val="center"/>
          </w:tcPr>
          <w:p w14:paraId="7674B46D">
            <w:pPr>
              <w:adjustRightInd w:val="0"/>
              <w:snapToGrid w:val="0"/>
              <w:spacing w:line="240" w:lineRule="atLeast"/>
              <w:jc w:val="center"/>
              <w:rPr>
                <w:rFonts w:ascii="仿宋" w:eastAsia="仿宋" w:cs="仿宋"/>
                <w:color w:val="auto"/>
                <w:sz w:val="24"/>
                <w:szCs w:val="24"/>
              </w:rPr>
            </w:pPr>
            <w:r>
              <w:rPr>
                <w:rFonts w:hint="eastAsia" w:ascii="仿宋" w:eastAsia="仿宋" w:cs="仿宋"/>
                <w:color w:val="auto"/>
                <w:sz w:val="24"/>
                <w:szCs w:val="24"/>
              </w:rPr>
              <w:t>课程</w:t>
            </w:r>
          </w:p>
          <w:p w14:paraId="3F2E6FA1">
            <w:pPr>
              <w:adjustRightInd w:val="0"/>
              <w:snapToGrid w:val="0"/>
              <w:spacing w:line="240" w:lineRule="atLeast"/>
              <w:jc w:val="center"/>
              <w:rPr>
                <w:rFonts w:ascii="仿宋" w:eastAsia="仿宋" w:cs="仿宋"/>
                <w:color w:val="auto"/>
                <w:sz w:val="24"/>
                <w:szCs w:val="24"/>
              </w:rPr>
            </w:pPr>
            <w:r>
              <w:rPr>
                <w:rFonts w:hint="eastAsia" w:ascii="仿宋" w:eastAsia="仿宋" w:cs="仿宋"/>
                <w:color w:val="auto"/>
                <w:sz w:val="24"/>
                <w:szCs w:val="24"/>
              </w:rPr>
              <w:t>代码</w:t>
            </w:r>
          </w:p>
        </w:tc>
        <w:tc>
          <w:tcPr>
            <w:tcW w:w="1568" w:type="dxa"/>
            <w:gridSpan w:val="5"/>
            <w:tcBorders>
              <w:top w:val="single" w:color="000000" w:sz="4" w:space="0"/>
              <w:left w:val="single" w:color="000000" w:sz="4" w:space="0"/>
              <w:bottom w:val="single" w:color="000000" w:sz="4" w:space="0"/>
              <w:right w:val="single" w:color="000000" w:sz="4" w:space="0"/>
            </w:tcBorders>
            <w:vAlign w:val="center"/>
          </w:tcPr>
          <w:p w14:paraId="17E5F44F">
            <w:pPr>
              <w:widowControl/>
              <w:jc w:val="left"/>
              <w:textAlignment w:val="center"/>
              <w:rPr>
                <w:color w:val="auto"/>
              </w:rPr>
            </w:pPr>
            <w:r>
              <w:rPr>
                <w:rFonts w:hint="eastAsia" w:ascii="宋体" w:hAnsi="宋体" w:cs="宋体"/>
                <w:color w:val="auto"/>
                <w:szCs w:val="21"/>
                <w:lang w:bidi="ar"/>
              </w:rPr>
              <w:t>1213402604</w:t>
            </w:r>
          </w:p>
          <w:p w14:paraId="0565873F">
            <w:pPr>
              <w:widowControl/>
              <w:jc w:val="left"/>
              <w:textAlignment w:val="center"/>
              <w:rPr>
                <w:color w:val="auto"/>
              </w:rPr>
            </w:pPr>
            <w:r>
              <w:rPr>
                <w:rFonts w:hint="eastAsia" w:ascii="宋体" w:hAnsi="宋体" w:cs="宋体"/>
                <w:color w:val="auto"/>
                <w:szCs w:val="21"/>
                <w:lang w:bidi="ar"/>
              </w:rPr>
              <w:t>1213402605</w:t>
            </w:r>
          </w:p>
          <w:p w14:paraId="46784384">
            <w:pPr>
              <w:widowControl/>
              <w:jc w:val="left"/>
              <w:textAlignment w:val="center"/>
              <w:rPr>
                <w:color w:val="auto"/>
              </w:rPr>
            </w:pPr>
            <w:r>
              <w:rPr>
                <w:rFonts w:hint="eastAsia" w:ascii="宋体" w:hAnsi="宋体" w:cs="宋体"/>
                <w:color w:val="auto"/>
                <w:szCs w:val="21"/>
                <w:lang w:bidi="ar"/>
              </w:rPr>
              <w:t>1213402606</w:t>
            </w:r>
          </w:p>
        </w:tc>
      </w:tr>
      <w:tr w14:paraId="3A883B16">
        <w:trPr>
          <w:trHeight w:val="599" w:hRule="atLeast"/>
          <w:jc w:val="center"/>
        </w:trPr>
        <w:tc>
          <w:tcPr>
            <w:tcW w:w="1310" w:type="dxa"/>
            <w:tcBorders>
              <w:top w:val="single" w:color="000000" w:sz="4" w:space="0"/>
              <w:left w:val="single" w:color="000000" w:sz="4" w:space="0"/>
              <w:bottom w:val="single" w:color="000000" w:sz="4" w:space="0"/>
              <w:right w:val="single" w:color="000000" w:sz="4" w:space="0"/>
            </w:tcBorders>
            <w:vAlign w:val="center"/>
          </w:tcPr>
          <w:p w14:paraId="1C9DEC0E">
            <w:pPr>
              <w:adjustRightInd w:val="0"/>
              <w:snapToGrid w:val="0"/>
              <w:spacing w:line="240" w:lineRule="atLeast"/>
              <w:jc w:val="center"/>
              <w:rPr>
                <w:rFonts w:ascii="仿宋" w:eastAsia="仿宋" w:cs="仿宋"/>
                <w:color w:val="auto"/>
                <w:kern w:val="2"/>
                <w:sz w:val="24"/>
              </w:rPr>
            </w:pPr>
            <w:r>
              <w:rPr>
                <w:rFonts w:hint="eastAsia" w:ascii="仿宋" w:eastAsia="仿宋" w:cs="仿宋"/>
                <w:color w:val="auto"/>
                <w:sz w:val="24"/>
                <w:szCs w:val="24"/>
              </w:rPr>
              <w:t>课程类型</w:t>
            </w:r>
          </w:p>
        </w:tc>
        <w:tc>
          <w:tcPr>
            <w:tcW w:w="7836" w:type="dxa"/>
            <w:gridSpan w:val="13"/>
            <w:tcBorders>
              <w:top w:val="single" w:color="000000" w:sz="4" w:space="0"/>
              <w:left w:val="single" w:color="000000" w:sz="4" w:space="0"/>
              <w:bottom w:val="single" w:color="000000" w:sz="4" w:space="0"/>
              <w:right w:val="single" w:color="000000" w:sz="4" w:space="0"/>
            </w:tcBorders>
            <w:vAlign w:val="center"/>
          </w:tcPr>
          <w:p w14:paraId="6525147D">
            <w:pPr>
              <w:adjustRightInd w:val="0"/>
              <w:snapToGrid w:val="0"/>
              <w:spacing w:line="240" w:lineRule="atLeast"/>
              <w:rPr>
                <w:rFonts w:ascii="仿宋" w:eastAsia="仿宋" w:cs="仿宋"/>
                <w:color w:val="auto"/>
                <w:sz w:val="24"/>
                <w:szCs w:val="24"/>
              </w:rPr>
            </w:pPr>
            <w:r>
              <w:rPr>
                <w:rFonts w:ascii="仿宋" w:eastAsia="仿宋" w:cs="仿宋"/>
                <w:color w:val="auto"/>
                <w:sz w:val="24"/>
                <w:szCs w:val="24"/>
              </w:rPr>
              <w:sym w:font="Wingdings" w:char="00A8"/>
            </w:r>
            <w:r>
              <w:rPr>
                <w:rFonts w:hint="eastAsia" w:ascii="仿宋" w:eastAsia="仿宋" w:cs="仿宋"/>
                <w:color w:val="auto"/>
                <w:sz w:val="24"/>
                <w:szCs w:val="24"/>
              </w:rPr>
              <w:t xml:space="preserve">通识必修 </w:t>
            </w:r>
            <w:r>
              <w:rPr>
                <w:rFonts w:ascii="仿宋" w:eastAsia="仿宋" w:cs="仿宋"/>
                <w:color w:val="auto"/>
                <w:sz w:val="24"/>
                <w:szCs w:val="24"/>
              </w:rPr>
              <w:sym w:font="Wingdings" w:char="00A8"/>
            </w:r>
            <w:r>
              <w:rPr>
                <w:rFonts w:hint="eastAsia" w:ascii="仿宋" w:eastAsia="仿宋" w:cs="仿宋"/>
                <w:color w:val="auto"/>
                <w:sz w:val="24"/>
                <w:szCs w:val="24"/>
              </w:rPr>
              <w:t xml:space="preserve">通识选修 </w:t>
            </w:r>
            <w:r>
              <w:rPr>
                <w:rFonts w:ascii="仿宋" w:eastAsia="仿宋" w:cs="仿宋"/>
                <w:color w:val="auto"/>
                <w:sz w:val="24"/>
                <w:szCs w:val="24"/>
              </w:rPr>
              <w:sym w:font="Wingdings" w:char="00FE"/>
            </w:r>
            <w:r>
              <w:rPr>
                <w:rFonts w:hint="eastAsia" w:ascii="仿宋" w:eastAsia="仿宋" w:cs="仿宋"/>
                <w:color w:val="auto"/>
                <w:sz w:val="24"/>
                <w:szCs w:val="24"/>
              </w:rPr>
              <w:t xml:space="preserve">专业必修 </w:t>
            </w:r>
          </w:p>
          <w:p w14:paraId="17BDF2B0">
            <w:pPr>
              <w:adjustRightInd w:val="0"/>
              <w:snapToGrid w:val="0"/>
              <w:spacing w:line="240" w:lineRule="atLeast"/>
              <w:rPr>
                <w:rFonts w:ascii="仿宋" w:eastAsia="仿宋" w:cs="仿宋"/>
                <w:color w:val="auto"/>
                <w:kern w:val="2"/>
                <w:sz w:val="24"/>
                <w:szCs w:val="24"/>
              </w:rPr>
            </w:pPr>
            <w:r>
              <w:rPr>
                <w:rFonts w:ascii="仿宋" w:eastAsia="仿宋" w:cs="仿宋"/>
                <w:color w:val="auto"/>
                <w:sz w:val="24"/>
                <w:szCs w:val="24"/>
              </w:rPr>
              <w:sym w:font="Wingdings" w:char="00A8"/>
            </w:r>
            <w:r>
              <w:rPr>
                <w:rFonts w:hint="eastAsia" w:ascii="仿宋" w:eastAsia="仿宋" w:cs="仿宋"/>
                <w:color w:val="auto"/>
                <w:sz w:val="24"/>
                <w:szCs w:val="24"/>
              </w:rPr>
              <w:t>专业选修</w:t>
            </w:r>
            <w:r>
              <w:rPr>
                <w:rFonts w:hint="eastAsia" w:ascii="仿宋" w:eastAsia="仿宋" w:cs="仿宋"/>
                <w:color w:val="auto"/>
                <w:sz w:val="24"/>
                <w:szCs w:val="24"/>
                <w:lang w:eastAsia="zh-TW"/>
              </w:rPr>
              <w:t xml:space="preserve"> </w:t>
            </w:r>
            <w:r>
              <w:rPr>
                <w:rFonts w:ascii="仿宋" w:eastAsia="仿宋" w:cs="仿宋"/>
                <w:color w:val="auto"/>
                <w:sz w:val="24"/>
                <w:szCs w:val="24"/>
              </w:rPr>
              <w:sym w:font="Wingdings" w:char="00A8"/>
            </w:r>
            <w:r>
              <w:rPr>
                <w:rFonts w:hint="eastAsia" w:ascii="仿宋" w:eastAsia="仿宋" w:cs="仿宋"/>
                <w:color w:val="auto"/>
                <w:sz w:val="24"/>
                <w:szCs w:val="24"/>
              </w:rPr>
              <w:t xml:space="preserve">教师教育必修 </w:t>
            </w:r>
            <w:r>
              <w:rPr>
                <w:rFonts w:ascii="仿宋" w:eastAsia="仿宋" w:cs="仿宋"/>
                <w:color w:val="auto"/>
                <w:sz w:val="24"/>
                <w:szCs w:val="24"/>
              </w:rPr>
              <w:sym w:font="Wingdings" w:char="00A8"/>
            </w:r>
            <w:r>
              <w:rPr>
                <w:rFonts w:hint="eastAsia" w:ascii="仿宋" w:eastAsia="仿宋" w:cs="仿宋"/>
                <w:color w:val="auto"/>
                <w:sz w:val="24"/>
                <w:szCs w:val="24"/>
              </w:rPr>
              <w:t>教师教育选修</w:t>
            </w:r>
          </w:p>
        </w:tc>
      </w:tr>
      <w:tr w14:paraId="537E383E">
        <w:trPr>
          <w:trHeight w:val="669" w:hRule="atLeast"/>
          <w:jc w:val="center"/>
        </w:trPr>
        <w:tc>
          <w:tcPr>
            <w:tcW w:w="1310" w:type="dxa"/>
            <w:tcBorders>
              <w:top w:val="single" w:color="000000" w:sz="4" w:space="0"/>
              <w:left w:val="single" w:color="000000" w:sz="4" w:space="0"/>
              <w:bottom w:val="single" w:color="000000" w:sz="4" w:space="0"/>
              <w:right w:val="single" w:color="000000" w:sz="4" w:space="0"/>
            </w:tcBorders>
            <w:vAlign w:val="center"/>
          </w:tcPr>
          <w:p w14:paraId="535F8384">
            <w:pPr>
              <w:adjustRightInd w:val="0"/>
              <w:snapToGrid w:val="0"/>
              <w:spacing w:line="240" w:lineRule="atLeast"/>
              <w:jc w:val="center"/>
              <w:rPr>
                <w:rFonts w:ascii="仿宋" w:eastAsia="仿宋" w:cs="仿宋"/>
                <w:color w:val="auto"/>
                <w:kern w:val="2"/>
                <w:sz w:val="24"/>
              </w:rPr>
            </w:pPr>
            <w:r>
              <w:rPr>
                <w:rFonts w:hint="eastAsia" w:ascii="仿宋" w:eastAsia="仿宋" w:cs="仿宋"/>
                <w:color w:val="auto"/>
                <w:sz w:val="24"/>
                <w:szCs w:val="24"/>
              </w:rPr>
              <w:t>开课学期</w:t>
            </w:r>
          </w:p>
        </w:tc>
        <w:tc>
          <w:tcPr>
            <w:tcW w:w="1134" w:type="dxa"/>
            <w:tcBorders>
              <w:top w:val="single" w:color="000000" w:sz="4" w:space="0"/>
              <w:left w:val="single" w:color="000000" w:sz="4" w:space="0"/>
              <w:bottom w:val="single" w:color="000000" w:sz="4" w:space="0"/>
              <w:right w:val="single" w:color="000000" w:sz="4" w:space="0"/>
            </w:tcBorders>
            <w:vAlign w:val="center"/>
          </w:tcPr>
          <w:p w14:paraId="017F28F2">
            <w:pPr>
              <w:adjustRightInd w:val="0"/>
              <w:snapToGrid w:val="0"/>
              <w:spacing w:line="240" w:lineRule="atLeast"/>
              <w:jc w:val="center"/>
              <w:rPr>
                <w:rFonts w:ascii="仿宋" w:eastAsia="仿宋" w:cs="仿宋"/>
                <w:color w:val="auto"/>
                <w:sz w:val="24"/>
                <w:szCs w:val="24"/>
              </w:rPr>
            </w:pPr>
            <w:r>
              <w:rPr>
                <w:rFonts w:hint="eastAsia" w:ascii="仿宋" w:eastAsia="仿宋" w:cs="仿宋"/>
                <w:color w:val="auto"/>
                <w:sz w:val="24"/>
                <w:szCs w:val="24"/>
              </w:rPr>
              <w:t>第5、6学期</w:t>
            </w:r>
          </w:p>
        </w:tc>
        <w:tc>
          <w:tcPr>
            <w:tcW w:w="1161" w:type="dxa"/>
            <w:gridSpan w:val="2"/>
            <w:tcBorders>
              <w:top w:val="single" w:color="000000" w:sz="4" w:space="0"/>
              <w:left w:val="single" w:color="000000" w:sz="4" w:space="0"/>
              <w:bottom w:val="single" w:color="000000" w:sz="4" w:space="0"/>
              <w:right w:val="single" w:color="000000" w:sz="4" w:space="0"/>
            </w:tcBorders>
            <w:vAlign w:val="center"/>
          </w:tcPr>
          <w:p w14:paraId="3E77497D">
            <w:pPr>
              <w:adjustRightInd w:val="0"/>
              <w:snapToGrid w:val="0"/>
              <w:spacing w:line="240" w:lineRule="atLeast"/>
              <w:jc w:val="center"/>
              <w:rPr>
                <w:color w:val="auto"/>
              </w:rPr>
            </w:pPr>
            <w:r>
              <w:rPr>
                <w:rFonts w:hint="eastAsia" w:ascii="仿宋" w:eastAsia="仿宋" w:cs="仿宋"/>
                <w:color w:val="auto"/>
                <w:sz w:val="24"/>
                <w:szCs w:val="24"/>
              </w:rPr>
              <w:t>学分</w:t>
            </w:r>
          </w:p>
        </w:tc>
        <w:tc>
          <w:tcPr>
            <w:tcW w:w="1551" w:type="dxa"/>
            <w:tcBorders>
              <w:top w:val="single" w:color="000000" w:sz="4" w:space="0"/>
              <w:left w:val="single" w:color="000000" w:sz="4" w:space="0"/>
              <w:bottom w:val="single" w:color="000000" w:sz="4" w:space="0"/>
              <w:right w:val="single" w:color="000000" w:sz="4" w:space="0"/>
            </w:tcBorders>
            <w:vAlign w:val="center"/>
          </w:tcPr>
          <w:p w14:paraId="301F104B">
            <w:pPr>
              <w:adjustRightInd w:val="0"/>
              <w:snapToGrid w:val="0"/>
              <w:spacing w:line="240" w:lineRule="atLeast"/>
              <w:jc w:val="center"/>
              <w:rPr>
                <w:rFonts w:ascii="仿宋" w:eastAsia="仿宋" w:cs="仿宋"/>
                <w:color w:val="auto"/>
                <w:sz w:val="24"/>
                <w:szCs w:val="24"/>
              </w:rPr>
            </w:pPr>
            <w:r>
              <w:rPr>
                <w:rFonts w:hint="eastAsia" w:ascii="仿宋" w:eastAsia="仿宋" w:cs="仿宋"/>
                <w:color w:val="auto"/>
                <w:sz w:val="24"/>
                <w:szCs w:val="24"/>
              </w:rPr>
              <w:t>1（每学期0.5）</w:t>
            </w:r>
          </w:p>
        </w:tc>
        <w:tc>
          <w:tcPr>
            <w:tcW w:w="2422" w:type="dxa"/>
            <w:gridSpan w:val="4"/>
            <w:tcBorders>
              <w:top w:val="single" w:color="000000" w:sz="4" w:space="0"/>
              <w:left w:val="single" w:color="000000" w:sz="4" w:space="0"/>
              <w:bottom w:val="single" w:color="000000" w:sz="4" w:space="0"/>
              <w:right w:val="single" w:color="000000" w:sz="4" w:space="0"/>
            </w:tcBorders>
            <w:vAlign w:val="center"/>
          </w:tcPr>
          <w:p w14:paraId="6BA93142">
            <w:pPr>
              <w:adjustRightInd w:val="0"/>
              <w:snapToGrid w:val="0"/>
              <w:spacing w:line="240" w:lineRule="atLeast"/>
              <w:jc w:val="center"/>
              <w:rPr>
                <w:rFonts w:ascii="仿宋" w:eastAsia="仿宋" w:cs="仿宋"/>
                <w:color w:val="auto"/>
                <w:sz w:val="24"/>
                <w:szCs w:val="24"/>
              </w:rPr>
            </w:pPr>
            <w:r>
              <w:rPr>
                <w:rFonts w:hint="eastAsia" w:ascii="仿宋" w:eastAsia="仿宋" w:cs="仿宋"/>
                <w:color w:val="auto"/>
                <w:sz w:val="24"/>
                <w:szCs w:val="24"/>
              </w:rPr>
              <w:t>课程负责人</w:t>
            </w:r>
          </w:p>
        </w:tc>
        <w:tc>
          <w:tcPr>
            <w:tcW w:w="1568" w:type="dxa"/>
            <w:gridSpan w:val="5"/>
            <w:tcBorders>
              <w:top w:val="single" w:color="000000" w:sz="4" w:space="0"/>
              <w:left w:val="single" w:color="000000" w:sz="4" w:space="0"/>
              <w:bottom w:val="single" w:color="000000" w:sz="4" w:space="0"/>
              <w:right w:val="single" w:color="000000" w:sz="4" w:space="0"/>
            </w:tcBorders>
            <w:vAlign w:val="center"/>
          </w:tcPr>
          <w:p w14:paraId="5688A7EA">
            <w:pPr>
              <w:adjustRightInd w:val="0"/>
              <w:snapToGrid w:val="0"/>
              <w:spacing w:line="240" w:lineRule="atLeast"/>
              <w:jc w:val="center"/>
              <w:rPr>
                <w:rFonts w:ascii="仿宋" w:eastAsia="仿宋" w:cs="仿宋"/>
                <w:color w:val="auto"/>
                <w:sz w:val="24"/>
                <w:szCs w:val="24"/>
              </w:rPr>
            </w:pPr>
            <w:r>
              <w:rPr>
                <w:rFonts w:hint="eastAsia" w:ascii="仿宋" w:eastAsia="仿宋" w:cs="仿宋"/>
                <w:color w:val="auto"/>
                <w:sz w:val="24"/>
                <w:szCs w:val="24"/>
              </w:rPr>
              <w:t>朱凌杰</w:t>
            </w:r>
          </w:p>
        </w:tc>
      </w:tr>
      <w:tr w14:paraId="4CCA46B7">
        <w:trPr>
          <w:trHeight w:val="624" w:hRule="atLeast"/>
          <w:jc w:val="center"/>
        </w:trPr>
        <w:tc>
          <w:tcPr>
            <w:tcW w:w="1310" w:type="dxa"/>
            <w:tcBorders>
              <w:top w:val="single" w:color="000000" w:sz="4" w:space="0"/>
              <w:left w:val="single" w:color="000000" w:sz="4" w:space="0"/>
              <w:bottom w:val="single" w:color="000000" w:sz="4" w:space="0"/>
              <w:right w:val="single" w:color="000000" w:sz="4" w:space="0"/>
            </w:tcBorders>
            <w:vAlign w:val="center"/>
          </w:tcPr>
          <w:p w14:paraId="2DE8C5C3">
            <w:pPr>
              <w:adjustRightInd w:val="0"/>
              <w:snapToGrid w:val="0"/>
              <w:spacing w:line="240" w:lineRule="atLeast"/>
              <w:jc w:val="center"/>
              <w:rPr>
                <w:rFonts w:ascii="仿宋" w:eastAsia="仿宋" w:cs="仿宋"/>
                <w:color w:val="auto"/>
                <w:kern w:val="2"/>
                <w:sz w:val="24"/>
              </w:rPr>
            </w:pPr>
            <w:r>
              <w:rPr>
                <w:rFonts w:hint="eastAsia" w:ascii="仿宋" w:eastAsia="仿宋" w:cs="仿宋"/>
                <w:color w:val="auto"/>
                <w:sz w:val="24"/>
                <w:szCs w:val="24"/>
              </w:rPr>
              <w:t>总学时</w:t>
            </w:r>
          </w:p>
        </w:tc>
        <w:tc>
          <w:tcPr>
            <w:tcW w:w="1134" w:type="dxa"/>
            <w:tcBorders>
              <w:top w:val="single" w:color="000000" w:sz="4" w:space="0"/>
              <w:left w:val="single" w:color="000000" w:sz="4" w:space="0"/>
              <w:bottom w:val="single" w:color="000000" w:sz="4" w:space="0"/>
              <w:right w:val="single" w:color="000000" w:sz="4" w:space="0"/>
            </w:tcBorders>
            <w:vAlign w:val="center"/>
          </w:tcPr>
          <w:p w14:paraId="6D63A2B5">
            <w:pPr>
              <w:adjustRightInd w:val="0"/>
              <w:snapToGrid w:val="0"/>
              <w:spacing w:line="240" w:lineRule="atLeast"/>
              <w:jc w:val="center"/>
              <w:rPr>
                <w:rFonts w:ascii="仿宋" w:eastAsia="仿宋" w:cs="仿宋"/>
                <w:color w:val="auto"/>
                <w:sz w:val="24"/>
                <w:szCs w:val="24"/>
              </w:rPr>
            </w:pPr>
            <w:r>
              <w:rPr>
                <w:rFonts w:hint="eastAsia" w:ascii="仿宋" w:eastAsia="仿宋" w:cs="仿宋"/>
                <w:color w:val="auto"/>
                <w:sz w:val="24"/>
                <w:szCs w:val="24"/>
              </w:rPr>
              <w:t>48</w:t>
            </w:r>
          </w:p>
        </w:tc>
        <w:tc>
          <w:tcPr>
            <w:tcW w:w="1161" w:type="dxa"/>
            <w:gridSpan w:val="2"/>
            <w:tcBorders>
              <w:top w:val="single" w:color="000000" w:sz="4" w:space="0"/>
              <w:left w:val="single" w:color="000000" w:sz="4" w:space="0"/>
              <w:bottom w:val="single" w:color="000000" w:sz="4" w:space="0"/>
              <w:right w:val="single" w:color="000000" w:sz="4" w:space="0"/>
            </w:tcBorders>
            <w:vAlign w:val="center"/>
          </w:tcPr>
          <w:p w14:paraId="45A97A62">
            <w:pPr>
              <w:adjustRightInd w:val="0"/>
              <w:snapToGrid w:val="0"/>
              <w:spacing w:line="240" w:lineRule="atLeast"/>
              <w:jc w:val="center"/>
              <w:rPr>
                <w:color w:val="auto"/>
              </w:rPr>
            </w:pPr>
            <w:r>
              <w:rPr>
                <w:rFonts w:hint="eastAsia" w:ascii="仿宋" w:eastAsia="仿宋" w:cs="仿宋"/>
                <w:color w:val="auto"/>
                <w:sz w:val="24"/>
                <w:szCs w:val="24"/>
              </w:rPr>
              <w:t>理论学时</w:t>
            </w:r>
          </w:p>
        </w:tc>
        <w:tc>
          <w:tcPr>
            <w:tcW w:w="1551" w:type="dxa"/>
            <w:tcBorders>
              <w:top w:val="single" w:color="000000" w:sz="4" w:space="0"/>
              <w:left w:val="single" w:color="000000" w:sz="4" w:space="0"/>
              <w:bottom w:val="single" w:color="000000" w:sz="4" w:space="0"/>
              <w:right w:val="single" w:color="000000" w:sz="4" w:space="0"/>
            </w:tcBorders>
            <w:vAlign w:val="center"/>
          </w:tcPr>
          <w:p w14:paraId="4C128B9E">
            <w:pPr>
              <w:adjustRightInd w:val="0"/>
              <w:snapToGrid w:val="0"/>
              <w:spacing w:line="240" w:lineRule="atLeast"/>
              <w:jc w:val="center"/>
              <w:rPr>
                <w:rFonts w:ascii="仿宋" w:eastAsia="仿宋" w:cs="仿宋"/>
                <w:color w:val="auto"/>
                <w:sz w:val="24"/>
                <w:szCs w:val="24"/>
              </w:rPr>
            </w:pPr>
            <w:r>
              <w:rPr>
                <w:rFonts w:hint="eastAsia" w:ascii="仿宋" w:eastAsia="仿宋" w:cs="仿宋"/>
                <w:color w:val="auto"/>
                <w:sz w:val="24"/>
                <w:szCs w:val="24"/>
              </w:rPr>
              <w:t>0</w:t>
            </w:r>
          </w:p>
        </w:tc>
        <w:tc>
          <w:tcPr>
            <w:tcW w:w="2422" w:type="dxa"/>
            <w:gridSpan w:val="4"/>
            <w:tcBorders>
              <w:top w:val="single" w:color="000000" w:sz="4" w:space="0"/>
              <w:left w:val="single" w:color="000000" w:sz="4" w:space="0"/>
              <w:bottom w:val="single" w:color="000000" w:sz="4" w:space="0"/>
              <w:right w:val="single" w:color="000000" w:sz="4" w:space="0"/>
            </w:tcBorders>
            <w:vAlign w:val="center"/>
          </w:tcPr>
          <w:p w14:paraId="79281402">
            <w:pPr>
              <w:adjustRightInd w:val="0"/>
              <w:snapToGrid w:val="0"/>
              <w:spacing w:line="240" w:lineRule="atLeast"/>
              <w:jc w:val="center"/>
              <w:rPr>
                <w:rFonts w:ascii="仿宋" w:eastAsia="仿宋" w:cs="仿宋"/>
                <w:color w:val="auto"/>
                <w:sz w:val="24"/>
                <w:szCs w:val="24"/>
              </w:rPr>
            </w:pPr>
            <w:r>
              <w:rPr>
                <w:rFonts w:hint="eastAsia" w:ascii="仿宋" w:eastAsia="仿宋" w:cs="仿宋"/>
                <w:color w:val="auto"/>
                <w:sz w:val="24"/>
                <w:szCs w:val="24"/>
              </w:rPr>
              <w:t>实践学时</w:t>
            </w:r>
          </w:p>
        </w:tc>
        <w:tc>
          <w:tcPr>
            <w:tcW w:w="1568" w:type="dxa"/>
            <w:gridSpan w:val="5"/>
            <w:tcBorders>
              <w:top w:val="single" w:color="000000" w:sz="4" w:space="0"/>
              <w:left w:val="single" w:color="000000" w:sz="4" w:space="0"/>
              <w:bottom w:val="single" w:color="000000" w:sz="4" w:space="0"/>
              <w:right w:val="single" w:color="000000" w:sz="4" w:space="0"/>
            </w:tcBorders>
            <w:vAlign w:val="center"/>
          </w:tcPr>
          <w:p w14:paraId="39919242">
            <w:pPr>
              <w:adjustRightInd w:val="0"/>
              <w:snapToGrid w:val="0"/>
              <w:spacing w:line="240" w:lineRule="atLeast"/>
              <w:jc w:val="center"/>
              <w:rPr>
                <w:rFonts w:ascii="仿宋" w:eastAsia="仿宋" w:cs="仿宋"/>
                <w:color w:val="auto"/>
                <w:sz w:val="24"/>
                <w:szCs w:val="24"/>
              </w:rPr>
            </w:pPr>
            <w:r>
              <w:rPr>
                <w:rFonts w:hint="eastAsia" w:ascii="仿宋" w:eastAsia="仿宋" w:cs="仿宋"/>
                <w:color w:val="auto"/>
                <w:sz w:val="24"/>
                <w:szCs w:val="24"/>
              </w:rPr>
              <w:t>48</w:t>
            </w:r>
          </w:p>
        </w:tc>
      </w:tr>
      <w:tr w14:paraId="335A523E">
        <w:trPr>
          <w:trHeight w:val="859" w:hRule="atLeast"/>
          <w:jc w:val="center"/>
        </w:trPr>
        <w:tc>
          <w:tcPr>
            <w:tcW w:w="1310" w:type="dxa"/>
            <w:tcBorders>
              <w:top w:val="single" w:color="000000" w:sz="4" w:space="0"/>
              <w:left w:val="single" w:color="000000" w:sz="4" w:space="0"/>
              <w:bottom w:val="single" w:color="000000" w:sz="4" w:space="0"/>
              <w:right w:val="single" w:color="000000" w:sz="4" w:space="0"/>
            </w:tcBorders>
            <w:vAlign w:val="center"/>
          </w:tcPr>
          <w:p w14:paraId="1340A927">
            <w:pPr>
              <w:adjustRightInd w:val="0"/>
              <w:snapToGrid w:val="0"/>
              <w:spacing w:line="240" w:lineRule="atLeast"/>
              <w:jc w:val="center"/>
              <w:rPr>
                <w:rFonts w:ascii="仿宋" w:eastAsia="仿宋" w:cs="仿宋"/>
                <w:color w:val="auto"/>
                <w:kern w:val="2"/>
                <w:sz w:val="24"/>
              </w:rPr>
            </w:pPr>
            <w:r>
              <w:rPr>
                <w:rFonts w:hint="eastAsia" w:ascii="仿宋" w:eastAsia="仿宋" w:cs="仿宋"/>
                <w:color w:val="auto"/>
                <w:sz w:val="24"/>
                <w:szCs w:val="24"/>
              </w:rPr>
              <w:t>先修课程与后续课程</w:t>
            </w:r>
          </w:p>
        </w:tc>
        <w:tc>
          <w:tcPr>
            <w:tcW w:w="7836" w:type="dxa"/>
            <w:gridSpan w:val="13"/>
            <w:tcBorders>
              <w:top w:val="single" w:color="000000" w:sz="4" w:space="0"/>
              <w:left w:val="single" w:color="000000" w:sz="4" w:space="0"/>
              <w:bottom w:val="single" w:color="000000" w:sz="4" w:space="0"/>
              <w:right w:val="single" w:color="000000" w:sz="4" w:space="0"/>
            </w:tcBorders>
            <w:vAlign w:val="center"/>
          </w:tcPr>
          <w:p w14:paraId="2B0B3660">
            <w:pPr>
              <w:adjustRightInd w:val="0"/>
              <w:snapToGrid w:val="0"/>
              <w:jc w:val="left"/>
              <w:rPr>
                <w:rFonts w:ascii="仿宋" w:eastAsia="仿宋" w:cs="仿宋"/>
                <w:color w:val="auto"/>
                <w:sz w:val="24"/>
                <w:szCs w:val="24"/>
              </w:rPr>
            </w:pPr>
            <w:r>
              <w:rPr>
                <w:rFonts w:hint="eastAsia" w:ascii="仿宋" w:eastAsia="仿宋" w:cs="仿宋"/>
                <w:color w:val="auto"/>
                <w:sz w:val="24"/>
                <w:szCs w:val="24"/>
              </w:rPr>
              <w:t>先修课程：《钢琴基础》、</w:t>
            </w:r>
          </w:p>
          <w:p w14:paraId="15AC63EE">
            <w:pPr>
              <w:tabs>
                <w:tab w:val="left" w:pos="720"/>
              </w:tabs>
              <w:adjustRightInd w:val="0"/>
              <w:snapToGrid w:val="0"/>
              <w:jc w:val="left"/>
              <w:rPr>
                <w:rFonts w:ascii="仿宋" w:eastAsia="仿宋" w:cs="仿宋"/>
                <w:color w:val="auto"/>
                <w:sz w:val="24"/>
                <w:szCs w:val="24"/>
              </w:rPr>
            </w:pPr>
            <w:r>
              <w:rPr>
                <w:rFonts w:hint="eastAsia" w:ascii="仿宋" w:eastAsia="仿宋" w:cs="仿宋"/>
                <w:color w:val="auto"/>
                <w:sz w:val="24"/>
                <w:szCs w:val="24"/>
              </w:rPr>
              <w:t>后续课程：《钢琴即兴伴奏》、《钢琴重奏》、《钢琴艺术史》</w:t>
            </w:r>
          </w:p>
        </w:tc>
      </w:tr>
      <w:tr w14:paraId="617D2C6F">
        <w:trPr>
          <w:trHeight w:val="511" w:hRule="atLeast"/>
          <w:jc w:val="center"/>
        </w:trPr>
        <w:tc>
          <w:tcPr>
            <w:tcW w:w="1310" w:type="dxa"/>
            <w:tcBorders>
              <w:top w:val="single" w:color="000000" w:sz="4" w:space="0"/>
              <w:left w:val="single" w:color="000000" w:sz="4" w:space="0"/>
              <w:bottom w:val="single" w:color="000000" w:sz="4" w:space="0"/>
              <w:right w:val="single" w:color="000000" w:sz="4" w:space="0"/>
            </w:tcBorders>
            <w:vAlign w:val="center"/>
          </w:tcPr>
          <w:p w14:paraId="16BB0B8F">
            <w:pPr>
              <w:adjustRightInd w:val="0"/>
              <w:snapToGrid w:val="0"/>
              <w:spacing w:line="240" w:lineRule="atLeast"/>
              <w:jc w:val="center"/>
              <w:rPr>
                <w:rFonts w:ascii="仿宋" w:eastAsia="仿宋" w:cs="仿宋"/>
                <w:color w:val="auto"/>
                <w:kern w:val="2"/>
                <w:sz w:val="24"/>
              </w:rPr>
            </w:pPr>
            <w:r>
              <w:rPr>
                <w:rFonts w:hint="eastAsia" w:ascii="仿宋" w:eastAsia="仿宋" w:cs="仿宋"/>
                <w:color w:val="auto"/>
                <w:sz w:val="24"/>
                <w:szCs w:val="24"/>
              </w:rPr>
              <w:t>适用专业</w:t>
            </w:r>
          </w:p>
        </w:tc>
        <w:tc>
          <w:tcPr>
            <w:tcW w:w="7836" w:type="dxa"/>
            <w:gridSpan w:val="13"/>
            <w:tcBorders>
              <w:top w:val="single" w:color="000000" w:sz="4" w:space="0"/>
              <w:left w:val="single" w:color="000000" w:sz="4" w:space="0"/>
              <w:bottom w:val="single" w:color="000000" w:sz="4" w:space="0"/>
              <w:right w:val="single" w:color="000000" w:sz="4" w:space="0"/>
            </w:tcBorders>
            <w:vAlign w:val="center"/>
          </w:tcPr>
          <w:p w14:paraId="352AA17A">
            <w:pPr>
              <w:adjustRightInd w:val="0"/>
              <w:snapToGrid w:val="0"/>
              <w:rPr>
                <w:rFonts w:ascii="仿宋" w:eastAsia="仿宋" w:cs="仿宋"/>
                <w:color w:val="auto"/>
                <w:sz w:val="24"/>
                <w:szCs w:val="24"/>
              </w:rPr>
            </w:pPr>
            <w:r>
              <w:rPr>
                <w:rFonts w:hint="eastAsia" w:ascii="仿宋" w:eastAsia="仿宋" w:cs="仿宋"/>
                <w:color w:val="auto"/>
                <w:sz w:val="24"/>
                <w:szCs w:val="24"/>
              </w:rPr>
              <w:t>音乐学（师范）专业</w:t>
            </w:r>
          </w:p>
        </w:tc>
      </w:tr>
      <w:tr w14:paraId="39C12DE5">
        <w:trPr>
          <w:trHeight w:val="2769" w:hRule="atLeast"/>
          <w:jc w:val="center"/>
        </w:trPr>
        <w:tc>
          <w:tcPr>
            <w:tcW w:w="1310" w:type="dxa"/>
            <w:tcBorders>
              <w:top w:val="single" w:color="000000" w:sz="4" w:space="0"/>
              <w:left w:val="single" w:color="000000" w:sz="4" w:space="0"/>
              <w:bottom w:val="single" w:color="000000" w:sz="4" w:space="0"/>
              <w:right w:val="single" w:color="000000" w:sz="4" w:space="0"/>
            </w:tcBorders>
            <w:vAlign w:val="center"/>
          </w:tcPr>
          <w:p w14:paraId="12396845">
            <w:pPr>
              <w:adjustRightInd w:val="0"/>
              <w:snapToGrid w:val="0"/>
              <w:spacing w:line="240" w:lineRule="atLeast"/>
              <w:jc w:val="center"/>
              <w:rPr>
                <w:rFonts w:ascii="仿宋" w:eastAsia="仿宋" w:cs="仿宋"/>
                <w:color w:val="auto"/>
                <w:sz w:val="24"/>
                <w:szCs w:val="24"/>
              </w:rPr>
            </w:pPr>
            <w:r>
              <w:rPr>
                <w:rFonts w:hint="eastAsia" w:ascii="仿宋" w:eastAsia="仿宋" w:cs="仿宋"/>
                <w:color w:val="auto"/>
                <w:sz w:val="24"/>
                <w:szCs w:val="24"/>
              </w:rPr>
              <w:t>A</w:t>
            </w:r>
          </w:p>
          <w:p w14:paraId="48D4C948">
            <w:pPr>
              <w:adjustRightInd w:val="0"/>
              <w:snapToGrid w:val="0"/>
              <w:spacing w:line="240" w:lineRule="atLeast"/>
              <w:jc w:val="center"/>
              <w:rPr>
                <w:rFonts w:ascii="仿宋" w:eastAsia="仿宋" w:cs="仿宋"/>
                <w:color w:val="auto"/>
                <w:sz w:val="24"/>
                <w:szCs w:val="24"/>
              </w:rPr>
            </w:pPr>
            <w:r>
              <w:rPr>
                <w:rFonts w:hint="eastAsia" w:ascii="仿宋" w:eastAsia="仿宋" w:cs="仿宋"/>
                <w:color w:val="auto"/>
                <w:sz w:val="24"/>
                <w:szCs w:val="24"/>
              </w:rPr>
              <w:t>参考教材</w:t>
            </w:r>
          </w:p>
        </w:tc>
        <w:tc>
          <w:tcPr>
            <w:tcW w:w="7836" w:type="dxa"/>
            <w:gridSpan w:val="13"/>
            <w:tcBorders>
              <w:top w:val="single" w:color="000000" w:sz="4" w:space="0"/>
              <w:left w:val="single" w:color="000000" w:sz="4" w:space="0"/>
              <w:bottom w:val="single" w:color="000000" w:sz="4" w:space="0"/>
              <w:right w:val="single" w:color="000000" w:sz="4" w:space="0"/>
            </w:tcBorders>
            <w:vAlign w:val="center"/>
          </w:tcPr>
          <w:p w14:paraId="1DC48FD7">
            <w:pPr>
              <w:adjustRightInd w:val="0"/>
              <w:snapToGrid w:val="0"/>
              <w:rPr>
                <w:rFonts w:ascii="仿宋" w:eastAsia="仿宋" w:cs="仿宋"/>
                <w:color w:val="auto"/>
                <w:sz w:val="24"/>
                <w:szCs w:val="24"/>
              </w:rPr>
            </w:pPr>
            <w:r>
              <w:rPr>
                <w:rFonts w:hint="eastAsia" w:ascii="仿宋" w:eastAsia="仿宋" w:cs="仿宋"/>
                <w:color w:val="auto"/>
                <w:sz w:val="24"/>
                <w:szCs w:val="24"/>
              </w:rPr>
              <w:t xml:space="preserve">[1]车尔尼，《车尔尼钢琴快速练习曲 作品.299》 人民音乐出版社 </w:t>
            </w:r>
          </w:p>
          <w:p w14:paraId="4B9902E6">
            <w:pPr>
              <w:adjustRightInd w:val="0"/>
              <w:snapToGrid w:val="0"/>
              <w:rPr>
                <w:rFonts w:ascii="仿宋" w:eastAsia="仿宋" w:cs="仿宋"/>
                <w:color w:val="auto"/>
                <w:sz w:val="24"/>
                <w:szCs w:val="24"/>
              </w:rPr>
            </w:pPr>
            <w:r>
              <w:rPr>
                <w:rFonts w:hint="eastAsia" w:ascii="仿宋" w:eastAsia="仿宋" w:cs="仿宋"/>
                <w:color w:val="auto"/>
                <w:sz w:val="24"/>
                <w:szCs w:val="24"/>
              </w:rPr>
              <w:t xml:space="preserve">[2]车尔尼，《车尔尼钢琴技术练习曲 作品.740》 人民音乐出版社 </w:t>
            </w:r>
          </w:p>
          <w:p w14:paraId="2A290D77">
            <w:pPr>
              <w:adjustRightInd w:val="0"/>
              <w:snapToGrid w:val="0"/>
              <w:rPr>
                <w:rFonts w:ascii="仿宋" w:eastAsia="仿宋" w:cs="仿宋"/>
                <w:color w:val="auto"/>
                <w:sz w:val="24"/>
                <w:szCs w:val="24"/>
              </w:rPr>
            </w:pPr>
            <w:r>
              <w:rPr>
                <w:rFonts w:hint="eastAsia" w:ascii="仿宋" w:eastAsia="仿宋" w:cs="仿宋"/>
                <w:color w:val="auto"/>
                <w:sz w:val="24"/>
                <w:szCs w:val="24"/>
              </w:rPr>
              <w:t xml:space="preserve">[3]莫什科夫斯基，《莫什科夫斯基练习曲》 人民音乐出版社 </w:t>
            </w:r>
          </w:p>
          <w:p w14:paraId="01B4F9A0">
            <w:pPr>
              <w:adjustRightInd w:val="0"/>
              <w:snapToGrid w:val="0"/>
              <w:rPr>
                <w:rFonts w:ascii="仿宋" w:eastAsia="仿宋" w:cs="仿宋"/>
                <w:color w:val="auto"/>
                <w:sz w:val="24"/>
                <w:szCs w:val="24"/>
              </w:rPr>
            </w:pPr>
            <w:r>
              <w:rPr>
                <w:rFonts w:hint="eastAsia" w:ascii="仿宋" w:eastAsia="仿宋" w:cs="仿宋"/>
                <w:color w:val="auto"/>
                <w:sz w:val="24"/>
                <w:szCs w:val="24"/>
              </w:rPr>
              <w:t xml:space="preserve">[4]克拉莫，《克拉莫60首钢琴练习曲》 人民音乐出版社 </w:t>
            </w:r>
          </w:p>
          <w:p w14:paraId="5A1F0807">
            <w:pPr>
              <w:adjustRightInd w:val="0"/>
              <w:snapToGrid w:val="0"/>
              <w:rPr>
                <w:rFonts w:ascii="仿宋" w:eastAsia="仿宋" w:cs="仿宋"/>
                <w:color w:val="auto"/>
                <w:sz w:val="24"/>
                <w:szCs w:val="24"/>
              </w:rPr>
            </w:pPr>
            <w:r>
              <w:rPr>
                <w:rFonts w:hint="eastAsia" w:ascii="仿宋" w:eastAsia="仿宋" w:cs="仿宋"/>
                <w:color w:val="auto"/>
                <w:sz w:val="24"/>
                <w:szCs w:val="24"/>
              </w:rPr>
              <w:t xml:space="preserve">[5]车尔尼，《车尔尼24首钢琴左手练习曲 作品.718》 人民音乐出版社 </w:t>
            </w:r>
          </w:p>
          <w:p w14:paraId="72C909CF">
            <w:pPr>
              <w:adjustRightInd w:val="0"/>
              <w:snapToGrid w:val="0"/>
              <w:rPr>
                <w:rFonts w:ascii="仿宋" w:eastAsia="仿宋" w:cs="仿宋"/>
                <w:color w:val="auto"/>
                <w:sz w:val="24"/>
                <w:szCs w:val="24"/>
              </w:rPr>
            </w:pPr>
            <w:r>
              <w:rPr>
                <w:rFonts w:hint="eastAsia" w:ascii="仿宋" w:eastAsia="仿宋" w:cs="仿宋"/>
                <w:color w:val="auto"/>
                <w:sz w:val="24"/>
                <w:szCs w:val="24"/>
              </w:rPr>
              <w:t xml:space="preserve">[6]肖邦，《肖邦练习曲集》 人民音乐出版社 </w:t>
            </w:r>
          </w:p>
          <w:p w14:paraId="01BEBDC2">
            <w:pPr>
              <w:adjustRightInd w:val="0"/>
              <w:snapToGrid w:val="0"/>
              <w:rPr>
                <w:rFonts w:ascii="仿宋" w:eastAsia="仿宋" w:cs="仿宋"/>
                <w:color w:val="auto"/>
                <w:sz w:val="24"/>
                <w:szCs w:val="24"/>
              </w:rPr>
            </w:pPr>
            <w:r>
              <w:rPr>
                <w:rFonts w:hint="eastAsia" w:ascii="仿宋" w:eastAsia="仿宋" w:cs="仿宋"/>
                <w:color w:val="auto"/>
                <w:sz w:val="24"/>
                <w:szCs w:val="24"/>
              </w:rPr>
              <w:t xml:space="preserve">[7]巴赫，《巴赫创意曲集》 人民音乐出版社 </w:t>
            </w:r>
          </w:p>
          <w:p w14:paraId="7E2980F5">
            <w:pPr>
              <w:adjustRightInd w:val="0"/>
              <w:snapToGrid w:val="0"/>
              <w:rPr>
                <w:rFonts w:ascii="仿宋" w:eastAsia="仿宋" w:cs="仿宋"/>
                <w:color w:val="auto"/>
                <w:sz w:val="24"/>
                <w:szCs w:val="24"/>
              </w:rPr>
            </w:pPr>
            <w:r>
              <w:rPr>
                <w:rFonts w:hint="eastAsia" w:ascii="仿宋" w:eastAsia="仿宋" w:cs="仿宋"/>
                <w:color w:val="auto"/>
                <w:sz w:val="24"/>
                <w:szCs w:val="24"/>
              </w:rPr>
              <w:t xml:space="preserve">[8]巴赫，《巴赫平均律钢琴曲集1》 人民音乐出版社 </w:t>
            </w:r>
          </w:p>
          <w:p w14:paraId="3F36AA4A">
            <w:pPr>
              <w:adjustRightInd w:val="0"/>
              <w:snapToGrid w:val="0"/>
              <w:rPr>
                <w:rFonts w:ascii="仿宋" w:eastAsia="仿宋" w:cs="仿宋"/>
                <w:color w:val="auto"/>
                <w:sz w:val="24"/>
                <w:szCs w:val="24"/>
              </w:rPr>
            </w:pPr>
            <w:r>
              <w:rPr>
                <w:rFonts w:hint="eastAsia" w:ascii="仿宋" w:eastAsia="仿宋" w:cs="仿宋"/>
                <w:color w:val="auto"/>
                <w:sz w:val="24"/>
                <w:szCs w:val="24"/>
              </w:rPr>
              <w:t xml:space="preserve">[9]巴赫，《巴赫平均律钢琴曲集2》 人民音乐出版社 </w:t>
            </w:r>
          </w:p>
          <w:p w14:paraId="3194C63D">
            <w:pPr>
              <w:adjustRightInd w:val="0"/>
              <w:snapToGrid w:val="0"/>
              <w:rPr>
                <w:rFonts w:ascii="仿宋" w:eastAsia="仿宋" w:cs="仿宋"/>
                <w:color w:val="auto"/>
                <w:sz w:val="24"/>
                <w:szCs w:val="24"/>
              </w:rPr>
            </w:pPr>
            <w:r>
              <w:rPr>
                <w:rFonts w:hint="eastAsia" w:ascii="仿宋" w:eastAsia="仿宋" w:cs="仿宋"/>
                <w:color w:val="auto"/>
                <w:sz w:val="24"/>
                <w:szCs w:val="24"/>
              </w:rPr>
              <w:t xml:space="preserve">[10]海顿，《海顿奏鸣曲集》 人民音乐出版社 </w:t>
            </w:r>
          </w:p>
          <w:p w14:paraId="66D19C56">
            <w:pPr>
              <w:adjustRightInd w:val="0"/>
              <w:snapToGrid w:val="0"/>
              <w:rPr>
                <w:rFonts w:ascii="仿宋" w:eastAsia="仿宋" w:cs="仿宋"/>
                <w:color w:val="auto"/>
                <w:sz w:val="24"/>
                <w:szCs w:val="24"/>
              </w:rPr>
            </w:pPr>
            <w:r>
              <w:rPr>
                <w:rFonts w:hint="eastAsia" w:ascii="仿宋" w:eastAsia="仿宋" w:cs="仿宋"/>
                <w:color w:val="auto"/>
                <w:sz w:val="24"/>
                <w:szCs w:val="24"/>
              </w:rPr>
              <w:t xml:space="preserve">[11]莫扎特，《莫扎特奏鸣曲集1—2》 人民音乐出版社 </w:t>
            </w:r>
          </w:p>
          <w:p w14:paraId="2729EBC9">
            <w:pPr>
              <w:adjustRightInd w:val="0"/>
              <w:snapToGrid w:val="0"/>
              <w:rPr>
                <w:rFonts w:ascii="仿宋" w:eastAsia="仿宋" w:cs="仿宋"/>
                <w:color w:val="auto"/>
                <w:sz w:val="24"/>
                <w:szCs w:val="24"/>
              </w:rPr>
            </w:pPr>
            <w:r>
              <w:rPr>
                <w:rFonts w:hint="eastAsia" w:ascii="仿宋" w:eastAsia="仿宋" w:cs="仿宋"/>
                <w:color w:val="auto"/>
                <w:sz w:val="24"/>
                <w:szCs w:val="24"/>
              </w:rPr>
              <w:t>[12]贝多芬，《贝多芬奏鸣曲集1—3》 人民音乐出版社</w:t>
            </w:r>
          </w:p>
          <w:p w14:paraId="46CC17A7">
            <w:pPr>
              <w:adjustRightInd w:val="0"/>
              <w:snapToGrid w:val="0"/>
              <w:rPr>
                <w:rFonts w:ascii="仿宋" w:eastAsia="仿宋" w:cs="仿宋"/>
                <w:color w:val="auto"/>
                <w:sz w:val="24"/>
                <w:szCs w:val="24"/>
              </w:rPr>
            </w:pPr>
            <w:r>
              <w:rPr>
                <w:rFonts w:hint="eastAsia" w:ascii="仿宋" w:eastAsia="仿宋" w:cs="仿宋"/>
                <w:color w:val="auto"/>
                <w:sz w:val="24"/>
                <w:szCs w:val="24"/>
              </w:rPr>
              <w:t xml:space="preserve">[13]王红，《外国钢琴名曲曲选1-2》 人民音乐出版社 </w:t>
            </w:r>
          </w:p>
          <w:p w14:paraId="62CB82D1">
            <w:pPr>
              <w:adjustRightInd w:val="0"/>
              <w:snapToGrid w:val="0"/>
              <w:rPr>
                <w:rFonts w:ascii="仿宋" w:eastAsia="仿宋" w:cs="仿宋"/>
                <w:color w:val="auto"/>
                <w:sz w:val="24"/>
                <w:szCs w:val="24"/>
              </w:rPr>
            </w:pPr>
            <w:r>
              <w:rPr>
                <w:rFonts w:hint="eastAsia" w:ascii="仿宋" w:eastAsia="仿宋" w:cs="仿宋"/>
                <w:color w:val="auto"/>
                <w:sz w:val="24"/>
                <w:szCs w:val="24"/>
              </w:rPr>
              <w:t xml:space="preserve">[14]肖邦，《肖邦圆舞曲集》 人民音乐出版社 </w:t>
            </w:r>
          </w:p>
          <w:p w14:paraId="354E1084">
            <w:pPr>
              <w:adjustRightInd w:val="0"/>
              <w:snapToGrid w:val="0"/>
              <w:rPr>
                <w:rFonts w:ascii="仿宋" w:eastAsia="仿宋" w:cs="仿宋"/>
                <w:color w:val="auto"/>
                <w:sz w:val="24"/>
                <w:szCs w:val="24"/>
              </w:rPr>
            </w:pPr>
            <w:r>
              <w:rPr>
                <w:rFonts w:hint="eastAsia" w:ascii="仿宋" w:eastAsia="仿宋" w:cs="仿宋"/>
                <w:color w:val="auto"/>
                <w:sz w:val="24"/>
                <w:szCs w:val="24"/>
              </w:rPr>
              <w:t xml:space="preserve">[15]肖邦，《肖邦夜曲集》 人民音乐出版社 </w:t>
            </w:r>
          </w:p>
          <w:p w14:paraId="42968718">
            <w:pPr>
              <w:adjustRightInd w:val="0"/>
              <w:snapToGrid w:val="0"/>
              <w:rPr>
                <w:rFonts w:ascii="仿宋" w:eastAsia="仿宋" w:cs="仿宋"/>
                <w:color w:val="auto"/>
                <w:sz w:val="24"/>
                <w:szCs w:val="24"/>
              </w:rPr>
            </w:pPr>
            <w:r>
              <w:rPr>
                <w:rFonts w:hint="eastAsia" w:ascii="仿宋" w:eastAsia="仿宋" w:cs="仿宋"/>
                <w:color w:val="auto"/>
                <w:sz w:val="24"/>
                <w:szCs w:val="24"/>
              </w:rPr>
              <w:t xml:space="preserve">[16]肖邦，《肖邦钢琴曲选1—2》 人民音乐出版社 </w:t>
            </w:r>
          </w:p>
          <w:p w14:paraId="5D13608F">
            <w:pPr>
              <w:adjustRightInd w:val="0"/>
              <w:snapToGrid w:val="0"/>
              <w:rPr>
                <w:rFonts w:ascii="仿宋" w:eastAsia="仿宋" w:cs="仿宋"/>
                <w:color w:val="auto"/>
                <w:sz w:val="24"/>
                <w:szCs w:val="24"/>
              </w:rPr>
            </w:pPr>
            <w:r>
              <w:rPr>
                <w:rFonts w:hint="eastAsia" w:ascii="仿宋" w:eastAsia="仿宋" w:cs="仿宋"/>
                <w:color w:val="auto"/>
                <w:sz w:val="24"/>
                <w:szCs w:val="24"/>
              </w:rPr>
              <w:t xml:space="preserve">[17]李斯特，《李斯特钢琴曲选》 人民音乐出版社 </w:t>
            </w:r>
          </w:p>
          <w:p w14:paraId="7EA7C15F">
            <w:pPr>
              <w:adjustRightInd w:val="0"/>
              <w:snapToGrid w:val="0"/>
              <w:rPr>
                <w:rFonts w:ascii="仿宋" w:eastAsia="仿宋" w:cs="仿宋"/>
                <w:color w:val="auto"/>
                <w:sz w:val="24"/>
                <w:szCs w:val="24"/>
              </w:rPr>
            </w:pPr>
            <w:r>
              <w:rPr>
                <w:rFonts w:hint="eastAsia" w:ascii="仿宋" w:eastAsia="仿宋" w:cs="仿宋"/>
                <w:color w:val="auto"/>
                <w:sz w:val="24"/>
                <w:szCs w:val="24"/>
              </w:rPr>
              <w:t>[18]魏廷格，《中国钢琴名曲曲库1—4》 人民音乐出版社</w:t>
            </w:r>
          </w:p>
          <w:p w14:paraId="6A12C1FD">
            <w:pPr>
              <w:tabs>
                <w:tab w:val="left" w:pos="2219"/>
              </w:tabs>
              <w:suppressAutoHyphens/>
              <w:autoSpaceDE w:val="0"/>
              <w:autoSpaceDN w:val="0"/>
              <w:adjustRightInd w:val="0"/>
              <w:snapToGrid w:val="0"/>
              <w:ind w:right="115" w:rightChars="55"/>
              <w:rPr>
                <w:rFonts w:ascii="仿宋" w:eastAsia="仿宋" w:cs="仿宋"/>
                <w:color w:val="auto"/>
                <w:sz w:val="24"/>
                <w:szCs w:val="24"/>
              </w:rPr>
            </w:pPr>
          </w:p>
        </w:tc>
      </w:tr>
      <w:tr w14:paraId="1D909300">
        <w:trPr>
          <w:trHeight w:val="2309" w:hRule="atLeast"/>
          <w:jc w:val="center"/>
        </w:trPr>
        <w:tc>
          <w:tcPr>
            <w:tcW w:w="1310" w:type="dxa"/>
            <w:tcBorders>
              <w:top w:val="single" w:color="000000" w:sz="4" w:space="0"/>
              <w:left w:val="single" w:color="000000" w:sz="4" w:space="0"/>
              <w:right w:val="single" w:color="000000" w:sz="4" w:space="0"/>
            </w:tcBorders>
            <w:vAlign w:val="center"/>
          </w:tcPr>
          <w:p w14:paraId="0677C075">
            <w:pPr>
              <w:adjustRightInd w:val="0"/>
              <w:snapToGrid w:val="0"/>
              <w:spacing w:line="240" w:lineRule="atLeast"/>
              <w:jc w:val="center"/>
              <w:rPr>
                <w:rFonts w:ascii="仿宋" w:eastAsia="仿宋" w:cs="仿宋"/>
                <w:color w:val="auto"/>
                <w:sz w:val="24"/>
                <w:szCs w:val="24"/>
              </w:rPr>
            </w:pPr>
            <w:r>
              <w:rPr>
                <w:rFonts w:hint="eastAsia" w:ascii="仿宋" w:eastAsia="仿宋" w:cs="仿宋"/>
                <w:color w:val="auto"/>
                <w:sz w:val="24"/>
                <w:szCs w:val="24"/>
              </w:rPr>
              <w:t>B</w:t>
            </w:r>
          </w:p>
          <w:p w14:paraId="1B087D0A">
            <w:pPr>
              <w:adjustRightInd w:val="0"/>
              <w:snapToGrid w:val="0"/>
              <w:spacing w:line="240" w:lineRule="atLeast"/>
              <w:jc w:val="center"/>
              <w:rPr>
                <w:rFonts w:ascii="仿宋" w:eastAsia="仿宋" w:cs="仿宋"/>
                <w:color w:val="auto"/>
                <w:kern w:val="2"/>
                <w:sz w:val="24"/>
              </w:rPr>
            </w:pPr>
            <w:r>
              <w:rPr>
                <w:rFonts w:hint="eastAsia" w:ascii="仿宋" w:eastAsia="仿宋" w:cs="仿宋"/>
                <w:color w:val="auto"/>
                <w:sz w:val="24"/>
                <w:szCs w:val="24"/>
              </w:rPr>
              <w:t>主要参考书籍</w:t>
            </w:r>
          </w:p>
        </w:tc>
        <w:tc>
          <w:tcPr>
            <w:tcW w:w="7836" w:type="dxa"/>
            <w:gridSpan w:val="13"/>
            <w:tcBorders>
              <w:top w:val="single" w:color="000000" w:sz="4" w:space="0"/>
              <w:left w:val="single" w:color="000000" w:sz="4" w:space="0"/>
              <w:bottom w:val="single" w:color="000000" w:sz="4" w:space="0"/>
              <w:right w:val="single" w:color="000000" w:sz="4" w:space="0"/>
            </w:tcBorders>
            <w:vAlign w:val="center"/>
          </w:tcPr>
          <w:p w14:paraId="124FD452">
            <w:pPr>
              <w:adjustRightInd w:val="0"/>
              <w:snapToGrid w:val="0"/>
              <w:rPr>
                <w:rFonts w:ascii="仿宋" w:eastAsia="仿宋" w:cs="仿宋"/>
                <w:color w:val="auto"/>
                <w:sz w:val="24"/>
                <w:szCs w:val="24"/>
              </w:rPr>
            </w:pPr>
            <w:r>
              <w:rPr>
                <w:rFonts w:hint="eastAsia" w:ascii="仿宋" w:eastAsia="仿宋" w:cs="仿宋"/>
                <w:color w:val="auto"/>
                <w:sz w:val="24"/>
                <w:szCs w:val="24"/>
              </w:rPr>
              <w:t xml:space="preserve">[1]《唐诗四首》，杨立青 上海:音乐学院出版社， 2003-10-01  </w:t>
            </w:r>
          </w:p>
          <w:p w14:paraId="003FABB5">
            <w:pPr>
              <w:adjustRightInd w:val="0"/>
              <w:snapToGrid w:val="0"/>
              <w:rPr>
                <w:rFonts w:ascii="仿宋" w:eastAsia="仿宋" w:cs="仿宋"/>
                <w:color w:val="auto"/>
                <w:sz w:val="24"/>
                <w:szCs w:val="24"/>
              </w:rPr>
            </w:pPr>
            <w:r>
              <w:rPr>
                <w:rFonts w:hint="eastAsia" w:ascii="仿宋" w:eastAsia="仿宋" w:cs="仿宋"/>
                <w:color w:val="auto"/>
                <w:sz w:val="24"/>
                <w:szCs w:val="24"/>
              </w:rPr>
              <w:t>[2]《乐思</w:t>
            </w:r>
            <w:r>
              <w:rPr>
                <w:rFonts w:hint="eastAsia" w:ascii="微软雅黑" w:eastAsia="微软雅黑" w:cs="微软雅黑"/>
                <w:color w:val="auto"/>
                <w:sz w:val="24"/>
                <w:szCs w:val="24"/>
              </w:rPr>
              <w:t>•</w:t>
            </w:r>
            <w:r>
              <w:rPr>
                <w:rFonts w:hint="eastAsia" w:ascii="仿宋" w:eastAsia="仿宋" w:cs="仿宋"/>
                <w:color w:val="auto"/>
                <w:sz w:val="24"/>
                <w:szCs w:val="24"/>
              </w:rPr>
              <w:t>乐风》， 上海:音乐学院出版社， 2006-07-01</w:t>
            </w:r>
          </w:p>
          <w:p w14:paraId="78FA202B">
            <w:pPr>
              <w:adjustRightInd w:val="0"/>
              <w:snapToGrid w:val="0"/>
              <w:rPr>
                <w:rFonts w:ascii="仿宋" w:eastAsia="仿宋" w:cs="仿宋"/>
                <w:color w:val="auto"/>
                <w:sz w:val="24"/>
                <w:szCs w:val="24"/>
              </w:rPr>
            </w:pPr>
            <w:r>
              <w:rPr>
                <w:rFonts w:hint="eastAsia" w:ascii="仿宋" w:eastAsia="仿宋" w:cs="仿宋"/>
                <w:color w:val="auto"/>
                <w:sz w:val="24"/>
                <w:szCs w:val="24"/>
              </w:rPr>
              <w:t>桑桐</w:t>
            </w:r>
          </w:p>
          <w:p w14:paraId="54DBDFE9">
            <w:pPr>
              <w:adjustRightInd w:val="0"/>
              <w:snapToGrid w:val="0"/>
              <w:rPr>
                <w:rFonts w:ascii="仿宋" w:eastAsia="仿宋" w:cs="仿宋"/>
                <w:color w:val="auto"/>
                <w:sz w:val="24"/>
                <w:szCs w:val="24"/>
              </w:rPr>
            </w:pPr>
            <w:r>
              <w:rPr>
                <w:rFonts w:hint="eastAsia" w:ascii="仿宋" w:eastAsia="仿宋" w:cs="仿宋"/>
                <w:color w:val="auto"/>
                <w:sz w:val="24"/>
                <w:szCs w:val="24"/>
              </w:rPr>
              <w:t xml:space="preserve">[3]《和声学教程(音乐卷)》，上海:音乐学院出版社， 2001-05-01 </w:t>
            </w:r>
          </w:p>
          <w:p w14:paraId="3117822F">
            <w:pPr>
              <w:adjustRightInd w:val="0"/>
              <w:snapToGrid w:val="0"/>
              <w:rPr>
                <w:rFonts w:ascii="仿宋" w:eastAsia="仿宋" w:cs="仿宋"/>
                <w:color w:val="auto"/>
                <w:sz w:val="24"/>
                <w:szCs w:val="24"/>
              </w:rPr>
            </w:pPr>
            <w:r>
              <w:rPr>
                <w:rFonts w:hint="eastAsia" w:ascii="仿宋" w:eastAsia="仿宋" w:cs="仿宋"/>
                <w:color w:val="auto"/>
                <w:sz w:val="24"/>
                <w:szCs w:val="24"/>
              </w:rPr>
              <w:t>[4]《和声的理论与运用》（上、下册），上海：音乐学院出版社，1982.</w:t>
            </w:r>
          </w:p>
          <w:p w14:paraId="3C63C525">
            <w:pPr>
              <w:adjustRightInd w:val="0"/>
              <w:snapToGrid w:val="0"/>
              <w:rPr>
                <w:rFonts w:ascii="仿宋" w:eastAsia="仿宋" w:cs="仿宋"/>
                <w:color w:val="auto"/>
                <w:sz w:val="24"/>
                <w:szCs w:val="24"/>
              </w:rPr>
            </w:pPr>
            <w:r>
              <w:rPr>
                <w:rFonts w:hint="eastAsia" w:ascii="仿宋" w:eastAsia="仿宋" w:cs="仿宋"/>
                <w:color w:val="auto"/>
                <w:sz w:val="24"/>
                <w:szCs w:val="24"/>
              </w:rPr>
              <w:t>陈铭志</w:t>
            </w:r>
          </w:p>
          <w:p w14:paraId="146A5C04">
            <w:pPr>
              <w:adjustRightInd w:val="0"/>
              <w:snapToGrid w:val="0"/>
              <w:rPr>
                <w:rFonts w:ascii="仿宋" w:eastAsia="仿宋" w:cs="仿宋"/>
                <w:color w:val="auto"/>
                <w:sz w:val="24"/>
                <w:szCs w:val="24"/>
              </w:rPr>
            </w:pPr>
            <w:r>
              <w:rPr>
                <w:rFonts w:hint="eastAsia" w:ascii="仿宋" w:eastAsia="仿宋" w:cs="仿宋"/>
                <w:color w:val="auto"/>
                <w:sz w:val="24"/>
                <w:szCs w:val="24"/>
              </w:rPr>
              <w:t>[5]《复调音乐写作基础教程》，北京：人民音乐出版社，1986-09-01</w:t>
            </w:r>
          </w:p>
          <w:p w14:paraId="7C8BFB6C">
            <w:pPr>
              <w:adjustRightInd w:val="0"/>
              <w:snapToGrid w:val="0"/>
              <w:rPr>
                <w:rFonts w:ascii="仿宋" w:eastAsia="仿宋" w:cs="仿宋"/>
                <w:color w:val="auto"/>
                <w:sz w:val="24"/>
                <w:szCs w:val="24"/>
              </w:rPr>
            </w:pPr>
            <w:r>
              <w:rPr>
                <w:rFonts w:hint="eastAsia" w:ascii="仿宋" w:eastAsia="仿宋" w:cs="仿宋"/>
                <w:color w:val="auto"/>
                <w:sz w:val="24"/>
                <w:szCs w:val="24"/>
              </w:rPr>
              <w:t>[6]《赋格曲写作》， 上海:文艺出版社 ，1980.</w:t>
            </w:r>
          </w:p>
          <w:p w14:paraId="07EDE936">
            <w:pPr>
              <w:adjustRightInd w:val="0"/>
              <w:snapToGrid w:val="0"/>
              <w:rPr>
                <w:rFonts w:ascii="仿宋" w:eastAsia="仿宋" w:cs="仿宋"/>
                <w:color w:val="auto"/>
                <w:sz w:val="24"/>
                <w:szCs w:val="24"/>
              </w:rPr>
            </w:pPr>
            <w:r>
              <w:rPr>
                <w:rFonts w:hint="eastAsia" w:ascii="仿宋" w:eastAsia="仿宋" w:cs="仿宋"/>
                <w:color w:val="auto"/>
                <w:sz w:val="24"/>
                <w:szCs w:val="24"/>
              </w:rPr>
              <w:t>杨燕迪</w:t>
            </w:r>
          </w:p>
          <w:p w14:paraId="03CF8F11">
            <w:pPr>
              <w:adjustRightInd w:val="0"/>
              <w:snapToGrid w:val="0"/>
              <w:rPr>
                <w:rFonts w:ascii="仿宋" w:eastAsia="仿宋" w:cs="仿宋"/>
                <w:color w:val="auto"/>
                <w:sz w:val="24"/>
                <w:szCs w:val="24"/>
              </w:rPr>
            </w:pPr>
            <w:r>
              <w:rPr>
                <w:rFonts w:hint="eastAsia" w:ascii="仿宋" w:eastAsia="仿宋" w:cs="仿宋"/>
                <w:color w:val="auto"/>
                <w:sz w:val="24"/>
                <w:szCs w:val="24"/>
              </w:rPr>
              <w:t xml:space="preserve">[7]《音乐的人文诠释: 杨燕迪音乐文集--音乐文化史论丛》， </w:t>
            </w:r>
          </w:p>
          <w:p w14:paraId="7329992B">
            <w:pPr>
              <w:adjustRightInd w:val="0"/>
              <w:snapToGrid w:val="0"/>
              <w:rPr>
                <w:rFonts w:ascii="仿宋" w:eastAsia="仿宋" w:cs="仿宋"/>
                <w:color w:val="auto"/>
                <w:sz w:val="24"/>
                <w:szCs w:val="24"/>
              </w:rPr>
            </w:pPr>
            <w:r>
              <w:rPr>
                <w:rFonts w:hint="eastAsia" w:ascii="仿宋" w:eastAsia="仿宋" w:cs="仿宋"/>
                <w:color w:val="auto"/>
                <w:sz w:val="24"/>
                <w:szCs w:val="24"/>
              </w:rPr>
              <w:t>上海:音乐学院出版社，2007.</w:t>
            </w:r>
          </w:p>
          <w:p w14:paraId="59EA30B6">
            <w:pPr>
              <w:adjustRightInd w:val="0"/>
              <w:snapToGrid w:val="0"/>
              <w:rPr>
                <w:rFonts w:ascii="仿宋" w:eastAsia="仿宋" w:cs="仿宋"/>
                <w:color w:val="auto"/>
                <w:sz w:val="24"/>
                <w:szCs w:val="24"/>
              </w:rPr>
            </w:pPr>
            <w:r>
              <w:rPr>
                <w:rFonts w:hint="eastAsia" w:ascii="仿宋" w:eastAsia="仿宋" w:cs="仿宋"/>
                <w:color w:val="auto"/>
                <w:sz w:val="24"/>
                <w:szCs w:val="24"/>
              </w:rPr>
              <w:t>[8]《乐声悠扬》，上海:音乐出版社 ，2000.</w:t>
            </w:r>
          </w:p>
          <w:p w14:paraId="5E3576B9">
            <w:pPr>
              <w:adjustRightInd w:val="0"/>
              <w:snapToGrid w:val="0"/>
              <w:rPr>
                <w:rFonts w:ascii="仿宋" w:eastAsia="仿宋" w:cs="仿宋"/>
                <w:color w:val="auto"/>
                <w:sz w:val="24"/>
                <w:szCs w:val="24"/>
              </w:rPr>
            </w:pPr>
            <w:r>
              <w:rPr>
                <w:rFonts w:hint="eastAsia" w:ascii="仿宋" w:eastAsia="仿宋" w:cs="仿宋"/>
                <w:color w:val="auto"/>
                <w:sz w:val="24"/>
                <w:szCs w:val="24"/>
              </w:rPr>
              <w:t>钱亦平</w:t>
            </w:r>
          </w:p>
          <w:p w14:paraId="713C16CD">
            <w:pPr>
              <w:adjustRightInd w:val="0"/>
              <w:snapToGrid w:val="0"/>
              <w:rPr>
                <w:rFonts w:ascii="仿宋" w:eastAsia="仿宋" w:cs="仿宋"/>
                <w:color w:val="auto"/>
                <w:sz w:val="24"/>
                <w:szCs w:val="24"/>
              </w:rPr>
            </w:pPr>
            <w:r>
              <w:rPr>
                <w:rFonts w:hint="eastAsia" w:ascii="仿宋" w:eastAsia="仿宋" w:cs="仿宋"/>
                <w:color w:val="auto"/>
                <w:sz w:val="24"/>
                <w:szCs w:val="24"/>
              </w:rPr>
              <w:t>[9]《西方音乐体裁及形式的演进》，上海:音乐学院出版社，2003-12</w:t>
            </w:r>
          </w:p>
          <w:p w14:paraId="4F72F863">
            <w:pPr>
              <w:adjustRightInd w:val="0"/>
              <w:snapToGrid w:val="0"/>
              <w:rPr>
                <w:rFonts w:ascii="仿宋" w:eastAsia="仿宋" w:cs="仿宋"/>
                <w:color w:val="auto"/>
                <w:sz w:val="24"/>
                <w:szCs w:val="24"/>
              </w:rPr>
            </w:pPr>
            <w:r>
              <w:rPr>
                <w:rFonts w:hint="eastAsia" w:ascii="仿宋" w:eastAsia="仿宋" w:cs="仿宋"/>
                <w:color w:val="auto"/>
                <w:sz w:val="24"/>
                <w:szCs w:val="24"/>
              </w:rPr>
              <w:t>[10]《音乐作品分析简明教程》（上下册），上海:音乐学院出版社，2006-5</w:t>
            </w:r>
          </w:p>
          <w:p w14:paraId="5D9FF6F5">
            <w:pPr>
              <w:adjustRightInd w:val="0"/>
              <w:snapToGrid w:val="0"/>
              <w:rPr>
                <w:rFonts w:ascii="仿宋" w:eastAsia="仿宋" w:cs="仿宋"/>
                <w:color w:val="auto"/>
                <w:sz w:val="24"/>
                <w:szCs w:val="24"/>
              </w:rPr>
            </w:pPr>
            <w:r>
              <w:rPr>
                <w:rFonts w:hint="eastAsia" w:ascii="仿宋" w:eastAsia="仿宋" w:cs="仿宋"/>
                <w:color w:val="auto"/>
                <w:sz w:val="24"/>
                <w:szCs w:val="24"/>
              </w:rPr>
              <w:t>[11]《钱仁康音乐文选》，上海:音乐出版社，1999-07</w:t>
            </w:r>
          </w:p>
          <w:p w14:paraId="17005D88">
            <w:pPr>
              <w:adjustRightInd w:val="0"/>
              <w:snapToGrid w:val="0"/>
              <w:rPr>
                <w:rFonts w:ascii="仿宋" w:eastAsia="仿宋" w:cs="仿宋"/>
                <w:color w:val="auto"/>
                <w:sz w:val="24"/>
                <w:szCs w:val="24"/>
              </w:rPr>
            </w:pPr>
            <w:r>
              <w:rPr>
                <w:rFonts w:hint="eastAsia" w:ascii="仿宋" w:eastAsia="仿宋" w:cs="仿宋"/>
                <w:color w:val="auto"/>
                <w:sz w:val="24"/>
                <w:szCs w:val="24"/>
              </w:rPr>
              <w:t>[12]《音乐作品分析教程（音乐卷）》，上海:音乐出版社，2003-10</w:t>
            </w:r>
          </w:p>
          <w:p w14:paraId="74F9EAED">
            <w:pPr>
              <w:adjustRightInd w:val="0"/>
              <w:snapToGrid w:val="0"/>
              <w:rPr>
                <w:rFonts w:ascii="仿宋" w:eastAsia="仿宋" w:cs="仿宋"/>
                <w:color w:val="auto"/>
                <w:sz w:val="24"/>
                <w:szCs w:val="24"/>
              </w:rPr>
            </w:pPr>
            <w:r>
              <w:rPr>
                <w:rFonts w:hint="eastAsia" w:ascii="仿宋" w:eastAsia="仿宋" w:cs="仿宋"/>
                <w:color w:val="auto"/>
                <w:sz w:val="24"/>
                <w:szCs w:val="24"/>
              </w:rPr>
              <w:t>赵晓生</w:t>
            </w:r>
          </w:p>
          <w:p w14:paraId="0F844051">
            <w:pPr>
              <w:adjustRightInd w:val="0"/>
              <w:snapToGrid w:val="0"/>
              <w:rPr>
                <w:rFonts w:ascii="仿宋" w:eastAsia="仿宋" w:cs="仿宋"/>
                <w:color w:val="auto"/>
                <w:sz w:val="24"/>
                <w:szCs w:val="24"/>
              </w:rPr>
            </w:pPr>
            <w:r>
              <w:rPr>
                <w:rFonts w:hint="eastAsia" w:ascii="仿宋" w:eastAsia="仿宋" w:cs="仿宋"/>
                <w:color w:val="auto"/>
                <w:sz w:val="24"/>
                <w:szCs w:val="24"/>
              </w:rPr>
              <w:t>[13]《传统作曲技法》， 上海:教育出版社，2003-07-01</w:t>
            </w:r>
          </w:p>
          <w:p w14:paraId="750AA7F6">
            <w:pPr>
              <w:adjustRightInd w:val="0"/>
              <w:snapToGrid w:val="0"/>
              <w:rPr>
                <w:rFonts w:ascii="仿宋" w:eastAsia="仿宋" w:cs="仿宋"/>
                <w:color w:val="auto"/>
                <w:sz w:val="24"/>
                <w:szCs w:val="24"/>
              </w:rPr>
            </w:pPr>
            <w:r>
              <w:rPr>
                <w:rFonts w:hint="eastAsia" w:ascii="仿宋" w:eastAsia="仿宋" w:cs="仿宋"/>
                <w:color w:val="auto"/>
                <w:sz w:val="24"/>
                <w:szCs w:val="24"/>
              </w:rPr>
              <w:t>[14]《唐诗乐境》，上海:音乐学院出版社 ，2003-10-01</w:t>
            </w:r>
          </w:p>
          <w:p w14:paraId="5B6F4CF3">
            <w:pPr>
              <w:adjustRightInd w:val="0"/>
              <w:snapToGrid w:val="0"/>
              <w:rPr>
                <w:rFonts w:ascii="仿宋" w:eastAsia="仿宋" w:cs="仿宋"/>
                <w:color w:val="auto"/>
                <w:sz w:val="24"/>
                <w:szCs w:val="24"/>
              </w:rPr>
            </w:pPr>
            <w:r>
              <w:rPr>
                <w:rFonts w:hint="eastAsia" w:ascii="仿宋" w:eastAsia="仿宋" w:cs="仿宋"/>
                <w:color w:val="auto"/>
                <w:sz w:val="24"/>
                <w:szCs w:val="24"/>
              </w:rPr>
              <w:t>[15]《太极作曲系统：新版》， 上海:音乐学院出版社， 2006.</w:t>
            </w:r>
          </w:p>
          <w:p w14:paraId="7F4BF795">
            <w:pPr>
              <w:adjustRightInd w:val="0"/>
              <w:snapToGrid w:val="0"/>
              <w:rPr>
                <w:rFonts w:ascii="仿宋" w:eastAsia="仿宋" w:cs="仿宋"/>
                <w:color w:val="auto"/>
                <w:sz w:val="24"/>
                <w:szCs w:val="24"/>
              </w:rPr>
            </w:pPr>
            <w:r>
              <w:rPr>
                <w:rFonts w:hint="eastAsia" w:ascii="仿宋" w:eastAsia="仿宋" w:cs="仿宋"/>
                <w:color w:val="auto"/>
                <w:sz w:val="24"/>
                <w:szCs w:val="24"/>
              </w:rPr>
              <w:t>[16]《钢琴演奏之道》， 湖南:教育出版社，1991-12-01 周薇</w:t>
            </w:r>
          </w:p>
          <w:p w14:paraId="380A9E1F">
            <w:pPr>
              <w:adjustRightInd w:val="0"/>
              <w:snapToGrid w:val="0"/>
              <w:rPr>
                <w:rFonts w:ascii="仿宋" w:eastAsia="仿宋" w:cs="仿宋"/>
                <w:color w:val="auto"/>
                <w:sz w:val="24"/>
                <w:szCs w:val="24"/>
              </w:rPr>
            </w:pPr>
            <w:r>
              <w:rPr>
                <w:rFonts w:hint="eastAsia" w:ascii="仿宋" w:eastAsia="仿宋" w:cs="仿宋"/>
                <w:color w:val="auto"/>
                <w:sz w:val="24"/>
                <w:szCs w:val="24"/>
              </w:rPr>
              <w:t>[17]《西方钢琴艺术史》， 上海:音乐出版社， 2003-02</w:t>
            </w:r>
          </w:p>
          <w:p w14:paraId="4E01A12F">
            <w:pPr>
              <w:adjustRightInd w:val="0"/>
              <w:snapToGrid w:val="0"/>
              <w:rPr>
                <w:rFonts w:ascii="仿宋" w:eastAsia="仿宋" w:cs="仿宋"/>
                <w:color w:val="auto"/>
                <w:sz w:val="24"/>
                <w:szCs w:val="24"/>
              </w:rPr>
            </w:pPr>
            <w:r>
              <w:rPr>
                <w:rFonts w:hint="eastAsia" w:ascii="仿宋" w:eastAsia="仿宋" w:cs="仿宋"/>
                <w:color w:val="auto"/>
                <w:sz w:val="24"/>
                <w:szCs w:val="24"/>
              </w:rPr>
              <w:t>[18]《巴赫帕蒂塔（德国组曲）编注》，上海:音乐出版社，2004-04</w:t>
            </w:r>
          </w:p>
          <w:p w14:paraId="5321FC7A">
            <w:pPr>
              <w:adjustRightInd w:val="0"/>
              <w:snapToGrid w:val="0"/>
              <w:rPr>
                <w:rFonts w:ascii="仿宋" w:eastAsia="仿宋" w:cs="仿宋"/>
                <w:color w:val="auto"/>
                <w:sz w:val="24"/>
                <w:szCs w:val="24"/>
              </w:rPr>
            </w:pPr>
            <w:r>
              <w:rPr>
                <w:rFonts w:hint="eastAsia" w:ascii="仿宋" w:eastAsia="仿宋" w:cs="仿宋"/>
                <w:color w:val="auto"/>
                <w:sz w:val="24"/>
                <w:szCs w:val="24"/>
              </w:rPr>
              <w:t xml:space="preserve">[19]《西方钢琴音乐史》，上海:音乐出版社，2003. </w:t>
            </w:r>
          </w:p>
          <w:p w14:paraId="46E4A47B">
            <w:pPr>
              <w:adjustRightInd w:val="0"/>
              <w:snapToGrid w:val="0"/>
              <w:rPr>
                <w:rFonts w:ascii="仿宋" w:eastAsia="仿宋" w:cs="仿宋"/>
                <w:color w:val="auto"/>
                <w:sz w:val="24"/>
                <w:szCs w:val="24"/>
              </w:rPr>
            </w:pPr>
            <w:r>
              <w:rPr>
                <w:rFonts w:hint="eastAsia" w:ascii="仿宋" w:eastAsia="仿宋" w:cs="仿宋"/>
                <w:color w:val="auto"/>
                <w:sz w:val="24"/>
                <w:szCs w:val="24"/>
              </w:rPr>
              <w:t>[20] (美)克拉伦斯</w:t>
            </w:r>
            <w:r>
              <w:rPr>
                <w:rFonts w:hint="eastAsia" w:ascii="微软雅黑" w:eastAsia="微软雅黑" w:cs="微软雅黑"/>
                <w:color w:val="auto"/>
                <w:sz w:val="24"/>
                <w:szCs w:val="24"/>
              </w:rPr>
              <w:t>•</w:t>
            </w:r>
            <w:r>
              <w:rPr>
                <w:rFonts w:hint="eastAsia" w:ascii="仿宋" w:eastAsia="仿宋" w:cs="仿宋"/>
                <w:color w:val="auto"/>
                <w:sz w:val="24"/>
                <w:szCs w:val="24"/>
              </w:rPr>
              <w:t>格</w:t>
            </w:r>
            <w:r>
              <w:rPr>
                <w:rFonts w:hint="eastAsia" w:ascii="微软雅黑" w:eastAsia="微软雅黑" w:cs="微软雅黑"/>
                <w:color w:val="auto"/>
                <w:sz w:val="24"/>
                <w:szCs w:val="24"/>
              </w:rPr>
              <w:t>•</w:t>
            </w:r>
            <w:r>
              <w:rPr>
                <w:rFonts w:hint="eastAsia" w:ascii="仿宋" w:eastAsia="仿宋" w:cs="仿宋"/>
                <w:color w:val="auto"/>
                <w:sz w:val="24"/>
                <w:szCs w:val="24"/>
              </w:rPr>
              <w:t>汉密尔顿著 周薇译，《钢琴演奏中的触键与表情》  人民音乐出版社，2004-02.</w:t>
            </w:r>
          </w:p>
          <w:p w14:paraId="1D44409C">
            <w:pPr>
              <w:widowControl/>
              <w:tabs>
                <w:tab w:val="left" w:pos="2219"/>
              </w:tabs>
              <w:suppressAutoHyphens/>
              <w:autoSpaceDE w:val="0"/>
              <w:autoSpaceDN w:val="0"/>
              <w:adjustRightInd w:val="0"/>
              <w:snapToGrid w:val="0"/>
              <w:ind w:right="115" w:rightChars="55"/>
              <w:rPr>
                <w:rFonts w:ascii="仿宋" w:eastAsia="仿宋" w:cs="仿宋"/>
                <w:color w:val="auto"/>
                <w:sz w:val="24"/>
                <w:szCs w:val="24"/>
              </w:rPr>
            </w:pPr>
            <w:r>
              <w:rPr>
                <w:rFonts w:hint="eastAsia" w:ascii="仿宋" w:eastAsia="仿宋" w:cs="仿宋"/>
                <w:color w:val="auto"/>
                <w:sz w:val="24"/>
                <w:szCs w:val="24"/>
              </w:rPr>
              <w:t>[21] 王庆《音乐结构与钢琴演奏》，上海:人民出版社， 2006-06-01</w:t>
            </w:r>
          </w:p>
        </w:tc>
      </w:tr>
      <w:tr w14:paraId="7CD2D296">
        <w:trPr>
          <w:trHeight w:val="624" w:hRule="atLeast"/>
          <w:jc w:val="center"/>
        </w:trPr>
        <w:tc>
          <w:tcPr>
            <w:tcW w:w="1310" w:type="dxa"/>
            <w:tcBorders>
              <w:top w:val="single" w:color="000000" w:sz="4" w:space="0"/>
              <w:left w:val="single" w:color="000000" w:sz="4" w:space="0"/>
              <w:bottom w:val="single" w:color="000000" w:sz="4" w:space="0"/>
              <w:right w:val="single" w:color="000000" w:sz="4" w:space="0"/>
            </w:tcBorders>
            <w:vAlign w:val="center"/>
          </w:tcPr>
          <w:p w14:paraId="76FF9697">
            <w:pPr>
              <w:adjustRightInd w:val="0"/>
              <w:snapToGrid w:val="0"/>
              <w:spacing w:line="240" w:lineRule="atLeast"/>
              <w:jc w:val="center"/>
              <w:rPr>
                <w:rFonts w:ascii="仿宋" w:eastAsia="仿宋" w:cs="仿宋"/>
                <w:color w:val="auto"/>
                <w:sz w:val="24"/>
                <w:szCs w:val="24"/>
              </w:rPr>
            </w:pPr>
            <w:r>
              <w:rPr>
                <w:rFonts w:hint="eastAsia" w:ascii="仿宋" w:eastAsia="仿宋" w:cs="仿宋"/>
                <w:color w:val="auto"/>
                <w:sz w:val="24"/>
                <w:szCs w:val="24"/>
              </w:rPr>
              <w:t>C</w:t>
            </w:r>
          </w:p>
          <w:p w14:paraId="2F62B49C">
            <w:pPr>
              <w:adjustRightInd w:val="0"/>
              <w:snapToGrid w:val="0"/>
              <w:spacing w:line="240" w:lineRule="atLeast"/>
              <w:jc w:val="center"/>
              <w:rPr>
                <w:rFonts w:ascii="仿宋" w:eastAsia="仿宋" w:cs="仿宋"/>
                <w:color w:val="auto"/>
                <w:sz w:val="24"/>
                <w:szCs w:val="24"/>
              </w:rPr>
            </w:pPr>
            <w:r>
              <w:rPr>
                <w:rFonts w:hint="eastAsia" w:ascii="仿宋" w:eastAsia="仿宋" w:cs="仿宋"/>
                <w:color w:val="auto"/>
                <w:sz w:val="24"/>
                <w:szCs w:val="24"/>
              </w:rPr>
              <w:t>线上学习资源</w:t>
            </w:r>
          </w:p>
        </w:tc>
        <w:tc>
          <w:tcPr>
            <w:tcW w:w="7836" w:type="dxa"/>
            <w:gridSpan w:val="13"/>
            <w:tcBorders>
              <w:top w:val="single" w:color="000000" w:sz="4" w:space="0"/>
              <w:left w:val="single" w:color="000000" w:sz="4" w:space="0"/>
              <w:bottom w:val="single" w:color="000000" w:sz="4" w:space="0"/>
              <w:right w:val="single" w:color="000000" w:sz="4" w:space="0"/>
            </w:tcBorders>
          </w:tcPr>
          <w:p w14:paraId="1D7FA157">
            <w:pPr>
              <w:adjustRightInd w:val="0"/>
              <w:snapToGrid w:val="0"/>
              <w:rPr>
                <w:rFonts w:ascii="仿宋" w:eastAsia="仿宋" w:cs="仿宋"/>
                <w:color w:val="auto"/>
                <w:sz w:val="24"/>
                <w:szCs w:val="24"/>
              </w:rPr>
            </w:pPr>
            <w:r>
              <w:rPr>
                <w:rFonts w:hint="eastAsia" w:ascii="仿宋" w:eastAsia="仿宋" w:cs="仿宋"/>
                <w:color w:val="auto"/>
                <w:sz w:val="24"/>
                <w:szCs w:val="24"/>
              </w:rPr>
              <w:t>任课教师建立微信学习群，与学生进行多媒体沟通；</w:t>
            </w:r>
          </w:p>
          <w:p w14:paraId="62159581">
            <w:pPr>
              <w:adjustRightInd w:val="0"/>
              <w:snapToGrid w:val="0"/>
              <w:rPr>
                <w:rFonts w:ascii="仿宋" w:eastAsia="仿宋" w:cs="仿宋"/>
                <w:color w:val="auto"/>
                <w:sz w:val="24"/>
                <w:szCs w:val="24"/>
              </w:rPr>
            </w:pPr>
            <w:r>
              <w:rPr>
                <w:rFonts w:hint="eastAsia" w:ascii="仿宋" w:eastAsia="仿宋" w:cs="仿宋"/>
                <w:color w:val="auto"/>
                <w:sz w:val="24"/>
                <w:szCs w:val="24"/>
              </w:rPr>
              <w:t>使用企业微信微盘上传下载学习资料；</w:t>
            </w:r>
          </w:p>
          <w:p w14:paraId="5BBB1E1C">
            <w:pPr>
              <w:rPr>
                <w:rFonts w:ascii="仿宋" w:eastAsia="仿宋" w:cs="仿宋"/>
                <w:color w:val="auto"/>
                <w:sz w:val="24"/>
                <w:szCs w:val="24"/>
              </w:rPr>
            </w:pPr>
            <w:r>
              <w:rPr>
                <w:rFonts w:hint="eastAsia" w:ascii="仿宋" w:eastAsia="仿宋" w:cs="仿宋"/>
                <w:color w:val="auto"/>
                <w:sz w:val="24"/>
                <w:szCs w:val="24"/>
              </w:rPr>
              <w:t>中国大学MOOC平台、三明学院网络课程平台等辅助提交作业。</w:t>
            </w:r>
          </w:p>
        </w:tc>
      </w:tr>
      <w:tr w14:paraId="540FFAD4">
        <w:trPr>
          <w:trHeight w:val="624" w:hRule="atLeast"/>
          <w:jc w:val="center"/>
        </w:trPr>
        <w:tc>
          <w:tcPr>
            <w:tcW w:w="13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E11ABE">
            <w:pPr>
              <w:adjustRightInd w:val="0"/>
              <w:snapToGrid w:val="0"/>
              <w:spacing w:line="240" w:lineRule="atLeast"/>
              <w:jc w:val="center"/>
              <w:rPr>
                <w:rFonts w:ascii="仿宋" w:eastAsia="仿宋" w:cs="仿宋"/>
                <w:color w:val="auto"/>
                <w:sz w:val="24"/>
                <w:szCs w:val="24"/>
              </w:rPr>
            </w:pPr>
            <w:r>
              <w:rPr>
                <w:rFonts w:hint="eastAsia" w:ascii="仿宋" w:eastAsia="仿宋" w:cs="仿宋"/>
                <w:color w:val="auto"/>
                <w:sz w:val="24"/>
                <w:szCs w:val="24"/>
              </w:rPr>
              <w:t>D</w:t>
            </w:r>
          </w:p>
          <w:p w14:paraId="1772BF92">
            <w:pPr>
              <w:adjustRightInd w:val="0"/>
              <w:snapToGrid w:val="0"/>
              <w:spacing w:line="240" w:lineRule="atLeast"/>
              <w:jc w:val="center"/>
              <w:rPr>
                <w:rFonts w:ascii="仿宋" w:eastAsia="仿宋" w:cs="仿宋"/>
                <w:color w:val="auto"/>
                <w:sz w:val="24"/>
                <w:szCs w:val="24"/>
              </w:rPr>
            </w:pPr>
            <w:r>
              <w:rPr>
                <w:rFonts w:hint="eastAsia" w:ascii="仿宋" w:eastAsia="仿宋" w:cs="仿宋"/>
                <w:color w:val="auto"/>
                <w:sz w:val="24"/>
                <w:szCs w:val="24"/>
              </w:rPr>
              <w:t xml:space="preserve">课程描述 </w:t>
            </w:r>
          </w:p>
          <w:p w14:paraId="578F4757">
            <w:pPr>
              <w:adjustRightInd w:val="0"/>
              <w:snapToGrid w:val="0"/>
              <w:spacing w:line="240" w:lineRule="atLeast"/>
              <w:jc w:val="center"/>
              <w:rPr>
                <w:rFonts w:ascii="仿宋" w:eastAsia="仿宋" w:cs="仿宋"/>
                <w:color w:val="auto"/>
                <w:sz w:val="24"/>
                <w:szCs w:val="24"/>
              </w:rPr>
            </w:pPr>
            <w:r>
              <w:rPr>
                <w:rFonts w:hint="eastAsia" w:ascii="仿宋" w:eastAsia="仿宋" w:cs="仿宋"/>
                <w:color w:val="auto"/>
                <w:sz w:val="24"/>
                <w:szCs w:val="24"/>
                <w:lang w:eastAsia="zh-TW"/>
              </w:rPr>
              <w:t>(</w:t>
            </w:r>
            <w:r>
              <w:rPr>
                <w:rFonts w:hint="eastAsia" w:ascii="仿宋" w:eastAsia="仿宋" w:cs="仿宋"/>
                <w:color w:val="auto"/>
                <w:sz w:val="24"/>
                <w:szCs w:val="24"/>
              </w:rPr>
              <w:t>含</w:t>
            </w:r>
            <w:r>
              <w:rPr>
                <w:rFonts w:hint="eastAsia" w:ascii="仿宋" w:eastAsia="仿宋" w:cs="仿宋"/>
                <w:color w:val="auto"/>
                <w:sz w:val="24"/>
                <w:szCs w:val="24"/>
                <w:lang w:eastAsia="zh-TW"/>
              </w:rPr>
              <w:t>性质、地位和任务)</w:t>
            </w:r>
          </w:p>
        </w:tc>
        <w:tc>
          <w:tcPr>
            <w:tcW w:w="7836" w:type="dxa"/>
            <w:gridSpan w:val="13"/>
            <w:tcBorders>
              <w:top w:val="single" w:color="000000" w:sz="4" w:space="0"/>
              <w:left w:val="single" w:color="000000" w:sz="4" w:space="0"/>
              <w:bottom w:val="single" w:color="000000" w:sz="4" w:space="0"/>
              <w:right w:val="single" w:color="000000" w:sz="4" w:space="0"/>
            </w:tcBorders>
            <w:shd w:val="clear" w:color="auto" w:fill="FFFFFF"/>
          </w:tcPr>
          <w:p w14:paraId="616DBEA9">
            <w:pPr>
              <w:ind w:firstLine="480" w:firstLineChars="200"/>
              <w:rPr>
                <w:rFonts w:ascii="仿宋" w:eastAsia="仿宋" w:cs="仿宋"/>
                <w:color w:val="auto"/>
                <w:sz w:val="24"/>
                <w:szCs w:val="24"/>
              </w:rPr>
            </w:pPr>
            <w:r>
              <w:rPr>
                <w:rFonts w:hint="eastAsia" w:ascii="仿宋" w:eastAsia="仿宋" w:cs="仿宋"/>
                <w:color w:val="auto"/>
                <w:sz w:val="24"/>
                <w:szCs w:val="24"/>
              </w:rPr>
              <w:t>通过钢琴课加强学生的钢琴技术基础训练，提高学生的钢琴教学水平，系统地学习钢琴教学法；强调学生较好的掌握钢琴实用技能，既即兴伴奏、正谱伴奏等；将音乐的基本知识和对音乐形象的理解力、表现力以及钢琴弹奏技巧三方面的教学密切地结合起来，使学生获得有关钢琴演奏的基本知识，掌握钢琴中高级弹奏技能，并使其音乐素质得到全面的提高。</w:t>
            </w:r>
          </w:p>
        </w:tc>
      </w:tr>
      <w:tr w14:paraId="14E469E5">
        <w:trPr>
          <w:trHeight w:val="624" w:hRule="atLeast"/>
          <w:jc w:val="center"/>
        </w:trPr>
        <w:tc>
          <w:tcPr>
            <w:tcW w:w="131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977BEA8">
            <w:pPr>
              <w:adjustRightInd w:val="0"/>
              <w:snapToGrid w:val="0"/>
              <w:spacing w:line="240" w:lineRule="atLeast"/>
              <w:jc w:val="center"/>
              <w:rPr>
                <w:rFonts w:ascii="仿宋" w:eastAsia="仿宋" w:cs="仿宋"/>
                <w:color w:val="auto"/>
                <w:sz w:val="24"/>
                <w:szCs w:val="24"/>
              </w:rPr>
            </w:pPr>
            <w:r>
              <w:rPr>
                <w:rFonts w:hint="eastAsia" w:ascii="仿宋" w:eastAsia="仿宋" w:cs="仿宋"/>
                <w:color w:val="auto"/>
                <w:sz w:val="24"/>
                <w:szCs w:val="24"/>
              </w:rPr>
              <w:t>E</w:t>
            </w:r>
          </w:p>
          <w:p w14:paraId="10BFE068">
            <w:pPr>
              <w:adjustRightInd w:val="0"/>
              <w:snapToGrid w:val="0"/>
              <w:spacing w:line="240" w:lineRule="atLeast"/>
              <w:jc w:val="center"/>
              <w:rPr>
                <w:rFonts w:ascii="仿宋" w:eastAsia="仿宋" w:cs="仿宋"/>
                <w:color w:val="auto"/>
                <w:sz w:val="24"/>
                <w:szCs w:val="24"/>
              </w:rPr>
            </w:pPr>
            <w:r>
              <w:rPr>
                <w:rFonts w:hint="eastAsia" w:ascii="仿宋" w:eastAsia="仿宋" w:cs="仿宋"/>
                <w:color w:val="auto"/>
                <w:sz w:val="24"/>
                <w:szCs w:val="24"/>
              </w:rPr>
              <w:t>课程学习目标及其与毕业要求的对应关系</w:t>
            </w:r>
          </w:p>
        </w:tc>
        <w:tc>
          <w:tcPr>
            <w:tcW w:w="7836" w:type="dxa"/>
            <w:gridSpan w:val="13"/>
            <w:tcBorders>
              <w:top w:val="single" w:color="000000" w:sz="4" w:space="0"/>
              <w:left w:val="single" w:color="000000" w:sz="4" w:space="0"/>
              <w:bottom w:val="single" w:color="000000" w:sz="4" w:space="0"/>
              <w:right w:val="single" w:color="000000" w:sz="4" w:space="0"/>
            </w:tcBorders>
            <w:shd w:val="clear" w:color="auto" w:fill="FFFFFF"/>
          </w:tcPr>
          <w:p w14:paraId="51081AAB">
            <w:pPr>
              <w:adjustRightInd w:val="0"/>
              <w:snapToGrid w:val="0"/>
              <w:rPr>
                <w:rFonts w:ascii="仿宋" w:eastAsia="仿宋" w:cs="仿宋"/>
                <w:b/>
                <w:color w:val="auto"/>
                <w:sz w:val="24"/>
                <w:szCs w:val="24"/>
              </w:rPr>
            </w:pPr>
            <w:r>
              <w:rPr>
                <w:rFonts w:hint="eastAsia" w:ascii="仿宋" w:eastAsia="仿宋" w:cs="仿宋"/>
                <w:b/>
                <w:color w:val="auto"/>
                <w:sz w:val="24"/>
                <w:szCs w:val="24"/>
              </w:rPr>
              <w:t>课程目标1:</w:t>
            </w:r>
            <w:r>
              <w:rPr>
                <w:rFonts w:hint="eastAsia" w:ascii="仿宋" w:eastAsia="仿宋" w:cs="仿宋"/>
                <w:b/>
                <w:bCs/>
                <w:color w:val="auto"/>
                <w:sz w:val="24"/>
                <w:szCs w:val="24"/>
              </w:rPr>
              <w:t xml:space="preserve"> </w:t>
            </w:r>
          </w:p>
          <w:p w14:paraId="29EEF8AB">
            <w:pPr>
              <w:adjustRightInd w:val="0"/>
              <w:snapToGrid w:val="0"/>
              <w:rPr>
                <w:rFonts w:ascii="仿宋" w:eastAsia="仿宋" w:cs="仿宋"/>
                <w:color w:val="auto"/>
                <w:sz w:val="24"/>
                <w:szCs w:val="24"/>
              </w:rPr>
            </w:pPr>
            <w:r>
              <w:rPr>
                <w:rFonts w:hint="eastAsia" w:ascii="仿宋" w:eastAsia="仿宋" w:cs="仿宋"/>
                <w:color w:val="auto"/>
                <w:sz w:val="24"/>
                <w:szCs w:val="24"/>
              </w:rPr>
              <w:t xml:space="preserve">    学生能够比较系统地掌握钢琴演奏的实践技能，形成音乐学科基础核心素养。正确表现作品要表达的理念、艺术形象,能综合运用学过的理论、实践知识，分析和解决较复杂的问题。</w:t>
            </w:r>
            <w:r>
              <w:rPr>
                <w:rStyle w:val="361"/>
                <w:rFonts w:hint="eastAsia" w:ascii="仿宋" w:hAnsi="仿宋" w:eastAsia="仿宋" w:cs="仿宋"/>
                <w:color w:val="auto"/>
                <w:sz w:val="24"/>
                <w:szCs w:val="24"/>
              </w:rPr>
              <w:t>课程中应当涉猎一定比例的民族钢琴曲目，以及有思政教育意义的钢琴曲目。通过课程学习，学生能够对于中国钢琴作品的背景有较深入的了解，对于具有良好群众基础的红色钢琴作品、有思政教育意义的中国钢琴作品有系统的认识和诠释能力。</w:t>
            </w:r>
            <w:r>
              <w:rPr>
                <w:rFonts w:hint="eastAsia" w:ascii="仿宋" w:eastAsia="仿宋" w:cs="仿宋"/>
                <w:color w:val="auto"/>
                <w:sz w:val="24"/>
                <w:szCs w:val="24"/>
              </w:rPr>
              <w:t>(支撑毕业要求3.1)</w:t>
            </w:r>
          </w:p>
          <w:p w14:paraId="705CB20B">
            <w:pPr>
              <w:adjustRightInd w:val="0"/>
              <w:snapToGrid w:val="0"/>
              <w:rPr>
                <w:rFonts w:ascii="仿宋" w:eastAsia="仿宋" w:cs="仿宋"/>
                <w:b/>
                <w:color w:val="auto"/>
                <w:sz w:val="24"/>
                <w:szCs w:val="24"/>
              </w:rPr>
            </w:pPr>
            <w:r>
              <w:rPr>
                <w:rFonts w:hint="eastAsia" w:ascii="仿宋" w:eastAsia="仿宋" w:cs="仿宋"/>
                <w:b/>
                <w:color w:val="auto"/>
                <w:sz w:val="24"/>
                <w:szCs w:val="24"/>
              </w:rPr>
              <w:t>课程目标2:</w:t>
            </w:r>
            <w:r>
              <w:rPr>
                <w:rFonts w:hint="eastAsia" w:ascii="仿宋" w:eastAsia="仿宋" w:cs="仿宋"/>
                <w:b/>
                <w:bCs/>
                <w:color w:val="auto"/>
                <w:sz w:val="24"/>
                <w:szCs w:val="24"/>
              </w:rPr>
              <w:t xml:space="preserve"> </w:t>
            </w:r>
          </w:p>
          <w:p w14:paraId="7AE5A46B">
            <w:pPr>
              <w:adjustRightInd w:val="0"/>
              <w:snapToGrid w:val="0"/>
              <w:ind w:firstLine="480" w:firstLineChars="200"/>
              <w:rPr>
                <w:rFonts w:ascii="仿宋" w:eastAsia="仿宋" w:cs="仿宋"/>
                <w:color w:val="auto"/>
                <w:sz w:val="24"/>
                <w:szCs w:val="24"/>
              </w:rPr>
            </w:pPr>
            <w:r>
              <w:rPr>
                <w:rFonts w:hint="eastAsia" w:ascii="仿宋" w:eastAsia="仿宋" w:cs="仿宋"/>
                <w:color w:val="auto"/>
                <w:sz w:val="24"/>
                <w:szCs w:val="24"/>
              </w:rPr>
              <w:t>能够熟悉部分中学课本教学需要的钢琴声部弹奏，通过较高质量的钢琴伴奏，对教学工作起到良好的辅助作用。对于涉及</w:t>
            </w:r>
            <w:r>
              <w:rPr>
                <w:rStyle w:val="361"/>
                <w:rFonts w:hint="eastAsia" w:ascii="仿宋" w:hAnsi="仿宋" w:eastAsia="仿宋" w:cs="仿宋"/>
                <w:color w:val="auto"/>
                <w:sz w:val="24"/>
                <w:szCs w:val="24"/>
              </w:rPr>
              <w:t>红色钢琴作品、有思政教育意义的中国钢琴作品，能够有比较专业的认识水平和分析能力，并且能够比较准确地表现出应有的艺术形象。</w:t>
            </w:r>
            <w:r>
              <w:rPr>
                <w:rFonts w:hint="eastAsia" w:ascii="仿宋" w:eastAsia="仿宋" w:cs="仿宋"/>
                <w:color w:val="auto"/>
                <w:sz w:val="24"/>
                <w:szCs w:val="24"/>
              </w:rPr>
              <w:t>(支撑毕业要求4.1)</w:t>
            </w:r>
          </w:p>
          <w:p w14:paraId="6C9CCA25">
            <w:pPr>
              <w:adjustRightInd w:val="0"/>
              <w:snapToGrid w:val="0"/>
              <w:rPr>
                <w:rFonts w:ascii="仿宋" w:eastAsia="仿宋" w:cs="仿宋"/>
                <w:b/>
                <w:color w:val="auto"/>
                <w:sz w:val="24"/>
                <w:szCs w:val="24"/>
              </w:rPr>
            </w:pPr>
            <w:r>
              <w:rPr>
                <w:rFonts w:hint="eastAsia" w:ascii="仿宋" w:eastAsia="仿宋" w:cs="仿宋"/>
                <w:b/>
                <w:color w:val="auto"/>
                <w:sz w:val="24"/>
                <w:szCs w:val="24"/>
              </w:rPr>
              <w:t>课程目标3:</w:t>
            </w:r>
          </w:p>
          <w:p w14:paraId="2600A393">
            <w:pPr>
              <w:rPr>
                <w:rFonts w:ascii="仿宋" w:eastAsia="仿宋" w:cs="仿宋"/>
                <w:color w:val="auto"/>
                <w:sz w:val="24"/>
                <w:szCs w:val="24"/>
              </w:rPr>
            </w:pPr>
            <w:r>
              <w:rPr>
                <w:rFonts w:hint="eastAsia" w:ascii="仿宋" w:eastAsia="仿宋" w:cs="仿宋"/>
                <w:color w:val="auto"/>
                <w:sz w:val="24"/>
                <w:szCs w:val="24"/>
              </w:rPr>
              <w:t xml:space="preserve">    具备更强的自学能力，能够通过自己的反思，改进提高对于作品的演绎水平。(支撑毕业要求7.1)</w:t>
            </w:r>
          </w:p>
        </w:tc>
      </w:tr>
      <w:tr w14:paraId="2F9B806B">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87B178">
            <w:pPr>
              <w:rPr>
                <w:color w:val="auto"/>
              </w:rPr>
            </w:pPr>
          </w:p>
        </w:tc>
        <w:tc>
          <w:tcPr>
            <w:tcW w:w="11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2FDF3F">
            <w:pPr>
              <w:adjustRightInd w:val="0"/>
              <w:snapToGrid w:val="0"/>
              <w:spacing w:line="240" w:lineRule="atLeast"/>
              <w:jc w:val="center"/>
              <w:rPr>
                <w:rFonts w:ascii="仿宋" w:eastAsia="仿宋" w:cs="仿宋"/>
                <w:color w:val="auto"/>
                <w:kern w:val="2"/>
                <w:sz w:val="24"/>
                <w:szCs w:val="24"/>
              </w:rPr>
            </w:pPr>
            <w:r>
              <w:rPr>
                <w:rFonts w:hint="eastAsia" w:ascii="仿宋" w:eastAsia="仿宋" w:cs="仿宋"/>
                <w:color w:val="auto"/>
                <w:sz w:val="24"/>
                <w:szCs w:val="24"/>
              </w:rPr>
              <w:t>课程目标</w:t>
            </w:r>
          </w:p>
        </w:tc>
        <w:tc>
          <w:tcPr>
            <w:tcW w:w="5323"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7AC081DE">
            <w:pPr>
              <w:adjustRightInd w:val="0"/>
              <w:snapToGrid w:val="0"/>
              <w:spacing w:line="240" w:lineRule="atLeast"/>
              <w:jc w:val="center"/>
              <w:rPr>
                <w:rFonts w:ascii="仿宋" w:eastAsia="仿宋" w:cs="仿宋"/>
                <w:color w:val="auto"/>
                <w:kern w:val="2"/>
                <w:sz w:val="24"/>
                <w:szCs w:val="24"/>
              </w:rPr>
            </w:pPr>
            <w:r>
              <w:rPr>
                <w:rFonts w:hint="eastAsia" w:ascii="仿宋" w:eastAsia="仿宋" w:cs="仿宋"/>
                <w:color w:val="auto"/>
                <w:sz w:val="24"/>
                <w:szCs w:val="24"/>
              </w:rPr>
              <w:t>毕业要求分解指标点</w:t>
            </w:r>
          </w:p>
        </w:tc>
        <w:tc>
          <w:tcPr>
            <w:tcW w:w="1379"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65204FE4">
            <w:pPr>
              <w:adjustRightInd w:val="0"/>
              <w:snapToGrid w:val="0"/>
              <w:spacing w:line="240" w:lineRule="atLeast"/>
              <w:jc w:val="center"/>
              <w:rPr>
                <w:rFonts w:ascii="仿宋" w:eastAsia="仿宋" w:cs="仿宋"/>
                <w:color w:val="auto"/>
                <w:kern w:val="2"/>
                <w:sz w:val="24"/>
                <w:szCs w:val="24"/>
              </w:rPr>
            </w:pPr>
            <w:r>
              <w:rPr>
                <w:rFonts w:hint="eastAsia" w:ascii="仿宋" w:eastAsia="仿宋" w:cs="仿宋"/>
                <w:color w:val="auto"/>
                <w:sz w:val="24"/>
                <w:szCs w:val="24"/>
              </w:rPr>
              <w:t>毕业要求</w:t>
            </w:r>
          </w:p>
        </w:tc>
      </w:tr>
      <w:tr w14:paraId="08EB2306">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04887F">
            <w:pPr>
              <w:rPr>
                <w:color w:val="auto"/>
              </w:rPr>
            </w:pPr>
          </w:p>
        </w:tc>
        <w:tc>
          <w:tcPr>
            <w:tcW w:w="11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EEEEAD">
            <w:pPr>
              <w:adjustRightInd w:val="0"/>
              <w:snapToGrid w:val="0"/>
              <w:jc w:val="center"/>
              <w:rPr>
                <w:rFonts w:ascii="仿宋" w:eastAsia="仿宋" w:cs="仿宋"/>
                <w:color w:val="auto"/>
                <w:sz w:val="24"/>
                <w:szCs w:val="24"/>
              </w:rPr>
            </w:pPr>
            <w:r>
              <w:rPr>
                <w:rFonts w:hint="eastAsia" w:ascii="仿宋" w:eastAsia="仿宋" w:cs="仿宋"/>
                <w:color w:val="auto"/>
                <w:sz w:val="24"/>
                <w:szCs w:val="24"/>
              </w:rPr>
              <w:t>课程目标1</w:t>
            </w:r>
          </w:p>
          <w:p w14:paraId="2470E545">
            <w:pPr>
              <w:adjustRightInd w:val="0"/>
              <w:snapToGrid w:val="0"/>
              <w:jc w:val="center"/>
              <w:rPr>
                <w:rFonts w:ascii="仿宋" w:eastAsia="仿宋" w:cs="仿宋"/>
                <w:color w:val="auto"/>
                <w:sz w:val="24"/>
                <w:szCs w:val="24"/>
              </w:rPr>
            </w:pPr>
          </w:p>
        </w:tc>
        <w:tc>
          <w:tcPr>
            <w:tcW w:w="5323"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25D95289">
            <w:pPr>
              <w:widowControl/>
              <w:adjustRightInd w:val="0"/>
              <w:snapToGrid w:val="0"/>
              <w:rPr>
                <w:rFonts w:ascii="仿宋" w:eastAsia="仿宋" w:cs="仿宋"/>
                <w:color w:val="auto"/>
                <w:sz w:val="24"/>
                <w:szCs w:val="24"/>
              </w:rPr>
            </w:pPr>
            <w:r>
              <w:rPr>
                <w:rFonts w:hint="eastAsia" w:ascii="仿宋" w:eastAsia="仿宋" w:cs="仿宋"/>
                <w:b/>
                <w:color w:val="auto"/>
                <w:sz w:val="24"/>
                <w:szCs w:val="24"/>
              </w:rPr>
              <w:t>3.1</w:t>
            </w:r>
            <w:r>
              <w:rPr>
                <w:rStyle w:val="361"/>
                <w:rFonts w:hint="eastAsia" w:ascii="仿宋" w:hAnsi="仿宋" w:eastAsia="仿宋" w:cs="仿宋"/>
                <w:color w:val="auto"/>
                <w:sz w:val="24"/>
                <w:szCs w:val="24"/>
              </w:rPr>
              <w:t>专业技能</w:t>
            </w:r>
          </w:p>
          <w:p w14:paraId="2A18C5D5">
            <w:pPr>
              <w:widowControl/>
              <w:adjustRightInd w:val="0"/>
              <w:snapToGrid w:val="0"/>
              <w:rPr>
                <w:rFonts w:ascii="仿宋" w:eastAsia="仿宋" w:cs="仿宋"/>
                <w:color w:val="auto"/>
                <w:sz w:val="24"/>
                <w:szCs w:val="24"/>
              </w:rPr>
            </w:pPr>
            <w:r>
              <w:rPr>
                <w:rStyle w:val="361"/>
                <w:rFonts w:hint="eastAsia" w:ascii="仿宋" w:hAnsi="仿宋" w:eastAsia="仿宋" w:cs="仿宋"/>
                <w:color w:val="auto"/>
                <w:sz w:val="24"/>
                <w:szCs w:val="24"/>
              </w:rPr>
              <w:t>掌握音乐学科技法技能多项基本功，掌握音乐学科基础知识、基本理论、体系结构与思想方法，理解音乐学科的核心素养的内涵，形成音乐学科核心素养。</w:t>
            </w:r>
          </w:p>
        </w:tc>
        <w:tc>
          <w:tcPr>
            <w:tcW w:w="1379"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5C63BEA6">
            <w:pPr>
              <w:adjustRightInd w:val="0"/>
              <w:snapToGrid w:val="0"/>
              <w:jc w:val="center"/>
              <w:rPr>
                <w:rFonts w:ascii="仿宋" w:eastAsia="仿宋" w:cs="仿宋"/>
                <w:bCs/>
                <w:color w:val="auto"/>
                <w:sz w:val="24"/>
                <w:szCs w:val="24"/>
              </w:rPr>
            </w:pPr>
            <w:r>
              <w:rPr>
                <w:rFonts w:hint="eastAsia" w:ascii="仿宋" w:eastAsia="仿宋" w:cs="仿宋"/>
                <w:bCs/>
                <w:color w:val="auto"/>
                <w:sz w:val="24"/>
                <w:szCs w:val="24"/>
              </w:rPr>
              <w:t>3.学科素养</w:t>
            </w:r>
          </w:p>
          <w:p w14:paraId="61C65CC9">
            <w:pPr>
              <w:adjustRightInd w:val="0"/>
              <w:snapToGrid w:val="0"/>
              <w:jc w:val="center"/>
              <w:rPr>
                <w:rFonts w:ascii="仿宋" w:eastAsia="仿宋" w:cs="仿宋"/>
                <w:color w:val="auto"/>
                <w:sz w:val="24"/>
                <w:szCs w:val="24"/>
              </w:rPr>
            </w:pPr>
            <w:r>
              <w:rPr>
                <w:rFonts w:hint="eastAsia" w:ascii="仿宋" w:eastAsia="仿宋" w:cs="仿宋"/>
                <w:color w:val="auto"/>
                <w:sz w:val="24"/>
                <w:szCs w:val="24"/>
              </w:rPr>
              <w:t>(H)</w:t>
            </w:r>
          </w:p>
        </w:tc>
      </w:tr>
      <w:tr w14:paraId="0970EA1A">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3E797D">
            <w:pPr>
              <w:rPr>
                <w:color w:val="auto"/>
              </w:rPr>
            </w:pPr>
          </w:p>
        </w:tc>
        <w:tc>
          <w:tcPr>
            <w:tcW w:w="11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F120F2">
            <w:pPr>
              <w:adjustRightInd w:val="0"/>
              <w:snapToGrid w:val="0"/>
              <w:jc w:val="center"/>
              <w:rPr>
                <w:rFonts w:ascii="仿宋" w:eastAsia="仿宋" w:cs="仿宋"/>
                <w:color w:val="auto"/>
                <w:sz w:val="24"/>
                <w:szCs w:val="24"/>
              </w:rPr>
            </w:pPr>
            <w:r>
              <w:rPr>
                <w:rFonts w:hint="eastAsia" w:ascii="仿宋" w:eastAsia="仿宋" w:cs="仿宋"/>
                <w:color w:val="auto"/>
                <w:sz w:val="24"/>
                <w:szCs w:val="24"/>
              </w:rPr>
              <w:t>课程目标2</w:t>
            </w:r>
          </w:p>
          <w:p w14:paraId="25BB4C28">
            <w:pPr>
              <w:adjustRightInd w:val="0"/>
              <w:snapToGrid w:val="0"/>
              <w:jc w:val="center"/>
              <w:rPr>
                <w:rFonts w:ascii="仿宋" w:eastAsia="仿宋" w:cs="仿宋"/>
                <w:color w:val="auto"/>
                <w:sz w:val="24"/>
                <w:szCs w:val="24"/>
              </w:rPr>
            </w:pPr>
          </w:p>
        </w:tc>
        <w:tc>
          <w:tcPr>
            <w:tcW w:w="5323"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6BC94001">
            <w:pPr>
              <w:widowControl/>
              <w:adjustRightInd w:val="0"/>
              <w:snapToGrid w:val="0"/>
              <w:rPr>
                <w:rFonts w:ascii="仿宋" w:eastAsia="仿宋" w:cs="仿宋"/>
                <w:b/>
                <w:color w:val="auto"/>
                <w:sz w:val="24"/>
                <w:szCs w:val="24"/>
              </w:rPr>
            </w:pPr>
            <w:r>
              <w:rPr>
                <w:rFonts w:hint="eastAsia" w:ascii="仿宋" w:eastAsia="仿宋" w:cs="仿宋"/>
                <w:b/>
                <w:color w:val="auto"/>
                <w:sz w:val="24"/>
                <w:szCs w:val="24"/>
              </w:rPr>
              <w:t xml:space="preserve">1.2 立德树人 </w:t>
            </w:r>
          </w:p>
          <w:p w14:paraId="6F0A30AD">
            <w:pPr>
              <w:widowControl/>
              <w:adjustRightInd w:val="0"/>
              <w:snapToGrid w:val="0"/>
              <w:rPr>
                <w:rFonts w:ascii="仿宋_GB2312" w:eastAsia="仿宋_GB2312"/>
                <w:color w:val="auto"/>
                <w:szCs w:val="21"/>
              </w:rPr>
            </w:pPr>
            <w:r>
              <w:rPr>
                <w:rStyle w:val="361"/>
                <w:rFonts w:hint="eastAsia" w:ascii="仿宋" w:hAnsi="仿宋" w:eastAsia="仿宋" w:cs="仿宋"/>
                <w:color w:val="auto"/>
                <w:sz w:val="24"/>
                <w:szCs w:val="24"/>
              </w:rPr>
              <w:t>具有正确的学生观、教师观、教育观、艺术观，形成立德树人的理念，掌握立德树人的途径与方法，能够依据德智体美劳全面发展的教育方针开展教育教学，培育发展学生的核心素养。</w:t>
            </w:r>
          </w:p>
        </w:tc>
        <w:tc>
          <w:tcPr>
            <w:tcW w:w="1379"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0D5FECF0">
            <w:pPr>
              <w:adjustRightInd w:val="0"/>
              <w:snapToGrid w:val="0"/>
              <w:jc w:val="center"/>
              <w:rPr>
                <w:rFonts w:ascii="仿宋" w:eastAsia="仿宋" w:cs="仿宋"/>
                <w:color w:val="auto"/>
                <w:sz w:val="24"/>
                <w:szCs w:val="24"/>
              </w:rPr>
            </w:pPr>
            <w:r>
              <w:rPr>
                <w:rFonts w:hint="eastAsia" w:ascii="仿宋" w:eastAsia="仿宋" w:cs="仿宋"/>
                <w:color w:val="auto"/>
                <w:sz w:val="24"/>
                <w:szCs w:val="24"/>
              </w:rPr>
              <w:t>1.师德规范(H)</w:t>
            </w:r>
          </w:p>
        </w:tc>
      </w:tr>
      <w:tr w14:paraId="44195ABA">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30F49B">
            <w:pPr>
              <w:rPr>
                <w:color w:val="auto"/>
              </w:rPr>
            </w:pPr>
          </w:p>
        </w:tc>
        <w:tc>
          <w:tcPr>
            <w:tcW w:w="11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385D4A">
            <w:pPr>
              <w:adjustRightInd w:val="0"/>
              <w:snapToGrid w:val="0"/>
              <w:jc w:val="center"/>
              <w:rPr>
                <w:rFonts w:ascii="仿宋" w:eastAsia="仿宋" w:cs="仿宋"/>
                <w:color w:val="auto"/>
                <w:sz w:val="24"/>
                <w:szCs w:val="24"/>
              </w:rPr>
            </w:pPr>
            <w:r>
              <w:rPr>
                <w:rFonts w:hint="eastAsia" w:ascii="仿宋" w:eastAsia="仿宋" w:cs="仿宋"/>
                <w:color w:val="auto"/>
                <w:sz w:val="24"/>
                <w:szCs w:val="24"/>
              </w:rPr>
              <w:t>课程目标3</w:t>
            </w:r>
          </w:p>
          <w:p w14:paraId="2F6546FB">
            <w:pPr>
              <w:adjustRightInd w:val="0"/>
              <w:snapToGrid w:val="0"/>
              <w:jc w:val="center"/>
              <w:rPr>
                <w:rFonts w:ascii="仿宋" w:eastAsia="仿宋" w:cs="仿宋"/>
                <w:color w:val="auto"/>
                <w:sz w:val="24"/>
                <w:szCs w:val="24"/>
              </w:rPr>
            </w:pPr>
          </w:p>
        </w:tc>
        <w:tc>
          <w:tcPr>
            <w:tcW w:w="5323"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16D627C5">
            <w:pPr>
              <w:adjustRightInd w:val="0"/>
              <w:snapToGrid w:val="0"/>
              <w:rPr>
                <w:rFonts w:ascii="仿宋" w:eastAsia="仿宋" w:cs="仿宋"/>
                <w:b/>
                <w:color w:val="auto"/>
                <w:sz w:val="24"/>
                <w:szCs w:val="24"/>
              </w:rPr>
            </w:pPr>
            <w:r>
              <w:rPr>
                <w:rFonts w:hint="eastAsia" w:ascii="仿宋" w:eastAsia="仿宋" w:cs="仿宋"/>
                <w:b/>
                <w:color w:val="auto"/>
                <w:sz w:val="24"/>
                <w:szCs w:val="24"/>
              </w:rPr>
              <w:t xml:space="preserve">2.2 用心从教 </w:t>
            </w:r>
          </w:p>
          <w:p w14:paraId="3822C03C">
            <w:pPr>
              <w:adjustRightInd w:val="0"/>
              <w:snapToGrid w:val="0"/>
              <w:rPr>
                <w:rFonts w:ascii="仿宋_GB2312" w:eastAsia="仿宋_GB2312"/>
                <w:color w:val="auto"/>
                <w:szCs w:val="21"/>
              </w:rPr>
            </w:pPr>
            <w:r>
              <w:rPr>
                <w:rStyle w:val="361"/>
                <w:rFonts w:hint="eastAsia" w:ascii="仿宋" w:hAnsi="仿宋" w:eastAsia="仿宋" w:cs="仿宋"/>
                <w:color w:val="auto"/>
                <w:sz w:val="24"/>
                <w:szCs w:val="24"/>
              </w:rPr>
              <w:t>树立爱岗敬业精神，了解学生的身心发展特点和音乐的认知规律，关爱学生成长，保护学生安全，促进学生身心健康发展。在教育实践中能够认真履行工作职责、富有爱心、责任心，建立合理师生关系。</w:t>
            </w:r>
          </w:p>
        </w:tc>
        <w:tc>
          <w:tcPr>
            <w:tcW w:w="1379"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284DDAED">
            <w:pPr>
              <w:adjustRightInd w:val="0"/>
              <w:snapToGrid w:val="0"/>
              <w:jc w:val="center"/>
              <w:rPr>
                <w:rFonts w:ascii="仿宋" w:eastAsia="仿宋" w:cs="仿宋"/>
                <w:color w:val="auto"/>
                <w:sz w:val="24"/>
                <w:szCs w:val="24"/>
              </w:rPr>
            </w:pPr>
            <w:r>
              <w:rPr>
                <w:rFonts w:hint="eastAsia" w:ascii="仿宋" w:eastAsia="仿宋" w:cs="仿宋"/>
                <w:color w:val="auto"/>
                <w:sz w:val="24"/>
                <w:szCs w:val="24"/>
              </w:rPr>
              <w:t>2.教育情怀</w:t>
            </w:r>
            <w:r>
              <w:rPr>
                <w:rFonts w:hint="eastAsia" w:ascii="仿宋" w:eastAsia="仿宋" w:cs="仿宋"/>
                <w:bCs/>
                <w:color w:val="auto"/>
                <w:sz w:val="24"/>
                <w:szCs w:val="24"/>
              </w:rPr>
              <w:t>（L）</w:t>
            </w:r>
          </w:p>
        </w:tc>
      </w:tr>
      <w:tr w14:paraId="2B2A3727">
        <w:trPr>
          <w:trHeight w:val="624" w:hRule="atLeast"/>
          <w:jc w:val="center"/>
        </w:trPr>
        <w:tc>
          <w:tcPr>
            <w:tcW w:w="131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573945F">
            <w:pPr>
              <w:adjustRightInd w:val="0"/>
              <w:snapToGrid w:val="0"/>
              <w:spacing w:line="240" w:lineRule="atLeast"/>
              <w:jc w:val="center"/>
              <w:rPr>
                <w:rFonts w:ascii="仿宋" w:eastAsia="仿宋" w:cs="仿宋"/>
                <w:color w:val="auto"/>
                <w:sz w:val="24"/>
                <w:szCs w:val="24"/>
              </w:rPr>
            </w:pPr>
            <w:r>
              <w:rPr>
                <w:rFonts w:hint="eastAsia" w:ascii="仿宋" w:eastAsia="仿宋" w:cs="仿宋"/>
                <w:color w:val="auto"/>
                <w:sz w:val="24"/>
                <w:szCs w:val="24"/>
              </w:rPr>
              <w:t>F</w:t>
            </w:r>
          </w:p>
          <w:p w14:paraId="01354FAA">
            <w:pPr>
              <w:adjustRightInd w:val="0"/>
              <w:snapToGrid w:val="0"/>
              <w:spacing w:line="240" w:lineRule="atLeast"/>
              <w:jc w:val="center"/>
              <w:rPr>
                <w:rFonts w:ascii="仿宋" w:eastAsia="仿宋" w:cs="仿宋"/>
                <w:color w:val="auto"/>
                <w:sz w:val="24"/>
                <w:szCs w:val="24"/>
              </w:rPr>
            </w:pPr>
            <w:r>
              <w:rPr>
                <w:rFonts w:hint="eastAsia" w:ascii="仿宋" w:eastAsia="仿宋" w:cs="仿宋"/>
                <w:color w:val="auto"/>
                <w:sz w:val="24"/>
                <w:szCs w:val="24"/>
              </w:rPr>
              <w:t>理论学习内容</w:t>
            </w:r>
          </w:p>
        </w:tc>
        <w:tc>
          <w:tcPr>
            <w:tcW w:w="6457"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3F824832">
            <w:pPr>
              <w:adjustRightInd w:val="0"/>
              <w:snapToGrid w:val="0"/>
              <w:spacing w:line="240" w:lineRule="atLeast"/>
              <w:jc w:val="center"/>
              <w:textAlignment w:val="baseline"/>
              <w:rPr>
                <w:rFonts w:ascii="仿宋" w:eastAsia="仿宋" w:cs="仿宋"/>
                <w:color w:val="auto"/>
                <w:sz w:val="24"/>
                <w:szCs w:val="24"/>
              </w:rPr>
            </w:pPr>
            <w:r>
              <w:rPr>
                <w:rFonts w:hint="eastAsia" w:ascii="仿宋" w:eastAsia="仿宋" w:cs="仿宋"/>
                <w:color w:val="auto"/>
                <w:sz w:val="24"/>
                <w:szCs w:val="24"/>
              </w:rPr>
              <w:t>章节学习内容与学习要求</w:t>
            </w:r>
          </w:p>
        </w:tc>
        <w:tc>
          <w:tcPr>
            <w:tcW w:w="76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CA73D31">
            <w:pPr>
              <w:adjustRightInd w:val="0"/>
              <w:snapToGrid w:val="0"/>
              <w:spacing w:line="240" w:lineRule="atLeast"/>
              <w:jc w:val="center"/>
              <w:textAlignment w:val="baseline"/>
              <w:rPr>
                <w:rFonts w:ascii="仿宋" w:eastAsia="仿宋" w:cs="仿宋"/>
                <w:color w:val="auto"/>
                <w:sz w:val="24"/>
                <w:szCs w:val="24"/>
              </w:rPr>
            </w:pPr>
            <w:r>
              <w:rPr>
                <w:rFonts w:hint="eastAsia" w:ascii="仿宋" w:eastAsia="仿宋" w:cs="仿宋"/>
                <w:color w:val="auto"/>
                <w:sz w:val="24"/>
                <w:szCs w:val="24"/>
              </w:rPr>
              <w:t>支撑课程</w:t>
            </w:r>
          </w:p>
          <w:p w14:paraId="15801BC4">
            <w:pPr>
              <w:adjustRightInd w:val="0"/>
              <w:snapToGrid w:val="0"/>
              <w:spacing w:line="240" w:lineRule="atLeast"/>
              <w:jc w:val="center"/>
              <w:textAlignment w:val="baseline"/>
              <w:rPr>
                <w:rFonts w:ascii="仿宋" w:eastAsia="仿宋" w:cs="仿宋"/>
                <w:color w:val="auto"/>
                <w:sz w:val="24"/>
                <w:szCs w:val="24"/>
              </w:rPr>
            </w:pPr>
            <w:r>
              <w:rPr>
                <w:rFonts w:hint="eastAsia" w:ascii="仿宋" w:eastAsia="仿宋" w:cs="仿宋"/>
                <w:color w:val="auto"/>
                <w:sz w:val="24"/>
                <w:szCs w:val="24"/>
              </w:rPr>
              <w:t>目标</w:t>
            </w:r>
          </w:p>
        </w:tc>
        <w:tc>
          <w:tcPr>
            <w:tcW w:w="61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3F9073D">
            <w:pPr>
              <w:adjustRightInd w:val="0"/>
              <w:snapToGrid w:val="0"/>
              <w:spacing w:line="240" w:lineRule="atLeast"/>
              <w:jc w:val="center"/>
              <w:textAlignment w:val="baseline"/>
              <w:rPr>
                <w:rFonts w:ascii="仿宋" w:eastAsia="仿宋" w:cs="仿宋"/>
                <w:color w:val="auto"/>
                <w:sz w:val="24"/>
                <w:szCs w:val="24"/>
              </w:rPr>
            </w:pPr>
            <w:r>
              <w:rPr>
                <w:rFonts w:hint="eastAsia" w:ascii="仿宋" w:eastAsia="仿宋" w:cs="仿宋"/>
                <w:color w:val="auto"/>
                <w:sz w:val="24"/>
                <w:szCs w:val="24"/>
              </w:rPr>
              <w:t>学时</w:t>
            </w:r>
          </w:p>
          <w:p w14:paraId="4291FD4F">
            <w:pPr>
              <w:adjustRightInd w:val="0"/>
              <w:snapToGrid w:val="0"/>
              <w:spacing w:line="240" w:lineRule="atLeast"/>
              <w:jc w:val="center"/>
              <w:textAlignment w:val="baseline"/>
              <w:rPr>
                <w:rFonts w:ascii="仿宋" w:eastAsia="仿宋" w:cs="仿宋"/>
                <w:color w:val="auto"/>
                <w:sz w:val="24"/>
                <w:szCs w:val="24"/>
              </w:rPr>
            </w:pPr>
            <w:r>
              <w:rPr>
                <w:rFonts w:hint="eastAsia" w:ascii="仿宋" w:eastAsia="仿宋" w:cs="仿宋"/>
                <w:color w:val="auto"/>
                <w:sz w:val="24"/>
                <w:szCs w:val="24"/>
              </w:rPr>
              <w:t>分配</w:t>
            </w:r>
          </w:p>
        </w:tc>
      </w:tr>
      <w:tr w14:paraId="4079199E">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F38167">
            <w:pPr>
              <w:rPr>
                <w:rFonts w:ascii="仿宋" w:eastAsia="仿宋" w:cs="仿宋"/>
                <w:color w:val="auto"/>
                <w:sz w:val="24"/>
                <w:szCs w:val="24"/>
              </w:rPr>
            </w:pPr>
          </w:p>
        </w:tc>
        <w:tc>
          <w:tcPr>
            <w:tcW w:w="6457" w:type="dxa"/>
            <w:gridSpan w:val="9"/>
            <w:tcBorders>
              <w:top w:val="single" w:color="000000" w:sz="4" w:space="0"/>
              <w:left w:val="single" w:color="000000" w:sz="4" w:space="0"/>
              <w:bottom w:val="single" w:color="auto" w:sz="4" w:space="0"/>
              <w:right w:val="single" w:color="000000" w:sz="4" w:space="0"/>
            </w:tcBorders>
            <w:shd w:val="clear" w:color="auto" w:fill="auto"/>
            <w:vAlign w:val="center"/>
          </w:tcPr>
          <w:p w14:paraId="76763CD6">
            <w:pPr>
              <w:widowControl/>
              <w:adjustRightInd w:val="0"/>
              <w:snapToGrid w:val="0"/>
              <w:rPr>
                <w:rFonts w:ascii="仿宋" w:eastAsia="仿宋" w:cs="仿宋"/>
                <w:color w:val="auto"/>
                <w:sz w:val="24"/>
                <w:szCs w:val="24"/>
              </w:rPr>
            </w:pPr>
          </w:p>
        </w:tc>
        <w:tc>
          <w:tcPr>
            <w:tcW w:w="765" w:type="dxa"/>
            <w:gridSpan w:val="2"/>
            <w:tcBorders>
              <w:top w:val="single" w:color="000000" w:sz="4" w:space="0"/>
              <w:left w:val="single" w:color="000000" w:sz="4" w:space="0"/>
              <w:bottom w:val="single" w:color="auto" w:sz="4" w:space="0"/>
              <w:right w:val="single" w:color="000000" w:sz="4" w:space="0"/>
            </w:tcBorders>
            <w:shd w:val="clear" w:color="auto" w:fill="auto"/>
            <w:vAlign w:val="center"/>
          </w:tcPr>
          <w:p w14:paraId="4946350B">
            <w:pPr>
              <w:widowControl/>
              <w:adjustRightInd w:val="0"/>
              <w:snapToGrid w:val="0"/>
              <w:jc w:val="center"/>
              <w:rPr>
                <w:rFonts w:ascii="仿宋" w:hAnsi="仿宋" w:eastAsia="仿宋" w:cs="仿宋"/>
                <w:bCs/>
                <w:color w:val="auto"/>
                <w:sz w:val="24"/>
                <w:szCs w:val="24"/>
              </w:rPr>
            </w:pPr>
          </w:p>
        </w:tc>
        <w:tc>
          <w:tcPr>
            <w:tcW w:w="614" w:type="dxa"/>
            <w:gridSpan w:val="2"/>
            <w:tcBorders>
              <w:top w:val="single" w:color="000000" w:sz="4" w:space="0"/>
              <w:left w:val="single" w:color="000000" w:sz="4" w:space="0"/>
              <w:bottom w:val="single" w:color="auto" w:sz="4" w:space="0"/>
              <w:right w:val="single" w:color="000000" w:sz="4" w:space="0"/>
            </w:tcBorders>
            <w:shd w:val="clear" w:color="auto" w:fill="FFFFFF"/>
            <w:vAlign w:val="center"/>
          </w:tcPr>
          <w:p w14:paraId="609B93CF">
            <w:pPr>
              <w:adjustRightInd w:val="0"/>
              <w:snapToGrid w:val="0"/>
              <w:jc w:val="center"/>
              <w:rPr>
                <w:rFonts w:ascii="仿宋" w:hAnsi="仿宋" w:eastAsia="仿宋" w:cs="仿宋"/>
                <w:color w:val="auto"/>
                <w:sz w:val="24"/>
                <w:szCs w:val="24"/>
              </w:rPr>
            </w:pPr>
          </w:p>
        </w:tc>
      </w:tr>
      <w:tr w14:paraId="5D79D8AB">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476FA1">
            <w:pPr>
              <w:rPr>
                <w:color w:val="auto"/>
              </w:rPr>
            </w:pPr>
          </w:p>
        </w:tc>
        <w:tc>
          <w:tcPr>
            <w:tcW w:w="6457" w:type="dxa"/>
            <w:gridSpan w:val="9"/>
            <w:tcBorders>
              <w:top w:val="single" w:color="auto" w:sz="4" w:space="0"/>
              <w:left w:val="single" w:color="000000" w:sz="4" w:space="0"/>
              <w:bottom w:val="single" w:color="auto" w:sz="4" w:space="0"/>
              <w:right w:val="single" w:color="000000" w:sz="4" w:space="0"/>
            </w:tcBorders>
            <w:shd w:val="clear" w:color="auto" w:fill="auto"/>
            <w:vAlign w:val="center"/>
          </w:tcPr>
          <w:p w14:paraId="10D825D3">
            <w:pPr>
              <w:adjustRightInd w:val="0"/>
              <w:snapToGrid w:val="0"/>
              <w:rPr>
                <w:rFonts w:ascii="仿宋" w:eastAsia="仿宋" w:cs="仿宋"/>
                <w:color w:val="auto"/>
                <w:sz w:val="24"/>
                <w:szCs w:val="24"/>
              </w:rPr>
            </w:pPr>
          </w:p>
        </w:tc>
        <w:tc>
          <w:tcPr>
            <w:tcW w:w="765" w:type="dxa"/>
            <w:gridSpan w:val="2"/>
            <w:tcBorders>
              <w:top w:val="single" w:color="auto" w:sz="4" w:space="0"/>
              <w:left w:val="single" w:color="000000" w:sz="4" w:space="0"/>
              <w:bottom w:val="single" w:color="auto" w:sz="4" w:space="0"/>
              <w:right w:val="single" w:color="000000" w:sz="4" w:space="0"/>
            </w:tcBorders>
            <w:shd w:val="clear" w:color="auto" w:fill="auto"/>
            <w:vAlign w:val="center"/>
          </w:tcPr>
          <w:p w14:paraId="34FA26B6">
            <w:pPr>
              <w:adjustRightInd w:val="0"/>
              <w:snapToGrid w:val="0"/>
              <w:jc w:val="center"/>
              <w:rPr>
                <w:rFonts w:ascii="仿宋" w:hAnsi="仿宋" w:eastAsia="仿宋" w:cs="仿宋"/>
                <w:bCs/>
                <w:color w:val="auto"/>
                <w:sz w:val="24"/>
                <w:szCs w:val="24"/>
              </w:rPr>
            </w:pPr>
          </w:p>
        </w:tc>
        <w:tc>
          <w:tcPr>
            <w:tcW w:w="614" w:type="dxa"/>
            <w:gridSpan w:val="2"/>
            <w:tcBorders>
              <w:top w:val="single" w:color="auto" w:sz="4" w:space="0"/>
              <w:left w:val="single" w:color="000000" w:sz="4" w:space="0"/>
              <w:bottom w:val="single" w:color="auto" w:sz="4" w:space="0"/>
              <w:right w:val="single" w:color="000000" w:sz="4" w:space="0"/>
            </w:tcBorders>
            <w:shd w:val="clear" w:color="auto" w:fill="FFFFFF"/>
            <w:vAlign w:val="center"/>
          </w:tcPr>
          <w:p w14:paraId="7BD37037">
            <w:pPr>
              <w:adjustRightInd w:val="0"/>
              <w:snapToGrid w:val="0"/>
              <w:jc w:val="center"/>
              <w:rPr>
                <w:rFonts w:ascii="仿宋" w:hAnsi="仿宋" w:eastAsia="仿宋" w:cs="仿宋"/>
                <w:color w:val="auto"/>
                <w:sz w:val="24"/>
                <w:szCs w:val="24"/>
              </w:rPr>
            </w:pPr>
          </w:p>
        </w:tc>
      </w:tr>
      <w:tr w14:paraId="5FA20251">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868A02">
            <w:pPr>
              <w:rPr>
                <w:color w:val="auto"/>
              </w:rPr>
            </w:pPr>
          </w:p>
        </w:tc>
        <w:tc>
          <w:tcPr>
            <w:tcW w:w="7222" w:type="dxa"/>
            <w:gridSpan w:val="11"/>
            <w:tcBorders>
              <w:top w:val="single" w:color="auto" w:sz="4" w:space="0"/>
              <w:left w:val="single" w:color="000000" w:sz="4" w:space="0"/>
              <w:bottom w:val="single" w:color="auto" w:sz="4" w:space="0"/>
              <w:right w:val="single" w:color="000000" w:sz="4" w:space="0"/>
            </w:tcBorders>
            <w:shd w:val="clear" w:color="auto" w:fill="auto"/>
            <w:vAlign w:val="center"/>
          </w:tcPr>
          <w:p w14:paraId="52EBB549">
            <w:pPr>
              <w:adjustRightInd w:val="0"/>
              <w:snapToGrid w:val="0"/>
              <w:jc w:val="center"/>
              <w:rPr>
                <w:rFonts w:ascii="仿宋" w:eastAsia="仿宋" w:cs="仿宋"/>
                <w:color w:val="auto"/>
                <w:sz w:val="24"/>
                <w:szCs w:val="24"/>
              </w:rPr>
            </w:pPr>
            <w:r>
              <w:rPr>
                <w:rFonts w:hint="eastAsia" w:ascii="仿宋" w:eastAsia="仿宋" w:cs="仿宋"/>
                <w:bCs/>
                <w:color w:val="auto"/>
                <w:sz w:val="24"/>
                <w:szCs w:val="24"/>
              </w:rPr>
              <w:t>合计</w:t>
            </w:r>
          </w:p>
        </w:tc>
        <w:tc>
          <w:tcPr>
            <w:tcW w:w="614" w:type="dxa"/>
            <w:gridSpan w:val="2"/>
            <w:tcBorders>
              <w:top w:val="single" w:color="auto" w:sz="4" w:space="0"/>
              <w:left w:val="single" w:color="000000" w:sz="4" w:space="0"/>
              <w:bottom w:val="single" w:color="auto" w:sz="4" w:space="0"/>
              <w:right w:val="single" w:color="000000" w:sz="4" w:space="0"/>
            </w:tcBorders>
            <w:shd w:val="clear" w:color="auto" w:fill="auto"/>
            <w:vAlign w:val="center"/>
          </w:tcPr>
          <w:p w14:paraId="7CD2A8F1">
            <w:pPr>
              <w:adjustRightInd w:val="0"/>
              <w:snapToGrid w:val="0"/>
              <w:jc w:val="center"/>
              <w:rPr>
                <w:rFonts w:ascii="仿宋" w:hAnsi="仿宋" w:eastAsia="仿宋" w:cs="仿宋"/>
                <w:color w:val="auto"/>
                <w:sz w:val="24"/>
                <w:szCs w:val="24"/>
              </w:rPr>
            </w:pPr>
          </w:p>
        </w:tc>
      </w:tr>
      <w:tr w14:paraId="56D8DAF3">
        <w:trPr>
          <w:trHeight w:val="624" w:hRule="atLeast"/>
          <w:jc w:val="center"/>
        </w:trPr>
        <w:tc>
          <w:tcPr>
            <w:tcW w:w="131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47318AE">
            <w:pPr>
              <w:adjustRightInd w:val="0"/>
              <w:snapToGrid w:val="0"/>
              <w:spacing w:line="240" w:lineRule="atLeast"/>
              <w:jc w:val="center"/>
              <w:rPr>
                <w:rFonts w:ascii="仿宋" w:eastAsia="仿宋" w:cs="仿宋"/>
                <w:color w:val="auto"/>
                <w:sz w:val="24"/>
                <w:szCs w:val="24"/>
              </w:rPr>
            </w:pPr>
            <w:r>
              <w:rPr>
                <w:rFonts w:hint="eastAsia" w:ascii="仿宋" w:eastAsia="仿宋" w:cs="仿宋"/>
                <w:color w:val="auto"/>
                <w:sz w:val="24"/>
                <w:szCs w:val="24"/>
              </w:rPr>
              <w:t>G</w:t>
            </w:r>
          </w:p>
          <w:p w14:paraId="4CD4AEB0">
            <w:pPr>
              <w:adjustRightInd w:val="0"/>
              <w:snapToGrid w:val="0"/>
              <w:spacing w:line="240" w:lineRule="atLeast"/>
              <w:jc w:val="center"/>
              <w:rPr>
                <w:rFonts w:ascii="仿宋" w:hAnsi="仿宋" w:eastAsia="仿宋" w:cs="仿宋"/>
                <w:color w:val="auto"/>
                <w:sz w:val="24"/>
                <w:szCs w:val="24"/>
              </w:rPr>
            </w:pPr>
            <w:r>
              <w:rPr>
                <w:rFonts w:hint="eastAsia" w:ascii="仿宋" w:hAnsi="仿宋" w:eastAsia="仿宋" w:cs="仿宋"/>
                <w:color w:val="auto"/>
                <w:sz w:val="24"/>
                <w:szCs w:val="24"/>
              </w:rPr>
              <w:t>技能(实训)</w:t>
            </w:r>
          </w:p>
          <w:p w14:paraId="1DE88B93">
            <w:pPr>
              <w:adjustRightInd w:val="0"/>
              <w:snapToGrid w:val="0"/>
              <w:spacing w:line="240" w:lineRule="atLeast"/>
              <w:jc w:val="center"/>
              <w:rPr>
                <w:color w:val="auto"/>
              </w:rPr>
            </w:pPr>
            <w:r>
              <w:rPr>
                <w:rFonts w:hint="eastAsia" w:ascii="仿宋" w:hAnsi="仿宋" w:eastAsia="仿宋" w:cs="仿宋"/>
                <w:color w:val="auto"/>
                <w:sz w:val="24"/>
                <w:szCs w:val="24"/>
              </w:rPr>
              <w:t>内容</w:t>
            </w:r>
          </w:p>
        </w:tc>
        <w:tc>
          <w:tcPr>
            <w:tcW w:w="6457" w:type="dxa"/>
            <w:gridSpan w:val="9"/>
            <w:tcBorders>
              <w:top w:val="single" w:color="auto" w:sz="4" w:space="0"/>
              <w:left w:val="single" w:color="000000" w:sz="4" w:space="0"/>
              <w:bottom w:val="single" w:color="000000" w:sz="4" w:space="0"/>
              <w:right w:val="single" w:color="000000" w:sz="4" w:space="0"/>
            </w:tcBorders>
            <w:shd w:val="clear" w:color="auto" w:fill="auto"/>
            <w:vAlign w:val="center"/>
          </w:tcPr>
          <w:p w14:paraId="7640D9AF">
            <w:pPr>
              <w:adjustRightInd w:val="0"/>
              <w:snapToGrid w:val="0"/>
              <w:spacing w:line="240" w:lineRule="atLeast"/>
              <w:jc w:val="center"/>
              <w:textAlignment w:val="baseline"/>
              <w:rPr>
                <w:rFonts w:ascii="仿宋" w:eastAsia="仿宋" w:cs="仿宋"/>
                <w:color w:val="auto"/>
                <w:sz w:val="24"/>
                <w:szCs w:val="24"/>
              </w:rPr>
            </w:pPr>
            <w:r>
              <w:rPr>
                <w:rFonts w:hint="eastAsia" w:ascii="仿宋" w:hAnsi="仿宋" w:eastAsia="仿宋" w:cs="仿宋"/>
                <w:color w:val="auto"/>
                <w:sz w:val="24"/>
                <w:szCs w:val="24"/>
              </w:rPr>
              <w:t>实训目的及任务</w:t>
            </w:r>
          </w:p>
        </w:tc>
        <w:tc>
          <w:tcPr>
            <w:tcW w:w="765" w:type="dxa"/>
            <w:gridSpan w:val="2"/>
            <w:tcBorders>
              <w:top w:val="single" w:color="auto" w:sz="4" w:space="0"/>
              <w:left w:val="single" w:color="000000" w:sz="4" w:space="0"/>
              <w:bottom w:val="single" w:color="000000" w:sz="4" w:space="0"/>
              <w:right w:val="single" w:color="000000" w:sz="4" w:space="0"/>
            </w:tcBorders>
            <w:shd w:val="clear" w:color="auto" w:fill="auto"/>
            <w:vAlign w:val="center"/>
          </w:tcPr>
          <w:p w14:paraId="29025754">
            <w:pPr>
              <w:adjustRightInd w:val="0"/>
              <w:snapToGrid w:val="0"/>
              <w:spacing w:line="240" w:lineRule="atLeast"/>
              <w:jc w:val="center"/>
              <w:textAlignment w:val="baseline"/>
              <w:rPr>
                <w:rFonts w:ascii="仿宋" w:eastAsia="仿宋" w:cs="仿宋"/>
                <w:color w:val="auto"/>
                <w:sz w:val="24"/>
                <w:szCs w:val="24"/>
              </w:rPr>
            </w:pPr>
            <w:r>
              <w:rPr>
                <w:rFonts w:hint="eastAsia" w:ascii="仿宋" w:eastAsia="仿宋" w:cs="仿宋"/>
                <w:color w:val="auto"/>
                <w:sz w:val="24"/>
                <w:szCs w:val="24"/>
              </w:rPr>
              <w:t>支撑课程</w:t>
            </w:r>
          </w:p>
          <w:p w14:paraId="4FA00ADF">
            <w:pPr>
              <w:adjustRightInd w:val="0"/>
              <w:snapToGrid w:val="0"/>
              <w:spacing w:line="240" w:lineRule="atLeast"/>
              <w:jc w:val="center"/>
              <w:textAlignment w:val="baseline"/>
              <w:rPr>
                <w:rFonts w:ascii="仿宋" w:hAnsi="仿宋" w:eastAsia="仿宋" w:cs="仿宋"/>
                <w:bCs/>
                <w:color w:val="auto"/>
                <w:sz w:val="24"/>
                <w:szCs w:val="24"/>
              </w:rPr>
            </w:pPr>
            <w:r>
              <w:rPr>
                <w:rFonts w:hint="eastAsia" w:ascii="仿宋" w:eastAsia="仿宋" w:cs="仿宋"/>
                <w:color w:val="auto"/>
                <w:sz w:val="24"/>
                <w:szCs w:val="24"/>
              </w:rPr>
              <w:t>目标</w:t>
            </w:r>
          </w:p>
        </w:tc>
        <w:tc>
          <w:tcPr>
            <w:tcW w:w="614" w:type="dxa"/>
            <w:gridSpan w:val="2"/>
            <w:tcBorders>
              <w:top w:val="single" w:color="auto" w:sz="4" w:space="0"/>
              <w:left w:val="single" w:color="000000" w:sz="4" w:space="0"/>
              <w:bottom w:val="single" w:color="000000" w:sz="4" w:space="0"/>
              <w:right w:val="single" w:color="000000" w:sz="4" w:space="0"/>
            </w:tcBorders>
            <w:shd w:val="clear" w:color="auto" w:fill="FFFFFF"/>
            <w:vAlign w:val="center"/>
          </w:tcPr>
          <w:p w14:paraId="08A2CD84">
            <w:pPr>
              <w:adjustRightInd w:val="0"/>
              <w:snapToGrid w:val="0"/>
              <w:jc w:val="center"/>
              <w:rPr>
                <w:rFonts w:ascii="仿宋" w:eastAsia="仿宋" w:cs="仿宋"/>
                <w:color w:val="auto"/>
                <w:sz w:val="24"/>
                <w:szCs w:val="24"/>
              </w:rPr>
            </w:pPr>
            <w:r>
              <w:rPr>
                <w:rFonts w:hint="eastAsia" w:ascii="仿宋" w:eastAsia="仿宋" w:cs="仿宋"/>
                <w:color w:val="auto"/>
                <w:sz w:val="24"/>
                <w:szCs w:val="24"/>
              </w:rPr>
              <w:t xml:space="preserve">学时 </w:t>
            </w:r>
          </w:p>
          <w:p w14:paraId="7E3DA7B4">
            <w:pPr>
              <w:adjustRightInd w:val="0"/>
              <w:snapToGrid w:val="0"/>
              <w:jc w:val="center"/>
              <w:rPr>
                <w:rFonts w:ascii="仿宋" w:hAnsi="仿宋" w:eastAsia="仿宋" w:cs="仿宋"/>
                <w:color w:val="auto"/>
                <w:sz w:val="24"/>
                <w:szCs w:val="24"/>
              </w:rPr>
            </w:pPr>
            <w:r>
              <w:rPr>
                <w:rFonts w:hint="eastAsia" w:ascii="仿宋" w:eastAsia="仿宋" w:cs="仿宋"/>
                <w:color w:val="auto"/>
                <w:sz w:val="24"/>
                <w:szCs w:val="24"/>
              </w:rPr>
              <w:t>分配</w:t>
            </w:r>
          </w:p>
        </w:tc>
      </w:tr>
      <w:tr w14:paraId="12785766">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7C4606">
            <w:pPr>
              <w:rPr>
                <w:color w:val="auto"/>
              </w:rPr>
            </w:pPr>
          </w:p>
        </w:tc>
        <w:tc>
          <w:tcPr>
            <w:tcW w:w="645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0E589EB">
            <w:pPr>
              <w:adjustRightInd w:val="0"/>
              <w:snapToGrid w:val="0"/>
              <w:rPr>
                <w:rFonts w:ascii="仿宋" w:eastAsia="仿宋" w:cs="仿宋"/>
                <w:b/>
                <w:bCs/>
                <w:color w:val="auto"/>
                <w:sz w:val="24"/>
                <w:szCs w:val="24"/>
              </w:rPr>
            </w:pPr>
            <w:r>
              <w:rPr>
                <w:rFonts w:hint="eastAsia" w:ascii="仿宋" w:eastAsia="仿宋" w:cs="仿宋"/>
                <w:b/>
                <w:bCs/>
                <w:color w:val="auto"/>
                <w:sz w:val="24"/>
                <w:szCs w:val="24"/>
              </w:rPr>
              <w:t>第三年第五学期</w:t>
            </w:r>
          </w:p>
          <w:p w14:paraId="44919A60">
            <w:pPr>
              <w:rPr>
                <w:rFonts w:ascii="仿宋" w:hAnsi="仿宋" w:eastAsia="仿宋" w:cs="仿宋"/>
                <w:bCs/>
                <w:color w:val="auto"/>
                <w:sz w:val="24"/>
                <w:szCs w:val="24"/>
              </w:rPr>
            </w:pPr>
            <w:r>
              <w:rPr>
                <w:rFonts w:hint="eastAsia" w:ascii="仿宋" w:hAnsi="仿宋" w:eastAsia="仿宋" w:cs="仿宋"/>
                <w:bCs/>
                <w:color w:val="auto"/>
                <w:sz w:val="24"/>
                <w:szCs w:val="24"/>
              </w:rPr>
              <w:t>实训目的：</w:t>
            </w:r>
          </w:p>
          <w:p w14:paraId="365D80EE">
            <w:pPr>
              <w:adjustRightInd w:val="0"/>
              <w:snapToGrid w:val="0"/>
              <w:ind w:firstLine="480" w:firstLineChars="200"/>
              <w:rPr>
                <w:rFonts w:ascii="仿宋" w:eastAsia="仿宋" w:cs="仿宋"/>
                <w:bCs/>
                <w:color w:val="auto"/>
                <w:sz w:val="24"/>
                <w:szCs w:val="24"/>
              </w:rPr>
            </w:pPr>
            <w:r>
              <w:rPr>
                <w:rFonts w:hint="eastAsia" w:ascii="仿宋" w:hAnsi="仿宋" w:eastAsia="仿宋" w:cs="仿宋"/>
                <w:bCs/>
                <w:color w:val="auto"/>
                <w:sz w:val="24"/>
                <w:szCs w:val="24"/>
              </w:rPr>
              <w:t>进一步</w:t>
            </w:r>
            <w:r>
              <w:rPr>
                <w:rFonts w:hint="eastAsia" w:ascii="仿宋" w:eastAsia="仿宋" w:cs="仿宋"/>
                <w:bCs/>
                <w:color w:val="auto"/>
                <w:sz w:val="24"/>
                <w:szCs w:val="24"/>
              </w:rPr>
              <w:t>提高掌指关节的支撑力，</w:t>
            </w:r>
            <w:r>
              <w:rPr>
                <w:rFonts w:hint="eastAsia" w:ascii="仿宋" w:hAnsi="仿宋" w:eastAsia="仿宋" w:cs="仿宋"/>
                <w:bCs/>
                <w:color w:val="auto"/>
                <w:sz w:val="24"/>
                <w:szCs w:val="24"/>
              </w:rPr>
              <w:t>掌握</w:t>
            </w:r>
            <w:r>
              <w:rPr>
                <w:rFonts w:hint="eastAsia" w:ascii="仿宋" w:eastAsia="仿宋" w:cs="仿宋"/>
                <w:bCs/>
                <w:color w:val="auto"/>
                <w:sz w:val="24"/>
                <w:szCs w:val="24"/>
              </w:rPr>
              <w:t>流畅、快速弹奏四升降大小调正反向音阶、琶音能力，同音协考级十级格式，后同</w:t>
            </w:r>
            <w:r>
              <w:rPr>
                <w:rFonts w:ascii="仿宋" w:eastAsia="仿宋" w:cs="仿宋"/>
                <w:bCs/>
                <w:color w:val="auto"/>
                <w:sz w:val="24"/>
                <w:szCs w:val="24"/>
              </w:rPr>
              <w:t>；</w:t>
            </w:r>
          </w:p>
          <w:p w14:paraId="4FFB8660">
            <w:pPr>
              <w:adjustRightInd w:val="0"/>
              <w:snapToGrid w:val="0"/>
              <w:ind w:firstLine="480" w:firstLineChars="200"/>
              <w:rPr>
                <w:rFonts w:ascii="仿宋" w:eastAsia="仿宋" w:cs="仿宋"/>
                <w:bCs/>
                <w:color w:val="auto"/>
                <w:sz w:val="24"/>
                <w:szCs w:val="24"/>
              </w:rPr>
            </w:pPr>
            <w:r>
              <w:rPr>
                <w:rFonts w:hint="eastAsia" w:ascii="仿宋" w:eastAsia="仿宋" w:cs="仿宋"/>
                <w:bCs/>
                <w:color w:val="auto"/>
                <w:sz w:val="24"/>
                <w:szCs w:val="24"/>
              </w:rPr>
              <w:t>具备相当于车尔尼《钢琴快速练习曲》OP. 299的练习曲技术能力；</w:t>
            </w:r>
          </w:p>
          <w:p w14:paraId="5D5D5FCE">
            <w:pPr>
              <w:adjustRightInd w:val="0"/>
              <w:snapToGrid w:val="0"/>
              <w:ind w:firstLine="480" w:firstLineChars="200"/>
              <w:rPr>
                <w:rFonts w:ascii="仿宋" w:eastAsia="仿宋" w:cs="仿宋"/>
                <w:bCs/>
                <w:color w:val="auto"/>
                <w:sz w:val="24"/>
                <w:szCs w:val="24"/>
              </w:rPr>
            </w:pPr>
            <w:r>
              <w:rPr>
                <w:rFonts w:hint="eastAsia" w:ascii="仿宋" w:eastAsia="仿宋" w:cs="仿宋"/>
                <w:bCs/>
                <w:color w:val="auto"/>
                <w:sz w:val="24"/>
                <w:szCs w:val="24"/>
              </w:rPr>
              <w:t>提高</w:t>
            </w:r>
            <w:r>
              <w:rPr>
                <w:rFonts w:ascii="仿宋" w:eastAsia="仿宋" w:cs="仿宋"/>
                <w:bCs/>
                <w:color w:val="auto"/>
                <w:sz w:val="24"/>
                <w:szCs w:val="24"/>
              </w:rPr>
              <w:t>复调弹奏能力：</w:t>
            </w:r>
          </w:p>
          <w:p w14:paraId="73435D3B">
            <w:pPr>
              <w:adjustRightInd w:val="0"/>
              <w:snapToGrid w:val="0"/>
              <w:ind w:firstLine="480" w:firstLineChars="200"/>
              <w:rPr>
                <w:rFonts w:ascii="仿宋" w:eastAsia="仿宋" w:cs="仿宋"/>
                <w:bCs/>
                <w:color w:val="auto"/>
                <w:sz w:val="24"/>
                <w:szCs w:val="24"/>
              </w:rPr>
            </w:pPr>
            <w:r>
              <w:rPr>
                <w:rFonts w:hint="eastAsia" w:ascii="仿宋" w:eastAsia="仿宋" w:cs="仿宋"/>
                <w:bCs/>
                <w:color w:val="auto"/>
                <w:sz w:val="24"/>
                <w:szCs w:val="24"/>
              </w:rPr>
              <w:t>1、各声部主题的进入要明确。训练手指触键的灵敏性与对肌肉的控制能力以及各部位动作的协调能力</w:t>
            </w:r>
          </w:p>
          <w:p w14:paraId="36D7F970">
            <w:pPr>
              <w:adjustRightInd w:val="0"/>
              <w:snapToGrid w:val="0"/>
              <w:ind w:firstLine="470" w:firstLineChars="196"/>
              <w:rPr>
                <w:rFonts w:ascii="仿宋" w:eastAsia="仿宋" w:cs="仿宋"/>
                <w:bCs/>
                <w:color w:val="auto"/>
                <w:sz w:val="24"/>
                <w:szCs w:val="24"/>
              </w:rPr>
            </w:pPr>
            <w:r>
              <w:rPr>
                <w:rFonts w:hint="eastAsia" w:ascii="仿宋" w:eastAsia="仿宋" w:cs="仿宋"/>
                <w:bCs/>
                <w:color w:val="auto"/>
                <w:sz w:val="24"/>
                <w:szCs w:val="24"/>
              </w:rPr>
              <w:t>2、长音旋律的准确弹奏</w:t>
            </w:r>
          </w:p>
          <w:p w14:paraId="745B3B87">
            <w:pPr>
              <w:ind w:firstLine="470" w:firstLineChars="196"/>
              <w:rPr>
                <w:color w:val="auto"/>
              </w:rPr>
            </w:pPr>
            <w:r>
              <w:rPr>
                <w:rFonts w:hint="eastAsia" w:ascii="仿宋" w:eastAsia="仿宋" w:cs="仿宋"/>
                <w:bCs/>
                <w:color w:val="auto"/>
                <w:sz w:val="24"/>
                <w:szCs w:val="24"/>
              </w:rPr>
              <w:t>3、清晰弹奏三部创意曲的三条横的线条</w:t>
            </w:r>
          </w:p>
          <w:p w14:paraId="7D8F8884">
            <w:pPr>
              <w:rPr>
                <w:color w:val="auto"/>
              </w:rPr>
            </w:pPr>
            <w:r>
              <w:rPr>
                <w:rFonts w:hint="eastAsia" w:ascii="仿宋" w:hAnsi="仿宋" w:eastAsia="仿宋" w:cs="仿宋"/>
                <w:bCs/>
                <w:color w:val="auto"/>
                <w:sz w:val="24"/>
                <w:szCs w:val="24"/>
              </w:rPr>
              <w:t>实训任务：</w:t>
            </w:r>
          </w:p>
          <w:p w14:paraId="6829B3E0">
            <w:pPr>
              <w:adjustRightInd w:val="0"/>
              <w:snapToGrid w:val="0"/>
              <w:ind w:firstLine="470" w:firstLineChars="196"/>
              <w:rPr>
                <w:rFonts w:ascii="仿宋" w:eastAsia="仿宋" w:cs="仿宋"/>
                <w:bCs/>
                <w:color w:val="auto"/>
                <w:sz w:val="24"/>
                <w:szCs w:val="24"/>
              </w:rPr>
            </w:pPr>
            <w:r>
              <w:rPr>
                <w:rFonts w:hint="eastAsia" w:ascii="仿宋" w:eastAsia="仿宋" w:cs="仿宋"/>
                <w:bCs/>
                <w:color w:val="auto"/>
                <w:sz w:val="24"/>
                <w:szCs w:val="24"/>
              </w:rPr>
              <w:t>1</w:t>
            </w:r>
            <w:r>
              <w:rPr>
                <w:rFonts w:ascii="仿宋" w:eastAsia="仿宋" w:cs="仿宋"/>
                <w:bCs/>
                <w:color w:val="auto"/>
                <w:sz w:val="24"/>
                <w:szCs w:val="24"/>
              </w:rPr>
              <w:t>.</w:t>
            </w:r>
            <w:r>
              <w:rPr>
                <w:rFonts w:hint="eastAsia" w:ascii="仿宋" w:eastAsia="仿宋" w:cs="仿宋"/>
                <w:bCs/>
                <w:color w:val="auto"/>
                <w:sz w:val="24"/>
                <w:szCs w:val="24"/>
              </w:rPr>
              <w:t>基本练习：四升降大小调同向音阶、琶音、</w:t>
            </w:r>
            <w:r>
              <w:rPr>
                <w:rFonts w:ascii="仿宋" w:eastAsia="仿宋" w:cs="仿宋"/>
                <w:bCs/>
                <w:color w:val="auto"/>
                <w:sz w:val="24"/>
                <w:szCs w:val="24"/>
              </w:rPr>
              <w:t>和弦</w:t>
            </w:r>
            <w:r>
              <w:rPr>
                <w:rFonts w:hint="eastAsia" w:ascii="仿宋" w:eastAsia="仿宋" w:cs="仿宋"/>
                <w:bCs/>
                <w:color w:val="auto"/>
                <w:sz w:val="24"/>
                <w:szCs w:val="24"/>
              </w:rPr>
              <w:t>连接</w:t>
            </w:r>
            <w:r>
              <w:rPr>
                <w:rFonts w:ascii="仿宋" w:eastAsia="仿宋" w:cs="仿宋"/>
                <w:bCs/>
                <w:color w:val="auto"/>
                <w:sz w:val="24"/>
                <w:szCs w:val="24"/>
              </w:rPr>
              <w:t>；</w:t>
            </w:r>
          </w:p>
          <w:p w14:paraId="6A32CEE2">
            <w:pPr>
              <w:adjustRightInd w:val="0"/>
              <w:snapToGrid w:val="0"/>
              <w:ind w:firstLine="470" w:firstLineChars="196"/>
              <w:rPr>
                <w:rFonts w:ascii="仿宋" w:eastAsia="仿宋" w:cs="仿宋"/>
                <w:bCs/>
                <w:color w:val="auto"/>
                <w:sz w:val="24"/>
                <w:szCs w:val="24"/>
              </w:rPr>
            </w:pPr>
            <w:r>
              <w:rPr>
                <w:rFonts w:hint="eastAsia" w:ascii="仿宋" w:eastAsia="仿宋" w:cs="仿宋"/>
                <w:bCs/>
                <w:color w:val="auto"/>
                <w:sz w:val="24"/>
                <w:szCs w:val="24"/>
              </w:rPr>
              <w:t>2</w:t>
            </w:r>
            <w:r>
              <w:rPr>
                <w:rFonts w:ascii="仿宋" w:eastAsia="仿宋" w:cs="仿宋"/>
                <w:bCs/>
                <w:color w:val="auto"/>
                <w:sz w:val="24"/>
                <w:szCs w:val="24"/>
              </w:rPr>
              <w:t>.</w:t>
            </w:r>
            <w:r>
              <w:rPr>
                <w:rFonts w:hint="eastAsia" w:ascii="仿宋" w:eastAsia="仿宋" w:cs="仿宋"/>
                <w:bCs/>
                <w:color w:val="auto"/>
                <w:sz w:val="24"/>
                <w:szCs w:val="24"/>
              </w:rPr>
              <w:t xml:space="preserve"> 巴赫三部创意曲或程度相近的曲目；</w:t>
            </w:r>
          </w:p>
          <w:p w14:paraId="47284122">
            <w:pPr>
              <w:adjustRightInd w:val="0"/>
              <w:snapToGrid w:val="0"/>
              <w:ind w:firstLine="470" w:firstLineChars="196"/>
              <w:rPr>
                <w:rFonts w:ascii="仿宋" w:eastAsia="仿宋" w:cs="仿宋"/>
                <w:bCs/>
                <w:color w:val="auto"/>
                <w:sz w:val="24"/>
                <w:szCs w:val="24"/>
              </w:rPr>
            </w:pPr>
            <w:r>
              <w:rPr>
                <w:rFonts w:hint="eastAsia" w:ascii="仿宋" w:eastAsia="仿宋" w:cs="仿宋"/>
                <w:bCs/>
                <w:color w:val="auto"/>
                <w:sz w:val="24"/>
                <w:szCs w:val="24"/>
              </w:rPr>
              <w:t>3</w:t>
            </w:r>
            <w:r>
              <w:rPr>
                <w:rFonts w:ascii="仿宋" w:eastAsia="仿宋" w:cs="仿宋"/>
                <w:bCs/>
                <w:color w:val="auto"/>
                <w:sz w:val="24"/>
                <w:szCs w:val="24"/>
              </w:rPr>
              <w:t>.</w:t>
            </w:r>
            <w:r>
              <w:rPr>
                <w:rFonts w:hint="eastAsia" w:ascii="仿宋" w:eastAsia="仿宋" w:cs="仿宋"/>
                <w:bCs/>
                <w:color w:val="auto"/>
                <w:sz w:val="24"/>
                <w:szCs w:val="24"/>
              </w:rPr>
              <w:t xml:space="preserve"> 相当于车尔尼《钢琴快速练习曲》OP. 299程度的</w:t>
            </w:r>
          </w:p>
          <w:p w14:paraId="31364150">
            <w:pPr>
              <w:adjustRightInd w:val="0"/>
              <w:snapToGrid w:val="0"/>
              <w:ind w:firstLine="470" w:firstLineChars="196"/>
              <w:rPr>
                <w:rFonts w:ascii="仿宋" w:eastAsia="仿宋" w:cs="仿宋"/>
                <w:bCs/>
                <w:color w:val="auto"/>
                <w:sz w:val="24"/>
                <w:szCs w:val="24"/>
              </w:rPr>
            </w:pPr>
            <w:r>
              <w:rPr>
                <w:rFonts w:ascii="仿宋" w:eastAsia="仿宋" w:cs="仿宋"/>
                <w:bCs/>
                <w:color w:val="auto"/>
                <w:sz w:val="24"/>
                <w:szCs w:val="24"/>
              </w:rPr>
              <w:t xml:space="preserve">4. </w:t>
            </w:r>
            <w:r>
              <w:rPr>
                <w:rFonts w:hint="eastAsia" w:ascii="仿宋" w:eastAsia="仿宋" w:cs="仿宋"/>
                <w:bCs/>
                <w:color w:val="auto"/>
                <w:sz w:val="24"/>
                <w:szCs w:val="24"/>
              </w:rPr>
              <w:t>布置适当难度的钢琴奏鸣曲，并指导学生做作品分析，帮助学生透彻理解奏鸣曲的内容、结构背景和音乐形象。充分理解并把握慢板乐章所要体现的思想内涵</w:t>
            </w:r>
          </w:p>
          <w:p w14:paraId="0D0B7A86">
            <w:pPr>
              <w:widowControl/>
              <w:adjustRightInd w:val="0"/>
              <w:snapToGrid w:val="0"/>
              <w:rPr>
                <w:rFonts w:ascii="仿宋" w:eastAsia="仿宋" w:cs="仿宋"/>
                <w:color w:val="auto"/>
                <w:sz w:val="24"/>
                <w:szCs w:val="24"/>
              </w:rPr>
            </w:pPr>
          </w:p>
        </w:tc>
        <w:tc>
          <w:tcPr>
            <w:tcW w:w="7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D5C785">
            <w:pPr>
              <w:widowControl/>
              <w:adjustRightInd w:val="0"/>
              <w:snapToGrid w:val="0"/>
              <w:jc w:val="center"/>
              <w:rPr>
                <w:rFonts w:ascii="仿宋" w:eastAsia="仿宋" w:cs="仿宋"/>
                <w:bCs/>
                <w:color w:val="auto"/>
                <w:sz w:val="24"/>
                <w:szCs w:val="24"/>
              </w:rPr>
            </w:pPr>
            <w:r>
              <w:rPr>
                <w:rFonts w:hint="eastAsia" w:ascii="仿宋" w:eastAsia="仿宋" w:cs="仿宋"/>
                <w:bCs/>
                <w:color w:val="auto"/>
                <w:sz w:val="24"/>
                <w:szCs w:val="24"/>
              </w:rPr>
              <w:t>支撑课程目标1、2、3</w:t>
            </w:r>
          </w:p>
        </w:tc>
        <w:tc>
          <w:tcPr>
            <w:tcW w:w="61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1FB7C4F">
            <w:pPr>
              <w:adjustRightInd w:val="0"/>
              <w:snapToGrid w:val="0"/>
              <w:jc w:val="center"/>
              <w:rPr>
                <w:rFonts w:ascii="仿宋" w:eastAsia="仿宋" w:cs="仿宋"/>
                <w:color w:val="auto"/>
                <w:sz w:val="24"/>
                <w:szCs w:val="24"/>
              </w:rPr>
            </w:pPr>
            <w:r>
              <w:rPr>
                <w:rFonts w:hint="eastAsia" w:ascii="仿宋" w:eastAsia="仿宋" w:cs="仿宋"/>
                <w:color w:val="auto"/>
                <w:sz w:val="24"/>
                <w:szCs w:val="24"/>
              </w:rPr>
              <w:t>15</w:t>
            </w:r>
          </w:p>
        </w:tc>
      </w:tr>
      <w:tr w14:paraId="74C9983F">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1ED851">
            <w:pPr>
              <w:rPr>
                <w:color w:val="auto"/>
              </w:rPr>
            </w:pPr>
          </w:p>
        </w:tc>
        <w:tc>
          <w:tcPr>
            <w:tcW w:w="645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13905BB">
            <w:pPr>
              <w:adjustRightInd w:val="0"/>
              <w:snapToGrid w:val="0"/>
              <w:rPr>
                <w:rFonts w:ascii="仿宋" w:eastAsia="仿宋" w:cs="仿宋"/>
                <w:b/>
                <w:bCs/>
                <w:color w:val="auto"/>
                <w:sz w:val="24"/>
                <w:szCs w:val="24"/>
              </w:rPr>
            </w:pPr>
            <w:r>
              <w:rPr>
                <w:rFonts w:hint="eastAsia" w:ascii="仿宋" w:eastAsia="仿宋" w:cs="仿宋"/>
                <w:b/>
                <w:bCs/>
                <w:color w:val="auto"/>
                <w:sz w:val="24"/>
                <w:szCs w:val="24"/>
              </w:rPr>
              <w:t>第三学年第六学期</w:t>
            </w:r>
          </w:p>
          <w:p w14:paraId="5AE05CB4">
            <w:pPr>
              <w:rPr>
                <w:rFonts w:ascii="仿宋" w:hAnsi="仿宋" w:eastAsia="仿宋" w:cs="仿宋"/>
                <w:bCs/>
                <w:color w:val="auto"/>
                <w:sz w:val="24"/>
                <w:szCs w:val="24"/>
              </w:rPr>
            </w:pPr>
            <w:r>
              <w:rPr>
                <w:rFonts w:hint="eastAsia" w:ascii="仿宋" w:hAnsi="仿宋" w:eastAsia="仿宋" w:cs="仿宋"/>
                <w:bCs/>
                <w:color w:val="auto"/>
                <w:sz w:val="24"/>
                <w:szCs w:val="24"/>
              </w:rPr>
              <w:t>实训目的：</w:t>
            </w:r>
          </w:p>
          <w:p w14:paraId="4756DEC9">
            <w:pPr>
              <w:ind w:firstLine="480" w:firstLineChars="200"/>
              <w:rPr>
                <w:color w:val="auto"/>
              </w:rPr>
            </w:pPr>
            <w:r>
              <w:rPr>
                <w:rFonts w:hint="eastAsia" w:ascii="仿宋" w:hAnsi="仿宋" w:eastAsia="仿宋" w:cs="仿宋"/>
                <w:bCs/>
                <w:color w:val="auto"/>
                <w:sz w:val="24"/>
                <w:szCs w:val="24"/>
              </w:rPr>
              <w:t>进一步</w:t>
            </w:r>
            <w:r>
              <w:rPr>
                <w:rFonts w:hint="eastAsia" w:ascii="仿宋" w:eastAsia="仿宋" w:cs="仿宋"/>
                <w:bCs/>
                <w:color w:val="auto"/>
                <w:sz w:val="24"/>
                <w:szCs w:val="24"/>
              </w:rPr>
              <w:t>提高掌指关节的支撑力，</w:t>
            </w:r>
            <w:r>
              <w:rPr>
                <w:rFonts w:hint="eastAsia" w:ascii="仿宋" w:hAnsi="仿宋" w:eastAsia="仿宋" w:cs="仿宋"/>
                <w:bCs/>
                <w:color w:val="auto"/>
                <w:sz w:val="24"/>
                <w:szCs w:val="24"/>
              </w:rPr>
              <w:t>掌握</w:t>
            </w:r>
            <w:r>
              <w:rPr>
                <w:rFonts w:hint="eastAsia" w:ascii="仿宋" w:eastAsia="仿宋" w:cs="仿宋"/>
                <w:bCs/>
                <w:color w:val="auto"/>
                <w:sz w:val="24"/>
                <w:szCs w:val="24"/>
              </w:rPr>
              <w:t>流畅、快速弹奏五升五降大小调正反向音阶、琶音能力</w:t>
            </w:r>
            <w:r>
              <w:rPr>
                <w:rFonts w:ascii="仿宋" w:eastAsia="仿宋" w:cs="仿宋"/>
                <w:bCs/>
                <w:color w:val="auto"/>
                <w:sz w:val="24"/>
                <w:szCs w:val="24"/>
              </w:rPr>
              <w:t>；</w:t>
            </w:r>
          </w:p>
          <w:p w14:paraId="7A9F1A16">
            <w:pPr>
              <w:rPr>
                <w:color w:val="auto"/>
              </w:rPr>
            </w:pPr>
            <w:r>
              <w:rPr>
                <w:rFonts w:hint="eastAsia" w:ascii="仿宋" w:hAnsi="仿宋" w:eastAsia="仿宋" w:cs="仿宋"/>
                <w:bCs/>
                <w:color w:val="auto"/>
                <w:sz w:val="24"/>
                <w:szCs w:val="24"/>
              </w:rPr>
              <w:t>实训任务：</w:t>
            </w:r>
          </w:p>
          <w:p w14:paraId="497F276A">
            <w:pPr>
              <w:adjustRightInd w:val="0"/>
              <w:snapToGrid w:val="0"/>
              <w:ind w:firstLine="470" w:firstLineChars="196"/>
              <w:rPr>
                <w:rFonts w:ascii="仿宋" w:eastAsia="仿宋" w:cs="仿宋"/>
                <w:bCs/>
                <w:color w:val="auto"/>
                <w:sz w:val="24"/>
                <w:szCs w:val="24"/>
              </w:rPr>
            </w:pPr>
            <w:r>
              <w:rPr>
                <w:rFonts w:hint="eastAsia" w:ascii="仿宋" w:eastAsia="仿宋" w:cs="仿宋"/>
                <w:bCs/>
                <w:color w:val="auto"/>
                <w:sz w:val="24"/>
                <w:szCs w:val="24"/>
              </w:rPr>
              <w:t>1</w:t>
            </w:r>
            <w:r>
              <w:rPr>
                <w:rFonts w:ascii="仿宋" w:eastAsia="仿宋" w:cs="仿宋"/>
                <w:bCs/>
                <w:color w:val="auto"/>
                <w:sz w:val="24"/>
                <w:szCs w:val="24"/>
              </w:rPr>
              <w:t>.</w:t>
            </w:r>
            <w:r>
              <w:rPr>
                <w:rFonts w:hint="eastAsia" w:ascii="仿宋" w:eastAsia="仿宋" w:cs="仿宋"/>
                <w:bCs/>
                <w:color w:val="auto"/>
                <w:sz w:val="24"/>
                <w:szCs w:val="24"/>
              </w:rPr>
              <w:t>基本练习与练习曲、全部大、小调音阶、琶音，和弦</w:t>
            </w:r>
            <w:r>
              <w:rPr>
                <w:rFonts w:ascii="仿宋" w:eastAsia="仿宋" w:cs="仿宋"/>
                <w:bCs/>
                <w:color w:val="auto"/>
                <w:sz w:val="24"/>
                <w:szCs w:val="24"/>
              </w:rPr>
              <w:t>连接，</w:t>
            </w:r>
            <w:r>
              <w:rPr>
                <w:rFonts w:hint="eastAsia" w:ascii="仿宋" w:eastAsia="仿宋" w:cs="仿宋"/>
                <w:bCs/>
                <w:color w:val="auto"/>
                <w:sz w:val="24"/>
                <w:szCs w:val="24"/>
              </w:rPr>
              <w:t>车尔尼《钢琴快速练习曲》OP. 299（选）后半部分《钢琴练习曲》OP. 740（选）《斯克里亚宾钢琴练习曲》No.9或程度相近的练习曲布置乐曲与练习修改</w:t>
            </w:r>
          </w:p>
          <w:p w14:paraId="607DF12E">
            <w:pPr>
              <w:adjustRightInd w:val="0"/>
              <w:snapToGrid w:val="0"/>
              <w:ind w:firstLine="470" w:firstLineChars="196"/>
              <w:rPr>
                <w:rFonts w:ascii="仿宋" w:eastAsia="仿宋" w:cs="仿宋"/>
                <w:bCs/>
                <w:color w:val="auto"/>
                <w:sz w:val="24"/>
                <w:szCs w:val="24"/>
              </w:rPr>
            </w:pPr>
            <w:r>
              <w:rPr>
                <w:rFonts w:hint="eastAsia" w:ascii="仿宋" w:eastAsia="仿宋" w:cs="仿宋"/>
                <w:bCs/>
                <w:color w:val="auto"/>
                <w:sz w:val="24"/>
                <w:szCs w:val="24"/>
              </w:rPr>
              <w:t>2</w:t>
            </w:r>
            <w:r>
              <w:rPr>
                <w:rFonts w:ascii="仿宋" w:eastAsia="仿宋" w:cs="仿宋"/>
                <w:bCs/>
                <w:color w:val="auto"/>
                <w:sz w:val="24"/>
                <w:szCs w:val="24"/>
              </w:rPr>
              <w:t>.</w:t>
            </w:r>
            <w:r>
              <w:rPr>
                <w:rFonts w:hint="eastAsia" w:ascii="仿宋" w:eastAsia="仿宋" w:cs="仿宋"/>
                <w:bCs/>
                <w:color w:val="auto"/>
                <w:sz w:val="24"/>
                <w:szCs w:val="24"/>
              </w:rPr>
              <w:t xml:space="preserve"> 巴赫三部创意曲或程度相近的曲目；</w:t>
            </w:r>
          </w:p>
          <w:p w14:paraId="2494E617">
            <w:pPr>
              <w:adjustRightInd w:val="0"/>
              <w:snapToGrid w:val="0"/>
              <w:ind w:firstLine="470" w:firstLineChars="196"/>
              <w:rPr>
                <w:rFonts w:ascii="仿宋" w:eastAsia="仿宋" w:cs="仿宋"/>
                <w:color w:val="auto"/>
                <w:kern w:val="2"/>
                <w:sz w:val="24"/>
                <w:szCs w:val="24"/>
              </w:rPr>
            </w:pPr>
            <w:r>
              <w:rPr>
                <w:rFonts w:ascii="仿宋" w:eastAsia="仿宋" w:cs="仿宋"/>
                <w:bCs/>
                <w:color w:val="auto"/>
                <w:sz w:val="24"/>
                <w:szCs w:val="24"/>
              </w:rPr>
              <w:t xml:space="preserve">3. </w:t>
            </w:r>
            <w:r>
              <w:rPr>
                <w:rFonts w:hint="eastAsia" w:ascii="仿宋" w:eastAsia="仿宋" w:cs="仿宋"/>
                <w:bCs/>
                <w:color w:val="auto"/>
                <w:sz w:val="24"/>
                <w:szCs w:val="24"/>
              </w:rPr>
              <w:t>布置适当难度的乐曲，并指导学生做作品分析，帮助学生透彻理解乐曲的内容、结构背景和音乐形象。充分理解并把握慢板乐章所要体现的思想内涵。</w:t>
            </w:r>
          </w:p>
        </w:tc>
        <w:tc>
          <w:tcPr>
            <w:tcW w:w="7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41A4C5">
            <w:pPr>
              <w:adjustRightInd w:val="0"/>
              <w:snapToGrid w:val="0"/>
              <w:jc w:val="center"/>
              <w:rPr>
                <w:color w:val="auto"/>
              </w:rPr>
            </w:pPr>
            <w:r>
              <w:rPr>
                <w:rFonts w:hint="eastAsia" w:ascii="仿宋" w:eastAsia="仿宋" w:cs="仿宋"/>
                <w:bCs/>
                <w:color w:val="auto"/>
                <w:sz w:val="24"/>
                <w:szCs w:val="24"/>
              </w:rPr>
              <w:t>支撑课程目标1、2、3</w:t>
            </w:r>
          </w:p>
        </w:tc>
        <w:tc>
          <w:tcPr>
            <w:tcW w:w="61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072C111">
            <w:pPr>
              <w:adjustRightInd w:val="0"/>
              <w:snapToGrid w:val="0"/>
              <w:jc w:val="center"/>
              <w:rPr>
                <w:rFonts w:ascii="仿宋" w:eastAsia="仿宋" w:cs="仿宋"/>
                <w:color w:val="auto"/>
                <w:kern w:val="2"/>
                <w:sz w:val="24"/>
                <w:szCs w:val="24"/>
              </w:rPr>
            </w:pPr>
            <w:r>
              <w:rPr>
                <w:rFonts w:hint="eastAsia" w:ascii="仿宋" w:eastAsia="仿宋" w:cs="仿宋"/>
                <w:color w:val="auto"/>
                <w:sz w:val="24"/>
                <w:szCs w:val="24"/>
              </w:rPr>
              <w:t>15</w:t>
            </w:r>
          </w:p>
        </w:tc>
      </w:tr>
      <w:tr w14:paraId="65905BDD">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vAlign w:val="center"/>
          </w:tcPr>
          <w:p w14:paraId="20AD4BA1">
            <w:pPr>
              <w:rPr>
                <w:rFonts w:ascii="仿宋" w:eastAsia="仿宋" w:cs="仿宋"/>
                <w:color w:val="auto"/>
                <w:sz w:val="24"/>
                <w:szCs w:val="24"/>
              </w:rPr>
            </w:pPr>
          </w:p>
        </w:tc>
        <w:tc>
          <w:tcPr>
            <w:tcW w:w="6457" w:type="dxa"/>
            <w:gridSpan w:val="9"/>
            <w:tcBorders>
              <w:top w:val="single" w:color="000000" w:sz="4" w:space="0"/>
              <w:left w:val="single" w:color="000000" w:sz="4" w:space="0"/>
              <w:bottom w:val="single" w:color="000000" w:sz="4" w:space="0"/>
              <w:right w:val="single" w:color="000000" w:sz="4" w:space="0"/>
            </w:tcBorders>
            <w:vAlign w:val="center"/>
          </w:tcPr>
          <w:p w14:paraId="470E7FDF">
            <w:pPr>
              <w:adjustRightInd w:val="0"/>
              <w:snapToGrid w:val="0"/>
              <w:rPr>
                <w:rFonts w:ascii="仿宋" w:eastAsia="仿宋" w:cs="仿宋"/>
                <w:b/>
                <w:bCs/>
                <w:color w:val="auto"/>
                <w:sz w:val="24"/>
                <w:szCs w:val="24"/>
              </w:rPr>
            </w:pPr>
            <w:r>
              <w:rPr>
                <w:rFonts w:hint="eastAsia" w:ascii="仿宋" w:eastAsia="仿宋" w:cs="仿宋"/>
                <w:b/>
                <w:bCs/>
                <w:color w:val="auto"/>
                <w:sz w:val="24"/>
                <w:szCs w:val="24"/>
              </w:rPr>
              <w:t>第四学年第七学期</w:t>
            </w:r>
          </w:p>
          <w:p w14:paraId="0B3FDD8F">
            <w:pPr>
              <w:rPr>
                <w:rFonts w:ascii="仿宋" w:hAnsi="仿宋" w:eastAsia="仿宋" w:cs="仿宋"/>
                <w:bCs/>
                <w:color w:val="auto"/>
                <w:sz w:val="24"/>
                <w:szCs w:val="24"/>
              </w:rPr>
            </w:pPr>
            <w:r>
              <w:rPr>
                <w:rFonts w:hint="eastAsia" w:ascii="仿宋" w:hAnsi="仿宋" w:eastAsia="仿宋" w:cs="仿宋"/>
                <w:bCs/>
                <w:color w:val="auto"/>
                <w:sz w:val="24"/>
                <w:szCs w:val="24"/>
              </w:rPr>
              <w:t>实训目的：</w:t>
            </w:r>
          </w:p>
          <w:p w14:paraId="4B65BEC2">
            <w:pPr>
              <w:ind w:firstLine="480" w:firstLineChars="200"/>
              <w:rPr>
                <w:color w:val="auto"/>
              </w:rPr>
            </w:pPr>
            <w:r>
              <w:rPr>
                <w:rFonts w:hint="eastAsia" w:ascii="仿宋" w:hAnsi="仿宋" w:eastAsia="仿宋" w:cs="仿宋"/>
                <w:bCs/>
                <w:color w:val="auto"/>
                <w:sz w:val="24"/>
                <w:szCs w:val="24"/>
              </w:rPr>
              <w:t>进一步</w:t>
            </w:r>
            <w:r>
              <w:rPr>
                <w:rFonts w:hint="eastAsia" w:ascii="仿宋" w:eastAsia="仿宋" w:cs="仿宋"/>
                <w:bCs/>
                <w:color w:val="auto"/>
                <w:sz w:val="24"/>
                <w:szCs w:val="24"/>
              </w:rPr>
              <w:t>提高掌演奏、</w:t>
            </w:r>
            <w:r>
              <w:rPr>
                <w:rFonts w:ascii="仿宋" w:eastAsia="仿宋" w:cs="仿宋"/>
                <w:bCs/>
                <w:color w:val="auto"/>
                <w:sz w:val="24"/>
                <w:szCs w:val="24"/>
              </w:rPr>
              <w:t>分析能力</w:t>
            </w:r>
            <w:r>
              <w:rPr>
                <w:rFonts w:hint="eastAsia" w:ascii="仿宋" w:eastAsia="仿宋" w:cs="仿宋"/>
                <w:bCs/>
                <w:color w:val="auto"/>
                <w:sz w:val="24"/>
                <w:szCs w:val="24"/>
              </w:rPr>
              <w:t>，</w:t>
            </w:r>
            <w:r>
              <w:rPr>
                <w:rFonts w:hint="eastAsia" w:ascii="仿宋" w:hAnsi="仿宋" w:eastAsia="仿宋" w:cs="仿宋"/>
                <w:bCs/>
                <w:color w:val="auto"/>
                <w:sz w:val="24"/>
                <w:szCs w:val="24"/>
              </w:rPr>
              <w:t>掌握</w:t>
            </w:r>
            <w:r>
              <w:rPr>
                <w:rFonts w:hint="eastAsia" w:ascii="仿宋" w:eastAsia="仿宋" w:cs="仿宋"/>
                <w:bCs/>
                <w:color w:val="auto"/>
                <w:sz w:val="24"/>
                <w:szCs w:val="24"/>
              </w:rPr>
              <w:t>流畅、快速弹奏六升六降大小调正反向音阶、琶音、</w:t>
            </w:r>
            <w:r>
              <w:rPr>
                <w:rFonts w:ascii="仿宋" w:eastAsia="仿宋" w:cs="仿宋"/>
                <w:bCs/>
                <w:color w:val="auto"/>
                <w:sz w:val="24"/>
                <w:szCs w:val="24"/>
              </w:rPr>
              <w:t>和弦连接</w:t>
            </w:r>
            <w:r>
              <w:rPr>
                <w:rFonts w:hint="eastAsia" w:ascii="仿宋" w:eastAsia="仿宋" w:cs="仿宋"/>
                <w:bCs/>
                <w:color w:val="auto"/>
                <w:sz w:val="24"/>
                <w:szCs w:val="24"/>
              </w:rPr>
              <w:t>能力</w:t>
            </w:r>
            <w:r>
              <w:rPr>
                <w:rFonts w:ascii="仿宋" w:eastAsia="仿宋" w:cs="仿宋"/>
                <w:bCs/>
                <w:color w:val="auto"/>
                <w:sz w:val="24"/>
                <w:szCs w:val="24"/>
              </w:rPr>
              <w:t>；</w:t>
            </w:r>
          </w:p>
          <w:p w14:paraId="5371E18B">
            <w:pPr>
              <w:rPr>
                <w:color w:val="auto"/>
              </w:rPr>
            </w:pPr>
            <w:r>
              <w:rPr>
                <w:rFonts w:hint="eastAsia" w:ascii="仿宋" w:hAnsi="仿宋" w:eastAsia="仿宋" w:cs="仿宋"/>
                <w:bCs/>
                <w:color w:val="auto"/>
                <w:sz w:val="24"/>
                <w:szCs w:val="24"/>
              </w:rPr>
              <w:t>实训任务：</w:t>
            </w:r>
          </w:p>
          <w:p w14:paraId="4D7EAC86">
            <w:pPr>
              <w:adjustRightInd w:val="0"/>
              <w:snapToGrid w:val="0"/>
              <w:ind w:firstLine="470" w:firstLineChars="196"/>
              <w:rPr>
                <w:rFonts w:ascii="仿宋" w:eastAsia="仿宋" w:cs="仿宋"/>
                <w:bCs/>
                <w:color w:val="auto"/>
                <w:sz w:val="24"/>
                <w:szCs w:val="24"/>
              </w:rPr>
            </w:pPr>
            <w:r>
              <w:rPr>
                <w:rFonts w:hint="eastAsia" w:ascii="仿宋" w:eastAsia="仿宋" w:cs="仿宋"/>
                <w:bCs/>
                <w:color w:val="auto"/>
                <w:sz w:val="24"/>
                <w:szCs w:val="24"/>
              </w:rPr>
              <w:t>1、车尔尼练习曲作品740程度</w:t>
            </w:r>
            <w:r>
              <w:rPr>
                <w:rFonts w:ascii="仿宋" w:eastAsia="仿宋" w:cs="仿宋"/>
                <w:bCs/>
                <w:color w:val="auto"/>
                <w:sz w:val="24"/>
                <w:szCs w:val="24"/>
              </w:rPr>
              <w:t>作业；</w:t>
            </w:r>
          </w:p>
          <w:p w14:paraId="43432FD1">
            <w:pPr>
              <w:adjustRightInd w:val="0"/>
              <w:snapToGrid w:val="0"/>
              <w:ind w:firstLine="470" w:firstLineChars="196"/>
              <w:rPr>
                <w:rFonts w:ascii="仿宋" w:eastAsia="仿宋" w:cs="仿宋"/>
                <w:bCs/>
                <w:color w:val="auto"/>
                <w:sz w:val="24"/>
                <w:szCs w:val="24"/>
              </w:rPr>
            </w:pPr>
            <w:r>
              <w:rPr>
                <w:rFonts w:hint="eastAsia" w:ascii="仿宋" w:eastAsia="仿宋" w:cs="仿宋"/>
                <w:bCs/>
                <w:color w:val="auto"/>
                <w:sz w:val="24"/>
                <w:szCs w:val="24"/>
              </w:rPr>
              <w:t>2、莫什科夫斯基《钢琴技巧练习曲》作品72程度</w:t>
            </w:r>
            <w:r>
              <w:rPr>
                <w:rFonts w:ascii="仿宋" w:eastAsia="仿宋" w:cs="仿宋"/>
                <w:bCs/>
                <w:color w:val="auto"/>
                <w:sz w:val="24"/>
                <w:szCs w:val="24"/>
              </w:rPr>
              <w:t>作业</w:t>
            </w:r>
            <w:r>
              <w:rPr>
                <w:rFonts w:hint="eastAsia" w:ascii="仿宋" w:eastAsia="仿宋" w:cs="仿宋"/>
                <w:bCs/>
                <w:color w:val="auto"/>
                <w:sz w:val="24"/>
                <w:szCs w:val="24"/>
              </w:rPr>
              <w:t>，或由教师根据学生实际需求选择程度相近的合适曲目巴赫《十二平均律钢琴曲集》或由教师根据学生实际需求选择程度相近的合适曲目</w:t>
            </w:r>
          </w:p>
          <w:p w14:paraId="239E00CC">
            <w:pPr>
              <w:adjustRightInd w:val="0"/>
              <w:snapToGrid w:val="0"/>
              <w:ind w:firstLine="470" w:firstLineChars="196"/>
              <w:rPr>
                <w:rFonts w:ascii="宋体" w:cs="宋体"/>
                <w:color w:val="auto"/>
                <w:kern w:val="2"/>
                <w:sz w:val="24"/>
              </w:rPr>
            </w:pPr>
            <w:r>
              <w:rPr>
                <w:rFonts w:hint="eastAsia" w:ascii="仿宋" w:eastAsia="仿宋" w:cs="仿宋"/>
                <w:bCs/>
                <w:color w:val="auto"/>
                <w:sz w:val="24"/>
                <w:szCs w:val="24"/>
              </w:rPr>
              <w:t>3</w:t>
            </w:r>
            <w:r>
              <w:rPr>
                <w:rFonts w:ascii="仿宋" w:eastAsia="仿宋" w:cs="仿宋"/>
                <w:bCs/>
                <w:color w:val="auto"/>
                <w:sz w:val="24"/>
                <w:szCs w:val="24"/>
              </w:rPr>
              <w:t>.</w:t>
            </w:r>
            <w:r>
              <w:rPr>
                <w:rFonts w:hint="eastAsia" w:ascii="仿宋" w:eastAsia="仿宋" w:cs="仿宋"/>
                <w:bCs/>
                <w:color w:val="auto"/>
                <w:sz w:val="24"/>
                <w:szCs w:val="24"/>
              </w:rPr>
              <w:t>中外乐曲练习与修改</w:t>
            </w:r>
          </w:p>
        </w:tc>
        <w:tc>
          <w:tcPr>
            <w:tcW w:w="765" w:type="dxa"/>
            <w:gridSpan w:val="2"/>
            <w:tcBorders>
              <w:top w:val="single" w:color="000000" w:sz="4" w:space="0"/>
              <w:left w:val="single" w:color="000000" w:sz="4" w:space="0"/>
              <w:bottom w:val="single" w:color="000000" w:sz="4" w:space="0"/>
              <w:right w:val="single" w:color="000000" w:sz="4" w:space="0"/>
            </w:tcBorders>
            <w:vAlign w:val="center"/>
          </w:tcPr>
          <w:p w14:paraId="6BFC5178">
            <w:pPr>
              <w:adjustRightInd w:val="0"/>
              <w:snapToGrid w:val="0"/>
              <w:jc w:val="center"/>
              <w:rPr>
                <w:color w:val="auto"/>
              </w:rPr>
            </w:pPr>
            <w:r>
              <w:rPr>
                <w:rFonts w:hint="eastAsia" w:ascii="仿宋" w:eastAsia="仿宋" w:cs="仿宋"/>
                <w:bCs/>
                <w:color w:val="auto"/>
                <w:sz w:val="24"/>
                <w:szCs w:val="24"/>
              </w:rPr>
              <w:t>支撑课程目标1、2、3</w:t>
            </w:r>
          </w:p>
        </w:tc>
        <w:tc>
          <w:tcPr>
            <w:tcW w:w="614" w:type="dxa"/>
            <w:gridSpan w:val="2"/>
            <w:tcBorders>
              <w:top w:val="single" w:color="000000" w:sz="4" w:space="0"/>
              <w:left w:val="single" w:color="000000" w:sz="4" w:space="0"/>
              <w:bottom w:val="single" w:color="000000" w:sz="4" w:space="0"/>
              <w:right w:val="single" w:color="000000" w:sz="4" w:space="0"/>
            </w:tcBorders>
            <w:vAlign w:val="center"/>
          </w:tcPr>
          <w:p w14:paraId="4BEB5A6A">
            <w:pPr>
              <w:adjustRightInd w:val="0"/>
              <w:snapToGrid w:val="0"/>
              <w:jc w:val="center"/>
              <w:rPr>
                <w:color w:val="auto"/>
              </w:rPr>
            </w:pPr>
            <w:r>
              <w:rPr>
                <w:rFonts w:hint="eastAsia" w:ascii="仿宋" w:eastAsia="仿宋" w:cs="仿宋"/>
                <w:color w:val="auto"/>
                <w:sz w:val="24"/>
                <w:szCs w:val="24"/>
              </w:rPr>
              <w:t>15</w:t>
            </w:r>
          </w:p>
        </w:tc>
      </w:tr>
      <w:tr w14:paraId="71C7D664">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vAlign w:val="center"/>
          </w:tcPr>
          <w:p w14:paraId="3D1BBC65">
            <w:pPr>
              <w:rPr>
                <w:rFonts w:ascii="仿宋" w:eastAsia="仿宋" w:cs="仿宋"/>
                <w:color w:val="auto"/>
                <w:sz w:val="24"/>
                <w:szCs w:val="24"/>
              </w:rPr>
            </w:pPr>
          </w:p>
        </w:tc>
        <w:tc>
          <w:tcPr>
            <w:tcW w:w="7222" w:type="dxa"/>
            <w:gridSpan w:val="11"/>
            <w:tcBorders>
              <w:top w:val="single" w:color="000000" w:sz="4" w:space="0"/>
              <w:left w:val="single" w:color="000000" w:sz="4" w:space="0"/>
              <w:bottom w:val="single" w:color="000000" w:sz="4" w:space="0"/>
              <w:right w:val="single" w:color="000000" w:sz="4" w:space="0"/>
            </w:tcBorders>
            <w:vAlign w:val="center"/>
          </w:tcPr>
          <w:p w14:paraId="311E91D9">
            <w:pPr>
              <w:adjustRightInd w:val="0"/>
              <w:snapToGrid w:val="0"/>
              <w:jc w:val="center"/>
              <w:rPr>
                <w:rFonts w:ascii="仿宋" w:eastAsia="仿宋" w:cs="仿宋"/>
                <w:color w:val="auto"/>
                <w:sz w:val="24"/>
                <w:szCs w:val="24"/>
              </w:rPr>
            </w:pPr>
            <w:r>
              <w:rPr>
                <w:rFonts w:hint="eastAsia" w:ascii="仿宋" w:eastAsia="仿宋" w:cs="仿宋"/>
                <w:bCs/>
                <w:color w:val="auto"/>
                <w:sz w:val="24"/>
                <w:szCs w:val="24"/>
              </w:rPr>
              <w:t>合计</w:t>
            </w:r>
          </w:p>
        </w:tc>
        <w:tc>
          <w:tcPr>
            <w:tcW w:w="614" w:type="dxa"/>
            <w:gridSpan w:val="2"/>
            <w:tcBorders>
              <w:top w:val="single" w:color="000000" w:sz="4" w:space="0"/>
              <w:left w:val="single" w:color="000000" w:sz="4" w:space="0"/>
              <w:bottom w:val="single" w:color="000000" w:sz="4" w:space="0"/>
              <w:right w:val="single" w:color="000000" w:sz="4" w:space="0"/>
            </w:tcBorders>
            <w:vAlign w:val="center"/>
          </w:tcPr>
          <w:p w14:paraId="36DA9CA3">
            <w:pPr>
              <w:adjustRightInd w:val="0"/>
              <w:snapToGrid w:val="0"/>
              <w:jc w:val="center"/>
              <w:rPr>
                <w:color w:val="auto"/>
              </w:rPr>
            </w:pPr>
            <w:r>
              <w:rPr>
                <w:rFonts w:hint="eastAsia" w:ascii="仿宋" w:eastAsia="仿宋" w:cs="仿宋"/>
                <w:color w:val="auto"/>
                <w:sz w:val="24"/>
                <w:szCs w:val="24"/>
              </w:rPr>
              <w:t>45</w:t>
            </w:r>
          </w:p>
        </w:tc>
      </w:tr>
      <w:tr w14:paraId="3567BF3F">
        <w:trPr>
          <w:trHeight w:val="624" w:hRule="atLeast"/>
          <w:jc w:val="center"/>
        </w:trPr>
        <w:tc>
          <w:tcPr>
            <w:tcW w:w="1310" w:type="dxa"/>
            <w:vMerge w:val="restart"/>
            <w:tcBorders>
              <w:top w:val="single" w:color="000000" w:sz="4" w:space="0"/>
              <w:left w:val="single" w:color="000000" w:sz="4" w:space="0"/>
              <w:bottom w:val="single" w:color="000000" w:sz="4" w:space="0"/>
              <w:right w:val="single" w:color="000000" w:sz="4" w:space="0"/>
            </w:tcBorders>
            <w:vAlign w:val="center"/>
          </w:tcPr>
          <w:p w14:paraId="00E7FC09">
            <w:pPr>
              <w:adjustRightInd w:val="0"/>
              <w:snapToGrid w:val="0"/>
              <w:spacing w:line="240" w:lineRule="atLeast"/>
              <w:jc w:val="center"/>
              <w:rPr>
                <w:rFonts w:ascii="仿宋" w:eastAsia="仿宋" w:cs="仿宋"/>
                <w:color w:val="auto"/>
                <w:sz w:val="24"/>
                <w:szCs w:val="24"/>
              </w:rPr>
            </w:pPr>
            <w:r>
              <w:rPr>
                <w:rFonts w:hint="eastAsia" w:ascii="仿宋" w:eastAsia="仿宋" w:cs="仿宋"/>
                <w:color w:val="auto"/>
                <w:sz w:val="24"/>
                <w:szCs w:val="24"/>
              </w:rPr>
              <w:t>H</w:t>
            </w:r>
          </w:p>
          <w:p w14:paraId="40B58DBB">
            <w:pPr>
              <w:adjustRightInd w:val="0"/>
              <w:snapToGrid w:val="0"/>
              <w:spacing w:line="240" w:lineRule="atLeast"/>
              <w:jc w:val="center"/>
              <w:rPr>
                <w:rFonts w:ascii="仿宋" w:eastAsia="仿宋" w:cs="仿宋"/>
                <w:color w:val="auto"/>
                <w:sz w:val="24"/>
                <w:szCs w:val="24"/>
              </w:rPr>
            </w:pPr>
            <w:r>
              <w:rPr>
                <w:rFonts w:hint="eastAsia" w:ascii="仿宋" w:eastAsia="仿宋" w:cs="仿宋"/>
                <w:color w:val="auto"/>
                <w:sz w:val="24"/>
                <w:szCs w:val="24"/>
              </w:rPr>
              <w:t>实践内容（含教育实习、见习、研习，专业实习、毕业论文或毕业设计等）</w:t>
            </w:r>
          </w:p>
        </w:tc>
        <w:tc>
          <w:tcPr>
            <w:tcW w:w="6457" w:type="dxa"/>
            <w:gridSpan w:val="9"/>
            <w:tcBorders>
              <w:top w:val="single" w:color="000000" w:sz="4" w:space="0"/>
              <w:left w:val="single" w:color="000000" w:sz="4" w:space="0"/>
              <w:bottom w:val="single" w:color="000000" w:sz="4" w:space="0"/>
              <w:right w:val="single" w:color="000000" w:sz="4" w:space="0"/>
            </w:tcBorders>
            <w:vAlign w:val="center"/>
          </w:tcPr>
          <w:p w14:paraId="299FB615">
            <w:pPr>
              <w:adjustRightInd w:val="0"/>
              <w:snapToGrid w:val="0"/>
              <w:jc w:val="center"/>
              <w:rPr>
                <w:rFonts w:ascii="仿宋" w:eastAsia="仿宋" w:cs="仿宋"/>
                <w:color w:val="auto"/>
                <w:sz w:val="24"/>
                <w:szCs w:val="24"/>
              </w:rPr>
            </w:pPr>
            <w:r>
              <w:rPr>
                <w:rFonts w:hint="eastAsia" w:ascii="仿宋" w:eastAsia="仿宋" w:cs="仿宋"/>
                <w:color w:val="auto"/>
                <w:sz w:val="24"/>
                <w:szCs w:val="24"/>
              </w:rPr>
              <w:t>实践主要内容和要求</w:t>
            </w:r>
          </w:p>
        </w:tc>
        <w:tc>
          <w:tcPr>
            <w:tcW w:w="765" w:type="dxa"/>
            <w:gridSpan w:val="2"/>
            <w:tcBorders>
              <w:top w:val="single" w:color="000000" w:sz="4" w:space="0"/>
              <w:left w:val="single" w:color="000000" w:sz="4" w:space="0"/>
              <w:bottom w:val="single" w:color="000000" w:sz="4" w:space="0"/>
              <w:right w:val="single" w:color="000000" w:sz="4" w:space="0"/>
            </w:tcBorders>
            <w:vAlign w:val="center"/>
          </w:tcPr>
          <w:p w14:paraId="72FBDC7D">
            <w:pPr>
              <w:adjustRightInd w:val="0"/>
              <w:snapToGrid w:val="0"/>
              <w:spacing w:line="240" w:lineRule="atLeast"/>
              <w:jc w:val="center"/>
              <w:textAlignment w:val="baseline"/>
              <w:rPr>
                <w:rFonts w:ascii="仿宋" w:eastAsia="仿宋" w:cs="仿宋"/>
                <w:color w:val="auto"/>
                <w:sz w:val="24"/>
                <w:szCs w:val="24"/>
              </w:rPr>
            </w:pPr>
            <w:r>
              <w:rPr>
                <w:rFonts w:hint="eastAsia" w:ascii="仿宋" w:eastAsia="仿宋" w:cs="仿宋"/>
                <w:color w:val="auto"/>
                <w:sz w:val="24"/>
                <w:szCs w:val="24"/>
              </w:rPr>
              <w:t>支撑课程</w:t>
            </w:r>
          </w:p>
          <w:p w14:paraId="7F192059">
            <w:pPr>
              <w:adjustRightInd w:val="0"/>
              <w:snapToGrid w:val="0"/>
              <w:spacing w:line="240" w:lineRule="atLeast"/>
              <w:jc w:val="center"/>
              <w:textAlignment w:val="baseline"/>
              <w:rPr>
                <w:rFonts w:ascii="仿宋" w:eastAsia="仿宋" w:cs="仿宋"/>
                <w:color w:val="auto"/>
                <w:kern w:val="2"/>
                <w:sz w:val="24"/>
                <w:szCs w:val="24"/>
              </w:rPr>
            </w:pPr>
            <w:r>
              <w:rPr>
                <w:rFonts w:hint="eastAsia" w:ascii="仿宋" w:eastAsia="仿宋" w:cs="仿宋"/>
                <w:color w:val="auto"/>
                <w:sz w:val="24"/>
                <w:szCs w:val="24"/>
              </w:rPr>
              <w:t>目标</w:t>
            </w:r>
          </w:p>
        </w:tc>
        <w:tc>
          <w:tcPr>
            <w:tcW w:w="614" w:type="dxa"/>
            <w:gridSpan w:val="2"/>
            <w:tcBorders>
              <w:top w:val="single" w:color="000000" w:sz="4" w:space="0"/>
              <w:left w:val="single" w:color="000000" w:sz="4" w:space="0"/>
              <w:bottom w:val="single" w:color="000000" w:sz="4" w:space="0"/>
              <w:right w:val="single" w:color="000000" w:sz="4" w:space="0"/>
            </w:tcBorders>
            <w:vAlign w:val="center"/>
          </w:tcPr>
          <w:p w14:paraId="121432C8">
            <w:pPr>
              <w:adjustRightInd w:val="0"/>
              <w:snapToGrid w:val="0"/>
              <w:jc w:val="center"/>
              <w:rPr>
                <w:rFonts w:ascii="仿宋" w:eastAsia="仿宋" w:cs="仿宋"/>
                <w:color w:val="auto"/>
                <w:sz w:val="24"/>
                <w:szCs w:val="24"/>
              </w:rPr>
            </w:pPr>
            <w:r>
              <w:rPr>
                <w:rFonts w:hint="eastAsia" w:ascii="仿宋" w:eastAsia="仿宋" w:cs="仿宋"/>
                <w:color w:val="auto"/>
                <w:sz w:val="24"/>
                <w:szCs w:val="24"/>
              </w:rPr>
              <w:t>时长</w:t>
            </w:r>
          </w:p>
          <w:p w14:paraId="68378B38">
            <w:pPr>
              <w:adjustRightInd w:val="0"/>
              <w:snapToGrid w:val="0"/>
              <w:jc w:val="center"/>
              <w:rPr>
                <w:rFonts w:ascii="仿宋" w:eastAsia="仿宋" w:cs="仿宋"/>
                <w:color w:val="auto"/>
                <w:sz w:val="24"/>
                <w:szCs w:val="24"/>
              </w:rPr>
            </w:pPr>
            <w:r>
              <w:rPr>
                <w:rFonts w:hint="eastAsia" w:ascii="仿宋" w:eastAsia="仿宋" w:cs="仿宋"/>
                <w:color w:val="auto"/>
                <w:sz w:val="24"/>
                <w:szCs w:val="24"/>
              </w:rPr>
              <w:t>分配</w:t>
            </w:r>
          </w:p>
        </w:tc>
      </w:tr>
      <w:tr w14:paraId="70AA2D2C">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vAlign w:val="center"/>
          </w:tcPr>
          <w:p w14:paraId="6AE8AFCE">
            <w:pPr>
              <w:rPr>
                <w:color w:val="auto"/>
              </w:rPr>
            </w:pPr>
          </w:p>
        </w:tc>
        <w:tc>
          <w:tcPr>
            <w:tcW w:w="6457" w:type="dxa"/>
            <w:gridSpan w:val="9"/>
            <w:tcBorders>
              <w:top w:val="single" w:color="000000" w:sz="4" w:space="0"/>
              <w:left w:val="single" w:color="000000" w:sz="4" w:space="0"/>
              <w:bottom w:val="single" w:color="000000" w:sz="4" w:space="0"/>
              <w:right w:val="single" w:color="000000" w:sz="4" w:space="0"/>
            </w:tcBorders>
          </w:tcPr>
          <w:p w14:paraId="6F926221">
            <w:pPr>
              <w:widowControl/>
              <w:autoSpaceDE w:val="0"/>
              <w:autoSpaceDN w:val="0"/>
              <w:adjustRightInd w:val="0"/>
              <w:snapToGrid w:val="0"/>
              <w:jc w:val="left"/>
              <w:textAlignment w:val="bottom"/>
              <w:rPr>
                <w:rFonts w:ascii="仿宋" w:eastAsia="仿宋" w:cs="仿宋"/>
                <w:color w:val="auto"/>
                <w:sz w:val="24"/>
                <w:szCs w:val="24"/>
              </w:rPr>
            </w:pPr>
            <w:r>
              <w:rPr>
                <w:rFonts w:hint="eastAsia" w:ascii="仿宋" w:eastAsia="仿宋" w:cs="仿宋"/>
                <w:bCs/>
                <w:color w:val="auto"/>
                <w:sz w:val="24"/>
                <w:szCs w:val="24"/>
              </w:rPr>
              <w:t xml:space="preserve">  通过在近似演奏情境下的实践，让学生适应实践中可能遇到的心理挑战以及其它问题，并在教师指导下、与同学交流中寻求解决的方法。</w:t>
            </w:r>
          </w:p>
        </w:tc>
        <w:tc>
          <w:tcPr>
            <w:tcW w:w="765" w:type="dxa"/>
            <w:gridSpan w:val="2"/>
            <w:tcBorders>
              <w:top w:val="single" w:color="000000" w:sz="4" w:space="0"/>
              <w:left w:val="single" w:color="000000" w:sz="4" w:space="0"/>
              <w:bottom w:val="single" w:color="000000" w:sz="4" w:space="0"/>
              <w:right w:val="single" w:color="000000" w:sz="4" w:space="0"/>
            </w:tcBorders>
          </w:tcPr>
          <w:p w14:paraId="0CDFA3B3">
            <w:pPr>
              <w:adjustRightInd w:val="0"/>
              <w:snapToGrid w:val="0"/>
              <w:jc w:val="left"/>
              <w:rPr>
                <w:rFonts w:ascii="仿宋" w:eastAsia="仿宋" w:cs="仿宋"/>
                <w:color w:val="auto"/>
                <w:sz w:val="24"/>
                <w:szCs w:val="24"/>
              </w:rPr>
            </w:pPr>
            <w:r>
              <w:rPr>
                <w:rFonts w:hint="eastAsia" w:ascii="仿宋" w:eastAsia="仿宋" w:cs="仿宋"/>
                <w:bCs/>
                <w:color w:val="auto"/>
                <w:sz w:val="24"/>
                <w:szCs w:val="24"/>
              </w:rPr>
              <w:t>支撑课程目标3</w:t>
            </w:r>
          </w:p>
        </w:tc>
        <w:tc>
          <w:tcPr>
            <w:tcW w:w="614" w:type="dxa"/>
            <w:gridSpan w:val="2"/>
            <w:tcBorders>
              <w:top w:val="single" w:color="000000" w:sz="4" w:space="0"/>
              <w:left w:val="single" w:color="000000" w:sz="4" w:space="0"/>
              <w:bottom w:val="single" w:color="000000" w:sz="4" w:space="0"/>
              <w:right w:val="single" w:color="000000" w:sz="4" w:space="0"/>
            </w:tcBorders>
          </w:tcPr>
          <w:p w14:paraId="063E1E86">
            <w:pPr>
              <w:adjustRightInd w:val="0"/>
              <w:snapToGrid w:val="0"/>
              <w:jc w:val="left"/>
              <w:rPr>
                <w:color w:val="auto"/>
              </w:rPr>
            </w:pPr>
            <w:r>
              <w:rPr>
                <w:rFonts w:hint="eastAsia" w:ascii="仿宋" w:eastAsia="仿宋" w:cs="仿宋"/>
                <w:color w:val="auto"/>
                <w:sz w:val="24"/>
                <w:szCs w:val="24"/>
              </w:rPr>
              <w:t>3</w:t>
            </w:r>
          </w:p>
        </w:tc>
      </w:tr>
      <w:tr w14:paraId="0B8EACE9">
        <w:trPr>
          <w:trHeight w:val="624" w:hRule="atLeast"/>
          <w:jc w:val="center"/>
        </w:trPr>
        <w:tc>
          <w:tcPr>
            <w:tcW w:w="1310" w:type="dxa"/>
            <w:tcBorders>
              <w:top w:val="single" w:color="000000" w:sz="4" w:space="0"/>
              <w:left w:val="single" w:color="000000" w:sz="4" w:space="0"/>
              <w:bottom w:val="single" w:color="000000" w:sz="4" w:space="0"/>
              <w:right w:val="single" w:color="000000" w:sz="4" w:space="0"/>
            </w:tcBorders>
            <w:vAlign w:val="center"/>
          </w:tcPr>
          <w:p w14:paraId="70933228">
            <w:pPr>
              <w:adjustRightInd w:val="0"/>
              <w:snapToGrid w:val="0"/>
              <w:spacing w:line="240" w:lineRule="atLeast"/>
              <w:jc w:val="center"/>
              <w:rPr>
                <w:rFonts w:ascii="仿宋" w:eastAsia="仿宋" w:cs="仿宋"/>
                <w:color w:val="auto"/>
                <w:sz w:val="24"/>
                <w:szCs w:val="24"/>
              </w:rPr>
            </w:pPr>
            <w:r>
              <w:rPr>
                <w:rFonts w:hint="eastAsia" w:ascii="仿宋" w:eastAsia="仿宋" w:cs="仿宋"/>
                <w:color w:val="auto"/>
                <w:sz w:val="24"/>
                <w:szCs w:val="24"/>
              </w:rPr>
              <w:t>I</w:t>
            </w:r>
          </w:p>
          <w:p w14:paraId="241E73B8">
            <w:pPr>
              <w:adjustRightInd w:val="0"/>
              <w:snapToGrid w:val="0"/>
              <w:spacing w:line="240" w:lineRule="atLeast"/>
              <w:jc w:val="center"/>
              <w:rPr>
                <w:color w:val="auto"/>
              </w:rPr>
            </w:pPr>
            <w:r>
              <w:rPr>
                <w:rFonts w:hint="eastAsia" w:ascii="仿宋" w:eastAsia="仿宋" w:cs="仿宋"/>
                <w:color w:val="auto"/>
                <w:sz w:val="24"/>
                <w:szCs w:val="24"/>
              </w:rPr>
              <w:t>教学方法与教学方式</w:t>
            </w:r>
          </w:p>
        </w:tc>
        <w:tc>
          <w:tcPr>
            <w:tcW w:w="7836" w:type="dxa"/>
            <w:gridSpan w:val="13"/>
            <w:tcBorders>
              <w:top w:val="single" w:color="000000" w:sz="4" w:space="0"/>
              <w:left w:val="single" w:color="000000" w:sz="4" w:space="0"/>
              <w:bottom w:val="single" w:color="000000" w:sz="4" w:space="0"/>
              <w:right w:val="single" w:color="000000" w:sz="4" w:space="0"/>
            </w:tcBorders>
            <w:vAlign w:val="center"/>
          </w:tcPr>
          <w:p w14:paraId="4432FC0C">
            <w:pPr>
              <w:numPr>
                <w:ilvl w:val="0"/>
                <w:numId w:val="15"/>
              </w:numPr>
              <w:adjustRightInd w:val="0"/>
              <w:snapToGrid w:val="0"/>
              <w:rPr>
                <w:rFonts w:ascii="仿宋" w:eastAsia="仿宋" w:cs="仿宋"/>
                <w:color w:val="auto"/>
                <w:sz w:val="24"/>
                <w:szCs w:val="24"/>
              </w:rPr>
            </w:pPr>
            <w:r>
              <w:rPr>
                <w:rFonts w:hint="eastAsia" w:ascii="仿宋" w:eastAsia="仿宋" w:cs="仿宋"/>
                <w:color w:val="auto"/>
                <w:sz w:val="24"/>
                <w:szCs w:val="24"/>
              </w:rPr>
              <w:t>本课程以课堂讲授与练习相结合，采用小组课的授课方式，对学生进行有针对性的集体教学。</w:t>
            </w:r>
          </w:p>
          <w:p w14:paraId="57AB9FDE">
            <w:pPr>
              <w:numPr>
                <w:ilvl w:val="0"/>
                <w:numId w:val="15"/>
              </w:numPr>
              <w:adjustRightInd w:val="0"/>
              <w:snapToGrid w:val="0"/>
              <w:rPr>
                <w:rFonts w:ascii="仿宋" w:eastAsia="仿宋" w:cs="仿宋"/>
                <w:color w:val="auto"/>
                <w:sz w:val="24"/>
                <w:szCs w:val="24"/>
              </w:rPr>
            </w:pPr>
            <w:r>
              <w:rPr>
                <w:rFonts w:hint="eastAsia" w:ascii="仿宋" w:eastAsia="仿宋" w:cs="仿宋"/>
                <w:color w:val="auto"/>
                <w:sz w:val="24"/>
                <w:szCs w:val="24"/>
              </w:rPr>
              <w:t>开通网络课堂，达到与学生及时沟通、交流的目的。同时重视师生互动与小组活动，组织课堂小组讨论和小组练习，将课堂教学变为师生共同活动的过程。</w:t>
            </w:r>
          </w:p>
          <w:p w14:paraId="51283301">
            <w:pPr>
              <w:numPr>
                <w:ilvl w:val="0"/>
                <w:numId w:val="15"/>
              </w:numPr>
              <w:adjustRightInd w:val="0"/>
              <w:snapToGrid w:val="0"/>
              <w:rPr>
                <w:rFonts w:ascii="仿宋" w:eastAsia="仿宋" w:cs="仿宋"/>
                <w:color w:val="auto"/>
                <w:sz w:val="24"/>
                <w:szCs w:val="24"/>
              </w:rPr>
            </w:pPr>
            <w:r>
              <w:rPr>
                <w:rFonts w:hint="eastAsia" w:ascii="仿宋" w:eastAsia="仿宋" w:cs="仿宋"/>
                <w:color w:val="auto"/>
                <w:sz w:val="24"/>
                <w:szCs w:val="24"/>
              </w:rPr>
              <w:t>主要方式：</w:t>
            </w:r>
          </w:p>
          <w:p w14:paraId="20E3E5AA">
            <w:pPr>
              <w:adjustRightInd w:val="0"/>
              <w:snapToGrid w:val="0"/>
              <w:ind w:firstLine="480" w:firstLineChars="200"/>
              <w:rPr>
                <w:rFonts w:ascii="仿宋" w:eastAsia="仿宋" w:cs="仿宋"/>
                <w:color w:val="auto"/>
                <w:sz w:val="24"/>
                <w:szCs w:val="24"/>
              </w:rPr>
            </w:pPr>
            <w:r>
              <w:rPr>
                <w:rFonts w:ascii="仿宋" w:eastAsia="仿宋" w:cs="仿宋"/>
                <w:color w:val="auto"/>
                <w:sz w:val="24"/>
                <w:szCs w:val="24"/>
              </w:rPr>
              <w:sym w:font="Wingdings" w:char="00FE"/>
            </w:r>
            <w:r>
              <w:rPr>
                <w:rFonts w:hint="eastAsia" w:ascii="仿宋" w:eastAsia="仿宋" w:cs="仿宋"/>
                <w:color w:val="auto"/>
                <w:sz w:val="24"/>
                <w:szCs w:val="24"/>
              </w:rPr>
              <w:t xml:space="preserve">讲授  </w:t>
            </w:r>
            <w:r>
              <w:rPr>
                <w:rFonts w:ascii="仿宋" w:eastAsia="仿宋" w:cs="仿宋"/>
                <w:color w:val="auto"/>
                <w:sz w:val="24"/>
                <w:szCs w:val="24"/>
              </w:rPr>
              <w:sym w:font="Wingdings" w:char="00FE"/>
            </w:r>
            <w:r>
              <w:rPr>
                <w:rFonts w:hint="eastAsia" w:ascii="仿宋" w:eastAsia="仿宋" w:cs="仿宋"/>
                <w:color w:val="auto"/>
                <w:sz w:val="24"/>
                <w:szCs w:val="24"/>
              </w:rPr>
              <w:t xml:space="preserve">网络学习  </w:t>
            </w:r>
            <w:r>
              <w:rPr>
                <w:rFonts w:ascii="仿宋" w:eastAsia="仿宋" w:cs="仿宋"/>
                <w:color w:val="auto"/>
                <w:sz w:val="24"/>
                <w:szCs w:val="24"/>
              </w:rPr>
              <w:sym w:font="Wingdings" w:char="00FE"/>
            </w:r>
            <w:r>
              <w:rPr>
                <w:rFonts w:hint="eastAsia" w:ascii="仿宋" w:eastAsia="仿宋" w:cs="仿宋"/>
                <w:color w:val="auto"/>
                <w:sz w:val="24"/>
                <w:szCs w:val="24"/>
              </w:rPr>
              <w:t xml:space="preserve">讨论或座谈  </w:t>
            </w:r>
            <w:r>
              <w:rPr>
                <w:rFonts w:ascii="仿宋" w:eastAsia="仿宋" w:cs="仿宋"/>
                <w:color w:val="auto"/>
                <w:sz w:val="24"/>
                <w:szCs w:val="24"/>
              </w:rPr>
              <w:sym w:font="Wingdings" w:char="00A8"/>
            </w:r>
            <w:r>
              <w:rPr>
                <w:rFonts w:hint="eastAsia" w:ascii="仿宋" w:eastAsia="仿宋" w:cs="仿宋"/>
                <w:color w:val="auto"/>
                <w:sz w:val="24"/>
                <w:szCs w:val="24"/>
              </w:rPr>
              <w:t xml:space="preserve">问题导向学  </w:t>
            </w:r>
          </w:p>
          <w:p w14:paraId="25BCF320">
            <w:pPr>
              <w:adjustRightInd w:val="0"/>
              <w:snapToGrid w:val="0"/>
              <w:ind w:firstLine="480" w:firstLineChars="200"/>
              <w:rPr>
                <w:rFonts w:ascii="仿宋" w:eastAsia="仿宋" w:cs="仿宋"/>
                <w:color w:val="auto"/>
                <w:sz w:val="24"/>
                <w:szCs w:val="24"/>
              </w:rPr>
            </w:pPr>
            <w:r>
              <w:rPr>
                <w:rFonts w:ascii="仿宋" w:eastAsia="仿宋" w:cs="仿宋"/>
                <w:color w:val="auto"/>
                <w:sz w:val="24"/>
                <w:szCs w:val="24"/>
              </w:rPr>
              <w:sym w:font="Wingdings" w:char="00FE"/>
            </w:r>
            <w:r>
              <w:rPr>
                <w:rFonts w:hint="eastAsia" w:ascii="仿宋" w:eastAsia="仿宋" w:cs="仿宋"/>
                <w:color w:val="auto"/>
                <w:sz w:val="24"/>
                <w:szCs w:val="24"/>
              </w:rPr>
              <w:t xml:space="preserve">分组合作学习  </w:t>
            </w:r>
            <w:r>
              <w:rPr>
                <w:rFonts w:ascii="仿宋" w:eastAsia="仿宋" w:cs="仿宋"/>
                <w:color w:val="auto"/>
                <w:sz w:val="24"/>
                <w:szCs w:val="24"/>
              </w:rPr>
              <w:sym w:font="Wingdings" w:char="00A8"/>
            </w:r>
            <w:r>
              <w:rPr>
                <w:rFonts w:hint="eastAsia" w:ascii="仿宋" w:eastAsia="仿宋" w:cs="仿宋"/>
                <w:color w:val="auto"/>
                <w:sz w:val="24"/>
                <w:szCs w:val="24"/>
              </w:rPr>
              <w:t xml:space="preserve">专题学习  </w:t>
            </w:r>
            <w:r>
              <w:rPr>
                <w:rFonts w:ascii="仿宋" w:eastAsia="仿宋" w:cs="仿宋"/>
                <w:color w:val="auto"/>
                <w:sz w:val="24"/>
                <w:szCs w:val="24"/>
              </w:rPr>
              <w:sym w:font="Wingdings" w:char="00FE"/>
            </w:r>
            <w:r>
              <w:rPr>
                <w:rFonts w:hint="eastAsia" w:ascii="仿宋" w:eastAsia="仿宋" w:cs="仿宋"/>
                <w:color w:val="auto"/>
                <w:sz w:val="24"/>
                <w:szCs w:val="24"/>
              </w:rPr>
              <w:t xml:space="preserve">实作学习  </w:t>
            </w:r>
            <w:r>
              <w:rPr>
                <w:rFonts w:ascii="仿宋" w:eastAsia="仿宋" w:cs="仿宋"/>
                <w:color w:val="auto"/>
                <w:sz w:val="24"/>
                <w:szCs w:val="24"/>
              </w:rPr>
              <w:sym w:font="Wingdings" w:char="00A8"/>
            </w:r>
            <w:r>
              <w:rPr>
                <w:rFonts w:hint="eastAsia" w:ascii="仿宋" w:eastAsia="仿宋" w:cs="仿宋"/>
                <w:color w:val="auto"/>
                <w:sz w:val="24"/>
                <w:szCs w:val="24"/>
              </w:rPr>
              <w:t xml:space="preserve">发表学习  </w:t>
            </w:r>
          </w:p>
          <w:p w14:paraId="69F273E2">
            <w:pPr>
              <w:adjustRightInd w:val="0"/>
              <w:snapToGrid w:val="0"/>
              <w:ind w:firstLine="480" w:firstLineChars="200"/>
              <w:rPr>
                <w:rFonts w:ascii="仿宋" w:eastAsia="仿宋" w:cs="仿宋"/>
                <w:color w:val="auto"/>
                <w:sz w:val="24"/>
                <w:szCs w:val="24"/>
              </w:rPr>
            </w:pPr>
            <w:r>
              <w:rPr>
                <w:rFonts w:ascii="仿宋" w:eastAsia="仿宋" w:cs="仿宋"/>
                <w:color w:val="auto"/>
                <w:sz w:val="24"/>
                <w:szCs w:val="24"/>
              </w:rPr>
              <w:sym w:font="Wingdings" w:char="00A8"/>
            </w:r>
            <w:r>
              <w:rPr>
                <w:rFonts w:hint="eastAsia" w:ascii="仿宋" w:eastAsia="仿宋" w:cs="仿宋"/>
                <w:color w:val="auto"/>
                <w:sz w:val="24"/>
                <w:szCs w:val="24"/>
              </w:rPr>
              <w:t xml:space="preserve">实习  </w:t>
            </w:r>
            <w:r>
              <w:rPr>
                <w:rFonts w:ascii="仿宋" w:eastAsia="仿宋" w:cs="仿宋"/>
                <w:color w:val="auto"/>
                <w:sz w:val="24"/>
                <w:szCs w:val="24"/>
              </w:rPr>
              <w:sym w:font="Wingdings" w:char="00A8"/>
            </w:r>
            <w:r>
              <w:rPr>
                <w:rFonts w:hint="eastAsia" w:ascii="仿宋" w:eastAsia="仿宋" w:cs="仿宋"/>
                <w:color w:val="auto"/>
                <w:sz w:val="24"/>
                <w:szCs w:val="24"/>
              </w:rPr>
              <w:t xml:space="preserve">参观访问  </w:t>
            </w:r>
            <w:r>
              <w:rPr>
                <w:rFonts w:ascii="仿宋" w:eastAsia="仿宋" w:cs="仿宋"/>
                <w:color w:val="auto"/>
                <w:sz w:val="24"/>
                <w:szCs w:val="24"/>
              </w:rPr>
              <w:sym w:font="Wingdings" w:char="00A8"/>
            </w:r>
            <w:r>
              <w:rPr>
                <w:rFonts w:hint="eastAsia" w:ascii="仿宋" w:eastAsia="仿宋" w:cs="仿宋"/>
                <w:color w:val="auto"/>
                <w:sz w:val="24"/>
                <w:szCs w:val="24"/>
              </w:rPr>
              <w:t>其它：        (如口头训练等)</w:t>
            </w:r>
          </w:p>
        </w:tc>
      </w:tr>
      <w:tr w14:paraId="6A9355FC">
        <w:trPr>
          <w:trHeight w:val="624" w:hRule="atLeast"/>
          <w:jc w:val="center"/>
        </w:trPr>
        <w:tc>
          <w:tcPr>
            <w:tcW w:w="1310" w:type="dxa"/>
            <w:tcBorders>
              <w:top w:val="single" w:color="000000" w:sz="4" w:space="0"/>
              <w:left w:val="single" w:color="000000" w:sz="4" w:space="0"/>
              <w:bottom w:val="single" w:color="000000" w:sz="4" w:space="0"/>
              <w:right w:val="single" w:color="000000" w:sz="4" w:space="0"/>
            </w:tcBorders>
            <w:vAlign w:val="center"/>
          </w:tcPr>
          <w:p w14:paraId="538EE700">
            <w:pPr>
              <w:adjustRightInd w:val="0"/>
              <w:snapToGrid w:val="0"/>
              <w:spacing w:line="240" w:lineRule="atLeast"/>
              <w:jc w:val="center"/>
              <w:rPr>
                <w:rFonts w:ascii="仿宋" w:eastAsia="仿宋" w:cs="仿宋"/>
                <w:color w:val="auto"/>
                <w:sz w:val="24"/>
                <w:szCs w:val="24"/>
              </w:rPr>
            </w:pPr>
            <w:r>
              <w:rPr>
                <w:rFonts w:hint="eastAsia" w:ascii="仿宋" w:eastAsia="仿宋" w:cs="仿宋"/>
                <w:color w:val="auto"/>
                <w:sz w:val="24"/>
                <w:szCs w:val="24"/>
              </w:rPr>
              <w:t>J</w:t>
            </w:r>
          </w:p>
          <w:p w14:paraId="636852E2">
            <w:pPr>
              <w:adjustRightInd w:val="0"/>
              <w:snapToGrid w:val="0"/>
              <w:spacing w:line="240" w:lineRule="atLeast"/>
              <w:jc w:val="center"/>
              <w:rPr>
                <w:rFonts w:ascii="仿宋" w:eastAsia="仿宋" w:cs="仿宋"/>
                <w:color w:val="auto"/>
                <w:sz w:val="24"/>
                <w:szCs w:val="24"/>
              </w:rPr>
            </w:pPr>
            <w:r>
              <w:rPr>
                <w:rFonts w:hint="eastAsia" w:ascii="仿宋" w:eastAsia="仿宋" w:cs="仿宋"/>
                <w:color w:val="auto"/>
                <w:sz w:val="24"/>
                <w:szCs w:val="24"/>
              </w:rPr>
              <w:t>教学条件</w:t>
            </w:r>
          </w:p>
          <w:p w14:paraId="022FAD28">
            <w:pPr>
              <w:adjustRightInd w:val="0"/>
              <w:snapToGrid w:val="0"/>
              <w:spacing w:line="240" w:lineRule="atLeast"/>
              <w:jc w:val="center"/>
              <w:rPr>
                <w:color w:val="auto"/>
              </w:rPr>
            </w:pPr>
            <w:r>
              <w:rPr>
                <w:rFonts w:hint="eastAsia" w:ascii="仿宋" w:eastAsia="仿宋" w:cs="仿宋"/>
                <w:color w:val="auto"/>
                <w:sz w:val="24"/>
                <w:szCs w:val="24"/>
              </w:rPr>
              <w:t>需求</w:t>
            </w:r>
          </w:p>
        </w:tc>
        <w:tc>
          <w:tcPr>
            <w:tcW w:w="7836" w:type="dxa"/>
            <w:gridSpan w:val="13"/>
            <w:tcBorders>
              <w:top w:val="single" w:color="000000" w:sz="4" w:space="0"/>
              <w:left w:val="single" w:color="000000" w:sz="4" w:space="0"/>
              <w:bottom w:val="single" w:color="000000" w:sz="4" w:space="0"/>
              <w:right w:val="single" w:color="000000" w:sz="4" w:space="0"/>
            </w:tcBorders>
            <w:vAlign w:val="center"/>
          </w:tcPr>
          <w:p w14:paraId="4E734884">
            <w:pPr>
              <w:tabs>
                <w:tab w:val="left" w:pos="720"/>
              </w:tabs>
              <w:adjustRightInd w:val="0"/>
              <w:snapToGrid w:val="0"/>
              <w:spacing w:line="240" w:lineRule="atLeast"/>
              <w:rPr>
                <w:rFonts w:ascii="仿宋" w:eastAsia="仿宋" w:cs="仿宋"/>
                <w:color w:val="auto"/>
                <w:sz w:val="24"/>
                <w:szCs w:val="24"/>
              </w:rPr>
            </w:pPr>
            <w:r>
              <w:rPr>
                <w:rFonts w:hint="eastAsia" w:ascii="仿宋" w:eastAsia="仿宋" w:cs="仿宋"/>
                <w:color w:val="auto"/>
                <w:sz w:val="24"/>
                <w:szCs w:val="24"/>
              </w:rPr>
              <w:t>（如时间、地点安排与“一课双师”等教师配备需求等）</w:t>
            </w:r>
          </w:p>
          <w:p w14:paraId="0BB74778">
            <w:pPr>
              <w:tabs>
                <w:tab w:val="left" w:pos="720"/>
              </w:tabs>
              <w:adjustRightInd w:val="0"/>
              <w:snapToGrid w:val="0"/>
              <w:rPr>
                <w:rFonts w:ascii="仿宋" w:eastAsia="仿宋" w:cs="仿宋"/>
                <w:color w:val="auto"/>
                <w:sz w:val="24"/>
                <w:szCs w:val="24"/>
              </w:rPr>
            </w:pPr>
            <w:r>
              <w:rPr>
                <w:rFonts w:hint="eastAsia" w:ascii="仿宋" w:eastAsia="仿宋" w:cs="仿宋"/>
                <w:color w:val="auto"/>
                <w:sz w:val="24"/>
                <w:szCs w:val="24"/>
              </w:rPr>
              <w:t>需要钢琴、演艺厅、教学琴房等教学场所等工具需求。</w:t>
            </w:r>
          </w:p>
        </w:tc>
      </w:tr>
      <w:tr w14:paraId="48E726FC">
        <w:trPr>
          <w:trHeight w:val="624" w:hRule="atLeast"/>
          <w:jc w:val="center"/>
        </w:trPr>
        <w:tc>
          <w:tcPr>
            <w:tcW w:w="1310" w:type="dxa"/>
            <w:vMerge w:val="restart"/>
            <w:tcBorders>
              <w:top w:val="single" w:color="000000" w:sz="4" w:space="0"/>
              <w:left w:val="single" w:color="000000" w:sz="4" w:space="0"/>
              <w:bottom w:val="single" w:color="000000" w:sz="4" w:space="0"/>
              <w:right w:val="single" w:color="000000" w:sz="4" w:space="0"/>
            </w:tcBorders>
            <w:vAlign w:val="center"/>
          </w:tcPr>
          <w:p w14:paraId="1B74E0AC">
            <w:pPr>
              <w:adjustRightInd w:val="0"/>
              <w:snapToGrid w:val="0"/>
              <w:spacing w:line="240" w:lineRule="atLeast"/>
              <w:jc w:val="center"/>
              <w:rPr>
                <w:rFonts w:ascii="仿宋" w:eastAsia="仿宋" w:cs="仿宋"/>
                <w:color w:val="auto"/>
                <w:sz w:val="24"/>
                <w:szCs w:val="24"/>
              </w:rPr>
            </w:pPr>
            <w:r>
              <w:rPr>
                <w:rFonts w:hint="eastAsia" w:ascii="仿宋" w:eastAsia="仿宋" w:cs="仿宋"/>
                <w:color w:val="auto"/>
                <w:sz w:val="24"/>
                <w:szCs w:val="24"/>
              </w:rPr>
              <w:t>K</w:t>
            </w:r>
          </w:p>
          <w:p w14:paraId="6C47A938">
            <w:pPr>
              <w:adjustRightInd w:val="0"/>
              <w:snapToGrid w:val="0"/>
              <w:spacing w:line="240" w:lineRule="atLeast"/>
              <w:jc w:val="center"/>
              <w:rPr>
                <w:color w:val="auto"/>
              </w:rPr>
            </w:pPr>
            <w:r>
              <w:rPr>
                <w:rFonts w:hint="eastAsia" w:ascii="仿宋" w:eastAsia="仿宋" w:cs="仿宋"/>
                <w:color w:val="auto"/>
                <w:sz w:val="24"/>
                <w:szCs w:val="24"/>
              </w:rPr>
              <w:t>课程目标及其考核内容、考核方式及评分占比</w:t>
            </w:r>
          </w:p>
        </w:tc>
        <w:tc>
          <w:tcPr>
            <w:tcW w:w="1140" w:type="dxa"/>
            <w:gridSpan w:val="2"/>
            <w:vMerge w:val="restart"/>
            <w:tcBorders>
              <w:top w:val="single" w:color="000000" w:sz="4" w:space="0"/>
              <w:left w:val="single" w:color="000000" w:sz="4" w:space="0"/>
              <w:bottom w:val="single" w:color="000000" w:sz="4" w:space="0"/>
              <w:right w:val="single" w:color="000000" w:sz="4" w:space="0"/>
            </w:tcBorders>
            <w:vAlign w:val="center"/>
          </w:tcPr>
          <w:p w14:paraId="2E394FB2">
            <w:pPr>
              <w:adjustRightInd w:val="0"/>
              <w:snapToGrid w:val="0"/>
              <w:rPr>
                <w:rFonts w:ascii="仿宋" w:eastAsia="仿宋" w:cs="仿宋"/>
                <w:bCs/>
                <w:color w:val="auto"/>
                <w:sz w:val="24"/>
                <w:szCs w:val="24"/>
              </w:rPr>
            </w:pPr>
            <w:r>
              <w:rPr>
                <w:rFonts w:hint="eastAsia" w:ascii="仿宋" w:eastAsia="仿宋" w:cs="仿宋"/>
                <w:color w:val="auto"/>
                <w:sz w:val="24"/>
                <w:szCs w:val="24"/>
              </w:rPr>
              <w:t>课程目标及评分占比</w:t>
            </w:r>
          </w:p>
        </w:tc>
        <w:tc>
          <w:tcPr>
            <w:tcW w:w="4503" w:type="dxa"/>
            <w:gridSpan w:val="4"/>
            <w:vMerge w:val="restart"/>
            <w:tcBorders>
              <w:top w:val="single" w:color="000000" w:sz="4" w:space="0"/>
              <w:left w:val="single" w:color="000000" w:sz="4" w:space="0"/>
              <w:bottom w:val="single" w:color="000000" w:sz="4" w:space="0"/>
              <w:right w:val="single" w:color="000000" w:sz="4" w:space="0"/>
            </w:tcBorders>
            <w:vAlign w:val="center"/>
          </w:tcPr>
          <w:p w14:paraId="102FC9D8">
            <w:pPr>
              <w:tabs>
                <w:tab w:val="left" w:pos="720"/>
              </w:tabs>
              <w:adjustRightInd w:val="0"/>
              <w:snapToGrid w:val="0"/>
              <w:jc w:val="center"/>
              <w:rPr>
                <w:rFonts w:ascii="仿宋" w:eastAsia="仿宋" w:cs="仿宋"/>
                <w:bCs/>
                <w:color w:val="auto"/>
                <w:sz w:val="24"/>
                <w:szCs w:val="24"/>
              </w:rPr>
            </w:pPr>
            <w:r>
              <w:rPr>
                <w:rFonts w:hint="eastAsia" w:ascii="仿宋" w:eastAsia="仿宋" w:cs="仿宋"/>
                <w:color w:val="auto"/>
                <w:sz w:val="24"/>
                <w:szCs w:val="24"/>
              </w:rPr>
              <w:t>考核内容</w:t>
            </w:r>
          </w:p>
        </w:tc>
        <w:tc>
          <w:tcPr>
            <w:tcW w:w="1801" w:type="dxa"/>
            <w:gridSpan w:val="6"/>
            <w:tcBorders>
              <w:top w:val="single" w:color="000000" w:sz="4" w:space="0"/>
              <w:left w:val="single" w:color="000000" w:sz="4" w:space="0"/>
              <w:bottom w:val="single" w:color="000000" w:sz="4" w:space="0"/>
              <w:right w:val="single" w:color="000000" w:sz="4" w:space="0"/>
            </w:tcBorders>
            <w:vAlign w:val="center"/>
          </w:tcPr>
          <w:p w14:paraId="5BC463EA">
            <w:pPr>
              <w:adjustRightInd w:val="0"/>
              <w:snapToGrid w:val="0"/>
              <w:jc w:val="center"/>
              <w:rPr>
                <w:rFonts w:ascii="仿宋" w:eastAsia="仿宋" w:cs="仿宋"/>
                <w:bCs/>
                <w:color w:val="auto"/>
                <w:sz w:val="24"/>
                <w:szCs w:val="24"/>
              </w:rPr>
            </w:pPr>
            <w:r>
              <w:rPr>
                <w:rFonts w:hint="eastAsia" w:ascii="仿宋" w:eastAsia="仿宋" w:cs="仿宋"/>
                <w:color w:val="auto"/>
                <w:sz w:val="24"/>
                <w:szCs w:val="24"/>
              </w:rPr>
              <w:t>考核方式</w:t>
            </w:r>
          </w:p>
        </w:tc>
        <w:tc>
          <w:tcPr>
            <w:tcW w:w="392" w:type="dxa"/>
            <w:vMerge w:val="restart"/>
            <w:tcBorders>
              <w:top w:val="single" w:color="000000" w:sz="4" w:space="0"/>
              <w:left w:val="single" w:color="000000" w:sz="4" w:space="0"/>
              <w:bottom w:val="single" w:color="000000" w:sz="4" w:space="0"/>
              <w:right w:val="single" w:color="000000" w:sz="4" w:space="0"/>
            </w:tcBorders>
            <w:vAlign w:val="center"/>
          </w:tcPr>
          <w:p w14:paraId="1605C371">
            <w:pPr>
              <w:tabs>
                <w:tab w:val="left" w:pos="720"/>
              </w:tabs>
              <w:adjustRightInd w:val="0"/>
              <w:snapToGrid w:val="0"/>
              <w:jc w:val="center"/>
              <w:rPr>
                <w:rFonts w:ascii="仿宋" w:eastAsia="仿宋" w:cs="仿宋"/>
                <w:color w:val="auto"/>
                <w:sz w:val="24"/>
                <w:szCs w:val="24"/>
              </w:rPr>
            </w:pPr>
            <w:r>
              <w:rPr>
                <w:rFonts w:hint="eastAsia" w:ascii="仿宋" w:eastAsia="仿宋" w:cs="仿宋"/>
                <w:color w:val="auto"/>
                <w:sz w:val="24"/>
                <w:szCs w:val="24"/>
              </w:rPr>
              <w:t>课程分目标的预期达成度</w:t>
            </w:r>
          </w:p>
        </w:tc>
      </w:tr>
      <w:tr w14:paraId="2F1AD255">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vAlign w:val="center"/>
          </w:tcPr>
          <w:p w14:paraId="09D117CD">
            <w:pPr>
              <w:rPr>
                <w:color w:val="auto"/>
              </w:rPr>
            </w:pPr>
          </w:p>
        </w:tc>
        <w:tc>
          <w:tcPr>
            <w:tcW w:w="1140"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200AA43E">
            <w:pPr>
              <w:rPr>
                <w:rFonts w:ascii="仿宋" w:eastAsia="仿宋" w:cs="宋体"/>
                <w:color w:val="auto"/>
                <w:kern w:val="2"/>
                <w:sz w:val="24"/>
                <w:szCs w:val="24"/>
              </w:rPr>
            </w:pPr>
          </w:p>
        </w:tc>
        <w:tc>
          <w:tcPr>
            <w:tcW w:w="4503" w:type="dxa"/>
            <w:gridSpan w:val="4"/>
            <w:vMerge w:val="continue"/>
            <w:tcBorders>
              <w:top w:val="single" w:color="000000" w:sz="4" w:space="0"/>
              <w:left w:val="single" w:color="000000" w:sz="4" w:space="0"/>
              <w:bottom w:val="single" w:color="000000" w:sz="4" w:space="0"/>
              <w:right w:val="single" w:color="000000" w:sz="4" w:space="0"/>
            </w:tcBorders>
            <w:vAlign w:val="center"/>
          </w:tcPr>
          <w:p w14:paraId="4473B6A1">
            <w:pPr>
              <w:rPr>
                <w:color w:val="auto"/>
              </w:rPr>
            </w:pPr>
          </w:p>
        </w:tc>
        <w:tc>
          <w:tcPr>
            <w:tcW w:w="613" w:type="dxa"/>
            <w:tcBorders>
              <w:top w:val="single" w:color="000000" w:sz="4" w:space="0"/>
              <w:left w:val="single" w:color="000000" w:sz="4" w:space="0"/>
              <w:bottom w:val="single" w:color="000000" w:sz="4" w:space="0"/>
              <w:right w:val="single" w:color="000000" w:sz="4" w:space="0"/>
            </w:tcBorders>
            <w:vAlign w:val="center"/>
          </w:tcPr>
          <w:p w14:paraId="2154EA67">
            <w:pPr>
              <w:adjustRightInd w:val="0"/>
              <w:snapToGrid w:val="0"/>
              <w:jc w:val="center"/>
              <w:rPr>
                <w:rFonts w:ascii="仿宋" w:eastAsia="仿宋" w:cs="仿宋"/>
                <w:bCs/>
                <w:color w:val="auto"/>
                <w:sz w:val="24"/>
                <w:szCs w:val="24"/>
              </w:rPr>
            </w:pPr>
            <w:r>
              <w:rPr>
                <w:rFonts w:hint="eastAsia" w:ascii="仿宋" w:eastAsia="仿宋" w:cs="仿宋"/>
                <w:color w:val="auto"/>
                <w:sz w:val="24"/>
                <w:szCs w:val="24"/>
              </w:rPr>
              <w:t>平时成绩评分占比（30%）</w:t>
            </w:r>
          </w:p>
        </w:tc>
        <w:tc>
          <w:tcPr>
            <w:tcW w:w="591" w:type="dxa"/>
            <w:gridSpan w:val="3"/>
            <w:tcBorders>
              <w:top w:val="single" w:color="000000" w:sz="4" w:space="0"/>
              <w:left w:val="single" w:color="000000" w:sz="4" w:space="0"/>
              <w:bottom w:val="single" w:color="000000" w:sz="4" w:space="0"/>
              <w:right w:val="single" w:color="000000" w:sz="4" w:space="0"/>
            </w:tcBorders>
            <w:vAlign w:val="center"/>
          </w:tcPr>
          <w:p w14:paraId="000CAFB3">
            <w:pPr>
              <w:adjustRightInd w:val="0"/>
              <w:snapToGrid w:val="0"/>
              <w:jc w:val="center"/>
              <w:rPr>
                <w:rFonts w:ascii="仿宋" w:eastAsia="仿宋" w:cs="仿宋"/>
                <w:bCs/>
                <w:color w:val="auto"/>
                <w:sz w:val="24"/>
                <w:szCs w:val="24"/>
              </w:rPr>
            </w:pPr>
            <w:r>
              <w:rPr>
                <w:rFonts w:hint="eastAsia" w:ascii="仿宋" w:eastAsia="仿宋" w:cs="仿宋"/>
                <w:color w:val="auto"/>
                <w:sz w:val="24"/>
                <w:szCs w:val="24"/>
              </w:rPr>
              <w:t>期中</w:t>
            </w:r>
            <w:r>
              <w:rPr>
                <w:rFonts w:ascii="仿宋" w:eastAsia="仿宋" w:cs="仿宋"/>
                <w:color w:val="auto"/>
                <w:sz w:val="24"/>
                <w:szCs w:val="24"/>
              </w:rPr>
              <w:t>考试</w:t>
            </w:r>
            <w:r>
              <w:rPr>
                <w:rFonts w:hint="eastAsia" w:ascii="仿宋" w:eastAsia="仿宋" w:cs="仿宋"/>
                <w:color w:val="auto"/>
                <w:sz w:val="24"/>
                <w:szCs w:val="24"/>
              </w:rPr>
              <w:t>评分占比（30%）</w:t>
            </w:r>
          </w:p>
        </w:tc>
        <w:tc>
          <w:tcPr>
            <w:tcW w:w="597" w:type="dxa"/>
            <w:gridSpan w:val="2"/>
            <w:tcBorders>
              <w:top w:val="single" w:color="000000" w:sz="4" w:space="0"/>
              <w:left w:val="single" w:color="000000" w:sz="4" w:space="0"/>
              <w:bottom w:val="single" w:color="000000" w:sz="4" w:space="0"/>
              <w:right w:val="single" w:color="000000" w:sz="4" w:space="0"/>
            </w:tcBorders>
            <w:vAlign w:val="center"/>
          </w:tcPr>
          <w:p w14:paraId="6D9F782D">
            <w:pPr>
              <w:adjustRightInd w:val="0"/>
              <w:snapToGrid w:val="0"/>
              <w:jc w:val="center"/>
              <w:rPr>
                <w:rFonts w:ascii="仿宋" w:eastAsia="仿宋" w:cs="仿宋"/>
                <w:bCs/>
                <w:color w:val="auto"/>
                <w:sz w:val="24"/>
                <w:szCs w:val="24"/>
              </w:rPr>
            </w:pPr>
            <w:r>
              <w:rPr>
                <w:rFonts w:hint="eastAsia" w:ascii="仿宋" w:eastAsia="仿宋" w:cs="仿宋"/>
                <w:color w:val="auto"/>
                <w:sz w:val="24"/>
                <w:szCs w:val="24"/>
              </w:rPr>
              <w:t>期末考试评分占比（40%）</w:t>
            </w:r>
          </w:p>
        </w:tc>
        <w:tc>
          <w:tcPr>
            <w:tcW w:w="392" w:type="dxa"/>
            <w:vMerge w:val="continue"/>
            <w:tcBorders>
              <w:top w:val="single" w:color="000000" w:sz="4" w:space="0"/>
              <w:left w:val="single" w:color="000000" w:sz="4" w:space="0"/>
              <w:bottom w:val="single" w:color="000000" w:sz="4" w:space="0"/>
              <w:right w:val="single" w:color="000000" w:sz="4" w:space="0"/>
            </w:tcBorders>
            <w:vAlign w:val="center"/>
          </w:tcPr>
          <w:p w14:paraId="2907D185">
            <w:pPr>
              <w:rPr>
                <w:rFonts w:ascii="仿宋" w:eastAsia="仿宋" w:cs="仿宋"/>
                <w:color w:val="auto"/>
                <w:sz w:val="24"/>
                <w:szCs w:val="24"/>
              </w:rPr>
            </w:pPr>
          </w:p>
        </w:tc>
      </w:tr>
      <w:tr w14:paraId="30920272">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vAlign w:val="center"/>
          </w:tcPr>
          <w:p w14:paraId="088B1FAA">
            <w:pPr>
              <w:rPr>
                <w:rFonts w:ascii="仿宋" w:eastAsia="仿宋" w:cs="仿宋"/>
                <w:color w:val="auto"/>
                <w:kern w:val="2"/>
                <w:sz w:val="24"/>
                <w:szCs w:val="24"/>
              </w:rPr>
            </w:pPr>
          </w:p>
        </w:tc>
        <w:tc>
          <w:tcPr>
            <w:tcW w:w="1140" w:type="dxa"/>
            <w:gridSpan w:val="2"/>
            <w:tcBorders>
              <w:top w:val="single" w:color="000000" w:sz="4" w:space="0"/>
              <w:left w:val="single" w:color="000000" w:sz="4" w:space="0"/>
              <w:bottom w:val="single" w:color="000000" w:sz="4" w:space="0"/>
              <w:right w:val="single" w:color="000000" w:sz="4" w:space="0"/>
            </w:tcBorders>
            <w:vAlign w:val="center"/>
          </w:tcPr>
          <w:p w14:paraId="413001AD">
            <w:pPr>
              <w:tabs>
                <w:tab w:val="left" w:pos="720"/>
              </w:tabs>
              <w:adjustRightInd w:val="0"/>
              <w:snapToGrid w:val="0"/>
              <w:spacing w:line="240" w:lineRule="atLeast"/>
              <w:jc w:val="center"/>
              <w:rPr>
                <w:rFonts w:ascii="仿宋" w:eastAsia="仿宋" w:cs="仿宋"/>
                <w:color w:val="auto"/>
                <w:sz w:val="24"/>
                <w:szCs w:val="24"/>
              </w:rPr>
            </w:pPr>
            <w:r>
              <w:rPr>
                <w:rFonts w:hint="eastAsia" w:ascii="仿宋" w:eastAsia="仿宋" w:cs="仿宋"/>
                <w:color w:val="auto"/>
                <w:sz w:val="24"/>
                <w:szCs w:val="24"/>
              </w:rPr>
              <w:t>课程目标1高支撑（50%）</w:t>
            </w:r>
          </w:p>
        </w:tc>
        <w:tc>
          <w:tcPr>
            <w:tcW w:w="4503" w:type="dxa"/>
            <w:gridSpan w:val="4"/>
            <w:tcBorders>
              <w:top w:val="single" w:color="000000" w:sz="4" w:space="0"/>
              <w:left w:val="single" w:color="000000" w:sz="4" w:space="0"/>
              <w:bottom w:val="single" w:color="000000" w:sz="4" w:space="0"/>
              <w:right w:val="single" w:color="000000" w:sz="4" w:space="0"/>
            </w:tcBorders>
            <w:vAlign w:val="center"/>
          </w:tcPr>
          <w:p w14:paraId="426A3E47">
            <w:pPr>
              <w:tabs>
                <w:tab w:val="left" w:pos="720"/>
              </w:tabs>
              <w:adjustRightInd w:val="0"/>
              <w:snapToGrid w:val="0"/>
              <w:spacing w:line="240" w:lineRule="atLeast"/>
              <w:ind w:firstLine="360" w:firstLineChars="150"/>
              <w:rPr>
                <w:color w:val="auto"/>
              </w:rPr>
            </w:pPr>
            <w:r>
              <w:rPr>
                <w:rFonts w:hint="eastAsia" w:ascii="仿宋" w:eastAsia="仿宋" w:cs="仿宋"/>
                <w:color w:val="auto"/>
                <w:sz w:val="24"/>
                <w:szCs w:val="24"/>
              </w:rPr>
              <w:t>能够将音乐的一些基本理念通过实践表现出来，并能够综合学段学情、作品音乐文化背景、编写者意图，通过演奏构建兼具艺术性和教育性的作品。</w:t>
            </w:r>
            <w:r>
              <w:rPr>
                <w:rStyle w:val="361"/>
                <w:rFonts w:hint="eastAsia" w:ascii="仿宋" w:hAnsi="仿宋" w:eastAsia="仿宋" w:cs="仿宋"/>
                <w:color w:val="auto"/>
                <w:sz w:val="24"/>
                <w:szCs w:val="24"/>
              </w:rPr>
              <w:t>对于中国钢琴作品的背景有较深入的了解，对于具有良好群众基础的红色钢琴作品、有思政教育意义的中国钢琴作品有系统的认识和诠释能力。</w:t>
            </w:r>
          </w:p>
        </w:tc>
        <w:tc>
          <w:tcPr>
            <w:tcW w:w="613" w:type="dxa"/>
            <w:tcBorders>
              <w:top w:val="single" w:color="000000" w:sz="4" w:space="0"/>
              <w:left w:val="single" w:color="000000" w:sz="4" w:space="0"/>
              <w:bottom w:val="single" w:color="000000" w:sz="4" w:space="0"/>
              <w:right w:val="single" w:color="000000" w:sz="4" w:space="0"/>
            </w:tcBorders>
            <w:vAlign w:val="center"/>
          </w:tcPr>
          <w:p w14:paraId="0D2AB489">
            <w:pPr>
              <w:tabs>
                <w:tab w:val="left" w:pos="720"/>
              </w:tabs>
              <w:adjustRightInd w:val="0"/>
              <w:snapToGrid w:val="0"/>
              <w:spacing w:line="240" w:lineRule="atLeast"/>
              <w:rPr>
                <w:color w:val="auto"/>
              </w:rPr>
            </w:pPr>
            <w:r>
              <w:rPr>
                <w:rFonts w:hint="eastAsia" w:ascii="仿宋" w:eastAsia="仿宋" w:cs="仿宋"/>
                <w:color w:val="auto"/>
                <w:sz w:val="24"/>
                <w:szCs w:val="24"/>
              </w:rPr>
              <w:t>15</w:t>
            </w:r>
          </w:p>
        </w:tc>
        <w:tc>
          <w:tcPr>
            <w:tcW w:w="591" w:type="dxa"/>
            <w:gridSpan w:val="3"/>
            <w:tcBorders>
              <w:top w:val="single" w:color="000000" w:sz="4" w:space="0"/>
              <w:left w:val="single" w:color="000000" w:sz="4" w:space="0"/>
              <w:bottom w:val="single" w:color="000000" w:sz="4" w:space="0"/>
              <w:right w:val="single" w:color="000000" w:sz="4" w:space="0"/>
            </w:tcBorders>
            <w:vAlign w:val="center"/>
          </w:tcPr>
          <w:p w14:paraId="30E6FDC6">
            <w:pPr>
              <w:tabs>
                <w:tab w:val="left" w:pos="720"/>
              </w:tabs>
              <w:adjustRightInd w:val="0"/>
              <w:snapToGrid w:val="0"/>
              <w:spacing w:line="240" w:lineRule="atLeast"/>
              <w:rPr>
                <w:color w:val="auto"/>
              </w:rPr>
            </w:pPr>
            <w:r>
              <w:rPr>
                <w:rFonts w:hint="eastAsia" w:ascii="仿宋" w:eastAsia="仿宋" w:cs="仿宋"/>
                <w:color w:val="auto"/>
                <w:sz w:val="24"/>
                <w:szCs w:val="24"/>
              </w:rPr>
              <w:t>15</w:t>
            </w:r>
          </w:p>
        </w:tc>
        <w:tc>
          <w:tcPr>
            <w:tcW w:w="597" w:type="dxa"/>
            <w:gridSpan w:val="2"/>
            <w:tcBorders>
              <w:top w:val="single" w:color="000000" w:sz="4" w:space="0"/>
              <w:left w:val="single" w:color="000000" w:sz="4" w:space="0"/>
              <w:bottom w:val="single" w:color="000000" w:sz="4" w:space="0"/>
              <w:right w:val="single" w:color="000000" w:sz="4" w:space="0"/>
            </w:tcBorders>
            <w:vAlign w:val="center"/>
          </w:tcPr>
          <w:p w14:paraId="0D1C8CED">
            <w:pPr>
              <w:tabs>
                <w:tab w:val="left" w:pos="720"/>
              </w:tabs>
              <w:adjustRightInd w:val="0"/>
              <w:snapToGrid w:val="0"/>
              <w:spacing w:line="240" w:lineRule="atLeast"/>
              <w:rPr>
                <w:color w:val="auto"/>
              </w:rPr>
            </w:pPr>
            <w:r>
              <w:rPr>
                <w:rFonts w:hint="eastAsia" w:ascii="仿宋" w:eastAsia="仿宋" w:cs="仿宋"/>
                <w:color w:val="auto"/>
                <w:sz w:val="24"/>
                <w:szCs w:val="24"/>
              </w:rPr>
              <w:t>20</w:t>
            </w:r>
          </w:p>
        </w:tc>
        <w:tc>
          <w:tcPr>
            <w:tcW w:w="392" w:type="dxa"/>
            <w:tcBorders>
              <w:top w:val="single" w:color="000000" w:sz="4" w:space="0"/>
              <w:left w:val="single" w:color="000000" w:sz="4" w:space="0"/>
              <w:bottom w:val="single" w:color="000000" w:sz="4" w:space="0"/>
              <w:right w:val="single" w:color="000000" w:sz="4" w:space="0"/>
            </w:tcBorders>
            <w:vAlign w:val="center"/>
          </w:tcPr>
          <w:p w14:paraId="50657399">
            <w:pPr>
              <w:tabs>
                <w:tab w:val="left" w:pos="720"/>
              </w:tabs>
              <w:adjustRightInd w:val="0"/>
              <w:snapToGrid w:val="0"/>
              <w:spacing w:line="240" w:lineRule="atLeast"/>
              <w:rPr>
                <w:color w:val="auto"/>
              </w:rPr>
            </w:pPr>
            <w:r>
              <w:rPr>
                <w:rFonts w:hint="eastAsia" w:ascii="仿宋" w:eastAsia="仿宋" w:cs="仿宋"/>
                <w:color w:val="auto"/>
                <w:sz w:val="24"/>
                <w:szCs w:val="24"/>
              </w:rPr>
              <w:t>0.8</w:t>
            </w:r>
          </w:p>
        </w:tc>
      </w:tr>
      <w:tr w14:paraId="7A38BF13">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vAlign w:val="center"/>
          </w:tcPr>
          <w:p w14:paraId="51870937">
            <w:pPr>
              <w:rPr>
                <w:rFonts w:ascii="仿宋" w:eastAsia="仿宋" w:cs="仿宋"/>
                <w:color w:val="auto"/>
                <w:kern w:val="2"/>
                <w:sz w:val="24"/>
                <w:szCs w:val="24"/>
              </w:rPr>
            </w:pPr>
          </w:p>
        </w:tc>
        <w:tc>
          <w:tcPr>
            <w:tcW w:w="1140" w:type="dxa"/>
            <w:gridSpan w:val="2"/>
            <w:tcBorders>
              <w:top w:val="single" w:color="000000" w:sz="4" w:space="0"/>
              <w:left w:val="single" w:color="000000" w:sz="4" w:space="0"/>
              <w:bottom w:val="single" w:color="000000" w:sz="4" w:space="0"/>
              <w:right w:val="single" w:color="000000" w:sz="4" w:space="0"/>
            </w:tcBorders>
            <w:vAlign w:val="center"/>
          </w:tcPr>
          <w:p w14:paraId="614B5F17">
            <w:pPr>
              <w:tabs>
                <w:tab w:val="left" w:pos="720"/>
              </w:tabs>
              <w:adjustRightInd w:val="0"/>
              <w:snapToGrid w:val="0"/>
              <w:spacing w:line="240" w:lineRule="atLeast"/>
              <w:jc w:val="center"/>
              <w:rPr>
                <w:rFonts w:ascii="仿宋" w:eastAsia="仿宋" w:cs="仿宋"/>
                <w:color w:val="auto"/>
                <w:sz w:val="24"/>
                <w:szCs w:val="24"/>
              </w:rPr>
            </w:pPr>
            <w:r>
              <w:rPr>
                <w:rFonts w:hint="eastAsia" w:ascii="仿宋" w:eastAsia="仿宋" w:cs="仿宋"/>
                <w:color w:val="auto"/>
                <w:sz w:val="24"/>
                <w:szCs w:val="24"/>
              </w:rPr>
              <w:t>课程目标2中支撑（40%）</w:t>
            </w:r>
          </w:p>
        </w:tc>
        <w:tc>
          <w:tcPr>
            <w:tcW w:w="4503" w:type="dxa"/>
            <w:gridSpan w:val="4"/>
            <w:tcBorders>
              <w:top w:val="single" w:color="000000" w:sz="4" w:space="0"/>
              <w:left w:val="single" w:color="000000" w:sz="4" w:space="0"/>
              <w:bottom w:val="single" w:color="000000" w:sz="4" w:space="0"/>
              <w:right w:val="single" w:color="000000" w:sz="4" w:space="0"/>
            </w:tcBorders>
            <w:vAlign w:val="center"/>
          </w:tcPr>
          <w:p w14:paraId="1A49E764">
            <w:pPr>
              <w:tabs>
                <w:tab w:val="left" w:pos="720"/>
              </w:tabs>
              <w:adjustRightInd w:val="0"/>
              <w:snapToGrid w:val="0"/>
              <w:spacing w:line="240" w:lineRule="atLeast"/>
              <w:ind w:firstLine="480" w:firstLineChars="200"/>
              <w:rPr>
                <w:rFonts w:ascii="仿宋" w:eastAsia="仿宋" w:cs="仿宋"/>
                <w:color w:val="auto"/>
                <w:sz w:val="24"/>
                <w:szCs w:val="24"/>
              </w:rPr>
            </w:pPr>
            <w:r>
              <w:rPr>
                <w:rFonts w:hint="eastAsia" w:ascii="仿宋" w:eastAsia="仿宋" w:cs="仿宋"/>
                <w:color w:val="auto"/>
                <w:sz w:val="24"/>
                <w:szCs w:val="24"/>
              </w:rPr>
              <w:t>教师在教学过程中通过实践，让学生体会到应当如何符合师德规范地进行教学。</w:t>
            </w:r>
          </w:p>
          <w:p w14:paraId="1034A2DA">
            <w:pPr>
              <w:pStyle w:val="360"/>
              <w:numPr>
                <w:ilvl w:val="0"/>
                <w:numId w:val="32"/>
              </w:numPr>
              <w:ind w:firstLine="468" w:firstLineChars="195"/>
              <w:rPr>
                <w:color w:val="auto"/>
              </w:rPr>
            </w:pPr>
            <w:r>
              <w:rPr>
                <w:rFonts w:hint="eastAsia" w:ascii="仿宋" w:eastAsia="仿宋" w:cs="仿宋"/>
                <w:color w:val="auto"/>
                <w:sz w:val="24"/>
                <w:szCs w:val="24"/>
              </w:rPr>
              <w:t>对于涉及</w:t>
            </w:r>
            <w:r>
              <w:rPr>
                <w:rStyle w:val="361"/>
                <w:rFonts w:hint="eastAsia" w:ascii="仿宋" w:hAnsi="仿宋" w:eastAsia="仿宋" w:cs="仿宋"/>
                <w:color w:val="auto"/>
                <w:sz w:val="24"/>
                <w:szCs w:val="24"/>
              </w:rPr>
              <w:t>红色钢琴作品、有思政教育意义的中国钢琴作品，能够有比较专业的认识水平和分析能力，并且能够比较准确地表现出应有的艺术形象。</w:t>
            </w:r>
          </w:p>
          <w:p w14:paraId="4F782CEF">
            <w:pPr>
              <w:tabs>
                <w:tab w:val="left" w:pos="720"/>
              </w:tabs>
              <w:adjustRightInd w:val="0"/>
              <w:snapToGrid w:val="0"/>
              <w:spacing w:line="240" w:lineRule="atLeast"/>
              <w:ind w:firstLine="480" w:firstLineChars="200"/>
              <w:rPr>
                <w:rFonts w:eastAsia="仿宋"/>
                <w:color w:val="auto"/>
              </w:rPr>
            </w:pPr>
            <w:r>
              <w:rPr>
                <w:rFonts w:hint="eastAsia" w:ascii="仿宋" w:eastAsia="仿宋" w:cs="仿宋"/>
                <w:color w:val="auto"/>
                <w:sz w:val="24"/>
                <w:szCs w:val="24"/>
              </w:rPr>
              <w:t>学生能通过演奏、动作、神态、表情表现出正确的学生观、教师观、教育观、艺术观，在演奏中融入立德树人的理念，了解在德智体美劳全面发展的前提下，通过钢琴教学，培育发展学生的艺术素养。</w:t>
            </w:r>
          </w:p>
        </w:tc>
        <w:tc>
          <w:tcPr>
            <w:tcW w:w="613" w:type="dxa"/>
            <w:tcBorders>
              <w:top w:val="single" w:color="000000" w:sz="4" w:space="0"/>
              <w:left w:val="single" w:color="000000" w:sz="4" w:space="0"/>
              <w:bottom w:val="single" w:color="000000" w:sz="4" w:space="0"/>
              <w:right w:val="single" w:color="000000" w:sz="4" w:space="0"/>
            </w:tcBorders>
            <w:vAlign w:val="center"/>
          </w:tcPr>
          <w:p w14:paraId="11E3FD3E">
            <w:pPr>
              <w:tabs>
                <w:tab w:val="left" w:pos="720"/>
              </w:tabs>
              <w:adjustRightInd w:val="0"/>
              <w:snapToGrid w:val="0"/>
              <w:spacing w:line="240" w:lineRule="atLeast"/>
              <w:rPr>
                <w:color w:val="auto"/>
              </w:rPr>
            </w:pPr>
            <w:r>
              <w:rPr>
                <w:rFonts w:hint="eastAsia" w:ascii="仿宋" w:eastAsia="仿宋" w:cs="仿宋"/>
                <w:color w:val="auto"/>
                <w:sz w:val="24"/>
                <w:szCs w:val="24"/>
              </w:rPr>
              <w:t>30（占目标成绩75%）</w:t>
            </w:r>
          </w:p>
        </w:tc>
        <w:tc>
          <w:tcPr>
            <w:tcW w:w="591" w:type="dxa"/>
            <w:gridSpan w:val="3"/>
            <w:tcBorders>
              <w:top w:val="single" w:color="000000" w:sz="4" w:space="0"/>
              <w:left w:val="single" w:color="000000" w:sz="4" w:space="0"/>
              <w:bottom w:val="single" w:color="000000" w:sz="4" w:space="0"/>
              <w:right w:val="single" w:color="000000" w:sz="4" w:space="0"/>
            </w:tcBorders>
            <w:vAlign w:val="center"/>
          </w:tcPr>
          <w:p w14:paraId="1755E704">
            <w:pPr>
              <w:tabs>
                <w:tab w:val="left" w:pos="720"/>
              </w:tabs>
              <w:adjustRightInd w:val="0"/>
              <w:snapToGrid w:val="0"/>
              <w:spacing w:line="240" w:lineRule="atLeast"/>
              <w:rPr>
                <w:color w:val="auto"/>
              </w:rPr>
            </w:pPr>
            <w:r>
              <w:rPr>
                <w:rFonts w:hint="eastAsia" w:ascii="仿宋" w:eastAsia="仿宋" w:cs="仿宋"/>
                <w:color w:val="auto"/>
                <w:sz w:val="24"/>
                <w:szCs w:val="24"/>
              </w:rPr>
              <w:t>5（占目标成绩12.5%）</w:t>
            </w:r>
          </w:p>
        </w:tc>
        <w:tc>
          <w:tcPr>
            <w:tcW w:w="597" w:type="dxa"/>
            <w:gridSpan w:val="2"/>
            <w:tcBorders>
              <w:top w:val="single" w:color="000000" w:sz="4" w:space="0"/>
              <w:left w:val="single" w:color="000000" w:sz="4" w:space="0"/>
              <w:bottom w:val="single" w:color="000000" w:sz="4" w:space="0"/>
              <w:right w:val="single" w:color="000000" w:sz="4" w:space="0"/>
            </w:tcBorders>
            <w:vAlign w:val="center"/>
          </w:tcPr>
          <w:p w14:paraId="723FC71D">
            <w:pPr>
              <w:tabs>
                <w:tab w:val="left" w:pos="720"/>
              </w:tabs>
              <w:adjustRightInd w:val="0"/>
              <w:snapToGrid w:val="0"/>
              <w:spacing w:line="240" w:lineRule="atLeast"/>
              <w:rPr>
                <w:color w:val="auto"/>
              </w:rPr>
            </w:pPr>
            <w:r>
              <w:rPr>
                <w:rFonts w:hint="eastAsia" w:ascii="仿宋" w:eastAsia="仿宋" w:cs="仿宋"/>
                <w:color w:val="auto"/>
                <w:sz w:val="24"/>
                <w:szCs w:val="24"/>
              </w:rPr>
              <w:t>5（占目标成绩12.5%）</w:t>
            </w:r>
          </w:p>
        </w:tc>
        <w:tc>
          <w:tcPr>
            <w:tcW w:w="392" w:type="dxa"/>
            <w:tcBorders>
              <w:top w:val="single" w:color="000000" w:sz="4" w:space="0"/>
              <w:left w:val="single" w:color="000000" w:sz="4" w:space="0"/>
              <w:bottom w:val="single" w:color="000000" w:sz="4" w:space="0"/>
              <w:right w:val="single" w:color="000000" w:sz="4" w:space="0"/>
            </w:tcBorders>
            <w:vAlign w:val="center"/>
          </w:tcPr>
          <w:p w14:paraId="4AB56D9C">
            <w:pPr>
              <w:tabs>
                <w:tab w:val="left" w:pos="720"/>
              </w:tabs>
              <w:adjustRightInd w:val="0"/>
              <w:snapToGrid w:val="0"/>
              <w:spacing w:line="240" w:lineRule="atLeast"/>
              <w:rPr>
                <w:color w:val="auto"/>
              </w:rPr>
            </w:pPr>
            <w:r>
              <w:rPr>
                <w:rFonts w:hint="eastAsia" w:ascii="仿宋" w:eastAsia="仿宋" w:cs="仿宋"/>
                <w:color w:val="auto"/>
                <w:sz w:val="24"/>
                <w:szCs w:val="24"/>
              </w:rPr>
              <w:t>0.8</w:t>
            </w:r>
          </w:p>
        </w:tc>
      </w:tr>
      <w:tr w14:paraId="05EFB581">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vAlign w:val="center"/>
          </w:tcPr>
          <w:p w14:paraId="7890F0E5">
            <w:pPr>
              <w:rPr>
                <w:rFonts w:ascii="仿宋" w:eastAsia="仿宋" w:cs="仿宋"/>
                <w:color w:val="auto"/>
                <w:kern w:val="2"/>
                <w:sz w:val="24"/>
                <w:szCs w:val="24"/>
              </w:rPr>
            </w:pPr>
          </w:p>
        </w:tc>
        <w:tc>
          <w:tcPr>
            <w:tcW w:w="1140" w:type="dxa"/>
            <w:gridSpan w:val="2"/>
            <w:tcBorders>
              <w:top w:val="single" w:color="000000" w:sz="4" w:space="0"/>
              <w:left w:val="single" w:color="000000" w:sz="4" w:space="0"/>
              <w:bottom w:val="single" w:color="000000" w:sz="4" w:space="0"/>
              <w:right w:val="single" w:color="000000" w:sz="4" w:space="0"/>
            </w:tcBorders>
            <w:vAlign w:val="center"/>
          </w:tcPr>
          <w:p w14:paraId="335A1369">
            <w:pPr>
              <w:tabs>
                <w:tab w:val="left" w:pos="720"/>
              </w:tabs>
              <w:adjustRightInd w:val="0"/>
              <w:snapToGrid w:val="0"/>
              <w:spacing w:line="240" w:lineRule="atLeast"/>
              <w:jc w:val="center"/>
              <w:rPr>
                <w:rFonts w:ascii="仿宋" w:eastAsia="仿宋" w:cs="仿宋"/>
                <w:color w:val="auto"/>
                <w:kern w:val="2"/>
                <w:sz w:val="24"/>
                <w:szCs w:val="24"/>
              </w:rPr>
            </w:pPr>
            <w:r>
              <w:rPr>
                <w:rFonts w:hint="eastAsia" w:ascii="仿宋" w:eastAsia="仿宋" w:cs="仿宋"/>
                <w:color w:val="auto"/>
                <w:sz w:val="24"/>
                <w:szCs w:val="24"/>
              </w:rPr>
              <w:t>课程目标3低支撑（10%）</w:t>
            </w:r>
          </w:p>
        </w:tc>
        <w:tc>
          <w:tcPr>
            <w:tcW w:w="4503" w:type="dxa"/>
            <w:gridSpan w:val="4"/>
            <w:tcBorders>
              <w:top w:val="single" w:color="000000" w:sz="4" w:space="0"/>
              <w:left w:val="single" w:color="000000" w:sz="4" w:space="0"/>
              <w:bottom w:val="single" w:color="000000" w:sz="4" w:space="0"/>
              <w:right w:val="single" w:color="000000" w:sz="4" w:space="0"/>
            </w:tcBorders>
            <w:vAlign w:val="center"/>
          </w:tcPr>
          <w:p w14:paraId="15D3EFD5">
            <w:pPr>
              <w:tabs>
                <w:tab w:val="left" w:pos="720"/>
              </w:tabs>
              <w:adjustRightInd w:val="0"/>
              <w:snapToGrid w:val="0"/>
              <w:spacing w:line="240" w:lineRule="atLeast"/>
              <w:ind w:firstLine="480" w:firstLineChars="200"/>
              <w:rPr>
                <w:color w:val="auto"/>
              </w:rPr>
            </w:pPr>
            <w:r>
              <w:rPr>
                <w:rFonts w:hint="eastAsia" w:ascii="仿宋" w:eastAsia="仿宋" w:cs="仿宋"/>
                <w:color w:val="auto"/>
                <w:sz w:val="24"/>
                <w:szCs w:val="24"/>
              </w:rPr>
              <w:t>学生通过勤奋刻苦的练习，锤炼爱岗敬业精神，了解教学对象的身心发展特点和音乐的认知规律。通过演奏正能量作品，培养自身健全人格，进一步思考如何通过音乐教育关爱教学对象成长，促进学生身心健康发展。</w:t>
            </w:r>
          </w:p>
        </w:tc>
        <w:tc>
          <w:tcPr>
            <w:tcW w:w="613" w:type="dxa"/>
            <w:tcBorders>
              <w:top w:val="single" w:color="000000" w:sz="4" w:space="0"/>
              <w:left w:val="single" w:color="000000" w:sz="4" w:space="0"/>
              <w:bottom w:val="single" w:color="000000" w:sz="4" w:space="0"/>
              <w:right w:val="single" w:color="000000" w:sz="4" w:space="0"/>
            </w:tcBorders>
            <w:vAlign w:val="center"/>
          </w:tcPr>
          <w:p w14:paraId="5AA5F556">
            <w:pPr>
              <w:tabs>
                <w:tab w:val="left" w:pos="720"/>
              </w:tabs>
              <w:adjustRightInd w:val="0"/>
              <w:snapToGrid w:val="0"/>
              <w:spacing w:line="240" w:lineRule="atLeast"/>
              <w:rPr>
                <w:color w:val="auto"/>
              </w:rPr>
            </w:pPr>
            <w:r>
              <w:rPr>
                <w:rFonts w:hint="eastAsia" w:ascii="仿宋" w:eastAsia="仿宋" w:cs="仿宋"/>
                <w:color w:val="auto"/>
                <w:sz w:val="24"/>
                <w:szCs w:val="24"/>
              </w:rPr>
              <w:t>6</w:t>
            </w:r>
          </w:p>
        </w:tc>
        <w:tc>
          <w:tcPr>
            <w:tcW w:w="591" w:type="dxa"/>
            <w:gridSpan w:val="3"/>
            <w:tcBorders>
              <w:top w:val="single" w:color="000000" w:sz="4" w:space="0"/>
              <w:left w:val="single" w:color="000000" w:sz="4" w:space="0"/>
              <w:bottom w:val="single" w:color="000000" w:sz="4" w:space="0"/>
              <w:right w:val="single" w:color="000000" w:sz="4" w:space="0"/>
            </w:tcBorders>
            <w:vAlign w:val="center"/>
          </w:tcPr>
          <w:p w14:paraId="7BB3CEBB">
            <w:pPr>
              <w:tabs>
                <w:tab w:val="left" w:pos="720"/>
              </w:tabs>
              <w:adjustRightInd w:val="0"/>
              <w:snapToGrid w:val="0"/>
              <w:spacing w:line="240" w:lineRule="atLeast"/>
              <w:rPr>
                <w:color w:val="auto"/>
              </w:rPr>
            </w:pPr>
            <w:r>
              <w:rPr>
                <w:rFonts w:hint="eastAsia" w:ascii="仿宋" w:eastAsia="仿宋" w:cs="仿宋"/>
                <w:color w:val="auto"/>
                <w:sz w:val="24"/>
                <w:szCs w:val="24"/>
              </w:rPr>
              <w:t>2</w:t>
            </w:r>
          </w:p>
        </w:tc>
        <w:tc>
          <w:tcPr>
            <w:tcW w:w="597" w:type="dxa"/>
            <w:gridSpan w:val="2"/>
            <w:tcBorders>
              <w:top w:val="single" w:color="000000" w:sz="4" w:space="0"/>
              <w:left w:val="single" w:color="000000" w:sz="4" w:space="0"/>
              <w:bottom w:val="single" w:color="000000" w:sz="4" w:space="0"/>
              <w:right w:val="single" w:color="000000" w:sz="4" w:space="0"/>
            </w:tcBorders>
            <w:vAlign w:val="center"/>
          </w:tcPr>
          <w:p w14:paraId="2E8B7115">
            <w:pPr>
              <w:tabs>
                <w:tab w:val="left" w:pos="720"/>
              </w:tabs>
              <w:adjustRightInd w:val="0"/>
              <w:snapToGrid w:val="0"/>
              <w:spacing w:line="240" w:lineRule="atLeast"/>
              <w:rPr>
                <w:color w:val="auto"/>
              </w:rPr>
            </w:pPr>
            <w:r>
              <w:rPr>
                <w:rFonts w:hint="eastAsia" w:ascii="仿宋" w:eastAsia="仿宋" w:cs="仿宋"/>
                <w:color w:val="auto"/>
                <w:sz w:val="24"/>
                <w:szCs w:val="24"/>
              </w:rPr>
              <w:t>2</w:t>
            </w:r>
          </w:p>
        </w:tc>
        <w:tc>
          <w:tcPr>
            <w:tcW w:w="392" w:type="dxa"/>
            <w:tcBorders>
              <w:top w:val="single" w:color="000000" w:sz="4" w:space="0"/>
              <w:left w:val="single" w:color="000000" w:sz="4" w:space="0"/>
              <w:bottom w:val="single" w:color="000000" w:sz="4" w:space="0"/>
              <w:right w:val="single" w:color="000000" w:sz="4" w:space="0"/>
            </w:tcBorders>
            <w:vAlign w:val="center"/>
          </w:tcPr>
          <w:p w14:paraId="5AE3B9DD">
            <w:pPr>
              <w:tabs>
                <w:tab w:val="left" w:pos="720"/>
              </w:tabs>
              <w:adjustRightInd w:val="0"/>
              <w:snapToGrid w:val="0"/>
              <w:spacing w:line="240" w:lineRule="atLeast"/>
              <w:rPr>
                <w:color w:val="auto"/>
              </w:rPr>
            </w:pPr>
            <w:r>
              <w:rPr>
                <w:rFonts w:hint="eastAsia" w:ascii="仿宋" w:eastAsia="仿宋" w:cs="仿宋"/>
                <w:color w:val="auto"/>
                <w:sz w:val="24"/>
                <w:szCs w:val="24"/>
              </w:rPr>
              <w:t>0.8</w:t>
            </w:r>
          </w:p>
        </w:tc>
      </w:tr>
      <w:tr w14:paraId="6819CA22">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vAlign w:val="center"/>
          </w:tcPr>
          <w:p w14:paraId="6E7A2CEE">
            <w:pPr>
              <w:rPr>
                <w:rFonts w:ascii="仿宋" w:eastAsia="仿宋" w:cs="仿宋"/>
                <w:color w:val="auto"/>
                <w:kern w:val="2"/>
                <w:sz w:val="24"/>
                <w:szCs w:val="24"/>
              </w:rPr>
            </w:pPr>
          </w:p>
        </w:tc>
        <w:tc>
          <w:tcPr>
            <w:tcW w:w="5643" w:type="dxa"/>
            <w:gridSpan w:val="6"/>
            <w:tcBorders>
              <w:top w:val="single" w:color="000000" w:sz="4" w:space="0"/>
              <w:left w:val="single" w:color="000000" w:sz="4" w:space="0"/>
              <w:bottom w:val="single" w:color="000000" w:sz="4" w:space="0"/>
              <w:right w:val="single" w:color="000000" w:sz="4" w:space="0"/>
            </w:tcBorders>
            <w:vAlign w:val="center"/>
          </w:tcPr>
          <w:p w14:paraId="29190377">
            <w:pPr>
              <w:tabs>
                <w:tab w:val="left" w:pos="720"/>
              </w:tabs>
              <w:adjustRightInd w:val="0"/>
              <w:snapToGrid w:val="0"/>
              <w:spacing w:line="240" w:lineRule="atLeast"/>
              <w:rPr>
                <w:rFonts w:ascii="仿宋" w:eastAsia="仿宋" w:cs="仿宋"/>
                <w:color w:val="auto"/>
                <w:sz w:val="24"/>
                <w:szCs w:val="24"/>
              </w:rPr>
            </w:pPr>
            <w:r>
              <w:rPr>
                <w:rFonts w:hint="eastAsia" w:ascii="仿宋" w:eastAsia="仿宋" w:cs="仿宋"/>
                <w:color w:val="auto"/>
                <w:sz w:val="24"/>
                <w:szCs w:val="24"/>
              </w:rPr>
              <w:t>总分</w:t>
            </w:r>
          </w:p>
        </w:tc>
        <w:tc>
          <w:tcPr>
            <w:tcW w:w="613" w:type="dxa"/>
            <w:tcBorders>
              <w:top w:val="single" w:color="000000" w:sz="4" w:space="0"/>
              <w:left w:val="single" w:color="000000" w:sz="4" w:space="0"/>
              <w:bottom w:val="single" w:color="000000" w:sz="4" w:space="0"/>
              <w:right w:val="single" w:color="000000" w:sz="4" w:space="0"/>
            </w:tcBorders>
            <w:vAlign w:val="center"/>
          </w:tcPr>
          <w:p w14:paraId="596F3D7F">
            <w:pPr>
              <w:tabs>
                <w:tab w:val="left" w:pos="720"/>
              </w:tabs>
              <w:adjustRightInd w:val="0"/>
              <w:snapToGrid w:val="0"/>
              <w:spacing w:line="240" w:lineRule="atLeast"/>
              <w:rPr>
                <w:rFonts w:ascii="仿宋" w:eastAsia="仿宋" w:cs="仿宋"/>
                <w:color w:val="auto"/>
                <w:sz w:val="24"/>
                <w:szCs w:val="24"/>
              </w:rPr>
            </w:pPr>
            <w:r>
              <w:rPr>
                <w:rFonts w:hint="eastAsia" w:ascii="仿宋" w:eastAsia="仿宋" w:cs="仿宋"/>
                <w:color w:val="auto"/>
                <w:sz w:val="24"/>
                <w:szCs w:val="24"/>
              </w:rPr>
              <w:t>51</w:t>
            </w:r>
          </w:p>
        </w:tc>
        <w:tc>
          <w:tcPr>
            <w:tcW w:w="591" w:type="dxa"/>
            <w:gridSpan w:val="3"/>
            <w:tcBorders>
              <w:top w:val="single" w:color="000000" w:sz="4" w:space="0"/>
              <w:left w:val="single" w:color="000000" w:sz="4" w:space="0"/>
              <w:bottom w:val="single" w:color="000000" w:sz="4" w:space="0"/>
              <w:right w:val="single" w:color="000000" w:sz="4" w:space="0"/>
            </w:tcBorders>
            <w:vAlign w:val="center"/>
          </w:tcPr>
          <w:p w14:paraId="01CC119A">
            <w:pPr>
              <w:tabs>
                <w:tab w:val="left" w:pos="720"/>
              </w:tabs>
              <w:adjustRightInd w:val="0"/>
              <w:snapToGrid w:val="0"/>
              <w:spacing w:line="240" w:lineRule="atLeast"/>
              <w:rPr>
                <w:color w:val="auto"/>
              </w:rPr>
            </w:pPr>
            <w:r>
              <w:rPr>
                <w:rFonts w:hint="eastAsia" w:ascii="仿宋" w:eastAsia="仿宋" w:cs="仿宋"/>
                <w:color w:val="auto"/>
                <w:sz w:val="24"/>
                <w:szCs w:val="24"/>
              </w:rPr>
              <w:t>22</w:t>
            </w:r>
          </w:p>
        </w:tc>
        <w:tc>
          <w:tcPr>
            <w:tcW w:w="597" w:type="dxa"/>
            <w:gridSpan w:val="2"/>
            <w:tcBorders>
              <w:top w:val="single" w:color="000000" w:sz="4" w:space="0"/>
              <w:left w:val="single" w:color="000000" w:sz="4" w:space="0"/>
              <w:bottom w:val="single" w:color="000000" w:sz="4" w:space="0"/>
              <w:right w:val="single" w:color="000000" w:sz="4" w:space="0"/>
            </w:tcBorders>
            <w:vAlign w:val="center"/>
          </w:tcPr>
          <w:p w14:paraId="2F89B80E">
            <w:pPr>
              <w:tabs>
                <w:tab w:val="left" w:pos="720"/>
              </w:tabs>
              <w:adjustRightInd w:val="0"/>
              <w:snapToGrid w:val="0"/>
              <w:spacing w:line="240" w:lineRule="atLeast"/>
              <w:rPr>
                <w:color w:val="auto"/>
              </w:rPr>
            </w:pPr>
            <w:r>
              <w:rPr>
                <w:rFonts w:hint="eastAsia" w:ascii="仿宋" w:eastAsia="仿宋" w:cs="仿宋"/>
                <w:color w:val="auto"/>
                <w:sz w:val="24"/>
                <w:szCs w:val="24"/>
              </w:rPr>
              <w:t>27</w:t>
            </w:r>
          </w:p>
        </w:tc>
        <w:tc>
          <w:tcPr>
            <w:tcW w:w="392" w:type="dxa"/>
            <w:tcBorders>
              <w:top w:val="single" w:color="000000" w:sz="4" w:space="0"/>
              <w:left w:val="single" w:color="000000" w:sz="4" w:space="0"/>
              <w:bottom w:val="single" w:color="000000" w:sz="4" w:space="0"/>
              <w:right w:val="single" w:color="000000" w:sz="4" w:space="0"/>
            </w:tcBorders>
            <w:vAlign w:val="center"/>
          </w:tcPr>
          <w:p w14:paraId="19502A72">
            <w:pPr>
              <w:tabs>
                <w:tab w:val="left" w:pos="720"/>
              </w:tabs>
              <w:adjustRightInd w:val="0"/>
              <w:snapToGrid w:val="0"/>
              <w:spacing w:line="240" w:lineRule="atLeast"/>
              <w:rPr>
                <w:color w:val="auto"/>
              </w:rPr>
            </w:pPr>
            <w:r>
              <w:rPr>
                <w:rFonts w:hint="eastAsia" w:ascii="仿宋" w:eastAsia="仿宋" w:cs="仿宋"/>
                <w:color w:val="auto"/>
                <w:sz w:val="24"/>
                <w:szCs w:val="24"/>
              </w:rPr>
              <w:t>0.8</w:t>
            </w:r>
          </w:p>
        </w:tc>
      </w:tr>
    </w:tbl>
    <w:p w14:paraId="3EE6EF00">
      <w:pPr>
        <w:spacing w:before="240"/>
        <w:jc w:val="center"/>
        <w:rPr>
          <w:rFonts w:ascii="仿宋" w:eastAsia="仿宋" w:cs="仿宋"/>
          <w:b/>
          <w:color w:val="auto"/>
          <w:kern w:val="2"/>
          <w:sz w:val="28"/>
          <w:szCs w:val="28"/>
        </w:rPr>
      </w:pPr>
    </w:p>
    <w:p w14:paraId="35D7E0F3">
      <w:pPr>
        <w:spacing w:before="240"/>
        <w:jc w:val="center"/>
        <w:rPr>
          <w:rFonts w:ascii="仿宋" w:eastAsia="仿宋" w:cs="黑体"/>
          <w:b/>
          <w:color w:val="auto"/>
          <w:kern w:val="2"/>
          <w:sz w:val="28"/>
          <w:szCs w:val="28"/>
        </w:rPr>
      </w:pPr>
      <w:r>
        <w:rPr>
          <w:rFonts w:hint="eastAsia" w:ascii="仿宋" w:eastAsia="仿宋" w:cs="仿宋"/>
          <w:b/>
          <w:color w:val="auto"/>
          <w:kern w:val="2"/>
          <w:sz w:val="28"/>
          <w:szCs w:val="28"/>
        </w:rPr>
        <w:t>附表：《钢琴演奏》课程目标评分量表</w:t>
      </w:r>
    </w:p>
    <w:tbl>
      <w:tblPr>
        <w:tblStyle w:val="22"/>
        <w:tblW w:w="9210" w:type="dxa"/>
        <w:tblInd w:w="80" w:type="dxa"/>
        <w:tblLayout w:type="autofit"/>
        <w:tblCellMar>
          <w:top w:w="0" w:type="dxa"/>
          <w:left w:w="108" w:type="dxa"/>
          <w:bottom w:w="0" w:type="dxa"/>
          <w:right w:w="108" w:type="dxa"/>
        </w:tblCellMar>
      </w:tblPr>
      <w:tblGrid>
        <w:gridCol w:w="1623"/>
        <w:gridCol w:w="1560"/>
        <w:gridCol w:w="1440"/>
        <w:gridCol w:w="1536"/>
        <w:gridCol w:w="1536"/>
        <w:gridCol w:w="1515"/>
      </w:tblGrid>
      <w:tr w14:paraId="2B04BE34">
        <w:trPr>
          <w:trHeight w:val="624" w:hRule="atLeast"/>
        </w:trPr>
        <w:tc>
          <w:tcPr>
            <w:tcW w:w="1623" w:type="dxa"/>
            <w:tcBorders>
              <w:top w:val="single" w:color="000000" w:sz="4" w:space="0"/>
              <w:left w:val="single" w:color="000000" w:sz="4" w:space="0"/>
              <w:bottom w:val="single" w:color="000000" w:sz="4" w:space="0"/>
              <w:right w:val="single" w:color="000000" w:sz="4" w:space="0"/>
            </w:tcBorders>
            <w:vAlign w:val="center"/>
          </w:tcPr>
          <w:p w14:paraId="31CCEBF8">
            <w:pPr>
              <w:tabs>
                <w:tab w:val="left" w:pos="720"/>
              </w:tabs>
              <w:jc w:val="center"/>
              <w:rPr>
                <w:rFonts w:ascii="仿宋" w:eastAsia="仿宋" w:cs="仿宋"/>
                <w:b/>
                <w:color w:val="auto"/>
                <w:kern w:val="2"/>
                <w:szCs w:val="21"/>
              </w:rPr>
            </w:pPr>
            <w:r>
              <w:rPr>
                <w:rFonts w:hint="eastAsia" w:ascii="仿宋" w:eastAsia="仿宋" w:cs="仿宋"/>
                <w:b/>
                <w:color w:val="auto"/>
                <w:kern w:val="2"/>
                <w:szCs w:val="21"/>
              </w:rPr>
              <w:t>课程目标</w:t>
            </w:r>
          </w:p>
        </w:tc>
        <w:tc>
          <w:tcPr>
            <w:tcW w:w="1560" w:type="dxa"/>
            <w:tcBorders>
              <w:top w:val="single" w:color="000000" w:sz="4" w:space="0"/>
              <w:left w:val="single" w:color="000000" w:sz="4" w:space="0"/>
              <w:bottom w:val="single" w:color="000000" w:sz="4" w:space="0"/>
              <w:right w:val="single" w:color="000000" w:sz="4" w:space="0"/>
            </w:tcBorders>
            <w:vAlign w:val="center"/>
          </w:tcPr>
          <w:p w14:paraId="06DE274C">
            <w:pPr>
              <w:tabs>
                <w:tab w:val="left" w:pos="720"/>
              </w:tabs>
              <w:jc w:val="center"/>
              <w:rPr>
                <w:rFonts w:ascii="仿宋" w:eastAsia="仿宋" w:cs="仿宋"/>
                <w:b/>
                <w:color w:val="auto"/>
                <w:kern w:val="2"/>
                <w:szCs w:val="21"/>
              </w:rPr>
            </w:pPr>
            <w:r>
              <w:rPr>
                <w:rFonts w:hint="eastAsia" w:ascii="仿宋" w:eastAsia="仿宋" w:cs="仿宋"/>
                <w:b/>
                <w:color w:val="auto"/>
                <w:kern w:val="2"/>
                <w:szCs w:val="21"/>
              </w:rPr>
              <w:t>优</w:t>
            </w:r>
          </w:p>
          <w:p w14:paraId="1315D17D">
            <w:pPr>
              <w:tabs>
                <w:tab w:val="left" w:pos="720"/>
              </w:tabs>
              <w:jc w:val="center"/>
              <w:rPr>
                <w:rFonts w:ascii="仿宋" w:eastAsia="仿宋" w:cs="仿宋"/>
                <w:b/>
                <w:color w:val="auto"/>
                <w:kern w:val="2"/>
                <w:szCs w:val="21"/>
              </w:rPr>
            </w:pPr>
            <w:r>
              <w:rPr>
                <w:rFonts w:hint="eastAsia" w:ascii="仿宋" w:eastAsia="仿宋" w:cs="仿宋"/>
                <w:b/>
                <w:color w:val="auto"/>
                <w:kern w:val="2"/>
                <w:szCs w:val="21"/>
              </w:rPr>
              <w:t>（X≧90）</w:t>
            </w:r>
          </w:p>
        </w:tc>
        <w:tc>
          <w:tcPr>
            <w:tcW w:w="1440" w:type="dxa"/>
            <w:tcBorders>
              <w:top w:val="single" w:color="000000" w:sz="4" w:space="0"/>
              <w:left w:val="single" w:color="000000" w:sz="4" w:space="0"/>
              <w:bottom w:val="single" w:color="000000" w:sz="4" w:space="0"/>
              <w:right w:val="single" w:color="000000" w:sz="4" w:space="0"/>
            </w:tcBorders>
            <w:vAlign w:val="center"/>
          </w:tcPr>
          <w:p w14:paraId="0D973B11">
            <w:pPr>
              <w:tabs>
                <w:tab w:val="left" w:pos="720"/>
              </w:tabs>
              <w:jc w:val="center"/>
              <w:rPr>
                <w:rFonts w:ascii="仿宋" w:eastAsia="仿宋" w:cs="仿宋"/>
                <w:b/>
                <w:color w:val="auto"/>
                <w:kern w:val="2"/>
                <w:szCs w:val="21"/>
              </w:rPr>
            </w:pPr>
            <w:r>
              <w:rPr>
                <w:rFonts w:hint="eastAsia" w:ascii="仿宋" w:eastAsia="仿宋" w:cs="仿宋"/>
                <w:b/>
                <w:color w:val="auto"/>
                <w:kern w:val="2"/>
                <w:szCs w:val="21"/>
              </w:rPr>
              <w:t>良</w:t>
            </w:r>
          </w:p>
          <w:p w14:paraId="3865B26A">
            <w:pPr>
              <w:tabs>
                <w:tab w:val="left" w:pos="720"/>
              </w:tabs>
              <w:ind w:left="-107" w:right="-75" w:hanging="5"/>
              <w:jc w:val="center"/>
              <w:rPr>
                <w:rFonts w:ascii="仿宋" w:eastAsia="仿宋" w:cs="仿宋"/>
                <w:b/>
                <w:color w:val="auto"/>
                <w:kern w:val="2"/>
                <w:szCs w:val="21"/>
              </w:rPr>
            </w:pPr>
            <w:r>
              <w:rPr>
                <w:rFonts w:hint="eastAsia" w:ascii="仿宋" w:eastAsia="仿宋" w:cs="仿宋"/>
                <w:b/>
                <w:color w:val="auto"/>
                <w:kern w:val="2"/>
                <w:szCs w:val="21"/>
              </w:rPr>
              <w:t>（80≦X＜90）</w:t>
            </w:r>
          </w:p>
        </w:tc>
        <w:tc>
          <w:tcPr>
            <w:tcW w:w="1536" w:type="dxa"/>
            <w:tcBorders>
              <w:top w:val="single" w:color="000000" w:sz="4" w:space="0"/>
              <w:left w:val="single" w:color="000000" w:sz="4" w:space="0"/>
              <w:bottom w:val="single" w:color="000000" w:sz="4" w:space="0"/>
              <w:right w:val="single" w:color="000000" w:sz="4" w:space="0"/>
            </w:tcBorders>
            <w:vAlign w:val="center"/>
          </w:tcPr>
          <w:p w14:paraId="40532B95">
            <w:pPr>
              <w:tabs>
                <w:tab w:val="left" w:pos="720"/>
              </w:tabs>
              <w:jc w:val="center"/>
              <w:rPr>
                <w:rFonts w:ascii="仿宋" w:eastAsia="仿宋" w:cs="仿宋"/>
                <w:b/>
                <w:color w:val="auto"/>
                <w:kern w:val="2"/>
                <w:szCs w:val="21"/>
              </w:rPr>
            </w:pPr>
            <w:r>
              <w:rPr>
                <w:rFonts w:hint="eastAsia" w:ascii="仿宋" w:eastAsia="仿宋" w:cs="仿宋"/>
                <w:b/>
                <w:color w:val="auto"/>
                <w:kern w:val="2"/>
                <w:szCs w:val="21"/>
              </w:rPr>
              <w:t>中</w:t>
            </w:r>
          </w:p>
          <w:p w14:paraId="33F7A9E5">
            <w:pPr>
              <w:tabs>
                <w:tab w:val="left" w:pos="720"/>
              </w:tabs>
              <w:ind w:left="-107" w:right="-75" w:hanging="5"/>
              <w:jc w:val="center"/>
              <w:rPr>
                <w:rFonts w:ascii="仿宋" w:eastAsia="仿宋" w:cs="仿宋"/>
                <w:b/>
                <w:color w:val="auto"/>
                <w:kern w:val="2"/>
                <w:szCs w:val="21"/>
              </w:rPr>
            </w:pPr>
            <w:r>
              <w:rPr>
                <w:rFonts w:hint="eastAsia" w:ascii="仿宋" w:eastAsia="仿宋" w:cs="仿宋"/>
                <w:b/>
                <w:color w:val="auto"/>
                <w:kern w:val="2"/>
                <w:szCs w:val="21"/>
              </w:rPr>
              <w:t>（70≦X＜80）</w:t>
            </w:r>
          </w:p>
        </w:tc>
        <w:tc>
          <w:tcPr>
            <w:tcW w:w="1536" w:type="dxa"/>
            <w:tcBorders>
              <w:top w:val="single" w:color="000000" w:sz="4" w:space="0"/>
              <w:left w:val="single" w:color="000000" w:sz="4" w:space="0"/>
              <w:bottom w:val="single" w:color="000000" w:sz="4" w:space="0"/>
              <w:right w:val="single" w:color="000000" w:sz="4" w:space="0"/>
            </w:tcBorders>
            <w:vAlign w:val="center"/>
          </w:tcPr>
          <w:p w14:paraId="0812374D">
            <w:pPr>
              <w:tabs>
                <w:tab w:val="left" w:pos="720"/>
              </w:tabs>
              <w:jc w:val="center"/>
              <w:rPr>
                <w:rFonts w:ascii="仿宋" w:eastAsia="仿宋" w:cs="仿宋"/>
                <w:b/>
                <w:color w:val="auto"/>
                <w:kern w:val="2"/>
                <w:szCs w:val="21"/>
              </w:rPr>
            </w:pPr>
            <w:r>
              <w:rPr>
                <w:rFonts w:hint="eastAsia" w:ascii="仿宋" w:eastAsia="仿宋" w:cs="仿宋"/>
                <w:b/>
                <w:color w:val="auto"/>
                <w:kern w:val="2"/>
                <w:szCs w:val="21"/>
              </w:rPr>
              <w:t>及格</w:t>
            </w:r>
          </w:p>
          <w:p w14:paraId="07CDCFDA">
            <w:pPr>
              <w:tabs>
                <w:tab w:val="left" w:pos="720"/>
              </w:tabs>
              <w:ind w:left="-107" w:right="-75" w:hanging="5"/>
              <w:jc w:val="center"/>
              <w:rPr>
                <w:rFonts w:ascii="仿宋" w:eastAsia="仿宋" w:cs="仿宋"/>
                <w:b/>
                <w:color w:val="auto"/>
                <w:kern w:val="2"/>
                <w:szCs w:val="21"/>
              </w:rPr>
            </w:pPr>
            <w:r>
              <w:rPr>
                <w:rFonts w:hint="eastAsia" w:ascii="仿宋" w:eastAsia="仿宋" w:cs="仿宋"/>
                <w:b/>
                <w:color w:val="auto"/>
                <w:kern w:val="2"/>
                <w:szCs w:val="21"/>
              </w:rPr>
              <w:t>（60≦X＜70）</w:t>
            </w:r>
          </w:p>
        </w:tc>
        <w:tc>
          <w:tcPr>
            <w:tcW w:w="1515" w:type="dxa"/>
            <w:tcBorders>
              <w:top w:val="single" w:color="000000" w:sz="4" w:space="0"/>
              <w:left w:val="single" w:color="000000" w:sz="4" w:space="0"/>
              <w:bottom w:val="single" w:color="000000" w:sz="4" w:space="0"/>
              <w:right w:val="single" w:color="000000" w:sz="4" w:space="0"/>
            </w:tcBorders>
            <w:vAlign w:val="center"/>
          </w:tcPr>
          <w:p w14:paraId="57E85644">
            <w:pPr>
              <w:tabs>
                <w:tab w:val="left" w:pos="720"/>
              </w:tabs>
              <w:jc w:val="center"/>
              <w:rPr>
                <w:rFonts w:ascii="仿宋" w:eastAsia="仿宋" w:cs="仿宋"/>
                <w:b/>
                <w:color w:val="auto"/>
                <w:kern w:val="2"/>
                <w:szCs w:val="21"/>
              </w:rPr>
            </w:pPr>
            <w:r>
              <w:rPr>
                <w:rFonts w:hint="eastAsia" w:ascii="仿宋" w:eastAsia="仿宋" w:cs="仿宋"/>
                <w:b/>
                <w:color w:val="auto"/>
                <w:kern w:val="2"/>
                <w:szCs w:val="21"/>
              </w:rPr>
              <w:t>不及格</w:t>
            </w:r>
          </w:p>
          <w:p w14:paraId="65588BFA">
            <w:pPr>
              <w:tabs>
                <w:tab w:val="left" w:pos="720"/>
              </w:tabs>
              <w:jc w:val="center"/>
              <w:rPr>
                <w:rFonts w:ascii="仿宋" w:eastAsia="仿宋" w:cs="仿宋"/>
                <w:b/>
                <w:color w:val="auto"/>
                <w:kern w:val="2"/>
                <w:szCs w:val="21"/>
              </w:rPr>
            </w:pPr>
            <w:r>
              <w:rPr>
                <w:rFonts w:hint="eastAsia" w:ascii="仿宋" w:eastAsia="仿宋" w:cs="仿宋"/>
                <w:b/>
                <w:color w:val="auto"/>
                <w:kern w:val="2"/>
                <w:szCs w:val="21"/>
              </w:rPr>
              <w:t>（X＜60）</w:t>
            </w:r>
          </w:p>
        </w:tc>
      </w:tr>
      <w:tr w14:paraId="2389A2D7">
        <w:trPr>
          <w:trHeight w:val="624" w:hRule="atLeast"/>
        </w:trPr>
        <w:tc>
          <w:tcPr>
            <w:tcW w:w="1623" w:type="dxa"/>
            <w:tcBorders>
              <w:top w:val="single" w:color="000000" w:sz="4" w:space="0"/>
              <w:left w:val="single" w:color="000000" w:sz="4" w:space="0"/>
              <w:bottom w:val="single" w:color="000000" w:sz="4" w:space="0"/>
              <w:right w:val="single" w:color="000000" w:sz="4" w:space="0"/>
            </w:tcBorders>
          </w:tcPr>
          <w:p w14:paraId="298B8981">
            <w:pPr>
              <w:widowControl/>
              <w:rPr>
                <w:rFonts w:ascii="楷体" w:eastAsia="楷体" w:cs="楷体"/>
                <w:color w:val="auto"/>
                <w:kern w:val="2"/>
                <w:szCs w:val="21"/>
              </w:rPr>
            </w:pPr>
            <w:r>
              <w:rPr>
                <w:rFonts w:hint="eastAsia" w:ascii="楷体" w:eastAsia="楷体" w:cs="楷体"/>
                <w:color w:val="auto"/>
                <w:kern w:val="2"/>
                <w:szCs w:val="21"/>
              </w:rPr>
              <w:t>课程目标1:</w:t>
            </w:r>
            <w:r>
              <w:rPr>
                <w:rFonts w:hint="eastAsia" w:ascii="楷体" w:eastAsia="楷体" w:cs="楷体"/>
                <w:bCs/>
                <w:color w:val="auto"/>
                <w:kern w:val="2"/>
                <w:szCs w:val="21"/>
              </w:rPr>
              <w:t xml:space="preserve"> </w:t>
            </w:r>
          </w:p>
          <w:p w14:paraId="3522F103">
            <w:pPr>
              <w:widowControl/>
              <w:rPr>
                <w:rFonts w:ascii="楷体" w:eastAsia="楷体" w:cs="楷体"/>
                <w:bCs/>
                <w:color w:val="auto"/>
                <w:kern w:val="2"/>
                <w:szCs w:val="21"/>
              </w:rPr>
            </w:pPr>
            <w:r>
              <w:rPr>
                <w:rFonts w:hint="eastAsia" w:ascii="楷体" w:eastAsia="楷体" w:cs="楷体"/>
                <w:color w:val="auto"/>
                <w:kern w:val="2"/>
                <w:szCs w:val="21"/>
              </w:rPr>
              <w:t>掌握钢琴基本功，形成音乐学科基础核心素养。将音乐的一些基本理念通过实践表现出来,且能综合运用学过的理论、实践知识，分析和解决问题。</w:t>
            </w:r>
          </w:p>
        </w:tc>
        <w:tc>
          <w:tcPr>
            <w:tcW w:w="1560" w:type="dxa"/>
            <w:tcBorders>
              <w:top w:val="single" w:color="000000" w:sz="4" w:space="0"/>
              <w:left w:val="single" w:color="000000" w:sz="4" w:space="0"/>
              <w:bottom w:val="single" w:color="000000" w:sz="4" w:space="0"/>
              <w:right w:val="single" w:color="000000" w:sz="4" w:space="0"/>
            </w:tcBorders>
          </w:tcPr>
          <w:p w14:paraId="45169649">
            <w:pPr>
              <w:widowControl/>
              <w:rPr>
                <w:rFonts w:ascii="楷体" w:eastAsia="楷体" w:cs="楷体"/>
                <w:bCs/>
                <w:color w:val="auto"/>
                <w:kern w:val="2"/>
                <w:szCs w:val="21"/>
              </w:rPr>
            </w:pPr>
            <w:r>
              <w:rPr>
                <w:rFonts w:hint="eastAsia" w:ascii="楷体" w:eastAsia="楷体" w:cs="楷体"/>
                <w:bCs/>
                <w:color w:val="auto"/>
                <w:kern w:val="2"/>
                <w:szCs w:val="21"/>
              </w:rPr>
              <w:t>无技术碍障，节奏正确，技巧纯熟而且演奏音色控制得宜，作品演出完整，能准确地诠释音乐风格，将音乐演绎得生动出色，有想象力演奏有较高的欣赏价值。</w:t>
            </w:r>
          </w:p>
        </w:tc>
        <w:tc>
          <w:tcPr>
            <w:tcW w:w="1440" w:type="dxa"/>
            <w:tcBorders>
              <w:top w:val="single" w:color="000000" w:sz="4" w:space="0"/>
              <w:left w:val="single" w:color="000000" w:sz="4" w:space="0"/>
              <w:bottom w:val="single" w:color="000000" w:sz="4" w:space="0"/>
              <w:right w:val="single" w:color="000000" w:sz="4" w:space="0"/>
            </w:tcBorders>
          </w:tcPr>
          <w:p w14:paraId="4332902E">
            <w:pPr>
              <w:widowControl/>
              <w:rPr>
                <w:rFonts w:ascii="楷体" w:eastAsia="楷体" w:cs="楷体"/>
                <w:bCs/>
                <w:color w:val="auto"/>
                <w:kern w:val="2"/>
                <w:szCs w:val="21"/>
              </w:rPr>
            </w:pPr>
            <w:r>
              <w:rPr>
                <w:rFonts w:hint="eastAsia" w:ascii="楷体" w:eastAsia="楷体" w:cs="楷体"/>
                <w:bCs/>
                <w:color w:val="auto"/>
                <w:kern w:val="2"/>
                <w:szCs w:val="21"/>
              </w:rPr>
              <w:t>总体无技术障碍，节奏基本正确，作品演出总体完整，对音乐风格的诠释大致准确，作品演奏多有亮点，演奏有一定的欣赏价值。</w:t>
            </w:r>
          </w:p>
        </w:tc>
        <w:tc>
          <w:tcPr>
            <w:tcW w:w="1536" w:type="dxa"/>
            <w:tcBorders>
              <w:top w:val="single" w:color="000000" w:sz="4" w:space="0"/>
              <w:left w:val="single" w:color="000000" w:sz="4" w:space="0"/>
              <w:bottom w:val="single" w:color="000000" w:sz="4" w:space="0"/>
              <w:right w:val="single" w:color="000000" w:sz="4" w:space="0"/>
            </w:tcBorders>
          </w:tcPr>
          <w:p w14:paraId="23350C81">
            <w:pPr>
              <w:widowControl/>
              <w:rPr>
                <w:rFonts w:ascii="楷体" w:eastAsia="楷体" w:cs="楷体"/>
                <w:bCs/>
                <w:color w:val="auto"/>
                <w:kern w:val="2"/>
                <w:szCs w:val="21"/>
              </w:rPr>
            </w:pPr>
            <w:r>
              <w:rPr>
                <w:rFonts w:hint="eastAsia" w:ascii="楷体" w:eastAsia="楷体" w:cs="楷体"/>
                <w:bCs/>
                <w:color w:val="auto"/>
                <w:kern w:val="2"/>
                <w:szCs w:val="21"/>
              </w:rPr>
              <w:t>偶有技术性障碍，节奏基本正确，作品演出过程中有少量破绽，对作品风格诠释不够到位，作品演奏平庸，弹奏奏具有一定的学习价值。</w:t>
            </w:r>
          </w:p>
        </w:tc>
        <w:tc>
          <w:tcPr>
            <w:tcW w:w="1536" w:type="dxa"/>
            <w:tcBorders>
              <w:top w:val="single" w:color="000000" w:sz="4" w:space="0"/>
              <w:left w:val="single" w:color="000000" w:sz="4" w:space="0"/>
              <w:bottom w:val="single" w:color="000000" w:sz="4" w:space="0"/>
              <w:right w:val="single" w:color="000000" w:sz="4" w:space="0"/>
            </w:tcBorders>
          </w:tcPr>
          <w:p w14:paraId="4F1B7A87">
            <w:pPr>
              <w:widowControl/>
              <w:rPr>
                <w:rFonts w:ascii="楷体" w:eastAsia="楷体" w:cs="楷体"/>
                <w:bCs/>
                <w:color w:val="auto"/>
                <w:kern w:val="2"/>
                <w:szCs w:val="21"/>
              </w:rPr>
            </w:pPr>
            <w:r>
              <w:rPr>
                <w:rFonts w:hint="eastAsia" w:ascii="楷体" w:eastAsia="楷体" w:cs="楷体"/>
                <w:bCs/>
                <w:color w:val="auto"/>
                <w:kern w:val="2"/>
                <w:szCs w:val="21"/>
              </w:rPr>
              <w:t>技术障碍明显，有明显节奏错误，作品演出有明显破绽，对作品风格诠释不够到位，作品演奏平庸，弹奏奏基本无学习价值。</w:t>
            </w:r>
          </w:p>
        </w:tc>
        <w:tc>
          <w:tcPr>
            <w:tcW w:w="1515" w:type="dxa"/>
            <w:tcBorders>
              <w:top w:val="single" w:color="000000" w:sz="4" w:space="0"/>
              <w:left w:val="single" w:color="000000" w:sz="4" w:space="0"/>
              <w:bottom w:val="single" w:color="000000" w:sz="4" w:space="0"/>
              <w:right w:val="single" w:color="000000" w:sz="4" w:space="0"/>
            </w:tcBorders>
          </w:tcPr>
          <w:p w14:paraId="5F8ABD3A">
            <w:pPr>
              <w:widowControl/>
              <w:rPr>
                <w:rFonts w:ascii="楷体" w:eastAsia="楷体" w:cs="楷体"/>
                <w:bCs/>
                <w:color w:val="auto"/>
                <w:kern w:val="2"/>
                <w:szCs w:val="21"/>
              </w:rPr>
            </w:pPr>
            <w:r>
              <w:rPr>
                <w:rFonts w:hint="eastAsia" w:ascii="楷体" w:eastAsia="楷体" w:cs="楷体"/>
                <w:bCs/>
                <w:color w:val="auto"/>
                <w:kern w:val="2"/>
                <w:szCs w:val="21"/>
              </w:rPr>
              <w:t>基本未掌握应有技巧，节拍不准确，作品完整性差，对作品风格无把握，对乐器声音错误地运用，弹奏无音乐欣赏性。</w:t>
            </w:r>
          </w:p>
        </w:tc>
      </w:tr>
      <w:tr w14:paraId="58E7BA68">
        <w:trPr>
          <w:trHeight w:val="624" w:hRule="atLeast"/>
        </w:trPr>
        <w:tc>
          <w:tcPr>
            <w:tcW w:w="1623" w:type="dxa"/>
            <w:tcBorders>
              <w:top w:val="single" w:color="000000" w:sz="4" w:space="0"/>
              <w:left w:val="single" w:color="000000" w:sz="4" w:space="0"/>
              <w:bottom w:val="single" w:color="000000" w:sz="4" w:space="0"/>
              <w:right w:val="single" w:color="000000" w:sz="4" w:space="0"/>
            </w:tcBorders>
            <w:vAlign w:val="center"/>
          </w:tcPr>
          <w:p w14:paraId="438C5EDC">
            <w:pPr>
              <w:widowControl/>
              <w:rPr>
                <w:rFonts w:ascii="楷体" w:eastAsia="楷体" w:cs="楷体"/>
                <w:bCs/>
                <w:color w:val="auto"/>
                <w:kern w:val="2"/>
                <w:szCs w:val="21"/>
              </w:rPr>
            </w:pPr>
            <w:r>
              <w:rPr>
                <w:rFonts w:hint="eastAsia" w:ascii="楷体" w:eastAsia="楷体" w:cs="楷体"/>
                <w:bCs/>
                <w:color w:val="auto"/>
                <w:kern w:val="2"/>
                <w:szCs w:val="21"/>
              </w:rPr>
              <w:t xml:space="preserve">课程目标2: </w:t>
            </w:r>
          </w:p>
          <w:p w14:paraId="428ED0EA">
            <w:pPr>
              <w:widowControl/>
              <w:rPr>
                <w:rFonts w:ascii="楷体" w:eastAsia="楷体" w:cs="楷体"/>
                <w:bCs/>
                <w:color w:val="auto"/>
                <w:kern w:val="2"/>
                <w:szCs w:val="21"/>
              </w:rPr>
            </w:pPr>
            <w:r>
              <w:rPr>
                <w:rFonts w:hint="eastAsia" w:ascii="楷体" w:eastAsia="楷体" w:cs="楷体"/>
                <w:bCs/>
                <w:color w:val="auto"/>
                <w:kern w:val="2"/>
                <w:szCs w:val="21"/>
              </w:rPr>
              <w:t>学生体会到教师在教学过程中的言传身教，了解如何符合师德规范地进行教学。</w:t>
            </w:r>
          </w:p>
          <w:p w14:paraId="61F39C54">
            <w:pPr>
              <w:widowControl/>
              <w:rPr>
                <w:rFonts w:ascii="楷体" w:eastAsia="楷体" w:cs="楷体"/>
                <w:bCs/>
                <w:color w:val="auto"/>
                <w:kern w:val="2"/>
                <w:szCs w:val="21"/>
              </w:rPr>
            </w:pPr>
          </w:p>
        </w:tc>
        <w:tc>
          <w:tcPr>
            <w:tcW w:w="1560" w:type="dxa"/>
            <w:tcBorders>
              <w:top w:val="single" w:color="000000" w:sz="4" w:space="0"/>
              <w:left w:val="single" w:color="000000" w:sz="4" w:space="0"/>
              <w:bottom w:val="single" w:color="000000" w:sz="4" w:space="0"/>
              <w:right w:val="single" w:color="000000" w:sz="4" w:space="0"/>
            </w:tcBorders>
          </w:tcPr>
          <w:p w14:paraId="76B6D86E">
            <w:pPr>
              <w:widowControl/>
              <w:rPr>
                <w:rFonts w:ascii="楷体" w:eastAsia="楷体" w:cs="楷体"/>
                <w:bCs/>
                <w:color w:val="auto"/>
                <w:kern w:val="2"/>
                <w:szCs w:val="21"/>
              </w:rPr>
            </w:pPr>
            <w:r>
              <w:rPr>
                <w:rFonts w:hint="eastAsia" w:ascii="楷体" w:eastAsia="楷体" w:cs="楷体"/>
                <w:bCs/>
                <w:color w:val="auto"/>
                <w:kern w:val="2"/>
                <w:szCs w:val="21"/>
              </w:rPr>
              <w:t>通过演奏、动作、神态、表情，能够准确表现出作品意境、正确的学生观、教师观、教育观、艺术观，在演奏中融入立德树人的理念，体现出较高的人文素养。</w:t>
            </w:r>
          </w:p>
        </w:tc>
        <w:tc>
          <w:tcPr>
            <w:tcW w:w="1440" w:type="dxa"/>
            <w:tcBorders>
              <w:top w:val="single" w:color="000000" w:sz="4" w:space="0"/>
              <w:left w:val="single" w:color="000000" w:sz="4" w:space="0"/>
              <w:bottom w:val="single" w:color="000000" w:sz="4" w:space="0"/>
              <w:right w:val="single" w:color="000000" w:sz="4" w:space="0"/>
            </w:tcBorders>
          </w:tcPr>
          <w:p w14:paraId="4CD8DDC5">
            <w:pPr>
              <w:widowControl/>
              <w:rPr>
                <w:rFonts w:ascii="楷体" w:eastAsia="楷体" w:cs="楷体"/>
                <w:bCs/>
                <w:color w:val="auto"/>
                <w:kern w:val="2"/>
                <w:szCs w:val="21"/>
              </w:rPr>
            </w:pPr>
            <w:r>
              <w:rPr>
                <w:rFonts w:hint="eastAsia" w:ascii="楷体" w:eastAsia="楷体" w:cs="楷体"/>
                <w:bCs/>
                <w:color w:val="auto"/>
                <w:kern w:val="2"/>
                <w:szCs w:val="21"/>
              </w:rPr>
              <w:t>通过演奏、动作、神态、表情，能够大致准确表现出作品意境、正确的学生观、教师观、教育观、艺术观，在演奏中融入立德树人的理念，体现出一定的人文素养。</w:t>
            </w:r>
          </w:p>
        </w:tc>
        <w:tc>
          <w:tcPr>
            <w:tcW w:w="1536" w:type="dxa"/>
            <w:tcBorders>
              <w:top w:val="single" w:color="000000" w:sz="4" w:space="0"/>
              <w:left w:val="single" w:color="000000" w:sz="4" w:space="0"/>
              <w:bottom w:val="single" w:color="000000" w:sz="4" w:space="0"/>
              <w:right w:val="single" w:color="000000" w:sz="4" w:space="0"/>
            </w:tcBorders>
          </w:tcPr>
          <w:p w14:paraId="49AC993C">
            <w:pPr>
              <w:widowControl/>
              <w:rPr>
                <w:rFonts w:ascii="楷体" w:eastAsia="楷体" w:cs="楷体"/>
                <w:bCs/>
                <w:color w:val="auto"/>
                <w:kern w:val="2"/>
                <w:szCs w:val="21"/>
              </w:rPr>
            </w:pPr>
            <w:r>
              <w:rPr>
                <w:rFonts w:hint="eastAsia" w:ascii="楷体" w:eastAsia="楷体" w:cs="楷体"/>
                <w:bCs/>
                <w:color w:val="auto"/>
                <w:kern w:val="2"/>
                <w:szCs w:val="21"/>
              </w:rPr>
              <w:t>通过演奏、动作、神态、表情，能够表现出一个教师应有的教态、以及基本正确艺术观。</w:t>
            </w:r>
          </w:p>
        </w:tc>
        <w:tc>
          <w:tcPr>
            <w:tcW w:w="1536" w:type="dxa"/>
            <w:tcBorders>
              <w:top w:val="single" w:color="000000" w:sz="4" w:space="0"/>
              <w:left w:val="single" w:color="000000" w:sz="4" w:space="0"/>
              <w:bottom w:val="single" w:color="000000" w:sz="4" w:space="0"/>
              <w:right w:val="single" w:color="000000" w:sz="4" w:space="0"/>
            </w:tcBorders>
          </w:tcPr>
          <w:p w14:paraId="42117500">
            <w:pPr>
              <w:widowControl/>
              <w:rPr>
                <w:rFonts w:ascii="楷体" w:eastAsia="楷体" w:cs="楷体"/>
                <w:bCs/>
                <w:color w:val="auto"/>
                <w:kern w:val="2"/>
                <w:szCs w:val="21"/>
              </w:rPr>
            </w:pPr>
            <w:r>
              <w:rPr>
                <w:rFonts w:hint="eastAsia" w:ascii="楷体" w:eastAsia="楷体" w:cs="楷体"/>
                <w:bCs/>
                <w:color w:val="auto"/>
                <w:kern w:val="2"/>
                <w:szCs w:val="21"/>
              </w:rPr>
              <w:t>通过演奏、动作、神态、表情，能够表现出一个教师应有的教态。</w:t>
            </w:r>
          </w:p>
        </w:tc>
        <w:tc>
          <w:tcPr>
            <w:tcW w:w="1515" w:type="dxa"/>
            <w:tcBorders>
              <w:top w:val="single" w:color="000000" w:sz="4" w:space="0"/>
              <w:left w:val="single" w:color="000000" w:sz="4" w:space="0"/>
              <w:bottom w:val="single" w:color="000000" w:sz="4" w:space="0"/>
              <w:right w:val="single" w:color="000000" w:sz="4" w:space="0"/>
            </w:tcBorders>
          </w:tcPr>
          <w:p w14:paraId="26E8D930">
            <w:pPr>
              <w:widowControl/>
              <w:rPr>
                <w:rFonts w:ascii="楷体" w:eastAsia="楷体" w:cs="楷体"/>
                <w:bCs/>
                <w:color w:val="auto"/>
                <w:kern w:val="2"/>
                <w:szCs w:val="21"/>
              </w:rPr>
            </w:pPr>
            <w:r>
              <w:rPr>
                <w:rFonts w:hint="eastAsia" w:ascii="楷体" w:eastAsia="楷体" w:cs="楷体"/>
                <w:bCs/>
                <w:color w:val="auto"/>
                <w:kern w:val="2"/>
                <w:szCs w:val="21"/>
              </w:rPr>
              <w:t>演奏、动作、神态、表情不能符合大众对于教师身份的形象认知。</w:t>
            </w:r>
          </w:p>
        </w:tc>
      </w:tr>
      <w:tr w14:paraId="5DAEB317">
        <w:trPr>
          <w:trHeight w:val="624" w:hRule="atLeast"/>
        </w:trPr>
        <w:tc>
          <w:tcPr>
            <w:tcW w:w="1623" w:type="dxa"/>
            <w:tcBorders>
              <w:top w:val="single" w:color="000000" w:sz="4" w:space="0"/>
              <w:left w:val="single" w:color="000000" w:sz="4" w:space="0"/>
              <w:bottom w:val="single" w:color="000000" w:sz="4" w:space="0"/>
              <w:right w:val="single" w:color="000000" w:sz="4" w:space="0"/>
            </w:tcBorders>
            <w:vAlign w:val="center"/>
          </w:tcPr>
          <w:p w14:paraId="2AB6286D">
            <w:pPr>
              <w:widowControl/>
              <w:rPr>
                <w:rFonts w:ascii="楷体" w:eastAsia="楷体" w:cs="楷体"/>
                <w:bCs/>
                <w:color w:val="auto"/>
                <w:kern w:val="2"/>
                <w:szCs w:val="21"/>
              </w:rPr>
            </w:pPr>
            <w:r>
              <w:rPr>
                <w:rFonts w:hint="eastAsia" w:ascii="楷体" w:eastAsia="楷体" w:cs="楷体"/>
                <w:bCs/>
                <w:color w:val="auto"/>
                <w:kern w:val="2"/>
                <w:szCs w:val="21"/>
              </w:rPr>
              <w:t>课程目标3:</w:t>
            </w:r>
          </w:p>
          <w:p w14:paraId="2698616F">
            <w:pPr>
              <w:widowControl/>
              <w:rPr>
                <w:rFonts w:ascii="楷体" w:eastAsia="楷体" w:cs="楷体"/>
                <w:bCs/>
                <w:color w:val="auto"/>
                <w:kern w:val="2"/>
                <w:szCs w:val="21"/>
              </w:rPr>
            </w:pPr>
            <w:r>
              <w:rPr>
                <w:rFonts w:hint="eastAsia" w:ascii="楷体" w:eastAsia="楷体" w:cs="楷体"/>
                <w:bCs/>
                <w:color w:val="auto"/>
                <w:kern w:val="2"/>
                <w:szCs w:val="21"/>
              </w:rPr>
              <w:t xml:space="preserve">    学生通过勤奋刻苦的练习，锤炼爱岗敬业精神，了解教学对象的身心发展特点和音乐的认知规律。通过演奏正能量作品，培养自身健全人格，进一步思考如何通过音乐教育关爱教学对象成长，促进学生身心健康发展。</w:t>
            </w:r>
          </w:p>
        </w:tc>
        <w:tc>
          <w:tcPr>
            <w:tcW w:w="1560" w:type="dxa"/>
            <w:tcBorders>
              <w:top w:val="single" w:color="000000" w:sz="4" w:space="0"/>
              <w:left w:val="single" w:color="000000" w:sz="4" w:space="0"/>
              <w:bottom w:val="single" w:color="000000" w:sz="4" w:space="0"/>
              <w:right w:val="single" w:color="000000" w:sz="4" w:space="0"/>
            </w:tcBorders>
          </w:tcPr>
          <w:p w14:paraId="505AC2B7">
            <w:pPr>
              <w:widowControl/>
              <w:rPr>
                <w:rFonts w:ascii="楷体" w:eastAsia="楷体" w:cs="楷体"/>
                <w:bCs/>
                <w:color w:val="auto"/>
                <w:kern w:val="2"/>
                <w:szCs w:val="21"/>
              </w:rPr>
            </w:pPr>
            <w:r>
              <w:rPr>
                <w:rFonts w:hint="eastAsia" w:ascii="楷体" w:eastAsia="楷体" w:cs="楷体"/>
                <w:bCs/>
                <w:color w:val="auto"/>
                <w:kern w:val="2"/>
                <w:szCs w:val="21"/>
              </w:rPr>
              <w:t>学生平时练习勤奋刻苦，能够表现出较高的敬业精神，学习过程中注意研究未来可能面对的教学对象的身心发展特点和音乐的认知规律。通过演奏正能量作品，较好塑造了自身健全人格，并进行思考，探索如何通过音乐教育促进学生身心健康发展。</w:t>
            </w:r>
          </w:p>
        </w:tc>
        <w:tc>
          <w:tcPr>
            <w:tcW w:w="1440" w:type="dxa"/>
            <w:tcBorders>
              <w:top w:val="single" w:color="000000" w:sz="4" w:space="0"/>
              <w:left w:val="single" w:color="000000" w:sz="4" w:space="0"/>
              <w:bottom w:val="single" w:color="000000" w:sz="4" w:space="0"/>
              <w:right w:val="single" w:color="000000" w:sz="4" w:space="0"/>
            </w:tcBorders>
          </w:tcPr>
          <w:p w14:paraId="7C76EF8D">
            <w:pPr>
              <w:widowControl/>
              <w:rPr>
                <w:rFonts w:ascii="楷体" w:eastAsia="楷体" w:cs="楷体"/>
                <w:bCs/>
                <w:color w:val="auto"/>
                <w:kern w:val="2"/>
                <w:szCs w:val="21"/>
              </w:rPr>
            </w:pPr>
            <w:r>
              <w:rPr>
                <w:rFonts w:hint="eastAsia" w:ascii="楷体" w:eastAsia="楷体" w:cs="楷体"/>
                <w:bCs/>
                <w:color w:val="auto"/>
                <w:kern w:val="2"/>
                <w:szCs w:val="21"/>
              </w:rPr>
              <w:t>学生平时比较勤奋刻苦，能够表现出一定程度的敬业精神，学习过程中注意研究未来可能面对的教学对象的身心发展特点和音乐的认知规律。通过演奏正能量作品，探索如何塑造了自身健全人格，并进行思考，探索如何通过音乐教育促进学生身心健康发展。</w:t>
            </w:r>
          </w:p>
        </w:tc>
        <w:tc>
          <w:tcPr>
            <w:tcW w:w="1536" w:type="dxa"/>
            <w:tcBorders>
              <w:top w:val="single" w:color="000000" w:sz="4" w:space="0"/>
              <w:left w:val="single" w:color="000000" w:sz="4" w:space="0"/>
              <w:bottom w:val="single" w:color="000000" w:sz="4" w:space="0"/>
              <w:right w:val="single" w:color="000000" w:sz="4" w:space="0"/>
            </w:tcBorders>
          </w:tcPr>
          <w:p w14:paraId="42C4A928">
            <w:pPr>
              <w:widowControl/>
              <w:rPr>
                <w:rFonts w:ascii="楷体" w:eastAsia="楷体" w:cs="楷体"/>
                <w:bCs/>
                <w:color w:val="auto"/>
                <w:kern w:val="2"/>
                <w:szCs w:val="21"/>
              </w:rPr>
            </w:pPr>
            <w:r>
              <w:rPr>
                <w:rFonts w:hint="eastAsia" w:ascii="楷体" w:eastAsia="楷体" w:cs="楷体"/>
                <w:bCs/>
                <w:color w:val="auto"/>
                <w:kern w:val="2"/>
                <w:szCs w:val="21"/>
              </w:rPr>
              <w:t>学生平时勤奋程度一般，学习过程中偶尔有思考过未来可能面对的教学对象的身心发展特点和音乐的认知规律。</w:t>
            </w:r>
          </w:p>
        </w:tc>
        <w:tc>
          <w:tcPr>
            <w:tcW w:w="1536" w:type="dxa"/>
            <w:tcBorders>
              <w:top w:val="single" w:color="000000" w:sz="4" w:space="0"/>
              <w:left w:val="single" w:color="000000" w:sz="4" w:space="0"/>
              <w:bottom w:val="single" w:color="000000" w:sz="4" w:space="0"/>
              <w:right w:val="single" w:color="000000" w:sz="4" w:space="0"/>
            </w:tcBorders>
          </w:tcPr>
          <w:p w14:paraId="1203A979">
            <w:pPr>
              <w:widowControl/>
              <w:rPr>
                <w:rFonts w:ascii="楷体" w:eastAsia="楷体" w:cs="楷体"/>
                <w:bCs/>
                <w:color w:val="auto"/>
                <w:kern w:val="2"/>
                <w:szCs w:val="21"/>
              </w:rPr>
            </w:pPr>
            <w:r>
              <w:rPr>
                <w:rFonts w:hint="eastAsia" w:ascii="楷体" w:eastAsia="楷体" w:cs="楷体"/>
                <w:bCs/>
                <w:color w:val="auto"/>
                <w:kern w:val="2"/>
                <w:szCs w:val="21"/>
              </w:rPr>
              <w:t>学生平时不够勤奋，学习过程中偶尔有思考过未来可能面对的教学问题。</w:t>
            </w:r>
          </w:p>
        </w:tc>
        <w:tc>
          <w:tcPr>
            <w:tcW w:w="1515" w:type="dxa"/>
            <w:tcBorders>
              <w:top w:val="single" w:color="000000" w:sz="4" w:space="0"/>
              <w:left w:val="single" w:color="000000" w:sz="4" w:space="0"/>
              <w:bottom w:val="single" w:color="000000" w:sz="4" w:space="0"/>
              <w:right w:val="single" w:color="000000" w:sz="4" w:space="0"/>
            </w:tcBorders>
          </w:tcPr>
          <w:p w14:paraId="4DE772C3">
            <w:pPr>
              <w:widowControl/>
              <w:rPr>
                <w:rFonts w:ascii="楷体" w:eastAsia="楷体" w:cs="楷体"/>
                <w:bCs/>
                <w:color w:val="auto"/>
                <w:kern w:val="2"/>
                <w:szCs w:val="21"/>
              </w:rPr>
            </w:pPr>
            <w:r>
              <w:rPr>
                <w:rFonts w:hint="eastAsia" w:ascii="楷体" w:eastAsia="楷体" w:cs="楷体"/>
                <w:bCs/>
                <w:color w:val="auto"/>
                <w:kern w:val="2"/>
                <w:szCs w:val="21"/>
              </w:rPr>
              <w:t>学生平时不勤奋，学习过程中从未思考过未来可能面对的教学问题。</w:t>
            </w:r>
          </w:p>
        </w:tc>
      </w:tr>
    </w:tbl>
    <w:p w14:paraId="5062EC73">
      <w:pPr>
        <w:rPr>
          <w:sz w:val="2"/>
          <w:szCs w:val="2"/>
        </w:rPr>
        <w:sectPr>
          <w:headerReference r:id="rId101" w:type="default"/>
          <w:footerReference r:id="rId102" w:type="default"/>
          <w:pgSz w:w="11906" w:h="16838"/>
          <w:pgMar w:top="1440" w:right="1800" w:bottom="1440" w:left="1800" w:header="851" w:footer="992" w:gutter="0"/>
          <w:cols w:space="425" w:num="1"/>
          <w:docGrid w:type="lines" w:linePitch="312" w:charSpace="0"/>
        </w:sectPr>
      </w:pPr>
    </w:p>
    <w:p w14:paraId="5B94FF81">
      <w:pPr>
        <w:pStyle w:val="10"/>
        <w:spacing w:line="520" w:lineRule="exact"/>
        <w:jc w:val="center"/>
        <w:rPr>
          <w:rFonts w:hint="eastAsia" w:ascii="方正小标宋简体" w:hAnsi="方正小标宋简体" w:eastAsia="方正小标宋简体" w:cs="方正小标宋简体"/>
          <w:b w:val="0"/>
          <w:bCs w:val="0"/>
          <w:kern w:val="44"/>
          <w:sz w:val="44"/>
          <w:szCs w:val="44"/>
          <w:lang w:val="en-US" w:eastAsia="zh-CN" w:bidi="ar-SA"/>
        </w:rPr>
      </w:pPr>
      <w:r>
        <w:rPr>
          <w:rStyle w:val="356"/>
          <w:rFonts w:hint="eastAsia" w:ascii="方正小标宋简体" w:hAnsi="方正小标宋简体" w:eastAsia="方正小标宋简体" w:cs="方正小标宋简体"/>
          <w:sz w:val="44"/>
          <w:szCs w:val="44"/>
        </w:rPr>
        <w:t>三明学院音乐学（音乐教育）专业</w:t>
      </w:r>
      <w:bookmarkStart w:id="169" w:name="_Toc63407335"/>
      <w:bookmarkStart w:id="170" w:name="_Toc37763847"/>
      <w:bookmarkStart w:id="171" w:name="_Toc66281933"/>
      <w:bookmarkStart w:id="172" w:name="_Toc17002885"/>
      <w:bookmarkStart w:id="173" w:name="_Toc63407239"/>
    </w:p>
    <w:p w14:paraId="1944893F">
      <w:pPr>
        <w:pStyle w:val="2"/>
        <w:spacing w:before="0" w:beforeAutospacing="0" w:after="0" w:afterAutospacing="0" w:line="520" w:lineRule="exact"/>
        <w:jc w:val="center"/>
        <w:rPr>
          <w:rFonts w:hint="eastAsia" w:ascii="方正小标宋简体" w:hAnsi="方正小标宋简体" w:eastAsia="方正小标宋简体" w:cs="方正小标宋简体"/>
          <w:b w:val="0"/>
          <w:bCs w:val="0"/>
          <w:kern w:val="44"/>
          <w:sz w:val="44"/>
          <w:szCs w:val="44"/>
          <w:lang w:val="en-US" w:eastAsia="zh-CN" w:bidi="ar-SA"/>
        </w:rPr>
      </w:pPr>
      <w:bookmarkStart w:id="174" w:name="_Toc39436498"/>
      <w:bookmarkStart w:id="175" w:name="_Toc1071105529"/>
      <w:bookmarkStart w:id="176" w:name="_Toc75062202"/>
      <w:bookmarkStart w:id="177" w:name="_Toc84465586"/>
      <w:bookmarkStart w:id="178" w:name="_Toc75062408"/>
      <w:bookmarkStart w:id="179" w:name="_Toc75062311"/>
      <w:bookmarkStart w:id="180" w:name="_Toc78044718"/>
      <w:bookmarkStart w:id="181" w:name="_Toc16695542"/>
      <w:bookmarkStart w:id="182" w:name="_Toc84465664"/>
      <w:bookmarkStart w:id="183" w:name="_Toc16695232"/>
      <w:bookmarkStart w:id="184" w:name="_Toc16695021"/>
      <w:bookmarkStart w:id="185" w:name="_Toc16695444"/>
      <w:bookmarkStart w:id="186" w:name="_Toc16695336"/>
      <w:bookmarkStart w:id="187" w:name="_Toc16695129"/>
      <w:bookmarkStart w:id="188" w:name="_Toc2119272358"/>
      <w:bookmarkStart w:id="189" w:name="_Toc78044630"/>
      <w:bookmarkStart w:id="190" w:name="_Toc84465638"/>
      <w:bookmarkStart w:id="191" w:name="_Toc39436590"/>
      <w:bookmarkStart w:id="192" w:name="_Toc78044672"/>
      <w:bookmarkStart w:id="193" w:name="_Toc65478573"/>
      <w:bookmarkStart w:id="194" w:name="_Toc75062082"/>
      <w:r>
        <w:rPr>
          <w:rFonts w:hint="eastAsia" w:ascii="方正小标宋简体" w:hAnsi="方正小标宋简体" w:eastAsia="方正小标宋简体" w:cs="方正小标宋简体"/>
          <w:b w:val="0"/>
          <w:bCs w:val="0"/>
          <w:sz w:val="44"/>
          <w:szCs w:val="44"/>
          <w:lang w:val="en-US" w:eastAsia="zh-CN"/>
        </w:rPr>
        <w:t>《钢琴教学法》课程教学大纲</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14:paraId="575FFB56">
      <w:pPr>
        <w:rPr>
          <w:rFonts w:hint="eastAsia"/>
        </w:rPr>
      </w:pPr>
    </w:p>
    <w:tbl>
      <w:tblPr>
        <w:tblStyle w:val="22"/>
        <w:tblW w:w="9418" w:type="dxa"/>
        <w:tblInd w:w="-75" w:type="dxa"/>
        <w:tblLayout w:type="autofit"/>
        <w:tblCellMar>
          <w:top w:w="0" w:type="dxa"/>
          <w:left w:w="0" w:type="dxa"/>
          <w:bottom w:w="0" w:type="dxa"/>
          <w:right w:w="28" w:type="dxa"/>
        </w:tblCellMar>
      </w:tblPr>
      <w:tblGrid>
        <w:gridCol w:w="1022"/>
        <w:gridCol w:w="1243"/>
        <w:gridCol w:w="48"/>
        <w:gridCol w:w="69"/>
        <w:gridCol w:w="1064"/>
        <w:gridCol w:w="1317"/>
        <w:gridCol w:w="98"/>
        <w:gridCol w:w="1002"/>
        <w:gridCol w:w="759"/>
        <w:gridCol w:w="146"/>
        <w:gridCol w:w="526"/>
        <w:gridCol w:w="351"/>
        <w:gridCol w:w="874"/>
        <w:gridCol w:w="899"/>
      </w:tblGrid>
      <w:tr w14:paraId="7AAEE615">
        <w:trPr>
          <w:trHeight w:val="454" w:hRule="atLeast"/>
        </w:trPr>
        <w:tc>
          <w:tcPr>
            <w:tcW w:w="1022" w:type="dxa"/>
            <w:tcBorders>
              <w:top w:val="single" w:color="000000" w:sz="4" w:space="0"/>
              <w:left w:val="single" w:color="000000" w:sz="4" w:space="0"/>
              <w:bottom w:val="single" w:color="000000" w:sz="4" w:space="0"/>
              <w:right w:val="single" w:color="000000" w:sz="4" w:space="0"/>
            </w:tcBorders>
            <w:noWrap w:val="0"/>
            <w:vAlign w:val="center"/>
          </w:tcPr>
          <w:p w14:paraId="29EBCEE4">
            <w:pPr>
              <w:spacing w:line="280" w:lineRule="exact"/>
              <w:jc w:val="center"/>
              <w:rPr>
                <w:rFonts w:ascii="仿宋" w:eastAsia="仿宋" w:cs="仿宋"/>
                <w:kern w:val="2"/>
                <w:sz w:val="24"/>
              </w:rPr>
            </w:pPr>
            <w:r>
              <w:rPr>
                <w:rFonts w:hint="eastAsia" w:ascii="仿宋" w:eastAsia="仿宋" w:cs="仿宋"/>
                <w:kern w:val="2"/>
                <w:sz w:val="24"/>
              </w:rPr>
              <w:t>课程名称</w:t>
            </w:r>
          </w:p>
        </w:tc>
        <w:tc>
          <w:tcPr>
            <w:tcW w:w="3839" w:type="dxa"/>
            <w:gridSpan w:val="6"/>
            <w:tcBorders>
              <w:top w:val="single" w:color="000000" w:sz="4" w:space="0"/>
              <w:left w:val="single" w:color="000000" w:sz="4" w:space="0"/>
              <w:bottom w:val="single" w:color="000000" w:sz="4" w:space="0"/>
              <w:right w:val="single" w:color="000000" w:sz="4" w:space="0"/>
            </w:tcBorders>
            <w:noWrap w:val="0"/>
            <w:vAlign w:val="center"/>
          </w:tcPr>
          <w:p w14:paraId="560782B3">
            <w:pPr>
              <w:spacing w:line="240" w:lineRule="atLeast"/>
              <w:jc w:val="center"/>
              <w:rPr>
                <w:rFonts w:ascii="仿宋" w:eastAsia="仿宋" w:cs="仿宋"/>
                <w:kern w:val="2"/>
                <w:sz w:val="24"/>
                <w:szCs w:val="24"/>
              </w:rPr>
            </w:pPr>
            <w:r>
              <w:rPr>
                <w:rFonts w:hint="eastAsia" w:ascii="仿宋" w:eastAsia="仿宋" w:cs="仿宋"/>
                <w:kern w:val="2"/>
                <w:sz w:val="24"/>
                <w:szCs w:val="24"/>
              </w:rPr>
              <w:t>《</w:t>
            </w:r>
            <w:r>
              <w:rPr>
                <w:rFonts w:hint="eastAsia" w:ascii="仿宋" w:eastAsia="仿宋" w:cs="仿宋"/>
                <w:bCs/>
                <w:sz w:val="24"/>
                <w:szCs w:val="24"/>
                <w:lang w:eastAsia="zh-CN"/>
              </w:rPr>
              <w:t>钢琴教学法</w:t>
            </w:r>
            <w:r>
              <w:rPr>
                <w:rFonts w:hint="eastAsia" w:ascii="仿宋" w:eastAsia="仿宋" w:cs="仿宋"/>
                <w:kern w:val="2"/>
                <w:sz w:val="24"/>
                <w:szCs w:val="24"/>
              </w:rPr>
              <w:t>》</w:t>
            </w:r>
          </w:p>
        </w:tc>
        <w:tc>
          <w:tcPr>
            <w:tcW w:w="1761" w:type="dxa"/>
            <w:gridSpan w:val="2"/>
            <w:tcBorders>
              <w:top w:val="single" w:color="000000" w:sz="4" w:space="0"/>
              <w:left w:val="single" w:color="000000" w:sz="4" w:space="0"/>
              <w:bottom w:val="single" w:color="000000" w:sz="4" w:space="0"/>
              <w:right w:val="single" w:color="000000" w:sz="4" w:space="0"/>
            </w:tcBorders>
            <w:noWrap w:val="0"/>
            <w:vAlign w:val="center"/>
          </w:tcPr>
          <w:p w14:paraId="3EAC9AC2">
            <w:pPr>
              <w:spacing w:line="240" w:lineRule="atLeast"/>
              <w:jc w:val="center"/>
              <w:rPr>
                <w:rFonts w:ascii="仿宋" w:eastAsia="仿宋" w:cs="仿宋"/>
                <w:kern w:val="2"/>
                <w:sz w:val="24"/>
                <w:szCs w:val="24"/>
              </w:rPr>
            </w:pPr>
            <w:r>
              <w:rPr>
                <w:rFonts w:hint="eastAsia" w:ascii="仿宋" w:eastAsia="仿宋" w:cs="仿宋"/>
                <w:kern w:val="2"/>
                <w:sz w:val="24"/>
                <w:szCs w:val="24"/>
              </w:rPr>
              <w:t>课程代码</w:t>
            </w:r>
          </w:p>
        </w:tc>
        <w:tc>
          <w:tcPr>
            <w:tcW w:w="2796" w:type="dxa"/>
            <w:gridSpan w:val="5"/>
            <w:tcBorders>
              <w:top w:val="single" w:color="000000" w:sz="4" w:space="0"/>
              <w:left w:val="single" w:color="000000" w:sz="4" w:space="0"/>
              <w:bottom w:val="single" w:color="000000" w:sz="4" w:space="0"/>
              <w:right w:val="single" w:color="000000" w:sz="4" w:space="0"/>
            </w:tcBorders>
            <w:noWrap w:val="0"/>
            <w:vAlign w:val="center"/>
          </w:tcPr>
          <w:p w14:paraId="3D375531">
            <w:pPr>
              <w:keepNext w:val="0"/>
              <w:keepLines w:val="0"/>
              <w:widowControl/>
              <w:suppressLineNumbers w:val="0"/>
              <w:jc w:val="center"/>
              <w:textAlignment w:val="center"/>
              <w:rPr>
                <w:rFonts w:ascii="Arial" w:hAnsi="Arial" w:eastAsia="宋体" w:cs="Arial"/>
                <w:i w:val="0"/>
                <w:iCs w:val="0"/>
                <w:color w:val="000000"/>
                <w:sz w:val="20"/>
                <w:szCs w:val="20"/>
                <w:u w:val="none"/>
                <w:lang w:val="en-US" w:eastAsia="zh-CN" w:bidi="ar-SA"/>
              </w:rPr>
            </w:pPr>
            <w:r>
              <w:rPr>
                <w:rFonts w:hint="eastAsia" w:ascii="仿宋" w:hAnsi="仿宋" w:eastAsia="仿宋" w:cs="仿宋"/>
                <w:i w:val="0"/>
                <w:iCs w:val="0"/>
                <w:color w:val="auto"/>
                <w:kern w:val="0"/>
                <w:sz w:val="21"/>
                <w:szCs w:val="21"/>
                <w:u w:val="none"/>
                <w:lang w:val="en-US" w:eastAsia="zh-CN" w:bidi="ar"/>
              </w:rPr>
              <w:t>1211402602</w:t>
            </w:r>
          </w:p>
        </w:tc>
      </w:tr>
      <w:tr w14:paraId="3E6BDD82">
        <w:trPr>
          <w:trHeight w:val="454" w:hRule="atLeast"/>
        </w:trPr>
        <w:tc>
          <w:tcPr>
            <w:tcW w:w="1022" w:type="dxa"/>
            <w:tcBorders>
              <w:top w:val="single" w:color="000000" w:sz="4" w:space="0"/>
              <w:left w:val="single" w:color="000000" w:sz="4" w:space="0"/>
              <w:bottom w:val="single" w:color="000000" w:sz="4" w:space="0"/>
              <w:right w:val="single" w:color="000000" w:sz="4" w:space="0"/>
            </w:tcBorders>
            <w:noWrap w:val="0"/>
            <w:vAlign w:val="center"/>
          </w:tcPr>
          <w:p w14:paraId="453E7990">
            <w:pPr>
              <w:adjustRightInd w:val="0"/>
              <w:snapToGrid w:val="0"/>
              <w:spacing w:line="240" w:lineRule="atLeast"/>
              <w:jc w:val="center"/>
              <w:rPr>
                <w:rFonts w:ascii="仿宋" w:eastAsia="仿宋" w:cs="仿宋"/>
                <w:kern w:val="2"/>
                <w:sz w:val="24"/>
              </w:rPr>
            </w:pPr>
            <w:r>
              <w:rPr>
                <w:rFonts w:hint="eastAsia" w:ascii="仿宋" w:hAnsi="仿宋" w:eastAsia="仿宋" w:cs="仿宋"/>
                <w:color w:val="000000"/>
                <w:sz w:val="24"/>
                <w:szCs w:val="24"/>
              </w:rPr>
              <w:t>课程类型</w:t>
            </w:r>
          </w:p>
        </w:tc>
        <w:tc>
          <w:tcPr>
            <w:tcW w:w="8396" w:type="dxa"/>
            <w:gridSpan w:val="13"/>
            <w:tcBorders>
              <w:top w:val="single" w:color="000000" w:sz="4" w:space="0"/>
              <w:left w:val="single" w:color="000000" w:sz="4" w:space="0"/>
              <w:bottom w:val="single" w:color="000000" w:sz="4" w:space="0"/>
              <w:right w:val="single" w:color="000000" w:sz="4" w:space="0"/>
            </w:tcBorders>
            <w:noWrap w:val="0"/>
            <w:vAlign w:val="center"/>
          </w:tcPr>
          <w:p w14:paraId="2440A3C1">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通识必修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通识选修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专业必修 </w:t>
            </w:r>
          </w:p>
          <w:p w14:paraId="642DC748">
            <w:pPr>
              <w:adjustRightInd w:val="0"/>
              <w:snapToGrid w:val="0"/>
              <w:spacing w:line="240" w:lineRule="atLeast"/>
              <w:rPr>
                <w:rFonts w:ascii="仿宋" w:eastAsia="仿宋" w:cs="仿宋"/>
                <w:kern w:val="2"/>
                <w:sz w:val="24"/>
                <w:szCs w:val="24"/>
              </w:rPr>
            </w:pP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专业选修</w:t>
            </w:r>
            <w:r>
              <w:rPr>
                <w:rFonts w:hint="eastAsia" w:ascii="仿宋" w:hAnsi="仿宋" w:eastAsia="仿宋" w:cs="仿宋"/>
                <w:color w:val="000000"/>
                <w:sz w:val="24"/>
                <w:szCs w:val="24"/>
                <w:lang w:eastAsia="zh-TW"/>
              </w:rPr>
              <w:t xml:space="preserve">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教师教育必修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教师教育选修</w:t>
            </w:r>
          </w:p>
        </w:tc>
      </w:tr>
      <w:tr w14:paraId="27E20650">
        <w:trPr>
          <w:trHeight w:val="406" w:hRule="atLeast"/>
        </w:trPr>
        <w:tc>
          <w:tcPr>
            <w:tcW w:w="1022" w:type="dxa"/>
            <w:tcBorders>
              <w:top w:val="single" w:color="000000" w:sz="4" w:space="0"/>
              <w:left w:val="single" w:color="000000" w:sz="4" w:space="0"/>
              <w:bottom w:val="single" w:color="000000" w:sz="4" w:space="0"/>
              <w:right w:val="single" w:color="000000" w:sz="4" w:space="0"/>
            </w:tcBorders>
            <w:noWrap w:val="0"/>
            <w:vAlign w:val="center"/>
          </w:tcPr>
          <w:p w14:paraId="30D819CE">
            <w:pPr>
              <w:spacing w:line="280" w:lineRule="exact"/>
              <w:jc w:val="center"/>
              <w:rPr>
                <w:rFonts w:ascii="仿宋" w:eastAsia="仿宋" w:cs="仿宋"/>
                <w:kern w:val="2"/>
                <w:sz w:val="24"/>
              </w:rPr>
            </w:pPr>
            <w:r>
              <w:rPr>
                <w:rFonts w:hint="eastAsia" w:ascii="仿宋" w:eastAsia="仿宋" w:cs="仿宋"/>
                <w:kern w:val="2"/>
                <w:sz w:val="24"/>
              </w:rPr>
              <w:t>开课学期</w:t>
            </w:r>
          </w:p>
        </w:tc>
        <w:tc>
          <w:tcPr>
            <w:tcW w:w="1360" w:type="dxa"/>
            <w:gridSpan w:val="3"/>
            <w:tcBorders>
              <w:top w:val="single" w:color="000000" w:sz="4" w:space="0"/>
              <w:left w:val="single" w:color="000000" w:sz="4" w:space="0"/>
              <w:bottom w:val="single" w:color="000000" w:sz="4" w:space="0"/>
              <w:right w:val="single" w:color="000000" w:sz="4" w:space="0"/>
            </w:tcBorders>
            <w:noWrap w:val="0"/>
            <w:vAlign w:val="center"/>
          </w:tcPr>
          <w:p w14:paraId="1E2423B0">
            <w:pPr>
              <w:adjustRightInd w:val="0"/>
              <w:snapToGrid w:val="0"/>
              <w:spacing w:line="240" w:lineRule="atLeast"/>
              <w:jc w:val="center"/>
              <w:rPr>
                <w:rFonts w:ascii="仿宋" w:eastAsia="仿宋" w:cs="仿宋"/>
                <w:sz w:val="24"/>
                <w:szCs w:val="24"/>
              </w:rPr>
            </w:pPr>
            <w:r>
              <w:rPr>
                <w:rFonts w:hint="eastAsia" w:ascii="仿宋" w:eastAsia="仿宋" w:cs="仿宋"/>
                <w:sz w:val="24"/>
                <w:szCs w:val="24"/>
              </w:rPr>
              <w:t>第</w:t>
            </w:r>
            <w:r>
              <w:rPr>
                <w:rFonts w:hint="eastAsia" w:ascii="仿宋" w:eastAsia="仿宋" w:cs="仿宋"/>
                <w:sz w:val="24"/>
                <w:szCs w:val="24"/>
                <w:lang w:val="en-US" w:eastAsia="zh-CN"/>
              </w:rPr>
              <w:t>6</w:t>
            </w:r>
            <w:r>
              <w:rPr>
                <w:rFonts w:hint="eastAsia" w:ascii="仿宋" w:eastAsia="仿宋" w:cs="仿宋"/>
                <w:sz w:val="24"/>
                <w:szCs w:val="24"/>
              </w:rPr>
              <w:t>学期</w:t>
            </w:r>
          </w:p>
        </w:tc>
        <w:tc>
          <w:tcPr>
            <w:tcW w:w="1064" w:type="dxa"/>
            <w:tcBorders>
              <w:top w:val="single" w:color="000000" w:sz="4" w:space="0"/>
              <w:left w:val="single" w:color="000000" w:sz="4" w:space="0"/>
              <w:bottom w:val="single" w:color="000000" w:sz="4" w:space="0"/>
              <w:right w:val="single" w:color="000000" w:sz="4" w:space="0"/>
            </w:tcBorders>
            <w:noWrap w:val="0"/>
            <w:vAlign w:val="center"/>
          </w:tcPr>
          <w:p w14:paraId="0B27A80A">
            <w:pPr>
              <w:adjustRightInd w:val="0"/>
              <w:snapToGrid w:val="0"/>
              <w:spacing w:line="240" w:lineRule="atLeast"/>
              <w:jc w:val="center"/>
              <w:rPr>
                <w:rFonts w:ascii="仿宋" w:eastAsia="仿宋" w:cs="仿宋"/>
                <w:sz w:val="24"/>
                <w:szCs w:val="24"/>
              </w:rPr>
            </w:pPr>
            <w:r>
              <w:rPr>
                <w:rFonts w:hint="eastAsia" w:ascii="仿宋" w:eastAsia="仿宋" w:cs="仿宋"/>
                <w:sz w:val="24"/>
                <w:szCs w:val="24"/>
              </w:rPr>
              <w:t>学分</w:t>
            </w:r>
          </w:p>
        </w:tc>
        <w:tc>
          <w:tcPr>
            <w:tcW w:w="1415" w:type="dxa"/>
            <w:gridSpan w:val="2"/>
            <w:tcBorders>
              <w:top w:val="single" w:color="000000" w:sz="4" w:space="0"/>
              <w:left w:val="single" w:color="000000" w:sz="4" w:space="0"/>
              <w:bottom w:val="single" w:color="000000" w:sz="4" w:space="0"/>
              <w:right w:val="single" w:color="000000" w:sz="4" w:space="0"/>
            </w:tcBorders>
            <w:noWrap w:val="0"/>
            <w:vAlign w:val="center"/>
          </w:tcPr>
          <w:p w14:paraId="7BE7CBAE">
            <w:pPr>
              <w:adjustRightInd w:val="0"/>
              <w:snapToGrid w:val="0"/>
              <w:spacing w:line="240" w:lineRule="atLeast"/>
              <w:jc w:val="center"/>
              <w:rPr>
                <w:rFonts w:ascii="仿宋" w:eastAsia="仿宋" w:cs="仿宋"/>
                <w:sz w:val="24"/>
                <w:szCs w:val="24"/>
              </w:rPr>
            </w:pPr>
            <w:r>
              <w:rPr>
                <w:rFonts w:hint="eastAsia" w:ascii="仿宋" w:eastAsia="仿宋" w:cs="仿宋"/>
                <w:sz w:val="24"/>
                <w:szCs w:val="24"/>
              </w:rPr>
              <w:t>2</w:t>
            </w:r>
          </w:p>
        </w:tc>
        <w:tc>
          <w:tcPr>
            <w:tcW w:w="1761" w:type="dxa"/>
            <w:gridSpan w:val="2"/>
            <w:tcBorders>
              <w:top w:val="single" w:color="000000" w:sz="4" w:space="0"/>
              <w:left w:val="single" w:color="000000" w:sz="4" w:space="0"/>
              <w:bottom w:val="single" w:color="000000" w:sz="4" w:space="0"/>
              <w:right w:val="single" w:color="000000" w:sz="4" w:space="0"/>
            </w:tcBorders>
            <w:noWrap w:val="0"/>
            <w:vAlign w:val="center"/>
          </w:tcPr>
          <w:p w14:paraId="66647253">
            <w:pPr>
              <w:adjustRightInd w:val="0"/>
              <w:snapToGrid w:val="0"/>
              <w:spacing w:line="240" w:lineRule="atLeast"/>
              <w:jc w:val="center"/>
              <w:rPr>
                <w:rFonts w:ascii="仿宋" w:eastAsia="仿宋" w:cs="仿宋"/>
                <w:sz w:val="24"/>
                <w:szCs w:val="24"/>
              </w:rPr>
            </w:pPr>
            <w:r>
              <w:rPr>
                <w:rFonts w:hint="eastAsia" w:ascii="仿宋" w:eastAsia="仿宋" w:cs="仿宋"/>
                <w:sz w:val="24"/>
                <w:szCs w:val="24"/>
              </w:rPr>
              <w:t>课程负责人</w:t>
            </w:r>
          </w:p>
        </w:tc>
        <w:tc>
          <w:tcPr>
            <w:tcW w:w="2796" w:type="dxa"/>
            <w:gridSpan w:val="5"/>
            <w:tcBorders>
              <w:top w:val="single" w:color="000000" w:sz="4" w:space="0"/>
              <w:left w:val="single" w:color="000000" w:sz="4" w:space="0"/>
              <w:bottom w:val="single" w:color="000000" w:sz="4" w:space="0"/>
              <w:right w:val="single" w:color="000000" w:sz="4" w:space="0"/>
            </w:tcBorders>
            <w:noWrap w:val="0"/>
            <w:vAlign w:val="center"/>
          </w:tcPr>
          <w:p w14:paraId="64F5C8D7">
            <w:pPr>
              <w:adjustRightInd w:val="0"/>
              <w:snapToGrid w:val="0"/>
              <w:spacing w:line="240" w:lineRule="atLeast"/>
              <w:jc w:val="center"/>
              <w:rPr>
                <w:rFonts w:ascii="仿宋" w:eastAsia="仿宋" w:cs="仿宋"/>
                <w:sz w:val="24"/>
                <w:szCs w:val="24"/>
              </w:rPr>
            </w:pPr>
            <w:r>
              <w:rPr>
                <w:rFonts w:hint="eastAsia" w:ascii="仿宋" w:eastAsia="仿宋" w:cs="仿宋"/>
                <w:sz w:val="24"/>
                <w:szCs w:val="24"/>
              </w:rPr>
              <w:t>朱凌杰</w:t>
            </w:r>
          </w:p>
        </w:tc>
      </w:tr>
      <w:tr w14:paraId="750DEA9A">
        <w:trPr>
          <w:trHeight w:val="485" w:hRule="atLeast"/>
        </w:trPr>
        <w:tc>
          <w:tcPr>
            <w:tcW w:w="1022" w:type="dxa"/>
            <w:tcBorders>
              <w:top w:val="single" w:color="000000" w:sz="4" w:space="0"/>
              <w:left w:val="single" w:color="000000" w:sz="4" w:space="0"/>
              <w:bottom w:val="single" w:color="000000" w:sz="4" w:space="0"/>
              <w:right w:val="single" w:color="000000" w:sz="4" w:space="0"/>
            </w:tcBorders>
            <w:noWrap w:val="0"/>
            <w:vAlign w:val="center"/>
          </w:tcPr>
          <w:p w14:paraId="69B10FCE">
            <w:pPr>
              <w:spacing w:line="280" w:lineRule="exact"/>
              <w:jc w:val="center"/>
              <w:rPr>
                <w:rFonts w:ascii="仿宋" w:eastAsia="仿宋" w:cs="仿宋"/>
                <w:kern w:val="2"/>
                <w:sz w:val="24"/>
              </w:rPr>
            </w:pPr>
            <w:r>
              <w:rPr>
                <w:rFonts w:hint="eastAsia" w:ascii="仿宋" w:eastAsia="仿宋" w:cs="仿宋"/>
                <w:kern w:val="2"/>
                <w:sz w:val="24"/>
              </w:rPr>
              <w:t>总学时</w:t>
            </w:r>
          </w:p>
        </w:tc>
        <w:tc>
          <w:tcPr>
            <w:tcW w:w="1360" w:type="dxa"/>
            <w:gridSpan w:val="3"/>
            <w:tcBorders>
              <w:top w:val="single" w:color="000000" w:sz="4" w:space="0"/>
              <w:left w:val="single" w:color="000000" w:sz="4" w:space="0"/>
              <w:bottom w:val="single" w:color="000000" w:sz="4" w:space="0"/>
              <w:right w:val="single" w:color="000000" w:sz="4" w:space="0"/>
            </w:tcBorders>
            <w:noWrap w:val="0"/>
            <w:vAlign w:val="center"/>
          </w:tcPr>
          <w:p w14:paraId="671678C3">
            <w:pPr>
              <w:adjustRightInd w:val="0"/>
              <w:snapToGrid w:val="0"/>
              <w:spacing w:line="240" w:lineRule="atLeast"/>
              <w:jc w:val="center"/>
              <w:rPr>
                <w:rFonts w:hint="default" w:ascii="仿宋" w:eastAsia="仿宋" w:cs="仿宋"/>
                <w:bCs/>
                <w:sz w:val="24"/>
                <w:szCs w:val="24"/>
                <w:lang w:val="en-US" w:eastAsia="zh-CN"/>
              </w:rPr>
            </w:pPr>
            <w:r>
              <w:rPr>
                <w:rFonts w:hint="eastAsia" w:ascii="仿宋" w:eastAsia="仿宋" w:cs="仿宋"/>
                <w:bCs/>
                <w:sz w:val="24"/>
                <w:szCs w:val="24"/>
                <w:lang w:val="en-US" w:eastAsia="zh-CN"/>
              </w:rPr>
              <w:t>32</w:t>
            </w:r>
          </w:p>
        </w:tc>
        <w:tc>
          <w:tcPr>
            <w:tcW w:w="1064" w:type="dxa"/>
            <w:tcBorders>
              <w:top w:val="single" w:color="000000" w:sz="4" w:space="0"/>
              <w:left w:val="single" w:color="000000" w:sz="4" w:space="0"/>
              <w:bottom w:val="single" w:color="000000" w:sz="4" w:space="0"/>
              <w:right w:val="single" w:color="000000" w:sz="4" w:space="0"/>
            </w:tcBorders>
            <w:noWrap w:val="0"/>
            <w:vAlign w:val="center"/>
          </w:tcPr>
          <w:p w14:paraId="67DEF7AA">
            <w:pPr>
              <w:adjustRightInd w:val="0"/>
              <w:snapToGrid w:val="0"/>
              <w:spacing w:line="240" w:lineRule="atLeast"/>
              <w:jc w:val="center"/>
              <w:rPr>
                <w:rFonts w:ascii="仿宋" w:eastAsia="仿宋" w:cs="仿宋"/>
                <w:bCs/>
                <w:sz w:val="24"/>
                <w:szCs w:val="24"/>
              </w:rPr>
            </w:pPr>
            <w:r>
              <w:rPr>
                <w:rFonts w:hint="eastAsia" w:ascii="仿宋" w:eastAsia="仿宋" w:cs="仿宋"/>
                <w:bCs/>
                <w:sz w:val="24"/>
                <w:szCs w:val="24"/>
              </w:rPr>
              <w:t>理论学时</w:t>
            </w:r>
          </w:p>
        </w:tc>
        <w:tc>
          <w:tcPr>
            <w:tcW w:w="1415" w:type="dxa"/>
            <w:gridSpan w:val="2"/>
            <w:tcBorders>
              <w:top w:val="single" w:color="000000" w:sz="4" w:space="0"/>
              <w:left w:val="single" w:color="000000" w:sz="4" w:space="0"/>
              <w:bottom w:val="single" w:color="000000" w:sz="4" w:space="0"/>
              <w:right w:val="single" w:color="000000" w:sz="4" w:space="0"/>
            </w:tcBorders>
            <w:noWrap w:val="0"/>
            <w:vAlign w:val="center"/>
          </w:tcPr>
          <w:p w14:paraId="562B8084">
            <w:pPr>
              <w:adjustRightInd w:val="0"/>
              <w:snapToGrid w:val="0"/>
              <w:spacing w:line="240" w:lineRule="atLeast"/>
              <w:jc w:val="center"/>
              <w:rPr>
                <w:rFonts w:hint="default" w:ascii="仿宋" w:eastAsia="仿宋" w:cs="仿宋"/>
                <w:bCs/>
                <w:sz w:val="24"/>
                <w:szCs w:val="24"/>
                <w:lang w:val="en-US" w:eastAsia="zh-CN"/>
              </w:rPr>
            </w:pPr>
            <w:r>
              <w:rPr>
                <w:rFonts w:hint="eastAsia" w:ascii="仿宋" w:eastAsia="仿宋" w:cs="仿宋"/>
                <w:bCs/>
                <w:sz w:val="24"/>
                <w:szCs w:val="24"/>
                <w:lang w:val="en-US" w:eastAsia="zh-CN"/>
              </w:rPr>
              <w:t>32</w:t>
            </w:r>
          </w:p>
        </w:tc>
        <w:tc>
          <w:tcPr>
            <w:tcW w:w="1761" w:type="dxa"/>
            <w:gridSpan w:val="2"/>
            <w:tcBorders>
              <w:top w:val="single" w:color="000000" w:sz="4" w:space="0"/>
              <w:left w:val="single" w:color="000000" w:sz="4" w:space="0"/>
              <w:bottom w:val="single" w:color="000000" w:sz="4" w:space="0"/>
              <w:right w:val="single" w:color="000000" w:sz="4" w:space="0"/>
            </w:tcBorders>
            <w:noWrap w:val="0"/>
            <w:vAlign w:val="center"/>
          </w:tcPr>
          <w:p w14:paraId="47D57657">
            <w:pPr>
              <w:adjustRightInd w:val="0"/>
              <w:snapToGrid w:val="0"/>
              <w:spacing w:line="240" w:lineRule="atLeast"/>
              <w:jc w:val="center"/>
              <w:rPr>
                <w:rFonts w:ascii="仿宋" w:eastAsia="仿宋" w:cs="仿宋"/>
                <w:bCs/>
                <w:sz w:val="24"/>
                <w:szCs w:val="24"/>
              </w:rPr>
            </w:pPr>
            <w:r>
              <w:rPr>
                <w:rFonts w:hint="eastAsia" w:ascii="仿宋" w:eastAsia="仿宋" w:cs="仿宋"/>
                <w:bCs/>
                <w:sz w:val="24"/>
                <w:szCs w:val="24"/>
              </w:rPr>
              <w:t>实践学时</w:t>
            </w:r>
          </w:p>
        </w:tc>
        <w:tc>
          <w:tcPr>
            <w:tcW w:w="2796" w:type="dxa"/>
            <w:gridSpan w:val="5"/>
            <w:tcBorders>
              <w:top w:val="single" w:color="000000" w:sz="4" w:space="0"/>
              <w:left w:val="single" w:color="000000" w:sz="4" w:space="0"/>
              <w:bottom w:val="single" w:color="000000" w:sz="4" w:space="0"/>
              <w:right w:val="single" w:color="000000" w:sz="4" w:space="0"/>
            </w:tcBorders>
            <w:noWrap w:val="0"/>
            <w:vAlign w:val="center"/>
          </w:tcPr>
          <w:p w14:paraId="51865C68">
            <w:pPr>
              <w:adjustRightInd w:val="0"/>
              <w:snapToGrid w:val="0"/>
              <w:spacing w:line="240" w:lineRule="atLeast"/>
              <w:jc w:val="center"/>
              <w:rPr>
                <w:rFonts w:ascii="仿宋" w:eastAsia="仿宋" w:cs="仿宋"/>
                <w:bCs/>
                <w:sz w:val="24"/>
                <w:szCs w:val="24"/>
              </w:rPr>
            </w:pPr>
          </w:p>
        </w:tc>
      </w:tr>
      <w:tr w14:paraId="15794E0F">
        <w:trPr>
          <w:trHeight w:val="454" w:hRule="atLeast"/>
        </w:trPr>
        <w:tc>
          <w:tcPr>
            <w:tcW w:w="1022" w:type="dxa"/>
            <w:tcBorders>
              <w:top w:val="single" w:color="000000" w:sz="4" w:space="0"/>
              <w:left w:val="single" w:color="000000" w:sz="4" w:space="0"/>
              <w:bottom w:val="single" w:color="000000" w:sz="4" w:space="0"/>
              <w:right w:val="single" w:color="000000" w:sz="4" w:space="0"/>
            </w:tcBorders>
            <w:noWrap w:val="0"/>
            <w:vAlign w:val="center"/>
          </w:tcPr>
          <w:p w14:paraId="1CC305A8">
            <w:pPr>
              <w:spacing w:line="280" w:lineRule="exact"/>
              <w:jc w:val="center"/>
              <w:rPr>
                <w:rFonts w:ascii="仿宋" w:eastAsia="仿宋" w:cs="仿宋"/>
                <w:kern w:val="2"/>
                <w:sz w:val="24"/>
              </w:rPr>
            </w:pPr>
            <w:r>
              <w:rPr>
                <w:rFonts w:hint="eastAsia" w:ascii="仿宋" w:eastAsia="仿宋" w:cs="仿宋"/>
                <w:kern w:val="2"/>
                <w:sz w:val="24"/>
              </w:rPr>
              <w:t>先修课程与后续课程</w:t>
            </w:r>
          </w:p>
        </w:tc>
        <w:tc>
          <w:tcPr>
            <w:tcW w:w="8396" w:type="dxa"/>
            <w:gridSpan w:val="13"/>
            <w:tcBorders>
              <w:top w:val="single" w:color="000000" w:sz="4" w:space="0"/>
              <w:left w:val="single" w:color="000000" w:sz="4" w:space="0"/>
              <w:bottom w:val="single" w:color="000000" w:sz="4" w:space="0"/>
              <w:right w:val="single" w:color="000000" w:sz="4" w:space="0"/>
            </w:tcBorders>
            <w:noWrap w:val="0"/>
            <w:vAlign w:val="center"/>
          </w:tcPr>
          <w:p w14:paraId="06D805BC">
            <w:pPr>
              <w:adjustRightInd w:val="0"/>
              <w:snapToGrid w:val="0"/>
              <w:rPr>
                <w:rFonts w:hint="default" w:ascii="仿宋" w:eastAsia="仿宋" w:cs="仿宋"/>
                <w:bCs/>
                <w:sz w:val="24"/>
                <w:szCs w:val="24"/>
                <w:lang w:val="en-US" w:eastAsia="zh-CN"/>
              </w:rPr>
            </w:pPr>
            <w:r>
              <w:rPr>
                <w:rFonts w:hint="eastAsia" w:ascii="仿宋" w:eastAsia="仿宋" w:cs="仿宋"/>
                <w:bCs/>
                <w:sz w:val="24"/>
                <w:szCs w:val="24"/>
              </w:rPr>
              <w:t>先修课程：钢琴基础、基本乐理、视唱练耳</w:t>
            </w:r>
            <w:r>
              <w:rPr>
                <w:rFonts w:hint="eastAsia" w:ascii="仿宋" w:eastAsia="仿宋" w:cs="仿宋"/>
                <w:bCs/>
                <w:sz w:val="24"/>
                <w:szCs w:val="24"/>
                <w:lang w:eastAsia="zh-CN"/>
              </w:rPr>
              <w:t>、</w:t>
            </w:r>
            <w:r>
              <w:rPr>
                <w:rFonts w:hint="eastAsia" w:ascii="仿宋" w:eastAsia="仿宋" w:cs="仿宋"/>
                <w:bCs/>
                <w:sz w:val="24"/>
                <w:szCs w:val="24"/>
                <w:lang w:val="en-US" w:eastAsia="zh-CN"/>
              </w:rPr>
              <w:t>中国音乐史、西方音乐史</w:t>
            </w:r>
          </w:p>
          <w:p w14:paraId="5953E397">
            <w:pPr>
              <w:tabs>
                <w:tab w:val="left" w:pos="2219"/>
              </w:tabs>
              <w:suppressAutoHyphens/>
              <w:autoSpaceDE w:val="0"/>
              <w:autoSpaceDN w:val="0"/>
              <w:ind w:right="115" w:rightChars="55"/>
              <w:rPr>
                <w:rFonts w:hint="default" w:ascii="仿宋" w:eastAsia="仿宋" w:cs="仿宋"/>
                <w:bCs/>
                <w:sz w:val="24"/>
                <w:szCs w:val="24"/>
                <w:lang w:val="en-US"/>
              </w:rPr>
            </w:pPr>
            <w:r>
              <w:rPr>
                <w:rFonts w:hint="eastAsia" w:ascii="仿宋" w:eastAsia="仿宋" w:cs="仿宋"/>
                <w:bCs/>
                <w:sz w:val="24"/>
                <w:szCs w:val="24"/>
              </w:rPr>
              <w:t>后续课程：</w:t>
            </w:r>
            <w:r>
              <w:rPr>
                <w:rFonts w:hint="eastAsia" w:ascii="仿宋" w:eastAsia="仿宋" w:cs="仿宋"/>
                <w:bCs/>
                <w:sz w:val="24"/>
                <w:szCs w:val="24"/>
                <w:lang w:val="en-US" w:eastAsia="zh-CN"/>
              </w:rPr>
              <w:t>毕业实习、毕业汇演</w:t>
            </w:r>
          </w:p>
        </w:tc>
      </w:tr>
      <w:tr w14:paraId="3F47D245">
        <w:trPr>
          <w:trHeight w:val="454" w:hRule="atLeast"/>
        </w:trPr>
        <w:tc>
          <w:tcPr>
            <w:tcW w:w="1022" w:type="dxa"/>
            <w:tcBorders>
              <w:top w:val="single" w:color="000000" w:sz="4" w:space="0"/>
              <w:left w:val="single" w:color="000000" w:sz="4" w:space="0"/>
              <w:bottom w:val="single" w:color="000000" w:sz="4" w:space="0"/>
              <w:right w:val="single" w:color="000000" w:sz="4" w:space="0"/>
            </w:tcBorders>
            <w:noWrap w:val="0"/>
            <w:vAlign w:val="center"/>
          </w:tcPr>
          <w:p w14:paraId="5D12B443">
            <w:pPr>
              <w:spacing w:line="280" w:lineRule="exact"/>
              <w:jc w:val="center"/>
              <w:rPr>
                <w:rFonts w:ascii="仿宋" w:eastAsia="仿宋" w:cs="仿宋"/>
                <w:kern w:val="2"/>
                <w:sz w:val="24"/>
              </w:rPr>
            </w:pPr>
            <w:r>
              <w:rPr>
                <w:rFonts w:hint="eastAsia" w:ascii="仿宋" w:eastAsia="仿宋" w:cs="仿宋"/>
                <w:kern w:val="2"/>
                <w:sz w:val="24"/>
              </w:rPr>
              <w:t>适用专业</w:t>
            </w:r>
          </w:p>
        </w:tc>
        <w:tc>
          <w:tcPr>
            <w:tcW w:w="8396" w:type="dxa"/>
            <w:gridSpan w:val="13"/>
            <w:tcBorders>
              <w:top w:val="single" w:color="000000" w:sz="4" w:space="0"/>
              <w:left w:val="single" w:color="000000" w:sz="4" w:space="0"/>
              <w:bottom w:val="single" w:color="000000" w:sz="4" w:space="0"/>
              <w:right w:val="single" w:color="000000" w:sz="4" w:space="0"/>
            </w:tcBorders>
            <w:noWrap w:val="0"/>
            <w:vAlign w:val="center"/>
          </w:tcPr>
          <w:p w14:paraId="5EB039CA">
            <w:pPr>
              <w:adjustRightInd w:val="0"/>
              <w:snapToGrid w:val="0"/>
              <w:rPr>
                <w:rFonts w:ascii="仿宋" w:eastAsia="仿宋" w:cs="仿宋"/>
                <w:bCs/>
                <w:sz w:val="24"/>
                <w:szCs w:val="24"/>
              </w:rPr>
            </w:pPr>
            <w:r>
              <w:rPr>
                <w:rFonts w:hint="eastAsia" w:ascii="仿宋" w:eastAsia="仿宋" w:cs="仿宋"/>
                <w:bCs/>
                <w:sz w:val="24"/>
                <w:szCs w:val="24"/>
              </w:rPr>
              <w:t>音乐学师范专业</w:t>
            </w:r>
          </w:p>
        </w:tc>
      </w:tr>
      <w:tr w14:paraId="7BD016FB">
        <w:tc>
          <w:tcPr>
            <w:tcW w:w="1022" w:type="dxa"/>
            <w:tcBorders>
              <w:top w:val="single" w:color="000000" w:sz="4" w:space="0"/>
              <w:left w:val="single" w:color="000000" w:sz="4" w:space="0"/>
              <w:bottom w:val="single" w:color="000000" w:sz="4" w:space="0"/>
              <w:right w:val="single" w:color="000000" w:sz="4" w:space="0"/>
            </w:tcBorders>
            <w:noWrap w:val="0"/>
            <w:vAlign w:val="center"/>
          </w:tcPr>
          <w:p w14:paraId="07C60ECA">
            <w:pPr>
              <w:spacing w:line="280" w:lineRule="exact"/>
              <w:jc w:val="center"/>
              <w:rPr>
                <w:rFonts w:ascii="仿宋" w:eastAsia="仿宋" w:cs="仿宋"/>
                <w:kern w:val="2"/>
                <w:sz w:val="24"/>
              </w:rPr>
            </w:pPr>
            <w:r>
              <w:rPr>
                <w:rFonts w:hint="eastAsia" w:ascii="仿宋" w:eastAsia="仿宋" w:cs="仿宋"/>
                <w:kern w:val="2"/>
                <w:sz w:val="24"/>
              </w:rPr>
              <w:t>A</w:t>
            </w:r>
          </w:p>
          <w:p w14:paraId="53F89459">
            <w:pPr>
              <w:spacing w:line="280" w:lineRule="exact"/>
              <w:jc w:val="center"/>
              <w:rPr>
                <w:rFonts w:ascii="仿宋" w:eastAsia="仿宋" w:cs="仿宋"/>
                <w:kern w:val="2"/>
                <w:sz w:val="24"/>
              </w:rPr>
            </w:pPr>
            <w:r>
              <w:rPr>
                <w:rFonts w:hint="eastAsia" w:ascii="仿宋" w:eastAsia="仿宋" w:cs="仿宋"/>
                <w:kern w:val="2"/>
                <w:sz w:val="24"/>
              </w:rPr>
              <w:t>参考教材</w:t>
            </w:r>
          </w:p>
        </w:tc>
        <w:tc>
          <w:tcPr>
            <w:tcW w:w="8396" w:type="dxa"/>
            <w:gridSpan w:val="13"/>
            <w:tcBorders>
              <w:top w:val="single" w:color="000000" w:sz="4" w:space="0"/>
              <w:left w:val="single" w:color="000000" w:sz="4" w:space="0"/>
              <w:bottom w:val="single" w:color="000000" w:sz="4" w:space="0"/>
              <w:right w:val="single" w:color="000000" w:sz="4" w:space="0"/>
            </w:tcBorders>
            <w:noWrap w:val="0"/>
            <w:vAlign w:val="center"/>
          </w:tcPr>
          <w:p w14:paraId="5402A69A">
            <w:pPr>
              <w:adjustRightInd w:val="0"/>
              <w:snapToGrid w:val="0"/>
              <w:rPr>
                <w:rFonts w:ascii="仿宋" w:eastAsia="仿宋" w:cs="仿宋"/>
                <w:bCs/>
                <w:sz w:val="24"/>
                <w:szCs w:val="24"/>
              </w:rPr>
            </w:pPr>
            <w:r>
              <w:rPr>
                <w:rFonts w:hint="eastAsia" w:ascii="仿宋" w:eastAsia="仿宋" w:cs="仿宋"/>
                <w:bCs/>
                <w:sz w:val="24"/>
                <w:szCs w:val="24"/>
              </w:rPr>
              <w:t>钢琴教学论.樊禾心.[M].上海：上海音乐出版社.2007</w:t>
            </w:r>
          </w:p>
        </w:tc>
      </w:tr>
      <w:tr w14:paraId="67984A3B">
        <w:trPr>
          <w:trHeight w:val="2623" w:hRule="atLeast"/>
        </w:trPr>
        <w:tc>
          <w:tcPr>
            <w:tcW w:w="1022" w:type="dxa"/>
            <w:tcBorders>
              <w:top w:val="single" w:color="000000" w:sz="4" w:space="0"/>
              <w:left w:val="single" w:color="000000" w:sz="4" w:space="0"/>
              <w:bottom w:val="single" w:color="000000" w:sz="4" w:space="0"/>
              <w:right w:val="single" w:color="000000" w:sz="4" w:space="0"/>
            </w:tcBorders>
            <w:noWrap w:val="0"/>
            <w:vAlign w:val="center"/>
          </w:tcPr>
          <w:p w14:paraId="24E1EE45">
            <w:pPr>
              <w:spacing w:line="280" w:lineRule="exact"/>
              <w:jc w:val="center"/>
              <w:rPr>
                <w:rFonts w:ascii="仿宋" w:eastAsia="仿宋" w:cs="仿宋"/>
                <w:kern w:val="2"/>
                <w:sz w:val="24"/>
              </w:rPr>
            </w:pPr>
            <w:r>
              <w:rPr>
                <w:rFonts w:hint="eastAsia" w:ascii="仿宋" w:eastAsia="仿宋" w:cs="仿宋"/>
                <w:kern w:val="2"/>
                <w:sz w:val="24"/>
              </w:rPr>
              <w:t>B</w:t>
            </w:r>
          </w:p>
          <w:p w14:paraId="2F41506F">
            <w:pPr>
              <w:spacing w:line="280" w:lineRule="exact"/>
              <w:jc w:val="center"/>
              <w:rPr>
                <w:rFonts w:ascii="仿宋" w:eastAsia="仿宋" w:cs="仿宋"/>
                <w:kern w:val="2"/>
                <w:sz w:val="24"/>
              </w:rPr>
            </w:pPr>
            <w:r>
              <w:rPr>
                <w:rFonts w:hint="eastAsia" w:ascii="仿宋" w:eastAsia="仿宋" w:cs="仿宋"/>
                <w:kern w:val="2"/>
                <w:sz w:val="24"/>
              </w:rPr>
              <w:t>主要参考书籍</w:t>
            </w:r>
          </w:p>
        </w:tc>
        <w:tc>
          <w:tcPr>
            <w:tcW w:w="8396" w:type="dxa"/>
            <w:gridSpan w:val="13"/>
            <w:tcBorders>
              <w:top w:val="single" w:color="000000" w:sz="4" w:space="0"/>
              <w:left w:val="single" w:color="000000" w:sz="4" w:space="0"/>
              <w:bottom w:val="single" w:color="000000" w:sz="4" w:space="0"/>
              <w:right w:val="single" w:color="000000" w:sz="4" w:space="0"/>
            </w:tcBorders>
            <w:noWrap w:val="0"/>
            <w:vAlign w:val="center"/>
          </w:tcPr>
          <w:p w14:paraId="1A5F9A5E">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钢琴演奏基础训练.周广仁[M].北京:高等教育出版社.1990</w:t>
            </w:r>
          </w:p>
          <w:p w14:paraId="399551E8">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司徒璧春，陈朗秋.钢琴教学法[M].重庆:西南师范大学出版社.1999</w:t>
            </w:r>
          </w:p>
          <w:p w14:paraId="6B25DE10">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应诗真.钢琴教学法[M].北京:人民音乐出版社.2007</w:t>
            </w:r>
          </w:p>
          <w:p w14:paraId="705D16EE">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钢琴演奏基础训练.周广仁[M].北京:高等教育出版社.1990</w:t>
            </w:r>
          </w:p>
          <w:p w14:paraId="357ED775">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音乐教育原理/(美)哈罗德·艾伯利斯，(美)查理斯·霍弗，(美)罗伯特·克劳特曼著 刘沛，任恺译[M].北京:中央音乐学院出版社,2008</w:t>
            </w:r>
          </w:p>
          <w:p w14:paraId="4EAC0F7E">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指尖下的音乐:给职业与业余演奏家的忠言 钢琴技术面面观/(美)露丝·史兰倩丝卡著 王润婷译.[M].桂林:广西师范大学出版社,2006</w:t>
            </w:r>
          </w:p>
        </w:tc>
      </w:tr>
      <w:tr w14:paraId="36AA4E64">
        <w:trPr>
          <w:trHeight w:val="1674" w:hRule="atLeast"/>
        </w:trPr>
        <w:tc>
          <w:tcPr>
            <w:tcW w:w="1022" w:type="dxa"/>
            <w:tcBorders>
              <w:top w:val="single" w:color="000000" w:sz="4" w:space="0"/>
              <w:left w:val="single" w:color="000000" w:sz="4" w:space="0"/>
              <w:bottom w:val="single" w:color="000000" w:sz="4" w:space="0"/>
              <w:right w:val="single" w:color="000000" w:sz="4" w:space="0"/>
            </w:tcBorders>
            <w:noWrap w:val="0"/>
            <w:vAlign w:val="center"/>
          </w:tcPr>
          <w:p w14:paraId="6D148F29">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C</w:t>
            </w:r>
          </w:p>
          <w:p w14:paraId="41EA7DB9">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线上学习资源</w:t>
            </w:r>
          </w:p>
        </w:tc>
        <w:tc>
          <w:tcPr>
            <w:tcW w:w="8396" w:type="dxa"/>
            <w:gridSpan w:val="13"/>
            <w:tcBorders>
              <w:top w:val="single" w:color="000000" w:sz="4" w:space="0"/>
              <w:left w:val="single" w:color="000000" w:sz="4" w:space="0"/>
              <w:bottom w:val="single" w:color="000000" w:sz="4" w:space="0"/>
              <w:right w:val="single" w:color="000000" w:sz="4" w:space="0"/>
            </w:tcBorders>
            <w:noWrap w:val="0"/>
            <w:vAlign w:val="center"/>
          </w:tcPr>
          <w:p w14:paraId="08D89238">
            <w:pPr>
              <w:adjustRightInd w:val="0"/>
              <w:snapToGrid w:val="0"/>
              <w:spacing w:line="240" w:lineRule="atLeast"/>
              <w:jc w:val="both"/>
              <w:rPr>
                <w:rFonts w:hint="eastAsia" w:ascii="仿宋" w:hAnsi="仿宋" w:eastAsia="仿宋" w:cs="仿宋"/>
                <w:color w:val="000000"/>
                <w:sz w:val="24"/>
                <w:szCs w:val="24"/>
              </w:rPr>
            </w:pPr>
            <w:r>
              <w:rPr>
                <w:rFonts w:hint="eastAsia" w:ascii="仿宋" w:hAnsi="仿宋" w:eastAsia="仿宋" w:cs="仿宋"/>
                <w:color w:val="000000"/>
                <w:sz w:val="24"/>
                <w:szCs w:val="24"/>
              </w:rPr>
              <w:t>任课教师建立微信学习群，与学生进行多媒体沟通；</w:t>
            </w:r>
          </w:p>
        </w:tc>
      </w:tr>
      <w:tr w14:paraId="75D5B97D">
        <w:trPr>
          <w:trHeight w:val="834" w:hRule="atLeast"/>
        </w:trPr>
        <w:tc>
          <w:tcPr>
            <w:tcW w:w="102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9B2CED">
            <w:pPr>
              <w:spacing w:line="280" w:lineRule="exact"/>
              <w:jc w:val="center"/>
              <w:rPr>
                <w:rFonts w:ascii="仿宋" w:eastAsia="仿宋" w:cs="仿宋"/>
                <w:kern w:val="2"/>
                <w:sz w:val="24"/>
              </w:rPr>
            </w:pPr>
            <w:r>
              <w:rPr>
                <w:rFonts w:hint="eastAsia" w:ascii="仿宋" w:eastAsia="仿宋" w:cs="仿宋"/>
                <w:kern w:val="2"/>
                <w:sz w:val="24"/>
              </w:rPr>
              <w:t>D</w:t>
            </w:r>
          </w:p>
          <w:p w14:paraId="30398750">
            <w:pPr>
              <w:spacing w:line="280" w:lineRule="exact"/>
              <w:jc w:val="center"/>
              <w:rPr>
                <w:rFonts w:ascii="仿宋" w:eastAsia="仿宋" w:cs="仿宋"/>
                <w:kern w:val="2"/>
                <w:sz w:val="24"/>
              </w:rPr>
            </w:pPr>
            <w:r>
              <w:rPr>
                <w:rFonts w:hint="eastAsia" w:ascii="仿宋" w:eastAsia="仿宋" w:cs="仿宋"/>
                <w:kern w:val="2"/>
                <w:sz w:val="24"/>
              </w:rPr>
              <w:t xml:space="preserve">课程描述 </w:t>
            </w:r>
          </w:p>
          <w:p w14:paraId="000A0482">
            <w:pPr>
              <w:spacing w:line="280" w:lineRule="exact"/>
              <w:jc w:val="center"/>
              <w:rPr>
                <w:rFonts w:ascii="仿宋" w:eastAsia="仿宋" w:cs="仿宋"/>
                <w:kern w:val="2"/>
                <w:sz w:val="24"/>
              </w:rPr>
            </w:pPr>
            <w:r>
              <w:rPr>
                <w:rFonts w:hint="eastAsia" w:ascii="仿宋" w:eastAsia="仿宋" w:cs="仿宋"/>
                <w:kern w:val="2"/>
                <w:sz w:val="24"/>
                <w:lang w:eastAsia="zh-TW"/>
              </w:rPr>
              <w:t>(</w:t>
            </w:r>
            <w:r>
              <w:rPr>
                <w:rFonts w:hint="eastAsia" w:ascii="仿宋" w:eastAsia="仿宋" w:cs="仿宋"/>
                <w:kern w:val="2"/>
                <w:sz w:val="24"/>
              </w:rPr>
              <w:t>含</w:t>
            </w:r>
            <w:r>
              <w:rPr>
                <w:rFonts w:hint="eastAsia" w:ascii="仿宋" w:eastAsia="仿宋" w:cs="仿宋"/>
                <w:kern w:val="2"/>
                <w:sz w:val="24"/>
                <w:lang w:eastAsia="zh-TW"/>
              </w:rPr>
              <w:t>性质、地位和任务)</w:t>
            </w:r>
          </w:p>
        </w:tc>
        <w:tc>
          <w:tcPr>
            <w:tcW w:w="8396" w:type="dxa"/>
            <w:gridSpan w:val="1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805FC0">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w:t>
            </w:r>
            <w:r>
              <w:rPr>
                <w:rFonts w:hint="eastAsia" w:ascii="仿宋" w:hAnsi="Times New Roman" w:eastAsia="仿宋" w:cs="仿宋"/>
                <w:sz w:val="24"/>
                <w:szCs w:val="24"/>
                <w:lang w:eastAsia="zh-CN"/>
              </w:rPr>
              <w:t>钢琴教学法</w:t>
            </w:r>
            <w:r>
              <w:rPr>
                <w:rFonts w:hint="eastAsia" w:ascii="仿宋" w:hAnsi="Times New Roman" w:eastAsia="仿宋" w:cs="仿宋"/>
                <w:sz w:val="24"/>
                <w:szCs w:val="24"/>
              </w:rPr>
              <w:t>》是我系面向音乐专业</w:t>
            </w:r>
            <w:r>
              <w:rPr>
                <w:rFonts w:hint="eastAsia" w:ascii="仿宋" w:hAnsi="Times New Roman" w:eastAsia="仿宋" w:cs="仿宋"/>
                <w:sz w:val="24"/>
                <w:szCs w:val="24"/>
                <w:lang w:val="en-US" w:eastAsia="zh-CN"/>
              </w:rPr>
              <w:t>钢琴方向</w:t>
            </w:r>
            <w:r>
              <w:rPr>
                <w:rFonts w:hint="eastAsia" w:ascii="仿宋" w:hAnsi="Times New Roman" w:eastAsia="仿宋" w:cs="仿宋"/>
                <w:sz w:val="24"/>
                <w:szCs w:val="24"/>
              </w:rPr>
              <w:t>学生开设的一门</w:t>
            </w:r>
            <w:r>
              <w:rPr>
                <w:rFonts w:hint="eastAsia" w:ascii="仿宋" w:hAnsi="Times New Roman" w:eastAsia="仿宋" w:cs="仿宋"/>
                <w:sz w:val="24"/>
                <w:szCs w:val="24"/>
                <w:lang w:val="en-US" w:eastAsia="zh-CN"/>
              </w:rPr>
              <w:t>理论</w:t>
            </w:r>
            <w:r>
              <w:rPr>
                <w:rFonts w:hint="eastAsia" w:ascii="仿宋" w:hAnsi="Times New Roman" w:eastAsia="仿宋" w:cs="仿宋"/>
                <w:sz w:val="24"/>
                <w:szCs w:val="24"/>
              </w:rPr>
              <w:t>课程。</w:t>
            </w:r>
          </w:p>
          <w:p w14:paraId="504430C7">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lang w:val="en-US" w:eastAsia="zh-CN"/>
              </w:rPr>
              <w:t>地位：</w:t>
            </w:r>
            <w:r>
              <w:rPr>
                <w:rFonts w:hint="eastAsia" w:ascii="仿宋" w:hAnsi="Times New Roman" w:eastAsia="仿宋" w:cs="仿宋"/>
                <w:sz w:val="24"/>
                <w:szCs w:val="24"/>
              </w:rPr>
              <w:t>它不仅是钢琴专业学生必修的一门课程，也是音乐教师提升教学技能的重要途径。通过这门课程的学习，学生可以系统地掌握钢琴教学的理论知识和实践技能，</w:t>
            </w:r>
            <w:r>
              <w:rPr>
                <w:rFonts w:hint="eastAsia" w:ascii="仿宋" w:hAnsi="Times New Roman" w:eastAsia="仿宋" w:cs="仿宋"/>
                <w:sz w:val="24"/>
                <w:szCs w:val="24"/>
                <w:lang w:val="en-US" w:eastAsia="zh-CN"/>
              </w:rPr>
              <w:t>进而</w:t>
            </w:r>
            <w:r>
              <w:rPr>
                <w:rFonts w:hint="eastAsia" w:ascii="仿宋" w:hAnsi="Times New Roman" w:eastAsia="仿宋" w:cs="仿宋"/>
                <w:sz w:val="24"/>
                <w:szCs w:val="24"/>
              </w:rPr>
              <w:t>为未来的音乐教育事业打下坚实的基础。</w:t>
            </w:r>
          </w:p>
          <w:p w14:paraId="74DC40EA">
            <w:pPr>
              <w:adjustRightInd w:val="0"/>
              <w:snapToGrid w:val="0"/>
              <w:rPr>
                <w:rFonts w:hint="eastAsia" w:ascii="仿宋" w:hAnsi="Times New Roman" w:eastAsia="仿宋" w:cs="仿宋"/>
                <w:sz w:val="24"/>
                <w:szCs w:val="24"/>
                <w:lang w:val="en-US" w:eastAsia="zh-CN"/>
              </w:rPr>
            </w:pPr>
            <w:r>
              <w:rPr>
                <w:rFonts w:hint="eastAsia" w:ascii="仿宋" w:hAnsi="Times New Roman" w:eastAsia="仿宋" w:cs="仿宋"/>
                <w:sz w:val="24"/>
                <w:szCs w:val="24"/>
                <w:lang w:val="en-US" w:eastAsia="zh-CN"/>
              </w:rPr>
              <w:t>任务：帮助学生深入理解钢琴教学的原理和方法。这包括钢琴教学的基本原则、教学方法的选择与应用、教学计划的制定与实施等。通过学习，学生能够掌握科学有效的教学方法，提高教学效果。培养学生的教学实践能力。钢琴教学法课程注重理论与实践的结合，通过模拟教学、案例分析等方式，让学生在实践中学习如何进行教学设计、课堂管理、学生评估等。这有助于提升学生的教学实践能力，为未来的教学工作做好准备。</w:t>
            </w:r>
          </w:p>
          <w:p w14:paraId="04529379">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lang w:val="en-US" w:eastAsia="zh-CN"/>
              </w:rPr>
              <w:t>提升学生的音乐素养和审美能力。钢琴教学法课程不仅关注教学技能的培养，还应注重学生的音乐素养和审美能力的提升。通过学习不同风格、不同时期的钢琴作品，学生能够拓宽音乐视野，提高音乐鉴赏能力，为未来的音乐创作和表演打下坚实基础。</w:t>
            </w:r>
          </w:p>
        </w:tc>
      </w:tr>
      <w:tr w14:paraId="44485165">
        <w:trPr>
          <w:trHeight w:val="1408" w:hRule="atLeast"/>
        </w:trPr>
        <w:tc>
          <w:tcPr>
            <w:tcW w:w="1022"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A22414">
            <w:pPr>
              <w:spacing w:line="280" w:lineRule="exact"/>
              <w:jc w:val="center"/>
              <w:rPr>
                <w:rFonts w:ascii="仿宋" w:eastAsia="仿宋" w:cs="仿宋"/>
                <w:kern w:val="2"/>
                <w:sz w:val="24"/>
              </w:rPr>
            </w:pPr>
            <w:r>
              <w:rPr>
                <w:rFonts w:hint="eastAsia" w:ascii="仿宋" w:eastAsia="仿宋" w:cs="仿宋"/>
                <w:kern w:val="2"/>
                <w:sz w:val="24"/>
              </w:rPr>
              <w:t>E</w:t>
            </w:r>
          </w:p>
          <w:p w14:paraId="498F60DB">
            <w:pPr>
              <w:spacing w:line="280" w:lineRule="exact"/>
              <w:jc w:val="center"/>
              <w:rPr>
                <w:rFonts w:ascii="仿宋" w:eastAsia="仿宋" w:cs="仿宋"/>
                <w:kern w:val="2"/>
                <w:sz w:val="24"/>
              </w:rPr>
            </w:pPr>
            <w:r>
              <w:rPr>
                <w:rFonts w:hint="eastAsia" w:ascii="仿宋" w:eastAsia="仿宋" w:cs="仿宋"/>
                <w:kern w:val="2"/>
                <w:sz w:val="24"/>
              </w:rPr>
              <w:t>课程学习目标及其与毕业要求的对应关系</w:t>
            </w:r>
          </w:p>
        </w:tc>
        <w:tc>
          <w:tcPr>
            <w:tcW w:w="8396" w:type="dxa"/>
            <w:gridSpan w:val="1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89C7CC">
            <w:pPr>
              <w:adjustRightInd w:val="0"/>
              <w:snapToGrid w:val="0"/>
              <w:rPr>
                <w:rFonts w:hint="eastAsia" w:ascii="仿宋" w:hAnsi="Times New Roman" w:eastAsia="仿宋" w:cs="仿宋"/>
                <w:sz w:val="24"/>
                <w:szCs w:val="24"/>
                <w:lang w:val="en-US" w:eastAsia="zh-CN"/>
              </w:rPr>
            </w:pPr>
            <w:r>
              <w:rPr>
                <w:rFonts w:hint="eastAsia" w:ascii="仿宋" w:hAnsi="Times New Roman" w:eastAsia="仿宋" w:cs="仿宋"/>
                <w:sz w:val="24"/>
                <w:szCs w:val="24"/>
                <w:lang w:val="en-US" w:eastAsia="zh-CN"/>
              </w:rPr>
              <w:t>通过本课程的学习，学生应具备如下知识、能力及情感态度价值观：</w:t>
            </w:r>
          </w:p>
          <w:p w14:paraId="06F21255">
            <w:pPr>
              <w:adjustRightInd w:val="0"/>
              <w:snapToGrid w:val="0"/>
              <w:rPr>
                <w:rFonts w:hint="eastAsia" w:ascii="仿宋" w:hAnsi="Times New Roman" w:eastAsia="仿宋" w:cs="仿宋"/>
                <w:sz w:val="24"/>
                <w:szCs w:val="24"/>
                <w:lang w:val="en-US" w:eastAsia="zh-CN"/>
              </w:rPr>
            </w:pPr>
            <w:r>
              <w:rPr>
                <w:rFonts w:hint="eastAsia" w:ascii="仿宋" w:hAnsi="Times New Roman" w:eastAsia="仿宋" w:cs="仿宋"/>
                <w:sz w:val="24"/>
                <w:szCs w:val="24"/>
                <w:lang w:val="en-US" w:eastAsia="zh-CN"/>
              </w:rPr>
              <w:t>课程目标1：（M中支撑）</w:t>
            </w:r>
          </w:p>
          <w:p w14:paraId="6AA88836">
            <w:pPr>
              <w:adjustRightInd w:val="0"/>
              <w:snapToGrid w:val="0"/>
              <w:rPr>
                <w:rFonts w:hint="default" w:ascii="仿宋" w:hAnsi="Times New Roman" w:eastAsia="仿宋" w:cs="仿宋"/>
                <w:sz w:val="24"/>
                <w:szCs w:val="24"/>
                <w:lang w:val="en-US" w:eastAsia="zh-CN"/>
              </w:rPr>
            </w:pPr>
            <w:r>
              <w:rPr>
                <w:rFonts w:hint="eastAsia" w:ascii="仿宋" w:hAnsi="Times New Roman" w:eastAsia="仿宋" w:cs="仿宋"/>
                <w:sz w:val="24"/>
                <w:szCs w:val="24"/>
                <w:lang w:val="en-US" w:eastAsia="zh-CN"/>
              </w:rPr>
              <w:t xml:space="preserve">    学习如何树立一个合理的钢琴教师角色形象，树立爱岗敬业精神，了解未来工作中教学对象的身心发展特点和音乐的认知规律。思考如何通过钢琴教学，提高未来工作中教学对象的艺术素养，培育自主学习能力，建立正确的审美观。</w:t>
            </w:r>
          </w:p>
          <w:p w14:paraId="77708D77">
            <w:pPr>
              <w:adjustRightInd w:val="0"/>
              <w:snapToGrid w:val="0"/>
              <w:rPr>
                <w:rFonts w:hint="eastAsia" w:ascii="仿宋" w:hAnsi="Times New Roman" w:eastAsia="仿宋" w:cs="仿宋"/>
                <w:sz w:val="24"/>
                <w:szCs w:val="24"/>
                <w:lang w:val="en-US" w:eastAsia="zh-CN"/>
              </w:rPr>
            </w:pPr>
            <w:r>
              <w:rPr>
                <w:rFonts w:hint="eastAsia" w:ascii="仿宋" w:hAnsi="Times New Roman" w:eastAsia="仿宋" w:cs="仿宋"/>
                <w:sz w:val="24"/>
                <w:szCs w:val="24"/>
                <w:lang w:val="en-US" w:eastAsia="zh-CN"/>
              </w:rPr>
              <w:t>课程目标2：（M中支撑）</w:t>
            </w:r>
          </w:p>
          <w:p w14:paraId="17E7D3D4">
            <w:pPr>
              <w:adjustRightInd w:val="0"/>
              <w:snapToGrid w:val="0"/>
              <w:ind w:firstLine="480" w:firstLineChars="200"/>
              <w:rPr>
                <w:rFonts w:hint="eastAsia" w:ascii="仿宋" w:hAnsi="Times New Roman" w:eastAsia="仿宋" w:cs="仿宋"/>
                <w:sz w:val="24"/>
                <w:szCs w:val="24"/>
                <w:lang w:val="en-US" w:eastAsia="zh-CN"/>
              </w:rPr>
            </w:pPr>
            <w:r>
              <w:rPr>
                <w:rFonts w:hint="eastAsia" w:ascii="仿宋" w:hAnsi="Times New Roman" w:eastAsia="仿宋" w:cs="仿宋"/>
                <w:sz w:val="24"/>
                <w:szCs w:val="24"/>
                <w:lang w:val="en-US" w:eastAsia="zh-CN"/>
              </w:rPr>
              <w:t>注重正确的思政导向，粗略学习钢琴艺术史并重点学习思考其中比较重要的内容。熟悉钢琴音乐发展的总体脉络，大致了解各个风格之间的不同，并能够应用于教学实践。</w:t>
            </w:r>
          </w:p>
          <w:p w14:paraId="533105B2">
            <w:pPr>
              <w:adjustRightInd w:val="0"/>
              <w:snapToGrid w:val="0"/>
              <w:rPr>
                <w:rFonts w:hint="eastAsia" w:ascii="仿宋" w:hAnsi="Times New Roman" w:eastAsia="仿宋" w:cs="仿宋"/>
                <w:sz w:val="24"/>
                <w:szCs w:val="24"/>
                <w:lang w:val="en-US" w:eastAsia="zh-CN"/>
              </w:rPr>
            </w:pPr>
            <w:r>
              <w:rPr>
                <w:rFonts w:hint="eastAsia" w:ascii="仿宋" w:hAnsi="Times New Roman" w:eastAsia="仿宋" w:cs="仿宋"/>
                <w:sz w:val="24"/>
                <w:szCs w:val="24"/>
                <w:lang w:val="en-US" w:eastAsia="zh-CN"/>
              </w:rPr>
              <w:t>课程思政元素：了解中国钢琴音乐文化传统，培养热爱中国钢琴音乐文化的感情。</w:t>
            </w:r>
          </w:p>
          <w:p w14:paraId="1CD80B4B">
            <w:pPr>
              <w:adjustRightInd w:val="0"/>
              <w:snapToGrid w:val="0"/>
              <w:rPr>
                <w:rFonts w:hint="eastAsia" w:ascii="仿宋" w:hAnsi="Times New Roman" w:eastAsia="仿宋" w:cs="仿宋"/>
                <w:sz w:val="24"/>
                <w:szCs w:val="24"/>
                <w:lang w:val="en-US" w:eastAsia="zh-CN"/>
              </w:rPr>
            </w:pPr>
            <w:r>
              <w:rPr>
                <w:rFonts w:hint="eastAsia" w:ascii="仿宋" w:hAnsi="Times New Roman" w:eastAsia="仿宋" w:cs="仿宋"/>
                <w:sz w:val="24"/>
                <w:szCs w:val="24"/>
                <w:lang w:val="en-US" w:eastAsia="zh-CN"/>
              </w:rPr>
              <w:t>课程目标3：（H高支撑）</w:t>
            </w:r>
          </w:p>
          <w:p w14:paraId="4A4E0236">
            <w:pPr>
              <w:adjustRightInd w:val="0"/>
              <w:snapToGrid w:val="0"/>
              <w:ind w:firstLine="480" w:firstLineChars="200"/>
              <w:rPr>
                <w:rFonts w:hint="eastAsia" w:ascii="仿宋" w:hAnsi="Times New Roman" w:eastAsia="仿宋" w:cs="仿宋"/>
                <w:sz w:val="24"/>
                <w:szCs w:val="24"/>
                <w:lang w:val="en-US" w:eastAsia="zh-CN"/>
              </w:rPr>
            </w:pPr>
            <w:r>
              <w:rPr>
                <w:rFonts w:hint="eastAsia" w:ascii="仿宋" w:hAnsi="Times New Roman" w:eastAsia="仿宋" w:cs="仿宋"/>
                <w:sz w:val="24"/>
                <w:szCs w:val="24"/>
                <w:lang w:val="en-US" w:eastAsia="zh-CN"/>
              </w:rPr>
              <w:t>总体了解钢琴教学各个阶段常用的教材，以及各种教材的特点、基本教法。对于未来可能面对的不同钢琴教学对象，能够有粗略的教学规划。宏观地了解钢琴教学中的相关问题以及解决思路，掌握进一步解决问题的思路和方法。</w:t>
            </w:r>
          </w:p>
          <w:p w14:paraId="5A33CBAB">
            <w:pPr>
              <w:adjustRightInd w:val="0"/>
              <w:snapToGrid w:val="0"/>
              <w:rPr>
                <w:rFonts w:hint="default" w:ascii="仿宋" w:hAnsi="仿宋" w:eastAsia="仿宋" w:cs="仿宋"/>
                <w:b/>
                <w:bCs/>
                <w:sz w:val="24"/>
                <w:szCs w:val="24"/>
                <w:lang w:val="en-US" w:eastAsia="zh-CN"/>
              </w:rPr>
            </w:pPr>
            <w:r>
              <w:rPr>
                <w:rFonts w:hint="eastAsia" w:ascii="仿宋" w:hAnsi="Times New Roman" w:eastAsia="仿宋" w:cs="仿宋"/>
                <w:sz w:val="24"/>
                <w:szCs w:val="24"/>
                <w:lang w:val="en-US" w:eastAsia="zh-CN"/>
              </w:rPr>
              <w:t>课程思政元素：在教材的选择中，注重选择蕴含积极思政导向的曲目。</w:t>
            </w:r>
          </w:p>
        </w:tc>
      </w:tr>
      <w:tr w14:paraId="5C7B2DD3">
        <w:trPr>
          <w:trHeight w:val="642" w:hRule="atLeast"/>
        </w:trPr>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06EC78"/>
        </w:tc>
        <w:tc>
          <w:tcPr>
            <w:tcW w:w="124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BC9924">
            <w:pPr>
              <w:spacing w:line="280" w:lineRule="exact"/>
              <w:jc w:val="center"/>
              <w:rPr>
                <w:rFonts w:ascii="仿宋" w:eastAsia="仿宋" w:cs="仿宋"/>
                <w:kern w:val="2"/>
                <w:sz w:val="24"/>
              </w:rPr>
            </w:pPr>
            <w:r>
              <w:rPr>
                <w:rFonts w:hint="eastAsia" w:ascii="仿宋" w:eastAsia="仿宋" w:cs="仿宋"/>
                <w:kern w:val="2"/>
                <w:sz w:val="24"/>
              </w:rPr>
              <w:t>课程目标</w:t>
            </w:r>
          </w:p>
        </w:tc>
        <w:tc>
          <w:tcPr>
            <w:tcW w:w="5029" w:type="dxa"/>
            <w:gridSpan w:val="9"/>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27DD44">
            <w:pPr>
              <w:spacing w:line="280" w:lineRule="exact"/>
              <w:jc w:val="center"/>
              <w:rPr>
                <w:rFonts w:ascii="仿宋" w:eastAsia="仿宋" w:cs="仿宋"/>
                <w:kern w:val="2"/>
                <w:sz w:val="24"/>
              </w:rPr>
            </w:pPr>
            <w:r>
              <w:rPr>
                <w:rFonts w:hint="eastAsia" w:ascii="仿宋" w:eastAsia="仿宋" w:cs="仿宋"/>
                <w:kern w:val="2"/>
                <w:sz w:val="24"/>
              </w:rPr>
              <w:t>毕业要求分解指标点</w:t>
            </w:r>
          </w:p>
        </w:tc>
        <w:tc>
          <w:tcPr>
            <w:tcW w:w="2124"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EC15BC">
            <w:pPr>
              <w:spacing w:line="280" w:lineRule="exact"/>
              <w:jc w:val="center"/>
              <w:rPr>
                <w:rFonts w:ascii="仿宋" w:eastAsia="仿宋" w:cs="仿宋"/>
                <w:kern w:val="2"/>
                <w:sz w:val="24"/>
              </w:rPr>
            </w:pPr>
            <w:r>
              <w:rPr>
                <w:rFonts w:hint="eastAsia" w:ascii="仿宋" w:eastAsia="仿宋" w:cs="仿宋"/>
                <w:kern w:val="2"/>
                <w:sz w:val="24"/>
              </w:rPr>
              <w:t>毕业要求</w:t>
            </w:r>
          </w:p>
        </w:tc>
      </w:tr>
      <w:tr w14:paraId="76EF3F7B">
        <w:trPr>
          <w:trHeight w:val="1312" w:hRule="atLeast"/>
        </w:trPr>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607364"/>
        </w:tc>
        <w:tc>
          <w:tcPr>
            <w:tcW w:w="124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BD5827">
            <w:pPr>
              <w:rPr>
                <w:rFonts w:ascii="仿宋" w:eastAsia="仿宋" w:cs="仿宋"/>
                <w:kern w:val="2"/>
                <w:sz w:val="24"/>
                <w:szCs w:val="24"/>
              </w:rPr>
            </w:pPr>
            <w:r>
              <w:rPr>
                <w:rFonts w:hint="eastAsia" w:ascii="仿宋" w:eastAsia="仿宋" w:cs="仿宋"/>
                <w:kern w:val="2"/>
                <w:sz w:val="24"/>
                <w:szCs w:val="24"/>
              </w:rPr>
              <w:t>课程目标1</w:t>
            </w:r>
          </w:p>
        </w:tc>
        <w:tc>
          <w:tcPr>
            <w:tcW w:w="5029" w:type="dxa"/>
            <w:gridSpan w:val="9"/>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BCA1B6">
            <w:pPr>
              <w:adjustRightInd w:val="0"/>
              <w:snapToGrid w:val="0"/>
              <w:rPr>
                <w:rFonts w:ascii="仿宋" w:eastAsia="仿宋" w:cs="仿宋"/>
                <w:bCs/>
                <w:sz w:val="24"/>
                <w:szCs w:val="24"/>
              </w:rPr>
            </w:pPr>
            <w:r>
              <w:rPr>
                <w:rStyle w:val="355"/>
                <w:rFonts w:hint="eastAsia" w:ascii="仿宋" w:hAnsi="仿宋" w:eastAsia="仿宋" w:cs="仿宋"/>
                <w:color w:val="auto"/>
                <w:sz w:val="24"/>
                <w:szCs w:val="24"/>
              </w:rPr>
              <w:t>2.2【用心从教】树立爱岗敬业精神，了解学生的身心发展特点和音乐的认知规律，关爱学生成长，保护学生安全，促进学生身心健康发展。在教育实践中能够认真履行工作职责、富有爱心、责任心，建立合理师生关系。</w:t>
            </w:r>
          </w:p>
        </w:tc>
        <w:tc>
          <w:tcPr>
            <w:tcW w:w="2124"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A31197">
            <w:pPr>
              <w:jc w:val="center"/>
              <w:rPr>
                <w:rFonts w:hint="eastAsia" w:ascii="仿宋" w:eastAsia="仿宋" w:cs="仿宋"/>
                <w:bCs/>
                <w:kern w:val="2"/>
                <w:sz w:val="24"/>
                <w:szCs w:val="24"/>
                <w:lang w:eastAsia="zh-CN"/>
              </w:rPr>
            </w:pPr>
            <w:r>
              <w:rPr>
                <w:rFonts w:hint="eastAsia" w:ascii="仿宋" w:eastAsia="仿宋" w:cs="仿宋"/>
                <w:bCs/>
                <w:kern w:val="2"/>
                <w:sz w:val="24"/>
                <w:szCs w:val="24"/>
              </w:rPr>
              <w:t>教育情怀</w:t>
            </w:r>
            <w:r>
              <w:rPr>
                <w:rFonts w:hint="eastAsia" w:ascii="仿宋" w:eastAsia="仿宋" w:cs="仿宋"/>
                <w:bCs/>
                <w:kern w:val="2"/>
                <w:sz w:val="24"/>
                <w:szCs w:val="24"/>
                <w:lang w:eastAsia="zh-CN"/>
              </w:rPr>
              <w:t>（</w:t>
            </w:r>
            <w:r>
              <w:rPr>
                <w:rFonts w:hint="eastAsia" w:ascii="仿宋" w:eastAsia="仿宋" w:cs="仿宋"/>
                <w:bCs/>
                <w:kern w:val="2"/>
                <w:sz w:val="24"/>
                <w:szCs w:val="24"/>
                <w:lang w:val="en-US" w:eastAsia="zh-CN"/>
              </w:rPr>
              <w:t>2</w:t>
            </w:r>
            <w:r>
              <w:rPr>
                <w:rFonts w:hint="eastAsia" w:ascii="仿宋" w:eastAsia="仿宋" w:cs="仿宋"/>
                <w:bCs/>
                <w:kern w:val="2"/>
                <w:sz w:val="24"/>
                <w:szCs w:val="24"/>
                <w:lang w:eastAsia="zh-CN"/>
              </w:rPr>
              <w:t>）</w:t>
            </w:r>
          </w:p>
          <w:p w14:paraId="23ADCCAF">
            <w:pPr>
              <w:jc w:val="center"/>
              <w:rPr>
                <w:rFonts w:ascii="仿宋" w:eastAsia="仿宋" w:cs="仿宋"/>
                <w:bCs/>
                <w:kern w:val="2"/>
                <w:sz w:val="24"/>
                <w:szCs w:val="24"/>
              </w:rPr>
            </w:pPr>
            <w:r>
              <w:rPr>
                <w:rFonts w:hint="eastAsia" w:ascii="仿宋" w:eastAsia="仿宋" w:cs="仿宋"/>
                <w:bCs/>
                <w:kern w:val="2"/>
                <w:sz w:val="24"/>
                <w:szCs w:val="24"/>
              </w:rPr>
              <w:t>（M）</w:t>
            </w:r>
          </w:p>
        </w:tc>
      </w:tr>
      <w:tr w14:paraId="0F01F7E9">
        <w:trPr>
          <w:trHeight w:val="817" w:hRule="atLeast"/>
        </w:trPr>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C40E36"/>
        </w:tc>
        <w:tc>
          <w:tcPr>
            <w:tcW w:w="124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6B2D17">
            <w:pPr>
              <w:rPr>
                <w:rFonts w:ascii="仿宋" w:eastAsia="仿宋" w:cs="仿宋"/>
                <w:kern w:val="2"/>
                <w:sz w:val="24"/>
                <w:szCs w:val="24"/>
              </w:rPr>
            </w:pPr>
            <w:r>
              <w:rPr>
                <w:rFonts w:hint="eastAsia" w:ascii="仿宋" w:eastAsia="仿宋" w:cs="仿宋"/>
                <w:kern w:val="2"/>
                <w:sz w:val="24"/>
                <w:szCs w:val="24"/>
              </w:rPr>
              <w:t>课程目标2</w:t>
            </w:r>
          </w:p>
        </w:tc>
        <w:tc>
          <w:tcPr>
            <w:tcW w:w="5029" w:type="dxa"/>
            <w:gridSpan w:val="9"/>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4D4D2F">
            <w:pPr>
              <w:rPr>
                <w:rFonts w:ascii="仿宋" w:eastAsia="仿宋" w:cs="仿宋"/>
                <w:bCs/>
                <w:sz w:val="24"/>
                <w:szCs w:val="24"/>
              </w:rPr>
            </w:pPr>
            <w:r>
              <w:rPr>
                <w:rStyle w:val="355"/>
                <w:rFonts w:hint="eastAsia" w:ascii="仿宋" w:hAnsi="仿宋" w:eastAsia="仿宋" w:cs="仿宋"/>
                <w:color w:val="auto"/>
                <w:sz w:val="24"/>
                <w:szCs w:val="24"/>
              </w:rPr>
              <w:t>3.2【</w:t>
            </w:r>
            <w:r>
              <w:rPr>
                <w:rStyle w:val="355"/>
                <w:rFonts w:hint="eastAsia" w:ascii="仿宋" w:hAnsi="仿宋" w:eastAsia="仿宋" w:cs="仿宋"/>
                <w:color w:val="auto"/>
                <w:sz w:val="24"/>
                <w:szCs w:val="24"/>
                <w:lang w:val="en-US" w:eastAsia="zh-Hans"/>
              </w:rPr>
              <w:t>理论</w:t>
            </w:r>
            <w:r>
              <w:rPr>
                <w:rStyle w:val="355"/>
                <w:rFonts w:hint="eastAsia" w:ascii="仿宋" w:hAnsi="仿宋" w:eastAsia="仿宋" w:cs="仿宋"/>
                <w:color w:val="auto"/>
                <w:sz w:val="24"/>
                <w:szCs w:val="24"/>
              </w:rPr>
              <w:t>素养】掌握</w:t>
            </w:r>
            <w:r>
              <w:rPr>
                <w:rStyle w:val="355"/>
                <w:rFonts w:hint="eastAsia" w:ascii="仿宋" w:hAnsi="仿宋" w:eastAsia="仿宋" w:cs="仿宋"/>
                <w:color w:val="auto"/>
                <w:sz w:val="24"/>
                <w:szCs w:val="24"/>
                <w:lang w:val="en-US" w:eastAsia="zh-Hans"/>
              </w:rPr>
              <w:t>音乐</w:t>
            </w:r>
            <w:r>
              <w:rPr>
                <w:rStyle w:val="355"/>
                <w:rFonts w:hint="eastAsia" w:ascii="仿宋" w:hAnsi="仿宋" w:eastAsia="仿宋" w:cs="仿宋"/>
                <w:color w:val="auto"/>
                <w:sz w:val="24"/>
                <w:szCs w:val="24"/>
              </w:rPr>
              <w:t>理论的基本知识，</w:t>
            </w:r>
            <w:r>
              <w:rPr>
                <w:rStyle w:val="355"/>
                <w:rFonts w:hint="eastAsia" w:ascii="仿宋" w:hAnsi="仿宋" w:eastAsia="仿宋" w:cs="仿宋"/>
                <w:b w:val="0"/>
                <w:bCs w:val="0"/>
                <w:color w:val="auto"/>
                <w:sz w:val="24"/>
                <w:szCs w:val="24"/>
                <w:vertAlign w:val="baseline"/>
              </w:rPr>
              <w:t>了解中外音乐史的总体框架，</w:t>
            </w:r>
            <w:r>
              <w:rPr>
                <w:rStyle w:val="355"/>
                <w:rFonts w:hint="eastAsia" w:ascii="仿宋" w:hAnsi="仿宋" w:eastAsia="仿宋" w:cs="仿宋"/>
                <w:b w:val="0"/>
                <w:bCs w:val="0"/>
                <w:color w:val="auto"/>
                <w:sz w:val="24"/>
                <w:szCs w:val="24"/>
                <w:vertAlign w:val="baseline"/>
                <w:lang w:val="en-US" w:eastAsia="zh-Hans"/>
              </w:rPr>
              <w:t>理解</w:t>
            </w:r>
            <w:r>
              <w:rPr>
                <w:rStyle w:val="355"/>
                <w:rFonts w:hint="eastAsia" w:ascii="仿宋" w:hAnsi="仿宋" w:eastAsia="仿宋" w:cs="仿宋"/>
                <w:b w:val="0"/>
                <w:bCs w:val="0"/>
                <w:color w:val="auto"/>
                <w:sz w:val="24"/>
                <w:szCs w:val="24"/>
                <w:vertAlign w:val="baseline"/>
              </w:rPr>
              <w:t>音乐理论课程之间的相互关联，形成</w:t>
            </w:r>
            <w:r>
              <w:rPr>
                <w:rStyle w:val="355"/>
                <w:rFonts w:hint="eastAsia" w:ascii="仿宋" w:hAnsi="仿宋" w:eastAsia="仿宋" w:cs="仿宋"/>
                <w:b w:val="0"/>
                <w:bCs w:val="0"/>
                <w:color w:val="auto"/>
                <w:sz w:val="24"/>
                <w:szCs w:val="24"/>
                <w:vertAlign w:val="baseline"/>
                <w:lang w:val="en-US" w:eastAsia="zh-Hans"/>
              </w:rPr>
              <w:t>初步的音乐</w:t>
            </w:r>
            <w:r>
              <w:rPr>
                <w:rStyle w:val="355"/>
                <w:rFonts w:hint="eastAsia" w:ascii="仿宋" w:hAnsi="仿宋" w:eastAsia="仿宋" w:cs="仿宋"/>
                <w:b w:val="0"/>
                <w:bCs w:val="0"/>
                <w:color w:val="auto"/>
                <w:sz w:val="24"/>
                <w:szCs w:val="24"/>
                <w:vertAlign w:val="baseline"/>
              </w:rPr>
              <w:t>理论知识体系</w:t>
            </w:r>
            <w:r>
              <w:rPr>
                <w:rStyle w:val="355"/>
                <w:rFonts w:hint="eastAsia" w:ascii="仿宋" w:hAnsi="仿宋" w:eastAsia="仿宋" w:cs="仿宋"/>
                <w:color w:val="auto"/>
                <w:sz w:val="24"/>
                <w:szCs w:val="24"/>
              </w:rPr>
              <w:t>，</w:t>
            </w:r>
            <w:r>
              <w:rPr>
                <w:rStyle w:val="355"/>
                <w:rFonts w:hint="eastAsia" w:ascii="仿宋" w:hAnsi="仿宋" w:eastAsia="仿宋" w:cs="仿宋"/>
                <w:color w:val="auto"/>
                <w:sz w:val="24"/>
                <w:szCs w:val="24"/>
                <w:lang w:val="en-US" w:eastAsia="zh-Hans"/>
              </w:rPr>
              <w:t>能够</w:t>
            </w:r>
            <w:r>
              <w:rPr>
                <w:rStyle w:val="355"/>
                <w:rFonts w:hint="eastAsia" w:ascii="仿宋" w:hAnsi="仿宋" w:eastAsia="仿宋" w:cs="仿宋"/>
                <w:b w:val="0"/>
                <w:bCs w:val="0"/>
                <w:color w:val="auto"/>
                <w:sz w:val="24"/>
                <w:szCs w:val="24"/>
                <w:vertAlign w:val="baseline"/>
              </w:rPr>
              <w:t>综合运用音乐理论知识解决</w:t>
            </w:r>
            <w:r>
              <w:rPr>
                <w:rStyle w:val="355"/>
                <w:rFonts w:hint="eastAsia" w:ascii="仿宋" w:hAnsi="仿宋" w:eastAsia="仿宋" w:cs="仿宋"/>
                <w:b w:val="0"/>
                <w:bCs w:val="0"/>
                <w:color w:val="auto"/>
                <w:sz w:val="24"/>
                <w:szCs w:val="24"/>
                <w:vertAlign w:val="baseline"/>
                <w:lang w:val="en-US" w:eastAsia="zh-Hans"/>
              </w:rPr>
              <w:t>相关</w:t>
            </w:r>
            <w:r>
              <w:rPr>
                <w:rStyle w:val="355"/>
                <w:rFonts w:hint="eastAsia" w:ascii="仿宋" w:hAnsi="仿宋" w:eastAsia="仿宋" w:cs="仿宋"/>
                <w:b w:val="0"/>
                <w:bCs w:val="0"/>
                <w:color w:val="auto"/>
                <w:sz w:val="24"/>
                <w:szCs w:val="24"/>
                <w:vertAlign w:val="baseline"/>
              </w:rPr>
              <w:t>教学问题。</w:t>
            </w:r>
          </w:p>
        </w:tc>
        <w:tc>
          <w:tcPr>
            <w:tcW w:w="2124"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EB457B">
            <w:pPr>
              <w:adjustRightInd w:val="0"/>
              <w:snapToGrid w:val="0"/>
              <w:jc w:val="center"/>
              <w:rPr>
                <w:rFonts w:ascii="仿宋" w:hAnsi="仿宋" w:eastAsia="仿宋" w:cs="仿宋"/>
                <w:bCs/>
                <w:sz w:val="24"/>
                <w:szCs w:val="24"/>
              </w:rPr>
            </w:pPr>
            <w:r>
              <w:rPr>
                <w:rFonts w:hint="eastAsia" w:ascii="仿宋" w:hAnsi="仿宋" w:eastAsia="仿宋" w:cs="仿宋"/>
                <w:bCs/>
                <w:sz w:val="24"/>
                <w:szCs w:val="24"/>
              </w:rPr>
              <w:t>学科素养（</w:t>
            </w:r>
            <w:r>
              <w:rPr>
                <w:rFonts w:ascii="仿宋" w:hAnsi="仿宋" w:eastAsia="仿宋" w:cs="仿宋"/>
                <w:bCs/>
                <w:sz w:val="24"/>
                <w:szCs w:val="24"/>
              </w:rPr>
              <w:t>3</w:t>
            </w:r>
            <w:r>
              <w:rPr>
                <w:rFonts w:hint="eastAsia" w:ascii="仿宋" w:hAnsi="仿宋" w:eastAsia="仿宋" w:cs="仿宋"/>
                <w:bCs/>
                <w:sz w:val="24"/>
                <w:szCs w:val="24"/>
              </w:rPr>
              <w:t>）</w:t>
            </w:r>
          </w:p>
          <w:p w14:paraId="78050704">
            <w:pPr>
              <w:jc w:val="center"/>
              <w:rPr>
                <w:rFonts w:ascii="仿宋" w:eastAsia="仿宋" w:cs="仿宋"/>
                <w:bCs/>
                <w:kern w:val="2"/>
                <w:sz w:val="24"/>
                <w:szCs w:val="24"/>
              </w:rPr>
            </w:pPr>
            <w:r>
              <w:rPr>
                <w:rFonts w:hint="eastAsia" w:ascii="仿宋" w:eastAsia="仿宋" w:cs="仿宋"/>
                <w:bCs/>
                <w:kern w:val="2"/>
                <w:sz w:val="24"/>
                <w:szCs w:val="24"/>
              </w:rPr>
              <w:t>（M）</w:t>
            </w:r>
          </w:p>
        </w:tc>
      </w:tr>
      <w:tr w14:paraId="43D9C41E">
        <w:trPr>
          <w:trHeight w:val="817" w:hRule="atLeast"/>
        </w:trPr>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EC6B83"/>
        </w:tc>
        <w:tc>
          <w:tcPr>
            <w:tcW w:w="124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570A82">
            <w:pPr>
              <w:rPr>
                <w:rFonts w:ascii="仿宋" w:eastAsia="仿宋" w:cs="仿宋"/>
                <w:kern w:val="2"/>
                <w:sz w:val="24"/>
                <w:szCs w:val="24"/>
              </w:rPr>
            </w:pPr>
            <w:r>
              <w:rPr>
                <w:rFonts w:hint="eastAsia" w:ascii="仿宋" w:eastAsia="仿宋" w:cs="仿宋"/>
                <w:kern w:val="2"/>
                <w:sz w:val="24"/>
                <w:szCs w:val="24"/>
              </w:rPr>
              <w:t>课程目标3</w:t>
            </w:r>
          </w:p>
        </w:tc>
        <w:tc>
          <w:tcPr>
            <w:tcW w:w="5029" w:type="dxa"/>
            <w:gridSpan w:val="9"/>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7BC52BA2">
            <w:pPr>
              <w:adjustRightInd w:val="0"/>
              <w:snapToGrid w:val="0"/>
              <w:rPr>
                <w:rFonts w:ascii="仿宋" w:eastAsia="仿宋" w:cs="仿宋"/>
                <w:bCs/>
                <w:sz w:val="24"/>
                <w:szCs w:val="24"/>
              </w:rPr>
            </w:pPr>
            <w:r>
              <w:rPr>
                <w:rStyle w:val="355"/>
                <w:rFonts w:hint="eastAsia" w:ascii="仿宋" w:hAnsi="仿宋" w:eastAsia="仿宋" w:cs="仿宋"/>
                <w:color w:val="auto"/>
                <w:sz w:val="24"/>
                <w:szCs w:val="24"/>
              </w:rPr>
              <w:t>4.1【教学设计与实施】</w:t>
            </w:r>
            <w:r>
              <w:rPr>
                <w:rFonts w:hint="eastAsia" w:ascii="仿宋" w:hAnsi="仿宋" w:eastAsia="仿宋" w:cs="仿宋"/>
                <w:color w:val="auto"/>
                <w:kern w:val="0"/>
                <w:sz w:val="24"/>
                <w:szCs w:val="24"/>
              </w:rPr>
              <w:t>熟悉中学音乐课程标准和教材，能够正确处理课标和教材的关系，科学合理地进行教学设计并实施教学，准确把握教学内容，分析学情，合理安排教学过程和环节，科学设计评价内容和方式，根据学生音乐认知的特征和个体差异，注重差异化教学。课后能够及时反思、总结形成初步的教研能力。</w:t>
            </w:r>
          </w:p>
        </w:tc>
        <w:tc>
          <w:tcPr>
            <w:tcW w:w="2124"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B1A64F">
            <w:pPr>
              <w:jc w:val="center"/>
              <w:rPr>
                <w:rFonts w:hint="eastAsia" w:ascii="仿宋" w:eastAsia="仿宋" w:cs="仿宋"/>
                <w:kern w:val="2"/>
                <w:sz w:val="24"/>
                <w:szCs w:val="24"/>
                <w:lang w:eastAsia="zh-CN"/>
              </w:rPr>
            </w:pPr>
            <w:r>
              <w:rPr>
                <w:rFonts w:hint="eastAsia" w:ascii="仿宋" w:eastAsia="仿宋" w:cs="仿宋"/>
                <w:kern w:val="2"/>
                <w:sz w:val="24"/>
                <w:szCs w:val="24"/>
              </w:rPr>
              <w:t>教学能力</w:t>
            </w:r>
            <w:r>
              <w:rPr>
                <w:rFonts w:hint="eastAsia" w:ascii="仿宋" w:eastAsia="仿宋" w:cs="仿宋"/>
                <w:kern w:val="2"/>
                <w:sz w:val="24"/>
                <w:szCs w:val="24"/>
                <w:lang w:eastAsia="zh-CN"/>
              </w:rPr>
              <w:t>（</w:t>
            </w:r>
            <w:r>
              <w:rPr>
                <w:rFonts w:hint="eastAsia" w:ascii="仿宋" w:eastAsia="仿宋" w:cs="仿宋"/>
                <w:kern w:val="2"/>
                <w:sz w:val="24"/>
                <w:szCs w:val="24"/>
                <w:lang w:val="en-US" w:eastAsia="zh-CN"/>
              </w:rPr>
              <w:t>4</w:t>
            </w:r>
            <w:r>
              <w:rPr>
                <w:rFonts w:hint="eastAsia" w:ascii="仿宋" w:eastAsia="仿宋" w:cs="仿宋"/>
                <w:kern w:val="2"/>
                <w:sz w:val="24"/>
                <w:szCs w:val="24"/>
                <w:lang w:eastAsia="zh-CN"/>
              </w:rPr>
              <w:t>）</w:t>
            </w:r>
          </w:p>
          <w:p w14:paraId="761743FF">
            <w:pPr>
              <w:jc w:val="center"/>
              <w:rPr>
                <w:rFonts w:ascii="仿宋" w:eastAsia="仿宋" w:cs="仿宋"/>
                <w:kern w:val="2"/>
                <w:sz w:val="24"/>
                <w:szCs w:val="24"/>
              </w:rPr>
            </w:pPr>
            <w:r>
              <w:rPr>
                <w:rFonts w:hint="eastAsia" w:ascii="仿宋" w:eastAsia="仿宋" w:cs="仿宋"/>
                <w:kern w:val="2"/>
                <w:sz w:val="24"/>
                <w:szCs w:val="24"/>
              </w:rPr>
              <w:t>(H)</w:t>
            </w:r>
          </w:p>
        </w:tc>
      </w:tr>
      <w:tr w14:paraId="4D556CBA">
        <w:trPr>
          <w:trHeight w:val="582" w:hRule="atLeast"/>
        </w:trPr>
        <w:tc>
          <w:tcPr>
            <w:tcW w:w="1022"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882B8D">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ottom"/>
              <w:rPr>
                <w:rFonts w:hint="eastAsia" w:ascii="仿宋" w:hAnsi="仿宋" w:eastAsia="仿宋" w:cs="仿宋"/>
                <w:color w:val="000000"/>
                <w:sz w:val="24"/>
                <w:szCs w:val="24"/>
              </w:rPr>
            </w:pPr>
            <w:r>
              <w:rPr>
                <w:rFonts w:hint="eastAsia" w:ascii="仿宋" w:hAnsi="仿宋" w:eastAsia="仿宋" w:cs="仿宋"/>
                <w:color w:val="000000"/>
                <w:sz w:val="24"/>
                <w:szCs w:val="24"/>
              </w:rPr>
              <w:t>F</w:t>
            </w:r>
          </w:p>
          <w:p w14:paraId="4502F77C">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ottom"/>
              <w:rPr>
                <w:rFonts w:ascii="仿宋" w:eastAsia="仿宋" w:cs="仿宋"/>
                <w:kern w:val="2"/>
                <w:sz w:val="24"/>
              </w:rPr>
            </w:pPr>
            <w:r>
              <w:rPr>
                <w:rFonts w:hint="eastAsia" w:ascii="仿宋" w:hAnsi="仿宋" w:eastAsia="仿宋" w:cs="仿宋"/>
                <w:color w:val="000000"/>
                <w:sz w:val="24"/>
                <w:szCs w:val="24"/>
              </w:rPr>
              <w:t>理论学习内容</w:t>
            </w:r>
          </w:p>
        </w:tc>
        <w:tc>
          <w:tcPr>
            <w:tcW w:w="6272" w:type="dxa"/>
            <w:gridSpan w:val="10"/>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1F22CE">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ottom"/>
              <w:rPr>
                <w:rFonts w:ascii="仿宋" w:eastAsia="仿宋" w:cs="仿宋"/>
                <w:kern w:val="2"/>
                <w:sz w:val="24"/>
              </w:rPr>
            </w:pPr>
            <w:r>
              <w:rPr>
                <w:rFonts w:hint="eastAsia" w:ascii="仿宋" w:hAnsi="仿宋" w:eastAsia="仿宋" w:cs="仿宋"/>
                <w:color w:val="000000"/>
                <w:sz w:val="24"/>
                <w:szCs w:val="24"/>
              </w:rPr>
              <w:t>章节学习内容与学习要求</w:t>
            </w: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A7FDDD">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ottom"/>
              <w:rPr>
                <w:rFonts w:hint="eastAsia" w:ascii="仿宋" w:hAnsi="仿宋" w:eastAsia="仿宋" w:cs="仿宋"/>
                <w:color w:val="000000"/>
                <w:sz w:val="24"/>
                <w:szCs w:val="24"/>
              </w:rPr>
            </w:pPr>
            <w:r>
              <w:rPr>
                <w:rFonts w:hint="eastAsia" w:ascii="仿宋" w:hAnsi="仿宋" w:eastAsia="仿宋" w:cs="仿宋"/>
                <w:color w:val="000000"/>
                <w:sz w:val="24"/>
                <w:szCs w:val="24"/>
              </w:rPr>
              <w:t>支撑课程</w:t>
            </w:r>
          </w:p>
          <w:p w14:paraId="6350D194">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ottom"/>
              <w:rPr>
                <w:rFonts w:ascii="仿宋" w:eastAsia="仿宋" w:cs="仿宋"/>
                <w:kern w:val="2"/>
                <w:sz w:val="24"/>
              </w:rPr>
            </w:pPr>
            <w:r>
              <w:rPr>
                <w:rFonts w:hint="eastAsia" w:ascii="仿宋" w:hAnsi="仿宋" w:eastAsia="仿宋" w:cs="仿宋"/>
                <w:color w:val="000000"/>
                <w:sz w:val="24"/>
                <w:szCs w:val="24"/>
              </w:rPr>
              <w:t>目标</w:t>
            </w:r>
          </w:p>
        </w:tc>
        <w:tc>
          <w:tcPr>
            <w:tcW w:w="8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71C012">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ottom"/>
              <w:rPr>
                <w:rFonts w:hint="eastAsia" w:ascii="仿宋" w:hAnsi="仿宋" w:eastAsia="仿宋" w:cs="仿宋"/>
                <w:color w:val="000000"/>
                <w:sz w:val="24"/>
                <w:szCs w:val="24"/>
              </w:rPr>
            </w:pPr>
            <w:r>
              <w:rPr>
                <w:rFonts w:hint="eastAsia" w:ascii="仿宋" w:hAnsi="仿宋" w:eastAsia="仿宋" w:cs="仿宋"/>
                <w:color w:val="000000"/>
                <w:sz w:val="24"/>
                <w:szCs w:val="24"/>
              </w:rPr>
              <w:t>学时</w:t>
            </w:r>
          </w:p>
          <w:p w14:paraId="1C285FE7">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ottom"/>
              <w:rPr>
                <w:rFonts w:ascii="仿宋" w:eastAsia="仿宋" w:cs="仿宋"/>
                <w:kern w:val="2"/>
                <w:sz w:val="24"/>
              </w:rPr>
            </w:pPr>
            <w:r>
              <w:rPr>
                <w:rFonts w:hint="eastAsia" w:ascii="仿宋" w:hAnsi="仿宋" w:eastAsia="仿宋" w:cs="仿宋"/>
                <w:color w:val="000000"/>
                <w:sz w:val="24"/>
                <w:szCs w:val="24"/>
              </w:rPr>
              <w:t>分配</w:t>
            </w:r>
          </w:p>
        </w:tc>
      </w:tr>
      <w:tr w14:paraId="70271FDD">
        <w:trPr>
          <w:trHeight w:val="857" w:hRule="atLeast"/>
        </w:trPr>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16E7C0">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left"/>
              <w:textAlignment w:val="bottom"/>
            </w:pPr>
          </w:p>
        </w:tc>
        <w:tc>
          <w:tcPr>
            <w:tcW w:w="6272"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1BFC1944">
            <w:pPr>
              <w:keepNext w:val="0"/>
              <w:keepLines w:val="0"/>
              <w:pageBreakBefore w:val="0"/>
              <w:widowControl/>
              <w:kinsoku/>
              <w:wordWrap/>
              <w:overflowPunct/>
              <w:topLinePunct w:val="0"/>
              <w:autoSpaceDE w:val="0"/>
              <w:autoSpaceDN w:val="0"/>
              <w:bidi w:val="0"/>
              <w:adjustRightInd w:val="0"/>
              <w:snapToGrid w:val="0"/>
              <w:spacing w:line="240" w:lineRule="auto"/>
              <w:ind w:left="0"/>
              <w:jc w:val="left"/>
              <w:textAlignment w:val="bottom"/>
              <w:rPr>
                <w:rFonts w:hint="eastAsia" w:ascii="仿宋" w:hAnsi="仿宋" w:eastAsia="仿宋" w:cs="仿宋"/>
                <w:color w:val="000000"/>
                <w:sz w:val="24"/>
                <w:szCs w:val="24"/>
              </w:rPr>
            </w:pPr>
            <w:r>
              <w:rPr>
                <w:rFonts w:hint="eastAsia" w:ascii="仿宋" w:hAnsi="仿宋" w:eastAsia="仿宋" w:cs="仿宋"/>
                <w:color w:val="000000"/>
                <w:sz w:val="24"/>
                <w:szCs w:val="24"/>
              </w:rPr>
              <w:t>第一章 绪论</w:t>
            </w:r>
          </w:p>
          <w:p w14:paraId="691D9BA3">
            <w:pPr>
              <w:keepNext w:val="0"/>
              <w:keepLines w:val="0"/>
              <w:pageBreakBefore w:val="0"/>
              <w:widowControl/>
              <w:kinsoku/>
              <w:wordWrap/>
              <w:overflowPunct/>
              <w:topLinePunct w:val="0"/>
              <w:autoSpaceDE w:val="0"/>
              <w:autoSpaceDN w:val="0"/>
              <w:bidi w:val="0"/>
              <w:adjustRightInd w:val="0"/>
              <w:snapToGrid w:val="0"/>
              <w:spacing w:line="240" w:lineRule="auto"/>
              <w:ind w:left="0"/>
              <w:jc w:val="left"/>
              <w:textAlignment w:val="bottom"/>
              <w:rPr>
                <w:rFonts w:ascii="仿宋" w:eastAsia="仿宋" w:cs="仿宋"/>
                <w:kern w:val="2"/>
                <w:sz w:val="24"/>
                <w:szCs w:val="24"/>
              </w:rPr>
            </w:pPr>
            <w:r>
              <w:rPr>
                <w:rFonts w:hint="eastAsia" w:ascii="仿宋" w:hAnsi="仿宋" w:eastAsia="仿宋" w:cs="仿宋"/>
                <w:color w:val="000000"/>
                <w:sz w:val="24"/>
                <w:szCs w:val="24"/>
              </w:rPr>
              <w:t>第二章 钢琴教学的基本任务和钢琴教师应具备的基本条件</w:t>
            </w: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18B3C85B">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ottom"/>
              <w:rPr>
                <w:rFonts w:hint="default" w:ascii="仿宋" w:eastAsia="仿宋" w:cs="仿宋"/>
                <w:bCs/>
                <w:sz w:val="24"/>
                <w:szCs w:val="24"/>
                <w:lang w:val="en-US" w:eastAsia="zh-CN"/>
              </w:rPr>
            </w:pPr>
            <w:r>
              <w:rPr>
                <w:rFonts w:hint="eastAsia" w:ascii="仿宋" w:eastAsia="仿宋" w:cs="仿宋"/>
                <w:bCs/>
                <w:sz w:val="24"/>
                <w:szCs w:val="24"/>
                <w:lang w:val="en-US" w:eastAsia="zh-CN"/>
              </w:rPr>
              <w:t>课程目标1、2、3</w:t>
            </w:r>
          </w:p>
        </w:tc>
        <w:tc>
          <w:tcPr>
            <w:tcW w:w="899" w:type="dxa"/>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224D8E75">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ottom"/>
              <w:rPr>
                <w:rFonts w:ascii="仿宋" w:eastAsia="仿宋" w:cs="仿宋"/>
                <w:bCs/>
                <w:sz w:val="24"/>
                <w:szCs w:val="24"/>
              </w:rPr>
            </w:pPr>
          </w:p>
        </w:tc>
      </w:tr>
      <w:tr w14:paraId="6376A7FC">
        <w:trPr>
          <w:trHeight w:val="454" w:hRule="atLeast"/>
        </w:trPr>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4EA467">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left"/>
              <w:textAlignment w:val="bottom"/>
            </w:pPr>
          </w:p>
        </w:tc>
        <w:tc>
          <w:tcPr>
            <w:tcW w:w="6272"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5558C919">
            <w:pPr>
              <w:keepNext w:val="0"/>
              <w:keepLines w:val="0"/>
              <w:pageBreakBefore w:val="0"/>
              <w:widowControl/>
              <w:kinsoku/>
              <w:wordWrap/>
              <w:overflowPunct/>
              <w:topLinePunct w:val="0"/>
              <w:autoSpaceDE w:val="0"/>
              <w:autoSpaceDN w:val="0"/>
              <w:bidi w:val="0"/>
              <w:adjustRightInd w:val="0"/>
              <w:snapToGrid w:val="0"/>
              <w:spacing w:line="240" w:lineRule="auto"/>
              <w:ind w:left="0"/>
              <w:jc w:val="left"/>
              <w:textAlignment w:val="bottom"/>
              <w:rPr>
                <w:rFonts w:hint="eastAsia" w:ascii="仿宋" w:hAnsi="仿宋" w:eastAsia="仿宋" w:cs="仿宋"/>
                <w:color w:val="000000"/>
                <w:sz w:val="24"/>
                <w:szCs w:val="24"/>
              </w:rPr>
            </w:pPr>
            <w:r>
              <w:rPr>
                <w:rFonts w:hint="eastAsia" w:ascii="仿宋" w:hAnsi="仿宋" w:eastAsia="仿宋" w:cs="仿宋"/>
                <w:color w:val="000000"/>
                <w:sz w:val="24"/>
                <w:szCs w:val="24"/>
              </w:rPr>
              <w:t>第三章 钢琴启蒙教学与儿童学习心理</w:t>
            </w:r>
          </w:p>
          <w:p w14:paraId="6C805C53">
            <w:pPr>
              <w:keepNext w:val="0"/>
              <w:keepLines w:val="0"/>
              <w:pageBreakBefore w:val="0"/>
              <w:widowControl/>
              <w:kinsoku/>
              <w:wordWrap/>
              <w:overflowPunct/>
              <w:topLinePunct w:val="0"/>
              <w:autoSpaceDE w:val="0"/>
              <w:autoSpaceDN w:val="0"/>
              <w:bidi w:val="0"/>
              <w:adjustRightInd w:val="0"/>
              <w:snapToGrid w:val="0"/>
              <w:spacing w:line="240" w:lineRule="auto"/>
              <w:ind w:left="0"/>
              <w:jc w:val="left"/>
              <w:textAlignment w:val="bottom"/>
              <w:rPr>
                <w:rFonts w:hint="eastAsia" w:ascii="仿宋" w:hAnsi="仿宋" w:eastAsia="仿宋" w:cs="仿宋"/>
                <w:color w:val="000000"/>
                <w:sz w:val="24"/>
                <w:szCs w:val="24"/>
              </w:rPr>
            </w:pPr>
            <w:r>
              <w:rPr>
                <w:rFonts w:hint="eastAsia" w:ascii="仿宋" w:hAnsi="仿宋" w:eastAsia="仿宋" w:cs="仿宋"/>
                <w:color w:val="000000"/>
                <w:sz w:val="24"/>
                <w:szCs w:val="24"/>
              </w:rPr>
              <w:t>第四章 成人钢琴教学的基本特征和主要方法</w:t>
            </w: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5BD2C7CB">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ottom"/>
              <w:rPr>
                <w:rFonts w:ascii="仿宋" w:eastAsia="仿宋" w:cs="仿宋"/>
                <w:bCs/>
                <w:sz w:val="24"/>
                <w:szCs w:val="24"/>
              </w:rPr>
            </w:pPr>
            <w:r>
              <w:rPr>
                <w:rFonts w:hint="eastAsia" w:ascii="仿宋" w:eastAsia="仿宋" w:cs="仿宋"/>
                <w:bCs/>
                <w:sz w:val="24"/>
                <w:szCs w:val="24"/>
                <w:lang w:val="en-US" w:eastAsia="zh-CN"/>
              </w:rPr>
              <w:t>课程目标1、2、3</w:t>
            </w:r>
          </w:p>
        </w:tc>
        <w:tc>
          <w:tcPr>
            <w:tcW w:w="899" w:type="dxa"/>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40A07B09">
            <w:pPr>
              <w:keepNext w:val="0"/>
              <w:keepLines w:val="0"/>
              <w:pageBreakBefore w:val="0"/>
              <w:widowControl/>
              <w:kinsoku/>
              <w:wordWrap/>
              <w:overflowPunct/>
              <w:topLinePunct w:val="0"/>
              <w:autoSpaceDE w:val="0"/>
              <w:autoSpaceDN w:val="0"/>
              <w:bidi w:val="0"/>
              <w:adjustRightInd w:val="0"/>
              <w:snapToGrid w:val="0"/>
              <w:spacing w:line="240" w:lineRule="auto"/>
              <w:ind w:left="0" w:leftChars="0" w:firstLine="720" w:firstLineChars="300"/>
              <w:jc w:val="center"/>
              <w:textAlignment w:val="bottom"/>
              <w:rPr>
                <w:rFonts w:ascii="仿宋" w:eastAsia="仿宋" w:cs="仿宋"/>
                <w:bCs/>
                <w:sz w:val="24"/>
                <w:szCs w:val="24"/>
              </w:rPr>
            </w:pPr>
          </w:p>
        </w:tc>
      </w:tr>
      <w:tr w14:paraId="38818D83">
        <w:trPr>
          <w:trHeight w:val="1055" w:hRule="atLeast"/>
        </w:trPr>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DADFB9">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left"/>
              <w:textAlignment w:val="bottom"/>
            </w:pPr>
          </w:p>
        </w:tc>
        <w:tc>
          <w:tcPr>
            <w:tcW w:w="6272"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527E5C3F">
            <w:pPr>
              <w:keepNext w:val="0"/>
              <w:keepLines w:val="0"/>
              <w:pageBreakBefore w:val="0"/>
              <w:widowControl/>
              <w:kinsoku/>
              <w:wordWrap/>
              <w:overflowPunct/>
              <w:topLinePunct w:val="0"/>
              <w:autoSpaceDE w:val="0"/>
              <w:autoSpaceDN w:val="0"/>
              <w:bidi w:val="0"/>
              <w:adjustRightInd w:val="0"/>
              <w:snapToGrid w:val="0"/>
              <w:spacing w:line="240" w:lineRule="auto"/>
              <w:ind w:left="0"/>
              <w:jc w:val="left"/>
              <w:textAlignment w:val="bottom"/>
              <w:rPr>
                <w:rFonts w:hint="eastAsia" w:ascii="仿宋" w:hAnsi="仿宋" w:eastAsia="仿宋" w:cs="仿宋"/>
                <w:color w:val="000000"/>
                <w:sz w:val="24"/>
                <w:szCs w:val="24"/>
              </w:rPr>
            </w:pPr>
            <w:r>
              <w:rPr>
                <w:rFonts w:hint="eastAsia" w:ascii="仿宋" w:hAnsi="仿宋" w:eastAsia="仿宋" w:cs="仿宋"/>
                <w:color w:val="000000"/>
                <w:sz w:val="24"/>
                <w:szCs w:val="24"/>
              </w:rPr>
              <w:t>第五章 钢琴课堂教学的基本方法与内容</w:t>
            </w:r>
          </w:p>
          <w:p w14:paraId="7BEFCD7D">
            <w:pPr>
              <w:keepNext w:val="0"/>
              <w:keepLines w:val="0"/>
              <w:pageBreakBefore w:val="0"/>
              <w:widowControl/>
              <w:kinsoku/>
              <w:wordWrap/>
              <w:overflowPunct/>
              <w:topLinePunct w:val="0"/>
              <w:autoSpaceDE w:val="0"/>
              <w:autoSpaceDN w:val="0"/>
              <w:bidi w:val="0"/>
              <w:adjustRightInd w:val="0"/>
              <w:snapToGrid w:val="0"/>
              <w:spacing w:line="240" w:lineRule="auto"/>
              <w:ind w:left="0"/>
              <w:jc w:val="left"/>
              <w:textAlignment w:val="bottom"/>
              <w:rPr>
                <w:rFonts w:hint="eastAsia" w:ascii="仿宋" w:hAnsi="仿宋" w:eastAsia="仿宋" w:cs="仿宋"/>
                <w:color w:val="000000"/>
                <w:sz w:val="24"/>
                <w:szCs w:val="24"/>
              </w:rPr>
            </w:pPr>
            <w:r>
              <w:rPr>
                <w:rFonts w:hint="eastAsia" w:ascii="仿宋" w:hAnsi="仿宋" w:eastAsia="仿宋" w:cs="仿宋"/>
                <w:color w:val="000000"/>
                <w:sz w:val="24"/>
                <w:szCs w:val="24"/>
              </w:rPr>
              <w:t>第六章 钢琴教学计划的制定与教材的选择</w:t>
            </w:r>
          </w:p>
          <w:p w14:paraId="534FA441">
            <w:pPr>
              <w:keepNext w:val="0"/>
              <w:keepLines w:val="0"/>
              <w:pageBreakBefore w:val="0"/>
              <w:widowControl/>
              <w:kinsoku/>
              <w:wordWrap/>
              <w:overflowPunct/>
              <w:topLinePunct w:val="0"/>
              <w:autoSpaceDE w:val="0"/>
              <w:autoSpaceDN w:val="0"/>
              <w:bidi w:val="0"/>
              <w:adjustRightInd w:val="0"/>
              <w:snapToGrid w:val="0"/>
              <w:spacing w:line="240" w:lineRule="auto"/>
              <w:ind w:left="0"/>
              <w:jc w:val="left"/>
              <w:textAlignment w:val="bottom"/>
              <w:rPr>
                <w:rFonts w:hint="eastAsia" w:ascii="仿宋" w:hAnsi="仿宋" w:eastAsia="仿宋" w:cs="仿宋"/>
                <w:color w:val="000000"/>
                <w:sz w:val="24"/>
                <w:szCs w:val="24"/>
              </w:rPr>
            </w:pPr>
            <w:r>
              <w:rPr>
                <w:rFonts w:hint="eastAsia" w:ascii="仿宋" w:hAnsi="仿宋" w:eastAsia="仿宋" w:cs="仿宋"/>
                <w:color w:val="000000"/>
                <w:sz w:val="24"/>
                <w:szCs w:val="24"/>
              </w:rPr>
              <w:t>第七章 钢琴教学中对教材的合理搭配</w:t>
            </w: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5A3BE695">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ottom"/>
              <w:rPr>
                <w:rFonts w:ascii="仿宋" w:eastAsia="仿宋" w:cs="仿宋"/>
                <w:bCs/>
                <w:sz w:val="24"/>
                <w:szCs w:val="24"/>
              </w:rPr>
            </w:pPr>
            <w:r>
              <w:rPr>
                <w:rFonts w:hint="eastAsia" w:ascii="仿宋" w:eastAsia="仿宋" w:cs="仿宋"/>
                <w:bCs/>
                <w:sz w:val="24"/>
                <w:szCs w:val="24"/>
                <w:lang w:val="en-US" w:eastAsia="zh-CN"/>
              </w:rPr>
              <w:t>课程目标1、2、3</w:t>
            </w:r>
          </w:p>
        </w:tc>
        <w:tc>
          <w:tcPr>
            <w:tcW w:w="899" w:type="dxa"/>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58FFED27">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ottom"/>
              <w:rPr>
                <w:rFonts w:ascii="仿宋" w:eastAsia="仿宋" w:cs="仿宋"/>
                <w:bCs/>
                <w:sz w:val="24"/>
                <w:szCs w:val="24"/>
              </w:rPr>
            </w:pPr>
          </w:p>
        </w:tc>
      </w:tr>
      <w:tr w14:paraId="1140E158">
        <w:trPr>
          <w:trHeight w:val="1034" w:hRule="atLeast"/>
        </w:trPr>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981823">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left"/>
              <w:textAlignment w:val="bottom"/>
            </w:pPr>
          </w:p>
        </w:tc>
        <w:tc>
          <w:tcPr>
            <w:tcW w:w="6272"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1D4003E9">
            <w:pPr>
              <w:keepNext w:val="0"/>
              <w:keepLines w:val="0"/>
              <w:pageBreakBefore w:val="0"/>
              <w:widowControl/>
              <w:kinsoku/>
              <w:wordWrap/>
              <w:overflowPunct/>
              <w:topLinePunct w:val="0"/>
              <w:autoSpaceDE w:val="0"/>
              <w:autoSpaceDN w:val="0"/>
              <w:bidi w:val="0"/>
              <w:adjustRightInd w:val="0"/>
              <w:snapToGrid w:val="0"/>
              <w:spacing w:line="240" w:lineRule="auto"/>
              <w:ind w:left="0"/>
              <w:jc w:val="left"/>
              <w:textAlignment w:val="bottom"/>
              <w:rPr>
                <w:rFonts w:hint="eastAsia" w:ascii="仿宋" w:hAnsi="仿宋" w:eastAsia="仿宋" w:cs="仿宋"/>
                <w:color w:val="000000"/>
                <w:sz w:val="24"/>
                <w:szCs w:val="24"/>
              </w:rPr>
            </w:pPr>
            <w:r>
              <w:rPr>
                <w:rFonts w:hint="eastAsia" w:ascii="仿宋" w:hAnsi="仿宋" w:eastAsia="仿宋" w:cs="仿宋"/>
                <w:color w:val="000000"/>
                <w:sz w:val="24"/>
                <w:szCs w:val="24"/>
              </w:rPr>
              <w:t>第八章 钢琴的基本弹奏方法</w:t>
            </w:r>
          </w:p>
          <w:p w14:paraId="729B8F71">
            <w:pPr>
              <w:keepNext w:val="0"/>
              <w:keepLines w:val="0"/>
              <w:pageBreakBefore w:val="0"/>
              <w:widowControl/>
              <w:kinsoku/>
              <w:wordWrap/>
              <w:overflowPunct/>
              <w:topLinePunct w:val="0"/>
              <w:autoSpaceDE w:val="0"/>
              <w:autoSpaceDN w:val="0"/>
              <w:bidi w:val="0"/>
              <w:adjustRightInd w:val="0"/>
              <w:snapToGrid w:val="0"/>
              <w:spacing w:line="240" w:lineRule="auto"/>
              <w:ind w:left="0"/>
              <w:jc w:val="left"/>
              <w:textAlignment w:val="bottom"/>
              <w:rPr>
                <w:rFonts w:hint="eastAsia" w:ascii="仿宋" w:hAnsi="仿宋" w:eastAsia="仿宋" w:cs="仿宋"/>
                <w:color w:val="000000"/>
                <w:sz w:val="24"/>
                <w:szCs w:val="24"/>
              </w:rPr>
            </w:pPr>
            <w:r>
              <w:rPr>
                <w:rFonts w:hint="eastAsia" w:ascii="仿宋" w:hAnsi="仿宋" w:eastAsia="仿宋" w:cs="仿宋"/>
                <w:color w:val="000000"/>
                <w:sz w:val="24"/>
                <w:szCs w:val="24"/>
              </w:rPr>
              <w:t>第九章 钢琴教学中对演奏技术的训练</w:t>
            </w:r>
          </w:p>
          <w:p w14:paraId="1496661A">
            <w:pPr>
              <w:keepNext w:val="0"/>
              <w:keepLines w:val="0"/>
              <w:pageBreakBefore w:val="0"/>
              <w:widowControl/>
              <w:kinsoku/>
              <w:wordWrap/>
              <w:overflowPunct/>
              <w:topLinePunct w:val="0"/>
              <w:autoSpaceDE w:val="0"/>
              <w:autoSpaceDN w:val="0"/>
              <w:bidi w:val="0"/>
              <w:adjustRightInd w:val="0"/>
              <w:snapToGrid w:val="0"/>
              <w:spacing w:line="240" w:lineRule="auto"/>
              <w:ind w:left="0"/>
              <w:jc w:val="left"/>
              <w:textAlignment w:val="bottom"/>
              <w:rPr>
                <w:rFonts w:hint="eastAsia" w:ascii="仿宋" w:hAnsi="仿宋" w:eastAsia="仿宋" w:cs="仿宋"/>
                <w:color w:val="000000"/>
                <w:sz w:val="24"/>
                <w:szCs w:val="24"/>
              </w:rPr>
            </w:pPr>
            <w:r>
              <w:rPr>
                <w:rFonts w:hint="eastAsia" w:ascii="仿宋" w:hAnsi="仿宋" w:eastAsia="仿宋" w:cs="仿宋"/>
                <w:color w:val="000000"/>
                <w:sz w:val="24"/>
                <w:szCs w:val="24"/>
              </w:rPr>
              <w:t>第十章 钢琴声学与钢琴触键</w:t>
            </w: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5817F810">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ottom"/>
              <w:rPr>
                <w:rFonts w:ascii="仿宋" w:eastAsia="仿宋" w:cs="仿宋"/>
                <w:bCs/>
                <w:sz w:val="24"/>
                <w:szCs w:val="24"/>
              </w:rPr>
            </w:pPr>
            <w:r>
              <w:rPr>
                <w:rFonts w:hint="eastAsia" w:ascii="仿宋" w:eastAsia="仿宋" w:cs="仿宋"/>
                <w:bCs/>
                <w:sz w:val="24"/>
                <w:szCs w:val="24"/>
                <w:lang w:val="en-US" w:eastAsia="zh-CN"/>
              </w:rPr>
              <w:t>课程目标1、2、3</w:t>
            </w:r>
          </w:p>
        </w:tc>
        <w:tc>
          <w:tcPr>
            <w:tcW w:w="899" w:type="dxa"/>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252EBC25">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ottom"/>
              <w:rPr>
                <w:rFonts w:ascii="仿宋" w:eastAsia="仿宋" w:cs="仿宋"/>
                <w:bCs/>
                <w:sz w:val="24"/>
                <w:szCs w:val="24"/>
              </w:rPr>
            </w:pPr>
          </w:p>
        </w:tc>
      </w:tr>
      <w:tr w14:paraId="55731FB5">
        <w:trPr>
          <w:trHeight w:val="454" w:hRule="atLeast"/>
        </w:trPr>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D123CE">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left"/>
              <w:textAlignment w:val="bottom"/>
            </w:pPr>
          </w:p>
        </w:tc>
        <w:tc>
          <w:tcPr>
            <w:tcW w:w="6272"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28023859">
            <w:pPr>
              <w:keepNext w:val="0"/>
              <w:keepLines w:val="0"/>
              <w:pageBreakBefore w:val="0"/>
              <w:widowControl/>
              <w:kinsoku/>
              <w:wordWrap/>
              <w:overflowPunct/>
              <w:topLinePunct w:val="0"/>
              <w:autoSpaceDE w:val="0"/>
              <w:autoSpaceDN w:val="0"/>
              <w:bidi w:val="0"/>
              <w:adjustRightInd w:val="0"/>
              <w:snapToGrid w:val="0"/>
              <w:spacing w:line="240" w:lineRule="auto"/>
              <w:ind w:left="0"/>
              <w:jc w:val="left"/>
              <w:textAlignment w:val="bottom"/>
              <w:rPr>
                <w:rFonts w:hint="eastAsia" w:ascii="仿宋" w:hAnsi="仿宋" w:eastAsia="仿宋" w:cs="仿宋"/>
                <w:color w:val="000000"/>
                <w:sz w:val="24"/>
                <w:szCs w:val="24"/>
              </w:rPr>
            </w:pPr>
            <w:r>
              <w:rPr>
                <w:rFonts w:hint="eastAsia" w:ascii="仿宋" w:hAnsi="仿宋" w:eastAsia="仿宋" w:cs="仿宋"/>
                <w:color w:val="000000"/>
                <w:sz w:val="24"/>
                <w:szCs w:val="24"/>
              </w:rPr>
              <w:t>第十</w:t>
            </w:r>
            <w:r>
              <w:rPr>
                <w:rFonts w:hint="eastAsia" w:ascii="仿宋" w:hAnsi="仿宋" w:eastAsia="仿宋" w:cs="仿宋"/>
                <w:color w:val="000000"/>
                <w:sz w:val="24"/>
                <w:szCs w:val="24"/>
                <w:lang w:val="en-US" w:eastAsia="zh-CN"/>
              </w:rPr>
              <w:t>一</w:t>
            </w:r>
            <w:r>
              <w:rPr>
                <w:rFonts w:hint="eastAsia" w:ascii="仿宋" w:hAnsi="仿宋" w:eastAsia="仿宋" w:cs="仿宋"/>
                <w:color w:val="000000"/>
                <w:sz w:val="24"/>
                <w:szCs w:val="24"/>
              </w:rPr>
              <w:t>章</w:t>
            </w:r>
            <w:r>
              <w:rPr>
                <w:rFonts w:hint="eastAsia" w:ascii="仿宋" w:hAnsi="仿宋" w:eastAsia="仿宋" w:cs="仿宋"/>
                <w:color w:val="000000"/>
                <w:sz w:val="24"/>
                <w:szCs w:val="24"/>
                <w:lang w:val="en-US" w:eastAsia="zh-CN"/>
              </w:rPr>
              <w:t xml:space="preserve"> </w:t>
            </w:r>
            <w:r>
              <w:rPr>
                <w:rFonts w:hint="eastAsia" w:ascii="仿宋" w:hAnsi="仿宋" w:eastAsia="仿宋" w:cs="仿宋"/>
                <w:color w:val="000000"/>
                <w:sz w:val="24"/>
                <w:szCs w:val="24"/>
              </w:rPr>
              <w:t>速度与节奏</w:t>
            </w:r>
          </w:p>
          <w:p w14:paraId="50E54A7B">
            <w:pPr>
              <w:keepNext w:val="0"/>
              <w:keepLines w:val="0"/>
              <w:pageBreakBefore w:val="0"/>
              <w:widowControl/>
              <w:kinsoku/>
              <w:wordWrap/>
              <w:overflowPunct/>
              <w:topLinePunct w:val="0"/>
              <w:autoSpaceDE w:val="0"/>
              <w:autoSpaceDN w:val="0"/>
              <w:bidi w:val="0"/>
              <w:adjustRightInd w:val="0"/>
              <w:snapToGrid w:val="0"/>
              <w:spacing w:line="240" w:lineRule="auto"/>
              <w:ind w:left="0"/>
              <w:jc w:val="left"/>
              <w:textAlignment w:val="bottom"/>
              <w:rPr>
                <w:rFonts w:hint="eastAsia" w:ascii="仿宋" w:hAnsi="仿宋" w:eastAsia="仿宋" w:cs="仿宋"/>
                <w:color w:val="000000"/>
                <w:sz w:val="24"/>
                <w:szCs w:val="24"/>
              </w:rPr>
            </w:pP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36BC08CD">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ottom"/>
              <w:rPr>
                <w:rFonts w:ascii="仿宋" w:eastAsia="仿宋" w:cs="仿宋"/>
                <w:bCs/>
                <w:sz w:val="24"/>
                <w:szCs w:val="24"/>
              </w:rPr>
            </w:pPr>
            <w:r>
              <w:rPr>
                <w:rFonts w:hint="eastAsia" w:ascii="仿宋" w:eastAsia="仿宋" w:cs="仿宋"/>
                <w:bCs/>
                <w:sz w:val="24"/>
                <w:szCs w:val="24"/>
                <w:lang w:val="en-US" w:eastAsia="zh-CN"/>
              </w:rPr>
              <w:t>课程目标1、2、3</w:t>
            </w:r>
          </w:p>
        </w:tc>
        <w:tc>
          <w:tcPr>
            <w:tcW w:w="899" w:type="dxa"/>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2B074014">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ottom"/>
              <w:rPr>
                <w:rFonts w:ascii="仿宋" w:eastAsia="仿宋" w:cs="仿宋"/>
                <w:bCs/>
                <w:sz w:val="24"/>
                <w:szCs w:val="24"/>
              </w:rPr>
            </w:pPr>
          </w:p>
        </w:tc>
      </w:tr>
      <w:tr w14:paraId="6DCE9F82">
        <w:trPr>
          <w:trHeight w:val="728" w:hRule="atLeast"/>
        </w:trPr>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831295">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left"/>
              <w:textAlignment w:val="bottom"/>
            </w:pPr>
          </w:p>
        </w:tc>
        <w:tc>
          <w:tcPr>
            <w:tcW w:w="6272"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065AFB03">
            <w:pPr>
              <w:keepNext w:val="0"/>
              <w:keepLines w:val="0"/>
              <w:pageBreakBefore w:val="0"/>
              <w:widowControl/>
              <w:kinsoku/>
              <w:wordWrap/>
              <w:overflowPunct/>
              <w:topLinePunct w:val="0"/>
              <w:autoSpaceDE w:val="0"/>
              <w:autoSpaceDN w:val="0"/>
              <w:bidi w:val="0"/>
              <w:adjustRightInd w:val="0"/>
              <w:snapToGrid w:val="0"/>
              <w:spacing w:line="240" w:lineRule="auto"/>
              <w:ind w:left="0"/>
              <w:jc w:val="left"/>
              <w:textAlignment w:val="bottom"/>
              <w:rPr>
                <w:rFonts w:hint="eastAsia" w:ascii="仿宋" w:hAnsi="仿宋" w:eastAsia="仿宋" w:cs="仿宋"/>
                <w:color w:val="000000"/>
                <w:sz w:val="24"/>
                <w:szCs w:val="24"/>
              </w:rPr>
            </w:pPr>
            <w:r>
              <w:rPr>
                <w:rFonts w:hint="eastAsia" w:ascii="仿宋" w:hAnsi="仿宋" w:eastAsia="仿宋" w:cs="仿宋"/>
                <w:color w:val="000000"/>
                <w:sz w:val="24"/>
                <w:szCs w:val="24"/>
              </w:rPr>
              <w:t>第十</w:t>
            </w:r>
            <w:r>
              <w:rPr>
                <w:rFonts w:hint="eastAsia" w:ascii="仿宋" w:hAnsi="仿宋" w:eastAsia="仿宋" w:cs="仿宋"/>
                <w:color w:val="000000"/>
                <w:sz w:val="24"/>
                <w:szCs w:val="24"/>
                <w:lang w:val="en-US" w:eastAsia="zh-CN"/>
              </w:rPr>
              <w:t>二</w:t>
            </w:r>
            <w:r>
              <w:rPr>
                <w:rFonts w:hint="eastAsia" w:ascii="仿宋" w:hAnsi="仿宋" w:eastAsia="仿宋" w:cs="仿宋"/>
                <w:color w:val="000000"/>
                <w:sz w:val="24"/>
                <w:szCs w:val="24"/>
              </w:rPr>
              <w:t>章</w:t>
            </w:r>
            <w:r>
              <w:rPr>
                <w:rFonts w:hint="eastAsia" w:ascii="仿宋" w:hAnsi="仿宋" w:eastAsia="仿宋" w:cs="仿宋"/>
                <w:color w:val="000000"/>
                <w:sz w:val="24"/>
                <w:szCs w:val="24"/>
                <w:lang w:val="en-US" w:eastAsia="zh-CN"/>
              </w:rPr>
              <w:t xml:space="preserve"> </w:t>
            </w:r>
            <w:r>
              <w:rPr>
                <w:rFonts w:hint="eastAsia" w:ascii="仿宋" w:hAnsi="仿宋" w:eastAsia="仿宋" w:cs="仿宋"/>
                <w:color w:val="000000"/>
                <w:sz w:val="24"/>
                <w:szCs w:val="24"/>
              </w:rPr>
              <w:t>装饰音的风格</w:t>
            </w:r>
          </w:p>
          <w:p w14:paraId="403B9185">
            <w:pPr>
              <w:keepNext w:val="0"/>
              <w:keepLines w:val="0"/>
              <w:pageBreakBefore w:val="0"/>
              <w:widowControl/>
              <w:kinsoku/>
              <w:wordWrap/>
              <w:overflowPunct/>
              <w:topLinePunct w:val="0"/>
              <w:autoSpaceDE w:val="0"/>
              <w:autoSpaceDN w:val="0"/>
              <w:bidi w:val="0"/>
              <w:adjustRightInd w:val="0"/>
              <w:snapToGrid w:val="0"/>
              <w:spacing w:line="240" w:lineRule="auto"/>
              <w:ind w:left="0"/>
              <w:jc w:val="left"/>
              <w:textAlignment w:val="bottom"/>
              <w:rPr>
                <w:rFonts w:hint="eastAsia" w:ascii="仿宋" w:hAnsi="仿宋" w:eastAsia="仿宋" w:cs="仿宋"/>
                <w:color w:val="000000"/>
                <w:sz w:val="24"/>
                <w:szCs w:val="24"/>
              </w:rPr>
            </w:pP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44C59FC8">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ottom"/>
              <w:rPr>
                <w:rFonts w:ascii="仿宋" w:eastAsia="仿宋" w:cs="仿宋"/>
                <w:bCs/>
                <w:sz w:val="24"/>
                <w:szCs w:val="24"/>
              </w:rPr>
            </w:pPr>
            <w:r>
              <w:rPr>
                <w:rFonts w:hint="eastAsia" w:ascii="仿宋" w:eastAsia="仿宋" w:cs="仿宋"/>
                <w:bCs/>
                <w:sz w:val="24"/>
                <w:szCs w:val="24"/>
                <w:lang w:val="en-US" w:eastAsia="zh-CN"/>
              </w:rPr>
              <w:t>课程目标1、2、3</w:t>
            </w:r>
          </w:p>
        </w:tc>
        <w:tc>
          <w:tcPr>
            <w:tcW w:w="899" w:type="dxa"/>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347905AA">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ottom"/>
              <w:rPr>
                <w:rFonts w:ascii="仿宋" w:eastAsia="仿宋" w:cs="仿宋"/>
                <w:bCs/>
                <w:sz w:val="24"/>
                <w:szCs w:val="24"/>
              </w:rPr>
            </w:pPr>
          </w:p>
        </w:tc>
      </w:tr>
      <w:tr w14:paraId="681BF221">
        <w:trPr>
          <w:trHeight w:val="466" w:hRule="atLeast"/>
        </w:trPr>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3EC02D">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left"/>
              <w:textAlignment w:val="bottom"/>
            </w:pPr>
          </w:p>
        </w:tc>
        <w:tc>
          <w:tcPr>
            <w:tcW w:w="6272"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11BA562A">
            <w:pPr>
              <w:keepNext w:val="0"/>
              <w:keepLines w:val="0"/>
              <w:pageBreakBefore w:val="0"/>
              <w:widowControl/>
              <w:kinsoku/>
              <w:wordWrap/>
              <w:overflowPunct/>
              <w:topLinePunct w:val="0"/>
              <w:autoSpaceDE w:val="0"/>
              <w:autoSpaceDN w:val="0"/>
              <w:bidi w:val="0"/>
              <w:adjustRightInd w:val="0"/>
              <w:snapToGrid w:val="0"/>
              <w:spacing w:line="240" w:lineRule="auto"/>
              <w:ind w:left="0"/>
              <w:jc w:val="left"/>
              <w:textAlignment w:val="bottom"/>
              <w:rPr>
                <w:rFonts w:hint="eastAsia" w:ascii="仿宋" w:hAnsi="仿宋" w:eastAsia="仿宋" w:cs="仿宋"/>
                <w:color w:val="000000"/>
                <w:sz w:val="24"/>
                <w:szCs w:val="24"/>
              </w:rPr>
            </w:pPr>
            <w:r>
              <w:rPr>
                <w:rFonts w:hint="eastAsia" w:ascii="仿宋" w:hAnsi="仿宋" w:eastAsia="仿宋" w:cs="仿宋"/>
                <w:color w:val="000000"/>
                <w:sz w:val="24"/>
                <w:szCs w:val="24"/>
              </w:rPr>
              <w:t>第十三章 踏板的运用</w:t>
            </w:r>
          </w:p>
          <w:p w14:paraId="4D59634C">
            <w:pPr>
              <w:keepNext w:val="0"/>
              <w:keepLines w:val="0"/>
              <w:pageBreakBefore w:val="0"/>
              <w:widowControl/>
              <w:kinsoku/>
              <w:wordWrap/>
              <w:overflowPunct/>
              <w:topLinePunct w:val="0"/>
              <w:autoSpaceDE w:val="0"/>
              <w:autoSpaceDN w:val="0"/>
              <w:bidi w:val="0"/>
              <w:adjustRightInd w:val="0"/>
              <w:snapToGrid w:val="0"/>
              <w:spacing w:line="240" w:lineRule="auto"/>
              <w:ind w:left="0"/>
              <w:jc w:val="left"/>
              <w:textAlignment w:val="bottom"/>
              <w:rPr>
                <w:rFonts w:hint="eastAsia" w:ascii="仿宋" w:hAnsi="仿宋" w:eastAsia="仿宋" w:cs="仿宋"/>
                <w:color w:val="000000"/>
                <w:sz w:val="24"/>
                <w:szCs w:val="24"/>
              </w:rPr>
            </w:pP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289FDB36">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ottom"/>
              <w:rPr>
                <w:rFonts w:ascii="仿宋" w:eastAsia="仿宋" w:cs="仿宋"/>
                <w:bCs/>
                <w:sz w:val="24"/>
                <w:szCs w:val="24"/>
              </w:rPr>
            </w:pPr>
            <w:r>
              <w:rPr>
                <w:rFonts w:hint="eastAsia" w:ascii="仿宋" w:eastAsia="仿宋" w:cs="仿宋"/>
                <w:bCs/>
                <w:sz w:val="24"/>
                <w:szCs w:val="24"/>
                <w:lang w:val="en-US" w:eastAsia="zh-CN"/>
              </w:rPr>
              <w:t>课程目标1、2、3</w:t>
            </w:r>
          </w:p>
        </w:tc>
        <w:tc>
          <w:tcPr>
            <w:tcW w:w="899" w:type="dxa"/>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100C6B90">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ottom"/>
              <w:rPr>
                <w:rFonts w:ascii="仿宋" w:eastAsia="仿宋" w:cs="仿宋"/>
                <w:bCs/>
                <w:sz w:val="24"/>
                <w:szCs w:val="24"/>
              </w:rPr>
            </w:pPr>
          </w:p>
        </w:tc>
      </w:tr>
      <w:tr w14:paraId="6A920F59">
        <w:trPr>
          <w:trHeight w:val="454" w:hRule="atLeast"/>
        </w:trPr>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C5D461">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left"/>
              <w:textAlignment w:val="bottom"/>
            </w:pPr>
          </w:p>
        </w:tc>
        <w:tc>
          <w:tcPr>
            <w:tcW w:w="6272"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769FF655">
            <w:pPr>
              <w:keepNext w:val="0"/>
              <w:keepLines w:val="0"/>
              <w:pageBreakBefore w:val="0"/>
              <w:widowControl/>
              <w:kinsoku/>
              <w:wordWrap/>
              <w:overflowPunct/>
              <w:topLinePunct w:val="0"/>
              <w:autoSpaceDE w:val="0"/>
              <w:autoSpaceDN w:val="0"/>
              <w:bidi w:val="0"/>
              <w:adjustRightInd w:val="0"/>
              <w:snapToGrid w:val="0"/>
              <w:spacing w:line="240" w:lineRule="auto"/>
              <w:ind w:left="0"/>
              <w:jc w:val="left"/>
              <w:textAlignment w:val="bottom"/>
              <w:rPr>
                <w:rFonts w:hint="eastAsia" w:ascii="仿宋" w:hAnsi="仿宋" w:eastAsia="仿宋" w:cs="仿宋"/>
                <w:color w:val="000000"/>
                <w:sz w:val="24"/>
                <w:szCs w:val="24"/>
              </w:rPr>
            </w:pPr>
            <w:r>
              <w:rPr>
                <w:rFonts w:hint="eastAsia" w:ascii="仿宋" w:hAnsi="仿宋" w:eastAsia="仿宋" w:cs="仿宋"/>
                <w:color w:val="000000"/>
                <w:sz w:val="24"/>
                <w:szCs w:val="24"/>
              </w:rPr>
              <w:t>第十四章 作品的指导与独立处理</w:t>
            </w: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201B8FAA">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ottom"/>
              <w:rPr>
                <w:rFonts w:hint="eastAsia" w:ascii="仿宋" w:hAnsi="仿宋" w:eastAsia="仿宋" w:cs="仿宋"/>
                <w:color w:val="000000"/>
                <w:sz w:val="24"/>
                <w:szCs w:val="24"/>
              </w:rPr>
            </w:pPr>
            <w:r>
              <w:rPr>
                <w:rFonts w:hint="eastAsia" w:ascii="仿宋" w:eastAsia="仿宋" w:cs="仿宋"/>
                <w:bCs/>
                <w:sz w:val="24"/>
                <w:szCs w:val="24"/>
                <w:lang w:val="en-US" w:eastAsia="zh-CN"/>
              </w:rPr>
              <w:t>课程目标1、2、3</w:t>
            </w:r>
          </w:p>
        </w:tc>
        <w:tc>
          <w:tcPr>
            <w:tcW w:w="899" w:type="dxa"/>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49793B23">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ottom"/>
              <w:rPr>
                <w:rFonts w:hint="eastAsia" w:ascii="仿宋" w:hAnsi="仿宋" w:eastAsia="仿宋" w:cs="仿宋"/>
                <w:color w:val="000000"/>
                <w:sz w:val="24"/>
                <w:szCs w:val="24"/>
                <w:lang w:eastAsia="zh-CN" w:bidi="ar-SA"/>
              </w:rPr>
            </w:pPr>
          </w:p>
        </w:tc>
      </w:tr>
      <w:tr w14:paraId="6AE29119">
        <w:trPr>
          <w:trHeight w:val="454" w:hRule="atLeast"/>
        </w:trPr>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BB07E1">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left"/>
              <w:textAlignment w:val="bottom"/>
            </w:pPr>
          </w:p>
        </w:tc>
        <w:tc>
          <w:tcPr>
            <w:tcW w:w="6272"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5F56C58A">
            <w:pPr>
              <w:keepNext w:val="0"/>
              <w:keepLines w:val="0"/>
              <w:pageBreakBefore w:val="0"/>
              <w:widowControl/>
              <w:kinsoku/>
              <w:wordWrap/>
              <w:overflowPunct/>
              <w:topLinePunct w:val="0"/>
              <w:autoSpaceDE w:val="0"/>
              <w:autoSpaceDN w:val="0"/>
              <w:bidi w:val="0"/>
              <w:adjustRightInd w:val="0"/>
              <w:snapToGrid w:val="0"/>
              <w:spacing w:line="240" w:lineRule="auto"/>
              <w:ind w:left="0"/>
              <w:jc w:val="left"/>
              <w:textAlignment w:val="bottom"/>
              <w:rPr>
                <w:rFonts w:hint="eastAsia" w:ascii="仿宋" w:hAnsi="仿宋" w:eastAsia="仿宋" w:cs="仿宋"/>
                <w:color w:val="000000"/>
                <w:sz w:val="24"/>
                <w:szCs w:val="24"/>
              </w:rPr>
            </w:pPr>
            <w:r>
              <w:rPr>
                <w:rFonts w:hint="eastAsia" w:ascii="仿宋" w:hAnsi="仿宋" w:eastAsia="仿宋" w:cs="仿宋"/>
                <w:color w:val="000000"/>
                <w:sz w:val="24"/>
                <w:szCs w:val="24"/>
              </w:rPr>
              <w:t>第十五章 钢琴练习曲的教学</w:t>
            </w: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4CE9888B">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ottom"/>
              <w:rPr>
                <w:rFonts w:hint="eastAsia" w:ascii="仿宋" w:hAnsi="仿宋" w:eastAsia="仿宋" w:cs="仿宋"/>
                <w:color w:val="000000"/>
                <w:sz w:val="24"/>
                <w:szCs w:val="24"/>
              </w:rPr>
            </w:pPr>
            <w:r>
              <w:rPr>
                <w:rFonts w:hint="eastAsia" w:ascii="仿宋" w:eastAsia="仿宋" w:cs="仿宋"/>
                <w:bCs/>
                <w:sz w:val="24"/>
                <w:szCs w:val="24"/>
                <w:lang w:val="en-US" w:eastAsia="zh-CN"/>
              </w:rPr>
              <w:t>课程目标1、2、3</w:t>
            </w:r>
          </w:p>
        </w:tc>
        <w:tc>
          <w:tcPr>
            <w:tcW w:w="899" w:type="dxa"/>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00735311">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ottom"/>
              <w:rPr>
                <w:rFonts w:hint="eastAsia" w:ascii="仿宋" w:hAnsi="仿宋" w:eastAsia="仿宋" w:cs="仿宋"/>
                <w:color w:val="000000"/>
                <w:sz w:val="24"/>
                <w:szCs w:val="24"/>
                <w:lang w:eastAsia="zh-CN" w:bidi="ar-SA"/>
              </w:rPr>
            </w:pPr>
          </w:p>
        </w:tc>
      </w:tr>
      <w:tr w14:paraId="35AA9BE4">
        <w:trPr>
          <w:trHeight w:val="454" w:hRule="atLeast"/>
        </w:trPr>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7FC02B">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left"/>
              <w:textAlignment w:val="bottom"/>
            </w:pPr>
          </w:p>
        </w:tc>
        <w:tc>
          <w:tcPr>
            <w:tcW w:w="6272"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7DA6D4D0">
            <w:pPr>
              <w:keepNext w:val="0"/>
              <w:keepLines w:val="0"/>
              <w:pageBreakBefore w:val="0"/>
              <w:widowControl/>
              <w:kinsoku/>
              <w:wordWrap/>
              <w:overflowPunct/>
              <w:topLinePunct w:val="0"/>
              <w:autoSpaceDE w:val="0"/>
              <w:autoSpaceDN w:val="0"/>
              <w:bidi w:val="0"/>
              <w:adjustRightInd w:val="0"/>
              <w:snapToGrid w:val="0"/>
              <w:spacing w:line="240" w:lineRule="auto"/>
              <w:ind w:left="0"/>
              <w:jc w:val="left"/>
              <w:textAlignment w:val="bottom"/>
              <w:rPr>
                <w:rFonts w:hint="eastAsia" w:ascii="仿宋" w:hAnsi="仿宋" w:eastAsia="仿宋" w:cs="仿宋"/>
                <w:color w:val="000000"/>
                <w:sz w:val="24"/>
                <w:szCs w:val="24"/>
              </w:rPr>
            </w:pPr>
            <w:r>
              <w:rPr>
                <w:rFonts w:hint="eastAsia" w:ascii="仿宋" w:hAnsi="仿宋" w:eastAsia="仿宋" w:cs="仿宋"/>
                <w:color w:val="000000"/>
                <w:sz w:val="24"/>
                <w:szCs w:val="24"/>
              </w:rPr>
              <w:t>第十六章 钢琴复调作品的教学</w:t>
            </w: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36FED222">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ottom"/>
              <w:rPr>
                <w:rFonts w:hint="eastAsia" w:ascii="仿宋" w:hAnsi="仿宋" w:eastAsia="仿宋" w:cs="仿宋"/>
                <w:color w:val="000000"/>
                <w:sz w:val="24"/>
                <w:szCs w:val="24"/>
              </w:rPr>
            </w:pPr>
            <w:r>
              <w:rPr>
                <w:rFonts w:hint="eastAsia" w:ascii="仿宋" w:eastAsia="仿宋" w:cs="仿宋"/>
                <w:bCs/>
                <w:sz w:val="24"/>
                <w:szCs w:val="24"/>
                <w:lang w:val="en-US" w:eastAsia="zh-CN"/>
              </w:rPr>
              <w:t>课程目标1、2、3</w:t>
            </w:r>
          </w:p>
        </w:tc>
        <w:tc>
          <w:tcPr>
            <w:tcW w:w="899" w:type="dxa"/>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2873D340">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ottom"/>
              <w:rPr>
                <w:rFonts w:hint="eastAsia" w:ascii="仿宋" w:hAnsi="仿宋" w:eastAsia="仿宋" w:cs="仿宋"/>
                <w:color w:val="000000"/>
                <w:sz w:val="24"/>
                <w:szCs w:val="24"/>
                <w:lang w:eastAsia="zh-CN" w:bidi="ar-SA"/>
              </w:rPr>
            </w:pPr>
          </w:p>
        </w:tc>
      </w:tr>
      <w:tr w14:paraId="4BA711EA">
        <w:trPr>
          <w:trHeight w:val="454" w:hRule="atLeast"/>
        </w:trPr>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50225D">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left"/>
              <w:textAlignment w:val="bottom"/>
            </w:pPr>
          </w:p>
        </w:tc>
        <w:tc>
          <w:tcPr>
            <w:tcW w:w="6272"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200059DA">
            <w:pPr>
              <w:keepNext w:val="0"/>
              <w:keepLines w:val="0"/>
              <w:pageBreakBefore w:val="0"/>
              <w:widowControl/>
              <w:kinsoku/>
              <w:wordWrap/>
              <w:overflowPunct/>
              <w:topLinePunct w:val="0"/>
              <w:autoSpaceDE w:val="0"/>
              <w:autoSpaceDN w:val="0"/>
              <w:bidi w:val="0"/>
              <w:adjustRightInd w:val="0"/>
              <w:snapToGrid w:val="0"/>
              <w:spacing w:line="240" w:lineRule="auto"/>
              <w:ind w:left="0"/>
              <w:jc w:val="left"/>
              <w:textAlignment w:val="bottom"/>
              <w:rPr>
                <w:rFonts w:hint="eastAsia" w:ascii="仿宋" w:hAnsi="仿宋" w:eastAsia="仿宋" w:cs="仿宋"/>
                <w:color w:val="000000"/>
                <w:sz w:val="24"/>
                <w:szCs w:val="24"/>
              </w:rPr>
            </w:pPr>
            <w:r>
              <w:rPr>
                <w:rFonts w:hint="eastAsia" w:ascii="仿宋" w:hAnsi="仿宋" w:eastAsia="仿宋" w:cs="仿宋"/>
                <w:color w:val="000000"/>
                <w:sz w:val="24"/>
                <w:szCs w:val="24"/>
              </w:rPr>
              <w:t>第十七章 大型钢琴作品的教学</w:t>
            </w: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0D62E60A">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ottom"/>
              <w:rPr>
                <w:rFonts w:hint="eastAsia" w:ascii="仿宋" w:hAnsi="仿宋" w:eastAsia="仿宋" w:cs="仿宋"/>
                <w:color w:val="000000"/>
                <w:sz w:val="24"/>
                <w:szCs w:val="24"/>
              </w:rPr>
            </w:pPr>
            <w:r>
              <w:rPr>
                <w:rFonts w:hint="eastAsia" w:ascii="仿宋" w:eastAsia="仿宋" w:cs="仿宋"/>
                <w:bCs/>
                <w:sz w:val="24"/>
                <w:szCs w:val="24"/>
                <w:lang w:val="en-US" w:eastAsia="zh-CN"/>
              </w:rPr>
              <w:t>课程目标1、2、3</w:t>
            </w:r>
          </w:p>
        </w:tc>
        <w:tc>
          <w:tcPr>
            <w:tcW w:w="899" w:type="dxa"/>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7FFC2980">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ottom"/>
              <w:rPr>
                <w:rFonts w:hint="eastAsia" w:ascii="仿宋" w:hAnsi="仿宋" w:eastAsia="仿宋" w:cs="仿宋"/>
                <w:color w:val="000000"/>
                <w:sz w:val="24"/>
                <w:szCs w:val="24"/>
                <w:lang w:eastAsia="zh-CN" w:bidi="ar-SA"/>
              </w:rPr>
            </w:pPr>
          </w:p>
        </w:tc>
      </w:tr>
      <w:tr w14:paraId="364CF35B">
        <w:trPr>
          <w:trHeight w:val="454" w:hRule="atLeast"/>
        </w:trPr>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FCBD83">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left"/>
              <w:textAlignment w:val="bottom"/>
            </w:pPr>
          </w:p>
        </w:tc>
        <w:tc>
          <w:tcPr>
            <w:tcW w:w="6272"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4723923F">
            <w:pPr>
              <w:keepNext w:val="0"/>
              <w:keepLines w:val="0"/>
              <w:pageBreakBefore w:val="0"/>
              <w:widowControl/>
              <w:kinsoku/>
              <w:wordWrap/>
              <w:overflowPunct/>
              <w:topLinePunct w:val="0"/>
              <w:autoSpaceDE w:val="0"/>
              <w:autoSpaceDN w:val="0"/>
              <w:bidi w:val="0"/>
              <w:adjustRightInd w:val="0"/>
              <w:snapToGrid w:val="0"/>
              <w:spacing w:line="240" w:lineRule="auto"/>
              <w:ind w:left="0"/>
              <w:jc w:val="left"/>
              <w:textAlignment w:val="bottom"/>
              <w:rPr>
                <w:rFonts w:hint="eastAsia" w:ascii="仿宋" w:hAnsi="仿宋" w:eastAsia="仿宋" w:cs="仿宋"/>
                <w:color w:val="000000"/>
                <w:sz w:val="24"/>
                <w:szCs w:val="24"/>
              </w:rPr>
            </w:pPr>
            <w:r>
              <w:rPr>
                <w:rFonts w:hint="eastAsia" w:ascii="仿宋" w:hAnsi="仿宋" w:eastAsia="仿宋" w:cs="仿宋"/>
                <w:color w:val="000000"/>
                <w:sz w:val="24"/>
                <w:szCs w:val="24"/>
              </w:rPr>
              <w:t>第十八章 中国钢琴作品的教学</w:t>
            </w: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55B6E7D7">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ottom"/>
              <w:rPr>
                <w:rFonts w:hint="eastAsia" w:ascii="仿宋" w:hAnsi="仿宋" w:eastAsia="仿宋" w:cs="仿宋"/>
                <w:color w:val="000000"/>
                <w:sz w:val="24"/>
                <w:szCs w:val="24"/>
              </w:rPr>
            </w:pPr>
            <w:r>
              <w:rPr>
                <w:rFonts w:hint="eastAsia" w:ascii="仿宋" w:eastAsia="仿宋" w:cs="仿宋"/>
                <w:bCs/>
                <w:sz w:val="24"/>
                <w:szCs w:val="24"/>
                <w:lang w:val="en-US" w:eastAsia="zh-CN"/>
              </w:rPr>
              <w:t>课程目标1、2、3</w:t>
            </w:r>
          </w:p>
        </w:tc>
        <w:tc>
          <w:tcPr>
            <w:tcW w:w="899" w:type="dxa"/>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7D0EB9D9">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ottom"/>
              <w:rPr>
                <w:rFonts w:hint="eastAsia" w:ascii="仿宋" w:hAnsi="仿宋" w:eastAsia="仿宋" w:cs="仿宋"/>
                <w:color w:val="000000"/>
                <w:sz w:val="24"/>
                <w:szCs w:val="24"/>
                <w:lang w:eastAsia="zh-CN" w:bidi="ar-SA"/>
              </w:rPr>
            </w:pPr>
          </w:p>
        </w:tc>
      </w:tr>
      <w:tr w14:paraId="582AEAF8">
        <w:trPr>
          <w:trHeight w:val="454" w:hRule="atLeast"/>
        </w:trPr>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EFC2CC">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left"/>
              <w:textAlignment w:val="bottom"/>
            </w:pPr>
          </w:p>
        </w:tc>
        <w:tc>
          <w:tcPr>
            <w:tcW w:w="6272"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002A5802">
            <w:pPr>
              <w:keepNext w:val="0"/>
              <w:keepLines w:val="0"/>
              <w:pageBreakBefore w:val="0"/>
              <w:widowControl/>
              <w:kinsoku/>
              <w:wordWrap/>
              <w:overflowPunct/>
              <w:topLinePunct w:val="0"/>
              <w:autoSpaceDE w:val="0"/>
              <w:autoSpaceDN w:val="0"/>
              <w:bidi w:val="0"/>
              <w:adjustRightInd w:val="0"/>
              <w:snapToGrid w:val="0"/>
              <w:spacing w:line="240" w:lineRule="auto"/>
              <w:ind w:left="0"/>
              <w:jc w:val="left"/>
              <w:textAlignment w:val="bottom"/>
              <w:rPr>
                <w:rFonts w:hint="eastAsia" w:ascii="仿宋" w:hAnsi="仿宋" w:eastAsia="仿宋" w:cs="仿宋"/>
                <w:color w:val="000000"/>
                <w:sz w:val="24"/>
                <w:szCs w:val="24"/>
              </w:rPr>
            </w:pPr>
            <w:r>
              <w:rPr>
                <w:rFonts w:hint="eastAsia" w:ascii="仿宋" w:hAnsi="仿宋" w:eastAsia="仿宋" w:cs="仿宋"/>
                <w:color w:val="000000"/>
                <w:sz w:val="24"/>
                <w:szCs w:val="24"/>
              </w:rPr>
              <w:t>第十</w:t>
            </w:r>
            <w:r>
              <w:rPr>
                <w:rFonts w:hint="eastAsia" w:ascii="仿宋" w:hAnsi="仿宋" w:eastAsia="仿宋" w:cs="仿宋"/>
                <w:color w:val="000000"/>
                <w:sz w:val="24"/>
                <w:szCs w:val="24"/>
                <w:lang w:val="en-US" w:eastAsia="zh-CN"/>
              </w:rPr>
              <w:t>九</w:t>
            </w:r>
            <w:r>
              <w:rPr>
                <w:rFonts w:hint="eastAsia" w:ascii="仿宋" w:hAnsi="仿宋" w:eastAsia="仿宋" w:cs="仿宋"/>
                <w:color w:val="000000"/>
                <w:sz w:val="24"/>
                <w:szCs w:val="24"/>
              </w:rPr>
              <w:t>章钢琴教学与演奏中常见的误区与纠正方法</w:t>
            </w:r>
          </w:p>
          <w:p w14:paraId="0EB90B01">
            <w:pPr>
              <w:keepNext w:val="0"/>
              <w:keepLines w:val="0"/>
              <w:pageBreakBefore w:val="0"/>
              <w:widowControl/>
              <w:kinsoku/>
              <w:wordWrap/>
              <w:overflowPunct/>
              <w:topLinePunct w:val="0"/>
              <w:autoSpaceDE w:val="0"/>
              <w:autoSpaceDN w:val="0"/>
              <w:bidi w:val="0"/>
              <w:adjustRightInd w:val="0"/>
              <w:snapToGrid w:val="0"/>
              <w:spacing w:line="240" w:lineRule="auto"/>
              <w:ind w:left="0"/>
              <w:jc w:val="left"/>
              <w:textAlignment w:val="bottom"/>
              <w:rPr>
                <w:rFonts w:hint="eastAsia" w:ascii="仿宋" w:hAnsi="仿宋" w:eastAsia="仿宋" w:cs="仿宋"/>
                <w:color w:val="000000"/>
                <w:sz w:val="24"/>
                <w:szCs w:val="24"/>
              </w:rPr>
            </w:pPr>
            <w:r>
              <w:rPr>
                <w:rFonts w:hint="eastAsia" w:ascii="仿宋" w:hAnsi="仿宋" w:eastAsia="仿宋" w:cs="仿宋"/>
                <w:color w:val="000000"/>
                <w:sz w:val="24"/>
                <w:szCs w:val="24"/>
              </w:rPr>
              <w:t>第二十章</w:t>
            </w:r>
            <w:r>
              <w:rPr>
                <w:rFonts w:hint="eastAsia" w:ascii="仿宋" w:hAnsi="仿宋" w:eastAsia="仿宋" w:cs="仿宋"/>
                <w:color w:val="000000"/>
                <w:sz w:val="24"/>
                <w:szCs w:val="24"/>
                <w:lang w:val="en-US" w:eastAsia="zh-CN"/>
              </w:rPr>
              <w:t xml:space="preserve"> </w:t>
            </w:r>
            <w:r>
              <w:rPr>
                <w:rFonts w:hint="eastAsia" w:ascii="仿宋" w:hAnsi="仿宋" w:eastAsia="仿宋" w:cs="仿宋"/>
                <w:color w:val="000000"/>
                <w:sz w:val="24"/>
                <w:szCs w:val="24"/>
              </w:rPr>
              <w:t>钢琴教学与演奏中常见的运动创伤与防护</w:t>
            </w: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71A01968">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ottom"/>
              <w:rPr>
                <w:rFonts w:hint="eastAsia" w:ascii="仿宋" w:hAnsi="仿宋" w:eastAsia="仿宋" w:cs="仿宋"/>
                <w:color w:val="000000"/>
                <w:sz w:val="24"/>
                <w:szCs w:val="24"/>
              </w:rPr>
            </w:pPr>
            <w:r>
              <w:rPr>
                <w:rFonts w:hint="eastAsia" w:ascii="仿宋" w:eastAsia="仿宋" w:cs="仿宋"/>
                <w:bCs/>
                <w:sz w:val="24"/>
                <w:szCs w:val="24"/>
                <w:lang w:val="en-US" w:eastAsia="zh-CN"/>
              </w:rPr>
              <w:t>课程目标1、2、3</w:t>
            </w:r>
          </w:p>
        </w:tc>
        <w:tc>
          <w:tcPr>
            <w:tcW w:w="899" w:type="dxa"/>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5A58E03B">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ottom"/>
              <w:rPr>
                <w:rFonts w:hint="eastAsia" w:ascii="仿宋" w:hAnsi="仿宋" w:eastAsia="仿宋" w:cs="仿宋"/>
                <w:color w:val="000000"/>
                <w:sz w:val="24"/>
                <w:szCs w:val="24"/>
                <w:lang w:eastAsia="zh-CN" w:bidi="ar-SA"/>
              </w:rPr>
            </w:pPr>
          </w:p>
        </w:tc>
      </w:tr>
      <w:tr w14:paraId="3AEE830E">
        <w:trPr>
          <w:trHeight w:val="454" w:hRule="atLeast"/>
        </w:trPr>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F763B2">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left"/>
              <w:textAlignment w:val="bottom"/>
            </w:pPr>
          </w:p>
        </w:tc>
        <w:tc>
          <w:tcPr>
            <w:tcW w:w="6272"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5B53678B">
            <w:pPr>
              <w:keepNext w:val="0"/>
              <w:keepLines w:val="0"/>
              <w:pageBreakBefore w:val="0"/>
              <w:widowControl/>
              <w:kinsoku/>
              <w:wordWrap/>
              <w:overflowPunct/>
              <w:topLinePunct w:val="0"/>
              <w:autoSpaceDE w:val="0"/>
              <w:autoSpaceDN w:val="0"/>
              <w:bidi w:val="0"/>
              <w:adjustRightInd w:val="0"/>
              <w:snapToGrid w:val="0"/>
              <w:spacing w:line="240" w:lineRule="auto"/>
              <w:ind w:left="0"/>
              <w:jc w:val="left"/>
              <w:textAlignment w:val="bottom"/>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rPr>
              <w:t>第二十一章 钢琴演奏心理和演奏实践</w:t>
            </w: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22D26F36">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ottom"/>
              <w:rPr>
                <w:rFonts w:hint="eastAsia" w:ascii="仿宋" w:hAnsi="仿宋" w:eastAsia="仿宋" w:cs="仿宋"/>
                <w:color w:val="000000"/>
                <w:sz w:val="24"/>
                <w:szCs w:val="24"/>
              </w:rPr>
            </w:pPr>
            <w:r>
              <w:rPr>
                <w:rFonts w:hint="eastAsia" w:ascii="仿宋" w:eastAsia="仿宋" w:cs="仿宋"/>
                <w:bCs/>
                <w:sz w:val="24"/>
                <w:szCs w:val="24"/>
                <w:lang w:val="en-US" w:eastAsia="zh-CN"/>
              </w:rPr>
              <w:t>课程目标1、2、3</w:t>
            </w:r>
          </w:p>
        </w:tc>
        <w:tc>
          <w:tcPr>
            <w:tcW w:w="899" w:type="dxa"/>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797F66AD">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ottom"/>
              <w:rPr>
                <w:rFonts w:hint="eastAsia" w:ascii="仿宋" w:hAnsi="仿宋" w:eastAsia="仿宋" w:cs="仿宋"/>
                <w:color w:val="000000"/>
                <w:sz w:val="24"/>
                <w:szCs w:val="24"/>
                <w:lang w:eastAsia="zh-CN" w:bidi="ar-SA"/>
              </w:rPr>
            </w:pPr>
          </w:p>
        </w:tc>
      </w:tr>
      <w:tr w14:paraId="50D78A1C">
        <w:trPr>
          <w:trHeight w:val="454" w:hRule="atLeast"/>
        </w:trPr>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315917">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left"/>
              <w:textAlignment w:val="bottom"/>
            </w:pPr>
          </w:p>
        </w:tc>
        <w:tc>
          <w:tcPr>
            <w:tcW w:w="6272"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1343E676">
            <w:pPr>
              <w:keepNext w:val="0"/>
              <w:keepLines w:val="0"/>
              <w:pageBreakBefore w:val="0"/>
              <w:widowControl/>
              <w:kinsoku/>
              <w:wordWrap/>
              <w:overflowPunct/>
              <w:topLinePunct w:val="0"/>
              <w:autoSpaceDE w:val="0"/>
              <w:autoSpaceDN w:val="0"/>
              <w:bidi w:val="0"/>
              <w:adjustRightInd w:val="0"/>
              <w:snapToGrid w:val="0"/>
              <w:spacing w:line="240" w:lineRule="auto"/>
              <w:ind w:left="0"/>
              <w:jc w:val="left"/>
              <w:textAlignment w:val="bottom"/>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rPr>
              <w:t>第二十二章 钢琴教学评价</w:t>
            </w: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581F6A94">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ottom"/>
              <w:rPr>
                <w:rFonts w:hint="eastAsia" w:ascii="仿宋" w:hAnsi="仿宋" w:eastAsia="仿宋" w:cs="仿宋"/>
                <w:color w:val="000000"/>
                <w:sz w:val="24"/>
                <w:szCs w:val="24"/>
              </w:rPr>
            </w:pPr>
            <w:r>
              <w:rPr>
                <w:rFonts w:hint="eastAsia" w:ascii="仿宋" w:eastAsia="仿宋" w:cs="仿宋"/>
                <w:bCs/>
                <w:sz w:val="24"/>
                <w:szCs w:val="24"/>
                <w:lang w:val="en-US" w:eastAsia="zh-CN"/>
              </w:rPr>
              <w:t>课程目标1、2、3</w:t>
            </w:r>
          </w:p>
        </w:tc>
        <w:tc>
          <w:tcPr>
            <w:tcW w:w="899" w:type="dxa"/>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0F904740">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ottom"/>
              <w:rPr>
                <w:rFonts w:hint="eastAsia" w:ascii="仿宋" w:hAnsi="仿宋" w:eastAsia="仿宋" w:cs="仿宋"/>
                <w:color w:val="000000"/>
                <w:sz w:val="24"/>
                <w:szCs w:val="24"/>
                <w:lang w:eastAsia="zh-CN" w:bidi="ar-SA"/>
              </w:rPr>
            </w:pPr>
          </w:p>
        </w:tc>
      </w:tr>
      <w:tr w14:paraId="35596F2D">
        <w:trPr>
          <w:trHeight w:val="454" w:hRule="atLeast"/>
        </w:trPr>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752CB3">
            <w:pPr>
              <w:keepNext w:val="0"/>
              <w:keepLines w:val="0"/>
              <w:pageBreakBefore w:val="0"/>
              <w:kinsoku/>
              <w:wordWrap/>
              <w:overflowPunct/>
              <w:topLinePunct w:val="0"/>
              <w:bidi w:val="0"/>
              <w:adjustRightInd w:val="0"/>
              <w:snapToGrid w:val="0"/>
              <w:spacing w:line="240" w:lineRule="auto"/>
              <w:ind w:left="0" w:leftChars="0"/>
              <w:jc w:val="center"/>
            </w:pPr>
          </w:p>
        </w:tc>
        <w:tc>
          <w:tcPr>
            <w:tcW w:w="7497" w:type="dxa"/>
            <w:gridSpan w:val="1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BF56E3">
            <w:pPr>
              <w:keepNext w:val="0"/>
              <w:keepLines w:val="0"/>
              <w:pageBreakBefore w:val="0"/>
              <w:kinsoku/>
              <w:wordWrap/>
              <w:overflowPunct/>
              <w:topLinePunct w:val="0"/>
              <w:bidi w:val="0"/>
              <w:spacing w:line="240" w:lineRule="auto"/>
              <w:ind w:left="0" w:leftChars="0" w:hanging="2" w:firstLineChars="0"/>
              <w:jc w:val="center"/>
              <w:rPr>
                <w:rFonts w:ascii="仿宋" w:eastAsia="仿宋" w:cs="仿宋"/>
                <w:bCs/>
                <w:sz w:val="24"/>
                <w:szCs w:val="24"/>
              </w:rPr>
            </w:pPr>
            <w:r>
              <w:rPr>
                <w:rFonts w:hint="eastAsia" w:ascii="仿宋" w:hAnsi="仿宋" w:eastAsia="仿宋" w:cs="仿宋"/>
                <w:color w:val="000000"/>
                <w:spacing w:val="6"/>
                <w:kern w:val="0"/>
                <w:sz w:val="24"/>
                <w:szCs w:val="24"/>
              </w:rPr>
              <w:t>合计</w:t>
            </w:r>
          </w:p>
        </w:tc>
        <w:tc>
          <w:tcPr>
            <w:tcW w:w="8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B241B1">
            <w:pPr>
              <w:keepNext w:val="0"/>
              <w:keepLines w:val="0"/>
              <w:pageBreakBefore w:val="0"/>
              <w:kinsoku/>
              <w:wordWrap/>
              <w:overflowPunct/>
              <w:topLinePunct w:val="0"/>
              <w:bidi w:val="0"/>
              <w:spacing w:line="240" w:lineRule="auto"/>
              <w:ind w:left="0" w:leftChars="0" w:hanging="2" w:firstLineChars="0"/>
              <w:jc w:val="center"/>
              <w:rPr>
                <w:rFonts w:ascii="仿宋" w:eastAsia="仿宋" w:cs="仿宋"/>
                <w:bCs/>
                <w:sz w:val="24"/>
                <w:szCs w:val="24"/>
              </w:rPr>
            </w:pPr>
            <w:r>
              <w:rPr>
                <w:rFonts w:hint="eastAsia" w:ascii="仿宋" w:hAnsi="仿宋" w:eastAsia="仿宋" w:cs="仿宋"/>
                <w:color w:val="000000"/>
                <w:spacing w:val="6"/>
                <w:kern w:val="0"/>
                <w:sz w:val="24"/>
                <w:szCs w:val="24"/>
              </w:rPr>
              <w:t>32</w:t>
            </w:r>
          </w:p>
        </w:tc>
      </w:tr>
      <w:tr w14:paraId="3869EA32">
        <w:trPr>
          <w:trHeight w:val="20" w:hRule="atLeast"/>
        </w:trPr>
        <w:tc>
          <w:tcPr>
            <w:tcW w:w="1022" w:type="dxa"/>
            <w:tcBorders>
              <w:top w:val="single" w:color="000000" w:sz="4" w:space="0"/>
              <w:left w:val="single" w:color="000000" w:sz="4" w:space="0"/>
              <w:bottom w:val="single" w:color="000000" w:sz="4" w:space="0"/>
              <w:right w:val="single" w:color="000000" w:sz="4" w:space="0"/>
            </w:tcBorders>
            <w:noWrap w:val="0"/>
            <w:vAlign w:val="center"/>
          </w:tcPr>
          <w:p w14:paraId="2D5CAC51">
            <w:pPr>
              <w:spacing w:line="280" w:lineRule="exact"/>
              <w:jc w:val="center"/>
              <w:rPr>
                <w:rFonts w:ascii="仿宋" w:eastAsia="仿宋" w:cs="仿宋"/>
                <w:kern w:val="2"/>
                <w:sz w:val="24"/>
              </w:rPr>
            </w:pPr>
            <w:r>
              <w:rPr>
                <w:rFonts w:hint="eastAsia" w:ascii="仿宋" w:eastAsia="仿宋" w:cs="仿宋"/>
                <w:kern w:val="2"/>
                <w:sz w:val="24"/>
              </w:rPr>
              <w:t>I</w:t>
            </w:r>
          </w:p>
          <w:p w14:paraId="46E6CD6C">
            <w:pPr>
              <w:spacing w:line="280" w:lineRule="exact"/>
              <w:jc w:val="center"/>
              <w:rPr>
                <w:rFonts w:ascii="仿宋" w:eastAsia="仿宋" w:cs="仿宋"/>
                <w:kern w:val="2"/>
                <w:sz w:val="24"/>
                <w:lang w:eastAsia="zh-TW"/>
              </w:rPr>
            </w:pPr>
            <w:r>
              <w:rPr>
                <w:rFonts w:hint="eastAsia" w:ascii="仿宋" w:eastAsia="仿宋" w:cs="仿宋"/>
                <w:kern w:val="2"/>
                <w:sz w:val="24"/>
              </w:rPr>
              <w:t>教学方法与教学方式</w:t>
            </w:r>
          </w:p>
        </w:tc>
        <w:tc>
          <w:tcPr>
            <w:tcW w:w="8396" w:type="dxa"/>
            <w:gridSpan w:val="13"/>
            <w:tcBorders>
              <w:top w:val="single" w:color="000000" w:sz="4" w:space="0"/>
              <w:left w:val="single" w:color="000000" w:sz="4" w:space="0"/>
              <w:bottom w:val="single" w:color="000000" w:sz="4" w:space="0"/>
              <w:right w:val="single" w:color="000000" w:sz="4" w:space="0"/>
            </w:tcBorders>
            <w:noWrap w:val="0"/>
            <w:vAlign w:val="center"/>
          </w:tcPr>
          <w:p w14:paraId="7C8BE4A4">
            <w:pPr>
              <w:keepNext w:val="0"/>
              <w:keepLines w:val="0"/>
              <w:pageBreakBefore w:val="0"/>
              <w:widowControl/>
              <w:kinsoku/>
              <w:wordWrap/>
              <w:overflowPunct/>
              <w:topLinePunct w:val="0"/>
              <w:autoSpaceDE w:val="0"/>
              <w:autoSpaceDN w:val="0"/>
              <w:bidi w:val="0"/>
              <w:adjustRightInd w:val="0"/>
              <w:snapToGrid w:val="0"/>
              <w:spacing w:line="240" w:lineRule="auto"/>
              <w:ind w:left="0"/>
              <w:jc w:val="left"/>
              <w:textAlignment w:val="bottom"/>
              <w:rPr>
                <w:rFonts w:hint="eastAsia" w:ascii="仿宋" w:hAnsi="仿宋" w:eastAsia="仿宋" w:cs="仿宋"/>
                <w:color w:val="000000"/>
                <w:sz w:val="24"/>
                <w:szCs w:val="24"/>
              </w:rPr>
            </w:pPr>
            <w:r>
              <w:rPr>
                <w:rFonts w:hint="eastAsia" w:ascii="仿宋" w:hAnsi="仿宋" w:eastAsia="仿宋" w:cs="仿宋"/>
                <w:color w:val="000000"/>
                <w:sz w:val="24"/>
                <w:szCs w:val="24"/>
              </w:rPr>
              <w:t>1.本课程采用混合式教学，线上教学利用学习通平台建立的《幼儿行为观察》课程资源，要求学生根据教师布置的学习任务自主对照学习，完成相关的线上学习任务。线下教学采用多媒体授课，注重多种不同的实践教学形式。通过案例分析、分组合作、小组汇报等方式，让课堂教学变为师生互动、生生互动的过程。</w:t>
            </w:r>
          </w:p>
          <w:p w14:paraId="2454C63C">
            <w:pPr>
              <w:keepNext w:val="0"/>
              <w:keepLines w:val="0"/>
              <w:pageBreakBefore w:val="0"/>
              <w:widowControl/>
              <w:kinsoku/>
              <w:wordWrap/>
              <w:overflowPunct/>
              <w:topLinePunct w:val="0"/>
              <w:autoSpaceDE w:val="0"/>
              <w:autoSpaceDN w:val="0"/>
              <w:bidi w:val="0"/>
              <w:adjustRightInd w:val="0"/>
              <w:snapToGrid w:val="0"/>
              <w:spacing w:line="240" w:lineRule="auto"/>
              <w:ind w:left="0"/>
              <w:jc w:val="left"/>
              <w:textAlignment w:val="bottom"/>
              <w:rPr>
                <w:rFonts w:hint="eastAsia" w:ascii="仿宋" w:hAnsi="仿宋" w:eastAsia="仿宋" w:cs="仿宋"/>
                <w:color w:val="000000"/>
                <w:sz w:val="24"/>
                <w:szCs w:val="24"/>
              </w:rPr>
            </w:pPr>
            <w:r>
              <w:rPr>
                <w:rFonts w:hint="eastAsia" w:ascii="仿宋" w:hAnsi="仿宋" w:eastAsia="仿宋" w:cs="仿宋"/>
                <w:color w:val="000000"/>
                <w:sz w:val="24"/>
                <w:szCs w:val="24"/>
              </w:rPr>
              <w:t>2．开通在线微信群服务，达到与学生及时沟通、交流的目的，能及时答疑解惑，将课堂教学延伸到课外辅导。</w:t>
            </w:r>
          </w:p>
          <w:p w14:paraId="4CB7B69E">
            <w:pPr>
              <w:keepNext w:val="0"/>
              <w:keepLines w:val="0"/>
              <w:pageBreakBefore w:val="0"/>
              <w:widowControl/>
              <w:kinsoku/>
              <w:wordWrap/>
              <w:overflowPunct/>
              <w:topLinePunct w:val="0"/>
              <w:autoSpaceDE w:val="0"/>
              <w:autoSpaceDN w:val="0"/>
              <w:bidi w:val="0"/>
              <w:adjustRightInd w:val="0"/>
              <w:snapToGrid w:val="0"/>
              <w:spacing w:line="240" w:lineRule="auto"/>
              <w:ind w:left="0"/>
              <w:jc w:val="left"/>
              <w:textAlignment w:val="bottom"/>
              <w:rPr>
                <w:rFonts w:hint="eastAsia" w:ascii="仿宋" w:hAnsi="仿宋" w:eastAsia="仿宋" w:cs="仿宋"/>
                <w:color w:val="000000"/>
                <w:sz w:val="24"/>
                <w:szCs w:val="24"/>
              </w:rPr>
            </w:pPr>
            <w:r>
              <w:rPr>
                <w:rFonts w:hint="eastAsia" w:ascii="仿宋" w:hAnsi="仿宋" w:eastAsia="仿宋" w:cs="仿宋"/>
                <w:color w:val="000000"/>
                <w:sz w:val="24"/>
                <w:szCs w:val="24"/>
              </w:rPr>
              <w:t>3.本门课程的主要方式：</w:t>
            </w:r>
          </w:p>
          <w:p w14:paraId="5DBA8D0B">
            <w:pPr>
              <w:numPr>
                <w:ilvl w:val="0"/>
                <w:numId w:val="0"/>
              </w:numPr>
              <w:adjustRightInd w:val="0"/>
              <w:snapToGrid w:val="0"/>
              <w:ind w:leftChars="0"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讲授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网络学习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讨论或座谈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问题导向学  </w:t>
            </w:r>
          </w:p>
          <w:p w14:paraId="7B3298BE">
            <w:pPr>
              <w:numPr>
                <w:ilvl w:val="0"/>
                <w:numId w:val="0"/>
              </w:numPr>
              <w:adjustRightInd w:val="0"/>
              <w:snapToGrid w:val="0"/>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分组合作学习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专题学习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实作学习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发表学习  </w:t>
            </w:r>
          </w:p>
          <w:p w14:paraId="0DB93C55">
            <w:pPr>
              <w:spacing w:line="280" w:lineRule="exact"/>
              <w:ind w:firstLine="480" w:firstLineChars="200"/>
              <w:rPr>
                <w:rFonts w:ascii="仿宋" w:eastAsia="仿宋" w:cs="仿宋"/>
                <w:kern w:val="2"/>
                <w:sz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实习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参观访问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其它</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u w:val="single"/>
                <w:lang w:val="en-US" w:eastAsia="zh-CN"/>
              </w:rPr>
              <w:t xml:space="preserve">        </w:t>
            </w: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如</w:t>
            </w:r>
            <w:r>
              <w:rPr>
                <w:rFonts w:hint="eastAsia" w:ascii="仿宋" w:hAnsi="仿宋" w:eastAsia="仿宋" w:cs="仿宋"/>
                <w:color w:val="000000"/>
                <w:sz w:val="24"/>
                <w:szCs w:val="24"/>
              </w:rPr>
              <w:t>口头训练</w:t>
            </w:r>
            <w:r>
              <w:rPr>
                <w:rFonts w:hint="eastAsia" w:ascii="仿宋" w:hAnsi="仿宋" w:eastAsia="仿宋" w:cs="仿宋"/>
                <w:color w:val="000000"/>
                <w:sz w:val="24"/>
                <w:szCs w:val="24"/>
                <w:lang w:val="en-US" w:eastAsia="zh-CN"/>
              </w:rPr>
              <w:t>等</w:t>
            </w:r>
            <w:r>
              <w:rPr>
                <w:rFonts w:hint="eastAsia" w:ascii="仿宋" w:hAnsi="仿宋" w:eastAsia="仿宋" w:cs="仿宋"/>
                <w:color w:val="000000"/>
                <w:sz w:val="24"/>
                <w:szCs w:val="24"/>
              </w:rPr>
              <w:t>)</w:t>
            </w:r>
          </w:p>
        </w:tc>
      </w:tr>
      <w:tr w14:paraId="7E2DE92A">
        <w:trPr>
          <w:trHeight w:val="580" w:hRule="atLeast"/>
        </w:trPr>
        <w:tc>
          <w:tcPr>
            <w:tcW w:w="1022" w:type="dxa"/>
            <w:tcBorders>
              <w:top w:val="single" w:color="000000" w:sz="4" w:space="0"/>
              <w:left w:val="single" w:color="000000" w:sz="4" w:space="0"/>
              <w:bottom w:val="single" w:color="000000" w:sz="4" w:space="0"/>
              <w:right w:val="single" w:color="000000" w:sz="4" w:space="0"/>
            </w:tcBorders>
            <w:noWrap w:val="0"/>
            <w:vAlign w:val="center"/>
          </w:tcPr>
          <w:p w14:paraId="09D9C5CB">
            <w:pPr>
              <w:spacing w:line="280" w:lineRule="exact"/>
              <w:jc w:val="center"/>
              <w:rPr>
                <w:rFonts w:ascii="仿宋" w:eastAsia="仿宋" w:cs="仿宋"/>
                <w:kern w:val="2"/>
                <w:sz w:val="24"/>
              </w:rPr>
            </w:pPr>
            <w:r>
              <w:rPr>
                <w:rFonts w:hint="eastAsia" w:ascii="仿宋" w:eastAsia="仿宋" w:cs="仿宋"/>
                <w:kern w:val="2"/>
                <w:sz w:val="24"/>
              </w:rPr>
              <w:t>J</w:t>
            </w:r>
          </w:p>
          <w:p w14:paraId="49AEC8D3">
            <w:pPr>
              <w:spacing w:line="280" w:lineRule="exact"/>
              <w:jc w:val="center"/>
              <w:rPr>
                <w:rFonts w:ascii="仿宋" w:eastAsia="仿宋" w:cs="仿宋"/>
                <w:kern w:val="2"/>
                <w:sz w:val="24"/>
              </w:rPr>
            </w:pPr>
            <w:r>
              <w:rPr>
                <w:rFonts w:hint="eastAsia" w:ascii="仿宋" w:eastAsia="仿宋" w:cs="仿宋"/>
                <w:kern w:val="2"/>
                <w:sz w:val="24"/>
              </w:rPr>
              <w:t>教学条件</w:t>
            </w:r>
          </w:p>
          <w:p w14:paraId="55380DF8">
            <w:pPr>
              <w:spacing w:line="280" w:lineRule="exact"/>
              <w:jc w:val="center"/>
              <w:rPr>
                <w:rFonts w:ascii="仿宋" w:eastAsia="仿宋" w:cs="仿宋"/>
                <w:kern w:val="2"/>
                <w:sz w:val="24"/>
              </w:rPr>
            </w:pPr>
            <w:r>
              <w:rPr>
                <w:rFonts w:hint="eastAsia" w:ascii="仿宋" w:eastAsia="仿宋" w:cs="仿宋"/>
                <w:kern w:val="2"/>
                <w:sz w:val="24"/>
              </w:rPr>
              <w:t>需求</w:t>
            </w:r>
          </w:p>
        </w:tc>
        <w:tc>
          <w:tcPr>
            <w:tcW w:w="8396" w:type="dxa"/>
            <w:gridSpan w:val="13"/>
            <w:tcBorders>
              <w:top w:val="single" w:color="000000" w:sz="4" w:space="0"/>
              <w:left w:val="single" w:color="000000" w:sz="4" w:space="0"/>
              <w:bottom w:val="single" w:color="000000" w:sz="4" w:space="0"/>
              <w:right w:val="single" w:color="000000" w:sz="4" w:space="0"/>
            </w:tcBorders>
            <w:noWrap w:val="0"/>
            <w:vAlign w:val="center"/>
          </w:tcPr>
          <w:p w14:paraId="46AFF7D3">
            <w:pPr>
              <w:tabs>
                <w:tab w:val="left" w:pos="720"/>
              </w:tabs>
              <w:rPr>
                <w:rFonts w:ascii="仿宋" w:eastAsia="仿宋" w:cs="仿宋"/>
                <w:szCs w:val="21"/>
              </w:rPr>
            </w:pPr>
            <w:r>
              <w:rPr>
                <w:rFonts w:hint="eastAsia" w:ascii="仿宋" w:eastAsia="仿宋" w:cs="仿宋"/>
                <w:szCs w:val="21"/>
              </w:rPr>
              <w:t>安排多媒体教室、活动教室</w:t>
            </w:r>
          </w:p>
        </w:tc>
      </w:tr>
      <w:tr w14:paraId="4823519A">
        <w:trPr>
          <w:trHeight w:val="566" w:hRule="atLeast"/>
        </w:trPr>
        <w:tc>
          <w:tcPr>
            <w:tcW w:w="1022" w:type="dxa"/>
            <w:vMerge w:val="restart"/>
            <w:tcBorders>
              <w:top w:val="single" w:color="000000" w:sz="4" w:space="0"/>
              <w:left w:val="single" w:color="000000" w:sz="4" w:space="0"/>
              <w:bottom w:val="single" w:color="000000" w:sz="4" w:space="0"/>
              <w:right w:val="single" w:color="000000" w:sz="4" w:space="0"/>
            </w:tcBorders>
            <w:noWrap w:val="0"/>
            <w:vAlign w:val="center"/>
          </w:tcPr>
          <w:p w14:paraId="63386464">
            <w:pPr>
              <w:spacing w:line="280" w:lineRule="exact"/>
              <w:jc w:val="center"/>
              <w:rPr>
                <w:rFonts w:ascii="仿宋" w:eastAsia="仿宋" w:cs="仿宋"/>
                <w:kern w:val="2"/>
                <w:sz w:val="24"/>
              </w:rPr>
            </w:pPr>
            <w:r>
              <w:rPr>
                <w:rFonts w:hint="eastAsia" w:ascii="仿宋" w:eastAsia="仿宋" w:cs="仿宋"/>
                <w:kern w:val="2"/>
                <w:sz w:val="24"/>
              </w:rPr>
              <w:t>K</w:t>
            </w:r>
          </w:p>
          <w:p w14:paraId="6B65CC1C">
            <w:pPr>
              <w:spacing w:line="280" w:lineRule="exact"/>
              <w:jc w:val="center"/>
              <w:rPr>
                <w:rFonts w:ascii="仿宋" w:eastAsia="仿宋" w:cs="仿宋"/>
                <w:kern w:val="2"/>
                <w:sz w:val="24"/>
              </w:rPr>
            </w:pPr>
            <w:r>
              <w:rPr>
                <w:rFonts w:hint="eastAsia" w:ascii="仿宋" w:eastAsia="仿宋" w:cs="仿宋"/>
                <w:kern w:val="2"/>
                <w:sz w:val="24"/>
              </w:rPr>
              <w:t>课程目标及其考核内容、考核方式及评分占比</w:t>
            </w:r>
          </w:p>
        </w:tc>
        <w:tc>
          <w:tcPr>
            <w:tcW w:w="129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9D295FE">
            <w:pPr>
              <w:spacing w:line="280" w:lineRule="exact"/>
              <w:rPr>
                <w:rFonts w:ascii="仿宋" w:eastAsia="仿宋" w:cs="仿宋"/>
                <w:kern w:val="2"/>
                <w:sz w:val="24"/>
              </w:rPr>
            </w:pPr>
            <w:r>
              <w:rPr>
                <w:rFonts w:hint="eastAsia" w:ascii="仿宋" w:eastAsia="仿宋" w:cs="仿宋"/>
                <w:kern w:val="2"/>
                <w:sz w:val="24"/>
              </w:rPr>
              <w:t>课程目标及评分占比</w:t>
            </w:r>
          </w:p>
        </w:tc>
        <w:tc>
          <w:tcPr>
            <w:tcW w:w="3550" w:type="dxa"/>
            <w:gridSpan w:val="5"/>
            <w:vMerge w:val="restart"/>
            <w:tcBorders>
              <w:top w:val="single" w:color="000000" w:sz="4" w:space="0"/>
              <w:left w:val="single" w:color="000000" w:sz="4" w:space="0"/>
              <w:bottom w:val="single" w:color="000000" w:sz="4" w:space="0"/>
              <w:right w:val="single" w:color="000000" w:sz="4" w:space="0"/>
            </w:tcBorders>
            <w:noWrap w:val="0"/>
            <w:vAlign w:val="center"/>
          </w:tcPr>
          <w:p w14:paraId="2E7B0B97">
            <w:pPr>
              <w:tabs>
                <w:tab w:val="left" w:pos="720"/>
              </w:tabs>
              <w:spacing w:line="280" w:lineRule="exact"/>
              <w:jc w:val="center"/>
              <w:rPr>
                <w:rFonts w:ascii="仿宋" w:eastAsia="仿宋" w:cs="仿宋"/>
                <w:kern w:val="2"/>
                <w:sz w:val="24"/>
              </w:rPr>
            </w:pPr>
            <w:r>
              <w:rPr>
                <w:rFonts w:hint="eastAsia" w:ascii="仿宋" w:eastAsia="仿宋" w:cs="仿宋"/>
                <w:kern w:val="2"/>
                <w:sz w:val="24"/>
              </w:rPr>
              <w:t>考核内容</w:t>
            </w:r>
          </w:p>
        </w:tc>
        <w:tc>
          <w:tcPr>
            <w:tcW w:w="2656" w:type="dxa"/>
            <w:gridSpan w:val="5"/>
            <w:tcBorders>
              <w:top w:val="single" w:color="000000" w:sz="4" w:space="0"/>
              <w:left w:val="single" w:color="000000" w:sz="4" w:space="0"/>
              <w:bottom w:val="single" w:color="000000" w:sz="4" w:space="0"/>
              <w:right w:val="single" w:color="000000" w:sz="4" w:space="0"/>
            </w:tcBorders>
            <w:noWrap w:val="0"/>
            <w:vAlign w:val="center"/>
          </w:tcPr>
          <w:p w14:paraId="240D2FD1">
            <w:pPr>
              <w:spacing w:line="280" w:lineRule="exact"/>
              <w:jc w:val="center"/>
              <w:rPr>
                <w:rFonts w:ascii="仿宋" w:eastAsia="仿宋" w:cs="仿宋"/>
                <w:kern w:val="2"/>
                <w:sz w:val="24"/>
              </w:rPr>
            </w:pPr>
            <w:r>
              <w:rPr>
                <w:rFonts w:hint="eastAsia" w:ascii="仿宋" w:eastAsia="仿宋" w:cs="仿宋"/>
                <w:kern w:val="2"/>
                <w:sz w:val="24"/>
              </w:rPr>
              <w:t>考核方式</w:t>
            </w:r>
          </w:p>
        </w:tc>
        <w:tc>
          <w:tcPr>
            <w:tcW w:w="899" w:type="dxa"/>
            <w:vMerge w:val="restart"/>
            <w:tcBorders>
              <w:top w:val="single" w:color="000000" w:sz="4" w:space="0"/>
              <w:left w:val="single" w:color="000000" w:sz="4" w:space="0"/>
              <w:bottom w:val="single" w:color="000000" w:sz="4" w:space="0"/>
              <w:right w:val="single" w:color="000000" w:sz="4" w:space="0"/>
            </w:tcBorders>
            <w:noWrap w:val="0"/>
            <w:vAlign w:val="center"/>
          </w:tcPr>
          <w:p w14:paraId="627DFD4E">
            <w:pPr>
              <w:tabs>
                <w:tab w:val="left" w:pos="720"/>
              </w:tabs>
              <w:spacing w:line="280" w:lineRule="exact"/>
              <w:jc w:val="center"/>
              <w:rPr>
                <w:rFonts w:ascii="仿宋" w:eastAsia="仿宋" w:cs="仿宋"/>
                <w:kern w:val="2"/>
                <w:sz w:val="24"/>
              </w:rPr>
            </w:pPr>
            <w:r>
              <w:rPr>
                <w:rFonts w:hint="eastAsia" w:ascii="仿宋" w:eastAsia="仿宋" w:cs="仿宋"/>
                <w:kern w:val="2"/>
                <w:sz w:val="24"/>
              </w:rPr>
              <w:t>课程分目标的达成度</w:t>
            </w:r>
          </w:p>
        </w:tc>
      </w:tr>
      <w:tr w14:paraId="70E871CA">
        <w:trPr>
          <w:trHeight w:val="184" w:hRule="atLeast"/>
        </w:trPr>
        <w:tc>
          <w:tcPr>
            <w:tcW w:w="10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409524"/>
        </w:tc>
        <w:tc>
          <w:tcPr>
            <w:tcW w:w="129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D5CB071"/>
        </w:tc>
        <w:tc>
          <w:tcPr>
            <w:tcW w:w="3550" w:type="dxa"/>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1ABD18D3"/>
        </w:tc>
        <w:tc>
          <w:tcPr>
            <w:tcW w:w="905" w:type="dxa"/>
            <w:gridSpan w:val="2"/>
            <w:tcBorders>
              <w:top w:val="single" w:color="000000" w:sz="4" w:space="0"/>
              <w:left w:val="single" w:color="000000" w:sz="4" w:space="0"/>
              <w:bottom w:val="single" w:color="000000" w:sz="4" w:space="0"/>
              <w:right w:val="single" w:color="000000" w:sz="4" w:space="0"/>
            </w:tcBorders>
            <w:noWrap w:val="0"/>
            <w:vAlign w:val="center"/>
          </w:tcPr>
          <w:p w14:paraId="751E4779">
            <w:pPr>
              <w:adjustRightInd w:val="0"/>
              <w:snapToGrid w:val="0"/>
              <w:jc w:val="center"/>
              <w:rPr>
                <w:rFonts w:ascii="仿宋" w:eastAsia="仿宋" w:cs="仿宋"/>
                <w:sz w:val="24"/>
                <w:szCs w:val="24"/>
              </w:rPr>
            </w:pPr>
            <w:r>
              <w:rPr>
                <w:rFonts w:hint="eastAsia" w:ascii="仿宋" w:eastAsia="仿宋" w:cs="仿宋"/>
                <w:sz w:val="24"/>
                <w:szCs w:val="24"/>
                <w:lang w:val="en-US" w:eastAsia="zh-CN"/>
              </w:rPr>
              <w:t>平时</w:t>
            </w:r>
            <w:r>
              <w:rPr>
                <w:rFonts w:hint="eastAsia" w:ascii="仿宋" w:eastAsia="仿宋" w:cs="仿宋"/>
                <w:sz w:val="24"/>
                <w:szCs w:val="24"/>
              </w:rPr>
              <w:t>分占比（</w:t>
            </w:r>
            <w:r>
              <w:rPr>
                <w:rFonts w:ascii="仿宋" w:eastAsia="仿宋" w:cs="仿宋"/>
                <w:sz w:val="24"/>
                <w:szCs w:val="24"/>
              </w:rPr>
              <w:t>2</w:t>
            </w:r>
            <w:r>
              <w:rPr>
                <w:rFonts w:hint="eastAsia" w:ascii="仿宋" w:eastAsia="仿宋" w:cs="仿宋"/>
                <w:sz w:val="24"/>
                <w:szCs w:val="24"/>
              </w:rPr>
              <w:t>0%）</w:t>
            </w:r>
          </w:p>
        </w:tc>
        <w:tc>
          <w:tcPr>
            <w:tcW w:w="877" w:type="dxa"/>
            <w:gridSpan w:val="2"/>
            <w:tcBorders>
              <w:top w:val="single" w:color="000000" w:sz="4" w:space="0"/>
              <w:left w:val="single" w:color="000000" w:sz="4" w:space="0"/>
              <w:bottom w:val="single" w:color="000000" w:sz="4" w:space="0"/>
              <w:right w:val="single" w:color="000000" w:sz="4" w:space="0"/>
            </w:tcBorders>
            <w:noWrap w:val="0"/>
            <w:vAlign w:val="center"/>
          </w:tcPr>
          <w:p w14:paraId="3F91C94F">
            <w:pPr>
              <w:adjustRightInd w:val="0"/>
              <w:snapToGrid w:val="0"/>
              <w:jc w:val="center"/>
              <w:rPr>
                <w:rFonts w:ascii="仿宋" w:eastAsia="仿宋" w:cs="仿宋"/>
                <w:sz w:val="24"/>
                <w:szCs w:val="24"/>
              </w:rPr>
            </w:pPr>
            <w:r>
              <w:rPr>
                <w:rFonts w:hint="eastAsia" w:ascii="仿宋" w:eastAsia="仿宋" w:cs="仿宋"/>
                <w:sz w:val="24"/>
                <w:szCs w:val="24"/>
                <w:lang w:val="en-US" w:eastAsia="zh-CN"/>
              </w:rPr>
              <w:t>半期</w:t>
            </w:r>
            <w:r>
              <w:rPr>
                <w:rFonts w:ascii="仿宋" w:eastAsia="仿宋" w:cs="仿宋"/>
                <w:sz w:val="24"/>
                <w:szCs w:val="24"/>
              </w:rPr>
              <w:t>作业</w:t>
            </w:r>
            <w:r>
              <w:rPr>
                <w:rFonts w:hint="eastAsia" w:ascii="仿宋" w:eastAsia="仿宋" w:cs="仿宋"/>
                <w:sz w:val="24"/>
                <w:szCs w:val="24"/>
              </w:rPr>
              <w:t>评分占比（</w:t>
            </w:r>
            <w:r>
              <w:rPr>
                <w:rFonts w:ascii="仿宋" w:eastAsia="仿宋" w:cs="仿宋"/>
                <w:sz w:val="24"/>
                <w:szCs w:val="24"/>
              </w:rPr>
              <w:t>2</w:t>
            </w:r>
            <w:r>
              <w:rPr>
                <w:rFonts w:hint="eastAsia" w:ascii="仿宋" w:eastAsia="仿宋" w:cs="仿宋"/>
                <w:sz w:val="24"/>
                <w:szCs w:val="24"/>
              </w:rPr>
              <w:t>0%）</w:t>
            </w:r>
          </w:p>
        </w:tc>
        <w:tc>
          <w:tcPr>
            <w:tcW w:w="874" w:type="dxa"/>
            <w:tcBorders>
              <w:top w:val="single" w:color="000000" w:sz="4" w:space="0"/>
              <w:left w:val="single" w:color="000000" w:sz="4" w:space="0"/>
              <w:bottom w:val="single" w:color="000000" w:sz="4" w:space="0"/>
              <w:right w:val="single" w:color="000000" w:sz="4" w:space="0"/>
            </w:tcBorders>
            <w:noWrap w:val="0"/>
            <w:vAlign w:val="center"/>
          </w:tcPr>
          <w:p w14:paraId="0C575C9D">
            <w:pPr>
              <w:adjustRightInd w:val="0"/>
              <w:snapToGrid w:val="0"/>
              <w:jc w:val="center"/>
              <w:rPr>
                <w:rFonts w:ascii="仿宋" w:eastAsia="仿宋" w:cs="仿宋"/>
                <w:sz w:val="24"/>
                <w:szCs w:val="24"/>
              </w:rPr>
            </w:pPr>
            <w:r>
              <w:rPr>
                <w:rFonts w:hint="eastAsia" w:ascii="仿宋" w:eastAsia="仿宋" w:cs="仿宋"/>
                <w:sz w:val="24"/>
                <w:szCs w:val="24"/>
              </w:rPr>
              <w:t>期末</w:t>
            </w:r>
            <w:r>
              <w:rPr>
                <w:rFonts w:hint="eastAsia" w:ascii="仿宋" w:eastAsia="仿宋" w:cs="仿宋"/>
                <w:sz w:val="24"/>
                <w:szCs w:val="24"/>
                <w:lang w:val="en-US" w:eastAsia="zh-CN"/>
              </w:rPr>
              <w:t>作业</w:t>
            </w:r>
            <w:r>
              <w:rPr>
                <w:rFonts w:hint="eastAsia" w:ascii="仿宋" w:eastAsia="仿宋" w:cs="仿宋"/>
                <w:sz w:val="24"/>
                <w:szCs w:val="24"/>
              </w:rPr>
              <w:t>评分占比（</w:t>
            </w:r>
            <w:r>
              <w:rPr>
                <w:rFonts w:ascii="仿宋" w:eastAsia="仿宋" w:cs="仿宋"/>
                <w:sz w:val="24"/>
                <w:szCs w:val="24"/>
              </w:rPr>
              <w:t>6</w:t>
            </w:r>
            <w:r>
              <w:rPr>
                <w:rFonts w:hint="eastAsia" w:ascii="仿宋" w:eastAsia="仿宋" w:cs="仿宋"/>
                <w:sz w:val="24"/>
                <w:szCs w:val="24"/>
              </w:rPr>
              <w:t>0%）</w:t>
            </w:r>
          </w:p>
        </w:tc>
        <w:tc>
          <w:tcPr>
            <w:tcW w:w="89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64E453"/>
        </w:tc>
      </w:tr>
      <w:tr w14:paraId="35772D72">
        <w:trPr>
          <w:trHeight w:val="745" w:hRule="atLeast"/>
        </w:trPr>
        <w:tc>
          <w:tcPr>
            <w:tcW w:w="10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2BCA93"/>
        </w:tc>
        <w:tc>
          <w:tcPr>
            <w:tcW w:w="1291" w:type="dxa"/>
            <w:gridSpan w:val="2"/>
            <w:tcBorders>
              <w:top w:val="single" w:color="000000" w:sz="4" w:space="0"/>
              <w:left w:val="single" w:color="000000" w:sz="4" w:space="0"/>
              <w:bottom w:val="single" w:color="000000" w:sz="4" w:space="0"/>
              <w:right w:val="single" w:color="000000" w:sz="4" w:space="0"/>
            </w:tcBorders>
            <w:noWrap w:val="0"/>
            <w:vAlign w:val="center"/>
          </w:tcPr>
          <w:p w14:paraId="0EBB7A20">
            <w:pPr>
              <w:adjustRightInd w:val="0"/>
              <w:snapToGrid w:val="0"/>
              <w:jc w:val="center"/>
              <w:rPr>
                <w:rFonts w:ascii="仿宋" w:eastAsia="仿宋" w:cs="仿宋"/>
                <w:bCs/>
                <w:sz w:val="24"/>
                <w:szCs w:val="24"/>
              </w:rPr>
            </w:pPr>
            <w:r>
              <w:rPr>
                <w:rFonts w:hint="eastAsia" w:ascii="仿宋" w:eastAsia="仿宋" w:cs="仿宋"/>
                <w:bCs/>
                <w:sz w:val="24"/>
                <w:szCs w:val="24"/>
              </w:rPr>
              <w:t>课程目标1</w:t>
            </w:r>
          </w:p>
          <w:p w14:paraId="5A0AB47F">
            <w:pPr>
              <w:adjustRightInd w:val="0"/>
              <w:snapToGrid w:val="0"/>
              <w:jc w:val="center"/>
              <w:rPr>
                <w:rFonts w:ascii="仿宋" w:eastAsia="仿宋" w:cs="仿宋"/>
                <w:bCs/>
                <w:sz w:val="24"/>
                <w:szCs w:val="24"/>
              </w:rPr>
            </w:pPr>
            <w:r>
              <w:rPr>
                <w:rFonts w:hint="eastAsia" w:ascii="仿宋" w:eastAsia="仿宋" w:cs="仿宋"/>
                <w:bCs/>
                <w:sz w:val="24"/>
                <w:szCs w:val="24"/>
              </w:rPr>
              <w:t>（30%）</w:t>
            </w:r>
          </w:p>
        </w:tc>
        <w:tc>
          <w:tcPr>
            <w:tcW w:w="3550" w:type="dxa"/>
            <w:gridSpan w:val="5"/>
            <w:tcBorders>
              <w:top w:val="single" w:color="000000" w:sz="4" w:space="0"/>
              <w:left w:val="single" w:color="000000" w:sz="4" w:space="0"/>
              <w:bottom w:val="single" w:color="000000" w:sz="4" w:space="0"/>
              <w:right w:val="single" w:color="000000" w:sz="4" w:space="0"/>
            </w:tcBorders>
            <w:noWrap w:val="0"/>
            <w:vAlign w:val="center"/>
          </w:tcPr>
          <w:p w14:paraId="63DB06BF">
            <w:pPr>
              <w:adjustRightInd w:val="0"/>
              <w:snapToGrid w:val="0"/>
              <w:jc w:val="left"/>
              <w:rPr>
                <w:rFonts w:ascii="仿宋" w:eastAsia="仿宋" w:cs="仿宋"/>
                <w:bCs/>
                <w:sz w:val="24"/>
                <w:szCs w:val="24"/>
              </w:rPr>
            </w:pPr>
            <w:r>
              <w:rPr>
                <w:rFonts w:hint="eastAsia" w:ascii="仿宋" w:eastAsia="仿宋" w:cs="仿宋"/>
                <w:sz w:val="24"/>
                <w:szCs w:val="24"/>
                <w:lang w:val="en-US" w:eastAsia="zh-CN"/>
              </w:rPr>
              <w:t>学习如何树立一个合理的钢琴教师角色形象，</w:t>
            </w:r>
            <w:r>
              <w:rPr>
                <w:rStyle w:val="355"/>
                <w:rFonts w:hint="eastAsia" w:ascii="仿宋" w:hAnsi="仿宋" w:eastAsia="仿宋" w:cs="仿宋"/>
                <w:color w:val="auto"/>
                <w:sz w:val="24"/>
                <w:szCs w:val="24"/>
              </w:rPr>
              <w:t>树立爱岗敬业精神，了解</w:t>
            </w:r>
            <w:r>
              <w:rPr>
                <w:rStyle w:val="355"/>
                <w:rFonts w:hint="eastAsia" w:ascii="仿宋" w:hAnsi="仿宋" w:eastAsia="仿宋" w:cs="仿宋"/>
                <w:color w:val="auto"/>
                <w:sz w:val="24"/>
                <w:szCs w:val="24"/>
                <w:lang w:val="en-US"/>
              </w:rPr>
              <w:t>未来工作中教学对象</w:t>
            </w:r>
            <w:r>
              <w:rPr>
                <w:rStyle w:val="355"/>
                <w:rFonts w:hint="eastAsia" w:ascii="仿宋" w:hAnsi="仿宋" w:eastAsia="仿宋" w:cs="仿宋"/>
                <w:color w:val="auto"/>
                <w:sz w:val="24"/>
                <w:szCs w:val="24"/>
              </w:rPr>
              <w:t>的身心发展特点和音乐的认知规律。</w:t>
            </w:r>
            <w:r>
              <w:rPr>
                <w:rStyle w:val="355"/>
                <w:rFonts w:hint="eastAsia" w:ascii="仿宋" w:hAnsi="仿宋" w:eastAsia="仿宋" w:cs="仿宋"/>
                <w:color w:val="auto"/>
                <w:sz w:val="24"/>
                <w:szCs w:val="24"/>
                <w:lang w:val="en-US"/>
              </w:rPr>
              <w:t>思考如何通过钢琴教学，提高未来工作中教学对象的艺术素养，培育自主学习能力，建立正确的审美观</w:t>
            </w:r>
          </w:p>
        </w:tc>
        <w:tc>
          <w:tcPr>
            <w:tcW w:w="905" w:type="dxa"/>
            <w:gridSpan w:val="2"/>
            <w:tcBorders>
              <w:top w:val="single" w:color="000000" w:sz="4" w:space="0"/>
              <w:left w:val="single" w:color="000000" w:sz="4" w:space="0"/>
              <w:bottom w:val="single" w:color="000000" w:sz="4" w:space="0"/>
              <w:right w:val="single" w:color="000000" w:sz="4" w:space="0"/>
            </w:tcBorders>
            <w:noWrap w:val="0"/>
            <w:vAlign w:val="center"/>
          </w:tcPr>
          <w:p w14:paraId="29549712">
            <w:pPr>
              <w:adjustRightInd w:val="0"/>
              <w:snapToGrid w:val="0"/>
              <w:jc w:val="center"/>
              <w:rPr>
                <w:rFonts w:hint="eastAsia" w:ascii="仿宋" w:eastAsia="仿宋" w:cs="仿宋"/>
                <w:bCs/>
                <w:sz w:val="24"/>
                <w:szCs w:val="24"/>
                <w:lang w:eastAsia="zh-CN"/>
              </w:rPr>
            </w:pPr>
            <w:r>
              <w:rPr>
                <w:rFonts w:hint="eastAsia" w:ascii="仿宋" w:eastAsia="仿宋" w:cs="仿宋"/>
                <w:bCs/>
                <w:sz w:val="24"/>
                <w:szCs w:val="24"/>
                <w:lang w:val="en-US" w:eastAsia="zh-CN"/>
              </w:rPr>
              <w:t>6</w:t>
            </w:r>
          </w:p>
        </w:tc>
        <w:tc>
          <w:tcPr>
            <w:tcW w:w="877" w:type="dxa"/>
            <w:gridSpan w:val="2"/>
            <w:tcBorders>
              <w:top w:val="single" w:color="000000" w:sz="4" w:space="0"/>
              <w:left w:val="single" w:color="000000" w:sz="4" w:space="0"/>
              <w:bottom w:val="single" w:color="000000" w:sz="4" w:space="0"/>
              <w:right w:val="single" w:color="000000" w:sz="4" w:space="0"/>
            </w:tcBorders>
            <w:noWrap w:val="0"/>
            <w:vAlign w:val="center"/>
          </w:tcPr>
          <w:p w14:paraId="67C0C179">
            <w:pPr>
              <w:adjustRightInd w:val="0"/>
              <w:snapToGrid w:val="0"/>
              <w:jc w:val="center"/>
              <w:rPr>
                <w:rFonts w:hint="eastAsia" w:ascii="仿宋" w:eastAsia="仿宋" w:cs="仿宋"/>
                <w:bCs/>
                <w:sz w:val="24"/>
                <w:szCs w:val="24"/>
                <w:lang w:eastAsia="zh-CN"/>
              </w:rPr>
            </w:pPr>
            <w:r>
              <w:rPr>
                <w:rFonts w:hint="eastAsia" w:ascii="仿宋" w:eastAsia="仿宋" w:cs="仿宋"/>
                <w:bCs/>
                <w:sz w:val="24"/>
                <w:szCs w:val="24"/>
                <w:lang w:val="en-US" w:eastAsia="zh-CN"/>
              </w:rPr>
              <w:t>6</w:t>
            </w:r>
          </w:p>
        </w:tc>
        <w:tc>
          <w:tcPr>
            <w:tcW w:w="874" w:type="dxa"/>
            <w:tcBorders>
              <w:top w:val="single" w:color="000000" w:sz="4" w:space="0"/>
              <w:left w:val="single" w:color="000000" w:sz="4" w:space="0"/>
              <w:bottom w:val="single" w:color="000000" w:sz="4" w:space="0"/>
              <w:right w:val="single" w:color="000000" w:sz="4" w:space="0"/>
            </w:tcBorders>
            <w:noWrap w:val="0"/>
            <w:vAlign w:val="center"/>
          </w:tcPr>
          <w:p w14:paraId="31F13C3F">
            <w:pPr>
              <w:adjustRightInd w:val="0"/>
              <w:snapToGrid w:val="0"/>
              <w:jc w:val="center"/>
              <w:rPr>
                <w:rFonts w:hint="eastAsia" w:ascii="仿宋" w:eastAsia="仿宋" w:cs="仿宋"/>
                <w:bCs/>
                <w:sz w:val="24"/>
                <w:szCs w:val="24"/>
                <w:lang w:eastAsia="zh-CN"/>
              </w:rPr>
            </w:pPr>
            <w:r>
              <w:rPr>
                <w:rFonts w:hint="eastAsia" w:ascii="仿宋" w:eastAsia="仿宋" w:cs="仿宋"/>
                <w:bCs/>
                <w:sz w:val="24"/>
                <w:szCs w:val="24"/>
              </w:rPr>
              <w:t>1</w:t>
            </w:r>
            <w:r>
              <w:rPr>
                <w:rFonts w:hint="eastAsia" w:ascii="仿宋" w:eastAsia="仿宋" w:cs="仿宋"/>
                <w:bCs/>
                <w:sz w:val="24"/>
                <w:szCs w:val="24"/>
                <w:lang w:val="en-US" w:eastAsia="zh-CN"/>
              </w:rPr>
              <w:t>8</w:t>
            </w:r>
          </w:p>
        </w:tc>
        <w:tc>
          <w:tcPr>
            <w:tcW w:w="899" w:type="dxa"/>
            <w:tcBorders>
              <w:top w:val="single" w:color="000000" w:sz="4" w:space="0"/>
              <w:left w:val="single" w:color="000000" w:sz="4" w:space="0"/>
              <w:bottom w:val="single" w:color="000000" w:sz="4" w:space="0"/>
              <w:right w:val="single" w:color="000000" w:sz="4" w:space="0"/>
            </w:tcBorders>
            <w:noWrap w:val="0"/>
            <w:vAlign w:val="center"/>
          </w:tcPr>
          <w:p w14:paraId="4D416B9C">
            <w:pPr>
              <w:tabs>
                <w:tab w:val="left" w:pos="720"/>
              </w:tabs>
              <w:adjustRightInd w:val="0"/>
              <w:snapToGrid w:val="0"/>
              <w:jc w:val="center"/>
              <w:rPr>
                <w:rFonts w:hint="default" w:ascii="仿宋" w:eastAsia="仿宋" w:cs="仿宋"/>
                <w:bCs/>
                <w:sz w:val="24"/>
                <w:szCs w:val="24"/>
                <w:lang w:val="en-US" w:eastAsia="zh-CN"/>
              </w:rPr>
            </w:pPr>
            <w:r>
              <w:rPr>
                <w:rFonts w:hint="eastAsia" w:ascii="仿宋" w:eastAsia="仿宋" w:cs="仿宋"/>
                <w:bCs/>
                <w:sz w:val="24"/>
                <w:szCs w:val="24"/>
                <w:lang w:val="en-US" w:eastAsia="zh-CN"/>
              </w:rPr>
              <w:t>30</w:t>
            </w:r>
          </w:p>
        </w:tc>
      </w:tr>
      <w:tr w14:paraId="2516B925">
        <w:trPr>
          <w:trHeight w:val="515" w:hRule="atLeast"/>
        </w:trPr>
        <w:tc>
          <w:tcPr>
            <w:tcW w:w="10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C1BE33"/>
        </w:tc>
        <w:tc>
          <w:tcPr>
            <w:tcW w:w="1291" w:type="dxa"/>
            <w:gridSpan w:val="2"/>
            <w:tcBorders>
              <w:top w:val="single" w:color="000000" w:sz="4" w:space="0"/>
              <w:left w:val="single" w:color="000000" w:sz="4" w:space="0"/>
              <w:bottom w:val="single" w:color="000000" w:sz="4" w:space="0"/>
              <w:right w:val="single" w:color="000000" w:sz="4" w:space="0"/>
            </w:tcBorders>
            <w:noWrap w:val="0"/>
            <w:vAlign w:val="center"/>
          </w:tcPr>
          <w:p w14:paraId="42CFE13E">
            <w:pPr>
              <w:adjustRightInd w:val="0"/>
              <w:snapToGrid w:val="0"/>
              <w:jc w:val="center"/>
              <w:rPr>
                <w:rFonts w:ascii="仿宋" w:eastAsia="仿宋" w:cs="仿宋"/>
                <w:bCs/>
                <w:sz w:val="24"/>
                <w:szCs w:val="24"/>
              </w:rPr>
            </w:pPr>
            <w:r>
              <w:rPr>
                <w:rFonts w:hint="eastAsia" w:ascii="仿宋" w:eastAsia="仿宋" w:cs="仿宋"/>
                <w:bCs/>
                <w:sz w:val="24"/>
                <w:szCs w:val="24"/>
              </w:rPr>
              <w:t>课程目标2</w:t>
            </w:r>
          </w:p>
          <w:p w14:paraId="11EB68E4">
            <w:pPr>
              <w:adjustRightInd w:val="0"/>
              <w:snapToGrid w:val="0"/>
              <w:jc w:val="center"/>
              <w:rPr>
                <w:rFonts w:ascii="仿宋" w:eastAsia="仿宋" w:cs="仿宋"/>
                <w:bCs/>
                <w:sz w:val="24"/>
                <w:szCs w:val="24"/>
              </w:rPr>
            </w:pPr>
            <w:r>
              <w:rPr>
                <w:rFonts w:hint="eastAsia" w:ascii="仿宋" w:eastAsia="仿宋" w:cs="仿宋"/>
                <w:bCs/>
                <w:sz w:val="24"/>
                <w:szCs w:val="24"/>
              </w:rPr>
              <w:t>（20%）</w:t>
            </w:r>
          </w:p>
        </w:tc>
        <w:tc>
          <w:tcPr>
            <w:tcW w:w="3550" w:type="dxa"/>
            <w:gridSpan w:val="5"/>
            <w:tcBorders>
              <w:top w:val="single" w:color="000000" w:sz="4" w:space="0"/>
              <w:left w:val="single" w:color="000000" w:sz="4" w:space="0"/>
              <w:bottom w:val="single" w:color="000000" w:sz="4" w:space="0"/>
              <w:right w:val="single" w:color="000000" w:sz="4" w:space="0"/>
            </w:tcBorders>
            <w:noWrap w:val="0"/>
            <w:vAlign w:val="center"/>
          </w:tcPr>
          <w:p w14:paraId="5EB0E5B5">
            <w:pPr>
              <w:rPr>
                <w:rFonts w:ascii="仿宋" w:eastAsia="仿宋" w:cs="仿宋"/>
                <w:bCs/>
                <w:sz w:val="24"/>
                <w:szCs w:val="24"/>
              </w:rPr>
            </w:pPr>
            <w:r>
              <w:rPr>
                <w:rFonts w:hint="eastAsia" w:ascii="仿宋" w:eastAsia="仿宋" w:cs="仿宋"/>
                <w:sz w:val="24"/>
                <w:szCs w:val="24"/>
                <w:lang w:val="en-US" w:eastAsia="zh-CN"/>
              </w:rPr>
              <w:t>注重正确的思政导向，粗略学习钢琴艺术史并重点学习思考其中比较重要的内容。熟悉钢琴音乐发展的总体脉络，大致了解各个风格之间的不同，并能够应用于教学实践。</w:t>
            </w:r>
            <w:r>
              <w:rPr>
                <w:rStyle w:val="355"/>
                <w:rFonts w:hint="eastAsia" w:ascii="仿宋" w:hAnsi="仿宋" w:eastAsia="仿宋" w:cs="仿宋"/>
                <w:color w:val="auto"/>
                <w:sz w:val="24"/>
                <w:szCs w:val="24"/>
                <w:lang w:val="en-US"/>
              </w:rPr>
              <w:t>了解中国钢琴音乐文化传统，培养热爱中国钢琴音乐文化的感情。</w:t>
            </w:r>
            <w:r>
              <w:rPr>
                <w:rFonts w:hint="eastAsia" w:ascii="仿宋" w:hAnsi="仿宋" w:eastAsia="仿宋" w:cs="仿宋"/>
                <w:b/>
                <w:bCs/>
                <w:sz w:val="24"/>
                <w:szCs w:val="24"/>
                <w:lang w:val="en-US" w:eastAsia="zh-CN"/>
              </w:rPr>
              <w:t xml:space="preserve">    </w:t>
            </w:r>
          </w:p>
        </w:tc>
        <w:tc>
          <w:tcPr>
            <w:tcW w:w="905" w:type="dxa"/>
            <w:gridSpan w:val="2"/>
            <w:tcBorders>
              <w:top w:val="single" w:color="000000" w:sz="4" w:space="0"/>
              <w:left w:val="single" w:color="000000" w:sz="4" w:space="0"/>
              <w:bottom w:val="single" w:color="000000" w:sz="4" w:space="0"/>
              <w:right w:val="single" w:color="000000" w:sz="4" w:space="0"/>
            </w:tcBorders>
            <w:noWrap w:val="0"/>
            <w:vAlign w:val="center"/>
          </w:tcPr>
          <w:p w14:paraId="78623E46">
            <w:pPr>
              <w:adjustRightInd w:val="0"/>
              <w:snapToGrid w:val="0"/>
              <w:jc w:val="center"/>
              <w:rPr>
                <w:rFonts w:hint="eastAsia" w:ascii="仿宋" w:eastAsia="仿宋" w:cs="仿宋"/>
                <w:bCs/>
                <w:sz w:val="24"/>
                <w:szCs w:val="24"/>
                <w:lang w:eastAsia="zh-CN"/>
              </w:rPr>
            </w:pPr>
            <w:r>
              <w:rPr>
                <w:rFonts w:hint="eastAsia" w:ascii="仿宋" w:eastAsia="仿宋" w:cs="仿宋"/>
                <w:bCs/>
                <w:sz w:val="24"/>
                <w:szCs w:val="24"/>
                <w:lang w:val="en-US" w:eastAsia="zh-CN"/>
              </w:rPr>
              <w:t>4</w:t>
            </w:r>
          </w:p>
        </w:tc>
        <w:tc>
          <w:tcPr>
            <w:tcW w:w="877" w:type="dxa"/>
            <w:gridSpan w:val="2"/>
            <w:tcBorders>
              <w:top w:val="single" w:color="000000" w:sz="4" w:space="0"/>
              <w:left w:val="single" w:color="000000" w:sz="4" w:space="0"/>
              <w:bottom w:val="single" w:color="000000" w:sz="4" w:space="0"/>
              <w:right w:val="single" w:color="000000" w:sz="4" w:space="0"/>
            </w:tcBorders>
            <w:noWrap w:val="0"/>
            <w:vAlign w:val="center"/>
          </w:tcPr>
          <w:p w14:paraId="54533068">
            <w:pPr>
              <w:adjustRightInd w:val="0"/>
              <w:snapToGrid w:val="0"/>
              <w:jc w:val="center"/>
              <w:rPr>
                <w:rFonts w:hint="eastAsia" w:ascii="仿宋" w:eastAsia="仿宋" w:cs="仿宋"/>
                <w:bCs/>
                <w:sz w:val="24"/>
                <w:szCs w:val="24"/>
                <w:lang w:eastAsia="zh-CN"/>
              </w:rPr>
            </w:pPr>
            <w:r>
              <w:rPr>
                <w:rFonts w:hint="eastAsia" w:ascii="仿宋" w:eastAsia="仿宋" w:cs="仿宋"/>
                <w:bCs/>
                <w:sz w:val="24"/>
                <w:szCs w:val="24"/>
                <w:lang w:val="en-US" w:eastAsia="zh-CN"/>
              </w:rPr>
              <w:t>4</w:t>
            </w:r>
          </w:p>
        </w:tc>
        <w:tc>
          <w:tcPr>
            <w:tcW w:w="874" w:type="dxa"/>
            <w:tcBorders>
              <w:top w:val="single" w:color="000000" w:sz="4" w:space="0"/>
              <w:left w:val="single" w:color="000000" w:sz="4" w:space="0"/>
              <w:bottom w:val="single" w:color="000000" w:sz="4" w:space="0"/>
              <w:right w:val="single" w:color="000000" w:sz="4" w:space="0"/>
            </w:tcBorders>
            <w:noWrap w:val="0"/>
            <w:vAlign w:val="center"/>
          </w:tcPr>
          <w:p w14:paraId="010FF298">
            <w:pPr>
              <w:adjustRightInd w:val="0"/>
              <w:snapToGrid w:val="0"/>
              <w:jc w:val="center"/>
              <w:rPr>
                <w:rFonts w:hint="default" w:ascii="仿宋" w:eastAsia="仿宋" w:cs="仿宋"/>
                <w:bCs/>
                <w:sz w:val="24"/>
                <w:szCs w:val="24"/>
                <w:lang w:val="en-US" w:eastAsia="zh-CN"/>
              </w:rPr>
            </w:pPr>
            <w:r>
              <w:rPr>
                <w:rFonts w:hint="eastAsia" w:ascii="仿宋" w:eastAsia="仿宋" w:cs="仿宋"/>
                <w:bCs/>
                <w:sz w:val="24"/>
                <w:szCs w:val="24"/>
                <w:lang w:val="en-US" w:eastAsia="zh-CN"/>
              </w:rPr>
              <w:t>12</w:t>
            </w:r>
          </w:p>
        </w:tc>
        <w:tc>
          <w:tcPr>
            <w:tcW w:w="899" w:type="dxa"/>
            <w:tcBorders>
              <w:top w:val="single" w:color="000000" w:sz="4" w:space="0"/>
              <w:left w:val="single" w:color="000000" w:sz="4" w:space="0"/>
              <w:bottom w:val="single" w:color="000000" w:sz="4" w:space="0"/>
              <w:right w:val="single" w:color="000000" w:sz="4" w:space="0"/>
            </w:tcBorders>
            <w:noWrap w:val="0"/>
            <w:vAlign w:val="center"/>
          </w:tcPr>
          <w:p w14:paraId="79660F1D">
            <w:pPr>
              <w:tabs>
                <w:tab w:val="left" w:pos="720"/>
              </w:tabs>
              <w:adjustRightInd w:val="0"/>
              <w:snapToGrid w:val="0"/>
              <w:jc w:val="center"/>
              <w:rPr>
                <w:rFonts w:hint="default" w:ascii="仿宋" w:eastAsia="仿宋" w:cs="仿宋"/>
                <w:bCs/>
                <w:sz w:val="24"/>
                <w:szCs w:val="24"/>
                <w:lang w:val="en-US" w:eastAsia="zh-CN"/>
              </w:rPr>
            </w:pPr>
            <w:r>
              <w:rPr>
                <w:rFonts w:hint="eastAsia" w:ascii="仿宋" w:eastAsia="仿宋" w:cs="仿宋"/>
                <w:bCs/>
                <w:sz w:val="24"/>
                <w:szCs w:val="24"/>
                <w:lang w:val="en-US" w:eastAsia="zh-CN"/>
              </w:rPr>
              <w:t>20</w:t>
            </w:r>
          </w:p>
        </w:tc>
      </w:tr>
      <w:tr w14:paraId="034DC337">
        <w:trPr>
          <w:trHeight w:val="515" w:hRule="atLeast"/>
        </w:trPr>
        <w:tc>
          <w:tcPr>
            <w:tcW w:w="10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276425"/>
        </w:tc>
        <w:tc>
          <w:tcPr>
            <w:tcW w:w="1291" w:type="dxa"/>
            <w:gridSpan w:val="2"/>
            <w:tcBorders>
              <w:top w:val="single" w:color="000000" w:sz="4" w:space="0"/>
              <w:left w:val="single" w:color="000000" w:sz="4" w:space="0"/>
              <w:bottom w:val="single" w:color="000000" w:sz="4" w:space="0"/>
              <w:right w:val="single" w:color="000000" w:sz="4" w:space="0"/>
            </w:tcBorders>
            <w:noWrap w:val="0"/>
            <w:vAlign w:val="center"/>
          </w:tcPr>
          <w:p w14:paraId="45E04E2B">
            <w:pPr>
              <w:adjustRightInd w:val="0"/>
              <w:snapToGrid w:val="0"/>
              <w:jc w:val="center"/>
              <w:rPr>
                <w:rFonts w:ascii="仿宋" w:eastAsia="仿宋" w:cs="仿宋"/>
                <w:bCs/>
                <w:sz w:val="24"/>
                <w:szCs w:val="24"/>
              </w:rPr>
            </w:pPr>
            <w:r>
              <w:rPr>
                <w:rFonts w:hint="eastAsia" w:ascii="仿宋" w:eastAsia="仿宋" w:cs="仿宋"/>
                <w:bCs/>
                <w:sz w:val="24"/>
                <w:szCs w:val="24"/>
              </w:rPr>
              <w:t>课程目标3</w:t>
            </w:r>
          </w:p>
          <w:p w14:paraId="60B56625">
            <w:pPr>
              <w:adjustRightInd w:val="0"/>
              <w:snapToGrid w:val="0"/>
              <w:jc w:val="center"/>
              <w:rPr>
                <w:rFonts w:ascii="仿宋" w:eastAsia="仿宋" w:cs="仿宋"/>
                <w:bCs/>
                <w:sz w:val="24"/>
                <w:szCs w:val="24"/>
              </w:rPr>
            </w:pPr>
            <w:r>
              <w:rPr>
                <w:rFonts w:hint="eastAsia" w:ascii="仿宋" w:eastAsia="仿宋" w:cs="仿宋"/>
                <w:bCs/>
                <w:sz w:val="24"/>
                <w:szCs w:val="24"/>
              </w:rPr>
              <w:t>(50)</w:t>
            </w:r>
          </w:p>
        </w:tc>
        <w:tc>
          <w:tcPr>
            <w:tcW w:w="3550" w:type="dxa"/>
            <w:gridSpan w:val="5"/>
            <w:tcBorders>
              <w:top w:val="single" w:color="000000" w:sz="4" w:space="0"/>
              <w:left w:val="single" w:color="000000" w:sz="4" w:space="0"/>
              <w:bottom w:val="single" w:color="000000" w:sz="4" w:space="0"/>
              <w:right w:val="single" w:color="000000" w:sz="4" w:space="0"/>
            </w:tcBorders>
            <w:noWrap w:val="0"/>
            <w:vAlign w:val="center"/>
          </w:tcPr>
          <w:p w14:paraId="4160310F">
            <w:pPr>
              <w:adjustRightInd w:val="0"/>
              <w:snapToGrid w:val="0"/>
              <w:jc w:val="left"/>
              <w:rPr>
                <w:rFonts w:ascii="仿宋" w:eastAsia="仿宋" w:cs="仿宋"/>
                <w:bCs/>
                <w:sz w:val="24"/>
                <w:szCs w:val="24"/>
              </w:rPr>
            </w:pPr>
            <w:r>
              <w:rPr>
                <w:rFonts w:hint="eastAsia" w:ascii="仿宋" w:hAnsi="仿宋" w:eastAsia="仿宋" w:cs="仿宋"/>
                <w:b w:val="0"/>
                <w:bCs w:val="0"/>
                <w:sz w:val="24"/>
                <w:szCs w:val="24"/>
                <w:lang w:val="en-US" w:eastAsia="zh-CN"/>
              </w:rPr>
              <w:t>总体了解钢琴教学各个阶段常用的教材，以及各种教材的特点、基本教法。对于未来可能面对的不同钢琴教学对象，能够有粗略的教学规划。宏观地了解钢琴教学中的相关问题以及解决思路，掌握进一步解决问题的思路和方法。</w:t>
            </w:r>
          </w:p>
        </w:tc>
        <w:tc>
          <w:tcPr>
            <w:tcW w:w="905" w:type="dxa"/>
            <w:gridSpan w:val="2"/>
            <w:tcBorders>
              <w:top w:val="single" w:color="000000" w:sz="4" w:space="0"/>
              <w:left w:val="single" w:color="000000" w:sz="4" w:space="0"/>
              <w:bottom w:val="single" w:color="000000" w:sz="4" w:space="0"/>
              <w:right w:val="single" w:color="000000" w:sz="4" w:space="0"/>
            </w:tcBorders>
            <w:noWrap w:val="0"/>
            <w:vAlign w:val="center"/>
          </w:tcPr>
          <w:p w14:paraId="0C80C242">
            <w:pPr>
              <w:adjustRightInd w:val="0"/>
              <w:snapToGrid w:val="0"/>
              <w:jc w:val="center"/>
              <w:rPr>
                <w:rFonts w:hint="eastAsia" w:ascii="仿宋" w:eastAsia="仿宋" w:cs="仿宋"/>
                <w:bCs/>
                <w:sz w:val="24"/>
                <w:szCs w:val="24"/>
                <w:lang w:eastAsia="zh-CN"/>
              </w:rPr>
            </w:pPr>
            <w:r>
              <w:rPr>
                <w:rFonts w:hint="eastAsia" w:ascii="仿宋" w:eastAsia="仿宋" w:cs="仿宋"/>
                <w:bCs/>
                <w:sz w:val="24"/>
                <w:szCs w:val="24"/>
              </w:rPr>
              <w:t>1</w:t>
            </w:r>
            <w:r>
              <w:rPr>
                <w:rFonts w:hint="eastAsia" w:ascii="仿宋" w:eastAsia="仿宋" w:cs="仿宋"/>
                <w:bCs/>
                <w:sz w:val="24"/>
                <w:szCs w:val="24"/>
                <w:lang w:val="en-US" w:eastAsia="zh-CN"/>
              </w:rPr>
              <w:t>0</w:t>
            </w:r>
          </w:p>
        </w:tc>
        <w:tc>
          <w:tcPr>
            <w:tcW w:w="877" w:type="dxa"/>
            <w:gridSpan w:val="2"/>
            <w:tcBorders>
              <w:top w:val="single" w:color="000000" w:sz="4" w:space="0"/>
              <w:left w:val="single" w:color="000000" w:sz="4" w:space="0"/>
              <w:bottom w:val="single" w:color="000000" w:sz="4" w:space="0"/>
              <w:right w:val="single" w:color="000000" w:sz="4" w:space="0"/>
            </w:tcBorders>
            <w:noWrap w:val="0"/>
            <w:vAlign w:val="center"/>
          </w:tcPr>
          <w:p w14:paraId="58FC3205">
            <w:pPr>
              <w:adjustRightInd w:val="0"/>
              <w:snapToGrid w:val="0"/>
              <w:jc w:val="center"/>
              <w:rPr>
                <w:rFonts w:hint="eastAsia" w:ascii="仿宋" w:eastAsia="仿宋" w:cs="仿宋"/>
                <w:bCs/>
                <w:sz w:val="24"/>
                <w:szCs w:val="24"/>
                <w:lang w:eastAsia="zh-CN"/>
              </w:rPr>
            </w:pPr>
            <w:r>
              <w:rPr>
                <w:rFonts w:hint="eastAsia" w:ascii="仿宋" w:eastAsia="仿宋" w:cs="仿宋"/>
                <w:bCs/>
                <w:sz w:val="24"/>
                <w:szCs w:val="24"/>
              </w:rPr>
              <w:t>1</w:t>
            </w:r>
            <w:r>
              <w:rPr>
                <w:rFonts w:hint="eastAsia" w:ascii="仿宋" w:eastAsia="仿宋" w:cs="仿宋"/>
                <w:bCs/>
                <w:sz w:val="24"/>
                <w:szCs w:val="24"/>
                <w:lang w:val="en-US" w:eastAsia="zh-CN"/>
              </w:rPr>
              <w:t>0</w:t>
            </w:r>
          </w:p>
        </w:tc>
        <w:tc>
          <w:tcPr>
            <w:tcW w:w="874" w:type="dxa"/>
            <w:tcBorders>
              <w:top w:val="single" w:color="000000" w:sz="4" w:space="0"/>
              <w:left w:val="single" w:color="000000" w:sz="4" w:space="0"/>
              <w:bottom w:val="single" w:color="000000" w:sz="4" w:space="0"/>
              <w:right w:val="single" w:color="000000" w:sz="4" w:space="0"/>
            </w:tcBorders>
            <w:noWrap w:val="0"/>
            <w:vAlign w:val="center"/>
          </w:tcPr>
          <w:p w14:paraId="128B078B">
            <w:pPr>
              <w:adjustRightInd w:val="0"/>
              <w:snapToGrid w:val="0"/>
              <w:jc w:val="center"/>
              <w:rPr>
                <w:rFonts w:ascii="仿宋" w:eastAsia="仿宋" w:cs="仿宋"/>
                <w:bCs/>
                <w:sz w:val="24"/>
                <w:szCs w:val="24"/>
              </w:rPr>
            </w:pPr>
            <w:r>
              <w:rPr>
                <w:rFonts w:hint="eastAsia" w:ascii="仿宋" w:eastAsia="仿宋" w:cs="仿宋"/>
                <w:bCs/>
                <w:sz w:val="24"/>
                <w:szCs w:val="24"/>
                <w:lang w:val="en-US" w:eastAsia="zh-CN"/>
              </w:rPr>
              <w:t>3</w:t>
            </w:r>
            <w:r>
              <w:rPr>
                <w:rFonts w:hint="eastAsia" w:ascii="仿宋" w:eastAsia="仿宋" w:cs="仿宋"/>
                <w:bCs/>
                <w:sz w:val="24"/>
                <w:szCs w:val="24"/>
              </w:rPr>
              <w:t>0</w:t>
            </w:r>
          </w:p>
        </w:tc>
        <w:tc>
          <w:tcPr>
            <w:tcW w:w="899" w:type="dxa"/>
            <w:tcBorders>
              <w:top w:val="single" w:color="000000" w:sz="4" w:space="0"/>
              <w:left w:val="single" w:color="000000" w:sz="4" w:space="0"/>
              <w:bottom w:val="single" w:color="000000" w:sz="4" w:space="0"/>
              <w:right w:val="single" w:color="000000" w:sz="4" w:space="0"/>
            </w:tcBorders>
            <w:noWrap w:val="0"/>
            <w:vAlign w:val="center"/>
          </w:tcPr>
          <w:p w14:paraId="68BE8006">
            <w:pPr>
              <w:tabs>
                <w:tab w:val="left" w:pos="720"/>
              </w:tabs>
              <w:adjustRightInd w:val="0"/>
              <w:snapToGrid w:val="0"/>
              <w:jc w:val="center"/>
              <w:rPr>
                <w:rFonts w:hint="default" w:ascii="仿宋" w:eastAsia="仿宋" w:cs="仿宋"/>
                <w:bCs/>
                <w:sz w:val="24"/>
                <w:szCs w:val="24"/>
                <w:lang w:val="en-US" w:eastAsia="zh-CN"/>
              </w:rPr>
            </w:pPr>
            <w:r>
              <w:rPr>
                <w:rFonts w:hint="eastAsia" w:ascii="仿宋" w:eastAsia="仿宋" w:cs="仿宋"/>
                <w:bCs/>
                <w:sz w:val="24"/>
                <w:szCs w:val="24"/>
                <w:lang w:val="en-US" w:eastAsia="zh-CN"/>
              </w:rPr>
              <w:t>50</w:t>
            </w:r>
          </w:p>
        </w:tc>
      </w:tr>
      <w:tr w14:paraId="274858F7">
        <w:trPr>
          <w:trHeight w:val="515" w:hRule="atLeast"/>
        </w:trPr>
        <w:tc>
          <w:tcPr>
            <w:tcW w:w="10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92F437"/>
        </w:tc>
        <w:tc>
          <w:tcPr>
            <w:tcW w:w="4841" w:type="dxa"/>
            <w:gridSpan w:val="7"/>
            <w:tcBorders>
              <w:top w:val="single" w:color="000000" w:sz="4" w:space="0"/>
              <w:left w:val="single" w:color="000000" w:sz="4" w:space="0"/>
              <w:bottom w:val="single" w:color="000000" w:sz="4" w:space="0"/>
              <w:right w:val="single" w:color="000000" w:sz="4" w:space="0"/>
            </w:tcBorders>
            <w:noWrap w:val="0"/>
            <w:vAlign w:val="center"/>
          </w:tcPr>
          <w:p w14:paraId="7C71403B">
            <w:pPr>
              <w:spacing w:line="280" w:lineRule="exact"/>
              <w:jc w:val="center"/>
              <w:rPr>
                <w:rFonts w:ascii="仿宋" w:eastAsia="仿宋" w:cs="仿宋"/>
                <w:kern w:val="2"/>
                <w:sz w:val="24"/>
              </w:rPr>
            </w:pPr>
            <w:r>
              <w:rPr>
                <w:rFonts w:hint="eastAsia" w:ascii="仿宋" w:eastAsia="仿宋" w:cs="仿宋"/>
                <w:kern w:val="2"/>
                <w:sz w:val="24"/>
              </w:rPr>
              <w:t>合计</w:t>
            </w:r>
          </w:p>
        </w:tc>
        <w:tc>
          <w:tcPr>
            <w:tcW w:w="905" w:type="dxa"/>
            <w:gridSpan w:val="2"/>
            <w:tcBorders>
              <w:top w:val="single" w:color="000000" w:sz="4" w:space="0"/>
              <w:left w:val="single" w:color="000000" w:sz="4" w:space="0"/>
              <w:bottom w:val="single" w:color="000000" w:sz="4" w:space="0"/>
              <w:right w:val="single" w:color="000000" w:sz="4" w:space="0"/>
            </w:tcBorders>
            <w:noWrap w:val="0"/>
            <w:vAlign w:val="center"/>
          </w:tcPr>
          <w:p w14:paraId="1686EFEF">
            <w:pPr>
              <w:tabs>
                <w:tab w:val="left" w:pos="720"/>
              </w:tabs>
              <w:adjustRightInd w:val="0"/>
              <w:snapToGrid w:val="0"/>
              <w:jc w:val="center"/>
              <w:rPr>
                <w:rFonts w:ascii="仿宋" w:eastAsia="仿宋" w:cs="仿宋"/>
                <w:bCs/>
                <w:sz w:val="24"/>
                <w:szCs w:val="24"/>
              </w:rPr>
            </w:pPr>
            <w:r>
              <w:rPr>
                <w:rFonts w:hint="eastAsia" w:ascii="仿宋" w:eastAsia="仿宋" w:cs="仿宋"/>
                <w:bCs/>
                <w:sz w:val="24"/>
                <w:szCs w:val="24"/>
                <w:lang w:val="en-US" w:eastAsia="zh-CN"/>
              </w:rPr>
              <w:t>2</w:t>
            </w:r>
            <w:r>
              <w:rPr>
                <w:rFonts w:hint="eastAsia" w:ascii="仿宋" w:eastAsia="仿宋" w:cs="仿宋"/>
                <w:bCs/>
                <w:sz w:val="24"/>
                <w:szCs w:val="24"/>
              </w:rPr>
              <w:t>0</w:t>
            </w:r>
          </w:p>
        </w:tc>
        <w:tc>
          <w:tcPr>
            <w:tcW w:w="877" w:type="dxa"/>
            <w:gridSpan w:val="2"/>
            <w:tcBorders>
              <w:top w:val="single" w:color="000000" w:sz="4" w:space="0"/>
              <w:left w:val="single" w:color="000000" w:sz="4" w:space="0"/>
              <w:bottom w:val="single" w:color="000000" w:sz="4" w:space="0"/>
              <w:right w:val="single" w:color="000000" w:sz="4" w:space="0"/>
            </w:tcBorders>
            <w:noWrap w:val="0"/>
            <w:vAlign w:val="center"/>
          </w:tcPr>
          <w:p w14:paraId="41C2A50A">
            <w:pPr>
              <w:tabs>
                <w:tab w:val="left" w:pos="720"/>
              </w:tabs>
              <w:adjustRightInd w:val="0"/>
              <w:snapToGrid w:val="0"/>
              <w:jc w:val="center"/>
              <w:rPr>
                <w:rFonts w:ascii="仿宋" w:eastAsia="仿宋" w:cs="仿宋"/>
                <w:bCs/>
                <w:sz w:val="24"/>
                <w:szCs w:val="24"/>
              </w:rPr>
            </w:pPr>
            <w:r>
              <w:rPr>
                <w:rFonts w:hint="eastAsia" w:ascii="仿宋" w:eastAsia="仿宋" w:cs="仿宋"/>
                <w:bCs/>
                <w:sz w:val="24"/>
                <w:szCs w:val="24"/>
                <w:lang w:val="en-US" w:eastAsia="zh-CN"/>
              </w:rPr>
              <w:t>2</w:t>
            </w:r>
            <w:r>
              <w:rPr>
                <w:rFonts w:hint="eastAsia" w:ascii="仿宋" w:eastAsia="仿宋" w:cs="仿宋"/>
                <w:bCs/>
                <w:sz w:val="24"/>
                <w:szCs w:val="24"/>
              </w:rPr>
              <w:t>0</w:t>
            </w:r>
          </w:p>
        </w:tc>
        <w:tc>
          <w:tcPr>
            <w:tcW w:w="874" w:type="dxa"/>
            <w:tcBorders>
              <w:top w:val="single" w:color="000000" w:sz="4" w:space="0"/>
              <w:left w:val="single" w:color="000000" w:sz="4" w:space="0"/>
              <w:bottom w:val="single" w:color="000000" w:sz="4" w:space="0"/>
              <w:right w:val="single" w:color="000000" w:sz="4" w:space="0"/>
            </w:tcBorders>
            <w:noWrap w:val="0"/>
            <w:vAlign w:val="center"/>
          </w:tcPr>
          <w:p w14:paraId="0E6C474B">
            <w:pPr>
              <w:tabs>
                <w:tab w:val="left" w:pos="720"/>
              </w:tabs>
              <w:adjustRightInd w:val="0"/>
              <w:snapToGrid w:val="0"/>
              <w:jc w:val="center"/>
              <w:rPr>
                <w:rFonts w:ascii="仿宋" w:eastAsia="仿宋" w:cs="仿宋"/>
                <w:bCs/>
                <w:sz w:val="24"/>
                <w:szCs w:val="24"/>
              </w:rPr>
            </w:pPr>
            <w:r>
              <w:rPr>
                <w:rFonts w:hint="eastAsia" w:ascii="仿宋" w:eastAsia="仿宋" w:cs="仿宋"/>
                <w:bCs/>
                <w:sz w:val="24"/>
                <w:szCs w:val="24"/>
                <w:lang w:val="en-US" w:eastAsia="zh-CN"/>
              </w:rPr>
              <w:t>6</w:t>
            </w:r>
            <w:r>
              <w:rPr>
                <w:rFonts w:hint="eastAsia" w:ascii="仿宋" w:eastAsia="仿宋" w:cs="仿宋"/>
                <w:bCs/>
                <w:sz w:val="24"/>
                <w:szCs w:val="24"/>
              </w:rPr>
              <w:t>0</w:t>
            </w:r>
          </w:p>
        </w:tc>
        <w:tc>
          <w:tcPr>
            <w:tcW w:w="899" w:type="dxa"/>
            <w:tcBorders>
              <w:top w:val="single" w:color="000000" w:sz="4" w:space="0"/>
              <w:left w:val="single" w:color="000000" w:sz="4" w:space="0"/>
              <w:bottom w:val="single" w:color="000000" w:sz="4" w:space="0"/>
              <w:right w:val="single" w:color="000000" w:sz="4" w:space="0"/>
            </w:tcBorders>
            <w:noWrap w:val="0"/>
            <w:vAlign w:val="top"/>
          </w:tcPr>
          <w:p w14:paraId="17F72232">
            <w:pPr>
              <w:tabs>
                <w:tab w:val="left" w:pos="720"/>
              </w:tabs>
              <w:adjustRightInd w:val="0"/>
              <w:snapToGrid w:val="0"/>
              <w:jc w:val="center"/>
              <w:rPr>
                <w:rFonts w:hint="default" w:ascii="仿宋" w:eastAsia="仿宋" w:cs="仿宋"/>
                <w:bCs/>
                <w:sz w:val="24"/>
                <w:szCs w:val="24"/>
                <w:lang w:val="en-US" w:eastAsia="zh-CN"/>
              </w:rPr>
            </w:pPr>
            <w:r>
              <w:rPr>
                <w:rFonts w:hint="eastAsia" w:ascii="仿宋" w:eastAsia="仿宋" w:cs="仿宋"/>
                <w:bCs/>
                <w:sz w:val="24"/>
                <w:szCs w:val="24"/>
                <w:lang w:val="en-US" w:eastAsia="zh-CN"/>
              </w:rPr>
              <w:t>100</w:t>
            </w:r>
          </w:p>
        </w:tc>
      </w:tr>
      <w:tr w14:paraId="2734A113">
        <w:tc>
          <w:tcPr>
            <w:tcW w:w="1022" w:type="dxa"/>
            <w:tcBorders>
              <w:top w:val="single" w:color="000000" w:sz="4" w:space="0"/>
              <w:left w:val="single" w:color="000000" w:sz="4" w:space="0"/>
              <w:bottom w:val="single" w:color="000000" w:sz="4" w:space="0"/>
              <w:right w:val="single" w:color="000000" w:sz="4" w:space="0"/>
            </w:tcBorders>
            <w:noWrap w:val="0"/>
            <w:vAlign w:val="center"/>
          </w:tcPr>
          <w:p w14:paraId="27C924CD">
            <w:pPr>
              <w:spacing w:line="280" w:lineRule="exact"/>
              <w:jc w:val="center"/>
              <w:rPr>
                <w:rFonts w:ascii="仿宋" w:eastAsia="仿宋" w:cs="仿宋"/>
                <w:kern w:val="2"/>
                <w:sz w:val="24"/>
              </w:rPr>
            </w:pPr>
            <w:r>
              <w:rPr>
                <w:rFonts w:hint="eastAsia" w:ascii="仿宋" w:eastAsia="仿宋" w:cs="仿宋"/>
                <w:kern w:val="2"/>
                <w:sz w:val="24"/>
              </w:rPr>
              <w:t>L</w:t>
            </w:r>
          </w:p>
          <w:p w14:paraId="3B9FE25D">
            <w:pPr>
              <w:spacing w:line="280" w:lineRule="exact"/>
              <w:jc w:val="center"/>
              <w:rPr>
                <w:rFonts w:ascii="仿宋" w:eastAsia="仿宋" w:cs="仿宋"/>
                <w:kern w:val="2"/>
                <w:sz w:val="24"/>
              </w:rPr>
            </w:pPr>
            <w:r>
              <w:rPr>
                <w:rFonts w:hint="eastAsia" w:ascii="仿宋" w:eastAsia="仿宋" w:cs="仿宋"/>
                <w:kern w:val="2"/>
                <w:sz w:val="24"/>
              </w:rPr>
              <w:t>学习建议</w:t>
            </w:r>
          </w:p>
        </w:tc>
        <w:tc>
          <w:tcPr>
            <w:tcW w:w="8396" w:type="dxa"/>
            <w:gridSpan w:val="13"/>
            <w:tcBorders>
              <w:top w:val="single" w:color="000000" w:sz="4" w:space="0"/>
              <w:left w:val="single" w:color="000000" w:sz="4" w:space="0"/>
              <w:bottom w:val="single" w:color="000000" w:sz="4" w:space="0"/>
              <w:right w:val="single" w:color="000000" w:sz="4" w:space="0"/>
            </w:tcBorders>
            <w:noWrap w:val="0"/>
            <w:vAlign w:val="center"/>
          </w:tcPr>
          <w:p w14:paraId="676C08EF">
            <w:pPr>
              <w:adjustRightInd w:val="0"/>
              <w:snapToGrid w:val="0"/>
              <w:rPr>
                <w:rFonts w:ascii="仿宋" w:eastAsia="仿宋" w:cs="仿宋"/>
                <w:bCs/>
                <w:sz w:val="24"/>
                <w:szCs w:val="24"/>
              </w:rPr>
            </w:pPr>
            <w:r>
              <w:rPr>
                <w:rFonts w:hint="eastAsia" w:ascii="仿宋" w:eastAsia="仿宋" w:cs="仿宋"/>
                <w:bCs/>
                <w:sz w:val="24"/>
                <w:szCs w:val="24"/>
              </w:rPr>
              <w:t>1.自主学习。建议学生通过预习教材，并通过网络、图书馆自主查阅课程中涉及的学习资源，独立规划自己的课程学习计划，充分发挥自身的学习能动性。</w:t>
            </w:r>
          </w:p>
          <w:p w14:paraId="00B9D092">
            <w:pPr>
              <w:rPr>
                <w:rFonts w:ascii="仿宋" w:eastAsia="仿宋" w:cs="仿宋"/>
                <w:kern w:val="2"/>
                <w:sz w:val="24"/>
              </w:rPr>
            </w:pPr>
            <w:r>
              <w:rPr>
                <w:rFonts w:hint="eastAsia" w:ascii="仿宋" w:eastAsia="仿宋" w:cs="仿宋"/>
                <w:bCs/>
                <w:sz w:val="24"/>
                <w:szCs w:val="24"/>
              </w:rPr>
              <w:t>2.研究性学习。鼓励学生针对课程教学内容，尝试理论课结合专题报告的教学方式，开展相关的学科进展和专题讲座，提高学生的学习兴趣，了解国内外最新学科知识，开阔学生的视野。</w:t>
            </w:r>
          </w:p>
        </w:tc>
      </w:tr>
      <w:tr w14:paraId="3D8BB3B8">
        <w:trPr>
          <w:trHeight w:val="454" w:hRule="atLeast"/>
        </w:trPr>
        <w:tc>
          <w:tcPr>
            <w:tcW w:w="1022" w:type="dxa"/>
            <w:tcBorders>
              <w:top w:val="single" w:color="000000" w:sz="4" w:space="0"/>
              <w:left w:val="single" w:color="000000" w:sz="4" w:space="0"/>
              <w:bottom w:val="single" w:color="000000" w:sz="4" w:space="0"/>
              <w:right w:val="single" w:color="000000" w:sz="4" w:space="0"/>
            </w:tcBorders>
            <w:noWrap w:val="0"/>
            <w:vAlign w:val="center"/>
          </w:tcPr>
          <w:p w14:paraId="01DE6DFE">
            <w:pPr>
              <w:spacing w:line="280" w:lineRule="exact"/>
              <w:jc w:val="center"/>
              <w:rPr>
                <w:rFonts w:ascii="仿宋" w:eastAsia="仿宋" w:cs="仿宋"/>
                <w:kern w:val="2"/>
                <w:sz w:val="24"/>
              </w:rPr>
            </w:pPr>
            <w:r>
              <w:rPr>
                <w:rFonts w:hint="eastAsia" w:ascii="仿宋" w:eastAsia="仿宋" w:cs="仿宋"/>
                <w:kern w:val="2"/>
                <w:sz w:val="24"/>
              </w:rPr>
              <w:t>M</w:t>
            </w:r>
          </w:p>
          <w:p w14:paraId="52058E61">
            <w:pPr>
              <w:spacing w:line="280" w:lineRule="exact"/>
              <w:jc w:val="center"/>
              <w:rPr>
                <w:rFonts w:ascii="仿宋" w:eastAsia="仿宋" w:cs="仿宋"/>
                <w:kern w:val="2"/>
                <w:sz w:val="24"/>
              </w:rPr>
            </w:pPr>
            <w:r>
              <w:rPr>
                <w:rFonts w:hint="eastAsia" w:ascii="仿宋" w:eastAsia="仿宋" w:cs="仿宋"/>
                <w:kern w:val="2"/>
                <w:sz w:val="24"/>
              </w:rPr>
              <w:t>评分量表</w:t>
            </w:r>
          </w:p>
        </w:tc>
        <w:tc>
          <w:tcPr>
            <w:tcW w:w="8396" w:type="dxa"/>
            <w:gridSpan w:val="13"/>
            <w:tcBorders>
              <w:top w:val="single" w:color="000000" w:sz="4" w:space="0"/>
              <w:left w:val="single" w:color="000000" w:sz="4" w:space="0"/>
              <w:bottom w:val="single" w:color="000000" w:sz="4" w:space="0"/>
              <w:right w:val="single" w:color="000000" w:sz="4" w:space="0"/>
            </w:tcBorders>
            <w:noWrap w:val="0"/>
            <w:vAlign w:val="center"/>
          </w:tcPr>
          <w:p w14:paraId="2ECEDA7C">
            <w:pPr>
              <w:adjustRightInd w:val="0"/>
              <w:snapToGrid w:val="0"/>
              <w:spacing w:line="240" w:lineRule="atLeast"/>
              <w:jc w:val="left"/>
              <w:rPr>
                <w:rFonts w:ascii="仿宋" w:eastAsia="仿宋" w:cs="仿宋"/>
                <w:bCs/>
                <w:sz w:val="24"/>
                <w:szCs w:val="24"/>
              </w:rPr>
            </w:pPr>
            <w:r>
              <w:rPr>
                <w:rFonts w:hint="eastAsia" w:ascii="仿宋" w:eastAsia="仿宋" w:cs="仿宋"/>
                <w:kern w:val="2"/>
                <w:sz w:val="24"/>
                <w:szCs w:val="24"/>
              </w:rPr>
              <w:t>《</w:t>
            </w:r>
            <w:r>
              <w:rPr>
                <w:rFonts w:hint="eastAsia" w:ascii="仿宋" w:eastAsia="仿宋" w:cs="仿宋"/>
                <w:bCs/>
                <w:sz w:val="24"/>
                <w:szCs w:val="24"/>
                <w:lang w:eastAsia="zh-CN"/>
              </w:rPr>
              <w:t>钢琴教学法</w:t>
            </w:r>
            <w:r>
              <w:rPr>
                <w:rFonts w:hint="eastAsia" w:ascii="仿宋" w:eastAsia="仿宋" w:cs="仿宋"/>
                <w:kern w:val="2"/>
                <w:sz w:val="24"/>
                <w:szCs w:val="24"/>
              </w:rPr>
              <w:t>》</w:t>
            </w:r>
            <w:r>
              <w:rPr>
                <w:rFonts w:hint="eastAsia" w:ascii="仿宋" w:eastAsia="仿宋" w:cs="仿宋"/>
                <w:szCs w:val="21"/>
              </w:rPr>
              <w:t>课程目标评分量表见附表。</w:t>
            </w:r>
          </w:p>
        </w:tc>
      </w:tr>
      <w:tr w14:paraId="0F25785C">
        <w:trPr>
          <w:trHeight w:val="454" w:hRule="atLeast"/>
        </w:trPr>
        <w:tc>
          <w:tcPr>
            <w:tcW w:w="1022" w:type="dxa"/>
            <w:tcBorders>
              <w:top w:val="single" w:color="000000" w:sz="4" w:space="0"/>
              <w:left w:val="single" w:color="000000" w:sz="4" w:space="0"/>
              <w:bottom w:val="single" w:color="000000" w:sz="4" w:space="0"/>
              <w:right w:val="single" w:color="000000" w:sz="4" w:space="0"/>
            </w:tcBorders>
            <w:noWrap w:val="0"/>
            <w:vAlign w:val="center"/>
          </w:tcPr>
          <w:p w14:paraId="32E30069">
            <w:pPr>
              <w:spacing w:line="280" w:lineRule="exact"/>
              <w:jc w:val="center"/>
              <w:rPr>
                <w:rFonts w:ascii="仿宋" w:eastAsia="仿宋" w:cs="仿宋"/>
                <w:kern w:val="2"/>
                <w:sz w:val="24"/>
              </w:rPr>
            </w:pPr>
            <w:r>
              <w:rPr>
                <w:rFonts w:hint="eastAsia" w:ascii="仿宋" w:eastAsia="仿宋" w:cs="仿宋"/>
                <w:kern w:val="2"/>
                <w:sz w:val="24"/>
              </w:rPr>
              <w:t>备注</w:t>
            </w:r>
          </w:p>
        </w:tc>
        <w:tc>
          <w:tcPr>
            <w:tcW w:w="8396" w:type="dxa"/>
            <w:gridSpan w:val="13"/>
            <w:tcBorders>
              <w:top w:val="single" w:color="000000" w:sz="4" w:space="0"/>
              <w:left w:val="single" w:color="000000" w:sz="4" w:space="0"/>
              <w:bottom w:val="single" w:color="000000" w:sz="4" w:space="0"/>
              <w:right w:val="single" w:color="000000" w:sz="4" w:space="0"/>
            </w:tcBorders>
            <w:noWrap w:val="0"/>
            <w:vAlign w:val="center"/>
          </w:tcPr>
          <w:p w14:paraId="7898CB5A">
            <w:pPr>
              <w:spacing w:line="280" w:lineRule="exact"/>
              <w:rPr>
                <w:rFonts w:ascii="仿宋" w:eastAsia="仿宋" w:cs="仿宋"/>
                <w:kern w:val="2"/>
                <w:sz w:val="24"/>
              </w:rPr>
            </w:pPr>
            <w:r>
              <w:rPr>
                <w:rFonts w:hint="eastAsia" w:ascii="仿宋" w:eastAsia="仿宋" w:cs="仿宋"/>
                <w:kern w:val="2"/>
                <w:sz w:val="24"/>
              </w:rPr>
              <w:t>课程大纲A—M项由开课学院审批通过，任课教师不能自行更改。</w:t>
            </w:r>
          </w:p>
          <w:p w14:paraId="4A67CD95">
            <w:pPr>
              <w:spacing w:line="280" w:lineRule="exact"/>
              <w:rPr>
                <w:rFonts w:ascii="仿宋" w:eastAsia="仿宋" w:cs="仿宋"/>
                <w:kern w:val="2"/>
                <w:sz w:val="24"/>
              </w:rPr>
            </w:pPr>
          </w:p>
        </w:tc>
      </w:tr>
      <w:tr w14:paraId="0ABC1D1E">
        <w:trPr>
          <w:trHeight w:val="2045" w:hRule="atLeast"/>
        </w:trPr>
        <w:tc>
          <w:tcPr>
            <w:tcW w:w="1022" w:type="dxa"/>
            <w:tcBorders>
              <w:top w:val="single" w:color="000000" w:sz="4" w:space="0"/>
              <w:left w:val="single" w:color="000000" w:sz="4" w:space="0"/>
              <w:bottom w:val="single" w:color="000000" w:sz="4" w:space="0"/>
              <w:right w:val="single" w:color="000000" w:sz="4" w:space="0"/>
            </w:tcBorders>
            <w:noWrap w:val="0"/>
            <w:vAlign w:val="center"/>
          </w:tcPr>
          <w:p w14:paraId="3A0BCEDD">
            <w:pPr>
              <w:spacing w:line="280" w:lineRule="exact"/>
              <w:jc w:val="center"/>
              <w:rPr>
                <w:rFonts w:ascii="仿宋" w:eastAsia="仿宋" w:cs="仿宋"/>
                <w:kern w:val="2"/>
                <w:sz w:val="24"/>
              </w:rPr>
            </w:pPr>
            <w:r>
              <w:rPr>
                <w:rFonts w:hint="eastAsia" w:ascii="仿宋" w:eastAsia="仿宋" w:cs="仿宋"/>
                <w:kern w:val="2"/>
                <w:sz w:val="24"/>
              </w:rPr>
              <w:t>审批</w:t>
            </w:r>
          </w:p>
          <w:p w14:paraId="44C790A3">
            <w:pPr>
              <w:spacing w:line="280" w:lineRule="exact"/>
              <w:jc w:val="center"/>
              <w:rPr>
                <w:rFonts w:ascii="仿宋" w:eastAsia="仿宋" w:cs="仿宋"/>
                <w:kern w:val="2"/>
                <w:sz w:val="24"/>
              </w:rPr>
            </w:pPr>
            <w:r>
              <w:rPr>
                <w:rFonts w:hint="eastAsia" w:ascii="仿宋" w:eastAsia="仿宋" w:cs="仿宋"/>
                <w:kern w:val="2"/>
                <w:sz w:val="24"/>
              </w:rPr>
              <w:t>意见</w:t>
            </w:r>
          </w:p>
        </w:tc>
        <w:tc>
          <w:tcPr>
            <w:tcW w:w="3741" w:type="dxa"/>
            <w:gridSpan w:val="5"/>
            <w:tcBorders>
              <w:top w:val="single" w:color="000000" w:sz="4" w:space="0"/>
              <w:left w:val="single" w:color="000000" w:sz="4" w:space="0"/>
              <w:bottom w:val="single" w:color="000000" w:sz="4" w:space="0"/>
              <w:right w:val="single" w:color="000000" w:sz="4" w:space="0"/>
            </w:tcBorders>
            <w:noWrap w:val="0"/>
            <w:vAlign w:val="top"/>
          </w:tcPr>
          <w:p w14:paraId="6F03F773">
            <w:pPr>
              <w:widowControl/>
              <w:jc w:val="left"/>
              <w:rPr>
                <w:rFonts w:ascii="仿宋" w:eastAsia="仿宋" w:cs="仿宋"/>
                <w:sz w:val="24"/>
                <w:szCs w:val="24"/>
              </w:rPr>
            </w:pPr>
            <w:r>
              <w:rPr>
                <w:rFonts w:hint="eastAsia" w:ascii="仿宋" w:eastAsia="仿宋" w:cs="仿宋"/>
                <w:sz w:val="24"/>
                <w:szCs w:val="24"/>
              </w:rPr>
              <w:t>课程教学大纲修订负责人及教学团队成员</w:t>
            </w:r>
            <w:r>
              <w:rPr>
                <w:rFonts w:hint="eastAsia" w:ascii="仿宋" w:eastAsia="仿宋" w:cs="仿宋"/>
                <w:kern w:val="2"/>
                <w:sz w:val="24"/>
                <w:szCs w:val="24"/>
              </w:rPr>
              <w:t>签名</w:t>
            </w:r>
            <w:r>
              <w:rPr>
                <w:rFonts w:hint="eastAsia" w:ascii="仿宋" w:eastAsia="仿宋" w:cs="仿宋"/>
                <w:sz w:val="24"/>
                <w:szCs w:val="24"/>
              </w:rPr>
              <w:t>：</w:t>
            </w:r>
          </w:p>
          <w:p w14:paraId="77328A2C">
            <w:pPr>
              <w:widowControl/>
              <w:rPr>
                <w:rFonts w:ascii="仿宋" w:eastAsia="仿宋" w:cs="仿宋"/>
                <w:sz w:val="24"/>
                <w:szCs w:val="24"/>
              </w:rPr>
            </w:pPr>
          </w:p>
          <w:p w14:paraId="5B8B7717">
            <w:pPr>
              <w:widowControl/>
              <w:rPr>
                <w:rFonts w:ascii="仿宋" w:eastAsia="仿宋" w:cs="仿宋"/>
                <w:sz w:val="24"/>
                <w:szCs w:val="24"/>
              </w:rPr>
            </w:pPr>
          </w:p>
          <w:p w14:paraId="1988820D">
            <w:pPr>
              <w:widowControl/>
              <w:rPr>
                <w:rFonts w:ascii="仿宋" w:eastAsia="仿宋" w:cs="仿宋"/>
                <w:sz w:val="24"/>
                <w:szCs w:val="24"/>
              </w:rPr>
            </w:pPr>
          </w:p>
          <w:p w14:paraId="12E6CB8B">
            <w:pPr>
              <w:widowControl/>
              <w:jc w:val="right"/>
              <w:rPr>
                <w:rFonts w:ascii="仿宋" w:eastAsia="仿宋" w:cs="仿宋"/>
                <w:sz w:val="24"/>
                <w:szCs w:val="24"/>
              </w:rPr>
            </w:pPr>
            <w:r>
              <w:rPr>
                <w:rFonts w:hint="eastAsia" w:ascii="仿宋" w:eastAsia="仿宋" w:cs="仿宋"/>
                <w:sz w:val="24"/>
                <w:szCs w:val="24"/>
              </w:rPr>
              <w:t>年   月   日</w:t>
            </w:r>
          </w:p>
        </w:tc>
        <w:tc>
          <w:tcPr>
            <w:tcW w:w="4655" w:type="dxa"/>
            <w:gridSpan w:val="8"/>
            <w:tcBorders>
              <w:top w:val="single" w:color="000000" w:sz="4" w:space="0"/>
              <w:left w:val="single" w:color="000000" w:sz="4" w:space="0"/>
              <w:bottom w:val="single" w:color="000000" w:sz="4" w:space="0"/>
              <w:right w:val="single" w:color="000000" w:sz="4" w:space="0"/>
            </w:tcBorders>
            <w:noWrap w:val="0"/>
            <w:vAlign w:val="top"/>
          </w:tcPr>
          <w:p w14:paraId="341C27A2">
            <w:pPr>
              <w:widowControl/>
              <w:rPr>
                <w:rFonts w:ascii="仿宋" w:eastAsia="仿宋" w:cs="仿宋"/>
                <w:sz w:val="24"/>
                <w:szCs w:val="24"/>
              </w:rPr>
            </w:pPr>
            <w:r>
              <w:rPr>
                <w:rFonts w:hint="eastAsia" w:ascii="仿宋" w:eastAsia="仿宋" w:cs="仿宋"/>
                <w:sz w:val="24"/>
                <w:szCs w:val="24"/>
              </w:rPr>
              <w:t>系主任审核意见：</w:t>
            </w:r>
          </w:p>
          <w:p w14:paraId="7AE91C38">
            <w:pPr>
              <w:widowControl/>
              <w:rPr>
                <w:rFonts w:ascii="仿宋" w:eastAsia="仿宋" w:cs="仿宋"/>
                <w:sz w:val="24"/>
                <w:szCs w:val="24"/>
              </w:rPr>
            </w:pPr>
          </w:p>
          <w:p w14:paraId="54DBAD32">
            <w:pPr>
              <w:widowControl/>
              <w:rPr>
                <w:rFonts w:ascii="仿宋" w:eastAsia="仿宋" w:cs="仿宋"/>
                <w:sz w:val="24"/>
                <w:szCs w:val="24"/>
              </w:rPr>
            </w:pPr>
          </w:p>
          <w:p w14:paraId="7A1E2339">
            <w:pPr>
              <w:widowControl/>
              <w:rPr>
                <w:rFonts w:ascii="仿宋" w:eastAsia="仿宋" w:cs="仿宋"/>
                <w:sz w:val="24"/>
                <w:szCs w:val="24"/>
              </w:rPr>
            </w:pPr>
            <w:r>
              <w:rPr>
                <w:rFonts w:hint="eastAsia" w:ascii="仿宋" w:eastAsia="仿宋" w:cs="仿宋"/>
                <w:sz w:val="24"/>
                <w:szCs w:val="24"/>
              </w:rPr>
              <w:t>系主任签名：</w:t>
            </w:r>
          </w:p>
          <w:p w14:paraId="30033B39">
            <w:pPr>
              <w:widowControl/>
              <w:rPr>
                <w:rFonts w:ascii="仿宋" w:eastAsia="仿宋" w:cs="仿宋"/>
                <w:sz w:val="24"/>
                <w:szCs w:val="24"/>
              </w:rPr>
            </w:pPr>
          </w:p>
          <w:p w14:paraId="658C7ECF">
            <w:pPr>
              <w:widowControl/>
              <w:jc w:val="right"/>
              <w:rPr>
                <w:rFonts w:ascii="仿宋" w:eastAsia="仿宋" w:cs="仿宋"/>
                <w:sz w:val="24"/>
                <w:szCs w:val="24"/>
              </w:rPr>
            </w:pPr>
            <w:r>
              <w:rPr>
                <w:rFonts w:hint="eastAsia" w:ascii="仿宋" w:eastAsia="仿宋" w:cs="仿宋"/>
                <w:sz w:val="24"/>
                <w:szCs w:val="24"/>
              </w:rPr>
              <w:t>年   月   日</w:t>
            </w:r>
          </w:p>
        </w:tc>
      </w:tr>
    </w:tbl>
    <w:p w14:paraId="1AD924C8">
      <w:pPr>
        <w:spacing w:before="240" w:line="276" w:lineRule="auto"/>
        <w:jc w:val="center"/>
        <w:outlineLvl w:val="0"/>
        <w:rPr>
          <w:rFonts w:ascii="仿宋" w:eastAsia="仿宋" w:cs="黑体"/>
          <w:b/>
          <w:kern w:val="2"/>
          <w:sz w:val="28"/>
          <w:szCs w:val="28"/>
        </w:rPr>
      </w:pPr>
      <w:bookmarkStart w:id="195" w:name="_Toc1862696749"/>
      <w:r>
        <w:rPr>
          <w:rFonts w:hint="eastAsia" w:ascii="仿宋" w:eastAsia="仿宋" w:cs="仿宋"/>
          <w:b/>
          <w:kern w:val="2"/>
          <w:sz w:val="28"/>
          <w:szCs w:val="28"/>
        </w:rPr>
        <w:t>附表：《</w:t>
      </w:r>
      <w:r>
        <w:rPr>
          <w:rFonts w:hint="eastAsia" w:ascii="仿宋" w:eastAsia="仿宋" w:cs="仿宋"/>
          <w:b/>
          <w:bCs/>
          <w:kern w:val="2"/>
          <w:sz w:val="28"/>
          <w:szCs w:val="28"/>
          <w:lang w:eastAsia="zh-CN"/>
        </w:rPr>
        <w:t>钢琴教学法</w:t>
      </w:r>
      <w:r>
        <w:rPr>
          <w:rFonts w:hint="eastAsia" w:ascii="仿宋" w:eastAsia="仿宋" w:cs="仿宋"/>
          <w:b/>
          <w:kern w:val="2"/>
          <w:sz w:val="28"/>
          <w:szCs w:val="28"/>
        </w:rPr>
        <w:t>》课程目标评分量表</w:t>
      </w:r>
      <w:bookmarkEnd w:id="195"/>
    </w:p>
    <w:tbl>
      <w:tblPr>
        <w:tblStyle w:val="22"/>
        <w:tblW w:w="9336" w:type="dxa"/>
        <w:tblInd w:w="94" w:type="dxa"/>
        <w:tblLayout w:type="autofit"/>
        <w:tblCellMar>
          <w:top w:w="0" w:type="dxa"/>
          <w:left w:w="108" w:type="dxa"/>
          <w:bottom w:w="0" w:type="dxa"/>
          <w:right w:w="108" w:type="dxa"/>
        </w:tblCellMar>
      </w:tblPr>
      <w:tblGrid>
        <w:gridCol w:w="1849"/>
        <w:gridCol w:w="1464"/>
        <w:gridCol w:w="1488"/>
        <w:gridCol w:w="1584"/>
        <w:gridCol w:w="1500"/>
        <w:gridCol w:w="1451"/>
      </w:tblGrid>
      <w:tr w14:paraId="4CCE1792">
        <w:trPr>
          <w:trHeight w:val="799" w:hRule="atLeast"/>
        </w:trPr>
        <w:tc>
          <w:tcPr>
            <w:tcW w:w="1849" w:type="dxa"/>
            <w:tcBorders>
              <w:top w:val="single" w:color="000000" w:sz="4" w:space="0"/>
              <w:left w:val="single" w:color="000000" w:sz="4" w:space="0"/>
              <w:bottom w:val="single" w:color="000000" w:sz="4" w:space="0"/>
              <w:right w:val="single" w:color="000000" w:sz="4" w:space="0"/>
            </w:tcBorders>
            <w:noWrap w:val="0"/>
            <w:vAlign w:val="center"/>
          </w:tcPr>
          <w:p w14:paraId="1D411D77">
            <w:pPr>
              <w:tabs>
                <w:tab w:val="left" w:pos="720"/>
              </w:tabs>
              <w:spacing w:line="240" w:lineRule="atLeast"/>
              <w:jc w:val="center"/>
              <w:rPr>
                <w:rFonts w:ascii="仿宋" w:eastAsia="仿宋" w:cs="仿宋"/>
                <w:b/>
                <w:kern w:val="2"/>
                <w:szCs w:val="21"/>
              </w:rPr>
            </w:pPr>
            <w:r>
              <w:rPr>
                <w:rFonts w:hint="eastAsia" w:ascii="仿宋" w:eastAsia="仿宋" w:cs="仿宋"/>
                <w:b/>
                <w:kern w:val="2"/>
                <w:szCs w:val="21"/>
              </w:rPr>
              <w:t>课程目标</w:t>
            </w:r>
          </w:p>
        </w:tc>
        <w:tc>
          <w:tcPr>
            <w:tcW w:w="1464" w:type="dxa"/>
            <w:tcBorders>
              <w:top w:val="single" w:color="000000" w:sz="4" w:space="0"/>
              <w:left w:val="single" w:color="000000" w:sz="4" w:space="0"/>
              <w:bottom w:val="single" w:color="000000" w:sz="4" w:space="0"/>
              <w:right w:val="single" w:color="000000" w:sz="4" w:space="0"/>
            </w:tcBorders>
            <w:noWrap w:val="0"/>
            <w:vAlign w:val="center"/>
          </w:tcPr>
          <w:p w14:paraId="26187968">
            <w:pPr>
              <w:tabs>
                <w:tab w:val="left" w:pos="720"/>
              </w:tabs>
              <w:spacing w:line="240" w:lineRule="atLeast"/>
              <w:jc w:val="center"/>
              <w:rPr>
                <w:rFonts w:ascii="仿宋" w:eastAsia="仿宋" w:cs="仿宋"/>
                <w:b/>
                <w:kern w:val="2"/>
                <w:szCs w:val="21"/>
              </w:rPr>
            </w:pPr>
            <w:r>
              <w:rPr>
                <w:rFonts w:hint="eastAsia" w:ascii="仿宋" w:eastAsia="仿宋" w:cs="仿宋"/>
                <w:b/>
                <w:kern w:val="2"/>
                <w:szCs w:val="21"/>
              </w:rPr>
              <w:t>优</w:t>
            </w:r>
          </w:p>
          <w:p w14:paraId="3C396B1D">
            <w:pPr>
              <w:tabs>
                <w:tab w:val="left" w:pos="720"/>
              </w:tabs>
              <w:spacing w:line="300" w:lineRule="exact"/>
              <w:ind w:left="-93" w:right="-75" w:hanging="12"/>
              <w:jc w:val="center"/>
              <w:rPr>
                <w:rFonts w:ascii="仿宋" w:eastAsia="仿宋" w:cs="仿宋"/>
                <w:b/>
                <w:kern w:val="2"/>
                <w:szCs w:val="21"/>
              </w:rPr>
            </w:pPr>
            <w:r>
              <w:rPr>
                <w:rFonts w:hint="eastAsia" w:ascii="仿宋" w:eastAsia="仿宋" w:cs="仿宋"/>
                <w:b/>
                <w:kern w:val="2"/>
                <w:szCs w:val="21"/>
              </w:rPr>
              <w:t>（X≧90）</w:t>
            </w:r>
          </w:p>
        </w:tc>
        <w:tc>
          <w:tcPr>
            <w:tcW w:w="1488" w:type="dxa"/>
            <w:tcBorders>
              <w:top w:val="single" w:color="000000" w:sz="4" w:space="0"/>
              <w:left w:val="single" w:color="000000" w:sz="4" w:space="0"/>
              <w:bottom w:val="single" w:color="000000" w:sz="4" w:space="0"/>
              <w:right w:val="single" w:color="000000" w:sz="4" w:space="0"/>
            </w:tcBorders>
            <w:noWrap w:val="0"/>
            <w:vAlign w:val="center"/>
          </w:tcPr>
          <w:p w14:paraId="11B4FA2E">
            <w:pPr>
              <w:tabs>
                <w:tab w:val="left" w:pos="720"/>
              </w:tabs>
              <w:spacing w:line="240" w:lineRule="atLeast"/>
              <w:jc w:val="center"/>
              <w:rPr>
                <w:rFonts w:ascii="仿宋" w:eastAsia="仿宋" w:cs="仿宋"/>
                <w:b/>
                <w:kern w:val="2"/>
                <w:szCs w:val="21"/>
              </w:rPr>
            </w:pPr>
            <w:r>
              <w:rPr>
                <w:rFonts w:hint="eastAsia" w:ascii="仿宋" w:eastAsia="仿宋" w:cs="仿宋"/>
                <w:b/>
                <w:kern w:val="2"/>
                <w:szCs w:val="21"/>
              </w:rPr>
              <w:t>良</w:t>
            </w:r>
          </w:p>
          <w:p w14:paraId="7058C5B5">
            <w:pPr>
              <w:tabs>
                <w:tab w:val="left" w:pos="720"/>
              </w:tabs>
              <w:spacing w:line="300" w:lineRule="exact"/>
              <w:ind w:left="-93" w:right="-75" w:hanging="12"/>
              <w:jc w:val="center"/>
              <w:rPr>
                <w:rFonts w:ascii="仿宋" w:eastAsia="仿宋" w:cs="仿宋"/>
                <w:b/>
                <w:kern w:val="2"/>
                <w:szCs w:val="21"/>
              </w:rPr>
            </w:pPr>
            <w:r>
              <w:rPr>
                <w:rFonts w:hint="eastAsia" w:ascii="仿宋" w:eastAsia="仿宋" w:cs="仿宋"/>
                <w:b/>
                <w:kern w:val="2"/>
                <w:szCs w:val="21"/>
              </w:rPr>
              <w:t>（80≦X＜90）</w:t>
            </w:r>
          </w:p>
        </w:tc>
        <w:tc>
          <w:tcPr>
            <w:tcW w:w="1584" w:type="dxa"/>
            <w:tcBorders>
              <w:top w:val="single" w:color="000000" w:sz="4" w:space="0"/>
              <w:left w:val="single" w:color="000000" w:sz="4" w:space="0"/>
              <w:bottom w:val="single" w:color="000000" w:sz="4" w:space="0"/>
              <w:right w:val="single" w:color="000000" w:sz="4" w:space="0"/>
            </w:tcBorders>
            <w:noWrap w:val="0"/>
            <w:vAlign w:val="center"/>
          </w:tcPr>
          <w:p w14:paraId="1BBAE837">
            <w:pPr>
              <w:tabs>
                <w:tab w:val="left" w:pos="720"/>
              </w:tabs>
              <w:spacing w:line="240" w:lineRule="atLeast"/>
              <w:jc w:val="center"/>
              <w:rPr>
                <w:rFonts w:ascii="仿宋" w:eastAsia="仿宋" w:cs="仿宋"/>
                <w:b/>
                <w:kern w:val="2"/>
                <w:szCs w:val="21"/>
              </w:rPr>
            </w:pPr>
            <w:r>
              <w:rPr>
                <w:rFonts w:hint="eastAsia" w:ascii="仿宋" w:eastAsia="仿宋" w:cs="仿宋"/>
                <w:b/>
                <w:kern w:val="2"/>
                <w:szCs w:val="21"/>
              </w:rPr>
              <w:t>中</w:t>
            </w:r>
          </w:p>
          <w:p w14:paraId="209DA1AC">
            <w:pPr>
              <w:tabs>
                <w:tab w:val="left" w:pos="720"/>
              </w:tabs>
              <w:spacing w:line="300" w:lineRule="exact"/>
              <w:ind w:left="-93" w:right="-75" w:hanging="12"/>
              <w:jc w:val="center"/>
              <w:rPr>
                <w:rFonts w:ascii="仿宋" w:eastAsia="仿宋" w:cs="仿宋"/>
                <w:b/>
                <w:kern w:val="2"/>
                <w:szCs w:val="21"/>
              </w:rPr>
            </w:pPr>
            <w:r>
              <w:rPr>
                <w:rFonts w:hint="eastAsia" w:ascii="仿宋" w:eastAsia="仿宋" w:cs="仿宋"/>
                <w:b/>
                <w:kern w:val="2"/>
                <w:szCs w:val="21"/>
              </w:rPr>
              <w:t>（70≦X＜80）</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1E9369F7">
            <w:pPr>
              <w:tabs>
                <w:tab w:val="left" w:pos="720"/>
              </w:tabs>
              <w:spacing w:line="240" w:lineRule="atLeast"/>
              <w:jc w:val="center"/>
              <w:rPr>
                <w:rFonts w:ascii="仿宋" w:eastAsia="仿宋" w:cs="仿宋"/>
                <w:b/>
                <w:kern w:val="2"/>
                <w:szCs w:val="21"/>
              </w:rPr>
            </w:pPr>
            <w:r>
              <w:rPr>
                <w:rFonts w:hint="eastAsia" w:ascii="仿宋" w:eastAsia="仿宋" w:cs="仿宋"/>
                <w:b/>
                <w:kern w:val="2"/>
                <w:szCs w:val="21"/>
              </w:rPr>
              <w:t>及格</w:t>
            </w:r>
          </w:p>
          <w:p w14:paraId="6636CDF9">
            <w:pPr>
              <w:tabs>
                <w:tab w:val="left" w:pos="720"/>
              </w:tabs>
              <w:spacing w:line="300" w:lineRule="exact"/>
              <w:ind w:left="-93" w:right="-75" w:hanging="12"/>
              <w:jc w:val="center"/>
              <w:rPr>
                <w:rFonts w:ascii="仿宋" w:eastAsia="仿宋" w:cs="仿宋"/>
                <w:b/>
                <w:kern w:val="2"/>
                <w:szCs w:val="21"/>
              </w:rPr>
            </w:pPr>
            <w:r>
              <w:rPr>
                <w:rFonts w:hint="eastAsia" w:ascii="仿宋" w:eastAsia="仿宋" w:cs="仿宋"/>
                <w:b/>
                <w:kern w:val="2"/>
                <w:szCs w:val="21"/>
              </w:rPr>
              <w:t>（60≦X＜70）</w:t>
            </w:r>
          </w:p>
        </w:tc>
        <w:tc>
          <w:tcPr>
            <w:tcW w:w="1451" w:type="dxa"/>
            <w:tcBorders>
              <w:top w:val="single" w:color="000000" w:sz="4" w:space="0"/>
              <w:left w:val="single" w:color="000000" w:sz="4" w:space="0"/>
              <w:bottom w:val="single" w:color="000000" w:sz="4" w:space="0"/>
              <w:right w:val="single" w:color="000000" w:sz="4" w:space="0"/>
            </w:tcBorders>
            <w:noWrap w:val="0"/>
            <w:vAlign w:val="center"/>
          </w:tcPr>
          <w:p w14:paraId="381A6D8D">
            <w:pPr>
              <w:tabs>
                <w:tab w:val="left" w:pos="720"/>
              </w:tabs>
              <w:spacing w:line="240" w:lineRule="atLeast"/>
              <w:jc w:val="center"/>
              <w:rPr>
                <w:rFonts w:ascii="仿宋" w:eastAsia="仿宋" w:cs="仿宋"/>
                <w:b/>
                <w:kern w:val="2"/>
                <w:szCs w:val="21"/>
              </w:rPr>
            </w:pPr>
            <w:r>
              <w:rPr>
                <w:rFonts w:hint="eastAsia" w:ascii="仿宋" w:eastAsia="仿宋" w:cs="仿宋"/>
                <w:b/>
                <w:kern w:val="2"/>
                <w:szCs w:val="21"/>
              </w:rPr>
              <w:t>不及格</w:t>
            </w:r>
          </w:p>
          <w:p w14:paraId="22AE0AF1">
            <w:pPr>
              <w:tabs>
                <w:tab w:val="left" w:pos="720"/>
              </w:tabs>
              <w:spacing w:line="240" w:lineRule="atLeast"/>
              <w:jc w:val="center"/>
              <w:rPr>
                <w:rFonts w:ascii="仿宋" w:eastAsia="仿宋" w:cs="仿宋"/>
                <w:b/>
                <w:kern w:val="2"/>
                <w:szCs w:val="21"/>
              </w:rPr>
            </w:pPr>
            <w:r>
              <w:rPr>
                <w:rFonts w:hint="eastAsia" w:ascii="仿宋" w:eastAsia="仿宋" w:cs="仿宋"/>
                <w:b/>
                <w:kern w:val="2"/>
                <w:szCs w:val="21"/>
              </w:rPr>
              <w:t>（X＜60）</w:t>
            </w:r>
          </w:p>
        </w:tc>
      </w:tr>
      <w:tr w14:paraId="50127FC8">
        <w:trPr>
          <w:trHeight w:val="624" w:hRule="atLeast"/>
        </w:trPr>
        <w:tc>
          <w:tcPr>
            <w:tcW w:w="1849" w:type="dxa"/>
            <w:tcBorders>
              <w:top w:val="single" w:color="000000" w:sz="4" w:space="0"/>
              <w:left w:val="single" w:color="000000" w:sz="4" w:space="0"/>
              <w:bottom w:val="single" w:color="000000" w:sz="4" w:space="0"/>
              <w:right w:val="single" w:color="000000" w:sz="4" w:space="0"/>
            </w:tcBorders>
            <w:noWrap w:val="0"/>
            <w:vAlign w:val="center"/>
          </w:tcPr>
          <w:p w14:paraId="1C8B7083">
            <w:pPr>
              <w:widowControl/>
              <w:spacing w:line="280" w:lineRule="exact"/>
              <w:rPr>
                <w:rFonts w:hint="eastAsia" w:ascii="楷体" w:eastAsia="楷体" w:cs="仿宋"/>
                <w:bCs/>
                <w:kern w:val="2"/>
                <w:szCs w:val="21"/>
              </w:rPr>
            </w:pPr>
            <w:r>
              <w:rPr>
                <w:rFonts w:hint="eastAsia" w:ascii="楷体" w:eastAsia="楷体" w:cs="仿宋"/>
                <w:bCs/>
                <w:kern w:val="2"/>
                <w:szCs w:val="21"/>
                <w:lang w:val="en-US" w:eastAsia="zh-CN"/>
              </w:rPr>
              <w:t>课程目标1：是否能够为自己构思一个合理的钢琴教师角色形象，</w:t>
            </w:r>
            <w:r>
              <w:rPr>
                <w:rFonts w:hint="eastAsia" w:ascii="楷体" w:eastAsia="楷体" w:cs="仿宋"/>
                <w:bCs/>
                <w:kern w:val="2"/>
                <w:szCs w:val="21"/>
              </w:rPr>
              <w:t>树立爱岗敬业精神，了解</w:t>
            </w:r>
            <w:r>
              <w:rPr>
                <w:rFonts w:hint="eastAsia" w:ascii="楷体" w:eastAsia="楷体" w:cs="仿宋"/>
                <w:bCs/>
                <w:kern w:val="2"/>
                <w:szCs w:val="21"/>
                <w:lang w:val="en-US"/>
              </w:rPr>
              <w:t>未来工作中教学对象</w:t>
            </w:r>
            <w:r>
              <w:rPr>
                <w:rFonts w:hint="eastAsia" w:ascii="楷体" w:eastAsia="楷体" w:cs="仿宋"/>
                <w:bCs/>
                <w:kern w:val="2"/>
                <w:szCs w:val="21"/>
              </w:rPr>
              <w:t>的身心发展特点和音乐的认知规律。</w:t>
            </w:r>
            <w:r>
              <w:rPr>
                <w:rFonts w:hint="eastAsia" w:ascii="楷体" w:eastAsia="楷体" w:cs="仿宋"/>
                <w:bCs/>
                <w:kern w:val="2"/>
                <w:szCs w:val="21"/>
                <w:lang w:val="en-US"/>
              </w:rPr>
              <w:t>思考如何通过钢琴教学，提高未来工作中教学对象的艺术素养，培育自主学习能力，建立正确的审美观</w:t>
            </w:r>
          </w:p>
        </w:tc>
        <w:tc>
          <w:tcPr>
            <w:tcW w:w="1464" w:type="dxa"/>
            <w:tcBorders>
              <w:top w:val="single" w:color="000000" w:sz="4" w:space="0"/>
              <w:left w:val="single" w:color="000000" w:sz="4" w:space="0"/>
              <w:bottom w:val="single" w:color="000000" w:sz="4" w:space="0"/>
              <w:right w:val="single" w:color="000000" w:sz="4" w:space="0"/>
            </w:tcBorders>
            <w:noWrap w:val="0"/>
            <w:vAlign w:val="top"/>
          </w:tcPr>
          <w:p w14:paraId="13B2BB0C">
            <w:pPr>
              <w:widowControl/>
              <w:spacing w:line="280" w:lineRule="exact"/>
              <w:rPr>
                <w:rFonts w:hint="eastAsia" w:ascii="楷体" w:eastAsia="楷体" w:cs="仿宋"/>
                <w:bCs/>
                <w:kern w:val="2"/>
                <w:szCs w:val="21"/>
                <w:lang w:eastAsia="zh-CN"/>
              </w:rPr>
            </w:pPr>
            <w:r>
              <w:rPr>
                <w:rFonts w:hint="eastAsia" w:ascii="楷体" w:eastAsia="楷体" w:cs="仿宋"/>
                <w:bCs/>
                <w:kern w:val="2"/>
                <w:szCs w:val="21"/>
                <w:lang w:val="en-US" w:eastAsia="zh-CN"/>
              </w:rPr>
              <w:t>能够为自己构思一个合理的钢琴教师角色形象，具备</w:t>
            </w:r>
            <w:r>
              <w:rPr>
                <w:rFonts w:hint="eastAsia" w:ascii="楷体" w:eastAsia="楷体" w:cs="仿宋"/>
                <w:bCs/>
                <w:kern w:val="2"/>
                <w:szCs w:val="21"/>
              </w:rPr>
              <w:t>爱岗敬业精神，了解</w:t>
            </w:r>
            <w:r>
              <w:rPr>
                <w:rFonts w:hint="eastAsia" w:ascii="楷体" w:eastAsia="楷体" w:cs="仿宋"/>
                <w:bCs/>
                <w:kern w:val="2"/>
                <w:szCs w:val="21"/>
                <w:lang w:val="en-US"/>
              </w:rPr>
              <w:t>未来工作中教学对象</w:t>
            </w:r>
            <w:r>
              <w:rPr>
                <w:rFonts w:hint="eastAsia" w:ascii="楷体" w:eastAsia="楷体" w:cs="仿宋"/>
                <w:bCs/>
                <w:kern w:val="2"/>
                <w:szCs w:val="21"/>
              </w:rPr>
              <w:t>的身心发展特点和音乐的认知规律。</w:t>
            </w:r>
            <w:r>
              <w:rPr>
                <w:rFonts w:hint="eastAsia" w:ascii="楷体" w:eastAsia="楷体" w:cs="仿宋"/>
                <w:bCs/>
                <w:kern w:val="2"/>
                <w:szCs w:val="21"/>
                <w:lang w:val="en-US" w:eastAsia="zh-CN"/>
              </w:rPr>
              <w:t>系统</w:t>
            </w:r>
            <w:r>
              <w:rPr>
                <w:rFonts w:hint="eastAsia" w:ascii="楷体" w:eastAsia="楷体" w:cs="仿宋"/>
                <w:bCs/>
                <w:kern w:val="2"/>
                <w:szCs w:val="21"/>
                <w:lang w:val="en-US"/>
              </w:rPr>
              <w:t>思考</w:t>
            </w:r>
            <w:r>
              <w:rPr>
                <w:rFonts w:hint="eastAsia" w:ascii="楷体" w:eastAsia="楷体" w:cs="仿宋"/>
                <w:bCs/>
                <w:kern w:val="2"/>
                <w:szCs w:val="21"/>
                <w:lang w:val="en-US" w:eastAsia="zh-CN"/>
              </w:rPr>
              <w:t>过</w:t>
            </w:r>
            <w:r>
              <w:rPr>
                <w:rFonts w:hint="eastAsia" w:ascii="楷体" w:eastAsia="楷体" w:cs="仿宋"/>
                <w:bCs/>
                <w:kern w:val="2"/>
                <w:szCs w:val="21"/>
                <w:lang w:val="en-US"/>
              </w:rPr>
              <w:t>如何通过钢琴教学，提高未来工作中教学对象的艺术素养，培育自主学习能力，建立正确的审美观</w:t>
            </w:r>
            <w:r>
              <w:rPr>
                <w:rFonts w:hint="eastAsia" w:ascii="楷体" w:eastAsia="楷体" w:cs="仿宋"/>
                <w:bCs/>
                <w:kern w:val="2"/>
                <w:szCs w:val="21"/>
                <w:lang w:val="en-US" w:eastAsia="zh-CN"/>
              </w:rPr>
              <w:t>。</w:t>
            </w:r>
          </w:p>
        </w:tc>
        <w:tc>
          <w:tcPr>
            <w:tcW w:w="1488" w:type="dxa"/>
            <w:tcBorders>
              <w:top w:val="single" w:color="000000" w:sz="4" w:space="0"/>
              <w:left w:val="single" w:color="000000" w:sz="4" w:space="0"/>
              <w:bottom w:val="single" w:color="000000" w:sz="4" w:space="0"/>
              <w:right w:val="single" w:color="000000" w:sz="4" w:space="0"/>
            </w:tcBorders>
            <w:noWrap w:val="0"/>
            <w:vAlign w:val="top"/>
          </w:tcPr>
          <w:p w14:paraId="30FDE2E9">
            <w:pPr>
              <w:widowControl/>
              <w:spacing w:line="280" w:lineRule="exact"/>
              <w:rPr>
                <w:rFonts w:ascii="楷体" w:eastAsia="楷体" w:cs="仿宋"/>
                <w:bCs/>
                <w:kern w:val="2"/>
                <w:szCs w:val="21"/>
              </w:rPr>
            </w:pPr>
            <w:r>
              <w:rPr>
                <w:rFonts w:hint="eastAsia" w:ascii="楷体" w:eastAsia="楷体" w:cs="仿宋"/>
                <w:bCs/>
                <w:kern w:val="2"/>
                <w:szCs w:val="21"/>
                <w:lang w:val="en-US" w:eastAsia="zh-CN"/>
              </w:rPr>
              <w:t>能够为自己构思一个合理的钢琴教师角色形象，具备</w:t>
            </w:r>
            <w:r>
              <w:rPr>
                <w:rFonts w:hint="eastAsia" w:ascii="楷体" w:eastAsia="楷体" w:cs="仿宋"/>
                <w:bCs/>
                <w:kern w:val="2"/>
                <w:szCs w:val="21"/>
              </w:rPr>
              <w:t>爱岗敬业精神，了解</w:t>
            </w:r>
            <w:r>
              <w:rPr>
                <w:rFonts w:hint="eastAsia" w:ascii="楷体" w:eastAsia="楷体" w:cs="仿宋"/>
                <w:bCs/>
                <w:kern w:val="2"/>
                <w:szCs w:val="21"/>
                <w:lang w:val="en-US"/>
              </w:rPr>
              <w:t>未来工作中教学对象</w:t>
            </w:r>
            <w:r>
              <w:rPr>
                <w:rFonts w:hint="eastAsia" w:ascii="楷体" w:eastAsia="楷体" w:cs="仿宋"/>
                <w:bCs/>
                <w:kern w:val="2"/>
                <w:szCs w:val="21"/>
              </w:rPr>
              <w:t>的身心发展特点和音乐的认知规律。</w:t>
            </w:r>
            <w:r>
              <w:rPr>
                <w:rFonts w:hint="eastAsia" w:ascii="楷体" w:eastAsia="楷体" w:cs="仿宋"/>
                <w:bCs/>
                <w:kern w:val="2"/>
                <w:szCs w:val="21"/>
                <w:lang w:val="en-US" w:eastAsia="zh-CN"/>
              </w:rPr>
              <w:t>大致</w:t>
            </w:r>
            <w:r>
              <w:rPr>
                <w:rFonts w:hint="eastAsia" w:ascii="楷体" w:eastAsia="楷体" w:cs="仿宋"/>
                <w:bCs/>
                <w:kern w:val="2"/>
                <w:szCs w:val="21"/>
                <w:lang w:val="en-US"/>
              </w:rPr>
              <w:t>思考</w:t>
            </w:r>
            <w:r>
              <w:rPr>
                <w:rFonts w:hint="eastAsia" w:ascii="楷体" w:eastAsia="楷体" w:cs="仿宋"/>
                <w:bCs/>
                <w:kern w:val="2"/>
                <w:szCs w:val="21"/>
                <w:lang w:val="en-US" w:eastAsia="zh-CN"/>
              </w:rPr>
              <w:t>过</w:t>
            </w:r>
            <w:r>
              <w:rPr>
                <w:rFonts w:hint="eastAsia" w:ascii="楷体" w:eastAsia="楷体" w:cs="仿宋"/>
                <w:bCs/>
                <w:kern w:val="2"/>
                <w:szCs w:val="21"/>
                <w:lang w:val="en-US"/>
              </w:rPr>
              <w:t>如何通过钢琴教学，提高未来工作中教学对象的艺术素养，</w:t>
            </w:r>
            <w:r>
              <w:rPr>
                <w:rFonts w:hint="eastAsia" w:ascii="楷体" w:eastAsia="楷体" w:cs="仿宋"/>
                <w:bCs/>
                <w:kern w:val="2"/>
                <w:szCs w:val="21"/>
                <w:lang w:val="en-US" w:eastAsia="zh-CN"/>
              </w:rPr>
              <w:t>具备一定的</w:t>
            </w:r>
            <w:r>
              <w:rPr>
                <w:rFonts w:hint="eastAsia" w:ascii="楷体" w:eastAsia="楷体" w:cs="仿宋"/>
                <w:bCs/>
                <w:kern w:val="2"/>
                <w:szCs w:val="21"/>
                <w:lang w:val="en-US"/>
              </w:rPr>
              <w:t>自主学习能力，</w:t>
            </w:r>
            <w:r>
              <w:rPr>
                <w:rFonts w:hint="eastAsia" w:ascii="楷体" w:eastAsia="楷体" w:cs="仿宋"/>
                <w:bCs/>
                <w:kern w:val="2"/>
                <w:szCs w:val="21"/>
                <w:lang w:val="en-US" w:eastAsia="zh-CN"/>
              </w:rPr>
              <w:t>有基本</w:t>
            </w:r>
            <w:r>
              <w:rPr>
                <w:rFonts w:hint="eastAsia" w:ascii="楷体" w:eastAsia="楷体" w:cs="仿宋"/>
                <w:bCs/>
                <w:kern w:val="2"/>
                <w:szCs w:val="21"/>
                <w:lang w:val="en-US"/>
              </w:rPr>
              <w:t>正确的审美观</w:t>
            </w:r>
            <w:r>
              <w:rPr>
                <w:rFonts w:hint="eastAsia" w:ascii="楷体" w:eastAsia="楷体" w:cs="仿宋"/>
                <w:bCs/>
                <w:kern w:val="2"/>
                <w:szCs w:val="21"/>
                <w:lang w:val="en-US" w:eastAsia="zh-CN"/>
              </w:rPr>
              <w:t>。</w:t>
            </w:r>
          </w:p>
        </w:tc>
        <w:tc>
          <w:tcPr>
            <w:tcW w:w="1584" w:type="dxa"/>
            <w:tcBorders>
              <w:top w:val="single" w:color="000000" w:sz="4" w:space="0"/>
              <w:left w:val="single" w:color="000000" w:sz="4" w:space="0"/>
              <w:bottom w:val="single" w:color="000000" w:sz="4" w:space="0"/>
              <w:right w:val="single" w:color="000000" w:sz="4" w:space="0"/>
            </w:tcBorders>
            <w:noWrap w:val="0"/>
            <w:vAlign w:val="top"/>
          </w:tcPr>
          <w:p w14:paraId="719C2076">
            <w:pPr>
              <w:widowControl/>
              <w:spacing w:line="280" w:lineRule="exact"/>
              <w:rPr>
                <w:rFonts w:ascii="楷体" w:eastAsia="楷体" w:cs="仿宋"/>
                <w:bCs/>
                <w:kern w:val="2"/>
                <w:szCs w:val="21"/>
              </w:rPr>
            </w:pPr>
            <w:r>
              <w:rPr>
                <w:rFonts w:hint="eastAsia" w:ascii="楷体" w:eastAsia="楷体" w:cs="仿宋"/>
                <w:bCs/>
                <w:kern w:val="2"/>
                <w:szCs w:val="21"/>
                <w:lang w:val="en-US" w:eastAsia="zh-CN"/>
              </w:rPr>
              <w:t>构思过合理的钢琴教师角色形象，但不够清晰。具备</w:t>
            </w:r>
            <w:r>
              <w:rPr>
                <w:rFonts w:hint="eastAsia" w:ascii="楷体" w:eastAsia="楷体" w:cs="仿宋"/>
                <w:bCs/>
                <w:kern w:val="2"/>
                <w:szCs w:val="21"/>
              </w:rPr>
              <w:t>爱岗敬业精神，</w:t>
            </w:r>
            <w:r>
              <w:rPr>
                <w:rFonts w:hint="eastAsia" w:ascii="楷体" w:eastAsia="楷体" w:cs="仿宋"/>
                <w:bCs/>
                <w:kern w:val="2"/>
                <w:szCs w:val="21"/>
                <w:lang w:val="en-US" w:eastAsia="zh-CN"/>
              </w:rPr>
              <w:t>基本</w:t>
            </w:r>
            <w:r>
              <w:rPr>
                <w:rFonts w:hint="eastAsia" w:ascii="楷体" w:eastAsia="楷体" w:cs="仿宋"/>
                <w:bCs/>
                <w:kern w:val="2"/>
                <w:szCs w:val="21"/>
              </w:rPr>
              <w:t>了解</w:t>
            </w:r>
            <w:r>
              <w:rPr>
                <w:rFonts w:hint="eastAsia" w:ascii="楷体" w:eastAsia="楷体" w:cs="仿宋"/>
                <w:bCs/>
                <w:kern w:val="2"/>
                <w:szCs w:val="21"/>
                <w:lang w:val="en-US"/>
              </w:rPr>
              <w:t>未来工作中教学对象</w:t>
            </w:r>
            <w:r>
              <w:rPr>
                <w:rFonts w:hint="eastAsia" w:ascii="楷体" w:eastAsia="楷体" w:cs="仿宋"/>
                <w:bCs/>
                <w:kern w:val="2"/>
                <w:szCs w:val="21"/>
              </w:rPr>
              <w:t>的身心发展特点和音乐的认知规律。</w:t>
            </w:r>
            <w:r>
              <w:rPr>
                <w:rFonts w:hint="eastAsia" w:ascii="楷体" w:eastAsia="楷体" w:cs="仿宋"/>
                <w:bCs/>
                <w:kern w:val="2"/>
                <w:szCs w:val="21"/>
                <w:lang w:val="en-US" w:eastAsia="zh-CN"/>
              </w:rPr>
              <w:t>大致</w:t>
            </w:r>
            <w:r>
              <w:rPr>
                <w:rFonts w:hint="eastAsia" w:ascii="楷体" w:eastAsia="楷体" w:cs="仿宋"/>
                <w:bCs/>
                <w:kern w:val="2"/>
                <w:szCs w:val="21"/>
                <w:lang w:val="en-US"/>
              </w:rPr>
              <w:t>思考</w:t>
            </w:r>
            <w:r>
              <w:rPr>
                <w:rFonts w:hint="eastAsia" w:ascii="楷体" w:eastAsia="楷体" w:cs="仿宋"/>
                <w:bCs/>
                <w:kern w:val="2"/>
                <w:szCs w:val="21"/>
                <w:lang w:val="en-US" w:eastAsia="zh-CN"/>
              </w:rPr>
              <w:t>过</w:t>
            </w:r>
            <w:r>
              <w:rPr>
                <w:rFonts w:hint="eastAsia" w:ascii="楷体" w:eastAsia="楷体" w:cs="仿宋"/>
                <w:bCs/>
                <w:kern w:val="2"/>
                <w:szCs w:val="21"/>
                <w:lang w:val="en-US"/>
              </w:rPr>
              <w:t>如何通过钢琴教学，提高未来工作中教学对象的艺术素养，</w:t>
            </w:r>
            <w:r>
              <w:rPr>
                <w:rFonts w:hint="eastAsia" w:ascii="楷体" w:eastAsia="楷体" w:cs="仿宋"/>
                <w:bCs/>
                <w:kern w:val="2"/>
                <w:szCs w:val="21"/>
                <w:lang w:val="en-US" w:eastAsia="zh-CN"/>
              </w:rPr>
              <w:t>具备一定的</w:t>
            </w:r>
            <w:r>
              <w:rPr>
                <w:rFonts w:hint="eastAsia" w:ascii="楷体" w:eastAsia="楷体" w:cs="仿宋"/>
                <w:bCs/>
                <w:kern w:val="2"/>
                <w:szCs w:val="21"/>
                <w:lang w:val="en-US"/>
              </w:rPr>
              <w:t>自主学习能力，</w:t>
            </w:r>
            <w:r>
              <w:rPr>
                <w:rFonts w:hint="eastAsia" w:ascii="楷体" w:eastAsia="楷体" w:cs="仿宋"/>
                <w:bCs/>
                <w:kern w:val="2"/>
                <w:szCs w:val="21"/>
                <w:lang w:val="en-US" w:eastAsia="zh-CN"/>
              </w:rPr>
              <w:t>有基本</w:t>
            </w:r>
            <w:r>
              <w:rPr>
                <w:rFonts w:hint="eastAsia" w:ascii="楷体" w:eastAsia="楷体" w:cs="仿宋"/>
                <w:bCs/>
                <w:kern w:val="2"/>
                <w:szCs w:val="21"/>
                <w:lang w:val="en-US"/>
              </w:rPr>
              <w:t>正确的审美观</w:t>
            </w:r>
            <w:r>
              <w:rPr>
                <w:rFonts w:hint="eastAsia" w:ascii="楷体" w:eastAsia="楷体" w:cs="仿宋"/>
                <w:bCs/>
                <w:kern w:val="2"/>
                <w:szCs w:val="21"/>
                <w:lang w:val="en-US" w:eastAsia="zh-CN"/>
              </w:rPr>
              <w:t>。</w:t>
            </w:r>
          </w:p>
        </w:tc>
        <w:tc>
          <w:tcPr>
            <w:tcW w:w="1500" w:type="dxa"/>
            <w:tcBorders>
              <w:top w:val="single" w:color="000000" w:sz="4" w:space="0"/>
              <w:left w:val="single" w:color="000000" w:sz="4" w:space="0"/>
              <w:bottom w:val="single" w:color="000000" w:sz="4" w:space="0"/>
              <w:right w:val="single" w:color="000000" w:sz="4" w:space="0"/>
            </w:tcBorders>
            <w:noWrap w:val="0"/>
            <w:vAlign w:val="top"/>
          </w:tcPr>
          <w:p w14:paraId="75FA598B">
            <w:pPr>
              <w:widowControl/>
              <w:spacing w:line="280" w:lineRule="exact"/>
              <w:rPr>
                <w:rFonts w:ascii="楷体" w:eastAsia="楷体" w:cs="仿宋"/>
                <w:bCs/>
                <w:kern w:val="2"/>
                <w:szCs w:val="21"/>
              </w:rPr>
            </w:pPr>
            <w:r>
              <w:rPr>
                <w:rFonts w:hint="eastAsia" w:ascii="楷体" w:eastAsia="楷体" w:cs="仿宋"/>
                <w:bCs/>
                <w:kern w:val="2"/>
                <w:szCs w:val="21"/>
                <w:lang w:val="en-US" w:eastAsia="zh-CN"/>
              </w:rPr>
              <w:t>模糊构思过合理的钢琴教师角色形象。具备</w:t>
            </w:r>
            <w:r>
              <w:rPr>
                <w:rFonts w:hint="eastAsia" w:ascii="楷体" w:eastAsia="楷体" w:cs="仿宋"/>
                <w:bCs/>
                <w:kern w:val="2"/>
                <w:szCs w:val="21"/>
              </w:rPr>
              <w:t>爱岗敬业精神，</w:t>
            </w:r>
            <w:r>
              <w:rPr>
                <w:rFonts w:hint="eastAsia" w:ascii="楷体" w:eastAsia="楷体" w:cs="仿宋"/>
                <w:bCs/>
                <w:kern w:val="2"/>
                <w:szCs w:val="21"/>
                <w:lang w:val="en-US" w:eastAsia="zh-CN"/>
              </w:rPr>
              <w:t>少量</w:t>
            </w:r>
            <w:r>
              <w:rPr>
                <w:rFonts w:hint="eastAsia" w:ascii="楷体" w:eastAsia="楷体" w:cs="仿宋"/>
                <w:bCs/>
                <w:kern w:val="2"/>
                <w:szCs w:val="21"/>
              </w:rPr>
              <w:t>了解</w:t>
            </w:r>
            <w:r>
              <w:rPr>
                <w:rFonts w:hint="eastAsia" w:ascii="楷体" w:eastAsia="楷体" w:cs="仿宋"/>
                <w:bCs/>
                <w:kern w:val="2"/>
                <w:szCs w:val="21"/>
                <w:lang w:val="en-US"/>
              </w:rPr>
              <w:t>未来工作中教学对象</w:t>
            </w:r>
            <w:r>
              <w:rPr>
                <w:rFonts w:hint="eastAsia" w:ascii="楷体" w:eastAsia="楷体" w:cs="仿宋"/>
                <w:bCs/>
                <w:kern w:val="2"/>
                <w:szCs w:val="21"/>
              </w:rPr>
              <w:t>的身心发展特点和音乐的认知规律。</w:t>
            </w:r>
            <w:r>
              <w:rPr>
                <w:rFonts w:hint="eastAsia" w:ascii="楷体" w:eastAsia="楷体" w:cs="仿宋"/>
                <w:bCs/>
                <w:kern w:val="2"/>
                <w:szCs w:val="21"/>
                <w:lang w:val="en-US" w:eastAsia="zh-CN"/>
              </w:rPr>
              <w:t>粗略</w:t>
            </w:r>
            <w:r>
              <w:rPr>
                <w:rFonts w:hint="eastAsia" w:ascii="楷体" w:eastAsia="楷体" w:cs="仿宋"/>
                <w:bCs/>
                <w:kern w:val="2"/>
                <w:szCs w:val="21"/>
                <w:lang w:val="en-US"/>
              </w:rPr>
              <w:t>思考</w:t>
            </w:r>
            <w:r>
              <w:rPr>
                <w:rFonts w:hint="eastAsia" w:ascii="楷体" w:eastAsia="楷体" w:cs="仿宋"/>
                <w:bCs/>
                <w:kern w:val="2"/>
                <w:szCs w:val="21"/>
                <w:lang w:val="en-US" w:eastAsia="zh-CN"/>
              </w:rPr>
              <w:t>过</w:t>
            </w:r>
            <w:r>
              <w:rPr>
                <w:rFonts w:hint="eastAsia" w:ascii="楷体" w:eastAsia="楷体" w:cs="仿宋"/>
                <w:bCs/>
                <w:kern w:val="2"/>
                <w:szCs w:val="21"/>
                <w:lang w:val="en-US"/>
              </w:rPr>
              <w:t>如何通过钢琴教学</w:t>
            </w:r>
            <w:r>
              <w:rPr>
                <w:rFonts w:hint="eastAsia" w:ascii="楷体" w:eastAsia="楷体" w:cs="仿宋"/>
                <w:bCs/>
                <w:kern w:val="2"/>
                <w:szCs w:val="21"/>
                <w:lang w:val="en-US" w:eastAsia="zh-CN"/>
              </w:rPr>
              <w:t>。</w:t>
            </w:r>
          </w:p>
        </w:tc>
        <w:tc>
          <w:tcPr>
            <w:tcW w:w="1451" w:type="dxa"/>
            <w:tcBorders>
              <w:top w:val="single" w:color="000000" w:sz="4" w:space="0"/>
              <w:left w:val="single" w:color="000000" w:sz="4" w:space="0"/>
              <w:bottom w:val="single" w:color="000000" w:sz="4" w:space="0"/>
              <w:right w:val="single" w:color="000000" w:sz="4" w:space="0"/>
            </w:tcBorders>
            <w:noWrap w:val="0"/>
            <w:vAlign w:val="top"/>
          </w:tcPr>
          <w:p w14:paraId="02DBBB7B">
            <w:pPr>
              <w:widowControl/>
              <w:spacing w:line="280" w:lineRule="exact"/>
              <w:rPr>
                <w:rFonts w:hint="eastAsia" w:ascii="楷体" w:eastAsia="楷体" w:cs="仿宋"/>
                <w:bCs/>
                <w:kern w:val="2"/>
                <w:szCs w:val="21"/>
                <w:lang w:eastAsia="zh-CN"/>
              </w:rPr>
            </w:pPr>
            <w:r>
              <w:rPr>
                <w:rFonts w:hint="eastAsia" w:ascii="楷体" w:eastAsia="楷体" w:cs="仿宋"/>
                <w:bCs/>
                <w:kern w:val="2"/>
                <w:szCs w:val="21"/>
                <w:lang w:val="en-US" w:eastAsia="zh-CN"/>
              </w:rPr>
              <w:t>思维中没有一个合理的钢琴教师角色形象。不</w:t>
            </w:r>
            <w:r>
              <w:rPr>
                <w:rFonts w:hint="eastAsia" w:ascii="楷体" w:eastAsia="楷体" w:cs="仿宋"/>
                <w:bCs/>
                <w:kern w:val="2"/>
                <w:szCs w:val="21"/>
              </w:rPr>
              <w:t>了解</w:t>
            </w:r>
            <w:r>
              <w:rPr>
                <w:rFonts w:hint="eastAsia" w:ascii="楷体" w:eastAsia="楷体" w:cs="仿宋"/>
                <w:bCs/>
                <w:kern w:val="2"/>
                <w:szCs w:val="21"/>
                <w:lang w:val="en-US"/>
              </w:rPr>
              <w:t>未来工作中教学对象</w:t>
            </w:r>
            <w:r>
              <w:rPr>
                <w:rFonts w:hint="eastAsia" w:ascii="楷体" w:eastAsia="楷体" w:cs="仿宋"/>
                <w:bCs/>
                <w:kern w:val="2"/>
                <w:szCs w:val="21"/>
              </w:rPr>
              <w:t>的身心发展特点和音乐的认知规律。</w:t>
            </w:r>
            <w:r>
              <w:rPr>
                <w:rFonts w:hint="eastAsia" w:ascii="楷体" w:eastAsia="楷体" w:cs="仿宋"/>
                <w:bCs/>
                <w:kern w:val="2"/>
                <w:szCs w:val="21"/>
                <w:lang w:val="en-US" w:eastAsia="zh-CN"/>
              </w:rPr>
              <w:t>未</w:t>
            </w:r>
            <w:r>
              <w:rPr>
                <w:rFonts w:hint="eastAsia" w:ascii="楷体" w:eastAsia="楷体" w:cs="仿宋"/>
                <w:bCs/>
                <w:kern w:val="2"/>
                <w:szCs w:val="21"/>
                <w:lang w:val="en-US"/>
              </w:rPr>
              <w:t>思考</w:t>
            </w:r>
            <w:r>
              <w:rPr>
                <w:rFonts w:hint="eastAsia" w:ascii="楷体" w:eastAsia="楷体" w:cs="仿宋"/>
                <w:bCs/>
                <w:kern w:val="2"/>
                <w:szCs w:val="21"/>
                <w:lang w:val="en-US" w:eastAsia="zh-CN"/>
              </w:rPr>
              <w:t>过</w:t>
            </w:r>
            <w:r>
              <w:rPr>
                <w:rFonts w:hint="eastAsia" w:ascii="楷体" w:eastAsia="楷体" w:cs="仿宋"/>
                <w:bCs/>
                <w:kern w:val="2"/>
                <w:szCs w:val="21"/>
                <w:lang w:val="en-US"/>
              </w:rPr>
              <w:t>如何通过钢琴教学</w:t>
            </w:r>
            <w:r>
              <w:rPr>
                <w:rFonts w:hint="eastAsia" w:ascii="楷体" w:eastAsia="楷体" w:cs="仿宋"/>
                <w:bCs/>
                <w:kern w:val="2"/>
                <w:szCs w:val="21"/>
                <w:lang w:val="en-US" w:eastAsia="zh-CN"/>
              </w:rPr>
              <w:t>。</w:t>
            </w:r>
          </w:p>
        </w:tc>
      </w:tr>
      <w:tr w14:paraId="69746381">
        <w:trPr>
          <w:trHeight w:val="1278" w:hRule="atLeast"/>
        </w:trPr>
        <w:tc>
          <w:tcPr>
            <w:tcW w:w="1849" w:type="dxa"/>
            <w:tcBorders>
              <w:top w:val="single" w:color="000000" w:sz="4" w:space="0"/>
              <w:left w:val="single" w:color="000000" w:sz="4" w:space="0"/>
              <w:bottom w:val="single" w:color="000000" w:sz="4" w:space="0"/>
              <w:right w:val="single" w:color="000000" w:sz="4" w:space="0"/>
            </w:tcBorders>
            <w:noWrap w:val="0"/>
            <w:vAlign w:val="center"/>
          </w:tcPr>
          <w:p w14:paraId="031F172D">
            <w:pPr>
              <w:widowControl/>
              <w:spacing w:line="280" w:lineRule="exact"/>
              <w:rPr>
                <w:rFonts w:hint="eastAsia" w:ascii="楷体" w:eastAsia="楷体" w:cs="仿宋"/>
                <w:bCs/>
                <w:kern w:val="2"/>
                <w:szCs w:val="21"/>
              </w:rPr>
            </w:pPr>
            <w:r>
              <w:rPr>
                <w:rFonts w:hint="eastAsia" w:ascii="楷体" w:eastAsia="楷体" w:cs="仿宋"/>
                <w:bCs/>
                <w:kern w:val="2"/>
                <w:szCs w:val="21"/>
                <w:lang w:val="en-US" w:eastAsia="zh-CN"/>
              </w:rPr>
              <w:t>课程目标2：注重正确的思政导向，粗略学习钢琴艺术史并重点学习思考其中比较重要的内容。熟悉钢琴音乐发展的总体脉络，大致了解各个风格之间的不同，并能够应用于教学实践。</w:t>
            </w:r>
            <w:r>
              <w:rPr>
                <w:rFonts w:hint="eastAsia" w:ascii="楷体" w:eastAsia="楷体" w:cs="仿宋"/>
                <w:bCs/>
                <w:kern w:val="2"/>
                <w:szCs w:val="21"/>
                <w:lang w:val="en-US"/>
              </w:rPr>
              <w:t>了解中国钢琴音乐文化传统，培养热爱中国钢琴音乐文化的感情。</w:t>
            </w:r>
            <w:r>
              <w:rPr>
                <w:rFonts w:hint="eastAsia" w:ascii="楷体" w:eastAsia="楷体" w:cs="仿宋"/>
                <w:bCs/>
                <w:kern w:val="2"/>
                <w:szCs w:val="21"/>
                <w:lang w:val="en-US" w:eastAsia="zh-CN"/>
              </w:rPr>
              <w:t xml:space="preserve">    </w:t>
            </w:r>
          </w:p>
        </w:tc>
        <w:tc>
          <w:tcPr>
            <w:tcW w:w="1464" w:type="dxa"/>
            <w:tcBorders>
              <w:top w:val="single" w:color="000000" w:sz="4" w:space="0"/>
              <w:left w:val="single" w:color="000000" w:sz="4" w:space="0"/>
              <w:bottom w:val="single" w:color="000000" w:sz="4" w:space="0"/>
              <w:right w:val="single" w:color="000000" w:sz="4" w:space="0"/>
            </w:tcBorders>
            <w:noWrap w:val="0"/>
            <w:vAlign w:val="top"/>
          </w:tcPr>
          <w:p w14:paraId="61F237CA">
            <w:pPr>
              <w:widowControl/>
              <w:spacing w:line="280" w:lineRule="exact"/>
              <w:rPr>
                <w:rFonts w:ascii="楷体" w:eastAsia="楷体" w:cs="仿宋"/>
                <w:bCs/>
                <w:kern w:val="2"/>
                <w:szCs w:val="21"/>
              </w:rPr>
            </w:pPr>
            <w:r>
              <w:rPr>
                <w:rFonts w:hint="eastAsia" w:ascii="楷体" w:eastAsia="楷体" w:cs="仿宋"/>
                <w:bCs/>
                <w:kern w:val="2"/>
                <w:szCs w:val="21"/>
                <w:lang w:val="en-US" w:eastAsia="zh-CN"/>
              </w:rPr>
              <w:t>有正确的思政导向，熟悉学习钢琴艺术史。熟悉钢琴音乐发展的总体脉络，。</w:t>
            </w:r>
            <w:r>
              <w:rPr>
                <w:rFonts w:hint="eastAsia" w:ascii="楷体" w:eastAsia="楷体" w:cs="仿宋"/>
                <w:bCs/>
                <w:kern w:val="2"/>
                <w:szCs w:val="21"/>
                <w:lang w:val="en-US"/>
              </w:rPr>
              <w:t>了解中国钢琴音乐文化传统，热爱中国钢琴音乐文化的感情。</w:t>
            </w:r>
          </w:p>
        </w:tc>
        <w:tc>
          <w:tcPr>
            <w:tcW w:w="1488" w:type="dxa"/>
            <w:tcBorders>
              <w:top w:val="single" w:color="000000" w:sz="4" w:space="0"/>
              <w:left w:val="single" w:color="000000" w:sz="4" w:space="0"/>
              <w:bottom w:val="single" w:color="000000" w:sz="4" w:space="0"/>
              <w:right w:val="single" w:color="000000" w:sz="4" w:space="0"/>
            </w:tcBorders>
            <w:noWrap w:val="0"/>
            <w:vAlign w:val="top"/>
          </w:tcPr>
          <w:p w14:paraId="3A9F4F65">
            <w:pPr>
              <w:widowControl/>
              <w:spacing w:line="280" w:lineRule="exact"/>
              <w:rPr>
                <w:rFonts w:ascii="楷体" w:eastAsia="楷体" w:cs="仿宋"/>
                <w:bCs/>
                <w:kern w:val="2"/>
                <w:szCs w:val="21"/>
              </w:rPr>
            </w:pPr>
            <w:r>
              <w:rPr>
                <w:rFonts w:hint="eastAsia" w:ascii="楷体" w:eastAsia="楷体" w:cs="仿宋"/>
                <w:bCs/>
                <w:kern w:val="2"/>
                <w:szCs w:val="21"/>
                <w:lang w:val="en-US" w:eastAsia="zh-CN"/>
              </w:rPr>
              <w:t>有正确的思政导向，熟悉学习钢琴艺术史。熟悉钢琴音乐发展的总体脉络。</w:t>
            </w:r>
            <w:r>
              <w:rPr>
                <w:rFonts w:hint="eastAsia" w:ascii="楷体" w:eastAsia="楷体" w:cs="仿宋"/>
                <w:bCs/>
                <w:kern w:val="2"/>
                <w:szCs w:val="21"/>
                <w:lang w:val="en-US"/>
              </w:rPr>
              <w:t>了解中国钢琴音乐文化传统，热爱中国钢琴音乐文化的感情。</w:t>
            </w:r>
          </w:p>
        </w:tc>
        <w:tc>
          <w:tcPr>
            <w:tcW w:w="1584" w:type="dxa"/>
            <w:tcBorders>
              <w:top w:val="single" w:color="000000" w:sz="4" w:space="0"/>
              <w:left w:val="single" w:color="000000" w:sz="4" w:space="0"/>
              <w:bottom w:val="single" w:color="000000" w:sz="4" w:space="0"/>
              <w:right w:val="single" w:color="000000" w:sz="4" w:space="0"/>
            </w:tcBorders>
            <w:noWrap w:val="0"/>
            <w:vAlign w:val="top"/>
          </w:tcPr>
          <w:p w14:paraId="33503345">
            <w:pPr>
              <w:widowControl/>
              <w:spacing w:line="280" w:lineRule="exact"/>
              <w:rPr>
                <w:rFonts w:ascii="楷体" w:eastAsia="楷体" w:cs="仿宋"/>
                <w:bCs/>
                <w:kern w:val="2"/>
                <w:szCs w:val="21"/>
              </w:rPr>
            </w:pPr>
            <w:r>
              <w:rPr>
                <w:rFonts w:hint="eastAsia" w:ascii="楷体" w:eastAsia="楷体" w:cs="仿宋"/>
                <w:bCs/>
                <w:kern w:val="2"/>
                <w:szCs w:val="21"/>
                <w:lang w:val="en-US" w:eastAsia="zh-CN"/>
              </w:rPr>
              <w:t>有正确的思政导向，大致了解钢琴艺术史。</w:t>
            </w:r>
            <w:r>
              <w:rPr>
                <w:rFonts w:hint="eastAsia" w:ascii="楷体" w:eastAsia="楷体" w:cs="仿宋"/>
                <w:bCs/>
                <w:kern w:val="2"/>
                <w:szCs w:val="21"/>
                <w:lang w:val="en-US"/>
              </w:rPr>
              <w:t>了解中国钢琴音乐文化传统，热爱中国钢琴音乐文化的感情。</w:t>
            </w:r>
          </w:p>
        </w:tc>
        <w:tc>
          <w:tcPr>
            <w:tcW w:w="1500" w:type="dxa"/>
            <w:tcBorders>
              <w:top w:val="single" w:color="000000" w:sz="4" w:space="0"/>
              <w:left w:val="single" w:color="000000" w:sz="4" w:space="0"/>
              <w:bottom w:val="single" w:color="000000" w:sz="4" w:space="0"/>
              <w:right w:val="single" w:color="000000" w:sz="4" w:space="0"/>
            </w:tcBorders>
            <w:noWrap w:val="0"/>
            <w:vAlign w:val="top"/>
          </w:tcPr>
          <w:p w14:paraId="071FA590">
            <w:pPr>
              <w:widowControl/>
              <w:spacing w:line="280" w:lineRule="exact"/>
              <w:rPr>
                <w:rFonts w:ascii="楷体" w:eastAsia="楷体" w:cs="仿宋"/>
                <w:bCs/>
                <w:kern w:val="2"/>
                <w:szCs w:val="21"/>
              </w:rPr>
            </w:pPr>
            <w:r>
              <w:rPr>
                <w:rFonts w:hint="eastAsia" w:ascii="楷体" w:eastAsia="楷体" w:cs="仿宋"/>
                <w:bCs/>
                <w:kern w:val="2"/>
                <w:szCs w:val="21"/>
                <w:lang w:val="en-US" w:eastAsia="zh-CN"/>
              </w:rPr>
              <w:t>有正确的思政导向，大致了解钢琴艺术史。对</w:t>
            </w:r>
            <w:r>
              <w:rPr>
                <w:rFonts w:hint="eastAsia" w:ascii="楷体" w:eastAsia="楷体" w:cs="仿宋"/>
                <w:bCs/>
                <w:kern w:val="2"/>
                <w:szCs w:val="21"/>
                <w:lang w:val="en-US"/>
              </w:rPr>
              <w:t>中国钢琴音乐文化传统</w:t>
            </w:r>
            <w:r>
              <w:rPr>
                <w:rFonts w:hint="eastAsia" w:ascii="楷体" w:eastAsia="楷体" w:cs="仿宋"/>
                <w:bCs/>
                <w:kern w:val="2"/>
                <w:szCs w:val="21"/>
                <w:lang w:val="en-US" w:eastAsia="zh-CN"/>
              </w:rPr>
              <w:t>不甚了然。</w:t>
            </w:r>
          </w:p>
        </w:tc>
        <w:tc>
          <w:tcPr>
            <w:tcW w:w="1451" w:type="dxa"/>
            <w:tcBorders>
              <w:top w:val="single" w:color="000000" w:sz="4" w:space="0"/>
              <w:left w:val="single" w:color="000000" w:sz="4" w:space="0"/>
              <w:bottom w:val="single" w:color="000000" w:sz="4" w:space="0"/>
              <w:right w:val="single" w:color="000000" w:sz="4" w:space="0"/>
            </w:tcBorders>
            <w:noWrap w:val="0"/>
            <w:vAlign w:val="top"/>
          </w:tcPr>
          <w:p w14:paraId="0C5E3870">
            <w:pPr>
              <w:widowControl/>
              <w:spacing w:line="280" w:lineRule="exact"/>
              <w:rPr>
                <w:rFonts w:ascii="楷体" w:eastAsia="楷体" w:cs="仿宋"/>
                <w:bCs/>
                <w:kern w:val="2"/>
                <w:szCs w:val="21"/>
              </w:rPr>
            </w:pPr>
            <w:r>
              <w:rPr>
                <w:rFonts w:hint="eastAsia" w:ascii="楷体" w:eastAsia="楷体" w:cs="仿宋"/>
                <w:bCs/>
                <w:kern w:val="2"/>
                <w:szCs w:val="21"/>
                <w:lang w:val="en-US" w:eastAsia="zh-CN"/>
              </w:rPr>
              <w:t>不了解钢琴艺术史。对</w:t>
            </w:r>
            <w:r>
              <w:rPr>
                <w:rFonts w:hint="eastAsia" w:ascii="楷体" w:eastAsia="楷体" w:cs="仿宋"/>
                <w:bCs/>
                <w:kern w:val="2"/>
                <w:szCs w:val="21"/>
                <w:lang w:val="en-US"/>
              </w:rPr>
              <w:t>中国钢琴音乐文化传统</w:t>
            </w:r>
            <w:r>
              <w:rPr>
                <w:rFonts w:hint="eastAsia" w:ascii="楷体" w:eastAsia="楷体" w:cs="仿宋"/>
                <w:bCs/>
                <w:kern w:val="2"/>
                <w:szCs w:val="21"/>
                <w:lang w:val="en-US" w:eastAsia="zh-CN"/>
              </w:rPr>
              <w:t>不甚了然。</w:t>
            </w:r>
          </w:p>
        </w:tc>
      </w:tr>
      <w:tr w14:paraId="7D51E981">
        <w:trPr>
          <w:trHeight w:val="624" w:hRule="atLeast"/>
        </w:trPr>
        <w:tc>
          <w:tcPr>
            <w:tcW w:w="1849" w:type="dxa"/>
            <w:tcBorders>
              <w:top w:val="single" w:color="000000" w:sz="4" w:space="0"/>
              <w:left w:val="single" w:color="000000" w:sz="4" w:space="0"/>
              <w:bottom w:val="single" w:color="000000" w:sz="4" w:space="0"/>
              <w:right w:val="single" w:color="000000" w:sz="4" w:space="0"/>
            </w:tcBorders>
            <w:noWrap w:val="0"/>
            <w:vAlign w:val="center"/>
          </w:tcPr>
          <w:p w14:paraId="0BD2A9ED">
            <w:pPr>
              <w:widowControl/>
              <w:spacing w:line="280" w:lineRule="exact"/>
              <w:rPr>
                <w:rFonts w:hint="eastAsia" w:ascii="楷体" w:eastAsia="楷体" w:cs="仿宋"/>
                <w:bCs/>
                <w:kern w:val="2"/>
                <w:szCs w:val="21"/>
              </w:rPr>
            </w:pPr>
            <w:r>
              <w:rPr>
                <w:rFonts w:hint="eastAsia" w:ascii="楷体" w:eastAsia="楷体" w:cs="仿宋"/>
                <w:bCs/>
                <w:kern w:val="2"/>
                <w:szCs w:val="21"/>
                <w:lang w:val="en-US" w:eastAsia="zh-CN"/>
              </w:rPr>
              <w:t>课程目标3：总体了解钢琴教学各个阶段常用的教材，以及各种教材的特点、基本教法。对于未来可能面对的不同钢琴教学对象，能够有粗略的教学规划。宏观地了解钢琴教学中的相关问题以及解决思路，掌握进一步解决问题的思路和方法。</w:t>
            </w:r>
          </w:p>
        </w:tc>
        <w:tc>
          <w:tcPr>
            <w:tcW w:w="1464" w:type="dxa"/>
            <w:tcBorders>
              <w:top w:val="single" w:color="000000" w:sz="4" w:space="0"/>
              <w:left w:val="single" w:color="000000" w:sz="4" w:space="0"/>
              <w:bottom w:val="single" w:color="000000" w:sz="4" w:space="0"/>
              <w:right w:val="single" w:color="000000" w:sz="4" w:space="0"/>
            </w:tcBorders>
            <w:noWrap w:val="0"/>
            <w:vAlign w:val="top"/>
          </w:tcPr>
          <w:p w14:paraId="45751191">
            <w:pPr>
              <w:widowControl/>
              <w:spacing w:line="280" w:lineRule="exact"/>
              <w:rPr>
                <w:rFonts w:ascii="楷体" w:eastAsia="楷体" w:cs="仿宋"/>
                <w:bCs/>
                <w:kern w:val="2"/>
                <w:szCs w:val="21"/>
              </w:rPr>
            </w:pPr>
            <w:r>
              <w:rPr>
                <w:rFonts w:hint="eastAsia" w:ascii="楷体" w:eastAsia="楷体" w:cs="仿宋"/>
                <w:bCs/>
                <w:kern w:val="2"/>
                <w:szCs w:val="21"/>
                <w:lang w:val="en-US" w:eastAsia="zh-CN"/>
              </w:rPr>
              <w:t>较好了解钢琴教学各个阶段常用的教材，以及各种教材的特点、基本教法。对于未来可能面对的不同钢琴教学对象，能够有较细致的教学规划。宏观地了解钢琴教学中的相关问题以及解决思路，较好地掌握进一步解决问题的思路和方法。</w:t>
            </w:r>
          </w:p>
        </w:tc>
        <w:tc>
          <w:tcPr>
            <w:tcW w:w="1488" w:type="dxa"/>
            <w:tcBorders>
              <w:top w:val="single" w:color="000000" w:sz="4" w:space="0"/>
              <w:left w:val="single" w:color="000000" w:sz="4" w:space="0"/>
              <w:bottom w:val="single" w:color="000000" w:sz="4" w:space="0"/>
              <w:right w:val="single" w:color="000000" w:sz="4" w:space="0"/>
            </w:tcBorders>
            <w:noWrap w:val="0"/>
            <w:vAlign w:val="top"/>
          </w:tcPr>
          <w:p w14:paraId="45CD66C9">
            <w:pPr>
              <w:widowControl/>
              <w:spacing w:line="280" w:lineRule="exact"/>
              <w:rPr>
                <w:rFonts w:ascii="楷体" w:eastAsia="楷体" w:cs="仿宋"/>
                <w:bCs/>
                <w:kern w:val="2"/>
                <w:szCs w:val="21"/>
              </w:rPr>
            </w:pPr>
            <w:r>
              <w:rPr>
                <w:rFonts w:hint="eastAsia" w:ascii="楷体" w:eastAsia="楷体" w:cs="仿宋"/>
                <w:bCs/>
                <w:kern w:val="2"/>
                <w:szCs w:val="21"/>
                <w:lang w:val="en-US" w:eastAsia="zh-CN"/>
              </w:rPr>
              <w:t>基本了解钢琴教学各个阶段常用的教材。对于未来可能面对的不同钢琴教学对象，有粗略的教学规划。粗浅了解钢琴教学中的相关问题以及解决思路。基本了解进一步解决问题的思路和方法。</w:t>
            </w:r>
          </w:p>
        </w:tc>
        <w:tc>
          <w:tcPr>
            <w:tcW w:w="1584" w:type="dxa"/>
            <w:tcBorders>
              <w:top w:val="single" w:color="000000" w:sz="4" w:space="0"/>
              <w:left w:val="single" w:color="000000" w:sz="4" w:space="0"/>
              <w:bottom w:val="single" w:color="000000" w:sz="4" w:space="0"/>
              <w:right w:val="single" w:color="000000" w:sz="4" w:space="0"/>
            </w:tcBorders>
            <w:noWrap w:val="0"/>
            <w:vAlign w:val="top"/>
          </w:tcPr>
          <w:p w14:paraId="43A78F4E">
            <w:pPr>
              <w:widowControl/>
              <w:spacing w:line="280" w:lineRule="exact"/>
              <w:rPr>
                <w:rFonts w:hint="default" w:ascii="楷体" w:eastAsia="楷体" w:cs="仿宋"/>
                <w:bCs/>
                <w:kern w:val="2"/>
                <w:szCs w:val="21"/>
                <w:lang w:val="en-US"/>
              </w:rPr>
            </w:pPr>
            <w:r>
              <w:rPr>
                <w:rFonts w:hint="eastAsia" w:ascii="楷体" w:eastAsia="楷体" w:cs="仿宋"/>
                <w:bCs/>
                <w:kern w:val="2"/>
                <w:szCs w:val="21"/>
                <w:lang w:val="en-US" w:eastAsia="zh-CN"/>
              </w:rPr>
              <w:t>基本了解钢琴教学各个阶段常用的教材。对于未来可能面对的不同钢琴教学对象，有粗略的教学规划。粗浅了解钢琴教学中的相关问题以及解决思路。具备一定的自主学习能力。</w:t>
            </w:r>
          </w:p>
        </w:tc>
        <w:tc>
          <w:tcPr>
            <w:tcW w:w="1500" w:type="dxa"/>
            <w:tcBorders>
              <w:top w:val="single" w:color="000000" w:sz="4" w:space="0"/>
              <w:left w:val="single" w:color="000000" w:sz="4" w:space="0"/>
              <w:bottom w:val="single" w:color="000000" w:sz="4" w:space="0"/>
              <w:right w:val="single" w:color="000000" w:sz="4" w:space="0"/>
            </w:tcBorders>
            <w:noWrap w:val="0"/>
            <w:vAlign w:val="top"/>
          </w:tcPr>
          <w:p w14:paraId="2D4444BA">
            <w:pPr>
              <w:widowControl/>
              <w:spacing w:line="280" w:lineRule="exact"/>
              <w:rPr>
                <w:rFonts w:ascii="楷体" w:eastAsia="楷体" w:cs="仿宋"/>
                <w:bCs/>
                <w:kern w:val="2"/>
                <w:szCs w:val="21"/>
              </w:rPr>
            </w:pPr>
            <w:r>
              <w:rPr>
                <w:rFonts w:hint="eastAsia" w:ascii="楷体" w:eastAsia="楷体" w:cs="仿宋"/>
                <w:bCs/>
                <w:kern w:val="2"/>
                <w:szCs w:val="21"/>
                <w:lang w:val="en-US" w:eastAsia="zh-CN"/>
              </w:rPr>
              <w:t>粗略了解钢琴教学各个阶段常用的教材。对于未来可能面对的不同钢琴教学对象，没有教学规划。粗浅了解钢琴教学中的相关问题以及解决思路。没有自主学习能力。</w:t>
            </w:r>
          </w:p>
        </w:tc>
        <w:tc>
          <w:tcPr>
            <w:tcW w:w="1451" w:type="dxa"/>
            <w:tcBorders>
              <w:top w:val="single" w:color="000000" w:sz="4" w:space="0"/>
              <w:left w:val="single" w:color="000000" w:sz="4" w:space="0"/>
              <w:bottom w:val="single" w:color="000000" w:sz="4" w:space="0"/>
              <w:right w:val="single" w:color="000000" w:sz="4" w:space="0"/>
            </w:tcBorders>
            <w:noWrap w:val="0"/>
            <w:vAlign w:val="top"/>
          </w:tcPr>
          <w:p w14:paraId="0E85AB9C">
            <w:pPr>
              <w:widowControl/>
              <w:spacing w:line="280" w:lineRule="exact"/>
              <w:rPr>
                <w:rFonts w:ascii="楷体" w:eastAsia="楷体" w:cs="仿宋"/>
                <w:bCs/>
                <w:kern w:val="2"/>
                <w:szCs w:val="21"/>
              </w:rPr>
            </w:pPr>
            <w:r>
              <w:rPr>
                <w:rFonts w:hint="eastAsia" w:ascii="楷体" w:eastAsia="楷体" w:cs="仿宋"/>
                <w:bCs/>
                <w:kern w:val="2"/>
                <w:szCs w:val="21"/>
                <w:lang w:val="en-US" w:eastAsia="zh-CN"/>
              </w:rPr>
              <w:t>不了解钢琴教学各个阶段常用的教材。对于未来可能面对的不同钢琴教学对象，没有教学规划。不了解钢琴教学中的相关问题以及解决思路。没有自主学习能力。</w:t>
            </w:r>
          </w:p>
        </w:tc>
      </w:tr>
    </w:tbl>
    <w:p w14:paraId="278585B4">
      <w:pPr>
        <w:rPr>
          <w:sz w:val="2"/>
          <w:szCs w:val="2"/>
        </w:rPr>
        <w:sectPr>
          <w:headerReference r:id="rId103" w:type="default"/>
          <w:footerReference r:id="rId104" w:type="default"/>
          <w:pgSz w:w="11906" w:h="16838"/>
          <w:pgMar w:top="1440" w:right="1800" w:bottom="1440" w:left="1800" w:header="851" w:footer="992" w:gutter="0"/>
          <w:cols w:space="425" w:num="1"/>
          <w:docGrid w:type="lines" w:linePitch="312" w:charSpace="0"/>
        </w:sectPr>
      </w:pPr>
    </w:p>
    <w:p w14:paraId="385E8015">
      <w:pPr>
        <w:adjustRightInd w:val="0"/>
        <w:snapToGrid w:val="0"/>
        <w:spacing w:line="560" w:lineRule="exact"/>
        <w:jc w:val="center"/>
        <w:rPr>
          <w:rFonts w:eastAsia="方正小标宋简体"/>
          <w:sz w:val="44"/>
          <w:szCs w:val="44"/>
        </w:rPr>
      </w:pPr>
      <w:r>
        <w:rPr>
          <w:b/>
          <w:bCs/>
        </w:rPr>
        <w:t>三明学院音乐学（音乐教育）专业</w:t>
      </w:r>
    </w:p>
    <w:p w14:paraId="50A06537">
      <w:pPr>
        <w:pStyle w:val="2"/>
        <w:pageBreakBefore w:val="0"/>
        <w:kinsoku/>
        <w:overflowPunct/>
        <w:topLinePunct w:val="0"/>
        <w:bidi w:val="0"/>
        <w:spacing w:before="0" w:beforeAutospacing="0" w:after="0" w:afterAutospacing="0" w:line="240" w:lineRule="auto"/>
        <w:jc w:val="center"/>
        <w:rPr>
          <w:rFonts w:hint="eastAsia" w:ascii="方正小标宋简体" w:hAnsi="方正小标宋简体" w:eastAsia="方正小标宋简体" w:cs="方正小标宋简体"/>
          <w:b w:val="0"/>
          <w:bCs w:val="0"/>
          <w:sz w:val="44"/>
          <w:szCs w:val="44"/>
        </w:rPr>
      </w:pPr>
      <w:bookmarkStart w:id="196" w:name="_Toc327654477"/>
      <w:bookmarkStart w:id="197" w:name="_Toc446751764"/>
      <w:r>
        <w:rPr>
          <w:rFonts w:hint="eastAsia" w:ascii="方正小标宋简体" w:hAnsi="方正小标宋简体" w:eastAsia="方正小标宋简体" w:cs="方正小标宋简体"/>
          <w:b w:val="0"/>
          <w:bCs w:val="0"/>
          <w:sz w:val="44"/>
          <w:szCs w:val="44"/>
          <w:lang w:val="en-US" w:eastAsia="zh-CN"/>
        </w:rPr>
        <w:t>《乐器演奏》课程教学大纲</w:t>
      </w:r>
      <w:bookmarkEnd w:id="196"/>
      <w:bookmarkEnd w:id="197"/>
    </w:p>
    <w:tbl>
      <w:tblPr>
        <w:tblStyle w:val="22"/>
        <w:tblW w:w="91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284"/>
        <w:gridCol w:w="1043"/>
        <w:gridCol w:w="756"/>
        <w:gridCol w:w="926"/>
        <w:gridCol w:w="1320"/>
        <w:gridCol w:w="90"/>
        <w:gridCol w:w="191"/>
        <w:gridCol w:w="821"/>
        <w:gridCol w:w="63"/>
        <w:gridCol w:w="75"/>
        <w:gridCol w:w="571"/>
        <w:gridCol w:w="238"/>
        <w:gridCol w:w="213"/>
        <w:gridCol w:w="465"/>
        <w:gridCol w:w="206"/>
        <w:gridCol w:w="10"/>
        <w:gridCol w:w="876"/>
      </w:tblGrid>
      <w:tr w14:paraId="4A7C68E9">
        <w:trPr>
          <w:trHeight w:val="454" w:hRule="atLeast"/>
        </w:trPr>
        <w:tc>
          <w:tcPr>
            <w:tcW w:w="1284" w:type="dxa"/>
            <w:noWrap w:val="0"/>
            <w:vAlign w:val="center"/>
          </w:tcPr>
          <w:p w14:paraId="56762D0C">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课程名称</w:t>
            </w:r>
          </w:p>
        </w:tc>
        <w:tc>
          <w:tcPr>
            <w:tcW w:w="5285" w:type="dxa"/>
            <w:gridSpan w:val="9"/>
            <w:noWrap w:val="0"/>
            <w:vAlign w:val="center"/>
          </w:tcPr>
          <w:p w14:paraId="2A48479B">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《乐器演奏》</w:t>
            </w:r>
          </w:p>
        </w:tc>
        <w:tc>
          <w:tcPr>
            <w:tcW w:w="1022" w:type="dxa"/>
            <w:gridSpan w:val="3"/>
            <w:noWrap w:val="0"/>
            <w:vAlign w:val="center"/>
          </w:tcPr>
          <w:p w14:paraId="3D947334">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课程</w:t>
            </w:r>
          </w:p>
          <w:p w14:paraId="5CBA24A3">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代码</w:t>
            </w:r>
          </w:p>
        </w:tc>
        <w:tc>
          <w:tcPr>
            <w:tcW w:w="1557" w:type="dxa"/>
            <w:gridSpan w:val="4"/>
            <w:noWrap w:val="0"/>
            <w:vAlign w:val="center"/>
          </w:tcPr>
          <w:p w14:paraId="144A8A2D">
            <w:pPr>
              <w:pStyle w:val="19"/>
              <w:keepNext w:val="0"/>
              <w:keepLines w:val="0"/>
              <w:pageBreakBefore w:val="0"/>
              <w:widowControl/>
              <w:numPr>
                <w:ilvl w:val="0"/>
                <w:numId w:val="33"/>
              </w:numPr>
              <w:kinsoku/>
              <w:wordWrap/>
              <w:overflowPunct/>
              <w:topLinePunct w:val="0"/>
              <w:autoSpaceDE/>
              <w:autoSpaceDN/>
              <w:bidi w:val="0"/>
              <w:adjustRightInd/>
              <w:snapToGrid/>
              <w:spacing w:before="0" w:beforeAutospacing="0" w:after="0" w:afterAutospacing="0" w:line="320" w:lineRule="exact"/>
              <w:jc w:val="center"/>
              <w:textAlignment w:val="auto"/>
              <w:rPr>
                <w:rFonts w:ascii="仿宋_GB2312" w:hAnsi="仿宋_GB2312" w:eastAsia="仿宋_GB2312" w:cs="仿宋_GB2312"/>
                <w:szCs w:val="24"/>
              </w:rPr>
            </w:pPr>
            <w:r>
              <w:rPr>
                <w:rFonts w:hint="eastAsia" w:ascii="仿宋_GB2312" w:hAnsi="仿宋_GB2312" w:eastAsia="仿宋_GB2312" w:cs="仿宋_GB2312"/>
                <w:szCs w:val="24"/>
              </w:rPr>
              <w:t>1213402607</w:t>
            </w:r>
          </w:p>
          <w:p w14:paraId="26291182">
            <w:pPr>
              <w:pStyle w:val="19"/>
              <w:keepNext w:val="0"/>
              <w:keepLines w:val="0"/>
              <w:pageBreakBefore w:val="0"/>
              <w:widowControl/>
              <w:kinsoku/>
              <w:wordWrap/>
              <w:overflowPunct/>
              <w:topLinePunct w:val="0"/>
              <w:autoSpaceDE/>
              <w:autoSpaceDN/>
              <w:bidi w:val="0"/>
              <w:adjustRightInd/>
              <w:snapToGrid/>
              <w:spacing w:before="0" w:beforeAutospacing="0" w:after="0" w:afterAutospacing="0" w:line="320" w:lineRule="exact"/>
              <w:jc w:val="center"/>
              <w:textAlignment w:val="auto"/>
              <w:rPr>
                <w:rFonts w:ascii="仿宋_GB2312" w:hAnsi="仿宋_GB2312" w:eastAsia="仿宋_GB2312" w:cs="仿宋_GB2312"/>
                <w:szCs w:val="24"/>
              </w:rPr>
            </w:pPr>
            <w:r>
              <w:rPr>
                <w:rFonts w:hint="eastAsia" w:ascii="仿宋_GB2312" w:hAnsi="仿宋_GB2312" w:eastAsia="仿宋_GB2312" w:cs="仿宋_GB2312"/>
                <w:szCs w:val="24"/>
              </w:rPr>
              <w:t>1213402608</w:t>
            </w:r>
          </w:p>
          <w:p w14:paraId="39DF59C8">
            <w:pPr>
              <w:pStyle w:val="19"/>
              <w:keepNext w:val="0"/>
              <w:keepLines w:val="0"/>
              <w:pageBreakBefore w:val="0"/>
              <w:widowControl/>
              <w:kinsoku/>
              <w:wordWrap/>
              <w:overflowPunct/>
              <w:topLinePunct w:val="0"/>
              <w:autoSpaceDE/>
              <w:autoSpaceDN/>
              <w:bidi w:val="0"/>
              <w:adjustRightInd/>
              <w:snapToGrid/>
              <w:spacing w:before="0" w:beforeAutospacing="0" w:after="0" w:afterAutospacing="0" w:line="320" w:lineRule="exact"/>
              <w:jc w:val="center"/>
              <w:textAlignment w:val="auto"/>
              <w:rPr>
                <w:rFonts w:ascii="仿宋_GB2312" w:hAnsi="仿宋_GB2312" w:eastAsia="仿宋_GB2312" w:cs="仿宋_GB2312"/>
                <w:szCs w:val="24"/>
              </w:rPr>
            </w:pPr>
            <w:r>
              <w:rPr>
                <w:rFonts w:hint="eastAsia" w:ascii="仿宋_GB2312" w:hAnsi="仿宋_GB2312" w:eastAsia="仿宋_GB2312" w:cs="仿宋_GB2312"/>
                <w:szCs w:val="24"/>
              </w:rPr>
              <w:t>1213402609</w:t>
            </w:r>
          </w:p>
        </w:tc>
      </w:tr>
      <w:tr w14:paraId="1F7D285C">
        <w:trPr>
          <w:trHeight w:val="454" w:hRule="atLeast"/>
        </w:trPr>
        <w:tc>
          <w:tcPr>
            <w:tcW w:w="1284" w:type="dxa"/>
            <w:noWrap w:val="0"/>
            <w:vAlign w:val="center"/>
          </w:tcPr>
          <w:p w14:paraId="405BAA58">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课程类型</w:t>
            </w:r>
          </w:p>
        </w:tc>
        <w:tc>
          <w:tcPr>
            <w:tcW w:w="7864" w:type="dxa"/>
            <w:gridSpan w:val="16"/>
            <w:noWrap w:val="0"/>
            <w:vAlign w:val="center"/>
          </w:tcPr>
          <w:p w14:paraId="05D43D4A">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sym w:font="Wingdings" w:char="00A8"/>
            </w:r>
            <w:r>
              <w:rPr>
                <w:rFonts w:hint="eastAsia" w:ascii="仿宋_GB2312" w:hAnsi="仿宋_GB2312" w:eastAsia="仿宋_GB2312" w:cs="仿宋_GB2312"/>
                <w:sz w:val="24"/>
                <w:szCs w:val="24"/>
              </w:rPr>
              <w:t xml:space="preserve">通识必修 </w:t>
            </w:r>
            <w:r>
              <w:rPr>
                <w:rFonts w:hint="eastAsia" w:ascii="仿宋_GB2312" w:hAnsi="仿宋_GB2312" w:eastAsia="仿宋_GB2312" w:cs="仿宋_GB2312"/>
                <w:sz w:val="24"/>
                <w:szCs w:val="24"/>
              </w:rPr>
              <w:sym w:font="Wingdings" w:char="00A8"/>
            </w:r>
            <w:r>
              <w:rPr>
                <w:rFonts w:hint="eastAsia" w:ascii="仿宋_GB2312" w:hAnsi="仿宋_GB2312" w:eastAsia="仿宋_GB2312" w:cs="仿宋_GB2312"/>
                <w:sz w:val="24"/>
                <w:szCs w:val="24"/>
              </w:rPr>
              <w:t xml:space="preserve">通识选修 </w:t>
            </w:r>
            <w:r>
              <w:rPr>
                <w:rFonts w:hint="eastAsia" w:ascii="仿宋_GB2312" w:hAnsi="仿宋_GB2312" w:eastAsia="仿宋_GB2312" w:cs="仿宋_GB2312"/>
                <w:sz w:val="24"/>
                <w:szCs w:val="24"/>
              </w:rPr>
              <w:sym w:font="Wingdings" w:char="00FE"/>
            </w:r>
            <w:r>
              <w:rPr>
                <w:rFonts w:hint="eastAsia" w:ascii="仿宋_GB2312" w:hAnsi="仿宋_GB2312" w:eastAsia="仿宋_GB2312" w:cs="仿宋_GB2312"/>
                <w:sz w:val="24"/>
                <w:szCs w:val="24"/>
              </w:rPr>
              <w:t xml:space="preserve">专业必修 </w:t>
            </w:r>
          </w:p>
          <w:p w14:paraId="5763CAF9">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sym w:font="Wingdings" w:char="00A8"/>
            </w:r>
            <w:r>
              <w:rPr>
                <w:rFonts w:hint="eastAsia" w:ascii="仿宋_GB2312" w:hAnsi="仿宋_GB2312" w:eastAsia="仿宋_GB2312" w:cs="仿宋_GB2312"/>
                <w:sz w:val="24"/>
                <w:szCs w:val="24"/>
              </w:rPr>
              <w:t>专业选修</w:t>
            </w:r>
            <w:r>
              <w:rPr>
                <w:rFonts w:hint="eastAsia" w:ascii="仿宋_GB2312" w:hAnsi="仿宋_GB2312" w:eastAsia="仿宋_GB2312" w:cs="仿宋_GB2312"/>
                <w:sz w:val="24"/>
                <w:szCs w:val="24"/>
                <w:lang w:eastAsia="zh-TW"/>
              </w:rPr>
              <w:t xml:space="preserve"> </w:t>
            </w:r>
            <w:r>
              <w:rPr>
                <w:rFonts w:hint="eastAsia" w:ascii="仿宋_GB2312" w:hAnsi="仿宋_GB2312" w:eastAsia="仿宋_GB2312" w:cs="仿宋_GB2312"/>
                <w:sz w:val="24"/>
                <w:szCs w:val="24"/>
              </w:rPr>
              <w:sym w:font="Wingdings" w:char="00A8"/>
            </w:r>
            <w:r>
              <w:rPr>
                <w:rFonts w:hint="eastAsia" w:ascii="仿宋_GB2312" w:hAnsi="仿宋_GB2312" w:eastAsia="仿宋_GB2312" w:cs="仿宋_GB2312"/>
                <w:sz w:val="24"/>
                <w:szCs w:val="24"/>
              </w:rPr>
              <w:t xml:space="preserve">教师教育必修 </w:t>
            </w:r>
            <w:r>
              <w:rPr>
                <w:rFonts w:hint="eastAsia" w:ascii="仿宋_GB2312" w:hAnsi="仿宋_GB2312" w:eastAsia="仿宋_GB2312" w:cs="仿宋_GB2312"/>
                <w:sz w:val="24"/>
                <w:szCs w:val="24"/>
              </w:rPr>
              <w:sym w:font="Wingdings" w:char="00A8"/>
            </w:r>
            <w:r>
              <w:rPr>
                <w:rFonts w:hint="eastAsia" w:ascii="仿宋_GB2312" w:hAnsi="仿宋_GB2312" w:eastAsia="仿宋_GB2312" w:cs="仿宋_GB2312"/>
                <w:sz w:val="24"/>
                <w:szCs w:val="24"/>
              </w:rPr>
              <w:t>教师教育选修</w:t>
            </w:r>
          </w:p>
        </w:tc>
      </w:tr>
      <w:tr w14:paraId="47EE695B">
        <w:trPr>
          <w:trHeight w:val="406" w:hRule="atLeast"/>
        </w:trPr>
        <w:tc>
          <w:tcPr>
            <w:tcW w:w="1284" w:type="dxa"/>
            <w:noWrap w:val="0"/>
            <w:vAlign w:val="center"/>
          </w:tcPr>
          <w:p w14:paraId="447AD6E3">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开课学期</w:t>
            </w:r>
          </w:p>
        </w:tc>
        <w:tc>
          <w:tcPr>
            <w:tcW w:w="2725" w:type="dxa"/>
            <w:gridSpan w:val="3"/>
            <w:noWrap w:val="0"/>
            <w:vAlign w:val="center"/>
          </w:tcPr>
          <w:p w14:paraId="03F65776">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第5、6、8学期</w:t>
            </w:r>
          </w:p>
        </w:tc>
        <w:tc>
          <w:tcPr>
            <w:tcW w:w="1410" w:type="dxa"/>
            <w:gridSpan w:val="2"/>
            <w:noWrap w:val="0"/>
            <w:vAlign w:val="center"/>
          </w:tcPr>
          <w:p w14:paraId="389962C0">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学分</w:t>
            </w:r>
          </w:p>
        </w:tc>
        <w:tc>
          <w:tcPr>
            <w:tcW w:w="1012" w:type="dxa"/>
            <w:gridSpan w:val="2"/>
            <w:noWrap w:val="0"/>
            <w:vAlign w:val="center"/>
          </w:tcPr>
          <w:p w14:paraId="1C1C9F4D">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2</w:t>
            </w:r>
          </w:p>
        </w:tc>
        <w:tc>
          <w:tcPr>
            <w:tcW w:w="1625" w:type="dxa"/>
            <w:gridSpan w:val="6"/>
            <w:noWrap w:val="0"/>
            <w:vAlign w:val="center"/>
          </w:tcPr>
          <w:p w14:paraId="293BAC5B">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课程负责人</w:t>
            </w:r>
          </w:p>
        </w:tc>
        <w:tc>
          <w:tcPr>
            <w:tcW w:w="1092" w:type="dxa"/>
            <w:gridSpan w:val="3"/>
            <w:noWrap w:val="0"/>
            <w:vAlign w:val="center"/>
          </w:tcPr>
          <w:p w14:paraId="09F3D12D">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元凯</w:t>
            </w:r>
          </w:p>
        </w:tc>
      </w:tr>
      <w:tr w14:paraId="46DD490E">
        <w:trPr>
          <w:trHeight w:val="485" w:hRule="atLeast"/>
        </w:trPr>
        <w:tc>
          <w:tcPr>
            <w:tcW w:w="1284" w:type="dxa"/>
            <w:noWrap w:val="0"/>
            <w:vAlign w:val="center"/>
          </w:tcPr>
          <w:p w14:paraId="55DB4848">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总学时</w:t>
            </w:r>
          </w:p>
        </w:tc>
        <w:tc>
          <w:tcPr>
            <w:tcW w:w="2725" w:type="dxa"/>
            <w:gridSpan w:val="3"/>
            <w:noWrap w:val="0"/>
            <w:vAlign w:val="center"/>
          </w:tcPr>
          <w:p w14:paraId="4C0A912D">
            <w:pPr>
              <w:adjustRightInd w:val="0"/>
              <w:snapToGrid w:val="0"/>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rPr>
              <w:t>48</w:t>
            </w:r>
          </w:p>
        </w:tc>
        <w:tc>
          <w:tcPr>
            <w:tcW w:w="1410" w:type="dxa"/>
            <w:gridSpan w:val="2"/>
            <w:noWrap w:val="0"/>
            <w:vAlign w:val="center"/>
          </w:tcPr>
          <w:p w14:paraId="413AA4CD">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理论学时</w:t>
            </w:r>
          </w:p>
        </w:tc>
        <w:tc>
          <w:tcPr>
            <w:tcW w:w="1012" w:type="dxa"/>
            <w:gridSpan w:val="2"/>
            <w:noWrap w:val="0"/>
            <w:vAlign w:val="center"/>
          </w:tcPr>
          <w:p w14:paraId="1E318591">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0</w:t>
            </w:r>
          </w:p>
        </w:tc>
        <w:tc>
          <w:tcPr>
            <w:tcW w:w="1625" w:type="dxa"/>
            <w:gridSpan w:val="6"/>
            <w:tcBorders>
              <w:right w:val="single" w:color="000000" w:sz="4" w:space="0"/>
            </w:tcBorders>
            <w:noWrap w:val="0"/>
            <w:vAlign w:val="center"/>
          </w:tcPr>
          <w:p w14:paraId="5FB44D65">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实践学时</w:t>
            </w:r>
          </w:p>
        </w:tc>
        <w:tc>
          <w:tcPr>
            <w:tcW w:w="1092" w:type="dxa"/>
            <w:gridSpan w:val="3"/>
            <w:tcBorders>
              <w:left w:val="single" w:color="000000" w:sz="4" w:space="0"/>
            </w:tcBorders>
            <w:noWrap w:val="0"/>
            <w:vAlign w:val="center"/>
          </w:tcPr>
          <w:p w14:paraId="7B335ADB">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48</w:t>
            </w:r>
          </w:p>
        </w:tc>
      </w:tr>
      <w:tr w14:paraId="08B33505">
        <w:trPr>
          <w:trHeight w:val="454" w:hRule="atLeast"/>
        </w:trPr>
        <w:tc>
          <w:tcPr>
            <w:tcW w:w="1284" w:type="dxa"/>
            <w:noWrap w:val="0"/>
            <w:vAlign w:val="center"/>
          </w:tcPr>
          <w:p w14:paraId="3CC1874C">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先修课程与后续课程</w:t>
            </w:r>
          </w:p>
        </w:tc>
        <w:tc>
          <w:tcPr>
            <w:tcW w:w="7864" w:type="dxa"/>
            <w:gridSpan w:val="16"/>
            <w:noWrap w:val="0"/>
            <w:vAlign w:val="center"/>
          </w:tcPr>
          <w:p w14:paraId="2C03207D">
            <w:pPr>
              <w:tabs>
                <w:tab w:val="left" w:pos="720"/>
              </w:tabs>
              <w:adjustRightInd w:val="0"/>
              <w:snapToGrid w:val="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先修课程：《乐器演奏基础》《乐理》《视唱练耳》</w:t>
            </w:r>
          </w:p>
          <w:p w14:paraId="632A46A1">
            <w:pPr>
              <w:tabs>
                <w:tab w:val="left" w:pos="720"/>
              </w:tabs>
              <w:adjustRightInd w:val="0"/>
              <w:snapToGrid w:val="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后续课程：《配器》《中小学乐队编配》</w:t>
            </w:r>
          </w:p>
        </w:tc>
      </w:tr>
      <w:tr w14:paraId="17D99026">
        <w:trPr>
          <w:trHeight w:val="454" w:hRule="atLeast"/>
        </w:trPr>
        <w:tc>
          <w:tcPr>
            <w:tcW w:w="1284" w:type="dxa"/>
            <w:noWrap w:val="0"/>
            <w:vAlign w:val="center"/>
          </w:tcPr>
          <w:p w14:paraId="61D56C94">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适用专业</w:t>
            </w:r>
          </w:p>
        </w:tc>
        <w:tc>
          <w:tcPr>
            <w:tcW w:w="7864" w:type="dxa"/>
            <w:gridSpan w:val="16"/>
            <w:noWrap w:val="0"/>
            <w:vAlign w:val="center"/>
          </w:tcPr>
          <w:p w14:paraId="7AD37F9F">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音乐学专业</w:t>
            </w:r>
          </w:p>
        </w:tc>
      </w:tr>
      <w:tr w14:paraId="6BCBBE05">
        <w:tc>
          <w:tcPr>
            <w:tcW w:w="1284" w:type="dxa"/>
            <w:tcBorders>
              <w:bottom w:val="single" w:color="auto" w:sz="4" w:space="0"/>
            </w:tcBorders>
            <w:noWrap w:val="0"/>
            <w:vAlign w:val="center"/>
          </w:tcPr>
          <w:p w14:paraId="389C9A9E">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A</w:t>
            </w:r>
          </w:p>
          <w:p w14:paraId="44C954AA">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参考教材</w:t>
            </w:r>
          </w:p>
        </w:tc>
        <w:tc>
          <w:tcPr>
            <w:tcW w:w="7864" w:type="dxa"/>
            <w:gridSpan w:val="16"/>
            <w:tcBorders>
              <w:bottom w:val="single" w:color="auto" w:sz="4" w:space="0"/>
            </w:tcBorders>
            <w:noWrap w:val="0"/>
            <w:vAlign w:val="center"/>
          </w:tcPr>
          <w:p w14:paraId="1E6D9176">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[1]《全国二胡考级作品集》张韶、许讲德、赵寒阳主编，人民音乐出版社。</w:t>
            </w:r>
          </w:p>
          <w:p w14:paraId="1E73278B">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[2]《琵琶基础教程》王琛编，江苏凤凰文艺出版社。</w:t>
            </w:r>
          </w:p>
          <w:p w14:paraId="225E0735">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[3]《铃木大提琴教材》人民音乐出版社。</w:t>
            </w:r>
          </w:p>
          <w:p w14:paraId="60B3D321">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[4]《大提琴基础练习170首》阿尔温编著，人民出版社。</w:t>
            </w:r>
          </w:p>
          <w:p w14:paraId="79F37A67">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[5]《中央音乐学院大提琴考级教程》中央音乐学院考级委员会编，人民音乐出版社。</w:t>
            </w:r>
          </w:p>
          <w:p w14:paraId="3C409986">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[6]《古筝教程 入门一至三级》[M]袁莎，中央音乐学院出版社。</w:t>
            </w:r>
          </w:p>
          <w:p w14:paraId="51749306">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[7]《古筝入门修订版》[M]童宜风,李远榕，人民音乐出版社。</w:t>
            </w:r>
          </w:p>
          <w:p w14:paraId="42A8388B">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[8]《校外音乐考级全国通用教材－古筝》[M]林玲.北京：中国青年出版社。</w:t>
            </w:r>
          </w:p>
          <w:p w14:paraId="59605850">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[9]《66条鼓独奏》，北京风华学校编译。</w:t>
            </w:r>
          </w:p>
          <w:p w14:paraId="70EB0179">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[10]《笛子练习曲选》曲详、曲广义编著，人民音乐出版社。</w:t>
            </w:r>
          </w:p>
          <w:p w14:paraId="569947F7">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[11]《中国笛子考级曲集》俞逊发、许国屏、周大成编著，上海音乐出版社。</w:t>
            </w:r>
          </w:p>
          <w:p w14:paraId="0614DDE5">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[12]《长笛演奏技巧教程》郑义军著。</w:t>
            </w:r>
          </w:p>
          <w:p w14:paraId="72E08A97">
            <w:pPr>
              <w:pStyle w:val="59"/>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[13]《新编萨克斯管自修教程》尹志发、尹升华，中国青年出版社。</w:t>
            </w:r>
          </w:p>
          <w:p w14:paraId="32DF2B8D">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[14]《萨克斯管考级教程》李满龙,中央音乐学院出版社。</w:t>
            </w:r>
          </w:p>
          <w:p w14:paraId="5F935185">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[15]《管乐队标准化训练教程——中音/次中音萨克斯管1-3》皮尔森,上海音乐出版社。</w:t>
            </w:r>
          </w:p>
          <w:p w14:paraId="5E354D57">
            <w:pPr>
              <w:adjustRightInd w:val="0"/>
              <w:snapToGrid w:val="0"/>
              <w:rPr>
                <w:rFonts w:ascii="仿宋_GB2312" w:hAnsi="仿宋_GB2312" w:eastAsia="仿宋_GB2312" w:cs="仿宋_GB2312"/>
                <w:sz w:val="24"/>
                <w:szCs w:val="24"/>
              </w:rPr>
            </w:pPr>
            <w:r>
              <w:rPr>
                <w:rFonts w:hint="eastAsia" w:ascii="仿宋" w:hAnsi="仿宋" w:eastAsia="仿宋" w:cs="仿宋"/>
                <w:color w:val="000000"/>
                <w:sz w:val="24"/>
                <w:szCs w:val="24"/>
              </w:rPr>
              <w:t>[16]《小提琴入门与提高》杨宝智，蓝天出版社。</w:t>
            </w:r>
          </w:p>
        </w:tc>
      </w:tr>
      <w:tr w14:paraId="71F5F93B">
        <w:tc>
          <w:tcPr>
            <w:tcW w:w="1284" w:type="dxa"/>
            <w:tcBorders>
              <w:bottom w:val="single" w:color="auto" w:sz="4" w:space="0"/>
            </w:tcBorders>
            <w:noWrap w:val="0"/>
            <w:vAlign w:val="center"/>
          </w:tcPr>
          <w:p w14:paraId="54E4DD86">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B</w:t>
            </w:r>
          </w:p>
          <w:p w14:paraId="22967A26">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主要参考书籍</w:t>
            </w:r>
          </w:p>
        </w:tc>
        <w:tc>
          <w:tcPr>
            <w:tcW w:w="7864" w:type="dxa"/>
            <w:gridSpan w:val="16"/>
            <w:tcBorders>
              <w:bottom w:val="single" w:color="auto" w:sz="4" w:space="0"/>
            </w:tcBorders>
            <w:noWrap w:val="0"/>
            <w:vAlign w:val="center"/>
          </w:tcPr>
          <w:p w14:paraId="249E65AC">
            <w:pPr>
              <w:adjustRightInd w:val="0"/>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 《二胡基础教程》赵寒阳编著，人民音乐出版社。</w:t>
            </w:r>
          </w:p>
          <w:p w14:paraId="5FDD0CE3">
            <w:pPr>
              <w:adjustRightInd w:val="0"/>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[2]《琵琶考级练习曲》叶绪然，上海音乐出版社。</w:t>
            </w:r>
          </w:p>
          <w:p w14:paraId="52EE1899">
            <w:pPr>
              <w:adjustRightInd w:val="0"/>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[3]《大提琴教程音阶练习分集》王连三、宋涛编著，人民音乐出版社。</w:t>
            </w:r>
          </w:p>
          <w:p w14:paraId="4FC56F16">
            <w:pPr>
              <w:adjustRightInd w:val="0"/>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[4]《66条鼓独奏》，北京风华学校编译。</w:t>
            </w:r>
          </w:p>
          <w:p w14:paraId="4B70D875">
            <w:pPr>
              <w:adjustRightInd w:val="0"/>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[5]《中国古筝考级曲集》[M]上海筝会，上海音乐出版社。</w:t>
            </w:r>
          </w:p>
          <w:p w14:paraId="3A9A4499">
            <w:pPr>
              <w:adjustRightInd w:val="0"/>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[6]《笛子基础教程》马迪编著，陕西旅游出版社。</w:t>
            </w:r>
          </w:p>
          <w:p w14:paraId="1549E28D">
            <w:pPr>
              <w:adjustRightInd w:val="0"/>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[7]《世界著名长笛练习曲集——戈尔鲍迪专辑》</w:t>
            </w:r>
          </w:p>
          <w:p w14:paraId="133235C9">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[8]《小提琴教材精选（一）、（二）、（三）、（四）》张世祥、徐宜懋，上海声像出版社。</w:t>
            </w:r>
          </w:p>
          <w:p w14:paraId="481A5861">
            <w:pPr>
              <w:adjustRightInd w:val="0"/>
              <w:snapToGrid w:val="0"/>
              <w:rPr>
                <w:rFonts w:ascii="仿宋_GB2312" w:hAnsi="仿宋_GB2312" w:eastAsia="仿宋_GB2312" w:cs="仿宋_GB2312"/>
                <w:color w:val="000000"/>
                <w:sz w:val="24"/>
                <w:szCs w:val="24"/>
              </w:rPr>
            </w:pPr>
            <w:r>
              <w:rPr>
                <w:rFonts w:hint="eastAsia" w:ascii="仿宋" w:hAnsi="仿宋" w:eastAsia="仿宋" w:cs="仿宋"/>
                <w:color w:val="000000"/>
                <w:sz w:val="24"/>
                <w:szCs w:val="24"/>
              </w:rPr>
              <w:t>[9]《铃木小提琴教程（国际版）1、2、3、4、5、6、7》铃木镇一、陈蓝谷，人民音乐出版社。</w:t>
            </w:r>
          </w:p>
        </w:tc>
      </w:tr>
      <w:tr w14:paraId="34A60F59">
        <w:trPr>
          <w:trHeight w:val="1213" w:hRule="atLeast"/>
        </w:trPr>
        <w:tc>
          <w:tcPr>
            <w:tcW w:w="1284" w:type="dxa"/>
            <w:tcBorders>
              <w:bottom w:val="single" w:color="auto" w:sz="4" w:space="0"/>
            </w:tcBorders>
            <w:noWrap w:val="0"/>
            <w:vAlign w:val="center"/>
          </w:tcPr>
          <w:p w14:paraId="13EEF180">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C</w:t>
            </w:r>
          </w:p>
          <w:p w14:paraId="4B21BD28">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线上学习资源</w:t>
            </w:r>
          </w:p>
        </w:tc>
        <w:tc>
          <w:tcPr>
            <w:tcW w:w="7864" w:type="dxa"/>
            <w:gridSpan w:val="16"/>
            <w:tcBorders>
              <w:bottom w:val="single" w:color="auto" w:sz="4" w:space="0"/>
            </w:tcBorders>
            <w:noWrap w:val="0"/>
            <w:vAlign w:val="center"/>
          </w:tcPr>
          <w:p w14:paraId="444F410A">
            <w:pPr>
              <w:adjustRightInd w:val="0"/>
              <w:snapToGrid w:val="0"/>
              <w:rPr>
                <w:rFonts w:ascii="仿宋_GB2312" w:hAnsi="仿宋_GB2312" w:eastAsia="仿宋_GB2312" w:cs="仿宋_GB2312"/>
                <w:kern w:val="0"/>
                <w:sz w:val="24"/>
                <w:szCs w:val="24"/>
              </w:rPr>
            </w:pPr>
            <w:r>
              <w:rPr>
                <w:rFonts w:hint="eastAsia" w:ascii="仿宋_GB2312" w:hAnsi="仿宋_GB2312" w:eastAsia="仿宋_GB2312" w:cs="仿宋_GB2312"/>
                <w:sz w:val="24"/>
                <w:szCs w:val="24"/>
              </w:rPr>
              <w:t>本课程已经建立校园网络课程，同学们依据学校提供的帐号与密码登录课程网站，可查看教学大纲、授课计划、考核方法、课程PPT、教学视频、电子教材、音频、阅读资料、网络文献链接网址等教学资源。</w:t>
            </w:r>
          </w:p>
        </w:tc>
      </w:tr>
      <w:tr w14:paraId="684293B3">
        <w:trPr>
          <w:trHeight w:val="90" w:hRule="atLeast"/>
        </w:trPr>
        <w:tc>
          <w:tcPr>
            <w:tcW w:w="1284" w:type="dxa"/>
            <w:shd w:val="clear" w:color="auto" w:fill="FFFFFF"/>
            <w:noWrap w:val="0"/>
            <w:vAlign w:val="center"/>
          </w:tcPr>
          <w:p w14:paraId="6052442E">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D</w:t>
            </w:r>
          </w:p>
          <w:p w14:paraId="6F115738">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 xml:space="preserve">课程描述 </w:t>
            </w:r>
          </w:p>
          <w:p w14:paraId="058722F3">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lang w:eastAsia="zh-TW"/>
              </w:rPr>
              <w:t>(</w:t>
            </w:r>
            <w:r>
              <w:rPr>
                <w:rFonts w:hint="eastAsia" w:ascii="仿宋_GB2312" w:hAnsi="仿宋_GB2312" w:eastAsia="仿宋_GB2312" w:cs="仿宋_GB2312"/>
                <w:color w:val="000000"/>
                <w:sz w:val="24"/>
                <w:szCs w:val="24"/>
              </w:rPr>
              <w:t>含</w:t>
            </w:r>
            <w:r>
              <w:rPr>
                <w:rFonts w:hint="eastAsia" w:ascii="仿宋_GB2312" w:hAnsi="仿宋_GB2312" w:eastAsia="仿宋_GB2312" w:cs="仿宋_GB2312"/>
                <w:color w:val="000000"/>
                <w:sz w:val="24"/>
                <w:szCs w:val="24"/>
                <w:lang w:eastAsia="zh-TW"/>
              </w:rPr>
              <w:t>性质、地位和任务)</w:t>
            </w:r>
          </w:p>
        </w:tc>
        <w:tc>
          <w:tcPr>
            <w:tcW w:w="7864" w:type="dxa"/>
            <w:gridSpan w:val="16"/>
            <w:tcBorders>
              <w:bottom w:val="single" w:color="auto" w:sz="4" w:space="0"/>
            </w:tcBorders>
            <w:shd w:val="clear" w:color="auto" w:fill="FFFFFF"/>
            <w:noWrap w:val="0"/>
            <w:vAlign w:val="center"/>
          </w:tcPr>
          <w:p w14:paraId="4889410D">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本课程为音乐学专业方向课 (属《乐器演奏》课程)。其结合中西器乐近现代发展综合知识，来培养学生扎实的器乐演奏技能、增强其自身演奏的音乐表现力，以求达到其鲜明的艺术表演特色。本课程主要目的是在学生进一步掌握器乐演奏基本技能技巧的基础上，培养学生理解、分析、鉴赏器乐演奏风格特点的能力以及热爱音乐的情感。通过以美育人、以美化人，积极弘扬中华美育精神，使学生能够自觉传承和弘扬中华优秀传统文化，具备一定的审美和人文素养，增强文化自信。</w:t>
            </w:r>
          </w:p>
        </w:tc>
      </w:tr>
      <w:tr w14:paraId="18FE9893">
        <w:trPr>
          <w:trHeight w:val="3071" w:hRule="atLeast"/>
        </w:trPr>
        <w:tc>
          <w:tcPr>
            <w:tcW w:w="1284" w:type="dxa"/>
            <w:vMerge w:val="restart"/>
            <w:shd w:val="clear" w:color="auto" w:fill="FFFFFF"/>
            <w:noWrap w:val="0"/>
            <w:vAlign w:val="center"/>
          </w:tcPr>
          <w:p w14:paraId="687B98E6">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E</w:t>
            </w:r>
          </w:p>
          <w:p w14:paraId="42801CF0">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课程学习目标及其与毕业要求的对应关系</w:t>
            </w:r>
          </w:p>
        </w:tc>
        <w:tc>
          <w:tcPr>
            <w:tcW w:w="7864" w:type="dxa"/>
            <w:gridSpan w:val="16"/>
            <w:tcBorders>
              <w:bottom w:val="single" w:color="auto" w:sz="4" w:space="0"/>
            </w:tcBorders>
            <w:shd w:val="clear" w:color="auto" w:fill="FFFFFF"/>
            <w:noWrap w:val="0"/>
            <w:vAlign w:val="center"/>
          </w:tcPr>
          <w:p w14:paraId="6F2B2408">
            <w:pPr>
              <w:adjustRightInd w:val="0"/>
              <w:snapToGrid w:val="0"/>
              <w:jc w:val="left"/>
              <w:rPr>
                <w:rFonts w:ascii="仿宋_GB2312" w:hAnsi="仿宋_GB2312" w:eastAsia="仿宋_GB2312" w:cs="仿宋_GB2312"/>
                <w:sz w:val="24"/>
                <w:szCs w:val="24"/>
                <w:lang w:eastAsia="zh-TW"/>
              </w:rPr>
            </w:pPr>
            <w:r>
              <w:rPr>
                <w:rFonts w:hint="eastAsia" w:ascii="仿宋_GB2312" w:hAnsi="仿宋_GB2312" w:eastAsia="仿宋_GB2312" w:cs="仿宋_GB2312"/>
                <w:sz w:val="24"/>
                <w:szCs w:val="24"/>
              </w:rPr>
              <w:t>通过本课程的学习，学生具备如下知识、能力及情感态度价值观：</w:t>
            </w:r>
          </w:p>
          <w:p w14:paraId="14AF6766">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
                <w:bCs/>
                <w:kern w:val="0"/>
                <w:sz w:val="24"/>
                <w:szCs w:val="24"/>
              </w:rPr>
              <w:t>课程目标1：</w:t>
            </w:r>
            <w:r>
              <w:rPr>
                <w:rFonts w:hint="eastAsia" w:ascii="仿宋_GB2312" w:hAnsi="仿宋_GB2312" w:eastAsia="仿宋_GB2312" w:cs="仿宋_GB2312"/>
                <w:kern w:val="0"/>
                <w:sz w:val="24"/>
                <w:szCs w:val="24"/>
              </w:rPr>
              <w:t xml:space="preserve"> </w:t>
            </w:r>
            <w:r>
              <w:rPr>
                <w:rFonts w:hint="eastAsia" w:ascii="仿宋_GB2312" w:hAnsi="仿宋_GB2312" w:eastAsia="仿宋_GB2312" w:cs="仿宋_GB2312"/>
                <w:bCs/>
                <w:sz w:val="24"/>
                <w:szCs w:val="24"/>
              </w:rPr>
              <w:t>掌握器乐演奏技法技能多项技术技能，理解音乐学科的核心素养的内涵，形成音乐学科核心素养。能够了解中学生对音乐的认知与身心发展，树立爱岗敬业精神。（支撑毕业要求2.2）</w:t>
            </w:r>
          </w:p>
          <w:p w14:paraId="57185B40">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
                <w:bCs/>
                <w:kern w:val="0"/>
                <w:sz w:val="24"/>
                <w:szCs w:val="24"/>
              </w:rPr>
              <w:t>课程目标2</w:t>
            </w:r>
            <w:r>
              <w:rPr>
                <w:rFonts w:hint="eastAsia" w:ascii="仿宋_GB2312" w:hAnsi="仿宋_GB2312" w:eastAsia="仿宋_GB2312" w:cs="仿宋_GB2312"/>
                <w:kern w:val="0"/>
                <w:sz w:val="24"/>
                <w:szCs w:val="24"/>
              </w:rPr>
              <w:t>：</w:t>
            </w:r>
            <w:r>
              <w:rPr>
                <w:rFonts w:hint="eastAsia" w:ascii="仿宋_GB2312" w:hAnsi="仿宋_GB2312" w:eastAsia="仿宋_GB2312" w:cs="仿宋_GB2312"/>
                <w:bCs/>
                <w:sz w:val="24"/>
                <w:szCs w:val="24"/>
              </w:rPr>
              <w:t>熟悉器乐演奏课程标准和教材，以及中小学音乐课程标准，能够正确处理课标和教材的关系，科学合理地进行教学设计并实施教学，准确把握教学内容，分析学情，合理安排教学过程和环节，科学设计评价内容和方式，根据学生音乐认知的特征和个体差异，注重差异化教学。课后能够及时反思、总结形成初步的教研能力。（支撑毕业要求4.1）</w:t>
            </w:r>
          </w:p>
          <w:p w14:paraId="5783EB31">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b/>
                <w:sz w:val="24"/>
                <w:szCs w:val="24"/>
              </w:rPr>
              <w:t>课程目标3：</w:t>
            </w:r>
            <w:r>
              <w:rPr>
                <w:rFonts w:hint="eastAsia" w:ascii="仿宋_GB2312" w:hAnsi="仿宋_GB2312" w:eastAsia="仿宋_GB2312" w:cs="仿宋_GB2312"/>
                <w:bCs/>
                <w:sz w:val="24"/>
                <w:szCs w:val="24"/>
              </w:rPr>
              <w:t>理解学习共同体的作用，能够形成在音乐教育中渗透美育的理念，掌握器乐合奏、重奏等育人理念，在课程学习、教育 实践、艺术实践等活动中，具备美育理念，培养多声部重奏和乐团排练的组织和协作能力。理解音乐学科的核心素养的内涵，形成音乐学科核心素养。（支撑毕业要求6.1）</w:t>
            </w:r>
          </w:p>
        </w:tc>
      </w:tr>
      <w:tr w14:paraId="2EF12486">
        <w:trPr>
          <w:trHeight w:val="642" w:hRule="atLeast"/>
        </w:trPr>
        <w:tc>
          <w:tcPr>
            <w:tcW w:w="1284" w:type="dxa"/>
            <w:vMerge w:val="continue"/>
            <w:shd w:val="clear" w:color="auto" w:fill="FFFFFF"/>
            <w:noWrap w:val="0"/>
            <w:vAlign w:val="center"/>
          </w:tcPr>
          <w:p w14:paraId="583A71CF">
            <w:pPr>
              <w:adjustRightInd w:val="0"/>
              <w:snapToGrid w:val="0"/>
              <w:jc w:val="center"/>
              <w:rPr>
                <w:rFonts w:ascii="仿宋_GB2312" w:hAnsi="仿宋_GB2312" w:eastAsia="仿宋_GB2312" w:cs="仿宋_GB2312"/>
                <w:color w:val="000000"/>
                <w:sz w:val="24"/>
                <w:szCs w:val="24"/>
              </w:rPr>
            </w:pPr>
          </w:p>
        </w:tc>
        <w:tc>
          <w:tcPr>
            <w:tcW w:w="1799" w:type="dxa"/>
            <w:gridSpan w:val="2"/>
            <w:tcBorders>
              <w:bottom w:val="single" w:color="auto" w:sz="4" w:space="0"/>
            </w:tcBorders>
            <w:shd w:val="clear" w:color="auto" w:fill="FFFFFF"/>
            <w:noWrap w:val="0"/>
            <w:vAlign w:val="center"/>
          </w:tcPr>
          <w:p w14:paraId="4F840A97">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课程目标</w:t>
            </w:r>
          </w:p>
        </w:tc>
        <w:tc>
          <w:tcPr>
            <w:tcW w:w="4508" w:type="dxa"/>
            <w:gridSpan w:val="10"/>
            <w:tcBorders>
              <w:bottom w:val="single" w:color="auto" w:sz="4" w:space="0"/>
            </w:tcBorders>
            <w:shd w:val="clear" w:color="auto" w:fill="FFFFFF"/>
            <w:noWrap w:val="0"/>
            <w:vAlign w:val="center"/>
          </w:tcPr>
          <w:p w14:paraId="74CAF2F3">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毕业要求分解指标点</w:t>
            </w:r>
          </w:p>
        </w:tc>
        <w:tc>
          <w:tcPr>
            <w:tcW w:w="1557" w:type="dxa"/>
            <w:gridSpan w:val="4"/>
            <w:tcBorders>
              <w:bottom w:val="single" w:color="auto" w:sz="4" w:space="0"/>
            </w:tcBorders>
            <w:shd w:val="clear" w:color="auto" w:fill="FFFFFF"/>
            <w:noWrap w:val="0"/>
            <w:vAlign w:val="center"/>
          </w:tcPr>
          <w:p w14:paraId="26D26760">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毕业要求</w:t>
            </w:r>
          </w:p>
        </w:tc>
      </w:tr>
      <w:tr w14:paraId="5E1D2BB1">
        <w:trPr>
          <w:trHeight w:val="982" w:hRule="atLeast"/>
        </w:trPr>
        <w:tc>
          <w:tcPr>
            <w:tcW w:w="1284" w:type="dxa"/>
            <w:vMerge w:val="continue"/>
            <w:shd w:val="clear" w:color="auto" w:fill="FFFFFF"/>
            <w:noWrap w:val="0"/>
            <w:vAlign w:val="center"/>
          </w:tcPr>
          <w:p w14:paraId="00F5E0DB">
            <w:pPr>
              <w:adjustRightInd w:val="0"/>
              <w:snapToGrid w:val="0"/>
              <w:jc w:val="center"/>
              <w:rPr>
                <w:rFonts w:ascii="仿宋_GB2312" w:hAnsi="仿宋_GB2312" w:eastAsia="仿宋_GB2312" w:cs="仿宋_GB2312"/>
                <w:color w:val="000000"/>
                <w:sz w:val="24"/>
                <w:szCs w:val="24"/>
              </w:rPr>
            </w:pPr>
          </w:p>
        </w:tc>
        <w:tc>
          <w:tcPr>
            <w:tcW w:w="1799" w:type="dxa"/>
            <w:gridSpan w:val="2"/>
            <w:tcBorders>
              <w:bottom w:val="single" w:color="auto" w:sz="4" w:space="0"/>
            </w:tcBorders>
            <w:shd w:val="clear" w:color="auto" w:fill="FFFFFF"/>
            <w:noWrap w:val="0"/>
            <w:vAlign w:val="center"/>
          </w:tcPr>
          <w:p w14:paraId="32990813">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课程目标1</w:t>
            </w:r>
          </w:p>
          <w:p w14:paraId="5738B348">
            <w:pPr>
              <w:adjustRightInd w:val="0"/>
              <w:snapToGrid w:val="0"/>
              <w:jc w:val="center"/>
              <w:rPr>
                <w:rFonts w:ascii="仿宋_GB2312" w:hAnsi="仿宋_GB2312" w:eastAsia="仿宋_GB2312" w:cs="仿宋_GB2312"/>
                <w:color w:val="000000"/>
                <w:sz w:val="24"/>
                <w:szCs w:val="24"/>
              </w:rPr>
            </w:pPr>
          </w:p>
        </w:tc>
        <w:tc>
          <w:tcPr>
            <w:tcW w:w="4508" w:type="dxa"/>
            <w:gridSpan w:val="10"/>
            <w:shd w:val="clear" w:color="auto" w:fill="FFFFFF"/>
            <w:noWrap w:val="0"/>
            <w:vAlign w:val="center"/>
          </w:tcPr>
          <w:p w14:paraId="7FB25636">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shd w:val="clear" w:color="auto" w:fill="FFFFFF"/>
              </w:rPr>
              <w:t>【</w:t>
            </w:r>
            <w:r>
              <w:rPr>
                <w:rFonts w:hint="eastAsia" w:ascii="仿宋_GB2312" w:hAnsi="仿宋_GB2312" w:eastAsia="仿宋_GB2312" w:cs="仿宋_GB2312"/>
                <w:bCs/>
                <w:sz w:val="24"/>
                <w:szCs w:val="24"/>
              </w:rPr>
              <w:t>用心从教】树立爱岗敬业精神，了解学生的身心发展特点和音乐的认知规律，关爱学生，保护学生安全，促进学生身心健康发展，在教育实践中能够认真履行工作职责、富有爱心、责任心，建立良好师生关系。</w:t>
            </w:r>
          </w:p>
        </w:tc>
        <w:tc>
          <w:tcPr>
            <w:tcW w:w="1557" w:type="dxa"/>
            <w:gridSpan w:val="4"/>
            <w:shd w:val="clear" w:color="auto" w:fill="FFFFFF"/>
            <w:noWrap w:val="0"/>
            <w:vAlign w:val="center"/>
          </w:tcPr>
          <w:p w14:paraId="5BCAACBD">
            <w:pPr>
              <w:adjustRightInd w:val="0"/>
              <w:snapToGrid w:val="0"/>
              <w:jc w:val="center"/>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教育情怀</w:t>
            </w:r>
          </w:p>
          <w:p w14:paraId="540CDD28">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bCs/>
                <w:sz w:val="24"/>
                <w:szCs w:val="24"/>
              </w:rPr>
              <w:t>（H）</w:t>
            </w:r>
          </w:p>
        </w:tc>
      </w:tr>
      <w:tr w14:paraId="0087CA46">
        <w:trPr>
          <w:trHeight w:val="817" w:hRule="atLeast"/>
        </w:trPr>
        <w:tc>
          <w:tcPr>
            <w:tcW w:w="1284" w:type="dxa"/>
            <w:vMerge w:val="continue"/>
            <w:shd w:val="clear" w:color="auto" w:fill="FFFFFF"/>
            <w:noWrap w:val="0"/>
            <w:vAlign w:val="center"/>
          </w:tcPr>
          <w:p w14:paraId="5780BB03">
            <w:pPr>
              <w:adjustRightInd w:val="0"/>
              <w:snapToGrid w:val="0"/>
              <w:jc w:val="center"/>
              <w:rPr>
                <w:rFonts w:ascii="仿宋_GB2312" w:hAnsi="仿宋_GB2312" w:eastAsia="仿宋_GB2312" w:cs="仿宋_GB2312"/>
                <w:color w:val="000000"/>
                <w:sz w:val="24"/>
                <w:szCs w:val="24"/>
              </w:rPr>
            </w:pPr>
          </w:p>
        </w:tc>
        <w:tc>
          <w:tcPr>
            <w:tcW w:w="1799" w:type="dxa"/>
            <w:gridSpan w:val="2"/>
            <w:shd w:val="clear" w:color="auto" w:fill="FFFFFF"/>
            <w:noWrap w:val="0"/>
            <w:vAlign w:val="center"/>
          </w:tcPr>
          <w:p w14:paraId="21A4138D">
            <w:pPr>
              <w:adjustRightInd w:val="0"/>
              <w:snapToGrid w:val="0"/>
              <w:jc w:val="center"/>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课程目标2</w:t>
            </w:r>
          </w:p>
        </w:tc>
        <w:tc>
          <w:tcPr>
            <w:tcW w:w="4508" w:type="dxa"/>
            <w:gridSpan w:val="10"/>
            <w:shd w:val="clear" w:color="auto" w:fill="FFFFFF"/>
            <w:noWrap w:val="0"/>
            <w:vAlign w:val="center"/>
          </w:tcPr>
          <w:p w14:paraId="2045CAD2">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教学设计与实施】熟悉中学音乐课程标准和教材，能够运用学科知识和现代信息技术进行课堂教学设计，合理安排教学过程和环节，科学设计评价内容和方式，根据学生音乐认知的特征和个体差异，进行差异化教学。课后能够及时反思、总结，形成初步的音乐教研能力。</w:t>
            </w:r>
          </w:p>
        </w:tc>
        <w:tc>
          <w:tcPr>
            <w:tcW w:w="1557" w:type="dxa"/>
            <w:gridSpan w:val="4"/>
            <w:shd w:val="clear" w:color="auto" w:fill="FFFFFF"/>
            <w:noWrap w:val="0"/>
            <w:vAlign w:val="center"/>
          </w:tcPr>
          <w:p w14:paraId="69579018">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教学能力</w:t>
            </w:r>
          </w:p>
          <w:p w14:paraId="403C83EA">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（M）</w:t>
            </w:r>
          </w:p>
        </w:tc>
      </w:tr>
      <w:tr w14:paraId="0471C6DB">
        <w:trPr>
          <w:trHeight w:val="817" w:hRule="atLeast"/>
        </w:trPr>
        <w:tc>
          <w:tcPr>
            <w:tcW w:w="1284" w:type="dxa"/>
            <w:vMerge w:val="continue"/>
            <w:shd w:val="clear" w:color="auto" w:fill="FFFFFF"/>
            <w:noWrap w:val="0"/>
            <w:vAlign w:val="center"/>
          </w:tcPr>
          <w:p w14:paraId="690BAE73">
            <w:pPr>
              <w:adjustRightInd w:val="0"/>
              <w:snapToGrid w:val="0"/>
              <w:jc w:val="center"/>
              <w:rPr>
                <w:rFonts w:ascii="仿宋_GB2312" w:hAnsi="仿宋_GB2312" w:eastAsia="仿宋_GB2312" w:cs="仿宋_GB2312"/>
                <w:color w:val="000000"/>
                <w:sz w:val="24"/>
                <w:szCs w:val="24"/>
              </w:rPr>
            </w:pPr>
          </w:p>
        </w:tc>
        <w:tc>
          <w:tcPr>
            <w:tcW w:w="1799" w:type="dxa"/>
            <w:gridSpan w:val="2"/>
            <w:shd w:val="clear" w:color="auto" w:fill="FFFFFF"/>
            <w:noWrap w:val="0"/>
            <w:vAlign w:val="center"/>
          </w:tcPr>
          <w:p w14:paraId="4B55777B">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课程目标3</w:t>
            </w:r>
          </w:p>
        </w:tc>
        <w:tc>
          <w:tcPr>
            <w:tcW w:w="4508" w:type="dxa"/>
            <w:gridSpan w:val="10"/>
            <w:shd w:val="clear" w:color="auto" w:fill="FFFFFF"/>
            <w:noWrap w:val="0"/>
            <w:vAlign w:val="center"/>
          </w:tcPr>
          <w:p w14:paraId="766A13C2">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shd w:val="clear" w:color="auto" w:fill="FFFFFF"/>
              </w:rPr>
              <w:t>【</w:t>
            </w:r>
            <w:r>
              <w:rPr>
                <w:rFonts w:hint="eastAsia" w:ascii="仿宋_GB2312" w:hAnsi="仿宋_GB2312" w:eastAsia="仿宋_GB2312" w:cs="仿宋_GB2312"/>
                <w:sz w:val="24"/>
                <w:szCs w:val="24"/>
              </w:rPr>
              <w:t>育人理念】</w:t>
            </w:r>
            <w:r>
              <w:rPr>
                <w:rFonts w:hint="eastAsia" w:ascii="仿宋_GB2312" w:hAnsi="仿宋_GB2312" w:eastAsia="仿宋_GB2312" w:cs="仿宋_GB2312"/>
                <w:bCs/>
                <w:sz w:val="24"/>
                <w:szCs w:val="24"/>
              </w:rPr>
              <w:t>理解音乐教学与人的全面发展的关系，理解音乐学科的育人价值，具备在音乐教学、课外辅导、学生交往中渗透“以美育人”的理念。</w:t>
            </w:r>
          </w:p>
        </w:tc>
        <w:tc>
          <w:tcPr>
            <w:tcW w:w="1557" w:type="dxa"/>
            <w:gridSpan w:val="4"/>
            <w:shd w:val="clear" w:color="auto" w:fill="FFFFFF"/>
            <w:noWrap w:val="0"/>
            <w:vAlign w:val="center"/>
          </w:tcPr>
          <w:p w14:paraId="1B377984">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综合育人</w:t>
            </w:r>
          </w:p>
          <w:p w14:paraId="38739E40">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（L）</w:t>
            </w:r>
          </w:p>
        </w:tc>
      </w:tr>
      <w:tr w14:paraId="01D40500">
        <w:trPr>
          <w:trHeight w:val="582" w:hRule="atLeast"/>
        </w:trPr>
        <w:tc>
          <w:tcPr>
            <w:tcW w:w="1284" w:type="dxa"/>
            <w:vMerge w:val="restart"/>
            <w:shd w:val="clear" w:color="auto" w:fill="FFFFFF"/>
            <w:noWrap w:val="0"/>
            <w:vAlign w:val="center"/>
          </w:tcPr>
          <w:p w14:paraId="0D09D9FD">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F</w:t>
            </w:r>
          </w:p>
          <w:p w14:paraId="4A505683">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理论学习内容</w:t>
            </w:r>
          </w:p>
        </w:tc>
        <w:tc>
          <w:tcPr>
            <w:tcW w:w="4045" w:type="dxa"/>
            <w:gridSpan w:val="4"/>
            <w:shd w:val="clear" w:color="auto" w:fill="FFFFFF"/>
            <w:noWrap w:val="0"/>
            <w:vAlign w:val="center"/>
          </w:tcPr>
          <w:p w14:paraId="75C5C288">
            <w:pPr>
              <w:adjustRightInd w:val="0"/>
              <w:snapToGrid w:val="0"/>
              <w:jc w:val="center"/>
              <w:textAlignment w:val="baseline"/>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章节学习内容与学习要求</w:t>
            </w:r>
          </w:p>
        </w:tc>
        <w:tc>
          <w:tcPr>
            <w:tcW w:w="2262" w:type="dxa"/>
            <w:gridSpan w:val="8"/>
            <w:shd w:val="clear" w:color="auto" w:fill="FFFFFF"/>
            <w:noWrap w:val="0"/>
            <w:vAlign w:val="center"/>
          </w:tcPr>
          <w:p w14:paraId="2FD11011">
            <w:pPr>
              <w:adjustRightInd w:val="0"/>
              <w:snapToGrid w:val="0"/>
              <w:jc w:val="center"/>
              <w:textAlignment w:val="baseline"/>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支撑课程</w:t>
            </w:r>
          </w:p>
          <w:p w14:paraId="7DF5D2C8">
            <w:pPr>
              <w:adjustRightInd w:val="0"/>
              <w:snapToGrid w:val="0"/>
              <w:jc w:val="center"/>
              <w:textAlignment w:val="baseline"/>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目标</w:t>
            </w:r>
          </w:p>
        </w:tc>
        <w:tc>
          <w:tcPr>
            <w:tcW w:w="1557" w:type="dxa"/>
            <w:gridSpan w:val="4"/>
            <w:shd w:val="clear" w:color="auto" w:fill="FFFFFF"/>
            <w:noWrap w:val="0"/>
            <w:vAlign w:val="center"/>
          </w:tcPr>
          <w:p w14:paraId="2FEAF952">
            <w:pPr>
              <w:adjustRightInd w:val="0"/>
              <w:snapToGrid w:val="0"/>
              <w:jc w:val="center"/>
              <w:textAlignment w:val="baseline"/>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学时</w:t>
            </w:r>
          </w:p>
          <w:p w14:paraId="63A0E6BA">
            <w:pPr>
              <w:adjustRightInd w:val="0"/>
              <w:snapToGrid w:val="0"/>
              <w:jc w:val="center"/>
              <w:textAlignment w:val="baseline"/>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分配</w:t>
            </w:r>
          </w:p>
        </w:tc>
      </w:tr>
      <w:tr w14:paraId="26448E9B">
        <w:trPr>
          <w:trHeight w:val="454" w:hRule="atLeast"/>
        </w:trPr>
        <w:tc>
          <w:tcPr>
            <w:tcW w:w="1284" w:type="dxa"/>
            <w:vMerge w:val="continue"/>
            <w:shd w:val="clear" w:color="auto" w:fill="FFFFFF"/>
            <w:noWrap w:val="0"/>
            <w:vAlign w:val="center"/>
          </w:tcPr>
          <w:p w14:paraId="043A2726">
            <w:pPr>
              <w:adjustRightInd w:val="0"/>
              <w:snapToGrid w:val="0"/>
              <w:jc w:val="right"/>
              <w:rPr>
                <w:rFonts w:ascii="仿宋_GB2312" w:hAnsi="仿宋_GB2312" w:eastAsia="仿宋_GB2312" w:cs="仿宋_GB2312"/>
                <w:color w:val="000000"/>
                <w:sz w:val="24"/>
                <w:szCs w:val="24"/>
              </w:rPr>
            </w:pPr>
          </w:p>
        </w:tc>
        <w:tc>
          <w:tcPr>
            <w:tcW w:w="4045" w:type="dxa"/>
            <w:gridSpan w:val="4"/>
            <w:shd w:val="clear" w:color="auto" w:fill="auto"/>
            <w:noWrap w:val="0"/>
            <w:vAlign w:val="center"/>
          </w:tcPr>
          <w:p w14:paraId="71A8F707">
            <w:pPr>
              <w:widowControl/>
              <w:adjustRightInd w:val="0"/>
              <w:snapToGrid w:val="0"/>
              <w:rPr>
                <w:rFonts w:ascii="仿宋_GB2312" w:hAnsi="仿宋_GB2312" w:eastAsia="仿宋_GB2312" w:cs="仿宋_GB2312"/>
                <w:bCs/>
                <w:color w:val="4472C4"/>
                <w:sz w:val="24"/>
                <w:szCs w:val="24"/>
              </w:rPr>
            </w:pPr>
          </w:p>
        </w:tc>
        <w:tc>
          <w:tcPr>
            <w:tcW w:w="2262" w:type="dxa"/>
            <w:gridSpan w:val="8"/>
            <w:shd w:val="clear" w:color="auto" w:fill="auto"/>
            <w:noWrap w:val="0"/>
            <w:vAlign w:val="center"/>
          </w:tcPr>
          <w:p w14:paraId="61D1C9C4">
            <w:pPr>
              <w:widowControl/>
              <w:adjustRightInd w:val="0"/>
              <w:snapToGrid w:val="0"/>
              <w:jc w:val="center"/>
              <w:rPr>
                <w:rFonts w:ascii="仿宋_GB2312" w:hAnsi="仿宋_GB2312" w:eastAsia="仿宋_GB2312" w:cs="仿宋_GB2312"/>
                <w:bCs/>
                <w:color w:val="4472C4"/>
                <w:sz w:val="24"/>
                <w:szCs w:val="24"/>
              </w:rPr>
            </w:pPr>
          </w:p>
        </w:tc>
        <w:tc>
          <w:tcPr>
            <w:tcW w:w="1557" w:type="dxa"/>
            <w:gridSpan w:val="4"/>
            <w:shd w:val="clear" w:color="auto" w:fill="FFFFFF"/>
            <w:noWrap w:val="0"/>
            <w:vAlign w:val="center"/>
          </w:tcPr>
          <w:p w14:paraId="39AF5557">
            <w:pPr>
              <w:adjustRightInd w:val="0"/>
              <w:snapToGrid w:val="0"/>
              <w:jc w:val="center"/>
              <w:rPr>
                <w:rFonts w:ascii="仿宋_GB2312" w:hAnsi="仿宋_GB2312" w:eastAsia="仿宋_GB2312" w:cs="仿宋_GB2312"/>
                <w:color w:val="4472C4"/>
                <w:sz w:val="24"/>
                <w:szCs w:val="24"/>
              </w:rPr>
            </w:pPr>
          </w:p>
        </w:tc>
      </w:tr>
      <w:tr w14:paraId="75513A8D">
        <w:trPr>
          <w:trHeight w:val="454" w:hRule="atLeast"/>
        </w:trPr>
        <w:tc>
          <w:tcPr>
            <w:tcW w:w="1284" w:type="dxa"/>
            <w:vMerge w:val="continue"/>
            <w:shd w:val="clear" w:color="auto" w:fill="FFFFFF"/>
            <w:noWrap w:val="0"/>
            <w:vAlign w:val="center"/>
          </w:tcPr>
          <w:p w14:paraId="4B53871A">
            <w:pPr>
              <w:adjustRightInd w:val="0"/>
              <w:snapToGrid w:val="0"/>
              <w:jc w:val="center"/>
              <w:rPr>
                <w:rFonts w:ascii="仿宋_GB2312" w:hAnsi="仿宋_GB2312" w:eastAsia="仿宋_GB2312" w:cs="仿宋_GB2312"/>
                <w:color w:val="000000"/>
                <w:sz w:val="24"/>
                <w:szCs w:val="24"/>
              </w:rPr>
            </w:pPr>
          </w:p>
        </w:tc>
        <w:tc>
          <w:tcPr>
            <w:tcW w:w="6307" w:type="dxa"/>
            <w:gridSpan w:val="12"/>
            <w:shd w:val="clear" w:color="auto" w:fill="auto"/>
            <w:noWrap w:val="0"/>
            <w:vAlign w:val="center"/>
          </w:tcPr>
          <w:p w14:paraId="3CD57918">
            <w:pPr>
              <w:adjustRightInd w:val="0"/>
              <w:snapToGrid w:val="0"/>
              <w:jc w:val="center"/>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合计</w:t>
            </w:r>
          </w:p>
        </w:tc>
        <w:tc>
          <w:tcPr>
            <w:tcW w:w="1557" w:type="dxa"/>
            <w:gridSpan w:val="4"/>
            <w:shd w:val="clear" w:color="auto" w:fill="FFFFFF"/>
            <w:noWrap w:val="0"/>
            <w:vAlign w:val="center"/>
          </w:tcPr>
          <w:p w14:paraId="1AB46115">
            <w:pPr>
              <w:adjustRightInd w:val="0"/>
              <w:snapToGrid w:val="0"/>
              <w:jc w:val="center"/>
              <w:rPr>
                <w:rFonts w:ascii="仿宋_GB2312" w:hAnsi="仿宋_GB2312" w:eastAsia="仿宋_GB2312" w:cs="仿宋_GB2312"/>
                <w:color w:val="4472C4"/>
                <w:sz w:val="24"/>
                <w:szCs w:val="24"/>
              </w:rPr>
            </w:pPr>
          </w:p>
        </w:tc>
      </w:tr>
      <w:tr w14:paraId="3F32D5B8">
        <w:trPr>
          <w:trHeight w:val="454" w:hRule="atLeast"/>
        </w:trPr>
        <w:tc>
          <w:tcPr>
            <w:tcW w:w="1284" w:type="dxa"/>
            <w:vMerge w:val="restart"/>
            <w:shd w:val="clear" w:color="auto" w:fill="FFFFFF"/>
            <w:noWrap w:val="0"/>
            <w:vAlign w:val="center"/>
          </w:tcPr>
          <w:p w14:paraId="75815DAF">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G</w:t>
            </w:r>
          </w:p>
          <w:p w14:paraId="020B1A93">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sz w:val="24"/>
                <w:szCs w:val="24"/>
                <w:lang w:eastAsia="zh-Hans"/>
              </w:rPr>
              <w:t>技能</w:t>
            </w:r>
            <w:r>
              <w:rPr>
                <w:rFonts w:hint="eastAsia" w:ascii="仿宋_GB2312" w:hAnsi="仿宋_GB2312" w:eastAsia="仿宋_GB2312" w:cs="仿宋_GB2312"/>
                <w:sz w:val="24"/>
                <w:szCs w:val="24"/>
              </w:rPr>
              <w:t>（实训）内容</w:t>
            </w:r>
          </w:p>
        </w:tc>
        <w:tc>
          <w:tcPr>
            <w:tcW w:w="5856" w:type="dxa"/>
            <w:gridSpan w:val="10"/>
            <w:shd w:val="clear" w:color="auto" w:fill="auto"/>
            <w:noWrap w:val="0"/>
            <w:vAlign w:val="center"/>
          </w:tcPr>
          <w:p w14:paraId="71BEDDE4">
            <w:pPr>
              <w:adjustRightInd w:val="0"/>
              <w:snapToGrid w:val="0"/>
              <w:jc w:val="left"/>
              <w:textAlignment w:val="baseline"/>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项目名称、主要内容及开设要求</w:t>
            </w:r>
          </w:p>
        </w:tc>
        <w:tc>
          <w:tcPr>
            <w:tcW w:w="1132" w:type="dxa"/>
            <w:gridSpan w:val="5"/>
            <w:shd w:val="clear" w:color="auto" w:fill="auto"/>
            <w:noWrap w:val="0"/>
            <w:vAlign w:val="center"/>
          </w:tcPr>
          <w:p w14:paraId="416D5681">
            <w:pPr>
              <w:adjustRightInd w:val="0"/>
              <w:snapToGrid w:val="0"/>
              <w:jc w:val="left"/>
              <w:textAlignment w:val="baseline"/>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支撑课程</w:t>
            </w:r>
          </w:p>
          <w:p w14:paraId="2D6FEF17">
            <w:pPr>
              <w:adjustRightInd w:val="0"/>
              <w:snapToGrid w:val="0"/>
              <w:jc w:val="left"/>
              <w:textAlignment w:val="baseline"/>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目标</w:t>
            </w:r>
          </w:p>
        </w:tc>
        <w:tc>
          <w:tcPr>
            <w:tcW w:w="876" w:type="dxa"/>
            <w:shd w:val="clear" w:color="auto" w:fill="FFFFFF"/>
            <w:noWrap w:val="0"/>
            <w:vAlign w:val="center"/>
          </w:tcPr>
          <w:p w14:paraId="75F3B6D0">
            <w:pPr>
              <w:adjustRightInd w:val="0"/>
              <w:snapToGrid w:val="0"/>
              <w:jc w:val="left"/>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 xml:space="preserve">学时 </w:t>
            </w:r>
          </w:p>
          <w:p w14:paraId="3BF94AC2">
            <w:pPr>
              <w:adjustRightInd w:val="0"/>
              <w:snapToGrid w:val="0"/>
              <w:jc w:val="left"/>
              <w:rPr>
                <w:rFonts w:ascii="仿宋_GB2312" w:hAnsi="仿宋_GB2312" w:eastAsia="仿宋_GB2312" w:cs="仿宋_GB2312"/>
                <w:color w:val="4472C4"/>
                <w:sz w:val="24"/>
                <w:szCs w:val="24"/>
              </w:rPr>
            </w:pPr>
            <w:r>
              <w:rPr>
                <w:rFonts w:hint="eastAsia" w:ascii="仿宋_GB2312" w:hAnsi="仿宋_GB2312" w:eastAsia="仿宋_GB2312" w:cs="仿宋_GB2312"/>
                <w:color w:val="000000"/>
                <w:kern w:val="0"/>
                <w:sz w:val="24"/>
                <w:szCs w:val="24"/>
              </w:rPr>
              <w:t>分配</w:t>
            </w:r>
          </w:p>
        </w:tc>
      </w:tr>
      <w:tr w14:paraId="4F2896B3">
        <w:trPr>
          <w:trHeight w:val="454" w:hRule="atLeast"/>
        </w:trPr>
        <w:tc>
          <w:tcPr>
            <w:tcW w:w="1284" w:type="dxa"/>
            <w:vMerge w:val="continue"/>
            <w:shd w:val="clear" w:color="auto" w:fill="FFFFFF"/>
            <w:noWrap w:val="0"/>
            <w:vAlign w:val="center"/>
          </w:tcPr>
          <w:p w14:paraId="2D2FB23D">
            <w:pPr>
              <w:adjustRightInd w:val="0"/>
              <w:snapToGrid w:val="0"/>
              <w:jc w:val="center"/>
              <w:rPr>
                <w:rFonts w:ascii="仿宋_GB2312" w:hAnsi="仿宋_GB2312" w:eastAsia="仿宋_GB2312" w:cs="仿宋_GB2312"/>
                <w:color w:val="000000"/>
                <w:sz w:val="24"/>
                <w:szCs w:val="24"/>
              </w:rPr>
            </w:pPr>
          </w:p>
        </w:tc>
        <w:tc>
          <w:tcPr>
            <w:tcW w:w="5856" w:type="dxa"/>
            <w:gridSpan w:val="10"/>
            <w:shd w:val="clear" w:color="auto" w:fill="auto"/>
            <w:noWrap w:val="0"/>
            <w:vAlign w:val="center"/>
          </w:tcPr>
          <w:p w14:paraId="6121414B">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二胡：</w:t>
            </w:r>
          </w:p>
          <w:p w14:paraId="08CD4DFD">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第一章  C调力度练习、中把综合练习、D调溜手练习、乐曲《山村变了样》、《怀乡行》、《喜送公粮》</w:t>
            </w:r>
          </w:p>
          <w:p w14:paraId="7790FB39">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第二章 三连音换弦练习、两手配合练习、快速换把练习、乐曲《赞歌》、《春诗》、《烛影摇红》（通过作品的</w:t>
            </w:r>
          </w:p>
          <w:p w14:paraId="153A473D">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学习与演奏，深刻把握与提炼思政成份歌颂祖国、人民、美好、幸福的生活）。</w:t>
            </w:r>
          </w:p>
          <w:p w14:paraId="114B9260">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第三章 综合练习、长弓练习《忆江南》、乐曲《江南春色》、《月夜》、《豫北叙事曲》、《闲居吟》（通过作品的学习与演奏，深刻把握与提炼思政成份歌颂祖国、人民、美好、幸福的生活）。</w:t>
            </w:r>
          </w:p>
          <w:p w14:paraId="117E616B">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第四章 活指换弦练习、D大调综合练习、乐曲《陕北抒怀》、《江河水》、《洪湖人民的心愿》（通过作品的学习与演奏，深刻把握与提炼思政成份歌颂祖国、人民、美好、幸福的生活）。</w:t>
            </w:r>
          </w:p>
          <w:p w14:paraId="0FE96E50">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第五章 固定音型换弦练习、快速大跳练习、乐曲《三门峡畅想曲》、《二泉映月》、《秦腔主题随想曲》、《查尔达什》等。</w:t>
            </w:r>
          </w:p>
          <w:p w14:paraId="3221236A">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第六章 音乐会练习曲、乐曲《兰花花叙事曲》、《一枝花》、《天山风情》、《长城随想》、《第一二胡狂想曲》、《流浪者之歌》等。</w:t>
            </w:r>
          </w:p>
          <w:p w14:paraId="5113484E">
            <w:pPr>
              <w:keepNext w:val="0"/>
              <w:keepLines w:val="0"/>
              <w:pageBreakBefore w:val="0"/>
              <w:widowControl/>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bCs/>
                <w:color w:val="000000"/>
                <w:sz w:val="24"/>
                <w:szCs w:val="24"/>
              </w:rPr>
            </w:pPr>
            <w:r>
              <w:rPr>
                <w:rFonts w:hint="eastAsia" w:ascii="仿宋" w:hAnsi="仿宋" w:eastAsia="仿宋" w:cs="仿宋"/>
                <w:bCs/>
                <w:color w:val="000000"/>
                <w:sz w:val="24"/>
                <w:szCs w:val="24"/>
              </w:rPr>
              <w:t>实训目的：</w:t>
            </w:r>
            <w:r>
              <w:rPr>
                <w:rFonts w:hint="eastAsia" w:ascii="仿宋_GB2312" w:hAnsi="仿宋_GB2312" w:eastAsia="仿宋_GB2312" w:cs="仿宋_GB2312"/>
                <w:sz w:val="24"/>
                <w:szCs w:val="24"/>
              </w:rPr>
              <w:t>掌握</w:t>
            </w:r>
            <w:r>
              <w:rPr>
                <w:rFonts w:hint="eastAsia" w:ascii="仿宋_GB2312" w:hAnsi="仿宋_GB2312" w:eastAsia="仿宋_GB2312" w:cs="仿宋_GB2312"/>
                <w:sz w:val="24"/>
                <w:szCs w:val="24"/>
                <w:lang w:eastAsia="zh-Hans"/>
              </w:rPr>
              <w:t>二胡</w:t>
            </w:r>
            <w:r>
              <w:rPr>
                <w:rFonts w:hint="eastAsia" w:ascii="仿宋_GB2312" w:hAnsi="仿宋_GB2312" w:eastAsia="仿宋_GB2312" w:cs="仿宋_GB2312"/>
                <w:sz w:val="24"/>
                <w:szCs w:val="24"/>
              </w:rPr>
              <w:t>演奏技能。</w:t>
            </w:r>
          </w:p>
          <w:p w14:paraId="7F51E95A">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 w:hAnsi="仿宋" w:eastAsia="仿宋" w:cs="仿宋"/>
                <w:bCs/>
                <w:color w:val="000000"/>
                <w:sz w:val="24"/>
                <w:szCs w:val="24"/>
              </w:rPr>
              <w:t>实训任务：</w:t>
            </w:r>
            <w:r>
              <w:rPr>
                <w:rFonts w:hint="eastAsia" w:ascii="仿宋_GB2312" w:hAnsi="仿宋_GB2312" w:eastAsia="仿宋_GB2312" w:cs="仿宋_GB2312"/>
                <w:sz w:val="24"/>
                <w:szCs w:val="24"/>
              </w:rPr>
              <w:t>曲式结构、风格特点、演奏技法</w:t>
            </w:r>
            <w:r>
              <w:rPr>
                <w:rFonts w:hint="eastAsia" w:ascii="仿宋_GB2312" w:hAnsi="仿宋_GB2312" w:eastAsia="仿宋_GB2312" w:cs="仿宋_GB2312"/>
                <w:sz w:val="24"/>
                <w:szCs w:val="24"/>
                <w:lang w:eastAsia="zh-Hans"/>
              </w:rPr>
              <w:t>的分析</w:t>
            </w:r>
            <w:r>
              <w:rPr>
                <w:rFonts w:hint="eastAsia" w:ascii="仿宋_GB2312" w:hAnsi="仿宋_GB2312" w:eastAsia="仿宋_GB2312" w:cs="仿宋_GB2312"/>
                <w:sz w:val="24"/>
                <w:szCs w:val="24"/>
              </w:rPr>
              <w:t>。进行音乐评判。</w:t>
            </w:r>
          </w:p>
        </w:tc>
        <w:tc>
          <w:tcPr>
            <w:tcW w:w="1132" w:type="dxa"/>
            <w:gridSpan w:val="5"/>
            <w:shd w:val="clear" w:color="auto" w:fill="auto"/>
            <w:noWrap w:val="0"/>
            <w:vAlign w:val="center"/>
          </w:tcPr>
          <w:p w14:paraId="38A3B4F7">
            <w:pPr>
              <w:adjustRightInd w:val="0"/>
              <w:snapToGrid w:val="0"/>
              <w:jc w:val="center"/>
              <w:rPr>
                <w:rFonts w:ascii="仿宋_GB2312" w:hAnsi="仿宋_GB2312" w:eastAsia="仿宋_GB2312" w:cs="仿宋_GB2312"/>
                <w:bCs/>
                <w:sz w:val="24"/>
                <w:szCs w:val="24"/>
              </w:rPr>
            </w:pPr>
          </w:p>
          <w:p w14:paraId="6A8FDB59">
            <w:pPr>
              <w:adjustRightInd w:val="0"/>
              <w:snapToGrid w:val="0"/>
              <w:jc w:val="center"/>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支撑课程目标1、2、3</w:t>
            </w:r>
          </w:p>
          <w:p w14:paraId="152DFAAB">
            <w:pPr>
              <w:adjustRightInd w:val="0"/>
              <w:snapToGrid w:val="0"/>
              <w:jc w:val="center"/>
              <w:rPr>
                <w:rFonts w:ascii="仿宋_GB2312" w:hAnsi="仿宋_GB2312" w:eastAsia="仿宋_GB2312" w:cs="仿宋_GB2312"/>
                <w:bCs/>
                <w:sz w:val="24"/>
                <w:szCs w:val="24"/>
              </w:rPr>
            </w:pPr>
          </w:p>
          <w:p w14:paraId="5FB4440E">
            <w:pPr>
              <w:adjustRightInd w:val="0"/>
              <w:snapToGrid w:val="0"/>
              <w:jc w:val="center"/>
              <w:rPr>
                <w:rFonts w:ascii="仿宋_GB2312" w:hAnsi="仿宋_GB2312" w:eastAsia="仿宋_GB2312" w:cs="仿宋_GB2312"/>
                <w:bCs/>
                <w:sz w:val="24"/>
                <w:szCs w:val="24"/>
              </w:rPr>
            </w:pPr>
          </w:p>
        </w:tc>
        <w:tc>
          <w:tcPr>
            <w:tcW w:w="876" w:type="dxa"/>
            <w:shd w:val="clear" w:color="auto" w:fill="FFFFFF"/>
            <w:noWrap w:val="0"/>
            <w:vAlign w:val="center"/>
          </w:tcPr>
          <w:p w14:paraId="656A5CE0">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48</w:t>
            </w:r>
          </w:p>
        </w:tc>
      </w:tr>
      <w:tr w14:paraId="40CCD28B">
        <w:trPr>
          <w:trHeight w:val="454" w:hRule="atLeast"/>
        </w:trPr>
        <w:tc>
          <w:tcPr>
            <w:tcW w:w="1284" w:type="dxa"/>
            <w:vMerge w:val="continue"/>
            <w:shd w:val="clear" w:color="auto" w:fill="FFFFFF"/>
            <w:noWrap w:val="0"/>
            <w:vAlign w:val="center"/>
          </w:tcPr>
          <w:p w14:paraId="397691D8">
            <w:pPr>
              <w:adjustRightInd w:val="0"/>
              <w:snapToGrid w:val="0"/>
              <w:jc w:val="center"/>
              <w:rPr>
                <w:rFonts w:ascii="仿宋_GB2312" w:hAnsi="仿宋_GB2312" w:eastAsia="仿宋_GB2312" w:cs="仿宋_GB2312"/>
                <w:color w:val="000000"/>
                <w:sz w:val="24"/>
                <w:szCs w:val="24"/>
              </w:rPr>
            </w:pPr>
          </w:p>
        </w:tc>
        <w:tc>
          <w:tcPr>
            <w:tcW w:w="5856" w:type="dxa"/>
            <w:gridSpan w:val="10"/>
            <w:shd w:val="clear" w:color="auto" w:fill="auto"/>
            <w:noWrap w:val="0"/>
            <w:vAlign w:val="center"/>
          </w:tcPr>
          <w:p w14:paraId="2996599F">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琵琶：</w:t>
            </w:r>
          </w:p>
          <w:p w14:paraId="13BE142E">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第一章 五线谱音阶琶音训练</w:t>
            </w:r>
          </w:p>
          <w:p w14:paraId="37910457">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实训目的：在学习传统简谱音阶的基础上，熟悉五线谱记谱方式，将西洋调式移植到琵琶音阶中。</w:t>
            </w:r>
          </w:p>
          <w:p w14:paraId="5E639D8C">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音阶训练中注重激发学生审美感受，提高学生艺术修养，在音阶中弹出音乐的美感，并在不断的练习中反思问题、总结经验。</w:t>
            </w:r>
          </w:p>
          <w:p w14:paraId="02FBDF8D">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实训任务：D、C、G、F、A、bB、bE调</w:t>
            </w:r>
          </w:p>
          <w:p w14:paraId="45DA162B">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第二章 颤指</w:t>
            </w:r>
          </w:p>
          <w:p w14:paraId="42816912">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实训目的：掌握颤指的技能技巧。</w:t>
            </w:r>
          </w:p>
          <w:p w14:paraId="739231D7">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实训任务：掌握颤指的技能技巧。</w:t>
            </w:r>
          </w:p>
          <w:p w14:paraId="3B55A708">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第三章 临挂练习</w:t>
            </w:r>
          </w:p>
          <w:p w14:paraId="4C89415B">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实训目的：掌握临、挂技能技巧。</w:t>
            </w:r>
          </w:p>
          <w:p w14:paraId="4C86C906">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实训任务：挂与临的演奏技巧难点在于对手指动作速度的控制以及音色的把握。</w:t>
            </w:r>
          </w:p>
          <w:p w14:paraId="5DAF427A">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第四章 和弦练习</w:t>
            </w:r>
          </w:p>
          <w:p w14:paraId="048EBE40">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实训目的：掌握各类和弦各调式中的和弦。</w:t>
            </w:r>
          </w:p>
          <w:p w14:paraId="7BAD9850">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实训任务：西洋调式中的和弦对琵琶乐器的移植的运用，包含各级主、副和弦的弹奏。</w:t>
            </w:r>
          </w:p>
          <w:p w14:paraId="3439D4E2">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第五章 满轮</w:t>
            </w:r>
          </w:p>
          <w:p w14:paraId="0041BE95">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实训目的：熟悉掌握三类满轮演奏技巧</w:t>
            </w:r>
          </w:p>
          <w:p w14:paraId="68389FCE">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任务：在四条弦上作轮，做到既使每条弦发音连贯均匀，又使四条弦四个声部发音饱满，且突出曲调音。三中满轮奏法分别为：（1）大指挑四条弦，食指弹四条弦，中名小指次第轮一条曲调弦；（2）大指挑四条弦，食指弹四条弦，中名小指次第轮一条曲调弦，紧接着由五个手指长轮一条曲调弦；（3）食中名小四指轮一条曲调弦，大指挑四条弦。</w:t>
            </w:r>
          </w:p>
          <w:p w14:paraId="64CD17B2">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第六章 绞弦、并弦</w:t>
            </w:r>
          </w:p>
          <w:p w14:paraId="7DDA5D71">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实训目的：掌握绞弦、并弦等演奏技巧。</w:t>
            </w:r>
          </w:p>
          <w:p w14:paraId="02D099E5">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实训任务：绞弦与并弦在演奏技法上的不同音色特点以及曲目风格应用。</w:t>
            </w:r>
          </w:p>
          <w:p w14:paraId="75323C4E">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第七章 乐曲——传统曲目</w:t>
            </w:r>
          </w:p>
          <w:p w14:paraId="0F5226BE">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实训目的：重点学习相关传统乐曲，了解乐曲的分类、较准确地把握各传统曲目的风格特点。</w:t>
            </w:r>
          </w:p>
          <w:p w14:paraId="5E9ADDBB">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实训任务：七级以上难度范围的曲目，能流畅、完整、较有表现力地弹奏。</w:t>
            </w:r>
          </w:p>
          <w:p w14:paraId="5185E2C3">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将艺术与技术相融合，突出</w:t>
            </w:r>
            <w:r>
              <w:rPr>
                <w:rFonts w:hint="eastAsia" w:ascii="仿宋_GB2312" w:hAnsi="仿宋_GB2312" w:eastAsia="仿宋_GB2312" w:cs="仿宋_GB2312"/>
                <w:sz w:val="24"/>
                <w:szCs w:val="24"/>
                <w:lang w:eastAsia="zh-TW"/>
              </w:rPr>
              <w:t>“文化中的传承”与“传承中的文化”</w:t>
            </w:r>
          </w:p>
          <w:p w14:paraId="3D491C37">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第八章 左手八度练习</w:t>
            </w:r>
          </w:p>
          <w:p w14:paraId="1D8EBB83">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实训目的：掌握左手八度演奏技巧。</w:t>
            </w:r>
          </w:p>
          <w:p w14:paraId="59AC5C47">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实训任务：左手按指在不同弦之间进行各类八度训练。</w:t>
            </w:r>
          </w:p>
          <w:p w14:paraId="77A7F12F">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第九章 轮指中大指的速度变化练习</w:t>
            </w:r>
          </w:p>
          <w:p w14:paraId="198DF769">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实训目的：训练学生右手轮指中大指的速度。</w:t>
            </w:r>
          </w:p>
          <w:p w14:paraId="7E497DCF">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实训任务：训练右手大指速度的变化。当轮指时，大指的速度变化改变了轮指的密度，用4指轮和3指轮来调节密度，以保持轮指的平衡，同时注意各指力的统一。</w:t>
            </w:r>
          </w:p>
          <w:p w14:paraId="604BA270">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第十章 分解和弦练习</w:t>
            </w:r>
          </w:p>
          <w:p w14:paraId="039C6385">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实训目的：以学习乐曲的方式，使学生掌握分解和弦的演奏技巧。</w:t>
            </w:r>
          </w:p>
          <w:p w14:paraId="69C3B12C">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实训任务：西洋调式中各类和弦的分解训练。</w:t>
            </w:r>
          </w:p>
          <w:p w14:paraId="55B000DA">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第十一章 乐曲——武曲</w:t>
            </w:r>
          </w:p>
          <w:p w14:paraId="6B2B6525">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实训目的：准确把握传统武曲的风格特征。</w:t>
            </w:r>
          </w:p>
          <w:p w14:paraId="787EB180">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任务：用形象鲜明的音乐语言，来表现一定故事情节、气势宏伟、结构较庞大的乐曲。《十面》与《霸王》是琵琶武曲中的经典曲目，要求熟练掌握其中的扫弦、快夹扫、煞音、绞弦、推并双弦、满轮等。流畅、完整、富有想象力与音乐表现能力。</w:t>
            </w:r>
          </w:p>
          <w:p w14:paraId="5798F540">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第十二章 短琶音练习</w:t>
            </w:r>
          </w:p>
          <w:p w14:paraId="102CBFE3">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实训目的：训练左手的固定指距感，在此基础上加强手指的灵活跑动能力。</w:t>
            </w:r>
          </w:p>
          <w:p w14:paraId="6B3ECF4D">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实训任务：在各个调中练习短琶音，右手指法要求四个音中，三个音由食指往外琶音弹出去，最后一个音用大指挑回来，以促进加速。</w:t>
            </w:r>
          </w:p>
          <w:p w14:paraId="56EDE16F">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第十三章 右手大指练习</w:t>
            </w:r>
          </w:p>
          <w:p w14:paraId="76518468">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实训目的：训练右手的大指各项能力。</w:t>
            </w:r>
          </w:p>
          <w:p w14:paraId="59835AFD">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实训任务：（1）提高大指的力度训练；（2）大指的灵活度和独立能力的控制。</w:t>
            </w:r>
          </w:p>
          <w:p w14:paraId="636EC93B">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第十四章 正反弹与指力训练</w:t>
            </w:r>
          </w:p>
          <w:p w14:paraId="3C16770A">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实训目的：通过训练正反弹，强化右手各手指的独立性和可持续性。</w:t>
            </w:r>
          </w:p>
          <w:p w14:paraId="0800DE58">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实训任务：（1）正、反弹；（2）指力训练。在进行相对单一性的练习时，突出乐感和旋律线条。</w:t>
            </w:r>
          </w:p>
          <w:p w14:paraId="300DD822">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第十五章 “点”与“线”</w:t>
            </w:r>
          </w:p>
          <w:p w14:paraId="5ED59AB4">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目的：通过本章的学习，通过“点”与“线”的交替使用，以求促进掌握和控制琵琶右手核心技法中轮指、弹挑的有序结合，在音色、音量把握和增强“曲调美感”意识的前提下，培养对音乐语汇和曲调风格特色的理解。</w:t>
            </w:r>
          </w:p>
          <w:p w14:paraId="1D6839B9">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任务：以轮指等线性技法为代表，将不同的“点”连城“线”。（1）养成多听、多看、多思考的习惯，在读谱和分析中，将长与短、快与慢、强与弱、松与紧等多变、多向的视角以及富有哲理性的思考来知道学习。（2）艺术表达中“度”的把握。</w:t>
            </w:r>
          </w:p>
          <w:p w14:paraId="35150682">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第十六章 音乐会练习曲目</w:t>
            </w:r>
          </w:p>
          <w:p w14:paraId="77EFFDD7">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实训目的：扎实掌握琵琶的各项中高级技能技巧。</w:t>
            </w:r>
          </w:p>
          <w:p w14:paraId="73A046B0">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实训任务：将琵琶技术中的各类中高级技能技巧进行综合运用。</w:t>
            </w:r>
          </w:p>
          <w:p w14:paraId="74BBA818">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第十七章 近现代乐曲</w:t>
            </w:r>
          </w:p>
          <w:p w14:paraId="2731B8DD">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实训目的：准确把握近现代各类型乐曲的音乐风格特征。</w:t>
            </w:r>
          </w:p>
          <w:p w14:paraId="6C5F21CA">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实训任务：《狼牙山五壮士》《草原小姐妹》等近现代乐曲。充分了解作品背景，把握作品的核心思想，将技术融合于艺术中准确地诠释作品内涵。</w:t>
            </w:r>
          </w:p>
          <w:p w14:paraId="7E23123F">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将艺术与技术相融合，突出</w:t>
            </w:r>
            <w:r>
              <w:rPr>
                <w:rFonts w:hint="eastAsia" w:ascii="仿宋_GB2312" w:hAnsi="仿宋_GB2312" w:eastAsia="仿宋_GB2312" w:cs="仿宋_GB2312"/>
                <w:sz w:val="24"/>
                <w:szCs w:val="24"/>
                <w:lang w:eastAsia="zh-TW"/>
              </w:rPr>
              <w:t>“文化中的传承”与“传承中的文化”，</w:t>
            </w:r>
            <w:r>
              <w:rPr>
                <w:rFonts w:hint="eastAsia" w:ascii="仿宋_GB2312" w:hAnsi="仿宋_GB2312" w:eastAsia="仿宋_GB2312" w:cs="仿宋_GB2312"/>
                <w:sz w:val="24"/>
                <w:szCs w:val="24"/>
              </w:rPr>
              <w:t>将内心深处对家国的情怀融入娴熟的技术与情感艺术的表现中。</w:t>
            </w:r>
          </w:p>
        </w:tc>
        <w:tc>
          <w:tcPr>
            <w:tcW w:w="1132" w:type="dxa"/>
            <w:gridSpan w:val="5"/>
            <w:shd w:val="clear" w:color="auto" w:fill="auto"/>
            <w:noWrap w:val="0"/>
            <w:vAlign w:val="center"/>
          </w:tcPr>
          <w:p w14:paraId="149E525E">
            <w:pPr>
              <w:adjustRightInd w:val="0"/>
              <w:snapToGrid w:val="0"/>
              <w:jc w:val="center"/>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支撑课程目标1、2、3</w:t>
            </w:r>
          </w:p>
          <w:p w14:paraId="06255419">
            <w:pPr>
              <w:adjustRightInd w:val="0"/>
              <w:snapToGrid w:val="0"/>
              <w:jc w:val="center"/>
              <w:rPr>
                <w:rFonts w:ascii="仿宋_GB2312" w:hAnsi="仿宋_GB2312" w:eastAsia="仿宋_GB2312" w:cs="仿宋_GB2312"/>
                <w:bCs/>
                <w:sz w:val="24"/>
                <w:szCs w:val="24"/>
              </w:rPr>
            </w:pPr>
          </w:p>
        </w:tc>
        <w:tc>
          <w:tcPr>
            <w:tcW w:w="876" w:type="dxa"/>
            <w:shd w:val="clear" w:color="auto" w:fill="FFFFFF"/>
            <w:noWrap w:val="0"/>
            <w:vAlign w:val="center"/>
          </w:tcPr>
          <w:p w14:paraId="75203F23">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48</w:t>
            </w:r>
          </w:p>
        </w:tc>
      </w:tr>
      <w:tr w14:paraId="6F4B3DF5">
        <w:trPr>
          <w:trHeight w:val="454" w:hRule="atLeast"/>
        </w:trPr>
        <w:tc>
          <w:tcPr>
            <w:tcW w:w="1284" w:type="dxa"/>
            <w:vMerge w:val="continue"/>
            <w:shd w:val="clear" w:color="auto" w:fill="FFFFFF"/>
            <w:noWrap w:val="0"/>
            <w:vAlign w:val="center"/>
          </w:tcPr>
          <w:p w14:paraId="6DC74BE2">
            <w:pPr>
              <w:adjustRightInd w:val="0"/>
              <w:snapToGrid w:val="0"/>
              <w:jc w:val="center"/>
              <w:rPr>
                <w:rFonts w:ascii="仿宋_GB2312" w:hAnsi="仿宋_GB2312" w:eastAsia="仿宋_GB2312" w:cs="仿宋_GB2312"/>
                <w:color w:val="000000"/>
                <w:sz w:val="24"/>
                <w:szCs w:val="24"/>
              </w:rPr>
            </w:pPr>
          </w:p>
        </w:tc>
        <w:tc>
          <w:tcPr>
            <w:tcW w:w="5856" w:type="dxa"/>
            <w:gridSpan w:val="10"/>
            <w:shd w:val="clear" w:color="auto" w:fill="auto"/>
            <w:noWrap w:val="0"/>
            <w:vAlign w:val="center"/>
          </w:tcPr>
          <w:p w14:paraId="48A86256">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古筝：</w:t>
            </w:r>
          </w:p>
          <w:p w14:paraId="53D5AC80">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第一节：: 双食快速点奏练习（一至二个八度）</w:t>
            </w:r>
          </w:p>
          <w:p w14:paraId="0509ABAA">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第二节：快速双撮练习</w:t>
            </w:r>
          </w:p>
          <w:p w14:paraId="19944A67">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第三节：快速指序练习</w:t>
            </w:r>
          </w:p>
          <w:p w14:paraId="44A63138">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第四节：复调练习</w:t>
            </w:r>
          </w:p>
          <w:p w14:paraId="56E3A951">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第五节：综合乐曲</w:t>
            </w:r>
          </w:p>
          <w:p w14:paraId="0F572701">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第六节： 快速双撮练习</w:t>
            </w:r>
          </w:p>
          <w:p w14:paraId="64C50B90">
            <w:pPr>
              <w:keepNext w:val="0"/>
              <w:keepLines w:val="0"/>
              <w:pageBreakBefore w:val="0"/>
              <w:widowControl/>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bCs/>
                <w:color w:val="000000"/>
                <w:sz w:val="24"/>
                <w:szCs w:val="24"/>
              </w:rPr>
            </w:pPr>
            <w:r>
              <w:rPr>
                <w:rFonts w:hint="eastAsia" w:ascii="仿宋" w:hAnsi="仿宋" w:eastAsia="仿宋" w:cs="仿宋"/>
                <w:bCs/>
                <w:color w:val="000000"/>
                <w:sz w:val="24"/>
                <w:szCs w:val="24"/>
              </w:rPr>
              <w:t>实训目的：</w:t>
            </w:r>
            <w:r>
              <w:rPr>
                <w:rFonts w:hint="eastAsia" w:ascii="仿宋_GB2312" w:hAnsi="仿宋_GB2312" w:eastAsia="仿宋_GB2312" w:cs="仿宋_GB2312"/>
                <w:sz w:val="24"/>
                <w:szCs w:val="24"/>
              </w:rPr>
              <w:t>掌握</w:t>
            </w:r>
            <w:r>
              <w:rPr>
                <w:rFonts w:hint="eastAsia" w:ascii="仿宋_GB2312" w:hAnsi="仿宋_GB2312" w:eastAsia="仿宋_GB2312" w:cs="仿宋_GB2312"/>
                <w:sz w:val="24"/>
                <w:szCs w:val="24"/>
                <w:lang w:eastAsia="zh-Hans"/>
              </w:rPr>
              <w:t>古筝</w:t>
            </w:r>
            <w:r>
              <w:rPr>
                <w:rFonts w:hint="eastAsia" w:ascii="仿宋_GB2312" w:hAnsi="仿宋_GB2312" w:eastAsia="仿宋_GB2312" w:cs="仿宋_GB2312"/>
                <w:sz w:val="24"/>
                <w:szCs w:val="24"/>
              </w:rPr>
              <w:t>演奏技能</w:t>
            </w:r>
            <w:r>
              <w:rPr>
                <w:rFonts w:hint="eastAsia" w:ascii="仿宋_GB2312" w:hAnsi="仿宋_GB2312" w:eastAsia="仿宋_GB2312" w:cs="仿宋_GB2312"/>
                <w:sz w:val="24"/>
                <w:szCs w:val="24"/>
                <w:lang w:eastAsia="zh-Hans"/>
              </w:rPr>
              <w:t>技巧</w:t>
            </w:r>
            <w:r>
              <w:rPr>
                <w:rFonts w:hint="eastAsia" w:ascii="仿宋_GB2312" w:hAnsi="仿宋_GB2312" w:eastAsia="仿宋_GB2312" w:cs="仿宋_GB2312"/>
                <w:sz w:val="24"/>
                <w:szCs w:val="24"/>
              </w:rPr>
              <w:t>。</w:t>
            </w:r>
          </w:p>
          <w:p w14:paraId="03F9A84D">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 w:hAnsi="仿宋" w:eastAsia="仿宋" w:cs="仿宋"/>
                <w:bCs/>
                <w:color w:val="000000"/>
                <w:sz w:val="24"/>
                <w:szCs w:val="24"/>
              </w:rPr>
              <w:t>实训任务：</w:t>
            </w:r>
            <w:r>
              <w:rPr>
                <w:rFonts w:hint="eastAsia" w:ascii="仿宋" w:hAnsi="仿宋" w:eastAsia="仿宋" w:cs="仿宋"/>
                <w:bCs/>
                <w:color w:val="000000"/>
                <w:sz w:val="24"/>
                <w:szCs w:val="24"/>
                <w:lang w:eastAsia="zh-Hans"/>
              </w:rPr>
              <w:t>进行</w:t>
            </w:r>
            <w:r>
              <w:rPr>
                <w:rFonts w:hint="eastAsia" w:ascii="仿宋_GB2312" w:hAnsi="仿宋_GB2312" w:eastAsia="仿宋_GB2312" w:cs="仿宋_GB2312"/>
                <w:sz w:val="24"/>
                <w:szCs w:val="24"/>
              </w:rPr>
              <w:t>曲式结构、风格特点、演奏技法</w:t>
            </w:r>
            <w:r>
              <w:rPr>
                <w:rFonts w:hint="eastAsia" w:ascii="仿宋_GB2312" w:hAnsi="仿宋_GB2312" w:eastAsia="仿宋_GB2312" w:cs="仿宋_GB2312"/>
                <w:sz w:val="24"/>
                <w:szCs w:val="24"/>
                <w:lang w:eastAsia="zh-Hans"/>
              </w:rPr>
              <w:t>的分析</w:t>
            </w:r>
            <w:r>
              <w:rPr>
                <w:rFonts w:hint="eastAsia" w:ascii="仿宋_GB2312" w:hAnsi="仿宋_GB2312" w:eastAsia="仿宋_GB2312" w:cs="仿宋_GB2312"/>
                <w:sz w:val="24"/>
                <w:szCs w:val="24"/>
              </w:rPr>
              <w:t>。进行音乐评判将艺术与技术相融合，突出</w:t>
            </w:r>
            <w:r>
              <w:rPr>
                <w:rFonts w:hint="eastAsia" w:ascii="仿宋_GB2312" w:hAnsi="仿宋_GB2312" w:eastAsia="仿宋_GB2312" w:cs="仿宋_GB2312"/>
                <w:sz w:val="24"/>
                <w:szCs w:val="24"/>
                <w:lang w:eastAsia="zh-TW"/>
              </w:rPr>
              <w:t>“文化中的传承”</w:t>
            </w:r>
            <w:r>
              <w:rPr>
                <w:rFonts w:hint="eastAsia" w:ascii="仿宋_GB2312" w:hAnsi="仿宋_GB2312" w:eastAsia="仿宋_GB2312" w:cs="仿宋_GB2312"/>
                <w:sz w:val="24"/>
                <w:szCs w:val="24"/>
              </w:rPr>
              <w:t>将内心深处对家国的情怀融入娴熟的技术与情感艺术的表现中。</w:t>
            </w:r>
          </w:p>
        </w:tc>
        <w:tc>
          <w:tcPr>
            <w:tcW w:w="1132" w:type="dxa"/>
            <w:gridSpan w:val="5"/>
            <w:shd w:val="clear" w:color="auto" w:fill="auto"/>
            <w:noWrap w:val="0"/>
            <w:vAlign w:val="center"/>
          </w:tcPr>
          <w:p w14:paraId="069ED4D1">
            <w:pPr>
              <w:adjustRightInd w:val="0"/>
              <w:snapToGrid w:val="0"/>
              <w:jc w:val="center"/>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支撑课程目标1、2、3</w:t>
            </w:r>
          </w:p>
          <w:p w14:paraId="6D29D053">
            <w:pPr>
              <w:adjustRightInd w:val="0"/>
              <w:snapToGrid w:val="0"/>
              <w:jc w:val="center"/>
              <w:rPr>
                <w:rFonts w:ascii="仿宋_GB2312" w:hAnsi="仿宋_GB2312" w:eastAsia="仿宋_GB2312" w:cs="仿宋_GB2312"/>
                <w:bCs/>
                <w:sz w:val="24"/>
                <w:szCs w:val="24"/>
              </w:rPr>
            </w:pPr>
          </w:p>
        </w:tc>
        <w:tc>
          <w:tcPr>
            <w:tcW w:w="876" w:type="dxa"/>
            <w:shd w:val="clear" w:color="auto" w:fill="FFFFFF"/>
            <w:noWrap w:val="0"/>
            <w:vAlign w:val="center"/>
          </w:tcPr>
          <w:p w14:paraId="3D5BFAA4">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48</w:t>
            </w:r>
          </w:p>
        </w:tc>
      </w:tr>
      <w:tr w14:paraId="224FABBA">
        <w:trPr>
          <w:trHeight w:val="454" w:hRule="atLeast"/>
        </w:trPr>
        <w:tc>
          <w:tcPr>
            <w:tcW w:w="1284" w:type="dxa"/>
            <w:vMerge w:val="continue"/>
            <w:shd w:val="clear" w:color="auto" w:fill="FFFFFF"/>
            <w:noWrap w:val="0"/>
            <w:vAlign w:val="center"/>
          </w:tcPr>
          <w:p w14:paraId="21547C46">
            <w:pPr>
              <w:adjustRightInd w:val="0"/>
              <w:snapToGrid w:val="0"/>
              <w:jc w:val="center"/>
              <w:rPr>
                <w:rFonts w:ascii="仿宋_GB2312" w:hAnsi="仿宋_GB2312" w:eastAsia="仿宋_GB2312" w:cs="仿宋_GB2312"/>
                <w:color w:val="000000"/>
                <w:sz w:val="24"/>
                <w:szCs w:val="24"/>
              </w:rPr>
            </w:pPr>
          </w:p>
        </w:tc>
        <w:tc>
          <w:tcPr>
            <w:tcW w:w="5856" w:type="dxa"/>
            <w:gridSpan w:val="10"/>
            <w:shd w:val="clear" w:color="auto" w:fill="auto"/>
            <w:noWrap w:val="0"/>
            <w:vAlign w:val="center"/>
          </w:tcPr>
          <w:p w14:paraId="66252C3A">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长笛：</w:t>
            </w:r>
          </w:p>
          <w:p w14:paraId="717A6CAE">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hint="eastAsia" w:ascii="仿宋_GB2312" w:hAnsi="仿宋_GB2312" w:eastAsia="仿宋_GB2312" w:cs="仿宋_GB2312"/>
                <w:sz w:val="24"/>
                <w:szCs w:val="24"/>
              </w:rPr>
              <w:t>第一章 长笛</w:t>
            </w:r>
            <w:r>
              <w:rPr>
                <w:rFonts w:hint="eastAsia" w:ascii="仿宋_GB2312" w:hAnsi="仿宋_GB2312" w:eastAsia="仿宋_GB2312" w:cs="仿宋_GB2312"/>
                <w:sz w:val="24"/>
                <w:szCs w:val="24"/>
                <w:lang w:eastAsia="zh-Hans"/>
              </w:rPr>
              <w:t>演奏基本技能训练</w:t>
            </w:r>
          </w:p>
          <w:p w14:paraId="73806EC9">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hint="eastAsia" w:ascii="仿宋_GB2312" w:hAnsi="仿宋_GB2312" w:eastAsia="仿宋_GB2312" w:cs="仿宋_GB2312"/>
                <w:sz w:val="24"/>
                <w:szCs w:val="24"/>
              </w:rPr>
              <w:t>1.</w:t>
            </w:r>
            <w:r>
              <w:rPr>
                <w:rFonts w:hint="eastAsia" w:ascii="仿宋_GB2312" w:hAnsi="仿宋_GB2312" w:eastAsia="仿宋_GB2312" w:cs="仿宋_GB2312"/>
                <w:sz w:val="24"/>
                <w:szCs w:val="24"/>
                <w:lang w:eastAsia="zh-Hans"/>
              </w:rPr>
              <w:t>实训目的：通过</w:t>
            </w:r>
            <w:r>
              <w:rPr>
                <w:rFonts w:hint="eastAsia" w:ascii="仿宋_GB2312" w:hAnsi="仿宋_GB2312" w:eastAsia="仿宋_GB2312" w:cs="仿宋_GB2312"/>
                <w:sz w:val="24"/>
                <w:szCs w:val="24"/>
              </w:rPr>
              <w:t>长笛</w:t>
            </w:r>
            <w:r>
              <w:rPr>
                <w:rFonts w:hint="eastAsia" w:ascii="仿宋_GB2312" w:hAnsi="仿宋_GB2312" w:eastAsia="仿宋_GB2312" w:cs="仿宋_GB2312"/>
                <w:sz w:val="24"/>
                <w:szCs w:val="24"/>
                <w:lang w:eastAsia="zh-Hans"/>
              </w:rPr>
              <w:t>演奏技能的训练，使学生学会一定的演奏技能。掌握正确的演奏姿势与方法，注重长音的训练。</w:t>
            </w:r>
          </w:p>
          <w:p w14:paraId="4EACB54C">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hint="eastAsia" w:ascii="仿宋_GB2312" w:hAnsi="仿宋_GB2312" w:eastAsia="仿宋_GB2312" w:cs="仿宋_GB2312"/>
                <w:sz w:val="24"/>
                <w:szCs w:val="24"/>
              </w:rPr>
              <w:t>2.</w:t>
            </w:r>
            <w:r>
              <w:rPr>
                <w:rFonts w:hint="eastAsia" w:ascii="仿宋_GB2312" w:hAnsi="仿宋_GB2312" w:eastAsia="仿宋_GB2312" w:cs="仿宋_GB2312"/>
                <w:sz w:val="24"/>
                <w:szCs w:val="24"/>
                <w:lang w:eastAsia="zh-Hans"/>
              </w:rPr>
              <w:t>实训任务</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eastAsia="zh-Hans"/>
              </w:rPr>
              <w:t>长音吹奏平稳，音色优美，巩固基本功</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eastAsia="zh-Hans"/>
              </w:rPr>
              <w:t>呼吸正确，音色优美，时值要够，换气时不能占拍子。音色的控制</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eastAsia="zh-Hans"/>
              </w:rPr>
              <w:t>每天坚持长音练习、音头练习及八度跳音练习。</w:t>
            </w:r>
          </w:p>
          <w:p w14:paraId="584FC663">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hint="eastAsia" w:ascii="仿宋_GB2312" w:hAnsi="仿宋_GB2312" w:eastAsia="仿宋_GB2312" w:cs="仿宋_GB2312"/>
                <w:sz w:val="24"/>
                <w:szCs w:val="24"/>
                <w:lang w:eastAsia="zh-Hans"/>
              </w:rPr>
              <w:t>3、重点和难点：快速演奏，节奏准确</w:t>
            </w:r>
            <w:r>
              <w:rPr>
                <w:rFonts w:hint="eastAsia" w:ascii="仿宋_GB2312" w:hAnsi="仿宋_GB2312" w:eastAsia="仿宋_GB2312" w:cs="仿宋_GB2312"/>
                <w:sz w:val="24"/>
                <w:szCs w:val="24"/>
              </w:rPr>
              <w:t>，对于</w:t>
            </w:r>
            <w:r>
              <w:rPr>
                <w:rFonts w:hint="eastAsia" w:ascii="仿宋_GB2312" w:hAnsi="仿宋_GB2312" w:eastAsia="仿宋_GB2312" w:cs="仿宋_GB2312"/>
                <w:sz w:val="24"/>
                <w:szCs w:val="24"/>
                <w:lang w:eastAsia="zh-Hans"/>
              </w:rPr>
              <w:t>音色的控制</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eastAsia="zh-Hans"/>
              </w:rPr>
              <w:t>体会乐曲的风格特征</w:t>
            </w:r>
            <w:r>
              <w:rPr>
                <w:rFonts w:hint="eastAsia" w:ascii="仿宋_GB2312" w:hAnsi="仿宋_GB2312" w:eastAsia="仿宋_GB2312" w:cs="仿宋_GB2312"/>
                <w:sz w:val="24"/>
                <w:szCs w:val="24"/>
              </w:rPr>
              <w:t>。</w:t>
            </w:r>
          </w:p>
          <w:p w14:paraId="246738A5">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第二章 长笛演奏中的音色控制</w:t>
            </w:r>
          </w:p>
          <w:p w14:paraId="3D37F2F6">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hint="eastAsia" w:ascii="仿宋_GB2312" w:hAnsi="仿宋_GB2312" w:eastAsia="仿宋_GB2312" w:cs="仿宋_GB2312"/>
                <w:sz w:val="24"/>
                <w:szCs w:val="24"/>
                <w:lang w:eastAsia="zh-Hans"/>
              </w:rPr>
              <w:t>1. 实训目的</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eastAsia="zh-Hans"/>
              </w:rPr>
              <w:t>通过本章的学习，使学生掌握长笛的正确的音色，并能在演奏中保持音色。</w:t>
            </w:r>
          </w:p>
          <w:p w14:paraId="3AEC1E1A">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hint="eastAsia" w:ascii="仿宋_GB2312" w:hAnsi="仿宋_GB2312" w:eastAsia="仿宋_GB2312" w:cs="仿宋_GB2312"/>
                <w:sz w:val="24"/>
                <w:szCs w:val="24"/>
              </w:rPr>
              <w:t>2实训任务：</w:t>
            </w:r>
            <w:r>
              <w:rPr>
                <w:rFonts w:hint="eastAsia" w:ascii="仿宋_GB2312" w:hAnsi="仿宋_GB2312" w:eastAsia="仿宋_GB2312" w:cs="仿宋_GB2312"/>
                <w:sz w:val="24"/>
                <w:szCs w:val="24"/>
                <w:lang w:eastAsia="zh-Hans"/>
              </w:rPr>
              <w:t>反复练习，演奏出长笛最美的音色。</w:t>
            </w:r>
            <w:r>
              <w:rPr>
                <w:rFonts w:hint="eastAsia" w:ascii="仿宋_GB2312" w:hAnsi="仿宋_GB2312" w:eastAsia="仿宋_GB2312" w:cs="仿宋_GB2312"/>
                <w:sz w:val="24"/>
                <w:szCs w:val="24"/>
              </w:rPr>
              <w:t>用连音、吐音吹奏两个八度的半音阶、小调音阶、琶因各一条，速度80/分钟。用连音、吐音吹奏三个八度的半音阶，速度90-110/分钟。用十种基本音型演奏音阶、音程和琶音。</w:t>
            </w:r>
          </w:p>
          <w:p w14:paraId="5DEC1EB2">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hint="eastAsia" w:ascii="仿宋_GB2312" w:hAnsi="仿宋_GB2312" w:eastAsia="仿宋_GB2312" w:cs="仿宋_GB2312"/>
                <w:sz w:val="24"/>
                <w:szCs w:val="24"/>
                <w:lang w:eastAsia="zh-Hans"/>
              </w:rPr>
              <w:t>3.重点和难点</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eastAsia="zh-Hans"/>
              </w:rPr>
              <w:t>反复练习，用心去体会，仔细听吹奏出来的音色的异同，找到最美的音色，并保持。</w:t>
            </w:r>
          </w:p>
          <w:p w14:paraId="51A44E13">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hint="eastAsia" w:ascii="仿宋_GB2312" w:hAnsi="仿宋_GB2312" w:eastAsia="仿宋_GB2312" w:cs="仿宋_GB2312"/>
                <w:sz w:val="24"/>
                <w:szCs w:val="24"/>
              </w:rPr>
              <w:t>4</w:t>
            </w:r>
            <w:r>
              <w:rPr>
                <w:rFonts w:hint="eastAsia" w:ascii="仿宋_GB2312" w:hAnsi="仿宋_GB2312" w:eastAsia="仿宋_GB2312" w:cs="仿宋_GB2312"/>
                <w:sz w:val="24"/>
                <w:szCs w:val="24"/>
                <w:lang w:eastAsia="zh-Hans"/>
              </w:rPr>
              <w:t>.实训目的</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eastAsia="zh-Hans"/>
              </w:rPr>
              <w:t>通过本章的学习，使学生保持好的音色。</w:t>
            </w:r>
          </w:p>
          <w:p w14:paraId="3C778B40">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5.实训任务：</w:t>
            </w:r>
            <w:r>
              <w:rPr>
                <w:rFonts w:hint="eastAsia" w:ascii="仿宋_GB2312" w:hAnsi="仿宋_GB2312" w:eastAsia="仿宋_GB2312" w:cs="仿宋_GB2312"/>
                <w:sz w:val="24"/>
                <w:szCs w:val="24"/>
                <w:lang w:eastAsia="zh-Hans"/>
              </w:rPr>
              <w:t>要求学生用最好的音色完整的吹奏。</w:t>
            </w:r>
            <w:r>
              <w:rPr>
                <w:rFonts w:hint="eastAsia" w:ascii="仿宋_GB2312" w:hAnsi="仿宋_GB2312" w:eastAsia="仿宋_GB2312" w:cs="仿宋_GB2312"/>
                <w:sz w:val="24"/>
                <w:szCs w:val="24"/>
              </w:rPr>
              <w:t>加强音色与气息地练习</w:t>
            </w:r>
          </w:p>
          <w:p w14:paraId="01F9EC93">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hint="eastAsia" w:ascii="仿宋_GB2312" w:hAnsi="仿宋_GB2312" w:eastAsia="仿宋_GB2312" w:cs="仿宋_GB2312"/>
                <w:sz w:val="24"/>
                <w:szCs w:val="24"/>
              </w:rPr>
              <w:t>6.</w:t>
            </w:r>
            <w:r>
              <w:rPr>
                <w:rFonts w:hint="eastAsia" w:ascii="仿宋_GB2312" w:hAnsi="仿宋_GB2312" w:eastAsia="仿宋_GB2312" w:cs="仿宋_GB2312"/>
                <w:sz w:val="24"/>
                <w:szCs w:val="24"/>
                <w:lang w:eastAsia="zh-Hans"/>
              </w:rPr>
              <w:t>重点和难点</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eastAsia="zh-Hans"/>
              </w:rPr>
              <w:t>音色的保持。</w:t>
            </w:r>
          </w:p>
          <w:p w14:paraId="7ACEB03C">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hint="eastAsia" w:ascii="仿宋_GB2312" w:hAnsi="仿宋_GB2312" w:eastAsia="仿宋_GB2312" w:cs="仿宋_GB2312"/>
                <w:sz w:val="24"/>
                <w:szCs w:val="24"/>
              </w:rPr>
              <w:t xml:space="preserve">第三章 </w:t>
            </w:r>
            <w:r>
              <w:rPr>
                <w:rFonts w:hint="eastAsia" w:ascii="仿宋_GB2312" w:hAnsi="仿宋_GB2312" w:eastAsia="仿宋_GB2312" w:cs="仿宋_GB2312"/>
                <w:sz w:val="24"/>
                <w:szCs w:val="24"/>
                <w:lang w:eastAsia="zh-Hans"/>
              </w:rPr>
              <w:t>连音与吐音结合吹奏音阶</w:t>
            </w:r>
            <w:r>
              <w:rPr>
                <w:rFonts w:hint="eastAsia" w:ascii="仿宋_GB2312" w:hAnsi="仿宋_GB2312" w:eastAsia="仿宋_GB2312" w:cs="仿宋_GB2312"/>
                <w:sz w:val="24"/>
                <w:szCs w:val="24"/>
              </w:rPr>
              <w:t xml:space="preserve"> </w:t>
            </w:r>
            <w:r>
              <w:rPr>
                <w:rFonts w:hint="eastAsia" w:ascii="仿宋_GB2312" w:hAnsi="仿宋_GB2312" w:eastAsia="仿宋_GB2312" w:cs="仿宋_GB2312"/>
                <w:sz w:val="24"/>
                <w:szCs w:val="24"/>
                <w:lang w:eastAsia="zh-Hans"/>
              </w:rPr>
              <w:t>长笛的即兴演奏法</w:t>
            </w:r>
          </w:p>
          <w:p w14:paraId="6A4D3324">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lang w:eastAsia="zh-Hans"/>
              </w:rPr>
              <w:t>1. 实训目的</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eastAsia="zh-Hans"/>
              </w:rPr>
              <w:t>通过本章的学习，更好的掌握连音与吐音在演奏中的使用。完成大，小调音阶，半音阶及琶音等练习（每周一个调性）</w:t>
            </w:r>
            <w:r>
              <w:rPr>
                <w:rFonts w:hint="eastAsia" w:ascii="仿宋_GB2312" w:hAnsi="仿宋_GB2312" w:eastAsia="仿宋_GB2312" w:cs="仿宋_GB2312"/>
                <w:sz w:val="24"/>
                <w:szCs w:val="24"/>
              </w:rPr>
              <w:t>。</w:t>
            </w:r>
          </w:p>
          <w:p w14:paraId="3511F512">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hint="eastAsia" w:ascii="仿宋_GB2312" w:hAnsi="仿宋_GB2312" w:eastAsia="仿宋_GB2312" w:cs="仿宋_GB2312"/>
                <w:sz w:val="24"/>
                <w:szCs w:val="24"/>
                <w:lang w:eastAsia="zh-Hans"/>
              </w:rPr>
              <w:t>2.</w:t>
            </w:r>
            <w:r>
              <w:rPr>
                <w:rFonts w:hint="eastAsia" w:ascii="仿宋_GB2312" w:hAnsi="仿宋_GB2312" w:eastAsia="仿宋_GB2312" w:cs="仿宋_GB2312"/>
                <w:sz w:val="24"/>
                <w:szCs w:val="24"/>
              </w:rPr>
              <w:t>实训任务：</w:t>
            </w:r>
            <w:r>
              <w:rPr>
                <w:rFonts w:hint="eastAsia" w:ascii="仿宋_GB2312" w:hAnsi="仿宋_GB2312" w:eastAsia="仿宋_GB2312" w:cs="仿宋_GB2312"/>
                <w:sz w:val="24"/>
                <w:szCs w:val="24"/>
                <w:lang w:eastAsia="zh-Hans"/>
              </w:rPr>
              <w:t>连音与吐音交替，吹奏每条大小音阶三个八度。  每天坚持长音练习（半音模进）、力度练习、换气练习。</w:t>
            </w:r>
          </w:p>
          <w:p w14:paraId="6F2D1192">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hint="eastAsia" w:ascii="仿宋_GB2312" w:hAnsi="仿宋_GB2312" w:eastAsia="仿宋_GB2312" w:cs="仿宋_GB2312"/>
                <w:sz w:val="24"/>
                <w:szCs w:val="24"/>
                <w:lang w:eastAsia="zh-Hans"/>
              </w:rPr>
              <w:t>3. 重点和难点</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eastAsia="zh-Hans"/>
              </w:rPr>
              <w:t>连音与吐音的交替</w:t>
            </w:r>
          </w:p>
          <w:p w14:paraId="4B589D82">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hint="eastAsia" w:ascii="仿宋_GB2312" w:hAnsi="仿宋_GB2312" w:eastAsia="仿宋_GB2312" w:cs="仿宋_GB2312"/>
                <w:sz w:val="24"/>
                <w:szCs w:val="24"/>
                <w:lang w:eastAsia="zh-Hans"/>
              </w:rPr>
              <w:t>第四章</w:t>
            </w:r>
            <w:r>
              <w:rPr>
                <w:rFonts w:ascii="仿宋_GB2312" w:hAnsi="仿宋_GB2312" w:eastAsia="仿宋_GB2312" w:cs="仿宋_GB2312"/>
                <w:sz w:val="24"/>
                <w:szCs w:val="24"/>
                <w:lang w:eastAsia="zh-Hans"/>
              </w:rPr>
              <w:t>：</w:t>
            </w:r>
          </w:p>
          <w:p w14:paraId="20611F7A">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lang w:eastAsia="zh-Hans"/>
              </w:rPr>
              <w:t>音阶</w:t>
            </w:r>
            <w:r>
              <w:rPr>
                <w:rFonts w:ascii="仿宋_GB2312" w:hAnsi="仿宋_GB2312" w:eastAsia="仿宋_GB2312" w:cs="仿宋_GB2312"/>
                <w:sz w:val="24"/>
                <w:szCs w:val="24"/>
              </w:rPr>
              <w:t>练习：</w:t>
            </w:r>
          </w:p>
          <w:p w14:paraId="3CF35C4A">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ascii="仿宋_GB2312" w:hAnsi="仿宋_GB2312" w:eastAsia="仿宋_GB2312" w:cs="仿宋_GB2312"/>
                <w:sz w:val="24"/>
                <w:szCs w:val="24"/>
              </w:rPr>
              <w:t>    完成大，小调音阶，半音阶及琶音等练习；高贝尔特音阶，《半音阶 每日练习》（每周一个调性）。</w:t>
            </w:r>
          </w:p>
          <w:p w14:paraId="17800B21">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ascii="仿宋_GB2312" w:hAnsi="仿宋_GB2312" w:eastAsia="仿宋_GB2312" w:cs="仿宋_GB2312"/>
                <w:sz w:val="24"/>
                <w:szCs w:val="24"/>
              </w:rPr>
              <w:t>练习曲：</w:t>
            </w:r>
          </w:p>
          <w:p w14:paraId="0FCBD40B">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ascii="仿宋_GB2312" w:hAnsi="仿宋_GB2312" w:eastAsia="仿宋_GB2312" w:cs="仿宋_GB2312"/>
                <w:sz w:val="24"/>
                <w:szCs w:val="24"/>
              </w:rPr>
              <w:t>    完成中高级练习曲 20-30首</w:t>
            </w:r>
          </w:p>
          <w:p w14:paraId="191A6070">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ascii="仿宋_GB2312" w:hAnsi="仿宋_GB2312" w:eastAsia="仿宋_GB2312" w:cs="仿宋_GB2312"/>
                <w:sz w:val="24"/>
                <w:szCs w:val="24"/>
              </w:rPr>
              <w:t>   《安德森长笛练习曲》每周一首</w:t>
            </w:r>
          </w:p>
          <w:p w14:paraId="2C6F7E21">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ascii="仿宋_GB2312" w:hAnsi="仿宋_GB2312" w:eastAsia="仿宋_GB2312" w:cs="仿宋_GB2312"/>
                <w:sz w:val="24"/>
                <w:szCs w:val="24"/>
              </w:rPr>
              <w:t>   《 波姆24首幻想曲》每周一首</w:t>
            </w:r>
          </w:p>
          <w:p w14:paraId="2E0A7F69">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ascii="仿宋_GB2312" w:hAnsi="仿宋_GB2312" w:eastAsia="仿宋_GB2312" w:cs="仿宋_GB2312"/>
                <w:sz w:val="24"/>
                <w:szCs w:val="24"/>
              </w:rPr>
              <w:t>乐  曲：</w:t>
            </w:r>
          </w:p>
          <w:p w14:paraId="7D25E643">
            <w:pPr>
              <w:keepNext w:val="0"/>
              <w:keepLines w:val="0"/>
              <w:pageBreakBefore w:val="0"/>
              <w:kinsoku/>
              <w:wordWrap/>
              <w:overflowPunct/>
              <w:topLinePunct w:val="0"/>
              <w:autoSpaceDE/>
              <w:autoSpaceDN/>
              <w:bidi w:val="0"/>
              <w:adjustRightInd w:val="0"/>
              <w:snapToGrid w:val="0"/>
              <w:spacing w:line="360" w:lineRule="exact"/>
              <w:ind w:left="105" w:leftChars="50" w:firstLine="443"/>
              <w:jc w:val="left"/>
              <w:textAlignment w:val="auto"/>
              <w:rPr>
                <w:rFonts w:ascii="仿宋_GB2312" w:hAnsi="仿宋_GB2312" w:eastAsia="仿宋_GB2312" w:cs="仿宋_GB2312"/>
                <w:sz w:val="24"/>
                <w:szCs w:val="24"/>
              </w:rPr>
            </w:pPr>
            <w:r>
              <w:rPr>
                <w:rFonts w:ascii="仿宋_GB2312" w:hAnsi="仿宋_GB2312" w:eastAsia="仿宋_GB2312" w:cs="仿宋_GB2312"/>
                <w:sz w:val="24"/>
                <w:szCs w:val="24"/>
              </w:rPr>
              <w:t>完成外国乐曲2-3首；中国乐曲1-2首。</w:t>
            </w:r>
          </w:p>
          <w:p w14:paraId="0BE86752">
            <w:pPr>
              <w:keepNext w:val="0"/>
              <w:keepLines w:val="0"/>
              <w:pageBreakBefore w:val="0"/>
              <w:kinsoku/>
              <w:wordWrap/>
              <w:overflowPunct/>
              <w:topLinePunct w:val="0"/>
              <w:autoSpaceDE/>
              <w:autoSpaceDN/>
              <w:bidi w:val="0"/>
              <w:adjustRightInd w:val="0"/>
              <w:snapToGrid w:val="0"/>
              <w:spacing w:line="360" w:lineRule="exact"/>
              <w:ind w:left="105" w:leftChars="50" w:firstLine="443"/>
              <w:jc w:val="left"/>
              <w:textAlignment w:val="auto"/>
              <w:rPr>
                <w:rFonts w:ascii="仿宋_GB2312" w:hAnsi="仿宋_GB2312" w:eastAsia="仿宋_GB2312" w:cs="仿宋_GB2312"/>
                <w:sz w:val="24"/>
                <w:szCs w:val="24"/>
                <w:lang w:eastAsia="zh-Hans"/>
              </w:rPr>
            </w:pPr>
            <w:r>
              <w:rPr>
                <w:rFonts w:hint="eastAsia" w:ascii="仿宋_GB2312" w:hAnsi="仿宋_GB2312" w:eastAsia="仿宋_GB2312" w:cs="仿宋_GB2312"/>
                <w:sz w:val="24"/>
                <w:szCs w:val="24"/>
                <w:lang w:eastAsia="zh-Hans"/>
              </w:rPr>
              <w:t>谐谑曲</w:t>
            </w:r>
            <w:r>
              <w:rPr>
                <w:rFonts w:ascii="仿宋_GB2312" w:hAnsi="仿宋_GB2312" w:eastAsia="仿宋_GB2312" w:cs="仿宋_GB2312"/>
                <w:sz w:val="24"/>
                <w:szCs w:val="24"/>
                <w:lang w:eastAsia="zh-Hans"/>
              </w:rPr>
              <w:t xml:space="preserve">                            巴赫</w:t>
            </w:r>
          </w:p>
          <w:p w14:paraId="4D648FC7">
            <w:pPr>
              <w:keepNext w:val="0"/>
              <w:keepLines w:val="0"/>
              <w:pageBreakBefore w:val="0"/>
              <w:kinsoku/>
              <w:wordWrap/>
              <w:overflowPunct/>
              <w:topLinePunct w:val="0"/>
              <w:autoSpaceDE/>
              <w:autoSpaceDN/>
              <w:bidi w:val="0"/>
              <w:adjustRightInd w:val="0"/>
              <w:snapToGrid w:val="0"/>
              <w:spacing w:line="360" w:lineRule="exact"/>
              <w:ind w:left="105" w:leftChars="50" w:firstLine="443"/>
              <w:jc w:val="left"/>
              <w:textAlignment w:val="auto"/>
              <w:rPr>
                <w:rFonts w:ascii="仿宋_GB2312" w:hAnsi="仿宋_GB2312" w:eastAsia="仿宋_GB2312" w:cs="仿宋_GB2312"/>
                <w:sz w:val="24"/>
                <w:szCs w:val="24"/>
                <w:lang w:eastAsia="zh-Hans"/>
              </w:rPr>
            </w:pPr>
            <w:r>
              <w:rPr>
                <w:rFonts w:hint="eastAsia" w:ascii="仿宋_GB2312" w:hAnsi="仿宋_GB2312" w:eastAsia="仿宋_GB2312" w:cs="仿宋_GB2312"/>
                <w:sz w:val="24"/>
                <w:szCs w:val="24"/>
                <w:lang w:eastAsia="zh-Hans"/>
              </w:rPr>
              <w:t>牧童短笛</w:t>
            </w:r>
            <w:r>
              <w:rPr>
                <w:rFonts w:ascii="仿宋_GB2312" w:hAnsi="仿宋_GB2312" w:eastAsia="仿宋_GB2312" w:cs="仿宋_GB2312"/>
                <w:sz w:val="24"/>
                <w:szCs w:val="24"/>
                <w:lang w:eastAsia="zh-Hans"/>
              </w:rPr>
              <w:t xml:space="preserve">                          贺绿汀</w:t>
            </w:r>
          </w:p>
          <w:p w14:paraId="47423CC4">
            <w:pPr>
              <w:keepNext w:val="0"/>
              <w:keepLines w:val="0"/>
              <w:pageBreakBefore w:val="0"/>
              <w:kinsoku/>
              <w:wordWrap/>
              <w:overflowPunct/>
              <w:topLinePunct w:val="0"/>
              <w:autoSpaceDE/>
              <w:autoSpaceDN/>
              <w:bidi w:val="0"/>
              <w:adjustRightInd w:val="0"/>
              <w:snapToGrid w:val="0"/>
              <w:spacing w:line="360" w:lineRule="exact"/>
              <w:ind w:left="105" w:leftChars="50" w:firstLine="443"/>
              <w:jc w:val="left"/>
              <w:textAlignment w:val="auto"/>
              <w:rPr>
                <w:rFonts w:ascii="仿宋_GB2312" w:hAnsi="仿宋_GB2312" w:eastAsia="仿宋_GB2312" w:cs="仿宋_GB2312"/>
                <w:sz w:val="24"/>
                <w:szCs w:val="24"/>
                <w:lang w:eastAsia="zh-Hans"/>
              </w:rPr>
            </w:pPr>
            <w:r>
              <w:rPr>
                <w:rFonts w:hint="eastAsia" w:ascii="仿宋_GB2312" w:hAnsi="仿宋_GB2312" w:eastAsia="仿宋_GB2312" w:cs="仿宋_GB2312"/>
                <w:sz w:val="24"/>
                <w:szCs w:val="24"/>
                <w:lang w:eastAsia="zh-Hans"/>
              </w:rPr>
              <w:t>妖精之舞</w:t>
            </w:r>
            <w:r>
              <w:rPr>
                <w:rFonts w:ascii="仿宋_GB2312" w:hAnsi="仿宋_GB2312" w:eastAsia="仿宋_GB2312" w:cs="仿宋_GB2312"/>
                <w:sz w:val="24"/>
                <w:szCs w:val="24"/>
                <w:lang w:eastAsia="zh-Hans"/>
              </w:rPr>
              <w:t xml:space="preserve">                          格鲁克</w:t>
            </w:r>
          </w:p>
          <w:p w14:paraId="58689662">
            <w:pPr>
              <w:keepNext w:val="0"/>
              <w:keepLines w:val="0"/>
              <w:pageBreakBefore w:val="0"/>
              <w:kinsoku/>
              <w:wordWrap/>
              <w:overflowPunct/>
              <w:topLinePunct w:val="0"/>
              <w:autoSpaceDE/>
              <w:autoSpaceDN/>
              <w:bidi w:val="0"/>
              <w:adjustRightInd w:val="0"/>
              <w:snapToGrid w:val="0"/>
              <w:spacing w:line="360" w:lineRule="exact"/>
              <w:ind w:left="105" w:leftChars="50" w:firstLine="480" w:firstLineChars="200"/>
              <w:jc w:val="left"/>
              <w:textAlignment w:val="auto"/>
              <w:rPr>
                <w:rFonts w:ascii="仿宋_GB2312" w:hAnsi="仿宋_GB2312" w:eastAsia="仿宋_GB2312" w:cs="仿宋_GB2312"/>
                <w:sz w:val="24"/>
                <w:szCs w:val="24"/>
              </w:rPr>
            </w:pPr>
            <w:r>
              <w:rPr>
                <w:rFonts w:ascii="仿宋_GB2312" w:hAnsi="仿宋_GB2312" w:eastAsia="仿宋_GB2312" w:cs="仿宋_GB2312"/>
                <w:sz w:val="24"/>
                <w:szCs w:val="24"/>
              </w:rPr>
              <w:t>在林中小边                                     </w:t>
            </w:r>
          </w:p>
          <w:p w14:paraId="345921D9">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ascii="仿宋_GB2312" w:hAnsi="仿宋_GB2312" w:eastAsia="仿宋_GB2312" w:cs="仿宋_GB2312"/>
                <w:sz w:val="24"/>
                <w:szCs w:val="24"/>
              </w:rPr>
              <w:t>    威尼斯狂欢节                          日南曲</w:t>
            </w:r>
          </w:p>
          <w:p w14:paraId="32A7D0D4">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ascii="仿宋_GB2312" w:hAnsi="仿宋_GB2312" w:eastAsia="仿宋_GB2312" w:cs="仿宋_GB2312"/>
                <w:sz w:val="24"/>
                <w:szCs w:val="24"/>
              </w:rPr>
              <w:t>    第五奏鸣曲                              巴赫</w:t>
            </w:r>
          </w:p>
          <w:p w14:paraId="665FDF1E">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ascii="仿宋_GB2312" w:hAnsi="仿宋_GB2312" w:eastAsia="仿宋_GB2312" w:cs="仿宋_GB2312"/>
                <w:sz w:val="24"/>
                <w:szCs w:val="24"/>
              </w:rPr>
              <w:t>    C 大调第一长笛协奏曲                  莫扎特</w:t>
            </w:r>
          </w:p>
          <w:p w14:paraId="2FEC4D4D">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ascii="仿宋_GB2312" w:hAnsi="仿宋_GB2312" w:eastAsia="仿宋_GB2312" w:cs="仿宋_GB2312"/>
                <w:sz w:val="24"/>
                <w:szCs w:val="24"/>
              </w:rPr>
              <w:t>    a小调无伴奏奏鸣曲莫                  莫扎特</w:t>
            </w:r>
          </w:p>
          <w:p w14:paraId="0380D9C5">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ascii="仿宋_GB2312" w:hAnsi="仿宋_GB2312" w:eastAsia="仿宋_GB2312" w:cs="仿宋_GB2312"/>
                <w:sz w:val="24"/>
                <w:szCs w:val="24"/>
              </w:rPr>
              <w:t>    在内蒙古草原上                        戴宏威</w:t>
            </w:r>
          </w:p>
          <w:p w14:paraId="22E6C1FF">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ascii="仿宋_GB2312" w:hAnsi="仿宋_GB2312" w:eastAsia="仿宋_GB2312" w:cs="仿宋_GB2312"/>
                <w:sz w:val="24"/>
                <w:szCs w:val="24"/>
              </w:rPr>
              <w:t>    夕阳萧鼓                               谭密子</w:t>
            </w:r>
          </w:p>
          <w:p w14:paraId="116A5B2D">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p>
          <w:p w14:paraId="3C220830">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lang w:eastAsia="zh-Hans"/>
              </w:rPr>
              <w:t>学习目的</w:t>
            </w:r>
            <w:r>
              <w:rPr>
                <w:rFonts w:hint="eastAsia" w:ascii="仿宋_GB2312" w:hAnsi="仿宋_GB2312" w:eastAsia="仿宋_GB2312" w:cs="仿宋_GB2312"/>
                <w:sz w:val="24"/>
                <w:szCs w:val="24"/>
              </w:rPr>
              <w:t>：</w:t>
            </w:r>
            <w:r>
              <w:rPr>
                <w:rFonts w:ascii="仿宋_GB2312" w:hAnsi="仿宋_GB2312" w:eastAsia="仿宋_GB2312" w:cs="仿宋_GB2312"/>
                <w:sz w:val="24"/>
                <w:szCs w:val="24"/>
              </w:rPr>
              <w:t>通过训练，使学生的 演奏有耐力和音乐表现力。</w:t>
            </w:r>
          </w:p>
          <w:p w14:paraId="00491475">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lang w:eastAsia="zh-Hans"/>
              </w:rPr>
              <w:t>实训任务</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eastAsia="zh-Hans"/>
              </w:rPr>
              <w:t>练习曲</w:t>
            </w:r>
            <w:r>
              <w:rPr>
                <w:rFonts w:ascii="仿宋_GB2312" w:hAnsi="仿宋_GB2312" w:eastAsia="仿宋_GB2312" w:cs="仿宋_GB2312"/>
                <w:sz w:val="24"/>
                <w:szCs w:val="24"/>
                <w:lang w:eastAsia="zh-Hans"/>
              </w:rPr>
              <w:t>、</w:t>
            </w:r>
            <w:r>
              <w:rPr>
                <w:rFonts w:hint="eastAsia" w:ascii="仿宋_GB2312" w:hAnsi="仿宋_GB2312" w:eastAsia="仿宋_GB2312" w:cs="仿宋_GB2312"/>
                <w:sz w:val="24"/>
                <w:szCs w:val="24"/>
              </w:rPr>
              <w:t>曲目，能流畅、完整、较有表现力地</w:t>
            </w:r>
            <w:r>
              <w:rPr>
                <w:rFonts w:hint="eastAsia" w:ascii="仿宋_GB2312" w:hAnsi="仿宋_GB2312" w:eastAsia="仿宋_GB2312" w:cs="仿宋_GB2312"/>
                <w:sz w:val="24"/>
                <w:szCs w:val="24"/>
                <w:lang w:eastAsia="zh-Hans"/>
              </w:rPr>
              <w:t>演</w:t>
            </w:r>
            <w:r>
              <w:rPr>
                <w:rFonts w:hint="eastAsia" w:ascii="仿宋_GB2312" w:hAnsi="仿宋_GB2312" w:eastAsia="仿宋_GB2312" w:cs="仿宋_GB2312"/>
                <w:sz w:val="24"/>
                <w:szCs w:val="24"/>
              </w:rPr>
              <w:t>奏。</w:t>
            </w:r>
          </w:p>
          <w:p w14:paraId="53867624">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hint="eastAsia" w:ascii="仿宋_GB2312" w:hAnsi="仿宋_GB2312" w:eastAsia="仿宋_GB2312" w:cs="仿宋_GB2312"/>
                <w:sz w:val="24"/>
                <w:szCs w:val="24"/>
                <w:lang w:eastAsia="zh-Hans"/>
              </w:rPr>
              <w:t>第五章</w:t>
            </w:r>
            <w:r>
              <w:rPr>
                <w:rFonts w:ascii="仿宋_GB2312" w:hAnsi="仿宋_GB2312" w:eastAsia="仿宋_GB2312" w:cs="仿宋_GB2312"/>
                <w:sz w:val="24"/>
                <w:szCs w:val="24"/>
              </w:rPr>
              <w:t>：</w:t>
            </w:r>
            <w:r>
              <w:rPr>
                <w:rFonts w:hint="eastAsia" w:ascii="仿宋_GB2312" w:hAnsi="仿宋_GB2312" w:eastAsia="仿宋_GB2312" w:cs="仿宋_GB2312"/>
                <w:sz w:val="24"/>
                <w:szCs w:val="24"/>
                <w:lang w:eastAsia="zh-Hans"/>
              </w:rPr>
              <w:t>音阶</w:t>
            </w:r>
            <w:r>
              <w:rPr>
                <w:rFonts w:ascii="仿宋_GB2312" w:hAnsi="仿宋_GB2312" w:eastAsia="仿宋_GB2312" w:cs="仿宋_GB2312"/>
                <w:sz w:val="24"/>
                <w:szCs w:val="24"/>
              </w:rPr>
              <w:t xml:space="preserve">练习 </w:t>
            </w:r>
          </w:p>
          <w:p w14:paraId="41BE8D37">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ascii="仿宋_GB2312" w:hAnsi="仿宋_GB2312" w:eastAsia="仿宋_GB2312" w:cs="仿宋_GB2312"/>
                <w:sz w:val="24"/>
                <w:szCs w:val="24"/>
              </w:rPr>
              <w:t>    完成大小调音节及琶音等练习：〈〈高贝尔特音阶、半 音阶每日练习〉〉（每周一个调性）</w:t>
            </w:r>
          </w:p>
          <w:p w14:paraId="62F6BBEF">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ascii="仿宋_GB2312" w:hAnsi="仿宋_GB2312" w:eastAsia="仿宋_GB2312" w:cs="仿宋_GB2312"/>
                <w:sz w:val="24"/>
                <w:szCs w:val="24"/>
              </w:rPr>
              <w:t>练习曲：</w:t>
            </w:r>
          </w:p>
          <w:p w14:paraId="263DEE41">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ascii="仿宋_GB2312" w:hAnsi="仿宋_GB2312" w:eastAsia="仿宋_GB2312" w:cs="仿宋_GB2312"/>
                <w:sz w:val="24"/>
                <w:szCs w:val="24"/>
              </w:rPr>
              <w:t>    完成中、高级练习曲 5—10首</w:t>
            </w:r>
          </w:p>
          <w:p w14:paraId="3286A166">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ascii="仿宋_GB2312" w:hAnsi="仿宋_GB2312" w:eastAsia="仿宋_GB2312" w:cs="仿宋_GB2312"/>
                <w:sz w:val="24"/>
                <w:szCs w:val="24"/>
              </w:rPr>
              <w:t>   〈〈可科勒长笛练习曲8首〉〉OP。33（每周一首）</w:t>
            </w:r>
          </w:p>
          <w:p w14:paraId="7319EF88">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ascii="仿宋_GB2312" w:hAnsi="仿宋_GB2312" w:eastAsia="仿宋_GB2312" w:cs="仿宋_GB2312"/>
                <w:sz w:val="24"/>
                <w:szCs w:val="24"/>
              </w:rPr>
              <w:t>   〈〈莫伊斯长笛练习曲10首〉〉（每周一首）</w:t>
            </w:r>
          </w:p>
          <w:p w14:paraId="2D211E9E">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ascii="仿宋_GB2312" w:hAnsi="仿宋_GB2312" w:eastAsia="仿宋_GB2312" w:cs="仿宋_GB2312"/>
                <w:sz w:val="24"/>
                <w:szCs w:val="24"/>
              </w:rPr>
              <w:t>乐曲：</w:t>
            </w:r>
          </w:p>
          <w:p w14:paraId="03A368D1">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ascii="仿宋_GB2312" w:hAnsi="仿宋_GB2312" w:eastAsia="仿宋_GB2312" w:cs="仿宋_GB2312"/>
                <w:sz w:val="24"/>
                <w:szCs w:val="24"/>
              </w:rPr>
              <w:t>    完成外国乐曲1—2首；中国乐曲1—2首。</w:t>
            </w:r>
          </w:p>
          <w:p w14:paraId="27B077E1">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ascii="仿宋_GB2312" w:hAnsi="仿宋_GB2312" w:eastAsia="仿宋_GB2312" w:cs="仿宋_GB2312"/>
                <w:sz w:val="24"/>
                <w:szCs w:val="24"/>
              </w:rPr>
              <w:t xml:space="preserve">    </w:t>
            </w:r>
            <w:r>
              <w:rPr>
                <w:rFonts w:hint="eastAsia" w:ascii="仿宋_GB2312" w:hAnsi="仿宋_GB2312" w:eastAsia="仿宋_GB2312" w:cs="仿宋_GB2312"/>
                <w:sz w:val="24"/>
                <w:szCs w:val="24"/>
                <w:lang w:eastAsia="zh-Hans"/>
              </w:rPr>
              <w:t>匈牙利田园幻想曲</w:t>
            </w:r>
            <w:r>
              <w:rPr>
                <w:rFonts w:ascii="仿宋_GB2312" w:hAnsi="仿宋_GB2312" w:eastAsia="仿宋_GB2312" w:cs="仿宋_GB2312"/>
                <w:sz w:val="24"/>
                <w:szCs w:val="24"/>
              </w:rPr>
              <w:t xml:space="preserve">                              </w:t>
            </w:r>
          </w:p>
          <w:p w14:paraId="7C6370CE">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ascii="仿宋_GB2312" w:hAnsi="仿宋_GB2312" w:eastAsia="仿宋_GB2312" w:cs="仿宋_GB2312"/>
                <w:sz w:val="24"/>
                <w:szCs w:val="24"/>
              </w:rPr>
              <w:t>    大波兰舞曲                             波姆曲 </w:t>
            </w:r>
          </w:p>
          <w:p w14:paraId="34F020C6">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ascii="仿宋_GB2312" w:hAnsi="仿宋_GB2312" w:eastAsia="仿宋_GB2312" w:cs="仿宋_GB2312"/>
                <w:sz w:val="24"/>
                <w:szCs w:val="24"/>
              </w:rPr>
              <w:t>    卡门主题幻想曲与变奏曲              鲍尔纳曲</w:t>
            </w:r>
          </w:p>
          <w:p w14:paraId="60586CAF">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ascii="仿宋_GB2312" w:hAnsi="仿宋_GB2312" w:eastAsia="仿宋_GB2312" w:cs="仿宋_GB2312"/>
                <w:sz w:val="24"/>
                <w:szCs w:val="24"/>
              </w:rPr>
              <w:t>    G大调协奏曲                          莫扎特曲</w:t>
            </w:r>
          </w:p>
          <w:p w14:paraId="71529FE4">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ascii="仿宋_GB2312" w:hAnsi="仿宋_GB2312" w:eastAsia="仿宋_GB2312" w:cs="仿宋_GB2312"/>
                <w:sz w:val="24"/>
                <w:szCs w:val="24"/>
              </w:rPr>
              <w:t>    D大调协奏曲                          莫扎特曲</w:t>
            </w:r>
          </w:p>
          <w:p w14:paraId="7D2A208E">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ascii="仿宋_GB2312" w:hAnsi="仿宋_GB2312" w:eastAsia="仿宋_GB2312" w:cs="仿宋_GB2312"/>
                <w:sz w:val="24"/>
                <w:szCs w:val="24"/>
              </w:rPr>
              <w:t xml:space="preserve">    </w:t>
            </w:r>
            <w:r>
              <w:rPr>
                <w:rFonts w:hint="eastAsia" w:ascii="仿宋_GB2312" w:hAnsi="仿宋_GB2312" w:eastAsia="仿宋_GB2312" w:cs="仿宋_GB2312"/>
                <w:sz w:val="24"/>
                <w:szCs w:val="24"/>
                <w:lang w:eastAsia="zh-Hans"/>
              </w:rPr>
              <w:t>威尼斯</w:t>
            </w:r>
            <w:r>
              <w:rPr>
                <w:rFonts w:ascii="仿宋_GB2312" w:hAnsi="仿宋_GB2312" w:eastAsia="仿宋_GB2312" w:cs="仿宋_GB2312"/>
                <w:sz w:val="24"/>
                <w:szCs w:val="24"/>
              </w:rPr>
              <w:t>协奏曲                </w:t>
            </w:r>
            <w:r>
              <w:rPr>
                <w:rFonts w:hint="eastAsia" w:ascii="仿宋_GB2312" w:hAnsi="仿宋_GB2312" w:eastAsia="仿宋_GB2312" w:cs="仿宋_GB2312"/>
                <w:sz w:val="24"/>
                <w:szCs w:val="24"/>
                <w:lang w:val="en-US" w:eastAsia="zh-CN"/>
              </w:rPr>
              <w:t xml:space="preserve"> </w:t>
            </w:r>
            <w:r>
              <w:rPr>
                <w:rFonts w:ascii="仿宋_GB2312" w:hAnsi="仿宋_GB2312" w:eastAsia="仿宋_GB2312" w:cs="仿宋_GB2312"/>
                <w:sz w:val="24"/>
                <w:szCs w:val="24"/>
              </w:rPr>
              <w:t xml:space="preserve"> </w:t>
            </w:r>
            <w:r>
              <w:rPr>
                <w:rFonts w:hint="eastAsia" w:ascii="仿宋_GB2312" w:hAnsi="仿宋_GB2312" w:eastAsia="仿宋_GB2312" w:cs="仿宋_GB2312"/>
                <w:sz w:val="24"/>
                <w:szCs w:val="24"/>
                <w:lang w:val="en-US" w:eastAsia="zh-CN"/>
              </w:rPr>
              <w:t xml:space="preserve">   </w:t>
            </w:r>
            <w:r>
              <w:rPr>
                <w:rFonts w:ascii="仿宋_GB2312" w:hAnsi="仿宋_GB2312" w:eastAsia="仿宋_GB2312" w:cs="仿宋_GB2312"/>
                <w:sz w:val="24"/>
                <w:szCs w:val="24"/>
              </w:rPr>
              <w:t>德梅斯曼曲 </w:t>
            </w:r>
          </w:p>
          <w:p w14:paraId="78686A77">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ascii="仿宋_GB2312" w:hAnsi="仿宋_GB2312" w:eastAsia="仿宋_GB2312" w:cs="仿宋_GB2312"/>
                <w:sz w:val="24"/>
                <w:szCs w:val="24"/>
              </w:rPr>
              <w:t>   </w:t>
            </w:r>
            <w:r>
              <w:rPr>
                <w:rFonts w:hint="eastAsia" w:ascii="仿宋_GB2312" w:hAnsi="仿宋_GB2312" w:eastAsia="仿宋_GB2312" w:cs="仿宋_GB2312"/>
                <w:sz w:val="24"/>
                <w:szCs w:val="24"/>
                <w:lang w:eastAsia="zh-Hans"/>
              </w:rPr>
              <w:t>阳光灿烂照天山</w:t>
            </w:r>
            <w:r>
              <w:rPr>
                <w:rFonts w:ascii="仿宋_GB2312" w:hAnsi="仿宋_GB2312" w:eastAsia="仿宋_GB2312" w:cs="仿宋_GB2312"/>
                <w:sz w:val="24"/>
                <w:szCs w:val="24"/>
              </w:rPr>
              <w:t>                          虎威</w:t>
            </w:r>
          </w:p>
          <w:p w14:paraId="69FABDF1">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ascii="仿宋_GB2312" w:hAnsi="仿宋_GB2312" w:eastAsia="仿宋_GB2312" w:cs="仿宋_GB2312"/>
                <w:sz w:val="24"/>
                <w:szCs w:val="24"/>
              </w:rPr>
              <w:t>    长笛奏鸣曲                            普兰曲</w:t>
            </w:r>
          </w:p>
          <w:p w14:paraId="18E5BEB4">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ascii="仿宋_GB2312" w:hAnsi="仿宋_GB2312" w:eastAsia="仿宋_GB2312" w:cs="仿宋_GB2312"/>
                <w:sz w:val="24"/>
                <w:szCs w:val="24"/>
              </w:rPr>
              <w:t>    舞诗                                   黄安曲</w:t>
            </w:r>
          </w:p>
          <w:p w14:paraId="47038589">
            <w:pPr>
              <w:keepNext w:val="0"/>
              <w:keepLines w:val="0"/>
              <w:pageBreakBefore w:val="0"/>
              <w:kinsoku/>
              <w:wordWrap/>
              <w:overflowPunct/>
              <w:topLinePunct w:val="0"/>
              <w:autoSpaceDE/>
              <w:autoSpaceDN/>
              <w:bidi w:val="0"/>
              <w:adjustRightInd w:val="0"/>
              <w:snapToGrid w:val="0"/>
              <w:spacing w:line="360" w:lineRule="exact"/>
              <w:ind w:left="105" w:leftChars="50" w:firstLine="443"/>
              <w:jc w:val="left"/>
              <w:textAlignment w:val="auto"/>
              <w:rPr>
                <w:rFonts w:ascii="仿宋_GB2312" w:hAnsi="仿宋_GB2312" w:eastAsia="仿宋_GB2312" w:cs="仿宋_GB2312"/>
                <w:sz w:val="24"/>
                <w:szCs w:val="24"/>
              </w:rPr>
            </w:pPr>
            <w:r>
              <w:rPr>
                <w:rFonts w:ascii="仿宋_GB2312" w:hAnsi="仿宋_GB2312" w:eastAsia="仿宋_GB2312" w:cs="仿宋_GB2312"/>
                <w:sz w:val="24"/>
                <w:szCs w:val="24"/>
              </w:rPr>
              <w:t>大净           </w:t>
            </w:r>
            <w:r>
              <w:rPr>
                <w:rFonts w:hint="eastAsia" w:ascii="仿宋_GB2312" w:hAnsi="仿宋_GB2312" w:eastAsia="仿宋_GB2312" w:cs="仿宋_GB2312"/>
                <w:sz w:val="24"/>
                <w:szCs w:val="24"/>
                <w:lang w:val="en-US" w:eastAsia="zh-CN"/>
              </w:rPr>
              <w:t xml:space="preserve">                      </w:t>
            </w:r>
            <w:r>
              <w:rPr>
                <w:rFonts w:ascii="仿宋_GB2312" w:hAnsi="仿宋_GB2312" w:eastAsia="仿宋_GB2312" w:cs="仿宋_GB2312"/>
                <w:sz w:val="24"/>
                <w:szCs w:val="24"/>
              </w:rPr>
              <w:t>赵季平</w:t>
            </w:r>
          </w:p>
          <w:p w14:paraId="5E950719">
            <w:pPr>
              <w:keepNext w:val="0"/>
              <w:keepLines w:val="0"/>
              <w:pageBreakBefore w:val="0"/>
              <w:kinsoku/>
              <w:wordWrap/>
              <w:overflowPunct/>
              <w:topLinePunct w:val="0"/>
              <w:autoSpaceDE/>
              <w:autoSpaceDN/>
              <w:bidi w:val="0"/>
              <w:adjustRightInd w:val="0"/>
              <w:snapToGrid w:val="0"/>
              <w:spacing w:line="360" w:lineRule="exact"/>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lang w:eastAsia="zh-Hans"/>
              </w:rPr>
              <w:t>学习目的</w:t>
            </w:r>
            <w:r>
              <w:rPr>
                <w:rFonts w:hint="eastAsia" w:ascii="仿宋_GB2312" w:hAnsi="仿宋_GB2312" w:eastAsia="仿宋_GB2312" w:cs="仿宋_GB2312"/>
                <w:sz w:val="24"/>
                <w:szCs w:val="24"/>
              </w:rPr>
              <w:t>：</w:t>
            </w:r>
            <w:r>
              <w:rPr>
                <w:rFonts w:ascii="仿宋_GB2312" w:hAnsi="仿宋_GB2312" w:eastAsia="仿宋_GB2312" w:cs="仿宋_GB2312"/>
                <w:sz w:val="24"/>
                <w:szCs w:val="24"/>
              </w:rPr>
              <w:t>通过训练，使学生的演奏有艺术感染力。能演奏有较高难度的：风格各</w:t>
            </w:r>
            <w:r>
              <w:rPr>
                <w:rFonts w:hint="eastAsia" w:ascii="仿宋_GB2312" w:hAnsi="仿宋_GB2312" w:eastAsia="仿宋_GB2312" w:cs="仿宋_GB2312"/>
                <w:sz w:val="24"/>
                <w:szCs w:val="24"/>
                <w:lang w:eastAsia="zh-Hans"/>
              </w:rPr>
              <w:t>异</w:t>
            </w:r>
            <w:r>
              <w:rPr>
                <w:rFonts w:ascii="仿宋_GB2312" w:hAnsi="仿宋_GB2312" w:eastAsia="仿宋_GB2312" w:cs="仿宋_GB2312"/>
                <w:sz w:val="24"/>
                <w:szCs w:val="24"/>
              </w:rPr>
              <w:t>的作品。</w:t>
            </w:r>
          </w:p>
          <w:p w14:paraId="284A16C2">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Hans"/>
              </w:rPr>
              <w:t>实训任务</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eastAsia="zh-Hans"/>
              </w:rPr>
              <w:t>练习曲</w:t>
            </w:r>
            <w:r>
              <w:rPr>
                <w:rFonts w:ascii="仿宋_GB2312" w:hAnsi="仿宋_GB2312" w:eastAsia="仿宋_GB2312" w:cs="仿宋_GB2312"/>
                <w:sz w:val="24"/>
                <w:szCs w:val="24"/>
                <w:lang w:eastAsia="zh-Hans"/>
              </w:rPr>
              <w:t>、</w:t>
            </w:r>
            <w:r>
              <w:rPr>
                <w:rFonts w:hint="eastAsia" w:ascii="仿宋_GB2312" w:hAnsi="仿宋_GB2312" w:eastAsia="仿宋_GB2312" w:cs="仿宋_GB2312"/>
                <w:sz w:val="24"/>
                <w:szCs w:val="24"/>
              </w:rPr>
              <w:t>曲目，能流畅、完整、较有表现力地</w:t>
            </w:r>
            <w:r>
              <w:rPr>
                <w:rFonts w:hint="eastAsia" w:ascii="仿宋_GB2312" w:hAnsi="仿宋_GB2312" w:eastAsia="仿宋_GB2312" w:cs="仿宋_GB2312"/>
                <w:sz w:val="24"/>
                <w:szCs w:val="24"/>
                <w:lang w:eastAsia="zh-Hans"/>
              </w:rPr>
              <w:t>演</w:t>
            </w:r>
            <w:r>
              <w:rPr>
                <w:rFonts w:hint="eastAsia" w:ascii="仿宋_GB2312" w:hAnsi="仿宋_GB2312" w:eastAsia="仿宋_GB2312" w:cs="仿宋_GB2312"/>
                <w:sz w:val="24"/>
                <w:szCs w:val="24"/>
              </w:rPr>
              <w:t>奏</w:t>
            </w:r>
            <w:r>
              <w:rPr>
                <w:rFonts w:hint="eastAsia" w:ascii="仿宋_GB2312" w:hAnsi="仿宋_GB2312" w:eastAsia="仿宋_GB2312" w:cs="仿宋_GB2312"/>
                <w:sz w:val="24"/>
                <w:szCs w:val="24"/>
                <w:lang w:eastAsia="zh-CN"/>
              </w:rPr>
              <w:t>。</w:t>
            </w:r>
          </w:p>
        </w:tc>
        <w:tc>
          <w:tcPr>
            <w:tcW w:w="1132" w:type="dxa"/>
            <w:gridSpan w:val="5"/>
            <w:shd w:val="clear" w:color="auto" w:fill="auto"/>
            <w:noWrap w:val="0"/>
            <w:vAlign w:val="center"/>
          </w:tcPr>
          <w:p w14:paraId="3B8AEB01">
            <w:pPr>
              <w:adjustRightInd w:val="0"/>
              <w:snapToGrid w:val="0"/>
              <w:jc w:val="center"/>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支撑课程目标1、2、3</w:t>
            </w:r>
          </w:p>
          <w:p w14:paraId="4893C4F8">
            <w:pPr>
              <w:adjustRightInd w:val="0"/>
              <w:snapToGrid w:val="0"/>
              <w:jc w:val="center"/>
              <w:rPr>
                <w:rFonts w:ascii="仿宋_GB2312" w:hAnsi="仿宋_GB2312" w:eastAsia="仿宋_GB2312" w:cs="仿宋_GB2312"/>
                <w:bCs/>
                <w:color w:val="000000"/>
                <w:sz w:val="24"/>
                <w:szCs w:val="24"/>
              </w:rPr>
            </w:pPr>
          </w:p>
          <w:p w14:paraId="0ECCA1B3">
            <w:pPr>
              <w:adjustRightInd w:val="0"/>
              <w:snapToGrid w:val="0"/>
              <w:jc w:val="center"/>
              <w:rPr>
                <w:rFonts w:ascii="仿宋_GB2312" w:hAnsi="仿宋_GB2312" w:eastAsia="仿宋_GB2312" w:cs="仿宋_GB2312"/>
                <w:bCs/>
                <w:color w:val="000000"/>
                <w:sz w:val="24"/>
                <w:szCs w:val="24"/>
              </w:rPr>
            </w:pPr>
          </w:p>
          <w:p w14:paraId="54C17448">
            <w:pPr>
              <w:adjustRightInd w:val="0"/>
              <w:snapToGrid w:val="0"/>
              <w:jc w:val="center"/>
              <w:rPr>
                <w:rFonts w:ascii="仿宋_GB2312" w:hAnsi="仿宋_GB2312" w:eastAsia="仿宋_GB2312" w:cs="仿宋_GB2312"/>
                <w:bCs/>
                <w:color w:val="000000"/>
                <w:sz w:val="24"/>
                <w:szCs w:val="24"/>
              </w:rPr>
            </w:pPr>
          </w:p>
          <w:p w14:paraId="0E300B86">
            <w:pPr>
              <w:adjustRightInd w:val="0"/>
              <w:snapToGrid w:val="0"/>
              <w:jc w:val="center"/>
              <w:rPr>
                <w:rFonts w:ascii="仿宋_GB2312" w:hAnsi="仿宋_GB2312" w:eastAsia="仿宋_GB2312" w:cs="仿宋_GB2312"/>
                <w:bCs/>
                <w:color w:val="000000"/>
                <w:sz w:val="24"/>
                <w:szCs w:val="24"/>
              </w:rPr>
            </w:pPr>
          </w:p>
          <w:p w14:paraId="2487E3D6">
            <w:pPr>
              <w:adjustRightInd w:val="0"/>
              <w:snapToGrid w:val="0"/>
              <w:jc w:val="center"/>
              <w:rPr>
                <w:rFonts w:ascii="仿宋_GB2312" w:hAnsi="仿宋_GB2312" w:eastAsia="仿宋_GB2312" w:cs="仿宋_GB2312"/>
                <w:bCs/>
                <w:color w:val="000000"/>
                <w:sz w:val="24"/>
                <w:szCs w:val="24"/>
              </w:rPr>
            </w:pPr>
          </w:p>
          <w:p w14:paraId="12164B83">
            <w:pPr>
              <w:adjustRightInd w:val="0"/>
              <w:snapToGrid w:val="0"/>
              <w:jc w:val="center"/>
              <w:rPr>
                <w:rFonts w:ascii="仿宋_GB2312" w:hAnsi="仿宋_GB2312" w:eastAsia="仿宋_GB2312" w:cs="仿宋_GB2312"/>
                <w:bCs/>
                <w:color w:val="000000"/>
                <w:sz w:val="24"/>
                <w:szCs w:val="24"/>
              </w:rPr>
            </w:pPr>
          </w:p>
          <w:p w14:paraId="1C3D740F">
            <w:pPr>
              <w:adjustRightInd w:val="0"/>
              <w:snapToGrid w:val="0"/>
              <w:jc w:val="center"/>
              <w:rPr>
                <w:rFonts w:ascii="仿宋_GB2312" w:hAnsi="仿宋_GB2312" w:eastAsia="仿宋_GB2312" w:cs="仿宋_GB2312"/>
                <w:bCs/>
                <w:color w:val="000000"/>
                <w:sz w:val="24"/>
                <w:szCs w:val="24"/>
              </w:rPr>
            </w:pPr>
          </w:p>
        </w:tc>
        <w:tc>
          <w:tcPr>
            <w:tcW w:w="876" w:type="dxa"/>
            <w:shd w:val="clear" w:color="auto" w:fill="FFFFFF"/>
            <w:noWrap w:val="0"/>
            <w:vAlign w:val="center"/>
          </w:tcPr>
          <w:p w14:paraId="0BA0572D">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48</w:t>
            </w:r>
          </w:p>
        </w:tc>
      </w:tr>
      <w:tr w14:paraId="4A616583">
        <w:trPr>
          <w:trHeight w:val="454" w:hRule="atLeast"/>
        </w:trPr>
        <w:tc>
          <w:tcPr>
            <w:tcW w:w="1284" w:type="dxa"/>
            <w:vMerge w:val="continue"/>
            <w:shd w:val="clear" w:color="auto" w:fill="FFFFFF"/>
            <w:noWrap w:val="0"/>
            <w:vAlign w:val="center"/>
          </w:tcPr>
          <w:p w14:paraId="1F62C045">
            <w:pPr>
              <w:adjustRightInd w:val="0"/>
              <w:snapToGrid w:val="0"/>
              <w:jc w:val="center"/>
              <w:rPr>
                <w:rFonts w:ascii="仿宋_GB2312" w:hAnsi="仿宋_GB2312" w:eastAsia="仿宋_GB2312" w:cs="仿宋_GB2312"/>
                <w:color w:val="000000"/>
                <w:sz w:val="24"/>
                <w:szCs w:val="24"/>
              </w:rPr>
            </w:pPr>
          </w:p>
        </w:tc>
        <w:tc>
          <w:tcPr>
            <w:tcW w:w="5856" w:type="dxa"/>
            <w:gridSpan w:val="10"/>
            <w:shd w:val="clear" w:color="auto" w:fill="auto"/>
            <w:noWrap w:val="0"/>
            <w:vAlign w:val="center"/>
          </w:tcPr>
          <w:p w14:paraId="78DBAB2C">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竹笛：</w:t>
            </w:r>
          </w:p>
          <w:p w14:paraId="328B2619">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hint="eastAsia" w:ascii="仿宋_GB2312" w:hAnsi="仿宋_GB2312" w:eastAsia="仿宋_GB2312" w:cs="仿宋_GB2312"/>
                <w:sz w:val="24"/>
                <w:szCs w:val="24"/>
                <w:lang w:eastAsia="zh-Hans"/>
              </w:rPr>
              <w:t>气息、手指、双吐强化训练十至二十三，五声音阶快速训练，独奏曲《脚踏水车唱山歌》</w:t>
            </w:r>
          </w:p>
          <w:p w14:paraId="5A0F647D">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lang w:eastAsia="zh-Hans"/>
              </w:rPr>
              <w:t>历音、花舌、剁音练习，独奏曲《扬鞭催马运粮忙》</w:t>
            </w:r>
          </w:p>
          <w:p w14:paraId="6FD5392D">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lang w:eastAsia="zh-Hans"/>
              </w:rPr>
              <w:t>快速颤音练习、全按作1音阶与八度练习，独奏曲《列车奔向北京</w:t>
            </w:r>
            <w:r>
              <w:rPr>
                <w:rFonts w:hint="eastAsia" w:ascii="仿宋_GB2312" w:hAnsi="仿宋_GB2312" w:eastAsia="仿宋_GB2312" w:cs="仿宋_GB2312"/>
                <w:sz w:val="24"/>
                <w:szCs w:val="24"/>
              </w:rPr>
              <w:t>》</w:t>
            </w:r>
          </w:p>
          <w:p w14:paraId="2439D21C">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lang w:eastAsia="zh-Hans"/>
              </w:rPr>
              <w:t>全按作2快速连音练习，独奏曲《春满水乡》</w:t>
            </w:r>
          </w:p>
          <w:p w14:paraId="40925F64">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lang w:eastAsia="zh-Hans"/>
              </w:rPr>
              <w:t>全按作1连音与顿音练习，独奏曲《喜相逢》</w:t>
            </w:r>
          </w:p>
          <w:p w14:paraId="1DAE4611">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lang w:eastAsia="zh-Hans"/>
              </w:rPr>
              <w:t>双吐练习54，独奏曲《沂河欢歌》</w:t>
            </w:r>
          </w:p>
          <w:p w14:paraId="7670762C">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lang w:eastAsia="zh-Hans"/>
              </w:rPr>
              <w:t>全按作6音阶练习曲，独奏曲《乡歌》</w:t>
            </w:r>
          </w:p>
          <w:p w14:paraId="580D12FA">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lang w:eastAsia="zh-Hans"/>
              </w:rPr>
              <w:t>滑音高级练习63，独奏曲《牧民新歌》</w:t>
            </w:r>
          </w:p>
          <w:p w14:paraId="3F25C7BF">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lang w:eastAsia="zh-Hans"/>
              </w:rPr>
              <w:t>双吐练习66，独奏曲《春到湘江》</w:t>
            </w:r>
          </w:p>
          <w:p w14:paraId="5FF496FB">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lang w:eastAsia="zh-Hans"/>
              </w:rPr>
              <w:t>灵巧的吐音，独奏曲《枣园春色》</w:t>
            </w:r>
          </w:p>
          <w:p w14:paraId="2495AD62">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lang w:eastAsia="zh-Hans"/>
              </w:rPr>
              <w:t>二重奏练习，独奏曲《沙场》</w:t>
            </w:r>
          </w:p>
          <w:p w14:paraId="2B71A17D">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hint="eastAsia" w:ascii="仿宋_GB2312" w:hAnsi="仿宋_GB2312" w:eastAsia="仿宋_GB2312" w:cs="仿宋_GB2312"/>
                <w:sz w:val="24"/>
                <w:szCs w:val="24"/>
                <w:lang w:eastAsia="zh-Hans"/>
              </w:rPr>
              <w:t>全按作3音阶练习，独奏曲《山村迎亲人》</w:t>
            </w:r>
          </w:p>
          <w:p w14:paraId="206D87B5">
            <w:pPr>
              <w:keepNext w:val="0"/>
              <w:keepLines w:val="0"/>
              <w:pageBreakBefore w:val="0"/>
              <w:widowControl/>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bCs/>
                <w:color w:val="000000"/>
                <w:sz w:val="24"/>
                <w:szCs w:val="24"/>
              </w:rPr>
            </w:pPr>
            <w:r>
              <w:rPr>
                <w:rFonts w:hint="eastAsia" w:ascii="仿宋" w:hAnsi="仿宋" w:eastAsia="仿宋" w:cs="仿宋"/>
                <w:bCs/>
                <w:color w:val="000000"/>
                <w:sz w:val="24"/>
                <w:szCs w:val="24"/>
              </w:rPr>
              <w:t>实训目的：</w:t>
            </w:r>
            <w:r>
              <w:rPr>
                <w:rFonts w:hint="eastAsia" w:ascii="仿宋_GB2312" w:hAnsi="仿宋_GB2312" w:eastAsia="仿宋_GB2312" w:cs="仿宋_GB2312"/>
                <w:sz w:val="24"/>
                <w:szCs w:val="24"/>
              </w:rPr>
              <w:t>掌握</w:t>
            </w:r>
            <w:r>
              <w:rPr>
                <w:rFonts w:hint="eastAsia" w:ascii="仿宋_GB2312" w:hAnsi="仿宋_GB2312" w:eastAsia="仿宋_GB2312" w:cs="仿宋_GB2312"/>
                <w:sz w:val="24"/>
                <w:szCs w:val="24"/>
                <w:lang w:eastAsia="zh-Hans"/>
              </w:rPr>
              <w:t>竹笛</w:t>
            </w:r>
            <w:r>
              <w:rPr>
                <w:rFonts w:hint="eastAsia" w:ascii="仿宋_GB2312" w:hAnsi="仿宋_GB2312" w:eastAsia="仿宋_GB2312" w:cs="仿宋_GB2312"/>
                <w:sz w:val="24"/>
                <w:szCs w:val="24"/>
              </w:rPr>
              <w:t>演奏技能</w:t>
            </w:r>
            <w:r>
              <w:rPr>
                <w:rFonts w:hint="eastAsia" w:ascii="仿宋_GB2312" w:hAnsi="仿宋_GB2312" w:eastAsia="仿宋_GB2312" w:cs="仿宋_GB2312"/>
                <w:sz w:val="24"/>
                <w:szCs w:val="24"/>
                <w:lang w:eastAsia="zh-Hans"/>
              </w:rPr>
              <w:t>技巧</w:t>
            </w:r>
            <w:r>
              <w:rPr>
                <w:rFonts w:hint="eastAsia" w:ascii="仿宋_GB2312" w:hAnsi="仿宋_GB2312" w:eastAsia="仿宋_GB2312" w:cs="仿宋_GB2312"/>
                <w:sz w:val="24"/>
                <w:szCs w:val="24"/>
              </w:rPr>
              <w:t>。</w:t>
            </w:r>
          </w:p>
          <w:p w14:paraId="683FA127">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 w:hAnsi="仿宋" w:eastAsia="仿宋" w:cs="仿宋"/>
                <w:bCs/>
                <w:color w:val="000000"/>
                <w:sz w:val="24"/>
                <w:szCs w:val="24"/>
              </w:rPr>
              <w:t>实训任务：</w:t>
            </w:r>
            <w:r>
              <w:rPr>
                <w:rFonts w:hint="eastAsia" w:ascii="仿宋" w:hAnsi="仿宋" w:eastAsia="仿宋" w:cs="仿宋"/>
                <w:bCs/>
                <w:color w:val="000000"/>
                <w:sz w:val="24"/>
                <w:szCs w:val="24"/>
                <w:lang w:eastAsia="zh-Hans"/>
              </w:rPr>
              <w:t>进行</w:t>
            </w:r>
            <w:r>
              <w:rPr>
                <w:rFonts w:hint="eastAsia" w:ascii="仿宋_GB2312" w:hAnsi="仿宋_GB2312" w:eastAsia="仿宋_GB2312" w:cs="仿宋_GB2312"/>
                <w:sz w:val="24"/>
                <w:szCs w:val="24"/>
              </w:rPr>
              <w:t>曲式结构、风格特点、演奏技法</w:t>
            </w:r>
            <w:r>
              <w:rPr>
                <w:rFonts w:hint="eastAsia" w:ascii="仿宋_GB2312" w:hAnsi="仿宋_GB2312" w:eastAsia="仿宋_GB2312" w:cs="仿宋_GB2312"/>
                <w:sz w:val="24"/>
                <w:szCs w:val="24"/>
                <w:lang w:eastAsia="zh-Hans"/>
              </w:rPr>
              <w:t>的分析</w:t>
            </w:r>
            <w:r>
              <w:rPr>
                <w:rFonts w:hint="eastAsia" w:ascii="仿宋_GB2312" w:hAnsi="仿宋_GB2312" w:eastAsia="仿宋_GB2312" w:cs="仿宋_GB2312"/>
                <w:sz w:val="24"/>
                <w:szCs w:val="24"/>
              </w:rPr>
              <w:t>。</w:t>
            </w:r>
          </w:p>
          <w:p w14:paraId="7D85D9E5">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lang w:eastAsia="zh-Hans"/>
              </w:rPr>
              <w:t>在曲目中对</w:t>
            </w:r>
            <w:r>
              <w:rPr>
                <w:rFonts w:hint="eastAsia" w:ascii="仿宋_GB2312" w:hAnsi="仿宋_GB2312" w:eastAsia="仿宋_GB2312" w:cs="仿宋_GB2312"/>
                <w:sz w:val="24"/>
                <w:szCs w:val="24"/>
              </w:rPr>
              <w:t>技能技巧进行综合运用。</w:t>
            </w:r>
          </w:p>
        </w:tc>
        <w:tc>
          <w:tcPr>
            <w:tcW w:w="1132" w:type="dxa"/>
            <w:gridSpan w:val="5"/>
            <w:shd w:val="clear" w:color="auto" w:fill="auto"/>
            <w:noWrap w:val="0"/>
            <w:vAlign w:val="center"/>
          </w:tcPr>
          <w:p w14:paraId="1BEA72DD">
            <w:pPr>
              <w:adjustRightInd w:val="0"/>
              <w:snapToGrid w:val="0"/>
              <w:jc w:val="center"/>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支撑课程目标1、2、3</w:t>
            </w:r>
          </w:p>
          <w:p w14:paraId="5F24ECAC">
            <w:pPr>
              <w:adjustRightInd w:val="0"/>
              <w:snapToGrid w:val="0"/>
              <w:jc w:val="center"/>
              <w:rPr>
                <w:rFonts w:ascii="仿宋_GB2312" w:hAnsi="仿宋_GB2312" w:eastAsia="仿宋_GB2312" w:cs="仿宋_GB2312"/>
                <w:bCs/>
                <w:sz w:val="24"/>
                <w:szCs w:val="24"/>
              </w:rPr>
            </w:pPr>
          </w:p>
          <w:p w14:paraId="5422988C">
            <w:pPr>
              <w:adjustRightInd w:val="0"/>
              <w:snapToGrid w:val="0"/>
              <w:jc w:val="center"/>
              <w:rPr>
                <w:rFonts w:ascii="仿宋_GB2312" w:hAnsi="仿宋_GB2312" w:eastAsia="仿宋_GB2312" w:cs="仿宋_GB2312"/>
                <w:bCs/>
                <w:sz w:val="24"/>
                <w:szCs w:val="24"/>
              </w:rPr>
            </w:pPr>
          </w:p>
          <w:p w14:paraId="10A00176">
            <w:pPr>
              <w:adjustRightInd w:val="0"/>
              <w:snapToGrid w:val="0"/>
              <w:jc w:val="center"/>
              <w:rPr>
                <w:rFonts w:ascii="仿宋_GB2312" w:hAnsi="仿宋_GB2312" w:eastAsia="仿宋_GB2312" w:cs="仿宋_GB2312"/>
                <w:bCs/>
                <w:sz w:val="24"/>
                <w:szCs w:val="24"/>
              </w:rPr>
            </w:pPr>
          </w:p>
        </w:tc>
        <w:tc>
          <w:tcPr>
            <w:tcW w:w="876" w:type="dxa"/>
            <w:shd w:val="clear" w:color="auto" w:fill="FFFFFF"/>
            <w:noWrap w:val="0"/>
            <w:vAlign w:val="center"/>
          </w:tcPr>
          <w:p w14:paraId="5692CA8E">
            <w:pPr>
              <w:adjustRightInd w:val="0"/>
              <w:snapToGrid w:val="0"/>
              <w:jc w:val="center"/>
              <w:rPr>
                <w:rFonts w:ascii="仿宋_GB2312" w:hAnsi="仿宋_GB2312" w:eastAsia="仿宋_GB2312" w:cs="仿宋_GB2312"/>
                <w:bCs/>
                <w:sz w:val="24"/>
                <w:szCs w:val="24"/>
              </w:rPr>
            </w:pPr>
            <w:r>
              <w:rPr>
                <w:rFonts w:hint="eastAsia" w:ascii="仿宋_GB2312" w:hAnsi="仿宋_GB2312" w:eastAsia="仿宋_GB2312" w:cs="仿宋_GB2312"/>
                <w:bCs/>
                <w:sz w:val="24"/>
                <w:szCs w:val="24"/>
              </w:rPr>
              <w:t>48</w:t>
            </w:r>
          </w:p>
        </w:tc>
      </w:tr>
      <w:tr w14:paraId="54CC7A6A">
        <w:trPr>
          <w:trHeight w:val="454" w:hRule="atLeast"/>
        </w:trPr>
        <w:tc>
          <w:tcPr>
            <w:tcW w:w="1284" w:type="dxa"/>
            <w:vMerge w:val="continue"/>
            <w:shd w:val="clear" w:color="auto" w:fill="FFFFFF"/>
            <w:noWrap w:val="0"/>
            <w:vAlign w:val="center"/>
          </w:tcPr>
          <w:p w14:paraId="5E1D5EC8">
            <w:pPr>
              <w:adjustRightInd w:val="0"/>
              <w:snapToGrid w:val="0"/>
              <w:jc w:val="center"/>
              <w:rPr>
                <w:rFonts w:ascii="仿宋_GB2312" w:hAnsi="仿宋_GB2312" w:eastAsia="仿宋_GB2312" w:cs="仿宋_GB2312"/>
                <w:color w:val="000000"/>
                <w:sz w:val="24"/>
                <w:szCs w:val="24"/>
              </w:rPr>
            </w:pPr>
          </w:p>
        </w:tc>
        <w:tc>
          <w:tcPr>
            <w:tcW w:w="5856" w:type="dxa"/>
            <w:gridSpan w:val="10"/>
            <w:shd w:val="clear" w:color="auto" w:fill="auto"/>
            <w:noWrap w:val="0"/>
            <w:vAlign w:val="center"/>
          </w:tcPr>
          <w:p w14:paraId="7555358E">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架子鼓：</w:t>
            </w:r>
          </w:p>
          <w:p w14:paraId="0C436B93">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color w:val="000000"/>
                <w:kern w:val="0"/>
                <w:sz w:val="24"/>
                <w:szCs w:val="24"/>
                <w:shd w:val="clear" w:color="auto" w:fill="FFFFFF"/>
              </w:rPr>
            </w:pPr>
            <w:r>
              <w:rPr>
                <w:rFonts w:hint="eastAsia" w:ascii="仿宋_GB2312" w:hAnsi="仿宋_GB2312" w:eastAsia="仿宋_GB2312" w:cs="仿宋_GB2312"/>
                <w:color w:val="000000"/>
                <w:kern w:val="0"/>
                <w:sz w:val="24"/>
                <w:szCs w:val="24"/>
                <w:shd w:val="clear" w:color="auto" w:fill="FFFFFF"/>
              </w:rPr>
              <w:t>架子鼓</w:t>
            </w:r>
            <w:r>
              <w:rPr>
                <w:rFonts w:hint="eastAsia" w:ascii="仿宋_GB2312" w:hAnsi="仿宋_GB2312" w:eastAsia="仿宋_GB2312" w:cs="仿宋_GB2312"/>
                <w:color w:val="000000"/>
                <w:kern w:val="0"/>
                <w:sz w:val="24"/>
                <w:szCs w:val="24"/>
                <w:shd w:val="clear" w:color="auto" w:fill="FFFFFF"/>
                <w:lang w:eastAsia="zh-Hans"/>
              </w:rPr>
              <w:t>双击打</w:t>
            </w:r>
            <w:r>
              <w:rPr>
                <w:rFonts w:hint="eastAsia" w:ascii="仿宋_GB2312" w:hAnsi="仿宋_GB2312" w:eastAsia="仿宋_GB2312" w:cs="仿宋_GB2312"/>
                <w:color w:val="000000"/>
                <w:kern w:val="0"/>
                <w:sz w:val="24"/>
                <w:szCs w:val="24"/>
                <w:shd w:val="clear" w:color="auto" w:fill="FFFFFF"/>
              </w:rPr>
              <w:t>的练习 (提高)</w:t>
            </w:r>
          </w:p>
          <w:p w14:paraId="540768E3">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color w:val="000000"/>
                <w:kern w:val="0"/>
                <w:sz w:val="24"/>
                <w:szCs w:val="24"/>
                <w:shd w:val="clear" w:color="auto" w:fill="FFFFFF"/>
              </w:rPr>
            </w:pPr>
            <w:r>
              <w:rPr>
                <w:rFonts w:hint="eastAsia" w:ascii="仿宋_GB2312" w:hAnsi="仿宋_GB2312" w:eastAsia="仿宋_GB2312" w:cs="仿宋_GB2312"/>
                <w:color w:val="000000"/>
                <w:kern w:val="0"/>
                <w:sz w:val="24"/>
                <w:szCs w:val="24"/>
                <w:shd w:val="clear" w:color="auto" w:fill="FFFFFF"/>
              </w:rPr>
              <w:t>架子鼓的</w:t>
            </w:r>
            <w:r>
              <w:rPr>
                <w:rFonts w:hint="eastAsia" w:ascii="仿宋_GB2312" w:hAnsi="仿宋_GB2312" w:eastAsia="仿宋_GB2312" w:cs="仿宋_GB2312"/>
                <w:color w:val="000000"/>
                <w:kern w:val="0"/>
                <w:sz w:val="24"/>
                <w:szCs w:val="24"/>
                <w:shd w:val="clear" w:color="auto" w:fill="FFFFFF"/>
                <w:lang w:eastAsia="zh-Hans"/>
              </w:rPr>
              <w:t>高难度节奏型</w:t>
            </w:r>
            <w:r>
              <w:rPr>
                <w:rFonts w:hint="eastAsia" w:ascii="仿宋_GB2312" w:hAnsi="仿宋_GB2312" w:eastAsia="仿宋_GB2312" w:cs="仿宋_GB2312"/>
                <w:color w:val="000000"/>
                <w:kern w:val="0"/>
                <w:sz w:val="24"/>
                <w:szCs w:val="24"/>
                <w:shd w:val="clear" w:color="auto" w:fill="FFFFFF"/>
              </w:rPr>
              <w:t>训练（提高）</w:t>
            </w:r>
          </w:p>
          <w:p w14:paraId="684031FE">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color w:val="000000"/>
                <w:kern w:val="0"/>
                <w:sz w:val="24"/>
                <w:szCs w:val="24"/>
                <w:shd w:val="clear" w:color="auto" w:fill="FFFFFF"/>
              </w:rPr>
            </w:pPr>
            <w:r>
              <w:rPr>
                <w:rFonts w:hint="eastAsia" w:ascii="仿宋_GB2312" w:hAnsi="仿宋_GB2312" w:eastAsia="仿宋_GB2312" w:cs="仿宋_GB2312"/>
                <w:color w:val="000000"/>
                <w:kern w:val="0"/>
                <w:sz w:val="24"/>
                <w:szCs w:val="24"/>
                <w:shd w:val="clear" w:color="auto" w:fill="FFFFFF"/>
              </w:rPr>
              <w:t>架子鼓的</w:t>
            </w:r>
            <w:r>
              <w:rPr>
                <w:rFonts w:hint="eastAsia" w:ascii="仿宋_GB2312" w:hAnsi="仿宋_GB2312" w:eastAsia="仿宋_GB2312" w:cs="仿宋_GB2312"/>
                <w:color w:val="000000"/>
                <w:kern w:val="0"/>
                <w:sz w:val="24"/>
                <w:szCs w:val="24"/>
                <w:shd w:val="clear" w:color="auto" w:fill="FFFFFF"/>
                <w:lang w:eastAsia="zh-Hans"/>
              </w:rPr>
              <w:t>练习曲</w:t>
            </w:r>
            <w:r>
              <w:rPr>
                <w:rFonts w:hint="eastAsia" w:ascii="仿宋_GB2312" w:hAnsi="仿宋_GB2312" w:eastAsia="仿宋_GB2312" w:cs="仿宋_GB2312"/>
                <w:color w:val="000000"/>
                <w:kern w:val="0"/>
                <w:sz w:val="24"/>
                <w:szCs w:val="24"/>
                <w:shd w:val="clear" w:color="auto" w:fill="FFFFFF"/>
              </w:rPr>
              <w:t>提高）</w:t>
            </w:r>
          </w:p>
          <w:p w14:paraId="4B107C9E">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color w:val="000000"/>
                <w:kern w:val="0"/>
                <w:sz w:val="24"/>
                <w:szCs w:val="24"/>
                <w:shd w:val="clear" w:color="auto" w:fill="FFFFFF"/>
              </w:rPr>
            </w:pPr>
            <w:r>
              <w:rPr>
                <w:rFonts w:hint="eastAsia" w:ascii="仿宋_GB2312" w:hAnsi="仿宋_GB2312" w:eastAsia="仿宋_GB2312" w:cs="仿宋_GB2312"/>
                <w:color w:val="000000"/>
                <w:kern w:val="0"/>
                <w:sz w:val="24"/>
                <w:szCs w:val="24"/>
                <w:shd w:val="clear" w:color="auto" w:fill="FFFFFF"/>
              </w:rPr>
              <w:t>架子鼓与歌曲及乐队的配合</w:t>
            </w:r>
          </w:p>
          <w:p w14:paraId="7A4E8358">
            <w:pPr>
              <w:keepNext w:val="0"/>
              <w:keepLines w:val="0"/>
              <w:pageBreakBefore w:val="0"/>
              <w:widowControl/>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bCs/>
                <w:color w:val="000000"/>
                <w:sz w:val="24"/>
                <w:szCs w:val="24"/>
              </w:rPr>
            </w:pPr>
            <w:r>
              <w:rPr>
                <w:rFonts w:hint="eastAsia" w:ascii="仿宋" w:hAnsi="仿宋" w:eastAsia="仿宋" w:cs="仿宋"/>
                <w:bCs/>
                <w:color w:val="000000"/>
                <w:sz w:val="24"/>
                <w:szCs w:val="24"/>
              </w:rPr>
              <w:t>实训目的：</w:t>
            </w:r>
            <w:r>
              <w:rPr>
                <w:rFonts w:hint="eastAsia" w:ascii="仿宋_GB2312" w:hAnsi="仿宋_GB2312" w:eastAsia="仿宋_GB2312" w:cs="仿宋_GB2312"/>
                <w:sz w:val="24"/>
                <w:szCs w:val="24"/>
              </w:rPr>
              <w:t>掌握</w:t>
            </w:r>
            <w:r>
              <w:rPr>
                <w:rFonts w:hint="eastAsia" w:ascii="仿宋_GB2312" w:hAnsi="仿宋_GB2312" w:eastAsia="仿宋_GB2312" w:cs="仿宋_GB2312"/>
                <w:sz w:val="24"/>
                <w:szCs w:val="24"/>
                <w:lang w:eastAsia="zh-Hans"/>
              </w:rPr>
              <w:t>架子鼓</w:t>
            </w:r>
            <w:r>
              <w:rPr>
                <w:rFonts w:hint="eastAsia" w:ascii="仿宋_GB2312" w:hAnsi="仿宋_GB2312" w:eastAsia="仿宋_GB2312" w:cs="仿宋_GB2312"/>
                <w:sz w:val="24"/>
                <w:szCs w:val="24"/>
              </w:rPr>
              <w:t>演奏技能</w:t>
            </w:r>
            <w:r>
              <w:rPr>
                <w:rFonts w:hint="eastAsia" w:ascii="仿宋_GB2312" w:hAnsi="仿宋_GB2312" w:eastAsia="仿宋_GB2312" w:cs="仿宋_GB2312"/>
                <w:sz w:val="24"/>
                <w:szCs w:val="24"/>
                <w:lang w:eastAsia="zh-Hans"/>
              </w:rPr>
              <w:t>技巧</w:t>
            </w:r>
            <w:r>
              <w:rPr>
                <w:rFonts w:hint="eastAsia" w:ascii="仿宋_GB2312" w:hAnsi="仿宋_GB2312" w:eastAsia="仿宋_GB2312" w:cs="仿宋_GB2312"/>
                <w:sz w:val="24"/>
                <w:szCs w:val="24"/>
              </w:rPr>
              <w:t>。</w:t>
            </w:r>
          </w:p>
          <w:p w14:paraId="7ADB8DE9">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color w:val="000000"/>
                <w:kern w:val="0"/>
                <w:sz w:val="24"/>
                <w:szCs w:val="24"/>
                <w:shd w:val="clear" w:color="auto" w:fill="FFFFFF"/>
              </w:rPr>
            </w:pPr>
            <w:r>
              <w:rPr>
                <w:rFonts w:hint="eastAsia" w:ascii="仿宋" w:hAnsi="仿宋" w:eastAsia="仿宋" w:cs="仿宋"/>
                <w:bCs/>
                <w:color w:val="000000"/>
                <w:sz w:val="24"/>
                <w:szCs w:val="24"/>
              </w:rPr>
              <w:t>实训任务：</w:t>
            </w:r>
            <w:r>
              <w:rPr>
                <w:rFonts w:hint="eastAsia" w:ascii="仿宋" w:hAnsi="仿宋" w:eastAsia="仿宋" w:cs="仿宋"/>
                <w:bCs/>
                <w:color w:val="000000"/>
                <w:sz w:val="24"/>
                <w:szCs w:val="24"/>
                <w:lang w:eastAsia="zh-Hans"/>
              </w:rPr>
              <w:t>对</w:t>
            </w:r>
            <w:r>
              <w:rPr>
                <w:rFonts w:hint="eastAsia" w:ascii="仿宋_GB2312" w:hAnsi="仿宋_GB2312" w:eastAsia="仿宋_GB2312" w:cs="仿宋_GB2312"/>
                <w:sz w:val="24"/>
                <w:szCs w:val="24"/>
              </w:rPr>
              <w:t>风格特点、演奏技法</w:t>
            </w:r>
            <w:r>
              <w:rPr>
                <w:rFonts w:hint="eastAsia" w:ascii="仿宋_GB2312" w:hAnsi="仿宋_GB2312" w:eastAsia="仿宋_GB2312" w:cs="仿宋_GB2312"/>
                <w:sz w:val="24"/>
                <w:szCs w:val="24"/>
                <w:lang w:eastAsia="zh-Hans"/>
              </w:rPr>
              <w:t>的分析</w:t>
            </w:r>
            <w:r>
              <w:rPr>
                <w:rFonts w:hint="eastAsia" w:ascii="仿宋_GB2312" w:hAnsi="仿宋_GB2312" w:eastAsia="仿宋_GB2312" w:cs="仿宋_GB2312"/>
                <w:sz w:val="24"/>
                <w:szCs w:val="24"/>
              </w:rPr>
              <w:t>。</w:t>
            </w:r>
          </w:p>
        </w:tc>
        <w:tc>
          <w:tcPr>
            <w:tcW w:w="1132" w:type="dxa"/>
            <w:gridSpan w:val="5"/>
            <w:shd w:val="clear" w:color="auto" w:fill="auto"/>
            <w:noWrap w:val="0"/>
            <w:vAlign w:val="center"/>
          </w:tcPr>
          <w:p w14:paraId="6C694109">
            <w:pPr>
              <w:adjustRightInd w:val="0"/>
              <w:snapToGrid w:val="0"/>
              <w:jc w:val="center"/>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支撑课程目标1、2、3</w:t>
            </w:r>
          </w:p>
          <w:p w14:paraId="759CF6B0">
            <w:pPr>
              <w:adjustRightInd w:val="0"/>
              <w:snapToGrid w:val="0"/>
              <w:jc w:val="center"/>
              <w:rPr>
                <w:rFonts w:ascii="仿宋_GB2312" w:hAnsi="仿宋_GB2312" w:eastAsia="仿宋_GB2312" w:cs="仿宋_GB2312"/>
                <w:bCs/>
                <w:color w:val="000000"/>
                <w:sz w:val="24"/>
                <w:szCs w:val="24"/>
              </w:rPr>
            </w:pPr>
          </w:p>
        </w:tc>
        <w:tc>
          <w:tcPr>
            <w:tcW w:w="876" w:type="dxa"/>
            <w:shd w:val="clear" w:color="auto" w:fill="FFFFFF"/>
            <w:noWrap w:val="0"/>
            <w:vAlign w:val="center"/>
          </w:tcPr>
          <w:p w14:paraId="724016B1">
            <w:pPr>
              <w:adjustRightInd w:val="0"/>
              <w:snapToGrid w:val="0"/>
              <w:jc w:val="center"/>
              <w:rPr>
                <w:rFonts w:ascii="仿宋_GB2312" w:hAnsi="仿宋_GB2312" w:eastAsia="仿宋_GB2312" w:cs="仿宋_GB2312"/>
                <w:bCs/>
                <w:sz w:val="24"/>
                <w:szCs w:val="24"/>
              </w:rPr>
            </w:pPr>
            <w:r>
              <w:rPr>
                <w:rFonts w:hint="eastAsia" w:ascii="仿宋_GB2312" w:hAnsi="仿宋_GB2312" w:eastAsia="仿宋_GB2312" w:cs="仿宋_GB2312"/>
                <w:bCs/>
                <w:sz w:val="24"/>
                <w:szCs w:val="24"/>
              </w:rPr>
              <w:t>48</w:t>
            </w:r>
          </w:p>
        </w:tc>
      </w:tr>
      <w:tr w14:paraId="4F84FD10">
        <w:trPr>
          <w:trHeight w:val="454" w:hRule="atLeast"/>
        </w:trPr>
        <w:tc>
          <w:tcPr>
            <w:tcW w:w="1284" w:type="dxa"/>
            <w:vMerge w:val="continue"/>
            <w:shd w:val="clear" w:color="auto" w:fill="FFFFFF"/>
            <w:noWrap w:val="0"/>
            <w:vAlign w:val="center"/>
          </w:tcPr>
          <w:p w14:paraId="08733124">
            <w:pPr>
              <w:adjustRightInd w:val="0"/>
              <w:snapToGrid w:val="0"/>
              <w:jc w:val="center"/>
              <w:rPr>
                <w:rFonts w:ascii="仿宋_GB2312" w:hAnsi="仿宋_GB2312" w:eastAsia="仿宋_GB2312" w:cs="仿宋_GB2312"/>
                <w:color w:val="000000"/>
                <w:sz w:val="24"/>
                <w:szCs w:val="24"/>
              </w:rPr>
            </w:pPr>
          </w:p>
        </w:tc>
        <w:tc>
          <w:tcPr>
            <w:tcW w:w="5856" w:type="dxa"/>
            <w:gridSpan w:val="10"/>
            <w:shd w:val="clear" w:color="auto" w:fill="auto"/>
            <w:noWrap w:val="0"/>
            <w:vAlign w:val="center"/>
          </w:tcPr>
          <w:p w14:paraId="327080FD">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大提琴：</w:t>
            </w:r>
          </w:p>
          <w:p w14:paraId="769FD432">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第一章 大提琴演奏基本技能训练</w:t>
            </w:r>
          </w:p>
          <w:p w14:paraId="23E87515">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1、</w:t>
            </w:r>
            <w:r>
              <w:rPr>
                <w:rFonts w:hint="eastAsia" w:ascii="仿宋_GB2312" w:hAnsi="仿宋_GB2312" w:eastAsia="仿宋_GB2312" w:cs="仿宋_GB2312"/>
                <w:sz w:val="24"/>
                <w:szCs w:val="24"/>
                <w:lang w:eastAsia="zh-Hans"/>
              </w:rPr>
              <w:t>实训</w:t>
            </w:r>
            <w:r>
              <w:rPr>
                <w:rFonts w:hint="eastAsia" w:ascii="仿宋_GB2312" w:hAnsi="仿宋_GB2312" w:eastAsia="仿宋_GB2312" w:cs="仿宋_GB2312"/>
                <w:sz w:val="24"/>
                <w:szCs w:val="24"/>
              </w:rPr>
              <w:t>目的：通过大提琴演奏技能的训练，使学生学会一定的演奏技能。</w:t>
            </w:r>
          </w:p>
          <w:p w14:paraId="4DBCF497">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2、</w:t>
            </w:r>
            <w:r>
              <w:rPr>
                <w:rFonts w:hint="eastAsia" w:ascii="仿宋_GB2312" w:hAnsi="仿宋_GB2312" w:eastAsia="仿宋_GB2312" w:cs="仿宋_GB2312"/>
                <w:sz w:val="24"/>
                <w:szCs w:val="24"/>
                <w:lang w:eastAsia="zh-Hans"/>
              </w:rPr>
              <w:t>实训任务</w:t>
            </w:r>
            <w:r>
              <w:rPr>
                <w:rFonts w:hint="eastAsia" w:ascii="仿宋_GB2312" w:hAnsi="仿宋_GB2312" w:eastAsia="仿宋_GB2312" w:cs="仿宋_GB2312"/>
                <w:sz w:val="24"/>
                <w:szCs w:val="24"/>
              </w:rPr>
              <w:t>：掌握持琴、持弓基本动作，运弓做到直、平、稳，三种指位混合、在相邻的两条弦上连续换弦，改变弓速及其他节奏节拍、顿弓和连弓。</w:t>
            </w:r>
          </w:p>
          <w:p w14:paraId="16E75D6F">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3、重点和难点：持琴、持弓基本动作标准，运弓做到直、平、稳，三种指位音准。</w:t>
            </w:r>
          </w:p>
          <w:p w14:paraId="5CEF0E3E">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第二章 大提琴表演实践</w:t>
            </w:r>
          </w:p>
          <w:p w14:paraId="25B877D8">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1、</w:t>
            </w:r>
            <w:r>
              <w:rPr>
                <w:rFonts w:hint="eastAsia" w:ascii="仿宋_GB2312" w:hAnsi="仿宋_GB2312" w:eastAsia="仿宋_GB2312" w:cs="仿宋_GB2312"/>
                <w:sz w:val="24"/>
                <w:szCs w:val="24"/>
                <w:lang w:eastAsia="zh-Hans"/>
              </w:rPr>
              <w:t>实训</w:t>
            </w:r>
            <w:r>
              <w:rPr>
                <w:rFonts w:hint="eastAsia" w:ascii="仿宋_GB2312" w:hAnsi="仿宋_GB2312" w:eastAsia="仿宋_GB2312" w:cs="仿宋_GB2312"/>
                <w:sz w:val="24"/>
                <w:szCs w:val="24"/>
              </w:rPr>
              <w:t>目的：大提琴表演实践的锻炼，使学生能够完成各类型的乐曲。</w:t>
            </w:r>
          </w:p>
          <w:p w14:paraId="14F1F3DB">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2、</w:t>
            </w:r>
            <w:r>
              <w:rPr>
                <w:rFonts w:hint="eastAsia" w:ascii="仿宋_GB2312" w:hAnsi="仿宋_GB2312" w:eastAsia="仿宋_GB2312" w:cs="仿宋_GB2312"/>
                <w:sz w:val="24"/>
                <w:szCs w:val="24"/>
                <w:lang w:eastAsia="zh-Hans"/>
              </w:rPr>
              <w:t>实训任务</w:t>
            </w:r>
            <w:r>
              <w:rPr>
                <w:rFonts w:hint="eastAsia" w:ascii="仿宋_GB2312" w:hAnsi="仿宋_GB2312" w:eastAsia="仿宋_GB2312" w:cs="仿宋_GB2312"/>
                <w:sz w:val="24"/>
                <w:szCs w:val="24"/>
              </w:rPr>
              <w:t>：练习曲、协奏曲、独奏、中外乐曲的演奏。</w:t>
            </w:r>
          </w:p>
          <w:p w14:paraId="6BE71E5B">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3、重点和难点：乐曲演奏的完整、优美。</w:t>
            </w:r>
          </w:p>
          <w:p w14:paraId="2F3ED5EF">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第三章 大提琴演奏与教学</w:t>
            </w:r>
          </w:p>
          <w:p w14:paraId="0858287C">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1、 </w:t>
            </w:r>
            <w:r>
              <w:rPr>
                <w:rFonts w:hint="eastAsia" w:ascii="仿宋_GB2312" w:hAnsi="仿宋_GB2312" w:eastAsia="仿宋_GB2312" w:cs="仿宋_GB2312"/>
                <w:sz w:val="24"/>
                <w:szCs w:val="24"/>
                <w:lang w:eastAsia="zh-Hans"/>
              </w:rPr>
              <w:t>实训</w:t>
            </w:r>
            <w:r>
              <w:rPr>
                <w:rFonts w:hint="eastAsia" w:ascii="仿宋_GB2312" w:hAnsi="仿宋_GB2312" w:eastAsia="仿宋_GB2312" w:cs="仿宋_GB2312"/>
                <w:sz w:val="24"/>
                <w:szCs w:val="24"/>
              </w:rPr>
              <w:t>目的：大提琴演奏与教学的学习，使学生能够较为完整的表现作品的风格和情感，对有一定基础的学生，使其会初步的基础教学。</w:t>
            </w:r>
          </w:p>
          <w:p w14:paraId="53DEB014">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2、</w:t>
            </w:r>
            <w:r>
              <w:rPr>
                <w:rFonts w:hint="eastAsia" w:ascii="仿宋_GB2312" w:hAnsi="仿宋_GB2312" w:eastAsia="仿宋_GB2312" w:cs="仿宋_GB2312"/>
                <w:sz w:val="24"/>
                <w:szCs w:val="24"/>
                <w:lang w:eastAsia="zh-Hans"/>
              </w:rPr>
              <w:t>实训任务</w:t>
            </w:r>
            <w:r>
              <w:rPr>
                <w:rFonts w:hint="eastAsia" w:ascii="仿宋_GB2312" w:hAnsi="仿宋_GB2312" w:eastAsia="仿宋_GB2312" w:cs="仿宋_GB2312"/>
                <w:sz w:val="24"/>
                <w:szCs w:val="24"/>
              </w:rPr>
              <w:t>：：独奏、重奏、齐奏练习曲、协奏曲、中外乐曲的演奏。</w:t>
            </w:r>
          </w:p>
          <w:p w14:paraId="1DE937F8">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3、重点和难点：根据教学要求，提高演奏水平和表演能力，能够将学到的知识和技能</w:t>
            </w:r>
          </w:p>
        </w:tc>
        <w:tc>
          <w:tcPr>
            <w:tcW w:w="1132" w:type="dxa"/>
            <w:gridSpan w:val="5"/>
            <w:shd w:val="clear" w:color="auto" w:fill="auto"/>
            <w:noWrap w:val="0"/>
            <w:vAlign w:val="center"/>
          </w:tcPr>
          <w:p w14:paraId="3E82D5CF">
            <w:pPr>
              <w:widowControl/>
              <w:adjustRightInd w:val="0"/>
              <w:snapToGrid w:val="0"/>
              <w:jc w:val="center"/>
              <w:rPr>
                <w:rFonts w:ascii="仿宋_GB2312" w:hAnsi="仿宋_GB2312" w:eastAsia="仿宋_GB2312" w:cs="仿宋_GB2312"/>
                <w:color w:val="000000"/>
                <w:sz w:val="24"/>
                <w:szCs w:val="24"/>
              </w:rPr>
            </w:pPr>
          </w:p>
          <w:p w14:paraId="17EFBF37">
            <w:pPr>
              <w:widowControl/>
              <w:adjustRightInd w:val="0"/>
              <w:snapToGrid w:val="0"/>
              <w:jc w:val="center"/>
              <w:rPr>
                <w:rFonts w:ascii="仿宋_GB2312" w:hAnsi="仿宋_GB2312" w:eastAsia="仿宋_GB2312" w:cs="仿宋_GB2312"/>
                <w:color w:val="000000"/>
                <w:sz w:val="24"/>
                <w:szCs w:val="24"/>
              </w:rPr>
            </w:pPr>
          </w:p>
          <w:p w14:paraId="086C0FD7">
            <w:pPr>
              <w:widowControl/>
              <w:adjustRightInd w:val="0"/>
              <w:snapToGrid w:val="0"/>
              <w:jc w:val="center"/>
              <w:rPr>
                <w:rFonts w:ascii="仿宋_GB2312" w:hAnsi="仿宋_GB2312" w:eastAsia="仿宋_GB2312" w:cs="仿宋_GB2312"/>
                <w:color w:val="000000"/>
                <w:sz w:val="24"/>
                <w:szCs w:val="24"/>
              </w:rPr>
            </w:pPr>
          </w:p>
          <w:p w14:paraId="6E1AE0BC">
            <w:pPr>
              <w:widowControl/>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支撑课程目标1、2、3</w:t>
            </w:r>
          </w:p>
          <w:p w14:paraId="33F48B21">
            <w:pPr>
              <w:adjustRightInd w:val="0"/>
              <w:snapToGrid w:val="0"/>
              <w:jc w:val="center"/>
              <w:rPr>
                <w:rFonts w:ascii="仿宋_GB2312" w:hAnsi="仿宋_GB2312" w:eastAsia="仿宋_GB2312" w:cs="仿宋_GB2312"/>
                <w:bCs/>
                <w:sz w:val="24"/>
                <w:szCs w:val="24"/>
              </w:rPr>
            </w:pPr>
          </w:p>
          <w:p w14:paraId="0731EBC3">
            <w:pPr>
              <w:adjustRightInd w:val="0"/>
              <w:snapToGrid w:val="0"/>
              <w:jc w:val="center"/>
              <w:rPr>
                <w:rFonts w:ascii="仿宋_GB2312" w:hAnsi="仿宋_GB2312" w:eastAsia="仿宋_GB2312" w:cs="仿宋_GB2312"/>
                <w:bCs/>
                <w:sz w:val="24"/>
                <w:szCs w:val="24"/>
              </w:rPr>
            </w:pPr>
          </w:p>
          <w:p w14:paraId="2ED16E0C">
            <w:pPr>
              <w:adjustRightInd w:val="0"/>
              <w:snapToGrid w:val="0"/>
              <w:jc w:val="center"/>
              <w:rPr>
                <w:rFonts w:ascii="仿宋_GB2312" w:hAnsi="仿宋_GB2312" w:eastAsia="仿宋_GB2312" w:cs="仿宋_GB2312"/>
                <w:bCs/>
                <w:sz w:val="24"/>
                <w:szCs w:val="24"/>
              </w:rPr>
            </w:pPr>
          </w:p>
        </w:tc>
        <w:tc>
          <w:tcPr>
            <w:tcW w:w="876" w:type="dxa"/>
            <w:shd w:val="clear" w:color="auto" w:fill="FFFFFF"/>
            <w:noWrap w:val="0"/>
            <w:vAlign w:val="center"/>
          </w:tcPr>
          <w:p w14:paraId="4726980E">
            <w:pPr>
              <w:adjustRightInd w:val="0"/>
              <w:snapToGrid w:val="0"/>
              <w:jc w:val="center"/>
              <w:rPr>
                <w:rFonts w:ascii="仿宋_GB2312" w:hAnsi="仿宋_GB2312" w:eastAsia="仿宋_GB2312" w:cs="仿宋_GB2312"/>
                <w:bCs/>
                <w:sz w:val="24"/>
                <w:szCs w:val="24"/>
              </w:rPr>
            </w:pPr>
          </w:p>
          <w:p w14:paraId="6C329710">
            <w:pPr>
              <w:adjustRightInd w:val="0"/>
              <w:snapToGrid w:val="0"/>
              <w:jc w:val="center"/>
              <w:rPr>
                <w:rFonts w:ascii="仿宋_GB2312" w:hAnsi="仿宋_GB2312" w:eastAsia="仿宋_GB2312" w:cs="仿宋_GB2312"/>
                <w:bCs/>
                <w:sz w:val="24"/>
                <w:szCs w:val="24"/>
              </w:rPr>
            </w:pPr>
          </w:p>
          <w:p w14:paraId="45590DB0">
            <w:pPr>
              <w:adjustRightInd w:val="0"/>
              <w:snapToGrid w:val="0"/>
              <w:jc w:val="center"/>
              <w:rPr>
                <w:rFonts w:ascii="仿宋_GB2312" w:hAnsi="仿宋_GB2312" w:eastAsia="仿宋_GB2312" w:cs="仿宋_GB2312"/>
                <w:bCs/>
                <w:sz w:val="24"/>
                <w:szCs w:val="24"/>
              </w:rPr>
            </w:pPr>
          </w:p>
          <w:p w14:paraId="7E59CC4E">
            <w:pPr>
              <w:adjustRightInd w:val="0"/>
              <w:snapToGrid w:val="0"/>
              <w:jc w:val="center"/>
              <w:rPr>
                <w:rFonts w:ascii="仿宋_GB2312" w:hAnsi="仿宋_GB2312" w:eastAsia="仿宋_GB2312" w:cs="仿宋_GB2312"/>
                <w:bCs/>
                <w:sz w:val="24"/>
                <w:szCs w:val="24"/>
              </w:rPr>
            </w:pPr>
          </w:p>
          <w:p w14:paraId="44627208">
            <w:pPr>
              <w:adjustRightInd w:val="0"/>
              <w:snapToGrid w:val="0"/>
              <w:jc w:val="center"/>
              <w:rPr>
                <w:rFonts w:ascii="仿宋_GB2312" w:hAnsi="仿宋_GB2312" w:eastAsia="仿宋_GB2312" w:cs="仿宋_GB2312"/>
                <w:bCs/>
                <w:sz w:val="24"/>
                <w:szCs w:val="24"/>
              </w:rPr>
            </w:pPr>
            <w:r>
              <w:rPr>
                <w:rFonts w:hint="eastAsia" w:ascii="仿宋_GB2312" w:hAnsi="仿宋_GB2312" w:eastAsia="仿宋_GB2312" w:cs="仿宋_GB2312"/>
                <w:bCs/>
                <w:sz w:val="24"/>
                <w:szCs w:val="24"/>
              </w:rPr>
              <w:t>48</w:t>
            </w:r>
          </w:p>
        </w:tc>
      </w:tr>
      <w:tr w14:paraId="66F03351">
        <w:trPr>
          <w:trHeight w:val="454" w:hRule="atLeast"/>
        </w:trPr>
        <w:tc>
          <w:tcPr>
            <w:tcW w:w="1284" w:type="dxa"/>
            <w:vMerge w:val="continue"/>
            <w:shd w:val="clear" w:color="auto" w:fill="FFFFFF"/>
            <w:noWrap w:val="0"/>
            <w:vAlign w:val="center"/>
          </w:tcPr>
          <w:p w14:paraId="47324900">
            <w:pPr>
              <w:adjustRightInd w:val="0"/>
              <w:snapToGrid w:val="0"/>
              <w:jc w:val="center"/>
              <w:rPr>
                <w:rFonts w:ascii="仿宋_GB2312" w:hAnsi="仿宋_GB2312" w:eastAsia="仿宋_GB2312" w:cs="仿宋_GB2312"/>
                <w:color w:val="000000"/>
                <w:sz w:val="24"/>
                <w:szCs w:val="24"/>
              </w:rPr>
            </w:pPr>
          </w:p>
        </w:tc>
        <w:tc>
          <w:tcPr>
            <w:tcW w:w="5856" w:type="dxa"/>
            <w:gridSpan w:val="10"/>
            <w:shd w:val="clear" w:color="auto" w:fill="auto"/>
            <w:noWrap w:val="0"/>
            <w:vAlign w:val="center"/>
          </w:tcPr>
          <w:p w14:paraId="6F154FB9">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hint="eastAsia" w:ascii="仿宋_GB2312" w:hAnsi="仿宋_GB2312" w:eastAsia="仿宋_GB2312" w:cs="仿宋_GB2312"/>
                <w:b/>
                <w:bCs/>
                <w:sz w:val="24"/>
                <w:szCs w:val="24"/>
                <w:lang w:eastAsia="zh-CN"/>
              </w:rPr>
            </w:pPr>
            <w:r>
              <w:rPr>
                <w:rFonts w:hint="eastAsia" w:ascii="仿宋_GB2312" w:hAnsi="仿宋_GB2312" w:eastAsia="仿宋_GB2312" w:cs="仿宋_GB2312"/>
                <w:b/>
                <w:bCs/>
                <w:sz w:val="24"/>
                <w:szCs w:val="24"/>
              </w:rPr>
              <w:t>萨克斯管</w:t>
            </w:r>
            <w:r>
              <w:rPr>
                <w:rFonts w:hint="eastAsia" w:ascii="仿宋_GB2312" w:hAnsi="仿宋_GB2312" w:eastAsia="仿宋_GB2312" w:cs="仿宋_GB2312"/>
                <w:b/>
                <w:bCs/>
                <w:sz w:val="24"/>
                <w:szCs w:val="24"/>
                <w:lang w:eastAsia="zh-CN"/>
              </w:rPr>
              <w:t>：</w:t>
            </w:r>
          </w:p>
          <w:p w14:paraId="34E65217">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第一章</w:t>
            </w:r>
          </w:p>
          <w:p w14:paraId="77B0E97B">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1.</w:t>
            </w:r>
            <w:r>
              <w:rPr>
                <w:rFonts w:hint="eastAsia" w:ascii="仿宋_GB2312" w:hAnsi="仿宋_GB2312" w:eastAsia="仿宋_GB2312" w:cs="仿宋_GB2312"/>
                <w:sz w:val="24"/>
                <w:szCs w:val="24"/>
                <w:lang w:eastAsia="zh-Hans"/>
              </w:rPr>
              <w:t>实训</w:t>
            </w:r>
            <w:r>
              <w:rPr>
                <w:rFonts w:hint="eastAsia" w:ascii="仿宋_GB2312" w:hAnsi="仿宋_GB2312" w:eastAsia="仿宋_GB2312" w:cs="仿宋_GB2312"/>
                <w:sz w:val="24"/>
                <w:szCs w:val="24"/>
              </w:rPr>
              <w:t>目的：各大小调式音阶、琶音、三度模进；九种连吐方式背诵及掌握；半音阶掌握；超吹学习和掌握。</w:t>
            </w:r>
          </w:p>
          <w:p w14:paraId="31C08B43">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lang w:eastAsia="zh-Hans"/>
              </w:rPr>
              <w:t>实训任务</w:t>
            </w:r>
            <w:r>
              <w:rPr>
                <w:rFonts w:hint="eastAsia" w:ascii="仿宋_GB2312" w:hAnsi="仿宋_GB2312" w:eastAsia="仿宋_GB2312" w:cs="仿宋_GB2312"/>
                <w:sz w:val="24"/>
                <w:szCs w:val="24"/>
              </w:rPr>
              <w:t>：进阶练习曲演奏。</w:t>
            </w:r>
          </w:p>
          <w:p w14:paraId="24053177">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乐曲：期中、期末作品指导</w:t>
            </w:r>
            <w:r>
              <w:rPr>
                <w:rFonts w:ascii="仿宋_GB2312" w:hAnsi="仿宋_GB2312" w:eastAsia="仿宋_GB2312" w:cs="仿宋_GB2312"/>
                <w:sz w:val="24"/>
                <w:szCs w:val="24"/>
              </w:rPr>
              <w:t>，</w:t>
            </w:r>
            <w:r>
              <w:rPr>
                <w:rFonts w:hint="eastAsia" w:ascii="仿宋_GB2312" w:hAnsi="仿宋_GB2312" w:eastAsia="仿宋_GB2312" w:cs="仿宋_GB2312"/>
                <w:sz w:val="24"/>
                <w:szCs w:val="24"/>
              </w:rPr>
              <w:t>室内乐重奏训练</w:t>
            </w:r>
          </w:p>
          <w:p w14:paraId="5EDE585F">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第二章：</w:t>
            </w:r>
          </w:p>
          <w:p w14:paraId="07767E34">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1.</w:t>
            </w:r>
            <w:r>
              <w:rPr>
                <w:rFonts w:hint="eastAsia" w:ascii="仿宋_GB2312" w:hAnsi="仿宋_GB2312" w:eastAsia="仿宋_GB2312" w:cs="仿宋_GB2312"/>
                <w:sz w:val="24"/>
                <w:szCs w:val="24"/>
                <w:lang w:eastAsia="zh-Hans"/>
              </w:rPr>
              <w:t>实训</w:t>
            </w:r>
            <w:r>
              <w:rPr>
                <w:rFonts w:hint="eastAsia" w:ascii="仿宋_GB2312" w:hAnsi="仿宋_GB2312" w:eastAsia="仿宋_GB2312" w:cs="仿宋_GB2312"/>
                <w:sz w:val="24"/>
                <w:szCs w:val="24"/>
              </w:rPr>
              <w:t>目的：各大小调式四度、五度模进；九种连吐方式背诵及掌握；半音阶掌握；滑音学习和掌握。</w:t>
            </w:r>
          </w:p>
          <w:p w14:paraId="0B7DB146">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2..</w:t>
            </w:r>
            <w:r>
              <w:rPr>
                <w:rFonts w:hint="eastAsia" w:ascii="仿宋_GB2312" w:hAnsi="仿宋_GB2312" w:eastAsia="仿宋_GB2312" w:cs="仿宋_GB2312"/>
                <w:sz w:val="24"/>
                <w:szCs w:val="24"/>
                <w:lang w:eastAsia="zh-Hans"/>
              </w:rPr>
              <w:t>实训任务</w:t>
            </w:r>
            <w:r>
              <w:rPr>
                <w:rFonts w:hint="eastAsia" w:ascii="仿宋_GB2312" w:hAnsi="仿宋_GB2312" w:eastAsia="仿宋_GB2312" w:cs="仿宋_GB2312"/>
                <w:sz w:val="24"/>
                <w:szCs w:val="24"/>
              </w:rPr>
              <w:t>：技巧性练习曲演奏。乐曲：期中、期末作品指导。</w:t>
            </w:r>
          </w:p>
          <w:p w14:paraId="3E6345B6">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4.室内乐重奏训练。</w:t>
            </w:r>
          </w:p>
          <w:p w14:paraId="6ADA23EF">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第三章：</w:t>
            </w:r>
          </w:p>
          <w:p w14:paraId="122E5FC0">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1..</w:t>
            </w:r>
            <w:r>
              <w:rPr>
                <w:rFonts w:hint="eastAsia" w:ascii="仿宋_GB2312" w:hAnsi="仿宋_GB2312" w:eastAsia="仿宋_GB2312" w:cs="仿宋_GB2312"/>
                <w:sz w:val="24"/>
                <w:szCs w:val="24"/>
                <w:lang w:eastAsia="zh-Hans"/>
              </w:rPr>
              <w:t>实训目的</w:t>
            </w:r>
            <w:r>
              <w:rPr>
                <w:rFonts w:hint="eastAsia" w:ascii="仿宋_GB2312" w:hAnsi="仿宋_GB2312" w:eastAsia="仿宋_GB2312" w:cs="仿宋_GB2312"/>
                <w:sz w:val="24"/>
                <w:szCs w:val="24"/>
              </w:rPr>
              <w:t>：：各大小调式六度、七度、八度模进；九种连吐方式背诵及掌握；半音阶掌握；弹舌学习和掌握。</w:t>
            </w:r>
          </w:p>
          <w:p w14:paraId="49CAF00D">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lang w:eastAsia="zh-Hans"/>
              </w:rPr>
              <w:t>实训任务</w:t>
            </w:r>
            <w:r>
              <w:rPr>
                <w:rFonts w:hint="eastAsia" w:ascii="仿宋_GB2312" w:hAnsi="仿宋_GB2312" w:eastAsia="仿宋_GB2312" w:cs="仿宋_GB2312"/>
                <w:sz w:val="24"/>
                <w:szCs w:val="24"/>
              </w:rPr>
              <w:t>：练习曲：音乐性性练习曲演奏。乐曲：期中、期末作品指导。</w:t>
            </w:r>
          </w:p>
          <w:p w14:paraId="6372D789">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4.室内乐重奏训练。</w:t>
            </w:r>
          </w:p>
        </w:tc>
        <w:tc>
          <w:tcPr>
            <w:tcW w:w="1132" w:type="dxa"/>
            <w:gridSpan w:val="5"/>
            <w:shd w:val="clear" w:color="auto" w:fill="auto"/>
            <w:noWrap w:val="0"/>
            <w:vAlign w:val="center"/>
          </w:tcPr>
          <w:p w14:paraId="573DDA21">
            <w:pPr>
              <w:widowControl/>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支撑课程目标1、2、3</w:t>
            </w:r>
          </w:p>
          <w:p w14:paraId="46273EDA">
            <w:pPr>
              <w:adjustRightInd w:val="0"/>
              <w:snapToGrid w:val="0"/>
              <w:jc w:val="center"/>
              <w:rPr>
                <w:rFonts w:ascii="仿宋_GB2312" w:hAnsi="仿宋_GB2312" w:eastAsia="仿宋_GB2312" w:cs="仿宋_GB2312"/>
                <w:bCs/>
                <w:sz w:val="24"/>
                <w:szCs w:val="24"/>
              </w:rPr>
            </w:pPr>
          </w:p>
        </w:tc>
        <w:tc>
          <w:tcPr>
            <w:tcW w:w="876" w:type="dxa"/>
            <w:shd w:val="clear" w:color="auto" w:fill="FFFFFF"/>
            <w:noWrap w:val="0"/>
            <w:vAlign w:val="center"/>
          </w:tcPr>
          <w:p w14:paraId="1ACE1011">
            <w:pPr>
              <w:adjustRightInd w:val="0"/>
              <w:snapToGrid w:val="0"/>
              <w:jc w:val="center"/>
              <w:rPr>
                <w:rFonts w:ascii="仿宋_GB2312" w:hAnsi="仿宋_GB2312" w:eastAsia="仿宋_GB2312" w:cs="仿宋_GB2312"/>
                <w:bCs/>
                <w:sz w:val="24"/>
                <w:szCs w:val="24"/>
              </w:rPr>
            </w:pPr>
            <w:r>
              <w:rPr>
                <w:rFonts w:hint="eastAsia" w:ascii="仿宋_GB2312" w:hAnsi="仿宋_GB2312" w:eastAsia="仿宋_GB2312" w:cs="仿宋_GB2312"/>
                <w:bCs/>
                <w:sz w:val="24"/>
                <w:szCs w:val="24"/>
              </w:rPr>
              <w:t>48</w:t>
            </w:r>
          </w:p>
        </w:tc>
      </w:tr>
      <w:tr w14:paraId="21025933">
        <w:trPr>
          <w:trHeight w:val="454" w:hRule="atLeast"/>
        </w:trPr>
        <w:tc>
          <w:tcPr>
            <w:tcW w:w="1284" w:type="dxa"/>
            <w:vMerge w:val="continue"/>
            <w:shd w:val="clear" w:color="auto" w:fill="FFFFFF"/>
            <w:noWrap w:val="0"/>
            <w:vAlign w:val="center"/>
          </w:tcPr>
          <w:p w14:paraId="24A964AB">
            <w:pPr>
              <w:adjustRightInd w:val="0"/>
              <w:snapToGrid w:val="0"/>
              <w:jc w:val="center"/>
              <w:rPr>
                <w:rFonts w:ascii="仿宋_GB2312" w:hAnsi="仿宋_GB2312" w:eastAsia="仿宋_GB2312" w:cs="仿宋_GB2312"/>
                <w:color w:val="000000"/>
                <w:sz w:val="24"/>
                <w:szCs w:val="24"/>
              </w:rPr>
            </w:pPr>
          </w:p>
        </w:tc>
        <w:tc>
          <w:tcPr>
            <w:tcW w:w="5856" w:type="dxa"/>
            <w:gridSpan w:val="10"/>
            <w:shd w:val="clear" w:color="auto" w:fill="auto"/>
            <w:noWrap w:val="0"/>
            <w:vAlign w:val="center"/>
          </w:tcPr>
          <w:p w14:paraId="410AEEA5">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小提琴：</w:t>
            </w:r>
          </w:p>
          <w:p w14:paraId="590EB4D1">
            <w:pPr>
              <w:keepNext w:val="0"/>
              <w:keepLines w:val="0"/>
              <w:pageBreakBefore w:val="0"/>
              <w:widowControl/>
              <w:kinsoku/>
              <w:wordWrap/>
              <w:overflowPunct/>
              <w:topLinePunct w:val="0"/>
              <w:autoSpaceDE/>
              <w:autoSpaceDN/>
              <w:bidi w:val="0"/>
              <w:adjustRightInd w:val="0"/>
              <w:snapToGrid w:val="0"/>
              <w:spacing w:line="360" w:lineRule="exact"/>
              <w:ind w:left="105" w:leftChars="5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第五章</w:t>
            </w:r>
          </w:p>
          <w:p w14:paraId="522000C6">
            <w:pPr>
              <w:keepNext w:val="0"/>
              <w:keepLines w:val="0"/>
              <w:pageBreakBefore w:val="0"/>
              <w:widowControl/>
              <w:kinsoku/>
              <w:wordWrap/>
              <w:overflowPunct/>
              <w:topLinePunct w:val="0"/>
              <w:autoSpaceDE/>
              <w:autoSpaceDN/>
              <w:bidi w:val="0"/>
              <w:adjustRightInd w:val="0"/>
              <w:snapToGrid w:val="0"/>
              <w:spacing w:line="360" w:lineRule="exact"/>
              <w:ind w:left="105" w:leftChars="5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实训目的：认识不同的把位</w:t>
            </w:r>
          </w:p>
          <w:p w14:paraId="4D13D2D1">
            <w:pPr>
              <w:keepNext w:val="0"/>
              <w:keepLines w:val="0"/>
              <w:pageBreakBefore w:val="0"/>
              <w:widowControl/>
              <w:kinsoku/>
              <w:wordWrap/>
              <w:overflowPunct/>
              <w:topLinePunct w:val="0"/>
              <w:autoSpaceDE/>
              <w:autoSpaceDN/>
              <w:bidi w:val="0"/>
              <w:adjustRightInd w:val="0"/>
              <w:snapToGrid w:val="0"/>
              <w:spacing w:line="360" w:lineRule="exact"/>
              <w:ind w:left="105" w:leftChars="5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实训任务：</w:t>
            </w:r>
          </w:p>
          <w:p w14:paraId="639A79D9">
            <w:pPr>
              <w:keepNext w:val="0"/>
              <w:keepLines w:val="0"/>
              <w:pageBreakBefore w:val="0"/>
              <w:widowControl/>
              <w:numPr>
                <w:ilvl w:val="0"/>
                <w:numId w:val="34"/>
              </w:numPr>
              <w:kinsoku/>
              <w:wordWrap/>
              <w:overflowPunct/>
              <w:topLinePunct w:val="0"/>
              <w:autoSpaceDE/>
              <w:autoSpaceDN/>
              <w:bidi w:val="0"/>
              <w:adjustRightInd w:val="0"/>
              <w:snapToGrid w:val="0"/>
              <w:spacing w:line="360" w:lineRule="exact"/>
              <w:ind w:left="105" w:leftChars="5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用同一曲调（以不同的调）在各固定把位上演奏</w:t>
            </w:r>
          </w:p>
          <w:p w14:paraId="51F8AD37">
            <w:pPr>
              <w:keepNext w:val="0"/>
              <w:keepLines w:val="0"/>
              <w:pageBreakBefore w:val="0"/>
              <w:widowControl/>
              <w:numPr>
                <w:ilvl w:val="0"/>
                <w:numId w:val="34"/>
              </w:numPr>
              <w:kinsoku/>
              <w:wordWrap/>
              <w:overflowPunct/>
              <w:topLinePunct w:val="0"/>
              <w:autoSpaceDE/>
              <w:autoSpaceDN/>
              <w:bidi w:val="0"/>
              <w:adjustRightInd w:val="0"/>
              <w:snapToGrid w:val="0"/>
              <w:spacing w:line="360" w:lineRule="exact"/>
              <w:ind w:left="105" w:leftChars="5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固定第二把位</w:t>
            </w:r>
          </w:p>
          <w:p w14:paraId="693E0705">
            <w:pPr>
              <w:keepNext w:val="0"/>
              <w:keepLines w:val="0"/>
              <w:pageBreakBefore w:val="0"/>
              <w:widowControl/>
              <w:numPr>
                <w:ilvl w:val="0"/>
                <w:numId w:val="34"/>
              </w:numPr>
              <w:kinsoku/>
              <w:wordWrap/>
              <w:overflowPunct/>
              <w:topLinePunct w:val="0"/>
              <w:autoSpaceDE/>
              <w:autoSpaceDN/>
              <w:bidi w:val="0"/>
              <w:adjustRightInd w:val="0"/>
              <w:snapToGrid w:val="0"/>
              <w:spacing w:line="360" w:lineRule="exact"/>
              <w:ind w:left="105" w:leftChars="5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固定第三把位</w:t>
            </w:r>
          </w:p>
          <w:p w14:paraId="4C30A88B">
            <w:pPr>
              <w:keepNext w:val="0"/>
              <w:keepLines w:val="0"/>
              <w:pageBreakBefore w:val="0"/>
              <w:widowControl/>
              <w:numPr>
                <w:ilvl w:val="0"/>
                <w:numId w:val="34"/>
              </w:numPr>
              <w:kinsoku/>
              <w:wordWrap/>
              <w:overflowPunct/>
              <w:topLinePunct w:val="0"/>
              <w:autoSpaceDE/>
              <w:autoSpaceDN/>
              <w:bidi w:val="0"/>
              <w:adjustRightInd w:val="0"/>
              <w:snapToGrid w:val="0"/>
              <w:spacing w:line="360" w:lineRule="exact"/>
              <w:ind w:left="105" w:leftChars="5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固定第二把位其他的手指排列</w:t>
            </w:r>
          </w:p>
          <w:p w14:paraId="7F283DF1">
            <w:pPr>
              <w:keepNext w:val="0"/>
              <w:keepLines w:val="0"/>
              <w:pageBreakBefore w:val="0"/>
              <w:widowControl/>
              <w:kinsoku/>
              <w:wordWrap/>
              <w:overflowPunct/>
              <w:topLinePunct w:val="0"/>
              <w:autoSpaceDE/>
              <w:autoSpaceDN/>
              <w:bidi w:val="0"/>
              <w:adjustRightInd w:val="0"/>
              <w:snapToGrid w:val="0"/>
              <w:spacing w:line="360" w:lineRule="exact"/>
              <w:ind w:left="105" w:leftChars="5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5、固定第三把位-其他手指排列及其结合</w:t>
            </w:r>
          </w:p>
          <w:p w14:paraId="0BE5E891">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6、半把位和固定四把位</w:t>
            </w:r>
          </w:p>
          <w:p w14:paraId="54C7CC29">
            <w:pPr>
              <w:keepNext w:val="0"/>
              <w:keepLines w:val="0"/>
              <w:pageBreakBefore w:val="0"/>
              <w:widowControl/>
              <w:kinsoku/>
              <w:wordWrap/>
              <w:overflowPunct/>
              <w:topLinePunct w:val="0"/>
              <w:autoSpaceDE/>
              <w:autoSpaceDN/>
              <w:bidi w:val="0"/>
              <w:adjustRightInd w:val="0"/>
              <w:snapToGrid w:val="0"/>
              <w:spacing w:line="360" w:lineRule="exact"/>
              <w:ind w:left="105" w:leftChars="5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第六章</w:t>
            </w:r>
          </w:p>
          <w:p w14:paraId="40B9514D">
            <w:pPr>
              <w:keepNext w:val="0"/>
              <w:keepLines w:val="0"/>
              <w:pageBreakBefore w:val="0"/>
              <w:widowControl/>
              <w:kinsoku/>
              <w:wordWrap/>
              <w:overflowPunct/>
              <w:topLinePunct w:val="0"/>
              <w:autoSpaceDE/>
              <w:autoSpaceDN/>
              <w:bidi w:val="0"/>
              <w:adjustRightInd w:val="0"/>
              <w:snapToGrid w:val="0"/>
              <w:spacing w:line="360" w:lineRule="exact"/>
              <w:ind w:left="105" w:leftChars="5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实训目的：换把</w:t>
            </w:r>
          </w:p>
          <w:p w14:paraId="6A5DABC0">
            <w:pPr>
              <w:keepNext w:val="0"/>
              <w:keepLines w:val="0"/>
              <w:pageBreakBefore w:val="0"/>
              <w:widowControl/>
              <w:kinsoku/>
              <w:wordWrap/>
              <w:overflowPunct/>
              <w:topLinePunct w:val="0"/>
              <w:autoSpaceDE/>
              <w:autoSpaceDN/>
              <w:bidi w:val="0"/>
              <w:adjustRightInd w:val="0"/>
              <w:snapToGrid w:val="0"/>
              <w:spacing w:line="360" w:lineRule="exact"/>
              <w:ind w:left="105" w:leftChars="5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实训任务：</w:t>
            </w:r>
          </w:p>
          <w:p w14:paraId="5AAA0B9F">
            <w:pPr>
              <w:keepNext w:val="0"/>
              <w:keepLines w:val="0"/>
              <w:pageBreakBefore w:val="0"/>
              <w:widowControl/>
              <w:kinsoku/>
              <w:wordWrap/>
              <w:overflowPunct/>
              <w:topLinePunct w:val="0"/>
              <w:autoSpaceDE/>
              <w:autoSpaceDN/>
              <w:bidi w:val="0"/>
              <w:adjustRightInd w:val="0"/>
              <w:snapToGrid w:val="0"/>
              <w:spacing w:line="360" w:lineRule="exact"/>
              <w:ind w:left="105" w:leftChars="5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1、利用空弦、休字符和泛音换把</w:t>
            </w:r>
          </w:p>
          <w:p w14:paraId="41B02995">
            <w:pPr>
              <w:keepNext w:val="0"/>
              <w:keepLines w:val="0"/>
              <w:pageBreakBefore w:val="0"/>
              <w:widowControl/>
              <w:kinsoku/>
              <w:wordWrap/>
              <w:overflowPunct/>
              <w:topLinePunct w:val="0"/>
              <w:autoSpaceDE/>
              <w:autoSpaceDN/>
              <w:bidi w:val="0"/>
              <w:adjustRightInd w:val="0"/>
              <w:snapToGrid w:val="0"/>
              <w:spacing w:line="360" w:lineRule="exact"/>
              <w:ind w:left="105" w:leftChars="5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2、同指（单指）换把</w:t>
            </w:r>
          </w:p>
          <w:p w14:paraId="0F35A39A">
            <w:pPr>
              <w:keepNext w:val="0"/>
              <w:keepLines w:val="0"/>
              <w:pageBreakBefore w:val="0"/>
              <w:widowControl/>
              <w:kinsoku/>
              <w:wordWrap/>
              <w:overflowPunct/>
              <w:topLinePunct w:val="0"/>
              <w:autoSpaceDE/>
              <w:autoSpaceDN/>
              <w:bidi w:val="0"/>
              <w:adjustRightInd w:val="0"/>
              <w:snapToGrid w:val="0"/>
              <w:spacing w:line="360" w:lineRule="exact"/>
              <w:ind w:left="105" w:leftChars="5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3、顺指换把、利用泛音换把</w:t>
            </w:r>
          </w:p>
          <w:p w14:paraId="28F4BB53">
            <w:pPr>
              <w:keepNext w:val="0"/>
              <w:keepLines w:val="0"/>
              <w:pageBreakBefore w:val="0"/>
              <w:widowControl/>
              <w:kinsoku/>
              <w:wordWrap/>
              <w:overflowPunct/>
              <w:topLinePunct w:val="0"/>
              <w:autoSpaceDE/>
              <w:autoSpaceDN/>
              <w:bidi w:val="0"/>
              <w:adjustRightInd w:val="0"/>
              <w:snapToGrid w:val="0"/>
              <w:spacing w:line="360" w:lineRule="exact"/>
              <w:ind w:left="105" w:leftChars="5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4、同音换指</w:t>
            </w:r>
          </w:p>
          <w:p w14:paraId="5E42E2A9">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5、越指换把</w:t>
            </w:r>
          </w:p>
          <w:p w14:paraId="4193E983">
            <w:pPr>
              <w:keepNext w:val="0"/>
              <w:keepLines w:val="0"/>
              <w:pageBreakBefore w:val="0"/>
              <w:widowControl/>
              <w:kinsoku/>
              <w:wordWrap/>
              <w:overflowPunct/>
              <w:topLinePunct w:val="0"/>
              <w:autoSpaceDE/>
              <w:autoSpaceDN/>
              <w:bidi w:val="0"/>
              <w:adjustRightInd w:val="0"/>
              <w:snapToGrid w:val="0"/>
              <w:spacing w:line="360" w:lineRule="exact"/>
              <w:ind w:left="105" w:leftChars="5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第七章</w:t>
            </w:r>
          </w:p>
          <w:p w14:paraId="061ACE43">
            <w:pPr>
              <w:keepNext w:val="0"/>
              <w:keepLines w:val="0"/>
              <w:pageBreakBefore w:val="0"/>
              <w:widowControl/>
              <w:kinsoku/>
              <w:wordWrap/>
              <w:overflowPunct/>
              <w:topLinePunct w:val="0"/>
              <w:autoSpaceDE/>
              <w:autoSpaceDN/>
              <w:bidi w:val="0"/>
              <w:adjustRightInd w:val="0"/>
              <w:snapToGrid w:val="0"/>
              <w:spacing w:line="360" w:lineRule="exact"/>
              <w:ind w:left="105" w:leftChars="5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实训目的：在低把位上用换把演奏的在各个大小调上的世界名曲</w:t>
            </w:r>
          </w:p>
          <w:p w14:paraId="65DE730D">
            <w:pPr>
              <w:keepNext w:val="0"/>
              <w:keepLines w:val="0"/>
              <w:pageBreakBefore w:val="0"/>
              <w:widowControl/>
              <w:kinsoku/>
              <w:wordWrap/>
              <w:overflowPunct/>
              <w:topLinePunct w:val="0"/>
              <w:autoSpaceDE/>
              <w:autoSpaceDN/>
              <w:bidi w:val="0"/>
              <w:adjustRightInd w:val="0"/>
              <w:snapToGrid w:val="0"/>
              <w:spacing w:line="360" w:lineRule="exact"/>
              <w:ind w:left="105" w:leftChars="5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实训任务：</w:t>
            </w:r>
          </w:p>
          <w:p w14:paraId="323B3F8B">
            <w:pPr>
              <w:keepNext w:val="0"/>
              <w:keepLines w:val="0"/>
              <w:pageBreakBefore w:val="0"/>
              <w:widowControl/>
              <w:kinsoku/>
              <w:wordWrap/>
              <w:overflowPunct/>
              <w:topLinePunct w:val="0"/>
              <w:autoSpaceDE/>
              <w:autoSpaceDN/>
              <w:bidi w:val="0"/>
              <w:adjustRightInd w:val="0"/>
              <w:snapToGrid w:val="0"/>
              <w:spacing w:line="360" w:lineRule="exact"/>
              <w:ind w:left="105" w:leftChars="5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1、升记号的大调</w:t>
            </w:r>
          </w:p>
          <w:p w14:paraId="656C3F51">
            <w:pPr>
              <w:keepNext w:val="0"/>
              <w:keepLines w:val="0"/>
              <w:pageBreakBefore w:val="0"/>
              <w:widowControl/>
              <w:kinsoku/>
              <w:wordWrap/>
              <w:overflowPunct/>
              <w:topLinePunct w:val="0"/>
              <w:autoSpaceDE/>
              <w:autoSpaceDN/>
              <w:bidi w:val="0"/>
              <w:adjustRightInd w:val="0"/>
              <w:snapToGrid w:val="0"/>
              <w:spacing w:line="360" w:lineRule="exact"/>
              <w:ind w:left="105" w:leftChars="5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2、C大调及降记号的大调</w:t>
            </w:r>
          </w:p>
          <w:p w14:paraId="1B6806DA">
            <w:pPr>
              <w:keepNext w:val="0"/>
              <w:keepLines w:val="0"/>
              <w:pageBreakBefore w:val="0"/>
              <w:widowControl/>
              <w:kinsoku/>
              <w:wordWrap/>
              <w:overflowPunct/>
              <w:topLinePunct w:val="0"/>
              <w:autoSpaceDE/>
              <w:autoSpaceDN/>
              <w:bidi w:val="0"/>
              <w:adjustRightInd w:val="0"/>
              <w:snapToGrid w:val="0"/>
              <w:spacing w:line="360" w:lineRule="exact"/>
              <w:ind w:left="105" w:leftChars="5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3、a小调及升记号的小调</w:t>
            </w:r>
          </w:p>
          <w:p w14:paraId="59875C16">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4、降记号的小调</w:t>
            </w:r>
          </w:p>
        </w:tc>
        <w:tc>
          <w:tcPr>
            <w:tcW w:w="1132" w:type="dxa"/>
            <w:gridSpan w:val="5"/>
            <w:shd w:val="clear" w:color="auto" w:fill="auto"/>
            <w:noWrap w:val="0"/>
            <w:vAlign w:val="center"/>
          </w:tcPr>
          <w:p w14:paraId="3193E7C9">
            <w:pPr>
              <w:widowControl/>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支撑课程目标1、2、3</w:t>
            </w:r>
          </w:p>
          <w:p w14:paraId="0BBB3044">
            <w:pPr>
              <w:adjustRightInd w:val="0"/>
              <w:snapToGrid w:val="0"/>
              <w:jc w:val="center"/>
              <w:rPr>
                <w:rFonts w:ascii="仿宋_GB2312" w:hAnsi="仿宋_GB2312" w:eastAsia="仿宋_GB2312" w:cs="仿宋_GB2312"/>
                <w:bCs/>
                <w:color w:val="000000"/>
                <w:sz w:val="24"/>
                <w:szCs w:val="24"/>
              </w:rPr>
            </w:pPr>
          </w:p>
        </w:tc>
        <w:tc>
          <w:tcPr>
            <w:tcW w:w="876" w:type="dxa"/>
            <w:shd w:val="clear" w:color="auto" w:fill="FFFFFF"/>
            <w:noWrap w:val="0"/>
            <w:vAlign w:val="center"/>
          </w:tcPr>
          <w:p w14:paraId="7276C73E">
            <w:pPr>
              <w:adjustRightInd w:val="0"/>
              <w:snapToGrid w:val="0"/>
              <w:jc w:val="center"/>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48</w:t>
            </w:r>
          </w:p>
        </w:tc>
      </w:tr>
      <w:tr w14:paraId="4A26C6AA">
        <w:trPr>
          <w:trHeight w:val="454" w:hRule="atLeast"/>
        </w:trPr>
        <w:tc>
          <w:tcPr>
            <w:tcW w:w="1284" w:type="dxa"/>
            <w:vMerge w:val="continue"/>
            <w:shd w:val="clear" w:color="auto" w:fill="FFFFFF"/>
            <w:noWrap w:val="0"/>
            <w:vAlign w:val="center"/>
          </w:tcPr>
          <w:p w14:paraId="4FEAD096">
            <w:pPr>
              <w:adjustRightInd w:val="0"/>
              <w:snapToGrid w:val="0"/>
              <w:jc w:val="center"/>
              <w:rPr>
                <w:rFonts w:ascii="仿宋_GB2312" w:hAnsi="仿宋_GB2312" w:eastAsia="仿宋_GB2312" w:cs="仿宋_GB2312"/>
                <w:color w:val="000000"/>
                <w:sz w:val="24"/>
                <w:szCs w:val="24"/>
              </w:rPr>
            </w:pPr>
          </w:p>
        </w:tc>
        <w:tc>
          <w:tcPr>
            <w:tcW w:w="6307" w:type="dxa"/>
            <w:gridSpan w:val="12"/>
            <w:shd w:val="clear" w:color="auto" w:fill="auto"/>
            <w:noWrap w:val="0"/>
            <w:vAlign w:val="center"/>
          </w:tcPr>
          <w:p w14:paraId="28E1CA5F">
            <w:pPr>
              <w:adjustRightInd w:val="0"/>
              <w:snapToGrid w:val="0"/>
              <w:jc w:val="center"/>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合计</w:t>
            </w:r>
          </w:p>
        </w:tc>
        <w:tc>
          <w:tcPr>
            <w:tcW w:w="1557" w:type="dxa"/>
            <w:gridSpan w:val="4"/>
            <w:shd w:val="clear" w:color="auto" w:fill="FFFFFF"/>
            <w:noWrap w:val="0"/>
            <w:vAlign w:val="center"/>
          </w:tcPr>
          <w:p w14:paraId="015255F9">
            <w:pPr>
              <w:adjustRightInd w:val="0"/>
              <w:snapToGrid w:val="0"/>
              <w:jc w:val="center"/>
              <w:rPr>
                <w:rFonts w:ascii="仿宋_GB2312" w:hAnsi="仿宋_GB2312" w:eastAsia="仿宋_GB2312" w:cs="仿宋_GB2312"/>
                <w:color w:val="4472C4"/>
                <w:sz w:val="24"/>
                <w:szCs w:val="24"/>
              </w:rPr>
            </w:pPr>
          </w:p>
        </w:tc>
      </w:tr>
      <w:tr w14:paraId="16CBDAB6">
        <w:trPr>
          <w:trHeight w:val="495" w:hRule="atLeast"/>
        </w:trPr>
        <w:tc>
          <w:tcPr>
            <w:tcW w:w="1284" w:type="dxa"/>
            <w:vMerge w:val="restart"/>
            <w:shd w:val="clear" w:color="auto" w:fill="FFFFFF"/>
            <w:noWrap w:val="0"/>
            <w:vAlign w:val="center"/>
          </w:tcPr>
          <w:p w14:paraId="1A707822">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H</w:t>
            </w:r>
          </w:p>
          <w:p w14:paraId="0FD752F0">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实践内容（含教育实习、见习、研习，专业实习、毕业论文或毕业设计等）</w:t>
            </w:r>
          </w:p>
        </w:tc>
        <w:tc>
          <w:tcPr>
            <w:tcW w:w="1799" w:type="dxa"/>
            <w:gridSpan w:val="2"/>
            <w:noWrap w:val="0"/>
            <w:vAlign w:val="center"/>
          </w:tcPr>
          <w:p w14:paraId="6E0D0AC0">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实践主要内容和要求</w:t>
            </w:r>
          </w:p>
        </w:tc>
        <w:tc>
          <w:tcPr>
            <w:tcW w:w="4508" w:type="dxa"/>
            <w:gridSpan w:val="10"/>
            <w:noWrap w:val="0"/>
            <w:vAlign w:val="center"/>
          </w:tcPr>
          <w:p w14:paraId="54FA7492">
            <w:pPr>
              <w:adjustRightInd w:val="0"/>
              <w:snapToGrid w:val="0"/>
              <w:jc w:val="center"/>
              <w:textAlignment w:val="baseline"/>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支撑课程</w:t>
            </w:r>
          </w:p>
          <w:p w14:paraId="6A64B438">
            <w:pPr>
              <w:adjustRightInd w:val="0"/>
              <w:snapToGrid w:val="0"/>
              <w:jc w:val="center"/>
              <w:textAlignment w:val="baseline"/>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目标</w:t>
            </w:r>
          </w:p>
        </w:tc>
        <w:tc>
          <w:tcPr>
            <w:tcW w:w="1557" w:type="dxa"/>
            <w:gridSpan w:val="4"/>
            <w:noWrap w:val="0"/>
            <w:vAlign w:val="center"/>
          </w:tcPr>
          <w:p w14:paraId="5184F14A">
            <w:pPr>
              <w:adjustRightInd w:val="0"/>
              <w:snapToGrid w:val="0"/>
              <w:jc w:val="center"/>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时长</w:t>
            </w:r>
          </w:p>
          <w:p w14:paraId="1C5E01FC">
            <w:pPr>
              <w:adjustRightInd w:val="0"/>
              <w:snapToGrid w:val="0"/>
              <w:jc w:val="center"/>
              <w:rPr>
                <w:rFonts w:ascii="仿宋_GB2312" w:hAnsi="仿宋_GB2312" w:eastAsia="仿宋_GB2312" w:cs="仿宋_GB2312"/>
                <w:color w:val="4472C4"/>
                <w:sz w:val="24"/>
                <w:szCs w:val="24"/>
              </w:rPr>
            </w:pPr>
            <w:r>
              <w:rPr>
                <w:rFonts w:hint="eastAsia" w:ascii="仿宋_GB2312" w:hAnsi="仿宋_GB2312" w:eastAsia="仿宋_GB2312" w:cs="仿宋_GB2312"/>
                <w:color w:val="000000"/>
                <w:kern w:val="0"/>
                <w:sz w:val="24"/>
                <w:szCs w:val="24"/>
              </w:rPr>
              <w:t>分配</w:t>
            </w:r>
          </w:p>
        </w:tc>
      </w:tr>
      <w:tr w14:paraId="4B799CF5">
        <w:trPr>
          <w:trHeight w:val="1152" w:hRule="atLeast"/>
        </w:trPr>
        <w:tc>
          <w:tcPr>
            <w:tcW w:w="1284" w:type="dxa"/>
            <w:vMerge w:val="continue"/>
            <w:shd w:val="clear" w:color="auto" w:fill="FFFFFF"/>
            <w:noWrap w:val="0"/>
            <w:vAlign w:val="center"/>
          </w:tcPr>
          <w:p w14:paraId="3DB894FE">
            <w:pPr>
              <w:adjustRightInd w:val="0"/>
              <w:snapToGrid w:val="0"/>
              <w:jc w:val="center"/>
              <w:rPr>
                <w:rFonts w:ascii="仿宋_GB2312" w:hAnsi="仿宋_GB2312" w:eastAsia="仿宋_GB2312" w:cs="仿宋_GB2312"/>
                <w:color w:val="000000"/>
                <w:sz w:val="24"/>
                <w:szCs w:val="24"/>
              </w:rPr>
            </w:pPr>
          </w:p>
        </w:tc>
        <w:tc>
          <w:tcPr>
            <w:tcW w:w="1799" w:type="dxa"/>
            <w:gridSpan w:val="2"/>
            <w:noWrap w:val="0"/>
            <w:vAlign w:val="top"/>
          </w:tcPr>
          <w:p w14:paraId="4070A8EF">
            <w:pPr>
              <w:widowControl/>
              <w:autoSpaceDE w:val="0"/>
              <w:autoSpaceDN w:val="0"/>
              <w:adjustRightInd w:val="0"/>
              <w:snapToGrid w:val="0"/>
              <w:jc w:val="left"/>
              <w:textAlignment w:val="bottom"/>
              <w:rPr>
                <w:rFonts w:ascii="仿宋_GB2312" w:hAnsi="仿宋_GB2312" w:eastAsia="仿宋_GB2312" w:cs="仿宋_GB2312"/>
                <w:sz w:val="24"/>
                <w:szCs w:val="24"/>
              </w:rPr>
            </w:pPr>
          </w:p>
        </w:tc>
        <w:tc>
          <w:tcPr>
            <w:tcW w:w="4508" w:type="dxa"/>
            <w:gridSpan w:val="10"/>
            <w:noWrap w:val="0"/>
            <w:vAlign w:val="top"/>
          </w:tcPr>
          <w:p w14:paraId="01CD41DC">
            <w:pPr>
              <w:adjustRightInd w:val="0"/>
              <w:snapToGrid w:val="0"/>
              <w:jc w:val="left"/>
              <w:rPr>
                <w:rFonts w:ascii="仿宋_GB2312" w:hAnsi="仿宋_GB2312" w:eastAsia="仿宋_GB2312" w:cs="仿宋_GB2312"/>
                <w:color w:val="000000"/>
                <w:sz w:val="24"/>
                <w:szCs w:val="24"/>
              </w:rPr>
            </w:pPr>
          </w:p>
        </w:tc>
        <w:tc>
          <w:tcPr>
            <w:tcW w:w="1557" w:type="dxa"/>
            <w:gridSpan w:val="4"/>
            <w:noWrap w:val="0"/>
            <w:vAlign w:val="top"/>
          </w:tcPr>
          <w:p w14:paraId="2F562FA3">
            <w:pPr>
              <w:adjustRightInd w:val="0"/>
              <w:snapToGrid w:val="0"/>
              <w:jc w:val="left"/>
              <w:rPr>
                <w:rFonts w:ascii="仿宋_GB2312" w:hAnsi="仿宋_GB2312" w:eastAsia="仿宋_GB2312" w:cs="仿宋_GB2312"/>
                <w:color w:val="000000"/>
                <w:sz w:val="24"/>
                <w:szCs w:val="24"/>
              </w:rPr>
            </w:pPr>
          </w:p>
        </w:tc>
      </w:tr>
      <w:tr w14:paraId="704E633A">
        <w:trPr>
          <w:trHeight w:val="921" w:hRule="atLeast"/>
        </w:trPr>
        <w:tc>
          <w:tcPr>
            <w:tcW w:w="1284" w:type="dxa"/>
            <w:noWrap w:val="0"/>
            <w:vAlign w:val="center"/>
          </w:tcPr>
          <w:p w14:paraId="6E2A46B7">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I</w:t>
            </w:r>
          </w:p>
          <w:p w14:paraId="41CE2B18">
            <w:pPr>
              <w:adjustRightInd w:val="0"/>
              <w:snapToGrid w:val="0"/>
              <w:jc w:val="center"/>
              <w:rPr>
                <w:rFonts w:ascii="仿宋_GB2312" w:hAnsi="仿宋_GB2312" w:eastAsia="仿宋_GB2312" w:cs="仿宋_GB2312"/>
                <w:color w:val="000000"/>
                <w:sz w:val="24"/>
                <w:szCs w:val="24"/>
                <w:lang w:eastAsia="zh-TW"/>
              </w:rPr>
            </w:pPr>
            <w:r>
              <w:rPr>
                <w:rFonts w:hint="eastAsia" w:ascii="仿宋_GB2312" w:hAnsi="仿宋_GB2312" w:eastAsia="仿宋_GB2312" w:cs="仿宋_GB2312"/>
                <w:color w:val="000000"/>
                <w:sz w:val="24"/>
                <w:szCs w:val="24"/>
              </w:rPr>
              <w:t>教学方法与教学方式</w:t>
            </w:r>
          </w:p>
        </w:tc>
        <w:tc>
          <w:tcPr>
            <w:tcW w:w="7864" w:type="dxa"/>
            <w:gridSpan w:val="16"/>
            <w:tcBorders>
              <w:bottom w:val="single" w:color="auto" w:sz="4" w:space="0"/>
            </w:tcBorders>
            <w:noWrap w:val="0"/>
            <w:vAlign w:val="center"/>
          </w:tcPr>
          <w:p w14:paraId="7FEA4573">
            <w:pPr>
              <w:numPr>
                <w:ilvl w:val="0"/>
                <w:numId w:val="7"/>
              </w:num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示范教学法，在课堂上进行示范演奏，让学生直观学习。</w:t>
            </w:r>
          </w:p>
          <w:p w14:paraId="5F3CDE22">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2、分析教学法，通过课堂对技能技巧以及音乐情感如何表现进行分析，加上讨论纠错等方式，引导学生发现问题解决问题。</w:t>
            </w:r>
          </w:p>
          <w:p w14:paraId="1BA7C188">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3、开通网络课堂，达到与学生及时沟通、交流的目的。同时重视师生互动与小组活动，将课堂教学变为师生共同活动的过程。</w:t>
            </w:r>
          </w:p>
          <w:p w14:paraId="58658092">
            <w:pPr>
              <w:numPr>
                <w:ilvl w:val="0"/>
                <w:numId w:val="8"/>
              </w:numPr>
              <w:adjustRightInd w:val="0"/>
              <w:snapToGrid w:val="0"/>
              <w:ind w:left="0"/>
              <w:rPr>
                <w:rFonts w:ascii="仿宋_GB2312" w:hAnsi="仿宋_GB2312" w:eastAsia="仿宋_GB2312" w:cs="仿宋_GB2312"/>
                <w:sz w:val="24"/>
                <w:szCs w:val="24"/>
              </w:rPr>
            </w:pPr>
            <w:r>
              <w:rPr>
                <w:rFonts w:hint="eastAsia" w:ascii="仿宋_GB2312" w:hAnsi="仿宋_GB2312" w:eastAsia="仿宋_GB2312" w:cs="仿宋_GB2312"/>
                <w:sz w:val="24"/>
                <w:szCs w:val="24"/>
              </w:rPr>
              <w:t>主要方式：</w:t>
            </w:r>
          </w:p>
          <w:p w14:paraId="0C56F9EA">
            <w:pPr>
              <w:adjustRightInd w:val="0"/>
              <w:snapToGrid w:val="0"/>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sym w:font="Wingdings" w:char="00FE"/>
            </w:r>
            <w:r>
              <w:rPr>
                <w:rFonts w:hint="eastAsia" w:ascii="仿宋_GB2312" w:hAnsi="仿宋_GB2312" w:eastAsia="仿宋_GB2312" w:cs="仿宋_GB2312"/>
                <w:sz w:val="24"/>
                <w:szCs w:val="24"/>
              </w:rPr>
              <w:t xml:space="preserve">讲授  </w:t>
            </w:r>
            <w:r>
              <w:rPr>
                <w:rFonts w:hint="eastAsia" w:ascii="仿宋_GB2312" w:hAnsi="仿宋_GB2312" w:eastAsia="仿宋_GB2312" w:cs="仿宋_GB2312"/>
                <w:sz w:val="24"/>
                <w:szCs w:val="24"/>
              </w:rPr>
              <w:sym w:font="Wingdings" w:char="00FE"/>
            </w:r>
            <w:r>
              <w:rPr>
                <w:rFonts w:hint="eastAsia" w:ascii="仿宋_GB2312" w:hAnsi="仿宋_GB2312" w:eastAsia="仿宋_GB2312" w:cs="仿宋_GB2312"/>
                <w:sz w:val="24"/>
                <w:szCs w:val="24"/>
              </w:rPr>
              <w:t xml:space="preserve">网络学习  </w:t>
            </w:r>
            <w:r>
              <w:rPr>
                <w:rFonts w:hint="eastAsia" w:ascii="仿宋_GB2312" w:hAnsi="仿宋_GB2312" w:eastAsia="仿宋_GB2312" w:cs="仿宋_GB2312"/>
                <w:sz w:val="24"/>
                <w:szCs w:val="24"/>
              </w:rPr>
              <w:sym w:font="Wingdings" w:char="00FE"/>
            </w:r>
            <w:r>
              <w:rPr>
                <w:rFonts w:hint="eastAsia" w:ascii="仿宋_GB2312" w:hAnsi="仿宋_GB2312" w:eastAsia="仿宋_GB2312" w:cs="仿宋_GB2312"/>
                <w:sz w:val="24"/>
                <w:szCs w:val="24"/>
              </w:rPr>
              <w:t xml:space="preserve">讨论或座谈  </w:t>
            </w:r>
            <w:r>
              <w:rPr>
                <w:rFonts w:hint="eastAsia" w:ascii="仿宋_GB2312" w:hAnsi="仿宋_GB2312" w:eastAsia="仿宋_GB2312" w:cs="仿宋_GB2312"/>
                <w:sz w:val="24"/>
                <w:szCs w:val="24"/>
              </w:rPr>
              <w:sym w:font="Wingdings" w:char="00A8"/>
            </w:r>
            <w:r>
              <w:rPr>
                <w:rFonts w:hint="eastAsia" w:ascii="仿宋_GB2312" w:hAnsi="仿宋_GB2312" w:eastAsia="仿宋_GB2312" w:cs="仿宋_GB2312"/>
                <w:sz w:val="24"/>
                <w:szCs w:val="24"/>
              </w:rPr>
              <w:t xml:space="preserve">问题导向学  </w:t>
            </w:r>
          </w:p>
          <w:p w14:paraId="26BC8404">
            <w:pPr>
              <w:adjustRightInd w:val="0"/>
              <w:snapToGrid w:val="0"/>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sym w:font="Wingdings" w:char="00FE"/>
            </w:r>
            <w:r>
              <w:rPr>
                <w:rFonts w:hint="eastAsia" w:ascii="仿宋_GB2312" w:hAnsi="仿宋_GB2312" w:eastAsia="仿宋_GB2312" w:cs="仿宋_GB2312"/>
                <w:sz w:val="24"/>
                <w:szCs w:val="24"/>
              </w:rPr>
              <w:t xml:space="preserve">分组合作学习  </w:t>
            </w:r>
            <w:r>
              <w:rPr>
                <w:rFonts w:hint="eastAsia" w:ascii="仿宋_GB2312" w:hAnsi="仿宋_GB2312" w:eastAsia="仿宋_GB2312" w:cs="仿宋_GB2312"/>
                <w:sz w:val="24"/>
                <w:szCs w:val="24"/>
              </w:rPr>
              <w:sym w:font="Wingdings" w:char="00A8"/>
            </w:r>
            <w:r>
              <w:rPr>
                <w:rFonts w:hint="eastAsia" w:ascii="仿宋_GB2312" w:hAnsi="仿宋_GB2312" w:eastAsia="仿宋_GB2312" w:cs="仿宋_GB2312"/>
                <w:sz w:val="24"/>
                <w:szCs w:val="24"/>
              </w:rPr>
              <w:t xml:space="preserve">专题学习  </w:t>
            </w:r>
            <w:r>
              <w:rPr>
                <w:rFonts w:hint="eastAsia" w:ascii="仿宋_GB2312" w:hAnsi="仿宋_GB2312" w:eastAsia="仿宋_GB2312" w:cs="仿宋_GB2312"/>
                <w:sz w:val="24"/>
                <w:szCs w:val="24"/>
              </w:rPr>
              <w:sym w:font="Wingdings" w:char="00FE"/>
            </w:r>
            <w:r>
              <w:rPr>
                <w:rFonts w:hint="eastAsia" w:ascii="仿宋_GB2312" w:hAnsi="仿宋_GB2312" w:eastAsia="仿宋_GB2312" w:cs="仿宋_GB2312"/>
                <w:sz w:val="24"/>
                <w:szCs w:val="24"/>
              </w:rPr>
              <w:t xml:space="preserve">实作学习  </w:t>
            </w:r>
            <w:r>
              <w:rPr>
                <w:rFonts w:hint="eastAsia" w:ascii="仿宋_GB2312" w:hAnsi="仿宋_GB2312" w:eastAsia="仿宋_GB2312" w:cs="仿宋_GB2312"/>
                <w:sz w:val="24"/>
                <w:szCs w:val="24"/>
              </w:rPr>
              <w:sym w:font="Wingdings" w:char="00A8"/>
            </w:r>
            <w:r>
              <w:rPr>
                <w:rFonts w:hint="eastAsia" w:ascii="仿宋_GB2312" w:hAnsi="仿宋_GB2312" w:eastAsia="仿宋_GB2312" w:cs="仿宋_GB2312"/>
                <w:sz w:val="24"/>
                <w:szCs w:val="24"/>
              </w:rPr>
              <w:t xml:space="preserve">发表学习  </w:t>
            </w:r>
          </w:p>
          <w:p w14:paraId="4D1913F4">
            <w:pPr>
              <w:adjustRightInd w:val="0"/>
              <w:snapToGrid w:val="0"/>
              <w:ind w:firstLine="480" w:firstLineChars="200"/>
              <w:rPr>
                <w:rFonts w:ascii="仿宋_GB2312" w:hAnsi="仿宋_GB2312" w:eastAsia="仿宋_GB2312" w:cs="仿宋_GB2312"/>
                <w:color w:val="000000"/>
                <w:sz w:val="24"/>
                <w:szCs w:val="24"/>
              </w:rPr>
            </w:pPr>
            <w:r>
              <w:rPr>
                <w:rFonts w:hint="eastAsia" w:ascii="仿宋_GB2312" w:hAnsi="仿宋_GB2312" w:eastAsia="仿宋_GB2312" w:cs="仿宋_GB2312"/>
                <w:sz w:val="24"/>
                <w:szCs w:val="24"/>
              </w:rPr>
              <w:sym w:font="Wingdings" w:char="00A8"/>
            </w:r>
            <w:r>
              <w:rPr>
                <w:rFonts w:hint="eastAsia" w:ascii="仿宋_GB2312" w:hAnsi="仿宋_GB2312" w:eastAsia="仿宋_GB2312" w:cs="仿宋_GB2312"/>
                <w:sz w:val="24"/>
                <w:szCs w:val="24"/>
              </w:rPr>
              <w:t xml:space="preserve">实习  </w:t>
            </w:r>
            <w:r>
              <w:rPr>
                <w:rFonts w:hint="eastAsia" w:ascii="仿宋_GB2312" w:hAnsi="仿宋_GB2312" w:eastAsia="仿宋_GB2312" w:cs="仿宋_GB2312"/>
                <w:sz w:val="24"/>
                <w:szCs w:val="24"/>
              </w:rPr>
              <w:sym w:font="Wingdings" w:char="00A8"/>
            </w:r>
            <w:r>
              <w:rPr>
                <w:rFonts w:hint="eastAsia" w:ascii="仿宋_GB2312" w:hAnsi="仿宋_GB2312" w:eastAsia="仿宋_GB2312" w:cs="仿宋_GB2312"/>
                <w:sz w:val="24"/>
                <w:szCs w:val="24"/>
              </w:rPr>
              <w:t xml:space="preserve">参观访问  </w:t>
            </w:r>
            <w:r>
              <w:rPr>
                <w:rFonts w:hint="eastAsia" w:ascii="仿宋_GB2312" w:hAnsi="仿宋_GB2312" w:eastAsia="仿宋_GB2312" w:cs="仿宋_GB2312"/>
                <w:sz w:val="24"/>
                <w:szCs w:val="24"/>
              </w:rPr>
              <w:sym w:font="Wingdings" w:char="00A8"/>
            </w:r>
            <w:r>
              <w:rPr>
                <w:rFonts w:hint="eastAsia" w:ascii="仿宋_GB2312" w:hAnsi="仿宋_GB2312" w:eastAsia="仿宋_GB2312" w:cs="仿宋_GB2312"/>
                <w:sz w:val="24"/>
                <w:szCs w:val="24"/>
              </w:rPr>
              <w:t>其它：</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(如口头训练等)</w:t>
            </w:r>
          </w:p>
        </w:tc>
      </w:tr>
      <w:tr w14:paraId="036FD74B">
        <w:trPr>
          <w:trHeight w:val="580" w:hRule="atLeast"/>
        </w:trPr>
        <w:tc>
          <w:tcPr>
            <w:tcW w:w="1284" w:type="dxa"/>
            <w:noWrap w:val="0"/>
            <w:vAlign w:val="center"/>
          </w:tcPr>
          <w:p w14:paraId="29F173CE">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J</w:t>
            </w:r>
          </w:p>
          <w:p w14:paraId="089BCE5C">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教学条件</w:t>
            </w:r>
          </w:p>
          <w:p w14:paraId="27E9E908">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需求</w:t>
            </w:r>
          </w:p>
        </w:tc>
        <w:tc>
          <w:tcPr>
            <w:tcW w:w="7864" w:type="dxa"/>
            <w:gridSpan w:val="16"/>
            <w:tcBorders>
              <w:bottom w:val="single" w:color="auto" w:sz="4" w:space="0"/>
            </w:tcBorders>
            <w:noWrap w:val="0"/>
            <w:vAlign w:val="center"/>
          </w:tcPr>
          <w:p w14:paraId="766C6462">
            <w:pPr>
              <w:tabs>
                <w:tab w:val="left" w:pos="720"/>
              </w:tabs>
              <w:adjustRightInd w:val="0"/>
              <w:snapToGrid w:val="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（如时间、地点安排与“一课双师”等教师配备需求等）</w:t>
            </w:r>
          </w:p>
          <w:p w14:paraId="6BE41B1C">
            <w:pPr>
              <w:tabs>
                <w:tab w:val="left" w:pos="720"/>
              </w:tabs>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1.琴房、演艺厅、音乐厅等专业场地</w:t>
            </w:r>
          </w:p>
          <w:p w14:paraId="4F901506">
            <w:pPr>
              <w:tabs>
                <w:tab w:val="left" w:pos="720"/>
              </w:tabs>
              <w:adjustRightInd w:val="0"/>
              <w:snapToGrid w:val="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2.乐器</w:t>
            </w:r>
          </w:p>
          <w:p w14:paraId="5C8D8A43">
            <w:pPr>
              <w:tabs>
                <w:tab w:val="left" w:pos="720"/>
              </w:tabs>
              <w:adjustRightInd w:val="0"/>
              <w:snapToGrid w:val="0"/>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3.多媒体音响设备</w:t>
            </w:r>
          </w:p>
        </w:tc>
      </w:tr>
      <w:tr w14:paraId="67E0AAF2">
        <w:trPr>
          <w:trHeight w:val="711" w:hRule="atLeast"/>
        </w:trPr>
        <w:tc>
          <w:tcPr>
            <w:tcW w:w="1284" w:type="dxa"/>
            <w:vMerge w:val="restart"/>
            <w:noWrap w:val="0"/>
            <w:vAlign w:val="center"/>
          </w:tcPr>
          <w:p w14:paraId="5FF76B46">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K</w:t>
            </w:r>
          </w:p>
          <w:p w14:paraId="5CDC4B25">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课程目标及其考核内容、考核方式及评分占比</w:t>
            </w:r>
          </w:p>
        </w:tc>
        <w:tc>
          <w:tcPr>
            <w:tcW w:w="1043" w:type="dxa"/>
            <w:vMerge w:val="restart"/>
            <w:noWrap w:val="0"/>
            <w:vAlign w:val="center"/>
          </w:tcPr>
          <w:p w14:paraId="16665DF0">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课程目标及评分占比</w:t>
            </w:r>
          </w:p>
        </w:tc>
        <w:tc>
          <w:tcPr>
            <w:tcW w:w="3283" w:type="dxa"/>
            <w:gridSpan w:val="5"/>
            <w:vMerge w:val="restart"/>
            <w:tcBorders>
              <w:right w:val="single" w:color="000000" w:sz="4" w:space="0"/>
            </w:tcBorders>
            <w:noWrap w:val="0"/>
            <w:vAlign w:val="center"/>
          </w:tcPr>
          <w:p w14:paraId="58B83311">
            <w:pPr>
              <w:tabs>
                <w:tab w:val="left" w:pos="720"/>
              </w:tabs>
              <w:adjustRightInd w:val="0"/>
              <w:snapToGrid w:val="0"/>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考核内容</w:t>
            </w:r>
          </w:p>
        </w:tc>
        <w:tc>
          <w:tcPr>
            <w:tcW w:w="2652" w:type="dxa"/>
            <w:gridSpan w:val="8"/>
            <w:tcBorders>
              <w:left w:val="single" w:color="000000" w:sz="4" w:space="0"/>
              <w:right w:val="single" w:color="000000" w:sz="4" w:space="0"/>
            </w:tcBorders>
            <w:noWrap w:val="0"/>
            <w:vAlign w:val="center"/>
          </w:tcPr>
          <w:p w14:paraId="278EA981">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考核方式</w:t>
            </w:r>
          </w:p>
        </w:tc>
        <w:tc>
          <w:tcPr>
            <w:tcW w:w="886" w:type="dxa"/>
            <w:gridSpan w:val="2"/>
            <w:tcBorders>
              <w:left w:val="single" w:color="000000" w:sz="4" w:space="0"/>
            </w:tcBorders>
            <w:noWrap w:val="0"/>
            <w:vAlign w:val="center"/>
          </w:tcPr>
          <w:p w14:paraId="655DD2AE">
            <w:pPr>
              <w:tabs>
                <w:tab w:val="left" w:pos="720"/>
              </w:tabs>
              <w:adjustRightInd w:val="0"/>
              <w:snapToGrid w:val="0"/>
              <w:jc w:val="center"/>
              <w:rPr>
                <w:rFonts w:ascii="仿宋_GB2312" w:hAnsi="仿宋_GB2312" w:eastAsia="仿宋_GB2312" w:cs="仿宋_GB2312"/>
                <w:kern w:val="0"/>
                <w:sz w:val="24"/>
                <w:szCs w:val="24"/>
              </w:rPr>
            </w:pPr>
            <w:r>
              <w:rPr>
                <w:rFonts w:hint="eastAsia" w:ascii="仿宋_GB2312" w:hAnsi="仿宋_GB2312" w:eastAsia="仿宋_GB2312" w:cs="仿宋_GB2312"/>
                <w:sz w:val="24"/>
                <w:szCs w:val="24"/>
              </w:rPr>
              <w:t>课程分目标的达成度</w:t>
            </w:r>
          </w:p>
        </w:tc>
      </w:tr>
      <w:tr w14:paraId="755934B7">
        <w:trPr>
          <w:trHeight w:val="184" w:hRule="atLeast"/>
        </w:trPr>
        <w:tc>
          <w:tcPr>
            <w:tcW w:w="1284" w:type="dxa"/>
            <w:vMerge w:val="continue"/>
            <w:noWrap w:val="0"/>
            <w:vAlign w:val="center"/>
          </w:tcPr>
          <w:p w14:paraId="614A8B0B">
            <w:pPr>
              <w:adjustRightInd w:val="0"/>
              <w:snapToGrid w:val="0"/>
              <w:jc w:val="center"/>
              <w:rPr>
                <w:rFonts w:ascii="仿宋_GB2312" w:hAnsi="仿宋_GB2312" w:eastAsia="仿宋_GB2312" w:cs="仿宋_GB2312"/>
                <w:color w:val="000000"/>
                <w:sz w:val="24"/>
                <w:szCs w:val="24"/>
              </w:rPr>
            </w:pPr>
          </w:p>
        </w:tc>
        <w:tc>
          <w:tcPr>
            <w:tcW w:w="1043" w:type="dxa"/>
            <w:vMerge w:val="continue"/>
            <w:tcBorders>
              <w:tl2br w:val="single" w:color="auto" w:sz="4" w:space="0"/>
            </w:tcBorders>
            <w:noWrap w:val="0"/>
            <w:vAlign w:val="center"/>
          </w:tcPr>
          <w:p w14:paraId="3A24BC7B">
            <w:pPr>
              <w:adjustRightInd w:val="0"/>
              <w:snapToGrid w:val="0"/>
              <w:jc w:val="right"/>
              <w:rPr>
                <w:rFonts w:ascii="仿宋_GB2312" w:hAnsi="仿宋_GB2312" w:eastAsia="仿宋_GB2312" w:cs="仿宋_GB2312"/>
                <w:sz w:val="24"/>
                <w:szCs w:val="24"/>
              </w:rPr>
            </w:pPr>
          </w:p>
        </w:tc>
        <w:tc>
          <w:tcPr>
            <w:tcW w:w="3283" w:type="dxa"/>
            <w:gridSpan w:val="5"/>
            <w:vMerge w:val="continue"/>
            <w:tcBorders>
              <w:right w:val="single" w:color="000000" w:sz="4" w:space="0"/>
            </w:tcBorders>
            <w:noWrap w:val="0"/>
            <w:vAlign w:val="center"/>
          </w:tcPr>
          <w:p w14:paraId="74468B40">
            <w:pPr>
              <w:tabs>
                <w:tab w:val="left" w:pos="720"/>
              </w:tabs>
              <w:adjustRightInd w:val="0"/>
              <w:snapToGrid w:val="0"/>
              <w:jc w:val="center"/>
              <w:rPr>
                <w:rFonts w:ascii="仿宋_GB2312" w:hAnsi="仿宋_GB2312" w:eastAsia="仿宋_GB2312" w:cs="仿宋_GB2312"/>
                <w:kern w:val="0"/>
                <w:sz w:val="24"/>
                <w:szCs w:val="24"/>
              </w:rPr>
            </w:pPr>
          </w:p>
        </w:tc>
        <w:tc>
          <w:tcPr>
            <w:tcW w:w="884" w:type="dxa"/>
            <w:gridSpan w:val="2"/>
            <w:tcBorders>
              <w:left w:val="single" w:color="000000" w:sz="4" w:space="0"/>
              <w:right w:val="single" w:color="000000" w:sz="4" w:space="0"/>
            </w:tcBorders>
            <w:noWrap w:val="0"/>
            <w:vAlign w:val="center"/>
          </w:tcPr>
          <w:p w14:paraId="710B02E5">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作业评分占比（20%）</w:t>
            </w:r>
          </w:p>
        </w:tc>
        <w:tc>
          <w:tcPr>
            <w:tcW w:w="884" w:type="dxa"/>
            <w:gridSpan w:val="3"/>
            <w:tcBorders>
              <w:left w:val="single" w:color="000000" w:sz="4" w:space="0"/>
              <w:bottom w:val="single" w:color="auto" w:sz="4" w:space="0"/>
            </w:tcBorders>
            <w:noWrap w:val="0"/>
            <w:vAlign w:val="center"/>
          </w:tcPr>
          <w:p w14:paraId="765907AA">
            <w:pPr>
              <w:adjustRightInd w:val="0"/>
              <w:snapToGrid w:val="0"/>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期中考试评分占比</w:t>
            </w:r>
            <w:r>
              <w:rPr>
                <w:rFonts w:hint="eastAsia" w:ascii="仿宋_GB2312" w:hAnsi="仿宋_GB2312" w:eastAsia="仿宋_GB2312" w:cs="仿宋_GB2312"/>
                <w:sz w:val="24"/>
                <w:szCs w:val="24"/>
              </w:rPr>
              <w:t>（40%）</w:t>
            </w:r>
          </w:p>
        </w:tc>
        <w:tc>
          <w:tcPr>
            <w:tcW w:w="884" w:type="dxa"/>
            <w:gridSpan w:val="3"/>
            <w:tcBorders>
              <w:bottom w:val="single" w:color="auto" w:sz="4" w:space="0"/>
              <w:right w:val="single" w:color="000000" w:sz="4" w:space="0"/>
            </w:tcBorders>
            <w:noWrap w:val="0"/>
            <w:vAlign w:val="center"/>
          </w:tcPr>
          <w:p w14:paraId="7661AE94">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期末考试评分占比（40%）</w:t>
            </w:r>
          </w:p>
        </w:tc>
        <w:tc>
          <w:tcPr>
            <w:tcW w:w="886" w:type="dxa"/>
            <w:gridSpan w:val="2"/>
            <w:tcBorders>
              <w:left w:val="single" w:color="000000" w:sz="4" w:space="0"/>
            </w:tcBorders>
            <w:noWrap w:val="0"/>
            <w:vAlign w:val="center"/>
          </w:tcPr>
          <w:p w14:paraId="71753D45">
            <w:pPr>
              <w:tabs>
                <w:tab w:val="left" w:pos="720"/>
              </w:tabs>
              <w:adjustRightInd w:val="0"/>
              <w:snapToGrid w:val="0"/>
              <w:jc w:val="center"/>
              <w:rPr>
                <w:rFonts w:ascii="仿宋_GB2312" w:hAnsi="仿宋_GB2312" w:eastAsia="仿宋_GB2312" w:cs="仿宋_GB2312"/>
                <w:sz w:val="24"/>
                <w:szCs w:val="24"/>
              </w:rPr>
            </w:pPr>
          </w:p>
        </w:tc>
      </w:tr>
      <w:tr w14:paraId="660F240F">
        <w:tc>
          <w:tcPr>
            <w:tcW w:w="1284" w:type="dxa"/>
            <w:vMerge w:val="continue"/>
            <w:noWrap w:val="0"/>
            <w:vAlign w:val="center"/>
          </w:tcPr>
          <w:p w14:paraId="531F1DA7">
            <w:pPr>
              <w:adjustRightInd w:val="0"/>
              <w:snapToGrid w:val="0"/>
              <w:jc w:val="center"/>
              <w:rPr>
                <w:rFonts w:ascii="仿宋_GB2312" w:hAnsi="仿宋_GB2312" w:eastAsia="仿宋_GB2312" w:cs="仿宋_GB2312"/>
                <w:color w:val="000000"/>
                <w:sz w:val="24"/>
                <w:szCs w:val="24"/>
                <w:lang w:eastAsia="zh-TW"/>
              </w:rPr>
            </w:pPr>
          </w:p>
        </w:tc>
        <w:tc>
          <w:tcPr>
            <w:tcW w:w="1043" w:type="dxa"/>
            <w:tcBorders>
              <w:bottom w:val="single" w:color="auto" w:sz="4" w:space="0"/>
            </w:tcBorders>
            <w:noWrap w:val="0"/>
            <w:vAlign w:val="center"/>
          </w:tcPr>
          <w:p w14:paraId="693314A2">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kern w:val="0"/>
                <w:sz w:val="24"/>
                <w:szCs w:val="24"/>
              </w:rPr>
              <w:t>课程目标1（50%）</w:t>
            </w:r>
          </w:p>
        </w:tc>
        <w:tc>
          <w:tcPr>
            <w:tcW w:w="3283" w:type="dxa"/>
            <w:gridSpan w:val="5"/>
            <w:tcBorders>
              <w:bottom w:val="single" w:color="auto" w:sz="4" w:space="0"/>
              <w:right w:val="single" w:color="000000" w:sz="4" w:space="0"/>
            </w:tcBorders>
            <w:noWrap w:val="0"/>
            <w:vAlign w:val="center"/>
          </w:tcPr>
          <w:p w14:paraId="70369144">
            <w:pPr>
              <w:adjustRightInd w:val="0"/>
              <w:snapToGrid w:val="0"/>
              <w:rPr>
                <w:rFonts w:ascii="仿宋_GB2312" w:hAnsi="仿宋_GB2312" w:eastAsia="仿宋_GB2312" w:cs="仿宋_GB2312"/>
                <w:kern w:val="0"/>
                <w:sz w:val="24"/>
                <w:szCs w:val="24"/>
              </w:rPr>
            </w:pPr>
            <w:r>
              <w:rPr>
                <w:rFonts w:hint="eastAsia" w:ascii="仿宋_GB2312" w:hAnsi="仿宋_GB2312" w:eastAsia="仿宋_GB2312" w:cs="仿宋_GB2312"/>
                <w:sz w:val="24"/>
                <w:szCs w:val="24"/>
              </w:rPr>
              <w:t>能够较为扎实掌握音乐学科的基础知识，基本理论体系，结构与思想方法，基本功功底扎实</w:t>
            </w:r>
            <w:r>
              <w:rPr>
                <w:rFonts w:hint="eastAsia" w:ascii="仿宋_GB2312" w:hAnsi="仿宋_GB2312" w:eastAsia="仿宋_GB2312" w:cs="仿宋_GB2312"/>
                <w:bCs/>
                <w:sz w:val="24"/>
                <w:szCs w:val="24"/>
              </w:rPr>
              <w:t>。</w:t>
            </w:r>
          </w:p>
        </w:tc>
        <w:tc>
          <w:tcPr>
            <w:tcW w:w="884" w:type="dxa"/>
            <w:gridSpan w:val="2"/>
            <w:tcBorders>
              <w:left w:val="single" w:color="000000" w:sz="4" w:space="0"/>
              <w:bottom w:val="single" w:color="auto" w:sz="4" w:space="0"/>
              <w:right w:val="single" w:color="000000" w:sz="4" w:space="0"/>
            </w:tcBorders>
            <w:noWrap w:val="0"/>
            <w:vAlign w:val="center"/>
          </w:tcPr>
          <w:p w14:paraId="0257A8BD">
            <w:pPr>
              <w:adjustRightInd w:val="0"/>
              <w:snapToGrid w:val="0"/>
              <w:jc w:val="center"/>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10</w:t>
            </w:r>
          </w:p>
        </w:tc>
        <w:tc>
          <w:tcPr>
            <w:tcW w:w="884" w:type="dxa"/>
            <w:gridSpan w:val="3"/>
            <w:tcBorders>
              <w:left w:val="single" w:color="000000" w:sz="4" w:space="0"/>
              <w:bottom w:val="single" w:color="auto" w:sz="4" w:space="0"/>
              <w:right w:val="single" w:color="auto" w:sz="4" w:space="0"/>
            </w:tcBorders>
            <w:noWrap w:val="0"/>
            <w:vAlign w:val="center"/>
          </w:tcPr>
          <w:p w14:paraId="5A02012F">
            <w:pPr>
              <w:tabs>
                <w:tab w:val="left" w:pos="720"/>
              </w:tabs>
              <w:adjustRightInd w:val="0"/>
              <w:snapToGrid w:val="0"/>
              <w:jc w:val="center"/>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18</w:t>
            </w:r>
          </w:p>
        </w:tc>
        <w:tc>
          <w:tcPr>
            <w:tcW w:w="884" w:type="dxa"/>
            <w:gridSpan w:val="3"/>
            <w:tcBorders>
              <w:left w:val="single" w:color="auto" w:sz="4" w:space="0"/>
              <w:bottom w:val="single" w:color="auto" w:sz="4" w:space="0"/>
              <w:right w:val="single" w:color="auto" w:sz="4" w:space="0"/>
            </w:tcBorders>
            <w:noWrap w:val="0"/>
            <w:vAlign w:val="center"/>
          </w:tcPr>
          <w:p w14:paraId="7CAA8640">
            <w:pPr>
              <w:tabs>
                <w:tab w:val="left" w:pos="720"/>
              </w:tabs>
              <w:adjustRightInd w:val="0"/>
              <w:snapToGrid w:val="0"/>
              <w:jc w:val="center"/>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22</w:t>
            </w:r>
          </w:p>
        </w:tc>
        <w:tc>
          <w:tcPr>
            <w:tcW w:w="886" w:type="dxa"/>
            <w:gridSpan w:val="2"/>
            <w:tcBorders>
              <w:left w:val="single" w:color="auto" w:sz="4" w:space="0"/>
              <w:bottom w:val="single" w:color="auto" w:sz="4" w:space="0"/>
            </w:tcBorders>
            <w:noWrap w:val="0"/>
            <w:vAlign w:val="center"/>
          </w:tcPr>
          <w:p w14:paraId="702C0F8D">
            <w:pPr>
              <w:tabs>
                <w:tab w:val="left" w:pos="720"/>
              </w:tabs>
              <w:adjustRightInd w:val="0"/>
              <w:snapToGrid w:val="0"/>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0.7</w:t>
            </w:r>
          </w:p>
        </w:tc>
      </w:tr>
      <w:tr w14:paraId="2E972D25">
        <w:trPr>
          <w:trHeight w:val="745" w:hRule="atLeast"/>
        </w:trPr>
        <w:tc>
          <w:tcPr>
            <w:tcW w:w="1284" w:type="dxa"/>
            <w:vMerge w:val="continue"/>
            <w:noWrap w:val="0"/>
            <w:vAlign w:val="center"/>
          </w:tcPr>
          <w:p w14:paraId="5E481FE0">
            <w:pPr>
              <w:adjustRightInd w:val="0"/>
              <w:snapToGrid w:val="0"/>
              <w:jc w:val="center"/>
              <w:rPr>
                <w:rFonts w:ascii="仿宋_GB2312" w:hAnsi="仿宋_GB2312" w:eastAsia="仿宋_GB2312" w:cs="仿宋_GB2312"/>
                <w:color w:val="000000"/>
                <w:sz w:val="24"/>
                <w:szCs w:val="24"/>
                <w:lang w:eastAsia="zh-TW"/>
              </w:rPr>
            </w:pPr>
          </w:p>
        </w:tc>
        <w:tc>
          <w:tcPr>
            <w:tcW w:w="1043" w:type="dxa"/>
            <w:noWrap w:val="0"/>
            <w:vAlign w:val="center"/>
          </w:tcPr>
          <w:p w14:paraId="3A16AD91">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课程目标2（30%）</w:t>
            </w:r>
          </w:p>
        </w:tc>
        <w:tc>
          <w:tcPr>
            <w:tcW w:w="3283" w:type="dxa"/>
            <w:gridSpan w:val="5"/>
            <w:tcBorders>
              <w:right w:val="single" w:color="000000" w:sz="4" w:space="0"/>
            </w:tcBorders>
            <w:noWrap w:val="0"/>
            <w:vAlign w:val="top"/>
          </w:tcPr>
          <w:p w14:paraId="6CFF478A">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能够扎实掌握乐器演奏基础的教学方法，教学规律；能够发挥自身的长处、特征，有规律、有计划的进行学习，并形成总结出适合自己的经验。</w:t>
            </w:r>
          </w:p>
        </w:tc>
        <w:tc>
          <w:tcPr>
            <w:tcW w:w="884" w:type="dxa"/>
            <w:gridSpan w:val="2"/>
            <w:tcBorders>
              <w:left w:val="single" w:color="000000" w:sz="4" w:space="0"/>
              <w:right w:val="single" w:color="000000" w:sz="4" w:space="0"/>
            </w:tcBorders>
            <w:noWrap w:val="0"/>
            <w:vAlign w:val="center"/>
          </w:tcPr>
          <w:p w14:paraId="55A225BE">
            <w:pPr>
              <w:adjustRightInd w:val="0"/>
              <w:snapToGrid w:val="0"/>
              <w:jc w:val="center"/>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6</w:t>
            </w:r>
          </w:p>
        </w:tc>
        <w:tc>
          <w:tcPr>
            <w:tcW w:w="884" w:type="dxa"/>
            <w:gridSpan w:val="3"/>
            <w:tcBorders>
              <w:left w:val="single" w:color="000000" w:sz="4" w:space="0"/>
              <w:bottom w:val="single" w:color="000000" w:sz="4" w:space="0"/>
            </w:tcBorders>
            <w:noWrap w:val="0"/>
            <w:vAlign w:val="center"/>
          </w:tcPr>
          <w:p w14:paraId="1108A2C4">
            <w:pPr>
              <w:tabs>
                <w:tab w:val="left" w:pos="720"/>
              </w:tabs>
              <w:adjustRightInd w:val="0"/>
              <w:snapToGrid w:val="0"/>
              <w:jc w:val="center"/>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10</w:t>
            </w:r>
          </w:p>
        </w:tc>
        <w:tc>
          <w:tcPr>
            <w:tcW w:w="884" w:type="dxa"/>
            <w:gridSpan w:val="3"/>
            <w:tcBorders>
              <w:bottom w:val="single" w:color="000000" w:sz="4" w:space="0"/>
              <w:right w:val="single" w:color="000000" w:sz="4" w:space="0"/>
            </w:tcBorders>
            <w:noWrap w:val="0"/>
            <w:vAlign w:val="center"/>
          </w:tcPr>
          <w:p w14:paraId="2215C612">
            <w:pPr>
              <w:tabs>
                <w:tab w:val="left" w:pos="720"/>
              </w:tabs>
              <w:adjustRightInd w:val="0"/>
              <w:snapToGrid w:val="0"/>
              <w:jc w:val="center"/>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14</w:t>
            </w:r>
          </w:p>
        </w:tc>
        <w:tc>
          <w:tcPr>
            <w:tcW w:w="886" w:type="dxa"/>
            <w:gridSpan w:val="2"/>
            <w:tcBorders>
              <w:left w:val="single" w:color="000000" w:sz="4" w:space="0"/>
              <w:bottom w:val="single" w:color="000000" w:sz="4" w:space="0"/>
            </w:tcBorders>
            <w:noWrap w:val="0"/>
            <w:vAlign w:val="center"/>
          </w:tcPr>
          <w:p w14:paraId="230D60B8">
            <w:pPr>
              <w:tabs>
                <w:tab w:val="left" w:pos="720"/>
              </w:tabs>
              <w:adjustRightInd w:val="0"/>
              <w:snapToGrid w:val="0"/>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0.7</w:t>
            </w:r>
          </w:p>
        </w:tc>
      </w:tr>
      <w:tr w14:paraId="2D582222">
        <w:trPr>
          <w:trHeight w:val="515" w:hRule="atLeast"/>
        </w:trPr>
        <w:tc>
          <w:tcPr>
            <w:tcW w:w="1284" w:type="dxa"/>
            <w:vMerge w:val="continue"/>
            <w:noWrap w:val="0"/>
            <w:vAlign w:val="center"/>
          </w:tcPr>
          <w:p w14:paraId="03C6C2AC">
            <w:pPr>
              <w:adjustRightInd w:val="0"/>
              <w:snapToGrid w:val="0"/>
              <w:jc w:val="center"/>
              <w:rPr>
                <w:rFonts w:ascii="仿宋_GB2312" w:hAnsi="仿宋_GB2312" w:eastAsia="仿宋_GB2312" w:cs="仿宋_GB2312"/>
                <w:color w:val="000000"/>
                <w:sz w:val="24"/>
                <w:szCs w:val="24"/>
                <w:lang w:eastAsia="zh-TW"/>
              </w:rPr>
            </w:pPr>
          </w:p>
        </w:tc>
        <w:tc>
          <w:tcPr>
            <w:tcW w:w="1043" w:type="dxa"/>
            <w:tcBorders>
              <w:bottom w:val="single" w:color="auto" w:sz="4" w:space="0"/>
            </w:tcBorders>
            <w:noWrap w:val="0"/>
            <w:vAlign w:val="center"/>
          </w:tcPr>
          <w:p w14:paraId="02BE5D3C">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kern w:val="0"/>
                <w:sz w:val="24"/>
                <w:szCs w:val="24"/>
              </w:rPr>
              <w:t>课程目标3（20%）</w:t>
            </w:r>
          </w:p>
        </w:tc>
        <w:tc>
          <w:tcPr>
            <w:tcW w:w="3283" w:type="dxa"/>
            <w:gridSpan w:val="5"/>
            <w:tcBorders>
              <w:bottom w:val="single" w:color="auto" w:sz="4" w:space="0"/>
              <w:right w:val="single" w:color="000000" w:sz="4" w:space="0"/>
            </w:tcBorders>
            <w:noWrap w:val="0"/>
            <w:vAlign w:val="center"/>
          </w:tcPr>
          <w:p w14:paraId="1CBB7BC2">
            <w:pPr>
              <w:adjustRightInd w:val="0"/>
              <w:snapToGrid w:val="0"/>
              <w:rPr>
                <w:rFonts w:ascii="仿宋_GB2312" w:hAnsi="仿宋_GB2312" w:eastAsia="仿宋_GB2312" w:cs="仿宋_GB2312"/>
                <w:kern w:val="0"/>
                <w:sz w:val="24"/>
                <w:szCs w:val="24"/>
              </w:rPr>
            </w:pPr>
            <w:r>
              <w:rPr>
                <w:rFonts w:hint="eastAsia" w:ascii="仿宋_GB2312" w:hAnsi="仿宋_GB2312" w:eastAsia="仿宋_GB2312" w:cs="仿宋_GB2312"/>
                <w:sz w:val="24"/>
                <w:szCs w:val="24"/>
              </w:rPr>
              <w:t>具备团队协作的能力，充分领会到在学习，实践等活动中团队协作的意义，具备在实践中开展实践活动的较强能力。</w:t>
            </w:r>
          </w:p>
        </w:tc>
        <w:tc>
          <w:tcPr>
            <w:tcW w:w="884" w:type="dxa"/>
            <w:gridSpan w:val="2"/>
            <w:tcBorders>
              <w:left w:val="single" w:color="000000" w:sz="4" w:space="0"/>
              <w:bottom w:val="single" w:color="auto" w:sz="4" w:space="0"/>
              <w:right w:val="single" w:color="000000" w:sz="4" w:space="0"/>
            </w:tcBorders>
            <w:noWrap w:val="0"/>
            <w:vAlign w:val="center"/>
          </w:tcPr>
          <w:p w14:paraId="7E9CACCC">
            <w:pPr>
              <w:adjustRightInd w:val="0"/>
              <w:snapToGrid w:val="0"/>
              <w:jc w:val="center"/>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4</w:t>
            </w:r>
          </w:p>
        </w:tc>
        <w:tc>
          <w:tcPr>
            <w:tcW w:w="884" w:type="dxa"/>
            <w:gridSpan w:val="3"/>
            <w:tcBorders>
              <w:top w:val="single" w:color="000000" w:sz="4" w:space="0"/>
              <w:left w:val="single" w:color="000000" w:sz="4" w:space="0"/>
              <w:bottom w:val="single" w:color="auto" w:sz="4" w:space="0"/>
            </w:tcBorders>
            <w:noWrap w:val="0"/>
            <w:vAlign w:val="center"/>
          </w:tcPr>
          <w:p w14:paraId="7E110AC2">
            <w:pPr>
              <w:tabs>
                <w:tab w:val="left" w:pos="720"/>
              </w:tabs>
              <w:adjustRightInd w:val="0"/>
              <w:snapToGrid w:val="0"/>
              <w:jc w:val="center"/>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12</w:t>
            </w:r>
          </w:p>
        </w:tc>
        <w:tc>
          <w:tcPr>
            <w:tcW w:w="884" w:type="dxa"/>
            <w:gridSpan w:val="3"/>
            <w:tcBorders>
              <w:top w:val="single" w:color="000000" w:sz="4" w:space="0"/>
              <w:bottom w:val="single" w:color="auto" w:sz="4" w:space="0"/>
              <w:right w:val="single" w:color="000000" w:sz="4" w:space="0"/>
            </w:tcBorders>
            <w:noWrap w:val="0"/>
            <w:vAlign w:val="center"/>
          </w:tcPr>
          <w:p w14:paraId="2B93ABC2">
            <w:pPr>
              <w:tabs>
                <w:tab w:val="left" w:pos="720"/>
              </w:tabs>
              <w:adjustRightInd w:val="0"/>
              <w:snapToGrid w:val="0"/>
              <w:jc w:val="center"/>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4</w:t>
            </w:r>
          </w:p>
        </w:tc>
        <w:tc>
          <w:tcPr>
            <w:tcW w:w="886" w:type="dxa"/>
            <w:gridSpan w:val="2"/>
            <w:tcBorders>
              <w:top w:val="single" w:color="000000" w:sz="4" w:space="0"/>
              <w:left w:val="single" w:color="000000" w:sz="4" w:space="0"/>
              <w:bottom w:val="single" w:color="auto" w:sz="4" w:space="0"/>
            </w:tcBorders>
            <w:noWrap w:val="0"/>
            <w:vAlign w:val="center"/>
          </w:tcPr>
          <w:p w14:paraId="0DC8D242">
            <w:pPr>
              <w:tabs>
                <w:tab w:val="left" w:pos="720"/>
              </w:tabs>
              <w:adjustRightInd w:val="0"/>
              <w:snapToGrid w:val="0"/>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0.7</w:t>
            </w:r>
          </w:p>
        </w:tc>
      </w:tr>
      <w:tr w14:paraId="106DDE43">
        <w:trPr>
          <w:trHeight w:val="779" w:hRule="atLeast"/>
        </w:trPr>
        <w:tc>
          <w:tcPr>
            <w:tcW w:w="1284" w:type="dxa"/>
            <w:vMerge w:val="continue"/>
            <w:noWrap w:val="0"/>
            <w:vAlign w:val="center"/>
          </w:tcPr>
          <w:p w14:paraId="1E677CD7">
            <w:pPr>
              <w:adjustRightInd w:val="0"/>
              <w:snapToGrid w:val="0"/>
              <w:jc w:val="center"/>
              <w:rPr>
                <w:rFonts w:ascii="仿宋_GB2312" w:hAnsi="仿宋_GB2312" w:eastAsia="仿宋_GB2312" w:cs="仿宋_GB2312"/>
                <w:color w:val="000000"/>
                <w:sz w:val="24"/>
                <w:szCs w:val="24"/>
                <w:lang w:eastAsia="zh-TW"/>
              </w:rPr>
            </w:pPr>
          </w:p>
        </w:tc>
        <w:tc>
          <w:tcPr>
            <w:tcW w:w="4326" w:type="dxa"/>
            <w:gridSpan w:val="6"/>
            <w:tcBorders>
              <w:bottom w:val="single" w:color="auto" w:sz="4" w:space="0"/>
              <w:right w:val="single" w:color="000000" w:sz="4" w:space="0"/>
            </w:tcBorders>
            <w:noWrap w:val="0"/>
            <w:vAlign w:val="center"/>
          </w:tcPr>
          <w:p w14:paraId="04CA2020">
            <w:pPr>
              <w:widowControl/>
              <w:autoSpaceDE w:val="0"/>
              <w:autoSpaceDN w:val="0"/>
              <w:adjustRightInd w:val="0"/>
              <w:snapToGrid w:val="0"/>
              <w:jc w:val="center"/>
              <w:textAlignment w:val="bottom"/>
              <w:rPr>
                <w:rFonts w:ascii="仿宋_GB2312" w:hAnsi="仿宋_GB2312" w:eastAsia="仿宋_GB2312" w:cs="仿宋_GB2312"/>
                <w:sz w:val="24"/>
                <w:szCs w:val="24"/>
              </w:rPr>
            </w:pPr>
            <w:r>
              <w:rPr>
                <w:rFonts w:hint="eastAsia" w:ascii="仿宋_GB2312" w:hAnsi="仿宋_GB2312" w:eastAsia="仿宋_GB2312" w:cs="仿宋_GB2312"/>
                <w:sz w:val="24"/>
                <w:szCs w:val="24"/>
              </w:rPr>
              <w:t>总分</w:t>
            </w:r>
          </w:p>
        </w:tc>
        <w:tc>
          <w:tcPr>
            <w:tcW w:w="884" w:type="dxa"/>
            <w:gridSpan w:val="2"/>
            <w:tcBorders>
              <w:left w:val="single" w:color="000000" w:sz="4" w:space="0"/>
              <w:bottom w:val="single" w:color="auto" w:sz="4" w:space="0"/>
              <w:right w:val="single" w:color="000000" w:sz="4" w:space="0"/>
            </w:tcBorders>
            <w:noWrap w:val="0"/>
            <w:vAlign w:val="center"/>
          </w:tcPr>
          <w:p w14:paraId="2F15A427">
            <w:pPr>
              <w:adjustRightInd w:val="0"/>
              <w:snapToGrid w:val="0"/>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20</w:t>
            </w:r>
          </w:p>
        </w:tc>
        <w:tc>
          <w:tcPr>
            <w:tcW w:w="884" w:type="dxa"/>
            <w:gridSpan w:val="3"/>
            <w:tcBorders>
              <w:top w:val="single" w:color="000000" w:sz="4" w:space="0"/>
              <w:left w:val="single" w:color="000000" w:sz="4" w:space="0"/>
              <w:bottom w:val="single" w:color="auto" w:sz="4" w:space="0"/>
            </w:tcBorders>
            <w:noWrap w:val="0"/>
            <w:vAlign w:val="center"/>
          </w:tcPr>
          <w:p w14:paraId="65F9D948">
            <w:pPr>
              <w:tabs>
                <w:tab w:val="left" w:pos="720"/>
              </w:tabs>
              <w:adjustRightInd w:val="0"/>
              <w:snapToGrid w:val="0"/>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40</w:t>
            </w:r>
          </w:p>
        </w:tc>
        <w:tc>
          <w:tcPr>
            <w:tcW w:w="884" w:type="dxa"/>
            <w:gridSpan w:val="3"/>
            <w:tcBorders>
              <w:top w:val="single" w:color="000000" w:sz="4" w:space="0"/>
              <w:bottom w:val="single" w:color="auto" w:sz="4" w:space="0"/>
              <w:right w:val="single" w:color="000000" w:sz="4" w:space="0"/>
            </w:tcBorders>
            <w:noWrap w:val="0"/>
            <w:vAlign w:val="center"/>
          </w:tcPr>
          <w:p w14:paraId="72BEF5BC">
            <w:pPr>
              <w:tabs>
                <w:tab w:val="left" w:pos="720"/>
              </w:tabs>
              <w:adjustRightInd w:val="0"/>
              <w:snapToGrid w:val="0"/>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40</w:t>
            </w:r>
          </w:p>
        </w:tc>
        <w:tc>
          <w:tcPr>
            <w:tcW w:w="886" w:type="dxa"/>
            <w:gridSpan w:val="2"/>
            <w:tcBorders>
              <w:top w:val="single" w:color="000000" w:sz="4" w:space="0"/>
              <w:left w:val="single" w:color="000000" w:sz="4" w:space="0"/>
              <w:bottom w:val="single" w:color="auto" w:sz="4" w:space="0"/>
            </w:tcBorders>
            <w:noWrap w:val="0"/>
            <w:vAlign w:val="center"/>
          </w:tcPr>
          <w:p w14:paraId="27B53CD6">
            <w:pPr>
              <w:tabs>
                <w:tab w:val="left" w:pos="720"/>
              </w:tabs>
              <w:adjustRightInd w:val="0"/>
              <w:snapToGrid w:val="0"/>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0.7</w:t>
            </w:r>
          </w:p>
        </w:tc>
      </w:tr>
      <w:tr w14:paraId="21FF80E0">
        <w:tc>
          <w:tcPr>
            <w:tcW w:w="1284" w:type="dxa"/>
            <w:noWrap w:val="0"/>
            <w:vAlign w:val="center"/>
          </w:tcPr>
          <w:p w14:paraId="07886383">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L</w:t>
            </w:r>
          </w:p>
          <w:p w14:paraId="48C1AFB9">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学习建议</w:t>
            </w:r>
          </w:p>
        </w:tc>
        <w:tc>
          <w:tcPr>
            <w:tcW w:w="7864" w:type="dxa"/>
            <w:gridSpan w:val="16"/>
            <w:tcBorders>
              <w:bottom w:val="single" w:color="auto" w:sz="4" w:space="0"/>
            </w:tcBorders>
            <w:noWrap w:val="0"/>
            <w:vAlign w:val="center"/>
          </w:tcPr>
          <w:p w14:paraId="0B471DEB">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1.自主学习。建议学生通过预习教材，并通过网络、图书馆自主查阅课程中涉及的学习资源，独立规划自己的课程学习计划，充分发挥自身的学习能动性。</w:t>
            </w:r>
          </w:p>
          <w:p w14:paraId="7B4BCF2D">
            <w:pPr>
              <w:adjustRightInd w:val="0"/>
              <w:snapToGrid w:val="0"/>
              <w:rPr>
                <w:rFonts w:ascii="仿宋_GB2312" w:hAnsi="仿宋_GB2312" w:eastAsia="仿宋_GB2312" w:cs="仿宋_GB2312"/>
                <w:kern w:val="0"/>
                <w:sz w:val="24"/>
                <w:szCs w:val="24"/>
              </w:rPr>
            </w:pPr>
            <w:r>
              <w:rPr>
                <w:rFonts w:hint="eastAsia" w:ascii="仿宋_GB2312" w:hAnsi="仿宋_GB2312" w:eastAsia="仿宋_GB2312" w:cs="仿宋_GB2312"/>
                <w:bCs/>
                <w:sz w:val="24"/>
                <w:szCs w:val="24"/>
              </w:rPr>
              <w:t>2.研究性学习。鼓励学生针对课程教学内容，尝试实践课结合专题报告的教学方式，开展相关的乐器专题讲座，提高学生的学习兴趣，了解国内外器乐演奏发展动态，开阔学生的视野。</w:t>
            </w:r>
          </w:p>
        </w:tc>
      </w:tr>
      <w:tr w14:paraId="5B4FB924">
        <w:trPr>
          <w:trHeight w:val="454" w:hRule="atLeast"/>
        </w:trPr>
        <w:tc>
          <w:tcPr>
            <w:tcW w:w="1284" w:type="dxa"/>
            <w:noWrap w:val="0"/>
            <w:vAlign w:val="center"/>
          </w:tcPr>
          <w:p w14:paraId="06DF5223">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M</w:t>
            </w:r>
          </w:p>
          <w:p w14:paraId="2D0A789F">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评分量表</w:t>
            </w:r>
          </w:p>
        </w:tc>
        <w:tc>
          <w:tcPr>
            <w:tcW w:w="7864" w:type="dxa"/>
            <w:gridSpan w:val="16"/>
            <w:noWrap w:val="0"/>
            <w:vAlign w:val="center"/>
          </w:tcPr>
          <w:p w14:paraId="533B053A">
            <w:pPr>
              <w:tabs>
                <w:tab w:val="left" w:pos="720"/>
              </w:tabs>
              <w:adjustRightInd w:val="0"/>
              <w:snapToGrid w:val="0"/>
              <w:rPr>
                <w:rFonts w:ascii="仿宋_GB2312" w:hAnsi="仿宋_GB2312" w:eastAsia="仿宋_GB2312" w:cs="仿宋_GB2312"/>
                <w:color w:val="000000"/>
                <w:kern w:val="0"/>
                <w:sz w:val="24"/>
                <w:szCs w:val="24"/>
              </w:rPr>
            </w:pPr>
            <w:r>
              <w:rPr>
                <w:rFonts w:hint="eastAsia" w:ascii="仿宋_GB2312" w:hAnsi="仿宋_GB2312" w:eastAsia="仿宋_GB2312" w:cs="仿宋_GB2312"/>
                <w:kern w:val="0"/>
                <w:sz w:val="24"/>
                <w:szCs w:val="24"/>
              </w:rPr>
              <w:t>《</w:t>
            </w:r>
            <w:r>
              <w:rPr>
                <w:rFonts w:hint="eastAsia" w:ascii="仿宋_GB2312" w:hAnsi="仿宋_GB2312" w:eastAsia="仿宋_GB2312" w:cs="仿宋_GB2312"/>
                <w:bCs/>
                <w:sz w:val="24"/>
                <w:szCs w:val="24"/>
              </w:rPr>
              <w:t>乐器演奏</w:t>
            </w:r>
            <w:r>
              <w:rPr>
                <w:rFonts w:hint="eastAsia" w:ascii="仿宋_GB2312" w:hAnsi="仿宋_GB2312" w:eastAsia="仿宋_GB2312" w:cs="仿宋_GB2312"/>
                <w:kern w:val="0"/>
                <w:sz w:val="24"/>
                <w:szCs w:val="24"/>
              </w:rPr>
              <w:t>》课</w:t>
            </w:r>
            <w:r>
              <w:rPr>
                <w:rFonts w:hint="eastAsia" w:ascii="仿宋_GB2312" w:hAnsi="仿宋_GB2312" w:eastAsia="仿宋_GB2312" w:cs="仿宋_GB2312"/>
                <w:color w:val="000000"/>
                <w:kern w:val="0"/>
                <w:sz w:val="24"/>
                <w:szCs w:val="24"/>
              </w:rPr>
              <w:t>程目标评分量表见附表。</w:t>
            </w:r>
          </w:p>
        </w:tc>
      </w:tr>
      <w:tr w14:paraId="158FEAAB">
        <w:trPr>
          <w:trHeight w:val="454" w:hRule="atLeast"/>
        </w:trPr>
        <w:tc>
          <w:tcPr>
            <w:tcW w:w="1284" w:type="dxa"/>
            <w:noWrap w:val="0"/>
            <w:vAlign w:val="center"/>
          </w:tcPr>
          <w:p w14:paraId="3AB99DA8">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备注</w:t>
            </w:r>
          </w:p>
        </w:tc>
        <w:tc>
          <w:tcPr>
            <w:tcW w:w="7864" w:type="dxa"/>
            <w:gridSpan w:val="16"/>
            <w:noWrap w:val="0"/>
            <w:vAlign w:val="center"/>
          </w:tcPr>
          <w:p w14:paraId="71C62F94">
            <w:pPr>
              <w:adjustRightInd w:val="0"/>
              <w:snapToGrid w:val="0"/>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sz w:val="24"/>
                <w:szCs w:val="24"/>
              </w:rPr>
              <w:t>课程大纲A—M项由开课学院审批通过，任课教师不能自行更改。</w:t>
            </w:r>
          </w:p>
        </w:tc>
      </w:tr>
      <w:tr w14:paraId="5A5A4E61">
        <w:trPr>
          <w:trHeight w:val="771" w:hRule="atLeast"/>
        </w:trPr>
        <w:tc>
          <w:tcPr>
            <w:tcW w:w="1284" w:type="dxa"/>
            <w:noWrap w:val="0"/>
            <w:vAlign w:val="center"/>
          </w:tcPr>
          <w:p w14:paraId="63392AB3">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审批</w:t>
            </w:r>
          </w:p>
          <w:p w14:paraId="04DA7464">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意见</w:t>
            </w:r>
          </w:p>
        </w:tc>
        <w:tc>
          <w:tcPr>
            <w:tcW w:w="1799" w:type="dxa"/>
            <w:gridSpan w:val="2"/>
            <w:noWrap w:val="0"/>
            <w:vAlign w:val="center"/>
          </w:tcPr>
          <w:p w14:paraId="69F81F00">
            <w:pPr>
              <w:widowControl/>
              <w:adjustRightInd w:val="0"/>
              <w:snapToGrid w:val="0"/>
              <w:jc w:val="lef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课程教学大纲修订负责人及教学团队成员</w:t>
            </w:r>
            <w:r>
              <w:rPr>
                <w:rFonts w:hint="eastAsia" w:ascii="仿宋_GB2312" w:hAnsi="仿宋_GB2312" w:eastAsia="仿宋_GB2312" w:cs="仿宋_GB2312"/>
                <w:color w:val="000000"/>
                <w:sz w:val="24"/>
                <w:szCs w:val="24"/>
              </w:rPr>
              <w:t>签名</w:t>
            </w:r>
            <w:r>
              <w:rPr>
                <w:rFonts w:hint="eastAsia" w:ascii="仿宋_GB2312" w:hAnsi="仿宋_GB2312" w:eastAsia="仿宋_GB2312" w:cs="仿宋_GB2312"/>
                <w:kern w:val="0"/>
                <w:sz w:val="24"/>
                <w:szCs w:val="24"/>
              </w:rPr>
              <w:t xml:space="preserve">：   </w:t>
            </w:r>
          </w:p>
          <w:p w14:paraId="66516D5E">
            <w:pPr>
              <w:widowControl/>
              <w:adjustRightInd w:val="0"/>
              <w:snapToGrid w:val="0"/>
              <w:jc w:val="left"/>
              <w:rPr>
                <w:rFonts w:ascii="仿宋_GB2312" w:hAnsi="仿宋_GB2312" w:eastAsia="仿宋_GB2312" w:cs="仿宋_GB2312"/>
                <w:kern w:val="0"/>
                <w:sz w:val="24"/>
                <w:szCs w:val="24"/>
              </w:rPr>
            </w:pPr>
          </w:p>
          <w:p w14:paraId="4A609EF6">
            <w:pPr>
              <w:widowControl/>
              <w:adjustRightInd w:val="0"/>
              <w:snapToGrid w:val="0"/>
              <w:jc w:val="left"/>
              <w:rPr>
                <w:rFonts w:ascii="仿宋_GB2312" w:hAnsi="仿宋_GB2312" w:eastAsia="仿宋_GB2312" w:cs="仿宋_GB2312"/>
                <w:kern w:val="0"/>
                <w:sz w:val="24"/>
                <w:szCs w:val="24"/>
              </w:rPr>
            </w:pPr>
          </w:p>
          <w:p w14:paraId="364E06D6">
            <w:pPr>
              <w:widowControl/>
              <w:adjustRightInd w:val="0"/>
              <w:snapToGrid w:val="0"/>
              <w:jc w:val="righ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 xml:space="preserve">                                                   年   月   日 </w:t>
            </w:r>
          </w:p>
          <w:p w14:paraId="13B0E516">
            <w:pPr>
              <w:widowControl/>
              <w:adjustRightInd w:val="0"/>
              <w:snapToGrid w:val="0"/>
              <w:jc w:val="right"/>
              <w:rPr>
                <w:rFonts w:ascii="仿宋_GB2312" w:hAnsi="仿宋_GB2312" w:eastAsia="仿宋_GB2312" w:cs="仿宋_GB2312"/>
                <w:kern w:val="0"/>
                <w:sz w:val="24"/>
                <w:szCs w:val="24"/>
              </w:rPr>
            </w:pPr>
          </w:p>
        </w:tc>
        <w:tc>
          <w:tcPr>
            <w:tcW w:w="6065" w:type="dxa"/>
            <w:gridSpan w:val="14"/>
            <w:noWrap w:val="0"/>
            <w:vAlign w:val="center"/>
          </w:tcPr>
          <w:p w14:paraId="5A932AB6">
            <w:pPr>
              <w:widowControl/>
              <w:adjustRightInd w:val="0"/>
              <w:snapToGrid w:val="0"/>
              <w:jc w:val="lef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系主任审核意见：</w:t>
            </w:r>
          </w:p>
          <w:p w14:paraId="32C40897">
            <w:pPr>
              <w:widowControl/>
              <w:adjustRightInd w:val="0"/>
              <w:snapToGrid w:val="0"/>
              <w:jc w:val="left"/>
              <w:rPr>
                <w:rFonts w:ascii="仿宋_GB2312" w:hAnsi="仿宋_GB2312" w:eastAsia="仿宋_GB2312" w:cs="仿宋_GB2312"/>
                <w:kern w:val="0"/>
                <w:sz w:val="24"/>
                <w:szCs w:val="24"/>
              </w:rPr>
            </w:pPr>
          </w:p>
          <w:p w14:paraId="72E2FA14">
            <w:pPr>
              <w:widowControl/>
              <w:adjustRightInd w:val="0"/>
              <w:snapToGrid w:val="0"/>
              <w:jc w:val="left"/>
              <w:rPr>
                <w:rFonts w:ascii="仿宋_GB2312" w:hAnsi="仿宋_GB2312" w:eastAsia="仿宋_GB2312" w:cs="仿宋_GB2312"/>
                <w:kern w:val="0"/>
                <w:sz w:val="24"/>
                <w:szCs w:val="24"/>
              </w:rPr>
            </w:pPr>
          </w:p>
          <w:p w14:paraId="39A3F2A1">
            <w:pPr>
              <w:widowControl/>
              <w:adjustRightInd w:val="0"/>
              <w:snapToGrid w:val="0"/>
              <w:jc w:val="lef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系主任签名：</w:t>
            </w:r>
          </w:p>
          <w:p w14:paraId="7B8CBF88">
            <w:pPr>
              <w:widowControl/>
              <w:adjustRightInd w:val="0"/>
              <w:snapToGrid w:val="0"/>
              <w:jc w:val="right"/>
              <w:rPr>
                <w:rFonts w:ascii="仿宋_GB2312" w:hAnsi="仿宋_GB2312" w:eastAsia="仿宋_GB2312" w:cs="仿宋_GB2312"/>
                <w:kern w:val="0"/>
                <w:sz w:val="24"/>
                <w:szCs w:val="24"/>
              </w:rPr>
            </w:pPr>
          </w:p>
          <w:p w14:paraId="15579032">
            <w:pPr>
              <w:widowControl/>
              <w:adjustRightInd w:val="0"/>
              <w:snapToGrid w:val="0"/>
              <w:jc w:val="righ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年   月   日</w:t>
            </w:r>
          </w:p>
          <w:p w14:paraId="32AF1E8E">
            <w:pPr>
              <w:widowControl/>
              <w:adjustRightInd w:val="0"/>
              <w:snapToGrid w:val="0"/>
              <w:jc w:val="right"/>
              <w:rPr>
                <w:rFonts w:ascii="仿宋_GB2312" w:hAnsi="仿宋_GB2312" w:eastAsia="仿宋_GB2312" w:cs="仿宋_GB2312"/>
                <w:kern w:val="0"/>
                <w:sz w:val="24"/>
                <w:szCs w:val="24"/>
              </w:rPr>
            </w:pPr>
          </w:p>
        </w:tc>
      </w:tr>
    </w:tbl>
    <w:p w14:paraId="11E9F06D">
      <w:pPr>
        <w:widowControl/>
        <w:spacing w:line="360" w:lineRule="auto"/>
        <w:ind w:right="480" w:firstLine="420" w:firstLineChars="200"/>
        <w:rPr>
          <w:rFonts w:eastAsia="PMingLiU" w:cs="黑体"/>
          <w:lang w:eastAsia="zh-TW"/>
        </w:rPr>
      </w:pPr>
    </w:p>
    <w:p w14:paraId="6E0B1BD7">
      <w:pPr>
        <w:widowControl/>
        <w:spacing w:line="360" w:lineRule="auto"/>
        <w:ind w:right="480" w:firstLine="420" w:firstLineChars="200"/>
        <w:rPr>
          <w:rFonts w:eastAsia="PMingLiU" w:cs="黑体"/>
          <w:lang w:eastAsia="zh-TW"/>
        </w:rPr>
      </w:pPr>
    </w:p>
    <w:p w14:paraId="77C7AE0E">
      <w:pPr>
        <w:adjustRightInd w:val="0"/>
        <w:snapToGrid w:val="0"/>
        <w:spacing w:line="360" w:lineRule="auto"/>
        <w:jc w:val="center"/>
        <w:rPr>
          <w:rFonts w:hint="eastAsia" w:ascii="仿宋" w:hAnsi="仿宋" w:eastAsia="仿宋" w:cs="仿宋"/>
          <w:sz w:val="28"/>
          <w:szCs w:val="28"/>
        </w:rPr>
      </w:pPr>
      <w:r>
        <w:rPr>
          <w:rFonts w:hint="eastAsia" w:ascii="仿宋" w:hAnsi="仿宋" w:eastAsia="仿宋" w:cs="仿宋"/>
          <w:color w:val="000000"/>
          <w:sz w:val="28"/>
          <w:szCs w:val="28"/>
        </w:rPr>
        <w:t>附表</w:t>
      </w:r>
      <w:r>
        <w:rPr>
          <w:rFonts w:hint="eastAsia" w:ascii="仿宋" w:hAnsi="仿宋" w:eastAsia="仿宋" w:cs="仿宋"/>
          <w:color w:val="000000"/>
          <w:sz w:val="28"/>
          <w:szCs w:val="28"/>
          <w:lang w:eastAsia="zh-CN"/>
        </w:rPr>
        <w:t>：</w:t>
      </w:r>
      <w:r>
        <w:rPr>
          <w:rFonts w:hint="eastAsia" w:ascii="仿宋" w:hAnsi="仿宋" w:eastAsia="仿宋" w:cs="仿宋"/>
          <w:sz w:val="28"/>
          <w:szCs w:val="28"/>
        </w:rPr>
        <w:t>《乐器演奏》课程目标评分量表</w:t>
      </w:r>
    </w:p>
    <w:tbl>
      <w:tblPr>
        <w:tblStyle w:val="23"/>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077"/>
        <w:gridCol w:w="1302"/>
        <w:gridCol w:w="1302"/>
        <w:gridCol w:w="1259"/>
        <w:gridCol w:w="1302"/>
        <w:gridCol w:w="1280"/>
      </w:tblGrid>
      <w:tr w14:paraId="3B6AC8F0">
        <w:trPr>
          <w:trHeight w:val="90" w:hRule="atLeast"/>
        </w:trPr>
        <w:tc>
          <w:tcPr>
            <w:tcW w:w="0" w:type="auto"/>
            <w:tcBorders>
              <w:top w:val="single" w:color="auto" w:sz="4" w:space="0"/>
              <w:left w:val="single" w:color="auto" w:sz="4" w:space="0"/>
              <w:bottom w:val="single" w:color="auto" w:sz="4" w:space="0"/>
              <w:right w:val="single" w:color="auto" w:sz="4" w:space="0"/>
            </w:tcBorders>
            <w:noWrap w:val="0"/>
            <w:vAlign w:val="top"/>
          </w:tcPr>
          <w:p w14:paraId="67DFA64C">
            <w:pPr>
              <w:jc w:val="center"/>
              <w:rPr>
                <w:rFonts w:hint="eastAsia" w:ascii="楷体" w:hAnsi="楷体" w:eastAsia="楷体" w:cs="楷体"/>
                <w:sz w:val="21"/>
                <w:szCs w:val="21"/>
              </w:rPr>
            </w:pPr>
            <w:r>
              <w:rPr>
                <w:rFonts w:hint="eastAsia" w:ascii="楷体" w:hAnsi="楷体" w:eastAsia="楷体" w:cs="楷体"/>
                <w:sz w:val="21"/>
                <w:szCs w:val="21"/>
              </w:rPr>
              <w:t>课程目标</w:t>
            </w:r>
          </w:p>
        </w:tc>
        <w:tc>
          <w:tcPr>
            <w:tcW w:w="0" w:type="auto"/>
            <w:tcBorders>
              <w:top w:val="single" w:color="auto" w:sz="4" w:space="0"/>
              <w:left w:val="single" w:color="auto" w:sz="4" w:space="0"/>
              <w:bottom w:val="single" w:color="auto" w:sz="4" w:space="0"/>
              <w:right w:val="single" w:color="auto" w:sz="4" w:space="0"/>
            </w:tcBorders>
            <w:noWrap w:val="0"/>
            <w:vAlign w:val="top"/>
          </w:tcPr>
          <w:p w14:paraId="74A4058B">
            <w:pPr>
              <w:jc w:val="center"/>
              <w:rPr>
                <w:rFonts w:hint="eastAsia" w:ascii="楷体" w:hAnsi="楷体" w:eastAsia="楷体" w:cs="楷体"/>
                <w:sz w:val="21"/>
                <w:szCs w:val="21"/>
              </w:rPr>
            </w:pPr>
            <w:r>
              <w:rPr>
                <w:rFonts w:hint="eastAsia" w:ascii="楷体" w:hAnsi="楷体" w:eastAsia="楷体" w:cs="楷体"/>
                <w:sz w:val="21"/>
                <w:szCs w:val="21"/>
              </w:rPr>
              <w:t>优（X≥90）</w:t>
            </w:r>
          </w:p>
        </w:tc>
        <w:tc>
          <w:tcPr>
            <w:tcW w:w="0" w:type="auto"/>
            <w:tcBorders>
              <w:top w:val="single" w:color="auto" w:sz="4" w:space="0"/>
              <w:left w:val="single" w:color="auto" w:sz="4" w:space="0"/>
              <w:bottom w:val="single" w:color="auto" w:sz="4" w:space="0"/>
              <w:right w:val="single" w:color="auto" w:sz="4" w:space="0"/>
            </w:tcBorders>
            <w:noWrap w:val="0"/>
            <w:vAlign w:val="top"/>
          </w:tcPr>
          <w:p w14:paraId="0A07237A">
            <w:pPr>
              <w:jc w:val="center"/>
              <w:rPr>
                <w:rFonts w:hint="eastAsia" w:ascii="楷体" w:hAnsi="楷体" w:eastAsia="楷体" w:cs="楷体"/>
                <w:sz w:val="21"/>
                <w:szCs w:val="21"/>
              </w:rPr>
            </w:pPr>
            <w:r>
              <w:rPr>
                <w:rFonts w:hint="eastAsia" w:ascii="楷体" w:hAnsi="楷体" w:eastAsia="楷体" w:cs="楷体"/>
                <w:sz w:val="21"/>
                <w:szCs w:val="21"/>
              </w:rPr>
              <w:t>良（80≤X＜90）</w:t>
            </w:r>
          </w:p>
        </w:tc>
        <w:tc>
          <w:tcPr>
            <w:tcW w:w="0" w:type="auto"/>
            <w:tcBorders>
              <w:top w:val="single" w:color="auto" w:sz="4" w:space="0"/>
              <w:left w:val="single" w:color="auto" w:sz="4" w:space="0"/>
              <w:bottom w:val="single" w:color="auto" w:sz="4" w:space="0"/>
              <w:right w:val="single" w:color="auto" w:sz="4" w:space="0"/>
            </w:tcBorders>
            <w:noWrap w:val="0"/>
            <w:vAlign w:val="top"/>
          </w:tcPr>
          <w:p w14:paraId="0831DE22">
            <w:pPr>
              <w:jc w:val="center"/>
              <w:rPr>
                <w:rFonts w:hint="eastAsia" w:ascii="楷体" w:hAnsi="楷体" w:eastAsia="楷体" w:cs="楷体"/>
                <w:sz w:val="21"/>
                <w:szCs w:val="21"/>
              </w:rPr>
            </w:pPr>
            <w:r>
              <w:rPr>
                <w:rFonts w:hint="eastAsia" w:ascii="楷体" w:hAnsi="楷体" w:eastAsia="楷体" w:cs="楷体"/>
                <w:sz w:val="21"/>
                <w:szCs w:val="21"/>
              </w:rPr>
              <w:t>中（70≤X＜80）</w:t>
            </w:r>
          </w:p>
        </w:tc>
        <w:tc>
          <w:tcPr>
            <w:tcW w:w="0" w:type="auto"/>
            <w:tcBorders>
              <w:top w:val="single" w:color="auto" w:sz="4" w:space="0"/>
              <w:left w:val="single" w:color="auto" w:sz="4" w:space="0"/>
              <w:bottom w:val="single" w:color="auto" w:sz="4" w:space="0"/>
              <w:right w:val="single" w:color="auto" w:sz="4" w:space="0"/>
            </w:tcBorders>
            <w:noWrap w:val="0"/>
            <w:vAlign w:val="top"/>
          </w:tcPr>
          <w:p w14:paraId="68E70088">
            <w:pPr>
              <w:jc w:val="center"/>
              <w:rPr>
                <w:rFonts w:hint="eastAsia" w:ascii="楷体" w:hAnsi="楷体" w:eastAsia="楷体" w:cs="楷体"/>
                <w:sz w:val="21"/>
                <w:szCs w:val="21"/>
              </w:rPr>
            </w:pPr>
            <w:r>
              <w:rPr>
                <w:rFonts w:hint="eastAsia" w:ascii="楷体" w:hAnsi="楷体" w:eastAsia="楷体" w:cs="楷体"/>
                <w:sz w:val="21"/>
                <w:szCs w:val="21"/>
              </w:rPr>
              <w:t>及格（60≤X＜70）</w:t>
            </w:r>
          </w:p>
        </w:tc>
        <w:tc>
          <w:tcPr>
            <w:tcW w:w="0" w:type="auto"/>
            <w:tcBorders>
              <w:top w:val="single" w:color="auto" w:sz="4" w:space="0"/>
              <w:left w:val="single" w:color="auto" w:sz="4" w:space="0"/>
              <w:bottom w:val="single" w:color="auto" w:sz="4" w:space="0"/>
              <w:right w:val="single" w:color="auto" w:sz="4" w:space="0"/>
            </w:tcBorders>
            <w:noWrap w:val="0"/>
            <w:vAlign w:val="top"/>
          </w:tcPr>
          <w:p w14:paraId="55817BB8">
            <w:pPr>
              <w:jc w:val="center"/>
              <w:rPr>
                <w:rFonts w:hint="eastAsia" w:ascii="楷体" w:hAnsi="楷体" w:eastAsia="楷体" w:cs="楷体"/>
                <w:sz w:val="21"/>
                <w:szCs w:val="21"/>
              </w:rPr>
            </w:pPr>
            <w:r>
              <w:rPr>
                <w:rFonts w:hint="eastAsia" w:ascii="楷体" w:hAnsi="楷体" w:eastAsia="楷体" w:cs="楷体"/>
                <w:sz w:val="21"/>
                <w:szCs w:val="21"/>
              </w:rPr>
              <w:t>不及格（＜60）</w:t>
            </w:r>
          </w:p>
        </w:tc>
      </w:tr>
      <w:tr w14:paraId="3B1A1954">
        <w:trPr>
          <w:trHeight w:val="90" w:hRule="atLeast"/>
        </w:trPr>
        <w:tc>
          <w:tcPr>
            <w:tcW w:w="0" w:type="auto"/>
            <w:tcBorders>
              <w:top w:val="single" w:color="auto" w:sz="4" w:space="0"/>
              <w:left w:val="single" w:color="auto" w:sz="4" w:space="0"/>
              <w:bottom w:val="single" w:color="auto" w:sz="4" w:space="0"/>
              <w:right w:val="single" w:color="auto" w:sz="4" w:space="0"/>
            </w:tcBorders>
            <w:noWrap w:val="0"/>
            <w:vAlign w:val="top"/>
          </w:tcPr>
          <w:p w14:paraId="0C77CED2">
            <w:pPr>
              <w:rPr>
                <w:rFonts w:hint="eastAsia" w:ascii="楷体" w:hAnsi="楷体" w:eastAsia="楷体" w:cs="楷体"/>
                <w:sz w:val="21"/>
                <w:szCs w:val="21"/>
              </w:rPr>
            </w:pPr>
            <w:r>
              <w:rPr>
                <w:rFonts w:hint="eastAsia" w:ascii="楷体" w:hAnsi="楷体" w:eastAsia="楷体" w:cs="楷体"/>
                <w:sz w:val="21"/>
                <w:szCs w:val="21"/>
              </w:rPr>
              <w:t>课程目标1：</w:t>
            </w:r>
            <w:r>
              <w:rPr>
                <w:rFonts w:hint="eastAsia" w:ascii="楷体" w:hAnsi="楷体" w:eastAsia="楷体" w:cs="楷体"/>
                <w:bCs/>
                <w:sz w:val="21"/>
                <w:szCs w:val="21"/>
              </w:rPr>
              <w:t>掌握器乐演奏技法技能多项技术技能，理解音乐学科的核心素养的内涵，形成音乐学科核心素养。能够了解中学生对音乐的认知与身心发展，树立爱岗敬业精神。</w:t>
            </w:r>
          </w:p>
        </w:tc>
        <w:tc>
          <w:tcPr>
            <w:tcW w:w="0" w:type="auto"/>
            <w:tcBorders>
              <w:top w:val="single" w:color="auto" w:sz="4" w:space="0"/>
              <w:left w:val="single" w:color="auto" w:sz="4" w:space="0"/>
              <w:bottom w:val="single" w:color="auto" w:sz="4" w:space="0"/>
              <w:right w:val="single" w:color="auto" w:sz="4" w:space="0"/>
            </w:tcBorders>
            <w:noWrap w:val="0"/>
            <w:vAlign w:val="top"/>
          </w:tcPr>
          <w:p w14:paraId="37B1598D">
            <w:pPr>
              <w:rPr>
                <w:rFonts w:hint="eastAsia" w:ascii="楷体" w:hAnsi="楷体" w:eastAsia="楷体" w:cs="楷体"/>
                <w:sz w:val="21"/>
                <w:szCs w:val="21"/>
              </w:rPr>
            </w:pPr>
            <w:r>
              <w:rPr>
                <w:rFonts w:hint="eastAsia" w:ascii="楷体" w:hAnsi="楷体" w:eastAsia="楷体" w:cs="楷体"/>
                <w:sz w:val="21"/>
                <w:szCs w:val="21"/>
              </w:rPr>
              <w:t>能够较为扎实掌握音乐学科的基础知识，基本理论体系，结构与思想方法，基本功功底扎实</w:t>
            </w:r>
          </w:p>
        </w:tc>
        <w:tc>
          <w:tcPr>
            <w:tcW w:w="0" w:type="auto"/>
            <w:tcBorders>
              <w:top w:val="single" w:color="auto" w:sz="4" w:space="0"/>
              <w:left w:val="single" w:color="auto" w:sz="4" w:space="0"/>
              <w:bottom w:val="single" w:color="auto" w:sz="4" w:space="0"/>
              <w:right w:val="single" w:color="auto" w:sz="4" w:space="0"/>
            </w:tcBorders>
            <w:noWrap w:val="0"/>
            <w:vAlign w:val="top"/>
          </w:tcPr>
          <w:p w14:paraId="3E99C468">
            <w:pPr>
              <w:rPr>
                <w:rFonts w:hint="eastAsia" w:ascii="楷体" w:hAnsi="楷体" w:eastAsia="楷体" w:cs="楷体"/>
                <w:sz w:val="21"/>
                <w:szCs w:val="21"/>
              </w:rPr>
            </w:pPr>
            <w:r>
              <w:rPr>
                <w:rFonts w:hint="eastAsia" w:ascii="楷体" w:hAnsi="楷体" w:eastAsia="楷体" w:cs="楷体"/>
                <w:sz w:val="21"/>
                <w:szCs w:val="21"/>
              </w:rPr>
              <w:t>能够较好掌握音乐学科的基础知识，基本理论体系，结构与思想方法，基本功功底扎实</w:t>
            </w:r>
          </w:p>
        </w:tc>
        <w:tc>
          <w:tcPr>
            <w:tcW w:w="0" w:type="auto"/>
            <w:tcBorders>
              <w:top w:val="single" w:color="auto" w:sz="4" w:space="0"/>
              <w:left w:val="single" w:color="auto" w:sz="4" w:space="0"/>
              <w:bottom w:val="single" w:color="auto" w:sz="4" w:space="0"/>
              <w:right w:val="single" w:color="auto" w:sz="4" w:space="0"/>
            </w:tcBorders>
            <w:noWrap w:val="0"/>
            <w:vAlign w:val="top"/>
          </w:tcPr>
          <w:p w14:paraId="59B7DD76">
            <w:pPr>
              <w:rPr>
                <w:rFonts w:hint="eastAsia" w:ascii="楷体" w:hAnsi="楷体" w:eastAsia="楷体" w:cs="楷体"/>
                <w:sz w:val="21"/>
                <w:szCs w:val="21"/>
              </w:rPr>
            </w:pPr>
            <w:r>
              <w:rPr>
                <w:rFonts w:hint="eastAsia" w:ascii="楷体" w:hAnsi="楷体" w:eastAsia="楷体" w:cs="楷体"/>
                <w:sz w:val="21"/>
                <w:szCs w:val="21"/>
              </w:rPr>
              <w:t>能够掌握音乐学科的基础知识，基本理论体系，结构与思想方法，基本功功底扎实</w:t>
            </w:r>
          </w:p>
        </w:tc>
        <w:tc>
          <w:tcPr>
            <w:tcW w:w="0" w:type="auto"/>
            <w:tcBorders>
              <w:top w:val="single" w:color="auto" w:sz="4" w:space="0"/>
              <w:left w:val="single" w:color="auto" w:sz="4" w:space="0"/>
              <w:bottom w:val="single" w:color="auto" w:sz="4" w:space="0"/>
              <w:right w:val="single" w:color="auto" w:sz="4" w:space="0"/>
            </w:tcBorders>
            <w:noWrap w:val="0"/>
            <w:vAlign w:val="top"/>
          </w:tcPr>
          <w:p w14:paraId="1AE6A192">
            <w:pPr>
              <w:rPr>
                <w:rFonts w:hint="eastAsia" w:ascii="楷体" w:hAnsi="楷体" w:eastAsia="楷体" w:cs="楷体"/>
                <w:sz w:val="21"/>
                <w:szCs w:val="21"/>
              </w:rPr>
            </w:pPr>
            <w:r>
              <w:rPr>
                <w:rFonts w:hint="eastAsia" w:ascii="楷体" w:hAnsi="楷体" w:eastAsia="楷体" w:cs="楷体"/>
                <w:sz w:val="21"/>
                <w:szCs w:val="21"/>
              </w:rPr>
              <w:t>能够基本掌握音乐学科的基础知识，基本理论体系，结构与思想方法，基本功功底有待提高</w:t>
            </w:r>
          </w:p>
        </w:tc>
        <w:tc>
          <w:tcPr>
            <w:tcW w:w="0" w:type="auto"/>
            <w:tcBorders>
              <w:top w:val="single" w:color="auto" w:sz="4" w:space="0"/>
              <w:left w:val="single" w:color="auto" w:sz="4" w:space="0"/>
              <w:bottom w:val="single" w:color="auto" w:sz="4" w:space="0"/>
              <w:right w:val="single" w:color="auto" w:sz="4" w:space="0"/>
            </w:tcBorders>
            <w:noWrap w:val="0"/>
            <w:vAlign w:val="top"/>
          </w:tcPr>
          <w:p w14:paraId="10E11CCB">
            <w:pPr>
              <w:rPr>
                <w:rFonts w:hint="eastAsia" w:ascii="楷体" w:hAnsi="楷体" w:eastAsia="楷体" w:cs="楷体"/>
                <w:sz w:val="21"/>
                <w:szCs w:val="21"/>
              </w:rPr>
            </w:pPr>
            <w:r>
              <w:rPr>
                <w:rFonts w:hint="eastAsia" w:ascii="楷体" w:hAnsi="楷体" w:eastAsia="楷体" w:cs="楷体"/>
                <w:sz w:val="21"/>
                <w:szCs w:val="21"/>
              </w:rPr>
              <w:t>未能掌握音乐学科的基础知识，基本理论体系，结构与思想方法，基本功功底不扎实</w:t>
            </w:r>
          </w:p>
        </w:tc>
      </w:tr>
      <w:tr w14:paraId="6FDCD4FF">
        <w:trPr>
          <w:trHeight w:val="90" w:hRule="atLeast"/>
        </w:trPr>
        <w:tc>
          <w:tcPr>
            <w:tcW w:w="0" w:type="auto"/>
            <w:tcBorders>
              <w:top w:val="single" w:color="auto" w:sz="4" w:space="0"/>
              <w:left w:val="single" w:color="auto" w:sz="4" w:space="0"/>
              <w:bottom w:val="single" w:color="auto" w:sz="4" w:space="0"/>
              <w:right w:val="single" w:color="auto" w:sz="4" w:space="0"/>
            </w:tcBorders>
            <w:noWrap w:val="0"/>
            <w:vAlign w:val="top"/>
          </w:tcPr>
          <w:p w14:paraId="16D3ABF4">
            <w:pPr>
              <w:rPr>
                <w:rFonts w:hint="eastAsia" w:ascii="楷体" w:hAnsi="楷体" w:eastAsia="楷体" w:cs="楷体"/>
                <w:sz w:val="21"/>
                <w:szCs w:val="21"/>
              </w:rPr>
            </w:pPr>
            <w:r>
              <w:rPr>
                <w:rFonts w:hint="eastAsia" w:ascii="楷体" w:hAnsi="楷体" w:eastAsia="楷体" w:cs="楷体"/>
                <w:sz w:val="21"/>
                <w:szCs w:val="21"/>
              </w:rPr>
              <w:t>课程目标2：熟悉中学音乐课程标准和教材，能够正确处理课标和教材的关系， 科学合理地进行教学设计并实施教学，准确把握教学内容，分析学情，合理安排教学过程和环节，科学设计评价内容和方式，根据学生音乐认知的特征和个体差异，注重差异化教学。课后能够及时反思、总结形成初步的教研能力。</w:t>
            </w:r>
          </w:p>
        </w:tc>
        <w:tc>
          <w:tcPr>
            <w:tcW w:w="0" w:type="auto"/>
            <w:tcBorders>
              <w:top w:val="single" w:color="auto" w:sz="4" w:space="0"/>
              <w:left w:val="single" w:color="auto" w:sz="4" w:space="0"/>
              <w:bottom w:val="single" w:color="auto" w:sz="4" w:space="0"/>
              <w:right w:val="single" w:color="auto" w:sz="4" w:space="0"/>
            </w:tcBorders>
            <w:noWrap w:val="0"/>
            <w:vAlign w:val="top"/>
          </w:tcPr>
          <w:p w14:paraId="7849A4EA">
            <w:pPr>
              <w:rPr>
                <w:rFonts w:hint="eastAsia" w:ascii="楷体" w:hAnsi="楷体" w:eastAsia="楷体" w:cs="楷体"/>
                <w:sz w:val="21"/>
                <w:szCs w:val="21"/>
              </w:rPr>
            </w:pPr>
            <w:r>
              <w:rPr>
                <w:rFonts w:hint="eastAsia" w:ascii="楷体" w:hAnsi="楷体" w:eastAsia="楷体" w:cs="楷体"/>
                <w:sz w:val="21"/>
                <w:szCs w:val="21"/>
              </w:rPr>
              <w:t>能够扎实掌握乐器演奏基础的教学方法，教学规律；能够</w:t>
            </w:r>
            <w:r>
              <w:rPr>
                <w:rFonts w:hint="eastAsia" w:ascii="楷体" w:hAnsi="楷体" w:eastAsia="楷体" w:cs="楷体"/>
                <w:sz w:val="21"/>
                <w:szCs w:val="21"/>
                <w:lang w:eastAsia="zh-Hans"/>
              </w:rPr>
              <w:t>充分</w:t>
            </w:r>
            <w:r>
              <w:rPr>
                <w:rFonts w:hint="eastAsia" w:ascii="楷体" w:hAnsi="楷体" w:eastAsia="楷体" w:cs="楷体"/>
                <w:sz w:val="21"/>
                <w:szCs w:val="21"/>
              </w:rPr>
              <w:t>发挥自身的长处、特征，有规律、有计划的进行学习，并形成总结出适合自己的经验</w:t>
            </w:r>
          </w:p>
        </w:tc>
        <w:tc>
          <w:tcPr>
            <w:tcW w:w="0" w:type="auto"/>
            <w:tcBorders>
              <w:top w:val="single" w:color="auto" w:sz="4" w:space="0"/>
              <w:left w:val="single" w:color="auto" w:sz="4" w:space="0"/>
              <w:bottom w:val="single" w:color="auto" w:sz="4" w:space="0"/>
              <w:right w:val="single" w:color="auto" w:sz="4" w:space="0"/>
            </w:tcBorders>
            <w:noWrap w:val="0"/>
            <w:vAlign w:val="top"/>
          </w:tcPr>
          <w:p w14:paraId="1DBE047D">
            <w:pPr>
              <w:rPr>
                <w:rFonts w:hint="eastAsia" w:ascii="楷体" w:hAnsi="楷体" w:eastAsia="楷体" w:cs="楷体"/>
                <w:sz w:val="21"/>
                <w:szCs w:val="21"/>
              </w:rPr>
            </w:pPr>
            <w:r>
              <w:rPr>
                <w:rFonts w:hint="eastAsia" w:ascii="楷体" w:hAnsi="楷体" w:eastAsia="楷体" w:cs="楷体"/>
                <w:sz w:val="21"/>
                <w:szCs w:val="21"/>
              </w:rPr>
              <w:t>能够较好掌握乐器演奏基础的教学方法，教学规律；能够</w:t>
            </w:r>
            <w:r>
              <w:rPr>
                <w:rFonts w:hint="eastAsia" w:ascii="楷体" w:hAnsi="楷体" w:eastAsia="楷体" w:cs="楷体"/>
                <w:sz w:val="21"/>
                <w:szCs w:val="21"/>
                <w:lang w:eastAsia="zh-Hans"/>
              </w:rPr>
              <w:t>较好</w:t>
            </w:r>
            <w:r>
              <w:rPr>
                <w:rFonts w:hint="eastAsia" w:ascii="楷体" w:hAnsi="楷体" w:eastAsia="楷体" w:cs="楷体"/>
                <w:sz w:val="21"/>
                <w:szCs w:val="21"/>
              </w:rPr>
              <w:t>发挥自身的长处、特征，有规律、有计划的进行学习，并形成总结出适合自己的经验</w:t>
            </w:r>
          </w:p>
        </w:tc>
        <w:tc>
          <w:tcPr>
            <w:tcW w:w="0" w:type="auto"/>
            <w:tcBorders>
              <w:top w:val="single" w:color="auto" w:sz="4" w:space="0"/>
              <w:left w:val="single" w:color="auto" w:sz="4" w:space="0"/>
              <w:bottom w:val="single" w:color="auto" w:sz="4" w:space="0"/>
              <w:right w:val="single" w:color="auto" w:sz="4" w:space="0"/>
            </w:tcBorders>
            <w:noWrap w:val="0"/>
            <w:vAlign w:val="top"/>
          </w:tcPr>
          <w:p w14:paraId="22916000">
            <w:pPr>
              <w:rPr>
                <w:rFonts w:hint="eastAsia" w:ascii="楷体" w:hAnsi="楷体" w:eastAsia="楷体" w:cs="楷体"/>
                <w:sz w:val="21"/>
                <w:szCs w:val="21"/>
              </w:rPr>
            </w:pPr>
            <w:r>
              <w:rPr>
                <w:rFonts w:hint="eastAsia" w:ascii="楷体" w:hAnsi="楷体" w:eastAsia="楷体" w:cs="楷体"/>
                <w:sz w:val="21"/>
                <w:szCs w:val="21"/>
              </w:rPr>
              <w:t>能够掌握乐器演奏基础的教学方法，教学规律；能够发挥自身的长处、特征，有规律、有计划的进行学习，并形成总结出适合自己的经验</w:t>
            </w:r>
          </w:p>
        </w:tc>
        <w:tc>
          <w:tcPr>
            <w:tcW w:w="0" w:type="auto"/>
            <w:tcBorders>
              <w:top w:val="single" w:color="auto" w:sz="4" w:space="0"/>
              <w:left w:val="single" w:color="auto" w:sz="4" w:space="0"/>
              <w:bottom w:val="single" w:color="auto" w:sz="4" w:space="0"/>
              <w:right w:val="single" w:color="auto" w:sz="4" w:space="0"/>
            </w:tcBorders>
            <w:noWrap w:val="0"/>
            <w:vAlign w:val="top"/>
          </w:tcPr>
          <w:p w14:paraId="34F59377">
            <w:pPr>
              <w:rPr>
                <w:rFonts w:hint="eastAsia" w:ascii="楷体" w:hAnsi="楷体" w:eastAsia="楷体" w:cs="楷体"/>
                <w:sz w:val="21"/>
                <w:szCs w:val="21"/>
              </w:rPr>
            </w:pPr>
            <w:r>
              <w:rPr>
                <w:rFonts w:hint="eastAsia" w:ascii="楷体" w:hAnsi="楷体" w:eastAsia="楷体" w:cs="楷体"/>
                <w:sz w:val="21"/>
                <w:szCs w:val="21"/>
              </w:rPr>
              <w:t>能够基本掌握乐器演奏基础的教学方法，教学规律；</w:t>
            </w:r>
            <w:r>
              <w:rPr>
                <w:rFonts w:hint="eastAsia" w:ascii="楷体" w:hAnsi="楷体" w:eastAsia="楷体" w:cs="楷体"/>
                <w:sz w:val="21"/>
                <w:szCs w:val="21"/>
                <w:lang w:eastAsia="zh-Hans"/>
              </w:rPr>
              <w:t>基本</w:t>
            </w:r>
            <w:r>
              <w:rPr>
                <w:rFonts w:hint="eastAsia" w:ascii="楷体" w:hAnsi="楷体" w:eastAsia="楷体" w:cs="楷体"/>
                <w:sz w:val="21"/>
                <w:szCs w:val="21"/>
              </w:rPr>
              <w:t>能够发挥自身的长处、特征，有规律、有计划的进行学习，并形成总结出适合自己的经验</w:t>
            </w:r>
          </w:p>
        </w:tc>
        <w:tc>
          <w:tcPr>
            <w:tcW w:w="0" w:type="auto"/>
            <w:tcBorders>
              <w:top w:val="single" w:color="auto" w:sz="4" w:space="0"/>
              <w:left w:val="single" w:color="auto" w:sz="4" w:space="0"/>
              <w:bottom w:val="single" w:color="auto" w:sz="4" w:space="0"/>
              <w:right w:val="single" w:color="auto" w:sz="4" w:space="0"/>
            </w:tcBorders>
            <w:noWrap w:val="0"/>
            <w:vAlign w:val="top"/>
          </w:tcPr>
          <w:p w14:paraId="09052E19">
            <w:pPr>
              <w:rPr>
                <w:rFonts w:hint="eastAsia" w:ascii="楷体" w:hAnsi="楷体" w:eastAsia="楷体" w:cs="楷体"/>
                <w:sz w:val="21"/>
                <w:szCs w:val="21"/>
              </w:rPr>
            </w:pPr>
            <w:r>
              <w:rPr>
                <w:rFonts w:hint="eastAsia" w:ascii="楷体" w:hAnsi="楷体" w:eastAsia="楷体" w:cs="楷体"/>
                <w:sz w:val="21"/>
                <w:szCs w:val="21"/>
              </w:rPr>
              <w:t>未能掌握乐器演奏基础的教学方法，教学规律；未能够发挥自身的长处、特征，有规律、有计划的进行学习，未能形成总结出适合自己的经验</w:t>
            </w:r>
          </w:p>
        </w:tc>
      </w:tr>
      <w:tr w14:paraId="048689F7">
        <w:trPr>
          <w:trHeight w:val="90" w:hRule="atLeast"/>
        </w:trPr>
        <w:tc>
          <w:tcPr>
            <w:tcW w:w="0" w:type="auto"/>
            <w:tcBorders>
              <w:top w:val="single" w:color="auto" w:sz="4" w:space="0"/>
              <w:left w:val="single" w:color="auto" w:sz="4" w:space="0"/>
              <w:bottom w:val="single" w:color="auto" w:sz="4" w:space="0"/>
              <w:right w:val="single" w:color="auto" w:sz="4" w:space="0"/>
            </w:tcBorders>
            <w:noWrap w:val="0"/>
            <w:vAlign w:val="top"/>
          </w:tcPr>
          <w:p w14:paraId="188328D8">
            <w:pPr>
              <w:rPr>
                <w:rFonts w:hint="eastAsia" w:ascii="楷体" w:hAnsi="楷体" w:eastAsia="楷体" w:cs="楷体"/>
                <w:sz w:val="21"/>
                <w:szCs w:val="21"/>
              </w:rPr>
            </w:pPr>
            <w:r>
              <w:rPr>
                <w:rFonts w:hint="eastAsia" w:ascii="楷体" w:hAnsi="楷体" w:eastAsia="楷体" w:cs="楷体"/>
                <w:sz w:val="21"/>
                <w:szCs w:val="21"/>
              </w:rPr>
              <w:t>课程目标3：</w:t>
            </w:r>
            <w:r>
              <w:rPr>
                <w:rFonts w:hint="eastAsia" w:ascii="楷体" w:hAnsi="楷体" w:eastAsia="楷体" w:cs="楷体"/>
                <w:bCs/>
                <w:sz w:val="21"/>
                <w:szCs w:val="21"/>
              </w:rPr>
              <w:t>理解学习共同体的作用，能够形成在音乐教育中渗透美育的理念，掌握器乐合奏、重奏等团队协作的基本策略，在课程学习、教育 实践、艺术实践等活动中，具有良好的团队协作精神，培养多声部重奏和乐团排练的组织和协作能力。理解音乐学科的核心素养的内涵，形成音乐学科核心素养。</w:t>
            </w:r>
          </w:p>
        </w:tc>
        <w:tc>
          <w:tcPr>
            <w:tcW w:w="0" w:type="auto"/>
            <w:tcBorders>
              <w:top w:val="single" w:color="auto" w:sz="4" w:space="0"/>
              <w:left w:val="single" w:color="auto" w:sz="4" w:space="0"/>
              <w:bottom w:val="single" w:color="auto" w:sz="4" w:space="0"/>
              <w:right w:val="single" w:color="auto" w:sz="4" w:space="0"/>
            </w:tcBorders>
            <w:noWrap w:val="0"/>
            <w:vAlign w:val="top"/>
          </w:tcPr>
          <w:p w14:paraId="684174C4">
            <w:pPr>
              <w:rPr>
                <w:rFonts w:hint="eastAsia" w:ascii="楷体" w:hAnsi="楷体" w:eastAsia="楷体" w:cs="楷体"/>
                <w:sz w:val="21"/>
                <w:szCs w:val="21"/>
              </w:rPr>
            </w:pPr>
            <w:r>
              <w:rPr>
                <w:rFonts w:hint="eastAsia" w:ascii="楷体" w:hAnsi="楷体" w:eastAsia="楷体" w:cs="楷体"/>
                <w:sz w:val="21"/>
                <w:szCs w:val="21"/>
              </w:rPr>
              <w:t>具备团队协作的能力，充分领会到在学习，实践等活动中团队协作的意义，具备在实践中开展实践活动的较强能力</w:t>
            </w:r>
          </w:p>
        </w:tc>
        <w:tc>
          <w:tcPr>
            <w:tcW w:w="0" w:type="auto"/>
            <w:tcBorders>
              <w:top w:val="single" w:color="auto" w:sz="4" w:space="0"/>
              <w:left w:val="single" w:color="auto" w:sz="4" w:space="0"/>
              <w:bottom w:val="single" w:color="auto" w:sz="4" w:space="0"/>
              <w:right w:val="single" w:color="auto" w:sz="4" w:space="0"/>
            </w:tcBorders>
            <w:noWrap w:val="0"/>
            <w:vAlign w:val="top"/>
          </w:tcPr>
          <w:p w14:paraId="0CEBA50E">
            <w:pPr>
              <w:rPr>
                <w:rFonts w:hint="eastAsia" w:ascii="楷体" w:hAnsi="楷体" w:eastAsia="楷体" w:cs="楷体"/>
                <w:sz w:val="21"/>
                <w:szCs w:val="21"/>
              </w:rPr>
            </w:pPr>
            <w:r>
              <w:rPr>
                <w:rFonts w:hint="eastAsia" w:ascii="楷体" w:hAnsi="楷体" w:eastAsia="楷体" w:cs="楷体"/>
                <w:sz w:val="21"/>
                <w:szCs w:val="21"/>
              </w:rPr>
              <w:t>具备团队协作的能力，充分领会到在学习，实践等活动中团队协作的意义，具备在实践中开展实践活动的较强能力</w:t>
            </w:r>
          </w:p>
        </w:tc>
        <w:tc>
          <w:tcPr>
            <w:tcW w:w="0" w:type="auto"/>
            <w:tcBorders>
              <w:top w:val="single" w:color="auto" w:sz="4" w:space="0"/>
              <w:left w:val="single" w:color="auto" w:sz="4" w:space="0"/>
              <w:bottom w:val="single" w:color="auto" w:sz="4" w:space="0"/>
              <w:right w:val="single" w:color="auto" w:sz="4" w:space="0"/>
            </w:tcBorders>
            <w:noWrap w:val="0"/>
            <w:vAlign w:val="top"/>
          </w:tcPr>
          <w:p w14:paraId="779446B6">
            <w:pPr>
              <w:rPr>
                <w:rFonts w:hint="eastAsia" w:ascii="楷体" w:hAnsi="楷体" w:eastAsia="楷体" w:cs="楷体"/>
                <w:sz w:val="21"/>
                <w:szCs w:val="21"/>
              </w:rPr>
            </w:pPr>
            <w:r>
              <w:rPr>
                <w:rFonts w:hint="eastAsia" w:ascii="楷体" w:hAnsi="楷体" w:eastAsia="楷体" w:cs="楷体"/>
                <w:sz w:val="21"/>
                <w:szCs w:val="21"/>
              </w:rPr>
              <w:t>具备</w:t>
            </w:r>
            <w:r>
              <w:rPr>
                <w:rFonts w:hint="eastAsia" w:ascii="楷体" w:hAnsi="楷体" w:eastAsia="楷体" w:cs="楷体"/>
                <w:sz w:val="21"/>
                <w:szCs w:val="21"/>
                <w:lang w:eastAsia="zh-Hans"/>
              </w:rPr>
              <w:t>一定</w:t>
            </w:r>
            <w:r>
              <w:rPr>
                <w:rFonts w:hint="eastAsia" w:ascii="楷体" w:hAnsi="楷体" w:eastAsia="楷体" w:cs="楷体"/>
                <w:sz w:val="21"/>
                <w:szCs w:val="21"/>
              </w:rPr>
              <w:t>团队协作的能力，领会到在学习，实践等活动中团队协作的意义，具备在实践中开展实践活动的较强能力</w:t>
            </w:r>
          </w:p>
        </w:tc>
        <w:tc>
          <w:tcPr>
            <w:tcW w:w="0" w:type="auto"/>
            <w:tcBorders>
              <w:top w:val="single" w:color="auto" w:sz="4" w:space="0"/>
              <w:left w:val="single" w:color="auto" w:sz="4" w:space="0"/>
              <w:bottom w:val="single" w:color="auto" w:sz="4" w:space="0"/>
              <w:right w:val="single" w:color="auto" w:sz="4" w:space="0"/>
            </w:tcBorders>
            <w:noWrap w:val="0"/>
            <w:vAlign w:val="top"/>
          </w:tcPr>
          <w:p w14:paraId="3EA0BF6A">
            <w:pPr>
              <w:rPr>
                <w:rFonts w:hint="eastAsia" w:ascii="楷体" w:hAnsi="楷体" w:eastAsia="楷体" w:cs="楷体"/>
                <w:sz w:val="21"/>
                <w:szCs w:val="21"/>
              </w:rPr>
            </w:pPr>
            <w:r>
              <w:rPr>
                <w:rFonts w:hint="eastAsia" w:ascii="楷体" w:hAnsi="楷体" w:eastAsia="楷体" w:cs="楷体"/>
                <w:sz w:val="21"/>
                <w:szCs w:val="21"/>
                <w:lang w:eastAsia="zh-Hans"/>
              </w:rPr>
              <w:t>基本</w:t>
            </w:r>
            <w:r>
              <w:rPr>
                <w:rFonts w:hint="eastAsia" w:ascii="楷体" w:hAnsi="楷体" w:eastAsia="楷体" w:cs="楷体"/>
                <w:sz w:val="21"/>
                <w:szCs w:val="21"/>
              </w:rPr>
              <w:t>具备团队协作的能力，</w:t>
            </w:r>
            <w:r>
              <w:rPr>
                <w:rFonts w:hint="eastAsia" w:ascii="楷体" w:hAnsi="楷体" w:eastAsia="楷体" w:cs="楷体"/>
                <w:sz w:val="21"/>
                <w:szCs w:val="21"/>
                <w:lang w:eastAsia="zh-Hans"/>
              </w:rPr>
              <w:t>基本</w:t>
            </w:r>
            <w:r>
              <w:rPr>
                <w:rFonts w:hint="eastAsia" w:ascii="楷体" w:hAnsi="楷体" w:eastAsia="楷体" w:cs="楷体"/>
                <w:sz w:val="21"/>
                <w:szCs w:val="21"/>
              </w:rPr>
              <w:t>领会到在学习，实践等活动中团队协作的意义，</w:t>
            </w:r>
            <w:r>
              <w:rPr>
                <w:rFonts w:hint="eastAsia" w:ascii="楷体" w:hAnsi="楷体" w:eastAsia="楷体" w:cs="楷体"/>
                <w:sz w:val="21"/>
                <w:szCs w:val="21"/>
                <w:lang w:eastAsia="zh-Hans"/>
              </w:rPr>
              <w:t>基本</w:t>
            </w:r>
            <w:r>
              <w:rPr>
                <w:rFonts w:hint="eastAsia" w:ascii="楷体" w:hAnsi="楷体" w:eastAsia="楷体" w:cs="楷体"/>
                <w:sz w:val="21"/>
                <w:szCs w:val="21"/>
              </w:rPr>
              <w:t>具备在实践中开展实践活动的能力</w:t>
            </w:r>
          </w:p>
        </w:tc>
        <w:tc>
          <w:tcPr>
            <w:tcW w:w="0" w:type="auto"/>
            <w:tcBorders>
              <w:top w:val="single" w:color="auto" w:sz="4" w:space="0"/>
              <w:left w:val="single" w:color="auto" w:sz="4" w:space="0"/>
              <w:bottom w:val="single" w:color="auto" w:sz="4" w:space="0"/>
              <w:right w:val="single" w:color="auto" w:sz="4" w:space="0"/>
            </w:tcBorders>
            <w:noWrap w:val="0"/>
            <w:vAlign w:val="top"/>
          </w:tcPr>
          <w:p w14:paraId="5600B6BE">
            <w:pPr>
              <w:rPr>
                <w:rFonts w:hint="eastAsia" w:ascii="楷体" w:hAnsi="楷体" w:eastAsia="楷体" w:cs="楷体"/>
                <w:sz w:val="21"/>
                <w:szCs w:val="21"/>
              </w:rPr>
            </w:pPr>
            <w:r>
              <w:rPr>
                <w:rFonts w:hint="eastAsia" w:ascii="楷体" w:hAnsi="楷体" w:eastAsia="楷体" w:cs="楷体"/>
                <w:sz w:val="21"/>
                <w:szCs w:val="21"/>
              </w:rPr>
              <w:t>不具备团队协作的能力，</w:t>
            </w:r>
            <w:r>
              <w:rPr>
                <w:rFonts w:hint="eastAsia" w:ascii="楷体" w:hAnsi="楷体" w:eastAsia="楷体" w:cs="楷体"/>
                <w:sz w:val="21"/>
                <w:szCs w:val="21"/>
                <w:lang w:eastAsia="zh-Hans"/>
              </w:rPr>
              <w:t>未能</w:t>
            </w:r>
            <w:r>
              <w:rPr>
                <w:rFonts w:hint="eastAsia" w:ascii="楷体" w:hAnsi="楷体" w:eastAsia="楷体" w:cs="楷体"/>
                <w:sz w:val="21"/>
                <w:szCs w:val="21"/>
              </w:rPr>
              <w:t>领会到在学习，实践等活动中团队协作的意义，在实践中开展实践活动的较强能力有待提高</w:t>
            </w:r>
          </w:p>
        </w:tc>
      </w:tr>
    </w:tbl>
    <w:p w14:paraId="1196861C">
      <w:pPr>
        <w:rPr>
          <w:sz w:val="2"/>
          <w:szCs w:val="2"/>
        </w:rPr>
        <w:sectPr>
          <w:headerReference r:id="rId105" w:type="default"/>
          <w:footerReference r:id="rId106" w:type="default"/>
          <w:pgSz w:w="11906" w:h="16838"/>
          <w:pgMar w:top="1440" w:right="1800" w:bottom="1440" w:left="1800" w:header="851" w:footer="992" w:gutter="0"/>
          <w:cols w:space="425" w:num="1"/>
          <w:docGrid w:type="lines" w:linePitch="312" w:charSpace="0"/>
        </w:sectPr>
      </w:pPr>
    </w:p>
    <w:p w14:paraId="5B534CF5">
      <w:pPr>
        <w:pageBreakBefore w:val="0"/>
        <w:widowControl w:val="0"/>
        <w:kinsoku/>
        <w:overflowPunct/>
        <w:topLinePunct w:val="0"/>
        <w:bidi w:val="0"/>
        <w:adjustRightInd w:val="0"/>
        <w:snapToGrid w:val="0"/>
        <w:spacing w:line="240" w:lineRule="auto"/>
        <w:jc w:val="center"/>
        <w:rPr>
          <w:rFonts w:hint="eastAsia" w:ascii="微软雅黑" w:eastAsia="微软雅黑"/>
          <w:sz w:val="44"/>
          <w:szCs w:val="44"/>
        </w:rPr>
      </w:pPr>
      <w:r>
        <w:rPr>
          <w:rFonts w:hint="eastAsia" w:ascii="微软雅黑" w:eastAsia="微软雅黑"/>
          <w:sz w:val="44"/>
          <w:szCs w:val="44"/>
        </w:rPr>
        <w:t>三明学院音乐学（音乐教育）专业</w:t>
      </w:r>
    </w:p>
    <w:p w14:paraId="71E249D9">
      <w:pPr>
        <w:pStyle w:val="2"/>
        <w:pageBreakBefore w:val="0"/>
        <w:widowControl w:val="0"/>
        <w:kinsoku/>
        <w:overflowPunct/>
        <w:topLinePunct w:val="0"/>
        <w:bidi w:val="0"/>
        <w:spacing w:before="0" w:beforeAutospacing="0" w:after="0" w:afterAutospacing="0" w:line="240" w:lineRule="auto"/>
        <w:jc w:val="center"/>
        <w:rPr>
          <w:rFonts w:hint="eastAsia" w:eastAsia="方正小标宋简体"/>
          <w:sz w:val="24"/>
          <w:szCs w:val="24"/>
        </w:rPr>
      </w:pPr>
      <w:bookmarkStart w:id="198" w:name="_Toc156907986"/>
      <w:bookmarkStart w:id="199" w:name="_Toc1605832996"/>
      <w:r>
        <w:rPr>
          <w:rFonts w:hint="default" w:ascii="微软雅黑"/>
          <w:b w:val="0"/>
          <w:bCs w:val="0"/>
          <w:sz w:val="44"/>
          <w:szCs w:val="44"/>
        </w:rPr>
        <w:t>《器乐合奏》课程教学大纲</w:t>
      </w:r>
      <w:bookmarkEnd w:id="198"/>
      <w:bookmarkEnd w:id="199"/>
    </w:p>
    <w:tbl>
      <w:tblPr>
        <w:tblStyle w:val="22"/>
        <w:tblW w:w="9148"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032"/>
        <w:gridCol w:w="142"/>
        <w:gridCol w:w="380"/>
        <w:gridCol w:w="1554"/>
        <w:gridCol w:w="761"/>
        <w:gridCol w:w="410"/>
        <w:gridCol w:w="383"/>
        <w:gridCol w:w="541"/>
        <w:gridCol w:w="492"/>
        <w:gridCol w:w="432"/>
        <w:gridCol w:w="89"/>
        <w:gridCol w:w="632"/>
        <w:gridCol w:w="204"/>
        <w:gridCol w:w="720"/>
      </w:tblGrid>
      <w:tr w14:paraId="28F0DA3D">
        <w:trPr>
          <w:trHeight w:val="454" w:hRule="atLeast"/>
        </w:trPr>
        <w:tc>
          <w:tcPr>
            <w:tcW w:w="1376" w:type="dxa"/>
            <w:tcBorders>
              <w:top w:val="single" w:color="auto" w:sz="4" w:space="0"/>
              <w:left w:val="single" w:color="auto" w:sz="4" w:space="0"/>
              <w:bottom w:val="single" w:color="auto" w:sz="4" w:space="0"/>
              <w:right w:val="single" w:color="auto" w:sz="4" w:space="0"/>
            </w:tcBorders>
            <w:vAlign w:val="center"/>
          </w:tcPr>
          <w:p w14:paraId="2DA20EF3">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课程名称</w:t>
            </w:r>
          </w:p>
        </w:tc>
        <w:tc>
          <w:tcPr>
            <w:tcW w:w="4662" w:type="dxa"/>
            <w:gridSpan w:val="7"/>
            <w:tcBorders>
              <w:top w:val="single" w:color="auto" w:sz="4" w:space="0"/>
              <w:left w:val="single" w:color="auto" w:sz="4" w:space="0"/>
              <w:bottom w:val="single" w:color="auto" w:sz="4" w:space="0"/>
              <w:right w:val="single" w:color="auto" w:sz="4" w:space="0"/>
            </w:tcBorders>
            <w:vAlign w:val="center"/>
          </w:tcPr>
          <w:p w14:paraId="228DB3CB">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《器乐合奏》</w:t>
            </w:r>
          </w:p>
        </w:tc>
        <w:tc>
          <w:tcPr>
            <w:tcW w:w="1554" w:type="dxa"/>
            <w:gridSpan w:val="4"/>
            <w:tcBorders>
              <w:top w:val="single" w:color="auto" w:sz="4" w:space="0"/>
              <w:left w:val="single" w:color="auto" w:sz="4" w:space="0"/>
              <w:bottom w:val="single" w:color="auto" w:sz="4" w:space="0"/>
              <w:right w:val="single" w:color="auto" w:sz="4" w:space="0"/>
            </w:tcBorders>
            <w:vAlign w:val="center"/>
          </w:tcPr>
          <w:p w14:paraId="654F843C">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课程代码</w:t>
            </w:r>
          </w:p>
        </w:tc>
        <w:tc>
          <w:tcPr>
            <w:tcW w:w="1556" w:type="dxa"/>
            <w:gridSpan w:val="3"/>
            <w:tcBorders>
              <w:top w:val="single" w:color="auto" w:sz="4" w:space="0"/>
              <w:left w:val="single" w:color="auto" w:sz="4" w:space="0"/>
              <w:bottom w:val="single" w:color="auto" w:sz="4" w:space="0"/>
              <w:right w:val="single" w:color="auto" w:sz="4" w:space="0"/>
            </w:tcBorders>
            <w:vAlign w:val="center"/>
          </w:tcPr>
          <w:p w14:paraId="0B56651E">
            <w:pPr>
              <w:adjustRightInd w:val="0"/>
              <w:snapToGrid w:val="0"/>
              <w:spacing w:line="240" w:lineRule="atLeast"/>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1213402610</w:t>
            </w:r>
          </w:p>
          <w:p w14:paraId="5C25A604">
            <w:pPr>
              <w:adjustRightInd w:val="0"/>
              <w:snapToGrid w:val="0"/>
              <w:spacing w:line="240" w:lineRule="atLeast"/>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1213402611</w:t>
            </w:r>
          </w:p>
        </w:tc>
      </w:tr>
      <w:tr w14:paraId="1D16A8DE">
        <w:trPr>
          <w:trHeight w:val="454" w:hRule="atLeast"/>
        </w:trPr>
        <w:tc>
          <w:tcPr>
            <w:tcW w:w="1376" w:type="dxa"/>
            <w:tcBorders>
              <w:top w:val="single" w:color="auto" w:sz="4" w:space="0"/>
              <w:left w:val="single" w:color="auto" w:sz="4" w:space="0"/>
              <w:bottom w:val="single" w:color="auto" w:sz="4" w:space="0"/>
              <w:right w:val="single" w:color="auto" w:sz="4" w:space="0"/>
            </w:tcBorders>
            <w:vAlign w:val="center"/>
          </w:tcPr>
          <w:p w14:paraId="18B480ED">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课程类型</w:t>
            </w:r>
          </w:p>
        </w:tc>
        <w:tc>
          <w:tcPr>
            <w:tcW w:w="7772" w:type="dxa"/>
            <w:gridSpan w:val="14"/>
            <w:tcBorders>
              <w:top w:val="single" w:color="auto" w:sz="4" w:space="0"/>
              <w:left w:val="single" w:color="auto" w:sz="4" w:space="0"/>
              <w:bottom w:val="single" w:color="auto" w:sz="4" w:space="0"/>
              <w:right w:val="single" w:color="auto" w:sz="4" w:space="0"/>
            </w:tcBorders>
            <w:vAlign w:val="center"/>
          </w:tcPr>
          <w:p w14:paraId="10D1BC51">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sym w:font="Wingdings" w:char="00A8"/>
            </w:r>
            <w:r>
              <w:rPr>
                <w:rFonts w:hint="eastAsia" w:ascii="仿宋" w:eastAsia="仿宋" w:cs="仿宋"/>
                <w:color w:val="000000"/>
                <w:sz w:val="24"/>
                <w:szCs w:val="24"/>
              </w:rPr>
              <w:t xml:space="preserve">通识必修 </w:t>
            </w:r>
            <w:r>
              <w:rPr>
                <w:rFonts w:hint="eastAsia" w:ascii="仿宋" w:eastAsia="仿宋" w:cs="仿宋"/>
                <w:color w:val="000000"/>
                <w:sz w:val="24"/>
                <w:szCs w:val="24"/>
              </w:rPr>
              <w:sym w:font="Wingdings" w:char="00A8"/>
            </w:r>
            <w:r>
              <w:rPr>
                <w:rFonts w:hint="eastAsia" w:ascii="仿宋" w:eastAsia="仿宋" w:cs="仿宋"/>
                <w:color w:val="000000"/>
                <w:sz w:val="24"/>
                <w:szCs w:val="24"/>
              </w:rPr>
              <w:t xml:space="preserve">通识选修 </w:t>
            </w:r>
            <w:r>
              <w:rPr>
                <w:rFonts w:hint="eastAsia" w:ascii="仿宋" w:eastAsia="仿宋" w:cs="仿宋"/>
                <w:color w:val="000000"/>
                <w:sz w:val="24"/>
                <w:szCs w:val="24"/>
              </w:rPr>
              <w:sym w:font="Wingdings" w:char="00FE"/>
            </w:r>
            <w:r>
              <w:rPr>
                <w:rFonts w:hint="eastAsia" w:ascii="仿宋" w:eastAsia="仿宋" w:cs="仿宋"/>
                <w:color w:val="000000"/>
                <w:sz w:val="24"/>
                <w:szCs w:val="24"/>
              </w:rPr>
              <w:t xml:space="preserve">专业必修 </w:t>
            </w:r>
          </w:p>
          <w:p w14:paraId="0EA1D6F8">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sym w:font="Wingdings" w:char="00FE"/>
            </w:r>
            <w:r>
              <w:rPr>
                <w:rFonts w:hint="eastAsia" w:ascii="仿宋" w:eastAsia="仿宋" w:cs="仿宋"/>
                <w:color w:val="000000"/>
                <w:sz w:val="24"/>
                <w:szCs w:val="24"/>
              </w:rPr>
              <w:t>专业选修</w:t>
            </w:r>
            <w:r>
              <w:rPr>
                <w:rFonts w:hint="eastAsia" w:ascii="仿宋" w:eastAsia="仿宋" w:cs="仿宋"/>
                <w:color w:val="000000"/>
                <w:sz w:val="24"/>
                <w:szCs w:val="24"/>
                <w:lang w:eastAsia="zh-TW"/>
              </w:rPr>
              <w:t xml:space="preserve"> </w:t>
            </w:r>
            <w:r>
              <w:rPr>
                <w:rFonts w:hint="eastAsia" w:ascii="仿宋" w:eastAsia="仿宋" w:cs="仿宋"/>
                <w:color w:val="000000"/>
                <w:sz w:val="24"/>
                <w:szCs w:val="24"/>
              </w:rPr>
              <w:sym w:font="Wingdings" w:char="00A8"/>
            </w:r>
            <w:r>
              <w:rPr>
                <w:rFonts w:hint="eastAsia" w:ascii="仿宋" w:eastAsia="仿宋" w:cs="仿宋"/>
                <w:color w:val="000000"/>
                <w:sz w:val="24"/>
                <w:szCs w:val="24"/>
              </w:rPr>
              <w:t xml:space="preserve">教师教育必修 </w:t>
            </w:r>
            <w:r>
              <w:rPr>
                <w:rFonts w:hint="eastAsia" w:ascii="仿宋" w:eastAsia="仿宋" w:cs="仿宋"/>
                <w:color w:val="000000"/>
                <w:sz w:val="24"/>
                <w:szCs w:val="24"/>
              </w:rPr>
              <w:sym w:font="Wingdings" w:char="00A8"/>
            </w:r>
            <w:r>
              <w:rPr>
                <w:rFonts w:hint="eastAsia" w:ascii="仿宋" w:eastAsia="仿宋" w:cs="仿宋"/>
                <w:color w:val="000000"/>
                <w:sz w:val="24"/>
                <w:szCs w:val="24"/>
              </w:rPr>
              <w:t>教师教育选修</w:t>
            </w:r>
          </w:p>
        </w:tc>
      </w:tr>
      <w:tr w14:paraId="006D9463">
        <w:trPr>
          <w:trHeight w:val="406" w:hRule="atLeast"/>
        </w:trPr>
        <w:tc>
          <w:tcPr>
            <w:tcW w:w="1376" w:type="dxa"/>
            <w:tcBorders>
              <w:top w:val="single" w:color="auto" w:sz="4" w:space="0"/>
              <w:left w:val="single" w:color="auto" w:sz="4" w:space="0"/>
              <w:bottom w:val="single" w:color="auto" w:sz="4" w:space="0"/>
              <w:right w:val="single" w:color="auto" w:sz="4" w:space="0"/>
            </w:tcBorders>
            <w:vAlign w:val="center"/>
          </w:tcPr>
          <w:p w14:paraId="0375D165">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开课学期</w:t>
            </w:r>
          </w:p>
        </w:tc>
        <w:tc>
          <w:tcPr>
            <w:tcW w:w="1554" w:type="dxa"/>
            <w:gridSpan w:val="3"/>
            <w:tcBorders>
              <w:top w:val="single" w:color="auto" w:sz="4" w:space="0"/>
              <w:left w:val="single" w:color="auto" w:sz="4" w:space="0"/>
              <w:bottom w:val="single" w:color="auto" w:sz="4" w:space="0"/>
              <w:right w:val="single" w:color="auto" w:sz="4" w:space="0"/>
            </w:tcBorders>
            <w:vAlign w:val="center"/>
          </w:tcPr>
          <w:p w14:paraId="7BB9EAE3">
            <w:pPr>
              <w:adjustRightInd w:val="0"/>
              <w:snapToGrid w:val="0"/>
              <w:spacing w:line="240" w:lineRule="atLeast"/>
              <w:jc w:val="center"/>
              <w:rPr>
                <w:rFonts w:hint="eastAsia" w:ascii="仿宋" w:eastAsia="仿宋" w:cs="仿宋"/>
                <w:color w:val="000000"/>
                <w:sz w:val="24"/>
                <w:szCs w:val="24"/>
                <w:lang w:val="en-US" w:eastAsia="zh-Hans"/>
              </w:rPr>
            </w:pPr>
            <w:r>
              <w:rPr>
                <w:rFonts w:hint="eastAsia" w:ascii="仿宋" w:eastAsia="仿宋" w:cs="仿宋"/>
                <w:color w:val="000000"/>
                <w:sz w:val="24"/>
                <w:szCs w:val="24"/>
                <w:lang w:val="en-US" w:eastAsia="zh-Hans"/>
              </w:rPr>
              <w:t>第</w:t>
            </w:r>
            <w:r>
              <w:rPr>
                <w:rFonts w:hint="eastAsia" w:ascii="仿宋" w:eastAsia="仿宋" w:cs="仿宋"/>
                <w:color w:val="000000"/>
                <w:sz w:val="24"/>
                <w:szCs w:val="24"/>
              </w:rPr>
              <w:t>5、6</w:t>
            </w:r>
            <w:r>
              <w:rPr>
                <w:rFonts w:hint="eastAsia" w:ascii="仿宋" w:eastAsia="仿宋" w:cs="仿宋"/>
                <w:color w:val="000000"/>
                <w:sz w:val="24"/>
                <w:szCs w:val="24"/>
                <w:lang w:val="en-US" w:eastAsia="zh-Hans"/>
              </w:rPr>
              <w:t>学期</w:t>
            </w:r>
          </w:p>
        </w:tc>
        <w:tc>
          <w:tcPr>
            <w:tcW w:w="1554" w:type="dxa"/>
            <w:tcBorders>
              <w:top w:val="single" w:color="auto" w:sz="4" w:space="0"/>
              <w:left w:val="single" w:color="auto" w:sz="4" w:space="0"/>
              <w:bottom w:val="single" w:color="auto" w:sz="4" w:space="0"/>
              <w:right w:val="single" w:color="auto" w:sz="4" w:space="0"/>
            </w:tcBorders>
            <w:vAlign w:val="center"/>
          </w:tcPr>
          <w:p w14:paraId="4AF67E1F">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学分</w:t>
            </w:r>
          </w:p>
        </w:tc>
        <w:tc>
          <w:tcPr>
            <w:tcW w:w="1554" w:type="dxa"/>
            <w:gridSpan w:val="3"/>
            <w:tcBorders>
              <w:top w:val="single" w:color="auto" w:sz="4" w:space="0"/>
              <w:left w:val="single" w:color="auto" w:sz="4" w:space="0"/>
              <w:bottom w:val="single" w:color="auto" w:sz="4" w:space="0"/>
              <w:right w:val="single" w:color="auto" w:sz="4" w:space="0"/>
            </w:tcBorders>
            <w:vAlign w:val="center"/>
          </w:tcPr>
          <w:p w14:paraId="32448522">
            <w:pPr>
              <w:adjustRightInd w:val="0"/>
              <w:snapToGrid w:val="0"/>
              <w:spacing w:line="240" w:lineRule="atLeast"/>
              <w:jc w:val="center"/>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CN"/>
              </w:rPr>
              <w:t>2</w:t>
            </w:r>
          </w:p>
        </w:tc>
        <w:tc>
          <w:tcPr>
            <w:tcW w:w="1554" w:type="dxa"/>
            <w:gridSpan w:val="4"/>
            <w:tcBorders>
              <w:top w:val="single" w:color="auto" w:sz="4" w:space="0"/>
              <w:left w:val="single" w:color="auto" w:sz="4" w:space="0"/>
              <w:bottom w:val="single" w:color="auto" w:sz="4" w:space="0"/>
              <w:right w:val="single" w:color="auto" w:sz="4" w:space="0"/>
            </w:tcBorders>
            <w:vAlign w:val="center"/>
          </w:tcPr>
          <w:p w14:paraId="1D0667E6">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课程负责人</w:t>
            </w:r>
          </w:p>
        </w:tc>
        <w:tc>
          <w:tcPr>
            <w:tcW w:w="1556" w:type="dxa"/>
            <w:gridSpan w:val="3"/>
            <w:tcBorders>
              <w:top w:val="single" w:color="auto" w:sz="4" w:space="0"/>
              <w:left w:val="single" w:color="auto" w:sz="4" w:space="0"/>
              <w:bottom w:val="single" w:color="auto" w:sz="4" w:space="0"/>
              <w:right w:val="single" w:color="auto" w:sz="4" w:space="0"/>
            </w:tcBorders>
            <w:vAlign w:val="center"/>
          </w:tcPr>
          <w:p w14:paraId="4D9A158B">
            <w:pPr>
              <w:adjustRightInd w:val="0"/>
              <w:snapToGrid w:val="0"/>
              <w:spacing w:line="240" w:lineRule="atLeast"/>
              <w:jc w:val="center"/>
              <w:rPr>
                <w:rFonts w:hint="eastAsia" w:ascii="仿宋" w:eastAsia="仿宋" w:cs="仿宋"/>
                <w:color w:val="000000"/>
                <w:sz w:val="24"/>
                <w:szCs w:val="24"/>
                <w:lang w:eastAsia="zh-TW"/>
              </w:rPr>
            </w:pPr>
            <w:r>
              <w:rPr>
                <w:rFonts w:hint="eastAsia" w:ascii="仿宋" w:eastAsia="宋体" w:cs="仿宋"/>
                <w:color w:val="000000"/>
                <w:sz w:val="24"/>
                <w:szCs w:val="24"/>
                <w:lang w:eastAsia="zh-TW"/>
              </w:rPr>
              <w:t>吴越、郑启芳</w:t>
            </w:r>
          </w:p>
        </w:tc>
      </w:tr>
      <w:tr w14:paraId="77A90692">
        <w:trPr>
          <w:trHeight w:val="485" w:hRule="atLeast"/>
        </w:trPr>
        <w:tc>
          <w:tcPr>
            <w:tcW w:w="1376" w:type="dxa"/>
            <w:tcBorders>
              <w:top w:val="single" w:color="auto" w:sz="4" w:space="0"/>
              <w:left w:val="single" w:color="auto" w:sz="4" w:space="0"/>
              <w:bottom w:val="single" w:color="auto" w:sz="4" w:space="0"/>
              <w:right w:val="single" w:color="auto" w:sz="4" w:space="0"/>
            </w:tcBorders>
            <w:vAlign w:val="center"/>
          </w:tcPr>
          <w:p w14:paraId="081EF4CB">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总学时</w:t>
            </w:r>
          </w:p>
        </w:tc>
        <w:tc>
          <w:tcPr>
            <w:tcW w:w="1554" w:type="dxa"/>
            <w:gridSpan w:val="3"/>
            <w:tcBorders>
              <w:top w:val="single" w:color="auto" w:sz="4" w:space="0"/>
              <w:left w:val="single" w:color="auto" w:sz="4" w:space="0"/>
              <w:bottom w:val="single" w:color="auto" w:sz="4" w:space="0"/>
              <w:right w:val="single" w:color="auto" w:sz="4" w:space="0"/>
            </w:tcBorders>
            <w:vAlign w:val="center"/>
          </w:tcPr>
          <w:p w14:paraId="338FDE07">
            <w:pPr>
              <w:adjustRightInd w:val="0"/>
              <w:snapToGrid w:val="0"/>
              <w:spacing w:line="240" w:lineRule="atLeast"/>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64</w:t>
            </w:r>
          </w:p>
        </w:tc>
        <w:tc>
          <w:tcPr>
            <w:tcW w:w="1554" w:type="dxa"/>
            <w:tcBorders>
              <w:top w:val="single" w:color="auto" w:sz="4" w:space="0"/>
              <w:left w:val="single" w:color="auto" w:sz="4" w:space="0"/>
              <w:bottom w:val="single" w:color="auto" w:sz="4" w:space="0"/>
              <w:right w:val="single" w:color="auto" w:sz="4" w:space="0"/>
            </w:tcBorders>
            <w:vAlign w:val="center"/>
          </w:tcPr>
          <w:p w14:paraId="6F5C74B1">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理论学时</w:t>
            </w:r>
          </w:p>
        </w:tc>
        <w:tc>
          <w:tcPr>
            <w:tcW w:w="1554" w:type="dxa"/>
            <w:gridSpan w:val="3"/>
            <w:tcBorders>
              <w:top w:val="single" w:color="auto" w:sz="4" w:space="0"/>
              <w:left w:val="single" w:color="auto" w:sz="4" w:space="0"/>
              <w:bottom w:val="single" w:color="auto" w:sz="4" w:space="0"/>
              <w:right w:val="single" w:color="auto" w:sz="4" w:space="0"/>
            </w:tcBorders>
            <w:vAlign w:val="center"/>
          </w:tcPr>
          <w:p w14:paraId="1D18D475">
            <w:pPr>
              <w:adjustRightInd w:val="0"/>
              <w:snapToGrid w:val="0"/>
              <w:spacing w:line="240" w:lineRule="atLeast"/>
              <w:jc w:val="center"/>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CN"/>
              </w:rPr>
              <w:t>0</w:t>
            </w:r>
          </w:p>
        </w:tc>
        <w:tc>
          <w:tcPr>
            <w:tcW w:w="1554" w:type="dxa"/>
            <w:gridSpan w:val="4"/>
            <w:tcBorders>
              <w:top w:val="single" w:color="auto" w:sz="4" w:space="0"/>
              <w:left w:val="single" w:color="auto" w:sz="4" w:space="0"/>
              <w:bottom w:val="single" w:color="auto" w:sz="4" w:space="0"/>
              <w:right w:val="single" w:color="000000" w:sz="4" w:space="0"/>
            </w:tcBorders>
            <w:vAlign w:val="center"/>
          </w:tcPr>
          <w:p w14:paraId="6B21AFAF">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实践学时</w:t>
            </w:r>
          </w:p>
        </w:tc>
        <w:tc>
          <w:tcPr>
            <w:tcW w:w="1556" w:type="dxa"/>
            <w:gridSpan w:val="3"/>
            <w:tcBorders>
              <w:top w:val="single" w:color="auto" w:sz="4" w:space="0"/>
              <w:left w:val="single" w:color="000000" w:sz="4" w:space="0"/>
              <w:bottom w:val="single" w:color="auto" w:sz="4" w:space="0"/>
              <w:right w:val="single" w:color="auto" w:sz="4" w:space="0"/>
            </w:tcBorders>
            <w:vAlign w:val="center"/>
          </w:tcPr>
          <w:p w14:paraId="7DD95142">
            <w:pPr>
              <w:adjustRightInd w:val="0"/>
              <w:snapToGrid w:val="0"/>
              <w:spacing w:line="240" w:lineRule="atLeast"/>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64</w:t>
            </w:r>
          </w:p>
        </w:tc>
      </w:tr>
      <w:tr w14:paraId="65576EA4">
        <w:trPr>
          <w:trHeight w:val="454" w:hRule="atLeast"/>
        </w:trPr>
        <w:tc>
          <w:tcPr>
            <w:tcW w:w="1376" w:type="dxa"/>
            <w:tcBorders>
              <w:top w:val="single" w:color="auto" w:sz="4" w:space="0"/>
              <w:left w:val="single" w:color="auto" w:sz="4" w:space="0"/>
              <w:bottom w:val="single" w:color="auto" w:sz="4" w:space="0"/>
              <w:right w:val="single" w:color="auto" w:sz="4" w:space="0"/>
            </w:tcBorders>
            <w:vAlign w:val="center"/>
          </w:tcPr>
          <w:p w14:paraId="46E07E64">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先修课程与后续课程</w:t>
            </w:r>
          </w:p>
        </w:tc>
        <w:tc>
          <w:tcPr>
            <w:tcW w:w="7772" w:type="dxa"/>
            <w:gridSpan w:val="14"/>
            <w:tcBorders>
              <w:top w:val="single" w:color="auto" w:sz="4" w:space="0"/>
              <w:left w:val="single" w:color="auto" w:sz="4" w:space="0"/>
              <w:bottom w:val="single" w:color="auto" w:sz="4" w:space="0"/>
              <w:right w:val="single" w:color="auto" w:sz="4" w:space="0"/>
            </w:tcBorders>
            <w:vAlign w:val="center"/>
          </w:tcPr>
          <w:p w14:paraId="16555621">
            <w:pPr>
              <w:adjustRightInd w:val="0"/>
              <w:snapToGrid w:val="0"/>
              <w:spacing w:line="240" w:lineRule="atLeast"/>
              <w:rPr>
                <w:rFonts w:ascii="仿宋" w:eastAsia="仿宋" w:cs="仿宋"/>
                <w:color w:val="000000"/>
                <w:sz w:val="24"/>
                <w:szCs w:val="24"/>
              </w:rPr>
            </w:pPr>
            <w:r>
              <w:rPr>
                <w:rFonts w:hint="eastAsia" w:ascii="仿宋" w:eastAsia="仿宋" w:cs="仿宋"/>
                <w:color w:val="000000"/>
                <w:sz w:val="24"/>
                <w:szCs w:val="24"/>
              </w:rPr>
              <w:t>先修课程：乐器演奏基础、基本乐理、视唱练耳等。</w:t>
            </w:r>
          </w:p>
          <w:p w14:paraId="018A57D7">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后续课程：无</w:t>
            </w:r>
          </w:p>
        </w:tc>
      </w:tr>
      <w:tr w14:paraId="56F6BC07">
        <w:trPr>
          <w:trHeight w:val="454" w:hRule="atLeast"/>
        </w:trPr>
        <w:tc>
          <w:tcPr>
            <w:tcW w:w="1376" w:type="dxa"/>
            <w:tcBorders>
              <w:top w:val="single" w:color="auto" w:sz="4" w:space="0"/>
              <w:left w:val="single" w:color="auto" w:sz="4" w:space="0"/>
              <w:bottom w:val="single" w:color="auto" w:sz="4" w:space="0"/>
              <w:right w:val="single" w:color="auto" w:sz="4" w:space="0"/>
            </w:tcBorders>
            <w:vAlign w:val="center"/>
          </w:tcPr>
          <w:p w14:paraId="3BD61AD5">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适用专业</w:t>
            </w:r>
          </w:p>
        </w:tc>
        <w:tc>
          <w:tcPr>
            <w:tcW w:w="7772" w:type="dxa"/>
            <w:gridSpan w:val="14"/>
            <w:tcBorders>
              <w:top w:val="single" w:color="auto" w:sz="4" w:space="0"/>
              <w:left w:val="single" w:color="auto" w:sz="4" w:space="0"/>
              <w:bottom w:val="single" w:color="auto" w:sz="4" w:space="0"/>
              <w:right w:val="single" w:color="auto" w:sz="4" w:space="0"/>
            </w:tcBorders>
            <w:vAlign w:val="center"/>
          </w:tcPr>
          <w:p w14:paraId="1D923DD2">
            <w:pPr>
              <w:adjustRightInd w:val="0"/>
              <w:snapToGrid w:val="0"/>
              <w:spacing w:line="240" w:lineRule="atLeast"/>
              <w:jc w:val="center"/>
              <w:rPr>
                <w:rFonts w:ascii="仿宋" w:eastAsia="仿宋" w:cs="仿宋"/>
                <w:color w:val="000000"/>
                <w:sz w:val="24"/>
                <w:szCs w:val="24"/>
              </w:rPr>
            </w:pPr>
            <w:r>
              <w:rPr>
                <w:rFonts w:hint="eastAsia" w:ascii="仿宋" w:eastAsia="仿宋" w:cs="仿宋"/>
                <w:color w:val="000000"/>
                <w:sz w:val="24"/>
                <w:szCs w:val="24"/>
              </w:rPr>
              <w:t>音乐学</w:t>
            </w:r>
          </w:p>
        </w:tc>
      </w:tr>
      <w:tr w14:paraId="4A216292">
        <w:tc>
          <w:tcPr>
            <w:tcW w:w="1376" w:type="dxa"/>
            <w:tcBorders>
              <w:top w:val="single" w:color="auto" w:sz="4" w:space="0"/>
              <w:left w:val="single" w:color="auto" w:sz="4" w:space="0"/>
              <w:bottom w:val="single" w:color="auto" w:sz="4" w:space="0"/>
              <w:right w:val="single" w:color="auto" w:sz="4" w:space="0"/>
            </w:tcBorders>
            <w:vAlign w:val="center"/>
          </w:tcPr>
          <w:p w14:paraId="0F2D81E6">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A</w:t>
            </w:r>
          </w:p>
          <w:p w14:paraId="7A4EEF82">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参考教材</w:t>
            </w:r>
          </w:p>
        </w:tc>
        <w:tc>
          <w:tcPr>
            <w:tcW w:w="7772" w:type="dxa"/>
            <w:gridSpan w:val="14"/>
            <w:tcBorders>
              <w:top w:val="single" w:color="auto" w:sz="4" w:space="0"/>
              <w:left w:val="single" w:color="auto" w:sz="4" w:space="0"/>
              <w:bottom w:val="single" w:color="auto" w:sz="4" w:space="0"/>
              <w:right w:val="single" w:color="auto" w:sz="4" w:space="0"/>
            </w:tcBorders>
            <w:vAlign w:val="center"/>
          </w:tcPr>
          <w:p w14:paraId="266806ED">
            <w:pPr>
              <w:adjustRightInd w:val="0"/>
              <w:snapToGrid w:val="0"/>
              <w:spacing w:line="240" w:lineRule="atLeast"/>
              <w:rPr>
                <w:rFonts w:hint="eastAsia" w:ascii="仿宋" w:eastAsia="仿宋" w:cs="仿宋"/>
                <w:color w:val="000000"/>
                <w:sz w:val="24"/>
                <w:szCs w:val="24"/>
              </w:rPr>
            </w:pPr>
            <w:r>
              <w:rPr>
                <w:rFonts w:ascii="仿宋" w:eastAsia="仿宋" w:cs="仿宋"/>
                <w:color w:val="000000"/>
                <w:sz w:val="24"/>
                <w:szCs w:val="24"/>
              </w:rPr>
              <w:t>朴</w:t>
            </w:r>
            <w:r>
              <w:rPr>
                <w:rFonts w:hint="eastAsia" w:ascii="仿宋" w:eastAsia="仿宋" w:cs="仿宋"/>
                <w:color w:val="000000"/>
                <w:sz w:val="24"/>
                <w:szCs w:val="24"/>
              </w:rPr>
              <w:t>东升编著，《合奏与指挥》，</w:t>
            </w:r>
            <w:r>
              <w:rPr>
                <w:rFonts w:hint="eastAsia" w:ascii="仿宋" w:eastAsia="仿宋" w:cs="仿宋"/>
                <w:color w:val="000000"/>
                <w:sz w:val="24"/>
                <w:szCs w:val="24"/>
              </w:rPr>
              <w:fldChar w:fldCharType="begin"/>
            </w:r>
            <w:r>
              <w:instrText xml:space="preserve">HYPERLINK "http://ztiii.zjlib.cn/search*chx/a%7bu5929%7d%7bu6D25%7d%7bu5927%7d%7bu5B66%7d%7bu51FA%7d%7bu7248%7d%7bu793E%7d/a%7b213928%7d%7b21473e%7d%7b213925%7d%7b213a60%7d%7b21334b%7d%7b214a48%7d%7b214e61%7d/-2,-1,0,B/browse"</w:instrText>
            </w:r>
            <w:r>
              <w:rPr>
                <w:rFonts w:hint="eastAsia" w:ascii="仿宋" w:eastAsia="仿宋" w:cs="仿宋"/>
                <w:color w:val="000000"/>
                <w:sz w:val="24"/>
                <w:szCs w:val="24"/>
              </w:rPr>
              <w:fldChar w:fldCharType="separate"/>
            </w:r>
            <w:r>
              <w:rPr>
                <w:rFonts w:hint="eastAsia" w:ascii="仿宋" w:eastAsia="仿宋" w:cs="仿宋"/>
                <w:color w:val="000000"/>
                <w:sz w:val="24"/>
                <w:szCs w:val="24"/>
              </w:rPr>
              <w:t>人民音乐出版社</w:t>
            </w:r>
            <w:r>
              <w:rPr>
                <w:rFonts w:hint="eastAsia" w:ascii="仿宋" w:eastAsia="仿宋" w:cs="仿宋"/>
                <w:color w:val="000000"/>
                <w:sz w:val="24"/>
                <w:szCs w:val="24"/>
              </w:rPr>
              <w:fldChar w:fldCharType="end"/>
            </w:r>
            <w:r>
              <w:rPr>
                <w:rFonts w:hint="eastAsia" w:ascii="仿宋" w:eastAsia="仿宋" w:cs="仿宋"/>
                <w:color w:val="000000"/>
                <w:sz w:val="24"/>
                <w:szCs w:val="24"/>
              </w:rPr>
              <w:t>，2007年11月</w:t>
            </w:r>
          </w:p>
        </w:tc>
      </w:tr>
      <w:tr w14:paraId="33BEE0C0">
        <w:tc>
          <w:tcPr>
            <w:tcW w:w="1376" w:type="dxa"/>
            <w:tcBorders>
              <w:top w:val="single" w:color="auto" w:sz="4" w:space="0"/>
              <w:left w:val="single" w:color="auto" w:sz="4" w:space="0"/>
              <w:bottom w:val="single" w:color="auto" w:sz="4" w:space="0"/>
              <w:right w:val="single" w:color="auto" w:sz="4" w:space="0"/>
            </w:tcBorders>
            <w:vAlign w:val="center"/>
          </w:tcPr>
          <w:p w14:paraId="03E03A0C">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B</w:t>
            </w:r>
          </w:p>
          <w:p w14:paraId="513864AD">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主要参考书籍</w:t>
            </w:r>
          </w:p>
        </w:tc>
        <w:tc>
          <w:tcPr>
            <w:tcW w:w="7772" w:type="dxa"/>
            <w:gridSpan w:val="14"/>
            <w:tcBorders>
              <w:top w:val="single" w:color="auto" w:sz="4" w:space="0"/>
              <w:left w:val="single" w:color="auto" w:sz="4" w:space="0"/>
              <w:bottom w:val="single" w:color="auto" w:sz="4" w:space="0"/>
              <w:right w:val="single" w:color="auto" w:sz="4" w:space="0"/>
            </w:tcBorders>
            <w:vAlign w:val="center"/>
          </w:tcPr>
          <w:p w14:paraId="704537CA">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[1]方智诺主编，《乐队编配与排练》，人民教育出版社，2008年5月</w:t>
            </w:r>
          </w:p>
          <w:p w14:paraId="51E4A70A">
            <w:pPr>
              <w:adjustRightInd w:val="0"/>
              <w:snapToGrid w:val="0"/>
              <w:spacing w:line="240" w:lineRule="atLeast"/>
              <w:rPr>
                <w:rFonts w:hint="eastAsia" w:ascii="仿宋" w:eastAsia="仿宋" w:cs="仿宋"/>
                <w:color w:val="000000"/>
                <w:sz w:val="24"/>
                <w:szCs w:val="24"/>
              </w:rPr>
            </w:pPr>
            <w:r>
              <w:rPr>
                <w:rFonts w:ascii="仿宋" w:eastAsia="仿宋" w:cs="仿宋"/>
                <w:color w:val="000000"/>
                <w:sz w:val="24"/>
                <w:szCs w:val="24"/>
              </w:rPr>
              <w:t>[2]编写组编著，</w:t>
            </w:r>
            <w:r>
              <w:rPr>
                <w:rFonts w:hint="eastAsia" w:ascii="仿宋" w:eastAsia="仿宋" w:cs="仿宋"/>
                <w:color w:val="000000"/>
                <w:sz w:val="24"/>
                <w:szCs w:val="24"/>
              </w:rPr>
              <w:t>《小型乐队编配》，人民音乐出版社，1985年6月</w:t>
            </w:r>
          </w:p>
          <w:p w14:paraId="4922A840">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[3]人民音乐出版社编辑部编，《轻音乐曲集》，人民音乐出版社，1981年7月</w:t>
            </w:r>
          </w:p>
          <w:p w14:paraId="79E6EC9F">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[4]李复斌编配，《民族乐队合奏曲集》，上海音乐出版社，2002年6月</w:t>
            </w:r>
          </w:p>
          <w:p w14:paraId="5BABA474">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[5]周国华编，《民乐合奏·重奏曲精选》，上海音乐出版社，2005年3月</w:t>
            </w:r>
          </w:p>
          <w:p w14:paraId="03B8C1D7">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[6]周仲康主编，《中国民族器乐合奏曲集》，上海教育出版社，2002年7月</w:t>
            </w:r>
          </w:p>
        </w:tc>
      </w:tr>
      <w:tr w14:paraId="72CBB619">
        <w:tc>
          <w:tcPr>
            <w:tcW w:w="1376" w:type="dxa"/>
            <w:tcBorders>
              <w:top w:val="single" w:color="auto" w:sz="4" w:space="0"/>
              <w:left w:val="single" w:color="auto" w:sz="4" w:space="0"/>
              <w:bottom w:val="single" w:color="auto" w:sz="4" w:space="0"/>
              <w:right w:val="single" w:color="auto" w:sz="4" w:space="0"/>
            </w:tcBorders>
            <w:vAlign w:val="center"/>
          </w:tcPr>
          <w:p w14:paraId="6DE5AACB">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C</w:t>
            </w:r>
          </w:p>
          <w:p w14:paraId="777BE7C5">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线上学习资源</w:t>
            </w:r>
          </w:p>
        </w:tc>
        <w:tc>
          <w:tcPr>
            <w:tcW w:w="7772" w:type="dxa"/>
            <w:gridSpan w:val="14"/>
            <w:tcBorders>
              <w:top w:val="single" w:color="auto" w:sz="4" w:space="0"/>
              <w:left w:val="single" w:color="auto" w:sz="4" w:space="0"/>
              <w:bottom w:val="single" w:color="auto" w:sz="4" w:space="0"/>
              <w:right w:val="single" w:color="auto" w:sz="4" w:space="0"/>
            </w:tcBorders>
            <w:vAlign w:val="center"/>
          </w:tcPr>
          <w:p w14:paraId="1D190A2F">
            <w:pPr>
              <w:adjustRightInd w:val="0"/>
              <w:snapToGrid w:val="0"/>
              <w:spacing w:line="240" w:lineRule="atLeast"/>
              <w:rPr>
                <w:rFonts w:ascii="仿宋" w:eastAsia="仿宋" w:cs="仿宋"/>
                <w:color w:val="000000"/>
                <w:sz w:val="24"/>
                <w:szCs w:val="24"/>
              </w:rPr>
            </w:pPr>
          </w:p>
        </w:tc>
      </w:tr>
      <w:tr w14:paraId="0845BF25">
        <w:trPr>
          <w:trHeight w:val="90" w:hRule="atLeast"/>
        </w:trPr>
        <w:tc>
          <w:tcPr>
            <w:tcW w:w="1376" w:type="dxa"/>
            <w:tcBorders>
              <w:top w:val="single" w:color="auto" w:sz="4" w:space="0"/>
              <w:left w:val="single" w:color="auto" w:sz="4" w:space="0"/>
              <w:bottom w:val="single" w:color="auto" w:sz="4" w:space="0"/>
              <w:right w:val="single" w:color="auto" w:sz="4" w:space="0"/>
            </w:tcBorders>
            <w:shd w:val="clear" w:color="auto" w:fill="FFFFFF"/>
            <w:vAlign w:val="center"/>
          </w:tcPr>
          <w:p w14:paraId="4BA6868C">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D</w:t>
            </w:r>
          </w:p>
          <w:p w14:paraId="5C8FA16A">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 xml:space="preserve">课程描述 </w:t>
            </w:r>
          </w:p>
          <w:p w14:paraId="6A4687D9">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lang w:eastAsia="zh-TW"/>
              </w:rPr>
              <w:t>(</w:t>
            </w:r>
            <w:r>
              <w:rPr>
                <w:rFonts w:hint="eastAsia" w:ascii="仿宋" w:eastAsia="仿宋" w:cs="仿宋"/>
                <w:color w:val="000000"/>
                <w:sz w:val="24"/>
                <w:szCs w:val="24"/>
              </w:rPr>
              <w:t>含</w:t>
            </w:r>
            <w:r>
              <w:rPr>
                <w:rFonts w:hint="eastAsia" w:ascii="仿宋" w:eastAsia="仿宋" w:cs="仿宋"/>
                <w:color w:val="000000"/>
                <w:sz w:val="24"/>
                <w:szCs w:val="24"/>
                <w:lang w:eastAsia="zh-TW"/>
              </w:rPr>
              <w:t>性质、地位和任务)</w:t>
            </w:r>
          </w:p>
        </w:tc>
        <w:tc>
          <w:tcPr>
            <w:tcW w:w="7772" w:type="dxa"/>
            <w:gridSpan w:val="14"/>
            <w:tcBorders>
              <w:top w:val="single" w:color="auto" w:sz="4" w:space="0"/>
              <w:left w:val="single" w:color="auto" w:sz="4" w:space="0"/>
              <w:bottom w:val="single" w:color="auto" w:sz="4" w:space="0"/>
              <w:right w:val="single" w:color="auto" w:sz="4" w:space="0"/>
            </w:tcBorders>
            <w:shd w:val="clear" w:color="auto" w:fill="FFFFFF"/>
            <w:vAlign w:val="center"/>
          </w:tcPr>
          <w:p w14:paraId="284AF9EA">
            <w:pPr>
              <w:adjustRightInd w:val="0"/>
              <w:snapToGrid w:val="0"/>
              <w:spacing w:line="240" w:lineRule="atLeast"/>
              <w:ind w:firstLine="480" w:firstLineChars="200"/>
              <w:rPr>
                <w:rFonts w:ascii="仿宋" w:eastAsia="仿宋" w:cs="仿宋"/>
                <w:color w:val="000000"/>
                <w:sz w:val="24"/>
                <w:szCs w:val="24"/>
              </w:rPr>
            </w:pPr>
            <w:r>
              <w:rPr>
                <w:rFonts w:hint="eastAsia" w:ascii="仿宋" w:eastAsia="宋体" w:cs="仿宋"/>
                <w:color w:val="000000"/>
                <w:sz w:val="24"/>
                <w:szCs w:val="24"/>
              </w:rPr>
              <w:t>器乐合奏是音乐学音乐教育的专业方向课程，是学生的重要实践课程之一。通过学习系统地掌握器乐合奏的基本知识和基本技能，有较全面的鉴赏、分析和表现能力，能较好地演奏和掌握不同时期、不同音乐作品的演奏风格和技巧要点。本课程应使学生将主课学到的基本技能同乐队实践有机地结合起来，通过乐队的训练，提高其舞台表现能力与演奏技巧能力，使学生逐渐形成多声部结合、多音色组合、多识体融合的演奏理念及合奏意识，积累丰富的乐队经验，培养出合格的，能适应乐队工作的乐队演奏员。授课内容包括以相同或不同的专业相互组合进行合作演奏，使学生在单独演奏技术水平上培养和提高学生的合奏、合作能力，同时学习和了解不同的合奏形式和组合，系统学习乐队知识，了解</w:t>
            </w:r>
            <w:r>
              <w:rPr>
                <w:rFonts w:hint="eastAsia" w:ascii="仿宋" w:eastAsia="宋体" w:cs="仿宋"/>
                <w:color w:val="000000"/>
                <w:sz w:val="24"/>
                <w:szCs w:val="24"/>
                <w:lang w:eastAsia="zh-TW"/>
              </w:rPr>
              <w:t>大型</w:t>
            </w:r>
            <w:r>
              <w:rPr>
                <w:rFonts w:hint="eastAsia" w:ascii="仿宋" w:eastAsia="宋体" w:cs="仿宋"/>
                <w:color w:val="000000"/>
                <w:sz w:val="24"/>
                <w:szCs w:val="24"/>
              </w:rPr>
              <w:t>乐队</w:t>
            </w:r>
            <w:r>
              <w:rPr>
                <w:rFonts w:hint="eastAsia" w:ascii="仿宋" w:eastAsia="宋体" w:cs="仿宋"/>
                <w:color w:val="000000"/>
                <w:sz w:val="24"/>
                <w:szCs w:val="24"/>
                <w:lang w:eastAsia="zh-TW"/>
              </w:rPr>
              <w:t>及室内乐</w:t>
            </w:r>
            <w:r>
              <w:rPr>
                <w:rFonts w:hint="eastAsia" w:ascii="仿宋" w:eastAsia="宋体" w:cs="仿宋"/>
                <w:color w:val="000000"/>
                <w:sz w:val="24"/>
                <w:szCs w:val="24"/>
              </w:rPr>
              <w:t>的组建和训练方法。</w:t>
            </w:r>
          </w:p>
        </w:tc>
      </w:tr>
      <w:tr w14:paraId="0EF12022">
        <w:trPr>
          <w:trHeight w:val="2648" w:hRule="atLeast"/>
        </w:trPr>
        <w:tc>
          <w:tcPr>
            <w:tcW w:w="1376"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14:paraId="10A68979">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E</w:t>
            </w:r>
          </w:p>
          <w:p w14:paraId="6AB7D297">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课程学习目标及其与毕业要求的对应关系</w:t>
            </w:r>
          </w:p>
        </w:tc>
        <w:tc>
          <w:tcPr>
            <w:tcW w:w="7772" w:type="dxa"/>
            <w:gridSpan w:val="14"/>
            <w:tcBorders>
              <w:top w:val="single" w:color="auto" w:sz="4" w:space="0"/>
              <w:left w:val="single" w:color="auto" w:sz="4" w:space="0"/>
              <w:bottom w:val="single" w:color="auto" w:sz="4" w:space="0"/>
              <w:right w:val="single" w:color="auto" w:sz="4" w:space="0"/>
            </w:tcBorders>
            <w:shd w:val="clear" w:color="auto" w:fill="FFFFFF"/>
            <w:vAlign w:val="center"/>
          </w:tcPr>
          <w:p w14:paraId="67EAABDB">
            <w:pPr>
              <w:adjustRightInd w:val="0"/>
              <w:snapToGrid w:val="0"/>
              <w:spacing w:line="240" w:lineRule="atLeast"/>
              <w:rPr>
                <w:rFonts w:hint="eastAsia" w:ascii="仿宋" w:eastAsia="仿宋" w:cs="仿宋"/>
                <w:color w:val="000000"/>
                <w:sz w:val="24"/>
                <w:szCs w:val="24"/>
                <w:lang w:eastAsia="zh-TW"/>
              </w:rPr>
            </w:pPr>
            <w:r>
              <w:rPr>
                <w:rFonts w:hint="eastAsia" w:ascii="仿宋" w:eastAsia="宋体" w:cs="仿宋"/>
                <w:color w:val="000000"/>
                <w:sz w:val="24"/>
                <w:szCs w:val="24"/>
              </w:rPr>
              <w:t>通过本课程的学习，学生具备如下知识、能力及情感态度价值观：</w:t>
            </w:r>
          </w:p>
          <w:p w14:paraId="3819904A">
            <w:pPr>
              <w:adjustRightInd w:val="0"/>
              <w:snapToGrid w:val="0"/>
              <w:spacing w:line="240" w:lineRule="atLeast"/>
              <w:rPr>
                <w:rFonts w:hint="eastAsia" w:ascii="仿宋" w:eastAsia="仿宋" w:cs="仿宋"/>
                <w:color w:val="000000"/>
                <w:sz w:val="24"/>
                <w:szCs w:val="24"/>
              </w:rPr>
            </w:pPr>
            <w:r>
              <w:rPr>
                <w:rFonts w:hint="eastAsia" w:ascii="仿宋" w:eastAsia="宋体" w:cs="仿宋"/>
                <w:b/>
                <w:bCs/>
                <w:color w:val="000000"/>
                <w:sz w:val="24"/>
                <w:szCs w:val="24"/>
              </w:rPr>
              <w:t>课程目标1</w:t>
            </w:r>
            <w:r>
              <w:rPr>
                <w:rFonts w:hint="eastAsia" w:ascii="仿宋" w:eastAsia="宋体" w:cs="仿宋"/>
                <w:color w:val="000000"/>
                <w:sz w:val="24"/>
                <w:szCs w:val="24"/>
              </w:rPr>
              <w:t>：使学生掌握器乐合奏的基本形式、发展历程以及训练要求，使学生通过各自乐器的基础节奏练习及声部配合练习，初步适应多声部音乐演奏的听觉概念，形成声部配合意识；（支撑毕业要求</w:t>
            </w:r>
            <w:r>
              <w:rPr>
                <w:rFonts w:hint="eastAsia" w:ascii="仿宋" w:eastAsia="宋体" w:cs="仿宋"/>
                <w:color w:val="000000"/>
                <w:sz w:val="24"/>
                <w:szCs w:val="24"/>
                <w:lang w:eastAsia="zh-TW"/>
              </w:rPr>
              <w:t>2.1</w:t>
            </w:r>
            <w:r>
              <w:rPr>
                <w:rFonts w:hint="eastAsia" w:ascii="仿宋" w:eastAsia="宋体" w:cs="仿宋"/>
                <w:color w:val="000000"/>
                <w:sz w:val="24"/>
                <w:szCs w:val="24"/>
              </w:rPr>
              <w:t>）</w:t>
            </w:r>
          </w:p>
          <w:p w14:paraId="4A4E2D94">
            <w:pPr>
              <w:adjustRightInd w:val="0"/>
              <w:snapToGrid w:val="0"/>
              <w:spacing w:line="240" w:lineRule="atLeast"/>
              <w:rPr>
                <w:rFonts w:hint="eastAsia" w:ascii="仿宋" w:eastAsia="仿宋" w:cs="仿宋"/>
                <w:color w:val="000000"/>
                <w:sz w:val="24"/>
                <w:szCs w:val="24"/>
              </w:rPr>
            </w:pPr>
            <w:r>
              <w:rPr>
                <w:rFonts w:hint="eastAsia" w:ascii="仿宋" w:eastAsia="宋体" w:cs="仿宋"/>
                <w:b/>
                <w:bCs/>
                <w:color w:val="000000"/>
                <w:sz w:val="24"/>
                <w:szCs w:val="24"/>
              </w:rPr>
              <w:t>课程目标2</w:t>
            </w:r>
            <w:r>
              <w:rPr>
                <w:rFonts w:hint="eastAsia" w:ascii="仿宋" w:eastAsia="宋体" w:cs="仿宋"/>
                <w:color w:val="000000"/>
                <w:sz w:val="24"/>
                <w:szCs w:val="24"/>
              </w:rPr>
              <w:t>：使学生在大量多声部的器乐合奏过程中培养合作能力，掌握乐队指挥与排练的技巧，强化实际演奏和合作意识；（支撑毕业要求</w:t>
            </w:r>
            <w:r>
              <w:rPr>
                <w:rFonts w:hint="eastAsia" w:ascii="仿宋" w:eastAsia="宋体" w:cs="仿宋"/>
                <w:color w:val="000000"/>
                <w:sz w:val="24"/>
                <w:szCs w:val="24"/>
                <w:lang w:eastAsia="zh-TW"/>
              </w:rPr>
              <w:t>3.2</w:t>
            </w:r>
            <w:r>
              <w:rPr>
                <w:rFonts w:hint="eastAsia" w:ascii="仿宋" w:eastAsia="宋体" w:cs="仿宋"/>
                <w:color w:val="000000"/>
                <w:sz w:val="24"/>
                <w:szCs w:val="24"/>
              </w:rPr>
              <w:t>）</w:t>
            </w:r>
          </w:p>
          <w:p w14:paraId="7ABF164C">
            <w:pPr>
              <w:adjustRightInd w:val="0"/>
              <w:snapToGrid w:val="0"/>
              <w:spacing w:line="240" w:lineRule="atLeast"/>
              <w:rPr>
                <w:rFonts w:hint="eastAsia" w:ascii="仿宋" w:eastAsia="仿宋" w:cs="仿宋"/>
                <w:color w:val="000000"/>
                <w:sz w:val="24"/>
                <w:szCs w:val="24"/>
                <w:lang w:eastAsia="zh-TW"/>
              </w:rPr>
            </w:pPr>
            <w:r>
              <w:rPr>
                <w:rFonts w:hint="eastAsia" w:ascii="仿宋" w:eastAsia="宋体" w:cs="仿宋"/>
                <w:b/>
                <w:bCs/>
                <w:color w:val="000000"/>
                <w:sz w:val="24"/>
                <w:szCs w:val="24"/>
              </w:rPr>
              <w:t>课程目标3</w:t>
            </w:r>
            <w:r>
              <w:rPr>
                <w:rFonts w:hint="eastAsia" w:ascii="仿宋" w:eastAsia="宋体" w:cs="仿宋"/>
                <w:color w:val="000000"/>
                <w:sz w:val="24"/>
                <w:szCs w:val="24"/>
              </w:rPr>
              <w:t>：能够</w:t>
            </w:r>
            <w:r>
              <w:rPr>
                <w:rStyle w:val="106"/>
                <w:rFonts w:hint="eastAsia" w:ascii="仿宋" w:eastAsia="宋体"/>
                <w:color w:val="000000"/>
                <w:sz w:val="24"/>
                <w:szCs w:val="24"/>
              </w:rPr>
              <w:t>在中学课外音乐活动中组织、编排乐团等社团活动，在艺术实践中引导学生做到崇德尚艺</w:t>
            </w:r>
            <w:r>
              <w:rPr>
                <w:rFonts w:hint="eastAsia" w:ascii="仿宋" w:eastAsia="宋体" w:cs="仿宋"/>
                <w:color w:val="000000"/>
                <w:sz w:val="24"/>
                <w:szCs w:val="24"/>
              </w:rPr>
              <w:t>；</w:t>
            </w:r>
            <w:r>
              <w:rPr>
                <w:rFonts w:hint="eastAsia" w:ascii="仿宋" w:eastAsia="宋体" w:cs="仿宋"/>
                <w:color w:val="000000"/>
                <w:sz w:val="24"/>
                <w:szCs w:val="24"/>
                <w:lang w:eastAsia="zh-TW"/>
              </w:rPr>
              <w:t>同时，在室内乐及大型合奏排练中加入中华民族的传统歌曲以及红色革命乐曲学习，使得学生可以充分了解中国的思政文化。</w:t>
            </w:r>
            <w:r>
              <w:rPr>
                <w:rFonts w:hint="eastAsia" w:ascii="仿宋" w:eastAsia="宋体" w:cs="仿宋"/>
                <w:color w:val="000000"/>
                <w:sz w:val="24"/>
                <w:szCs w:val="24"/>
              </w:rPr>
              <w:t>（支撑毕业要求</w:t>
            </w:r>
            <w:r>
              <w:rPr>
                <w:rFonts w:hint="eastAsia" w:ascii="仿宋" w:eastAsia="宋体" w:cs="仿宋"/>
                <w:color w:val="000000"/>
                <w:sz w:val="24"/>
                <w:szCs w:val="24"/>
                <w:lang w:eastAsia="zh-TW"/>
              </w:rPr>
              <w:t>4.2</w:t>
            </w:r>
            <w:r>
              <w:rPr>
                <w:rFonts w:hint="eastAsia" w:ascii="仿宋" w:eastAsia="宋体" w:cs="仿宋"/>
                <w:color w:val="000000"/>
                <w:sz w:val="24"/>
                <w:szCs w:val="24"/>
              </w:rPr>
              <w:t>）</w:t>
            </w:r>
          </w:p>
        </w:tc>
      </w:tr>
      <w:tr w14:paraId="03314337">
        <w:trPr>
          <w:trHeight w:val="642"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37B247CE"/>
        </w:tc>
        <w:tc>
          <w:tcPr>
            <w:tcW w:w="1174"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0491014E">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课程目标</w:t>
            </w:r>
          </w:p>
        </w:tc>
        <w:tc>
          <w:tcPr>
            <w:tcW w:w="4521" w:type="dxa"/>
            <w:gridSpan w:val="7"/>
            <w:tcBorders>
              <w:top w:val="single" w:color="auto" w:sz="4" w:space="0"/>
              <w:left w:val="single" w:color="auto" w:sz="4" w:space="0"/>
              <w:bottom w:val="single" w:color="auto" w:sz="4" w:space="0"/>
              <w:right w:val="single" w:color="auto" w:sz="4" w:space="0"/>
            </w:tcBorders>
            <w:shd w:val="clear" w:color="auto" w:fill="FFFFFF"/>
            <w:vAlign w:val="center"/>
          </w:tcPr>
          <w:p w14:paraId="7D603B62">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毕业要求分解指标点</w:t>
            </w:r>
          </w:p>
        </w:tc>
        <w:tc>
          <w:tcPr>
            <w:tcW w:w="2077" w:type="dxa"/>
            <w:gridSpan w:val="5"/>
            <w:tcBorders>
              <w:top w:val="single" w:color="auto" w:sz="4" w:space="0"/>
              <w:left w:val="single" w:color="auto" w:sz="4" w:space="0"/>
              <w:bottom w:val="single" w:color="auto" w:sz="4" w:space="0"/>
              <w:right w:val="single" w:color="auto" w:sz="4" w:space="0"/>
            </w:tcBorders>
            <w:shd w:val="clear" w:color="auto" w:fill="FFFFFF"/>
            <w:vAlign w:val="center"/>
          </w:tcPr>
          <w:p w14:paraId="7D5B44F7">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毕业要求</w:t>
            </w:r>
          </w:p>
        </w:tc>
      </w:tr>
      <w:tr w14:paraId="5C18AD69">
        <w:trPr>
          <w:trHeight w:val="817"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4EC852C8"/>
        </w:tc>
        <w:tc>
          <w:tcPr>
            <w:tcW w:w="1174"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5934CC1A">
            <w:pPr>
              <w:adjustRightInd w:val="0"/>
              <w:snapToGrid w:val="0"/>
              <w:jc w:val="center"/>
              <w:rPr>
                <w:rFonts w:hint="eastAsia" w:ascii="仿宋" w:eastAsia="仿宋" w:cs="仿宋"/>
                <w:color w:val="000000"/>
                <w:sz w:val="24"/>
                <w:szCs w:val="24"/>
              </w:rPr>
            </w:pPr>
            <w:r>
              <w:rPr>
                <w:rFonts w:hint="eastAsia" w:ascii="仿宋" w:eastAsia="仿宋" w:cs="仿宋"/>
                <w:color w:val="000000"/>
                <w:sz w:val="24"/>
                <w:szCs w:val="24"/>
              </w:rPr>
              <w:t>课程目标1</w:t>
            </w:r>
          </w:p>
        </w:tc>
        <w:tc>
          <w:tcPr>
            <w:tcW w:w="4521" w:type="dxa"/>
            <w:gridSpan w:val="7"/>
            <w:tcBorders>
              <w:top w:val="single" w:color="auto" w:sz="4" w:space="0"/>
              <w:left w:val="single" w:color="auto" w:sz="4" w:space="0"/>
              <w:bottom w:val="single" w:color="auto" w:sz="4" w:space="0"/>
              <w:right w:val="single" w:color="auto" w:sz="4" w:space="0"/>
            </w:tcBorders>
            <w:shd w:val="clear" w:color="auto" w:fill="FFFFFF"/>
            <w:vAlign w:val="center"/>
          </w:tcPr>
          <w:p w14:paraId="13E1A2F8">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lang w:eastAsia="zh-TW"/>
              </w:rPr>
              <w:t>2.</w:t>
            </w:r>
            <w:r>
              <w:rPr>
                <w:rFonts w:ascii="仿宋" w:eastAsia="仿宋" w:cs="仿宋"/>
                <w:color w:val="000000"/>
                <w:sz w:val="24"/>
                <w:szCs w:val="24"/>
              </w:rPr>
              <w:t>1【</w:t>
            </w:r>
            <w:r>
              <w:rPr>
                <w:rFonts w:hint="eastAsia" w:ascii="仿宋" w:eastAsia="仿宋" w:cs="仿宋"/>
                <w:color w:val="000000"/>
                <w:sz w:val="24"/>
                <w:szCs w:val="24"/>
              </w:rPr>
              <w:t>专业技能</w:t>
            </w:r>
            <w:r>
              <w:rPr>
                <w:rFonts w:ascii="仿宋" w:eastAsia="仿宋" w:cs="仿宋"/>
                <w:color w:val="000000"/>
                <w:sz w:val="24"/>
                <w:szCs w:val="24"/>
              </w:rPr>
              <w:t>】掌握音乐学科技法技能多项基本功，掌握音乐</w:t>
            </w:r>
            <w:r>
              <w:rPr>
                <w:rFonts w:hint="eastAsia" w:ascii="仿宋" w:eastAsia="仿宋" w:cs="仿宋"/>
                <w:color w:val="000000"/>
                <w:sz w:val="24"/>
                <w:szCs w:val="24"/>
              </w:rPr>
              <w:t>学科基础知识</w:t>
            </w:r>
            <w:r>
              <w:rPr>
                <w:rFonts w:ascii="仿宋" w:eastAsia="仿宋" w:cs="仿宋"/>
                <w:color w:val="000000"/>
                <w:sz w:val="24"/>
                <w:szCs w:val="24"/>
              </w:rPr>
              <w:t>、</w:t>
            </w:r>
            <w:r>
              <w:rPr>
                <w:rFonts w:hint="eastAsia" w:ascii="仿宋" w:eastAsia="仿宋" w:cs="仿宋"/>
                <w:color w:val="000000"/>
                <w:sz w:val="24"/>
                <w:szCs w:val="24"/>
              </w:rPr>
              <w:t>基本理论</w:t>
            </w:r>
            <w:r>
              <w:rPr>
                <w:rFonts w:ascii="仿宋" w:eastAsia="仿宋" w:cs="仿宋"/>
                <w:color w:val="000000"/>
                <w:sz w:val="24"/>
                <w:szCs w:val="24"/>
              </w:rPr>
              <w:t>、</w:t>
            </w:r>
            <w:r>
              <w:rPr>
                <w:rFonts w:hint="eastAsia" w:ascii="仿宋" w:eastAsia="仿宋" w:cs="仿宋"/>
                <w:color w:val="000000"/>
                <w:sz w:val="24"/>
                <w:szCs w:val="24"/>
              </w:rPr>
              <w:t>体系结构与思想方法</w:t>
            </w:r>
            <w:r>
              <w:rPr>
                <w:rFonts w:ascii="仿宋" w:eastAsia="仿宋" w:cs="仿宋"/>
                <w:color w:val="000000"/>
                <w:sz w:val="24"/>
                <w:szCs w:val="24"/>
              </w:rPr>
              <w:t>，</w:t>
            </w:r>
            <w:r>
              <w:rPr>
                <w:rFonts w:hint="eastAsia" w:ascii="仿宋" w:eastAsia="仿宋" w:cs="仿宋"/>
                <w:color w:val="000000"/>
                <w:sz w:val="24"/>
                <w:szCs w:val="24"/>
              </w:rPr>
              <w:t>理解音乐学科的核心素养的内涵</w:t>
            </w:r>
            <w:r>
              <w:rPr>
                <w:rFonts w:ascii="仿宋" w:eastAsia="仿宋" w:cs="仿宋"/>
                <w:color w:val="000000"/>
                <w:sz w:val="24"/>
                <w:szCs w:val="24"/>
              </w:rPr>
              <w:t>，形成音乐学科核心素养。</w:t>
            </w:r>
          </w:p>
        </w:tc>
        <w:tc>
          <w:tcPr>
            <w:tcW w:w="2077" w:type="dxa"/>
            <w:gridSpan w:val="5"/>
            <w:tcBorders>
              <w:top w:val="single" w:color="auto" w:sz="4" w:space="0"/>
              <w:left w:val="single" w:color="auto" w:sz="4" w:space="0"/>
              <w:bottom w:val="single" w:color="auto" w:sz="4" w:space="0"/>
              <w:right w:val="single" w:color="auto" w:sz="4" w:space="0"/>
            </w:tcBorders>
            <w:shd w:val="clear" w:color="auto" w:fill="FFFFFF"/>
            <w:vAlign w:val="center"/>
          </w:tcPr>
          <w:p w14:paraId="0F715C2C">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学科素养</w:t>
            </w:r>
          </w:p>
          <w:p w14:paraId="5FB095D7">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w:t>
            </w:r>
            <w:r>
              <w:rPr>
                <w:rFonts w:ascii="仿宋" w:eastAsia="仿宋" w:cs="仿宋"/>
                <w:color w:val="000000"/>
                <w:sz w:val="24"/>
                <w:szCs w:val="24"/>
              </w:rPr>
              <w:t>H</w:t>
            </w:r>
            <w:r>
              <w:rPr>
                <w:rFonts w:hint="eastAsia" w:ascii="仿宋" w:eastAsia="仿宋" w:cs="仿宋"/>
                <w:color w:val="000000"/>
                <w:sz w:val="24"/>
                <w:szCs w:val="24"/>
              </w:rPr>
              <w:t>）</w:t>
            </w:r>
          </w:p>
        </w:tc>
      </w:tr>
      <w:tr w14:paraId="05417E7E">
        <w:trPr>
          <w:trHeight w:val="933"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6931C3FA"/>
        </w:tc>
        <w:tc>
          <w:tcPr>
            <w:tcW w:w="1174"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2A4518B1">
            <w:pPr>
              <w:adjustRightInd w:val="0"/>
              <w:snapToGrid w:val="0"/>
              <w:jc w:val="center"/>
              <w:rPr>
                <w:rFonts w:hint="eastAsia" w:ascii="仿宋" w:eastAsia="仿宋" w:cs="仿宋"/>
                <w:color w:val="000000"/>
                <w:sz w:val="24"/>
                <w:szCs w:val="24"/>
              </w:rPr>
            </w:pPr>
            <w:r>
              <w:rPr>
                <w:rFonts w:hint="eastAsia" w:ascii="仿宋" w:eastAsia="仿宋" w:cs="仿宋"/>
                <w:color w:val="000000"/>
                <w:sz w:val="24"/>
                <w:szCs w:val="24"/>
              </w:rPr>
              <w:t>课程目标2</w:t>
            </w:r>
          </w:p>
        </w:tc>
        <w:tc>
          <w:tcPr>
            <w:tcW w:w="4521" w:type="dxa"/>
            <w:gridSpan w:val="7"/>
            <w:tcBorders>
              <w:top w:val="single" w:color="auto" w:sz="4" w:space="0"/>
              <w:left w:val="single" w:color="auto" w:sz="4" w:space="0"/>
              <w:bottom w:val="single" w:color="auto" w:sz="4" w:space="0"/>
              <w:right w:val="single" w:color="auto" w:sz="4" w:space="0"/>
            </w:tcBorders>
            <w:shd w:val="clear" w:color="auto" w:fill="FFFFFF"/>
            <w:vAlign w:val="center"/>
          </w:tcPr>
          <w:p w14:paraId="6DC7E171">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lang w:eastAsia="zh-TW"/>
              </w:rPr>
              <w:t>3.</w:t>
            </w:r>
            <w:r>
              <w:rPr>
                <w:rFonts w:ascii="仿宋" w:eastAsia="仿宋" w:cs="仿宋"/>
                <w:color w:val="000000"/>
                <w:sz w:val="24"/>
                <w:szCs w:val="24"/>
              </w:rPr>
              <w:t>2【团队</w:t>
            </w:r>
            <w:r>
              <w:rPr>
                <w:rFonts w:hint="eastAsia" w:ascii="仿宋" w:eastAsia="仿宋" w:cs="仿宋"/>
                <w:color w:val="000000"/>
                <w:sz w:val="24"/>
                <w:szCs w:val="24"/>
              </w:rPr>
              <w:t>协</w:t>
            </w:r>
            <w:r>
              <w:rPr>
                <w:rFonts w:ascii="仿宋" w:eastAsia="仿宋" w:cs="仿宋"/>
                <w:color w:val="000000"/>
                <w:sz w:val="24"/>
                <w:szCs w:val="24"/>
              </w:rPr>
              <w:t>作】理解学习共同体的作用，</w:t>
            </w:r>
            <w:r>
              <w:rPr>
                <w:rFonts w:hint="eastAsia" w:ascii="仿宋" w:eastAsia="仿宋" w:cs="仿宋"/>
                <w:color w:val="000000"/>
                <w:sz w:val="24"/>
                <w:szCs w:val="24"/>
              </w:rPr>
              <w:t>掌握团队协作的基本策略</w:t>
            </w:r>
            <w:r>
              <w:rPr>
                <w:rFonts w:ascii="仿宋" w:eastAsia="仿宋" w:cs="仿宋"/>
                <w:color w:val="000000"/>
                <w:sz w:val="24"/>
                <w:szCs w:val="24"/>
              </w:rPr>
              <w:t>，在课程学习、教育实践、艺术实践等活动中，具有良好的团队</w:t>
            </w:r>
            <w:r>
              <w:rPr>
                <w:rFonts w:hint="eastAsia" w:ascii="仿宋" w:eastAsia="仿宋" w:cs="仿宋"/>
                <w:color w:val="000000"/>
                <w:sz w:val="24"/>
                <w:szCs w:val="24"/>
              </w:rPr>
              <w:t>协</w:t>
            </w:r>
            <w:r>
              <w:rPr>
                <w:rFonts w:ascii="仿宋" w:eastAsia="仿宋" w:cs="仿宋"/>
                <w:color w:val="000000"/>
                <w:sz w:val="24"/>
                <w:szCs w:val="24"/>
              </w:rPr>
              <w:t>作精神。</w:t>
            </w:r>
          </w:p>
        </w:tc>
        <w:tc>
          <w:tcPr>
            <w:tcW w:w="2077" w:type="dxa"/>
            <w:gridSpan w:val="5"/>
            <w:tcBorders>
              <w:top w:val="single" w:color="auto" w:sz="4" w:space="0"/>
              <w:left w:val="single" w:color="auto" w:sz="4" w:space="0"/>
              <w:bottom w:val="single" w:color="auto" w:sz="4" w:space="0"/>
              <w:right w:val="single" w:color="auto" w:sz="4" w:space="0"/>
            </w:tcBorders>
            <w:shd w:val="clear" w:color="auto" w:fill="FFFFFF"/>
            <w:vAlign w:val="center"/>
          </w:tcPr>
          <w:p w14:paraId="349A5485">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沟通合作</w:t>
            </w:r>
          </w:p>
          <w:p w14:paraId="774526DB">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w:t>
            </w:r>
            <w:r>
              <w:rPr>
                <w:rFonts w:hint="default" w:ascii="仿宋" w:eastAsia="仿宋" w:cs="仿宋"/>
                <w:color w:val="000000"/>
                <w:sz w:val="24"/>
                <w:szCs w:val="24"/>
                <w:lang w:val="en-US"/>
              </w:rPr>
              <w:t>M</w:t>
            </w:r>
            <w:r>
              <w:rPr>
                <w:rFonts w:hint="eastAsia" w:ascii="仿宋" w:eastAsia="仿宋" w:cs="仿宋"/>
                <w:color w:val="000000"/>
                <w:sz w:val="24"/>
                <w:szCs w:val="24"/>
              </w:rPr>
              <w:t>）</w:t>
            </w:r>
          </w:p>
        </w:tc>
      </w:tr>
      <w:tr w14:paraId="717A8691">
        <w:trPr>
          <w:trHeight w:val="817"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3B22197C"/>
        </w:tc>
        <w:tc>
          <w:tcPr>
            <w:tcW w:w="1174"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2D7A493E">
            <w:pPr>
              <w:adjustRightInd w:val="0"/>
              <w:snapToGrid w:val="0"/>
              <w:jc w:val="center"/>
              <w:rPr>
                <w:rFonts w:hint="eastAsia" w:ascii="仿宋" w:eastAsia="仿宋" w:cs="仿宋"/>
                <w:color w:val="000000"/>
                <w:sz w:val="24"/>
                <w:szCs w:val="24"/>
              </w:rPr>
            </w:pPr>
            <w:r>
              <w:rPr>
                <w:rFonts w:hint="eastAsia" w:ascii="仿宋" w:eastAsia="仿宋" w:cs="仿宋"/>
                <w:color w:val="000000"/>
                <w:sz w:val="24"/>
                <w:szCs w:val="24"/>
              </w:rPr>
              <w:t>课程目标3</w:t>
            </w:r>
          </w:p>
        </w:tc>
        <w:tc>
          <w:tcPr>
            <w:tcW w:w="4521" w:type="dxa"/>
            <w:gridSpan w:val="7"/>
            <w:tcBorders>
              <w:top w:val="single" w:color="auto" w:sz="4" w:space="0"/>
              <w:left w:val="single" w:color="auto" w:sz="4" w:space="0"/>
              <w:bottom w:val="single" w:color="auto" w:sz="4" w:space="0"/>
              <w:right w:val="single" w:color="auto" w:sz="4" w:space="0"/>
            </w:tcBorders>
            <w:shd w:val="clear" w:color="auto" w:fill="FFFFFF"/>
            <w:vAlign w:val="center"/>
          </w:tcPr>
          <w:p w14:paraId="4C94C275">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lang w:eastAsia="zh-TW"/>
              </w:rPr>
              <w:t>4.2</w:t>
            </w:r>
            <w:r>
              <w:rPr>
                <w:rFonts w:ascii="仿宋" w:eastAsia="仿宋" w:cs="仿宋"/>
                <w:color w:val="000000"/>
                <w:sz w:val="24"/>
                <w:szCs w:val="24"/>
              </w:rPr>
              <w:t>【育人理念】理解音乐教学与人的全面发展的关系，理解音乐学科的育人价值，具</w:t>
            </w:r>
            <w:r>
              <w:rPr>
                <w:rFonts w:hint="eastAsia" w:ascii="仿宋" w:eastAsia="仿宋" w:cs="仿宋"/>
                <w:color w:val="000000"/>
                <w:sz w:val="24"/>
                <w:szCs w:val="24"/>
              </w:rPr>
              <w:t>备</w:t>
            </w:r>
            <w:r>
              <w:rPr>
                <w:rFonts w:ascii="仿宋" w:eastAsia="仿宋" w:cs="仿宋"/>
                <w:color w:val="000000"/>
                <w:sz w:val="24"/>
                <w:szCs w:val="24"/>
              </w:rPr>
              <w:t>在音乐教学、课外辅导、学生交往中渗透“以美育人”的理念。</w:t>
            </w:r>
            <w:r>
              <w:rPr>
                <w:rFonts w:hint="eastAsia" w:ascii="仿宋" w:eastAsia="宋体" w:cs="仿宋"/>
                <w:color w:val="000000"/>
                <w:sz w:val="24"/>
                <w:szCs w:val="24"/>
                <w:lang w:eastAsia="zh-TW"/>
              </w:rPr>
              <w:t>同时，在室内乐及大型合奏排练中加入中华民族的传统歌曲以及红色革命乐曲学习，使得学生可以充分了解中国的思政文化</w:t>
            </w:r>
            <w:r>
              <w:rPr>
                <w:rFonts w:hint="eastAsia" w:ascii="仿宋" w:cs="仿宋"/>
                <w:color w:val="000000"/>
                <w:sz w:val="24"/>
                <w:szCs w:val="24"/>
                <w:lang w:eastAsia="zh-TW"/>
              </w:rPr>
              <w:t>。</w:t>
            </w:r>
          </w:p>
        </w:tc>
        <w:tc>
          <w:tcPr>
            <w:tcW w:w="2077" w:type="dxa"/>
            <w:gridSpan w:val="5"/>
            <w:tcBorders>
              <w:top w:val="single" w:color="auto" w:sz="4" w:space="0"/>
              <w:left w:val="single" w:color="auto" w:sz="4" w:space="0"/>
              <w:bottom w:val="single" w:color="auto" w:sz="4" w:space="0"/>
              <w:right w:val="single" w:color="auto" w:sz="4" w:space="0"/>
            </w:tcBorders>
            <w:shd w:val="clear" w:color="auto" w:fill="FFFFFF"/>
            <w:vAlign w:val="center"/>
          </w:tcPr>
          <w:p w14:paraId="026E2541">
            <w:pPr>
              <w:adjustRightInd w:val="0"/>
              <w:snapToGrid w:val="0"/>
              <w:spacing w:line="240" w:lineRule="atLeast"/>
              <w:jc w:val="center"/>
              <w:rPr>
                <w:rStyle w:val="106"/>
                <w:rFonts w:hint="eastAsia" w:ascii="仿宋" w:eastAsia="仿宋"/>
                <w:color w:val="000000"/>
                <w:sz w:val="24"/>
                <w:szCs w:val="24"/>
              </w:rPr>
            </w:pPr>
            <w:r>
              <w:rPr>
                <w:rStyle w:val="106"/>
                <w:rFonts w:hint="eastAsia" w:ascii="仿宋" w:eastAsia="仿宋"/>
                <w:color w:val="000000"/>
                <w:sz w:val="24"/>
                <w:szCs w:val="24"/>
              </w:rPr>
              <w:t>综合育人</w:t>
            </w:r>
          </w:p>
          <w:p w14:paraId="5C0B2DA6">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w:t>
            </w:r>
            <w:r>
              <w:rPr>
                <w:rFonts w:ascii="仿宋" w:eastAsia="仿宋" w:cs="仿宋"/>
                <w:color w:val="000000"/>
                <w:sz w:val="24"/>
                <w:szCs w:val="24"/>
              </w:rPr>
              <w:t>L</w:t>
            </w:r>
            <w:r>
              <w:rPr>
                <w:rFonts w:hint="eastAsia" w:ascii="仿宋" w:eastAsia="仿宋" w:cs="仿宋"/>
                <w:color w:val="000000"/>
                <w:sz w:val="24"/>
                <w:szCs w:val="24"/>
              </w:rPr>
              <w:t>）</w:t>
            </w:r>
          </w:p>
        </w:tc>
      </w:tr>
      <w:tr w14:paraId="4E0B0D44">
        <w:trPr>
          <w:trHeight w:val="454" w:hRule="atLeast"/>
        </w:trPr>
        <w:tc>
          <w:tcPr>
            <w:tcW w:w="1376"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14:paraId="4F7143F5">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G</w:t>
            </w:r>
          </w:p>
          <w:p w14:paraId="727285E5">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lang w:val="en-US"/>
              </w:rPr>
              <w:t>技能</w:t>
            </w:r>
            <w:r>
              <w:rPr>
                <w:rFonts w:ascii="仿宋" w:eastAsia="仿宋" w:cs="仿宋"/>
                <w:color w:val="000000"/>
                <w:sz w:val="24"/>
                <w:szCs w:val="24"/>
              </w:rPr>
              <w:t>（</w:t>
            </w:r>
            <w:r>
              <w:rPr>
                <w:rFonts w:hint="eastAsia" w:ascii="仿宋" w:eastAsia="仿宋" w:cs="仿宋"/>
                <w:color w:val="000000"/>
                <w:sz w:val="24"/>
                <w:szCs w:val="24"/>
              </w:rPr>
              <w:t>实训）内容</w:t>
            </w:r>
          </w:p>
        </w:tc>
        <w:tc>
          <w:tcPr>
            <w:tcW w:w="5695" w:type="dxa"/>
            <w:gridSpan w:val="9"/>
            <w:tcBorders>
              <w:top w:val="single" w:color="auto" w:sz="4" w:space="0"/>
              <w:left w:val="single" w:color="auto" w:sz="4" w:space="0"/>
              <w:bottom w:val="single" w:color="auto" w:sz="4" w:space="0"/>
              <w:right w:val="single" w:color="auto" w:sz="4" w:space="0"/>
            </w:tcBorders>
            <w:shd w:val="clear" w:color="auto" w:fill="auto"/>
            <w:vAlign w:val="center"/>
          </w:tcPr>
          <w:p w14:paraId="0A0C39F1">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lang w:val="en-US"/>
              </w:rPr>
              <w:t>实训目的</w:t>
            </w:r>
            <w:r>
              <w:rPr>
                <w:rFonts w:hint="eastAsia" w:ascii="仿宋" w:eastAsia="仿宋" w:cs="仿宋"/>
                <w:color w:val="000000"/>
                <w:sz w:val="24"/>
                <w:szCs w:val="24"/>
              </w:rPr>
              <w:t>及</w:t>
            </w:r>
            <w:r>
              <w:rPr>
                <w:rFonts w:hint="eastAsia" w:ascii="仿宋" w:eastAsia="仿宋" w:cs="仿宋"/>
                <w:color w:val="000000"/>
                <w:sz w:val="24"/>
                <w:szCs w:val="24"/>
                <w:lang w:val="en-US"/>
              </w:rPr>
              <w:t>任务</w:t>
            </w:r>
          </w:p>
        </w:tc>
        <w:tc>
          <w:tcPr>
            <w:tcW w:w="115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5643327B">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支撑课程</w:t>
            </w:r>
          </w:p>
          <w:p w14:paraId="060D9CC7">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目标</w:t>
            </w:r>
          </w:p>
        </w:tc>
        <w:tc>
          <w:tcPr>
            <w:tcW w:w="924"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12491ECF">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学时</w:t>
            </w:r>
          </w:p>
          <w:p w14:paraId="73B1037B">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分配</w:t>
            </w:r>
          </w:p>
        </w:tc>
      </w:tr>
      <w:tr w14:paraId="29431DDA">
        <w:trPr>
          <w:trHeight w:val="45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7A10FDB7"/>
        </w:tc>
        <w:tc>
          <w:tcPr>
            <w:tcW w:w="5695" w:type="dxa"/>
            <w:gridSpan w:val="9"/>
            <w:tcBorders>
              <w:top w:val="single" w:color="auto" w:sz="4" w:space="0"/>
              <w:left w:val="single" w:color="auto" w:sz="4" w:space="0"/>
              <w:bottom w:val="single" w:color="auto" w:sz="4" w:space="0"/>
              <w:right w:val="single" w:color="auto" w:sz="4" w:space="0"/>
            </w:tcBorders>
            <w:shd w:val="clear" w:color="auto" w:fill="auto"/>
            <w:vAlign w:val="center"/>
          </w:tcPr>
          <w:p w14:paraId="3FAAFED5">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lang w:val="en-US"/>
              </w:rPr>
              <w:t>实训</w:t>
            </w:r>
            <w:r>
              <w:rPr>
                <w:rFonts w:hint="eastAsia" w:ascii="仿宋" w:eastAsia="仿宋" w:cs="仿宋"/>
                <w:color w:val="000000"/>
                <w:sz w:val="24"/>
                <w:szCs w:val="24"/>
              </w:rPr>
              <w:t>一</w:t>
            </w:r>
            <w:r>
              <w:rPr>
                <w:rFonts w:ascii="仿宋" w:eastAsia="仿宋" w:cs="仿宋"/>
                <w:color w:val="000000"/>
                <w:sz w:val="24"/>
                <w:szCs w:val="24"/>
              </w:rPr>
              <w:t>：</w:t>
            </w:r>
            <w:r>
              <w:rPr>
                <w:rFonts w:hint="eastAsia" w:ascii="仿宋" w:eastAsia="仿宋" w:cs="仿宋"/>
                <w:color w:val="000000"/>
                <w:sz w:val="24"/>
                <w:szCs w:val="24"/>
                <w:lang w:val="en-US"/>
              </w:rPr>
              <w:t>作品排练实践</w:t>
            </w:r>
          </w:p>
          <w:p w14:paraId="4EEAEA48">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lang w:val="en-US"/>
              </w:rPr>
              <w:t>实训</w:t>
            </w:r>
            <w:r>
              <w:rPr>
                <w:rFonts w:hint="eastAsia" w:ascii="仿宋" w:eastAsia="仿宋" w:cs="仿宋"/>
                <w:color w:val="000000"/>
                <w:sz w:val="24"/>
                <w:szCs w:val="24"/>
              </w:rPr>
              <w:t>目的：培养学生的器乐合奏、协作的能力、具有综合的器乐合奏音乐素质，通过合奏实践，理解的统一、平衡与和谐，并根据合奏作品的风格和表现的要求，对器乐各声部的声音及其表现进行调整，具备单独演奏技术水平上培养和提高学生的合奏、合作能力。</w:t>
            </w:r>
          </w:p>
          <w:p w14:paraId="16B43647">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实</w:t>
            </w:r>
            <w:r>
              <w:rPr>
                <w:rFonts w:hint="eastAsia" w:ascii="仿宋" w:eastAsia="仿宋" w:cs="仿宋"/>
                <w:color w:val="000000"/>
                <w:sz w:val="24"/>
                <w:szCs w:val="24"/>
                <w:lang w:val="en-US"/>
              </w:rPr>
              <w:t>训</w:t>
            </w:r>
            <w:r>
              <w:rPr>
                <w:rFonts w:hint="eastAsia" w:ascii="仿宋" w:eastAsia="仿宋" w:cs="仿宋"/>
                <w:color w:val="000000"/>
                <w:sz w:val="24"/>
                <w:szCs w:val="24"/>
              </w:rPr>
              <w:t>任务：</w:t>
            </w:r>
          </w:p>
          <w:p w14:paraId="11FD7A19">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Ⅰ.《归帆圆舞曲》</w:t>
            </w:r>
          </w:p>
          <w:p w14:paraId="362E6CE0">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Ⅱ.《故乡行》</w:t>
            </w:r>
          </w:p>
          <w:p w14:paraId="2D35CC88">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III.《金秋吟》</w:t>
            </w:r>
          </w:p>
          <w:p w14:paraId="1BBEB037">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IV.《牧歌》</w:t>
            </w:r>
          </w:p>
          <w:p w14:paraId="6BC6EAC4">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V.《瑶族舞曲》</w:t>
            </w:r>
          </w:p>
          <w:p w14:paraId="7DAD0929">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VI.《女人花+卡农》</w:t>
            </w:r>
          </w:p>
          <w:p w14:paraId="28DE2854">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VII.《桃李报春》</w:t>
            </w:r>
          </w:p>
          <w:p w14:paraId="3A03E071">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VIII.《苏堤漫步》</w:t>
            </w:r>
          </w:p>
          <w:p w14:paraId="2DD9FFDB">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IX.《枉凝眉》</w:t>
            </w:r>
          </w:p>
          <w:p w14:paraId="44C5696C">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X.《小夜曲》</w:t>
            </w:r>
          </w:p>
          <w:p w14:paraId="19ADEF6B">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XI.《思乡》</w:t>
            </w:r>
          </w:p>
          <w:p w14:paraId="70F7AA2C">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XII.《彩云追月》</w:t>
            </w:r>
          </w:p>
          <w:p w14:paraId="2C5055CF">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XIII.《紫竹调》</w:t>
            </w:r>
          </w:p>
          <w:p w14:paraId="35ED8F17">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XIV.《节日圆舞曲》</w:t>
            </w:r>
          </w:p>
          <w:p w14:paraId="02D58E08">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XV.《蓝色多瑙河》</w:t>
            </w:r>
          </w:p>
          <w:p w14:paraId="68EEBDC7">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注：教学谱例根据实际需要，不断增补调整。</w:t>
            </w:r>
          </w:p>
        </w:tc>
        <w:tc>
          <w:tcPr>
            <w:tcW w:w="115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27D94374">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支撑课程目标1、2、3</w:t>
            </w:r>
          </w:p>
        </w:tc>
        <w:tc>
          <w:tcPr>
            <w:tcW w:w="924"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5216EBBC">
            <w:pPr>
              <w:adjustRightInd w:val="0"/>
              <w:snapToGrid w:val="0"/>
              <w:spacing w:line="240" w:lineRule="atLeast"/>
              <w:jc w:val="center"/>
              <w:rPr>
                <w:rFonts w:ascii="仿宋" w:eastAsia="仿宋" w:cs="仿宋"/>
                <w:color w:val="000000"/>
                <w:sz w:val="24"/>
                <w:szCs w:val="24"/>
                <w:lang w:val="en-US"/>
              </w:rPr>
            </w:pPr>
            <w:r>
              <w:rPr>
                <w:rFonts w:ascii="仿宋" w:eastAsia="仿宋" w:cs="仿宋"/>
                <w:color w:val="000000"/>
                <w:sz w:val="24"/>
                <w:szCs w:val="24"/>
                <w:lang w:val="en-US"/>
              </w:rPr>
              <w:t>32</w:t>
            </w:r>
          </w:p>
        </w:tc>
      </w:tr>
      <w:tr w14:paraId="3BBF3A59">
        <w:trPr>
          <w:trHeight w:val="45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3132D77A"/>
        </w:tc>
        <w:tc>
          <w:tcPr>
            <w:tcW w:w="5695" w:type="dxa"/>
            <w:gridSpan w:val="9"/>
            <w:tcBorders>
              <w:top w:val="single" w:color="auto" w:sz="4" w:space="0"/>
              <w:left w:val="single" w:color="auto" w:sz="4" w:space="0"/>
              <w:bottom w:val="single" w:color="auto" w:sz="4" w:space="0"/>
              <w:right w:val="single" w:color="auto" w:sz="4" w:space="0"/>
            </w:tcBorders>
            <w:shd w:val="clear" w:color="auto" w:fill="auto"/>
            <w:vAlign w:val="center"/>
          </w:tcPr>
          <w:p w14:paraId="1595D1F8">
            <w:pPr>
              <w:adjustRightInd w:val="0"/>
              <w:snapToGrid w:val="0"/>
              <w:spacing w:line="240" w:lineRule="atLeast"/>
              <w:rPr>
                <w:rFonts w:hint="eastAsia" w:ascii="仿宋" w:eastAsia="仿宋" w:cs="仿宋"/>
                <w:color w:val="000000"/>
                <w:sz w:val="24"/>
                <w:szCs w:val="24"/>
              </w:rPr>
            </w:pPr>
            <w:r>
              <w:rPr>
                <w:rFonts w:hint="eastAsia" w:ascii="仿宋" w:eastAsia="宋体" w:cs="仿宋"/>
                <w:color w:val="000000"/>
                <w:sz w:val="24"/>
                <w:szCs w:val="24"/>
                <w:lang w:val="en-US"/>
              </w:rPr>
              <w:t>实训</w:t>
            </w:r>
            <w:r>
              <w:rPr>
                <w:rFonts w:hint="eastAsia" w:ascii="仿宋" w:eastAsia="宋体" w:cs="仿宋"/>
                <w:color w:val="000000"/>
                <w:sz w:val="24"/>
                <w:szCs w:val="24"/>
              </w:rPr>
              <w:t>二</w:t>
            </w:r>
            <w:r>
              <w:rPr>
                <w:rFonts w:ascii="仿宋" w:eastAsia="宋体" w:cs="仿宋"/>
                <w:color w:val="000000"/>
                <w:sz w:val="24"/>
                <w:szCs w:val="24"/>
              </w:rPr>
              <w:t>：</w:t>
            </w:r>
            <w:r>
              <w:rPr>
                <w:rFonts w:hint="eastAsia" w:ascii="仿宋" w:eastAsia="宋体" w:cs="仿宋"/>
                <w:color w:val="000000"/>
                <w:sz w:val="24"/>
                <w:szCs w:val="24"/>
                <w:lang w:val="en-US"/>
              </w:rPr>
              <w:t>作品排练实践</w:t>
            </w:r>
          </w:p>
          <w:p w14:paraId="1A1B5AA0">
            <w:pPr>
              <w:adjustRightInd w:val="0"/>
              <w:snapToGrid w:val="0"/>
              <w:spacing w:line="240" w:lineRule="atLeast"/>
              <w:rPr>
                <w:rFonts w:hint="eastAsia" w:ascii="仿宋" w:eastAsia="仿宋" w:cs="仿宋"/>
                <w:color w:val="000000"/>
                <w:sz w:val="24"/>
                <w:szCs w:val="24"/>
              </w:rPr>
            </w:pPr>
            <w:r>
              <w:rPr>
                <w:rFonts w:hint="eastAsia" w:ascii="仿宋" w:eastAsia="宋体" w:cs="仿宋"/>
                <w:color w:val="000000"/>
                <w:sz w:val="24"/>
                <w:szCs w:val="24"/>
                <w:lang w:val="en-US"/>
              </w:rPr>
              <w:t>实训</w:t>
            </w:r>
            <w:r>
              <w:rPr>
                <w:rFonts w:hint="eastAsia" w:ascii="仿宋" w:eastAsia="宋体" w:cs="仿宋"/>
                <w:color w:val="000000"/>
                <w:sz w:val="24"/>
                <w:szCs w:val="24"/>
              </w:rPr>
              <w:t>目的：使学生学习和了解不同的合奏形式和组合，系统学习乐队</w:t>
            </w:r>
            <w:r>
              <w:rPr>
                <w:rFonts w:hint="eastAsia" w:ascii="仿宋" w:eastAsia="宋体" w:cs="仿宋"/>
                <w:color w:val="000000"/>
                <w:sz w:val="24"/>
                <w:szCs w:val="24"/>
                <w:lang w:eastAsia="zh-TW"/>
              </w:rPr>
              <w:t>及室内乐的</w:t>
            </w:r>
            <w:r>
              <w:rPr>
                <w:rFonts w:hint="eastAsia" w:ascii="仿宋" w:eastAsia="宋体" w:cs="仿宋"/>
                <w:color w:val="000000"/>
                <w:sz w:val="24"/>
                <w:szCs w:val="24"/>
              </w:rPr>
              <w:t>知识，了解乐队</w:t>
            </w:r>
            <w:r>
              <w:rPr>
                <w:rFonts w:hint="eastAsia" w:ascii="仿宋" w:eastAsia="宋体" w:cs="仿宋"/>
                <w:color w:val="000000"/>
                <w:sz w:val="24"/>
                <w:szCs w:val="24"/>
                <w:lang w:eastAsia="zh-TW"/>
              </w:rPr>
              <w:t>及室内乐</w:t>
            </w:r>
            <w:r>
              <w:rPr>
                <w:rFonts w:hint="eastAsia" w:ascii="仿宋" w:eastAsia="宋体" w:cs="仿宋"/>
                <w:color w:val="000000"/>
                <w:sz w:val="24"/>
                <w:szCs w:val="24"/>
              </w:rPr>
              <w:t>的组建和训练方法。要求学生在课堂学习之余，主动排练、创编小型合奏、重奏乐曲。</w:t>
            </w:r>
          </w:p>
          <w:p w14:paraId="27D8BD46">
            <w:pPr>
              <w:adjustRightInd w:val="0"/>
              <w:snapToGrid w:val="0"/>
              <w:spacing w:line="240" w:lineRule="atLeast"/>
              <w:rPr>
                <w:rFonts w:hint="eastAsia" w:ascii="仿宋" w:eastAsia="仿宋" w:cs="仿宋"/>
                <w:color w:val="000000"/>
                <w:sz w:val="24"/>
                <w:szCs w:val="24"/>
              </w:rPr>
            </w:pPr>
            <w:r>
              <w:rPr>
                <w:rFonts w:hint="eastAsia" w:ascii="仿宋" w:eastAsia="宋体" w:cs="仿宋"/>
                <w:color w:val="000000"/>
                <w:sz w:val="24"/>
                <w:szCs w:val="24"/>
              </w:rPr>
              <w:t>实</w:t>
            </w:r>
            <w:r>
              <w:rPr>
                <w:rFonts w:hint="eastAsia" w:ascii="仿宋" w:eastAsia="宋体" w:cs="仿宋"/>
                <w:color w:val="000000"/>
                <w:sz w:val="24"/>
                <w:szCs w:val="24"/>
                <w:lang w:val="en-US"/>
              </w:rPr>
              <w:t>训</w:t>
            </w:r>
            <w:r>
              <w:rPr>
                <w:rFonts w:hint="eastAsia" w:ascii="仿宋" w:eastAsia="宋体" w:cs="仿宋"/>
                <w:color w:val="000000"/>
                <w:sz w:val="24"/>
                <w:szCs w:val="24"/>
              </w:rPr>
              <w:t>任务：</w:t>
            </w:r>
          </w:p>
          <w:p w14:paraId="3A992139">
            <w:pPr>
              <w:adjustRightInd w:val="0"/>
              <w:snapToGrid w:val="0"/>
              <w:spacing w:line="240" w:lineRule="atLeast"/>
              <w:rPr>
                <w:rFonts w:hint="eastAsia" w:ascii="仿宋" w:eastAsia="仿宋" w:cs="仿宋"/>
                <w:color w:val="000000"/>
                <w:sz w:val="24"/>
                <w:szCs w:val="24"/>
              </w:rPr>
            </w:pPr>
            <w:r>
              <w:rPr>
                <w:rFonts w:hint="eastAsia" w:ascii="仿宋" w:eastAsia="宋体" w:cs="仿宋"/>
                <w:color w:val="000000"/>
                <w:sz w:val="24"/>
                <w:szCs w:val="24"/>
              </w:rPr>
              <w:t>Ⅰ.《归帆圆舞曲》</w:t>
            </w:r>
          </w:p>
          <w:p w14:paraId="66CEABAF">
            <w:pPr>
              <w:adjustRightInd w:val="0"/>
              <w:snapToGrid w:val="0"/>
              <w:spacing w:line="240" w:lineRule="atLeast"/>
              <w:rPr>
                <w:rFonts w:hint="eastAsia" w:ascii="仿宋" w:eastAsia="仿宋" w:cs="仿宋"/>
                <w:color w:val="000000"/>
                <w:sz w:val="24"/>
                <w:szCs w:val="24"/>
              </w:rPr>
            </w:pPr>
            <w:r>
              <w:rPr>
                <w:rFonts w:hint="eastAsia" w:ascii="仿宋" w:eastAsia="宋体" w:cs="仿宋"/>
                <w:color w:val="000000"/>
                <w:sz w:val="24"/>
                <w:szCs w:val="24"/>
              </w:rPr>
              <w:t>Ⅱ.《故乡行》</w:t>
            </w:r>
          </w:p>
          <w:p w14:paraId="051368E2">
            <w:pPr>
              <w:adjustRightInd w:val="0"/>
              <w:snapToGrid w:val="0"/>
              <w:spacing w:line="240" w:lineRule="atLeast"/>
              <w:rPr>
                <w:rFonts w:hint="eastAsia" w:ascii="仿宋" w:eastAsia="仿宋" w:cs="仿宋"/>
                <w:color w:val="000000"/>
                <w:sz w:val="24"/>
                <w:szCs w:val="24"/>
              </w:rPr>
            </w:pPr>
            <w:r>
              <w:rPr>
                <w:rFonts w:hint="eastAsia" w:ascii="仿宋" w:eastAsia="宋体" w:cs="仿宋"/>
                <w:color w:val="000000"/>
                <w:sz w:val="24"/>
                <w:szCs w:val="24"/>
              </w:rPr>
              <w:t>III.《金秋吟》</w:t>
            </w:r>
          </w:p>
          <w:p w14:paraId="7893788A">
            <w:pPr>
              <w:adjustRightInd w:val="0"/>
              <w:snapToGrid w:val="0"/>
              <w:spacing w:line="240" w:lineRule="atLeast"/>
              <w:rPr>
                <w:rFonts w:hint="eastAsia" w:ascii="仿宋" w:eastAsia="仿宋" w:cs="仿宋"/>
                <w:color w:val="000000"/>
                <w:sz w:val="24"/>
                <w:szCs w:val="24"/>
              </w:rPr>
            </w:pPr>
            <w:r>
              <w:rPr>
                <w:rFonts w:hint="eastAsia" w:ascii="仿宋" w:eastAsia="宋体" w:cs="仿宋"/>
                <w:color w:val="000000"/>
                <w:sz w:val="24"/>
                <w:szCs w:val="24"/>
              </w:rPr>
              <w:t>IV.《牧歌》</w:t>
            </w:r>
          </w:p>
          <w:p w14:paraId="288085AA">
            <w:pPr>
              <w:adjustRightInd w:val="0"/>
              <w:snapToGrid w:val="0"/>
              <w:spacing w:line="240" w:lineRule="atLeast"/>
              <w:rPr>
                <w:rFonts w:hint="eastAsia" w:ascii="仿宋" w:eastAsia="仿宋" w:cs="仿宋"/>
                <w:color w:val="000000"/>
                <w:sz w:val="24"/>
                <w:szCs w:val="24"/>
              </w:rPr>
            </w:pPr>
            <w:r>
              <w:rPr>
                <w:rFonts w:hint="eastAsia" w:ascii="仿宋" w:eastAsia="宋体" w:cs="仿宋"/>
                <w:color w:val="000000"/>
                <w:sz w:val="24"/>
                <w:szCs w:val="24"/>
              </w:rPr>
              <w:t>V.《瑶族舞曲》</w:t>
            </w:r>
          </w:p>
          <w:p w14:paraId="0806C34B">
            <w:pPr>
              <w:adjustRightInd w:val="0"/>
              <w:snapToGrid w:val="0"/>
              <w:spacing w:line="240" w:lineRule="atLeast"/>
              <w:rPr>
                <w:rFonts w:hint="eastAsia" w:ascii="仿宋" w:eastAsia="仿宋" w:cs="仿宋"/>
                <w:color w:val="000000"/>
                <w:sz w:val="24"/>
                <w:szCs w:val="24"/>
              </w:rPr>
            </w:pPr>
            <w:r>
              <w:rPr>
                <w:rFonts w:hint="eastAsia" w:ascii="仿宋" w:eastAsia="宋体" w:cs="仿宋"/>
                <w:color w:val="000000"/>
                <w:sz w:val="24"/>
                <w:szCs w:val="24"/>
              </w:rPr>
              <w:t>VI.《女人花+卡农》</w:t>
            </w:r>
          </w:p>
          <w:p w14:paraId="2E1D5405">
            <w:pPr>
              <w:adjustRightInd w:val="0"/>
              <w:snapToGrid w:val="0"/>
              <w:spacing w:line="240" w:lineRule="atLeast"/>
              <w:rPr>
                <w:rFonts w:hint="eastAsia" w:ascii="仿宋" w:eastAsia="仿宋" w:cs="仿宋"/>
                <w:color w:val="000000"/>
                <w:sz w:val="24"/>
                <w:szCs w:val="24"/>
              </w:rPr>
            </w:pPr>
            <w:r>
              <w:rPr>
                <w:rFonts w:hint="eastAsia" w:ascii="仿宋" w:eastAsia="宋体" w:cs="仿宋"/>
                <w:color w:val="000000"/>
                <w:sz w:val="24"/>
                <w:szCs w:val="24"/>
              </w:rPr>
              <w:t>VII.《桃李报春》</w:t>
            </w:r>
          </w:p>
          <w:p w14:paraId="3824139A">
            <w:pPr>
              <w:adjustRightInd w:val="0"/>
              <w:snapToGrid w:val="0"/>
              <w:spacing w:line="240" w:lineRule="atLeast"/>
              <w:rPr>
                <w:rFonts w:hint="eastAsia" w:ascii="仿宋" w:eastAsia="仿宋" w:cs="仿宋"/>
                <w:color w:val="000000"/>
                <w:sz w:val="24"/>
                <w:szCs w:val="24"/>
              </w:rPr>
            </w:pPr>
            <w:r>
              <w:rPr>
                <w:rFonts w:hint="eastAsia" w:ascii="仿宋" w:eastAsia="宋体" w:cs="仿宋"/>
                <w:color w:val="000000"/>
                <w:sz w:val="24"/>
                <w:szCs w:val="24"/>
              </w:rPr>
              <w:t>VIII.《苏堤漫步》</w:t>
            </w:r>
          </w:p>
          <w:p w14:paraId="52F902BA">
            <w:pPr>
              <w:adjustRightInd w:val="0"/>
              <w:snapToGrid w:val="0"/>
              <w:spacing w:line="240" w:lineRule="atLeast"/>
              <w:rPr>
                <w:rFonts w:hint="eastAsia" w:ascii="仿宋" w:eastAsia="仿宋" w:cs="仿宋"/>
                <w:color w:val="000000"/>
                <w:sz w:val="24"/>
                <w:szCs w:val="24"/>
              </w:rPr>
            </w:pPr>
            <w:r>
              <w:rPr>
                <w:rFonts w:hint="eastAsia" w:ascii="仿宋" w:eastAsia="宋体" w:cs="仿宋"/>
                <w:color w:val="000000"/>
                <w:sz w:val="24"/>
                <w:szCs w:val="24"/>
              </w:rPr>
              <w:t>IX.《枉凝眉》</w:t>
            </w:r>
          </w:p>
          <w:p w14:paraId="356E8227">
            <w:pPr>
              <w:adjustRightInd w:val="0"/>
              <w:snapToGrid w:val="0"/>
              <w:spacing w:line="240" w:lineRule="atLeast"/>
              <w:rPr>
                <w:rFonts w:hint="eastAsia" w:ascii="仿宋" w:eastAsia="仿宋" w:cs="仿宋"/>
                <w:color w:val="000000"/>
                <w:sz w:val="24"/>
                <w:szCs w:val="24"/>
              </w:rPr>
            </w:pPr>
            <w:r>
              <w:rPr>
                <w:rFonts w:hint="eastAsia" w:ascii="仿宋" w:eastAsia="宋体" w:cs="仿宋"/>
                <w:color w:val="000000"/>
                <w:sz w:val="24"/>
                <w:szCs w:val="24"/>
              </w:rPr>
              <w:t>X.《小夜曲》</w:t>
            </w:r>
          </w:p>
          <w:p w14:paraId="23E42873">
            <w:pPr>
              <w:adjustRightInd w:val="0"/>
              <w:snapToGrid w:val="0"/>
              <w:spacing w:line="240" w:lineRule="atLeast"/>
              <w:rPr>
                <w:rFonts w:hint="eastAsia" w:ascii="仿宋" w:eastAsia="仿宋" w:cs="仿宋"/>
                <w:color w:val="000000"/>
                <w:sz w:val="24"/>
                <w:szCs w:val="24"/>
              </w:rPr>
            </w:pPr>
            <w:r>
              <w:rPr>
                <w:rFonts w:hint="eastAsia" w:ascii="仿宋" w:eastAsia="宋体" w:cs="仿宋"/>
                <w:color w:val="000000"/>
                <w:sz w:val="24"/>
                <w:szCs w:val="24"/>
              </w:rPr>
              <w:t>XI.《思乡》</w:t>
            </w:r>
          </w:p>
          <w:p w14:paraId="43A4AC15">
            <w:pPr>
              <w:adjustRightInd w:val="0"/>
              <w:snapToGrid w:val="0"/>
              <w:spacing w:line="240" w:lineRule="atLeast"/>
              <w:rPr>
                <w:rFonts w:hint="eastAsia" w:ascii="仿宋" w:eastAsia="仿宋" w:cs="仿宋"/>
                <w:color w:val="000000"/>
                <w:sz w:val="24"/>
                <w:szCs w:val="24"/>
              </w:rPr>
            </w:pPr>
            <w:r>
              <w:rPr>
                <w:rFonts w:hint="eastAsia" w:ascii="仿宋" w:eastAsia="宋体" w:cs="仿宋"/>
                <w:color w:val="000000"/>
                <w:sz w:val="24"/>
                <w:szCs w:val="24"/>
              </w:rPr>
              <w:t>XII.《彩云追月》</w:t>
            </w:r>
          </w:p>
          <w:p w14:paraId="1EAD303B">
            <w:pPr>
              <w:adjustRightInd w:val="0"/>
              <w:snapToGrid w:val="0"/>
              <w:spacing w:line="240" w:lineRule="atLeast"/>
              <w:rPr>
                <w:rFonts w:hint="eastAsia" w:ascii="仿宋" w:eastAsia="仿宋" w:cs="仿宋"/>
                <w:color w:val="000000"/>
                <w:sz w:val="24"/>
                <w:szCs w:val="24"/>
              </w:rPr>
            </w:pPr>
            <w:r>
              <w:rPr>
                <w:rFonts w:hint="eastAsia" w:ascii="仿宋" w:eastAsia="宋体" w:cs="仿宋"/>
                <w:color w:val="000000"/>
                <w:sz w:val="24"/>
                <w:szCs w:val="24"/>
              </w:rPr>
              <w:t>XIII.《紫竹调》</w:t>
            </w:r>
          </w:p>
          <w:p w14:paraId="4D652007">
            <w:pPr>
              <w:adjustRightInd w:val="0"/>
              <w:snapToGrid w:val="0"/>
              <w:spacing w:line="240" w:lineRule="atLeast"/>
              <w:rPr>
                <w:rFonts w:hint="eastAsia" w:ascii="仿宋" w:eastAsia="仿宋" w:cs="仿宋"/>
                <w:color w:val="000000"/>
                <w:sz w:val="24"/>
                <w:szCs w:val="24"/>
              </w:rPr>
            </w:pPr>
            <w:r>
              <w:rPr>
                <w:rFonts w:hint="eastAsia" w:ascii="仿宋" w:eastAsia="宋体" w:cs="仿宋"/>
                <w:color w:val="000000"/>
                <w:sz w:val="24"/>
                <w:szCs w:val="24"/>
              </w:rPr>
              <w:t>XIV.《节日圆舞曲》</w:t>
            </w:r>
          </w:p>
          <w:p w14:paraId="3ECC2C6E">
            <w:pPr>
              <w:adjustRightInd w:val="0"/>
              <w:snapToGrid w:val="0"/>
              <w:spacing w:line="240" w:lineRule="atLeast"/>
              <w:rPr>
                <w:rFonts w:hint="eastAsia" w:ascii="仿宋" w:eastAsia="仿宋" w:cs="仿宋"/>
                <w:color w:val="000000"/>
                <w:sz w:val="24"/>
                <w:szCs w:val="24"/>
              </w:rPr>
            </w:pPr>
            <w:r>
              <w:rPr>
                <w:rFonts w:hint="eastAsia" w:ascii="仿宋" w:eastAsia="宋体" w:cs="仿宋"/>
                <w:color w:val="000000"/>
                <w:sz w:val="24"/>
                <w:szCs w:val="24"/>
              </w:rPr>
              <w:t>XV.《蓝色多瑙河》</w:t>
            </w:r>
          </w:p>
          <w:p w14:paraId="381D928E">
            <w:pPr>
              <w:adjustRightInd w:val="0"/>
              <w:snapToGrid w:val="0"/>
              <w:spacing w:line="240" w:lineRule="atLeast"/>
              <w:rPr>
                <w:rFonts w:hint="eastAsia" w:ascii="仿宋" w:eastAsia="仿宋" w:cs="仿宋"/>
                <w:color w:val="000000"/>
                <w:sz w:val="24"/>
                <w:szCs w:val="24"/>
              </w:rPr>
            </w:pPr>
            <w:r>
              <w:rPr>
                <w:rFonts w:hint="eastAsia" w:ascii="仿宋" w:eastAsia="宋体" w:cs="仿宋"/>
                <w:color w:val="000000"/>
                <w:sz w:val="24"/>
                <w:szCs w:val="24"/>
              </w:rPr>
              <w:t>注：教学谱例根据实际需要，不断增补调整。</w:t>
            </w:r>
          </w:p>
        </w:tc>
        <w:tc>
          <w:tcPr>
            <w:tcW w:w="115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17B3CADA">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支撑课程目标1、2、3</w:t>
            </w:r>
          </w:p>
        </w:tc>
        <w:tc>
          <w:tcPr>
            <w:tcW w:w="924"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16182E3B">
            <w:pPr>
              <w:adjustRightInd w:val="0"/>
              <w:snapToGrid w:val="0"/>
              <w:spacing w:line="240" w:lineRule="atLeast"/>
              <w:jc w:val="center"/>
              <w:rPr>
                <w:rFonts w:ascii="仿宋" w:eastAsia="仿宋" w:cs="仿宋"/>
                <w:color w:val="000000"/>
                <w:sz w:val="24"/>
                <w:szCs w:val="24"/>
                <w:lang w:val="en-US"/>
              </w:rPr>
            </w:pPr>
            <w:r>
              <w:rPr>
                <w:rFonts w:ascii="仿宋" w:eastAsia="仿宋" w:cs="仿宋"/>
                <w:color w:val="000000"/>
                <w:sz w:val="24"/>
                <w:szCs w:val="24"/>
                <w:lang w:val="en-US"/>
              </w:rPr>
              <w:t>32</w:t>
            </w:r>
          </w:p>
        </w:tc>
      </w:tr>
      <w:tr w14:paraId="757AAB54">
        <w:trPr>
          <w:trHeight w:val="45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0955BDC8"/>
        </w:tc>
        <w:tc>
          <w:tcPr>
            <w:tcW w:w="6848" w:type="dxa"/>
            <w:gridSpan w:val="12"/>
            <w:tcBorders>
              <w:top w:val="single" w:color="auto" w:sz="4" w:space="0"/>
              <w:left w:val="single" w:color="auto" w:sz="4" w:space="0"/>
              <w:bottom w:val="single" w:color="auto" w:sz="4" w:space="0"/>
              <w:right w:val="single" w:color="auto" w:sz="4" w:space="0"/>
            </w:tcBorders>
            <w:shd w:val="clear" w:color="auto" w:fill="auto"/>
            <w:vAlign w:val="center"/>
          </w:tcPr>
          <w:p w14:paraId="2E8286FF">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合计</w:t>
            </w:r>
          </w:p>
        </w:tc>
        <w:tc>
          <w:tcPr>
            <w:tcW w:w="924"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17E3CEF7">
            <w:pPr>
              <w:adjustRightInd w:val="0"/>
              <w:snapToGrid w:val="0"/>
              <w:spacing w:line="240" w:lineRule="atLeast"/>
              <w:jc w:val="center"/>
              <w:rPr>
                <w:rFonts w:ascii="仿宋" w:eastAsia="仿宋" w:cs="仿宋"/>
                <w:color w:val="000000"/>
                <w:sz w:val="24"/>
                <w:szCs w:val="24"/>
                <w:lang w:val="en-US"/>
              </w:rPr>
            </w:pPr>
            <w:r>
              <w:rPr>
                <w:rFonts w:ascii="仿宋" w:eastAsia="仿宋" w:cs="仿宋"/>
                <w:color w:val="000000"/>
                <w:sz w:val="24"/>
                <w:szCs w:val="24"/>
                <w:lang w:val="en-US"/>
              </w:rPr>
              <w:t>64</w:t>
            </w:r>
          </w:p>
        </w:tc>
      </w:tr>
      <w:tr w14:paraId="45543A5F">
        <w:trPr>
          <w:trHeight w:val="921" w:hRule="atLeast"/>
        </w:trPr>
        <w:tc>
          <w:tcPr>
            <w:tcW w:w="1376" w:type="dxa"/>
            <w:tcBorders>
              <w:top w:val="single" w:color="auto" w:sz="4" w:space="0"/>
              <w:left w:val="single" w:color="auto" w:sz="4" w:space="0"/>
              <w:bottom w:val="single" w:color="auto" w:sz="4" w:space="0"/>
              <w:right w:val="single" w:color="auto" w:sz="4" w:space="0"/>
            </w:tcBorders>
            <w:vAlign w:val="center"/>
          </w:tcPr>
          <w:p w14:paraId="01A8A9EB">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I</w:t>
            </w:r>
          </w:p>
          <w:p w14:paraId="491E6986">
            <w:pPr>
              <w:adjustRightInd w:val="0"/>
              <w:snapToGrid w:val="0"/>
              <w:spacing w:line="240" w:lineRule="atLeast"/>
              <w:jc w:val="center"/>
              <w:rPr>
                <w:rFonts w:hint="eastAsia" w:ascii="仿宋" w:eastAsia="仿宋" w:cs="仿宋"/>
                <w:color w:val="000000"/>
                <w:sz w:val="24"/>
                <w:szCs w:val="24"/>
                <w:lang w:eastAsia="zh-TW"/>
              </w:rPr>
            </w:pPr>
            <w:r>
              <w:rPr>
                <w:rFonts w:hint="eastAsia" w:ascii="仿宋" w:eastAsia="仿宋" w:cs="仿宋"/>
                <w:color w:val="000000"/>
                <w:sz w:val="24"/>
                <w:szCs w:val="24"/>
              </w:rPr>
              <w:t>教学方法与教学方式</w:t>
            </w:r>
          </w:p>
        </w:tc>
        <w:tc>
          <w:tcPr>
            <w:tcW w:w="7772" w:type="dxa"/>
            <w:gridSpan w:val="14"/>
            <w:tcBorders>
              <w:top w:val="single" w:color="auto" w:sz="4" w:space="0"/>
              <w:left w:val="single" w:color="auto" w:sz="4" w:space="0"/>
              <w:bottom w:val="single" w:color="auto" w:sz="4" w:space="0"/>
              <w:right w:val="single" w:color="auto" w:sz="4" w:space="0"/>
            </w:tcBorders>
            <w:vAlign w:val="center"/>
          </w:tcPr>
          <w:p w14:paraId="761230A4">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理论课与实践课是</w:t>
            </w:r>
            <w:r>
              <w:rPr>
                <w:rFonts w:ascii="仿宋" w:eastAsia="仿宋" w:cs="仿宋"/>
                <w:color w:val="000000"/>
                <w:sz w:val="24"/>
                <w:szCs w:val="24"/>
              </w:rPr>
              <w:t>通过叙述、描绘、解释、推论来传递信息、传授知识、阐明概念、论证定律和公式，引导学生分析和认识问题。</w:t>
            </w:r>
            <w:r>
              <w:rPr>
                <w:rFonts w:hint="eastAsia" w:ascii="仿宋" w:eastAsia="仿宋" w:cs="仿宋"/>
                <w:color w:val="000000"/>
                <w:sz w:val="24"/>
                <w:szCs w:val="24"/>
              </w:rPr>
              <w:t>学生在教师的指导下巩固知识、运用知识、形成技能技巧。</w:t>
            </w:r>
          </w:p>
          <w:p w14:paraId="5FEDE8F7">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开通网络课堂，达到与学生及时沟通、交流的目的。同时重视师生互动与小组活动，组织课堂小组讨论和论文写作等活动，将课堂教学变为师生共同活动的过程。</w:t>
            </w:r>
          </w:p>
          <w:p w14:paraId="6A921369">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主要方式：</w:t>
            </w:r>
          </w:p>
          <w:p w14:paraId="1BFD6852">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sym w:font="Wingdings" w:char="00FE"/>
            </w:r>
            <w:r>
              <w:rPr>
                <w:rFonts w:hint="eastAsia" w:ascii="仿宋" w:eastAsia="仿宋" w:cs="仿宋"/>
                <w:color w:val="000000"/>
                <w:sz w:val="24"/>
                <w:szCs w:val="24"/>
              </w:rPr>
              <w:t xml:space="preserve">讲授  </w:t>
            </w:r>
            <w:r>
              <w:rPr>
                <w:rFonts w:hint="eastAsia" w:ascii="仿宋" w:eastAsia="仿宋" w:cs="仿宋"/>
                <w:color w:val="000000"/>
                <w:sz w:val="24"/>
                <w:szCs w:val="24"/>
              </w:rPr>
              <w:sym w:font="Wingdings" w:char="00FE"/>
            </w:r>
            <w:r>
              <w:rPr>
                <w:rFonts w:hint="eastAsia" w:ascii="仿宋" w:eastAsia="仿宋" w:cs="仿宋"/>
                <w:color w:val="000000"/>
                <w:sz w:val="24"/>
                <w:szCs w:val="24"/>
              </w:rPr>
              <w:t xml:space="preserve">网络学习  </w:t>
            </w:r>
            <w:r>
              <w:rPr>
                <w:rFonts w:hint="eastAsia" w:ascii="仿宋" w:eastAsia="仿宋" w:cs="仿宋"/>
                <w:color w:val="000000"/>
                <w:sz w:val="24"/>
                <w:szCs w:val="24"/>
              </w:rPr>
              <w:sym w:font="Wingdings" w:char="00FE"/>
            </w:r>
            <w:r>
              <w:rPr>
                <w:rFonts w:hint="eastAsia" w:ascii="仿宋" w:eastAsia="仿宋" w:cs="仿宋"/>
                <w:color w:val="000000"/>
                <w:sz w:val="24"/>
                <w:szCs w:val="24"/>
              </w:rPr>
              <w:t xml:space="preserve">讨论或座谈  </w:t>
            </w:r>
            <w:r>
              <w:rPr>
                <w:rFonts w:hint="eastAsia" w:ascii="仿宋" w:eastAsia="仿宋" w:cs="仿宋"/>
                <w:color w:val="000000"/>
                <w:sz w:val="24"/>
                <w:szCs w:val="24"/>
              </w:rPr>
              <w:sym w:font="Wingdings" w:char="00A8"/>
            </w:r>
            <w:r>
              <w:rPr>
                <w:rFonts w:hint="eastAsia" w:ascii="仿宋" w:eastAsia="仿宋" w:cs="仿宋"/>
                <w:color w:val="000000"/>
                <w:sz w:val="24"/>
                <w:szCs w:val="24"/>
              </w:rPr>
              <w:t xml:space="preserve">问题导向学  </w:t>
            </w:r>
          </w:p>
          <w:p w14:paraId="5DC76225">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sym w:font="Wingdings" w:char="00FE"/>
            </w:r>
            <w:r>
              <w:rPr>
                <w:rFonts w:hint="eastAsia" w:ascii="仿宋" w:eastAsia="仿宋" w:cs="仿宋"/>
                <w:color w:val="000000"/>
                <w:sz w:val="24"/>
                <w:szCs w:val="24"/>
              </w:rPr>
              <w:t xml:space="preserve">分组合作学习  </w:t>
            </w:r>
            <w:r>
              <w:rPr>
                <w:rFonts w:hint="eastAsia" w:ascii="仿宋" w:eastAsia="仿宋" w:cs="仿宋"/>
                <w:color w:val="000000"/>
                <w:sz w:val="24"/>
                <w:szCs w:val="24"/>
              </w:rPr>
              <w:sym w:font="Wingdings" w:char="00A8"/>
            </w:r>
            <w:r>
              <w:rPr>
                <w:rFonts w:hint="eastAsia" w:ascii="仿宋" w:eastAsia="仿宋" w:cs="仿宋"/>
                <w:color w:val="000000"/>
                <w:sz w:val="24"/>
                <w:szCs w:val="24"/>
              </w:rPr>
              <w:t xml:space="preserve">专题学习  </w:t>
            </w:r>
            <w:r>
              <w:rPr>
                <w:rFonts w:hint="eastAsia" w:ascii="仿宋" w:eastAsia="仿宋" w:cs="仿宋"/>
                <w:color w:val="000000"/>
                <w:sz w:val="24"/>
                <w:szCs w:val="24"/>
              </w:rPr>
              <w:sym w:font="Wingdings" w:char="00FE"/>
            </w:r>
            <w:r>
              <w:rPr>
                <w:rFonts w:hint="eastAsia" w:ascii="仿宋" w:eastAsia="仿宋" w:cs="仿宋"/>
                <w:color w:val="000000"/>
                <w:sz w:val="24"/>
                <w:szCs w:val="24"/>
              </w:rPr>
              <w:t xml:space="preserve">实作学习  </w:t>
            </w:r>
            <w:r>
              <w:rPr>
                <w:rFonts w:hint="eastAsia" w:ascii="仿宋" w:eastAsia="仿宋" w:cs="仿宋"/>
                <w:color w:val="000000"/>
                <w:sz w:val="24"/>
                <w:szCs w:val="24"/>
              </w:rPr>
              <w:sym w:font="Wingdings" w:char="00A8"/>
            </w:r>
            <w:r>
              <w:rPr>
                <w:rFonts w:hint="eastAsia" w:ascii="仿宋" w:eastAsia="仿宋" w:cs="仿宋"/>
                <w:color w:val="000000"/>
                <w:sz w:val="24"/>
                <w:szCs w:val="24"/>
              </w:rPr>
              <w:t xml:space="preserve">发表学习  </w:t>
            </w:r>
          </w:p>
          <w:p w14:paraId="6F8B9669">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sym w:font="Wingdings" w:char="00A8"/>
            </w:r>
            <w:r>
              <w:rPr>
                <w:rFonts w:hint="eastAsia" w:ascii="仿宋" w:eastAsia="仿宋" w:cs="仿宋"/>
                <w:color w:val="000000"/>
                <w:sz w:val="24"/>
                <w:szCs w:val="24"/>
              </w:rPr>
              <w:t xml:space="preserve">实习  </w:t>
            </w:r>
            <w:r>
              <w:rPr>
                <w:rFonts w:hint="eastAsia" w:ascii="仿宋" w:eastAsia="仿宋" w:cs="仿宋"/>
                <w:color w:val="000000"/>
                <w:sz w:val="24"/>
                <w:szCs w:val="24"/>
              </w:rPr>
              <w:sym w:font="Wingdings" w:char="00A8"/>
            </w:r>
            <w:r>
              <w:rPr>
                <w:rFonts w:hint="eastAsia" w:ascii="仿宋" w:eastAsia="仿宋" w:cs="仿宋"/>
                <w:color w:val="000000"/>
                <w:sz w:val="24"/>
                <w:szCs w:val="24"/>
              </w:rPr>
              <w:t xml:space="preserve">参观访问  </w:t>
            </w:r>
            <w:r>
              <w:rPr>
                <w:rFonts w:hint="eastAsia" w:ascii="仿宋" w:eastAsia="仿宋" w:cs="仿宋"/>
                <w:color w:val="000000"/>
                <w:sz w:val="24"/>
                <w:szCs w:val="24"/>
              </w:rPr>
              <w:sym w:font="Wingdings" w:char="00A8"/>
            </w:r>
            <w:r>
              <w:rPr>
                <w:rFonts w:hint="eastAsia" w:ascii="仿宋" w:eastAsia="仿宋" w:cs="仿宋"/>
                <w:color w:val="000000"/>
                <w:sz w:val="24"/>
                <w:szCs w:val="24"/>
              </w:rPr>
              <w:t>其它：        (如口头训练等)</w:t>
            </w:r>
          </w:p>
        </w:tc>
      </w:tr>
      <w:tr w14:paraId="2D1FC186">
        <w:trPr>
          <w:trHeight w:val="580" w:hRule="atLeast"/>
        </w:trPr>
        <w:tc>
          <w:tcPr>
            <w:tcW w:w="1376" w:type="dxa"/>
            <w:tcBorders>
              <w:top w:val="single" w:color="auto" w:sz="4" w:space="0"/>
              <w:left w:val="single" w:color="auto" w:sz="4" w:space="0"/>
              <w:bottom w:val="single" w:color="auto" w:sz="4" w:space="0"/>
              <w:right w:val="single" w:color="auto" w:sz="4" w:space="0"/>
            </w:tcBorders>
            <w:vAlign w:val="center"/>
          </w:tcPr>
          <w:p w14:paraId="585B522E">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J</w:t>
            </w:r>
          </w:p>
          <w:p w14:paraId="69DF3BDE">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教学条件</w:t>
            </w:r>
          </w:p>
          <w:p w14:paraId="3AD91046">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需求</w:t>
            </w:r>
          </w:p>
        </w:tc>
        <w:tc>
          <w:tcPr>
            <w:tcW w:w="7772" w:type="dxa"/>
            <w:gridSpan w:val="14"/>
            <w:tcBorders>
              <w:top w:val="single" w:color="auto" w:sz="4" w:space="0"/>
              <w:left w:val="single" w:color="auto" w:sz="4" w:space="0"/>
              <w:bottom w:val="single" w:color="auto" w:sz="4" w:space="0"/>
              <w:right w:val="single" w:color="auto" w:sz="4" w:space="0"/>
            </w:tcBorders>
            <w:vAlign w:val="center"/>
          </w:tcPr>
          <w:p w14:paraId="7432975E">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（如时间、地点安排与“一课双师”等教师配备需求等）</w:t>
            </w:r>
          </w:p>
          <w:p w14:paraId="3EF35BE8">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1.演艺厅</w:t>
            </w:r>
          </w:p>
          <w:p w14:paraId="4FF6E7B4">
            <w:pPr>
              <w:adjustRightInd w:val="0"/>
              <w:snapToGrid w:val="0"/>
              <w:spacing w:line="240" w:lineRule="atLeast"/>
              <w:rPr>
                <w:rFonts w:hint="eastAsia" w:ascii="仿宋" w:eastAsia="仿宋" w:cs="仿宋"/>
                <w:color w:val="000000"/>
                <w:sz w:val="24"/>
                <w:szCs w:val="24"/>
              </w:rPr>
            </w:pPr>
            <w:r>
              <w:rPr>
                <w:rFonts w:hint="default" w:ascii="仿宋" w:eastAsia="仿宋" w:cs="仿宋"/>
                <w:color w:val="000000"/>
                <w:sz w:val="24"/>
                <w:szCs w:val="24"/>
                <w:lang w:val="en-US"/>
              </w:rPr>
              <w:t>2</w:t>
            </w:r>
            <w:r>
              <w:rPr>
                <w:rFonts w:hint="eastAsia" w:ascii="仿宋" w:eastAsia="仿宋" w:cs="仿宋"/>
                <w:color w:val="000000"/>
                <w:sz w:val="24"/>
                <w:szCs w:val="24"/>
              </w:rPr>
              <w:t>.“一课双师”</w:t>
            </w:r>
          </w:p>
        </w:tc>
      </w:tr>
      <w:tr w14:paraId="5464B0D9">
        <w:trPr>
          <w:trHeight w:val="711" w:hRule="atLeast"/>
        </w:trPr>
        <w:tc>
          <w:tcPr>
            <w:tcW w:w="1376" w:type="dxa"/>
            <w:vMerge w:val="restart"/>
            <w:tcBorders>
              <w:top w:val="single" w:color="auto" w:sz="4" w:space="0"/>
              <w:left w:val="single" w:color="auto" w:sz="4" w:space="0"/>
              <w:bottom w:val="single" w:color="auto" w:sz="4" w:space="0"/>
              <w:right w:val="single" w:color="auto" w:sz="4" w:space="0"/>
            </w:tcBorders>
            <w:vAlign w:val="center"/>
          </w:tcPr>
          <w:p w14:paraId="13D237DC">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K</w:t>
            </w:r>
          </w:p>
          <w:p w14:paraId="14A04962">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课程目标及其考核内容、考核方式及评分占比</w:t>
            </w:r>
          </w:p>
        </w:tc>
        <w:tc>
          <w:tcPr>
            <w:tcW w:w="1032" w:type="dxa"/>
            <w:vMerge w:val="restart"/>
            <w:tcBorders>
              <w:top w:val="single" w:color="auto" w:sz="4" w:space="0"/>
              <w:left w:val="single" w:color="auto" w:sz="4" w:space="0"/>
              <w:bottom w:val="single" w:color="auto" w:sz="4" w:space="0"/>
              <w:right w:val="single" w:color="auto" w:sz="4" w:space="0"/>
            </w:tcBorders>
            <w:vAlign w:val="center"/>
          </w:tcPr>
          <w:p w14:paraId="46D8FC4F">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课程目标及评分占比</w:t>
            </w:r>
          </w:p>
        </w:tc>
        <w:tc>
          <w:tcPr>
            <w:tcW w:w="3247" w:type="dxa"/>
            <w:gridSpan w:val="5"/>
            <w:vMerge w:val="restart"/>
            <w:tcBorders>
              <w:top w:val="single" w:color="auto" w:sz="4" w:space="0"/>
              <w:left w:val="single" w:color="auto" w:sz="4" w:space="0"/>
              <w:bottom w:val="single" w:color="auto" w:sz="4" w:space="0"/>
              <w:right w:val="single" w:color="000000" w:sz="4" w:space="0"/>
            </w:tcBorders>
            <w:vAlign w:val="center"/>
          </w:tcPr>
          <w:p w14:paraId="5CF9790F">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考核内容</w:t>
            </w:r>
          </w:p>
        </w:tc>
        <w:tc>
          <w:tcPr>
            <w:tcW w:w="2773" w:type="dxa"/>
            <w:gridSpan w:val="7"/>
            <w:tcBorders>
              <w:top w:val="single" w:color="auto" w:sz="4" w:space="0"/>
              <w:left w:val="single" w:color="000000" w:sz="4" w:space="0"/>
              <w:bottom w:val="single" w:color="auto" w:sz="4" w:space="0"/>
              <w:right w:val="single" w:color="000000" w:sz="4" w:space="0"/>
            </w:tcBorders>
            <w:vAlign w:val="center"/>
          </w:tcPr>
          <w:p w14:paraId="251A85D1">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考核方式</w:t>
            </w:r>
          </w:p>
        </w:tc>
        <w:tc>
          <w:tcPr>
            <w:tcW w:w="720" w:type="dxa"/>
            <w:vMerge w:val="restart"/>
            <w:tcBorders>
              <w:top w:val="single" w:color="auto" w:sz="4" w:space="0"/>
              <w:left w:val="single" w:color="000000" w:sz="4" w:space="0"/>
              <w:bottom w:val="single" w:color="auto" w:sz="4" w:space="0"/>
              <w:right w:val="single" w:color="auto" w:sz="4" w:space="0"/>
            </w:tcBorders>
            <w:vAlign w:val="center"/>
          </w:tcPr>
          <w:p w14:paraId="7DE27754">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课程分目标的达成度</w:t>
            </w:r>
          </w:p>
        </w:tc>
      </w:tr>
      <w:tr w14:paraId="3E2098BD">
        <w:trPr>
          <w:trHeight w:val="184" w:hRule="atLeast"/>
        </w:trPr>
        <w:tc>
          <w:tcPr>
            <w:tcW w:w="1376" w:type="dxa"/>
            <w:vMerge w:val="continue"/>
            <w:tcBorders>
              <w:top w:val="single" w:color="auto" w:sz="4" w:space="0"/>
              <w:left w:val="single" w:color="auto" w:sz="4" w:space="0"/>
              <w:bottom w:val="single" w:color="auto" w:sz="4" w:space="0"/>
              <w:right w:val="single" w:color="auto" w:sz="4" w:space="0"/>
            </w:tcBorders>
            <w:vAlign w:val="center"/>
          </w:tcPr>
          <w:p w14:paraId="14BC9D32"/>
        </w:tc>
        <w:tc>
          <w:tcPr>
            <w:tcW w:w="1032" w:type="dxa"/>
            <w:vMerge w:val="continue"/>
            <w:tcBorders>
              <w:top w:val="single" w:color="auto" w:sz="4" w:space="0"/>
              <w:left w:val="single" w:color="auto" w:sz="4" w:space="0"/>
              <w:bottom w:val="single" w:color="auto" w:sz="4" w:space="0"/>
              <w:right w:val="single" w:color="auto" w:sz="4" w:space="0"/>
              <w:tl2br w:val="single" w:color="auto" w:sz="4" w:space="0"/>
            </w:tcBorders>
            <w:vAlign w:val="center"/>
          </w:tcPr>
          <w:p w14:paraId="7BC9AF30"/>
        </w:tc>
        <w:tc>
          <w:tcPr>
            <w:tcW w:w="3247" w:type="dxa"/>
            <w:gridSpan w:val="5"/>
            <w:vMerge w:val="continue"/>
            <w:tcBorders>
              <w:top w:val="single" w:color="auto" w:sz="4" w:space="0"/>
              <w:left w:val="single" w:color="auto" w:sz="4" w:space="0"/>
              <w:bottom w:val="single" w:color="auto" w:sz="4" w:space="0"/>
              <w:right w:val="single" w:color="000000" w:sz="4" w:space="0"/>
            </w:tcBorders>
            <w:vAlign w:val="center"/>
          </w:tcPr>
          <w:p w14:paraId="31C611EF"/>
        </w:tc>
        <w:tc>
          <w:tcPr>
            <w:tcW w:w="924" w:type="dxa"/>
            <w:gridSpan w:val="2"/>
            <w:tcBorders>
              <w:top w:val="single" w:color="auto" w:sz="4" w:space="0"/>
              <w:left w:val="single" w:color="000000" w:sz="4" w:space="0"/>
              <w:bottom w:val="single" w:color="auto" w:sz="4" w:space="0"/>
              <w:right w:val="single" w:color="auto" w:sz="4" w:space="0"/>
            </w:tcBorders>
            <w:vAlign w:val="center"/>
          </w:tcPr>
          <w:p w14:paraId="6BC7E1AD">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考勤</w:t>
            </w:r>
          </w:p>
          <w:p w14:paraId="3F62143C">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占比（5%）</w:t>
            </w:r>
          </w:p>
        </w:tc>
        <w:tc>
          <w:tcPr>
            <w:tcW w:w="924" w:type="dxa"/>
            <w:gridSpan w:val="2"/>
            <w:tcBorders>
              <w:top w:val="single" w:color="auto" w:sz="4" w:space="0"/>
              <w:left w:val="single" w:color="auto" w:sz="4" w:space="0"/>
              <w:bottom w:val="single" w:color="auto" w:sz="4" w:space="0"/>
              <w:right w:val="single" w:color="000000" w:sz="4" w:space="0"/>
            </w:tcBorders>
            <w:vAlign w:val="center"/>
          </w:tcPr>
          <w:p w14:paraId="674FEF6F">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过程</w:t>
            </w:r>
          </w:p>
          <w:p w14:paraId="700A303E">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考核</w:t>
            </w:r>
          </w:p>
          <w:p w14:paraId="3DC69B5E">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占比（35%）</w:t>
            </w:r>
          </w:p>
        </w:tc>
        <w:tc>
          <w:tcPr>
            <w:tcW w:w="925" w:type="dxa"/>
            <w:gridSpan w:val="3"/>
            <w:tcBorders>
              <w:top w:val="single" w:color="auto" w:sz="4" w:space="0"/>
              <w:left w:val="single" w:color="000000" w:sz="4" w:space="0"/>
              <w:bottom w:val="single" w:color="auto" w:sz="4" w:space="0"/>
              <w:right w:val="single" w:color="000000" w:sz="4" w:space="0"/>
            </w:tcBorders>
            <w:vAlign w:val="center"/>
          </w:tcPr>
          <w:p w14:paraId="21067A66">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期末</w:t>
            </w:r>
          </w:p>
          <w:p w14:paraId="783CF7E8">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考试评分占比（60%）</w:t>
            </w:r>
          </w:p>
        </w:tc>
        <w:tc>
          <w:tcPr>
            <w:tcW w:w="720" w:type="dxa"/>
            <w:vMerge w:val="continue"/>
            <w:tcBorders>
              <w:top w:val="single" w:color="auto" w:sz="4" w:space="0"/>
              <w:left w:val="single" w:color="000000" w:sz="4" w:space="0"/>
              <w:bottom w:val="single" w:color="auto" w:sz="4" w:space="0"/>
              <w:right w:val="single" w:color="auto" w:sz="4" w:space="0"/>
            </w:tcBorders>
            <w:vAlign w:val="center"/>
          </w:tcPr>
          <w:p w14:paraId="76478D26"/>
        </w:tc>
      </w:tr>
      <w:tr w14:paraId="3FD788F3">
        <w:tc>
          <w:tcPr>
            <w:tcW w:w="1376" w:type="dxa"/>
            <w:vMerge w:val="continue"/>
            <w:tcBorders>
              <w:top w:val="single" w:color="auto" w:sz="4" w:space="0"/>
              <w:left w:val="single" w:color="auto" w:sz="4" w:space="0"/>
              <w:bottom w:val="single" w:color="auto" w:sz="4" w:space="0"/>
              <w:right w:val="single" w:color="auto" w:sz="4" w:space="0"/>
            </w:tcBorders>
            <w:vAlign w:val="center"/>
          </w:tcPr>
          <w:p w14:paraId="490C3CE8"/>
        </w:tc>
        <w:tc>
          <w:tcPr>
            <w:tcW w:w="1032" w:type="dxa"/>
            <w:tcBorders>
              <w:top w:val="single" w:color="auto" w:sz="4" w:space="0"/>
              <w:left w:val="single" w:color="auto" w:sz="4" w:space="0"/>
              <w:bottom w:val="single" w:color="auto" w:sz="4" w:space="0"/>
              <w:right w:val="single" w:color="auto" w:sz="4" w:space="0"/>
            </w:tcBorders>
            <w:vAlign w:val="center"/>
          </w:tcPr>
          <w:p w14:paraId="7BBB522F">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课程目标1（50%）</w:t>
            </w:r>
          </w:p>
        </w:tc>
        <w:tc>
          <w:tcPr>
            <w:tcW w:w="3247" w:type="dxa"/>
            <w:gridSpan w:val="5"/>
            <w:tcBorders>
              <w:top w:val="single" w:color="auto" w:sz="4" w:space="0"/>
              <w:left w:val="single" w:color="auto" w:sz="4" w:space="0"/>
              <w:bottom w:val="single" w:color="auto" w:sz="4" w:space="0"/>
              <w:right w:val="single" w:color="000000" w:sz="4" w:space="0"/>
            </w:tcBorders>
            <w:vAlign w:val="center"/>
          </w:tcPr>
          <w:p w14:paraId="0E71DE8E">
            <w:pPr>
              <w:adjustRightInd w:val="0"/>
              <w:snapToGrid w:val="0"/>
              <w:spacing w:line="240" w:lineRule="atLeast"/>
              <w:ind w:firstLine="480" w:firstLineChars="200"/>
              <w:rPr>
                <w:rFonts w:hint="eastAsia" w:ascii="仿宋" w:eastAsia="仿宋" w:cs="仿宋"/>
                <w:color w:val="000000"/>
                <w:sz w:val="24"/>
                <w:szCs w:val="24"/>
              </w:rPr>
            </w:pPr>
            <w:r>
              <w:rPr>
                <w:rFonts w:hint="eastAsia" w:ascii="仿宋" w:eastAsia="仿宋" w:cs="仿宋"/>
                <w:color w:val="000000"/>
                <w:sz w:val="24"/>
                <w:szCs w:val="24"/>
              </w:rPr>
              <w:t>掌握器乐合奏多声部、分声部训练的基本方法与技巧，对基本技术能够熟练掌握和综合运用。</w:t>
            </w:r>
          </w:p>
        </w:tc>
        <w:tc>
          <w:tcPr>
            <w:tcW w:w="924" w:type="dxa"/>
            <w:gridSpan w:val="2"/>
            <w:tcBorders>
              <w:top w:val="single" w:color="auto" w:sz="4" w:space="0"/>
              <w:left w:val="single" w:color="000000" w:sz="4" w:space="0"/>
              <w:bottom w:val="single" w:color="auto" w:sz="4" w:space="0"/>
              <w:right w:val="single" w:color="auto" w:sz="4" w:space="0"/>
            </w:tcBorders>
            <w:vAlign w:val="center"/>
          </w:tcPr>
          <w:p w14:paraId="708FD595">
            <w:pPr>
              <w:adjustRightInd w:val="0"/>
              <w:snapToGrid w:val="0"/>
              <w:spacing w:line="240" w:lineRule="atLeast"/>
              <w:jc w:val="center"/>
              <w:rPr>
                <w:rFonts w:ascii="仿宋" w:eastAsia="仿宋" w:cs="仿宋"/>
                <w:color w:val="000000"/>
                <w:sz w:val="24"/>
                <w:szCs w:val="24"/>
              </w:rPr>
            </w:pPr>
            <w:r>
              <w:rPr>
                <w:rFonts w:hint="eastAsia" w:ascii="仿宋" w:eastAsia="仿宋" w:cs="仿宋"/>
                <w:color w:val="000000"/>
                <w:sz w:val="24"/>
                <w:szCs w:val="24"/>
              </w:rPr>
              <w:t>2.5</w:t>
            </w:r>
          </w:p>
        </w:tc>
        <w:tc>
          <w:tcPr>
            <w:tcW w:w="924" w:type="dxa"/>
            <w:gridSpan w:val="2"/>
            <w:tcBorders>
              <w:top w:val="single" w:color="auto" w:sz="4" w:space="0"/>
              <w:left w:val="single" w:color="auto" w:sz="4" w:space="0"/>
              <w:bottom w:val="single" w:color="auto" w:sz="4" w:space="0"/>
              <w:right w:val="single" w:color="000000" w:sz="4" w:space="0"/>
            </w:tcBorders>
            <w:vAlign w:val="center"/>
          </w:tcPr>
          <w:p w14:paraId="64D52777">
            <w:pPr>
              <w:adjustRightInd w:val="0"/>
              <w:snapToGrid w:val="0"/>
              <w:spacing w:line="240" w:lineRule="atLeast"/>
              <w:jc w:val="center"/>
              <w:rPr>
                <w:rFonts w:ascii="仿宋" w:eastAsia="仿宋" w:cs="仿宋"/>
                <w:color w:val="000000"/>
                <w:sz w:val="24"/>
                <w:szCs w:val="24"/>
              </w:rPr>
            </w:pPr>
            <w:r>
              <w:rPr>
                <w:rFonts w:hint="eastAsia" w:ascii="仿宋" w:eastAsia="仿宋" w:cs="仿宋"/>
                <w:color w:val="000000"/>
                <w:sz w:val="24"/>
                <w:szCs w:val="24"/>
              </w:rPr>
              <w:t>17.5</w:t>
            </w:r>
          </w:p>
        </w:tc>
        <w:tc>
          <w:tcPr>
            <w:tcW w:w="925" w:type="dxa"/>
            <w:gridSpan w:val="3"/>
            <w:tcBorders>
              <w:top w:val="single" w:color="auto" w:sz="4" w:space="0"/>
              <w:left w:val="single" w:color="000000" w:sz="4" w:space="0"/>
              <w:bottom w:val="single" w:color="auto" w:sz="4" w:space="0"/>
              <w:right w:val="single" w:color="auto" w:sz="4" w:space="0"/>
            </w:tcBorders>
            <w:vAlign w:val="center"/>
          </w:tcPr>
          <w:p w14:paraId="69C002DE">
            <w:pPr>
              <w:adjustRightInd w:val="0"/>
              <w:snapToGrid w:val="0"/>
              <w:spacing w:line="240" w:lineRule="atLeast"/>
              <w:jc w:val="center"/>
              <w:rPr>
                <w:rFonts w:ascii="仿宋" w:eastAsia="仿宋" w:cs="仿宋"/>
                <w:color w:val="000000"/>
                <w:sz w:val="24"/>
                <w:szCs w:val="24"/>
              </w:rPr>
            </w:pPr>
            <w:r>
              <w:rPr>
                <w:rFonts w:hint="eastAsia" w:ascii="仿宋" w:eastAsia="仿宋" w:cs="仿宋"/>
                <w:color w:val="000000"/>
                <w:sz w:val="24"/>
                <w:szCs w:val="24"/>
              </w:rPr>
              <w:t>30</w:t>
            </w:r>
          </w:p>
        </w:tc>
        <w:tc>
          <w:tcPr>
            <w:tcW w:w="720" w:type="dxa"/>
            <w:tcBorders>
              <w:top w:val="single" w:color="auto" w:sz="4" w:space="0"/>
              <w:left w:val="single" w:color="auto" w:sz="4" w:space="0"/>
              <w:bottom w:val="single" w:color="auto" w:sz="4" w:space="0"/>
              <w:right w:val="single" w:color="auto" w:sz="4" w:space="0"/>
            </w:tcBorders>
            <w:vAlign w:val="center"/>
          </w:tcPr>
          <w:p w14:paraId="08F73E6F">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0.75</w:t>
            </w:r>
          </w:p>
        </w:tc>
      </w:tr>
      <w:tr w14:paraId="565322AA">
        <w:trPr>
          <w:trHeight w:val="745" w:hRule="atLeast"/>
        </w:trPr>
        <w:tc>
          <w:tcPr>
            <w:tcW w:w="1376" w:type="dxa"/>
            <w:vMerge w:val="continue"/>
            <w:tcBorders>
              <w:top w:val="single" w:color="auto" w:sz="4" w:space="0"/>
              <w:left w:val="single" w:color="auto" w:sz="4" w:space="0"/>
              <w:bottom w:val="single" w:color="auto" w:sz="4" w:space="0"/>
              <w:right w:val="single" w:color="auto" w:sz="4" w:space="0"/>
            </w:tcBorders>
            <w:vAlign w:val="center"/>
          </w:tcPr>
          <w:p w14:paraId="127E239A"/>
        </w:tc>
        <w:tc>
          <w:tcPr>
            <w:tcW w:w="1032" w:type="dxa"/>
            <w:tcBorders>
              <w:top w:val="single" w:color="auto" w:sz="4" w:space="0"/>
              <w:left w:val="single" w:color="auto" w:sz="4" w:space="0"/>
              <w:bottom w:val="single" w:color="auto" w:sz="4" w:space="0"/>
              <w:right w:val="single" w:color="auto" w:sz="4" w:space="0"/>
            </w:tcBorders>
            <w:vAlign w:val="center"/>
          </w:tcPr>
          <w:p w14:paraId="7D3B26C6">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课程目标2（30%）</w:t>
            </w:r>
          </w:p>
        </w:tc>
        <w:tc>
          <w:tcPr>
            <w:tcW w:w="3247" w:type="dxa"/>
            <w:gridSpan w:val="5"/>
            <w:tcBorders>
              <w:top w:val="single" w:color="auto" w:sz="4" w:space="0"/>
              <w:left w:val="single" w:color="auto" w:sz="4" w:space="0"/>
              <w:bottom w:val="single" w:color="auto" w:sz="4" w:space="0"/>
              <w:right w:val="single" w:color="000000" w:sz="4" w:space="0"/>
            </w:tcBorders>
            <w:vAlign w:val="center"/>
          </w:tcPr>
          <w:p w14:paraId="5502BC38">
            <w:pPr>
              <w:adjustRightInd w:val="0"/>
              <w:snapToGrid w:val="0"/>
              <w:spacing w:line="240" w:lineRule="atLeast"/>
              <w:ind w:firstLine="480" w:firstLineChars="200"/>
              <w:rPr>
                <w:rFonts w:hint="eastAsia" w:ascii="仿宋" w:eastAsia="仿宋" w:cs="仿宋"/>
                <w:color w:val="000000"/>
                <w:sz w:val="24"/>
                <w:szCs w:val="24"/>
              </w:rPr>
            </w:pPr>
            <w:r>
              <w:rPr>
                <w:rFonts w:hint="eastAsia" w:ascii="仿宋" w:eastAsia="仿宋" w:cs="仿宋"/>
                <w:color w:val="000000"/>
                <w:sz w:val="24"/>
                <w:szCs w:val="24"/>
              </w:rPr>
              <w:t>掌握基本的乐队排练、指挥的基本技巧，具备对不同风格合奏。</w:t>
            </w:r>
          </w:p>
        </w:tc>
        <w:tc>
          <w:tcPr>
            <w:tcW w:w="924" w:type="dxa"/>
            <w:gridSpan w:val="2"/>
            <w:tcBorders>
              <w:top w:val="single" w:color="auto" w:sz="4" w:space="0"/>
              <w:left w:val="single" w:color="000000" w:sz="4" w:space="0"/>
              <w:bottom w:val="single" w:color="auto" w:sz="4" w:space="0"/>
              <w:right w:val="single" w:color="auto" w:sz="4" w:space="0"/>
            </w:tcBorders>
            <w:vAlign w:val="center"/>
          </w:tcPr>
          <w:p w14:paraId="53BFFA36">
            <w:pPr>
              <w:adjustRightInd w:val="0"/>
              <w:snapToGrid w:val="0"/>
              <w:spacing w:line="240" w:lineRule="atLeast"/>
              <w:jc w:val="center"/>
              <w:rPr>
                <w:rFonts w:ascii="仿宋" w:eastAsia="仿宋" w:cs="仿宋"/>
                <w:color w:val="000000"/>
                <w:sz w:val="24"/>
                <w:szCs w:val="24"/>
              </w:rPr>
            </w:pPr>
            <w:r>
              <w:rPr>
                <w:rFonts w:hint="eastAsia" w:ascii="仿宋" w:eastAsia="仿宋" w:cs="仿宋"/>
                <w:color w:val="000000"/>
                <w:sz w:val="24"/>
                <w:szCs w:val="24"/>
              </w:rPr>
              <w:t>1.5</w:t>
            </w:r>
          </w:p>
        </w:tc>
        <w:tc>
          <w:tcPr>
            <w:tcW w:w="924" w:type="dxa"/>
            <w:gridSpan w:val="2"/>
            <w:tcBorders>
              <w:top w:val="single" w:color="auto" w:sz="4" w:space="0"/>
              <w:left w:val="single" w:color="auto" w:sz="4" w:space="0"/>
              <w:bottom w:val="single" w:color="000000" w:sz="4" w:space="0"/>
              <w:right w:val="single" w:color="000000" w:sz="4" w:space="0"/>
            </w:tcBorders>
            <w:vAlign w:val="center"/>
          </w:tcPr>
          <w:p w14:paraId="6782F36A">
            <w:pPr>
              <w:adjustRightInd w:val="0"/>
              <w:snapToGrid w:val="0"/>
              <w:spacing w:line="240" w:lineRule="atLeast"/>
              <w:jc w:val="center"/>
              <w:rPr>
                <w:rFonts w:ascii="仿宋" w:eastAsia="仿宋" w:cs="仿宋"/>
                <w:color w:val="000000"/>
                <w:sz w:val="24"/>
                <w:szCs w:val="24"/>
              </w:rPr>
            </w:pPr>
            <w:r>
              <w:rPr>
                <w:rFonts w:hint="eastAsia" w:ascii="仿宋" w:eastAsia="仿宋" w:cs="仿宋"/>
                <w:color w:val="000000"/>
                <w:sz w:val="24"/>
                <w:szCs w:val="24"/>
              </w:rPr>
              <w:t>10.5</w:t>
            </w:r>
          </w:p>
        </w:tc>
        <w:tc>
          <w:tcPr>
            <w:tcW w:w="925" w:type="dxa"/>
            <w:gridSpan w:val="3"/>
            <w:tcBorders>
              <w:top w:val="single" w:color="auto" w:sz="4" w:space="0"/>
              <w:left w:val="single" w:color="000000" w:sz="4" w:space="0"/>
              <w:bottom w:val="single" w:color="000000" w:sz="4" w:space="0"/>
              <w:right w:val="single" w:color="000000" w:sz="4" w:space="0"/>
            </w:tcBorders>
            <w:vAlign w:val="center"/>
          </w:tcPr>
          <w:p w14:paraId="41566E68">
            <w:pPr>
              <w:adjustRightInd w:val="0"/>
              <w:snapToGrid w:val="0"/>
              <w:spacing w:line="240" w:lineRule="atLeast"/>
              <w:jc w:val="center"/>
              <w:rPr>
                <w:rFonts w:ascii="仿宋" w:eastAsia="仿宋" w:cs="仿宋"/>
                <w:color w:val="000000"/>
                <w:sz w:val="24"/>
                <w:szCs w:val="24"/>
              </w:rPr>
            </w:pPr>
            <w:r>
              <w:rPr>
                <w:rFonts w:hint="eastAsia" w:ascii="仿宋" w:eastAsia="仿宋" w:cs="仿宋"/>
                <w:color w:val="000000"/>
                <w:sz w:val="24"/>
                <w:szCs w:val="24"/>
              </w:rPr>
              <w:t>18</w:t>
            </w:r>
          </w:p>
        </w:tc>
        <w:tc>
          <w:tcPr>
            <w:tcW w:w="720" w:type="dxa"/>
            <w:tcBorders>
              <w:top w:val="single" w:color="auto" w:sz="4" w:space="0"/>
              <w:left w:val="single" w:color="000000" w:sz="4" w:space="0"/>
              <w:bottom w:val="single" w:color="000000" w:sz="4" w:space="0"/>
              <w:right w:val="single" w:color="auto" w:sz="4" w:space="0"/>
            </w:tcBorders>
            <w:vAlign w:val="center"/>
          </w:tcPr>
          <w:p w14:paraId="0D590D12">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0.75</w:t>
            </w:r>
          </w:p>
        </w:tc>
      </w:tr>
      <w:tr w14:paraId="7416FC22">
        <w:trPr>
          <w:trHeight w:val="515" w:hRule="atLeast"/>
        </w:trPr>
        <w:tc>
          <w:tcPr>
            <w:tcW w:w="1376" w:type="dxa"/>
            <w:vMerge w:val="continue"/>
            <w:tcBorders>
              <w:top w:val="single" w:color="auto" w:sz="4" w:space="0"/>
              <w:left w:val="single" w:color="auto" w:sz="4" w:space="0"/>
              <w:bottom w:val="single" w:color="auto" w:sz="4" w:space="0"/>
              <w:right w:val="single" w:color="auto" w:sz="4" w:space="0"/>
            </w:tcBorders>
            <w:vAlign w:val="center"/>
          </w:tcPr>
          <w:p w14:paraId="67E1A11E"/>
        </w:tc>
        <w:tc>
          <w:tcPr>
            <w:tcW w:w="1032" w:type="dxa"/>
            <w:tcBorders>
              <w:top w:val="single" w:color="auto" w:sz="4" w:space="0"/>
              <w:left w:val="single" w:color="auto" w:sz="4" w:space="0"/>
              <w:bottom w:val="single" w:color="auto" w:sz="4" w:space="0"/>
              <w:right w:val="single" w:color="auto" w:sz="4" w:space="0"/>
            </w:tcBorders>
            <w:vAlign w:val="center"/>
          </w:tcPr>
          <w:p w14:paraId="02AEB025">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课程目标3（20%）</w:t>
            </w:r>
          </w:p>
        </w:tc>
        <w:tc>
          <w:tcPr>
            <w:tcW w:w="3247" w:type="dxa"/>
            <w:gridSpan w:val="5"/>
            <w:tcBorders>
              <w:top w:val="single" w:color="auto" w:sz="4" w:space="0"/>
              <w:left w:val="single" w:color="auto" w:sz="4" w:space="0"/>
              <w:bottom w:val="single" w:color="auto" w:sz="4" w:space="0"/>
              <w:right w:val="single" w:color="000000" w:sz="4" w:space="0"/>
            </w:tcBorders>
            <w:vAlign w:val="center"/>
          </w:tcPr>
          <w:p w14:paraId="06A6DCAC">
            <w:pPr>
              <w:adjustRightInd w:val="0"/>
              <w:snapToGrid w:val="0"/>
              <w:spacing w:line="240" w:lineRule="atLeast"/>
              <w:ind w:firstLine="480" w:firstLineChars="200"/>
              <w:rPr>
                <w:rFonts w:hint="eastAsia" w:ascii="仿宋" w:eastAsia="仿宋" w:cs="仿宋"/>
                <w:color w:val="000000"/>
                <w:sz w:val="24"/>
                <w:szCs w:val="24"/>
              </w:rPr>
            </w:pPr>
            <w:r>
              <w:rPr>
                <w:rFonts w:hint="eastAsia" w:ascii="仿宋" w:eastAsia="仿宋" w:cs="仿宋"/>
                <w:color w:val="000000"/>
                <w:sz w:val="24"/>
                <w:szCs w:val="24"/>
              </w:rPr>
              <w:t>1.能够</w:t>
            </w:r>
            <w:r>
              <w:rPr>
                <w:rStyle w:val="106"/>
                <w:rFonts w:hint="eastAsia" w:ascii="仿宋" w:eastAsia="仿宋"/>
                <w:color w:val="000000"/>
                <w:sz w:val="24"/>
                <w:szCs w:val="24"/>
              </w:rPr>
              <w:t>在中学课外音乐活动中组织、编排乐团等社团活动，在艺术实践中引导学生做到崇德尚艺</w:t>
            </w:r>
            <w:r>
              <w:rPr>
                <w:rStyle w:val="106"/>
                <w:rFonts w:ascii="仿宋" w:eastAsia="仿宋"/>
                <w:color w:val="000000"/>
                <w:sz w:val="24"/>
                <w:szCs w:val="24"/>
              </w:rPr>
              <w:t>。</w:t>
            </w:r>
          </w:p>
          <w:p w14:paraId="6F72548C">
            <w:pPr>
              <w:adjustRightInd w:val="0"/>
              <w:snapToGrid w:val="0"/>
              <w:spacing w:line="240" w:lineRule="atLeast"/>
              <w:ind w:firstLine="480" w:firstLineChars="200"/>
              <w:rPr>
                <w:rFonts w:hint="eastAsia" w:ascii="仿宋" w:eastAsia="仿宋" w:cs="仿宋"/>
                <w:color w:val="000000"/>
                <w:sz w:val="24"/>
                <w:szCs w:val="24"/>
              </w:rPr>
            </w:pPr>
            <w:r>
              <w:rPr>
                <w:rFonts w:hint="eastAsia" w:ascii="仿宋" w:eastAsia="仿宋" w:cs="仿宋"/>
                <w:color w:val="000000"/>
                <w:sz w:val="24"/>
                <w:szCs w:val="24"/>
              </w:rPr>
              <w:t>2.能够就器乐合奏相关问题进行思考、表达和沟通。</w:t>
            </w:r>
          </w:p>
        </w:tc>
        <w:tc>
          <w:tcPr>
            <w:tcW w:w="924" w:type="dxa"/>
            <w:gridSpan w:val="2"/>
            <w:tcBorders>
              <w:top w:val="single" w:color="auto" w:sz="4" w:space="0"/>
              <w:left w:val="single" w:color="000000" w:sz="4" w:space="0"/>
              <w:bottom w:val="single" w:color="auto" w:sz="4" w:space="0"/>
              <w:right w:val="single" w:color="auto" w:sz="4" w:space="0"/>
            </w:tcBorders>
            <w:vAlign w:val="center"/>
          </w:tcPr>
          <w:p w14:paraId="012C68DD">
            <w:pPr>
              <w:adjustRightInd w:val="0"/>
              <w:snapToGrid w:val="0"/>
              <w:spacing w:line="240" w:lineRule="atLeast"/>
              <w:jc w:val="center"/>
              <w:rPr>
                <w:rFonts w:ascii="仿宋" w:eastAsia="仿宋" w:cs="仿宋"/>
                <w:color w:val="000000"/>
                <w:sz w:val="24"/>
                <w:szCs w:val="24"/>
              </w:rPr>
            </w:pPr>
            <w:r>
              <w:rPr>
                <w:rFonts w:hint="eastAsia" w:ascii="仿宋" w:eastAsia="仿宋" w:cs="仿宋"/>
                <w:color w:val="000000"/>
                <w:sz w:val="24"/>
                <w:szCs w:val="24"/>
              </w:rPr>
              <w:t>1</w:t>
            </w:r>
          </w:p>
        </w:tc>
        <w:tc>
          <w:tcPr>
            <w:tcW w:w="924" w:type="dxa"/>
            <w:gridSpan w:val="2"/>
            <w:tcBorders>
              <w:top w:val="single" w:color="000000" w:sz="4" w:space="0"/>
              <w:left w:val="single" w:color="auto" w:sz="4" w:space="0"/>
              <w:bottom w:val="single" w:color="auto" w:sz="4" w:space="0"/>
              <w:right w:val="single" w:color="000000" w:sz="4" w:space="0"/>
            </w:tcBorders>
            <w:vAlign w:val="center"/>
          </w:tcPr>
          <w:p w14:paraId="18AE1131">
            <w:pPr>
              <w:adjustRightInd w:val="0"/>
              <w:snapToGrid w:val="0"/>
              <w:spacing w:line="240" w:lineRule="atLeast"/>
              <w:jc w:val="center"/>
              <w:rPr>
                <w:rFonts w:ascii="仿宋" w:eastAsia="仿宋" w:cs="仿宋"/>
                <w:color w:val="000000"/>
                <w:sz w:val="24"/>
                <w:szCs w:val="24"/>
              </w:rPr>
            </w:pPr>
            <w:r>
              <w:rPr>
                <w:rFonts w:hint="eastAsia" w:ascii="仿宋" w:eastAsia="仿宋" w:cs="仿宋"/>
                <w:color w:val="000000"/>
                <w:sz w:val="24"/>
                <w:szCs w:val="24"/>
              </w:rPr>
              <w:t>7</w:t>
            </w:r>
          </w:p>
        </w:tc>
        <w:tc>
          <w:tcPr>
            <w:tcW w:w="925" w:type="dxa"/>
            <w:gridSpan w:val="3"/>
            <w:tcBorders>
              <w:top w:val="single" w:color="000000" w:sz="4" w:space="0"/>
              <w:left w:val="single" w:color="000000" w:sz="4" w:space="0"/>
              <w:bottom w:val="single" w:color="auto" w:sz="4" w:space="0"/>
              <w:right w:val="single" w:color="000000" w:sz="4" w:space="0"/>
            </w:tcBorders>
            <w:vAlign w:val="center"/>
          </w:tcPr>
          <w:p w14:paraId="3F795197">
            <w:pPr>
              <w:adjustRightInd w:val="0"/>
              <w:snapToGrid w:val="0"/>
              <w:spacing w:line="240" w:lineRule="atLeast"/>
              <w:jc w:val="center"/>
              <w:rPr>
                <w:rFonts w:ascii="仿宋" w:eastAsia="仿宋" w:cs="仿宋"/>
                <w:color w:val="000000"/>
                <w:sz w:val="24"/>
                <w:szCs w:val="24"/>
              </w:rPr>
            </w:pPr>
            <w:r>
              <w:rPr>
                <w:rFonts w:hint="eastAsia" w:ascii="仿宋" w:eastAsia="仿宋" w:cs="仿宋"/>
                <w:color w:val="000000"/>
                <w:sz w:val="24"/>
                <w:szCs w:val="24"/>
              </w:rPr>
              <w:t>12</w:t>
            </w:r>
          </w:p>
        </w:tc>
        <w:tc>
          <w:tcPr>
            <w:tcW w:w="720" w:type="dxa"/>
            <w:tcBorders>
              <w:top w:val="single" w:color="000000" w:sz="4" w:space="0"/>
              <w:left w:val="single" w:color="000000" w:sz="4" w:space="0"/>
              <w:bottom w:val="single" w:color="auto" w:sz="4" w:space="0"/>
              <w:right w:val="single" w:color="auto" w:sz="4" w:space="0"/>
            </w:tcBorders>
            <w:vAlign w:val="center"/>
          </w:tcPr>
          <w:p w14:paraId="243E0CC3">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0.75</w:t>
            </w:r>
          </w:p>
        </w:tc>
      </w:tr>
      <w:tr w14:paraId="44149979">
        <w:trPr>
          <w:trHeight w:val="515" w:hRule="atLeast"/>
        </w:trPr>
        <w:tc>
          <w:tcPr>
            <w:tcW w:w="1376" w:type="dxa"/>
            <w:vMerge w:val="continue"/>
            <w:tcBorders>
              <w:top w:val="single" w:color="auto" w:sz="4" w:space="0"/>
              <w:left w:val="single" w:color="auto" w:sz="4" w:space="0"/>
              <w:bottom w:val="single" w:color="auto" w:sz="4" w:space="0"/>
              <w:right w:val="single" w:color="auto" w:sz="4" w:space="0"/>
            </w:tcBorders>
            <w:vAlign w:val="center"/>
          </w:tcPr>
          <w:p w14:paraId="4E9595AF"/>
        </w:tc>
        <w:tc>
          <w:tcPr>
            <w:tcW w:w="4279" w:type="dxa"/>
            <w:gridSpan w:val="6"/>
            <w:tcBorders>
              <w:top w:val="single" w:color="auto" w:sz="4" w:space="0"/>
              <w:left w:val="single" w:color="auto" w:sz="4" w:space="0"/>
              <w:bottom w:val="single" w:color="auto" w:sz="4" w:space="0"/>
              <w:right w:val="single" w:color="000000" w:sz="4" w:space="0"/>
            </w:tcBorders>
            <w:vAlign w:val="center"/>
          </w:tcPr>
          <w:p w14:paraId="6609D531">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总分</w:t>
            </w:r>
            <w:r>
              <w:rPr>
                <w:rFonts w:ascii="仿宋" w:eastAsia="仿宋" w:cs="仿宋"/>
                <w:color w:val="000000"/>
                <w:sz w:val="24"/>
                <w:szCs w:val="24"/>
              </w:rPr>
              <w:t>100</w:t>
            </w:r>
          </w:p>
        </w:tc>
        <w:tc>
          <w:tcPr>
            <w:tcW w:w="924" w:type="dxa"/>
            <w:gridSpan w:val="2"/>
            <w:tcBorders>
              <w:top w:val="single" w:color="auto" w:sz="4" w:space="0"/>
              <w:left w:val="single" w:color="000000" w:sz="4" w:space="0"/>
              <w:bottom w:val="single" w:color="auto" w:sz="4" w:space="0"/>
              <w:right w:val="single" w:color="auto" w:sz="4" w:space="0"/>
            </w:tcBorders>
            <w:vAlign w:val="center"/>
          </w:tcPr>
          <w:p w14:paraId="6F24ABAB">
            <w:pPr>
              <w:adjustRightInd w:val="0"/>
              <w:snapToGrid w:val="0"/>
              <w:spacing w:line="240" w:lineRule="atLeast"/>
              <w:jc w:val="center"/>
              <w:rPr>
                <w:rFonts w:ascii="仿宋" w:eastAsia="仿宋" w:cs="仿宋"/>
                <w:color w:val="000000"/>
                <w:sz w:val="24"/>
                <w:szCs w:val="24"/>
              </w:rPr>
            </w:pPr>
            <w:r>
              <w:rPr>
                <w:rFonts w:hint="eastAsia" w:ascii="仿宋" w:eastAsia="仿宋" w:cs="仿宋"/>
                <w:color w:val="000000"/>
                <w:sz w:val="24"/>
                <w:szCs w:val="24"/>
              </w:rPr>
              <w:t>5</w:t>
            </w:r>
          </w:p>
        </w:tc>
        <w:tc>
          <w:tcPr>
            <w:tcW w:w="924" w:type="dxa"/>
            <w:gridSpan w:val="2"/>
            <w:tcBorders>
              <w:top w:val="single" w:color="000000" w:sz="4" w:space="0"/>
              <w:left w:val="single" w:color="auto" w:sz="4" w:space="0"/>
              <w:bottom w:val="single" w:color="auto" w:sz="4" w:space="0"/>
              <w:right w:val="single" w:color="000000" w:sz="4" w:space="0"/>
            </w:tcBorders>
            <w:vAlign w:val="center"/>
          </w:tcPr>
          <w:p w14:paraId="3C389BAE">
            <w:pPr>
              <w:adjustRightInd w:val="0"/>
              <w:snapToGrid w:val="0"/>
              <w:spacing w:line="240" w:lineRule="atLeast"/>
              <w:jc w:val="center"/>
              <w:rPr>
                <w:rFonts w:ascii="仿宋" w:eastAsia="仿宋" w:cs="仿宋"/>
                <w:color w:val="000000"/>
                <w:sz w:val="24"/>
                <w:szCs w:val="24"/>
              </w:rPr>
            </w:pPr>
            <w:r>
              <w:rPr>
                <w:rFonts w:hint="eastAsia" w:ascii="仿宋" w:eastAsia="仿宋" w:cs="仿宋"/>
                <w:color w:val="000000"/>
                <w:sz w:val="24"/>
                <w:szCs w:val="24"/>
              </w:rPr>
              <w:t>35</w:t>
            </w:r>
          </w:p>
        </w:tc>
        <w:tc>
          <w:tcPr>
            <w:tcW w:w="925" w:type="dxa"/>
            <w:gridSpan w:val="3"/>
            <w:tcBorders>
              <w:top w:val="single" w:color="000000" w:sz="4" w:space="0"/>
              <w:left w:val="single" w:color="000000" w:sz="4" w:space="0"/>
              <w:bottom w:val="single" w:color="auto" w:sz="4" w:space="0"/>
              <w:right w:val="single" w:color="000000" w:sz="4" w:space="0"/>
            </w:tcBorders>
            <w:vAlign w:val="center"/>
          </w:tcPr>
          <w:p w14:paraId="36804CFD">
            <w:pPr>
              <w:adjustRightInd w:val="0"/>
              <w:snapToGrid w:val="0"/>
              <w:spacing w:line="240" w:lineRule="atLeast"/>
              <w:jc w:val="center"/>
              <w:rPr>
                <w:rFonts w:ascii="仿宋" w:eastAsia="仿宋" w:cs="仿宋"/>
                <w:color w:val="000000"/>
                <w:sz w:val="24"/>
                <w:szCs w:val="24"/>
              </w:rPr>
            </w:pPr>
            <w:r>
              <w:rPr>
                <w:rFonts w:hint="eastAsia" w:ascii="仿宋" w:eastAsia="仿宋" w:cs="仿宋"/>
                <w:color w:val="000000"/>
                <w:sz w:val="24"/>
                <w:szCs w:val="24"/>
              </w:rPr>
              <w:t>60</w:t>
            </w:r>
          </w:p>
        </w:tc>
        <w:tc>
          <w:tcPr>
            <w:tcW w:w="720" w:type="dxa"/>
            <w:tcBorders>
              <w:top w:val="single" w:color="000000" w:sz="4" w:space="0"/>
              <w:left w:val="single" w:color="000000" w:sz="4" w:space="0"/>
              <w:bottom w:val="single" w:color="auto" w:sz="4" w:space="0"/>
              <w:right w:val="single" w:color="auto" w:sz="4" w:space="0"/>
            </w:tcBorders>
            <w:vAlign w:val="center"/>
          </w:tcPr>
          <w:p w14:paraId="07B23F3E">
            <w:pPr>
              <w:adjustRightInd w:val="0"/>
              <w:snapToGrid w:val="0"/>
              <w:spacing w:line="240" w:lineRule="atLeast"/>
              <w:jc w:val="center"/>
              <w:rPr>
                <w:rFonts w:hint="eastAsia" w:ascii="仿宋" w:eastAsia="仿宋" w:cs="仿宋"/>
                <w:color w:val="000000"/>
                <w:sz w:val="24"/>
                <w:szCs w:val="24"/>
              </w:rPr>
            </w:pPr>
          </w:p>
        </w:tc>
      </w:tr>
      <w:tr w14:paraId="16CAC29F">
        <w:tc>
          <w:tcPr>
            <w:tcW w:w="1376" w:type="dxa"/>
            <w:tcBorders>
              <w:top w:val="single" w:color="auto" w:sz="4" w:space="0"/>
              <w:left w:val="single" w:color="auto" w:sz="4" w:space="0"/>
              <w:bottom w:val="single" w:color="auto" w:sz="4" w:space="0"/>
              <w:right w:val="single" w:color="auto" w:sz="4" w:space="0"/>
            </w:tcBorders>
            <w:vAlign w:val="center"/>
          </w:tcPr>
          <w:p w14:paraId="340383F5">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L</w:t>
            </w:r>
          </w:p>
          <w:p w14:paraId="7FDE5CB0">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学习建议</w:t>
            </w:r>
          </w:p>
        </w:tc>
        <w:tc>
          <w:tcPr>
            <w:tcW w:w="7772" w:type="dxa"/>
            <w:gridSpan w:val="14"/>
            <w:tcBorders>
              <w:top w:val="single" w:color="auto" w:sz="4" w:space="0"/>
              <w:left w:val="single" w:color="auto" w:sz="4" w:space="0"/>
              <w:bottom w:val="single" w:color="auto" w:sz="4" w:space="0"/>
              <w:right w:val="single" w:color="auto" w:sz="4" w:space="0"/>
            </w:tcBorders>
            <w:vAlign w:val="center"/>
          </w:tcPr>
          <w:p w14:paraId="3B39F9E0">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1.自主学习。建议学生通过预习教材，并通过网络、图书馆自主查阅课程中涉及的学习资源，独立规划自己的课程学习计划，充分发挥自身的学习能动性。</w:t>
            </w:r>
          </w:p>
          <w:p w14:paraId="7DAC4C89">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2.研究性学习。鼓励学生针对课程教学内容，尝试理论课结合实践课的教学方式，开展相关的合唱指挥进展和专题讲座，提高学生的学习兴趣，了解国内外最新合唱指挥知识，开阔学生的视野。</w:t>
            </w:r>
          </w:p>
        </w:tc>
      </w:tr>
      <w:tr w14:paraId="5DC5D051">
        <w:trPr>
          <w:trHeight w:val="454" w:hRule="atLeast"/>
        </w:trPr>
        <w:tc>
          <w:tcPr>
            <w:tcW w:w="1376" w:type="dxa"/>
            <w:tcBorders>
              <w:top w:val="single" w:color="auto" w:sz="4" w:space="0"/>
              <w:left w:val="single" w:color="auto" w:sz="4" w:space="0"/>
              <w:bottom w:val="single" w:color="auto" w:sz="4" w:space="0"/>
              <w:right w:val="single" w:color="auto" w:sz="4" w:space="0"/>
            </w:tcBorders>
            <w:vAlign w:val="center"/>
          </w:tcPr>
          <w:p w14:paraId="025D8761">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M</w:t>
            </w:r>
          </w:p>
          <w:p w14:paraId="30E56B22">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评分量表</w:t>
            </w:r>
          </w:p>
        </w:tc>
        <w:tc>
          <w:tcPr>
            <w:tcW w:w="7772" w:type="dxa"/>
            <w:gridSpan w:val="14"/>
            <w:tcBorders>
              <w:top w:val="single" w:color="auto" w:sz="4" w:space="0"/>
              <w:left w:val="single" w:color="auto" w:sz="4" w:space="0"/>
              <w:bottom w:val="single" w:color="auto" w:sz="4" w:space="0"/>
              <w:right w:val="single" w:color="auto" w:sz="4" w:space="0"/>
            </w:tcBorders>
            <w:vAlign w:val="center"/>
          </w:tcPr>
          <w:p w14:paraId="1EFC22A5">
            <w:pPr>
              <w:tabs>
                <w:tab w:val="left" w:pos="720"/>
              </w:tabs>
              <w:adjustRightInd w:val="0"/>
              <w:snapToGrid w:val="0"/>
              <w:rPr>
                <w:rFonts w:hint="eastAsia" w:ascii="仿宋" w:eastAsia="仿宋" w:cs="仿宋"/>
                <w:color w:val="000000"/>
                <w:kern w:val="0"/>
                <w:sz w:val="24"/>
                <w:szCs w:val="24"/>
              </w:rPr>
            </w:pPr>
            <w:r>
              <w:rPr>
                <w:rFonts w:hint="eastAsia" w:ascii="仿宋" w:eastAsia="仿宋" w:cs="仿宋"/>
                <w:color w:val="000000"/>
                <w:kern w:val="0"/>
                <w:sz w:val="24"/>
                <w:szCs w:val="24"/>
              </w:rPr>
              <w:t>《器乐合奏》课程目标评分量表见附表。</w:t>
            </w:r>
          </w:p>
        </w:tc>
      </w:tr>
      <w:tr w14:paraId="39025024">
        <w:trPr>
          <w:trHeight w:val="454" w:hRule="atLeast"/>
        </w:trPr>
        <w:tc>
          <w:tcPr>
            <w:tcW w:w="1376" w:type="dxa"/>
            <w:tcBorders>
              <w:top w:val="single" w:color="auto" w:sz="4" w:space="0"/>
              <w:left w:val="single" w:color="auto" w:sz="4" w:space="0"/>
              <w:bottom w:val="single" w:color="auto" w:sz="4" w:space="0"/>
              <w:right w:val="single" w:color="auto" w:sz="4" w:space="0"/>
            </w:tcBorders>
            <w:vAlign w:val="center"/>
          </w:tcPr>
          <w:p w14:paraId="45EF0CDE">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备注</w:t>
            </w:r>
          </w:p>
        </w:tc>
        <w:tc>
          <w:tcPr>
            <w:tcW w:w="7772" w:type="dxa"/>
            <w:gridSpan w:val="14"/>
            <w:tcBorders>
              <w:top w:val="single" w:color="auto" w:sz="4" w:space="0"/>
              <w:left w:val="single" w:color="auto" w:sz="4" w:space="0"/>
              <w:bottom w:val="single" w:color="auto" w:sz="4" w:space="0"/>
              <w:right w:val="single" w:color="auto" w:sz="4" w:space="0"/>
            </w:tcBorders>
            <w:vAlign w:val="center"/>
          </w:tcPr>
          <w:p w14:paraId="58F4C637">
            <w:pPr>
              <w:adjustRightInd w:val="0"/>
              <w:snapToGrid w:val="0"/>
              <w:rPr>
                <w:rFonts w:hint="eastAsia" w:ascii="仿宋" w:eastAsia="仿宋" w:cs="仿宋"/>
                <w:color w:val="000000"/>
                <w:kern w:val="0"/>
                <w:sz w:val="24"/>
                <w:szCs w:val="24"/>
              </w:rPr>
            </w:pPr>
            <w:r>
              <w:rPr>
                <w:rFonts w:hint="eastAsia" w:ascii="仿宋" w:eastAsia="仿宋" w:cs="仿宋"/>
                <w:color w:val="000000"/>
                <w:sz w:val="24"/>
                <w:szCs w:val="24"/>
              </w:rPr>
              <w:t>课程大纲A—M项由开课学院审批通过，任课教师不能自行更改。</w:t>
            </w:r>
          </w:p>
        </w:tc>
      </w:tr>
      <w:tr w14:paraId="2D8495FF">
        <w:trPr>
          <w:trHeight w:val="771" w:hRule="atLeast"/>
        </w:trPr>
        <w:tc>
          <w:tcPr>
            <w:tcW w:w="1376" w:type="dxa"/>
            <w:tcBorders>
              <w:top w:val="single" w:color="auto" w:sz="4" w:space="0"/>
              <w:left w:val="single" w:color="auto" w:sz="4" w:space="0"/>
              <w:bottom w:val="single" w:color="auto" w:sz="4" w:space="0"/>
              <w:right w:val="single" w:color="auto" w:sz="4" w:space="0"/>
            </w:tcBorders>
            <w:vAlign w:val="center"/>
          </w:tcPr>
          <w:p w14:paraId="3C731B0C">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审批</w:t>
            </w:r>
          </w:p>
          <w:p w14:paraId="78D1841D">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意见</w:t>
            </w:r>
          </w:p>
        </w:tc>
        <w:tc>
          <w:tcPr>
            <w:tcW w:w="3869" w:type="dxa"/>
            <w:gridSpan w:val="5"/>
            <w:tcBorders>
              <w:top w:val="single" w:color="auto" w:sz="4" w:space="0"/>
              <w:left w:val="single" w:color="auto" w:sz="4" w:space="0"/>
              <w:bottom w:val="single" w:color="auto" w:sz="4" w:space="0"/>
              <w:right w:val="single" w:color="auto" w:sz="4" w:space="0"/>
            </w:tcBorders>
            <w:vAlign w:val="center"/>
          </w:tcPr>
          <w:p w14:paraId="6C31C5CC">
            <w:pPr>
              <w:widowControl/>
              <w:adjustRightInd w:val="0"/>
              <w:snapToGrid w:val="0"/>
              <w:jc w:val="left"/>
              <w:rPr>
                <w:rFonts w:hint="eastAsia" w:ascii="仿宋" w:eastAsia="仿宋" w:cs="仿宋"/>
                <w:kern w:val="0"/>
                <w:sz w:val="24"/>
                <w:szCs w:val="24"/>
              </w:rPr>
            </w:pPr>
            <w:r>
              <w:rPr>
                <w:rFonts w:hint="eastAsia" w:ascii="仿宋" w:eastAsia="仿宋" w:cs="仿宋"/>
                <w:kern w:val="0"/>
                <w:sz w:val="24"/>
                <w:szCs w:val="24"/>
              </w:rPr>
              <w:t>课程教学大纲修订负责人及教学团队成员</w:t>
            </w:r>
            <w:r>
              <w:rPr>
                <w:rFonts w:hint="eastAsia" w:ascii="仿宋" w:eastAsia="仿宋" w:cs="仿宋"/>
                <w:color w:val="000000"/>
                <w:sz w:val="24"/>
                <w:szCs w:val="24"/>
              </w:rPr>
              <w:t>签名</w:t>
            </w:r>
            <w:r>
              <w:rPr>
                <w:rFonts w:hint="eastAsia" w:ascii="仿宋" w:eastAsia="仿宋" w:cs="仿宋"/>
                <w:kern w:val="0"/>
                <w:sz w:val="24"/>
                <w:szCs w:val="24"/>
              </w:rPr>
              <w:t xml:space="preserve">：   </w:t>
            </w:r>
          </w:p>
          <w:p w14:paraId="7D9A995C">
            <w:pPr>
              <w:widowControl/>
              <w:adjustRightInd w:val="0"/>
              <w:snapToGrid w:val="0"/>
              <w:jc w:val="left"/>
              <w:rPr>
                <w:rFonts w:hint="eastAsia" w:ascii="仿宋" w:eastAsia="仿宋" w:cs="仿宋"/>
                <w:kern w:val="0"/>
                <w:sz w:val="24"/>
                <w:szCs w:val="24"/>
              </w:rPr>
            </w:pPr>
          </w:p>
          <w:p w14:paraId="1EBE67DF">
            <w:pPr>
              <w:widowControl/>
              <w:adjustRightInd w:val="0"/>
              <w:snapToGrid w:val="0"/>
              <w:jc w:val="left"/>
              <w:rPr>
                <w:rFonts w:hint="eastAsia" w:ascii="仿宋" w:eastAsia="仿宋" w:cs="仿宋"/>
                <w:kern w:val="0"/>
                <w:sz w:val="24"/>
                <w:szCs w:val="24"/>
              </w:rPr>
            </w:pPr>
          </w:p>
          <w:p w14:paraId="290D6816">
            <w:pPr>
              <w:widowControl/>
              <w:adjustRightInd w:val="0"/>
              <w:snapToGrid w:val="0"/>
              <w:jc w:val="left"/>
              <w:rPr>
                <w:rFonts w:hint="eastAsia" w:ascii="仿宋" w:eastAsia="仿宋" w:cs="仿宋"/>
                <w:kern w:val="0"/>
                <w:sz w:val="24"/>
                <w:szCs w:val="24"/>
              </w:rPr>
            </w:pPr>
          </w:p>
          <w:p w14:paraId="266C39EB">
            <w:pPr>
              <w:widowControl/>
              <w:adjustRightInd w:val="0"/>
              <w:snapToGrid w:val="0"/>
              <w:jc w:val="left"/>
              <w:rPr>
                <w:rFonts w:hint="eastAsia" w:ascii="仿宋" w:eastAsia="仿宋" w:cs="仿宋"/>
                <w:kern w:val="0"/>
                <w:sz w:val="24"/>
                <w:szCs w:val="24"/>
              </w:rPr>
            </w:pPr>
          </w:p>
          <w:p w14:paraId="4F237529">
            <w:pPr>
              <w:widowControl/>
              <w:adjustRightInd w:val="0"/>
              <w:snapToGrid w:val="0"/>
              <w:jc w:val="right"/>
              <w:rPr>
                <w:rFonts w:hint="eastAsia" w:ascii="仿宋" w:eastAsia="仿宋" w:cs="仿宋"/>
                <w:kern w:val="0"/>
                <w:sz w:val="24"/>
                <w:szCs w:val="24"/>
              </w:rPr>
            </w:pPr>
            <w:r>
              <w:rPr>
                <w:rFonts w:hint="eastAsia" w:ascii="仿宋" w:eastAsia="仿宋" w:cs="仿宋"/>
                <w:kern w:val="0"/>
                <w:sz w:val="24"/>
                <w:szCs w:val="24"/>
              </w:rPr>
              <w:t xml:space="preserve">                                                   年   月   日 </w:t>
            </w:r>
          </w:p>
          <w:p w14:paraId="759BE4BA">
            <w:pPr>
              <w:widowControl/>
              <w:adjustRightInd w:val="0"/>
              <w:snapToGrid w:val="0"/>
              <w:jc w:val="right"/>
              <w:rPr>
                <w:rFonts w:hint="eastAsia" w:ascii="仿宋" w:eastAsia="仿宋" w:cs="仿宋"/>
                <w:kern w:val="0"/>
                <w:sz w:val="24"/>
                <w:szCs w:val="24"/>
              </w:rPr>
            </w:pPr>
          </w:p>
        </w:tc>
        <w:tc>
          <w:tcPr>
            <w:tcW w:w="3903" w:type="dxa"/>
            <w:gridSpan w:val="9"/>
            <w:tcBorders>
              <w:top w:val="single" w:color="auto" w:sz="4" w:space="0"/>
              <w:left w:val="single" w:color="auto" w:sz="4" w:space="0"/>
              <w:bottom w:val="single" w:color="auto" w:sz="4" w:space="0"/>
              <w:right w:val="single" w:color="auto" w:sz="4" w:space="0"/>
            </w:tcBorders>
            <w:vAlign w:val="center"/>
          </w:tcPr>
          <w:p w14:paraId="47CBE885">
            <w:pPr>
              <w:widowControl/>
              <w:adjustRightInd w:val="0"/>
              <w:snapToGrid w:val="0"/>
              <w:jc w:val="left"/>
              <w:rPr>
                <w:rFonts w:hint="eastAsia" w:ascii="仿宋" w:eastAsia="仿宋" w:cs="仿宋"/>
                <w:kern w:val="0"/>
                <w:sz w:val="24"/>
                <w:szCs w:val="24"/>
              </w:rPr>
            </w:pPr>
            <w:r>
              <w:rPr>
                <w:rFonts w:hint="eastAsia" w:ascii="仿宋" w:eastAsia="仿宋" w:cs="仿宋"/>
                <w:kern w:val="0"/>
                <w:sz w:val="24"/>
                <w:szCs w:val="24"/>
              </w:rPr>
              <w:t>系主任审核意见：</w:t>
            </w:r>
          </w:p>
          <w:p w14:paraId="26433B5A">
            <w:pPr>
              <w:widowControl/>
              <w:adjustRightInd w:val="0"/>
              <w:snapToGrid w:val="0"/>
              <w:jc w:val="left"/>
              <w:rPr>
                <w:rFonts w:hint="eastAsia" w:ascii="仿宋" w:eastAsia="仿宋" w:cs="仿宋"/>
                <w:kern w:val="0"/>
                <w:sz w:val="24"/>
                <w:szCs w:val="24"/>
              </w:rPr>
            </w:pPr>
          </w:p>
          <w:p w14:paraId="76582507">
            <w:pPr>
              <w:widowControl/>
              <w:adjustRightInd w:val="0"/>
              <w:snapToGrid w:val="0"/>
              <w:jc w:val="left"/>
              <w:rPr>
                <w:rFonts w:hint="eastAsia" w:ascii="仿宋" w:eastAsia="仿宋" w:cs="仿宋"/>
                <w:kern w:val="0"/>
                <w:sz w:val="24"/>
                <w:szCs w:val="24"/>
              </w:rPr>
            </w:pPr>
          </w:p>
          <w:p w14:paraId="5A2EBF23">
            <w:pPr>
              <w:widowControl/>
              <w:adjustRightInd w:val="0"/>
              <w:snapToGrid w:val="0"/>
              <w:jc w:val="left"/>
              <w:rPr>
                <w:rFonts w:hint="eastAsia" w:ascii="仿宋" w:eastAsia="仿宋" w:cs="仿宋"/>
                <w:kern w:val="0"/>
                <w:sz w:val="24"/>
                <w:szCs w:val="24"/>
              </w:rPr>
            </w:pPr>
          </w:p>
          <w:p w14:paraId="6201AE15">
            <w:pPr>
              <w:widowControl/>
              <w:adjustRightInd w:val="0"/>
              <w:snapToGrid w:val="0"/>
              <w:jc w:val="left"/>
              <w:rPr>
                <w:rFonts w:hint="eastAsia" w:ascii="仿宋" w:eastAsia="仿宋" w:cs="仿宋"/>
                <w:kern w:val="0"/>
                <w:sz w:val="24"/>
                <w:szCs w:val="24"/>
              </w:rPr>
            </w:pPr>
          </w:p>
          <w:p w14:paraId="004516E4">
            <w:pPr>
              <w:widowControl/>
              <w:adjustRightInd w:val="0"/>
              <w:snapToGrid w:val="0"/>
              <w:jc w:val="left"/>
              <w:rPr>
                <w:rFonts w:hint="eastAsia" w:ascii="仿宋" w:eastAsia="仿宋" w:cs="仿宋"/>
                <w:kern w:val="0"/>
                <w:sz w:val="24"/>
                <w:szCs w:val="24"/>
              </w:rPr>
            </w:pPr>
            <w:r>
              <w:rPr>
                <w:rFonts w:hint="eastAsia" w:ascii="仿宋" w:eastAsia="仿宋" w:cs="仿宋"/>
                <w:kern w:val="0"/>
                <w:sz w:val="24"/>
                <w:szCs w:val="24"/>
              </w:rPr>
              <w:t>系主任签名：</w:t>
            </w:r>
          </w:p>
          <w:p w14:paraId="069BE3BD">
            <w:pPr>
              <w:widowControl/>
              <w:adjustRightInd w:val="0"/>
              <w:snapToGrid w:val="0"/>
              <w:jc w:val="right"/>
              <w:rPr>
                <w:rFonts w:hint="eastAsia" w:ascii="仿宋" w:eastAsia="仿宋" w:cs="仿宋"/>
                <w:kern w:val="0"/>
                <w:sz w:val="24"/>
                <w:szCs w:val="24"/>
              </w:rPr>
            </w:pPr>
          </w:p>
          <w:p w14:paraId="6C23B4AC">
            <w:pPr>
              <w:widowControl/>
              <w:adjustRightInd w:val="0"/>
              <w:snapToGrid w:val="0"/>
              <w:jc w:val="right"/>
              <w:rPr>
                <w:rFonts w:hint="eastAsia" w:ascii="仿宋" w:eastAsia="仿宋" w:cs="仿宋"/>
                <w:kern w:val="0"/>
                <w:sz w:val="24"/>
                <w:szCs w:val="24"/>
              </w:rPr>
            </w:pPr>
            <w:r>
              <w:rPr>
                <w:rFonts w:hint="eastAsia" w:ascii="仿宋" w:eastAsia="仿宋" w:cs="仿宋"/>
                <w:kern w:val="0"/>
                <w:sz w:val="24"/>
                <w:szCs w:val="24"/>
              </w:rPr>
              <w:t>年   月   日</w:t>
            </w:r>
          </w:p>
          <w:p w14:paraId="155FA3BC">
            <w:pPr>
              <w:widowControl/>
              <w:adjustRightInd w:val="0"/>
              <w:snapToGrid w:val="0"/>
              <w:jc w:val="right"/>
              <w:rPr>
                <w:rFonts w:hint="eastAsia" w:ascii="仿宋" w:eastAsia="仿宋" w:cs="仿宋"/>
                <w:kern w:val="0"/>
                <w:sz w:val="24"/>
                <w:szCs w:val="24"/>
              </w:rPr>
            </w:pPr>
          </w:p>
        </w:tc>
      </w:tr>
    </w:tbl>
    <w:p w14:paraId="132A6FAE">
      <w:pPr>
        <w:widowControl/>
        <w:spacing w:line="360" w:lineRule="auto"/>
        <w:ind w:right="480" w:firstLine="420" w:firstLineChars="200"/>
        <w:rPr>
          <w:rFonts w:hint="eastAsia" w:eastAsia="PMingLiU" w:cs="黑体"/>
          <w:lang w:eastAsia="zh-TW"/>
        </w:rPr>
      </w:pPr>
    </w:p>
    <w:p w14:paraId="52BCB0CA">
      <w:pPr>
        <w:spacing w:line="276" w:lineRule="auto"/>
        <w:jc w:val="center"/>
        <w:rPr>
          <w:rFonts w:hint="eastAsia" w:ascii="仿宋" w:eastAsia="仿宋" w:cs="黑体"/>
          <w:b/>
          <w:kern w:val="2"/>
          <w:sz w:val="28"/>
          <w:szCs w:val="28"/>
          <w:lang w:bidi="ar-SA"/>
        </w:rPr>
      </w:pPr>
      <w:r>
        <w:rPr>
          <w:rFonts w:hint="eastAsia" w:ascii="仿宋" w:eastAsia="仿宋" w:cs="仿宋"/>
          <w:b/>
          <w:kern w:val="2"/>
          <w:sz w:val="28"/>
          <w:szCs w:val="28"/>
          <w:lang w:bidi="ar-SA"/>
        </w:rPr>
        <w:t>附表：《器乐合奏》课程目标评分量表</w:t>
      </w:r>
    </w:p>
    <w:tbl>
      <w:tblPr>
        <w:tblStyle w:val="22"/>
        <w:tblW w:w="930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576"/>
        <w:gridCol w:w="1488"/>
        <w:gridCol w:w="1552"/>
        <w:gridCol w:w="1567"/>
        <w:gridCol w:w="1666"/>
        <w:gridCol w:w="1459"/>
      </w:tblGrid>
      <w:tr w14:paraId="634E0351">
        <w:trPr>
          <w:trHeight w:val="794" w:hRule="atLeast"/>
          <w:jc w:val="center"/>
        </w:trPr>
        <w:tc>
          <w:tcPr>
            <w:tcW w:w="1576" w:type="dxa"/>
            <w:tcBorders>
              <w:top w:val="single" w:color="000000" w:sz="4" w:space="0"/>
              <w:left w:val="single" w:color="000000" w:sz="4" w:space="0"/>
              <w:bottom w:val="single" w:color="000000" w:sz="4" w:space="0"/>
              <w:right w:val="single" w:color="000000" w:sz="4" w:space="0"/>
            </w:tcBorders>
            <w:vAlign w:val="center"/>
          </w:tcPr>
          <w:p w14:paraId="52F78244">
            <w:pPr>
              <w:tabs>
                <w:tab w:val="left" w:pos="720"/>
              </w:tabs>
              <w:spacing w:line="300" w:lineRule="exact"/>
              <w:jc w:val="center"/>
              <w:rPr>
                <w:rFonts w:hint="eastAsia" w:ascii="仿宋" w:eastAsia="仿宋" w:cs="仿宋"/>
                <w:b/>
                <w:kern w:val="2"/>
                <w:szCs w:val="21"/>
                <w:lang w:bidi="ar-SA"/>
              </w:rPr>
            </w:pPr>
            <w:r>
              <w:rPr>
                <w:rFonts w:hint="eastAsia" w:ascii="仿宋" w:eastAsia="仿宋" w:cs="仿宋"/>
                <w:b/>
                <w:kern w:val="2"/>
                <w:szCs w:val="21"/>
                <w:lang w:bidi="ar-SA"/>
              </w:rPr>
              <w:t>课程目标</w:t>
            </w:r>
          </w:p>
        </w:tc>
        <w:tc>
          <w:tcPr>
            <w:tcW w:w="1488" w:type="dxa"/>
            <w:tcBorders>
              <w:top w:val="single" w:color="000000" w:sz="4" w:space="0"/>
              <w:left w:val="single" w:color="000000" w:sz="4" w:space="0"/>
              <w:bottom w:val="single" w:color="000000" w:sz="4" w:space="0"/>
              <w:right w:val="single" w:color="000000" w:sz="4" w:space="0"/>
            </w:tcBorders>
            <w:vAlign w:val="center"/>
          </w:tcPr>
          <w:p w14:paraId="6E77ACBA">
            <w:pPr>
              <w:tabs>
                <w:tab w:val="left" w:pos="720"/>
              </w:tabs>
              <w:spacing w:line="300" w:lineRule="exact"/>
              <w:jc w:val="center"/>
              <w:rPr>
                <w:rFonts w:hint="eastAsia" w:ascii="仿宋" w:eastAsia="仿宋" w:cs="仿宋"/>
                <w:b/>
                <w:kern w:val="2"/>
                <w:szCs w:val="21"/>
                <w:lang w:bidi="ar-SA"/>
              </w:rPr>
            </w:pPr>
            <w:r>
              <w:rPr>
                <w:rFonts w:hint="eastAsia" w:ascii="仿宋" w:eastAsia="仿宋" w:cs="仿宋"/>
                <w:b/>
                <w:kern w:val="2"/>
                <w:szCs w:val="21"/>
                <w:lang w:bidi="ar-SA"/>
              </w:rPr>
              <w:t>优</w:t>
            </w:r>
          </w:p>
          <w:p w14:paraId="00DC5317">
            <w:pPr>
              <w:tabs>
                <w:tab w:val="left" w:pos="720"/>
              </w:tabs>
              <w:spacing w:line="300" w:lineRule="exact"/>
              <w:jc w:val="center"/>
              <w:rPr>
                <w:rFonts w:hint="eastAsia" w:ascii="仿宋" w:eastAsia="仿宋" w:cs="仿宋"/>
                <w:b/>
                <w:kern w:val="2"/>
                <w:szCs w:val="21"/>
                <w:lang w:bidi="ar-SA"/>
              </w:rPr>
            </w:pPr>
            <w:r>
              <w:rPr>
                <w:rFonts w:hint="eastAsia" w:ascii="仿宋" w:eastAsia="仿宋" w:cs="仿宋"/>
                <w:b/>
                <w:kern w:val="2"/>
                <w:szCs w:val="21"/>
                <w:lang w:bidi="ar-SA"/>
              </w:rPr>
              <w:t>（X≧90）</w:t>
            </w:r>
          </w:p>
        </w:tc>
        <w:tc>
          <w:tcPr>
            <w:tcW w:w="1552" w:type="dxa"/>
            <w:tcBorders>
              <w:top w:val="single" w:color="000000" w:sz="4" w:space="0"/>
              <w:left w:val="single" w:color="000000" w:sz="4" w:space="0"/>
              <w:bottom w:val="single" w:color="000000" w:sz="4" w:space="0"/>
              <w:right w:val="single" w:color="000000" w:sz="4" w:space="0"/>
            </w:tcBorders>
            <w:vAlign w:val="center"/>
          </w:tcPr>
          <w:p w14:paraId="0695116D">
            <w:pPr>
              <w:tabs>
                <w:tab w:val="left" w:pos="720"/>
              </w:tabs>
              <w:spacing w:line="300" w:lineRule="exact"/>
              <w:jc w:val="center"/>
              <w:rPr>
                <w:rFonts w:hint="eastAsia" w:ascii="仿宋" w:eastAsia="仿宋" w:cs="仿宋"/>
                <w:b/>
                <w:kern w:val="2"/>
                <w:szCs w:val="21"/>
                <w:lang w:bidi="ar-SA"/>
              </w:rPr>
            </w:pPr>
            <w:r>
              <w:rPr>
                <w:rFonts w:hint="eastAsia" w:ascii="仿宋" w:eastAsia="仿宋" w:cs="仿宋"/>
                <w:b/>
                <w:kern w:val="2"/>
                <w:szCs w:val="21"/>
                <w:lang w:bidi="ar-SA"/>
              </w:rPr>
              <w:t>良</w:t>
            </w:r>
          </w:p>
          <w:p w14:paraId="5BE26E2A">
            <w:pPr>
              <w:tabs>
                <w:tab w:val="left" w:pos="720"/>
              </w:tabs>
              <w:spacing w:line="300" w:lineRule="exact"/>
              <w:jc w:val="center"/>
              <w:rPr>
                <w:rFonts w:hint="eastAsia" w:ascii="仿宋" w:eastAsia="仿宋" w:cs="仿宋"/>
                <w:b/>
                <w:kern w:val="2"/>
                <w:szCs w:val="21"/>
                <w:lang w:bidi="ar-SA"/>
              </w:rPr>
            </w:pPr>
            <w:r>
              <w:rPr>
                <w:rFonts w:hint="eastAsia" w:ascii="仿宋" w:eastAsia="仿宋" w:cs="仿宋"/>
                <w:b/>
                <w:kern w:val="2"/>
                <w:szCs w:val="21"/>
                <w:lang w:bidi="ar-SA"/>
              </w:rPr>
              <w:t>（80≦X＜90）</w:t>
            </w:r>
          </w:p>
        </w:tc>
        <w:tc>
          <w:tcPr>
            <w:tcW w:w="1567" w:type="dxa"/>
            <w:tcBorders>
              <w:top w:val="single" w:color="000000" w:sz="4" w:space="0"/>
              <w:left w:val="single" w:color="000000" w:sz="4" w:space="0"/>
              <w:bottom w:val="single" w:color="000000" w:sz="4" w:space="0"/>
              <w:right w:val="single" w:color="000000" w:sz="4" w:space="0"/>
            </w:tcBorders>
            <w:vAlign w:val="center"/>
          </w:tcPr>
          <w:p w14:paraId="6240B86B">
            <w:pPr>
              <w:tabs>
                <w:tab w:val="left" w:pos="720"/>
              </w:tabs>
              <w:spacing w:line="300" w:lineRule="exact"/>
              <w:jc w:val="center"/>
              <w:rPr>
                <w:rFonts w:hint="eastAsia" w:ascii="仿宋" w:eastAsia="仿宋" w:cs="仿宋"/>
                <w:b/>
                <w:kern w:val="2"/>
                <w:szCs w:val="21"/>
                <w:lang w:bidi="ar-SA"/>
              </w:rPr>
            </w:pPr>
            <w:r>
              <w:rPr>
                <w:rFonts w:hint="eastAsia" w:ascii="仿宋" w:eastAsia="仿宋" w:cs="仿宋"/>
                <w:b/>
                <w:kern w:val="2"/>
                <w:szCs w:val="21"/>
                <w:lang w:bidi="ar-SA"/>
              </w:rPr>
              <w:t>中</w:t>
            </w:r>
          </w:p>
          <w:p w14:paraId="1251A489">
            <w:pPr>
              <w:tabs>
                <w:tab w:val="left" w:pos="720"/>
              </w:tabs>
              <w:spacing w:line="300" w:lineRule="exact"/>
              <w:ind w:left="-93" w:right="-75" w:hanging="12"/>
              <w:jc w:val="center"/>
              <w:rPr>
                <w:rFonts w:hint="eastAsia" w:ascii="仿宋" w:eastAsia="仿宋" w:cs="仿宋"/>
                <w:b/>
                <w:kern w:val="2"/>
                <w:szCs w:val="21"/>
                <w:lang w:bidi="ar-SA"/>
              </w:rPr>
            </w:pPr>
            <w:r>
              <w:rPr>
                <w:rFonts w:hint="eastAsia" w:ascii="仿宋" w:eastAsia="仿宋" w:cs="仿宋"/>
                <w:b/>
                <w:kern w:val="2"/>
                <w:szCs w:val="21"/>
                <w:lang w:bidi="ar-SA"/>
              </w:rPr>
              <w:t>（70≦X＜80）</w:t>
            </w:r>
          </w:p>
        </w:tc>
        <w:tc>
          <w:tcPr>
            <w:tcW w:w="1666" w:type="dxa"/>
            <w:tcBorders>
              <w:top w:val="single" w:color="000000" w:sz="4" w:space="0"/>
              <w:left w:val="single" w:color="000000" w:sz="4" w:space="0"/>
              <w:bottom w:val="single" w:color="000000" w:sz="4" w:space="0"/>
              <w:right w:val="single" w:color="000000" w:sz="4" w:space="0"/>
            </w:tcBorders>
            <w:vAlign w:val="center"/>
          </w:tcPr>
          <w:p w14:paraId="02AE5ED6">
            <w:pPr>
              <w:tabs>
                <w:tab w:val="left" w:pos="720"/>
              </w:tabs>
              <w:spacing w:line="300" w:lineRule="exact"/>
              <w:jc w:val="center"/>
              <w:rPr>
                <w:rFonts w:hint="eastAsia" w:ascii="仿宋" w:eastAsia="仿宋" w:cs="仿宋"/>
                <w:b/>
                <w:kern w:val="2"/>
                <w:szCs w:val="21"/>
                <w:lang w:bidi="ar-SA"/>
              </w:rPr>
            </w:pPr>
            <w:r>
              <w:rPr>
                <w:rFonts w:hint="eastAsia" w:ascii="仿宋" w:eastAsia="仿宋" w:cs="仿宋"/>
                <w:b/>
                <w:kern w:val="2"/>
                <w:szCs w:val="21"/>
                <w:lang w:bidi="ar-SA"/>
              </w:rPr>
              <w:t>及格</w:t>
            </w:r>
          </w:p>
          <w:p w14:paraId="0174D6AB">
            <w:pPr>
              <w:tabs>
                <w:tab w:val="left" w:pos="720"/>
              </w:tabs>
              <w:spacing w:line="300" w:lineRule="exact"/>
              <w:ind w:left="-93" w:right="-75" w:hanging="12"/>
              <w:jc w:val="center"/>
              <w:rPr>
                <w:rFonts w:hint="eastAsia" w:ascii="仿宋" w:eastAsia="仿宋" w:cs="仿宋"/>
                <w:b/>
                <w:kern w:val="2"/>
                <w:szCs w:val="21"/>
                <w:lang w:bidi="ar-SA"/>
              </w:rPr>
            </w:pPr>
            <w:r>
              <w:rPr>
                <w:rFonts w:hint="eastAsia" w:ascii="仿宋" w:eastAsia="仿宋" w:cs="仿宋"/>
                <w:b/>
                <w:kern w:val="2"/>
                <w:szCs w:val="21"/>
                <w:lang w:bidi="ar-SA"/>
              </w:rPr>
              <w:t>（60≦X＜70）</w:t>
            </w:r>
          </w:p>
        </w:tc>
        <w:tc>
          <w:tcPr>
            <w:tcW w:w="1459" w:type="dxa"/>
            <w:tcBorders>
              <w:top w:val="single" w:color="000000" w:sz="4" w:space="0"/>
              <w:left w:val="single" w:color="000000" w:sz="4" w:space="0"/>
              <w:bottom w:val="single" w:color="000000" w:sz="4" w:space="0"/>
              <w:right w:val="single" w:color="000000" w:sz="4" w:space="0"/>
            </w:tcBorders>
            <w:vAlign w:val="center"/>
          </w:tcPr>
          <w:p w14:paraId="130B2EAE">
            <w:pPr>
              <w:tabs>
                <w:tab w:val="left" w:pos="720"/>
              </w:tabs>
              <w:spacing w:line="300" w:lineRule="exact"/>
              <w:jc w:val="center"/>
              <w:rPr>
                <w:rFonts w:hint="eastAsia" w:ascii="仿宋" w:eastAsia="仿宋" w:cs="仿宋"/>
                <w:b/>
                <w:kern w:val="2"/>
                <w:szCs w:val="21"/>
                <w:lang w:bidi="ar-SA"/>
              </w:rPr>
            </w:pPr>
            <w:r>
              <w:rPr>
                <w:rFonts w:hint="eastAsia" w:ascii="仿宋" w:eastAsia="仿宋" w:cs="仿宋"/>
                <w:b/>
                <w:kern w:val="2"/>
                <w:szCs w:val="21"/>
                <w:lang w:bidi="ar-SA"/>
              </w:rPr>
              <w:t>不及格</w:t>
            </w:r>
          </w:p>
          <w:p w14:paraId="49E56998">
            <w:pPr>
              <w:tabs>
                <w:tab w:val="left" w:pos="720"/>
              </w:tabs>
              <w:spacing w:line="300" w:lineRule="exact"/>
              <w:jc w:val="center"/>
              <w:rPr>
                <w:rFonts w:hint="eastAsia" w:ascii="仿宋" w:eastAsia="仿宋" w:cs="仿宋"/>
                <w:b/>
                <w:kern w:val="2"/>
                <w:szCs w:val="21"/>
                <w:lang w:bidi="ar-SA"/>
              </w:rPr>
            </w:pPr>
            <w:r>
              <w:rPr>
                <w:rFonts w:hint="eastAsia" w:ascii="仿宋" w:eastAsia="仿宋" w:cs="仿宋"/>
                <w:b/>
                <w:kern w:val="2"/>
                <w:szCs w:val="21"/>
                <w:lang w:bidi="ar-SA"/>
              </w:rPr>
              <w:t>（X＜60）</w:t>
            </w:r>
          </w:p>
        </w:tc>
      </w:tr>
      <w:tr w14:paraId="0D684482">
        <w:trPr>
          <w:trHeight w:val="794" w:hRule="atLeast"/>
          <w:jc w:val="center"/>
        </w:trPr>
        <w:tc>
          <w:tcPr>
            <w:tcW w:w="1576" w:type="dxa"/>
            <w:tcBorders>
              <w:top w:val="single" w:color="000000" w:sz="4" w:space="0"/>
              <w:left w:val="single" w:color="000000" w:sz="4" w:space="0"/>
              <w:bottom w:val="single" w:color="000000" w:sz="4" w:space="0"/>
              <w:right w:val="single" w:color="000000" w:sz="4" w:space="0"/>
            </w:tcBorders>
          </w:tcPr>
          <w:p w14:paraId="50DB27CE">
            <w:pPr>
              <w:widowControl/>
              <w:spacing w:line="300" w:lineRule="exact"/>
              <w:jc w:val="left"/>
              <w:rPr>
                <w:rFonts w:hint="eastAsia" w:ascii="楷体" w:eastAsia="楷体" w:cs="仿宋"/>
                <w:bCs/>
                <w:kern w:val="2"/>
                <w:szCs w:val="21"/>
                <w:lang w:bidi="ar-SA"/>
              </w:rPr>
            </w:pPr>
            <w:r>
              <w:rPr>
                <w:rFonts w:hint="eastAsia" w:ascii="楷体" w:eastAsia="楷体" w:cs="仿宋"/>
                <w:bCs/>
                <w:kern w:val="2"/>
                <w:szCs w:val="21"/>
                <w:lang w:bidi="ar-SA"/>
              </w:rPr>
              <w:t>课程目标1.</w:t>
            </w:r>
            <w:r>
              <w:rPr>
                <w:rFonts w:hint="eastAsia" w:ascii="楷体" w:eastAsia="楷体" w:cs="仿宋"/>
                <w:bCs/>
                <w:kern w:val="2"/>
                <w:szCs w:val="21"/>
                <w:lang w:bidi="ar-SA"/>
              </w:rPr>
              <w:tab/>
            </w:r>
          </w:p>
          <w:p w14:paraId="66550CC1">
            <w:pPr>
              <w:widowControl/>
              <w:spacing w:line="300" w:lineRule="exact"/>
              <w:jc w:val="left"/>
              <w:rPr>
                <w:rFonts w:hint="eastAsia" w:ascii="楷体" w:eastAsia="楷体" w:cs="仿宋"/>
                <w:bCs/>
                <w:kern w:val="2"/>
                <w:szCs w:val="21"/>
                <w:lang w:bidi="ar-SA"/>
              </w:rPr>
            </w:pPr>
            <w:r>
              <w:rPr>
                <w:rFonts w:hint="eastAsia" w:ascii="楷体" w:eastAsia="楷体" w:cs="仿宋"/>
                <w:bCs/>
                <w:kern w:val="2"/>
                <w:szCs w:val="21"/>
                <w:lang w:bidi="ar-SA"/>
              </w:rPr>
              <w:t>掌握基本的器乐合奏音乐租养与训练技巧，包括适应多种音乐风格和表现需要的音律感、音准感、声部谐和感、节奏感等方法，掌握器乐合奏指挥的基本拍式及要领，基本具备处理中外不同音乐风格作品的能力。</w:t>
            </w:r>
          </w:p>
        </w:tc>
        <w:tc>
          <w:tcPr>
            <w:tcW w:w="1488" w:type="dxa"/>
            <w:tcBorders>
              <w:top w:val="single" w:color="000000" w:sz="4" w:space="0"/>
              <w:left w:val="single" w:color="000000" w:sz="4" w:space="0"/>
              <w:bottom w:val="single" w:color="000000" w:sz="4" w:space="0"/>
              <w:right w:val="single" w:color="000000" w:sz="4" w:space="0"/>
            </w:tcBorders>
          </w:tcPr>
          <w:p w14:paraId="177B133C">
            <w:pPr>
              <w:widowControl/>
              <w:spacing w:line="300" w:lineRule="exact"/>
              <w:jc w:val="left"/>
              <w:rPr>
                <w:rFonts w:hint="eastAsia" w:ascii="楷体" w:eastAsia="楷体" w:cs="仿宋"/>
                <w:bCs/>
                <w:kern w:val="2"/>
                <w:szCs w:val="21"/>
                <w:lang w:bidi="ar-SA"/>
              </w:rPr>
            </w:pPr>
            <w:r>
              <w:rPr>
                <w:rFonts w:hint="eastAsia" w:ascii="楷体" w:eastAsia="楷体" w:cs="仿宋"/>
                <w:bCs/>
                <w:kern w:val="2"/>
                <w:szCs w:val="21"/>
                <w:lang w:bidi="ar-SA"/>
              </w:rPr>
              <w:t>能够扎实掌握器乐合奏的音乐素养与训练技巧，包括适应多种音乐风格和表现需要的音律感、音准感、声部谐和感、节奏感等方法，熟练掌握器乐合奏指挥的基本拍式及要领，能够独立具备处理中外不同音乐风格作品的能力。</w:t>
            </w:r>
          </w:p>
        </w:tc>
        <w:tc>
          <w:tcPr>
            <w:tcW w:w="1552" w:type="dxa"/>
            <w:tcBorders>
              <w:top w:val="single" w:color="000000" w:sz="4" w:space="0"/>
              <w:left w:val="single" w:color="000000" w:sz="4" w:space="0"/>
              <w:bottom w:val="single" w:color="000000" w:sz="4" w:space="0"/>
              <w:right w:val="single" w:color="000000" w:sz="4" w:space="0"/>
            </w:tcBorders>
          </w:tcPr>
          <w:p w14:paraId="70BE0E8E">
            <w:pPr>
              <w:widowControl/>
              <w:spacing w:line="300" w:lineRule="exact"/>
              <w:jc w:val="left"/>
              <w:rPr>
                <w:rFonts w:hint="eastAsia" w:ascii="楷体" w:eastAsia="楷体" w:cs="仿宋"/>
                <w:bCs/>
                <w:kern w:val="2"/>
                <w:szCs w:val="21"/>
                <w:lang w:bidi="ar-SA"/>
              </w:rPr>
            </w:pPr>
            <w:r>
              <w:rPr>
                <w:rFonts w:hint="eastAsia" w:ascii="楷体" w:eastAsia="楷体" w:cs="仿宋"/>
                <w:bCs/>
                <w:kern w:val="2"/>
                <w:szCs w:val="21"/>
                <w:lang w:bidi="ar-SA"/>
              </w:rPr>
              <w:t>能够较好掌握器乐合奏的音乐素养与训练技巧，包括适应多种音乐风格和表现需要的音律感、音准感、声部谐和感、节奏感等方法，较好掌握器乐合奏指挥的基本拍式及要领，较好具备处理中外不同音乐风格作品的能力。</w:t>
            </w:r>
          </w:p>
        </w:tc>
        <w:tc>
          <w:tcPr>
            <w:tcW w:w="1567" w:type="dxa"/>
            <w:tcBorders>
              <w:top w:val="single" w:color="000000" w:sz="4" w:space="0"/>
              <w:left w:val="single" w:color="000000" w:sz="4" w:space="0"/>
              <w:bottom w:val="single" w:color="000000" w:sz="4" w:space="0"/>
              <w:right w:val="single" w:color="000000" w:sz="4" w:space="0"/>
            </w:tcBorders>
          </w:tcPr>
          <w:p w14:paraId="1AECDEE2">
            <w:pPr>
              <w:widowControl/>
              <w:spacing w:line="300" w:lineRule="exact"/>
              <w:jc w:val="left"/>
              <w:rPr>
                <w:rFonts w:hint="eastAsia" w:ascii="楷体" w:eastAsia="楷体" w:cs="仿宋"/>
                <w:bCs/>
                <w:kern w:val="2"/>
                <w:szCs w:val="21"/>
                <w:lang w:bidi="ar-SA"/>
              </w:rPr>
            </w:pPr>
            <w:r>
              <w:rPr>
                <w:rFonts w:hint="eastAsia" w:ascii="楷体" w:eastAsia="楷体" w:cs="仿宋"/>
                <w:bCs/>
                <w:kern w:val="2"/>
                <w:szCs w:val="21"/>
                <w:lang w:bidi="ar-SA"/>
              </w:rPr>
              <w:t>能够掌握器乐合奏的音乐素养与训练技巧，包括适应多种音乐风格和表现需要的音律感、音准感、声部谐和感、节奏感等方法，熟练掌握器乐合奏指挥的基本拍式及要领，具备处理中外不同音乐风格作品的能力。</w:t>
            </w:r>
          </w:p>
        </w:tc>
        <w:tc>
          <w:tcPr>
            <w:tcW w:w="1666" w:type="dxa"/>
            <w:tcBorders>
              <w:top w:val="single" w:color="000000" w:sz="4" w:space="0"/>
              <w:left w:val="single" w:color="000000" w:sz="4" w:space="0"/>
              <w:bottom w:val="single" w:color="000000" w:sz="4" w:space="0"/>
              <w:right w:val="single" w:color="000000" w:sz="4" w:space="0"/>
            </w:tcBorders>
          </w:tcPr>
          <w:p w14:paraId="31AE5564">
            <w:pPr>
              <w:widowControl/>
              <w:spacing w:line="300" w:lineRule="exact"/>
              <w:jc w:val="left"/>
              <w:rPr>
                <w:rFonts w:hint="eastAsia" w:ascii="楷体" w:eastAsia="楷体" w:cs="仿宋"/>
                <w:bCs/>
                <w:kern w:val="2"/>
                <w:szCs w:val="21"/>
                <w:lang w:bidi="ar-SA"/>
              </w:rPr>
            </w:pPr>
            <w:r>
              <w:rPr>
                <w:rFonts w:hint="eastAsia" w:ascii="楷体" w:eastAsia="楷体" w:cs="仿宋"/>
                <w:bCs/>
                <w:kern w:val="2"/>
                <w:szCs w:val="21"/>
                <w:lang w:bidi="ar-SA"/>
              </w:rPr>
              <w:t>能够基本掌握器乐合奏的音乐素养与训练技巧，包括适应多种音乐风格和表现需要的音律感、音准感、声部谐和感、节奏感等方法，基本掌握器乐合奏指挥的基本拍式及要领，并基本具备处理中外不同音乐风格作品的能力。</w:t>
            </w:r>
          </w:p>
        </w:tc>
        <w:tc>
          <w:tcPr>
            <w:tcW w:w="1459" w:type="dxa"/>
            <w:tcBorders>
              <w:top w:val="single" w:color="000000" w:sz="4" w:space="0"/>
              <w:left w:val="single" w:color="000000" w:sz="4" w:space="0"/>
              <w:bottom w:val="single" w:color="000000" w:sz="4" w:space="0"/>
              <w:right w:val="single" w:color="000000" w:sz="4" w:space="0"/>
            </w:tcBorders>
          </w:tcPr>
          <w:p w14:paraId="66210AC7">
            <w:pPr>
              <w:widowControl/>
              <w:spacing w:line="300" w:lineRule="exact"/>
              <w:jc w:val="left"/>
              <w:rPr>
                <w:rFonts w:hint="eastAsia" w:ascii="楷体" w:eastAsia="楷体" w:cs="仿宋"/>
                <w:bCs/>
                <w:kern w:val="2"/>
                <w:szCs w:val="21"/>
                <w:lang w:bidi="ar-SA"/>
              </w:rPr>
            </w:pPr>
            <w:r>
              <w:rPr>
                <w:rFonts w:hint="eastAsia" w:ascii="楷体" w:eastAsia="楷体" w:cs="仿宋"/>
                <w:bCs/>
                <w:kern w:val="2"/>
                <w:szCs w:val="21"/>
                <w:lang w:bidi="ar-SA"/>
              </w:rPr>
              <w:t>未能掌握器乐合奏的音乐素养与训练技巧，包括适应多种音乐风格和表现需要的音律感、音准感、声部谐和感、节奏感等方法以及合奏指挥的基本拍式及要领，未能具备处理中外不同音乐风格作品的能力。</w:t>
            </w:r>
          </w:p>
        </w:tc>
      </w:tr>
      <w:tr w14:paraId="22FA2736">
        <w:trPr>
          <w:trHeight w:val="794" w:hRule="atLeast"/>
          <w:jc w:val="center"/>
        </w:trPr>
        <w:tc>
          <w:tcPr>
            <w:tcW w:w="1576" w:type="dxa"/>
            <w:tcBorders>
              <w:top w:val="single" w:color="000000" w:sz="4" w:space="0"/>
              <w:left w:val="single" w:color="000000" w:sz="4" w:space="0"/>
              <w:bottom w:val="single" w:color="000000" w:sz="4" w:space="0"/>
              <w:right w:val="single" w:color="000000" w:sz="4" w:space="0"/>
            </w:tcBorders>
          </w:tcPr>
          <w:p w14:paraId="0A10EF3F">
            <w:pPr>
              <w:widowControl/>
              <w:spacing w:line="300" w:lineRule="exact"/>
              <w:jc w:val="left"/>
              <w:rPr>
                <w:rFonts w:hint="eastAsia" w:ascii="楷体" w:eastAsia="楷体" w:cs="仿宋"/>
                <w:bCs/>
                <w:kern w:val="2"/>
                <w:szCs w:val="21"/>
                <w:lang w:bidi="ar-SA"/>
              </w:rPr>
            </w:pPr>
            <w:r>
              <w:rPr>
                <w:rFonts w:hint="eastAsia" w:ascii="楷体" w:eastAsia="楷体" w:cs="仿宋"/>
                <w:bCs/>
                <w:kern w:val="2"/>
                <w:szCs w:val="21"/>
                <w:lang w:bidi="ar-SA"/>
              </w:rPr>
              <w:t>课程目标2.</w:t>
            </w:r>
          </w:p>
          <w:p w14:paraId="4917983B">
            <w:pPr>
              <w:widowControl/>
              <w:spacing w:line="300" w:lineRule="exact"/>
              <w:jc w:val="left"/>
              <w:rPr>
                <w:rFonts w:hint="eastAsia" w:ascii="楷体" w:eastAsia="楷体" w:cs="仿宋"/>
                <w:bCs/>
                <w:kern w:val="2"/>
                <w:szCs w:val="21"/>
                <w:lang w:bidi="ar-SA"/>
              </w:rPr>
            </w:pPr>
            <w:r>
              <w:rPr>
                <w:rFonts w:hint="eastAsia" w:ascii="楷体" w:eastAsia="楷体" w:cs="仿宋"/>
                <w:bCs/>
                <w:kern w:val="2"/>
                <w:szCs w:val="21"/>
                <w:lang w:bidi="ar-SA"/>
              </w:rPr>
              <w:t>使学生在大量多声部的器乐合奏过程中培养合作能力，掌握乐队指挥与排练的技巧，以及强化实际演奏和合作意识。</w:t>
            </w:r>
          </w:p>
        </w:tc>
        <w:tc>
          <w:tcPr>
            <w:tcW w:w="1488" w:type="dxa"/>
            <w:tcBorders>
              <w:top w:val="single" w:color="000000" w:sz="4" w:space="0"/>
              <w:left w:val="single" w:color="000000" w:sz="4" w:space="0"/>
              <w:bottom w:val="single" w:color="000000" w:sz="4" w:space="0"/>
              <w:right w:val="single" w:color="000000" w:sz="4" w:space="0"/>
            </w:tcBorders>
          </w:tcPr>
          <w:p w14:paraId="44100D59">
            <w:pPr>
              <w:widowControl/>
              <w:spacing w:line="300" w:lineRule="exact"/>
              <w:jc w:val="left"/>
              <w:rPr>
                <w:rFonts w:hint="eastAsia" w:ascii="楷体" w:eastAsia="楷体" w:cs="仿宋"/>
                <w:bCs/>
                <w:kern w:val="2"/>
                <w:szCs w:val="21"/>
                <w:lang w:bidi="ar-SA"/>
              </w:rPr>
            </w:pPr>
            <w:r>
              <w:rPr>
                <w:rFonts w:hint="eastAsia" w:ascii="楷体" w:eastAsia="楷体" w:cs="仿宋"/>
                <w:bCs/>
                <w:kern w:val="2"/>
                <w:szCs w:val="21"/>
                <w:lang w:bidi="ar-SA"/>
              </w:rPr>
              <w:t>能够扎实掌握乐队指挥与排练的技巧，以及强化实际演奏和合作意识。</w:t>
            </w:r>
          </w:p>
        </w:tc>
        <w:tc>
          <w:tcPr>
            <w:tcW w:w="1552" w:type="dxa"/>
            <w:tcBorders>
              <w:top w:val="single" w:color="000000" w:sz="4" w:space="0"/>
              <w:left w:val="single" w:color="000000" w:sz="4" w:space="0"/>
              <w:bottom w:val="single" w:color="000000" w:sz="4" w:space="0"/>
              <w:right w:val="single" w:color="000000" w:sz="4" w:space="0"/>
            </w:tcBorders>
          </w:tcPr>
          <w:p w14:paraId="1FFBCF1C">
            <w:pPr>
              <w:widowControl/>
              <w:spacing w:line="300" w:lineRule="exact"/>
              <w:jc w:val="left"/>
              <w:rPr>
                <w:rFonts w:hint="eastAsia" w:ascii="楷体" w:eastAsia="楷体" w:cs="仿宋"/>
                <w:bCs/>
                <w:kern w:val="2"/>
                <w:szCs w:val="21"/>
                <w:lang w:bidi="ar-SA"/>
              </w:rPr>
            </w:pPr>
            <w:r>
              <w:rPr>
                <w:rFonts w:hint="eastAsia" w:ascii="楷体" w:eastAsia="楷体" w:cs="仿宋"/>
                <w:bCs/>
                <w:kern w:val="2"/>
                <w:szCs w:val="21"/>
                <w:lang w:bidi="ar-SA"/>
              </w:rPr>
              <w:t>能够较好掌握乐队指挥与排练的技巧，以及强化实际演奏和合作意识。</w:t>
            </w:r>
          </w:p>
        </w:tc>
        <w:tc>
          <w:tcPr>
            <w:tcW w:w="1567" w:type="dxa"/>
            <w:tcBorders>
              <w:top w:val="single" w:color="000000" w:sz="4" w:space="0"/>
              <w:left w:val="single" w:color="000000" w:sz="4" w:space="0"/>
              <w:bottom w:val="single" w:color="000000" w:sz="4" w:space="0"/>
              <w:right w:val="single" w:color="000000" w:sz="4" w:space="0"/>
            </w:tcBorders>
          </w:tcPr>
          <w:p w14:paraId="67C14763">
            <w:pPr>
              <w:widowControl/>
              <w:spacing w:line="300" w:lineRule="exact"/>
              <w:jc w:val="left"/>
              <w:rPr>
                <w:rFonts w:hint="eastAsia" w:ascii="楷体" w:eastAsia="楷体" w:cs="仿宋"/>
                <w:bCs/>
                <w:kern w:val="2"/>
                <w:szCs w:val="21"/>
                <w:lang w:bidi="ar-SA"/>
              </w:rPr>
            </w:pPr>
            <w:r>
              <w:rPr>
                <w:rFonts w:hint="eastAsia" w:ascii="楷体" w:eastAsia="楷体" w:cs="仿宋"/>
                <w:bCs/>
                <w:kern w:val="2"/>
                <w:szCs w:val="21"/>
                <w:lang w:bidi="ar-SA"/>
              </w:rPr>
              <w:t>能够掌握乐队指挥与排练的技巧，以及强化实际演奏和合作意识。</w:t>
            </w:r>
          </w:p>
        </w:tc>
        <w:tc>
          <w:tcPr>
            <w:tcW w:w="1666" w:type="dxa"/>
            <w:tcBorders>
              <w:top w:val="single" w:color="000000" w:sz="4" w:space="0"/>
              <w:left w:val="single" w:color="000000" w:sz="4" w:space="0"/>
              <w:bottom w:val="single" w:color="000000" w:sz="4" w:space="0"/>
              <w:right w:val="single" w:color="000000" w:sz="4" w:space="0"/>
            </w:tcBorders>
          </w:tcPr>
          <w:p w14:paraId="5403B91C">
            <w:pPr>
              <w:widowControl/>
              <w:spacing w:line="300" w:lineRule="exact"/>
              <w:jc w:val="left"/>
              <w:rPr>
                <w:rFonts w:hint="eastAsia" w:ascii="楷体" w:eastAsia="楷体" w:cs="仿宋"/>
                <w:bCs/>
                <w:kern w:val="2"/>
                <w:szCs w:val="21"/>
                <w:lang w:bidi="ar-SA"/>
              </w:rPr>
            </w:pPr>
            <w:r>
              <w:rPr>
                <w:rFonts w:hint="eastAsia" w:ascii="楷体" w:eastAsia="楷体" w:cs="仿宋"/>
                <w:bCs/>
                <w:kern w:val="2"/>
                <w:szCs w:val="21"/>
                <w:lang w:bidi="ar-SA"/>
              </w:rPr>
              <w:t>能够基本掌握乐队指挥与排练的技巧，以及强化实际演奏和合作意识。</w:t>
            </w:r>
          </w:p>
        </w:tc>
        <w:tc>
          <w:tcPr>
            <w:tcW w:w="1459" w:type="dxa"/>
            <w:tcBorders>
              <w:top w:val="single" w:color="000000" w:sz="4" w:space="0"/>
              <w:left w:val="single" w:color="000000" w:sz="4" w:space="0"/>
              <w:bottom w:val="single" w:color="000000" w:sz="4" w:space="0"/>
              <w:right w:val="single" w:color="000000" w:sz="4" w:space="0"/>
            </w:tcBorders>
          </w:tcPr>
          <w:p w14:paraId="5A4239D6">
            <w:pPr>
              <w:widowControl/>
              <w:spacing w:line="300" w:lineRule="exact"/>
              <w:jc w:val="left"/>
              <w:rPr>
                <w:rFonts w:hint="eastAsia" w:ascii="楷体" w:eastAsia="楷体" w:cs="仿宋"/>
                <w:bCs/>
                <w:kern w:val="2"/>
                <w:szCs w:val="21"/>
                <w:lang w:bidi="ar-SA"/>
              </w:rPr>
            </w:pPr>
            <w:r>
              <w:rPr>
                <w:rFonts w:hint="eastAsia" w:ascii="楷体" w:eastAsia="楷体" w:cs="仿宋"/>
                <w:bCs/>
                <w:kern w:val="2"/>
                <w:szCs w:val="21"/>
                <w:lang w:bidi="ar-SA"/>
              </w:rPr>
              <w:t>未能掌握乐队指挥与排练的技巧，以及强化实际演奏和合作意识。</w:t>
            </w:r>
          </w:p>
        </w:tc>
      </w:tr>
      <w:tr w14:paraId="44E012BE">
        <w:trPr>
          <w:trHeight w:val="794" w:hRule="atLeast"/>
          <w:jc w:val="center"/>
        </w:trPr>
        <w:tc>
          <w:tcPr>
            <w:tcW w:w="1576" w:type="dxa"/>
            <w:tcBorders>
              <w:top w:val="single" w:color="000000" w:sz="4" w:space="0"/>
              <w:left w:val="single" w:color="000000" w:sz="4" w:space="0"/>
              <w:bottom w:val="single" w:color="000000" w:sz="4" w:space="0"/>
              <w:right w:val="single" w:color="000000" w:sz="4" w:space="0"/>
            </w:tcBorders>
          </w:tcPr>
          <w:p w14:paraId="7E0BAC5F">
            <w:pPr>
              <w:widowControl/>
              <w:spacing w:line="300" w:lineRule="exact"/>
              <w:jc w:val="left"/>
              <w:rPr>
                <w:rFonts w:hint="eastAsia" w:ascii="楷体" w:eastAsia="楷体" w:cs="仿宋"/>
                <w:bCs/>
                <w:kern w:val="2"/>
                <w:szCs w:val="21"/>
                <w:lang w:bidi="ar-SA"/>
              </w:rPr>
            </w:pPr>
            <w:r>
              <w:rPr>
                <w:rFonts w:hint="eastAsia" w:ascii="楷体" w:eastAsia="楷体" w:cs="仿宋"/>
                <w:bCs/>
                <w:kern w:val="2"/>
                <w:szCs w:val="21"/>
                <w:lang w:bidi="ar-SA"/>
              </w:rPr>
              <w:t>课程目标3.</w:t>
            </w:r>
          </w:p>
          <w:p w14:paraId="0F7AA3F6">
            <w:pPr>
              <w:widowControl/>
              <w:spacing w:line="300" w:lineRule="exact"/>
              <w:jc w:val="left"/>
              <w:rPr>
                <w:rFonts w:hint="eastAsia" w:ascii="楷体" w:eastAsia="楷体" w:cs="仿宋"/>
                <w:bCs/>
                <w:kern w:val="2"/>
                <w:szCs w:val="21"/>
                <w:lang w:bidi="ar-SA"/>
              </w:rPr>
            </w:pPr>
            <w:r>
              <w:rPr>
                <w:rFonts w:hint="eastAsia" w:ascii="楷体" w:eastAsia="楷体" w:cs="仿宋"/>
                <w:bCs/>
                <w:kern w:val="2"/>
                <w:szCs w:val="21"/>
                <w:lang w:bidi="ar-SA"/>
              </w:rPr>
              <w:t>能够在中学课外音乐活动中组织、编排乐团等社团活动，在艺术实践中引导学生做到崇德尚艺。</w:t>
            </w:r>
          </w:p>
        </w:tc>
        <w:tc>
          <w:tcPr>
            <w:tcW w:w="1488" w:type="dxa"/>
            <w:tcBorders>
              <w:top w:val="single" w:color="000000" w:sz="4" w:space="0"/>
              <w:left w:val="single" w:color="000000" w:sz="4" w:space="0"/>
              <w:bottom w:val="single" w:color="000000" w:sz="4" w:space="0"/>
              <w:right w:val="single" w:color="000000" w:sz="4" w:space="0"/>
            </w:tcBorders>
          </w:tcPr>
          <w:p w14:paraId="2230B18C">
            <w:pPr>
              <w:widowControl/>
              <w:spacing w:line="300" w:lineRule="exact"/>
              <w:jc w:val="left"/>
              <w:rPr>
                <w:rFonts w:hint="eastAsia" w:ascii="楷体" w:eastAsia="楷体" w:cs="仿宋"/>
                <w:bCs/>
                <w:kern w:val="2"/>
                <w:szCs w:val="21"/>
                <w:lang w:bidi="ar-SA"/>
              </w:rPr>
            </w:pPr>
            <w:r>
              <w:rPr>
                <w:rFonts w:hint="eastAsia" w:ascii="楷体" w:eastAsia="楷体" w:cs="仿宋"/>
                <w:bCs/>
                <w:kern w:val="2"/>
                <w:szCs w:val="21"/>
                <w:lang w:bidi="ar-SA"/>
              </w:rPr>
              <w:t>能够扎实掌握在中学课外音乐活动中组织、编排乐团的技巧，以及引导学生做到崇德尚艺。</w:t>
            </w:r>
          </w:p>
        </w:tc>
        <w:tc>
          <w:tcPr>
            <w:tcW w:w="1552" w:type="dxa"/>
            <w:tcBorders>
              <w:top w:val="single" w:color="000000" w:sz="4" w:space="0"/>
              <w:left w:val="single" w:color="000000" w:sz="4" w:space="0"/>
              <w:bottom w:val="single" w:color="000000" w:sz="4" w:space="0"/>
              <w:right w:val="single" w:color="000000" w:sz="4" w:space="0"/>
            </w:tcBorders>
          </w:tcPr>
          <w:p w14:paraId="17B5E191">
            <w:pPr>
              <w:widowControl/>
              <w:spacing w:line="300" w:lineRule="exact"/>
              <w:jc w:val="left"/>
              <w:rPr>
                <w:rFonts w:hint="eastAsia" w:ascii="楷体" w:eastAsia="楷体" w:cs="仿宋"/>
                <w:bCs/>
                <w:kern w:val="2"/>
                <w:szCs w:val="21"/>
                <w:lang w:bidi="ar-SA"/>
              </w:rPr>
            </w:pPr>
            <w:r>
              <w:rPr>
                <w:rFonts w:hint="eastAsia" w:ascii="楷体" w:eastAsia="楷体" w:cs="仿宋"/>
                <w:bCs/>
                <w:kern w:val="2"/>
                <w:szCs w:val="21"/>
                <w:lang w:bidi="ar-SA"/>
              </w:rPr>
              <w:t>能够较好掌握在中学课外音乐活动中组织、编排乐团的技巧，以及引导学生做到崇德尚艺。</w:t>
            </w:r>
          </w:p>
        </w:tc>
        <w:tc>
          <w:tcPr>
            <w:tcW w:w="1567" w:type="dxa"/>
            <w:tcBorders>
              <w:top w:val="single" w:color="000000" w:sz="4" w:space="0"/>
              <w:left w:val="single" w:color="000000" w:sz="4" w:space="0"/>
              <w:bottom w:val="single" w:color="000000" w:sz="4" w:space="0"/>
              <w:right w:val="single" w:color="000000" w:sz="4" w:space="0"/>
            </w:tcBorders>
          </w:tcPr>
          <w:p w14:paraId="39BF4E3E">
            <w:pPr>
              <w:widowControl/>
              <w:spacing w:line="300" w:lineRule="exact"/>
              <w:jc w:val="left"/>
              <w:rPr>
                <w:rFonts w:hint="eastAsia" w:ascii="楷体" w:eastAsia="楷体" w:cs="仿宋"/>
                <w:bCs/>
                <w:kern w:val="2"/>
                <w:szCs w:val="21"/>
                <w:lang w:bidi="ar-SA"/>
              </w:rPr>
            </w:pPr>
            <w:r>
              <w:rPr>
                <w:rFonts w:hint="eastAsia" w:ascii="楷体" w:eastAsia="楷体" w:cs="仿宋"/>
                <w:bCs/>
                <w:kern w:val="2"/>
                <w:szCs w:val="21"/>
                <w:lang w:bidi="ar-SA"/>
              </w:rPr>
              <w:t>能够掌握在中学课外音乐活动中组织、编排乐团的技巧，以及引导学生做到崇德尚艺。</w:t>
            </w:r>
          </w:p>
        </w:tc>
        <w:tc>
          <w:tcPr>
            <w:tcW w:w="1666" w:type="dxa"/>
            <w:tcBorders>
              <w:top w:val="single" w:color="000000" w:sz="4" w:space="0"/>
              <w:left w:val="single" w:color="000000" w:sz="4" w:space="0"/>
              <w:bottom w:val="single" w:color="000000" w:sz="4" w:space="0"/>
              <w:right w:val="single" w:color="000000" w:sz="4" w:space="0"/>
            </w:tcBorders>
          </w:tcPr>
          <w:p w14:paraId="446BCDE3">
            <w:pPr>
              <w:widowControl/>
              <w:spacing w:line="300" w:lineRule="exact"/>
              <w:jc w:val="left"/>
              <w:rPr>
                <w:rFonts w:hint="eastAsia" w:ascii="楷体" w:eastAsia="楷体" w:cs="仿宋"/>
                <w:bCs/>
                <w:kern w:val="2"/>
                <w:szCs w:val="21"/>
                <w:lang w:bidi="ar-SA"/>
              </w:rPr>
            </w:pPr>
            <w:r>
              <w:rPr>
                <w:rFonts w:hint="eastAsia" w:ascii="楷体" w:eastAsia="楷体" w:cs="仿宋"/>
                <w:bCs/>
                <w:kern w:val="2"/>
                <w:szCs w:val="21"/>
                <w:lang w:bidi="ar-SA"/>
              </w:rPr>
              <w:t>能够基本掌握在中学课外音乐活动中组织、编排乐团的技巧，以及引导学生做到崇德尚艺。</w:t>
            </w:r>
          </w:p>
        </w:tc>
        <w:tc>
          <w:tcPr>
            <w:tcW w:w="1459" w:type="dxa"/>
            <w:tcBorders>
              <w:top w:val="single" w:color="000000" w:sz="4" w:space="0"/>
              <w:left w:val="single" w:color="000000" w:sz="4" w:space="0"/>
              <w:bottom w:val="single" w:color="000000" w:sz="4" w:space="0"/>
              <w:right w:val="single" w:color="000000" w:sz="4" w:space="0"/>
            </w:tcBorders>
          </w:tcPr>
          <w:p w14:paraId="1DCCF1EC">
            <w:pPr>
              <w:widowControl/>
              <w:spacing w:line="300" w:lineRule="exact"/>
              <w:jc w:val="left"/>
              <w:rPr>
                <w:rFonts w:hint="eastAsia" w:ascii="楷体" w:eastAsia="楷体" w:cs="仿宋"/>
                <w:bCs/>
                <w:kern w:val="2"/>
                <w:szCs w:val="21"/>
                <w:lang w:bidi="ar-SA"/>
              </w:rPr>
            </w:pPr>
            <w:r>
              <w:rPr>
                <w:rFonts w:hint="eastAsia" w:ascii="楷体" w:eastAsia="楷体" w:cs="仿宋"/>
                <w:bCs/>
                <w:kern w:val="2"/>
                <w:szCs w:val="21"/>
                <w:lang w:bidi="ar-SA"/>
              </w:rPr>
              <w:t>未能掌握在中学课外音乐活动中组织、编排乐团的技巧，以及引导学生做到崇德尚艺。</w:t>
            </w:r>
          </w:p>
        </w:tc>
      </w:tr>
    </w:tbl>
    <w:p w14:paraId="1F637BF6">
      <w:pPr>
        <w:rPr>
          <w:sz w:val="2"/>
          <w:szCs w:val="2"/>
        </w:rPr>
        <w:sectPr>
          <w:headerReference r:id="rId107" w:type="default"/>
          <w:footerReference r:id="rId108" w:type="default"/>
          <w:pgSz w:w="11906" w:h="16838"/>
          <w:pgMar w:top="1440" w:right="1800" w:bottom="1440" w:left="1800" w:header="851" w:footer="992" w:gutter="0"/>
          <w:cols w:space="425" w:num="1"/>
          <w:docGrid w:type="lines" w:linePitch="312" w:charSpace="0"/>
        </w:sectPr>
      </w:pPr>
    </w:p>
    <w:p w14:paraId="28387AD2">
      <w:pPr>
        <w:adjustRightInd w:val="0"/>
        <w:snapToGrid w:val="0"/>
        <w:jc w:val="center"/>
        <w:rPr>
          <w:rFonts w:hint="eastAsia" w:ascii="仿宋" w:hAnsi="仿宋" w:eastAsia="仿宋"/>
          <w:sz w:val="44"/>
          <w:szCs w:val="44"/>
        </w:rPr>
      </w:pPr>
      <w:r>
        <w:rPr>
          <w:rFonts w:hint="eastAsia" w:ascii="仿宋" w:hAnsi="仿宋" w:eastAsia="仿宋"/>
          <w:sz w:val="44"/>
          <w:szCs w:val="44"/>
        </w:rPr>
        <w:t>三明学院音乐学（音乐教育）专业</w:t>
      </w:r>
    </w:p>
    <w:p w14:paraId="097B5BF6">
      <w:pPr>
        <w:pStyle w:val="2"/>
        <w:pageBreakBefore w:val="0"/>
        <w:kinsoku/>
        <w:overflowPunct/>
        <w:topLinePunct w:val="0"/>
        <w:bidi w:val="0"/>
        <w:spacing w:before="0" w:beforeAutospacing="0" w:after="0" w:afterAutospacing="0" w:line="240" w:lineRule="auto"/>
        <w:jc w:val="center"/>
        <w:rPr>
          <w:rFonts w:hint="eastAsia" w:ascii="方正小标宋简体" w:hAnsi="方正小标宋简体" w:eastAsia="方正小标宋简体" w:cs="方正小标宋简体"/>
          <w:b w:val="0"/>
          <w:bCs w:val="0"/>
          <w:sz w:val="44"/>
          <w:szCs w:val="44"/>
          <w:lang w:val="en-US" w:eastAsia="zh-CN"/>
        </w:rPr>
      </w:pPr>
      <w:bookmarkStart w:id="200" w:name="_Toc1901849750"/>
      <w:bookmarkStart w:id="201" w:name="_Toc1422128319"/>
      <w:r>
        <w:rPr>
          <w:rFonts w:hint="eastAsia" w:ascii="方正小标宋简体" w:hAnsi="方正小标宋简体" w:eastAsia="方正小标宋简体" w:cs="方正小标宋简体"/>
          <w:b w:val="0"/>
          <w:bCs w:val="0"/>
          <w:sz w:val="44"/>
          <w:szCs w:val="44"/>
          <w:lang w:val="en-US" w:eastAsia="zh-CN"/>
        </w:rPr>
        <w:t>《小乐队编配》课程教学大纲</w:t>
      </w:r>
      <w:bookmarkEnd w:id="200"/>
      <w:bookmarkEnd w:id="201"/>
    </w:p>
    <w:p w14:paraId="1710FA7D">
      <w:pPr>
        <w:adjustRightInd w:val="0"/>
        <w:snapToGrid w:val="0"/>
        <w:jc w:val="center"/>
        <w:rPr>
          <w:rFonts w:hint="eastAsia" w:eastAsia="方正小标宋简体"/>
          <w:sz w:val="24"/>
          <w:szCs w:val="24"/>
        </w:rPr>
      </w:pPr>
    </w:p>
    <w:tbl>
      <w:tblPr>
        <w:tblStyle w:val="22"/>
        <w:tblW w:w="9503"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186"/>
        <w:gridCol w:w="1371"/>
        <w:gridCol w:w="135"/>
        <w:gridCol w:w="7"/>
        <w:gridCol w:w="1559"/>
        <w:gridCol w:w="425"/>
        <w:gridCol w:w="851"/>
        <w:gridCol w:w="1275"/>
        <w:gridCol w:w="1560"/>
        <w:gridCol w:w="328"/>
        <w:gridCol w:w="806"/>
      </w:tblGrid>
      <w:tr w14:paraId="6CC46513">
        <w:trPr>
          <w:trHeight w:val="1004" w:hRule="atLeast"/>
        </w:trPr>
        <w:tc>
          <w:tcPr>
            <w:tcW w:w="1186" w:type="dxa"/>
            <w:noWrap w:val="0"/>
            <w:vAlign w:val="center"/>
          </w:tcPr>
          <w:p w14:paraId="7715642E">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课程名称</w:t>
            </w:r>
          </w:p>
        </w:tc>
        <w:tc>
          <w:tcPr>
            <w:tcW w:w="3497" w:type="dxa"/>
            <w:gridSpan w:val="5"/>
            <w:noWrap w:val="0"/>
            <w:vAlign w:val="center"/>
          </w:tcPr>
          <w:p w14:paraId="1AB56837">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《小乐队编配》</w:t>
            </w:r>
          </w:p>
        </w:tc>
        <w:tc>
          <w:tcPr>
            <w:tcW w:w="2126" w:type="dxa"/>
            <w:gridSpan w:val="2"/>
            <w:noWrap w:val="0"/>
            <w:vAlign w:val="center"/>
          </w:tcPr>
          <w:p w14:paraId="1C98B769">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课程代码</w:t>
            </w:r>
          </w:p>
        </w:tc>
        <w:tc>
          <w:tcPr>
            <w:tcW w:w="2694" w:type="dxa"/>
            <w:gridSpan w:val="3"/>
            <w:noWrap w:val="0"/>
            <w:vAlign w:val="center"/>
          </w:tcPr>
          <w:p w14:paraId="16C7D2A9">
            <w:pPr>
              <w:adjustRightInd w:val="0"/>
              <w:snapToGrid w:val="0"/>
              <w:jc w:val="center"/>
              <w:rPr>
                <w:rFonts w:hint="eastAsia" w:ascii="仿宋" w:hAnsi="仿宋" w:eastAsia="仿宋" w:cs="仿宋"/>
                <w:sz w:val="24"/>
                <w:szCs w:val="24"/>
              </w:rPr>
            </w:pPr>
            <w:r>
              <w:rPr>
                <w:rFonts w:ascii="仿宋" w:hAnsi="仿宋" w:eastAsia="仿宋" w:cs="仿宋"/>
                <w:sz w:val="24"/>
                <w:szCs w:val="24"/>
              </w:rPr>
              <w:t>1212402603</w:t>
            </w:r>
          </w:p>
        </w:tc>
      </w:tr>
      <w:tr w14:paraId="01A51935">
        <w:trPr>
          <w:trHeight w:val="454" w:hRule="atLeast"/>
        </w:trPr>
        <w:tc>
          <w:tcPr>
            <w:tcW w:w="1186" w:type="dxa"/>
            <w:noWrap w:val="0"/>
            <w:vAlign w:val="center"/>
          </w:tcPr>
          <w:p w14:paraId="3EFCCC8B">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课程类型</w:t>
            </w:r>
          </w:p>
        </w:tc>
        <w:tc>
          <w:tcPr>
            <w:tcW w:w="8317" w:type="dxa"/>
            <w:gridSpan w:val="10"/>
            <w:noWrap w:val="0"/>
            <w:vAlign w:val="center"/>
          </w:tcPr>
          <w:p w14:paraId="2C6B5719">
            <w:pPr>
              <w:adjustRightInd w:val="0"/>
              <w:snapToGrid w:val="0"/>
              <w:jc w:val="left"/>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通识必修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通识选修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专业必修 </w:t>
            </w:r>
          </w:p>
          <w:p w14:paraId="5F829D47">
            <w:pPr>
              <w:adjustRightInd w:val="0"/>
              <w:snapToGrid w:val="0"/>
              <w:jc w:val="left"/>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专业选修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教师教育必修 </w:t>
            </w:r>
            <w:r>
              <w:rPr>
                <w:rFonts w:hint="eastAsia" w:ascii="仿宋" w:hAnsi="仿宋" w:eastAsia="仿宋" w:cs="仿宋"/>
                <w:sz w:val="24"/>
                <w:szCs w:val="24"/>
              </w:rPr>
              <w:sym w:font="Wingdings" w:char="00A8"/>
            </w:r>
            <w:r>
              <w:rPr>
                <w:rFonts w:hint="eastAsia" w:ascii="仿宋" w:hAnsi="仿宋" w:eastAsia="仿宋" w:cs="仿宋"/>
                <w:sz w:val="24"/>
                <w:szCs w:val="24"/>
              </w:rPr>
              <w:t>教师教育选修</w:t>
            </w:r>
          </w:p>
        </w:tc>
      </w:tr>
      <w:tr w14:paraId="7D17DBBC">
        <w:trPr>
          <w:trHeight w:val="406" w:hRule="atLeast"/>
        </w:trPr>
        <w:tc>
          <w:tcPr>
            <w:tcW w:w="1186" w:type="dxa"/>
            <w:noWrap w:val="0"/>
            <w:vAlign w:val="center"/>
          </w:tcPr>
          <w:p w14:paraId="0A4C6F88">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开课学期</w:t>
            </w:r>
          </w:p>
        </w:tc>
        <w:tc>
          <w:tcPr>
            <w:tcW w:w="1513" w:type="dxa"/>
            <w:gridSpan w:val="3"/>
            <w:noWrap w:val="0"/>
            <w:vAlign w:val="center"/>
          </w:tcPr>
          <w:p w14:paraId="26E4496A">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第6学期</w:t>
            </w:r>
          </w:p>
        </w:tc>
        <w:tc>
          <w:tcPr>
            <w:tcW w:w="1984" w:type="dxa"/>
            <w:gridSpan w:val="2"/>
            <w:noWrap w:val="0"/>
            <w:vAlign w:val="center"/>
          </w:tcPr>
          <w:p w14:paraId="6F3E8745">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学分</w:t>
            </w:r>
          </w:p>
        </w:tc>
        <w:tc>
          <w:tcPr>
            <w:tcW w:w="2126" w:type="dxa"/>
            <w:gridSpan w:val="2"/>
            <w:noWrap w:val="0"/>
            <w:vAlign w:val="center"/>
          </w:tcPr>
          <w:p w14:paraId="3BA01BBF">
            <w:pPr>
              <w:adjustRightInd w:val="0"/>
              <w:snapToGrid w:val="0"/>
              <w:jc w:val="center"/>
              <w:rPr>
                <w:rFonts w:hint="eastAsia" w:ascii="仿宋" w:hAnsi="仿宋" w:eastAsia="仿宋" w:cs="仿宋"/>
                <w:sz w:val="24"/>
                <w:szCs w:val="24"/>
              </w:rPr>
            </w:pPr>
            <w:r>
              <w:rPr>
                <w:rFonts w:ascii="仿宋" w:hAnsi="仿宋" w:eastAsia="仿宋" w:cs="仿宋"/>
                <w:sz w:val="24"/>
                <w:szCs w:val="24"/>
              </w:rPr>
              <w:t>2</w:t>
            </w:r>
          </w:p>
        </w:tc>
        <w:tc>
          <w:tcPr>
            <w:tcW w:w="1888" w:type="dxa"/>
            <w:gridSpan w:val="2"/>
            <w:noWrap w:val="0"/>
            <w:vAlign w:val="center"/>
          </w:tcPr>
          <w:p w14:paraId="0DDCE705">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课程负责人</w:t>
            </w:r>
          </w:p>
        </w:tc>
        <w:tc>
          <w:tcPr>
            <w:tcW w:w="806" w:type="dxa"/>
            <w:noWrap w:val="0"/>
            <w:vAlign w:val="center"/>
          </w:tcPr>
          <w:p w14:paraId="0A26AF3B">
            <w:pPr>
              <w:adjustRightInd w:val="0"/>
              <w:snapToGrid w:val="0"/>
              <w:jc w:val="center"/>
              <w:rPr>
                <w:rFonts w:ascii="仿宋" w:hAnsi="仿宋" w:eastAsia="仿宋" w:cs="仿宋"/>
                <w:sz w:val="24"/>
                <w:szCs w:val="24"/>
              </w:rPr>
            </w:pPr>
            <w:r>
              <w:rPr>
                <w:rFonts w:hint="eastAsia" w:ascii="仿宋" w:hAnsi="仿宋" w:eastAsia="仿宋" w:cs="仿宋"/>
                <w:sz w:val="24"/>
                <w:szCs w:val="24"/>
              </w:rPr>
              <w:t>林心河</w:t>
            </w:r>
          </w:p>
        </w:tc>
      </w:tr>
      <w:tr w14:paraId="602A55ED">
        <w:trPr>
          <w:trHeight w:val="485" w:hRule="atLeast"/>
        </w:trPr>
        <w:tc>
          <w:tcPr>
            <w:tcW w:w="1186" w:type="dxa"/>
            <w:noWrap w:val="0"/>
            <w:vAlign w:val="center"/>
          </w:tcPr>
          <w:p w14:paraId="5F78E977">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总学时</w:t>
            </w:r>
          </w:p>
        </w:tc>
        <w:tc>
          <w:tcPr>
            <w:tcW w:w="1513" w:type="dxa"/>
            <w:gridSpan w:val="3"/>
            <w:noWrap w:val="0"/>
            <w:vAlign w:val="center"/>
          </w:tcPr>
          <w:p w14:paraId="79A8BF9C">
            <w:pPr>
              <w:adjustRightInd w:val="0"/>
              <w:snapToGrid w:val="0"/>
              <w:jc w:val="center"/>
              <w:rPr>
                <w:rFonts w:hint="eastAsia" w:ascii="仿宋" w:hAnsi="仿宋" w:eastAsia="仿宋" w:cs="仿宋"/>
                <w:sz w:val="24"/>
                <w:szCs w:val="24"/>
              </w:rPr>
            </w:pPr>
            <w:r>
              <w:rPr>
                <w:rFonts w:ascii="仿宋" w:hAnsi="仿宋" w:eastAsia="仿宋" w:cs="仿宋"/>
                <w:sz w:val="24"/>
                <w:szCs w:val="24"/>
              </w:rPr>
              <w:t>32</w:t>
            </w:r>
          </w:p>
        </w:tc>
        <w:tc>
          <w:tcPr>
            <w:tcW w:w="1984" w:type="dxa"/>
            <w:gridSpan w:val="2"/>
            <w:noWrap w:val="0"/>
            <w:vAlign w:val="center"/>
          </w:tcPr>
          <w:p w14:paraId="7E556923">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理论学时</w:t>
            </w:r>
          </w:p>
        </w:tc>
        <w:tc>
          <w:tcPr>
            <w:tcW w:w="2126" w:type="dxa"/>
            <w:gridSpan w:val="2"/>
            <w:noWrap w:val="0"/>
            <w:vAlign w:val="center"/>
          </w:tcPr>
          <w:p w14:paraId="3B1C7502">
            <w:pPr>
              <w:adjustRightInd w:val="0"/>
              <w:snapToGrid w:val="0"/>
              <w:jc w:val="center"/>
              <w:rPr>
                <w:rFonts w:ascii="仿宋" w:hAnsi="仿宋" w:eastAsia="仿宋" w:cs="仿宋"/>
                <w:sz w:val="24"/>
                <w:szCs w:val="24"/>
              </w:rPr>
            </w:pPr>
            <w:r>
              <w:rPr>
                <w:rFonts w:ascii="仿宋" w:hAnsi="仿宋" w:eastAsia="仿宋" w:cs="仿宋"/>
                <w:sz w:val="24"/>
                <w:szCs w:val="24"/>
              </w:rPr>
              <w:t>16</w:t>
            </w:r>
          </w:p>
        </w:tc>
        <w:tc>
          <w:tcPr>
            <w:tcW w:w="1888" w:type="dxa"/>
            <w:gridSpan w:val="2"/>
            <w:tcBorders>
              <w:right w:val="single" w:color="000000" w:sz="4" w:space="0"/>
            </w:tcBorders>
            <w:noWrap w:val="0"/>
            <w:vAlign w:val="center"/>
          </w:tcPr>
          <w:p w14:paraId="3E168E22">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实践学时</w:t>
            </w:r>
          </w:p>
        </w:tc>
        <w:tc>
          <w:tcPr>
            <w:tcW w:w="806" w:type="dxa"/>
            <w:tcBorders>
              <w:left w:val="single" w:color="000000" w:sz="4" w:space="0"/>
            </w:tcBorders>
            <w:noWrap w:val="0"/>
            <w:vAlign w:val="center"/>
          </w:tcPr>
          <w:p w14:paraId="22FE6F49">
            <w:pPr>
              <w:adjustRightInd w:val="0"/>
              <w:snapToGrid w:val="0"/>
              <w:jc w:val="center"/>
              <w:rPr>
                <w:rFonts w:ascii="仿宋" w:hAnsi="仿宋" w:eastAsia="仿宋" w:cs="仿宋"/>
                <w:sz w:val="24"/>
                <w:szCs w:val="24"/>
              </w:rPr>
            </w:pPr>
            <w:r>
              <w:rPr>
                <w:rFonts w:ascii="仿宋" w:hAnsi="仿宋" w:eastAsia="仿宋" w:cs="仿宋"/>
                <w:sz w:val="24"/>
                <w:szCs w:val="24"/>
              </w:rPr>
              <w:t>16</w:t>
            </w:r>
          </w:p>
        </w:tc>
      </w:tr>
      <w:tr w14:paraId="08306174">
        <w:trPr>
          <w:trHeight w:val="454" w:hRule="atLeast"/>
        </w:trPr>
        <w:tc>
          <w:tcPr>
            <w:tcW w:w="1186" w:type="dxa"/>
            <w:noWrap w:val="0"/>
            <w:vAlign w:val="center"/>
          </w:tcPr>
          <w:p w14:paraId="4EB6986A">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先修课程与后续课程</w:t>
            </w:r>
          </w:p>
        </w:tc>
        <w:tc>
          <w:tcPr>
            <w:tcW w:w="8317" w:type="dxa"/>
            <w:gridSpan w:val="10"/>
            <w:noWrap w:val="0"/>
            <w:vAlign w:val="center"/>
          </w:tcPr>
          <w:p w14:paraId="5D8C7F87">
            <w:pPr>
              <w:tabs>
                <w:tab w:val="left" w:pos="720"/>
              </w:tabs>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先修课程：基本乐理、和声、</w:t>
            </w:r>
          </w:p>
          <w:p w14:paraId="37E3E1B3">
            <w:pPr>
              <w:tabs>
                <w:tab w:val="left" w:pos="720"/>
              </w:tabs>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后续课程：教育见习、教育实习</w:t>
            </w:r>
          </w:p>
        </w:tc>
      </w:tr>
      <w:tr w14:paraId="2B75B4A9">
        <w:trPr>
          <w:trHeight w:val="454" w:hRule="atLeast"/>
        </w:trPr>
        <w:tc>
          <w:tcPr>
            <w:tcW w:w="1186" w:type="dxa"/>
            <w:noWrap w:val="0"/>
            <w:vAlign w:val="center"/>
          </w:tcPr>
          <w:p w14:paraId="6BD31D82">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适用专业</w:t>
            </w:r>
          </w:p>
        </w:tc>
        <w:tc>
          <w:tcPr>
            <w:tcW w:w="8317" w:type="dxa"/>
            <w:gridSpan w:val="10"/>
            <w:noWrap w:val="0"/>
            <w:vAlign w:val="center"/>
          </w:tcPr>
          <w:p w14:paraId="304C6113">
            <w:pPr>
              <w:adjustRightInd w:val="0"/>
              <w:snapToGrid w:val="0"/>
              <w:jc w:val="center"/>
              <w:rPr>
                <w:rFonts w:hint="eastAsia" w:ascii="仿宋" w:hAnsi="仿宋" w:eastAsia="仿宋" w:cs="仿宋"/>
                <w:sz w:val="24"/>
                <w:szCs w:val="24"/>
              </w:rPr>
            </w:pPr>
            <w:r>
              <w:rPr>
                <w:rFonts w:ascii="仿宋" w:hAnsi="仿宋" w:eastAsia="仿宋" w:cs="仿宋"/>
                <w:sz w:val="24"/>
                <w:szCs w:val="24"/>
              </w:rPr>
              <w:t>音乐学</w:t>
            </w:r>
            <w:r>
              <w:rPr>
                <w:rFonts w:hint="eastAsia" w:ascii="仿宋" w:hAnsi="仿宋" w:eastAsia="仿宋" w:cs="仿宋"/>
                <w:sz w:val="24"/>
                <w:szCs w:val="24"/>
              </w:rPr>
              <w:t>专业</w:t>
            </w:r>
          </w:p>
        </w:tc>
      </w:tr>
      <w:tr w14:paraId="708D5557">
        <w:tc>
          <w:tcPr>
            <w:tcW w:w="1186" w:type="dxa"/>
            <w:tcBorders>
              <w:bottom w:val="single" w:color="auto" w:sz="4" w:space="0"/>
            </w:tcBorders>
            <w:noWrap w:val="0"/>
            <w:vAlign w:val="center"/>
          </w:tcPr>
          <w:p w14:paraId="7BA1FF91">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A</w:t>
            </w:r>
          </w:p>
          <w:p w14:paraId="5CD9242D">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参考教材</w:t>
            </w:r>
          </w:p>
        </w:tc>
        <w:tc>
          <w:tcPr>
            <w:tcW w:w="8317" w:type="dxa"/>
            <w:gridSpan w:val="10"/>
            <w:tcBorders>
              <w:bottom w:val="single" w:color="auto" w:sz="4" w:space="0"/>
            </w:tcBorders>
            <w:noWrap w:val="0"/>
            <w:vAlign w:val="center"/>
          </w:tcPr>
          <w:p w14:paraId="17488B5D">
            <w:pPr>
              <w:tabs>
                <w:tab w:val="left" w:pos="720"/>
              </w:tabs>
              <w:adjustRightInd w:val="0"/>
              <w:snapToGrid w:val="0"/>
              <w:jc w:val="left"/>
              <w:rPr>
                <w:rFonts w:ascii="仿宋" w:hAnsi="仿宋" w:eastAsia="仿宋" w:cs="仿宋"/>
                <w:sz w:val="24"/>
                <w:szCs w:val="24"/>
              </w:rPr>
            </w:pPr>
            <w:r>
              <w:rPr>
                <w:rFonts w:hint="eastAsia" w:ascii="仿宋" w:hAnsi="仿宋" w:eastAsia="仿宋" w:cs="仿宋"/>
                <w:sz w:val="24"/>
                <w:szCs w:val="24"/>
              </w:rPr>
              <w:t>[1]</w:t>
            </w:r>
            <w:r>
              <w:rPr>
                <w:rFonts w:hint="eastAsia"/>
              </w:rPr>
              <w:t xml:space="preserve"> </w:t>
            </w:r>
            <w:r>
              <w:rPr>
                <w:rFonts w:hint="eastAsia" w:ascii="仿宋" w:hAnsi="仿宋" w:eastAsia="仿宋" w:cs="仿宋"/>
                <w:sz w:val="24"/>
                <w:szCs w:val="24"/>
              </w:rPr>
              <w:t>阿德勒. 配器法教程[M]. 中央音乐学院出版社, 2010.</w:t>
            </w:r>
          </w:p>
          <w:p w14:paraId="56E375BF">
            <w:pPr>
              <w:tabs>
                <w:tab w:val="left" w:pos="720"/>
              </w:tabs>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[2]</w:t>
            </w:r>
            <w:r>
              <w:rPr>
                <w:rFonts w:hint="eastAsia"/>
              </w:rPr>
              <w:t xml:space="preserve"> </w:t>
            </w:r>
            <w:r>
              <w:rPr>
                <w:rFonts w:hint="eastAsia" w:ascii="仿宋" w:hAnsi="仿宋" w:eastAsia="仿宋" w:cs="仿宋"/>
                <w:sz w:val="24"/>
                <w:szCs w:val="24"/>
              </w:rPr>
              <w:t>朴东生. 中国民族管弦乐实用配器手册[M]. 人民音乐出版社, 2011.</w:t>
            </w:r>
          </w:p>
        </w:tc>
      </w:tr>
      <w:tr w14:paraId="15E218A1">
        <w:tc>
          <w:tcPr>
            <w:tcW w:w="1186" w:type="dxa"/>
            <w:tcBorders>
              <w:bottom w:val="single" w:color="auto" w:sz="4" w:space="0"/>
            </w:tcBorders>
            <w:noWrap w:val="0"/>
            <w:vAlign w:val="center"/>
          </w:tcPr>
          <w:p w14:paraId="7145E14F">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B</w:t>
            </w:r>
          </w:p>
          <w:p w14:paraId="4D0DB704">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主要参考书籍</w:t>
            </w:r>
          </w:p>
        </w:tc>
        <w:tc>
          <w:tcPr>
            <w:tcW w:w="8317" w:type="dxa"/>
            <w:gridSpan w:val="10"/>
            <w:tcBorders>
              <w:bottom w:val="single" w:color="auto" w:sz="4" w:space="0"/>
            </w:tcBorders>
            <w:noWrap w:val="0"/>
            <w:vAlign w:val="center"/>
          </w:tcPr>
          <w:p w14:paraId="0ED67034">
            <w:pPr>
              <w:tabs>
                <w:tab w:val="left" w:pos="720"/>
              </w:tabs>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[1] 戴宏威. 管弦乐配器法[M]. 中央音乐学院出版社, 2011.</w:t>
            </w:r>
          </w:p>
          <w:p w14:paraId="27C72ECB">
            <w:pPr>
              <w:tabs>
                <w:tab w:val="left" w:pos="720"/>
              </w:tabs>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[2]</w:t>
            </w:r>
            <w:r>
              <w:rPr>
                <w:rFonts w:ascii="仿宋" w:hAnsi="仿宋" w:eastAsia="仿宋" w:cs="仿宋"/>
                <w:sz w:val="24"/>
                <w:szCs w:val="24"/>
              </w:rPr>
              <w:t xml:space="preserve"> </w:t>
            </w:r>
            <w:r>
              <w:rPr>
                <w:rFonts w:hint="eastAsia" w:ascii="仿宋" w:hAnsi="仿宋" w:eastAsia="仿宋" w:cs="仿宋"/>
                <w:sz w:val="24"/>
                <w:szCs w:val="24"/>
              </w:rPr>
              <w:t>傅利民. 中国民族器乐配器教程[M]. 上海教育出版社, 2005.</w:t>
            </w:r>
          </w:p>
          <w:p w14:paraId="10A96DC6">
            <w:pPr>
              <w:tabs>
                <w:tab w:val="left" w:pos="720"/>
              </w:tabs>
              <w:adjustRightInd w:val="0"/>
              <w:snapToGrid w:val="0"/>
              <w:jc w:val="left"/>
              <w:rPr>
                <w:rFonts w:ascii="仿宋" w:hAnsi="仿宋" w:eastAsia="仿宋" w:cs="仿宋"/>
                <w:sz w:val="24"/>
                <w:szCs w:val="24"/>
              </w:rPr>
            </w:pPr>
            <w:r>
              <w:rPr>
                <w:rFonts w:hint="eastAsia" w:ascii="仿宋" w:hAnsi="仿宋" w:eastAsia="仿宋" w:cs="仿宋"/>
                <w:sz w:val="24"/>
                <w:szCs w:val="24"/>
              </w:rPr>
              <w:t>[3] 李云涛. 电声乐队配器基础教程[M]. 中国青年出版社, 1997.</w:t>
            </w:r>
          </w:p>
          <w:p w14:paraId="26F719DD">
            <w:pPr>
              <w:widowControl/>
              <w:jc w:val="left"/>
              <w:rPr>
                <w:rFonts w:hint="eastAsia"/>
                <w:kern w:val="0"/>
                <w:sz w:val="24"/>
                <w:szCs w:val="24"/>
              </w:rPr>
            </w:pPr>
            <w:r>
              <w:rPr>
                <w:rFonts w:hint="eastAsia" w:ascii="仿宋" w:hAnsi="仿宋" w:eastAsia="仿宋" w:cs="仿宋"/>
                <w:sz w:val="24"/>
                <w:szCs w:val="24"/>
              </w:rPr>
              <w:t>[</w:t>
            </w:r>
            <w:r>
              <w:rPr>
                <w:rFonts w:ascii="仿宋" w:hAnsi="仿宋" w:eastAsia="仿宋" w:cs="仿宋"/>
                <w:sz w:val="24"/>
                <w:szCs w:val="24"/>
              </w:rPr>
              <w:t>4</w:t>
            </w:r>
            <w:r>
              <w:rPr>
                <w:rFonts w:hint="eastAsia" w:ascii="仿宋" w:hAnsi="仿宋" w:eastAsia="仿宋" w:cs="仿宋"/>
                <w:sz w:val="24"/>
                <w:szCs w:val="24"/>
              </w:rPr>
              <w:t>]</w:t>
            </w:r>
            <w:r>
              <w:rPr>
                <w:rFonts w:ascii="仿宋" w:hAnsi="仿宋" w:eastAsia="仿宋" w:cs="仿宋"/>
                <w:sz w:val="24"/>
                <w:szCs w:val="24"/>
              </w:rPr>
              <w:t xml:space="preserve"> 赵德义. 小型乐队编配教程[M]. 湖南文艺出版社,2001.</w:t>
            </w:r>
          </w:p>
        </w:tc>
      </w:tr>
      <w:tr w14:paraId="656E4E6A">
        <w:trPr>
          <w:trHeight w:val="1084" w:hRule="atLeast"/>
        </w:trPr>
        <w:tc>
          <w:tcPr>
            <w:tcW w:w="1186" w:type="dxa"/>
            <w:tcBorders>
              <w:bottom w:val="single" w:color="auto" w:sz="4" w:space="0"/>
            </w:tcBorders>
            <w:noWrap w:val="0"/>
            <w:vAlign w:val="center"/>
          </w:tcPr>
          <w:p w14:paraId="599C166C">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C</w:t>
            </w:r>
          </w:p>
          <w:p w14:paraId="54FD392C">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线上学习资源</w:t>
            </w:r>
          </w:p>
        </w:tc>
        <w:tc>
          <w:tcPr>
            <w:tcW w:w="8317" w:type="dxa"/>
            <w:gridSpan w:val="10"/>
            <w:tcBorders>
              <w:bottom w:val="single" w:color="auto" w:sz="4" w:space="0"/>
            </w:tcBorders>
            <w:noWrap w:val="0"/>
            <w:vAlign w:val="center"/>
          </w:tcPr>
          <w:p w14:paraId="3623B47D">
            <w:pPr>
              <w:widowControl/>
              <w:jc w:val="left"/>
              <w:rPr>
                <w:rFonts w:ascii="仿宋" w:hAnsi="仿宋" w:eastAsia="仿宋" w:cs="仿宋"/>
                <w:sz w:val="24"/>
                <w:szCs w:val="24"/>
              </w:rPr>
            </w:pPr>
            <w:r>
              <w:rPr>
                <w:rFonts w:hint="eastAsia" w:ascii="仿宋" w:hAnsi="仿宋" w:eastAsia="仿宋" w:cs="仿宋"/>
                <w:sz w:val="24"/>
                <w:szCs w:val="24"/>
              </w:rPr>
              <w:t>[</w:t>
            </w:r>
            <w:r>
              <w:rPr>
                <w:rFonts w:ascii="仿宋" w:hAnsi="仿宋" w:eastAsia="仿宋" w:cs="仿宋"/>
                <w:sz w:val="24"/>
                <w:szCs w:val="24"/>
              </w:rPr>
              <w:t>1]</w:t>
            </w:r>
            <w:r>
              <w:rPr>
                <w:rFonts w:hint="eastAsia" w:ascii="仿宋" w:hAnsi="仿宋" w:eastAsia="仿宋" w:cs="仿宋"/>
                <w:sz w:val="24"/>
                <w:szCs w:val="24"/>
              </w:rPr>
              <w:t xml:space="preserve"> </w:t>
            </w:r>
            <w:r>
              <w:rPr>
                <w:rFonts w:ascii="仿宋" w:hAnsi="仿宋" w:eastAsia="仿宋" w:cs="仿宋"/>
                <w:sz w:val="24"/>
                <w:szCs w:val="24"/>
              </w:rPr>
              <w:t>交响乐队乐器法与编配基础</w:t>
            </w:r>
            <w:r>
              <w:rPr>
                <w:rFonts w:hint="eastAsia" w:ascii="仿宋" w:hAnsi="仿宋" w:eastAsia="仿宋" w:cs="仿宋"/>
                <w:sz w:val="24"/>
                <w:szCs w:val="24"/>
              </w:rPr>
              <w:t>.</w:t>
            </w:r>
            <w:r>
              <w:rPr>
                <w:rFonts w:ascii="仿宋" w:hAnsi="仿宋" w:eastAsia="仿宋" w:cs="仿宋"/>
                <w:sz w:val="24"/>
                <w:szCs w:val="24"/>
              </w:rPr>
              <w:t xml:space="preserve"> </w:t>
            </w:r>
            <w:r>
              <w:rPr>
                <w:rFonts w:hint="eastAsia" w:ascii="仿宋" w:hAnsi="仿宋" w:eastAsia="仿宋" w:cs="仿宋"/>
                <w:sz w:val="24"/>
                <w:szCs w:val="24"/>
              </w:rPr>
              <w:t>四川音乐学院</w:t>
            </w:r>
            <w:r>
              <w:rPr>
                <w:rFonts w:ascii="仿宋" w:hAnsi="仿宋" w:eastAsia="仿宋" w:cs="仿宋"/>
                <w:sz w:val="24"/>
                <w:szCs w:val="24"/>
              </w:rPr>
              <w:t>MOOC.</w:t>
            </w:r>
          </w:p>
          <w:p w14:paraId="5E0CBBCA">
            <w:pPr>
              <w:tabs>
                <w:tab w:val="left" w:pos="720"/>
              </w:tabs>
              <w:adjustRightInd w:val="0"/>
              <w:snapToGrid w:val="0"/>
              <w:jc w:val="left"/>
              <w:rPr>
                <w:rFonts w:ascii="仿宋" w:hAnsi="仿宋" w:eastAsia="仿宋" w:cs="仿宋"/>
                <w:sz w:val="24"/>
                <w:szCs w:val="24"/>
              </w:rPr>
            </w:pPr>
            <w:r>
              <w:rPr>
                <w:rFonts w:ascii="仿宋" w:hAnsi="仿宋" w:eastAsia="仿宋" w:cs="仿宋"/>
                <w:sz w:val="24"/>
                <w:szCs w:val="24"/>
              </w:rPr>
              <w:t xml:space="preserve">[2] </w:t>
            </w:r>
            <w:r>
              <w:rPr>
                <w:rFonts w:hint="eastAsia" w:ascii="仿宋" w:hAnsi="仿宋" w:eastAsia="仿宋" w:cs="仿宋"/>
                <w:sz w:val="24"/>
                <w:szCs w:val="24"/>
              </w:rPr>
              <w:t>音乐人网.</w:t>
            </w:r>
          </w:p>
          <w:p w14:paraId="25BAEFCF">
            <w:pPr>
              <w:tabs>
                <w:tab w:val="left" w:pos="720"/>
              </w:tabs>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w:t>
            </w:r>
            <w:r>
              <w:rPr>
                <w:rFonts w:ascii="仿宋" w:hAnsi="仿宋" w:eastAsia="仿宋" w:cs="仿宋"/>
                <w:sz w:val="24"/>
                <w:szCs w:val="24"/>
              </w:rPr>
              <w:t xml:space="preserve">3] </w:t>
            </w:r>
            <w:r>
              <w:rPr>
                <w:rFonts w:hint="eastAsia" w:ascii="仿宋" w:hAnsi="仿宋" w:eastAsia="仿宋" w:cs="仿宋"/>
                <w:sz w:val="24"/>
                <w:szCs w:val="24"/>
              </w:rPr>
              <w:t>即兴音乐人公众号.</w:t>
            </w:r>
          </w:p>
        </w:tc>
      </w:tr>
      <w:tr w14:paraId="34786E86">
        <w:trPr>
          <w:trHeight w:val="90" w:hRule="atLeast"/>
        </w:trPr>
        <w:tc>
          <w:tcPr>
            <w:tcW w:w="1186" w:type="dxa"/>
            <w:shd w:val="clear" w:color="auto" w:fill="FFFFFF"/>
            <w:noWrap w:val="0"/>
            <w:vAlign w:val="center"/>
          </w:tcPr>
          <w:p w14:paraId="32925B15">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D</w:t>
            </w:r>
          </w:p>
          <w:p w14:paraId="5227651D">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课程描述</w:t>
            </w:r>
          </w:p>
          <w:p w14:paraId="48B1E928">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(含性质、地位和任务)</w:t>
            </w:r>
          </w:p>
        </w:tc>
        <w:tc>
          <w:tcPr>
            <w:tcW w:w="8317" w:type="dxa"/>
            <w:gridSpan w:val="10"/>
            <w:tcBorders>
              <w:bottom w:val="single" w:color="auto" w:sz="4" w:space="0"/>
            </w:tcBorders>
            <w:shd w:val="clear" w:color="auto" w:fill="FFFFFF"/>
            <w:noWrap w:val="0"/>
            <w:vAlign w:val="center"/>
          </w:tcPr>
          <w:p w14:paraId="58FD2A39">
            <w:pPr>
              <w:widowControl/>
              <w:adjustRightInd w:val="0"/>
              <w:snapToGrid w:val="0"/>
              <w:jc w:val="left"/>
              <w:rPr>
                <w:rFonts w:hint="eastAsia" w:ascii="仿宋" w:hAnsi="仿宋" w:eastAsia="仿宋" w:cs="仿宋"/>
                <w:color w:val="000000"/>
                <w:sz w:val="24"/>
                <w:szCs w:val="24"/>
              </w:rPr>
            </w:pPr>
            <w:r>
              <w:rPr>
                <w:rFonts w:hint="eastAsia" w:ascii="仿宋" w:hAnsi="仿宋" w:eastAsia="仿宋" w:cs="仿宋"/>
                <w:color w:val="000000"/>
                <w:sz w:val="24"/>
                <w:szCs w:val="24"/>
              </w:rPr>
              <w:t>配器课程是音乐学专业本科学生必修的专业基础课之一，是一门综合了乐理、和声、曲式等相关作曲技术理论的综合课程，也是理论课程中最具实践意义的高级学科。它不仅是从事专业音乐创作和理论研究所必须掌握的高级技术，也是音乐教育专业高年级学生将来从事教学和组织编排乐队所必备的基本技能。</w:t>
            </w:r>
          </w:p>
          <w:p w14:paraId="7110DCDE">
            <w:pPr>
              <w:widowControl/>
              <w:adjustRightInd w:val="0"/>
              <w:snapToGrid w:val="0"/>
              <w:jc w:val="left"/>
              <w:rPr>
                <w:rFonts w:ascii="仿宋" w:hAnsi="仿宋" w:eastAsia="仿宋" w:cs="仿宋"/>
                <w:color w:val="000000"/>
                <w:sz w:val="24"/>
                <w:szCs w:val="24"/>
              </w:rPr>
            </w:pPr>
            <w:r>
              <w:rPr>
                <w:rFonts w:hint="eastAsia" w:ascii="仿宋" w:hAnsi="仿宋" w:eastAsia="仿宋" w:cs="仿宋"/>
                <w:color w:val="000000"/>
                <w:sz w:val="24"/>
                <w:szCs w:val="24"/>
              </w:rPr>
              <w:t>本课程由乐器法(Instrumentation)和配器法(Orchestration)两部分组成，涵盖理论和实践内容。乐器法主要介绍管弦乐队中各乐器的构造发音、音域音区、音色特征、记谱方法和演奏技术等方面的知识，配器法则涵盖以弦乐组、木管组、铜管组和打击乐器为主的交响管弦乐、电声乐队和民乐队中各乐器之间的配合运用技术。</w:t>
            </w:r>
          </w:p>
        </w:tc>
      </w:tr>
      <w:tr w14:paraId="5EADDE8E">
        <w:trPr>
          <w:trHeight w:val="3400" w:hRule="atLeast"/>
        </w:trPr>
        <w:tc>
          <w:tcPr>
            <w:tcW w:w="1186" w:type="dxa"/>
            <w:vMerge w:val="restart"/>
            <w:shd w:val="clear" w:color="auto" w:fill="FFFFFF"/>
            <w:noWrap w:val="0"/>
            <w:vAlign w:val="center"/>
          </w:tcPr>
          <w:p w14:paraId="4FCA1372">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E</w:t>
            </w:r>
          </w:p>
          <w:p w14:paraId="6524CDD6">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课程学习目标及其与毕业要求的对应关系</w:t>
            </w:r>
          </w:p>
        </w:tc>
        <w:tc>
          <w:tcPr>
            <w:tcW w:w="8317" w:type="dxa"/>
            <w:gridSpan w:val="10"/>
            <w:tcBorders>
              <w:bottom w:val="single" w:color="auto" w:sz="4" w:space="0"/>
            </w:tcBorders>
            <w:shd w:val="clear" w:color="auto" w:fill="FFFFFF"/>
            <w:noWrap w:val="0"/>
            <w:vAlign w:val="center"/>
          </w:tcPr>
          <w:p w14:paraId="55822A4C">
            <w:pPr>
              <w:adjustRightInd w:val="0"/>
              <w:snapToGrid w:val="0"/>
              <w:jc w:val="left"/>
              <w:rPr>
                <w:rFonts w:hint="eastAsia" w:ascii="仿宋" w:hAnsi="仿宋" w:eastAsia="仿宋" w:cs="仿宋"/>
                <w:color w:val="000000"/>
                <w:sz w:val="24"/>
                <w:szCs w:val="24"/>
              </w:rPr>
            </w:pPr>
            <w:r>
              <w:rPr>
                <w:rFonts w:hint="eastAsia" w:ascii="仿宋" w:hAnsi="仿宋" w:eastAsia="仿宋" w:cs="仿宋"/>
                <w:color w:val="000000"/>
                <w:sz w:val="24"/>
                <w:szCs w:val="24"/>
              </w:rPr>
              <w:t>通过本课程的学习，学生具备如下知识、能力及情感态度价值观：</w:t>
            </w:r>
          </w:p>
          <w:p w14:paraId="61CFD0CC">
            <w:pPr>
              <w:widowControl/>
              <w:adjustRightInd w:val="0"/>
              <w:snapToGrid w:val="0"/>
              <w:jc w:val="left"/>
              <w:rPr>
                <w:rFonts w:hint="eastAsia" w:ascii="仿宋" w:hAnsi="仿宋" w:eastAsia="仿宋" w:cs="仿宋"/>
                <w:color w:val="000000"/>
                <w:sz w:val="24"/>
                <w:szCs w:val="24"/>
              </w:rPr>
            </w:pPr>
            <w:r>
              <w:rPr>
                <w:rFonts w:hint="eastAsia" w:ascii="仿宋" w:hAnsi="仿宋" w:eastAsia="仿宋" w:cs="仿宋"/>
                <w:b/>
                <w:bCs/>
                <w:color w:val="000000"/>
                <w:sz w:val="24"/>
                <w:szCs w:val="24"/>
              </w:rPr>
              <w:t>课程目标1：</w:t>
            </w:r>
            <w:r>
              <w:rPr>
                <w:rFonts w:hint="eastAsia" w:ascii="仿宋" w:hAnsi="仿宋" w:eastAsia="仿宋" w:cs="仿宋"/>
                <w:color w:val="000000"/>
                <w:sz w:val="24"/>
                <w:szCs w:val="24"/>
              </w:rPr>
              <w:t>初步学会小型乐队编配的基本理论与研究方法；描述乐器的种类与性能；归纳乐器在小型乐队编配中的作用。（支撑毕业要求</w:t>
            </w:r>
            <w:r>
              <w:rPr>
                <w:rFonts w:ascii="仿宋" w:hAnsi="仿宋" w:eastAsia="仿宋" w:cs="仿宋"/>
                <w:color w:val="000000"/>
                <w:sz w:val="24"/>
                <w:szCs w:val="24"/>
              </w:rPr>
              <w:t>3.2</w:t>
            </w:r>
            <w:r>
              <w:rPr>
                <w:rFonts w:hint="eastAsia" w:ascii="仿宋" w:hAnsi="仿宋" w:eastAsia="仿宋" w:cs="仿宋"/>
                <w:color w:val="000000"/>
                <w:sz w:val="24"/>
                <w:szCs w:val="24"/>
              </w:rPr>
              <w:t>）</w:t>
            </w:r>
          </w:p>
          <w:p w14:paraId="53239243">
            <w:pPr>
              <w:widowControl/>
              <w:adjustRightInd w:val="0"/>
              <w:snapToGrid w:val="0"/>
              <w:jc w:val="left"/>
              <w:rPr>
                <w:rFonts w:ascii="仿宋" w:hAnsi="仿宋" w:eastAsia="仿宋" w:cs="仿宋"/>
                <w:color w:val="000000"/>
                <w:sz w:val="24"/>
                <w:szCs w:val="24"/>
              </w:rPr>
            </w:pPr>
            <w:r>
              <w:rPr>
                <w:rFonts w:hint="eastAsia" w:ascii="仿宋" w:hAnsi="仿宋" w:eastAsia="仿宋" w:cs="仿宋"/>
                <w:b/>
                <w:bCs/>
                <w:color w:val="000000"/>
                <w:sz w:val="24"/>
                <w:szCs w:val="24"/>
              </w:rPr>
              <w:t>课程目标2：</w:t>
            </w:r>
            <w:r>
              <w:rPr>
                <w:rFonts w:hint="eastAsia" w:ascii="仿宋" w:hAnsi="仿宋" w:eastAsia="仿宋" w:cs="仿宋"/>
                <w:color w:val="000000"/>
                <w:sz w:val="24"/>
                <w:szCs w:val="24"/>
              </w:rPr>
              <w:t>编写小型乐队总谱；运用制谱软件和音序软件进行乐谱和音乐的简单制作；能够根据乐队实际情况制定编排方案。（支撑毕业要求</w:t>
            </w:r>
            <w:r>
              <w:rPr>
                <w:rFonts w:ascii="仿宋" w:hAnsi="仿宋" w:eastAsia="仿宋" w:cs="仿宋"/>
                <w:color w:val="000000"/>
                <w:sz w:val="24"/>
                <w:szCs w:val="24"/>
              </w:rPr>
              <w:t>4.2</w:t>
            </w:r>
            <w:r>
              <w:rPr>
                <w:rFonts w:hint="eastAsia" w:ascii="仿宋" w:hAnsi="仿宋" w:eastAsia="仿宋" w:cs="仿宋"/>
                <w:color w:val="000000"/>
                <w:sz w:val="24"/>
                <w:szCs w:val="24"/>
              </w:rPr>
              <w:t>）</w:t>
            </w:r>
          </w:p>
          <w:p w14:paraId="6BC4F155">
            <w:pPr>
              <w:widowControl/>
              <w:adjustRightInd w:val="0"/>
              <w:snapToGrid w:val="0"/>
              <w:jc w:val="left"/>
              <w:rPr>
                <w:rFonts w:hint="eastAsia" w:ascii="仿宋" w:hAnsi="仿宋" w:eastAsia="仿宋" w:cs="仿宋"/>
                <w:color w:val="FF0000"/>
                <w:sz w:val="24"/>
                <w:szCs w:val="24"/>
              </w:rPr>
            </w:pPr>
            <w:r>
              <w:rPr>
                <w:rFonts w:hint="eastAsia" w:ascii="仿宋" w:hAnsi="仿宋" w:eastAsia="仿宋" w:cs="仿宋"/>
                <w:b/>
                <w:bCs/>
                <w:color w:val="000000"/>
                <w:sz w:val="24"/>
                <w:szCs w:val="24"/>
              </w:rPr>
              <w:t>课程目标3：</w:t>
            </w:r>
            <w:r>
              <w:rPr>
                <w:rFonts w:hint="eastAsia" w:ascii="仿宋" w:hAnsi="仿宋" w:eastAsia="仿宋" w:cs="仿宋"/>
                <w:color w:val="000000"/>
                <w:sz w:val="24"/>
                <w:szCs w:val="24"/>
              </w:rPr>
              <w:t>创编和改编音乐作品；通过小组协作将创编和改编的音乐作品进行排练与表演。（支撑毕业要求8</w:t>
            </w:r>
            <w:r>
              <w:rPr>
                <w:rFonts w:ascii="仿宋" w:hAnsi="仿宋" w:eastAsia="仿宋" w:cs="仿宋"/>
                <w:color w:val="000000"/>
                <w:sz w:val="24"/>
                <w:szCs w:val="24"/>
              </w:rPr>
              <w:t>.2</w:t>
            </w:r>
            <w:r>
              <w:rPr>
                <w:rFonts w:hint="eastAsia" w:ascii="仿宋" w:hAnsi="仿宋" w:eastAsia="仿宋" w:cs="仿宋"/>
                <w:color w:val="000000"/>
                <w:sz w:val="24"/>
                <w:szCs w:val="24"/>
              </w:rPr>
              <w:t>）</w:t>
            </w:r>
          </w:p>
        </w:tc>
      </w:tr>
      <w:tr w14:paraId="6F2F72F7">
        <w:trPr>
          <w:trHeight w:val="642" w:hRule="atLeast"/>
        </w:trPr>
        <w:tc>
          <w:tcPr>
            <w:tcW w:w="1186" w:type="dxa"/>
            <w:vMerge w:val="continue"/>
            <w:shd w:val="clear" w:color="auto" w:fill="FFFFFF"/>
            <w:noWrap w:val="0"/>
            <w:vAlign w:val="center"/>
          </w:tcPr>
          <w:p w14:paraId="31443F6F">
            <w:pPr>
              <w:adjustRightInd w:val="0"/>
              <w:snapToGrid w:val="0"/>
              <w:jc w:val="center"/>
              <w:rPr>
                <w:rFonts w:hint="eastAsia" w:ascii="仿宋" w:hAnsi="仿宋" w:eastAsia="仿宋" w:cs="仿宋"/>
                <w:sz w:val="24"/>
                <w:szCs w:val="24"/>
              </w:rPr>
            </w:pPr>
          </w:p>
        </w:tc>
        <w:tc>
          <w:tcPr>
            <w:tcW w:w="1513" w:type="dxa"/>
            <w:gridSpan w:val="3"/>
            <w:tcBorders>
              <w:bottom w:val="single" w:color="auto" w:sz="4" w:space="0"/>
            </w:tcBorders>
            <w:shd w:val="clear" w:color="auto" w:fill="FFFFFF"/>
            <w:noWrap w:val="0"/>
            <w:vAlign w:val="center"/>
          </w:tcPr>
          <w:p w14:paraId="691E0EC8">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w:t>
            </w:r>
          </w:p>
        </w:tc>
        <w:tc>
          <w:tcPr>
            <w:tcW w:w="4110" w:type="dxa"/>
            <w:gridSpan w:val="4"/>
            <w:tcBorders>
              <w:bottom w:val="single" w:color="auto" w:sz="4" w:space="0"/>
            </w:tcBorders>
            <w:shd w:val="clear" w:color="auto" w:fill="FFFFFF"/>
            <w:noWrap w:val="0"/>
            <w:vAlign w:val="center"/>
          </w:tcPr>
          <w:p w14:paraId="2F68C450">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毕业要求分解指标点</w:t>
            </w:r>
          </w:p>
        </w:tc>
        <w:tc>
          <w:tcPr>
            <w:tcW w:w="2694" w:type="dxa"/>
            <w:gridSpan w:val="3"/>
            <w:tcBorders>
              <w:bottom w:val="single" w:color="auto" w:sz="4" w:space="0"/>
            </w:tcBorders>
            <w:shd w:val="clear" w:color="auto" w:fill="FFFFFF"/>
            <w:noWrap w:val="0"/>
            <w:vAlign w:val="center"/>
          </w:tcPr>
          <w:p w14:paraId="47880669">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毕业要求</w:t>
            </w:r>
          </w:p>
        </w:tc>
      </w:tr>
      <w:tr w14:paraId="5A0FAA63">
        <w:trPr>
          <w:trHeight w:val="2017" w:hRule="atLeast"/>
        </w:trPr>
        <w:tc>
          <w:tcPr>
            <w:tcW w:w="1186" w:type="dxa"/>
            <w:vMerge w:val="continue"/>
            <w:shd w:val="clear" w:color="auto" w:fill="FFFFFF"/>
            <w:noWrap w:val="0"/>
            <w:vAlign w:val="center"/>
          </w:tcPr>
          <w:p w14:paraId="43C5DE92">
            <w:pPr>
              <w:adjustRightInd w:val="0"/>
              <w:snapToGrid w:val="0"/>
              <w:jc w:val="center"/>
              <w:rPr>
                <w:rFonts w:hint="eastAsia" w:ascii="仿宋" w:hAnsi="仿宋" w:eastAsia="仿宋" w:cs="仿宋"/>
                <w:sz w:val="24"/>
                <w:szCs w:val="24"/>
              </w:rPr>
            </w:pPr>
          </w:p>
        </w:tc>
        <w:tc>
          <w:tcPr>
            <w:tcW w:w="1513" w:type="dxa"/>
            <w:gridSpan w:val="3"/>
            <w:tcBorders>
              <w:bottom w:val="single" w:color="auto" w:sz="4" w:space="0"/>
            </w:tcBorders>
            <w:shd w:val="clear" w:color="auto" w:fill="FFFFFF"/>
            <w:noWrap w:val="0"/>
            <w:vAlign w:val="center"/>
          </w:tcPr>
          <w:p w14:paraId="0362B20B">
            <w:pPr>
              <w:widowControl/>
              <w:adjustRightInd w:val="0"/>
              <w:snapToGrid w:val="0"/>
              <w:jc w:val="left"/>
              <w:rPr>
                <w:rFonts w:hint="eastAsia" w:ascii="仿宋" w:hAnsi="仿宋" w:eastAsia="仿宋" w:cs="仿宋"/>
                <w:color w:val="000000"/>
                <w:sz w:val="24"/>
                <w:szCs w:val="24"/>
              </w:rPr>
            </w:pPr>
            <w:r>
              <w:rPr>
                <w:rFonts w:hint="eastAsia" w:ascii="仿宋" w:hAnsi="仿宋" w:eastAsia="仿宋" w:cs="仿宋"/>
                <w:color w:val="000000"/>
                <w:sz w:val="24"/>
                <w:szCs w:val="24"/>
              </w:rPr>
              <w:t>课程目标1</w:t>
            </w:r>
          </w:p>
        </w:tc>
        <w:tc>
          <w:tcPr>
            <w:tcW w:w="4110" w:type="dxa"/>
            <w:gridSpan w:val="4"/>
            <w:shd w:val="clear" w:color="auto" w:fill="FFFFFF"/>
            <w:noWrap w:val="0"/>
            <w:vAlign w:val="center"/>
          </w:tcPr>
          <w:p w14:paraId="0EFBBDBB">
            <w:pPr>
              <w:widowControl/>
              <w:adjustRightInd w:val="0"/>
              <w:snapToGrid w:val="0"/>
              <w:jc w:val="left"/>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3.2【理论素养】掌握音乐理论的基本知识，了解中外音乐史的总体框架，理解音乐理论课程之间的相互关联，形成初步的音乐理论知识体系，能够综合运用音乐理论知识解决相关教学问题。 </w:t>
            </w:r>
          </w:p>
        </w:tc>
        <w:tc>
          <w:tcPr>
            <w:tcW w:w="2694" w:type="dxa"/>
            <w:gridSpan w:val="3"/>
            <w:shd w:val="clear" w:color="auto" w:fill="FFFFFF"/>
            <w:noWrap w:val="0"/>
            <w:vAlign w:val="center"/>
          </w:tcPr>
          <w:p w14:paraId="2F488B4C">
            <w:pPr>
              <w:widowControl/>
              <w:adjustRightInd w:val="0"/>
              <w:snapToGrid w:val="0"/>
              <w:jc w:val="left"/>
              <w:rPr>
                <w:rFonts w:hint="eastAsia" w:ascii="仿宋" w:hAnsi="仿宋" w:eastAsia="仿宋" w:cs="仿宋"/>
                <w:color w:val="000000"/>
                <w:sz w:val="24"/>
                <w:szCs w:val="24"/>
              </w:rPr>
            </w:pPr>
            <w:r>
              <w:rPr>
                <w:rFonts w:hint="eastAsia" w:ascii="仿宋" w:hAnsi="仿宋" w:eastAsia="仿宋" w:cs="仿宋"/>
                <w:color w:val="000000"/>
                <w:sz w:val="24"/>
                <w:szCs w:val="24"/>
              </w:rPr>
              <w:t>学科素养（H）</w:t>
            </w:r>
          </w:p>
        </w:tc>
      </w:tr>
      <w:tr w14:paraId="64105D0D">
        <w:trPr>
          <w:trHeight w:val="1697" w:hRule="atLeast"/>
        </w:trPr>
        <w:tc>
          <w:tcPr>
            <w:tcW w:w="1186" w:type="dxa"/>
            <w:vMerge w:val="continue"/>
            <w:shd w:val="clear" w:color="auto" w:fill="FFFFFF"/>
            <w:noWrap w:val="0"/>
            <w:vAlign w:val="center"/>
          </w:tcPr>
          <w:p w14:paraId="56CAFB34">
            <w:pPr>
              <w:adjustRightInd w:val="0"/>
              <w:snapToGrid w:val="0"/>
              <w:jc w:val="center"/>
              <w:rPr>
                <w:rFonts w:hint="eastAsia" w:ascii="仿宋" w:hAnsi="仿宋" w:eastAsia="仿宋" w:cs="仿宋"/>
                <w:sz w:val="24"/>
                <w:szCs w:val="24"/>
              </w:rPr>
            </w:pPr>
          </w:p>
        </w:tc>
        <w:tc>
          <w:tcPr>
            <w:tcW w:w="1513" w:type="dxa"/>
            <w:gridSpan w:val="3"/>
            <w:shd w:val="clear" w:color="auto" w:fill="FFFFFF"/>
            <w:noWrap w:val="0"/>
            <w:vAlign w:val="center"/>
          </w:tcPr>
          <w:p w14:paraId="3FD85789">
            <w:pPr>
              <w:widowControl/>
              <w:adjustRightInd w:val="0"/>
              <w:snapToGrid w:val="0"/>
              <w:jc w:val="left"/>
              <w:rPr>
                <w:rFonts w:hint="eastAsia" w:ascii="仿宋" w:hAnsi="仿宋" w:eastAsia="仿宋" w:cs="仿宋"/>
                <w:color w:val="000000"/>
                <w:sz w:val="24"/>
                <w:szCs w:val="24"/>
              </w:rPr>
            </w:pPr>
            <w:r>
              <w:rPr>
                <w:rFonts w:hint="eastAsia" w:ascii="仿宋" w:hAnsi="仿宋" w:eastAsia="仿宋" w:cs="仿宋"/>
                <w:color w:val="000000"/>
                <w:sz w:val="24"/>
                <w:szCs w:val="24"/>
              </w:rPr>
              <w:t>课程目标2</w:t>
            </w:r>
          </w:p>
        </w:tc>
        <w:tc>
          <w:tcPr>
            <w:tcW w:w="4110" w:type="dxa"/>
            <w:gridSpan w:val="4"/>
            <w:shd w:val="clear" w:color="auto" w:fill="FFFFFF"/>
            <w:noWrap w:val="0"/>
            <w:vAlign w:val="center"/>
          </w:tcPr>
          <w:p w14:paraId="4F06B77B">
            <w:pPr>
              <w:widowControl/>
              <w:adjustRightInd w:val="0"/>
              <w:snapToGrid w:val="0"/>
              <w:jc w:val="left"/>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4.2【活动策划与组织】能够合理有效组织课外音乐活动，指导和训练学生艺术团，能够进行校园文化艺术节的策划、组织、节目编排和指导工作。 </w:t>
            </w:r>
          </w:p>
        </w:tc>
        <w:tc>
          <w:tcPr>
            <w:tcW w:w="2694" w:type="dxa"/>
            <w:gridSpan w:val="3"/>
            <w:shd w:val="clear" w:color="auto" w:fill="FFFFFF"/>
            <w:noWrap w:val="0"/>
            <w:vAlign w:val="center"/>
          </w:tcPr>
          <w:p w14:paraId="6369BEE6">
            <w:pPr>
              <w:widowControl/>
              <w:adjustRightInd w:val="0"/>
              <w:snapToGrid w:val="0"/>
              <w:jc w:val="left"/>
              <w:rPr>
                <w:rFonts w:hint="eastAsia" w:ascii="仿宋" w:hAnsi="仿宋" w:eastAsia="仿宋" w:cs="仿宋"/>
                <w:color w:val="000000"/>
                <w:sz w:val="24"/>
                <w:szCs w:val="24"/>
              </w:rPr>
            </w:pPr>
            <w:r>
              <w:rPr>
                <w:rFonts w:hint="eastAsia" w:ascii="仿宋" w:hAnsi="仿宋" w:eastAsia="仿宋" w:cs="仿宋"/>
                <w:color w:val="000000"/>
                <w:sz w:val="24"/>
                <w:szCs w:val="24"/>
              </w:rPr>
              <w:t>教学能力（H）</w:t>
            </w:r>
          </w:p>
        </w:tc>
      </w:tr>
      <w:tr w14:paraId="7E030A60">
        <w:trPr>
          <w:trHeight w:val="1835" w:hRule="atLeast"/>
        </w:trPr>
        <w:tc>
          <w:tcPr>
            <w:tcW w:w="1186" w:type="dxa"/>
            <w:vMerge w:val="continue"/>
            <w:shd w:val="clear" w:color="auto" w:fill="FFFFFF"/>
            <w:noWrap w:val="0"/>
            <w:vAlign w:val="center"/>
          </w:tcPr>
          <w:p w14:paraId="51CA02D7">
            <w:pPr>
              <w:adjustRightInd w:val="0"/>
              <w:snapToGrid w:val="0"/>
              <w:jc w:val="center"/>
              <w:rPr>
                <w:rFonts w:hint="eastAsia" w:ascii="仿宋" w:hAnsi="仿宋" w:eastAsia="仿宋" w:cs="仿宋"/>
                <w:sz w:val="24"/>
                <w:szCs w:val="24"/>
              </w:rPr>
            </w:pPr>
          </w:p>
        </w:tc>
        <w:tc>
          <w:tcPr>
            <w:tcW w:w="1513" w:type="dxa"/>
            <w:gridSpan w:val="3"/>
            <w:shd w:val="clear" w:color="auto" w:fill="FFFFFF"/>
            <w:noWrap w:val="0"/>
            <w:vAlign w:val="center"/>
          </w:tcPr>
          <w:p w14:paraId="380838A0">
            <w:pPr>
              <w:widowControl/>
              <w:adjustRightInd w:val="0"/>
              <w:snapToGrid w:val="0"/>
              <w:jc w:val="left"/>
              <w:rPr>
                <w:rFonts w:hint="eastAsia" w:ascii="仿宋" w:hAnsi="仿宋" w:eastAsia="仿宋" w:cs="仿宋"/>
                <w:color w:val="000000"/>
                <w:sz w:val="24"/>
                <w:szCs w:val="24"/>
              </w:rPr>
            </w:pPr>
            <w:r>
              <w:rPr>
                <w:rFonts w:hint="eastAsia" w:ascii="仿宋" w:hAnsi="仿宋" w:eastAsia="仿宋" w:cs="仿宋"/>
                <w:color w:val="000000"/>
                <w:sz w:val="24"/>
                <w:szCs w:val="24"/>
              </w:rPr>
              <w:t>课程目标3</w:t>
            </w:r>
          </w:p>
        </w:tc>
        <w:tc>
          <w:tcPr>
            <w:tcW w:w="4110" w:type="dxa"/>
            <w:gridSpan w:val="4"/>
            <w:shd w:val="clear" w:color="auto" w:fill="FFFFFF"/>
            <w:noWrap w:val="0"/>
            <w:vAlign w:val="center"/>
          </w:tcPr>
          <w:p w14:paraId="100169E7">
            <w:pPr>
              <w:widowControl/>
              <w:adjustRightInd w:val="0"/>
              <w:snapToGrid w:val="0"/>
              <w:jc w:val="left"/>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8.2 【团队协作】理解学习共同体的作用，掌握团队协作的基本策略，在课程学习、教育实践、艺术实践等活动中，具有良好的团队协作精神。 </w:t>
            </w:r>
          </w:p>
        </w:tc>
        <w:tc>
          <w:tcPr>
            <w:tcW w:w="2694" w:type="dxa"/>
            <w:gridSpan w:val="3"/>
            <w:shd w:val="clear" w:color="auto" w:fill="FFFFFF"/>
            <w:noWrap w:val="0"/>
            <w:vAlign w:val="center"/>
          </w:tcPr>
          <w:p w14:paraId="27D6AD85">
            <w:pPr>
              <w:widowControl/>
              <w:adjustRightInd w:val="0"/>
              <w:snapToGrid w:val="0"/>
              <w:jc w:val="left"/>
              <w:rPr>
                <w:rFonts w:hint="eastAsia" w:ascii="仿宋" w:hAnsi="仿宋" w:eastAsia="仿宋" w:cs="仿宋"/>
                <w:color w:val="000000"/>
                <w:sz w:val="24"/>
                <w:szCs w:val="24"/>
              </w:rPr>
            </w:pPr>
            <w:r>
              <w:rPr>
                <w:rFonts w:hint="eastAsia" w:ascii="仿宋" w:hAnsi="仿宋" w:eastAsia="仿宋" w:cs="仿宋"/>
                <w:color w:val="000000"/>
                <w:sz w:val="24"/>
                <w:szCs w:val="24"/>
              </w:rPr>
              <w:t>沟通合作（L）</w:t>
            </w:r>
          </w:p>
        </w:tc>
      </w:tr>
      <w:tr w14:paraId="3AB4FC57">
        <w:trPr>
          <w:trHeight w:val="90" w:hRule="atLeast"/>
        </w:trPr>
        <w:tc>
          <w:tcPr>
            <w:tcW w:w="1186" w:type="dxa"/>
            <w:vMerge w:val="restart"/>
            <w:shd w:val="clear" w:color="auto" w:fill="FFFFFF"/>
            <w:noWrap w:val="0"/>
            <w:vAlign w:val="center"/>
          </w:tcPr>
          <w:p w14:paraId="75D47E9D">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F</w:t>
            </w:r>
          </w:p>
          <w:p w14:paraId="6AFECBA8">
            <w:pPr>
              <w:adjustRightInd w:val="0"/>
              <w:snapToGrid w:val="0"/>
              <w:jc w:val="center"/>
              <w:rPr>
                <w:rFonts w:hint="eastAsia" w:ascii="仿宋" w:hAnsi="仿宋" w:eastAsia="仿宋" w:cs="仿宋"/>
                <w:sz w:val="24"/>
                <w:szCs w:val="24"/>
              </w:rPr>
            </w:pPr>
            <w:r>
              <w:rPr>
                <w:rFonts w:hint="eastAsia" w:ascii="仿宋" w:hAnsi="仿宋" w:eastAsia="仿宋" w:cs="仿宋"/>
                <w:color w:val="000000"/>
                <w:sz w:val="24"/>
                <w:szCs w:val="24"/>
              </w:rPr>
              <w:t>理论学习内容</w:t>
            </w:r>
          </w:p>
        </w:tc>
        <w:tc>
          <w:tcPr>
            <w:tcW w:w="5623" w:type="dxa"/>
            <w:gridSpan w:val="7"/>
            <w:shd w:val="clear" w:color="auto" w:fill="FFFFFF"/>
            <w:noWrap w:val="0"/>
            <w:vAlign w:val="center"/>
          </w:tcPr>
          <w:p w14:paraId="4414DE82">
            <w:pPr>
              <w:adjustRightInd w:val="0"/>
              <w:snapToGrid w:val="0"/>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章节学习内容与学习要求</w:t>
            </w:r>
          </w:p>
        </w:tc>
        <w:tc>
          <w:tcPr>
            <w:tcW w:w="1560" w:type="dxa"/>
            <w:shd w:val="clear" w:color="auto" w:fill="FFFFFF"/>
            <w:noWrap w:val="0"/>
            <w:vAlign w:val="center"/>
          </w:tcPr>
          <w:p w14:paraId="5D19147C">
            <w:pPr>
              <w:adjustRightInd w:val="0"/>
              <w:snapToGrid w:val="0"/>
              <w:jc w:val="center"/>
              <w:textAlignment w:val="baseline"/>
              <w:rPr>
                <w:rFonts w:ascii="仿宋" w:hAnsi="仿宋" w:eastAsia="仿宋" w:cs="仿宋"/>
                <w:color w:val="000000"/>
                <w:kern w:val="0"/>
                <w:sz w:val="24"/>
                <w:szCs w:val="24"/>
              </w:rPr>
            </w:pPr>
            <w:r>
              <w:rPr>
                <w:rFonts w:hint="eastAsia" w:ascii="仿宋" w:hAnsi="仿宋" w:eastAsia="仿宋" w:cs="仿宋"/>
                <w:color w:val="000000"/>
                <w:kern w:val="0"/>
                <w:sz w:val="24"/>
                <w:szCs w:val="24"/>
              </w:rPr>
              <w:t>支撑课程目标</w:t>
            </w:r>
          </w:p>
        </w:tc>
        <w:tc>
          <w:tcPr>
            <w:tcW w:w="1134" w:type="dxa"/>
            <w:gridSpan w:val="2"/>
            <w:shd w:val="clear" w:color="auto" w:fill="FFFFFF"/>
            <w:noWrap w:val="0"/>
            <w:vAlign w:val="center"/>
          </w:tcPr>
          <w:p w14:paraId="67F87284">
            <w:pPr>
              <w:adjustRightInd w:val="0"/>
              <w:snapToGrid w:val="0"/>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学时分配</w:t>
            </w:r>
          </w:p>
        </w:tc>
      </w:tr>
      <w:tr w14:paraId="7124E1A7">
        <w:trPr>
          <w:trHeight w:val="943" w:hRule="atLeast"/>
        </w:trPr>
        <w:tc>
          <w:tcPr>
            <w:tcW w:w="1186" w:type="dxa"/>
            <w:vMerge w:val="continue"/>
            <w:shd w:val="clear" w:color="auto" w:fill="FFFFFF"/>
            <w:noWrap w:val="0"/>
            <w:vAlign w:val="center"/>
          </w:tcPr>
          <w:p w14:paraId="01A446A1">
            <w:pPr>
              <w:adjustRightInd w:val="0"/>
              <w:snapToGrid w:val="0"/>
              <w:jc w:val="right"/>
              <w:rPr>
                <w:rFonts w:hint="eastAsia" w:ascii="仿宋" w:hAnsi="仿宋" w:eastAsia="仿宋" w:cs="仿宋"/>
                <w:sz w:val="24"/>
                <w:szCs w:val="24"/>
              </w:rPr>
            </w:pPr>
          </w:p>
        </w:tc>
        <w:tc>
          <w:tcPr>
            <w:tcW w:w="5623" w:type="dxa"/>
            <w:gridSpan w:val="7"/>
            <w:shd w:val="clear" w:color="auto" w:fill="auto"/>
            <w:noWrap w:val="0"/>
            <w:vAlign w:val="center"/>
          </w:tcPr>
          <w:p w14:paraId="068A18C5">
            <w:pPr>
              <w:adjustRightInd w:val="0"/>
              <w:snapToGrid w:val="0"/>
              <w:jc w:val="left"/>
              <w:textAlignment w:val="baseline"/>
              <w:rPr>
                <w:rFonts w:ascii="仿宋" w:hAnsi="仿宋" w:eastAsia="仿宋" w:cs="仿宋"/>
                <w:sz w:val="24"/>
                <w:szCs w:val="24"/>
              </w:rPr>
            </w:pPr>
            <w:r>
              <w:rPr>
                <w:rFonts w:hint="eastAsia" w:ascii="仿宋" w:hAnsi="仿宋" w:eastAsia="仿宋" w:cs="仿宋"/>
                <w:sz w:val="24"/>
                <w:szCs w:val="24"/>
              </w:rPr>
              <w:t xml:space="preserve">第一节 </w:t>
            </w:r>
            <w:r>
              <w:rPr>
                <w:rFonts w:ascii="仿宋" w:hAnsi="仿宋" w:eastAsia="仿宋" w:cs="仿宋"/>
                <w:sz w:val="24"/>
                <w:szCs w:val="24"/>
              </w:rPr>
              <w:t xml:space="preserve"> </w:t>
            </w:r>
            <w:r>
              <w:rPr>
                <w:rFonts w:hint="eastAsia" w:ascii="仿宋" w:hAnsi="仿宋" w:eastAsia="仿宋" w:cs="仿宋"/>
                <w:sz w:val="24"/>
                <w:szCs w:val="24"/>
              </w:rPr>
              <w:t>小型乐队编配学法概述</w:t>
            </w:r>
          </w:p>
          <w:p w14:paraId="08F33C54">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知道层次：了解交响管弦乐队的历史和现状，了解民族管弦乐队的历史和现状，了解电声乐队的历史和现状。</w:t>
            </w:r>
          </w:p>
          <w:p w14:paraId="7711D52F">
            <w:pPr>
              <w:widowControl/>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领会层次：学会钢琴谱和乐队总谱之间互相转换的方法，熟练操作一个制谱软件和一个音序软件。</w:t>
            </w:r>
          </w:p>
          <w:p w14:paraId="1CAFB0D4">
            <w:pPr>
              <w:widowControl/>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应用层次：对钢琴谱和乐队总谱进行改编。</w:t>
            </w:r>
          </w:p>
        </w:tc>
        <w:tc>
          <w:tcPr>
            <w:tcW w:w="1560" w:type="dxa"/>
            <w:shd w:val="clear" w:color="auto" w:fill="FFFFFF"/>
            <w:noWrap w:val="0"/>
            <w:vAlign w:val="center"/>
          </w:tcPr>
          <w:p w14:paraId="694C716C">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目标1、2</w:t>
            </w:r>
          </w:p>
        </w:tc>
        <w:tc>
          <w:tcPr>
            <w:tcW w:w="1134" w:type="dxa"/>
            <w:gridSpan w:val="2"/>
            <w:shd w:val="clear" w:color="auto" w:fill="FFFFFF"/>
            <w:noWrap w:val="0"/>
            <w:vAlign w:val="center"/>
          </w:tcPr>
          <w:p w14:paraId="0D1E098C">
            <w:pPr>
              <w:adjustRightInd w:val="0"/>
              <w:snapToGrid w:val="0"/>
              <w:jc w:val="center"/>
              <w:rPr>
                <w:rFonts w:hint="eastAsia" w:ascii="仿宋" w:hAnsi="仿宋" w:eastAsia="仿宋" w:cs="仿宋"/>
                <w:sz w:val="24"/>
                <w:szCs w:val="24"/>
              </w:rPr>
            </w:pPr>
            <w:r>
              <w:rPr>
                <w:rFonts w:ascii="仿宋" w:hAnsi="仿宋" w:eastAsia="仿宋" w:cs="仿宋"/>
                <w:sz w:val="24"/>
                <w:szCs w:val="24"/>
              </w:rPr>
              <w:t>1</w:t>
            </w:r>
          </w:p>
        </w:tc>
      </w:tr>
      <w:tr w14:paraId="639628F4">
        <w:trPr>
          <w:trHeight w:val="454" w:hRule="atLeast"/>
        </w:trPr>
        <w:tc>
          <w:tcPr>
            <w:tcW w:w="1186" w:type="dxa"/>
            <w:vMerge w:val="continue"/>
            <w:shd w:val="clear" w:color="auto" w:fill="FFFFFF"/>
            <w:noWrap w:val="0"/>
            <w:vAlign w:val="center"/>
          </w:tcPr>
          <w:p w14:paraId="745EF018">
            <w:pPr>
              <w:adjustRightInd w:val="0"/>
              <w:snapToGrid w:val="0"/>
              <w:jc w:val="right"/>
              <w:rPr>
                <w:rFonts w:hint="eastAsia" w:ascii="仿宋" w:hAnsi="仿宋" w:eastAsia="仿宋" w:cs="仿宋"/>
                <w:sz w:val="24"/>
                <w:szCs w:val="24"/>
              </w:rPr>
            </w:pPr>
          </w:p>
        </w:tc>
        <w:tc>
          <w:tcPr>
            <w:tcW w:w="5623" w:type="dxa"/>
            <w:gridSpan w:val="7"/>
            <w:shd w:val="clear" w:color="auto" w:fill="auto"/>
            <w:noWrap w:val="0"/>
            <w:vAlign w:val="center"/>
          </w:tcPr>
          <w:p w14:paraId="4F6E9E7F">
            <w:pPr>
              <w:adjustRightInd w:val="0"/>
              <w:snapToGrid w:val="0"/>
              <w:jc w:val="left"/>
              <w:textAlignment w:val="baseline"/>
              <w:rPr>
                <w:rFonts w:ascii="仿宋" w:hAnsi="仿宋" w:eastAsia="仿宋" w:cs="仿宋"/>
                <w:sz w:val="24"/>
                <w:szCs w:val="24"/>
              </w:rPr>
            </w:pPr>
            <w:r>
              <w:rPr>
                <w:rFonts w:hint="eastAsia" w:ascii="仿宋" w:hAnsi="仿宋" w:eastAsia="仿宋" w:cs="仿宋"/>
                <w:sz w:val="24"/>
                <w:szCs w:val="24"/>
              </w:rPr>
              <w:t xml:space="preserve">第二节 </w:t>
            </w:r>
            <w:r>
              <w:rPr>
                <w:rFonts w:ascii="仿宋" w:hAnsi="仿宋" w:eastAsia="仿宋" w:cs="仿宋"/>
                <w:sz w:val="24"/>
                <w:szCs w:val="24"/>
              </w:rPr>
              <w:t xml:space="preserve"> </w:t>
            </w:r>
            <w:r>
              <w:rPr>
                <w:rFonts w:hint="eastAsia" w:ascii="仿宋" w:hAnsi="仿宋" w:eastAsia="仿宋" w:cs="仿宋"/>
                <w:sz w:val="24"/>
                <w:szCs w:val="24"/>
              </w:rPr>
              <w:t>弓弦乐器</w:t>
            </w:r>
          </w:p>
          <w:p w14:paraId="1B5A5226">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知道层次：了解弓弦乐器的基本种类及乐器性能。</w:t>
            </w:r>
          </w:p>
          <w:p w14:paraId="1C7DBC9D">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领会层次：归纳弓弦乐器组中每种乐器的写作方法。</w:t>
            </w:r>
          </w:p>
          <w:p w14:paraId="2A019F1B">
            <w:pPr>
              <w:widowControl/>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应用层次：将钢琴谱改编为弦乐重奏。</w:t>
            </w:r>
          </w:p>
        </w:tc>
        <w:tc>
          <w:tcPr>
            <w:tcW w:w="1560" w:type="dxa"/>
            <w:shd w:val="clear" w:color="auto" w:fill="FFFFFF"/>
            <w:noWrap w:val="0"/>
            <w:vAlign w:val="center"/>
          </w:tcPr>
          <w:p w14:paraId="620A68C9">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目标1、2</w:t>
            </w:r>
          </w:p>
        </w:tc>
        <w:tc>
          <w:tcPr>
            <w:tcW w:w="1134" w:type="dxa"/>
            <w:gridSpan w:val="2"/>
            <w:shd w:val="clear" w:color="auto" w:fill="FFFFFF"/>
            <w:noWrap w:val="0"/>
            <w:vAlign w:val="center"/>
          </w:tcPr>
          <w:p w14:paraId="3C4BDC18">
            <w:pPr>
              <w:adjustRightInd w:val="0"/>
              <w:snapToGrid w:val="0"/>
              <w:jc w:val="center"/>
              <w:rPr>
                <w:rFonts w:hint="eastAsia" w:ascii="仿宋" w:hAnsi="仿宋" w:eastAsia="仿宋" w:cs="仿宋"/>
                <w:sz w:val="24"/>
                <w:szCs w:val="24"/>
              </w:rPr>
            </w:pPr>
            <w:r>
              <w:rPr>
                <w:rFonts w:ascii="仿宋" w:hAnsi="仿宋" w:eastAsia="仿宋" w:cs="仿宋"/>
                <w:sz w:val="24"/>
                <w:szCs w:val="24"/>
              </w:rPr>
              <w:t>1</w:t>
            </w:r>
          </w:p>
        </w:tc>
      </w:tr>
      <w:tr w14:paraId="5D592C9B">
        <w:trPr>
          <w:trHeight w:val="342" w:hRule="atLeast"/>
        </w:trPr>
        <w:tc>
          <w:tcPr>
            <w:tcW w:w="1186" w:type="dxa"/>
            <w:vMerge w:val="continue"/>
            <w:shd w:val="clear" w:color="auto" w:fill="FFFFFF"/>
            <w:noWrap w:val="0"/>
            <w:vAlign w:val="center"/>
          </w:tcPr>
          <w:p w14:paraId="18C82362">
            <w:pPr>
              <w:adjustRightInd w:val="0"/>
              <w:snapToGrid w:val="0"/>
              <w:jc w:val="right"/>
              <w:rPr>
                <w:rFonts w:hint="eastAsia" w:ascii="仿宋" w:hAnsi="仿宋" w:eastAsia="仿宋" w:cs="仿宋"/>
                <w:sz w:val="24"/>
                <w:szCs w:val="24"/>
              </w:rPr>
            </w:pPr>
          </w:p>
        </w:tc>
        <w:tc>
          <w:tcPr>
            <w:tcW w:w="5623" w:type="dxa"/>
            <w:gridSpan w:val="7"/>
            <w:shd w:val="clear" w:color="auto" w:fill="auto"/>
            <w:noWrap w:val="0"/>
            <w:vAlign w:val="center"/>
          </w:tcPr>
          <w:p w14:paraId="046A0991">
            <w:pPr>
              <w:adjustRightInd w:val="0"/>
              <w:snapToGrid w:val="0"/>
              <w:jc w:val="left"/>
              <w:textAlignment w:val="baseline"/>
              <w:rPr>
                <w:rFonts w:ascii="仿宋" w:hAnsi="仿宋" w:eastAsia="仿宋" w:cs="仿宋"/>
                <w:sz w:val="24"/>
                <w:szCs w:val="24"/>
              </w:rPr>
            </w:pPr>
            <w:r>
              <w:rPr>
                <w:rFonts w:hint="eastAsia" w:ascii="仿宋" w:hAnsi="仿宋" w:eastAsia="仿宋" w:cs="仿宋"/>
                <w:sz w:val="24"/>
                <w:szCs w:val="24"/>
              </w:rPr>
              <w:t xml:space="preserve">第三节 </w:t>
            </w:r>
            <w:r>
              <w:rPr>
                <w:rFonts w:ascii="仿宋" w:hAnsi="仿宋" w:eastAsia="仿宋" w:cs="仿宋"/>
                <w:sz w:val="24"/>
                <w:szCs w:val="24"/>
              </w:rPr>
              <w:t xml:space="preserve"> </w:t>
            </w:r>
            <w:r>
              <w:rPr>
                <w:rFonts w:hint="eastAsia" w:ascii="仿宋" w:hAnsi="仿宋" w:eastAsia="仿宋" w:cs="仿宋"/>
                <w:sz w:val="24"/>
                <w:szCs w:val="24"/>
              </w:rPr>
              <w:t>拨弦乐器</w:t>
            </w:r>
          </w:p>
          <w:p w14:paraId="7CEC4BAE">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知道层次：了解拨弦乐器的基本种类及乐器性能。</w:t>
            </w:r>
          </w:p>
          <w:p w14:paraId="6A695C96">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领会层次：归纳拨弦乐器组中每种乐器的写作方法。</w:t>
            </w:r>
          </w:p>
          <w:p w14:paraId="6CC16025">
            <w:pPr>
              <w:widowControl/>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应用层次：将钢琴谱改编为弦乐重奏。</w:t>
            </w:r>
          </w:p>
        </w:tc>
        <w:tc>
          <w:tcPr>
            <w:tcW w:w="1560" w:type="dxa"/>
            <w:shd w:val="clear" w:color="auto" w:fill="FFFFFF"/>
            <w:noWrap w:val="0"/>
            <w:vAlign w:val="center"/>
          </w:tcPr>
          <w:p w14:paraId="21536F36">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目标1、2</w:t>
            </w:r>
          </w:p>
        </w:tc>
        <w:tc>
          <w:tcPr>
            <w:tcW w:w="1134" w:type="dxa"/>
            <w:gridSpan w:val="2"/>
            <w:shd w:val="clear" w:color="auto" w:fill="FFFFFF"/>
            <w:noWrap w:val="0"/>
            <w:vAlign w:val="center"/>
          </w:tcPr>
          <w:p w14:paraId="62CFB0CF">
            <w:pPr>
              <w:adjustRightInd w:val="0"/>
              <w:snapToGrid w:val="0"/>
              <w:jc w:val="center"/>
              <w:rPr>
                <w:rFonts w:hint="eastAsia" w:ascii="仿宋" w:hAnsi="仿宋" w:eastAsia="仿宋" w:cs="仿宋"/>
                <w:sz w:val="24"/>
                <w:szCs w:val="24"/>
              </w:rPr>
            </w:pPr>
            <w:r>
              <w:rPr>
                <w:rFonts w:ascii="仿宋" w:hAnsi="仿宋" w:eastAsia="仿宋" w:cs="仿宋"/>
                <w:sz w:val="24"/>
                <w:szCs w:val="24"/>
              </w:rPr>
              <w:t>1</w:t>
            </w:r>
          </w:p>
        </w:tc>
      </w:tr>
      <w:tr w14:paraId="1F3FB424">
        <w:trPr>
          <w:trHeight w:val="454" w:hRule="atLeast"/>
        </w:trPr>
        <w:tc>
          <w:tcPr>
            <w:tcW w:w="1186" w:type="dxa"/>
            <w:vMerge w:val="continue"/>
            <w:shd w:val="clear" w:color="auto" w:fill="FFFFFF"/>
            <w:noWrap w:val="0"/>
            <w:vAlign w:val="center"/>
          </w:tcPr>
          <w:p w14:paraId="552A71F5">
            <w:pPr>
              <w:adjustRightInd w:val="0"/>
              <w:snapToGrid w:val="0"/>
              <w:jc w:val="right"/>
              <w:rPr>
                <w:rFonts w:hint="eastAsia" w:ascii="仿宋" w:hAnsi="仿宋" w:eastAsia="仿宋" w:cs="仿宋"/>
                <w:sz w:val="24"/>
                <w:szCs w:val="24"/>
              </w:rPr>
            </w:pPr>
          </w:p>
        </w:tc>
        <w:tc>
          <w:tcPr>
            <w:tcW w:w="5623" w:type="dxa"/>
            <w:gridSpan w:val="7"/>
            <w:shd w:val="clear" w:color="auto" w:fill="auto"/>
            <w:noWrap w:val="0"/>
            <w:vAlign w:val="center"/>
          </w:tcPr>
          <w:p w14:paraId="7110D7D1">
            <w:pPr>
              <w:adjustRightInd w:val="0"/>
              <w:snapToGrid w:val="0"/>
              <w:jc w:val="left"/>
              <w:textAlignment w:val="baseline"/>
              <w:rPr>
                <w:rFonts w:ascii="仿宋" w:hAnsi="仿宋" w:eastAsia="仿宋" w:cs="仿宋"/>
                <w:sz w:val="24"/>
                <w:szCs w:val="24"/>
              </w:rPr>
            </w:pPr>
            <w:r>
              <w:rPr>
                <w:rFonts w:hint="eastAsia" w:ascii="仿宋" w:hAnsi="仿宋" w:eastAsia="仿宋" w:cs="仿宋"/>
                <w:sz w:val="24"/>
                <w:szCs w:val="24"/>
              </w:rPr>
              <w:t xml:space="preserve">第四节 </w:t>
            </w:r>
            <w:r>
              <w:rPr>
                <w:rFonts w:ascii="仿宋" w:hAnsi="仿宋" w:eastAsia="仿宋" w:cs="仿宋"/>
                <w:sz w:val="24"/>
                <w:szCs w:val="24"/>
              </w:rPr>
              <w:t xml:space="preserve"> </w:t>
            </w:r>
            <w:r>
              <w:rPr>
                <w:rFonts w:hint="eastAsia" w:ascii="仿宋" w:hAnsi="仿宋" w:eastAsia="仿宋" w:cs="仿宋"/>
                <w:sz w:val="24"/>
                <w:szCs w:val="24"/>
              </w:rPr>
              <w:t>木管乐器</w:t>
            </w:r>
          </w:p>
          <w:p w14:paraId="513BC1DA">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知道层次：了解木管乐器的基本种类及乐器性能。</w:t>
            </w:r>
          </w:p>
          <w:p w14:paraId="5BA0F5E6">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领会层次：归纳木管乐器组中每种乐器的写作方法。</w:t>
            </w:r>
          </w:p>
          <w:p w14:paraId="776B83CB">
            <w:pPr>
              <w:widowControl/>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应用层次：将钢琴谱改编为木管乐重奏。</w:t>
            </w:r>
          </w:p>
        </w:tc>
        <w:tc>
          <w:tcPr>
            <w:tcW w:w="1560" w:type="dxa"/>
            <w:shd w:val="clear" w:color="auto" w:fill="FFFFFF"/>
            <w:noWrap w:val="0"/>
            <w:vAlign w:val="center"/>
          </w:tcPr>
          <w:p w14:paraId="571D4375">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目标1、2</w:t>
            </w:r>
          </w:p>
        </w:tc>
        <w:tc>
          <w:tcPr>
            <w:tcW w:w="1134" w:type="dxa"/>
            <w:gridSpan w:val="2"/>
            <w:shd w:val="clear" w:color="auto" w:fill="FFFFFF"/>
            <w:noWrap w:val="0"/>
            <w:vAlign w:val="center"/>
          </w:tcPr>
          <w:p w14:paraId="7BD7DA31">
            <w:pPr>
              <w:adjustRightInd w:val="0"/>
              <w:snapToGrid w:val="0"/>
              <w:jc w:val="center"/>
              <w:rPr>
                <w:rFonts w:hint="eastAsia" w:ascii="仿宋" w:hAnsi="仿宋" w:eastAsia="仿宋" w:cs="仿宋"/>
                <w:sz w:val="24"/>
                <w:szCs w:val="24"/>
              </w:rPr>
            </w:pPr>
            <w:r>
              <w:rPr>
                <w:rFonts w:ascii="仿宋" w:hAnsi="仿宋" w:eastAsia="仿宋" w:cs="仿宋"/>
                <w:sz w:val="24"/>
                <w:szCs w:val="24"/>
              </w:rPr>
              <w:t>1</w:t>
            </w:r>
          </w:p>
        </w:tc>
      </w:tr>
      <w:tr w14:paraId="27786AFB">
        <w:trPr>
          <w:trHeight w:val="454" w:hRule="atLeast"/>
        </w:trPr>
        <w:tc>
          <w:tcPr>
            <w:tcW w:w="1186" w:type="dxa"/>
            <w:vMerge w:val="continue"/>
            <w:shd w:val="clear" w:color="auto" w:fill="FFFFFF"/>
            <w:noWrap w:val="0"/>
            <w:vAlign w:val="center"/>
          </w:tcPr>
          <w:p w14:paraId="1B818980">
            <w:pPr>
              <w:adjustRightInd w:val="0"/>
              <w:snapToGrid w:val="0"/>
              <w:jc w:val="right"/>
              <w:rPr>
                <w:rFonts w:hint="eastAsia" w:ascii="仿宋" w:hAnsi="仿宋" w:eastAsia="仿宋" w:cs="仿宋"/>
                <w:sz w:val="24"/>
                <w:szCs w:val="24"/>
              </w:rPr>
            </w:pPr>
          </w:p>
        </w:tc>
        <w:tc>
          <w:tcPr>
            <w:tcW w:w="5623" w:type="dxa"/>
            <w:gridSpan w:val="7"/>
            <w:shd w:val="clear" w:color="auto" w:fill="auto"/>
            <w:noWrap w:val="0"/>
            <w:vAlign w:val="center"/>
          </w:tcPr>
          <w:p w14:paraId="5F8C0297">
            <w:pPr>
              <w:adjustRightInd w:val="0"/>
              <w:snapToGrid w:val="0"/>
              <w:jc w:val="left"/>
              <w:textAlignment w:val="baseline"/>
              <w:rPr>
                <w:rFonts w:hint="eastAsia" w:ascii="仿宋" w:hAnsi="仿宋" w:eastAsia="仿宋" w:cs="仿宋"/>
                <w:sz w:val="24"/>
                <w:szCs w:val="24"/>
              </w:rPr>
            </w:pPr>
            <w:r>
              <w:rPr>
                <w:rFonts w:hint="eastAsia" w:ascii="仿宋" w:hAnsi="仿宋" w:eastAsia="仿宋" w:cs="仿宋"/>
                <w:sz w:val="24"/>
                <w:szCs w:val="24"/>
              </w:rPr>
              <w:t xml:space="preserve">第五节 </w:t>
            </w:r>
            <w:r>
              <w:rPr>
                <w:rFonts w:ascii="仿宋" w:hAnsi="仿宋" w:eastAsia="仿宋" w:cs="仿宋"/>
                <w:sz w:val="24"/>
                <w:szCs w:val="24"/>
              </w:rPr>
              <w:t xml:space="preserve"> </w:t>
            </w:r>
            <w:r>
              <w:rPr>
                <w:rFonts w:hint="eastAsia" w:ascii="仿宋" w:hAnsi="仿宋" w:eastAsia="仿宋" w:cs="仿宋"/>
                <w:sz w:val="24"/>
                <w:szCs w:val="24"/>
              </w:rPr>
              <w:t>铜管乐器</w:t>
            </w:r>
          </w:p>
          <w:p w14:paraId="1FA7C993">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知道层次：了解铜管乐器的基本种类及乐器性能。</w:t>
            </w:r>
          </w:p>
          <w:p w14:paraId="74429C67">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领会层次：归纳铜管乐器组中每种乐器的写作方法。</w:t>
            </w:r>
          </w:p>
          <w:p w14:paraId="53CA3F58">
            <w:pPr>
              <w:widowControl/>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应用层次：将钢琴谱改编为铜管乐重奏。</w:t>
            </w:r>
          </w:p>
        </w:tc>
        <w:tc>
          <w:tcPr>
            <w:tcW w:w="1560" w:type="dxa"/>
            <w:shd w:val="clear" w:color="auto" w:fill="FFFFFF"/>
            <w:noWrap w:val="0"/>
            <w:vAlign w:val="center"/>
          </w:tcPr>
          <w:p w14:paraId="223F3EA8">
            <w:pPr>
              <w:adjustRightInd w:val="0"/>
              <w:snapToGrid w:val="0"/>
              <w:jc w:val="center"/>
              <w:rPr>
                <w:rFonts w:ascii="仿宋" w:hAnsi="仿宋" w:eastAsia="仿宋" w:cs="仿宋"/>
                <w:sz w:val="24"/>
                <w:szCs w:val="24"/>
              </w:rPr>
            </w:pPr>
            <w:r>
              <w:rPr>
                <w:rFonts w:hint="eastAsia" w:ascii="仿宋" w:hAnsi="仿宋" w:eastAsia="仿宋" w:cs="仿宋"/>
                <w:sz w:val="24"/>
                <w:szCs w:val="24"/>
              </w:rPr>
              <w:t>目标1、2</w:t>
            </w:r>
          </w:p>
        </w:tc>
        <w:tc>
          <w:tcPr>
            <w:tcW w:w="1134" w:type="dxa"/>
            <w:gridSpan w:val="2"/>
            <w:shd w:val="clear" w:color="auto" w:fill="FFFFFF"/>
            <w:noWrap w:val="0"/>
            <w:vAlign w:val="center"/>
          </w:tcPr>
          <w:p w14:paraId="1A789AD2">
            <w:pPr>
              <w:adjustRightInd w:val="0"/>
              <w:snapToGrid w:val="0"/>
              <w:jc w:val="center"/>
              <w:rPr>
                <w:rFonts w:ascii="仿宋" w:hAnsi="仿宋" w:eastAsia="仿宋" w:cs="仿宋"/>
                <w:sz w:val="24"/>
                <w:szCs w:val="24"/>
              </w:rPr>
            </w:pPr>
            <w:r>
              <w:rPr>
                <w:rFonts w:ascii="仿宋" w:hAnsi="仿宋" w:eastAsia="仿宋" w:cs="仿宋"/>
                <w:sz w:val="24"/>
                <w:szCs w:val="24"/>
              </w:rPr>
              <w:t>1</w:t>
            </w:r>
          </w:p>
        </w:tc>
      </w:tr>
      <w:tr w14:paraId="1B2E0599">
        <w:trPr>
          <w:trHeight w:val="573" w:hRule="atLeast"/>
        </w:trPr>
        <w:tc>
          <w:tcPr>
            <w:tcW w:w="1186" w:type="dxa"/>
            <w:vMerge w:val="continue"/>
            <w:shd w:val="clear" w:color="auto" w:fill="FFFFFF"/>
            <w:noWrap w:val="0"/>
            <w:vAlign w:val="center"/>
          </w:tcPr>
          <w:p w14:paraId="1BA0676D">
            <w:pPr>
              <w:adjustRightInd w:val="0"/>
              <w:snapToGrid w:val="0"/>
              <w:jc w:val="right"/>
              <w:rPr>
                <w:rFonts w:hint="eastAsia" w:ascii="仿宋" w:hAnsi="仿宋" w:eastAsia="仿宋" w:cs="仿宋"/>
                <w:sz w:val="24"/>
                <w:szCs w:val="24"/>
              </w:rPr>
            </w:pPr>
          </w:p>
        </w:tc>
        <w:tc>
          <w:tcPr>
            <w:tcW w:w="5623" w:type="dxa"/>
            <w:gridSpan w:val="7"/>
            <w:shd w:val="clear" w:color="auto" w:fill="auto"/>
            <w:noWrap w:val="0"/>
            <w:vAlign w:val="center"/>
          </w:tcPr>
          <w:p w14:paraId="178337B1">
            <w:pPr>
              <w:adjustRightInd w:val="0"/>
              <w:snapToGrid w:val="0"/>
              <w:jc w:val="left"/>
              <w:textAlignment w:val="baseline"/>
              <w:rPr>
                <w:rFonts w:ascii="仿宋" w:hAnsi="仿宋" w:eastAsia="仿宋" w:cs="仿宋"/>
                <w:sz w:val="24"/>
                <w:szCs w:val="24"/>
              </w:rPr>
            </w:pPr>
            <w:r>
              <w:rPr>
                <w:rFonts w:hint="eastAsia" w:ascii="仿宋" w:hAnsi="仿宋" w:eastAsia="仿宋" w:cs="仿宋"/>
                <w:sz w:val="24"/>
                <w:szCs w:val="24"/>
              </w:rPr>
              <w:t xml:space="preserve">第六节 </w:t>
            </w:r>
            <w:r>
              <w:rPr>
                <w:rFonts w:ascii="仿宋" w:hAnsi="仿宋" w:eastAsia="仿宋" w:cs="仿宋"/>
                <w:sz w:val="24"/>
                <w:szCs w:val="24"/>
              </w:rPr>
              <w:t xml:space="preserve"> </w:t>
            </w:r>
            <w:r>
              <w:rPr>
                <w:rFonts w:hint="eastAsia" w:ascii="仿宋" w:hAnsi="仿宋" w:eastAsia="仿宋" w:cs="仿宋"/>
                <w:sz w:val="24"/>
                <w:szCs w:val="24"/>
              </w:rPr>
              <w:t>打击乐器</w:t>
            </w:r>
          </w:p>
          <w:p w14:paraId="262347F9">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知道层次：了解打击乐器的基本种类及乐器性能。</w:t>
            </w:r>
          </w:p>
          <w:p w14:paraId="5EA9352E">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领会层次：归纳打击乐器组中每种乐器的写作方法。</w:t>
            </w:r>
          </w:p>
          <w:p w14:paraId="0DD76C29">
            <w:pPr>
              <w:widowControl/>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应用层次：为乐曲和歌曲创编打击乐声部，编写打击乐重奏。</w:t>
            </w:r>
          </w:p>
        </w:tc>
        <w:tc>
          <w:tcPr>
            <w:tcW w:w="1560" w:type="dxa"/>
            <w:shd w:val="clear" w:color="auto" w:fill="FFFFFF"/>
            <w:noWrap w:val="0"/>
            <w:vAlign w:val="center"/>
          </w:tcPr>
          <w:p w14:paraId="3D629F5C">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目标1、2</w:t>
            </w:r>
          </w:p>
        </w:tc>
        <w:tc>
          <w:tcPr>
            <w:tcW w:w="1134" w:type="dxa"/>
            <w:gridSpan w:val="2"/>
            <w:shd w:val="clear" w:color="auto" w:fill="FFFFFF"/>
            <w:noWrap w:val="0"/>
            <w:vAlign w:val="center"/>
          </w:tcPr>
          <w:p w14:paraId="51EC0A53">
            <w:pPr>
              <w:adjustRightInd w:val="0"/>
              <w:snapToGrid w:val="0"/>
              <w:jc w:val="center"/>
              <w:rPr>
                <w:rFonts w:hint="eastAsia" w:ascii="仿宋" w:hAnsi="仿宋" w:eastAsia="仿宋" w:cs="仿宋"/>
                <w:sz w:val="24"/>
                <w:szCs w:val="24"/>
              </w:rPr>
            </w:pPr>
            <w:r>
              <w:rPr>
                <w:rFonts w:ascii="仿宋" w:hAnsi="仿宋" w:eastAsia="仿宋" w:cs="仿宋"/>
                <w:sz w:val="24"/>
                <w:szCs w:val="24"/>
              </w:rPr>
              <w:t>1</w:t>
            </w:r>
          </w:p>
        </w:tc>
      </w:tr>
      <w:tr w14:paraId="6C8D5FE4">
        <w:trPr>
          <w:trHeight w:val="454" w:hRule="atLeast"/>
        </w:trPr>
        <w:tc>
          <w:tcPr>
            <w:tcW w:w="1186" w:type="dxa"/>
            <w:vMerge w:val="continue"/>
            <w:shd w:val="clear" w:color="auto" w:fill="FFFFFF"/>
            <w:noWrap w:val="0"/>
            <w:vAlign w:val="center"/>
          </w:tcPr>
          <w:p w14:paraId="3245ABC2">
            <w:pPr>
              <w:adjustRightInd w:val="0"/>
              <w:snapToGrid w:val="0"/>
              <w:jc w:val="right"/>
              <w:rPr>
                <w:rFonts w:hint="eastAsia" w:ascii="仿宋" w:hAnsi="仿宋" w:eastAsia="仿宋" w:cs="仿宋"/>
                <w:sz w:val="24"/>
                <w:szCs w:val="24"/>
              </w:rPr>
            </w:pPr>
          </w:p>
        </w:tc>
        <w:tc>
          <w:tcPr>
            <w:tcW w:w="5623" w:type="dxa"/>
            <w:gridSpan w:val="7"/>
            <w:shd w:val="clear" w:color="auto" w:fill="auto"/>
            <w:noWrap w:val="0"/>
            <w:vAlign w:val="center"/>
          </w:tcPr>
          <w:p w14:paraId="0E2A83E0">
            <w:pPr>
              <w:adjustRightInd w:val="0"/>
              <w:snapToGrid w:val="0"/>
              <w:jc w:val="left"/>
              <w:textAlignment w:val="baseline"/>
              <w:rPr>
                <w:rFonts w:ascii="仿宋" w:hAnsi="仿宋" w:eastAsia="仿宋" w:cs="仿宋"/>
                <w:sz w:val="24"/>
                <w:szCs w:val="24"/>
              </w:rPr>
            </w:pPr>
            <w:r>
              <w:rPr>
                <w:rFonts w:hint="eastAsia" w:ascii="仿宋" w:hAnsi="仿宋" w:eastAsia="仿宋" w:cs="仿宋"/>
                <w:sz w:val="24"/>
                <w:szCs w:val="24"/>
              </w:rPr>
              <w:t xml:space="preserve">第七节 </w:t>
            </w:r>
            <w:r>
              <w:rPr>
                <w:rFonts w:ascii="仿宋" w:hAnsi="仿宋" w:eastAsia="仿宋" w:cs="仿宋"/>
                <w:sz w:val="24"/>
                <w:szCs w:val="24"/>
              </w:rPr>
              <w:t xml:space="preserve"> </w:t>
            </w:r>
            <w:r>
              <w:rPr>
                <w:rFonts w:hint="eastAsia" w:ascii="仿宋" w:hAnsi="仿宋" w:eastAsia="仿宋" w:cs="仿宋"/>
                <w:sz w:val="24"/>
                <w:szCs w:val="24"/>
              </w:rPr>
              <w:t>键盘乐器</w:t>
            </w:r>
          </w:p>
          <w:p w14:paraId="3BA76D31">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知道层次：了解键盘乐器的基本种类及乐器性能。</w:t>
            </w:r>
          </w:p>
          <w:p w14:paraId="6EC169ED">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领会层次：归纳键盘乐器组中每种乐器的写作方法。</w:t>
            </w:r>
          </w:p>
          <w:p w14:paraId="6FADB4B0">
            <w:pPr>
              <w:widowControl/>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应用层次：为乐曲和歌曲创编键盘乐声部，编写键盘乐重奏。</w:t>
            </w:r>
          </w:p>
        </w:tc>
        <w:tc>
          <w:tcPr>
            <w:tcW w:w="1560" w:type="dxa"/>
            <w:shd w:val="clear" w:color="auto" w:fill="FFFFFF"/>
            <w:noWrap w:val="0"/>
            <w:vAlign w:val="center"/>
          </w:tcPr>
          <w:p w14:paraId="6222E91D">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目标1、2</w:t>
            </w:r>
          </w:p>
        </w:tc>
        <w:tc>
          <w:tcPr>
            <w:tcW w:w="1134" w:type="dxa"/>
            <w:gridSpan w:val="2"/>
            <w:shd w:val="clear" w:color="auto" w:fill="FFFFFF"/>
            <w:noWrap w:val="0"/>
            <w:vAlign w:val="center"/>
          </w:tcPr>
          <w:p w14:paraId="7E1D3BBF">
            <w:pPr>
              <w:adjustRightInd w:val="0"/>
              <w:snapToGrid w:val="0"/>
              <w:jc w:val="center"/>
              <w:rPr>
                <w:rFonts w:hint="eastAsia" w:ascii="仿宋" w:hAnsi="仿宋" w:eastAsia="仿宋" w:cs="仿宋"/>
                <w:sz w:val="24"/>
                <w:szCs w:val="24"/>
              </w:rPr>
            </w:pPr>
            <w:r>
              <w:rPr>
                <w:rFonts w:ascii="仿宋" w:hAnsi="仿宋" w:eastAsia="仿宋" w:cs="仿宋"/>
                <w:sz w:val="24"/>
                <w:szCs w:val="24"/>
              </w:rPr>
              <w:t>1</w:t>
            </w:r>
          </w:p>
        </w:tc>
      </w:tr>
      <w:tr w14:paraId="6D4AAEE0">
        <w:trPr>
          <w:trHeight w:val="454" w:hRule="atLeast"/>
        </w:trPr>
        <w:tc>
          <w:tcPr>
            <w:tcW w:w="1186" w:type="dxa"/>
            <w:vMerge w:val="continue"/>
            <w:shd w:val="clear" w:color="auto" w:fill="FFFFFF"/>
            <w:noWrap w:val="0"/>
            <w:vAlign w:val="center"/>
          </w:tcPr>
          <w:p w14:paraId="1300037C">
            <w:pPr>
              <w:adjustRightInd w:val="0"/>
              <w:snapToGrid w:val="0"/>
              <w:jc w:val="right"/>
              <w:rPr>
                <w:rFonts w:hint="eastAsia" w:ascii="仿宋" w:hAnsi="仿宋" w:eastAsia="仿宋" w:cs="仿宋"/>
                <w:sz w:val="24"/>
                <w:szCs w:val="24"/>
              </w:rPr>
            </w:pPr>
          </w:p>
        </w:tc>
        <w:tc>
          <w:tcPr>
            <w:tcW w:w="5623" w:type="dxa"/>
            <w:gridSpan w:val="7"/>
            <w:shd w:val="clear" w:color="auto" w:fill="auto"/>
            <w:noWrap w:val="0"/>
            <w:vAlign w:val="center"/>
          </w:tcPr>
          <w:p w14:paraId="632C70B2">
            <w:pPr>
              <w:adjustRightInd w:val="0"/>
              <w:snapToGrid w:val="0"/>
              <w:jc w:val="left"/>
              <w:textAlignment w:val="baseline"/>
              <w:rPr>
                <w:rFonts w:ascii="仿宋" w:hAnsi="仿宋" w:eastAsia="仿宋" w:cs="仿宋"/>
                <w:sz w:val="24"/>
                <w:szCs w:val="24"/>
              </w:rPr>
            </w:pPr>
            <w:r>
              <w:rPr>
                <w:rFonts w:hint="eastAsia" w:ascii="仿宋" w:hAnsi="仿宋" w:eastAsia="仿宋" w:cs="仿宋"/>
                <w:sz w:val="24"/>
                <w:szCs w:val="24"/>
              </w:rPr>
              <w:t xml:space="preserve">第八节 </w:t>
            </w:r>
            <w:r>
              <w:rPr>
                <w:rFonts w:ascii="仿宋" w:hAnsi="仿宋" w:eastAsia="仿宋" w:cs="仿宋"/>
                <w:sz w:val="24"/>
                <w:szCs w:val="24"/>
              </w:rPr>
              <w:t xml:space="preserve"> </w:t>
            </w:r>
            <w:r>
              <w:rPr>
                <w:rFonts w:hint="eastAsia" w:ascii="仿宋" w:hAnsi="仿宋" w:eastAsia="仿宋" w:cs="仿宋"/>
                <w:sz w:val="24"/>
                <w:szCs w:val="24"/>
              </w:rPr>
              <w:t>民族管弦乐中的吹管乐器</w:t>
            </w:r>
          </w:p>
          <w:p w14:paraId="29779132">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知道层次：了解民族管弦乐中的吹管乐器的基本种类及乐器性能。</w:t>
            </w:r>
          </w:p>
          <w:p w14:paraId="6B112766">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领会层次：归纳民族管弦乐中每种吹管乐器的写作方法。</w:t>
            </w:r>
          </w:p>
          <w:p w14:paraId="26ACBD9B">
            <w:pPr>
              <w:widowControl/>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应用层次：将钢琴谱改编为民族吹管乐重奏。</w:t>
            </w:r>
          </w:p>
        </w:tc>
        <w:tc>
          <w:tcPr>
            <w:tcW w:w="1560" w:type="dxa"/>
            <w:shd w:val="clear" w:color="auto" w:fill="FFFFFF"/>
            <w:noWrap w:val="0"/>
            <w:vAlign w:val="center"/>
          </w:tcPr>
          <w:p w14:paraId="11E13A90">
            <w:pPr>
              <w:adjustRightInd w:val="0"/>
              <w:snapToGrid w:val="0"/>
              <w:jc w:val="center"/>
              <w:rPr>
                <w:rFonts w:ascii="仿宋" w:hAnsi="仿宋" w:eastAsia="仿宋" w:cs="仿宋"/>
                <w:sz w:val="24"/>
                <w:szCs w:val="24"/>
              </w:rPr>
            </w:pPr>
            <w:r>
              <w:rPr>
                <w:rFonts w:hint="eastAsia" w:ascii="仿宋" w:hAnsi="仿宋" w:eastAsia="仿宋" w:cs="仿宋"/>
                <w:sz w:val="24"/>
                <w:szCs w:val="24"/>
              </w:rPr>
              <w:t>目标1、2</w:t>
            </w:r>
          </w:p>
        </w:tc>
        <w:tc>
          <w:tcPr>
            <w:tcW w:w="1134" w:type="dxa"/>
            <w:gridSpan w:val="2"/>
            <w:shd w:val="clear" w:color="auto" w:fill="FFFFFF"/>
            <w:noWrap w:val="0"/>
            <w:vAlign w:val="center"/>
          </w:tcPr>
          <w:p w14:paraId="0B00CD6D">
            <w:pPr>
              <w:adjustRightInd w:val="0"/>
              <w:snapToGrid w:val="0"/>
              <w:jc w:val="center"/>
              <w:rPr>
                <w:rFonts w:ascii="仿宋" w:hAnsi="仿宋" w:eastAsia="仿宋" w:cs="仿宋"/>
                <w:sz w:val="24"/>
                <w:szCs w:val="24"/>
              </w:rPr>
            </w:pPr>
            <w:r>
              <w:rPr>
                <w:rFonts w:ascii="仿宋" w:hAnsi="仿宋" w:eastAsia="仿宋" w:cs="仿宋"/>
                <w:sz w:val="24"/>
                <w:szCs w:val="24"/>
              </w:rPr>
              <w:t>1</w:t>
            </w:r>
          </w:p>
        </w:tc>
      </w:tr>
      <w:tr w14:paraId="56724967">
        <w:trPr>
          <w:trHeight w:val="454" w:hRule="atLeast"/>
        </w:trPr>
        <w:tc>
          <w:tcPr>
            <w:tcW w:w="1186" w:type="dxa"/>
            <w:vMerge w:val="continue"/>
            <w:shd w:val="clear" w:color="auto" w:fill="FFFFFF"/>
            <w:noWrap w:val="0"/>
            <w:vAlign w:val="center"/>
          </w:tcPr>
          <w:p w14:paraId="257B1B61">
            <w:pPr>
              <w:adjustRightInd w:val="0"/>
              <w:snapToGrid w:val="0"/>
              <w:jc w:val="right"/>
              <w:rPr>
                <w:rFonts w:hint="eastAsia" w:ascii="仿宋" w:hAnsi="仿宋" w:eastAsia="仿宋" w:cs="仿宋"/>
                <w:sz w:val="24"/>
                <w:szCs w:val="24"/>
              </w:rPr>
            </w:pPr>
          </w:p>
        </w:tc>
        <w:tc>
          <w:tcPr>
            <w:tcW w:w="5623" w:type="dxa"/>
            <w:gridSpan w:val="7"/>
            <w:shd w:val="clear" w:color="auto" w:fill="auto"/>
            <w:noWrap w:val="0"/>
            <w:vAlign w:val="center"/>
          </w:tcPr>
          <w:p w14:paraId="70AE8FE0">
            <w:pPr>
              <w:adjustRightInd w:val="0"/>
              <w:snapToGrid w:val="0"/>
              <w:jc w:val="left"/>
              <w:textAlignment w:val="baseline"/>
              <w:rPr>
                <w:rFonts w:ascii="仿宋" w:hAnsi="仿宋" w:eastAsia="仿宋" w:cs="仿宋"/>
                <w:sz w:val="24"/>
                <w:szCs w:val="24"/>
              </w:rPr>
            </w:pPr>
            <w:r>
              <w:rPr>
                <w:rFonts w:hint="eastAsia" w:ascii="仿宋" w:hAnsi="仿宋" w:eastAsia="仿宋" w:cs="仿宋"/>
                <w:sz w:val="24"/>
                <w:szCs w:val="24"/>
              </w:rPr>
              <w:t xml:space="preserve">第九节 </w:t>
            </w:r>
            <w:r>
              <w:rPr>
                <w:rFonts w:ascii="仿宋" w:hAnsi="仿宋" w:eastAsia="仿宋" w:cs="仿宋"/>
                <w:sz w:val="24"/>
                <w:szCs w:val="24"/>
              </w:rPr>
              <w:t xml:space="preserve"> </w:t>
            </w:r>
            <w:r>
              <w:rPr>
                <w:rFonts w:hint="eastAsia" w:ascii="仿宋" w:hAnsi="仿宋" w:eastAsia="仿宋" w:cs="仿宋"/>
                <w:sz w:val="24"/>
                <w:szCs w:val="24"/>
              </w:rPr>
              <w:t>民族管弦乐中的拉弦乐器</w:t>
            </w:r>
          </w:p>
          <w:p w14:paraId="4166C7A7">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知道层次：了解民族管弦乐中的拉弦乐器的基本种类及乐器性能。</w:t>
            </w:r>
          </w:p>
          <w:p w14:paraId="78729707">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领会层次：归纳民族管弦乐中每种拉弦乐器的写作方法。</w:t>
            </w:r>
          </w:p>
          <w:p w14:paraId="0427ACA6">
            <w:pPr>
              <w:widowControl/>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应用层次：将钢琴谱改编为民族拉弦乐重奏。</w:t>
            </w:r>
          </w:p>
        </w:tc>
        <w:tc>
          <w:tcPr>
            <w:tcW w:w="1560" w:type="dxa"/>
            <w:shd w:val="clear" w:color="auto" w:fill="FFFFFF"/>
            <w:noWrap w:val="0"/>
            <w:vAlign w:val="center"/>
          </w:tcPr>
          <w:p w14:paraId="73B797C8">
            <w:pPr>
              <w:adjustRightInd w:val="0"/>
              <w:snapToGrid w:val="0"/>
              <w:jc w:val="center"/>
              <w:rPr>
                <w:rFonts w:ascii="仿宋" w:hAnsi="仿宋" w:eastAsia="仿宋" w:cs="仿宋"/>
                <w:sz w:val="24"/>
                <w:szCs w:val="24"/>
              </w:rPr>
            </w:pPr>
            <w:r>
              <w:rPr>
                <w:rFonts w:hint="eastAsia" w:ascii="仿宋" w:hAnsi="仿宋" w:eastAsia="仿宋" w:cs="仿宋"/>
                <w:sz w:val="24"/>
                <w:szCs w:val="24"/>
              </w:rPr>
              <w:t>目标1、2</w:t>
            </w:r>
          </w:p>
        </w:tc>
        <w:tc>
          <w:tcPr>
            <w:tcW w:w="1134" w:type="dxa"/>
            <w:gridSpan w:val="2"/>
            <w:shd w:val="clear" w:color="auto" w:fill="FFFFFF"/>
            <w:noWrap w:val="0"/>
            <w:vAlign w:val="center"/>
          </w:tcPr>
          <w:p w14:paraId="6BB1DBF8">
            <w:pPr>
              <w:adjustRightInd w:val="0"/>
              <w:snapToGrid w:val="0"/>
              <w:jc w:val="center"/>
              <w:rPr>
                <w:rFonts w:ascii="仿宋" w:hAnsi="仿宋" w:eastAsia="仿宋" w:cs="仿宋"/>
                <w:sz w:val="24"/>
                <w:szCs w:val="24"/>
              </w:rPr>
            </w:pPr>
            <w:r>
              <w:rPr>
                <w:rFonts w:ascii="仿宋" w:hAnsi="仿宋" w:eastAsia="仿宋" w:cs="仿宋"/>
                <w:sz w:val="24"/>
                <w:szCs w:val="24"/>
              </w:rPr>
              <w:t>1</w:t>
            </w:r>
          </w:p>
        </w:tc>
      </w:tr>
      <w:tr w14:paraId="14C98FFF">
        <w:trPr>
          <w:trHeight w:val="454" w:hRule="atLeast"/>
        </w:trPr>
        <w:tc>
          <w:tcPr>
            <w:tcW w:w="1186" w:type="dxa"/>
            <w:vMerge w:val="continue"/>
            <w:shd w:val="clear" w:color="auto" w:fill="FFFFFF"/>
            <w:noWrap w:val="0"/>
            <w:vAlign w:val="center"/>
          </w:tcPr>
          <w:p w14:paraId="205F285B">
            <w:pPr>
              <w:adjustRightInd w:val="0"/>
              <w:snapToGrid w:val="0"/>
              <w:jc w:val="right"/>
              <w:rPr>
                <w:rFonts w:hint="eastAsia" w:ascii="仿宋" w:hAnsi="仿宋" w:eastAsia="仿宋" w:cs="仿宋"/>
                <w:sz w:val="24"/>
                <w:szCs w:val="24"/>
              </w:rPr>
            </w:pPr>
          </w:p>
        </w:tc>
        <w:tc>
          <w:tcPr>
            <w:tcW w:w="5623" w:type="dxa"/>
            <w:gridSpan w:val="7"/>
            <w:shd w:val="clear" w:color="auto" w:fill="auto"/>
            <w:noWrap w:val="0"/>
            <w:vAlign w:val="center"/>
          </w:tcPr>
          <w:p w14:paraId="6FB547BC">
            <w:pPr>
              <w:adjustRightInd w:val="0"/>
              <w:snapToGrid w:val="0"/>
              <w:jc w:val="left"/>
              <w:textAlignment w:val="baseline"/>
              <w:rPr>
                <w:rFonts w:ascii="仿宋" w:hAnsi="仿宋" w:eastAsia="仿宋" w:cs="仿宋"/>
                <w:sz w:val="24"/>
                <w:szCs w:val="24"/>
              </w:rPr>
            </w:pPr>
            <w:r>
              <w:rPr>
                <w:rFonts w:hint="eastAsia" w:ascii="仿宋" w:hAnsi="仿宋" w:eastAsia="仿宋" w:cs="仿宋"/>
                <w:sz w:val="24"/>
                <w:szCs w:val="24"/>
              </w:rPr>
              <w:t xml:space="preserve">第十节 </w:t>
            </w:r>
            <w:r>
              <w:rPr>
                <w:rFonts w:ascii="仿宋" w:hAnsi="仿宋" w:eastAsia="仿宋" w:cs="仿宋"/>
                <w:sz w:val="24"/>
                <w:szCs w:val="24"/>
              </w:rPr>
              <w:t xml:space="preserve"> </w:t>
            </w:r>
            <w:r>
              <w:rPr>
                <w:rFonts w:hint="eastAsia" w:ascii="仿宋" w:hAnsi="仿宋" w:eastAsia="仿宋" w:cs="仿宋"/>
                <w:sz w:val="24"/>
                <w:szCs w:val="24"/>
              </w:rPr>
              <w:t>民族管弦乐中的弹拨乐器</w:t>
            </w:r>
          </w:p>
          <w:p w14:paraId="05A115BC">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知道层次：了解民族管弦乐中的弹拨乐器的基本种类及乐器性能。</w:t>
            </w:r>
          </w:p>
          <w:p w14:paraId="1536A5DC">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领会层次：归纳民族管弦乐中每种弹拨乐器的写作方法。</w:t>
            </w:r>
          </w:p>
          <w:p w14:paraId="53056D76">
            <w:pPr>
              <w:widowControl/>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应用层次：将钢琴谱改编为民族弹拨乐重奏。</w:t>
            </w:r>
          </w:p>
        </w:tc>
        <w:tc>
          <w:tcPr>
            <w:tcW w:w="1560" w:type="dxa"/>
            <w:shd w:val="clear" w:color="auto" w:fill="FFFFFF"/>
            <w:noWrap w:val="0"/>
            <w:vAlign w:val="center"/>
          </w:tcPr>
          <w:p w14:paraId="3A8ED691">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目标1、2</w:t>
            </w:r>
          </w:p>
        </w:tc>
        <w:tc>
          <w:tcPr>
            <w:tcW w:w="1134" w:type="dxa"/>
            <w:gridSpan w:val="2"/>
            <w:shd w:val="clear" w:color="auto" w:fill="FFFFFF"/>
            <w:noWrap w:val="0"/>
            <w:vAlign w:val="center"/>
          </w:tcPr>
          <w:p w14:paraId="2C1F5472">
            <w:pPr>
              <w:adjustRightInd w:val="0"/>
              <w:snapToGrid w:val="0"/>
              <w:jc w:val="center"/>
              <w:rPr>
                <w:rFonts w:hint="eastAsia" w:ascii="仿宋" w:hAnsi="仿宋" w:eastAsia="仿宋" w:cs="仿宋"/>
                <w:sz w:val="24"/>
                <w:szCs w:val="24"/>
              </w:rPr>
            </w:pPr>
            <w:r>
              <w:rPr>
                <w:rFonts w:ascii="仿宋" w:hAnsi="仿宋" w:eastAsia="仿宋" w:cs="仿宋"/>
                <w:sz w:val="24"/>
                <w:szCs w:val="24"/>
              </w:rPr>
              <w:t>1</w:t>
            </w:r>
          </w:p>
        </w:tc>
      </w:tr>
      <w:tr w14:paraId="484FC2A3">
        <w:trPr>
          <w:trHeight w:val="454" w:hRule="atLeast"/>
        </w:trPr>
        <w:tc>
          <w:tcPr>
            <w:tcW w:w="1186" w:type="dxa"/>
            <w:vMerge w:val="continue"/>
            <w:shd w:val="clear" w:color="auto" w:fill="FFFFFF"/>
            <w:noWrap w:val="0"/>
            <w:vAlign w:val="center"/>
          </w:tcPr>
          <w:p w14:paraId="7D07126B">
            <w:pPr>
              <w:adjustRightInd w:val="0"/>
              <w:snapToGrid w:val="0"/>
              <w:jc w:val="right"/>
              <w:rPr>
                <w:rFonts w:hint="eastAsia" w:ascii="仿宋" w:hAnsi="仿宋" w:eastAsia="仿宋" w:cs="仿宋"/>
                <w:sz w:val="24"/>
                <w:szCs w:val="24"/>
              </w:rPr>
            </w:pPr>
          </w:p>
        </w:tc>
        <w:tc>
          <w:tcPr>
            <w:tcW w:w="5623" w:type="dxa"/>
            <w:gridSpan w:val="7"/>
            <w:shd w:val="clear" w:color="auto" w:fill="auto"/>
            <w:noWrap w:val="0"/>
            <w:vAlign w:val="center"/>
          </w:tcPr>
          <w:p w14:paraId="6EF077C3">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第十一节</w:t>
            </w:r>
            <w:r>
              <w:rPr>
                <w:rFonts w:ascii="仿宋" w:hAnsi="仿宋" w:eastAsia="仿宋" w:cs="仿宋"/>
                <w:sz w:val="24"/>
                <w:szCs w:val="24"/>
              </w:rPr>
              <w:t xml:space="preserve">  </w:t>
            </w:r>
            <w:r>
              <w:rPr>
                <w:rFonts w:hint="eastAsia" w:ascii="仿宋" w:hAnsi="仿宋" w:eastAsia="仿宋" w:cs="仿宋"/>
                <w:sz w:val="24"/>
                <w:szCs w:val="24"/>
              </w:rPr>
              <w:t>民族管弦乐中的打击乐器</w:t>
            </w:r>
          </w:p>
          <w:p w14:paraId="2F51D957">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知道层次：了解民族管弦乐中的打击乐器的基本种类及乐器性能。</w:t>
            </w:r>
          </w:p>
          <w:p w14:paraId="4B03F10F">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领会层次：归纳民族管弦乐中每种打击乐器的写作方法。</w:t>
            </w:r>
          </w:p>
          <w:p w14:paraId="34FEF6C9">
            <w:pPr>
              <w:widowControl/>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应用层次：为乐曲和歌曲创编民族打击乐声部，编写民族打击乐重奏。</w:t>
            </w:r>
          </w:p>
        </w:tc>
        <w:tc>
          <w:tcPr>
            <w:tcW w:w="1560" w:type="dxa"/>
            <w:shd w:val="clear" w:color="auto" w:fill="FFFFFF"/>
            <w:noWrap w:val="0"/>
            <w:vAlign w:val="center"/>
          </w:tcPr>
          <w:p w14:paraId="3539C406">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目标1、</w:t>
            </w:r>
            <w:r>
              <w:rPr>
                <w:rFonts w:ascii="仿宋" w:hAnsi="仿宋" w:eastAsia="仿宋" w:cs="仿宋"/>
                <w:sz w:val="24"/>
                <w:szCs w:val="24"/>
              </w:rPr>
              <w:t>2</w:t>
            </w:r>
          </w:p>
        </w:tc>
        <w:tc>
          <w:tcPr>
            <w:tcW w:w="1134" w:type="dxa"/>
            <w:gridSpan w:val="2"/>
            <w:shd w:val="clear" w:color="auto" w:fill="FFFFFF"/>
            <w:noWrap w:val="0"/>
            <w:vAlign w:val="center"/>
          </w:tcPr>
          <w:p w14:paraId="24725358">
            <w:pPr>
              <w:adjustRightInd w:val="0"/>
              <w:snapToGrid w:val="0"/>
              <w:jc w:val="center"/>
              <w:rPr>
                <w:rFonts w:hint="eastAsia" w:ascii="仿宋" w:hAnsi="仿宋" w:eastAsia="仿宋" w:cs="仿宋"/>
                <w:sz w:val="24"/>
                <w:szCs w:val="24"/>
              </w:rPr>
            </w:pPr>
            <w:r>
              <w:rPr>
                <w:rFonts w:ascii="仿宋" w:hAnsi="仿宋" w:eastAsia="仿宋" w:cs="仿宋"/>
                <w:sz w:val="24"/>
                <w:szCs w:val="24"/>
              </w:rPr>
              <w:t>1</w:t>
            </w:r>
          </w:p>
        </w:tc>
      </w:tr>
      <w:tr w14:paraId="24C35BAF">
        <w:trPr>
          <w:trHeight w:val="454" w:hRule="atLeast"/>
        </w:trPr>
        <w:tc>
          <w:tcPr>
            <w:tcW w:w="1186" w:type="dxa"/>
            <w:vMerge w:val="continue"/>
            <w:shd w:val="clear" w:color="auto" w:fill="FFFFFF"/>
            <w:noWrap w:val="0"/>
            <w:vAlign w:val="center"/>
          </w:tcPr>
          <w:p w14:paraId="43991305">
            <w:pPr>
              <w:adjustRightInd w:val="0"/>
              <w:snapToGrid w:val="0"/>
              <w:jc w:val="right"/>
              <w:rPr>
                <w:rFonts w:hint="eastAsia" w:ascii="仿宋" w:hAnsi="仿宋" w:eastAsia="仿宋" w:cs="仿宋"/>
                <w:sz w:val="24"/>
                <w:szCs w:val="24"/>
              </w:rPr>
            </w:pPr>
          </w:p>
        </w:tc>
        <w:tc>
          <w:tcPr>
            <w:tcW w:w="5623" w:type="dxa"/>
            <w:gridSpan w:val="7"/>
            <w:shd w:val="clear" w:color="auto" w:fill="auto"/>
            <w:noWrap w:val="0"/>
            <w:vAlign w:val="center"/>
          </w:tcPr>
          <w:p w14:paraId="2FDC7381">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 xml:space="preserve">第十二节 </w:t>
            </w:r>
            <w:r>
              <w:rPr>
                <w:rFonts w:ascii="仿宋" w:hAnsi="仿宋" w:eastAsia="仿宋" w:cs="仿宋"/>
                <w:sz w:val="24"/>
                <w:szCs w:val="24"/>
              </w:rPr>
              <w:t xml:space="preserve"> </w:t>
            </w:r>
            <w:r>
              <w:rPr>
                <w:rFonts w:hint="eastAsia" w:ascii="仿宋" w:hAnsi="仿宋" w:eastAsia="仿宋" w:cs="仿宋"/>
                <w:sz w:val="24"/>
                <w:szCs w:val="24"/>
              </w:rPr>
              <w:t>民族管弦乐中的弦索乐类配器</w:t>
            </w:r>
          </w:p>
          <w:p w14:paraId="7FD92E6F">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知道层次：了解弦索乐的乐队配置和代表性乐曲。</w:t>
            </w:r>
          </w:p>
          <w:p w14:paraId="732EE522">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领会层次：对弦索乐队进行旋律和织体分析。</w:t>
            </w:r>
          </w:p>
          <w:p w14:paraId="692A619A">
            <w:pPr>
              <w:widowControl/>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应用层次：为乐曲和歌曲创编弦索乐声部，编写弦索乐重奏。</w:t>
            </w:r>
          </w:p>
        </w:tc>
        <w:tc>
          <w:tcPr>
            <w:tcW w:w="1560" w:type="dxa"/>
            <w:shd w:val="clear" w:color="auto" w:fill="FFFFFF"/>
            <w:noWrap w:val="0"/>
            <w:vAlign w:val="center"/>
          </w:tcPr>
          <w:p w14:paraId="2A90DC03">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目标1、</w:t>
            </w:r>
            <w:r>
              <w:rPr>
                <w:rFonts w:ascii="仿宋" w:hAnsi="仿宋" w:eastAsia="仿宋" w:cs="仿宋"/>
                <w:sz w:val="24"/>
                <w:szCs w:val="24"/>
              </w:rPr>
              <w:t>2</w:t>
            </w:r>
          </w:p>
        </w:tc>
        <w:tc>
          <w:tcPr>
            <w:tcW w:w="1134" w:type="dxa"/>
            <w:gridSpan w:val="2"/>
            <w:shd w:val="clear" w:color="auto" w:fill="FFFFFF"/>
            <w:noWrap w:val="0"/>
            <w:vAlign w:val="center"/>
          </w:tcPr>
          <w:p w14:paraId="176F63AF">
            <w:pPr>
              <w:adjustRightInd w:val="0"/>
              <w:snapToGrid w:val="0"/>
              <w:jc w:val="center"/>
              <w:rPr>
                <w:rFonts w:ascii="仿宋" w:hAnsi="仿宋" w:eastAsia="仿宋" w:cs="仿宋"/>
                <w:sz w:val="24"/>
                <w:szCs w:val="24"/>
              </w:rPr>
            </w:pPr>
            <w:r>
              <w:rPr>
                <w:rFonts w:ascii="仿宋" w:hAnsi="仿宋" w:eastAsia="仿宋" w:cs="仿宋"/>
                <w:sz w:val="24"/>
                <w:szCs w:val="24"/>
              </w:rPr>
              <w:t>1</w:t>
            </w:r>
          </w:p>
        </w:tc>
      </w:tr>
      <w:tr w14:paraId="67854DE9">
        <w:trPr>
          <w:trHeight w:val="454" w:hRule="atLeast"/>
        </w:trPr>
        <w:tc>
          <w:tcPr>
            <w:tcW w:w="1186" w:type="dxa"/>
            <w:vMerge w:val="continue"/>
            <w:shd w:val="clear" w:color="auto" w:fill="FFFFFF"/>
            <w:noWrap w:val="0"/>
            <w:vAlign w:val="center"/>
          </w:tcPr>
          <w:p w14:paraId="634BC5FF">
            <w:pPr>
              <w:adjustRightInd w:val="0"/>
              <w:snapToGrid w:val="0"/>
              <w:jc w:val="right"/>
              <w:rPr>
                <w:rFonts w:hint="eastAsia" w:ascii="仿宋" w:hAnsi="仿宋" w:eastAsia="仿宋" w:cs="仿宋"/>
                <w:sz w:val="24"/>
                <w:szCs w:val="24"/>
              </w:rPr>
            </w:pPr>
          </w:p>
        </w:tc>
        <w:tc>
          <w:tcPr>
            <w:tcW w:w="5623" w:type="dxa"/>
            <w:gridSpan w:val="7"/>
            <w:shd w:val="clear" w:color="auto" w:fill="auto"/>
            <w:noWrap w:val="0"/>
            <w:vAlign w:val="center"/>
          </w:tcPr>
          <w:p w14:paraId="4D14CB01">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 xml:space="preserve">第十三节 </w:t>
            </w:r>
            <w:r>
              <w:rPr>
                <w:rFonts w:ascii="仿宋" w:hAnsi="仿宋" w:eastAsia="仿宋" w:cs="仿宋"/>
                <w:sz w:val="24"/>
                <w:szCs w:val="24"/>
              </w:rPr>
              <w:t xml:space="preserve"> </w:t>
            </w:r>
            <w:r>
              <w:rPr>
                <w:rFonts w:hint="eastAsia" w:ascii="仿宋" w:hAnsi="仿宋" w:eastAsia="仿宋" w:cs="仿宋"/>
                <w:sz w:val="24"/>
                <w:szCs w:val="24"/>
              </w:rPr>
              <w:t>民族管弦乐中的丝竹乐类配器</w:t>
            </w:r>
          </w:p>
          <w:p w14:paraId="072B2EC8">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知道层次：了解丝竹乐的乐队配置和代表性乐曲。</w:t>
            </w:r>
          </w:p>
          <w:p w14:paraId="52885DC2">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领会层次：对丝竹乐队进行旋律和织体分析。</w:t>
            </w:r>
          </w:p>
          <w:p w14:paraId="7ECF4497">
            <w:pPr>
              <w:widowControl/>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应用层次：为乐曲和歌曲创编丝竹乐声部，编写丝竹乐重奏。</w:t>
            </w:r>
          </w:p>
        </w:tc>
        <w:tc>
          <w:tcPr>
            <w:tcW w:w="1560" w:type="dxa"/>
            <w:shd w:val="clear" w:color="auto" w:fill="FFFFFF"/>
            <w:noWrap w:val="0"/>
            <w:vAlign w:val="center"/>
          </w:tcPr>
          <w:p w14:paraId="2E8DF8ED">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目标1、</w:t>
            </w:r>
            <w:r>
              <w:rPr>
                <w:rFonts w:ascii="仿宋" w:hAnsi="仿宋" w:eastAsia="仿宋" w:cs="仿宋"/>
                <w:sz w:val="24"/>
                <w:szCs w:val="24"/>
              </w:rPr>
              <w:t>2</w:t>
            </w:r>
          </w:p>
        </w:tc>
        <w:tc>
          <w:tcPr>
            <w:tcW w:w="1134" w:type="dxa"/>
            <w:gridSpan w:val="2"/>
            <w:shd w:val="clear" w:color="auto" w:fill="FFFFFF"/>
            <w:noWrap w:val="0"/>
            <w:vAlign w:val="center"/>
          </w:tcPr>
          <w:p w14:paraId="1FFCAB68">
            <w:pPr>
              <w:adjustRightInd w:val="0"/>
              <w:snapToGrid w:val="0"/>
              <w:jc w:val="center"/>
              <w:rPr>
                <w:rFonts w:ascii="仿宋" w:hAnsi="仿宋" w:eastAsia="仿宋" w:cs="仿宋"/>
                <w:sz w:val="24"/>
                <w:szCs w:val="24"/>
              </w:rPr>
            </w:pPr>
            <w:r>
              <w:rPr>
                <w:rFonts w:ascii="仿宋" w:hAnsi="仿宋" w:eastAsia="仿宋" w:cs="仿宋"/>
                <w:sz w:val="24"/>
                <w:szCs w:val="24"/>
              </w:rPr>
              <w:t>1</w:t>
            </w:r>
          </w:p>
        </w:tc>
      </w:tr>
      <w:tr w14:paraId="797DC9FE">
        <w:trPr>
          <w:trHeight w:val="454" w:hRule="atLeast"/>
        </w:trPr>
        <w:tc>
          <w:tcPr>
            <w:tcW w:w="1186" w:type="dxa"/>
            <w:vMerge w:val="continue"/>
            <w:shd w:val="clear" w:color="auto" w:fill="FFFFFF"/>
            <w:noWrap w:val="0"/>
            <w:vAlign w:val="center"/>
          </w:tcPr>
          <w:p w14:paraId="2F081B45">
            <w:pPr>
              <w:adjustRightInd w:val="0"/>
              <w:snapToGrid w:val="0"/>
              <w:jc w:val="right"/>
              <w:rPr>
                <w:rFonts w:hint="eastAsia" w:ascii="仿宋" w:hAnsi="仿宋" w:eastAsia="仿宋" w:cs="仿宋"/>
                <w:sz w:val="24"/>
                <w:szCs w:val="24"/>
              </w:rPr>
            </w:pPr>
          </w:p>
        </w:tc>
        <w:tc>
          <w:tcPr>
            <w:tcW w:w="5623" w:type="dxa"/>
            <w:gridSpan w:val="7"/>
            <w:shd w:val="clear" w:color="auto" w:fill="auto"/>
            <w:noWrap w:val="0"/>
            <w:vAlign w:val="center"/>
          </w:tcPr>
          <w:p w14:paraId="3A11662B">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 xml:space="preserve">第十四节 </w:t>
            </w:r>
            <w:r>
              <w:rPr>
                <w:rFonts w:ascii="仿宋" w:hAnsi="仿宋" w:eastAsia="仿宋" w:cs="仿宋"/>
                <w:sz w:val="24"/>
                <w:szCs w:val="24"/>
              </w:rPr>
              <w:t xml:space="preserve"> </w:t>
            </w:r>
            <w:r>
              <w:rPr>
                <w:rFonts w:hint="eastAsia" w:ascii="仿宋" w:hAnsi="仿宋" w:eastAsia="仿宋" w:cs="仿宋"/>
                <w:sz w:val="24"/>
                <w:szCs w:val="24"/>
              </w:rPr>
              <w:t>民族管弦乐中的吹打乐类配器</w:t>
            </w:r>
          </w:p>
          <w:p w14:paraId="40086C32">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知道层次：了解吹打乐的乐队配置和代表性乐曲。</w:t>
            </w:r>
          </w:p>
          <w:p w14:paraId="748F0BC5">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领会层次：对吹打乐队进行旋律和织体分析。</w:t>
            </w:r>
          </w:p>
          <w:p w14:paraId="55634CB6">
            <w:pPr>
              <w:widowControl/>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应用层次：为乐曲和歌曲创编吹打乐声部，编写吹打乐重奏。</w:t>
            </w:r>
          </w:p>
        </w:tc>
        <w:tc>
          <w:tcPr>
            <w:tcW w:w="1560" w:type="dxa"/>
            <w:shd w:val="clear" w:color="auto" w:fill="FFFFFF"/>
            <w:noWrap w:val="0"/>
            <w:vAlign w:val="center"/>
          </w:tcPr>
          <w:p w14:paraId="524C86E6">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目标1、</w:t>
            </w:r>
            <w:r>
              <w:rPr>
                <w:rFonts w:ascii="仿宋" w:hAnsi="仿宋" w:eastAsia="仿宋" w:cs="仿宋"/>
                <w:sz w:val="24"/>
                <w:szCs w:val="24"/>
              </w:rPr>
              <w:t>2</w:t>
            </w:r>
          </w:p>
        </w:tc>
        <w:tc>
          <w:tcPr>
            <w:tcW w:w="1134" w:type="dxa"/>
            <w:gridSpan w:val="2"/>
            <w:shd w:val="clear" w:color="auto" w:fill="FFFFFF"/>
            <w:noWrap w:val="0"/>
            <w:vAlign w:val="center"/>
          </w:tcPr>
          <w:p w14:paraId="48CADF74">
            <w:pPr>
              <w:adjustRightInd w:val="0"/>
              <w:snapToGrid w:val="0"/>
              <w:jc w:val="center"/>
              <w:rPr>
                <w:rFonts w:ascii="仿宋" w:hAnsi="仿宋" w:eastAsia="仿宋" w:cs="仿宋"/>
                <w:sz w:val="24"/>
                <w:szCs w:val="24"/>
              </w:rPr>
            </w:pPr>
            <w:r>
              <w:rPr>
                <w:rFonts w:ascii="仿宋" w:hAnsi="仿宋" w:eastAsia="仿宋" w:cs="仿宋"/>
                <w:sz w:val="24"/>
                <w:szCs w:val="24"/>
              </w:rPr>
              <w:t>1</w:t>
            </w:r>
          </w:p>
        </w:tc>
      </w:tr>
      <w:tr w14:paraId="500BBF7B">
        <w:trPr>
          <w:trHeight w:val="454" w:hRule="atLeast"/>
        </w:trPr>
        <w:tc>
          <w:tcPr>
            <w:tcW w:w="1186" w:type="dxa"/>
            <w:vMerge w:val="continue"/>
            <w:shd w:val="clear" w:color="auto" w:fill="FFFFFF"/>
            <w:noWrap w:val="0"/>
            <w:vAlign w:val="center"/>
          </w:tcPr>
          <w:p w14:paraId="0B53A203">
            <w:pPr>
              <w:adjustRightInd w:val="0"/>
              <w:snapToGrid w:val="0"/>
              <w:jc w:val="right"/>
              <w:rPr>
                <w:rFonts w:hint="eastAsia" w:ascii="仿宋" w:hAnsi="仿宋" w:eastAsia="仿宋" w:cs="仿宋"/>
                <w:sz w:val="24"/>
                <w:szCs w:val="24"/>
              </w:rPr>
            </w:pPr>
          </w:p>
        </w:tc>
        <w:tc>
          <w:tcPr>
            <w:tcW w:w="5623" w:type="dxa"/>
            <w:gridSpan w:val="7"/>
            <w:shd w:val="clear" w:color="auto" w:fill="auto"/>
            <w:noWrap w:val="0"/>
            <w:vAlign w:val="center"/>
          </w:tcPr>
          <w:p w14:paraId="547E81AC">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 xml:space="preserve">第十五节 </w:t>
            </w:r>
            <w:r>
              <w:rPr>
                <w:rFonts w:ascii="仿宋" w:hAnsi="仿宋" w:eastAsia="仿宋" w:cs="仿宋"/>
                <w:sz w:val="24"/>
                <w:szCs w:val="24"/>
              </w:rPr>
              <w:t xml:space="preserve"> </w:t>
            </w:r>
            <w:r>
              <w:rPr>
                <w:rFonts w:hint="eastAsia" w:ascii="仿宋" w:hAnsi="仿宋" w:eastAsia="仿宋" w:cs="仿宋"/>
                <w:sz w:val="24"/>
                <w:szCs w:val="24"/>
              </w:rPr>
              <w:t>民族管弦乐中的锣鼓乐类配器</w:t>
            </w:r>
          </w:p>
          <w:p w14:paraId="173B221E">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知道层次：了解锣鼓乐的乐队配置和代表性乐曲。</w:t>
            </w:r>
          </w:p>
          <w:p w14:paraId="5AE7DCDF">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领会层次：对锣鼓乐队进行旋律和织体分析。</w:t>
            </w:r>
          </w:p>
          <w:p w14:paraId="17FBFDC5">
            <w:pPr>
              <w:widowControl/>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应用层次：为乐曲和歌曲创编锣鼓乐声部，编写锣鼓乐重奏。</w:t>
            </w:r>
          </w:p>
        </w:tc>
        <w:tc>
          <w:tcPr>
            <w:tcW w:w="1560" w:type="dxa"/>
            <w:shd w:val="clear" w:color="auto" w:fill="FFFFFF"/>
            <w:noWrap w:val="0"/>
            <w:vAlign w:val="center"/>
          </w:tcPr>
          <w:p w14:paraId="34C33480">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目标1、</w:t>
            </w:r>
            <w:r>
              <w:rPr>
                <w:rFonts w:ascii="仿宋" w:hAnsi="仿宋" w:eastAsia="仿宋" w:cs="仿宋"/>
                <w:sz w:val="24"/>
                <w:szCs w:val="24"/>
              </w:rPr>
              <w:t>2</w:t>
            </w:r>
          </w:p>
        </w:tc>
        <w:tc>
          <w:tcPr>
            <w:tcW w:w="1134" w:type="dxa"/>
            <w:gridSpan w:val="2"/>
            <w:shd w:val="clear" w:color="auto" w:fill="FFFFFF"/>
            <w:noWrap w:val="0"/>
            <w:vAlign w:val="center"/>
          </w:tcPr>
          <w:p w14:paraId="744A00BE">
            <w:pPr>
              <w:adjustRightInd w:val="0"/>
              <w:snapToGrid w:val="0"/>
              <w:jc w:val="center"/>
              <w:rPr>
                <w:rFonts w:ascii="仿宋" w:hAnsi="仿宋" w:eastAsia="仿宋" w:cs="仿宋"/>
                <w:sz w:val="24"/>
                <w:szCs w:val="24"/>
              </w:rPr>
            </w:pPr>
            <w:r>
              <w:rPr>
                <w:rFonts w:ascii="仿宋" w:hAnsi="仿宋" w:eastAsia="仿宋" w:cs="仿宋"/>
                <w:sz w:val="24"/>
                <w:szCs w:val="24"/>
              </w:rPr>
              <w:t>1</w:t>
            </w:r>
          </w:p>
        </w:tc>
      </w:tr>
      <w:tr w14:paraId="0F6D32DA">
        <w:trPr>
          <w:trHeight w:val="454" w:hRule="atLeast"/>
        </w:trPr>
        <w:tc>
          <w:tcPr>
            <w:tcW w:w="1186" w:type="dxa"/>
            <w:vMerge w:val="continue"/>
            <w:shd w:val="clear" w:color="auto" w:fill="FFFFFF"/>
            <w:noWrap w:val="0"/>
            <w:vAlign w:val="center"/>
          </w:tcPr>
          <w:p w14:paraId="30831A6B">
            <w:pPr>
              <w:adjustRightInd w:val="0"/>
              <w:snapToGrid w:val="0"/>
              <w:jc w:val="right"/>
              <w:rPr>
                <w:rFonts w:hint="eastAsia" w:ascii="仿宋" w:hAnsi="仿宋" w:eastAsia="仿宋" w:cs="仿宋"/>
                <w:sz w:val="24"/>
                <w:szCs w:val="24"/>
              </w:rPr>
            </w:pPr>
          </w:p>
        </w:tc>
        <w:tc>
          <w:tcPr>
            <w:tcW w:w="5623" w:type="dxa"/>
            <w:gridSpan w:val="7"/>
            <w:shd w:val="clear" w:color="auto" w:fill="auto"/>
            <w:noWrap w:val="0"/>
            <w:vAlign w:val="center"/>
          </w:tcPr>
          <w:p w14:paraId="5A1C068A">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 xml:space="preserve">第十六节 </w:t>
            </w:r>
            <w:r>
              <w:rPr>
                <w:rFonts w:ascii="仿宋" w:hAnsi="仿宋" w:eastAsia="仿宋" w:cs="仿宋"/>
                <w:sz w:val="24"/>
                <w:szCs w:val="24"/>
              </w:rPr>
              <w:t xml:space="preserve"> </w:t>
            </w:r>
            <w:r>
              <w:rPr>
                <w:rFonts w:hint="eastAsia" w:ascii="仿宋" w:hAnsi="仿宋" w:eastAsia="仿宋" w:cs="仿宋"/>
                <w:sz w:val="24"/>
                <w:szCs w:val="24"/>
              </w:rPr>
              <w:t>电声乐队配器</w:t>
            </w:r>
          </w:p>
          <w:p w14:paraId="041D82E1">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知道层次：了解电声乐器的基本种类及乐器性能。</w:t>
            </w:r>
          </w:p>
          <w:p w14:paraId="3A714F40">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领会层次：归纳电声乐器组中每种乐器的写作方法。</w:t>
            </w:r>
          </w:p>
          <w:p w14:paraId="18FA3CAA">
            <w:pPr>
              <w:widowControl/>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应用层次：为乐曲和歌曲创编电声乐声部，编写电声乐伴奏。</w:t>
            </w:r>
          </w:p>
        </w:tc>
        <w:tc>
          <w:tcPr>
            <w:tcW w:w="1560" w:type="dxa"/>
            <w:shd w:val="clear" w:color="auto" w:fill="FFFFFF"/>
            <w:noWrap w:val="0"/>
            <w:vAlign w:val="center"/>
          </w:tcPr>
          <w:p w14:paraId="13C83D2B">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目标1、</w:t>
            </w:r>
            <w:r>
              <w:rPr>
                <w:rFonts w:ascii="仿宋" w:hAnsi="仿宋" w:eastAsia="仿宋" w:cs="仿宋"/>
                <w:sz w:val="24"/>
                <w:szCs w:val="24"/>
              </w:rPr>
              <w:t>2</w:t>
            </w:r>
          </w:p>
        </w:tc>
        <w:tc>
          <w:tcPr>
            <w:tcW w:w="1134" w:type="dxa"/>
            <w:gridSpan w:val="2"/>
            <w:shd w:val="clear" w:color="auto" w:fill="FFFFFF"/>
            <w:noWrap w:val="0"/>
            <w:vAlign w:val="center"/>
          </w:tcPr>
          <w:p w14:paraId="20F2D953">
            <w:pPr>
              <w:adjustRightInd w:val="0"/>
              <w:snapToGrid w:val="0"/>
              <w:jc w:val="center"/>
              <w:rPr>
                <w:rFonts w:ascii="仿宋" w:hAnsi="仿宋" w:eastAsia="仿宋" w:cs="仿宋"/>
                <w:sz w:val="24"/>
                <w:szCs w:val="24"/>
              </w:rPr>
            </w:pPr>
            <w:r>
              <w:rPr>
                <w:rFonts w:ascii="仿宋" w:hAnsi="仿宋" w:eastAsia="仿宋" w:cs="仿宋"/>
                <w:sz w:val="24"/>
                <w:szCs w:val="24"/>
              </w:rPr>
              <w:t>1</w:t>
            </w:r>
          </w:p>
        </w:tc>
      </w:tr>
      <w:tr w14:paraId="249DB442">
        <w:trPr>
          <w:trHeight w:val="454" w:hRule="atLeast"/>
        </w:trPr>
        <w:tc>
          <w:tcPr>
            <w:tcW w:w="1186" w:type="dxa"/>
            <w:vMerge w:val="continue"/>
            <w:shd w:val="clear" w:color="auto" w:fill="FFFFFF"/>
            <w:noWrap w:val="0"/>
            <w:vAlign w:val="center"/>
          </w:tcPr>
          <w:p w14:paraId="271CA56F">
            <w:pPr>
              <w:adjustRightInd w:val="0"/>
              <w:snapToGrid w:val="0"/>
              <w:jc w:val="center"/>
              <w:rPr>
                <w:rFonts w:hint="eastAsia" w:ascii="仿宋" w:hAnsi="仿宋" w:eastAsia="仿宋" w:cs="仿宋"/>
                <w:sz w:val="24"/>
                <w:szCs w:val="24"/>
              </w:rPr>
            </w:pPr>
          </w:p>
        </w:tc>
        <w:tc>
          <w:tcPr>
            <w:tcW w:w="5623" w:type="dxa"/>
            <w:gridSpan w:val="7"/>
            <w:shd w:val="clear" w:color="auto" w:fill="auto"/>
            <w:noWrap w:val="0"/>
            <w:vAlign w:val="center"/>
          </w:tcPr>
          <w:p w14:paraId="77B3F4B8">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合计</w:t>
            </w:r>
          </w:p>
        </w:tc>
        <w:tc>
          <w:tcPr>
            <w:tcW w:w="2694" w:type="dxa"/>
            <w:gridSpan w:val="3"/>
            <w:shd w:val="clear" w:color="auto" w:fill="FFFFFF"/>
            <w:noWrap w:val="0"/>
            <w:vAlign w:val="center"/>
          </w:tcPr>
          <w:p w14:paraId="7694FA87">
            <w:pPr>
              <w:adjustRightInd w:val="0"/>
              <w:snapToGrid w:val="0"/>
              <w:jc w:val="center"/>
              <w:rPr>
                <w:rFonts w:hint="eastAsia" w:ascii="仿宋" w:hAnsi="仿宋" w:eastAsia="仿宋" w:cs="仿宋"/>
                <w:sz w:val="24"/>
                <w:szCs w:val="24"/>
              </w:rPr>
            </w:pPr>
            <w:r>
              <w:rPr>
                <w:rFonts w:ascii="仿宋" w:hAnsi="仿宋" w:eastAsia="仿宋" w:cs="仿宋"/>
                <w:sz w:val="24"/>
                <w:szCs w:val="24"/>
              </w:rPr>
              <w:t>16</w:t>
            </w:r>
          </w:p>
        </w:tc>
      </w:tr>
      <w:tr w14:paraId="5967007F">
        <w:trPr>
          <w:trHeight w:val="454" w:hRule="atLeast"/>
        </w:trPr>
        <w:tc>
          <w:tcPr>
            <w:tcW w:w="1186" w:type="dxa"/>
            <w:vMerge w:val="restart"/>
            <w:shd w:val="clear" w:color="auto" w:fill="FFFFFF"/>
            <w:noWrap w:val="0"/>
            <w:vAlign w:val="center"/>
          </w:tcPr>
          <w:p w14:paraId="28FED147">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G</w:t>
            </w:r>
          </w:p>
          <w:p w14:paraId="5469B84B">
            <w:pPr>
              <w:adjustRightInd w:val="0"/>
              <w:snapToGrid w:val="0"/>
              <w:jc w:val="center"/>
              <w:rPr>
                <w:rFonts w:hint="eastAsia" w:ascii="仿宋" w:hAnsi="仿宋" w:eastAsia="仿宋" w:cs="仿宋"/>
                <w:sz w:val="24"/>
                <w:szCs w:val="24"/>
              </w:rPr>
            </w:pPr>
            <w:r>
              <w:rPr>
                <w:rFonts w:hint="eastAsia" w:ascii="仿宋" w:hAnsi="仿宋" w:eastAsia="仿宋" w:cs="仿宋"/>
                <w:color w:val="000000"/>
                <w:sz w:val="24"/>
                <w:szCs w:val="24"/>
              </w:rPr>
              <w:t>实训内容</w:t>
            </w:r>
          </w:p>
        </w:tc>
        <w:tc>
          <w:tcPr>
            <w:tcW w:w="5623" w:type="dxa"/>
            <w:gridSpan w:val="7"/>
            <w:shd w:val="clear" w:color="auto" w:fill="auto"/>
            <w:noWrap w:val="0"/>
            <w:vAlign w:val="center"/>
          </w:tcPr>
          <w:p w14:paraId="5602CD42">
            <w:pPr>
              <w:adjustRightInd w:val="0"/>
              <w:snapToGrid w:val="0"/>
              <w:jc w:val="center"/>
              <w:textAlignment w:val="baseline"/>
              <w:rPr>
                <w:rFonts w:hint="eastAsia" w:ascii="仿宋" w:hAnsi="仿宋" w:eastAsia="仿宋" w:cs="仿宋"/>
                <w:sz w:val="24"/>
                <w:szCs w:val="24"/>
              </w:rPr>
            </w:pPr>
            <w:r>
              <w:rPr>
                <w:rFonts w:hint="eastAsia" w:ascii="仿宋" w:hAnsi="仿宋" w:eastAsia="仿宋" w:cs="仿宋"/>
                <w:sz w:val="24"/>
                <w:szCs w:val="24"/>
              </w:rPr>
              <w:t>实训内容及训练要求</w:t>
            </w:r>
          </w:p>
        </w:tc>
        <w:tc>
          <w:tcPr>
            <w:tcW w:w="1560" w:type="dxa"/>
            <w:shd w:val="clear" w:color="auto" w:fill="FFFFFF"/>
            <w:noWrap w:val="0"/>
            <w:vAlign w:val="center"/>
          </w:tcPr>
          <w:p w14:paraId="65259018">
            <w:pPr>
              <w:adjustRightInd w:val="0"/>
              <w:snapToGrid w:val="0"/>
              <w:jc w:val="center"/>
              <w:rPr>
                <w:rFonts w:ascii="仿宋" w:hAnsi="仿宋" w:eastAsia="仿宋" w:cs="仿宋"/>
                <w:sz w:val="24"/>
                <w:szCs w:val="24"/>
              </w:rPr>
            </w:pPr>
            <w:r>
              <w:rPr>
                <w:rFonts w:hint="eastAsia" w:ascii="仿宋" w:hAnsi="仿宋" w:eastAsia="仿宋" w:cs="仿宋"/>
                <w:sz w:val="24"/>
                <w:szCs w:val="24"/>
              </w:rPr>
              <w:t>支撑课程目标</w:t>
            </w:r>
          </w:p>
        </w:tc>
        <w:tc>
          <w:tcPr>
            <w:tcW w:w="1134" w:type="dxa"/>
            <w:gridSpan w:val="2"/>
            <w:shd w:val="clear" w:color="auto" w:fill="FFFFFF"/>
            <w:noWrap w:val="0"/>
            <w:vAlign w:val="center"/>
          </w:tcPr>
          <w:p w14:paraId="58F769F0">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学时分配</w:t>
            </w:r>
          </w:p>
        </w:tc>
      </w:tr>
      <w:tr w14:paraId="535E0F6C">
        <w:trPr>
          <w:trHeight w:val="1166" w:hRule="atLeast"/>
        </w:trPr>
        <w:tc>
          <w:tcPr>
            <w:tcW w:w="1186" w:type="dxa"/>
            <w:vMerge w:val="continue"/>
            <w:shd w:val="clear" w:color="auto" w:fill="FFFFFF"/>
            <w:noWrap w:val="0"/>
            <w:vAlign w:val="center"/>
          </w:tcPr>
          <w:p w14:paraId="77CC7B3A">
            <w:pPr>
              <w:adjustRightInd w:val="0"/>
              <w:snapToGrid w:val="0"/>
              <w:jc w:val="center"/>
              <w:rPr>
                <w:rFonts w:hint="eastAsia" w:ascii="仿宋" w:hAnsi="仿宋" w:eastAsia="仿宋" w:cs="仿宋"/>
                <w:sz w:val="24"/>
                <w:szCs w:val="24"/>
              </w:rPr>
            </w:pPr>
          </w:p>
        </w:tc>
        <w:tc>
          <w:tcPr>
            <w:tcW w:w="5623" w:type="dxa"/>
            <w:gridSpan w:val="7"/>
            <w:shd w:val="clear" w:color="auto" w:fill="auto"/>
            <w:noWrap w:val="0"/>
            <w:vAlign w:val="center"/>
          </w:tcPr>
          <w:p w14:paraId="50355997">
            <w:pPr>
              <w:adjustRightInd w:val="0"/>
              <w:snapToGrid w:val="0"/>
              <w:jc w:val="left"/>
              <w:textAlignment w:val="baseline"/>
              <w:rPr>
                <w:rFonts w:hint="eastAsia" w:ascii="仿宋" w:hAnsi="仿宋" w:eastAsia="仿宋" w:cs="仿宋"/>
                <w:sz w:val="24"/>
                <w:szCs w:val="24"/>
              </w:rPr>
            </w:pPr>
            <w:r>
              <w:rPr>
                <w:rFonts w:hint="eastAsia" w:ascii="仿宋" w:hAnsi="仿宋" w:eastAsia="仿宋" w:cs="仿宋"/>
                <w:sz w:val="24"/>
                <w:szCs w:val="24"/>
              </w:rPr>
              <w:t xml:space="preserve">实训一 </w:t>
            </w:r>
            <w:r>
              <w:rPr>
                <w:rFonts w:ascii="仿宋" w:hAnsi="仿宋" w:eastAsia="仿宋" w:cs="仿宋"/>
                <w:sz w:val="24"/>
                <w:szCs w:val="24"/>
              </w:rPr>
              <w:t xml:space="preserve">   </w:t>
            </w:r>
            <w:r>
              <w:rPr>
                <w:rFonts w:hint="eastAsia" w:ascii="仿宋" w:hAnsi="仿宋" w:eastAsia="仿宋" w:cs="仿宋"/>
                <w:sz w:val="24"/>
                <w:szCs w:val="24"/>
              </w:rPr>
              <w:t>制谱软件实操训练</w:t>
            </w:r>
          </w:p>
          <w:p w14:paraId="3C79730F">
            <w:pPr>
              <w:widowControl/>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实训目的：运用S</w:t>
            </w:r>
            <w:r>
              <w:rPr>
                <w:rFonts w:ascii="仿宋" w:hAnsi="仿宋" w:eastAsia="仿宋" w:cs="仿宋"/>
                <w:sz w:val="24"/>
                <w:szCs w:val="24"/>
              </w:rPr>
              <w:t>ibelius</w:t>
            </w:r>
            <w:r>
              <w:rPr>
                <w:rFonts w:hint="eastAsia" w:ascii="仿宋" w:hAnsi="仿宋" w:eastAsia="仿宋" w:cs="仿宋"/>
                <w:sz w:val="24"/>
                <w:szCs w:val="24"/>
              </w:rPr>
              <w:t>软件进行乐谱制作。</w:t>
            </w:r>
          </w:p>
          <w:p w14:paraId="1F9B3E02">
            <w:pPr>
              <w:widowControl/>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实训任务：熟练操作S</w:t>
            </w:r>
            <w:r>
              <w:rPr>
                <w:rFonts w:ascii="仿宋" w:hAnsi="仿宋" w:eastAsia="仿宋" w:cs="仿宋"/>
                <w:sz w:val="24"/>
                <w:szCs w:val="24"/>
              </w:rPr>
              <w:t>ibelius</w:t>
            </w:r>
            <w:r>
              <w:rPr>
                <w:rFonts w:hint="eastAsia" w:ascii="仿宋" w:hAnsi="仿宋" w:eastAsia="仿宋" w:cs="仿宋"/>
                <w:sz w:val="24"/>
                <w:szCs w:val="24"/>
              </w:rPr>
              <w:t>制谱软件进行总谱和分谱的制作。</w:t>
            </w:r>
          </w:p>
        </w:tc>
        <w:tc>
          <w:tcPr>
            <w:tcW w:w="1560" w:type="dxa"/>
            <w:shd w:val="clear" w:color="auto" w:fill="FFFFFF"/>
            <w:noWrap w:val="0"/>
            <w:vAlign w:val="center"/>
          </w:tcPr>
          <w:p w14:paraId="58E3510C">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目标</w:t>
            </w:r>
            <w:r>
              <w:rPr>
                <w:rFonts w:ascii="仿宋" w:hAnsi="仿宋" w:eastAsia="仿宋" w:cs="仿宋"/>
                <w:sz w:val="24"/>
                <w:szCs w:val="24"/>
              </w:rPr>
              <w:t>2</w:t>
            </w:r>
            <w:r>
              <w:rPr>
                <w:rFonts w:hint="eastAsia" w:ascii="仿宋" w:hAnsi="仿宋" w:eastAsia="仿宋" w:cs="仿宋"/>
                <w:sz w:val="24"/>
                <w:szCs w:val="24"/>
              </w:rPr>
              <w:t>、3</w:t>
            </w:r>
          </w:p>
        </w:tc>
        <w:tc>
          <w:tcPr>
            <w:tcW w:w="1134" w:type="dxa"/>
            <w:gridSpan w:val="2"/>
            <w:shd w:val="clear" w:color="auto" w:fill="FFFFFF"/>
            <w:noWrap w:val="0"/>
            <w:vAlign w:val="center"/>
          </w:tcPr>
          <w:p w14:paraId="41C2A632">
            <w:pPr>
              <w:adjustRightInd w:val="0"/>
              <w:snapToGrid w:val="0"/>
              <w:jc w:val="center"/>
              <w:rPr>
                <w:rFonts w:hint="eastAsia" w:ascii="仿宋" w:hAnsi="仿宋" w:eastAsia="仿宋" w:cs="仿宋"/>
                <w:sz w:val="24"/>
                <w:szCs w:val="24"/>
              </w:rPr>
            </w:pPr>
            <w:r>
              <w:rPr>
                <w:rFonts w:ascii="仿宋" w:hAnsi="仿宋" w:eastAsia="仿宋" w:cs="仿宋"/>
                <w:sz w:val="24"/>
                <w:szCs w:val="24"/>
              </w:rPr>
              <w:t>4</w:t>
            </w:r>
          </w:p>
        </w:tc>
      </w:tr>
      <w:tr w14:paraId="24B5494B">
        <w:trPr>
          <w:trHeight w:val="649" w:hRule="atLeast"/>
        </w:trPr>
        <w:tc>
          <w:tcPr>
            <w:tcW w:w="1186" w:type="dxa"/>
            <w:vMerge w:val="continue"/>
            <w:shd w:val="clear" w:color="auto" w:fill="FFFFFF"/>
            <w:noWrap w:val="0"/>
            <w:vAlign w:val="center"/>
          </w:tcPr>
          <w:p w14:paraId="31616E56">
            <w:pPr>
              <w:adjustRightInd w:val="0"/>
              <w:snapToGrid w:val="0"/>
              <w:jc w:val="center"/>
              <w:rPr>
                <w:rFonts w:hint="eastAsia" w:ascii="仿宋" w:hAnsi="仿宋" w:eastAsia="仿宋" w:cs="仿宋"/>
                <w:sz w:val="24"/>
                <w:szCs w:val="24"/>
              </w:rPr>
            </w:pPr>
          </w:p>
        </w:tc>
        <w:tc>
          <w:tcPr>
            <w:tcW w:w="5623" w:type="dxa"/>
            <w:gridSpan w:val="7"/>
            <w:shd w:val="clear" w:color="auto" w:fill="auto"/>
            <w:noWrap w:val="0"/>
            <w:vAlign w:val="center"/>
          </w:tcPr>
          <w:p w14:paraId="533FB3AF">
            <w:pPr>
              <w:adjustRightInd w:val="0"/>
              <w:snapToGrid w:val="0"/>
              <w:jc w:val="left"/>
              <w:textAlignment w:val="baseline"/>
              <w:rPr>
                <w:rFonts w:ascii="仿宋" w:hAnsi="仿宋" w:eastAsia="仿宋" w:cs="仿宋"/>
                <w:sz w:val="24"/>
                <w:szCs w:val="24"/>
              </w:rPr>
            </w:pPr>
            <w:r>
              <w:rPr>
                <w:rFonts w:hint="eastAsia" w:ascii="仿宋" w:hAnsi="仿宋" w:eastAsia="仿宋" w:cs="仿宋"/>
                <w:sz w:val="24"/>
                <w:szCs w:val="24"/>
              </w:rPr>
              <w:t xml:space="preserve">实训二 </w:t>
            </w:r>
            <w:r>
              <w:rPr>
                <w:rFonts w:ascii="仿宋" w:hAnsi="仿宋" w:eastAsia="仿宋" w:cs="仿宋"/>
                <w:sz w:val="24"/>
                <w:szCs w:val="24"/>
              </w:rPr>
              <w:t xml:space="preserve"> </w:t>
            </w:r>
            <w:r>
              <w:rPr>
                <w:rFonts w:hint="eastAsia" w:ascii="仿宋" w:hAnsi="仿宋" w:eastAsia="仿宋" w:cs="仿宋"/>
                <w:sz w:val="24"/>
                <w:szCs w:val="24"/>
              </w:rPr>
              <w:t xml:space="preserve"> </w:t>
            </w:r>
            <w:r>
              <w:rPr>
                <w:rFonts w:ascii="仿宋" w:hAnsi="仿宋" w:eastAsia="仿宋" w:cs="仿宋"/>
                <w:sz w:val="24"/>
                <w:szCs w:val="24"/>
              </w:rPr>
              <w:t xml:space="preserve"> </w:t>
            </w:r>
            <w:r>
              <w:rPr>
                <w:rFonts w:hint="eastAsia" w:ascii="仿宋" w:hAnsi="仿宋" w:eastAsia="仿宋" w:cs="仿宋"/>
                <w:sz w:val="24"/>
                <w:szCs w:val="24"/>
              </w:rPr>
              <w:t>作品改编实操训练</w:t>
            </w:r>
          </w:p>
          <w:p w14:paraId="49AE40DD">
            <w:pPr>
              <w:widowControl/>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实训目的：将作品进行改编、二度创作。</w:t>
            </w:r>
          </w:p>
          <w:p w14:paraId="5775327E">
            <w:pPr>
              <w:widowControl/>
              <w:adjustRightInd w:val="0"/>
              <w:snapToGrid w:val="0"/>
              <w:ind w:left="1200" w:hanging="1200" w:hangingChars="500"/>
              <w:jc w:val="left"/>
              <w:rPr>
                <w:rFonts w:hint="eastAsia" w:ascii="仿宋" w:hAnsi="仿宋" w:eastAsia="仿宋" w:cs="仿宋"/>
                <w:sz w:val="24"/>
                <w:szCs w:val="24"/>
              </w:rPr>
            </w:pPr>
            <w:r>
              <w:rPr>
                <w:rFonts w:hint="eastAsia" w:ascii="仿宋" w:hAnsi="仿宋" w:eastAsia="仿宋" w:cs="仿宋"/>
                <w:sz w:val="24"/>
                <w:szCs w:val="24"/>
              </w:rPr>
              <w:t>实训任务：将器乐作品改编成重奏、为声乐作品编配乐队伴奏。</w:t>
            </w:r>
          </w:p>
        </w:tc>
        <w:tc>
          <w:tcPr>
            <w:tcW w:w="1560" w:type="dxa"/>
            <w:shd w:val="clear" w:color="auto" w:fill="FFFFFF"/>
            <w:noWrap w:val="0"/>
            <w:vAlign w:val="center"/>
          </w:tcPr>
          <w:p w14:paraId="2248056C">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目标</w:t>
            </w:r>
            <w:r>
              <w:rPr>
                <w:rFonts w:ascii="仿宋" w:hAnsi="仿宋" w:eastAsia="仿宋" w:cs="仿宋"/>
                <w:sz w:val="24"/>
                <w:szCs w:val="24"/>
              </w:rPr>
              <w:t>2</w:t>
            </w:r>
            <w:r>
              <w:rPr>
                <w:rFonts w:hint="eastAsia" w:ascii="仿宋" w:hAnsi="仿宋" w:eastAsia="仿宋" w:cs="仿宋"/>
                <w:sz w:val="24"/>
                <w:szCs w:val="24"/>
              </w:rPr>
              <w:t>、3</w:t>
            </w:r>
          </w:p>
        </w:tc>
        <w:tc>
          <w:tcPr>
            <w:tcW w:w="1134" w:type="dxa"/>
            <w:gridSpan w:val="2"/>
            <w:shd w:val="clear" w:color="auto" w:fill="FFFFFF"/>
            <w:noWrap w:val="0"/>
            <w:vAlign w:val="center"/>
          </w:tcPr>
          <w:p w14:paraId="1983FCD2">
            <w:pPr>
              <w:adjustRightInd w:val="0"/>
              <w:snapToGrid w:val="0"/>
              <w:jc w:val="center"/>
              <w:rPr>
                <w:rFonts w:hint="eastAsia" w:ascii="仿宋" w:hAnsi="仿宋" w:eastAsia="仿宋" w:cs="仿宋"/>
                <w:sz w:val="24"/>
                <w:szCs w:val="24"/>
              </w:rPr>
            </w:pPr>
            <w:r>
              <w:rPr>
                <w:rFonts w:ascii="仿宋" w:hAnsi="仿宋" w:eastAsia="仿宋" w:cs="仿宋"/>
                <w:sz w:val="24"/>
                <w:szCs w:val="24"/>
              </w:rPr>
              <w:t>6</w:t>
            </w:r>
          </w:p>
        </w:tc>
      </w:tr>
      <w:tr w14:paraId="1733947D">
        <w:trPr>
          <w:trHeight w:val="454" w:hRule="atLeast"/>
        </w:trPr>
        <w:tc>
          <w:tcPr>
            <w:tcW w:w="1186" w:type="dxa"/>
            <w:vMerge w:val="continue"/>
            <w:shd w:val="clear" w:color="auto" w:fill="FFFFFF"/>
            <w:noWrap w:val="0"/>
            <w:vAlign w:val="center"/>
          </w:tcPr>
          <w:p w14:paraId="5384DD1B">
            <w:pPr>
              <w:adjustRightInd w:val="0"/>
              <w:snapToGrid w:val="0"/>
              <w:jc w:val="center"/>
              <w:rPr>
                <w:rFonts w:hint="eastAsia" w:ascii="仿宋" w:hAnsi="仿宋" w:eastAsia="仿宋" w:cs="仿宋"/>
                <w:sz w:val="24"/>
                <w:szCs w:val="24"/>
              </w:rPr>
            </w:pPr>
          </w:p>
        </w:tc>
        <w:tc>
          <w:tcPr>
            <w:tcW w:w="5623" w:type="dxa"/>
            <w:gridSpan w:val="7"/>
            <w:shd w:val="clear" w:color="auto" w:fill="auto"/>
            <w:noWrap w:val="0"/>
            <w:vAlign w:val="center"/>
          </w:tcPr>
          <w:p w14:paraId="4C052240">
            <w:pPr>
              <w:adjustRightInd w:val="0"/>
              <w:snapToGrid w:val="0"/>
              <w:jc w:val="left"/>
              <w:textAlignment w:val="baseline"/>
              <w:rPr>
                <w:rFonts w:ascii="仿宋" w:hAnsi="仿宋" w:eastAsia="仿宋" w:cs="仿宋"/>
                <w:sz w:val="24"/>
                <w:szCs w:val="24"/>
              </w:rPr>
            </w:pPr>
            <w:r>
              <w:rPr>
                <w:rFonts w:hint="eastAsia" w:ascii="仿宋" w:hAnsi="仿宋" w:eastAsia="仿宋" w:cs="仿宋"/>
                <w:sz w:val="24"/>
                <w:szCs w:val="24"/>
              </w:rPr>
              <w:t xml:space="preserve">实训三 </w:t>
            </w:r>
            <w:r>
              <w:rPr>
                <w:rFonts w:ascii="仿宋" w:hAnsi="仿宋" w:eastAsia="仿宋" w:cs="仿宋"/>
                <w:sz w:val="24"/>
                <w:szCs w:val="24"/>
              </w:rPr>
              <w:t xml:space="preserve"> </w:t>
            </w:r>
            <w:r>
              <w:rPr>
                <w:rFonts w:hint="eastAsia" w:ascii="仿宋" w:hAnsi="仿宋" w:eastAsia="仿宋" w:cs="仿宋"/>
                <w:sz w:val="24"/>
                <w:szCs w:val="24"/>
              </w:rPr>
              <w:t xml:space="preserve"> </w:t>
            </w:r>
            <w:r>
              <w:rPr>
                <w:rFonts w:ascii="仿宋" w:hAnsi="仿宋" w:eastAsia="仿宋" w:cs="仿宋"/>
                <w:sz w:val="24"/>
                <w:szCs w:val="24"/>
              </w:rPr>
              <w:t xml:space="preserve"> </w:t>
            </w:r>
            <w:r>
              <w:rPr>
                <w:rFonts w:hint="eastAsia" w:ascii="仿宋" w:hAnsi="仿宋" w:eastAsia="仿宋" w:cs="仿宋"/>
                <w:sz w:val="24"/>
                <w:szCs w:val="24"/>
              </w:rPr>
              <w:t>配器作品编排演练</w:t>
            </w:r>
          </w:p>
          <w:p w14:paraId="281F1F33">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实训目的：将配器作品进行实际编排、演奏。</w:t>
            </w:r>
          </w:p>
          <w:p w14:paraId="6B31F89C">
            <w:pPr>
              <w:widowControl/>
              <w:adjustRightInd w:val="0"/>
              <w:snapToGrid w:val="0"/>
              <w:ind w:left="1200" w:hanging="1200" w:hangingChars="500"/>
              <w:jc w:val="left"/>
              <w:rPr>
                <w:rFonts w:hint="eastAsia" w:ascii="仿宋" w:hAnsi="仿宋" w:eastAsia="仿宋" w:cs="仿宋"/>
                <w:sz w:val="24"/>
                <w:szCs w:val="24"/>
              </w:rPr>
            </w:pPr>
            <w:r>
              <w:rPr>
                <w:rFonts w:hint="eastAsia" w:ascii="仿宋" w:hAnsi="仿宋" w:eastAsia="仿宋" w:cs="仿宋"/>
                <w:sz w:val="24"/>
                <w:szCs w:val="24"/>
              </w:rPr>
              <w:t>实训任务：制定编排方案，组织团队演练，对乐队排演成品进行共同评价。</w:t>
            </w:r>
          </w:p>
        </w:tc>
        <w:tc>
          <w:tcPr>
            <w:tcW w:w="1560" w:type="dxa"/>
            <w:shd w:val="clear" w:color="auto" w:fill="FFFFFF"/>
            <w:noWrap w:val="0"/>
            <w:vAlign w:val="center"/>
          </w:tcPr>
          <w:p w14:paraId="5B16F4E4">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目标</w:t>
            </w:r>
            <w:r>
              <w:rPr>
                <w:rFonts w:ascii="仿宋" w:hAnsi="仿宋" w:eastAsia="仿宋" w:cs="仿宋"/>
                <w:sz w:val="24"/>
                <w:szCs w:val="24"/>
              </w:rPr>
              <w:t>2</w:t>
            </w:r>
            <w:r>
              <w:rPr>
                <w:rFonts w:hint="eastAsia" w:ascii="仿宋" w:hAnsi="仿宋" w:eastAsia="仿宋" w:cs="仿宋"/>
                <w:sz w:val="24"/>
                <w:szCs w:val="24"/>
              </w:rPr>
              <w:t>、3</w:t>
            </w:r>
          </w:p>
        </w:tc>
        <w:tc>
          <w:tcPr>
            <w:tcW w:w="1134" w:type="dxa"/>
            <w:gridSpan w:val="2"/>
            <w:shd w:val="clear" w:color="auto" w:fill="FFFFFF"/>
            <w:noWrap w:val="0"/>
            <w:vAlign w:val="center"/>
          </w:tcPr>
          <w:p w14:paraId="7E866A84">
            <w:pPr>
              <w:adjustRightInd w:val="0"/>
              <w:snapToGrid w:val="0"/>
              <w:jc w:val="center"/>
              <w:rPr>
                <w:rFonts w:hint="eastAsia" w:ascii="仿宋" w:hAnsi="仿宋" w:eastAsia="仿宋" w:cs="仿宋"/>
                <w:sz w:val="24"/>
                <w:szCs w:val="24"/>
              </w:rPr>
            </w:pPr>
            <w:r>
              <w:rPr>
                <w:rFonts w:ascii="仿宋" w:hAnsi="仿宋" w:eastAsia="仿宋" w:cs="仿宋"/>
                <w:sz w:val="24"/>
                <w:szCs w:val="24"/>
              </w:rPr>
              <w:t>6</w:t>
            </w:r>
          </w:p>
        </w:tc>
      </w:tr>
      <w:tr w14:paraId="0E070FB2">
        <w:trPr>
          <w:trHeight w:val="560" w:hRule="atLeast"/>
        </w:trPr>
        <w:tc>
          <w:tcPr>
            <w:tcW w:w="1186" w:type="dxa"/>
            <w:vMerge w:val="continue"/>
            <w:shd w:val="clear" w:color="auto" w:fill="FFFFFF"/>
            <w:noWrap w:val="0"/>
            <w:vAlign w:val="center"/>
          </w:tcPr>
          <w:p w14:paraId="0F0E47B3">
            <w:pPr>
              <w:adjustRightInd w:val="0"/>
              <w:snapToGrid w:val="0"/>
              <w:jc w:val="center"/>
              <w:rPr>
                <w:rFonts w:hint="eastAsia" w:ascii="仿宋" w:hAnsi="仿宋" w:eastAsia="仿宋" w:cs="仿宋"/>
                <w:sz w:val="24"/>
                <w:szCs w:val="24"/>
              </w:rPr>
            </w:pPr>
          </w:p>
        </w:tc>
        <w:tc>
          <w:tcPr>
            <w:tcW w:w="5623" w:type="dxa"/>
            <w:gridSpan w:val="7"/>
            <w:shd w:val="clear" w:color="auto" w:fill="auto"/>
            <w:noWrap w:val="0"/>
            <w:vAlign w:val="center"/>
          </w:tcPr>
          <w:p w14:paraId="53E8C7F7">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合计</w:t>
            </w:r>
          </w:p>
        </w:tc>
        <w:tc>
          <w:tcPr>
            <w:tcW w:w="2694" w:type="dxa"/>
            <w:gridSpan w:val="3"/>
            <w:shd w:val="clear" w:color="auto" w:fill="FFFFFF"/>
            <w:noWrap w:val="0"/>
            <w:vAlign w:val="center"/>
          </w:tcPr>
          <w:p w14:paraId="28E74947">
            <w:pPr>
              <w:adjustRightInd w:val="0"/>
              <w:snapToGrid w:val="0"/>
              <w:jc w:val="center"/>
              <w:rPr>
                <w:rFonts w:hint="eastAsia" w:ascii="仿宋" w:hAnsi="仿宋" w:eastAsia="仿宋" w:cs="仿宋"/>
                <w:sz w:val="24"/>
                <w:szCs w:val="24"/>
              </w:rPr>
            </w:pPr>
            <w:r>
              <w:rPr>
                <w:rFonts w:ascii="仿宋" w:hAnsi="仿宋" w:eastAsia="仿宋" w:cs="仿宋"/>
                <w:sz w:val="24"/>
                <w:szCs w:val="24"/>
              </w:rPr>
              <w:t>16</w:t>
            </w:r>
          </w:p>
        </w:tc>
      </w:tr>
      <w:tr w14:paraId="2F058145">
        <w:trPr>
          <w:trHeight w:val="1265" w:hRule="atLeast"/>
        </w:trPr>
        <w:tc>
          <w:tcPr>
            <w:tcW w:w="1186" w:type="dxa"/>
            <w:vMerge w:val="restart"/>
            <w:shd w:val="clear" w:color="auto" w:fill="FFFFFF"/>
            <w:noWrap w:val="0"/>
            <w:vAlign w:val="center"/>
          </w:tcPr>
          <w:p w14:paraId="4179221E">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H</w:t>
            </w:r>
          </w:p>
          <w:p w14:paraId="6AFC9345">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实践内容（含教育实习、见习、研习，专业实习、毕业论文或毕业设计等）</w:t>
            </w:r>
          </w:p>
        </w:tc>
        <w:tc>
          <w:tcPr>
            <w:tcW w:w="1513" w:type="dxa"/>
            <w:gridSpan w:val="3"/>
            <w:noWrap w:val="0"/>
            <w:vAlign w:val="center"/>
          </w:tcPr>
          <w:p w14:paraId="5D52753E">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实践主要内容和要求</w:t>
            </w:r>
          </w:p>
        </w:tc>
        <w:tc>
          <w:tcPr>
            <w:tcW w:w="4110" w:type="dxa"/>
            <w:gridSpan w:val="4"/>
            <w:noWrap w:val="0"/>
            <w:vAlign w:val="center"/>
          </w:tcPr>
          <w:p w14:paraId="2EABB16A">
            <w:pPr>
              <w:adjustRightInd w:val="0"/>
              <w:snapToGrid w:val="0"/>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14:paraId="04A1F1A5">
            <w:pPr>
              <w:adjustRightInd w:val="0"/>
              <w:snapToGrid w:val="0"/>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2694" w:type="dxa"/>
            <w:gridSpan w:val="3"/>
            <w:noWrap w:val="0"/>
            <w:vAlign w:val="center"/>
          </w:tcPr>
          <w:p w14:paraId="63D4293C">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时长</w:t>
            </w:r>
          </w:p>
          <w:p w14:paraId="134A7B77">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分配</w:t>
            </w:r>
          </w:p>
        </w:tc>
      </w:tr>
      <w:tr w14:paraId="79B3181B">
        <w:trPr>
          <w:trHeight w:val="1835" w:hRule="atLeast"/>
        </w:trPr>
        <w:tc>
          <w:tcPr>
            <w:tcW w:w="1186" w:type="dxa"/>
            <w:vMerge w:val="continue"/>
            <w:shd w:val="clear" w:color="auto" w:fill="FFFFFF"/>
            <w:noWrap w:val="0"/>
            <w:vAlign w:val="center"/>
          </w:tcPr>
          <w:p w14:paraId="79ED5D5E">
            <w:pPr>
              <w:adjustRightInd w:val="0"/>
              <w:snapToGrid w:val="0"/>
              <w:jc w:val="center"/>
              <w:rPr>
                <w:rFonts w:hint="eastAsia" w:ascii="仿宋" w:hAnsi="仿宋" w:eastAsia="仿宋" w:cs="仿宋"/>
                <w:sz w:val="24"/>
                <w:szCs w:val="24"/>
              </w:rPr>
            </w:pPr>
          </w:p>
        </w:tc>
        <w:tc>
          <w:tcPr>
            <w:tcW w:w="1513" w:type="dxa"/>
            <w:gridSpan w:val="3"/>
            <w:noWrap w:val="0"/>
            <w:vAlign w:val="center"/>
          </w:tcPr>
          <w:p w14:paraId="27A5A464">
            <w:pPr>
              <w:widowControl/>
              <w:autoSpaceDE w:val="0"/>
              <w:autoSpaceDN w:val="0"/>
              <w:adjustRightInd w:val="0"/>
              <w:snapToGrid w:val="0"/>
              <w:jc w:val="center"/>
              <w:textAlignment w:val="bottom"/>
              <w:rPr>
                <w:rFonts w:hint="eastAsia" w:ascii="仿宋" w:hAnsi="仿宋" w:eastAsia="仿宋" w:cs="仿宋"/>
                <w:sz w:val="24"/>
                <w:szCs w:val="24"/>
              </w:rPr>
            </w:pPr>
            <w:r>
              <w:rPr>
                <w:rFonts w:hint="eastAsia" w:ascii="仿宋" w:hAnsi="仿宋" w:eastAsia="仿宋" w:cs="仿宋"/>
                <w:bCs/>
                <w:sz w:val="24"/>
                <w:szCs w:val="24"/>
              </w:rPr>
              <w:t>无</w:t>
            </w:r>
          </w:p>
        </w:tc>
        <w:tc>
          <w:tcPr>
            <w:tcW w:w="4110" w:type="dxa"/>
            <w:gridSpan w:val="4"/>
            <w:noWrap w:val="0"/>
            <w:vAlign w:val="top"/>
          </w:tcPr>
          <w:p w14:paraId="14444597">
            <w:pPr>
              <w:adjustRightInd w:val="0"/>
              <w:snapToGrid w:val="0"/>
              <w:jc w:val="left"/>
              <w:rPr>
                <w:rFonts w:hint="eastAsia" w:ascii="仿宋" w:hAnsi="仿宋" w:eastAsia="仿宋" w:cs="仿宋"/>
                <w:sz w:val="24"/>
                <w:szCs w:val="24"/>
              </w:rPr>
            </w:pPr>
          </w:p>
        </w:tc>
        <w:tc>
          <w:tcPr>
            <w:tcW w:w="2694" w:type="dxa"/>
            <w:gridSpan w:val="3"/>
            <w:noWrap w:val="0"/>
            <w:vAlign w:val="top"/>
          </w:tcPr>
          <w:p w14:paraId="063759EF">
            <w:pPr>
              <w:adjustRightInd w:val="0"/>
              <w:snapToGrid w:val="0"/>
              <w:jc w:val="left"/>
              <w:rPr>
                <w:rFonts w:hint="eastAsia" w:ascii="仿宋" w:hAnsi="仿宋" w:eastAsia="仿宋" w:cs="仿宋"/>
                <w:sz w:val="24"/>
                <w:szCs w:val="24"/>
              </w:rPr>
            </w:pPr>
          </w:p>
        </w:tc>
      </w:tr>
      <w:tr w14:paraId="64638DE9">
        <w:trPr>
          <w:trHeight w:val="921" w:hRule="atLeast"/>
        </w:trPr>
        <w:tc>
          <w:tcPr>
            <w:tcW w:w="1186" w:type="dxa"/>
            <w:noWrap w:val="0"/>
            <w:vAlign w:val="center"/>
          </w:tcPr>
          <w:p w14:paraId="7EB0E023">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I</w:t>
            </w:r>
          </w:p>
          <w:p w14:paraId="60964F4F">
            <w:pPr>
              <w:adjustRightInd w:val="0"/>
              <w:snapToGrid w:val="0"/>
              <w:jc w:val="center"/>
              <w:rPr>
                <w:rFonts w:hint="eastAsia" w:ascii="仿宋" w:hAnsi="仿宋" w:eastAsia="仿宋" w:cs="仿宋"/>
                <w:sz w:val="24"/>
                <w:szCs w:val="24"/>
                <w:lang w:eastAsia="zh-TW"/>
              </w:rPr>
            </w:pPr>
            <w:r>
              <w:rPr>
                <w:rFonts w:hint="eastAsia" w:ascii="仿宋" w:hAnsi="仿宋" w:eastAsia="仿宋" w:cs="仿宋"/>
                <w:sz w:val="24"/>
                <w:szCs w:val="24"/>
              </w:rPr>
              <w:t>教学方法与教学方式</w:t>
            </w:r>
          </w:p>
        </w:tc>
        <w:tc>
          <w:tcPr>
            <w:tcW w:w="8317" w:type="dxa"/>
            <w:gridSpan w:val="10"/>
            <w:tcBorders>
              <w:bottom w:val="single" w:color="auto" w:sz="4" w:space="0"/>
            </w:tcBorders>
            <w:noWrap w:val="0"/>
            <w:vAlign w:val="center"/>
          </w:tcPr>
          <w:p w14:paraId="0E821FFE">
            <w:pPr>
              <w:numPr>
                <w:ilvl w:val="0"/>
                <w:numId w:val="15"/>
              </w:numPr>
              <w:adjustRightInd w:val="0"/>
              <w:snapToGrid w:val="0"/>
              <w:rPr>
                <w:rFonts w:hint="eastAsia" w:ascii="仿宋" w:hAnsi="仿宋" w:eastAsia="仿宋" w:cs="仿宋"/>
                <w:sz w:val="24"/>
                <w:szCs w:val="24"/>
              </w:rPr>
            </w:pPr>
            <w:r>
              <w:rPr>
                <w:rFonts w:hint="eastAsia" w:ascii="仿宋" w:hAnsi="仿宋" w:eastAsia="仿宋" w:cs="仿宋"/>
                <w:sz w:val="24"/>
                <w:szCs w:val="24"/>
              </w:rPr>
              <w:t>理论课全部采用多媒体教学，应用自编或改编的多媒体课件，改善理论课的枯燥和沉闷，吸引学生的注意力，加强授课效果。</w:t>
            </w:r>
          </w:p>
          <w:p w14:paraId="51F3938E">
            <w:pPr>
              <w:numPr>
                <w:ilvl w:val="0"/>
                <w:numId w:val="15"/>
              </w:numPr>
              <w:adjustRightInd w:val="0"/>
              <w:snapToGrid w:val="0"/>
              <w:rPr>
                <w:rFonts w:hint="eastAsia" w:ascii="仿宋" w:hAnsi="仿宋" w:eastAsia="仿宋" w:cs="仿宋"/>
                <w:sz w:val="24"/>
                <w:szCs w:val="24"/>
              </w:rPr>
            </w:pPr>
            <w:r>
              <w:rPr>
                <w:rFonts w:hint="eastAsia" w:ascii="仿宋" w:hAnsi="仿宋" w:eastAsia="仿宋" w:cs="仿宋"/>
                <w:sz w:val="24"/>
                <w:szCs w:val="24"/>
              </w:rPr>
              <w:t>开通网络课堂，达到与学生及时沟通、交流的目的。同时重视师生互动与小组活动，组织课堂小组讨论等活动，将课堂教学变为师生共同活动的过程。</w:t>
            </w:r>
          </w:p>
          <w:p w14:paraId="357DAC53">
            <w:pPr>
              <w:numPr>
                <w:ilvl w:val="0"/>
                <w:numId w:val="15"/>
              </w:numPr>
              <w:adjustRightInd w:val="0"/>
              <w:snapToGrid w:val="0"/>
              <w:rPr>
                <w:rFonts w:hint="eastAsia" w:ascii="仿宋" w:hAnsi="仿宋" w:eastAsia="仿宋" w:cs="仿宋"/>
                <w:sz w:val="24"/>
                <w:szCs w:val="24"/>
              </w:rPr>
            </w:pPr>
            <w:r>
              <w:rPr>
                <w:rFonts w:hint="eastAsia" w:ascii="仿宋" w:hAnsi="仿宋" w:eastAsia="仿宋" w:cs="仿宋"/>
                <w:sz w:val="24"/>
                <w:szCs w:val="24"/>
              </w:rPr>
              <w:t>主要方式：</w:t>
            </w:r>
          </w:p>
          <w:p w14:paraId="4964D9F0">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讲授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网络学习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讨论或座谈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问题导向学习  </w:t>
            </w:r>
          </w:p>
          <w:p w14:paraId="562C6038">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分组合作学习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专题学习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实作学习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发表学习  </w:t>
            </w:r>
          </w:p>
          <w:p w14:paraId="1DB5EE48">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实习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参观访问  </w:t>
            </w:r>
            <w:r>
              <w:rPr>
                <w:rFonts w:hint="eastAsia" w:ascii="仿宋" w:hAnsi="仿宋" w:eastAsia="仿宋" w:cs="仿宋"/>
                <w:sz w:val="24"/>
                <w:szCs w:val="24"/>
              </w:rPr>
              <w:sym w:font="Wingdings" w:char="00A8"/>
            </w:r>
            <w:r>
              <w:rPr>
                <w:rFonts w:hint="eastAsia" w:ascii="仿宋" w:hAnsi="仿宋" w:eastAsia="仿宋" w:cs="仿宋"/>
                <w:sz w:val="24"/>
                <w:szCs w:val="24"/>
              </w:rPr>
              <w:t>其它：</w:t>
            </w:r>
            <w:r>
              <w:rPr>
                <w:rFonts w:hint="eastAsia" w:ascii="仿宋" w:hAnsi="仿宋" w:eastAsia="仿宋" w:cs="仿宋"/>
                <w:sz w:val="24"/>
                <w:szCs w:val="24"/>
                <w:u w:val="single"/>
              </w:rPr>
              <w:t xml:space="preserve">        </w:t>
            </w:r>
            <w:r>
              <w:rPr>
                <w:rFonts w:hint="eastAsia" w:ascii="仿宋" w:hAnsi="仿宋" w:eastAsia="仿宋" w:cs="仿宋"/>
                <w:sz w:val="24"/>
                <w:szCs w:val="24"/>
              </w:rPr>
              <w:t>(如口头训练等)</w:t>
            </w:r>
          </w:p>
        </w:tc>
      </w:tr>
      <w:tr w14:paraId="3B9EECE5">
        <w:trPr>
          <w:trHeight w:val="580" w:hRule="atLeast"/>
        </w:trPr>
        <w:tc>
          <w:tcPr>
            <w:tcW w:w="1186" w:type="dxa"/>
            <w:noWrap w:val="0"/>
            <w:vAlign w:val="center"/>
          </w:tcPr>
          <w:p w14:paraId="359F0114">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J</w:t>
            </w:r>
          </w:p>
          <w:p w14:paraId="3A4CF2A8">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教学条件</w:t>
            </w:r>
          </w:p>
          <w:p w14:paraId="5476C481">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需求</w:t>
            </w:r>
          </w:p>
        </w:tc>
        <w:tc>
          <w:tcPr>
            <w:tcW w:w="8317" w:type="dxa"/>
            <w:gridSpan w:val="10"/>
            <w:tcBorders>
              <w:bottom w:val="single" w:color="auto" w:sz="4" w:space="0"/>
            </w:tcBorders>
            <w:noWrap w:val="0"/>
            <w:vAlign w:val="center"/>
          </w:tcPr>
          <w:p w14:paraId="4DFAB6BD">
            <w:pPr>
              <w:tabs>
                <w:tab w:val="left" w:pos="720"/>
              </w:tabs>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1.智慧钢琴教室</w:t>
            </w:r>
          </w:p>
          <w:p w14:paraId="574FB0FC">
            <w:pPr>
              <w:tabs>
                <w:tab w:val="left" w:pos="720"/>
              </w:tabs>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2.多媒体教学设备</w:t>
            </w:r>
          </w:p>
        </w:tc>
      </w:tr>
      <w:tr w14:paraId="5B9D6C73">
        <w:trPr>
          <w:trHeight w:val="1216" w:hRule="atLeast"/>
        </w:trPr>
        <w:tc>
          <w:tcPr>
            <w:tcW w:w="1186" w:type="dxa"/>
            <w:vMerge w:val="restart"/>
            <w:noWrap w:val="0"/>
            <w:vAlign w:val="center"/>
          </w:tcPr>
          <w:p w14:paraId="1B073406">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K</w:t>
            </w:r>
          </w:p>
          <w:p w14:paraId="5C4F3781">
            <w:pPr>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课程目标及其考核内容、考核方式及评分占比</w:t>
            </w:r>
          </w:p>
        </w:tc>
        <w:tc>
          <w:tcPr>
            <w:tcW w:w="1371" w:type="dxa"/>
            <w:vMerge w:val="restart"/>
            <w:noWrap w:val="0"/>
            <w:vAlign w:val="center"/>
          </w:tcPr>
          <w:p w14:paraId="12AC337B">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sz w:val="24"/>
                <w:szCs w:val="24"/>
              </w:rPr>
              <w:t>课程目标及评分占比</w:t>
            </w:r>
          </w:p>
        </w:tc>
        <w:tc>
          <w:tcPr>
            <w:tcW w:w="1701" w:type="dxa"/>
            <w:gridSpan w:val="3"/>
            <w:vMerge w:val="restart"/>
            <w:noWrap w:val="0"/>
            <w:vAlign w:val="center"/>
          </w:tcPr>
          <w:p w14:paraId="26C2E30A">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考核内容</w:t>
            </w:r>
          </w:p>
        </w:tc>
        <w:tc>
          <w:tcPr>
            <w:tcW w:w="4111" w:type="dxa"/>
            <w:gridSpan w:val="4"/>
            <w:tcBorders>
              <w:bottom w:val="single" w:color="auto" w:sz="4" w:space="0"/>
            </w:tcBorders>
            <w:noWrap w:val="0"/>
            <w:vAlign w:val="center"/>
          </w:tcPr>
          <w:p w14:paraId="6EC75C62">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sz w:val="24"/>
                <w:szCs w:val="24"/>
              </w:rPr>
              <w:t>考核方式</w:t>
            </w:r>
          </w:p>
        </w:tc>
        <w:tc>
          <w:tcPr>
            <w:tcW w:w="1134" w:type="dxa"/>
            <w:gridSpan w:val="2"/>
            <w:vMerge w:val="restart"/>
            <w:noWrap w:val="0"/>
            <w:vAlign w:val="center"/>
          </w:tcPr>
          <w:p w14:paraId="0A53FB55">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课程分目标达成度</w:t>
            </w:r>
          </w:p>
        </w:tc>
      </w:tr>
      <w:tr w14:paraId="0BB430BD">
        <w:trPr>
          <w:trHeight w:val="580" w:hRule="atLeast"/>
        </w:trPr>
        <w:tc>
          <w:tcPr>
            <w:tcW w:w="1186" w:type="dxa"/>
            <w:vMerge w:val="continue"/>
            <w:noWrap w:val="0"/>
            <w:vAlign w:val="center"/>
          </w:tcPr>
          <w:p w14:paraId="6FE182FB">
            <w:pPr>
              <w:adjustRightInd w:val="0"/>
              <w:snapToGrid w:val="0"/>
              <w:jc w:val="left"/>
              <w:rPr>
                <w:rFonts w:hint="eastAsia" w:ascii="仿宋" w:hAnsi="仿宋" w:eastAsia="仿宋" w:cs="仿宋"/>
                <w:sz w:val="24"/>
                <w:szCs w:val="24"/>
              </w:rPr>
            </w:pPr>
          </w:p>
        </w:tc>
        <w:tc>
          <w:tcPr>
            <w:tcW w:w="1371" w:type="dxa"/>
            <w:vMerge w:val="continue"/>
            <w:tcBorders>
              <w:bottom w:val="single" w:color="auto" w:sz="4" w:space="0"/>
            </w:tcBorders>
            <w:noWrap w:val="0"/>
            <w:vAlign w:val="center"/>
          </w:tcPr>
          <w:p w14:paraId="6A2D513D">
            <w:pPr>
              <w:tabs>
                <w:tab w:val="left" w:pos="720"/>
              </w:tabs>
              <w:adjustRightInd w:val="0"/>
              <w:snapToGrid w:val="0"/>
              <w:jc w:val="left"/>
              <w:rPr>
                <w:rFonts w:hint="eastAsia" w:ascii="仿宋" w:hAnsi="仿宋" w:eastAsia="仿宋" w:cs="仿宋"/>
                <w:color w:val="000000"/>
                <w:kern w:val="0"/>
                <w:sz w:val="24"/>
                <w:szCs w:val="24"/>
              </w:rPr>
            </w:pPr>
          </w:p>
        </w:tc>
        <w:tc>
          <w:tcPr>
            <w:tcW w:w="1701" w:type="dxa"/>
            <w:gridSpan w:val="3"/>
            <w:vMerge w:val="continue"/>
            <w:tcBorders>
              <w:bottom w:val="single" w:color="auto" w:sz="4" w:space="0"/>
            </w:tcBorders>
            <w:noWrap w:val="0"/>
            <w:vAlign w:val="center"/>
          </w:tcPr>
          <w:p w14:paraId="61FF7AAD">
            <w:pPr>
              <w:tabs>
                <w:tab w:val="left" w:pos="720"/>
              </w:tabs>
              <w:adjustRightInd w:val="0"/>
              <w:snapToGrid w:val="0"/>
              <w:jc w:val="left"/>
              <w:rPr>
                <w:rFonts w:hint="eastAsia" w:ascii="仿宋" w:hAnsi="仿宋" w:eastAsia="仿宋" w:cs="仿宋"/>
                <w:kern w:val="0"/>
                <w:sz w:val="24"/>
                <w:szCs w:val="24"/>
              </w:rPr>
            </w:pPr>
          </w:p>
        </w:tc>
        <w:tc>
          <w:tcPr>
            <w:tcW w:w="1276" w:type="dxa"/>
            <w:gridSpan w:val="2"/>
            <w:tcBorders>
              <w:bottom w:val="single" w:color="auto" w:sz="4" w:space="0"/>
            </w:tcBorders>
            <w:noWrap w:val="0"/>
            <w:vAlign w:val="center"/>
          </w:tcPr>
          <w:p w14:paraId="49B8BCBC">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sz w:val="24"/>
                <w:szCs w:val="24"/>
              </w:rPr>
              <w:t>平时成绩占比（</w:t>
            </w:r>
            <w:r>
              <w:rPr>
                <w:rFonts w:hint="eastAsia" w:ascii="仿宋" w:hAnsi="仿宋" w:eastAsia="仿宋" w:cs="仿宋"/>
                <w:sz w:val="24"/>
                <w:szCs w:val="24"/>
                <w:lang w:val="en-US" w:eastAsia="zh-CN"/>
              </w:rPr>
              <w:t>20</w:t>
            </w:r>
            <w:r>
              <w:rPr>
                <w:rFonts w:hint="eastAsia" w:ascii="仿宋" w:hAnsi="仿宋" w:eastAsia="仿宋" w:cs="仿宋"/>
                <w:sz w:val="24"/>
                <w:szCs w:val="24"/>
              </w:rPr>
              <w:t>%）</w:t>
            </w:r>
          </w:p>
        </w:tc>
        <w:tc>
          <w:tcPr>
            <w:tcW w:w="1275" w:type="dxa"/>
            <w:tcBorders>
              <w:bottom w:val="single" w:color="auto" w:sz="4" w:space="0"/>
            </w:tcBorders>
            <w:noWrap w:val="0"/>
            <w:vAlign w:val="center"/>
          </w:tcPr>
          <w:p w14:paraId="05A87690">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期中考试评分占比</w:t>
            </w:r>
            <w:r>
              <w:rPr>
                <w:rFonts w:hint="eastAsia" w:ascii="仿宋" w:hAnsi="仿宋" w:eastAsia="仿宋" w:cs="仿宋"/>
                <w:sz w:val="24"/>
                <w:szCs w:val="24"/>
              </w:rPr>
              <w:t>（</w:t>
            </w:r>
            <w:r>
              <w:rPr>
                <w:rFonts w:hint="eastAsia" w:ascii="仿宋" w:hAnsi="仿宋" w:eastAsia="仿宋" w:cs="仿宋"/>
                <w:sz w:val="24"/>
                <w:szCs w:val="24"/>
                <w:lang w:val="en-US" w:eastAsia="zh-CN"/>
              </w:rPr>
              <w:t>40</w:t>
            </w:r>
            <w:r>
              <w:rPr>
                <w:rFonts w:hint="eastAsia" w:ascii="仿宋" w:hAnsi="仿宋" w:eastAsia="仿宋" w:cs="仿宋"/>
                <w:sz w:val="24"/>
                <w:szCs w:val="24"/>
              </w:rPr>
              <w:t>%）</w:t>
            </w:r>
          </w:p>
        </w:tc>
        <w:tc>
          <w:tcPr>
            <w:tcW w:w="1560" w:type="dxa"/>
            <w:tcBorders>
              <w:bottom w:val="single" w:color="auto" w:sz="4" w:space="0"/>
            </w:tcBorders>
            <w:noWrap w:val="0"/>
            <w:vAlign w:val="center"/>
          </w:tcPr>
          <w:p w14:paraId="3D00813C">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sz w:val="24"/>
                <w:szCs w:val="24"/>
              </w:rPr>
              <w:t>期末考试评分占比（</w:t>
            </w:r>
            <w:r>
              <w:rPr>
                <w:rFonts w:hint="eastAsia" w:ascii="仿宋" w:hAnsi="仿宋" w:eastAsia="仿宋" w:cs="仿宋"/>
                <w:sz w:val="24"/>
                <w:szCs w:val="24"/>
                <w:lang w:val="en-US" w:eastAsia="zh-CN"/>
              </w:rPr>
              <w:t>40</w:t>
            </w:r>
            <w:r>
              <w:rPr>
                <w:rFonts w:hint="eastAsia" w:ascii="仿宋" w:hAnsi="仿宋" w:eastAsia="仿宋" w:cs="仿宋"/>
                <w:sz w:val="24"/>
                <w:szCs w:val="24"/>
              </w:rPr>
              <w:t>%）</w:t>
            </w:r>
          </w:p>
        </w:tc>
        <w:tc>
          <w:tcPr>
            <w:tcW w:w="1134" w:type="dxa"/>
            <w:gridSpan w:val="2"/>
            <w:vMerge w:val="continue"/>
            <w:tcBorders>
              <w:bottom w:val="single" w:color="auto" w:sz="4" w:space="0"/>
            </w:tcBorders>
            <w:noWrap w:val="0"/>
            <w:vAlign w:val="center"/>
          </w:tcPr>
          <w:p w14:paraId="18EA3273">
            <w:pPr>
              <w:tabs>
                <w:tab w:val="left" w:pos="720"/>
              </w:tabs>
              <w:adjustRightInd w:val="0"/>
              <w:snapToGrid w:val="0"/>
              <w:rPr>
                <w:rFonts w:hint="eastAsia" w:ascii="仿宋" w:hAnsi="仿宋" w:eastAsia="仿宋" w:cs="仿宋"/>
                <w:kern w:val="0"/>
                <w:sz w:val="24"/>
                <w:szCs w:val="24"/>
              </w:rPr>
            </w:pPr>
          </w:p>
        </w:tc>
      </w:tr>
      <w:tr w14:paraId="76198949">
        <w:trPr>
          <w:trHeight w:val="580" w:hRule="atLeast"/>
        </w:trPr>
        <w:tc>
          <w:tcPr>
            <w:tcW w:w="1186" w:type="dxa"/>
            <w:vMerge w:val="continue"/>
            <w:noWrap w:val="0"/>
            <w:vAlign w:val="center"/>
          </w:tcPr>
          <w:p w14:paraId="1987E4CA">
            <w:pPr>
              <w:adjustRightInd w:val="0"/>
              <w:snapToGrid w:val="0"/>
              <w:jc w:val="center"/>
              <w:rPr>
                <w:rFonts w:hint="eastAsia" w:ascii="仿宋" w:hAnsi="仿宋" w:eastAsia="仿宋" w:cs="仿宋"/>
                <w:sz w:val="24"/>
                <w:szCs w:val="24"/>
              </w:rPr>
            </w:pPr>
          </w:p>
        </w:tc>
        <w:tc>
          <w:tcPr>
            <w:tcW w:w="1371" w:type="dxa"/>
            <w:tcBorders>
              <w:bottom w:val="single" w:color="auto" w:sz="4" w:space="0"/>
            </w:tcBorders>
            <w:noWrap w:val="0"/>
            <w:vAlign w:val="center"/>
          </w:tcPr>
          <w:p w14:paraId="483C57D6">
            <w:pPr>
              <w:widowControl/>
              <w:adjustRightInd w:val="0"/>
              <w:snapToGrid w:val="0"/>
              <w:jc w:val="center"/>
              <w:rPr>
                <w:rFonts w:hint="eastAsia" w:ascii="仿宋" w:hAnsi="仿宋" w:eastAsia="仿宋"/>
                <w:color w:val="000000"/>
                <w:kern w:val="0"/>
                <w:sz w:val="24"/>
                <w:szCs w:val="24"/>
              </w:rPr>
            </w:pPr>
            <w:r>
              <w:rPr>
                <w:rFonts w:hint="eastAsia" w:ascii="仿宋" w:hAnsi="仿宋" w:eastAsia="仿宋"/>
                <w:b/>
                <w:bCs/>
                <w:color w:val="000000"/>
                <w:kern w:val="0"/>
                <w:sz w:val="24"/>
                <w:szCs w:val="24"/>
              </w:rPr>
              <w:t>课程目标</w:t>
            </w:r>
            <w:r>
              <w:rPr>
                <w:rFonts w:ascii="仿宋" w:hAnsi="仿宋" w:eastAsia="仿宋"/>
                <w:b/>
                <w:bCs/>
                <w:color w:val="000000"/>
                <w:kern w:val="0"/>
                <w:sz w:val="24"/>
                <w:szCs w:val="24"/>
              </w:rPr>
              <w:t>1</w:t>
            </w:r>
            <w:r>
              <w:rPr>
                <w:rFonts w:hint="eastAsia" w:ascii="仿宋" w:hAnsi="仿宋" w:eastAsia="仿宋"/>
                <w:color w:val="000000"/>
                <w:kern w:val="0"/>
                <w:sz w:val="24"/>
                <w:szCs w:val="24"/>
              </w:rPr>
              <w:t xml:space="preserve"> (</w:t>
            </w:r>
            <w:r>
              <w:rPr>
                <w:rFonts w:ascii="仿宋" w:hAnsi="仿宋" w:eastAsia="仿宋"/>
                <w:color w:val="000000"/>
                <w:kern w:val="0"/>
                <w:sz w:val="24"/>
                <w:szCs w:val="24"/>
              </w:rPr>
              <w:t>20%)</w:t>
            </w:r>
          </w:p>
        </w:tc>
        <w:tc>
          <w:tcPr>
            <w:tcW w:w="1701" w:type="dxa"/>
            <w:gridSpan w:val="3"/>
            <w:tcBorders>
              <w:bottom w:val="single" w:color="auto" w:sz="4" w:space="0"/>
            </w:tcBorders>
            <w:noWrap w:val="0"/>
            <w:vAlign w:val="center"/>
          </w:tcPr>
          <w:p w14:paraId="08E379DC">
            <w:pPr>
              <w:tabs>
                <w:tab w:val="left" w:pos="720"/>
              </w:tabs>
              <w:adjustRightInd w:val="0"/>
              <w:snapToGrid w:val="0"/>
              <w:jc w:val="left"/>
              <w:rPr>
                <w:rFonts w:hint="eastAsia" w:ascii="仿宋" w:hAnsi="仿宋" w:eastAsia="仿宋" w:cs="仿宋"/>
                <w:kern w:val="0"/>
                <w:sz w:val="24"/>
                <w:szCs w:val="24"/>
              </w:rPr>
            </w:pPr>
            <w:r>
              <w:rPr>
                <w:rFonts w:hint="eastAsia" w:ascii="仿宋" w:hAnsi="仿宋" w:eastAsia="仿宋" w:cs="仿宋"/>
                <w:color w:val="000000"/>
                <w:sz w:val="24"/>
                <w:szCs w:val="24"/>
              </w:rPr>
              <w:t>阐述乐器的种类、性能及在小型乐队编配中的作用。</w:t>
            </w:r>
          </w:p>
        </w:tc>
        <w:tc>
          <w:tcPr>
            <w:tcW w:w="1276" w:type="dxa"/>
            <w:gridSpan w:val="2"/>
            <w:tcBorders>
              <w:bottom w:val="single" w:color="auto" w:sz="4" w:space="0"/>
            </w:tcBorders>
            <w:noWrap w:val="0"/>
            <w:vAlign w:val="center"/>
          </w:tcPr>
          <w:p w14:paraId="7D71724D">
            <w:pPr>
              <w:tabs>
                <w:tab w:val="left" w:pos="720"/>
              </w:tabs>
              <w:adjustRightInd w:val="0"/>
              <w:snapToGrid w:val="0"/>
              <w:jc w:val="center"/>
              <w:rPr>
                <w:rFonts w:hint="eastAsia" w:ascii="仿宋" w:hAnsi="仿宋" w:eastAsia="仿宋" w:cs="仿宋"/>
                <w:kern w:val="0"/>
                <w:sz w:val="24"/>
                <w:szCs w:val="24"/>
              </w:rPr>
            </w:pPr>
            <w:r>
              <w:rPr>
                <w:rFonts w:ascii="仿宋" w:hAnsi="仿宋" w:eastAsia="仿宋" w:cs="仿宋"/>
                <w:kern w:val="0"/>
                <w:sz w:val="24"/>
                <w:szCs w:val="24"/>
              </w:rPr>
              <w:t>4%</w:t>
            </w:r>
          </w:p>
        </w:tc>
        <w:tc>
          <w:tcPr>
            <w:tcW w:w="1275" w:type="dxa"/>
            <w:tcBorders>
              <w:bottom w:val="single" w:color="auto" w:sz="4" w:space="0"/>
            </w:tcBorders>
            <w:noWrap w:val="0"/>
            <w:vAlign w:val="center"/>
          </w:tcPr>
          <w:p w14:paraId="73015DA5">
            <w:pPr>
              <w:tabs>
                <w:tab w:val="left" w:pos="720"/>
              </w:tabs>
              <w:adjustRightInd w:val="0"/>
              <w:snapToGrid w:val="0"/>
              <w:jc w:val="center"/>
              <w:rPr>
                <w:rFonts w:hint="eastAsia" w:ascii="仿宋" w:hAnsi="仿宋" w:eastAsia="仿宋" w:cs="仿宋"/>
                <w:kern w:val="0"/>
                <w:sz w:val="24"/>
                <w:szCs w:val="24"/>
              </w:rPr>
            </w:pPr>
            <w:r>
              <w:rPr>
                <w:rFonts w:ascii="仿宋" w:hAnsi="仿宋" w:eastAsia="仿宋" w:cs="仿宋"/>
                <w:kern w:val="0"/>
                <w:sz w:val="24"/>
                <w:szCs w:val="24"/>
              </w:rPr>
              <w:t>8%</w:t>
            </w:r>
          </w:p>
        </w:tc>
        <w:tc>
          <w:tcPr>
            <w:tcW w:w="1560" w:type="dxa"/>
            <w:tcBorders>
              <w:bottom w:val="single" w:color="auto" w:sz="4" w:space="0"/>
            </w:tcBorders>
            <w:noWrap w:val="0"/>
            <w:vAlign w:val="center"/>
          </w:tcPr>
          <w:p w14:paraId="2B2ABC5B">
            <w:pPr>
              <w:tabs>
                <w:tab w:val="left" w:pos="720"/>
              </w:tabs>
              <w:adjustRightInd w:val="0"/>
              <w:snapToGrid w:val="0"/>
              <w:jc w:val="center"/>
              <w:rPr>
                <w:rFonts w:hint="eastAsia" w:ascii="仿宋" w:hAnsi="仿宋" w:eastAsia="仿宋" w:cs="仿宋"/>
                <w:kern w:val="0"/>
                <w:sz w:val="24"/>
                <w:szCs w:val="24"/>
              </w:rPr>
            </w:pPr>
            <w:r>
              <w:rPr>
                <w:rFonts w:ascii="仿宋" w:hAnsi="仿宋" w:eastAsia="仿宋" w:cs="仿宋"/>
                <w:kern w:val="0"/>
                <w:sz w:val="24"/>
                <w:szCs w:val="24"/>
              </w:rPr>
              <w:t>8%</w:t>
            </w:r>
          </w:p>
        </w:tc>
        <w:tc>
          <w:tcPr>
            <w:tcW w:w="1134" w:type="dxa"/>
            <w:gridSpan w:val="2"/>
            <w:tcBorders>
              <w:bottom w:val="single" w:color="auto" w:sz="4" w:space="0"/>
            </w:tcBorders>
            <w:noWrap w:val="0"/>
            <w:vAlign w:val="center"/>
          </w:tcPr>
          <w:p w14:paraId="4153857B">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0</w:t>
            </w:r>
            <w:r>
              <w:rPr>
                <w:rFonts w:ascii="仿宋" w:hAnsi="仿宋" w:eastAsia="仿宋" w:cs="仿宋"/>
                <w:kern w:val="0"/>
                <w:sz w:val="24"/>
                <w:szCs w:val="24"/>
              </w:rPr>
              <w:t>.75</w:t>
            </w:r>
          </w:p>
        </w:tc>
      </w:tr>
      <w:tr w14:paraId="0829E60D">
        <w:trPr>
          <w:trHeight w:val="580" w:hRule="atLeast"/>
        </w:trPr>
        <w:tc>
          <w:tcPr>
            <w:tcW w:w="1186" w:type="dxa"/>
            <w:vMerge w:val="continue"/>
            <w:noWrap w:val="0"/>
            <w:vAlign w:val="center"/>
          </w:tcPr>
          <w:p w14:paraId="28AE557E">
            <w:pPr>
              <w:adjustRightInd w:val="0"/>
              <w:snapToGrid w:val="0"/>
              <w:jc w:val="center"/>
              <w:rPr>
                <w:rFonts w:hint="eastAsia" w:ascii="仿宋" w:hAnsi="仿宋" w:eastAsia="仿宋" w:cs="仿宋"/>
                <w:sz w:val="24"/>
                <w:szCs w:val="24"/>
              </w:rPr>
            </w:pPr>
          </w:p>
        </w:tc>
        <w:tc>
          <w:tcPr>
            <w:tcW w:w="1371" w:type="dxa"/>
            <w:tcBorders>
              <w:bottom w:val="single" w:color="auto" w:sz="4" w:space="0"/>
            </w:tcBorders>
            <w:noWrap w:val="0"/>
            <w:vAlign w:val="center"/>
          </w:tcPr>
          <w:p w14:paraId="38ACFE24">
            <w:pPr>
              <w:widowControl/>
              <w:adjustRightInd w:val="0"/>
              <w:snapToGrid w:val="0"/>
              <w:jc w:val="center"/>
              <w:rPr>
                <w:rFonts w:ascii="仿宋" w:hAnsi="仿宋" w:eastAsia="仿宋"/>
                <w:b/>
                <w:bCs/>
                <w:color w:val="000000"/>
                <w:kern w:val="0"/>
                <w:sz w:val="24"/>
                <w:szCs w:val="24"/>
              </w:rPr>
            </w:pPr>
            <w:r>
              <w:rPr>
                <w:rFonts w:hint="eastAsia" w:ascii="仿宋" w:hAnsi="仿宋" w:eastAsia="仿宋"/>
                <w:b/>
                <w:bCs/>
                <w:color w:val="000000"/>
                <w:kern w:val="0"/>
                <w:sz w:val="24"/>
                <w:szCs w:val="24"/>
              </w:rPr>
              <w:t>课程目标</w:t>
            </w:r>
            <w:r>
              <w:rPr>
                <w:rFonts w:ascii="仿宋" w:hAnsi="仿宋" w:eastAsia="仿宋"/>
                <w:b/>
                <w:bCs/>
                <w:color w:val="000000"/>
                <w:kern w:val="0"/>
                <w:sz w:val="24"/>
                <w:szCs w:val="24"/>
              </w:rPr>
              <w:t>2</w:t>
            </w:r>
          </w:p>
          <w:p w14:paraId="0D45D441">
            <w:pPr>
              <w:widowControl/>
              <w:adjustRightInd w:val="0"/>
              <w:snapToGrid w:val="0"/>
              <w:jc w:val="center"/>
              <w:rPr>
                <w:rFonts w:hint="eastAsia" w:ascii="仿宋" w:hAnsi="仿宋" w:eastAsia="仿宋" w:cs="仿宋"/>
                <w:color w:val="000000"/>
                <w:kern w:val="0"/>
                <w:sz w:val="24"/>
                <w:szCs w:val="24"/>
              </w:rPr>
            </w:pPr>
            <w:r>
              <w:rPr>
                <w:rFonts w:hint="eastAsia" w:ascii="仿宋" w:hAnsi="仿宋" w:eastAsia="仿宋"/>
                <w:color w:val="000000"/>
                <w:kern w:val="0"/>
                <w:sz w:val="24"/>
                <w:szCs w:val="24"/>
              </w:rPr>
              <w:t>(</w:t>
            </w:r>
            <w:r>
              <w:rPr>
                <w:rFonts w:ascii="仿宋" w:hAnsi="仿宋" w:eastAsia="仿宋"/>
                <w:color w:val="000000"/>
                <w:kern w:val="0"/>
                <w:sz w:val="24"/>
                <w:szCs w:val="24"/>
              </w:rPr>
              <w:t>40%)</w:t>
            </w:r>
          </w:p>
        </w:tc>
        <w:tc>
          <w:tcPr>
            <w:tcW w:w="1701" w:type="dxa"/>
            <w:gridSpan w:val="3"/>
            <w:tcBorders>
              <w:bottom w:val="single" w:color="auto" w:sz="4" w:space="0"/>
            </w:tcBorders>
            <w:noWrap w:val="0"/>
            <w:vAlign w:val="center"/>
          </w:tcPr>
          <w:p w14:paraId="23705FB2">
            <w:pPr>
              <w:tabs>
                <w:tab w:val="left" w:pos="720"/>
              </w:tabs>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编写小型乐队总谱，使用软件制作乐谱和音频，制定编排方案。</w:t>
            </w:r>
          </w:p>
        </w:tc>
        <w:tc>
          <w:tcPr>
            <w:tcW w:w="1276" w:type="dxa"/>
            <w:gridSpan w:val="2"/>
            <w:tcBorders>
              <w:bottom w:val="single" w:color="auto" w:sz="4" w:space="0"/>
            </w:tcBorders>
            <w:noWrap w:val="0"/>
            <w:vAlign w:val="center"/>
          </w:tcPr>
          <w:p w14:paraId="1D87E37F">
            <w:pPr>
              <w:tabs>
                <w:tab w:val="left" w:pos="720"/>
              </w:tabs>
              <w:adjustRightInd w:val="0"/>
              <w:snapToGrid w:val="0"/>
              <w:jc w:val="center"/>
              <w:rPr>
                <w:rFonts w:hint="eastAsia" w:ascii="仿宋" w:hAnsi="仿宋" w:eastAsia="仿宋" w:cs="仿宋"/>
                <w:kern w:val="0"/>
                <w:sz w:val="24"/>
                <w:szCs w:val="24"/>
              </w:rPr>
            </w:pPr>
            <w:r>
              <w:rPr>
                <w:rFonts w:ascii="仿宋" w:hAnsi="仿宋" w:eastAsia="仿宋" w:cs="仿宋"/>
                <w:kern w:val="0"/>
                <w:sz w:val="24"/>
                <w:szCs w:val="24"/>
              </w:rPr>
              <w:t>8%</w:t>
            </w:r>
          </w:p>
        </w:tc>
        <w:tc>
          <w:tcPr>
            <w:tcW w:w="1275" w:type="dxa"/>
            <w:tcBorders>
              <w:bottom w:val="single" w:color="auto" w:sz="4" w:space="0"/>
            </w:tcBorders>
            <w:noWrap w:val="0"/>
            <w:vAlign w:val="center"/>
          </w:tcPr>
          <w:p w14:paraId="40C2A67C">
            <w:pPr>
              <w:tabs>
                <w:tab w:val="left" w:pos="720"/>
              </w:tabs>
              <w:adjustRightInd w:val="0"/>
              <w:snapToGrid w:val="0"/>
              <w:jc w:val="center"/>
              <w:rPr>
                <w:rFonts w:hint="eastAsia" w:ascii="仿宋" w:hAnsi="仿宋" w:eastAsia="仿宋" w:cs="仿宋"/>
                <w:kern w:val="0"/>
                <w:sz w:val="24"/>
                <w:szCs w:val="24"/>
              </w:rPr>
            </w:pPr>
            <w:r>
              <w:rPr>
                <w:rFonts w:ascii="仿宋" w:hAnsi="仿宋" w:eastAsia="仿宋" w:cs="仿宋"/>
                <w:kern w:val="0"/>
                <w:sz w:val="24"/>
                <w:szCs w:val="24"/>
              </w:rPr>
              <w:t>16%</w:t>
            </w:r>
          </w:p>
        </w:tc>
        <w:tc>
          <w:tcPr>
            <w:tcW w:w="1560" w:type="dxa"/>
            <w:tcBorders>
              <w:bottom w:val="single" w:color="auto" w:sz="4" w:space="0"/>
            </w:tcBorders>
            <w:noWrap w:val="0"/>
            <w:vAlign w:val="center"/>
          </w:tcPr>
          <w:p w14:paraId="5803C448">
            <w:pPr>
              <w:tabs>
                <w:tab w:val="left" w:pos="720"/>
              </w:tabs>
              <w:adjustRightInd w:val="0"/>
              <w:snapToGrid w:val="0"/>
              <w:jc w:val="center"/>
              <w:rPr>
                <w:rFonts w:hint="eastAsia" w:ascii="仿宋" w:hAnsi="仿宋" w:eastAsia="仿宋" w:cs="仿宋"/>
                <w:kern w:val="0"/>
                <w:sz w:val="24"/>
                <w:szCs w:val="24"/>
              </w:rPr>
            </w:pPr>
            <w:r>
              <w:rPr>
                <w:rFonts w:ascii="仿宋" w:hAnsi="仿宋" w:eastAsia="仿宋" w:cs="仿宋"/>
                <w:kern w:val="0"/>
                <w:sz w:val="24"/>
                <w:szCs w:val="24"/>
              </w:rPr>
              <w:t>16%</w:t>
            </w:r>
          </w:p>
        </w:tc>
        <w:tc>
          <w:tcPr>
            <w:tcW w:w="1134" w:type="dxa"/>
            <w:gridSpan w:val="2"/>
            <w:tcBorders>
              <w:bottom w:val="single" w:color="auto" w:sz="4" w:space="0"/>
            </w:tcBorders>
            <w:noWrap w:val="0"/>
            <w:vAlign w:val="center"/>
          </w:tcPr>
          <w:p w14:paraId="0DAA200D">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0.</w:t>
            </w:r>
            <w:r>
              <w:rPr>
                <w:rFonts w:ascii="仿宋" w:hAnsi="仿宋" w:eastAsia="仿宋" w:cs="仿宋"/>
                <w:kern w:val="0"/>
                <w:sz w:val="24"/>
                <w:szCs w:val="24"/>
              </w:rPr>
              <w:t>75</w:t>
            </w:r>
          </w:p>
        </w:tc>
      </w:tr>
      <w:tr w14:paraId="6A048C32">
        <w:trPr>
          <w:trHeight w:val="580" w:hRule="atLeast"/>
        </w:trPr>
        <w:tc>
          <w:tcPr>
            <w:tcW w:w="1186" w:type="dxa"/>
            <w:vMerge w:val="continue"/>
            <w:noWrap w:val="0"/>
            <w:vAlign w:val="center"/>
          </w:tcPr>
          <w:p w14:paraId="5C3E7628">
            <w:pPr>
              <w:adjustRightInd w:val="0"/>
              <w:snapToGrid w:val="0"/>
              <w:jc w:val="center"/>
              <w:rPr>
                <w:rFonts w:hint="eastAsia" w:ascii="仿宋" w:hAnsi="仿宋" w:eastAsia="仿宋" w:cs="仿宋"/>
                <w:sz w:val="24"/>
                <w:szCs w:val="24"/>
              </w:rPr>
            </w:pPr>
          </w:p>
        </w:tc>
        <w:tc>
          <w:tcPr>
            <w:tcW w:w="1371" w:type="dxa"/>
            <w:tcBorders>
              <w:bottom w:val="single" w:color="auto" w:sz="4" w:space="0"/>
            </w:tcBorders>
            <w:noWrap w:val="0"/>
            <w:vAlign w:val="center"/>
          </w:tcPr>
          <w:p w14:paraId="0332F65B">
            <w:pPr>
              <w:widowControl/>
              <w:adjustRightInd w:val="0"/>
              <w:snapToGrid w:val="0"/>
              <w:jc w:val="center"/>
              <w:rPr>
                <w:rFonts w:ascii="仿宋" w:hAnsi="仿宋" w:eastAsia="仿宋"/>
                <w:b/>
                <w:bCs/>
                <w:color w:val="000000"/>
                <w:kern w:val="0"/>
                <w:sz w:val="24"/>
                <w:szCs w:val="24"/>
              </w:rPr>
            </w:pPr>
            <w:r>
              <w:rPr>
                <w:rFonts w:hint="eastAsia" w:ascii="仿宋" w:hAnsi="仿宋" w:eastAsia="仿宋"/>
                <w:b/>
                <w:bCs/>
                <w:color w:val="000000"/>
                <w:kern w:val="0"/>
                <w:sz w:val="24"/>
                <w:szCs w:val="24"/>
              </w:rPr>
              <w:t>课程目标</w:t>
            </w:r>
            <w:r>
              <w:rPr>
                <w:rFonts w:ascii="仿宋" w:hAnsi="仿宋" w:eastAsia="仿宋"/>
                <w:b/>
                <w:bCs/>
                <w:color w:val="000000"/>
                <w:kern w:val="0"/>
                <w:sz w:val="24"/>
                <w:szCs w:val="24"/>
              </w:rPr>
              <w:t>3</w:t>
            </w:r>
          </w:p>
          <w:p w14:paraId="0166F165">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olor w:val="000000"/>
                <w:kern w:val="0"/>
                <w:sz w:val="24"/>
                <w:szCs w:val="24"/>
              </w:rPr>
              <w:t>(</w:t>
            </w:r>
            <w:r>
              <w:rPr>
                <w:rFonts w:ascii="仿宋" w:hAnsi="仿宋" w:eastAsia="仿宋"/>
                <w:color w:val="000000"/>
                <w:kern w:val="0"/>
                <w:sz w:val="24"/>
                <w:szCs w:val="24"/>
              </w:rPr>
              <w:t>40%)</w:t>
            </w:r>
          </w:p>
        </w:tc>
        <w:tc>
          <w:tcPr>
            <w:tcW w:w="1701" w:type="dxa"/>
            <w:gridSpan w:val="3"/>
            <w:tcBorders>
              <w:bottom w:val="single" w:color="auto" w:sz="4" w:space="0"/>
            </w:tcBorders>
            <w:noWrap w:val="0"/>
            <w:vAlign w:val="center"/>
          </w:tcPr>
          <w:p w14:paraId="3EC30B99">
            <w:pPr>
              <w:tabs>
                <w:tab w:val="left" w:pos="720"/>
              </w:tabs>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创编或改编作品，小组协作对作品进行排演。</w:t>
            </w:r>
          </w:p>
        </w:tc>
        <w:tc>
          <w:tcPr>
            <w:tcW w:w="1276" w:type="dxa"/>
            <w:gridSpan w:val="2"/>
            <w:tcBorders>
              <w:bottom w:val="single" w:color="auto" w:sz="4" w:space="0"/>
            </w:tcBorders>
            <w:noWrap w:val="0"/>
            <w:vAlign w:val="center"/>
          </w:tcPr>
          <w:p w14:paraId="2B97F009">
            <w:pPr>
              <w:tabs>
                <w:tab w:val="left" w:pos="720"/>
              </w:tabs>
              <w:adjustRightInd w:val="0"/>
              <w:snapToGrid w:val="0"/>
              <w:jc w:val="center"/>
              <w:rPr>
                <w:rFonts w:hint="eastAsia" w:ascii="仿宋" w:hAnsi="仿宋" w:eastAsia="仿宋" w:cs="仿宋"/>
                <w:kern w:val="0"/>
                <w:sz w:val="24"/>
                <w:szCs w:val="24"/>
              </w:rPr>
            </w:pPr>
            <w:r>
              <w:rPr>
                <w:rFonts w:ascii="仿宋" w:hAnsi="仿宋" w:eastAsia="仿宋" w:cs="仿宋"/>
                <w:kern w:val="0"/>
                <w:sz w:val="24"/>
                <w:szCs w:val="24"/>
              </w:rPr>
              <w:t>8%</w:t>
            </w:r>
          </w:p>
        </w:tc>
        <w:tc>
          <w:tcPr>
            <w:tcW w:w="1275" w:type="dxa"/>
            <w:tcBorders>
              <w:bottom w:val="single" w:color="auto" w:sz="4" w:space="0"/>
            </w:tcBorders>
            <w:noWrap w:val="0"/>
            <w:vAlign w:val="center"/>
          </w:tcPr>
          <w:p w14:paraId="7942A204">
            <w:pPr>
              <w:tabs>
                <w:tab w:val="left" w:pos="720"/>
              </w:tabs>
              <w:adjustRightInd w:val="0"/>
              <w:snapToGrid w:val="0"/>
              <w:jc w:val="center"/>
              <w:rPr>
                <w:rFonts w:hint="eastAsia" w:ascii="仿宋" w:hAnsi="仿宋" w:eastAsia="仿宋" w:cs="仿宋"/>
                <w:kern w:val="0"/>
                <w:sz w:val="24"/>
                <w:szCs w:val="24"/>
              </w:rPr>
            </w:pPr>
            <w:r>
              <w:rPr>
                <w:rFonts w:ascii="仿宋" w:hAnsi="仿宋" w:eastAsia="仿宋" w:cs="仿宋"/>
                <w:kern w:val="0"/>
                <w:sz w:val="24"/>
                <w:szCs w:val="24"/>
              </w:rPr>
              <w:t>16%</w:t>
            </w:r>
          </w:p>
        </w:tc>
        <w:tc>
          <w:tcPr>
            <w:tcW w:w="1560" w:type="dxa"/>
            <w:tcBorders>
              <w:bottom w:val="single" w:color="auto" w:sz="4" w:space="0"/>
            </w:tcBorders>
            <w:noWrap w:val="0"/>
            <w:vAlign w:val="center"/>
          </w:tcPr>
          <w:p w14:paraId="3D1491F6">
            <w:pPr>
              <w:tabs>
                <w:tab w:val="left" w:pos="720"/>
              </w:tabs>
              <w:adjustRightInd w:val="0"/>
              <w:snapToGrid w:val="0"/>
              <w:jc w:val="center"/>
              <w:rPr>
                <w:rFonts w:hint="eastAsia" w:ascii="仿宋" w:hAnsi="仿宋" w:eastAsia="仿宋" w:cs="仿宋"/>
                <w:kern w:val="0"/>
                <w:sz w:val="24"/>
                <w:szCs w:val="24"/>
              </w:rPr>
            </w:pPr>
            <w:r>
              <w:rPr>
                <w:rFonts w:ascii="仿宋" w:hAnsi="仿宋" w:eastAsia="仿宋" w:cs="仿宋"/>
                <w:kern w:val="0"/>
                <w:sz w:val="24"/>
                <w:szCs w:val="24"/>
              </w:rPr>
              <w:t>16%</w:t>
            </w:r>
          </w:p>
        </w:tc>
        <w:tc>
          <w:tcPr>
            <w:tcW w:w="1134" w:type="dxa"/>
            <w:gridSpan w:val="2"/>
            <w:tcBorders>
              <w:bottom w:val="single" w:color="auto" w:sz="4" w:space="0"/>
            </w:tcBorders>
            <w:noWrap w:val="0"/>
            <w:vAlign w:val="center"/>
          </w:tcPr>
          <w:p w14:paraId="7E47054B">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0.</w:t>
            </w:r>
            <w:r>
              <w:rPr>
                <w:rFonts w:ascii="仿宋" w:hAnsi="仿宋" w:eastAsia="仿宋" w:cs="仿宋"/>
                <w:kern w:val="0"/>
                <w:sz w:val="24"/>
                <w:szCs w:val="24"/>
              </w:rPr>
              <w:t>75</w:t>
            </w:r>
          </w:p>
        </w:tc>
      </w:tr>
      <w:tr w14:paraId="19B6C643">
        <w:trPr>
          <w:trHeight w:val="515" w:hRule="atLeast"/>
        </w:trPr>
        <w:tc>
          <w:tcPr>
            <w:tcW w:w="1186" w:type="dxa"/>
            <w:vMerge w:val="continue"/>
            <w:noWrap w:val="0"/>
            <w:vAlign w:val="center"/>
          </w:tcPr>
          <w:p w14:paraId="06DEA0F4">
            <w:pPr>
              <w:adjustRightInd w:val="0"/>
              <w:snapToGrid w:val="0"/>
              <w:jc w:val="center"/>
              <w:rPr>
                <w:rFonts w:hint="eastAsia" w:ascii="仿宋" w:hAnsi="仿宋" w:eastAsia="仿宋" w:cs="仿宋"/>
                <w:sz w:val="24"/>
                <w:szCs w:val="24"/>
                <w:lang w:eastAsia="zh-TW"/>
              </w:rPr>
            </w:pPr>
          </w:p>
        </w:tc>
        <w:tc>
          <w:tcPr>
            <w:tcW w:w="3072" w:type="dxa"/>
            <w:gridSpan w:val="4"/>
            <w:tcBorders>
              <w:bottom w:val="single" w:color="auto" w:sz="4" w:space="0"/>
            </w:tcBorders>
            <w:noWrap w:val="0"/>
            <w:vAlign w:val="center"/>
          </w:tcPr>
          <w:p w14:paraId="12B725AC">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总分</w:t>
            </w:r>
          </w:p>
        </w:tc>
        <w:tc>
          <w:tcPr>
            <w:tcW w:w="1276" w:type="dxa"/>
            <w:gridSpan w:val="2"/>
            <w:tcBorders>
              <w:bottom w:val="single" w:color="auto" w:sz="4" w:space="0"/>
            </w:tcBorders>
            <w:noWrap w:val="0"/>
            <w:vAlign w:val="center"/>
          </w:tcPr>
          <w:p w14:paraId="3FB4E06E">
            <w:pPr>
              <w:tabs>
                <w:tab w:val="left" w:pos="720"/>
              </w:tabs>
              <w:adjustRightInd w:val="0"/>
              <w:snapToGrid w:val="0"/>
              <w:jc w:val="center"/>
              <w:rPr>
                <w:rFonts w:hint="eastAsia" w:ascii="仿宋" w:hAnsi="仿宋" w:eastAsia="仿宋" w:cs="仿宋"/>
                <w:kern w:val="0"/>
                <w:sz w:val="24"/>
                <w:szCs w:val="24"/>
              </w:rPr>
            </w:pPr>
            <w:r>
              <w:rPr>
                <w:rFonts w:ascii="仿宋" w:hAnsi="仿宋" w:eastAsia="仿宋" w:cs="仿宋"/>
                <w:kern w:val="0"/>
                <w:sz w:val="24"/>
                <w:szCs w:val="24"/>
              </w:rPr>
              <w:t>20</w:t>
            </w:r>
          </w:p>
        </w:tc>
        <w:tc>
          <w:tcPr>
            <w:tcW w:w="1275" w:type="dxa"/>
            <w:tcBorders>
              <w:bottom w:val="single" w:color="auto" w:sz="4" w:space="0"/>
            </w:tcBorders>
            <w:noWrap w:val="0"/>
            <w:vAlign w:val="center"/>
          </w:tcPr>
          <w:p w14:paraId="63F149E7">
            <w:pPr>
              <w:tabs>
                <w:tab w:val="left" w:pos="720"/>
              </w:tabs>
              <w:adjustRightInd w:val="0"/>
              <w:snapToGrid w:val="0"/>
              <w:jc w:val="center"/>
              <w:rPr>
                <w:rFonts w:hint="eastAsia" w:ascii="仿宋" w:hAnsi="仿宋" w:eastAsia="仿宋" w:cs="仿宋"/>
                <w:kern w:val="0"/>
                <w:sz w:val="24"/>
                <w:szCs w:val="24"/>
              </w:rPr>
            </w:pPr>
            <w:r>
              <w:rPr>
                <w:rFonts w:ascii="仿宋" w:hAnsi="仿宋" w:eastAsia="仿宋" w:cs="仿宋"/>
                <w:kern w:val="0"/>
                <w:sz w:val="24"/>
                <w:szCs w:val="24"/>
              </w:rPr>
              <w:t>40</w:t>
            </w:r>
          </w:p>
        </w:tc>
        <w:tc>
          <w:tcPr>
            <w:tcW w:w="1560" w:type="dxa"/>
            <w:tcBorders>
              <w:bottom w:val="single" w:color="auto" w:sz="4" w:space="0"/>
            </w:tcBorders>
            <w:noWrap w:val="0"/>
            <w:vAlign w:val="center"/>
          </w:tcPr>
          <w:p w14:paraId="16922E6E">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4</w:t>
            </w:r>
            <w:r>
              <w:rPr>
                <w:rFonts w:ascii="仿宋" w:hAnsi="仿宋" w:eastAsia="仿宋" w:cs="仿宋"/>
                <w:kern w:val="0"/>
                <w:sz w:val="24"/>
                <w:szCs w:val="24"/>
              </w:rPr>
              <w:t>0</w:t>
            </w:r>
          </w:p>
        </w:tc>
        <w:tc>
          <w:tcPr>
            <w:tcW w:w="1134" w:type="dxa"/>
            <w:gridSpan w:val="2"/>
            <w:tcBorders>
              <w:bottom w:val="single" w:color="auto" w:sz="4" w:space="0"/>
            </w:tcBorders>
            <w:noWrap w:val="0"/>
            <w:vAlign w:val="center"/>
          </w:tcPr>
          <w:p w14:paraId="03921BBC">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0</w:t>
            </w:r>
            <w:r>
              <w:rPr>
                <w:rFonts w:ascii="仿宋" w:hAnsi="仿宋" w:eastAsia="仿宋" w:cs="仿宋"/>
                <w:kern w:val="0"/>
                <w:sz w:val="24"/>
                <w:szCs w:val="24"/>
              </w:rPr>
              <w:t>.75</w:t>
            </w:r>
          </w:p>
        </w:tc>
      </w:tr>
      <w:tr w14:paraId="2139AF9A">
        <w:tc>
          <w:tcPr>
            <w:tcW w:w="1186" w:type="dxa"/>
            <w:noWrap w:val="0"/>
            <w:vAlign w:val="center"/>
          </w:tcPr>
          <w:p w14:paraId="1975840A">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L</w:t>
            </w:r>
          </w:p>
          <w:p w14:paraId="329EC370">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学习建议</w:t>
            </w:r>
          </w:p>
        </w:tc>
        <w:tc>
          <w:tcPr>
            <w:tcW w:w="8317" w:type="dxa"/>
            <w:gridSpan w:val="10"/>
            <w:tcBorders>
              <w:bottom w:val="single" w:color="auto" w:sz="4" w:space="0"/>
            </w:tcBorders>
            <w:noWrap w:val="0"/>
            <w:vAlign w:val="center"/>
          </w:tcPr>
          <w:p w14:paraId="288EC4B6">
            <w:pPr>
              <w:adjustRightInd w:val="0"/>
              <w:snapToGrid w:val="0"/>
              <w:jc w:val="left"/>
              <w:rPr>
                <w:rFonts w:hint="eastAsia" w:ascii="仿宋" w:hAnsi="仿宋" w:eastAsia="仿宋" w:cs="仿宋"/>
                <w:bCs/>
                <w:sz w:val="24"/>
                <w:szCs w:val="24"/>
              </w:rPr>
            </w:pPr>
            <w:r>
              <w:rPr>
                <w:rFonts w:hint="eastAsia" w:ascii="仿宋" w:hAnsi="仿宋" w:eastAsia="仿宋" w:cs="仿宋"/>
                <w:bCs/>
                <w:sz w:val="24"/>
                <w:szCs w:val="24"/>
              </w:rPr>
              <w:t>1.自主学习。建议学生通过预习教材，并通过网络、图书馆自主查阅课程中涉及的学习资源，独立规划自己的课程学习计划，充分发挥自身的学习能动性。</w:t>
            </w:r>
          </w:p>
          <w:p w14:paraId="70E8C943">
            <w:pPr>
              <w:adjustRightInd w:val="0"/>
              <w:snapToGrid w:val="0"/>
              <w:jc w:val="left"/>
              <w:rPr>
                <w:rFonts w:hint="eastAsia" w:ascii="仿宋" w:hAnsi="仿宋" w:eastAsia="仿宋" w:cs="仿宋"/>
                <w:kern w:val="0"/>
                <w:sz w:val="24"/>
                <w:szCs w:val="24"/>
              </w:rPr>
            </w:pPr>
            <w:r>
              <w:rPr>
                <w:rFonts w:hint="eastAsia" w:ascii="仿宋" w:hAnsi="仿宋" w:eastAsia="仿宋" w:cs="仿宋"/>
                <w:bCs/>
                <w:sz w:val="24"/>
                <w:szCs w:val="24"/>
              </w:rPr>
              <w:t>2.研究性学习。鼓励学生针对课程教学内容，尝试理论课结合专题报告的教学方式，开阔学生的视野。</w:t>
            </w:r>
          </w:p>
        </w:tc>
      </w:tr>
      <w:tr w14:paraId="1EEAD7AC">
        <w:trPr>
          <w:trHeight w:val="454" w:hRule="atLeast"/>
        </w:trPr>
        <w:tc>
          <w:tcPr>
            <w:tcW w:w="1186" w:type="dxa"/>
            <w:noWrap w:val="0"/>
            <w:vAlign w:val="center"/>
          </w:tcPr>
          <w:p w14:paraId="2EDCE9E6">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M</w:t>
            </w:r>
          </w:p>
          <w:p w14:paraId="56CA2DBC">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评分量表</w:t>
            </w:r>
          </w:p>
        </w:tc>
        <w:tc>
          <w:tcPr>
            <w:tcW w:w="8317" w:type="dxa"/>
            <w:gridSpan w:val="10"/>
            <w:noWrap w:val="0"/>
            <w:vAlign w:val="center"/>
          </w:tcPr>
          <w:p w14:paraId="6EBDBD01">
            <w:pPr>
              <w:tabs>
                <w:tab w:val="left" w:pos="720"/>
              </w:tabs>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《小乐队编配》课程目标评分量表见附表。</w:t>
            </w:r>
          </w:p>
        </w:tc>
      </w:tr>
      <w:tr w14:paraId="50634568">
        <w:trPr>
          <w:trHeight w:val="454" w:hRule="atLeast"/>
        </w:trPr>
        <w:tc>
          <w:tcPr>
            <w:tcW w:w="1186" w:type="dxa"/>
            <w:noWrap w:val="0"/>
            <w:vAlign w:val="center"/>
          </w:tcPr>
          <w:p w14:paraId="2390FA7B">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备注</w:t>
            </w:r>
          </w:p>
        </w:tc>
        <w:tc>
          <w:tcPr>
            <w:tcW w:w="8317" w:type="dxa"/>
            <w:gridSpan w:val="10"/>
            <w:noWrap w:val="0"/>
            <w:vAlign w:val="center"/>
          </w:tcPr>
          <w:p w14:paraId="75EC2DF9">
            <w:pPr>
              <w:adjustRightInd w:val="0"/>
              <w:snapToGrid w:val="0"/>
              <w:jc w:val="left"/>
              <w:rPr>
                <w:rFonts w:hint="eastAsia" w:ascii="仿宋" w:hAnsi="仿宋" w:eastAsia="仿宋" w:cs="仿宋"/>
                <w:kern w:val="0"/>
                <w:sz w:val="24"/>
                <w:szCs w:val="24"/>
              </w:rPr>
            </w:pPr>
            <w:r>
              <w:rPr>
                <w:rFonts w:hint="eastAsia" w:ascii="仿宋" w:hAnsi="仿宋" w:eastAsia="仿宋" w:cs="仿宋"/>
                <w:sz w:val="24"/>
                <w:szCs w:val="24"/>
              </w:rPr>
              <w:t>课程大纲A—M项由开课学院审批通过，任课教师不能自行更改。</w:t>
            </w:r>
          </w:p>
        </w:tc>
      </w:tr>
      <w:tr w14:paraId="1152B56A">
        <w:trPr>
          <w:trHeight w:val="771" w:hRule="atLeast"/>
        </w:trPr>
        <w:tc>
          <w:tcPr>
            <w:tcW w:w="1186" w:type="dxa"/>
            <w:noWrap w:val="0"/>
            <w:vAlign w:val="center"/>
          </w:tcPr>
          <w:p w14:paraId="3938D0DD">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审批</w:t>
            </w:r>
          </w:p>
          <w:p w14:paraId="687084CB">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意见</w:t>
            </w:r>
          </w:p>
        </w:tc>
        <w:tc>
          <w:tcPr>
            <w:tcW w:w="1506" w:type="dxa"/>
            <w:gridSpan w:val="2"/>
            <w:noWrap w:val="0"/>
            <w:vAlign w:val="center"/>
          </w:tcPr>
          <w:p w14:paraId="00C2943D">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课程教学大纲修订负责人及教学团队成员</w:t>
            </w:r>
            <w:r>
              <w:rPr>
                <w:rFonts w:hint="eastAsia" w:ascii="仿宋" w:hAnsi="仿宋" w:eastAsia="仿宋" w:cs="仿宋"/>
                <w:sz w:val="24"/>
                <w:szCs w:val="24"/>
              </w:rPr>
              <w:t>签名</w:t>
            </w:r>
            <w:r>
              <w:rPr>
                <w:rFonts w:hint="eastAsia" w:ascii="仿宋" w:hAnsi="仿宋" w:eastAsia="仿宋" w:cs="仿宋"/>
                <w:kern w:val="0"/>
                <w:sz w:val="24"/>
                <w:szCs w:val="24"/>
              </w:rPr>
              <w:t xml:space="preserve">：   </w:t>
            </w:r>
          </w:p>
          <w:p w14:paraId="049A7979">
            <w:pPr>
              <w:widowControl/>
              <w:adjustRightInd w:val="0"/>
              <w:snapToGrid w:val="0"/>
              <w:jc w:val="left"/>
              <w:rPr>
                <w:rFonts w:hint="eastAsia" w:ascii="仿宋" w:hAnsi="仿宋" w:eastAsia="仿宋" w:cs="仿宋"/>
                <w:kern w:val="0"/>
                <w:sz w:val="24"/>
                <w:szCs w:val="24"/>
              </w:rPr>
            </w:pPr>
          </w:p>
          <w:p w14:paraId="77B34ECF">
            <w:pPr>
              <w:widowControl/>
              <w:adjustRightInd w:val="0"/>
              <w:snapToGrid w:val="0"/>
              <w:jc w:val="left"/>
              <w:rPr>
                <w:rFonts w:ascii="仿宋" w:hAnsi="仿宋" w:eastAsia="仿宋" w:cs="仿宋"/>
                <w:kern w:val="0"/>
                <w:sz w:val="24"/>
                <w:szCs w:val="24"/>
              </w:rPr>
            </w:pPr>
            <w:r>
              <w:rPr>
                <w:rFonts w:hint="eastAsia" w:ascii="仿宋" w:hAnsi="仿宋" w:eastAsia="仿宋" w:cs="仿宋"/>
                <w:kern w:val="0"/>
                <w:sz w:val="24"/>
                <w:szCs w:val="24"/>
              </w:rPr>
              <w:t>林心河</w:t>
            </w:r>
          </w:p>
          <w:p w14:paraId="15111A3C">
            <w:pPr>
              <w:widowControl/>
              <w:adjustRightInd w:val="0"/>
              <w:snapToGrid w:val="0"/>
              <w:jc w:val="left"/>
              <w:rPr>
                <w:rFonts w:hint="eastAsia" w:ascii="仿宋" w:hAnsi="仿宋" w:eastAsia="仿宋" w:cs="仿宋"/>
                <w:kern w:val="0"/>
                <w:sz w:val="24"/>
                <w:szCs w:val="24"/>
              </w:rPr>
            </w:pPr>
          </w:p>
          <w:p w14:paraId="5D600BFF">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 xml:space="preserve">                                                   年   月   日 </w:t>
            </w:r>
          </w:p>
          <w:p w14:paraId="07F54C12">
            <w:pPr>
              <w:widowControl/>
              <w:adjustRightInd w:val="0"/>
              <w:snapToGrid w:val="0"/>
              <w:jc w:val="right"/>
              <w:rPr>
                <w:rFonts w:hint="eastAsia" w:ascii="仿宋" w:hAnsi="仿宋" w:eastAsia="仿宋" w:cs="仿宋"/>
                <w:kern w:val="0"/>
                <w:sz w:val="24"/>
                <w:szCs w:val="24"/>
              </w:rPr>
            </w:pPr>
          </w:p>
        </w:tc>
        <w:tc>
          <w:tcPr>
            <w:tcW w:w="6811" w:type="dxa"/>
            <w:gridSpan w:val="8"/>
            <w:noWrap w:val="0"/>
            <w:vAlign w:val="center"/>
          </w:tcPr>
          <w:p w14:paraId="695D8477">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系主任审核意见：</w:t>
            </w:r>
          </w:p>
          <w:p w14:paraId="512757D9">
            <w:pPr>
              <w:widowControl/>
              <w:adjustRightInd w:val="0"/>
              <w:snapToGrid w:val="0"/>
              <w:jc w:val="left"/>
              <w:rPr>
                <w:rFonts w:hint="eastAsia" w:ascii="仿宋" w:hAnsi="仿宋" w:eastAsia="仿宋" w:cs="仿宋"/>
                <w:kern w:val="0"/>
                <w:sz w:val="24"/>
                <w:szCs w:val="24"/>
              </w:rPr>
            </w:pPr>
          </w:p>
          <w:p w14:paraId="1CEC4DE1">
            <w:pPr>
              <w:widowControl/>
              <w:adjustRightInd w:val="0"/>
              <w:snapToGrid w:val="0"/>
              <w:jc w:val="left"/>
              <w:rPr>
                <w:rFonts w:hint="eastAsia" w:ascii="仿宋" w:hAnsi="仿宋" w:eastAsia="仿宋" w:cs="仿宋"/>
                <w:kern w:val="0"/>
                <w:sz w:val="24"/>
                <w:szCs w:val="24"/>
              </w:rPr>
            </w:pPr>
          </w:p>
          <w:p w14:paraId="7F782B1C">
            <w:pPr>
              <w:widowControl/>
              <w:adjustRightInd w:val="0"/>
              <w:snapToGrid w:val="0"/>
              <w:jc w:val="left"/>
              <w:rPr>
                <w:rFonts w:hint="eastAsia" w:ascii="仿宋" w:hAnsi="仿宋" w:eastAsia="仿宋" w:cs="仿宋"/>
                <w:kern w:val="0"/>
                <w:sz w:val="24"/>
                <w:szCs w:val="24"/>
              </w:rPr>
            </w:pPr>
          </w:p>
          <w:p w14:paraId="76A33C1A">
            <w:pPr>
              <w:widowControl/>
              <w:adjustRightInd w:val="0"/>
              <w:snapToGrid w:val="0"/>
              <w:jc w:val="left"/>
              <w:rPr>
                <w:rFonts w:hint="eastAsia" w:ascii="仿宋" w:hAnsi="仿宋" w:eastAsia="仿宋" w:cs="仿宋"/>
                <w:kern w:val="0"/>
                <w:sz w:val="24"/>
                <w:szCs w:val="24"/>
              </w:rPr>
            </w:pPr>
          </w:p>
          <w:p w14:paraId="78FA12C2">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系主任签名：</w:t>
            </w:r>
          </w:p>
          <w:p w14:paraId="6EC1C2B2">
            <w:pPr>
              <w:widowControl/>
              <w:adjustRightInd w:val="0"/>
              <w:snapToGrid w:val="0"/>
              <w:jc w:val="right"/>
              <w:rPr>
                <w:rFonts w:hint="eastAsia" w:ascii="仿宋" w:hAnsi="仿宋" w:eastAsia="仿宋" w:cs="仿宋"/>
                <w:kern w:val="0"/>
                <w:sz w:val="24"/>
                <w:szCs w:val="24"/>
              </w:rPr>
            </w:pPr>
          </w:p>
          <w:p w14:paraId="6E8A63F5">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年   月   日</w:t>
            </w:r>
          </w:p>
          <w:p w14:paraId="0F8C8048">
            <w:pPr>
              <w:widowControl/>
              <w:adjustRightInd w:val="0"/>
              <w:snapToGrid w:val="0"/>
              <w:jc w:val="right"/>
              <w:rPr>
                <w:rFonts w:hint="eastAsia" w:ascii="仿宋" w:hAnsi="仿宋" w:eastAsia="仿宋" w:cs="仿宋"/>
                <w:kern w:val="0"/>
                <w:sz w:val="24"/>
                <w:szCs w:val="24"/>
              </w:rPr>
            </w:pPr>
          </w:p>
        </w:tc>
      </w:tr>
    </w:tbl>
    <w:p w14:paraId="1A145443">
      <w:pPr>
        <w:widowControl/>
        <w:ind w:right="480" w:firstLine="420" w:firstLineChars="200"/>
        <w:rPr>
          <w:rFonts w:hint="eastAsia" w:eastAsia="PMingLiU" w:cs="黑体"/>
          <w:lang w:eastAsia="zh-TW"/>
        </w:rPr>
      </w:pPr>
    </w:p>
    <w:p w14:paraId="05671D2F">
      <w:pPr>
        <w:widowControl/>
        <w:ind w:right="480" w:firstLine="420" w:firstLineChars="200"/>
        <w:rPr>
          <w:rFonts w:hint="eastAsia" w:eastAsia="PMingLiU" w:cs="黑体"/>
          <w:lang w:eastAsia="zh-TW"/>
        </w:rPr>
      </w:pPr>
    </w:p>
    <w:p w14:paraId="0BB68214">
      <w:pPr>
        <w:adjustRightInd w:val="0"/>
        <w:snapToGrid w:val="0"/>
        <w:jc w:val="center"/>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附表：</w:t>
      </w:r>
      <w:r>
        <w:rPr>
          <w:rFonts w:hint="eastAsia" w:ascii="仿宋" w:hAnsi="仿宋" w:eastAsia="仿宋" w:cs="仿宋"/>
          <w:color w:val="000000"/>
          <w:sz w:val="28"/>
          <w:szCs w:val="28"/>
        </w:rPr>
        <w:t>《小乐队编配》课程目标评分量表</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28" w:type="dxa"/>
        </w:tblCellMar>
      </w:tblPr>
      <w:tblGrid>
        <w:gridCol w:w="1414"/>
        <w:gridCol w:w="1434"/>
        <w:gridCol w:w="1495"/>
        <w:gridCol w:w="1495"/>
        <w:gridCol w:w="1250"/>
        <w:gridCol w:w="1251"/>
      </w:tblGrid>
      <w:tr w14:paraId="0BDB4639">
        <w:trPr>
          <w:trHeight w:val="592" w:hRule="atLeast"/>
          <w:jc w:val="center"/>
        </w:trPr>
        <w:tc>
          <w:tcPr>
            <w:tcW w:w="0" w:type="auto"/>
            <w:noWrap w:val="0"/>
            <w:vAlign w:val="center"/>
          </w:tcPr>
          <w:p w14:paraId="79838D2B">
            <w:pPr>
              <w:tabs>
                <w:tab w:val="left" w:pos="720"/>
              </w:tabs>
              <w:adjustRightInd w:val="0"/>
              <w:snapToGrid w:val="0"/>
              <w:jc w:val="center"/>
              <w:rPr>
                <w:rFonts w:hint="eastAsia" w:ascii="楷体" w:hAnsi="楷体" w:eastAsia="楷体" w:cs="楷体"/>
                <w:color w:val="000000"/>
                <w:kern w:val="0"/>
                <w:sz w:val="21"/>
                <w:szCs w:val="21"/>
              </w:rPr>
            </w:pPr>
            <w:r>
              <w:rPr>
                <w:rFonts w:hint="eastAsia" w:ascii="楷体" w:hAnsi="楷体" w:eastAsia="楷体" w:cs="楷体"/>
                <w:color w:val="000000"/>
                <w:kern w:val="0"/>
                <w:sz w:val="21"/>
                <w:szCs w:val="21"/>
              </w:rPr>
              <w:t>课程目标</w:t>
            </w:r>
          </w:p>
        </w:tc>
        <w:tc>
          <w:tcPr>
            <w:tcW w:w="0" w:type="auto"/>
            <w:noWrap w:val="0"/>
            <w:vAlign w:val="center"/>
          </w:tcPr>
          <w:p w14:paraId="39BB684E">
            <w:pPr>
              <w:tabs>
                <w:tab w:val="left" w:pos="720"/>
              </w:tabs>
              <w:adjustRightInd w:val="0"/>
              <w:snapToGrid w:val="0"/>
              <w:jc w:val="center"/>
              <w:rPr>
                <w:rFonts w:hint="eastAsia" w:ascii="楷体" w:hAnsi="楷体" w:eastAsia="楷体" w:cs="楷体"/>
                <w:color w:val="000000"/>
                <w:kern w:val="0"/>
                <w:sz w:val="21"/>
                <w:szCs w:val="21"/>
              </w:rPr>
            </w:pPr>
            <w:r>
              <w:rPr>
                <w:rFonts w:hint="eastAsia" w:ascii="楷体" w:hAnsi="楷体" w:eastAsia="楷体" w:cs="楷体"/>
                <w:color w:val="000000"/>
                <w:kern w:val="0"/>
                <w:sz w:val="21"/>
                <w:szCs w:val="21"/>
              </w:rPr>
              <w:t>优（X≧90）</w:t>
            </w:r>
          </w:p>
        </w:tc>
        <w:tc>
          <w:tcPr>
            <w:tcW w:w="0" w:type="auto"/>
            <w:noWrap w:val="0"/>
            <w:vAlign w:val="center"/>
          </w:tcPr>
          <w:p w14:paraId="5E046F91">
            <w:pPr>
              <w:tabs>
                <w:tab w:val="left" w:pos="720"/>
              </w:tabs>
              <w:adjustRightInd w:val="0"/>
              <w:snapToGrid w:val="0"/>
              <w:jc w:val="center"/>
              <w:rPr>
                <w:rFonts w:hint="eastAsia" w:ascii="楷体" w:hAnsi="楷体" w:eastAsia="楷体" w:cs="楷体"/>
                <w:color w:val="000000"/>
                <w:kern w:val="0"/>
                <w:sz w:val="21"/>
                <w:szCs w:val="21"/>
              </w:rPr>
            </w:pPr>
            <w:r>
              <w:rPr>
                <w:rFonts w:hint="eastAsia" w:ascii="楷体" w:hAnsi="楷体" w:eastAsia="楷体" w:cs="楷体"/>
                <w:color w:val="000000"/>
                <w:kern w:val="0"/>
                <w:sz w:val="21"/>
                <w:szCs w:val="21"/>
              </w:rPr>
              <w:t>良（80≦X＜90）</w:t>
            </w:r>
          </w:p>
        </w:tc>
        <w:tc>
          <w:tcPr>
            <w:tcW w:w="0" w:type="auto"/>
            <w:noWrap w:val="0"/>
            <w:vAlign w:val="center"/>
          </w:tcPr>
          <w:p w14:paraId="67A52379">
            <w:pPr>
              <w:tabs>
                <w:tab w:val="left" w:pos="720"/>
              </w:tabs>
              <w:adjustRightInd w:val="0"/>
              <w:snapToGrid w:val="0"/>
              <w:jc w:val="center"/>
              <w:rPr>
                <w:rFonts w:hint="eastAsia" w:ascii="楷体" w:hAnsi="楷体" w:eastAsia="楷体" w:cs="楷体"/>
                <w:color w:val="000000"/>
                <w:kern w:val="0"/>
                <w:sz w:val="21"/>
                <w:szCs w:val="21"/>
              </w:rPr>
            </w:pPr>
            <w:r>
              <w:rPr>
                <w:rFonts w:hint="eastAsia" w:ascii="楷体" w:hAnsi="楷体" w:eastAsia="楷体" w:cs="楷体"/>
                <w:color w:val="000000"/>
                <w:kern w:val="0"/>
                <w:sz w:val="21"/>
                <w:szCs w:val="21"/>
              </w:rPr>
              <w:t>中（70≦X＜80）</w:t>
            </w:r>
          </w:p>
        </w:tc>
        <w:tc>
          <w:tcPr>
            <w:tcW w:w="0" w:type="auto"/>
            <w:noWrap w:val="0"/>
            <w:vAlign w:val="center"/>
          </w:tcPr>
          <w:p w14:paraId="64C549A0">
            <w:pPr>
              <w:tabs>
                <w:tab w:val="left" w:pos="720"/>
              </w:tabs>
              <w:adjustRightInd w:val="0"/>
              <w:snapToGrid w:val="0"/>
              <w:jc w:val="center"/>
              <w:rPr>
                <w:rFonts w:hint="eastAsia" w:ascii="楷体" w:hAnsi="楷体" w:eastAsia="楷体" w:cs="楷体"/>
                <w:color w:val="000000"/>
                <w:kern w:val="0"/>
                <w:sz w:val="21"/>
                <w:szCs w:val="21"/>
              </w:rPr>
            </w:pPr>
            <w:r>
              <w:rPr>
                <w:rFonts w:hint="eastAsia" w:ascii="楷体" w:hAnsi="楷体" w:eastAsia="楷体" w:cs="楷体"/>
                <w:color w:val="000000"/>
                <w:kern w:val="0"/>
                <w:sz w:val="21"/>
                <w:szCs w:val="21"/>
              </w:rPr>
              <w:t>及格（60≦X＜70）</w:t>
            </w:r>
          </w:p>
        </w:tc>
        <w:tc>
          <w:tcPr>
            <w:tcW w:w="0" w:type="auto"/>
            <w:noWrap w:val="0"/>
            <w:vAlign w:val="center"/>
          </w:tcPr>
          <w:p w14:paraId="0B0B0F46">
            <w:pPr>
              <w:tabs>
                <w:tab w:val="left" w:pos="720"/>
              </w:tabs>
              <w:adjustRightInd w:val="0"/>
              <w:snapToGrid w:val="0"/>
              <w:jc w:val="center"/>
              <w:rPr>
                <w:rFonts w:hint="eastAsia" w:ascii="楷体" w:hAnsi="楷体" w:eastAsia="楷体" w:cs="楷体"/>
                <w:color w:val="000000"/>
                <w:kern w:val="0"/>
                <w:sz w:val="21"/>
                <w:szCs w:val="21"/>
              </w:rPr>
            </w:pPr>
            <w:r>
              <w:rPr>
                <w:rFonts w:hint="eastAsia" w:ascii="楷体" w:hAnsi="楷体" w:eastAsia="楷体" w:cs="楷体"/>
                <w:color w:val="000000"/>
                <w:kern w:val="0"/>
                <w:sz w:val="21"/>
                <w:szCs w:val="21"/>
              </w:rPr>
              <w:t>不及格（＜60）</w:t>
            </w:r>
          </w:p>
        </w:tc>
      </w:tr>
      <w:tr w14:paraId="1B1EFFF7">
        <w:trPr>
          <w:trHeight w:val="2457" w:hRule="atLeast"/>
          <w:jc w:val="center"/>
        </w:trPr>
        <w:tc>
          <w:tcPr>
            <w:tcW w:w="0" w:type="auto"/>
            <w:noWrap w:val="0"/>
            <w:vAlign w:val="top"/>
          </w:tcPr>
          <w:p w14:paraId="3B562938">
            <w:pPr>
              <w:widowControl/>
              <w:adjustRightInd w:val="0"/>
              <w:snapToGrid w:val="0"/>
              <w:jc w:val="left"/>
              <w:rPr>
                <w:rFonts w:hint="eastAsia" w:ascii="楷体" w:hAnsi="楷体" w:eastAsia="楷体" w:cs="楷体"/>
                <w:color w:val="000000"/>
                <w:sz w:val="21"/>
                <w:szCs w:val="21"/>
              </w:rPr>
            </w:pPr>
            <w:r>
              <w:rPr>
                <w:rFonts w:hint="eastAsia" w:ascii="楷体" w:hAnsi="楷体" w:eastAsia="楷体" w:cs="楷体"/>
                <w:color w:val="000000"/>
                <w:sz w:val="21"/>
                <w:szCs w:val="21"/>
              </w:rPr>
              <w:t>课程目标1：</w:t>
            </w:r>
          </w:p>
          <w:p w14:paraId="0F3E79C8">
            <w:pPr>
              <w:widowControl/>
              <w:adjustRightInd w:val="0"/>
              <w:snapToGrid w:val="0"/>
              <w:ind w:firstLine="420" w:firstLineChars="200"/>
              <w:jc w:val="left"/>
              <w:rPr>
                <w:rFonts w:hint="eastAsia" w:ascii="楷体" w:hAnsi="楷体" w:eastAsia="楷体" w:cs="楷体"/>
                <w:color w:val="000000"/>
                <w:sz w:val="21"/>
                <w:szCs w:val="21"/>
              </w:rPr>
            </w:pPr>
            <w:r>
              <w:rPr>
                <w:rFonts w:hint="eastAsia" w:ascii="楷体" w:hAnsi="楷体" w:eastAsia="楷体" w:cs="楷体"/>
                <w:color w:val="000000"/>
                <w:sz w:val="21"/>
                <w:szCs w:val="21"/>
              </w:rPr>
              <w:t>初步学会小型乐队编配的基本理论与研究方法；描述乐器的种类与性能；归纳乐器在小型乐队编配中的作用。</w:t>
            </w:r>
          </w:p>
        </w:tc>
        <w:tc>
          <w:tcPr>
            <w:tcW w:w="0" w:type="auto"/>
            <w:noWrap w:val="0"/>
            <w:vAlign w:val="top"/>
          </w:tcPr>
          <w:p w14:paraId="569A7D93">
            <w:pPr>
              <w:widowControl/>
              <w:adjustRightInd w:val="0"/>
              <w:snapToGrid w:val="0"/>
              <w:jc w:val="left"/>
              <w:rPr>
                <w:rFonts w:hint="eastAsia" w:ascii="楷体" w:hAnsi="楷体" w:eastAsia="楷体" w:cs="楷体"/>
                <w:color w:val="000000"/>
                <w:sz w:val="21"/>
                <w:szCs w:val="21"/>
              </w:rPr>
            </w:pPr>
            <w:r>
              <w:rPr>
                <w:rFonts w:hint="eastAsia" w:ascii="楷体" w:hAnsi="楷体" w:eastAsia="楷体" w:cs="楷体"/>
                <w:color w:val="000000"/>
                <w:sz w:val="21"/>
                <w:szCs w:val="21"/>
              </w:rPr>
              <w:t>能够准确地阐述小型乐队编配的基本理论与研究方法，并熟练准确地鉴别乐器的种类与性能。能够准确地归纳乐器在小型乐队编配中的作用。</w:t>
            </w:r>
          </w:p>
        </w:tc>
        <w:tc>
          <w:tcPr>
            <w:tcW w:w="0" w:type="auto"/>
            <w:noWrap w:val="0"/>
            <w:vAlign w:val="top"/>
          </w:tcPr>
          <w:p w14:paraId="38B18860">
            <w:pPr>
              <w:widowControl/>
              <w:adjustRightInd w:val="0"/>
              <w:snapToGrid w:val="0"/>
              <w:jc w:val="left"/>
              <w:rPr>
                <w:rFonts w:hint="eastAsia" w:ascii="楷体" w:hAnsi="楷体" w:eastAsia="楷体" w:cs="楷体"/>
                <w:color w:val="000000"/>
                <w:sz w:val="21"/>
                <w:szCs w:val="21"/>
              </w:rPr>
            </w:pPr>
            <w:r>
              <w:rPr>
                <w:rFonts w:hint="eastAsia" w:ascii="楷体" w:hAnsi="楷体" w:eastAsia="楷体" w:cs="楷体"/>
                <w:color w:val="000000"/>
                <w:sz w:val="21"/>
                <w:szCs w:val="21"/>
              </w:rPr>
              <w:t>能够较准确地阐述小型乐队编配的基本理论与研究方法，较熟练准确地鉴别乐器的种类与性能。能够较准确地归纳乐器在小型乐队编配中的作用。</w:t>
            </w:r>
          </w:p>
        </w:tc>
        <w:tc>
          <w:tcPr>
            <w:tcW w:w="0" w:type="auto"/>
            <w:noWrap w:val="0"/>
            <w:vAlign w:val="top"/>
          </w:tcPr>
          <w:p w14:paraId="4ADF7DCD">
            <w:pPr>
              <w:widowControl/>
              <w:adjustRightInd w:val="0"/>
              <w:snapToGrid w:val="0"/>
              <w:jc w:val="left"/>
              <w:rPr>
                <w:rFonts w:hint="eastAsia" w:ascii="楷体" w:hAnsi="楷体" w:eastAsia="楷体" w:cs="楷体"/>
                <w:color w:val="000000"/>
                <w:sz w:val="21"/>
                <w:szCs w:val="21"/>
              </w:rPr>
            </w:pPr>
            <w:r>
              <w:rPr>
                <w:rFonts w:hint="eastAsia" w:ascii="楷体" w:hAnsi="楷体" w:eastAsia="楷体" w:cs="楷体"/>
                <w:color w:val="000000"/>
                <w:sz w:val="21"/>
                <w:szCs w:val="21"/>
              </w:rPr>
              <w:t>能够基本准确地阐述小型乐队编配的基本理论与研究方法，基本熟练准确地鉴别乐器的种类与性能。能够基本准确地归纳乐器在小型乐队编配中的作用。</w:t>
            </w:r>
          </w:p>
        </w:tc>
        <w:tc>
          <w:tcPr>
            <w:tcW w:w="0" w:type="auto"/>
            <w:noWrap w:val="0"/>
            <w:vAlign w:val="top"/>
          </w:tcPr>
          <w:p w14:paraId="62922161">
            <w:pPr>
              <w:widowControl/>
              <w:adjustRightInd w:val="0"/>
              <w:snapToGrid w:val="0"/>
              <w:jc w:val="left"/>
              <w:rPr>
                <w:rFonts w:hint="eastAsia" w:ascii="楷体" w:hAnsi="楷体" w:eastAsia="楷体" w:cs="楷体"/>
                <w:color w:val="000000"/>
                <w:sz w:val="21"/>
                <w:szCs w:val="21"/>
              </w:rPr>
            </w:pPr>
            <w:r>
              <w:rPr>
                <w:rFonts w:hint="eastAsia" w:ascii="楷体" w:hAnsi="楷体" w:eastAsia="楷体" w:cs="楷体"/>
                <w:color w:val="000000"/>
                <w:sz w:val="21"/>
                <w:szCs w:val="21"/>
              </w:rPr>
              <w:t>能够简单阐述小型乐队编配的基本理论与研究方法，初步鉴别乐器的种类与性能。初步归纳乐器在小型乐队编配中的作用。</w:t>
            </w:r>
          </w:p>
        </w:tc>
        <w:tc>
          <w:tcPr>
            <w:tcW w:w="0" w:type="auto"/>
            <w:noWrap w:val="0"/>
            <w:vAlign w:val="top"/>
          </w:tcPr>
          <w:p w14:paraId="4701D29D">
            <w:pPr>
              <w:widowControl/>
              <w:adjustRightInd w:val="0"/>
              <w:snapToGrid w:val="0"/>
              <w:jc w:val="left"/>
              <w:rPr>
                <w:rFonts w:hint="eastAsia" w:ascii="楷体" w:hAnsi="楷体" w:eastAsia="楷体" w:cs="楷体"/>
                <w:color w:val="000000"/>
                <w:sz w:val="21"/>
                <w:szCs w:val="21"/>
              </w:rPr>
            </w:pPr>
            <w:r>
              <w:rPr>
                <w:rFonts w:hint="eastAsia" w:ascii="楷体" w:hAnsi="楷体" w:eastAsia="楷体" w:cs="楷体"/>
                <w:color w:val="000000"/>
                <w:sz w:val="21"/>
                <w:szCs w:val="21"/>
              </w:rPr>
              <w:t>未能阐述小型乐队编配的基本理论与研究方法，未能鉴别乐器的种类与性能。未能归纳乐器在小型乐队编配中的作用。</w:t>
            </w:r>
          </w:p>
        </w:tc>
      </w:tr>
      <w:tr w14:paraId="137F9C2D">
        <w:trPr>
          <w:trHeight w:val="1442" w:hRule="atLeast"/>
          <w:jc w:val="center"/>
        </w:trPr>
        <w:tc>
          <w:tcPr>
            <w:tcW w:w="0" w:type="auto"/>
            <w:noWrap w:val="0"/>
            <w:vAlign w:val="top"/>
          </w:tcPr>
          <w:p w14:paraId="632B1D78">
            <w:pPr>
              <w:widowControl/>
              <w:adjustRightInd w:val="0"/>
              <w:snapToGrid w:val="0"/>
              <w:jc w:val="left"/>
              <w:rPr>
                <w:rFonts w:hint="eastAsia" w:ascii="楷体" w:hAnsi="楷体" w:eastAsia="楷体" w:cs="楷体"/>
                <w:color w:val="000000"/>
                <w:sz w:val="21"/>
                <w:szCs w:val="21"/>
              </w:rPr>
            </w:pPr>
            <w:r>
              <w:rPr>
                <w:rFonts w:hint="eastAsia" w:ascii="楷体" w:hAnsi="楷体" w:eastAsia="楷体" w:cs="楷体"/>
                <w:color w:val="000000"/>
                <w:sz w:val="21"/>
                <w:szCs w:val="21"/>
              </w:rPr>
              <w:t>课程目标2：</w:t>
            </w:r>
          </w:p>
          <w:p w14:paraId="574DD54F">
            <w:pPr>
              <w:widowControl/>
              <w:adjustRightInd w:val="0"/>
              <w:snapToGrid w:val="0"/>
              <w:ind w:firstLine="420" w:firstLineChars="200"/>
              <w:jc w:val="left"/>
              <w:rPr>
                <w:rFonts w:hint="eastAsia" w:ascii="楷体" w:hAnsi="楷体" w:eastAsia="楷体" w:cs="楷体"/>
                <w:color w:val="000000"/>
                <w:sz w:val="21"/>
                <w:szCs w:val="21"/>
              </w:rPr>
            </w:pPr>
            <w:r>
              <w:rPr>
                <w:rFonts w:hint="eastAsia" w:ascii="楷体" w:hAnsi="楷体" w:eastAsia="楷体" w:cs="楷体"/>
                <w:color w:val="000000"/>
                <w:sz w:val="21"/>
                <w:szCs w:val="21"/>
              </w:rPr>
              <w:t>编写小型乐队总谱；运用制谱软件和音序软件进行乐谱和音乐的简单制作；能够根据乐队实际情况制定编排方案。</w:t>
            </w:r>
          </w:p>
        </w:tc>
        <w:tc>
          <w:tcPr>
            <w:tcW w:w="0" w:type="auto"/>
            <w:noWrap w:val="0"/>
            <w:vAlign w:val="top"/>
          </w:tcPr>
          <w:p w14:paraId="067C069D">
            <w:pPr>
              <w:widowControl/>
              <w:adjustRightInd w:val="0"/>
              <w:snapToGrid w:val="0"/>
              <w:jc w:val="left"/>
              <w:rPr>
                <w:rFonts w:hint="eastAsia" w:ascii="楷体" w:hAnsi="楷体" w:eastAsia="楷体" w:cs="楷体"/>
                <w:color w:val="000000"/>
                <w:sz w:val="21"/>
                <w:szCs w:val="21"/>
              </w:rPr>
            </w:pPr>
            <w:r>
              <w:rPr>
                <w:rFonts w:hint="eastAsia" w:ascii="楷体" w:hAnsi="楷体" w:eastAsia="楷体" w:cs="楷体"/>
                <w:color w:val="000000"/>
                <w:sz w:val="21"/>
                <w:szCs w:val="21"/>
              </w:rPr>
              <w:t>能够编写完整、准确的小型乐队总谱；能够娴熟地运用制谱软件和音序软件进行乐谱和音乐的简单制作；能够根据乐队实际情况制定有效的编排方案。</w:t>
            </w:r>
          </w:p>
        </w:tc>
        <w:tc>
          <w:tcPr>
            <w:tcW w:w="0" w:type="auto"/>
            <w:noWrap w:val="0"/>
            <w:vAlign w:val="top"/>
          </w:tcPr>
          <w:p w14:paraId="23440B4E">
            <w:pPr>
              <w:widowControl/>
              <w:adjustRightInd w:val="0"/>
              <w:snapToGrid w:val="0"/>
              <w:jc w:val="left"/>
              <w:rPr>
                <w:rFonts w:hint="eastAsia" w:ascii="楷体" w:hAnsi="楷体" w:eastAsia="楷体" w:cs="楷体"/>
                <w:color w:val="000000"/>
                <w:sz w:val="21"/>
                <w:szCs w:val="21"/>
              </w:rPr>
            </w:pPr>
            <w:r>
              <w:rPr>
                <w:rFonts w:hint="eastAsia" w:ascii="楷体" w:hAnsi="楷体" w:eastAsia="楷体" w:cs="楷体"/>
                <w:color w:val="000000"/>
                <w:sz w:val="21"/>
                <w:szCs w:val="21"/>
              </w:rPr>
              <w:t>能够编写较完整、较准确的小型乐队总谱；能够准确地运用制谱软件和音序软件进行乐谱和音乐的简单制作；能够根据乐队实际情况制定较为有效的编排方案。</w:t>
            </w:r>
          </w:p>
        </w:tc>
        <w:tc>
          <w:tcPr>
            <w:tcW w:w="0" w:type="auto"/>
            <w:noWrap w:val="0"/>
            <w:vAlign w:val="top"/>
          </w:tcPr>
          <w:p w14:paraId="619DB097">
            <w:pPr>
              <w:widowControl/>
              <w:adjustRightInd w:val="0"/>
              <w:snapToGrid w:val="0"/>
              <w:jc w:val="left"/>
              <w:rPr>
                <w:rFonts w:hint="eastAsia" w:ascii="楷体" w:hAnsi="楷体" w:eastAsia="楷体" w:cs="楷体"/>
                <w:color w:val="000000"/>
                <w:sz w:val="21"/>
                <w:szCs w:val="21"/>
              </w:rPr>
            </w:pPr>
            <w:r>
              <w:rPr>
                <w:rFonts w:hint="eastAsia" w:ascii="楷体" w:hAnsi="楷体" w:eastAsia="楷体" w:cs="楷体"/>
                <w:color w:val="000000"/>
                <w:sz w:val="21"/>
                <w:szCs w:val="21"/>
              </w:rPr>
              <w:t>能够编写基本完整、准确的小型乐队总谱；能够有效地运用制谱软件和音序软件进行乐谱和音乐的简单制作；能够根据乐队实际情况制定基本有效的编排方案。</w:t>
            </w:r>
          </w:p>
        </w:tc>
        <w:tc>
          <w:tcPr>
            <w:tcW w:w="0" w:type="auto"/>
            <w:noWrap w:val="0"/>
            <w:vAlign w:val="top"/>
          </w:tcPr>
          <w:p w14:paraId="2807EB47">
            <w:pPr>
              <w:widowControl/>
              <w:adjustRightInd w:val="0"/>
              <w:snapToGrid w:val="0"/>
              <w:jc w:val="left"/>
              <w:rPr>
                <w:rFonts w:hint="eastAsia" w:ascii="楷体" w:hAnsi="楷体" w:eastAsia="楷体" w:cs="楷体"/>
                <w:color w:val="000000"/>
                <w:sz w:val="21"/>
                <w:szCs w:val="21"/>
              </w:rPr>
            </w:pPr>
            <w:r>
              <w:rPr>
                <w:rFonts w:hint="eastAsia" w:ascii="楷体" w:hAnsi="楷体" w:eastAsia="楷体" w:cs="楷体"/>
                <w:color w:val="000000"/>
                <w:sz w:val="21"/>
                <w:szCs w:val="21"/>
              </w:rPr>
              <w:t>能够编写小型乐队总谱；能够运用制谱软件和音序软件进行乐谱和音乐的简单制作；能够根据乐队实际情况制定编排方案。</w:t>
            </w:r>
          </w:p>
        </w:tc>
        <w:tc>
          <w:tcPr>
            <w:tcW w:w="0" w:type="auto"/>
            <w:noWrap w:val="0"/>
            <w:vAlign w:val="top"/>
          </w:tcPr>
          <w:p w14:paraId="79E51D01">
            <w:pPr>
              <w:widowControl/>
              <w:adjustRightInd w:val="0"/>
              <w:snapToGrid w:val="0"/>
              <w:jc w:val="left"/>
              <w:rPr>
                <w:rFonts w:hint="eastAsia" w:ascii="楷体" w:hAnsi="楷体" w:eastAsia="楷体" w:cs="楷体"/>
                <w:color w:val="000000"/>
                <w:sz w:val="21"/>
                <w:szCs w:val="21"/>
              </w:rPr>
            </w:pPr>
            <w:r>
              <w:rPr>
                <w:rFonts w:hint="eastAsia" w:ascii="楷体" w:hAnsi="楷体" w:eastAsia="楷体" w:cs="楷体"/>
                <w:color w:val="000000"/>
                <w:sz w:val="21"/>
                <w:szCs w:val="21"/>
              </w:rPr>
              <w:t>未能编写小型乐队总谱；未能运用制谱软件和音序软件进行乐谱和音乐的简单制作；未能根据乐队实际情况制定编排方案。</w:t>
            </w:r>
          </w:p>
        </w:tc>
      </w:tr>
      <w:tr w14:paraId="12D9CDA1">
        <w:trPr>
          <w:trHeight w:val="1255" w:hRule="atLeast"/>
          <w:jc w:val="center"/>
        </w:trPr>
        <w:tc>
          <w:tcPr>
            <w:tcW w:w="0" w:type="auto"/>
            <w:noWrap w:val="0"/>
            <w:vAlign w:val="top"/>
          </w:tcPr>
          <w:p w14:paraId="5FD162F4">
            <w:pPr>
              <w:widowControl/>
              <w:adjustRightInd w:val="0"/>
              <w:snapToGrid w:val="0"/>
              <w:jc w:val="left"/>
              <w:rPr>
                <w:rFonts w:hint="eastAsia" w:ascii="楷体" w:hAnsi="楷体" w:eastAsia="楷体" w:cs="楷体"/>
                <w:color w:val="000000"/>
                <w:sz w:val="21"/>
                <w:szCs w:val="21"/>
              </w:rPr>
            </w:pPr>
            <w:r>
              <w:rPr>
                <w:rFonts w:hint="eastAsia" w:ascii="楷体" w:hAnsi="楷体" w:eastAsia="楷体" w:cs="楷体"/>
                <w:color w:val="000000"/>
                <w:sz w:val="21"/>
                <w:szCs w:val="21"/>
              </w:rPr>
              <w:t>课程目标3：</w:t>
            </w:r>
          </w:p>
          <w:p w14:paraId="3D601F44">
            <w:pPr>
              <w:widowControl/>
              <w:adjustRightInd w:val="0"/>
              <w:snapToGrid w:val="0"/>
              <w:ind w:firstLine="420" w:firstLineChars="200"/>
              <w:jc w:val="left"/>
              <w:rPr>
                <w:rFonts w:hint="eastAsia" w:ascii="楷体" w:hAnsi="楷体" w:eastAsia="楷体" w:cs="楷体"/>
                <w:color w:val="000000"/>
                <w:sz w:val="21"/>
                <w:szCs w:val="21"/>
              </w:rPr>
            </w:pPr>
            <w:r>
              <w:rPr>
                <w:rFonts w:hint="eastAsia" w:ascii="楷体" w:hAnsi="楷体" w:eastAsia="楷体" w:cs="楷体"/>
                <w:color w:val="000000"/>
                <w:sz w:val="21"/>
                <w:szCs w:val="21"/>
              </w:rPr>
              <w:t>创编和改编音乐作品；通过小组协作将创编和改编的音乐作品进行排练与表演。</w:t>
            </w:r>
          </w:p>
        </w:tc>
        <w:tc>
          <w:tcPr>
            <w:tcW w:w="0" w:type="auto"/>
            <w:noWrap w:val="0"/>
            <w:vAlign w:val="top"/>
          </w:tcPr>
          <w:p w14:paraId="0CEDEEE2">
            <w:pPr>
              <w:widowControl/>
              <w:adjustRightInd w:val="0"/>
              <w:snapToGrid w:val="0"/>
              <w:jc w:val="left"/>
              <w:rPr>
                <w:rFonts w:hint="eastAsia" w:ascii="楷体" w:hAnsi="楷体" w:eastAsia="楷体" w:cs="楷体"/>
                <w:color w:val="000000"/>
                <w:sz w:val="21"/>
                <w:szCs w:val="21"/>
              </w:rPr>
            </w:pPr>
            <w:r>
              <w:rPr>
                <w:rFonts w:hint="eastAsia" w:ascii="楷体" w:hAnsi="楷体" w:eastAsia="楷体" w:cs="楷体"/>
                <w:color w:val="000000"/>
                <w:sz w:val="21"/>
                <w:szCs w:val="21"/>
              </w:rPr>
              <w:t>能够有创意性地创编和改编音乐作品，有条理地概括阐述自己的创作思路；小组协作体现出很好的配合度；作品得到很完整的舞台呈现。</w:t>
            </w:r>
          </w:p>
        </w:tc>
        <w:tc>
          <w:tcPr>
            <w:tcW w:w="0" w:type="auto"/>
            <w:noWrap w:val="0"/>
            <w:vAlign w:val="top"/>
          </w:tcPr>
          <w:p w14:paraId="579F8FA6">
            <w:pPr>
              <w:widowControl/>
              <w:adjustRightInd w:val="0"/>
              <w:snapToGrid w:val="0"/>
              <w:jc w:val="left"/>
              <w:rPr>
                <w:rFonts w:hint="eastAsia" w:ascii="楷体" w:hAnsi="楷体" w:eastAsia="楷体" w:cs="楷体"/>
                <w:color w:val="000000"/>
                <w:sz w:val="21"/>
                <w:szCs w:val="21"/>
              </w:rPr>
            </w:pPr>
            <w:r>
              <w:rPr>
                <w:rFonts w:hint="eastAsia" w:ascii="楷体" w:hAnsi="楷体" w:eastAsia="楷体" w:cs="楷体"/>
                <w:color w:val="000000"/>
                <w:sz w:val="21"/>
                <w:szCs w:val="21"/>
              </w:rPr>
              <w:t>能够较好地创编和改编音乐作品，概括阐述自己的创作思路；小组协作体现出较好的配合度；作品得到较完整的舞台呈现。</w:t>
            </w:r>
          </w:p>
        </w:tc>
        <w:tc>
          <w:tcPr>
            <w:tcW w:w="0" w:type="auto"/>
            <w:noWrap w:val="0"/>
            <w:vAlign w:val="top"/>
          </w:tcPr>
          <w:p w14:paraId="4A1800D8">
            <w:pPr>
              <w:widowControl/>
              <w:adjustRightInd w:val="0"/>
              <w:snapToGrid w:val="0"/>
              <w:jc w:val="left"/>
              <w:rPr>
                <w:rFonts w:hint="eastAsia" w:ascii="楷体" w:hAnsi="楷体" w:eastAsia="楷体" w:cs="楷体"/>
                <w:color w:val="000000"/>
                <w:sz w:val="21"/>
                <w:szCs w:val="21"/>
              </w:rPr>
            </w:pPr>
            <w:r>
              <w:rPr>
                <w:rFonts w:hint="eastAsia" w:ascii="楷体" w:hAnsi="楷体" w:eastAsia="楷体" w:cs="楷体"/>
                <w:color w:val="000000"/>
                <w:sz w:val="21"/>
                <w:szCs w:val="21"/>
              </w:rPr>
              <w:t>能够初步创编和改编音乐作品，初步阐述自己的创作思路；小组协作体现出基本的配合度；作品得到基本完整的舞台呈现。</w:t>
            </w:r>
          </w:p>
        </w:tc>
        <w:tc>
          <w:tcPr>
            <w:tcW w:w="0" w:type="auto"/>
            <w:noWrap w:val="0"/>
            <w:vAlign w:val="top"/>
          </w:tcPr>
          <w:p w14:paraId="440FF498">
            <w:pPr>
              <w:widowControl/>
              <w:adjustRightInd w:val="0"/>
              <w:snapToGrid w:val="0"/>
              <w:jc w:val="left"/>
              <w:rPr>
                <w:rFonts w:hint="eastAsia" w:ascii="楷体" w:hAnsi="楷体" w:eastAsia="楷体" w:cs="楷体"/>
                <w:color w:val="000000"/>
                <w:sz w:val="21"/>
                <w:szCs w:val="21"/>
              </w:rPr>
            </w:pPr>
            <w:r>
              <w:rPr>
                <w:rFonts w:hint="eastAsia" w:ascii="楷体" w:hAnsi="楷体" w:eastAsia="楷体" w:cs="楷体"/>
                <w:color w:val="000000"/>
                <w:sz w:val="21"/>
                <w:szCs w:val="21"/>
              </w:rPr>
              <w:t>能够初步改编音乐作品，清楚阐述自己的创作思路；小组协作体现出很好的配合度；作品得到很完整的舞台呈现。</w:t>
            </w:r>
          </w:p>
        </w:tc>
        <w:tc>
          <w:tcPr>
            <w:tcW w:w="0" w:type="auto"/>
            <w:noWrap w:val="0"/>
            <w:vAlign w:val="top"/>
          </w:tcPr>
          <w:p w14:paraId="5B9770E1">
            <w:pPr>
              <w:widowControl/>
              <w:adjustRightInd w:val="0"/>
              <w:snapToGrid w:val="0"/>
              <w:jc w:val="left"/>
              <w:rPr>
                <w:rFonts w:hint="eastAsia" w:ascii="楷体" w:hAnsi="楷体" w:eastAsia="楷体" w:cs="楷体"/>
                <w:color w:val="000000"/>
                <w:sz w:val="21"/>
                <w:szCs w:val="21"/>
              </w:rPr>
            </w:pPr>
            <w:r>
              <w:rPr>
                <w:rFonts w:hint="eastAsia" w:ascii="楷体" w:hAnsi="楷体" w:eastAsia="楷体" w:cs="楷体"/>
                <w:color w:val="000000"/>
                <w:sz w:val="21"/>
                <w:szCs w:val="21"/>
              </w:rPr>
              <w:t>未能将音乐作品进行创编或该拜年；未能进行基本的小组协作；未能对作品进行有效排练与表演。</w:t>
            </w:r>
          </w:p>
        </w:tc>
      </w:tr>
    </w:tbl>
    <w:p w14:paraId="74676C6E">
      <w:pPr>
        <w:rPr>
          <w:sz w:val="2"/>
          <w:szCs w:val="2"/>
        </w:rPr>
        <w:sectPr>
          <w:headerReference r:id="rId109" w:type="default"/>
          <w:footerReference r:id="rId110" w:type="default"/>
          <w:pgSz w:w="11906" w:h="16838"/>
          <w:pgMar w:top="1440" w:right="1800" w:bottom="1440" w:left="1800" w:header="851" w:footer="992" w:gutter="0"/>
          <w:cols w:space="425" w:num="1"/>
          <w:docGrid w:type="lines" w:linePitch="312" w:charSpace="0"/>
        </w:sectPr>
      </w:pPr>
    </w:p>
    <w:p w14:paraId="40B1CCC1">
      <w:pPr>
        <w:pageBreakBefore w:val="0"/>
        <w:kinsoku/>
        <w:overflowPunct/>
        <w:topLinePunct w:val="0"/>
        <w:bidi w:val="0"/>
        <w:adjustRightInd w:val="0"/>
        <w:snapToGrid w:val="0"/>
        <w:spacing w:line="240" w:lineRule="auto"/>
        <w:jc w:val="center"/>
        <w:rPr>
          <w:rFonts w:hint="eastAsia" w:ascii="微软雅黑" w:eastAsia="微软雅黑"/>
          <w:b/>
          <w:bCs/>
          <w:sz w:val="44"/>
          <w:szCs w:val="44"/>
        </w:rPr>
      </w:pPr>
      <w:r>
        <w:rPr>
          <w:rFonts w:hint="eastAsia" w:ascii="微软雅黑" w:eastAsia="微软雅黑"/>
          <w:b/>
          <w:bCs/>
          <w:sz w:val="44"/>
          <w:szCs w:val="44"/>
        </w:rPr>
        <w:t>三明学院音乐学（音乐教育）专业</w:t>
      </w:r>
    </w:p>
    <w:p w14:paraId="5BC04585">
      <w:pPr>
        <w:pStyle w:val="2"/>
        <w:pageBreakBefore w:val="0"/>
        <w:kinsoku/>
        <w:overflowPunct/>
        <w:topLinePunct w:val="0"/>
        <w:bidi w:val="0"/>
        <w:spacing w:before="0" w:beforeAutospacing="0" w:after="0" w:afterAutospacing="0" w:line="240" w:lineRule="auto"/>
        <w:jc w:val="center"/>
        <w:rPr>
          <w:rFonts w:hint="eastAsia" w:ascii="微软雅黑" w:eastAsia="微软雅黑"/>
          <w:b w:val="0"/>
          <w:bCs w:val="0"/>
          <w:color w:val="000000"/>
          <w:sz w:val="44"/>
          <w:szCs w:val="44"/>
        </w:rPr>
      </w:pPr>
      <w:bookmarkStart w:id="202" w:name="_Toc1808171923"/>
      <w:r>
        <w:rPr>
          <w:rFonts w:hint="eastAsia" w:ascii="微软雅黑" w:eastAsia="微软雅黑"/>
          <w:b w:val="0"/>
          <w:bCs w:val="0"/>
          <w:sz w:val="44"/>
          <w:szCs w:val="44"/>
        </w:rPr>
        <w:t>《中小学舞蹈编创》课程教学大纲</w:t>
      </w:r>
      <w:bookmarkEnd w:id="202"/>
    </w:p>
    <w:tbl>
      <w:tblPr>
        <w:tblStyle w:val="22"/>
        <w:tblW w:w="91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143"/>
        <w:gridCol w:w="1143"/>
        <w:gridCol w:w="458"/>
        <w:gridCol w:w="2013"/>
        <w:gridCol w:w="1189"/>
        <w:gridCol w:w="405"/>
        <w:gridCol w:w="509"/>
        <w:gridCol w:w="687"/>
        <w:gridCol w:w="74"/>
        <w:gridCol w:w="373"/>
        <w:gridCol w:w="483"/>
        <w:gridCol w:w="671"/>
      </w:tblGrid>
      <w:tr w14:paraId="184927A1">
        <w:trPr>
          <w:trHeight w:val="454" w:hRule="atLeast"/>
        </w:trPr>
        <w:tc>
          <w:tcPr>
            <w:tcW w:w="1143" w:type="dxa"/>
            <w:noWrap w:val="0"/>
            <w:vAlign w:val="center"/>
          </w:tcPr>
          <w:p w14:paraId="44D961BF">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课程名称</w:t>
            </w:r>
          </w:p>
        </w:tc>
        <w:tc>
          <w:tcPr>
            <w:tcW w:w="4803" w:type="dxa"/>
            <w:gridSpan w:val="4"/>
            <w:noWrap w:val="0"/>
            <w:vAlign w:val="center"/>
          </w:tcPr>
          <w:p w14:paraId="12A401A9">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w:t>
            </w:r>
            <w:r>
              <w:rPr>
                <w:rFonts w:hint="eastAsia" w:ascii="宋体" w:hAnsi="宋体" w:eastAsia="宋体" w:cs="宋体"/>
                <w:i w:val="0"/>
                <w:iCs w:val="0"/>
                <w:color w:val="auto"/>
                <w:kern w:val="0"/>
                <w:sz w:val="21"/>
                <w:szCs w:val="21"/>
                <w:u w:val="none"/>
                <w:lang w:val="en-US" w:eastAsia="zh-CN" w:bidi="ar"/>
              </w:rPr>
              <w:t>中小学舞蹈编创</w:t>
            </w:r>
            <w:r>
              <w:rPr>
                <w:rFonts w:hint="eastAsia" w:ascii="仿宋" w:hAnsi="仿宋" w:eastAsia="仿宋" w:cs="仿宋"/>
                <w:sz w:val="24"/>
                <w:szCs w:val="24"/>
              </w:rPr>
              <w:t>》</w:t>
            </w:r>
          </w:p>
        </w:tc>
        <w:tc>
          <w:tcPr>
            <w:tcW w:w="1601" w:type="dxa"/>
            <w:gridSpan w:val="3"/>
            <w:noWrap w:val="0"/>
            <w:vAlign w:val="center"/>
          </w:tcPr>
          <w:p w14:paraId="462CC847">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课程代码</w:t>
            </w:r>
          </w:p>
        </w:tc>
        <w:tc>
          <w:tcPr>
            <w:tcW w:w="1601" w:type="dxa"/>
            <w:gridSpan w:val="4"/>
            <w:noWrap w:val="0"/>
            <w:vAlign w:val="center"/>
          </w:tcPr>
          <w:p w14:paraId="77B20347">
            <w:pPr>
              <w:adjustRightInd w:val="0"/>
              <w:snapToGrid w:val="0"/>
              <w:spacing w:line="240" w:lineRule="atLeast"/>
              <w:jc w:val="center"/>
              <w:rPr>
                <w:rFonts w:hint="eastAsia" w:ascii="仿宋" w:hAnsi="仿宋" w:eastAsia="仿宋" w:cs="仿宋"/>
                <w:sz w:val="24"/>
                <w:szCs w:val="24"/>
              </w:rPr>
            </w:pPr>
            <w:r>
              <w:rPr>
                <w:rFonts w:hint="eastAsia" w:ascii="宋体" w:hAnsi="宋体" w:eastAsia="宋体" w:cs="宋体"/>
                <w:i w:val="0"/>
                <w:iCs w:val="0"/>
                <w:color w:val="auto"/>
                <w:kern w:val="0"/>
                <w:sz w:val="21"/>
                <w:szCs w:val="21"/>
                <w:u w:val="none"/>
                <w:lang w:val="en-US" w:eastAsia="zh-CN" w:bidi="ar"/>
              </w:rPr>
              <w:t>1212402604</w:t>
            </w:r>
          </w:p>
        </w:tc>
      </w:tr>
      <w:tr w14:paraId="6C02B6C5">
        <w:trPr>
          <w:trHeight w:val="454" w:hRule="atLeast"/>
        </w:trPr>
        <w:tc>
          <w:tcPr>
            <w:tcW w:w="1143" w:type="dxa"/>
            <w:noWrap w:val="0"/>
            <w:vAlign w:val="center"/>
          </w:tcPr>
          <w:p w14:paraId="532320AA">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课程类型</w:t>
            </w:r>
          </w:p>
        </w:tc>
        <w:tc>
          <w:tcPr>
            <w:tcW w:w="8005" w:type="dxa"/>
            <w:gridSpan w:val="11"/>
            <w:noWrap w:val="0"/>
            <w:vAlign w:val="center"/>
          </w:tcPr>
          <w:p w14:paraId="117D9FF0">
            <w:pPr>
              <w:adjustRightInd w:val="0"/>
              <w:snapToGrid w:val="0"/>
              <w:spacing w:line="240" w:lineRule="atLeast"/>
              <w:rPr>
                <w:rFonts w:hint="eastAsia" w:ascii="仿宋" w:hAnsi="仿宋" w:eastAsia="仿宋" w:cs="仿宋"/>
                <w:sz w:val="24"/>
                <w:szCs w:val="24"/>
                <w:lang w:val="en-US" w:eastAsia="zh-CN"/>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通识必修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通识选修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专业必修  </w:t>
            </w:r>
            <w:r>
              <w:rPr>
                <w:rFonts w:hint="eastAsia" w:ascii="仿宋" w:hAnsi="仿宋" w:eastAsia="仿宋" w:cs="仿宋"/>
                <w:sz w:val="24"/>
                <w:szCs w:val="24"/>
              </w:rPr>
              <w:sym w:font="Wingdings" w:char="00FE"/>
            </w:r>
            <w:r>
              <w:rPr>
                <w:rFonts w:hint="eastAsia" w:ascii="仿宋" w:hAnsi="仿宋" w:eastAsia="仿宋" w:cs="仿宋"/>
                <w:sz w:val="24"/>
                <w:szCs w:val="24"/>
                <w:lang w:val="en-US" w:eastAsia="zh-CN"/>
              </w:rPr>
              <w:t>专业方向课</w:t>
            </w:r>
          </w:p>
          <w:p w14:paraId="20EC3C74">
            <w:pPr>
              <w:adjustRightInd w:val="0"/>
              <w:snapToGrid w:val="0"/>
              <w:spacing w:line="240" w:lineRule="atLeast"/>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专业选修</w:t>
            </w:r>
            <w:r>
              <w:rPr>
                <w:rFonts w:hint="eastAsia" w:ascii="仿宋" w:hAnsi="仿宋" w:eastAsia="仿宋" w:cs="仿宋"/>
                <w:sz w:val="24"/>
                <w:szCs w:val="24"/>
                <w:lang w:eastAsia="zh-TW"/>
              </w:rPr>
              <w:t xml:space="preserve">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教师教育必修 </w:t>
            </w:r>
            <w:r>
              <w:rPr>
                <w:rFonts w:hint="eastAsia" w:ascii="仿宋" w:hAnsi="仿宋" w:eastAsia="仿宋" w:cs="仿宋"/>
                <w:sz w:val="24"/>
                <w:szCs w:val="24"/>
              </w:rPr>
              <w:sym w:font="Wingdings" w:char="00A8"/>
            </w:r>
            <w:r>
              <w:rPr>
                <w:rFonts w:hint="eastAsia" w:ascii="仿宋" w:hAnsi="仿宋" w:eastAsia="仿宋" w:cs="仿宋"/>
                <w:sz w:val="24"/>
                <w:szCs w:val="24"/>
              </w:rPr>
              <w:t>教师教育选修</w:t>
            </w:r>
          </w:p>
        </w:tc>
      </w:tr>
      <w:tr w14:paraId="3558FB7A">
        <w:trPr>
          <w:trHeight w:val="406" w:hRule="atLeast"/>
        </w:trPr>
        <w:tc>
          <w:tcPr>
            <w:tcW w:w="1143" w:type="dxa"/>
            <w:noWrap w:val="0"/>
            <w:vAlign w:val="center"/>
          </w:tcPr>
          <w:p w14:paraId="11630C2C">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开课学期</w:t>
            </w:r>
          </w:p>
        </w:tc>
        <w:tc>
          <w:tcPr>
            <w:tcW w:w="1601" w:type="dxa"/>
            <w:gridSpan w:val="2"/>
            <w:noWrap w:val="0"/>
            <w:vAlign w:val="center"/>
          </w:tcPr>
          <w:p w14:paraId="61942DB6">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第6学期</w:t>
            </w:r>
          </w:p>
        </w:tc>
        <w:tc>
          <w:tcPr>
            <w:tcW w:w="2013" w:type="dxa"/>
            <w:noWrap w:val="0"/>
            <w:vAlign w:val="center"/>
          </w:tcPr>
          <w:p w14:paraId="5F1610AC">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学分</w:t>
            </w:r>
          </w:p>
        </w:tc>
        <w:tc>
          <w:tcPr>
            <w:tcW w:w="1189" w:type="dxa"/>
            <w:noWrap w:val="0"/>
            <w:vAlign w:val="center"/>
          </w:tcPr>
          <w:p w14:paraId="4FE7C2A6">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1</w:t>
            </w:r>
          </w:p>
        </w:tc>
        <w:tc>
          <w:tcPr>
            <w:tcW w:w="1601" w:type="dxa"/>
            <w:gridSpan w:val="3"/>
            <w:noWrap w:val="0"/>
            <w:vAlign w:val="center"/>
          </w:tcPr>
          <w:p w14:paraId="45AE0E35">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课程负责人</w:t>
            </w:r>
          </w:p>
        </w:tc>
        <w:tc>
          <w:tcPr>
            <w:tcW w:w="1601" w:type="dxa"/>
            <w:gridSpan w:val="4"/>
            <w:noWrap w:val="0"/>
            <w:vAlign w:val="center"/>
          </w:tcPr>
          <w:p w14:paraId="36C3CE72">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陈捷</w:t>
            </w:r>
          </w:p>
        </w:tc>
      </w:tr>
      <w:tr w14:paraId="0B083D58">
        <w:trPr>
          <w:trHeight w:val="485" w:hRule="atLeast"/>
        </w:trPr>
        <w:tc>
          <w:tcPr>
            <w:tcW w:w="1143" w:type="dxa"/>
            <w:noWrap w:val="0"/>
            <w:vAlign w:val="center"/>
          </w:tcPr>
          <w:p w14:paraId="72284875">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总学时</w:t>
            </w:r>
          </w:p>
        </w:tc>
        <w:tc>
          <w:tcPr>
            <w:tcW w:w="1601" w:type="dxa"/>
            <w:gridSpan w:val="2"/>
            <w:noWrap w:val="0"/>
            <w:vAlign w:val="center"/>
          </w:tcPr>
          <w:p w14:paraId="7BD10779">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32</w:t>
            </w:r>
          </w:p>
        </w:tc>
        <w:tc>
          <w:tcPr>
            <w:tcW w:w="2013" w:type="dxa"/>
            <w:noWrap w:val="0"/>
            <w:vAlign w:val="center"/>
          </w:tcPr>
          <w:p w14:paraId="770E63F6">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理论学时</w:t>
            </w:r>
          </w:p>
        </w:tc>
        <w:tc>
          <w:tcPr>
            <w:tcW w:w="1189" w:type="dxa"/>
            <w:noWrap w:val="0"/>
            <w:vAlign w:val="center"/>
          </w:tcPr>
          <w:p w14:paraId="33FFB06F">
            <w:pPr>
              <w:adjustRightInd w:val="0"/>
              <w:snapToGrid w:val="0"/>
              <w:spacing w:line="240" w:lineRule="atLeast"/>
              <w:jc w:val="center"/>
              <w:rPr>
                <w:rFonts w:ascii="仿宋" w:hAnsi="仿宋" w:eastAsia="仿宋" w:cs="仿宋"/>
                <w:sz w:val="24"/>
                <w:szCs w:val="24"/>
              </w:rPr>
            </w:pPr>
          </w:p>
        </w:tc>
        <w:tc>
          <w:tcPr>
            <w:tcW w:w="1601" w:type="dxa"/>
            <w:gridSpan w:val="3"/>
            <w:tcBorders>
              <w:right w:val="single" w:color="000000" w:sz="4" w:space="0"/>
            </w:tcBorders>
            <w:noWrap w:val="0"/>
            <w:vAlign w:val="center"/>
          </w:tcPr>
          <w:p w14:paraId="28572469">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实践学时</w:t>
            </w:r>
          </w:p>
        </w:tc>
        <w:tc>
          <w:tcPr>
            <w:tcW w:w="1601" w:type="dxa"/>
            <w:gridSpan w:val="4"/>
            <w:tcBorders>
              <w:left w:val="single" w:color="000000" w:sz="4" w:space="0"/>
            </w:tcBorders>
            <w:noWrap w:val="0"/>
            <w:vAlign w:val="center"/>
          </w:tcPr>
          <w:p w14:paraId="7A56164C">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32</w:t>
            </w:r>
          </w:p>
        </w:tc>
      </w:tr>
      <w:tr w14:paraId="4E93EEC2">
        <w:trPr>
          <w:trHeight w:val="454" w:hRule="atLeast"/>
        </w:trPr>
        <w:tc>
          <w:tcPr>
            <w:tcW w:w="1143" w:type="dxa"/>
            <w:noWrap w:val="0"/>
            <w:vAlign w:val="center"/>
          </w:tcPr>
          <w:p w14:paraId="039BE5C9">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先修课程与后续课程</w:t>
            </w:r>
          </w:p>
        </w:tc>
        <w:tc>
          <w:tcPr>
            <w:tcW w:w="8005" w:type="dxa"/>
            <w:gridSpan w:val="11"/>
            <w:noWrap w:val="0"/>
            <w:vAlign w:val="center"/>
          </w:tcPr>
          <w:p w14:paraId="59FB347C">
            <w:pPr>
              <w:tabs>
                <w:tab w:val="left" w:pos="720"/>
              </w:tabs>
              <w:adjustRightInd w:val="0"/>
              <w:snapToGrid w:val="0"/>
              <w:jc w:val="left"/>
              <w:rPr>
                <w:rFonts w:ascii="仿宋" w:hAnsi="仿宋" w:eastAsia="仿宋" w:cs="仿宋"/>
                <w:sz w:val="24"/>
                <w:szCs w:val="24"/>
              </w:rPr>
            </w:pPr>
            <w:r>
              <w:rPr>
                <w:rFonts w:hint="eastAsia" w:ascii="仿宋" w:hAnsi="仿宋" w:eastAsia="仿宋" w:cs="仿宋"/>
                <w:sz w:val="24"/>
                <w:szCs w:val="24"/>
              </w:rPr>
              <w:t>先修课程：形体舞蹈、民间舞、现代舞、古典舞</w:t>
            </w:r>
          </w:p>
          <w:p w14:paraId="749CBB5F">
            <w:pPr>
              <w:tabs>
                <w:tab w:val="left" w:pos="720"/>
              </w:tabs>
              <w:adjustRightInd w:val="0"/>
              <w:snapToGrid w:val="0"/>
              <w:jc w:val="left"/>
              <w:rPr>
                <w:rFonts w:hint="default" w:ascii="仿宋" w:hAnsi="仿宋" w:eastAsia="仿宋" w:cs="仿宋"/>
                <w:sz w:val="24"/>
                <w:szCs w:val="24"/>
                <w:lang w:val="en-US" w:eastAsia="zh-CN"/>
              </w:rPr>
            </w:pPr>
            <w:r>
              <w:rPr>
                <w:rFonts w:hint="eastAsia" w:ascii="仿宋" w:hAnsi="仿宋" w:eastAsia="仿宋" w:cs="仿宋"/>
                <w:sz w:val="24"/>
                <w:szCs w:val="24"/>
              </w:rPr>
              <w:t>后续课程：</w:t>
            </w:r>
            <w:r>
              <w:rPr>
                <w:rFonts w:hint="eastAsia" w:ascii="仿宋" w:hAnsi="仿宋" w:eastAsia="仿宋" w:cs="仿宋"/>
                <w:sz w:val="24"/>
                <w:szCs w:val="24"/>
                <w:lang w:val="en-US" w:eastAsia="zh-CN"/>
              </w:rPr>
              <w:t>剧目排练</w:t>
            </w:r>
          </w:p>
        </w:tc>
      </w:tr>
      <w:tr w14:paraId="4C10C01E">
        <w:trPr>
          <w:trHeight w:val="454" w:hRule="atLeast"/>
        </w:trPr>
        <w:tc>
          <w:tcPr>
            <w:tcW w:w="1143" w:type="dxa"/>
            <w:noWrap w:val="0"/>
            <w:vAlign w:val="center"/>
          </w:tcPr>
          <w:p w14:paraId="02AFD3B0">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适用专业</w:t>
            </w:r>
          </w:p>
        </w:tc>
        <w:tc>
          <w:tcPr>
            <w:tcW w:w="8005" w:type="dxa"/>
            <w:gridSpan w:val="11"/>
            <w:noWrap w:val="0"/>
            <w:vAlign w:val="center"/>
          </w:tcPr>
          <w:p w14:paraId="43704CBA">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音乐学</w:t>
            </w:r>
          </w:p>
        </w:tc>
      </w:tr>
      <w:tr w14:paraId="4F035E11">
        <w:tc>
          <w:tcPr>
            <w:tcW w:w="1143" w:type="dxa"/>
            <w:tcBorders>
              <w:bottom w:val="single" w:color="auto" w:sz="4" w:space="0"/>
            </w:tcBorders>
            <w:noWrap w:val="0"/>
            <w:vAlign w:val="center"/>
          </w:tcPr>
          <w:p w14:paraId="5B79439F">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A</w:t>
            </w:r>
          </w:p>
          <w:p w14:paraId="31F9B0C6">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参考教材</w:t>
            </w:r>
          </w:p>
        </w:tc>
        <w:tc>
          <w:tcPr>
            <w:tcW w:w="8005" w:type="dxa"/>
            <w:gridSpan w:val="11"/>
            <w:tcBorders>
              <w:bottom w:val="single" w:color="auto" w:sz="4" w:space="0"/>
            </w:tcBorders>
            <w:noWrap w:val="0"/>
            <w:vAlign w:val="center"/>
          </w:tcPr>
          <w:p w14:paraId="3247A8A1">
            <w:pPr>
              <w:tabs>
                <w:tab w:val="left" w:pos="720"/>
              </w:tabs>
              <w:adjustRightInd w:val="0"/>
              <w:snapToGrid w:val="0"/>
              <w:jc w:val="left"/>
              <w:rPr>
                <w:rFonts w:ascii="仿宋" w:hAnsi="仿宋" w:eastAsia="仿宋" w:cs="仿宋"/>
                <w:sz w:val="24"/>
                <w:szCs w:val="24"/>
              </w:rPr>
            </w:pPr>
            <w:r>
              <w:rPr>
                <w:rFonts w:hint="eastAsia" w:ascii="仿宋" w:hAnsi="仿宋" w:eastAsia="仿宋" w:cs="仿宋"/>
                <w:sz w:val="24"/>
                <w:szCs w:val="24"/>
              </w:rPr>
              <w:t>1.《舞蹈编导基础教程》，李承祥著，北京舞蹈学院（内部教材）</w:t>
            </w:r>
          </w:p>
          <w:p w14:paraId="289BF0A8">
            <w:pPr>
              <w:tabs>
                <w:tab w:val="left" w:pos="720"/>
              </w:tabs>
              <w:adjustRightInd w:val="0"/>
              <w:snapToGrid w:val="0"/>
              <w:jc w:val="left"/>
              <w:rPr>
                <w:rFonts w:ascii="仿宋" w:hAnsi="仿宋" w:eastAsia="仿宋" w:cs="仿宋"/>
                <w:sz w:val="24"/>
                <w:szCs w:val="24"/>
              </w:rPr>
            </w:pPr>
            <w:r>
              <w:rPr>
                <w:rFonts w:hint="eastAsia" w:ascii="仿宋" w:hAnsi="仿宋" w:eastAsia="仿宋" w:cs="仿宋"/>
                <w:sz w:val="24"/>
                <w:szCs w:val="24"/>
              </w:rPr>
              <w:t>2.《现代舞蹈的身体言语教程》——刘青戈</w:t>
            </w:r>
          </w:p>
          <w:p w14:paraId="5AC0233C">
            <w:pPr>
              <w:tabs>
                <w:tab w:val="left" w:pos="720"/>
              </w:tabs>
              <w:adjustRightInd w:val="0"/>
              <w:snapToGrid w:val="0"/>
              <w:jc w:val="left"/>
              <w:rPr>
                <w:rFonts w:ascii="仿宋" w:hAnsi="仿宋" w:eastAsia="仿宋" w:cs="仿宋"/>
                <w:sz w:val="24"/>
                <w:szCs w:val="24"/>
              </w:rPr>
            </w:pPr>
            <w:r>
              <w:rPr>
                <w:rFonts w:hint="eastAsia" w:ascii="仿宋" w:hAnsi="仿宋" w:eastAsia="仿宋" w:cs="仿宋"/>
                <w:sz w:val="24"/>
                <w:szCs w:val="24"/>
              </w:rPr>
              <w:t>3.《舞蹈创编法》——卡琳娜著</w:t>
            </w:r>
          </w:p>
        </w:tc>
      </w:tr>
      <w:tr w14:paraId="5F4037C6">
        <w:tc>
          <w:tcPr>
            <w:tcW w:w="1143" w:type="dxa"/>
            <w:tcBorders>
              <w:bottom w:val="single" w:color="auto" w:sz="4" w:space="0"/>
            </w:tcBorders>
            <w:noWrap w:val="0"/>
            <w:vAlign w:val="center"/>
          </w:tcPr>
          <w:p w14:paraId="70C880DF">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B</w:t>
            </w:r>
          </w:p>
          <w:p w14:paraId="52F841BC">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主要参考书籍</w:t>
            </w:r>
          </w:p>
        </w:tc>
        <w:tc>
          <w:tcPr>
            <w:tcW w:w="8005" w:type="dxa"/>
            <w:gridSpan w:val="11"/>
            <w:tcBorders>
              <w:bottom w:val="single" w:color="auto" w:sz="4" w:space="0"/>
            </w:tcBorders>
            <w:noWrap w:val="0"/>
            <w:vAlign w:val="center"/>
          </w:tcPr>
          <w:p w14:paraId="6DEA46D8">
            <w:pPr>
              <w:tabs>
                <w:tab w:val="left" w:pos="720"/>
              </w:tabs>
              <w:adjustRightInd w:val="0"/>
              <w:snapToGrid w:val="0"/>
              <w:jc w:val="left"/>
              <w:rPr>
                <w:rFonts w:ascii="仿宋" w:hAnsi="仿宋" w:eastAsia="仿宋" w:cs="仿宋"/>
                <w:sz w:val="24"/>
                <w:szCs w:val="24"/>
              </w:rPr>
            </w:pPr>
            <w:r>
              <w:rPr>
                <w:rFonts w:hint="eastAsia" w:ascii="仿宋" w:hAnsi="仿宋" w:eastAsia="仿宋" w:cs="仿宋"/>
                <w:sz w:val="24"/>
                <w:szCs w:val="24"/>
              </w:rPr>
              <w:t>1.《西方现代舞史纲》刘青弋著，上海音乐出版社，2004年</w:t>
            </w:r>
          </w:p>
          <w:p w14:paraId="3CC670E8">
            <w:pPr>
              <w:tabs>
                <w:tab w:val="left" w:pos="720"/>
              </w:tabs>
              <w:adjustRightInd w:val="0"/>
              <w:snapToGrid w:val="0"/>
              <w:jc w:val="left"/>
              <w:rPr>
                <w:rFonts w:ascii="仿宋" w:hAnsi="仿宋" w:eastAsia="仿宋" w:cs="仿宋"/>
                <w:sz w:val="24"/>
                <w:szCs w:val="24"/>
              </w:rPr>
            </w:pPr>
            <w:r>
              <w:rPr>
                <w:rFonts w:hint="eastAsia" w:ascii="仿宋" w:hAnsi="仿宋" w:eastAsia="仿宋" w:cs="仿宋"/>
                <w:sz w:val="24"/>
                <w:szCs w:val="24"/>
              </w:rPr>
              <w:t>2.《舞蹈艺术概论》隆荫培</w:t>
            </w:r>
            <w:r>
              <w:rPr>
                <w:rFonts w:hint="eastAsia" w:ascii="仿宋" w:hAnsi="仿宋" w:eastAsia="仿宋" w:cs="仿宋"/>
                <w:sz w:val="24"/>
                <w:szCs w:val="24"/>
                <w:lang w:eastAsia="zh-CN"/>
              </w:rPr>
              <w:t>、</w:t>
            </w:r>
            <w:r>
              <w:rPr>
                <w:rFonts w:hint="eastAsia" w:ascii="仿宋" w:hAnsi="仿宋" w:eastAsia="仿宋" w:cs="仿宋"/>
                <w:sz w:val="24"/>
                <w:szCs w:val="24"/>
              </w:rPr>
              <w:t>徐尔充编</w:t>
            </w:r>
            <w:r>
              <w:rPr>
                <w:rFonts w:hint="eastAsia" w:ascii="仿宋" w:hAnsi="仿宋" w:eastAsia="仿宋" w:cs="仿宋"/>
                <w:sz w:val="24"/>
                <w:szCs w:val="24"/>
                <w:lang w:eastAsia="zh-CN"/>
              </w:rPr>
              <w:t>，</w:t>
            </w:r>
            <w:r>
              <w:rPr>
                <w:rFonts w:hint="eastAsia" w:ascii="仿宋" w:hAnsi="仿宋" w:eastAsia="仿宋" w:cs="仿宋"/>
                <w:sz w:val="24"/>
                <w:szCs w:val="24"/>
              </w:rPr>
              <w:t>上海音乐出版社</w:t>
            </w:r>
            <w:r>
              <w:rPr>
                <w:rFonts w:hint="eastAsia" w:ascii="仿宋" w:hAnsi="仿宋" w:eastAsia="仿宋" w:cs="仿宋"/>
                <w:sz w:val="24"/>
                <w:szCs w:val="24"/>
                <w:lang w:eastAsia="zh-CN"/>
              </w:rPr>
              <w:t>，</w:t>
            </w:r>
            <w:r>
              <w:rPr>
                <w:rFonts w:hint="eastAsia" w:ascii="仿宋" w:hAnsi="仿宋" w:eastAsia="仿宋" w:cs="仿宋"/>
                <w:sz w:val="24"/>
                <w:szCs w:val="24"/>
              </w:rPr>
              <w:t>2001年3月版</w:t>
            </w:r>
          </w:p>
          <w:p w14:paraId="461F9EAB">
            <w:pPr>
              <w:tabs>
                <w:tab w:val="left" w:pos="720"/>
              </w:tabs>
              <w:adjustRightInd w:val="0"/>
              <w:snapToGrid w:val="0"/>
              <w:jc w:val="left"/>
              <w:rPr>
                <w:rFonts w:ascii="仿宋" w:hAnsi="仿宋" w:eastAsia="仿宋" w:cs="仿宋"/>
                <w:sz w:val="24"/>
                <w:szCs w:val="24"/>
              </w:rPr>
            </w:pPr>
            <w:r>
              <w:rPr>
                <w:rFonts w:hint="eastAsia" w:ascii="仿宋" w:hAnsi="仿宋" w:eastAsia="仿宋" w:cs="仿宋"/>
                <w:sz w:val="24"/>
                <w:szCs w:val="24"/>
              </w:rPr>
              <w:t>3.《现代舞基本功训练—走进现代舞》马栋－VCD，北京环球音像出版社， 2008年</w:t>
            </w:r>
          </w:p>
        </w:tc>
      </w:tr>
      <w:tr w14:paraId="4BA9E2DC">
        <w:tc>
          <w:tcPr>
            <w:tcW w:w="1143" w:type="dxa"/>
            <w:tcBorders>
              <w:bottom w:val="single" w:color="auto" w:sz="4" w:space="0"/>
            </w:tcBorders>
            <w:noWrap w:val="0"/>
            <w:vAlign w:val="center"/>
          </w:tcPr>
          <w:p w14:paraId="5B00B28A">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C</w:t>
            </w:r>
          </w:p>
          <w:p w14:paraId="7632F33E">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线上学习资源</w:t>
            </w:r>
          </w:p>
        </w:tc>
        <w:tc>
          <w:tcPr>
            <w:tcW w:w="8005" w:type="dxa"/>
            <w:gridSpan w:val="11"/>
            <w:tcBorders>
              <w:bottom w:val="single" w:color="auto" w:sz="4" w:space="0"/>
            </w:tcBorders>
            <w:noWrap w:val="0"/>
            <w:vAlign w:val="center"/>
          </w:tcPr>
          <w:p w14:paraId="7BB34793">
            <w:pPr>
              <w:adjustRightInd w:val="0"/>
              <w:snapToGrid w:val="0"/>
              <w:rPr>
                <w:rFonts w:ascii="仿宋" w:hAnsi="仿宋" w:eastAsia="仿宋" w:cs="仿宋"/>
                <w:color w:val="366091"/>
                <w:kern w:val="0"/>
                <w:sz w:val="24"/>
                <w:szCs w:val="24"/>
              </w:rPr>
            </w:pPr>
            <w:r>
              <w:rPr>
                <w:rFonts w:hint="eastAsia" w:ascii="仿宋" w:hAnsi="仿宋" w:eastAsia="仿宋" w:cs="仿宋"/>
                <w:sz w:val="24"/>
                <w:szCs w:val="24"/>
              </w:rPr>
              <w:t>教学</w:t>
            </w:r>
            <w:r>
              <w:rPr>
                <w:rFonts w:hint="eastAsia" w:ascii="仿宋" w:hAnsi="仿宋" w:eastAsia="仿宋" w:cs="仿宋"/>
                <w:sz w:val="24"/>
                <w:szCs w:val="24"/>
                <w:lang w:val="en-US" w:eastAsia="zh-CN"/>
              </w:rPr>
              <w:t>相关视频和</w:t>
            </w:r>
            <w:r>
              <w:rPr>
                <w:rFonts w:hint="eastAsia" w:ascii="仿宋" w:hAnsi="仿宋" w:eastAsia="仿宋" w:cs="仿宋"/>
                <w:sz w:val="24"/>
                <w:szCs w:val="24"/>
              </w:rPr>
              <w:t>大纲、授课计划、考核方法、电子教材、音频、阅读资料、网络文献、各大链接网址相关教学资源。</w:t>
            </w:r>
          </w:p>
        </w:tc>
      </w:tr>
      <w:tr w14:paraId="77080DB2">
        <w:trPr>
          <w:trHeight w:val="90" w:hRule="atLeast"/>
        </w:trPr>
        <w:tc>
          <w:tcPr>
            <w:tcW w:w="1143" w:type="dxa"/>
            <w:shd w:val="clear" w:color="auto" w:fill="FFFFFF"/>
            <w:noWrap w:val="0"/>
            <w:vAlign w:val="center"/>
          </w:tcPr>
          <w:p w14:paraId="19DB01AF">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D</w:t>
            </w:r>
          </w:p>
          <w:p w14:paraId="11E094EA">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 xml:space="preserve">课程描述 </w:t>
            </w:r>
          </w:p>
          <w:p w14:paraId="4242E776">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lang w:eastAsia="zh-TW"/>
              </w:rPr>
              <w:t>(</w:t>
            </w:r>
            <w:r>
              <w:rPr>
                <w:rFonts w:hint="eastAsia" w:ascii="仿宋" w:hAnsi="仿宋" w:eastAsia="仿宋" w:cs="仿宋"/>
                <w:sz w:val="24"/>
                <w:szCs w:val="24"/>
              </w:rPr>
              <w:t>含</w:t>
            </w:r>
            <w:r>
              <w:rPr>
                <w:rFonts w:hint="eastAsia" w:ascii="仿宋" w:hAnsi="仿宋" w:eastAsia="仿宋" w:cs="仿宋"/>
                <w:sz w:val="24"/>
                <w:szCs w:val="24"/>
                <w:lang w:eastAsia="zh-TW"/>
              </w:rPr>
              <w:t>性质、地位和任务)</w:t>
            </w:r>
          </w:p>
        </w:tc>
        <w:tc>
          <w:tcPr>
            <w:tcW w:w="8005" w:type="dxa"/>
            <w:gridSpan w:val="11"/>
            <w:tcBorders>
              <w:bottom w:val="single" w:color="auto" w:sz="4" w:space="0"/>
            </w:tcBorders>
            <w:shd w:val="clear" w:color="auto" w:fill="FFFFFF"/>
            <w:noWrap w:val="0"/>
            <w:vAlign w:val="center"/>
          </w:tcPr>
          <w:p w14:paraId="67D5716F">
            <w:pPr>
              <w:adjustRightInd w:val="0"/>
              <w:snapToGrid w:val="0"/>
              <w:spacing w:line="240" w:lineRule="atLeast"/>
              <w:jc w:val="left"/>
              <w:rPr>
                <w:rFonts w:ascii="仿宋" w:hAnsi="仿宋" w:eastAsia="仿宋" w:cs="仿宋"/>
                <w:color w:val="000000"/>
                <w:sz w:val="24"/>
                <w:szCs w:val="24"/>
              </w:rPr>
            </w:pPr>
            <w:r>
              <w:rPr>
                <w:rFonts w:hint="eastAsia" w:ascii="仿宋" w:hAnsi="仿宋" w:eastAsia="仿宋" w:cs="仿宋"/>
                <w:sz w:val="24"/>
                <w:szCs w:val="24"/>
              </w:rPr>
              <w:t>本课程是普通高等学校音乐学本科专业舞蹈方向专业必修课程，是培养学生从事音乐教育、音乐表演、舞蹈艺术相关工作基本能力的一门课程，是培养学生艺术综合素养的重要途径，对于学生认识自我身体、展现个人综合的素质具有重要作用。</w:t>
            </w:r>
            <w:r>
              <w:rPr>
                <w:rFonts w:hint="eastAsia" w:ascii="仿宋" w:hAnsi="仿宋" w:eastAsia="仿宋" w:cs="仿宋"/>
                <w:color w:val="000000"/>
                <w:sz w:val="24"/>
                <w:szCs w:val="24"/>
              </w:rPr>
              <w:t>编导教学的目的和任务是引导学生从明确舞蹈创作的一些基本要领到熟悉编创的一般过程，使学生对</w:t>
            </w:r>
            <w:r>
              <w:rPr>
                <w:rFonts w:hint="eastAsia" w:ascii="仿宋" w:hAnsi="仿宋" w:eastAsia="仿宋" w:cs="仿宋"/>
                <w:color w:val="000000"/>
                <w:sz w:val="24"/>
                <w:szCs w:val="24"/>
                <w:lang w:val="en-US" w:eastAsia="zh-CN"/>
              </w:rPr>
              <w:t>中小学</w:t>
            </w:r>
            <w:r>
              <w:rPr>
                <w:rFonts w:hint="eastAsia" w:ascii="仿宋" w:hAnsi="仿宋" w:eastAsia="仿宋" w:cs="仿宋"/>
                <w:color w:val="000000"/>
                <w:sz w:val="24"/>
                <w:szCs w:val="24"/>
              </w:rPr>
              <w:t>舞蹈编创在感性上有一个全面的了解。在此基础上，准确把握舞蹈艺术深层次的感觉，达到较全面，系统地掌握舞蹈创作理论及其实践规律。</w:t>
            </w:r>
          </w:p>
          <w:p w14:paraId="79ACFDD5">
            <w:pPr>
              <w:adjustRightInd w:val="0"/>
              <w:snapToGrid w:val="0"/>
              <w:rPr>
                <w:rFonts w:ascii="仿宋" w:hAnsi="仿宋" w:eastAsia="仿宋" w:cs="仿宋"/>
                <w:color w:val="366091"/>
                <w:kern w:val="0"/>
                <w:sz w:val="24"/>
                <w:szCs w:val="24"/>
              </w:rPr>
            </w:pPr>
          </w:p>
        </w:tc>
      </w:tr>
      <w:tr w14:paraId="0882EADE">
        <w:trPr>
          <w:trHeight w:val="1406" w:hRule="atLeast"/>
        </w:trPr>
        <w:tc>
          <w:tcPr>
            <w:tcW w:w="1143" w:type="dxa"/>
            <w:vMerge w:val="restart"/>
            <w:shd w:val="clear" w:color="auto" w:fill="FFFFFF"/>
            <w:noWrap w:val="0"/>
            <w:vAlign w:val="center"/>
          </w:tcPr>
          <w:p w14:paraId="1F3B6D69">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E</w:t>
            </w:r>
          </w:p>
          <w:p w14:paraId="706003D2">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课程学习目标及其与毕业要求的对应关系</w:t>
            </w:r>
          </w:p>
        </w:tc>
        <w:tc>
          <w:tcPr>
            <w:tcW w:w="8005" w:type="dxa"/>
            <w:gridSpan w:val="11"/>
            <w:tcBorders>
              <w:bottom w:val="single" w:color="auto" w:sz="4" w:space="0"/>
            </w:tcBorders>
            <w:shd w:val="clear" w:color="auto" w:fill="FFFFFF"/>
            <w:noWrap w:val="0"/>
            <w:vAlign w:val="center"/>
          </w:tcPr>
          <w:p w14:paraId="4DC4363A">
            <w:pPr>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通过本课程的学习，学生具备如下知识、能力及情感态度价值观：</w:t>
            </w:r>
          </w:p>
          <w:p w14:paraId="7EC53664">
            <w:pPr>
              <w:adjustRightInd w:val="0"/>
              <w:snapToGrid w:val="0"/>
              <w:jc w:val="left"/>
              <w:rPr>
                <w:rFonts w:hint="eastAsia" w:ascii="仿宋" w:hAnsi="仿宋" w:eastAsia="仿宋" w:cs="仿宋"/>
                <w:color w:val="000000"/>
                <w:sz w:val="24"/>
                <w:szCs w:val="24"/>
              </w:rPr>
            </w:pPr>
            <w:r>
              <w:rPr>
                <w:rFonts w:hint="eastAsia" w:ascii="仿宋" w:hAnsi="仿宋" w:eastAsia="仿宋" w:cs="仿宋"/>
                <w:b/>
                <w:bCs/>
                <w:kern w:val="0"/>
                <w:sz w:val="24"/>
                <w:szCs w:val="24"/>
              </w:rPr>
              <w:t>课程目标1.</w:t>
            </w:r>
            <w:r>
              <w:rPr>
                <w:rFonts w:ascii="仿宋" w:hAnsi="仿宋" w:eastAsia="仿宋" w:cs="仿宋"/>
                <w:kern w:val="0"/>
                <w:sz w:val="24"/>
                <w:szCs w:val="24"/>
              </w:rPr>
              <w:t xml:space="preserve"> </w:t>
            </w:r>
            <w:r>
              <w:rPr>
                <w:rFonts w:hint="eastAsia" w:ascii="仿宋" w:hAnsi="仿宋" w:eastAsia="仿宋" w:cs="仿宋"/>
                <w:color w:val="000000"/>
                <w:sz w:val="24"/>
                <w:szCs w:val="24"/>
              </w:rPr>
              <w:t>掌握</w:t>
            </w:r>
            <w:r>
              <w:rPr>
                <w:rFonts w:hint="eastAsia" w:ascii="仿宋" w:hAnsi="仿宋" w:eastAsia="仿宋" w:cs="仿宋"/>
                <w:color w:val="000000"/>
                <w:sz w:val="24"/>
                <w:szCs w:val="24"/>
                <w:lang w:val="en-US" w:eastAsia="zh-CN"/>
              </w:rPr>
              <w:t>中小学</w:t>
            </w:r>
            <w:r>
              <w:rPr>
                <w:rFonts w:hint="eastAsia" w:ascii="仿宋" w:hAnsi="仿宋" w:eastAsia="仿宋" w:cs="仿宋"/>
                <w:color w:val="000000"/>
                <w:sz w:val="24"/>
                <w:szCs w:val="24"/>
              </w:rPr>
              <w:t>舞蹈编导基本专业技能，对</w:t>
            </w:r>
            <w:r>
              <w:rPr>
                <w:rFonts w:hint="eastAsia" w:ascii="仿宋" w:hAnsi="仿宋" w:eastAsia="仿宋" w:cs="仿宋"/>
                <w:color w:val="000000"/>
                <w:sz w:val="24"/>
                <w:szCs w:val="24"/>
                <w:lang w:val="en-US" w:eastAsia="zh-CN"/>
              </w:rPr>
              <w:t>中小学舞蹈编导</w:t>
            </w:r>
            <w:r>
              <w:rPr>
                <w:rFonts w:hint="eastAsia" w:ascii="仿宋" w:hAnsi="仿宋" w:eastAsia="仿宋" w:cs="仿宋"/>
                <w:color w:val="000000"/>
                <w:sz w:val="24"/>
                <w:szCs w:val="24"/>
              </w:rPr>
              <w:t>科学知识有一定的了解，形成初步的融合、综合学习的能力，能解决理论联系实际的问题。 （支撑毕业要求3.1）</w:t>
            </w:r>
          </w:p>
          <w:p w14:paraId="5FBB64D7">
            <w:pPr>
              <w:adjustRightInd w:val="0"/>
              <w:snapToGrid w:val="0"/>
              <w:spacing w:line="240" w:lineRule="atLeast"/>
              <w:jc w:val="left"/>
              <w:rPr>
                <w:rFonts w:hint="eastAsia" w:ascii="仿宋" w:hAnsi="仿宋" w:eastAsia="仿宋" w:cs="仿宋"/>
                <w:sz w:val="24"/>
                <w:szCs w:val="24"/>
                <w:lang w:val="en-US" w:eastAsia="zh-CN"/>
              </w:rPr>
            </w:pPr>
            <w:r>
              <w:rPr>
                <w:rFonts w:hint="eastAsia" w:ascii="仿宋" w:hAnsi="仿宋" w:eastAsia="仿宋" w:cs="仿宋"/>
                <w:b/>
                <w:bCs/>
              </w:rPr>
              <w:t>课程目标</w:t>
            </w:r>
            <w:r>
              <w:rPr>
                <w:rFonts w:ascii="仿宋" w:hAnsi="仿宋" w:eastAsia="仿宋" w:cs="仿宋"/>
                <w:b/>
                <w:bCs/>
              </w:rPr>
              <w:t>2</w:t>
            </w:r>
            <w:r>
              <w:rPr>
                <w:rFonts w:hint="eastAsia" w:ascii="仿宋" w:hAnsi="仿宋" w:eastAsia="仿宋" w:cs="仿宋"/>
                <w:b/>
                <w:bCs/>
              </w:rPr>
              <w:t>.</w:t>
            </w:r>
            <w:r>
              <w:rPr>
                <w:rFonts w:hint="eastAsia" w:ascii="仿宋" w:hAnsi="仿宋" w:eastAsia="仿宋" w:cs="仿宋"/>
                <w:color w:val="000000"/>
                <w:kern w:val="2"/>
                <w:sz w:val="24"/>
                <w:szCs w:val="24"/>
                <w:lang w:val="en-US" w:eastAsia="zh-CN" w:bidi="ar-SA"/>
              </w:rPr>
              <w:t>掌握一定的</w:t>
            </w:r>
            <w:r>
              <w:rPr>
                <w:rFonts w:hint="eastAsia" w:ascii="仿宋" w:hAnsi="仿宋" w:eastAsia="仿宋" w:cs="仿宋"/>
                <w:color w:val="000000"/>
                <w:sz w:val="24"/>
                <w:szCs w:val="24"/>
                <w:lang w:val="en-US" w:eastAsia="zh-CN"/>
              </w:rPr>
              <w:t>中小学</w:t>
            </w:r>
            <w:r>
              <w:rPr>
                <w:rFonts w:hint="eastAsia" w:ascii="仿宋" w:hAnsi="仿宋" w:eastAsia="仿宋" w:cs="仿宋"/>
                <w:color w:val="000000"/>
                <w:kern w:val="2"/>
                <w:sz w:val="24"/>
                <w:szCs w:val="24"/>
                <w:lang w:val="en-US" w:eastAsia="zh-CN" w:bidi="ar-SA"/>
              </w:rPr>
              <w:t>舞蹈编导教学能力和组织课外音乐活动，编排节目，指导和训练学生艺术团，能运用传统音乐舞蹈资源进行课堂教学和开展课外音</w:t>
            </w:r>
            <w:r>
              <w:rPr>
                <w:rFonts w:hint="eastAsia" w:ascii="仿宋" w:hAnsi="仿宋" w:eastAsia="仿宋" w:cs="仿宋"/>
                <w:sz w:val="24"/>
                <w:szCs w:val="24"/>
                <w:lang w:val="en-US" w:eastAsia="zh-CN"/>
              </w:rPr>
              <w:t>乐舞蹈活动。有一定的教学研究能力。 （支撑毕业要求 4.3 ）</w:t>
            </w:r>
          </w:p>
          <w:p w14:paraId="056C7802">
            <w:pPr>
              <w:adjustRightInd w:val="0"/>
              <w:snapToGrid w:val="0"/>
              <w:spacing w:line="240" w:lineRule="atLeast"/>
              <w:jc w:val="left"/>
              <w:rPr>
                <w:rFonts w:ascii="仿宋" w:hAnsi="仿宋" w:eastAsia="仿宋" w:cs="仿宋"/>
                <w:kern w:val="0"/>
                <w:sz w:val="24"/>
                <w:szCs w:val="24"/>
              </w:rPr>
            </w:pPr>
            <w:r>
              <w:rPr>
                <w:rFonts w:hint="eastAsia" w:ascii="仿宋" w:hAnsi="仿宋" w:eastAsia="仿宋" w:cs="仿宋"/>
                <w:b/>
                <w:bCs/>
                <w:sz w:val="24"/>
                <w:szCs w:val="24"/>
              </w:rPr>
              <w:t>课程目标3.</w:t>
            </w:r>
            <w:r>
              <w:rPr>
                <w:rFonts w:hint="eastAsia" w:ascii="仿宋" w:hAnsi="仿宋" w:eastAsia="仿宋" w:cs="仿宋"/>
                <w:sz w:val="24"/>
                <w:szCs w:val="24"/>
                <w:lang w:val="en-US" w:eastAsia="zh-CN"/>
              </w:rPr>
              <w:t>具有一定的沟通交流能力，能够团结协作，有效地完成小型群舞的编排。自觉和同伴形成学习共同体并能 从学习共同体中得到快乐和效用。（支撑材料8.2）</w:t>
            </w:r>
          </w:p>
        </w:tc>
      </w:tr>
      <w:tr w14:paraId="38843E03">
        <w:trPr>
          <w:trHeight w:val="642" w:hRule="atLeast"/>
        </w:trPr>
        <w:tc>
          <w:tcPr>
            <w:tcW w:w="1143" w:type="dxa"/>
            <w:vMerge w:val="continue"/>
            <w:shd w:val="clear" w:color="auto" w:fill="FFFFFF"/>
            <w:noWrap w:val="0"/>
            <w:vAlign w:val="center"/>
          </w:tcPr>
          <w:p w14:paraId="6405EFEE">
            <w:pPr>
              <w:adjustRightInd w:val="0"/>
              <w:snapToGrid w:val="0"/>
              <w:spacing w:line="240" w:lineRule="atLeast"/>
              <w:jc w:val="center"/>
              <w:rPr>
                <w:rFonts w:ascii="仿宋" w:hAnsi="仿宋" w:eastAsia="仿宋" w:cs="仿宋"/>
                <w:sz w:val="24"/>
                <w:szCs w:val="24"/>
              </w:rPr>
            </w:pPr>
          </w:p>
        </w:tc>
        <w:tc>
          <w:tcPr>
            <w:tcW w:w="1143" w:type="dxa"/>
            <w:tcBorders>
              <w:bottom w:val="single" w:color="auto" w:sz="4" w:space="0"/>
            </w:tcBorders>
            <w:shd w:val="clear" w:color="auto" w:fill="FFFFFF"/>
            <w:noWrap w:val="0"/>
            <w:vAlign w:val="center"/>
          </w:tcPr>
          <w:p w14:paraId="0063F24A">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课程目标</w:t>
            </w:r>
          </w:p>
        </w:tc>
        <w:tc>
          <w:tcPr>
            <w:tcW w:w="4574" w:type="dxa"/>
            <w:gridSpan w:val="5"/>
            <w:tcBorders>
              <w:bottom w:val="single" w:color="auto" w:sz="4" w:space="0"/>
            </w:tcBorders>
            <w:shd w:val="clear" w:color="auto" w:fill="FFFFFF"/>
            <w:noWrap w:val="0"/>
            <w:vAlign w:val="center"/>
          </w:tcPr>
          <w:p w14:paraId="1BEF83AB">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毕业要求分解指标点</w:t>
            </w:r>
          </w:p>
        </w:tc>
        <w:tc>
          <w:tcPr>
            <w:tcW w:w="2288" w:type="dxa"/>
            <w:gridSpan w:val="5"/>
            <w:tcBorders>
              <w:bottom w:val="single" w:color="auto" w:sz="4" w:space="0"/>
            </w:tcBorders>
            <w:shd w:val="clear" w:color="auto" w:fill="FFFFFF"/>
            <w:noWrap w:val="0"/>
            <w:vAlign w:val="center"/>
          </w:tcPr>
          <w:p w14:paraId="0A11C580">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毕业要求</w:t>
            </w:r>
          </w:p>
        </w:tc>
      </w:tr>
      <w:tr w14:paraId="2C42EF3A">
        <w:trPr>
          <w:trHeight w:val="817" w:hRule="atLeast"/>
        </w:trPr>
        <w:tc>
          <w:tcPr>
            <w:tcW w:w="1143" w:type="dxa"/>
            <w:vMerge w:val="continue"/>
            <w:shd w:val="clear" w:color="auto" w:fill="FFFFFF"/>
            <w:noWrap w:val="0"/>
            <w:vAlign w:val="center"/>
          </w:tcPr>
          <w:p w14:paraId="45BE9877">
            <w:pPr>
              <w:adjustRightInd w:val="0"/>
              <w:snapToGrid w:val="0"/>
              <w:spacing w:line="240" w:lineRule="atLeast"/>
              <w:jc w:val="center"/>
              <w:rPr>
                <w:rFonts w:ascii="仿宋" w:hAnsi="仿宋" w:eastAsia="仿宋" w:cs="仿宋"/>
                <w:sz w:val="24"/>
                <w:szCs w:val="24"/>
              </w:rPr>
            </w:pPr>
          </w:p>
        </w:tc>
        <w:tc>
          <w:tcPr>
            <w:tcW w:w="1143" w:type="dxa"/>
            <w:tcBorders>
              <w:bottom w:val="single" w:color="auto" w:sz="4" w:space="0"/>
            </w:tcBorders>
            <w:shd w:val="clear" w:color="auto" w:fill="FFFFFF"/>
            <w:noWrap w:val="0"/>
            <w:vAlign w:val="center"/>
          </w:tcPr>
          <w:p w14:paraId="253D4FC0">
            <w:pPr>
              <w:adjustRightInd w:val="0"/>
              <w:snapToGrid w:val="0"/>
              <w:jc w:val="left"/>
              <w:rPr>
                <w:rFonts w:hint="eastAsia" w:ascii="仿宋" w:hAnsi="仿宋" w:eastAsia="仿宋" w:cs="仿宋"/>
                <w:color w:val="000000"/>
                <w:sz w:val="24"/>
                <w:szCs w:val="24"/>
              </w:rPr>
            </w:pPr>
            <w:r>
              <w:rPr>
                <w:rFonts w:hint="eastAsia" w:ascii="仿宋" w:hAnsi="仿宋" w:eastAsia="仿宋" w:cs="仿宋"/>
                <w:color w:val="000000"/>
                <w:sz w:val="24"/>
                <w:szCs w:val="24"/>
              </w:rPr>
              <w:t>课程目标1</w:t>
            </w:r>
          </w:p>
        </w:tc>
        <w:tc>
          <w:tcPr>
            <w:tcW w:w="4574" w:type="dxa"/>
            <w:gridSpan w:val="5"/>
            <w:vMerge w:val="restart"/>
            <w:shd w:val="clear" w:color="auto" w:fill="FFFFFF"/>
            <w:noWrap w:val="0"/>
            <w:vAlign w:val="center"/>
          </w:tcPr>
          <w:p w14:paraId="4D05288B">
            <w:pPr>
              <w:adjustRightInd w:val="0"/>
              <w:snapToGrid w:val="0"/>
              <w:jc w:val="left"/>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3.1 【专业技能】掌握音乐学科技法技能多项基本功，掌握音乐学科基础知识、基本理论、 体系结构与思想方法，理解音乐学科的核心素养的内涵，形成音乐学科核心素养。 </w:t>
            </w:r>
          </w:p>
        </w:tc>
        <w:tc>
          <w:tcPr>
            <w:tcW w:w="2288" w:type="dxa"/>
            <w:gridSpan w:val="5"/>
            <w:vMerge w:val="restart"/>
            <w:shd w:val="clear" w:color="auto" w:fill="FFFFFF"/>
            <w:noWrap w:val="0"/>
            <w:vAlign w:val="center"/>
          </w:tcPr>
          <w:p w14:paraId="2E933FEF">
            <w:pPr>
              <w:adjustRightInd w:val="0"/>
              <w:snapToGrid w:val="0"/>
              <w:jc w:val="center"/>
              <w:rPr>
                <w:rFonts w:ascii="仿宋" w:hAnsi="仿宋" w:eastAsia="仿宋" w:cs="仿宋"/>
                <w:bCs/>
                <w:sz w:val="24"/>
                <w:szCs w:val="24"/>
                <w:lang w:eastAsia="zh-Hans"/>
              </w:rPr>
            </w:pPr>
            <w:r>
              <w:rPr>
                <w:rFonts w:hint="eastAsia" w:ascii="仿宋" w:hAnsi="仿宋" w:eastAsia="仿宋" w:cs="仿宋"/>
                <w:bCs/>
                <w:sz w:val="24"/>
                <w:szCs w:val="24"/>
                <w:lang w:eastAsia="zh-Hans"/>
              </w:rPr>
              <w:t>学科素养</w:t>
            </w:r>
          </w:p>
          <w:p w14:paraId="6DA9D7C3">
            <w:pPr>
              <w:adjustRightInd w:val="0"/>
              <w:snapToGrid w:val="0"/>
              <w:spacing w:line="240" w:lineRule="atLeast"/>
              <w:jc w:val="center"/>
              <w:rPr>
                <w:rFonts w:ascii="仿宋" w:hAnsi="仿宋" w:eastAsia="仿宋" w:cs="仿宋"/>
                <w:sz w:val="24"/>
                <w:szCs w:val="24"/>
              </w:rPr>
            </w:pPr>
            <w:r>
              <w:rPr>
                <w:rFonts w:ascii="仿宋" w:hAnsi="仿宋" w:eastAsia="仿宋" w:cs="仿宋"/>
                <w:sz w:val="24"/>
                <w:szCs w:val="24"/>
              </w:rPr>
              <w:t>（</w:t>
            </w:r>
            <w:r>
              <w:rPr>
                <w:rFonts w:hint="eastAsia" w:ascii="仿宋" w:hAnsi="仿宋" w:eastAsia="仿宋" w:cs="仿宋"/>
                <w:sz w:val="24"/>
                <w:szCs w:val="24"/>
                <w:lang w:eastAsia="zh-Hans"/>
              </w:rPr>
              <w:t>H）</w:t>
            </w:r>
          </w:p>
        </w:tc>
      </w:tr>
      <w:tr w14:paraId="0448FD91">
        <w:trPr>
          <w:trHeight w:val="817" w:hRule="atLeast"/>
        </w:trPr>
        <w:tc>
          <w:tcPr>
            <w:tcW w:w="1143" w:type="dxa"/>
            <w:vMerge w:val="continue"/>
            <w:shd w:val="clear" w:color="auto" w:fill="FFFFFF"/>
            <w:noWrap w:val="0"/>
            <w:vAlign w:val="center"/>
          </w:tcPr>
          <w:p w14:paraId="1ECCFDA0">
            <w:pPr>
              <w:adjustRightInd w:val="0"/>
              <w:snapToGrid w:val="0"/>
              <w:spacing w:line="240" w:lineRule="atLeast"/>
              <w:jc w:val="center"/>
              <w:rPr>
                <w:rFonts w:ascii="仿宋" w:hAnsi="仿宋" w:eastAsia="仿宋" w:cs="仿宋"/>
                <w:sz w:val="24"/>
                <w:szCs w:val="24"/>
              </w:rPr>
            </w:pPr>
          </w:p>
        </w:tc>
        <w:tc>
          <w:tcPr>
            <w:tcW w:w="1143" w:type="dxa"/>
            <w:tcBorders>
              <w:bottom w:val="single" w:color="auto" w:sz="4" w:space="0"/>
            </w:tcBorders>
            <w:shd w:val="clear" w:color="auto" w:fill="FFFFFF"/>
            <w:noWrap w:val="0"/>
            <w:vAlign w:val="center"/>
          </w:tcPr>
          <w:p w14:paraId="1E74009D">
            <w:pPr>
              <w:adjustRightInd w:val="0"/>
              <w:snapToGrid w:val="0"/>
              <w:jc w:val="left"/>
              <w:rPr>
                <w:rFonts w:hint="eastAsia" w:ascii="仿宋" w:hAnsi="仿宋" w:eastAsia="仿宋" w:cs="仿宋"/>
                <w:color w:val="000000"/>
                <w:sz w:val="24"/>
                <w:szCs w:val="24"/>
              </w:rPr>
            </w:pPr>
          </w:p>
        </w:tc>
        <w:tc>
          <w:tcPr>
            <w:tcW w:w="4574" w:type="dxa"/>
            <w:gridSpan w:val="5"/>
            <w:vMerge w:val="continue"/>
            <w:tcBorders>
              <w:bottom w:val="single" w:color="auto" w:sz="4" w:space="0"/>
            </w:tcBorders>
            <w:shd w:val="clear" w:color="auto" w:fill="FFFFFF"/>
            <w:noWrap w:val="0"/>
            <w:vAlign w:val="center"/>
          </w:tcPr>
          <w:p w14:paraId="256C4A10">
            <w:pPr>
              <w:adjustRightInd w:val="0"/>
              <w:snapToGrid w:val="0"/>
              <w:jc w:val="left"/>
              <w:rPr>
                <w:rFonts w:hint="eastAsia" w:ascii="仿宋" w:hAnsi="仿宋" w:eastAsia="仿宋" w:cs="仿宋"/>
                <w:color w:val="000000"/>
                <w:sz w:val="24"/>
                <w:szCs w:val="24"/>
              </w:rPr>
            </w:pPr>
          </w:p>
        </w:tc>
        <w:tc>
          <w:tcPr>
            <w:tcW w:w="2288" w:type="dxa"/>
            <w:gridSpan w:val="5"/>
            <w:vMerge w:val="continue"/>
            <w:tcBorders>
              <w:bottom w:val="single" w:color="auto" w:sz="4" w:space="0"/>
            </w:tcBorders>
            <w:shd w:val="clear" w:color="auto" w:fill="FFFFFF"/>
            <w:noWrap w:val="0"/>
            <w:vAlign w:val="center"/>
          </w:tcPr>
          <w:p w14:paraId="46CED4F0">
            <w:pPr>
              <w:adjustRightInd w:val="0"/>
              <w:snapToGrid w:val="0"/>
              <w:jc w:val="center"/>
              <w:rPr>
                <w:rFonts w:ascii="仿宋" w:hAnsi="仿宋" w:eastAsia="仿宋" w:cs="仿宋"/>
                <w:sz w:val="24"/>
                <w:szCs w:val="24"/>
              </w:rPr>
            </w:pPr>
          </w:p>
        </w:tc>
      </w:tr>
      <w:tr w14:paraId="1E892056">
        <w:trPr>
          <w:trHeight w:val="817" w:hRule="atLeast"/>
        </w:trPr>
        <w:tc>
          <w:tcPr>
            <w:tcW w:w="1143" w:type="dxa"/>
            <w:vMerge w:val="continue"/>
            <w:shd w:val="clear" w:color="auto" w:fill="FFFFFF"/>
            <w:noWrap w:val="0"/>
            <w:vAlign w:val="center"/>
          </w:tcPr>
          <w:p w14:paraId="1B01365A">
            <w:pPr>
              <w:adjustRightInd w:val="0"/>
              <w:snapToGrid w:val="0"/>
              <w:spacing w:line="240" w:lineRule="atLeast"/>
              <w:jc w:val="center"/>
              <w:rPr>
                <w:rFonts w:ascii="仿宋" w:hAnsi="仿宋" w:eastAsia="仿宋" w:cs="仿宋"/>
                <w:sz w:val="24"/>
                <w:szCs w:val="24"/>
              </w:rPr>
            </w:pPr>
          </w:p>
        </w:tc>
        <w:tc>
          <w:tcPr>
            <w:tcW w:w="1143" w:type="dxa"/>
            <w:shd w:val="clear" w:color="auto" w:fill="FFFFFF"/>
            <w:noWrap w:val="0"/>
            <w:vAlign w:val="center"/>
          </w:tcPr>
          <w:p w14:paraId="0AF1E4C8">
            <w:pPr>
              <w:adjustRightInd w:val="0"/>
              <w:snapToGrid w:val="0"/>
              <w:jc w:val="left"/>
              <w:rPr>
                <w:rFonts w:hint="eastAsia" w:ascii="仿宋" w:hAnsi="仿宋" w:eastAsia="仿宋" w:cs="仿宋"/>
                <w:color w:val="000000"/>
                <w:sz w:val="24"/>
                <w:szCs w:val="24"/>
              </w:rPr>
            </w:pPr>
            <w:r>
              <w:rPr>
                <w:rFonts w:hint="eastAsia" w:ascii="仿宋" w:hAnsi="仿宋" w:eastAsia="仿宋" w:cs="仿宋"/>
                <w:color w:val="000000"/>
                <w:sz w:val="24"/>
                <w:szCs w:val="24"/>
              </w:rPr>
              <w:t>课程目标2</w:t>
            </w:r>
          </w:p>
        </w:tc>
        <w:tc>
          <w:tcPr>
            <w:tcW w:w="4574" w:type="dxa"/>
            <w:gridSpan w:val="5"/>
            <w:shd w:val="clear" w:color="auto" w:fill="FFFFFF"/>
            <w:noWrap w:val="0"/>
            <w:vAlign w:val="center"/>
          </w:tcPr>
          <w:p w14:paraId="5D509674">
            <w:pPr>
              <w:adjustRightInd w:val="0"/>
              <w:snapToGrid w:val="0"/>
              <w:jc w:val="left"/>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4.3【传统文化传承】具有传承传统音乐舞蹈文化的意识，能够运用传统音乐舞蹈文化资源 进行课堂教学和开展课外音乐舞蹈活动。 </w:t>
            </w:r>
          </w:p>
        </w:tc>
        <w:tc>
          <w:tcPr>
            <w:tcW w:w="2288" w:type="dxa"/>
            <w:gridSpan w:val="5"/>
            <w:shd w:val="clear" w:color="auto" w:fill="FFFFFF"/>
            <w:noWrap w:val="0"/>
            <w:vAlign w:val="center"/>
          </w:tcPr>
          <w:p w14:paraId="5B05D6C8">
            <w:pPr>
              <w:adjustRightInd w:val="0"/>
              <w:snapToGrid w:val="0"/>
              <w:jc w:val="center"/>
              <w:rPr>
                <w:rFonts w:ascii="仿宋" w:hAnsi="仿宋" w:eastAsia="仿宋" w:cs="仿宋"/>
                <w:sz w:val="24"/>
                <w:szCs w:val="24"/>
                <w:lang w:eastAsia="zh-Hans"/>
              </w:rPr>
            </w:pPr>
            <w:r>
              <w:rPr>
                <w:rFonts w:hint="eastAsia" w:ascii="仿宋" w:hAnsi="仿宋" w:eastAsia="仿宋" w:cs="仿宋"/>
                <w:sz w:val="24"/>
                <w:szCs w:val="24"/>
                <w:lang w:eastAsia="zh-Hans"/>
              </w:rPr>
              <w:t>教学能力</w:t>
            </w:r>
          </w:p>
          <w:p w14:paraId="4E01FF78">
            <w:pPr>
              <w:adjustRightInd w:val="0"/>
              <w:snapToGrid w:val="0"/>
              <w:jc w:val="center"/>
              <w:rPr>
                <w:rFonts w:ascii="仿宋" w:hAnsi="仿宋" w:eastAsia="仿宋" w:cs="仿宋"/>
                <w:sz w:val="24"/>
                <w:szCs w:val="24"/>
              </w:rPr>
            </w:pPr>
            <w:r>
              <w:rPr>
                <w:rFonts w:hint="eastAsia" w:ascii="仿宋" w:hAnsi="仿宋" w:eastAsia="仿宋" w:cs="仿宋"/>
                <w:sz w:val="24"/>
                <w:szCs w:val="24"/>
                <w:lang w:eastAsia="zh-Hans"/>
              </w:rPr>
              <w:t>（</w:t>
            </w:r>
            <w:r>
              <w:rPr>
                <w:rFonts w:hint="eastAsia" w:ascii="仿宋" w:hAnsi="仿宋" w:eastAsia="仿宋" w:cs="仿宋"/>
                <w:sz w:val="24"/>
                <w:szCs w:val="24"/>
              </w:rPr>
              <w:t>M</w:t>
            </w:r>
            <w:r>
              <w:rPr>
                <w:rFonts w:hint="eastAsia" w:ascii="仿宋" w:hAnsi="仿宋" w:eastAsia="仿宋" w:cs="仿宋"/>
                <w:sz w:val="24"/>
                <w:szCs w:val="24"/>
                <w:lang w:eastAsia="zh-Hans"/>
              </w:rPr>
              <w:t>）</w:t>
            </w:r>
          </w:p>
        </w:tc>
      </w:tr>
      <w:tr w14:paraId="44F2B4DC">
        <w:trPr>
          <w:trHeight w:val="817" w:hRule="atLeast"/>
        </w:trPr>
        <w:tc>
          <w:tcPr>
            <w:tcW w:w="1143" w:type="dxa"/>
            <w:shd w:val="clear" w:color="auto" w:fill="FFFFFF"/>
            <w:noWrap w:val="0"/>
            <w:vAlign w:val="center"/>
          </w:tcPr>
          <w:p w14:paraId="460875B8">
            <w:pPr>
              <w:adjustRightInd w:val="0"/>
              <w:snapToGrid w:val="0"/>
              <w:spacing w:line="240" w:lineRule="atLeast"/>
              <w:jc w:val="center"/>
              <w:rPr>
                <w:rFonts w:ascii="仿宋" w:hAnsi="仿宋" w:eastAsia="仿宋" w:cs="仿宋"/>
                <w:sz w:val="24"/>
                <w:szCs w:val="24"/>
              </w:rPr>
            </w:pPr>
          </w:p>
        </w:tc>
        <w:tc>
          <w:tcPr>
            <w:tcW w:w="1143" w:type="dxa"/>
            <w:shd w:val="clear" w:color="auto" w:fill="FFFFFF"/>
            <w:noWrap w:val="0"/>
            <w:vAlign w:val="center"/>
          </w:tcPr>
          <w:p w14:paraId="5154E983">
            <w:pPr>
              <w:adjustRightInd w:val="0"/>
              <w:snapToGrid w:val="0"/>
              <w:jc w:val="left"/>
              <w:rPr>
                <w:rFonts w:hint="eastAsia" w:ascii="仿宋" w:hAnsi="仿宋" w:eastAsia="仿宋" w:cs="仿宋"/>
                <w:color w:val="000000"/>
                <w:sz w:val="24"/>
                <w:szCs w:val="24"/>
              </w:rPr>
            </w:pPr>
            <w:r>
              <w:rPr>
                <w:rFonts w:hint="eastAsia" w:ascii="仿宋" w:hAnsi="仿宋" w:eastAsia="仿宋" w:cs="仿宋"/>
                <w:color w:val="000000"/>
                <w:sz w:val="24"/>
                <w:szCs w:val="24"/>
              </w:rPr>
              <w:t>课程目标3</w:t>
            </w:r>
          </w:p>
        </w:tc>
        <w:tc>
          <w:tcPr>
            <w:tcW w:w="4574" w:type="dxa"/>
            <w:gridSpan w:val="5"/>
            <w:shd w:val="clear" w:color="auto" w:fill="FFFFFF"/>
            <w:noWrap w:val="0"/>
            <w:vAlign w:val="center"/>
          </w:tcPr>
          <w:p w14:paraId="24B3FC3E">
            <w:pPr>
              <w:adjustRightInd w:val="0"/>
              <w:snapToGrid w:val="0"/>
              <w:jc w:val="left"/>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8.2 【团队协作】理解学习共同体的作用，掌握团队协作的基本策略，在课程学习、教育实 践、艺术实践等活动中，具有良好的团队协作精神。 </w:t>
            </w:r>
          </w:p>
        </w:tc>
        <w:tc>
          <w:tcPr>
            <w:tcW w:w="2288" w:type="dxa"/>
            <w:gridSpan w:val="5"/>
            <w:shd w:val="clear" w:color="auto" w:fill="FFFFFF"/>
            <w:noWrap w:val="0"/>
            <w:vAlign w:val="center"/>
          </w:tcPr>
          <w:p w14:paraId="232B594A">
            <w:pPr>
              <w:adjustRightInd w:val="0"/>
              <w:snapToGrid w:val="0"/>
              <w:jc w:val="center"/>
              <w:rPr>
                <w:rFonts w:ascii="仿宋" w:hAnsi="仿宋" w:eastAsia="仿宋" w:cs="仿宋"/>
                <w:sz w:val="24"/>
                <w:szCs w:val="24"/>
              </w:rPr>
            </w:pPr>
            <w:r>
              <w:rPr>
                <w:rFonts w:hint="eastAsia" w:ascii="仿宋" w:hAnsi="仿宋" w:eastAsia="仿宋" w:cs="仿宋"/>
                <w:sz w:val="24"/>
                <w:szCs w:val="24"/>
              </w:rPr>
              <w:t>沟通合作</w:t>
            </w:r>
          </w:p>
          <w:p w14:paraId="376FD6F9">
            <w:pPr>
              <w:adjustRightInd w:val="0"/>
              <w:snapToGrid w:val="0"/>
              <w:jc w:val="center"/>
              <w:rPr>
                <w:rFonts w:ascii="仿宋" w:hAnsi="仿宋" w:eastAsia="仿宋" w:cs="仿宋"/>
                <w:sz w:val="24"/>
                <w:szCs w:val="24"/>
              </w:rPr>
            </w:pPr>
            <w:r>
              <w:rPr>
                <w:rFonts w:hint="eastAsia" w:ascii="仿宋" w:hAnsi="仿宋" w:eastAsia="仿宋" w:cs="仿宋"/>
                <w:sz w:val="24"/>
                <w:szCs w:val="24"/>
              </w:rPr>
              <w:t>（L）</w:t>
            </w:r>
          </w:p>
        </w:tc>
      </w:tr>
      <w:tr w14:paraId="520FBD4F">
        <w:trPr>
          <w:trHeight w:val="454" w:hRule="atLeast"/>
        </w:trPr>
        <w:tc>
          <w:tcPr>
            <w:tcW w:w="1143" w:type="dxa"/>
            <w:vMerge w:val="restart"/>
            <w:shd w:val="clear" w:color="auto" w:fill="FFFFFF"/>
            <w:noWrap w:val="0"/>
            <w:vAlign w:val="center"/>
          </w:tcPr>
          <w:p w14:paraId="749278E0">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G</w:t>
            </w:r>
          </w:p>
          <w:p w14:paraId="45FDC88E">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实验（实训）内容</w:t>
            </w:r>
          </w:p>
        </w:tc>
        <w:tc>
          <w:tcPr>
            <w:tcW w:w="5717" w:type="dxa"/>
            <w:gridSpan w:val="6"/>
            <w:shd w:val="clear" w:color="auto" w:fill="auto"/>
            <w:noWrap w:val="0"/>
            <w:vAlign w:val="center"/>
          </w:tcPr>
          <w:p w14:paraId="29200724">
            <w:pPr>
              <w:adjustRightInd w:val="0"/>
              <w:snapToGrid w:val="0"/>
              <w:jc w:val="left"/>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实训内容及训练要求</w:t>
            </w:r>
          </w:p>
        </w:tc>
        <w:tc>
          <w:tcPr>
            <w:tcW w:w="1134" w:type="dxa"/>
            <w:gridSpan w:val="3"/>
            <w:shd w:val="clear" w:color="auto" w:fill="auto"/>
            <w:noWrap w:val="0"/>
            <w:vAlign w:val="center"/>
          </w:tcPr>
          <w:p w14:paraId="641679D4">
            <w:pPr>
              <w:adjustRightInd w:val="0"/>
              <w:snapToGrid w:val="0"/>
              <w:spacing w:line="240" w:lineRule="atLeast"/>
              <w:jc w:val="center"/>
              <w:textAlignment w:val="baseline"/>
              <w:rPr>
                <w:rFonts w:ascii="仿宋" w:hAnsi="仿宋" w:eastAsia="仿宋" w:cs="仿宋"/>
                <w:kern w:val="0"/>
                <w:sz w:val="24"/>
                <w:szCs w:val="24"/>
              </w:rPr>
            </w:pPr>
            <w:r>
              <w:rPr>
                <w:rFonts w:hint="eastAsia" w:ascii="仿宋" w:hAnsi="仿宋" w:eastAsia="仿宋" w:cs="仿宋"/>
                <w:kern w:val="0"/>
                <w:sz w:val="24"/>
                <w:szCs w:val="24"/>
              </w:rPr>
              <w:t>支撑课程</w:t>
            </w:r>
          </w:p>
          <w:p w14:paraId="118FEDC0">
            <w:pPr>
              <w:adjustRightInd w:val="0"/>
              <w:snapToGrid w:val="0"/>
              <w:spacing w:line="240" w:lineRule="atLeast"/>
              <w:jc w:val="center"/>
              <w:textAlignment w:val="baseline"/>
              <w:rPr>
                <w:rFonts w:ascii="仿宋" w:hAnsi="仿宋" w:eastAsia="仿宋" w:cs="仿宋"/>
                <w:kern w:val="0"/>
                <w:sz w:val="24"/>
                <w:szCs w:val="24"/>
              </w:rPr>
            </w:pPr>
            <w:r>
              <w:rPr>
                <w:rFonts w:hint="eastAsia" w:ascii="仿宋" w:hAnsi="仿宋" w:eastAsia="仿宋" w:cs="仿宋"/>
                <w:kern w:val="0"/>
                <w:sz w:val="24"/>
                <w:szCs w:val="24"/>
              </w:rPr>
              <w:t>目标</w:t>
            </w:r>
          </w:p>
        </w:tc>
        <w:tc>
          <w:tcPr>
            <w:tcW w:w="1154" w:type="dxa"/>
            <w:gridSpan w:val="2"/>
            <w:shd w:val="clear" w:color="auto" w:fill="FFFFFF"/>
            <w:noWrap w:val="0"/>
            <w:vAlign w:val="center"/>
          </w:tcPr>
          <w:p w14:paraId="1D8F3260">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学时</w:t>
            </w:r>
          </w:p>
          <w:p w14:paraId="5B7F8C53">
            <w:pPr>
              <w:adjustRightInd w:val="0"/>
              <w:snapToGrid w:val="0"/>
              <w:jc w:val="center"/>
              <w:rPr>
                <w:rFonts w:ascii="仿宋" w:hAnsi="仿宋" w:eastAsia="仿宋" w:cs="仿宋"/>
                <w:sz w:val="24"/>
                <w:szCs w:val="24"/>
              </w:rPr>
            </w:pPr>
            <w:r>
              <w:rPr>
                <w:rFonts w:hint="eastAsia" w:ascii="仿宋" w:hAnsi="仿宋" w:eastAsia="仿宋" w:cs="仿宋"/>
                <w:kern w:val="0"/>
                <w:sz w:val="24"/>
                <w:szCs w:val="24"/>
              </w:rPr>
              <w:t>分配</w:t>
            </w:r>
          </w:p>
        </w:tc>
      </w:tr>
      <w:tr w14:paraId="6625A58A">
        <w:trPr>
          <w:trHeight w:val="454" w:hRule="atLeast"/>
        </w:trPr>
        <w:tc>
          <w:tcPr>
            <w:tcW w:w="1143" w:type="dxa"/>
            <w:vMerge w:val="continue"/>
            <w:shd w:val="clear" w:color="auto" w:fill="FFFFFF"/>
            <w:noWrap w:val="0"/>
            <w:vAlign w:val="center"/>
          </w:tcPr>
          <w:p w14:paraId="5E5C5293">
            <w:pPr>
              <w:adjustRightInd w:val="0"/>
              <w:snapToGrid w:val="0"/>
              <w:spacing w:line="240" w:lineRule="atLeast"/>
              <w:jc w:val="center"/>
              <w:rPr>
                <w:rFonts w:ascii="仿宋" w:hAnsi="仿宋" w:eastAsia="仿宋" w:cs="仿宋"/>
                <w:sz w:val="24"/>
                <w:szCs w:val="24"/>
              </w:rPr>
            </w:pPr>
          </w:p>
        </w:tc>
        <w:tc>
          <w:tcPr>
            <w:tcW w:w="5717" w:type="dxa"/>
            <w:gridSpan w:val="6"/>
            <w:shd w:val="clear" w:color="auto" w:fill="auto"/>
            <w:noWrap w:val="0"/>
            <w:vAlign w:val="center"/>
          </w:tcPr>
          <w:p w14:paraId="71C23B50">
            <w:pPr>
              <w:adjustRightInd w:val="0"/>
              <w:snapToGrid w:val="0"/>
              <w:jc w:val="left"/>
              <w:rPr>
                <w:rFonts w:hint="eastAsia" w:ascii="仿宋" w:hAnsi="仿宋" w:eastAsia="仿宋" w:cs="仿宋"/>
                <w:color w:val="000000"/>
                <w:sz w:val="24"/>
                <w:szCs w:val="24"/>
              </w:rPr>
            </w:pPr>
            <w:r>
              <w:rPr>
                <w:rFonts w:hint="eastAsia" w:ascii="仿宋" w:hAnsi="仿宋" w:eastAsia="仿宋" w:cs="仿宋"/>
                <w:color w:val="000000"/>
                <w:sz w:val="24"/>
                <w:szCs w:val="24"/>
              </w:rPr>
              <w:t>训练一：</w:t>
            </w:r>
            <w:r>
              <w:rPr>
                <w:rFonts w:hint="eastAsia" w:ascii="仿宋" w:hAnsi="仿宋" w:eastAsia="仿宋" w:cs="仿宋"/>
                <w:color w:val="000000"/>
                <w:sz w:val="24"/>
                <w:szCs w:val="24"/>
                <w:lang w:val="en-US" w:eastAsia="zh-CN"/>
              </w:rPr>
              <w:t>编造型的基础</w:t>
            </w:r>
            <w:r>
              <w:rPr>
                <w:rFonts w:hint="eastAsia" w:ascii="仿宋" w:hAnsi="仿宋" w:eastAsia="仿宋" w:cs="仿宋"/>
                <w:color w:val="000000"/>
                <w:sz w:val="24"/>
                <w:szCs w:val="24"/>
              </w:rPr>
              <w:t>训练</w:t>
            </w:r>
          </w:p>
          <w:p w14:paraId="3C620B9F">
            <w:pPr>
              <w:adjustRightInd w:val="0"/>
              <w:snapToGrid w:val="0"/>
              <w:jc w:val="left"/>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实训目的</w:t>
            </w: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对舞蹈造型的理解和掌握</w:t>
            </w:r>
          </w:p>
          <w:p w14:paraId="6F0DD9AF">
            <w:pPr>
              <w:adjustRightInd w:val="0"/>
              <w:snapToGrid w:val="0"/>
              <w:jc w:val="left"/>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实训任务：</w:t>
            </w:r>
          </w:p>
          <w:p w14:paraId="771C5647">
            <w:pPr>
              <w:adjustRightInd w:val="0"/>
              <w:snapToGrid w:val="0"/>
              <w:jc w:val="left"/>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val="en-US" w:eastAsia="zh-CN"/>
              </w:rPr>
              <w:t>1.知晓</w:t>
            </w:r>
            <w:r>
              <w:rPr>
                <w:rFonts w:hint="eastAsia" w:ascii="仿宋" w:hAnsi="仿宋" w:eastAsia="仿宋" w:cs="仿宋"/>
                <w:color w:val="000000"/>
                <w:sz w:val="24"/>
                <w:szCs w:val="24"/>
              </w:rPr>
              <w:t>编创造型注意事项</w:t>
            </w:r>
            <w:r>
              <w:rPr>
                <w:rFonts w:hint="eastAsia" w:ascii="仿宋" w:hAnsi="仿宋" w:eastAsia="仿宋" w:cs="仿宋"/>
                <w:color w:val="000000"/>
                <w:sz w:val="24"/>
                <w:szCs w:val="24"/>
                <w:lang w:eastAsia="zh-CN"/>
              </w:rPr>
              <w:t>。</w:t>
            </w:r>
          </w:p>
          <w:p w14:paraId="7390DAE0">
            <w:pPr>
              <w:adjustRightInd w:val="0"/>
              <w:snapToGrid w:val="0"/>
              <w:jc w:val="left"/>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val="en-US" w:eastAsia="zh-CN"/>
              </w:rPr>
              <w:t>2.学会</w:t>
            </w:r>
            <w:r>
              <w:rPr>
                <w:rFonts w:hint="eastAsia" w:ascii="仿宋" w:hAnsi="仿宋" w:eastAsia="仿宋" w:cs="仿宋"/>
                <w:color w:val="000000"/>
                <w:sz w:val="24"/>
                <w:szCs w:val="24"/>
              </w:rPr>
              <w:t>造型节奏的处理</w:t>
            </w:r>
            <w:r>
              <w:rPr>
                <w:rFonts w:hint="eastAsia" w:ascii="仿宋" w:hAnsi="仿宋" w:eastAsia="仿宋" w:cs="仿宋"/>
                <w:color w:val="000000"/>
                <w:sz w:val="24"/>
                <w:szCs w:val="24"/>
                <w:lang w:eastAsia="zh-CN"/>
              </w:rPr>
              <w:t>。</w:t>
            </w:r>
          </w:p>
          <w:p w14:paraId="1B0B1AEA">
            <w:pPr>
              <w:adjustRightInd w:val="0"/>
              <w:snapToGrid w:val="0"/>
              <w:jc w:val="left"/>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val="en-US" w:eastAsia="zh-CN"/>
              </w:rPr>
              <w:t>3.初步掌握</w:t>
            </w:r>
            <w:r>
              <w:rPr>
                <w:rFonts w:hint="eastAsia" w:ascii="仿宋" w:hAnsi="仿宋" w:eastAsia="仿宋" w:cs="仿宋"/>
                <w:color w:val="000000"/>
                <w:sz w:val="24"/>
                <w:szCs w:val="24"/>
              </w:rPr>
              <w:t>造型的发展及变化</w:t>
            </w:r>
            <w:r>
              <w:rPr>
                <w:rFonts w:hint="eastAsia" w:ascii="仿宋" w:hAnsi="仿宋" w:eastAsia="仿宋" w:cs="仿宋"/>
                <w:color w:val="000000"/>
                <w:sz w:val="24"/>
                <w:szCs w:val="24"/>
                <w:lang w:eastAsia="zh-CN"/>
              </w:rPr>
              <w:t>。</w:t>
            </w:r>
          </w:p>
          <w:p w14:paraId="6D0AC800">
            <w:pPr>
              <w:pStyle w:val="41"/>
              <w:numPr>
                <w:ilvl w:val="0"/>
                <w:numId w:val="35"/>
              </w:numPr>
              <w:ind w:left="0" w:leftChars="0" w:firstLine="0" w:firstLineChars="0"/>
              <w:rPr>
                <w:rFonts w:hint="default"/>
                <w:lang w:val="en-US" w:eastAsia="zh-CN"/>
              </w:rPr>
            </w:pPr>
            <w:r>
              <w:rPr>
                <w:rFonts w:hint="eastAsia" w:ascii="仿宋" w:hAnsi="仿宋" w:eastAsia="仿宋" w:cs="仿宋"/>
                <w:color w:val="FF0000"/>
                <w:sz w:val="24"/>
                <w:szCs w:val="24"/>
                <w:lang w:val="en-US" w:eastAsia="zh-CN"/>
              </w:rPr>
              <w:t>思政融入：开拓视野丰富知识，提高艺术审美。关注实时紧跟社会，创新思维用发展的眼光看问题，培养独立思考能力。</w:t>
            </w:r>
          </w:p>
        </w:tc>
        <w:tc>
          <w:tcPr>
            <w:tcW w:w="1134" w:type="dxa"/>
            <w:gridSpan w:val="3"/>
            <w:shd w:val="clear" w:color="auto" w:fill="auto"/>
            <w:noWrap w:val="0"/>
            <w:vAlign w:val="center"/>
          </w:tcPr>
          <w:p w14:paraId="7B00A084">
            <w:pPr>
              <w:adjustRightInd w:val="0"/>
              <w:snapToGrid w:val="0"/>
              <w:jc w:val="center"/>
              <w:rPr>
                <w:rFonts w:ascii="仿宋" w:hAnsi="仿宋" w:eastAsia="仿宋" w:cs="仿宋"/>
                <w:bCs/>
                <w:sz w:val="24"/>
                <w:szCs w:val="24"/>
              </w:rPr>
            </w:pPr>
            <w:r>
              <w:rPr>
                <w:rFonts w:hint="eastAsia" w:ascii="仿宋" w:hAnsi="仿宋" w:eastAsia="仿宋" w:cs="仿宋"/>
                <w:bCs/>
                <w:sz w:val="24"/>
                <w:szCs w:val="24"/>
              </w:rPr>
              <w:t>支撑课程目标1、2、3</w:t>
            </w:r>
          </w:p>
        </w:tc>
        <w:tc>
          <w:tcPr>
            <w:tcW w:w="1154" w:type="dxa"/>
            <w:gridSpan w:val="2"/>
            <w:shd w:val="clear" w:color="auto" w:fill="FFFFFF"/>
            <w:noWrap w:val="0"/>
            <w:vAlign w:val="center"/>
          </w:tcPr>
          <w:p w14:paraId="55735290">
            <w:pPr>
              <w:adjustRightInd w:val="0"/>
              <w:snapToGrid w:val="0"/>
              <w:jc w:val="center"/>
              <w:rPr>
                <w:rFonts w:ascii="仿宋" w:hAnsi="仿宋" w:eastAsia="仿宋" w:cs="仿宋"/>
                <w:sz w:val="24"/>
                <w:szCs w:val="24"/>
              </w:rPr>
            </w:pPr>
            <w:r>
              <w:rPr>
                <w:rFonts w:hint="eastAsia" w:ascii="仿宋" w:hAnsi="仿宋" w:eastAsia="仿宋" w:cs="仿宋"/>
                <w:sz w:val="24"/>
                <w:szCs w:val="24"/>
              </w:rPr>
              <w:t>8</w:t>
            </w:r>
          </w:p>
        </w:tc>
      </w:tr>
      <w:tr w14:paraId="66EA7D54">
        <w:trPr>
          <w:trHeight w:val="454" w:hRule="atLeast"/>
        </w:trPr>
        <w:tc>
          <w:tcPr>
            <w:tcW w:w="1143" w:type="dxa"/>
            <w:vMerge w:val="continue"/>
            <w:shd w:val="clear" w:color="auto" w:fill="FFFFFF"/>
            <w:noWrap w:val="0"/>
            <w:vAlign w:val="center"/>
          </w:tcPr>
          <w:p w14:paraId="3D8054A6">
            <w:pPr>
              <w:adjustRightInd w:val="0"/>
              <w:snapToGrid w:val="0"/>
              <w:spacing w:line="240" w:lineRule="atLeast"/>
              <w:jc w:val="center"/>
              <w:rPr>
                <w:rFonts w:ascii="仿宋" w:hAnsi="仿宋" w:eastAsia="仿宋" w:cs="仿宋"/>
                <w:sz w:val="24"/>
                <w:szCs w:val="24"/>
              </w:rPr>
            </w:pPr>
          </w:p>
        </w:tc>
        <w:tc>
          <w:tcPr>
            <w:tcW w:w="5717" w:type="dxa"/>
            <w:gridSpan w:val="6"/>
            <w:shd w:val="clear" w:color="auto" w:fill="auto"/>
            <w:noWrap w:val="0"/>
            <w:vAlign w:val="center"/>
          </w:tcPr>
          <w:p w14:paraId="7E11428C">
            <w:pPr>
              <w:adjustRightInd w:val="0"/>
              <w:snapToGrid w:val="0"/>
              <w:jc w:val="left"/>
              <w:rPr>
                <w:rFonts w:hint="eastAsia" w:ascii="仿宋" w:hAnsi="仿宋" w:eastAsia="仿宋" w:cs="仿宋"/>
                <w:color w:val="000000"/>
                <w:sz w:val="24"/>
                <w:szCs w:val="24"/>
              </w:rPr>
            </w:pPr>
            <w:r>
              <w:rPr>
                <w:rFonts w:hint="eastAsia" w:ascii="仿宋" w:hAnsi="仿宋" w:eastAsia="仿宋" w:cs="仿宋"/>
                <w:color w:val="000000"/>
                <w:sz w:val="24"/>
                <w:szCs w:val="24"/>
              </w:rPr>
              <w:t>训练二：</w:t>
            </w:r>
            <w:r>
              <w:rPr>
                <w:rFonts w:hint="eastAsia" w:ascii="仿宋" w:hAnsi="仿宋" w:eastAsia="仿宋" w:cs="仿宋"/>
                <w:color w:val="000000"/>
                <w:sz w:val="24"/>
                <w:szCs w:val="24"/>
                <w:lang w:val="en-US" w:eastAsia="zh-CN"/>
              </w:rPr>
              <w:t>舞蹈</w:t>
            </w:r>
            <w:r>
              <w:rPr>
                <w:rFonts w:hint="eastAsia" w:ascii="仿宋" w:hAnsi="仿宋" w:eastAsia="仿宋" w:cs="仿宋"/>
                <w:color w:val="000000"/>
                <w:sz w:val="24"/>
                <w:szCs w:val="24"/>
              </w:rPr>
              <w:t>结构</w:t>
            </w:r>
            <w:r>
              <w:rPr>
                <w:rFonts w:hint="eastAsia" w:ascii="仿宋" w:hAnsi="仿宋" w:eastAsia="仿宋" w:cs="仿宋"/>
                <w:color w:val="000000"/>
                <w:sz w:val="24"/>
                <w:szCs w:val="24"/>
                <w:lang w:val="en-US" w:eastAsia="zh-CN"/>
              </w:rPr>
              <w:t>基础</w:t>
            </w:r>
            <w:r>
              <w:rPr>
                <w:rFonts w:hint="eastAsia" w:ascii="仿宋" w:hAnsi="仿宋" w:eastAsia="仿宋" w:cs="仿宋"/>
                <w:color w:val="000000"/>
                <w:sz w:val="24"/>
                <w:szCs w:val="24"/>
              </w:rPr>
              <w:t>训练</w:t>
            </w:r>
          </w:p>
          <w:p w14:paraId="6DBE5BFE">
            <w:pPr>
              <w:adjustRightInd w:val="0"/>
              <w:snapToGrid w:val="0"/>
              <w:jc w:val="left"/>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实训目的</w:t>
            </w: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对舞段的</w:t>
            </w:r>
            <w:r>
              <w:rPr>
                <w:rFonts w:hint="eastAsia" w:ascii="仿宋" w:hAnsi="仿宋" w:eastAsia="仿宋" w:cs="仿宋"/>
                <w:color w:val="000000"/>
                <w:sz w:val="24"/>
                <w:szCs w:val="24"/>
              </w:rPr>
              <w:t>A-B-A</w:t>
            </w:r>
            <w:r>
              <w:rPr>
                <w:rFonts w:hint="eastAsia" w:ascii="仿宋" w:hAnsi="仿宋" w:eastAsia="仿宋" w:cs="仿宋"/>
                <w:color w:val="000000"/>
                <w:sz w:val="24"/>
                <w:szCs w:val="24"/>
                <w:lang w:val="en-US" w:eastAsia="zh-CN"/>
              </w:rPr>
              <w:t>理解和掌握</w:t>
            </w:r>
          </w:p>
          <w:p w14:paraId="31E17A5A">
            <w:pPr>
              <w:adjustRightInd w:val="0"/>
              <w:snapToGrid w:val="0"/>
              <w:jc w:val="left"/>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实训任务</w:t>
            </w:r>
            <w:r>
              <w:rPr>
                <w:rFonts w:hint="eastAsia" w:ascii="仿宋" w:hAnsi="仿宋" w:eastAsia="仿宋" w:cs="仿宋"/>
                <w:color w:val="000000"/>
                <w:sz w:val="24"/>
                <w:szCs w:val="24"/>
              </w:rPr>
              <w:t>：</w:t>
            </w:r>
          </w:p>
          <w:p w14:paraId="31740675">
            <w:pPr>
              <w:adjustRightInd w:val="0"/>
              <w:snapToGrid w:val="0"/>
              <w:jc w:val="left"/>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val="en-US" w:eastAsia="zh-CN"/>
              </w:rPr>
              <w:t>1.知晓</w:t>
            </w:r>
            <w:r>
              <w:rPr>
                <w:rFonts w:hint="eastAsia" w:ascii="仿宋" w:hAnsi="仿宋" w:eastAsia="仿宋" w:cs="仿宋"/>
                <w:color w:val="000000"/>
                <w:sz w:val="24"/>
                <w:szCs w:val="24"/>
              </w:rPr>
              <w:t>舞蹈中的结构段落</w:t>
            </w:r>
            <w:r>
              <w:rPr>
                <w:rFonts w:hint="eastAsia" w:ascii="仿宋" w:hAnsi="仿宋" w:eastAsia="仿宋" w:cs="仿宋"/>
                <w:color w:val="000000"/>
                <w:sz w:val="24"/>
                <w:szCs w:val="24"/>
                <w:lang w:eastAsia="zh-CN"/>
              </w:rPr>
              <w:t>。</w:t>
            </w:r>
          </w:p>
          <w:p w14:paraId="27D0A865">
            <w:pPr>
              <w:adjustRightInd w:val="0"/>
              <w:snapToGrid w:val="0"/>
              <w:jc w:val="left"/>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2.学会</w:t>
            </w:r>
            <w:r>
              <w:rPr>
                <w:rFonts w:hint="eastAsia" w:ascii="仿宋" w:hAnsi="仿宋" w:eastAsia="仿宋" w:cs="仿宋"/>
                <w:color w:val="000000"/>
                <w:sz w:val="24"/>
                <w:szCs w:val="24"/>
              </w:rPr>
              <w:t>结构</w:t>
            </w:r>
            <w:r>
              <w:rPr>
                <w:rFonts w:hint="eastAsia" w:ascii="仿宋" w:hAnsi="仿宋" w:eastAsia="仿宋" w:cs="仿宋"/>
                <w:color w:val="000000"/>
                <w:sz w:val="24"/>
                <w:szCs w:val="24"/>
                <w:lang w:val="en-US" w:eastAsia="zh-CN"/>
              </w:rPr>
              <w:t>段落的区分。</w:t>
            </w:r>
          </w:p>
          <w:p w14:paraId="5746E890">
            <w:pPr>
              <w:adjustRightInd w:val="0"/>
              <w:snapToGrid w:val="0"/>
              <w:jc w:val="left"/>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val="en-US" w:eastAsia="zh-CN"/>
              </w:rPr>
              <w:t>3.</w:t>
            </w:r>
            <w:r>
              <w:rPr>
                <w:rFonts w:hint="eastAsia" w:ascii="仿宋" w:hAnsi="仿宋" w:eastAsia="仿宋" w:cs="仿宋"/>
                <w:color w:val="000000"/>
                <w:sz w:val="24"/>
                <w:szCs w:val="24"/>
              </w:rPr>
              <w:t>运用在小舞段中层次的变化</w:t>
            </w:r>
            <w:r>
              <w:rPr>
                <w:rFonts w:hint="eastAsia" w:ascii="仿宋" w:hAnsi="仿宋" w:eastAsia="仿宋" w:cs="仿宋"/>
                <w:color w:val="000000"/>
                <w:sz w:val="24"/>
                <w:szCs w:val="24"/>
                <w:lang w:eastAsia="zh-CN"/>
              </w:rPr>
              <w:t>。</w:t>
            </w:r>
          </w:p>
          <w:p w14:paraId="21D5D47F">
            <w:pPr>
              <w:pStyle w:val="41"/>
              <w:ind w:left="0" w:leftChars="0" w:firstLine="0" w:firstLineChars="0"/>
              <w:rPr>
                <w:rFonts w:hint="eastAsia"/>
              </w:rPr>
            </w:pPr>
            <w:r>
              <w:rPr>
                <w:rFonts w:hint="eastAsia" w:ascii="仿宋" w:hAnsi="仿宋" w:eastAsia="仿宋" w:cs="仿宋"/>
                <w:color w:val="FF0000"/>
                <w:sz w:val="24"/>
                <w:szCs w:val="24"/>
                <w:lang w:val="en-US" w:eastAsia="zh-CN"/>
              </w:rPr>
              <w:t>思政融入：培养吃苦耐劳独立思考能力，学会统筹思维合理分配。创新思维用发展的眼光看问题。</w:t>
            </w:r>
          </w:p>
        </w:tc>
        <w:tc>
          <w:tcPr>
            <w:tcW w:w="1134" w:type="dxa"/>
            <w:gridSpan w:val="3"/>
            <w:shd w:val="clear" w:color="auto" w:fill="auto"/>
            <w:noWrap w:val="0"/>
            <w:vAlign w:val="center"/>
          </w:tcPr>
          <w:p w14:paraId="1F0C4B9A">
            <w:pPr>
              <w:adjustRightInd w:val="0"/>
              <w:snapToGrid w:val="0"/>
              <w:jc w:val="center"/>
              <w:rPr>
                <w:rFonts w:ascii="仿宋" w:hAnsi="仿宋" w:eastAsia="仿宋" w:cs="仿宋"/>
                <w:bCs/>
                <w:sz w:val="24"/>
                <w:szCs w:val="24"/>
              </w:rPr>
            </w:pPr>
            <w:r>
              <w:rPr>
                <w:rFonts w:hint="eastAsia" w:ascii="仿宋" w:hAnsi="仿宋" w:eastAsia="仿宋" w:cs="仿宋"/>
                <w:bCs/>
                <w:sz w:val="24"/>
                <w:szCs w:val="24"/>
              </w:rPr>
              <w:t>支撑课程目标1、2、3</w:t>
            </w:r>
          </w:p>
        </w:tc>
        <w:tc>
          <w:tcPr>
            <w:tcW w:w="1154" w:type="dxa"/>
            <w:gridSpan w:val="2"/>
            <w:shd w:val="clear" w:color="auto" w:fill="FFFFFF"/>
            <w:noWrap w:val="0"/>
            <w:vAlign w:val="center"/>
          </w:tcPr>
          <w:p w14:paraId="4F2F82FA">
            <w:pPr>
              <w:adjustRightInd w:val="0"/>
              <w:snapToGrid w:val="0"/>
              <w:jc w:val="center"/>
              <w:rPr>
                <w:rFonts w:ascii="仿宋" w:hAnsi="仿宋" w:eastAsia="仿宋" w:cs="仿宋"/>
                <w:sz w:val="24"/>
                <w:szCs w:val="24"/>
              </w:rPr>
            </w:pPr>
            <w:r>
              <w:rPr>
                <w:rFonts w:hint="eastAsia" w:ascii="仿宋" w:hAnsi="仿宋" w:eastAsia="仿宋" w:cs="仿宋"/>
                <w:sz w:val="24"/>
                <w:szCs w:val="24"/>
              </w:rPr>
              <w:t>8</w:t>
            </w:r>
          </w:p>
        </w:tc>
      </w:tr>
      <w:tr w14:paraId="4A85DF95">
        <w:trPr>
          <w:trHeight w:val="454" w:hRule="atLeast"/>
        </w:trPr>
        <w:tc>
          <w:tcPr>
            <w:tcW w:w="1143" w:type="dxa"/>
            <w:vMerge w:val="continue"/>
            <w:shd w:val="clear" w:color="auto" w:fill="FFFFFF"/>
            <w:noWrap w:val="0"/>
            <w:vAlign w:val="center"/>
          </w:tcPr>
          <w:p w14:paraId="75EC2C2B">
            <w:pPr>
              <w:adjustRightInd w:val="0"/>
              <w:snapToGrid w:val="0"/>
              <w:spacing w:line="240" w:lineRule="atLeast"/>
              <w:jc w:val="center"/>
              <w:rPr>
                <w:rFonts w:ascii="仿宋" w:hAnsi="仿宋" w:eastAsia="仿宋" w:cs="仿宋"/>
                <w:sz w:val="24"/>
                <w:szCs w:val="24"/>
              </w:rPr>
            </w:pPr>
          </w:p>
        </w:tc>
        <w:tc>
          <w:tcPr>
            <w:tcW w:w="5717" w:type="dxa"/>
            <w:gridSpan w:val="6"/>
            <w:shd w:val="clear" w:color="auto" w:fill="auto"/>
            <w:noWrap w:val="0"/>
            <w:vAlign w:val="center"/>
          </w:tcPr>
          <w:p w14:paraId="0582E7C7">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训练三：</w:t>
            </w:r>
            <w:r>
              <w:rPr>
                <w:rFonts w:ascii="仿宋" w:hAnsi="仿宋" w:eastAsia="仿宋" w:cs="仿宋"/>
                <w:bCs/>
                <w:sz w:val="24"/>
                <w:szCs w:val="24"/>
              </w:rPr>
              <w:t xml:space="preserve"> </w:t>
            </w:r>
            <w:r>
              <w:rPr>
                <w:rFonts w:hint="eastAsia" w:ascii="仿宋" w:hAnsi="仿宋" w:eastAsia="仿宋" w:cs="仿宋"/>
                <w:bCs/>
                <w:sz w:val="24"/>
                <w:szCs w:val="24"/>
              </w:rPr>
              <w:t>空间，调度的运用</w:t>
            </w:r>
          </w:p>
          <w:p w14:paraId="0363C131">
            <w:pPr>
              <w:adjustRightInd w:val="0"/>
              <w:snapToGrid w:val="0"/>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实训目的</w:t>
            </w:r>
            <w:r>
              <w:rPr>
                <w:rFonts w:hint="eastAsia" w:ascii="仿宋" w:hAnsi="仿宋" w:eastAsia="仿宋" w:cs="仿宋"/>
                <w:kern w:val="0"/>
                <w:sz w:val="24"/>
                <w:szCs w:val="24"/>
              </w:rPr>
              <w:t>：</w:t>
            </w:r>
            <w:r>
              <w:rPr>
                <w:rFonts w:hint="eastAsia" w:ascii="仿宋" w:hAnsi="仿宋" w:eastAsia="仿宋" w:cs="仿宋"/>
                <w:kern w:val="0"/>
                <w:sz w:val="24"/>
                <w:szCs w:val="24"/>
                <w:lang w:val="en-US" w:eastAsia="zh-CN"/>
              </w:rPr>
              <w:t>对舞蹈空间调度的理解和掌握。</w:t>
            </w:r>
          </w:p>
          <w:p w14:paraId="167699E8">
            <w:pPr>
              <w:adjustRightInd w:val="0"/>
              <w:snapToGrid w:val="0"/>
              <w:rPr>
                <w:rFonts w:hint="eastAsia" w:ascii="仿宋" w:hAnsi="仿宋" w:eastAsia="仿宋" w:cs="仿宋"/>
                <w:bCs/>
                <w:sz w:val="24"/>
                <w:szCs w:val="24"/>
              </w:rPr>
            </w:pPr>
            <w:r>
              <w:rPr>
                <w:rFonts w:hint="eastAsia" w:ascii="仿宋" w:hAnsi="仿宋" w:eastAsia="仿宋" w:cs="仿宋"/>
                <w:kern w:val="0"/>
                <w:sz w:val="24"/>
                <w:szCs w:val="24"/>
                <w:lang w:val="en-US" w:eastAsia="zh-CN"/>
              </w:rPr>
              <w:t>实训任务：</w:t>
            </w:r>
          </w:p>
          <w:p w14:paraId="5FA2DB4E">
            <w:pPr>
              <w:adjustRightInd w:val="0"/>
              <w:snapToGrid w:val="0"/>
              <w:rPr>
                <w:rFonts w:hint="eastAsia" w:ascii="仿宋" w:hAnsi="仿宋" w:eastAsia="仿宋" w:cs="仿宋"/>
                <w:bCs/>
                <w:sz w:val="24"/>
                <w:szCs w:val="24"/>
                <w:lang w:eastAsia="zh-CN"/>
              </w:rPr>
            </w:pPr>
            <w:r>
              <w:rPr>
                <w:rFonts w:hint="eastAsia" w:ascii="仿宋" w:hAnsi="仿宋" w:eastAsia="仿宋" w:cs="仿宋"/>
                <w:bCs/>
                <w:sz w:val="24"/>
                <w:szCs w:val="24"/>
                <w:lang w:val="en-US" w:eastAsia="zh-CN"/>
              </w:rPr>
              <w:t>1.知晓</w:t>
            </w:r>
            <w:r>
              <w:rPr>
                <w:rFonts w:hint="eastAsia" w:ascii="仿宋" w:hAnsi="仿宋" w:eastAsia="仿宋" w:cs="仿宋"/>
                <w:bCs/>
                <w:sz w:val="24"/>
                <w:szCs w:val="24"/>
              </w:rPr>
              <w:t>肢体运动空间的路线轨迹</w:t>
            </w:r>
            <w:r>
              <w:rPr>
                <w:rFonts w:hint="eastAsia" w:ascii="仿宋" w:hAnsi="仿宋" w:eastAsia="仿宋" w:cs="仿宋"/>
                <w:bCs/>
                <w:sz w:val="24"/>
                <w:szCs w:val="24"/>
                <w:lang w:eastAsia="zh-CN"/>
              </w:rPr>
              <w:t>。</w:t>
            </w:r>
          </w:p>
          <w:p w14:paraId="539F555A">
            <w:pPr>
              <w:adjustRightInd w:val="0"/>
              <w:snapToGrid w:val="0"/>
              <w:rPr>
                <w:rFonts w:hint="eastAsia" w:ascii="仿宋" w:hAnsi="仿宋" w:eastAsia="仿宋" w:cs="仿宋"/>
                <w:bCs/>
                <w:color w:val="366091"/>
                <w:sz w:val="24"/>
                <w:szCs w:val="24"/>
                <w:lang w:eastAsia="zh-CN"/>
              </w:rPr>
            </w:pPr>
            <w:r>
              <w:rPr>
                <w:rFonts w:hint="eastAsia" w:ascii="仿宋" w:hAnsi="仿宋" w:eastAsia="仿宋" w:cs="仿宋"/>
                <w:bCs/>
                <w:sz w:val="24"/>
                <w:szCs w:val="24"/>
                <w:lang w:val="en-US" w:eastAsia="zh-CN"/>
              </w:rPr>
              <w:t>2.学会理解舞蹈的</w:t>
            </w:r>
            <w:r>
              <w:rPr>
                <w:rFonts w:hint="eastAsia" w:ascii="仿宋" w:hAnsi="仿宋" w:eastAsia="仿宋" w:cs="仿宋"/>
                <w:bCs/>
                <w:sz w:val="24"/>
                <w:szCs w:val="24"/>
              </w:rPr>
              <w:t>时、空、力</w:t>
            </w:r>
            <w:r>
              <w:rPr>
                <w:rFonts w:hint="eastAsia" w:ascii="仿宋" w:hAnsi="仿宋" w:eastAsia="仿宋" w:cs="仿宋"/>
                <w:bCs/>
                <w:color w:val="366091"/>
                <w:sz w:val="24"/>
                <w:szCs w:val="24"/>
                <w:lang w:eastAsia="zh-CN"/>
              </w:rPr>
              <w:t>。</w:t>
            </w:r>
          </w:p>
          <w:p w14:paraId="39B97F36">
            <w:pPr>
              <w:adjustRightInd w:val="0"/>
              <w:snapToGrid w:val="0"/>
              <w:rPr>
                <w:rFonts w:hint="eastAsia" w:ascii="仿宋" w:hAnsi="仿宋" w:eastAsia="仿宋" w:cs="仿宋"/>
                <w:bCs/>
                <w:sz w:val="24"/>
                <w:szCs w:val="24"/>
                <w:lang w:eastAsia="zh-CN"/>
              </w:rPr>
            </w:pPr>
            <w:r>
              <w:rPr>
                <w:rFonts w:hint="eastAsia" w:ascii="仿宋" w:hAnsi="仿宋" w:eastAsia="仿宋" w:cs="仿宋"/>
                <w:bCs/>
                <w:sz w:val="24"/>
                <w:szCs w:val="24"/>
                <w:lang w:val="en-US" w:eastAsia="zh-CN"/>
              </w:rPr>
              <w:t>3.基本掌握</w:t>
            </w:r>
            <w:r>
              <w:rPr>
                <w:rFonts w:hint="eastAsia" w:ascii="仿宋" w:hAnsi="仿宋" w:eastAsia="仿宋" w:cs="仿宋"/>
                <w:bCs/>
                <w:sz w:val="24"/>
                <w:szCs w:val="24"/>
              </w:rPr>
              <w:t>运用在小舞段中层次的变化</w:t>
            </w:r>
            <w:r>
              <w:rPr>
                <w:rFonts w:hint="eastAsia" w:ascii="仿宋" w:hAnsi="仿宋" w:eastAsia="仿宋" w:cs="仿宋"/>
                <w:bCs/>
                <w:sz w:val="24"/>
                <w:szCs w:val="24"/>
                <w:lang w:eastAsia="zh-CN"/>
              </w:rPr>
              <w:t>。</w:t>
            </w:r>
          </w:p>
          <w:p w14:paraId="60313E3A">
            <w:pPr>
              <w:pStyle w:val="41"/>
              <w:ind w:left="0" w:leftChars="0" w:firstLine="0" w:firstLineChars="0"/>
              <w:rPr>
                <w:rFonts w:hint="default"/>
                <w:lang w:val="en-US" w:eastAsia="zh-CN"/>
              </w:rPr>
            </w:pPr>
            <w:r>
              <w:rPr>
                <w:rFonts w:hint="eastAsia" w:ascii="仿宋" w:hAnsi="仿宋" w:eastAsia="仿宋" w:cs="仿宋"/>
                <w:color w:val="FF0000"/>
                <w:sz w:val="24"/>
                <w:szCs w:val="24"/>
                <w:lang w:val="en-US" w:eastAsia="zh-CN"/>
              </w:rPr>
              <w:t>思政融入：学会独立思考，创新思维，培养吃苦耐劳的精神，树立正确的人生观价值观。</w:t>
            </w:r>
          </w:p>
        </w:tc>
        <w:tc>
          <w:tcPr>
            <w:tcW w:w="1134" w:type="dxa"/>
            <w:gridSpan w:val="3"/>
            <w:shd w:val="clear" w:color="auto" w:fill="auto"/>
            <w:noWrap w:val="0"/>
            <w:vAlign w:val="center"/>
          </w:tcPr>
          <w:p w14:paraId="69AEED1C">
            <w:pPr>
              <w:adjustRightInd w:val="0"/>
              <w:snapToGrid w:val="0"/>
              <w:jc w:val="center"/>
              <w:rPr>
                <w:rFonts w:ascii="仿宋" w:hAnsi="仿宋" w:eastAsia="仿宋" w:cs="仿宋"/>
                <w:bCs/>
                <w:sz w:val="24"/>
                <w:szCs w:val="24"/>
              </w:rPr>
            </w:pPr>
            <w:r>
              <w:rPr>
                <w:rFonts w:hint="eastAsia" w:ascii="仿宋" w:hAnsi="仿宋" w:eastAsia="仿宋" w:cs="仿宋"/>
                <w:bCs/>
                <w:sz w:val="24"/>
                <w:szCs w:val="24"/>
              </w:rPr>
              <w:t>支撑课程目标1、2、3</w:t>
            </w:r>
          </w:p>
        </w:tc>
        <w:tc>
          <w:tcPr>
            <w:tcW w:w="1154" w:type="dxa"/>
            <w:gridSpan w:val="2"/>
            <w:shd w:val="clear" w:color="auto" w:fill="FFFFFF"/>
            <w:noWrap w:val="0"/>
            <w:vAlign w:val="center"/>
          </w:tcPr>
          <w:p w14:paraId="491BDCA2">
            <w:pPr>
              <w:adjustRightInd w:val="0"/>
              <w:snapToGrid w:val="0"/>
              <w:ind w:firstLine="480" w:firstLineChars="200"/>
              <w:rPr>
                <w:rFonts w:ascii="仿宋" w:hAnsi="仿宋" w:eastAsia="仿宋" w:cs="仿宋"/>
                <w:bCs/>
                <w:sz w:val="24"/>
                <w:szCs w:val="24"/>
              </w:rPr>
            </w:pPr>
            <w:r>
              <w:rPr>
                <w:rFonts w:hint="eastAsia" w:ascii="仿宋" w:hAnsi="仿宋" w:eastAsia="仿宋" w:cs="仿宋"/>
                <w:bCs/>
                <w:sz w:val="24"/>
                <w:szCs w:val="24"/>
              </w:rPr>
              <w:t>8</w:t>
            </w:r>
          </w:p>
        </w:tc>
      </w:tr>
      <w:tr w14:paraId="2D4A217A">
        <w:trPr>
          <w:trHeight w:val="454" w:hRule="atLeast"/>
        </w:trPr>
        <w:tc>
          <w:tcPr>
            <w:tcW w:w="1143" w:type="dxa"/>
            <w:vMerge w:val="continue"/>
            <w:shd w:val="clear" w:color="auto" w:fill="FFFFFF"/>
            <w:noWrap w:val="0"/>
            <w:vAlign w:val="center"/>
          </w:tcPr>
          <w:p w14:paraId="0F808D6B">
            <w:pPr>
              <w:adjustRightInd w:val="0"/>
              <w:snapToGrid w:val="0"/>
              <w:spacing w:line="240" w:lineRule="atLeast"/>
              <w:jc w:val="center"/>
              <w:rPr>
                <w:rFonts w:ascii="仿宋" w:hAnsi="仿宋" w:eastAsia="仿宋" w:cs="仿宋"/>
                <w:sz w:val="24"/>
                <w:szCs w:val="24"/>
              </w:rPr>
            </w:pPr>
          </w:p>
        </w:tc>
        <w:tc>
          <w:tcPr>
            <w:tcW w:w="5717" w:type="dxa"/>
            <w:gridSpan w:val="6"/>
            <w:shd w:val="clear" w:color="auto" w:fill="auto"/>
            <w:noWrap w:val="0"/>
            <w:vAlign w:val="center"/>
          </w:tcPr>
          <w:p w14:paraId="59BD2BC4">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训练四：</w:t>
            </w:r>
            <w:r>
              <w:rPr>
                <w:rFonts w:hint="eastAsia" w:ascii="仿宋" w:hAnsi="仿宋" w:eastAsia="仿宋" w:cs="仿宋"/>
                <w:bCs/>
                <w:sz w:val="24"/>
                <w:szCs w:val="24"/>
                <w:lang w:val="en-US" w:eastAsia="zh-CN"/>
              </w:rPr>
              <w:t>表演</w:t>
            </w:r>
            <w:r>
              <w:rPr>
                <w:rFonts w:hint="eastAsia" w:ascii="仿宋" w:hAnsi="仿宋" w:eastAsia="仿宋" w:cs="仿宋"/>
                <w:bCs/>
                <w:sz w:val="24"/>
                <w:szCs w:val="24"/>
              </w:rPr>
              <w:t>即兴训练</w:t>
            </w:r>
          </w:p>
          <w:p w14:paraId="54F762F5">
            <w:pPr>
              <w:adjustRightInd w:val="0"/>
              <w:snapToGrid w:val="0"/>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实训目的</w:t>
            </w:r>
            <w:r>
              <w:rPr>
                <w:rFonts w:hint="eastAsia" w:ascii="仿宋" w:hAnsi="仿宋" w:eastAsia="仿宋" w:cs="仿宋"/>
                <w:kern w:val="0"/>
                <w:sz w:val="24"/>
                <w:szCs w:val="24"/>
              </w:rPr>
              <w:t>：</w:t>
            </w:r>
            <w:r>
              <w:rPr>
                <w:rFonts w:hint="eastAsia" w:ascii="仿宋" w:hAnsi="仿宋" w:eastAsia="仿宋" w:cs="仿宋"/>
                <w:kern w:val="0"/>
                <w:sz w:val="24"/>
                <w:szCs w:val="24"/>
                <w:lang w:val="en-US" w:eastAsia="zh-CN"/>
              </w:rPr>
              <w:t>增强舞蹈肢体表现力</w:t>
            </w:r>
          </w:p>
          <w:p w14:paraId="0ED26AA2">
            <w:pPr>
              <w:adjustRightInd w:val="0"/>
              <w:snapToGrid w:val="0"/>
              <w:rPr>
                <w:rFonts w:ascii="仿宋" w:hAnsi="仿宋" w:eastAsia="仿宋" w:cs="仿宋"/>
                <w:bCs/>
                <w:sz w:val="24"/>
                <w:szCs w:val="24"/>
              </w:rPr>
            </w:pPr>
            <w:r>
              <w:rPr>
                <w:rFonts w:hint="eastAsia" w:ascii="仿宋" w:hAnsi="仿宋" w:eastAsia="仿宋" w:cs="仿宋"/>
                <w:kern w:val="0"/>
                <w:sz w:val="24"/>
                <w:szCs w:val="24"/>
                <w:lang w:val="en-US" w:eastAsia="zh-CN"/>
              </w:rPr>
              <w:t>实训任务</w:t>
            </w:r>
            <w:r>
              <w:rPr>
                <w:rFonts w:hint="eastAsia" w:ascii="仿宋" w:hAnsi="仿宋" w:eastAsia="仿宋" w:cs="仿宋"/>
                <w:kern w:val="0"/>
                <w:sz w:val="24"/>
                <w:szCs w:val="24"/>
              </w:rPr>
              <w:t>：</w:t>
            </w:r>
          </w:p>
          <w:p w14:paraId="45DB9CBA">
            <w:pPr>
              <w:numPr>
                <w:ilvl w:val="0"/>
                <w:numId w:val="36"/>
              </w:numPr>
              <w:tabs>
                <w:tab w:val="left" w:pos="312"/>
              </w:tabs>
              <w:adjustRightInd w:val="0"/>
              <w:snapToGrid w:val="0"/>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知晓编舞中节奏的处理。</w:t>
            </w:r>
          </w:p>
          <w:p w14:paraId="576CA8E2">
            <w:pPr>
              <w:numPr>
                <w:ilvl w:val="0"/>
                <w:numId w:val="36"/>
              </w:numPr>
              <w:tabs>
                <w:tab w:val="left" w:pos="312"/>
              </w:tabs>
              <w:adjustRightInd w:val="0"/>
              <w:snapToGrid w:val="0"/>
              <w:rPr>
                <w:rFonts w:hint="default" w:ascii="仿宋" w:hAnsi="仿宋" w:eastAsia="仿宋" w:cs="仿宋"/>
                <w:bCs/>
                <w:sz w:val="24"/>
                <w:szCs w:val="24"/>
                <w:lang w:val="en-US" w:eastAsia="zh-CN"/>
              </w:rPr>
            </w:pPr>
            <w:r>
              <w:rPr>
                <w:rFonts w:hint="eastAsia" w:ascii="仿宋" w:hAnsi="仿宋" w:eastAsia="仿宋" w:cs="仿宋"/>
                <w:bCs/>
                <w:sz w:val="24"/>
                <w:szCs w:val="24"/>
                <w:lang w:val="en-US" w:eastAsia="zh-CN"/>
              </w:rPr>
              <w:t>初步学会在即兴训练中编舞。</w:t>
            </w:r>
          </w:p>
          <w:p w14:paraId="6A4CFA2F">
            <w:pPr>
              <w:numPr>
                <w:ilvl w:val="0"/>
                <w:numId w:val="36"/>
              </w:numPr>
              <w:tabs>
                <w:tab w:val="left" w:pos="312"/>
              </w:tabs>
              <w:adjustRightInd w:val="0"/>
              <w:snapToGrid w:val="0"/>
              <w:ind w:left="0" w:leftChars="0" w:firstLine="0" w:firstLineChars="0"/>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初步掌握节奏、情绪运用舞蹈</w:t>
            </w:r>
            <w:r>
              <w:rPr>
                <w:rFonts w:hint="eastAsia" w:ascii="仿宋" w:hAnsi="仿宋" w:eastAsia="仿宋" w:cs="仿宋"/>
                <w:bCs/>
                <w:sz w:val="24"/>
                <w:szCs w:val="24"/>
              </w:rPr>
              <w:t>创作</w:t>
            </w:r>
            <w:r>
              <w:rPr>
                <w:rFonts w:hint="eastAsia" w:ascii="仿宋" w:hAnsi="仿宋" w:eastAsia="仿宋" w:cs="仿宋"/>
                <w:bCs/>
                <w:sz w:val="24"/>
                <w:szCs w:val="24"/>
                <w:lang w:val="en-US" w:eastAsia="zh-CN"/>
              </w:rPr>
              <w:t>中。</w:t>
            </w:r>
          </w:p>
          <w:p w14:paraId="2E4F424A">
            <w:pPr>
              <w:pStyle w:val="41"/>
              <w:numPr>
                <w:ilvl w:val="0"/>
                <w:numId w:val="0"/>
              </w:numPr>
              <w:ind w:leftChars="0"/>
              <w:rPr>
                <w:rFonts w:hint="eastAsia"/>
                <w:lang w:val="en-US" w:eastAsia="zh-CN"/>
              </w:rPr>
            </w:pPr>
            <w:r>
              <w:rPr>
                <w:rFonts w:hint="eastAsia" w:ascii="仿宋" w:hAnsi="仿宋" w:eastAsia="仿宋" w:cs="仿宋"/>
                <w:color w:val="FF0000"/>
                <w:sz w:val="24"/>
                <w:szCs w:val="24"/>
                <w:lang w:val="en-US" w:eastAsia="zh-CN"/>
              </w:rPr>
              <w:t>思政融入：关注社会实事，学会独立思考，用发展的眼光看问题，培养独立思考能力。树立正确的人生观价值观。</w:t>
            </w:r>
          </w:p>
        </w:tc>
        <w:tc>
          <w:tcPr>
            <w:tcW w:w="1134" w:type="dxa"/>
            <w:gridSpan w:val="3"/>
            <w:shd w:val="clear" w:color="auto" w:fill="auto"/>
            <w:noWrap w:val="0"/>
            <w:vAlign w:val="center"/>
          </w:tcPr>
          <w:p w14:paraId="76BAE962">
            <w:pPr>
              <w:adjustRightInd w:val="0"/>
              <w:snapToGrid w:val="0"/>
              <w:jc w:val="center"/>
              <w:rPr>
                <w:rFonts w:ascii="仿宋" w:hAnsi="仿宋" w:eastAsia="仿宋" w:cs="仿宋"/>
                <w:bCs/>
                <w:sz w:val="24"/>
                <w:szCs w:val="24"/>
              </w:rPr>
            </w:pPr>
            <w:r>
              <w:rPr>
                <w:rFonts w:hint="eastAsia" w:ascii="仿宋" w:hAnsi="仿宋" w:eastAsia="仿宋" w:cs="仿宋"/>
                <w:bCs/>
                <w:sz w:val="24"/>
                <w:szCs w:val="24"/>
              </w:rPr>
              <w:t>支撑课程目标1、2、3</w:t>
            </w:r>
          </w:p>
        </w:tc>
        <w:tc>
          <w:tcPr>
            <w:tcW w:w="1154" w:type="dxa"/>
            <w:gridSpan w:val="2"/>
            <w:shd w:val="clear" w:color="auto" w:fill="FFFFFF"/>
            <w:noWrap w:val="0"/>
            <w:vAlign w:val="center"/>
          </w:tcPr>
          <w:p w14:paraId="2E8D9992">
            <w:pPr>
              <w:adjustRightInd w:val="0"/>
              <w:snapToGrid w:val="0"/>
              <w:jc w:val="center"/>
              <w:rPr>
                <w:rFonts w:ascii="仿宋" w:hAnsi="仿宋" w:eastAsia="仿宋" w:cs="仿宋"/>
                <w:bCs/>
                <w:sz w:val="24"/>
                <w:szCs w:val="24"/>
              </w:rPr>
            </w:pPr>
            <w:r>
              <w:rPr>
                <w:rFonts w:hint="eastAsia" w:ascii="仿宋" w:hAnsi="仿宋" w:eastAsia="仿宋" w:cs="仿宋"/>
                <w:bCs/>
                <w:sz w:val="24"/>
                <w:szCs w:val="24"/>
              </w:rPr>
              <w:t>8</w:t>
            </w:r>
          </w:p>
        </w:tc>
      </w:tr>
      <w:tr w14:paraId="7E5B97E2">
        <w:trPr>
          <w:trHeight w:val="454" w:hRule="atLeast"/>
        </w:trPr>
        <w:tc>
          <w:tcPr>
            <w:tcW w:w="1143" w:type="dxa"/>
            <w:vMerge w:val="continue"/>
            <w:shd w:val="clear" w:color="auto" w:fill="FFFFFF"/>
            <w:noWrap w:val="0"/>
            <w:vAlign w:val="center"/>
          </w:tcPr>
          <w:p w14:paraId="59B333BA">
            <w:pPr>
              <w:adjustRightInd w:val="0"/>
              <w:snapToGrid w:val="0"/>
              <w:spacing w:line="240" w:lineRule="atLeast"/>
              <w:jc w:val="center"/>
              <w:rPr>
                <w:rFonts w:ascii="仿宋" w:hAnsi="仿宋" w:eastAsia="仿宋" w:cs="仿宋"/>
                <w:sz w:val="24"/>
                <w:szCs w:val="24"/>
              </w:rPr>
            </w:pPr>
          </w:p>
        </w:tc>
        <w:tc>
          <w:tcPr>
            <w:tcW w:w="6851" w:type="dxa"/>
            <w:gridSpan w:val="9"/>
            <w:shd w:val="clear" w:color="auto" w:fill="auto"/>
            <w:noWrap w:val="0"/>
            <w:vAlign w:val="center"/>
          </w:tcPr>
          <w:p w14:paraId="001FEF88">
            <w:pPr>
              <w:adjustRightInd w:val="0"/>
              <w:snapToGrid w:val="0"/>
              <w:jc w:val="center"/>
              <w:rPr>
                <w:rFonts w:ascii="仿宋" w:hAnsi="仿宋" w:eastAsia="仿宋" w:cs="仿宋"/>
                <w:bCs/>
                <w:sz w:val="24"/>
                <w:szCs w:val="24"/>
              </w:rPr>
            </w:pPr>
            <w:r>
              <w:rPr>
                <w:rFonts w:hint="eastAsia" w:ascii="仿宋" w:hAnsi="仿宋" w:eastAsia="仿宋" w:cs="仿宋"/>
                <w:bCs/>
                <w:sz w:val="24"/>
                <w:szCs w:val="24"/>
              </w:rPr>
              <w:t>合计</w:t>
            </w:r>
          </w:p>
        </w:tc>
        <w:tc>
          <w:tcPr>
            <w:tcW w:w="1154" w:type="dxa"/>
            <w:gridSpan w:val="2"/>
            <w:shd w:val="clear" w:color="auto" w:fill="FFFFFF"/>
            <w:noWrap w:val="0"/>
            <w:vAlign w:val="center"/>
          </w:tcPr>
          <w:p w14:paraId="2AE32895">
            <w:pPr>
              <w:adjustRightInd w:val="0"/>
              <w:snapToGrid w:val="0"/>
              <w:jc w:val="center"/>
              <w:rPr>
                <w:rFonts w:ascii="仿宋" w:hAnsi="仿宋" w:eastAsia="仿宋" w:cs="仿宋"/>
                <w:sz w:val="24"/>
                <w:szCs w:val="24"/>
              </w:rPr>
            </w:pPr>
            <w:r>
              <w:rPr>
                <w:rFonts w:hint="eastAsia" w:ascii="仿宋" w:hAnsi="仿宋" w:eastAsia="仿宋" w:cs="仿宋"/>
                <w:sz w:val="24"/>
                <w:szCs w:val="24"/>
              </w:rPr>
              <w:t>32</w:t>
            </w:r>
          </w:p>
        </w:tc>
      </w:tr>
      <w:tr w14:paraId="14893D87">
        <w:trPr>
          <w:trHeight w:val="921" w:hRule="atLeast"/>
        </w:trPr>
        <w:tc>
          <w:tcPr>
            <w:tcW w:w="1143" w:type="dxa"/>
            <w:noWrap w:val="0"/>
            <w:vAlign w:val="center"/>
          </w:tcPr>
          <w:p w14:paraId="51DD6219">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I</w:t>
            </w:r>
          </w:p>
          <w:p w14:paraId="195AF125">
            <w:pPr>
              <w:adjustRightInd w:val="0"/>
              <w:snapToGrid w:val="0"/>
              <w:spacing w:line="240" w:lineRule="atLeast"/>
              <w:jc w:val="center"/>
              <w:rPr>
                <w:rFonts w:ascii="仿宋" w:hAnsi="仿宋" w:eastAsia="仿宋" w:cs="仿宋"/>
                <w:sz w:val="24"/>
                <w:szCs w:val="24"/>
                <w:lang w:eastAsia="zh-TW"/>
              </w:rPr>
            </w:pPr>
            <w:r>
              <w:rPr>
                <w:rFonts w:hint="eastAsia" w:ascii="仿宋" w:hAnsi="仿宋" w:eastAsia="仿宋" w:cs="仿宋"/>
                <w:sz w:val="24"/>
                <w:szCs w:val="24"/>
              </w:rPr>
              <w:t>教学方法与教学方式</w:t>
            </w:r>
          </w:p>
        </w:tc>
        <w:tc>
          <w:tcPr>
            <w:tcW w:w="8005" w:type="dxa"/>
            <w:gridSpan w:val="11"/>
            <w:tcBorders>
              <w:bottom w:val="single" w:color="auto" w:sz="4" w:space="0"/>
            </w:tcBorders>
            <w:noWrap w:val="0"/>
            <w:vAlign w:val="center"/>
          </w:tcPr>
          <w:p w14:paraId="74F12202">
            <w:pPr>
              <w:adjustRightInd w:val="0"/>
              <w:snapToGrid w:val="0"/>
              <w:spacing w:line="240" w:lineRule="atLeast"/>
              <w:jc w:val="left"/>
              <w:rPr>
                <w:rFonts w:ascii="仿宋" w:hAnsi="仿宋" w:eastAsia="仿宋" w:cs="仿宋"/>
                <w:sz w:val="24"/>
                <w:szCs w:val="24"/>
              </w:rPr>
            </w:pPr>
            <w:r>
              <w:rPr>
                <w:rFonts w:hint="eastAsia" w:ascii="仿宋" w:hAnsi="仿宋" w:eastAsia="仿宋" w:cs="仿宋"/>
                <w:sz w:val="24"/>
                <w:szCs w:val="24"/>
              </w:rPr>
              <w:t>1、示范教学法，在课堂上进行动作示范，让学生模仿练习</w:t>
            </w:r>
          </w:p>
          <w:p w14:paraId="0915CFFD">
            <w:pPr>
              <w:adjustRightInd w:val="0"/>
              <w:snapToGrid w:val="0"/>
              <w:spacing w:line="240" w:lineRule="atLeast"/>
              <w:jc w:val="left"/>
              <w:rPr>
                <w:rFonts w:ascii="仿宋" w:hAnsi="仿宋" w:eastAsia="仿宋" w:cs="仿宋"/>
                <w:sz w:val="24"/>
                <w:szCs w:val="24"/>
              </w:rPr>
            </w:pPr>
            <w:r>
              <w:rPr>
                <w:rFonts w:hint="eastAsia" w:ascii="仿宋" w:hAnsi="仿宋" w:eastAsia="仿宋" w:cs="仿宋"/>
                <w:sz w:val="24"/>
                <w:szCs w:val="24"/>
              </w:rPr>
              <w:t>2、讲解教学法，通过课堂对动作进行分解讲解，加上讨论纠错等方式，引导学生发现问题解决问题。</w:t>
            </w:r>
          </w:p>
          <w:p w14:paraId="636B3FFB">
            <w:pPr>
              <w:adjustRightInd w:val="0"/>
              <w:snapToGrid w:val="0"/>
              <w:spacing w:line="240" w:lineRule="atLeast"/>
              <w:jc w:val="left"/>
              <w:rPr>
                <w:rFonts w:ascii="仿宋" w:hAnsi="仿宋" w:eastAsia="仿宋" w:cs="仿宋"/>
                <w:sz w:val="24"/>
                <w:szCs w:val="24"/>
              </w:rPr>
            </w:pPr>
            <w:r>
              <w:rPr>
                <w:rFonts w:hint="eastAsia" w:ascii="仿宋" w:hAnsi="仿宋" w:eastAsia="仿宋" w:cs="仿宋"/>
                <w:sz w:val="24"/>
                <w:szCs w:val="24"/>
              </w:rPr>
              <w:t>3、开通网络课堂，达到与学生及时沟通、交流的目的。同时重视师生互动与小组活动，将课堂教学变为师生共同活动的过程。</w:t>
            </w:r>
          </w:p>
          <w:p w14:paraId="1F911EE7">
            <w:pPr>
              <w:adjustRightInd w:val="0"/>
              <w:snapToGrid w:val="0"/>
              <w:spacing w:line="240" w:lineRule="atLeast"/>
              <w:jc w:val="left"/>
              <w:rPr>
                <w:rFonts w:ascii="仿宋" w:hAnsi="仿宋" w:eastAsia="仿宋" w:cs="仿宋"/>
                <w:sz w:val="24"/>
                <w:szCs w:val="24"/>
              </w:rPr>
            </w:pPr>
            <w:r>
              <w:rPr>
                <w:rFonts w:hint="eastAsia" w:ascii="仿宋" w:hAnsi="仿宋" w:eastAsia="仿宋" w:cs="仿宋"/>
                <w:sz w:val="24"/>
                <w:szCs w:val="24"/>
              </w:rPr>
              <w:t>主要方式：</w:t>
            </w:r>
          </w:p>
          <w:p w14:paraId="0DBF0A2F">
            <w:pPr>
              <w:adjustRightInd w:val="0"/>
              <w:snapToGrid w:val="0"/>
              <w:spacing w:line="240" w:lineRule="atLeast"/>
              <w:jc w:val="left"/>
              <w:rPr>
                <w:rFonts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讲授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网络学习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讨论或座谈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问题导向学  </w:t>
            </w:r>
          </w:p>
          <w:p w14:paraId="0F13A6B3">
            <w:pPr>
              <w:adjustRightInd w:val="0"/>
              <w:snapToGrid w:val="0"/>
              <w:spacing w:line="240" w:lineRule="atLeast"/>
              <w:jc w:val="left"/>
              <w:rPr>
                <w:rFonts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分组合作学习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专题学习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实作学习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发表学习  </w:t>
            </w:r>
          </w:p>
          <w:p w14:paraId="560C83AC">
            <w:pPr>
              <w:adjustRightInd w:val="0"/>
              <w:snapToGrid w:val="0"/>
              <w:ind w:firstLine="480" w:firstLineChars="200"/>
              <w:rPr>
                <w:rFonts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实习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参观访问  </w:t>
            </w:r>
            <w:r>
              <w:rPr>
                <w:rFonts w:hint="eastAsia" w:ascii="仿宋" w:hAnsi="仿宋" w:eastAsia="仿宋" w:cs="仿宋"/>
                <w:sz w:val="24"/>
                <w:szCs w:val="24"/>
              </w:rPr>
              <w:sym w:font="Wingdings" w:char="00A8"/>
            </w:r>
            <w:r>
              <w:rPr>
                <w:rFonts w:hint="eastAsia" w:ascii="仿宋" w:hAnsi="仿宋" w:eastAsia="仿宋" w:cs="仿宋"/>
                <w:sz w:val="24"/>
                <w:szCs w:val="24"/>
              </w:rPr>
              <w:t>其它：        (如口头训练等)</w:t>
            </w:r>
          </w:p>
        </w:tc>
      </w:tr>
      <w:tr w14:paraId="6E34D823">
        <w:trPr>
          <w:trHeight w:val="580" w:hRule="atLeast"/>
        </w:trPr>
        <w:tc>
          <w:tcPr>
            <w:tcW w:w="1143" w:type="dxa"/>
            <w:noWrap w:val="0"/>
            <w:vAlign w:val="center"/>
          </w:tcPr>
          <w:p w14:paraId="75DF7D81">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J</w:t>
            </w:r>
          </w:p>
          <w:p w14:paraId="3FA3FE37">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教学条件</w:t>
            </w:r>
          </w:p>
          <w:p w14:paraId="3FA360EE">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需求</w:t>
            </w:r>
          </w:p>
        </w:tc>
        <w:tc>
          <w:tcPr>
            <w:tcW w:w="8005" w:type="dxa"/>
            <w:gridSpan w:val="11"/>
            <w:tcBorders>
              <w:bottom w:val="single" w:color="auto" w:sz="4" w:space="0"/>
            </w:tcBorders>
            <w:noWrap w:val="0"/>
            <w:vAlign w:val="center"/>
          </w:tcPr>
          <w:p w14:paraId="5D7DFD5C">
            <w:pPr>
              <w:tabs>
                <w:tab w:val="left" w:pos="720"/>
              </w:tabs>
              <w:adjustRightInd w:val="0"/>
              <w:snapToGrid w:val="0"/>
              <w:spacing w:line="240" w:lineRule="atLeast"/>
              <w:rPr>
                <w:rFonts w:ascii="仿宋" w:hAnsi="仿宋" w:eastAsia="仿宋" w:cs="仿宋"/>
                <w:kern w:val="0"/>
                <w:sz w:val="24"/>
                <w:szCs w:val="24"/>
              </w:rPr>
            </w:pPr>
            <w:r>
              <w:rPr>
                <w:rFonts w:hint="eastAsia" w:ascii="仿宋" w:hAnsi="仿宋" w:eastAsia="仿宋" w:cs="仿宋"/>
                <w:kern w:val="0"/>
                <w:sz w:val="24"/>
                <w:szCs w:val="24"/>
              </w:rPr>
              <w:t>（如时间、地点安排与“一课双师”等教师配备需求等）</w:t>
            </w:r>
          </w:p>
          <w:p w14:paraId="54CA4B8C">
            <w:pPr>
              <w:tabs>
                <w:tab w:val="left" w:pos="720"/>
              </w:tabs>
              <w:adjustRightInd w:val="0"/>
              <w:snapToGrid w:val="0"/>
              <w:rPr>
                <w:rFonts w:ascii="仿宋" w:hAnsi="仿宋" w:eastAsia="仿宋" w:cs="仿宋"/>
                <w:sz w:val="24"/>
                <w:szCs w:val="24"/>
              </w:rPr>
            </w:pPr>
            <w:r>
              <w:rPr>
                <w:rFonts w:hint="eastAsia" w:ascii="仿宋" w:hAnsi="仿宋" w:eastAsia="仿宋" w:cs="仿宋"/>
                <w:sz w:val="24"/>
                <w:szCs w:val="24"/>
              </w:rPr>
              <w:t>1、专业舞蹈教室</w:t>
            </w:r>
          </w:p>
          <w:p w14:paraId="6D47E4C1">
            <w:pPr>
              <w:tabs>
                <w:tab w:val="left" w:pos="720"/>
              </w:tabs>
              <w:adjustRightInd w:val="0"/>
              <w:snapToGrid w:val="0"/>
              <w:rPr>
                <w:rFonts w:ascii="仿宋" w:hAnsi="仿宋" w:eastAsia="仿宋" w:cs="仿宋"/>
                <w:kern w:val="0"/>
                <w:sz w:val="24"/>
                <w:szCs w:val="24"/>
              </w:rPr>
            </w:pPr>
            <w:r>
              <w:rPr>
                <w:rFonts w:hint="eastAsia" w:ascii="仿宋" w:hAnsi="仿宋" w:eastAsia="仿宋" w:cs="仿宋"/>
                <w:kern w:val="0"/>
                <w:sz w:val="24"/>
                <w:szCs w:val="24"/>
              </w:rPr>
              <w:t>2、专业教学多媒体音响</w:t>
            </w:r>
          </w:p>
        </w:tc>
      </w:tr>
      <w:tr w14:paraId="49706F77">
        <w:trPr>
          <w:trHeight w:val="711" w:hRule="atLeast"/>
        </w:trPr>
        <w:tc>
          <w:tcPr>
            <w:tcW w:w="1143" w:type="dxa"/>
            <w:vMerge w:val="restart"/>
            <w:noWrap w:val="0"/>
            <w:vAlign w:val="center"/>
          </w:tcPr>
          <w:p w14:paraId="2A51522E">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K</w:t>
            </w:r>
          </w:p>
          <w:p w14:paraId="0FB885E1">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课程目标及其考核内容、考核方式及评分占比</w:t>
            </w:r>
          </w:p>
        </w:tc>
        <w:tc>
          <w:tcPr>
            <w:tcW w:w="1143" w:type="dxa"/>
            <w:vMerge w:val="restart"/>
            <w:noWrap w:val="0"/>
            <w:vAlign w:val="center"/>
          </w:tcPr>
          <w:p w14:paraId="136A5E64">
            <w:pPr>
              <w:adjustRightInd w:val="0"/>
              <w:snapToGrid w:val="0"/>
              <w:rPr>
                <w:rFonts w:ascii="仿宋" w:hAnsi="仿宋" w:eastAsia="仿宋" w:cs="仿宋"/>
                <w:sz w:val="24"/>
                <w:szCs w:val="24"/>
              </w:rPr>
            </w:pPr>
            <w:r>
              <w:rPr>
                <w:rFonts w:hint="eastAsia" w:ascii="仿宋" w:hAnsi="仿宋" w:eastAsia="仿宋" w:cs="仿宋"/>
                <w:sz w:val="24"/>
                <w:szCs w:val="24"/>
              </w:rPr>
              <w:t>课程目标及评分占比</w:t>
            </w:r>
          </w:p>
        </w:tc>
        <w:tc>
          <w:tcPr>
            <w:tcW w:w="4065" w:type="dxa"/>
            <w:gridSpan w:val="4"/>
            <w:vMerge w:val="restart"/>
            <w:tcBorders>
              <w:right w:val="single" w:color="000000" w:sz="4" w:space="0"/>
            </w:tcBorders>
            <w:noWrap w:val="0"/>
            <w:vAlign w:val="center"/>
          </w:tcPr>
          <w:p w14:paraId="22A4244A">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考核内容</w:t>
            </w:r>
          </w:p>
        </w:tc>
        <w:tc>
          <w:tcPr>
            <w:tcW w:w="2126" w:type="dxa"/>
            <w:gridSpan w:val="5"/>
            <w:tcBorders>
              <w:left w:val="single" w:color="000000" w:sz="4" w:space="0"/>
              <w:right w:val="single" w:color="000000" w:sz="4" w:space="0"/>
            </w:tcBorders>
            <w:noWrap w:val="0"/>
            <w:vAlign w:val="center"/>
          </w:tcPr>
          <w:p w14:paraId="588995FF">
            <w:pPr>
              <w:adjustRightInd w:val="0"/>
              <w:snapToGrid w:val="0"/>
              <w:jc w:val="center"/>
              <w:rPr>
                <w:rFonts w:ascii="仿宋" w:hAnsi="仿宋" w:eastAsia="仿宋" w:cs="仿宋"/>
                <w:sz w:val="24"/>
                <w:szCs w:val="24"/>
              </w:rPr>
            </w:pPr>
            <w:r>
              <w:rPr>
                <w:rFonts w:hint="eastAsia" w:ascii="仿宋" w:hAnsi="仿宋" w:eastAsia="仿宋" w:cs="仿宋"/>
                <w:sz w:val="24"/>
                <w:szCs w:val="24"/>
              </w:rPr>
              <w:t>考核方式</w:t>
            </w:r>
          </w:p>
        </w:tc>
        <w:tc>
          <w:tcPr>
            <w:tcW w:w="671" w:type="dxa"/>
            <w:vMerge w:val="restart"/>
            <w:tcBorders>
              <w:left w:val="single" w:color="000000" w:sz="4" w:space="0"/>
            </w:tcBorders>
            <w:noWrap w:val="0"/>
            <w:vAlign w:val="center"/>
          </w:tcPr>
          <w:p w14:paraId="1B454E54">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sz w:val="24"/>
                <w:szCs w:val="24"/>
              </w:rPr>
              <w:t>课程分目标的达成度</w:t>
            </w:r>
          </w:p>
        </w:tc>
      </w:tr>
      <w:tr w14:paraId="6F708A8B">
        <w:trPr>
          <w:trHeight w:val="184" w:hRule="atLeast"/>
        </w:trPr>
        <w:tc>
          <w:tcPr>
            <w:tcW w:w="1143" w:type="dxa"/>
            <w:vMerge w:val="continue"/>
            <w:noWrap w:val="0"/>
            <w:vAlign w:val="center"/>
          </w:tcPr>
          <w:p w14:paraId="623353C7">
            <w:pPr>
              <w:adjustRightInd w:val="0"/>
              <w:snapToGrid w:val="0"/>
              <w:spacing w:line="240" w:lineRule="atLeast"/>
              <w:jc w:val="center"/>
              <w:rPr>
                <w:rFonts w:ascii="仿宋" w:hAnsi="仿宋" w:eastAsia="仿宋" w:cs="仿宋"/>
                <w:sz w:val="24"/>
                <w:szCs w:val="24"/>
              </w:rPr>
            </w:pPr>
          </w:p>
        </w:tc>
        <w:tc>
          <w:tcPr>
            <w:tcW w:w="1143" w:type="dxa"/>
            <w:vMerge w:val="continue"/>
            <w:tcBorders>
              <w:tl2br w:val="single" w:color="auto" w:sz="4" w:space="0"/>
            </w:tcBorders>
            <w:noWrap w:val="0"/>
            <w:vAlign w:val="center"/>
          </w:tcPr>
          <w:p w14:paraId="540CFCF1">
            <w:pPr>
              <w:adjustRightInd w:val="0"/>
              <w:snapToGrid w:val="0"/>
              <w:jc w:val="right"/>
              <w:rPr>
                <w:rFonts w:ascii="仿宋" w:hAnsi="仿宋" w:eastAsia="仿宋" w:cs="仿宋"/>
                <w:sz w:val="24"/>
                <w:szCs w:val="24"/>
              </w:rPr>
            </w:pPr>
          </w:p>
        </w:tc>
        <w:tc>
          <w:tcPr>
            <w:tcW w:w="4065" w:type="dxa"/>
            <w:gridSpan w:val="4"/>
            <w:vMerge w:val="continue"/>
            <w:tcBorders>
              <w:right w:val="single" w:color="000000" w:sz="4" w:space="0"/>
            </w:tcBorders>
            <w:noWrap w:val="0"/>
            <w:vAlign w:val="center"/>
          </w:tcPr>
          <w:p w14:paraId="6B8FE858">
            <w:pPr>
              <w:tabs>
                <w:tab w:val="left" w:pos="720"/>
              </w:tabs>
              <w:adjustRightInd w:val="0"/>
              <w:snapToGrid w:val="0"/>
              <w:jc w:val="center"/>
              <w:rPr>
                <w:rFonts w:ascii="仿宋" w:hAnsi="仿宋" w:eastAsia="仿宋" w:cs="仿宋"/>
                <w:kern w:val="0"/>
                <w:sz w:val="24"/>
                <w:szCs w:val="24"/>
              </w:rPr>
            </w:pPr>
          </w:p>
        </w:tc>
        <w:tc>
          <w:tcPr>
            <w:tcW w:w="1270" w:type="dxa"/>
            <w:gridSpan w:val="3"/>
            <w:tcBorders>
              <w:left w:val="single" w:color="000000" w:sz="4" w:space="0"/>
            </w:tcBorders>
            <w:noWrap w:val="0"/>
            <w:vAlign w:val="center"/>
          </w:tcPr>
          <w:p w14:paraId="7471884C">
            <w:pPr>
              <w:pageBreakBefore w:val="0"/>
              <w:tabs>
                <w:tab w:val="left" w:pos="720"/>
              </w:tabs>
              <w:kinsoku/>
              <w:overflowPunct/>
              <w:topLinePunct w:val="0"/>
              <w:bidi w:val="0"/>
              <w:adjustRightInd w:val="0"/>
              <w:snapToGrid w:val="0"/>
              <w:spacing w:line="240" w:lineRule="auto"/>
              <w:jc w:val="center"/>
              <w:rPr>
                <w:rFonts w:ascii="仿宋" w:hAnsi="仿宋" w:eastAsia="仿宋" w:cs="仿宋"/>
                <w:sz w:val="24"/>
                <w:szCs w:val="24"/>
              </w:rPr>
            </w:pPr>
            <w:r>
              <w:rPr>
                <w:rFonts w:hint="eastAsia" w:ascii="仿宋" w:hAnsi="仿宋" w:eastAsia="仿宋" w:cs="仿宋"/>
                <w:color w:val="auto"/>
                <w:sz w:val="24"/>
                <w:szCs w:val="24"/>
                <w:lang w:val="en-US" w:eastAsia="zh-CN"/>
              </w:rPr>
              <w:t>平时成绩（考勤课堂表现6</w:t>
            </w:r>
            <w:r>
              <w:rPr>
                <w:rFonts w:hint="default" w:ascii="仿宋" w:hAnsi="仿宋" w:eastAsia="仿宋" w:cs="仿宋"/>
                <w:color w:val="auto"/>
                <w:sz w:val="24"/>
                <w:szCs w:val="24"/>
              </w:rPr>
              <w:t>0</w:t>
            </w:r>
            <w:r>
              <w:rPr>
                <w:rFonts w:hint="eastAsia" w:ascii="仿宋" w:hAnsi="仿宋" w:eastAsia="仿宋" w:cs="仿宋"/>
                <w:color w:val="auto"/>
                <w:sz w:val="24"/>
                <w:szCs w:val="24"/>
              </w:rPr>
              <w:t>%）</w:t>
            </w:r>
          </w:p>
        </w:tc>
        <w:tc>
          <w:tcPr>
            <w:tcW w:w="856" w:type="dxa"/>
            <w:gridSpan w:val="2"/>
            <w:tcBorders>
              <w:bottom w:val="single" w:color="auto" w:sz="4" w:space="0"/>
              <w:right w:val="single" w:color="000000" w:sz="4" w:space="0"/>
            </w:tcBorders>
            <w:noWrap w:val="0"/>
            <w:vAlign w:val="center"/>
          </w:tcPr>
          <w:p w14:paraId="65B1A2C7">
            <w:pPr>
              <w:pageBreakBefore w:val="0"/>
              <w:kinsoku/>
              <w:overflowPunct/>
              <w:topLinePunct w:val="0"/>
              <w:bidi w:val="0"/>
              <w:adjustRightInd w:val="0"/>
              <w:snapToGrid w:val="0"/>
              <w:spacing w:line="240" w:lineRule="auto"/>
              <w:jc w:val="center"/>
              <w:rPr>
                <w:rFonts w:ascii="仿宋" w:hAnsi="仿宋" w:eastAsia="仿宋" w:cs="仿宋"/>
                <w:sz w:val="24"/>
                <w:szCs w:val="24"/>
              </w:rPr>
            </w:pPr>
            <w:r>
              <w:rPr>
                <w:rFonts w:hint="eastAsia" w:ascii="仿宋" w:hAnsi="仿宋" w:eastAsia="仿宋" w:cs="仿宋"/>
                <w:color w:val="auto"/>
                <w:sz w:val="24"/>
                <w:szCs w:val="24"/>
              </w:rPr>
              <w:t>期末考试（</w:t>
            </w:r>
            <w:r>
              <w:rPr>
                <w:rFonts w:hint="eastAsia" w:ascii="仿宋" w:hAnsi="仿宋" w:eastAsia="仿宋" w:cs="仿宋"/>
                <w:color w:val="auto"/>
                <w:sz w:val="24"/>
                <w:szCs w:val="24"/>
                <w:lang w:val="en-US" w:eastAsia="zh-CN"/>
              </w:rPr>
              <w:t>4</w:t>
            </w:r>
            <w:r>
              <w:rPr>
                <w:rFonts w:hint="default" w:ascii="仿宋" w:hAnsi="仿宋" w:eastAsia="仿宋" w:cs="仿宋"/>
                <w:color w:val="auto"/>
                <w:sz w:val="24"/>
                <w:szCs w:val="24"/>
              </w:rPr>
              <w:t>0</w:t>
            </w:r>
            <w:r>
              <w:rPr>
                <w:rFonts w:hint="eastAsia" w:ascii="仿宋" w:hAnsi="仿宋" w:eastAsia="仿宋" w:cs="仿宋"/>
                <w:color w:val="auto"/>
                <w:sz w:val="24"/>
                <w:szCs w:val="24"/>
              </w:rPr>
              <w:t>%）</w:t>
            </w:r>
          </w:p>
        </w:tc>
        <w:tc>
          <w:tcPr>
            <w:tcW w:w="671" w:type="dxa"/>
            <w:vMerge w:val="continue"/>
            <w:tcBorders>
              <w:left w:val="single" w:color="000000" w:sz="4" w:space="0"/>
              <w:bottom w:val="single" w:color="auto" w:sz="4" w:space="0"/>
            </w:tcBorders>
            <w:noWrap w:val="0"/>
            <w:vAlign w:val="center"/>
          </w:tcPr>
          <w:p w14:paraId="4CF9C693">
            <w:pPr>
              <w:tabs>
                <w:tab w:val="left" w:pos="720"/>
              </w:tabs>
              <w:adjustRightInd w:val="0"/>
              <w:snapToGrid w:val="0"/>
              <w:jc w:val="center"/>
              <w:rPr>
                <w:rFonts w:ascii="仿宋" w:hAnsi="仿宋" w:eastAsia="仿宋" w:cs="仿宋"/>
                <w:sz w:val="24"/>
                <w:szCs w:val="24"/>
              </w:rPr>
            </w:pPr>
          </w:p>
        </w:tc>
      </w:tr>
      <w:tr w14:paraId="666824AD">
        <w:tc>
          <w:tcPr>
            <w:tcW w:w="1143" w:type="dxa"/>
            <w:vMerge w:val="continue"/>
            <w:noWrap w:val="0"/>
            <w:vAlign w:val="center"/>
          </w:tcPr>
          <w:p w14:paraId="7A1AACD9">
            <w:pPr>
              <w:adjustRightInd w:val="0"/>
              <w:snapToGrid w:val="0"/>
              <w:spacing w:line="240" w:lineRule="atLeast"/>
              <w:jc w:val="center"/>
              <w:rPr>
                <w:rFonts w:ascii="仿宋" w:hAnsi="仿宋" w:eastAsia="仿宋" w:cs="仿宋"/>
                <w:sz w:val="24"/>
                <w:szCs w:val="24"/>
                <w:lang w:eastAsia="zh-TW"/>
              </w:rPr>
            </w:pPr>
          </w:p>
        </w:tc>
        <w:tc>
          <w:tcPr>
            <w:tcW w:w="1143" w:type="dxa"/>
            <w:tcBorders>
              <w:bottom w:val="single" w:color="auto" w:sz="4" w:space="0"/>
            </w:tcBorders>
            <w:noWrap w:val="0"/>
            <w:vAlign w:val="center"/>
          </w:tcPr>
          <w:p w14:paraId="59741B3F">
            <w:pPr>
              <w:adjustRightInd w:val="0"/>
              <w:snapToGrid w:val="0"/>
              <w:jc w:val="center"/>
              <w:rPr>
                <w:rFonts w:ascii="仿宋" w:hAnsi="仿宋" w:eastAsia="仿宋" w:cs="仿宋"/>
                <w:sz w:val="24"/>
                <w:szCs w:val="24"/>
              </w:rPr>
            </w:pPr>
            <w:r>
              <w:rPr>
                <w:rFonts w:hint="eastAsia" w:ascii="仿宋" w:hAnsi="仿宋" w:eastAsia="仿宋" w:cs="仿宋"/>
                <w:kern w:val="0"/>
                <w:sz w:val="24"/>
                <w:szCs w:val="24"/>
              </w:rPr>
              <w:t>课程目标1（50%）</w:t>
            </w:r>
          </w:p>
        </w:tc>
        <w:tc>
          <w:tcPr>
            <w:tcW w:w="4065" w:type="dxa"/>
            <w:gridSpan w:val="4"/>
            <w:tcBorders>
              <w:bottom w:val="single" w:color="auto" w:sz="4" w:space="0"/>
              <w:right w:val="single" w:color="000000" w:sz="4" w:space="0"/>
            </w:tcBorders>
            <w:noWrap w:val="0"/>
            <w:vAlign w:val="center"/>
          </w:tcPr>
          <w:p w14:paraId="25FAE899">
            <w:pPr>
              <w:numPr>
                <w:ilvl w:val="0"/>
                <w:numId w:val="37"/>
              </w:numPr>
              <w:adjustRightInd w:val="0"/>
              <w:snapToGrid w:val="0"/>
              <w:jc w:val="left"/>
              <w:rPr>
                <w:rFonts w:ascii="仿宋" w:hAnsi="仿宋" w:eastAsia="仿宋" w:cs="仿宋"/>
                <w:kern w:val="0"/>
                <w:sz w:val="24"/>
                <w:szCs w:val="24"/>
              </w:rPr>
            </w:pPr>
            <w:r>
              <w:rPr>
                <w:rFonts w:ascii="仿宋" w:hAnsi="仿宋" w:eastAsia="仿宋" w:cs="仿宋"/>
                <w:kern w:val="0"/>
                <w:sz w:val="24"/>
                <w:szCs w:val="24"/>
              </w:rPr>
              <w:t>掌握</w:t>
            </w:r>
            <w:r>
              <w:rPr>
                <w:rFonts w:hint="eastAsia" w:ascii="仿宋" w:hAnsi="仿宋" w:eastAsia="仿宋" w:cs="仿宋"/>
                <w:kern w:val="0"/>
                <w:sz w:val="24"/>
                <w:szCs w:val="24"/>
              </w:rPr>
              <w:t>舞蹈编导</w:t>
            </w:r>
            <w:r>
              <w:rPr>
                <w:rFonts w:ascii="仿宋" w:hAnsi="仿宋" w:eastAsia="仿宋" w:cs="仿宋"/>
                <w:kern w:val="0"/>
                <w:sz w:val="24"/>
                <w:szCs w:val="24"/>
              </w:rPr>
              <w:t>基本专业技能，对</w:t>
            </w:r>
            <w:r>
              <w:rPr>
                <w:rFonts w:hint="eastAsia" w:ascii="仿宋" w:hAnsi="仿宋" w:eastAsia="仿宋" w:cs="仿宋"/>
                <w:kern w:val="0"/>
                <w:sz w:val="24"/>
                <w:szCs w:val="24"/>
                <w:lang w:val="en-US" w:eastAsia="zh-CN"/>
              </w:rPr>
              <w:t>舞蹈编导</w:t>
            </w:r>
            <w:r>
              <w:rPr>
                <w:rFonts w:ascii="仿宋" w:hAnsi="仿宋" w:eastAsia="仿宋" w:cs="仿宋"/>
                <w:kern w:val="0"/>
                <w:sz w:val="24"/>
                <w:szCs w:val="24"/>
              </w:rPr>
              <w:t>科学知识有一定的了解</w:t>
            </w:r>
          </w:p>
          <w:p w14:paraId="7C4C7C03">
            <w:pPr>
              <w:numPr>
                <w:ilvl w:val="0"/>
                <w:numId w:val="37"/>
              </w:numPr>
              <w:adjustRightInd w:val="0"/>
              <w:snapToGrid w:val="0"/>
              <w:jc w:val="left"/>
              <w:rPr>
                <w:rFonts w:ascii="仿宋" w:hAnsi="仿宋" w:eastAsia="仿宋" w:cs="仿宋"/>
                <w:kern w:val="0"/>
                <w:sz w:val="24"/>
                <w:szCs w:val="24"/>
              </w:rPr>
            </w:pPr>
            <w:r>
              <w:rPr>
                <w:rFonts w:ascii="仿宋" w:hAnsi="仿宋" w:eastAsia="仿宋" w:cs="仿宋"/>
                <w:kern w:val="0"/>
                <w:sz w:val="24"/>
                <w:szCs w:val="24"/>
              </w:rPr>
              <w:t>形成初步的融合、综合学习的能力，能解决理论联系实际</w:t>
            </w:r>
            <w:r>
              <w:rPr>
                <w:rFonts w:hint="eastAsia" w:ascii="仿宋" w:hAnsi="仿宋" w:eastAsia="仿宋" w:cs="仿宋"/>
                <w:kern w:val="0"/>
                <w:sz w:val="24"/>
                <w:szCs w:val="24"/>
              </w:rPr>
              <w:t>的</w:t>
            </w:r>
            <w:r>
              <w:rPr>
                <w:rFonts w:ascii="仿宋" w:hAnsi="仿宋" w:eastAsia="仿宋" w:cs="仿宋"/>
                <w:kern w:val="0"/>
                <w:sz w:val="24"/>
                <w:szCs w:val="24"/>
              </w:rPr>
              <w:t>问题。</w:t>
            </w:r>
          </w:p>
          <w:p w14:paraId="1B71871A">
            <w:pPr>
              <w:numPr>
                <w:ilvl w:val="0"/>
                <w:numId w:val="0"/>
              </w:numPr>
              <w:adjustRightInd w:val="0"/>
              <w:snapToGrid w:val="0"/>
              <w:jc w:val="left"/>
              <w:rPr>
                <w:rFonts w:ascii="仿宋" w:hAnsi="仿宋" w:eastAsia="仿宋" w:cs="仿宋"/>
                <w:kern w:val="0"/>
                <w:sz w:val="24"/>
                <w:szCs w:val="24"/>
              </w:rPr>
            </w:pPr>
            <w:r>
              <w:rPr>
                <w:rFonts w:ascii="仿宋" w:hAnsi="仿宋" w:eastAsia="仿宋" w:cs="仿宋"/>
                <w:kern w:val="0"/>
                <w:sz w:val="24"/>
                <w:szCs w:val="24"/>
              </w:rPr>
              <w:t xml:space="preserve"> </w:t>
            </w:r>
          </w:p>
        </w:tc>
        <w:tc>
          <w:tcPr>
            <w:tcW w:w="1270" w:type="dxa"/>
            <w:gridSpan w:val="3"/>
            <w:tcBorders>
              <w:left w:val="single" w:color="000000" w:sz="4" w:space="0"/>
              <w:bottom w:val="single" w:color="auto" w:sz="4" w:space="0"/>
              <w:right w:val="single" w:color="auto" w:sz="4" w:space="0"/>
            </w:tcBorders>
            <w:noWrap w:val="0"/>
            <w:vAlign w:val="center"/>
          </w:tcPr>
          <w:p w14:paraId="6C82FD21">
            <w:pPr>
              <w:adjustRightInd w:val="0"/>
              <w:snapToGrid w:val="0"/>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30</w:t>
            </w:r>
          </w:p>
        </w:tc>
        <w:tc>
          <w:tcPr>
            <w:tcW w:w="856" w:type="dxa"/>
            <w:gridSpan w:val="2"/>
            <w:tcBorders>
              <w:left w:val="single" w:color="auto" w:sz="4" w:space="0"/>
              <w:bottom w:val="single" w:color="auto" w:sz="4" w:space="0"/>
              <w:right w:val="single" w:color="auto" w:sz="4" w:space="0"/>
            </w:tcBorders>
            <w:noWrap w:val="0"/>
            <w:vAlign w:val="center"/>
          </w:tcPr>
          <w:p w14:paraId="6BDCF0A4">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20</w:t>
            </w:r>
          </w:p>
        </w:tc>
        <w:tc>
          <w:tcPr>
            <w:tcW w:w="671" w:type="dxa"/>
            <w:tcBorders>
              <w:left w:val="single" w:color="auto" w:sz="4" w:space="0"/>
              <w:bottom w:val="single" w:color="auto" w:sz="4" w:space="0"/>
            </w:tcBorders>
            <w:noWrap w:val="0"/>
            <w:vAlign w:val="center"/>
          </w:tcPr>
          <w:p w14:paraId="0D468838">
            <w:pPr>
              <w:tabs>
                <w:tab w:val="left" w:pos="720"/>
              </w:tabs>
              <w:adjustRightInd w:val="0"/>
              <w:snapToGrid w:val="0"/>
              <w:jc w:val="center"/>
              <w:rPr>
                <w:rFonts w:ascii="仿宋" w:hAnsi="仿宋" w:eastAsia="仿宋" w:cs="仿宋"/>
                <w:kern w:val="0"/>
                <w:sz w:val="24"/>
                <w:szCs w:val="24"/>
              </w:rPr>
            </w:pPr>
            <w:r>
              <w:rPr>
                <w:rFonts w:ascii="仿宋" w:hAnsi="仿宋" w:eastAsia="仿宋" w:cs="仿宋"/>
                <w:kern w:val="0"/>
                <w:sz w:val="24"/>
                <w:szCs w:val="24"/>
              </w:rPr>
              <w:t>0</w:t>
            </w:r>
            <w:r>
              <w:rPr>
                <w:rFonts w:hint="eastAsia" w:ascii="仿宋" w:hAnsi="仿宋" w:eastAsia="仿宋" w:cs="仿宋"/>
                <w:kern w:val="0"/>
                <w:sz w:val="24"/>
                <w:szCs w:val="24"/>
                <w:lang w:eastAsia="zh-Hans"/>
              </w:rPr>
              <w:t>.</w:t>
            </w:r>
            <w:r>
              <w:rPr>
                <w:rFonts w:ascii="仿宋" w:hAnsi="仿宋" w:eastAsia="仿宋" w:cs="仿宋"/>
                <w:kern w:val="0"/>
                <w:sz w:val="24"/>
                <w:szCs w:val="24"/>
                <w:lang w:eastAsia="zh-Hans"/>
              </w:rPr>
              <w:t>7</w:t>
            </w:r>
            <w:r>
              <w:rPr>
                <w:rFonts w:hint="eastAsia" w:ascii="仿宋" w:hAnsi="仿宋" w:eastAsia="仿宋" w:cs="仿宋"/>
                <w:kern w:val="0"/>
                <w:sz w:val="24"/>
                <w:szCs w:val="24"/>
              </w:rPr>
              <w:t>5</w:t>
            </w:r>
          </w:p>
        </w:tc>
      </w:tr>
      <w:tr w14:paraId="71373619">
        <w:trPr>
          <w:trHeight w:val="745" w:hRule="atLeast"/>
        </w:trPr>
        <w:tc>
          <w:tcPr>
            <w:tcW w:w="1143" w:type="dxa"/>
            <w:vMerge w:val="continue"/>
            <w:noWrap w:val="0"/>
            <w:vAlign w:val="center"/>
          </w:tcPr>
          <w:p w14:paraId="257725FD">
            <w:pPr>
              <w:adjustRightInd w:val="0"/>
              <w:snapToGrid w:val="0"/>
              <w:spacing w:line="240" w:lineRule="atLeast"/>
              <w:jc w:val="center"/>
              <w:rPr>
                <w:rFonts w:ascii="仿宋" w:hAnsi="仿宋" w:eastAsia="仿宋" w:cs="仿宋"/>
                <w:sz w:val="24"/>
                <w:szCs w:val="24"/>
                <w:lang w:eastAsia="zh-TW"/>
              </w:rPr>
            </w:pPr>
          </w:p>
        </w:tc>
        <w:tc>
          <w:tcPr>
            <w:tcW w:w="1143" w:type="dxa"/>
            <w:noWrap w:val="0"/>
            <w:vAlign w:val="center"/>
          </w:tcPr>
          <w:p w14:paraId="73EF5260">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课程目标2（30%）</w:t>
            </w:r>
          </w:p>
        </w:tc>
        <w:tc>
          <w:tcPr>
            <w:tcW w:w="4065" w:type="dxa"/>
            <w:gridSpan w:val="4"/>
            <w:tcBorders>
              <w:right w:val="single" w:color="000000" w:sz="4" w:space="0"/>
            </w:tcBorders>
            <w:noWrap w:val="0"/>
            <w:vAlign w:val="center"/>
          </w:tcPr>
          <w:p w14:paraId="7265B421">
            <w:pPr>
              <w:numPr>
                <w:ilvl w:val="0"/>
                <w:numId w:val="38"/>
              </w:numPr>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掌握一定的舞蹈编导教学能力和组织课外音乐活动，编排节目</w:t>
            </w:r>
            <w:r>
              <w:rPr>
                <w:rFonts w:hint="eastAsia" w:ascii="仿宋" w:hAnsi="仿宋" w:eastAsia="仿宋" w:cs="仿宋"/>
                <w:kern w:val="0"/>
                <w:sz w:val="24"/>
                <w:szCs w:val="24"/>
                <w:lang w:val="en-US" w:eastAsia="zh-CN"/>
              </w:rPr>
              <w:t>2.</w:t>
            </w:r>
            <w:r>
              <w:rPr>
                <w:rFonts w:hint="eastAsia" w:ascii="仿宋" w:hAnsi="仿宋" w:eastAsia="仿宋" w:cs="仿宋"/>
                <w:kern w:val="0"/>
                <w:sz w:val="24"/>
                <w:szCs w:val="24"/>
              </w:rPr>
              <w:t>指导和训练学生艺术团，能运用传统音乐舞蹈资源进行课堂教学和开展课外音乐舞蹈活动</w:t>
            </w:r>
          </w:p>
          <w:p w14:paraId="36414EE2">
            <w:pPr>
              <w:pStyle w:val="41"/>
              <w:numPr>
                <w:ilvl w:val="0"/>
                <w:numId w:val="0"/>
              </w:numPr>
              <w:rPr>
                <w:rFonts w:hint="eastAsia"/>
                <w:lang w:eastAsia="zh-CN"/>
              </w:rPr>
            </w:pPr>
          </w:p>
        </w:tc>
        <w:tc>
          <w:tcPr>
            <w:tcW w:w="1270" w:type="dxa"/>
            <w:gridSpan w:val="3"/>
            <w:tcBorders>
              <w:left w:val="single" w:color="000000" w:sz="4" w:space="0"/>
            </w:tcBorders>
            <w:noWrap w:val="0"/>
            <w:vAlign w:val="center"/>
          </w:tcPr>
          <w:p w14:paraId="78649315">
            <w:pPr>
              <w:adjustRightInd w:val="0"/>
              <w:snapToGrid w:val="0"/>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18</w:t>
            </w:r>
          </w:p>
          <w:p w14:paraId="4C018DF8">
            <w:pPr>
              <w:tabs>
                <w:tab w:val="left" w:pos="720"/>
              </w:tabs>
              <w:adjustRightInd w:val="0"/>
              <w:snapToGrid w:val="0"/>
              <w:jc w:val="both"/>
              <w:rPr>
                <w:rFonts w:ascii="仿宋" w:hAnsi="仿宋" w:eastAsia="仿宋" w:cs="仿宋"/>
                <w:kern w:val="0"/>
                <w:sz w:val="24"/>
                <w:szCs w:val="24"/>
              </w:rPr>
            </w:pPr>
          </w:p>
        </w:tc>
        <w:tc>
          <w:tcPr>
            <w:tcW w:w="856" w:type="dxa"/>
            <w:gridSpan w:val="2"/>
            <w:tcBorders>
              <w:bottom w:val="single" w:color="000000" w:sz="4" w:space="0"/>
              <w:right w:val="single" w:color="000000" w:sz="4" w:space="0"/>
            </w:tcBorders>
            <w:noWrap w:val="0"/>
            <w:vAlign w:val="center"/>
          </w:tcPr>
          <w:p w14:paraId="49F037CD">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12</w:t>
            </w:r>
          </w:p>
        </w:tc>
        <w:tc>
          <w:tcPr>
            <w:tcW w:w="671" w:type="dxa"/>
            <w:tcBorders>
              <w:left w:val="single" w:color="000000" w:sz="4" w:space="0"/>
              <w:bottom w:val="single" w:color="000000" w:sz="4" w:space="0"/>
            </w:tcBorders>
            <w:noWrap w:val="0"/>
            <w:vAlign w:val="center"/>
          </w:tcPr>
          <w:p w14:paraId="084CD7C3">
            <w:pPr>
              <w:tabs>
                <w:tab w:val="left" w:pos="720"/>
              </w:tabs>
              <w:adjustRightInd w:val="0"/>
              <w:snapToGrid w:val="0"/>
              <w:jc w:val="center"/>
              <w:rPr>
                <w:rFonts w:ascii="仿宋" w:hAnsi="仿宋" w:eastAsia="仿宋" w:cs="仿宋"/>
                <w:kern w:val="0"/>
                <w:sz w:val="24"/>
                <w:szCs w:val="24"/>
              </w:rPr>
            </w:pPr>
            <w:r>
              <w:rPr>
                <w:rFonts w:ascii="仿宋" w:hAnsi="仿宋" w:eastAsia="仿宋" w:cs="仿宋"/>
                <w:kern w:val="0"/>
                <w:sz w:val="24"/>
                <w:szCs w:val="24"/>
              </w:rPr>
              <w:t>0</w:t>
            </w:r>
            <w:r>
              <w:rPr>
                <w:rFonts w:hint="eastAsia" w:ascii="仿宋" w:hAnsi="仿宋" w:eastAsia="仿宋" w:cs="仿宋"/>
                <w:kern w:val="0"/>
                <w:sz w:val="24"/>
                <w:szCs w:val="24"/>
                <w:lang w:eastAsia="zh-Hans"/>
              </w:rPr>
              <w:t>.</w:t>
            </w:r>
            <w:r>
              <w:rPr>
                <w:rFonts w:ascii="仿宋" w:hAnsi="仿宋" w:eastAsia="仿宋" w:cs="仿宋"/>
                <w:kern w:val="0"/>
                <w:sz w:val="24"/>
                <w:szCs w:val="24"/>
                <w:lang w:eastAsia="zh-Hans"/>
              </w:rPr>
              <w:t>7</w:t>
            </w:r>
            <w:r>
              <w:rPr>
                <w:rFonts w:hint="eastAsia" w:ascii="仿宋" w:hAnsi="仿宋" w:eastAsia="仿宋" w:cs="仿宋"/>
                <w:kern w:val="0"/>
                <w:sz w:val="24"/>
                <w:szCs w:val="24"/>
              </w:rPr>
              <w:t>5</w:t>
            </w:r>
          </w:p>
        </w:tc>
      </w:tr>
      <w:tr w14:paraId="0EB02267">
        <w:trPr>
          <w:trHeight w:val="515" w:hRule="atLeast"/>
        </w:trPr>
        <w:tc>
          <w:tcPr>
            <w:tcW w:w="1143" w:type="dxa"/>
            <w:vMerge w:val="continue"/>
            <w:noWrap w:val="0"/>
            <w:vAlign w:val="center"/>
          </w:tcPr>
          <w:p w14:paraId="0F16E5D8">
            <w:pPr>
              <w:adjustRightInd w:val="0"/>
              <w:snapToGrid w:val="0"/>
              <w:spacing w:line="240" w:lineRule="atLeast"/>
              <w:jc w:val="center"/>
              <w:rPr>
                <w:rFonts w:ascii="仿宋" w:hAnsi="仿宋" w:eastAsia="仿宋" w:cs="仿宋"/>
                <w:sz w:val="24"/>
                <w:szCs w:val="24"/>
                <w:lang w:eastAsia="zh-TW"/>
              </w:rPr>
            </w:pPr>
          </w:p>
        </w:tc>
        <w:tc>
          <w:tcPr>
            <w:tcW w:w="1143" w:type="dxa"/>
            <w:tcBorders>
              <w:bottom w:val="single" w:color="auto" w:sz="4" w:space="0"/>
            </w:tcBorders>
            <w:noWrap w:val="0"/>
            <w:vAlign w:val="center"/>
          </w:tcPr>
          <w:p w14:paraId="1E883B91">
            <w:pPr>
              <w:adjustRightInd w:val="0"/>
              <w:snapToGrid w:val="0"/>
              <w:jc w:val="center"/>
              <w:rPr>
                <w:rFonts w:ascii="仿宋" w:hAnsi="仿宋" w:eastAsia="仿宋" w:cs="仿宋"/>
                <w:sz w:val="24"/>
                <w:szCs w:val="24"/>
              </w:rPr>
            </w:pPr>
            <w:r>
              <w:rPr>
                <w:rFonts w:hint="eastAsia" w:ascii="仿宋" w:hAnsi="仿宋" w:eastAsia="仿宋" w:cs="仿宋"/>
                <w:kern w:val="0"/>
                <w:sz w:val="24"/>
                <w:szCs w:val="24"/>
              </w:rPr>
              <w:t>课程目标3（20%）</w:t>
            </w:r>
          </w:p>
        </w:tc>
        <w:tc>
          <w:tcPr>
            <w:tcW w:w="4065" w:type="dxa"/>
            <w:gridSpan w:val="4"/>
            <w:tcBorders>
              <w:bottom w:val="single" w:color="auto" w:sz="4" w:space="0"/>
              <w:right w:val="single" w:color="000000" w:sz="4" w:space="0"/>
            </w:tcBorders>
            <w:noWrap w:val="0"/>
            <w:vAlign w:val="center"/>
          </w:tcPr>
          <w:p w14:paraId="048A1EA1">
            <w:pPr>
              <w:numPr>
                <w:ilvl w:val="0"/>
                <w:numId w:val="39"/>
              </w:numPr>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具有一定的沟通交流能力，能够团结协作，有效地完成小型群舞的编排。</w:t>
            </w:r>
          </w:p>
          <w:p w14:paraId="33B6ADB5">
            <w:pPr>
              <w:numPr>
                <w:ilvl w:val="0"/>
                <w:numId w:val="39"/>
              </w:numPr>
              <w:adjustRightInd w:val="0"/>
              <w:snapToGrid w:val="0"/>
              <w:jc w:val="left"/>
              <w:rPr>
                <w:rFonts w:ascii="仿宋" w:hAnsi="仿宋" w:eastAsia="仿宋" w:cs="仿宋"/>
                <w:kern w:val="0"/>
                <w:sz w:val="24"/>
                <w:szCs w:val="24"/>
              </w:rPr>
            </w:pPr>
            <w:r>
              <w:rPr>
                <w:rFonts w:hint="eastAsia" w:ascii="仿宋" w:hAnsi="仿宋" w:eastAsia="仿宋" w:cs="仿宋"/>
                <w:kern w:val="0"/>
                <w:sz w:val="24"/>
                <w:szCs w:val="24"/>
              </w:rPr>
              <w:t>自觉和同伴形成学习共同体并能 从学习共同体中得到快乐和效用。</w:t>
            </w:r>
          </w:p>
          <w:p w14:paraId="4BE4D7AE">
            <w:pPr>
              <w:pStyle w:val="41"/>
            </w:pPr>
          </w:p>
        </w:tc>
        <w:tc>
          <w:tcPr>
            <w:tcW w:w="1270" w:type="dxa"/>
            <w:gridSpan w:val="3"/>
            <w:tcBorders>
              <w:left w:val="single" w:color="000000" w:sz="4" w:space="0"/>
              <w:bottom w:val="single" w:color="auto" w:sz="4" w:space="0"/>
            </w:tcBorders>
            <w:noWrap w:val="0"/>
            <w:vAlign w:val="center"/>
          </w:tcPr>
          <w:p w14:paraId="3EBA7B8D">
            <w:pPr>
              <w:adjustRightInd w:val="0"/>
              <w:snapToGrid w:val="0"/>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12</w:t>
            </w:r>
          </w:p>
        </w:tc>
        <w:tc>
          <w:tcPr>
            <w:tcW w:w="856" w:type="dxa"/>
            <w:gridSpan w:val="2"/>
            <w:tcBorders>
              <w:top w:val="single" w:color="000000" w:sz="4" w:space="0"/>
              <w:bottom w:val="single" w:color="auto" w:sz="4" w:space="0"/>
              <w:right w:val="single" w:color="000000" w:sz="4" w:space="0"/>
            </w:tcBorders>
            <w:noWrap w:val="0"/>
            <w:vAlign w:val="center"/>
          </w:tcPr>
          <w:p w14:paraId="72F54494">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8</w:t>
            </w:r>
          </w:p>
        </w:tc>
        <w:tc>
          <w:tcPr>
            <w:tcW w:w="671" w:type="dxa"/>
            <w:tcBorders>
              <w:top w:val="single" w:color="000000" w:sz="4" w:space="0"/>
              <w:left w:val="single" w:color="000000" w:sz="4" w:space="0"/>
              <w:bottom w:val="single" w:color="auto" w:sz="4" w:space="0"/>
            </w:tcBorders>
            <w:noWrap w:val="0"/>
            <w:vAlign w:val="center"/>
          </w:tcPr>
          <w:p w14:paraId="72444D9D">
            <w:pPr>
              <w:tabs>
                <w:tab w:val="left" w:pos="720"/>
              </w:tabs>
              <w:adjustRightInd w:val="0"/>
              <w:snapToGrid w:val="0"/>
              <w:jc w:val="center"/>
              <w:rPr>
                <w:rFonts w:ascii="仿宋" w:hAnsi="仿宋" w:eastAsia="仿宋" w:cs="仿宋"/>
                <w:kern w:val="0"/>
                <w:sz w:val="24"/>
                <w:szCs w:val="24"/>
              </w:rPr>
            </w:pPr>
            <w:r>
              <w:rPr>
                <w:rFonts w:ascii="仿宋" w:hAnsi="仿宋" w:eastAsia="仿宋" w:cs="仿宋"/>
                <w:kern w:val="0"/>
                <w:sz w:val="24"/>
                <w:szCs w:val="24"/>
              </w:rPr>
              <w:t>0</w:t>
            </w:r>
            <w:r>
              <w:rPr>
                <w:rFonts w:hint="eastAsia" w:ascii="仿宋" w:hAnsi="仿宋" w:eastAsia="仿宋" w:cs="仿宋"/>
                <w:kern w:val="0"/>
                <w:sz w:val="24"/>
                <w:szCs w:val="24"/>
                <w:lang w:eastAsia="zh-Hans"/>
              </w:rPr>
              <w:t>.</w:t>
            </w:r>
            <w:r>
              <w:rPr>
                <w:rFonts w:ascii="仿宋" w:hAnsi="仿宋" w:eastAsia="仿宋" w:cs="仿宋"/>
                <w:kern w:val="0"/>
                <w:sz w:val="24"/>
                <w:szCs w:val="24"/>
                <w:lang w:eastAsia="zh-Hans"/>
              </w:rPr>
              <w:t>7</w:t>
            </w:r>
            <w:r>
              <w:rPr>
                <w:rFonts w:hint="eastAsia" w:ascii="仿宋" w:hAnsi="仿宋" w:eastAsia="仿宋" w:cs="仿宋"/>
                <w:kern w:val="0"/>
                <w:sz w:val="24"/>
                <w:szCs w:val="24"/>
              </w:rPr>
              <w:t>5</w:t>
            </w:r>
          </w:p>
        </w:tc>
      </w:tr>
      <w:tr w14:paraId="3B7F390E">
        <w:trPr>
          <w:trHeight w:val="515" w:hRule="atLeast"/>
        </w:trPr>
        <w:tc>
          <w:tcPr>
            <w:tcW w:w="1143" w:type="dxa"/>
            <w:vMerge w:val="continue"/>
            <w:noWrap w:val="0"/>
            <w:vAlign w:val="center"/>
          </w:tcPr>
          <w:p w14:paraId="6CBBA5D3">
            <w:pPr>
              <w:adjustRightInd w:val="0"/>
              <w:snapToGrid w:val="0"/>
              <w:spacing w:line="240" w:lineRule="atLeast"/>
              <w:jc w:val="center"/>
              <w:rPr>
                <w:rFonts w:ascii="仿宋" w:hAnsi="仿宋" w:eastAsia="仿宋" w:cs="仿宋"/>
                <w:sz w:val="24"/>
                <w:szCs w:val="24"/>
                <w:lang w:eastAsia="zh-TW"/>
              </w:rPr>
            </w:pPr>
          </w:p>
        </w:tc>
        <w:tc>
          <w:tcPr>
            <w:tcW w:w="5208" w:type="dxa"/>
            <w:gridSpan w:val="5"/>
            <w:tcBorders>
              <w:bottom w:val="single" w:color="auto" w:sz="4" w:space="0"/>
              <w:right w:val="single" w:color="000000" w:sz="4" w:space="0"/>
            </w:tcBorders>
            <w:noWrap w:val="0"/>
            <w:vAlign w:val="center"/>
          </w:tcPr>
          <w:p w14:paraId="12CB9B0B">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总分</w:t>
            </w:r>
          </w:p>
        </w:tc>
        <w:tc>
          <w:tcPr>
            <w:tcW w:w="1270" w:type="dxa"/>
            <w:gridSpan w:val="3"/>
            <w:tcBorders>
              <w:left w:val="single" w:color="000000" w:sz="4" w:space="0"/>
              <w:bottom w:val="single" w:color="auto" w:sz="4" w:space="0"/>
            </w:tcBorders>
            <w:noWrap w:val="0"/>
            <w:vAlign w:val="center"/>
          </w:tcPr>
          <w:p w14:paraId="0CF94609">
            <w:pPr>
              <w:adjustRightInd w:val="0"/>
              <w:snapToGrid w:val="0"/>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60</w:t>
            </w:r>
          </w:p>
        </w:tc>
        <w:tc>
          <w:tcPr>
            <w:tcW w:w="856" w:type="dxa"/>
            <w:gridSpan w:val="2"/>
            <w:tcBorders>
              <w:top w:val="single" w:color="000000" w:sz="4" w:space="0"/>
              <w:bottom w:val="single" w:color="auto" w:sz="4" w:space="0"/>
              <w:right w:val="single" w:color="000000" w:sz="4" w:space="0"/>
            </w:tcBorders>
            <w:noWrap w:val="0"/>
            <w:vAlign w:val="center"/>
          </w:tcPr>
          <w:p w14:paraId="3DF0C704">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40</w:t>
            </w:r>
          </w:p>
        </w:tc>
        <w:tc>
          <w:tcPr>
            <w:tcW w:w="671" w:type="dxa"/>
            <w:tcBorders>
              <w:top w:val="single" w:color="000000" w:sz="4" w:space="0"/>
              <w:left w:val="single" w:color="000000" w:sz="4" w:space="0"/>
              <w:bottom w:val="single" w:color="auto" w:sz="4" w:space="0"/>
            </w:tcBorders>
            <w:noWrap w:val="0"/>
            <w:vAlign w:val="center"/>
          </w:tcPr>
          <w:p w14:paraId="1755BBA9">
            <w:pPr>
              <w:tabs>
                <w:tab w:val="left" w:pos="720"/>
              </w:tabs>
              <w:adjustRightInd w:val="0"/>
              <w:snapToGrid w:val="0"/>
              <w:jc w:val="center"/>
              <w:rPr>
                <w:rFonts w:hint="default" w:ascii="仿宋" w:hAnsi="仿宋" w:eastAsia="仿宋" w:cs="仿宋"/>
                <w:kern w:val="0"/>
                <w:sz w:val="24"/>
                <w:szCs w:val="24"/>
                <w:lang w:eastAsia="zh-Hans"/>
              </w:rPr>
            </w:pPr>
            <w:r>
              <w:rPr>
                <w:rFonts w:hint="default" w:ascii="仿宋" w:hAnsi="仿宋" w:eastAsia="仿宋" w:cs="仿宋"/>
                <w:kern w:val="0"/>
                <w:sz w:val="24"/>
                <w:szCs w:val="24"/>
                <w:lang w:eastAsia="zh-CN"/>
              </w:rPr>
              <w:t>0</w:t>
            </w:r>
            <w:r>
              <w:rPr>
                <w:rFonts w:hint="eastAsia" w:ascii="仿宋" w:hAnsi="仿宋" w:eastAsia="仿宋" w:cs="仿宋"/>
                <w:kern w:val="0"/>
                <w:sz w:val="24"/>
                <w:szCs w:val="24"/>
                <w:lang w:val="en-US" w:eastAsia="zh-Hans"/>
              </w:rPr>
              <w:t>.</w:t>
            </w:r>
            <w:r>
              <w:rPr>
                <w:rFonts w:hint="default" w:ascii="仿宋" w:hAnsi="仿宋" w:eastAsia="仿宋" w:cs="仿宋"/>
                <w:kern w:val="0"/>
                <w:sz w:val="24"/>
                <w:szCs w:val="24"/>
                <w:lang w:eastAsia="zh-Hans"/>
              </w:rPr>
              <w:t>75</w:t>
            </w:r>
          </w:p>
        </w:tc>
      </w:tr>
      <w:tr w14:paraId="1AAF5990">
        <w:tc>
          <w:tcPr>
            <w:tcW w:w="1143" w:type="dxa"/>
            <w:noWrap w:val="0"/>
            <w:vAlign w:val="center"/>
          </w:tcPr>
          <w:p w14:paraId="7A938FF5">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L</w:t>
            </w:r>
          </w:p>
          <w:p w14:paraId="747A33DC">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学习建议</w:t>
            </w:r>
          </w:p>
        </w:tc>
        <w:tc>
          <w:tcPr>
            <w:tcW w:w="8005" w:type="dxa"/>
            <w:gridSpan w:val="11"/>
            <w:tcBorders>
              <w:bottom w:val="single" w:color="auto" w:sz="4" w:space="0"/>
            </w:tcBorders>
            <w:noWrap w:val="0"/>
            <w:vAlign w:val="center"/>
          </w:tcPr>
          <w:p w14:paraId="6E19345D">
            <w:pPr>
              <w:adjustRightInd w:val="0"/>
              <w:snapToGrid w:val="0"/>
              <w:rPr>
                <w:rFonts w:ascii="仿宋" w:hAnsi="仿宋" w:eastAsia="仿宋" w:cs="仿宋"/>
                <w:bCs/>
                <w:sz w:val="24"/>
                <w:szCs w:val="24"/>
              </w:rPr>
            </w:pPr>
            <w:r>
              <w:rPr>
                <w:rFonts w:hint="eastAsia" w:ascii="仿宋" w:hAnsi="仿宋" w:eastAsia="仿宋" w:cs="仿宋"/>
                <w:bCs/>
                <w:sz w:val="24"/>
                <w:szCs w:val="24"/>
              </w:rPr>
              <w:t>1.自主学习。建议学生通过网络资源，规划自己的课程学习计划，充分发挥自身的学习能动性。</w:t>
            </w:r>
          </w:p>
          <w:p w14:paraId="5475D712">
            <w:pPr>
              <w:adjustRightInd w:val="0"/>
              <w:snapToGrid w:val="0"/>
              <w:rPr>
                <w:rFonts w:ascii="仿宋" w:hAnsi="仿宋" w:eastAsia="仿宋" w:cs="仿宋"/>
                <w:kern w:val="0"/>
                <w:sz w:val="24"/>
                <w:szCs w:val="24"/>
              </w:rPr>
            </w:pPr>
            <w:r>
              <w:rPr>
                <w:rFonts w:hint="eastAsia" w:ascii="仿宋" w:hAnsi="仿宋" w:eastAsia="仿宋" w:cs="仿宋"/>
                <w:bCs/>
                <w:sz w:val="24"/>
                <w:szCs w:val="24"/>
              </w:rPr>
              <w:t>2.研究性学习。鼓励学生针对课程教学内容，尝试理论课结合实践的教学方式，提高学生的学习兴趣，了解国内外最新形体训练知识，开阔学生的视野。</w:t>
            </w:r>
          </w:p>
        </w:tc>
      </w:tr>
      <w:tr w14:paraId="332D0001">
        <w:trPr>
          <w:trHeight w:val="454" w:hRule="atLeast"/>
        </w:trPr>
        <w:tc>
          <w:tcPr>
            <w:tcW w:w="1143" w:type="dxa"/>
            <w:noWrap w:val="0"/>
            <w:vAlign w:val="center"/>
          </w:tcPr>
          <w:p w14:paraId="12013722">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M</w:t>
            </w:r>
          </w:p>
          <w:p w14:paraId="1221F249">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评分量表</w:t>
            </w:r>
          </w:p>
        </w:tc>
        <w:tc>
          <w:tcPr>
            <w:tcW w:w="8005" w:type="dxa"/>
            <w:gridSpan w:val="11"/>
            <w:noWrap w:val="0"/>
            <w:vAlign w:val="center"/>
          </w:tcPr>
          <w:p w14:paraId="5C881B12">
            <w:pPr>
              <w:tabs>
                <w:tab w:val="left" w:pos="720"/>
              </w:tabs>
              <w:adjustRightInd w:val="0"/>
              <w:snapToGrid w:val="0"/>
              <w:rPr>
                <w:rFonts w:ascii="仿宋" w:hAnsi="仿宋" w:eastAsia="仿宋" w:cs="仿宋"/>
                <w:kern w:val="0"/>
                <w:sz w:val="24"/>
                <w:szCs w:val="24"/>
              </w:rPr>
            </w:pPr>
            <w:r>
              <w:rPr>
                <w:rFonts w:hint="eastAsia" w:ascii="仿宋" w:hAnsi="仿宋" w:eastAsia="仿宋" w:cs="仿宋"/>
                <w:kern w:val="0"/>
                <w:sz w:val="24"/>
                <w:szCs w:val="24"/>
              </w:rPr>
              <w:t>《舞蹈编导》课程目标评分量表见附表。</w:t>
            </w:r>
          </w:p>
        </w:tc>
      </w:tr>
      <w:tr w14:paraId="21638682">
        <w:trPr>
          <w:trHeight w:val="454" w:hRule="atLeast"/>
        </w:trPr>
        <w:tc>
          <w:tcPr>
            <w:tcW w:w="1143" w:type="dxa"/>
            <w:noWrap w:val="0"/>
            <w:vAlign w:val="center"/>
          </w:tcPr>
          <w:p w14:paraId="3F826D13">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备注</w:t>
            </w:r>
          </w:p>
        </w:tc>
        <w:tc>
          <w:tcPr>
            <w:tcW w:w="8005" w:type="dxa"/>
            <w:gridSpan w:val="11"/>
            <w:noWrap w:val="0"/>
            <w:vAlign w:val="center"/>
          </w:tcPr>
          <w:p w14:paraId="17614B3A">
            <w:pPr>
              <w:adjustRightInd w:val="0"/>
              <w:snapToGrid w:val="0"/>
              <w:rPr>
                <w:rFonts w:ascii="仿宋" w:hAnsi="仿宋" w:eastAsia="仿宋" w:cs="仿宋"/>
                <w:sz w:val="24"/>
                <w:szCs w:val="24"/>
              </w:rPr>
            </w:pPr>
            <w:r>
              <w:rPr>
                <w:rFonts w:hint="eastAsia" w:ascii="仿宋" w:hAnsi="仿宋" w:eastAsia="仿宋" w:cs="仿宋"/>
                <w:sz w:val="24"/>
                <w:szCs w:val="24"/>
              </w:rPr>
              <w:t>课程大纲A—M项由开课学院审批通过，任课教师不能自行更改。</w:t>
            </w:r>
          </w:p>
        </w:tc>
      </w:tr>
      <w:tr w14:paraId="5F1C8171">
        <w:trPr>
          <w:trHeight w:val="771" w:hRule="atLeast"/>
        </w:trPr>
        <w:tc>
          <w:tcPr>
            <w:tcW w:w="1143" w:type="dxa"/>
            <w:noWrap w:val="0"/>
            <w:vAlign w:val="center"/>
          </w:tcPr>
          <w:p w14:paraId="051F0572">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审批</w:t>
            </w:r>
          </w:p>
          <w:p w14:paraId="31A79F67">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意见</w:t>
            </w:r>
          </w:p>
        </w:tc>
        <w:tc>
          <w:tcPr>
            <w:tcW w:w="3614" w:type="dxa"/>
            <w:gridSpan w:val="3"/>
            <w:noWrap w:val="0"/>
            <w:vAlign w:val="center"/>
          </w:tcPr>
          <w:p w14:paraId="7D41F538">
            <w:pPr>
              <w:pageBreakBefore w:val="0"/>
              <w:widowControl/>
              <w:kinsoku/>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课程教学大纲修订负责人及教学团队成员</w:t>
            </w:r>
            <w:r>
              <w:rPr>
                <w:rFonts w:hint="eastAsia" w:ascii="仿宋" w:hAnsi="仿宋" w:eastAsia="仿宋" w:cs="仿宋"/>
                <w:color w:val="auto"/>
                <w:sz w:val="24"/>
                <w:szCs w:val="24"/>
              </w:rPr>
              <w:t>签名</w:t>
            </w:r>
            <w:r>
              <w:rPr>
                <w:rFonts w:hint="eastAsia" w:ascii="仿宋" w:hAnsi="仿宋" w:eastAsia="仿宋" w:cs="仿宋"/>
                <w:color w:val="auto"/>
                <w:kern w:val="0"/>
                <w:sz w:val="24"/>
                <w:szCs w:val="24"/>
              </w:rPr>
              <w:t xml:space="preserve">：   </w:t>
            </w:r>
          </w:p>
          <w:p w14:paraId="234958BD">
            <w:pPr>
              <w:pageBreakBefore w:val="0"/>
              <w:widowControl/>
              <w:kinsoku/>
              <w:overflowPunct/>
              <w:topLinePunct w:val="0"/>
              <w:bidi w:val="0"/>
              <w:adjustRightInd w:val="0"/>
              <w:snapToGrid w:val="0"/>
              <w:spacing w:line="240" w:lineRule="auto"/>
              <w:jc w:val="left"/>
              <w:rPr>
                <w:rFonts w:hint="eastAsia" w:ascii="仿宋" w:hAnsi="仿宋" w:eastAsia="仿宋" w:cs="仿宋"/>
                <w:color w:val="auto"/>
                <w:kern w:val="0"/>
                <w:sz w:val="24"/>
                <w:szCs w:val="24"/>
              </w:rPr>
            </w:pPr>
          </w:p>
          <w:p w14:paraId="609C5A51">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kern w:val="0"/>
                <w:sz w:val="24"/>
                <w:szCs w:val="24"/>
              </w:rPr>
            </w:pPr>
            <w:r>
              <w:rPr>
                <w:position w:val="-22"/>
              </w:rPr>
              <w:drawing>
                <wp:inline distT="0" distB="0" distL="114300" distR="114300">
                  <wp:extent cx="724535" cy="347345"/>
                  <wp:effectExtent l="0" t="0" r="9525" b="8890"/>
                  <wp:docPr id="24" name="图片 1"/>
                  <wp:cNvGraphicFramePr/>
                  <a:graphic xmlns:a="http://schemas.openxmlformats.org/drawingml/2006/main">
                    <a:graphicData uri="http://schemas.openxmlformats.org/drawingml/2006/picture">
                      <pic:pic xmlns:pic="http://schemas.openxmlformats.org/drawingml/2006/picture">
                        <pic:nvPicPr>
                          <pic:cNvPr id="24" name="图片 1"/>
                          <pic:cNvPicPr/>
                        </pic:nvPicPr>
                        <pic:blipFill>
                          <a:blip r:embed="rId160"/>
                          <a:stretch>
                            <a:fillRect/>
                          </a:stretch>
                        </pic:blipFill>
                        <pic:spPr>
                          <a:xfrm>
                            <a:off x="0" y="0"/>
                            <a:ext cx="724535" cy="347345"/>
                          </a:xfrm>
                          <a:prstGeom prst="rect">
                            <a:avLst/>
                          </a:prstGeom>
                          <a:noFill/>
                          <a:ln>
                            <a:noFill/>
                          </a:ln>
                        </pic:spPr>
                      </pic:pic>
                    </a:graphicData>
                  </a:graphic>
                </wp:inline>
              </w:drawing>
            </w:r>
            <w:r>
              <w:rPr>
                <w:rFonts w:hint="eastAsia" w:ascii="仿宋" w:hAnsi="仿宋" w:eastAsia="仿宋" w:cs="仿宋"/>
                <w:szCs w:val="21"/>
              </w:rPr>
              <w:drawing>
                <wp:inline distT="0" distB="0" distL="114300" distR="114300">
                  <wp:extent cx="664845" cy="387985"/>
                  <wp:effectExtent l="0" t="0" r="4445" b="635"/>
                  <wp:docPr id="2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6"/>
                          <pic:cNvPicPr>
                            <a:picLocks noChangeAspect="1"/>
                          </pic:cNvPicPr>
                        </pic:nvPicPr>
                        <pic:blipFill>
                          <a:blip r:embed="rId161"/>
                          <a:stretch>
                            <a:fillRect/>
                          </a:stretch>
                        </pic:blipFill>
                        <pic:spPr>
                          <a:xfrm>
                            <a:off x="0" y="0"/>
                            <a:ext cx="664845" cy="387985"/>
                          </a:xfrm>
                          <a:prstGeom prst="rect">
                            <a:avLst/>
                          </a:prstGeom>
                          <a:noFill/>
                          <a:ln>
                            <a:noFill/>
                          </a:ln>
                        </pic:spPr>
                      </pic:pic>
                    </a:graphicData>
                  </a:graphic>
                </wp:inline>
              </w:drawing>
            </w:r>
          </w:p>
          <w:p w14:paraId="1D511CB6">
            <w:pPr>
              <w:pageBreakBefore w:val="0"/>
              <w:widowControl/>
              <w:kinsoku/>
              <w:overflowPunct/>
              <w:topLinePunct w:val="0"/>
              <w:bidi w:val="0"/>
              <w:adjustRightInd w:val="0"/>
              <w:snapToGrid w:val="0"/>
              <w:spacing w:line="240" w:lineRule="auto"/>
              <w:jc w:val="left"/>
              <w:rPr>
                <w:rFonts w:hint="eastAsia" w:ascii="仿宋" w:hAnsi="仿宋" w:eastAsia="仿宋" w:cs="仿宋"/>
                <w:color w:val="auto"/>
                <w:kern w:val="0"/>
                <w:sz w:val="24"/>
                <w:szCs w:val="24"/>
              </w:rPr>
            </w:pPr>
          </w:p>
          <w:p w14:paraId="745354BE">
            <w:pPr>
              <w:pageBreakBefore w:val="0"/>
              <w:widowControl/>
              <w:kinsoku/>
              <w:overflowPunct/>
              <w:topLinePunct w:val="0"/>
              <w:bidi w:val="0"/>
              <w:adjustRightInd w:val="0"/>
              <w:snapToGrid w:val="0"/>
              <w:spacing w:line="240" w:lineRule="auto"/>
              <w:jc w:val="righ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 xml:space="preserve">                                                   </w:t>
            </w:r>
            <w:r>
              <w:rPr>
                <w:rFonts w:hint="eastAsia" w:ascii="仿宋" w:hAnsi="仿宋" w:eastAsia="仿宋" w:cs="仿宋"/>
                <w:color w:val="auto"/>
                <w:kern w:val="0"/>
                <w:sz w:val="24"/>
                <w:szCs w:val="24"/>
                <w:lang w:val="en-US" w:eastAsia="zh-CN"/>
              </w:rPr>
              <w:t>2026</w:t>
            </w:r>
            <w:r>
              <w:rPr>
                <w:rFonts w:hint="eastAsia" w:ascii="仿宋" w:hAnsi="仿宋" w:eastAsia="仿宋" w:cs="仿宋"/>
                <w:color w:val="auto"/>
                <w:kern w:val="0"/>
                <w:sz w:val="24"/>
                <w:szCs w:val="24"/>
              </w:rPr>
              <w:t xml:space="preserve">年 </w:t>
            </w:r>
            <w:r>
              <w:rPr>
                <w:rFonts w:hint="eastAsia" w:ascii="仿宋" w:hAnsi="仿宋" w:eastAsia="仿宋" w:cs="仿宋"/>
                <w:color w:val="auto"/>
                <w:kern w:val="0"/>
                <w:sz w:val="24"/>
                <w:szCs w:val="24"/>
                <w:lang w:val="en-US" w:eastAsia="zh-CN"/>
              </w:rPr>
              <w:t>9</w:t>
            </w:r>
            <w:r>
              <w:rPr>
                <w:rFonts w:hint="eastAsia" w:ascii="仿宋" w:hAnsi="仿宋" w:eastAsia="仿宋" w:cs="仿宋"/>
                <w:color w:val="auto"/>
                <w:kern w:val="0"/>
                <w:sz w:val="24"/>
                <w:szCs w:val="24"/>
              </w:rPr>
              <w:t xml:space="preserve"> 月 </w:t>
            </w:r>
            <w:r>
              <w:rPr>
                <w:rFonts w:hint="eastAsia" w:ascii="仿宋" w:hAnsi="仿宋" w:eastAsia="仿宋" w:cs="仿宋"/>
                <w:color w:val="auto"/>
                <w:kern w:val="0"/>
                <w:sz w:val="24"/>
                <w:szCs w:val="24"/>
                <w:lang w:val="en-US" w:eastAsia="zh-CN"/>
              </w:rPr>
              <w:t>1</w:t>
            </w:r>
            <w:r>
              <w:rPr>
                <w:rFonts w:hint="eastAsia" w:ascii="仿宋" w:hAnsi="仿宋" w:eastAsia="仿宋" w:cs="仿宋"/>
                <w:color w:val="auto"/>
                <w:kern w:val="0"/>
                <w:sz w:val="24"/>
                <w:szCs w:val="24"/>
              </w:rPr>
              <w:t xml:space="preserve"> 日 </w:t>
            </w:r>
          </w:p>
          <w:p w14:paraId="1C7E065B">
            <w:pPr>
              <w:pageBreakBefore w:val="0"/>
              <w:widowControl/>
              <w:kinsoku/>
              <w:overflowPunct/>
              <w:topLinePunct w:val="0"/>
              <w:bidi w:val="0"/>
              <w:adjustRightInd w:val="0"/>
              <w:snapToGrid w:val="0"/>
              <w:spacing w:line="240" w:lineRule="auto"/>
              <w:jc w:val="right"/>
              <w:rPr>
                <w:rFonts w:ascii="仿宋" w:hAnsi="仿宋" w:eastAsia="仿宋" w:cs="仿宋"/>
                <w:kern w:val="0"/>
                <w:sz w:val="24"/>
                <w:szCs w:val="24"/>
              </w:rPr>
            </w:pPr>
          </w:p>
        </w:tc>
        <w:tc>
          <w:tcPr>
            <w:tcW w:w="4391" w:type="dxa"/>
            <w:gridSpan w:val="8"/>
            <w:noWrap w:val="0"/>
            <w:vAlign w:val="center"/>
          </w:tcPr>
          <w:p w14:paraId="26A36757">
            <w:pPr>
              <w:pageBreakBefore w:val="0"/>
              <w:widowControl/>
              <w:tabs>
                <w:tab w:val="left" w:pos="2487"/>
              </w:tabs>
              <w:kinsoku/>
              <w:overflowPunct/>
              <w:topLinePunct w:val="0"/>
              <w:bidi w:val="0"/>
              <w:adjustRightInd w:val="0"/>
              <w:snapToGrid w:val="0"/>
              <w:spacing w:line="240" w:lineRule="auto"/>
              <w:jc w:val="left"/>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rPr>
              <w:t>系主任审核意见：</w:t>
            </w:r>
            <w:r>
              <w:rPr>
                <w:rFonts w:hint="eastAsia" w:ascii="仿宋" w:hAnsi="仿宋" w:eastAsia="仿宋" w:cs="仿宋"/>
                <w:color w:val="auto"/>
                <w:kern w:val="0"/>
                <w:sz w:val="24"/>
                <w:szCs w:val="24"/>
                <w:lang w:val="en-US" w:eastAsia="zh-CN"/>
              </w:rPr>
              <w:t>同意</w:t>
            </w:r>
          </w:p>
          <w:p w14:paraId="396D4313">
            <w:pPr>
              <w:pageBreakBefore w:val="0"/>
              <w:widowControl/>
              <w:kinsoku/>
              <w:overflowPunct/>
              <w:topLinePunct w:val="0"/>
              <w:bidi w:val="0"/>
              <w:adjustRightInd w:val="0"/>
              <w:snapToGrid w:val="0"/>
              <w:spacing w:line="240" w:lineRule="auto"/>
              <w:jc w:val="left"/>
              <w:rPr>
                <w:rFonts w:hint="eastAsia" w:ascii="仿宋" w:hAnsi="仿宋" w:eastAsia="仿宋" w:cs="仿宋"/>
                <w:color w:val="auto"/>
                <w:kern w:val="0"/>
                <w:sz w:val="24"/>
                <w:szCs w:val="24"/>
              </w:rPr>
            </w:pPr>
          </w:p>
          <w:p w14:paraId="0C541818">
            <w:pPr>
              <w:pageBreakBefore w:val="0"/>
              <w:widowControl/>
              <w:kinsoku/>
              <w:overflowPunct/>
              <w:topLinePunct w:val="0"/>
              <w:bidi w:val="0"/>
              <w:adjustRightInd w:val="0"/>
              <w:snapToGrid w:val="0"/>
              <w:spacing w:line="240" w:lineRule="auto"/>
              <w:jc w:val="left"/>
              <w:rPr>
                <w:rFonts w:hint="eastAsia" w:ascii="仿宋" w:hAnsi="仿宋" w:eastAsia="仿宋" w:cs="仿宋"/>
                <w:color w:val="auto"/>
                <w:kern w:val="0"/>
                <w:sz w:val="24"/>
                <w:szCs w:val="24"/>
              </w:rPr>
            </w:pPr>
          </w:p>
          <w:p w14:paraId="730AF335">
            <w:pPr>
              <w:pageBreakBefore w:val="0"/>
              <w:widowControl/>
              <w:kinsoku/>
              <w:overflowPunct/>
              <w:topLinePunct w:val="0"/>
              <w:bidi w:val="0"/>
              <w:adjustRightInd w:val="0"/>
              <w:snapToGrid w:val="0"/>
              <w:spacing w:line="240" w:lineRule="auto"/>
              <w:jc w:val="left"/>
              <w:rPr>
                <w:rFonts w:hint="eastAsia" w:ascii="仿宋" w:hAnsi="仿宋" w:eastAsia="仿宋" w:cs="仿宋"/>
                <w:color w:val="auto"/>
                <w:kern w:val="0"/>
                <w:sz w:val="24"/>
                <w:szCs w:val="24"/>
              </w:rPr>
            </w:pPr>
          </w:p>
          <w:p w14:paraId="116F29B9">
            <w:pPr>
              <w:pageBreakBefore w:val="0"/>
              <w:widowControl/>
              <w:kinsoku/>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系主任签名：</w:t>
            </w:r>
          </w:p>
          <w:p w14:paraId="43EA614E">
            <w:pPr>
              <w:pageBreakBefore w:val="0"/>
              <w:widowControl/>
              <w:kinsoku/>
              <w:overflowPunct/>
              <w:topLinePunct w:val="0"/>
              <w:bidi w:val="0"/>
              <w:adjustRightInd w:val="0"/>
              <w:snapToGrid w:val="0"/>
              <w:spacing w:line="240" w:lineRule="auto"/>
              <w:jc w:val="right"/>
              <w:rPr>
                <w:rFonts w:hint="eastAsia" w:ascii="仿宋" w:hAnsi="仿宋" w:eastAsia="仿宋" w:cs="仿宋"/>
                <w:color w:val="auto"/>
                <w:kern w:val="0"/>
                <w:sz w:val="24"/>
                <w:szCs w:val="24"/>
              </w:rPr>
            </w:pPr>
            <w:r>
              <w:drawing>
                <wp:inline distT="0" distB="0" distL="114300" distR="114300">
                  <wp:extent cx="923290" cy="584200"/>
                  <wp:effectExtent l="0" t="0" r="5080" b="9525"/>
                  <wp:docPr id="2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3"/>
                          <pic:cNvPicPr>
                            <a:picLocks noChangeAspect="1"/>
                          </pic:cNvPicPr>
                        </pic:nvPicPr>
                        <pic:blipFill>
                          <a:blip r:embed="rId152">
                            <a:clrChange>
                              <a:clrFrom>
                                <a:srgbClr val="FFFFFF"/>
                              </a:clrFrom>
                              <a:clrTo>
                                <a:srgbClr val="FFFFFF">
                                  <a:alpha val="0"/>
                                </a:srgbClr>
                              </a:clrTo>
                            </a:clrChange>
                          </a:blip>
                          <a:stretch>
                            <a:fillRect/>
                          </a:stretch>
                        </pic:blipFill>
                        <pic:spPr>
                          <a:xfrm>
                            <a:off x="0" y="0"/>
                            <a:ext cx="923290" cy="584200"/>
                          </a:xfrm>
                          <a:prstGeom prst="rect">
                            <a:avLst/>
                          </a:prstGeom>
                          <a:noFill/>
                          <a:ln>
                            <a:noFill/>
                          </a:ln>
                        </pic:spPr>
                      </pic:pic>
                    </a:graphicData>
                  </a:graphic>
                </wp:inline>
              </w:drawing>
            </w:r>
          </w:p>
          <w:p w14:paraId="3CBFF86D">
            <w:pPr>
              <w:pageBreakBefore w:val="0"/>
              <w:widowControl/>
              <w:kinsoku/>
              <w:overflowPunct/>
              <w:topLinePunct w:val="0"/>
              <w:bidi w:val="0"/>
              <w:adjustRightInd w:val="0"/>
              <w:snapToGrid w:val="0"/>
              <w:spacing w:line="240" w:lineRule="auto"/>
              <w:jc w:val="right"/>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2026</w:t>
            </w:r>
            <w:r>
              <w:rPr>
                <w:rFonts w:hint="eastAsia" w:ascii="仿宋" w:hAnsi="仿宋" w:eastAsia="仿宋" w:cs="仿宋"/>
                <w:color w:val="auto"/>
                <w:kern w:val="0"/>
                <w:sz w:val="24"/>
                <w:szCs w:val="24"/>
              </w:rPr>
              <w:t xml:space="preserve">年 </w:t>
            </w:r>
            <w:r>
              <w:rPr>
                <w:rFonts w:hint="eastAsia" w:ascii="仿宋" w:hAnsi="仿宋" w:eastAsia="仿宋" w:cs="仿宋"/>
                <w:color w:val="auto"/>
                <w:kern w:val="0"/>
                <w:sz w:val="24"/>
                <w:szCs w:val="24"/>
                <w:lang w:val="en-US" w:eastAsia="zh-CN"/>
              </w:rPr>
              <w:t>9</w:t>
            </w:r>
            <w:r>
              <w:rPr>
                <w:rFonts w:hint="eastAsia" w:ascii="仿宋" w:hAnsi="仿宋" w:eastAsia="仿宋" w:cs="仿宋"/>
                <w:color w:val="auto"/>
                <w:kern w:val="0"/>
                <w:sz w:val="24"/>
                <w:szCs w:val="24"/>
              </w:rPr>
              <w:t xml:space="preserve"> 月 </w:t>
            </w:r>
            <w:r>
              <w:rPr>
                <w:rFonts w:hint="eastAsia" w:ascii="仿宋" w:hAnsi="仿宋" w:eastAsia="仿宋" w:cs="仿宋"/>
                <w:color w:val="auto"/>
                <w:kern w:val="0"/>
                <w:sz w:val="24"/>
                <w:szCs w:val="24"/>
                <w:lang w:val="en-US" w:eastAsia="zh-CN"/>
              </w:rPr>
              <w:t>1</w:t>
            </w:r>
            <w:r>
              <w:rPr>
                <w:rFonts w:hint="eastAsia" w:ascii="仿宋" w:hAnsi="仿宋" w:eastAsia="仿宋" w:cs="仿宋"/>
                <w:color w:val="auto"/>
                <w:kern w:val="0"/>
                <w:sz w:val="24"/>
                <w:szCs w:val="24"/>
              </w:rPr>
              <w:t xml:space="preserve"> 日</w:t>
            </w:r>
          </w:p>
          <w:p w14:paraId="49589B59">
            <w:pPr>
              <w:pageBreakBefore w:val="0"/>
              <w:widowControl/>
              <w:kinsoku/>
              <w:overflowPunct/>
              <w:topLinePunct w:val="0"/>
              <w:bidi w:val="0"/>
              <w:adjustRightInd w:val="0"/>
              <w:snapToGrid w:val="0"/>
              <w:spacing w:line="240" w:lineRule="auto"/>
              <w:jc w:val="right"/>
              <w:rPr>
                <w:rFonts w:ascii="仿宋" w:hAnsi="仿宋" w:eastAsia="仿宋" w:cs="仿宋"/>
                <w:kern w:val="0"/>
                <w:sz w:val="24"/>
                <w:szCs w:val="24"/>
              </w:rPr>
            </w:pPr>
          </w:p>
        </w:tc>
      </w:tr>
    </w:tbl>
    <w:p w14:paraId="4CDD9BDA">
      <w:pPr>
        <w:rPr>
          <w:sz w:val="2"/>
          <w:szCs w:val="2"/>
        </w:rPr>
        <w:sectPr>
          <w:headerReference r:id="rId111" w:type="default"/>
          <w:footerReference r:id="rId112" w:type="default"/>
          <w:pgSz w:w="11906" w:h="16838"/>
          <w:pgMar w:top="1440" w:right="1800" w:bottom="1440" w:left="1800" w:header="851" w:footer="992" w:gutter="0"/>
          <w:cols w:space="720" w:num="1"/>
          <w:docGrid w:type="lines" w:linePitch="312" w:charSpace="0"/>
        </w:sectPr>
      </w:pPr>
    </w:p>
    <w:p w14:paraId="1A70F843">
      <w:pPr>
        <w:pageBreakBefore w:val="0"/>
        <w:kinsoku/>
        <w:overflowPunct/>
        <w:topLinePunct w:val="0"/>
        <w:bidi w:val="0"/>
        <w:adjustRightInd w:val="0"/>
        <w:snapToGrid w:val="0"/>
        <w:spacing w:line="240" w:lineRule="auto"/>
        <w:jc w:val="center"/>
        <w:rPr>
          <w:rFonts w:hint="eastAsia" w:ascii="微软雅黑" w:eastAsia="微软雅黑"/>
          <w:sz w:val="44"/>
          <w:szCs w:val="44"/>
        </w:rPr>
      </w:pPr>
      <w:r>
        <w:rPr>
          <w:rFonts w:hint="eastAsia" w:ascii="微软雅黑" w:eastAsia="微软雅黑"/>
          <w:sz w:val="44"/>
          <w:szCs w:val="44"/>
        </w:rPr>
        <w:t>三明学院音乐学（音乐教育）专业</w:t>
      </w:r>
    </w:p>
    <w:p w14:paraId="777BB63B">
      <w:pPr>
        <w:pStyle w:val="2"/>
        <w:pageBreakBefore w:val="0"/>
        <w:kinsoku/>
        <w:overflowPunct/>
        <w:topLinePunct w:val="0"/>
        <w:bidi w:val="0"/>
        <w:spacing w:before="0" w:beforeAutospacing="0" w:after="0" w:afterAutospacing="0" w:line="240" w:lineRule="auto"/>
        <w:jc w:val="center"/>
        <w:rPr>
          <w:rFonts w:hint="eastAsia" w:ascii="微软雅黑" w:eastAsia="微软雅黑" w:cs="仿宋"/>
          <w:b w:val="0"/>
          <w:bCs w:val="0"/>
          <w:color w:val="000000"/>
          <w:sz w:val="28"/>
          <w:szCs w:val="28"/>
          <w:lang w:bidi="ar-SA"/>
        </w:rPr>
      </w:pPr>
      <w:bookmarkStart w:id="203" w:name="_Toc904421164"/>
      <w:r>
        <w:rPr>
          <w:rFonts w:hint="eastAsia" w:ascii="微软雅黑" w:eastAsia="微软雅黑"/>
          <w:b w:val="0"/>
          <w:bCs w:val="0"/>
          <w:sz w:val="44"/>
          <w:szCs w:val="44"/>
        </w:rPr>
        <w:t>《剧目排练》课程教学大纲</w:t>
      </w:r>
      <w:bookmarkEnd w:id="203"/>
    </w:p>
    <w:tbl>
      <w:tblPr>
        <w:tblStyle w:val="22"/>
        <w:tblW w:w="91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143"/>
        <w:gridCol w:w="1143"/>
        <w:gridCol w:w="358"/>
        <w:gridCol w:w="100"/>
        <w:gridCol w:w="1601"/>
        <w:gridCol w:w="227"/>
        <w:gridCol w:w="1144"/>
        <w:gridCol w:w="230"/>
        <w:gridCol w:w="353"/>
        <w:gridCol w:w="561"/>
        <w:gridCol w:w="711"/>
        <w:gridCol w:w="795"/>
        <w:gridCol w:w="782"/>
      </w:tblGrid>
      <w:tr w14:paraId="2101E0A0">
        <w:trPr>
          <w:trHeight w:val="454" w:hRule="atLeast"/>
        </w:trPr>
        <w:tc>
          <w:tcPr>
            <w:tcW w:w="1143" w:type="dxa"/>
            <w:noWrap w:val="0"/>
            <w:vAlign w:val="center"/>
          </w:tcPr>
          <w:p w14:paraId="69954CF2">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课程名称</w:t>
            </w:r>
          </w:p>
        </w:tc>
        <w:tc>
          <w:tcPr>
            <w:tcW w:w="4803" w:type="dxa"/>
            <w:gridSpan w:val="7"/>
            <w:noWrap w:val="0"/>
            <w:vAlign w:val="center"/>
          </w:tcPr>
          <w:p w14:paraId="71698B60">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《剧目排练》</w:t>
            </w:r>
          </w:p>
        </w:tc>
        <w:tc>
          <w:tcPr>
            <w:tcW w:w="1625" w:type="dxa"/>
            <w:gridSpan w:val="3"/>
            <w:noWrap w:val="0"/>
            <w:vAlign w:val="center"/>
          </w:tcPr>
          <w:p w14:paraId="69661452">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课程代码</w:t>
            </w:r>
          </w:p>
        </w:tc>
        <w:tc>
          <w:tcPr>
            <w:tcW w:w="1577" w:type="dxa"/>
            <w:gridSpan w:val="2"/>
            <w:noWrap w:val="0"/>
            <w:vAlign w:val="center"/>
          </w:tcPr>
          <w:p w14:paraId="3E55C323">
            <w:pPr>
              <w:adjustRightInd w:val="0"/>
              <w:snapToGrid w:val="0"/>
              <w:spacing w:line="240" w:lineRule="atLeast"/>
              <w:ind w:firstLine="210" w:firstLineChars="100"/>
              <w:jc w:val="both"/>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1213402612</w:t>
            </w:r>
          </w:p>
          <w:p w14:paraId="73C2A498">
            <w:pPr>
              <w:adjustRightInd w:val="0"/>
              <w:snapToGrid w:val="0"/>
              <w:spacing w:line="240" w:lineRule="atLeast"/>
              <w:ind w:firstLine="210" w:firstLineChars="100"/>
              <w:jc w:val="both"/>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1213402613</w:t>
            </w:r>
          </w:p>
        </w:tc>
      </w:tr>
      <w:tr w14:paraId="5FC72A32">
        <w:trPr>
          <w:trHeight w:val="454" w:hRule="atLeast"/>
        </w:trPr>
        <w:tc>
          <w:tcPr>
            <w:tcW w:w="1143" w:type="dxa"/>
            <w:noWrap w:val="0"/>
            <w:vAlign w:val="center"/>
          </w:tcPr>
          <w:p w14:paraId="102113DB">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课程类型</w:t>
            </w:r>
          </w:p>
        </w:tc>
        <w:tc>
          <w:tcPr>
            <w:tcW w:w="8005" w:type="dxa"/>
            <w:gridSpan w:val="12"/>
            <w:noWrap w:val="0"/>
            <w:vAlign w:val="center"/>
          </w:tcPr>
          <w:p w14:paraId="2D6C08B9">
            <w:pPr>
              <w:adjustRightInd w:val="0"/>
              <w:snapToGrid w:val="0"/>
              <w:spacing w:line="240" w:lineRule="atLeast"/>
              <w:rPr>
                <w:rFonts w:hint="default" w:ascii="仿宋" w:hAnsi="仿宋" w:eastAsia="仿宋" w:cs="仿宋"/>
                <w:sz w:val="24"/>
                <w:szCs w:val="24"/>
                <w:lang w:val="en-US" w:eastAsia="zh-CN"/>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通识必修 </w:t>
            </w:r>
            <w:r>
              <w:rPr>
                <w:rFonts w:hint="eastAsia" w:ascii="仿宋" w:hAnsi="仿宋" w:eastAsia="仿宋" w:cs="仿宋"/>
                <w:sz w:val="24"/>
                <w:szCs w:val="24"/>
              </w:rPr>
              <w:sym w:font="Wingdings" w:char="00A8"/>
            </w:r>
            <w:r>
              <w:rPr>
                <w:rFonts w:hint="eastAsia" w:ascii="仿宋" w:hAnsi="仿宋" w:eastAsia="仿宋" w:cs="仿宋"/>
                <w:sz w:val="24"/>
                <w:szCs w:val="24"/>
              </w:rPr>
              <w:t>通识选修</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专业必修  </w:t>
            </w:r>
            <w:r>
              <w:rPr>
                <w:rFonts w:hint="eastAsia" w:ascii="仿宋" w:hAnsi="仿宋" w:eastAsia="仿宋" w:cs="仿宋"/>
                <w:sz w:val="24"/>
                <w:szCs w:val="24"/>
              </w:rPr>
              <w:sym w:font="Wingdings" w:char="00FE"/>
            </w:r>
            <w:r>
              <w:rPr>
                <w:rFonts w:hint="eastAsia" w:ascii="仿宋" w:hAnsi="仿宋" w:eastAsia="仿宋" w:cs="仿宋"/>
                <w:sz w:val="24"/>
                <w:szCs w:val="24"/>
                <w:lang w:val="en-US" w:eastAsia="zh-CN"/>
              </w:rPr>
              <w:t>专业方向课</w:t>
            </w:r>
          </w:p>
          <w:p w14:paraId="040D8457">
            <w:pPr>
              <w:adjustRightInd w:val="0"/>
              <w:snapToGrid w:val="0"/>
              <w:spacing w:line="240" w:lineRule="atLeast"/>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专业选修</w:t>
            </w:r>
            <w:r>
              <w:rPr>
                <w:rFonts w:hint="eastAsia" w:ascii="仿宋" w:hAnsi="仿宋" w:eastAsia="仿宋" w:cs="仿宋"/>
                <w:sz w:val="24"/>
                <w:szCs w:val="24"/>
                <w:lang w:eastAsia="zh-TW"/>
              </w:rPr>
              <w:t xml:space="preserve">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教师教育必修 </w:t>
            </w:r>
            <w:r>
              <w:rPr>
                <w:rFonts w:hint="eastAsia" w:ascii="仿宋" w:hAnsi="仿宋" w:eastAsia="仿宋" w:cs="仿宋"/>
                <w:sz w:val="24"/>
                <w:szCs w:val="24"/>
              </w:rPr>
              <w:sym w:font="Wingdings" w:char="00A8"/>
            </w:r>
            <w:r>
              <w:rPr>
                <w:rFonts w:hint="eastAsia" w:ascii="仿宋" w:hAnsi="仿宋" w:eastAsia="仿宋" w:cs="仿宋"/>
                <w:sz w:val="24"/>
                <w:szCs w:val="24"/>
              </w:rPr>
              <w:t>教师教育选修</w:t>
            </w:r>
          </w:p>
        </w:tc>
      </w:tr>
      <w:tr w14:paraId="256DF580">
        <w:trPr>
          <w:trHeight w:val="406" w:hRule="atLeast"/>
        </w:trPr>
        <w:tc>
          <w:tcPr>
            <w:tcW w:w="1143" w:type="dxa"/>
            <w:noWrap w:val="0"/>
            <w:vAlign w:val="center"/>
          </w:tcPr>
          <w:p w14:paraId="1821D0F8">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开课学期</w:t>
            </w:r>
          </w:p>
        </w:tc>
        <w:tc>
          <w:tcPr>
            <w:tcW w:w="1601" w:type="dxa"/>
            <w:gridSpan w:val="3"/>
            <w:noWrap w:val="0"/>
            <w:vAlign w:val="center"/>
          </w:tcPr>
          <w:p w14:paraId="04866842">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第</w:t>
            </w:r>
            <w:r>
              <w:rPr>
                <w:rFonts w:hint="eastAsia" w:ascii="仿宋" w:hAnsi="仿宋" w:eastAsia="仿宋" w:cs="仿宋"/>
                <w:sz w:val="24"/>
                <w:szCs w:val="24"/>
                <w:lang w:val="en-US" w:eastAsia="zh-CN"/>
              </w:rPr>
              <w:t>5</w:t>
            </w:r>
            <w:r>
              <w:rPr>
                <w:rFonts w:hint="eastAsia" w:ascii="仿宋" w:hAnsi="仿宋" w:eastAsia="仿宋" w:cs="仿宋"/>
                <w:sz w:val="24"/>
                <w:szCs w:val="24"/>
              </w:rPr>
              <w:t>、</w:t>
            </w:r>
            <w:r>
              <w:rPr>
                <w:rFonts w:hint="eastAsia" w:ascii="仿宋" w:hAnsi="仿宋" w:eastAsia="仿宋" w:cs="仿宋"/>
                <w:sz w:val="24"/>
                <w:szCs w:val="24"/>
                <w:lang w:val="en-US" w:eastAsia="zh-CN"/>
              </w:rPr>
              <w:t>6</w:t>
            </w:r>
            <w:r>
              <w:rPr>
                <w:rFonts w:hint="eastAsia" w:ascii="仿宋" w:hAnsi="仿宋" w:eastAsia="仿宋" w:cs="仿宋"/>
                <w:sz w:val="24"/>
                <w:szCs w:val="24"/>
              </w:rPr>
              <w:t>学期</w:t>
            </w:r>
          </w:p>
        </w:tc>
        <w:tc>
          <w:tcPr>
            <w:tcW w:w="1601" w:type="dxa"/>
            <w:noWrap w:val="0"/>
            <w:vAlign w:val="center"/>
          </w:tcPr>
          <w:p w14:paraId="4E23BFF5">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学分</w:t>
            </w:r>
          </w:p>
        </w:tc>
        <w:tc>
          <w:tcPr>
            <w:tcW w:w="1601" w:type="dxa"/>
            <w:gridSpan w:val="3"/>
            <w:noWrap w:val="0"/>
            <w:vAlign w:val="center"/>
          </w:tcPr>
          <w:p w14:paraId="5B1FFE6D">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2</w:t>
            </w:r>
          </w:p>
        </w:tc>
        <w:tc>
          <w:tcPr>
            <w:tcW w:w="1625" w:type="dxa"/>
            <w:gridSpan w:val="3"/>
            <w:noWrap w:val="0"/>
            <w:vAlign w:val="center"/>
          </w:tcPr>
          <w:p w14:paraId="49486925">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课程负责人</w:t>
            </w:r>
          </w:p>
        </w:tc>
        <w:tc>
          <w:tcPr>
            <w:tcW w:w="1577" w:type="dxa"/>
            <w:gridSpan w:val="2"/>
            <w:noWrap w:val="0"/>
            <w:vAlign w:val="center"/>
          </w:tcPr>
          <w:p w14:paraId="11E7F1FD">
            <w:pPr>
              <w:adjustRightInd w:val="0"/>
              <w:snapToGrid w:val="0"/>
              <w:spacing w:line="240" w:lineRule="atLeast"/>
              <w:jc w:val="center"/>
              <w:rPr>
                <w:rFonts w:hint="eastAsia" w:ascii="仿宋" w:hAnsi="仿宋" w:eastAsia="仿宋" w:cs="仿宋"/>
                <w:sz w:val="24"/>
                <w:szCs w:val="24"/>
                <w:lang w:val="en-US" w:eastAsia="zh-Hans"/>
              </w:rPr>
            </w:pPr>
            <w:r>
              <w:rPr>
                <w:rFonts w:hint="eastAsia" w:ascii="仿宋" w:hAnsi="仿宋" w:eastAsia="仿宋" w:cs="仿宋"/>
                <w:sz w:val="24"/>
                <w:szCs w:val="24"/>
              </w:rPr>
              <w:t>陈捷</w:t>
            </w:r>
          </w:p>
        </w:tc>
      </w:tr>
      <w:tr w14:paraId="2760A9B8">
        <w:trPr>
          <w:trHeight w:val="485" w:hRule="atLeast"/>
        </w:trPr>
        <w:tc>
          <w:tcPr>
            <w:tcW w:w="1143" w:type="dxa"/>
            <w:noWrap w:val="0"/>
            <w:vAlign w:val="center"/>
          </w:tcPr>
          <w:p w14:paraId="61B7AA00">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总学时</w:t>
            </w:r>
          </w:p>
        </w:tc>
        <w:tc>
          <w:tcPr>
            <w:tcW w:w="1601" w:type="dxa"/>
            <w:gridSpan w:val="3"/>
            <w:noWrap w:val="0"/>
            <w:vAlign w:val="center"/>
          </w:tcPr>
          <w:p w14:paraId="3943303F">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64</w:t>
            </w:r>
          </w:p>
        </w:tc>
        <w:tc>
          <w:tcPr>
            <w:tcW w:w="1601" w:type="dxa"/>
            <w:noWrap w:val="0"/>
            <w:vAlign w:val="center"/>
          </w:tcPr>
          <w:p w14:paraId="02BE606D">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理论学时</w:t>
            </w:r>
          </w:p>
        </w:tc>
        <w:tc>
          <w:tcPr>
            <w:tcW w:w="1601" w:type="dxa"/>
            <w:gridSpan w:val="3"/>
            <w:noWrap w:val="0"/>
            <w:vAlign w:val="center"/>
          </w:tcPr>
          <w:p w14:paraId="4257697C">
            <w:pPr>
              <w:adjustRightInd w:val="0"/>
              <w:snapToGrid w:val="0"/>
              <w:spacing w:line="240" w:lineRule="atLeast"/>
              <w:jc w:val="center"/>
              <w:rPr>
                <w:rFonts w:hint="eastAsia" w:ascii="仿宋" w:hAnsi="仿宋" w:eastAsia="仿宋" w:cs="仿宋"/>
                <w:sz w:val="24"/>
                <w:szCs w:val="24"/>
              </w:rPr>
            </w:pPr>
          </w:p>
        </w:tc>
        <w:tc>
          <w:tcPr>
            <w:tcW w:w="1625" w:type="dxa"/>
            <w:gridSpan w:val="3"/>
            <w:tcBorders>
              <w:right w:val="single" w:color="000000" w:sz="4" w:space="0"/>
            </w:tcBorders>
            <w:noWrap w:val="0"/>
            <w:vAlign w:val="center"/>
          </w:tcPr>
          <w:p w14:paraId="17008DF1">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实践学时</w:t>
            </w:r>
          </w:p>
        </w:tc>
        <w:tc>
          <w:tcPr>
            <w:tcW w:w="1577" w:type="dxa"/>
            <w:gridSpan w:val="2"/>
            <w:tcBorders>
              <w:right w:val="single" w:color="000000" w:sz="4" w:space="0"/>
            </w:tcBorders>
            <w:noWrap w:val="0"/>
            <w:vAlign w:val="center"/>
          </w:tcPr>
          <w:p w14:paraId="4ADFF402">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64</w:t>
            </w:r>
          </w:p>
        </w:tc>
      </w:tr>
      <w:tr w14:paraId="569BACD9">
        <w:trPr>
          <w:trHeight w:val="454" w:hRule="atLeast"/>
        </w:trPr>
        <w:tc>
          <w:tcPr>
            <w:tcW w:w="1143" w:type="dxa"/>
            <w:noWrap w:val="0"/>
            <w:vAlign w:val="center"/>
          </w:tcPr>
          <w:p w14:paraId="43635DE0">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先修课程与后续课程</w:t>
            </w:r>
          </w:p>
        </w:tc>
        <w:tc>
          <w:tcPr>
            <w:tcW w:w="8005" w:type="dxa"/>
            <w:gridSpan w:val="12"/>
            <w:noWrap w:val="0"/>
            <w:vAlign w:val="center"/>
          </w:tcPr>
          <w:p w14:paraId="3F5FE157">
            <w:pPr>
              <w:tabs>
                <w:tab w:val="left" w:pos="720"/>
              </w:tabs>
              <w:adjustRightInd w:val="0"/>
              <w:snapToGrid w:val="0"/>
              <w:jc w:val="left"/>
              <w:rPr>
                <w:rFonts w:ascii="仿宋" w:hAnsi="仿宋" w:eastAsia="仿宋" w:cs="仿宋"/>
                <w:sz w:val="24"/>
                <w:szCs w:val="24"/>
              </w:rPr>
            </w:pPr>
            <w:r>
              <w:rPr>
                <w:rFonts w:hint="eastAsia" w:ascii="仿宋" w:hAnsi="仿宋" w:eastAsia="仿宋" w:cs="仿宋"/>
                <w:sz w:val="24"/>
                <w:szCs w:val="24"/>
              </w:rPr>
              <w:t>先修课程：形体舞蹈、民间舞、古典舞、现代舞、舞蹈编导</w:t>
            </w:r>
          </w:p>
          <w:p w14:paraId="166F0DD9">
            <w:pPr>
              <w:tabs>
                <w:tab w:val="left" w:pos="720"/>
              </w:tabs>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后续课程：无</w:t>
            </w:r>
          </w:p>
        </w:tc>
      </w:tr>
      <w:tr w14:paraId="78CBC9B8">
        <w:trPr>
          <w:trHeight w:val="454" w:hRule="atLeast"/>
        </w:trPr>
        <w:tc>
          <w:tcPr>
            <w:tcW w:w="1143" w:type="dxa"/>
            <w:noWrap w:val="0"/>
            <w:vAlign w:val="center"/>
          </w:tcPr>
          <w:p w14:paraId="23EB239F">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适用专业</w:t>
            </w:r>
          </w:p>
        </w:tc>
        <w:tc>
          <w:tcPr>
            <w:tcW w:w="8005" w:type="dxa"/>
            <w:gridSpan w:val="12"/>
            <w:noWrap w:val="0"/>
            <w:vAlign w:val="center"/>
          </w:tcPr>
          <w:p w14:paraId="01597887">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音乐学</w:t>
            </w:r>
          </w:p>
        </w:tc>
      </w:tr>
      <w:tr w14:paraId="26A3C824">
        <w:tc>
          <w:tcPr>
            <w:tcW w:w="1143" w:type="dxa"/>
            <w:tcBorders>
              <w:bottom w:val="single" w:color="auto" w:sz="4" w:space="0"/>
            </w:tcBorders>
            <w:noWrap w:val="0"/>
            <w:vAlign w:val="center"/>
          </w:tcPr>
          <w:p w14:paraId="23BE58B8">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A</w:t>
            </w:r>
          </w:p>
          <w:p w14:paraId="3C5D3CF6">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参考教材</w:t>
            </w:r>
          </w:p>
        </w:tc>
        <w:tc>
          <w:tcPr>
            <w:tcW w:w="8005" w:type="dxa"/>
            <w:gridSpan w:val="12"/>
            <w:tcBorders>
              <w:bottom w:val="single" w:color="auto" w:sz="4" w:space="0"/>
            </w:tcBorders>
            <w:noWrap w:val="0"/>
            <w:vAlign w:val="center"/>
          </w:tcPr>
          <w:p w14:paraId="66003706">
            <w:pPr>
              <w:adjustRightInd w:val="0"/>
              <w:snapToGrid w:val="0"/>
              <w:rPr>
                <w:rFonts w:ascii="仿宋" w:hAnsi="仿宋" w:eastAsia="仿宋" w:cs="仿宋"/>
                <w:sz w:val="24"/>
                <w:szCs w:val="24"/>
              </w:rPr>
            </w:pPr>
            <w:r>
              <w:rPr>
                <w:rFonts w:hint="eastAsia" w:ascii="仿宋" w:hAnsi="仿宋" w:eastAsia="仿宋" w:cs="仿宋"/>
                <w:sz w:val="24"/>
                <w:szCs w:val="24"/>
              </w:rPr>
              <w:t>1、历届“桃李杯”舞蹈比赛（完整版），北京环球音像出版社发行</w:t>
            </w:r>
          </w:p>
          <w:p w14:paraId="61E8F524">
            <w:pPr>
              <w:adjustRightInd w:val="0"/>
              <w:snapToGrid w:val="0"/>
              <w:rPr>
                <w:rFonts w:hint="eastAsia" w:ascii="仿宋" w:hAnsi="仿宋" w:eastAsia="仿宋" w:cs="仿宋"/>
                <w:sz w:val="24"/>
                <w:szCs w:val="24"/>
                <w:lang w:eastAsia="zh-CN"/>
              </w:rPr>
            </w:pPr>
            <w:r>
              <w:rPr>
                <w:rFonts w:hint="eastAsia" w:ascii="仿宋" w:hAnsi="仿宋" w:eastAsia="仿宋" w:cs="仿宋"/>
                <w:sz w:val="24"/>
                <w:szCs w:val="24"/>
              </w:rPr>
              <w:t>2、历届</w:t>
            </w:r>
            <w:r>
              <w:rPr>
                <w:rFonts w:hint="eastAsia" w:ascii="仿宋" w:hAnsi="仿宋" w:eastAsia="仿宋" w:cs="仿宋"/>
                <w:sz w:val="24"/>
                <w:szCs w:val="24"/>
                <w:lang w:val="en-US" w:eastAsia="zh-CN"/>
              </w:rPr>
              <w:t>全国舞蹈荷花奖终评视频</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全国舞蹈展演视频</w:t>
            </w:r>
          </w:p>
          <w:p w14:paraId="434579CB">
            <w:pPr>
              <w:adjustRightInd w:val="0"/>
              <w:snapToGrid w:val="0"/>
              <w:rPr>
                <w:rFonts w:ascii="仿宋" w:hAnsi="仿宋" w:eastAsia="仿宋" w:cs="仿宋"/>
                <w:sz w:val="24"/>
                <w:szCs w:val="24"/>
              </w:rPr>
            </w:pPr>
            <w:r>
              <w:rPr>
                <w:rFonts w:hint="eastAsia" w:ascii="仿宋" w:hAnsi="仿宋" w:eastAsia="仿宋" w:cs="仿宋"/>
                <w:sz w:val="24"/>
                <w:szCs w:val="24"/>
              </w:rPr>
              <w:t>3、《舞蹈编导基础教程》，李承祥著，北京舞蹈学院（内部教材）</w:t>
            </w:r>
          </w:p>
          <w:p w14:paraId="54BDFA1B">
            <w:pPr>
              <w:adjustRightInd w:val="0"/>
              <w:snapToGrid w:val="0"/>
              <w:rPr>
                <w:rFonts w:hint="eastAsia" w:ascii="仿宋" w:hAnsi="仿宋" w:eastAsia="仿宋" w:cs="仿宋"/>
                <w:sz w:val="24"/>
                <w:szCs w:val="24"/>
              </w:rPr>
            </w:pPr>
            <w:r>
              <w:rPr>
                <w:rFonts w:hint="eastAsia" w:ascii="仿宋" w:hAnsi="仿宋" w:eastAsia="仿宋" w:cs="仿宋"/>
                <w:sz w:val="24"/>
                <w:szCs w:val="24"/>
              </w:rPr>
              <w:t>4、《中外舞蹈思想概论》，于平，人民音乐出版社。</w:t>
            </w:r>
          </w:p>
        </w:tc>
      </w:tr>
      <w:tr w14:paraId="1857955F">
        <w:tc>
          <w:tcPr>
            <w:tcW w:w="1143" w:type="dxa"/>
            <w:tcBorders>
              <w:bottom w:val="single" w:color="auto" w:sz="4" w:space="0"/>
            </w:tcBorders>
            <w:noWrap w:val="0"/>
            <w:vAlign w:val="center"/>
          </w:tcPr>
          <w:p w14:paraId="58FDF96C">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B</w:t>
            </w:r>
          </w:p>
          <w:p w14:paraId="1AFE6DD0">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主要参考书籍</w:t>
            </w:r>
          </w:p>
        </w:tc>
        <w:tc>
          <w:tcPr>
            <w:tcW w:w="8005" w:type="dxa"/>
            <w:gridSpan w:val="12"/>
            <w:tcBorders>
              <w:bottom w:val="single" w:color="auto" w:sz="4" w:space="0"/>
            </w:tcBorders>
            <w:noWrap w:val="0"/>
            <w:vAlign w:val="center"/>
          </w:tcPr>
          <w:p w14:paraId="4DA4080A">
            <w:pPr>
              <w:adjustRightInd w:val="0"/>
              <w:snapToGrid w:val="0"/>
              <w:rPr>
                <w:rFonts w:hint="eastAsia" w:ascii="仿宋" w:hAnsi="仿宋" w:eastAsia="仿宋" w:cs="仿宋"/>
                <w:sz w:val="24"/>
                <w:szCs w:val="24"/>
                <w:lang w:eastAsia="zh-CN"/>
              </w:rPr>
            </w:pPr>
            <w:r>
              <w:rPr>
                <w:rFonts w:hint="eastAsia" w:ascii="仿宋" w:hAnsi="仿宋" w:eastAsia="仿宋" w:cs="仿宋"/>
                <w:sz w:val="24"/>
                <w:szCs w:val="24"/>
              </w:rPr>
              <w:t>1、历届</w:t>
            </w:r>
            <w:r>
              <w:rPr>
                <w:rFonts w:hint="eastAsia" w:ascii="仿宋" w:hAnsi="仿宋" w:eastAsia="仿宋" w:cs="仿宋"/>
                <w:sz w:val="24"/>
                <w:szCs w:val="24"/>
                <w:lang w:val="en-US" w:eastAsia="zh-CN"/>
              </w:rPr>
              <w:t>全国舞蹈荷花奖终评视频</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全国舞蹈展演视频</w:t>
            </w:r>
          </w:p>
          <w:p w14:paraId="5EEC4E3F">
            <w:pPr>
              <w:adjustRightInd w:val="0"/>
              <w:snapToGrid w:val="0"/>
              <w:rPr>
                <w:rFonts w:ascii="仿宋" w:hAnsi="仿宋" w:eastAsia="仿宋" w:cs="仿宋"/>
                <w:sz w:val="24"/>
                <w:szCs w:val="24"/>
              </w:rPr>
            </w:pPr>
            <w:r>
              <w:rPr>
                <w:rFonts w:hint="eastAsia" w:ascii="仿宋" w:hAnsi="仿宋" w:eastAsia="仿宋" w:cs="仿宋"/>
                <w:sz w:val="24"/>
                <w:szCs w:val="24"/>
              </w:rPr>
              <w:t>2、《舞蹈学导论》，吕艺生著，上海音乐出版社，2004</w:t>
            </w:r>
          </w:p>
          <w:p w14:paraId="4B303BAE">
            <w:pPr>
              <w:adjustRightInd w:val="0"/>
              <w:snapToGrid w:val="0"/>
              <w:rPr>
                <w:rFonts w:ascii="仿宋" w:hAnsi="仿宋" w:eastAsia="仿宋" w:cs="仿宋"/>
                <w:sz w:val="24"/>
                <w:szCs w:val="24"/>
              </w:rPr>
            </w:pPr>
            <w:r>
              <w:rPr>
                <w:rFonts w:hint="eastAsia" w:ascii="仿宋" w:hAnsi="仿宋" w:eastAsia="仿宋" w:cs="仿宋"/>
                <w:sz w:val="24"/>
                <w:szCs w:val="24"/>
              </w:rPr>
              <w:t>3、《中国舞蹈编导教材》，孙天路主编，高等教育出版社，2004年。</w:t>
            </w:r>
          </w:p>
          <w:p w14:paraId="262F3F21">
            <w:pPr>
              <w:adjustRightInd w:val="0"/>
              <w:snapToGrid w:val="0"/>
              <w:rPr>
                <w:rFonts w:hint="eastAsia" w:ascii="仿宋" w:hAnsi="仿宋" w:eastAsia="仿宋" w:cs="仿宋"/>
                <w:sz w:val="24"/>
                <w:szCs w:val="24"/>
              </w:rPr>
            </w:pPr>
            <w:r>
              <w:rPr>
                <w:rFonts w:hint="eastAsia" w:ascii="仿宋" w:hAnsi="仿宋" w:eastAsia="仿宋" w:cs="仿宋"/>
                <w:sz w:val="24"/>
                <w:szCs w:val="24"/>
              </w:rPr>
              <w:t>4、《舞蹈编导基础教程》，李承祥著，北京舞蹈学院（内部教材）</w:t>
            </w:r>
          </w:p>
        </w:tc>
      </w:tr>
      <w:tr w14:paraId="0045DD9F">
        <w:tc>
          <w:tcPr>
            <w:tcW w:w="1143" w:type="dxa"/>
            <w:tcBorders>
              <w:bottom w:val="single" w:color="auto" w:sz="4" w:space="0"/>
            </w:tcBorders>
            <w:noWrap w:val="0"/>
            <w:vAlign w:val="center"/>
          </w:tcPr>
          <w:p w14:paraId="1D455B2C">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C</w:t>
            </w:r>
          </w:p>
          <w:p w14:paraId="58246FA7">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线上学习资源</w:t>
            </w:r>
          </w:p>
        </w:tc>
        <w:tc>
          <w:tcPr>
            <w:tcW w:w="8005" w:type="dxa"/>
            <w:gridSpan w:val="12"/>
            <w:tcBorders>
              <w:bottom w:val="single" w:color="auto" w:sz="4" w:space="0"/>
            </w:tcBorders>
            <w:noWrap w:val="0"/>
            <w:vAlign w:val="center"/>
          </w:tcPr>
          <w:p w14:paraId="7AEC5B62">
            <w:pPr>
              <w:adjustRightInd w:val="0"/>
              <w:snapToGrid w:val="0"/>
              <w:rPr>
                <w:rFonts w:hint="eastAsia" w:ascii="仿宋" w:hAnsi="仿宋" w:eastAsia="仿宋" w:cs="仿宋"/>
                <w:kern w:val="0"/>
                <w:sz w:val="24"/>
                <w:szCs w:val="24"/>
              </w:rPr>
            </w:pPr>
            <w:r>
              <w:rPr>
                <w:rFonts w:hint="eastAsia" w:ascii="仿宋" w:hAnsi="仿宋" w:eastAsia="仿宋" w:cs="仿宋"/>
                <w:sz w:val="24"/>
                <w:szCs w:val="24"/>
                <w:lang w:val="en-US" w:eastAsia="zh-CN"/>
              </w:rPr>
              <w:t>相关教学视频、</w:t>
            </w:r>
            <w:r>
              <w:rPr>
                <w:rFonts w:hint="eastAsia" w:ascii="仿宋" w:hAnsi="仿宋" w:eastAsia="仿宋" w:cs="仿宋"/>
                <w:sz w:val="24"/>
                <w:szCs w:val="24"/>
              </w:rPr>
              <w:t>教学大纲、授课计划、考核方法、电子教材、阅读资料、网络文献、各大链接网址相关教学资源。</w:t>
            </w:r>
          </w:p>
        </w:tc>
      </w:tr>
      <w:tr w14:paraId="5EF15BF5">
        <w:trPr>
          <w:trHeight w:val="90" w:hRule="atLeast"/>
        </w:trPr>
        <w:tc>
          <w:tcPr>
            <w:tcW w:w="1143" w:type="dxa"/>
            <w:shd w:val="clear" w:color="auto" w:fill="FFFFFF"/>
            <w:noWrap w:val="0"/>
            <w:vAlign w:val="center"/>
          </w:tcPr>
          <w:p w14:paraId="3A3C465A">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D</w:t>
            </w:r>
          </w:p>
          <w:p w14:paraId="1BC5F76E">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 xml:space="preserve">课程描述 </w:t>
            </w:r>
          </w:p>
          <w:p w14:paraId="4274086F">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lang w:eastAsia="zh-TW"/>
              </w:rPr>
              <w:t>(</w:t>
            </w:r>
            <w:r>
              <w:rPr>
                <w:rFonts w:hint="eastAsia" w:ascii="仿宋" w:hAnsi="仿宋" w:eastAsia="仿宋" w:cs="仿宋"/>
                <w:sz w:val="24"/>
                <w:szCs w:val="24"/>
              </w:rPr>
              <w:t>含</w:t>
            </w:r>
            <w:r>
              <w:rPr>
                <w:rFonts w:hint="eastAsia" w:ascii="仿宋" w:hAnsi="仿宋" w:eastAsia="仿宋" w:cs="仿宋"/>
                <w:sz w:val="24"/>
                <w:szCs w:val="24"/>
                <w:lang w:eastAsia="zh-TW"/>
              </w:rPr>
              <w:t>性质、地位和任务)</w:t>
            </w:r>
          </w:p>
        </w:tc>
        <w:tc>
          <w:tcPr>
            <w:tcW w:w="8005" w:type="dxa"/>
            <w:gridSpan w:val="12"/>
            <w:tcBorders>
              <w:bottom w:val="single" w:color="auto" w:sz="4" w:space="0"/>
            </w:tcBorders>
            <w:shd w:val="clear" w:color="auto" w:fill="FFFFFF"/>
            <w:noWrap w:val="0"/>
            <w:vAlign w:val="center"/>
          </w:tcPr>
          <w:p w14:paraId="78A602C8">
            <w:pPr>
              <w:adjustRightInd w:val="0"/>
              <w:snapToGrid w:val="0"/>
              <w:spacing w:line="240" w:lineRule="atLeast"/>
              <w:jc w:val="left"/>
              <w:rPr>
                <w:rFonts w:hint="eastAsia" w:ascii="仿宋" w:hAnsi="仿宋" w:eastAsia="仿宋" w:cs="仿宋"/>
                <w:sz w:val="24"/>
                <w:szCs w:val="24"/>
                <w:lang w:eastAsia="zh-CN"/>
              </w:rPr>
            </w:pPr>
            <w:r>
              <w:rPr>
                <w:rFonts w:hint="eastAsia" w:ascii="仿宋" w:hAnsi="仿宋" w:eastAsia="仿宋" w:cs="仿宋"/>
                <w:sz w:val="24"/>
                <w:szCs w:val="24"/>
              </w:rPr>
              <w:t>本课程是普通高等学校音乐学本科专业的专业必修课程，是培养学生从事音乐教育音乐表演、艺术相关工作基本能力的一门课程，是培养学生艺术综合素养的重要途径，对于学生认识自我身体、展现个人综合的素质具有重要作用</w:t>
            </w:r>
            <w:r>
              <w:rPr>
                <w:rFonts w:hint="eastAsia" w:ascii="仿宋" w:hAnsi="仿宋" w:eastAsia="仿宋" w:cs="仿宋"/>
                <w:sz w:val="24"/>
                <w:szCs w:val="24"/>
                <w:lang w:eastAsia="zh-CN"/>
              </w:rPr>
              <w:t>。</w:t>
            </w:r>
          </w:p>
          <w:p w14:paraId="389DA652">
            <w:pPr>
              <w:adjustRightInd w:val="0"/>
              <w:snapToGrid w:val="0"/>
              <w:rPr>
                <w:rFonts w:ascii="仿宋" w:hAnsi="仿宋" w:eastAsia="仿宋" w:cs="仿宋"/>
                <w:kern w:val="0"/>
                <w:sz w:val="24"/>
                <w:szCs w:val="24"/>
              </w:rPr>
            </w:pPr>
          </w:p>
        </w:tc>
      </w:tr>
      <w:tr w14:paraId="30A78F13">
        <w:trPr>
          <w:trHeight w:val="659" w:hRule="atLeast"/>
        </w:trPr>
        <w:tc>
          <w:tcPr>
            <w:tcW w:w="1143" w:type="dxa"/>
            <w:vMerge w:val="restart"/>
            <w:shd w:val="clear" w:color="auto" w:fill="FFFFFF"/>
            <w:noWrap w:val="0"/>
            <w:vAlign w:val="center"/>
          </w:tcPr>
          <w:p w14:paraId="3C08E013">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E</w:t>
            </w:r>
          </w:p>
          <w:p w14:paraId="74E54D6A">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课程学习目标及其与毕业要求的对应关系</w:t>
            </w:r>
          </w:p>
        </w:tc>
        <w:tc>
          <w:tcPr>
            <w:tcW w:w="8005" w:type="dxa"/>
            <w:gridSpan w:val="12"/>
            <w:tcBorders>
              <w:bottom w:val="single" w:color="auto" w:sz="4" w:space="0"/>
            </w:tcBorders>
            <w:shd w:val="clear" w:color="auto" w:fill="FFFFFF"/>
            <w:noWrap w:val="0"/>
            <w:vAlign w:val="center"/>
          </w:tcPr>
          <w:p w14:paraId="798FC398">
            <w:pPr>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通过本课程的学习，学生具备如下知识、能力及情感态度价值观：</w:t>
            </w:r>
          </w:p>
          <w:p w14:paraId="406884AA">
            <w:pPr>
              <w:adjustRightInd w:val="0"/>
              <w:snapToGrid w:val="0"/>
              <w:jc w:val="left"/>
              <w:rPr>
                <w:rFonts w:ascii="仿宋" w:hAnsi="仿宋" w:eastAsia="仿宋" w:cs="仿宋"/>
                <w:kern w:val="0"/>
                <w:sz w:val="24"/>
                <w:szCs w:val="24"/>
                <w:lang w:val="en-US" w:eastAsia="zh-CN" w:bidi="ar-SA"/>
              </w:rPr>
            </w:pPr>
            <w:r>
              <w:rPr>
                <w:rFonts w:hint="eastAsia" w:ascii="仿宋" w:hAnsi="仿宋" w:eastAsia="仿宋" w:cs="仿宋"/>
                <w:b/>
                <w:bCs/>
                <w:kern w:val="0"/>
                <w:sz w:val="24"/>
                <w:szCs w:val="24"/>
                <w:lang w:val="en-US" w:eastAsia="zh-CN" w:bidi="ar-SA"/>
              </w:rPr>
              <w:t>课程目标1</w:t>
            </w:r>
            <w:r>
              <w:rPr>
                <w:rFonts w:hint="default" w:ascii="仿宋" w:hAnsi="仿宋" w:eastAsia="仿宋" w:cs="仿宋"/>
                <w:b/>
                <w:bCs/>
                <w:kern w:val="0"/>
                <w:sz w:val="24"/>
                <w:szCs w:val="24"/>
                <w:lang w:eastAsia="zh-CN" w:bidi="ar-SA"/>
              </w:rPr>
              <w:t>：</w:t>
            </w:r>
            <w:r>
              <w:rPr>
                <w:rFonts w:hint="eastAsia" w:ascii="仿宋" w:hAnsi="仿宋" w:eastAsia="仿宋" w:cs="仿宋"/>
                <w:kern w:val="0"/>
                <w:sz w:val="24"/>
                <w:szCs w:val="24"/>
                <w:lang w:val="en-US" w:eastAsia="zh-CN" w:bidi="ar-SA"/>
              </w:rPr>
              <w:t>具有一定的舞蹈</w:t>
            </w:r>
            <w:r>
              <w:rPr>
                <w:rFonts w:ascii="仿宋" w:hAnsi="仿宋" w:eastAsia="仿宋" w:cs="仿宋"/>
                <w:kern w:val="0"/>
                <w:sz w:val="24"/>
                <w:szCs w:val="24"/>
                <w:lang w:val="en-US" w:eastAsia="zh-CN" w:bidi="ar-SA"/>
              </w:rPr>
              <w:t>教学</w:t>
            </w:r>
            <w:r>
              <w:rPr>
                <w:rFonts w:hint="eastAsia" w:ascii="仿宋" w:hAnsi="仿宋" w:eastAsia="仿宋" w:cs="仿宋"/>
                <w:kern w:val="0"/>
                <w:sz w:val="24"/>
                <w:szCs w:val="24"/>
                <w:lang w:val="en-US" w:eastAsia="zh-CN" w:bidi="ar-SA"/>
              </w:rPr>
              <w:t>编排能</w:t>
            </w:r>
            <w:r>
              <w:rPr>
                <w:rFonts w:ascii="仿宋" w:hAnsi="仿宋" w:eastAsia="仿宋" w:cs="仿宋"/>
                <w:kern w:val="0"/>
                <w:sz w:val="24"/>
                <w:szCs w:val="24"/>
                <w:lang w:val="en-US" w:eastAsia="zh-CN" w:bidi="ar-SA"/>
              </w:rPr>
              <w:t>力</w:t>
            </w:r>
            <w:r>
              <w:rPr>
                <w:rFonts w:hint="eastAsia" w:ascii="仿宋" w:hAnsi="仿宋" w:eastAsia="仿宋" w:cs="仿宋"/>
                <w:kern w:val="0"/>
                <w:sz w:val="24"/>
                <w:szCs w:val="24"/>
                <w:lang w:val="en-US" w:eastAsia="zh-CN" w:bidi="ar-SA"/>
              </w:rPr>
              <w:t>，</w:t>
            </w:r>
            <w:r>
              <w:rPr>
                <w:rFonts w:ascii="仿宋" w:hAnsi="仿宋" w:eastAsia="仿宋" w:cs="仿宋"/>
                <w:kern w:val="0"/>
                <w:sz w:val="24"/>
                <w:szCs w:val="24"/>
                <w:lang w:val="en-US" w:eastAsia="zh-CN" w:bidi="ar-SA"/>
              </w:rPr>
              <w:t>运用学科知识和现代信息技术进行音乐课堂教学和课外音乐活动设计，具有传承传统音乐舞蹈文化的意识</w:t>
            </w:r>
            <w:r>
              <w:rPr>
                <w:rFonts w:hint="eastAsia" w:ascii="仿宋" w:hAnsi="仿宋" w:eastAsia="仿宋" w:cs="仿宋"/>
                <w:kern w:val="0"/>
                <w:sz w:val="24"/>
                <w:szCs w:val="24"/>
                <w:lang w:val="en-US" w:eastAsia="zh-CN" w:bidi="ar-SA"/>
              </w:rPr>
              <w:t>。（支撑毕业要求</w:t>
            </w:r>
            <w:r>
              <w:rPr>
                <w:rFonts w:ascii="仿宋" w:hAnsi="仿宋" w:eastAsia="仿宋" w:cs="仿宋"/>
                <w:kern w:val="0"/>
                <w:sz w:val="24"/>
                <w:szCs w:val="24"/>
                <w:lang w:val="en-US" w:eastAsia="zh-CN" w:bidi="ar-SA"/>
              </w:rPr>
              <w:t xml:space="preserve"> 4.3</w:t>
            </w:r>
            <w:r>
              <w:rPr>
                <w:rFonts w:hint="eastAsia" w:ascii="仿宋" w:hAnsi="仿宋" w:eastAsia="仿宋" w:cs="仿宋"/>
                <w:kern w:val="0"/>
                <w:sz w:val="24"/>
                <w:szCs w:val="24"/>
                <w:lang w:val="en-US" w:eastAsia="zh-CN" w:bidi="ar-SA"/>
              </w:rPr>
              <w:t xml:space="preserve"> ）</w:t>
            </w:r>
          </w:p>
          <w:p w14:paraId="38E9187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ascii="仿宋" w:hAnsi="仿宋" w:eastAsia="仿宋" w:cs="仿宋"/>
                <w:kern w:val="0"/>
                <w:sz w:val="24"/>
                <w:szCs w:val="24"/>
                <w:lang w:val="en-US" w:eastAsia="zh-CN" w:bidi="ar-SA"/>
              </w:rPr>
            </w:pPr>
            <w:r>
              <w:rPr>
                <w:rFonts w:hint="eastAsia" w:ascii="仿宋" w:hAnsi="仿宋" w:eastAsia="仿宋" w:cs="仿宋"/>
                <w:b/>
                <w:bCs/>
                <w:kern w:val="0"/>
                <w:sz w:val="24"/>
                <w:szCs w:val="24"/>
                <w:lang w:val="en-US" w:eastAsia="zh-CN" w:bidi="ar-SA"/>
              </w:rPr>
              <w:t>课程目标</w:t>
            </w:r>
            <w:r>
              <w:rPr>
                <w:rFonts w:ascii="仿宋" w:hAnsi="仿宋" w:eastAsia="仿宋" w:cs="仿宋"/>
                <w:b/>
                <w:bCs/>
                <w:kern w:val="0"/>
                <w:sz w:val="24"/>
                <w:szCs w:val="24"/>
                <w:lang w:val="en-US" w:eastAsia="zh-CN" w:bidi="ar-SA"/>
              </w:rPr>
              <w:t>2</w:t>
            </w:r>
            <w:r>
              <w:rPr>
                <w:rFonts w:hint="default" w:ascii="仿宋" w:hAnsi="仿宋" w:eastAsia="仿宋" w:cs="仿宋"/>
                <w:b/>
                <w:bCs/>
                <w:kern w:val="0"/>
                <w:sz w:val="24"/>
                <w:szCs w:val="24"/>
                <w:lang w:eastAsia="zh-CN" w:bidi="ar-SA"/>
              </w:rPr>
              <w:t>：</w:t>
            </w:r>
            <w:r>
              <w:rPr>
                <w:rFonts w:ascii="仿宋" w:hAnsi="仿宋" w:eastAsia="仿宋" w:cs="仿宋"/>
                <w:kern w:val="0"/>
                <w:sz w:val="24"/>
                <w:szCs w:val="24"/>
                <w:lang w:val="en-US" w:eastAsia="zh-CN" w:bidi="ar-SA"/>
              </w:rPr>
              <w:t>明确</w:t>
            </w:r>
            <w:r>
              <w:rPr>
                <w:rFonts w:hint="eastAsia" w:ascii="仿宋" w:hAnsi="仿宋" w:eastAsia="仿宋" w:cs="仿宋"/>
                <w:kern w:val="0"/>
                <w:sz w:val="24"/>
                <w:szCs w:val="24"/>
                <w:lang w:val="en-US" w:eastAsia="zh-CN" w:bidi="ar-SA"/>
              </w:rPr>
              <w:t>舞蹈剧目排练的</w:t>
            </w:r>
            <w:r>
              <w:rPr>
                <w:rFonts w:ascii="仿宋" w:hAnsi="仿宋" w:eastAsia="仿宋" w:cs="仿宋"/>
                <w:kern w:val="0"/>
                <w:sz w:val="24"/>
                <w:szCs w:val="24"/>
                <w:lang w:val="en-US" w:eastAsia="zh-CN" w:bidi="ar-SA"/>
              </w:rPr>
              <w:t>学习对教师成长的意义，</w:t>
            </w:r>
            <w:r>
              <w:rPr>
                <w:rFonts w:hint="eastAsia" w:ascii="仿宋" w:hAnsi="仿宋" w:eastAsia="仿宋" w:cs="仿宋"/>
                <w:kern w:val="0"/>
                <w:sz w:val="24"/>
                <w:szCs w:val="24"/>
                <w:lang w:val="en-US" w:eastAsia="zh-CN" w:bidi="ar-SA"/>
              </w:rPr>
              <w:t>学会不断提高自身专业能力</w:t>
            </w:r>
            <w:r>
              <w:rPr>
                <w:rFonts w:ascii="仿宋" w:hAnsi="仿宋" w:eastAsia="仿宋" w:cs="仿宋"/>
                <w:kern w:val="0"/>
                <w:sz w:val="24"/>
                <w:szCs w:val="24"/>
                <w:lang w:val="en-US" w:eastAsia="zh-CN" w:bidi="ar-SA"/>
              </w:rPr>
              <w:t>，</w:t>
            </w:r>
            <w:r>
              <w:rPr>
                <w:rFonts w:hint="eastAsia" w:ascii="仿宋" w:hAnsi="仿宋" w:eastAsia="仿宋" w:cs="仿宋"/>
                <w:kern w:val="0"/>
                <w:sz w:val="24"/>
                <w:szCs w:val="24"/>
                <w:lang w:val="en-US" w:eastAsia="zh-CN" w:bidi="ar-SA"/>
              </w:rPr>
              <w:t>了解社会对音乐舞蹈专业的需求以及发展趋势，初步进行职业规划（支撑毕业要求7.2）</w:t>
            </w:r>
          </w:p>
          <w:p w14:paraId="65E1B1D7">
            <w:pPr>
              <w:adjustRightInd w:val="0"/>
              <w:snapToGrid w:val="0"/>
              <w:rPr>
                <w:rFonts w:hint="eastAsia" w:ascii="仿宋" w:hAnsi="仿宋" w:eastAsia="仿宋" w:cs="仿宋"/>
                <w:color w:val="auto"/>
                <w:sz w:val="24"/>
                <w:szCs w:val="24"/>
              </w:rPr>
            </w:pPr>
            <w:r>
              <w:rPr>
                <w:rFonts w:hint="eastAsia" w:ascii="仿宋" w:hAnsi="仿宋" w:eastAsia="仿宋" w:cs="仿宋"/>
                <w:b/>
                <w:bCs/>
              </w:rPr>
              <w:t>课</w:t>
            </w:r>
            <w:r>
              <w:rPr>
                <w:rFonts w:hint="eastAsia" w:ascii="仿宋" w:hAnsi="仿宋" w:eastAsia="仿宋" w:cs="仿宋"/>
                <w:b/>
                <w:bCs/>
                <w:kern w:val="2"/>
              </w:rPr>
              <w:t>程目标3</w:t>
            </w:r>
            <w:r>
              <w:rPr>
                <w:rFonts w:hint="default" w:ascii="仿宋" w:hAnsi="仿宋" w:eastAsia="仿宋" w:cs="仿宋"/>
                <w:b/>
                <w:bCs/>
                <w:kern w:val="2"/>
              </w:rPr>
              <w:t>：</w:t>
            </w:r>
            <w:r>
              <w:rPr>
                <w:rFonts w:hint="eastAsia" w:ascii="仿宋" w:hAnsi="仿宋" w:eastAsia="仿宋" w:cs="仿宋"/>
                <w:sz w:val="24"/>
                <w:szCs w:val="24"/>
              </w:rPr>
              <w:t>学会</w:t>
            </w:r>
            <w:r>
              <w:rPr>
                <w:rFonts w:ascii="仿宋" w:hAnsi="仿宋" w:eastAsia="仿宋" w:cs="仿宋"/>
                <w:sz w:val="24"/>
                <w:szCs w:val="24"/>
              </w:rPr>
              <w:t>沟通</w:t>
            </w:r>
            <w:r>
              <w:rPr>
                <w:rFonts w:hint="eastAsia" w:ascii="仿宋" w:hAnsi="仿宋" w:eastAsia="仿宋" w:cs="仿宋"/>
                <w:sz w:val="24"/>
                <w:szCs w:val="24"/>
              </w:rPr>
              <w:t>与</w:t>
            </w:r>
            <w:r>
              <w:rPr>
                <w:rFonts w:ascii="仿宋" w:hAnsi="仿宋" w:eastAsia="仿宋" w:cs="仿宋"/>
                <w:sz w:val="24"/>
                <w:szCs w:val="24"/>
              </w:rPr>
              <w:t>合作。掌握人际交往和沟通的方式方法，具备团队协作精神，自觉和同伴形成学习共同体</w:t>
            </w:r>
            <w:r>
              <w:rPr>
                <w:rFonts w:hint="eastAsia" w:ascii="仿宋" w:hAnsi="仿宋" w:eastAsia="仿宋" w:cs="仿宋"/>
                <w:sz w:val="24"/>
                <w:szCs w:val="24"/>
              </w:rPr>
              <w:t>。有一定的沟通交流能力，能够团结协作，有效地完成小型群舞的排练</w:t>
            </w:r>
            <w:r>
              <w:rPr>
                <w:rFonts w:hint="eastAsia" w:ascii="仿宋" w:hAnsi="仿宋" w:eastAsia="仿宋" w:cs="仿宋"/>
                <w:kern w:val="2"/>
              </w:rPr>
              <w:t>（支撑材料8.1、8.2）</w:t>
            </w:r>
            <w:r>
              <w:rPr>
                <w:rFonts w:hint="eastAsia" w:ascii="仿宋" w:hAnsi="仿宋" w:eastAsia="仿宋" w:cs="仿宋"/>
                <w:sz w:val="24"/>
                <w:szCs w:val="24"/>
              </w:rPr>
              <w:t>）</w:t>
            </w:r>
          </w:p>
        </w:tc>
      </w:tr>
      <w:tr w14:paraId="2F104028">
        <w:trPr>
          <w:trHeight w:val="642" w:hRule="atLeast"/>
        </w:trPr>
        <w:tc>
          <w:tcPr>
            <w:tcW w:w="1143" w:type="dxa"/>
            <w:vMerge w:val="continue"/>
            <w:shd w:val="clear" w:color="auto" w:fill="FFFFFF"/>
            <w:noWrap w:val="0"/>
            <w:vAlign w:val="center"/>
          </w:tcPr>
          <w:p w14:paraId="3DBBB563">
            <w:pPr>
              <w:adjustRightInd w:val="0"/>
              <w:snapToGrid w:val="0"/>
              <w:spacing w:line="240" w:lineRule="atLeast"/>
              <w:jc w:val="center"/>
              <w:rPr>
                <w:rFonts w:hint="eastAsia" w:ascii="仿宋" w:hAnsi="仿宋" w:eastAsia="仿宋" w:cs="仿宋"/>
                <w:sz w:val="24"/>
                <w:szCs w:val="24"/>
              </w:rPr>
            </w:pPr>
          </w:p>
        </w:tc>
        <w:tc>
          <w:tcPr>
            <w:tcW w:w="1501" w:type="dxa"/>
            <w:gridSpan w:val="2"/>
            <w:tcBorders>
              <w:bottom w:val="single" w:color="auto" w:sz="4" w:space="0"/>
            </w:tcBorders>
            <w:shd w:val="clear" w:color="auto" w:fill="FFFFFF"/>
            <w:noWrap w:val="0"/>
            <w:vAlign w:val="center"/>
          </w:tcPr>
          <w:p w14:paraId="3CEB763B">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课程目标</w:t>
            </w:r>
          </w:p>
        </w:tc>
        <w:tc>
          <w:tcPr>
            <w:tcW w:w="4216" w:type="dxa"/>
            <w:gridSpan w:val="7"/>
            <w:tcBorders>
              <w:bottom w:val="single" w:color="auto" w:sz="4" w:space="0"/>
            </w:tcBorders>
            <w:shd w:val="clear" w:color="auto" w:fill="FFFFFF"/>
            <w:noWrap w:val="0"/>
            <w:vAlign w:val="center"/>
          </w:tcPr>
          <w:p w14:paraId="06B48FD7">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毕业要求分解指标点</w:t>
            </w:r>
          </w:p>
        </w:tc>
        <w:tc>
          <w:tcPr>
            <w:tcW w:w="2288" w:type="dxa"/>
            <w:gridSpan w:val="3"/>
            <w:tcBorders>
              <w:bottom w:val="single" w:color="auto" w:sz="4" w:space="0"/>
            </w:tcBorders>
            <w:shd w:val="clear" w:color="auto" w:fill="FFFFFF"/>
            <w:noWrap w:val="0"/>
            <w:vAlign w:val="center"/>
          </w:tcPr>
          <w:p w14:paraId="3E3E46C1">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毕业要求</w:t>
            </w:r>
          </w:p>
        </w:tc>
      </w:tr>
      <w:tr w14:paraId="154BE616">
        <w:trPr>
          <w:trHeight w:val="1339" w:hRule="atLeast"/>
        </w:trPr>
        <w:tc>
          <w:tcPr>
            <w:tcW w:w="1143" w:type="dxa"/>
            <w:vMerge w:val="continue"/>
            <w:shd w:val="clear" w:color="auto" w:fill="FFFFFF"/>
            <w:noWrap w:val="0"/>
            <w:vAlign w:val="center"/>
          </w:tcPr>
          <w:p w14:paraId="6B549A64">
            <w:pPr>
              <w:adjustRightInd w:val="0"/>
              <w:snapToGrid w:val="0"/>
              <w:spacing w:line="240" w:lineRule="atLeast"/>
              <w:jc w:val="center"/>
              <w:rPr>
                <w:rFonts w:hint="eastAsia" w:ascii="仿宋" w:hAnsi="仿宋" w:eastAsia="仿宋" w:cs="仿宋"/>
                <w:sz w:val="24"/>
                <w:szCs w:val="24"/>
              </w:rPr>
            </w:pPr>
          </w:p>
        </w:tc>
        <w:tc>
          <w:tcPr>
            <w:tcW w:w="1501" w:type="dxa"/>
            <w:gridSpan w:val="2"/>
            <w:tcBorders>
              <w:bottom w:val="single" w:color="auto" w:sz="4" w:space="0"/>
            </w:tcBorders>
            <w:shd w:val="clear" w:color="auto" w:fill="FFFFFF"/>
            <w:noWrap w:val="0"/>
            <w:vAlign w:val="center"/>
          </w:tcPr>
          <w:p w14:paraId="5F986F61">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课程目标1</w:t>
            </w:r>
          </w:p>
          <w:p w14:paraId="56864549">
            <w:pPr>
              <w:adjustRightInd w:val="0"/>
              <w:snapToGrid w:val="0"/>
              <w:jc w:val="center"/>
              <w:rPr>
                <w:rFonts w:hint="eastAsia" w:ascii="仿宋" w:hAnsi="仿宋" w:eastAsia="仿宋" w:cs="仿宋"/>
                <w:color w:val="auto"/>
                <w:sz w:val="24"/>
                <w:szCs w:val="24"/>
              </w:rPr>
            </w:pPr>
          </w:p>
        </w:tc>
        <w:tc>
          <w:tcPr>
            <w:tcW w:w="4216" w:type="dxa"/>
            <w:gridSpan w:val="7"/>
            <w:shd w:val="clear" w:color="auto" w:fill="FFFFFF"/>
            <w:noWrap w:val="0"/>
            <w:vAlign w:val="center"/>
          </w:tcPr>
          <w:p w14:paraId="51AC02CC">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kern w:val="0"/>
                <w:sz w:val="24"/>
                <w:szCs w:val="24"/>
                <w:lang w:eastAsia="zh-Hans"/>
              </w:rPr>
            </w:pPr>
            <w:r>
              <w:rPr>
                <w:rFonts w:hint="eastAsia" w:ascii="仿宋" w:hAnsi="仿宋" w:eastAsia="仿宋" w:cs="仿宋"/>
                <w:kern w:val="2"/>
                <w:sz w:val="24"/>
                <w:szCs w:val="24"/>
                <w:lang w:val="en-US" w:eastAsia="zh-CN" w:bidi="ar-SA"/>
              </w:rPr>
              <w:t>4.3</w:t>
            </w:r>
            <w:r>
              <w:rPr>
                <w:rFonts w:ascii="仿宋" w:hAnsi="仿宋" w:eastAsia="仿宋" w:cs="仿宋"/>
                <w:kern w:val="2"/>
                <w:sz w:val="24"/>
                <w:szCs w:val="24"/>
                <w:lang w:val="en-US" w:eastAsia="zh-CN" w:bidi="ar-SA"/>
              </w:rPr>
              <w:t>【传统文化传承】具有传承传统音乐舞蹈文化的意识，能够运用传统音乐舞蹈文化资源</w:t>
            </w:r>
            <w:r>
              <w:rPr>
                <w:rFonts w:hint="default" w:ascii="仿宋" w:hAnsi="仿宋" w:eastAsia="仿宋" w:cs="仿宋"/>
                <w:kern w:val="2"/>
                <w:sz w:val="24"/>
                <w:szCs w:val="24"/>
                <w:lang w:val="en-US" w:eastAsia="zh-CN" w:bidi="ar-SA"/>
              </w:rPr>
              <w:t>进行课堂教学和开展课外音乐舞蹈活动。</w:t>
            </w:r>
          </w:p>
        </w:tc>
        <w:tc>
          <w:tcPr>
            <w:tcW w:w="2288" w:type="dxa"/>
            <w:gridSpan w:val="3"/>
            <w:shd w:val="clear" w:color="auto" w:fill="FFFFFF"/>
            <w:noWrap w:val="0"/>
            <w:vAlign w:val="center"/>
          </w:tcPr>
          <w:p w14:paraId="76E583C4">
            <w:pPr>
              <w:adjustRightInd w:val="0"/>
              <w:snapToGrid w:val="0"/>
              <w:jc w:val="center"/>
              <w:rPr>
                <w:rFonts w:ascii="仿宋" w:hAnsi="仿宋" w:eastAsia="仿宋" w:cs="仿宋"/>
                <w:bCs/>
                <w:sz w:val="24"/>
                <w:szCs w:val="24"/>
              </w:rPr>
            </w:pPr>
            <w:r>
              <w:rPr>
                <w:rFonts w:hint="eastAsia" w:ascii="仿宋" w:hAnsi="仿宋" w:eastAsia="仿宋" w:cs="仿宋"/>
                <w:bCs/>
                <w:sz w:val="24"/>
                <w:szCs w:val="24"/>
              </w:rPr>
              <w:t>教学能力</w:t>
            </w:r>
          </w:p>
          <w:p w14:paraId="37456DCA">
            <w:pPr>
              <w:adjustRightInd w:val="0"/>
              <w:snapToGrid w:val="0"/>
              <w:jc w:val="center"/>
              <w:rPr>
                <w:rFonts w:ascii="仿宋" w:hAnsi="仿宋" w:eastAsia="仿宋" w:cs="仿宋"/>
                <w:bCs/>
                <w:sz w:val="24"/>
                <w:szCs w:val="24"/>
              </w:rPr>
            </w:pPr>
            <w:r>
              <w:rPr>
                <w:rFonts w:hint="eastAsia" w:ascii="仿宋" w:hAnsi="仿宋" w:eastAsia="仿宋" w:cs="仿宋"/>
                <w:bCs/>
                <w:sz w:val="24"/>
                <w:szCs w:val="24"/>
              </w:rPr>
              <w:t>(M)</w:t>
            </w:r>
          </w:p>
          <w:p w14:paraId="00483245">
            <w:pPr>
              <w:adjustRightInd w:val="0"/>
              <w:snapToGrid w:val="0"/>
              <w:jc w:val="center"/>
              <w:rPr>
                <w:rFonts w:hint="eastAsia" w:ascii="仿宋" w:hAnsi="仿宋" w:eastAsia="仿宋" w:cs="仿宋"/>
                <w:color w:val="auto"/>
                <w:sz w:val="24"/>
                <w:szCs w:val="24"/>
                <w:lang w:val="en-US" w:eastAsia="zh-Hans"/>
              </w:rPr>
            </w:pPr>
          </w:p>
        </w:tc>
      </w:tr>
      <w:tr w14:paraId="52E8692E">
        <w:trPr>
          <w:trHeight w:val="1481" w:hRule="atLeast"/>
        </w:trPr>
        <w:tc>
          <w:tcPr>
            <w:tcW w:w="1143" w:type="dxa"/>
            <w:vMerge w:val="continue"/>
            <w:shd w:val="clear" w:color="auto" w:fill="FFFFFF"/>
            <w:noWrap w:val="0"/>
            <w:vAlign w:val="center"/>
          </w:tcPr>
          <w:p w14:paraId="4BA41D04">
            <w:pPr>
              <w:adjustRightInd w:val="0"/>
              <w:snapToGrid w:val="0"/>
              <w:spacing w:line="240" w:lineRule="atLeast"/>
              <w:jc w:val="center"/>
              <w:rPr>
                <w:rFonts w:hint="eastAsia" w:ascii="仿宋" w:hAnsi="仿宋" w:eastAsia="仿宋" w:cs="仿宋"/>
                <w:sz w:val="24"/>
                <w:szCs w:val="24"/>
              </w:rPr>
            </w:pPr>
          </w:p>
        </w:tc>
        <w:tc>
          <w:tcPr>
            <w:tcW w:w="1501" w:type="dxa"/>
            <w:gridSpan w:val="2"/>
            <w:shd w:val="clear" w:color="auto" w:fill="FFFFFF"/>
            <w:noWrap w:val="0"/>
            <w:vAlign w:val="center"/>
          </w:tcPr>
          <w:p w14:paraId="04A7F294">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w:t>
            </w:r>
            <w:r>
              <w:rPr>
                <w:rFonts w:hint="default" w:ascii="仿宋" w:hAnsi="仿宋" w:eastAsia="仿宋" w:cs="仿宋"/>
                <w:sz w:val="24"/>
                <w:szCs w:val="24"/>
              </w:rPr>
              <w:t>2</w:t>
            </w:r>
          </w:p>
          <w:p w14:paraId="34007DF5">
            <w:pPr>
              <w:adjustRightInd w:val="0"/>
              <w:snapToGrid w:val="0"/>
              <w:jc w:val="center"/>
              <w:rPr>
                <w:rFonts w:hint="eastAsia" w:ascii="仿宋" w:hAnsi="仿宋" w:eastAsia="仿宋" w:cs="仿宋"/>
                <w:color w:val="auto"/>
                <w:sz w:val="24"/>
                <w:szCs w:val="24"/>
              </w:rPr>
            </w:pPr>
          </w:p>
        </w:tc>
        <w:tc>
          <w:tcPr>
            <w:tcW w:w="4216" w:type="dxa"/>
            <w:gridSpan w:val="7"/>
            <w:shd w:val="clear" w:color="auto" w:fill="FFFFFF"/>
            <w:noWrap w:val="0"/>
            <w:vAlign w:val="center"/>
          </w:tcPr>
          <w:p w14:paraId="4F4D0F9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kern w:val="0"/>
                <w:sz w:val="24"/>
                <w:szCs w:val="24"/>
                <w:lang w:eastAsia="zh-Hans"/>
              </w:rPr>
            </w:pPr>
            <w:r>
              <w:rPr>
                <w:rFonts w:hint="default" w:ascii="仿宋" w:hAnsi="仿宋" w:eastAsia="仿宋" w:cs="仿宋"/>
                <w:kern w:val="2"/>
                <w:sz w:val="24"/>
                <w:szCs w:val="24"/>
                <w:lang w:val="en-US" w:eastAsia="zh-CN" w:bidi="ar-SA"/>
              </w:rPr>
              <w:t>7.2【自我发展】明确终身学习对中学教师成长的意义，形成终身学习与自我发展的意识，了解音乐教育发展趋势和社会需求，根据音乐基础教育课程的改革发展动态，进行职业生涯发展规划。</w:t>
            </w:r>
          </w:p>
        </w:tc>
        <w:tc>
          <w:tcPr>
            <w:tcW w:w="2288" w:type="dxa"/>
            <w:gridSpan w:val="3"/>
            <w:shd w:val="clear" w:color="auto" w:fill="FFFFFF"/>
            <w:noWrap w:val="0"/>
            <w:vAlign w:val="center"/>
          </w:tcPr>
          <w:p w14:paraId="1C887FC3">
            <w:pPr>
              <w:adjustRightInd w:val="0"/>
              <w:snapToGrid w:val="0"/>
              <w:jc w:val="center"/>
              <w:rPr>
                <w:rFonts w:ascii="仿宋" w:hAnsi="仿宋" w:eastAsia="仿宋" w:cs="仿宋"/>
                <w:sz w:val="24"/>
                <w:szCs w:val="24"/>
              </w:rPr>
            </w:pPr>
            <w:r>
              <w:rPr>
                <w:rFonts w:hint="eastAsia" w:ascii="仿宋" w:hAnsi="仿宋" w:eastAsia="仿宋" w:cs="仿宋"/>
                <w:sz w:val="24"/>
                <w:szCs w:val="24"/>
              </w:rPr>
              <w:t>学会反思</w:t>
            </w:r>
          </w:p>
          <w:p w14:paraId="18378AEE">
            <w:pPr>
              <w:adjustRightInd w:val="0"/>
              <w:snapToGrid w:val="0"/>
              <w:jc w:val="center"/>
              <w:rPr>
                <w:rFonts w:hint="eastAsia" w:ascii="仿宋" w:hAnsi="仿宋" w:eastAsia="仿宋" w:cs="仿宋"/>
                <w:color w:val="auto"/>
                <w:sz w:val="24"/>
                <w:szCs w:val="24"/>
                <w:lang w:val="en-US" w:eastAsia="zh-Hans"/>
              </w:rPr>
            </w:pPr>
            <w:r>
              <w:rPr>
                <w:rFonts w:hint="eastAsia" w:ascii="仿宋" w:hAnsi="仿宋" w:eastAsia="仿宋" w:cs="仿宋"/>
                <w:sz w:val="24"/>
                <w:szCs w:val="24"/>
              </w:rPr>
              <w:t>（</w:t>
            </w:r>
            <w:r>
              <w:rPr>
                <w:rFonts w:hint="default" w:ascii="仿宋" w:hAnsi="仿宋" w:eastAsia="仿宋" w:cs="仿宋"/>
                <w:sz w:val="24"/>
                <w:szCs w:val="24"/>
              </w:rPr>
              <w:t>L</w:t>
            </w:r>
            <w:r>
              <w:rPr>
                <w:rFonts w:hint="eastAsia" w:ascii="仿宋" w:hAnsi="仿宋" w:eastAsia="仿宋" w:cs="仿宋"/>
                <w:sz w:val="24"/>
                <w:szCs w:val="24"/>
              </w:rPr>
              <w:t>）</w:t>
            </w:r>
          </w:p>
        </w:tc>
      </w:tr>
      <w:tr w14:paraId="291B5AC3">
        <w:trPr>
          <w:trHeight w:val="1183" w:hRule="atLeast"/>
        </w:trPr>
        <w:tc>
          <w:tcPr>
            <w:tcW w:w="1143" w:type="dxa"/>
            <w:vMerge w:val="continue"/>
            <w:shd w:val="clear" w:color="auto" w:fill="FFFFFF"/>
            <w:noWrap w:val="0"/>
            <w:vAlign w:val="center"/>
          </w:tcPr>
          <w:p w14:paraId="393CE900">
            <w:pPr>
              <w:adjustRightInd w:val="0"/>
              <w:snapToGrid w:val="0"/>
              <w:spacing w:line="240" w:lineRule="atLeast"/>
              <w:jc w:val="center"/>
              <w:rPr>
                <w:rFonts w:hint="eastAsia" w:ascii="仿宋" w:hAnsi="仿宋" w:eastAsia="仿宋" w:cs="仿宋"/>
                <w:sz w:val="24"/>
                <w:szCs w:val="24"/>
              </w:rPr>
            </w:pPr>
          </w:p>
        </w:tc>
        <w:tc>
          <w:tcPr>
            <w:tcW w:w="1501" w:type="dxa"/>
            <w:gridSpan w:val="2"/>
            <w:tcBorders>
              <w:bottom w:val="single" w:color="auto" w:sz="4" w:space="0"/>
            </w:tcBorders>
            <w:shd w:val="clear" w:color="auto" w:fill="FFFFFF"/>
            <w:noWrap w:val="0"/>
            <w:vAlign w:val="center"/>
          </w:tcPr>
          <w:p w14:paraId="1088FDAB">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w:t>
            </w:r>
            <w:r>
              <w:rPr>
                <w:rFonts w:hint="default" w:ascii="仿宋" w:hAnsi="仿宋" w:eastAsia="仿宋" w:cs="仿宋"/>
                <w:sz w:val="24"/>
                <w:szCs w:val="24"/>
              </w:rPr>
              <w:t>3</w:t>
            </w:r>
          </w:p>
          <w:p w14:paraId="3E542B6E">
            <w:pPr>
              <w:adjustRightInd w:val="0"/>
              <w:snapToGrid w:val="0"/>
              <w:jc w:val="center"/>
              <w:rPr>
                <w:rFonts w:hint="eastAsia" w:ascii="仿宋" w:hAnsi="仿宋" w:eastAsia="仿宋" w:cs="仿宋"/>
                <w:color w:val="auto"/>
                <w:sz w:val="24"/>
                <w:szCs w:val="24"/>
              </w:rPr>
            </w:pPr>
          </w:p>
        </w:tc>
        <w:tc>
          <w:tcPr>
            <w:tcW w:w="4216" w:type="dxa"/>
            <w:gridSpan w:val="7"/>
            <w:tcBorders>
              <w:bottom w:val="single" w:color="auto" w:sz="4" w:space="0"/>
            </w:tcBorders>
            <w:shd w:val="clear" w:color="auto" w:fill="FFFFFF"/>
            <w:noWrap w:val="0"/>
            <w:vAlign w:val="center"/>
          </w:tcPr>
          <w:p w14:paraId="60D4B47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default" w:ascii="仿宋" w:hAnsi="仿宋" w:eastAsia="仿宋" w:cs="仿宋"/>
                <w:kern w:val="2"/>
                <w:sz w:val="24"/>
                <w:szCs w:val="24"/>
                <w:lang w:val="en-US" w:eastAsia="zh-CN" w:bidi="ar-SA"/>
              </w:rPr>
            </w:pPr>
            <w:r>
              <w:rPr>
                <w:rFonts w:hint="default" w:ascii="仿宋" w:hAnsi="仿宋" w:eastAsia="仿宋" w:cs="仿宋"/>
                <w:kern w:val="2"/>
                <w:sz w:val="24"/>
                <w:szCs w:val="24"/>
                <w:lang w:val="en-US" w:eastAsia="zh-CN" w:bidi="ar-SA"/>
              </w:rPr>
              <w:t>8.1【沟通交流】掌握人际交往和沟通的方式方法，能够在教育实践、社会实践中与同事、 同行、专家等进行有效沟通交流。</w:t>
            </w:r>
          </w:p>
          <w:p w14:paraId="5ADADCEE">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kern w:val="0"/>
                <w:sz w:val="24"/>
                <w:szCs w:val="24"/>
              </w:rPr>
            </w:pPr>
            <w:r>
              <w:rPr>
                <w:rFonts w:hint="default" w:ascii="仿宋" w:hAnsi="仿宋" w:eastAsia="仿宋" w:cs="仿宋"/>
                <w:kern w:val="2"/>
                <w:sz w:val="24"/>
                <w:szCs w:val="24"/>
                <w:lang w:val="en-US" w:eastAsia="zh-CN" w:bidi="ar-SA"/>
              </w:rPr>
              <w:t>8.2【团队协作】理解学习共同体的作用，掌握团队协作的基本策略，在课程学习、教育实践、艺术实践等活动中，具有良好的团队协作精神。</w:t>
            </w:r>
          </w:p>
        </w:tc>
        <w:tc>
          <w:tcPr>
            <w:tcW w:w="2288" w:type="dxa"/>
            <w:gridSpan w:val="3"/>
            <w:tcBorders>
              <w:bottom w:val="single" w:color="auto" w:sz="4" w:space="0"/>
            </w:tcBorders>
            <w:shd w:val="clear" w:color="auto" w:fill="FFFFFF"/>
            <w:noWrap w:val="0"/>
            <w:vAlign w:val="center"/>
          </w:tcPr>
          <w:p w14:paraId="6F4DF8C0">
            <w:pPr>
              <w:adjustRightInd w:val="0"/>
              <w:snapToGrid w:val="0"/>
              <w:jc w:val="center"/>
              <w:rPr>
                <w:rFonts w:ascii="仿宋" w:hAnsi="仿宋" w:eastAsia="仿宋" w:cs="仿宋"/>
                <w:sz w:val="24"/>
                <w:szCs w:val="24"/>
              </w:rPr>
            </w:pPr>
            <w:r>
              <w:rPr>
                <w:rFonts w:hint="eastAsia" w:ascii="仿宋" w:hAnsi="仿宋" w:eastAsia="仿宋" w:cs="仿宋"/>
                <w:sz w:val="24"/>
                <w:szCs w:val="24"/>
              </w:rPr>
              <w:t>沟通合作</w:t>
            </w:r>
          </w:p>
          <w:p w14:paraId="07051E56">
            <w:pPr>
              <w:adjustRightInd w:val="0"/>
              <w:snapToGrid w:val="0"/>
              <w:jc w:val="center"/>
              <w:rPr>
                <w:rFonts w:hint="eastAsia" w:ascii="仿宋" w:hAnsi="仿宋" w:eastAsia="仿宋" w:cs="仿宋"/>
                <w:color w:val="auto"/>
                <w:sz w:val="24"/>
                <w:szCs w:val="24"/>
                <w:lang w:val="en-US" w:eastAsia="zh-Hans"/>
              </w:rPr>
            </w:pPr>
            <w:r>
              <w:rPr>
                <w:rFonts w:hint="eastAsia" w:ascii="仿宋" w:hAnsi="仿宋" w:eastAsia="仿宋" w:cs="仿宋"/>
                <w:sz w:val="24"/>
                <w:szCs w:val="24"/>
              </w:rPr>
              <w:t>（H）</w:t>
            </w:r>
          </w:p>
        </w:tc>
      </w:tr>
      <w:tr w14:paraId="0D077B16">
        <w:trPr>
          <w:trHeight w:val="454" w:hRule="atLeast"/>
        </w:trPr>
        <w:tc>
          <w:tcPr>
            <w:tcW w:w="1143" w:type="dxa"/>
            <w:vMerge w:val="restart"/>
            <w:shd w:val="clear" w:color="auto" w:fill="FFFFFF"/>
            <w:noWrap w:val="0"/>
            <w:vAlign w:val="center"/>
          </w:tcPr>
          <w:p w14:paraId="21C3D6BD">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G</w:t>
            </w:r>
          </w:p>
          <w:p w14:paraId="48241A50">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实验（实训）内容</w:t>
            </w:r>
          </w:p>
        </w:tc>
        <w:tc>
          <w:tcPr>
            <w:tcW w:w="4573" w:type="dxa"/>
            <w:gridSpan w:val="6"/>
            <w:shd w:val="clear" w:color="auto" w:fill="auto"/>
            <w:noWrap w:val="0"/>
            <w:vAlign w:val="center"/>
          </w:tcPr>
          <w:p w14:paraId="6FDBB686">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实训内容及训练要求</w:t>
            </w:r>
          </w:p>
        </w:tc>
        <w:tc>
          <w:tcPr>
            <w:tcW w:w="1144" w:type="dxa"/>
            <w:gridSpan w:val="3"/>
            <w:shd w:val="clear" w:color="auto" w:fill="auto"/>
            <w:noWrap w:val="0"/>
            <w:vAlign w:val="center"/>
          </w:tcPr>
          <w:p w14:paraId="3CD9C1B4">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支撑课程</w:t>
            </w:r>
          </w:p>
          <w:p w14:paraId="7DAA5593">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目标</w:t>
            </w:r>
          </w:p>
        </w:tc>
        <w:tc>
          <w:tcPr>
            <w:tcW w:w="2288" w:type="dxa"/>
            <w:gridSpan w:val="3"/>
            <w:shd w:val="clear" w:color="auto" w:fill="FFFFFF"/>
            <w:noWrap w:val="0"/>
            <w:vAlign w:val="center"/>
          </w:tcPr>
          <w:p w14:paraId="6E46BBCD">
            <w:pPr>
              <w:adjustRightInd w:val="0"/>
              <w:snapToGrid w:val="0"/>
              <w:jc w:val="center"/>
              <w:rPr>
                <w:rFonts w:ascii="仿宋" w:hAnsi="仿宋" w:eastAsia="仿宋" w:cs="仿宋"/>
                <w:color w:val="auto"/>
                <w:kern w:val="0"/>
                <w:sz w:val="24"/>
                <w:szCs w:val="24"/>
              </w:rPr>
            </w:pPr>
            <w:r>
              <w:rPr>
                <w:rFonts w:hint="eastAsia" w:ascii="仿宋" w:hAnsi="仿宋" w:eastAsia="仿宋" w:cs="仿宋"/>
                <w:color w:val="auto"/>
                <w:kern w:val="0"/>
                <w:sz w:val="24"/>
                <w:szCs w:val="24"/>
              </w:rPr>
              <w:t xml:space="preserve">学时 </w:t>
            </w:r>
          </w:p>
          <w:p w14:paraId="22BBC46F">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kern w:val="0"/>
                <w:sz w:val="24"/>
                <w:szCs w:val="24"/>
              </w:rPr>
              <w:t>分配</w:t>
            </w:r>
          </w:p>
        </w:tc>
      </w:tr>
      <w:tr w14:paraId="3666D5B6">
        <w:trPr>
          <w:trHeight w:val="2976" w:hRule="atLeast"/>
        </w:trPr>
        <w:tc>
          <w:tcPr>
            <w:tcW w:w="1143" w:type="dxa"/>
            <w:vMerge w:val="continue"/>
            <w:shd w:val="clear" w:color="auto" w:fill="FFFFFF"/>
            <w:noWrap w:val="0"/>
            <w:vAlign w:val="center"/>
          </w:tcPr>
          <w:p w14:paraId="2D9D9F1B">
            <w:pPr>
              <w:adjustRightInd w:val="0"/>
              <w:snapToGrid w:val="0"/>
              <w:spacing w:line="240" w:lineRule="atLeast"/>
              <w:jc w:val="center"/>
              <w:rPr>
                <w:rFonts w:hint="eastAsia" w:ascii="仿宋" w:hAnsi="仿宋" w:eastAsia="仿宋" w:cs="仿宋"/>
                <w:sz w:val="24"/>
                <w:szCs w:val="24"/>
              </w:rPr>
            </w:pPr>
          </w:p>
        </w:tc>
        <w:tc>
          <w:tcPr>
            <w:tcW w:w="4573" w:type="dxa"/>
            <w:gridSpan w:val="6"/>
            <w:shd w:val="clear" w:color="auto" w:fill="auto"/>
            <w:noWrap w:val="0"/>
            <w:vAlign w:val="center"/>
          </w:tcPr>
          <w:p w14:paraId="28EF9429">
            <w:pPr>
              <w:adjustRightInd w:val="0"/>
              <w:snapToGrid w:val="0"/>
              <w:rPr>
                <w:rFonts w:hint="eastAsia" w:ascii="仿宋" w:hAnsi="仿宋" w:eastAsia="仿宋" w:cs="仿宋"/>
                <w:b/>
                <w:bCs w:val="0"/>
                <w:sz w:val="24"/>
                <w:szCs w:val="24"/>
              </w:rPr>
            </w:pPr>
            <w:r>
              <w:rPr>
                <w:rFonts w:hint="eastAsia" w:ascii="仿宋" w:hAnsi="仿宋" w:eastAsia="仿宋" w:cs="仿宋"/>
                <w:b/>
                <w:bCs w:val="0"/>
                <w:sz w:val="24"/>
                <w:szCs w:val="24"/>
              </w:rPr>
              <w:t>训练一：古典舞剧目训练</w:t>
            </w:r>
          </w:p>
          <w:p w14:paraId="2E97090B">
            <w:pPr>
              <w:adjustRightInd w:val="0"/>
              <w:snapToGrid w:val="0"/>
              <w:ind w:left="1200" w:hanging="1200" w:hangingChars="50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实训目的</w:t>
            </w:r>
            <w:r>
              <w:rPr>
                <w:rFonts w:hint="eastAsia" w:ascii="仿宋" w:hAnsi="仿宋" w:eastAsia="仿宋" w:cs="仿宋"/>
                <w:kern w:val="0"/>
                <w:sz w:val="24"/>
                <w:szCs w:val="24"/>
              </w:rPr>
              <w:t>：</w:t>
            </w:r>
            <w:r>
              <w:rPr>
                <w:rFonts w:hint="eastAsia" w:ascii="仿宋" w:hAnsi="仿宋" w:eastAsia="仿宋" w:cs="仿宋"/>
                <w:kern w:val="0"/>
                <w:sz w:val="24"/>
                <w:szCs w:val="24"/>
                <w:lang w:val="en-US" w:eastAsia="zh-CN"/>
              </w:rPr>
              <w:t>规范古典舞剧目学习增强舞蹈表现力。</w:t>
            </w:r>
          </w:p>
          <w:p w14:paraId="6167FD00">
            <w:pPr>
              <w:adjustRightInd w:val="0"/>
              <w:snapToGrid w:val="0"/>
              <w:ind w:left="1440" w:hanging="1440" w:hangingChars="600"/>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实训任务：1.学会古典舞剧目中动作的基本</w:t>
            </w:r>
          </w:p>
          <w:p w14:paraId="284AD086">
            <w:pPr>
              <w:adjustRightInd w:val="0"/>
              <w:snapToGrid w:val="0"/>
              <w:ind w:left="1437" w:leftChars="570" w:hanging="240" w:hangingChars="100"/>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 xml:space="preserve">要求。 </w:t>
            </w:r>
          </w:p>
          <w:p w14:paraId="7AC35D8F">
            <w:pPr>
              <w:adjustRightInd w:val="0"/>
              <w:snapToGrid w:val="0"/>
              <w:ind w:left="1197" w:leftChars="570" w:firstLine="0" w:firstLineChars="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2.基本掌握古典舞剧目运用到舞蹈表演中。</w:t>
            </w:r>
          </w:p>
          <w:p w14:paraId="1FC56AFE">
            <w:pPr>
              <w:adjustRightInd w:val="0"/>
              <w:snapToGrid w:val="0"/>
              <w:ind w:left="1205" w:hanging="1200" w:hangingChars="500"/>
              <w:rPr>
                <w:rFonts w:hint="default"/>
                <w:lang w:val="en-US" w:eastAsia="zh-CN"/>
              </w:rPr>
            </w:pPr>
            <w:r>
              <w:rPr>
                <w:rFonts w:hint="eastAsia" w:ascii="仿宋" w:hAnsi="仿宋" w:eastAsia="仿宋" w:cs="仿宋"/>
                <w:b w:val="0"/>
                <w:bCs w:val="0"/>
                <w:kern w:val="0"/>
                <w:sz w:val="24"/>
                <w:szCs w:val="24"/>
                <w:lang w:val="en-US" w:eastAsia="zh-CN"/>
              </w:rPr>
              <w:t>思政融入：</w:t>
            </w:r>
            <w:r>
              <w:rPr>
                <w:rFonts w:hint="eastAsia" w:ascii="仿宋" w:hAnsi="仿宋" w:eastAsia="仿宋" w:cs="仿宋"/>
                <w:kern w:val="0"/>
                <w:sz w:val="24"/>
                <w:szCs w:val="24"/>
                <w:lang w:val="en-US" w:eastAsia="zh-CN"/>
              </w:rPr>
              <w:t>以作品的表演与表达内容引导学生自觉传承和弘扬中华优秀舞蹈文化，提高审美意识，树立文化自信。</w:t>
            </w:r>
          </w:p>
        </w:tc>
        <w:tc>
          <w:tcPr>
            <w:tcW w:w="1144" w:type="dxa"/>
            <w:gridSpan w:val="3"/>
            <w:shd w:val="clear" w:color="auto" w:fill="auto"/>
            <w:noWrap w:val="0"/>
            <w:vAlign w:val="center"/>
          </w:tcPr>
          <w:p w14:paraId="57D83119">
            <w:pPr>
              <w:adjustRightInd w:val="0"/>
              <w:snapToGrid w:val="0"/>
              <w:jc w:val="center"/>
              <w:rPr>
                <w:rFonts w:hint="eastAsia" w:ascii="仿宋" w:hAnsi="仿宋" w:eastAsia="仿宋" w:cs="仿宋"/>
                <w:bCs/>
                <w:color w:val="auto"/>
                <w:sz w:val="24"/>
                <w:szCs w:val="24"/>
              </w:rPr>
            </w:pPr>
            <w:r>
              <w:rPr>
                <w:rFonts w:hint="eastAsia" w:ascii="仿宋" w:hAnsi="仿宋" w:eastAsia="仿宋" w:cs="仿宋"/>
                <w:bCs/>
                <w:sz w:val="24"/>
                <w:szCs w:val="24"/>
              </w:rPr>
              <w:t>支撑课程目标1、2、3</w:t>
            </w:r>
          </w:p>
        </w:tc>
        <w:tc>
          <w:tcPr>
            <w:tcW w:w="2288" w:type="dxa"/>
            <w:gridSpan w:val="3"/>
            <w:shd w:val="clear" w:color="auto" w:fill="FFFFFF"/>
            <w:noWrap w:val="0"/>
            <w:vAlign w:val="center"/>
          </w:tcPr>
          <w:p w14:paraId="634A7B75">
            <w:pPr>
              <w:adjustRightInd w:val="0"/>
              <w:snapToGrid w:val="0"/>
              <w:jc w:val="center"/>
              <w:rPr>
                <w:rFonts w:hint="eastAsia" w:ascii="仿宋" w:hAnsi="仿宋" w:eastAsia="仿宋" w:cs="仿宋"/>
                <w:color w:val="auto"/>
                <w:sz w:val="24"/>
                <w:szCs w:val="24"/>
              </w:rPr>
            </w:pPr>
            <w:r>
              <w:rPr>
                <w:rFonts w:hint="eastAsia" w:ascii="仿宋" w:hAnsi="仿宋" w:eastAsia="仿宋" w:cs="仿宋"/>
                <w:sz w:val="24"/>
                <w:szCs w:val="24"/>
              </w:rPr>
              <w:t>14</w:t>
            </w:r>
          </w:p>
        </w:tc>
      </w:tr>
      <w:tr w14:paraId="61F6257D">
        <w:trPr>
          <w:trHeight w:val="454" w:hRule="atLeast"/>
        </w:trPr>
        <w:tc>
          <w:tcPr>
            <w:tcW w:w="1143" w:type="dxa"/>
            <w:vMerge w:val="continue"/>
            <w:shd w:val="clear" w:color="auto" w:fill="FFFFFF"/>
            <w:noWrap w:val="0"/>
            <w:vAlign w:val="center"/>
          </w:tcPr>
          <w:p w14:paraId="6C681689">
            <w:pPr>
              <w:adjustRightInd w:val="0"/>
              <w:snapToGrid w:val="0"/>
              <w:spacing w:line="240" w:lineRule="atLeast"/>
              <w:jc w:val="center"/>
              <w:rPr>
                <w:rFonts w:hint="eastAsia" w:ascii="仿宋" w:hAnsi="仿宋" w:eastAsia="仿宋" w:cs="仿宋"/>
                <w:sz w:val="24"/>
                <w:szCs w:val="24"/>
              </w:rPr>
            </w:pPr>
          </w:p>
        </w:tc>
        <w:tc>
          <w:tcPr>
            <w:tcW w:w="4573" w:type="dxa"/>
            <w:gridSpan w:val="6"/>
            <w:shd w:val="clear" w:color="auto" w:fill="auto"/>
            <w:noWrap w:val="0"/>
            <w:vAlign w:val="center"/>
          </w:tcPr>
          <w:p w14:paraId="6666F5B7">
            <w:pPr>
              <w:adjustRightInd w:val="0"/>
              <w:snapToGrid w:val="0"/>
              <w:rPr>
                <w:rFonts w:hint="eastAsia" w:ascii="仿宋" w:hAnsi="仿宋" w:eastAsia="仿宋" w:cs="仿宋"/>
                <w:b/>
                <w:bCs w:val="0"/>
                <w:sz w:val="24"/>
                <w:szCs w:val="24"/>
              </w:rPr>
            </w:pPr>
            <w:r>
              <w:rPr>
                <w:rFonts w:hint="eastAsia" w:ascii="仿宋" w:hAnsi="仿宋" w:eastAsia="仿宋" w:cs="仿宋"/>
                <w:b/>
                <w:bCs w:val="0"/>
                <w:sz w:val="24"/>
                <w:szCs w:val="24"/>
              </w:rPr>
              <w:t>训练二：民族民间舞剧目训练</w:t>
            </w:r>
          </w:p>
          <w:p w14:paraId="192769CD">
            <w:pPr>
              <w:adjustRightInd w:val="0"/>
              <w:snapToGrid w:val="0"/>
              <w:ind w:left="1200" w:hanging="1200" w:hangingChars="500"/>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实训目的</w:t>
            </w:r>
            <w:r>
              <w:rPr>
                <w:rFonts w:hint="eastAsia" w:ascii="仿宋" w:hAnsi="仿宋" w:eastAsia="仿宋" w:cs="仿宋"/>
                <w:bCs/>
                <w:sz w:val="24"/>
                <w:szCs w:val="24"/>
              </w:rPr>
              <w:t>：</w:t>
            </w:r>
            <w:r>
              <w:rPr>
                <w:rFonts w:hint="eastAsia" w:ascii="仿宋" w:hAnsi="仿宋" w:eastAsia="仿宋" w:cs="仿宋"/>
                <w:bCs/>
                <w:sz w:val="24"/>
                <w:szCs w:val="24"/>
                <w:lang w:val="en-US" w:eastAsia="zh-CN"/>
              </w:rPr>
              <w:t>规范民间舞剧目学习增强舞蹈表现力。</w:t>
            </w:r>
          </w:p>
          <w:p w14:paraId="777F2764">
            <w:pPr>
              <w:adjustRightInd w:val="0"/>
              <w:snapToGrid w:val="0"/>
              <w:ind w:left="1200" w:hanging="1200" w:hangingChars="500"/>
              <w:rPr>
                <w:rFonts w:hint="default" w:ascii="仿宋" w:hAnsi="仿宋" w:eastAsia="仿宋" w:cs="仿宋"/>
                <w:bCs/>
                <w:sz w:val="24"/>
                <w:szCs w:val="24"/>
                <w:lang w:val="en-US"/>
              </w:rPr>
            </w:pPr>
            <w:r>
              <w:rPr>
                <w:rFonts w:hint="eastAsia" w:ascii="仿宋" w:hAnsi="仿宋" w:eastAsia="仿宋" w:cs="仿宋"/>
                <w:bCs/>
                <w:sz w:val="24"/>
                <w:szCs w:val="24"/>
                <w:lang w:val="en-US" w:eastAsia="zh-CN"/>
              </w:rPr>
              <w:t>实训任务：1.学会民间舞剧目中</w:t>
            </w:r>
            <w:r>
              <w:rPr>
                <w:rFonts w:hint="eastAsia" w:ascii="仿宋" w:hAnsi="仿宋" w:eastAsia="仿宋" w:cs="仿宋"/>
                <w:bCs/>
                <w:sz w:val="24"/>
                <w:szCs w:val="24"/>
              </w:rPr>
              <w:t>动作的基本要求</w:t>
            </w:r>
            <w:r>
              <w:rPr>
                <w:rFonts w:hint="eastAsia" w:ascii="仿宋" w:hAnsi="仿宋" w:eastAsia="仿宋" w:cs="仿宋"/>
                <w:bCs/>
                <w:sz w:val="24"/>
                <w:szCs w:val="24"/>
                <w:lang w:eastAsia="zh-CN"/>
              </w:rPr>
              <w:t>。</w:t>
            </w:r>
            <w:r>
              <w:rPr>
                <w:rFonts w:hint="eastAsia" w:ascii="仿宋" w:hAnsi="仿宋" w:eastAsia="仿宋" w:cs="仿宋"/>
                <w:bCs/>
                <w:sz w:val="24"/>
                <w:szCs w:val="24"/>
              </w:rPr>
              <w:t xml:space="preserve"> </w:t>
            </w:r>
          </w:p>
          <w:p w14:paraId="7A0BB439">
            <w:pPr>
              <w:adjustRightInd w:val="0"/>
              <w:snapToGrid w:val="0"/>
              <w:ind w:left="1197" w:leftChars="570" w:firstLine="0" w:firstLineChars="0"/>
              <w:rPr>
                <w:rFonts w:ascii="仿宋" w:hAnsi="仿宋" w:eastAsia="仿宋" w:cs="仿宋"/>
                <w:bCs/>
                <w:sz w:val="24"/>
                <w:szCs w:val="24"/>
              </w:rPr>
            </w:pPr>
            <w:r>
              <w:rPr>
                <w:rFonts w:hint="eastAsia" w:ascii="仿宋" w:hAnsi="仿宋" w:eastAsia="仿宋" w:cs="仿宋"/>
                <w:bCs/>
                <w:sz w:val="24"/>
                <w:szCs w:val="24"/>
                <w:lang w:val="en-US" w:eastAsia="zh-CN"/>
              </w:rPr>
              <w:t>2.基本掌握民间舞剧目运用到舞蹈表演中。</w:t>
            </w:r>
          </w:p>
          <w:p w14:paraId="09029787">
            <w:pPr>
              <w:adjustRightInd w:val="0"/>
              <w:snapToGrid w:val="0"/>
              <w:ind w:left="1200" w:hanging="1200" w:hangingChars="500"/>
              <w:rPr>
                <w:rFonts w:hint="eastAsia" w:ascii="仿宋" w:hAnsi="仿宋" w:eastAsia="仿宋" w:cs="仿宋"/>
                <w:bCs/>
                <w:sz w:val="24"/>
                <w:szCs w:val="24"/>
              </w:rPr>
            </w:pPr>
            <w:r>
              <w:rPr>
                <w:rFonts w:hint="eastAsia" w:ascii="仿宋" w:hAnsi="仿宋" w:eastAsia="仿宋" w:cs="仿宋"/>
                <w:bCs/>
                <w:sz w:val="24"/>
                <w:szCs w:val="24"/>
                <w:lang w:val="en-US" w:eastAsia="zh-CN"/>
              </w:rPr>
              <w:t>思政融入：以作品的表演与表达内容引导学生自觉</w:t>
            </w:r>
            <w:r>
              <w:rPr>
                <w:rFonts w:hint="eastAsia" w:ascii="仿宋" w:hAnsi="仿宋" w:eastAsia="仿宋" w:cs="仿宋"/>
                <w:bCs/>
                <w:sz w:val="24"/>
                <w:szCs w:val="24"/>
                <w:lang w:val="en-US" w:eastAsia="zh-Hans"/>
              </w:rPr>
              <w:t>传承</w:t>
            </w:r>
            <w:r>
              <w:rPr>
                <w:rFonts w:hint="eastAsia" w:ascii="仿宋" w:hAnsi="仿宋" w:eastAsia="仿宋" w:cs="仿宋"/>
                <w:bCs/>
                <w:sz w:val="24"/>
                <w:szCs w:val="24"/>
                <w:lang w:val="en-US" w:eastAsia="zh-CN"/>
              </w:rPr>
              <w:t>传统舞蹈文化，树立民族情怀认同感增强民族自强与自信。</w:t>
            </w:r>
          </w:p>
        </w:tc>
        <w:tc>
          <w:tcPr>
            <w:tcW w:w="1144" w:type="dxa"/>
            <w:gridSpan w:val="3"/>
            <w:shd w:val="clear" w:color="auto" w:fill="auto"/>
            <w:noWrap w:val="0"/>
            <w:vAlign w:val="center"/>
          </w:tcPr>
          <w:p w14:paraId="0A79B050">
            <w:pPr>
              <w:adjustRightInd w:val="0"/>
              <w:snapToGrid w:val="0"/>
              <w:jc w:val="center"/>
              <w:rPr>
                <w:rFonts w:hint="eastAsia" w:ascii="仿宋" w:hAnsi="仿宋" w:eastAsia="仿宋" w:cs="仿宋"/>
                <w:bCs/>
                <w:color w:val="auto"/>
                <w:sz w:val="24"/>
                <w:szCs w:val="24"/>
              </w:rPr>
            </w:pPr>
            <w:r>
              <w:rPr>
                <w:rFonts w:hint="eastAsia" w:ascii="仿宋" w:hAnsi="仿宋" w:eastAsia="仿宋" w:cs="仿宋"/>
                <w:bCs/>
                <w:sz w:val="24"/>
                <w:szCs w:val="24"/>
              </w:rPr>
              <w:t>支撑课程目标1、2、3</w:t>
            </w:r>
          </w:p>
        </w:tc>
        <w:tc>
          <w:tcPr>
            <w:tcW w:w="2288" w:type="dxa"/>
            <w:gridSpan w:val="3"/>
            <w:shd w:val="clear" w:color="auto" w:fill="FFFFFF"/>
            <w:noWrap w:val="0"/>
            <w:vAlign w:val="center"/>
          </w:tcPr>
          <w:p w14:paraId="7E7B4E95">
            <w:pPr>
              <w:adjustRightInd w:val="0"/>
              <w:snapToGrid w:val="0"/>
              <w:jc w:val="center"/>
              <w:rPr>
                <w:rFonts w:hint="eastAsia" w:ascii="仿宋" w:hAnsi="仿宋" w:eastAsia="仿宋" w:cs="仿宋"/>
                <w:color w:val="auto"/>
                <w:sz w:val="24"/>
                <w:szCs w:val="24"/>
              </w:rPr>
            </w:pPr>
            <w:r>
              <w:rPr>
                <w:rFonts w:hint="eastAsia" w:ascii="仿宋" w:hAnsi="仿宋" w:eastAsia="仿宋" w:cs="仿宋"/>
                <w:sz w:val="24"/>
                <w:szCs w:val="24"/>
              </w:rPr>
              <w:t>16</w:t>
            </w:r>
          </w:p>
        </w:tc>
      </w:tr>
      <w:tr w14:paraId="04C14593">
        <w:trPr>
          <w:trHeight w:val="454" w:hRule="atLeast"/>
        </w:trPr>
        <w:tc>
          <w:tcPr>
            <w:tcW w:w="1143" w:type="dxa"/>
            <w:vMerge w:val="continue"/>
            <w:shd w:val="clear" w:color="auto" w:fill="FFFFFF"/>
            <w:noWrap w:val="0"/>
            <w:vAlign w:val="center"/>
          </w:tcPr>
          <w:p w14:paraId="25BAEF1F">
            <w:pPr>
              <w:adjustRightInd w:val="0"/>
              <w:snapToGrid w:val="0"/>
              <w:spacing w:line="240" w:lineRule="atLeast"/>
              <w:jc w:val="center"/>
              <w:rPr>
                <w:rFonts w:hint="eastAsia" w:ascii="仿宋" w:hAnsi="仿宋" w:eastAsia="仿宋" w:cs="仿宋"/>
                <w:sz w:val="24"/>
                <w:szCs w:val="24"/>
              </w:rPr>
            </w:pPr>
          </w:p>
        </w:tc>
        <w:tc>
          <w:tcPr>
            <w:tcW w:w="4573" w:type="dxa"/>
            <w:gridSpan w:val="6"/>
            <w:shd w:val="clear" w:color="auto" w:fill="auto"/>
            <w:noWrap w:val="0"/>
            <w:vAlign w:val="center"/>
          </w:tcPr>
          <w:p w14:paraId="7D1DA14D">
            <w:pPr>
              <w:adjustRightInd w:val="0"/>
              <w:snapToGrid w:val="0"/>
              <w:rPr>
                <w:rFonts w:ascii="仿宋" w:hAnsi="仿宋" w:eastAsia="仿宋" w:cs="仿宋"/>
                <w:b/>
                <w:bCs w:val="0"/>
                <w:sz w:val="24"/>
                <w:szCs w:val="24"/>
              </w:rPr>
            </w:pPr>
            <w:r>
              <w:rPr>
                <w:rFonts w:hint="eastAsia" w:ascii="仿宋" w:hAnsi="仿宋" w:eastAsia="仿宋" w:cs="仿宋"/>
                <w:b/>
                <w:bCs w:val="0"/>
                <w:sz w:val="24"/>
                <w:szCs w:val="24"/>
              </w:rPr>
              <w:t>训练三：现代舞剧目训练</w:t>
            </w:r>
          </w:p>
          <w:p w14:paraId="080776B1">
            <w:pPr>
              <w:adjustRightInd w:val="0"/>
              <w:snapToGrid w:val="0"/>
              <w:ind w:left="1200" w:hanging="1200" w:hangingChars="500"/>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实训目的</w:t>
            </w:r>
            <w:r>
              <w:rPr>
                <w:rFonts w:hint="eastAsia" w:ascii="仿宋" w:hAnsi="仿宋" w:eastAsia="仿宋" w:cs="仿宋"/>
                <w:bCs/>
                <w:sz w:val="24"/>
                <w:szCs w:val="24"/>
              </w:rPr>
              <w:t>：</w:t>
            </w:r>
            <w:r>
              <w:rPr>
                <w:rFonts w:hint="eastAsia" w:ascii="仿宋" w:hAnsi="仿宋" w:eastAsia="仿宋" w:cs="仿宋"/>
                <w:bCs/>
                <w:sz w:val="24"/>
                <w:szCs w:val="24"/>
                <w:lang w:val="en-US" w:eastAsia="zh-CN"/>
              </w:rPr>
              <w:t>规范现代舞剧目学习增强舞蹈表现力。</w:t>
            </w:r>
          </w:p>
          <w:p w14:paraId="679AF14A">
            <w:pPr>
              <w:adjustRightInd w:val="0"/>
              <w:snapToGrid w:val="0"/>
              <w:ind w:left="1200" w:hanging="1200" w:hangingChars="500"/>
              <w:rPr>
                <w:rFonts w:hint="default" w:ascii="仿宋" w:hAnsi="仿宋" w:eastAsia="仿宋" w:cs="仿宋"/>
                <w:bCs/>
                <w:sz w:val="24"/>
                <w:szCs w:val="24"/>
                <w:lang w:val="en-US"/>
              </w:rPr>
            </w:pPr>
            <w:r>
              <w:rPr>
                <w:rFonts w:hint="eastAsia" w:ascii="仿宋" w:hAnsi="仿宋" w:eastAsia="仿宋" w:cs="仿宋"/>
                <w:bCs/>
                <w:sz w:val="24"/>
                <w:szCs w:val="24"/>
                <w:lang w:val="en-US" w:eastAsia="zh-CN"/>
              </w:rPr>
              <w:t>实训任务：1学会现代舞剧目中</w:t>
            </w:r>
            <w:r>
              <w:rPr>
                <w:rFonts w:hint="eastAsia" w:ascii="仿宋" w:hAnsi="仿宋" w:eastAsia="仿宋" w:cs="仿宋"/>
                <w:bCs/>
                <w:sz w:val="24"/>
                <w:szCs w:val="24"/>
              </w:rPr>
              <w:t>动作的基本要求</w:t>
            </w:r>
            <w:r>
              <w:rPr>
                <w:rFonts w:hint="eastAsia" w:ascii="仿宋" w:hAnsi="仿宋" w:eastAsia="仿宋" w:cs="仿宋"/>
                <w:bCs/>
                <w:sz w:val="24"/>
                <w:szCs w:val="24"/>
                <w:lang w:eastAsia="zh-CN"/>
              </w:rPr>
              <w:t>。</w:t>
            </w:r>
            <w:r>
              <w:rPr>
                <w:rFonts w:hint="eastAsia" w:ascii="仿宋" w:hAnsi="仿宋" w:eastAsia="仿宋" w:cs="仿宋"/>
                <w:bCs/>
                <w:sz w:val="24"/>
                <w:szCs w:val="24"/>
              </w:rPr>
              <w:t xml:space="preserve"> </w:t>
            </w:r>
          </w:p>
          <w:p w14:paraId="475F6BDA">
            <w:pPr>
              <w:adjustRightInd w:val="0"/>
              <w:snapToGrid w:val="0"/>
              <w:ind w:left="1197" w:leftChars="570" w:firstLine="0" w:firstLineChars="0"/>
              <w:rPr>
                <w:rFonts w:hint="eastAsia" w:ascii="仿宋" w:hAnsi="仿宋" w:eastAsia="仿宋" w:cs="仿宋"/>
                <w:bCs/>
                <w:sz w:val="24"/>
                <w:szCs w:val="24"/>
              </w:rPr>
            </w:pPr>
            <w:r>
              <w:rPr>
                <w:rFonts w:hint="eastAsia" w:ascii="仿宋" w:hAnsi="仿宋" w:eastAsia="仿宋" w:cs="仿宋"/>
                <w:bCs/>
                <w:sz w:val="24"/>
                <w:szCs w:val="24"/>
                <w:lang w:val="en-US" w:eastAsia="zh-CN"/>
              </w:rPr>
              <w:t>2.基本</w:t>
            </w:r>
            <w:r>
              <w:rPr>
                <w:rFonts w:hint="eastAsia" w:ascii="仿宋" w:hAnsi="仿宋" w:eastAsia="仿宋" w:cs="仿宋"/>
                <w:bCs/>
                <w:sz w:val="24"/>
                <w:szCs w:val="24"/>
              </w:rPr>
              <w:t>掌握</w:t>
            </w:r>
            <w:r>
              <w:rPr>
                <w:rFonts w:hint="eastAsia" w:ascii="仿宋" w:hAnsi="仿宋" w:eastAsia="仿宋" w:cs="仿宋"/>
                <w:bCs/>
                <w:sz w:val="24"/>
                <w:szCs w:val="24"/>
                <w:lang w:val="en-US" w:eastAsia="zh-CN"/>
              </w:rPr>
              <w:t>现代舞剧目运用到舞蹈表演中</w:t>
            </w:r>
            <w:r>
              <w:rPr>
                <w:rFonts w:hint="eastAsia" w:ascii="仿宋" w:hAnsi="仿宋" w:eastAsia="仿宋" w:cs="仿宋"/>
                <w:bCs/>
                <w:sz w:val="24"/>
                <w:szCs w:val="24"/>
              </w:rPr>
              <w:t>。</w:t>
            </w:r>
          </w:p>
          <w:p w14:paraId="34EF5DF1">
            <w:pPr>
              <w:adjustRightInd w:val="0"/>
              <w:snapToGrid w:val="0"/>
              <w:ind w:left="1200" w:hanging="1200" w:hangingChars="500"/>
              <w:rPr>
                <w:rFonts w:hint="eastAsia" w:ascii="仿宋" w:hAnsi="仿宋" w:eastAsia="仿宋" w:cs="仿宋"/>
                <w:bCs/>
                <w:sz w:val="24"/>
                <w:szCs w:val="24"/>
              </w:rPr>
            </w:pPr>
            <w:r>
              <w:rPr>
                <w:rFonts w:hint="eastAsia" w:ascii="仿宋" w:hAnsi="仿宋" w:eastAsia="仿宋" w:cs="仿宋"/>
                <w:bCs/>
                <w:sz w:val="24"/>
                <w:szCs w:val="24"/>
                <w:lang w:val="en-US" w:eastAsia="zh-CN"/>
              </w:rPr>
              <w:t>思政融入：构建学生多元艺术知识，培养独立思考的品质。提升学生的审美能力和情感体验。</w:t>
            </w:r>
          </w:p>
        </w:tc>
        <w:tc>
          <w:tcPr>
            <w:tcW w:w="1144" w:type="dxa"/>
            <w:gridSpan w:val="3"/>
            <w:shd w:val="clear" w:color="auto" w:fill="auto"/>
            <w:noWrap w:val="0"/>
            <w:vAlign w:val="center"/>
          </w:tcPr>
          <w:p w14:paraId="7A22711F">
            <w:pPr>
              <w:adjustRightInd w:val="0"/>
              <w:snapToGrid w:val="0"/>
              <w:jc w:val="center"/>
              <w:rPr>
                <w:rFonts w:hint="eastAsia" w:ascii="仿宋" w:hAnsi="仿宋" w:eastAsia="仿宋" w:cs="仿宋"/>
                <w:bCs/>
                <w:color w:val="auto"/>
                <w:sz w:val="24"/>
                <w:szCs w:val="24"/>
              </w:rPr>
            </w:pPr>
            <w:r>
              <w:rPr>
                <w:rFonts w:hint="eastAsia" w:ascii="仿宋" w:hAnsi="仿宋" w:eastAsia="仿宋" w:cs="仿宋"/>
                <w:bCs/>
                <w:sz w:val="24"/>
                <w:szCs w:val="24"/>
              </w:rPr>
              <w:t>支撑课程目标1、2、3</w:t>
            </w:r>
          </w:p>
        </w:tc>
        <w:tc>
          <w:tcPr>
            <w:tcW w:w="2288" w:type="dxa"/>
            <w:gridSpan w:val="3"/>
            <w:shd w:val="clear" w:color="auto" w:fill="FFFFFF"/>
            <w:noWrap w:val="0"/>
            <w:vAlign w:val="center"/>
          </w:tcPr>
          <w:p w14:paraId="4C71AF85">
            <w:pPr>
              <w:adjustRightInd w:val="0"/>
              <w:snapToGrid w:val="0"/>
              <w:jc w:val="center"/>
              <w:rPr>
                <w:rFonts w:hint="eastAsia" w:ascii="仿宋" w:hAnsi="仿宋" w:eastAsia="仿宋" w:cs="仿宋"/>
                <w:color w:val="auto"/>
                <w:sz w:val="24"/>
                <w:szCs w:val="24"/>
              </w:rPr>
            </w:pPr>
            <w:r>
              <w:rPr>
                <w:rFonts w:hint="eastAsia" w:ascii="仿宋" w:hAnsi="仿宋" w:eastAsia="仿宋" w:cs="仿宋"/>
                <w:sz w:val="24"/>
                <w:szCs w:val="24"/>
              </w:rPr>
              <w:t>16</w:t>
            </w:r>
          </w:p>
        </w:tc>
      </w:tr>
      <w:tr w14:paraId="5D80D058">
        <w:trPr>
          <w:trHeight w:val="1183" w:hRule="atLeast"/>
        </w:trPr>
        <w:tc>
          <w:tcPr>
            <w:tcW w:w="1143" w:type="dxa"/>
            <w:vMerge w:val="continue"/>
            <w:shd w:val="clear" w:color="auto" w:fill="FFFFFF"/>
            <w:noWrap w:val="0"/>
            <w:vAlign w:val="center"/>
          </w:tcPr>
          <w:p w14:paraId="33DF7F98">
            <w:pPr>
              <w:adjustRightInd w:val="0"/>
              <w:snapToGrid w:val="0"/>
              <w:spacing w:line="240" w:lineRule="atLeast"/>
              <w:jc w:val="center"/>
              <w:rPr>
                <w:rFonts w:hint="eastAsia" w:ascii="仿宋" w:hAnsi="仿宋" w:eastAsia="仿宋" w:cs="仿宋"/>
                <w:sz w:val="24"/>
                <w:szCs w:val="24"/>
              </w:rPr>
            </w:pPr>
          </w:p>
        </w:tc>
        <w:tc>
          <w:tcPr>
            <w:tcW w:w="4573" w:type="dxa"/>
            <w:gridSpan w:val="6"/>
            <w:shd w:val="clear" w:color="auto" w:fill="auto"/>
            <w:noWrap w:val="0"/>
            <w:vAlign w:val="center"/>
          </w:tcPr>
          <w:p w14:paraId="20126DFA">
            <w:pPr>
              <w:adjustRightInd w:val="0"/>
              <w:snapToGrid w:val="0"/>
              <w:rPr>
                <w:rFonts w:hint="eastAsia" w:ascii="仿宋" w:hAnsi="仿宋" w:eastAsia="仿宋" w:cs="仿宋"/>
                <w:b/>
                <w:bCs w:val="0"/>
                <w:sz w:val="24"/>
                <w:szCs w:val="24"/>
                <w:lang w:val="en-US" w:eastAsia="zh-CN"/>
              </w:rPr>
            </w:pPr>
            <w:r>
              <w:rPr>
                <w:rFonts w:hint="eastAsia" w:ascii="仿宋" w:hAnsi="仿宋" w:eastAsia="仿宋" w:cs="仿宋"/>
                <w:b/>
                <w:bCs w:val="0"/>
                <w:sz w:val="24"/>
                <w:szCs w:val="24"/>
              </w:rPr>
              <w:t>训练四：</w:t>
            </w:r>
            <w:r>
              <w:rPr>
                <w:rFonts w:hint="eastAsia" w:ascii="仿宋" w:hAnsi="仿宋" w:eastAsia="仿宋" w:cs="仿宋"/>
                <w:b/>
                <w:bCs w:val="0"/>
                <w:sz w:val="24"/>
                <w:szCs w:val="24"/>
                <w:lang w:val="en-US" w:eastAsia="zh-CN"/>
              </w:rPr>
              <w:t>流行舞</w:t>
            </w:r>
          </w:p>
          <w:p w14:paraId="5AC49C53">
            <w:pPr>
              <w:adjustRightInd w:val="0"/>
              <w:snapToGrid w:val="0"/>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实训目的</w:t>
            </w:r>
            <w:r>
              <w:rPr>
                <w:rFonts w:hint="eastAsia" w:ascii="仿宋" w:hAnsi="仿宋" w:eastAsia="仿宋" w:cs="仿宋"/>
                <w:bCs/>
                <w:sz w:val="24"/>
                <w:szCs w:val="24"/>
              </w:rPr>
              <w:t>：</w:t>
            </w:r>
            <w:r>
              <w:rPr>
                <w:rFonts w:hint="eastAsia" w:ascii="仿宋" w:hAnsi="仿宋" w:eastAsia="仿宋" w:cs="仿宋"/>
                <w:bCs/>
                <w:sz w:val="24"/>
                <w:szCs w:val="24"/>
                <w:lang w:val="en-US" w:eastAsia="zh-CN"/>
              </w:rPr>
              <w:t>规范流行舞学习增强舞蹈表现力</w:t>
            </w:r>
          </w:p>
          <w:p w14:paraId="2949E32E">
            <w:pPr>
              <w:adjustRightInd w:val="0"/>
              <w:snapToGrid w:val="0"/>
              <w:ind w:left="1200" w:hanging="1200" w:hangingChars="500"/>
              <w:rPr>
                <w:rFonts w:ascii="仿宋" w:hAnsi="仿宋" w:eastAsia="仿宋" w:cs="仿宋"/>
                <w:bCs/>
                <w:sz w:val="24"/>
                <w:szCs w:val="24"/>
              </w:rPr>
            </w:pPr>
            <w:r>
              <w:rPr>
                <w:rFonts w:hint="eastAsia" w:ascii="仿宋" w:hAnsi="仿宋" w:eastAsia="仿宋" w:cs="仿宋"/>
                <w:bCs/>
                <w:sz w:val="24"/>
                <w:szCs w:val="24"/>
                <w:lang w:val="en-US" w:eastAsia="zh-CN"/>
              </w:rPr>
              <w:t>实训任务：1.学会流行舞</w:t>
            </w:r>
            <w:r>
              <w:rPr>
                <w:rFonts w:hint="eastAsia" w:ascii="仿宋" w:hAnsi="仿宋" w:eastAsia="仿宋" w:cs="仿宋"/>
                <w:bCs/>
                <w:sz w:val="24"/>
                <w:szCs w:val="24"/>
              </w:rPr>
              <w:t>动作的规范性、到位性</w:t>
            </w:r>
            <w:r>
              <w:rPr>
                <w:rFonts w:hint="default" w:ascii="仿宋" w:hAnsi="仿宋" w:eastAsia="仿宋" w:cs="仿宋"/>
                <w:bCs/>
                <w:sz w:val="24"/>
                <w:szCs w:val="24"/>
              </w:rPr>
              <w:t>；</w:t>
            </w:r>
            <w:r>
              <w:rPr>
                <w:rFonts w:hint="eastAsia" w:ascii="仿宋" w:hAnsi="仿宋" w:eastAsia="仿宋" w:cs="仿宋"/>
                <w:bCs/>
                <w:sz w:val="24"/>
                <w:szCs w:val="24"/>
              </w:rPr>
              <w:t>具有观察空间变化的能力</w:t>
            </w:r>
            <w:r>
              <w:rPr>
                <w:rFonts w:hint="default" w:ascii="仿宋" w:hAnsi="仿宋" w:eastAsia="仿宋" w:cs="仿宋"/>
                <w:bCs/>
                <w:sz w:val="24"/>
                <w:szCs w:val="24"/>
              </w:rPr>
              <w:t>。</w:t>
            </w:r>
            <w:r>
              <w:rPr>
                <w:rFonts w:hint="eastAsia" w:ascii="仿宋" w:hAnsi="仿宋" w:eastAsia="仿宋" w:cs="仿宋"/>
                <w:bCs/>
                <w:sz w:val="24"/>
                <w:szCs w:val="24"/>
              </w:rPr>
              <w:t xml:space="preserve"> </w:t>
            </w:r>
          </w:p>
          <w:p w14:paraId="4A680262">
            <w:pPr>
              <w:adjustRightInd w:val="0"/>
              <w:snapToGrid w:val="0"/>
              <w:ind w:left="1197" w:leftChars="570" w:firstLine="0" w:firstLineChars="0"/>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2.基本</w:t>
            </w:r>
            <w:r>
              <w:rPr>
                <w:rFonts w:hint="eastAsia" w:ascii="仿宋" w:hAnsi="仿宋" w:eastAsia="仿宋" w:cs="仿宋"/>
                <w:bCs/>
                <w:sz w:val="24"/>
                <w:szCs w:val="24"/>
              </w:rPr>
              <w:t>掌握</w:t>
            </w:r>
            <w:r>
              <w:rPr>
                <w:rFonts w:hint="eastAsia" w:ascii="仿宋" w:hAnsi="仿宋" w:eastAsia="仿宋" w:cs="仿宋"/>
                <w:bCs/>
                <w:sz w:val="24"/>
                <w:szCs w:val="24"/>
                <w:lang w:val="en-US" w:eastAsia="zh-CN"/>
              </w:rPr>
              <w:t>流行舞并运用到舞蹈表演中。</w:t>
            </w:r>
          </w:p>
          <w:p w14:paraId="58E3CA1B">
            <w:pPr>
              <w:adjustRightInd w:val="0"/>
              <w:snapToGrid w:val="0"/>
              <w:ind w:left="1200" w:hanging="1200" w:hangingChars="500"/>
              <w:rPr>
                <w:rFonts w:hint="eastAsia" w:ascii="仿宋" w:hAnsi="仿宋" w:eastAsia="仿宋" w:cs="仿宋"/>
                <w:bCs/>
                <w:sz w:val="24"/>
                <w:szCs w:val="24"/>
                <w:lang w:eastAsia="zh-CN"/>
              </w:rPr>
            </w:pPr>
            <w:r>
              <w:rPr>
                <w:rFonts w:hint="eastAsia" w:ascii="仿宋" w:hAnsi="仿宋" w:eastAsia="仿宋" w:cs="仿宋"/>
                <w:bCs/>
                <w:sz w:val="24"/>
                <w:szCs w:val="24"/>
                <w:lang w:val="en-US" w:eastAsia="zh-CN"/>
              </w:rPr>
              <w:t>思政融入：把握舞蹈艺术前沿动态，建立多元的舞蹈艺术观。</w:t>
            </w:r>
          </w:p>
        </w:tc>
        <w:tc>
          <w:tcPr>
            <w:tcW w:w="1144" w:type="dxa"/>
            <w:gridSpan w:val="3"/>
            <w:shd w:val="clear" w:color="auto" w:fill="auto"/>
            <w:noWrap w:val="0"/>
            <w:vAlign w:val="center"/>
          </w:tcPr>
          <w:p w14:paraId="6470E55C">
            <w:pPr>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tc>
        <w:tc>
          <w:tcPr>
            <w:tcW w:w="2288" w:type="dxa"/>
            <w:gridSpan w:val="3"/>
            <w:shd w:val="clear" w:color="auto" w:fill="FFFFFF"/>
            <w:noWrap w:val="0"/>
            <w:vAlign w:val="center"/>
          </w:tcPr>
          <w:p w14:paraId="795A9C9E">
            <w:pPr>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10</w:t>
            </w:r>
          </w:p>
        </w:tc>
      </w:tr>
      <w:tr w14:paraId="00F08257">
        <w:trPr>
          <w:trHeight w:val="454" w:hRule="atLeast"/>
        </w:trPr>
        <w:tc>
          <w:tcPr>
            <w:tcW w:w="1143" w:type="dxa"/>
            <w:vMerge w:val="continue"/>
            <w:shd w:val="clear" w:color="auto" w:fill="FFFFFF"/>
            <w:noWrap w:val="0"/>
            <w:vAlign w:val="center"/>
          </w:tcPr>
          <w:p w14:paraId="4CFF6E06">
            <w:pPr>
              <w:adjustRightInd w:val="0"/>
              <w:snapToGrid w:val="0"/>
              <w:spacing w:line="240" w:lineRule="atLeast"/>
              <w:jc w:val="center"/>
              <w:rPr>
                <w:rFonts w:hint="eastAsia" w:ascii="仿宋" w:hAnsi="仿宋" w:eastAsia="仿宋" w:cs="仿宋"/>
                <w:sz w:val="24"/>
                <w:szCs w:val="24"/>
              </w:rPr>
            </w:pPr>
          </w:p>
        </w:tc>
        <w:tc>
          <w:tcPr>
            <w:tcW w:w="4573" w:type="dxa"/>
            <w:gridSpan w:val="6"/>
            <w:shd w:val="clear" w:color="auto" w:fill="auto"/>
            <w:noWrap w:val="0"/>
            <w:vAlign w:val="center"/>
          </w:tcPr>
          <w:p w14:paraId="0D1938B1">
            <w:pPr>
              <w:adjustRightInd w:val="0"/>
              <w:snapToGrid w:val="0"/>
              <w:rPr>
                <w:rFonts w:hint="default" w:ascii="仿宋" w:hAnsi="仿宋" w:eastAsia="仿宋" w:cs="仿宋"/>
                <w:b/>
                <w:bCs w:val="0"/>
                <w:sz w:val="24"/>
                <w:szCs w:val="24"/>
                <w:lang w:val="en-US" w:eastAsia="zh-CN"/>
              </w:rPr>
            </w:pPr>
            <w:r>
              <w:rPr>
                <w:rFonts w:hint="eastAsia" w:ascii="仿宋" w:hAnsi="仿宋" w:eastAsia="仿宋" w:cs="仿宋"/>
                <w:b/>
                <w:bCs w:val="0"/>
                <w:sz w:val="24"/>
                <w:szCs w:val="24"/>
              </w:rPr>
              <w:t>训练</w:t>
            </w:r>
            <w:r>
              <w:rPr>
                <w:rFonts w:hint="eastAsia" w:ascii="仿宋" w:hAnsi="仿宋" w:eastAsia="仿宋" w:cs="仿宋"/>
                <w:b/>
                <w:bCs w:val="0"/>
                <w:sz w:val="24"/>
                <w:szCs w:val="24"/>
                <w:lang w:val="en-US" w:eastAsia="zh-CN"/>
              </w:rPr>
              <w:t>五</w:t>
            </w:r>
            <w:r>
              <w:rPr>
                <w:rFonts w:hint="eastAsia" w:ascii="仿宋" w:hAnsi="仿宋" w:eastAsia="仿宋" w:cs="仿宋"/>
                <w:b/>
                <w:bCs w:val="0"/>
                <w:sz w:val="24"/>
                <w:szCs w:val="24"/>
              </w:rPr>
              <w:t>：</w:t>
            </w:r>
            <w:r>
              <w:rPr>
                <w:rFonts w:hint="eastAsia" w:ascii="仿宋" w:hAnsi="仿宋" w:eastAsia="仿宋" w:cs="仿宋"/>
                <w:b/>
                <w:bCs w:val="0"/>
                <w:sz w:val="24"/>
                <w:szCs w:val="24"/>
                <w:lang w:val="en-US" w:eastAsia="zh-CN"/>
              </w:rPr>
              <w:t>当代舞剧目</w:t>
            </w:r>
          </w:p>
          <w:p w14:paraId="497B8272">
            <w:pPr>
              <w:adjustRightInd w:val="0"/>
              <w:snapToGrid w:val="0"/>
              <w:ind w:left="1200" w:hanging="1200" w:hangingChars="500"/>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实训目的</w:t>
            </w:r>
            <w:r>
              <w:rPr>
                <w:rFonts w:hint="eastAsia" w:ascii="仿宋" w:hAnsi="仿宋" w:eastAsia="仿宋" w:cs="仿宋"/>
                <w:bCs/>
                <w:sz w:val="24"/>
                <w:szCs w:val="24"/>
              </w:rPr>
              <w:t>：</w:t>
            </w:r>
            <w:r>
              <w:rPr>
                <w:rFonts w:hint="eastAsia" w:ascii="仿宋" w:hAnsi="仿宋" w:eastAsia="仿宋" w:cs="仿宋"/>
                <w:bCs/>
                <w:sz w:val="24"/>
                <w:szCs w:val="24"/>
                <w:lang w:val="en-US" w:eastAsia="zh-CN"/>
              </w:rPr>
              <w:t>规范当代舞动作要求增强舞蹈表现力。</w:t>
            </w:r>
          </w:p>
          <w:p w14:paraId="6F496F85">
            <w:pPr>
              <w:adjustRightInd w:val="0"/>
              <w:snapToGrid w:val="0"/>
              <w:ind w:left="1200" w:hanging="1200" w:hangingChars="500"/>
              <w:rPr>
                <w:rFonts w:ascii="仿宋" w:hAnsi="仿宋" w:eastAsia="仿宋" w:cs="仿宋"/>
                <w:bCs/>
                <w:sz w:val="24"/>
                <w:szCs w:val="24"/>
              </w:rPr>
            </w:pPr>
            <w:r>
              <w:rPr>
                <w:rFonts w:hint="eastAsia" w:ascii="仿宋" w:hAnsi="仿宋" w:eastAsia="仿宋" w:cs="仿宋"/>
                <w:bCs/>
                <w:sz w:val="24"/>
                <w:szCs w:val="24"/>
                <w:lang w:val="en-US" w:eastAsia="zh-CN"/>
              </w:rPr>
              <w:t>实训任务：1.学会当代舞</w:t>
            </w:r>
            <w:r>
              <w:rPr>
                <w:rFonts w:hint="eastAsia" w:ascii="仿宋" w:hAnsi="仿宋" w:eastAsia="仿宋" w:cs="仿宋"/>
                <w:bCs/>
                <w:sz w:val="24"/>
                <w:szCs w:val="24"/>
              </w:rPr>
              <w:t>动作的规范性、到位性</w:t>
            </w:r>
            <w:r>
              <w:rPr>
                <w:rFonts w:hint="default" w:ascii="仿宋" w:hAnsi="仿宋" w:eastAsia="仿宋" w:cs="仿宋"/>
                <w:bCs/>
                <w:sz w:val="24"/>
                <w:szCs w:val="24"/>
              </w:rPr>
              <w:t>；</w:t>
            </w:r>
            <w:r>
              <w:rPr>
                <w:rFonts w:hint="eastAsia" w:ascii="仿宋" w:hAnsi="仿宋" w:eastAsia="仿宋" w:cs="仿宋"/>
                <w:bCs/>
                <w:sz w:val="24"/>
                <w:szCs w:val="24"/>
              </w:rPr>
              <w:t>具有观察空间变化的能力</w:t>
            </w:r>
            <w:r>
              <w:rPr>
                <w:rFonts w:hint="default" w:ascii="仿宋" w:hAnsi="仿宋" w:eastAsia="仿宋" w:cs="仿宋"/>
                <w:bCs/>
                <w:sz w:val="24"/>
                <w:szCs w:val="24"/>
              </w:rPr>
              <w:t>。</w:t>
            </w:r>
            <w:r>
              <w:rPr>
                <w:rFonts w:hint="eastAsia" w:ascii="仿宋" w:hAnsi="仿宋" w:eastAsia="仿宋" w:cs="仿宋"/>
                <w:bCs/>
                <w:sz w:val="24"/>
                <w:szCs w:val="24"/>
              </w:rPr>
              <w:t xml:space="preserve"> </w:t>
            </w:r>
          </w:p>
          <w:p w14:paraId="6AB10A0A">
            <w:pPr>
              <w:adjustRightInd w:val="0"/>
              <w:snapToGrid w:val="0"/>
              <w:ind w:left="1197" w:leftChars="570" w:firstLine="0" w:firstLineChars="0"/>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2.基本</w:t>
            </w:r>
            <w:r>
              <w:rPr>
                <w:rFonts w:hint="eastAsia" w:ascii="仿宋" w:hAnsi="仿宋" w:eastAsia="仿宋" w:cs="仿宋"/>
                <w:bCs/>
                <w:sz w:val="24"/>
                <w:szCs w:val="24"/>
              </w:rPr>
              <w:t>掌握</w:t>
            </w:r>
            <w:r>
              <w:rPr>
                <w:rFonts w:hint="eastAsia" w:ascii="仿宋" w:hAnsi="仿宋" w:eastAsia="仿宋" w:cs="仿宋"/>
                <w:bCs/>
                <w:sz w:val="24"/>
                <w:szCs w:val="24"/>
                <w:lang w:val="en-US" w:eastAsia="zh-CN"/>
              </w:rPr>
              <w:t>当代舞并运用到舞蹈表演中。</w:t>
            </w:r>
          </w:p>
          <w:p w14:paraId="0FA509DF">
            <w:pPr>
              <w:adjustRightInd w:val="0"/>
              <w:snapToGrid w:val="0"/>
              <w:ind w:left="1200" w:hanging="1200" w:hangingChars="500"/>
              <w:rPr>
                <w:rFonts w:hint="eastAsia" w:ascii="仿宋" w:hAnsi="仿宋" w:eastAsia="仿宋" w:cs="仿宋"/>
                <w:bCs/>
                <w:sz w:val="24"/>
                <w:szCs w:val="24"/>
              </w:rPr>
            </w:pPr>
            <w:r>
              <w:rPr>
                <w:rFonts w:hint="eastAsia" w:ascii="仿宋" w:hAnsi="仿宋" w:eastAsia="仿宋" w:cs="仿宋"/>
                <w:bCs/>
                <w:sz w:val="24"/>
                <w:szCs w:val="24"/>
                <w:lang w:val="en-US" w:eastAsia="zh-CN"/>
              </w:rPr>
              <w:t>思政融入：引导学生关注社会现实问题，培养独立思考意识和团结协作能力。</w:t>
            </w:r>
          </w:p>
        </w:tc>
        <w:tc>
          <w:tcPr>
            <w:tcW w:w="1144" w:type="dxa"/>
            <w:gridSpan w:val="3"/>
            <w:shd w:val="clear" w:color="auto" w:fill="auto"/>
            <w:noWrap w:val="0"/>
            <w:vAlign w:val="center"/>
          </w:tcPr>
          <w:p w14:paraId="43B8A721">
            <w:pPr>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tc>
        <w:tc>
          <w:tcPr>
            <w:tcW w:w="2288" w:type="dxa"/>
            <w:gridSpan w:val="3"/>
            <w:shd w:val="clear" w:color="auto" w:fill="FFFFFF"/>
            <w:noWrap w:val="0"/>
            <w:vAlign w:val="center"/>
          </w:tcPr>
          <w:p w14:paraId="316D346A">
            <w:pPr>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8</w:t>
            </w:r>
          </w:p>
        </w:tc>
      </w:tr>
      <w:tr w14:paraId="47F13DF5">
        <w:trPr>
          <w:trHeight w:val="454" w:hRule="atLeast"/>
        </w:trPr>
        <w:tc>
          <w:tcPr>
            <w:tcW w:w="1143" w:type="dxa"/>
            <w:vMerge w:val="continue"/>
            <w:shd w:val="clear" w:color="auto" w:fill="FFFFFF"/>
            <w:noWrap w:val="0"/>
            <w:vAlign w:val="center"/>
          </w:tcPr>
          <w:p w14:paraId="692C4706">
            <w:pPr>
              <w:adjustRightInd w:val="0"/>
              <w:snapToGrid w:val="0"/>
              <w:spacing w:line="240" w:lineRule="atLeast"/>
              <w:jc w:val="center"/>
              <w:rPr>
                <w:rFonts w:hint="eastAsia" w:ascii="仿宋" w:hAnsi="仿宋" w:eastAsia="仿宋" w:cs="仿宋"/>
                <w:sz w:val="24"/>
                <w:szCs w:val="24"/>
              </w:rPr>
            </w:pPr>
          </w:p>
        </w:tc>
        <w:tc>
          <w:tcPr>
            <w:tcW w:w="5717" w:type="dxa"/>
            <w:gridSpan w:val="9"/>
            <w:shd w:val="clear" w:color="auto" w:fill="auto"/>
            <w:noWrap w:val="0"/>
            <w:vAlign w:val="center"/>
          </w:tcPr>
          <w:p w14:paraId="39117F29">
            <w:pPr>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合计</w:t>
            </w:r>
          </w:p>
        </w:tc>
        <w:tc>
          <w:tcPr>
            <w:tcW w:w="2288" w:type="dxa"/>
            <w:gridSpan w:val="3"/>
            <w:shd w:val="clear" w:color="auto" w:fill="FFFFFF"/>
            <w:noWrap w:val="0"/>
            <w:vAlign w:val="center"/>
          </w:tcPr>
          <w:p w14:paraId="5E6E04EB">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sz w:val="24"/>
                <w:szCs w:val="24"/>
              </w:rPr>
              <w:t>64</w:t>
            </w:r>
          </w:p>
        </w:tc>
      </w:tr>
      <w:tr w14:paraId="6C70B2B8">
        <w:trPr>
          <w:trHeight w:val="921" w:hRule="atLeast"/>
        </w:trPr>
        <w:tc>
          <w:tcPr>
            <w:tcW w:w="1143" w:type="dxa"/>
            <w:noWrap w:val="0"/>
            <w:vAlign w:val="center"/>
          </w:tcPr>
          <w:p w14:paraId="2561AE90">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I</w:t>
            </w:r>
          </w:p>
          <w:p w14:paraId="71FCB302">
            <w:pPr>
              <w:adjustRightInd w:val="0"/>
              <w:snapToGrid w:val="0"/>
              <w:spacing w:line="240" w:lineRule="atLeast"/>
              <w:jc w:val="center"/>
              <w:rPr>
                <w:rFonts w:hint="eastAsia" w:ascii="仿宋" w:hAnsi="仿宋" w:eastAsia="仿宋" w:cs="仿宋"/>
                <w:sz w:val="24"/>
                <w:szCs w:val="24"/>
                <w:lang w:eastAsia="zh-TW"/>
              </w:rPr>
            </w:pPr>
            <w:r>
              <w:rPr>
                <w:rFonts w:hint="eastAsia" w:ascii="仿宋" w:hAnsi="仿宋" w:eastAsia="仿宋" w:cs="仿宋"/>
                <w:sz w:val="24"/>
                <w:szCs w:val="24"/>
              </w:rPr>
              <w:t>教学方法与教学方式</w:t>
            </w:r>
          </w:p>
        </w:tc>
        <w:tc>
          <w:tcPr>
            <w:tcW w:w="8005" w:type="dxa"/>
            <w:gridSpan w:val="12"/>
            <w:tcBorders>
              <w:bottom w:val="single" w:color="auto" w:sz="4" w:space="0"/>
            </w:tcBorders>
            <w:noWrap w:val="0"/>
            <w:vAlign w:val="center"/>
          </w:tcPr>
          <w:p w14:paraId="12815CEC">
            <w:pPr>
              <w:adjustRightInd w:val="0"/>
              <w:snapToGrid w:val="0"/>
              <w:rPr>
                <w:rFonts w:hint="eastAsia" w:ascii="仿宋" w:hAnsi="仿宋" w:eastAsia="仿宋" w:cs="仿宋"/>
                <w:sz w:val="24"/>
                <w:szCs w:val="24"/>
              </w:rPr>
            </w:pPr>
            <w:r>
              <w:rPr>
                <w:rFonts w:hint="eastAsia" w:ascii="仿宋" w:hAnsi="仿宋" w:eastAsia="仿宋" w:cs="仿宋"/>
                <w:sz w:val="24"/>
                <w:szCs w:val="24"/>
              </w:rPr>
              <w:t>1、示范教学法，在课堂上进行动作示范，让学生模仿练习</w:t>
            </w:r>
          </w:p>
          <w:p w14:paraId="66A6CCB8">
            <w:pPr>
              <w:adjustRightInd w:val="0"/>
              <w:snapToGrid w:val="0"/>
              <w:rPr>
                <w:rFonts w:hint="eastAsia" w:ascii="仿宋" w:hAnsi="仿宋" w:eastAsia="仿宋" w:cs="仿宋"/>
                <w:sz w:val="24"/>
                <w:szCs w:val="24"/>
              </w:rPr>
            </w:pPr>
            <w:r>
              <w:rPr>
                <w:rFonts w:hint="eastAsia" w:ascii="仿宋" w:hAnsi="仿宋" w:eastAsia="仿宋" w:cs="仿宋"/>
                <w:sz w:val="24"/>
                <w:szCs w:val="24"/>
              </w:rPr>
              <w:t>2、分析教学法，通过课堂对动作进行分解分析，加上讨论纠错等方式，引导学生发现问题解决问题。</w:t>
            </w:r>
          </w:p>
          <w:p w14:paraId="275AB387">
            <w:pPr>
              <w:adjustRightInd w:val="0"/>
              <w:snapToGrid w:val="0"/>
              <w:rPr>
                <w:rFonts w:hint="eastAsia" w:ascii="仿宋" w:hAnsi="仿宋" w:eastAsia="仿宋" w:cs="仿宋"/>
                <w:sz w:val="24"/>
                <w:szCs w:val="24"/>
              </w:rPr>
            </w:pPr>
            <w:r>
              <w:rPr>
                <w:rFonts w:hint="eastAsia" w:ascii="仿宋" w:hAnsi="仿宋" w:eastAsia="仿宋" w:cs="仿宋"/>
                <w:sz w:val="24"/>
                <w:szCs w:val="24"/>
              </w:rPr>
              <w:t>3、开通网络课堂，达到与学生及时沟通、交流的目的。同时重视师生互动与小组活动，将课堂教学变为师生共同活动的过程。</w:t>
            </w:r>
          </w:p>
          <w:p w14:paraId="4528A76A">
            <w:pPr>
              <w:numPr>
                <w:ilvl w:val="0"/>
                <w:numId w:val="15"/>
              </w:numPr>
              <w:adjustRightInd w:val="0"/>
              <w:snapToGrid w:val="0"/>
              <w:rPr>
                <w:rFonts w:hint="eastAsia" w:ascii="仿宋" w:hAnsi="仿宋" w:eastAsia="仿宋" w:cs="仿宋"/>
                <w:sz w:val="24"/>
                <w:szCs w:val="24"/>
              </w:rPr>
            </w:pPr>
            <w:r>
              <w:rPr>
                <w:rFonts w:hint="eastAsia" w:ascii="仿宋" w:hAnsi="仿宋" w:eastAsia="仿宋" w:cs="仿宋"/>
                <w:sz w:val="24"/>
                <w:szCs w:val="24"/>
              </w:rPr>
              <w:t>主要方式：</w:t>
            </w:r>
          </w:p>
          <w:p w14:paraId="3A265138">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讲授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网络学习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讨论或座谈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问题导向学  </w:t>
            </w:r>
          </w:p>
          <w:p w14:paraId="0FC059BF">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分组合作学习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专题学习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实作学习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发表学习  </w:t>
            </w:r>
          </w:p>
          <w:p w14:paraId="56354B96">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实习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参观访问  </w:t>
            </w:r>
            <w:r>
              <w:rPr>
                <w:rFonts w:hint="eastAsia" w:ascii="仿宋" w:hAnsi="仿宋" w:eastAsia="仿宋" w:cs="仿宋"/>
                <w:sz w:val="24"/>
                <w:szCs w:val="24"/>
              </w:rPr>
              <w:sym w:font="Wingdings" w:char="00A8"/>
            </w:r>
            <w:r>
              <w:rPr>
                <w:rFonts w:hint="eastAsia" w:ascii="仿宋" w:hAnsi="仿宋" w:eastAsia="仿宋" w:cs="仿宋"/>
                <w:sz w:val="24"/>
                <w:szCs w:val="24"/>
              </w:rPr>
              <w:t>其它：</w:t>
            </w:r>
            <w:r>
              <w:rPr>
                <w:rFonts w:hint="eastAsia" w:ascii="仿宋" w:hAnsi="仿宋" w:eastAsia="仿宋" w:cs="仿宋"/>
                <w:sz w:val="24"/>
                <w:szCs w:val="24"/>
                <w:u w:val="single"/>
              </w:rPr>
              <w:t xml:space="preserve">        </w:t>
            </w:r>
            <w:r>
              <w:rPr>
                <w:rFonts w:hint="eastAsia" w:ascii="仿宋" w:hAnsi="仿宋" w:eastAsia="仿宋" w:cs="仿宋"/>
                <w:sz w:val="24"/>
                <w:szCs w:val="24"/>
              </w:rPr>
              <w:t>(如口头训练等)</w:t>
            </w:r>
          </w:p>
        </w:tc>
      </w:tr>
      <w:tr w14:paraId="6066AC4E">
        <w:trPr>
          <w:trHeight w:val="580" w:hRule="atLeast"/>
        </w:trPr>
        <w:tc>
          <w:tcPr>
            <w:tcW w:w="1143" w:type="dxa"/>
            <w:noWrap w:val="0"/>
            <w:vAlign w:val="center"/>
          </w:tcPr>
          <w:p w14:paraId="62CDE334">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J</w:t>
            </w:r>
          </w:p>
          <w:p w14:paraId="0571027C">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教学条件</w:t>
            </w:r>
          </w:p>
          <w:p w14:paraId="443126FC">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需求</w:t>
            </w:r>
          </w:p>
        </w:tc>
        <w:tc>
          <w:tcPr>
            <w:tcW w:w="8005" w:type="dxa"/>
            <w:gridSpan w:val="12"/>
            <w:tcBorders>
              <w:bottom w:val="single" w:color="auto" w:sz="4" w:space="0"/>
            </w:tcBorders>
            <w:noWrap w:val="0"/>
            <w:vAlign w:val="center"/>
          </w:tcPr>
          <w:p w14:paraId="11CBE15A">
            <w:pPr>
              <w:tabs>
                <w:tab w:val="left" w:pos="720"/>
              </w:tabs>
              <w:adjustRightInd w:val="0"/>
              <w:snapToGrid w:val="0"/>
              <w:spacing w:line="240" w:lineRule="atLeast"/>
              <w:rPr>
                <w:rFonts w:hint="eastAsia" w:ascii="仿宋" w:hAnsi="仿宋" w:eastAsia="仿宋" w:cs="仿宋"/>
                <w:kern w:val="0"/>
                <w:sz w:val="24"/>
                <w:szCs w:val="24"/>
              </w:rPr>
            </w:pPr>
            <w:r>
              <w:rPr>
                <w:rFonts w:hint="eastAsia" w:ascii="仿宋" w:hAnsi="仿宋" w:eastAsia="仿宋" w:cs="仿宋"/>
                <w:kern w:val="0"/>
                <w:sz w:val="24"/>
                <w:szCs w:val="24"/>
              </w:rPr>
              <w:t>（如时间、地点安排与“一课双师”等教师配备需求等）</w:t>
            </w:r>
          </w:p>
          <w:p w14:paraId="27FA39A5">
            <w:pPr>
              <w:tabs>
                <w:tab w:val="left" w:pos="720"/>
              </w:tabs>
              <w:adjustRightInd w:val="0"/>
              <w:snapToGrid w:val="0"/>
              <w:rPr>
                <w:rFonts w:hint="eastAsia" w:ascii="仿宋" w:hAnsi="仿宋" w:eastAsia="仿宋" w:cs="仿宋"/>
                <w:sz w:val="24"/>
                <w:szCs w:val="24"/>
              </w:rPr>
            </w:pPr>
            <w:r>
              <w:rPr>
                <w:rFonts w:hint="eastAsia" w:ascii="仿宋" w:hAnsi="仿宋" w:eastAsia="仿宋" w:cs="仿宋"/>
                <w:sz w:val="24"/>
                <w:szCs w:val="24"/>
              </w:rPr>
              <w:t>1、专业舞蹈教室</w:t>
            </w:r>
          </w:p>
          <w:p w14:paraId="74F699C7">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2、专业教学多媒体音响</w:t>
            </w:r>
          </w:p>
        </w:tc>
      </w:tr>
      <w:tr w14:paraId="612939BD">
        <w:trPr>
          <w:trHeight w:val="711" w:hRule="atLeast"/>
        </w:trPr>
        <w:tc>
          <w:tcPr>
            <w:tcW w:w="1143" w:type="dxa"/>
            <w:vMerge w:val="restart"/>
            <w:noWrap w:val="0"/>
            <w:vAlign w:val="center"/>
          </w:tcPr>
          <w:p w14:paraId="324D8D88">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K</w:t>
            </w:r>
          </w:p>
          <w:p w14:paraId="01AB7E96">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课程目标及其考核内容、考核方式及评分占比</w:t>
            </w:r>
          </w:p>
        </w:tc>
        <w:tc>
          <w:tcPr>
            <w:tcW w:w="1143" w:type="dxa"/>
            <w:vMerge w:val="restart"/>
            <w:noWrap w:val="0"/>
            <w:vAlign w:val="center"/>
          </w:tcPr>
          <w:p w14:paraId="6B49755F">
            <w:pPr>
              <w:adjustRightInd w:val="0"/>
              <w:snapToGrid w:val="0"/>
              <w:rPr>
                <w:rFonts w:hint="eastAsia" w:ascii="仿宋" w:hAnsi="仿宋" w:eastAsia="仿宋" w:cs="仿宋"/>
                <w:sz w:val="24"/>
                <w:szCs w:val="24"/>
              </w:rPr>
            </w:pPr>
            <w:r>
              <w:rPr>
                <w:rFonts w:hint="eastAsia" w:ascii="仿宋" w:hAnsi="仿宋" w:eastAsia="仿宋" w:cs="仿宋"/>
                <w:sz w:val="24"/>
                <w:szCs w:val="24"/>
              </w:rPr>
              <w:t>课程目标及评分占比</w:t>
            </w:r>
          </w:p>
        </w:tc>
        <w:tc>
          <w:tcPr>
            <w:tcW w:w="4013" w:type="dxa"/>
            <w:gridSpan w:val="7"/>
            <w:vMerge w:val="restart"/>
            <w:tcBorders>
              <w:right w:val="single" w:color="000000" w:sz="4" w:space="0"/>
            </w:tcBorders>
            <w:noWrap w:val="0"/>
            <w:vAlign w:val="center"/>
          </w:tcPr>
          <w:p w14:paraId="71CEF3EB">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考核内容</w:t>
            </w:r>
          </w:p>
        </w:tc>
        <w:tc>
          <w:tcPr>
            <w:tcW w:w="2067" w:type="dxa"/>
            <w:gridSpan w:val="3"/>
            <w:tcBorders>
              <w:left w:val="single" w:color="000000" w:sz="4" w:space="0"/>
              <w:right w:val="single" w:color="000000" w:sz="4" w:space="0"/>
            </w:tcBorders>
            <w:noWrap w:val="0"/>
            <w:vAlign w:val="center"/>
          </w:tcPr>
          <w:p w14:paraId="402B11DC">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考核方式</w:t>
            </w:r>
          </w:p>
        </w:tc>
        <w:tc>
          <w:tcPr>
            <w:tcW w:w="782" w:type="dxa"/>
            <w:vMerge w:val="restart"/>
            <w:tcBorders>
              <w:left w:val="single" w:color="000000" w:sz="4" w:space="0"/>
            </w:tcBorders>
            <w:noWrap w:val="0"/>
            <w:vAlign w:val="center"/>
          </w:tcPr>
          <w:p w14:paraId="13E8A7B6">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sz w:val="24"/>
                <w:szCs w:val="24"/>
              </w:rPr>
              <w:t>课程分目标的达成度</w:t>
            </w:r>
          </w:p>
        </w:tc>
      </w:tr>
      <w:tr w14:paraId="6A594E34">
        <w:trPr>
          <w:trHeight w:val="184" w:hRule="atLeast"/>
        </w:trPr>
        <w:tc>
          <w:tcPr>
            <w:tcW w:w="1143" w:type="dxa"/>
            <w:vMerge w:val="continue"/>
            <w:noWrap w:val="0"/>
            <w:vAlign w:val="center"/>
          </w:tcPr>
          <w:p w14:paraId="5497548F">
            <w:pPr>
              <w:adjustRightInd w:val="0"/>
              <w:snapToGrid w:val="0"/>
              <w:spacing w:line="240" w:lineRule="atLeast"/>
              <w:jc w:val="center"/>
              <w:rPr>
                <w:rFonts w:hint="eastAsia" w:ascii="仿宋" w:hAnsi="仿宋" w:eastAsia="仿宋" w:cs="仿宋"/>
                <w:sz w:val="24"/>
                <w:szCs w:val="24"/>
              </w:rPr>
            </w:pPr>
          </w:p>
        </w:tc>
        <w:tc>
          <w:tcPr>
            <w:tcW w:w="1143" w:type="dxa"/>
            <w:vMerge w:val="continue"/>
            <w:tcBorders>
              <w:tl2br w:val="single" w:color="auto" w:sz="4" w:space="0"/>
            </w:tcBorders>
            <w:noWrap w:val="0"/>
            <w:vAlign w:val="center"/>
          </w:tcPr>
          <w:p w14:paraId="53441D9E">
            <w:pPr>
              <w:adjustRightInd w:val="0"/>
              <w:snapToGrid w:val="0"/>
              <w:jc w:val="right"/>
              <w:rPr>
                <w:rFonts w:hint="eastAsia" w:ascii="仿宋" w:hAnsi="仿宋" w:eastAsia="仿宋" w:cs="仿宋"/>
                <w:sz w:val="24"/>
                <w:szCs w:val="24"/>
              </w:rPr>
            </w:pPr>
          </w:p>
        </w:tc>
        <w:tc>
          <w:tcPr>
            <w:tcW w:w="4013" w:type="dxa"/>
            <w:gridSpan w:val="7"/>
            <w:vMerge w:val="continue"/>
            <w:tcBorders>
              <w:right w:val="single" w:color="000000" w:sz="4" w:space="0"/>
            </w:tcBorders>
            <w:noWrap w:val="0"/>
            <w:vAlign w:val="center"/>
          </w:tcPr>
          <w:p w14:paraId="60E98194">
            <w:pPr>
              <w:tabs>
                <w:tab w:val="left" w:pos="720"/>
              </w:tabs>
              <w:adjustRightInd w:val="0"/>
              <w:snapToGrid w:val="0"/>
              <w:jc w:val="center"/>
              <w:rPr>
                <w:rFonts w:hint="eastAsia" w:ascii="仿宋" w:hAnsi="仿宋" w:eastAsia="仿宋" w:cs="仿宋"/>
                <w:kern w:val="0"/>
                <w:sz w:val="24"/>
                <w:szCs w:val="24"/>
              </w:rPr>
            </w:pPr>
          </w:p>
        </w:tc>
        <w:tc>
          <w:tcPr>
            <w:tcW w:w="1272" w:type="dxa"/>
            <w:gridSpan w:val="2"/>
            <w:tcBorders>
              <w:left w:val="single" w:color="000000" w:sz="4" w:space="0"/>
            </w:tcBorders>
            <w:noWrap w:val="0"/>
            <w:vAlign w:val="center"/>
          </w:tcPr>
          <w:p w14:paraId="5924482B">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color w:val="auto"/>
                <w:sz w:val="24"/>
                <w:szCs w:val="24"/>
                <w:lang w:val="en-US" w:eastAsia="zh-CN"/>
              </w:rPr>
              <w:t>平时成绩（考勤课堂表现6</w:t>
            </w:r>
            <w:r>
              <w:rPr>
                <w:rFonts w:hint="default" w:ascii="仿宋" w:hAnsi="仿宋" w:eastAsia="仿宋" w:cs="仿宋"/>
                <w:color w:val="auto"/>
                <w:sz w:val="24"/>
                <w:szCs w:val="24"/>
              </w:rPr>
              <w:t>0</w:t>
            </w:r>
            <w:r>
              <w:rPr>
                <w:rFonts w:hint="eastAsia" w:ascii="仿宋" w:hAnsi="仿宋" w:eastAsia="仿宋" w:cs="仿宋"/>
                <w:color w:val="auto"/>
                <w:sz w:val="24"/>
                <w:szCs w:val="24"/>
              </w:rPr>
              <w:t>%）</w:t>
            </w:r>
          </w:p>
        </w:tc>
        <w:tc>
          <w:tcPr>
            <w:tcW w:w="795" w:type="dxa"/>
            <w:tcBorders>
              <w:bottom w:val="single" w:color="auto" w:sz="4" w:space="0"/>
              <w:right w:val="single" w:color="000000" w:sz="4" w:space="0"/>
            </w:tcBorders>
            <w:noWrap w:val="0"/>
            <w:vAlign w:val="center"/>
          </w:tcPr>
          <w:p w14:paraId="21C218AA">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color w:val="auto"/>
                <w:sz w:val="24"/>
                <w:szCs w:val="24"/>
              </w:rPr>
              <w:t>期末考试（</w:t>
            </w:r>
            <w:r>
              <w:rPr>
                <w:rFonts w:hint="eastAsia" w:ascii="仿宋" w:hAnsi="仿宋" w:eastAsia="仿宋" w:cs="仿宋"/>
                <w:color w:val="auto"/>
                <w:sz w:val="24"/>
                <w:szCs w:val="24"/>
                <w:lang w:val="en-US" w:eastAsia="zh-CN"/>
              </w:rPr>
              <w:t>4</w:t>
            </w:r>
            <w:r>
              <w:rPr>
                <w:rFonts w:hint="default" w:ascii="仿宋" w:hAnsi="仿宋" w:eastAsia="仿宋" w:cs="仿宋"/>
                <w:color w:val="auto"/>
                <w:sz w:val="24"/>
                <w:szCs w:val="24"/>
              </w:rPr>
              <w:t>0</w:t>
            </w:r>
            <w:r>
              <w:rPr>
                <w:rFonts w:hint="eastAsia" w:ascii="仿宋" w:hAnsi="仿宋" w:eastAsia="仿宋" w:cs="仿宋"/>
                <w:color w:val="auto"/>
                <w:sz w:val="24"/>
                <w:szCs w:val="24"/>
              </w:rPr>
              <w:t>%）</w:t>
            </w:r>
          </w:p>
        </w:tc>
        <w:tc>
          <w:tcPr>
            <w:tcW w:w="782" w:type="dxa"/>
            <w:vMerge w:val="continue"/>
            <w:tcBorders>
              <w:left w:val="single" w:color="000000" w:sz="4" w:space="0"/>
              <w:bottom w:val="single" w:color="auto" w:sz="4" w:space="0"/>
            </w:tcBorders>
            <w:noWrap w:val="0"/>
            <w:vAlign w:val="center"/>
          </w:tcPr>
          <w:p w14:paraId="79310FF8">
            <w:pPr>
              <w:tabs>
                <w:tab w:val="left" w:pos="720"/>
              </w:tabs>
              <w:adjustRightInd w:val="0"/>
              <w:snapToGrid w:val="0"/>
              <w:jc w:val="center"/>
              <w:rPr>
                <w:rFonts w:hint="eastAsia" w:ascii="仿宋" w:hAnsi="仿宋" w:eastAsia="仿宋" w:cs="仿宋"/>
                <w:sz w:val="24"/>
                <w:szCs w:val="24"/>
              </w:rPr>
            </w:pPr>
          </w:p>
        </w:tc>
      </w:tr>
      <w:tr w14:paraId="295A77F3">
        <w:trPr>
          <w:trHeight w:val="2038" w:hRule="atLeast"/>
        </w:trPr>
        <w:tc>
          <w:tcPr>
            <w:tcW w:w="1143" w:type="dxa"/>
            <w:vMerge w:val="continue"/>
            <w:noWrap w:val="0"/>
            <w:vAlign w:val="center"/>
          </w:tcPr>
          <w:p w14:paraId="5E57A012">
            <w:pPr>
              <w:adjustRightInd w:val="0"/>
              <w:snapToGrid w:val="0"/>
              <w:spacing w:line="240" w:lineRule="atLeast"/>
              <w:jc w:val="center"/>
              <w:rPr>
                <w:rFonts w:hint="eastAsia" w:ascii="仿宋" w:hAnsi="仿宋" w:eastAsia="仿宋" w:cs="仿宋"/>
                <w:sz w:val="24"/>
                <w:szCs w:val="24"/>
                <w:lang w:eastAsia="zh-TW"/>
              </w:rPr>
            </w:pPr>
          </w:p>
        </w:tc>
        <w:tc>
          <w:tcPr>
            <w:tcW w:w="1143" w:type="dxa"/>
            <w:noWrap w:val="0"/>
            <w:vAlign w:val="center"/>
          </w:tcPr>
          <w:p w14:paraId="361ADD57">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课程目标1（</w:t>
            </w:r>
            <w:r>
              <w:rPr>
                <w:rFonts w:hint="eastAsia" w:ascii="仿宋" w:hAnsi="仿宋" w:eastAsia="仿宋" w:cs="仿宋"/>
                <w:kern w:val="0"/>
                <w:sz w:val="24"/>
                <w:szCs w:val="24"/>
                <w:lang w:val="en-US" w:eastAsia="zh-CN"/>
              </w:rPr>
              <w:t>3</w:t>
            </w:r>
            <w:r>
              <w:rPr>
                <w:rFonts w:hint="eastAsia" w:ascii="仿宋" w:hAnsi="仿宋" w:eastAsia="仿宋" w:cs="仿宋"/>
                <w:kern w:val="0"/>
                <w:sz w:val="24"/>
                <w:szCs w:val="24"/>
              </w:rPr>
              <w:t>0%）</w:t>
            </w:r>
          </w:p>
          <w:p w14:paraId="7E565589">
            <w:pPr>
              <w:adjustRightInd w:val="0"/>
              <w:snapToGrid w:val="0"/>
              <w:jc w:val="center"/>
              <w:rPr>
                <w:rFonts w:hint="eastAsia" w:ascii="仿宋" w:hAnsi="仿宋" w:eastAsia="仿宋" w:cs="仿宋"/>
                <w:kern w:val="0"/>
                <w:sz w:val="24"/>
                <w:szCs w:val="24"/>
              </w:rPr>
            </w:pPr>
          </w:p>
        </w:tc>
        <w:tc>
          <w:tcPr>
            <w:tcW w:w="4013" w:type="dxa"/>
            <w:gridSpan w:val="7"/>
            <w:tcBorders>
              <w:right w:val="single" w:color="000000" w:sz="4" w:space="0"/>
            </w:tcBorders>
            <w:noWrap w:val="0"/>
            <w:vAlign w:val="center"/>
          </w:tcPr>
          <w:p w14:paraId="79CC6CDA">
            <w:pPr>
              <w:keepNext w:val="0"/>
              <w:keepLines w:val="0"/>
              <w:pageBreakBefore w:val="0"/>
              <w:kinsoku/>
              <w:wordWrap/>
              <w:overflowPunct/>
              <w:topLinePunct w:val="0"/>
              <w:autoSpaceDE/>
              <w:autoSpaceDN/>
              <w:bidi w:val="0"/>
              <w:adjustRightInd w:val="0"/>
              <w:snapToGrid w:val="0"/>
              <w:spacing w:line="400" w:lineRule="exact"/>
              <w:jc w:val="left"/>
              <w:textAlignment w:val="auto"/>
              <w:rPr>
                <w:rFonts w:hint="eastAsia" w:ascii="仿宋" w:hAnsi="仿宋" w:eastAsia="仿宋" w:cs="仿宋"/>
                <w:kern w:val="0"/>
                <w:sz w:val="24"/>
                <w:szCs w:val="24"/>
              </w:rPr>
            </w:pPr>
            <w:r>
              <w:rPr>
                <w:rFonts w:hint="eastAsia" w:ascii="仿宋" w:hAnsi="仿宋" w:eastAsia="仿宋" w:cs="仿宋"/>
                <w:kern w:val="2"/>
                <w:sz w:val="24"/>
                <w:szCs w:val="24"/>
                <w:lang w:val="en-US" w:eastAsia="zh-CN" w:bidi="ar-SA"/>
              </w:rPr>
              <w:t>1.具有一定的舞蹈</w:t>
            </w:r>
            <w:r>
              <w:rPr>
                <w:rFonts w:ascii="仿宋" w:hAnsi="仿宋" w:eastAsia="仿宋" w:cs="仿宋"/>
                <w:kern w:val="2"/>
                <w:sz w:val="24"/>
                <w:szCs w:val="24"/>
                <w:lang w:val="en-US" w:eastAsia="zh-CN" w:bidi="ar-SA"/>
              </w:rPr>
              <w:t>教学</w:t>
            </w:r>
            <w:r>
              <w:rPr>
                <w:rFonts w:hint="eastAsia" w:ascii="仿宋" w:hAnsi="仿宋" w:eastAsia="仿宋" w:cs="仿宋"/>
                <w:kern w:val="2"/>
                <w:sz w:val="24"/>
                <w:szCs w:val="24"/>
                <w:lang w:val="en-US" w:eastAsia="zh-CN" w:bidi="ar-SA"/>
              </w:rPr>
              <w:t>编排能</w:t>
            </w:r>
            <w:r>
              <w:rPr>
                <w:rFonts w:ascii="仿宋" w:hAnsi="仿宋" w:eastAsia="仿宋" w:cs="仿宋"/>
                <w:kern w:val="2"/>
                <w:sz w:val="24"/>
                <w:szCs w:val="24"/>
                <w:lang w:val="en-US" w:eastAsia="zh-CN" w:bidi="ar-SA"/>
              </w:rPr>
              <w:t>力</w:t>
            </w:r>
            <w:r>
              <w:rPr>
                <w:rFonts w:hint="eastAsia" w:ascii="仿宋" w:hAnsi="仿宋" w:eastAsia="仿宋" w:cs="仿宋"/>
                <w:kern w:val="2"/>
                <w:sz w:val="24"/>
                <w:szCs w:val="24"/>
                <w:lang w:val="en-US" w:eastAsia="zh-CN" w:bidi="ar-SA"/>
              </w:rPr>
              <w:t>，2.</w:t>
            </w:r>
            <w:r>
              <w:rPr>
                <w:rFonts w:ascii="仿宋" w:hAnsi="仿宋" w:eastAsia="仿宋" w:cs="仿宋"/>
                <w:kern w:val="2"/>
                <w:sz w:val="24"/>
                <w:szCs w:val="24"/>
                <w:lang w:val="en-US" w:eastAsia="zh-CN" w:bidi="ar-SA"/>
              </w:rPr>
              <w:t>运用学科知识和现代信息技术进行音乐课堂教学和课外音乐活动设计</w:t>
            </w:r>
          </w:p>
        </w:tc>
        <w:tc>
          <w:tcPr>
            <w:tcW w:w="1272" w:type="dxa"/>
            <w:gridSpan w:val="2"/>
            <w:tcBorders>
              <w:left w:val="single" w:color="000000" w:sz="4" w:space="0"/>
              <w:right w:val="single" w:color="auto" w:sz="4" w:space="0"/>
            </w:tcBorders>
            <w:noWrap w:val="0"/>
            <w:vAlign w:val="center"/>
          </w:tcPr>
          <w:p w14:paraId="6B1397B3">
            <w:pPr>
              <w:tabs>
                <w:tab w:val="left" w:pos="720"/>
              </w:tabs>
              <w:adjustRightInd w:val="0"/>
              <w:snapToGrid w:val="0"/>
              <w:ind w:firstLine="480" w:firstLineChars="200"/>
              <w:jc w:val="both"/>
              <w:rPr>
                <w:rFonts w:hint="eastAsia" w:ascii="仿宋" w:hAnsi="仿宋" w:eastAsia="仿宋" w:cs="仿宋"/>
                <w:kern w:val="0"/>
                <w:sz w:val="24"/>
                <w:szCs w:val="24"/>
              </w:rPr>
            </w:pPr>
            <w:r>
              <w:rPr>
                <w:rFonts w:hint="eastAsia" w:ascii="仿宋" w:hAnsi="仿宋" w:eastAsia="仿宋" w:cs="仿宋"/>
                <w:color w:val="auto"/>
                <w:kern w:val="0"/>
                <w:sz w:val="24"/>
                <w:szCs w:val="24"/>
                <w:lang w:val="en-US" w:eastAsia="zh-CN"/>
              </w:rPr>
              <w:t>18</w:t>
            </w:r>
          </w:p>
        </w:tc>
        <w:tc>
          <w:tcPr>
            <w:tcW w:w="795" w:type="dxa"/>
            <w:tcBorders>
              <w:left w:val="single" w:color="auto" w:sz="4" w:space="0"/>
              <w:right w:val="single" w:color="auto" w:sz="4" w:space="0"/>
            </w:tcBorders>
            <w:noWrap w:val="0"/>
            <w:vAlign w:val="center"/>
          </w:tcPr>
          <w:p w14:paraId="5037FF32">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12</w:t>
            </w:r>
          </w:p>
        </w:tc>
        <w:tc>
          <w:tcPr>
            <w:tcW w:w="782" w:type="dxa"/>
            <w:tcBorders>
              <w:left w:val="single" w:color="auto" w:sz="4" w:space="0"/>
              <w:bottom w:val="single" w:color="000000" w:sz="4" w:space="0"/>
            </w:tcBorders>
            <w:noWrap w:val="0"/>
            <w:vAlign w:val="center"/>
          </w:tcPr>
          <w:p w14:paraId="4D458613">
            <w:pPr>
              <w:tabs>
                <w:tab w:val="left" w:pos="720"/>
              </w:tabs>
              <w:adjustRightInd w:val="0"/>
              <w:snapToGrid w:val="0"/>
              <w:jc w:val="center"/>
              <w:rPr>
                <w:rFonts w:hint="eastAsia" w:ascii="仿宋" w:hAnsi="仿宋" w:eastAsia="仿宋" w:cs="仿宋"/>
                <w:kern w:val="0"/>
                <w:sz w:val="24"/>
                <w:szCs w:val="24"/>
              </w:rPr>
            </w:pPr>
            <w:r>
              <w:rPr>
                <w:rFonts w:ascii="仿宋" w:hAnsi="仿宋" w:eastAsia="仿宋" w:cs="仿宋"/>
                <w:kern w:val="0"/>
                <w:sz w:val="24"/>
                <w:szCs w:val="24"/>
              </w:rPr>
              <w:t>0</w:t>
            </w:r>
            <w:r>
              <w:rPr>
                <w:rFonts w:hint="eastAsia" w:ascii="仿宋" w:hAnsi="仿宋" w:eastAsia="仿宋" w:cs="仿宋"/>
                <w:kern w:val="0"/>
                <w:sz w:val="24"/>
                <w:szCs w:val="24"/>
                <w:lang w:eastAsia="zh-Hans"/>
              </w:rPr>
              <w:t>.</w:t>
            </w:r>
            <w:r>
              <w:rPr>
                <w:rFonts w:ascii="仿宋" w:hAnsi="仿宋" w:eastAsia="仿宋" w:cs="仿宋"/>
                <w:kern w:val="0"/>
                <w:sz w:val="24"/>
                <w:szCs w:val="24"/>
                <w:lang w:eastAsia="zh-Hans"/>
              </w:rPr>
              <w:t>7</w:t>
            </w:r>
            <w:r>
              <w:rPr>
                <w:rFonts w:hint="eastAsia" w:ascii="仿宋" w:hAnsi="仿宋" w:eastAsia="仿宋" w:cs="仿宋"/>
                <w:kern w:val="0"/>
                <w:sz w:val="24"/>
                <w:szCs w:val="24"/>
              </w:rPr>
              <w:t>5</w:t>
            </w:r>
          </w:p>
        </w:tc>
      </w:tr>
      <w:tr w14:paraId="1FD79E33">
        <w:trPr>
          <w:trHeight w:val="515" w:hRule="atLeast"/>
        </w:trPr>
        <w:tc>
          <w:tcPr>
            <w:tcW w:w="1143" w:type="dxa"/>
            <w:vMerge w:val="continue"/>
            <w:noWrap w:val="0"/>
            <w:vAlign w:val="center"/>
          </w:tcPr>
          <w:p w14:paraId="6A5F786D">
            <w:pPr>
              <w:adjustRightInd w:val="0"/>
              <w:snapToGrid w:val="0"/>
              <w:spacing w:line="240" w:lineRule="atLeast"/>
              <w:jc w:val="center"/>
              <w:rPr>
                <w:rFonts w:hint="eastAsia" w:ascii="仿宋" w:hAnsi="仿宋" w:eastAsia="仿宋" w:cs="仿宋"/>
                <w:sz w:val="24"/>
                <w:szCs w:val="24"/>
                <w:lang w:eastAsia="zh-TW"/>
              </w:rPr>
            </w:pPr>
          </w:p>
        </w:tc>
        <w:tc>
          <w:tcPr>
            <w:tcW w:w="1143" w:type="dxa"/>
            <w:tcBorders>
              <w:bottom w:val="single" w:color="auto" w:sz="4" w:space="0"/>
            </w:tcBorders>
            <w:noWrap w:val="0"/>
            <w:vAlign w:val="center"/>
          </w:tcPr>
          <w:p w14:paraId="5C287BDB">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课程目标</w:t>
            </w:r>
            <w:r>
              <w:rPr>
                <w:rFonts w:hint="default" w:ascii="仿宋" w:hAnsi="仿宋" w:eastAsia="仿宋" w:cs="仿宋"/>
                <w:kern w:val="0"/>
                <w:sz w:val="24"/>
                <w:szCs w:val="24"/>
              </w:rPr>
              <w:t>2</w:t>
            </w:r>
            <w:r>
              <w:rPr>
                <w:rFonts w:hint="eastAsia" w:ascii="仿宋" w:hAnsi="仿宋" w:eastAsia="仿宋" w:cs="仿宋"/>
                <w:kern w:val="0"/>
                <w:sz w:val="24"/>
                <w:szCs w:val="24"/>
              </w:rPr>
              <w:t>（</w:t>
            </w:r>
            <w:r>
              <w:rPr>
                <w:rFonts w:hint="eastAsia" w:ascii="仿宋" w:hAnsi="仿宋" w:eastAsia="仿宋" w:cs="仿宋"/>
                <w:kern w:val="0"/>
                <w:sz w:val="24"/>
                <w:szCs w:val="24"/>
                <w:lang w:val="en-US" w:eastAsia="zh-CN"/>
              </w:rPr>
              <w:t>2</w:t>
            </w:r>
            <w:r>
              <w:rPr>
                <w:rFonts w:hint="eastAsia" w:ascii="仿宋" w:hAnsi="仿宋" w:eastAsia="仿宋" w:cs="仿宋"/>
                <w:kern w:val="0"/>
                <w:sz w:val="24"/>
                <w:szCs w:val="24"/>
              </w:rPr>
              <w:t>0%）</w:t>
            </w:r>
          </w:p>
        </w:tc>
        <w:tc>
          <w:tcPr>
            <w:tcW w:w="4013" w:type="dxa"/>
            <w:gridSpan w:val="7"/>
            <w:tcBorders>
              <w:bottom w:val="single" w:color="auto" w:sz="4" w:space="0"/>
              <w:right w:val="single" w:color="000000" w:sz="4" w:space="0"/>
            </w:tcBorders>
            <w:noWrap w:val="0"/>
            <w:vAlign w:val="center"/>
          </w:tcPr>
          <w:p w14:paraId="03EB4E19">
            <w:pPr>
              <w:keepNext w:val="0"/>
              <w:keepLines w:val="0"/>
              <w:pageBreakBefore w:val="0"/>
              <w:widowControl/>
              <w:numPr>
                <w:ilvl w:val="0"/>
                <w:numId w:val="40"/>
              </w:numPr>
              <w:suppressLineNumbers w:val="0"/>
              <w:kinsoku/>
              <w:wordWrap/>
              <w:overflowPunct/>
              <w:topLinePunct w:val="0"/>
              <w:autoSpaceDE/>
              <w:autoSpaceDN/>
              <w:bidi w:val="0"/>
              <w:spacing w:line="400" w:lineRule="exact"/>
              <w:jc w:val="left"/>
              <w:textAlignment w:val="auto"/>
              <w:rPr>
                <w:rFonts w:ascii="仿宋" w:hAnsi="仿宋" w:eastAsia="仿宋" w:cs="仿宋"/>
                <w:kern w:val="2"/>
                <w:sz w:val="24"/>
                <w:szCs w:val="24"/>
                <w:lang w:val="en-US" w:eastAsia="zh-CN" w:bidi="ar-SA"/>
              </w:rPr>
            </w:pPr>
            <w:r>
              <w:rPr>
                <w:rFonts w:ascii="仿宋" w:hAnsi="仿宋" w:eastAsia="仿宋" w:cs="仿宋"/>
                <w:kern w:val="2"/>
                <w:sz w:val="24"/>
                <w:szCs w:val="24"/>
                <w:lang w:val="en-US" w:eastAsia="zh-CN" w:bidi="ar-SA"/>
              </w:rPr>
              <w:t>明确</w:t>
            </w:r>
            <w:r>
              <w:rPr>
                <w:rFonts w:hint="eastAsia" w:ascii="仿宋" w:hAnsi="仿宋" w:eastAsia="仿宋" w:cs="仿宋"/>
                <w:kern w:val="2"/>
                <w:sz w:val="24"/>
                <w:szCs w:val="24"/>
                <w:lang w:val="en-US" w:eastAsia="zh-CN" w:bidi="ar-SA"/>
              </w:rPr>
              <w:t>舞蹈剧目排练的</w:t>
            </w:r>
            <w:r>
              <w:rPr>
                <w:rFonts w:ascii="仿宋" w:hAnsi="仿宋" w:eastAsia="仿宋" w:cs="仿宋"/>
                <w:kern w:val="2"/>
                <w:sz w:val="24"/>
                <w:szCs w:val="24"/>
                <w:lang w:val="en-US" w:eastAsia="zh-CN" w:bidi="ar-SA"/>
              </w:rPr>
              <w:t>学习对教师成长的意义，</w:t>
            </w:r>
            <w:r>
              <w:rPr>
                <w:rFonts w:hint="eastAsia" w:ascii="仿宋" w:hAnsi="仿宋" w:eastAsia="仿宋" w:cs="仿宋"/>
                <w:kern w:val="2"/>
                <w:sz w:val="24"/>
                <w:szCs w:val="24"/>
                <w:lang w:val="en-US" w:eastAsia="zh-CN" w:bidi="ar-SA"/>
              </w:rPr>
              <w:t>学会不断提高自身专业能力</w:t>
            </w:r>
          </w:p>
          <w:p w14:paraId="511DB48E">
            <w:pPr>
              <w:keepNext w:val="0"/>
              <w:keepLines w:val="0"/>
              <w:pageBreakBefore w:val="0"/>
              <w:widowControl/>
              <w:numPr>
                <w:ilvl w:val="0"/>
                <w:numId w:val="40"/>
              </w:numPr>
              <w:suppressLineNumbers w:val="0"/>
              <w:kinsoku/>
              <w:wordWrap/>
              <w:overflowPunct/>
              <w:topLinePunct w:val="0"/>
              <w:autoSpaceDE/>
              <w:autoSpaceDN/>
              <w:bidi w:val="0"/>
              <w:spacing w:line="400" w:lineRule="exact"/>
              <w:jc w:val="left"/>
              <w:textAlignment w:val="auto"/>
              <w:rPr>
                <w:rFonts w:hint="eastAsia" w:ascii="仿宋" w:hAnsi="仿宋" w:eastAsia="仿宋" w:cs="仿宋"/>
                <w:kern w:val="0"/>
                <w:sz w:val="24"/>
                <w:szCs w:val="24"/>
              </w:rPr>
            </w:pPr>
            <w:r>
              <w:rPr>
                <w:rFonts w:hint="eastAsia" w:ascii="仿宋" w:hAnsi="仿宋" w:eastAsia="仿宋" w:cs="仿宋"/>
                <w:kern w:val="2"/>
                <w:sz w:val="24"/>
                <w:szCs w:val="24"/>
                <w:lang w:val="en-US" w:eastAsia="zh-CN" w:bidi="ar-SA"/>
              </w:rPr>
              <w:t>了解社会对音乐舞蹈专业的需求以及发展趋势，初步进行职业规划。</w:t>
            </w:r>
          </w:p>
        </w:tc>
        <w:tc>
          <w:tcPr>
            <w:tcW w:w="1272" w:type="dxa"/>
            <w:gridSpan w:val="2"/>
            <w:tcBorders>
              <w:left w:val="single" w:color="000000" w:sz="4" w:space="0"/>
              <w:bottom w:val="single" w:color="auto" w:sz="4" w:space="0"/>
            </w:tcBorders>
            <w:noWrap w:val="0"/>
            <w:vAlign w:val="center"/>
          </w:tcPr>
          <w:p w14:paraId="3177D59E">
            <w:pPr>
              <w:tabs>
                <w:tab w:val="left" w:pos="720"/>
              </w:tabs>
              <w:adjustRightInd w:val="0"/>
              <w:snapToGrid w:val="0"/>
              <w:jc w:val="both"/>
              <w:rPr>
                <w:rFonts w:hint="default" w:ascii="仿宋" w:hAnsi="仿宋" w:eastAsia="仿宋" w:cs="仿宋"/>
                <w:kern w:val="0"/>
                <w:sz w:val="24"/>
                <w:szCs w:val="24"/>
                <w:lang w:val="en-US"/>
              </w:rPr>
            </w:pPr>
            <w:r>
              <w:rPr>
                <w:rFonts w:hint="eastAsia" w:ascii="仿宋" w:hAnsi="仿宋" w:eastAsia="仿宋" w:cs="仿宋"/>
                <w:color w:val="auto"/>
                <w:kern w:val="0"/>
                <w:sz w:val="24"/>
                <w:szCs w:val="24"/>
                <w:lang w:val="en-US" w:eastAsia="zh-CN"/>
              </w:rPr>
              <w:t xml:space="preserve">    12</w:t>
            </w:r>
          </w:p>
        </w:tc>
        <w:tc>
          <w:tcPr>
            <w:tcW w:w="795" w:type="dxa"/>
            <w:tcBorders>
              <w:top w:val="single" w:color="000000" w:sz="4" w:space="0"/>
              <w:bottom w:val="single" w:color="auto" w:sz="4" w:space="0"/>
              <w:right w:val="single" w:color="000000" w:sz="4" w:space="0"/>
            </w:tcBorders>
            <w:noWrap w:val="0"/>
            <w:vAlign w:val="center"/>
          </w:tcPr>
          <w:p w14:paraId="1B5AC4A2">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8</w:t>
            </w:r>
          </w:p>
        </w:tc>
        <w:tc>
          <w:tcPr>
            <w:tcW w:w="782" w:type="dxa"/>
            <w:tcBorders>
              <w:top w:val="single" w:color="000000" w:sz="4" w:space="0"/>
              <w:left w:val="single" w:color="000000" w:sz="4" w:space="0"/>
              <w:bottom w:val="single" w:color="auto" w:sz="4" w:space="0"/>
            </w:tcBorders>
            <w:noWrap w:val="0"/>
            <w:vAlign w:val="center"/>
          </w:tcPr>
          <w:p w14:paraId="01D3DB10">
            <w:pPr>
              <w:tabs>
                <w:tab w:val="left" w:pos="720"/>
              </w:tabs>
              <w:adjustRightInd w:val="0"/>
              <w:snapToGrid w:val="0"/>
              <w:jc w:val="center"/>
              <w:rPr>
                <w:rFonts w:hint="eastAsia" w:ascii="仿宋" w:hAnsi="仿宋" w:eastAsia="仿宋" w:cs="仿宋"/>
                <w:kern w:val="0"/>
                <w:sz w:val="24"/>
                <w:szCs w:val="24"/>
              </w:rPr>
            </w:pPr>
            <w:r>
              <w:rPr>
                <w:rFonts w:ascii="仿宋" w:hAnsi="仿宋" w:eastAsia="仿宋" w:cs="仿宋"/>
                <w:kern w:val="0"/>
                <w:sz w:val="24"/>
                <w:szCs w:val="24"/>
              </w:rPr>
              <w:t>0</w:t>
            </w:r>
            <w:r>
              <w:rPr>
                <w:rFonts w:hint="eastAsia" w:ascii="仿宋" w:hAnsi="仿宋" w:eastAsia="仿宋" w:cs="仿宋"/>
                <w:kern w:val="0"/>
                <w:sz w:val="24"/>
                <w:szCs w:val="24"/>
                <w:lang w:eastAsia="zh-Hans"/>
              </w:rPr>
              <w:t>.</w:t>
            </w:r>
            <w:r>
              <w:rPr>
                <w:rFonts w:ascii="仿宋" w:hAnsi="仿宋" w:eastAsia="仿宋" w:cs="仿宋"/>
                <w:kern w:val="0"/>
                <w:sz w:val="24"/>
                <w:szCs w:val="24"/>
                <w:lang w:eastAsia="zh-Hans"/>
              </w:rPr>
              <w:t>7</w:t>
            </w:r>
            <w:r>
              <w:rPr>
                <w:rFonts w:hint="eastAsia" w:ascii="仿宋" w:hAnsi="仿宋" w:eastAsia="仿宋" w:cs="仿宋"/>
                <w:kern w:val="0"/>
                <w:sz w:val="24"/>
                <w:szCs w:val="24"/>
              </w:rPr>
              <w:t>5</w:t>
            </w:r>
          </w:p>
        </w:tc>
      </w:tr>
      <w:tr w14:paraId="19EEE9E9">
        <w:trPr>
          <w:trHeight w:val="90" w:hRule="atLeast"/>
        </w:trPr>
        <w:tc>
          <w:tcPr>
            <w:tcW w:w="1143" w:type="dxa"/>
            <w:vMerge w:val="continue"/>
            <w:noWrap w:val="0"/>
            <w:vAlign w:val="center"/>
          </w:tcPr>
          <w:p w14:paraId="66F5394A">
            <w:pPr>
              <w:adjustRightInd w:val="0"/>
              <w:snapToGrid w:val="0"/>
              <w:spacing w:line="240" w:lineRule="atLeast"/>
              <w:jc w:val="center"/>
              <w:rPr>
                <w:rFonts w:hint="eastAsia" w:ascii="仿宋" w:hAnsi="仿宋" w:eastAsia="仿宋" w:cs="仿宋"/>
                <w:sz w:val="24"/>
                <w:szCs w:val="24"/>
                <w:lang w:eastAsia="zh-TW"/>
              </w:rPr>
            </w:pPr>
          </w:p>
        </w:tc>
        <w:tc>
          <w:tcPr>
            <w:tcW w:w="1143" w:type="dxa"/>
            <w:tcBorders>
              <w:bottom w:val="single" w:color="auto" w:sz="4" w:space="0"/>
            </w:tcBorders>
            <w:noWrap w:val="0"/>
            <w:vAlign w:val="center"/>
          </w:tcPr>
          <w:p w14:paraId="4148D03E">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课程目标</w:t>
            </w:r>
            <w:r>
              <w:rPr>
                <w:rFonts w:hint="default" w:ascii="仿宋" w:hAnsi="仿宋" w:eastAsia="仿宋" w:cs="仿宋"/>
                <w:kern w:val="0"/>
                <w:sz w:val="24"/>
                <w:szCs w:val="24"/>
              </w:rPr>
              <w:t>3</w:t>
            </w:r>
            <w:r>
              <w:rPr>
                <w:rFonts w:hint="eastAsia" w:ascii="仿宋" w:hAnsi="仿宋" w:eastAsia="仿宋" w:cs="仿宋"/>
                <w:kern w:val="0"/>
                <w:sz w:val="24"/>
                <w:szCs w:val="24"/>
              </w:rPr>
              <w:t>（</w:t>
            </w:r>
            <w:r>
              <w:rPr>
                <w:rFonts w:hint="eastAsia" w:ascii="仿宋" w:hAnsi="仿宋" w:eastAsia="仿宋" w:cs="仿宋"/>
                <w:kern w:val="0"/>
                <w:sz w:val="24"/>
                <w:szCs w:val="24"/>
                <w:lang w:val="en-US" w:eastAsia="zh-CN"/>
              </w:rPr>
              <w:t>5</w:t>
            </w:r>
            <w:r>
              <w:rPr>
                <w:rFonts w:hint="eastAsia" w:ascii="仿宋" w:hAnsi="仿宋" w:eastAsia="仿宋" w:cs="仿宋"/>
                <w:kern w:val="0"/>
                <w:sz w:val="24"/>
                <w:szCs w:val="24"/>
              </w:rPr>
              <w:t>0%）</w:t>
            </w:r>
          </w:p>
        </w:tc>
        <w:tc>
          <w:tcPr>
            <w:tcW w:w="4013" w:type="dxa"/>
            <w:gridSpan w:val="7"/>
            <w:tcBorders>
              <w:bottom w:val="single" w:color="auto" w:sz="4" w:space="0"/>
              <w:right w:val="single" w:color="000000" w:sz="4" w:space="0"/>
            </w:tcBorders>
            <w:noWrap w:val="0"/>
            <w:vAlign w:val="center"/>
          </w:tcPr>
          <w:p w14:paraId="636395D9">
            <w:pPr>
              <w:keepNext w:val="0"/>
              <w:keepLines w:val="0"/>
              <w:pageBreakBefore w:val="0"/>
              <w:numPr>
                <w:ilvl w:val="0"/>
                <w:numId w:val="41"/>
              </w:numPr>
              <w:kinsoku/>
              <w:wordWrap/>
              <w:overflowPunct/>
              <w:topLinePunct w:val="0"/>
              <w:autoSpaceDE/>
              <w:autoSpaceDN/>
              <w:bidi w:val="0"/>
              <w:adjustRightInd w:val="0"/>
              <w:snapToGrid w:val="0"/>
              <w:spacing w:line="400" w:lineRule="exact"/>
              <w:jc w:val="left"/>
              <w:textAlignment w:val="auto"/>
              <w:rPr>
                <w:rFonts w:hint="eastAsia" w:ascii="仿宋" w:hAnsi="仿宋" w:eastAsia="仿宋" w:cs="仿宋"/>
                <w:sz w:val="24"/>
                <w:szCs w:val="24"/>
                <w:lang w:eastAsia="zh-CN"/>
              </w:rPr>
            </w:pPr>
            <w:r>
              <w:rPr>
                <w:rFonts w:hint="eastAsia" w:ascii="仿宋" w:hAnsi="仿宋" w:eastAsia="仿宋" w:cs="仿宋"/>
                <w:sz w:val="24"/>
                <w:szCs w:val="24"/>
              </w:rPr>
              <w:t>学会</w:t>
            </w:r>
            <w:r>
              <w:rPr>
                <w:rFonts w:ascii="仿宋" w:hAnsi="仿宋" w:eastAsia="仿宋" w:cs="仿宋"/>
                <w:sz w:val="24"/>
                <w:szCs w:val="24"/>
              </w:rPr>
              <w:t>沟通</w:t>
            </w:r>
            <w:r>
              <w:rPr>
                <w:rFonts w:hint="eastAsia" w:ascii="仿宋" w:hAnsi="仿宋" w:eastAsia="仿宋" w:cs="仿宋"/>
                <w:sz w:val="24"/>
                <w:szCs w:val="24"/>
              </w:rPr>
              <w:t>与</w:t>
            </w:r>
            <w:r>
              <w:rPr>
                <w:rFonts w:ascii="仿宋" w:hAnsi="仿宋" w:eastAsia="仿宋" w:cs="仿宋"/>
                <w:sz w:val="24"/>
                <w:szCs w:val="24"/>
              </w:rPr>
              <w:t>合作</w:t>
            </w:r>
            <w:r>
              <w:rPr>
                <w:rFonts w:hint="eastAsia" w:ascii="仿宋" w:hAnsi="仿宋" w:eastAsia="仿宋" w:cs="仿宋"/>
                <w:sz w:val="24"/>
                <w:szCs w:val="24"/>
                <w:lang w:eastAsia="zh-CN"/>
              </w:rPr>
              <w:t>，</w:t>
            </w:r>
            <w:r>
              <w:rPr>
                <w:rFonts w:ascii="仿宋" w:hAnsi="仿宋" w:eastAsia="仿宋" w:cs="仿宋"/>
                <w:sz w:val="24"/>
                <w:szCs w:val="24"/>
              </w:rPr>
              <w:t>掌握人际交往和沟通的方式方法，具备团队协作精神</w:t>
            </w:r>
            <w:r>
              <w:rPr>
                <w:rFonts w:hint="eastAsia" w:ascii="仿宋" w:hAnsi="仿宋" w:eastAsia="仿宋" w:cs="仿宋"/>
                <w:sz w:val="24"/>
                <w:szCs w:val="24"/>
                <w:lang w:eastAsia="zh-CN"/>
              </w:rPr>
              <w:t>。</w:t>
            </w:r>
          </w:p>
          <w:p w14:paraId="17361AC4">
            <w:pPr>
              <w:keepNext w:val="0"/>
              <w:keepLines w:val="0"/>
              <w:pageBreakBefore w:val="0"/>
              <w:numPr>
                <w:ilvl w:val="0"/>
                <w:numId w:val="41"/>
              </w:numPr>
              <w:kinsoku/>
              <w:wordWrap/>
              <w:overflowPunct/>
              <w:topLinePunct w:val="0"/>
              <w:autoSpaceDE/>
              <w:autoSpaceDN/>
              <w:bidi w:val="0"/>
              <w:adjustRightInd w:val="0"/>
              <w:snapToGrid w:val="0"/>
              <w:spacing w:line="400" w:lineRule="exact"/>
              <w:jc w:val="left"/>
              <w:textAlignment w:val="auto"/>
              <w:rPr>
                <w:rStyle w:val="76"/>
                <w:rFonts w:hint="eastAsia" w:ascii="仿宋" w:hAnsi="仿宋" w:eastAsia="仿宋"/>
                <w:color w:val="auto"/>
                <w:sz w:val="24"/>
                <w:szCs w:val="24"/>
              </w:rPr>
            </w:pPr>
            <w:r>
              <w:rPr>
                <w:rFonts w:ascii="仿宋" w:hAnsi="仿宋" w:eastAsia="仿宋" w:cs="仿宋"/>
                <w:sz w:val="24"/>
                <w:szCs w:val="24"/>
              </w:rPr>
              <w:t>自觉和同伴形成学习共同体</w:t>
            </w:r>
            <w:r>
              <w:rPr>
                <w:rFonts w:hint="eastAsia" w:ascii="仿宋" w:hAnsi="仿宋" w:eastAsia="仿宋" w:cs="仿宋"/>
                <w:sz w:val="24"/>
                <w:szCs w:val="24"/>
              </w:rPr>
              <w:t>。有一定的沟通交流能力，能够团结协作，有效地完成小型群舞的排练。</w:t>
            </w:r>
          </w:p>
          <w:p w14:paraId="691521D9">
            <w:pPr>
              <w:pStyle w:val="75"/>
              <w:numPr>
                <w:ilvl w:val="0"/>
                <w:numId w:val="42"/>
              </w:numPr>
              <w:rPr>
                <w:rFonts w:hint="eastAsia"/>
              </w:rPr>
            </w:pPr>
          </w:p>
        </w:tc>
        <w:tc>
          <w:tcPr>
            <w:tcW w:w="1272" w:type="dxa"/>
            <w:gridSpan w:val="2"/>
            <w:tcBorders>
              <w:left w:val="single" w:color="000000" w:sz="4" w:space="0"/>
              <w:bottom w:val="single" w:color="auto" w:sz="4" w:space="0"/>
            </w:tcBorders>
            <w:noWrap w:val="0"/>
            <w:vAlign w:val="center"/>
          </w:tcPr>
          <w:p w14:paraId="5752D88E">
            <w:pPr>
              <w:tabs>
                <w:tab w:val="left" w:pos="720"/>
              </w:tabs>
              <w:adjustRightInd w:val="0"/>
              <w:snapToGrid w:val="0"/>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30</w:t>
            </w:r>
          </w:p>
        </w:tc>
        <w:tc>
          <w:tcPr>
            <w:tcW w:w="795" w:type="dxa"/>
            <w:tcBorders>
              <w:top w:val="single" w:color="000000" w:sz="4" w:space="0"/>
              <w:bottom w:val="single" w:color="auto" w:sz="4" w:space="0"/>
              <w:right w:val="single" w:color="000000" w:sz="4" w:space="0"/>
            </w:tcBorders>
            <w:noWrap w:val="0"/>
            <w:vAlign w:val="center"/>
          </w:tcPr>
          <w:p w14:paraId="189169D9">
            <w:pPr>
              <w:tabs>
                <w:tab w:val="left" w:pos="720"/>
              </w:tabs>
              <w:adjustRightInd w:val="0"/>
              <w:snapToGrid w:val="0"/>
              <w:jc w:val="center"/>
              <w:rPr>
                <w:rFonts w:hint="eastAsia" w:ascii="仿宋" w:hAnsi="仿宋" w:eastAsia="仿宋" w:cs="仿宋"/>
                <w:kern w:val="0"/>
                <w:sz w:val="24"/>
                <w:szCs w:val="24"/>
              </w:rPr>
            </w:pPr>
            <w:r>
              <w:rPr>
                <w:rFonts w:ascii="仿宋" w:hAnsi="仿宋" w:eastAsia="仿宋" w:cs="仿宋"/>
                <w:kern w:val="0"/>
                <w:sz w:val="24"/>
                <w:szCs w:val="24"/>
              </w:rPr>
              <w:t>20</w:t>
            </w:r>
          </w:p>
        </w:tc>
        <w:tc>
          <w:tcPr>
            <w:tcW w:w="782" w:type="dxa"/>
            <w:tcBorders>
              <w:top w:val="single" w:color="000000" w:sz="4" w:space="0"/>
              <w:left w:val="single" w:color="000000" w:sz="4" w:space="0"/>
              <w:bottom w:val="single" w:color="auto" w:sz="4" w:space="0"/>
            </w:tcBorders>
            <w:noWrap w:val="0"/>
            <w:vAlign w:val="center"/>
          </w:tcPr>
          <w:p w14:paraId="34861B3F">
            <w:pPr>
              <w:tabs>
                <w:tab w:val="left" w:pos="720"/>
              </w:tabs>
              <w:adjustRightInd w:val="0"/>
              <w:snapToGrid w:val="0"/>
              <w:jc w:val="center"/>
              <w:rPr>
                <w:rFonts w:hint="eastAsia" w:ascii="仿宋" w:hAnsi="仿宋" w:eastAsia="仿宋" w:cs="仿宋"/>
                <w:kern w:val="0"/>
                <w:sz w:val="24"/>
                <w:szCs w:val="24"/>
              </w:rPr>
            </w:pPr>
            <w:r>
              <w:rPr>
                <w:rFonts w:ascii="仿宋" w:hAnsi="仿宋" w:eastAsia="仿宋" w:cs="仿宋"/>
                <w:kern w:val="0"/>
                <w:sz w:val="24"/>
                <w:szCs w:val="24"/>
              </w:rPr>
              <w:t>0</w:t>
            </w:r>
            <w:r>
              <w:rPr>
                <w:rFonts w:hint="eastAsia" w:ascii="仿宋" w:hAnsi="仿宋" w:eastAsia="仿宋" w:cs="仿宋"/>
                <w:kern w:val="0"/>
                <w:sz w:val="24"/>
                <w:szCs w:val="24"/>
                <w:lang w:eastAsia="zh-Hans"/>
              </w:rPr>
              <w:t>.</w:t>
            </w:r>
            <w:r>
              <w:rPr>
                <w:rFonts w:ascii="仿宋" w:hAnsi="仿宋" w:eastAsia="仿宋" w:cs="仿宋"/>
                <w:kern w:val="0"/>
                <w:sz w:val="24"/>
                <w:szCs w:val="24"/>
                <w:lang w:eastAsia="zh-Hans"/>
              </w:rPr>
              <w:t>7</w:t>
            </w:r>
            <w:r>
              <w:rPr>
                <w:rFonts w:hint="eastAsia" w:ascii="仿宋" w:hAnsi="仿宋" w:eastAsia="仿宋" w:cs="仿宋"/>
                <w:kern w:val="0"/>
                <w:sz w:val="24"/>
                <w:szCs w:val="24"/>
              </w:rPr>
              <w:t>5</w:t>
            </w:r>
          </w:p>
        </w:tc>
      </w:tr>
      <w:tr w14:paraId="0DFABE7D">
        <w:trPr>
          <w:trHeight w:val="515" w:hRule="atLeast"/>
        </w:trPr>
        <w:tc>
          <w:tcPr>
            <w:tcW w:w="1143" w:type="dxa"/>
            <w:vMerge w:val="continue"/>
            <w:noWrap w:val="0"/>
            <w:vAlign w:val="center"/>
          </w:tcPr>
          <w:p w14:paraId="1ECBA208">
            <w:pPr>
              <w:adjustRightInd w:val="0"/>
              <w:snapToGrid w:val="0"/>
              <w:spacing w:line="240" w:lineRule="atLeast"/>
              <w:jc w:val="center"/>
              <w:rPr>
                <w:rFonts w:hint="eastAsia" w:ascii="仿宋" w:hAnsi="仿宋" w:eastAsia="仿宋" w:cs="仿宋"/>
                <w:sz w:val="24"/>
                <w:szCs w:val="24"/>
                <w:lang w:eastAsia="zh-TW"/>
              </w:rPr>
            </w:pPr>
          </w:p>
        </w:tc>
        <w:tc>
          <w:tcPr>
            <w:tcW w:w="5156" w:type="dxa"/>
            <w:gridSpan w:val="8"/>
            <w:tcBorders>
              <w:bottom w:val="single" w:color="auto" w:sz="4" w:space="0"/>
              <w:right w:val="single" w:color="000000" w:sz="4" w:space="0"/>
            </w:tcBorders>
            <w:noWrap w:val="0"/>
            <w:vAlign w:val="center"/>
          </w:tcPr>
          <w:p w14:paraId="613C53F5">
            <w:pPr>
              <w:widowControl/>
              <w:autoSpaceDE w:val="0"/>
              <w:autoSpaceDN w:val="0"/>
              <w:adjustRightInd w:val="0"/>
              <w:snapToGrid w:val="0"/>
              <w:jc w:val="center"/>
              <w:textAlignment w:val="bottom"/>
              <w:rPr>
                <w:rFonts w:hint="eastAsia" w:ascii="仿宋" w:hAnsi="仿宋" w:eastAsia="仿宋" w:cs="仿宋"/>
                <w:sz w:val="24"/>
                <w:szCs w:val="24"/>
              </w:rPr>
            </w:pPr>
            <w:r>
              <w:rPr>
                <w:rFonts w:hint="eastAsia" w:ascii="仿宋" w:hAnsi="仿宋" w:eastAsia="仿宋" w:cs="仿宋"/>
                <w:sz w:val="24"/>
                <w:szCs w:val="24"/>
              </w:rPr>
              <w:t>总分</w:t>
            </w:r>
          </w:p>
        </w:tc>
        <w:tc>
          <w:tcPr>
            <w:tcW w:w="1272" w:type="dxa"/>
            <w:gridSpan w:val="2"/>
            <w:tcBorders>
              <w:left w:val="single" w:color="000000" w:sz="4" w:space="0"/>
              <w:bottom w:val="single" w:color="auto" w:sz="4" w:space="0"/>
            </w:tcBorders>
            <w:noWrap w:val="0"/>
            <w:vAlign w:val="center"/>
          </w:tcPr>
          <w:p w14:paraId="308F17F3">
            <w:pPr>
              <w:tabs>
                <w:tab w:val="left" w:pos="720"/>
              </w:tabs>
              <w:adjustRightInd w:val="0"/>
              <w:snapToGrid w:val="0"/>
              <w:ind w:firstLine="630" w:firstLineChars="300"/>
              <w:jc w:val="both"/>
              <w:rPr>
                <w:rFonts w:hint="eastAsia" w:ascii="仿宋" w:hAnsi="仿宋" w:eastAsia="仿宋" w:cs="仿宋"/>
                <w:kern w:val="0"/>
                <w:sz w:val="24"/>
                <w:szCs w:val="24"/>
              </w:rPr>
            </w:pPr>
            <w:r>
              <w:rPr>
                <w:rFonts w:hint="eastAsia"/>
                <w:lang w:val="en-US" w:eastAsia="zh-CN"/>
              </w:rPr>
              <w:t>60</w:t>
            </w:r>
          </w:p>
        </w:tc>
        <w:tc>
          <w:tcPr>
            <w:tcW w:w="795" w:type="dxa"/>
            <w:tcBorders>
              <w:top w:val="single" w:color="000000" w:sz="4" w:space="0"/>
              <w:bottom w:val="single" w:color="auto" w:sz="4" w:space="0"/>
              <w:right w:val="single" w:color="000000" w:sz="4" w:space="0"/>
            </w:tcBorders>
            <w:noWrap w:val="0"/>
            <w:vAlign w:val="center"/>
          </w:tcPr>
          <w:p w14:paraId="61A93D52">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40</w:t>
            </w:r>
          </w:p>
        </w:tc>
        <w:tc>
          <w:tcPr>
            <w:tcW w:w="782" w:type="dxa"/>
            <w:tcBorders>
              <w:top w:val="single" w:color="000000" w:sz="4" w:space="0"/>
              <w:left w:val="single" w:color="000000" w:sz="4" w:space="0"/>
              <w:bottom w:val="single" w:color="auto" w:sz="4" w:space="0"/>
            </w:tcBorders>
            <w:noWrap w:val="0"/>
            <w:vAlign w:val="center"/>
          </w:tcPr>
          <w:p w14:paraId="4D63A679">
            <w:pPr>
              <w:tabs>
                <w:tab w:val="left" w:pos="720"/>
              </w:tabs>
              <w:adjustRightInd w:val="0"/>
              <w:snapToGrid w:val="0"/>
              <w:jc w:val="center"/>
              <w:rPr>
                <w:rFonts w:hint="default" w:ascii="仿宋" w:hAnsi="仿宋" w:eastAsia="仿宋" w:cs="仿宋"/>
                <w:kern w:val="0"/>
                <w:sz w:val="24"/>
                <w:szCs w:val="24"/>
                <w:lang w:eastAsia="zh-Hans"/>
              </w:rPr>
            </w:pPr>
            <w:r>
              <w:rPr>
                <w:rFonts w:ascii="仿宋" w:hAnsi="仿宋" w:eastAsia="仿宋" w:cs="仿宋"/>
                <w:kern w:val="0"/>
                <w:sz w:val="24"/>
                <w:szCs w:val="24"/>
              </w:rPr>
              <w:t>0</w:t>
            </w:r>
            <w:r>
              <w:rPr>
                <w:rFonts w:hint="eastAsia" w:ascii="仿宋" w:hAnsi="仿宋" w:eastAsia="仿宋" w:cs="仿宋"/>
                <w:kern w:val="0"/>
                <w:sz w:val="24"/>
                <w:szCs w:val="24"/>
                <w:lang w:eastAsia="zh-Hans"/>
              </w:rPr>
              <w:t>.</w:t>
            </w:r>
            <w:r>
              <w:rPr>
                <w:rFonts w:ascii="仿宋" w:hAnsi="仿宋" w:eastAsia="仿宋" w:cs="仿宋"/>
                <w:kern w:val="0"/>
                <w:sz w:val="24"/>
                <w:szCs w:val="24"/>
                <w:lang w:eastAsia="zh-Hans"/>
              </w:rPr>
              <w:t>7</w:t>
            </w:r>
            <w:r>
              <w:rPr>
                <w:rFonts w:hint="eastAsia" w:ascii="仿宋" w:hAnsi="仿宋" w:eastAsia="仿宋" w:cs="仿宋"/>
                <w:kern w:val="0"/>
                <w:sz w:val="24"/>
                <w:szCs w:val="24"/>
              </w:rPr>
              <w:t>5</w:t>
            </w:r>
          </w:p>
        </w:tc>
      </w:tr>
      <w:tr w14:paraId="28D771A2">
        <w:tc>
          <w:tcPr>
            <w:tcW w:w="1143" w:type="dxa"/>
            <w:noWrap w:val="0"/>
            <w:vAlign w:val="center"/>
          </w:tcPr>
          <w:p w14:paraId="7B4754B5">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L</w:t>
            </w:r>
          </w:p>
          <w:p w14:paraId="25238567">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学习建议</w:t>
            </w:r>
          </w:p>
        </w:tc>
        <w:tc>
          <w:tcPr>
            <w:tcW w:w="8005" w:type="dxa"/>
            <w:gridSpan w:val="12"/>
            <w:tcBorders>
              <w:bottom w:val="single" w:color="auto" w:sz="4" w:space="0"/>
            </w:tcBorders>
            <w:noWrap w:val="0"/>
            <w:vAlign w:val="center"/>
          </w:tcPr>
          <w:p w14:paraId="79703054">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1.自主学习。建议学生通过网络资源，规划自己的课程学习计划，充分发挥自身的学习能动性。</w:t>
            </w:r>
          </w:p>
          <w:p w14:paraId="65D2C263">
            <w:pPr>
              <w:adjustRightInd w:val="0"/>
              <w:snapToGrid w:val="0"/>
              <w:rPr>
                <w:rFonts w:hint="eastAsia" w:ascii="仿宋" w:hAnsi="仿宋" w:eastAsia="仿宋" w:cs="仿宋"/>
                <w:kern w:val="0"/>
                <w:sz w:val="24"/>
                <w:szCs w:val="24"/>
              </w:rPr>
            </w:pPr>
            <w:r>
              <w:rPr>
                <w:rFonts w:hint="eastAsia" w:ascii="仿宋" w:hAnsi="仿宋" w:eastAsia="仿宋" w:cs="仿宋"/>
                <w:bCs/>
                <w:sz w:val="24"/>
                <w:szCs w:val="24"/>
              </w:rPr>
              <w:t>2.研究性学习。鼓励学生针对课程教学内容，尝试理论课结合实践的教学方式，提高学生的学习兴趣，了解国内外最新形体训练知识，开阔学生的视野。</w:t>
            </w:r>
          </w:p>
        </w:tc>
      </w:tr>
      <w:tr w14:paraId="53B108D0">
        <w:trPr>
          <w:trHeight w:val="454" w:hRule="atLeast"/>
        </w:trPr>
        <w:tc>
          <w:tcPr>
            <w:tcW w:w="1143" w:type="dxa"/>
            <w:noWrap w:val="0"/>
            <w:vAlign w:val="center"/>
          </w:tcPr>
          <w:p w14:paraId="09D6F545">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M</w:t>
            </w:r>
          </w:p>
          <w:p w14:paraId="3F579B75">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评分量表</w:t>
            </w:r>
          </w:p>
        </w:tc>
        <w:tc>
          <w:tcPr>
            <w:tcW w:w="8005" w:type="dxa"/>
            <w:gridSpan w:val="12"/>
            <w:noWrap w:val="0"/>
            <w:vAlign w:val="center"/>
          </w:tcPr>
          <w:p w14:paraId="440BAE75">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w:t>
            </w:r>
            <w:r>
              <w:rPr>
                <w:rFonts w:hint="eastAsia" w:ascii="仿宋" w:hAnsi="仿宋" w:eastAsia="仿宋" w:cs="仿宋"/>
                <w:kern w:val="0"/>
                <w:sz w:val="24"/>
                <w:szCs w:val="24"/>
                <w:lang w:val="en-US" w:eastAsia="zh-CN"/>
              </w:rPr>
              <w:t>剧目排练</w:t>
            </w:r>
            <w:r>
              <w:rPr>
                <w:rFonts w:hint="eastAsia" w:ascii="仿宋" w:hAnsi="仿宋" w:eastAsia="仿宋" w:cs="仿宋"/>
                <w:kern w:val="0"/>
                <w:sz w:val="24"/>
                <w:szCs w:val="24"/>
              </w:rPr>
              <w:t>》课程目标评分量表见附表。</w:t>
            </w:r>
          </w:p>
        </w:tc>
      </w:tr>
      <w:tr w14:paraId="00D42913">
        <w:trPr>
          <w:trHeight w:val="454" w:hRule="atLeast"/>
        </w:trPr>
        <w:tc>
          <w:tcPr>
            <w:tcW w:w="1143" w:type="dxa"/>
            <w:noWrap w:val="0"/>
            <w:vAlign w:val="center"/>
          </w:tcPr>
          <w:p w14:paraId="5E75B417">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备注</w:t>
            </w:r>
          </w:p>
        </w:tc>
        <w:tc>
          <w:tcPr>
            <w:tcW w:w="8005" w:type="dxa"/>
            <w:gridSpan w:val="12"/>
            <w:noWrap w:val="0"/>
            <w:vAlign w:val="center"/>
          </w:tcPr>
          <w:p w14:paraId="08208159">
            <w:pPr>
              <w:adjustRightInd w:val="0"/>
              <w:snapToGrid w:val="0"/>
              <w:rPr>
                <w:rFonts w:hint="eastAsia" w:ascii="仿宋" w:hAnsi="仿宋" w:eastAsia="仿宋" w:cs="仿宋"/>
                <w:sz w:val="24"/>
                <w:szCs w:val="24"/>
              </w:rPr>
            </w:pPr>
            <w:r>
              <w:rPr>
                <w:rFonts w:hint="eastAsia" w:ascii="仿宋" w:hAnsi="仿宋" w:eastAsia="仿宋" w:cs="仿宋"/>
                <w:sz w:val="24"/>
                <w:szCs w:val="24"/>
              </w:rPr>
              <w:t>课程大纲A—M项由开课学院审批通过，任课教师不能自行更改。</w:t>
            </w:r>
          </w:p>
        </w:tc>
      </w:tr>
      <w:tr w14:paraId="32C8F55B">
        <w:trPr>
          <w:trHeight w:val="2268" w:hRule="atLeast"/>
        </w:trPr>
        <w:tc>
          <w:tcPr>
            <w:tcW w:w="1143" w:type="dxa"/>
            <w:noWrap w:val="0"/>
            <w:vAlign w:val="center"/>
          </w:tcPr>
          <w:p w14:paraId="3C662F3B">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审批</w:t>
            </w:r>
          </w:p>
          <w:p w14:paraId="60AE7660">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意见</w:t>
            </w:r>
          </w:p>
        </w:tc>
        <w:tc>
          <w:tcPr>
            <w:tcW w:w="3429" w:type="dxa"/>
            <w:gridSpan w:val="5"/>
            <w:noWrap w:val="0"/>
            <w:vAlign w:val="center"/>
          </w:tcPr>
          <w:p w14:paraId="5E2B74B2">
            <w:pPr>
              <w:pageBreakBefore w:val="0"/>
              <w:widowControl/>
              <w:kinsoku/>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课程教学大纲修订负责人及教学团队成员</w:t>
            </w:r>
            <w:r>
              <w:rPr>
                <w:rFonts w:hint="eastAsia" w:ascii="仿宋" w:hAnsi="仿宋" w:eastAsia="仿宋" w:cs="仿宋"/>
                <w:color w:val="auto"/>
                <w:sz w:val="24"/>
                <w:szCs w:val="24"/>
              </w:rPr>
              <w:t>签名</w:t>
            </w:r>
            <w:r>
              <w:rPr>
                <w:rFonts w:hint="eastAsia" w:ascii="仿宋" w:hAnsi="仿宋" w:eastAsia="仿宋" w:cs="仿宋"/>
                <w:color w:val="auto"/>
                <w:kern w:val="0"/>
                <w:sz w:val="24"/>
                <w:szCs w:val="24"/>
              </w:rPr>
              <w:t xml:space="preserve">：   </w:t>
            </w:r>
          </w:p>
          <w:p w14:paraId="10FCD668">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kern w:val="0"/>
                <w:sz w:val="24"/>
                <w:szCs w:val="24"/>
              </w:rPr>
            </w:pPr>
            <w:r>
              <w:rPr>
                <w:position w:val="-22"/>
              </w:rPr>
              <w:drawing>
                <wp:inline distT="0" distB="0" distL="114300" distR="114300">
                  <wp:extent cx="724535" cy="347345"/>
                  <wp:effectExtent l="0" t="0" r="9525" b="8890"/>
                  <wp:docPr id="27" name="图片 1"/>
                  <wp:cNvGraphicFramePr/>
                  <a:graphic xmlns:a="http://schemas.openxmlformats.org/drawingml/2006/main">
                    <a:graphicData uri="http://schemas.openxmlformats.org/drawingml/2006/picture">
                      <pic:pic xmlns:pic="http://schemas.openxmlformats.org/drawingml/2006/picture">
                        <pic:nvPicPr>
                          <pic:cNvPr id="27" name="图片 1"/>
                          <pic:cNvPicPr/>
                        </pic:nvPicPr>
                        <pic:blipFill>
                          <a:blip r:embed="rId160"/>
                          <a:stretch>
                            <a:fillRect/>
                          </a:stretch>
                        </pic:blipFill>
                        <pic:spPr>
                          <a:xfrm>
                            <a:off x="0" y="0"/>
                            <a:ext cx="724535" cy="347345"/>
                          </a:xfrm>
                          <a:prstGeom prst="rect">
                            <a:avLst/>
                          </a:prstGeom>
                          <a:noFill/>
                          <a:ln>
                            <a:noFill/>
                          </a:ln>
                        </pic:spPr>
                      </pic:pic>
                    </a:graphicData>
                  </a:graphic>
                </wp:inline>
              </w:drawing>
            </w:r>
            <w:r>
              <w:rPr>
                <w:rFonts w:hint="eastAsia" w:ascii="仿宋" w:hAnsi="仿宋" w:eastAsia="仿宋" w:cs="仿宋"/>
                <w:szCs w:val="21"/>
              </w:rPr>
              <w:drawing>
                <wp:inline distT="0" distB="0" distL="114300" distR="114300">
                  <wp:extent cx="664845" cy="387985"/>
                  <wp:effectExtent l="0" t="0" r="4445" b="635"/>
                  <wp:docPr id="2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
                          <pic:cNvPicPr>
                            <a:picLocks noChangeAspect="1"/>
                          </pic:cNvPicPr>
                        </pic:nvPicPr>
                        <pic:blipFill>
                          <a:blip r:embed="rId161"/>
                          <a:stretch>
                            <a:fillRect/>
                          </a:stretch>
                        </pic:blipFill>
                        <pic:spPr>
                          <a:xfrm>
                            <a:off x="0" y="0"/>
                            <a:ext cx="664845" cy="387985"/>
                          </a:xfrm>
                          <a:prstGeom prst="rect">
                            <a:avLst/>
                          </a:prstGeom>
                          <a:noFill/>
                          <a:ln>
                            <a:noFill/>
                          </a:ln>
                        </pic:spPr>
                      </pic:pic>
                    </a:graphicData>
                  </a:graphic>
                </wp:inline>
              </w:drawing>
            </w:r>
          </w:p>
          <w:p w14:paraId="5F92E9DB">
            <w:pPr>
              <w:pageBreakBefore w:val="0"/>
              <w:widowControl/>
              <w:kinsoku/>
              <w:overflowPunct/>
              <w:topLinePunct w:val="0"/>
              <w:bidi w:val="0"/>
              <w:adjustRightInd w:val="0"/>
              <w:snapToGrid w:val="0"/>
              <w:spacing w:line="240" w:lineRule="auto"/>
              <w:jc w:val="righ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 xml:space="preserve">                                                   </w:t>
            </w:r>
            <w:r>
              <w:rPr>
                <w:rFonts w:hint="eastAsia" w:ascii="仿宋" w:hAnsi="仿宋" w:eastAsia="仿宋" w:cs="仿宋"/>
                <w:color w:val="auto"/>
                <w:kern w:val="0"/>
                <w:sz w:val="24"/>
                <w:szCs w:val="24"/>
                <w:lang w:val="en-US" w:eastAsia="zh-CN"/>
              </w:rPr>
              <w:t>2026</w:t>
            </w:r>
            <w:r>
              <w:rPr>
                <w:rFonts w:hint="eastAsia" w:ascii="仿宋" w:hAnsi="仿宋" w:eastAsia="仿宋" w:cs="仿宋"/>
                <w:color w:val="auto"/>
                <w:kern w:val="0"/>
                <w:sz w:val="24"/>
                <w:szCs w:val="24"/>
              </w:rPr>
              <w:t xml:space="preserve">年 </w:t>
            </w:r>
            <w:r>
              <w:rPr>
                <w:rFonts w:hint="eastAsia" w:ascii="仿宋" w:hAnsi="仿宋" w:eastAsia="仿宋" w:cs="仿宋"/>
                <w:color w:val="auto"/>
                <w:kern w:val="0"/>
                <w:sz w:val="24"/>
                <w:szCs w:val="24"/>
                <w:lang w:val="en-US" w:eastAsia="zh-CN"/>
              </w:rPr>
              <w:t>9</w:t>
            </w:r>
            <w:r>
              <w:rPr>
                <w:rFonts w:hint="eastAsia" w:ascii="仿宋" w:hAnsi="仿宋" w:eastAsia="仿宋" w:cs="仿宋"/>
                <w:color w:val="auto"/>
                <w:kern w:val="0"/>
                <w:sz w:val="24"/>
                <w:szCs w:val="24"/>
              </w:rPr>
              <w:t xml:space="preserve"> 月 </w:t>
            </w:r>
            <w:r>
              <w:rPr>
                <w:rFonts w:hint="eastAsia" w:ascii="仿宋" w:hAnsi="仿宋" w:eastAsia="仿宋" w:cs="仿宋"/>
                <w:color w:val="auto"/>
                <w:kern w:val="0"/>
                <w:sz w:val="24"/>
                <w:szCs w:val="24"/>
                <w:lang w:val="en-US" w:eastAsia="zh-CN"/>
              </w:rPr>
              <w:t>1</w:t>
            </w:r>
            <w:r>
              <w:rPr>
                <w:rFonts w:hint="eastAsia" w:ascii="仿宋" w:hAnsi="仿宋" w:eastAsia="仿宋" w:cs="仿宋"/>
                <w:color w:val="auto"/>
                <w:kern w:val="0"/>
                <w:sz w:val="24"/>
                <w:szCs w:val="24"/>
              </w:rPr>
              <w:t xml:space="preserve"> 日 </w:t>
            </w:r>
          </w:p>
          <w:p w14:paraId="787867BD">
            <w:pPr>
              <w:pageBreakBefore w:val="0"/>
              <w:widowControl/>
              <w:kinsoku/>
              <w:overflowPunct/>
              <w:topLinePunct w:val="0"/>
              <w:bidi w:val="0"/>
              <w:adjustRightInd w:val="0"/>
              <w:snapToGrid w:val="0"/>
              <w:spacing w:line="240" w:lineRule="auto"/>
              <w:jc w:val="right"/>
              <w:rPr>
                <w:rFonts w:hint="eastAsia" w:ascii="仿宋" w:hAnsi="仿宋" w:eastAsia="仿宋" w:cs="仿宋"/>
                <w:kern w:val="0"/>
                <w:sz w:val="24"/>
                <w:szCs w:val="24"/>
              </w:rPr>
            </w:pPr>
          </w:p>
        </w:tc>
        <w:tc>
          <w:tcPr>
            <w:tcW w:w="4576" w:type="dxa"/>
            <w:gridSpan w:val="7"/>
            <w:noWrap w:val="0"/>
            <w:vAlign w:val="center"/>
          </w:tcPr>
          <w:p w14:paraId="4B5F38A9">
            <w:pPr>
              <w:pageBreakBefore w:val="0"/>
              <w:widowControl/>
              <w:tabs>
                <w:tab w:val="left" w:pos="2487"/>
              </w:tabs>
              <w:kinsoku/>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系主任审核意见：</w:t>
            </w:r>
            <w:r>
              <w:rPr>
                <w:rFonts w:hint="eastAsia" w:ascii="仿宋" w:hAnsi="仿宋" w:eastAsia="仿宋" w:cs="仿宋"/>
                <w:color w:val="auto"/>
                <w:kern w:val="0"/>
                <w:sz w:val="24"/>
                <w:szCs w:val="24"/>
                <w:lang w:val="en-US" w:eastAsia="zh-CN"/>
              </w:rPr>
              <w:t>同意</w:t>
            </w:r>
          </w:p>
          <w:p w14:paraId="4883F879">
            <w:pPr>
              <w:pageBreakBefore w:val="0"/>
              <w:widowControl/>
              <w:kinsoku/>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系主任签名：</w:t>
            </w:r>
          </w:p>
          <w:p w14:paraId="575093B1">
            <w:pPr>
              <w:pageBreakBefore w:val="0"/>
              <w:widowControl/>
              <w:kinsoku/>
              <w:overflowPunct/>
              <w:topLinePunct w:val="0"/>
              <w:bidi w:val="0"/>
              <w:adjustRightInd w:val="0"/>
              <w:snapToGrid w:val="0"/>
              <w:spacing w:line="240" w:lineRule="auto"/>
              <w:jc w:val="right"/>
              <w:rPr>
                <w:rFonts w:hint="eastAsia" w:ascii="仿宋" w:hAnsi="仿宋" w:eastAsia="仿宋" w:cs="仿宋"/>
                <w:color w:val="auto"/>
                <w:kern w:val="0"/>
                <w:sz w:val="24"/>
                <w:szCs w:val="24"/>
              </w:rPr>
            </w:pPr>
            <w:r>
              <w:drawing>
                <wp:inline distT="0" distB="0" distL="114300" distR="114300">
                  <wp:extent cx="923290" cy="584200"/>
                  <wp:effectExtent l="0" t="0" r="5080" b="9525"/>
                  <wp:docPr id="2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3"/>
                          <pic:cNvPicPr>
                            <a:picLocks noChangeAspect="1"/>
                          </pic:cNvPicPr>
                        </pic:nvPicPr>
                        <pic:blipFill>
                          <a:blip r:embed="rId152">
                            <a:clrChange>
                              <a:clrFrom>
                                <a:srgbClr val="FFFFFF"/>
                              </a:clrFrom>
                              <a:clrTo>
                                <a:srgbClr val="FFFFFF">
                                  <a:alpha val="0"/>
                                </a:srgbClr>
                              </a:clrTo>
                            </a:clrChange>
                          </a:blip>
                          <a:stretch>
                            <a:fillRect/>
                          </a:stretch>
                        </pic:blipFill>
                        <pic:spPr>
                          <a:xfrm>
                            <a:off x="0" y="0"/>
                            <a:ext cx="923290" cy="584200"/>
                          </a:xfrm>
                          <a:prstGeom prst="rect">
                            <a:avLst/>
                          </a:prstGeom>
                          <a:noFill/>
                          <a:ln>
                            <a:noFill/>
                          </a:ln>
                        </pic:spPr>
                      </pic:pic>
                    </a:graphicData>
                  </a:graphic>
                </wp:inline>
              </w:drawing>
            </w:r>
          </w:p>
          <w:p w14:paraId="66AE46ED">
            <w:pPr>
              <w:pageBreakBefore w:val="0"/>
              <w:widowControl/>
              <w:kinsoku/>
              <w:overflowPunct/>
              <w:topLinePunct w:val="0"/>
              <w:bidi w:val="0"/>
              <w:adjustRightInd w:val="0"/>
              <w:snapToGrid w:val="0"/>
              <w:spacing w:line="240" w:lineRule="auto"/>
              <w:jc w:val="right"/>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2026</w:t>
            </w:r>
            <w:r>
              <w:rPr>
                <w:rFonts w:hint="eastAsia" w:ascii="仿宋" w:hAnsi="仿宋" w:eastAsia="仿宋" w:cs="仿宋"/>
                <w:color w:val="auto"/>
                <w:kern w:val="0"/>
                <w:sz w:val="24"/>
                <w:szCs w:val="24"/>
              </w:rPr>
              <w:t xml:space="preserve">年 </w:t>
            </w:r>
            <w:r>
              <w:rPr>
                <w:rFonts w:hint="eastAsia" w:ascii="仿宋" w:hAnsi="仿宋" w:eastAsia="仿宋" w:cs="仿宋"/>
                <w:color w:val="auto"/>
                <w:kern w:val="0"/>
                <w:sz w:val="24"/>
                <w:szCs w:val="24"/>
                <w:lang w:val="en-US" w:eastAsia="zh-CN"/>
              </w:rPr>
              <w:t>9</w:t>
            </w:r>
            <w:r>
              <w:rPr>
                <w:rFonts w:hint="eastAsia" w:ascii="仿宋" w:hAnsi="仿宋" w:eastAsia="仿宋" w:cs="仿宋"/>
                <w:color w:val="auto"/>
                <w:kern w:val="0"/>
                <w:sz w:val="24"/>
                <w:szCs w:val="24"/>
              </w:rPr>
              <w:t xml:space="preserve"> 月 </w:t>
            </w:r>
            <w:r>
              <w:rPr>
                <w:rFonts w:hint="eastAsia" w:ascii="仿宋" w:hAnsi="仿宋" w:eastAsia="仿宋" w:cs="仿宋"/>
                <w:color w:val="auto"/>
                <w:kern w:val="0"/>
                <w:sz w:val="24"/>
                <w:szCs w:val="24"/>
                <w:lang w:val="en-US" w:eastAsia="zh-CN"/>
              </w:rPr>
              <w:t>1</w:t>
            </w:r>
            <w:r>
              <w:rPr>
                <w:rFonts w:hint="eastAsia" w:ascii="仿宋" w:hAnsi="仿宋" w:eastAsia="仿宋" w:cs="仿宋"/>
                <w:color w:val="auto"/>
                <w:kern w:val="0"/>
                <w:sz w:val="24"/>
                <w:szCs w:val="24"/>
              </w:rPr>
              <w:t xml:space="preserve"> 日</w:t>
            </w:r>
          </w:p>
          <w:p w14:paraId="7AAEB731">
            <w:pPr>
              <w:pageBreakBefore w:val="0"/>
              <w:widowControl/>
              <w:kinsoku/>
              <w:overflowPunct/>
              <w:topLinePunct w:val="0"/>
              <w:bidi w:val="0"/>
              <w:adjustRightInd w:val="0"/>
              <w:snapToGrid w:val="0"/>
              <w:spacing w:line="240" w:lineRule="auto"/>
              <w:jc w:val="right"/>
              <w:rPr>
                <w:rFonts w:hint="eastAsia" w:ascii="仿宋" w:hAnsi="仿宋" w:eastAsia="仿宋" w:cs="仿宋"/>
                <w:kern w:val="0"/>
                <w:sz w:val="24"/>
                <w:szCs w:val="24"/>
              </w:rPr>
            </w:pPr>
          </w:p>
        </w:tc>
      </w:tr>
    </w:tbl>
    <w:p w14:paraId="3C5DCF18">
      <w:pPr>
        <w:rPr>
          <w:sz w:val="2"/>
          <w:szCs w:val="2"/>
        </w:rPr>
        <w:sectPr>
          <w:headerReference r:id="rId113" w:type="default"/>
          <w:footerReference r:id="rId114" w:type="default"/>
          <w:pgSz w:w="11906" w:h="16838"/>
          <w:pgMar w:top="1440" w:right="1800" w:bottom="1440" w:left="1800" w:header="851" w:footer="992" w:gutter="0"/>
          <w:cols w:space="720" w:num="1"/>
          <w:docGrid w:type="lines" w:linePitch="312" w:charSpace="0"/>
        </w:sectPr>
      </w:pPr>
    </w:p>
    <w:p w14:paraId="29C5E375">
      <w:pPr>
        <w:adjustRightInd w:val="0"/>
        <w:snapToGrid w:val="0"/>
        <w:jc w:val="center"/>
        <w:rPr>
          <w:rFonts w:ascii="微软雅黑" w:eastAsia="微软雅黑"/>
          <w:sz w:val="44"/>
          <w:szCs w:val="44"/>
        </w:rPr>
      </w:pPr>
      <w:r>
        <w:rPr>
          <w:rFonts w:hint="eastAsia" w:ascii="微软雅黑" w:eastAsia="微软雅黑"/>
          <w:sz w:val="44"/>
          <w:szCs w:val="44"/>
        </w:rPr>
        <w:t>三明学院音乐学（音乐教育）专业</w:t>
      </w:r>
    </w:p>
    <w:p w14:paraId="2839B30E">
      <w:pPr>
        <w:pStyle w:val="2"/>
        <w:spacing w:before="0" w:beforeAutospacing="0" w:after="0" w:afterAutospacing="0"/>
        <w:jc w:val="center"/>
        <w:rPr>
          <w:rFonts w:eastAsia="方正小标宋简体"/>
          <w:bCs w:val="0"/>
          <w:sz w:val="24"/>
          <w:szCs w:val="24"/>
        </w:rPr>
      </w:pPr>
      <w:bookmarkStart w:id="204" w:name="_Toc2960165"/>
      <w:bookmarkStart w:id="205" w:name="_Toc602422161"/>
      <w:bookmarkStart w:id="206" w:name="_Toc1578750652"/>
      <w:r>
        <w:rPr>
          <w:rFonts w:hint="eastAsia" w:ascii="方正小标宋简体" w:hAnsi="方正小标宋简体" w:eastAsia="方正小标宋简体" w:cs="方正小标宋简体"/>
          <w:b w:val="0"/>
          <w:bCs w:val="0"/>
          <w:sz w:val="44"/>
          <w:szCs w:val="44"/>
        </w:rPr>
        <w:t>《歌曲作法》课程教学大纲</w:t>
      </w:r>
      <w:bookmarkEnd w:id="204"/>
      <w:bookmarkEnd w:id="205"/>
    </w:p>
    <w:tbl>
      <w:tblPr>
        <w:tblStyle w:val="22"/>
        <w:tblW w:w="91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431"/>
        <w:gridCol w:w="1126"/>
        <w:gridCol w:w="417"/>
        <w:gridCol w:w="678"/>
        <w:gridCol w:w="865"/>
        <w:gridCol w:w="728"/>
        <w:gridCol w:w="815"/>
        <w:gridCol w:w="59"/>
        <w:gridCol w:w="300"/>
        <w:gridCol w:w="562"/>
        <w:gridCol w:w="622"/>
        <w:gridCol w:w="167"/>
        <w:gridCol w:w="88"/>
        <w:gridCol w:w="701"/>
        <w:gridCol w:w="589"/>
      </w:tblGrid>
      <w:tr w14:paraId="1FD9E491">
        <w:trPr>
          <w:trHeight w:val="624" w:hRule="atLeast"/>
        </w:trPr>
        <w:tc>
          <w:tcPr>
            <w:tcW w:w="1431" w:type="dxa"/>
            <w:noWrap w:val="0"/>
            <w:vAlign w:val="center"/>
          </w:tcPr>
          <w:p w14:paraId="4F3B69B8">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课程名称</w:t>
            </w:r>
          </w:p>
        </w:tc>
        <w:tc>
          <w:tcPr>
            <w:tcW w:w="4629" w:type="dxa"/>
            <w:gridSpan w:val="6"/>
            <w:noWrap w:val="0"/>
            <w:vAlign w:val="center"/>
          </w:tcPr>
          <w:p w14:paraId="6CF7D04F">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《歌曲作法》</w:t>
            </w:r>
          </w:p>
        </w:tc>
        <w:tc>
          <w:tcPr>
            <w:tcW w:w="1543" w:type="dxa"/>
            <w:gridSpan w:val="4"/>
            <w:noWrap w:val="0"/>
            <w:vAlign w:val="center"/>
          </w:tcPr>
          <w:p w14:paraId="3077D92C">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课程代码</w:t>
            </w:r>
          </w:p>
        </w:tc>
        <w:tc>
          <w:tcPr>
            <w:tcW w:w="1545" w:type="dxa"/>
            <w:gridSpan w:val="4"/>
            <w:noWrap w:val="0"/>
            <w:vAlign w:val="center"/>
          </w:tcPr>
          <w:p w14:paraId="596AA80B">
            <w:pPr>
              <w:adjustRightInd w:val="0"/>
              <w:snapToGrid w:val="0"/>
              <w:spacing w:line="240" w:lineRule="atLeast"/>
              <w:jc w:val="center"/>
              <w:rPr>
                <w:rFonts w:ascii="仿宋" w:hAnsi="仿宋" w:eastAsia="仿宋" w:cs="仿宋"/>
                <w:sz w:val="24"/>
                <w:szCs w:val="24"/>
              </w:rPr>
            </w:pPr>
            <w:r>
              <w:rPr>
                <w:rFonts w:hint="eastAsia" w:ascii="仿宋_GB2312" w:hAnsi="仿宋_GB2312" w:eastAsia="仿宋_GB2312" w:cs="仿宋_GB2312"/>
                <w:szCs w:val="21"/>
              </w:rPr>
              <w:t>1211402603</w:t>
            </w:r>
          </w:p>
        </w:tc>
      </w:tr>
      <w:tr w14:paraId="4F5A3C56">
        <w:trPr>
          <w:trHeight w:val="624" w:hRule="atLeast"/>
        </w:trPr>
        <w:tc>
          <w:tcPr>
            <w:tcW w:w="1431" w:type="dxa"/>
            <w:noWrap w:val="0"/>
            <w:vAlign w:val="center"/>
          </w:tcPr>
          <w:p w14:paraId="529D4B9D">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课程类型</w:t>
            </w:r>
          </w:p>
        </w:tc>
        <w:tc>
          <w:tcPr>
            <w:tcW w:w="7717" w:type="dxa"/>
            <w:gridSpan w:val="14"/>
            <w:noWrap w:val="0"/>
            <w:vAlign w:val="center"/>
          </w:tcPr>
          <w:p w14:paraId="2D30E245">
            <w:pPr>
              <w:adjustRightInd w:val="0"/>
              <w:snapToGrid w:val="0"/>
              <w:spacing w:line="240" w:lineRule="atLeast"/>
              <w:rPr>
                <w:rFonts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通识必修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通识选修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专业必修 </w:t>
            </w:r>
          </w:p>
          <w:p w14:paraId="36D50103">
            <w:pPr>
              <w:adjustRightInd w:val="0"/>
              <w:snapToGrid w:val="0"/>
              <w:spacing w:line="240" w:lineRule="atLeast"/>
              <w:rPr>
                <w:rFonts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专业选修</w:t>
            </w:r>
            <w:r>
              <w:rPr>
                <w:rFonts w:hint="eastAsia" w:ascii="仿宋" w:hAnsi="仿宋" w:eastAsia="仿宋" w:cs="仿宋"/>
                <w:sz w:val="24"/>
                <w:szCs w:val="24"/>
                <w:lang w:eastAsia="zh-TW"/>
              </w:rPr>
              <w:t xml:space="preserve">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教师教育必修 </w:t>
            </w:r>
            <w:r>
              <w:rPr>
                <w:rFonts w:hint="eastAsia" w:ascii="仿宋" w:hAnsi="仿宋" w:eastAsia="仿宋" w:cs="仿宋"/>
                <w:sz w:val="24"/>
                <w:szCs w:val="24"/>
              </w:rPr>
              <w:sym w:font="Wingdings" w:char="00A8"/>
            </w:r>
            <w:r>
              <w:rPr>
                <w:rFonts w:hint="eastAsia" w:ascii="仿宋" w:hAnsi="仿宋" w:eastAsia="仿宋" w:cs="仿宋"/>
                <w:sz w:val="24"/>
                <w:szCs w:val="24"/>
              </w:rPr>
              <w:t>教师教育选修</w:t>
            </w:r>
          </w:p>
        </w:tc>
      </w:tr>
      <w:tr w14:paraId="386D7658">
        <w:trPr>
          <w:trHeight w:val="624" w:hRule="atLeast"/>
        </w:trPr>
        <w:tc>
          <w:tcPr>
            <w:tcW w:w="1431" w:type="dxa"/>
            <w:noWrap w:val="0"/>
            <w:vAlign w:val="center"/>
          </w:tcPr>
          <w:p w14:paraId="133D2DC6">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开课学期</w:t>
            </w:r>
          </w:p>
        </w:tc>
        <w:tc>
          <w:tcPr>
            <w:tcW w:w="1543" w:type="dxa"/>
            <w:gridSpan w:val="2"/>
            <w:noWrap w:val="0"/>
            <w:vAlign w:val="center"/>
          </w:tcPr>
          <w:p w14:paraId="20327299">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第</w:t>
            </w:r>
            <w:r>
              <w:rPr>
                <w:rFonts w:ascii="仿宋" w:hAnsi="仿宋" w:eastAsia="仿宋" w:cs="仿宋"/>
                <w:sz w:val="24"/>
                <w:szCs w:val="24"/>
              </w:rPr>
              <w:t>6</w:t>
            </w:r>
            <w:r>
              <w:rPr>
                <w:rFonts w:hint="eastAsia" w:ascii="仿宋" w:hAnsi="仿宋" w:eastAsia="仿宋" w:cs="仿宋"/>
                <w:sz w:val="24"/>
                <w:szCs w:val="24"/>
              </w:rPr>
              <w:t>学期</w:t>
            </w:r>
          </w:p>
        </w:tc>
        <w:tc>
          <w:tcPr>
            <w:tcW w:w="1543" w:type="dxa"/>
            <w:gridSpan w:val="2"/>
            <w:noWrap w:val="0"/>
            <w:vAlign w:val="center"/>
          </w:tcPr>
          <w:p w14:paraId="3145148D">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学分</w:t>
            </w:r>
          </w:p>
        </w:tc>
        <w:tc>
          <w:tcPr>
            <w:tcW w:w="1543" w:type="dxa"/>
            <w:gridSpan w:val="2"/>
            <w:noWrap w:val="0"/>
            <w:vAlign w:val="center"/>
          </w:tcPr>
          <w:p w14:paraId="203943DF">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2</w:t>
            </w:r>
          </w:p>
        </w:tc>
        <w:tc>
          <w:tcPr>
            <w:tcW w:w="1543" w:type="dxa"/>
            <w:gridSpan w:val="4"/>
            <w:noWrap w:val="0"/>
            <w:vAlign w:val="center"/>
          </w:tcPr>
          <w:p w14:paraId="52E8C275">
            <w:pPr>
              <w:adjustRightInd w:val="0"/>
              <w:snapToGrid w:val="0"/>
              <w:spacing w:line="240" w:lineRule="atLeast"/>
              <w:rPr>
                <w:rFonts w:ascii="仿宋" w:hAnsi="仿宋" w:eastAsia="仿宋" w:cs="仿宋"/>
                <w:sz w:val="24"/>
                <w:szCs w:val="24"/>
              </w:rPr>
            </w:pPr>
            <w:r>
              <w:rPr>
                <w:rFonts w:hint="eastAsia" w:ascii="仿宋" w:hAnsi="仿宋" w:eastAsia="仿宋" w:cs="仿宋"/>
                <w:sz w:val="24"/>
                <w:szCs w:val="24"/>
              </w:rPr>
              <w:t>课程负责人</w:t>
            </w:r>
          </w:p>
        </w:tc>
        <w:tc>
          <w:tcPr>
            <w:tcW w:w="1545" w:type="dxa"/>
            <w:gridSpan w:val="4"/>
            <w:noWrap w:val="0"/>
            <w:vAlign w:val="center"/>
          </w:tcPr>
          <w:p w14:paraId="617C7BE7">
            <w:pPr>
              <w:adjustRightInd w:val="0"/>
              <w:snapToGrid w:val="0"/>
              <w:spacing w:line="240" w:lineRule="atLeast"/>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林心河</w:t>
            </w:r>
          </w:p>
        </w:tc>
      </w:tr>
      <w:tr w14:paraId="7B6433E4">
        <w:trPr>
          <w:trHeight w:val="624" w:hRule="atLeast"/>
        </w:trPr>
        <w:tc>
          <w:tcPr>
            <w:tcW w:w="1431" w:type="dxa"/>
            <w:noWrap w:val="0"/>
            <w:vAlign w:val="center"/>
          </w:tcPr>
          <w:p w14:paraId="2EE359D5">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总学时</w:t>
            </w:r>
          </w:p>
        </w:tc>
        <w:tc>
          <w:tcPr>
            <w:tcW w:w="1543" w:type="dxa"/>
            <w:gridSpan w:val="2"/>
            <w:noWrap w:val="0"/>
            <w:vAlign w:val="center"/>
          </w:tcPr>
          <w:p w14:paraId="795BEB58">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32</w:t>
            </w:r>
          </w:p>
        </w:tc>
        <w:tc>
          <w:tcPr>
            <w:tcW w:w="1543" w:type="dxa"/>
            <w:gridSpan w:val="2"/>
            <w:noWrap w:val="0"/>
            <w:vAlign w:val="center"/>
          </w:tcPr>
          <w:p w14:paraId="7A44A2F0">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理论学时</w:t>
            </w:r>
          </w:p>
        </w:tc>
        <w:tc>
          <w:tcPr>
            <w:tcW w:w="1543" w:type="dxa"/>
            <w:gridSpan w:val="2"/>
            <w:noWrap w:val="0"/>
            <w:vAlign w:val="center"/>
          </w:tcPr>
          <w:p w14:paraId="76188C32">
            <w:pPr>
              <w:adjustRightInd w:val="0"/>
              <w:snapToGrid w:val="0"/>
              <w:spacing w:line="240" w:lineRule="atLeast"/>
              <w:jc w:val="center"/>
              <w:rPr>
                <w:rFonts w:ascii="仿宋" w:hAnsi="仿宋" w:eastAsia="仿宋" w:cs="仿宋"/>
                <w:sz w:val="24"/>
                <w:szCs w:val="24"/>
              </w:rPr>
            </w:pPr>
          </w:p>
        </w:tc>
        <w:tc>
          <w:tcPr>
            <w:tcW w:w="1543" w:type="dxa"/>
            <w:gridSpan w:val="4"/>
            <w:tcBorders>
              <w:right w:val="single" w:color="000000" w:sz="4" w:space="0"/>
            </w:tcBorders>
            <w:noWrap w:val="0"/>
            <w:vAlign w:val="center"/>
          </w:tcPr>
          <w:p w14:paraId="4FCDB4CE">
            <w:pPr>
              <w:adjustRightInd w:val="0"/>
              <w:snapToGrid w:val="0"/>
              <w:spacing w:line="240" w:lineRule="atLeast"/>
              <w:rPr>
                <w:rFonts w:ascii="仿宋" w:hAnsi="仿宋" w:eastAsia="仿宋" w:cs="仿宋"/>
                <w:sz w:val="24"/>
                <w:szCs w:val="24"/>
              </w:rPr>
            </w:pPr>
            <w:r>
              <w:rPr>
                <w:rFonts w:hint="eastAsia" w:ascii="仿宋" w:hAnsi="仿宋" w:eastAsia="仿宋" w:cs="仿宋"/>
                <w:sz w:val="24"/>
                <w:szCs w:val="24"/>
              </w:rPr>
              <w:t>实践学时</w:t>
            </w:r>
          </w:p>
        </w:tc>
        <w:tc>
          <w:tcPr>
            <w:tcW w:w="1545" w:type="dxa"/>
            <w:gridSpan w:val="4"/>
            <w:tcBorders>
              <w:right w:val="single" w:color="000000" w:sz="4" w:space="0"/>
            </w:tcBorders>
            <w:noWrap w:val="0"/>
            <w:vAlign w:val="center"/>
          </w:tcPr>
          <w:p w14:paraId="0436DA91">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32</w:t>
            </w:r>
          </w:p>
        </w:tc>
      </w:tr>
      <w:tr w14:paraId="583BEDD6">
        <w:trPr>
          <w:trHeight w:val="624" w:hRule="atLeast"/>
        </w:trPr>
        <w:tc>
          <w:tcPr>
            <w:tcW w:w="1431" w:type="dxa"/>
            <w:noWrap w:val="0"/>
            <w:vAlign w:val="center"/>
          </w:tcPr>
          <w:p w14:paraId="7F3742F4">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先修课程与后续课程</w:t>
            </w:r>
          </w:p>
        </w:tc>
        <w:tc>
          <w:tcPr>
            <w:tcW w:w="7717" w:type="dxa"/>
            <w:gridSpan w:val="14"/>
            <w:noWrap w:val="0"/>
            <w:vAlign w:val="center"/>
          </w:tcPr>
          <w:p w14:paraId="1D48BC05">
            <w:pPr>
              <w:tabs>
                <w:tab w:val="left" w:pos="720"/>
              </w:tabs>
              <w:adjustRightInd w:val="0"/>
              <w:snapToGrid w:val="0"/>
              <w:jc w:val="left"/>
              <w:rPr>
                <w:rFonts w:ascii="仿宋" w:hAnsi="仿宋" w:eastAsia="仿宋" w:cs="仿宋"/>
                <w:sz w:val="24"/>
                <w:szCs w:val="24"/>
                <w:lang w:eastAsia="zh-Hans"/>
              </w:rPr>
            </w:pPr>
            <w:r>
              <w:rPr>
                <w:rFonts w:hint="eastAsia" w:ascii="仿宋" w:hAnsi="仿宋" w:eastAsia="仿宋" w:cs="仿宋"/>
                <w:sz w:val="24"/>
                <w:szCs w:val="24"/>
              </w:rPr>
              <w:t>先修课程：</w:t>
            </w:r>
            <w:r>
              <w:rPr>
                <w:rFonts w:ascii="仿宋" w:hAnsi="仿宋" w:eastAsia="仿宋" w:cs="仿宋"/>
                <w:sz w:val="24"/>
                <w:szCs w:val="24"/>
              </w:rPr>
              <w:t>《</w:t>
            </w:r>
            <w:r>
              <w:rPr>
                <w:rFonts w:hint="eastAsia" w:ascii="仿宋" w:hAnsi="仿宋" w:eastAsia="仿宋" w:cs="仿宋"/>
                <w:sz w:val="24"/>
                <w:szCs w:val="24"/>
                <w:lang w:eastAsia="zh-Hans"/>
              </w:rPr>
              <w:t>基本乐理</w:t>
            </w:r>
            <w:r>
              <w:rPr>
                <w:rFonts w:ascii="仿宋" w:hAnsi="仿宋" w:eastAsia="仿宋" w:cs="仿宋"/>
                <w:sz w:val="24"/>
                <w:szCs w:val="24"/>
                <w:lang w:eastAsia="zh-Hans"/>
              </w:rPr>
              <w:t>》《</w:t>
            </w:r>
            <w:r>
              <w:rPr>
                <w:rFonts w:hint="eastAsia" w:ascii="仿宋" w:hAnsi="仿宋" w:eastAsia="仿宋" w:cs="仿宋"/>
                <w:sz w:val="24"/>
                <w:szCs w:val="24"/>
                <w:lang w:eastAsia="zh-Hans"/>
              </w:rPr>
              <w:t>和声</w:t>
            </w:r>
            <w:r>
              <w:rPr>
                <w:rFonts w:ascii="仿宋" w:hAnsi="仿宋" w:eastAsia="仿宋" w:cs="仿宋"/>
                <w:sz w:val="24"/>
                <w:szCs w:val="24"/>
                <w:lang w:eastAsia="zh-Hans"/>
              </w:rPr>
              <w:t>》《</w:t>
            </w:r>
            <w:r>
              <w:rPr>
                <w:rFonts w:hint="eastAsia" w:ascii="仿宋" w:hAnsi="仿宋" w:eastAsia="仿宋" w:cs="仿宋"/>
                <w:sz w:val="24"/>
                <w:szCs w:val="24"/>
                <w:lang w:eastAsia="zh-Hans"/>
              </w:rPr>
              <w:t>曲式与作品分析</w:t>
            </w:r>
            <w:r>
              <w:rPr>
                <w:rFonts w:ascii="仿宋" w:hAnsi="仿宋" w:eastAsia="仿宋" w:cs="仿宋"/>
                <w:sz w:val="24"/>
                <w:szCs w:val="24"/>
                <w:lang w:eastAsia="zh-Hans"/>
              </w:rPr>
              <w:t>》</w:t>
            </w:r>
          </w:p>
          <w:p w14:paraId="101E5E8E">
            <w:pPr>
              <w:tabs>
                <w:tab w:val="left" w:pos="720"/>
              </w:tabs>
              <w:adjustRightInd w:val="0"/>
              <w:snapToGrid w:val="0"/>
              <w:jc w:val="left"/>
              <w:rPr>
                <w:rFonts w:ascii="仿宋" w:hAnsi="仿宋" w:eastAsia="仿宋" w:cs="仿宋"/>
                <w:sz w:val="24"/>
                <w:szCs w:val="24"/>
                <w:lang w:eastAsia="zh-Hans"/>
              </w:rPr>
            </w:pPr>
            <w:r>
              <w:rPr>
                <w:rFonts w:hint="eastAsia" w:ascii="仿宋" w:hAnsi="仿宋" w:eastAsia="仿宋" w:cs="仿宋"/>
                <w:sz w:val="24"/>
                <w:szCs w:val="24"/>
              </w:rPr>
              <w:t>后续课程：</w:t>
            </w:r>
            <w:r>
              <w:rPr>
                <w:rFonts w:ascii="仿宋" w:hAnsi="仿宋" w:eastAsia="仿宋" w:cs="仿宋"/>
                <w:sz w:val="24"/>
                <w:szCs w:val="24"/>
              </w:rPr>
              <w:t>《</w:t>
            </w:r>
            <w:r>
              <w:rPr>
                <w:rFonts w:hint="eastAsia" w:ascii="仿宋" w:hAnsi="仿宋" w:eastAsia="仿宋" w:cs="仿宋"/>
                <w:sz w:val="24"/>
                <w:szCs w:val="24"/>
                <w:lang w:eastAsia="zh-Hans"/>
              </w:rPr>
              <w:t>综合实践</w:t>
            </w:r>
            <w:r>
              <w:rPr>
                <w:rFonts w:ascii="仿宋" w:hAnsi="仿宋" w:eastAsia="仿宋" w:cs="仿宋"/>
                <w:sz w:val="24"/>
                <w:szCs w:val="24"/>
                <w:lang w:eastAsia="zh-Hans"/>
              </w:rPr>
              <w:t>（</w:t>
            </w:r>
            <w:r>
              <w:rPr>
                <w:rFonts w:hint="eastAsia" w:ascii="仿宋" w:hAnsi="仿宋" w:eastAsia="仿宋" w:cs="仿宋"/>
                <w:sz w:val="24"/>
                <w:szCs w:val="24"/>
                <w:lang w:eastAsia="zh-Hans"/>
              </w:rPr>
              <w:t>二</w:t>
            </w:r>
            <w:r>
              <w:rPr>
                <w:rFonts w:ascii="仿宋" w:hAnsi="仿宋" w:eastAsia="仿宋" w:cs="仿宋"/>
                <w:sz w:val="24"/>
                <w:szCs w:val="24"/>
                <w:lang w:eastAsia="zh-Hans"/>
              </w:rPr>
              <w:t>）：</w:t>
            </w:r>
            <w:r>
              <w:rPr>
                <w:rFonts w:hint="eastAsia" w:ascii="仿宋" w:hAnsi="仿宋" w:eastAsia="仿宋" w:cs="仿宋"/>
                <w:sz w:val="24"/>
                <w:szCs w:val="24"/>
                <w:lang w:eastAsia="zh-Hans"/>
              </w:rPr>
              <w:t>毕业汇演</w:t>
            </w:r>
            <w:r>
              <w:rPr>
                <w:rFonts w:ascii="仿宋" w:hAnsi="仿宋" w:eastAsia="仿宋" w:cs="仿宋"/>
                <w:sz w:val="24"/>
                <w:szCs w:val="24"/>
                <w:lang w:eastAsia="zh-Hans"/>
              </w:rPr>
              <w:t>》</w:t>
            </w:r>
          </w:p>
        </w:tc>
      </w:tr>
      <w:tr w14:paraId="545C1BDD">
        <w:trPr>
          <w:trHeight w:val="624" w:hRule="atLeast"/>
        </w:trPr>
        <w:tc>
          <w:tcPr>
            <w:tcW w:w="1431" w:type="dxa"/>
            <w:noWrap w:val="0"/>
            <w:vAlign w:val="center"/>
          </w:tcPr>
          <w:p w14:paraId="27D094CB">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适用专业</w:t>
            </w:r>
          </w:p>
        </w:tc>
        <w:tc>
          <w:tcPr>
            <w:tcW w:w="7717" w:type="dxa"/>
            <w:gridSpan w:val="14"/>
            <w:noWrap w:val="0"/>
            <w:vAlign w:val="center"/>
          </w:tcPr>
          <w:p w14:paraId="3A8514F1">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音乐学</w:t>
            </w:r>
          </w:p>
        </w:tc>
      </w:tr>
      <w:tr w14:paraId="650E7871">
        <w:trPr>
          <w:trHeight w:val="624" w:hRule="atLeast"/>
        </w:trPr>
        <w:tc>
          <w:tcPr>
            <w:tcW w:w="1431" w:type="dxa"/>
            <w:tcBorders>
              <w:bottom w:val="single" w:color="auto" w:sz="4" w:space="0"/>
            </w:tcBorders>
            <w:noWrap w:val="0"/>
            <w:vAlign w:val="center"/>
          </w:tcPr>
          <w:p w14:paraId="69F50419">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A</w:t>
            </w:r>
          </w:p>
          <w:p w14:paraId="2A373798">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参考教材</w:t>
            </w:r>
          </w:p>
        </w:tc>
        <w:tc>
          <w:tcPr>
            <w:tcW w:w="7717" w:type="dxa"/>
            <w:gridSpan w:val="14"/>
            <w:tcBorders>
              <w:bottom w:val="single" w:color="auto" w:sz="4" w:space="0"/>
            </w:tcBorders>
            <w:noWrap w:val="0"/>
            <w:vAlign w:val="center"/>
          </w:tcPr>
          <w:p w14:paraId="68CD7ABD">
            <w:pPr>
              <w:numPr>
                <w:ilvl w:val="0"/>
                <w:numId w:val="43"/>
              </w:numPr>
              <w:tabs>
                <w:tab w:val="left" w:pos="720"/>
              </w:tabs>
              <w:adjustRightInd w:val="0"/>
              <w:snapToGrid w:val="0"/>
              <w:rPr>
                <w:rFonts w:ascii="仿宋" w:hAnsi="仿宋" w:eastAsia="仿宋" w:cs="仿宋"/>
                <w:sz w:val="24"/>
                <w:szCs w:val="24"/>
              </w:rPr>
            </w:pPr>
            <w:r>
              <w:rPr>
                <w:rFonts w:hint="eastAsia" w:ascii="仿宋" w:hAnsi="仿宋" w:eastAsia="仿宋" w:cs="仿宋"/>
                <w:sz w:val="24"/>
                <w:szCs w:val="24"/>
              </w:rPr>
              <w:t>赖登明，《赖登明歌曲选》厦门大学出版社2015年</w:t>
            </w:r>
          </w:p>
          <w:p w14:paraId="0A8BB9A6">
            <w:pPr>
              <w:numPr>
                <w:ilvl w:val="0"/>
                <w:numId w:val="43"/>
              </w:numPr>
              <w:tabs>
                <w:tab w:val="left" w:pos="720"/>
              </w:tabs>
              <w:adjustRightInd w:val="0"/>
              <w:snapToGrid w:val="0"/>
              <w:rPr>
                <w:rFonts w:ascii="仿宋" w:hAnsi="仿宋" w:eastAsia="仿宋" w:cs="仿宋"/>
                <w:sz w:val="24"/>
                <w:szCs w:val="24"/>
              </w:rPr>
            </w:pPr>
            <w:r>
              <w:rPr>
                <w:rFonts w:hint="eastAsia" w:ascii="仿宋" w:hAnsi="仿宋" w:eastAsia="仿宋" w:cs="仿宋"/>
                <w:sz w:val="24"/>
                <w:szCs w:val="24"/>
              </w:rPr>
              <w:t>赖登明，《歌曲作法》西南师范大学出版社2013年</w:t>
            </w:r>
          </w:p>
        </w:tc>
      </w:tr>
      <w:tr w14:paraId="48CDB35C">
        <w:trPr>
          <w:trHeight w:val="624" w:hRule="atLeast"/>
        </w:trPr>
        <w:tc>
          <w:tcPr>
            <w:tcW w:w="1431" w:type="dxa"/>
            <w:tcBorders>
              <w:bottom w:val="single" w:color="auto" w:sz="4" w:space="0"/>
            </w:tcBorders>
            <w:noWrap w:val="0"/>
            <w:vAlign w:val="center"/>
          </w:tcPr>
          <w:p w14:paraId="72545852">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B</w:t>
            </w:r>
          </w:p>
          <w:p w14:paraId="159AC445">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主要参考书籍</w:t>
            </w:r>
          </w:p>
        </w:tc>
        <w:tc>
          <w:tcPr>
            <w:tcW w:w="7717" w:type="dxa"/>
            <w:gridSpan w:val="14"/>
            <w:tcBorders>
              <w:bottom w:val="single" w:color="auto" w:sz="4" w:space="0"/>
            </w:tcBorders>
            <w:noWrap w:val="0"/>
            <w:vAlign w:val="center"/>
          </w:tcPr>
          <w:p w14:paraId="13BD45C3">
            <w:pPr>
              <w:tabs>
                <w:tab w:val="left" w:pos="720"/>
              </w:tabs>
              <w:adjustRightInd w:val="0"/>
              <w:snapToGrid w:val="0"/>
              <w:rPr>
                <w:rFonts w:ascii="仿宋" w:hAnsi="仿宋" w:eastAsia="仿宋" w:cs="仿宋"/>
                <w:sz w:val="24"/>
                <w:szCs w:val="24"/>
              </w:rPr>
            </w:pPr>
            <w:r>
              <w:rPr>
                <w:rFonts w:hint="eastAsia" w:ascii="仿宋" w:hAnsi="仿宋" w:eastAsia="仿宋" w:cs="仿宋"/>
                <w:sz w:val="24"/>
                <w:szCs w:val="24"/>
              </w:rPr>
              <w:t>周复三，《歌曲作法教程》山东大学出版社 2011年</w:t>
            </w:r>
          </w:p>
        </w:tc>
      </w:tr>
      <w:tr w14:paraId="4370A609">
        <w:trPr>
          <w:trHeight w:val="624" w:hRule="atLeast"/>
        </w:trPr>
        <w:tc>
          <w:tcPr>
            <w:tcW w:w="1431" w:type="dxa"/>
            <w:tcBorders>
              <w:bottom w:val="single" w:color="auto" w:sz="4" w:space="0"/>
            </w:tcBorders>
            <w:noWrap w:val="0"/>
            <w:vAlign w:val="center"/>
          </w:tcPr>
          <w:p w14:paraId="02675C94">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C</w:t>
            </w:r>
          </w:p>
          <w:p w14:paraId="4C4209C0">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线上学习资源</w:t>
            </w:r>
          </w:p>
        </w:tc>
        <w:tc>
          <w:tcPr>
            <w:tcW w:w="7717" w:type="dxa"/>
            <w:gridSpan w:val="14"/>
            <w:tcBorders>
              <w:bottom w:val="single" w:color="auto" w:sz="4" w:space="0"/>
            </w:tcBorders>
            <w:noWrap w:val="0"/>
            <w:vAlign w:val="center"/>
          </w:tcPr>
          <w:p w14:paraId="68F94212">
            <w:pPr>
              <w:adjustRightInd w:val="0"/>
              <w:snapToGrid w:val="0"/>
              <w:rPr>
                <w:rFonts w:ascii="仿宋" w:hAnsi="仿宋" w:eastAsia="仿宋" w:cs="仿宋"/>
                <w:sz w:val="24"/>
                <w:szCs w:val="24"/>
              </w:rPr>
            </w:pPr>
            <w:r>
              <w:rPr>
                <w:rFonts w:hint="eastAsia" w:ascii="仿宋" w:hAnsi="仿宋" w:eastAsia="仿宋" w:cs="仿宋"/>
                <w:sz w:val="24"/>
                <w:szCs w:val="24"/>
              </w:rPr>
              <w:t>本课程已经建立超星平台网络课程，同学们依据学校提供的帐号与密码登录课程网站，可查看教学大纲、授课计划、考核方法、课程PPT、教学视频、电子教材、音频、阅读资料、仿真软件、网络文献链接网址等教学资源。</w:t>
            </w:r>
          </w:p>
        </w:tc>
      </w:tr>
      <w:tr w14:paraId="6CA1820B">
        <w:trPr>
          <w:trHeight w:val="624" w:hRule="atLeast"/>
        </w:trPr>
        <w:tc>
          <w:tcPr>
            <w:tcW w:w="1431" w:type="dxa"/>
            <w:shd w:val="clear" w:color="auto" w:fill="FFFFFF"/>
            <w:noWrap w:val="0"/>
            <w:vAlign w:val="center"/>
          </w:tcPr>
          <w:p w14:paraId="36180944">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D</w:t>
            </w:r>
          </w:p>
          <w:p w14:paraId="026220CE">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 xml:space="preserve">课程描述 </w:t>
            </w:r>
          </w:p>
          <w:p w14:paraId="3ADF42DD">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lang w:eastAsia="zh-TW"/>
              </w:rPr>
              <w:t>(</w:t>
            </w:r>
            <w:r>
              <w:rPr>
                <w:rFonts w:hint="eastAsia" w:ascii="仿宋" w:hAnsi="仿宋" w:eastAsia="仿宋" w:cs="仿宋"/>
                <w:sz w:val="24"/>
                <w:szCs w:val="24"/>
              </w:rPr>
              <w:t>含</w:t>
            </w:r>
            <w:r>
              <w:rPr>
                <w:rFonts w:hint="eastAsia" w:ascii="仿宋" w:hAnsi="仿宋" w:eastAsia="仿宋" w:cs="仿宋"/>
                <w:sz w:val="24"/>
                <w:szCs w:val="24"/>
                <w:lang w:eastAsia="zh-TW"/>
              </w:rPr>
              <w:t>性质、地位和任务)</w:t>
            </w:r>
          </w:p>
        </w:tc>
        <w:tc>
          <w:tcPr>
            <w:tcW w:w="7717" w:type="dxa"/>
            <w:gridSpan w:val="14"/>
            <w:tcBorders>
              <w:bottom w:val="single" w:color="auto" w:sz="4" w:space="0"/>
            </w:tcBorders>
            <w:shd w:val="clear" w:color="auto" w:fill="FFFFFF"/>
            <w:noWrap w:val="0"/>
            <w:vAlign w:val="center"/>
          </w:tcPr>
          <w:p w14:paraId="029D82CA">
            <w:pPr>
              <w:adjustRightInd w:val="0"/>
              <w:snapToGrid w:val="0"/>
              <w:rPr>
                <w:rFonts w:hint="eastAsia" w:ascii="仿宋" w:hAnsi="仿宋" w:eastAsia="仿宋" w:cs="仿宋"/>
                <w:sz w:val="24"/>
                <w:szCs w:val="24"/>
              </w:rPr>
            </w:pPr>
            <w:r>
              <w:rPr>
                <w:rFonts w:hint="eastAsia" w:ascii="仿宋" w:hAnsi="仿宋" w:eastAsia="仿宋" w:cs="仿宋"/>
                <w:sz w:val="24"/>
                <w:szCs w:val="24"/>
              </w:rPr>
              <w:t>本课程是普通高等学校音乐学本科专业的专业必修课程，是培养学生对基本的歌曲写作基本能力的一门课程，本书有两大突出特色：一是本书采用简谱写作；二是强调基础，注重“词曲关系”的结合，强调“旋律发展手法”“乐段结构的歌曲写作”“单二部歌曲的写作”等章节，强调由简到繁的解析和循序渐进的学习。</w:t>
            </w:r>
          </w:p>
        </w:tc>
      </w:tr>
      <w:tr w14:paraId="2AE58B1A">
        <w:trPr>
          <w:trHeight w:val="624" w:hRule="atLeast"/>
        </w:trPr>
        <w:tc>
          <w:tcPr>
            <w:tcW w:w="1431" w:type="dxa"/>
            <w:vMerge w:val="restart"/>
            <w:shd w:val="clear" w:color="auto" w:fill="FFFFFF"/>
            <w:noWrap w:val="0"/>
            <w:vAlign w:val="center"/>
          </w:tcPr>
          <w:p w14:paraId="44E5CE9D">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E</w:t>
            </w:r>
          </w:p>
          <w:p w14:paraId="6CDAE09A">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课程学习目标及其与毕业要求的对应关系</w:t>
            </w:r>
          </w:p>
        </w:tc>
        <w:tc>
          <w:tcPr>
            <w:tcW w:w="7717" w:type="dxa"/>
            <w:gridSpan w:val="14"/>
            <w:tcBorders>
              <w:bottom w:val="single" w:color="auto" w:sz="4" w:space="0"/>
            </w:tcBorders>
            <w:shd w:val="clear" w:color="auto" w:fill="FFFFFF"/>
            <w:noWrap w:val="0"/>
            <w:vAlign w:val="center"/>
          </w:tcPr>
          <w:p w14:paraId="73254B30">
            <w:pPr>
              <w:adjustRightInd w:val="0"/>
              <w:snapToGrid w:val="0"/>
              <w:rPr>
                <w:rFonts w:ascii="仿宋" w:hAnsi="仿宋" w:eastAsia="仿宋" w:cs="仿宋"/>
                <w:sz w:val="24"/>
                <w:szCs w:val="24"/>
                <w:lang w:eastAsia="zh-TW"/>
              </w:rPr>
            </w:pPr>
            <w:r>
              <w:rPr>
                <w:rFonts w:hint="eastAsia" w:ascii="仿宋" w:hAnsi="仿宋" w:eastAsia="仿宋" w:cs="仿宋"/>
                <w:sz w:val="24"/>
                <w:szCs w:val="24"/>
              </w:rPr>
              <w:t>通过本课程的学习，学生具备如下知识、能力及情感态度价值观：</w:t>
            </w:r>
          </w:p>
          <w:p w14:paraId="2CBE67C8">
            <w:pPr>
              <w:adjustRightInd w:val="0"/>
              <w:snapToGrid w:val="0"/>
              <w:rPr>
                <w:rFonts w:ascii="仿宋" w:hAnsi="仿宋" w:eastAsia="仿宋" w:cs="仿宋"/>
                <w:sz w:val="24"/>
                <w:szCs w:val="24"/>
              </w:rPr>
            </w:pPr>
            <w:r>
              <w:rPr>
                <w:rFonts w:hint="eastAsia" w:ascii="仿宋" w:hAnsi="仿宋" w:eastAsia="仿宋" w:cs="仿宋"/>
                <w:sz w:val="24"/>
                <w:szCs w:val="24"/>
              </w:rPr>
              <w:t>课程目标1.能够初步掌握歌曲作法的理论知识，歌曲作法中的基本术语；能够系统掌握正确，规范的写作方法。（支撑毕业要求3.1）</w:t>
            </w:r>
          </w:p>
          <w:p w14:paraId="43AFC463">
            <w:pPr>
              <w:adjustRightInd w:val="0"/>
              <w:snapToGrid w:val="0"/>
              <w:rPr>
                <w:rFonts w:ascii="仿宋" w:hAnsi="仿宋" w:eastAsia="仿宋" w:cs="仿宋"/>
                <w:sz w:val="24"/>
                <w:szCs w:val="24"/>
              </w:rPr>
            </w:pPr>
            <w:r>
              <w:rPr>
                <w:rFonts w:hint="eastAsia" w:ascii="仿宋" w:hAnsi="仿宋" w:eastAsia="仿宋" w:cs="仿宋"/>
                <w:sz w:val="24"/>
                <w:szCs w:val="24"/>
              </w:rPr>
              <w:t>课程目标2：了解学科发展动态，熟悉歌曲作法课堂教学的基本规律与方法，初步具备用旋律特征进行歌曲编写</w:t>
            </w:r>
            <w:r>
              <w:rPr>
                <w:rFonts w:hint="eastAsia" w:ascii="仿宋" w:hAnsi="仿宋" w:eastAsia="仿宋" w:cs="仿宋"/>
                <w:sz w:val="24"/>
                <w:szCs w:val="24"/>
                <w:lang w:eastAsia="zh-Hans"/>
              </w:rPr>
              <w:t>的能力</w:t>
            </w:r>
            <w:r>
              <w:rPr>
                <w:rFonts w:hint="eastAsia" w:ascii="仿宋" w:hAnsi="仿宋" w:eastAsia="仿宋" w:cs="仿宋"/>
                <w:sz w:val="24"/>
                <w:szCs w:val="24"/>
              </w:rPr>
              <w:t>。（支撑毕业要求4.1）</w:t>
            </w:r>
          </w:p>
          <w:p w14:paraId="4019EAB2">
            <w:pPr>
              <w:adjustRightInd w:val="0"/>
              <w:snapToGrid w:val="0"/>
              <w:rPr>
                <w:rFonts w:ascii="仿宋" w:hAnsi="仿宋" w:eastAsia="仿宋" w:cs="仿宋"/>
                <w:sz w:val="24"/>
                <w:szCs w:val="24"/>
              </w:rPr>
            </w:pPr>
            <w:r>
              <w:rPr>
                <w:rFonts w:hint="eastAsia" w:ascii="仿宋" w:hAnsi="仿宋" w:eastAsia="仿宋" w:cs="仿宋"/>
                <w:sz w:val="24"/>
                <w:szCs w:val="24"/>
              </w:rPr>
              <w:t>课程目标3：在学习</w:t>
            </w:r>
            <w:r>
              <w:rPr>
                <w:rFonts w:hint="eastAsia" w:ascii="仿宋" w:hAnsi="仿宋" w:eastAsia="仿宋" w:cs="仿宋"/>
                <w:sz w:val="24"/>
                <w:szCs w:val="24"/>
                <w:lang w:eastAsia="zh-Hans"/>
              </w:rPr>
              <w:t>过程中具有反思意识</w:t>
            </w:r>
            <w:r>
              <w:rPr>
                <w:rFonts w:ascii="仿宋" w:hAnsi="仿宋" w:eastAsia="仿宋" w:cs="仿宋"/>
                <w:sz w:val="24"/>
                <w:szCs w:val="24"/>
                <w:lang w:eastAsia="zh-Hans"/>
              </w:rPr>
              <w:t>，</w:t>
            </w:r>
            <w:r>
              <w:rPr>
                <w:rFonts w:hint="eastAsia" w:ascii="仿宋" w:hAnsi="仿宋" w:eastAsia="仿宋" w:cs="仿宋"/>
                <w:sz w:val="24"/>
                <w:szCs w:val="24"/>
                <w:lang w:eastAsia="zh-Hans"/>
              </w:rPr>
              <w:t>掌握反思的基本方法</w:t>
            </w:r>
            <w:r>
              <w:rPr>
                <w:rFonts w:ascii="仿宋" w:hAnsi="仿宋" w:eastAsia="仿宋" w:cs="仿宋"/>
                <w:sz w:val="24"/>
                <w:szCs w:val="24"/>
                <w:lang w:eastAsia="zh-Hans"/>
              </w:rPr>
              <w:t>，</w:t>
            </w:r>
            <w:r>
              <w:rPr>
                <w:rFonts w:hint="eastAsia" w:ascii="仿宋" w:hAnsi="仿宋" w:eastAsia="仿宋" w:cs="仿宋"/>
                <w:sz w:val="24"/>
                <w:szCs w:val="24"/>
                <w:lang w:eastAsia="zh-Hans"/>
              </w:rPr>
              <w:t>在歌曲创作中能够进行自我诊断不断改进</w:t>
            </w:r>
            <w:r>
              <w:rPr>
                <w:rFonts w:ascii="仿宋" w:hAnsi="仿宋" w:eastAsia="仿宋" w:cs="仿宋"/>
                <w:sz w:val="24"/>
                <w:szCs w:val="24"/>
                <w:lang w:eastAsia="zh-Hans"/>
              </w:rPr>
              <w:t>。</w:t>
            </w:r>
            <w:r>
              <w:rPr>
                <w:rFonts w:hint="eastAsia" w:ascii="仿宋" w:hAnsi="仿宋" w:eastAsia="仿宋" w:cs="仿宋"/>
                <w:sz w:val="24"/>
                <w:szCs w:val="24"/>
              </w:rPr>
              <w:t>（支撑毕业要求7.1）</w:t>
            </w:r>
          </w:p>
        </w:tc>
      </w:tr>
      <w:tr w14:paraId="5B417357">
        <w:trPr>
          <w:trHeight w:val="624" w:hRule="atLeast"/>
        </w:trPr>
        <w:tc>
          <w:tcPr>
            <w:tcW w:w="1431" w:type="dxa"/>
            <w:vMerge w:val="continue"/>
            <w:shd w:val="clear" w:color="auto" w:fill="FFFFFF"/>
            <w:noWrap w:val="0"/>
            <w:vAlign w:val="center"/>
          </w:tcPr>
          <w:p w14:paraId="50E7100A">
            <w:pPr>
              <w:adjustRightInd w:val="0"/>
              <w:snapToGrid w:val="0"/>
              <w:spacing w:line="240" w:lineRule="atLeast"/>
              <w:jc w:val="center"/>
              <w:rPr>
                <w:rFonts w:ascii="仿宋" w:hAnsi="仿宋" w:eastAsia="仿宋" w:cs="仿宋"/>
                <w:sz w:val="24"/>
                <w:szCs w:val="24"/>
              </w:rPr>
            </w:pPr>
          </w:p>
        </w:tc>
        <w:tc>
          <w:tcPr>
            <w:tcW w:w="2221" w:type="dxa"/>
            <w:gridSpan w:val="3"/>
            <w:tcBorders>
              <w:bottom w:val="single" w:color="auto" w:sz="4" w:space="0"/>
            </w:tcBorders>
            <w:shd w:val="clear" w:color="auto" w:fill="FFFFFF"/>
            <w:noWrap w:val="0"/>
            <w:vAlign w:val="center"/>
          </w:tcPr>
          <w:p w14:paraId="758F1485">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课程目标</w:t>
            </w:r>
          </w:p>
        </w:tc>
        <w:tc>
          <w:tcPr>
            <w:tcW w:w="4206" w:type="dxa"/>
            <w:gridSpan w:val="9"/>
            <w:tcBorders>
              <w:bottom w:val="single" w:color="auto" w:sz="4" w:space="0"/>
            </w:tcBorders>
            <w:shd w:val="clear" w:color="auto" w:fill="FFFFFF"/>
            <w:noWrap w:val="0"/>
            <w:vAlign w:val="center"/>
          </w:tcPr>
          <w:p w14:paraId="16F30F9C">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毕业要求分解指标点</w:t>
            </w:r>
          </w:p>
        </w:tc>
        <w:tc>
          <w:tcPr>
            <w:tcW w:w="1290" w:type="dxa"/>
            <w:gridSpan w:val="2"/>
            <w:tcBorders>
              <w:bottom w:val="single" w:color="auto" w:sz="4" w:space="0"/>
            </w:tcBorders>
            <w:shd w:val="clear" w:color="auto" w:fill="FFFFFF"/>
            <w:noWrap w:val="0"/>
            <w:vAlign w:val="center"/>
          </w:tcPr>
          <w:p w14:paraId="3C0C2464">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毕业要求</w:t>
            </w:r>
          </w:p>
        </w:tc>
      </w:tr>
      <w:tr w14:paraId="1B42969E">
        <w:trPr>
          <w:trHeight w:val="624" w:hRule="atLeast"/>
        </w:trPr>
        <w:tc>
          <w:tcPr>
            <w:tcW w:w="1431" w:type="dxa"/>
            <w:vMerge w:val="continue"/>
            <w:shd w:val="clear" w:color="auto" w:fill="FFFFFF"/>
            <w:noWrap w:val="0"/>
            <w:vAlign w:val="center"/>
          </w:tcPr>
          <w:p w14:paraId="0339FD69">
            <w:pPr>
              <w:adjustRightInd w:val="0"/>
              <w:snapToGrid w:val="0"/>
              <w:spacing w:line="240" w:lineRule="atLeast"/>
              <w:jc w:val="center"/>
              <w:rPr>
                <w:rFonts w:ascii="仿宋" w:hAnsi="仿宋" w:eastAsia="仿宋" w:cs="仿宋"/>
                <w:sz w:val="24"/>
                <w:szCs w:val="24"/>
              </w:rPr>
            </w:pPr>
          </w:p>
        </w:tc>
        <w:tc>
          <w:tcPr>
            <w:tcW w:w="2221" w:type="dxa"/>
            <w:gridSpan w:val="3"/>
            <w:tcBorders>
              <w:bottom w:val="single" w:color="auto" w:sz="4" w:space="0"/>
            </w:tcBorders>
            <w:shd w:val="clear" w:color="auto" w:fill="FFFFFF"/>
            <w:noWrap w:val="0"/>
            <w:vAlign w:val="center"/>
          </w:tcPr>
          <w:p w14:paraId="2223B915">
            <w:pPr>
              <w:adjustRightInd w:val="0"/>
              <w:snapToGrid w:val="0"/>
              <w:jc w:val="center"/>
              <w:rPr>
                <w:rFonts w:ascii="仿宋" w:hAnsi="仿宋" w:eastAsia="仿宋" w:cs="仿宋"/>
                <w:sz w:val="24"/>
                <w:szCs w:val="24"/>
              </w:rPr>
            </w:pPr>
            <w:r>
              <w:rPr>
                <w:rFonts w:hint="eastAsia" w:ascii="仿宋" w:hAnsi="仿宋" w:eastAsia="仿宋" w:cs="仿宋"/>
                <w:sz w:val="24"/>
                <w:szCs w:val="24"/>
              </w:rPr>
              <w:t>课程目标1</w:t>
            </w:r>
          </w:p>
          <w:p w14:paraId="30773739">
            <w:pPr>
              <w:adjustRightInd w:val="0"/>
              <w:snapToGrid w:val="0"/>
              <w:jc w:val="center"/>
              <w:rPr>
                <w:rFonts w:ascii="仿宋" w:hAnsi="仿宋" w:eastAsia="仿宋" w:cs="仿宋"/>
                <w:sz w:val="24"/>
                <w:szCs w:val="24"/>
              </w:rPr>
            </w:pPr>
          </w:p>
        </w:tc>
        <w:tc>
          <w:tcPr>
            <w:tcW w:w="4206" w:type="dxa"/>
            <w:gridSpan w:val="9"/>
            <w:shd w:val="clear" w:color="auto" w:fill="FFFFFF"/>
            <w:noWrap w:val="0"/>
            <w:vAlign w:val="center"/>
          </w:tcPr>
          <w:p w14:paraId="580FECA6">
            <w:pPr>
              <w:adjustRightInd w:val="0"/>
              <w:snapToGrid w:val="0"/>
              <w:rPr>
                <w:rFonts w:ascii="仿宋" w:hAnsi="仿宋" w:eastAsia="仿宋" w:cs="仿宋"/>
                <w:sz w:val="24"/>
                <w:szCs w:val="24"/>
              </w:rPr>
            </w:pPr>
            <w:r>
              <w:rPr>
                <w:rFonts w:hint="eastAsia" w:ascii="仿宋" w:hAnsi="仿宋" w:eastAsia="仿宋" w:cs="仿宋"/>
                <w:sz w:val="24"/>
                <w:szCs w:val="24"/>
              </w:rPr>
              <w:t>3.1【专业技能】掌握音乐学科技法技能多项基本功，掌握音乐学科基础知识、基本理论、体系结构与思想方法，理解音乐学科的核心素养的内涵</w:t>
            </w:r>
            <w:r>
              <w:rPr>
                <w:rFonts w:ascii="仿宋" w:hAnsi="仿宋" w:eastAsia="仿宋" w:cs="仿宋"/>
                <w:sz w:val="24"/>
                <w:szCs w:val="24"/>
              </w:rPr>
              <w:t>，</w:t>
            </w:r>
            <w:r>
              <w:rPr>
                <w:rFonts w:hint="eastAsia" w:ascii="仿宋" w:hAnsi="仿宋" w:eastAsia="仿宋" w:cs="仿宋"/>
                <w:sz w:val="24"/>
                <w:szCs w:val="24"/>
              </w:rPr>
              <w:t>形成音乐学科核心素养。</w:t>
            </w:r>
          </w:p>
        </w:tc>
        <w:tc>
          <w:tcPr>
            <w:tcW w:w="1290" w:type="dxa"/>
            <w:gridSpan w:val="2"/>
            <w:shd w:val="clear" w:color="auto" w:fill="FFFFFF"/>
            <w:noWrap w:val="0"/>
            <w:vAlign w:val="center"/>
          </w:tcPr>
          <w:p w14:paraId="2C6AD4CA">
            <w:pPr>
              <w:adjustRightInd w:val="0"/>
              <w:snapToGrid w:val="0"/>
              <w:jc w:val="center"/>
              <w:rPr>
                <w:rFonts w:ascii="仿宋" w:hAnsi="仿宋" w:eastAsia="仿宋" w:cs="仿宋"/>
                <w:sz w:val="24"/>
                <w:szCs w:val="24"/>
              </w:rPr>
            </w:pPr>
            <w:r>
              <w:rPr>
                <w:rFonts w:hint="eastAsia" w:ascii="仿宋" w:hAnsi="仿宋" w:eastAsia="仿宋" w:cs="仿宋"/>
                <w:sz w:val="24"/>
                <w:szCs w:val="24"/>
              </w:rPr>
              <w:t>学科素养</w:t>
            </w:r>
          </w:p>
          <w:p w14:paraId="55F141EB">
            <w:pPr>
              <w:adjustRightInd w:val="0"/>
              <w:snapToGrid w:val="0"/>
              <w:jc w:val="center"/>
              <w:rPr>
                <w:rFonts w:ascii="仿宋" w:hAnsi="仿宋" w:eastAsia="仿宋" w:cs="仿宋"/>
                <w:sz w:val="24"/>
                <w:szCs w:val="24"/>
              </w:rPr>
            </w:pPr>
            <w:r>
              <w:rPr>
                <w:rFonts w:ascii="仿宋" w:hAnsi="仿宋" w:eastAsia="仿宋" w:cs="仿宋"/>
                <w:sz w:val="24"/>
                <w:szCs w:val="24"/>
              </w:rPr>
              <w:t>（</w:t>
            </w:r>
            <w:r>
              <w:rPr>
                <w:rFonts w:hint="eastAsia" w:ascii="仿宋" w:hAnsi="仿宋" w:eastAsia="仿宋" w:cs="仿宋"/>
                <w:sz w:val="24"/>
                <w:szCs w:val="24"/>
              </w:rPr>
              <w:t>H）</w:t>
            </w:r>
          </w:p>
        </w:tc>
      </w:tr>
      <w:tr w14:paraId="69C5AE8B">
        <w:trPr>
          <w:trHeight w:val="624" w:hRule="atLeast"/>
        </w:trPr>
        <w:tc>
          <w:tcPr>
            <w:tcW w:w="1431" w:type="dxa"/>
            <w:vMerge w:val="continue"/>
            <w:shd w:val="clear" w:color="auto" w:fill="FFFFFF"/>
            <w:noWrap w:val="0"/>
            <w:vAlign w:val="center"/>
          </w:tcPr>
          <w:p w14:paraId="02A3D821">
            <w:pPr>
              <w:adjustRightInd w:val="0"/>
              <w:snapToGrid w:val="0"/>
              <w:spacing w:line="240" w:lineRule="atLeast"/>
              <w:jc w:val="center"/>
              <w:rPr>
                <w:rFonts w:ascii="仿宋" w:hAnsi="仿宋" w:eastAsia="仿宋" w:cs="仿宋"/>
                <w:sz w:val="24"/>
                <w:szCs w:val="24"/>
              </w:rPr>
            </w:pPr>
          </w:p>
        </w:tc>
        <w:tc>
          <w:tcPr>
            <w:tcW w:w="2221" w:type="dxa"/>
            <w:gridSpan w:val="3"/>
            <w:shd w:val="clear" w:color="auto" w:fill="FFFFFF"/>
            <w:noWrap w:val="0"/>
            <w:vAlign w:val="center"/>
          </w:tcPr>
          <w:p w14:paraId="6BD1E97D">
            <w:pPr>
              <w:adjustRightInd w:val="0"/>
              <w:snapToGrid w:val="0"/>
              <w:jc w:val="center"/>
              <w:rPr>
                <w:rFonts w:ascii="仿宋" w:hAnsi="仿宋" w:eastAsia="仿宋" w:cs="仿宋"/>
                <w:sz w:val="24"/>
                <w:szCs w:val="24"/>
              </w:rPr>
            </w:pPr>
            <w:r>
              <w:rPr>
                <w:rFonts w:hint="eastAsia" w:ascii="仿宋" w:hAnsi="仿宋" w:eastAsia="仿宋" w:cs="仿宋"/>
                <w:sz w:val="24"/>
                <w:szCs w:val="24"/>
              </w:rPr>
              <w:t>课程目标</w:t>
            </w:r>
            <w:r>
              <w:rPr>
                <w:rFonts w:ascii="仿宋" w:hAnsi="仿宋" w:eastAsia="仿宋" w:cs="仿宋"/>
                <w:sz w:val="24"/>
                <w:szCs w:val="24"/>
              </w:rPr>
              <w:t>2</w:t>
            </w:r>
          </w:p>
          <w:p w14:paraId="052DA579">
            <w:pPr>
              <w:adjustRightInd w:val="0"/>
              <w:snapToGrid w:val="0"/>
              <w:jc w:val="center"/>
              <w:rPr>
                <w:rFonts w:ascii="仿宋" w:hAnsi="仿宋" w:eastAsia="仿宋" w:cs="仿宋"/>
                <w:sz w:val="24"/>
                <w:szCs w:val="24"/>
              </w:rPr>
            </w:pPr>
          </w:p>
        </w:tc>
        <w:tc>
          <w:tcPr>
            <w:tcW w:w="4206" w:type="dxa"/>
            <w:gridSpan w:val="9"/>
            <w:shd w:val="clear" w:color="auto" w:fill="FFFFFF"/>
            <w:noWrap w:val="0"/>
            <w:vAlign w:val="center"/>
          </w:tcPr>
          <w:p w14:paraId="13A6DD4E">
            <w:pPr>
              <w:adjustRightInd w:val="0"/>
              <w:snapToGrid w:val="0"/>
              <w:rPr>
                <w:rFonts w:ascii="仿宋" w:hAnsi="仿宋" w:eastAsia="仿宋" w:cs="仿宋"/>
                <w:sz w:val="24"/>
                <w:szCs w:val="24"/>
              </w:rPr>
            </w:pPr>
            <w:r>
              <w:rPr>
                <w:rFonts w:hint="eastAsia" w:ascii="仿宋" w:hAnsi="仿宋" w:eastAsia="仿宋" w:cs="仿宋"/>
                <w:sz w:val="24"/>
                <w:szCs w:val="24"/>
              </w:rPr>
              <w:t xml:space="preserve">4.1【教学设计与实施】熟悉中学音乐课程标准和教材，能够正确处理课标和教材的关系，科学合理地进行教学设计并实施教学，准确把握教学内容，分析学情，合理安排教学过程和环节，科学设计评价内容和方式，根据学生音乐认知的特征和个体差异，注重差异化教学。课后能够及时反思、总结形成初步的教研能力。 </w:t>
            </w:r>
          </w:p>
        </w:tc>
        <w:tc>
          <w:tcPr>
            <w:tcW w:w="1290" w:type="dxa"/>
            <w:gridSpan w:val="2"/>
            <w:shd w:val="clear" w:color="auto" w:fill="FFFFFF"/>
            <w:noWrap w:val="0"/>
            <w:vAlign w:val="center"/>
          </w:tcPr>
          <w:p w14:paraId="6E4C6841">
            <w:pPr>
              <w:adjustRightInd w:val="0"/>
              <w:snapToGrid w:val="0"/>
              <w:jc w:val="center"/>
              <w:rPr>
                <w:rFonts w:ascii="仿宋" w:hAnsi="仿宋" w:eastAsia="仿宋" w:cs="仿宋"/>
                <w:sz w:val="24"/>
                <w:szCs w:val="24"/>
              </w:rPr>
            </w:pPr>
            <w:r>
              <w:rPr>
                <w:rFonts w:hint="eastAsia" w:ascii="仿宋" w:hAnsi="仿宋" w:eastAsia="仿宋" w:cs="仿宋"/>
                <w:sz w:val="24"/>
                <w:szCs w:val="24"/>
                <w:lang w:val="en-US" w:eastAsia="zh-CN"/>
              </w:rPr>
              <w:t>综合育人</w:t>
            </w:r>
            <w:r>
              <w:rPr>
                <w:rFonts w:hint="eastAsia" w:ascii="仿宋" w:hAnsi="仿宋" w:eastAsia="仿宋" w:cs="仿宋"/>
                <w:sz w:val="24"/>
                <w:szCs w:val="24"/>
              </w:rPr>
              <w:t>（M)</w:t>
            </w:r>
          </w:p>
        </w:tc>
      </w:tr>
      <w:tr w14:paraId="3C6CF203">
        <w:trPr>
          <w:trHeight w:val="624" w:hRule="atLeast"/>
        </w:trPr>
        <w:tc>
          <w:tcPr>
            <w:tcW w:w="1431" w:type="dxa"/>
            <w:vMerge w:val="continue"/>
            <w:shd w:val="clear" w:color="auto" w:fill="FFFFFF"/>
            <w:noWrap w:val="0"/>
            <w:vAlign w:val="center"/>
          </w:tcPr>
          <w:p w14:paraId="5162405F">
            <w:pPr>
              <w:adjustRightInd w:val="0"/>
              <w:snapToGrid w:val="0"/>
              <w:spacing w:line="240" w:lineRule="atLeast"/>
              <w:jc w:val="center"/>
              <w:rPr>
                <w:rFonts w:ascii="仿宋" w:hAnsi="仿宋" w:eastAsia="仿宋" w:cs="仿宋"/>
                <w:sz w:val="24"/>
                <w:szCs w:val="24"/>
              </w:rPr>
            </w:pPr>
          </w:p>
        </w:tc>
        <w:tc>
          <w:tcPr>
            <w:tcW w:w="2221" w:type="dxa"/>
            <w:gridSpan w:val="3"/>
            <w:tcBorders>
              <w:bottom w:val="single" w:color="auto" w:sz="4" w:space="0"/>
            </w:tcBorders>
            <w:shd w:val="clear" w:color="auto" w:fill="FFFFFF"/>
            <w:noWrap w:val="0"/>
            <w:vAlign w:val="center"/>
          </w:tcPr>
          <w:p w14:paraId="1FA221F6">
            <w:pPr>
              <w:adjustRightInd w:val="0"/>
              <w:snapToGrid w:val="0"/>
              <w:jc w:val="center"/>
              <w:rPr>
                <w:rFonts w:ascii="仿宋" w:hAnsi="仿宋" w:eastAsia="仿宋" w:cs="仿宋"/>
                <w:sz w:val="24"/>
                <w:szCs w:val="24"/>
              </w:rPr>
            </w:pPr>
            <w:r>
              <w:rPr>
                <w:rFonts w:hint="eastAsia" w:ascii="仿宋" w:hAnsi="仿宋" w:eastAsia="仿宋" w:cs="仿宋"/>
                <w:sz w:val="24"/>
                <w:szCs w:val="24"/>
              </w:rPr>
              <w:t>课程目标</w:t>
            </w:r>
            <w:r>
              <w:rPr>
                <w:rFonts w:ascii="仿宋" w:hAnsi="仿宋" w:eastAsia="仿宋" w:cs="仿宋"/>
                <w:sz w:val="24"/>
                <w:szCs w:val="24"/>
              </w:rPr>
              <w:t>3</w:t>
            </w:r>
          </w:p>
          <w:p w14:paraId="17E7C1E9">
            <w:pPr>
              <w:adjustRightInd w:val="0"/>
              <w:snapToGrid w:val="0"/>
              <w:jc w:val="center"/>
              <w:rPr>
                <w:rFonts w:ascii="仿宋" w:hAnsi="仿宋" w:eastAsia="仿宋" w:cs="仿宋"/>
                <w:sz w:val="24"/>
                <w:szCs w:val="24"/>
              </w:rPr>
            </w:pPr>
          </w:p>
        </w:tc>
        <w:tc>
          <w:tcPr>
            <w:tcW w:w="4206" w:type="dxa"/>
            <w:gridSpan w:val="9"/>
            <w:tcBorders>
              <w:bottom w:val="single" w:color="auto" w:sz="4" w:space="0"/>
            </w:tcBorders>
            <w:shd w:val="clear" w:color="auto" w:fill="FFFFFF"/>
            <w:noWrap w:val="0"/>
            <w:vAlign w:val="center"/>
          </w:tcPr>
          <w:p w14:paraId="58F2CEE5">
            <w:pPr>
              <w:adjustRightInd w:val="0"/>
              <w:snapToGrid w:val="0"/>
              <w:rPr>
                <w:rFonts w:ascii="仿宋" w:hAnsi="仿宋" w:eastAsia="仿宋" w:cs="仿宋"/>
                <w:sz w:val="24"/>
                <w:szCs w:val="24"/>
              </w:rPr>
            </w:pPr>
            <w:r>
              <w:rPr>
                <w:rFonts w:hint="eastAsia" w:ascii="仿宋" w:hAnsi="仿宋" w:eastAsia="仿宋" w:cs="仿宋"/>
                <w:sz w:val="24"/>
                <w:szCs w:val="24"/>
              </w:rPr>
              <w:t>7.1【反思改进】具有反思意识和批评性思维素养，初步掌握教育教学反思的基本方法和策略，能够对音乐教育教学实践活动进行有效的自我诊断，提出改进思路。</w:t>
            </w:r>
          </w:p>
        </w:tc>
        <w:tc>
          <w:tcPr>
            <w:tcW w:w="1290" w:type="dxa"/>
            <w:gridSpan w:val="2"/>
            <w:tcBorders>
              <w:bottom w:val="single" w:color="auto" w:sz="4" w:space="0"/>
            </w:tcBorders>
            <w:shd w:val="clear" w:color="auto" w:fill="FFFFFF"/>
            <w:noWrap w:val="0"/>
            <w:vAlign w:val="center"/>
          </w:tcPr>
          <w:p w14:paraId="36ED5AB4">
            <w:pPr>
              <w:adjustRightInd w:val="0"/>
              <w:snapToGrid w:val="0"/>
              <w:jc w:val="center"/>
              <w:rPr>
                <w:rFonts w:ascii="仿宋" w:hAnsi="仿宋" w:eastAsia="仿宋" w:cs="仿宋"/>
                <w:sz w:val="24"/>
                <w:szCs w:val="24"/>
              </w:rPr>
            </w:pPr>
            <w:r>
              <w:rPr>
                <w:rFonts w:hint="eastAsia" w:ascii="仿宋" w:hAnsi="仿宋" w:eastAsia="仿宋" w:cs="仿宋"/>
                <w:sz w:val="24"/>
                <w:szCs w:val="24"/>
              </w:rPr>
              <w:t>学会反思</w:t>
            </w:r>
            <w:r>
              <w:rPr>
                <w:rFonts w:hint="eastAsia" w:ascii="仿宋" w:hAnsi="仿宋" w:eastAsia="仿宋" w:cs="仿宋"/>
                <w:sz w:val="24"/>
                <w:szCs w:val="24"/>
                <w:lang w:eastAsia="zh-CN"/>
              </w:rPr>
              <w:t>（</w:t>
            </w:r>
            <w:r>
              <w:rPr>
                <w:rFonts w:hint="default" w:ascii="仿宋" w:hAnsi="仿宋" w:eastAsia="仿宋" w:cs="仿宋"/>
                <w:sz w:val="24"/>
                <w:szCs w:val="24"/>
                <w:lang w:val="en-US" w:eastAsia="zh-CN"/>
              </w:rPr>
              <w:t>L</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沟通合作</w:t>
            </w:r>
            <w:r>
              <w:rPr>
                <w:rFonts w:ascii="仿宋" w:hAnsi="仿宋" w:eastAsia="仿宋" w:cs="仿宋"/>
                <w:sz w:val="24"/>
                <w:szCs w:val="24"/>
              </w:rPr>
              <w:t>（</w:t>
            </w:r>
            <w:r>
              <w:rPr>
                <w:rFonts w:hint="eastAsia" w:ascii="仿宋" w:hAnsi="仿宋" w:eastAsia="仿宋" w:cs="仿宋"/>
                <w:sz w:val="24"/>
                <w:szCs w:val="24"/>
              </w:rPr>
              <w:t>L）</w:t>
            </w:r>
          </w:p>
        </w:tc>
      </w:tr>
      <w:tr w14:paraId="4C373E70">
        <w:trPr>
          <w:trHeight w:val="624" w:hRule="atLeast"/>
        </w:trPr>
        <w:tc>
          <w:tcPr>
            <w:tcW w:w="1431" w:type="dxa"/>
            <w:vMerge w:val="restart"/>
            <w:shd w:val="clear" w:color="auto" w:fill="FFFFFF"/>
            <w:noWrap w:val="0"/>
            <w:vAlign w:val="center"/>
          </w:tcPr>
          <w:p w14:paraId="6124F526">
            <w:pPr>
              <w:adjustRightInd w:val="0"/>
              <w:snapToGrid w:val="0"/>
              <w:spacing w:line="240" w:lineRule="atLeast"/>
              <w:jc w:val="center"/>
              <w:rPr>
                <w:rFonts w:ascii="仿宋" w:hAnsi="仿宋" w:eastAsia="仿宋" w:cs="仿宋"/>
                <w:sz w:val="24"/>
                <w:szCs w:val="24"/>
              </w:rPr>
            </w:pPr>
          </w:p>
        </w:tc>
        <w:tc>
          <w:tcPr>
            <w:tcW w:w="4988" w:type="dxa"/>
            <w:gridSpan w:val="8"/>
            <w:shd w:val="clear" w:color="auto" w:fill="FFFFFF"/>
            <w:noWrap w:val="0"/>
            <w:vAlign w:val="center"/>
          </w:tcPr>
          <w:p w14:paraId="3D2B242E">
            <w:pPr>
              <w:adjustRightInd w:val="0"/>
              <w:snapToGrid w:val="0"/>
              <w:spacing w:line="240" w:lineRule="atLeast"/>
              <w:jc w:val="center"/>
              <w:textAlignment w:val="baseline"/>
              <w:rPr>
                <w:rFonts w:ascii="仿宋" w:hAnsi="仿宋" w:eastAsia="仿宋" w:cs="仿宋"/>
                <w:sz w:val="24"/>
                <w:szCs w:val="24"/>
              </w:rPr>
            </w:pPr>
            <w:r>
              <w:rPr>
                <w:rFonts w:hint="eastAsia" w:ascii="仿宋" w:hAnsi="仿宋" w:eastAsia="仿宋" w:cs="仿宋"/>
                <w:sz w:val="24"/>
                <w:szCs w:val="24"/>
              </w:rPr>
              <w:t>章节学习内容与学习要求</w:t>
            </w:r>
          </w:p>
        </w:tc>
        <w:tc>
          <w:tcPr>
            <w:tcW w:w="1439" w:type="dxa"/>
            <w:gridSpan w:val="4"/>
            <w:shd w:val="clear" w:color="auto" w:fill="FFFFFF"/>
            <w:noWrap w:val="0"/>
            <w:vAlign w:val="center"/>
          </w:tcPr>
          <w:p w14:paraId="36E38BC3">
            <w:pPr>
              <w:adjustRightInd w:val="0"/>
              <w:snapToGrid w:val="0"/>
              <w:spacing w:line="240" w:lineRule="atLeast"/>
              <w:jc w:val="center"/>
              <w:textAlignment w:val="baseline"/>
              <w:rPr>
                <w:rFonts w:ascii="仿宋" w:hAnsi="仿宋" w:eastAsia="仿宋" w:cs="仿宋"/>
                <w:sz w:val="24"/>
                <w:szCs w:val="24"/>
              </w:rPr>
            </w:pPr>
            <w:r>
              <w:rPr>
                <w:rFonts w:hint="eastAsia" w:ascii="仿宋" w:hAnsi="仿宋" w:eastAsia="仿宋" w:cs="仿宋"/>
                <w:sz w:val="24"/>
                <w:szCs w:val="24"/>
              </w:rPr>
              <w:t>支撑课程</w:t>
            </w:r>
          </w:p>
          <w:p w14:paraId="41F5AF29">
            <w:pPr>
              <w:adjustRightInd w:val="0"/>
              <w:snapToGrid w:val="0"/>
              <w:spacing w:line="240" w:lineRule="atLeast"/>
              <w:jc w:val="center"/>
              <w:textAlignment w:val="baseline"/>
              <w:rPr>
                <w:rFonts w:ascii="仿宋" w:hAnsi="仿宋" w:eastAsia="仿宋" w:cs="仿宋"/>
                <w:sz w:val="24"/>
                <w:szCs w:val="24"/>
              </w:rPr>
            </w:pPr>
            <w:r>
              <w:rPr>
                <w:rFonts w:hint="eastAsia" w:ascii="仿宋" w:hAnsi="仿宋" w:eastAsia="仿宋" w:cs="仿宋"/>
                <w:sz w:val="24"/>
                <w:szCs w:val="24"/>
              </w:rPr>
              <w:t>目标</w:t>
            </w:r>
          </w:p>
        </w:tc>
        <w:tc>
          <w:tcPr>
            <w:tcW w:w="1290" w:type="dxa"/>
            <w:gridSpan w:val="2"/>
            <w:shd w:val="clear" w:color="auto" w:fill="FFFFFF"/>
            <w:noWrap w:val="0"/>
            <w:vAlign w:val="center"/>
          </w:tcPr>
          <w:p w14:paraId="3920547F">
            <w:pPr>
              <w:adjustRightInd w:val="0"/>
              <w:snapToGrid w:val="0"/>
              <w:spacing w:line="240" w:lineRule="atLeast"/>
              <w:jc w:val="center"/>
              <w:textAlignment w:val="baseline"/>
              <w:rPr>
                <w:rFonts w:ascii="仿宋" w:hAnsi="仿宋" w:eastAsia="仿宋" w:cs="仿宋"/>
                <w:sz w:val="24"/>
                <w:szCs w:val="24"/>
              </w:rPr>
            </w:pPr>
            <w:r>
              <w:rPr>
                <w:rFonts w:hint="eastAsia" w:ascii="仿宋" w:hAnsi="仿宋" w:eastAsia="仿宋" w:cs="仿宋"/>
                <w:sz w:val="24"/>
                <w:szCs w:val="24"/>
              </w:rPr>
              <w:t>学时</w:t>
            </w:r>
          </w:p>
          <w:p w14:paraId="1454193E">
            <w:pPr>
              <w:adjustRightInd w:val="0"/>
              <w:snapToGrid w:val="0"/>
              <w:spacing w:line="240" w:lineRule="atLeast"/>
              <w:jc w:val="center"/>
              <w:textAlignment w:val="baseline"/>
              <w:rPr>
                <w:rFonts w:ascii="仿宋" w:hAnsi="仿宋" w:eastAsia="仿宋" w:cs="仿宋"/>
                <w:sz w:val="24"/>
                <w:szCs w:val="24"/>
              </w:rPr>
            </w:pPr>
            <w:r>
              <w:rPr>
                <w:rFonts w:hint="eastAsia" w:ascii="仿宋" w:hAnsi="仿宋" w:eastAsia="仿宋" w:cs="仿宋"/>
                <w:sz w:val="24"/>
                <w:szCs w:val="24"/>
              </w:rPr>
              <w:t>分配</w:t>
            </w:r>
          </w:p>
        </w:tc>
      </w:tr>
      <w:tr w14:paraId="77D51EEB">
        <w:trPr>
          <w:trHeight w:val="624" w:hRule="atLeast"/>
        </w:trPr>
        <w:tc>
          <w:tcPr>
            <w:tcW w:w="1431" w:type="dxa"/>
            <w:vMerge w:val="continue"/>
            <w:shd w:val="clear" w:color="auto" w:fill="FFFFFF"/>
            <w:noWrap w:val="0"/>
            <w:vAlign w:val="center"/>
          </w:tcPr>
          <w:p w14:paraId="16BE2C51">
            <w:pPr>
              <w:adjustRightInd w:val="0"/>
              <w:snapToGrid w:val="0"/>
              <w:spacing w:line="240" w:lineRule="atLeast"/>
              <w:jc w:val="right"/>
              <w:rPr>
                <w:rFonts w:ascii="仿宋" w:hAnsi="仿宋" w:eastAsia="仿宋" w:cs="仿宋"/>
                <w:sz w:val="24"/>
                <w:szCs w:val="24"/>
              </w:rPr>
            </w:pPr>
          </w:p>
        </w:tc>
        <w:tc>
          <w:tcPr>
            <w:tcW w:w="4988" w:type="dxa"/>
            <w:gridSpan w:val="8"/>
            <w:shd w:val="clear" w:color="auto" w:fill="auto"/>
            <w:noWrap w:val="0"/>
            <w:vAlign w:val="center"/>
          </w:tcPr>
          <w:p w14:paraId="27D90774">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第一章：歌词</w:t>
            </w:r>
          </w:p>
          <w:p w14:paraId="6FDA3CC3">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知道层次：了解歌词的含义</w:t>
            </w:r>
          </w:p>
          <w:p w14:paraId="2014829E">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领会层次：掌握歌词的叙述情感</w:t>
            </w:r>
          </w:p>
          <w:p w14:paraId="19A3D754">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应用层次：熟练运用歌词的含义来进行歌词的修改</w:t>
            </w:r>
          </w:p>
        </w:tc>
        <w:tc>
          <w:tcPr>
            <w:tcW w:w="1439" w:type="dxa"/>
            <w:gridSpan w:val="4"/>
            <w:shd w:val="clear" w:color="auto" w:fill="auto"/>
            <w:noWrap w:val="0"/>
            <w:vAlign w:val="center"/>
          </w:tcPr>
          <w:p w14:paraId="3F55F0FB">
            <w:pPr>
              <w:widowControl/>
              <w:adjustRightInd w:val="0"/>
              <w:snapToGrid w:val="0"/>
              <w:jc w:val="center"/>
              <w:rPr>
                <w:rFonts w:ascii="仿宋" w:hAnsi="仿宋" w:eastAsia="仿宋" w:cs="仿宋"/>
                <w:bCs/>
                <w:sz w:val="24"/>
                <w:szCs w:val="24"/>
              </w:rPr>
            </w:pPr>
            <w:r>
              <w:rPr>
                <w:rFonts w:hint="eastAsia" w:ascii="仿宋" w:hAnsi="仿宋" w:eastAsia="仿宋" w:cs="仿宋"/>
                <w:bCs/>
                <w:sz w:val="24"/>
                <w:szCs w:val="24"/>
              </w:rPr>
              <w:t>支撑课程目标1、2、3</w:t>
            </w:r>
          </w:p>
        </w:tc>
        <w:tc>
          <w:tcPr>
            <w:tcW w:w="1290" w:type="dxa"/>
            <w:gridSpan w:val="2"/>
            <w:shd w:val="clear" w:color="auto" w:fill="FFFFFF"/>
            <w:noWrap w:val="0"/>
            <w:vAlign w:val="center"/>
          </w:tcPr>
          <w:p w14:paraId="08215C54">
            <w:pPr>
              <w:adjustRightInd w:val="0"/>
              <w:snapToGrid w:val="0"/>
              <w:jc w:val="center"/>
              <w:rPr>
                <w:rFonts w:ascii="仿宋" w:hAnsi="仿宋" w:eastAsia="仿宋" w:cs="仿宋"/>
                <w:sz w:val="24"/>
                <w:szCs w:val="24"/>
              </w:rPr>
            </w:pPr>
            <w:r>
              <w:rPr>
                <w:rFonts w:hint="eastAsia" w:ascii="仿宋" w:hAnsi="仿宋" w:eastAsia="仿宋" w:cs="仿宋"/>
                <w:sz w:val="24"/>
                <w:szCs w:val="24"/>
              </w:rPr>
              <w:t>2</w:t>
            </w:r>
          </w:p>
        </w:tc>
      </w:tr>
      <w:tr w14:paraId="77B51BE7">
        <w:trPr>
          <w:trHeight w:val="624" w:hRule="atLeast"/>
        </w:trPr>
        <w:tc>
          <w:tcPr>
            <w:tcW w:w="1431" w:type="dxa"/>
            <w:vMerge w:val="continue"/>
            <w:shd w:val="clear" w:color="auto" w:fill="FFFFFF"/>
            <w:noWrap w:val="0"/>
            <w:vAlign w:val="center"/>
          </w:tcPr>
          <w:p w14:paraId="7E8943F3">
            <w:pPr>
              <w:adjustRightInd w:val="0"/>
              <w:snapToGrid w:val="0"/>
              <w:spacing w:line="240" w:lineRule="atLeast"/>
              <w:jc w:val="right"/>
              <w:rPr>
                <w:rFonts w:ascii="仿宋" w:hAnsi="仿宋" w:eastAsia="仿宋" w:cs="仿宋"/>
                <w:sz w:val="24"/>
                <w:szCs w:val="24"/>
              </w:rPr>
            </w:pPr>
          </w:p>
        </w:tc>
        <w:tc>
          <w:tcPr>
            <w:tcW w:w="4988" w:type="dxa"/>
            <w:gridSpan w:val="8"/>
            <w:shd w:val="clear" w:color="auto" w:fill="auto"/>
            <w:noWrap w:val="0"/>
            <w:vAlign w:val="center"/>
          </w:tcPr>
          <w:p w14:paraId="76C15BAA">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第三章：词曲关系</w:t>
            </w:r>
          </w:p>
          <w:p w14:paraId="4C6C5690">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知道层次：了解词与曲的含义</w:t>
            </w:r>
          </w:p>
          <w:p w14:paraId="71460E2F">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领会层次：掌握词与曲的特征</w:t>
            </w:r>
          </w:p>
          <w:p w14:paraId="16953F2A">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应用层次：熟练运用词与曲的含义来分析歌曲的词曲关系</w:t>
            </w:r>
          </w:p>
        </w:tc>
        <w:tc>
          <w:tcPr>
            <w:tcW w:w="1439" w:type="dxa"/>
            <w:gridSpan w:val="4"/>
            <w:shd w:val="clear" w:color="auto" w:fill="auto"/>
            <w:noWrap w:val="0"/>
            <w:vAlign w:val="center"/>
          </w:tcPr>
          <w:p w14:paraId="5315C004">
            <w:pPr>
              <w:widowControl/>
              <w:adjustRightInd w:val="0"/>
              <w:snapToGrid w:val="0"/>
              <w:jc w:val="center"/>
              <w:rPr>
                <w:rFonts w:ascii="仿宋" w:hAnsi="仿宋" w:eastAsia="仿宋" w:cs="仿宋"/>
                <w:bCs/>
                <w:sz w:val="24"/>
                <w:szCs w:val="24"/>
              </w:rPr>
            </w:pPr>
            <w:r>
              <w:rPr>
                <w:rFonts w:hint="eastAsia" w:ascii="仿宋" w:hAnsi="仿宋" w:eastAsia="仿宋" w:cs="仿宋"/>
                <w:bCs/>
                <w:sz w:val="24"/>
                <w:szCs w:val="24"/>
              </w:rPr>
              <w:t>支撑课程目标1、2、3</w:t>
            </w:r>
          </w:p>
        </w:tc>
        <w:tc>
          <w:tcPr>
            <w:tcW w:w="1290" w:type="dxa"/>
            <w:gridSpan w:val="2"/>
            <w:shd w:val="clear" w:color="auto" w:fill="FFFFFF"/>
            <w:noWrap w:val="0"/>
            <w:vAlign w:val="center"/>
          </w:tcPr>
          <w:p w14:paraId="3403A502">
            <w:pPr>
              <w:adjustRightInd w:val="0"/>
              <w:snapToGrid w:val="0"/>
              <w:jc w:val="center"/>
              <w:rPr>
                <w:rFonts w:ascii="仿宋" w:hAnsi="仿宋" w:eastAsia="仿宋" w:cs="仿宋"/>
                <w:sz w:val="24"/>
                <w:szCs w:val="24"/>
              </w:rPr>
            </w:pPr>
            <w:r>
              <w:rPr>
                <w:rFonts w:hint="eastAsia" w:ascii="仿宋" w:hAnsi="仿宋" w:eastAsia="仿宋" w:cs="仿宋"/>
                <w:sz w:val="24"/>
                <w:szCs w:val="24"/>
              </w:rPr>
              <w:t>4</w:t>
            </w:r>
          </w:p>
        </w:tc>
      </w:tr>
      <w:tr w14:paraId="6EFBDF68">
        <w:trPr>
          <w:trHeight w:val="624" w:hRule="atLeast"/>
        </w:trPr>
        <w:tc>
          <w:tcPr>
            <w:tcW w:w="1431" w:type="dxa"/>
            <w:vMerge w:val="continue"/>
            <w:shd w:val="clear" w:color="auto" w:fill="FFFFFF"/>
            <w:noWrap w:val="0"/>
            <w:vAlign w:val="center"/>
          </w:tcPr>
          <w:p w14:paraId="64D86494">
            <w:pPr>
              <w:adjustRightInd w:val="0"/>
              <w:snapToGrid w:val="0"/>
              <w:spacing w:line="240" w:lineRule="atLeast"/>
              <w:jc w:val="right"/>
              <w:rPr>
                <w:rFonts w:ascii="仿宋" w:hAnsi="仿宋" w:eastAsia="仿宋" w:cs="仿宋"/>
                <w:sz w:val="24"/>
                <w:szCs w:val="24"/>
              </w:rPr>
            </w:pPr>
          </w:p>
        </w:tc>
        <w:tc>
          <w:tcPr>
            <w:tcW w:w="4988" w:type="dxa"/>
            <w:gridSpan w:val="8"/>
            <w:shd w:val="clear" w:color="auto" w:fill="auto"/>
            <w:noWrap w:val="0"/>
            <w:vAlign w:val="center"/>
          </w:tcPr>
          <w:p w14:paraId="46E3B7C8">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第二章：旋律及其要素</w:t>
            </w:r>
          </w:p>
          <w:p w14:paraId="13785CCF">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知道层次：了解旋律的特征</w:t>
            </w:r>
          </w:p>
          <w:p w14:paraId="703D3127">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领会层次：掌握旋律的写法</w:t>
            </w:r>
          </w:p>
          <w:p w14:paraId="62B126EA">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应用层次：熟练运用旋律的特征进行旋律编配的应用</w:t>
            </w:r>
          </w:p>
        </w:tc>
        <w:tc>
          <w:tcPr>
            <w:tcW w:w="1439" w:type="dxa"/>
            <w:gridSpan w:val="4"/>
            <w:shd w:val="clear" w:color="auto" w:fill="auto"/>
            <w:noWrap w:val="0"/>
            <w:vAlign w:val="center"/>
          </w:tcPr>
          <w:p w14:paraId="66A53F20">
            <w:pPr>
              <w:widowControl/>
              <w:adjustRightInd w:val="0"/>
              <w:snapToGrid w:val="0"/>
              <w:jc w:val="center"/>
              <w:rPr>
                <w:rFonts w:ascii="仿宋" w:hAnsi="仿宋" w:eastAsia="仿宋" w:cs="仿宋"/>
                <w:bCs/>
                <w:sz w:val="24"/>
                <w:szCs w:val="24"/>
              </w:rPr>
            </w:pPr>
            <w:r>
              <w:rPr>
                <w:rFonts w:hint="eastAsia" w:ascii="仿宋" w:hAnsi="仿宋" w:eastAsia="仿宋" w:cs="仿宋"/>
                <w:bCs/>
                <w:sz w:val="24"/>
                <w:szCs w:val="24"/>
              </w:rPr>
              <w:t>支撑课程目标1、2、3</w:t>
            </w:r>
          </w:p>
        </w:tc>
        <w:tc>
          <w:tcPr>
            <w:tcW w:w="1290" w:type="dxa"/>
            <w:gridSpan w:val="2"/>
            <w:shd w:val="clear" w:color="auto" w:fill="FFFFFF"/>
            <w:noWrap w:val="0"/>
            <w:vAlign w:val="center"/>
          </w:tcPr>
          <w:p w14:paraId="05FE9F9A">
            <w:pPr>
              <w:adjustRightInd w:val="0"/>
              <w:snapToGrid w:val="0"/>
              <w:jc w:val="center"/>
              <w:rPr>
                <w:rFonts w:ascii="仿宋" w:hAnsi="仿宋" w:eastAsia="仿宋" w:cs="仿宋"/>
                <w:sz w:val="24"/>
                <w:szCs w:val="24"/>
              </w:rPr>
            </w:pPr>
            <w:r>
              <w:rPr>
                <w:rFonts w:hint="eastAsia" w:ascii="仿宋" w:hAnsi="仿宋" w:eastAsia="仿宋" w:cs="仿宋"/>
                <w:sz w:val="24"/>
                <w:szCs w:val="24"/>
              </w:rPr>
              <w:t>3</w:t>
            </w:r>
          </w:p>
        </w:tc>
      </w:tr>
      <w:tr w14:paraId="6DE25BC3">
        <w:trPr>
          <w:trHeight w:val="624" w:hRule="atLeast"/>
        </w:trPr>
        <w:tc>
          <w:tcPr>
            <w:tcW w:w="1431" w:type="dxa"/>
            <w:vMerge w:val="continue"/>
            <w:shd w:val="clear" w:color="auto" w:fill="FFFFFF"/>
            <w:noWrap w:val="0"/>
            <w:vAlign w:val="center"/>
          </w:tcPr>
          <w:p w14:paraId="6839F927">
            <w:pPr>
              <w:adjustRightInd w:val="0"/>
              <w:snapToGrid w:val="0"/>
              <w:spacing w:line="240" w:lineRule="atLeast"/>
              <w:jc w:val="right"/>
              <w:rPr>
                <w:rFonts w:ascii="仿宋" w:hAnsi="仿宋" w:eastAsia="仿宋" w:cs="仿宋"/>
                <w:sz w:val="24"/>
                <w:szCs w:val="24"/>
              </w:rPr>
            </w:pPr>
          </w:p>
        </w:tc>
        <w:tc>
          <w:tcPr>
            <w:tcW w:w="4988" w:type="dxa"/>
            <w:gridSpan w:val="8"/>
            <w:shd w:val="clear" w:color="auto" w:fill="auto"/>
            <w:noWrap w:val="0"/>
            <w:vAlign w:val="center"/>
          </w:tcPr>
          <w:p w14:paraId="7F5BC36E">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第四章：歌曲主题的写作</w:t>
            </w:r>
          </w:p>
          <w:p w14:paraId="77AAF65B">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知道层次：了解歌曲的主题定义</w:t>
            </w:r>
          </w:p>
          <w:p w14:paraId="38023534">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领会层次：掌握主题的写作</w:t>
            </w:r>
          </w:p>
          <w:p w14:paraId="18C6A2E8">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应用层次：熟练运用主题的定义确定一个新的主题</w:t>
            </w:r>
          </w:p>
        </w:tc>
        <w:tc>
          <w:tcPr>
            <w:tcW w:w="1439" w:type="dxa"/>
            <w:gridSpan w:val="4"/>
            <w:shd w:val="clear" w:color="auto" w:fill="auto"/>
            <w:noWrap w:val="0"/>
            <w:vAlign w:val="center"/>
          </w:tcPr>
          <w:p w14:paraId="744FDAC0">
            <w:pPr>
              <w:widowControl/>
              <w:adjustRightInd w:val="0"/>
              <w:snapToGrid w:val="0"/>
              <w:jc w:val="center"/>
              <w:rPr>
                <w:rFonts w:ascii="仿宋" w:hAnsi="仿宋" w:eastAsia="仿宋" w:cs="仿宋"/>
                <w:bCs/>
                <w:sz w:val="24"/>
                <w:szCs w:val="24"/>
              </w:rPr>
            </w:pPr>
            <w:r>
              <w:rPr>
                <w:rFonts w:hint="eastAsia" w:ascii="仿宋" w:hAnsi="仿宋" w:eastAsia="仿宋" w:cs="仿宋"/>
                <w:bCs/>
                <w:sz w:val="24"/>
                <w:szCs w:val="24"/>
              </w:rPr>
              <w:t>支撑课程目标1、2、3</w:t>
            </w:r>
          </w:p>
        </w:tc>
        <w:tc>
          <w:tcPr>
            <w:tcW w:w="1290" w:type="dxa"/>
            <w:gridSpan w:val="2"/>
            <w:shd w:val="clear" w:color="auto" w:fill="FFFFFF"/>
            <w:noWrap w:val="0"/>
            <w:vAlign w:val="center"/>
          </w:tcPr>
          <w:p w14:paraId="753BC453">
            <w:pPr>
              <w:adjustRightInd w:val="0"/>
              <w:snapToGrid w:val="0"/>
              <w:jc w:val="center"/>
              <w:rPr>
                <w:rFonts w:ascii="仿宋" w:hAnsi="仿宋" w:eastAsia="仿宋" w:cs="仿宋"/>
                <w:sz w:val="24"/>
                <w:szCs w:val="24"/>
              </w:rPr>
            </w:pPr>
            <w:r>
              <w:rPr>
                <w:rFonts w:hint="eastAsia" w:ascii="仿宋" w:hAnsi="仿宋" w:eastAsia="仿宋" w:cs="仿宋"/>
                <w:sz w:val="24"/>
                <w:szCs w:val="24"/>
              </w:rPr>
              <w:t>4</w:t>
            </w:r>
          </w:p>
        </w:tc>
      </w:tr>
      <w:tr w14:paraId="633B27DF">
        <w:trPr>
          <w:trHeight w:val="624" w:hRule="atLeast"/>
        </w:trPr>
        <w:tc>
          <w:tcPr>
            <w:tcW w:w="1431" w:type="dxa"/>
            <w:vMerge w:val="continue"/>
            <w:shd w:val="clear" w:color="auto" w:fill="FFFFFF"/>
            <w:noWrap w:val="0"/>
            <w:vAlign w:val="center"/>
          </w:tcPr>
          <w:p w14:paraId="128C2CDA">
            <w:pPr>
              <w:adjustRightInd w:val="0"/>
              <w:snapToGrid w:val="0"/>
              <w:spacing w:line="240" w:lineRule="atLeast"/>
              <w:jc w:val="right"/>
              <w:rPr>
                <w:rFonts w:ascii="仿宋" w:hAnsi="仿宋" w:eastAsia="仿宋" w:cs="仿宋"/>
                <w:sz w:val="24"/>
                <w:szCs w:val="24"/>
              </w:rPr>
            </w:pPr>
          </w:p>
        </w:tc>
        <w:tc>
          <w:tcPr>
            <w:tcW w:w="4988" w:type="dxa"/>
            <w:gridSpan w:val="8"/>
            <w:shd w:val="clear" w:color="auto" w:fill="auto"/>
            <w:noWrap w:val="0"/>
            <w:vAlign w:val="center"/>
          </w:tcPr>
          <w:p w14:paraId="2C0FF291">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第五章：旋律发展手法</w:t>
            </w:r>
          </w:p>
          <w:p w14:paraId="4C83E641">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知道层次：了解旋律的发展定义</w:t>
            </w:r>
          </w:p>
          <w:p w14:paraId="4C99751E">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领会层次：掌握旋律的发展方向</w:t>
            </w:r>
          </w:p>
          <w:p w14:paraId="355E4056">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应用层次：熟练运用旋律的发展定义进行歌曲旋律发展的应用</w:t>
            </w:r>
          </w:p>
        </w:tc>
        <w:tc>
          <w:tcPr>
            <w:tcW w:w="1439" w:type="dxa"/>
            <w:gridSpan w:val="4"/>
            <w:shd w:val="clear" w:color="auto" w:fill="auto"/>
            <w:noWrap w:val="0"/>
            <w:vAlign w:val="center"/>
          </w:tcPr>
          <w:p w14:paraId="6A7AF1B2">
            <w:pPr>
              <w:widowControl/>
              <w:adjustRightInd w:val="0"/>
              <w:snapToGrid w:val="0"/>
              <w:jc w:val="center"/>
              <w:rPr>
                <w:rFonts w:ascii="仿宋" w:hAnsi="仿宋" w:eastAsia="仿宋" w:cs="仿宋"/>
                <w:bCs/>
                <w:sz w:val="24"/>
                <w:szCs w:val="24"/>
              </w:rPr>
            </w:pPr>
            <w:r>
              <w:rPr>
                <w:rFonts w:hint="eastAsia" w:ascii="仿宋" w:hAnsi="仿宋" w:eastAsia="仿宋" w:cs="仿宋"/>
                <w:bCs/>
                <w:sz w:val="24"/>
                <w:szCs w:val="24"/>
              </w:rPr>
              <w:t>支撑课程目标1、2、3</w:t>
            </w:r>
          </w:p>
        </w:tc>
        <w:tc>
          <w:tcPr>
            <w:tcW w:w="1290" w:type="dxa"/>
            <w:gridSpan w:val="2"/>
            <w:shd w:val="clear" w:color="auto" w:fill="FFFFFF"/>
            <w:noWrap w:val="0"/>
            <w:vAlign w:val="center"/>
          </w:tcPr>
          <w:p w14:paraId="471DF88D">
            <w:pPr>
              <w:adjustRightInd w:val="0"/>
              <w:snapToGrid w:val="0"/>
              <w:jc w:val="center"/>
              <w:rPr>
                <w:rFonts w:ascii="仿宋" w:hAnsi="仿宋" w:eastAsia="仿宋" w:cs="仿宋"/>
                <w:sz w:val="24"/>
                <w:szCs w:val="24"/>
              </w:rPr>
            </w:pPr>
            <w:r>
              <w:rPr>
                <w:rFonts w:hint="eastAsia" w:ascii="仿宋" w:hAnsi="仿宋" w:eastAsia="仿宋" w:cs="仿宋"/>
                <w:sz w:val="24"/>
                <w:szCs w:val="24"/>
              </w:rPr>
              <w:t>4</w:t>
            </w:r>
          </w:p>
        </w:tc>
      </w:tr>
      <w:tr w14:paraId="7668DC98">
        <w:trPr>
          <w:trHeight w:val="624" w:hRule="atLeast"/>
        </w:trPr>
        <w:tc>
          <w:tcPr>
            <w:tcW w:w="1431" w:type="dxa"/>
            <w:vMerge w:val="continue"/>
            <w:shd w:val="clear" w:color="auto" w:fill="FFFFFF"/>
            <w:noWrap w:val="0"/>
            <w:vAlign w:val="center"/>
          </w:tcPr>
          <w:p w14:paraId="4BB6D307">
            <w:pPr>
              <w:adjustRightInd w:val="0"/>
              <w:snapToGrid w:val="0"/>
              <w:spacing w:line="240" w:lineRule="atLeast"/>
              <w:jc w:val="right"/>
              <w:rPr>
                <w:rFonts w:ascii="仿宋" w:hAnsi="仿宋" w:eastAsia="仿宋" w:cs="仿宋"/>
                <w:sz w:val="24"/>
                <w:szCs w:val="24"/>
              </w:rPr>
            </w:pPr>
          </w:p>
        </w:tc>
        <w:tc>
          <w:tcPr>
            <w:tcW w:w="4988" w:type="dxa"/>
            <w:gridSpan w:val="8"/>
            <w:shd w:val="clear" w:color="auto" w:fill="auto"/>
            <w:noWrap w:val="0"/>
            <w:vAlign w:val="center"/>
          </w:tcPr>
          <w:p w14:paraId="3047A82D">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第六章：乐段结构的歌曲写作</w:t>
            </w:r>
          </w:p>
          <w:p w14:paraId="68A11D00">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知道层次：了解乐段的结构在歌曲写作中的含义</w:t>
            </w:r>
          </w:p>
          <w:p w14:paraId="62C9C9F7">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领会层次：掌握乐段结构的基本特征</w:t>
            </w:r>
          </w:p>
          <w:p w14:paraId="08393B9E">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应用层次：熟练运用乐段结构的特征进行写作</w:t>
            </w:r>
          </w:p>
        </w:tc>
        <w:tc>
          <w:tcPr>
            <w:tcW w:w="1439" w:type="dxa"/>
            <w:gridSpan w:val="4"/>
            <w:shd w:val="clear" w:color="auto" w:fill="auto"/>
            <w:noWrap w:val="0"/>
            <w:vAlign w:val="center"/>
          </w:tcPr>
          <w:p w14:paraId="0A007A0D">
            <w:pPr>
              <w:widowControl/>
              <w:adjustRightInd w:val="0"/>
              <w:snapToGrid w:val="0"/>
              <w:jc w:val="center"/>
              <w:rPr>
                <w:rFonts w:ascii="仿宋" w:hAnsi="仿宋" w:eastAsia="仿宋" w:cs="仿宋"/>
                <w:bCs/>
                <w:sz w:val="24"/>
                <w:szCs w:val="24"/>
              </w:rPr>
            </w:pPr>
            <w:r>
              <w:rPr>
                <w:rFonts w:hint="eastAsia" w:ascii="仿宋" w:hAnsi="仿宋" w:eastAsia="仿宋" w:cs="仿宋"/>
                <w:bCs/>
                <w:sz w:val="24"/>
                <w:szCs w:val="24"/>
              </w:rPr>
              <w:t>支撑课程目标1、2、3</w:t>
            </w:r>
          </w:p>
        </w:tc>
        <w:tc>
          <w:tcPr>
            <w:tcW w:w="1290" w:type="dxa"/>
            <w:gridSpan w:val="2"/>
            <w:shd w:val="clear" w:color="auto" w:fill="FFFFFF"/>
            <w:noWrap w:val="0"/>
            <w:vAlign w:val="center"/>
          </w:tcPr>
          <w:p w14:paraId="5D388119">
            <w:pPr>
              <w:adjustRightInd w:val="0"/>
              <w:snapToGrid w:val="0"/>
              <w:jc w:val="center"/>
              <w:rPr>
                <w:rFonts w:ascii="仿宋" w:hAnsi="仿宋" w:eastAsia="仿宋" w:cs="仿宋"/>
                <w:sz w:val="24"/>
                <w:szCs w:val="24"/>
              </w:rPr>
            </w:pPr>
            <w:r>
              <w:rPr>
                <w:rFonts w:hint="eastAsia" w:ascii="仿宋" w:hAnsi="仿宋" w:eastAsia="仿宋" w:cs="仿宋"/>
                <w:sz w:val="24"/>
                <w:szCs w:val="24"/>
              </w:rPr>
              <w:t>4</w:t>
            </w:r>
          </w:p>
        </w:tc>
      </w:tr>
      <w:tr w14:paraId="70935E48">
        <w:trPr>
          <w:trHeight w:val="624" w:hRule="atLeast"/>
        </w:trPr>
        <w:tc>
          <w:tcPr>
            <w:tcW w:w="1431" w:type="dxa"/>
            <w:vMerge w:val="continue"/>
            <w:shd w:val="clear" w:color="auto" w:fill="FFFFFF"/>
            <w:noWrap w:val="0"/>
            <w:vAlign w:val="center"/>
          </w:tcPr>
          <w:p w14:paraId="2BCA0C25">
            <w:pPr>
              <w:adjustRightInd w:val="0"/>
              <w:snapToGrid w:val="0"/>
              <w:spacing w:line="240" w:lineRule="atLeast"/>
              <w:jc w:val="right"/>
              <w:rPr>
                <w:rFonts w:ascii="仿宋" w:hAnsi="仿宋" w:eastAsia="仿宋" w:cs="仿宋"/>
                <w:sz w:val="24"/>
                <w:szCs w:val="24"/>
              </w:rPr>
            </w:pPr>
          </w:p>
        </w:tc>
        <w:tc>
          <w:tcPr>
            <w:tcW w:w="4988" w:type="dxa"/>
            <w:gridSpan w:val="8"/>
            <w:shd w:val="clear" w:color="auto" w:fill="auto"/>
            <w:noWrap w:val="0"/>
            <w:vAlign w:val="center"/>
          </w:tcPr>
          <w:p w14:paraId="513D8394">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第七章：单二部歌曲的写作</w:t>
            </w:r>
          </w:p>
          <w:p w14:paraId="660B613F">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知道层次：了解单二部歌曲的写作定义</w:t>
            </w:r>
          </w:p>
          <w:p w14:paraId="6A9DF792">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领会层次：掌握单二部结构的基本特征</w:t>
            </w:r>
          </w:p>
          <w:p w14:paraId="7603EF41">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应用层次：熟练运用单二部的基本特征进行单二部结构的歌曲写作</w:t>
            </w:r>
          </w:p>
        </w:tc>
        <w:tc>
          <w:tcPr>
            <w:tcW w:w="1439" w:type="dxa"/>
            <w:gridSpan w:val="4"/>
            <w:shd w:val="clear" w:color="auto" w:fill="auto"/>
            <w:noWrap w:val="0"/>
            <w:vAlign w:val="center"/>
          </w:tcPr>
          <w:p w14:paraId="13A483F5">
            <w:pPr>
              <w:widowControl/>
              <w:adjustRightInd w:val="0"/>
              <w:snapToGrid w:val="0"/>
              <w:jc w:val="center"/>
              <w:rPr>
                <w:rFonts w:ascii="仿宋" w:hAnsi="仿宋" w:eastAsia="仿宋" w:cs="仿宋"/>
                <w:bCs/>
                <w:sz w:val="24"/>
                <w:szCs w:val="24"/>
              </w:rPr>
            </w:pPr>
            <w:r>
              <w:rPr>
                <w:rFonts w:hint="eastAsia" w:ascii="仿宋" w:hAnsi="仿宋" w:eastAsia="仿宋" w:cs="仿宋"/>
                <w:bCs/>
                <w:sz w:val="24"/>
                <w:szCs w:val="24"/>
              </w:rPr>
              <w:t>支撑课程目标1、2、3</w:t>
            </w:r>
          </w:p>
        </w:tc>
        <w:tc>
          <w:tcPr>
            <w:tcW w:w="1290" w:type="dxa"/>
            <w:gridSpan w:val="2"/>
            <w:shd w:val="clear" w:color="auto" w:fill="FFFFFF"/>
            <w:noWrap w:val="0"/>
            <w:vAlign w:val="center"/>
          </w:tcPr>
          <w:p w14:paraId="614B8BB8">
            <w:pPr>
              <w:adjustRightInd w:val="0"/>
              <w:snapToGrid w:val="0"/>
              <w:jc w:val="center"/>
              <w:rPr>
                <w:rFonts w:ascii="仿宋" w:hAnsi="仿宋" w:eastAsia="仿宋" w:cs="仿宋"/>
                <w:sz w:val="24"/>
                <w:szCs w:val="24"/>
              </w:rPr>
            </w:pPr>
            <w:r>
              <w:rPr>
                <w:rFonts w:hint="eastAsia" w:ascii="仿宋" w:hAnsi="仿宋" w:eastAsia="仿宋" w:cs="仿宋"/>
                <w:sz w:val="24"/>
                <w:szCs w:val="24"/>
              </w:rPr>
              <w:t>3</w:t>
            </w:r>
          </w:p>
        </w:tc>
      </w:tr>
      <w:tr w14:paraId="0A2EEBF1">
        <w:trPr>
          <w:trHeight w:val="624" w:hRule="atLeast"/>
        </w:trPr>
        <w:tc>
          <w:tcPr>
            <w:tcW w:w="1431" w:type="dxa"/>
            <w:vMerge w:val="continue"/>
            <w:shd w:val="clear" w:color="auto" w:fill="FFFFFF"/>
            <w:noWrap w:val="0"/>
            <w:vAlign w:val="center"/>
          </w:tcPr>
          <w:p w14:paraId="0430BC82">
            <w:pPr>
              <w:adjustRightInd w:val="0"/>
              <w:snapToGrid w:val="0"/>
              <w:spacing w:line="240" w:lineRule="atLeast"/>
              <w:jc w:val="right"/>
              <w:rPr>
                <w:rFonts w:ascii="仿宋" w:hAnsi="仿宋" w:eastAsia="仿宋" w:cs="仿宋"/>
                <w:sz w:val="24"/>
                <w:szCs w:val="24"/>
              </w:rPr>
            </w:pPr>
          </w:p>
        </w:tc>
        <w:tc>
          <w:tcPr>
            <w:tcW w:w="4988" w:type="dxa"/>
            <w:gridSpan w:val="8"/>
            <w:shd w:val="clear" w:color="auto" w:fill="auto"/>
            <w:noWrap w:val="0"/>
            <w:vAlign w:val="center"/>
          </w:tcPr>
          <w:p w14:paraId="31D9F2F4">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第十四章：歌曲的高潮</w:t>
            </w:r>
          </w:p>
          <w:p w14:paraId="6995296A">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知道层次：了解歌曲的高潮部分</w:t>
            </w:r>
          </w:p>
          <w:p w14:paraId="20FE3A5E">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领会层次：掌握歌曲的高潮出现在什么乐段</w:t>
            </w:r>
          </w:p>
          <w:p w14:paraId="1ABA13E5">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应用层次：熟练运用歌曲的高潮特点进行写作</w:t>
            </w:r>
          </w:p>
        </w:tc>
        <w:tc>
          <w:tcPr>
            <w:tcW w:w="1439" w:type="dxa"/>
            <w:gridSpan w:val="4"/>
            <w:shd w:val="clear" w:color="auto" w:fill="auto"/>
            <w:noWrap w:val="0"/>
            <w:vAlign w:val="center"/>
          </w:tcPr>
          <w:p w14:paraId="5775EA24">
            <w:pPr>
              <w:widowControl/>
              <w:adjustRightInd w:val="0"/>
              <w:snapToGrid w:val="0"/>
              <w:jc w:val="center"/>
              <w:rPr>
                <w:rFonts w:ascii="仿宋" w:hAnsi="仿宋" w:eastAsia="仿宋" w:cs="仿宋"/>
                <w:bCs/>
                <w:sz w:val="24"/>
                <w:szCs w:val="24"/>
              </w:rPr>
            </w:pPr>
            <w:r>
              <w:rPr>
                <w:rFonts w:hint="eastAsia" w:ascii="仿宋" w:hAnsi="仿宋" w:eastAsia="仿宋" w:cs="仿宋"/>
                <w:bCs/>
                <w:sz w:val="24"/>
                <w:szCs w:val="24"/>
              </w:rPr>
              <w:t>支撑课程目标1、2、3</w:t>
            </w:r>
          </w:p>
        </w:tc>
        <w:tc>
          <w:tcPr>
            <w:tcW w:w="1290" w:type="dxa"/>
            <w:gridSpan w:val="2"/>
            <w:shd w:val="clear" w:color="auto" w:fill="FFFFFF"/>
            <w:noWrap w:val="0"/>
            <w:vAlign w:val="center"/>
          </w:tcPr>
          <w:p w14:paraId="75F52305">
            <w:pPr>
              <w:adjustRightInd w:val="0"/>
              <w:snapToGrid w:val="0"/>
              <w:jc w:val="center"/>
              <w:rPr>
                <w:rFonts w:ascii="仿宋" w:hAnsi="仿宋" w:eastAsia="仿宋" w:cs="仿宋"/>
                <w:sz w:val="24"/>
                <w:szCs w:val="24"/>
              </w:rPr>
            </w:pPr>
            <w:r>
              <w:rPr>
                <w:rFonts w:hint="eastAsia" w:ascii="仿宋" w:hAnsi="仿宋" w:eastAsia="仿宋" w:cs="仿宋"/>
                <w:sz w:val="24"/>
                <w:szCs w:val="24"/>
              </w:rPr>
              <w:t>3</w:t>
            </w:r>
          </w:p>
        </w:tc>
      </w:tr>
      <w:tr w14:paraId="09E799E1">
        <w:trPr>
          <w:trHeight w:val="624" w:hRule="atLeast"/>
        </w:trPr>
        <w:tc>
          <w:tcPr>
            <w:tcW w:w="1431" w:type="dxa"/>
            <w:vMerge w:val="continue"/>
            <w:shd w:val="clear" w:color="auto" w:fill="FFFFFF"/>
            <w:noWrap w:val="0"/>
            <w:vAlign w:val="center"/>
          </w:tcPr>
          <w:p w14:paraId="64E93D13">
            <w:pPr>
              <w:adjustRightInd w:val="0"/>
              <w:snapToGrid w:val="0"/>
              <w:spacing w:line="240" w:lineRule="atLeast"/>
              <w:jc w:val="right"/>
              <w:rPr>
                <w:rFonts w:ascii="仿宋" w:hAnsi="仿宋" w:eastAsia="仿宋" w:cs="仿宋"/>
                <w:sz w:val="24"/>
                <w:szCs w:val="24"/>
              </w:rPr>
            </w:pPr>
          </w:p>
        </w:tc>
        <w:tc>
          <w:tcPr>
            <w:tcW w:w="4988" w:type="dxa"/>
            <w:gridSpan w:val="8"/>
            <w:shd w:val="clear" w:color="auto" w:fill="auto"/>
            <w:noWrap w:val="0"/>
            <w:vAlign w:val="center"/>
          </w:tcPr>
          <w:p w14:paraId="57ACDA13">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第十五章：衬词</w:t>
            </w:r>
          </w:p>
          <w:p w14:paraId="69824304">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知道层次：了解衬词的定义</w:t>
            </w:r>
          </w:p>
          <w:p w14:paraId="7B1DE8C1">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领会层次：掌握衬词的特征</w:t>
            </w:r>
          </w:p>
          <w:p w14:paraId="15D51C8B">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应用层次：熟练运用衬词的特征进行歌曲的写作</w:t>
            </w:r>
          </w:p>
        </w:tc>
        <w:tc>
          <w:tcPr>
            <w:tcW w:w="1439" w:type="dxa"/>
            <w:gridSpan w:val="4"/>
            <w:shd w:val="clear" w:color="auto" w:fill="auto"/>
            <w:noWrap w:val="0"/>
            <w:vAlign w:val="center"/>
          </w:tcPr>
          <w:p w14:paraId="2D1B632E">
            <w:pPr>
              <w:widowControl/>
              <w:adjustRightInd w:val="0"/>
              <w:snapToGrid w:val="0"/>
              <w:jc w:val="center"/>
              <w:rPr>
                <w:rFonts w:ascii="仿宋" w:hAnsi="仿宋" w:eastAsia="仿宋" w:cs="仿宋"/>
                <w:bCs/>
                <w:sz w:val="24"/>
                <w:szCs w:val="24"/>
              </w:rPr>
            </w:pPr>
            <w:r>
              <w:rPr>
                <w:rFonts w:hint="eastAsia" w:ascii="仿宋" w:hAnsi="仿宋" w:eastAsia="仿宋" w:cs="仿宋"/>
                <w:bCs/>
                <w:sz w:val="24"/>
                <w:szCs w:val="24"/>
              </w:rPr>
              <w:t>支撑课程目标1、2、3</w:t>
            </w:r>
          </w:p>
        </w:tc>
        <w:tc>
          <w:tcPr>
            <w:tcW w:w="1290" w:type="dxa"/>
            <w:gridSpan w:val="2"/>
            <w:shd w:val="clear" w:color="auto" w:fill="FFFFFF"/>
            <w:noWrap w:val="0"/>
            <w:vAlign w:val="center"/>
          </w:tcPr>
          <w:p w14:paraId="1B05C208">
            <w:pPr>
              <w:adjustRightInd w:val="0"/>
              <w:snapToGrid w:val="0"/>
              <w:jc w:val="center"/>
              <w:rPr>
                <w:rFonts w:ascii="仿宋" w:hAnsi="仿宋" w:eastAsia="仿宋" w:cs="仿宋"/>
                <w:sz w:val="24"/>
                <w:szCs w:val="24"/>
              </w:rPr>
            </w:pPr>
            <w:r>
              <w:rPr>
                <w:rFonts w:hint="eastAsia" w:ascii="仿宋" w:hAnsi="仿宋" w:eastAsia="仿宋" w:cs="仿宋"/>
                <w:sz w:val="24"/>
                <w:szCs w:val="24"/>
              </w:rPr>
              <w:t>3</w:t>
            </w:r>
          </w:p>
        </w:tc>
      </w:tr>
      <w:tr w14:paraId="5CE7E598">
        <w:trPr>
          <w:trHeight w:val="624" w:hRule="atLeast"/>
        </w:trPr>
        <w:tc>
          <w:tcPr>
            <w:tcW w:w="1431" w:type="dxa"/>
            <w:vMerge w:val="continue"/>
            <w:shd w:val="clear" w:color="auto" w:fill="FFFFFF"/>
            <w:noWrap w:val="0"/>
            <w:vAlign w:val="center"/>
          </w:tcPr>
          <w:p w14:paraId="6DFADC48">
            <w:pPr>
              <w:adjustRightInd w:val="0"/>
              <w:snapToGrid w:val="0"/>
              <w:spacing w:line="240" w:lineRule="atLeast"/>
              <w:jc w:val="center"/>
              <w:rPr>
                <w:rFonts w:ascii="仿宋" w:hAnsi="仿宋" w:eastAsia="仿宋" w:cs="仿宋"/>
                <w:sz w:val="24"/>
                <w:szCs w:val="24"/>
              </w:rPr>
            </w:pPr>
          </w:p>
        </w:tc>
        <w:tc>
          <w:tcPr>
            <w:tcW w:w="6427" w:type="dxa"/>
            <w:gridSpan w:val="12"/>
            <w:shd w:val="clear" w:color="auto" w:fill="auto"/>
            <w:noWrap w:val="0"/>
            <w:vAlign w:val="center"/>
          </w:tcPr>
          <w:p w14:paraId="3325AE97">
            <w:pPr>
              <w:adjustRightInd w:val="0"/>
              <w:snapToGrid w:val="0"/>
              <w:jc w:val="center"/>
              <w:rPr>
                <w:rFonts w:ascii="仿宋" w:hAnsi="仿宋" w:eastAsia="仿宋" w:cs="仿宋"/>
                <w:bCs/>
                <w:sz w:val="24"/>
                <w:szCs w:val="24"/>
              </w:rPr>
            </w:pPr>
            <w:r>
              <w:rPr>
                <w:rFonts w:hint="eastAsia" w:ascii="仿宋" w:hAnsi="仿宋" w:eastAsia="仿宋" w:cs="仿宋"/>
                <w:bCs/>
                <w:sz w:val="24"/>
                <w:szCs w:val="24"/>
              </w:rPr>
              <w:t>合计</w:t>
            </w:r>
          </w:p>
        </w:tc>
        <w:tc>
          <w:tcPr>
            <w:tcW w:w="1290" w:type="dxa"/>
            <w:gridSpan w:val="2"/>
            <w:shd w:val="clear" w:color="auto" w:fill="FFFFFF"/>
            <w:noWrap w:val="0"/>
            <w:vAlign w:val="center"/>
          </w:tcPr>
          <w:p w14:paraId="56C98DE2">
            <w:pPr>
              <w:adjustRightInd w:val="0"/>
              <w:snapToGrid w:val="0"/>
              <w:jc w:val="center"/>
              <w:rPr>
                <w:rFonts w:ascii="仿宋" w:hAnsi="仿宋" w:eastAsia="仿宋" w:cs="仿宋"/>
                <w:sz w:val="24"/>
                <w:szCs w:val="24"/>
              </w:rPr>
            </w:pPr>
            <w:r>
              <w:rPr>
                <w:rFonts w:hint="eastAsia" w:ascii="仿宋" w:hAnsi="仿宋" w:eastAsia="仿宋" w:cs="仿宋"/>
                <w:sz w:val="24"/>
                <w:szCs w:val="24"/>
              </w:rPr>
              <w:t>32</w:t>
            </w:r>
          </w:p>
        </w:tc>
      </w:tr>
      <w:tr w14:paraId="57CE38DE">
        <w:trPr>
          <w:trHeight w:val="624" w:hRule="atLeast"/>
        </w:trPr>
        <w:tc>
          <w:tcPr>
            <w:tcW w:w="1431" w:type="dxa"/>
            <w:noWrap w:val="0"/>
            <w:vAlign w:val="center"/>
          </w:tcPr>
          <w:p w14:paraId="58839275">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I</w:t>
            </w:r>
          </w:p>
          <w:p w14:paraId="112D3843">
            <w:pPr>
              <w:adjustRightInd w:val="0"/>
              <w:snapToGrid w:val="0"/>
              <w:spacing w:line="240" w:lineRule="atLeast"/>
              <w:jc w:val="center"/>
              <w:rPr>
                <w:rFonts w:ascii="仿宋" w:hAnsi="仿宋" w:eastAsia="仿宋" w:cs="仿宋"/>
                <w:sz w:val="24"/>
                <w:szCs w:val="24"/>
                <w:lang w:eastAsia="zh-TW"/>
              </w:rPr>
            </w:pPr>
            <w:r>
              <w:rPr>
                <w:rFonts w:hint="eastAsia" w:ascii="仿宋" w:hAnsi="仿宋" w:eastAsia="仿宋" w:cs="仿宋"/>
                <w:sz w:val="24"/>
                <w:szCs w:val="24"/>
              </w:rPr>
              <w:t>教学方法与教学方式</w:t>
            </w:r>
          </w:p>
        </w:tc>
        <w:tc>
          <w:tcPr>
            <w:tcW w:w="7717" w:type="dxa"/>
            <w:gridSpan w:val="14"/>
            <w:tcBorders>
              <w:bottom w:val="single" w:color="auto" w:sz="4" w:space="0"/>
            </w:tcBorders>
            <w:noWrap w:val="0"/>
            <w:vAlign w:val="center"/>
          </w:tcPr>
          <w:p w14:paraId="18FE2A9A">
            <w:pPr>
              <w:adjustRightInd w:val="0"/>
              <w:snapToGrid w:val="0"/>
              <w:rPr>
                <w:rFonts w:ascii="仿宋" w:hAnsi="仿宋" w:eastAsia="仿宋" w:cs="仿宋"/>
                <w:sz w:val="24"/>
                <w:szCs w:val="24"/>
              </w:rPr>
            </w:pPr>
            <w:r>
              <w:rPr>
                <w:rFonts w:hint="eastAsia" w:ascii="仿宋" w:hAnsi="仿宋" w:eastAsia="仿宋" w:cs="仿宋"/>
                <w:sz w:val="24"/>
                <w:szCs w:val="24"/>
              </w:rPr>
              <w:t>1、示范教学法，在课堂上进行写作示范，让学生模仿练习</w:t>
            </w:r>
          </w:p>
          <w:p w14:paraId="512410D8">
            <w:pPr>
              <w:adjustRightInd w:val="0"/>
              <w:snapToGrid w:val="0"/>
              <w:rPr>
                <w:rFonts w:ascii="仿宋" w:hAnsi="仿宋" w:eastAsia="仿宋" w:cs="仿宋"/>
                <w:sz w:val="24"/>
                <w:szCs w:val="24"/>
              </w:rPr>
            </w:pPr>
            <w:r>
              <w:rPr>
                <w:rFonts w:hint="eastAsia" w:ascii="仿宋" w:hAnsi="仿宋" w:eastAsia="仿宋" w:cs="仿宋"/>
                <w:sz w:val="24"/>
                <w:szCs w:val="24"/>
              </w:rPr>
              <w:t>2、分析教学法，通过课堂对动作进行分解分析，加上讨论纠错等方式，引导学生发现问题解决问题。</w:t>
            </w:r>
          </w:p>
          <w:p w14:paraId="1267184D">
            <w:pPr>
              <w:adjustRightInd w:val="0"/>
              <w:snapToGrid w:val="0"/>
              <w:rPr>
                <w:rFonts w:ascii="仿宋" w:hAnsi="仿宋" w:eastAsia="仿宋" w:cs="仿宋"/>
                <w:sz w:val="24"/>
                <w:szCs w:val="24"/>
              </w:rPr>
            </w:pPr>
            <w:r>
              <w:rPr>
                <w:rFonts w:hint="eastAsia" w:ascii="仿宋" w:hAnsi="仿宋" w:eastAsia="仿宋" w:cs="仿宋"/>
                <w:sz w:val="24"/>
                <w:szCs w:val="24"/>
              </w:rPr>
              <w:t>3、开通网络课堂，达到与学生及时沟通、交流的目的。同时重视师生互动与小组活动，将课堂教学变为师生共同活动的过程。</w:t>
            </w:r>
          </w:p>
          <w:p w14:paraId="60AF4896">
            <w:pPr>
              <w:adjustRightInd w:val="0"/>
              <w:snapToGrid w:val="0"/>
              <w:rPr>
                <w:rFonts w:ascii="仿宋" w:hAnsi="仿宋" w:eastAsia="仿宋" w:cs="仿宋"/>
                <w:sz w:val="24"/>
                <w:szCs w:val="24"/>
              </w:rPr>
            </w:pPr>
            <w:r>
              <w:rPr>
                <w:rFonts w:hint="eastAsia" w:ascii="仿宋" w:hAnsi="仿宋" w:eastAsia="仿宋" w:cs="仿宋"/>
                <w:sz w:val="24"/>
                <w:szCs w:val="24"/>
              </w:rPr>
              <w:t>4、主要方式：</w:t>
            </w:r>
          </w:p>
          <w:p w14:paraId="175AF5A2">
            <w:pPr>
              <w:adjustRightInd w:val="0"/>
              <w:snapToGrid w:val="0"/>
              <w:ind w:firstLine="480" w:firstLineChars="200"/>
              <w:rPr>
                <w:rFonts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讲授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网络学习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讨论或座谈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问题导向学  </w:t>
            </w:r>
          </w:p>
          <w:p w14:paraId="17EDD0D1">
            <w:pPr>
              <w:adjustRightInd w:val="0"/>
              <w:snapToGrid w:val="0"/>
              <w:ind w:firstLine="480" w:firstLineChars="200"/>
              <w:rPr>
                <w:rFonts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分组合作学习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专题学习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实作学习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发表学习  </w:t>
            </w:r>
          </w:p>
          <w:p w14:paraId="05B26F3B">
            <w:pPr>
              <w:adjustRightInd w:val="0"/>
              <w:snapToGrid w:val="0"/>
              <w:ind w:firstLine="480" w:firstLineChars="200"/>
              <w:rPr>
                <w:rFonts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实习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参观访问  </w:t>
            </w:r>
            <w:r>
              <w:rPr>
                <w:rFonts w:hint="eastAsia" w:ascii="仿宋" w:hAnsi="仿宋" w:eastAsia="仿宋" w:cs="仿宋"/>
                <w:sz w:val="24"/>
                <w:szCs w:val="24"/>
              </w:rPr>
              <w:sym w:font="Wingdings" w:char="00A8"/>
            </w:r>
            <w:r>
              <w:rPr>
                <w:rFonts w:hint="eastAsia" w:ascii="仿宋" w:hAnsi="仿宋" w:eastAsia="仿宋" w:cs="仿宋"/>
                <w:sz w:val="24"/>
                <w:szCs w:val="24"/>
              </w:rPr>
              <w:t>其它：</w:t>
            </w:r>
            <w:r>
              <w:rPr>
                <w:rFonts w:hint="eastAsia" w:ascii="仿宋" w:hAnsi="仿宋" w:eastAsia="仿宋" w:cs="仿宋"/>
                <w:sz w:val="24"/>
                <w:szCs w:val="24"/>
                <w:u w:val="single"/>
              </w:rPr>
              <w:t xml:space="preserve">        </w:t>
            </w:r>
            <w:r>
              <w:rPr>
                <w:rFonts w:hint="eastAsia" w:ascii="仿宋" w:hAnsi="仿宋" w:eastAsia="仿宋" w:cs="仿宋"/>
                <w:sz w:val="24"/>
                <w:szCs w:val="24"/>
              </w:rPr>
              <w:t>(如口头训练等)</w:t>
            </w:r>
          </w:p>
        </w:tc>
      </w:tr>
      <w:tr w14:paraId="25EEC0E3">
        <w:trPr>
          <w:trHeight w:val="624" w:hRule="atLeast"/>
        </w:trPr>
        <w:tc>
          <w:tcPr>
            <w:tcW w:w="1431" w:type="dxa"/>
            <w:noWrap w:val="0"/>
            <w:vAlign w:val="center"/>
          </w:tcPr>
          <w:p w14:paraId="370070E8">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J</w:t>
            </w:r>
          </w:p>
          <w:p w14:paraId="7FB5127B">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教学条件</w:t>
            </w:r>
          </w:p>
          <w:p w14:paraId="277DE2A6">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需求</w:t>
            </w:r>
          </w:p>
        </w:tc>
        <w:tc>
          <w:tcPr>
            <w:tcW w:w="7717" w:type="dxa"/>
            <w:gridSpan w:val="14"/>
            <w:tcBorders>
              <w:bottom w:val="single" w:color="auto" w:sz="4" w:space="0"/>
            </w:tcBorders>
            <w:noWrap w:val="0"/>
            <w:vAlign w:val="center"/>
          </w:tcPr>
          <w:p w14:paraId="10424027">
            <w:pPr>
              <w:tabs>
                <w:tab w:val="left" w:pos="720"/>
              </w:tabs>
              <w:adjustRightInd w:val="0"/>
              <w:snapToGrid w:val="0"/>
              <w:spacing w:line="240" w:lineRule="atLeast"/>
              <w:rPr>
                <w:rFonts w:ascii="仿宋" w:hAnsi="仿宋" w:eastAsia="仿宋" w:cs="仿宋"/>
                <w:sz w:val="24"/>
                <w:szCs w:val="24"/>
              </w:rPr>
            </w:pPr>
            <w:r>
              <w:rPr>
                <w:rFonts w:hint="eastAsia" w:ascii="仿宋" w:hAnsi="仿宋" w:eastAsia="仿宋" w:cs="仿宋"/>
                <w:sz w:val="24"/>
                <w:szCs w:val="24"/>
              </w:rPr>
              <w:t>（如时间、地点安排与“一课双师”等教师配备需求等）</w:t>
            </w:r>
          </w:p>
          <w:p w14:paraId="5DA51F65">
            <w:pPr>
              <w:numPr>
                <w:ilvl w:val="0"/>
                <w:numId w:val="44"/>
              </w:numPr>
              <w:tabs>
                <w:tab w:val="left" w:pos="720"/>
              </w:tabs>
              <w:adjustRightInd w:val="0"/>
              <w:snapToGrid w:val="0"/>
              <w:rPr>
                <w:rFonts w:ascii="仿宋" w:hAnsi="仿宋" w:eastAsia="仿宋" w:cs="仿宋"/>
                <w:sz w:val="24"/>
                <w:szCs w:val="24"/>
              </w:rPr>
            </w:pPr>
            <w:r>
              <w:rPr>
                <w:rFonts w:hint="eastAsia" w:ascii="仿宋" w:hAnsi="仿宋" w:eastAsia="仿宋" w:cs="仿宋"/>
                <w:sz w:val="24"/>
                <w:szCs w:val="24"/>
              </w:rPr>
              <w:t>教室</w:t>
            </w:r>
          </w:p>
          <w:p w14:paraId="663A08A4">
            <w:pPr>
              <w:tabs>
                <w:tab w:val="left" w:pos="720"/>
              </w:tabs>
              <w:adjustRightInd w:val="0"/>
              <w:snapToGrid w:val="0"/>
              <w:rPr>
                <w:rFonts w:ascii="仿宋" w:hAnsi="仿宋" w:eastAsia="仿宋" w:cs="仿宋"/>
                <w:sz w:val="24"/>
                <w:szCs w:val="24"/>
              </w:rPr>
            </w:pPr>
            <w:r>
              <w:rPr>
                <w:rFonts w:hint="eastAsia" w:ascii="仿宋" w:hAnsi="仿宋" w:eastAsia="仿宋" w:cs="仿宋"/>
                <w:sz w:val="24"/>
                <w:szCs w:val="24"/>
              </w:rPr>
              <w:t>2、专业教学多媒体</w:t>
            </w:r>
          </w:p>
        </w:tc>
      </w:tr>
      <w:tr w14:paraId="3D5C4731">
        <w:trPr>
          <w:trHeight w:val="624" w:hRule="atLeast"/>
        </w:trPr>
        <w:tc>
          <w:tcPr>
            <w:tcW w:w="1431" w:type="dxa"/>
            <w:vMerge w:val="restart"/>
            <w:noWrap w:val="0"/>
            <w:vAlign w:val="center"/>
          </w:tcPr>
          <w:p w14:paraId="05DE6D20">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K</w:t>
            </w:r>
          </w:p>
          <w:p w14:paraId="52C74D2F">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课程目标及其考核内容、考核方式及评分占比</w:t>
            </w:r>
          </w:p>
        </w:tc>
        <w:tc>
          <w:tcPr>
            <w:tcW w:w="1126" w:type="dxa"/>
            <w:vMerge w:val="restart"/>
            <w:noWrap w:val="0"/>
            <w:vAlign w:val="center"/>
          </w:tcPr>
          <w:p w14:paraId="726BE20E">
            <w:pPr>
              <w:adjustRightInd w:val="0"/>
              <w:snapToGrid w:val="0"/>
              <w:rPr>
                <w:rFonts w:ascii="仿宋" w:hAnsi="仿宋" w:eastAsia="仿宋" w:cs="仿宋"/>
                <w:sz w:val="24"/>
                <w:szCs w:val="24"/>
              </w:rPr>
            </w:pPr>
            <w:r>
              <w:rPr>
                <w:rFonts w:hint="eastAsia" w:ascii="仿宋" w:hAnsi="仿宋" w:eastAsia="仿宋" w:cs="仿宋"/>
                <w:sz w:val="24"/>
                <w:szCs w:val="24"/>
              </w:rPr>
              <w:t>课程目标及评分占比</w:t>
            </w:r>
          </w:p>
        </w:tc>
        <w:tc>
          <w:tcPr>
            <w:tcW w:w="3562" w:type="dxa"/>
            <w:gridSpan w:val="6"/>
            <w:vMerge w:val="restart"/>
            <w:tcBorders>
              <w:right w:val="single" w:color="000000" w:sz="4" w:space="0"/>
            </w:tcBorders>
            <w:noWrap w:val="0"/>
            <w:vAlign w:val="center"/>
          </w:tcPr>
          <w:p w14:paraId="2DCB8EAA">
            <w:pPr>
              <w:tabs>
                <w:tab w:val="left" w:pos="720"/>
              </w:tabs>
              <w:adjustRightInd w:val="0"/>
              <w:snapToGrid w:val="0"/>
              <w:jc w:val="center"/>
              <w:rPr>
                <w:rFonts w:ascii="仿宋" w:hAnsi="仿宋" w:eastAsia="仿宋" w:cs="仿宋"/>
                <w:sz w:val="24"/>
                <w:szCs w:val="24"/>
              </w:rPr>
            </w:pPr>
            <w:r>
              <w:rPr>
                <w:rFonts w:hint="eastAsia" w:ascii="仿宋" w:hAnsi="仿宋" w:eastAsia="仿宋" w:cs="仿宋"/>
                <w:sz w:val="24"/>
                <w:szCs w:val="24"/>
              </w:rPr>
              <w:t>考核内容</w:t>
            </w:r>
          </w:p>
        </w:tc>
        <w:tc>
          <w:tcPr>
            <w:tcW w:w="2440" w:type="dxa"/>
            <w:gridSpan w:val="6"/>
            <w:tcBorders>
              <w:left w:val="single" w:color="000000" w:sz="4" w:space="0"/>
              <w:right w:val="single" w:color="000000" w:sz="4" w:space="0"/>
            </w:tcBorders>
            <w:noWrap w:val="0"/>
            <w:vAlign w:val="center"/>
          </w:tcPr>
          <w:p w14:paraId="5BB79F5C">
            <w:pPr>
              <w:adjustRightInd w:val="0"/>
              <w:snapToGrid w:val="0"/>
              <w:jc w:val="center"/>
              <w:rPr>
                <w:rFonts w:ascii="仿宋" w:hAnsi="仿宋" w:eastAsia="仿宋" w:cs="仿宋"/>
                <w:sz w:val="24"/>
                <w:szCs w:val="24"/>
              </w:rPr>
            </w:pPr>
            <w:r>
              <w:rPr>
                <w:rFonts w:hint="eastAsia" w:ascii="仿宋" w:hAnsi="仿宋" w:eastAsia="仿宋" w:cs="仿宋"/>
                <w:sz w:val="24"/>
                <w:szCs w:val="24"/>
              </w:rPr>
              <w:t>考核方式</w:t>
            </w:r>
          </w:p>
        </w:tc>
        <w:tc>
          <w:tcPr>
            <w:tcW w:w="589" w:type="dxa"/>
            <w:vMerge w:val="restart"/>
            <w:tcBorders>
              <w:left w:val="single" w:color="000000" w:sz="4" w:space="0"/>
            </w:tcBorders>
            <w:noWrap w:val="0"/>
            <w:vAlign w:val="center"/>
          </w:tcPr>
          <w:p w14:paraId="67D29CF8">
            <w:pPr>
              <w:tabs>
                <w:tab w:val="left" w:pos="720"/>
              </w:tabs>
              <w:adjustRightInd w:val="0"/>
              <w:snapToGrid w:val="0"/>
              <w:jc w:val="center"/>
              <w:rPr>
                <w:rFonts w:ascii="仿宋" w:hAnsi="仿宋" w:eastAsia="仿宋" w:cs="仿宋"/>
                <w:sz w:val="24"/>
                <w:szCs w:val="24"/>
              </w:rPr>
            </w:pPr>
            <w:r>
              <w:rPr>
                <w:rFonts w:hint="eastAsia" w:ascii="仿宋" w:hAnsi="仿宋" w:eastAsia="仿宋" w:cs="仿宋"/>
                <w:sz w:val="24"/>
                <w:szCs w:val="24"/>
              </w:rPr>
              <w:t>课程分目标的达成度</w:t>
            </w:r>
          </w:p>
        </w:tc>
      </w:tr>
      <w:tr w14:paraId="722229AA">
        <w:trPr>
          <w:trHeight w:val="624" w:hRule="atLeast"/>
        </w:trPr>
        <w:tc>
          <w:tcPr>
            <w:tcW w:w="1431" w:type="dxa"/>
            <w:vMerge w:val="continue"/>
            <w:noWrap w:val="0"/>
            <w:vAlign w:val="center"/>
          </w:tcPr>
          <w:p w14:paraId="18522DEC">
            <w:pPr>
              <w:adjustRightInd w:val="0"/>
              <w:snapToGrid w:val="0"/>
              <w:spacing w:line="240" w:lineRule="atLeast"/>
              <w:jc w:val="center"/>
              <w:rPr>
                <w:rFonts w:ascii="仿宋" w:hAnsi="仿宋" w:eastAsia="仿宋" w:cs="仿宋"/>
                <w:sz w:val="24"/>
                <w:szCs w:val="24"/>
              </w:rPr>
            </w:pPr>
          </w:p>
        </w:tc>
        <w:tc>
          <w:tcPr>
            <w:tcW w:w="1126" w:type="dxa"/>
            <w:vMerge w:val="continue"/>
            <w:tcBorders>
              <w:tl2br w:val="single" w:color="auto" w:sz="4" w:space="0"/>
            </w:tcBorders>
            <w:noWrap w:val="0"/>
            <w:vAlign w:val="center"/>
          </w:tcPr>
          <w:p w14:paraId="6F746123">
            <w:pPr>
              <w:adjustRightInd w:val="0"/>
              <w:snapToGrid w:val="0"/>
              <w:jc w:val="right"/>
              <w:rPr>
                <w:rFonts w:ascii="仿宋" w:hAnsi="仿宋" w:eastAsia="仿宋" w:cs="仿宋"/>
                <w:sz w:val="24"/>
                <w:szCs w:val="24"/>
              </w:rPr>
            </w:pPr>
          </w:p>
        </w:tc>
        <w:tc>
          <w:tcPr>
            <w:tcW w:w="3562" w:type="dxa"/>
            <w:gridSpan w:val="6"/>
            <w:vMerge w:val="continue"/>
            <w:tcBorders>
              <w:right w:val="single" w:color="000000" w:sz="4" w:space="0"/>
            </w:tcBorders>
            <w:noWrap w:val="0"/>
            <w:vAlign w:val="center"/>
          </w:tcPr>
          <w:p w14:paraId="4CB2E68D">
            <w:pPr>
              <w:tabs>
                <w:tab w:val="left" w:pos="720"/>
              </w:tabs>
              <w:adjustRightInd w:val="0"/>
              <w:snapToGrid w:val="0"/>
              <w:jc w:val="center"/>
              <w:rPr>
                <w:rFonts w:ascii="仿宋" w:hAnsi="仿宋" w:eastAsia="仿宋" w:cs="仿宋"/>
                <w:sz w:val="24"/>
                <w:szCs w:val="24"/>
              </w:rPr>
            </w:pPr>
          </w:p>
        </w:tc>
        <w:tc>
          <w:tcPr>
            <w:tcW w:w="862" w:type="dxa"/>
            <w:gridSpan w:val="2"/>
            <w:tcBorders>
              <w:left w:val="single" w:color="000000" w:sz="4" w:space="0"/>
            </w:tcBorders>
            <w:noWrap w:val="0"/>
            <w:vAlign w:val="center"/>
          </w:tcPr>
          <w:p w14:paraId="08953108">
            <w:pPr>
              <w:tabs>
                <w:tab w:val="left" w:pos="720"/>
              </w:tabs>
              <w:adjustRightInd w:val="0"/>
              <w:snapToGrid w:val="0"/>
              <w:jc w:val="center"/>
              <w:rPr>
                <w:rFonts w:ascii="仿宋" w:hAnsi="仿宋" w:eastAsia="仿宋" w:cs="仿宋"/>
                <w:sz w:val="24"/>
                <w:szCs w:val="24"/>
              </w:rPr>
            </w:pPr>
            <w:r>
              <w:rPr>
                <w:rFonts w:hint="eastAsia" w:ascii="仿宋" w:hAnsi="仿宋" w:eastAsia="仿宋" w:cs="仿宋"/>
                <w:sz w:val="24"/>
                <w:szCs w:val="24"/>
              </w:rPr>
              <w:t>作业评分占比（</w:t>
            </w:r>
            <w:r>
              <w:rPr>
                <w:rFonts w:ascii="仿宋" w:hAnsi="仿宋" w:eastAsia="仿宋" w:cs="仿宋"/>
                <w:sz w:val="24"/>
                <w:szCs w:val="24"/>
              </w:rPr>
              <w:t>30</w:t>
            </w:r>
            <w:r>
              <w:rPr>
                <w:rFonts w:hint="eastAsia" w:ascii="仿宋" w:hAnsi="仿宋" w:eastAsia="仿宋" w:cs="仿宋"/>
                <w:sz w:val="24"/>
                <w:szCs w:val="24"/>
              </w:rPr>
              <w:t>%）</w:t>
            </w:r>
          </w:p>
        </w:tc>
        <w:tc>
          <w:tcPr>
            <w:tcW w:w="789" w:type="dxa"/>
            <w:gridSpan w:val="2"/>
            <w:tcBorders>
              <w:bottom w:val="single" w:color="auto" w:sz="4" w:space="0"/>
            </w:tcBorders>
            <w:noWrap w:val="0"/>
            <w:vAlign w:val="center"/>
          </w:tcPr>
          <w:p w14:paraId="1A1C615E">
            <w:pPr>
              <w:adjustRightInd w:val="0"/>
              <w:snapToGrid w:val="0"/>
              <w:jc w:val="center"/>
              <w:rPr>
                <w:rFonts w:ascii="仿宋" w:hAnsi="仿宋" w:eastAsia="仿宋" w:cs="仿宋"/>
                <w:sz w:val="24"/>
                <w:szCs w:val="24"/>
              </w:rPr>
            </w:pPr>
            <w:r>
              <w:rPr>
                <w:rFonts w:hint="eastAsia" w:ascii="仿宋" w:hAnsi="仿宋" w:eastAsia="仿宋" w:cs="仿宋"/>
                <w:sz w:val="24"/>
                <w:szCs w:val="24"/>
              </w:rPr>
              <w:t>课堂表现</w:t>
            </w:r>
          </w:p>
          <w:p w14:paraId="206698C1">
            <w:pPr>
              <w:adjustRightInd w:val="0"/>
              <w:snapToGrid w:val="0"/>
              <w:jc w:val="center"/>
              <w:rPr>
                <w:rFonts w:ascii="仿宋" w:hAnsi="仿宋" w:eastAsia="仿宋" w:cs="仿宋"/>
                <w:sz w:val="24"/>
                <w:szCs w:val="24"/>
              </w:rPr>
            </w:pPr>
            <w:r>
              <w:rPr>
                <w:rFonts w:hint="eastAsia" w:ascii="仿宋" w:hAnsi="仿宋" w:eastAsia="仿宋" w:cs="仿宋"/>
                <w:sz w:val="24"/>
                <w:szCs w:val="24"/>
              </w:rPr>
              <w:t>占比</w:t>
            </w:r>
          </w:p>
          <w:p w14:paraId="4ABA6CE0">
            <w:pPr>
              <w:adjustRightInd w:val="0"/>
              <w:snapToGrid w:val="0"/>
              <w:jc w:val="center"/>
              <w:rPr>
                <w:rFonts w:ascii="仿宋" w:hAnsi="仿宋" w:eastAsia="仿宋" w:cs="仿宋"/>
                <w:sz w:val="24"/>
                <w:szCs w:val="24"/>
              </w:rPr>
            </w:pPr>
            <w:r>
              <w:rPr>
                <w:rFonts w:hint="eastAsia" w:ascii="仿宋" w:hAnsi="仿宋" w:eastAsia="仿宋" w:cs="仿宋"/>
                <w:sz w:val="24"/>
                <w:szCs w:val="24"/>
              </w:rPr>
              <w:t>（</w:t>
            </w:r>
            <w:r>
              <w:rPr>
                <w:rFonts w:ascii="仿宋" w:hAnsi="仿宋" w:eastAsia="仿宋" w:cs="仿宋"/>
                <w:sz w:val="24"/>
                <w:szCs w:val="24"/>
              </w:rPr>
              <w:t>30</w:t>
            </w:r>
            <w:r>
              <w:rPr>
                <w:rFonts w:hint="eastAsia" w:ascii="仿宋" w:hAnsi="仿宋" w:eastAsia="仿宋" w:cs="仿宋"/>
                <w:sz w:val="24"/>
                <w:szCs w:val="24"/>
              </w:rPr>
              <w:t>%）</w:t>
            </w:r>
          </w:p>
        </w:tc>
        <w:tc>
          <w:tcPr>
            <w:tcW w:w="789" w:type="dxa"/>
            <w:gridSpan w:val="2"/>
            <w:tcBorders>
              <w:left w:val="single" w:color="000000" w:sz="4" w:space="0"/>
              <w:bottom w:val="single" w:color="auto" w:sz="4" w:space="0"/>
              <w:right w:val="single" w:color="000000" w:sz="4" w:space="0"/>
            </w:tcBorders>
            <w:noWrap w:val="0"/>
            <w:vAlign w:val="center"/>
          </w:tcPr>
          <w:p w14:paraId="4E43474A">
            <w:pPr>
              <w:adjustRightInd w:val="0"/>
              <w:snapToGrid w:val="0"/>
              <w:jc w:val="center"/>
              <w:rPr>
                <w:rFonts w:ascii="仿宋" w:hAnsi="仿宋" w:eastAsia="仿宋" w:cs="仿宋"/>
                <w:sz w:val="24"/>
                <w:szCs w:val="24"/>
              </w:rPr>
            </w:pPr>
            <w:r>
              <w:rPr>
                <w:rFonts w:hint="eastAsia" w:ascii="仿宋" w:hAnsi="仿宋" w:eastAsia="仿宋" w:cs="仿宋"/>
                <w:sz w:val="24"/>
                <w:szCs w:val="24"/>
              </w:rPr>
              <w:t>期末考试评分占比（</w:t>
            </w:r>
            <w:r>
              <w:rPr>
                <w:rFonts w:ascii="仿宋" w:hAnsi="仿宋" w:eastAsia="仿宋" w:cs="仿宋"/>
                <w:sz w:val="24"/>
                <w:szCs w:val="24"/>
              </w:rPr>
              <w:t>40</w:t>
            </w:r>
            <w:r>
              <w:rPr>
                <w:rFonts w:hint="eastAsia" w:ascii="仿宋" w:hAnsi="仿宋" w:eastAsia="仿宋" w:cs="仿宋"/>
                <w:sz w:val="24"/>
                <w:szCs w:val="24"/>
              </w:rPr>
              <w:t>%）</w:t>
            </w:r>
          </w:p>
        </w:tc>
        <w:tc>
          <w:tcPr>
            <w:tcW w:w="589" w:type="dxa"/>
            <w:vMerge w:val="continue"/>
            <w:tcBorders>
              <w:left w:val="single" w:color="000000" w:sz="4" w:space="0"/>
              <w:bottom w:val="single" w:color="auto" w:sz="4" w:space="0"/>
            </w:tcBorders>
            <w:noWrap w:val="0"/>
            <w:vAlign w:val="center"/>
          </w:tcPr>
          <w:p w14:paraId="50A38380">
            <w:pPr>
              <w:tabs>
                <w:tab w:val="left" w:pos="720"/>
              </w:tabs>
              <w:adjustRightInd w:val="0"/>
              <w:snapToGrid w:val="0"/>
              <w:jc w:val="center"/>
              <w:rPr>
                <w:rFonts w:ascii="仿宋" w:hAnsi="仿宋" w:eastAsia="仿宋" w:cs="仿宋"/>
                <w:sz w:val="24"/>
                <w:szCs w:val="24"/>
              </w:rPr>
            </w:pPr>
          </w:p>
        </w:tc>
      </w:tr>
      <w:tr w14:paraId="7846973A">
        <w:trPr>
          <w:trHeight w:val="624" w:hRule="atLeast"/>
        </w:trPr>
        <w:tc>
          <w:tcPr>
            <w:tcW w:w="1431" w:type="dxa"/>
            <w:vMerge w:val="continue"/>
            <w:noWrap w:val="0"/>
            <w:vAlign w:val="center"/>
          </w:tcPr>
          <w:p w14:paraId="147F93E0">
            <w:pPr>
              <w:adjustRightInd w:val="0"/>
              <w:snapToGrid w:val="0"/>
              <w:spacing w:line="240" w:lineRule="atLeast"/>
              <w:jc w:val="center"/>
              <w:rPr>
                <w:rFonts w:ascii="仿宋" w:hAnsi="仿宋" w:eastAsia="仿宋" w:cs="仿宋"/>
                <w:sz w:val="24"/>
                <w:szCs w:val="24"/>
                <w:lang w:eastAsia="zh-TW"/>
              </w:rPr>
            </w:pPr>
          </w:p>
        </w:tc>
        <w:tc>
          <w:tcPr>
            <w:tcW w:w="1126" w:type="dxa"/>
            <w:noWrap w:val="0"/>
            <w:vAlign w:val="center"/>
          </w:tcPr>
          <w:p w14:paraId="3BB64925">
            <w:pPr>
              <w:adjustRightInd w:val="0"/>
              <w:snapToGrid w:val="0"/>
              <w:jc w:val="center"/>
              <w:rPr>
                <w:rFonts w:ascii="仿宋" w:hAnsi="仿宋" w:eastAsia="仿宋" w:cs="仿宋"/>
                <w:sz w:val="24"/>
                <w:szCs w:val="24"/>
              </w:rPr>
            </w:pPr>
            <w:r>
              <w:rPr>
                <w:rFonts w:hint="eastAsia" w:ascii="仿宋" w:hAnsi="仿宋" w:eastAsia="仿宋" w:cs="仿宋"/>
                <w:sz w:val="24"/>
                <w:szCs w:val="24"/>
              </w:rPr>
              <w:t>课程目标1（</w:t>
            </w:r>
            <w:r>
              <w:rPr>
                <w:rFonts w:ascii="仿宋" w:hAnsi="仿宋" w:eastAsia="仿宋" w:cs="仿宋"/>
                <w:sz w:val="24"/>
                <w:szCs w:val="24"/>
              </w:rPr>
              <w:t>5</w:t>
            </w:r>
            <w:r>
              <w:rPr>
                <w:rFonts w:hint="eastAsia" w:ascii="仿宋" w:hAnsi="仿宋" w:eastAsia="仿宋" w:cs="仿宋"/>
                <w:sz w:val="24"/>
                <w:szCs w:val="24"/>
              </w:rPr>
              <w:t>0%）</w:t>
            </w:r>
          </w:p>
          <w:p w14:paraId="5A01766B">
            <w:pPr>
              <w:adjustRightInd w:val="0"/>
              <w:snapToGrid w:val="0"/>
              <w:jc w:val="center"/>
              <w:rPr>
                <w:rFonts w:ascii="仿宋" w:hAnsi="仿宋" w:eastAsia="仿宋" w:cs="仿宋"/>
                <w:sz w:val="24"/>
                <w:szCs w:val="24"/>
              </w:rPr>
            </w:pPr>
          </w:p>
        </w:tc>
        <w:tc>
          <w:tcPr>
            <w:tcW w:w="3562" w:type="dxa"/>
            <w:gridSpan w:val="6"/>
            <w:tcBorders>
              <w:right w:val="single" w:color="000000" w:sz="4" w:space="0"/>
            </w:tcBorders>
            <w:noWrap w:val="0"/>
            <w:vAlign w:val="center"/>
          </w:tcPr>
          <w:p w14:paraId="47F145CD">
            <w:pPr>
              <w:adjustRightInd w:val="0"/>
              <w:snapToGrid w:val="0"/>
              <w:jc w:val="left"/>
              <w:rPr>
                <w:rFonts w:ascii="仿宋" w:hAnsi="仿宋" w:eastAsia="仿宋" w:cs="仿宋"/>
                <w:sz w:val="24"/>
                <w:szCs w:val="24"/>
              </w:rPr>
            </w:pPr>
            <w:r>
              <w:rPr>
                <w:rFonts w:hint="eastAsia" w:ascii="仿宋" w:hAnsi="仿宋" w:eastAsia="仿宋" w:cs="仿宋"/>
                <w:sz w:val="24"/>
                <w:szCs w:val="24"/>
              </w:rPr>
              <w:t>1、掌握歌曲作法理论知识、歌曲作法专业术语，掌握正确、规范、科学的基本写作训练方法</w:t>
            </w:r>
          </w:p>
          <w:p w14:paraId="7745141D">
            <w:pPr>
              <w:adjustRightInd w:val="0"/>
              <w:snapToGrid w:val="0"/>
              <w:jc w:val="left"/>
              <w:rPr>
                <w:rFonts w:ascii="仿宋" w:hAnsi="仿宋" w:eastAsia="仿宋" w:cs="仿宋"/>
                <w:sz w:val="24"/>
                <w:szCs w:val="24"/>
              </w:rPr>
            </w:pPr>
            <w:r>
              <w:rPr>
                <w:rFonts w:hint="eastAsia" w:ascii="仿宋" w:hAnsi="仿宋" w:eastAsia="仿宋" w:cs="仿宋"/>
                <w:sz w:val="24"/>
                <w:szCs w:val="24"/>
              </w:rPr>
              <w:t>2、纠正错误格式、谱写整齐规范的写作格式</w:t>
            </w:r>
          </w:p>
        </w:tc>
        <w:tc>
          <w:tcPr>
            <w:tcW w:w="862" w:type="dxa"/>
            <w:gridSpan w:val="2"/>
            <w:tcBorders>
              <w:left w:val="single" w:color="000000" w:sz="4" w:space="0"/>
            </w:tcBorders>
            <w:noWrap w:val="0"/>
            <w:vAlign w:val="center"/>
          </w:tcPr>
          <w:p w14:paraId="1876ABFA">
            <w:pPr>
              <w:adjustRightInd w:val="0"/>
              <w:snapToGrid w:val="0"/>
              <w:jc w:val="center"/>
              <w:rPr>
                <w:rFonts w:ascii="仿宋" w:hAnsi="仿宋" w:eastAsia="仿宋" w:cs="仿宋"/>
                <w:sz w:val="24"/>
                <w:szCs w:val="24"/>
              </w:rPr>
            </w:pPr>
            <w:r>
              <w:rPr>
                <w:rFonts w:ascii="仿宋" w:hAnsi="仿宋" w:eastAsia="仿宋" w:cs="仿宋"/>
                <w:sz w:val="24"/>
                <w:szCs w:val="24"/>
              </w:rPr>
              <w:t>15</w:t>
            </w:r>
          </w:p>
        </w:tc>
        <w:tc>
          <w:tcPr>
            <w:tcW w:w="789" w:type="dxa"/>
            <w:gridSpan w:val="2"/>
            <w:tcBorders>
              <w:right w:val="single" w:color="auto" w:sz="4" w:space="0"/>
            </w:tcBorders>
            <w:noWrap w:val="0"/>
            <w:vAlign w:val="center"/>
          </w:tcPr>
          <w:p w14:paraId="6B8A1914">
            <w:pPr>
              <w:tabs>
                <w:tab w:val="left" w:pos="720"/>
              </w:tabs>
              <w:adjustRightInd w:val="0"/>
              <w:snapToGrid w:val="0"/>
              <w:jc w:val="center"/>
              <w:rPr>
                <w:rFonts w:ascii="仿宋" w:hAnsi="仿宋" w:eastAsia="仿宋" w:cs="仿宋"/>
                <w:sz w:val="24"/>
                <w:szCs w:val="24"/>
              </w:rPr>
            </w:pPr>
            <w:r>
              <w:rPr>
                <w:rFonts w:ascii="仿宋" w:hAnsi="仿宋" w:eastAsia="仿宋" w:cs="仿宋"/>
                <w:sz w:val="24"/>
                <w:szCs w:val="24"/>
              </w:rPr>
              <w:t>15</w:t>
            </w:r>
          </w:p>
        </w:tc>
        <w:tc>
          <w:tcPr>
            <w:tcW w:w="789" w:type="dxa"/>
            <w:gridSpan w:val="2"/>
            <w:tcBorders>
              <w:left w:val="single" w:color="000000" w:sz="4" w:space="0"/>
              <w:right w:val="single" w:color="auto" w:sz="4" w:space="0"/>
            </w:tcBorders>
            <w:noWrap w:val="0"/>
            <w:vAlign w:val="center"/>
          </w:tcPr>
          <w:p w14:paraId="64D50E39">
            <w:pPr>
              <w:tabs>
                <w:tab w:val="left" w:pos="720"/>
              </w:tabs>
              <w:adjustRightInd w:val="0"/>
              <w:snapToGrid w:val="0"/>
              <w:jc w:val="center"/>
              <w:rPr>
                <w:rFonts w:ascii="仿宋" w:hAnsi="仿宋" w:eastAsia="仿宋" w:cs="仿宋"/>
                <w:sz w:val="24"/>
                <w:szCs w:val="24"/>
              </w:rPr>
            </w:pPr>
            <w:r>
              <w:rPr>
                <w:rFonts w:ascii="仿宋" w:hAnsi="仿宋" w:eastAsia="仿宋" w:cs="仿宋"/>
                <w:sz w:val="24"/>
                <w:szCs w:val="24"/>
              </w:rPr>
              <w:t>20</w:t>
            </w:r>
          </w:p>
        </w:tc>
        <w:tc>
          <w:tcPr>
            <w:tcW w:w="589" w:type="dxa"/>
            <w:tcBorders>
              <w:left w:val="single" w:color="auto" w:sz="4" w:space="0"/>
              <w:bottom w:val="single" w:color="000000" w:sz="4" w:space="0"/>
            </w:tcBorders>
            <w:noWrap w:val="0"/>
            <w:vAlign w:val="center"/>
          </w:tcPr>
          <w:p w14:paraId="5C8AC7B7">
            <w:pPr>
              <w:tabs>
                <w:tab w:val="left" w:pos="720"/>
              </w:tabs>
              <w:adjustRightInd w:val="0"/>
              <w:snapToGrid w:val="0"/>
              <w:jc w:val="center"/>
              <w:rPr>
                <w:rFonts w:ascii="仿宋" w:hAnsi="仿宋" w:eastAsia="仿宋" w:cs="仿宋"/>
                <w:sz w:val="24"/>
                <w:szCs w:val="24"/>
              </w:rPr>
            </w:pPr>
            <w:r>
              <w:rPr>
                <w:rFonts w:hint="eastAsia" w:ascii="仿宋" w:hAnsi="仿宋" w:eastAsia="仿宋" w:cs="仿宋"/>
                <w:sz w:val="24"/>
                <w:szCs w:val="24"/>
              </w:rPr>
              <w:t>0.72</w:t>
            </w:r>
          </w:p>
        </w:tc>
      </w:tr>
      <w:tr w14:paraId="2102D8F3">
        <w:trPr>
          <w:trHeight w:val="624" w:hRule="atLeast"/>
        </w:trPr>
        <w:tc>
          <w:tcPr>
            <w:tcW w:w="1431" w:type="dxa"/>
            <w:vMerge w:val="continue"/>
            <w:noWrap w:val="0"/>
            <w:vAlign w:val="center"/>
          </w:tcPr>
          <w:p w14:paraId="699B33A4">
            <w:pPr>
              <w:adjustRightInd w:val="0"/>
              <w:snapToGrid w:val="0"/>
              <w:spacing w:line="240" w:lineRule="atLeast"/>
              <w:jc w:val="center"/>
              <w:rPr>
                <w:rFonts w:ascii="仿宋" w:hAnsi="仿宋" w:eastAsia="仿宋" w:cs="仿宋"/>
                <w:sz w:val="24"/>
                <w:szCs w:val="24"/>
                <w:lang w:eastAsia="zh-TW"/>
              </w:rPr>
            </w:pPr>
          </w:p>
        </w:tc>
        <w:tc>
          <w:tcPr>
            <w:tcW w:w="1126" w:type="dxa"/>
            <w:tcBorders>
              <w:bottom w:val="single" w:color="auto" w:sz="4" w:space="0"/>
            </w:tcBorders>
            <w:noWrap w:val="0"/>
            <w:vAlign w:val="center"/>
          </w:tcPr>
          <w:p w14:paraId="7AA92104">
            <w:pPr>
              <w:adjustRightInd w:val="0"/>
              <w:snapToGrid w:val="0"/>
              <w:jc w:val="center"/>
              <w:rPr>
                <w:rFonts w:ascii="仿宋" w:hAnsi="仿宋" w:eastAsia="仿宋" w:cs="仿宋"/>
                <w:sz w:val="24"/>
                <w:szCs w:val="24"/>
              </w:rPr>
            </w:pPr>
            <w:r>
              <w:rPr>
                <w:rFonts w:hint="eastAsia" w:ascii="仿宋" w:hAnsi="仿宋" w:eastAsia="仿宋" w:cs="仿宋"/>
                <w:sz w:val="24"/>
                <w:szCs w:val="24"/>
              </w:rPr>
              <w:t>课程目标</w:t>
            </w:r>
            <w:r>
              <w:rPr>
                <w:rFonts w:ascii="仿宋" w:hAnsi="仿宋" w:eastAsia="仿宋" w:cs="仿宋"/>
                <w:sz w:val="24"/>
                <w:szCs w:val="24"/>
              </w:rPr>
              <w:t>2</w:t>
            </w:r>
            <w:r>
              <w:rPr>
                <w:rFonts w:hint="eastAsia" w:ascii="仿宋" w:hAnsi="仿宋" w:eastAsia="仿宋" w:cs="仿宋"/>
                <w:sz w:val="24"/>
                <w:szCs w:val="24"/>
              </w:rPr>
              <w:t>（</w:t>
            </w:r>
            <w:r>
              <w:rPr>
                <w:rFonts w:ascii="仿宋" w:hAnsi="仿宋" w:eastAsia="仿宋" w:cs="仿宋"/>
                <w:sz w:val="24"/>
                <w:szCs w:val="24"/>
              </w:rPr>
              <w:t>3</w:t>
            </w:r>
            <w:r>
              <w:rPr>
                <w:rFonts w:hint="eastAsia" w:ascii="仿宋" w:hAnsi="仿宋" w:eastAsia="仿宋" w:cs="仿宋"/>
                <w:sz w:val="24"/>
                <w:szCs w:val="24"/>
              </w:rPr>
              <w:t>0%）</w:t>
            </w:r>
          </w:p>
        </w:tc>
        <w:tc>
          <w:tcPr>
            <w:tcW w:w="3562" w:type="dxa"/>
            <w:gridSpan w:val="6"/>
            <w:tcBorders>
              <w:bottom w:val="single" w:color="auto" w:sz="4" w:space="0"/>
              <w:right w:val="single" w:color="000000" w:sz="4" w:space="0"/>
            </w:tcBorders>
            <w:noWrap w:val="0"/>
            <w:vAlign w:val="center"/>
          </w:tcPr>
          <w:p w14:paraId="4068A7F7">
            <w:pPr>
              <w:adjustRightInd w:val="0"/>
              <w:snapToGrid w:val="0"/>
              <w:jc w:val="left"/>
              <w:rPr>
                <w:rFonts w:ascii="仿宋" w:hAnsi="仿宋" w:eastAsia="仿宋" w:cs="仿宋"/>
                <w:sz w:val="24"/>
                <w:szCs w:val="24"/>
              </w:rPr>
            </w:pPr>
            <w:r>
              <w:rPr>
                <w:rFonts w:hint="eastAsia" w:ascii="仿宋" w:hAnsi="仿宋" w:eastAsia="仿宋" w:cs="仿宋"/>
                <w:sz w:val="24"/>
                <w:szCs w:val="24"/>
              </w:rPr>
              <w:t>1、掌握歌曲作法的教学方法与教学规律</w:t>
            </w:r>
          </w:p>
          <w:p w14:paraId="41BF623D">
            <w:pPr>
              <w:adjustRightInd w:val="0"/>
              <w:snapToGrid w:val="0"/>
              <w:jc w:val="left"/>
              <w:rPr>
                <w:rFonts w:ascii="仿宋" w:hAnsi="仿宋" w:eastAsia="仿宋" w:cs="仿宋"/>
                <w:sz w:val="24"/>
                <w:szCs w:val="24"/>
              </w:rPr>
            </w:pPr>
            <w:r>
              <w:rPr>
                <w:rFonts w:hint="eastAsia" w:ascii="仿宋" w:hAnsi="仿宋" w:eastAsia="仿宋" w:cs="仿宋"/>
                <w:sz w:val="24"/>
                <w:szCs w:val="24"/>
              </w:rPr>
              <w:t>2、初步具备组织用旋律特征编写歌曲作法的能力</w:t>
            </w:r>
          </w:p>
        </w:tc>
        <w:tc>
          <w:tcPr>
            <w:tcW w:w="862" w:type="dxa"/>
            <w:gridSpan w:val="2"/>
            <w:tcBorders>
              <w:left w:val="single" w:color="000000" w:sz="4" w:space="0"/>
              <w:bottom w:val="single" w:color="auto" w:sz="4" w:space="0"/>
            </w:tcBorders>
            <w:noWrap w:val="0"/>
            <w:vAlign w:val="center"/>
          </w:tcPr>
          <w:p w14:paraId="56077447">
            <w:pPr>
              <w:adjustRightInd w:val="0"/>
              <w:snapToGrid w:val="0"/>
              <w:jc w:val="center"/>
              <w:rPr>
                <w:rFonts w:ascii="仿宋" w:hAnsi="仿宋" w:eastAsia="仿宋" w:cs="仿宋"/>
                <w:sz w:val="24"/>
                <w:szCs w:val="24"/>
              </w:rPr>
            </w:pPr>
            <w:r>
              <w:rPr>
                <w:rFonts w:ascii="仿宋" w:hAnsi="仿宋" w:eastAsia="仿宋" w:cs="仿宋"/>
                <w:sz w:val="24"/>
                <w:szCs w:val="24"/>
              </w:rPr>
              <w:t>9</w:t>
            </w:r>
          </w:p>
        </w:tc>
        <w:tc>
          <w:tcPr>
            <w:tcW w:w="789" w:type="dxa"/>
            <w:gridSpan w:val="2"/>
            <w:tcBorders>
              <w:top w:val="single" w:color="000000" w:sz="4" w:space="0"/>
              <w:bottom w:val="single" w:color="auto" w:sz="4" w:space="0"/>
            </w:tcBorders>
            <w:noWrap w:val="0"/>
            <w:vAlign w:val="center"/>
          </w:tcPr>
          <w:p w14:paraId="6B7EB788">
            <w:pPr>
              <w:tabs>
                <w:tab w:val="left" w:pos="720"/>
              </w:tabs>
              <w:adjustRightInd w:val="0"/>
              <w:snapToGrid w:val="0"/>
              <w:jc w:val="center"/>
              <w:rPr>
                <w:rFonts w:ascii="仿宋" w:hAnsi="仿宋" w:eastAsia="仿宋" w:cs="仿宋"/>
                <w:sz w:val="24"/>
                <w:szCs w:val="24"/>
              </w:rPr>
            </w:pPr>
            <w:r>
              <w:rPr>
                <w:rFonts w:ascii="仿宋" w:hAnsi="仿宋" w:eastAsia="仿宋" w:cs="仿宋"/>
                <w:sz w:val="24"/>
                <w:szCs w:val="24"/>
              </w:rPr>
              <w:t>9</w:t>
            </w:r>
          </w:p>
        </w:tc>
        <w:tc>
          <w:tcPr>
            <w:tcW w:w="789" w:type="dxa"/>
            <w:gridSpan w:val="2"/>
            <w:tcBorders>
              <w:top w:val="single" w:color="000000" w:sz="4" w:space="0"/>
              <w:left w:val="single" w:color="000000" w:sz="4" w:space="0"/>
              <w:bottom w:val="single" w:color="auto" w:sz="4" w:space="0"/>
              <w:right w:val="single" w:color="000000" w:sz="4" w:space="0"/>
            </w:tcBorders>
            <w:noWrap w:val="0"/>
            <w:vAlign w:val="center"/>
          </w:tcPr>
          <w:p w14:paraId="551FC613">
            <w:pPr>
              <w:tabs>
                <w:tab w:val="left" w:pos="720"/>
              </w:tabs>
              <w:adjustRightInd w:val="0"/>
              <w:snapToGrid w:val="0"/>
              <w:jc w:val="center"/>
              <w:rPr>
                <w:rFonts w:ascii="仿宋" w:hAnsi="仿宋" w:eastAsia="仿宋" w:cs="仿宋"/>
                <w:sz w:val="24"/>
                <w:szCs w:val="24"/>
              </w:rPr>
            </w:pPr>
            <w:r>
              <w:rPr>
                <w:rFonts w:ascii="仿宋" w:hAnsi="仿宋" w:eastAsia="仿宋" w:cs="仿宋"/>
                <w:sz w:val="24"/>
                <w:szCs w:val="24"/>
              </w:rPr>
              <w:t>1</w:t>
            </w:r>
            <w:r>
              <w:rPr>
                <w:rFonts w:hint="eastAsia" w:ascii="仿宋" w:hAnsi="仿宋" w:eastAsia="仿宋" w:cs="仿宋"/>
                <w:sz w:val="24"/>
                <w:szCs w:val="24"/>
              </w:rPr>
              <w:t>2</w:t>
            </w:r>
          </w:p>
        </w:tc>
        <w:tc>
          <w:tcPr>
            <w:tcW w:w="589" w:type="dxa"/>
            <w:tcBorders>
              <w:top w:val="single" w:color="000000" w:sz="4" w:space="0"/>
              <w:left w:val="single" w:color="000000" w:sz="4" w:space="0"/>
              <w:bottom w:val="single" w:color="auto" w:sz="4" w:space="0"/>
            </w:tcBorders>
            <w:noWrap w:val="0"/>
            <w:vAlign w:val="center"/>
          </w:tcPr>
          <w:p w14:paraId="0C5DEC37">
            <w:pPr>
              <w:tabs>
                <w:tab w:val="left" w:pos="720"/>
              </w:tabs>
              <w:adjustRightInd w:val="0"/>
              <w:snapToGrid w:val="0"/>
              <w:jc w:val="center"/>
              <w:rPr>
                <w:rFonts w:ascii="仿宋" w:hAnsi="仿宋" w:eastAsia="仿宋" w:cs="仿宋"/>
                <w:sz w:val="24"/>
                <w:szCs w:val="24"/>
              </w:rPr>
            </w:pPr>
            <w:r>
              <w:rPr>
                <w:rFonts w:ascii="仿宋" w:hAnsi="仿宋" w:eastAsia="仿宋" w:cs="仿宋"/>
                <w:sz w:val="24"/>
                <w:szCs w:val="24"/>
              </w:rPr>
              <w:t>0</w:t>
            </w:r>
            <w:r>
              <w:rPr>
                <w:rFonts w:hint="eastAsia" w:ascii="仿宋" w:hAnsi="仿宋" w:eastAsia="仿宋" w:cs="仿宋"/>
                <w:sz w:val="24"/>
                <w:szCs w:val="24"/>
              </w:rPr>
              <w:t>.76</w:t>
            </w:r>
          </w:p>
        </w:tc>
      </w:tr>
      <w:tr w14:paraId="3EDB6E11">
        <w:trPr>
          <w:trHeight w:val="624" w:hRule="atLeast"/>
        </w:trPr>
        <w:tc>
          <w:tcPr>
            <w:tcW w:w="1431" w:type="dxa"/>
            <w:vMerge w:val="continue"/>
            <w:noWrap w:val="0"/>
            <w:vAlign w:val="center"/>
          </w:tcPr>
          <w:p w14:paraId="06EE356E">
            <w:pPr>
              <w:adjustRightInd w:val="0"/>
              <w:snapToGrid w:val="0"/>
              <w:spacing w:line="240" w:lineRule="atLeast"/>
              <w:jc w:val="center"/>
              <w:rPr>
                <w:rFonts w:ascii="仿宋" w:hAnsi="仿宋" w:eastAsia="仿宋" w:cs="仿宋"/>
                <w:sz w:val="24"/>
                <w:szCs w:val="24"/>
                <w:lang w:eastAsia="zh-TW"/>
              </w:rPr>
            </w:pPr>
          </w:p>
        </w:tc>
        <w:tc>
          <w:tcPr>
            <w:tcW w:w="1126" w:type="dxa"/>
            <w:tcBorders>
              <w:bottom w:val="single" w:color="auto" w:sz="4" w:space="0"/>
            </w:tcBorders>
            <w:noWrap w:val="0"/>
            <w:vAlign w:val="center"/>
          </w:tcPr>
          <w:p w14:paraId="58A8DAA6">
            <w:pPr>
              <w:adjustRightInd w:val="0"/>
              <w:snapToGrid w:val="0"/>
              <w:jc w:val="center"/>
              <w:rPr>
                <w:rFonts w:ascii="仿宋" w:hAnsi="仿宋" w:eastAsia="仿宋" w:cs="仿宋"/>
                <w:sz w:val="24"/>
                <w:szCs w:val="24"/>
              </w:rPr>
            </w:pPr>
            <w:r>
              <w:rPr>
                <w:rFonts w:hint="eastAsia" w:ascii="仿宋" w:hAnsi="仿宋" w:eastAsia="仿宋" w:cs="仿宋"/>
                <w:sz w:val="24"/>
                <w:szCs w:val="24"/>
              </w:rPr>
              <w:t>课程目标</w:t>
            </w:r>
            <w:r>
              <w:rPr>
                <w:rFonts w:ascii="仿宋" w:hAnsi="仿宋" w:eastAsia="仿宋" w:cs="仿宋"/>
                <w:sz w:val="24"/>
                <w:szCs w:val="24"/>
              </w:rPr>
              <w:t>3</w:t>
            </w:r>
            <w:r>
              <w:rPr>
                <w:rFonts w:hint="eastAsia" w:ascii="仿宋" w:hAnsi="仿宋" w:eastAsia="仿宋" w:cs="仿宋"/>
                <w:sz w:val="24"/>
                <w:szCs w:val="24"/>
              </w:rPr>
              <w:t>（</w:t>
            </w:r>
            <w:r>
              <w:rPr>
                <w:rFonts w:ascii="仿宋" w:hAnsi="仿宋" w:eastAsia="仿宋" w:cs="仿宋"/>
                <w:sz w:val="24"/>
                <w:szCs w:val="24"/>
              </w:rPr>
              <w:t>2</w:t>
            </w:r>
            <w:r>
              <w:rPr>
                <w:rFonts w:hint="eastAsia" w:ascii="仿宋" w:hAnsi="仿宋" w:eastAsia="仿宋" w:cs="仿宋"/>
                <w:sz w:val="24"/>
                <w:szCs w:val="24"/>
              </w:rPr>
              <w:t>0%）</w:t>
            </w:r>
          </w:p>
        </w:tc>
        <w:tc>
          <w:tcPr>
            <w:tcW w:w="3562" w:type="dxa"/>
            <w:gridSpan w:val="6"/>
            <w:tcBorders>
              <w:bottom w:val="single" w:color="auto" w:sz="4" w:space="0"/>
              <w:right w:val="single" w:color="000000" w:sz="4" w:space="0"/>
            </w:tcBorders>
            <w:noWrap w:val="0"/>
            <w:vAlign w:val="center"/>
          </w:tcPr>
          <w:p w14:paraId="20D18243">
            <w:pPr>
              <w:adjustRightInd w:val="0"/>
              <w:snapToGrid w:val="0"/>
              <w:jc w:val="left"/>
              <w:rPr>
                <w:rFonts w:ascii="仿宋" w:hAnsi="仿宋" w:eastAsia="仿宋" w:cs="仿宋"/>
                <w:sz w:val="24"/>
                <w:szCs w:val="24"/>
              </w:rPr>
            </w:pPr>
            <w:r>
              <w:rPr>
                <w:rStyle w:val="232"/>
                <w:rFonts w:hint="eastAsia" w:ascii="仿宋" w:hAnsi="仿宋" w:eastAsia="仿宋"/>
                <w:sz w:val="24"/>
                <w:szCs w:val="24"/>
              </w:rPr>
              <w:t>1、具有正确的艺术观</w:t>
            </w:r>
            <w:r>
              <w:rPr>
                <w:rStyle w:val="232"/>
                <w:rFonts w:ascii="仿宋" w:hAnsi="仿宋" w:eastAsia="仿宋"/>
                <w:sz w:val="24"/>
                <w:szCs w:val="24"/>
              </w:rPr>
              <w:t>、</w:t>
            </w:r>
            <w:r>
              <w:rPr>
                <w:rStyle w:val="232"/>
                <w:rFonts w:hint="eastAsia" w:ascii="仿宋" w:hAnsi="仿宋" w:eastAsia="仿宋"/>
                <w:sz w:val="24"/>
                <w:szCs w:val="24"/>
              </w:rPr>
              <w:t>审美观</w:t>
            </w:r>
            <w:r>
              <w:rPr>
                <w:rStyle w:val="232"/>
                <w:rFonts w:ascii="仿宋" w:hAnsi="仿宋" w:eastAsia="仿宋"/>
                <w:sz w:val="24"/>
                <w:szCs w:val="24"/>
              </w:rPr>
              <w:t>、</w:t>
            </w:r>
            <w:r>
              <w:rPr>
                <w:rStyle w:val="232"/>
                <w:rFonts w:hint="eastAsia" w:ascii="仿宋" w:hAnsi="仿宋" w:eastAsia="仿宋"/>
                <w:sz w:val="24"/>
                <w:szCs w:val="24"/>
              </w:rPr>
              <w:t>价值观</w:t>
            </w:r>
          </w:p>
          <w:p w14:paraId="07B82478">
            <w:pPr>
              <w:adjustRightInd w:val="0"/>
              <w:snapToGrid w:val="0"/>
              <w:jc w:val="left"/>
              <w:rPr>
                <w:rFonts w:ascii="仿宋" w:hAnsi="仿宋" w:eastAsia="仿宋" w:cs="仿宋"/>
                <w:sz w:val="24"/>
                <w:szCs w:val="24"/>
              </w:rPr>
            </w:pPr>
            <w:r>
              <w:rPr>
                <w:rFonts w:hint="eastAsia" w:ascii="仿宋" w:hAnsi="仿宋" w:eastAsia="仿宋" w:cs="仿宋"/>
                <w:sz w:val="24"/>
                <w:szCs w:val="24"/>
              </w:rPr>
              <w:t>2、领会实践的意义和教学方法和教学反思</w:t>
            </w:r>
          </w:p>
          <w:p w14:paraId="0E418B9A">
            <w:pPr>
              <w:adjustRightInd w:val="0"/>
              <w:snapToGrid w:val="0"/>
              <w:jc w:val="left"/>
              <w:rPr>
                <w:rFonts w:ascii="仿宋" w:hAnsi="仿宋" w:eastAsia="仿宋" w:cs="仿宋"/>
                <w:sz w:val="24"/>
                <w:szCs w:val="24"/>
              </w:rPr>
            </w:pPr>
            <w:r>
              <w:rPr>
                <w:rFonts w:hint="eastAsia" w:ascii="仿宋" w:hAnsi="仿宋" w:eastAsia="仿宋" w:cs="仿宋"/>
                <w:sz w:val="24"/>
                <w:szCs w:val="24"/>
              </w:rPr>
              <w:t>3、掌握音乐的表达情感和理解音乐的能力</w:t>
            </w:r>
          </w:p>
        </w:tc>
        <w:tc>
          <w:tcPr>
            <w:tcW w:w="862" w:type="dxa"/>
            <w:gridSpan w:val="2"/>
            <w:tcBorders>
              <w:left w:val="single" w:color="000000" w:sz="4" w:space="0"/>
              <w:bottom w:val="single" w:color="auto" w:sz="4" w:space="0"/>
            </w:tcBorders>
            <w:noWrap w:val="0"/>
            <w:vAlign w:val="center"/>
          </w:tcPr>
          <w:p w14:paraId="280C9B73">
            <w:pPr>
              <w:adjustRightInd w:val="0"/>
              <w:snapToGrid w:val="0"/>
              <w:jc w:val="center"/>
              <w:rPr>
                <w:rFonts w:ascii="仿宋" w:hAnsi="仿宋" w:eastAsia="仿宋" w:cs="仿宋"/>
                <w:sz w:val="24"/>
                <w:szCs w:val="24"/>
              </w:rPr>
            </w:pPr>
            <w:r>
              <w:rPr>
                <w:rFonts w:ascii="仿宋" w:hAnsi="仿宋" w:eastAsia="仿宋" w:cs="仿宋"/>
                <w:sz w:val="24"/>
                <w:szCs w:val="24"/>
              </w:rPr>
              <w:t>6</w:t>
            </w:r>
          </w:p>
        </w:tc>
        <w:tc>
          <w:tcPr>
            <w:tcW w:w="789" w:type="dxa"/>
            <w:gridSpan w:val="2"/>
            <w:tcBorders>
              <w:top w:val="single" w:color="000000" w:sz="4" w:space="0"/>
              <w:bottom w:val="single" w:color="auto" w:sz="4" w:space="0"/>
            </w:tcBorders>
            <w:noWrap w:val="0"/>
            <w:vAlign w:val="center"/>
          </w:tcPr>
          <w:p w14:paraId="1B811821">
            <w:pPr>
              <w:tabs>
                <w:tab w:val="left" w:pos="720"/>
              </w:tabs>
              <w:adjustRightInd w:val="0"/>
              <w:snapToGrid w:val="0"/>
              <w:jc w:val="center"/>
              <w:rPr>
                <w:rFonts w:ascii="仿宋" w:hAnsi="仿宋" w:eastAsia="仿宋" w:cs="仿宋"/>
                <w:sz w:val="24"/>
                <w:szCs w:val="24"/>
              </w:rPr>
            </w:pPr>
            <w:r>
              <w:rPr>
                <w:rFonts w:hint="eastAsia" w:ascii="仿宋" w:hAnsi="仿宋" w:eastAsia="仿宋" w:cs="仿宋"/>
                <w:sz w:val="24"/>
                <w:szCs w:val="24"/>
              </w:rPr>
              <w:t>6</w:t>
            </w:r>
          </w:p>
        </w:tc>
        <w:tc>
          <w:tcPr>
            <w:tcW w:w="789" w:type="dxa"/>
            <w:gridSpan w:val="2"/>
            <w:tcBorders>
              <w:top w:val="single" w:color="000000" w:sz="4" w:space="0"/>
              <w:left w:val="single" w:color="000000" w:sz="4" w:space="0"/>
              <w:bottom w:val="single" w:color="auto" w:sz="4" w:space="0"/>
              <w:right w:val="single" w:color="000000" w:sz="4" w:space="0"/>
            </w:tcBorders>
            <w:noWrap w:val="0"/>
            <w:vAlign w:val="center"/>
          </w:tcPr>
          <w:p w14:paraId="4B7E8999">
            <w:pPr>
              <w:tabs>
                <w:tab w:val="left" w:pos="720"/>
              </w:tabs>
              <w:adjustRightInd w:val="0"/>
              <w:snapToGrid w:val="0"/>
              <w:jc w:val="center"/>
              <w:rPr>
                <w:rFonts w:ascii="仿宋" w:hAnsi="仿宋" w:eastAsia="仿宋" w:cs="仿宋"/>
                <w:sz w:val="24"/>
                <w:szCs w:val="24"/>
              </w:rPr>
            </w:pPr>
            <w:r>
              <w:rPr>
                <w:rFonts w:hint="eastAsia" w:ascii="仿宋" w:hAnsi="仿宋" w:eastAsia="仿宋" w:cs="仿宋"/>
                <w:sz w:val="24"/>
                <w:szCs w:val="24"/>
              </w:rPr>
              <w:t>8</w:t>
            </w:r>
          </w:p>
        </w:tc>
        <w:tc>
          <w:tcPr>
            <w:tcW w:w="589" w:type="dxa"/>
            <w:tcBorders>
              <w:top w:val="single" w:color="000000" w:sz="4" w:space="0"/>
              <w:left w:val="single" w:color="000000" w:sz="4" w:space="0"/>
              <w:bottom w:val="single" w:color="auto" w:sz="4" w:space="0"/>
            </w:tcBorders>
            <w:noWrap w:val="0"/>
            <w:vAlign w:val="center"/>
          </w:tcPr>
          <w:p w14:paraId="0F5AB9F0">
            <w:pPr>
              <w:tabs>
                <w:tab w:val="left" w:pos="720"/>
              </w:tabs>
              <w:adjustRightInd w:val="0"/>
              <w:snapToGrid w:val="0"/>
              <w:jc w:val="center"/>
              <w:rPr>
                <w:rFonts w:ascii="仿宋" w:hAnsi="仿宋" w:eastAsia="仿宋" w:cs="仿宋"/>
                <w:sz w:val="24"/>
                <w:szCs w:val="24"/>
              </w:rPr>
            </w:pPr>
            <w:r>
              <w:rPr>
                <w:rFonts w:ascii="仿宋" w:hAnsi="仿宋" w:eastAsia="仿宋" w:cs="仿宋"/>
                <w:sz w:val="24"/>
                <w:szCs w:val="24"/>
              </w:rPr>
              <w:t>0</w:t>
            </w:r>
            <w:r>
              <w:rPr>
                <w:rFonts w:hint="eastAsia" w:ascii="仿宋" w:hAnsi="仿宋" w:eastAsia="仿宋" w:cs="仿宋"/>
                <w:sz w:val="24"/>
                <w:szCs w:val="24"/>
              </w:rPr>
              <w:t>.73</w:t>
            </w:r>
          </w:p>
        </w:tc>
      </w:tr>
      <w:tr w14:paraId="33FAE553">
        <w:trPr>
          <w:trHeight w:val="624" w:hRule="atLeast"/>
        </w:trPr>
        <w:tc>
          <w:tcPr>
            <w:tcW w:w="1431" w:type="dxa"/>
            <w:vMerge w:val="continue"/>
            <w:noWrap w:val="0"/>
            <w:vAlign w:val="center"/>
          </w:tcPr>
          <w:p w14:paraId="5B4196D2">
            <w:pPr>
              <w:adjustRightInd w:val="0"/>
              <w:snapToGrid w:val="0"/>
              <w:spacing w:line="240" w:lineRule="atLeast"/>
              <w:jc w:val="center"/>
              <w:rPr>
                <w:rFonts w:ascii="仿宋" w:hAnsi="仿宋" w:eastAsia="仿宋" w:cs="仿宋"/>
                <w:sz w:val="24"/>
                <w:szCs w:val="24"/>
                <w:lang w:eastAsia="zh-TW"/>
              </w:rPr>
            </w:pPr>
          </w:p>
        </w:tc>
        <w:tc>
          <w:tcPr>
            <w:tcW w:w="4688" w:type="dxa"/>
            <w:gridSpan w:val="7"/>
            <w:tcBorders>
              <w:bottom w:val="single" w:color="auto" w:sz="4" w:space="0"/>
              <w:right w:val="single" w:color="000000" w:sz="4" w:space="0"/>
            </w:tcBorders>
            <w:noWrap w:val="0"/>
            <w:vAlign w:val="center"/>
          </w:tcPr>
          <w:p w14:paraId="3E40A09D">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总分</w:t>
            </w:r>
          </w:p>
        </w:tc>
        <w:tc>
          <w:tcPr>
            <w:tcW w:w="862" w:type="dxa"/>
            <w:gridSpan w:val="2"/>
            <w:tcBorders>
              <w:left w:val="single" w:color="000000" w:sz="4" w:space="0"/>
              <w:bottom w:val="single" w:color="auto" w:sz="4" w:space="0"/>
            </w:tcBorders>
            <w:noWrap w:val="0"/>
            <w:vAlign w:val="center"/>
          </w:tcPr>
          <w:p w14:paraId="5A484175">
            <w:pPr>
              <w:adjustRightInd w:val="0"/>
              <w:snapToGrid w:val="0"/>
              <w:jc w:val="center"/>
              <w:rPr>
                <w:rFonts w:ascii="仿宋" w:hAnsi="仿宋" w:eastAsia="仿宋" w:cs="仿宋"/>
                <w:sz w:val="24"/>
                <w:szCs w:val="24"/>
              </w:rPr>
            </w:pPr>
            <w:r>
              <w:rPr>
                <w:rFonts w:ascii="仿宋" w:hAnsi="仿宋" w:eastAsia="仿宋" w:cs="仿宋"/>
                <w:sz w:val="24"/>
                <w:szCs w:val="24"/>
              </w:rPr>
              <w:t>30</w:t>
            </w:r>
          </w:p>
        </w:tc>
        <w:tc>
          <w:tcPr>
            <w:tcW w:w="789" w:type="dxa"/>
            <w:gridSpan w:val="2"/>
            <w:tcBorders>
              <w:top w:val="single" w:color="000000" w:sz="4" w:space="0"/>
              <w:bottom w:val="single" w:color="auto" w:sz="4" w:space="0"/>
            </w:tcBorders>
            <w:noWrap w:val="0"/>
            <w:vAlign w:val="center"/>
          </w:tcPr>
          <w:p w14:paraId="164591F9">
            <w:pPr>
              <w:tabs>
                <w:tab w:val="left" w:pos="720"/>
              </w:tabs>
              <w:adjustRightInd w:val="0"/>
              <w:snapToGrid w:val="0"/>
              <w:jc w:val="center"/>
              <w:rPr>
                <w:rFonts w:ascii="仿宋" w:hAnsi="仿宋" w:eastAsia="仿宋" w:cs="仿宋"/>
                <w:sz w:val="24"/>
                <w:szCs w:val="24"/>
              </w:rPr>
            </w:pPr>
            <w:r>
              <w:rPr>
                <w:rFonts w:ascii="仿宋" w:hAnsi="仿宋" w:eastAsia="仿宋" w:cs="仿宋"/>
                <w:sz w:val="24"/>
                <w:szCs w:val="24"/>
              </w:rPr>
              <w:t>30</w:t>
            </w:r>
          </w:p>
        </w:tc>
        <w:tc>
          <w:tcPr>
            <w:tcW w:w="789" w:type="dxa"/>
            <w:gridSpan w:val="2"/>
            <w:tcBorders>
              <w:top w:val="single" w:color="000000" w:sz="4" w:space="0"/>
              <w:left w:val="single" w:color="000000" w:sz="4" w:space="0"/>
              <w:bottom w:val="single" w:color="auto" w:sz="4" w:space="0"/>
              <w:right w:val="single" w:color="000000" w:sz="4" w:space="0"/>
            </w:tcBorders>
            <w:noWrap w:val="0"/>
            <w:vAlign w:val="center"/>
          </w:tcPr>
          <w:p w14:paraId="577D27BE">
            <w:pPr>
              <w:tabs>
                <w:tab w:val="left" w:pos="720"/>
              </w:tabs>
              <w:adjustRightInd w:val="0"/>
              <w:snapToGrid w:val="0"/>
              <w:jc w:val="center"/>
              <w:rPr>
                <w:rFonts w:ascii="仿宋" w:hAnsi="仿宋" w:eastAsia="仿宋" w:cs="仿宋"/>
                <w:sz w:val="24"/>
                <w:szCs w:val="24"/>
              </w:rPr>
            </w:pPr>
            <w:r>
              <w:rPr>
                <w:rFonts w:ascii="仿宋" w:hAnsi="仿宋" w:eastAsia="仿宋" w:cs="仿宋"/>
                <w:sz w:val="24"/>
                <w:szCs w:val="24"/>
              </w:rPr>
              <w:t>40</w:t>
            </w:r>
          </w:p>
        </w:tc>
        <w:tc>
          <w:tcPr>
            <w:tcW w:w="589" w:type="dxa"/>
            <w:tcBorders>
              <w:top w:val="single" w:color="000000" w:sz="4" w:space="0"/>
              <w:left w:val="single" w:color="000000" w:sz="4" w:space="0"/>
              <w:bottom w:val="single" w:color="auto" w:sz="4" w:space="0"/>
            </w:tcBorders>
            <w:noWrap w:val="0"/>
            <w:vAlign w:val="center"/>
          </w:tcPr>
          <w:p w14:paraId="1E775C0B">
            <w:pPr>
              <w:tabs>
                <w:tab w:val="left" w:pos="720"/>
              </w:tabs>
              <w:adjustRightInd w:val="0"/>
              <w:snapToGrid w:val="0"/>
              <w:jc w:val="center"/>
              <w:rPr>
                <w:rFonts w:ascii="仿宋" w:hAnsi="仿宋" w:eastAsia="仿宋" w:cs="仿宋"/>
                <w:sz w:val="24"/>
                <w:szCs w:val="24"/>
              </w:rPr>
            </w:pPr>
            <w:r>
              <w:rPr>
                <w:rFonts w:hint="eastAsia" w:ascii="仿宋" w:hAnsi="仿宋" w:eastAsia="仿宋" w:cs="仿宋"/>
                <w:sz w:val="24"/>
                <w:szCs w:val="24"/>
              </w:rPr>
              <w:t>0.74</w:t>
            </w:r>
          </w:p>
        </w:tc>
      </w:tr>
      <w:tr w14:paraId="0AF63112">
        <w:trPr>
          <w:trHeight w:val="624" w:hRule="atLeast"/>
        </w:trPr>
        <w:tc>
          <w:tcPr>
            <w:tcW w:w="1431" w:type="dxa"/>
            <w:noWrap w:val="0"/>
            <w:vAlign w:val="center"/>
          </w:tcPr>
          <w:p w14:paraId="190816CB">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L</w:t>
            </w:r>
          </w:p>
          <w:p w14:paraId="5AFF721E">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学习建议</w:t>
            </w:r>
          </w:p>
        </w:tc>
        <w:tc>
          <w:tcPr>
            <w:tcW w:w="7717" w:type="dxa"/>
            <w:gridSpan w:val="14"/>
            <w:tcBorders>
              <w:bottom w:val="single" w:color="auto" w:sz="4" w:space="0"/>
            </w:tcBorders>
            <w:noWrap w:val="0"/>
            <w:vAlign w:val="center"/>
          </w:tcPr>
          <w:p w14:paraId="4E091314">
            <w:pPr>
              <w:adjustRightInd w:val="0"/>
              <w:snapToGrid w:val="0"/>
              <w:rPr>
                <w:rFonts w:ascii="仿宋" w:hAnsi="仿宋" w:eastAsia="仿宋" w:cs="仿宋"/>
                <w:bCs/>
                <w:sz w:val="24"/>
                <w:szCs w:val="24"/>
              </w:rPr>
            </w:pPr>
            <w:r>
              <w:rPr>
                <w:rFonts w:hint="eastAsia" w:ascii="仿宋" w:hAnsi="仿宋" w:eastAsia="仿宋" w:cs="仿宋"/>
                <w:bCs/>
                <w:sz w:val="24"/>
                <w:szCs w:val="24"/>
              </w:rPr>
              <w:t>1、自主学习。建议学生通过网络资源，规划自己的课程学习计划，充分发挥自身的学习能动性。</w:t>
            </w:r>
          </w:p>
          <w:p w14:paraId="7FCCCCBF">
            <w:pPr>
              <w:adjustRightInd w:val="0"/>
              <w:snapToGrid w:val="0"/>
              <w:rPr>
                <w:rFonts w:ascii="仿宋" w:hAnsi="仿宋" w:eastAsia="仿宋" w:cs="仿宋"/>
                <w:sz w:val="24"/>
                <w:szCs w:val="24"/>
              </w:rPr>
            </w:pPr>
            <w:r>
              <w:rPr>
                <w:rFonts w:hint="eastAsia" w:ascii="仿宋" w:hAnsi="仿宋" w:eastAsia="仿宋" w:cs="仿宋"/>
                <w:bCs/>
                <w:sz w:val="24"/>
                <w:szCs w:val="24"/>
              </w:rPr>
              <w:t>2、研究性学习。鼓励学生针对课程教学内容，尝试理论课结合实践的教学方式，提高学生的学习兴趣，了解国内外最新形体训练知识，开阔学生的视野。</w:t>
            </w:r>
          </w:p>
        </w:tc>
      </w:tr>
      <w:tr w14:paraId="06910F6E">
        <w:trPr>
          <w:trHeight w:val="624" w:hRule="atLeast"/>
        </w:trPr>
        <w:tc>
          <w:tcPr>
            <w:tcW w:w="1431" w:type="dxa"/>
            <w:noWrap w:val="0"/>
            <w:vAlign w:val="center"/>
          </w:tcPr>
          <w:p w14:paraId="0C3E7F76">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M</w:t>
            </w:r>
          </w:p>
          <w:p w14:paraId="48423BF5">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评分量表</w:t>
            </w:r>
          </w:p>
        </w:tc>
        <w:tc>
          <w:tcPr>
            <w:tcW w:w="7717" w:type="dxa"/>
            <w:gridSpan w:val="14"/>
            <w:noWrap w:val="0"/>
            <w:vAlign w:val="center"/>
          </w:tcPr>
          <w:p w14:paraId="22979307">
            <w:pPr>
              <w:tabs>
                <w:tab w:val="left" w:pos="720"/>
              </w:tabs>
              <w:adjustRightInd w:val="0"/>
              <w:snapToGrid w:val="0"/>
              <w:rPr>
                <w:rFonts w:ascii="仿宋" w:hAnsi="仿宋" w:eastAsia="仿宋" w:cs="仿宋"/>
                <w:sz w:val="24"/>
                <w:szCs w:val="24"/>
              </w:rPr>
            </w:pPr>
            <w:r>
              <w:rPr>
                <w:rFonts w:hint="eastAsia" w:ascii="仿宋" w:hAnsi="仿宋" w:eastAsia="仿宋" w:cs="仿宋"/>
                <w:sz w:val="24"/>
                <w:szCs w:val="24"/>
              </w:rPr>
              <w:t>《歌曲作法》课程目标评分量表见附表。</w:t>
            </w:r>
          </w:p>
        </w:tc>
      </w:tr>
      <w:tr w14:paraId="3C1FE7B6">
        <w:trPr>
          <w:trHeight w:val="624" w:hRule="atLeast"/>
        </w:trPr>
        <w:tc>
          <w:tcPr>
            <w:tcW w:w="1431" w:type="dxa"/>
            <w:noWrap w:val="0"/>
            <w:vAlign w:val="center"/>
          </w:tcPr>
          <w:p w14:paraId="765B4F55">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备注</w:t>
            </w:r>
          </w:p>
        </w:tc>
        <w:tc>
          <w:tcPr>
            <w:tcW w:w="7717" w:type="dxa"/>
            <w:gridSpan w:val="14"/>
            <w:noWrap w:val="0"/>
            <w:vAlign w:val="center"/>
          </w:tcPr>
          <w:p w14:paraId="7BBEFBC5">
            <w:pPr>
              <w:adjustRightInd w:val="0"/>
              <w:snapToGrid w:val="0"/>
              <w:rPr>
                <w:rFonts w:ascii="仿宋" w:hAnsi="仿宋" w:eastAsia="仿宋" w:cs="仿宋"/>
                <w:sz w:val="24"/>
                <w:szCs w:val="24"/>
              </w:rPr>
            </w:pPr>
            <w:r>
              <w:rPr>
                <w:rFonts w:hint="eastAsia" w:ascii="仿宋" w:hAnsi="仿宋" w:eastAsia="仿宋" w:cs="仿宋"/>
                <w:sz w:val="24"/>
                <w:szCs w:val="24"/>
              </w:rPr>
              <w:t>课程大纲A—M项由开课学院审批通过，任课教师不能自行更改。</w:t>
            </w:r>
          </w:p>
        </w:tc>
      </w:tr>
      <w:tr w14:paraId="2F3E8ECE">
        <w:trPr>
          <w:trHeight w:val="624" w:hRule="atLeast"/>
        </w:trPr>
        <w:tc>
          <w:tcPr>
            <w:tcW w:w="1431" w:type="dxa"/>
            <w:noWrap w:val="0"/>
            <w:vAlign w:val="center"/>
          </w:tcPr>
          <w:p w14:paraId="3DF81C84">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审批</w:t>
            </w:r>
          </w:p>
          <w:p w14:paraId="45C847B5">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意见</w:t>
            </w:r>
          </w:p>
        </w:tc>
        <w:tc>
          <w:tcPr>
            <w:tcW w:w="3814" w:type="dxa"/>
            <w:gridSpan w:val="5"/>
            <w:noWrap w:val="0"/>
            <w:vAlign w:val="center"/>
          </w:tcPr>
          <w:p w14:paraId="296BFA5B">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 xml:space="preserve">课程教学大纲修订负责人及教学团队成员签名：   </w:t>
            </w:r>
          </w:p>
          <w:p w14:paraId="2513A262">
            <w:pPr>
              <w:widowControl/>
              <w:adjustRightInd w:val="0"/>
              <w:snapToGrid w:val="0"/>
              <w:jc w:val="left"/>
              <w:rPr>
                <w:rFonts w:ascii="仿宋" w:hAnsi="仿宋" w:eastAsia="仿宋" w:cs="仿宋"/>
                <w:sz w:val="24"/>
                <w:szCs w:val="24"/>
              </w:rPr>
            </w:pPr>
          </w:p>
          <w:p w14:paraId="61D81BF7">
            <w:pPr>
              <w:widowControl/>
              <w:adjustRightInd w:val="0"/>
              <w:snapToGrid w:val="0"/>
              <w:jc w:val="right"/>
              <w:rPr>
                <w:rFonts w:ascii="仿宋" w:hAnsi="仿宋" w:eastAsia="仿宋" w:cs="仿宋"/>
                <w:sz w:val="24"/>
                <w:szCs w:val="24"/>
              </w:rPr>
            </w:pPr>
            <w:r>
              <w:rPr>
                <w:rFonts w:hint="eastAsia" w:ascii="仿宋" w:hAnsi="仿宋" w:eastAsia="仿宋" w:cs="仿宋"/>
                <w:sz w:val="24"/>
                <w:szCs w:val="24"/>
              </w:rPr>
              <w:t xml:space="preserve">                                              年   月   日 </w:t>
            </w:r>
          </w:p>
          <w:p w14:paraId="753574CF">
            <w:pPr>
              <w:widowControl/>
              <w:adjustRightInd w:val="0"/>
              <w:snapToGrid w:val="0"/>
              <w:jc w:val="right"/>
              <w:rPr>
                <w:rFonts w:ascii="仿宋" w:hAnsi="仿宋" w:eastAsia="仿宋" w:cs="仿宋"/>
                <w:sz w:val="24"/>
                <w:szCs w:val="24"/>
              </w:rPr>
            </w:pPr>
          </w:p>
        </w:tc>
        <w:tc>
          <w:tcPr>
            <w:tcW w:w="3903" w:type="dxa"/>
            <w:gridSpan w:val="9"/>
            <w:noWrap w:val="0"/>
            <w:vAlign w:val="center"/>
          </w:tcPr>
          <w:p w14:paraId="30054D89">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系主任审核意见：</w:t>
            </w:r>
          </w:p>
          <w:p w14:paraId="019AF193">
            <w:pPr>
              <w:widowControl/>
              <w:adjustRightInd w:val="0"/>
              <w:snapToGrid w:val="0"/>
              <w:jc w:val="left"/>
              <w:rPr>
                <w:rFonts w:ascii="仿宋" w:hAnsi="仿宋" w:eastAsia="仿宋" w:cs="仿宋"/>
                <w:sz w:val="24"/>
                <w:szCs w:val="24"/>
              </w:rPr>
            </w:pPr>
          </w:p>
          <w:p w14:paraId="1A0FD9C4">
            <w:pPr>
              <w:widowControl/>
              <w:adjustRightInd w:val="0"/>
              <w:snapToGrid w:val="0"/>
              <w:jc w:val="left"/>
              <w:rPr>
                <w:rFonts w:ascii="仿宋" w:hAnsi="仿宋" w:eastAsia="仿宋" w:cs="仿宋"/>
                <w:sz w:val="24"/>
                <w:szCs w:val="24"/>
              </w:rPr>
            </w:pPr>
          </w:p>
          <w:p w14:paraId="648B0880">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系主任签名：</w:t>
            </w:r>
          </w:p>
          <w:p w14:paraId="73A040D2">
            <w:pPr>
              <w:widowControl/>
              <w:adjustRightInd w:val="0"/>
              <w:snapToGrid w:val="0"/>
              <w:ind w:firstLine="2160" w:firstLineChars="900"/>
              <w:rPr>
                <w:rFonts w:ascii="仿宋" w:hAnsi="仿宋" w:eastAsia="仿宋" w:cs="仿宋"/>
                <w:sz w:val="24"/>
                <w:szCs w:val="24"/>
              </w:rPr>
            </w:pPr>
            <w:r>
              <w:rPr>
                <w:rFonts w:hint="eastAsia" w:ascii="仿宋" w:hAnsi="仿宋" w:eastAsia="仿宋" w:cs="仿宋"/>
                <w:sz w:val="24"/>
                <w:szCs w:val="24"/>
              </w:rPr>
              <w:t>年   月   日</w:t>
            </w:r>
          </w:p>
          <w:p w14:paraId="03325780">
            <w:pPr>
              <w:widowControl/>
              <w:adjustRightInd w:val="0"/>
              <w:snapToGrid w:val="0"/>
              <w:jc w:val="right"/>
              <w:rPr>
                <w:rFonts w:ascii="仿宋" w:hAnsi="仿宋" w:eastAsia="仿宋" w:cs="仿宋"/>
                <w:sz w:val="24"/>
                <w:szCs w:val="24"/>
              </w:rPr>
            </w:pPr>
          </w:p>
        </w:tc>
      </w:tr>
    </w:tbl>
    <w:p w14:paraId="535B41F9">
      <w:pPr>
        <w:spacing w:before="240" w:line="276" w:lineRule="auto"/>
        <w:jc w:val="center"/>
        <w:rPr>
          <w:rFonts w:ascii="仿宋" w:eastAsia="仿宋" w:cs="仿宋"/>
          <w:b/>
          <w:kern w:val="2"/>
          <w:sz w:val="28"/>
          <w:szCs w:val="28"/>
        </w:rPr>
      </w:pPr>
    </w:p>
    <w:p w14:paraId="0BC1E79A">
      <w:pPr>
        <w:spacing w:before="240" w:line="276" w:lineRule="auto"/>
        <w:jc w:val="center"/>
        <w:outlineLvl w:val="0"/>
        <w:rPr>
          <w:rFonts w:ascii="仿宋" w:eastAsia="仿宋" w:cs="仿宋"/>
          <w:b/>
          <w:kern w:val="2"/>
          <w:sz w:val="28"/>
          <w:szCs w:val="28"/>
        </w:rPr>
      </w:pPr>
      <w:bookmarkStart w:id="207" w:name="_Toc1901749479"/>
      <w:r>
        <w:rPr>
          <w:rFonts w:hint="eastAsia" w:ascii="仿宋" w:eastAsia="仿宋" w:cs="仿宋"/>
          <w:b/>
          <w:kern w:val="2"/>
          <w:sz w:val="28"/>
          <w:szCs w:val="28"/>
        </w:rPr>
        <w:t>附表：《歌曲作法》课程目标评分量表</w:t>
      </w:r>
      <w:bookmarkEnd w:id="206"/>
    </w:p>
    <w:tbl>
      <w:tblPr>
        <w:tblStyle w:val="22"/>
        <w:tblW w:w="91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672"/>
        <w:gridCol w:w="1499"/>
        <w:gridCol w:w="1499"/>
        <w:gridCol w:w="1499"/>
        <w:gridCol w:w="1499"/>
        <w:gridCol w:w="1499"/>
      </w:tblGrid>
      <w:tr w14:paraId="006271B5">
        <w:trPr>
          <w:trHeight w:val="1083" w:hRule="atLeast"/>
          <w:jc w:val="center"/>
        </w:trPr>
        <w:tc>
          <w:tcPr>
            <w:tcW w:w="1672" w:type="dxa"/>
            <w:noWrap w:val="0"/>
            <w:vAlign w:val="center"/>
          </w:tcPr>
          <w:p w14:paraId="230E4702">
            <w:pPr>
              <w:spacing w:line="300" w:lineRule="exact"/>
              <w:jc w:val="center"/>
              <w:rPr>
                <w:rFonts w:ascii="楷体" w:eastAsia="楷体" w:cs="楷体"/>
                <w:bCs/>
                <w:kern w:val="2"/>
                <w:szCs w:val="21"/>
              </w:rPr>
            </w:pPr>
            <w:r>
              <w:rPr>
                <w:rFonts w:hint="eastAsia" w:ascii="楷体" w:eastAsia="楷体" w:cs="楷体"/>
                <w:bCs/>
                <w:kern w:val="2"/>
                <w:szCs w:val="21"/>
              </w:rPr>
              <w:t>课程目标</w:t>
            </w:r>
          </w:p>
        </w:tc>
        <w:tc>
          <w:tcPr>
            <w:tcW w:w="1499" w:type="dxa"/>
            <w:noWrap w:val="0"/>
            <w:vAlign w:val="center"/>
          </w:tcPr>
          <w:p w14:paraId="771EC377">
            <w:pPr>
              <w:spacing w:line="300" w:lineRule="exact"/>
              <w:rPr>
                <w:rFonts w:ascii="楷体" w:eastAsia="楷体" w:cs="楷体"/>
                <w:bCs/>
                <w:kern w:val="2"/>
                <w:szCs w:val="21"/>
              </w:rPr>
            </w:pPr>
            <w:r>
              <w:rPr>
                <w:rFonts w:hint="eastAsia" w:ascii="楷体" w:eastAsia="楷体" w:cs="楷体"/>
                <w:bCs/>
                <w:kern w:val="2"/>
                <w:szCs w:val="21"/>
              </w:rPr>
              <w:t>优（X≧90）</w:t>
            </w:r>
          </w:p>
        </w:tc>
        <w:tc>
          <w:tcPr>
            <w:tcW w:w="1499" w:type="dxa"/>
            <w:noWrap w:val="0"/>
            <w:vAlign w:val="center"/>
          </w:tcPr>
          <w:p w14:paraId="4F7843E2">
            <w:pPr>
              <w:spacing w:line="300" w:lineRule="exact"/>
              <w:rPr>
                <w:rFonts w:ascii="楷体" w:eastAsia="楷体" w:cs="楷体"/>
                <w:bCs/>
                <w:kern w:val="2"/>
                <w:szCs w:val="21"/>
              </w:rPr>
            </w:pPr>
            <w:r>
              <w:rPr>
                <w:rFonts w:hint="eastAsia" w:ascii="楷体" w:eastAsia="楷体" w:cs="楷体"/>
                <w:bCs/>
                <w:kern w:val="2"/>
                <w:szCs w:val="21"/>
              </w:rPr>
              <w:t>良（80≦X＜90）</w:t>
            </w:r>
          </w:p>
        </w:tc>
        <w:tc>
          <w:tcPr>
            <w:tcW w:w="1499" w:type="dxa"/>
            <w:noWrap w:val="0"/>
            <w:vAlign w:val="center"/>
          </w:tcPr>
          <w:p w14:paraId="50CE3252">
            <w:pPr>
              <w:spacing w:line="300" w:lineRule="exact"/>
              <w:rPr>
                <w:rFonts w:ascii="楷体" w:eastAsia="楷体" w:cs="楷体"/>
                <w:bCs/>
                <w:kern w:val="2"/>
                <w:szCs w:val="21"/>
              </w:rPr>
            </w:pPr>
            <w:r>
              <w:rPr>
                <w:rFonts w:hint="eastAsia" w:ascii="楷体" w:eastAsia="楷体" w:cs="楷体"/>
                <w:bCs/>
                <w:kern w:val="2"/>
                <w:szCs w:val="21"/>
              </w:rPr>
              <w:t>中（70≦X＜80）</w:t>
            </w:r>
          </w:p>
        </w:tc>
        <w:tc>
          <w:tcPr>
            <w:tcW w:w="1499" w:type="dxa"/>
            <w:noWrap w:val="0"/>
            <w:vAlign w:val="center"/>
          </w:tcPr>
          <w:p w14:paraId="593D5F48">
            <w:pPr>
              <w:spacing w:line="300" w:lineRule="exact"/>
              <w:rPr>
                <w:rFonts w:ascii="楷体" w:eastAsia="楷体" w:cs="楷体"/>
                <w:bCs/>
                <w:kern w:val="2"/>
                <w:szCs w:val="21"/>
              </w:rPr>
            </w:pPr>
            <w:r>
              <w:rPr>
                <w:rFonts w:hint="eastAsia" w:ascii="楷体" w:eastAsia="楷体" w:cs="楷体"/>
                <w:bCs/>
                <w:kern w:val="2"/>
                <w:szCs w:val="21"/>
              </w:rPr>
              <w:t>及格（60≦X＜70）</w:t>
            </w:r>
          </w:p>
        </w:tc>
        <w:tc>
          <w:tcPr>
            <w:tcW w:w="1499" w:type="dxa"/>
            <w:noWrap w:val="0"/>
            <w:vAlign w:val="center"/>
          </w:tcPr>
          <w:p w14:paraId="4804B5B6">
            <w:pPr>
              <w:spacing w:line="300" w:lineRule="exact"/>
              <w:rPr>
                <w:rFonts w:ascii="楷体" w:eastAsia="楷体" w:cs="楷体"/>
                <w:bCs/>
                <w:kern w:val="2"/>
                <w:szCs w:val="21"/>
              </w:rPr>
            </w:pPr>
            <w:r>
              <w:rPr>
                <w:rFonts w:hint="eastAsia" w:ascii="楷体" w:eastAsia="楷体" w:cs="楷体"/>
                <w:bCs/>
                <w:kern w:val="2"/>
                <w:szCs w:val="21"/>
              </w:rPr>
              <w:t>不及格（＜60）</w:t>
            </w:r>
          </w:p>
        </w:tc>
      </w:tr>
      <w:tr w14:paraId="7D107980">
        <w:trPr>
          <w:trHeight w:val="2930" w:hRule="atLeast"/>
          <w:jc w:val="center"/>
        </w:trPr>
        <w:tc>
          <w:tcPr>
            <w:tcW w:w="1672" w:type="dxa"/>
            <w:noWrap w:val="0"/>
            <w:vAlign w:val="top"/>
          </w:tcPr>
          <w:p w14:paraId="52D39727">
            <w:pPr>
              <w:spacing w:line="300" w:lineRule="exact"/>
              <w:rPr>
                <w:rFonts w:ascii="楷体" w:eastAsia="楷体" w:cs="楷体"/>
                <w:bCs/>
                <w:kern w:val="2"/>
                <w:szCs w:val="21"/>
              </w:rPr>
            </w:pPr>
            <w:r>
              <w:rPr>
                <w:rFonts w:hint="eastAsia" w:ascii="楷体" w:eastAsia="楷体" w:cs="楷体"/>
                <w:bCs/>
                <w:kern w:val="2"/>
                <w:szCs w:val="21"/>
              </w:rPr>
              <w:t>课程目标1.能够初步掌握歌曲作法的理论知识，歌曲作法中的基本术语；能够系统掌握正确，规范的写作方法。（支撑毕业要求</w:t>
            </w:r>
            <w:r>
              <w:rPr>
                <w:rFonts w:ascii="楷体" w:eastAsia="楷体" w:cs="楷体"/>
                <w:bCs/>
                <w:kern w:val="2"/>
                <w:szCs w:val="21"/>
              </w:rPr>
              <w:t>3</w:t>
            </w:r>
            <w:r>
              <w:rPr>
                <w:rFonts w:hint="eastAsia" w:ascii="楷体" w:eastAsia="楷体" w:cs="楷体"/>
                <w:bCs/>
                <w:kern w:val="2"/>
                <w:szCs w:val="21"/>
              </w:rPr>
              <w:t>.1）</w:t>
            </w:r>
          </w:p>
          <w:p w14:paraId="213F427D">
            <w:pPr>
              <w:spacing w:line="300" w:lineRule="exact"/>
              <w:rPr>
                <w:rFonts w:ascii="楷体" w:eastAsia="楷体" w:cs="楷体"/>
                <w:bCs/>
                <w:kern w:val="2"/>
                <w:szCs w:val="21"/>
              </w:rPr>
            </w:pPr>
          </w:p>
        </w:tc>
        <w:tc>
          <w:tcPr>
            <w:tcW w:w="1499" w:type="dxa"/>
            <w:noWrap w:val="0"/>
            <w:vAlign w:val="top"/>
          </w:tcPr>
          <w:p w14:paraId="5AA6926B">
            <w:pPr>
              <w:spacing w:line="300" w:lineRule="exact"/>
              <w:rPr>
                <w:rFonts w:ascii="楷体" w:eastAsia="楷体" w:cs="楷体"/>
                <w:bCs/>
                <w:kern w:val="2"/>
                <w:szCs w:val="21"/>
              </w:rPr>
            </w:pPr>
            <w:r>
              <w:rPr>
                <w:rFonts w:hint="eastAsia" w:ascii="楷体" w:eastAsia="楷体" w:cs="楷体"/>
                <w:bCs/>
                <w:kern w:val="2"/>
                <w:szCs w:val="21"/>
              </w:rPr>
              <w:t>能够扎实掌握歌曲作法理论知识、歌曲作法基本术语；熟练掌握正确、规范、科学的基本功写作方法</w:t>
            </w:r>
            <w:r>
              <w:rPr>
                <w:rFonts w:ascii="楷体" w:eastAsia="楷体" w:cs="楷体"/>
                <w:bCs/>
                <w:kern w:val="2"/>
                <w:szCs w:val="21"/>
              </w:rPr>
              <w:t>。</w:t>
            </w:r>
          </w:p>
        </w:tc>
        <w:tc>
          <w:tcPr>
            <w:tcW w:w="1499" w:type="dxa"/>
            <w:noWrap w:val="0"/>
            <w:vAlign w:val="top"/>
          </w:tcPr>
          <w:p w14:paraId="30160FF2">
            <w:pPr>
              <w:spacing w:line="300" w:lineRule="exact"/>
              <w:rPr>
                <w:rFonts w:ascii="楷体" w:eastAsia="楷体" w:cs="楷体"/>
                <w:bCs/>
                <w:kern w:val="2"/>
                <w:szCs w:val="21"/>
              </w:rPr>
            </w:pPr>
            <w:r>
              <w:rPr>
                <w:rFonts w:hint="eastAsia" w:ascii="楷体" w:eastAsia="楷体" w:cs="楷体"/>
                <w:bCs/>
                <w:kern w:val="2"/>
                <w:szCs w:val="21"/>
              </w:rPr>
              <w:t>能够</w:t>
            </w:r>
            <w:r>
              <w:rPr>
                <w:rFonts w:hint="eastAsia" w:ascii="楷体" w:eastAsia="楷体" w:cs="楷体"/>
                <w:bCs/>
                <w:kern w:val="2"/>
                <w:szCs w:val="21"/>
                <w:lang w:eastAsia="zh-Hans"/>
              </w:rPr>
              <w:t>较为</w:t>
            </w:r>
            <w:r>
              <w:rPr>
                <w:rFonts w:hint="eastAsia" w:ascii="楷体" w:eastAsia="楷体" w:cs="楷体"/>
                <w:bCs/>
                <w:kern w:val="2"/>
                <w:szCs w:val="21"/>
              </w:rPr>
              <w:t>扎实掌握歌曲作法理论知识、歌曲作法基本术语；</w:t>
            </w:r>
            <w:r>
              <w:rPr>
                <w:rFonts w:hint="eastAsia" w:ascii="楷体" w:eastAsia="楷体" w:cs="楷体"/>
                <w:bCs/>
                <w:kern w:val="2"/>
                <w:szCs w:val="21"/>
                <w:lang w:eastAsia="zh-Hans"/>
              </w:rPr>
              <w:t>较为</w:t>
            </w:r>
            <w:r>
              <w:rPr>
                <w:rFonts w:hint="eastAsia" w:ascii="楷体" w:eastAsia="楷体" w:cs="楷体"/>
                <w:bCs/>
                <w:kern w:val="2"/>
                <w:szCs w:val="21"/>
              </w:rPr>
              <w:t>熟练掌握正确、规范、科学的基本功写作方法</w:t>
            </w:r>
            <w:r>
              <w:rPr>
                <w:rFonts w:ascii="楷体" w:eastAsia="楷体" w:cs="楷体"/>
                <w:bCs/>
                <w:kern w:val="2"/>
                <w:szCs w:val="21"/>
              </w:rPr>
              <w:t>。</w:t>
            </w:r>
          </w:p>
        </w:tc>
        <w:tc>
          <w:tcPr>
            <w:tcW w:w="1499" w:type="dxa"/>
            <w:noWrap w:val="0"/>
            <w:vAlign w:val="top"/>
          </w:tcPr>
          <w:p w14:paraId="03CA4115">
            <w:pPr>
              <w:spacing w:line="300" w:lineRule="exact"/>
              <w:rPr>
                <w:rFonts w:ascii="楷体" w:eastAsia="楷体" w:cs="楷体"/>
                <w:bCs/>
                <w:kern w:val="2"/>
                <w:szCs w:val="21"/>
              </w:rPr>
            </w:pPr>
            <w:r>
              <w:rPr>
                <w:rFonts w:hint="eastAsia" w:ascii="楷体" w:eastAsia="楷体" w:cs="楷体"/>
                <w:bCs/>
                <w:kern w:val="2"/>
                <w:szCs w:val="21"/>
              </w:rPr>
              <w:t>能够掌握歌曲作法理论知识、歌曲作法基本术语；掌握正确、规范、科学的基本功写作方法</w:t>
            </w:r>
            <w:r>
              <w:rPr>
                <w:rFonts w:ascii="楷体" w:eastAsia="楷体" w:cs="楷体"/>
                <w:bCs/>
                <w:kern w:val="2"/>
                <w:szCs w:val="21"/>
              </w:rPr>
              <w:t>。</w:t>
            </w:r>
          </w:p>
        </w:tc>
        <w:tc>
          <w:tcPr>
            <w:tcW w:w="1499" w:type="dxa"/>
            <w:noWrap w:val="0"/>
            <w:vAlign w:val="top"/>
          </w:tcPr>
          <w:p w14:paraId="61196EA6">
            <w:pPr>
              <w:spacing w:line="300" w:lineRule="exact"/>
              <w:rPr>
                <w:rFonts w:ascii="楷体" w:eastAsia="楷体" w:cs="楷体"/>
                <w:bCs/>
                <w:kern w:val="2"/>
                <w:szCs w:val="21"/>
              </w:rPr>
            </w:pPr>
            <w:r>
              <w:rPr>
                <w:rFonts w:hint="eastAsia" w:ascii="楷体" w:eastAsia="楷体" w:cs="楷体"/>
                <w:bCs/>
                <w:kern w:val="2"/>
                <w:szCs w:val="21"/>
              </w:rPr>
              <w:t>能够</w:t>
            </w:r>
            <w:r>
              <w:rPr>
                <w:rFonts w:hint="eastAsia" w:ascii="楷体" w:eastAsia="楷体" w:cs="楷体"/>
                <w:bCs/>
                <w:kern w:val="2"/>
                <w:szCs w:val="21"/>
                <w:lang w:eastAsia="zh-Hans"/>
              </w:rPr>
              <w:t>基本</w:t>
            </w:r>
            <w:r>
              <w:rPr>
                <w:rFonts w:hint="eastAsia" w:ascii="楷体" w:eastAsia="楷体" w:cs="楷体"/>
                <w:bCs/>
                <w:kern w:val="2"/>
                <w:szCs w:val="21"/>
              </w:rPr>
              <w:t>掌握歌曲作法理论知识、歌曲作法基本术语；</w:t>
            </w:r>
            <w:r>
              <w:rPr>
                <w:rFonts w:hint="eastAsia" w:ascii="楷体" w:eastAsia="楷体" w:cs="楷体"/>
                <w:bCs/>
                <w:kern w:val="2"/>
                <w:szCs w:val="21"/>
                <w:lang w:eastAsia="zh-Hans"/>
              </w:rPr>
              <w:t>基本</w:t>
            </w:r>
            <w:r>
              <w:rPr>
                <w:rFonts w:hint="eastAsia" w:ascii="楷体" w:eastAsia="楷体" w:cs="楷体"/>
                <w:bCs/>
                <w:kern w:val="2"/>
                <w:szCs w:val="21"/>
              </w:rPr>
              <w:t>掌握正确、规范、科学的基本功写作方法</w:t>
            </w:r>
            <w:r>
              <w:rPr>
                <w:rFonts w:ascii="楷体" w:eastAsia="楷体" w:cs="楷体"/>
                <w:bCs/>
                <w:kern w:val="2"/>
                <w:szCs w:val="21"/>
              </w:rPr>
              <w:t>。</w:t>
            </w:r>
          </w:p>
        </w:tc>
        <w:tc>
          <w:tcPr>
            <w:tcW w:w="1499" w:type="dxa"/>
            <w:noWrap w:val="0"/>
            <w:vAlign w:val="top"/>
          </w:tcPr>
          <w:p w14:paraId="40A00FAE">
            <w:pPr>
              <w:spacing w:line="300" w:lineRule="exact"/>
              <w:rPr>
                <w:rFonts w:ascii="楷体" w:eastAsia="楷体" w:cs="楷体"/>
                <w:bCs/>
                <w:kern w:val="2"/>
                <w:szCs w:val="21"/>
              </w:rPr>
            </w:pPr>
            <w:r>
              <w:rPr>
                <w:rFonts w:hint="eastAsia" w:ascii="楷体" w:eastAsia="楷体" w:cs="楷体"/>
                <w:bCs/>
                <w:kern w:val="2"/>
                <w:szCs w:val="21"/>
              </w:rPr>
              <w:t>未能掌握歌曲作法理论知识、歌曲作法基本术语；书写不正确、不规范、不科学</w:t>
            </w:r>
            <w:r>
              <w:rPr>
                <w:rFonts w:ascii="楷体" w:eastAsia="楷体" w:cs="楷体"/>
                <w:bCs/>
                <w:kern w:val="2"/>
                <w:szCs w:val="21"/>
              </w:rPr>
              <w:t>。</w:t>
            </w:r>
          </w:p>
        </w:tc>
      </w:tr>
      <w:tr w14:paraId="1C88FBE7">
        <w:trPr>
          <w:trHeight w:val="3337" w:hRule="atLeast"/>
          <w:jc w:val="center"/>
        </w:trPr>
        <w:tc>
          <w:tcPr>
            <w:tcW w:w="1672" w:type="dxa"/>
            <w:noWrap w:val="0"/>
            <w:vAlign w:val="top"/>
          </w:tcPr>
          <w:p w14:paraId="384318B3">
            <w:pPr>
              <w:spacing w:line="300" w:lineRule="exact"/>
              <w:rPr>
                <w:rFonts w:ascii="楷体" w:eastAsia="楷体" w:cs="楷体"/>
                <w:bCs/>
                <w:kern w:val="2"/>
                <w:szCs w:val="21"/>
              </w:rPr>
            </w:pPr>
            <w:r>
              <w:rPr>
                <w:rFonts w:hint="eastAsia" w:ascii="楷体" w:eastAsia="楷体" w:cs="楷体"/>
                <w:bCs/>
                <w:kern w:val="2"/>
                <w:szCs w:val="21"/>
              </w:rPr>
              <w:t>课程目标2：了解学科发展动态，熟悉歌曲作法课堂教学的基本规律与方法，初步具备用旋律特征进行歌曲编写</w:t>
            </w:r>
            <w:r>
              <w:rPr>
                <w:rFonts w:hint="eastAsia" w:ascii="楷体" w:eastAsia="楷体" w:cs="楷体"/>
                <w:bCs/>
                <w:kern w:val="2"/>
                <w:szCs w:val="21"/>
                <w:lang w:eastAsia="zh-Hans"/>
              </w:rPr>
              <w:t>的能力</w:t>
            </w:r>
            <w:r>
              <w:rPr>
                <w:rFonts w:hint="eastAsia" w:ascii="楷体" w:eastAsia="楷体" w:cs="楷体"/>
                <w:bCs/>
                <w:kern w:val="2"/>
                <w:szCs w:val="21"/>
              </w:rPr>
              <w:t>。（支撑毕业要求4.1）</w:t>
            </w:r>
          </w:p>
        </w:tc>
        <w:tc>
          <w:tcPr>
            <w:tcW w:w="1499" w:type="dxa"/>
            <w:noWrap w:val="0"/>
            <w:vAlign w:val="top"/>
          </w:tcPr>
          <w:p w14:paraId="300F487E">
            <w:pPr>
              <w:spacing w:line="300" w:lineRule="exact"/>
              <w:rPr>
                <w:rFonts w:ascii="楷体" w:eastAsia="楷体" w:cs="楷体"/>
                <w:bCs/>
                <w:kern w:val="2"/>
                <w:szCs w:val="21"/>
              </w:rPr>
            </w:pPr>
            <w:r>
              <w:rPr>
                <w:rFonts w:hint="eastAsia" w:ascii="楷体" w:eastAsia="楷体" w:cs="楷体"/>
                <w:bCs/>
                <w:kern w:val="2"/>
                <w:szCs w:val="21"/>
              </w:rPr>
              <w:t>能够</w:t>
            </w:r>
            <w:r>
              <w:rPr>
                <w:rFonts w:hint="eastAsia" w:ascii="楷体" w:eastAsia="楷体" w:cs="楷体"/>
                <w:bCs/>
                <w:kern w:val="2"/>
                <w:szCs w:val="21"/>
                <w:lang w:eastAsia="zh-Hans"/>
              </w:rPr>
              <w:t>及时了解学科发展动态</w:t>
            </w:r>
            <w:r>
              <w:rPr>
                <w:rFonts w:ascii="楷体" w:eastAsia="楷体" w:cs="楷体"/>
                <w:bCs/>
                <w:kern w:val="2"/>
                <w:szCs w:val="21"/>
                <w:lang w:eastAsia="zh-Hans"/>
              </w:rPr>
              <w:t>，</w:t>
            </w:r>
            <w:r>
              <w:rPr>
                <w:rFonts w:hint="eastAsia" w:ascii="楷体" w:eastAsia="楷体" w:cs="楷体"/>
                <w:bCs/>
                <w:kern w:val="2"/>
                <w:szCs w:val="21"/>
              </w:rPr>
              <w:t>扎实掌握歌曲作法课堂教学方法与教学规律；具备用旋律特征进行歌曲编写</w:t>
            </w:r>
            <w:r>
              <w:rPr>
                <w:rFonts w:hint="eastAsia" w:ascii="楷体" w:eastAsia="楷体" w:cs="楷体"/>
                <w:bCs/>
                <w:kern w:val="2"/>
                <w:szCs w:val="21"/>
                <w:lang w:eastAsia="zh-Hans"/>
              </w:rPr>
              <w:t>的较强</w:t>
            </w:r>
            <w:r>
              <w:rPr>
                <w:rFonts w:hint="eastAsia" w:ascii="楷体" w:eastAsia="楷体" w:cs="楷体"/>
                <w:bCs/>
                <w:kern w:val="2"/>
                <w:szCs w:val="21"/>
              </w:rPr>
              <w:t>能力。</w:t>
            </w:r>
          </w:p>
        </w:tc>
        <w:tc>
          <w:tcPr>
            <w:tcW w:w="1499" w:type="dxa"/>
            <w:noWrap w:val="0"/>
            <w:vAlign w:val="top"/>
          </w:tcPr>
          <w:p w14:paraId="79885214">
            <w:pPr>
              <w:spacing w:line="300" w:lineRule="exact"/>
              <w:rPr>
                <w:rFonts w:ascii="楷体" w:eastAsia="楷体" w:cs="楷体"/>
                <w:bCs/>
                <w:kern w:val="2"/>
                <w:szCs w:val="21"/>
              </w:rPr>
            </w:pPr>
            <w:r>
              <w:rPr>
                <w:rFonts w:hint="eastAsia" w:ascii="楷体" w:eastAsia="楷体" w:cs="楷体"/>
                <w:bCs/>
                <w:kern w:val="2"/>
                <w:szCs w:val="21"/>
              </w:rPr>
              <w:t>能够</w:t>
            </w:r>
            <w:r>
              <w:rPr>
                <w:rFonts w:hint="eastAsia" w:ascii="楷体" w:eastAsia="楷体" w:cs="楷体"/>
                <w:bCs/>
                <w:kern w:val="2"/>
                <w:szCs w:val="21"/>
                <w:lang w:eastAsia="zh-Hans"/>
              </w:rPr>
              <w:t>较为及时了解学科发展动态</w:t>
            </w:r>
            <w:r>
              <w:rPr>
                <w:rFonts w:ascii="楷体" w:eastAsia="楷体" w:cs="楷体"/>
                <w:bCs/>
                <w:kern w:val="2"/>
                <w:szCs w:val="21"/>
                <w:lang w:eastAsia="zh-Hans"/>
              </w:rPr>
              <w:t>，</w:t>
            </w:r>
            <w:r>
              <w:rPr>
                <w:rFonts w:hint="eastAsia" w:ascii="楷体" w:eastAsia="楷体" w:cs="楷体"/>
                <w:bCs/>
                <w:kern w:val="2"/>
                <w:szCs w:val="21"/>
                <w:lang w:eastAsia="zh-Hans"/>
              </w:rPr>
              <w:t>比较</w:t>
            </w:r>
            <w:r>
              <w:rPr>
                <w:rFonts w:hint="eastAsia" w:ascii="楷体" w:eastAsia="楷体" w:cs="楷体"/>
                <w:bCs/>
                <w:kern w:val="2"/>
                <w:szCs w:val="21"/>
              </w:rPr>
              <w:t>扎实掌握歌曲作法课堂教学方法与教学规律；具备用旋律特征进行歌曲编写</w:t>
            </w:r>
            <w:r>
              <w:rPr>
                <w:rFonts w:hint="eastAsia" w:ascii="楷体" w:eastAsia="楷体" w:cs="楷体"/>
                <w:bCs/>
                <w:kern w:val="2"/>
                <w:szCs w:val="21"/>
                <w:lang w:eastAsia="zh-Hans"/>
              </w:rPr>
              <w:t>的良好</w:t>
            </w:r>
            <w:r>
              <w:rPr>
                <w:rFonts w:hint="eastAsia" w:ascii="楷体" w:eastAsia="楷体" w:cs="楷体"/>
                <w:bCs/>
                <w:kern w:val="2"/>
                <w:szCs w:val="21"/>
              </w:rPr>
              <w:t>能力。</w:t>
            </w:r>
          </w:p>
        </w:tc>
        <w:tc>
          <w:tcPr>
            <w:tcW w:w="1499" w:type="dxa"/>
            <w:noWrap w:val="0"/>
            <w:vAlign w:val="top"/>
          </w:tcPr>
          <w:p w14:paraId="394DE698">
            <w:pPr>
              <w:spacing w:line="300" w:lineRule="exact"/>
              <w:rPr>
                <w:rFonts w:ascii="楷体" w:eastAsia="楷体" w:cs="楷体"/>
                <w:bCs/>
                <w:kern w:val="2"/>
                <w:szCs w:val="21"/>
              </w:rPr>
            </w:pPr>
            <w:r>
              <w:rPr>
                <w:rFonts w:hint="eastAsia" w:ascii="楷体" w:eastAsia="楷体" w:cs="楷体"/>
                <w:bCs/>
                <w:kern w:val="2"/>
                <w:szCs w:val="21"/>
              </w:rPr>
              <w:t>能够</w:t>
            </w:r>
            <w:r>
              <w:rPr>
                <w:rFonts w:hint="eastAsia" w:ascii="楷体" w:eastAsia="楷体" w:cs="楷体"/>
                <w:bCs/>
                <w:kern w:val="2"/>
                <w:szCs w:val="21"/>
                <w:lang w:eastAsia="zh-Hans"/>
              </w:rPr>
              <w:t>了解学科发展的一般动态</w:t>
            </w:r>
            <w:r>
              <w:rPr>
                <w:rFonts w:ascii="楷体" w:eastAsia="楷体" w:cs="楷体"/>
                <w:bCs/>
                <w:kern w:val="2"/>
                <w:szCs w:val="21"/>
                <w:lang w:eastAsia="zh-Hans"/>
              </w:rPr>
              <w:t>，</w:t>
            </w:r>
            <w:r>
              <w:rPr>
                <w:rFonts w:hint="eastAsia" w:ascii="楷体" w:eastAsia="楷体" w:cs="楷体"/>
                <w:bCs/>
                <w:kern w:val="2"/>
                <w:szCs w:val="21"/>
              </w:rPr>
              <w:t>掌握歌曲作法课堂教学方法与教学规律；具备用旋律特征进行歌曲编写</w:t>
            </w:r>
            <w:r>
              <w:rPr>
                <w:rFonts w:hint="eastAsia" w:ascii="楷体" w:eastAsia="楷体" w:cs="楷体"/>
                <w:bCs/>
                <w:kern w:val="2"/>
                <w:szCs w:val="21"/>
                <w:lang w:eastAsia="zh-Hans"/>
              </w:rPr>
              <w:t>的一般</w:t>
            </w:r>
            <w:r>
              <w:rPr>
                <w:rFonts w:hint="eastAsia" w:ascii="楷体" w:eastAsia="楷体" w:cs="楷体"/>
                <w:bCs/>
                <w:kern w:val="2"/>
                <w:szCs w:val="21"/>
              </w:rPr>
              <w:t>能力。</w:t>
            </w:r>
          </w:p>
        </w:tc>
        <w:tc>
          <w:tcPr>
            <w:tcW w:w="1499" w:type="dxa"/>
            <w:noWrap w:val="0"/>
            <w:vAlign w:val="top"/>
          </w:tcPr>
          <w:p w14:paraId="021BE087">
            <w:pPr>
              <w:spacing w:line="300" w:lineRule="exact"/>
              <w:rPr>
                <w:rFonts w:ascii="楷体" w:eastAsia="楷体" w:cs="楷体"/>
                <w:bCs/>
                <w:kern w:val="2"/>
                <w:szCs w:val="21"/>
              </w:rPr>
            </w:pPr>
            <w:r>
              <w:rPr>
                <w:rFonts w:hint="eastAsia" w:ascii="楷体" w:eastAsia="楷体" w:cs="楷体"/>
                <w:bCs/>
                <w:kern w:val="2"/>
                <w:szCs w:val="21"/>
              </w:rPr>
              <w:t>能够</w:t>
            </w:r>
            <w:r>
              <w:rPr>
                <w:rFonts w:hint="eastAsia" w:ascii="楷体" w:eastAsia="楷体" w:cs="楷体"/>
                <w:bCs/>
                <w:kern w:val="2"/>
                <w:szCs w:val="21"/>
                <w:lang w:eastAsia="zh-Hans"/>
              </w:rPr>
              <w:t>了解学科发展的一般动态</w:t>
            </w:r>
            <w:r>
              <w:rPr>
                <w:rFonts w:ascii="楷体" w:eastAsia="楷体" w:cs="楷体"/>
                <w:bCs/>
                <w:kern w:val="2"/>
                <w:szCs w:val="21"/>
                <w:lang w:eastAsia="zh-Hans"/>
              </w:rPr>
              <w:t>，</w:t>
            </w:r>
            <w:r>
              <w:rPr>
                <w:rFonts w:hint="eastAsia" w:ascii="楷体" w:eastAsia="楷体" w:cs="楷体"/>
                <w:bCs/>
                <w:kern w:val="2"/>
                <w:szCs w:val="21"/>
                <w:lang w:eastAsia="zh-Hans"/>
              </w:rPr>
              <w:t>基本</w:t>
            </w:r>
            <w:r>
              <w:rPr>
                <w:rFonts w:hint="eastAsia" w:ascii="楷体" w:eastAsia="楷体" w:cs="楷体"/>
                <w:bCs/>
                <w:kern w:val="2"/>
                <w:szCs w:val="21"/>
              </w:rPr>
              <w:t>掌握歌曲作法课堂教学方法与教学规律；具备用旋律特征进行歌曲编写</w:t>
            </w:r>
            <w:r>
              <w:rPr>
                <w:rFonts w:hint="eastAsia" w:ascii="楷体" w:eastAsia="楷体" w:cs="楷体"/>
                <w:bCs/>
                <w:kern w:val="2"/>
                <w:szCs w:val="21"/>
                <w:lang w:eastAsia="zh-Hans"/>
              </w:rPr>
              <w:t>的基本</w:t>
            </w:r>
            <w:r>
              <w:rPr>
                <w:rFonts w:hint="eastAsia" w:ascii="楷体" w:eastAsia="楷体" w:cs="楷体"/>
                <w:bCs/>
                <w:kern w:val="2"/>
                <w:szCs w:val="21"/>
              </w:rPr>
              <w:t>能力。</w:t>
            </w:r>
          </w:p>
        </w:tc>
        <w:tc>
          <w:tcPr>
            <w:tcW w:w="1499" w:type="dxa"/>
            <w:noWrap w:val="0"/>
            <w:vAlign w:val="top"/>
          </w:tcPr>
          <w:p w14:paraId="3C60D58C">
            <w:pPr>
              <w:spacing w:line="300" w:lineRule="exact"/>
              <w:rPr>
                <w:rFonts w:ascii="楷体" w:eastAsia="楷体" w:cs="楷体"/>
                <w:bCs/>
                <w:kern w:val="2"/>
                <w:szCs w:val="21"/>
              </w:rPr>
            </w:pPr>
            <w:r>
              <w:rPr>
                <w:rFonts w:hint="eastAsia" w:ascii="楷体" w:eastAsia="楷体" w:cs="楷体"/>
                <w:bCs/>
                <w:kern w:val="2"/>
                <w:szCs w:val="21"/>
                <w:lang w:eastAsia="zh-Hans"/>
              </w:rPr>
              <w:t>不能及时了解学科发展动态</w:t>
            </w:r>
            <w:r>
              <w:rPr>
                <w:rFonts w:ascii="楷体" w:eastAsia="楷体" w:cs="楷体"/>
                <w:bCs/>
                <w:kern w:val="2"/>
                <w:szCs w:val="21"/>
                <w:lang w:eastAsia="zh-Hans"/>
              </w:rPr>
              <w:t>，</w:t>
            </w:r>
            <w:r>
              <w:rPr>
                <w:rFonts w:hint="eastAsia" w:ascii="楷体" w:eastAsia="楷体" w:cs="楷体"/>
                <w:bCs/>
                <w:kern w:val="2"/>
                <w:szCs w:val="21"/>
                <w:lang w:eastAsia="zh-Hans"/>
              </w:rPr>
              <w:t>未能</w:t>
            </w:r>
            <w:r>
              <w:rPr>
                <w:rFonts w:hint="eastAsia" w:ascii="楷体" w:eastAsia="楷体" w:cs="楷体"/>
                <w:bCs/>
                <w:kern w:val="2"/>
                <w:szCs w:val="21"/>
              </w:rPr>
              <w:t>掌握歌曲作法课堂教学方法与教学规律；</w:t>
            </w:r>
            <w:r>
              <w:rPr>
                <w:rFonts w:hint="eastAsia" w:ascii="楷体" w:eastAsia="楷体" w:cs="楷体"/>
                <w:bCs/>
                <w:kern w:val="2"/>
                <w:szCs w:val="21"/>
                <w:lang w:eastAsia="zh-Hans"/>
              </w:rPr>
              <w:t>不</w:t>
            </w:r>
            <w:r>
              <w:rPr>
                <w:rFonts w:hint="eastAsia" w:ascii="楷体" w:eastAsia="楷体" w:cs="楷体"/>
                <w:bCs/>
                <w:kern w:val="2"/>
                <w:szCs w:val="21"/>
              </w:rPr>
              <w:t>具备用旋律特征进行歌曲编写</w:t>
            </w:r>
            <w:r>
              <w:rPr>
                <w:rFonts w:hint="eastAsia" w:ascii="楷体" w:eastAsia="楷体" w:cs="楷体"/>
                <w:bCs/>
                <w:kern w:val="2"/>
                <w:szCs w:val="21"/>
                <w:lang w:eastAsia="zh-Hans"/>
              </w:rPr>
              <w:t>的</w:t>
            </w:r>
            <w:r>
              <w:rPr>
                <w:rFonts w:hint="eastAsia" w:ascii="楷体" w:eastAsia="楷体" w:cs="楷体"/>
                <w:bCs/>
                <w:kern w:val="2"/>
                <w:szCs w:val="21"/>
              </w:rPr>
              <w:t>能力。</w:t>
            </w:r>
          </w:p>
        </w:tc>
      </w:tr>
      <w:tr w14:paraId="41690FD7">
        <w:trPr>
          <w:trHeight w:val="2964" w:hRule="atLeast"/>
          <w:jc w:val="center"/>
        </w:trPr>
        <w:tc>
          <w:tcPr>
            <w:tcW w:w="1672" w:type="dxa"/>
            <w:noWrap w:val="0"/>
            <w:vAlign w:val="top"/>
          </w:tcPr>
          <w:p w14:paraId="043778F1">
            <w:pPr>
              <w:spacing w:line="300" w:lineRule="exact"/>
              <w:rPr>
                <w:rFonts w:ascii="楷体" w:eastAsia="楷体" w:cs="楷体"/>
                <w:bCs/>
                <w:kern w:val="2"/>
                <w:szCs w:val="21"/>
              </w:rPr>
            </w:pPr>
            <w:r>
              <w:rPr>
                <w:rFonts w:hint="eastAsia" w:ascii="楷体" w:eastAsia="楷体" w:cs="楷体"/>
                <w:bCs/>
                <w:kern w:val="2"/>
                <w:szCs w:val="21"/>
              </w:rPr>
              <w:t>课程目标3：在学习</w:t>
            </w:r>
            <w:r>
              <w:rPr>
                <w:rFonts w:hint="eastAsia" w:ascii="楷体" w:eastAsia="楷体" w:cs="楷体"/>
                <w:bCs/>
                <w:kern w:val="2"/>
                <w:szCs w:val="21"/>
                <w:lang w:eastAsia="zh-Hans"/>
              </w:rPr>
              <w:t>过程中具有反思意识</w:t>
            </w:r>
            <w:r>
              <w:rPr>
                <w:rFonts w:ascii="楷体" w:eastAsia="楷体" w:cs="楷体"/>
                <w:bCs/>
                <w:kern w:val="2"/>
                <w:szCs w:val="21"/>
                <w:lang w:eastAsia="zh-Hans"/>
              </w:rPr>
              <w:t>，</w:t>
            </w:r>
            <w:r>
              <w:rPr>
                <w:rFonts w:hint="eastAsia" w:ascii="楷体" w:eastAsia="楷体" w:cs="楷体"/>
                <w:bCs/>
                <w:kern w:val="2"/>
                <w:szCs w:val="21"/>
                <w:lang w:eastAsia="zh-Hans"/>
              </w:rPr>
              <w:t>掌握反思的基本方法</w:t>
            </w:r>
            <w:r>
              <w:rPr>
                <w:rFonts w:ascii="楷体" w:eastAsia="楷体" w:cs="楷体"/>
                <w:bCs/>
                <w:kern w:val="2"/>
                <w:szCs w:val="21"/>
                <w:lang w:eastAsia="zh-Hans"/>
              </w:rPr>
              <w:t>，</w:t>
            </w:r>
            <w:r>
              <w:rPr>
                <w:rFonts w:hint="eastAsia" w:ascii="楷体" w:eastAsia="楷体" w:cs="楷体"/>
                <w:bCs/>
                <w:kern w:val="2"/>
                <w:szCs w:val="21"/>
                <w:lang w:eastAsia="zh-Hans"/>
              </w:rPr>
              <w:t>在歌曲创作中能够进行自我诊断不断改进</w:t>
            </w:r>
            <w:r>
              <w:rPr>
                <w:rFonts w:ascii="楷体" w:eastAsia="楷体" w:cs="楷体"/>
                <w:bCs/>
                <w:kern w:val="2"/>
                <w:szCs w:val="21"/>
                <w:lang w:eastAsia="zh-Hans"/>
              </w:rPr>
              <w:t>。</w:t>
            </w:r>
            <w:r>
              <w:rPr>
                <w:rFonts w:hint="eastAsia" w:ascii="楷体" w:eastAsia="楷体" w:cs="楷体"/>
                <w:bCs/>
                <w:kern w:val="2"/>
                <w:szCs w:val="21"/>
              </w:rPr>
              <w:t>（支撑毕业要求7.1）</w:t>
            </w:r>
          </w:p>
          <w:p w14:paraId="5AC8785B">
            <w:pPr>
              <w:spacing w:line="300" w:lineRule="exact"/>
              <w:rPr>
                <w:rFonts w:ascii="楷体" w:eastAsia="楷体" w:cs="楷体"/>
                <w:bCs/>
                <w:kern w:val="2"/>
                <w:szCs w:val="21"/>
              </w:rPr>
            </w:pPr>
          </w:p>
        </w:tc>
        <w:tc>
          <w:tcPr>
            <w:tcW w:w="1499" w:type="dxa"/>
            <w:noWrap w:val="0"/>
            <w:vAlign w:val="top"/>
          </w:tcPr>
          <w:p w14:paraId="7B3CAE64">
            <w:pPr>
              <w:spacing w:line="300" w:lineRule="exact"/>
              <w:rPr>
                <w:rFonts w:ascii="楷体" w:eastAsia="楷体" w:cs="楷体"/>
                <w:bCs/>
                <w:kern w:val="2"/>
                <w:szCs w:val="21"/>
              </w:rPr>
            </w:pPr>
            <w:r>
              <w:rPr>
                <w:rFonts w:hint="eastAsia" w:ascii="楷体" w:eastAsia="楷体" w:cs="楷体"/>
                <w:bCs/>
                <w:kern w:val="2"/>
                <w:szCs w:val="21"/>
                <w:lang w:eastAsia="zh-Hans"/>
              </w:rPr>
              <w:t>具备较强的反思意识</w:t>
            </w:r>
            <w:r>
              <w:rPr>
                <w:rFonts w:ascii="楷体" w:eastAsia="楷体" w:cs="楷体"/>
                <w:bCs/>
                <w:kern w:val="2"/>
                <w:szCs w:val="21"/>
                <w:lang w:eastAsia="zh-Hans"/>
              </w:rPr>
              <w:t>，</w:t>
            </w:r>
            <w:r>
              <w:rPr>
                <w:rFonts w:hint="eastAsia" w:ascii="楷体" w:eastAsia="楷体" w:cs="楷体"/>
                <w:bCs/>
                <w:kern w:val="2"/>
                <w:szCs w:val="21"/>
                <w:lang w:eastAsia="zh-Hans"/>
              </w:rPr>
              <w:t>熟练掌握反思的基本方法</w:t>
            </w:r>
            <w:r>
              <w:rPr>
                <w:rFonts w:ascii="楷体" w:eastAsia="楷体" w:cs="楷体"/>
                <w:bCs/>
                <w:kern w:val="2"/>
                <w:szCs w:val="21"/>
                <w:lang w:eastAsia="zh-Hans"/>
              </w:rPr>
              <w:t>，</w:t>
            </w:r>
            <w:r>
              <w:rPr>
                <w:rFonts w:hint="eastAsia" w:ascii="楷体" w:eastAsia="楷体" w:cs="楷体"/>
                <w:bCs/>
                <w:kern w:val="2"/>
                <w:szCs w:val="21"/>
                <w:lang w:eastAsia="zh-Hans"/>
              </w:rPr>
              <w:t>在歌曲创作中能够进行自我诊断并及时改进</w:t>
            </w:r>
            <w:r>
              <w:rPr>
                <w:rFonts w:ascii="楷体" w:eastAsia="楷体" w:cs="楷体"/>
                <w:bCs/>
                <w:kern w:val="2"/>
                <w:szCs w:val="21"/>
                <w:lang w:eastAsia="zh-Hans"/>
              </w:rPr>
              <w:t>。</w:t>
            </w:r>
          </w:p>
        </w:tc>
        <w:tc>
          <w:tcPr>
            <w:tcW w:w="1499" w:type="dxa"/>
            <w:noWrap w:val="0"/>
            <w:vAlign w:val="top"/>
          </w:tcPr>
          <w:p w14:paraId="427FC4BE">
            <w:pPr>
              <w:spacing w:line="300" w:lineRule="exact"/>
              <w:rPr>
                <w:rFonts w:ascii="楷体" w:eastAsia="楷体" w:cs="楷体"/>
                <w:bCs/>
                <w:kern w:val="2"/>
                <w:szCs w:val="21"/>
              </w:rPr>
            </w:pPr>
            <w:r>
              <w:rPr>
                <w:rFonts w:hint="eastAsia" w:ascii="楷体" w:eastAsia="楷体" w:cs="楷体"/>
                <w:bCs/>
                <w:kern w:val="2"/>
                <w:szCs w:val="21"/>
                <w:lang w:eastAsia="zh-Hans"/>
              </w:rPr>
              <w:t>具备良好的反思意识</w:t>
            </w:r>
            <w:r>
              <w:rPr>
                <w:rFonts w:ascii="楷体" w:eastAsia="楷体" w:cs="楷体"/>
                <w:bCs/>
                <w:kern w:val="2"/>
                <w:szCs w:val="21"/>
                <w:lang w:eastAsia="zh-Hans"/>
              </w:rPr>
              <w:t>，</w:t>
            </w:r>
            <w:r>
              <w:rPr>
                <w:rFonts w:hint="eastAsia" w:ascii="楷体" w:eastAsia="楷体" w:cs="楷体"/>
                <w:bCs/>
                <w:kern w:val="2"/>
                <w:szCs w:val="21"/>
                <w:lang w:eastAsia="zh-Hans"/>
              </w:rPr>
              <w:t>比较熟练掌握反思的基本方法</w:t>
            </w:r>
            <w:r>
              <w:rPr>
                <w:rFonts w:ascii="楷体" w:eastAsia="楷体" w:cs="楷体"/>
                <w:bCs/>
                <w:kern w:val="2"/>
                <w:szCs w:val="21"/>
                <w:lang w:eastAsia="zh-Hans"/>
              </w:rPr>
              <w:t>，</w:t>
            </w:r>
            <w:r>
              <w:rPr>
                <w:rFonts w:hint="eastAsia" w:ascii="楷体" w:eastAsia="楷体" w:cs="楷体"/>
                <w:bCs/>
                <w:kern w:val="2"/>
                <w:szCs w:val="21"/>
                <w:lang w:eastAsia="zh-Hans"/>
              </w:rPr>
              <w:t>在歌曲创作中能够进行自我诊断并及时改进</w:t>
            </w:r>
            <w:r>
              <w:rPr>
                <w:rFonts w:ascii="楷体" w:eastAsia="楷体" w:cs="楷体"/>
                <w:bCs/>
                <w:kern w:val="2"/>
                <w:szCs w:val="21"/>
                <w:lang w:eastAsia="zh-Hans"/>
              </w:rPr>
              <w:t>。</w:t>
            </w:r>
          </w:p>
        </w:tc>
        <w:tc>
          <w:tcPr>
            <w:tcW w:w="1499" w:type="dxa"/>
            <w:noWrap w:val="0"/>
            <w:vAlign w:val="top"/>
          </w:tcPr>
          <w:p w14:paraId="34AADED5">
            <w:pPr>
              <w:spacing w:line="300" w:lineRule="exact"/>
              <w:rPr>
                <w:rFonts w:ascii="楷体" w:eastAsia="楷体" w:cs="楷体"/>
                <w:bCs/>
                <w:kern w:val="2"/>
                <w:szCs w:val="21"/>
              </w:rPr>
            </w:pPr>
            <w:r>
              <w:rPr>
                <w:rFonts w:hint="eastAsia" w:ascii="楷体" w:eastAsia="楷体" w:cs="楷体"/>
                <w:bCs/>
                <w:kern w:val="2"/>
                <w:szCs w:val="21"/>
                <w:lang w:eastAsia="zh-Hans"/>
              </w:rPr>
              <w:t>具备一定的反思意识</w:t>
            </w:r>
            <w:r>
              <w:rPr>
                <w:rFonts w:ascii="楷体" w:eastAsia="楷体" w:cs="楷体"/>
                <w:bCs/>
                <w:kern w:val="2"/>
                <w:szCs w:val="21"/>
                <w:lang w:eastAsia="zh-Hans"/>
              </w:rPr>
              <w:t>，</w:t>
            </w:r>
            <w:r>
              <w:rPr>
                <w:rFonts w:hint="eastAsia" w:ascii="楷体" w:eastAsia="楷体" w:cs="楷体"/>
                <w:bCs/>
                <w:kern w:val="2"/>
                <w:szCs w:val="21"/>
                <w:lang w:eastAsia="zh-Hans"/>
              </w:rPr>
              <w:t>掌握反思的基本方法</w:t>
            </w:r>
            <w:r>
              <w:rPr>
                <w:rFonts w:ascii="楷体" w:eastAsia="楷体" w:cs="楷体"/>
                <w:bCs/>
                <w:kern w:val="2"/>
                <w:szCs w:val="21"/>
                <w:lang w:eastAsia="zh-Hans"/>
              </w:rPr>
              <w:t>，</w:t>
            </w:r>
            <w:r>
              <w:rPr>
                <w:rFonts w:hint="eastAsia" w:ascii="楷体" w:eastAsia="楷体" w:cs="楷体"/>
                <w:bCs/>
                <w:kern w:val="2"/>
                <w:szCs w:val="21"/>
                <w:lang w:eastAsia="zh-Hans"/>
              </w:rPr>
              <w:t>在歌曲创作中能够进行自我诊断并不断改进</w:t>
            </w:r>
            <w:r>
              <w:rPr>
                <w:rFonts w:ascii="楷体" w:eastAsia="楷体" w:cs="楷体"/>
                <w:bCs/>
                <w:kern w:val="2"/>
                <w:szCs w:val="21"/>
                <w:lang w:eastAsia="zh-Hans"/>
              </w:rPr>
              <w:t>。</w:t>
            </w:r>
          </w:p>
        </w:tc>
        <w:tc>
          <w:tcPr>
            <w:tcW w:w="1499" w:type="dxa"/>
            <w:noWrap w:val="0"/>
            <w:vAlign w:val="top"/>
          </w:tcPr>
          <w:p w14:paraId="3584ABEF">
            <w:pPr>
              <w:spacing w:line="300" w:lineRule="exact"/>
              <w:rPr>
                <w:rFonts w:ascii="楷体" w:eastAsia="楷体" w:cs="楷体"/>
                <w:bCs/>
                <w:kern w:val="2"/>
                <w:szCs w:val="21"/>
              </w:rPr>
            </w:pPr>
            <w:r>
              <w:rPr>
                <w:rFonts w:hint="eastAsia" w:ascii="楷体" w:eastAsia="楷体" w:cs="楷体"/>
                <w:bCs/>
                <w:kern w:val="2"/>
                <w:szCs w:val="21"/>
                <w:lang w:eastAsia="zh-Hans"/>
              </w:rPr>
              <w:t>具备基本的反思意识</w:t>
            </w:r>
            <w:r>
              <w:rPr>
                <w:rFonts w:ascii="楷体" w:eastAsia="楷体" w:cs="楷体"/>
                <w:bCs/>
                <w:kern w:val="2"/>
                <w:szCs w:val="21"/>
                <w:lang w:eastAsia="zh-Hans"/>
              </w:rPr>
              <w:t>，</w:t>
            </w:r>
            <w:r>
              <w:rPr>
                <w:rFonts w:hint="eastAsia" w:ascii="楷体" w:eastAsia="楷体" w:cs="楷体"/>
                <w:bCs/>
                <w:kern w:val="2"/>
                <w:szCs w:val="21"/>
                <w:lang w:eastAsia="zh-Hans"/>
              </w:rPr>
              <w:t>基本掌握反思的基本方法</w:t>
            </w:r>
            <w:r>
              <w:rPr>
                <w:rFonts w:ascii="楷体" w:eastAsia="楷体" w:cs="楷体"/>
                <w:bCs/>
                <w:kern w:val="2"/>
                <w:szCs w:val="21"/>
                <w:lang w:eastAsia="zh-Hans"/>
              </w:rPr>
              <w:t>，</w:t>
            </w:r>
            <w:r>
              <w:rPr>
                <w:rFonts w:hint="eastAsia" w:ascii="楷体" w:eastAsia="楷体" w:cs="楷体"/>
                <w:bCs/>
                <w:kern w:val="2"/>
                <w:szCs w:val="21"/>
                <w:lang w:eastAsia="zh-Hans"/>
              </w:rPr>
              <w:t>在歌曲创作中能够进行初步自我诊断</w:t>
            </w:r>
            <w:r>
              <w:rPr>
                <w:rFonts w:ascii="楷体" w:eastAsia="楷体" w:cs="楷体"/>
                <w:bCs/>
                <w:kern w:val="2"/>
                <w:szCs w:val="21"/>
                <w:lang w:eastAsia="zh-Hans"/>
              </w:rPr>
              <w:t>。</w:t>
            </w:r>
          </w:p>
        </w:tc>
        <w:tc>
          <w:tcPr>
            <w:tcW w:w="1499" w:type="dxa"/>
            <w:noWrap w:val="0"/>
            <w:vAlign w:val="top"/>
          </w:tcPr>
          <w:p w14:paraId="1DDD498B">
            <w:pPr>
              <w:spacing w:line="300" w:lineRule="exact"/>
              <w:rPr>
                <w:rFonts w:ascii="楷体" w:eastAsia="楷体" w:cs="楷体"/>
                <w:bCs/>
                <w:kern w:val="2"/>
                <w:szCs w:val="21"/>
              </w:rPr>
            </w:pPr>
            <w:r>
              <w:rPr>
                <w:rFonts w:hint="eastAsia" w:ascii="楷体" w:eastAsia="楷体" w:cs="楷体"/>
                <w:bCs/>
                <w:kern w:val="2"/>
                <w:szCs w:val="21"/>
                <w:lang w:eastAsia="zh-Hans"/>
              </w:rPr>
              <w:t>不具备基本的反思意识</w:t>
            </w:r>
            <w:r>
              <w:rPr>
                <w:rFonts w:ascii="楷体" w:eastAsia="楷体" w:cs="楷体"/>
                <w:bCs/>
                <w:kern w:val="2"/>
                <w:szCs w:val="21"/>
                <w:lang w:eastAsia="zh-Hans"/>
              </w:rPr>
              <w:t>，</w:t>
            </w:r>
            <w:r>
              <w:rPr>
                <w:rFonts w:hint="eastAsia" w:ascii="楷体" w:eastAsia="楷体" w:cs="楷体"/>
                <w:bCs/>
                <w:kern w:val="2"/>
                <w:szCs w:val="21"/>
                <w:lang w:eastAsia="zh-Hans"/>
              </w:rPr>
              <w:t>未能掌握反思的基本方法</w:t>
            </w:r>
            <w:r>
              <w:rPr>
                <w:rFonts w:ascii="楷体" w:eastAsia="楷体" w:cs="楷体"/>
                <w:bCs/>
                <w:kern w:val="2"/>
                <w:szCs w:val="21"/>
                <w:lang w:eastAsia="zh-Hans"/>
              </w:rPr>
              <w:t>，</w:t>
            </w:r>
            <w:r>
              <w:rPr>
                <w:rFonts w:hint="eastAsia" w:ascii="楷体" w:eastAsia="楷体" w:cs="楷体"/>
                <w:bCs/>
                <w:kern w:val="2"/>
                <w:szCs w:val="21"/>
                <w:lang w:eastAsia="zh-Hans"/>
              </w:rPr>
              <w:t>在歌曲创作中不能够进行自我诊断</w:t>
            </w:r>
            <w:r>
              <w:rPr>
                <w:rFonts w:ascii="楷体" w:eastAsia="楷体" w:cs="楷体"/>
                <w:bCs/>
                <w:kern w:val="2"/>
                <w:szCs w:val="21"/>
                <w:lang w:eastAsia="zh-Hans"/>
              </w:rPr>
              <w:t>。</w:t>
            </w:r>
          </w:p>
        </w:tc>
      </w:tr>
    </w:tbl>
    <w:p w14:paraId="4C452239">
      <w:pPr>
        <w:rPr>
          <w:sz w:val="2"/>
          <w:szCs w:val="2"/>
        </w:rPr>
        <w:sectPr>
          <w:headerReference r:id="rId115" w:type="default"/>
          <w:footerReference r:id="rId116" w:type="default"/>
          <w:pgSz w:w="11906" w:h="16838"/>
          <w:pgMar w:top="1440" w:right="1800" w:bottom="1440" w:left="1800" w:header="851" w:footer="992" w:gutter="0"/>
          <w:cols w:space="425" w:num="1"/>
          <w:docGrid w:type="lines" w:linePitch="312" w:charSpace="0"/>
        </w:sectPr>
      </w:pPr>
    </w:p>
    <w:p w14:paraId="7DA19C10">
      <w:pPr>
        <w:adjustRightInd w:val="0"/>
        <w:snapToGrid w:val="0"/>
        <w:spacing w:line="560" w:lineRule="exact"/>
        <w:ind w:firstLine="1540" w:firstLineChars="350"/>
        <w:jc w:val="center"/>
        <w:rPr>
          <w:rFonts w:hint="eastAsia" w:eastAsia="方正小标宋简体"/>
          <w:color w:val="auto"/>
          <w:sz w:val="44"/>
          <w:szCs w:val="44"/>
          <w:highlight w:val="yellow"/>
          <w:lang w:eastAsia="zh-CN"/>
        </w:rPr>
      </w:pPr>
      <w:r>
        <w:rPr>
          <w:rFonts w:hint="eastAsia" w:eastAsia="方正小标宋简体"/>
          <w:color w:val="auto"/>
          <w:sz w:val="44"/>
          <w:szCs w:val="44"/>
        </w:rPr>
        <w:t>三明学院音乐学（音乐教育）专业</w:t>
      </w:r>
    </w:p>
    <w:p w14:paraId="309B6949">
      <w:pPr>
        <w:pStyle w:val="2"/>
        <w:spacing w:before="0" w:beforeAutospacing="0" w:after="0" w:afterAutospacing="0" w:line="520" w:lineRule="exact"/>
        <w:jc w:val="center"/>
        <w:rPr>
          <w:rFonts w:hint="eastAsia" w:ascii="方正小标宋简体" w:hAnsi="方正小标宋简体" w:eastAsia="方正小标宋简体" w:cs="方正小标宋简体"/>
          <w:b w:val="0"/>
          <w:bCs w:val="0"/>
          <w:kern w:val="2"/>
          <w:sz w:val="44"/>
          <w:szCs w:val="44"/>
          <w:lang w:val="en-US" w:eastAsia="zh-CN"/>
        </w:rPr>
      </w:pPr>
      <w:bookmarkStart w:id="208" w:name="_Toc1322437775"/>
      <w:bookmarkStart w:id="209" w:name="_Toc1013266600"/>
      <w:r>
        <w:rPr>
          <w:rFonts w:hint="eastAsia" w:ascii="方正小标宋简体" w:hAnsi="方正小标宋简体" w:eastAsia="方正小标宋简体" w:cs="方正小标宋简体"/>
          <w:b w:val="0"/>
          <w:bCs w:val="0"/>
          <w:kern w:val="2"/>
          <w:sz w:val="44"/>
          <w:szCs w:val="44"/>
          <w:lang w:val="en-US" w:eastAsia="zh-CN"/>
        </w:rPr>
        <w:t>《演出策划与管理》课程教学大纲</w:t>
      </w:r>
      <w:bookmarkEnd w:id="207"/>
      <w:bookmarkEnd w:id="208"/>
    </w:p>
    <w:tbl>
      <w:tblPr>
        <w:tblStyle w:val="22"/>
        <w:tblpPr w:leftFromText="180" w:rightFromText="180" w:vertAnchor="text" w:horzAnchor="page" w:tblpX="1052" w:tblpY="508"/>
        <w:tblOverlap w:val="never"/>
        <w:tblW w:w="989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075"/>
        <w:gridCol w:w="1333"/>
        <w:gridCol w:w="275"/>
        <w:gridCol w:w="1069"/>
        <w:gridCol w:w="1493"/>
        <w:gridCol w:w="113"/>
        <w:gridCol w:w="297"/>
        <w:gridCol w:w="555"/>
        <w:gridCol w:w="575"/>
        <w:gridCol w:w="600"/>
        <w:gridCol w:w="187"/>
        <w:gridCol w:w="413"/>
        <w:gridCol w:w="574"/>
        <w:gridCol w:w="213"/>
        <w:gridCol w:w="1127"/>
      </w:tblGrid>
      <w:tr w14:paraId="1B72F437">
        <w:trPr>
          <w:trHeight w:val="454" w:hRule="atLeast"/>
        </w:trPr>
        <w:tc>
          <w:tcPr>
            <w:tcW w:w="1075" w:type="dxa"/>
            <w:noWrap w:val="0"/>
            <w:vAlign w:val="center"/>
          </w:tcPr>
          <w:p w14:paraId="35CED1E6">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课程名称</w:t>
            </w:r>
          </w:p>
        </w:tc>
        <w:tc>
          <w:tcPr>
            <w:tcW w:w="5135" w:type="dxa"/>
            <w:gridSpan w:val="7"/>
            <w:noWrap w:val="0"/>
            <w:vAlign w:val="center"/>
          </w:tcPr>
          <w:p w14:paraId="2B440C20">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sz w:val="24"/>
                <w:szCs w:val="24"/>
              </w:rPr>
              <w:t>《</w:t>
            </w:r>
            <w:r>
              <w:rPr>
                <w:rFonts w:hint="default" w:ascii="仿宋" w:hAnsi="仿宋" w:eastAsia="仿宋" w:cs="仿宋"/>
                <w:sz w:val="24"/>
                <w:szCs w:val="24"/>
              </w:rPr>
              <w:t>演出策划与管理</w:t>
            </w:r>
            <w:r>
              <w:rPr>
                <w:rFonts w:hint="eastAsia" w:ascii="仿宋" w:hAnsi="仿宋" w:eastAsia="仿宋" w:cs="仿宋"/>
                <w:sz w:val="24"/>
                <w:szCs w:val="24"/>
              </w:rPr>
              <w:t>》</w:t>
            </w:r>
          </w:p>
        </w:tc>
        <w:tc>
          <w:tcPr>
            <w:tcW w:w="575" w:type="dxa"/>
            <w:noWrap w:val="0"/>
            <w:vAlign w:val="center"/>
          </w:tcPr>
          <w:p w14:paraId="277EEBB7">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w:t>
            </w:r>
          </w:p>
          <w:p w14:paraId="4C5FF8B0">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代码</w:t>
            </w:r>
          </w:p>
        </w:tc>
        <w:tc>
          <w:tcPr>
            <w:tcW w:w="3114" w:type="dxa"/>
            <w:gridSpan w:val="6"/>
            <w:noWrap w:val="0"/>
            <w:vAlign w:val="center"/>
          </w:tcPr>
          <w:p w14:paraId="3A03EA82">
            <w:pPr>
              <w:adjustRightInd w:val="0"/>
              <w:snapToGrid w:val="0"/>
              <w:spacing w:line="240" w:lineRule="atLeast"/>
              <w:jc w:val="center"/>
              <w:rPr>
                <w:rFonts w:hint="default" w:ascii="仿宋" w:hAnsi="仿宋" w:eastAsia="仿宋" w:cs="仿宋"/>
                <w:color w:val="auto"/>
                <w:sz w:val="24"/>
                <w:szCs w:val="24"/>
                <w:lang w:val="en-US"/>
              </w:rPr>
            </w:pPr>
            <w:r>
              <w:rPr>
                <w:rFonts w:hint="default" w:ascii="仿宋" w:hAnsi="仿宋" w:eastAsia="仿宋" w:cs="仿宋"/>
                <w:color w:val="auto"/>
                <w:sz w:val="24"/>
                <w:szCs w:val="24"/>
                <w:lang w:val="en-US"/>
              </w:rPr>
              <w:t>1211502609</w:t>
            </w:r>
          </w:p>
        </w:tc>
      </w:tr>
      <w:tr w14:paraId="46C0F797">
        <w:trPr>
          <w:trHeight w:val="454" w:hRule="atLeast"/>
        </w:trPr>
        <w:tc>
          <w:tcPr>
            <w:tcW w:w="1075" w:type="dxa"/>
            <w:noWrap w:val="0"/>
            <w:vAlign w:val="center"/>
          </w:tcPr>
          <w:p w14:paraId="62A33C15">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课程类型</w:t>
            </w:r>
          </w:p>
        </w:tc>
        <w:tc>
          <w:tcPr>
            <w:tcW w:w="8824" w:type="dxa"/>
            <w:gridSpan w:val="14"/>
            <w:noWrap w:val="0"/>
            <w:vAlign w:val="center"/>
          </w:tcPr>
          <w:p w14:paraId="38E74145">
            <w:pPr>
              <w:adjustRightInd w:val="0"/>
              <w:snapToGrid w:val="0"/>
              <w:spacing w:line="240" w:lineRule="atLeast"/>
              <w:rPr>
                <w:rFonts w:hint="eastAsia" w:ascii="仿宋" w:hAnsi="仿宋" w:eastAsia="仿宋" w:cs="仿宋"/>
                <w:color w:val="auto"/>
                <w:sz w:val="24"/>
                <w:szCs w:val="24"/>
              </w:rPr>
            </w:pP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通识必修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通识选修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专业必修 </w:t>
            </w:r>
          </w:p>
          <w:p w14:paraId="6D31E5BE">
            <w:pPr>
              <w:adjustRightInd w:val="0"/>
              <w:snapToGrid w:val="0"/>
              <w:spacing w:line="240" w:lineRule="atLeast"/>
              <w:rPr>
                <w:rFonts w:hint="eastAsia" w:ascii="仿宋" w:hAnsi="仿宋" w:eastAsia="仿宋" w:cs="仿宋"/>
                <w:color w:val="auto"/>
                <w:sz w:val="24"/>
                <w:szCs w:val="24"/>
              </w:rPr>
            </w:pP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专业选修</w:t>
            </w:r>
            <w:r>
              <w:rPr>
                <w:rFonts w:hint="eastAsia" w:ascii="仿宋" w:hAnsi="仿宋" w:eastAsia="仿宋" w:cs="仿宋"/>
                <w:color w:val="auto"/>
                <w:sz w:val="24"/>
                <w:szCs w:val="24"/>
                <w:lang w:eastAsia="zh-TW"/>
              </w:rPr>
              <w:t xml:space="preserve">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教师教育必修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教师教育选修</w:t>
            </w:r>
          </w:p>
        </w:tc>
      </w:tr>
      <w:tr w14:paraId="40E4EE9B">
        <w:trPr>
          <w:trHeight w:val="406" w:hRule="atLeast"/>
        </w:trPr>
        <w:tc>
          <w:tcPr>
            <w:tcW w:w="1075" w:type="dxa"/>
            <w:noWrap w:val="0"/>
            <w:vAlign w:val="center"/>
          </w:tcPr>
          <w:p w14:paraId="4E3057A8">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开课学期</w:t>
            </w:r>
          </w:p>
        </w:tc>
        <w:tc>
          <w:tcPr>
            <w:tcW w:w="1608" w:type="dxa"/>
            <w:gridSpan w:val="2"/>
            <w:noWrap w:val="0"/>
            <w:vAlign w:val="center"/>
          </w:tcPr>
          <w:p w14:paraId="2184A03F">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第</w:t>
            </w:r>
            <w:r>
              <w:rPr>
                <w:rFonts w:hint="default" w:ascii="仿宋" w:hAnsi="仿宋" w:eastAsia="仿宋" w:cs="仿宋"/>
                <w:color w:val="auto"/>
                <w:sz w:val="24"/>
                <w:szCs w:val="24"/>
                <w:lang w:val="en-US"/>
              </w:rPr>
              <w:t>6</w:t>
            </w:r>
            <w:r>
              <w:rPr>
                <w:rFonts w:hint="eastAsia" w:ascii="仿宋" w:hAnsi="仿宋" w:eastAsia="仿宋" w:cs="仿宋"/>
                <w:color w:val="auto"/>
                <w:sz w:val="24"/>
                <w:szCs w:val="24"/>
              </w:rPr>
              <w:t>学期</w:t>
            </w:r>
          </w:p>
        </w:tc>
        <w:tc>
          <w:tcPr>
            <w:tcW w:w="1069" w:type="dxa"/>
            <w:noWrap w:val="0"/>
            <w:vAlign w:val="center"/>
          </w:tcPr>
          <w:p w14:paraId="1F8D3B6E">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学分</w:t>
            </w:r>
          </w:p>
        </w:tc>
        <w:tc>
          <w:tcPr>
            <w:tcW w:w="1606" w:type="dxa"/>
            <w:gridSpan w:val="2"/>
            <w:noWrap w:val="0"/>
            <w:vAlign w:val="center"/>
          </w:tcPr>
          <w:p w14:paraId="7D229261">
            <w:pPr>
              <w:adjustRightInd w:val="0"/>
              <w:snapToGrid w:val="0"/>
              <w:spacing w:line="240" w:lineRule="atLeast"/>
              <w:jc w:val="center"/>
              <w:rPr>
                <w:rFonts w:hint="eastAsia" w:ascii="仿宋" w:hAnsi="仿宋" w:eastAsia="仿宋" w:cs="仿宋"/>
                <w:color w:val="auto"/>
                <w:sz w:val="24"/>
                <w:szCs w:val="24"/>
              </w:rPr>
            </w:pPr>
            <w:r>
              <w:rPr>
                <w:rFonts w:hint="default" w:ascii="仿宋" w:hAnsi="仿宋" w:eastAsia="仿宋" w:cs="仿宋"/>
                <w:color w:val="auto"/>
                <w:sz w:val="24"/>
                <w:szCs w:val="24"/>
              </w:rPr>
              <w:t>2</w:t>
            </w:r>
          </w:p>
        </w:tc>
        <w:tc>
          <w:tcPr>
            <w:tcW w:w="1427" w:type="dxa"/>
            <w:gridSpan w:val="3"/>
            <w:noWrap w:val="0"/>
            <w:vAlign w:val="center"/>
          </w:tcPr>
          <w:p w14:paraId="1452E8D1">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课程负责人</w:t>
            </w:r>
          </w:p>
        </w:tc>
        <w:tc>
          <w:tcPr>
            <w:tcW w:w="3114" w:type="dxa"/>
            <w:gridSpan w:val="6"/>
            <w:noWrap w:val="0"/>
            <w:vAlign w:val="center"/>
          </w:tcPr>
          <w:p w14:paraId="70744AF3">
            <w:pPr>
              <w:adjustRightInd w:val="0"/>
              <w:snapToGrid w:val="0"/>
              <w:spacing w:line="240" w:lineRule="atLeast"/>
              <w:jc w:val="center"/>
              <w:rPr>
                <w:rFonts w:hint="eastAsia" w:ascii="仿宋" w:hAnsi="仿宋" w:eastAsia="仿宋" w:cs="仿宋"/>
                <w:color w:val="auto"/>
                <w:sz w:val="24"/>
                <w:szCs w:val="24"/>
              </w:rPr>
            </w:pPr>
            <w:r>
              <w:rPr>
                <w:rFonts w:hint="default" w:ascii="仿宋" w:hAnsi="仿宋" w:eastAsia="仿宋" w:cs="仿宋"/>
                <w:color w:val="auto"/>
                <w:sz w:val="24"/>
                <w:szCs w:val="24"/>
              </w:rPr>
              <w:t>尚昱辰</w:t>
            </w:r>
          </w:p>
        </w:tc>
      </w:tr>
      <w:tr w14:paraId="228EDE28">
        <w:trPr>
          <w:trHeight w:val="485" w:hRule="atLeast"/>
        </w:trPr>
        <w:tc>
          <w:tcPr>
            <w:tcW w:w="1075" w:type="dxa"/>
            <w:noWrap w:val="0"/>
            <w:vAlign w:val="center"/>
          </w:tcPr>
          <w:p w14:paraId="40E76C55">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总学时</w:t>
            </w:r>
          </w:p>
        </w:tc>
        <w:tc>
          <w:tcPr>
            <w:tcW w:w="1608" w:type="dxa"/>
            <w:gridSpan w:val="2"/>
            <w:noWrap w:val="0"/>
            <w:vAlign w:val="center"/>
          </w:tcPr>
          <w:p w14:paraId="0493E425">
            <w:pPr>
              <w:adjustRightInd w:val="0"/>
              <w:snapToGrid w:val="0"/>
              <w:spacing w:line="240" w:lineRule="atLeast"/>
              <w:jc w:val="center"/>
              <w:rPr>
                <w:rFonts w:hint="eastAsia" w:ascii="仿宋" w:hAnsi="仿宋" w:eastAsia="仿宋" w:cs="仿宋"/>
                <w:color w:val="auto"/>
                <w:sz w:val="24"/>
                <w:szCs w:val="24"/>
              </w:rPr>
            </w:pPr>
            <w:r>
              <w:rPr>
                <w:rFonts w:hint="default" w:ascii="仿宋" w:hAnsi="仿宋" w:eastAsia="仿宋" w:cs="仿宋"/>
                <w:color w:val="auto"/>
                <w:sz w:val="24"/>
                <w:szCs w:val="24"/>
              </w:rPr>
              <w:t>32</w:t>
            </w:r>
          </w:p>
        </w:tc>
        <w:tc>
          <w:tcPr>
            <w:tcW w:w="1069" w:type="dxa"/>
            <w:noWrap w:val="0"/>
            <w:vAlign w:val="center"/>
          </w:tcPr>
          <w:p w14:paraId="32AA0381">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理论学时</w:t>
            </w:r>
          </w:p>
        </w:tc>
        <w:tc>
          <w:tcPr>
            <w:tcW w:w="1606" w:type="dxa"/>
            <w:gridSpan w:val="2"/>
            <w:noWrap w:val="0"/>
            <w:vAlign w:val="center"/>
          </w:tcPr>
          <w:p w14:paraId="60DB4B18">
            <w:pPr>
              <w:adjustRightInd w:val="0"/>
              <w:snapToGrid w:val="0"/>
              <w:spacing w:line="240" w:lineRule="atLeast"/>
              <w:jc w:val="center"/>
              <w:rPr>
                <w:rFonts w:hint="eastAsia" w:ascii="仿宋" w:hAnsi="仿宋" w:eastAsia="仿宋" w:cs="仿宋"/>
                <w:color w:val="auto"/>
                <w:sz w:val="24"/>
                <w:szCs w:val="24"/>
              </w:rPr>
            </w:pPr>
            <w:r>
              <w:rPr>
                <w:rFonts w:hint="default" w:ascii="仿宋" w:hAnsi="仿宋" w:eastAsia="仿宋" w:cs="仿宋"/>
                <w:color w:val="auto"/>
                <w:sz w:val="24"/>
                <w:szCs w:val="24"/>
              </w:rPr>
              <w:t>32</w:t>
            </w:r>
          </w:p>
        </w:tc>
        <w:tc>
          <w:tcPr>
            <w:tcW w:w="1427" w:type="dxa"/>
            <w:gridSpan w:val="3"/>
            <w:tcBorders>
              <w:right w:val="single" w:color="000000" w:sz="4" w:space="0"/>
            </w:tcBorders>
            <w:noWrap w:val="0"/>
            <w:vAlign w:val="center"/>
          </w:tcPr>
          <w:p w14:paraId="24D256DE">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实践学时</w:t>
            </w:r>
          </w:p>
        </w:tc>
        <w:tc>
          <w:tcPr>
            <w:tcW w:w="3114" w:type="dxa"/>
            <w:gridSpan w:val="6"/>
            <w:tcBorders>
              <w:left w:val="single" w:color="000000" w:sz="4" w:space="0"/>
            </w:tcBorders>
            <w:noWrap w:val="0"/>
            <w:vAlign w:val="center"/>
          </w:tcPr>
          <w:p w14:paraId="073D1BC2">
            <w:pPr>
              <w:adjustRightInd w:val="0"/>
              <w:snapToGrid w:val="0"/>
              <w:spacing w:line="240" w:lineRule="atLeast"/>
              <w:jc w:val="center"/>
              <w:rPr>
                <w:rFonts w:hint="eastAsia" w:ascii="仿宋" w:hAnsi="仿宋" w:eastAsia="仿宋" w:cs="仿宋"/>
                <w:color w:val="auto"/>
                <w:sz w:val="24"/>
                <w:szCs w:val="24"/>
              </w:rPr>
            </w:pPr>
            <w:r>
              <w:rPr>
                <w:rFonts w:hint="default" w:ascii="仿宋" w:hAnsi="仿宋" w:eastAsia="仿宋" w:cs="仿宋"/>
                <w:color w:val="auto"/>
                <w:sz w:val="24"/>
                <w:szCs w:val="24"/>
              </w:rPr>
              <w:t>0</w:t>
            </w:r>
          </w:p>
        </w:tc>
      </w:tr>
      <w:tr w14:paraId="74AE5200">
        <w:trPr>
          <w:trHeight w:val="454" w:hRule="atLeast"/>
        </w:trPr>
        <w:tc>
          <w:tcPr>
            <w:tcW w:w="1075" w:type="dxa"/>
            <w:noWrap w:val="0"/>
            <w:vAlign w:val="center"/>
          </w:tcPr>
          <w:p w14:paraId="70C2050A">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先修课程与后续课程</w:t>
            </w:r>
          </w:p>
        </w:tc>
        <w:tc>
          <w:tcPr>
            <w:tcW w:w="8824" w:type="dxa"/>
            <w:gridSpan w:val="14"/>
            <w:noWrap w:val="0"/>
            <w:vAlign w:val="center"/>
          </w:tcPr>
          <w:p w14:paraId="477A1465">
            <w:pPr>
              <w:tabs>
                <w:tab w:val="left" w:pos="720"/>
              </w:tabs>
              <w:adjustRightInd w:val="0"/>
              <w:snapToGrid w:val="0"/>
              <w:jc w:val="left"/>
              <w:rPr>
                <w:rFonts w:hint="eastAsia" w:ascii="仿宋" w:hAnsi="仿宋" w:eastAsia="仿宋" w:cs="仿宋"/>
                <w:color w:val="auto"/>
                <w:sz w:val="24"/>
                <w:szCs w:val="24"/>
              </w:rPr>
            </w:pPr>
            <w:r>
              <w:rPr>
                <w:rFonts w:hint="eastAsia" w:ascii="仿宋" w:hAnsi="仿宋" w:eastAsia="仿宋" w:cs="仿宋"/>
                <w:color w:val="auto"/>
                <w:sz w:val="24"/>
                <w:szCs w:val="24"/>
              </w:rPr>
              <w:t>先修课程：</w:t>
            </w:r>
          </w:p>
          <w:p w14:paraId="13E64215">
            <w:pPr>
              <w:tabs>
                <w:tab w:val="left" w:pos="720"/>
              </w:tabs>
              <w:adjustRightInd w:val="0"/>
              <w:snapToGrid w:val="0"/>
              <w:jc w:val="left"/>
              <w:rPr>
                <w:rFonts w:hint="eastAsia" w:ascii="仿宋" w:hAnsi="仿宋" w:eastAsia="仿宋" w:cs="仿宋"/>
                <w:color w:val="auto"/>
                <w:sz w:val="24"/>
                <w:szCs w:val="24"/>
              </w:rPr>
            </w:pPr>
            <w:r>
              <w:rPr>
                <w:rFonts w:hint="eastAsia" w:ascii="仿宋" w:hAnsi="仿宋" w:eastAsia="仿宋" w:cs="仿宋"/>
                <w:color w:val="auto"/>
                <w:sz w:val="24"/>
                <w:szCs w:val="24"/>
              </w:rPr>
              <w:t>后续课程：</w:t>
            </w:r>
          </w:p>
        </w:tc>
      </w:tr>
      <w:tr w14:paraId="335FBAFF">
        <w:trPr>
          <w:trHeight w:val="454" w:hRule="atLeast"/>
        </w:trPr>
        <w:tc>
          <w:tcPr>
            <w:tcW w:w="1075" w:type="dxa"/>
            <w:noWrap w:val="0"/>
            <w:vAlign w:val="center"/>
          </w:tcPr>
          <w:p w14:paraId="654A4245">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适用专业</w:t>
            </w:r>
          </w:p>
        </w:tc>
        <w:tc>
          <w:tcPr>
            <w:tcW w:w="8824" w:type="dxa"/>
            <w:gridSpan w:val="14"/>
            <w:noWrap w:val="0"/>
            <w:vAlign w:val="center"/>
          </w:tcPr>
          <w:p w14:paraId="0CB749D2">
            <w:pPr>
              <w:adjustRightInd w:val="0"/>
              <w:snapToGrid w:val="0"/>
              <w:spacing w:line="240" w:lineRule="atLeast"/>
              <w:jc w:val="center"/>
              <w:rPr>
                <w:rFonts w:hint="eastAsia" w:ascii="仿宋" w:hAnsi="仿宋" w:eastAsia="仿宋" w:cs="仿宋"/>
                <w:color w:val="auto"/>
                <w:sz w:val="24"/>
                <w:szCs w:val="24"/>
              </w:rPr>
            </w:pPr>
            <w:r>
              <w:rPr>
                <w:rFonts w:hint="default" w:ascii="仿宋" w:hAnsi="仿宋" w:eastAsia="仿宋" w:cs="仿宋"/>
                <w:color w:val="auto"/>
                <w:sz w:val="24"/>
                <w:szCs w:val="24"/>
              </w:rPr>
              <w:t>音乐学</w:t>
            </w:r>
            <w:r>
              <w:rPr>
                <w:rFonts w:hint="eastAsia" w:ascii="仿宋" w:hAnsi="仿宋" w:eastAsia="仿宋" w:cs="仿宋"/>
                <w:color w:val="auto"/>
                <w:sz w:val="24"/>
                <w:szCs w:val="24"/>
              </w:rPr>
              <w:t>专业</w:t>
            </w:r>
          </w:p>
        </w:tc>
      </w:tr>
      <w:tr w14:paraId="47CF8034">
        <w:tc>
          <w:tcPr>
            <w:tcW w:w="1075" w:type="dxa"/>
            <w:tcBorders>
              <w:bottom w:val="single" w:color="auto" w:sz="4" w:space="0"/>
            </w:tcBorders>
            <w:noWrap w:val="0"/>
            <w:vAlign w:val="center"/>
          </w:tcPr>
          <w:p w14:paraId="6F5D2424">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A</w:t>
            </w:r>
          </w:p>
          <w:p w14:paraId="576BCC9D">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参考教材</w:t>
            </w:r>
          </w:p>
        </w:tc>
        <w:tc>
          <w:tcPr>
            <w:tcW w:w="8824" w:type="dxa"/>
            <w:gridSpan w:val="14"/>
            <w:tcBorders>
              <w:bottom w:val="single" w:color="auto" w:sz="4" w:space="0"/>
            </w:tcBorders>
            <w:noWrap w:val="0"/>
            <w:vAlign w:val="center"/>
          </w:tcPr>
          <w:p w14:paraId="31B9B1FC">
            <w:pPr>
              <w:tabs>
                <w:tab w:val="left" w:pos="720"/>
              </w:tabs>
              <w:adjustRightInd w:val="0"/>
              <w:snapToGrid w:val="0"/>
              <w:rPr>
                <w:rFonts w:hint="eastAsia" w:ascii="仿宋" w:hAnsi="仿宋" w:eastAsia="仿宋" w:cs="仿宋"/>
                <w:color w:val="auto"/>
                <w:kern w:val="0"/>
                <w:sz w:val="24"/>
                <w:szCs w:val="24"/>
              </w:rPr>
            </w:pPr>
            <w:r>
              <w:rPr>
                <w:rFonts w:hint="eastAsia" w:ascii="仿宋" w:hAnsi="仿宋" w:eastAsia="仿宋" w:cs="仿宋"/>
                <w:sz w:val="24"/>
              </w:rPr>
              <w:t>董峰，赵乐 主编《艺术项目策划》东南大学出版社2014.12</w:t>
            </w:r>
            <w:r>
              <w:rPr>
                <w:rFonts w:hint="eastAsia" w:ascii="仿宋" w:hAnsi="仿宋" w:eastAsia="仿宋" w:cs="仿宋"/>
                <w:sz w:val="24"/>
                <w:szCs w:val="24"/>
              </w:rPr>
              <w:t>第1版。</w:t>
            </w:r>
          </w:p>
        </w:tc>
      </w:tr>
      <w:tr w14:paraId="643B6D7B">
        <w:trPr>
          <w:trHeight w:val="2180" w:hRule="atLeast"/>
        </w:trPr>
        <w:tc>
          <w:tcPr>
            <w:tcW w:w="1075" w:type="dxa"/>
            <w:tcBorders>
              <w:bottom w:val="single" w:color="auto" w:sz="4" w:space="0"/>
            </w:tcBorders>
            <w:noWrap w:val="0"/>
            <w:vAlign w:val="center"/>
          </w:tcPr>
          <w:p w14:paraId="154A97E5">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B</w:t>
            </w:r>
          </w:p>
          <w:p w14:paraId="41E024B8">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主要参考书籍</w:t>
            </w:r>
          </w:p>
        </w:tc>
        <w:tc>
          <w:tcPr>
            <w:tcW w:w="8824" w:type="dxa"/>
            <w:gridSpan w:val="14"/>
            <w:tcBorders>
              <w:bottom w:val="single" w:color="auto" w:sz="4" w:space="0"/>
            </w:tcBorders>
            <w:noWrap w:val="0"/>
            <w:vAlign w:val="center"/>
          </w:tcPr>
          <w:p w14:paraId="04B61DE9">
            <w:pPr>
              <w:adjustRightInd w:val="0"/>
              <w:snapToGrid w:val="0"/>
              <w:rPr>
                <w:rFonts w:hint="eastAsia" w:ascii="仿宋" w:hAnsi="仿宋" w:eastAsia="仿宋" w:cs="仿宋"/>
                <w:sz w:val="24"/>
                <w:szCs w:val="24"/>
              </w:rPr>
            </w:pPr>
            <w:r>
              <w:rPr>
                <w:rFonts w:hint="eastAsia" w:ascii="仿宋" w:hAnsi="仿宋" w:eastAsia="仿宋" w:cs="仿宋"/>
                <w:sz w:val="24"/>
                <w:szCs w:val="24"/>
                <w:lang w:val="en-US"/>
              </w:rPr>
              <w:t>[1]</w:t>
            </w:r>
            <w:r>
              <w:rPr>
                <w:rFonts w:hint="eastAsia" w:ascii="仿宋" w:hAnsi="仿宋" w:eastAsia="仿宋" w:cs="仿宋"/>
                <w:sz w:val="24"/>
                <w:szCs w:val="24"/>
              </w:rPr>
              <w:t>张瑀真.《应用音乐产业之经营与管理》.台北市宇河文化出版2012</w:t>
            </w:r>
            <w:r>
              <w:rPr>
                <w:rFonts w:hint="eastAsia" w:ascii="仿宋" w:hAnsi="仿宋" w:eastAsia="仿宋" w:cs="仿宋"/>
                <w:sz w:val="24"/>
                <w:szCs w:val="24"/>
                <w:lang w:val="en-US"/>
              </w:rPr>
              <w:t>.</w:t>
            </w:r>
            <w:r>
              <w:rPr>
                <w:rFonts w:hint="eastAsia" w:ascii="仿宋" w:hAnsi="仿宋" w:eastAsia="仿宋" w:cs="仿宋"/>
                <w:sz w:val="24"/>
                <w:szCs w:val="24"/>
              </w:rPr>
              <w:t>8</w:t>
            </w:r>
            <w:r>
              <w:rPr>
                <w:rFonts w:hint="eastAsia" w:ascii="仿宋" w:hAnsi="仿宋" w:eastAsia="仿宋" w:cs="仿宋"/>
                <w:sz w:val="24"/>
                <w:szCs w:val="24"/>
                <w:lang w:val="en-US"/>
              </w:rPr>
              <w:t>,</w:t>
            </w:r>
            <w:r>
              <w:rPr>
                <w:rFonts w:hint="eastAsia" w:ascii="仿宋" w:hAnsi="仿宋" w:eastAsia="仿宋" w:cs="仿宋"/>
                <w:sz w:val="24"/>
                <w:szCs w:val="24"/>
              </w:rPr>
              <w:t>第一版第一刷。</w:t>
            </w:r>
          </w:p>
          <w:p w14:paraId="0A3C08B0">
            <w:pPr>
              <w:adjustRightInd w:val="0"/>
              <w:snapToGrid w:val="0"/>
              <w:rPr>
                <w:rFonts w:hint="eastAsia" w:ascii="仿宋" w:hAnsi="仿宋" w:eastAsia="仿宋" w:cs="仿宋"/>
                <w:sz w:val="24"/>
                <w:szCs w:val="24"/>
              </w:rPr>
            </w:pPr>
            <w:r>
              <w:rPr>
                <w:rFonts w:hint="eastAsia" w:ascii="仿宋" w:hAnsi="仿宋" w:eastAsia="仿宋" w:cs="仿宋"/>
                <w:sz w:val="24"/>
                <w:szCs w:val="24"/>
                <w:lang w:val="en-US" w:eastAsia="zh-TW"/>
              </w:rPr>
              <w:t>[2]</w:t>
            </w:r>
            <w:r>
              <w:rPr>
                <w:rFonts w:hint="eastAsia" w:ascii="仿宋" w:hAnsi="仿宋" w:eastAsia="仿宋" w:cs="仿宋"/>
                <w:sz w:val="24"/>
                <w:szCs w:val="24"/>
                <w:lang w:eastAsia="zh-TW"/>
              </w:rPr>
              <w:t>陈楠、刘靖</w:t>
            </w:r>
            <w:r>
              <w:rPr>
                <w:rFonts w:hint="eastAsia" w:ascii="仿宋" w:hAnsi="仿宋" w:eastAsia="仿宋" w:cs="仿宋"/>
                <w:sz w:val="24"/>
                <w:szCs w:val="24"/>
                <w:lang w:val="en-US" w:eastAsia="zh-TW"/>
              </w:rPr>
              <w:t>.</w:t>
            </w:r>
            <w:r>
              <w:rPr>
                <w:rFonts w:hint="eastAsia" w:ascii="仿宋" w:hAnsi="仿宋" w:eastAsia="仿宋" w:cs="仿宋"/>
                <w:sz w:val="24"/>
                <w:szCs w:val="24"/>
                <w:lang w:eastAsia="zh-TW"/>
              </w:rPr>
              <w:t>《表演艺术管理与音乐产业运营》</w:t>
            </w:r>
            <w:r>
              <w:rPr>
                <w:rFonts w:hint="eastAsia" w:ascii="仿宋" w:hAnsi="仿宋" w:eastAsia="仿宋" w:cs="仿宋"/>
                <w:sz w:val="24"/>
                <w:szCs w:val="24"/>
                <w:lang w:val="en-US" w:eastAsia="zh-TW"/>
              </w:rPr>
              <w:t>.</w:t>
            </w:r>
            <w:r>
              <w:rPr>
                <w:rFonts w:hint="eastAsia" w:ascii="仿宋" w:hAnsi="仿宋" w:eastAsia="仿宋" w:cs="仿宋"/>
                <w:sz w:val="24"/>
                <w:szCs w:val="24"/>
                <w:lang w:eastAsia="zh-TW"/>
              </w:rPr>
              <w:t>上海：上海音乐出版社，</w:t>
            </w:r>
            <w:r>
              <w:rPr>
                <w:rFonts w:hint="eastAsia" w:ascii="仿宋" w:hAnsi="仿宋" w:eastAsia="仿宋" w:cs="仿宋"/>
                <w:sz w:val="24"/>
                <w:szCs w:val="24"/>
                <w:lang w:val="en-US" w:eastAsia="zh-TW"/>
              </w:rPr>
              <w:t>2020.4</w:t>
            </w:r>
          </w:p>
          <w:p w14:paraId="68B94727">
            <w:pPr>
              <w:adjustRightInd w:val="0"/>
              <w:snapToGrid w:val="0"/>
              <w:rPr>
                <w:rFonts w:hint="eastAsia" w:ascii="仿宋" w:hAnsi="仿宋" w:eastAsia="仿宋" w:cs="仿宋"/>
                <w:sz w:val="24"/>
                <w:szCs w:val="24"/>
              </w:rPr>
            </w:pPr>
            <w:r>
              <w:rPr>
                <w:rFonts w:hint="eastAsia" w:ascii="仿宋" w:hAnsi="仿宋" w:eastAsia="仿宋" w:cs="仿宋"/>
                <w:sz w:val="24"/>
                <w:szCs w:val="24"/>
                <w:lang w:val="en-US" w:eastAsia="zh-TW"/>
              </w:rPr>
              <w:t>[3]</w:t>
            </w:r>
            <w:r>
              <w:rPr>
                <w:rFonts w:hint="eastAsia" w:ascii="仿宋" w:hAnsi="仿宋" w:eastAsia="仿宋" w:cs="仿宋"/>
                <w:sz w:val="24"/>
                <w:szCs w:val="24"/>
                <w:lang w:eastAsia="zh-TW"/>
              </w:rPr>
              <w:t>余丁</w:t>
            </w:r>
            <w:r>
              <w:rPr>
                <w:rFonts w:hint="eastAsia" w:ascii="仿宋" w:hAnsi="仿宋" w:eastAsia="仿宋" w:cs="仿宋"/>
                <w:sz w:val="24"/>
                <w:szCs w:val="24"/>
                <w:lang w:val="en-US" w:eastAsia="zh-TW"/>
              </w:rPr>
              <w:t>.《艺术管理学概论》.北京：高等教育出版社,2016.7重印</w:t>
            </w:r>
            <w:r>
              <w:rPr>
                <w:rFonts w:hint="eastAsia" w:ascii="仿宋" w:hAnsi="仿宋" w:eastAsia="仿宋" w:cs="仿宋"/>
                <w:sz w:val="24"/>
                <w:szCs w:val="24"/>
              </w:rPr>
              <w:t>。</w:t>
            </w:r>
          </w:p>
          <w:p w14:paraId="439D06A4">
            <w:pPr>
              <w:adjustRightInd w:val="0"/>
              <w:snapToGrid w:val="0"/>
              <w:rPr>
                <w:rFonts w:hint="eastAsia" w:ascii="仿宋" w:hAnsi="仿宋" w:eastAsia="仿宋" w:cs="仿宋"/>
                <w:sz w:val="24"/>
                <w:szCs w:val="24"/>
              </w:rPr>
            </w:pPr>
            <w:r>
              <w:rPr>
                <w:rFonts w:hint="eastAsia" w:ascii="仿宋" w:hAnsi="仿宋" w:eastAsia="仿宋" w:cs="仿宋"/>
                <w:sz w:val="24"/>
                <w:szCs w:val="24"/>
                <w:lang w:val="en-US"/>
              </w:rPr>
              <w:t>[4]</w:t>
            </w:r>
            <w:r>
              <w:rPr>
                <w:rFonts w:hint="eastAsia" w:ascii="仿宋" w:hAnsi="仿宋" w:eastAsia="仿宋" w:cs="仿宋"/>
                <w:sz w:val="24"/>
                <w:szCs w:val="24"/>
              </w:rPr>
              <w:t>李天铎.《文化创意产业读本》.台北市远流出版2011年5月25日初版一刷2015</w:t>
            </w:r>
            <w:r>
              <w:rPr>
                <w:rFonts w:hint="eastAsia" w:ascii="仿宋" w:hAnsi="仿宋" w:eastAsia="仿宋" w:cs="仿宋"/>
                <w:sz w:val="24"/>
                <w:szCs w:val="24"/>
                <w:lang w:val="en-US"/>
              </w:rPr>
              <w:t>.</w:t>
            </w:r>
            <w:r>
              <w:rPr>
                <w:rFonts w:hint="eastAsia" w:ascii="仿宋" w:hAnsi="仿宋" w:eastAsia="仿宋" w:cs="仿宋"/>
                <w:sz w:val="24"/>
                <w:szCs w:val="24"/>
              </w:rPr>
              <w:t>3初版六刷。</w:t>
            </w:r>
          </w:p>
        </w:tc>
      </w:tr>
      <w:tr w14:paraId="2EE4E1B6">
        <w:trPr>
          <w:trHeight w:val="2090" w:hRule="atLeast"/>
        </w:trPr>
        <w:tc>
          <w:tcPr>
            <w:tcW w:w="1075" w:type="dxa"/>
            <w:tcBorders>
              <w:bottom w:val="single" w:color="auto" w:sz="4" w:space="0"/>
            </w:tcBorders>
            <w:noWrap w:val="0"/>
            <w:vAlign w:val="center"/>
          </w:tcPr>
          <w:p w14:paraId="2D637666">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C</w:t>
            </w:r>
          </w:p>
          <w:p w14:paraId="56BC5080">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线上学习资源</w:t>
            </w:r>
          </w:p>
        </w:tc>
        <w:tc>
          <w:tcPr>
            <w:tcW w:w="8824" w:type="dxa"/>
            <w:gridSpan w:val="14"/>
            <w:tcBorders>
              <w:bottom w:val="single" w:color="auto" w:sz="4" w:space="0"/>
            </w:tcBorders>
            <w:noWrap w:val="0"/>
            <w:vAlign w:val="center"/>
          </w:tcPr>
          <w:p w14:paraId="21A006A8">
            <w:pPr>
              <w:adjustRightInd w:val="0"/>
              <w:snapToGrid w:val="0"/>
              <w:rPr>
                <w:rFonts w:hint="eastAsia" w:ascii="仿宋" w:hAnsi="仿宋" w:eastAsia="仿宋" w:cs="仿宋"/>
                <w:sz w:val="24"/>
                <w:szCs w:val="24"/>
              </w:rPr>
            </w:pPr>
            <w:r>
              <w:rPr>
                <w:rFonts w:hint="eastAsia" w:ascii="仿宋" w:hAnsi="仿宋" w:eastAsia="仿宋" w:cs="仿宋"/>
                <w:sz w:val="24"/>
                <w:szCs w:val="24"/>
              </w:rPr>
              <w:t>中国大学MOOC:创意的奥秘：艺术创意与策划（南昌大学：何世剑教授）</w:t>
            </w:r>
          </w:p>
          <w:p w14:paraId="04885D1D">
            <w:pPr>
              <w:adjustRightInd w:val="0"/>
              <w:snapToGrid w:val="0"/>
              <w:rPr>
                <w:rFonts w:hint="eastAsia" w:ascii="仿宋" w:hAnsi="仿宋" w:eastAsia="仿宋" w:cs="仿宋"/>
                <w:sz w:val="24"/>
                <w:szCs w:val="24"/>
              </w:rPr>
            </w:pPr>
            <w:r>
              <w:rPr>
                <w:rFonts w:hint="eastAsia" w:ascii="仿宋" w:hAnsi="仿宋" w:eastAsia="仿宋" w:cs="仿宋"/>
                <w:sz w:val="24"/>
                <w:szCs w:val="24"/>
              </w:rPr>
              <w:t xml:space="preserve">  此视频课程大纲 ：“创意的奥秘：艺术创意与策划”课程是高等院校素质教育的学科基础课程、通识课程，也是因应新时代“大众创业，万众创新”热潮开设的创新创业课程、个性课程。内容涵盖了艺术创意与策划的生成机理、理论基础、思维基础、方法基础、行业典范、大师风采、品牌诠释、学生实践等八个部分。习近平总书记指出，发展是第一要务，人才是第一资源，创新是第一动力。这门课程，旨在通过理论教学和实训演练，激发高校青年学子的创新基因和创业精神，为国家《文化产业振兴规划》的贯彻落实培养富有创意、智慧和实战技艺的“创客”和“策划师”。</w:t>
            </w:r>
          </w:p>
        </w:tc>
      </w:tr>
      <w:tr w14:paraId="43855A9A">
        <w:trPr>
          <w:trHeight w:val="1153" w:hRule="atLeast"/>
        </w:trPr>
        <w:tc>
          <w:tcPr>
            <w:tcW w:w="1075" w:type="dxa"/>
            <w:shd w:val="clear" w:color="auto" w:fill="FFFFFF"/>
            <w:noWrap w:val="0"/>
            <w:vAlign w:val="center"/>
          </w:tcPr>
          <w:p w14:paraId="092308DE">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D</w:t>
            </w:r>
          </w:p>
          <w:p w14:paraId="0CD32FBC">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 xml:space="preserve">课程描述 </w:t>
            </w:r>
          </w:p>
          <w:p w14:paraId="6A526945">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lang w:eastAsia="zh-TW"/>
              </w:rPr>
              <w:t>(</w:t>
            </w:r>
            <w:r>
              <w:rPr>
                <w:rFonts w:hint="eastAsia" w:ascii="仿宋" w:hAnsi="仿宋" w:eastAsia="仿宋" w:cs="仿宋"/>
                <w:color w:val="auto"/>
                <w:sz w:val="24"/>
                <w:szCs w:val="24"/>
              </w:rPr>
              <w:t>含</w:t>
            </w:r>
            <w:r>
              <w:rPr>
                <w:rFonts w:hint="eastAsia" w:ascii="仿宋" w:hAnsi="仿宋" w:eastAsia="仿宋" w:cs="仿宋"/>
                <w:color w:val="auto"/>
                <w:sz w:val="24"/>
                <w:szCs w:val="24"/>
                <w:lang w:eastAsia="zh-TW"/>
              </w:rPr>
              <w:t>性质、地位和任务)</w:t>
            </w:r>
          </w:p>
        </w:tc>
        <w:tc>
          <w:tcPr>
            <w:tcW w:w="8824" w:type="dxa"/>
            <w:gridSpan w:val="14"/>
            <w:tcBorders>
              <w:bottom w:val="single" w:color="auto" w:sz="4" w:space="0"/>
            </w:tcBorders>
            <w:shd w:val="clear" w:color="auto" w:fill="FFFFFF"/>
            <w:noWrap w:val="0"/>
            <w:vAlign w:val="center"/>
          </w:tcPr>
          <w:p w14:paraId="1A21C1A3">
            <w:pPr>
              <w:adjustRightInd w:val="0"/>
              <w:snapToGrid w:val="0"/>
              <w:rPr>
                <w:rFonts w:hint="eastAsia" w:ascii="仿宋" w:hAnsi="仿宋" w:eastAsia="仿宋" w:cs="仿宋"/>
                <w:sz w:val="24"/>
                <w:szCs w:val="24"/>
              </w:rPr>
            </w:pPr>
            <w:r>
              <w:rPr>
                <w:rFonts w:hint="eastAsia" w:ascii="仿宋" w:hAnsi="仿宋" w:eastAsia="仿宋" w:cs="仿宋"/>
                <w:sz w:val="24"/>
                <w:szCs w:val="24"/>
              </w:rPr>
              <w:t>演出策划与运作是是高等院校本科音乐学专业必须掌握的课程之一。本课程以艺术项目策划为主体，对艺术项目策划与运作的整个过程进行解析，通过对全国大学生艺术项目策划大赛优秀作品的评析，对教学和实践中的成功经验总结分析，梳理出具有典型性、指导性、实践性的理论与方法，结合业界其他成功案例和经典理论，其主要目的在于对从事艺术管理专业方向的学生、教师、艺术活动策划者、运作者、艺术项目策划与运作的艺术管理能力。提高项目策划与运作的各操作环节，旨在密切联系文化产业发展的实际，提高学生的操作能力，丰富其独立思维和创意的思想，最终达到涉及文化产业的创意、经营、管理，以及资本运作环节方面的目的。</w:t>
            </w:r>
          </w:p>
          <w:p w14:paraId="4A6CBC43">
            <w:pPr>
              <w:adjustRightInd w:val="0"/>
              <w:snapToGrid w:val="0"/>
              <w:rPr>
                <w:rFonts w:hint="eastAsia" w:ascii="仿宋" w:hAnsi="仿宋" w:eastAsia="仿宋" w:cs="仿宋"/>
                <w:sz w:val="24"/>
                <w:szCs w:val="24"/>
                <w:lang w:val="en-US" w:eastAsia="zh-CN"/>
              </w:rPr>
            </w:pPr>
            <w:r>
              <w:rPr>
                <w:rFonts w:hint="eastAsia" w:ascii="仿宋" w:hAnsi="仿宋" w:eastAsia="仿宋" w:cs="仿宋"/>
                <w:sz w:val="24"/>
                <w:szCs w:val="24"/>
              </w:rPr>
              <w:t>从艺术项目策划之初的艺术项目及其管理、分类，到艺术项目策划的教学设计、观众拓展项目策划，再到艺术营销项目策划、艺术创意项目策划、艺术节庆项目策划，以及艺创中国项目策划，以深度的理论讲解与鲜活的案例分析相结合，使其具有很强的系统性、指导性和实用性。</w:t>
            </w:r>
          </w:p>
        </w:tc>
      </w:tr>
      <w:tr w14:paraId="7BE3AC6E">
        <w:trPr>
          <w:trHeight w:val="2975" w:hRule="atLeast"/>
        </w:trPr>
        <w:tc>
          <w:tcPr>
            <w:tcW w:w="1075" w:type="dxa"/>
            <w:vMerge w:val="restart"/>
            <w:shd w:val="clear" w:color="auto" w:fill="FFFFFF"/>
            <w:noWrap w:val="0"/>
            <w:vAlign w:val="center"/>
          </w:tcPr>
          <w:p w14:paraId="02B7AF67">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E</w:t>
            </w:r>
          </w:p>
          <w:p w14:paraId="785AAA7B">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课程学习目标及其与毕业要求的对应关系</w:t>
            </w:r>
          </w:p>
        </w:tc>
        <w:tc>
          <w:tcPr>
            <w:tcW w:w="8824" w:type="dxa"/>
            <w:gridSpan w:val="14"/>
            <w:tcBorders>
              <w:bottom w:val="single" w:color="auto" w:sz="4" w:space="0"/>
            </w:tcBorders>
            <w:shd w:val="clear" w:color="auto" w:fill="FFFFFF"/>
            <w:noWrap w:val="0"/>
            <w:vAlign w:val="center"/>
          </w:tcPr>
          <w:p w14:paraId="2C422603">
            <w:pPr>
              <w:adjustRightInd w:val="0"/>
              <w:snapToGrid w:val="0"/>
              <w:rPr>
                <w:rFonts w:hint="eastAsia" w:ascii="仿宋" w:hAnsi="仿宋" w:eastAsia="仿宋" w:cs="仿宋"/>
                <w:sz w:val="24"/>
                <w:szCs w:val="24"/>
                <w:lang w:eastAsia="zh-TW"/>
              </w:rPr>
            </w:pPr>
            <w:r>
              <w:rPr>
                <w:rFonts w:hint="eastAsia" w:ascii="仿宋" w:hAnsi="仿宋" w:eastAsia="仿宋" w:cs="仿宋"/>
                <w:sz w:val="24"/>
                <w:szCs w:val="24"/>
              </w:rPr>
              <w:t>通过本课程的学习，学生具备如下知识、能力及情感态度价值观：</w:t>
            </w:r>
          </w:p>
          <w:p w14:paraId="12219E44">
            <w:pPr>
              <w:adjustRightInd w:val="0"/>
              <w:snapToGrid w:val="0"/>
              <w:rPr>
                <w:rFonts w:hint="eastAsia" w:ascii="仿宋" w:hAnsi="仿宋" w:eastAsia="仿宋" w:cs="仿宋"/>
                <w:sz w:val="24"/>
                <w:szCs w:val="24"/>
              </w:rPr>
            </w:pPr>
            <w:r>
              <w:rPr>
                <w:rFonts w:hint="eastAsia" w:ascii="仿宋" w:hAnsi="仿宋" w:eastAsia="仿宋" w:cs="仿宋"/>
                <w:sz w:val="24"/>
                <w:szCs w:val="24"/>
              </w:rPr>
              <w:t>课程目标1:</w:t>
            </w:r>
            <w:r>
              <w:rPr>
                <w:rFonts w:hint="eastAsia" w:ascii="仿宋" w:hAnsi="仿宋" w:eastAsia="仿宋" w:cs="仿宋"/>
                <w:sz w:val="24"/>
                <w:szCs w:val="24"/>
                <w:lang w:eastAsia="zh-CN"/>
              </w:rPr>
              <w:t>了解演出活动的内涵、演出活动性质、特点、基本类型、演出活动功能。掌握演出活动策划的基本原理、策划流程、演出活动可行性分析和活动策划书的编写。</w:t>
            </w:r>
            <w:r>
              <w:rPr>
                <w:rFonts w:hint="eastAsia" w:ascii="仿宋" w:hAnsi="仿宋" w:eastAsia="仿宋" w:cs="仿宋"/>
                <w:sz w:val="24"/>
                <w:szCs w:val="24"/>
              </w:rPr>
              <w:t>（支撑毕业要求B1）</w:t>
            </w:r>
          </w:p>
          <w:p w14:paraId="489DE5FE">
            <w:pPr>
              <w:adjustRightInd w:val="0"/>
              <w:snapToGrid w:val="0"/>
              <w:rPr>
                <w:rFonts w:hint="eastAsia" w:ascii="仿宋" w:hAnsi="仿宋" w:eastAsia="仿宋" w:cs="仿宋"/>
                <w:sz w:val="24"/>
                <w:szCs w:val="24"/>
              </w:rPr>
            </w:pPr>
            <w:r>
              <w:rPr>
                <w:rFonts w:hint="eastAsia" w:ascii="仿宋" w:hAnsi="仿宋" w:eastAsia="仿宋" w:cs="仿宋"/>
                <w:sz w:val="24"/>
                <w:szCs w:val="24"/>
              </w:rPr>
              <w:t>课程目标2：</w:t>
            </w:r>
            <w:r>
              <w:rPr>
                <w:rFonts w:hint="eastAsia" w:ascii="仿宋" w:hAnsi="仿宋" w:eastAsia="仿宋" w:cs="仿宋"/>
                <w:sz w:val="24"/>
                <w:szCs w:val="24"/>
                <w:lang w:eastAsia="zh-CN"/>
              </w:rPr>
              <w:t>初步掌握演出活动营销方法、演出文化娱乐活动策划的基本方法。掌握演出活动的战略执行与控制的方法。</w:t>
            </w:r>
            <w:r>
              <w:rPr>
                <w:rFonts w:hint="eastAsia" w:ascii="仿宋" w:hAnsi="仿宋" w:eastAsia="仿宋" w:cs="仿宋"/>
                <w:sz w:val="24"/>
                <w:szCs w:val="24"/>
              </w:rPr>
              <w:t>（支撑毕业要求B1）</w:t>
            </w:r>
          </w:p>
          <w:p w14:paraId="7ABCD01B">
            <w:pPr>
              <w:adjustRightInd w:val="0"/>
              <w:snapToGrid w:val="0"/>
              <w:rPr>
                <w:rFonts w:hint="eastAsia" w:ascii="仿宋" w:hAnsi="仿宋" w:eastAsia="仿宋" w:cs="仿宋"/>
                <w:sz w:val="24"/>
                <w:szCs w:val="24"/>
              </w:rPr>
            </w:pPr>
            <w:r>
              <w:rPr>
                <w:rFonts w:hint="eastAsia" w:ascii="仿宋" w:hAnsi="仿宋" w:eastAsia="仿宋" w:cs="仿宋"/>
                <w:sz w:val="24"/>
                <w:szCs w:val="24"/>
              </w:rPr>
              <w:t>课程目标</w:t>
            </w:r>
            <w:r>
              <w:rPr>
                <w:rFonts w:hint="default" w:ascii="仿宋" w:hAnsi="仿宋" w:eastAsia="仿宋" w:cs="仿宋"/>
                <w:sz w:val="24"/>
                <w:szCs w:val="24"/>
                <w:lang w:val="en-US"/>
              </w:rPr>
              <w:t>3</w:t>
            </w:r>
            <w:r>
              <w:rPr>
                <w:rFonts w:hint="eastAsia" w:ascii="仿宋" w:hAnsi="仿宋" w:eastAsia="仿宋" w:cs="仿宋"/>
                <w:sz w:val="24"/>
                <w:szCs w:val="24"/>
              </w:rPr>
              <w:t>：使学生对大纲范围内演出活动策划的内容有比较系统和全面的了解，使学生掌握演出活动策划的基础理论和策划思想；培养学生具有初步的演出活动策划和活动管理执行问题的能力。拓宽学生的视野，提高审美能力和分析能力，完善知识结构，树立辩正唯物史观，适应基础音乐教育需要。（支撑毕业要求A2）</w:t>
            </w:r>
          </w:p>
          <w:p w14:paraId="2DD42CE2">
            <w:pPr>
              <w:adjustRightInd w:val="0"/>
              <w:snapToGrid w:val="0"/>
              <w:rPr>
                <w:rFonts w:hint="eastAsia" w:ascii="仿宋" w:hAnsi="仿宋" w:eastAsia="仿宋" w:cs="仿宋"/>
                <w:sz w:val="24"/>
                <w:szCs w:val="24"/>
                <w:lang w:eastAsia="zh-CN"/>
              </w:rPr>
            </w:pPr>
            <w:r>
              <w:rPr>
                <w:rFonts w:hint="eastAsia" w:ascii="仿宋" w:hAnsi="仿宋" w:eastAsia="仿宋" w:cs="仿宋"/>
                <w:sz w:val="24"/>
                <w:szCs w:val="24"/>
                <w:lang w:eastAsia="zh-CN"/>
              </w:rPr>
              <w:t>核心价值：坚定“四个自信”，家国情怀等。</w:t>
            </w:r>
          </w:p>
          <w:p w14:paraId="1DED0319">
            <w:pPr>
              <w:adjustRightInd w:val="0"/>
              <w:snapToGrid w:val="0"/>
              <w:rPr>
                <w:rFonts w:hint="eastAsia" w:ascii="仿宋" w:hAnsi="仿宋" w:eastAsia="仿宋" w:cs="仿宋"/>
                <w:sz w:val="24"/>
                <w:szCs w:val="24"/>
                <w:lang w:val="en-US" w:eastAsia="zh-CN"/>
              </w:rPr>
            </w:pPr>
            <w:r>
              <w:rPr>
                <w:rFonts w:hint="eastAsia" w:ascii="仿宋" w:hAnsi="仿宋" w:eastAsia="仿宋" w:cs="仿宋"/>
                <w:sz w:val="24"/>
                <w:szCs w:val="24"/>
                <w:lang w:eastAsia="zh-CN"/>
              </w:rPr>
              <w:t>学习习惯：自主学习与终身学习，勇于质疑，学以致用，学术诚信等。</w:t>
            </w:r>
          </w:p>
          <w:p w14:paraId="20937F7E">
            <w:pPr>
              <w:adjustRightInd w:val="0"/>
              <w:snapToGrid w:val="0"/>
              <w:rPr>
                <w:rFonts w:hint="eastAsia" w:ascii="仿宋" w:hAnsi="仿宋" w:eastAsia="仿宋" w:cs="仿宋"/>
                <w:sz w:val="24"/>
                <w:szCs w:val="24"/>
                <w:lang w:eastAsia="zh-TW"/>
              </w:rPr>
            </w:pPr>
            <w:r>
              <w:rPr>
                <w:rFonts w:hint="eastAsia" w:ascii="仿宋" w:hAnsi="仿宋" w:eastAsia="仿宋" w:cs="仿宋"/>
                <w:sz w:val="24"/>
                <w:szCs w:val="24"/>
                <w:lang w:eastAsia="zh-CN"/>
              </w:rPr>
              <w:t>从业习惯：人文关怀，团队协作与可持续发展，以美化人，赋能乡村振兴和社会经济发展，传承弘扬中华优秀传统文化等。</w:t>
            </w:r>
          </w:p>
        </w:tc>
      </w:tr>
      <w:tr w14:paraId="6ADC71F2">
        <w:trPr>
          <w:trHeight w:val="642" w:hRule="atLeast"/>
        </w:trPr>
        <w:tc>
          <w:tcPr>
            <w:tcW w:w="1075" w:type="dxa"/>
            <w:vMerge w:val="continue"/>
            <w:shd w:val="clear" w:color="auto" w:fill="FFFFFF"/>
            <w:noWrap w:val="0"/>
            <w:vAlign w:val="center"/>
          </w:tcPr>
          <w:p w14:paraId="0D373D46">
            <w:pPr>
              <w:adjustRightInd w:val="0"/>
              <w:snapToGrid w:val="0"/>
              <w:spacing w:line="240" w:lineRule="atLeast"/>
              <w:jc w:val="center"/>
              <w:rPr>
                <w:rFonts w:hint="eastAsia" w:ascii="仿宋" w:hAnsi="仿宋" w:eastAsia="仿宋" w:cs="仿宋"/>
                <w:color w:val="auto"/>
                <w:sz w:val="24"/>
                <w:szCs w:val="24"/>
              </w:rPr>
            </w:pPr>
          </w:p>
        </w:tc>
        <w:tc>
          <w:tcPr>
            <w:tcW w:w="1608" w:type="dxa"/>
            <w:gridSpan w:val="2"/>
            <w:tcBorders>
              <w:bottom w:val="single" w:color="auto" w:sz="4" w:space="0"/>
            </w:tcBorders>
            <w:shd w:val="clear" w:color="auto" w:fill="FFFFFF"/>
            <w:noWrap w:val="0"/>
            <w:vAlign w:val="center"/>
          </w:tcPr>
          <w:p w14:paraId="04F06EC4">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课程目标</w:t>
            </w:r>
          </w:p>
        </w:tc>
        <w:tc>
          <w:tcPr>
            <w:tcW w:w="4889" w:type="dxa"/>
            <w:gridSpan w:val="8"/>
            <w:tcBorders>
              <w:bottom w:val="single" w:color="auto" w:sz="4" w:space="0"/>
            </w:tcBorders>
            <w:shd w:val="clear" w:color="auto" w:fill="FFFFFF"/>
            <w:noWrap w:val="0"/>
            <w:vAlign w:val="center"/>
          </w:tcPr>
          <w:p w14:paraId="4BF43B36">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毕业要求分解指标点</w:t>
            </w:r>
          </w:p>
        </w:tc>
        <w:tc>
          <w:tcPr>
            <w:tcW w:w="2327" w:type="dxa"/>
            <w:gridSpan w:val="4"/>
            <w:tcBorders>
              <w:bottom w:val="single" w:color="auto" w:sz="4" w:space="0"/>
            </w:tcBorders>
            <w:shd w:val="clear" w:color="auto" w:fill="FFFFFF"/>
            <w:noWrap w:val="0"/>
            <w:vAlign w:val="center"/>
          </w:tcPr>
          <w:p w14:paraId="190CFEF4">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毕业要求</w:t>
            </w:r>
          </w:p>
        </w:tc>
      </w:tr>
      <w:tr w14:paraId="6A719ED2">
        <w:trPr>
          <w:trHeight w:val="2491" w:hRule="atLeast"/>
        </w:trPr>
        <w:tc>
          <w:tcPr>
            <w:tcW w:w="1075" w:type="dxa"/>
            <w:vMerge w:val="continue"/>
            <w:shd w:val="clear" w:color="auto" w:fill="FFFFFF"/>
            <w:noWrap w:val="0"/>
            <w:vAlign w:val="center"/>
          </w:tcPr>
          <w:p w14:paraId="25C85CDD">
            <w:pPr>
              <w:adjustRightInd w:val="0"/>
              <w:snapToGrid w:val="0"/>
              <w:spacing w:line="240" w:lineRule="atLeast"/>
              <w:jc w:val="center"/>
              <w:rPr>
                <w:rFonts w:hint="eastAsia" w:ascii="仿宋" w:hAnsi="仿宋" w:eastAsia="仿宋" w:cs="仿宋"/>
                <w:color w:val="auto"/>
                <w:sz w:val="24"/>
                <w:szCs w:val="24"/>
              </w:rPr>
            </w:pPr>
          </w:p>
        </w:tc>
        <w:tc>
          <w:tcPr>
            <w:tcW w:w="1608" w:type="dxa"/>
            <w:gridSpan w:val="2"/>
            <w:tcBorders>
              <w:bottom w:val="single" w:color="auto" w:sz="4" w:space="0"/>
            </w:tcBorders>
            <w:shd w:val="clear" w:color="auto" w:fill="FFFFFF"/>
            <w:noWrap w:val="0"/>
            <w:vAlign w:val="center"/>
          </w:tcPr>
          <w:p w14:paraId="2F64537A">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课程目标1</w:t>
            </w:r>
          </w:p>
          <w:p w14:paraId="38CB5D52">
            <w:pPr>
              <w:adjustRightInd w:val="0"/>
              <w:snapToGrid w:val="0"/>
              <w:jc w:val="center"/>
              <w:rPr>
                <w:rFonts w:hint="eastAsia" w:ascii="仿宋" w:hAnsi="仿宋" w:eastAsia="仿宋" w:cs="仿宋"/>
                <w:color w:val="auto"/>
                <w:sz w:val="24"/>
                <w:szCs w:val="24"/>
              </w:rPr>
            </w:pPr>
          </w:p>
        </w:tc>
        <w:tc>
          <w:tcPr>
            <w:tcW w:w="4889" w:type="dxa"/>
            <w:gridSpan w:val="8"/>
            <w:shd w:val="clear" w:color="auto" w:fill="FFFFFF"/>
            <w:noWrap w:val="0"/>
            <w:vAlign w:val="center"/>
          </w:tcPr>
          <w:p w14:paraId="32261121">
            <w:pPr>
              <w:keepNext w:val="0"/>
              <w:keepLines w:val="0"/>
              <w:pageBreakBefore w:val="0"/>
              <w:widowControl w:val="0"/>
              <w:kinsoku/>
              <w:wordWrap/>
              <w:overflowPunct/>
              <w:topLinePunct w:val="0"/>
              <w:autoSpaceDE/>
              <w:autoSpaceDN/>
              <w:bidi w:val="0"/>
              <w:adjustRightInd/>
              <w:snapToGrid w:val="0"/>
              <w:textAlignment w:val="auto"/>
              <w:rPr>
                <w:rFonts w:hint="eastAsia" w:ascii="仿宋" w:hAnsi="仿宋" w:eastAsia="仿宋" w:cs="仿宋"/>
                <w:color w:val="000000"/>
                <w:sz w:val="24"/>
                <w:szCs w:val="24"/>
              </w:rPr>
            </w:pPr>
            <w:r>
              <w:rPr>
                <w:rStyle w:val="247"/>
                <w:rFonts w:ascii="仿宋" w:hAnsi="仿宋" w:eastAsia="仿宋"/>
                <w:color w:val="000000"/>
                <w:sz w:val="24"/>
                <w:szCs w:val="24"/>
              </w:rPr>
              <w:t>B1-3</w:t>
            </w:r>
            <w:r>
              <w:rPr>
                <w:rStyle w:val="247"/>
                <w:rFonts w:hint="eastAsia" w:ascii="仿宋" w:hAnsi="仿宋" w:eastAsia="仿宋"/>
                <w:color w:val="000000"/>
                <w:sz w:val="24"/>
                <w:szCs w:val="24"/>
              </w:rPr>
              <w:t>学科、跨学科综合能力；分析和解决问题能力：能以音乐学科知识为中心，基本实现艺术学科的近距离综合和艺术学科之外的远距离综合，能综合运用解决现实的音乐教学问题，并能形成初步的反思意识和研究能力；整合教育学、心理学、音乐学科教学论知识，形成综合性的教育教学知识体系。能运用跨学科知识综合分析问题，形成初步的综合观念和辩证思维，并能初步解决学生音乐学习中的综合性和复杂性问题</w:t>
            </w:r>
            <w:r>
              <w:rPr>
                <w:rStyle w:val="247"/>
                <w:rFonts w:hint="eastAsia" w:ascii="仿宋" w:hAnsi="仿宋" w:eastAsia="PMingLiU"/>
                <w:color w:val="000000"/>
                <w:sz w:val="24"/>
                <w:szCs w:val="24"/>
                <w:lang w:eastAsia="zh-TW"/>
              </w:rPr>
              <w:t>。</w:t>
            </w:r>
          </w:p>
        </w:tc>
        <w:tc>
          <w:tcPr>
            <w:tcW w:w="2327" w:type="dxa"/>
            <w:gridSpan w:val="4"/>
            <w:shd w:val="clear" w:color="auto" w:fill="FFFFFF"/>
            <w:noWrap w:val="0"/>
            <w:vAlign w:val="center"/>
          </w:tcPr>
          <w:p w14:paraId="3B088CB5">
            <w:pPr>
              <w:adjustRightInd w:val="0"/>
              <w:snapToGrid w:val="0"/>
              <w:spacing w:beforeLines="0" w:afterLines="0"/>
              <w:jc w:val="center"/>
              <w:rPr>
                <w:rFonts w:hint="eastAsia" w:ascii="仿宋" w:hAnsi="仿宋" w:eastAsia="仿宋" w:cs="仿宋"/>
                <w:color w:val="auto"/>
                <w:sz w:val="24"/>
                <w:szCs w:val="24"/>
              </w:rPr>
            </w:pPr>
            <w:r>
              <w:rPr>
                <w:rFonts w:hint="eastAsia" w:ascii="仿宋" w:hAnsi="仿宋" w:eastAsia="仿宋"/>
                <w:color w:val="auto"/>
                <w:sz w:val="24"/>
              </w:rPr>
              <w:t>学科素养（B1）</w:t>
            </w:r>
          </w:p>
        </w:tc>
      </w:tr>
      <w:tr w14:paraId="224C515C">
        <w:trPr>
          <w:trHeight w:val="817" w:hRule="atLeast"/>
        </w:trPr>
        <w:tc>
          <w:tcPr>
            <w:tcW w:w="1075" w:type="dxa"/>
            <w:vMerge w:val="continue"/>
            <w:shd w:val="clear" w:color="auto" w:fill="FFFFFF"/>
            <w:noWrap w:val="0"/>
            <w:vAlign w:val="center"/>
          </w:tcPr>
          <w:p w14:paraId="46F7FE47">
            <w:pPr>
              <w:adjustRightInd w:val="0"/>
              <w:snapToGrid w:val="0"/>
              <w:spacing w:line="240" w:lineRule="atLeast"/>
              <w:jc w:val="center"/>
              <w:rPr>
                <w:rFonts w:hint="eastAsia" w:ascii="仿宋" w:hAnsi="仿宋" w:eastAsia="仿宋" w:cs="仿宋"/>
                <w:color w:val="auto"/>
                <w:sz w:val="24"/>
                <w:szCs w:val="24"/>
              </w:rPr>
            </w:pPr>
          </w:p>
        </w:tc>
        <w:tc>
          <w:tcPr>
            <w:tcW w:w="1608" w:type="dxa"/>
            <w:gridSpan w:val="2"/>
            <w:shd w:val="clear" w:color="auto" w:fill="FFFFFF"/>
            <w:noWrap w:val="0"/>
            <w:vAlign w:val="center"/>
          </w:tcPr>
          <w:p w14:paraId="3012C3A4">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课程目标</w:t>
            </w:r>
            <w:r>
              <w:rPr>
                <w:rFonts w:hint="default" w:ascii="仿宋" w:hAnsi="仿宋" w:eastAsia="仿宋" w:cs="仿宋"/>
                <w:color w:val="auto"/>
                <w:sz w:val="24"/>
                <w:szCs w:val="24"/>
                <w:lang w:val="en-US"/>
              </w:rPr>
              <w:t>2</w:t>
            </w:r>
          </w:p>
        </w:tc>
        <w:tc>
          <w:tcPr>
            <w:tcW w:w="4889" w:type="dxa"/>
            <w:gridSpan w:val="8"/>
            <w:shd w:val="clear" w:color="auto" w:fill="FFFFFF"/>
            <w:noWrap w:val="0"/>
            <w:vAlign w:val="center"/>
          </w:tcPr>
          <w:p w14:paraId="4C1724FC">
            <w:pPr>
              <w:adjustRightInd w:val="0"/>
              <w:snapToGrid w:val="0"/>
              <w:spacing w:beforeLines="0" w:afterLines="0"/>
              <w:jc w:val="left"/>
              <w:rPr>
                <w:rFonts w:hint="eastAsia" w:ascii="仿宋" w:hAnsi="仿宋" w:eastAsia="仿宋"/>
                <w:color w:val="000000"/>
                <w:kern w:val="2"/>
                <w:sz w:val="24"/>
                <w:szCs w:val="22"/>
                <w:lang w:val="en-US" w:eastAsia="zh-CN" w:bidi="ar-SA"/>
              </w:rPr>
            </w:pPr>
            <w:r>
              <w:rPr>
                <w:rFonts w:hint="eastAsia" w:ascii="仿宋" w:hAnsi="仿宋" w:eastAsia="仿宋"/>
                <w:color w:val="000000"/>
                <w:sz w:val="24"/>
              </w:rPr>
              <w:t>D1具有终身学习和专业发展意识，自觉进行反思型准教师的自我塑造，有意识地培养自己的评判性思维，在学习过程中学会总结和反思，在教育实践中，从指导中学生学习音乐知识和技能的过程中思考自己如何改进，如何创新，形成初步的研究能力。</w:t>
            </w:r>
          </w:p>
        </w:tc>
        <w:tc>
          <w:tcPr>
            <w:tcW w:w="2327" w:type="dxa"/>
            <w:gridSpan w:val="4"/>
            <w:shd w:val="clear" w:color="auto" w:fill="FFFFFF"/>
            <w:noWrap w:val="0"/>
            <w:vAlign w:val="center"/>
          </w:tcPr>
          <w:p w14:paraId="189B3DC5">
            <w:pPr>
              <w:adjustRightInd w:val="0"/>
              <w:snapToGrid w:val="0"/>
              <w:spacing w:beforeLines="0" w:afterLines="0"/>
              <w:jc w:val="center"/>
              <w:rPr>
                <w:rFonts w:hint="eastAsia" w:ascii="仿宋" w:hAnsi="仿宋" w:eastAsia="仿宋"/>
                <w:color w:val="auto"/>
                <w:kern w:val="2"/>
                <w:sz w:val="24"/>
                <w:szCs w:val="22"/>
                <w:lang w:val="en-US" w:eastAsia="zh-CN" w:bidi="ar-SA"/>
              </w:rPr>
            </w:pPr>
            <w:r>
              <w:rPr>
                <w:rFonts w:hint="eastAsia" w:ascii="仿宋" w:hAnsi="仿宋" w:eastAsia="仿宋"/>
                <w:color w:val="auto"/>
                <w:sz w:val="24"/>
              </w:rPr>
              <w:t>学会反思（D1）</w:t>
            </w:r>
          </w:p>
        </w:tc>
      </w:tr>
      <w:tr w14:paraId="0F328D75">
        <w:trPr>
          <w:trHeight w:val="817" w:hRule="atLeast"/>
        </w:trPr>
        <w:tc>
          <w:tcPr>
            <w:tcW w:w="1075" w:type="dxa"/>
            <w:vMerge w:val="continue"/>
            <w:shd w:val="clear" w:color="auto" w:fill="FFFFFF"/>
            <w:noWrap w:val="0"/>
            <w:vAlign w:val="center"/>
          </w:tcPr>
          <w:p w14:paraId="410D25EF">
            <w:pPr>
              <w:adjustRightInd w:val="0"/>
              <w:snapToGrid w:val="0"/>
              <w:spacing w:line="240" w:lineRule="atLeast"/>
              <w:jc w:val="center"/>
              <w:rPr>
                <w:rFonts w:hint="eastAsia" w:ascii="仿宋" w:hAnsi="仿宋" w:eastAsia="仿宋" w:cs="仿宋"/>
                <w:color w:val="auto"/>
                <w:sz w:val="24"/>
                <w:szCs w:val="24"/>
              </w:rPr>
            </w:pPr>
          </w:p>
        </w:tc>
        <w:tc>
          <w:tcPr>
            <w:tcW w:w="1608" w:type="dxa"/>
            <w:gridSpan w:val="2"/>
            <w:shd w:val="clear" w:color="auto" w:fill="FFFFFF"/>
            <w:noWrap w:val="0"/>
            <w:vAlign w:val="center"/>
          </w:tcPr>
          <w:p w14:paraId="743AA6B8">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课程目标</w:t>
            </w:r>
            <w:r>
              <w:rPr>
                <w:rFonts w:hint="default" w:ascii="仿宋" w:hAnsi="仿宋" w:eastAsia="仿宋" w:cs="仿宋"/>
                <w:color w:val="auto"/>
                <w:sz w:val="24"/>
                <w:szCs w:val="24"/>
                <w:lang w:val="en-US"/>
              </w:rPr>
              <w:t>3</w:t>
            </w:r>
          </w:p>
        </w:tc>
        <w:tc>
          <w:tcPr>
            <w:tcW w:w="4889" w:type="dxa"/>
            <w:gridSpan w:val="8"/>
            <w:shd w:val="clear" w:color="auto" w:fill="FFFFFF"/>
            <w:noWrap w:val="0"/>
            <w:vAlign w:val="center"/>
          </w:tcPr>
          <w:p w14:paraId="146A582D">
            <w:pPr>
              <w:adjustRightInd w:val="0"/>
              <w:snapToGrid w:val="0"/>
              <w:spacing w:beforeLines="0" w:afterLines="0"/>
              <w:rPr>
                <w:rFonts w:hint="eastAsia" w:ascii="仿宋" w:hAnsi="仿宋" w:eastAsia="仿宋" w:cs="仿宋"/>
                <w:color w:val="000000"/>
                <w:sz w:val="24"/>
                <w:szCs w:val="24"/>
              </w:rPr>
            </w:pPr>
            <w:r>
              <w:rPr>
                <w:rFonts w:hint="eastAsia" w:ascii="仿宋" w:hAnsi="仿宋" w:eastAsia="仿宋"/>
                <w:color w:val="000000"/>
                <w:sz w:val="24"/>
              </w:rPr>
              <w:t>A2-2.</w:t>
            </w:r>
            <w:r>
              <w:rPr>
                <w:rFonts w:hint="eastAsia" w:ascii="仿宋" w:hAnsi="仿宋" w:eastAsia="仿宋"/>
                <w:color w:val="000000"/>
                <w:kern w:val="0"/>
                <w:sz w:val="24"/>
              </w:rPr>
              <w:t xml:space="preserve"> 激发提升学生的审美感受和审美情趣：充分了解学生的身心发展特点和音乐的认知特点，懂得如何把自己对音乐的审美感受传递给学生，让学生体验音乐美感，激发学生的审美情趣。</w:t>
            </w:r>
          </w:p>
        </w:tc>
        <w:tc>
          <w:tcPr>
            <w:tcW w:w="2327" w:type="dxa"/>
            <w:gridSpan w:val="4"/>
            <w:shd w:val="clear" w:color="auto" w:fill="FFFFFF"/>
            <w:noWrap w:val="0"/>
            <w:vAlign w:val="center"/>
          </w:tcPr>
          <w:p w14:paraId="48225B0D">
            <w:pPr>
              <w:adjustRightInd w:val="0"/>
              <w:snapToGrid w:val="0"/>
              <w:spacing w:beforeLines="0" w:afterLines="0"/>
              <w:jc w:val="center"/>
              <w:rPr>
                <w:rFonts w:hint="eastAsia" w:ascii="仿宋" w:hAnsi="仿宋" w:eastAsia="仿宋" w:cs="仿宋"/>
                <w:color w:val="auto"/>
                <w:sz w:val="24"/>
                <w:szCs w:val="24"/>
              </w:rPr>
            </w:pPr>
            <w:r>
              <w:rPr>
                <w:rFonts w:hint="eastAsia" w:ascii="仿宋" w:hAnsi="仿宋" w:eastAsia="仿宋"/>
                <w:color w:val="auto"/>
                <w:sz w:val="24"/>
              </w:rPr>
              <w:t>教育情怀（A2）</w:t>
            </w:r>
          </w:p>
        </w:tc>
      </w:tr>
      <w:tr w14:paraId="2381D6D0">
        <w:trPr>
          <w:trHeight w:val="582" w:hRule="atLeast"/>
        </w:trPr>
        <w:tc>
          <w:tcPr>
            <w:tcW w:w="1075" w:type="dxa"/>
            <w:vMerge w:val="restart"/>
            <w:shd w:val="clear" w:color="auto" w:fill="FFFFFF"/>
            <w:noWrap w:val="0"/>
            <w:vAlign w:val="center"/>
          </w:tcPr>
          <w:p w14:paraId="3C1B362F">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F</w:t>
            </w:r>
          </w:p>
          <w:p w14:paraId="2338E22D">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理论学习内容</w:t>
            </w:r>
          </w:p>
        </w:tc>
        <w:tc>
          <w:tcPr>
            <w:tcW w:w="6497" w:type="dxa"/>
            <w:gridSpan w:val="10"/>
            <w:shd w:val="clear" w:color="auto" w:fill="FFFFFF"/>
            <w:noWrap w:val="0"/>
            <w:vAlign w:val="center"/>
          </w:tcPr>
          <w:p w14:paraId="1F1705E5">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章节学习内容与学习要求</w:t>
            </w:r>
          </w:p>
        </w:tc>
        <w:tc>
          <w:tcPr>
            <w:tcW w:w="1200" w:type="dxa"/>
            <w:gridSpan w:val="3"/>
            <w:shd w:val="clear" w:color="auto" w:fill="FFFFFF"/>
            <w:noWrap w:val="0"/>
            <w:vAlign w:val="center"/>
          </w:tcPr>
          <w:p w14:paraId="515E23F1">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支撑课程</w:t>
            </w:r>
          </w:p>
          <w:p w14:paraId="2A2E3947">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目标</w:t>
            </w:r>
          </w:p>
        </w:tc>
        <w:tc>
          <w:tcPr>
            <w:tcW w:w="1127" w:type="dxa"/>
            <w:shd w:val="clear" w:color="auto" w:fill="FFFFFF"/>
            <w:noWrap w:val="0"/>
            <w:vAlign w:val="center"/>
          </w:tcPr>
          <w:p w14:paraId="3E0E3AC9">
            <w:pPr>
              <w:adjustRightInd w:val="0"/>
              <w:snapToGrid w:val="0"/>
              <w:spacing w:line="240" w:lineRule="atLeast"/>
              <w:jc w:val="center"/>
              <w:textAlignment w:val="baseline"/>
              <w:rPr>
                <w:rFonts w:ascii="仿宋" w:hAnsi="仿宋" w:eastAsia="仿宋" w:cs="仿宋"/>
                <w:color w:val="auto"/>
                <w:kern w:val="0"/>
                <w:sz w:val="24"/>
                <w:szCs w:val="24"/>
              </w:rPr>
            </w:pPr>
            <w:r>
              <w:rPr>
                <w:rFonts w:hint="eastAsia" w:ascii="仿宋" w:hAnsi="仿宋" w:eastAsia="仿宋" w:cs="仿宋"/>
                <w:color w:val="auto"/>
                <w:kern w:val="0"/>
                <w:sz w:val="24"/>
                <w:szCs w:val="24"/>
              </w:rPr>
              <w:t>学时</w:t>
            </w:r>
          </w:p>
          <w:p w14:paraId="14554EB0">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分配</w:t>
            </w:r>
          </w:p>
        </w:tc>
      </w:tr>
      <w:tr w14:paraId="344B40A8">
        <w:trPr>
          <w:trHeight w:val="1211" w:hRule="atLeast"/>
        </w:trPr>
        <w:tc>
          <w:tcPr>
            <w:tcW w:w="1075" w:type="dxa"/>
            <w:vMerge w:val="continue"/>
            <w:shd w:val="clear" w:color="auto" w:fill="FFFFFF"/>
            <w:noWrap w:val="0"/>
            <w:vAlign w:val="center"/>
          </w:tcPr>
          <w:p w14:paraId="63EC7FB6">
            <w:pPr>
              <w:adjustRightInd w:val="0"/>
              <w:snapToGrid w:val="0"/>
              <w:spacing w:line="240" w:lineRule="atLeast"/>
              <w:jc w:val="right"/>
              <w:rPr>
                <w:rFonts w:hint="eastAsia" w:ascii="仿宋" w:hAnsi="仿宋" w:eastAsia="仿宋" w:cs="仿宋"/>
                <w:color w:val="auto"/>
                <w:sz w:val="24"/>
                <w:szCs w:val="24"/>
              </w:rPr>
            </w:pPr>
          </w:p>
        </w:tc>
        <w:tc>
          <w:tcPr>
            <w:tcW w:w="6497" w:type="dxa"/>
            <w:gridSpan w:val="10"/>
            <w:shd w:val="clear" w:color="auto" w:fill="auto"/>
            <w:noWrap w:val="0"/>
            <w:vAlign w:val="center"/>
          </w:tcPr>
          <w:p w14:paraId="17371ACF">
            <w:pPr>
              <w:keepNext w:val="0"/>
              <w:keepLines w:val="0"/>
              <w:pageBreakBefore w:val="0"/>
              <w:numPr>
                <w:ilvl w:val="0"/>
                <w:numId w:val="11"/>
              </w:numPr>
              <w:kinsoku/>
              <w:wordWrap/>
              <w:overflowPunct/>
              <w:topLinePunct w:val="0"/>
              <w:autoSpaceDE/>
              <w:autoSpaceDN/>
              <w:bidi w:val="0"/>
              <w:adjustRightInd w:val="0"/>
              <w:snapToGrid w:val="0"/>
              <w:spacing w:line="240" w:lineRule="auto"/>
              <w:ind w:left="0"/>
              <w:textAlignment w:val="auto"/>
              <w:rPr>
                <w:rFonts w:hint="eastAsia" w:ascii="仿宋" w:hAnsi="仿宋" w:eastAsia="仿宋" w:cs="仿宋"/>
                <w:bCs/>
                <w:color w:val="auto"/>
                <w:sz w:val="24"/>
                <w:szCs w:val="24"/>
              </w:rPr>
            </w:pPr>
            <w:r>
              <w:rPr>
                <w:rFonts w:hint="eastAsia" w:ascii="仿宋" w:hAnsi="仿宋" w:eastAsia="仿宋" w:cs="仿宋"/>
                <w:sz w:val="24"/>
                <w:szCs w:val="24"/>
                <w:lang w:eastAsia="zh-TW"/>
              </w:rPr>
              <w:t>第一章</w:t>
            </w:r>
            <w:r>
              <w:rPr>
                <w:rFonts w:hint="eastAsia" w:ascii="仿宋" w:hAnsi="仿宋" w:eastAsia="仿宋" w:cs="仿宋"/>
                <w:sz w:val="24"/>
                <w:szCs w:val="24"/>
                <w:lang w:val="en-US" w:eastAsia="zh-TW"/>
              </w:rPr>
              <w:t xml:space="preserve"> </w:t>
            </w:r>
            <w:r>
              <w:rPr>
                <w:rFonts w:hint="eastAsia" w:ascii="仿宋" w:hAnsi="仿宋" w:eastAsia="仿宋" w:cs="仿宋"/>
                <w:sz w:val="24"/>
                <w:szCs w:val="24"/>
              </w:rPr>
              <w:t>艺术项目策划</w:t>
            </w:r>
          </w:p>
          <w:p w14:paraId="005451B9">
            <w:pPr>
              <w:keepNext w:val="0"/>
              <w:keepLines w:val="0"/>
              <w:pageBreakBefore w:val="0"/>
              <w:kinsoku/>
              <w:wordWrap/>
              <w:overflowPunct/>
              <w:topLinePunct w:val="0"/>
              <w:autoSpaceDE/>
              <w:autoSpaceDN/>
              <w:bidi w:val="0"/>
              <w:snapToGrid w:val="0"/>
              <w:spacing w:line="240" w:lineRule="auto"/>
              <w:ind w:left="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学习内容：</w:t>
            </w:r>
          </w:p>
          <w:p w14:paraId="54DD978D">
            <w:pPr>
              <w:keepNext w:val="0"/>
              <w:keepLines w:val="0"/>
              <w:pageBreakBefore w:val="0"/>
              <w:numPr>
                <w:ilvl w:val="0"/>
                <w:numId w:val="45"/>
              </w:numPr>
              <w:kinsoku/>
              <w:wordWrap/>
              <w:overflowPunct/>
              <w:topLinePunct w:val="0"/>
              <w:autoSpaceDE/>
              <w:autoSpaceDN/>
              <w:bidi w:val="0"/>
              <w:snapToGrid w:val="0"/>
              <w:spacing w:line="240" w:lineRule="auto"/>
              <w:ind w:left="0" w:firstLine="480" w:firstLineChars="200"/>
              <w:textAlignment w:val="auto"/>
              <w:rPr>
                <w:rFonts w:hint="eastAsia" w:ascii="仿宋" w:hAnsi="仿宋" w:eastAsia="仿宋" w:cs="仿宋"/>
                <w:kern w:val="0"/>
                <w:sz w:val="24"/>
                <w:szCs w:val="24"/>
              </w:rPr>
            </w:pPr>
            <w:r>
              <w:rPr>
                <w:rFonts w:hint="eastAsia" w:ascii="仿宋" w:hAnsi="仿宋" w:eastAsia="仿宋" w:cs="仿宋"/>
                <w:sz w:val="24"/>
                <w:szCs w:val="24"/>
              </w:rPr>
              <w:t>艺术项目及其管理</w:t>
            </w:r>
          </w:p>
          <w:p w14:paraId="212711C9">
            <w:pPr>
              <w:keepNext w:val="0"/>
              <w:keepLines w:val="0"/>
              <w:pageBreakBefore w:val="0"/>
              <w:numPr>
                <w:ilvl w:val="0"/>
                <w:numId w:val="45"/>
              </w:numPr>
              <w:kinsoku/>
              <w:wordWrap/>
              <w:overflowPunct/>
              <w:topLinePunct w:val="0"/>
              <w:autoSpaceDE/>
              <w:autoSpaceDN/>
              <w:bidi w:val="0"/>
              <w:snapToGrid w:val="0"/>
              <w:spacing w:line="240" w:lineRule="auto"/>
              <w:ind w:left="0" w:firstLine="480" w:firstLineChars="200"/>
              <w:textAlignment w:val="auto"/>
              <w:rPr>
                <w:rFonts w:hint="eastAsia" w:ascii="仿宋" w:hAnsi="仿宋" w:eastAsia="仿宋" w:cs="仿宋"/>
                <w:kern w:val="0"/>
                <w:sz w:val="24"/>
                <w:szCs w:val="24"/>
              </w:rPr>
            </w:pPr>
            <w:r>
              <w:rPr>
                <w:rFonts w:hint="eastAsia" w:ascii="仿宋" w:hAnsi="仿宋" w:eastAsia="仿宋" w:cs="仿宋"/>
                <w:sz w:val="24"/>
                <w:szCs w:val="24"/>
              </w:rPr>
              <w:t>美术展览与艺术品拍卖</w:t>
            </w:r>
          </w:p>
          <w:p w14:paraId="600B9C5A">
            <w:pPr>
              <w:keepNext w:val="0"/>
              <w:keepLines w:val="0"/>
              <w:pageBreakBefore w:val="0"/>
              <w:numPr>
                <w:ilvl w:val="0"/>
                <w:numId w:val="45"/>
              </w:numPr>
              <w:kinsoku/>
              <w:wordWrap/>
              <w:overflowPunct/>
              <w:topLinePunct w:val="0"/>
              <w:autoSpaceDE/>
              <w:autoSpaceDN/>
              <w:bidi w:val="0"/>
              <w:snapToGrid w:val="0"/>
              <w:spacing w:line="240" w:lineRule="auto"/>
              <w:ind w:left="0" w:firstLine="480" w:firstLineChars="200"/>
              <w:textAlignment w:val="auto"/>
              <w:rPr>
                <w:rFonts w:hint="eastAsia" w:ascii="仿宋" w:hAnsi="仿宋" w:eastAsia="仿宋" w:cs="仿宋"/>
                <w:kern w:val="0"/>
                <w:sz w:val="24"/>
                <w:szCs w:val="24"/>
              </w:rPr>
            </w:pPr>
            <w:r>
              <w:rPr>
                <w:rFonts w:hint="eastAsia" w:ascii="仿宋" w:hAnsi="仿宋" w:eastAsia="仿宋" w:cs="仿宋"/>
                <w:kern w:val="0"/>
                <w:sz w:val="24"/>
                <w:szCs w:val="24"/>
              </w:rPr>
              <w:t>表演艺术项目</w:t>
            </w:r>
          </w:p>
          <w:p w14:paraId="65B4F6CF">
            <w:pPr>
              <w:keepNext w:val="0"/>
              <w:keepLines w:val="0"/>
              <w:pageBreakBefore w:val="0"/>
              <w:numPr>
                <w:ilvl w:val="0"/>
                <w:numId w:val="45"/>
              </w:numPr>
              <w:kinsoku/>
              <w:wordWrap/>
              <w:overflowPunct/>
              <w:topLinePunct w:val="0"/>
              <w:autoSpaceDE/>
              <w:autoSpaceDN/>
              <w:bidi w:val="0"/>
              <w:snapToGrid w:val="0"/>
              <w:spacing w:line="240" w:lineRule="auto"/>
              <w:ind w:left="0" w:firstLine="480" w:firstLineChars="200"/>
              <w:textAlignment w:val="auto"/>
              <w:rPr>
                <w:rFonts w:hint="eastAsia" w:ascii="仿宋" w:hAnsi="仿宋" w:eastAsia="仿宋" w:cs="仿宋"/>
                <w:b w:val="0"/>
                <w:bCs/>
                <w:color w:val="auto"/>
                <w:sz w:val="24"/>
                <w:szCs w:val="24"/>
              </w:rPr>
            </w:pPr>
            <w:r>
              <w:rPr>
                <w:rFonts w:hint="eastAsia" w:ascii="仿宋" w:hAnsi="仿宋" w:eastAsia="仿宋" w:cs="仿宋"/>
                <w:kern w:val="0"/>
                <w:sz w:val="24"/>
                <w:szCs w:val="24"/>
              </w:rPr>
              <w:t>电影与电视艺术项目</w:t>
            </w:r>
          </w:p>
          <w:p w14:paraId="0F1FC85D">
            <w:pPr>
              <w:keepNext w:val="0"/>
              <w:keepLines w:val="0"/>
              <w:pageBreakBefore w:val="0"/>
              <w:numPr>
                <w:ilvl w:val="0"/>
                <w:numId w:val="45"/>
              </w:numPr>
              <w:kinsoku/>
              <w:wordWrap/>
              <w:overflowPunct/>
              <w:topLinePunct w:val="0"/>
              <w:autoSpaceDE/>
              <w:autoSpaceDN/>
              <w:bidi w:val="0"/>
              <w:snapToGrid w:val="0"/>
              <w:spacing w:line="240" w:lineRule="auto"/>
              <w:ind w:left="0" w:firstLine="480" w:firstLineChars="200"/>
              <w:textAlignment w:val="auto"/>
              <w:rPr>
                <w:rFonts w:hint="eastAsia" w:ascii="仿宋" w:hAnsi="仿宋" w:eastAsia="仿宋" w:cs="仿宋"/>
                <w:b w:val="0"/>
                <w:bCs/>
                <w:color w:val="auto"/>
                <w:sz w:val="24"/>
                <w:szCs w:val="24"/>
              </w:rPr>
            </w:pPr>
            <w:r>
              <w:rPr>
                <w:rFonts w:hint="eastAsia" w:ascii="仿宋" w:hAnsi="仿宋" w:eastAsia="仿宋" w:cs="仿宋"/>
                <w:kern w:val="0"/>
                <w:sz w:val="24"/>
                <w:szCs w:val="24"/>
              </w:rPr>
              <w:t>综合性艺术项目</w:t>
            </w:r>
          </w:p>
          <w:p w14:paraId="492D3AD7">
            <w:pPr>
              <w:keepNext w:val="0"/>
              <w:keepLines w:val="0"/>
              <w:pageBreakBefore w:val="0"/>
              <w:widowControl/>
              <w:kinsoku/>
              <w:wordWrap/>
              <w:overflowPunct/>
              <w:topLinePunct w:val="0"/>
              <w:autoSpaceDE/>
              <w:autoSpaceDN/>
              <w:bidi w:val="0"/>
              <w:adjustRightInd w:val="0"/>
              <w:snapToGrid w:val="0"/>
              <w:spacing w:line="240" w:lineRule="auto"/>
              <w:ind w:left="0"/>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知道层次：</w:t>
            </w:r>
            <w:r>
              <w:rPr>
                <w:rFonts w:hint="eastAsia" w:ascii="仿宋" w:hAnsi="仿宋" w:eastAsia="仿宋" w:cs="仿宋"/>
                <w:sz w:val="24"/>
                <w:szCs w:val="24"/>
              </w:rPr>
              <w:t>使学生了解与掌握艺术项目内涵与原理。</w:t>
            </w:r>
          </w:p>
          <w:p w14:paraId="4B1DE6E7">
            <w:pPr>
              <w:keepNext w:val="0"/>
              <w:keepLines w:val="0"/>
              <w:pageBreakBefore w:val="0"/>
              <w:widowControl/>
              <w:kinsoku/>
              <w:wordWrap/>
              <w:overflowPunct/>
              <w:topLinePunct w:val="0"/>
              <w:autoSpaceDE/>
              <w:autoSpaceDN/>
              <w:bidi w:val="0"/>
              <w:snapToGrid w:val="0"/>
              <w:spacing w:line="240" w:lineRule="auto"/>
              <w:ind w:left="0"/>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领会层次：掌握</w:t>
            </w:r>
            <w:r>
              <w:rPr>
                <w:rFonts w:hint="eastAsia" w:ascii="仿宋" w:hAnsi="仿宋" w:eastAsia="仿宋" w:cs="仿宋"/>
                <w:kern w:val="0"/>
                <w:sz w:val="24"/>
                <w:szCs w:val="24"/>
              </w:rPr>
              <w:t>各种类型的策划原理与执行。</w:t>
            </w:r>
          </w:p>
          <w:p w14:paraId="662F886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val="0"/>
              <w:spacing w:before="0" w:beforeAutospacing="0" w:after="0" w:afterAutospacing="0" w:line="240" w:lineRule="auto"/>
              <w:ind w:left="0" w:right="0" w:firstLine="0"/>
              <w:jc w:val="left"/>
              <w:textAlignment w:val="auto"/>
              <w:rPr>
                <w:rFonts w:hint="eastAsia" w:ascii="仿宋" w:hAnsi="仿宋" w:eastAsia="仿宋" w:cs="仿宋"/>
                <w:bCs/>
                <w:color w:val="auto"/>
                <w:sz w:val="24"/>
                <w:szCs w:val="24"/>
              </w:rPr>
            </w:pPr>
            <w:r>
              <w:rPr>
                <w:rFonts w:hint="eastAsia" w:ascii="仿宋" w:hAnsi="仿宋" w:eastAsia="仿宋" w:cs="仿宋"/>
                <w:color w:val="auto"/>
                <w:kern w:val="0"/>
                <w:sz w:val="24"/>
                <w:szCs w:val="24"/>
              </w:rPr>
              <w:t>应用层次：</w:t>
            </w:r>
            <w:r>
              <w:rPr>
                <w:rFonts w:hint="eastAsia" w:ascii="仿宋" w:hAnsi="仿宋" w:eastAsia="仿宋" w:cs="仿宋"/>
                <w:sz w:val="24"/>
                <w:szCs w:val="24"/>
              </w:rPr>
              <w:t>包括美术展览与艺术品拍卖、表演艺术、电影与电视艺术、综合性等艺术项目。</w:t>
            </w:r>
          </w:p>
        </w:tc>
        <w:tc>
          <w:tcPr>
            <w:tcW w:w="1200" w:type="dxa"/>
            <w:gridSpan w:val="3"/>
            <w:shd w:val="clear" w:color="auto" w:fill="auto"/>
            <w:noWrap w:val="0"/>
            <w:vAlign w:val="center"/>
          </w:tcPr>
          <w:p w14:paraId="770AEF8B">
            <w:pPr>
              <w:widowControl/>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tc>
        <w:tc>
          <w:tcPr>
            <w:tcW w:w="1127" w:type="dxa"/>
            <w:shd w:val="clear" w:color="auto" w:fill="FFFFFF"/>
            <w:noWrap w:val="0"/>
            <w:vAlign w:val="center"/>
          </w:tcPr>
          <w:p w14:paraId="1FB0A38C">
            <w:pPr>
              <w:adjustRightInd w:val="0"/>
              <w:snapToGrid w:val="0"/>
              <w:jc w:val="center"/>
              <w:rPr>
                <w:rFonts w:hint="eastAsia" w:ascii="仿宋" w:hAnsi="仿宋" w:eastAsia="仿宋" w:cs="仿宋"/>
                <w:color w:val="auto"/>
                <w:sz w:val="24"/>
                <w:szCs w:val="24"/>
              </w:rPr>
            </w:pPr>
            <w:r>
              <w:rPr>
                <w:rFonts w:hint="default" w:ascii="仿宋" w:hAnsi="仿宋" w:eastAsia="仿宋" w:cs="仿宋"/>
                <w:color w:val="auto"/>
                <w:sz w:val="24"/>
                <w:szCs w:val="24"/>
              </w:rPr>
              <w:t>4</w:t>
            </w:r>
          </w:p>
        </w:tc>
      </w:tr>
      <w:tr w14:paraId="21F092D0">
        <w:trPr>
          <w:trHeight w:val="2032" w:hRule="atLeast"/>
        </w:trPr>
        <w:tc>
          <w:tcPr>
            <w:tcW w:w="1075" w:type="dxa"/>
            <w:vMerge w:val="continue"/>
            <w:shd w:val="clear" w:color="auto" w:fill="FFFFFF"/>
            <w:noWrap w:val="0"/>
            <w:vAlign w:val="center"/>
          </w:tcPr>
          <w:p w14:paraId="77D52661">
            <w:pPr>
              <w:adjustRightInd w:val="0"/>
              <w:snapToGrid w:val="0"/>
              <w:spacing w:line="240" w:lineRule="atLeast"/>
              <w:jc w:val="right"/>
              <w:rPr>
                <w:rFonts w:hint="eastAsia" w:ascii="仿宋" w:hAnsi="仿宋" w:eastAsia="仿宋" w:cs="仿宋"/>
                <w:color w:val="auto"/>
                <w:sz w:val="24"/>
                <w:szCs w:val="24"/>
              </w:rPr>
            </w:pPr>
          </w:p>
        </w:tc>
        <w:tc>
          <w:tcPr>
            <w:tcW w:w="6497" w:type="dxa"/>
            <w:gridSpan w:val="10"/>
            <w:shd w:val="clear" w:color="auto" w:fill="auto"/>
            <w:noWrap w:val="0"/>
            <w:vAlign w:val="center"/>
          </w:tcPr>
          <w:p w14:paraId="7791836C">
            <w:pPr>
              <w:numPr>
                <w:ilvl w:val="0"/>
                <w:numId w:val="46"/>
              </w:numPr>
              <w:adjustRightInd w:val="0"/>
              <w:snapToGrid w:val="0"/>
              <w:rPr>
                <w:rFonts w:hint="eastAsia" w:ascii="华文仿宋" w:hAnsi="华文仿宋" w:eastAsia="华文仿宋" w:cs="华文仿宋"/>
                <w:sz w:val="24"/>
                <w:szCs w:val="24"/>
              </w:rPr>
            </w:pPr>
            <w:r>
              <w:rPr>
                <w:rFonts w:hint="eastAsia" w:ascii="宋体" w:hAnsi="宋体"/>
                <w:szCs w:val="21"/>
              </w:rPr>
              <w:t>艺</w:t>
            </w:r>
            <w:r>
              <w:rPr>
                <w:rFonts w:hint="eastAsia" w:ascii="华文仿宋" w:hAnsi="华文仿宋" w:eastAsia="华文仿宋" w:cs="华文仿宋"/>
                <w:sz w:val="24"/>
                <w:szCs w:val="24"/>
              </w:rPr>
              <w:t>术项目策划的教学设计</w:t>
            </w:r>
          </w:p>
          <w:p w14:paraId="2EE5A194">
            <w:pPr>
              <w:widowControl/>
              <w:spacing w:line="360" w:lineRule="exact"/>
              <w:rPr>
                <w:rFonts w:hint="eastAsia" w:ascii="华文仿宋" w:hAnsi="华文仿宋" w:eastAsia="华文仿宋" w:cs="华文仿宋"/>
                <w:b w:val="0"/>
                <w:bCs/>
                <w:color w:val="auto"/>
                <w:sz w:val="24"/>
                <w:szCs w:val="24"/>
              </w:rPr>
            </w:pPr>
            <w:r>
              <w:rPr>
                <w:rFonts w:hint="eastAsia" w:ascii="华文仿宋" w:hAnsi="华文仿宋" w:eastAsia="华文仿宋" w:cs="华文仿宋"/>
                <w:b w:val="0"/>
                <w:bCs/>
                <w:color w:val="auto"/>
                <w:sz w:val="24"/>
                <w:szCs w:val="24"/>
              </w:rPr>
              <w:t>学习内容：</w:t>
            </w:r>
          </w:p>
          <w:p w14:paraId="07CF94E5">
            <w:pPr>
              <w:widowControl/>
              <w:spacing w:line="360" w:lineRule="exact"/>
              <w:ind w:firstLine="480" w:firstLineChars="200"/>
              <w:rPr>
                <w:rFonts w:hint="eastAsia" w:ascii="华文仿宋" w:hAnsi="华文仿宋" w:eastAsia="华文仿宋" w:cs="华文仿宋"/>
                <w:kern w:val="0"/>
                <w:sz w:val="24"/>
                <w:szCs w:val="24"/>
              </w:rPr>
            </w:pPr>
            <w:r>
              <w:rPr>
                <w:rFonts w:hint="eastAsia" w:ascii="华文仿宋" w:hAnsi="华文仿宋" w:eastAsia="华文仿宋" w:cs="华文仿宋"/>
                <w:kern w:val="0"/>
                <w:sz w:val="24"/>
                <w:szCs w:val="24"/>
              </w:rPr>
              <w:t>第一节  艺术管理专业的实践性教学品质</w:t>
            </w:r>
          </w:p>
          <w:p w14:paraId="58024449">
            <w:pPr>
              <w:widowControl/>
              <w:spacing w:line="360" w:lineRule="exact"/>
              <w:ind w:firstLine="480" w:firstLineChars="200"/>
              <w:rPr>
                <w:rFonts w:hint="eastAsia" w:ascii="华文仿宋" w:hAnsi="华文仿宋" w:eastAsia="华文仿宋" w:cs="华文仿宋"/>
                <w:sz w:val="24"/>
                <w:szCs w:val="24"/>
              </w:rPr>
            </w:pPr>
            <w:r>
              <w:rPr>
                <w:rFonts w:hint="eastAsia" w:ascii="华文仿宋" w:hAnsi="华文仿宋" w:eastAsia="华文仿宋" w:cs="华文仿宋"/>
                <w:kern w:val="0"/>
                <w:sz w:val="24"/>
                <w:szCs w:val="24"/>
              </w:rPr>
              <w:t>第二节  艺术项目的教学蕴含</w:t>
            </w:r>
          </w:p>
          <w:p w14:paraId="7F27B227">
            <w:pPr>
              <w:widowControl/>
              <w:spacing w:line="360" w:lineRule="exact"/>
              <w:rPr>
                <w:rFonts w:hint="eastAsia" w:ascii="华文仿宋" w:hAnsi="华文仿宋" w:eastAsia="华文仿宋" w:cs="华文仿宋"/>
                <w:color w:val="auto"/>
                <w:kern w:val="0"/>
                <w:sz w:val="24"/>
                <w:szCs w:val="24"/>
              </w:rPr>
            </w:pPr>
            <w:r>
              <w:rPr>
                <w:rFonts w:hint="eastAsia" w:ascii="华文仿宋" w:hAnsi="华文仿宋" w:eastAsia="华文仿宋" w:cs="华文仿宋"/>
                <w:color w:val="auto"/>
                <w:kern w:val="0"/>
                <w:sz w:val="24"/>
                <w:szCs w:val="24"/>
              </w:rPr>
              <w:t>知道层次：</w:t>
            </w:r>
            <w:r>
              <w:rPr>
                <w:rFonts w:hint="eastAsia" w:ascii="华文仿宋" w:hAnsi="华文仿宋" w:eastAsia="华文仿宋" w:cs="华文仿宋"/>
                <w:sz w:val="24"/>
                <w:szCs w:val="24"/>
              </w:rPr>
              <w:t>使学生了解艺术管理专业的实践性教学品质、教学蕴含等相关知识点。</w:t>
            </w:r>
          </w:p>
          <w:p w14:paraId="223B5C50">
            <w:pPr>
              <w:adjustRightInd w:val="0"/>
              <w:snapToGrid w:val="0"/>
              <w:rPr>
                <w:rFonts w:hint="eastAsia" w:ascii="华文仿宋" w:hAnsi="华文仿宋" w:eastAsia="华文仿宋" w:cs="华文仿宋"/>
                <w:color w:val="auto"/>
                <w:kern w:val="0"/>
                <w:sz w:val="24"/>
                <w:szCs w:val="24"/>
              </w:rPr>
            </w:pPr>
            <w:r>
              <w:rPr>
                <w:rFonts w:hint="eastAsia" w:ascii="华文仿宋" w:hAnsi="华文仿宋" w:eastAsia="华文仿宋" w:cs="华文仿宋"/>
                <w:color w:val="auto"/>
                <w:kern w:val="0"/>
                <w:sz w:val="24"/>
                <w:szCs w:val="24"/>
              </w:rPr>
              <w:t>领会层次：掌握</w:t>
            </w:r>
            <w:r>
              <w:rPr>
                <w:rFonts w:hint="eastAsia" w:ascii="华文仿宋" w:hAnsi="华文仿宋" w:eastAsia="华文仿宋" w:cs="华文仿宋"/>
                <w:sz w:val="24"/>
                <w:szCs w:val="24"/>
              </w:rPr>
              <w:t>艺术管理专业的实践性教学品质、教学蕴含等</w:t>
            </w:r>
            <w:r>
              <w:rPr>
                <w:rFonts w:hint="default" w:ascii="华文仿宋" w:hAnsi="华文仿宋" w:eastAsia="华文仿宋" w:cs="华文仿宋"/>
                <w:sz w:val="24"/>
                <w:szCs w:val="24"/>
              </w:rPr>
              <w:t>。</w:t>
            </w:r>
          </w:p>
          <w:p w14:paraId="036D049E">
            <w:pPr>
              <w:keepNext w:val="0"/>
              <w:keepLines w:val="0"/>
              <w:widowControl/>
              <w:suppressLineNumbers w:val="0"/>
              <w:jc w:val="left"/>
              <w:rPr>
                <w:rFonts w:hint="eastAsia" w:ascii="仿宋" w:hAnsi="仿宋" w:eastAsia="仿宋" w:cs="仿宋"/>
                <w:bCs/>
                <w:color w:val="auto"/>
                <w:sz w:val="24"/>
                <w:szCs w:val="24"/>
              </w:rPr>
            </w:pPr>
            <w:r>
              <w:rPr>
                <w:rFonts w:hint="eastAsia" w:ascii="华文仿宋" w:hAnsi="华文仿宋" w:eastAsia="华文仿宋" w:cs="华文仿宋"/>
                <w:color w:val="auto"/>
                <w:kern w:val="0"/>
                <w:sz w:val="24"/>
                <w:szCs w:val="24"/>
              </w:rPr>
              <w:t>应用层次：</w:t>
            </w:r>
            <w:r>
              <w:rPr>
                <w:rFonts w:hint="eastAsia" w:ascii="华文仿宋" w:hAnsi="华文仿宋" w:eastAsia="华文仿宋" w:cs="华文仿宋"/>
                <w:kern w:val="0"/>
                <w:sz w:val="24"/>
                <w:szCs w:val="24"/>
              </w:rPr>
              <w:t>艺术项目的教学蕴含、教学设计、教学进展。</w:t>
            </w:r>
          </w:p>
        </w:tc>
        <w:tc>
          <w:tcPr>
            <w:tcW w:w="1200" w:type="dxa"/>
            <w:gridSpan w:val="3"/>
            <w:shd w:val="clear" w:color="auto" w:fill="auto"/>
            <w:noWrap w:val="0"/>
            <w:vAlign w:val="center"/>
          </w:tcPr>
          <w:p w14:paraId="3347362C">
            <w:pPr>
              <w:adjustRightInd w:val="0"/>
              <w:snapToGrid w:val="0"/>
              <w:jc w:val="center"/>
              <w:rPr>
                <w:rFonts w:hint="eastAsia" w:ascii="仿宋" w:hAnsi="仿宋" w:eastAsia="仿宋" w:cs="仿宋"/>
                <w:bCs/>
                <w:color w:val="auto"/>
                <w:sz w:val="24"/>
                <w:szCs w:val="24"/>
              </w:rPr>
            </w:pPr>
          </w:p>
          <w:p w14:paraId="61E89A80">
            <w:pPr>
              <w:widowControl/>
              <w:adjustRightInd w:val="0"/>
              <w:snapToGrid w:val="0"/>
              <w:jc w:val="center"/>
              <w:rPr>
                <w:rFonts w:hint="eastAsia" w:ascii="仿宋" w:hAnsi="仿宋" w:eastAsia="仿宋" w:cs="仿宋"/>
                <w:bCs/>
                <w:color w:val="auto"/>
                <w:sz w:val="24"/>
                <w:szCs w:val="24"/>
              </w:rPr>
            </w:pPr>
          </w:p>
          <w:p w14:paraId="76DD89EB">
            <w:pPr>
              <w:widowControl/>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p w14:paraId="756230A5">
            <w:pPr>
              <w:widowControl/>
              <w:adjustRightInd w:val="0"/>
              <w:snapToGrid w:val="0"/>
              <w:jc w:val="center"/>
              <w:rPr>
                <w:rFonts w:hint="eastAsia" w:ascii="仿宋" w:hAnsi="仿宋" w:eastAsia="仿宋" w:cs="仿宋"/>
                <w:bCs/>
                <w:color w:val="auto"/>
                <w:sz w:val="24"/>
                <w:szCs w:val="24"/>
              </w:rPr>
            </w:pPr>
          </w:p>
          <w:p w14:paraId="7915A9FE">
            <w:pPr>
              <w:adjustRightInd w:val="0"/>
              <w:snapToGrid w:val="0"/>
              <w:jc w:val="center"/>
              <w:rPr>
                <w:rFonts w:hint="eastAsia" w:ascii="仿宋" w:hAnsi="仿宋" w:eastAsia="仿宋" w:cs="仿宋"/>
                <w:bCs/>
                <w:color w:val="auto"/>
                <w:sz w:val="24"/>
                <w:szCs w:val="24"/>
              </w:rPr>
            </w:pPr>
          </w:p>
        </w:tc>
        <w:tc>
          <w:tcPr>
            <w:tcW w:w="1127" w:type="dxa"/>
            <w:shd w:val="clear" w:color="auto" w:fill="FFFFFF"/>
            <w:noWrap w:val="0"/>
            <w:vAlign w:val="center"/>
          </w:tcPr>
          <w:p w14:paraId="33006471">
            <w:pPr>
              <w:adjustRightInd w:val="0"/>
              <w:snapToGrid w:val="0"/>
              <w:jc w:val="center"/>
              <w:rPr>
                <w:rFonts w:hint="eastAsia" w:ascii="仿宋" w:hAnsi="仿宋" w:eastAsia="仿宋" w:cs="仿宋"/>
                <w:color w:val="auto"/>
                <w:sz w:val="24"/>
                <w:szCs w:val="24"/>
              </w:rPr>
            </w:pPr>
            <w:r>
              <w:rPr>
                <w:rFonts w:hint="default" w:ascii="仿宋" w:hAnsi="仿宋" w:eastAsia="仿宋" w:cs="仿宋"/>
                <w:color w:val="auto"/>
                <w:sz w:val="24"/>
                <w:szCs w:val="24"/>
              </w:rPr>
              <w:t>4</w:t>
            </w:r>
          </w:p>
        </w:tc>
      </w:tr>
      <w:tr w14:paraId="0543E54F">
        <w:trPr>
          <w:trHeight w:val="454" w:hRule="atLeast"/>
        </w:trPr>
        <w:tc>
          <w:tcPr>
            <w:tcW w:w="1075" w:type="dxa"/>
            <w:vMerge w:val="continue"/>
            <w:shd w:val="clear" w:color="auto" w:fill="FFFFFF"/>
            <w:noWrap w:val="0"/>
            <w:vAlign w:val="center"/>
          </w:tcPr>
          <w:p w14:paraId="3467B3C3">
            <w:pPr>
              <w:adjustRightInd w:val="0"/>
              <w:snapToGrid w:val="0"/>
              <w:spacing w:line="240" w:lineRule="atLeast"/>
              <w:jc w:val="right"/>
              <w:rPr>
                <w:rFonts w:hint="eastAsia" w:ascii="仿宋" w:hAnsi="仿宋" w:eastAsia="仿宋" w:cs="仿宋"/>
                <w:color w:val="auto"/>
                <w:sz w:val="24"/>
                <w:szCs w:val="24"/>
              </w:rPr>
            </w:pPr>
          </w:p>
        </w:tc>
        <w:tc>
          <w:tcPr>
            <w:tcW w:w="6497" w:type="dxa"/>
            <w:gridSpan w:val="10"/>
            <w:shd w:val="clear" w:color="auto" w:fill="auto"/>
            <w:noWrap w:val="0"/>
            <w:vAlign w:val="center"/>
          </w:tcPr>
          <w:p w14:paraId="339A5E7F">
            <w:pPr>
              <w:keepNext w:val="0"/>
              <w:keepLines w:val="0"/>
              <w:pageBreakBefore w:val="0"/>
              <w:kinsoku/>
              <w:wordWrap/>
              <w:overflowPunct/>
              <w:topLinePunct w:val="0"/>
              <w:autoSpaceDE/>
              <w:autoSpaceDN/>
              <w:bidi w:val="0"/>
              <w:adjustRightInd w:val="0"/>
              <w:snapToGrid w:val="0"/>
              <w:spacing w:line="240" w:lineRule="auto"/>
              <w:textAlignment w:val="auto"/>
              <w:rPr>
                <w:rFonts w:hint="eastAsia" w:ascii="仿宋" w:hAnsi="仿宋" w:eastAsia="仿宋" w:cs="仿宋"/>
                <w:sz w:val="24"/>
                <w:szCs w:val="24"/>
              </w:rPr>
            </w:pPr>
            <w:r>
              <w:rPr>
                <w:rFonts w:hint="eastAsia" w:ascii="仿宋" w:hAnsi="仿宋" w:eastAsia="仿宋" w:cs="仿宋"/>
                <w:bCs/>
                <w:color w:val="auto"/>
                <w:sz w:val="24"/>
                <w:szCs w:val="24"/>
              </w:rPr>
              <w:t>第三章</w:t>
            </w:r>
            <w:r>
              <w:rPr>
                <w:rFonts w:hint="eastAsia" w:ascii="仿宋" w:hAnsi="仿宋" w:eastAsia="仿宋" w:cs="仿宋"/>
                <w:sz w:val="24"/>
                <w:szCs w:val="24"/>
              </w:rPr>
              <w:t>观众拓展项目策划</w:t>
            </w:r>
          </w:p>
          <w:p w14:paraId="117E574A">
            <w:pPr>
              <w:keepNext w:val="0"/>
              <w:keepLines w:val="0"/>
              <w:pageBreakBefore w:val="0"/>
              <w:widowControl/>
              <w:kinsoku/>
              <w:wordWrap/>
              <w:overflowPunct/>
              <w:topLinePunct w:val="0"/>
              <w:autoSpaceDE/>
              <w:autoSpaceDN/>
              <w:bidi w:val="0"/>
              <w:snapToGrid w:val="0"/>
              <w:spacing w:line="240" w:lineRule="auto"/>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学习内容：</w:t>
            </w:r>
          </w:p>
          <w:p w14:paraId="5389D431">
            <w:pPr>
              <w:keepNext w:val="0"/>
              <w:keepLines w:val="0"/>
              <w:pageBreakBefore w:val="0"/>
              <w:widowControl/>
              <w:numPr>
                <w:ilvl w:val="0"/>
                <w:numId w:val="47"/>
              </w:numPr>
              <w:kinsoku/>
              <w:wordWrap/>
              <w:overflowPunct/>
              <w:topLinePunct w:val="0"/>
              <w:autoSpaceDE/>
              <w:autoSpaceDN/>
              <w:bidi w:val="0"/>
              <w:snapToGrid w:val="0"/>
              <w:spacing w:line="24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 xml:space="preserve"> </w:t>
            </w:r>
            <w:r>
              <w:rPr>
                <w:rFonts w:hint="eastAsia" w:ascii="仿宋" w:hAnsi="仿宋" w:eastAsia="仿宋" w:cs="仿宋"/>
                <w:kern w:val="0"/>
                <w:sz w:val="24"/>
                <w:szCs w:val="24"/>
              </w:rPr>
              <w:t>到甘家大院听昆曲：非遗整合营销方案</w:t>
            </w:r>
          </w:p>
          <w:p w14:paraId="33796C6A">
            <w:pPr>
              <w:keepNext w:val="0"/>
              <w:keepLines w:val="0"/>
              <w:pageBreakBefore w:val="0"/>
              <w:widowControl/>
              <w:numPr>
                <w:ilvl w:val="0"/>
                <w:numId w:val="47"/>
              </w:numPr>
              <w:kinsoku/>
              <w:wordWrap/>
              <w:overflowPunct/>
              <w:topLinePunct w:val="0"/>
              <w:autoSpaceDE/>
              <w:autoSpaceDN/>
              <w:bidi w:val="0"/>
              <w:snapToGrid w:val="0"/>
              <w:spacing w:line="240" w:lineRule="auto"/>
              <w:ind w:firstLine="480" w:firstLineChars="200"/>
              <w:textAlignment w:val="auto"/>
              <w:rPr>
                <w:rFonts w:hint="eastAsia" w:ascii="仿宋" w:hAnsi="仿宋" w:eastAsia="仿宋" w:cs="仿宋"/>
                <w:sz w:val="24"/>
                <w:szCs w:val="24"/>
              </w:rPr>
            </w:pPr>
            <w:r>
              <w:rPr>
                <w:rFonts w:hint="eastAsia" w:ascii="仿宋" w:hAnsi="仿宋" w:eastAsia="仿宋" w:cs="仿宋"/>
                <w:kern w:val="0"/>
                <w:sz w:val="24"/>
                <w:szCs w:val="24"/>
              </w:rPr>
              <w:t>“艺动·金陵”大学生艺术展演获奖作品高校巡演</w:t>
            </w:r>
          </w:p>
          <w:p w14:paraId="07CA8EE5">
            <w:pPr>
              <w:keepNext w:val="0"/>
              <w:keepLines w:val="0"/>
              <w:pageBreakBefore w:val="0"/>
              <w:widowControl/>
              <w:numPr>
                <w:ilvl w:val="0"/>
                <w:numId w:val="47"/>
              </w:numPr>
              <w:kinsoku/>
              <w:wordWrap/>
              <w:overflowPunct/>
              <w:topLinePunct w:val="0"/>
              <w:autoSpaceDE/>
              <w:autoSpaceDN/>
              <w:bidi w:val="0"/>
              <w:snapToGrid w:val="0"/>
              <w:spacing w:line="240" w:lineRule="auto"/>
              <w:ind w:firstLine="480" w:firstLineChars="200"/>
              <w:textAlignment w:val="auto"/>
              <w:rPr>
                <w:rFonts w:hint="eastAsia" w:ascii="仿宋" w:hAnsi="仿宋" w:eastAsia="仿宋" w:cs="仿宋"/>
                <w:sz w:val="24"/>
                <w:szCs w:val="24"/>
              </w:rPr>
            </w:pPr>
            <w:r>
              <w:rPr>
                <w:rFonts w:hint="eastAsia" w:ascii="仿宋" w:hAnsi="仿宋" w:eastAsia="仿宋" w:cs="仿宋"/>
                <w:kern w:val="0"/>
                <w:sz w:val="24"/>
                <w:szCs w:val="24"/>
              </w:rPr>
              <w:t>《风·雅·颂》民族室内乐希腊巡演</w:t>
            </w:r>
          </w:p>
          <w:p w14:paraId="621C092E">
            <w:pPr>
              <w:keepNext w:val="0"/>
              <w:keepLines w:val="0"/>
              <w:pageBreakBefore w:val="0"/>
              <w:widowControl/>
              <w:kinsoku/>
              <w:wordWrap/>
              <w:overflowPunct/>
              <w:topLinePunct w:val="0"/>
              <w:autoSpaceDE/>
              <w:autoSpaceDN/>
              <w:bidi w:val="0"/>
              <w:snapToGrid w:val="0"/>
              <w:spacing w:line="240" w:lineRule="auto"/>
              <w:ind w:firstLine="480" w:firstLineChars="200"/>
              <w:textAlignment w:val="auto"/>
              <w:rPr>
                <w:rFonts w:hint="eastAsia" w:ascii="仿宋" w:hAnsi="仿宋" w:eastAsia="仿宋" w:cs="仿宋"/>
                <w:kern w:val="0"/>
                <w:sz w:val="24"/>
                <w:szCs w:val="24"/>
              </w:rPr>
            </w:pPr>
            <w:r>
              <w:rPr>
                <w:rFonts w:hint="eastAsia" w:ascii="仿宋" w:hAnsi="仿宋" w:eastAsia="仿宋" w:cs="仿宋"/>
                <w:sz w:val="24"/>
                <w:szCs w:val="24"/>
              </w:rPr>
              <w:t>第四节  方案点评</w:t>
            </w:r>
          </w:p>
          <w:p w14:paraId="7C39CE8C">
            <w:pPr>
              <w:keepNext w:val="0"/>
              <w:keepLines w:val="0"/>
              <w:pageBreakBefore w:val="0"/>
              <w:widowControl/>
              <w:kinsoku/>
              <w:wordWrap/>
              <w:overflowPunct/>
              <w:topLinePunct w:val="0"/>
              <w:autoSpaceDE/>
              <w:autoSpaceDN/>
              <w:bidi w:val="0"/>
              <w:snapToGrid w:val="0"/>
              <w:spacing w:line="240" w:lineRule="auto"/>
              <w:textAlignment w:val="auto"/>
              <w:rPr>
                <w:rFonts w:hint="eastAsia" w:ascii="仿宋" w:hAnsi="仿宋" w:eastAsia="仿宋" w:cs="仿宋"/>
                <w:bCs/>
                <w:color w:val="auto"/>
                <w:sz w:val="24"/>
                <w:szCs w:val="24"/>
              </w:rPr>
            </w:pPr>
            <w:r>
              <w:rPr>
                <w:rFonts w:hint="eastAsia" w:ascii="仿宋" w:hAnsi="仿宋" w:eastAsia="仿宋" w:cs="仿宋"/>
                <w:bCs/>
                <w:color w:val="auto"/>
                <w:sz w:val="24"/>
                <w:szCs w:val="24"/>
              </w:rPr>
              <w:t>知道层次：</w:t>
            </w:r>
            <w:r>
              <w:rPr>
                <w:rFonts w:hint="eastAsia" w:ascii="仿宋" w:hAnsi="仿宋" w:eastAsia="仿宋" w:cs="仿宋"/>
                <w:sz w:val="24"/>
                <w:szCs w:val="24"/>
              </w:rPr>
              <w:t>使学生掌握具体艺术项目策划思路与方法、方案设计、执行计划等知识点。</w:t>
            </w:r>
          </w:p>
          <w:p w14:paraId="23742810">
            <w:pPr>
              <w:keepNext w:val="0"/>
              <w:keepLines w:val="0"/>
              <w:pageBreakBefore w:val="0"/>
              <w:widowControl/>
              <w:kinsoku/>
              <w:wordWrap/>
              <w:overflowPunct/>
              <w:topLinePunct w:val="0"/>
              <w:autoSpaceDE/>
              <w:autoSpaceDN/>
              <w:bidi w:val="0"/>
              <w:snapToGrid w:val="0"/>
              <w:spacing w:line="240" w:lineRule="auto"/>
              <w:textAlignment w:val="auto"/>
              <w:rPr>
                <w:rFonts w:hint="eastAsia" w:ascii="仿宋" w:hAnsi="仿宋" w:eastAsia="仿宋" w:cs="仿宋"/>
                <w:bCs/>
                <w:color w:val="auto"/>
                <w:sz w:val="24"/>
                <w:szCs w:val="24"/>
              </w:rPr>
            </w:pPr>
            <w:r>
              <w:rPr>
                <w:rFonts w:hint="eastAsia" w:ascii="仿宋" w:hAnsi="仿宋" w:eastAsia="仿宋" w:cs="仿宋"/>
                <w:bCs/>
                <w:color w:val="auto"/>
                <w:sz w:val="24"/>
                <w:szCs w:val="24"/>
              </w:rPr>
              <w:t>领会层次：了解</w:t>
            </w:r>
            <w:r>
              <w:rPr>
                <w:rFonts w:hint="eastAsia" w:ascii="仿宋" w:hAnsi="仿宋" w:eastAsia="仿宋" w:cs="仿宋"/>
                <w:sz w:val="24"/>
                <w:szCs w:val="24"/>
              </w:rPr>
              <w:t>项目方案描述、方案设计与执行的方法。</w:t>
            </w:r>
          </w:p>
          <w:p w14:paraId="0666EEC8">
            <w:pPr>
              <w:keepNext w:val="0"/>
              <w:keepLines w:val="0"/>
              <w:pageBreakBefore w:val="0"/>
              <w:widowControl/>
              <w:suppressLineNumbers w:val="0"/>
              <w:kinsoku/>
              <w:wordWrap/>
              <w:overflowPunct/>
              <w:topLinePunct w:val="0"/>
              <w:autoSpaceDE/>
              <w:autoSpaceDN/>
              <w:bidi w:val="0"/>
              <w:snapToGrid w:val="0"/>
              <w:spacing w:line="240" w:lineRule="auto"/>
              <w:jc w:val="left"/>
              <w:textAlignment w:val="auto"/>
              <w:rPr>
                <w:rFonts w:hint="eastAsia" w:ascii="仿宋" w:hAnsi="仿宋" w:eastAsia="仿宋" w:cs="仿宋"/>
                <w:bCs/>
                <w:color w:val="auto"/>
                <w:sz w:val="24"/>
                <w:szCs w:val="24"/>
              </w:rPr>
            </w:pPr>
            <w:r>
              <w:rPr>
                <w:rFonts w:hint="eastAsia" w:ascii="仿宋" w:hAnsi="仿宋" w:eastAsia="仿宋" w:cs="仿宋"/>
                <w:bCs/>
                <w:color w:val="auto"/>
                <w:sz w:val="24"/>
                <w:szCs w:val="24"/>
              </w:rPr>
              <w:t>应用层次：</w:t>
            </w:r>
            <w:r>
              <w:rPr>
                <w:rFonts w:hint="eastAsia" w:ascii="仿宋" w:hAnsi="仿宋" w:eastAsia="仿宋" w:cs="仿宋"/>
                <w:kern w:val="0"/>
                <w:sz w:val="24"/>
                <w:szCs w:val="24"/>
              </w:rPr>
              <w:t>艺术项目方案描述、方案设计、执行计划等相关练习。</w:t>
            </w:r>
          </w:p>
        </w:tc>
        <w:tc>
          <w:tcPr>
            <w:tcW w:w="1200" w:type="dxa"/>
            <w:gridSpan w:val="3"/>
            <w:shd w:val="clear" w:color="auto" w:fill="auto"/>
            <w:noWrap w:val="0"/>
            <w:vAlign w:val="center"/>
          </w:tcPr>
          <w:p w14:paraId="197161CA">
            <w:pPr>
              <w:widowControl/>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tc>
        <w:tc>
          <w:tcPr>
            <w:tcW w:w="1127" w:type="dxa"/>
            <w:shd w:val="clear" w:color="auto" w:fill="FFFFFF"/>
            <w:noWrap w:val="0"/>
            <w:vAlign w:val="center"/>
          </w:tcPr>
          <w:p w14:paraId="60187954">
            <w:pPr>
              <w:adjustRightInd w:val="0"/>
              <w:snapToGrid w:val="0"/>
              <w:jc w:val="center"/>
              <w:rPr>
                <w:rFonts w:hint="default" w:ascii="仿宋" w:hAnsi="仿宋" w:eastAsia="PMingLiU" w:cs="仿宋"/>
                <w:color w:val="auto"/>
                <w:sz w:val="24"/>
                <w:szCs w:val="24"/>
                <w:lang w:val="en-US" w:eastAsia="zh-TW"/>
              </w:rPr>
            </w:pPr>
            <w:r>
              <w:rPr>
                <w:rFonts w:hint="default" w:ascii="仿宋" w:hAnsi="仿宋" w:eastAsia="PMingLiU" w:cs="仿宋"/>
                <w:color w:val="auto"/>
                <w:sz w:val="24"/>
                <w:szCs w:val="24"/>
                <w:lang w:val="en-US" w:eastAsia="zh-TW"/>
              </w:rPr>
              <w:t>6</w:t>
            </w:r>
          </w:p>
        </w:tc>
      </w:tr>
      <w:tr w14:paraId="6FC23204">
        <w:trPr>
          <w:trHeight w:val="454" w:hRule="atLeast"/>
        </w:trPr>
        <w:tc>
          <w:tcPr>
            <w:tcW w:w="1075" w:type="dxa"/>
            <w:vMerge w:val="continue"/>
            <w:shd w:val="clear" w:color="auto" w:fill="FFFFFF"/>
            <w:noWrap w:val="0"/>
            <w:vAlign w:val="center"/>
          </w:tcPr>
          <w:p w14:paraId="26F5FA33">
            <w:pPr>
              <w:adjustRightInd w:val="0"/>
              <w:snapToGrid w:val="0"/>
              <w:spacing w:line="240" w:lineRule="atLeast"/>
              <w:jc w:val="right"/>
              <w:rPr>
                <w:rFonts w:hint="eastAsia" w:ascii="仿宋" w:hAnsi="仿宋" w:eastAsia="仿宋" w:cs="仿宋"/>
                <w:color w:val="auto"/>
                <w:sz w:val="24"/>
                <w:szCs w:val="24"/>
              </w:rPr>
            </w:pPr>
          </w:p>
        </w:tc>
        <w:tc>
          <w:tcPr>
            <w:tcW w:w="6497" w:type="dxa"/>
            <w:gridSpan w:val="10"/>
            <w:shd w:val="clear" w:color="auto" w:fill="auto"/>
            <w:noWrap w:val="0"/>
            <w:vAlign w:val="center"/>
          </w:tcPr>
          <w:p w14:paraId="7D9DCCD0">
            <w:pPr>
              <w:keepNext w:val="0"/>
              <w:keepLines w:val="0"/>
              <w:pageBreakBefore w:val="0"/>
              <w:kinsoku/>
              <w:wordWrap/>
              <w:overflowPunct/>
              <w:topLinePunct w:val="0"/>
              <w:autoSpaceDE/>
              <w:autoSpaceDN/>
              <w:bidi w:val="0"/>
              <w:adjustRightInd w:val="0"/>
              <w:snapToGrid w:val="0"/>
              <w:spacing w:line="240" w:lineRule="auto"/>
              <w:textAlignment w:val="auto"/>
              <w:rPr>
                <w:rFonts w:hint="eastAsia" w:ascii="仿宋" w:hAnsi="仿宋" w:eastAsia="仿宋" w:cs="仿宋"/>
                <w:sz w:val="24"/>
                <w:szCs w:val="24"/>
              </w:rPr>
            </w:pPr>
            <w:r>
              <w:rPr>
                <w:rFonts w:hint="eastAsia" w:ascii="仿宋" w:hAnsi="仿宋" w:eastAsia="仿宋" w:cs="仿宋"/>
                <w:bCs/>
                <w:color w:val="auto"/>
                <w:sz w:val="24"/>
                <w:szCs w:val="24"/>
              </w:rPr>
              <w:t xml:space="preserve">第四章 </w:t>
            </w:r>
            <w:r>
              <w:rPr>
                <w:rFonts w:hint="eastAsia" w:ascii="仿宋" w:hAnsi="仿宋" w:eastAsia="仿宋" w:cs="仿宋"/>
                <w:sz w:val="24"/>
                <w:szCs w:val="24"/>
              </w:rPr>
              <w:t>艺术营销项目策划</w:t>
            </w:r>
          </w:p>
          <w:p w14:paraId="69C2B132">
            <w:pPr>
              <w:keepNext w:val="0"/>
              <w:keepLines w:val="0"/>
              <w:pageBreakBefore w:val="0"/>
              <w:widowControl/>
              <w:kinsoku/>
              <w:wordWrap/>
              <w:overflowPunct/>
              <w:topLinePunct w:val="0"/>
              <w:autoSpaceDE/>
              <w:autoSpaceDN/>
              <w:bidi w:val="0"/>
              <w:snapToGrid w:val="0"/>
              <w:spacing w:line="240" w:lineRule="auto"/>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学习内容：</w:t>
            </w:r>
          </w:p>
          <w:p w14:paraId="5881A70A">
            <w:pPr>
              <w:keepNext w:val="0"/>
              <w:keepLines w:val="0"/>
              <w:pageBreakBefore w:val="0"/>
              <w:widowControl/>
              <w:kinsoku/>
              <w:wordWrap/>
              <w:overflowPunct/>
              <w:topLinePunct w:val="0"/>
              <w:autoSpaceDE/>
              <w:autoSpaceDN/>
              <w:bidi w:val="0"/>
              <w:snapToGrid w:val="0"/>
              <w:spacing w:line="240" w:lineRule="auto"/>
              <w:ind w:firstLine="360" w:firstLineChars="150"/>
              <w:textAlignment w:val="auto"/>
              <w:rPr>
                <w:rFonts w:hint="eastAsia" w:ascii="仿宋" w:hAnsi="仿宋" w:eastAsia="仿宋" w:cs="仿宋"/>
                <w:kern w:val="0"/>
                <w:sz w:val="24"/>
                <w:szCs w:val="24"/>
              </w:rPr>
            </w:pPr>
            <w:r>
              <w:rPr>
                <w:rFonts w:hint="eastAsia" w:ascii="仿宋" w:hAnsi="仿宋" w:eastAsia="仿宋" w:cs="仿宋"/>
                <w:b w:val="0"/>
                <w:bCs/>
                <w:color w:val="auto"/>
                <w:sz w:val="24"/>
                <w:szCs w:val="24"/>
              </w:rPr>
              <w:t xml:space="preserve">第一节  </w:t>
            </w:r>
            <w:r>
              <w:rPr>
                <w:rFonts w:hint="eastAsia" w:ascii="仿宋" w:hAnsi="仿宋" w:eastAsia="仿宋" w:cs="仿宋"/>
                <w:kern w:val="0"/>
                <w:sz w:val="24"/>
                <w:szCs w:val="24"/>
              </w:rPr>
              <w:t>2010年全国大学生提名展：北京今日美术馆展览营销</w:t>
            </w:r>
          </w:p>
          <w:p w14:paraId="693DFE52">
            <w:pPr>
              <w:keepNext w:val="0"/>
              <w:keepLines w:val="0"/>
              <w:pageBreakBefore w:val="0"/>
              <w:widowControl/>
              <w:kinsoku/>
              <w:wordWrap/>
              <w:overflowPunct/>
              <w:topLinePunct w:val="0"/>
              <w:autoSpaceDE/>
              <w:autoSpaceDN/>
              <w:bidi w:val="0"/>
              <w:snapToGrid w:val="0"/>
              <w:spacing w:line="240" w:lineRule="auto"/>
              <w:ind w:firstLine="360" w:firstLineChars="150"/>
              <w:textAlignment w:val="auto"/>
              <w:rPr>
                <w:rFonts w:hint="eastAsia" w:ascii="仿宋" w:hAnsi="仿宋" w:eastAsia="仿宋" w:cs="仿宋"/>
                <w:sz w:val="24"/>
                <w:szCs w:val="24"/>
              </w:rPr>
            </w:pPr>
            <w:r>
              <w:rPr>
                <w:rFonts w:hint="eastAsia" w:ascii="仿宋" w:hAnsi="仿宋" w:eastAsia="仿宋" w:cs="仿宋"/>
                <w:sz w:val="24"/>
                <w:szCs w:val="24"/>
              </w:rPr>
              <w:t xml:space="preserve">第二节  </w:t>
            </w:r>
            <w:r>
              <w:rPr>
                <w:rFonts w:hint="eastAsia" w:ascii="仿宋" w:hAnsi="仿宋" w:eastAsia="仿宋" w:cs="仿宋"/>
                <w:kern w:val="0"/>
                <w:sz w:val="24"/>
                <w:szCs w:val="24"/>
              </w:rPr>
              <w:t>乐活55号大院：驻邕大学生艺术创意创业园</w:t>
            </w:r>
          </w:p>
          <w:p w14:paraId="2DCAB232">
            <w:pPr>
              <w:keepNext w:val="0"/>
              <w:keepLines w:val="0"/>
              <w:pageBreakBefore w:val="0"/>
              <w:widowControl/>
              <w:kinsoku/>
              <w:wordWrap/>
              <w:overflowPunct/>
              <w:topLinePunct w:val="0"/>
              <w:autoSpaceDE/>
              <w:autoSpaceDN/>
              <w:bidi w:val="0"/>
              <w:snapToGrid w:val="0"/>
              <w:spacing w:line="240" w:lineRule="auto"/>
              <w:textAlignment w:val="auto"/>
              <w:rPr>
                <w:rFonts w:hint="eastAsia" w:ascii="仿宋" w:hAnsi="仿宋" w:eastAsia="仿宋" w:cs="仿宋"/>
                <w:bCs/>
                <w:color w:val="auto"/>
                <w:sz w:val="24"/>
                <w:szCs w:val="24"/>
              </w:rPr>
            </w:pPr>
            <w:r>
              <w:rPr>
                <w:rFonts w:hint="eastAsia" w:ascii="仿宋" w:hAnsi="仿宋" w:eastAsia="仿宋" w:cs="仿宋"/>
                <w:sz w:val="24"/>
                <w:szCs w:val="24"/>
              </w:rPr>
              <w:t xml:space="preserve">   第三节  方案点评</w:t>
            </w:r>
          </w:p>
          <w:p w14:paraId="1C608EF0">
            <w:pPr>
              <w:keepNext w:val="0"/>
              <w:keepLines w:val="0"/>
              <w:pageBreakBefore w:val="0"/>
              <w:widowControl/>
              <w:kinsoku/>
              <w:wordWrap/>
              <w:overflowPunct/>
              <w:topLinePunct w:val="0"/>
              <w:autoSpaceDE/>
              <w:autoSpaceDN/>
              <w:bidi w:val="0"/>
              <w:snapToGrid w:val="0"/>
              <w:spacing w:line="240" w:lineRule="auto"/>
              <w:textAlignment w:val="auto"/>
              <w:rPr>
                <w:rFonts w:hint="eastAsia" w:ascii="仿宋" w:hAnsi="仿宋" w:eastAsia="仿宋" w:cs="仿宋"/>
                <w:sz w:val="24"/>
                <w:szCs w:val="24"/>
              </w:rPr>
            </w:pPr>
            <w:r>
              <w:rPr>
                <w:rFonts w:hint="eastAsia" w:ascii="仿宋" w:hAnsi="仿宋" w:eastAsia="仿宋" w:cs="仿宋"/>
                <w:bCs/>
                <w:color w:val="auto"/>
                <w:sz w:val="24"/>
                <w:szCs w:val="24"/>
              </w:rPr>
              <w:t>知道层次：</w:t>
            </w:r>
            <w:r>
              <w:rPr>
                <w:rFonts w:hint="eastAsia" w:ascii="仿宋" w:hAnsi="仿宋" w:eastAsia="仿宋" w:cs="仿宋"/>
                <w:sz w:val="24"/>
                <w:szCs w:val="24"/>
              </w:rPr>
              <w:t>使学生了解艺术营销项目的策划思路与方法、方案设计、执行计划等知识点。</w:t>
            </w:r>
          </w:p>
          <w:p w14:paraId="1C1957B0">
            <w:pPr>
              <w:keepNext w:val="0"/>
              <w:keepLines w:val="0"/>
              <w:pageBreakBefore w:val="0"/>
              <w:widowControl/>
              <w:kinsoku/>
              <w:wordWrap/>
              <w:overflowPunct/>
              <w:topLinePunct w:val="0"/>
              <w:autoSpaceDE/>
              <w:autoSpaceDN/>
              <w:bidi w:val="0"/>
              <w:snapToGrid w:val="0"/>
              <w:spacing w:line="240" w:lineRule="auto"/>
              <w:textAlignment w:val="auto"/>
              <w:rPr>
                <w:rFonts w:hint="eastAsia" w:ascii="仿宋" w:hAnsi="仿宋" w:eastAsia="仿宋" w:cs="仿宋"/>
                <w:sz w:val="24"/>
                <w:szCs w:val="24"/>
              </w:rPr>
            </w:pPr>
            <w:r>
              <w:rPr>
                <w:rFonts w:hint="eastAsia" w:ascii="仿宋" w:hAnsi="仿宋" w:eastAsia="仿宋" w:cs="仿宋"/>
                <w:bCs/>
                <w:color w:val="auto"/>
                <w:sz w:val="24"/>
                <w:szCs w:val="24"/>
              </w:rPr>
              <w:t>领会层次：</w:t>
            </w:r>
            <w:r>
              <w:rPr>
                <w:rFonts w:hint="eastAsia" w:ascii="仿宋" w:hAnsi="仿宋" w:eastAsia="仿宋" w:cs="仿宋"/>
                <w:sz w:val="24"/>
                <w:szCs w:val="24"/>
              </w:rPr>
              <w:t>使学生掌握具体艺术营销项目的策划思路与方法、方案设计、执行计划等。</w:t>
            </w:r>
          </w:p>
          <w:p w14:paraId="0DC1A355">
            <w:pPr>
              <w:keepNext w:val="0"/>
              <w:keepLines w:val="0"/>
              <w:pageBreakBefore w:val="0"/>
              <w:widowControl/>
              <w:suppressLineNumbers w:val="0"/>
              <w:kinsoku/>
              <w:wordWrap/>
              <w:overflowPunct/>
              <w:topLinePunct w:val="0"/>
              <w:autoSpaceDE/>
              <w:autoSpaceDN/>
              <w:bidi w:val="0"/>
              <w:snapToGrid w:val="0"/>
              <w:spacing w:line="240" w:lineRule="auto"/>
              <w:jc w:val="left"/>
              <w:textAlignment w:val="auto"/>
              <w:rPr>
                <w:rFonts w:hint="eastAsia" w:ascii="仿宋" w:hAnsi="仿宋" w:eastAsia="仿宋" w:cs="仿宋"/>
                <w:bCs/>
                <w:color w:val="auto"/>
                <w:sz w:val="24"/>
                <w:szCs w:val="24"/>
              </w:rPr>
            </w:pPr>
            <w:r>
              <w:rPr>
                <w:rFonts w:hint="eastAsia" w:ascii="仿宋" w:hAnsi="仿宋" w:eastAsia="仿宋" w:cs="仿宋"/>
                <w:bCs/>
                <w:color w:val="auto"/>
                <w:sz w:val="24"/>
                <w:szCs w:val="24"/>
              </w:rPr>
              <w:t>应用层次：</w:t>
            </w:r>
            <w:r>
              <w:rPr>
                <w:rFonts w:hint="eastAsia" w:ascii="仿宋" w:hAnsi="仿宋" w:eastAsia="仿宋" w:cs="仿宋"/>
                <w:sz w:val="24"/>
                <w:szCs w:val="24"/>
              </w:rPr>
              <w:t>使学生从案例中学习应用艺术营销项目的策划思路与方法、方案设计、执行计划等。</w:t>
            </w:r>
          </w:p>
        </w:tc>
        <w:tc>
          <w:tcPr>
            <w:tcW w:w="1200" w:type="dxa"/>
            <w:gridSpan w:val="3"/>
            <w:shd w:val="clear" w:color="auto" w:fill="auto"/>
            <w:noWrap w:val="0"/>
            <w:vAlign w:val="center"/>
          </w:tcPr>
          <w:p w14:paraId="21509C63">
            <w:pPr>
              <w:widowControl/>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tc>
        <w:tc>
          <w:tcPr>
            <w:tcW w:w="1127" w:type="dxa"/>
            <w:shd w:val="clear" w:color="auto" w:fill="FFFFFF"/>
            <w:noWrap w:val="0"/>
            <w:vAlign w:val="center"/>
          </w:tcPr>
          <w:p w14:paraId="795C17FF">
            <w:pPr>
              <w:adjustRightInd w:val="0"/>
              <w:snapToGrid w:val="0"/>
              <w:jc w:val="center"/>
              <w:rPr>
                <w:rFonts w:hint="eastAsia" w:ascii="仿宋" w:hAnsi="仿宋" w:eastAsia="仿宋" w:cs="仿宋"/>
                <w:color w:val="auto"/>
                <w:sz w:val="24"/>
                <w:szCs w:val="24"/>
              </w:rPr>
            </w:pPr>
            <w:r>
              <w:rPr>
                <w:rFonts w:hint="default" w:ascii="仿宋" w:hAnsi="仿宋" w:eastAsia="仿宋" w:cs="仿宋"/>
                <w:color w:val="auto"/>
                <w:sz w:val="24"/>
                <w:szCs w:val="24"/>
              </w:rPr>
              <w:t>4</w:t>
            </w:r>
          </w:p>
        </w:tc>
      </w:tr>
      <w:tr w14:paraId="35270E76">
        <w:trPr>
          <w:trHeight w:val="454" w:hRule="atLeast"/>
        </w:trPr>
        <w:tc>
          <w:tcPr>
            <w:tcW w:w="1075" w:type="dxa"/>
            <w:vMerge w:val="continue"/>
            <w:shd w:val="clear" w:color="auto" w:fill="FFFFFF"/>
            <w:noWrap w:val="0"/>
            <w:vAlign w:val="center"/>
          </w:tcPr>
          <w:p w14:paraId="1B21271D">
            <w:pPr>
              <w:adjustRightInd w:val="0"/>
              <w:snapToGrid w:val="0"/>
              <w:spacing w:line="240" w:lineRule="atLeast"/>
              <w:jc w:val="right"/>
              <w:rPr>
                <w:rFonts w:hint="eastAsia" w:ascii="仿宋" w:hAnsi="仿宋" w:eastAsia="仿宋" w:cs="仿宋"/>
                <w:color w:val="auto"/>
                <w:sz w:val="24"/>
                <w:szCs w:val="24"/>
              </w:rPr>
            </w:pPr>
          </w:p>
        </w:tc>
        <w:tc>
          <w:tcPr>
            <w:tcW w:w="6497" w:type="dxa"/>
            <w:gridSpan w:val="10"/>
            <w:shd w:val="clear" w:color="auto" w:fill="auto"/>
            <w:noWrap w:val="0"/>
            <w:vAlign w:val="center"/>
          </w:tcPr>
          <w:p w14:paraId="788F2289">
            <w:pPr>
              <w:keepNext w:val="0"/>
              <w:keepLines w:val="0"/>
              <w:pageBreakBefore w:val="0"/>
              <w:widowControl/>
              <w:numPr>
                <w:ilvl w:val="0"/>
                <w:numId w:val="0"/>
              </w:numPr>
              <w:kinsoku/>
              <w:wordWrap/>
              <w:overflowPunct/>
              <w:topLinePunct w:val="0"/>
              <w:autoSpaceDE/>
              <w:autoSpaceDN/>
              <w:bidi w:val="0"/>
              <w:snapToGrid w:val="0"/>
              <w:spacing w:line="240" w:lineRule="auto"/>
              <w:ind w:left="0"/>
              <w:textAlignment w:val="auto"/>
              <w:rPr>
                <w:rFonts w:hint="eastAsia" w:ascii="华文仿宋" w:hAnsi="华文仿宋" w:eastAsia="华文仿宋" w:cs="华文仿宋"/>
                <w:bCs/>
                <w:color w:val="auto"/>
                <w:sz w:val="24"/>
                <w:szCs w:val="24"/>
              </w:rPr>
            </w:pPr>
            <w:r>
              <w:rPr>
                <w:rFonts w:hint="eastAsia" w:ascii="华文仿宋" w:hAnsi="华文仿宋" w:eastAsia="华文仿宋" w:cs="华文仿宋"/>
                <w:bCs/>
                <w:color w:val="auto"/>
                <w:sz w:val="24"/>
                <w:szCs w:val="24"/>
              </w:rPr>
              <w:t xml:space="preserve">第五章 </w:t>
            </w:r>
            <w:r>
              <w:rPr>
                <w:rFonts w:hint="eastAsia" w:ascii="华文仿宋" w:hAnsi="华文仿宋" w:eastAsia="华文仿宋" w:cs="华文仿宋"/>
                <w:sz w:val="24"/>
                <w:szCs w:val="24"/>
              </w:rPr>
              <w:t>艺术创意项目策划</w:t>
            </w:r>
          </w:p>
          <w:p w14:paraId="2F1C7066">
            <w:pPr>
              <w:keepNext w:val="0"/>
              <w:keepLines w:val="0"/>
              <w:pageBreakBefore w:val="0"/>
              <w:widowControl/>
              <w:numPr>
                <w:ilvl w:val="0"/>
                <w:numId w:val="0"/>
              </w:numPr>
              <w:kinsoku/>
              <w:wordWrap/>
              <w:overflowPunct/>
              <w:topLinePunct w:val="0"/>
              <w:autoSpaceDE/>
              <w:autoSpaceDN/>
              <w:bidi w:val="0"/>
              <w:snapToGrid w:val="0"/>
              <w:spacing w:line="240" w:lineRule="auto"/>
              <w:ind w:left="0" w:leftChars="0"/>
              <w:textAlignment w:val="auto"/>
              <w:rPr>
                <w:rFonts w:hint="eastAsia" w:ascii="华文仿宋" w:hAnsi="华文仿宋" w:eastAsia="华文仿宋" w:cs="华文仿宋"/>
                <w:b w:val="0"/>
                <w:bCs/>
                <w:color w:val="auto"/>
                <w:sz w:val="24"/>
                <w:szCs w:val="24"/>
              </w:rPr>
            </w:pPr>
            <w:r>
              <w:rPr>
                <w:rFonts w:hint="eastAsia" w:ascii="华文仿宋" w:hAnsi="华文仿宋" w:eastAsia="华文仿宋" w:cs="华文仿宋"/>
                <w:b w:val="0"/>
                <w:bCs/>
                <w:color w:val="auto"/>
                <w:sz w:val="24"/>
                <w:szCs w:val="24"/>
              </w:rPr>
              <w:t>学习内容：</w:t>
            </w:r>
          </w:p>
          <w:p w14:paraId="34BE4FE8">
            <w:pPr>
              <w:keepNext w:val="0"/>
              <w:keepLines w:val="0"/>
              <w:pageBreakBefore w:val="0"/>
              <w:widowControl/>
              <w:numPr>
                <w:ilvl w:val="0"/>
                <w:numId w:val="0"/>
              </w:numPr>
              <w:kinsoku/>
              <w:wordWrap/>
              <w:overflowPunct/>
              <w:topLinePunct w:val="0"/>
              <w:autoSpaceDE/>
              <w:autoSpaceDN/>
              <w:bidi w:val="0"/>
              <w:snapToGrid w:val="0"/>
              <w:spacing w:line="240" w:lineRule="auto"/>
              <w:ind w:left="0" w:leftChars="0" w:firstLine="480" w:firstLineChars="200"/>
              <w:textAlignment w:val="auto"/>
              <w:rPr>
                <w:rFonts w:hint="eastAsia" w:ascii="华文仿宋" w:hAnsi="华文仿宋" w:eastAsia="华文仿宋" w:cs="华文仿宋"/>
                <w:snapToGrid w:val="0"/>
                <w:kern w:val="32"/>
                <w:sz w:val="24"/>
                <w:szCs w:val="24"/>
              </w:rPr>
            </w:pPr>
            <w:r>
              <w:rPr>
                <w:rFonts w:hint="eastAsia" w:ascii="华文仿宋" w:hAnsi="华文仿宋" w:eastAsia="华文仿宋" w:cs="华文仿宋"/>
                <w:b w:val="0"/>
                <w:bCs/>
                <w:color w:val="auto"/>
                <w:sz w:val="24"/>
                <w:szCs w:val="24"/>
              </w:rPr>
              <w:t xml:space="preserve">第一节 </w:t>
            </w:r>
            <w:r>
              <w:rPr>
                <w:rFonts w:hint="eastAsia" w:ascii="华文仿宋" w:hAnsi="华文仿宋" w:eastAsia="华文仿宋" w:cs="华文仿宋"/>
                <w:snapToGrid w:val="0"/>
                <w:kern w:val="32"/>
                <w:sz w:val="24"/>
                <w:szCs w:val="24"/>
              </w:rPr>
              <w:t>“校园百老汇第一季”原创小剧场音乐剧高校巡演</w:t>
            </w:r>
          </w:p>
          <w:p w14:paraId="3E86F20C">
            <w:pPr>
              <w:keepNext w:val="0"/>
              <w:keepLines w:val="0"/>
              <w:pageBreakBefore w:val="0"/>
              <w:widowControl/>
              <w:numPr>
                <w:ilvl w:val="0"/>
                <w:numId w:val="0"/>
              </w:numPr>
              <w:kinsoku/>
              <w:wordWrap/>
              <w:overflowPunct/>
              <w:topLinePunct w:val="0"/>
              <w:autoSpaceDE/>
              <w:autoSpaceDN/>
              <w:bidi w:val="0"/>
              <w:snapToGrid w:val="0"/>
              <w:spacing w:line="240" w:lineRule="auto"/>
              <w:ind w:left="0" w:leftChars="0" w:firstLine="480" w:firstLineChars="200"/>
              <w:textAlignment w:val="auto"/>
              <w:rPr>
                <w:rFonts w:hint="eastAsia" w:ascii="华文仿宋" w:hAnsi="华文仿宋" w:eastAsia="华文仿宋" w:cs="华文仿宋"/>
                <w:snapToGrid w:val="0"/>
                <w:kern w:val="32"/>
                <w:sz w:val="24"/>
                <w:szCs w:val="24"/>
              </w:rPr>
            </w:pPr>
            <w:r>
              <w:rPr>
                <w:rFonts w:hint="eastAsia" w:ascii="华文仿宋" w:hAnsi="华文仿宋" w:eastAsia="华文仿宋" w:cs="华文仿宋"/>
                <w:snapToGrid w:val="0"/>
                <w:kern w:val="32"/>
                <w:sz w:val="24"/>
                <w:szCs w:val="24"/>
              </w:rPr>
              <w:t>第二节 “Next  station  is”艺体流动空间</w:t>
            </w:r>
          </w:p>
          <w:p w14:paraId="3CCDBED1">
            <w:pPr>
              <w:keepNext w:val="0"/>
              <w:keepLines w:val="0"/>
              <w:pageBreakBefore w:val="0"/>
              <w:widowControl/>
              <w:numPr>
                <w:ilvl w:val="0"/>
                <w:numId w:val="0"/>
              </w:numPr>
              <w:kinsoku/>
              <w:wordWrap/>
              <w:overflowPunct/>
              <w:topLinePunct w:val="0"/>
              <w:autoSpaceDE/>
              <w:autoSpaceDN/>
              <w:bidi w:val="0"/>
              <w:snapToGrid w:val="0"/>
              <w:spacing w:line="240" w:lineRule="auto"/>
              <w:ind w:left="0" w:leftChars="0" w:firstLine="480" w:firstLineChars="200"/>
              <w:textAlignment w:val="auto"/>
              <w:rPr>
                <w:rFonts w:hint="eastAsia" w:ascii="华文仿宋" w:hAnsi="华文仿宋" w:eastAsia="华文仿宋" w:cs="华文仿宋"/>
                <w:snapToGrid w:val="0"/>
                <w:kern w:val="32"/>
                <w:sz w:val="24"/>
                <w:szCs w:val="24"/>
              </w:rPr>
            </w:pPr>
            <w:r>
              <w:rPr>
                <w:rFonts w:hint="eastAsia" w:ascii="华文仿宋" w:hAnsi="华文仿宋" w:eastAsia="华文仿宋" w:cs="华文仿宋"/>
                <w:snapToGrid w:val="0"/>
                <w:kern w:val="32"/>
                <w:sz w:val="24"/>
                <w:szCs w:val="24"/>
              </w:rPr>
              <w:t>第三节  天津五月音乐节</w:t>
            </w:r>
          </w:p>
          <w:p w14:paraId="5A01A6A1">
            <w:pPr>
              <w:keepNext w:val="0"/>
              <w:keepLines w:val="0"/>
              <w:pageBreakBefore w:val="0"/>
              <w:widowControl/>
              <w:kinsoku/>
              <w:wordWrap/>
              <w:overflowPunct/>
              <w:topLinePunct w:val="0"/>
              <w:autoSpaceDE/>
              <w:autoSpaceDN/>
              <w:bidi w:val="0"/>
              <w:snapToGrid w:val="0"/>
              <w:spacing w:line="240" w:lineRule="auto"/>
              <w:ind w:left="0" w:firstLine="480" w:firstLineChars="200"/>
              <w:textAlignment w:val="auto"/>
              <w:rPr>
                <w:rFonts w:hint="eastAsia" w:ascii="华文仿宋" w:hAnsi="华文仿宋" w:eastAsia="华文仿宋" w:cs="华文仿宋"/>
                <w:kern w:val="0"/>
                <w:sz w:val="24"/>
                <w:szCs w:val="24"/>
              </w:rPr>
            </w:pPr>
            <w:r>
              <w:rPr>
                <w:rFonts w:hint="eastAsia" w:ascii="华文仿宋" w:hAnsi="华文仿宋" w:eastAsia="华文仿宋" w:cs="华文仿宋"/>
                <w:snapToGrid w:val="0"/>
                <w:kern w:val="32"/>
                <w:sz w:val="24"/>
                <w:szCs w:val="24"/>
              </w:rPr>
              <w:t xml:space="preserve">第四节  </w:t>
            </w:r>
            <w:r>
              <w:rPr>
                <w:rFonts w:hint="eastAsia" w:ascii="华文仿宋" w:hAnsi="华文仿宋" w:eastAsia="华文仿宋" w:cs="华文仿宋"/>
                <w:kern w:val="0"/>
                <w:sz w:val="24"/>
                <w:szCs w:val="24"/>
              </w:rPr>
              <w:t>方案点评</w:t>
            </w:r>
          </w:p>
          <w:p w14:paraId="25159538">
            <w:pPr>
              <w:keepNext w:val="0"/>
              <w:keepLines w:val="0"/>
              <w:pageBreakBefore w:val="0"/>
              <w:widowControl/>
              <w:kinsoku/>
              <w:wordWrap/>
              <w:overflowPunct/>
              <w:topLinePunct w:val="0"/>
              <w:autoSpaceDE/>
              <w:autoSpaceDN/>
              <w:bidi w:val="0"/>
              <w:snapToGrid w:val="0"/>
              <w:spacing w:line="240" w:lineRule="auto"/>
              <w:ind w:left="0"/>
              <w:textAlignment w:val="auto"/>
              <w:rPr>
                <w:rFonts w:hint="eastAsia" w:ascii="华文仿宋" w:hAnsi="华文仿宋" w:eastAsia="华文仿宋" w:cs="华文仿宋"/>
                <w:bCs/>
                <w:color w:val="auto"/>
                <w:sz w:val="24"/>
                <w:szCs w:val="24"/>
              </w:rPr>
            </w:pPr>
            <w:r>
              <w:rPr>
                <w:rFonts w:hint="eastAsia" w:ascii="华文仿宋" w:hAnsi="华文仿宋" w:eastAsia="华文仿宋" w:cs="华文仿宋"/>
                <w:bCs/>
                <w:color w:val="auto"/>
                <w:sz w:val="24"/>
                <w:szCs w:val="24"/>
              </w:rPr>
              <w:t>知道层次：</w:t>
            </w:r>
            <w:r>
              <w:rPr>
                <w:rFonts w:hint="eastAsia" w:ascii="华文仿宋" w:hAnsi="华文仿宋" w:eastAsia="华文仿宋" w:cs="华文仿宋"/>
                <w:sz w:val="24"/>
                <w:szCs w:val="24"/>
              </w:rPr>
              <w:t>使学生了解艺术创意项目策划思路与方法、方案设计、执行计划等知识点。</w:t>
            </w:r>
          </w:p>
          <w:p w14:paraId="616E40CD">
            <w:pPr>
              <w:keepNext w:val="0"/>
              <w:keepLines w:val="0"/>
              <w:pageBreakBefore w:val="0"/>
              <w:kinsoku/>
              <w:wordWrap/>
              <w:overflowPunct/>
              <w:topLinePunct w:val="0"/>
              <w:autoSpaceDE/>
              <w:autoSpaceDN/>
              <w:bidi w:val="0"/>
              <w:adjustRightInd w:val="0"/>
              <w:snapToGrid w:val="0"/>
              <w:spacing w:line="240" w:lineRule="auto"/>
              <w:ind w:left="0"/>
              <w:textAlignment w:val="auto"/>
              <w:rPr>
                <w:rFonts w:hint="eastAsia" w:ascii="华文仿宋" w:hAnsi="华文仿宋" w:eastAsia="华文仿宋" w:cs="华文仿宋"/>
                <w:bCs/>
                <w:color w:val="auto"/>
                <w:sz w:val="24"/>
                <w:szCs w:val="24"/>
              </w:rPr>
            </w:pPr>
            <w:r>
              <w:rPr>
                <w:rFonts w:hint="eastAsia" w:ascii="华文仿宋" w:hAnsi="华文仿宋" w:eastAsia="华文仿宋" w:cs="华文仿宋"/>
                <w:bCs/>
                <w:color w:val="auto"/>
                <w:sz w:val="24"/>
                <w:szCs w:val="24"/>
              </w:rPr>
              <w:t>领会层次：</w:t>
            </w:r>
            <w:r>
              <w:rPr>
                <w:rFonts w:hint="eastAsia" w:ascii="华文仿宋" w:hAnsi="华文仿宋" w:eastAsia="华文仿宋" w:cs="华文仿宋"/>
                <w:sz w:val="24"/>
                <w:szCs w:val="24"/>
              </w:rPr>
              <w:t>使学生掌握项目策划思路与方法、项目内容分析、市场与观众分析、执行计划等。</w:t>
            </w:r>
          </w:p>
          <w:p w14:paraId="024D441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val="0"/>
              <w:spacing w:before="0" w:beforeAutospacing="0" w:after="0" w:afterAutospacing="0" w:line="240" w:lineRule="auto"/>
              <w:ind w:left="0" w:right="0" w:firstLine="0"/>
              <w:jc w:val="left"/>
              <w:textAlignment w:val="auto"/>
              <w:rPr>
                <w:rFonts w:hint="eastAsia" w:ascii="华文仿宋" w:hAnsi="华文仿宋" w:eastAsia="华文仿宋" w:cs="华文仿宋"/>
                <w:bCs/>
                <w:color w:val="auto"/>
                <w:sz w:val="24"/>
                <w:szCs w:val="24"/>
              </w:rPr>
            </w:pPr>
            <w:r>
              <w:rPr>
                <w:rFonts w:hint="eastAsia" w:ascii="华文仿宋" w:hAnsi="华文仿宋" w:eastAsia="华文仿宋" w:cs="华文仿宋"/>
                <w:bCs/>
                <w:color w:val="auto"/>
                <w:sz w:val="24"/>
                <w:szCs w:val="24"/>
              </w:rPr>
              <w:t>应用层次：</w:t>
            </w:r>
            <w:r>
              <w:rPr>
                <w:rFonts w:hint="eastAsia" w:ascii="华文仿宋" w:hAnsi="华文仿宋" w:eastAsia="华文仿宋" w:cs="华文仿宋"/>
                <w:sz w:val="24"/>
                <w:szCs w:val="24"/>
              </w:rPr>
              <w:t>使学生能从这些案例中学习项目策划思路与方法、项目内容分析、市场与观众分析、执行计划等。</w:t>
            </w:r>
          </w:p>
        </w:tc>
        <w:tc>
          <w:tcPr>
            <w:tcW w:w="1200" w:type="dxa"/>
            <w:gridSpan w:val="3"/>
            <w:shd w:val="clear" w:color="auto" w:fill="auto"/>
            <w:noWrap w:val="0"/>
            <w:vAlign w:val="center"/>
          </w:tcPr>
          <w:p w14:paraId="4509A16F">
            <w:pPr>
              <w:widowControl/>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tc>
        <w:tc>
          <w:tcPr>
            <w:tcW w:w="1127" w:type="dxa"/>
            <w:shd w:val="clear" w:color="auto" w:fill="FFFFFF"/>
            <w:noWrap w:val="0"/>
            <w:vAlign w:val="center"/>
          </w:tcPr>
          <w:p w14:paraId="58129557">
            <w:pPr>
              <w:adjustRightInd w:val="0"/>
              <w:snapToGrid w:val="0"/>
              <w:jc w:val="center"/>
              <w:rPr>
                <w:rFonts w:hint="eastAsia" w:ascii="仿宋" w:hAnsi="仿宋" w:eastAsia="仿宋" w:cs="仿宋"/>
                <w:color w:val="auto"/>
                <w:sz w:val="24"/>
                <w:szCs w:val="24"/>
              </w:rPr>
            </w:pPr>
            <w:r>
              <w:rPr>
                <w:rFonts w:hint="default" w:ascii="仿宋" w:hAnsi="仿宋" w:eastAsia="仿宋" w:cs="仿宋"/>
                <w:color w:val="auto"/>
                <w:sz w:val="24"/>
                <w:szCs w:val="24"/>
                <w:lang w:val="en-US"/>
              </w:rPr>
              <w:t>6</w:t>
            </w:r>
          </w:p>
        </w:tc>
      </w:tr>
      <w:tr w14:paraId="681A8284">
        <w:trPr>
          <w:trHeight w:val="454" w:hRule="atLeast"/>
        </w:trPr>
        <w:tc>
          <w:tcPr>
            <w:tcW w:w="1075" w:type="dxa"/>
            <w:vMerge w:val="continue"/>
            <w:shd w:val="clear" w:color="auto" w:fill="FFFFFF"/>
            <w:noWrap w:val="0"/>
            <w:vAlign w:val="center"/>
          </w:tcPr>
          <w:p w14:paraId="0BDF3CC7">
            <w:pPr>
              <w:adjustRightInd w:val="0"/>
              <w:snapToGrid w:val="0"/>
              <w:spacing w:line="240" w:lineRule="atLeast"/>
              <w:jc w:val="right"/>
              <w:rPr>
                <w:rFonts w:hint="eastAsia" w:ascii="仿宋" w:hAnsi="仿宋" w:eastAsia="仿宋" w:cs="仿宋"/>
                <w:color w:val="auto"/>
                <w:sz w:val="24"/>
                <w:szCs w:val="24"/>
              </w:rPr>
            </w:pPr>
          </w:p>
        </w:tc>
        <w:tc>
          <w:tcPr>
            <w:tcW w:w="6497" w:type="dxa"/>
            <w:gridSpan w:val="10"/>
            <w:shd w:val="clear" w:color="auto" w:fill="auto"/>
            <w:noWrap w:val="0"/>
            <w:vAlign w:val="center"/>
          </w:tcPr>
          <w:p w14:paraId="287ACB7F">
            <w:pPr>
              <w:keepNext w:val="0"/>
              <w:keepLines w:val="0"/>
              <w:pageBreakBefore w:val="0"/>
              <w:widowControl/>
              <w:kinsoku/>
              <w:wordWrap/>
              <w:overflowPunct/>
              <w:topLinePunct w:val="0"/>
              <w:autoSpaceDE/>
              <w:autoSpaceDN/>
              <w:bidi w:val="0"/>
              <w:snapToGrid w:val="0"/>
              <w:spacing w:line="240" w:lineRule="auto"/>
              <w:ind w:left="0"/>
              <w:textAlignment w:val="auto"/>
              <w:rPr>
                <w:rFonts w:hint="eastAsia" w:ascii="仿宋" w:hAnsi="仿宋" w:eastAsia="仿宋" w:cs="仿宋"/>
                <w:bCs/>
                <w:color w:val="auto"/>
                <w:sz w:val="24"/>
                <w:szCs w:val="24"/>
              </w:rPr>
            </w:pPr>
            <w:r>
              <w:rPr>
                <w:rFonts w:hint="eastAsia" w:ascii="华文仿宋" w:hAnsi="华文仿宋" w:eastAsia="华文仿宋" w:cs="华文仿宋"/>
                <w:bCs/>
                <w:color w:val="auto"/>
                <w:sz w:val="24"/>
                <w:szCs w:val="24"/>
              </w:rPr>
              <w:t xml:space="preserve">第六章 </w:t>
            </w:r>
            <w:r>
              <w:rPr>
                <w:rFonts w:hint="eastAsia" w:ascii="仿宋" w:hAnsi="仿宋" w:eastAsia="仿宋" w:cs="仿宋"/>
                <w:sz w:val="24"/>
                <w:szCs w:val="24"/>
              </w:rPr>
              <w:t>艺术节庆项目策划</w:t>
            </w:r>
          </w:p>
          <w:p w14:paraId="38C2D6C6">
            <w:pPr>
              <w:keepNext w:val="0"/>
              <w:keepLines w:val="0"/>
              <w:pageBreakBefore w:val="0"/>
              <w:widowControl/>
              <w:kinsoku/>
              <w:wordWrap/>
              <w:overflowPunct/>
              <w:topLinePunct w:val="0"/>
              <w:autoSpaceDE/>
              <w:autoSpaceDN/>
              <w:bidi w:val="0"/>
              <w:snapToGrid w:val="0"/>
              <w:spacing w:line="240" w:lineRule="auto"/>
              <w:ind w:left="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学习内容：</w:t>
            </w:r>
          </w:p>
          <w:p w14:paraId="06ABD8DA">
            <w:pPr>
              <w:keepNext w:val="0"/>
              <w:keepLines w:val="0"/>
              <w:pageBreakBefore w:val="0"/>
              <w:widowControl/>
              <w:numPr>
                <w:ilvl w:val="0"/>
                <w:numId w:val="48"/>
              </w:numPr>
              <w:kinsoku/>
              <w:wordWrap/>
              <w:overflowPunct/>
              <w:topLinePunct w:val="0"/>
              <w:autoSpaceDE/>
              <w:autoSpaceDN/>
              <w:bidi w:val="0"/>
              <w:snapToGrid w:val="0"/>
              <w:spacing w:line="240" w:lineRule="auto"/>
              <w:ind w:left="0" w:firstLine="480" w:firstLineChars="200"/>
              <w:textAlignment w:val="auto"/>
              <w:rPr>
                <w:rFonts w:hint="eastAsia" w:ascii="仿宋" w:hAnsi="仿宋" w:eastAsia="仿宋" w:cs="仿宋"/>
                <w:snapToGrid w:val="0"/>
                <w:kern w:val="32"/>
                <w:sz w:val="24"/>
                <w:szCs w:val="24"/>
              </w:rPr>
            </w:pPr>
            <w:r>
              <w:rPr>
                <w:rFonts w:hint="eastAsia" w:ascii="仿宋" w:hAnsi="仿宋" w:eastAsia="仿宋" w:cs="仿宋"/>
                <w:sz w:val="24"/>
                <w:szCs w:val="24"/>
              </w:rPr>
              <w:t>文化传承  金陵印象：</w:t>
            </w:r>
            <w:r>
              <w:rPr>
                <w:rFonts w:hint="eastAsia" w:ascii="仿宋" w:hAnsi="仿宋" w:eastAsia="仿宋" w:cs="仿宋"/>
                <w:snapToGrid w:val="0"/>
                <w:kern w:val="32"/>
                <w:sz w:val="24"/>
                <w:szCs w:val="24"/>
              </w:rPr>
              <w:t>南京民国文化艺术节</w:t>
            </w:r>
          </w:p>
          <w:p w14:paraId="6A5942C0">
            <w:pPr>
              <w:keepNext w:val="0"/>
              <w:keepLines w:val="0"/>
              <w:pageBreakBefore w:val="0"/>
              <w:widowControl/>
              <w:numPr>
                <w:ilvl w:val="0"/>
                <w:numId w:val="48"/>
              </w:numPr>
              <w:kinsoku/>
              <w:wordWrap/>
              <w:overflowPunct/>
              <w:topLinePunct w:val="0"/>
              <w:autoSpaceDE/>
              <w:autoSpaceDN/>
              <w:bidi w:val="0"/>
              <w:snapToGrid w:val="0"/>
              <w:spacing w:line="240" w:lineRule="auto"/>
              <w:ind w:left="0" w:firstLine="480" w:firstLineChars="200"/>
              <w:textAlignment w:val="auto"/>
              <w:rPr>
                <w:rFonts w:hint="eastAsia" w:ascii="仿宋" w:hAnsi="仿宋" w:eastAsia="仿宋" w:cs="仿宋"/>
                <w:snapToGrid w:val="0"/>
                <w:kern w:val="32"/>
                <w:sz w:val="24"/>
                <w:szCs w:val="24"/>
              </w:rPr>
            </w:pPr>
            <w:r>
              <w:rPr>
                <w:rFonts w:hint="eastAsia" w:ascii="仿宋" w:hAnsi="仿宋" w:eastAsia="仿宋" w:cs="仿宋"/>
                <w:snapToGrid w:val="0"/>
                <w:kern w:val="32"/>
                <w:sz w:val="24"/>
                <w:szCs w:val="24"/>
              </w:rPr>
              <w:t>“梦回南越”：南越古国音乐文化节</w:t>
            </w:r>
          </w:p>
          <w:p w14:paraId="1D9E8494">
            <w:pPr>
              <w:keepNext w:val="0"/>
              <w:keepLines w:val="0"/>
              <w:pageBreakBefore w:val="0"/>
              <w:widowControl/>
              <w:numPr>
                <w:ilvl w:val="0"/>
                <w:numId w:val="48"/>
              </w:numPr>
              <w:kinsoku/>
              <w:wordWrap/>
              <w:overflowPunct/>
              <w:topLinePunct w:val="0"/>
              <w:autoSpaceDE/>
              <w:autoSpaceDN/>
              <w:bidi w:val="0"/>
              <w:snapToGrid w:val="0"/>
              <w:spacing w:line="240" w:lineRule="auto"/>
              <w:ind w:left="0" w:firstLine="480" w:firstLineChars="200"/>
              <w:textAlignment w:val="auto"/>
              <w:rPr>
                <w:rFonts w:hint="eastAsia" w:ascii="仿宋" w:hAnsi="仿宋" w:eastAsia="仿宋" w:cs="仿宋"/>
                <w:snapToGrid w:val="0"/>
                <w:kern w:val="32"/>
                <w:sz w:val="24"/>
                <w:szCs w:val="24"/>
              </w:rPr>
            </w:pPr>
            <w:r>
              <w:rPr>
                <w:rFonts w:hint="eastAsia" w:ascii="仿宋" w:hAnsi="仿宋" w:eastAsia="仿宋" w:cs="仿宋"/>
                <w:snapToGrid w:val="0"/>
                <w:kern w:val="32"/>
                <w:sz w:val="24"/>
                <w:szCs w:val="24"/>
              </w:rPr>
              <w:t>戏飞明湖  声震泉都：济南地方戏曲文化艺术节方案点评</w:t>
            </w:r>
          </w:p>
          <w:p w14:paraId="018A67B9">
            <w:pPr>
              <w:keepNext w:val="0"/>
              <w:keepLines w:val="0"/>
              <w:pageBreakBefore w:val="0"/>
              <w:numPr>
                <w:ilvl w:val="0"/>
                <w:numId w:val="0"/>
              </w:numPr>
              <w:kinsoku/>
              <w:wordWrap/>
              <w:overflowPunct/>
              <w:topLinePunct w:val="0"/>
              <w:autoSpaceDE/>
              <w:autoSpaceDN/>
              <w:bidi w:val="0"/>
              <w:adjustRightInd w:val="0"/>
              <w:snapToGrid w:val="0"/>
              <w:spacing w:line="240" w:lineRule="auto"/>
              <w:ind w:left="0"/>
              <w:textAlignment w:val="auto"/>
              <w:rPr>
                <w:rFonts w:hint="eastAsia" w:ascii="仿宋" w:hAnsi="仿宋" w:eastAsia="仿宋" w:cs="仿宋"/>
                <w:bCs/>
                <w:color w:val="auto"/>
                <w:sz w:val="24"/>
                <w:szCs w:val="24"/>
              </w:rPr>
            </w:pPr>
            <w:r>
              <w:rPr>
                <w:rFonts w:hint="eastAsia" w:ascii="仿宋" w:hAnsi="仿宋" w:eastAsia="仿宋" w:cs="仿宋"/>
                <w:bCs/>
                <w:color w:val="auto"/>
                <w:sz w:val="24"/>
                <w:szCs w:val="24"/>
              </w:rPr>
              <w:t>知道层次：</w:t>
            </w:r>
            <w:r>
              <w:rPr>
                <w:rFonts w:hint="eastAsia" w:ascii="仿宋" w:hAnsi="仿宋" w:eastAsia="仿宋" w:cs="仿宋"/>
                <w:sz w:val="24"/>
                <w:szCs w:val="24"/>
              </w:rPr>
              <w:t>使学生了解项目策划思路与方法、项目内容分析、市场与观众分析、执行计划等。</w:t>
            </w:r>
          </w:p>
          <w:p w14:paraId="3E35FD6C">
            <w:pPr>
              <w:keepNext w:val="0"/>
              <w:keepLines w:val="0"/>
              <w:pageBreakBefore w:val="0"/>
              <w:numPr>
                <w:ilvl w:val="0"/>
                <w:numId w:val="0"/>
              </w:numPr>
              <w:kinsoku/>
              <w:wordWrap/>
              <w:overflowPunct/>
              <w:topLinePunct w:val="0"/>
              <w:autoSpaceDE/>
              <w:autoSpaceDN/>
              <w:bidi w:val="0"/>
              <w:adjustRightInd w:val="0"/>
              <w:snapToGrid w:val="0"/>
              <w:spacing w:line="240" w:lineRule="auto"/>
              <w:ind w:left="0"/>
              <w:textAlignment w:val="auto"/>
              <w:rPr>
                <w:rFonts w:hint="eastAsia" w:ascii="仿宋" w:hAnsi="仿宋" w:eastAsia="仿宋" w:cs="仿宋"/>
                <w:bCs/>
                <w:color w:val="auto"/>
                <w:sz w:val="24"/>
                <w:szCs w:val="24"/>
              </w:rPr>
            </w:pPr>
            <w:r>
              <w:rPr>
                <w:rFonts w:hint="eastAsia" w:ascii="仿宋" w:hAnsi="仿宋" w:eastAsia="仿宋" w:cs="仿宋"/>
                <w:bCs/>
                <w:color w:val="auto"/>
                <w:sz w:val="24"/>
                <w:szCs w:val="24"/>
              </w:rPr>
              <w:t>领会层次：</w:t>
            </w:r>
            <w:r>
              <w:rPr>
                <w:rFonts w:hint="eastAsia" w:ascii="仿宋" w:hAnsi="仿宋" w:eastAsia="仿宋" w:cs="仿宋"/>
                <w:sz w:val="24"/>
                <w:szCs w:val="24"/>
              </w:rPr>
              <w:t>使学生掌握项目策划思路与方法、项目内容分析、市场与观众分析、执行计划等。</w:t>
            </w:r>
          </w:p>
          <w:p w14:paraId="3CA4B9D0">
            <w:pPr>
              <w:keepNext w:val="0"/>
              <w:keepLines w:val="0"/>
              <w:pageBreakBefore w:val="0"/>
              <w:kinsoku/>
              <w:wordWrap/>
              <w:overflowPunct/>
              <w:topLinePunct w:val="0"/>
              <w:autoSpaceDE/>
              <w:autoSpaceDN/>
              <w:bidi w:val="0"/>
              <w:adjustRightInd w:val="0"/>
              <w:snapToGrid w:val="0"/>
              <w:spacing w:line="240" w:lineRule="auto"/>
              <w:ind w:left="0"/>
              <w:textAlignment w:val="auto"/>
              <w:rPr>
                <w:rFonts w:hint="eastAsia" w:ascii="华文仿宋" w:hAnsi="华文仿宋" w:eastAsia="PMingLiU" w:cs="华文仿宋"/>
                <w:bCs/>
                <w:color w:val="auto"/>
                <w:sz w:val="24"/>
                <w:szCs w:val="24"/>
                <w:lang w:eastAsia="zh-TW"/>
              </w:rPr>
            </w:pPr>
            <w:r>
              <w:rPr>
                <w:rFonts w:hint="eastAsia" w:ascii="仿宋" w:hAnsi="仿宋" w:eastAsia="仿宋" w:cs="仿宋"/>
                <w:bCs/>
                <w:color w:val="auto"/>
                <w:sz w:val="24"/>
                <w:szCs w:val="24"/>
              </w:rPr>
              <w:t>应用层次：</w:t>
            </w:r>
            <w:r>
              <w:rPr>
                <w:rFonts w:hint="eastAsia" w:ascii="仿宋" w:hAnsi="仿宋" w:eastAsia="仿宋" w:cs="仿宋"/>
                <w:sz w:val="24"/>
                <w:szCs w:val="24"/>
              </w:rPr>
              <w:t>使学生能从这些案例中学习项目策划思路与方法、项目内容分析、市场与观众分析、执行计划等。</w:t>
            </w:r>
          </w:p>
        </w:tc>
        <w:tc>
          <w:tcPr>
            <w:tcW w:w="1200" w:type="dxa"/>
            <w:gridSpan w:val="3"/>
            <w:shd w:val="clear" w:color="auto" w:fill="auto"/>
            <w:noWrap w:val="0"/>
            <w:vAlign w:val="center"/>
          </w:tcPr>
          <w:p w14:paraId="4AAD3209">
            <w:pPr>
              <w:widowControl/>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tc>
        <w:tc>
          <w:tcPr>
            <w:tcW w:w="1127" w:type="dxa"/>
            <w:shd w:val="clear" w:color="auto" w:fill="FFFFFF"/>
            <w:noWrap w:val="0"/>
            <w:vAlign w:val="center"/>
          </w:tcPr>
          <w:p w14:paraId="2A953E7A">
            <w:pPr>
              <w:adjustRightInd w:val="0"/>
              <w:snapToGrid w:val="0"/>
              <w:jc w:val="center"/>
              <w:rPr>
                <w:rFonts w:hint="eastAsia" w:ascii="仿宋" w:hAnsi="仿宋" w:eastAsia="仿宋" w:cs="仿宋"/>
                <w:color w:val="auto"/>
                <w:sz w:val="24"/>
                <w:szCs w:val="24"/>
              </w:rPr>
            </w:pPr>
            <w:r>
              <w:rPr>
                <w:rFonts w:hint="default" w:ascii="仿宋" w:hAnsi="仿宋" w:eastAsia="仿宋" w:cs="仿宋"/>
                <w:color w:val="auto"/>
                <w:sz w:val="24"/>
                <w:szCs w:val="24"/>
              </w:rPr>
              <w:t>4</w:t>
            </w:r>
          </w:p>
        </w:tc>
      </w:tr>
      <w:tr w14:paraId="7E7CC03B">
        <w:trPr>
          <w:trHeight w:val="454" w:hRule="atLeast"/>
        </w:trPr>
        <w:tc>
          <w:tcPr>
            <w:tcW w:w="1075" w:type="dxa"/>
            <w:vMerge w:val="continue"/>
            <w:shd w:val="clear" w:color="auto" w:fill="FFFFFF"/>
            <w:noWrap w:val="0"/>
            <w:vAlign w:val="center"/>
          </w:tcPr>
          <w:p w14:paraId="41162B92">
            <w:pPr>
              <w:adjustRightInd w:val="0"/>
              <w:snapToGrid w:val="0"/>
              <w:spacing w:line="240" w:lineRule="atLeast"/>
              <w:jc w:val="right"/>
              <w:rPr>
                <w:rFonts w:hint="eastAsia" w:ascii="仿宋" w:hAnsi="仿宋" w:eastAsia="仿宋" w:cs="仿宋"/>
                <w:color w:val="auto"/>
                <w:sz w:val="24"/>
                <w:szCs w:val="24"/>
              </w:rPr>
            </w:pPr>
          </w:p>
        </w:tc>
        <w:tc>
          <w:tcPr>
            <w:tcW w:w="6497" w:type="dxa"/>
            <w:gridSpan w:val="10"/>
            <w:shd w:val="clear" w:color="auto" w:fill="auto"/>
            <w:noWrap w:val="0"/>
            <w:vAlign w:val="center"/>
          </w:tcPr>
          <w:p w14:paraId="31F1EB06">
            <w:pPr>
              <w:keepNext w:val="0"/>
              <w:keepLines w:val="0"/>
              <w:pageBreakBefore w:val="0"/>
              <w:widowControl/>
              <w:kinsoku/>
              <w:wordWrap/>
              <w:overflowPunct/>
              <w:topLinePunct w:val="0"/>
              <w:autoSpaceDE/>
              <w:autoSpaceDN/>
              <w:bidi w:val="0"/>
              <w:adjustRightInd/>
              <w:snapToGrid w:val="0"/>
              <w:spacing w:line="240" w:lineRule="auto"/>
              <w:textAlignment w:val="auto"/>
              <w:rPr>
                <w:rFonts w:hint="eastAsia" w:ascii="华文仿宋" w:hAnsi="华文仿宋" w:eastAsia="华文仿宋" w:cs="华文仿宋"/>
                <w:bCs/>
                <w:color w:val="auto"/>
                <w:sz w:val="24"/>
                <w:szCs w:val="24"/>
              </w:rPr>
            </w:pPr>
            <w:r>
              <w:rPr>
                <w:rFonts w:hint="eastAsia" w:ascii="华文仿宋" w:hAnsi="华文仿宋" w:eastAsia="华文仿宋" w:cs="华文仿宋"/>
                <w:sz w:val="24"/>
                <w:szCs w:val="24"/>
              </w:rPr>
              <w:t>第七章 艺创中国项目策划</w:t>
            </w:r>
          </w:p>
          <w:p w14:paraId="3567B9C2">
            <w:pPr>
              <w:keepNext w:val="0"/>
              <w:keepLines w:val="0"/>
              <w:pageBreakBefore w:val="0"/>
              <w:widowControl/>
              <w:kinsoku/>
              <w:wordWrap/>
              <w:overflowPunct/>
              <w:topLinePunct w:val="0"/>
              <w:autoSpaceDE/>
              <w:autoSpaceDN/>
              <w:bidi w:val="0"/>
              <w:adjustRightInd/>
              <w:snapToGrid w:val="0"/>
              <w:spacing w:line="240" w:lineRule="auto"/>
              <w:textAlignment w:val="auto"/>
              <w:rPr>
                <w:rFonts w:hint="eastAsia" w:ascii="华文仿宋" w:hAnsi="华文仿宋" w:eastAsia="华文仿宋" w:cs="华文仿宋"/>
                <w:b w:val="0"/>
                <w:bCs/>
                <w:color w:val="auto"/>
                <w:sz w:val="24"/>
                <w:szCs w:val="24"/>
              </w:rPr>
            </w:pPr>
            <w:r>
              <w:rPr>
                <w:rFonts w:hint="eastAsia" w:ascii="华文仿宋" w:hAnsi="华文仿宋" w:eastAsia="华文仿宋" w:cs="华文仿宋"/>
                <w:b w:val="0"/>
                <w:bCs/>
                <w:color w:val="auto"/>
                <w:sz w:val="24"/>
                <w:szCs w:val="24"/>
              </w:rPr>
              <w:t>学习内容：</w:t>
            </w:r>
          </w:p>
          <w:p w14:paraId="520941CB">
            <w:pPr>
              <w:keepNext w:val="0"/>
              <w:keepLines w:val="0"/>
              <w:pageBreakBefore w:val="0"/>
              <w:widowControl/>
              <w:kinsoku/>
              <w:wordWrap/>
              <w:overflowPunct/>
              <w:topLinePunct w:val="0"/>
              <w:autoSpaceDE/>
              <w:autoSpaceDN/>
              <w:bidi w:val="0"/>
              <w:adjustRightInd/>
              <w:snapToGrid w:val="0"/>
              <w:spacing w:line="240" w:lineRule="auto"/>
              <w:ind w:firstLine="360" w:firstLineChars="150"/>
              <w:textAlignment w:val="auto"/>
              <w:rPr>
                <w:rFonts w:hint="eastAsia" w:ascii="华文仿宋" w:hAnsi="华文仿宋" w:eastAsia="华文仿宋" w:cs="华文仿宋"/>
                <w:snapToGrid w:val="0"/>
                <w:kern w:val="32"/>
                <w:sz w:val="24"/>
                <w:szCs w:val="24"/>
              </w:rPr>
            </w:pPr>
            <w:r>
              <w:rPr>
                <w:rFonts w:hint="eastAsia" w:ascii="华文仿宋" w:hAnsi="华文仿宋" w:eastAsia="华文仿宋" w:cs="华文仿宋"/>
                <w:b w:val="0"/>
                <w:bCs/>
                <w:color w:val="auto"/>
                <w:sz w:val="24"/>
                <w:szCs w:val="24"/>
              </w:rPr>
              <w:t>第一节</w:t>
            </w:r>
            <w:r>
              <w:rPr>
                <w:rFonts w:hint="eastAsia" w:ascii="华文仿宋" w:hAnsi="华文仿宋" w:eastAsia="华文仿宋" w:cs="华文仿宋"/>
                <w:snapToGrid w:val="0"/>
                <w:kern w:val="32"/>
                <w:sz w:val="24"/>
                <w:szCs w:val="24"/>
              </w:rPr>
              <w:t>CUTE CURE艺术疗愈联盟</w:t>
            </w:r>
          </w:p>
          <w:p w14:paraId="3C5F9222">
            <w:pPr>
              <w:keepNext w:val="0"/>
              <w:keepLines w:val="0"/>
              <w:pageBreakBefore w:val="0"/>
              <w:widowControl/>
              <w:kinsoku/>
              <w:wordWrap/>
              <w:overflowPunct/>
              <w:topLinePunct w:val="0"/>
              <w:autoSpaceDE/>
              <w:autoSpaceDN/>
              <w:bidi w:val="0"/>
              <w:adjustRightInd/>
              <w:snapToGrid w:val="0"/>
              <w:spacing w:line="240" w:lineRule="auto"/>
              <w:ind w:firstLine="480" w:firstLineChars="200"/>
              <w:textAlignment w:val="auto"/>
              <w:rPr>
                <w:rFonts w:hint="eastAsia" w:ascii="华文仿宋" w:hAnsi="华文仿宋" w:eastAsia="华文仿宋" w:cs="华文仿宋"/>
                <w:snapToGrid w:val="0"/>
                <w:kern w:val="32"/>
                <w:sz w:val="24"/>
                <w:szCs w:val="24"/>
              </w:rPr>
            </w:pPr>
            <w:r>
              <w:rPr>
                <w:rFonts w:hint="eastAsia" w:ascii="华文仿宋" w:hAnsi="华文仿宋" w:eastAsia="华文仿宋" w:cs="华文仿宋"/>
                <w:snapToGrid w:val="0"/>
                <w:kern w:val="32"/>
                <w:sz w:val="24"/>
                <w:szCs w:val="24"/>
              </w:rPr>
              <w:t>第二节 青年户外艺术营地</w:t>
            </w:r>
          </w:p>
          <w:p w14:paraId="7034313C">
            <w:pPr>
              <w:keepNext w:val="0"/>
              <w:keepLines w:val="0"/>
              <w:pageBreakBefore w:val="0"/>
              <w:widowControl/>
              <w:kinsoku/>
              <w:wordWrap/>
              <w:overflowPunct/>
              <w:topLinePunct w:val="0"/>
              <w:autoSpaceDE/>
              <w:autoSpaceDN/>
              <w:bidi w:val="0"/>
              <w:adjustRightInd/>
              <w:snapToGrid w:val="0"/>
              <w:spacing w:line="240" w:lineRule="auto"/>
              <w:ind w:firstLine="480" w:firstLineChars="200"/>
              <w:textAlignment w:val="auto"/>
              <w:rPr>
                <w:rFonts w:hint="eastAsia" w:ascii="华文仿宋" w:hAnsi="华文仿宋" w:eastAsia="华文仿宋" w:cs="华文仿宋"/>
                <w:snapToGrid w:val="0"/>
                <w:kern w:val="32"/>
                <w:sz w:val="24"/>
                <w:szCs w:val="24"/>
              </w:rPr>
            </w:pPr>
            <w:r>
              <w:rPr>
                <w:rFonts w:hint="eastAsia" w:ascii="华文仿宋" w:hAnsi="华文仿宋" w:eastAsia="华文仿宋" w:cs="华文仿宋"/>
                <w:snapToGrid w:val="0"/>
                <w:kern w:val="32"/>
                <w:sz w:val="24"/>
                <w:szCs w:val="24"/>
              </w:rPr>
              <w:t>第三节 沈阳Fe重工业文化产业创意园</w:t>
            </w:r>
          </w:p>
          <w:p w14:paraId="59C1CF7D">
            <w:pPr>
              <w:keepNext w:val="0"/>
              <w:keepLines w:val="0"/>
              <w:pageBreakBefore w:val="0"/>
              <w:widowControl/>
              <w:kinsoku/>
              <w:wordWrap/>
              <w:overflowPunct/>
              <w:topLinePunct w:val="0"/>
              <w:autoSpaceDE/>
              <w:autoSpaceDN/>
              <w:bidi w:val="0"/>
              <w:adjustRightInd/>
              <w:snapToGrid w:val="0"/>
              <w:spacing w:line="240" w:lineRule="auto"/>
              <w:ind w:firstLine="480" w:firstLineChars="200"/>
              <w:textAlignment w:val="auto"/>
              <w:rPr>
                <w:rFonts w:hint="eastAsia" w:ascii="华文仿宋" w:hAnsi="华文仿宋" w:eastAsia="华文仿宋" w:cs="华文仿宋"/>
                <w:bCs/>
                <w:color w:val="auto"/>
                <w:sz w:val="24"/>
                <w:szCs w:val="24"/>
              </w:rPr>
            </w:pPr>
            <w:r>
              <w:rPr>
                <w:rFonts w:hint="eastAsia" w:ascii="华文仿宋" w:hAnsi="华文仿宋" w:eastAsia="华文仿宋" w:cs="华文仿宋"/>
                <w:snapToGrid w:val="0"/>
                <w:kern w:val="32"/>
                <w:sz w:val="24"/>
                <w:szCs w:val="24"/>
              </w:rPr>
              <w:t xml:space="preserve">第四节 </w:t>
            </w:r>
            <w:r>
              <w:rPr>
                <w:rFonts w:hint="eastAsia" w:ascii="华文仿宋" w:hAnsi="华文仿宋" w:eastAsia="华文仿宋" w:cs="华文仿宋"/>
                <w:sz w:val="24"/>
                <w:szCs w:val="24"/>
              </w:rPr>
              <w:t>方案点评</w:t>
            </w:r>
          </w:p>
          <w:p w14:paraId="4AF8BDA8">
            <w:pPr>
              <w:keepNext w:val="0"/>
              <w:keepLines w:val="0"/>
              <w:pageBreakBefore w:val="0"/>
              <w:widowControl/>
              <w:kinsoku/>
              <w:wordWrap/>
              <w:overflowPunct/>
              <w:topLinePunct w:val="0"/>
              <w:autoSpaceDE/>
              <w:autoSpaceDN/>
              <w:bidi w:val="0"/>
              <w:adjustRightInd/>
              <w:snapToGrid w:val="0"/>
              <w:spacing w:line="240" w:lineRule="auto"/>
              <w:textAlignment w:val="auto"/>
              <w:rPr>
                <w:rFonts w:hint="eastAsia" w:ascii="华文仿宋" w:hAnsi="华文仿宋" w:eastAsia="华文仿宋" w:cs="华文仿宋"/>
                <w:bCs/>
                <w:color w:val="auto"/>
                <w:sz w:val="24"/>
                <w:szCs w:val="24"/>
              </w:rPr>
            </w:pPr>
            <w:r>
              <w:rPr>
                <w:rFonts w:hint="eastAsia" w:ascii="华文仿宋" w:hAnsi="华文仿宋" w:eastAsia="华文仿宋" w:cs="华文仿宋"/>
                <w:bCs/>
                <w:color w:val="auto"/>
                <w:sz w:val="24"/>
                <w:szCs w:val="24"/>
              </w:rPr>
              <w:t>知道层次：</w:t>
            </w:r>
            <w:r>
              <w:rPr>
                <w:rFonts w:hint="eastAsia" w:ascii="华文仿宋" w:hAnsi="华文仿宋" w:eastAsia="华文仿宋" w:cs="华文仿宋"/>
                <w:sz w:val="24"/>
                <w:szCs w:val="24"/>
              </w:rPr>
              <w:t>使学生了解艺创中国项目策划的内涵、原理、思路、方案、执行等相关知识点。</w:t>
            </w:r>
          </w:p>
          <w:p w14:paraId="7A9D21D9">
            <w:pPr>
              <w:keepNext w:val="0"/>
              <w:keepLines w:val="0"/>
              <w:pageBreakBefore w:val="0"/>
              <w:widowControl/>
              <w:kinsoku/>
              <w:wordWrap/>
              <w:overflowPunct/>
              <w:topLinePunct w:val="0"/>
              <w:autoSpaceDE/>
              <w:autoSpaceDN/>
              <w:bidi w:val="0"/>
              <w:adjustRightInd/>
              <w:snapToGrid w:val="0"/>
              <w:spacing w:line="240" w:lineRule="auto"/>
              <w:textAlignment w:val="auto"/>
              <w:rPr>
                <w:rFonts w:hint="eastAsia" w:ascii="华文仿宋" w:hAnsi="华文仿宋" w:eastAsia="华文仿宋" w:cs="华文仿宋"/>
                <w:bCs/>
                <w:color w:val="auto"/>
                <w:sz w:val="24"/>
                <w:szCs w:val="24"/>
              </w:rPr>
            </w:pPr>
            <w:r>
              <w:rPr>
                <w:rFonts w:hint="eastAsia" w:ascii="华文仿宋" w:hAnsi="华文仿宋" w:eastAsia="华文仿宋" w:cs="华文仿宋"/>
                <w:bCs/>
                <w:color w:val="auto"/>
                <w:sz w:val="24"/>
                <w:szCs w:val="24"/>
              </w:rPr>
              <w:t>领会层次：</w:t>
            </w:r>
            <w:r>
              <w:rPr>
                <w:rFonts w:hint="eastAsia" w:ascii="华文仿宋" w:hAnsi="华文仿宋" w:eastAsia="华文仿宋" w:cs="华文仿宋"/>
                <w:sz w:val="24"/>
                <w:szCs w:val="24"/>
              </w:rPr>
              <w:t>使学生掌握艺创中国项目策划的内涵、原理、思路、方案、执行等相关知识点。</w:t>
            </w:r>
          </w:p>
          <w:p w14:paraId="1F055283">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auto"/>
              <w:rPr>
                <w:rFonts w:hint="eastAsia" w:ascii="仿宋" w:hAnsi="仿宋" w:eastAsia="仿宋" w:cs="仿宋"/>
                <w:bCs/>
                <w:color w:val="auto"/>
                <w:sz w:val="24"/>
                <w:szCs w:val="24"/>
              </w:rPr>
            </w:pPr>
            <w:r>
              <w:rPr>
                <w:rFonts w:hint="eastAsia" w:ascii="华文仿宋" w:hAnsi="华文仿宋" w:eastAsia="华文仿宋" w:cs="华文仿宋"/>
                <w:bCs/>
                <w:color w:val="auto"/>
                <w:sz w:val="24"/>
                <w:szCs w:val="24"/>
              </w:rPr>
              <w:t>应用层次：</w:t>
            </w:r>
            <w:r>
              <w:rPr>
                <w:rFonts w:hint="eastAsia" w:ascii="华文仿宋" w:hAnsi="华文仿宋" w:eastAsia="华文仿宋" w:cs="华文仿宋"/>
                <w:sz w:val="24"/>
                <w:szCs w:val="24"/>
              </w:rPr>
              <w:t>使学生应用艺创中国项目策划的内涵、原理、思路、方案、执行等在自己的项目策划中。</w:t>
            </w:r>
          </w:p>
        </w:tc>
        <w:tc>
          <w:tcPr>
            <w:tcW w:w="1200" w:type="dxa"/>
            <w:gridSpan w:val="3"/>
            <w:shd w:val="clear" w:color="auto" w:fill="auto"/>
            <w:noWrap w:val="0"/>
            <w:vAlign w:val="center"/>
          </w:tcPr>
          <w:p w14:paraId="320AB783">
            <w:pPr>
              <w:widowControl/>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tc>
        <w:tc>
          <w:tcPr>
            <w:tcW w:w="1127" w:type="dxa"/>
            <w:shd w:val="clear" w:color="auto" w:fill="FFFFFF"/>
            <w:noWrap w:val="0"/>
            <w:vAlign w:val="center"/>
          </w:tcPr>
          <w:p w14:paraId="63552EFF">
            <w:pPr>
              <w:adjustRightInd w:val="0"/>
              <w:snapToGrid w:val="0"/>
              <w:jc w:val="center"/>
              <w:rPr>
                <w:rFonts w:hint="eastAsia" w:ascii="仿宋" w:hAnsi="仿宋" w:eastAsia="仿宋" w:cs="仿宋"/>
                <w:color w:val="auto"/>
                <w:sz w:val="24"/>
                <w:szCs w:val="24"/>
              </w:rPr>
            </w:pPr>
            <w:r>
              <w:rPr>
                <w:rFonts w:hint="default" w:ascii="仿宋" w:hAnsi="仿宋" w:eastAsia="仿宋" w:cs="仿宋"/>
                <w:color w:val="auto"/>
                <w:sz w:val="24"/>
                <w:szCs w:val="24"/>
              </w:rPr>
              <w:t>4</w:t>
            </w:r>
          </w:p>
        </w:tc>
      </w:tr>
      <w:tr w14:paraId="5D1E04CF">
        <w:trPr>
          <w:trHeight w:val="454" w:hRule="atLeast"/>
        </w:trPr>
        <w:tc>
          <w:tcPr>
            <w:tcW w:w="1075" w:type="dxa"/>
            <w:vMerge w:val="continue"/>
            <w:shd w:val="clear" w:color="auto" w:fill="FFFFFF"/>
            <w:noWrap w:val="0"/>
            <w:vAlign w:val="center"/>
          </w:tcPr>
          <w:p w14:paraId="11542A28">
            <w:pPr>
              <w:adjustRightInd w:val="0"/>
              <w:snapToGrid w:val="0"/>
              <w:spacing w:line="240" w:lineRule="atLeast"/>
              <w:jc w:val="center"/>
              <w:rPr>
                <w:rFonts w:hint="eastAsia" w:ascii="仿宋" w:hAnsi="仿宋" w:eastAsia="仿宋" w:cs="仿宋"/>
                <w:color w:val="auto"/>
                <w:sz w:val="24"/>
                <w:szCs w:val="24"/>
              </w:rPr>
            </w:pPr>
          </w:p>
        </w:tc>
        <w:tc>
          <w:tcPr>
            <w:tcW w:w="7697" w:type="dxa"/>
            <w:gridSpan w:val="13"/>
            <w:shd w:val="clear" w:color="auto" w:fill="auto"/>
            <w:noWrap w:val="0"/>
            <w:vAlign w:val="center"/>
          </w:tcPr>
          <w:p w14:paraId="1D2CA0B1">
            <w:pPr>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合计</w:t>
            </w:r>
          </w:p>
        </w:tc>
        <w:tc>
          <w:tcPr>
            <w:tcW w:w="1127" w:type="dxa"/>
            <w:shd w:val="clear" w:color="auto" w:fill="FFFFFF"/>
            <w:noWrap w:val="0"/>
            <w:vAlign w:val="center"/>
          </w:tcPr>
          <w:p w14:paraId="69971FAF">
            <w:pPr>
              <w:adjustRightInd w:val="0"/>
              <w:snapToGrid w:val="0"/>
              <w:jc w:val="center"/>
              <w:rPr>
                <w:rFonts w:hint="eastAsia" w:ascii="仿宋" w:hAnsi="仿宋" w:eastAsia="仿宋" w:cs="仿宋"/>
                <w:color w:val="auto"/>
                <w:sz w:val="24"/>
                <w:szCs w:val="24"/>
              </w:rPr>
            </w:pPr>
            <w:r>
              <w:rPr>
                <w:rFonts w:hint="default" w:ascii="仿宋" w:hAnsi="仿宋" w:eastAsia="仿宋" w:cs="仿宋"/>
                <w:color w:val="auto"/>
                <w:sz w:val="24"/>
                <w:szCs w:val="24"/>
              </w:rPr>
              <w:t>32</w:t>
            </w:r>
          </w:p>
        </w:tc>
      </w:tr>
      <w:tr w14:paraId="4065B300">
        <w:trPr>
          <w:trHeight w:val="454" w:hRule="atLeast"/>
        </w:trPr>
        <w:tc>
          <w:tcPr>
            <w:tcW w:w="1075" w:type="dxa"/>
            <w:vMerge w:val="restart"/>
            <w:shd w:val="clear" w:color="auto" w:fill="FFFFFF"/>
            <w:noWrap w:val="0"/>
            <w:vAlign w:val="center"/>
          </w:tcPr>
          <w:p w14:paraId="2ABF639A">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G</w:t>
            </w:r>
          </w:p>
          <w:p w14:paraId="717281DC">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实验（实训）内容</w:t>
            </w:r>
          </w:p>
        </w:tc>
        <w:tc>
          <w:tcPr>
            <w:tcW w:w="6497" w:type="dxa"/>
            <w:gridSpan w:val="10"/>
            <w:shd w:val="clear" w:color="auto" w:fill="auto"/>
            <w:noWrap w:val="0"/>
            <w:vAlign w:val="center"/>
          </w:tcPr>
          <w:p w14:paraId="03443882">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项目名称、主要内容及开设要求</w:t>
            </w:r>
          </w:p>
        </w:tc>
        <w:tc>
          <w:tcPr>
            <w:tcW w:w="1200" w:type="dxa"/>
            <w:gridSpan w:val="3"/>
            <w:shd w:val="clear" w:color="auto" w:fill="auto"/>
            <w:noWrap w:val="0"/>
            <w:vAlign w:val="center"/>
          </w:tcPr>
          <w:p w14:paraId="648AE6F3">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支撑课程</w:t>
            </w:r>
          </w:p>
          <w:p w14:paraId="692EE17F">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目标</w:t>
            </w:r>
          </w:p>
        </w:tc>
        <w:tc>
          <w:tcPr>
            <w:tcW w:w="1127" w:type="dxa"/>
            <w:shd w:val="clear" w:color="auto" w:fill="FFFFFF"/>
            <w:noWrap w:val="0"/>
            <w:vAlign w:val="center"/>
          </w:tcPr>
          <w:p w14:paraId="2040E1F6">
            <w:pPr>
              <w:adjustRightInd w:val="0"/>
              <w:snapToGrid w:val="0"/>
              <w:jc w:val="center"/>
              <w:rPr>
                <w:rFonts w:ascii="仿宋" w:hAnsi="仿宋" w:eastAsia="仿宋" w:cs="仿宋"/>
                <w:color w:val="auto"/>
                <w:kern w:val="0"/>
                <w:sz w:val="24"/>
                <w:szCs w:val="24"/>
              </w:rPr>
            </w:pPr>
            <w:r>
              <w:rPr>
                <w:rFonts w:hint="eastAsia" w:ascii="仿宋" w:hAnsi="仿宋" w:eastAsia="仿宋" w:cs="仿宋"/>
                <w:color w:val="auto"/>
                <w:kern w:val="0"/>
                <w:sz w:val="24"/>
                <w:szCs w:val="24"/>
              </w:rPr>
              <w:t xml:space="preserve">学时 </w:t>
            </w:r>
          </w:p>
          <w:p w14:paraId="047B4013">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kern w:val="0"/>
                <w:sz w:val="24"/>
                <w:szCs w:val="24"/>
              </w:rPr>
              <w:t>分配</w:t>
            </w:r>
          </w:p>
        </w:tc>
      </w:tr>
      <w:tr w14:paraId="2842431F">
        <w:trPr>
          <w:trHeight w:val="454" w:hRule="atLeast"/>
        </w:trPr>
        <w:tc>
          <w:tcPr>
            <w:tcW w:w="1075" w:type="dxa"/>
            <w:vMerge w:val="continue"/>
            <w:shd w:val="clear" w:color="auto" w:fill="FFFFFF"/>
            <w:noWrap w:val="0"/>
            <w:vAlign w:val="center"/>
          </w:tcPr>
          <w:p w14:paraId="6A4BE7D8">
            <w:pPr>
              <w:adjustRightInd w:val="0"/>
              <w:snapToGrid w:val="0"/>
              <w:spacing w:line="240" w:lineRule="atLeast"/>
              <w:jc w:val="center"/>
              <w:rPr>
                <w:rFonts w:hint="eastAsia" w:ascii="仿宋" w:hAnsi="仿宋" w:eastAsia="仿宋" w:cs="仿宋"/>
                <w:color w:val="auto"/>
                <w:sz w:val="24"/>
                <w:szCs w:val="24"/>
              </w:rPr>
            </w:pPr>
          </w:p>
        </w:tc>
        <w:tc>
          <w:tcPr>
            <w:tcW w:w="6497" w:type="dxa"/>
            <w:gridSpan w:val="10"/>
            <w:shd w:val="clear" w:color="auto" w:fill="auto"/>
            <w:noWrap w:val="0"/>
            <w:vAlign w:val="center"/>
          </w:tcPr>
          <w:p w14:paraId="0631A72F">
            <w:pPr>
              <w:adjustRightInd w:val="0"/>
              <w:snapToGrid w:val="0"/>
              <w:jc w:val="center"/>
              <w:rPr>
                <w:rFonts w:hint="eastAsia" w:ascii="仿宋" w:hAnsi="仿宋" w:eastAsia="仿宋" w:cs="仿宋"/>
                <w:bCs/>
                <w:color w:val="auto"/>
                <w:sz w:val="24"/>
                <w:szCs w:val="24"/>
              </w:rPr>
            </w:pPr>
          </w:p>
          <w:p w14:paraId="66560E47">
            <w:pPr>
              <w:adjustRightInd w:val="0"/>
              <w:snapToGrid w:val="0"/>
              <w:jc w:val="center"/>
              <w:rPr>
                <w:rFonts w:hint="eastAsia" w:ascii="仿宋" w:hAnsi="仿宋" w:eastAsia="仿宋" w:cs="仿宋"/>
                <w:bCs/>
                <w:color w:val="auto"/>
                <w:sz w:val="24"/>
                <w:szCs w:val="24"/>
              </w:rPr>
            </w:pPr>
          </w:p>
          <w:p w14:paraId="5F07FF25">
            <w:pPr>
              <w:adjustRightInd w:val="0"/>
              <w:snapToGrid w:val="0"/>
              <w:jc w:val="center"/>
              <w:rPr>
                <w:rFonts w:hint="eastAsia" w:ascii="仿宋" w:hAnsi="仿宋" w:eastAsia="仿宋" w:cs="仿宋"/>
                <w:bCs/>
                <w:color w:val="auto"/>
                <w:sz w:val="24"/>
                <w:szCs w:val="24"/>
              </w:rPr>
            </w:pPr>
          </w:p>
          <w:p w14:paraId="0282E57F">
            <w:pPr>
              <w:adjustRightInd w:val="0"/>
              <w:snapToGrid w:val="0"/>
              <w:jc w:val="center"/>
              <w:rPr>
                <w:rFonts w:hint="eastAsia" w:ascii="仿宋" w:hAnsi="仿宋" w:eastAsia="仿宋" w:cs="仿宋"/>
                <w:bCs/>
                <w:color w:val="auto"/>
                <w:sz w:val="24"/>
                <w:szCs w:val="24"/>
              </w:rPr>
            </w:pPr>
          </w:p>
        </w:tc>
        <w:tc>
          <w:tcPr>
            <w:tcW w:w="1200" w:type="dxa"/>
            <w:gridSpan w:val="3"/>
            <w:shd w:val="clear" w:color="auto" w:fill="auto"/>
            <w:noWrap w:val="0"/>
            <w:vAlign w:val="center"/>
          </w:tcPr>
          <w:p w14:paraId="3C526569">
            <w:pPr>
              <w:adjustRightInd w:val="0"/>
              <w:snapToGrid w:val="0"/>
              <w:jc w:val="center"/>
              <w:rPr>
                <w:rFonts w:hint="eastAsia" w:ascii="仿宋" w:hAnsi="仿宋" w:eastAsia="仿宋" w:cs="仿宋"/>
                <w:bCs/>
                <w:color w:val="auto"/>
                <w:sz w:val="24"/>
                <w:szCs w:val="24"/>
              </w:rPr>
            </w:pPr>
          </w:p>
        </w:tc>
        <w:tc>
          <w:tcPr>
            <w:tcW w:w="1127" w:type="dxa"/>
            <w:shd w:val="clear" w:color="auto" w:fill="FFFFFF"/>
            <w:noWrap w:val="0"/>
            <w:vAlign w:val="center"/>
          </w:tcPr>
          <w:p w14:paraId="5DAE54A1">
            <w:pPr>
              <w:adjustRightInd w:val="0"/>
              <w:snapToGrid w:val="0"/>
              <w:jc w:val="center"/>
              <w:rPr>
                <w:rFonts w:hint="eastAsia" w:ascii="仿宋" w:hAnsi="仿宋" w:eastAsia="仿宋" w:cs="仿宋"/>
                <w:color w:val="auto"/>
                <w:sz w:val="24"/>
                <w:szCs w:val="24"/>
              </w:rPr>
            </w:pPr>
          </w:p>
        </w:tc>
      </w:tr>
      <w:tr w14:paraId="7E37326D">
        <w:trPr>
          <w:trHeight w:val="454" w:hRule="atLeast"/>
        </w:trPr>
        <w:tc>
          <w:tcPr>
            <w:tcW w:w="1075" w:type="dxa"/>
            <w:vMerge w:val="continue"/>
            <w:shd w:val="clear" w:color="auto" w:fill="FFFFFF"/>
            <w:noWrap w:val="0"/>
            <w:vAlign w:val="center"/>
          </w:tcPr>
          <w:p w14:paraId="3453A1AC">
            <w:pPr>
              <w:adjustRightInd w:val="0"/>
              <w:snapToGrid w:val="0"/>
              <w:spacing w:line="240" w:lineRule="atLeast"/>
              <w:jc w:val="center"/>
              <w:rPr>
                <w:rFonts w:hint="eastAsia" w:ascii="仿宋" w:hAnsi="仿宋" w:eastAsia="仿宋" w:cs="仿宋"/>
                <w:color w:val="auto"/>
                <w:sz w:val="24"/>
                <w:szCs w:val="24"/>
              </w:rPr>
            </w:pPr>
          </w:p>
        </w:tc>
        <w:tc>
          <w:tcPr>
            <w:tcW w:w="7697" w:type="dxa"/>
            <w:gridSpan w:val="13"/>
            <w:shd w:val="clear" w:color="auto" w:fill="auto"/>
            <w:noWrap w:val="0"/>
            <w:vAlign w:val="center"/>
          </w:tcPr>
          <w:p w14:paraId="0BF4F30C">
            <w:pPr>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合计</w:t>
            </w:r>
          </w:p>
        </w:tc>
        <w:tc>
          <w:tcPr>
            <w:tcW w:w="1127" w:type="dxa"/>
            <w:shd w:val="clear" w:color="auto" w:fill="FFFFFF"/>
            <w:noWrap w:val="0"/>
            <w:vAlign w:val="center"/>
          </w:tcPr>
          <w:p w14:paraId="5FD5F571">
            <w:pPr>
              <w:adjustRightInd w:val="0"/>
              <w:snapToGrid w:val="0"/>
              <w:jc w:val="center"/>
              <w:rPr>
                <w:rFonts w:hint="eastAsia" w:ascii="仿宋" w:hAnsi="仿宋" w:eastAsia="仿宋" w:cs="仿宋"/>
                <w:color w:val="auto"/>
                <w:sz w:val="24"/>
                <w:szCs w:val="24"/>
              </w:rPr>
            </w:pPr>
          </w:p>
        </w:tc>
      </w:tr>
      <w:tr w14:paraId="19B08ED4">
        <w:trPr>
          <w:trHeight w:val="495" w:hRule="atLeast"/>
        </w:trPr>
        <w:tc>
          <w:tcPr>
            <w:tcW w:w="1075" w:type="dxa"/>
            <w:vMerge w:val="restart"/>
            <w:shd w:val="clear" w:color="auto" w:fill="FFFFFF"/>
            <w:noWrap w:val="0"/>
            <w:vAlign w:val="center"/>
          </w:tcPr>
          <w:p w14:paraId="5829130A">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H</w:t>
            </w:r>
          </w:p>
          <w:p w14:paraId="7165DA0B">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实践内容（含教育实习、见习、研习，专业实习、毕业论文或毕业设计等）</w:t>
            </w:r>
          </w:p>
        </w:tc>
        <w:tc>
          <w:tcPr>
            <w:tcW w:w="6497" w:type="dxa"/>
            <w:gridSpan w:val="10"/>
            <w:noWrap w:val="0"/>
            <w:vAlign w:val="center"/>
          </w:tcPr>
          <w:p w14:paraId="178CD9C2">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sz w:val="24"/>
                <w:szCs w:val="24"/>
              </w:rPr>
              <w:t>实践主要内容和要求</w:t>
            </w:r>
          </w:p>
        </w:tc>
        <w:tc>
          <w:tcPr>
            <w:tcW w:w="1200" w:type="dxa"/>
            <w:gridSpan w:val="3"/>
            <w:noWrap w:val="0"/>
            <w:vAlign w:val="center"/>
          </w:tcPr>
          <w:p w14:paraId="010343E0">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支撑课程</w:t>
            </w:r>
          </w:p>
          <w:p w14:paraId="7608B6C3">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目标</w:t>
            </w:r>
          </w:p>
        </w:tc>
        <w:tc>
          <w:tcPr>
            <w:tcW w:w="1127" w:type="dxa"/>
            <w:noWrap w:val="0"/>
            <w:vAlign w:val="center"/>
          </w:tcPr>
          <w:p w14:paraId="2388BF56">
            <w:pPr>
              <w:adjustRightInd w:val="0"/>
              <w:snapToGrid w:val="0"/>
              <w:jc w:val="center"/>
              <w:rPr>
                <w:rFonts w:ascii="仿宋" w:hAnsi="仿宋" w:eastAsia="仿宋" w:cs="仿宋"/>
                <w:color w:val="auto"/>
                <w:kern w:val="0"/>
                <w:sz w:val="24"/>
                <w:szCs w:val="24"/>
              </w:rPr>
            </w:pPr>
            <w:r>
              <w:rPr>
                <w:rFonts w:hint="eastAsia" w:ascii="仿宋" w:hAnsi="仿宋" w:eastAsia="仿宋" w:cs="仿宋"/>
                <w:color w:val="auto"/>
                <w:kern w:val="0"/>
                <w:sz w:val="24"/>
                <w:szCs w:val="24"/>
              </w:rPr>
              <w:t>时长</w:t>
            </w:r>
          </w:p>
          <w:p w14:paraId="0539461F">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kern w:val="0"/>
                <w:sz w:val="24"/>
                <w:szCs w:val="24"/>
              </w:rPr>
              <w:t>分配</w:t>
            </w:r>
          </w:p>
        </w:tc>
      </w:tr>
      <w:tr w14:paraId="5EE27346">
        <w:trPr>
          <w:trHeight w:val="90" w:hRule="atLeast"/>
        </w:trPr>
        <w:tc>
          <w:tcPr>
            <w:tcW w:w="1075" w:type="dxa"/>
            <w:vMerge w:val="continue"/>
            <w:shd w:val="clear" w:color="auto" w:fill="FFFFFF"/>
            <w:noWrap w:val="0"/>
            <w:vAlign w:val="center"/>
          </w:tcPr>
          <w:p w14:paraId="4E7193D5">
            <w:pPr>
              <w:adjustRightInd w:val="0"/>
              <w:snapToGrid w:val="0"/>
              <w:spacing w:line="240" w:lineRule="atLeast"/>
              <w:jc w:val="center"/>
              <w:rPr>
                <w:rFonts w:hint="eastAsia" w:ascii="仿宋" w:hAnsi="仿宋" w:eastAsia="仿宋" w:cs="仿宋"/>
                <w:color w:val="auto"/>
                <w:sz w:val="24"/>
                <w:szCs w:val="24"/>
              </w:rPr>
            </w:pPr>
          </w:p>
        </w:tc>
        <w:tc>
          <w:tcPr>
            <w:tcW w:w="6497" w:type="dxa"/>
            <w:gridSpan w:val="10"/>
            <w:noWrap w:val="0"/>
            <w:vAlign w:val="top"/>
          </w:tcPr>
          <w:p w14:paraId="656F3F5B">
            <w:pPr>
              <w:widowControl/>
              <w:autoSpaceDE w:val="0"/>
              <w:autoSpaceDN w:val="0"/>
              <w:adjustRightInd w:val="0"/>
              <w:snapToGrid w:val="0"/>
              <w:jc w:val="left"/>
              <w:textAlignment w:val="bottom"/>
              <w:rPr>
                <w:rFonts w:hint="eastAsia" w:ascii="仿宋" w:hAnsi="仿宋" w:eastAsia="仿宋" w:cs="仿宋"/>
                <w:color w:val="auto"/>
                <w:sz w:val="24"/>
                <w:szCs w:val="24"/>
              </w:rPr>
            </w:pPr>
          </w:p>
        </w:tc>
        <w:tc>
          <w:tcPr>
            <w:tcW w:w="1200" w:type="dxa"/>
            <w:gridSpan w:val="3"/>
            <w:noWrap w:val="0"/>
            <w:vAlign w:val="top"/>
          </w:tcPr>
          <w:p w14:paraId="5A74A106">
            <w:pPr>
              <w:adjustRightInd w:val="0"/>
              <w:snapToGrid w:val="0"/>
              <w:jc w:val="left"/>
              <w:rPr>
                <w:rFonts w:hint="eastAsia" w:ascii="仿宋" w:hAnsi="仿宋" w:eastAsia="仿宋" w:cs="仿宋"/>
                <w:color w:val="auto"/>
                <w:sz w:val="24"/>
                <w:szCs w:val="24"/>
              </w:rPr>
            </w:pPr>
          </w:p>
        </w:tc>
        <w:tc>
          <w:tcPr>
            <w:tcW w:w="1127" w:type="dxa"/>
            <w:noWrap w:val="0"/>
            <w:vAlign w:val="top"/>
          </w:tcPr>
          <w:p w14:paraId="548389FE">
            <w:pPr>
              <w:adjustRightInd w:val="0"/>
              <w:snapToGrid w:val="0"/>
              <w:jc w:val="left"/>
              <w:rPr>
                <w:rFonts w:hint="eastAsia" w:ascii="仿宋" w:hAnsi="仿宋" w:eastAsia="仿宋" w:cs="仿宋"/>
                <w:color w:val="auto"/>
                <w:sz w:val="24"/>
                <w:szCs w:val="24"/>
              </w:rPr>
            </w:pPr>
          </w:p>
        </w:tc>
      </w:tr>
      <w:tr w14:paraId="3F4CA1CE">
        <w:trPr>
          <w:trHeight w:val="921" w:hRule="atLeast"/>
        </w:trPr>
        <w:tc>
          <w:tcPr>
            <w:tcW w:w="1075" w:type="dxa"/>
            <w:noWrap w:val="0"/>
            <w:vAlign w:val="center"/>
          </w:tcPr>
          <w:p w14:paraId="438FB3FB">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I</w:t>
            </w:r>
          </w:p>
          <w:p w14:paraId="6D10D57F">
            <w:pPr>
              <w:adjustRightInd w:val="0"/>
              <w:snapToGrid w:val="0"/>
              <w:spacing w:line="240" w:lineRule="atLeast"/>
              <w:jc w:val="center"/>
              <w:rPr>
                <w:rFonts w:hint="eastAsia" w:ascii="仿宋" w:hAnsi="仿宋" w:eastAsia="仿宋" w:cs="仿宋"/>
                <w:color w:val="auto"/>
                <w:sz w:val="24"/>
                <w:szCs w:val="24"/>
                <w:lang w:eastAsia="zh-TW"/>
              </w:rPr>
            </w:pPr>
            <w:r>
              <w:rPr>
                <w:rFonts w:hint="eastAsia" w:ascii="仿宋" w:hAnsi="仿宋" w:eastAsia="仿宋" w:cs="仿宋"/>
                <w:color w:val="auto"/>
                <w:sz w:val="24"/>
                <w:szCs w:val="24"/>
              </w:rPr>
              <w:t>教学方法与教学方式</w:t>
            </w:r>
          </w:p>
        </w:tc>
        <w:tc>
          <w:tcPr>
            <w:tcW w:w="8824" w:type="dxa"/>
            <w:gridSpan w:val="14"/>
            <w:tcBorders>
              <w:bottom w:val="single" w:color="auto" w:sz="4" w:space="0"/>
            </w:tcBorders>
            <w:noWrap w:val="0"/>
            <w:vAlign w:val="center"/>
          </w:tcPr>
          <w:p w14:paraId="6A2692E7">
            <w:pPr>
              <w:numPr>
                <w:ilvl w:val="0"/>
                <w:numId w:val="15"/>
              </w:numPr>
              <w:adjustRightInd w:val="0"/>
              <w:snapToGrid w:val="0"/>
              <w:rPr>
                <w:rFonts w:hint="eastAsia" w:ascii="仿宋" w:hAnsi="仿宋" w:eastAsia="仿宋" w:cs="仿宋"/>
                <w:color w:val="auto"/>
                <w:sz w:val="24"/>
                <w:szCs w:val="24"/>
              </w:rPr>
            </w:pPr>
            <w:r>
              <w:rPr>
                <w:rFonts w:hint="eastAsia" w:ascii="仿宋" w:hAnsi="仿宋" w:eastAsia="仿宋" w:cs="仿宋"/>
                <w:color w:val="auto"/>
                <w:sz w:val="24"/>
                <w:szCs w:val="24"/>
              </w:rPr>
              <w:t>理论课全部采用多媒体教学，应用自编或改编的多媒体课件，改善理论课的枯燥和沉闷，吸引学生的注意力，加强授课效果。</w:t>
            </w:r>
          </w:p>
          <w:p w14:paraId="197C9094">
            <w:pPr>
              <w:numPr>
                <w:ilvl w:val="0"/>
                <w:numId w:val="15"/>
              </w:numPr>
              <w:adjustRightInd w:val="0"/>
              <w:snapToGrid w:val="0"/>
              <w:rPr>
                <w:rFonts w:hint="eastAsia" w:ascii="仿宋" w:hAnsi="仿宋" w:eastAsia="仿宋" w:cs="仿宋"/>
                <w:color w:val="auto"/>
                <w:sz w:val="24"/>
                <w:szCs w:val="24"/>
              </w:rPr>
            </w:pPr>
            <w:r>
              <w:rPr>
                <w:rFonts w:hint="eastAsia" w:ascii="仿宋" w:hAnsi="仿宋" w:eastAsia="仿宋" w:cs="仿宋"/>
                <w:color w:val="auto"/>
                <w:sz w:val="24"/>
                <w:szCs w:val="24"/>
              </w:rPr>
              <w:t>开通网络课堂，达到与学生及时沟通、交流的目的。同时重视师生互动与小组活动，组织课堂小组讨论等活动，将课堂教学变为师生共同活动的过程。</w:t>
            </w:r>
          </w:p>
          <w:p w14:paraId="7A6D3224">
            <w:pPr>
              <w:numPr>
                <w:ilvl w:val="0"/>
                <w:numId w:val="15"/>
              </w:numPr>
              <w:adjustRightInd w:val="0"/>
              <w:snapToGrid w:val="0"/>
              <w:rPr>
                <w:rFonts w:hint="eastAsia" w:ascii="仿宋" w:hAnsi="仿宋" w:eastAsia="仿宋" w:cs="仿宋"/>
                <w:color w:val="auto"/>
                <w:sz w:val="24"/>
                <w:szCs w:val="24"/>
              </w:rPr>
            </w:pPr>
            <w:r>
              <w:rPr>
                <w:rFonts w:hint="eastAsia" w:ascii="仿宋" w:hAnsi="仿宋" w:eastAsia="仿宋" w:cs="仿宋"/>
                <w:color w:val="auto"/>
                <w:sz w:val="24"/>
                <w:szCs w:val="24"/>
              </w:rPr>
              <w:t>主要方式：</w:t>
            </w:r>
          </w:p>
          <w:p w14:paraId="66F4345F">
            <w:pPr>
              <w:numPr>
                <w:ilvl w:val="0"/>
                <w:numId w:val="0"/>
              </w:numPr>
              <w:adjustRightInd w:val="0"/>
              <w:snapToGrid w:val="0"/>
              <w:ind w:leftChars="0"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 xml:space="preserve">讲授  </w:t>
            </w: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 xml:space="preserve">网络学习  </w:t>
            </w: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 xml:space="preserve">讨论或座谈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问题导向学  </w:t>
            </w:r>
          </w:p>
          <w:p w14:paraId="42978BD9">
            <w:pPr>
              <w:numPr>
                <w:ilvl w:val="0"/>
                <w:numId w:val="0"/>
              </w:numPr>
              <w:adjustRightInd w:val="0"/>
              <w:snapToGrid w:val="0"/>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 xml:space="preserve">分组合作学习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专题学习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实作学习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发表学习  </w:t>
            </w:r>
          </w:p>
          <w:p w14:paraId="48131966">
            <w:pPr>
              <w:numPr>
                <w:ilvl w:val="0"/>
                <w:numId w:val="0"/>
              </w:numPr>
              <w:adjustRightInd w:val="0"/>
              <w:snapToGrid w:val="0"/>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实习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参观访问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其它</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rPr>
              <w:t>(</w:t>
            </w:r>
            <w:r>
              <w:rPr>
                <w:rFonts w:hint="eastAsia" w:ascii="仿宋" w:hAnsi="仿宋" w:eastAsia="仿宋" w:cs="仿宋"/>
                <w:color w:val="auto"/>
                <w:sz w:val="24"/>
                <w:szCs w:val="24"/>
                <w:lang w:val="en-US" w:eastAsia="zh-CN"/>
              </w:rPr>
              <w:t>如</w:t>
            </w:r>
            <w:r>
              <w:rPr>
                <w:rFonts w:hint="eastAsia" w:ascii="仿宋" w:hAnsi="仿宋" w:eastAsia="仿宋" w:cs="仿宋"/>
                <w:color w:val="auto"/>
                <w:sz w:val="24"/>
                <w:szCs w:val="24"/>
              </w:rPr>
              <w:t>口头训练</w:t>
            </w:r>
            <w:r>
              <w:rPr>
                <w:rFonts w:hint="eastAsia" w:ascii="仿宋" w:hAnsi="仿宋" w:eastAsia="仿宋" w:cs="仿宋"/>
                <w:color w:val="auto"/>
                <w:sz w:val="24"/>
                <w:szCs w:val="24"/>
                <w:lang w:val="en-US" w:eastAsia="zh-CN"/>
              </w:rPr>
              <w:t>等</w:t>
            </w:r>
            <w:r>
              <w:rPr>
                <w:rFonts w:hint="eastAsia" w:ascii="仿宋" w:hAnsi="仿宋" w:eastAsia="仿宋" w:cs="仿宋"/>
                <w:color w:val="auto"/>
                <w:sz w:val="24"/>
                <w:szCs w:val="24"/>
              </w:rPr>
              <w:t>)</w:t>
            </w:r>
          </w:p>
        </w:tc>
      </w:tr>
      <w:tr w14:paraId="17190213">
        <w:trPr>
          <w:trHeight w:val="580" w:hRule="atLeast"/>
        </w:trPr>
        <w:tc>
          <w:tcPr>
            <w:tcW w:w="1075" w:type="dxa"/>
            <w:noWrap w:val="0"/>
            <w:vAlign w:val="center"/>
          </w:tcPr>
          <w:p w14:paraId="63E29683">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J</w:t>
            </w:r>
          </w:p>
          <w:p w14:paraId="30A70FCD">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教学条件</w:t>
            </w:r>
          </w:p>
          <w:p w14:paraId="3B930D04">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需求</w:t>
            </w:r>
          </w:p>
        </w:tc>
        <w:tc>
          <w:tcPr>
            <w:tcW w:w="8824" w:type="dxa"/>
            <w:gridSpan w:val="14"/>
            <w:tcBorders>
              <w:bottom w:val="single" w:color="auto" w:sz="4" w:space="0"/>
            </w:tcBorders>
            <w:noWrap w:val="0"/>
            <w:vAlign w:val="center"/>
          </w:tcPr>
          <w:p w14:paraId="1CDBD5CE">
            <w:pPr>
              <w:tabs>
                <w:tab w:val="left" w:pos="720"/>
              </w:tabs>
              <w:adjustRightInd w:val="0"/>
              <w:snapToGrid w:val="0"/>
              <w:spacing w:line="240" w:lineRule="atLeas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（如时间、地点安排与“一课双师”等教师配备需求等）</w:t>
            </w:r>
          </w:p>
          <w:p w14:paraId="44B7AFDA">
            <w:pPr>
              <w:numPr>
                <w:ilvl w:val="0"/>
                <w:numId w:val="0"/>
              </w:numPr>
              <w:tabs>
                <w:tab w:val="left" w:pos="720"/>
              </w:tabs>
              <w:adjustRightInd w:val="0"/>
              <w:snapToGrid w:val="0"/>
              <w:ind w:leftChars="0"/>
              <w:rPr>
                <w:rFonts w:hint="eastAsia" w:ascii="仿宋" w:hAnsi="仿宋" w:eastAsia="仿宋" w:cs="仿宋"/>
                <w:color w:val="auto"/>
                <w:sz w:val="24"/>
                <w:szCs w:val="24"/>
              </w:rPr>
            </w:pPr>
            <w:r>
              <w:rPr>
                <w:rFonts w:hint="default" w:ascii="仿宋" w:hAnsi="仿宋" w:eastAsia="仿宋" w:cs="仿宋"/>
                <w:color w:val="auto"/>
                <w:sz w:val="24"/>
                <w:szCs w:val="24"/>
              </w:rPr>
              <w:t>1.多媒体教室。</w:t>
            </w:r>
          </w:p>
          <w:p w14:paraId="0F086BF8">
            <w:pPr>
              <w:tabs>
                <w:tab w:val="left" w:pos="720"/>
              </w:tabs>
              <w:adjustRightInd w:val="0"/>
              <w:snapToGrid w:val="0"/>
              <w:rPr>
                <w:rFonts w:hint="eastAsia" w:ascii="华文仿宋" w:hAnsi="华文仿宋" w:eastAsia="华文仿宋" w:cs="华文仿宋"/>
                <w:color w:val="auto"/>
                <w:kern w:val="0"/>
                <w:sz w:val="24"/>
                <w:szCs w:val="24"/>
              </w:rPr>
            </w:pPr>
            <w:r>
              <w:rPr>
                <w:rFonts w:hint="eastAsia" w:ascii="仿宋" w:hAnsi="仿宋" w:eastAsia="仿宋" w:cs="仿宋"/>
                <w:color w:val="auto"/>
                <w:kern w:val="0"/>
                <w:sz w:val="24"/>
                <w:szCs w:val="24"/>
              </w:rPr>
              <w:t>2.</w:t>
            </w:r>
            <w:r>
              <w:rPr>
                <w:rFonts w:hint="eastAsia" w:ascii="华文仿宋" w:hAnsi="华文仿宋" w:eastAsia="华文仿宋" w:cs="华文仿宋"/>
                <w:color w:val="auto"/>
                <w:kern w:val="0"/>
                <w:sz w:val="24"/>
                <w:szCs w:val="24"/>
              </w:rPr>
              <w:t>学生分组上课翻转教学</w:t>
            </w:r>
          </w:p>
          <w:p w14:paraId="3255F653">
            <w:pPr>
              <w:tabs>
                <w:tab w:val="left" w:pos="720"/>
              </w:tabs>
              <w:adjustRightInd w:val="0"/>
              <w:snapToGrid w:val="0"/>
              <w:rPr>
                <w:rFonts w:hint="eastAsia" w:ascii="华文仿宋" w:hAnsi="华文仿宋" w:eastAsia="华文仿宋" w:cs="华文仿宋"/>
                <w:color w:val="auto"/>
                <w:kern w:val="0"/>
                <w:sz w:val="24"/>
                <w:szCs w:val="24"/>
              </w:rPr>
            </w:pPr>
          </w:p>
          <w:p w14:paraId="6B9CFD5A">
            <w:pPr>
              <w:tabs>
                <w:tab w:val="left" w:pos="720"/>
              </w:tabs>
              <w:adjustRightInd w:val="0"/>
              <w:snapToGrid w:val="0"/>
              <w:rPr>
                <w:rFonts w:hint="eastAsia" w:ascii="仿宋" w:hAnsi="仿宋" w:eastAsia="仿宋" w:cs="仿宋"/>
                <w:color w:val="auto"/>
                <w:kern w:val="0"/>
                <w:sz w:val="24"/>
                <w:szCs w:val="24"/>
              </w:rPr>
            </w:pPr>
          </w:p>
        </w:tc>
      </w:tr>
      <w:tr w14:paraId="5810601D">
        <w:trPr>
          <w:trHeight w:val="711" w:hRule="atLeast"/>
        </w:trPr>
        <w:tc>
          <w:tcPr>
            <w:tcW w:w="1075" w:type="dxa"/>
            <w:vMerge w:val="restart"/>
            <w:noWrap w:val="0"/>
            <w:vAlign w:val="center"/>
          </w:tcPr>
          <w:p w14:paraId="0496048E">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K</w:t>
            </w:r>
          </w:p>
          <w:p w14:paraId="41F25DE3">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课程目标及其考核内容、考核方式及评分占比</w:t>
            </w:r>
          </w:p>
        </w:tc>
        <w:tc>
          <w:tcPr>
            <w:tcW w:w="1333" w:type="dxa"/>
            <w:vMerge w:val="restart"/>
            <w:noWrap w:val="0"/>
            <w:vAlign w:val="center"/>
          </w:tcPr>
          <w:p w14:paraId="27EB51E1">
            <w:pPr>
              <w:adjustRightInd w:val="0"/>
              <w:snapToGrid w:val="0"/>
              <w:rPr>
                <w:rFonts w:hint="eastAsia" w:ascii="仿宋" w:hAnsi="仿宋" w:eastAsia="仿宋" w:cs="仿宋"/>
                <w:color w:val="auto"/>
                <w:sz w:val="24"/>
                <w:szCs w:val="24"/>
              </w:rPr>
            </w:pPr>
            <w:r>
              <w:rPr>
                <w:rFonts w:hint="eastAsia" w:ascii="仿宋" w:hAnsi="仿宋" w:eastAsia="仿宋" w:cs="仿宋"/>
                <w:color w:val="auto"/>
                <w:sz w:val="24"/>
                <w:szCs w:val="24"/>
              </w:rPr>
              <w:t>课程目标及评分占比</w:t>
            </w:r>
          </w:p>
        </w:tc>
        <w:tc>
          <w:tcPr>
            <w:tcW w:w="3247" w:type="dxa"/>
            <w:gridSpan w:val="5"/>
            <w:vMerge w:val="restart"/>
            <w:tcBorders>
              <w:right w:val="single" w:color="000000" w:sz="4" w:space="0"/>
            </w:tcBorders>
            <w:noWrap w:val="0"/>
            <w:vAlign w:val="center"/>
          </w:tcPr>
          <w:p w14:paraId="03A0ED1E">
            <w:pPr>
              <w:tabs>
                <w:tab w:val="left" w:pos="720"/>
              </w:tabs>
              <w:adjustRightInd w:val="0"/>
              <w:snapToGrid w:val="0"/>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考核内容</w:t>
            </w:r>
          </w:p>
        </w:tc>
        <w:tc>
          <w:tcPr>
            <w:tcW w:w="2904" w:type="dxa"/>
            <w:gridSpan w:val="6"/>
            <w:tcBorders>
              <w:left w:val="single" w:color="000000" w:sz="4" w:space="0"/>
              <w:right w:val="single" w:color="000000" w:sz="4" w:space="0"/>
            </w:tcBorders>
            <w:noWrap w:val="0"/>
            <w:vAlign w:val="center"/>
          </w:tcPr>
          <w:p w14:paraId="2125B04A">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sz w:val="24"/>
                <w:szCs w:val="24"/>
              </w:rPr>
              <w:t>考核方式</w:t>
            </w:r>
          </w:p>
        </w:tc>
        <w:tc>
          <w:tcPr>
            <w:tcW w:w="1340" w:type="dxa"/>
            <w:gridSpan w:val="2"/>
            <w:vMerge w:val="restart"/>
            <w:tcBorders>
              <w:left w:val="single" w:color="000000" w:sz="4" w:space="0"/>
            </w:tcBorders>
            <w:noWrap w:val="0"/>
            <w:vAlign w:val="center"/>
          </w:tcPr>
          <w:p w14:paraId="4D851FC0">
            <w:pPr>
              <w:tabs>
                <w:tab w:val="left" w:pos="720"/>
              </w:tabs>
              <w:adjustRightInd w:val="0"/>
              <w:snapToGrid w:val="0"/>
              <w:jc w:val="center"/>
              <w:rPr>
                <w:rFonts w:hint="eastAsia" w:ascii="仿宋" w:hAnsi="仿宋" w:eastAsia="仿宋" w:cs="仿宋"/>
                <w:color w:val="auto"/>
                <w:kern w:val="0"/>
                <w:sz w:val="24"/>
                <w:szCs w:val="24"/>
              </w:rPr>
            </w:pPr>
            <w:r>
              <w:rPr>
                <w:rFonts w:hint="eastAsia" w:ascii="仿宋" w:hAnsi="仿宋" w:eastAsia="仿宋" w:cs="仿宋"/>
                <w:color w:val="auto"/>
                <w:sz w:val="24"/>
                <w:szCs w:val="24"/>
              </w:rPr>
              <w:t>课程分目标的达成度</w:t>
            </w:r>
          </w:p>
        </w:tc>
      </w:tr>
      <w:tr w14:paraId="18812B7F">
        <w:trPr>
          <w:trHeight w:val="184" w:hRule="atLeast"/>
        </w:trPr>
        <w:tc>
          <w:tcPr>
            <w:tcW w:w="1075" w:type="dxa"/>
            <w:vMerge w:val="continue"/>
            <w:noWrap w:val="0"/>
            <w:vAlign w:val="center"/>
          </w:tcPr>
          <w:p w14:paraId="3ED1D490">
            <w:pPr>
              <w:adjustRightInd w:val="0"/>
              <w:snapToGrid w:val="0"/>
              <w:spacing w:line="240" w:lineRule="atLeast"/>
              <w:jc w:val="center"/>
              <w:rPr>
                <w:rFonts w:hint="eastAsia" w:ascii="仿宋" w:hAnsi="仿宋" w:eastAsia="仿宋" w:cs="仿宋"/>
                <w:color w:val="auto"/>
                <w:sz w:val="24"/>
                <w:szCs w:val="24"/>
              </w:rPr>
            </w:pPr>
          </w:p>
        </w:tc>
        <w:tc>
          <w:tcPr>
            <w:tcW w:w="1333" w:type="dxa"/>
            <w:vMerge w:val="continue"/>
            <w:tcBorders>
              <w:tl2br w:val="single" w:color="auto" w:sz="4" w:space="0"/>
            </w:tcBorders>
            <w:noWrap w:val="0"/>
            <w:vAlign w:val="center"/>
          </w:tcPr>
          <w:p w14:paraId="45A3BB8C">
            <w:pPr>
              <w:adjustRightInd w:val="0"/>
              <w:snapToGrid w:val="0"/>
              <w:jc w:val="right"/>
              <w:rPr>
                <w:rFonts w:hint="eastAsia" w:ascii="仿宋" w:hAnsi="仿宋" w:eastAsia="仿宋" w:cs="仿宋"/>
                <w:color w:val="auto"/>
                <w:sz w:val="24"/>
                <w:szCs w:val="24"/>
              </w:rPr>
            </w:pPr>
          </w:p>
        </w:tc>
        <w:tc>
          <w:tcPr>
            <w:tcW w:w="3247" w:type="dxa"/>
            <w:gridSpan w:val="5"/>
            <w:vMerge w:val="continue"/>
            <w:tcBorders>
              <w:right w:val="single" w:color="000000" w:sz="4" w:space="0"/>
            </w:tcBorders>
            <w:noWrap w:val="0"/>
            <w:vAlign w:val="center"/>
          </w:tcPr>
          <w:p w14:paraId="640A9C01">
            <w:pPr>
              <w:tabs>
                <w:tab w:val="left" w:pos="720"/>
              </w:tabs>
              <w:adjustRightInd w:val="0"/>
              <w:snapToGrid w:val="0"/>
              <w:jc w:val="center"/>
              <w:rPr>
                <w:rFonts w:hint="eastAsia" w:ascii="仿宋" w:hAnsi="仿宋" w:eastAsia="仿宋" w:cs="仿宋"/>
                <w:color w:val="auto"/>
                <w:kern w:val="0"/>
                <w:sz w:val="24"/>
                <w:szCs w:val="24"/>
              </w:rPr>
            </w:pPr>
          </w:p>
        </w:tc>
        <w:tc>
          <w:tcPr>
            <w:tcW w:w="555" w:type="dxa"/>
            <w:tcBorders>
              <w:left w:val="single" w:color="000000" w:sz="4" w:space="0"/>
            </w:tcBorders>
            <w:noWrap w:val="0"/>
            <w:vAlign w:val="center"/>
          </w:tcPr>
          <w:p w14:paraId="08CD6150">
            <w:pPr>
              <w:tabs>
                <w:tab w:val="left" w:pos="720"/>
              </w:tabs>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sz w:val="24"/>
                <w:szCs w:val="24"/>
              </w:rPr>
              <w:t>作业评分占比（%）</w:t>
            </w:r>
          </w:p>
        </w:tc>
        <w:tc>
          <w:tcPr>
            <w:tcW w:w="575" w:type="dxa"/>
            <w:tcBorders>
              <w:bottom w:val="single" w:color="auto" w:sz="4" w:space="0"/>
              <w:right w:val="single" w:color="000000" w:sz="4" w:space="0"/>
            </w:tcBorders>
            <w:noWrap w:val="0"/>
            <w:vAlign w:val="center"/>
          </w:tcPr>
          <w:p w14:paraId="71DC9134">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sz w:val="24"/>
                <w:szCs w:val="24"/>
              </w:rPr>
              <w:t>实验评分占比（%）</w:t>
            </w:r>
          </w:p>
        </w:tc>
        <w:tc>
          <w:tcPr>
            <w:tcW w:w="600" w:type="dxa"/>
            <w:tcBorders>
              <w:left w:val="single" w:color="000000" w:sz="4" w:space="0"/>
              <w:bottom w:val="single" w:color="auto" w:sz="4" w:space="0"/>
            </w:tcBorders>
            <w:noWrap w:val="0"/>
            <w:vAlign w:val="center"/>
          </w:tcPr>
          <w:p w14:paraId="17B9D558">
            <w:pPr>
              <w:adjustRightInd w:val="0"/>
              <w:snapToGrid w:val="0"/>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期中考试评分占比</w:t>
            </w:r>
            <w:r>
              <w:rPr>
                <w:rFonts w:hint="eastAsia" w:ascii="仿宋" w:hAnsi="仿宋" w:eastAsia="仿宋" w:cs="仿宋"/>
                <w:color w:val="auto"/>
                <w:sz w:val="24"/>
                <w:szCs w:val="24"/>
              </w:rPr>
              <w:t>（%）</w:t>
            </w:r>
          </w:p>
        </w:tc>
        <w:tc>
          <w:tcPr>
            <w:tcW w:w="600" w:type="dxa"/>
            <w:gridSpan w:val="2"/>
            <w:tcBorders>
              <w:left w:val="single" w:color="000000" w:sz="4" w:space="0"/>
              <w:bottom w:val="single" w:color="auto" w:sz="4" w:space="0"/>
            </w:tcBorders>
            <w:noWrap w:val="0"/>
            <w:vAlign w:val="center"/>
          </w:tcPr>
          <w:p w14:paraId="73619B87">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sz w:val="24"/>
                <w:szCs w:val="24"/>
              </w:rPr>
              <w:t>小组活动评分占比（%）</w:t>
            </w:r>
          </w:p>
        </w:tc>
        <w:tc>
          <w:tcPr>
            <w:tcW w:w="574" w:type="dxa"/>
            <w:tcBorders>
              <w:bottom w:val="single" w:color="auto" w:sz="4" w:space="0"/>
              <w:right w:val="single" w:color="000000" w:sz="4" w:space="0"/>
            </w:tcBorders>
            <w:noWrap w:val="0"/>
            <w:vAlign w:val="center"/>
          </w:tcPr>
          <w:p w14:paraId="3060E667">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sz w:val="24"/>
                <w:szCs w:val="24"/>
              </w:rPr>
              <w:t>期末考试评分占比（%）</w:t>
            </w:r>
          </w:p>
        </w:tc>
        <w:tc>
          <w:tcPr>
            <w:tcW w:w="1340" w:type="dxa"/>
            <w:gridSpan w:val="2"/>
            <w:vMerge w:val="continue"/>
            <w:tcBorders>
              <w:left w:val="single" w:color="000000" w:sz="4" w:space="0"/>
              <w:bottom w:val="single" w:color="auto" w:sz="4" w:space="0"/>
            </w:tcBorders>
            <w:noWrap w:val="0"/>
            <w:vAlign w:val="center"/>
          </w:tcPr>
          <w:p w14:paraId="3AC6FE38">
            <w:pPr>
              <w:tabs>
                <w:tab w:val="left" w:pos="720"/>
              </w:tabs>
              <w:adjustRightInd w:val="0"/>
              <w:snapToGrid w:val="0"/>
              <w:jc w:val="center"/>
              <w:rPr>
                <w:rFonts w:hint="eastAsia" w:ascii="仿宋" w:hAnsi="仿宋" w:eastAsia="仿宋" w:cs="仿宋"/>
                <w:color w:val="auto"/>
                <w:sz w:val="24"/>
                <w:szCs w:val="24"/>
              </w:rPr>
            </w:pPr>
          </w:p>
        </w:tc>
      </w:tr>
      <w:tr w14:paraId="1CD38566">
        <w:tc>
          <w:tcPr>
            <w:tcW w:w="1075" w:type="dxa"/>
            <w:vMerge w:val="continue"/>
            <w:noWrap w:val="0"/>
            <w:vAlign w:val="center"/>
          </w:tcPr>
          <w:p w14:paraId="7003453B">
            <w:pPr>
              <w:adjustRightInd w:val="0"/>
              <w:snapToGrid w:val="0"/>
              <w:spacing w:line="240" w:lineRule="atLeast"/>
              <w:jc w:val="center"/>
              <w:rPr>
                <w:rFonts w:hint="eastAsia" w:ascii="仿宋" w:hAnsi="仿宋" w:eastAsia="仿宋" w:cs="仿宋"/>
                <w:color w:val="auto"/>
                <w:sz w:val="24"/>
                <w:szCs w:val="24"/>
                <w:lang w:eastAsia="zh-TW"/>
              </w:rPr>
            </w:pPr>
          </w:p>
        </w:tc>
        <w:tc>
          <w:tcPr>
            <w:tcW w:w="1333" w:type="dxa"/>
            <w:tcBorders>
              <w:bottom w:val="single" w:color="auto" w:sz="4" w:space="0"/>
            </w:tcBorders>
            <w:noWrap w:val="0"/>
            <w:vAlign w:val="center"/>
          </w:tcPr>
          <w:p w14:paraId="6F67ACCD">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kern w:val="0"/>
                <w:sz w:val="24"/>
                <w:szCs w:val="24"/>
              </w:rPr>
              <w:t>课程目标1（</w:t>
            </w:r>
            <w:r>
              <w:rPr>
                <w:rFonts w:hint="default" w:ascii="仿宋" w:hAnsi="仿宋" w:eastAsia="仿宋" w:cs="仿宋"/>
                <w:color w:val="auto"/>
                <w:kern w:val="0"/>
                <w:sz w:val="24"/>
                <w:szCs w:val="24"/>
                <w:lang w:val="en-US"/>
              </w:rPr>
              <w:t>40</w:t>
            </w:r>
            <w:r>
              <w:rPr>
                <w:rFonts w:hint="eastAsia" w:ascii="仿宋" w:hAnsi="仿宋" w:eastAsia="仿宋" w:cs="仿宋"/>
                <w:color w:val="auto"/>
                <w:kern w:val="0"/>
                <w:sz w:val="24"/>
                <w:szCs w:val="24"/>
              </w:rPr>
              <w:t>%）</w:t>
            </w:r>
          </w:p>
        </w:tc>
        <w:tc>
          <w:tcPr>
            <w:tcW w:w="3247" w:type="dxa"/>
            <w:gridSpan w:val="5"/>
            <w:tcBorders>
              <w:bottom w:val="single" w:color="auto" w:sz="4" w:space="0"/>
              <w:right w:val="single" w:color="000000" w:sz="4" w:space="0"/>
            </w:tcBorders>
            <w:noWrap w:val="0"/>
            <w:vAlign w:val="center"/>
          </w:tcPr>
          <w:p w14:paraId="2E027310">
            <w:pPr>
              <w:adjustRightInd w:val="0"/>
              <w:snapToGrid w:val="0"/>
              <w:jc w:val="left"/>
              <w:rPr>
                <w:rFonts w:hint="eastAsia" w:ascii="华文仿宋" w:hAnsi="华文仿宋" w:eastAsia="华文仿宋" w:cs="华文仿宋"/>
                <w:color w:val="auto"/>
                <w:kern w:val="0"/>
                <w:sz w:val="24"/>
                <w:szCs w:val="24"/>
              </w:rPr>
            </w:pPr>
            <w:r>
              <w:rPr>
                <w:rFonts w:hint="eastAsia" w:ascii="华文仿宋" w:hAnsi="华文仿宋" w:eastAsia="华文仿宋" w:cs="华文仿宋"/>
                <w:sz w:val="24"/>
                <w:szCs w:val="24"/>
                <w:lang w:eastAsia="zh-CN"/>
              </w:rPr>
              <w:t>了解演出活动的内涵、演出活动性质、特点、基本类型、演出活动功能。掌握演出活动策划的基本原理、策划流程、演出</w:t>
            </w:r>
            <w:r>
              <w:rPr>
                <w:rFonts w:hint="eastAsia" w:ascii="华文仿宋" w:hAnsi="华文仿宋" w:eastAsia="华文仿宋" w:cs="华文仿宋"/>
                <w:color w:val="464646"/>
                <w:sz w:val="24"/>
                <w:szCs w:val="24"/>
                <w:lang w:eastAsia="zh-CN"/>
              </w:rPr>
              <w:t>活动可行性分析和活动策划书的编写。</w:t>
            </w:r>
          </w:p>
        </w:tc>
        <w:tc>
          <w:tcPr>
            <w:tcW w:w="555" w:type="dxa"/>
            <w:tcBorders>
              <w:left w:val="single" w:color="000000" w:sz="4" w:space="0"/>
              <w:bottom w:val="single" w:color="auto" w:sz="4" w:space="0"/>
            </w:tcBorders>
            <w:noWrap w:val="0"/>
            <w:vAlign w:val="center"/>
          </w:tcPr>
          <w:p w14:paraId="13792FD9">
            <w:pPr>
              <w:adjustRightInd w:val="0"/>
              <w:snapToGrid w:val="0"/>
              <w:jc w:val="center"/>
              <w:rPr>
                <w:rFonts w:hint="eastAsia" w:ascii="仿宋" w:hAnsi="仿宋" w:eastAsia="仿宋" w:cs="仿宋"/>
                <w:color w:val="auto"/>
                <w:kern w:val="0"/>
                <w:sz w:val="24"/>
                <w:szCs w:val="24"/>
              </w:rPr>
            </w:pPr>
          </w:p>
        </w:tc>
        <w:tc>
          <w:tcPr>
            <w:tcW w:w="575" w:type="dxa"/>
            <w:tcBorders>
              <w:bottom w:val="single" w:color="auto" w:sz="4" w:space="0"/>
              <w:right w:val="single" w:color="000000" w:sz="4" w:space="0"/>
            </w:tcBorders>
            <w:noWrap w:val="0"/>
            <w:vAlign w:val="center"/>
          </w:tcPr>
          <w:p w14:paraId="566430A6">
            <w:pPr>
              <w:adjustRightInd w:val="0"/>
              <w:snapToGrid w:val="0"/>
              <w:jc w:val="center"/>
              <w:rPr>
                <w:rFonts w:hint="eastAsia" w:ascii="仿宋" w:hAnsi="仿宋" w:eastAsia="仿宋" w:cs="仿宋"/>
                <w:color w:val="auto"/>
                <w:kern w:val="0"/>
                <w:sz w:val="24"/>
                <w:szCs w:val="24"/>
              </w:rPr>
            </w:pPr>
          </w:p>
        </w:tc>
        <w:tc>
          <w:tcPr>
            <w:tcW w:w="600" w:type="dxa"/>
            <w:tcBorders>
              <w:left w:val="single" w:color="000000" w:sz="4" w:space="0"/>
              <w:bottom w:val="single" w:color="auto" w:sz="4" w:space="0"/>
              <w:right w:val="single" w:color="auto" w:sz="4" w:space="0"/>
            </w:tcBorders>
            <w:noWrap w:val="0"/>
            <w:vAlign w:val="center"/>
          </w:tcPr>
          <w:p w14:paraId="7157B05C">
            <w:pPr>
              <w:tabs>
                <w:tab w:val="left" w:pos="720"/>
              </w:tabs>
              <w:adjustRightInd w:val="0"/>
              <w:snapToGrid w:val="0"/>
              <w:jc w:val="center"/>
              <w:rPr>
                <w:rFonts w:hint="eastAsia" w:ascii="仿宋" w:hAnsi="仿宋" w:eastAsia="仿宋" w:cs="仿宋"/>
                <w:color w:val="auto"/>
                <w:kern w:val="0"/>
                <w:sz w:val="24"/>
                <w:szCs w:val="24"/>
              </w:rPr>
            </w:pPr>
          </w:p>
        </w:tc>
        <w:tc>
          <w:tcPr>
            <w:tcW w:w="600" w:type="dxa"/>
            <w:gridSpan w:val="2"/>
            <w:tcBorders>
              <w:left w:val="single" w:color="000000" w:sz="4" w:space="0"/>
              <w:bottom w:val="single" w:color="auto" w:sz="4" w:space="0"/>
              <w:right w:val="single" w:color="auto" w:sz="4" w:space="0"/>
            </w:tcBorders>
            <w:noWrap w:val="0"/>
            <w:vAlign w:val="center"/>
          </w:tcPr>
          <w:p w14:paraId="3C25D8C9">
            <w:pPr>
              <w:tabs>
                <w:tab w:val="left" w:pos="720"/>
              </w:tabs>
              <w:adjustRightInd w:val="0"/>
              <w:snapToGrid w:val="0"/>
              <w:jc w:val="center"/>
              <w:rPr>
                <w:rFonts w:hint="default" w:ascii="仿宋" w:hAnsi="仿宋" w:eastAsia="仿宋" w:cs="仿宋"/>
                <w:color w:val="auto"/>
                <w:kern w:val="0"/>
                <w:sz w:val="24"/>
                <w:szCs w:val="24"/>
                <w:lang w:val="en-US"/>
              </w:rPr>
            </w:pPr>
            <w:r>
              <w:rPr>
                <w:rFonts w:hint="default" w:ascii="仿宋" w:hAnsi="仿宋" w:eastAsia="仿宋" w:cs="仿宋"/>
                <w:color w:val="auto"/>
                <w:kern w:val="0"/>
                <w:sz w:val="24"/>
                <w:szCs w:val="24"/>
                <w:lang w:val="en-US"/>
              </w:rPr>
              <w:t>12</w:t>
            </w:r>
          </w:p>
        </w:tc>
        <w:tc>
          <w:tcPr>
            <w:tcW w:w="574" w:type="dxa"/>
            <w:tcBorders>
              <w:left w:val="single" w:color="auto" w:sz="4" w:space="0"/>
              <w:bottom w:val="single" w:color="auto" w:sz="4" w:space="0"/>
              <w:right w:val="single" w:color="auto" w:sz="4" w:space="0"/>
            </w:tcBorders>
            <w:noWrap w:val="0"/>
            <w:vAlign w:val="center"/>
          </w:tcPr>
          <w:p w14:paraId="5C0513F7">
            <w:pPr>
              <w:tabs>
                <w:tab w:val="left" w:pos="720"/>
              </w:tabs>
              <w:adjustRightInd w:val="0"/>
              <w:snapToGrid w:val="0"/>
              <w:jc w:val="center"/>
              <w:rPr>
                <w:rFonts w:hint="eastAsia" w:ascii="仿宋" w:hAnsi="仿宋" w:eastAsia="仿宋" w:cs="仿宋"/>
                <w:color w:val="auto"/>
                <w:kern w:val="0"/>
                <w:sz w:val="24"/>
                <w:szCs w:val="24"/>
              </w:rPr>
            </w:pPr>
            <w:r>
              <w:rPr>
                <w:rFonts w:hint="default" w:ascii="仿宋" w:hAnsi="仿宋" w:eastAsia="仿宋" w:cs="仿宋"/>
                <w:color w:val="auto"/>
                <w:kern w:val="0"/>
                <w:sz w:val="24"/>
                <w:szCs w:val="24"/>
                <w:lang w:val="en-US"/>
              </w:rPr>
              <w:t>28</w:t>
            </w:r>
          </w:p>
        </w:tc>
        <w:tc>
          <w:tcPr>
            <w:tcW w:w="1340" w:type="dxa"/>
            <w:gridSpan w:val="2"/>
            <w:tcBorders>
              <w:left w:val="single" w:color="auto" w:sz="4" w:space="0"/>
              <w:bottom w:val="single" w:color="auto" w:sz="4" w:space="0"/>
            </w:tcBorders>
            <w:noWrap w:val="0"/>
            <w:vAlign w:val="center"/>
          </w:tcPr>
          <w:p w14:paraId="39A1B217">
            <w:pPr>
              <w:tabs>
                <w:tab w:val="left" w:pos="720"/>
              </w:tabs>
              <w:adjustRightInd w:val="0"/>
              <w:snapToGrid w:val="0"/>
              <w:jc w:val="center"/>
              <w:rPr>
                <w:rFonts w:hint="eastAsia" w:ascii="仿宋" w:hAnsi="仿宋" w:eastAsia="仿宋" w:cs="仿宋"/>
                <w:color w:val="auto"/>
                <w:kern w:val="0"/>
                <w:sz w:val="24"/>
                <w:szCs w:val="24"/>
              </w:rPr>
            </w:pPr>
            <w:r>
              <w:rPr>
                <w:rFonts w:hint="default" w:ascii="仿宋" w:hAnsi="仿宋" w:eastAsia="仿宋" w:cs="仿宋"/>
                <w:color w:val="auto"/>
                <w:kern w:val="0"/>
                <w:sz w:val="24"/>
                <w:szCs w:val="24"/>
              </w:rPr>
              <w:t>0.75</w:t>
            </w:r>
          </w:p>
        </w:tc>
      </w:tr>
      <w:tr w14:paraId="0CEDEB6D">
        <w:trPr>
          <w:trHeight w:val="745" w:hRule="atLeast"/>
        </w:trPr>
        <w:tc>
          <w:tcPr>
            <w:tcW w:w="1075" w:type="dxa"/>
            <w:vMerge w:val="continue"/>
            <w:noWrap w:val="0"/>
            <w:vAlign w:val="center"/>
          </w:tcPr>
          <w:p w14:paraId="53142F58">
            <w:pPr>
              <w:adjustRightInd w:val="0"/>
              <w:snapToGrid w:val="0"/>
              <w:spacing w:line="240" w:lineRule="atLeast"/>
              <w:jc w:val="center"/>
              <w:rPr>
                <w:rFonts w:hint="eastAsia" w:ascii="仿宋" w:hAnsi="仿宋" w:eastAsia="仿宋" w:cs="仿宋"/>
                <w:color w:val="auto"/>
                <w:sz w:val="24"/>
                <w:szCs w:val="24"/>
                <w:lang w:eastAsia="zh-TW"/>
              </w:rPr>
            </w:pPr>
          </w:p>
        </w:tc>
        <w:tc>
          <w:tcPr>
            <w:tcW w:w="1333" w:type="dxa"/>
            <w:noWrap w:val="0"/>
            <w:vAlign w:val="center"/>
          </w:tcPr>
          <w:p w14:paraId="343D4530">
            <w:pPr>
              <w:adjustRightInd w:val="0"/>
              <w:snapToGrid w:val="0"/>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课程目标2（</w:t>
            </w:r>
            <w:r>
              <w:rPr>
                <w:rFonts w:hint="default" w:ascii="仿宋" w:hAnsi="仿宋" w:eastAsia="仿宋" w:cs="仿宋"/>
                <w:color w:val="auto"/>
                <w:kern w:val="0"/>
                <w:sz w:val="24"/>
                <w:szCs w:val="24"/>
                <w:lang w:val="en-US"/>
              </w:rPr>
              <w:t>20</w:t>
            </w:r>
            <w:r>
              <w:rPr>
                <w:rFonts w:hint="eastAsia" w:ascii="仿宋" w:hAnsi="仿宋" w:eastAsia="仿宋" w:cs="仿宋"/>
                <w:color w:val="auto"/>
                <w:kern w:val="0"/>
                <w:sz w:val="24"/>
                <w:szCs w:val="24"/>
              </w:rPr>
              <w:t>%）</w:t>
            </w:r>
          </w:p>
        </w:tc>
        <w:tc>
          <w:tcPr>
            <w:tcW w:w="3247" w:type="dxa"/>
            <w:gridSpan w:val="5"/>
            <w:tcBorders>
              <w:right w:val="single" w:color="000000" w:sz="4" w:space="0"/>
            </w:tcBorders>
            <w:noWrap w:val="0"/>
            <w:vAlign w:val="center"/>
          </w:tcPr>
          <w:p w14:paraId="23836296">
            <w:pPr>
              <w:adjustRightInd w:val="0"/>
              <w:snapToGrid w:val="0"/>
              <w:jc w:val="left"/>
              <w:rPr>
                <w:rFonts w:hint="eastAsia" w:ascii="华文仿宋" w:hAnsi="华文仿宋" w:eastAsia="华文仿宋" w:cs="华文仿宋"/>
                <w:color w:val="auto"/>
                <w:kern w:val="0"/>
                <w:sz w:val="24"/>
                <w:szCs w:val="24"/>
              </w:rPr>
            </w:pPr>
            <w:r>
              <w:rPr>
                <w:rFonts w:hint="eastAsia" w:ascii="华文仿宋" w:hAnsi="华文仿宋" w:eastAsia="华文仿宋" w:cs="华文仿宋"/>
                <w:sz w:val="24"/>
                <w:szCs w:val="24"/>
                <w:lang w:eastAsia="zh-CN"/>
              </w:rPr>
              <w:t>初步掌握演出活动营销方法、演出文化娱乐活动策划的基本方法。掌握演出活动的战略执行与控制的方法。</w:t>
            </w:r>
          </w:p>
        </w:tc>
        <w:tc>
          <w:tcPr>
            <w:tcW w:w="555" w:type="dxa"/>
            <w:tcBorders>
              <w:left w:val="single" w:color="000000" w:sz="4" w:space="0"/>
            </w:tcBorders>
            <w:noWrap w:val="0"/>
            <w:vAlign w:val="center"/>
          </w:tcPr>
          <w:p w14:paraId="21788E5F">
            <w:pPr>
              <w:adjustRightInd w:val="0"/>
              <w:snapToGrid w:val="0"/>
              <w:jc w:val="center"/>
              <w:rPr>
                <w:rFonts w:hint="eastAsia" w:ascii="仿宋" w:hAnsi="仿宋" w:eastAsia="仿宋" w:cs="仿宋"/>
                <w:color w:val="auto"/>
                <w:kern w:val="0"/>
                <w:sz w:val="24"/>
                <w:szCs w:val="24"/>
              </w:rPr>
            </w:pPr>
          </w:p>
        </w:tc>
        <w:tc>
          <w:tcPr>
            <w:tcW w:w="575" w:type="dxa"/>
            <w:tcBorders>
              <w:bottom w:val="single" w:color="000000" w:sz="4" w:space="0"/>
              <w:right w:val="single" w:color="000000" w:sz="4" w:space="0"/>
            </w:tcBorders>
            <w:noWrap w:val="0"/>
            <w:vAlign w:val="center"/>
          </w:tcPr>
          <w:p w14:paraId="4FC643D5">
            <w:pPr>
              <w:adjustRightInd w:val="0"/>
              <w:snapToGrid w:val="0"/>
              <w:jc w:val="center"/>
              <w:rPr>
                <w:rFonts w:hint="eastAsia" w:ascii="仿宋" w:hAnsi="仿宋" w:eastAsia="仿宋" w:cs="仿宋"/>
                <w:color w:val="auto"/>
                <w:kern w:val="0"/>
                <w:sz w:val="24"/>
                <w:szCs w:val="24"/>
              </w:rPr>
            </w:pPr>
          </w:p>
        </w:tc>
        <w:tc>
          <w:tcPr>
            <w:tcW w:w="600" w:type="dxa"/>
            <w:tcBorders>
              <w:left w:val="single" w:color="000000" w:sz="4" w:space="0"/>
              <w:bottom w:val="single" w:color="000000" w:sz="4" w:space="0"/>
            </w:tcBorders>
            <w:noWrap w:val="0"/>
            <w:vAlign w:val="center"/>
          </w:tcPr>
          <w:p w14:paraId="7FF1E9C3">
            <w:pPr>
              <w:tabs>
                <w:tab w:val="left" w:pos="720"/>
              </w:tabs>
              <w:adjustRightInd w:val="0"/>
              <w:snapToGrid w:val="0"/>
              <w:jc w:val="center"/>
              <w:rPr>
                <w:rFonts w:hint="eastAsia" w:ascii="仿宋" w:hAnsi="仿宋" w:eastAsia="仿宋" w:cs="仿宋"/>
                <w:color w:val="auto"/>
                <w:kern w:val="0"/>
                <w:sz w:val="24"/>
                <w:szCs w:val="24"/>
              </w:rPr>
            </w:pPr>
          </w:p>
        </w:tc>
        <w:tc>
          <w:tcPr>
            <w:tcW w:w="600" w:type="dxa"/>
            <w:gridSpan w:val="2"/>
            <w:tcBorders>
              <w:left w:val="single" w:color="000000" w:sz="4" w:space="0"/>
              <w:bottom w:val="single" w:color="000000" w:sz="4" w:space="0"/>
            </w:tcBorders>
            <w:noWrap w:val="0"/>
            <w:vAlign w:val="center"/>
          </w:tcPr>
          <w:p w14:paraId="65BFB7F0">
            <w:pPr>
              <w:tabs>
                <w:tab w:val="left" w:pos="720"/>
              </w:tabs>
              <w:adjustRightInd w:val="0"/>
              <w:snapToGrid w:val="0"/>
              <w:jc w:val="center"/>
              <w:rPr>
                <w:rFonts w:hint="default" w:ascii="仿宋" w:hAnsi="仿宋" w:eastAsia="仿宋" w:cs="仿宋"/>
                <w:color w:val="auto"/>
                <w:kern w:val="0"/>
                <w:sz w:val="24"/>
                <w:szCs w:val="24"/>
                <w:lang w:val="en-US"/>
              </w:rPr>
            </w:pPr>
            <w:r>
              <w:rPr>
                <w:rFonts w:hint="default" w:ascii="仿宋" w:hAnsi="仿宋" w:eastAsia="仿宋" w:cs="仿宋"/>
                <w:color w:val="auto"/>
                <w:kern w:val="0"/>
                <w:sz w:val="24"/>
                <w:szCs w:val="24"/>
                <w:lang w:val="en-US"/>
              </w:rPr>
              <w:t>8</w:t>
            </w:r>
          </w:p>
        </w:tc>
        <w:tc>
          <w:tcPr>
            <w:tcW w:w="574" w:type="dxa"/>
            <w:tcBorders>
              <w:bottom w:val="single" w:color="000000" w:sz="4" w:space="0"/>
              <w:right w:val="single" w:color="000000" w:sz="4" w:space="0"/>
            </w:tcBorders>
            <w:noWrap w:val="0"/>
            <w:vAlign w:val="center"/>
          </w:tcPr>
          <w:p w14:paraId="39CF2C3B">
            <w:pPr>
              <w:tabs>
                <w:tab w:val="left" w:pos="720"/>
              </w:tabs>
              <w:adjustRightInd w:val="0"/>
              <w:snapToGrid w:val="0"/>
              <w:jc w:val="center"/>
              <w:rPr>
                <w:rFonts w:hint="eastAsia" w:ascii="仿宋" w:hAnsi="仿宋" w:eastAsia="仿宋" w:cs="仿宋"/>
                <w:color w:val="auto"/>
                <w:kern w:val="0"/>
                <w:sz w:val="24"/>
                <w:szCs w:val="24"/>
              </w:rPr>
            </w:pPr>
            <w:r>
              <w:rPr>
                <w:rFonts w:hint="default" w:ascii="仿宋" w:hAnsi="仿宋" w:eastAsia="仿宋" w:cs="仿宋"/>
                <w:color w:val="auto"/>
                <w:kern w:val="0"/>
                <w:sz w:val="24"/>
                <w:szCs w:val="24"/>
                <w:lang w:val="en-US"/>
              </w:rPr>
              <w:t>12</w:t>
            </w:r>
          </w:p>
        </w:tc>
        <w:tc>
          <w:tcPr>
            <w:tcW w:w="1340" w:type="dxa"/>
            <w:gridSpan w:val="2"/>
            <w:tcBorders>
              <w:left w:val="single" w:color="000000" w:sz="4" w:space="0"/>
              <w:bottom w:val="single" w:color="000000" w:sz="4" w:space="0"/>
            </w:tcBorders>
            <w:noWrap w:val="0"/>
            <w:vAlign w:val="center"/>
          </w:tcPr>
          <w:p w14:paraId="525455FD">
            <w:pPr>
              <w:tabs>
                <w:tab w:val="left" w:pos="720"/>
              </w:tabs>
              <w:adjustRightInd w:val="0"/>
              <w:snapToGrid w:val="0"/>
              <w:jc w:val="center"/>
              <w:rPr>
                <w:rFonts w:hint="eastAsia" w:ascii="仿宋" w:hAnsi="仿宋" w:eastAsia="仿宋" w:cs="仿宋"/>
                <w:color w:val="auto"/>
                <w:kern w:val="0"/>
                <w:sz w:val="24"/>
                <w:szCs w:val="24"/>
              </w:rPr>
            </w:pPr>
            <w:r>
              <w:rPr>
                <w:rFonts w:hint="default" w:ascii="仿宋" w:hAnsi="仿宋" w:eastAsia="仿宋" w:cs="仿宋"/>
                <w:color w:val="auto"/>
                <w:kern w:val="0"/>
                <w:sz w:val="24"/>
                <w:szCs w:val="24"/>
              </w:rPr>
              <w:t>0.75</w:t>
            </w:r>
          </w:p>
        </w:tc>
      </w:tr>
      <w:tr w14:paraId="160232A2">
        <w:trPr>
          <w:trHeight w:val="515" w:hRule="atLeast"/>
        </w:trPr>
        <w:tc>
          <w:tcPr>
            <w:tcW w:w="1075" w:type="dxa"/>
            <w:vMerge w:val="continue"/>
            <w:noWrap w:val="0"/>
            <w:vAlign w:val="center"/>
          </w:tcPr>
          <w:p w14:paraId="7BE1D1DC">
            <w:pPr>
              <w:adjustRightInd w:val="0"/>
              <w:snapToGrid w:val="0"/>
              <w:spacing w:line="240" w:lineRule="atLeast"/>
              <w:jc w:val="center"/>
              <w:rPr>
                <w:rFonts w:hint="eastAsia" w:ascii="仿宋" w:hAnsi="仿宋" w:eastAsia="仿宋" w:cs="仿宋"/>
                <w:color w:val="auto"/>
                <w:sz w:val="24"/>
                <w:szCs w:val="24"/>
                <w:lang w:eastAsia="zh-TW"/>
              </w:rPr>
            </w:pPr>
          </w:p>
        </w:tc>
        <w:tc>
          <w:tcPr>
            <w:tcW w:w="1333" w:type="dxa"/>
            <w:tcBorders>
              <w:bottom w:val="single" w:color="auto" w:sz="4" w:space="0"/>
            </w:tcBorders>
            <w:noWrap w:val="0"/>
            <w:vAlign w:val="center"/>
          </w:tcPr>
          <w:p w14:paraId="161DFF27">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kern w:val="0"/>
                <w:sz w:val="24"/>
                <w:szCs w:val="24"/>
              </w:rPr>
              <w:t>课程目标3（</w:t>
            </w:r>
            <w:r>
              <w:rPr>
                <w:rFonts w:hint="default" w:ascii="仿宋" w:hAnsi="仿宋" w:eastAsia="仿宋" w:cs="仿宋"/>
                <w:color w:val="auto"/>
                <w:kern w:val="0"/>
                <w:sz w:val="24"/>
                <w:szCs w:val="24"/>
                <w:lang w:val="en-US"/>
              </w:rPr>
              <w:t>4</w:t>
            </w:r>
            <w:r>
              <w:rPr>
                <w:rFonts w:hint="default" w:ascii="仿宋" w:hAnsi="仿宋" w:eastAsia="仿宋" w:cs="仿宋"/>
                <w:color w:val="auto"/>
                <w:kern w:val="0"/>
                <w:sz w:val="24"/>
                <w:szCs w:val="24"/>
              </w:rPr>
              <w:t>0</w:t>
            </w:r>
            <w:r>
              <w:rPr>
                <w:rFonts w:hint="eastAsia" w:ascii="仿宋" w:hAnsi="仿宋" w:eastAsia="仿宋" w:cs="仿宋"/>
                <w:color w:val="auto"/>
                <w:kern w:val="0"/>
                <w:sz w:val="24"/>
                <w:szCs w:val="24"/>
              </w:rPr>
              <w:t>%）</w:t>
            </w:r>
          </w:p>
        </w:tc>
        <w:tc>
          <w:tcPr>
            <w:tcW w:w="3247" w:type="dxa"/>
            <w:gridSpan w:val="5"/>
            <w:tcBorders>
              <w:bottom w:val="single" w:color="auto" w:sz="4" w:space="0"/>
              <w:right w:val="single" w:color="000000" w:sz="4" w:space="0"/>
            </w:tcBorders>
            <w:noWrap w:val="0"/>
            <w:vAlign w:val="center"/>
          </w:tcPr>
          <w:p w14:paraId="78B40910">
            <w:pPr>
              <w:adjustRightInd w:val="0"/>
              <w:snapToGrid w:val="0"/>
              <w:jc w:val="left"/>
              <w:rPr>
                <w:rFonts w:hint="eastAsia" w:ascii="华文仿宋" w:hAnsi="华文仿宋" w:eastAsia="华文仿宋" w:cs="华文仿宋"/>
                <w:color w:val="auto"/>
                <w:kern w:val="0"/>
                <w:sz w:val="24"/>
                <w:szCs w:val="24"/>
              </w:rPr>
            </w:pPr>
            <w:r>
              <w:rPr>
                <w:rFonts w:hint="eastAsia" w:ascii="华文仿宋" w:hAnsi="华文仿宋" w:eastAsia="华文仿宋" w:cs="华文仿宋"/>
                <w:kern w:val="0"/>
                <w:sz w:val="24"/>
                <w:szCs w:val="24"/>
              </w:rPr>
              <w:t>使学生对大纲范围内演出活动策划的内容有比较系统和全面的了解，使学生掌握演出活动策划的基础理论和策划思想；培养学生</w:t>
            </w:r>
            <w:r>
              <w:rPr>
                <w:rFonts w:hint="eastAsia" w:ascii="华文仿宋" w:hAnsi="华文仿宋" w:eastAsia="华文仿宋" w:cs="华文仿宋"/>
                <w:color w:val="000000"/>
                <w:kern w:val="0"/>
                <w:sz w:val="24"/>
                <w:szCs w:val="24"/>
              </w:rPr>
              <w:t>具有初步的演出活动策划和活动管理执行问题的能力。拓宽学生的视野，提高审美能力和分析能力，完善知识结构，树立辩正唯物史观，适应基础音乐教育需要。</w:t>
            </w:r>
          </w:p>
        </w:tc>
        <w:tc>
          <w:tcPr>
            <w:tcW w:w="555" w:type="dxa"/>
            <w:tcBorders>
              <w:left w:val="single" w:color="000000" w:sz="4" w:space="0"/>
              <w:bottom w:val="single" w:color="auto" w:sz="4" w:space="0"/>
            </w:tcBorders>
            <w:noWrap w:val="0"/>
            <w:vAlign w:val="center"/>
          </w:tcPr>
          <w:p w14:paraId="518B957E">
            <w:pPr>
              <w:adjustRightInd w:val="0"/>
              <w:snapToGrid w:val="0"/>
              <w:jc w:val="center"/>
              <w:rPr>
                <w:rFonts w:hint="eastAsia" w:ascii="仿宋" w:hAnsi="仿宋" w:eastAsia="仿宋" w:cs="仿宋"/>
                <w:color w:val="auto"/>
                <w:kern w:val="0"/>
                <w:sz w:val="24"/>
                <w:szCs w:val="24"/>
              </w:rPr>
            </w:pPr>
          </w:p>
        </w:tc>
        <w:tc>
          <w:tcPr>
            <w:tcW w:w="575" w:type="dxa"/>
            <w:tcBorders>
              <w:top w:val="single" w:color="000000" w:sz="4" w:space="0"/>
              <w:bottom w:val="single" w:color="auto" w:sz="4" w:space="0"/>
              <w:right w:val="single" w:color="000000" w:sz="4" w:space="0"/>
            </w:tcBorders>
            <w:noWrap w:val="0"/>
            <w:vAlign w:val="center"/>
          </w:tcPr>
          <w:p w14:paraId="23E43EA7">
            <w:pPr>
              <w:adjustRightInd w:val="0"/>
              <w:snapToGrid w:val="0"/>
              <w:jc w:val="center"/>
              <w:rPr>
                <w:rFonts w:hint="eastAsia" w:ascii="仿宋" w:hAnsi="仿宋" w:eastAsia="仿宋" w:cs="仿宋"/>
                <w:color w:val="auto"/>
                <w:kern w:val="0"/>
                <w:sz w:val="24"/>
                <w:szCs w:val="24"/>
              </w:rPr>
            </w:pPr>
          </w:p>
        </w:tc>
        <w:tc>
          <w:tcPr>
            <w:tcW w:w="600" w:type="dxa"/>
            <w:tcBorders>
              <w:top w:val="single" w:color="000000" w:sz="4" w:space="0"/>
              <w:left w:val="single" w:color="000000" w:sz="4" w:space="0"/>
              <w:bottom w:val="single" w:color="auto" w:sz="4" w:space="0"/>
            </w:tcBorders>
            <w:noWrap w:val="0"/>
            <w:vAlign w:val="center"/>
          </w:tcPr>
          <w:p w14:paraId="0B8BD298">
            <w:pPr>
              <w:tabs>
                <w:tab w:val="left" w:pos="720"/>
              </w:tabs>
              <w:adjustRightInd w:val="0"/>
              <w:snapToGrid w:val="0"/>
              <w:jc w:val="center"/>
              <w:rPr>
                <w:rFonts w:hint="eastAsia" w:ascii="仿宋" w:hAnsi="仿宋" w:eastAsia="仿宋" w:cs="仿宋"/>
                <w:color w:val="auto"/>
                <w:kern w:val="0"/>
                <w:sz w:val="24"/>
                <w:szCs w:val="24"/>
              </w:rPr>
            </w:pPr>
          </w:p>
        </w:tc>
        <w:tc>
          <w:tcPr>
            <w:tcW w:w="600" w:type="dxa"/>
            <w:gridSpan w:val="2"/>
            <w:tcBorders>
              <w:top w:val="single" w:color="000000" w:sz="4" w:space="0"/>
              <w:left w:val="single" w:color="000000" w:sz="4" w:space="0"/>
              <w:bottom w:val="single" w:color="auto" w:sz="4" w:space="0"/>
            </w:tcBorders>
            <w:noWrap w:val="0"/>
            <w:vAlign w:val="center"/>
          </w:tcPr>
          <w:p w14:paraId="095F06EF">
            <w:pPr>
              <w:tabs>
                <w:tab w:val="left" w:pos="720"/>
              </w:tabs>
              <w:adjustRightInd w:val="0"/>
              <w:snapToGrid w:val="0"/>
              <w:jc w:val="center"/>
              <w:rPr>
                <w:rFonts w:hint="eastAsia" w:ascii="仿宋" w:hAnsi="仿宋" w:eastAsia="仿宋" w:cs="仿宋"/>
                <w:color w:val="auto"/>
                <w:kern w:val="0"/>
                <w:sz w:val="24"/>
                <w:szCs w:val="24"/>
              </w:rPr>
            </w:pPr>
            <w:r>
              <w:rPr>
                <w:rFonts w:hint="default" w:ascii="仿宋" w:hAnsi="仿宋" w:eastAsia="仿宋" w:cs="仿宋"/>
                <w:color w:val="auto"/>
                <w:kern w:val="0"/>
                <w:sz w:val="24"/>
                <w:szCs w:val="24"/>
                <w:lang w:val="en-US"/>
              </w:rPr>
              <w:t>3</w:t>
            </w:r>
          </w:p>
        </w:tc>
        <w:tc>
          <w:tcPr>
            <w:tcW w:w="574" w:type="dxa"/>
            <w:tcBorders>
              <w:top w:val="single" w:color="000000" w:sz="4" w:space="0"/>
              <w:bottom w:val="single" w:color="auto" w:sz="4" w:space="0"/>
              <w:right w:val="single" w:color="000000" w:sz="4" w:space="0"/>
            </w:tcBorders>
            <w:noWrap w:val="0"/>
            <w:vAlign w:val="center"/>
          </w:tcPr>
          <w:p w14:paraId="40D80A83">
            <w:pPr>
              <w:tabs>
                <w:tab w:val="left" w:pos="720"/>
              </w:tabs>
              <w:adjustRightInd w:val="0"/>
              <w:snapToGrid w:val="0"/>
              <w:jc w:val="center"/>
              <w:rPr>
                <w:rFonts w:hint="eastAsia" w:ascii="仿宋" w:hAnsi="仿宋" w:eastAsia="仿宋" w:cs="仿宋"/>
                <w:color w:val="auto"/>
                <w:kern w:val="0"/>
                <w:sz w:val="24"/>
                <w:szCs w:val="24"/>
              </w:rPr>
            </w:pPr>
            <w:r>
              <w:rPr>
                <w:rFonts w:hint="default" w:ascii="仿宋" w:hAnsi="仿宋" w:eastAsia="仿宋" w:cs="仿宋"/>
                <w:color w:val="auto"/>
                <w:kern w:val="0"/>
                <w:sz w:val="24"/>
                <w:szCs w:val="24"/>
                <w:lang w:val="en-US"/>
              </w:rPr>
              <w:t>8</w:t>
            </w:r>
          </w:p>
        </w:tc>
        <w:tc>
          <w:tcPr>
            <w:tcW w:w="1340" w:type="dxa"/>
            <w:gridSpan w:val="2"/>
            <w:tcBorders>
              <w:top w:val="single" w:color="000000" w:sz="4" w:space="0"/>
              <w:left w:val="single" w:color="000000" w:sz="4" w:space="0"/>
              <w:bottom w:val="single" w:color="auto" w:sz="4" w:space="0"/>
            </w:tcBorders>
            <w:noWrap w:val="0"/>
            <w:vAlign w:val="center"/>
          </w:tcPr>
          <w:p w14:paraId="2777522A">
            <w:pPr>
              <w:tabs>
                <w:tab w:val="left" w:pos="720"/>
              </w:tabs>
              <w:adjustRightInd w:val="0"/>
              <w:snapToGrid w:val="0"/>
              <w:jc w:val="center"/>
              <w:rPr>
                <w:rFonts w:hint="eastAsia" w:ascii="仿宋" w:hAnsi="仿宋" w:eastAsia="仿宋" w:cs="仿宋"/>
                <w:color w:val="auto"/>
                <w:kern w:val="0"/>
                <w:sz w:val="24"/>
                <w:szCs w:val="24"/>
              </w:rPr>
            </w:pPr>
            <w:r>
              <w:rPr>
                <w:rFonts w:hint="default" w:ascii="仿宋" w:hAnsi="仿宋" w:eastAsia="仿宋" w:cs="仿宋"/>
                <w:color w:val="auto"/>
                <w:kern w:val="0"/>
                <w:sz w:val="24"/>
                <w:szCs w:val="24"/>
              </w:rPr>
              <w:t>0.75</w:t>
            </w:r>
          </w:p>
        </w:tc>
      </w:tr>
      <w:tr w14:paraId="526D0E58">
        <w:trPr>
          <w:trHeight w:val="515" w:hRule="atLeast"/>
        </w:trPr>
        <w:tc>
          <w:tcPr>
            <w:tcW w:w="1075" w:type="dxa"/>
            <w:vMerge w:val="continue"/>
            <w:noWrap w:val="0"/>
            <w:vAlign w:val="center"/>
          </w:tcPr>
          <w:p w14:paraId="626E223F">
            <w:pPr>
              <w:adjustRightInd w:val="0"/>
              <w:snapToGrid w:val="0"/>
              <w:spacing w:line="240" w:lineRule="atLeast"/>
              <w:jc w:val="center"/>
              <w:rPr>
                <w:rFonts w:hint="eastAsia" w:ascii="仿宋" w:hAnsi="仿宋" w:eastAsia="仿宋" w:cs="仿宋"/>
                <w:color w:val="auto"/>
                <w:sz w:val="24"/>
                <w:szCs w:val="24"/>
                <w:lang w:eastAsia="zh-TW"/>
              </w:rPr>
            </w:pPr>
          </w:p>
        </w:tc>
        <w:tc>
          <w:tcPr>
            <w:tcW w:w="4580" w:type="dxa"/>
            <w:gridSpan w:val="6"/>
            <w:tcBorders>
              <w:bottom w:val="single" w:color="auto" w:sz="4" w:space="0"/>
              <w:right w:val="single" w:color="000000" w:sz="4" w:space="0"/>
            </w:tcBorders>
            <w:noWrap w:val="0"/>
            <w:vAlign w:val="center"/>
          </w:tcPr>
          <w:p w14:paraId="0F62E3CC">
            <w:pPr>
              <w:widowControl/>
              <w:autoSpaceDE w:val="0"/>
              <w:autoSpaceDN w:val="0"/>
              <w:adjustRightInd w:val="0"/>
              <w:snapToGrid w:val="0"/>
              <w:jc w:val="center"/>
              <w:textAlignment w:val="bottom"/>
              <w:rPr>
                <w:rFonts w:hint="eastAsia" w:ascii="仿宋" w:hAnsi="仿宋" w:eastAsia="仿宋" w:cs="仿宋"/>
                <w:color w:val="auto"/>
                <w:sz w:val="24"/>
                <w:szCs w:val="24"/>
              </w:rPr>
            </w:pPr>
            <w:r>
              <w:rPr>
                <w:rFonts w:hint="eastAsia" w:ascii="仿宋" w:hAnsi="仿宋" w:eastAsia="仿宋" w:cs="仿宋"/>
                <w:color w:val="auto"/>
                <w:sz w:val="24"/>
                <w:szCs w:val="24"/>
              </w:rPr>
              <w:t>总分</w:t>
            </w:r>
          </w:p>
        </w:tc>
        <w:tc>
          <w:tcPr>
            <w:tcW w:w="555" w:type="dxa"/>
            <w:tcBorders>
              <w:left w:val="single" w:color="000000" w:sz="4" w:space="0"/>
              <w:bottom w:val="single" w:color="auto" w:sz="4" w:space="0"/>
            </w:tcBorders>
            <w:noWrap w:val="0"/>
            <w:vAlign w:val="center"/>
          </w:tcPr>
          <w:p w14:paraId="491598C0">
            <w:pPr>
              <w:adjustRightInd w:val="0"/>
              <w:snapToGrid w:val="0"/>
              <w:jc w:val="center"/>
              <w:rPr>
                <w:rFonts w:hint="eastAsia" w:ascii="仿宋" w:hAnsi="仿宋" w:eastAsia="仿宋" w:cs="仿宋"/>
                <w:color w:val="auto"/>
                <w:kern w:val="0"/>
                <w:sz w:val="24"/>
                <w:szCs w:val="24"/>
              </w:rPr>
            </w:pPr>
          </w:p>
        </w:tc>
        <w:tc>
          <w:tcPr>
            <w:tcW w:w="575" w:type="dxa"/>
            <w:tcBorders>
              <w:top w:val="single" w:color="000000" w:sz="4" w:space="0"/>
              <w:bottom w:val="single" w:color="auto" w:sz="4" w:space="0"/>
              <w:right w:val="single" w:color="000000" w:sz="4" w:space="0"/>
            </w:tcBorders>
            <w:noWrap w:val="0"/>
            <w:vAlign w:val="center"/>
          </w:tcPr>
          <w:p w14:paraId="73F48840">
            <w:pPr>
              <w:adjustRightInd w:val="0"/>
              <w:snapToGrid w:val="0"/>
              <w:jc w:val="center"/>
              <w:rPr>
                <w:rFonts w:hint="eastAsia" w:ascii="仿宋" w:hAnsi="仿宋" w:eastAsia="仿宋" w:cs="仿宋"/>
                <w:color w:val="auto"/>
                <w:kern w:val="0"/>
                <w:sz w:val="24"/>
                <w:szCs w:val="24"/>
              </w:rPr>
            </w:pPr>
          </w:p>
        </w:tc>
        <w:tc>
          <w:tcPr>
            <w:tcW w:w="600" w:type="dxa"/>
            <w:tcBorders>
              <w:top w:val="single" w:color="000000" w:sz="4" w:space="0"/>
              <w:left w:val="single" w:color="000000" w:sz="4" w:space="0"/>
              <w:bottom w:val="single" w:color="auto" w:sz="4" w:space="0"/>
            </w:tcBorders>
            <w:noWrap w:val="0"/>
            <w:vAlign w:val="center"/>
          </w:tcPr>
          <w:p w14:paraId="3FB9D909">
            <w:pPr>
              <w:tabs>
                <w:tab w:val="left" w:pos="720"/>
              </w:tabs>
              <w:adjustRightInd w:val="0"/>
              <w:snapToGrid w:val="0"/>
              <w:jc w:val="center"/>
              <w:rPr>
                <w:rFonts w:hint="eastAsia" w:ascii="仿宋" w:hAnsi="仿宋" w:eastAsia="仿宋" w:cs="仿宋"/>
                <w:color w:val="auto"/>
                <w:kern w:val="0"/>
                <w:sz w:val="24"/>
                <w:szCs w:val="24"/>
              </w:rPr>
            </w:pPr>
          </w:p>
        </w:tc>
        <w:tc>
          <w:tcPr>
            <w:tcW w:w="600" w:type="dxa"/>
            <w:gridSpan w:val="2"/>
            <w:tcBorders>
              <w:top w:val="single" w:color="000000" w:sz="4" w:space="0"/>
              <w:left w:val="single" w:color="000000" w:sz="4" w:space="0"/>
              <w:bottom w:val="single" w:color="auto" w:sz="4" w:space="0"/>
            </w:tcBorders>
            <w:noWrap w:val="0"/>
            <w:vAlign w:val="center"/>
          </w:tcPr>
          <w:p w14:paraId="2E0D1E62">
            <w:pPr>
              <w:tabs>
                <w:tab w:val="left" w:pos="720"/>
              </w:tabs>
              <w:adjustRightInd w:val="0"/>
              <w:snapToGrid w:val="0"/>
              <w:jc w:val="center"/>
              <w:rPr>
                <w:rFonts w:hint="default" w:ascii="仿宋" w:hAnsi="仿宋" w:eastAsia="仿宋" w:cs="仿宋"/>
                <w:color w:val="auto"/>
                <w:kern w:val="0"/>
                <w:sz w:val="24"/>
                <w:szCs w:val="24"/>
                <w:lang w:val="en-US"/>
              </w:rPr>
            </w:pPr>
            <w:r>
              <w:rPr>
                <w:rFonts w:hint="default" w:ascii="仿宋" w:hAnsi="仿宋" w:eastAsia="仿宋" w:cs="仿宋"/>
                <w:color w:val="auto"/>
                <w:kern w:val="0"/>
                <w:sz w:val="24"/>
                <w:szCs w:val="24"/>
                <w:lang w:val="en-US"/>
              </w:rPr>
              <w:t>25</w:t>
            </w:r>
          </w:p>
        </w:tc>
        <w:tc>
          <w:tcPr>
            <w:tcW w:w="574" w:type="dxa"/>
            <w:tcBorders>
              <w:top w:val="single" w:color="000000" w:sz="4" w:space="0"/>
              <w:bottom w:val="single" w:color="auto" w:sz="4" w:space="0"/>
              <w:right w:val="single" w:color="000000" w:sz="4" w:space="0"/>
            </w:tcBorders>
            <w:noWrap w:val="0"/>
            <w:vAlign w:val="center"/>
          </w:tcPr>
          <w:p w14:paraId="093D0660">
            <w:pPr>
              <w:tabs>
                <w:tab w:val="left" w:pos="720"/>
              </w:tabs>
              <w:adjustRightInd w:val="0"/>
              <w:snapToGrid w:val="0"/>
              <w:jc w:val="center"/>
              <w:rPr>
                <w:rFonts w:hint="eastAsia" w:ascii="仿宋" w:hAnsi="仿宋" w:eastAsia="仿宋" w:cs="仿宋"/>
                <w:color w:val="auto"/>
                <w:kern w:val="0"/>
                <w:sz w:val="24"/>
                <w:szCs w:val="24"/>
              </w:rPr>
            </w:pPr>
            <w:r>
              <w:rPr>
                <w:rFonts w:hint="default" w:ascii="仿宋" w:hAnsi="仿宋" w:eastAsia="仿宋" w:cs="仿宋"/>
                <w:color w:val="auto"/>
                <w:kern w:val="0"/>
                <w:sz w:val="24"/>
                <w:szCs w:val="24"/>
                <w:lang w:val="en-US"/>
              </w:rPr>
              <w:t>75</w:t>
            </w:r>
          </w:p>
        </w:tc>
        <w:tc>
          <w:tcPr>
            <w:tcW w:w="1340" w:type="dxa"/>
            <w:gridSpan w:val="2"/>
            <w:tcBorders>
              <w:top w:val="single" w:color="000000" w:sz="4" w:space="0"/>
              <w:left w:val="single" w:color="000000" w:sz="4" w:space="0"/>
              <w:bottom w:val="single" w:color="auto" w:sz="4" w:space="0"/>
            </w:tcBorders>
            <w:noWrap w:val="0"/>
            <w:vAlign w:val="center"/>
          </w:tcPr>
          <w:p w14:paraId="6BE2E1B8">
            <w:pPr>
              <w:tabs>
                <w:tab w:val="left" w:pos="720"/>
              </w:tabs>
              <w:adjustRightInd w:val="0"/>
              <w:snapToGrid w:val="0"/>
              <w:jc w:val="center"/>
              <w:rPr>
                <w:rFonts w:hint="eastAsia" w:ascii="仿宋" w:hAnsi="仿宋" w:eastAsia="仿宋" w:cs="仿宋"/>
                <w:color w:val="auto"/>
                <w:kern w:val="0"/>
                <w:sz w:val="24"/>
                <w:szCs w:val="24"/>
              </w:rPr>
            </w:pPr>
            <w:r>
              <w:rPr>
                <w:rFonts w:hint="default" w:ascii="仿宋" w:hAnsi="仿宋" w:eastAsia="仿宋" w:cs="仿宋"/>
                <w:color w:val="auto"/>
                <w:kern w:val="0"/>
                <w:sz w:val="24"/>
                <w:szCs w:val="24"/>
              </w:rPr>
              <w:t>0.75</w:t>
            </w:r>
          </w:p>
        </w:tc>
      </w:tr>
      <w:tr w14:paraId="7E613A8F">
        <w:tc>
          <w:tcPr>
            <w:tcW w:w="1075" w:type="dxa"/>
            <w:noWrap w:val="0"/>
            <w:vAlign w:val="center"/>
          </w:tcPr>
          <w:p w14:paraId="6DD9B0F3">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L</w:t>
            </w:r>
          </w:p>
          <w:p w14:paraId="06161F06">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学习建议</w:t>
            </w:r>
          </w:p>
        </w:tc>
        <w:tc>
          <w:tcPr>
            <w:tcW w:w="8824" w:type="dxa"/>
            <w:gridSpan w:val="14"/>
            <w:tcBorders>
              <w:bottom w:val="single" w:color="auto" w:sz="4" w:space="0"/>
            </w:tcBorders>
            <w:noWrap w:val="0"/>
            <w:vAlign w:val="center"/>
          </w:tcPr>
          <w:p w14:paraId="352946FB">
            <w:pPr>
              <w:adjustRightInd w:val="0"/>
              <w:snapToGrid w:val="0"/>
              <w:rPr>
                <w:rFonts w:hint="eastAsia" w:ascii="仿宋" w:hAnsi="仿宋" w:eastAsia="仿宋" w:cs="仿宋"/>
                <w:bCs/>
                <w:color w:val="auto"/>
                <w:sz w:val="24"/>
                <w:szCs w:val="24"/>
              </w:rPr>
            </w:pPr>
            <w:r>
              <w:rPr>
                <w:rFonts w:hint="eastAsia" w:ascii="仿宋" w:hAnsi="仿宋" w:eastAsia="仿宋" w:cs="仿宋"/>
                <w:bCs/>
                <w:color w:val="auto"/>
                <w:sz w:val="24"/>
                <w:szCs w:val="24"/>
              </w:rPr>
              <w:t>1.自主学习。建议学生通过预习教材，并通过网络、图书馆自主查阅课程中涉及的学习资源，独立规划自己的课程学习计划，充分发挥自身的学习能动性。</w:t>
            </w:r>
          </w:p>
          <w:p w14:paraId="746FE95E">
            <w:pPr>
              <w:adjustRightInd w:val="0"/>
              <w:snapToGrid w:val="0"/>
              <w:rPr>
                <w:rFonts w:hint="eastAsia" w:ascii="仿宋" w:hAnsi="仿宋" w:eastAsia="仿宋" w:cs="仿宋"/>
                <w:color w:val="auto"/>
                <w:kern w:val="0"/>
                <w:sz w:val="24"/>
                <w:szCs w:val="24"/>
              </w:rPr>
            </w:pPr>
            <w:r>
              <w:rPr>
                <w:rFonts w:hint="eastAsia" w:ascii="仿宋" w:hAnsi="仿宋" w:eastAsia="仿宋" w:cs="仿宋"/>
                <w:bCs/>
                <w:color w:val="auto"/>
                <w:sz w:val="24"/>
                <w:szCs w:val="24"/>
              </w:rPr>
              <w:t>2.研究性学习。鼓励学生针对课程教学内容，尝试理论课结合专题报告的教学方式，开阔学生的视野。</w:t>
            </w:r>
          </w:p>
        </w:tc>
      </w:tr>
      <w:tr w14:paraId="79FFD850">
        <w:trPr>
          <w:trHeight w:val="454" w:hRule="atLeast"/>
        </w:trPr>
        <w:tc>
          <w:tcPr>
            <w:tcW w:w="1075" w:type="dxa"/>
            <w:noWrap w:val="0"/>
            <w:vAlign w:val="center"/>
          </w:tcPr>
          <w:p w14:paraId="7FACBBD0">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M</w:t>
            </w:r>
          </w:p>
          <w:p w14:paraId="2281D594">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评分量表</w:t>
            </w:r>
          </w:p>
        </w:tc>
        <w:tc>
          <w:tcPr>
            <w:tcW w:w="8824" w:type="dxa"/>
            <w:gridSpan w:val="14"/>
            <w:noWrap w:val="0"/>
            <w:vAlign w:val="center"/>
          </w:tcPr>
          <w:p w14:paraId="141BE340">
            <w:pPr>
              <w:tabs>
                <w:tab w:val="left" w:pos="720"/>
              </w:tabs>
              <w:adjustRightInd w:val="0"/>
              <w:snapToGrid w:val="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w:t>
            </w:r>
            <w:r>
              <w:rPr>
                <w:rFonts w:hint="default" w:ascii="仿宋" w:hAnsi="仿宋" w:eastAsia="宋体" w:cs="仿宋"/>
                <w:color w:val="auto"/>
                <w:sz w:val="24"/>
                <w:szCs w:val="24"/>
              </w:rPr>
              <w:t>演出策划与管理</w:t>
            </w:r>
            <w:r>
              <w:rPr>
                <w:rFonts w:hint="eastAsia" w:ascii="仿宋" w:hAnsi="仿宋" w:eastAsia="仿宋" w:cs="仿宋"/>
                <w:color w:val="auto"/>
                <w:kern w:val="0"/>
                <w:sz w:val="24"/>
                <w:szCs w:val="24"/>
              </w:rPr>
              <w:t>》课程目标评分量表见附表。</w:t>
            </w:r>
          </w:p>
        </w:tc>
      </w:tr>
      <w:tr w14:paraId="6F50FEB7">
        <w:trPr>
          <w:trHeight w:val="454" w:hRule="atLeast"/>
        </w:trPr>
        <w:tc>
          <w:tcPr>
            <w:tcW w:w="1075" w:type="dxa"/>
            <w:noWrap w:val="0"/>
            <w:vAlign w:val="center"/>
          </w:tcPr>
          <w:p w14:paraId="4C64222F">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备注</w:t>
            </w:r>
          </w:p>
        </w:tc>
        <w:tc>
          <w:tcPr>
            <w:tcW w:w="8824" w:type="dxa"/>
            <w:gridSpan w:val="14"/>
            <w:noWrap w:val="0"/>
            <w:vAlign w:val="center"/>
          </w:tcPr>
          <w:p w14:paraId="170E4668">
            <w:pPr>
              <w:adjustRightInd w:val="0"/>
              <w:snapToGrid w:val="0"/>
              <w:rPr>
                <w:rFonts w:hint="eastAsia" w:ascii="仿宋" w:hAnsi="仿宋" w:eastAsia="仿宋" w:cs="仿宋"/>
                <w:color w:val="auto"/>
                <w:kern w:val="0"/>
                <w:sz w:val="24"/>
                <w:szCs w:val="24"/>
              </w:rPr>
            </w:pPr>
            <w:r>
              <w:rPr>
                <w:rFonts w:hint="eastAsia" w:ascii="仿宋" w:hAnsi="仿宋" w:eastAsia="仿宋" w:cs="仿宋"/>
                <w:color w:val="auto"/>
                <w:sz w:val="24"/>
                <w:szCs w:val="24"/>
              </w:rPr>
              <w:t>课程大纲A—M项由开课学院审批通过，任课教师不能自行更改。</w:t>
            </w:r>
          </w:p>
        </w:tc>
      </w:tr>
      <w:tr w14:paraId="206C4FEA">
        <w:trPr>
          <w:trHeight w:val="2968" w:hRule="atLeast"/>
        </w:trPr>
        <w:tc>
          <w:tcPr>
            <w:tcW w:w="1075" w:type="dxa"/>
            <w:noWrap w:val="0"/>
            <w:vAlign w:val="center"/>
          </w:tcPr>
          <w:p w14:paraId="550D4E2B">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审批</w:t>
            </w:r>
          </w:p>
          <w:p w14:paraId="2CEF8310">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意见</w:t>
            </w:r>
          </w:p>
        </w:tc>
        <w:tc>
          <w:tcPr>
            <w:tcW w:w="4170" w:type="dxa"/>
            <w:gridSpan w:val="4"/>
            <w:noWrap w:val="0"/>
            <w:vAlign w:val="center"/>
          </w:tcPr>
          <w:p w14:paraId="4438A8A2">
            <w:pPr>
              <w:widowControl/>
              <w:adjustRightInd w:val="0"/>
              <w:snapToGrid w:val="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课程</w:t>
            </w:r>
            <w:r>
              <w:rPr>
                <w:rFonts w:hint="eastAsia" w:ascii="仿宋" w:hAnsi="仿宋" w:eastAsia="仿宋" w:cs="仿宋"/>
                <w:color w:val="auto"/>
                <w:kern w:val="0"/>
                <w:sz w:val="24"/>
                <w:szCs w:val="24"/>
                <w:lang w:val="en-US" w:eastAsia="zh-CN"/>
              </w:rPr>
              <w:t>教学</w:t>
            </w:r>
            <w:r>
              <w:rPr>
                <w:rFonts w:hint="eastAsia" w:ascii="仿宋" w:hAnsi="仿宋" w:eastAsia="仿宋" w:cs="仿宋"/>
                <w:color w:val="auto"/>
                <w:kern w:val="0"/>
                <w:sz w:val="24"/>
                <w:szCs w:val="24"/>
              </w:rPr>
              <w:t>大纲</w:t>
            </w:r>
            <w:r>
              <w:rPr>
                <w:rFonts w:hint="eastAsia" w:ascii="仿宋" w:hAnsi="仿宋" w:eastAsia="仿宋" w:cs="仿宋"/>
                <w:color w:val="auto"/>
                <w:kern w:val="0"/>
                <w:sz w:val="24"/>
                <w:szCs w:val="24"/>
                <w:lang w:val="en-US" w:eastAsia="zh-CN"/>
              </w:rPr>
              <w:t>修订</w:t>
            </w:r>
            <w:r>
              <w:rPr>
                <w:rFonts w:hint="eastAsia" w:ascii="仿宋" w:hAnsi="仿宋" w:eastAsia="仿宋" w:cs="仿宋"/>
                <w:color w:val="auto"/>
                <w:kern w:val="0"/>
                <w:sz w:val="24"/>
                <w:szCs w:val="24"/>
              </w:rPr>
              <w:t>负责人</w:t>
            </w:r>
            <w:r>
              <w:rPr>
                <w:rFonts w:hint="eastAsia" w:ascii="仿宋" w:hAnsi="仿宋" w:eastAsia="仿宋" w:cs="仿宋"/>
                <w:color w:val="auto"/>
                <w:kern w:val="0"/>
                <w:sz w:val="24"/>
                <w:szCs w:val="24"/>
                <w:lang w:val="en-US" w:eastAsia="zh-CN"/>
              </w:rPr>
              <w:t>及教学团队成员</w:t>
            </w:r>
            <w:r>
              <w:rPr>
                <w:rFonts w:hint="eastAsia" w:ascii="仿宋" w:hAnsi="仿宋" w:eastAsia="仿宋" w:cs="仿宋"/>
                <w:color w:val="auto"/>
                <w:sz w:val="24"/>
                <w:szCs w:val="24"/>
              </w:rPr>
              <w:t>签名</w:t>
            </w:r>
            <w:r>
              <w:rPr>
                <w:rFonts w:hint="eastAsia" w:ascii="仿宋" w:hAnsi="仿宋" w:eastAsia="仿宋" w:cs="仿宋"/>
                <w:color w:val="auto"/>
                <w:kern w:val="0"/>
                <w:sz w:val="24"/>
                <w:szCs w:val="24"/>
              </w:rPr>
              <w:t xml:space="preserve">：   </w:t>
            </w:r>
          </w:p>
          <w:p w14:paraId="009EFB78">
            <w:pPr>
              <w:widowControl/>
              <w:adjustRightInd w:val="0"/>
              <w:snapToGrid w:val="0"/>
              <w:jc w:val="left"/>
              <w:rPr>
                <w:rFonts w:hint="eastAsia" w:ascii="仿宋" w:hAnsi="仿宋" w:eastAsia="仿宋" w:cs="仿宋"/>
                <w:color w:val="auto"/>
                <w:kern w:val="0"/>
                <w:sz w:val="24"/>
                <w:szCs w:val="24"/>
              </w:rPr>
            </w:pPr>
            <w:r>
              <w:rPr>
                <w:rFonts w:hint="default" w:ascii="仿宋" w:hAnsi="仿宋" w:eastAsia="仿宋" w:cs="仿宋"/>
                <w:color w:val="auto"/>
                <w:kern w:val="0"/>
                <w:sz w:val="24"/>
                <w:szCs w:val="24"/>
              </w:rPr>
              <w:t>尚昱辰</w:t>
            </w:r>
          </w:p>
          <w:p w14:paraId="2C788170">
            <w:pPr>
              <w:widowControl/>
              <w:adjustRightInd w:val="0"/>
              <w:snapToGrid w:val="0"/>
              <w:jc w:val="left"/>
              <w:rPr>
                <w:rFonts w:hint="eastAsia" w:ascii="仿宋" w:hAnsi="仿宋" w:eastAsia="仿宋" w:cs="仿宋"/>
                <w:color w:val="auto"/>
                <w:kern w:val="0"/>
                <w:sz w:val="24"/>
                <w:szCs w:val="24"/>
              </w:rPr>
            </w:pPr>
          </w:p>
          <w:p w14:paraId="517FBE11">
            <w:pPr>
              <w:widowControl/>
              <w:adjustRightInd w:val="0"/>
              <w:snapToGrid w:val="0"/>
              <w:jc w:val="righ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 xml:space="preserve">                                                </w:t>
            </w:r>
            <w:r>
              <w:rPr>
                <w:rFonts w:hint="default" w:ascii="仿宋" w:hAnsi="仿宋" w:eastAsia="仿宋" w:cs="仿宋"/>
                <w:color w:val="auto"/>
                <w:kern w:val="0"/>
                <w:sz w:val="24"/>
                <w:szCs w:val="24"/>
                <w:lang w:val="en-US"/>
              </w:rPr>
              <w:t>2024</w:t>
            </w:r>
            <w:r>
              <w:rPr>
                <w:rFonts w:hint="eastAsia" w:ascii="仿宋" w:hAnsi="仿宋" w:eastAsia="仿宋" w:cs="仿宋"/>
                <w:color w:val="auto"/>
                <w:kern w:val="0"/>
                <w:sz w:val="24"/>
                <w:szCs w:val="24"/>
              </w:rPr>
              <w:t xml:space="preserve">年 </w:t>
            </w:r>
            <w:r>
              <w:rPr>
                <w:rFonts w:hint="default" w:ascii="仿宋" w:hAnsi="仿宋" w:eastAsia="仿宋" w:cs="仿宋"/>
                <w:color w:val="auto"/>
                <w:kern w:val="0"/>
                <w:sz w:val="24"/>
                <w:szCs w:val="24"/>
                <w:lang w:val="en-US"/>
              </w:rPr>
              <w:t>2</w:t>
            </w:r>
            <w:r>
              <w:rPr>
                <w:rFonts w:hint="eastAsia" w:ascii="仿宋" w:hAnsi="仿宋" w:eastAsia="仿宋" w:cs="仿宋"/>
                <w:color w:val="auto"/>
                <w:kern w:val="0"/>
                <w:sz w:val="24"/>
                <w:szCs w:val="24"/>
              </w:rPr>
              <w:t xml:space="preserve">  月   日</w:t>
            </w:r>
            <w:r>
              <w:rPr>
                <w:rFonts w:hint="eastAsia" w:ascii="仿宋" w:hAnsi="仿宋" w:eastAsia="仿宋" w:cs="仿宋"/>
                <w:color w:val="auto"/>
                <w:kern w:val="0"/>
                <w:sz w:val="24"/>
                <w:szCs w:val="24"/>
                <w:lang w:val="en-US" w:eastAsia="zh-CN"/>
              </w:rPr>
              <w:t xml:space="preserve"> </w:t>
            </w:r>
          </w:p>
        </w:tc>
        <w:tc>
          <w:tcPr>
            <w:tcW w:w="4654" w:type="dxa"/>
            <w:gridSpan w:val="10"/>
            <w:noWrap w:val="0"/>
            <w:vAlign w:val="center"/>
          </w:tcPr>
          <w:p w14:paraId="6C9FCDBB">
            <w:pPr>
              <w:widowControl/>
              <w:adjustRightInd w:val="0"/>
              <w:snapToGrid w:val="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系主任审核</w:t>
            </w:r>
            <w:r>
              <w:rPr>
                <w:rFonts w:hint="eastAsia" w:ascii="仿宋" w:hAnsi="仿宋" w:eastAsia="仿宋" w:cs="仿宋"/>
                <w:color w:val="auto"/>
                <w:kern w:val="0"/>
                <w:sz w:val="24"/>
                <w:szCs w:val="24"/>
              </w:rPr>
              <w:t>意见：</w:t>
            </w:r>
          </w:p>
          <w:p w14:paraId="2094807D">
            <w:pPr>
              <w:widowControl/>
              <w:adjustRightInd w:val="0"/>
              <w:snapToGrid w:val="0"/>
              <w:jc w:val="left"/>
              <w:rPr>
                <w:rFonts w:hint="eastAsia" w:ascii="仿宋" w:hAnsi="仿宋" w:eastAsia="仿宋" w:cs="仿宋"/>
                <w:color w:val="auto"/>
                <w:kern w:val="0"/>
                <w:sz w:val="24"/>
                <w:szCs w:val="24"/>
              </w:rPr>
            </w:pPr>
          </w:p>
          <w:p w14:paraId="3C358B0D">
            <w:pPr>
              <w:widowControl/>
              <w:adjustRightInd w:val="0"/>
              <w:snapToGrid w:val="0"/>
              <w:jc w:val="left"/>
              <w:rPr>
                <w:rFonts w:hint="eastAsia" w:ascii="仿宋" w:hAnsi="仿宋" w:eastAsia="仿宋" w:cs="仿宋"/>
                <w:color w:val="auto"/>
                <w:kern w:val="0"/>
                <w:sz w:val="24"/>
                <w:szCs w:val="24"/>
              </w:rPr>
            </w:pPr>
          </w:p>
          <w:p w14:paraId="0117E440">
            <w:pPr>
              <w:widowControl/>
              <w:adjustRightInd w:val="0"/>
              <w:snapToGrid w:val="0"/>
              <w:jc w:val="left"/>
              <w:rPr>
                <w:rFonts w:hint="eastAsia" w:ascii="仿宋" w:hAnsi="仿宋" w:eastAsia="仿宋" w:cs="仿宋"/>
                <w:color w:val="auto"/>
                <w:kern w:val="0"/>
                <w:sz w:val="24"/>
                <w:szCs w:val="24"/>
              </w:rPr>
            </w:pPr>
          </w:p>
          <w:p w14:paraId="1809649F">
            <w:pPr>
              <w:widowControl/>
              <w:adjustRightInd w:val="0"/>
              <w:snapToGrid w:val="0"/>
              <w:jc w:val="left"/>
              <w:rPr>
                <w:rFonts w:hint="eastAsia" w:ascii="仿宋" w:hAnsi="仿宋" w:eastAsia="仿宋" w:cs="仿宋"/>
                <w:color w:val="auto"/>
                <w:kern w:val="0"/>
                <w:sz w:val="24"/>
                <w:szCs w:val="24"/>
              </w:rPr>
            </w:pPr>
          </w:p>
          <w:p w14:paraId="641993F7">
            <w:pPr>
              <w:widowControl/>
              <w:adjustRightInd w:val="0"/>
              <w:snapToGrid w:val="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系主任</w:t>
            </w:r>
            <w:r>
              <w:rPr>
                <w:rFonts w:hint="eastAsia" w:ascii="仿宋" w:hAnsi="仿宋" w:eastAsia="仿宋" w:cs="仿宋"/>
                <w:color w:val="auto"/>
                <w:kern w:val="0"/>
                <w:sz w:val="24"/>
                <w:szCs w:val="24"/>
              </w:rPr>
              <w:t>签名：</w:t>
            </w:r>
          </w:p>
          <w:p w14:paraId="6D8CE1F1">
            <w:pPr>
              <w:widowControl/>
              <w:adjustRightInd w:val="0"/>
              <w:snapToGrid w:val="0"/>
              <w:jc w:val="right"/>
              <w:rPr>
                <w:rFonts w:hint="eastAsia" w:ascii="仿宋" w:hAnsi="仿宋" w:eastAsia="仿宋" w:cs="仿宋"/>
                <w:color w:val="auto"/>
                <w:kern w:val="0"/>
                <w:sz w:val="24"/>
                <w:szCs w:val="24"/>
              </w:rPr>
            </w:pPr>
          </w:p>
          <w:p w14:paraId="7E59DE2C">
            <w:pPr>
              <w:widowControl/>
              <w:adjustRightInd w:val="0"/>
              <w:snapToGrid w:val="0"/>
              <w:jc w:val="righ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年   月   日</w:t>
            </w:r>
          </w:p>
          <w:p w14:paraId="385BF2A9">
            <w:pPr>
              <w:widowControl/>
              <w:adjustRightInd w:val="0"/>
              <w:snapToGrid w:val="0"/>
              <w:jc w:val="right"/>
              <w:rPr>
                <w:rFonts w:hint="eastAsia" w:ascii="仿宋" w:hAnsi="仿宋" w:eastAsia="仿宋" w:cs="仿宋"/>
                <w:color w:val="auto"/>
                <w:kern w:val="0"/>
                <w:sz w:val="24"/>
                <w:szCs w:val="24"/>
              </w:rPr>
            </w:pPr>
          </w:p>
        </w:tc>
      </w:tr>
    </w:tbl>
    <w:p w14:paraId="49F11BBE">
      <w:pPr>
        <w:adjustRightInd w:val="0"/>
        <w:snapToGrid w:val="0"/>
        <w:spacing w:line="360" w:lineRule="auto"/>
        <w:jc w:val="center"/>
        <w:rPr>
          <w:rFonts w:hint="eastAsia" w:ascii="仿宋" w:hAnsi="仿宋" w:eastAsia="仿宋" w:cs="仿宋"/>
          <w:color w:val="auto"/>
          <w:sz w:val="28"/>
          <w:szCs w:val="28"/>
        </w:rPr>
      </w:pPr>
    </w:p>
    <w:p w14:paraId="4D28427A">
      <w:pPr>
        <w:adjustRightInd w:val="0"/>
        <w:snapToGrid w:val="0"/>
        <w:spacing w:line="360" w:lineRule="auto"/>
        <w:jc w:val="center"/>
        <w:rPr>
          <w:rFonts w:hint="default" w:eastAsia="宋体" w:cs="黑体"/>
          <w:color w:val="auto"/>
          <w:lang w:val="en-US" w:eastAsia="zh-CN"/>
        </w:rPr>
      </w:pPr>
      <w:r>
        <w:rPr>
          <w:rFonts w:hint="eastAsia" w:ascii="仿宋" w:hAnsi="仿宋" w:eastAsia="仿宋" w:cs="仿宋"/>
          <w:color w:val="auto"/>
          <w:sz w:val="28"/>
          <w:szCs w:val="28"/>
        </w:rPr>
        <w:t>附表</w:t>
      </w:r>
      <w:r>
        <w:rPr>
          <w:rFonts w:hint="eastAsia" w:ascii="仿宋" w:hAnsi="仿宋" w:eastAsia="仿宋" w:cs="仿宋"/>
          <w:color w:val="auto"/>
          <w:sz w:val="28"/>
          <w:szCs w:val="28"/>
          <w:lang w:val="en-US"/>
        </w:rPr>
        <w:t>:</w:t>
      </w:r>
      <w:r>
        <w:rPr>
          <w:rFonts w:hint="eastAsia" w:ascii="仿宋" w:hAnsi="仿宋" w:eastAsia="仿宋" w:cs="仿宋"/>
          <w:color w:val="auto"/>
          <w:sz w:val="28"/>
          <w:szCs w:val="28"/>
        </w:rPr>
        <w:t>《演出策划与管理》课程目标评分量表</w:t>
      </w:r>
    </w:p>
    <w:tbl>
      <w:tblPr>
        <w:tblStyle w:val="22"/>
        <w:tblW w:w="502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28" w:type="dxa"/>
        </w:tblCellMar>
      </w:tblPr>
      <w:tblGrid>
        <w:gridCol w:w="827"/>
        <w:gridCol w:w="2256"/>
        <w:gridCol w:w="1136"/>
        <w:gridCol w:w="1065"/>
        <w:gridCol w:w="1100"/>
        <w:gridCol w:w="1102"/>
        <w:gridCol w:w="896"/>
      </w:tblGrid>
      <w:tr w14:paraId="2A32BA0A">
        <w:trPr>
          <w:trHeight w:val="90" w:hRule="atLeast"/>
          <w:jc w:val="center"/>
        </w:trPr>
        <w:tc>
          <w:tcPr>
            <w:tcW w:w="493" w:type="pct"/>
            <w:vMerge w:val="restart"/>
            <w:noWrap w:val="0"/>
            <w:vAlign w:val="center"/>
          </w:tcPr>
          <w:p w14:paraId="08F1D2C8">
            <w:pPr>
              <w:adjustRightInd w:val="0"/>
              <w:snapToGrid w:val="0"/>
              <w:spacing w:line="240" w:lineRule="atLeast"/>
              <w:jc w:val="center"/>
              <w:rPr>
                <w:rFonts w:hint="eastAsia" w:ascii="楷体" w:hAnsi="楷体" w:eastAsia="楷体" w:cs="楷体"/>
                <w:color w:val="auto"/>
                <w:sz w:val="24"/>
                <w:szCs w:val="24"/>
              </w:rPr>
            </w:pPr>
          </w:p>
          <w:p w14:paraId="07502D0E">
            <w:pPr>
              <w:adjustRightInd w:val="0"/>
              <w:snapToGrid w:val="0"/>
              <w:spacing w:line="240" w:lineRule="atLeast"/>
              <w:jc w:val="center"/>
              <w:rPr>
                <w:rFonts w:hint="eastAsia" w:ascii="楷体" w:hAnsi="楷体" w:eastAsia="楷体" w:cs="楷体"/>
                <w:color w:val="auto"/>
                <w:sz w:val="24"/>
                <w:szCs w:val="24"/>
              </w:rPr>
            </w:pPr>
          </w:p>
          <w:p w14:paraId="3EB94BDF">
            <w:pPr>
              <w:adjustRightInd w:val="0"/>
              <w:snapToGrid w:val="0"/>
              <w:spacing w:line="240" w:lineRule="atLeast"/>
              <w:jc w:val="center"/>
              <w:rPr>
                <w:rFonts w:hint="eastAsia" w:ascii="楷体" w:hAnsi="楷体" w:eastAsia="楷体" w:cs="楷体"/>
                <w:color w:val="auto"/>
                <w:sz w:val="24"/>
                <w:szCs w:val="24"/>
              </w:rPr>
            </w:pPr>
          </w:p>
          <w:p w14:paraId="1CB3F38D">
            <w:pPr>
              <w:adjustRightInd w:val="0"/>
              <w:snapToGrid w:val="0"/>
              <w:spacing w:line="240" w:lineRule="atLeast"/>
              <w:jc w:val="center"/>
              <w:rPr>
                <w:rFonts w:hint="eastAsia" w:ascii="楷体" w:hAnsi="楷体" w:eastAsia="楷体" w:cs="楷体"/>
                <w:color w:val="auto"/>
                <w:sz w:val="24"/>
                <w:szCs w:val="24"/>
              </w:rPr>
            </w:pPr>
          </w:p>
          <w:p w14:paraId="26CC2115">
            <w:pPr>
              <w:adjustRightInd w:val="0"/>
              <w:snapToGrid w:val="0"/>
              <w:spacing w:line="240" w:lineRule="atLeast"/>
              <w:jc w:val="center"/>
              <w:rPr>
                <w:rFonts w:hint="eastAsia" w:ascii="楷体" w:hAnsi="楷体" w:eastAsia="楷体" w:cs="楷体"/>
                <w:color w:val="auto"/>
                <w:sz w:val="24"/>
                <w:szCs w:val="24"/>
              </w:rPr>
            </w:pPr>
          </w:p>
          <w:p w14:paraId="4001F158">
            <w:pPr>
              <w:adjustRightInd w:val="0"/>
              <w:snapToGrid w:val="0"/>
              <w:spacing w:line="240" w:lineRule="atLeast"/>
              <w:jc w:val="center"/>
              <w:rPr>
                <w:rFonts w:hint="eastAsia" w:ascii="楷体" w:hAnsi="楷体" w:eastAsia="楷体" w:cs="楷体"/>
                <w:color w:val="auto"/>
                <w:sz w:val="24"/>
                <w:szCs w:val="24"/>
              </w:rPr>
            </w:pPr>
          </w:p>
          <w:p w14:paraId="0B6989E6">
            <w:pPr>
              <w:adjustRightInd w:val="0"/>
              <w:snapToGrid w:val="0"/>
              <w:spacing w:line="240" w:lineRule="atLeast"/>
              <w:jc w:val="center"/>
              <w:rPr>
                <w:rFonts w:hint="eastAsia" w:ascii="楷体" w:hAnsi="楷体" w:eastAsia="楷体" w:cs="楷体"/>
                <w:color w:val="auto"/>
                <w:sz w:val="24"/>
                <w:szCs w:val="24"/>
              </w:rPr>
            </w:pPr>
          </w:p>
          <w:p w14:paraId="773C9337">
            <w:pPr>
              <w:adjustRightInd w:val="0"/>
              <w:snapToGrid w:val="0"/>
              <w:spacing w:line="240" w:lineRule="atLeast"/>
              <w:jc w:val="center"/>
              <w:rPr>
                <w:rFonts w:hint="eastAsia" w:ascii="楷体" w:hAnsi="楷体" w:eastAsia="楷体" w:cs="楷体"/>
                <w:color w:val="auto"/>
                <w:sz w:val="24"/>
                <w:szCs w:val="24"/>
              </w:rPr>
            </w:pPr>
          </w:p>
          <w:p w14:paraId="7CECFC05">
            <w:pPr>
              <w:adjustRightInd w:val="0"/>
              <w:snapToGrid w:val="0"/>
              <w:spacing w:line="240" w:lineRule="atLeast"/>
              <w:jc w:val="center"/>
              <w:rPr>
                <w:rFonts w:hint="eastAsia" w:ascii="楷体" w:hAnsi="楷体" w:eastAsia="楷体" w:cs="楷体"/>
                <w:color w:val="auto"/>
                <w:sz w:val="24"/>
                <w:szCs w:val="24"/>
              </w:rPr>
            </w:pPr>
          </w:p>
          <w:p w14:paraId="72FBFBA1">
            <w:pPr>
              <w:adjustRightInd w:val="0"/>
              <w:snapToGrid w:val="0"/>
              <w:spacing w:line="240" w:lineRule="atLeast"/>
              <w:jc w:val="center"/>
              <w:rPr>
                <w:rFonts w:hint="eastAsia" w:ascii="楷体" w:hAnsi="楷体" w:eastAsia="楷体" w:cs="楷体"/>
                <w:color w:val="auto"/>
                <w:sz w:val="24"/>
                <w:szCs w:val="24"/>
              </w:rPr>
            </w:pPr>
          </w:p>
          <w:p w14:paraId="658EB3DE">
            <w:pPr>
              <w:adjustRightInd w:val="0"/>
              <w:snapToGrid w:val="0"/>
              <w:spacing w:line="240" w:lineRule="atLeast"/>
              <w:jc w:val="center"/>
              <w:rPr>
                <w:rFonts w:hint="eastAsia" w:ascii="楷体" w:hAnsi="楷体" w:eastAsia="楷体" w:cs="楷体"/>
                <w:color w:val="auto"/>
                <w:sz w:val="24"/>
                <w:szCs w:val="24"/>
              </w:rPr>
            </w:pPr>
          </w:p>
          <w:p w14:paraId="178E0BEA">
            <w:pPr>
              <w:adjustRightInd w:val="0"/>
              <w:snapToGrid w:val="0"/>
              <w:spacing w:line="240" w:lineRule="atLeast"/>
              <w:jc w:val="center"/>
              <w:rPr>
                <w:rFonts w:hint="eastAsia" w:ascii="楷体" w:hAnsi="楷体" w:eastAsia="楷体" w:cs="楷体"/>
                <w:color w:val="auto"/>
                <w:sz w:val="24"/>
                <w:szCs w:val="24"/>
              </w:rPr>
            </w:pPr>
            <w:r>
              <w:rPr>
                <w:rFonts w:hint="eastAsia" w:ascii="楷体" w:hAnsi="楷体" w:eastAsia="楷体" w:cs="楷体"/>
                <w:color w:val="auto"/>
                <w:sz w:val="24"/>
                <w:szCs w:val="24"/>
              </w:rPr>
              <w:t>M</w:t>
            </w:r>
          </w:p>
          <w:p w14:paraId="3CC59228">
            <w:pPr>
              <w:adjustRightInd w:val="0"/>
              <w:snapToGrid w:val="0"/>
              <w:spacing w:line="240" w:lineRule="atLeast"/>
              <w:jc w:val="center"/>
              <w:rPr>
                <w:rFonts w:hint="eastAsia" w:ascii="楷体" w:hAnsi="楷体" w:eastAsia="楷体" w:cs="楷体"/>
                <w:color w:val="auto"/>
                <w:sz w:val="24"/>
                <w:szCs w:val="24"/>
              </w:rPr>
            </w:pPr>
            <w:r>
              <w:rPr>
                <w:rFonts w:hint="eastAsia" w:ascii="楷体" w:hAnsi="楷体" w:eastAsia="楷体" w:cs="楷体"/>
                <w:color w:val="auto"/>
                <w:sz w:val="24"/>
                <w:szCs w:val="24"/>
              </w:rPr>
              <w:t>评分量表</w:t>
            </w:r>
          </w:p>
        </w:tc>
        <w:tc>
          <w:tcPr>
            <w:tcW w:w="1345" w:type="pct"/>
            <w:noWrap w:val="0"/>
            <w:vAlign w:val="center"/>
          </w:tcPr>
          <w:p w14:paraId="18D116F9">
            <w:pPr>
              <w:tabs>
                <w:tab w:val="left" w:pos="720"/>
              </w:tabs>
              <w:adjustRightInd w:val="0"/>
              <w:snapToGrid w:val="0"/>
              <w:spacing w:line="240" w:lineRule="atLeast"/>
              <w:jc w:val="center"/>
              <w:rPr>
                <w:rFonts w:hint="eastAsia" w:ascii="楷体" w:hAnsi="楷体" w:eastAsia="楷体" w:cs="楷体"/>
                <w:color w:val="auto"/>
                <w:kern w:val="0"/>
                <w:sz w:val="24"/>
                <w:szCs w:val="24"/>
              </w:rPr>
            </w:pPr>
            <w:r>
              <w:rPr>
                <w:rFonts w:hint="eastAsia" w:ascii="楷体" w:hAnsi="楷体" w:eastAsia="楷体" w:cs="楷体"/>
                <w:color w:val="auto"/>
                <w:kern w:val="0"/>
                <w:sz w:val="24"/>
                <w:szCs w:val="24"/>
              </w:rPr>
              <w:t>课程目标</w:t>
            </w:r>
          </w:p>
        </w:tc>
        <w:tc>
          <w:tcPr>
            <w:tcW w:w="677" w:type="pct"/>
            <w:noWrap w:val="0"/>
            <w:vAlign w:val="center"/>
          </w:tcPr>
          <w:p w14:paraId="37E29AC0">
            <w:pPr>
              <w:tabs>
                <w:tab w:val="left" w:pos="720"/>
              </w:tabs>
              <w:adjustRightInd w:val="0"/>
              <w:snapToGrid w:val="0"/>
              <w:spacing w:line="240" w:lineRule="atLeast"/>
              <w:jc w:val="center"/>
              <w:rPr>
                <w:rFonts w:hint="eastAsia" w:ascii="楷体" w:hAnsi="楷体" w:eastAsia="楷体" w:cs="楷体"/>
                <w:color w:val="auto"/>
                <w:kern w:val="0"/>
                <w:sz w:val="24"/>
                <w:szCs w:val="24"/>
              </w:rPr>
            </w:pPr>
            <w:r>
              <w:rPr>
                <w:rFonts w:hint="eastAsia" w:ascii="楷体" w:hAnsi="楷体" w:eastAsia="楷体" w:cs="楷体"/>
                <w:color w:val="auto"/>
                <w:kern w:val="0"/>
                <w:sz w:val="24"/>
                <w:szCs w:val="24"/>
              </w:rPr>
              <w:t>优（X≧90）</w:t>
            </w:r>
          </w:p>
        </w:tc>
        <w:tc>
          <w:tcPr>
            <w:tcW w:w="635" w:type="pct"/>
            <w:noWrap w:val="0"/>
            <w:vAlign w:val="center"/>
          </w:tcPr>
          <w:p w14:paraId="77067CA3">
            <w:pPr>
              <w:tabs>
                <w:tab w:val="left" w:pos="720"/>
              </w:tabs>
              <w:adjustRightInd w:val="0"/>
              <w:snapToGrid w:val="0"/>
              <w:spacing w:line="240" w:lineRule="atLeast"/>
              <w:jc w:val="center"/>
              <w:rPr>
                <w:rFonts w:hint="eastAsia" w:ascii="楷体" w:hAnsi="楷体" w:eastAsia="楷体" w:cs="楷体"/>
                <w:color w:val="auto"/>
                <w:kern w:val="0"/>
                <w:sz w:val="24"/>
                <w:szCs w:val="24"/>
              </w:rPr>
            </w:pPr>
            <w:r>
              <w:rPr>
                <w:rFonts w:hint="eastAsia" w:ascii="楷体" w:hAnsi="楷体" w:eastAsia="楷体" w:cs="楷体"/>
                <w:color w:val="auto"/>
                <w:kern w:val="0"/>
                <w:sz w:val="24"/>
                <w:szCs w:val="24"/>
              </w:rPr>
              <w:t>良（80≦X＜90）</w:t>
            </w:r>
          </w:p>
        </w:tc>
        <w:tc>
          <w:tcPr>
            <w:tcW w:w="656" w:type="pct"/>
            <w:noWrap w:val="0"/>
            <w:vAlign w:val="center"/>
          </w:tcPr>
          <w:p w14:paraId="7A4E7B75">
            <w:pPr>
              <w:tabs>
                <w:tab w:val="left" w:pos="720"/>
              </w:tabs>
              <w:adjustRightInd w:val="0"/>
              <w:snapToGrid w:val="0"/>
              <w:spacing w:line="240" w:lineRule="atLeast"/>
              <w:jc w:val="center"/>
              <w:rPr>
                <w:rFonts w:hint="eastAsia" w:ascii="楷体" w:hAnsi="楷体" w:eastAsia="楷体" w:cs="楷体"/>
                <w:color w:val="auto"/>
                <w:kern w:val="0"/>
                <w:sz w:val="24"/>
                <w:szCs w:val="24"/>
              </w:rPr>
            </w:pPr>
            <w:r>
              <w:rPr>
                <w:rFonts w:hint="eastAsia" w:ascii="楷体" w:hAnsi="楷体" w:eastAsia="楷体" w:cs="楷体"/>
                <w:color w:val="auto"/>
                <w:kern w:val="0"/>
                <w:sz w:val="24"/>
                <w:szCs w:val="24"/>
              </w:rPr>
              <w:t>中（70≦X＜80）</w:t>
            </w:r>
          </w:p>
        </w:tc>
        <w:tc>
          <w:tcPr>
            <w:tcW w:w="657" w:type="pct"/>
            <w:noWrap w:val="0"/>
            <w:vAlign w:val="center"/>
          </w:tcPr>
          <w:p w14:paraId="14B27CB1">
            <w:pPr>
              <w:tabs>
                <w:tab w:val="left" w:pos="720"/>
              </w:tabs>
              <w:adjustRightInd w:val="0"/>
              <w:snapToGrid w:val="0"/>
              <w:spacing w:line="240" w:lineRule="atLeast"/>
              <w:jc w:val="center"/>
              <w:rPr>
                <w:rFonts w:hint="eastAsia" w:ascii="楷体" w:hAnsi="楷体" w:eastAsia="楷体" w:cs="楷体"/>
                <w:color w:val="auto"/>
                <w:kern w:val="0"/>
                <w:sz w:val="24"/>
                <w:szCs w:val="24"/>
              </w:rPr>
            </w:pPr>
            <w:r>
              <w:rPr>
                <w:rFonts w:hint="eastAsia" w:ascii="楷体" w:hAnsi="楷体" w:eastAsia="楷体" w:cs="楷体"/>
                <w:color w:val="auto"/>
                <w:kern w:val="0"/>
                <w:sz w:val="24"/>
                <w:szCs w:val="24"/>
              </w:rPr>
              <w:t>及格（60≦X＜70）</w:t>
            </w:r>
          </w:p>
        </w:tc>
        <w:tc>
          <w:tcPr>
            <w:tcW w:w="534" w:type="pct"/>
            <w:noWrap w:val="0"/>
            <w:vAlign w:val="center"/>
          </w:tcPr>
          <w:p w14:paraId="4105CF48">
            <w:pPr>
              <w:tabs>
                <w:tab w:val="left" w:pos="720"/>
              </w:tabs>
              <w:adjustRightInd w:val="0"/>
              <w:snapToGrid w:val="0"/>
              <w:spacing w:line="240" w:lineRule="atLeast"/>
              <w:jc w:val="center"/>
              <w:rPr>
                <w:rFonts w:hint="eastAsia" w:ascii="楷体" w:hAnsi="楷体" w:eastAsia="楷体" w:cs="楷体"/>
                <w:color w:val="auto"/>
                <w:kern w:val="0"/>
                <w:sz w:val="24"/>
                <w:szCs w:val="24"/>
              </w:rPr>
            </w:pPr>
            <w:r>
              <w:rPr>
                <w:rFonts w:hint="eastAsia" w:ascii="楷体" w:hAnsi="楷体" w:eastAsia="楷体" w:cs="楷体"/>
                <w:color w:val="auto"/>
                <w:kern w:val="0"/>
                <w:sz w:val="24"/>
                <w:szCs w:val="24"/>
              </w:rPr>
              <w:t>不及格（＜60）</w:t>
            </w:r>
          </w:p>
        </w:tc>
      </w:tr>
      <w:tr w14:paraId="069DFA02">
        <w:trPr>
          <w:trHeight w:val="2382" w:hRule="atLeast"/>
          <w:jc w:val="center"/>
        </w:trPr>
        <w:tc>
          <w:tcPr>
            <w:tcW w:w="493" w:type="pct"/>
            <w:vMerge w:val="continue"/>
            <w:noWrap w:val="0"/>
            <w:vAlign w:val="center"/>
          </w:tcPr>
          <w:p w14:paraId="636D393C">
            <w:pPr>
              <w:adjustRightInd w:val="0"/>
              <w:snapToGrid w:val="0"/>
              <w:spacing w:line="240" w:lineRule="atLeast"/>
              <w:jc w:val="center"/>
              <w:rPr>
                <w:rFonts w:hint="eastAsia" w:ascii="楷体" w:hAnsi="楷体" w:eastAsia="楷体" w:cs="楷体"/>
                <w:color w:val="auto"/>
                <w:sz w:val="24"/>
                <w:szCs w:val="24"/>
              </w:rPr>
            </w:pPr>
          </w:p>
        </w:tc>
        <w:tc>
          <w:tcPr>
            <w:tcW w:w="1345" w:type="pct"/>
            <w:noWrap w:val="0"/>
            <w:vAlign w:val="top"/>
          </w:tcPr>
          <w:p w14:paraId="1B6826A1">
            <w:pPr>
              <w:widowControl/>
              <w:adjustRightInd w:val="0"/>
              <w:snapToGrid w:val="0"/>
              <w:jc w:val="left"/>
              <w:rPr>
                <w:rFonts w:hint="eastAsia" w:ascii="楷体" w:hAnsi="楷体" w:eastAsia="楷体" w:cs="楷体"/>
                <w:bCs/>
                <w:color w:val="auto"/>
                <w:sz w:val="24"/>
                <w:szCs w:val="24"/>
              </w:rPr>
            </w:pPr>
            <w:r>
              <w:rPr>
                <w:rFonts w:hint="eastAsia" w:ascii="楷体" w:hAnsi="楷体" w:eastAsia="楷体" w:cs="楷体"/>
                <w:bCs/>
                <w:color w:val="auto"/>
                <w:sz w:val="24"/>
                <w:szCs w:val="24"/>
              </w:rPr>
              <w:t>课程目标1.</w:t>
            </w:r>
            <w:r>
              <w:rPr>
                <w:rFonts w:hint="eastAsia" w:ascii="楷体" w:hAnsi="楷体" w:eastAsia="楷体" w:cs="楷体"/>
                <w:bCs/>
                <w:color w:val="auto"/>
                <w:sz w:val="24"/>
                <w:szCs w:val="24"/>
              </w:rPr>
              <w:tab/>
            </w:r>
          </w:p>
          <w:p w14:paraId="4591303E">
            <w:pPr>
              <w:widowControl/>
              <w:adjustRightInd w:val="0"/>
              <w:snapToGrid w:val="0"/>
              <w:ind w:firstLine="480" w:firstLineChars="200"/>
              <w:jc w:val="left"/>
              <w:rPr>
                <w:rFonts w:hint="eastAsia" w:ascii="楷体" w:hAnsi="楷体" w:eastAsia="楷体" w:cs="楷体"/>
                <w:color w:val="auto"/>
                <w:szCs w:val="24"/>
              </w:rPr>
            </w:pPr>
            <w:r>
              <w:rPr>
                <w:rFonts w:hint="eastAsia" w:ascii="楷体" w:hAnsi="楷体" w:eastAsia="楷体" w:cs="楷体"/>
                <w:color w:val="000000"/>
                <w:sz w:val="24"/>
                <w:szCs w:val="24"/>
                <w:lang w:eastAsia="zh-CN"/>
              </w:rPr>
              <w:t>了解演出活动的内涵、演出活动性质、特点、基本类型、演出活动功能。掌握演出活动策划的基本原理、策划流程、演出活动可行性分析和活动策划书的编写。</w:t>
            </w:r>
          </w:p>
        </w:tc>
        <w:tc>
          <w:tcPr>
            <w:tcW w:w="677" w:type="pct"/>
            <w:noWrap w:val="0"/>
            <w:vAlign w:val="top"/>
          </w:tcPr>
          <w:p w14:paraId="65793850">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420" w:firstLineChars="200"/>
              <w:jc w:val="left"/>
              <w:textAlignment w:val="auto"/>
              <w:outlineLvl w:val="9"/>
              <w:rPr>
                <w:rFonts w:hint="eastAsia" w:ascii="楷体" w:hAnsi="楷体" w:eastAsia="楷体" w:cs="楷体"/>
                <w:bCs/>
                <w:color w:val="auto"/>
                <w:sz w:val="24"/>
                <w:szCs w:val="24"/>
              </w:rPr>
            </w:pPr>
            <w:r>
              <w:rPr>
                <w:rFonts w:hint="eastAsia" w:ascii="楷体" w:hAnsi="楷体" w:eastAsia="楷体" w:cs="楷体"/>
                <w:color w:val="333333"/>
                <w:sz w:val="21"/>
                <w:szCs w:val="21"/>
              </w:rPr>
              <w:t>能很好地综合运用所学理论与本专业的有关知识。</w:t>
            </w:r>
            <w:r>
              <w:rPr>
                <w:rFonts w:hint="eastAsia" w:ascii="楷体" w:hAnsi="楷体" w:eastAsia="楷体" w:cs="楷体"/>
                <w:color w:val="333333"/>
                <w:sz w:val="21"/>
                <w:szCs w:val="21"/>
              </w:rPr>
              <w:br w:type="textWrapping"/>
            </w:r>
          </w:p>
        </w:tc>
        <w:tc>
          <w:tcPr>
            <w:tcW w:w="635" w:type="pct"/>
            <w:noWrap w:val="0"/>
            <w:vAlign w:val="top"/>
          </w:tcPr>
          <w:p w14:paraId="7C53EF49">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420" w:firstLineChars="200"/>
              <w:jc w:val="left"/>
              <w:textAlignment w:val="auto"/>
              <w:outlineLvl w:val="9"/>
              <w:rPr>
                <w:rFonts w:hint="eastAsia" w:ascii="楷体" w:hAnsi="楷体" w:eastAsia="楷体" w:cs="楷体"/>
                <w:bCs/>
                <w:color w:val="auto"/>
                <w:sz w:val="24"/>
                <w:szCs w:val="24"/>
              </w:rPr>
            </w:pPr>
            <w:r>
              <w:rPr>
                <w:rFonts w:hint="eastAsia" w:ascii="楷体" w:hAnsi="楷体" w:eastAsia="楷体" w:cs="楷体"/>
                <w:color w:val="333333"/>
                <w:sz w:val="21"/>
                <w:szCs w:val="21"/>
              </w:rPr>
              <w:t>能较好地运用所学理论与有关的专业知识。</w:t>
            </w:r>
            <w:r>
              <w:rPr>
                <w:rFonts w:hint="eastAsia" w:ascii="楷体" w:hAnsi="楷体" w:eastAsia="楷体" w:cs="楷体"/>
                <w:color w:val="333333"/>
                <w:sz w:val="21"/>
                <w:szCs w:val="21"/>
              </w:rPr>
              <w:br w:type="textWrapping"/>
            </w:r>
            <w:r>
              <w:rPr>
                <w:rFonts w:hint="eastAsia" w:ascii="楷体" w:hAnsi="楷体" w:eastAsia="楷体" w:cs="楷体"/>
                <w:color w:val="333333"/>
                <w:sz w:val="21"/>
                <w:szCs w:val="21"/>
              </w:rPr>
              <w:br w:type="textWrapping"/>
            </w:r>
          </w:p>
        </w:tc>
        <w:tc>
          <w:tcPr>
            <w:tcW w:w="656" w:type="pct"/>
            <w:noWrap w:val="0"/>
            <w:vAlign w:val="top"/>
          </w:tcPr>
          <w:p w14:paraId="587DA4FE">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420" w:firstLineChars="200"/>
              <w:jc w:val="left"/>
              <w:textAlignment w:val="auto"/>
              <w:outlineLvl w:val="9"/>
              <w:rPr>
                <w:rFonts w:hint="eastAsia" w:ascii="楷体" w:hAnsi="楷体" w:eastAsia="楷体" w:cs="楷体"/>
                <w:bCs/>
                <w:color w:val="auto"/>
                <w:sz w:val="24"/>
                <w:szCs w:val="24"/>
              </w:rPr>
            </w:pPr>
            <w:r>
              <w:rPr>
                <w:rFonts w:hint="eastAsia" w:ascii="楷体" w:hAnsi="楷体" w:eastAsia="楷体" w:cs="楷体"/>
                <w:color w:val="333333"/>
                <w:sz w:val="21"/>
                <w:szCs w:val="21"/>
              </w:rPr>
              <w:t>能一般地运用所学理论与有关的专业知识。</w:t>
            </w:r>
            <w:r>
              <w:rPr>
                <w:rFonts w:hint="eastAsia" w:ascii="楷体" w:hAnsi="楷体" w:eastAsia="楷体" w:cs="楷体"/>
                <w:color w:val="333333"/>
                <w:sz w:val="21"/>
                <w:szCs w:val="21"/>
              </w:rPr>
              <w:br w:type="textWrapping"/>
            </w:r>
          </w:p>
        </w:tc>
        <w:tc>
          <w:tcPr>
            <w:tcW w:w="657" w:type="pct"/>
            <w:noWrap w:val="0"/>
            <w:vAlign w:val="top"/>
          </w:tcPr>
          <w:p w14:paraId="6FE25A1D">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420" w:firstLineChars="200"/>
              <w:jc w:val="left"/>
              <w:textAlignment w:val="auto"/>
              <w:outlineLvl w:val="9"/>
              <w:rPr>
                <w:rFonts w:hint="eastAsia" w:ascii="楷体" w:hAnsi="楷体" w:eastAsia="楷体" w:cs="楷体"/>
                <w:bCs/>
                <w:color w:val="auto"/>
                <w:sz w:val="24"/>
                <w:szCs w:val="24"/>
              </w:rPr>
            </w:pPr>
            <w:r>
              <w:rPr>
                <w:rFonts w:hint="eastAsia" w:ascii="楷体" w:hAnsi="楷体" w:eastAsia="楷体" w:cs="楷体"/>
                <w:color w:val="333333"/>
                <w:sz w:val="21"/>
                <w:szCs w:val="21"/>
              </w:rPr>
              <w:t>在理论上没有明显错误，能基本掌握和运用本专业已学过的有关知识。</w:t>
            </w:r>
            <w:r>
              <w:rPr>
                <w:rFonts w:hint="eastAsia" w:ascii="楷体" w:hAnsi="楷体" w:eastAsia="楷体" w:cs="楷体"/>
                <w:color w:val="333333"/>
                <w:sz w:val="21"/>
                <w:szCs w:val="21"/>
              </w:rPr>
              <w:br w:type="textWrapping"/>
            </w:r>
          </w:p>
        </w:tc>
        <w:tc>
          <w:tcPr>
            <w:tcW w:w="534" w:type="pct"/>
            <w:noWrap w:val="0"/>
            <w:vAlign w:val="top"/>
          </w:tcPr>
          <w:p w14:paraId="31A74F29">
            <w:pPr>
              <w:pStyle w:val="19"/>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outlineLvl w:val="9"/>
              <w:rPr>
                <w:rFonts w:hint="eastAsia" w:ascii="楷体" w:hAnsi="楷体" w:eastAsia="楷体" w:cs="楷体"/>
                <w:color w:val="auto"/>
                <w:sz w:val="21"/>
                <w:szCs w:val="21"/>
              </w:rPr>
            </w:pPr>
            <w:r>
              <w:rPr>
                <w:rFonts w:hint="eastAsia" w:ascii="楷体" w:hAnsi="楷体" w:eastAsia="楷体" w:cs="楷体"/>
                <w:color w:val="auto"/>
                <w:sz w:val="21"/>
                <w:szCs w:val="21"/>
              </w:rPr>
              <w:t>理论上有原则性错误，或专业知识水平很差，甚至有常识性错误。</w:t>
            </w:r>
            <w:r>
              <w:rPr>
                <w:rFonts w:hint="eastAsia" w:ascii="楷体" w:hAnsi="楷体" w:eastAsia="楷体" w:cs="楷体"/>
                <w:color w:val="auto"/>
                <w:sz w:val="21"/>
                <w:szCs w:val="21"/>
              </w:rPr>
              <w:br w:type="textWrapping"/>
            </w:r>
          </w:p>
          <w:p w14:paraId="530C7D36">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480" w:firstLineChars="200"/>
              <w:jc w:val="left"/>
              <w:textAlignment w:val="auto"/>
              <w:outlineLvl w:val="9"/>
              <w:rPr>
                <w:rFonts w:hint="eastAsia" w:ascii="楷体" w:hAnsi="楷体" w:eastAsia="楷体" w:cs="楷体"/>
                <w:bCs/>
                <w:color w:val="auto"/>
                <w:sz w:val="24"/>
                <w:szCs w:val="24"/>
              </w:rPr>
            </w:pPr>
          </w:p>
        </w:tc>
      </w:tr>
      <w:tr w14:paraId="49C32C64">
        <w:trPr>
          <w:trHeight w:val="416" w:hRule="atLeast"/>
          <w:jc w:val="center"/>
        </w:trPr>
        <w:tc>
          <w:tcPr>
            <w:tcW w:w="493" w:type="pct"/>
            <w:vMerge w:val="continue"/>
            <w:noWrap w:val="0"/>
            <w:vAlign w:val="center"/>
          </w:tcPr>
          <w:p w14:paraId="68584C57">
            <w:pPr>
              <w:adjustRightInd w:val="0"/>
              <w:snapToGrid w:val="0"/>
              <w:spacing w:line="240" w:lineRule="atLeast"/>
              <w:jc w:val="center"/>
              <w:rPr>
                <w:rFonts w:hint="eastAsia" w:ascii="楷体" w:hAnsi="楷体" w:eastAsia="楷体" w:cs="楷体"/>
                <w:color w:val="auto"/>
                <w:sz w:val="24"/>
                <w:szCs w:val="24"/>
              </w:rPr>
            </w:pPr>
          </w:p>
        </w:tc>
        <w:tc>
          <w:tcPr>
            <w:tcW w:w="1345" w:type="pct"/>
            <w:noWrap w:val="0"/>
            <w:vAlign w:val="top"/>
          </w:tcPr>
          <w:p w14:paraId="7880F8DE">
            <w:pPr>
              <w:widowControl/>
              <w:adjustRightInd w:val="0"/>
              <w:snapToGrid w:val="0"/>
              <w:rPr>
                <w:rFonts w:hint="eastAsia" w:ascii="楷体" w:hAnsi="楷体" w:eastAsia="楷体" w:cs="楷体"/>
                <w:bCs/>
                <w:color w:val="auto"/>
                <w:sz w:val="24"/>
                <w:szCs w:val="24"/>
              </w:rPr>
            </w:pPr>
            <w:r>
              <w:rPr>
                <w:rFonts w:hint="eastAsia" w:ascii="楷体" w:hAnsi="楷体" w:eastAsia="楷体" w:cs="楷体"/>
                <w:bCs/>
                <w:color w:val="auto"/>
                <w:sz w:val="24"/>
                <w:szCs w:val="24"/>
              </w:rPr>
              <w:t>课程目标2.</w:t>
            </w:r>
          </w:p>
          <w:p w14:paraId="1B93F539">
            <w:pPr>
              <w:widowControl/>
              <w:adjustRightInd w:val="0"/>
              <w:snapToGrid w:val="0"/>
              <w:ind w:firstLine="480" w:firstLineChars="200"/>
              <w:rPr>
                <w:rFonts w:hint="eastAsia" w:ascii="楷体" w:hAnsi="楷体" w:eastAsia="楷体" w:cs="楷体"/>
                <w:color w:val="auto"/>
                <w:szCs w:val="24"/>
              </w:rPr>
            </w:pPr>
            <w:r>
              <w:rPr>
                <w:rFonts w:hint="eastAsia" w:ascii="楷体" w:hAnsi="楷体" w:eastAsia="楷体" w:cs="楷体"/>
                <w:sz w:val="24"/>
                <w:szCs w:val="24"/>
                <w:lang w:eastAsia="zh-CN"/>
              </w:rPr>
              <w:t>初步掌握演出活动营销方法、演出文化娱乐活动策划的基本方法。掌握演出活动的战略执行与控制的方法。</w:t>
            </w:r>
          </w:p>
        </w:tc>
        <w:tc>
          <w:tcPr>
            <w:tcW w:w="677" w:type="pct"/>
            <w:noWrap w:val="0"/>
            <w:vAlign w:val="top"/>
          </w:tcPr>
          <w:p w14:paraId="42A87B37">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420" w:firstLineChars="200"/>
              <w:jc w:val="left"/>
              <w:textAlignment w:val="auto"/>
              <w:outlineLvl w:val="9"/>
              <w:rPr>
                <w:rFonts w:hint="eastAsia" w:ascii="楷体" w:hAnsi="楷体" w:eastAsia="楷体" w:cs="楷体"/>
                <w:bCs/>
                <w:color w:val="auto"/>
                <w:sz w:val="24"/>
                <w:szCs w:val="24"/>
              </w:rPr>
            </w:pPr>
            <w:r>
              <w:rPr>
                <w:rFonts w:hint="eastAsia" w:ascii="楷体" w:hAnsi="楷体" w:eastAsia="楷体" w:cs="楷体"/>
                <w:color w:val="333333"/>
                <w:sz w:val="21"/>
                <w:szCs w:val="21"/>
              </w:rPr>
              <w:t>能密切联系本系统、本部门、本单位的工作实际或自己的思想实际，分析问题正确、全面，具有一定深度或有所创新，对指导实际工作有一定的意义。</w:t>
            </w:r>
            <w:r>
              <w:rPr>
                <w:rFonts w:hint="eastAsia" w:ascii="楷体" w:hAnsi="楷体" w:eastAsia="楷体" w:cs="楷体"/>
                <w:color w:val="333333"/>
                <w:sz w:val="21"/>
                <w:szCs w:val="21"/>
              </w:rPr>
              <w:br w:type="textWrapping"/>
            </w:r>
          </w:p>
        </w:tc>
        <w:tc>
          <w:tcPr>
            <w:tcW w:w="635" w:type="pct"/>
            <w:noWrap w:val="0"/>
            <w:vAlign w:val="top"/>
          </w:tcPr>
          <w:p w14:paraId="007FDB69">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420" w:firstLineChars="200"/>
              <w:jc w:val="left"/>
              <w:textAlignment w:val="auto"/>
              <w:outlineLvl w:val="9"/>
              <w:rPr>
                <w:rFonts w:hint="eastAsia" w:ascii="楷体" w:hAnsi="楷体" w:eastAsia="楷体" w:cs="楷体"/>
                <w:bCs/>
                <w:color w:val="auto"/>
                <w:sz w:val="24"/>
                <w:szCs w:val="24"/>
              </w:rPr>
            </w:pPr>
            <w:r>
              <w:rPr>
                <w:rFonts w:hint="eastAsia" w:ascii="楷体" w:hAnsi="楷体" w:eastAsia="楷体" w:cs="楷体"/>
                <w:color w:val="333333"/>
                <w:sz w:val="21"/>
                <w:szCs w:val="21"/>
              </w:rPr>
              <w:t>能较好地联系工作实际，分析问题比较正确、全面，对指导现实工作有一定的参考作用。</w:t>
            </w:r>
          </w:p>
        </w:tc>
        <w:tc>
          <w:tcPr>
            <w:tcW w:w="656" w:type="pct"/>
            <w:noWrap w:val="0"/>
            <w:vAlign w:val="top"/>
          </w:tcPr>
          <w:p w14:paraId="2AAC9553">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420" w:firstLineChars="200"/>
              <w:jc w:val="left"/>
              <w:textAlignment w:val="auto"/>
              <w:outlineLvl w:val="9"/>
              <w:rPr>
                <w:rFonts w:hint="eastAsia" w:ascii="楷体" w:hAnsi="楷体" w:eastAsia="楷体" w:cs="楷体"/>
                <w:bCs/>
                <w:color w:val="auto"/>
                <w:sz w:val="24"/>
                <w:szCs w:val="24"/>
              </w:rPr>
            </w:pPr>
            <w:r>
              <w:rPr>
                <w:rFonts w:hint="eastAsia" w:ascii="楷体" w:hAnsi="楷体" w:eastAsia="楷体" w:cs="楷体"/>
                <w:color w:val="333333"/>
                <w:sz w:val="21"/>
                <w:szCs w:val="21"/>
              </w:rPr>
              <w:t>能一般地联系工作实际，分析问题比较正确、全面，对指导现实工作有一定的参考作用。</w:t>
            </w:r>
          </w:p>
        </w:tc>
        <w:tc>
          <w:tcPr>
            <w:tcW w:w="657" w:type="pct"/>
            <w:noWrap w:val="0"/>
            <w:vAlign w:val="top"/>
          </w:tcPr>
          <w:p w14:paraId="7B8CAB0C">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420" w:firstLineChars="200"/>
              <w:jc w:val="left"/>
              <w:textAlignment w:val="auto"/>
              <w:outlineLvl w:val="9"/>
              <w:rPr>
                <w:rFonts w:hint="eastAsia" w:ascii="楷体" w:hAnsi="楷体" w:eastAsia="楷体" w:cs="楷体"/>
                <w:bCs/>
                <w:color w:val="auto"/>
                <w:sz w:val="24"/>
                <w:szCs w:val="24"/>
              </w:rPr>
            </w:pPr>
            <w:r>
              <w:rPr>
                <w:rFonts w:hint="eastAsia" w:ascii="楷体" w:hAnsi="楷体" w:eastAsia="楷体" w:cs="楷体"/>
                <w:color w:val="333333"/>
                <w:sz w:val="21"/>
                <w:szCs w:val="21"/>
              </w:rPr>
              <w:t>尚能联系工作实际，基本上能表达自己的观点，有一定的分析问题与解决问题能力。</w:t>
            </w:r>
          </w:p>
        </w:tc>
        <w:tc>
          <w:tcPr>
            <w:tcW w:w="534" w:type="pct"/>
            <w:noWrap w:val="0"/>
            <w:vAlign w:val="top"/>
          </w:tcPr>
          <w:p w14:paraId="727DA417">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420" w:firstLineChars="200"/>
              <w:jc w:val="left"/>
              <w:textAlignment w:val="auto"/>
              <w:outlineLvl w:val="9"/>
              <w:rPr>
                <w:rFonts w:hint="eastAsia" w:ascii="楷体" w:hAnsi="楷体" w:eastAsia="楷体" w:cs="楷体"/>
                <w:bCs/>
                <w:color w:val="auto"/>
                <w:sz w:val="24"/>
                <w:szCs w:val="24"/>
              </w:rPr>
            </w:pPr>
            <w:r>
              <w:rPr>
                <w:rFonts w:hint="eastAsia" w:ascii="楷体" w:hAnsi="楷体" w:eastAsia="楷体" w:cs="楷体"/>
                <w:color w:val="333333"/>
                <w:sz w:val="21"/>
                <w:szCs w:val="21"/>
              </w:rPr>
              <w:t>不能联系工作实际，不能表达自己的观点，沒有的分析问题与解决问题能力。</w:t>
            </w:r>
          </w:p>
        </w:tc>
      </w:tr>
      <w:tr w14:paraId="77D51F3F">
        <w:trPr>
          <w:trHeight w:val="1435" w:hRule="atLeast"/>
          <w:jc w:val="center"/>
        </w:trPr>
        <w:tc>
          <w:tcPr>
            <w:tcW w:w="493" w:type="pct"/>
            <w:vMerge w:val="continue"/>
            <w:noWrap w:val="0"/>
            <w:vAlign w:val="center"/>
          </w:tcPr>
          <w:p w14:paraId="5D629187">
            <w:pPr>
              <w:adjustRightInd w:val="0"/>
              <w:snapToGrid w:val="0"/>
              <w:spacing w:line="240" w:lineRule="atLeast"/>
              <w:jc w:val="center"/>
              <w:rPr>
                <w:rFonts w:hint="eastAsia" w:ascii="楷体" w:hAnsi="楷体" w:eastAsia="楷体" w:cs="楷体"/>
                <w:color w:val="auto"/>
                <w:sz w:val="24"/>
                <w:szCs w:val="24"/>
              </w:rPr>
            </w:pPr>
          </w:p>
        </w:tc>
        <w:tc>
          <w:tcPr>
            <w:tcW w:w="1345" w:type="pct"/>
            <w:noWrap w:val="0"/>
            <w:vAlign w:val="top"/>
          </w:tcPr>
          <w:p w14:paraId="5F8E1F5B">
            <w:pPr>
              <w:widowControl/>
              <w:adjustRightInd w:val="0"/>
              <w:snapToGrid w:val="0"/>
              <w:rPr>
                <w:rFonts w:hint="eastAsia" w:ascii="楷体" w:hAnsi="楷体" w:eastAsia="楷体" w:cs="楷体"/>
                <w:bCs/>
                <w:color w:val="auto"/>
                <w:sz w:val="24"/>
                <w:szCs w:val="24"/>
              </w:rPr>
            </w:pPr>
            <w:r>
              <w:rPr>
                <w:rFonts w:hint="eastAsia" w:ascii="楷体" w:hAnsi="楷体" w:eastAsia="楷体" w:cs="楷体"/>
                <w:bCs/>
                <w:color w:val="auto"/>
                <w:sz w:val="24"/>
                <w:szCs w:val="24"/>
              </w:rPr>
              <w:t>课程目标</w:t>
            </w:r>
            <w:r>
              <w:rPr>
                <w:rFonts w:hint="eastAsia" w:ascii="楷体" w:hAnsi="楷体" w:eastAsia="楷体" w:cs="楷体"/>
                <w:bCs/>
                <w:color w:val="auto"/>
                <w:sz w:val="24"/>
                <w:szCs w:val="24"/>
                <w:lang w:val="en-US"/>
              </w:rPr>
              <w:t>3</w:t>
            </w:r>
            <w:r>
              <w:rPr>
                <w:rFonts w:hint="eastAsia" w:ascii="楷体" w:hAnsi="楷体" w:eastAsia="楷体" w:cs="楷体"/>
                <w:bCs/>
                <w:color w:val="auto"/>
                <w:sz w:val="24"/>
                <w:szCs w:val="24"/>
              </w:rPr>
              <w:t>.</w:t>
            </w:r>
          </w:p>
          <w:p w14:paraId="4B1C6CAC">
            <w:pPr>
              <w:widowControl/>
              <w:adjustRightInd w:val="0"/>
              <w:snapToGrid w:val="0"/>
              <w:ind w:firstLine="480" w:firstLineChars="200"/>
              <w:rPr>
                <w:rFonts w:hint="eastAsia" w:ascii="楷体" w:hAnsi="楷体" w:eastAsia="楷体" w:cs="楷体"/>
                <w:color w:val="auto"/>
                <w:szCs w:val="24"/>
              </w:rPr>
            </w:pPr>
            <w:r>
              <w:rPr>
                <w:rFonts w:hint="eastAsia" w:ascii="楷体" w:hAnsi="楷体" w:eastAsia="楷体" w:cs="楷体"/>
                <w:kern w:val="0"/>
                <w:sz w:val="24"/>
              </w:rPr>
              <w:t>使学生对大纲范围内演出活动策划的内容有比较系统和全面的了解，使学生掌握演出活动策划的基础理论和策划思想；培养学生具有初步的演出活动策划和活动管理执行问题的能力。</w:t>
            </w:r>
            <w:r>
              <w:rPr>
                <w:rFonts w:hint="eastAsia" w:ascii="楷体" w:hAnsi="楷体" w:eastAsia="楷体" w:cs="楷体"/>
                <w:color w:val="auto"/>
                <w:kern w:val="0"/>
                <w:sz w:val="24"/>
                <w:szCs w:val="24"/>
              </w:rPr>
              <w:t>拓宽学生的视野，提高审美能力和分析能力，完善知识结构，树立辩正唯物史观，适应基础音乐教育需要。</w:t>
            </w:r>
          </w:p>
        </w:tc>
        <w:tc>
          <w:tcPr>
            <w:tcW w:w="677" w:type="pct"/>
            <w:noWrap w:val="0"/>
            <w:vAlign w:val="top"/>
          </w:tcPr>
          <w:p w14:paraId="4ADC37C5">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420" w:firstLineChars="200"/>
              <w:jc w:val="left"/>
              <w:textAlignment w:val="auto"/>
              <w:outlineLvl w:val="9"/>
              <w:rPr>
                <w:rFonts w:hint="eastAsia" w:ascii="楷体" w:hAnsi="楷体" w:eastAsia="楷体" w:cs="楷体"/>
                <w:bCs/>
                <w:color w:val="auto"/>
                <w:sz w:val="24"/>
                <w:szCs w:val="24"/>
              </w:rPr>
            </w:pPr>
            <w:r>
              <w:rPr>
                <w:rFonts w:hint="eastAsia" w:ascii="楷体" w:hAnsi="楷体" w:eastAsia="楷体" w:cs="楷体"/>
                <w:color w:val="333333"/>
                <w:sz w:val="21"/>
                <w:szCs w:val="21"/>
              </w:rPr>
              <w:t>中心突出，论据充足，结构严谨，层次分明，文笔流畅．表达能力强。</w:t>
            </w:r>
          </w:p>
        </w:tc>
        <w:tc>
          <w:tcPr>
            <w:tcW w:w="635" w:type="pct"/>
            <w:noWrap w:val="0"/>
            <w:vAlign w:val="top"/>
          </w:tcPr>
          <w:p w14:paraId="7887486F">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420" w:firstLineChars="200"/>
              <w:jc w:val="left"/>
              <w:textAlignment w:val="auto"/>
              <w:outlineLvl w:val="9"/>
              <w:rPr>
                <w:rFonts w:hint="eastAsia" w:ascii="楷体" w:hAnsi="楷体" w:eastAsia="楷体" w:cs="楷体"/>
                <w:bCs/>
                <w:color w:val="auto"/>
                <w:sz w:val="24"/>
                <w:szCs w:val="24"/>
              </w:rPr>
            </w:pPr>
            <w:r>
              <w:rPr>
                <w:rFonts w:hint="eastAsia" w:ascii="楷体" w:hAnsi="楷体" w:eastAsia="楷体" w:cs="楷体"/>
                <w:color w:val="333333"/>
                <w:sz w:val="21"/>
                <w:szCs w:val="21"/>
              </w:rPr>
              <w:t>中心明确，论据较充足，层次较分明，文字通顺，有较好的表达能力。</w:t>
            </w:r>
            <w:r>
              <w:rPr>
                <w:rFonts w:hint="eastAsia" w:ascii="楷体" w:hAnsi="楷体" w:eastAsia="楷体" w:cs="楷体"/>
                <w:color w:val="333333"/>
                <w:sz w:val="21"/>
                <w:szCs w:val="21"/>
              </w:rPr>
              <w:br w:type="textWrapping"/>
            </w:r>
          </w:p>
        </w:tc>
        <w:tc>
          <w:tcPr>
            <w:tcW w:w="656" w:type="pct"/>
            <w:noWrap w:val="0"/>
            <w:vAlign w:val="top"/>
          </w:tcPr>
          <w:p w14:paraId="5228EA6B">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420" w:firstLineChars="200"/>
              <w:jc w:val="left"/>
              <w:textAlignment w:val="auto"/>
              <w:outlineLvl w:val="9"/>
              <w:rPr>
                <w:rFonts w:hint="eastAsia" w:ascii="楷体" w:hAnsi="楷体" w:eastAsia="楷体" w:cs="楷体"/>
                <w:bCs/>
                <w:color w:val="auto"/>
                <w:sz w:val="24"/>
                <w:szCs w:val="24"/>
              </w:rPr>
            </w:pPr>
            <w:r>
              <w:rPr>
                <w:rFonts w:hint="eastAsia" w:ascii="楷体" w:hAnsi="楷体" w:eastAsia="楷体" w:cs="楷体"/>
                <w:color w:val="333333"/>
                <w:sz w:val="21"/>
                <w:szCs w:val="21"/>
              </w:rPr>
              <w:t>中心明确，论据较充足，层次部份分明，文字尚可，有一般的表达能力。</w:t>
            </w:r>
            <w:r>
              <w:rPr>
                <w:rFonts w:hint="eastAsia" w:ascii="楷体" w:hAnsi="楷体" w:eastAsia="楷体" w:cs="楷体"/>
                <w:color w:val="333333"/>
                <w:sz w:val="21"/>
                <w:szCs w:val="21"/>
              </w:rPr>
              <w:br w:type="textWrapping"/>
            </w:r>
          </w:p>
        </w:tc>
        <w:tc>
          <w:tcPr>
            <w:tcW w:w="657" w:type="pct"/>
            <w:noWrap w:val="0"/>
            <w:vAlign w:val="top"/>
          </w:tcPr>
          <w:p w14:paraId="67FFCB93">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420" w:firstLineChars="200"/>
              <w:jc w:val="left"/>
              <w:textAlignment w:val="auto"/>
              <w:outlineLvl w:val="9"/>
              <w:rPr>
                <w:rFonts w:hint="eastAsia" w:ascii="楷体" w:hAnsi="楷体" w:eastAsia="楷体" w:cs="楷体"/>
                <w:bCs/>
                <w:color w:val="auto"/>
                <w:sz w:val="24"/>
                <w:szCs w:val="24"/>
              </w:rPr>
            </w:pPr>
            <w:r>
              <w:rPr>
                <w:rFonts w:hint="eastAsia" w:ascii="楷体" w:hAnsi="楷体" w:eastAsia="楷体" w:cs="楷体"/>
                <w:color w:val="333333"/>
                <w:sz w:val="21"/>
                <w:szCs w:val="21"/>
              </w:rPr>
              <w:t>有一定的论据，主要数据基本可靠，文句尚通顺。</w:t>
            </w:r>
            <w:r>
              <w:rPr>
                <w:rFonts w:hint="eastAsia" w:ascii="楷体" w:hAnsi="楷体" w:eastAsia="楷体" w:cs="楷体"/>
                <w:color w:val="333333"/>
                <w:sz w:val="21"/>
                <w:szCs w:val="21"/>
              </w:rPr>
              <w:br w:type="textWrapping"/>
            </w:r>
          </w:p>
        </w:tc>
        <w:tc>
          <w:tcPr>
            <w:tcW w:w="534" w:type="pct"/>
            <w:noWrap w:val="0"/>
            <w:vAlign w:val="top"/>
          </w:tcPr>
          <w:p w14:paraId="35A31A3A">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420" w:firstLineChars="200"/>
              <w:jc w:val="left"/>
              <w:textAlignment w:val="auto"/>
              <w:outlineLvl w:val="9"/>
              <w:rPr>
                <w:rFonts w:hint="eastAsia" w:ascii="楷体" w:hAnsi="楷体" w:eastAsia="楷体" w:cs="楷体"/>
                <w:bCs/>
                <w:color w:val="auto"/>
                <w:sz w:val="24"/>
                <w:szCs w:val="24"/>
              </w:rPr>
            </w:pPr>
            <w:r>
              <w:rPr>
                <w:rFonts w:hint="eastAsia" w:ascii="楷体" w:hAnsi="楷体" w:eastAsia="楷体" w:cs="楷体"/>
                <w:color w:val="333333"/>
                <w:sz w:val="21"/>
                <w:szCs w:val="21"/>
              </w:rPr>
              <w:t>文章无中心，层次不清，逻辑混乱，文句不通。</w:t>
            </w:r>
            <w:r>
              <w:rPr>
                <w:rFonts w:hint="eastAsia" w:ascii="楷体" w:hAnsi="楷体" w:eastAsia="楷体" w:cs="楷体"/>
                <w:color w:val="333333"/>
                <w:sz w:val="21"/>
                <w:szCs w:val="21"/>
              </w:rPr>
              <w:br w:type="textWrapping"/>
            </w:r>
          </w:p>
        </w:tc>
      </w:tr>
    </w:tbl>
    <w:p w14:paraId="3DA28675">
      <w:pPr>
        <w:rPr>
          <w:sz w:val="2"/>
          <w:szCs w:val="2"/>
        </w:rPr>
        <w:sectPr>
          <w:headerReference r:id="rId117" w:type="default"/>
          <w:footerReference r:id="rId118" w:type="default"/>
          <w:pgSz w:w="11906" w:h="16838"/>
          <w:pgMar w:top="1440" w:right="1800" w:bottom="1440" w:left="1800" w:header="851" w:footer="992" w:gutter="0"/>
          <w:cols w:space="425" w:num="1"/>
          <w:docGrid w:type="lines" w:linePitch="312" w:charSpace="0"/>
        </w:sectPr>
      </w:pPr>
    </w:p>
    <w:p w14:paraId="1C2F0606">
      <w:pPr>
        <w:jc w:val="center"/>
        <w:rPr>
          <w:rFonts w:hint="eastAsia" w:ascii="方正小标宋简体" w:hAnsi="方正小标宋简体" w:eastAsia="方正小标宋简体" w:cs="方正小标宋简体"/>
          <w:sz w:val="44"/>
          <w:szCs w:val="44"/>
          <w:lang w:eastAsia="zh-CN"/>
        </w:rPr>
      </w:pPr>
      <w:r>
        <w:rPr>
          <w:b/>
          <w:bCs/>
        </w:rPr>
        <w:t>三明学院音乐学（音乐教育）专业</w:t>
      </w:r>
    </w:p>
    <w:p w14:paraId="2F602E7B">
      <w:pPr>
        <w:pStyle w:val="2"/>
        <w:spacing w:before="0" w:beforeAutospacing="0" w:after="0" w:afterAutospacing="0" w:line="520" w:lineRule="exact"/>
        <w:jc w:val="center"/>
        <w:rPr>
          <w:rFonts w:hint="eastAsia" w:eastAsia="微软雅黑" w:cs="Times New Roman"/>
          <w:b w:val="0"/>
          <w:bCs w:val="0"/>
          <w:kern w:val="2"/>
          <w:sz w:val="44"/>
          <w:szCs w:val="44"/>
          <w:lang w:val="en-US" w:eastAsia="zh-CN"/>
        </w:rPr>
      </w:pPr>
      <w:bookmarkStart w:id="210" w:name="_Toc1704375252"/>
      <w:bookmarkStart w:id="211" w:name="_Toc1671347969"/>
      <w:r>
        <w:rPr>
          <w:rFonts w:hint="eastAsia" w:eastAsia="微软雅黑" w:cs="Times New Roman"/>
          <w:b w:val="0"/>
          <w:bCs w:val="0"/>
          <w:kern w:val="2"/>
          <w:sz w:val="44"/>
          <w:szCs w:val="44"/>
          <w:lang w:val="en-US" w:eastAsia="zh-CN"/>
        </w:rPr>
        <w:t>《福建客家音乐》课程教学大纲</w:t>
      </w:r>
      <w:bookmarkEnd w:id="209"/>
      <w:bookmarkEnd w:id="210"/>
    </w:p>
    <w:p w14:paraId="0BA32334">
      <w:pPr>
        <w:pStyle w:val="249"/>
      </w:pPr>
    </w:p>
    <w:tbl>
      <w:tblPr>
        <w:tblStyle w:val="22"/>
        <w:tblW w:w="91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521"/>
        <w:gridCol w:w="887"/>
        <w:gridCol w:w="278"/>
        <w:gridCol w:w="416"/>
        <w:gridCol w:w="550"/>
        <w:gridCol w:w="434"/>
        <w:gridCol w:w="584"/>
        <w:gridCol w:w="482"/>
        <w:gridCol w:w="93"/>
        <w:gridCol w:w="874"/>
        <w:gridCol w:w="100"/>
        <w:gridCol w:w="200"/>
        <w:gridCol w:w="456"/>
        <w:gridCol w:w="57"/>
        <w:gridCol w:w="756"/>
        <w:gridCol w:w="57"/>
        <w:gridCol w:w="814"/>
        <w:gridCol w:w="589"/>
      </w:tblGrid>
      <w:tr w14:paraId="5FD8F00A">
        <w:trPr>
          <w:trHeight w:val="454" w:hRule="atLeast"/>
        </w:trPr>
        <w:tc>
          <w:tcPr>
            <w:tcW w:w="1521" w:type="dxa"/>
            <w:noWrap w:val="0"/>
            <w:vAlign w:val="center"/>
          </w:tcPr>
          <w:p w14:paraId="1BC355AF">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课程名称</w:t>
            </w:r>
          </w:p>
        </w:tc>
        <w:tc>
          <w:tcPr>
            <w:tcW w:w="3631" w:type="dxa"/>
            <w:gridSpan w:val="7"/>
            <w:noWrap w:val="0"/>
            <w:vAlign w:val="center"/>
          </w:tcPr>
          <w:p w14:paraId="1A34B0E8">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《福建客家音乐》</w:t>
            </w:r>
          </w:p>
        </w:tc>
        <w:tc>
          <w:tcPr>
            <w:tcW w:w="1067" w:type="dxa"/>
            <w:gridSpan w:val="3"/>
            <w:noWrap w:val="0"/>
            <w:vAlign w:val="center"/>
          </w:tcPr>
          <w:p w14:paraId="6962AC88">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课程</w:t>
            </w:r>
          </w:p>
          <w:p w14:paraId="1D227562">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代码</w:t>
            </w:r>
          </w:p>
        </w:tc>
        <w:tc>
          <w:tcPr>
            <w:tcW w:w="2929" w:type="dxa"/>
            <w:gridSpan w:val="7"/>
            <w:noWrap w:val="0"/>
            <w:vAlign w:val="center"/>
          </w:tcPr>
          <w:p w14:paraId="3CA66DA6">
            <w:pPr>
              <w:adjustRightInd w:val="0"/>
              <w:snapToGrid w:val="0"/>
              <w:spacing w:line="240" w:lineRule="atLeast"/>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1211502618</w:t>
            </w:r>
          </w:p>
        </w:tc>
      </w:tr>
      <w:tr w14:paraId="0516DA2F">
        <w:trPr>
          <w:trHeight w:val="454" w:hRule="atLeast"/>
        </w:trPr>
        <w:tc>
          <w:tcPr>
            <w:tcW w:w="1521" w:type="dxa"/>
            <w:noWrap w:val="0"/>
            <w:vAlign w:val="center"/>
          </w:tcPr>
          <w:p w14:paraId="38DA4DC1">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课程类型</w:t>
            </w:r>
          </w:p>
        </w:tc>
        <w:tc>
          <w:tcPr>
            <w:tcW w:w="7627" w:type="dxa"/>
            <w:gridSpan w:val="17"/>
            <w:noWrap w:val="0"/>
            <w:vAlign w:val="center"/>
          </w:tcPr>
          <w:p w14:paraId="4E7342BA">
            <w:pPr>
              <w:adjustRightInd w:val="0"/>
              <w:snapToGrid w:val="0"/>
              <w:spacing w:line="240" w:lineRule="atLeast"/>
              <w:rPr>
                <w:rFonts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通识必修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通识选修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专业必修 </w:t>
            </w:r>
          </w:p>
          <w:p w14:paraId="15B78408">
            <w:pPr>
              <w:adjustRightInd w:val="0"/>
              <w:snapToGrid w:val="0"/>
              <w:spacing w:line="240" w:lineRule="atLeast"/>
              <w:rPr>
                <w:rFonts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专业选修</w:t>
            </w:r>
            <w:r>
              <w:rPr>
                <w:rFonts w:hint="eastAsia" w:ascii="仿宋" w:hAnsi="仿宋" w:eastAsia="仿宋" w:cs="仿宋"/>
                <w:sz w:val="24"/>
                <w:szCs w:val="24"/>
                <w:lang w:eastAsia="zh-TW"/>
              </w:rPr>
              <w:t xml:space="preserve">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教师教育必修 </w:t>
            </w:r>
            <w:r>
              <w:rPr>
                <w:rFonts w:hint="eastAsia" w:ascii="仿宋" w:hAnsi="仿宋" w:eastAsia="仿宋" w:cs="仿宋"/>
                <w:sz w:val="24"/>
                <w:szCs w:val="24"/>
              </w:rPr>
              <w:sym w:font="Wingdings" w:char="00A8"/>
            </w:r>
            <w:r>
              <w:rPr>
                <w:rFonts w:hint="eastAsia" w:ascii="仿宋" w:hAnsi="仿宋" w:eastAsia="仿宋" w:cs="仿宋"/>
                <w:sz w:val="24"/>
                <w:szCs w:val="24"/>
              </w:rPr>
              <w:t>教师教育选修</w:t>
            </w:r>
          </w:p>
        </w:tc>
      </w:tr>
      <w:tr w14:paraId="42F4E044">
        <w:trPr>
          <w:trHeight w:val="406" w:hRule="atLeast"/>
        </w:trPr>
        <w:tc>
          <w:tcPr>
            <w:tcW w:w="1521" w:type="dxa"/>
            <w:noWrap w:val="0"/>
            <w:vAlign w:val="center"/>
          </w:tcPr>
          <w:p w14:paraId="5AE02791">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开课学期</w:t>
            </w:r>
          </w:p>
        </w:tc>
        <w:tc>
          <w:tcPr>
            <w:tcW w:w="1165" w:type="dxa"/>
            <w:gridSpan w:val="2"/>
            <w:noWrap w:val="0"/>
            <w:vAlign w:val="center"/>
          </w:tcPr>
          <w:p w14:paraId="23DFC46E">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第</w:t>
            </w:r>
            <w:r>
              <w:rPr>
                <w:rFonts w:hint="eastAsia" w:ascii="仿宋" w:hAnsi="仿宋" w:eastAsia="仿宋" w:cs="仿宋"/>
                <w:sz w:val="24"/>
                <w:szCs w:val="24"/>
                <w:lang w:val="en-US" w:eastAsia="zh-CN"/>
              </w:rPr>
              <w:t>5</w:t>
            </w:r>
            <w:r>
              <w:rPr>
                <w:rFonts w:hint="eastAsia" w:ascii="仿宋" w:hAnsi="仿宋" w:eastAsia="仿宋" w:cs="仿宋"/>
                <w:sz w:val="24"/>
                <w:szCs w:val="24"/>
              </w:rPr>
              <w:t>学期</w:t>
            </w:r>
          </w:p>
        </w:tc>
        <w:tc>
          <w:tcPr>
            <w:tcW w:w="1400" w:type="dxa"/>
            <w:gridSpan w:val="3"/>
            <w:noWrap w:val="0"/>
            <w:vAlign w:val="center"/>
          </w:tcPr>
          <w:p w14:paraId="45006D27">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学分</w:t>
            </w:r>
          </w:p>
        </w:tc>
        <w:tc>
          <w:tcPr>
            <w:tcW w:w="584" w:type="dxa"/>
            <w:noWrap w:val="0"/>
            <w:vAlign w:val="center"/>
          </w:tcPr>
          <w:p w14:paraId="2581D84F">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2</w:t>
            </w:r>
          </w:p>
        </w:tc>
        <w:tc>
          <w:tcPr>
            <w:tcW w:w="2205" w:type="dxa"/>
            <w:gridSpan w:val="6"/>
            <w:noWrap w:val="0"/>
            <w:vAlign w:val="center"/>
          </w:tcPr>
          <w:p w14:paraId="39241ACB">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课程负责人</w:t>
            </w:r>
          </w:p>
        </w:tc>
        <w:tc>
          <w:tcPr>
            <w:tcW w:w="2273" w:type="dxa"/>
            <w:gridSpan w:val="5"/>
            <w:noWrap w:val="0"/>
            <w:vAlign w:val="center"/>
          </w:tcPr>
          <w:p w14:paraId="741D74BB">
            <w:pPr>
              <w:adjustRightInd w:val="0"/>
              <w:snapToGrid w:val="0"/>
              <w:spacing w:line="240" w:lineRule="atLeast"/>
              <w:jc w:val="center"/>
              <w:rPr>
                <w:rFonts w:hint="eastAsia" w:ascii="仿宋" w:hAnsi="仿宋" w:eastAsia="仿宋" w:cs="仿宋"/>
                <w:sz w:val="24"/>
                <w:szCs w:val="24"/>
                <w:lang w:val="en-US" w:eastAsia="zh-Hans"/>
              </w:rPr>
            </w:pPr>
            <w:r>
              <w:rPr>
                <w:rFonts w:hint="eastAsia" w:ascii="仿宋" w:hAnsi="仿宋" w:eastAsia="仿宋" w:cs="仿宋"/>
                <w:sz w:val="24"/>
                <w:szCs w:val="24"/>
                <w:lang w:val="en-US" w:eastAsia="zh-Hans"/>
              </w:rPr>
              <w:t>唐进宝</w:t>
            </w:r>
          </w:p>
        </w:tc>
      </w:tr>
      <w:tr w14:paraId="4D924D20">
        <w:trPr>
          <w:trHeight w:val="485" w:hRule="atLeast"/>
        </w:trPr>
        <w:tc>
          <w:tcPr>
            <w:tcW w:w="1521" w:type="dxa"/>
            <w:noWrap w:val="0"/>
            <w:vAlign w:val="center"/>
          </w:tcPr>
          <w:p w14:paraId="58BEF392">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总学时</w:t>
            </w:r>
          </w:p>
        </w:tc>
        <w:tc>
          <w:tcPr>
            <w:tcW w:w="1165" w:type="dxa"/>
            <w:gridSpan w:val="2"/>
            <w:noWrap w:val="0"/>
            <w:vAlign w:val="center"/>
          </w:tcPr>
          <w:p w14:paraId="20CF4E25">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32</w:t>
            </w:r>
          </w:p>
        </w:tc>
        <w:tc>
          <w:tcPr>
            <w:tcW w:w="1400" w:type="dxa"/>
            <w:gridSpan w:val="3"/>
            <w:noWrap w:val="0"/>
            <w:vAlign w:val="center"/>
          </w:tcPr>
          <w:p w14:paraId="41DCC387">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理论学时</w:t>
            </w:r>
          </w:p>
        </w:tc>
        <w:tc>
          <w:tcPr>
            <w:tcW w:w="584" w:type="dxa"/>
            <w:noWrap w:val="0"/>
            <w:vAlign w:val="center"/>
          </w:tcPr>
          <w:p w14:paraId="32EE84BB">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32</w:t>
            </w:r>
          </w:p>
        </w:tc>
        <w:tc>
          <w:tcPr>
            <w:tcW w:w="2205" w:type="dxa"/>
            <w:gridSpan w:val="6"/>
            <w:tcBorders>
              <w:right w:val="single" w:color="000000" w:sz="4" w:space="0"/>
            </w:tcBorders>
            <w:noWrap w:val="0"/>
            <w:vAlign w:val="center"/>
          </w:tcPr>
          <w:p w14:paraId="7BE535B7">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实践学时</w:t>
            </w:r>
          </w:p>
        </w:tc>
        <w:tc>
          <w:tcPr>
            <w:tcW w:w="2273" w:type="dxa"/>
            <w:gridSpan w:val="5"/>
            <w:tcBorders>
              <w:right w:val="single" w:color="000000" w:sz="4" w:space="0"/>
            </w:tcBorders>
            <w:noWrap w:val="0"/>
            <w:vAlign w:val="center"/>
          </w:tcPr>
          <w:p w14:paraId="2B3EF2FB">
            <w:pPr>
              <w:adjustRightInd w:val="0"/>
              <w:snapToGrid w:val="0"/>
              <w:spacing w:line="240" w:lineRule="atLeast"/>
              <w:jc w:val="center"/>
              <w:rPr>
                <w:rFonts w:hint="default" w:ascii="仿宋" w:hAnsi="仿宋" w:eastAsia="仿宋" w:cs="仿宋"/>
                <w:sz w:val="24"/>
                <w:szCs w:val="24"/>
              </w:rPr>
            </w:pPr>
            <w:r>
              <w:rPr>
                <w:rFonts w:hint="default" w:ascii="仿宋" w:hAnsi="仿宋" w:eastAsia="仿宋" w:cs="仿宋"/>
                <w:sz w:val="24"/>
                <w:szCs w:val="24"/>
              </w:rPr>
              <w:t>0</w:t>
            </w:r>
          </w:p>
        </w:tc>
      </w:tr>
      <w:tr w14:paraId="5E4FF216">
        <w:trPr>
          <w:trHeight w:val="454" w:hRule="atLeast"/>
        </w:trPr>
        <w:tc>
          <w:tcPr>
            <w:tcW w:w="1521" w:type="dxa"/>
            <w:noWrap w:val="0"/>
            <w:vAlign w:val="center"/>
          </w:tcPr>
          <w:p w14:paraId="1CEC64BF">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先修课程与后续课程</w:t>
            </w:r>
          </w:p>
        </w:tc>
        <w:tc>
          <w:tcPr>
            <w:tcW w:w="7627" w:type="dxa"/>
            <w:gridSpan w:val="17"/>
            <w:noWrap w:val="0"/>
            <w:vAlign w:val="center"/>
          </w:tcPr>
          <w:p w14:paraId="5068A23D">
            <w:pPr>
              <w:tabs>
                <w:tab w:val="left" w:pos="720"/>
              </w:tabs>
              <w:adjustRightInd w:val="0"/>
              <w:snapToGrid w:val="0"/>
              <w:jc w:val="left"/>
              <w:rPr>
                <w:rFonts w:hint="default" w:ascii="仿宋" w:hAnsi="仿宋" w:eastAsia="仿宋" w:cs="仿宋"/>
                <w:sz w:val="24"/>
                <w:szCs w:val="24"/>
                <w:lang w:val="en-US" w:eastAsia="zh-Hans"/>
              </w:rPr>
            </w:pPr>
            <w:r>
              <w:rPr>
                <w:rFonts w:hint="eastAsia" w:ascii="仿宋" w:hAnsi="仿宋" w:eastAsia="仿宋" w:cs="仿宋"/>
                <w:sz w:val="24"/>
                <w:szCs w:val="24"/>
              </w:rPr>
              <w:t>先修课程：</w:t>
            </w:r>
            <w:r>
              <w:rPr>
                <w:rFonts w:hint="eastAsia" w:ascii="仿宋" w:hAnsi="仿宋" w:eastAsia="仿宋" w:cs="仿宋"/>
                <w:sz w:val="24"/>
                <w:szCs w:val="24"/>
                <w:lang w:val="en-US" w:eastAsia="zh-Hans"/>
              </w:rPr>
              <w:t>中国民族音乐</w:t>
            </w:r>
            <w:r>
              <w:rPr>
                <w:rFonts w:hint="default" w:ascii="仿宋" w:hAnsi="仿宋" w:eastAsia="仿宋" w:cs="仿宋"/>
                <w:sz w:val="24"/>
                <w:szCs w:val="24"/>
                <w:lang w:eastAsia="zh-Hans"/>
              </w:rPr>
              <w:t>、</w:t>
            </w:r>
            <w:r>
              <w:rPr>
                <w:rFonts w:hint="eastAsia" w:ascii="仿宋" w:hAnsi="仿宋" w:eastAsia="仿宋" w:cs="仿宋"/>
                <w:sz w:val="24"/>
                <w:szCs w:val="24"/>
                <w:lang w:val="en-US" w:eastAsia="zh-Hans"/>
              </w:rPr>
              <w:t>中国音乐史与欣赏等</w:t>
            </w:r>
          </w:p>
          <w:p w14:paraId="26B34EC4">
            <w:pPr>
              <w:tabs>
                <w:tab w:val="left" w:pos="720"/>
              </w:tabs>
              <w:adjustRightInd w:val="0"/>
              <w:snapToGrid w:val="0"/>
              <w:jc w:val="left"/>
              <w:rPr>
                <w:rFonts w:ascii="仿宋" w:hAnsi="仿宋" w:eastAsia="仿宋" w:cs="仿宋"/>
                <w:sz w:val="24"/>
                <w:szCs w:val="24"/>
              </w:rPr>
            </w:pPr>
            <w:r>
              <w:rPr>
                <w:rFonts w:hint="eastAsia" w:ascii="仿宋" w:hAnsi="仿宋" w:eastAsia="仿宋" w:cs="仿宋"/>
                <w:sz w:val="24"/>
                <w:szCs w:val="24"/>
              </w:rPr>
              <w:t>后续课程：无</w:t>
            </w:r>
          </w:p>
        </w:tc>
      </w:tr>
      <w:tr w14:paraId="728F84D8">
        <w:trPr>
          <w:trHeight w:val="454" w:hRule="atLeast"/>
        </w:trPr>
        <w:tc>
          <w:tcPr>
            <w:tcW w:w="1521" w:type="dxa"/>
            <w:noWrap w:val="0"/>
            <w:vAlign w:val="center"/>
          </w:tcPr>
          <w:p w14:paraId="303EB887">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适用专业</w:t>
            </w:r>
          </w:p>
        </w:tc>
        <w:tc>
          <w:tcPr>
            <w:tcW w:w="7627" w:type="dxa"/>
            <w:gridSpan w:val="17"/>
            <w:noWrap w:val="0"/>
            <w:vAlign w:val="center"/>
          </w:tcPr>
          <w:p w14:paraId="757A2EBB">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音乐学</w:t>
            </w:r>
          </w:p>
        </w:tc>
      </w:tr>
      <w:tr w14:paraId="6165EB57">
        <w:tc>
          <w:tcPr>
            <w:tcW w:w="1521" w:type="dxa"/>
            <w:tcBorders>
              <w:bottom w:val="single" w:color="auto" w:sz="4" w:space="0"/>
            </w:tcBorders>
            <w:noWrap w:val="0"/>
            <w:vAlign w:val="center"/>
          </w:tcPr>
          <w:p w14:paraId="35C1B47B">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A</w:t>
            </w:r>
          </w:p>
          <w:p w14:paraId="568D2BA2">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参考教材</w:t>
            </w:r>
          </w:p>
        </w:tc>
        <w:tc>
          <w:tcPr>
            <w:tcW w:w="7627" w:type="dxa"/>
            <w:gridSpan w:val="17"/>
            <w:tcBorders>
              <w:bottom w:val="single" w:color="auto" w:sz="4" w:space="0"/>
            </w:tcBorders>
            <w:noWrap w:val="0"/>
            <w:vAlign w:val="center"/>
          </w:tcPr>
          <w:p w14:paraId="434727F9">
            <w:pPr>
              <w:tabs>
                <w:tab w:val="left" w:pos="720"/>
              </w:tabs>
              <w:adjustRightInd w:val="0"/>
              <w:snapToGrid w:val="0"/>
              <w:rPr>
                <w:rFonts w:hint="default" w:ascii="仿宋" w:hAnsi="仿宋" w:eastAsia="仿宋" w:cs="仿宋"/>
                <w:sz w:val="24"/>
                <w:szCs w:val="24"/>
              </w:rPr>
            </w:pPr>
            <w:r>
              <w:rPr>
                <w:rFonts w:hint="eastAsia" w:ascii="仿宋" w:hAnsi="仿宋" w:eastAsia="仿宋" w:cs="仿宋"/>
                <w:sz w:val="24"/>
                <w:szCs w:val="24"/>
              </w:rPr>
              <w:t>赖登明，《福建客家音乐》厦门大学出版社2021年</w:t>
            </w:r>
            <w:r>
              <w:rPr>
                <w:rFonts w:hint="default" w:ascii="仿宋" w:hAnsi="仿宋" w:eastAsia="仿宋" w:cs="仿宋"/>
                <w:sz w:val="24"/>
                <w:szCs w:val="24"/>
              </w:rPr>
              <w:t>.</w:t>
            </w:r>
          </w:p>
        </w:tc>
      </w:tr>
      <w:tr w14:paraId="7A062685">
        <w:tc>
          <w:tcPr>
            <w:tcW w:w="1521" w:type="dxa"/>
            <w:tcBorders>
              <w:bottom w:val="single" w:color="auto" w:sz="4" w:space="0"/>
            </w:tcBorders>
            <w:noWrap w:val="0"/>
            <w:vAlign w:val="center"/>
          </w:tcPr>
          <w:p w14:paraId="3A587C50">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B</w:t>
            </w:r>
          </w:p>
          <w:p w14:paraId="5DD17A5E">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主要参考书籍</w:t>
            </w:r>
          </w:p>
        </w:tc>
        <w:tc>
          <w:tcPr>
            <w:tcW w:w="7627" w:type="dxa"/>
            <w:gridSpan w:val="17"/>
            <w:tcBorders>
              <w:bottom w:val="single" w:color="auto" w:sz="4" w:space="0"/>
            </w:tcBorders>
            <w:noWrap w:val="0"/>
            <w:vAlign w:val="center"/>
          </w:tcPr>
          <w:p w14:paraId="22FC92ED">
            <w:pPr>
              <w:numPr>
                <w:ilvl w:val="0"/>
                <w:numId w:val="0"/>
              </w:numPr>
              <w:tabs>
                <w:tab w:val="left" w:pos="720"/>
              </w:tabs>
              <w:adjustRightInd w:val="0"/>
              <w:snapToGrid w:val="0"/>
              <w:rPr>
                <w:rFonts w:hint="default" w:ascii="仿宋" w:hAnsi="仿宋" w:eastAsia="仿宋" w:cs="仿宋"/>
                <w:sz w:val="24"/>
                <w:szCs w:val="24"/>
              </w:rPr>
            </w:pPr>
            <w:r>
              <w:rPr>
                <w:rFonts w:hint="default" w:ascii="仿宋" w:hAnsi="仿宋" w:eastAsia="仿宋" w:cs="仿宋"/>
                <w:sz w:val="24"/>
                <w:szCs w:val="24"/>
              </w:rPr>
              <w:t>1</w:t>
            </w:r>
            <w:r>
              <w:rPr>
                <w:rFonts w:hint="eastAsia" w:ascii="仿宋" w:hAnsi="仿宋" w:eastAsia="仿宋" w:cs="仿宋"/>
                <w:sz w:val="24"/>
                <w:szCs w:val="24"/>
                <w:lang w:val="en-US" w:eastAsia="zh-Hans"/>
              </w:rPr>
              <w:t>.</w:t>
            </w:r>
            <w:r>
              <w:rPr>
                <w:rFonts w:hint="eastAsia" w:ascii="仿宋" w:hAnsi="仿宋" w:eastAsia="仿宋" w:cs="仿宋"/>
                <w:sz w:val="24"/>
                <w:szCs w:val="24"/>
              </w:rPr>
              <w:t>张利珍，《客家音乐教程》暨南大学出版社2019年</w:t>
            </w:r>
            <w:r>
              <w:rPr>
                <w:rFonts w:hint="default" w:ascii="仿宋" w:hAnsi="仿宋" w:eastAsia="仿宋" w:cs="仿宋"/>
                <w:sz w:val="24"/>
                <w:szCs w:val="24"/>
              </w:rPr>
              <w:t>.</w:t>
            </w:r>
          </w:p>
          <w:p w14:paraId="10FC3FD8">
            <w:pPr>
              <w:numPr>
                <w:ilvl w:val="0"/>
                <w:numId w:val="0"/>
              </w:numPr>
              <w:tabs>
                <w:tab w:val="left" w:pos="720"/>
              </w:tabs>
              <w:adjustRightInd w:val="0"/>
              <w:snapToGrid w:val="0"/>
              <w:rPr>
                <w:rFonts w:hint="default" w:ascii="仿宋" w:hAnsi="仿宋" w:eastAsia="仿宋" w:cs="仿宋"/>
                <w:sz w:val="24"/>
                <w:szCs w:val="24"/>
              </w:rPr>
            </w:pPr>
            <w:r>
              <w:rPr>
                <w:rFonts w:hint="default" w:ascii="仿宋" w:hAnsi="仿宋" w:eastAsia="仿宋" w:cs="仿宋"/>
                <w:sz w:val="24"/>
                <w:szCs w:val="24"/>
              </w:rPr>
              <w:t>2</w:t>
            </w:r>
            <w:r>
              <w:rPr>
                <w:rFonts w:hint="eastAsia" w:ascii="仿宋" w:hAnsi="仿宋" w:eastAsia="仿宋" w:cs="仿宋"/>
                <w:sz w:val="24"/>
                <w:szCs w:val="24"/>
                <w:lang w:val="en-US" w:eastAsia="zh-Hans"/>
              </w:rPr>
              <w:t>.</w:t>
            </w:r>
            <w:r>
              <w:rPr>
                <w:rFonts w:hint="eastAsia" w:ascii="仿宋" w:hAnsi="仿宋" w:eastAsia="仿宋" w:cs="仿宋"/>
                <w:sz w:val="24"/>
                <w:szCs w:val="24"/>
              </w:rPr>
              <w:t>王耀华，《福建民间音乐简论》上海文艺出版社1986年</w:t>
            </w:r>
            <w:r>
              <w:rPr>
                <w:rFonts w:hint="default" w:ascii="仿宋" w:hAnsi="仿宋" w:eastAsia="仿宋" w:cs="仿宋"/>
                <w:sz w:val="24"/>
                <w:szCs w:val="24"/>
              </w:rPr>
              <w:t>.</w:t>
            </w:r>
          </w:p>
        </w:tc>
      </w:tr>
      <w:tr w14:paraId="5B9714F6">
        <w:tc>
          <w:tcPr>
            <w:tcW w:w="1521" w:type="dxa"/>
            <w:tcBorders>
              <w:bottom w:val="single" w:color="auto" w:sz="4" w:space="0"/>
            </w:tcBorders>
            <w:noWrap w:val="0"/>
            <w:vAlign w:val="center"/>
          </w:tcPr>
          <w:p w14:paraId="3322AF92">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C</w:t>
            </w:r>
          </w:p>
          <w:p w14:paraId="686E47B9">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线上学习资源</w:t>
            </w:r>
          </w:p>
        </w:tc>
        <w:tc>
          <w:tcPr>
            <w:tcW w:w="7627" w:type="dxa"/>
            <w:gridSpan w:val="17"/>
            <w:tcBorders>
              <w:bottom w:val="single" w:color="auto" w:sz="4" w:space="0"/>
            </w:tcBorders>
            <w:noWrap w:val="0"/>
            <w:vAlign w:val="center"/>
          </w:tcPr>
          <w:p w14:paraId="547A407E">
            <w:pPr>
              <w:adjustRightInd w:val="0"/>
              <w:snapToGrid w:val="0"/>
              <w:rPr>
                <w:rFonts w:ascii="仿宋" w:hAnsi="仿宋" w:eastAsia="仿宋" w:cs="仿宋"/>
                <w:kern w:val="0"/>
                <w:sz w:val="24"/>
                <w:szCs w:val="24"/>
              </w:rPr>
            </w:pPr>
            <w:r>
              <w:rPr>
                <w:rFonts w:hint="eastAsia" w:ascii="仿宋" w:hAnsi="仿宋" w:eastAsia="仿宋" w:cs="仿宋"/>
                <w:sz w:val="24"/>
                <w:szCs w:val="24"/>
              </w:rPr>
              <w:t>1.本课程已经建立超星平台网络课程，同学们依据学校提供的帐号与密码登录课程网站，可查看教学大纲、授课计划、考核方法、课程PPT、教学视频、电子教材、音频、阅读资料、仿真软件、网络文献链接网址。</w:t>
            </w:r>
          </w:p>
        </w:tc>
      </w:tr>
      <w:tr w14:paraId="7C6F119C">
        <w:trPr>
          <w:trHeight w:val="90" w:hRule="atLeast"/>
        </w:trPr>
        <w:tc>
          <w:tcPr>
            <w:tcW w:w="1521" w:type="dxa"/>
            <w:shd w:val="clear" w:color="auto" w:fill="FFFFFF"/>
            <w:noWrap w:val="0"/>
            <w:vAlign w:val="center"/>
          </w:tcPr>
          <w:p w14:paraId="6C11DE95">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D</w:t>
            </w:r>
          </w:p>
          <w:p w14:paraId="357CB2A6">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 xml:space="preserve">课程描述 </w:t>
            </w:r>
          </w:p>
          <w:p w14:paraId="1CAF6977">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lang w:eastAsia="zh-TW"/>
              </w:rPr>
              <w:t>(</w:t>
            </w:r>
            <w:r>
              <w:rPr>
                <w:rFonts w:hint="eastAsia" w:ascii="仿宋" w:hAnsi="仿宋" w:eastAsia="仿宋" w:cs="仿宋"/>
                <w:sz w:val="24"/>
                <w:szCs w:val="24"/>
              </w:rPr>
              <w:t>含</w:t>
            </w:r>
            <w:r>
              <w:rPr>
                <w:rFonts w:hint="eastAsia" w:ascii="仿宋" w:hAnsi="仿宋" w:eastAsia="仿宋" w:cs="仿宋"/>
                <w:sz w:val="24"/>
                <w:szCs w:val="24"/>
                <w:lang w:eastAsia="zh-TW"/>
              </w:rPr>
              <w:t>性质、地位和任务)</w:t>
            </w:r>
          </w:p>
        </w:tc>
        <w:tc>
          <w:tcPr>
            <w:tcW w:w="7627" w:type="dxa"/>
            <w:gridSpan w:val="17"/>
            <w:tcBorders>
              <w:bottom w:val="single" w:color="auto" w:sz="4" w:space="0"/>
            </w:tcBorders>
            <w:shd w:val="clear" w:color="auto" w:fill="FFFFFF"/>
            <w:noWrap w:val="0"/>
            <w:vAlign w:val="center"/>
          </w:tcPr>
          <w:p w14:paraId="25F4DB3F">
            <w:pPr>
              <w:adjustRightInd w:val="0"/>
              <w:snapToGrid w:val="0"/>
              <w:rPr>
                <w:rFonts w:hint="eastAsia" w:ascii="仿宋" w:hAnsi="仿宋" w:eastAsia="仿宋" w:cs="仿宋"/>
                <w:sz w:val="24"/>
                <w:szCs w:val="24"/>
              </w:rPr>
            </w:pPr>
            <w:r>
              <w:rPr>
                <w:rFonts w:hint="eastAsia" w:ascii="仿宋" w:hAnsi="仿宋" w:eastAsia="仿宋" w:cs="仿宋"/>
                <w:sz w:val="24"/>
                <w:szCs w:val="24"/>
              </w:rPr>
              <w:t>本课程是普通高等学校音乐学本科专业的专业选修课程，是根据采取实地考察和文献考据相结合，个别研究和整体研究相结合的方法，以求对福建客家音乐文化有一个全方位的，立体的展观，期待用过对福建客家音乐传统文化的调查与研究，形成以福建客家音乐文化为整体优势的在国内外有一定影响力的知名文化品牌，强化客学生对福建客家音乐文化的内涵，为音乐专业的发展和课程的设置拓展空间，更为保护和利用好客家音乐文化遗产，继承和发扬民族优秀文化做出实际的贡献。</w:t>
            </w:r>
          </w:p>
          <w:p w14:paraId="7383799B">
            <w:pPr>
              <w:adjustRightInd w:val="0"/>
              <w:snapToGrid w:val="0"/>
              <w:rPr>
                <w:rFonts w:hint="eastAsia" w:ascii="仿宋" w:hAnsi="仿宋" w:eastAsia="仿宋" w:cs="仿宋"/>
                <w:sz w:val="24"/>
                <w:szCs w:val="24"/>
              </w:rPr>
            </w:pPr>
          </w:p>
        </w:tc>
      </w:tr>
      <w:tr w14:paraId="0990080C">
        <w:trPr>
          <w:trHeight w:val="1406" w:hRule="atLeast"/>
        </w:trPr>
        <w:tc>
          <w:tcPr>
            <w:tcW w:w="1521" w:type="dxa"/>
            <w:vMerge w:val="restart"/>
            <w:shd w:val="clear" w:color="auto" w:fill="FFFFFF"/>
            <w:noWrap w:val="0"/>
            <w:vAlign w:val="center"/>
          </w:tcPr>
          <w:p w14:paraId="320BEC9A">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E</w:t>
            </w:r>
          </w:p>
          <w:p w14:paraId="656AF4C7">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课程学习目标及其与毕业要求的对应关系</w:t>
            </w:r>
          </w:p>
        </w:tc>
        <w:tc>
          <w:tcPr>
            <w:tcW w:w="7627" w:type="dxa"/>
            <w:gridSpan w:val="17"/>
            <w:tcBorders>
              <w:bottom w:val="single" w:color="auto" w:sz="4" w:space="0"/>
            </w:tcBorders>
            <w:shd w:val="clear" w:color="auto" w:fill="FFFFFF"/>
            <w:noWrap w:val="0"/>
            <w:vAlign w:val="center"/>
          </w:tcPr>
          <w:p w14:paraId="1DDC7E20">
            <w:pPr>
              <w:adjustRightInd w:val="0"/>
              <w:snapToGrid w:val="0"/>
              <w:jc w:val="left"/>
              <w:rPr>
                <w:rFonts w:ascii="仿宋" w:hAnsi="仿宋" w:eastAsia="仿宋" w:cs="仿宋"/>
                <w:sz w:val="24"/>
                <w:szCs w:val="24"/>
                <w:lang w:eastAsia="zh-TW"/>
              </w:rPr>
            </w:pPr>
            <w:r>
              <w:rPr>
                <w:rFonts w:hint="eastAsia" w:ascii="仿宋" w:hAnsi="仿宋" w:eastAsia="仿宋" w:cs="仿宋"/>
                <w:sz w:val="24"/>
                <w:szCs w:val="24"/>
              </w:rPr>
              <w:t>通过本课程的学习，学生具备如下知识、能力及情感态度价值观：</w:t>
            </w:r>
          </w:p>
          <w:p w14:paraId="5A300CEB">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t>课程目标1.能够初步掌握</w:t>
            </w:r>
            <w:r>
              <w:rPr>
                <w:rFonts w:hint="eastAsia" w:ascii="仿宋" w:hAnsi="仿宋" w:eastAsia="仿宋" w:cs="仿宋"/>
                <w:sz w:val="24"/>
                <w:szCs w:val="24"/>
                <w:lang w:val="en-US" w:eastAsia="zh-CN"/>
              </w:rPr>
              <w:t>福建客家音乐基本知识和文化体系，包括福建客家的民歌、歌舞音乐、器乐、曲艺音乐、宗教与仪式音乐、戏曲音乐等知识点，初步领会福建客家音乐文化话语体系与独特魅力</w:t>
            </w:r>
            <w:r>
              <w:rPr>
                <w:rFonts w:hint="eastAsia" w:ascii="仿宋" w:hAnsi="仿宋" w:eastAsia="仿宋" w:cs="仿宋"/>
                <w:sz w:val="24"/>
                <w:szCs w:val="24"/>
              </w:rPr>
              <w:t>。（支撑毕业要求3.</w:t>
            </w:r>
            <w:r>
              <w:rPr>
                <w:rFonts w:hint="eastAsia" w:ascii="仿宋" w:hAnsi="仿宋" w:eastAsia="仿宋" w:cs="仿宋"/>
                <w:sz w:val="24"/>
                <w:szCs w:val="24"/>
                <w:lang w:val="en-US" w:eastAsia="zh-CN"/>
              </w:rPr>
              <w:t>2</w:t>
            </w:r>
            <w:r>
              <w:rPr>
                <w:rFonts w:hint="eastAsia" w:ascii="仿宋" w:hAnsi="仿宋" w:eastAsia="仿宋" w:cs="仿宋"/>
                <w:sz w:val="24"/>
                <w:szCs w:val="24"/>
              </w:rPr>
              <w:t>）</w:t>
            </w:r>
          </w:p>
          <w:p w14:paraId="3DF42420">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t>课程目标2：</w:t>
            </w:r>
            <w:r>
              <w:rPr>
                <w:rFonts w:hint="eastAsia" w:ascii="仿宋" w:hAnsi="仿宋" w:eastAsia="仿宋" w:cs="仿宋"/>
                <w:sz w:val="24"/>
                <w:szCs w:val="24"/>
                <w:lang w:val="en-US" w:eastAsia="zh-CN"/>
              </w:rPr>
              <w:t>具备传承传统民族音乐文化的意识与能力</w:t>
            </w:r>
            <w:r>
              <w:rPr>
                <w:rFonts w:hint="eastAsia" w:ascii="仿宋" w:hAnsi="仿宋" w:eastAsia="仿宋" w:cs="仿宋"/>
                <w:sz w:val="24"/>
                <w:szCs w:val="24"/>
                <w:lang w:eastAsia="zh-CN"/>
              </w:rPr>
              <w:t>，能够继承和弘扬</w:t>
            </w:r>
            <w:r>
              <w:rPr>
                <w:rFonts w:hint="eastAsia" w:ascii="仿宋" w:hAnsi="仿宋" w:eastAsia="仿宋" w:cs="仿宋"/>
                <w:sz w:val="24"/>
                <w:szCs w:val="24"/>
                <w:lang w:val="en-US" w:eastAsia="zh-CN"/>
              </w:rPr>
              <w:t>地方</w:t>
            </w:r>
            <w:r>
              <w:rPr>
                <w:rFonts w:hint="eastAsia" w:ascii="仿宋" w:hAnsi="仿宋" w:eastAsia="仿宋" w:cs="仿宋"/>
                <w:sz w:val="24"/>
                <w:szCs w:val="24"/>
                <w:lang w:eastAsia="zh-CN"/>
              </w:rPr>
              <w:t>音乐文化，</w:t>
            </w:r>
            <w:r>
              <w:rPr>
                <w:rFonts w:hint="eastAsia" w:ascii="仿宋" w:hAnsi="仿宋" w:eastAsia="仿宋" w:cs="仿宋"/>
                <w:sz w:val="24"/>
                <w:szCs w:val="24"/>
                <w:lang w:val="en-US" w:eastAsia="zh-CN"/>
              </w:rPr>
              <w:t>能够对福建客家音乐文化的艺术特征、音乐特色以及独特的文化</w:t>
            </w:r>
            <w:r>
              <w:rPr>
                <w:rFonts w:hint="eastAsia" w:ascii="仿宋" w:hAnsi="仿宋" w:eastAsia="仿宋" w:cs="仿宋"/>
                <w:sz w:val="24"/>
                <w:szCs w:val="24"/>
                <w:lang w:eastAsia="zh-CN"/>
              </w:rPr>
              <w:t>特征。</w:t>
            </w:r>
            <w:r>
              <w:rPr>
                <w:rFonts w:hint="eastAsia" w:ascii="仿宋" w:hAnsi="仿宋" w:eastAsia="仿宋" w:cs="仿宋"/>
                <w:sz w:val="24"/>
                <w:szCs w:val="24"/>
              </w:rPr>
              <w:t>(支撑毕业要求</w:t>
            </w:r>
            <w:r>
              <w:rPr>
                <w:rFonts w:hint="eastAsia" w:ascii="仿宋" w:hAnsi="仿宋" w:eastAsia="仿宋" w:cs="仿宋"/>
                <w:sz w:val="24"/>
                <w:szCs w:val="24"/>
                <w:lang w:val="en-US" w:eastAsia="zh-CN"/>
              </w:rPr>
              <w:t>4.3</w:t>
            </w:r>
            <w:r>
              <w:rPr>
                <w:rFonts w:hint="eastAsia" w:ascii="仿宋" w:hAnsi="仿宋" w:eastAsia="仿宋" w:cs="仿宋"/>
                <w:sz w:val="24"/>
                <w:szCs w:val="24"/>
              </w:rPr>
              <w:t>)</w:t>
            </w:r>
          </w:p>
          <w:p w14:paraId="79A7AD80">
            <w:pPr>
              <w:adjustRightInd w:val="0"/>
              <w:snapToGrid w:val="0"/>
              <w:ind w:firstLine="480" w:firstLineChars="200"/>
              <w:rPr>
                <w:rFonts w:ascii="仿宋" w:hAnsi="仿宋" w:eastAsia="仿宋" w:cs="仿宋"/>
                <w:sz w:val="24"/>
                <w:szCs w:val="24"/>
              </w:rPr>
            </w:pPr>
            <w:r>
              <w:rPr>
                <w:rFonts w:hint="eastAsia" w:ascii="仿宋" w:hAnsi="仿宋" w:eastAsia="仿宋" w:cs="仿宋"/>
                <w:sz w:val="24"/>
                <w:szCs w:val="24"/>
              </w:rPr>
              <w:t>课程目标3：</w:t>
            </w:r>
            <w:r>
              <w:rPr>
                <w:rFonts w:hint="eastAsia" w:ascii="仿宋" w:hAnsi="仿宋" w:eastAsia="仿宋" w:cs="仿宋"/>
                <w:sz w:val="24"/>
                <w:szCs w:val="24"/>
                <w:lang w:val="en-US" w:eastAsia="zh-CN"/>
              </w:rPr>
              <w:t>具备</w:t>
            </w:r>
            <w:r>
              <w:rPr>
                <w:rFonts w:hint="eastAsia" w:ascii="仿宋" w:hAnsi="仿宋" w:eastAsia="仿宋" w:cs="仿宋"/>
                <w:sz w:val="24"/>
                <w:szCs w:val="24"/>
                <w:lang w:eastAsia="zh-CN"/>
              </w:rPr>
              <w:t>一定的</w:t>
            </w:r>
            <w:r>
              <w:rPr>
                <w:rFonts w:hint="eastAsia" w:ascii="仿宋" w:hAnsi="仿宋" w:eastAsia="仿宋" w:cs="仿宋"/>
                <w:sz w:val="24"/>
                <w:szCs w:val="24"/>
                <w:lang w:val="en-US" w:eastAsia="zh-CN"/>
              </w:rPr>
              <w:t>福建客家音乐</w:t>
            </w:r>
            <w:r>
              <w:rPr>
                <w:rFonts w:hint="eastAsia" w:ascii="仿宋" w:hAnsi="仿宋" w:eastAsia="仿宋" w:cs="仿宋"/>
                <w:sz w:val="24"/>
                <w:szCs w:val="24"/>
                <w:lang w:eastAsia="zh-CN"/>
              </w:rPr>
              <w:t>理论和知识点综合运用能力，对</w:t>
            </w:r>
            <w:r>
              <w:rPr>
                <w:rFonts w:hint="eastAsia" w:ascii="仿宋" w:hAnsi="仿宋" w:eastAsia="仿宋" w:cs="仿宋"/>
                <w:sz w:val="24"/>
                <w:szCs w:val="24"/>
                <w:lang w:val="en-US" w:eastAsia="zh-CN"/>
              </w:rPr>
              <w:t>福建客家音乐文化</w:t>
            </w:r>
            <w:r>
              <w:rPr>
                <w:rFonts w:hint="eastAsia" w:ascii="仿宋" w:hAnsi="仿宋" w:eastAsia="仿宋" w:cs="仿宋"/>
                <w:sz w:val="24"/>
                <w:szCs w:val="24"/>
                <w:lang w:eastAsia="zh-CN"/>
              </w:rPr>
              <w:t>等</w:t>
            </w:r>
            <w:r>
              <w:rPr>
                <w:rFonts w:hint="eastAsia" w:ascii="仿宋" w:hAnsi="仿宋" w:eastAsia="仿宋" w:cs="仿宋"/>
                <w:sz w:val="24"/>
                <w:szCs w:val="24"/>
                <w:lang w:val="en-US" w:eastAsia="zh-CN"/>
              </w:rPr>
              <w:t>形态特征</w:t>
            </w:r>
            <w:r>
              <w:rPr>
                <w:rFonts w:hint="eastAsia" w:ascii="仿宋" w:hAnsi="仿宋" w:eastAsia="仿宋" w:cs="仿宋"/>
                <w:sz w:val="24"/>
                <w:szCs w:val="24"/>
                <w:lang w:eastAsia="zh-CN"/>
              </w:rPr>
              <w:t>具备一定的探究能力，发现</w:t>
            </w:r>
            <w:r>
              <w:rPr>
                <w:rFonts w:hint="eastAsia" w:ascii="仿宋" w:hAnsi="仿宋" w:eastAsia="仿宋" w:cs="仿宋"/>
                <w:sz w:val="24"/>
                <w:szCs w:val="24"/>
                <w:lang w:val="en-US" w:eastAsia="zh-CN"/>
              </w:rPr>
              <w:t>客家音乐文化关注的</w:t>
            </w:r>
            <w:r>
              <w:rPr>
                <w:rFonts w:hint="eastAsia" w:ascii="仿宋" w:hAnsi="仿宋" w:eastAsia="仿宋" w:cs="仿宋"/>
                <w:sz w:val="24"/>
                <w:szCs w:val="24"/>
                <w:lang w:eastAsia="zh-CN"/>
              </w:rPr>
              <w:t>问题，通过独立思考判断和自主分析解决音乐学教学中所存在的问题的能力</w:t>
            </w:r>
            <w:r>
              <w:rPr>
                <w:rFonts w:hint="eastAsia" w:ascii="仿宋" w:hAnsi="仿宋" w:eastAsia="仿宋" w:cs="仿宋"/>
                <w:sz w:val="24"/>
                <w:szCs w:val="24"/>
              </w:rPr>
              <w:t>。（支撑毕业要求7.1）</w:t>
            </w:r>
          </w:p>
        </w:tc>
      </w:tr>
      <w:tr w14:paraId="57E2B067">
        <w:trPr>
          <w:trHeight w:val="642" w:hRule="atLeast"/>
        </w:trPr>
        <w:tc>
          <w:tcPr>
            <w:tcW w:w="1521" w:type="dxa"/>
            <w:vMerge w:val="continue"/>
            <w:shd w:val="clear" w:color="auto" w:fill="FFFFFF"/>
            <w:noWrap w:val="0"/>
            <w:vAlign w:val="center"/>
          </w:tcPr>
          <w:p w14:paraId="1952A358">
            <w:pPr>
              <w:adjustRightInd w:val="0"/>
              <w:snapToGrid w:val="0"/>
              <w:spacing w:line="240" w:lineRule="atLeast"/>
              <w:jc w:val="center"/>
              <w:rPr>
                <w:rFonts w:ascii="仿宋" w:hAnsi="仿宋" w:eastAsia="仿宋" w:cs="仿宋"/>
                <w:sz w:val="24"/>
                <w:szCs w:val="24"/>
              </w:rPr>
            </w:pPr>
          </w:p>
        </w:tc>
        <w:tc>
          <w:tcPr>
            <w:tcW w:w="2131" w:type="dxa"/>
            <w:gridSpan w:val="4"/>
            <w:tcBorders>
              <w:bottom w:val="single" w:color="auto" w:sz="4" w:space="0"/>
            </w:tcBorders>
            <w:shd w:val="clear" w:color="auto" w:fill="FFFFFF"/>
            <w:noWrap w:val="0"/>
            <w:vAlign w:val="center"/>
          </w:tcPr>
          <w:p w14:paraId="297CF3C0">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课程目标</w:t>
            </w:r>
          </w:p>
        </w:tc>
        <w:tc>
          <w:tcPr>
            <w:tcW w:w="4036" w:type="dxa"/>
            <w:gridSpan w:val="10"/>
            <w:tcBorders>
              <w:bottom w:val="single" w:color="auto" w:sz="4" w:space="0"/>
            </w:tcBorders>
            <w:shd w:val="clear" w:color="auto" w:fill="FFFFFF"/>
            <w:noWrap w:val="0"/>
            <w:vAlign w:val="center"/>
          </w:tcPr>
          <w:p w14:paraId="7FC6C2FA">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毕业要求分解指标点</w:t>
            </w:r>
          </w:p>
        </w:tc>
        <w:tc>
          <w:tcPr>
            <w:tcW w:w="1460" w:type="dxa"/>
            <w:gridSpan w:val="3"/>
            <w:tcBorders>
              <w:bottom w:val="single" w:color="auto" w:sz="4" w:space="0"/>
            </w:tcBorders>
            <w:shd w:val="clear" w:color="auto" w:fill="FFFFFF"/>
            <w:noWrap w:val="0"/>
            <w:vAlign w:val="center"/>
          </w:tcPr>
          <w:p w14:paraId="213DC25C">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毕业要求</w:t>
            </w:r>
          </w:p>
        </w:tc>
      </w:tr>
      <w:tr w14:paraId="16C14109">
        <w:trPr>
          <w:trHeight w:val="1339" w:hRule="atLeast"/>
        </w:trPr>
        <w:tc>
          <w:tcPr>
            <w:tcW w:w="1521" w:type="dxa"/>
            <w:vMerge w:val="continue"/>
            <w:shd w:val="clear" w:color="auto" w:fill="FFFFFF"/>
            <w:noWrap w:val="0"/>
            <w:vAlign w:val="center"/>
          </w:tcPr>
          <w:p w14:paraId="234CC2DF">
            <w:pPr>
              <w:adjustRightInd w:val="0"/>
              <w:snapToGrid w:val="0"/>
              <w:spacing w:line="240" w:lineRule="atLeast"/>
              <w:jc w:val="center"/>
              <w:rPr>
                <w:rFonts w:ascii="仿宋" w:hAnsi="仿宋" w:eastAsia="仿宋" w:cs="仿宋"/>
                <w:sz w:val="24"/>
                <w:szCs w:val="24"/>
              </w:rPr>
            </w:pPr>
          </w:p>
        </w:tc>
        <w:tc>
          <w:tcPr>
            <w:tcW w:w="2131" w:type="dxa"/>
            <w:gridSpan w:val="4"/>
            <w:tcBorders>
              <w:bottom w:val="single" w:color="auto" w:sz="4" w:space="0"/>
            </w:tcBorders>
            <w:shd w:val="clear" w:color="auto" w:fill="FFFFFF"/>
            <w:noWrap w:val="0"/>
            <w:vAlign w:val="center"/>
          </w:tcPr>
          <w:p w14:paraId="2F6582D1">
            <w:pPr>
              <w:adjustRightInd w:val="0"/>
              <w:snapToGrid w:val="0"/>
              <w:jc w:val="center"/>
              <w:rPr>
                <w:rFonts w:ascii="仿宋" w:hAnsi="仿宋" w:eastAsia="仿宋" w:cs="仿宋"/>
                <w:sz w:val="24"/>
                <w:szCs w:val="24"/>
              </w:rPr>
            </w:pPr>
            <w:r>
              <w:rPr>
                <w:rFonts w:hint="eastAsia" w:ascii="仿宋" w:hAnsi="仿宋" w:eastAsia="仿宋" w:cs="仿宋"/>
                <w:sz w:val="24"/>
                <w:szCs w:val="24"/>
              </w:rPr>
              <w:t>课程目标1</w:t>
            </w:r>
          </w:p>
          <w:p w14:paraId="0201BC70">
            <w:pPr>
              <w:adjustRightInd w:val="0"/>
              <w:snapToGrid w:val="0"/>
              <w:jc w:val="center"/>
              <w:rPr>
                <w:rFonts w:ascii="仿宋" w:hAnsi="仿宋" w:eastAsia="仿宋" w:cs="仿宋"/>
                <w:sz w:val="24"/>
                <w:szCs w:val="24"/>
              </w:rPr>
            </w:pPr>
          </w:p>
        </w:tc>
        <w:tc>
          <w:tcPr>
            <w:tcW w:w="4036" w:type="dxa"/>
            <w:gridSpan w:val="10"/>
            <w:shd w:val="clear" w:color="auto" w:fill="FFFFFF"/>
            <w:noWrap w:val="0"/>
            <w:vAlign w:val="center"/>
          </w:tcPr>
          <w:p w14:paraId="1C64FEF6">
            <w:pPr>
              <w:adjustRightInd w:val="0"/>
              <w:snapToGrid w:val="0"/>
              <w:rPr>
                <w:rFonts w:ascii="仿宋" w:hAnsi="仿宋" w:eastAsia="仿宋" w:cs="仿宋"/>
                <w:kern w:val="0"/>
                <w:sz w:val="24"/>
                <w:szCs w:val="24"/>
              </w:rPr>
            </w:pPr>
            <w:r>
              <w:rPr>
                <w:rFonts w:hint="eastAsia" w:ascii="仿宋" w:hAnsi="仿宋" w:eastAsia="仿宋" w:cs="仿宋"/>
                <w:kern w:val="0"/>
                <w:sz w:val="24"/>
                <w:szCs w:val="24"/>
              </w:rPr>
              <w:t>3.2【理论素养】掌握音乐理论的基本知识，了解中外音乐史的总体框架，理解音乐理论课程之间的相互关联，形成初步的音乐理论知识体系，能够综合运用音乐理论知识解决相关教学问题。</w:t>
            </w:r>
          </w:p>
        </w:tc>
        <w:tc>
          <w:tcPr>
            <w:tcW w:w="1460" w:type="dxa"/>
            <w:gridSpan w:val="3"/>
            <w:shd w:val="clear" w:color="auto" w:fill="FFFFFF"/>
            <w:noWrap w:val="0"/>
            <w:vAlign w:val="center"/>
          </w:tcPr>
          <w:p w14:paraId="0EFC8DA7">
            <w:pPr>
              <w:adjustRightInd w:val="0"/>
              <w:snapToGrid w:val="0"/>
              <w:jc w:val="center"/>
              <w:rPr>
                <w:rFonts w:ascii="仿宋" w:hAnsi="仿宋" w:eastAsia="仿宋" w:cs="仿宋"/>
                <w:sz w:val="24"/>
                <w:szCs w:val="24"/>
              </w:rPr>
            </w:pPr>
            <w:r>
              <w:rPr>
                <w:rFonts w:hint="eastAsia" w:ascii="仿宋" w:hAnsi="仿宋" w:eastAsia="仿宋" w:cs="仿宋"/>
                <w:sz w:val="24"/>
                <w:szCs w:val="24"/>
              </w:rPr>
              <w:t>学科素养</w:t>
            </w:r>
          </w:p>
          <w:p w14:paraId="4664B001">
            <w:pPr>
              <w:adjustRightInd w:val="0"/>
              <w:snapToGrid w:val="0"/>
              <w:jc w:val="center"/>
              <w:rPr>
                <w:rFonts w:ascii="仿宋" w:hAnsi="仿宋" w:eastAsia="仿宋" w:cs="仿宋"/>
                <w:sz w:val="24"/>
                <w:szCs w:val="24"/>
              </w:rPr>
            </w:pPr>
            <w:r>
              <w:rPr>
                <w:rFonts w:ascii="仿宋" w:hAnsi="仿宋" w:eastAsia="仿宋" w:cs="仿宋"/>
                <w:sz w:val="24"/>
                <w:szCs w:val="24"/>
              </w:rPr>
              <w:t>（</w:t>
            </w:r>
            <w:r>
              <w:rPr>
                <w:rFonts w:hint="eastAsia" w:ascii="仿宋" w:hAnsi="仿宋" w:eastAsia="仿宋" w:cs="仿宋"/>
                <w:sz w:val="24"/>
                <w:szCs w:val="24"/>
              </w:rPr>
              <w:t>H）</w:t>
            </w:r>
          </w:p>
        </w:tc>
      </w:tr>
      <w:tr w14:paraId="00DCF79C">
        <w:trPr>
          <w:trHeight w:val="1481" w:hRule="atLeast"/>
        </w:trPr>
        <w:tc>
          <w:tcPr>
            <w:tcW w:w="1521" w:type="dxa"/>
            <w:vMerge w:val="continue"/>
            <w:shd w:val="clear" w:color="auto" w:fill="FFFFFF"/>
            <w:noWrap w:val="0"/>
            <w:vAlign w:val="center"/>
          </w:tcPr>
          <w:p w14:paraId="6886AFD2">
            <w:pPr>
              <w:adjustRightInd w:val="0"/>
              <w:snapToGrid w:val="0"/>
              <w:spacing w:line="240" w:lineRule="atLeast"/>
              <w:jc w:val="center"/>
              <w:rPr>
                <w:rFonts w:ascii="仿宋" w:hAnsi="仿宋" w:eastAsia="仿宋" w:cs="仿宋"/>
                <w:sz w:val="24"/>
                <w:szCs w:val="24"/>
              </w:rPr>
            </w:pPr>
          </w:p>
        </w:tc>
        <w:tc>
          <w:tcPr>
            <w:tcW w:w="2131" w:type="dxa"/>
            <w:gridSpan w:val="4"/>
            <w:shd w:val="clear" w:color="auto" w:fill="FFFFFF"/>
            <w:noWrap w:val="0"/>
            <w:vAlign w:val="center"/>
          </w:tcPr>
          <w:p w14:paraId="7585C135">
            <w:pPr>
              <w:adjustRightInd w:val="0"/>
              <w:snapToGrid w:val="0"/>
              <w:jc w:val="center"/>
              <w:rPr>
                <w:rFonts w:ascii="仿宋" w:hAnsi="仿宋" w:eastAsia="仿宋" w:cs="仿宋"/>
                <w:sz w:val="24"/>
                <w:szCs w:val="24"/>
              </w:rPr>
            </w:pPr>
            <w:r>
              <w:rPr>
                <w:rFonts w:hint="eastAsia" w:ascii="仿宋" w:hAnsi="仿宋" w:eastAsia="仿宋" w:cs="仿宋"/>
                <w:sz w:val="24"/>
                <w:szCs w:val="24"/>
              </w:rPr>
              <w:t>课程目标</w:t>
            </w:r>
            <w:r>
              <w:rPr>
                <w:rFonts w:ascii="仿宋" w:hAnsi="仿宋" w:eastAsia="仿宋" w:cs="仿宋"/>
                <w:sz w:val="24"/>
                <w:szCs w:val="24"/>
              </w:rPr>
              <w:t>2</w:t>
            </w:r>
          </w:p>
          <w:p w14:paraId="6087EA32">
            <w:pPr>
              <w:adjustRightInd w:val="0"/>
              <w:snapToGrid w:val="0"/>
              <w:jc w:val="center"/>
              <w:rPr>
                <w:rFonts w:ascii="仿宋" w:hAnsi="仿宋" w:eastAsia="仿宋" w:cs="仿宋"/>
                <w:sz w:val="24"/>
                <w:szCs w:val="24"/>
              </w:rPr>
            </w:pPr>
          </w:p>
        </w:tc>
        <w:tc>
          <w:tcPr>
            <w:tcW w:w="4036" w:type="dxa"/>
            <w:gridSpan w:val="10"/>
            <w:shd w:val="clear" w:color="auto" w:fill="FFFFFF"/>
            <w:noWrap w:val="0"/>
            <w:vAlign w:val="center"/>
          </w:tcPr>
          <w:p w14:paraId="30FAE252">
            <w:pPr>
              <w:adjustRightInd w:val="0"/>
              <w:snapToGrid w:val="0"/>
              <w:rPr>
                <w:rFonts w:ascii="仿宋" w:hAnsi="仿宋" w:eastAsia="仿宋" w:cs="仿宋"/>
                <w:kern w:val="0"/>
                <w:sz w:val="24"/>
                <w:szCs w:val="24"/>
              </w:rPr>
            </w:pPr>
            <w:r>
              <w:rPr>
                <w:rFonts w:hint="eastAsia" w:ascii="仿宋" w:hAnsi="仿宋" w:eastAsia="仿宋" w:cs="仿宋"/>
                <w:kern w:val="0"/>
                <w:sz w:val="24"/>
                <w:szCs w:val="24"/>
              </w:rPr>
              <w:t>4.3【传统文化传承】具有传承传统音乐舞蹈文化的意识，能够运用传统音乐舞蹈文化资源进行课堂教学和开展课外音乐舞蹈活动。</w:t>
            </w:r>
          </w:p>
        </w:tc>
        <w:tc>
          <w:tcPr>
            <w:tcW w:w="1460" w:type="dxa"/>
            <w:gridSpan w:val="3"/>
            <w:shd w:val="clear" w:color="auto" w:fill="FFFFFF"/>
            <w:noWrap w:val="0"/>
            <w:vAlign w:val="center"/>
          </w:tcPr>
          <w:p w14:paraId="0C2260D0">
            <w:pPr>
              <w:adjustRightInd w:val="0"/>
              <w:snapToGrid w:val="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教学能力</w:t>
            </w:r>
          </w:p>
          <w:p w14:paraId="2C0B7A6A">
            <w:pPr>
              <w:adjustRightInd w:val="0"/>
              <w:snapToGrid w:val="0"/>
              <w:jc w:val="center"/>
              <w:rPr>
                <w:rFonts w:ascii="仿宋" w:hAnsi="仿宋" w:eastAsia="仿宋" w:cs="仿宋"/>
                <w:sz w:val="24"/>
                <w:szCs w:val="24"/>
              </w:rPr>
            </w:pPr>
            <w:r>
              <w:rPr>
                <w:rFonts w:ascii="仿宋" w:hAnsi="仿宋" w:eastAsia="仿宋" w:cs="仿宋"/>
                <w:sz w:val="24"/>
                <w:szCs w:val="24"/>
              </w:rPr>
              <w:t>（</w:t>
            </w:r>
            <w:r>
              <w:rPr>
                <w:rFonts w:hint="eastAsia" w:ascii="仿宋" w:hAnsi="仿宋" w:eastAsia="仿宋" w:cs="仿宋"/>
                <w:sz w:val="24"/>
                <w:szCs w:val="24"/>
              </w:rPr>
              <w:t>M）</w:t>
            </w:r>
          </w:p>
        </w:tc>
      </w:tr>
      <w:tr w14:paraId="6EB3DE54">
        <w:trPr>
          <w:trHeight w:val="1183" w:hRule="atLeast"/>
        </w:trPr>
        <w:tc>
          <w:tcPr>
            <w:tcW w:w="1521" w:type="dxa"/>
            <w:vMerge w:val="continue"/>
            <w:shd w:val="clear" w:color="auto" w:fill="FFFFFF"/>
            <w:noWrap w:val="0"/>
            <w:vAlign w:val="center"/>
          </w:tcPr>
          <w:p w14:paraId="312FEBED">
            <w:pPr>
              <w:adjustRightInd w:val="0"/>
              <w:snapToGrid w:val="0"/>
              <w:spacing w:line="240" w:lineRule="atLeast"/>
              <w:jc w:val="center"/>
              <w:rPr>
                <w:rFonts w:ascii="仿宋" w:hAnsi="仿宋" w:eastAsia="仿宋" w:cs="仿宋"/>
                <w:sz w:val="24"/>
                <w:szCs w:val="24"/>
              </w:rPr>
            </w:pPr>
          </w:p>
        </w:tc>
        <w:tc>
          <w:tcPr>
            <w:tcW w:w="2131" w:type="dxa"/>
            <w:gridSpan w:val="4"/>
            <w:tcBorders>
              <w:bottom w:val="single" w:color="auto" w:sz="4" w:space="0"/>
            </w:tcBorders>
            <w:shd w:val="clear" w:color="auto" w:fill="FFFFFF"/>
            <w:noWrap w:val="0"/>
            <w:vAlign w:val="center"/>
          </w:tcPr>
          <w:p w14:paraId="6B32EAE8">
            <w:pPr>
              <w:adjustRightInd w:val="0"/>
              <w:snapToGrid w:val="0"/>
              <w:jc w:val="center"/>
              <w:rPr>
                <w:rFonts w:ascii="仿宋" w:hAnsi="仿宋" w:eastAsia="仿宋" w:cs="仿宋"/>
                <w:sz w:val="24"/>
                <w:szCs w:val="24"/>
              </w:rPr>
            </w:pPr>
            <w:r>
              <w:rPr>
                <w:rFonts w:hint="eastAsia" w:ascii="仿宋" w:hAnsi="仿宋" w:eastAsia="仿宋" w:cs="仿宋"/>
                <w:sz w:val="24"/>
                <w:szCs w:val="24"/>
              </w:rPr>
              <w:t>课程目标</w:t>
            </w:r>
            <w:r>
              <w:rPr>
                <w:rFonts w:ascii="仿宋" w:hAnsi="仿宋" w:eastAsia="仿宋" w:cs="仿宋"/>
                <w:sz w:val="24"/>
                <w:szCs w:val="24"/>
              </w:rPr>
              <w:t>3</w:t>
            </w:r>
          </w:p>
          <w:p w14:paraId="6E8DAAD7">
            <w:pPr>
              <w:adjustRightInd w:val="0"/>
              <w:snapToGrid w:val="0"/>
              <w:jc w:val="center"/>
              <w:rPr>
                <w:rFonts w:ascii="仿宋" w:hAnsi="仿宋" w:eastAsia="仿宋" w:cs="仿宋"/>
                <w:sz w:val="24"/>
                <w:szCs w:val="24"/>
              </w:rPr>
            </w:pPr>
          </w:p>
        </w:tc>
        <w:tc>
          <w:tcPr>
            <w:tcW w:w="4036" w:type="dxa"/>
            <w:gridSpan w:val="10"/>
            <w:tcBorders>
              <w:bottom w:val="single" w:color="auto" w:sz="4" w:space="0"/>
            </w:tcBorders>
            <w:shd w:val="clear" w:color="auto" w:fill="FFFFFF"/>
            <w:noWrap w:val="0"/>
            <w:vAlign w:val="center"/>
          </w:tcPr>
          <w:p w14:paraId="6EF59B22">
            <w:pPr>
              <w:adjustRightInd w:val="0"/>
              <w:snapToGrid w:val="0"/>
              <w:rPr>
                <w:rFonts w:ascii="仿宋" w:hAnsi="仿宋" w:eastAsia="仿宋" w:cs="仿宋"/>
                <w:kern w:val="0"/>
                <w:sz w:val="24"/>
                <w:szCs w:val="24"/>
              </w:rPr>
            </w:pPr>
            <w:r>
              <w:rPr>
                <w:rFonts w:hint="eastAsia" w:ascii="仿宋" w:hAnsi="仿宋" w:eastAsia="仿宋" w:cs="仿宋"/>
                <w:sz w:val="24"/>
                <w:szCs w:val="24"/>
              </w:rPr>
              <w:t>7.1【反思改进】具有反思意识和批评性思维素养，初步掌握教育教学反思的基本方法和策略，能够对音乐教育教学实践活动进行有效的自我诊断，提出改进思路。</w:t>
            </w:r>
          </w:p>
        </w:tc>
        <w:tc>
          <w:tcPr>
            <w:tcW w:w="1460" w:type="dxa"/>
            <w:gridSpan w:val="3"/>
            <w:tcBorders>
              <w:bottom w:val="single" w:color="auto" w:sz="4" w:space="0"/>
            </w:tcBorders>
            <w:shd w:val="clear" w:color="auto" w:fill="FFFFFF"/>
            <w:noWrap w:val="0"/>
            <w:vAlign w:val="center"/>
          </w:tcPr>
          <w:p w14:paraId="6DE98699">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学会反思</w:t>
            </w:r>
          </w:p>
          <w:p w14:paraId="3D41B42C">
            <w:pPr>
              <w:adjustRightInd w:val="0"/>
              <w:snapToGrid w:val="0"/>
              <w:jc w:val="center"/>
              <w:rPr>
                <w:rFonts w:ascii="仿宋" w:hAnsi="仿宋" w:eastAsia="仿宋" w:cs="仿宋"/>
                <w:sz w:val="24"/>
                <w:szCs w:val="24"/>
              </w:rPr>
            </w:pPr>
            <w:r>
              <w:rPr>
                <w:rFonts w:ascii="仿宋" w:hAnsi="仿宋" w:eastAsia="仿宋" w:cs="仿宋"/>
                <w:sz w:val="24"/>
                <w:szCs w:val="24"/>
              </w:rPr>
              <w:t>（</w:t>
            </w:r>
            <w:r>
              <w:rPr>
                <w:rFonts w:hint="eastAsia" w:ascii="仿宋" w:hAnsi="仿宋" w:eastAsia="仿宋" w:cs="仿宋"/>
                <w:sz w:val="24"/>
                <w:szCs w:val="24"/>
              </w:rPr>
              <w:t>M）</w:t>
            </w:r>
          </w:p>
        </w:tc>
      </w:tr>
      <w:tr w14:paraId="35116B8D">
        <w:trPr>
          <w:trHeight w:val="582" w:hRule="atLeast"/>
        </w:trPr>
        <w:tc>
          <w:tcPr>
            <w:tcW w:w="1521" w:type="dxa"/>
            <w:vMerge w:val="restart"/>
            <w:shd w:val="clear" w:color="auto" w:fill="FFFFFF"/>
            <w:noWrap w:val="0"/>
            <w:vAlign w:val="center"/>
          </w:tcPr>
          <w:p w14:paraId="7A2730C1">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F</w:t>
            </w:r>
          </w:p>
          <w:p w14:paraId="53E390C0">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理论学习内容</w:t>
            </w:r>
          </w:p>
        </w:tc>
        <w:tc>
          <w:tcPr>
            <w:tcW w:w="4898" w:type="dxa"/>
            <w:gridSpan w:val="11"/>
            <w:shd w:val="clear" w:color="auto" w:fill="FFFFFF"/>
            <w:noWrap w:val="0"/>
            <w:vAlign w:val="center"/>
          </w:tcPr>
          <w:p w14:paraId="31ED5224">
            <w:pPr>
              <w:adjustRightInd w:val="0"/>
              <w:snapToGrid w:val="0"/>
              <w:spacing w:line="240" w:lineRule="atLeast"/>
              <w:jc w:val="center"/>
              <w:textAlignment w:val="baseline"/>
              <w:rPr>
                <w:rFonts w:ascii="仿宋" w:hAnsi="仿宋" w:eastAsia="仿宋" w:cs="仿宋"/>
                <w:kern w:val="0"/>
                <w:sz w:val="24"/>
                <w:szCs w:val="24"/>
              </w:rPr>
            </w:pPr>
            <w:r>
              <w:rPr>
                <w:rFonts w:hint="eastAsia" w:ascii="仿宋" w:hAnsi="仿宋" w:eastAsia="仿宋" w:cs="仿宋"/>
                <w:kern w:val="0"/>
                <w:sz w:val="24"/>
                <w:szCs w:val="24"/>
              </w:rPr>
              <w:t>章节学习内容与学习要求</w:t>
            </w:r>
          </w:p>
        </w:tc>
        <w:tc>
          <w:tcPr>
            <w:tcW w:w="1269" w:type="dxa"/>
            <w:gridSpan w:val="3"/>
            <w:shd w:val="clear" w:color="auto" w:fill="FFFFFF"/>
            <w:noWrap w:val="0"/>
            <w:vAlign w:val="center"/>
          </w:tcPr>
          <w:p w14:paraId="600D4082">
            <w:pPr>
              <w:adjustRightInd w:val="0"/>
              <w:snapToGrid w:val="0"/>
              <w:spacing w:line="240" w:lineRule="atLeast"/>
              <w:jc w:val="center"/>
              <w:textAlignment w:val="baseline"/>
              <w:rPr>
                <w:rFonts w:ascii="仿宋" w:hAnsi="仿宋" w:eastAsia="仿宋" w:cs="仿宋"/>
                <w:kern w:val="0"/>
                <w:sz w:val="24"/>
                <w:szCs w:val="24"/>
              </w:rPr>
            </w:pPr>
            <w:r>
              <w:rPr>
                <w:rFonts w:hint="eastAsia" w:ascii="仿宋" w:hAnsi="仿宋" w:eastAsia="仿宋" w:cs="仿宋"/>
                <w:kern w:val="0"/>
                <w:sz w:val="24"/>
                <w:szCs w:val="24"/>
              </w:rPr>
              <w:t>支撑课程</w:t>
            </w:r>
          </w:p>
          <w:p w14:paraId="56D806EB">
            <w:pPr>
              <w:adjustRightInd w:val="0"/>
              <w:snapToGrid w:val="0"/>
              <w:spacing w:line="240" w:lineRule="atLeast"/>
              <w:jc w:val="center"/>
              <w:textAlignment w:val="baseline"/>
              <w:rPr>
                <w:rFonts w:ascii="仿宋" w:hAnsi="仿宋" w:eastAsia="仿宋" w:cs="仿宋"/>
                <w:kern w:val="0"/>
                <w:sz w:val="24"/>
                <w:szCs w:val="24"/>
              </w:rPr>
            </w:pPr>
            <w:r>
              <w:rPr>
                <w:rFonts w:hint="eastAsia" w:ascii="仿宋" w:hAnsi="仿宋" w:eastAsia="仿宋" w:cs="仿宋"/>
                <w:kern w:val="0"/>
                <w:sz w:val="24"/>
                <w:szCs w:val="24"/>
              </w:rPr>
              <w:t>目标</w:t>
            </w:r>
          </w:p>
        </w:tc>
        <w:tc>
          <w:tcPr>
            <w:tcW w:w="1460" w:type="dxa"/>
            <w:gridSpan w:val="3"/>
            <w:shd w:val="clear" w:color="auto" w:fill="FFFFFF"/>
            <w:noWrap w:val="0"/>
            <w:vAlign w:val="center"/>
          </w:tcPr>
          <w:p w14:paraId="0ABD6C4D">
            <w:pPr>
              <w:adjustRightInd w:val="0"/>
              <w:snapToGrid w:val="0"/>
              <w:spacing w:line="240" w:lineRule="atLeast"/>
              <w:jc w:val="center"/>
              <w:textAlignment w:val="baseline"/>
              <w:rPr>
                <w:rFonts w:ascii="仿宋" w:hAnsi="仿宋" w:eastAsia="仿宋" w:cs="仿宋"/>
                <w:kern w:val="0"/>
                <w:sz w:val="24"/>
                <w:szCs w:val="24"/>
              </w:rPr>
            </w:pPr>
            <w:r>
              <w:rPr>
                <w:rFonts w:hint="eastAsia" w:ascii="仿宋" w:hAnsi="仿宋" w:eastAsia="仿宋" w:cs="仿宋"/>
                <w:kern w:val="0"/>
                <w:sz w:val="24"/>
                <w:szCs w:val="24"/>
              </w:rPr>
              <w:t>学时</w:t>
            </w:r>
          </w:p>
          <w:p w14:paraId="1F83679E">
            <w:pPr>
              <w:adjustRightInd w:val="0"/>
              <w:snapToGrid w:val="0"/>
              <w:spacing w:line="240" w:lineRule="atLeast"/>
              <w:jc w:val="center"/>
              <w:textAlignment w:val="baseline"/>
              <w:rPr>
                <w:rFonts w:ascii="仿宋" w:hAnsi="仿宋" w:eastAsia="仿宋" w:cs="仿宋"/>
                <w:kern w:val="0"/>
                <w:sz w:val="24"/>
                <w:szCs w:val="24"/>
              </w:rPr>
            </w:pPr>
            <w:r>
              <w:rPr>
                <w:rFonts w:hint="eastAsia" w:ascii="仿宋" w:hAnsi="仿宋" w:eastAsia="仿宋" w:cs="仿宋"/>
                <w:kern w:val="0"/>
                <w:sz w:val="24"/>
                <w:szCs w:val="24"/>
              </w:rPr>
              <w:t>分配</w:t>
            </w:r>
          </w:p>
        </w:tc>
      </w:tr>
      <w:tr w14:paraId="32B9F641">
        <w:trPr>
          <w:trHeight w:val="512" w:hRule="atLeast"/>
        </w:trPr>
        <w:tc>
          <w:tcPr>
            <w:tcW w:w="1521" w:type="dxa"/>
            <w:vMerge w:val="continue"/>
            <w:shd w:val="clear" w:color="auto" w:fill="FFFFFF"/>
            <w:noWrap w:val="0"/>
            <w:vAlign w:val="center"/>
          </w:tcPr>
          <w:p w14:paraId="353EDCFF">
            <w:pPr>
              <w:adjustRightInd w:val="0"/>
              <w:snapToGrid w:val="0"/>
              <w:spacing w:line="240" w:lineRule="atLeast"/>
              <w:jc w:val="right"/>
              <w:rPr>
                <w:rFonts w:ascii="仿宋" w:hAnsi="仿宋" w:eastAsia="仿宋" w:cs="仿宋"/>
                <w:sz w:val="24"/>
                <w:szCs w:val="24"/>
              </w:rPr>
            </w:pPr>
          </w:p>
        </w:tc>
        <w:tc>
          <w:tcPr>
            <w:tcW w:w="4898" w:type="dxa"/>
            <w:gridSpan w:val="11"/>
            <w:shd w:val="clear" w:color="auto" w:fill="auto"/>
            <w:noWrap w:val="0"/>
            <w:vAlign w:val="center"/>
          </w:tcPr>
          <w:p w14:paraId="309AAF09">
            <w:pPr>
              <w:adjustRightInd w:val="0"/>
              <w:snapToGrid w:val="0"/>
              <w:rPr>
                <w:rFonts w:hint="eastAsia" w:ascii="仿宋" w:hAnsi="仿宋" w:eastAsia="仿宋" w:cs="仿宋"/>
                <w:bCs/>
                <w:sz w:val="24"/>
                <w:szCs w:val="24"/>
                <w:lang w:eastAsia="zh-CN"/>
              </w:rPr>
            </w:pPr>
          </w:p>
          <w:p w14:paraId="6D8FFF6A">
            <w:pPr>
              <w:widowControl/>
              <w:adjustRightInd w:val="0"/>
              <w:snapToGrid w:val="0"/>
              <w:rPr>
                <w:rFonts w:hint="eastAsia" w:ascii="仿宋" w:hAnsi="仿宋" w:eastAsia="仿宋" w:cs="仿宋"/>
                <w:bCs/>
                <w:sz w:val="24"/>
                <w:szCs w:val="24"/>
                <w:lang w:eastAsia="zh-CN"/>
              </w:rPr>
            </w:pPr>
            <w:r>
              <w:rPr>
                <w:rFonts w:hint="eastAsia" w:ascii="仿宋" w:hAnsi="仿宋" w:eastAsia="仿宋" w:cs="仿宋"/>
                <w:bCs/>
                <w:sz w:val="24"/>
                <w:szCs w:val="24"/>
              </w:rPr>
              <w:t>第一章：绪</w:t>
            </w:r>
            <w:r>
              <w:rPr>
                <w:rFonts w:hint="eastAsia" w:ascii="仿宋" w:hAnsi="仿宋" w:eastAsia="仿宋" w:cs="仿宋"/>
                <w:bCs/>
                <w:sz w:val="24"/>
                <w:szCs w:val="24"/>
                <w:lang w:eastAsia="zh-CN"/>
              </w:rPr>
              <w:t>论</w:t>
            </w:r>
          </w:p>
        </w:tc>
        <w:tc>
          <w:tcPr>
            <w:tcW w:w="1269" w:type="dxa"/>
            <w:gridSpan w:val="3"/>
            <w:shd w:val="clear" w:color="auto" w:fill="auto"/>
            <w:noWrap w:val="0"/>
            <w:vAlign w:val="center"/>
          </w:tcPr>
          <w:p w14:paraId="54DD9042">
            <w:pPr>
              <w:widowControl/>
              <w:adjustRightInd w:val="0"/>
              <w:snapToGrid w:val="0"/>
              <w:jc w:val="center"/>
              <w:rPr>
                <w:rFonts w:ascii="仿宋" w:hAnsi="仿宋" w:eastAsia="仿宋" w:cs="仿宋"/>
                <w:bCs/>
                <w:sz w:val="24"/>
                <w:szCs w:val="24"/>
              </w:rPr>
            </w:pPr>
            <w:r>
              <w:rPr>
                <w:rFonts w:hint="eastAsia" w:ascii="仿宋" w:hAnsi="仿宋" w:eastAsia="仿宋" w:cs="仿宋"/>
                <w:bCs/>
                <w:sz w:val="24"/>
                <w:szCs w:val="24"/>
              </w:rPr>
              <w:t>支撑课程目标1、2、3</w:t>
            </w:r>
          </w:p>
        </w:tc>
        <w:tc>
          <w:tcPr>
            <w:tcW w:w="1460" w:type="dxa"/>
            <w:gridSpan w:val="3"/>
            <w:shd w:val="clear" w:color="auto" w:fill="FFFFFF"/>
            <w:noWrap w:val="0"/>
            <w:vAlign w:val="center"/>
          </w:tcPr>
          <w:p w14:paraId="0372E46A">
            <w:pPr>
              <w:adjustRightInd w:val="0"/>
              <w:snapToGrid w:val="0"/>
              <w:jc w:val="center"/>
              <w:rPr>
                <w:rFonts w:ascii="仿宋" w:hAnsi="仿宋" w:eastAsia="仿宋" w:cs="仿宋"/>
                <w:sz w:val="24"/>
                <w:szCs w:val="24"/>
              </w:rPr>
            </w:pPr>
            <w:r>
              <w:rPr>
                <w:rFonts w:hint="eastAsia" w:ascii="仿宋" w:hAnsi="仿宋" w:eastAsia="仿宋" w:cs="仿宋"/>
                <w:sz w:val="24"/>
                <w:szCs w:val="24"/>
              </w:rPr>
              <w:t>4</w:t>
            </w:r>
          </w:p>
        </w:tc>
      </w:tr>
      <w:tr w14:paraId="3B6D1B55">
        <w:trPr>
          <w:trHeight w:val="597" w:hRule="atLeast"/>
        </w:trPr>
        <w:tc>
          <w:tcPr>
            <w:tcW w:w="1521" w:type="dxa"/>
            <w:vMerge w:val="continue"/>
            <w:shd w:val="clear" w:color="auto" w:fill="FFFFFF"/>
            <w:noWrap w:val="0"/>
            <w:vAlign w:val="center"/>
          </w:tcPr>
          <w:p w14:paraId="6AA79AF3">
            <w:pPr>
              <w:adjustRightInd w:val="0"/>
              <w:snapToGrid w:val="0"/>
              <w:spacing w:line="240" w:lineRule="atLeast"/>
              <w:jc w:val="right"/>
              <w:rPr>
                <w:rFonts w:ascii="仿宋" w:hAnsi="仿宋" w:eastAsia="仿宋" w:cs="仿宋"/>
                <w:sz w:val="24"/>
                <w:szCs w:val="24"/>
              </w:rPr>
            </w:pPr>
          </w:p>
        </w:tc>
        <w:tc>
          <w:tcPr>
            <w:tcW w:w="4898" w:type="dxa"/>
            <w:gridSpan w:val="11"/>
            <w:shd w:val="clear" w:color="auto" w:fill="auto"/>
            <w:noWrap w:val="0"/>
            <w:vAlign w:val="center"/>
          </w:tcPr>
          <w:p w14:paraId="7F57FE64">
            <w:pPr>
              <w:widowControl/>
              <w:adjustRightInd w:val="0"/>
              <w:snapToGrid w:val="0"/>
              <w:rPr>
                <w:rFonts w:hint="eastAsia" w:ascii="仿宋" w:hAnsi="仿宋" w:eastAsia="仿宋" w:cs="仿宋"/>
                <w:bCs/>
                <w:sz w:val="24"/>
                <w:szCs w:val="24"/>
                <w:lang w:eastAsia="zh-CN"/>
              </w:rPr>
            </w:pPr>
            <w:r>
              <w:rPr>
                <w:rFonts w:hint="eastAsia" w:ascii="仿宋" w:hAnsi="仿宋" w:eastAsia="仿宋" w:cs="仿宋"/>
                <w:bCs/>
                <w:sz w:val="24"/>
                <w:szCs w:val="24"/>
              </w:rPr>
              <w:t>第二章：客家</w:t>
            </w:r>
            <w:r>
              <w:rPr>
                <w:rFonts w:hint="eastAsia" w:ascii="仿宋" w:hAnsi="仿宋" w:eastAsia="仿宋" w:cs="仿宋"/>
                <w:bCs/>
                <w:sz w:val="24"/>
                <w:szCs w:val="24"/>
                <w:lang w:eastAsia="zh-CN"/>
              </w:rPr>
              <w:t>民歌</w:t>
            </w:r>
          </w:p>
          <w:p w14:paraId="68BB658A">
            <w:pPr>
              <w:widowControl/>
              <w:adjustRightInd w:val="0"/>
              <w:snapToGrid w:val="0"/>
              <w:rPr>
                <w:rFonts w:hint="eastAsia" w:ascii="仿宋" w:hAnsi="仿宋" w:eastAsia="仿宋" w:cs="仿宋"/>
                <w:bCs/>
                <w:sz w:val="24"/>
                <w:szCs w:val="24"/>
                <w:lang w:eastAsia="zh-CN"/>
              </w:rPr>
            </w:pPr>
            <w:r>
              <w:rPr>
                <w:rFonts w:hint="eastAsia" w:ascii="仿宋" w:hAnsi="仿宋" w:eastAsia="仿宋" w:cs="仿宋"/>
                <w:bCs/>
                <w:sz w:val="24"/>
                <w:szCs w:val="24"/>
                <w:lang w:eastAsia="zh-CN"/>
              </w:rPr>
              <w:t>知道：了解劳动号子的基本含义</w:t>
            </w:r>
          </w:p>
          <w:p w14:paraId="6BD46F99">
            <w:pPr>
              <w:widowControl/>
              <w:adjustRightInd w:val="0"/>
              <w:snapToGrid w:val="0"/>
              <w:rPr>
                <w:rFonts w:hint="eastAsia" w:ascii="仿宋" w:hAnsi="仿宋" w:eastAsia="仿宋" w:cs="仿宋"/>
                <w:bCs/>
                <w:sz w:val="24"/>
                <w:szCs w:val="24"/>
                <w:lang w:eastAsia="zh-CN"/>
              </w:rPr>
            </w:pPr>
            <w:r>
              <w:rPr>
                <w:rFonts w:hint="eastAsia" w:ascii="仿宋" w:hAnsi="仿宋" w:eastAsia="仿宋" w:cs="仿宋"/>
                <w:bCs/>
                <w:sz w:val="24"/>
                <w:szCs w:val="24"/>
                <w:lang w:eastAsia="zh-CN"/>
              </w:rPr>
              <w:t>领会：掌握由劳动号子发展成山歌的特征</w:t>
            </w:r>
          </w:p>
          <w:p w14:paraId="78787539">
            <w:pPr>
              <w:widowControl/>
              <w:adjustRightInd w:val="0"/>
              <w:snapToGrid w:val="0"/>
              <w:rPr>
                <w:rFonts w:hint="eastAsia" w:ascii="仿宋" w:hAnsi="仿宋" w:eastAsia="仿宋" w:cs="仿宋"/>
                <w:bCs/>
                <w:sz w:val="24"/>
                <w:szCs w:val="24"/>
                <w:lang w:eastAsia="zh-CN"/>
              </w:rPr>
            </w:pPr>
            <w:r>
              <w:rPr>
                <w:rFonts w:hint="eastAsia" w:ascii="仿宋" w:hAnsi="仿宋" w:eastAsia="仿宋" w:cs="仿宋"/>
                <w:bCs/>
                <w:sz w:val="24"/>
                <w:szCs w:val="24"/>
                <w:lang w:eastAsia="zh-CN"/>
              </w:rPr>
              <w:t>应用：熟练将劳动号子和山歌综合运用</w:t>
            </w:r>
          </w:p>
        </w:tc>
        <w:tc>
          <w:tcPr>
            <w:tcW w:w="1269" w:type="dxa"/>
            <w:gridSpan w:val="3"/>
            <w:shd w:val="clear" w:color="auto" w:fill="auto"/>
            <w:noWrap w:val="0"/>
            <w:vAlign w:val="center"/>
          </w:tcPr>
          <w:p w14:paraId="41CBC742">
            <w:pPr>
              <w:widowControl/>
              <w:adjustRightInd w:val="0"/>
              <w:snapToGrid w:val="0"/>
              <w:jc w:val="center"/>
              <w:rPr>
                <w:rFonts w:ascii="仿宋" w:hAnsi="仿宋" w:eastAsia="仿宋" w:cs="仿宋"/>
                <w:bCs/>
                <w:sz w:val="24"/>
                <w:szCs w:val="24"/>
              </w:rPr>
            </w:pPr>
            <w:r>
              <w:rPr>
                <w:rFonts w:hint="eastAsia" w:ascii="仿宋" w:hAnsi="仿宋" w:eastAsia="仿宋" w:cs="仿宋"/>
                <w:bCs/>
                <w:sz w:val="24"/>
                <w:szCs w:val="24"/>
              </w:rPr>
              <w:t>支撑课程目标1、2、3</w:t>
            </w:r>
          </w:p>
        </w:tc>
        <w:tc>
          <w:tcPr>
            <w:tcW w:w="1460" w:type="dxa"/>
            <w:gridSpan w:val="3"/>
            <w:shd w:val="clear" w:color="auto" w:fill="FFFFFF"/>
            <w:noWrap w:val="0"/>
            <w:vAlign w:val="center"/>
          </w:tcPr>
          <w:p w14:paraId="09FD69D0">
            <w:pPr>
              <w:adjustRightInd w:val="0"/>
              <w:snapToGrid w:val="0"/>
              <w:jc w:val="center"/>
              <w:rPr>
                <w:rFonts w:ascii="仿宋" w:hAnsi="仿宋" w:eastAsia="仿宋" w:cs="仿宋"/>
                <w:sz w:val="24"/>
                <w:szCs w:val="24"/>
              </w:rPr>
            </w:pPr>
            <w:r>
              <w:rPr>
                <w:rFonts w:hint="eastAsia" w:ascii="仿宋" w:hAnsi="仿宋" w:eastAsia="仿宋" w:cs="仿宋"/>
                <w:sz w:val="24"/>
                <w:szCs w:val="24"/>
              </w:rPr>
              <w:t>5</w:t>
            </w:r>
          </w:p>
        </w:tc>
      </w:tr>
      <w:tr w14:paraId="3D56BE78">
        <w:trPr>
          <w:trHeight w:val="597" w:hRule="atLeast"/>
        </w:trPr>
        <w:tc>
          <w:tcPr>
            <w:tcW w:w="1521" w:type="dxa"/>
            <w:vMerge w:val="continue"/>
            <w:shd w:val="clear" w:color="auto" w:fill="FFFFFF"/>
            <w:noWrap w:val="0"/>
            <w:vAlign w:val="center"/>
          </w:tcPr>
          <w:p w14:paraId="16A899FD">
            <w:pPr>
              <w:adjustRightInd w:val="0"/>
              <w:snapToGrid w:val="0"/>
              <w:spacing w:line="240" w:lineRule="atLeast"/>
              <w:jc w:val="right"/>
              <w:rPr>
                <w:rFonts w:ascii="仿宋" w:hAnsi="仿宋" w:eastAsia="仿宋" w:cs="仿宋"/>
                <w:sz w:val="24"/>
                <w:szCs w:val="24"/>
              </w:rPr>
            </w:pPr>
          </w:p>
        </w:tc>
        <w:tc>
          <w:tcPr>
            <w:tcW w:w="4898" w:type="dxa"/>
            <w:gridSpan w:val="11"/>
            <w:shd w:val="clear" w:color="auto" w:fill="auto"/>
            <w:noWrap w:val="0"/>
            <w:vAlign w:val="center"/>
          </w:tcPr>
          <w:p w14:paraId="7F1586A6">
            <w:pPr>
              <w:widowControl/>
              <w:adjustRightInd w:val="0"/>
              <w:snapToGrid w:val="0"/>
              <w:rPr>
                <w:rFonts w:hint="eastAsia" w:ascii="仿宋" w:hAnsi="仿宋" w:eastAsia="仿宋" w:cs="仿宋"/>
                <w:bCs/>
                <w:sz w:val="24"/>
                <w:szCs w:val="24"/>
              </w:rPr>
            </w:pPr>
            <w:r>
              <w:rPr>
                <w:rFonts w:hint="eastAsia" w:ascii="仿宋" w:hAnsi="仿宋" w:eastAsia="仿宋" w:cs="仿宋"/>
                <w:bCs/>
                <w:sz w:val="24"/>
                <w:szCs w:val="24"/>
              </w:rPr>
              <w:t>第三章：客家歌舞音乐</w:t>
            </w:r>
          </w:p>
          <w:p w14:paraId="20E04668">
            <w:pPr>
              <w:widowControl/>
              <w:adjustRightInd w:val="0"/>
              <w:snapToGrid w:val="0"/>
              <w:rPr>
                <w:rFonts w:hint="eastAsia" w:ascii="仿宋" w:hAnsi="仿宋" w:eastAsia="仿宋" w:cs="仿宋"/>
                <w:bCs/>
                <w:sz w:val="24"/>
                <w:szCs w:val="24"/>
                <w:lang w:eastAsia="zh-CN"/>
              </w:rPr>
            </w:pPr>
            <w:r>
              <w:rPr>
                <w:rFonts w:hint="eastAsia" w:ascii="仿宋" w:hAnsi="仿宋" w:eastAsia="仿宋" w:cs="仿宋"/>
                <w:bCs/>
                <w:sz w:val="24"/>
                <w:szCs w:val="24"/>
                <w:lang w:eastAsia="zh-CN"/>
              </w:rPr>
              <w:t>知道：了解客家歌舞音乐的基本含义</w:t>
            </w:r>
          </w:p>
          <w:p w14:paraId="68A1FB2D">
            <w:pPr>
              <w:widowControl/>
              <w:adjustRightInd w:val="0"/>
              <w:snapToGrid w:val="0"/>
              <w:rPr>
                <w:rFonts w:hint="eastAsia" w:ascii="仿宋" w:hAnsi="仿宋" w:eastAsia="仿宋" w:cs="仿宋"/>
                <w:bCs/>
                <w:sz w:val="24"/>
                <w:szCs w:val="24"/>
                <w:lang w:eastAsia="zh-CN"/>
              </w:rPr>
            </w:pPr>
            <w:r>
              <w:rPr>
                <w:rFonts w:hint="eastAsia" w:ascii="仿宋" w:hAnsi="仿宋" w:eastAsia="仿宋" w:cs="仿宋"/>
                <w:bCs/>
                <w:sz w:val="24"/>
                <w:szCs w:val="24"/>
                <w:lang w:eastAsia="zh-CN"/>
              </w:rPr>
              <w:t>领会：掌握民俗歌舞的表演形式</w:t>
            </w:r>
          </w:p>
          <w:p w14:paraId="7079EC33">
            <w:pPr>
              <w:widowControl/>
              <w:adjustRightInd w:val="0"/>
              <w:snapToGrid w:val="0"/>
              <w:rPr>
                <w:rFonts w:hint="eastAsia" w:ascii="仿宋" w:hAnsi="仿宋" w:eastAsia="仿宋" w:cs="仿宋"/>
                <w:bCs/>
                <w:sz w:val="24"/>
                <w:szCs w:val="24"/>
                <w:lang w:eastAsia="zh-CN"/>
              </w:rPr>
            </w:pPr>
            <w:r>
              <w:rPr>
                <w:rFonts w:hint="eastAsia" w:ascii="仿宋" w:hAnsi="仿宋" w:eastAsia="仿宋" w:cs="仿宋"/>
                <w:bCs/>
                <w:sz w:val="24"/>
                <w:szCs w:val="24"/>
                <w:lang w:eastAsia="zh-CN"/>
              </w:rPr>
              <w:t>应用：熟练地区分祭祀歌舞与民俗歌曲的类别</w:t>
            </w:r>
          </w:p>
        </w:tc>
        <w:tc>
          <w:tcPr>
            <w:tcW w:w="1269" w:type="dxa"/>
            <w:gridSpan w:val="3"/>
            <w:shd w:val="clear" w:color="auto" w:fill="auto"/>
            <w:noWrap w:val="0"/>
            <w:vAlign w:val="center"/>
          </w:tcPr>
          <w:p w14:paraId="70716ACA">
            <w:pPr>
              <w:widowControl/>
              <w:adjustRightInd w:val="0"/>
              <w:snapToGrid w:val="0"/>
              <w:jc w:val="center"/>
              <w:rPr>
                <w:rFonts w:ascii="仿宋" w:hAnsi="仿宋" w:eastAsia="仿宋" w:cs="仿宋"/>
                <w:bCs/>
                <w:sz w:val="24"/>
                <w:szCs w:val="24"/>
              </w:rPr>
            </w:pPr>
            <w:r>
              <w:rPr>
                <w:rFonts w:hint="eastAsia" w:ascii="仿宋" w:hAnsi="仿宋" w:eastAsia="仿宋" w:cs="仿宋"/>
                <w:bCs/>
                <w:sz w:val="24"/>
                <w:szCs w:val="24"/>
              </w:rPr>
              <w:t>支撑课程目标1、2、3</w:t>
            </w:r>
          </w:p>
        </w:tc>
        <w:tc>
          <w:tcPr>
            <w:tcW w:w="1460" w:type="dxa"/>
            <w:gridSpan w:val="3"/>
            <w:shd w:val="clear" w:color="auto" w:fill="FFFFFF"/>
            <w:noWrap w:val="0"/>
            <w:vAlign w:val="center"/>
          </w:tcPr>
          <w:p w14:paraId="08A0CDEE">
            <w:pPr>
              <w:adjustRightInd w:val="0"/>
              <w:snapToGrid w:val="0"/>
              <w:jc w:val="center"/>
              <w:rPr>
                <w:rFonts w:ascii="仿宋" w:hAnsi="仿宋" w:eastAsia="仿宋" w:cs="仿宋"/>
                <w:sz w:val="24"/>
                <w:szCs w:val="24"/>
              </w:rPr>
            </w:pPr>
            <w:r>
              <w:rPr>
                <w:rFonts w:hint="eastAsia" w:ascii="仿宋" w:hAnsi="仿宋" w:eastAsia="仿宋" w:cs="仿宋"/>
                <w:sz w:val="24"/>
                <w:szCs w:val="24"/>
              </w:rPr>
              <w:t>6</w:t>
            </w:r>
          </w:p>
        </w:tc>
      </w:tr>
      <w:tr w14:paraId="04B9DAAF">
        <w:trPr>
          <w:trHeight w:val="597" w:hRule="atLeast"/>
        </w:trPr>
        <w:tc>
          <w:tcPr>
            <w:tcW w:w="1521" w:type="dxa"/>
            <w:vMerge w:val="continue"/>
            <w:shd w:val="clear" w:color="auto" w:fill="FFFFFF"/>
            <w:noWrap w:val="0"/>
            <w:vAlign w:val="center"/>
          </w:tcPr>
          <w:p w14:paraId="66ADE619">
            <w:pPr>
              <w:adjustRightInd w:val="0"/>
              <w:snapToGrid w:val="0"/>
              <w:spacing w:line="240" w:lineRule="atLeast"/>
              <w:jc w:val="right"/>
              <w:rPr>
                <w:rFonts w:ascii="仿宋" w:hAnsi="仿宋" w:eastAsia="仿宋" w:cs="仿宋"/>
                <w:sz w:val="24"/>
                <w:szCs w:val="24"/>
              </w:rPr>
            </w:pPr>
          </w:p>
        </w:tc>
        <w:tc>
          <w:tcPr>
            <w:tcW w:w="4898" w:type="dxa"/>
            <w:gridSpan w:val="11"/>
            <w:shd w:val="clear" w:color="auto" w:fill="auto"/>
            <w:noWrap w:val="0"/>
            <w:vAlign w:val="center"/>
          </w:tcPr>
          <w:p w14:paraId="5E0B0D0E">
            <w:pPr>
              <w:widowControl/>
              <w:adjustRightInd w:val="0"/>
              <w:snapToGrid w:val="0"/>
              <w:rPr>
                <w:rFonts w:hint="eastAsia" w:ascii="仿宋" w:hAnsi="仿宋" w:eastAsia="仿宋" w:cs="仿宋"/>
                <w:bCs/>
                <w:sz w:val="24"/>
                <w:szCs w:val="24"/>
              </w:rPr>
            </w:pPr>
            <w:r>
              <w:rPr>
                <w:rFonts w:hint="eastAsia" w:ascii="仿宋" w:hAnsi="仿宋" w:eastAsia="仿宋" w:cs="仿宋"/>
                <w:bCs/>
                <w:sz w:val="24"/>
                <w:szCs w:val="24"/>
              </w:rPr>
              <w:t>第四章：客家器乐</w:t>
            </w:r>
          </w:p>
          <w:p w14:paraId="6D272F3D">
            <w:pPr>
              <w:widowControl/>
              <w:adjustRightInd w:val="0"/>
              <w:snapToGrid w:val="0"/>
              <w:rPr>
                <w:rFonts w:hint="eastAsia" w:ascii="仿宋" w:hAnsi="仿宋" w:eastAsia="仿宋" w:cs="仿宋"/>
                <w:bCs/>
                <w:sz w:val="24"/>
                <w:szCs w:val="24"/>
                <w:lang w:eastAsia="zh-CN"/>
              </w:rPr>
            </w:pPr>
            <w:r>
              <w:rPr>
                <w:rFonts w:hint="eastAsia" w:ascii="仿宋" w:hAnsi="仿宋" w:eastAsia="仿宋" w:cs="仿宋"/>
                <w:bCs/>
                <w:sz w:val="24"/>
                <w:szCs w:val="24"/>
                <w:lang w:eastAsia="zh-CN"/>
              </w:rPr>
              <w:t>知道：了解哪些是客家器乐</w:t>
            </w:r>
          </w:p>
          <w:p w14:paraId="78999D27">
            <w:pPr>
              <w:widowControl/>
              <w:adjustRightInd w:val="0"/>
              <w:snapToGrid w:val="0"/>
              <w:rPr>
                <w:rFonts w:hint="eastAsia" w:ascii="仿宋" w:hAnsi="仿宋" w:eastAsia="仿宋" w:cs="仿宋"/>
                <w:bCs/>
                <w:sz w:val="24"/>
                <w:szCs w:val="24"/>
                <w:lang w:eastAsia="zh-CN"/>
              </w:rPr>
            </w:pPr>
            <w:r>
              <w:rPr>
                <w:rFonts w:hint="eastAsia" w:ascii="仿宋" w:hAnsi="仿宋" w:eastAsia="仿宋" w:cs="仿宋"/>
                <w:bCs/>
                <w:sz w:val="24"/>
                <w:szCs w:val="24"/>
                <w:lang w:eastAsia="zh-CN"/>
              </w:rPr>
              <w:t>领会：掌握客家乐器：锣，鼓，</w:t>
            </w:r>
          </w:p>
          <w:p w14:paraId="7DA146FF">
            <w:pPr>
              <w:widowControl/>
              <w:adjustRightInd w:val="0"/>
              <w:snapToGrid w:val="0"/>
              <w:rPr>
                <w:rFonts w:hint="eastAsia" w:ascii="仿宋" w:hAnsi="仿宋" w:eastAsia="仿宋" w:cs="仿宋"/>
                <w:bCs/>
                <w:sz w:val="24"/>
                <w:szCs w:val="24"/>
                <w:lang w:eastAsia="zh-CN"/>
              </w:rPr>
            </w:pPr>
            <w:r>
              <w:rPr>
                <w:rFonts w:hint="eastAsia" w:ascii="仿宋" w:hAnsi="仿宋" w:eastAsia="仿宋" w:cs="仿宋"/>
                <w:bCs/>
                <w:sz w:val="24"/>
                <w:szCs w:val="24"/>
                <w:lang w:eastAsia="zh-CN"/>
              </w:rPr>
              <w:t>应用：熟练运用客家乐器传播中国客家优秀的传统艺术文化</w:t>
            </w:r>
          </w:p>
        </w:tc>
        <w:tc>
          <w:tcPr>
            <w:tcW w:w="1269" w:type="dxa"/>
            <w:gridSpan w:val="3"/>
            <w:shd w:val="clear" w:color="auto" w:fill="auto"/>
            <w:noWrap w:val="0"/>
            <w:vAlign w:val="center"/>
          </w:tcPr>
          <w:p w14:paraId="72895010">
            <w:pPr>
              <w:widowControl/>
              <w:adjustRightInd w:val="0"/>
              <w:snapToGrid w:val="0"/>
              <w:jc w:val="center"/>
              <w:rPr>
                <w:rFonts w:ascii="仿宋" w:hAnsi="仿宋" w:eastAsia="仿宋" w:cs="仿宋"/>
                <w:bCs/>
                <w:sz w:val="24"/>
                <w:szCs w:val="24"/>
              </w:rPr>
            </w:pPr>
            <w:r>
              <w:rPr>
                <w:rFonts w:hint="eastAsia" w:ascii="仿宋" w:hAnsi="仿宋" w:eastAsia="仿宋" w:cs="仿宋"/>
                <w:bCs/>
                <w:sz w:val="24"/>
                <w:szCs w:val="24"/>
              </w:rPr>
              <w:t>支撑课程目标1、2、3</w:t>
            </w:r>
          </w:p>
        </w:tc>
        <w:tc>
          <w:tcPr>
            <w:tcW w:w="1460" w:type="dxa"/>
            <w:gridSpan w:val="3"/>
            <w:shd w:val="clear" w:color="auto" w:fill="FFFFFF"/>
            <w:noWrap w:val="0"/>
            <w:vAlign w:val="center"/>
          </w:tcPr>
          <w:p w14:paraId="7324FE89">
            <w:pPr>
              <w:adjustRightInd w:val="0"/>
              <w:snapToGrid w:val="0"/>
              <w:jc w:val="center"/>
              <w:rPr>
                <w:rFonts w:ascii="仿宋" w:hAnsi="仿宋" w:eastAsia="仿宋" w:cs="仿宋"/>
                <w:sz w:val="24"/>
                <w:szCs w:val="24"/>
              </w:rPr>
            </w:pPr>
            <w:r>
              <w:rPr>
                <w:rFonts w:hint="eastAsia" w:ascii="仿宋" w:hAnsi="仿宋" w:eastAsia="仿宋" w:cs="仿宋"/>
                <w:sz w:val="24"/>
                <w:szCs w:val="24"/>
              </w:rPr>
              <w:t>4</w:t>
            </w:r>
          </w:p>
        </w:tc>
      </w:tr>
      <w:tr w14:paraId="33D4E02B">
        <w:trPr>
          <w:trHeight w:val="597" w:hRule="atLeast"/>
        </w:trPr>
        <w:tc>
          <w:tcPr>
            <w:tcW w:w="1521" w:type="dxa"/>
            <w:vMerge w:val="continue"/>
            <w:shd w:val="clear" w:color="auto" w:fill="FFFFFF"/>
            <w:noWrap w:val="0"/>
            <w:vAlign w:val="center"/>
          </w:tcPr>
          <w:p w14:paraId="4C276CB4">
            <w:pPr>
              <w:adjustRightInd w:val="0"/>
              <w:snapToGrid w:val="0"/>
              <w:spacing w:line="240" w:lineRule="atLeast"/>
              <w:jc w:val="right"/>
              <w:rPr>
                <w:rFonts w:ascii="仿宋" w:hAnsi="仿宋" w:eastAsia="仿宋" w:cs="仿宋"/>
                <w:sz w:val="24"/>
                <w:szCs w:val="24"/>
              </w:rPr>
            </w:pPr>
          </w:p>
        </w:tc>
        <w:tc>
          <w:tcPr>
            <w:tcW w:w="4898" w:type="dxa"/>
            <w:gridSpan w:val="11"/>
            <w:shd w:val="clear" w:color="auto" w:fill="auto"/>
            <w:noWrap w:val="0"/>
            <w:vAlign w:val="center"/>
          </w:tcPr>
          <w:p w14:paraId="2B44CCE6">
            <w:pPr>
              <w:widowControl/>
              <w:adjustRightInd w:val="0"/>
              <w:snapToGrid w:val="0"/>
              <w:rPr>
                <w:rFonts w:hint="eastAsia" w:ascii="仿宋" w:hAnsi="仿宋" w:eastAsia="仿宋" w:cs="仿宋"/>
                <w:bCs/>
                <w:sz w:val="24"/>
                <w:szCs w:val="24"/>
              </w:rPr>
            </w:pPr>
            <w:r>
              <w:rPr>
                <w:rFonts w:hint="eastAsia" w:ascii="仿宋" w:hAnsi="仿宋" w:eastAsia="仿宋" w:cs="仿宋"/>
                <w:bCs/>
                <w:sz w:val="24"/>
                <w:szCs w:val="24"/>
              </w:rPr>
              <w:t>第五章：客家曲艺音乐</w:t>
            </w:r>
          </w:p>
          <w:p w14:paraId="139C36D0">
            <w:pPr>
              <w:widowControl/>
              <w:adjustRightInd w:val="0"/>
              <w:snapToGrid w:val="0"/>
              <w:rPr>
                <w:rFonts w:hint="eastAsia" w:ascii="仿宋" w:hAnsi="仿宋" w:eastAsia="仿宋" w:cs="仿宋"/>
                <w:bCs/>
                <w:sz w:val="24"/>
                <w:szCs w:val="24"/>
                <w:lang w:eastAsia="zh-CN"/>
              </w:rPr>
            </w:pPr>
            <w:r>
              <w:rPr>
                <w:rFonts w:hint="eastAsia" w:ascii="仿宋" w:hAnsi="仿宋" w:eastAsia="仿宋" w:cs="仿宋"/>
                <w:bCs/>
                <w:sz w:val="24"/>
                <w:szCs w:val="24"/>
                <w:lang w:eastAsia="zh-CN"/>
              </w:rPr>
              <w:t>知道：了解客家曲艺音乐的含义</w:t>
            </w:r>
          </w:p>
          <w:p w14:paraId="7AD1DFEB">
            <w:pPr>
              <w:widowControl/>
              <w:adjustRightInd w:val="0"/>
              <w:snapToGrid w:val="0"/>
              <w:rPr>
                <w:rFonts w:hint="eastAsia" w:ascii="仿宋" w:hAnsi="仿宋" w:eastAsia="仿宋" w:cs="仿宋"/>
                <w:bCs/>
                <w:sz w:val="24"/>
                <w:szCs w:val="24"/>
                <w:lang w:eastAsia="zh-CN"/>
              </w:rPr>
            </w:pPr>
            <w:r>
              <w:rPr>
                <w:rFonts w:hint="eastAsia" w:ascii="仿宋" w:hAnsi="仿宋" w:eastAsia="仿宋" w:cs="仿宋"/>
                <w:bCs/>
                <w:sz w:val="24"/>
                <w:szCs w:val="24"/>
                <w:lang w:eastAsia="zh-CN"/>
              </w:rPr>
              <w:t>领会：掌握福建客家南词的发展与南词的特征</w:t>
            </w:r>
          </w:p>
          <w:p w14:paraId="417E48DB">
            <w:pPr>
              <w:widowControl/>
              <w:adjustRightInd w:val="0"/>
              <w:snapToGrid w:val="0"/>
              <w:rPr>
                <w:rFonts w:hint="eastAsia" w:ascii="仿宋" w:hAnsi="仿宋" w:eastAsia="仿宋" w:cs="仿宋"/>
                <w:bCs/>
                <w:sz w:val="24"/>
                <w:szCs w:val="24"/>
                <w:lang w:eastAsia="zh-CN"/>
              </w:rPr>
            </w:pPr>
            <w:r>
              <w:rPr>
                <w:rFonts w:hint="eastAsia" w:ascii="仿宋" w:hAnsi="仿宋" w:eastAsia="仿宋" w:cs="仿宋"/>
                <w:bCs/>
                <w:sz w:val="24"/>
                <w:szCs w:val="24"/>
                <w:lang w:eastAsia="zh-CN"/>
              </w:rPr>
              <w:t>应用：在客家音乐文化中传播中国优秀文化南词</w:t>
            </w:r>
          </w:p>
        </w:tc>
        <w:tc>
          <w:tcPr>
            <w:tcW w:w="1269" w:type="dxa"/>
            <w:gridSpan w:val="3"/>
            <w:shd w:val="clear" w:color="auto" w:fill="auto"/>
            <w:noWrap w:val="0"/>
            <w:vAlign w:val="center"/>
          </w:tcPr>
          <w:p w14:paraId="33174892">
            <w:pPr>
              <w:widowControl/>
              <w:adjustRightInd w:val="0"/>
              <w:snapToGrid w:val="0"/>
              <w:jc w:val="center"/>
              <w:rPr>
                <w:rFonts w:ascii="仿宋" w:hAnsi="仿宋" w:eastAsia="仿宋" w:cs="仿宋"/>
                <w:bCs/>
                <w:sz w:val="24"/>
                <w:szCs w:val="24"/>
              </w:rPr>
            </w:pPr>
            <w:r>
              <w:rPr>
                <w:rFonts w:hint="eastAsia" w:ascii="仿宋" w:hAnsi="仿宋" w:eastAsia="仿宋" w:cs="仿宋"/>
                <w:bCs/>
                <w:sz w:val="24"/>
                <w:szCs w:val="24"/>
              </w:rPr>
              <w:t>支撑课程目标1、2、3</w:t>
            </w:r>
          </w:p>
        </w:tc>
        <w:tc>
          <w:tcPr>
            <w:tcW w:w="1460" w:type="dxa"/>
            <w:gridSpan w:val="3"/>
            <w:shd w:val="clear" w:color="auto" w:fill="FFFFFF"/>
            <w:noWrap w:val="0"/>
            <w:vAlign w:val="center"/>
          </w:tcPr>
          <w:p w14:paraId="0BCE9123">
            <w:pPr>
              <w:adjustRightInd w:val="0"/>
              <w:snapToGrid w:val="0"/>
              <w:jc w:val="center"/>
              <w:rPr>
                <w:rFonts w:ascii="仿宋" w:hAnsi="仿宋" w:eastAsia="仿宋" w:cs="仿宋"/>
                <w:sz w:val="24"/>
                <w:szCs w:val="24"/>
              </w:rPr>
            </w:pPr>
            <w:r>
              <w:rPr>
                <w:rFonts w:hint="eastAsia" w:ascii="仿宋" w:hAnsi="仿宋" w:eastAsia="仿宋" w:cs="仿宋"/>
                <w:sz w:val="24"/>
                <w:szCs w:val="24"/>
              </w:rPr>
              <w:t>5</w:t>
            </w:r>
          </w:p>
        </w:tc>
      </w:tr>
      <w:tr w14:paraId="23D395B4">
        <w:trPr>
          <w:trHeight w:val="597" w:hRule="atLeast"/>
        </w:trPr>
        <w:tc>
          <w:tcPr>
            <w:tcW w:w="1521" w:type="dxa"/>
            <w:vMerge w:val="continue"/>
            <w:shd w:val="clear" w:color="auto" w:fill="FFFFFF"/>
            <w:noWrap w:val="0"/>
            <w:vAlign w:val="center"/>
          </w:tcPr>
          <w:p w14:paraId="5C6B4B15">
            <w:pPr>
              <w:adjustRightInd w:val="0"/>
              <w:snapToGrid w:val="0"/>
              <w:spacing w:line="240" w:lineRule="atLeast"/>
              <w:jc w:val="right"/>
              <w:rPr>
                <w:rFonts w:ascii="仿宋" w:hAnsi="仿宋" w:eastAsia="仿宋" w:cs="仿宋"/>
                <w:sz w:val="24"/>
                <w:szCs w:val="24"/>
              </w:rPr>
            </w:pPr>
          </w:p>
        </w:tc>
        <w:tc>
          <w:tcPr>
            <w:tcW w:w="4898" w:type="dxa"/>
            <w:gridSpan w:val="11"/>
            <w:shd w:val="clear" w:color="auto" w:fill="auto"/>
            <w:noWrap w:val="0"/>
            <w:vAlign w:val="center"/>
          </w:tcPr>
          <w:p w14:paraId="391B9C40">
            <w:pPr>
              <w:widowControl/>
              <w:adjustRightInd w:val="0"/>
              <w:snapToGrid w:val="0"/>
              <w:rPr>
                <w:rFonts w:hint="eastAsia" w:ascii="仿宋" w:hAnsi="仿宋" w:eastAsia="仿宋" w:cs="仿宋"/>
                <w:bCs/>
                <w:sz w:val="24"/>
                <w:szCs w:val="24"/>
              </w:rPr>
            </w:pPr>
            <w:r>
              <w:rPr>
                <w:rFonts w:hint="eastAsia" w:ascii="仿宋" w:hAnsi="仿宋" w:eastAsia="仿宋" w:cs="仿宋"/>
                <w:bCs/>
                <w:sz w:val="24"/>
                <w:szCs w:val="24"/>
              </w:rPr>
              <w:t>第六章：宗教与仪式音乐</w:t>
            </w:r>
          </w:p>
          <w:p w14:paraId="03D7A99B">
            <w:pPr>
              <w:widowControl/>
              <w:adjustRightInd w:val="0"/>
              <w:snapToGrid w:val="0"/>
              <w:rPr>
                <w:rFonts w:hint="eastAsia" w:ascii="仿宋" w:hAnsi="仿宋" w:eastAsia="仿宋" w:cs="仿宋"/>
                <w:bCs/>
                <w:sz w:val="24"/>
                <w:szCs w:val="24"/>
                <w:lang w:eastAsia="zh-CN"/>
              </w:rPr>
            </w:pPr>
            <w:r>
              <w:rPr>
                <w:rFonts w:hint="eastAsia" w:ascii="仿宋" w:hAnsi="仿宋" w:eastAsia="仿宋" w:cs="仿宋"/>
                <w:bCs/>
                <w:sz w:val="24"/>
                <w:szCs w:val="24"/>
                <w:lang w:eastAsia="zh-CN"/>
              </w:rPr>
              <w:t>知道：了解客家宗教仪式音乐的特征</w:t>
            </w:r>
          </w:p>
          <w:p w14:paraId="13764A25">
            <w:pPr>
              <w:widowControl/>
              <w:adjustRightInd w:val="0"/>
              <w:snapToGrid w:val="0"/>
              <w:rPr>
                <w:rFonts w:hint="eastAsia" w:ascii="仿宋" w:hAnsi="仿宋" w:eastAsia="仿宋" w:cs="仿宋"/>
                <w:bCs/>
                <w:sz w:val="24"/>
                <w:szCs w:val="24"/>
                <w:lang w:eastAsia="zh-CN"/>
              </w:rPr>
            </w:pPr>
            <w:r>
              <w:rPr>
                <w:rFonts w:hint="eastAsia" w:ascii="仿宋" w:hAnsi="仿宋" w:eastAsia="仿宋" w:cs="仿宋"/>
                <w:bCs/>
                <w:sz w:val="24"/>
                <w:szCs w:val="24"/>
                <w:lang w:eastAsia="zh-CN"/>
              </w:rPr>
              <w:t>领会：辨别宗教音乐的表演形式</w:t>
            </w:r>
          </w:p>
          <w:p w14:paraId="0C88BAFE">
            <w:pPr>
              <w:widowControl/>
              <w:adjustRightInd w:val="0"/>
              <w:snapToGrid w:val="0"/>
              <w:rPr>
                <w:rFonts w:hint="eastAsia" w:ascii="仿宋" w:hAnsi="仿宋" w:eastAsia="仿宋" w:cs="仿宋"/>
                <w:bCs/>
                <w:sz w:val="24"/>
                <w:szCs w:val="24"/>
                <w:lang w:eastAsia="zh-CN"/>
              </w:rPr>
            </w:pPr>
            <w:r>
              <w:rPr>
                <w:rFonts w:hint="eastAsia" w:ascii="仿宋" w:hAnsi="仿宋" w:eastAsia="仿宋" w:cs="仿宋"/>
                <w:bCs/>
                <w:sz w:val="24"/>
                <w:szCs w:val="24"/>
                <w:lang w:eastAsia="zh-CN"/>
              </w:rPr>
              <w:t>应用：在客家音乐文化中辨别宗教音乐</w:t>
            </w:r>
          </w:p>
        </w:tc>
        <w:tc>
          <w:tcPr>
            <w:tcW w:w="1269" w:type="dxa"/>
            <w:gridSpan w:val="3"/>
            <w:shd w:val="clear" w:color="auto" w:fill="auto"/>
            <w:noWrap w:val="0"/>
            <w:vAlign w:val="center"/>
          </w:tcPr>
          <w:p w14:paraId="262D1D6B">
            <w:pPr>
              <w:widowControl/>
              <w:adjustRightInd w:val="0"/>
              <w:snapToGrid w:val="0"/>
              <w:jc w:val="center"/>
              <w:rPr>
                <w:rFonts w:ascii="仿宋" w:hAnsi="仿宋" w:eastAsia="仿宋" w:cs="仿宋"/>
                <w:bCs/>
                <w:sz w:val="24"/>
                <w:szCs w:val="24"/>
              </w:rPr>
            </w:pPr>
            <w:r>
              <w:rPr>
                <w:rFonts w:hint="eastAsia" w:ascii="仿宋" w:hAnsi="仿宋" w:eastAsia="仿宋" w:cs="仿宋"/>
                <w:bCs/>
                <w:sz w:val="24"/>
                <w:szCs w:val="24"/>
              </w:rPr>
              <w:t>支撑课程目标1、2、3</w:t>
            </w:r>
          </w:p>
        </w:tc>
        <w:tc>
          <w:tcPr>
            <w:tcW w:w="1460" w:type="dxa"/>
            <w:gridSpan w:val="3"/>
            <w:shd w:val="clear" w:color="auto" w:fill="FFFFFF"/>
            <w:noWrap w:val="0"/>
            <w:vAlign w:val="center"/>
          </w:tcPr>
          <w:p w14:paraId="5E704242">
            <w:pPr>
              <w:adjustRightInd w:val="0"/>
              <w:snapToGrid w:val="0"/>
              <w:jc w:val="center"/>
              <w:rPr>
                <w:rFonts w:ascii="仿宋" w:hAnsi="仿宋" w:eastAsia="仿宋" w:cs="仿宋"/>
                <w:sz w:val="24"/>
                <w:szCs w:val="24"/>
              </w:rPr>
            </w:pPr>
          </w:p>
          <w:p w14:paraId="75B82250">
            <w:pPr>
              <w:adjustRightInd w:val="0"/>
              <w:snapToGrid w:val="0"/>
              <w:jc w:val="center"/>
              <w:rPr>
                <w:rFonts w:ascii="仿宋" w:hAnsi="仿宋" w:eastAsia="仿宋" w:cs="仿宋"/>
                <w:sz w:val="24"/>
                <w:szCs w:val="24"/>
              </w:rPr>
            </w:pPr>
            <w:r>
              <w:rPr>
                <w:rFonts w:hint="eastAsia" w:ascii="仿宋" w:hAnsi="仿宋" w:eastAsia="仿宋" w:cs="仿宋"/>
                <w:sz w:val="24"/>
                <w:szCs w:val="24"/>
              </w:rPr>
              <w:t>4</w:t>
            </w:r>
          </w:p>
        </w:tc>
      </w:tr>
      <w:tr w14:paraId="0E772DD1">
        <w:trPr>
          <w:trHeight w:val="597" w:hRule="atLeast"/>
        </w:trPr>
        <w:tc>
          <w:tcPr>
            <w:tcW w:w="1521" w:type="dxa"/>
            <w:vMerge w:val="continue"/>
            <w:shd w:val="clear" w:color="auto" w:fill="FFFFFF"/>
            <w:noWrap w:val="0"/>
            <w:vAlign w:val="center"/>
          </w:tcPr>
          <w:p w14:paraId="78CEF04E">
            <w:pPr>
              <w:adjustRightInd w:val="0"/>
              <w:snapToGrid w:val="0"/>
              <w:spacing w:line="240" w:lineRule="atLeast"/>
              <w:jc w:val="right"/>
              <w:rPr>
                <w:rFonts w:ascii="仿宋" w:hAnsi="仿宋" w:eastAsia="仿宋" w:cs="仿宋"/>
                <w:sz w:val="24"/>
                <w:szCs w:val="24"/>
              </w:rPr>
            </w:pPr>
          </w:p>
        </w:tc>
        <w:tc>
          <w:tcPr>
            <w:tcW w:w="4898" w:type="dxa"/>
            <w:gridSpan w:val="11"/>
            <w:shd w:val="clear" w:color="auto" w:fill="auto"/>
            <w:noWrap w:val="0"/>
            <w:vAlign w:val="center"/>
          </w:tcPr>
          <w:p w14:paraId="0BBB4233">
            <w:pPr>
              <w:widowControl/>
              <w:adjustRightInd w:val="0"/>
              <w:snapToGrid w:val="0"/>
              <w:rPr>
                <w:rFonts w:hint="eastAsia" w:ascii="仿宋" w:hAnsi="仿宋" w:eastAsia="仿宋" w:cs="仿宋"/>
                <w:bCs/>
                <w:sz w:val="24"/>
                <w:szCs w:val="24"/>
              </w:rPr>
            </w:pPr>
            <w:r>
              <w:rPr>
                <w:rFonts w:hint="eastAsia" w:ascii="仿宋" w:hAnsi="仿宋" w:eastAsia="仿宋" w:cs="仿宋"/>
                <w:bCs/>
                <w:sz w:val="24"/>
                <w:szCs w:val="24"/>
              </w:rPr>
              <w:t>第七章：客家戏曲音乐</w:t>
            </w:r>
          </w:p>
          <w:p w14:paraId="2705B4A3">
            <w:pPr>
              <w:widowControl/>
              <w:adjustRightInd w:val="0"/>
              <w:snapToGrid w:val="0"/>
              <w:rPr>
                <w:rFonts w:hint="eastAsia" w:ascii="仿宋" w:hAnsi="仿宋" w:eastAsia="仿宋" w:cs="仿宋"/>
                <w:bCs/>
                <w:sz w:val="24"/>
                <w:szCs w:val="24"/>
                <w:lang w:eastAsia="zh-CN"/>
              </w:rPr>
            </w:pPr>
            <w:r>
              <w:rPr>
                <w:rFonts w:hint="eastAsia" w:ascii="仿宋" w:hAnsi="仿宋" w:eastAsia="仿宋" w:cs="仿宋"/>
                <w:bCs/>
                <w:sz w:val="24"/>
                <w:szCs w:val="24"/>
                <w:lang w:eastAsia="zh-CN"/>
              </w:rPr>
              <w:t>知道：了解是什么是客家戏曲音乐</w:t>
            </w:r>
          </w:p>
          <w:p w14:paraId="39371C5B">
            <w:pPr>
              <w:widowControl/>
              <w:adjustRightInd w:val="0"/>
              <w:snapToGrid w:val="0"/>
              <w:rPr>
                <w:rFonts w:hint="eastAsia" w:ascii="仿宋" w:hAnsi="仿宋" w:eastAsia="仿宋" w:cs="仿宋"/>
                <w:bCs/>
                <w:sz w:val="24"/>
                <w:szCs w:val="24"/>
                <w:lang w:eastAsia="zh-CN"/>
              </w:rPr>
            </w:pPr>
            <w:r>
              <w:rPr>
                <w:rFonts w:hint="eastAsia" w:ascii="仿宋" w:hAnsi="仿宋" w:eastAsia="仿宋" w:cs="仿宋"/>
                <w:bCs/>
                <w:sz w:val="24"/>
                <w:szCs w:val="24"/>
                <w:lang w:eastAsia="zh-CN"/>
              </w:rPr>
              <w:t>领会：辨别木偶戏的艺术特征</w:t>
            </w:r>
          </w:p>
          <w:p w14:paraId="742DB760">
            <w:pPr>
              <w:widowControl/>
              <w:adjustRightInd w:val="0"/>
              <w:snapToGrid w:val="0"/>
              <w:rPr>
                <w:rFonts w:hint="eastAsia" w:ascii="仿宋" w:hAnsi="仿宋" w:eastAsia="仿宋" w:cs="仿宋"/>
                <w:bCs/>
                <w:sz w:val="24"/>
                <w:szCs w:val="24"/>
                <w:lang w:eastAsia="zh-CN"/>
              </w:rPr>
            </w:pPr>
            <w:r>
              <w:rPr>
                <w:rFonts w:hint="eastAsia" w:ascii="仿宋" w:hAnsi="仿宋" w:eastAsia="仿宋" w:cs="仿宋"/>
                <w:bCs/>
                <w:sz w:val="24"/>
                <w:szCs w:val="24"/>
                <w:lang w:eastAsia="zh-CN"/>
              </w:rPr>
              <w:t>应用：在客家戏曲音乐中分析采茶戏与木偶戏的艺术特征</w:t>
            </w:r>
          </w:p>
        </w:tc>
        <w:tc>
          <w:tcPr>
            <w:tcW w:w="1269" w:type="dxa"/>
            <w:gridSpan w:val="3"/>
            <w:shd w:val="clear" w:color="auto" w:fill="auto"/>
            <w:noWrap w:val="0"/>
            <w:vAlign w:val="center"/>
          </w:tcPr>
          <w:p w14:paraId="60BA79BE">
            <w:pPr>
              <w:widowControl/>
              <w:adjustRightInd w:val="0"/>
              <w:snapToGrid w:val="0"/>
              <w:jc w:val="center"/>
              <w:rPr>
                <w:rFonts w:ascii="仿宋" w:hAnsi="仿宋" w:eastAsia="仿宋" w:cs="仿宋"/>
                <w:bCs/>
                <w:sz w:val="24"/>
                <w:szCs w:val="24"/>
              </w:rPr>
            </w:pPr>
            <w:r>
              <w:rPr>
                <w:rFonts w:hint="eastAsia" w:ascii="仿宋" w:hAnsi="仿宋" w:eastAsia="仿宋" w:cs="仿宋"/>
                <w:bCs/>
                <w:sz w:val="24"/>
                <w:szCs w:val="24"/>
              </w:rPr>
              <w:t>支撑课程目标1、2、3</w:t>
            </w:r>
          </w:p>
        </w:tc>
        <w:tc>
          <w:tcPr>
            <w:tcW w:w="1460" w:type="dxa"/>
            <w:gridSpan w:val="3"/>
            <w:shd w:val="clear" w:color="auto" w:fill="FFFFFF"/>
            <w:noWrap w:val="0"/>
            <w:vAlign w:val="center"/>
          </w:tcPr>
          <w:p w14:paraId="257482E0">
            <w:pPr>
              <w:adjustRightInd w:val="0"/>
              <w:snapToGrid w:val="0"/>
              <w:jc w:val="center"/>
              <w:rPr>
                <w:rFonts w:ascii="仿宋" w:hAnsi="仿宋" w:eastAsia="仿宋" w:cs="仿宋"/>
                <w:sz w:val="24"/>
                <w:szCs w:val="24"/>
              </w:rPr>
            </w:pPr>
            <w:r>
              <w:rPr>
                <w:rFonts w:hint="eastAsia" w:ascii="仿宋" w:hAnsi="仿宋" w:eastAsia="仿宋" w:cs="仿宋"/>
                <w:sz w:val="24"/>
                <w:szCs w:val="24"/>
              </w:rPr>
              <w:t>4</w:t>
            </w:r>
          </w:p>
        </w:tc>
      </w:tr>
      <w:tr w14:paraId="6D0189C9">
        <w:trPr>
          <w:trHeight w:val="454" w:hRule="atLeast"/>
        </w:trPr>
        <w:tc>
          <w:tcPr>
            <w:tcW w:w="1521" w:type="dxa"/>
            <w:vMerge w:val="continue"/>
            <w:shd w:val="clear" w:color="auto" w:fill="FFFFFF"/>
            <w:noWrap w:val="0"/>
            <w:vAlign w:val="center"/>
          </w:tcPr>
          <w:p w14:paraId="73514CC2">
            <w:pPr>
              <w:adjustRightInd w:val="0"/>
              <w:snapToGrid w:val="0"/>
              <w:spacing w:line="240" w:lineRule="atLeast"/>
              <w:jc w:val="center"/>
              <w:rPr>
                <w:rFonts w:ascii="仿宋" w:hAnsi="仿宋" w:eastAsia="仿宋" w:cs="仿宋"/>
                <w:sz w:val="24"/>
                <w:szCs w:val="24"/>
              </w:rPr>
            </w:pPr>
          </w:p>
        </w:tc>
        <w:tc>
          <w:tcPr>
            <w:tcW w:w="6167" w:type="dxa"/>
            <w:gridSpan w:val="14"/>
            <w:shd w:val="clear" w:color="auto" w:fill="auto"/>
            <w:noWrap w:val="0"/>
            <w:vAlign w:val="center"/>
          </w:tcPr>
          <w:p w14:paraId="729CD15E">
            <w:pPr>
              <w:adjustRightInd w:val="0"/>
              <w:snapToGrid w:val="0"/>
              <w:jc w:val="center"/>
              <w:rPr>
                <w:rFonts w:ascii="仿宋" w:hAnsi="仿宋" w:eastAsia="仿宋" w:cs="仿宋"/>
                <w:bCs/>
                <w:sz w:val="24"/>
                <w:szCs w:val="24"/>
              </w:rPr>
            </w:pPr>
            <w:r>
              <w:rPr>
                <w:rFonts w:hint="eastAsia" w:ascii="仿宋" w:hAnsi="仿宋" w:eastAsia="仿宋" w:cs="仿宋"/>
                <w:bCs/>
                <w:sz w:val="24"/>
                <w:szCs w:val="24"/>
              </w:rPr>
              <w:t>合计</w:t>
            </w:r>
          </w:p>
        </w:tc>
        <w:tc>
          <w:tcPr>
            <w:tcW w:w="1460" w:type="dxa"/>
            <w:gridSpan w:val="3"/>
            <w:shd w:val="clear" w:color="auto" w:fill="FFFFFF"/>
            <w:noWrap w:val="0"/>
            <w:vAlign w:val="center"/>
          </w:tcPr>
          <w:p w14:paraId="53857D6E">
            <w:pPr>
              <w:adjustRightInd w:val="0"/>
              <w:snapToGrid w:val="0"/>
              <w:jc w:val="center"/>
              <w:rPr>
                <w:rFonts w:ascii="仿宋" w:hAnsi="仿宋" w:eastAsia="仿宋" w:cs="仿宋"/>
                <w:sz w:val="24"/>
                <w:szCs w:val="24"/>
              </w:rPr>
            </w:pPr>
            <w:r>
              <w:rPr>
                <w:rFonts w:hint="eastAsia" w:ascii="仿宋" w:hAnsi="仿宋" w:eastAsia="仿宋" w:cs="仿宋"/>
                <w:sz w:val="24"/>
                <w:szCs w:val="24"/>
              </w:rPr>
              <w:t>32</w:t>
            </w:r>
          </w:p>
        </w:tc>
      </w:tr>
      <w:tr w14:paraId="35690F77">
        <w:trPr>
          <w:trHeight w:val="454" w:hRule="atLeast"/>
        </w:trPr>
        <w:tc>
          <w:tcPr>
            <w:tcW w:w="1521" w:type="dxa"/>
            <w:vMerge w:val="restart"/>
            <w:shd w:val="clear" w:color="auto" w:fill="FFFFFF"/>
            <w:noWrap w:val="0"/>
            <w:vAlign w:val="center"/>
          </w:tcPr>
          <w:p w14:paraId="10E6AAB0">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G</w:t>
            </w:r>
          </w:p>
          <w:p w14:paraId="0949618D">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实验（实训）内容</w:t>
            </w:r>
          </w:p>
        </w:tc>
        <w:tc>
          <w:tcPr>
            <w:tcW w:w="4898" w:type="dxa"/>
            <w:gridSpan w:val="11"/>
            <w:shd w:val="clear" w:color="auto" w:fill="auto"/>
            <w:noWrap w:val="0"/>
            <w:vAlign w:val="center"/>
          </w:tcPr>
          <w:p w14:paraId="7818A2F7">
            <w:pPr>
              <w:adjustRightInd w:val="0"/>
              <w:snapToGrid w:val="0"/>
              <w:spacing w:line="240" w:lineRule="atLeast"/>
              <w:jc w:val="center"/>
              <w:textAlignment w:val="baseline"/>
              <w:rPr>
                <w:rFonts w:ascii="仿宋" w:hAnsi="仿宋" w:eastAsia="仿宋" w:cs="仿宋"/>
                <w:kern w:val="0"/>
                <w:sz w:val="24"/>
                <w:szCs w:val="24"/>
              </w:rPr>
            </w:pPr>
            <w:r>
              <w:rPr>
                <w:rFonts w:hint="eastAsia" w:ascii="仿宋" w:hAnsi="仿宋" w:eastAsia="仿宋" w:cs="仿宋"/>
                <w:kern w:val="0"/>
                <w:sz w:val="24"/>
                <w:szCs w:val="24"/>
              </w:rPr>
              <w:t>项目名称、主要内容及开设要求</w:t>
            </w:r>
          </w:p>
        </w:tc>
        <w:tc>
          <w:tcPr>
            <w:tcW w:w="1269" w:type="dxa"/>
            <w:gridSpan w:val="3"/>
            <w:shd w:val="clear" w:color="auto" w:fill="auto"/>
            <w:noWrap w:val="0"/>
            <w:vAlign w:val="center"/>
          </w:tcPr>
          <w:p w14:paraId="0A35E057">
            <w:pPr>
              <w:adjustRightInd w:val="0"/>
              <w:snapToGrid w:val="0"/>
              <w:spacing w:line="240" w:lineRule="atLeast"/>
              <w:jc w:val="center"/>
              <w:textAlignment w:val="baseline"/>
              <w:rPr>
                <w:rFonts w:ascii="仿宋" w:hAnsi="仿宋" w:eastAsia="仿宋" w:cs="仿宋"/>
                <w:kern w:val="0"/>
                <w:sz w:val="24"/>
                <w:szCs w:val="24"/>
              </w:rPr>
            </w:pPr>
            <w:r>
              <w:rPr>
                <w:rFonts w:hint="eastAsia" w:ascii="仿宋" w:hAnsi="仿宋" w:eastAsia="仿宋" w:cs="仿宋"/>
                <w:kern w:val="0"/>
                <w:sz w:val="24"/>
                <w:szCs w:val="24"/>
              </w:rPr>
              <w:t>支撑课程</w:t>
            </w:r>
          </w:p>
          <w:p w14:paraId="6B17E7FE">
            <w:pPr>
              <w:adjustRightInd w:val="0"/>
              <w:snapToGrid w:val="0"/>
              <w:spacing w:line="240" w:lineRule="atLeast"/>
              <w:jc w:val="center"/>
              <w:textAlignment w:val="baseline"/>
              <w:rPr>
                <w:rFonts w:ascii="仿宋" w:hAnsi="仿宋" w:eastAsia="仿宋" w:cs="仿宋"/>
                <w:kern w:val="0"/>
                <w:sz w:val="24"/>
                <w:szCs w:val="24"/>
              </w:rPr>
            </w:pPr>
            <w:r>
              <w:rPr>
                <w:rFonts w:hint="eastAsia" w:ascii="仿宋" w:hAnsi="仿宋" w:eastAsia="仿宋" w:cs="仿宋"/>
                <w:kern w:val="0"/>
                <w:sz w:val="24"/>
                <w:szCs w:val="24"/>
              </w:rPr>
              <w:t>目标</w:t>
            </w:r>
          </w:p>
        </w:tc>
        <w:tc>
          <w:tcPr>
            <w:tcW w:w="1460" w:type="dxa"/>
            <w:gridSpan w:val="3"/>
            <w:shd w:val="clear" w:color="auto" w:fill="FFFFFF"/>
            <w:noWrap w:val="0"/>
            <w:vAlign w:val="center"/>
          </w:tcPr>
          <w:p w14:paraId="7184AE33">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 xml:space="preserve">学时 </w:t>
            </w:r>
          </w:p>
          <w:p w14:paraId="4D3CA8EE">
            <w:pPr>
              <w:adjustRightInd w:val="0"/>
              <w:snapToGrid w:val="0"/>
              <w:jc w:val="center"/>
              <w:rPr>
                <w:rFonts w:ascii="仿宋" w:hAnsi="仿宋" w:eastAsia="仿宋" w:cs="仿宋"/>
                <w:sz w:val="24"/>
                <w:szCs w:val="24"/>
              </w:rPr>
            </w:pPr>
            <w:r>
              <w:rPr>
                <w:rFonts w:hint="eastAsia" w:ascii="仿宋" w:hAnsi="仿宋" w:eastAsia="仿宋" w:cs="仿宋"/>
                <w:kern w:val="0"/>
                <w:sz w:val="24"/>
                <w:szCs w:val="24"/>
              </w:rPr>
              <w:t>分配</w:t>
            </w:r>
          </w:p>
        </w:tc>
      </w:tr>
      <w:tr w14:paraId="653029CE">
        <w:trPr>
          <w:trHeight w:val="454" w:hRule="atLeast"/>
        </w:trPr>
        <w:tc>
          <w:tcPr>
            <w:tcW w:w="1521" w:type="dxa"/>
            <w:vMerge w:val="continue"/>
            <w:shd w:val="clear" w:color="auto" w:fill="FFFFFF"/>
            <w:noWrap w:val="0"/>
            <w:vAlign w:val="center"/>
          </w:tcPr>
          <w:p w14:paraId="6DA897D6">
            <w:pPr>
              <w:adjustRightInd w:val="0"/>
              <w:snapToGrid w:val="0"/>
              <w:spacing w:line="240" w:lineRule="atLeast"/>
              <w:jc w:val="center"/>
              <w:rPr>
                <w:rFonts w:ascii="仿宋" w:hAnsi="仿宋" w:eastAsia="仿宋" w:cs="仿宋"/>
                <w:sz w:val="24"/>
                <w:szCs w:val="24"/>
              </w:rPr>
            </w:pPr>
          </w:p>
        </w:tc>
        <w:tc>
          <w:tcPr>
            <w:tcW w:w="4898" w:type="dxa"/>
            <w:gridSpan w:val="11"/>
            <w:shd w:val="clear" w:color="auto" w:fill="auto"/>
            <w:noWrap w:val="0"/>
            <w:vAlign w:val="center"/>
          </w:tcPr>
          <w:p w14:paraId="447C2E52">
            <w:pPr>
              <w:adjustRightInd w:val="0"/>
              <w:snapToGrid w:val="0"/>
              <w:rPr>
                <w:rFonts w:ascii="仿宋" w:hAnsi="仿宋" w:eastAsia="仿宋" w:cs="仿宋"/>
                <w:bCs/>
                <w:sz w:val="24"/>
                <w:szCs w:val="24"/>
              </w:rPr>
            </w:pPr>
          </w:p>
        </w:tc>
        <w:tc>
          <w:tcPr>
            <w:tcW w:w="1269" w:type="dxa"/>
            <w:gridSpan w:val="3"/>
            <w:shd w:val="clear" w:color="auto" w:fill="auto"/>
            <w:noWrap w:val="0"/>
            <w:vAlign w:val="center"/>
          </w:tcPr>
          <w:p w14:paraId="1B551080">
            <w:pPr>
              <w:adjustRightInd w:val="0"/>
              <w:snapToGrid w:val="0"/>
              <w:jc w:val="center"/>
              <w:rPr>
                <w:rFonts w:ascii="仿宋" w:hAnsi="仿宋" w:eastAsia="仿宋" w:cs="仿宋"/>
                <w:bCs/>
                <w:sz w:val="24"/>
                <w:szCs w:val="24"/>
              </w:rPr>
            </w:pPr>
          </w:p>
        </w:tc>
        <w:tc>
          <w:tcPr>
            <w:tcW w:w="1460" w:type="dxa"/>
            <w:gridSpan w:val="3"/>
            <w:shd w:val="clear" w:color="auto" w:fill="FFFFFF"/>
            <w:noWrap w:val="0"/>
            <w:vAlign w:val="center"/>
          </w:tcPr>
          <w:p w14:paraId="27C1DE22">
            <w:pPr>
              <w:adjustRightInd w:val="0"/>
              <w:snapToGrid w:val="0"/>
              <w:jc w:val="center"/>
              <w:rPr>
                <w:rFonts w:ascii="仿宋" w:hAnsi="仿宋" w:eastAsia="仿宋" w:cs="仿宋"/>
                <w:sz w:val="24"/>
                <w:szCs w:val="24"/>
              </w:rPr>
            </w:pPr>
          </w:p>
        </w:tc>
      </w:tr>
      <w:tr w14:paraId="2D15D8F7">
        <w:trPr>
          <w:trHeight w:val="454" w:hRule="atLeast"/>
        </w:trPr>
        <w:tc>
          <w:tcPr>
            <w:tcW w:w="1521" w:type="dxa"/>
            <w:vMerge w:val="continue"/>
            <w:shd w:val="clear" w:color="auto" w:fill="FFFFFF"/>
            <w:noWrap w:val="0"/>
            <w:vAlign w:val="center"/>
          </w:tcPr>
          <w:p w14:paraId="7AC1B87C">
            <w:pPr>
              <w:adjustRightInd w:val="0"/>
              <w:snapToGrid w:val="0"/>
              <w:spacing w:line="240" w:lineRule="atLeast"/>
              <w:jc w:val="center"/>
              <w:rPr>
                <w:rFonts w:ascii="仿宋" w:hAnsi="仿宋" w:eastAsia="仿宋" w:cs="仿宋"/>
                <w:sz w:val="24"/>
                <w:szCs w:val="24"/>
              </w:rPr>
            </w:pPr>
          </w:p>
        </w:tc>
        <w:tc>
          <w:tcPr>
            <w:tcW w:w="4898" w:type="dxa"/>
            <w:gridSpan w:val="11"/>
            <w:shd w:val="clear" w:color="auto" w:fill="auto"/>
            <w:noWrap w:val="0"/>
            <w:vAlign w:val="center"/>
          </w:tcPr>
          <w:p w14:paraId="1FEC5EC9">
            <w:pPr>
              <w:adjustRightInd w:val="0"/>
              <w:snapToGrid w:val="0"/>
              <w:rPr>
                <w:rFonts w:ascii="仿宋" w:hAnsi="仿宋" w:eastAsia="仿宋" w:cs="仿宋"/>
                <w:bCs/>
                <w:sz w:val="24"/>
                <w:szCs w:val="24"/>
              </w:rPr>
            </w:pPr>
          </w:p>
        </w:tc>
        <w:tc>
          <w:tcPr>
            <w:tcW w:w="1269" w:type="dxa"/>
            <w:gridSpan w:val="3"/>
            <w:shd w:val="clear" w:color="auto" w:fill="auto"/>
            <w:noWrap w:val="0"/>
            <w:vAlign w:val="center"/>
          </w:tcPr>
          <w:p w14:paraId="2E6175D3">
            <w:pPr>
              <w:adjustRightInd w:val="0"/>
              <w:snapToGrid w:val="0"/>
              <w:jc w:val="center"/>
              <w:rPr>
                <w:rFonts w:ascii="仿宋" w:hAnsi="仿宋" w:eastAsia="仿宋" w:cs="仿宋"/>
                <w:bCs/>
                <w:sz w:val="24"/>
                <w:szCs w:val="24"/>
              </w:rPr>
            </w:pPr>
          </w:p>
        </w:tc>
        <w:tc>
          <w:tcPr>
            <w:tcW w:w="1460" w:type="dxa"/>
            <w:gridSpan w:val="3"/>
            <w:shd w:val="clear" w:color="auto" w:fill="FFFFFF"/>
            <w:noWrap w:val="0"/>
            <w:vAlign w:val="center"/>
          </w:tcPr>
          <w:p w14:paraId="3C306237">
            <w:pPr>
              <w:adjustRightInd w:val="0"/>
              <w:snapToGrid w:val="0"/>
              <w:jc w:val="center"/>
              <w:rPr>
                <w:rFonts w:ascii="仿宋" w:hAnsi="仿宋" w:eastAsia="仿宋" w:cs="仿宋"/>
                <w:sz w:val="24"/>
                <w:szCs w:val="24"/>
              </w:rPr>
            </w:pPr>
          </w:p>
        </w:tc>
      </w:tr>
      <w:tr w14:paraId="16C59BF3">
        <w:trPr>
          <w:trHeight w:val="454" w:hRule="atLeast"/>
        </w:trPr>
        <w:tc>
          <w:tcPr>
            <w:tcW w:w="1521" w:type="dxa"/>
            <w:vMerge w:val="continue"/>
            <w:shd w:val="clear" w:color="auto" w:fill="FFFFFF"/>
            <w:noWrap w:val="0"/>
            <w:vAlign w:val="center"/>
          </w:tcPr>
          <w:p w14:paraId="09899614">
            <w:pPr>
              <w:adjustRightInd w:val="0"/>
              <w:snapToGrid w:val="0"/>
              <w:spacing w:line="240" w:lineRule="atLeast"/>
              <w:jc w:val="center"/>
              <w:rPr>
                <w:rFonts w:ascii="仿宋" w:hAnsi="仿宋" w:eastAsia="仿宋" w:cs="仿宋"/>
                <w:sz w:val="24"/>
                <w:szCs w:val="24"/>
              </w:rPr>
            </w:pPr>
          </w:p>
        </w:tc>
        <w:tc>
          <w:tcPr>
            <w:tcW w:w="4898" w:type="dxa"/>
            <w:gridSpan w:val="11"/>
            <w:shd w:val="clear" w:color="auto" w:fill="auto"/>
            <w:noWrap w:val="0"/>
            <w:vAlign w:val="center"/>
          </w:tcPr>
          <w:p w14:paraId="639176B8">
            <w:pPr>
              <w:adjustRightInd w:val="0"/>
              <w:snapToGrid w:val="0"/>
              <w:rPr>
                <w:rFonts w:ascii="仿宋" w:hAnsi="仿宋" w:eastAsia="仿宋" w:cs="仿宋"/>
                <w:bCs/>
                <w:sz w:val="24"/>
                <w:szCs w:val="24"/>
              </w:rPr>
            </w:pPr>
          </w:p>
        </w:tc>
        <w:tc>
          <w:tcPr>
            <w:tcW w:w="1269" w:type="dxa"/>
            <w:gridSpan w:val="3"/>
            <w:shd w:val="clear" w:color="auto" w:fill="auto"/>
            <w:noWrap w:val="0"/>
            <w:vAlign w:val="center"/>
          </w:tcPr>
          <w:p w14:paraId="52567041">
            <w:pPr>
              <w:adjustRightInd w:val="0"/>
              <w:snapToGrid w:val="0"/>
              <w:jc w:val="center"/>
              <w:rPr>
                <w:rFonts w:ascii="仿宋" w:hAnsi="仿宋" w:eastAsia="仿宋" w:cs="仿宋"/>
                <w:bCs/>
                <w:sz w:val="24"/>
                <w:szCs w:val="24"/>
              </w:rPr>
            </w:pPr>
          </w:p>
        </w:tc>
        <w:tc>
          <w:tcPr>
            <w:tcW w:w="1460" w:type="dxa"/>
            <w:gridSpan w:val="3"/>
            <w:shd w:val="clear" w:color="auto" w:fill="FFFFFF"/>
            <w:noWrap w:val="0"/>
            <w:vAlign w:val="center"/>
          </w:tcPr>
          <w:p w14:paraId="505C45F9">
            <w:pPr>
              <w:adjustRightInd w:val="0"/>
              <w:snapToGrid w:val="0"/>
              <w:jc w:val="center"/>
              <w:rPr>
                <w:rFonts w:ascii="仿宋" w:hAnsi="仿宋" w:eastAsia="仿宋" w:cs="仿宋"/>
                <w:sz w:val="24"/>
                <w:szCs w:val="24"/>
              </w:rPr>
            </w:pPr>
          </w:p>
        </w:tc>
      </w:tr>
      <w:tr w14:paraId="0A172A8C">
        <w:trPr>
          <w:trHeight w:val="413" w:hRule="atLeast"/>
        </w:trPr>
        <w:tc>
          <w:tcPr>
            <w:tcW w:w="1521" w:type="dxa"/>
            <w:vMerge w:val="continue"/>
            <w:shd w:val="clear" w:color="auto" w:fill="FFFFFF"/>
            <w:noWrap w:val="0"/>
            <w:vAlign w:val="center"/>
          </w:tcPr>
          <w:p w14:paraId="6D4A6FA3">
            <w:pPr>
              <w:adjustRightInd w:val="0"/>
              <w:snapToGrid w:val="0"/>
              <w:spacing w:line="240" w:lineRule="atLeast"/>
              <w:jc w:val="center"/>
              <w:rPr>
                <w:rFonts w:ascii="仿宋" w:hAnsi="仿宋" w:eastAsia="仿宋" w:cs="仿宋"/>
                <w:sz w:val="24"/>
                <w:szCs w:val="24"/>
              </w:rPr>
            </w:pPr>
          </w:p>
        </w:tc>
        <w:tc>
          <w:tcPr>
            <w:tcW w:w="4898" w:type="dxa"/>
            <w:gridSpan w:val="11"/>
            <w:shd w:val="clear" w:color="auto" w:fill="auto"/>
            <w:noWrap w:val="0"/>
            <w:vAlign w:val="center"/>
          </w:tcPr>
          <w:p w14:paraId="491876E3">
            <w:pPr>
              <w:adjustRightInd w:val="0"/>
              <w:snapToGrid w:val="0"/>
              <w:rPr>
                <w:rFonts w:ascii="仿宋" w:hAnsi="仿宋" w:eastAsia="仿宋" w:cs="仿宋"/>
                <w:bCs/>
                <w:sz w:val="24"/>
                <w:szCs w:val="24"/>
              </w:rPr>
            </w:pPr>
          </w:p>
        </w:tc>
        <w:tc>
          <w:tcPr>
            <w:tcW w:w="1269" w:type="dxa"/>
            <w:gridSpan w:val="3"/>
            <w:shd w:val="clear" w:color="auto" w:fill="auto"/>
            <w:noWrap w:val="0"/>
            <w:vAlign w:val="center"/>
          </w:tcPr>
          <w:p w14:paraId="5358F080">
            <w:pPr>
              <w:adjustRightInd w:val="0"/>
              <w:snapToGrid w:val="0"/>
              <w:jc w:val="center"/>
              <w:rPr>
                <w:rFonts w:ascii="仿宋" w:hAnsi="仿宋" w:eastAsia="仿宋" w:cs="仿宋"/>
                <w:bCs/>
                <w:sz w:val="24"/>
                <w:szCs w:val="24"/>
              </w:rPr>
            </w:pPr>
          </w:p>
        </w:tc>
        <w:tc>
          <w:tcPr>
            <w:tcW w:w="1460" w:type="dxa"/>
            <w:gridSpan w:val="3"/>
            <w:shd w:val="clear" w:color="auto" w:fill="FFFFFF"/>
            <w:noWrap w:val="0"/>
            <w:vAlign w:val="center"/>
          </w:tcPr>
          <w:p w14:paraId="29F6FBE6">
            <w:pPr>
              <w:adjustRightInd w:val="0"/>
              <w:snapToGrid w:val="0"/>
              <w:jc w:val="center"/>
              <w:rPr>
                <w:rFonts w:ascii="仿宋" w:hAnsi="仿宋" w:eastAsia="仿宋" w:cs="仿宋"/>
                <w:bCs/>
                <w:sz w:val="24"/>
                <w:szCs w:val="24"/>
              </w:rPr>
            </w:pPr>
          </w:p>
        </w:tc>
      </w:tr>
      <w:tr w14:paraId="41A71977">
        <w:trPr>
          <w:trHeight w:val="447" w:hRule="atLeast"/>
        </w:trPr>
        <w:tc>
          <w:tcPr>
            <w:tcW w:w="1521" w:type="dxa"/>
            <w:vMerge w:val="continue"/>
            <w:shd w:val="clear" w:color="auto" w:fill="FFFFFF"/>
            <w:noWrap w:val="0"/>
            <w:vAlign w:val="center"/>
          </w:tcPr>
          <w:p w14:paraId="3E6A6997">
            <w:pPr>
              <w:adjustRightInd w:val="0"/>
              <w:snapToGrid w:val="0"/>
              <w:spacing w:line="240" w:lineRule="atLeast"/>
              <w:jc w:val="center"/>
              <w:rPr>
                <w:rFonts w:ascii="仿宋" w:hAnsi="仿宋" w:eastAsia="仿宋" w:cs="仿宋"/>
                <w:sz w:val="24"/>
                <w:szCs w:val="24"/>
              </w:rPr>
            </w:pPr>
          </w:p>
        </w:tc>
        <w:tc>
          <w:tcPr>
            <w:tcW w:w="4898" w:type="dxa"/>
            <w:gridSpan w:val="11"/>
            <w:shd w:val="clear" w:color="auto" w:fill="auto"/>
            <w:noWrap w:val="0"/>
            <w:vAlign w:val="center"/>
          </w:tcPr>
          <w:p w14:paraId="204D6918">
            <w:pPr>
              <w:adjustRightInd w:val="0"/>
              <w:snapToGrid w:val="0"/>
              <w:rPr>
                <w:rFonts w:ascii="仿宋" w:hAnsi="仿宋" w:eastAsia="仿宋" w:cs="仿宋"/>
                <w:bCs/>
                <w:sz w:val="24"/>
                <w:szCs w:val="24"/>
              </w:rPr>
            </w:pPr>
          </w:p>
        </w:tc>
        <w:tc>
          <w:tcPr>
            <w:tcW w:w="1269" w:type="dxa"/>
            <w:gridSpan w:val="3"/>
            <w:shd w:val="clear" w:color="auto" w:fill="auto"/>
            <w:noWrap w:val="0"/>
            <w:vAlign w:val="center"/>
          </w:tcPr>
          <w:p w14:paraId="23A17100">
            <w:pPr>
              <w:adjustRightInd w:val="0"/>
              <w:snapToGrid w:val="0"/>
              <w:jc w:val="center"/>
              <w:rPr>
                <w:rFonts w:ascii="仿宋" w:hAnsi="仿宋" w:eastAsia="仿宋" w:cs="仿宋"/>
                <w:bCs/>
                <w:sz w:val="24"/>
                <w:szCs w:val="24"/>
              </w:rPr>
            </w:pPr>
          </w:p>
        </w:tc>
        <w:tc>
          <w:tcPr>
            <w:tcW w:w="1460" w:type="dxa"/>
            <w:gridSpan w:val="3"/>
            <w:shd w:val="clear" w:color="auto" w:fill="FFFFFF"/>
            <w:noWrap w:val="0"/>
            <w:vAlign w:val="center"/>
          </w:tcPr>
          <w:p w14:paraId="74815021">
            <w:pPr>
              <w:adjustRightInd w:val="0"/>
              <w:snapToGrid w:val="0"/>
              <w:jc w:val="center"/>
              <w:rPr>
                <w:rFonts w:ascii="仿宋" w:hAnsi="仿宋" w:eastAsia="仿宋" w:cs="仿宋"/>
                <w:bCs/>
                <w:sz w:val="24"/>
                <w:szCs w:val="24"/>
              </w:rPr>
            </w:pPr>
          </w:p>
        </w:tc>
      </w:tr>
      <w:tr w14:paraId="404A8B27">
        <w:trPr>
          <w:trHeight w:val="454" w:hRule="atLeast"/>
        </w:trPr>
        <w:tc>
          <w:tcPr>
            <w:tcW w:w="1521" w:type="dxa"/>
            <w:vMerge w:val="continue"/>
            <w:shd w:val="clear" w:color="auto" w:fill="FFFFFF"/>
            <w:noWrap w:val="0"/>
            <w:vAlign w:val="center"/>
          </w:tcPr>
          <w:p w14:paraId="31B7B994">
            <w:pPr>
              <w:adjustRightInd w:val="0"/>
              <w:snapToGrid w:val="0"/>
              <w:spacing w:line="240" w:lineRule="atLeast"/>
              <w:jc w:val="center"/>
              <w:rPr>
                <w:rFonts w:ascii="仿宋" w:hAnsi="仿宋" w:eastAsia="仿宋" w:cs="仿宋"/>
                <w:sz w:val="24"/>
                <w:szCs w:val="24"/>
              </w:rPr>
            </w:pPr>
          </w:p>
        </w:tc>
        <w:tc>
          <w:tcPr>
            <w:tcW w:w="6167" w:type="dxa"/>
            <w:gridSpan w:val="14"/>
            <w:shd w:val="clear" w:color="auto" w:fill="auto"/>
            <w:noWrap w:val="0"/>
            <w:vAlign w:val="center"/>
          </w:tcPr>
          <w:p w14:paraId="42029933">
            <w:pPr>
              <w:adjustRightInd w:val="0"/>
              <w:snapToGrid w:val="0"/>
              <w:jc w:val="center"/>
              <w:rPr>
                <w:rFonts w:ascii="仿宋" w:hAnsi="仿宋" w:eastAsia="仿宋" w:cs="仿宋"/>
                <w:bCs/>
                <w:sz w:val="24"/>
                <w:szCs w:val="24"/>
              </w:rPr>
            </w:pPr>
            <w:r>
              <w:rPr>
                <w:rFonts w:hint="eastAsia" w:ascii="仿宋" w:hAnsi="仿宋" w:eastAsia="仿宋" w:cs="仿宋"/>
                <w:bCs/>
                <w:sz w:val="24"/>
                <w:szCs w:val="24"/>
              </w:rPr>
              <w:t>合计</w:t>
            </w:r>
          </w:p>
        </w:tc>
        <w:tc>
          <w:tcPr>
            <w:tcW w:w="1460" w:type="dxa"/>
            <w:gridSpan w:val="3"/>
            <w:shd w:val="clear" w:color="auto" w:fill="FFFFFF"/>
            <w:noWrap w:val="0"/>
            <w:vAlign w:val="center"/>
          </w:tcPr>
          <w:p w14:paraId="5C06BE69">
            <w:pPr>
              <w:adjustRightInd w:val="0"/>
              <w:snapToGrid w:val="0"/>
              <w:jc w:val="center"/>
              <w:rPr>
                <w:rFonts w:ascii="仿宋" w:hAnsi="仿宋" w:eastAsia="仿宋" w:cs="仿宋"/>
                <w:sz w:val="24"/>
                <w:szCs w:val="24"/>
              </w:rPr>
            </w:pPr>
          </w:p>
        </w:tc>
      </w:tr>
      <w:tr w14:paraId="50B6162D">
        <w:trPr>
          <w:trHeight w:val="495" w:hRule="atLeast"/>
        </w:trPr>
        <w:tc>
          <w:tcPr>
            <w:tcW w:w="1521" w:type="dxa"/>
            <w:vMerge w:val="restart"/>
            <w:shd w:val="clear" w:color="auto" w:fill="FFFFFF"/>
            <w:noWrap w:val="0"/>
            <w:vAlign w:val="center"/>
          </w:tcPr>
          <w:p w14:paraId="1EFDCD3D">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H</w:t>
            </w:r>
          </w:p>
          <w:p w14:paraId="12FFD417">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实践内容（含教育实习、见习、研习，专业实习、毕业论文或毕业设计等）</w:t>
            </w:r>
          </w:p>
        </w:tc>
        <w:tc>
          <w:tcPr>
            <w:tcW w:w="1581" w:type="dxa"/>
            <w:gridSpan w:val="3"/>
            <w:noWrap w:val="0"/>
            <w:vAlign w:val="center"/>
          </w:tcPr>
          <w:p w14:paraId="213F2A9C">
            <w:pPr>
              <w:adjustRightInd w:val="0"/>
              <w:snapToGrid w:val="0"/>
              <w:jc w:val="center"/>
              <w:rPr>
                <w:rFonts w:ascii="仿宋" w:hAnsi="仿宋" w:eastAsia="仿宋" w:cs="仿宋"/>
                <w:sz w:val="24"/>
                <w:szCs w:val="24"/>
              </w:rPr>
            </w:pPr>
            <w:r>
              <w:rPr>
                <w:rFonts w:hint="eastAsia" w:ascii="仿宋" w:hAnsi="仿宋" w:eastAsia="仿宋" w:cs="仿宋"/>
                <w:sz w:val="24"/>
                <w:szCs w:val="24"/>
              </w:rPr>
              <w:t>实践主要内容和要求</w:t>
            </w:r>
          </w:p>
        </w:tc>
        <w:tc>
          <w:tcPr>
            <w:tcW w:w="4586" w:type="dxa"/>
            <w:gridSpan w:val="11"/>
            <w:noWrap w:val="0"/>
            <w:vAlign w:val="center"/>
          </w:tcPr>
          <w:p w14:paraId="2AD48E48">
            <w:pPr>
              <w:adjustRightInd w:val="0"/>
              <w:snapToGrid w:val="0"/>
              <w:spacing w:line="240" w:lineRule="atLeast"/>
              <w:jc w:val="center"/>
              <w:textAlignment w:val="baseline"/>
              <w:rPr>
                <w:rFonts w:ascii="仿宋" w:hAnsi="仿宋" w:eastAsia="仿宋" w:cs="仿宋"/>
                <w:kern w:val="0"/>
                <w:sz w:val="24"/>
                <w:szCs w:val="24"/>
              </w:rPr>
            </w:pPr>
            <w:r>
              <w:rPr>
                <w:rFonts w:hint="eastAsia" w:ascii="仿宋" w:hAnsi="仿宋" w:eastAsia="仿宋" w:cs="仿宋"/>
                <w:kern w:val="0"/>
                <w:sz w:val="24"/>
                <w:szCs w:val="24"/>
              </w:rPr>
              <w:t>支撑课程</w:t>
            </w:r>
          </w:p>
          <w:p w14:paraId="73F90070">
            <w:pPr>
              <w:adjustRightInd w:val="0"/>
              <w:snapToGrid w:val="0"/>
              <w:spacing w:line="240" w:lineRule="atLeast"/>
              <w:jc w:val="center"/>
              <w:textAlignment w:val="baseline"/>
              <w:rPr>
                <w:rFonts w:ascii="仿宋" w:hAnsi="仿宋" w:eastAsia="仿宋" w:cs="仿宋"/>
                <w:kern w:val="0"/>
                <w:sz w:val="24"/>
                <w:szCs w:val="24"/>
              </w:rPr>
            </w:pPr>
            <w:r>
              <w:rPr>
                <w:rFonts w:hint="eastAsia" w:ascii="仿宋" w:hAnsi="仿宋" w:eastAsia="仿宋" w:cs="仿宋"/>
                <w:kern w:val="0"/>
                <w:sz w:val="24"/>
                <w:szCs w:val="24"/>
              </w:rPr>
              <w:t>目标</w:t>
            </w:r>
          </w:p>
        </w:tc>
        <w:tc>
          <w:tcPr>
            <w:tcW w:w="1460" w:type="dxa"/>
            <w:gridSpan w:val="3"/>
            <w:noWrap w:val="0"/>
            <w:vAlign w:val="center"/>
          </w:tcPr>
          <w:p w14:paraId="65870042">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时长</w:t>
            </w:r>
          </w:p>
          <w:p w14:paraId="45AE66CA">
            <w:pPr>
              <w:adjustRightInd w:val="0"/>
              <w:snapToGrid w:val="0"/>
              <w:jc w:val="center"/>
              <w:rPr>
                <w:rFonts w:ascii="仿宋" w:hAnsi="仿宋" w:eastAsia="仿宋" w:cs="仿宋"/>
                <w:sz w:val="24"/>
                <w:szCs w:val="24"/>
              </w:rPr>
            </w:pPr>
            <w:r>
              <w:rPr>
                <w:rFonts w:hint="eastAsia" w:ascii="仿宋" w:hAnsi="仿宋" w:eastAsia="仿宋" w:cs="仿宋"/>
                <w:kern w:val="0"/>
                <w:sz w:val="24"/>
                <w:szCs w:val="24"/>
              </w:rPr>
              <w:t>分配</w:t>
            </w:r>
          </w:p>
        </w:tc>
      </w:tr>
      <w:tr w14:paraId="28E28A21">
        <w:trPr>
          <w:trHeight w:val="90" w:hRule="atLeast"/>
        </w:trPr>
        <w:tc>
          <w:tcPr>
            <w:tcW w:w="1521" w:type="dxa"/>
            <w:vMerge w:val="continue"/>
            <w:shd w:val="clear" w:color="auto" w:fill="FFFFFF"/>
            <w:noWrap w:val="0"/>
            <w:vAlign w:val="center"/>
          </w:tcPr>
          <w:p w14:paraId="0B371B7A">
            <w:pPr>
              <w:adjustRightInd w:val="0"/>
              <w:snapToGrid w:val="0"/>
              <w:spacing w:line="240" w:lineRule="atLeast"/>
              <w:jc w:val="center"/>
              <w:rPr>
                <w:rFonts w:ascii="仿宋" w:hAnsi="仿宋" w:eastAsia="仿宋" w:cs="仿宋"/>
                <w:sz w:val="24"/>
                <w:szCs w:val="24"/>
              </w:rPr>
            </w:pPr>
          </w:p>
        </w:tc>
        <w:tc>
          <w:tcPr>
            <w:tcW w:w="1581" w:type="dxa"/>
            <w:gridSpan w:val="3"/>
            <w:noWrap w:val="0"/>
            <w:vAlign w:val="top"/>
          </w:tcPr>
          <w:p w14:paraId="1284B109">
            <w:pPr>
              <w:widowControl/>
              <w:autoSpaceDE w:val="0"/>
              <w:autoSpaceDN w:val="0"/>
              <w:adjustRightInd w:val="0"/>
              <w:snapToGrid w:val="0"/>
              <w:jc w:val="left"/>
              <w:textAlignment w:val="bottom"/>
              <w:rPr>
                <w:rFonts w:ascii="仿宋" w:hAnsi="仿宋" w:eastAsia="仿宋" w:cs="仿宋"/>
                <w:sz w:val="24"/>
                <w:szCs w:val="24"/>
              </w:rPr>
            </w:pPr>
          </w:p>
        </w:tc>
        <w:tc>
          <w:tcPr>
            <w:tcW w:w="4586" w:type="dxa"/>
            <w:gridSpan w:val="11"/>
            <w:noWrap w:val="0"/>
            <w:vAlign w:val="top"/>
          </w:tcPr>
          <w:p w14:paraId="69A9300F">
            <w:pPr>
              <w:adjustRightInd w:val="0"/>
              <w:snapToGrid w:val="0"/>
              <w:jc w:val="left"/>
              <w:rPr>
                <w:rFonts w:ascii="仿宋" w:hAnsi="仿宋" w:eastAsia="仿宋" w:cs="仿宋"/>
                <w:sz w:val="24"/>
                <w:szCs w:val="24"/>
              </w:rPr>
            </w:pPr>
          </w:p>
        </w:tc>
        <w:tc>
          <w:tcPr>
            <w:tcW w:w="1460" w:type="dxa"/>
            <w:gridSpan w:val="3"/>
            <w:noWrap w:val="0"/>
            <w:vAlign w:val="top"/>
          </w:tcPr>
          <w:p w14:paraId="5E726242">
            <w:pPr>
              <w:adjustRightInd w:val="0"/>
              <w:snapToGrid w:val="0"/>
              <w:jc w:val="left"/>
              <w:rPr>
                <w:rFonts w:ascii="仿宋" w:hAnsi="仿宋" w:eastAsia="仿宋" w:cs="仿宋"/>
                <w:sz w:val="24"/>
                <w:szCs w:val="24"/>
              </w:rPr>
            </w:pPr>
          </w:p>
        </w:tc>
      </w:tr>
      <w:tr w14:paraId="365451E7">
        <w:trPr>
          <w:trHeight w:val="921" w:hRule="atLeast"/>
        </w:trPr>
        <w:tc>
          <w:tcPr>
            <w:tcW w:w="1521" w:type="dxa"/>
            <w:noWrap w:val="0"/>
            <w:vAlign w:val="center"/>
          </w:tcPr>
          <w:p w14:paraId="0F327DDD">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I</w:t>
            </w:r>
          </w:p>
          <w:p w14:paraId="056CDC70">
            <w:pPr>
              <w:adjustRightInd w:val="0"/>
              <w:snapToGrid w:val="0"/>
              <w:spacing w:line="240" w:lineRule="atLeast"/>
              <w:jc w:val="center"/>
              <w:rPr>
                <w:rFonts w:ascii="仿宋" w:hAnsi="仿宋" w:eastAsia="仿宋" w:cs="仿宋"/>
                <w:sz w:val="24"/>
                <w:szCs w:val="24"/>
                <w:lang w:eastAsia="zh-TW"/>
              </w:rPr>
            </w:pPr>
            <w:r>
              <w:rPr>
                <w:rFonts w:hint="eastAsia" w:ascii="仿宋" w:hAnsi="仿宋" w:eastAsia="仿宋" w:cs="仿宋"/>
                <w:sz w:val="24"/>
                <w:szCs w:val="24"/>
              </w:rPr>
              <w:t>教学方法与教学方式</w:t>
            </w:r>
          </w:p>
        </w:tc>
        <w:tc>
          <w:tcPr>
            <w:tcW w:w="7627" w:type="dxa"/>
            <w:gridSpan w:val="17"/>
            <w:tcBorders>
              <w:bottom w:val="single" w:color="auto" w:sz="4" w:space="0"/>
            </w:tcBorders>
            <w:noWrap w:val="0"/>
            <w:vAlign w:val="center"/>
          </w:tcPr>
          <w:p w14:paraId="0989B10C">
            <w:pPr>
              <w:adjustRightInd w:val="0"/>
              <w:snapToGrid w:val="0"/>
              <w:rPr>
                <w:rFonts w:ascii="仿宋" w:hAnsi="仿宋" w:eastAsia="仿宋" w:cs="仿宋"/>
                <w:sz w:val="24"/>
                <w:szCs w:val="24"/>
              </w:rPr>
            </w:pPr>
            <w:r>
              <w:rPr>
                <w:rFonts w:hint="eastAsia" w:ascii="仿宋" w:hAnsi="仿宋" w:eastAsia="仿宋" w:cs="仿宋"/>
                <w:sz w:val="24"/>
                <w:szCs w:val="24"/>
              </w:rPr>
              <w:t>1、示范教学法，在课堂上进行动作示范，让学生模仿练习</w:t>
            </w:r>
          </w:p>
          <w:p w14:paraId="5EF945AA">
            <w:pPr>
              <w:adjustRightInd w:val="0"/>
              <w:snapToGrid w:val="0"/>
              <w:rPr>
                <w:rFonts w:ascii="仿宋" w:hAnsi="仿宋" w:eastAsia="仿宋" w:cs="仿宋"/>
                <w:sz w:val="24"/>
                <w:szCs w:val="24"/>
              </w:rPr>
            </w:pPr>
            <w:r>
              <w:rPr>
                <w:rFonts w:hint="eastAsia" w:ascii="仿宋" w:hAnsi="仿宋" w:eastAsia="仿宋" w:cs="仿宋"/>
                <w:sz w:val="24"/>
                <w:szCs w:val="24"/>
              </w:rPr>
              <w:t>2、分析教学法，通过课堂对动作进行分解分析，加上讨论纠错等方式，引导学生发现问题解决问题。</w:t>
            </w:r>
          </w:p>
          <w:p w14:paraId="4975AE00">
            <w:pPr>
              <w:adjustRightInd w:val="0"/>
              <w:snapToGrid w:val="0"/>
              <w:rPr>
                <w:rFonts w:ascii="仿宋" w:hAnsi="仿宋" w:eastAsia="仿宋" w:cs="仿宋"/>
                <w:sz w:val="24"/>
                <w:szCs w:val="24"/>
              </w:rPr>
            </w:pPr>
            <w:r>
              <w:rPr>
                <w:rFonts w:hint="eastAsia" w:ascii="仿宋" w:hAnsi="仿宋" w:eastAsia="仿宋" w:cs="仿宋"/>
                <w:sz w:val="24"/>
                <w:szCs w:val="24"/>
              </w:rPr>
              <w:t>3、开通网络课堂，达到与学生及时沟通、交流的目的。同时重视师生互动与小组活动，将课堂教学变为师生共同活动的过程。</w:t>
            </w:r>
          </w:p>
          <w:p w14:paraId="5C8B2F15">
            <w:pPr>
              <w:numPr>
                <w:ilvl w:val="0"/>
                <w:numId w:val="15"/>
              </w:numPr>
              <w:adjustRightInd w:val="0"/>
              <w:snapToGrid w:val="0"/>
              <w:rPr>
                <w:rFonts w:ascii="仿宋" w:hAnsi="仿宋" w:eastAsia="仿宋" w:cs="仿宋"/>
                <w:sz w:val="24"/>
                <w:szCs w:val="24"/>
              </w:rPr>
            </w:pPr>
            <w:r>
              <w:rPr>
                <w:rFonts w:hint="eastAsia" w:ascii="仿宋" w:hAnsi="仿宋" w:eastAsia="仿宋" w:cs="仿宋"/>
                <w:sz w:val="24"/>
                <w:szCs w:val="24"/>
              </w:rPr>
              <w:t>主要方式：</w:t>
            </w:r>
          </w:p>
          <w:p w14:paraId="7C56646C">
            <w:pPr>
              <w:adjustRightInd w:val="0"/>
              <w:snapToGrid w:val="0"/>
              <w:ind w:firstLine="480" w:firstLineChars="200"/>
              <w:rPr>
                <w:rFonts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讲授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网络学习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讨论或座谈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问题导向学  </w:t>
            </w:r>
          </w:p>
          <w:p w14:paraId="6F33F464">
            <w:pPr>
              <w:adjustRightInd w:val="0"/>
              <w:snapToGrid w:val="0"/>
              <w:ind w:firstLine="480" w:firstLineChars="200"/>
              <w:rPr>
                <w:rFonts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分组合作学习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专题学习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实作学习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发表学习  </w:t>
            </w:r>
          </w:p>
          <w:p w14:paraId="63FBF4A2">
            <w:pPr>
              <w:adjustRightInd w:val="0"/>
              <w:snapToGrid w:val="0"/>
              <w:ind w:firstLine="480" w:firstLineChars="200"/>
              <w:rPr>
                <w:rFonts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实习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参观访问  </w:t>
            </w:r>
            <w:r>
              <w:rPr>
                <w:rFonts w:hint="eastAsia" w:ascii="仿宋" w:hAnsi="仿宋" w:eastAsia="仿宋" w:cs="仿宋"/>
                <w:sz w:val="24"/>
                <w:szCs w:val="24"/>
              </w:rPr>
              <w:sym w:font="Wingdings" w:char="00A8"/>
            </w:r>
            <w:r>
              <w:rPr>
                <w:rFonts w:hint="eastAsia" w:ascii="仿宋" w:hAnsi="仿宋" w:eastAsia="仿宋" w:cs="仿宋"/>
                <w:sz w:val="24"/>
                <w:szCs w:val="24"/>
              </w:rPr>
              <w:t>其它：</w:t>
            </w:r>
            <w:r>
              <w:rPr>
                <w:rFonts w:hint="eastAsia" w:ascii="仿宋" w:hAnsi="仿宋" w:eastAsia="仿宋" w:cs="仿宋"/>
                <w:sz w:val="24"/>
                <w:szCs w:val="24"/>
                <w:u w:val="single"/>
              </w:rPr>
              <w:t xml:space="preserve">        </w:t>
            </w:r>
            <w:r>
              <w:rPr>
                <w:rFonts w:hint="eastAsia" w:ascii="仿宋" w:hAnsi="仿宋" w:eastAsia="仿宋" w:cs="仿宋"/>
                <w:sz w:val="24"/>
                <w:szCs w:val="24"/>
              </w:rPr>
              <w:t>(如口头训练等)</w:t>
            </w:r>
          </w:p>
        </w:tc>
      </w:tr>
      <w:tr w14:paraId="2142653F">
        <w:trPr>
          <w:trHeight w:val="580" w:hRule="atLeast"/>
        </w:trPr>
        <w:tc>
          <w:tcPr>
            <w:tcW w:w="1521" w:type="dxa"/>
            <w:noWrap w:val="0"/>
            <w:vAlign w:val="center"/>
          </w:tcPr>
          <w:p w14:paraId="1A61B87F">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J</w:t>
            </w:r>
          </w:p>
          <w:p w14:paraId="42702C03">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教学条件</w:t>
            </w:r>
          </w:p>
          <w:p w14:paraId="16531120">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需求</w:t>
            </w:r>
          </w:p>
        </w:tc>
        <w:tc>
          <w:tcPr>
            <w:tcW w:w="7627" w:type="dxa"/>
            <w:gridSpan w:val="17"/>
            <w:tcBorders>
              <w:bottom w:val="single" w:color="auto" w:sz="4" w:space="0"/>
            </w:tcBorders>
            <w:noWrap w:val="0"/>
            <w:vAlign w:val="center"/>
          </w:tcPr>
          <w:p w14:paraId="4D143480">
            <w:pPr>
              <w:tabs>
                <w:tab w:val="left" w:pos="720"/>
              </w:tabs>
              <w:adjustRightInd w:val="0"/>
              <w:snapToGrid w:val="0"/>
              <w:spacing w:line="240" w:lineRule="atLeast"/>
              <w:rPr>
                <w:rFonts w:ascii="仿宋" w:hAnsi="仿宋" w:eastAsia="仿宋" w:cs="仿宋"/>
                <w:kern w:val="0"/>
                <w:sz w:val="24"/>
                <w:szCs w:val="24"/>
              </w:rPr>
            </w:pPr>
            <w:r>
              <w:rPr>
                <w:rFonts w:hint="eastAsia" w:ascii="仿宋" w:hAnsi="仿宋" w:eastAsia="仿宋" w:cs="仿宋"/>
                <w:kern w:val="0"/>
                <w:sz w:val="24"/>
                <w:szCs w:val="24"/>
              </w:rPr>
              <w:t>（如时间、地点安排与“一课双师”等教师配备需求等）</w:t>
            </w:r>
          </w:p>
          <w:p w14:paraId="61D17DF2">
            <w:pPr>
              <w:tabs>
                <w:tab w:val="left" w:pos="720"/>
              </w:tabs>
              <w:adjustRightInd w:val="0"/>
              <w:snapToGrid w:val="0"/>
              <w:rPr>
                <w:rFonts w:ascii="仿宋" w:hAnsi="仿宋" w:eastAsia="仿宋" w:cs="仿宋"/>
                <w:sz w:val="24"/>
                <w:szCs w:val="24"/>
              </w:rPr>
            </w:pPr>
            <w:r>
              <w:rPr>
                <w:rFonts w:hint="eastAsia" w:ascii="仿宋" w:hAnsi="仿宋" w:eastAsia="仿宋" w:cs="仿宋"/>
                <w:sz w:val="24"/>
                <w:szCs w:val="24"/>
              </w:rPr>
              <w:t>1、教室</w:t>
            </w:r>
          </w:p>
          <w:p w14:paraId="691CC58D">
            <w:pPr>
              <w:tabs>
                <w:tab w:val="left" w:pos="720"/>
              </w:tabs>
              <w:adjustRightInd w:val="0"/>
              <w:snapToGrid w:val="0"/>
              <w:rPr>
                <w:rFonts w:ascii="仿宋" w:hAnsi="仿宋" w:eastAsia="仿宋" w:cs="仿宋"/>
                <w:kern w:val="0"/>
                <w:sz w:val="24"/>
                <w:szCs w:val="24"/>
              </w:rPr>
            </w:pPr>
            <w:r>
              <w:rPr>
                <w:rFonts w:hint="eastAsia" w:ascii="仿宋" w:hAnsi="仿宋" w:eastAsia="仿宋" w:cs="仿宋"/>
                <w:kern w:val="0"/>
                <w:sz w:val="24"/>
                <w:szCs w:val="24"/>
              </w:rPr>
              <w:t>2、专业教学多媒体音响</w:t>
            </w:r>
          </w:p>
          <w:p w14:paraId="172DF56E">
            <w:pPr>
              <w:tabs>
                <w:tab w:val="left" w:pos="720"/>
              </w:tabs>
              <w:adjustRightInd w:val="0"/>
              <w:snapToGrid w:val="0"/>
              <w:rPr>
                <w:rFonts w:ascii="仿宋" w:hAnsi="仿宋" w:eastAsia="仿宋" w:cs="仿宋"/>
                <w:kern w:val="0"/>
                <w:sz w:val="24"/>
                <w:szCs w:val="24"/>
              </w:rPr>
            </w:pPr>
          </w:p>
        </w:tc>
      </w:tr>
      <w:tr w14:paraId="3EABD6F9">
        <w:trPr>
          <w:trHeight w:val="711" w:hRule="atLeast"/>
        </w:trPr>
        <w:tc>
          <w:tcPr>
            <w:tcW w:w="1521" w:type="dxa"/>
            <w:vMerge w:val="restart"/>
            <w:noWrap w:val="0"/>
            <w:vAlign w:val="center"/>
          </w:tcPr>
          <w:p w14:paraId="30F2D9D7">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K</w:t>
            </w:r>
          </w:p>
          <w:p w14:paraId="5A545AC1">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课程目标及其考核内容、考核方式及评分占比</w:t>
            </w:r>
          </w:p>
        </w:tc>
        <w:tc>
          <w:tcPr>
            <w:tcW w:w="887" w:type="dxa"/>
            <w:vMerge w:val="restart"/>
            <w:noWrap w:val="0"/>
            <w:vAlign w:val="center"/>
          </w:tcPr>
          <w:p w14:paraId="0634640F">
            <w:pPr>
              <w:adjustRightInd w:val="0"/>
              <w:snapToGrid w:val="0"/>
              <w:rPr>
                <w:rFonts w:ascii="仿宋" w:hAnsi="仿宋" w:eastAsia="仿宋" w:cs="仿宋"/>
                <w:sz w:val="24"/>
                <w:szCs w:val="24"/>
              </w:rPr>
            </w:pPr>
            <w:r>
              <w:rPr>
                <w:rFonts w:hint="eastAsia" w:ascii="仿宋" w:hAnsi="仿宋" w:eastAsia="仿宋" w:cs="仿宋"/>
                <w:sz w:val="24"/>
                <w:szCs w:val="24"/>
              </w:rPr>
              <w:t>课程目标及评分占比</w:t>
            </w:r>
          </w:p>
        </w:tc>
        <w:tc>
          <w:tcPr>
            <w:tcW w:w="3711" w:type="dxa"/>
            <w:gridSpan w:val="8"/>
            <w:vMerge w:val="restart"/>
            <w:tcBorders>
              <w:right w:val="single" w:color="000000" w:sz="4" w:space="0"/>
            </w:tcBorders>
            <w:noWrap w:val="0"/>
            <w:vAlign w:val="center"/>
          </w:tcPr>
          <w:p w14:paraId="425BADD6">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考核内容</w:t>
            </w:r>
          </w:p>
        </w:tc>
        <w:tc>
          <w:tcPr>
            <w:tcW w:w="2440" w:type="dxa"/>
            <w:gridSpan w:val="7"/>
            <w:tcBorders>
              <w:left w:val="single" w:color="000000" w:sz="4" w:space="0"/>
              <w:right w:val="single" w:color="000000" w:sz="4" w:space="0"/>
            </w:tcBorders>
            <w:noWrap w:val="0"/>
            <w:vAlign w:val="center"/>
          </w:tcPr>
          <w:p w14:paraId="4C368904">
            <w:pPr>
              <w:adjustRightInd w:val="0"/>
              <w:snapToGrid w:val="0"/>
              <w:jc w:val="center"/>
              <w:rPr>
                <w:rFonts w:ascii="仿宋" w:hAnsi="仿宋" w:eastAsia="仿宋" w:cs="仿宋"/>
                <w:sz w:val="24"/>
                <w:szCs w:val="24"/>
              </w:rPr>
            </w:pPr>
            <w:r>
              <w:rPr>
                <w:rFonts w:hint="eastAsia" w:ascii="仿宋" w:hAnsi="仿宋" w:eastAsia="仿宋" w:cs="仿宋"/>
                <w:sz w:val="24"/>
                <w:szCs w:val="24"/>
              </w:rPr>
              <w:t>考核方式</w:t>
            </w:r>
          </w:p>
        </w:tc>
        <w:tc>
          <w:tcPr>
            <w:tcW w:w="589" w:type="dxa"/>
            <w:vMerge w:val="restart"/>
            <w:tcBorders>
              <w:left w:val="single" w:color="000000" w:sz="4" w:space="0"/>
            </w:tcBorders>
            <w:noWrap w:val="0"/>
            <w:vAlign w:val="center"/>
          </w:tcPr>
          <w:p w14:paraId="50C7A807">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sz w:val="24"/>
                <w:szCs w:val="24"/>
              </w:rPr>
              <w:t>课程分目标的达成度</w:t>
            </w:r>
          </w:p>
        </w:tc>
      </w:tr>
      <w:tr w14:paraId="51E3B0D8">
        <w:trPr>
          <w:trHeight w:val="184" w:hRule="atLeast"/>
        </w:trPr>
        <w:tc>
          <w:tcPr>
            <w:tcW w:w="1521" w:type="dxa"/>
            <w:vMerge w:val="continue"/>
            <w:noWrap w:val="0"/>
            <w:vAlign w:val="center"/>
          </w:tcPr>
          <w:p w14:paraId="0E999BA5">
            <w:pPr>
              <w:adjustRightInd w:val="0"/>
              <w:snapToGrid w:val="0"/>
              <w:spacing w:line="240" w:lineRule="atLeast"/>
              <w:jc w:val="center"/>
              <w:rPr>
                <w:rFonts w:ascii="仿宋" w:hAnsi="仿宋" w:eastAsia="仿宋" w:cs="仿宋"/>
                <w:sz w:val="24"/>
                <w:szCs w:val="24"/>
              </w:rPr>
            </w:pPr>
          </w:p>
        </w:tc>
        <w:tc>
          <w:tcPr>
            <w:tcW w:w="887" w:type="dxa"/>
            <w:vMerge w:val="continue"/>
            <w:tcBorders>
              <w:tl2br w:val="single" w:color="auto" w:sz="4" w:space="0"/>
            </w:tcBorders>
            <w:noWrap w:val="0"/>
            <w:vAlign w:val="center"/>
          </w:tcPr>
          <w:p w14:paraId="244EC786">
            <w:pPr>
              <w:adjustRightInd w:val="0"/>
              <w:snapToGrid w:val="0"/>
              <w:jc w:val="right"/>
              <w:rPr>
                <w:rFonts w:ascii="仿宋" w:hAnsi="仿宋" w:eastAsia="仿宋" w:cs="仿宋"/>
                <w:sz w:val="24"/>
                <w:szCs w:val="24"/>
              </w:rPr>
            </w:pPr>
          </w:p>
        </w:tc>
        <w:tc>
          <w:tcPr>
            <w:tcW w:w="3711" w:type="dxa"/>
            <w:gridSpan w:val="8"/>
            <w:vMerge w:val="continue"/>
            <w:tcBorders>
              <w:right w:val="single" w:color="000000" w:sz="4" w:space="0"/>
            </w:tcBorders>
            <w:noWrap w:val="0"/>
            <w:vAlign w:val="center"/>
          </w:tcPr>
          <w:p w14:paraId="1045B116">
            <w:pPr>
              <w:tabs>
                <w:tab w:val="left" w:pos="720"/>
              </w:tabs>
              <w:adjustRightInd w:val="0"/>
              <w:snapToGrid w:val="0"/>
              <w:jc w:val="center"/>
              <w:rPr>
                <w:rFonts w:ascii="仿宋" w:hAnsi="仿宋" w:eastAsia="仿宋" w:cs="仿宋"/>
                <w:kern w:val="0"/>
                <w:sz w:val="24"/>
                <w:szCs w:val="24"/>
              </w:rPr>
            </w:pPr>
          </w:p>
        </w:tc>
        <w:tc>
          <w:tcPr>
            <w:tcW w:w="813" w:type="dxa"/>
            <w:gridSpan w:val="4"/>
            <w:tcBorders>
              <w:left w:val="single" w:color="000000" w:sz="4" w:space="0"/>
            </w:tcBorders>
            <w:noWrap w:val="0"/>
            <w:vAlign w:val="center"/>
          </w:tcPr>
          <w:p w14:paraId="223B0C3B">
            <w:pPr>
              <w:tabs>
                <w:tab w:val="left" w:pos="720"/>
              </w:tabs>
              <w:adjustRightInd w:val="0"/>
              <w:snapToGrid w:val="0"/>
              <w:jc w:val="center"/>
              <w:rPr>
                <w:rFonts w:ascii="仿宋" w:hAnsi="仿宋" w:eastAsia="仿宋" w:cs="仿宋"/>
                <w:sz w:val="24"/>
                <w:szCs w:val="24"/>
              </w:rPr>
            </w:pPr>
            <w:r>
              <w:rPr>
                <w:rFonts w:hint="eastAsia" w:ascii="仿宋" w:hAnsi="仿宋" w:eastAsia="仿宋" w:cs="仿宋"/>
                <w:sz w:val="24"/>
                <w:szCs w:val="24"/>
              </w:rPr>
              <w:t>作业评分占比（</w:t>
            </w:r>
            <w:r>
              <w:rPr>
                <w:rFonts w:hint="eastAsia" w:ascii="仿宋" w:hAnsi="仿宋" w:eastAsia="仿宋" w:cs="仿宋"/>
                <w:sz w:val="24"/>
                <w:szCs w:val="24"/>
                <w:lang w:val="en-US" w:eastAsia="zh-CN"/>
              </w:rPr>
              <w:t>10</w:t>
            </w:r>
            <w:r>
              <w:rPr>
                <w:rFonts w:hint="eastAsia" w:ascii="仿宋" w:hAnsi="仿宋" w:eastAsia="仿宋" w:cs="仿宋"/>
                <w:sz w:val="24"/>
                <w:szCs w:val="24"/>
              </w:rPr>
              <w:t>%）</w:t>
            </w:r>
          </w:p>
        </w:tc>
        <w:tc>
          <w:tcPr>
            <w:tcW w:w="813" w:type="dxa"/>
            <w:gridSpan w:val="2"/>
            <w:tcBorders>
              <w:bottom w:val="single" w:color="auto" w:sz="4" w:space="0"/>
            </w:tcBorders>
            <w:noWrap w:val="0"/>
            <w:vAlign w:val="center"/>
          </w:tcPr>
          <w:p w14:paraId="68032B4D">
            <w:pPr>
              <w:adjustRightInd w:val="0"/>
              <w:snapToGrid w:val="0"/>
              <w:jc w:val="center"/>
              <w:rPr>
                <w:rFonts w:ascii="仿宋" w:hAnsi="仿宋" w:eastAsia="仿宋" w:cs="仿宋"/>
                <w:sz w:val="24"/>
                <w:szCs w:val="24"/>
              </w:rPr>
            </w:pPr>
            <w:r>
              <w:rPr>
                <w:rFonts w:hint="eastAsia" w:ascii="仿宋" w:hAnsi="仿宋" w:eastAsia="仿宋" w:cs="仿宋"/>
                <w:sz w:val="24"/>
                <w:szCs w:val="24"/>
              </w:rPr>
              <w:t>课堂表现</w:t>
            </w:r>
          </w:p>
          <w:p w14:paraId="1D7B100E">
            <w:pPr>
              <w:adjustRightInd w:val="0"/>
              <w:snapToGrid w:val="0"/>
              <w:jc w:val="center"/>
              <w:rPr>
                <w:rFonts w:ascii="仿宋" w:hAnsi="仿宋" w:eastAsia="仿宋" w:cs="仿宋"/>
                <w:sz w:val="24"/>
                <w:szCs w:val="24"/>
              </w:rPr>
            </w:pPr>
            <w:r>
              <w:rPr>
                <w:rFonts w:hint="eastAsia" w:ascii="仿宋" w:hAnsi="仿宋" w:eastAsia="仿宋" w:cs="仿宋"/>
                <w:sz w:val="24"/>
                <w:szCs w:val="24"/>
              </w:rPr>
              <w:t>占比</w:t>
            </w:r>
          </w:p>
          <w:p w14:paraId="07929F0D">
            <w:pPr>
              <w:adjustRightInd w:val="0"/>
              <w:snapToGrid w:val="0"/>
              <w:jc w:val="center"/>
              <w:rPr>
                <w:rFonts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2</w:t>
            </w:r>
            <w:r>
              <w:rPr>
                <w:rFonts w:ascii="仿宋" w:hAnsi="仿宋" w:eastAsia="仿宋" w:cs="仿宋"/>
                <w:sz w:val="24"/>
                <w:szCs w:val="24"/>
              </w:rPr>
              <w:t>0</w:t>
            </w:r>
            <w:r>
              <w:rPr>
                <w:rFonts w:hint="eastAsia" w:ascii="仿宋" w:hAnsi="仿宋" w:eastAsia="仿宋" w:cs="仿宋"/>
                <w:sz w:val="24"/>
                <w:szCs w:val="24"/>
              </w:rPr>
              <w:t>%）</w:t>
            </w:r>
          </w:p>
        </w:tc>
        <w:tc>
          <w:tcPr>
            <w:tcW w:w="814" w:type="dxa"/>
            <w:tcBorders>
              <w:bottom w:val="single" w:color="auto" w:sz="4" w:space="0"/>
              <w:right w:val="single" w:color="000000" w:sz="4" w:space="0"/>
            </w:tcBorders>
            <w:noWrap w:val="0"/>
            <w:vAlign w:val="center"/>
          </w:tcPr>
          <w:p w14:paraId="40273523">
            <w:pPr>
              <w:adjustRightInd w:val="0"/>
              <w:snapToGrid w:val="0"/>
              <w:jc w:val="center"/>
              <w:rPr>
                <w:rFonts w:ascii="仿宋" w:hAnsi="仿宋" w:eastAsia="仿宋" w:cs="仿宋"/>
                <w:sz w:val="24"/>
                <w:szCs w:val="24"/>
              </w:rPr>
            </w:pPr>
            <w:r>
              <w:rPr>
                <w:rFonts w:hint="eastAsia" w:ascii="仿宋" w:hAnsi="仿宋" w:eastAsia="仿宋" w:cs="仿宋"/>
                <w:sz w:val="24"/>
                <w:szCs w:val="24"/>
              </w:rPr>
              <w:t>期末考试评分占比（</w:t>
            </w:r>
            <w:r>
              <w:rPr>
                <w:rFonts w:hint="eastAsia" w:ascii="仿宋" w:hAnsi="仿宋" w:eastAsia="仿宋" w:cs="仿宋"/>
                <w:sz w:val="24"/>
                <w:szCs w:val="24"/>
                <w:lang w:val="en-US" w:eastAsia="zh-CN"/>
              </w:rPr>
              <w:t>70</w:t>
            </w:r>
            <w:r>
              <w:rPr>
                <w:rFonts w:hint="eastAsia" w:ascii="仿宋" w:hAnsi="仿宋" w:eastAsia="仿宋" w:cs="仿宋"/>
                <w:sz w:val="24"/>
                <w:szCs w:val="24"/>
              </w:rPr>
              <w:t>%）</w:t>
            </w:r>
          </w:p>
        </w:tc>
        <w:tc>
          <w:tcPr>
            <w:tcW w:w="589" w:type="dxa"/>
            <w:vMerge w:val="continue"/>
            <w:tcBorders>
              <w:left w:val="single" w:color="000000" w:sz="4" w:space="0"/>
              <w:bottom w:val="single" w:color="auto" w:sz="4" w:space="0"/>
            </w:tcBorders>
            <w:noWrap w:val="0"/>
            <w:vAlign w:val="center"/>
          </w:tcPr>
          <w:p w14:paraId="6A274F41">
            <w:pPr>
              <w:tabs>
                <w:tab w:val="left" w:pos="720"/>
              </w:tabs>
              <w:adjustRightInd w:val="0"/>
              <w:snapToGrid w:val="0"/>
              <w:jc w:val="center"/>
              <w:rPr>
                <w:rFonts w:ascii="仿宋" w:hAnsi="仿宋" w:eastAsia="仿宋" w:cs="仿宋"/>
                <w:sz w:val="24"/>
                <w:szCs w:val="24"/>
              </w:rPr>
            </w:pPr>
          </w:p>
        </w:tc>
      </w:tr>
      <w:tr w14:paraId="6EEF55E0">
        <w:trPr>
          <w:trHeight w:val="1421" w:hRule="atLeast"/>
        </w:trPr>
        <w:tc>
          <w:tcPr>
            <w:tcW w:w="1521" w:type="dxa"/>
            <w:vMerge w:val="continue"/>
            <w:noWrap w:val="0"/>
            <w:vAlign w:val="center"/>
          </w:tcPr>
          <w:p w14:paraId="16BBA3F6">
            <w:pPr>
              <w:adjustRightInd w:val="0"/>
              <w:snapToGrid w:val="0"/>
              <w:spacing w:line="240" w:lineRule="atLeast"/>
              <w:jc w:val="center"/>
              <w:rPr>
                <w:rFonts w:ascii="仿宋" w:hAnsi="仿宋" w:eastAsia="仿宋" w:cs="仿宋"/>
                <w:sz w:val="24"/>
                <w:szCs w:val="24"/>
                <w:lang w:eastAsia="zh-TW"/>
              </w:rPr>
            </w:pPr>
          </w:p>
        </w:tc>
        <w:tc>
          <w:tcPr>
            <w:tcW w:w="887" w:type="dxa"/>
            <w:noWrap w:val="0"/>
            <w:vAlign w:val="center"/>
          </w:tcPr>
          <w:p w14:paraId="15D6BF36">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课程目标1（</w:t>
            </w:r>
            <w:r>
              <w:rPr>
                <w:rFonts w:ascii="仿宋" w:hAnsi="仿宋" w:eastAsia="仿宋" w:cs="仿宋"/>
                <w:kern w:val="0"/>
                <w:sz w:val="24"/>
                <w:szCs w:val="24"/>
              </w:rPr>
              <w:t>5</w:t>
            </w:r>
            <w:r>
              <w:rPr>
                <w:rFonts w:hint="eastAsia" w:ascii="仿宋" w:hAnsi="仿宋" w:eastAsia="仿宋" w:cs="仿宋"/>
                <w:kern w:val="0"/>
                <w:sz w:val="24"/>
                <w:szCs w:val="24"/>
              </w:rPr>
              <w:t>0%）</w:t>
            </w:r>
          </w:p>
          <w:p w14:paraId="22A986F4">
            <w:pPr>
              <w:adjustRightInd w:val="0"/>
              <w:snapToGrid w:val="0"/>
              <w:jc w:val="center"/>
              <w:rPr>
                <w:rFonts w:ascii="仿宋" w:hAnsi="仿宋" w:eastAsia="仿宋" w:cs="仿宋"/>
                <w:kern w:val="0"/>
                <w:sz w:val="24"/>
                <w:szCs w:val="24"/>
              </w:rPr>
            </w:pPr>
          </w:p>
        </w:tc>
        <w:tc>
          <w:tcPr>
            <w:tcW w:w="3711" w:type="dxa"/>
            <w:gridSpan w:val="8"/>
            <w:tcBorders>
              <w:right w:val="single" w:color="000000" w:sz="4" w:space="0"/>
            </w:tcBorders>
            <w:noWrap w:val="0"/>
            <w:vAlign w:val="center"/>
          </w:tcPr>
          <w:p w14:paraId="6798DA32">
            <w:pPr>
              <w:numPr>
                <w:ilvl w:val="0"/>
                <w:numId w:val="0"/>
              </w:numPr>
              <w:adjustRightInd w:val="0"/>
              <w:snapToGrid w:val="0"/>
              <w:ind w:leftChars="0"/>
              <w:jc w:val="left"/>
              <w:rPr>
                <w:rFonts w:ascii="仿宋" w:hAnsi="仿宋" w:eastAsia="仿宋" w:cs="仿宋"/>
                <w:kern w:val="0"/>
                <w:sz w:val="24"/>
                <w:szCs w:val="24"/>
              </w:rPr>
            </w:pPr>
            <w:r>
              <w:rPr>
                <w:rFonts w:hint="eastAsia" w:ascii="仿宋" w:hAnsi="仿宋" w:eastAsia="仿宋" w:cs="仿宋"/>
                <w:sz w:val="24"/>
                <w:szCs w:val="24"/>
                <w:lang w:val="en-US" w:eastAsia="zh-CN"/>
              </w:rPr>
              <w:t>1.</w:t>
            </w:r>
            <w:r>
              <w:rPr>
                <w:rFonts w:hint="eastAsia" w:ascii="仿宋" w:hAnsi="仿宋" w:eastAsia="仿宋" w:cs="仿宋"/>
                <w:sz w:val="24"/>
                <w:szCs w:val="24"/>
              </w:rPr>
              <w:t>能够初步掌握</w:t>
            </w:r>
            <w:r>
              <w:rPr>
                <w:rFonts w:hint="eastAsia" w:ascii="仿宋" w:hAnsi="仿宋" w:eastAsia="仿宋" w:cs="仿宋"/>
                <w:sz w:val="24"/>
                <w:szCs w:val="24"/>
                <w:lang w:val="en-US" w:eastAsia="zh-CN"/>
              </w:rPr>
              <w:t>福建客家音乐基本知识和文化体系</w:t>
            </w:r>
            <w:r>
              <w:rPr>
                <w:rFonts w:hint="eastAsia" w:ascii="仿宋" w:hAnsi="仿宋" w:eastAsia="仿宋" w:cs="仿宋"/>
                <w:kern w:val="0"/>
                <w:sz w:val="24"/>
                <w:szCs w:val="24"/>
                <w:lang w:eastAsia="zh-CN"/>
              </w:rPr>
              <w:t>；</w:t>
            </w:r>
          </w:p>
          <w:p w14:paraId="339AA6FE">
            <w:pPr>
              <w:adjustRightInd w:val="0"/>
              <w:snapToGrid w:val="0"/>
              <w:jc w:val="left"/>
              <w:rPr>
                <w:rFonts w:ascii="仿宋" w:hAnsi="仿宋" w:eastAsia="仿宋" w:cs="仿宋"/>
                <w:kern w:val="0"/>
                <w:sz w:val="24"/>
                <w:szCs w:val="24"/>
              </w:rPr>
            </w:pPr>
            <w:r>
              <w:rPr>
                <w:rFonts w:hint="eastAsia" w:ascii="仿宋" w:hAnsi="仿宋" w:eastAsia="仿宋" w:cs="仿宋"/>
                <w:sz w:val="24"/>
                <w:szCs w:val="24"/>
                <w:lang w:val="en-US" w:eastAsia="zh-CN"/>
              </w:rPr>
              <w:t>2.初步领会福建客家音乐文化话语体系与独特魅力。</w:t>
            </w:r>
          </w:p>
        </w:tc>
        <w:tc>
          <w:tcPr>
            <w:tcW w:w="813" w:type="dxa"/>
            <w:gridSpan w:val="4"/>
            <w:tcBorders>
              <w:left w:val="single" w:color="000000" w:sz="4" w:space="0"/>
            </w:tcBorders>
            <w:noWrap w:val="0"/>
            <w:vAlign w:val="center"/>
          </w:tcPr>
          <w:p w14:paraId="08216C9C">
            <w:pPr>
              <w:adjustRightInd w:val="0"/>
              <w:snapToGrid w:val="0"/>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5</w:t>
            </w:r>
          </w:p>
        </w:tc>
        <w:tc>
          <w:tcPr>
            <w:tcW w:w="813" w:type="dxa"/>
            <w:gridSpan w:val="2"/>
            <w:tcBorders>
              <w:right w:val="single" w:color="auto" w:sz="4" w:space="0"/>
            </w:tcBorders>
            <w:noWrap w:val="0"/>
            <w:vAlign w:val="center"/>
          </w:tcPr>
          <w:p w14:paraId="561E77AB">
            <w:pPr>
              <w:tabs>
                <w:tab w:val="left" w:pos="720"/>
              </w:tabs>
              <w:adjustRightInd w:val="0"/>
              <w:snapToGrid w:val="0"/>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10</w:t>
            </w:r>
          </w:p>
        </w:tc>
        <w:tc>
          <w:tcPr>
            <w:tcW w:w="814" w:type="dxa"/>
            <w:tcBorders>
              <w:left w:val="single" w:color="auto" w:sz="4" w:space="0"/>
              <w:right w:val="single" w:color="auto" w:sz="4" w:space="0"/>
            </w:tcBorders>
            <w:noWrap w:val="0"/>
            <w:vAlign w:val="center"/>
          </w:tcPr>
          <w:p w14:paraId="75C306E8">
            <w:pPr>
              <w:tabs>
                <w:tab w:val="left" w:pos="720"/>
              </w:tabs>
              <w:adjustRightInd w:val="0"/>
              <w:snapToGrid w:val="0"/>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35</w:t>
            </w:r>
          </w:p>
        </w:tc>
        <w:tc>
          <w:tcPr>
            <w:tcW w:w="589" w:type="dxa"/>
            <w:tcBorders>
              <w:left w:val="single" w:color="auto" w:sz="4" w:space="0"/>
              <w:bottom w:val="single" w:color="000000" w:sz="4" w:space="0"/>
            </w:tcBorders>
            <w:noWrap w:val="0"/>
            <w:vAlign w:val="center"/>
          </w:tcPr>
          <w:p w14:paraId="4E977C62">
            <w:pPr>
              <w:tabs>
                <w:tab w:val="left" w:pos="720"/>
              </w:tabs>
              <w:adjustRightInd w:val="0"/>
              <w:snapToGrid w:val="0"/>
              <w:jc w:val="center"/>
              <w:rPr>
                <w:rFonts w:hint="eastAsia" w:ascii="仿宋" w:hAnsi="仿宋" w:eastAsia="仿宋" w:cs="仿宋"/>
                <w:kern w:val="0"/>
                <w:sz w:val="24"/>
                <w:szCs w:val="24"/>
                <w:lang w:val="en-US" w:eastAsia="zh-CN"/>
              </w:rPr>
            </w:pPr>
            <w:r>
              <w:rPr>
                <w:rFonts w:ascii="仿宋" w:hAnsi="仿宋" w:eastAsia="仿宋" w:cs="仿宋"/>
                <w:kern w:val="0"/>
                <w:sz w:val="24"/>
                <w:szCs w:val="24"/>
              </w:rPr>
              <w:t>0</w:t>
            </w:r>
            <w:r>
              <w:rPr>
                <w:rFonts w:hint="eastAsia" w:ascii="仿宋" w:hAnsi="仿宋" w:eastAsia="仿宋" w:cs="仿宋"/>
                <w:kern w:val="0"/>
                <w:sz w:val="24"/>
                <w:szCs w:val="24"/>
              </w:rPr>
              <w:t>.</w:t>
            </w:r>
            <w:r>
              <w:rPr>
                <w:rFonts w:ascii="仿宋" w:hAnsi="仿宋" w:eastAsia="仿宋" w:cs="仿宋"/>
                <w:kern w:val="0"/>
                <w:sz w:val="24"/>
                <w:szCs w:val="24"/>
              </w:rPr>
              <w:t>7</w:t>
            </w:r>
            <w:r>
              <w:rPr>
                <w:rFonts w:hint="eastAsia" w:ascii="仿宋" w:hAnsi="仿宋" w:eastAsia="仿宋" w:cs="仿宋"/>
                <w:kern w:val="0"/>
                <w:sz w:val="24"/>
                <w:szCs w:val="24"/>
                <w:lang w:val="en-US" w:eastAsia="zh-CN"/>
              </w:rPr>
              <w:t>5</w:t>
            </w:r>
          </w:p>
        </w:tc>
      </w:tr>
      <w:tr w14:paraId="7553D3E5">
        <w:trPr>
          <w:trHeight w:val="515" w:hRule="atLeast"/>
        </w:trPr>
        <w:tc>
          <w:tcPr>
            <w:tcW w:w="1521" w:type="dxa"/>
            <w:vMerge w:val="continue"/>
            <w:noWrap w:val="0"/>
            <w:vAlign w:val="center"/>
          </w:tcPr>
          <w:p w14:paraId="7C6C8ED0">
            <w:pPr>
              <w:adjustRightInd w:val="0"/>
              <w:snapToGrid w:val="0"/>
              <w:spacing w:line="240" w:lineRule="atLeast"/>
              <w:jc w:val="center"/>
              <w:rPr>
                <w:rFonts w:ascii="仿宋" w:hAnsi="仿宋" w:eastAsia="仿宋" w:cs="仿宋"/>
                <w:sz w:val="24"/>
                <w:szCs w:val="24"/>
                <w:lang w:eastAsia="zh-TW"/>
              </w:rPr>
            </w:pPr>
          </w:p>
        </w:tc>
        <w:tc>
          <w:tcPr>
            <w:tcW w:w="887" w:type="dxa"/>
            <w:tcBorders>
              <w:bottom w:val="single" w:color="auto" w:sz="4" w:space="0"/>
            </w:tcBorders>
            <w:noWrap w:val="0"/>
            <w:vAlign w:val="center"/>
          </w:tcPr>
          <w:p w14:paraId="6BEFAFEE">
            <w:pPr>
              <w:adjustRightInd w:val="0"/>
              <w:snapToGrid w:val="0"/>
              <w:jc w:val="center"/>
              <w:rPr>
                <w:rFonts w:ascii="仿宋" w:hAnsi="仿宋" w:eastAsia="仿宋" w:cs="仿宋"/>
                <w:sz w:val="24"/>
                <w:szCs w:val="24"/>
              </w:rPr>
            </w:pPr>
            <w:r>
              <w:rPr>
                <w:rFonts w:hint="eastAsia" w:ascii="仿宋" w:hAnsi="仿宋" w:eastAsia="仿宋" w:cs="仿宋"/>
                <w:kern w:val="0"/>
                <w:sz w:val="24"/>
                <w:szCs w:val="24"/>
              </w:rPr>
              <w:t>课程目标</w:t>
            </w:r>
            <w:r>
              <w:rPr>
                <w:rFonts w:ascii="仿宋" w:hAnsi="仿宋" w:eastAsia="仿宋" w:cs="仿宋"/>
                <w:kern w:val="0"/>
                <w:sz w:val="24"/>
                <w:szCs w:val="24"/>
              </w:rPr>
              <w:t>2</w:t>
            </w:r>
            <w:r>
              <w:rPr>
                <w:rFonts w:hint="eastAsia" w:ascii="仿宋" w:hAnsi="仿宋" w:eastAsia="仿宋" w:cs="仿宋"/>
                <w:kern w:val="0"/>
                <w:sz w:val="24"/>
                <w:szCs w:val="24"/>
              </w:rPr>
              <w:t>（</w:t>
            </w:r>
            <w:r>
              <w:rPr>
                <w:rFonts w:ascii="仿宋" w:hAnsi="仿宋" w:eastAsia="仿宋" w:cs="仿宋"/>
                <w:kern w:val="0"/>
                <w:sz w:val="24"/>
                <w:szCs w:val="24"/>
              </w:rPr>
              <w:t>3</w:t>
            </w:r>
            <w:r>
              <w:rPr>
                <w:rFonts w:hint="eastAsia" w:ascii="仿宋" w:hAnsi="仿宋" w:eastAsia="仿宋" w:cs="仿宋"/>
                <w:kern w:val="0"/>
                <w:sz w:val="24"/>
                <w:szCs w:val="24"/>
              </w:rPr>
              <w:t>0%）</w:t>
            </w:r>
          </w:p>
        </w:tc>
        <w:tc>
          <w:tcPr>
            <w:tcW w:w="3711" w:type="dxa"/>
            <w:gridSpan w:val="8"/>
            <w:tcBorders>
              <w:bottom w:val="single" w:color="auto" w:sz="4" w:space="0"/>
              <w:right w:val="single" w:color="000000" w:sz="4" w:space="0"/>
            </w:tcBorders>
            <w:noWrap w:val="0"/>
            <w:vAlign w:val="center"/>
          </w:tcPr>
          <w:p w14:paraId="121B369D">
            <w:pPr>
              <w:adjustRightInd w:val="0"/>
              <w:snapToGrid w:val="0"/>
              <w:jc w:val="left"/>
              <w:rPr>
                <w:rFonts w:hint="eastAsia" w:ascii="仿宋" w:hAnsi="仿宋" w:eastAsia="仿宋" w:cs="仿宋"/>
                <w:sz w:val="24"/>
                <w:szCs w:val="24"/>
                <w:lang w:eastAsia="zh-CN"/>
              </w:rPr>
            </w:pPr>
            <w:r>
              <w:rPr>
                <w:rFonts w:hint="eastAsia" w:ascii="仿宋" w:hAnsi="仿宋" w:eastAsia="仿宋" w:cs="仿宋"/>
                <w:sz w:val="24"/>
                <w:szCs w:val="24"/>
                <w:lang w:val="en-US" w:eastAsia="zh-CN"/>
              </w:rPr>
              <w:t>1.具备传承传统民族音乐文化的意识与能力</w:t>
            </w:r>
            <w:r>
              <w:rPr>
                <w:rFonts w:hint="eastAsia" w:ascii="仿宋" w:hAnsi="仿宋" w:eastAsia="仿宋" w:cs="仿宋"/>
                <w:sz w:val="24"/>
                <w:szCs w:val="24"/>
                <w:lang w:eastAsia="zh-CN"/>
              </w:rPr>
              <w:t>，能够继承和弘扬</w:t>
            </w:r>
            <w:r>
              <w:rPr>
                <w:rFonts w:hint="eastAsia" w:ascii="仿宋" w:hAnsi="仿宋" w:eastAsia="仿宋" w:cs="仿宋"/>
                <w:sz w:val="24"/>
                <w:szCs w:val="24"/>
                <w:lang w:val="en-US" w:eastAsia="zh-CN"/>
              </w:rPr>
              <w:t>地方</w:t>
            </w:r>
            <w:r>
              <w:rPr>
                <w:rFonts w:hint="eastAsia" w:ascii="仿宋" w:hAnsi="仿宋" w:eastAsia="仿宋" w:cs="仿宋"/>
                <w:sz w:val="24"/>
                <w:szCs w:val="24"/>
                <w:lang w:eastAsia="zh-CN"/>
              </w:rPr>
              <w:t>音乐文化；</w:t>
            </w:r>
          </w:p>
          <w:p w14:paraId="3B9144C7">
            <w:pPr>
              <w:adjustRightInd w:val="0"/>
              <w:snapToGrid w:val="0"/>
              <w:jc w:val="left"/>
              <w:rPr>
                <w:rFonts w:ascii="仿宋" w:hAnsi="仿宋" w:eastAsia="仿宋" w:cs="仿宋"/>
                <w:kern w:val="0"/>
                <w:sz w:val="24"/>
                <w:szCs w:val="24"/>
              </w:rPr>
            </w:pPr>
            <w:r>
              <w:rPr>
                <w:rFonts w:hint="eastAsia" w:ascii="仿宋" w:hAnsi="仿宋" w:eastAsia="仿宋" w:cs="仿宋"/>
                <w:sz w:val="24"/>
                <w:szCs w:val="24"/>
                <w:lang w:val="en-US" w:eastAsia="zh-CN"/>
              </w:rPr>
              <w:t>2.能够对福建客家音乐文化的艺术特征、音乐特色以及独特的文化</w:t>
            </w:r>
            <w:r>
              <w:rPr>
                <w:rFonts w:hint="eastAsia" w:ascii="仿宋" w:hAnsi="仿宋" w:eastAsia="仿宋" w:cs="仿宋"/>
                <w:sz w:val="24"/>
                <w:szCs w:val="24"/>
                <w:lang w:eastAsia="zh-CN"/>
              </w:rPr>
              <w:t>特征。</w:t>
            </w:r>
          </w:p>
        </w:tc>
        <w:tc>
          <w:tcPr>
            <w:tcW w:w="813" w:type="dxa"/>
            <w:gridSpan w:val="4"/>
            <w:tcBorders>
              <w:left w:val="single" w:color="000000" w:sz="4" w:space="0"/>
              <w:bottom w:val="single" w:color="auto" w:sz="4" w:space="0"/>
            </w:tcBorders>
            <w:noWrap w:val="0"/>
            <w:vAlign w:val="center"/>
          </w:tcPr>
          <w:p w14:paraId="449FB0A4">
            <w:pPr>
              <w:adjustRightInd w:val="0"/>
              <w:snapToGrid w:val="0"/>
              <w:jc w:val="center"/>
              <w:rPr>
                <w:rFonts w:hint="eastAsia" w:ascii="仿宋" w:hAnsi="仿宋" w:eastAsia="仿宋" w:cs="仿宋"/>
                <w:kern w:val="0"/>
                <w:sz w:val="24"/>
                <w:szCs w:val="24"/>
                <w:lang w:eastAsia="zh-CN"/>
              </w:rPr>
            </w:pPr>
            <w:r>
              <w:rPr>
                <w:rFonts w:hint="eastAsia" w:ascii="仿宋" w:hAnsi="仿宋" w:eastAsia="仿宋" w:cs="仿宋"/>
                <w:kern w:val="0"/>
                <w:sz w:val="24"/>
                <w:szCs w:val="24"/>
                <w:lang w:val="en-US" w:eastAsia="zh-CN"/>
              </w:rPr>
              <w:t>3</w:t>
            </w:r>
          </w:p>
        </w:tc>
        <w:tc>
          <w:tcPr>
            <w:tcW w:w="813" w:type="dxa"/>
            <w:gridSpan w:val="2"/>
            <w:tcBorders>
              <w:top w:val="single" w:color="000000" w:sz="4" w:space="0"/>
              <w:bottom w:val="single" w:color="auto" w:sz="4" w:space="0"/>
            </w:tcBorders>
            <w:noWrap w:val="0"/>
            <w:vAlign w:val="center"/>
          </w:tcPr>
          <w:p w14:paraId="45E09FF8">
            <w:pPr>
              <w:tabs>
                <w:tab w:val="left" w:pos="720"/>
              </w:tabs>
              <w:adjustRightInd w:val="0"/>
              <w:snapToGrid w:val="0"/>
              <w:jc w:val="center"/>
              <w:rPr>
                <w:rFonts w:hint="eastAsia" w:ascii="仿宋" w:hAnsi="仿宋" w:eastAsia="仿宋" w:cs="仿宋"/>
                <w:kern w:val="0"/>
                <w:sz w:val="24"/>
                <w:szCs w:val="24"/>
                <w:lang w:eastAsia="zh-CN"/>
              </w:rPr>
            </w:pPr>
            <w:r>
              <w:rPr>
                <w:rFonts w:hint="eastAsia" w:ascii="仿宋" w:hAnsi="仿宋" w:eastAsia="仿宋" w:cs="仿宋"/>
                <w:kern w:val="0"/>
                <w:sz w:val="24"/>
                <w:szCs w:val="24"/>
                <w:lang w:val="en-US" w:eastAsia="zh-CN"/>
              </w:rPr>
              <w:t>6</w:t>
            </w:r>
          </w:p>
        </w:tc>
        <w:tc>
          <w:tcPr>
            <w:tcW w:w="814" w:type="dxa"/>
            <w:tcBorders>
              <w:top w:val="single" w:color="000000" w:sz="4" w:space="0"/>
              <w:bottom w:val="single" w:color="auto" w:sz="4" w:space="0"/>
              <w:right w:val="single" w:color="000000" w:sz="4" w:space="0"/>
            </w:tcBorders>
            <w:noWrap w:val="0"/>
            <w:vAlign w:val="center"/>
          </w:tcPr>
          <w:p w14:paraId="139DAAAA">
            <w:pPr>
              <w:tabs>
                <w:tab w:val="left" w:pos="720"/>
              </w:tabs>
              <w:adjustRightInd w:val="0"/>
              <w:snapToGrid w:val="0"/>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21</w:t>
            </w:r>
          </w:p>
        </w:tc>
        <w:tc>
          <w:tcPr>
            <w:tcW w:w="589" w:type="dxa"/>
            <w:tcBorders>
              <w:top w:val="single" w:color="000000" w:sz="4" w:space="0"/>
              <w:left w:val="single" w:color="000000" w:sz="4" w:space="0"/>
              <w:bottom w:val="single" w:color="auto" w:sz="4" w:space="0"/>
            </w:tcBorders>
            <w:noWrap w:val="0"/>
            <w:vAlign w:val="center"/>
          </w:tcPr>
          <w:p w14:paraId="5854F312">
            <w:pPr>
              <w:tabs>
                <w:tab w:val="left" w:pos="720"/>
              </w:tabs>
              <w:adjustRightInd w:val="0"/>
              <w:snapToGrid w:val="0"/>
              <w:jc w:val="center"/>
              <w:rPr>
                <w:rFonts w:hint="eastAsia" w:ascii="仿宋" w:hAnsi="仿宋" w:eastAsia="仿宋" w:cs="仿宋"/>
                <w:kern w:val="0"/>
                <w:sz w:val="24"/>
                <w:szCs w:val="24"/>
                <w:lang w:eastAsia="zh-CN"/>
              </w:rPr>
            </w:pPr>
            <w:r>
              <w:rPr>
                <w:rFonts w:ascii="仿宋" w:hAnsi="仿宋" w:eastAsia="仿宋" w:cs="仿宋"/>
                <w:kern w:val="0"/>
                <w:sz w:val="24"/>
                <w:szCs w:val="24"/>
              </w:rPr>
              <w:t>0</w:t>
            </w:r>
            <w:r>
              <w:rPr>
                <w:rFonts w:hint="eastAsia" w:ascii="仿宋" w:hAnsi="仿宋" w:eastAsia="仿宋" w:cs="仿宋"/>
                <w:kern w:val="0"/>
                <w:sz w:val="24"/>
                <w:szCs w:val="24"/>
              </w:rPr>
              <w:t>.</w:t>
            </w:r>
            <w:r>
              <w:rPr>
                <w:rFonts w:ascii="仿宋" w:hAnsi="仿宋" w:eastAsia="仿宋" w:cs="仿宋"/>
                <w:kern w:val="0"/>
                <w:sz w:val="24"/>
                <w:szCs w:val="24"/>
              </w:rPr>
              <w:t>7</w:t>
            </w:r>
            <w:r>
              <w:rPr>
                <w:rFonts w:hint="eastAsia" w:ascii="仿宋" w:hAnsi="仿宋" w:eastAsia="仿宋" w:cs="仿宋"/>
                <w:kern w:val="0"/>
                <w:sz w:val="24"/>
                <w:szCs w:val="24"/>
                <w:lang w:val="en-US" w:eastAsia="zh-CN"/>
              </w:rPr>
              <w:t>5</w:t>
            </w:r>
          </w:p>
        </w:tc>
      </w:tr>
      <w:tr w14:paraId="377B8ABA">
        <w:trPr>
          <w:trHeight w:val="515" w:hRule="atLeast"/>
        </w:trPr>
        <w:tc>
          <w:tcPr>
            <w:tcW w:w="1521" w:type="dxa"/>
            <w:vMerge w:val="continue"/>
            <w:noWrap w:val="0"/>
            <w:vAlign w:val="center"/>
          </w:tcPr>
          <w:p w14:paraId="1038A3DE">
            <w:pPr>
              <w:adjustRightInd w:val="0"/>
              <w:snapToGrid w:val="0"/>
              <w:spacing w:line="240" w:lineRule="atLeast"/>
              <w:jc w:val="center"/>
              <w:rPr>
                <w:rFonts w:ascii="仿宋" w:hAnsi="仿宋" w:eastAsia="仿宋" w:cs="仿宋"/>
                <w:sz w:val="24"/>
                <w:szCs w:val="24"/>
                <w:lang w:eastAsia="zh-TW"/>
              </w:rPr>
            </w:pPr>
          </w:p>
        </w:tc>
        <w:tc>
          <w:tcPr>
            <w:tcW w:w="887" w:type="dxa"/>
            <w:tcBorders>
              <w:bottom w:val="single" w:color="auto" w:sz="4" w:space="0"/>
            </w:tcBorders>
            <w:noWrap w:val="0"/>
            <w:vAlign w:val="center"/>
          </w:tcPr>
          <w:p w14:paraId="2213BE56">
            <w:pPr>
              <w:adjustRightInd w:val="0"/>
              <w:snapToGrid w:val="0"/>
              <w:jc w:val="center"/>
              <w:rPr>
                <w:rFonts w:ascii="仿宋" w:hAnsi="仿宋" w:eastAsia="仿宋" w:cs="仿宋"/>
                <w:sz w:val="24"/>
                <w:szCs w:val="24"/>
              </w:rPr>
            </w:pPr>
            <w:r>
              <w:rPr>
                <w:rFonts w:hint="eastAsia" w:ascii="仿宋" w:hAnsi="仿宋" w:eastAsia="仿宋" w:cs="仿宋"/>
                <w:kern w:val="0"/>
                <w:sz w:val="24"/>
                <w:szCs w:val="24"/>
              </w:rPr>
              <w:t>课程目标</w:t>
            </w:r>
            <w:r>
              <w:rPr>
                <w:rFonts w:ascii="仿宋" w:hAnsi="仿宋" w:eastAsia="仿宋" w:cs="仿宋"/>
                <w:kern w:val="0"/>
                <w:sz w:val="24"/>
                <w:szCs w:val="24"/>
              </w:rPr>
              <w:t>3</w:t>
            </w:r>
            <w:r>
              <w:rPr>
                <w:rFonts w:hint="eastAsia" w:ascii="仿宋" w:hAnsi="仿宋" w:eastAsia="仿宋" w:cs="仿宋"/>
                <w:kern w:val="0"/>
                <w:sz w:val="24"/>
                <w:szCs w:val="24"/>
              </w:rPr>
              <w:t>（</w:t>
            </w:r>
            <w:r>
              <w:rPr>
                <w:rFonts w:ascii="仿宋" w:hAnsi="仿宋" w:eastAsia="仿宋" w:cs="仿宋"/>
                <w:kern w:val="0"/>
                <w:sz w:val="24"/>
                <w:szCs w:val="24"/>
              </w:rPr>
              <w:t>2</w:t>
            </w:r>
            <w:r>
              <w:rPr>
                <w:rFonts w:hint="eastAsia" w:ascii="仿宋" w:hAnsi="仿宋" w:eastAsia="仿宋" w:cs="仿宋"/>
                <w:kern w:val="0"/>
                <w:sz w:val="24"/>
                <w:szCs w:val="24"/>
              </w:rPr>
              <w:t>0%）</w:t>
            </w:r>
          </w:p>
        </w:tc>
        <w:tc>
          <w:tcPr>
            <w:tcW w:w="3711" w:type="dxa"/>
            <w:gridSpan w:val="8"/>
            <w:tcBorders>
              <w:bottom w:val="single" w:color="auto" w:sz="4" w:space="0"/>
              <w:right w:val="single" w:color="000000" w:sz="4" w:space="0"/>
            </w:tcBorders>
            <w:noWrap w:val="0"/>
            <w:vAlign w:val="center"/>
          </w:tcPr>
          <w:p w14:paraId="4F120836">
            <w:pPr>
              <w:numPr>
                <w:ilvl w:val="0"/>
                <w:numId w:val="0"/>
              </w:numPr>
              <w:adjustRightInd w:val="0"/>
              <w:snapToGrid w:val="0"/>
              <w:jc w:val="left"/>
              <w:rPr>
                <w:rFonts w:hint="eastAsia" w:ascii="仿宋" w:hAnsi="仿宋" w:eastAsia="仿宋" w:cs="仿宋"/>
                <w:sz w:val="24"/>
                <w:szCs w:val="24"/>
                <w:lang w:eastAsia="zh-CN"/>
              </w:rPr>
            </w:pPr>
            <w:r>
              <w:rPr>
                <w:rFonts w:hint="eastAsia" w:ascii="仿宋" w:hAnsi="仿宋" w:eastAsia="仿宋" w:cs="仿宋"/>
                <w:sz w:val="24"/>
                <w:szCs w:val="24"/>
                <w:lang w:val="en-US" w:eastAsia="zh-CN"/>
              </w:rPr>
              <w:t>1.</w:t>
            </w:r>
            <w:r>
              <w:rPr>
                <w:rFonts w:hint="eastAsia" w:ascii="仿宋" w:hAnsi="仿宋" w:eastAsia="仿宋" w:cs="仿宋"/>
                <w:sz w:val="24"/>
                <w:szCs w:val="24"/>
                <w:lang w:eastAsia="zh-CN"/>
              </w:rPr>
              <w:t>对</w:t>
            </w:r>
            <w:r>
              <w:rPr>
                <w:rFonts w:hint="eastAsia" w:ascii="仿宋" w:hAnsi="仿宋" w:eastAsia="仿宋" w:cs="仿宋"/>
                <w:sz w:val="24"/>
                <w:szCs w:val="24"/>
                <w:lang w:val="en-US" w:eastAsia="zh-CN"/>
              </w:rPr>
              <w:t>福建客家音乐文化</w:t>
            </w:r>
            <w:r>
              <w:rPr>
                <w:rFonts w:hint="eastAsia" w:ascii="仿宋" w:hAnsi="仿宋" w:eastAsia="仿宋" w:cs="仿宋"/>
                <w:sz w:val="24"/>
                <w:szCs w:val="24"/>
                <w:lang w:eastAsia="zh-CN"/>
              </w:rPr>
              <w:t>等</w:t>
            </w:r>
            <w:r>
              <w:rPr>
                <w:rFonts w:hint="eastAsia" w:ascii="仿宋" w:hAnsi="仿宋" w:eastAsia="仿宋" w:cs="仿宋"/>
                <w:sz w:val="24"/>
                <w:szCs w:val="24"/>
                <w:lang w:val="en-US" w:eastAsia="zh-CN"/>
              </w:rPr>
              <w:t>形态特征</w:t>
            </w:r>
            <w:r>
              <w:rPr>
                <w:rFonts w:hint="eastAsia" w:ascii="仿宋" w:hAnsi="仿宋" w:eastAsia="仿宋" w:cs="仿宋"/>
                <w:sz w:val="24"/>
                <w:szCs w:val="24"/>
                <w:lang w:eastAsia="zh-CN"/>
              </w:rPr>
              <w:t>具备一定的探究能力；</w:t>
            </w:r>
          </w:p>
          <w:p w14:paraId="295BA935">
            <w:pPr>
              <w:numPr>
                <w:ilvl w:val="0"/>
                <w:numId w:val="0"/>
              </w:numPr>
              <w:adjustRightInd w:val="0"/>
              <w:snapToGrid w:val="0"/>
              <w:jc w:val="left"/>
              <w:rPr>
                <w:rStyle w:val="256"/>
                <w:rFonts w:ascii="仿宋" w:hAnsi="仿宋" w:eastAsia="仿宋"/>
                <w:sz w:val="24"/>
                <w:szCs w:val="24"/>
              </w:rPr>
            </w:pPr>
            <w:r>
              <w:rPr>
                <w:rFonts w:hint="eastAsia" w:ascii="仿宋" w:hAnsi="仿宋" w:eastAsia="仿宋" w:cs="仿宋"/>
                <w:sz w:val="24"/>
                <w:szCs w:val="24"/>
                <w:lang w:val="en-US" w:eastAsia="zh-CN"/>
              </w:rPr>
              <w:t>2.</w:t>
            </w:r>
            <w:r>
              <w:rPr>
                <w:rFonts w:hint="eastAsia" w:ascii="仿宋" w:hAnsi="仿宋" w:eastAsia="仿宋" w:cs="仿宋"/>
                <w:sz w:val="24"/>
                <w:szCs w:val="24"/>
                <w:lang w:eastAsia="zh-CN"/>
              </w:rPr>
              <w:t>通过独立思考判断和自主分析解决音乐学教学中所存在的问题的能力</w:t>
            </w:r>
            <w:r>
              <w:rPr>
                <w:rFonts w:hint="eastAsia" w:ascii="仿宋" w:hAnsi="仿宋" w:eastAsia="仿宋" w:cs="仿宋"/>
                <w:sz w:val="24"/>
                <w:szCs w:val="24"/>
              </w:rPr>
              <w:t>。</w:t>
            </w:r>
          </w:p>
        </w:tc>
        <w:tc>
          <w:tcPr>
            <w:tcW w:w="813" w:type="dxa"/>
            <w:gridSpan w:val="4"/>
            <w:tcBorders>
              <w:left w:val="single" w:color="000000" w:sz="4" w:space="0"/>
              <w:bottom w:val="single" w:color="auto" w:sz="4" w:space="0"/>
            </w:tcBorders>
            <w:noWrap w:val="0"/>
            <w:vAlign w:val="center"/>
          </w:tcPr>
          <w:p w14:paraId="393A0254">
            <w:pPr>
              <w:adjustRightInd w:val="0"/>
              <w:snapToGrid w:val="0"/>
              <w:jc w:val="center"/>
              <w:rPr>
                <w:rFonts w:hint="eastAsia" w:ascii="仿宋" w:hAnsi="仿宋" w:eastAsia="仿宋" w:cs="仿宋"/>
                <w:kern w:val="0"/>
                <w:sz w:val="24"/>
                <w:szCs w:val="24"/>
                <w:lang w:eastAsia="zh-CN"/>
              </w:rPr>
            </w:pPr>
            <w:r>
              <w:rPr>
                <w:rFonts w:hint="eastAsia" w:ascii="仿宋" w:hAnsi="仿宋" w:eastAsia="仿宋" w:cs="仿宋"/>
                <w:kern w:val="0"/>
                <w:sz w:val="24"/>
                <w:szCs w:val="24"/>
                <w:lang w:val="en-US" w:eastAsia="zh-CN"/>
              </w:rPr>
              <w:t>2</w:t>
            </w:r>
          </w:p>
        </w:tc>
        <w:tc>
          <w:tcPr>
            <w:tcW w:w="813" w:type="dxa"/>
            <w:gridSpan w:val="2"/>
            <w:tcBorders>
              <w:top w:val="single" w:color="000000" w:sz="4" w:space="0"/>
              <w:bottom w:val="single" w:color="auto" w:sz="4" w:space="0"/>
            </w:tcBorders>
            <w:noWrap w:val="0"/>
            <w:vAlign w:val="center"/>
          </w:tcPr>
          <w:p w14:paraId="33747AAD">
            <w:pPr>
              <w:tabs>
                <w:tab w:val="left" w:pos="720"/>
              </w:tabs>
              <w:adjustRightInd w:val="0"/>
              <w:snapToGrid w:val="0"/>
              <w:jc w:val="center"/>
              <w:rPr>
                <w:rFonts w:hint="eastAsia" w:ascii="仿宋" w:hAnsi="仿宋" w:eastAsia="仿宋" w:cs="仿宋"/>
                <w:kern w:val="0"/>
                <w:sz w:val="24"/>
                <w:szCs w:val="24"/>
                <w:lang w:eastAsia="zh-CN"/>
              </w:rPr>
            </w:pPr>
            <w:r>
              <w:rPr>
                <w:rFonts w:hint="eastAsia" w:ascii="仿宋" w:hAnsi="仿宋" w:eastAsia="仿宋" w:cs="仿宋"/>
                <w:kern w:val="0"/>
                <w:sz w:val="24"/>
                <w:szCs w:val="24"/>
                <w:lang w:val="en-US" w:eastAsia="zh-CN"/>
              </w:rPr>
              <w:t>4</w:t>
            </w:r>
          </w:p>
        </w:tc>
        <w:tc>
          <w:tcPr>
            <w:tcW w:w="814" w:type="dxa"/>
            <w:tcBorders>
              <w:top w:val="single" w:color="000000" w:sz="4" w:space="0"/>
              <w:bottom w:val="single" w:color="auto" w:sz="4" w:space="0"/>
              <w:right w:val="single" w:color="000000" w:sz="4" w:space="0"/>
            </w:tcBorders>
            <w:noWrap w:val="0"/>
            <w:vAlign w:val="center"/>
          </w:tcPr>
          <w:p w14:paraId="6157B0A0">
            <w:pPr>
              <w:tabs>
                <w:tab w:val="left" w:pos="720"/>
              </w:tabs>
              <w:adjustRightInd w:val="0"/>
              <w:snapToGrid w:val="0"/>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14</w:t>
            </w:r>
          </w:p>
        </w:tc>
        <w:tc>
          <w:tcPr>
            <w:tcW w:w="589" w:type="dxa"/>
            <w:tcBorders>
              <w:top w:val="single" w:color="000000" w:sz="4" w:space="0"/>
              <w:left w:val="single" w:color="000000" w:sz="4" w:space="0"/>
              <w:bottom w:val="single" w:color="auto" w:sz="4" w:space="0"/>
            </w:tcBorders>
            <w:noWrap w:val="0"/>
            <w:vAlign w:val="center"/>
          </w:tcPr>
          <w:p w14:paraId="41C68E3B">
            <w:pPr>
              <w:tabs>
                <w:tab w:val="left" w:pos="720"/>
              </w:tabs>
              <w:adjustRightInd w:val="0"/>
              <w:snapToGrid w:val="0"/>
              <w:jc w:val="center"/>
              <w:rPr>
                <w:rFonts w:hint="eastAsia" w:ascii="仿宋" w:hAnsi="仿宋" w:eastAsia="仿宋" w:cs="仿宋"/>
                <w:kern w:val="0"/>
                <w:sz w:val="24"/>
                <w:szCs w:val="24"/>
                <w:lang w:eastAsia="zh-CN"/>
              </w:rPr>
            </w:pPr>
            <w:r>
              <w:rPr>
                <w:rFonts w:ascii="仿宋" w:hAnsi="仿宋" w:eastAsia="仿宋" w:cs="仿宋"/>
                <w:kern w:val="0"/>
                <w:sz w:val="24"/>
                <w:szCs w:val="24"/>
              </w:rPr>
              <w:t>0</w:t>
            </w:r>
            <w:r>
              <w:rPr>
                <w:rFonts w:hint="eastAsia" w:ascii="仿宋" w:hAnsi="仿宋" w:eastAsia="仿宋" w:cs="仿宋"/>
                <w:kern w:val="0"/>
                <w:sz w:val="24"/>
                <w:szCs w:val="24"/>
              </w:rPr>
              <w:t>.</w:t>
            </w:r>
            <w:r>
              <w:rPr>
                <w:rFonts w:ascii="仿宋" w:hAnsi="仿宋" w:eastAsia="仿宋" w:cs="仿宋"/>
                <w:kern w:val="0"/>
                <w:sz w:val="24"/>
                <w:szCs w:val="24"/>
              </w:rPr>
              <w:t>7</w:t>
            </w:r>
            <w:r>
              <w:rPr>
                <w:rFonts w:hint="eastAsia" w:ascii="仿宋" w:hAnsi="仿宋" w:eastAsia="仿宋" w:cs="仿宋"/>
                <w:kern w:val="0"/>
                <w:sz w:val="24"/>
                <w:szCs w:val="24"/>
                <w:lang w:val="en-US" w:eastAsia="zh-CN"/>
              </w:rPr>
              <w:t>5</w:t>
            </w:r>
          </w:p>
        </w:tc>
      </w:tr>
      <w:tr w14:paraId="2046C6A4">
        <w:trPr>
          <w:trHeight w:val="515" w:hRule="atLeast"/>
        </w:trPr>
        <w:tc>
          <w:tcPr>
            <w:tcW w:w="1521" w:type="dxa"/>
            <w:vMerge w:val="continue"/>
            <w:noWrap w:val="0"/>
            <w:vAlign w:val="center"/>
          </w:tcPr>
          <w:p w14:paraId="2E0D7B64">
            <w:pPr>
              <w:adjustRightInd w:val="0"/>
              <w:snapToGrid w:val="0"/>
              <w:spacing w:line="240" w:lineRule="atLeast"/>
              <w:jc w:val="center"/>
              <w:rPr>
                <w:rFonts w:ascii="仿宋" w:hAnsi="仿宋" w:eastAsia="仿宋" w:cs="仿宋"/>
                <w:sz w:val="24"/>
                <w:szCs w:val="24"/>
                <w:lang w:eastAsia="zh-TW"/>
              </w:rPr>
            </w:pPr>
          </w:p>
        </w:tc>
        <w:tc>
          <w:tcPr>
            <w:tcW w:w="4598" w:type="dxa"/>
            <w:gridSpan w:val="9"/>
            <w:tcBorders>
              <w:bottom w:val="single" w:color="auto" w:sz="4" w:space="0"/>
              <w:right w:val="single" w:color="000000" w:sz="4" w:space="0"/>
            </w:tcBorders>
            <w:noWrap w:val="0"/>
            <w:vAlign w:val="center"/>
          </w:tcPr>
          <w:p w14:paraId="262F17C9">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总分</w:t>
            </w:r>
          </w:p>
        </w:tc>
        <w:tc>
          <w:tcPr>
            <w:tcW w:w="813" w:type="dxa"/>
            <w:gridSpan w:val="4"/>
            <w:tcBorders>
              <w:left w:val="single" w:color="000000" w:sz="4" w:space="0"/>
              <w:bottom w:val="single" w:color="auto" w:sz="4" w:space="0"/>
            </w:tcBorders>
            <w:noWrap w:val="0"/>
            <w:vAlign w:val="center"/>
          </w:tcPr>
          <w:p w14:paraId="6E563BEC">
            <w:pPr>
              <w:adjustRightInd w:val="0"/>
              <w:snapToGrid w:val="0"/>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10</w:t>
            </w:r>
          </w:p>
        </w:tc>
        <w:tc>
          <w:tcPr>
            <w:tcW w:w="813" w:type="dxa"/>
            <w:gridSpan w:val="2"/>
            <w:tcBorders>
              <w:top w:val="single" w:color="000000" w:sz="4" w:space="0"/>
              <w:bottom w:val="single" w:color="auto" w:sz="4" w:space="0"/>
            </w:tcBorders>
            <w:noWrap w:val="0"/>
            <w:vAlign w:val="center"/>
          </w:tcPr>
          <w:p w14:paraId="6786A274">
            <w:pPr>
              <w:tabs>
                <w:tab w:val="left" w:pos="720"/>
              </w:tabs>
              <w:adjustRightInd w:val="0"/>
              <w:snapToGrid w:val="0"/>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20</w:t>
            </w:r>
          </w:p>
        </w:tc>
        <w:tc>
          <w:tcPr>
            <w:tcW w:w="814" w:type="dxa"/>
            <w:tcBorders>
              <w:top w:val="single" w:color="000000" w:sz="4" w:space="0"/>
              <w:bottom w:val="single" w:color="auto" w:sz="4" w:space="0"/>
              <w:right w:val="single" w:color="000000" w:sz="4" w:space="0"/>
            </w:tcBorders>
            <w:noWrap w:val="0"/>
            <w:vAlign w:val="center"/>
          </w:tcPr>
          <w:p w14:paraId="3D35B998">
            <w:pPr>
              <w:tabs>
                <w:tab w:val="left" w:pos="720"/>
              </w:tabs>
              <w:adjustRightInd w:val="0"/>
              <w:snapToGrid w:val="0"/>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70</w:t>
            </w:r>
          </w:p>
        </w:tc>
        <w:tc>
          <w:tcPr>
            <w:tcW w:w="589" w:type="dxa"/>
            <w:tcBorders>
              <w:top w:val="single" w:color="000000" w:sz="4" w:space="0"/>
              <w:left w:val="single" w:color="000000" w:sz="4" w:space="0"/>
              <w:bottom w:val="single" w:color="auto" w:sz="4" w:space="0"/>
            </w:tcBorders>
            <w:noWrap w:val="0"/>
            <w:vAlign w:val="center"/>
          </w:tcPr>
          <w:p w14:paraId="5CFD2F9C">
            <w:pPr>
              <w:tabs>
                <w:tab w:val="left" w:pos="720"/>
              </w:tabs>
              <w:adjustRightInd w:val="0"/>
              <w:snapToGrid w:val="0"/>
              <w:jc w:val="center"/>
              <w:rPr>
                <w:rFonts w:ascii="仿宋" w:hAnsi="仿宋" w:eastAsia="仿宋" w:cs="仿宋"/>
                <w:kern w:val="0"/>
                <w:sz w:val="24"/>
                <w:szCs w:val="24"/>
              </w:rPr>
            </w:pPr>
            <w:r>
              <w:rPr>
                <w:rFonts w:ascii="仿宋" w:hAnsi="仿宋" w:eastAsia="仿宋" w:cs="仿宋"/>
                <w:kern w:val="0"/>
                <w:sz w:val="24"/>
                <w:szCs w:val="24"/>
              </w:rPr>
              <w:t>100</w:t>
            </w:r>
          </w:p>
        </w:tc>
      </w:tr>
      <w:tr w14:paraId="24074227">
        <w:tc>
          <w:tcPr>
            <w:tcW w:w="1521" w:type="dxa"/>
            <w:noWrap w:val="0"/>
            <w:vAlign w:val="center"/>
          </w:tcPr>
          <w:p w14:paraId="1AAC3D84">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L</w:t>
            </w:r>
          </w:p>
          <w:p w14:paraId="64DDD09D">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学习建议</w:t>
            </w:r>
          </w:p>
        </w:tc>
        <w:tc>
          <w:tcPr>
            <w:tcW w:w="7627" w:type="dxa"/>
            <w:gridSpan w:val="17"/>
            <w:tcBorders>
              <w:bottom w:val="single" w:color="auto" w:sz="4" w:space="0"/>
            </w:tcBorders>
            <w:noWrap w:val="0"/>
            <w:vAlign w:val="center"/>
          </w:tcPr>
          <w:p w14:paraId="493E5375">
            <w:pPr>
              <w:adjustRightInd w:val="0"/>
              <w:snapToGrid w:val="0"/>
              <w:rPr>
                <w:rFonts w:ascii="仿宋" w:hAnsi="仿宋" w:eastAsia="仿宋" w:cs="仿宋"/>
                <w:bCs/>
                <w:sz w:val="24"/>
                <w:szCs w:val="24"/>
              </w:rPr>
            </w:pPr>
            <w:r>
              <w:rPr>
                <w:rFonts w:hint="eastAsia" w:ascii="仿宋" w:hAnsi="仿宋" w:eastAsia="仿宋" w:cs="仿宋"/>
                <w:bCs/>
                <w:sz w:val="24"/>
                <w:szCs w:val="24"/>
              </w:rPr>
              <w:t>1.自主学习。建议学生通过网络资源，规划自己的课程学习计划，充分发挥自身的学习能动性。</w:t>
            </w:r>
          </w:p>
          <w:p w14:paraId="799DEF2C">
            <w:pPr>
              <w:adjustRightInd w:val="0"/>
              <w:snapToGrid w:val="0"/>
              <w:rPr>
                <w:rFonts w:ascii="仿宋" w:hAnsi="仿宋" w:eastAsia="仿宋" w:cs="仿宋"/>
                <w:kern w:val="0"/>
                <w:sz w:val="24"/>
                <w:szCs w:val="24"/>
              </w:rPr>
            </w:pPr>
            <w:r>
              <w:rPr>
                <w:rFonts w:hint="eastAsia" w:ascii="仿宋" w:hAnsi="仿宋" w:eastAsia="仿宋" w:cs="仿宋"/>
                <w:bCs/>
                <w:sz w:val="24"/>
                <w:szCs w:val="24"/>
              </w:rPr>
              <w:t>2.研究性学习。鼓励学生针对课程教学内容，尝试理论课结合实践的教学方式，提高学生的学习兴趣，了解国内外最新形体训练知识，开阔学生的视野。</w:t>
            </w:r>
          </w:p>
        </w:tc>
      </w:tr>
      <w:tr w14:paraId="116AFB85">
        <w:trPr>
          <w:trHeight w:val="454" w:hRule="atLeast"/>
        </w:trPr>
        <w:tc>
          <w:tcPr>
            <w:tcW w:w="1521" w:type="dxa"/>
            <w:noWrap w:val="0"/>
            <w:vAlign w:val="center"/>
          </w:tcPr>
          <w:p w14:paraId="7E2A0547">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M</w:t>
            </w:r>
          </w:p>
          <w:p w14:paraId="5926CE7A">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评分量表</w:t>
            </w:r>
          </w:p>
        </w:tc>
        <w:tc>
          <w:tcPr>
            <w:tcW w:w="7627" w:type="dxa"/>
            <w:gridSpan w:val="17"/>
            <w:noWrap w:val="0"/>
            <w:vAlign w:val="center"/>
          </w:tcPr>
          <w:p w14:paraId="65854D39">
            <w:pPr>
              <w:tabs>
                <w:tab w:val="left" w:pos="720"/>
              </w:tabs>
              <w:adjustRightInd w:val="0"/>
              <w:snapToGrid w:val="0"/>
              <w:rPr>
                <w:rFonts w:ascii="仿宋" w:hAnsi="仿宋" w:eastAsia="仿宋" w:cs="仿宋"/>
                <w:kern w:val="0"/>
                <w:sz w:val="24"/>
                <w:szCs w:val="24"/>
              </w:rPr>
            </w:pPr>
            <w:r>
              <w:rPr>
                <w:rFonts w:hint="eastAsia" w:ascii="仿宋" w:hAnsi="仿宋" w:eastAsia="仿宋" w:cs="仿宋"/>
                <w:kern w:val="0"/>
                <w:sz w:val="24"/>
                <w:szCs w:val="24"/>
              </w:rPr>
              <w:t>《福建客家音乐》课程目标评分量表见附表。</w:t>
            </w:r>
          </w:p>
        </w:tc>
      </w:tr>
      <w:tr w14:paraId="17754ABB">
        <w:trPr>
          <w:trHeight w:val="454" w:hRule="atLeast"/>
        </w:trPr>
        <w:tc>
          <w:tcPr>
            <w:tcW w:w="1521" w:type="dxa"/>
            <w:noWrap w:val="0"/>
            <w:vAlign w:val="center"/>
          </w:tcPr>
          <w:p w14:paraId="7BAE1E1C">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备注</w:t>
            </w:r>
          </w:p>
        </w:tc>
        <w:tc>
          <w:tcPr>
            <w:tcW w:w="7627" w:type="dxa"/>
            <w:gridSpan w:val="17"/>
            <w:noWrap w:val="0"/>
            <w:vAlign w:val="center"/>
          </w:tcPr>
          <w:p w14:paraId="013DF5D1">
            <w:pPr>
              <w:adjustRightInd w:val="0"/>
              <w:snapToGrid w:val="0"/>
              <w:rPr>
                <w:rFonts w:ascii="仿宋" w:hAnsi="仿宋" w:eastAsia="仿宋" w:cs="仿宋"/>
                <w:sz w:val="24"/>
                <w:szCs w:val="24"/>
              </w:rPr>
            </w:pPr>
            <w:r>
              <w:rPr>
                <w:rFonts w:hint="eastAsia" w:ascii="仿宋" w:hAnsi="仿宋" w:eastAsia="仿宋" w:cs="仿宋"/>
                <w:sz w:val="24"/>
                <w:szCs w:val="24"/>
              </w:rPr>
              <w:t>课程大纲A—M项由开课学院审批通过，任课教师不能自行更改。</w:t>
            </w:r>
          </w:p>
        </w:tc>
      </w:tr>
      <w:tr w14:paraId="6D4B04C4">
        <w:trPr>
          <w:trHeight w:val="2268" w:hRule="atLeast"/>
        </w:trPr>
        <w:tc>
          <w:tcPr>
            <w:tcW w:w="1521" w:type="dxa"/>
            <w:noWrap w:val="0"/>
            <w:vAlign w:val="center"/>
          </w:tcPr>
          <w:p w14:paraId="2088F48E">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审批</w:t>
            </w:r>
          </w:p>
          <w:p w14:paraId="031F7D81">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意见</w:t>
            </w:r>
          </w:p>
        </w:tc>
        <w:tc>
          <w:tcPr>
            <w:tcW w:w="3724" w:type="dxa"/>
            <w:gridSpan w:val="8"/>
            <w:noWrap w:val="0"/>
            <w:vAlign w:val="center"/>
          </w:tcPr>
          <w:p w14:paraId="75792EFE">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课程教学大纲修订负责人及教学团队成员</w:t>
            </w:r>
            <w:r>
              <w:rPr>
                <w:rFonts w:hint="eastAsia" w:ascii="仿宋" w:hAnsi="仿宋" w:eastAsia="仿宋" w:cs="仿宋"/>
                <w:sz w:val="24"/>
                <w:szCs w:val="24"/>
              </w:rPr>
              <w:t>签名</w:t>
            </w:r>
            <w:r>
              <w:rPr>
                <w:rFonts w:hint="eastAsia" w:ascii="仿宋" w:hAnsi="仿宋" w:eastAsia="仿宋" w:cs="仿宋"/>
                <w:kern w:val="0"/>
                <w:sz w:val="24"/>
                <w:szCs w:val="24"/>
              </w:rPr>
              <w:t xml:space="preserve">： </w:t>
            </w:r>
          </w:p>
          <w:p w14:paraId="03BADAB2">
            <w:pPr>
              <w:widowControl/>
              <w:adjustRightInd w:val="0"/>
              <w:snapToGrid w:val="0"/>
              <w:jc w:val="left"/>
              <w:rPr>
                <w:rFonts w:ascii="仿宋" w:hAnsi="仿宋" w:eastAsia="仿宋" w:cs="仿宋"/>
                <w:kern w:val="0"/>
                <w:sz w:val="24"/>
                <w:szCs w:val="24"/>
              </w:rPr>
            </w:pPr>
            <w:r>
              <w:rPr>
                <w:rFonts w:hint="eastAsia" w:ascii="仿宋" w:hAnsi="仿宋" w:eastAsia="仿宋" w:cs="仿宋"/>
                <w:kern w:val="0"/>
                <w:sz w:val="24"/>
                <w:szCs w:val="24"/>
                <w:lang w:val="en-US" w:eastAsia="zh-CN"/>
              </w:rPr>
              <w:t xml:space="preserve">     </w:t>
            </w:r>
            <w:r>
              <w:rPr>
                <w:rFonts w:hint="eastAsia" w:ascii="仿宋" w:hAnsi="仿宋" w:eastAsia="仿宋"/>
                <w:szCs w:val="21"/>
              </w:rPr>
              <w:drawing>
                <wp:inline distT="0" distB="0" distL="114300" distR="114300">
                  <wp:extent cx="701675" cy="361950"/>
                  <wp:effectExtent l="0" t="0" r="9525" b="19050"/>
                  <wp:docPr id="30" name="图片 1" descr="WechatIMG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 descr="WechatIMG63"/>
                          <pic:cNvPicPr>
                            <a:picLocks noChangeAspect="1"/>
                          </pic:cNvPicPr>
                        </pic:nvPicPr>
                        <pic:blipFill>
                          <a:blip r:embed="rId162"/>
                          <a:stretch>
                            <a:fillRect/>
                          </a:stretch>
                        </pic:blipFill>
                        <pic:spPr>
                          <a:xfrm>
                            <a:off x="0" y="0"/>
                            <a:ext cx="701675" cy="361950"/>
                          </a:xfrm>
                          <a:prstGeom prst="rect">
                            <a:avLst/>
                          </a:prstGeom>
                          <a:noFill/>
                          <a:ln>
                            <a:noFill/>
                          </a:ln>
                        </pic:spPr>
                      </pic:pic>
                    </a:graphicData>
                  </a:graphic>
                </wp:inline>
              </w:drawing>
            </w:r>
            <w:r>
              <w:rPr>
                <w:rFonts w:hint="eastAsia" w:ascii="仿宋" w:hAnsi="仿宋" w:eastAsia="仿宋" w:cs="仿宋"/>
                <w:kern w:val="0"/>
                <w:sz w:val="24"/>
                <w:szCs w:val="24"/>
              </w:rPr>
              <w:t xml:space="preserve">  </w:t>
            </w:r>
          </w:p>
          <w:p w14:paraId="0552151E">
            <w:pPr>
              <w:widowControl/>
              <w:adjustRightInd w:val="0"/>
              <w:snapToGrid w:val="0"/>
              <w:jc w:val="right"/>
              <w:rPr>
                <w:rFonts w:hint="eastAsia" w:ascii="仿宋" w:hAnsi="仿宋" w:eastAsia="仿宋" w:cs="仿宋"/>
                <w:kern w:val="0"/>
                <w:sz w:val="24"/>
                <w:szCs w:val="24"/>
              </w:rPr>
            </w:pPr>
          </w:p>
          <w:p w14:paraId="05B30B69">
            <w:pPr>
              <w:widowControl/>
              <w:adjustRightInd w:val="0"/>
              <w:snapToGrid w:val="0"/>
              <w:jc w:val="right"/>
              <w:rPr>
                <w:rFonts w:ascii="仿宋" w:hAnsi="仿宋" w:eastAsia="仿宋" w:cs="仿宋"/>
                <w:kern w:val="0"/>
                <w:sz w:val="24"/>
                <w:szCs w:val="24"/>
              </w:rPr>
            </w:pPr>
            <w:r>
              <w:rPr>
                <w:rFonts w:hint="eastAsia" w:ascii="仿宋" w:hAnsi="仿宋" w:eastAsia="仿宋" w:cs="仿宋"/>
                <w:kern w:val="0"/>
                <w:sz w:val="24"/>
                <w:szCs w:val="24"/>
              </w:rPr>
              <w:t xml:space="preserve">                                              </w:t>
            </w:r>
            <w:r>
              <w:rPr>
                <w:rFonts w:hint="eastAsia" w:ascii="仿宋" w:hAnsi="仿宋" w:eastAsia="仿宋" w:cs="仿宋"/>
                <w:kern w:val="0"/>
                <w:sz w:val="24"/>
                <w:szCs w:val="24"/>
                <w:lang w:val="en-US" w:eastAsia="zh-CN"/>
              </w:rPr>
              <w:t>2024</w:t>
            </w:r>
            <w:r>
              <w:rPr>
                <w:rFonts w:hint="eastAsia" w:ascii="仿宋" w:hAnsi="仿宋" w:eastAsia="仿宋" w:cs="仿宋"/>
                <w:kern w:val="0"/>
                <w:sz w:val="24"/>
                <w:szCs w:val="24"/>
              </w:rPr>
              <w:t xml:space="preserve">年 </w:t>
            </w:r>
            <w:r>
              <w:rPr>
                <w:rFonts w:hint="eastAsia" w:ascii="仿宋" w:hAnsi="仿宋" w:eastAsia="仿宋" w:cs="仿宋"/>
                <w:kern w:val="0"/>
                <w:sz w:val="24"/>
                <w:szCs w:val="24"/>
                <w:lang w:val="en-US" w:eastAsia="zh-CN"/>
              </w:rPr>
              <w:t>7</w:t>
            </w:r>
            <w:r>
              <w:rPr>
                <w:rFonts w:hint="eastAsia" w:ascii="仿宋" w:hAnsi="仿宋" w:eastAsia="仿宋" w:cs="仿宋"/>
                <w:kern w:val="0"/>
                <w:sz w:val="24"/>
                <w:szCs w:val="24"/>
              </w:rPr>
              <w:t xml:space="preserve">月 </w:t>
            </w:r>
            <w:r>
              <w:rPr>
                <w:rFonts w:hint="eastAsia" w:ascii="仿宋" w:hAnsi="仿宋" w:eastAsia="仿宋" w:cs="仿宋"/>
                <w:kern w:val="0"/>
                <w:sz w:val="24"/>
                <w:szCs w:val="24"/>
                <w:lang w:val="en-US" w:eastAsia="zh-CN"/>
              </w:rPr>
              <w:t>5</w:t>
            </w:r>
            <w:r>
              <w:rPr>
                <w:rFonts w:hint="eastAsia" w:ascii="仿宋" w:hAnsi="仿宋" w:eastAsia="仿宋" w:cs="仿宋"/>
                <w:kern w:val="0"/>
                <w:sz w:val="24"/>
                <w:szCs w:val="24"/>
              </w:rPr>
              <w:t xml:space="preserve">日 </w:t>
            </w:r>
          </w:p>
          <w:p w14:paraId="02FFB2CF">
            <w:pPr>
              <w:widowControl/>
              <w:adjustRightInd w:val="0"/>
              <w:snapToGrid w:val="0"/>
              <w:jc w:val="right"/>
              <w:rPr>
                <w:rFonts w:ascii="仿宋" w:hAnsi="仿宋" w:eastAsia="仿宋" w:cs="仿宋"/>
                <w:kern w:val="0"/>
                <w:sz w:val="24"/>
                <w:szCs w:val="24"/>
              </w:rPr>
            </w:pPr>
          </w:p>
        </w:tc>
        <w:tc>
          <w:tcPr>
            <w:tcW w:w="3903" w:type="dxa"/>
            <w:gridSpan w:val="9"/>
            <w:noWrap w:val="0"/>
            <w:vAlign w:val="center"/>
          </w:tcPr>
          <w:p w14:paraId="0EE0B187">
            <w:pPr>
              <w:widowControl/>
              <w:adjustRightInd w:val="0"/>
              <w:snapToGrid w:val="0"/>
              <w:jc w:val="left"/>
              <w:rPr>
                <w:rFonts w:hint="eastAsia" w:ascii="仿宋" w:hAnsi="仿宋" w:eastAsia="仿宋" w:cs="仿宋"/>
                <w:kern w:val="0"/>
                <w:sz w:val="24"/>
                <w:szCs w:val="24"/>
                <w:lang w:val="en-US" w:eastAsia="zh-CN"/>
              </w:rPr>
            </w:pPr>
            <w:r>
              <w:rPr>
                <w:rFonts w:hint="eastAsia" w:ascii="仿宋" w:hAnsi="仿宋" w:eastAsia="仿宋" w:cs="仿宋"/>
                <w:kern w:val="0"/>
                <w:sz w:val="24"/>
                <w:szCs w:val="24"/>
              </w:rPr>
              <w:t>系主任审核意见：</w:t>
            </w:r>
            <w:r>
              <w:rPr>
                <w:rFonts w:hint="eastAsia" w:ascii="仿宋" w:hAnsi="仿宋" w:eastAsia="仿宋" w:cs="仿宋"/>
                <w:kern w:val="0"/>
                <w:sz w:val="24"/>
                <w:szCs w:val="24"/>
                <w:lang w:val="en-US" w:eastAsia="zh-CN"/>
              </w:rPr>
              <w:t>同意</w:t>
            </w:r>
          </w:p>
          <w:p w14:paraId="22BB46D9">
            <w:pPr>
              <w:widowControl/>
              <w:adjustRightInd w:val="0"/>
              <w:snapToGrid w:val="0"/>
              <w:jc w:val="left"/>
              <w:rPr>
                <w:rFonts w:ascii="仿宋" w:hAnsi="仿宋" w:eastAsia="仿宋" w:cs="仿宋"/>
                <w:kern w:val="0"/>
                <w:sz w:val="24"/>
                <w:szCs w:val="24"/>
              </w:rPr>
            </w:pPr>
          </w:p>
          <w:p w14:paraId="55A36390">
            <w:pPr>
              <w:widowControl/>
              <w:adjustRightInd w:val="0"/>
              <w:snapToGrid w:val="0"/>
              <w:jc w:val="left"/>
              <w:rPr>
                <w:rFonts w:ascii="仿宋" w:hAnsi="仿宋" w:eastAsia="仿宋" w:cs="仿宋"/>
                <w:kern w:val="0"/>
                <w:sz w:val="24"/>
                <w:szCs w:val="24"/>
              </w:rPr>
            </w:pPr>
          </w:p>
          <w:p w14:paraId="2623CC14">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系主任签名：</w:t>
            </w:r>
          </w:p>
          <w:p w14:paraId="08CF5819">
            <w:pPr>
              <w:widowControl/>
              <w:adjustRightInd w:val="0"/>
              <w:snapToGrid w:val="0"/>
              <w:jc w:val="left"/>
              <w:rPr>
                <w:rFonts w:ascii="仿宋" w:hAnsi="仿宋" w:eastAsia="仿宋" w:cs="仿宋"/>
                <w:kern w:val="0"/>
                <w:sz w:val="24"/>
                <w:szCs w:val="24"/>
              </w:rPr>
            </w:pPr>
            <w:r>
              <w:rPr>
                <w:rFonts w:hint="eastAsia" w:ascii="仿宋" w:hAnsi="仿宋" w:eastAsia="仿宋" w:cs="仿宋"/>
                <w:kern w:val="0"/>
                <w:sz w:val="24"/>
                <w:szCs w:val="24"/>
                <w:lang w:val="en-US" w:eastAsia="zh-CN"/>
              </w:rPr>
              <w:t xml:space="preserve">      </w:t>
            </w:r>
            <w:r>
              <w:rPr>
                <w:rFonts w:hint="eastAsia" w:ascii="仿宋" w:hAnsi="仿宋" w:eastAsia="仿宋"/>
                <w:szCs w:val="21"/>
              </w:rPr>
              <w:drawing>
                <wp:inline distT="0" distB="0" distL="114300" distR="114300">
                  <wp:extent cx="701675" cy="361950"/>
                  <wp:effectExtent l="0" t="0" r="9525" b="19050"/>
                  <wp:docPr id="31" name="图片 2" descr="WechatIMG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2" descr="WechatIMG63"/>
                          <pic:cNvPicPr>
                            <a:picLocks noChangeAspect="1"/>
                          </pic:cNvPicPr>
                        </pic:nvPicPr>
                        <pic:blipFill>
                          <a:blip r:embed="rId162"/>
                          <a:stretch>
                            <a:fillRect/>
                          </a:stretch>
                        </pic:blipFill>
                        <pic:spPr>
                          <a:xfrm>
                            <a:off x="0" y="0"/>
                            <a:ext cx="701675" cy="361950"/>
                          </a:xfrm>
                          <a:prstGeom prst="rect">
                            <a:avLst/>
                          </a:prstGeom>
                          <a:noFill/>
                          <a:ln>
                            <a:noFill/>
                          </a:ln>
                        </pic:spPr>
                      </pic:pic>
                    </a:graphicData>
                  </a:graphic>
                </wp:inline>
              </w:drawing>
            </w:r>
          </w:p>
          <w:p w14:paraId="0876818D">
            <w:pPr>
              <w:widowControl/>
              <w:adjustRightInd w:val="0"/>
              <w:snapToGrid w:val="0"/>
              <w:ind w:firstLine="1920" w:firstLineChars="800"/>
              <w:rPr>
                <w:rFonts w:ascii="仿宋" w:hAnsi="仿宋" w:eastAsia="仿宋" w:cs="仿宋"/>
                <w:kern w:val="0"/>
                <w:sz w:val="24"/>
                <w:szCs w:val="24"/>
              </w:rPr>
            </w:pPr>
            <w:r>
              <w:rPr>
                <w:rFonts w:hint="eastAsia" w:ascii="仿宋" w:hAnsi="仿宋" w:eastAsia="仿宋" w:cs="仿宋"/>
                <w:kern w:val="0"/>
                <w:sz w:val="24"/>
                <w:szCs w:val="24"/>
                <w:lang w:val="en-US" w:eastAsia="zh-CN"/>
              </w:rPr>
              <w:t>2024</w:t>
            </w:r>
            <w:r>
              <w:rPr>
                <w:rFonts w:hint="eastAsia" w:ascii="仿宋" w:hAnsi="仿宋" w:eastAsia="仿宋" w:cs="仿宋"/>
                <w:kern w:val="0"/>
                <w:sz w:val="24"/>
                <w:szCs w:val="24"/>
              </w:rPr>
              <w:t>年</w:t>
            </w:r>
            <w:r>
              <w:rPr>
                <w:rFonts w:hint="eastAsia" w:ascii="仿宋" w:hAnsi="仿宋" w:eastAsia="仿宋" w:cs="仿宋"/>
                <w:kern w:val="0"/>
                <w:sz w:val="24"/>
                <w:szCs w:val="24"/>
                <w:lang w:val="en-US" w:eastAsia="zh-CN"/>
              </w:rPr>
              <w:t>7</w:t>
            </w:r>
            <w:r>
              <w:rPr>
                <w:rFonts w:hint="eastAsia" w:ascii="仿宋" w:hAnsi="仿宋" w:eastAsia="仿宋" w:cs="仿宋"/>
                <w:kern w:val="0"/>
                <w:sz w:val="24"/>
                <w:szCs w:val="24"/>
              </w:rPr>
              <w:t>月</w:t>
            </w:r>
            <w:r>
              <w:rPr>
                <w:rFonts w:hint="eastAsia" w:ascii="仿宋" w:hAnsi="仿宋" w:eastAsia="仿宋" w:cs="仿宋"/>
                <w:kern w:val="0"/>
                <w:sz w:val="24"/>
                <w:szCs w:val="24"/>
                <w:lang w:val="en-US" w:eastAsia="zh-CN"/>
              </w:rPr>
              <w:t>6</w:t>
            </w:r>
            <w:r>
              <w:rPr>
                <w:rFonts w:hint="eastAsia" w:ascii="仿宋" w:hAnsi="仿宋" w:eastAsia="仿宋" w:cs="仿宋"/>
                <w:kern w:val="0"/>
                <w:sz w:val="24"/>
                <w:szCs w:val="24"/>
              </w:rPr>
              <w:t>日</w:t>
            </w:r>
          </w:p>
          <w:p w14:paraId="13F88B1B">
            <w:pPr>
              <w:widowControl/>
              <w:adjustRightInd w:val="0"/>
              <w:snapToGrid w:val="0"/>
              <w:jc w:val="right"/>
              <w:rPr>
                <w:rFonts w:ascii="仿宋" w:hAnsi="仿宋" w:eastAsia="仿宋" w:cs="仿宋"/>
                <w:kern w:val="0"/>
                <w:sz w:val="24"/>
                <w:szCs w:val="24"/>
              </w:rPr>
            </w:pPr>
          </w:p>
        </w:tc>
      </w:tr>
    </w:tbl>
    <w:p w14:paraId="3AB30C7A">
      <w:pPr>
        <w:widowControl/>
        <w:spacing w:line="360" w:lineRule="auto"/>
        <w:ind w:right="480"/>
        <w:rPr>
          <w:rFonts w:cs="黑体"/>
        </w:rPr>
        <w:sectPr>
          <w:headerReference r:id="rId119" w:type="default"/>
          <w:footerReference r:id="rId120" w:type="default"/>
          <w:pgSz w:w="11906" w:h="16838"/>
          <w:pgMar w:top="1134" w:right="1417" w:bottom="1134" w:left="1417" w:header="851" w:footer="992" w:gutter="0"/>
          <w:cols w:space="720" w:num="1"/>
          <w:docGrid w:type="lines" w:linePitch="312" w:charSpace="0"/>
        </w:sectPr>
      </w:pPr>
    </w:p>
    <w:p w14:paraId="14F902AA">
      <w:pPr>
        <w:adjustRightInd w:val="0"/>
        <w:snapToGrid w:val="0"/>
        <w:spacing w:line="360" w:lineRule="auto"/>
        <w:jc w:val="center"/>
        <w:outlineLvl w:val="0"/>
        <w:rPr>
          <w:rFonts w:hint="eastAsia" w:ascii="仿宋" w:eastAsia="仿宋" w:cs="仿宋"/>
          <w:b/>
          <w:bCs/>
          <w:color w:val="000000"/>
          <w:sz w:val="28"/>
          <w:szCs w:val="28"/>
        </w:rPr>
      </w:pPr>
      <w:bookmarkStart w:id="212" w:name="_Toc150493031"/>
      <w:r>
        <w:rPr>
          <w:rFonts w:hint="eastAsia" w:ascii="仿宋" w:hAnsi="仿宋" w:eastAsia="仿宋" w:cs="仿宋"/>
          <w:b/>
          <w:bCs/>
          <w:sz w:val="28"/>
          <w:szCs w:val="28"/>
        </w:rPr>
        <w:t>附表</w:t>
      </w:r>
      <w:r>
        <w:rPr>
          <w:rFonts w:hint="eastAsia" w:ascii="仿宋" w:hAnsi="仿宋" w:eastAsia="仿宋" w:cs="仿宋"/>
          <w:b/>
          <w:bCs/>
          <w:sz w:val="28"/>
          <w:szCs w:val="28"/>
          <w:lang w:eastAsia="zh-CN"/>
        </w:rPr>
        <w:t>：</w:t>
      </w:r>
      <w:r>
        <w:rPr>
          <w:rFonts w:hint="eastAsia" w:ascii="仿宋" w:eastAsia="仿宋" w:cs="仿宋"/>
          <w:b/>
          <w:bCs/>
          <w:color w:val="000000"/>
          <w:sz w:val="28"/>
          <w:szCs w:val="28"/>
        </w:rPr>
        <w:t>《福建客家音乐》课程目标评分量表</w:t>
      </w:r>
      <w:bookmarkEnd w:id="211"/>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28" w:type="dxa"/>
        </w:tblCellMar>
      </w:tblPr>
      <w:tblGrid>
        <w:gridCol w:w="272"/>
        <w:gridCol w:w="1273"/>
        <w:gridCol w:w="1355"/>
        <w:gridCol w:w="1355"/>
        <w:gridCol w:w="1355"/>
        <w:gridCol w:w="1374"/>
        <w:gridCol w:w="1355"/>
      </w:tblGrid>
      <w:tr w14:paraId="70E6DCB1">
        <w:trPr>
          <w:trHeight w:val="327" w:hRule="atLeast"/>
          <w:jc w:val="center"/>
        </w:trPr>
        <w:tc>
          <w:tcPr>
            <w:tcW w:w="0" w:type="auto"/>
            <w:vMerge w:val="restart"/>
            <w:noWrap w:val="0"/>
            <w:vAlign w:val="center"/>
          </w:tcPr>
          <w:p w14:paraId="71A31DBD">
            <w:pPr>
              <w:tabs>
                <w:tab w:val="left" w:pos="720"/>
              </w:tabs>
              <w:adjustRightInd w:val="0"/>
              <w:snapToGrid w:val="0"/>
              <w:spacing w:line="240" w:lineRule="atLeast"/>
              <w:jc w:val="center"/>
              <w:rPr>
                <w:rFonts w:hint="eastAsia" w:ascii="楷体" w:eastAsia="楷体" w:cs="楷体"/>
                <w:kern w:val="0"/>
                <w:sz w:val="21"/>
                <w:szCs w:val="21"/>
              </w:rPr>
            </w:pPr>
            <w:r>
              <w:rPr>
                <w:rFonts w:hint="eastAsia" w:ascii="楷体" w:eastAsia="楷体" w:cs="楷体"/>
                <w:kern w:val="0"/>
                <w:sz w:val="21"/>
                <w:szCs w:val="21"/>
              </w:rPr>
              <w:t>M</w:t>
            </w:r>
          </w:p>
          <w:p w14:paraId="3DBE92B6">
            <w:pPr>
              <w:tabs>
                <w:tab w:val="left" w:pos="720"/>
              </w:tabs>
              <w:adjustRightInd w:val="0"/>
              <w:snapToGrid w:val="0"/>
              <w:spacing w:line="240" w:lineRule="atLeast"/>
              <w:jc w:val="center"/>
              <w:rPr>
                <w:rFonts w:hint="eastAsia" w:ascii="楷体" w:eastAsia="楷体" w:cs="楷体"/>
                <w:kern w:val="0"/>
                <w:sz w:val="21"/>
                <w:szCs w:val="21"/>
              </w:rPr>
            </w:pPr>
            <w:r>
              <w:rPr>
                <w:rFonts w:hint="eastAsia" w:ascii="楷体" w:eastAsia="楷体" w:cs="楷体"/>
                <w:kern w:val="0"/>
                <w:sz w:val="21"/>
                <w:szCs w:val="21"/>
              </w:rPr>
              <w:t>评分量表</w:t>
            </w:r>
          </w:p>
        </w:tc>
        <w:tc>
          <w:tcPr>
            <w:tcW w:w="0" w:type="auto"/>
            <w:noWrap w:val="0"/>
            <w:vAlign w:val="center"/>
          </w:tcPr>
          <w:p w14:paraId="3D3339A5">
            <w:pPr>
              <w:tabs>
                <w:tab w:val="left" w:pos="720"/>
              </w:tabs>
              <w:adjustRightInd w:val="0"/>
              <w:snapToGrid w:val="0"/>
              <w:spacing w:line="240" w:lineRule="atLeast"/>
              <w:jc w:val="center"/>
              <w:rPr>
                <w:rFonts w:hint="eastAsia" w:ascii="楷体" w:eastAsia="楷体" w:cs="楷体"/>
                <w:kern w:val="0"/>
                <w:sz w:val="21"/>
                <w:szCs w:val="21"/>
              </w:rPr>
            </w:pPr>
            <w:r>
              <w:rPr>
                <w:rFonts w:hint="eastAsia" w:ascii="楷体" w:eastAsia="楷体" w:cs="楷体"/>
                <w:kern w:val="0"/>
                <w:sz w:val="21"/>
                <w:szCs w:val="21"/>
              </w:rPr>
              <w:t>课程目标</w:t>
            </w:r>
          </w:p>
        </w:tc>
        <w:tc>
          <w:tcPr>
            <w:tcW w:w="0" w:type="auto"/>
            <w:noWrap w:val="0"/>
            <w:vAlign w:val="center"/>
          </w:tcPr>
          <w:p w14:paraId="624D4715">
            <w:pPr>
              <w:tabs>
                <w:tab w:val="left" w:pos="720"/>
              </w:tabs>
              <w:adjustRightInd w:val="0"/>
              <w:snapToGrid w:val="0"/>
              <w:spacing w:line="240" w:lineRule="atLeast"/>
              <w:jc w:val="center"/>
              <w:rPr>
                <w:rFonts w:hint="eastAsia" w:ascii="楷体" w:eastAsia="楷体" w:cs="楷体"/>
                <w:kern w:val="0"/>
                <w:sz w:val="21"/>
                <w:szCs w:val="21"/>
              </w:rPr>
            </w:pPr>
            <w:r>
              <w:rPr>
                <w:rFonts w:hint="eastAsia" w:ascii="楷体" w:eastAsia="楷体" w:cs="楷体"/>
                <w:kern w:val="0"/>
                <w:sz w:val="21"/>
                <w:szCs w:val="21"/>
              </w:rPr>
              <w:t>优（X≧90）</w:t>
            </w:r>
          </w:p>
        </w:tc>
        <w:tc>
          <w:tcPr>
            <w:tcW w:w="0" w:type="auto"/>
            <w:noWrap w:val="0"/>
            <w:vAlign w:val="center"/>
          </w:tcPr>
          <w:p w14:paraId="4FF9E34B">
            <w:pPr>
              <w:tabs>
                <w:tab w:val="left" w:pos="720"/>
              </w:tabs>
              <w:adjustRightInd w:val="0"/>
              <w:snapToGrid w:val="0"/>
              <w:spacing w:line="240" w:lineRule="atLeast"/>
              <w:jc w:val="center"/>
              <w:rPr>
                <w:rFonts w:hint="eastAsia" w:ascii="楷体" w:eastAsia="楷体" w:cs="楷体"/>
                <w:kern w:val="0"/>
                <w:sz w:val="21"/>
                <w:szCs w:val="21"/>
              </w:rPr>
            </w:pPr>
            <w:r>
              <w:rPr>
                <w:rFonts w:hint="eastAsia" w:ascii="楷体" w:eastAsia="楷体" w:cs="楷体"/>
                <w:kern w:val="0"/>
                <w:sz w:val="21"/>
                <w:szCs w:val="21"/>
              </w:rPr>
              <w:t>良（80≦X＜90）</w:t>
            </w:r>
          </w:p>
        </w:tc>
        <w:tc>
          <w:tcPr>
            <w:tcW w:w="0" w:type="auto"/>
            <w:noWrap w:val="0"/>
            <w:vAlign w:val="center"/>
          </w:tcPr>
          <w:p w14:paraId="34FE20E0">
            <w:pPr>
              <w:tabs>
                <w:tab w:val="left" w:pos="720"/>
              </w:tabs>
              <w:adjustRightInd w:val="0"/>
              <w:snapToGrid w:val="0"/>
              <w:spacing w:line="240" w:lineRule="atLeast"/>
              <w:jc w:val="center"/>
              <w:rPr>
                <w:rFonts w:hint="eastAsia" w:ascii="楷体" w:eastAsia="楷体" w:cs="楷体"/>
                <w:kern w:val="0"/>
                <w:sz w:val="21"/>
                <w:szCs w:val="21"/>
              </w:rPr>
            </w:pPr>
            <w:r>
              <w:rPr>
                <w:rFonts w:hint="eastAsia" w:ascii="楷体" w:eastAsia="楷体" w:cs="楷体"/>
                <w:kern w:val="0"/>
                <w:sz w:val="21"/>
                <w:szCs w:val="21"/>
              </w:rPr>
              <w:t>中（70≦X＜80）</w:t>
            </w:r>
          </w:p>
        </w:tc>
        <w:tc>
          <w:tcPr>
            <w:tcW w:w="0" w:type="auto"/>
            <w:noWrap w:val="0"/>
            <w:vAlign w:val="center"/>
          </w:tcPr>
          <w:p w14:paraId="65B82BCA">
            <w:pPr>
              <w:tabs>
                <w:tab w:val="left" w:pos="720"/>
              </w:tabs>
              <w:adjustRightInd w:val="0"/>
              <w:snapToGrid w:val="0"/>
              <w:spacing w:line="240" w:lineRule="atLeast"/>
              <w:jc w:val="center"/>
              <w:rPr>
                <w:rFonts w:hint="eastAsia" w:ascii="楷体" w:eastAsia="楷体" w:cs="楷体"/>
                <w:kern w:val="0"/>
                <w:sz w:val="21"/>
                <w:szCs w:val="21"/>
              </w:rPr>
            </w:pPr>
            <w:r>
              <w:rPr>
                <w:rFonts w:hint="eastAsia" w:ascii="楷体" w:eastAsia="楷体" w:cs="楷体"/>
                <w:kern w:val="0"/>
                <w:sz w:val="21"/>
                <w:szCs w:val="21"/>
              </w:rPr>
              <w:t>及格（60≦X＜70）</w:t>
            </w:r>
          </w:p>
        </w:tc>
        <w:tc>
          <w:tcPr>
            <w:tcW w:w="0" w:type="auto"/>
            <w:noWrap w:val="0"/>
            <w:vAlign w:val="center"/>
          </w:tcPr>
          <w:p w14:paraId="137EC499">
            <w:pPr>
              <w:tabs>
                <w:tab w:val="left" w:pos="720"/>
              </w:tabs>
              <w:adjustRightInd w:val="0"/>
              <w:snapToGrid w:val="0"/>
              <w:spacing w:line="240" w:lineRule="atLeast"/>
              <w:jc w:val="center"/>
              <w:rPr>
                <w:rFonts w:hint="eastAsia" w:ascii="楷体" w:eastAsia="楷体" w:cs="楷体"/>
                <w:kern w:val="0"/>
                <w:sz w:val="21"/>
                <w:szCs w:val="21"/>
              </w:rPr>
            </w:pPr>
            <w:r>
              <w:rPr>
                <w:rFonts w:hint="eastAsia" w:ascii="楷体" w:eastAsia="楷体" w:cs="楷体"/>
                <w:kern w:val="0"/>
                <w:sz w:val="21"/>
                <w:szCs w:val="21"/>
              </w:rPr>
              <w:t>不及格（＜60）</w:t>
            </w:r>
          </w:p>
        </w:tc>
      </w:tr>
      <w:tr w14:paraId="0794EB11">
        <w:trPr>
          <w:trHeight w:val="2708" w:hRule="atLeast"/>
          <w:jc w:val="center"/>
        </w:trPr>
        <w:tc>
          <w:tcPr>
            <w:tcW w:w="0" w:type="auto"/>
            <w:vMerge w:val="continue"/>
            <w:noWrap w:val="0"/>
            <w:vAlign w:val="center"/>
          </w:tcPr>
          <w:p w14:paraId="26C9DE53">
            <w:pPr>
              <w:tabs>
                <w:tab w:val="left" w:pos="720"/>
              </w:tabs>
              <w:adjustRightInd w:val="0"/>
              <w:snapToGrid w:val="0"/>
              <w:spacing w:line="240" w:lineRule="atLeast"/>
              <w:jc w:val="center"/>
              <w:rPr>
                <w:rFonts w:hint="eastAsia" w:ascii="楷体" w:eastAsia="楷体" w:cs="楷体"/>
                <w:kern w:val="0"/>
                <w:sz w:val="21"/>
                <w:szCs w:val="21"/>
              </w:rPr>
            </w:pPr>
          </w:p>
        </w:tc>
        <w:tc>
          <w:tcPr>
            <w:tcW w:w="0" w:type="auto"/>
            <w:noWrap w:val="0"/>
            <w:vAlign w:val="top"/>
          </w:tcPr>
          <w:p w14:paraId="29A1DCB3">
            <w:pPr>
              <w:tabs>
                <w:tab w:val="left" w:pos="720"/>
              </w:tabs>
              <w:adjustRightInd w:val="0"/>
              <w:snapToGrid w:val="0"/>
              <w:spacing w:line="240" w:lineRule="atLeast"/>
              <w:jc w:val="left"/>
              <w:rPr>
                <w:rFonts w:hint="eastAsia" w:ascii="楷体" w:eastAsia="楷体" w:cs="楷体"/>
                <w:kern w:val="0"/>
                <w:sz w:val="21"/>
                <w:szCs w:val="21"/>
                <w:lang w:eastAsia="zh-CN"/>
              </w:rPr>
            </w:pPr>
            <w:r>
              <w:rPr>
                <w:rFonts w:hint="eastAsia" w:ascii="楷体" w:eastAsia="楷体" w:cs="楷体"/>
                <w:kern w:val="0"/>
                <w:sz w:val="21"/>
                <w:szCs w:val="21"/>
              </w:rPr>
              <w:t>课程目标</w:t>
            </w:r>
            <w:r>
              <w:rPr>
                <w:rFonts w:hint="eastAsia" w:ascii="楷体" w:eastAsia="楷体" w:cs="楷体"/>
                <w:kern w:val="0"/>
                <w:sz w:val="21"/>
                <w:szCs w:val="21"/>
                <w:lang w:eastAsia="zh-CN"/>
              </w:rPr>
              <w:t>1:</w:t>
            </w:r>
          </w:p>
          <w:p w14:paraId="0E0F39AB">
            <w:pPr>
              <w:tabs>
                <w:tab w:val="left" w:pos="720"/>
              </w:tabs>
              <w:adjustRightInd w:val="0"/>
              <w:snapToGrid w:val="0"/>
              <w:spacing w:line="240" w:lineRule="atLeast"/>
              <w:ind w:firstLine="420" w:firstLineChars="200"/>
              <w:jc w:val="left"/>
              <w:rPr>
                <w:rFonts w:hint="eastAsia" w:ascii="楷体" w:eastAsia="楷体" w:cs="楷体"/>
                <w:kern w:val="0"/>
                <w:sz w:val="21"/>
                <w:szCs w:val="21"/>
              </w:rPr>
            </w:pPr>
            <w:r>
              <w:rPr>
                <w:rFonts w:hint="eastAsia" w:ascii="楷体" w:eastAsia="楷体" w:cs="楷体"/>
                <w:kern w:val="0"/>
                <w:sz w:val="21"/>
                <w:szCs w:val="21"/>
              </w:rPr>
              <w:t>掌握</w:t>
            </w:r>
            <w:r>
              <w:rPr>
                <w:rFonts w:hint="eastAsia" w:ascii="楷体" w:eastAsia="楷体" w:cs="楷体"/>
                <w:kern w:val="0"/>
                <w:sz w:val="21"/>
                <w:szCs w:val="21"/>
                <w:lang w:eastAsia="zh-CN"/>
              </w:rPr>
              <w:t>福建客家音乐基础知识，基本理论，体系结构于音乐特色，理解福建客家音乐的内涵，形成音乐学科核心素养。</w:t>
            </w:r>
            <w:r>
              <w:rPr>
                <w:rFonts w:hint="eastAsia" w:ascii="楷体" w:eastAsia="楷体" w:cs="楷体"/>
                <w:kern w:val="0"/>
                <w:sz w:val="21"/>
                <w:szCs w:val="21"/>
              </w:rPr>
              <w:t>（支撑课程目标3.1）</w:t>
            </w:r>
          </w:p>
        </w:tc>
        <w:tc>
          <w:tcPr>
            <w:tcW w:w="0" w:type="auto"/>
            <w:noWrap w:val="0"/>
            <w:vAlign w:val="top"/>
          </w:tcPr>
          <w:p w14:paraId="20C0A8BC">
            <w:pPr>
              <w:tabs>
                <w:tab w:val="left" w:pos="720"/>
              </w:tabs>
              <w:adjustRightInd w:val="0"/>
              <w:snapToGrid w:val="0"/>
              <w:spacing w:line="240" w:lineRule="atLeast"/>
              <w:ind w:firstLine="420" w:firstLineChars="200"/>
              <w:jc w:val="left"/>
              <w:rPr>
                <w:rFonts w:hint="eastAsia" w:ascii="楷体" w:eastAsia="楷体" w:cs="楷体"/>
                <w:kern w:val="0"/>
                <w:sz w:val="21"/>
                <w:szCs w:val="21"/>
              </w:rPr>
            </w:pPr>
            <w:r>
              <w:rPr>
                <w:rFonts w:hint="eastAsia" w:ascii="楷体" w:eastAsia="楷体" w:cs="楷体"/>
                <w:kern w:val="0"/>
                <w:sz w:val="21"/>
                <w:szCs w:val="21"/>
                <w:lang w:val="en-US" w:eastAsia="zh-CN"/>
              </w:rPr>
              <w:t>很好地</w:t>
            </w:r>
            <w:r>
              <w:rPr>
                <w:rFonts w:hint="eastAsia" w:ascii="楷体" w:eastAsia="楷体" w:cs="楷体"/>
                <w:kern w:val="0"/>
                <w:sz w:val="21"/>
                <w:szCs w:val="21"/>
                <w:lang w:eastAsia="zh-CN"/>
              </w:rPr>
              <w:t>掌握福建客家音乐基础知识，基本理论，体系结构于音乐特色，理解福建客家音乐的内涵，形成音乐学科核心素养。具备掌握客家民歌，歌舞音乐的音乐特征。</w:t>
            </w:r>
          </w:p>
        </w:tc>
        <w:tc>
          <w:tcPr>
            <w:tcW w:w="0" w:type="auto"/>
            <w:noWrap w:val="0"/>
            <w:vAlign w:val="top"/>
          </w:tcPr>
          <w:p w14:paraId="797CC6C7">
            <w:pPr>
              <w:tabs>
                <w:tab w:val="left" w:pos="720"/>
              </w:tabs>
              <w:adjustRightInd w:val="0"/>
              <w:snapToGrid w:val="0"/>
              <w:spacing w:line="240" w:lineRule="atLeast"/>
              <w:ind w:firstLine="420" w:firstLineChars="200"/>
              <w:jc w:val="left"/>
              <w:rPr>
                <w:rFonts w:hint="eastAsia" w:ascii="楷体" w:eastAsia="楷体" w:cs="楷体"/>
                <w:kern w:val="0"/>
                <w:sz w:val="21"/>
                <w:szCs w:val="21"/>
              </w:rPr>
            </w:pPr>
            <w:r>
              <w:rPr>
                <w:rFonts w:hint="eastAsia" w:ascii="楷体" w:eastAsia="楷体" w:cs="楷体"/>
                <w:kern w:val="0"/>
                <w:sz w:val="21"/>
                <w:szCs w:val="21"/>
                <w:lang w:val="en-US" w:eastAsia="zh-CN"/>
              </w:rPr>
              <w:t>较好地</w:t>
            </w:r>
            <w:r>
              <w:rPr>
                <w:rFonts w:hint="eastAsia" w:ascii="楷体" w:eastAsia="楷体" w:cs="楷体"/>
                <w:kern w:val="0"/>
                <w:sz w:val="21"/>
                <w:szCs w:val="21"/>
                <w:lang w:eastAsia="zh-CN"/>
              </w:rPr>
              <w:t>掌握福建客家音乐基础知识，基本理论，体系结构于音乐特色，理解福建客家音乐的内涵，形成音乐学科核心素养。具备掌握客家民歌，歌舞音乐的音乐特征。</w:t>
            </w:r>
          </w:p>
        </w:tc>
        <w:tc>
          <w:tcPr>
            <w:tcW w:w="0" w:type="auto"/>
            <w:noWrap w:val="0"/>
            <w:vAlign w:val="top"/>
          </w:tcPr>
          <w:p w14:paraId="13FD52AE">
            <w:pPr>
              <w:tabs>
                <w:tab w:val="left" w:pos="720"/>
              </w:tabs>
              <w:adjustRightInd w:val="0"/>
              <w:snapToGrid w:val="0"/>
              <w:spacing w:line="240" w:lineRule="atLeast"/>
              <w:ind w:firstLine="420" w:firstLineChars="200"/>
              <w:jc w:val="left"/>
              <w:rPr>
                <w:rFonts w:hint="eastAsia" w:ascii="楷体" w:eastAsia="楷体" w:cs="楷体"/>
                <w:kern w:val="0"/>
                <w:sz w:val="21"/>
                <w:szCs w:val="21"/>
              </w:rPr>
            </w:pPr>
            <w:r>
              <w:rPr>
                <w:rFonts w:hint="eastAsia" w:ascii="楷体" w:eastAsia="楷体" w:cs="楷体"/>
                <w:kern w:val="0"/>
                <w:sz w:val="21"/>
                <w:szCs w:val="21"/>
                <w:lang w:val="en-US" w:eastAsia="zh-CN"/>
              </w:rPr>
              <w:t>掌握</w:t>
            </w:r>
            <w:r>
              <w:rPr>
                <w:rFonts w:hint="eastAsia" w:ascii="楷体" w:eastAsia="楷体" w:cs="楷体"/>
                <w:kern w:val="0"/>
                <w:sz w:val="21"/>
                <w:szCs w:val="21"/>
                <w:lang w:eastAsia="zh-CN"/>
              </w:rPr>
              <w:t>福建客家音乐基础知识，基本理论，体系结构于音乐特色，理解福建客家音乐的内涵，形成音乐学科核心素养。但对于客家民歌，歌舞音乐的音乐特征掌握不够。</w:t>
            </w:r>
          </w:p>
        </w:tc>
        <w:tc>
          <w:tcPr>
            <w:tcW w:w="0" w:type="auto"/>
            <w:noWrap w:val="0"/>
            <w:vAlign w:val="top"/>
          </w:tcPr>
          <w:p w14:paraId="3E6816B5">
            <w:pPr>
              <w:tabs>
                <w:tab w:val="left" w:pos="720"/>
              </w:tabs>
              <w:adjustRightInd w:val="0"/>
              <w:snapToGrid w:val="0"/>
              <w:spacing w:line="240" w:lineRule="atLeast"/>
              <w:ind w:firstLine="420" w:firstLineChars="200"/>
              <w:jc w:val="left"/>
              <w:rPr>
                <w:rFonts w:hint="eastAsia" w:ascii="楷体" w:eastAsia="楷体" w:cs="楷体"/>
                <w:kern w:val="0"/>
                <w:sz w:val="21"/>
                <w:szCs w:val="21"/>
              </w:rPr>
            </w:pPr>
            <w:r>
              <w:rPr>
                <w:rFonts w:hint="eastAsia" w:ascii="楷体" w:eastAsia="楷体" w:cs="楷体"/>
                <w:kern w:val="0"/>
                <w:sz w:val="21"/>
                <w:szCs w:val="21"/>
                <w:lang w:eastAsia="zh-CN"/>
              </w:rPr>
              <w:t>基本了解福建客家音乐基础知识，基本理论，体系结构于音乐特色，理解福建客家音乐的内涵，形成音乐学科核心素养。但对于客家民歌，歌舞音乐的音乐特征掌握不够。</w:t>
            </w:r>
          </w:p>
        </w:tc>
        <w:tc>
          <w:tcPr>
            <w:tcW w:w="0" w:type="auto"/>
            <w:noWrap w:val="0"/>
            <w:vAlign w:val="top"/>
          </w:tcPr>
          <w:p w14:paraId="4CA65736">
            <w:pPr>
              <w:tabs>
                <w:tab w:val="left" w:pos="720"/>
              </w:tabs>
              <w:adjustRightInd w:val="0"/>
              <w:snapToGrid w:val="0"/>
              <w:spacing w:line="240" w:lineRule="atLeast"/>
              <w:ind w:firstLine="420" w:firstLineChars="200"/>
              <w:jc w:val="left"/>
              <w:rPr>
                <w:rFonts w:hint="eastAsia" w:ascii="楷体" w:eastAsia="楷体" w:cs="楷体"/>
                <w:kern w:val="0"/>
                <w:sz w:val="21"/>
                <w:szCs w:val="21"/>
              </w:rPr>
            </w:pPr>
            <w:r>
              <w:rPr>
                <w:rFonts w:hint="eastAsia" w:ascii="楷体" w:eastAsia="楷体" w:cs="楷体"/>
                <w:kern w:val="0"/>
                <w:sz w:val="21"/>
                <w:szCs w:val="21"/>
                <w:lang w:val="en-US" w:eastAsia="zh-CN"/>
              </w:rPr>
              <w:t>未</w:t>
            </w:r>
            <w:r>
              <w:rPr>
                <w:rFonts w:hint="eastAsia" w:ascii="楷体" w:eastAsia="楷体" w:cs="楷体"/>
                <w:kern w:val="0"/>
                <w:sz w:val="21"/>
                <w:szCs w:val="21"/>
                <w:lang w:eastAsia="zh-CN"/>
              </w:rPr>
              <w:t>掌握福建客家音乐基础知识，基本理论，体系结构于音乐特色，不理解福建客家音乐的内涵，形成音乐学科核心素养。不具备掌握客家民歌，歌舞音乐的音乐特征。</w:t>
            </w:r>
          </w:p>
        </w:tc>
      </w:tr>
      <w:tr w14:paraId="050A8124">
        <w:trPr>
          <w:trHeight w:val="1131" w:hRule="atLeast"/>
          <w:jc w:val="center"/>
        </w:trPr>
        <w:tc>
          <w:tcPr>
            <w:tcW w:w="0" w:type="auto"/>
            <w:vMerge w:val="continue"/>
            <w:noWrap w:val="0"/>
            <w:vAlign w:val="center"/>
          </w:tcPr>
          <w:p w14:paraId="702550CF">
            <w:pPr>
              <w:tabs>
                <w:tab w:val="left" w:pos="720"/>
              </w:tabs>
              <w:adjustRightInd w:val="0"/>
              <w:snapToGrid w:val="0"/>
              <w:spacing w:line="240" w:lineRule="atLeast"/>
              <w:jc w:val="center"/>
              <w:rPr>
                <w:rFonts w:hint="eastAsia" w:ascii="楷体" w:eastAsia="楷体" w:cs="楷体"/>
                <w:kern w:val="0"/>
                <w:sz w:val="21"/>
                <w:szCs w:val="21"/>
              </w:rPr>
            </w:pPr>
          </w:p>
        </w:tc>
        <w:tc>
          <w:tcPr>
            <w:tcW w:w="0" w:type="auto"/>
            <w:noWrap w:val="0"/>
            <w:vAlign w:val="top"/>
          </w:tcPr>
          <w:p w14:paraId="33E07832">
            <w:pPr>
              <w:tabs>
                <w:tab w:val="left" w:pos="720"/>
              </w:tabs>
              <w:adjustRightInd w:val="0"/>
              <w:snapToGrid w:val="0"/>
              <w:spacing w:line="240" w:lineRule="atLeast"/>
              <w:jc w:val="left"/>
              <w:rPr>
                <w:rFonts w:hint="eastAsia" w:ascii="楷体" w:eastAsia="楷体" w:cs="楷体"/>
                <w:kern w:val="0"/>
                <w:sz w:val="21"/>
                <w:szCs w:val="21"/>
              </w:rPr>
            </w:pPr>
            <w:r>
              <w:rPr>
                <w:rFonts w:hint="eastAsia" w:ascii="楷体" w:eastAsia="楷体" w:cs="楷体"/>
                <w:kern w:val="0"/>
                <w:sz w:val="21"/>
                <w:szCs w:val="21"/>
              </w:rPr>
              <w:t>课程目标2：</w:t>
            </w:r>
          </w:p>
          <w:p w14:paraId="32AD2E00">
            <w:pPr>
              <w:tabs>
                <w:tab w:val="left" w:pos="720"/>
              </w:tabs>
              <w:adjustRightInd w:val="0"/>
              <w:snapToGrid w:val="0"/>
              <w:spacing w:line="240" w:lineRule="atLeast"/>
              <w:ind w:firstLine="420" w:firstLineChars="200"/>
              <w:jc w:val="left"/>
              <w:rPr>
                <w:rFonts w:hint="eastAsia" w:ascii="楷体" w:eastAsia="楷体" w:cs="楷体"/>
                <w:kern w:val="0"/>
                <w:sz w:val="21"/>
                <w:szCs w:val="21"/>
              </w:rPr>
            </w:pPr>
            <w:r>
              <w:rPr>
                <w:rFonts w:hint="eastAsia" w:ascii="楷体" w:eastAsia="楷体" w:cs="楷体"/>
                <w:kern w:val="0"/>
                <w:sz w:val="21"/>
                <w:szCs w:val="21"/>
              </w:rPr>
              <w:t>了解本学科发展动态，</w:t>
            </w:r>
            <w:r>
              <w:rPr>
                <w:rFonts w:hint="eastAsia" w:ascii="楷体" w:eastAsia="楷体" w:cs="楷体"/>
                <w:kern w:val="0"/>
                <w:sz w:val="21"/>
                <w:szCs w:val="21"/>
                <w:lang w:eastAsia="zh-CN"/>
              </w:rPr>
              <w:t>掌握福建客家音乐的基本规律和传承精神，了解福建客家音乐的各种体裁以及客家音乐的艺术特色。</w:t>
            </w:r>
            <w:r>
              <w:rPr>
                <w:rFonts w:hint="eastAsia" w:ascii="楷体" w:eastAsia="楷体" w:cs="楷体"/>
                <w:kern w:val="0"/>
                <w:sz w:val="21"/>
                <w:szCs w:val="21"/>
              </w:rPr>
              <w:t>。（支撑毕业要求2.1）</w:t>
            </w:r>
          </w:p>
        </w:tc>
        <w:tc>
          <w:tcPr>
            <w:tcW w:w="0" w:type="auto"/>
            <w:noWrap w:val="0"/>
            <w:vAlign w:val="top"/>
          </w:tcPr>
          <w:p w14:paraId="6131A9D1">
            <w:pPr>
              <w:tabs>
                <w:tab w:val="left" w:pos="720"/>
              </w:tabs>
              <w:adjustRightInd w:val="0"/>
              <w:snapToGrid w:val="0"/>
              <w:spacing w:line="240" w:lineRule="atLeast"/>
              <w:ind w:firstLine="420" w:firstLineChars="200"/>
              <w:jc w:val="left"/>
              <w:rPr>
                <w:rFonts w:hint="eastAsia" w:ascii="楷体" w:eastAsia="楷体" w:cs="楷体"/>
                <w:kern w:val="0"/>
                <w:sz w:val="21"/>
                <w:szCs w:val="21"/>
              </w:rPr>
            </w:pPr>
            <w:r>
              <w:rPr>
                <w:rFonts w:hint="eastAsia" w:ascii="楷体" w:eastAsia="楷体" w:cs="楷体"/>
                <w:kern w:val="0"/>
                <w:sz w:val="21"/>
                <w:szCs w:val="21"/>
                <w:lang w:val="en-US" w:eastAsia="zh-CN"/>
              </w:rPr>
              <w:t>很好地</w:t>
            </w:r>
            <w:r>
              <w:rPr>
                <w:rFonts w:hint="eastAsia" w:ascii="楷体" w:eastAsia="楷体" w:cs="楷体"/>
                <w:kern w:val="0"/>
                <w:sz w:val="21"/>
                <w:szCs w:val="21"/>
              </w:rPr>
              <w:t>掌握本学科发展动态，</w:t>
            </w:r>
            <w:r>
              <w:rPr>
                <w:rFonts w:hint="eastAsia" w:ascii="楷体" w:eastAsia="楷体" w:cs="楷体"/>
                <w:kern w:val="0"/>
                <w:sz w:val="21"/>
                <w:szCs w:val="21"/>
                <w:lang w:eastAsia="zh-CN"/>
              </w:rPr>
              <w:t>掌握</w:t>
            </w:r>
            <w:r>
              <w:rPr>
                <w:rFonts w:hint="eastAsia" w:ascii="楷体" w:eastAsia="楷体" w:cs="楷体"/>
                <w:kern w:val="0"/>
                <w:sz w:val="21"/>
                <w:szCs w:val="21"/>
              </w:rPr>
              <w:t>客家福建音乐的基本规律和</w:t>
            </w:r>
            <w:r>
              <w:rPr>
                <w:rFonts w:hint="eastAsia" w:ascii="楷体" w:eastAsia="楷体" w:cs="楷体"/>
                <w:kern w:val="0"/>
                <w:sz w:val="21"/>
                <w:szCs w:val="21"/>
                <w:lang w:eastAsia="zh-CN"/>
              </w:rPr>
              <w:t>传承精神</w:t>
            </w:r>
            <w:r>
              <w:rPr>
                <w:rFonts w:hint="eastAsia" w:ascii="楷体" w:eastAsia="楷体" w:cs="楷体"/>
                <w:kern w:val="0"/>
                <w:sz w:val="21"/>
                <w:szCs w:val="21"/>
              </w:rPr>
              <w:t>，了解福建客家音乐的各种体裁以及</w:t>
            </w:r>
            <w:r>
              <w:rPr>
                <w:rFonts w:hint="eastAsia" w:ascii="楷体" w:eastAsia="楷体" w:cs="楷体"/>
                <w:kern w:val="0"/>
                <w:sz w:val="21"/>
                <w:szCs w:val="21"/>
                <w:lang w:eastAsia="zh-CN"/>
              </w:rPr>
              <w:t>客家音乐的</w:t>
            </w:r>
            <w:r>
              <w:rPr>
                <w:rFonts w:hint="eastAsia" w:ascii="楷体" w:eastAsia="楷体" w:cs="楷体"/>
                <w:kern w:val="0"/>
                <w:sz w:val="21"/>
                <w:szCs w:val="21"/>
              </w:rPr>
              <w:t>艺术特色。</w:t>
            </w:r>
          </w:p>
        </w:tc>
        <w:tc>
          <w:tcPr>
            <w:tcW w:w="0" w:type="auto"/>
            <w:noWrap w:val="0"/>
            <w:vAlign w:val="top"/>
          </w:tcPr>
          <w:p w14:paraId="20B2F4E0">
            <w:pPr>
              <w:tabs>
                <w:tab w:val="left" w:pos="720"/>
              </w:tabs>
              <w:adjustRightInd w:val="0"/>
              <w:snapToGrid w:val="0"/>
              <w:spacing w:line="240" w:lineRule="atLeast"/>
              <w:ind w:firstLine="420" w:firstLineChars="200"/>
              <w:jc w:val="left"/>
              <w:rPr>
                <w:rFonts w:hint="eastAsia" w:ascii="楷体" w:eastAsia="楷体" w:cs="楷体"/>
                <w:kern w:val="0"/>
                <w:sz w:val="21"/>
                <w:szCs w:val="21"/>
              </w:rPr>
            </w:pPr>
            <w:r>
              <w:rPr>
                <w:rFonts w:hint="eastAsia" w:ascii="楷体" w:eastAsia="楷体" w:cs="楷体"/>
                <w:kern w:val="0"/>
                <w:sz w:val="21"/>
                <w:szCs w:val="21"/>
                <w:lang w:val="en-US" w:eastAsia="zh-CN"/>
              </w:rPr>
              <w:t>较好地</w:t>
            </w:r>
            <w:r>
              <w:rPr>
                <w:rFonts w:hint="eastAsia" w:ascii="楷体" w:eastAsia="楷体" w:cs="楷体"/>
                <w:kern w:val="0"/>
                <w:sz w:val="21"/>
                <w:szCs w:val="21"/>
                <w:lang w:eastAsia="zh-CN"/>
              </w:rPr>
              <w:t>掌握</w:t>
            </w:r>
            <w:r>
              <w:rPr>
                <w:rFonts w:hint="eastAsia" w:ascii="楷体" w:eastAsia="楷体" w:cs="楷体"/>
                <w:kern w:val="0"/>
                <w:sz w:val="21"/>
                <w:szCs w:val="21"/>
              </w:rPr>
              <w:t>本学科发展动态，</w:t>
            </w:r>
            <w:r>
              <w:rPr>
                <w:rFonts w:hint="eastAsia" w:ascii="楷体" w:eastAsia="楷体" w:cs="楷体"/>
                <w:kern w:val="0"/>
                <w:sz w:val="21"/>
                <w:szCs w:val="21"/>
                <w:lang w:eastAsia="zh-CN"/>
              </w:rPr>
              <w:t>基本掌握客家福建音乐的基本规律和传承精神，了解福建客家音乐的各种体裁以及客家音乐的艺术特色。</w:t>
            </w:r>
          </w:p>
        </w:tc>
        <w:tc>
          <w:tcPr>
            <w:tcW w:w="0" w:type="auto"/>
            <w:noWrap w:val="0"/>
            <w:vAlign w:val="top"/>
          </w:tcPr>
          <w:p w14:paraId="5B1E409E">
            <w:pPr>
              <w:tabs>
                <w:tab w:val="left" w:pos="720"/>
              </w:tabs>
              <w:adjustRightInd w:val="0"/>
              <w:snapToGrid w:val="0"/>
              <w:spacing w:line="240" w:lineRule="atLeast"/>
              <w:ind w:firstLine="420" w:firstLineChars="200"/>
              <w:jc w:val="left"/>
              <w:rPr>
                <w:rFonts w:hint="eastAsia" w:ascii="楷体" w:eastAsia="楷体" w:cs="楷体"/>
                <w:kern w:val="0"/>
                <w:sz w:val="21"/>
                <w:szCs w:val="21"/>
              </w:rPr>
            </w:pPr>
            <w:r>
              <w:rPr>
                <w:rFonts w:hint="eastAsia" w:ascii="楷体" w:eastAsia="楷体" w:cs="楷体"/>
                <w:kern w:val="0"/>
                <w:sz w:val="21"/>
                <w:szCs w:val="21"/>
                <w:lang w:eastAsia="zh-CN"/>
              </w:rPr>
              <w:t>掌握客家福建音乐的基本规律和传承精神，但对福建客家音乐的各种体裁以及客家音乐的艺术特色不够理解。</w:t>
            </w:r>
          </w:p>
        </w:tc>
        <w:tc>
          <w:tcPr>
            <w:tcW w:w="0" w:type="auto"/>
            <w:noWrap w:val="0"/>
            <w:vAlign w:val="top"/>
          </w:tcPr>
          <w:p w14:paraId="0EE3F856">
            <w:pPr>
              <w:tabs>
                <w:tab w:val="left" w:pos="720"/>
              </w:tabs>
              <w:adjustRightInd w:val="0"/>
              <w:snapToGrid w:val="0"/>
              <w:spacing w:line="240" w:lineRule="atLeast"/>
              <w:ind w:firstLine="420" w:firstLineChars="200"/>
              <w:jc w:val="left"/>
              <w:rPr>
                <w:rFonts w:hint="eastAsia" w:ascii="楷体" w:eastAsia="楷体" w:cs="楷体"/>
                <w:kern w:val="0"/>
                <w:sz w:val="21"/>
                <w:szCs w:val="21"/>
              </w:rPr>
            </w:pPr>
            <w:r>
              <w:rPr>
                <w:rFonts w:hint="eastAsia" w:ascii="楷体" w:eastAsia="楷体" w:cs="楷体"/>
                <w:kern w:val="0"/>
                <w:sz w:val="21"/>
                <w:szCs w:val="21"/>
                <w:lang w:eastAsia="zh-CN"/>
              </w:rPr>
              <w:t>基本了解客家福建音乐的基本规律和传承精神，了解福建客家音乐的各种体裁以及客家音乐的艺术特色。</w:t>
            </w:r>
          </w:p>
        </w:tc>
        <w:tc>
          <w:tcPr>
            <w:tcW w:w="0" w:type="auto"/>
            <w:noWrap w:val="0"/>
            <w:vAlign w:val="top"/>
          </w:tcPr>
          <w:p w14:paraId="5D4EFD23">
            <w:pPr>
              <w:tabs>
                <w:tab w:val="left" w:pos="720"/>
              </w:tabs>
              <w:adjustRightInd w:val="0"/>
              <w:snapToGrid w:val="0"/>
              <w:spacing w:line="240" w:lineRule="atLeast"/>
              <w:ind w:firstLine="420" w:firstLineChars="200"/>
              <w:jc w:val="left"/>
              <w:rPr>
                <w:rFonts w:hint="eastAsia" w:ascii="楷体" w:eastAsia="楷体" w:cs="楷体"/>
                <w:kern w:val="0"/>
                <w:sz w:val="21"/>
                <w:szCs w:val="21"/>
              </w:rPr>
            </w:pPr>
            <w:r>
              <w:rPr>
                <w:rFonts w:hint="eastAsia" w:ascii="楷体" w:eastAsia="楷体" w:cs="楷体"/>
                <w:kern w:val="0"/>
                <w:sz w:val="21"/>
                <w:szCs w:val="21"/>
                <w:lang w:val="en-US" w:eastAsia="zh-CN"/>
              </w:rPr>
              <w:t>未</w:t>
            </w:r>
            <w:r>
              <w:rPr>
                <w:rFonts w:hint="eastAsia" w:ascii="楷体" w:eastAsia="楷体" w:cs="楷体"/>
                <w:kern w:val="0"/>
                <w:sz w:val="21"/>
                <w:szCs w:val="21"/>
                <w:lang w:eastAsia="zh-CN"/>
              </w:rPr>
              <w:t>掌握客家福建音乐的基本规律和传承精神，但对福建客家音乐的各种体裁以及客家音乐的艺术特色不理解。</w:t>
            </w:r>
          </w:p>
        </w:tc>
      </w:tr>
      <w:tr w14:paraId="5AFD675B">
        <w:trPr>
          <w:trHeight w:val="1131" w:hRule="atLeast"/>
          <w:jc w:val="center"/>
        </w:trPr>
        <w:tc>
          <w:tcPr>
            <w:tcW w:w="0" w:type="auto"/>
            <w:vMerge w:val="continue"/>
            <w:noWrap w:val="0"/>
            <w:vAlign w:val="center"/>
          </w:tcPr>
          <w:p w14:paraId="185682E2">
            <w:pPr>
              <w:tabs>
                <w:tab w:val="left" w:pos="720"/>
              </w:tabs>
              <w:adjustRightInd w:val="0"/>
              <w:snapToGrid w:val="0"/>
              <w:spacing w:line="240" w:lineRule="atLeast"/>
              <w:jc w:val="center"/>
              <w:rPr>
                <w:rFonts w:hint="eastAsia" w:ascii="楷体" w:eastAsia="楷体" w:cs="楷体"/>
                <w:kern w:val="0"/>
                <w:sz w:val="21"/>
                <w:szCs w:val="21"/>
              </w:rPr>
            </w:pPr>
          </w:p>
        </w:tc>
        <w:tc>
          <w:tcPr>
            <w:tcW w:w="0" w:type="auto"/>
            <w:noWrap w:val="0"/>
            <w:vAlign w:val="top"/>
          </w:tcPr>
          <w:p w14:paraId="15567C36">
            <w:pPr>
              <w:tabs>
                <w:tab w:val="left" w:pos="720"/>
              </w:tabs>
              <w:adjustRightInd w:val="0"/>
              <w:snapToGrid w:val="0"/>
              <w:spacing w:line="240" w:lineRule="atLeast"/>
              <w:jc w:val="left"/>
              <w:rPr>
                <w:rFonts w:hint="eastAsia" w:ascii="楷体" w:eastAsia="楷体" w:cs="楷体"/>
                <w:kern w:val="0"/>
                <w:sz w:val="21"/>
                <w:szCs w:val="21"/>
              </w:rPr>
            </w:pPr>
            <w:r>
              <w:rPr>
                <w:rFonts w:hint="eastAsia" w:ascii="楷体" w:eastAsia="楷体" w:cs="楷体"/>
                <w:kern w:val="0"/>
                <w:sz w:val="21"/>
                <w:szCs w:val="21"/>
              </w:rPr>
              <w:t>课程目标3：</w:t>
            </w:r>
          </w:p>
          <w:p w14:paraId="2F5A37F5">
            <w:pPr>
              <w:tabs>
                <w:tab w:val="left" w:pos="720"/>
              </w:tabs>
              <w:adjustRightInd w:val="0"/>
              <w:snapToGrid w:val="0"/>
              <w:spacing w:line="240" w:lineRule="atLeast"/>
              <w:ind w:firstLine="420" w:firstLineChars="200"/>
              <w:jc w:val="left"/>
              <w:rPr>
                <w:rFonts w:hint="eastAsia" w:ascii="楷体" w:eastAsia="楷体" w:cs="楷体"/>
                <w:kern w:val="0"/>
                <w:sz w:val="21"/>
                <w:szCs w:val="21"/>
              </w:rPr>
            </w:pPr>
            <w:r>
              <w:rPr>
                <w:rFonts w:hint="eastAsia" w:ascii="楷体" w:eastAsia="楷体" w:cs="楷体"/>
                <w:kern w:val="0"/>
                <w:sz w:val="21"/>
                <w:szCs w:val="21"/>
              </w:rPr>
              <w:t>在学习理论知识的同时，强化对音乐实践的理解，提高对地方戏曲的审美感受，树立正确的艺术观，审美观，价值观。（支撑毕业要求7.1）</w:t>
            </w:r>
          </w:p>
        </w:tc>
        <w:tc>
          <w:tcPr>
            <w:tcW w:w="0" w:type="auto"/>
            <w:noWrap w:val="0"/>
            <w:vAlign w:val="top"/>
          </w:tcPr>
          <w:p w14:paraId="127C8451">
            <w:pPr>
              <w:tabs>
                <w:tab w:val="left" w:pos="720"/>
              </w:tabs>
              <w:adjustRightInd w:val="0"/>
              <w:snapToGrid w:val="0"/>
              <w:spacing w:line="240" w:lineRule="atLeast"/>
              <w:jc w:val="left"/>
              <w:rPr>
                <w:rFonts w:hint="eastAsia" w:ascii="楷体" w:eastAsia="楷体" w:cs="楷体"/>
                <w:kern w:val="0"/>
                <w:sz w:val="21"/>
                <w:szCs w:val="21"/>
              </w:rPr>
            </w:pPr>
          </w:p>
          <w:p w14:paraId="3DF2F26F">
            <w:pPr>
              <w:tabs>
                <w:tab w:val="left" w:pos="720"/>
              </w:tabs>
              <w:adjustRightInd w:val="0"/>
              <w:snapToGrid w:val="0"/>
              <w:spacing w:line="240" w:lineRule="atLeast"/>
              <w:jc w:val="left"/>
              <w:rPr>
                <w:rFonts w:hint="eastAsia" w:ascii="楷体" w:eastAsia="楷体" w:cs="楷体"/>
                <w:kern w:val="0"/>
                <w:sz w:val="21"/>
                <w:szCs w:val="21"/>
              </w:rPr>
            </w:pPr>
            <w:r>
              <w:rPr>
                <w:rFonts w:hint="eastAsia" w:ascii="楷体" w:eastAsia="楷体" w:cs="楷体"/>
                <w:kern w:val="0"/>
                <w:sz w:val="21"/>
                <w:szCs w:val="21"/>
                <w:lang w:val="en-US" w:eastAsia="zh-CN"/>
              </w:rPr>
              <w:t xml:space="preserve">  很好地</w:t>
            </w:r>
            <w:r>
              <w:rPr>
                <w:rFonts w:hint="eastAsia" w:ascii="楷体" w:eastAsia="楷体" w:cs="楷体"/>
                <w:kern w:val="0"/>
                <w:sz w:val="21"/>
                <w:szCs w:val="21"/>
              </w:rPr>
              <w:t>掌握在学习理论知识的同时，强化对音乐实践的理解，提高对地方戏曲的审美感受，树立正确的艺术观，审美观，价值观。</w:t>
            </w:r>
          </w:p>
        </w:tc>
        <w:tc>
          <w:tcPr>
            <w:tcW w:w="0" w:type="auto"/>
            <w:noWrap w:val="0"/>
            <w:vAlign w:val="top"/>
          </w:tcPr>
          <w:p w14:paraId="7658C6C0">
            <w:pPr>
              <w:tabs>
                <w:tab w:val="left" w:pos="720"/>
              </w:tabs>
              <w:adjustRightInd w:val="0"/>
              <w:snapToGrid w:val="0"/>
              <w:spacing w:line="240" w:lineRule="atLeast"/>
              <w:jc w:val="left"/>
              <w:rPr>
                <w:rFonts w:hint="eastAsia" w:ascii="楷体" w:eastAsia="楷体" w:cs="楷体"/>
                <w:kern w:val="0"/>
                <w:sz w:val="21"/>
                <w:szCs w:val="21"/>
              </w:rPr>
            </w:pPr>
          </w:p>
          <w:p w14:paraId="23E1F376">
            <w:pPr>
              <w:tabs>
                <w:tab w:val="left" w:pos="720"/>
              </w:tabs>
              <w:adjustRightInd w:val="0"/>
              <w:snapToGrid w:val="0"/>
              <w:spacing w:line="240" w:lineRule="atLeast"/>
              <w:ind w:firstLine="420" w:firstLineChars="200"/>
              <w:jc w:val="left"/>
              <w:rPr>
                <w:rFonts w:hint="eastAsia" w:ascii="楷体" w:eastAsia="楷体" w:cs="楷体"/>
                <w:kern w:val="0"/>
                <w:sz w:val="21"/>
                <w:szCs w:val="21"/>
              </w:rPr>
            </w:pPr>
            <w:r>
              <w:rPr>
                <w:rFonts w:hint="eastAsia" w:ascii="楷体" w:eastAsia="楷体" w:cs="楷体"/>
                <w:kern w:val="0"/>
                <w:sz w:val="21"/>
                <w:szCs w:val="21"/>
                <w:lang w:val="en-US" w:eastAsia="zh-CN"/>
              </w:rPr>
              <w:t>较好地</w:t>
            </w:r>
            <w:r>
              <w:rPr>
                <w:rFonts w:hint="eastAsia" w:ascii="楷体" w:eastAsia="楷体" w:cs="楷体"/>
                <w:kern w:val="0"/>
                <w:sz w:val="21"/>
                <w:szCs w:val="21"/>
                <w:lang w:eastAsia="zh-CN"/>
              </w:rPr>
              <w:t>掌握</w:t>
            </w:r>
            <w:r>
              <w:rPr>
                <w:rFonts w:hint="eastAsia" w:ascii="楷体" w:eastAsia="楷体" w:cs="楷体"/>
                <w:kern w:val="0"/>
                <w:sz w:val="21"/>
                <w:szCs w:val="21"/>
              </w:rPr>
              <w:t>在学习理论知识的同时，强化对音乐实践的理解，提高对地方戏曲的审美感受，树立正确的艺术观，审美观，价值观。</w:t>
            </w:r>
          </w:p>
        </w:tc>
        <w:tc>
          <w:tcPr>
            <w:tcW w:w="0" w:type="auto"/>
            <w:noWrap w:val="0"/>
            <w:vAlign w:val="top"/>
          </w:tcPr>
          <w:p w14:paraId="6937F10C">
            <w:pPr>
              <w:tabs>
                <w:tab w:val="left" w:pos="720"/>
              </w:tabs>
              <w:adjustRightInd w:val="0"/>
              <w:snapToGrid w:val="0"/>
              <w:spacing w:line="240" w:lineRule="atLeast"/>
              <w:jc w:val="left"/>
              <w:rPr>
                <w:rFonts w:hint="eastAsia" w:ascii="楷体" w:eastAsia="楷体" w:cs="楷体"/>
                <w:kern w:val="0"/>
                <w:sz w:val="21"/>
                <w:szCs w:val="21"/>
              </w:rPr>
            </w:pPr>
          </w:p>
          <w:p w14:paraId="2A8EBF1D">
            <w:pPr>
              <w:tabs>
                <w:tab w:val="left" w:pos="720"/>
              </w:tabs>
              <w:adjustRightInd w:val="0"/>
              <w:snapToGrid w:val="0"/>
              <w:spacing w:line="240" w:lineRule="atLeast"/>
              <w:ind w:firstLine="420" w:firstLineChars="200"/>
              <w:jc w:val="left"/>
              <w:rPr>
                <w:rFonts w:hint="eastAsia" w:ascii="楷体" w:eastAsia="楷体" w:cs="楷体"/>
                <w:kern w:val="0"/>
                <w:sz w:val="21"/>
                <w:szCs w:val="21"/>
              </w:rPr>
            </w:pPr>
            <w:r>
              <w:rPr>
                <w:rFonts w:hint="eastAsia" w:ascii="楷体" w:eastAsia="楷体" w:cs="楷体"/>
                <w:kern w:val="0"/>
                <w:sz w:val="21"/>
                <w:szCs w:val="21"/>
              </w:rPr>
              <w:t>掌握在学习理论知识的同时，强化对音乐实践的理解，提高对地方戏曲的审美感受，树立正确的艺术观，审美观，价值观。</w:t>
            </w:r>
          </w:p>
        </w:tc>
        <w:tc>
          <w:tcPr>
            <w:tcW w:w="0" w:type="auto"/>
            <w:noWrap w:val="0"/>
            <w:vAlign w:val="top"/>
          </w:tcPr>
          <w:p w14:paraId="6ACEE70F">
            <w:pPr>
              <w:tabs>
                <w:tab w:val="left" w:pos="720"/>
              </w:tabs>
              <w:adjustRightInd w:val="0"/>
              <w:snapToGrid w:val="0"/>
              <w:spacing w:line="240" w:lineRule="atLeast"/>
              <w:jc w:val="left"/>
              <w:rPr>
                <w:rFonts w:hint="eastAsia" w:ascii="楷体" w:eastAsia="楷体" w:cs="楷体"/>
                <w:kern w:val="0"/>
                <w:sz w:val="21"/>
                <w:szCs w:val="21"/>
              </w:rPr>
            </w:pPr>
          </w:p>
          <w:p w14:paraId="3F91DFB7">
            <w:pPr>
              <w:tabs>
                <w:tab w:val="left" w:pos="720"/>
              </w:tabs>
              <w:adjustRightInd w:val="0"/>
              <w:snapToGrid w:val="0"/>
              <w:spacing w:line="240" w:lineRule="atLeast"/>
              <w:ind w:firstLine="420" w:firstLineChars="200"/>
              <w:jc w:val="left"/>
              <w:rPr>
                <w:rFonts w:hint="eastAsia" w:ascii="楷体" w:eastAsia="楷体" w:cs="楷体"/>
                <w:kern w:val="0"/>
                <w:sz w:val="21"/>
                <w:szCs w:val="21"/>
              </w:rPr>
            </w:pPr>
            <w:r>
              <w:rPr>
                <w:rFonts w:hint="eastAsia" w:ascii="楷体" w:eastAsia="楷体" w:cs="楷体"/>
                <w:kern w:val="0"/>
                <w:sz w:val="21"/>
                <w:szCs w:val="21"/>
                <w:lang w:val="en-US" w:eastAsia="zh-CN"/>
              </w:rPr>
              <w:t>基本</w:t>
            </w:r>
            <w:r>
              <w:rPr>
                <w:rFonts w:hint="eastAsia" w:ascii="楷体" w:eastAsia="楷体" w:cs="楷体"/>
                <w:kern w:val="0"/>
                <w:sz w:val="21"/>
                <w:szCs w:val="21"/>
                <w:lang w:eastAsia="zh-CN"/>
              </w:rPr>
              <w:t>了解</w:t>
            </w:r>
            <w:r>
              <w:rPr>
                <w:rFonts w:hint="eastAsia" w:ascii="楷体" w:eastAsia="楷体" w:cs="楷体"/>
                <w:kern w:val="0"/>
                <w:sz w:val="21"/>
                <w:szCs w:val="21"/>
              </w:rPr>
              <w:t>在学习理论知识的同时，强化对音乐实践的理解，提高对地方戏曲的审美感受，树立正确的艺术观，审美观，价值观。</w:t>
            </w:r>
          </w:p>
        </w:tc>
        <w:tc>
          <w:tcPr>
            <w:tcW w:w="0" w:type="auto"/>
            <w:noWrap w:val="0"/>
            <w:vAlign w:val="top"/>
          </w:tcPr>
          <w:p w14:paraId="7B8694CE">
            <w:pPr>
              <w:tabs>
                <w:tab w:val="left" w:pos="720"/>
              </w:tabs>
              <w:adjustRightInd w:val="0"/>
              <w:snapToGrid w:val="0"/>
              <w:spacing w:line="240" w:lineRule="atLeast"/>
              <w:jc w:val="left"/>
              <w:rPr>
                <w:rFonts w:hint="eastAsia" w:ascii="楷体" w:eastAsia="楷体" w:cs="楷体"/>
                <w:kern w:val="0"/>
                <w:sz w:val="21"/>
                <w:szCs w:val="21"/>
              </w:rPr>
            </w:pPr>
          </w:p>
          <w:p w14:paraId="69A0A604">
            <w:pPr>
              <w:tabs>
                <w:tab w:val="left" w:pos="720"/>
              </w:tabs>
              <w:adjustRightInd w:val="0"/>
              <w:snapToGrid w:val="0"/>
              <w:spacing w:line="240" w:lineRule="atLeast"/>
              <w:ind w:firstLine="420" w:firstLineChars="200"/>
              <w:jc w:val="left"/>
              <w:rPr>
                <w:rFonts w:hint="eastAsia" w:ascii="楷体" w:eastAsia="楷体" w:cs="楷体"/>
                <w:kern w:val="0"/>
                <w:sz w:val="21"/>
                <w:szCs w:val="21"/>
              </w:rPr>
            </w:pPr>
            <w:r>
              <w:rPr>
                <w:rFonts w:hint="eastAsia" w:ascii="楷体" w:eastAsia="楷体" w:cs="楷体"/>
                <w:kern w:val="0"/>
                <w:sz w:val="21"/>
                <w:szCs w:val="21"/>
              </w:rPr>
              <w:t>尚不具备在学习理论知识的同时，强化对音乐实践的理解，对地方戏曲的审美感受不明确，没有树立正确的艺术观，审美观，价值观。</w:t>
            </w:r>
          </w:p>
          <w:p w14:paraId="1974A59D">
            <w:pPr>
              <w:tabs>
                <w:tab w:val="left" w:pos="720"/>
              </w:tabs>
              <w:adjustRightInd w:val="0"/>
              <w:snapToGrid w:val="0"/>
              <w:spacing w:line="240" w:lineRule="atLeast"/>
              <w:jc w:val="left"/>
              <w:rPr>
                <w:rFonts w:hint="eastAsia" w:ascii="楷体" w:eastAsia="楷体" w:cs="楷体"/>
                <w:kern w:val="0"/>
                <w:sz w:val="21"/>
                <w:szCs w:val="21"/>
              </w:rPr>
            </w:pPr>
          </w:p>
        </w:tc>
      </w:tr>
    </w:tbl>
    <w:p w14:paraId="648C4772">
      <w:pPr>
        <w:rPr>
          <w:sz w:val="2"/>
          <w:szCs w:val="2"/>
        </w:rPr>
        <w:sectPr>
          <w:headerReference r:id="rId121" w:type="default"/>
          <w:footerReference r:id="rId122" w:type="default"/>
          <w:pgSz w:w="11906" w:h="16838"/>
          <w:pgMar w:top="1440" w:right="1800" w:bottom="1440" w:left="1800" w:header="851" w:footer="992" w:gutter="0"/>
          <w:cols w:space="425" w:num="1"/>
          <w:docGrid w:type="lines" w:linePitch="312" w:charSpace="0"/>
        </w:sectPr>
      </w:pPr>
    </w:p>
    <w:p w14:paraId="4994B87B">
      <w:pPr>
        <w:adjustRightInd w:val="0"/>
        <w:snapToGrid w:val="0"/>
        <w:spacing w:line="560" w:lineRule="exact"/>
        <w:jc w:val="center"/>
        <w:rPr>
          <w:rFonts w:hint="eastAsia" w:eastAsia="方正小标宋简体"/>
          <w:sz w:val="44"/>
          <w:szCs w:val="44"/>
        </w:rPr>
      </w:pPr>
      <w:r>
        <w:rPr>
          <w:rFonts w:hint="eastAsia" w:eastAsia="方正小标宋简体"/>
          <w:sz w:val="44"/>
          <w:szCs w:val="44"/>
        </w:rPr>
        <w:t>三明学院音乐学（音乐教育）专业</w:t>
      </w:r>
    </w:p>
    <w:p w14:paraId="538445B9">
      <w:pPr>
        <w:adjustRightInd w:val="0"/>
        <w:snapToGrid w:val="0"/>
        <w:spacing w:line="560" w:lineRule="exact"/>
        <w:jc w:val="center"/>
        <w:rPr>
          <w:rFonts w:hint="eastAsia" w:eastAsia="方正小标宋简体"/>
          <w:sz w:val="28"/>
          <w:szCs w:val="28"/>
        </w:rPr>
      </w:pPr>
      <w:r>
        <w:rPr>
          <w:rFonts w:hint="eastAsia" w:eastAsia="方正小标宋简体"/>
          <w:sz w:val="44"/>
          <w:szCs w:val="44"/>
        </w:rPr>
        <w:t>《音乐剧》课程教学大纲</w:t>
      </w:r>
    </w:p>
    <w:p w14:paraId="4A3B9186">
      <w:pPr>
        <w:adjustRightInd w:val="0"/>
        <w:snapToGrid w:val="0"/>
        <w:spacing w:line="560" w:lineRule="exact"/>
        <w:jc w:val="center"/>
        <w:rPr>
          <w:rFonts w:hint="eastAsia" w:eastAsia="方正小标宋简体"/>
          <w:sz w:val="24"/>
          <w:szCs w:val="24"/>
        </w:rPr>
      </w:pPr>
    </w:p>
    <w:tbl>
      <w:tblPr>
        <w:tblStyle w:val="22"/>
        <w:tblW w:w="9148"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032"/>
        <w:gridCol w:w="142"/>
        <w:gridCol w:w="1202"/>
        <w:gridCol w:w="1493"/>
        <w:gridCol w:w="113"/>
        <w:gridCol w:w="297"/>
        <w:gridCol w:w="555"/>
        <w:gridCol w:w="775"/>
        <w:gridCol w:w="86"/>
        <w:gridCol w:w="1153"/>
        <w:gridCol w:w="92"/>
        <w:gridCol w:w="832"/>
      </w:tblGrid>
      <w:tr w14:paraId="10F28645">
        <w:trPr>
          <w:trHeight w:val="454" w:hRule="atLeast"/>
        </w:trPr>
        <w:tc>
          <w:tcPr>
            <w:tcW w:w="1376" w:type="dxa"/>
            <w:noWrap w:val="0"/>
            <w:vAlign w:val="center"/>
          </w:tcPr>
          <w:p w14:paraId="7300C187">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课程名称</w:t>
            </w:r>
          </w:p>
        </w:tc>
        <w:tc>
          <w:tcPr>
            <w:tcW w:w="4834" w:type="dxa"/>
            <w:gridSpan w:val="7"/>
            <w:noWrap w:val="0"/>
            <w:vAlign w:val="center"/>
          </w:tcPr>
          <w:p w14:paraId="4EC0E82F">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音乐剧</w:t>
            </w:r>
            <w:r>
              <w:rPr>
                <w:rFonts w:hint="eastAsia" w:ascii="仿宋" w:hAnsi="仿宋" w:eastAsia="仿宋" w:cs="仿宋"/>
                <w:sz w:val="24"/>
                <w:szCs w:val="24"/>
              </w:rPr>
              <w:t>》</w:t>
            </w:r>
          </w:p>
        </w:tc>
        <w:tc>
          <w:tcPr>
            <w:tcW w:w="861" w:type="dxa"/>
            <w:gridSpan w:val="2"/>
            <w:noWrap w:val="0"/>
            <w:vAlign w:val="center"/>
          </w:tcPr>
          <w:p w14:paraId="4A3E2933">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w:t>
            </w:r>
          </w:p>
          <w:p w14:paraId="7D22BC7A">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代码</w:t>
            </w:r>
          </w:p>
        </w:tc>
        <w:tc>
          <w:tcPr>
            <w:tcW w:w="2077" w:type="dxa"/>
            <w:gridSpan w:val="3"/>
            <w:noWrap w:val="0"/>
            <w:vAlign w:val="center"/>
          </w:tcPr>
          <w:p w14:paraId="1B83792E">
            <w:pPr>
              <w:adjustRightInd w:val="0"/>
              <w:snapToGrid w:val="0"/>
              <w:spacing w:line="240" w:lineRule="atLeast"/>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1213502626</w:t>
            </w:r>
          </w:p>
          <w:p w14:paraId="44C5B6DB">
            <w:pPr>
              <w:adjustRightInd w:val="0"/>
              <w:snapToGrid w:val="0"/>
              <w:spacing w:line="240" w:lineRule="atLeast"/>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1213502627</w:t>
            </w:r>
          </w:p>
        </w:tc>
      </w:tr>
      <w:tr w14:paraId="69E9C4A8">
        <w:trPr>
          <w:trHeight w:val="454" w:hRule="atLeast"/>
        </w:trPr>
        <w:tc>
          <w:tcPr>
            <w:tcW w:w="1376" w:type="dxa"/>
            <w:noWrap w:val="0"/>
            <w:vAlign w:val="center"/>
          </w:tcPr>
          <w:p w14:paraId="714CE076">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课程类型</w:t>
            </w:r>
          </w:p>
        </w:tc>
        <w:tc>
          <w:tcPr>
            <w:tcW w:w="7772" w:type="dxa"/>
            <w:gridSpan w:val="12"/>
            <w:noWrap w:val="0"/>
            <w:vAlign w:val="center"/>
          </w:tcPr>
          <w:p w14:paraId="3F217DE4">
            <w:pPr>
              <w:adjustRightInd w:val="0"/>
              <w:snapToGrid w:val="0"/>
              <w:spacing w:line="240" w:lineRule="atLeast"/>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通识必修 </w:t>
            </w:r>
            <w:r>
              <w:rPr>
                <w:rFonts w:hint="eastAsia" w:ascii="仿宋" w:hAnsi="仿宋" w:eastAsia="仿宋" w:cs="仿宋"/>
                <w:sz w:val="24"/>
                <w:szCs w:val="24"/>
              </w:rPr>
              <w:sym w:font="Wingdings" w:char="00A8"/>
            </w:r>
            <w:r>
              <w:rPr>
                <w:rFonts w:hint="eastAsia" w:ascii="仿宋" w:hAnsi="仿宋" w:eastAsia="仿宋" w:cs="仿宋"/>
                <w:sz w:val="24"/>
                <w:szCs w:val="24"/>
              </w:rPr>
              <w:t>通识选修</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专业必修 </w:t>
            </w:r>
          </w:p>
          <w:p w14:paraId="095EA376">
            <w:pPr>
              <w:adjustRightInd w:val="0"/>
              <w:snapToGrid w:val="0"/>
              <w:spacing w:line="240" w:lineRule="atLeast"/>
              <w:rPr>
                <w:rFonts w:hint="eastAsia" w:ascii="仿宋" w:hAnsi="仿宋" w:eastAsia="仿宋" w:cs="仿宋"/>
                <w:sz w:val="24"/>
                <w:szCs w:val="24"/>
              </w:rPr>
            </w:pPr>
            <w:r>
              <w:rPr>
                <w:rFonts w:hint="eastAsia" w:ascii="仿宋" w:hAnsi="仿宋" w:eastAsia="仿宋" w:cs="仿宋"/>
                <w:sz w:val="24"/>
                <w:szCs w:val="24"/>
              </w:rPr>
              <w:sym w:font="Wingdings" w:char="F0FE"/>
            </w:r>
            <w:r>
              <w:rPr>
                <w:rFonts w:hint="eastAsia" w:ascii="仿宋" w:hAnsi="仿宋" w:eastAsia="仿宋" w:cs="仿宋"/>
                <w:sz w:val="24"/>
                <w:szCs w:val="24"/>
              </w:rPr>
              <w:t>专业选修</w:t>
            </w:r>
            <w:r>
              <w:rPr>
                <w:rFonts w:hint="eastAsia" w:ascii="仿宋" w:hAnsi="仿宋" w:eastAsia="仿宋" w:cs="仿宋"/>
                <w:sz w:val="24"/>
                <w:szCs w:val="24"/>
                <w:lang w:eastAsia="zh-TW"/>
              </w:rPr>
              <w:t xml:space="preserve">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教师教育必修 </w:t>
            </w:r>
            <w:r>
              <w:rPr>
                <w:rFonts w:hint="eastAsia" w:ascii="仿宋" w:hAnsi="仿宋" w:eastAsia="仿宋" w:cs="仿宋"/>
                <w:sz w:val="24"/>
                <w:szCs w:val="24"/>
              </w:rPr>
              <w:sym w:font="Wingdings" w:char="00A8"/>
            </w:r>
            <w:r>
              <w:rPr>
                <w:rFonts w:hint="eastAsia" w:ascii="仿宋" w:hAnsi="仿宋" w:eastAsia="仿宋" w:cs="仿宋"/>
                <w:sz w:val="24"/>
                <w:szCs w:val="24"/>
              </w:rPr>
              <w:t>教师教育选修</w:t>
            </w:r>
          </w:p>
        </w:tc>
      </w:tr>
      <w:tr w14:paraId="2433E622">
        <w:trPr>
          <w:trHeight w:val="406" w:hRule="atLeast"/>
        </w:trPr>
        <w:tc>
          <w:tcPr>
            <w:tcW w:w="1376" w:type="dxa"/>
            <w:noWrap w:val="0"/>
            <w:vAlign w:val="center"/>
          </w:tcPr>
          <w:p w14:paraId="2EFE023F">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开课学期</w:t>
            </w:r>
          </w:p>
        </w:tc>
        <w:tc>
          <w:tcPr>
            <w:tcW w:w="1174" w:type="dxa"/>
            <w:gridSpan w:val="2"/>
            <w:noWrap w:val="0"/>
            <w:vAlign w:val="center"/>
          </w:tcPr>
          <w:p w14:paraId="1788DDEB">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第5</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6</w:t>
            </w:r>
            <w:r>
              <w:rPr>
                <w:rFonts w:hint="eastAsia" w:ascii="仿宋" w:hAnsi="仿宋" w:eastAsia="仿宋" w:cs="仿宋"/>
                <w:sz w:val="24"/>
                <w:szCs w:val="24"/>
              </w:rPr>
              <w:t>学期</w:t>
            </w:r>
          </w:p>
        </w:tc>
        <w:tc>
          <w:tcPr>
            <w:tcW w:w="1202" w:type="dxa"/>
            <w:noWrap w:val="0"/>
            <w:vAlign w:val="center"/>
          </w:tcPr>
          <w:p w14:paraId="21A5DB78">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学分</w:t>
            </w:r>
          </w:p>
        </w:tc>
        <w:tc>
          <w:tcPr>
            <w:tcW w:w="1606" w:type="dxa"/>
            <w:gridSpan w:val="2"/>
            <w:noWrap w:val="0"/>
            <w:vAlign w:val="center"/>
          </w:tcPr>
          <w:p w14:paraId="6DFA495F">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2</w:t>
            </w:r>
          </w:p>
        </w:tc>
        <w:tc>
          <w:tcPr>
            <w:tcW w:w="1713" w:type="dxa"/>
            <w:gridSpan w:val="4"/>
            <w:noWrap w:val="0"/>
            <w:vAlign w:val="center"/>
          </w:tcPr>
          <w:p w14:paraId="6B58FEDE">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课程负责人</w:t>
            </w:r>
          </w:p>
        </w:tc>
        <w:tc>
          <w:tcPr>
            <w:tcW w:w="2077" w:type="dxa"/>
            <w:gridSpan w:val="3"/>
            <w:noWrap w:val="0"/>
            <w:vAlign w:val="center"/>
          </w:tcPr>
          <w:p w14:paraId="48D1035C">
            <w:pPr>
              <w:adjustRightInd w:val="0"/>
              <w:snapToGrid w:val="0"/>
              <w:spacing w:line="240" w:lineRule="atLeast"/>
              <w:ind w:firstLine="720" w:firstLineChars="300"/>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吴安琪</w:t>
            </w:r>
          </w:p>
        </w:tc>
      </w:tr>
      <w:tr w14:paraId="6063E367">
        <w:trPr>
          <w:trHeight w:val="485" w:hRule="atLeast"/>
        </w:trPr>
        <w:tc>
          <w:tcPr>
            <w:tcW w:w="1376" w:type="dxa"/>
            <w:noWrap w:val="0"/>
            <w:vAlign w:val="center"/>
          </w:tcPr>
          <w:p w14:paraId="1A3A03C8">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总学时</w:t>
            </w:r>
          </w:p>
        </w:tc>
        <w:tc>
          <w:tcPr>
            <w:tcW w:w="1174" w:type="dxa"/>
            <w:gridSpan w:val="2"/>
            <w:noWrap w:val="0"/>
            <w:vAlign w:val="center"/>
          </w:tcPr>
          <w:p w14:paraId="4C81CB02">
            <w:pPr>
              <w:adjustRightInd w:val="0"/>
              <w:snapToGrid w:val="0"/>
              <w:spacing w:line="240" w:lineRule="atLeast"/>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64</w:t>
            </w:r>
          </w:p>
        </w:tc>
        <w:tc>
          <w:tcPr>
            <w:tcW w:w="1202" w:type="dxa"/>
            <w:noWrap w:val="0"/>
            <w:vAlign w:val="center"/>
          </w:tcPr>
          <w:p w14:paraId="046FC623">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理论学时</w:t>
            </w:r>
          </w:p>
        </w:tc>
        <w:tc>
          <w:tcPr>
            <w:tcW w:w="1606" w:type="dxa"/>
            <w:gridSpan w:val="2"/>
            <w:noWrap w:val="0"/>
            <w:vAlign w:val="center"/>
          </w:tcPr>
          <w:p w14:paraId="0AA4389C">
            <w:pPr>
              <w:adjustRightInd w:val="0"/>
              <w:snapToGrid w:val="0"/>
              <w:spacing w:line="240" w:lineRule="atLeast"/>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32</w:t>
            </w:r>
          </w:p>
        </w:tc>
        <w:tc>
          <w:tcPr>
            <w:tcW w:w="1713" w:type="dxa"/>
            <w:gridSpan w:val="4"/>
            <w:tcBorders>
              <w:right w:val="single" w:color="000000" w:sz="4" w:space="0"/>
            </w:tcBorders>
            <w:noWrap w:val="0"/>
            <w:vAlign w:val="center"/>
          </w:tcPr>
          <w:p w14:paraId="57ADDA15">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实践学时</w:t>
            </w:r>
          </w:p>
        </w:tc>
        <w:tc>
          <w:tcPr>
            <w:tcW w:w="2077" w:type="dxa"/>
            <w:gridSpan w:val="3"/>
            <w:tcBorders>
              <w:left w:val="single" w:color="000000" w:sz="4" w:space="0"/>
            </w:tcBorders>
            <w:noWrap w:val="0"/>
            <w:vAlign w:val="center"/>
          </w:tcPr>
          <w:p w14:paraId="40346B9B">
            <w:pPr>
              <w:adjustRightInd w:val="0"/>
              <w:snapToGrid w:val="0"/>
              <w:spacing w:line="240" w:lineRule="atLeast"/>
              <w:ind w:firstLine="840" w:firstLineChars="350"/>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32</w:t>
            </w:r>
          </w:p>
        </w:tc>
      </w:tr>
      <w:tr w14:paraId="52662E9B">
        <w:trPr>
          <w:trHeight w:val="454" w:hRule="atLeast"/>
        </w:trPr>
        <w:tc>
          <w:tcPr>
            <w:tcW w:w="1376" w:type="dxa"/>
            <w:noWrap w:val="0"/>
            <w:vAlign w:val="center"/>
          </w:tcPr>
          <w:p w14:paraId="3D4B9A27">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选修</w:t>
            </w:r>
            <w:r>
              <w:rPr>
                <w:rFonts w:hint="eastAsia" w:ascii="仿宋" w:hAnsi="仿宋" w:eastAsia="仿宋" w:cs="仿宋"/>
                <w:color w:val="000000"/>
                <w:sz w:val="24"/>
                <w:szCs w:val="24"/>
              </w:rPr>
              <w:t>课程与后续课程</w:t>
            </w:r>
          </w:p>
        </w:tc>
        <w:tc>
          <w:tcPr>
            <w:tcW w:w="7772" w:type="dxa"/>
            <w:gridSpan w:val="12"/>
            <w:noWrap w:val="0"/>
            <w:vAlign w:val="center"/>
          </w:tcPr>
          <w:p w14:paraId="7A510C01">
            <w:pPr>
              <w:tabs>
                <w:tab w:val="left" w:pos="720"/>
              </w:tabs>
              <w:adjustRightInd w:val="0"/>
              <w:snapToGrid w:val="0"/>
              <w:jc w:val="left"/>
              <w:rPr>
                <w:rFonts w:hint="default" w:ascii="仿宋" w:hAnsi="仿宋" w:eastAsia="仿宋" w:cs="仿宋"/>
                <w:sz w:val="24"/>
                <w:szCs w:val="24"/>
                <w:lang w:val="en-US" w:eastAsia="zh-CN"/>
              </w:rPr>
            </w:pPr>
            <w:r>
              <w:rPr>
                <w:rFonts w:hint="eastAsia" w:ascii="仿宋" w:hAnsi="仿宋" w:eastAsia="仿宋" w:cs="仿宋"/>
                <w:sz w:val="24"/>
                <w:szCs w:val="24"/>
                <w:lang w:eastAsia="zh-CN"/>
              </w:rPr>
              <w:t>选修</w:t>
            </w:r>
            <w:r>
              <w:rPr>
                <w:rFonts w:hint="eastAsia" w:ascii="仿宋" w:hAnsi="仿宋" w:eastAsia="仿宋" w:cs="仿宋"/>
                <w:sz w:val="24"/>
                <w:szCs w:val="24"/>
              </w:rPr>
              <w:t>课程：</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声乐基础</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形体舞蹈</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等</w:t>
            </w:r>
          </w:p>
          <w:p w14:paraId="5BCEF294">
            <w:pPr>
              <w:tabs>
                <w:tab w:val="left" w:pos="720"/>
              </w:tabs>
              <w:adjustRightInd w:val="0"/>
              <w:snapToGrid w:val="0"/>
              <w:jc w:val="left"/>
              <w:rPr>
                <w:rFonts w:hint="default" w:ascii="仿宋" w:hAnsi="仿宋" w:eastAsia="仿宋" w:cs="仿宋"/>
                <w:sz w:val="24"/>
                <w:szCs w:val="24"/>
                <w:lang w:val="en-US" w:eastAsia="zh-CN"/>
              </w:rPr>
            </w:pPr>
            <w:r>
              <w:rPr>
                <w:rFonts w:hint="eastAsia" w:ascii="仿宋" w:hAnsi="仿宋" w:eastAsia="仿宋" w:cs="仿宋"/>
                <w:sz w:val="24"/>
                <w:szCs w:val="24"/>
              </w:rPr>
              <w:t>后续课程：</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毕业汇演</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等</w:t>
            </w:r>
          </w:p>
        </w:tc>
      </w:tr>
      <w:tr w14:paraId="7DA6D961">
        <w:trPr>
          <w:trHeight w:val="454" w:hRule="atLeast"/>
        </w:trPr>
        <w:tc>
          <w:tcPr>
            <w:tcW w:w="1376" w:type="dxa"/>
            <w:noWrap w:val="0"/>
            <w:vAlign w:val="center"/>
          </w:tcPr>
          <w:p w14:paraId="4976923E">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适用专业</w:t>
            </w:r>
          </w:p>
        </w:tc>
        <w:tc>
          <w:tcPr>
            <w:tcW w:w="7772" w:type="dxa"/>
            <w:gridSpan w:val="12"/>
            <w:noWrap w:val="0"/>
            <w:vAlign w:val="center"/>
          </w:tcPr>
          <w:p w14:paraId="2CFEF4CB">
            <w:pPr>
              <w:adjustRightInd w:val="0"/>
              <w:snapToGrid w:val="0"/>
              <w:spacing w:line="240" w:lineRule="atLeast"/>
              <w:jc w:val="center"/>
              <w:rPr>
                <w:rFonts w:hint="default" w:ascii="仿宋" w:hAnsi="仿宋" w:eastAsia="仿宋" w:cs="仿宋"/>
                <w:sz w:val="24"/>
                <w:szCs w:val="24"/>
                <w:lang w:val="en-US"/>
              </w:rPr>
            </w:pPr>
            <w:r>
              <w:rPr>
                <w:rFonts w:hint="eastAsia" w:ascii="仿宋" w:hAnsi="仿宋" w:eastAsia="仿宋" w:cs="仿宋"/>
                <w:sz w:val="24"/>
                <w:szCs w:val="24"/>
              </w:rPr>
              <w:t>音乐</w:t>
            </w:r>
            <w:r>
              <w:rPr>
                <w:rFonts w:hint="eastAsia" w:ascii="仿宋" w:hAnsi="仿宋" w:eastAsia="仿宋" w:cs="仿宋"/>
                <w:sz w:val="24"/>
                <w:szCs w:val="24"/>
                <w:lang w:val="en-US" w:eastAsia="zh-CN"/>
              </w:rPr>
              <w:t>学（音乐教育）</w:t>
            </w:r>
          </w:p>
        </w:tc>
      </w:tr>
      <w:tr w14:paraId="2AD86612">
        <w:tc>
          <w:tcPr>
            <w:tcW w:w="1376" w:type="dxa"/>
            <w:tcBorders>
              <w:bottom w:val="single" w:color="auto" w:sz="4" w:space="0"/>
            </w:tcBorders>
            <w:noWrap w:val="0"/>
            <w:vAlign w:val="center"/>
          </w:tcPr>
          <w:p w14:paraId="35052FE2">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A</w:t>
            </w:r>
          </w:p>
          <w:p w14:paraId="2DD8DB43">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参考教材</w:t>
            </w:r>
          </w:p>
        </w:tc>
        <w:tc>
          <w:tcPr>
            <w:tcW w:w="7772" w:type="dxa"/>
            <w:gridSpan w:val="12"/>
            <w:tcBorders>
              <w:bottom w:val="single" w:color="auto" w:sz="4" w:space="0"/>
            </w:tcBorders>
            <w:noWrap w:val="0"/>
            <w:vAlign w:val="center"/>
          </w:tcPr>
          <w:p w14:paraId="10C3FDAB">
            <w:pPr>
              <w:tabs>
                <w:tab w:val="left" w:pos="720"/>
              </w:tabs>
              <w:adjustRightInd w:val="0"/>
              <w:snapToGrid w:val="0"/>
              <w:jc w:val="left"/>
              <w:rPr>
                <w:rFonts w:hint="eastAsia" w:ascii="仿宋" w:hAnsi="仿宋" w:eastAsia="仿宋" w:cs="仿宋"/>
                <w:sz w:val="24"/>
                <w:szCs w:val="24"/>
              </w:rPr>
            </w:pPr>
            <w:r>
              <w:rPr>
                <w:rFonts w:hint="eastAsia" w:ascii="仿宋" w:hAnsi="仿宋" w:eastAsia="仿宋" w:cs="仿宋"/>
                <w:sz w:val="24"/>
                <w:szCs w:val="24"/>
                <w:lang w:val="en-US" w:eastAsia="zh-CN"/>
              </w:rPr>
              <w:t>周映辰.音乐剧——实践的艺术</w:t>
            </w:r>
            <w:r>
              <w:rPr>
                <w:rFonts w:hint="eastAsia" w:ascii="仿宋" w:hAnsi="仿宋" w:eastAsia="仿宋" w:cs="仿宋"/>
                <w:sz w:val="24"/>
                <w:szCs w:val="24"/>
              </w:rPr>
              <w:t>[M]</w:t>
            </w:r>
            <w:r>
              <w:rPr>
                <w:rFonts w:hint="eastAsia" w:ascii="仿宋" w:hAnsi="仿宋" w:eastAsia="仿宋" w:cs="仿宋"/>
                <w:sz w:val="24"/>
                <w:szCs w:val="24"/>
                <w:lang w:val="en-US" w:eastAsia="zh-CN"/>
              </w:rPr>
              <w:t>.中国戏剧出版社,2019.12</w:t>
            </w:r>
            <w:r>
              <w:rPr>
                <w:rFonts w:hint="eastAsia" w:ascii="仿宋" w:hAnsi="仿宋" w:eastAsia="仿宋" w:cs="仿宋"/>
                <w:sz w:val="24"/>
                <w:szCs w:val="24"/>
              </w:rPr>
              <w:t xml:space="preserve">  </w:t>
            </w:r>
          </w:p>
        </w:tc>
      </w:tr>
      <w:tr w14:paraId="78125013">
        <w:tc>
          <w:tcPr>
            <w:tcW w:w="1376" w:type="dxa"/>
            <w:tcBorders>
              <w:bottom w:val="single" w:color="auto" w:sz="4" w:space="0"/>
            </w:tcBorders>
            <w:noWrap w:val="0"/>
            <w:vAlign w:val="center"/>
          </w:tcPr>
          <w:p w14:paraId="53F55B91">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B</w:t>
            </w:r>
          </w:p>
          <w:p w14:paraId="67310992">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主要参考书籍</w:t>
            </w:r>
          </w:p>
        </w:tc>
        <w:tc>
          <w:tcPr>
            <w:tcW w:w="7772" w:type="dxa"/>
            <w:gridSpan w:val="12"/>
            <w:tcBorders>
              <w:bottom w:val="single" w:color="auto" w:sz="4" w:space="0"/>
            </w:tcBorders>
            <w:noWrap w:val="0"/>
            <w:vAlign w:val="center"/>
          </w:tcPr>
          <w:p w14:paraId="3E16648B">
            <w:pPr>
              <w:tabs>
                <w:tab w:val="left" w:pos="720"/>
              </w:tabs>
              <w:adjustRightInd w:val="0"/>
              <w:snapToGrid w:val="0"/>
              <w:jc w:val="left"/>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[1]文硕著.中国近代音乐剧史》（上）（下）</w:t>
            </w:r>
            <w:r>
              <w:rPr>
                <w:rFonts w:hint="eastAsia" w:ascii="仿宋" w:hAnsi="仿宋" w:eastAsia="仿宋" w:cs="仿宋"/>
                <w:sz w:val="24"/>
                <w:szCs w:val="24"/>
              </w:rPr>
              <w:t>[M]</w:t>
            </w:r>
            <w:r>
              <w:rPr>
                <w:rFonts w:hint="eastAsia" w:ascii="仿宋" w:hAnsi="仿宋" w:eastAsia="仿宋" w:cs="仿宋"/>
                <w:sz w:val="24"/>
                <w:szCs w:val="24"/>
                <w:lang w:val="en-US" w:eastAsia="zh-CN"/>
              </w:rPr>
              <w:t>.西苑出版社，2012.</w:t>
            </w:r>
          </w:p>
          <w:p w14:paraId="764504D4">
            <w:pPr>
              <w:tabs>
                <w:tab w:val="left" w:pos="720"/>
              </w:tabs>
              <w:adjustRightInd w:val="0"/>
              <w:snapToGrid w:val="0"/>
              <w:jc w:val="left"/>
              <w:rPr>
                <w:rFonts w:hint="eastAsia" w:ascii="仿宋" w:hAnsi="仿宋" w:eastAsia="仿宋" w:cs="仿宋"/>
                <w:sz w:val="24"/>
                <w:szCs w:val="24"/>
              </w:rPr>
            </w:pPr>
            <w:r>
              <w:rPr>
                <w:rFonts w:hint="eastAsia" w:ascii="仿宋" w:hAnsi="仿宋" w:eastAsia="仿宋" w:cs="仿宋"/>
                <w:sz w:val="24"/>
                <w:szCs w:val="24"/>
                <w:lang w:val="en-US" w:eastAsia="zh-CN"/>
              </w:rPr>
              <w:t>[2]居其宏编著.音乐剧，我为你疯狂-从百老汇到全世界</w:t>
            </w:r>
            <w:r>
              <w:rPr>
                <w:rFonts w:hint="eastAsia" w:ascii="仿宋" w:hAnsi="仿宋" w:eastAsia="仿宋" w:cs="仿宋"/>
                <w:sz w:val="24"/>
                <w:szCs w:val="24"/>
              </w:rPr>
              <w:t>[M]</w:t>
            </w:r>
            <w:r>
              <w:rPr>
                <w:rFonts w:hint="eastAsia" w:ascii="仿宋" w:hAnsi="仿宋" w:eastAsia="仿宋" w:cs="仿宋"/>
                <w:sz w:val="24"/>
                <w:szCs w:val="24"/>
                <w:lang w:val="en-US" w:eastAsia="zh-CN"/>
              </w:rPr>
              <w:t>.上海教育出版社，2001(05).</w:t>
            </w:r>
          </w:p>
        </w:tc>
      </w:tr>
      <w:tr w14:paraId="4F68FE0D">
        <w:tc>
          <w:tcPr>
            <w:tcW w:w="1376" w:type="dxa"/>
            <w:tcBorders>
              <w:bottom w:val="single" w:color="auto" w:sz="4" w:space="0"/>
            </w:tcBorders>
            <w:noWrap w:val="0"/>
            <w:vAlign w:val="center"/>
          </w:tcPr>
          <w:p w14:paraId="5E94D245">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C</w:t>
            </w:r>
          </w:p>
          <w:p w14:paraId="380310A0">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线上学习资源</w:t>
            </w:r>
          </w:p>
        </w:tc>
        <w:tc>
          <w:tcPr>
            <w:tcW w:w="7772" w:type="dxa"/>
            <w:gridSpan w:val="12"/>
            <w:tcBorders>
              <w:bottom w:val="single" w:color="auto" w:sz="4" w:space="0"/>
            </w:tcBorders>
            <w:noWrap w:val="0"/>
            <w:vAlign w:val="center"/>
          </w:tcPr>
          <w:p w14:paraId="049BB923">
            <w:pPr>
              <w:tabs>
                <w:tab w:val="left" w:pos="720"/>
              </w:tabs>
              <w:adjustRightInd w:val="0"/>
              <w:snapToGrid w:val="0"/>
              <w:ind w:firstLine="480" w:firstLineChars="200"/>
              <w:jc w:val="left"/>
              <w:rPr>
                <w:rFonts w:hint="eastAsia" w:eastAsia="仿宋_GB2312"/>
                <w:sz w:val="24"/>
              </w:rPr>
            </w:pPr>
            <w:r>
              <w:rPr>
                <w:rFonts w:hint="eastAsia" w:ascii="仿宋" w:hAnsi="仿宋" w:eastAsia="仿宋" w:cs="仿宋"/>
                <w:sz w:val="24"/>
                <w:szCs w:val="24"/>
                <w:lang w:val="en-US" w:eastAsia="zh-CN"/>
              </w:rPr>
              <w:t>本课程已经建立超星平台网络课程，同学们依据学校提供的账号与密码登录课程网站，可查看教学大纲、授课计划、考核方法、课程PPT、教学视频、电子教材、音频、阅读资料、仿真软件、网络文献链接网址等教学资源。</w:t>
            </w:r>
          </w:p>
        </w:tc>
      </w:tr>
      <w:tr w14:paraId="1274B247">
        <w:trPr>
          <w:trHeight w:val="90" w:hRule="atLeast"/>
        </w:trPr>
        <w:tc>
          <w:tcPr>
            <w:tcW w:w="1376" w:type="dxa"/>
            <w:shd w:val="clear" w:color="auto" w:fill="FFFFFF"/>
            <w:noWrap w:val="0"/>
            <w:vAlign w:val="center"/>
          </w:tcPr>
          <w:p w14:paraId="3F27597F">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D</w:t>
            </w:r>
          </w:p>
          <w:p w14:paraId="0D632993">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课程描述 </w:t>
            </w:r>
          </w:p>
          <w:p w14:paraId="659E47E5">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含</w:t>
            </w:r>
            <w:r>
              <w:rPr>
                <w:rFonts w:hint="eastAsia" w:ascii="仿宋" w:hAnsi="仿宋" w:eastAsia="仿宋" w:cs="仿宋"/>
                <w:color w:val="000000"/>
                <w:sz w:val="24"/>
                <w:szCs w:val="24"/>
                <w:lang w:eastAsia="zh-TW"/>
              </w:rPr>
              <w:t>性质、地位和任务</w:t>
            </w:r>
            <w:r>
              <w:rPr>
                <w:rFonts w:hint="eastAsia" w:ascii="仿宋" w:hAnsi="仿宋" w:eastAsia="仿宋" w:cs="仿宋"/>
                <w:color w:val="000000"/>
                <w:sz w:val="24"/>
                <w:szCs w:val="24"/>
                <w:lang w:eastAsia="zh-CN"/>
              </w:rPr>
              <w:t>）</w:t>
            </w:r>
          </w:p>
        </w:tc>
        <w:tc>
          <w:tcPr>
            <w:tcW w:w="7772" w:type="dxa"/>
            <w:gridSpan w:val="12"/>
            <w:tcBorders>
              <w:bottom w:val="single" w:color="auto" w:sz="4" w:space="0"/>
            </w:tcBorders>
            <w:shd w:val="clear" w:color="auto" w:fill="FFFFFF"/>
            <w:noWrap w:val="0"/>
            <w:vAlign w:val="center"/>
          </w:tcPr>
          <w:p w14:paraId="51CE40C0">
            <w:pPr>
              <w:widowControl/>
              <w:spacing w:line="400" w:lineRule="exact"/>
              <w:ind w:firstLine="480" w:firstLineChars="200"/>
              <w:jc w:val="left"/>
              <w:rPr>
                <w:rFonts w:ascii="宋体" w:hAnsi="宋体" w:cs="宋体"/>
                <w:color w:val="000000"/>
                <w:szCs w:val="21"/>
              </w:rPr>
            </w:pPr>
            <w:r>
              <w:rPr>
                <w:rFonts w:hint="eastAsia" w:ascii="仿宋" w:hAnsi="仿宋" w:eastAsia="仿宋" w:cs="仿宋"/>
                <w:sz w:val="24"/>
                <w:szCs w:val="24"/>
                <w:lang w:val="en-US" w:eastAsia="zh-CN"/>
              </w:rPr>
              <w:t>《音乐剧》课程拟选择</w:t>
            </w:r>
            <w:r>
              <w:rPr>
                <w:rFonts w:hint="default" w:ascii="仿宋" w:hAnsi="仿宋" w:eastAsia="仿宋" w:cs="仿宋"/>
                <w:sz w:val="24"/>
                <w:szCs w:val="24"/>
                <w:lang w:val="en-US" w:eastAsia="zh-CN"/>
              </w:rPr>
              <w:t>10</w:t>
            </w:r>
            <w:r>
              <w:rPr>
                <w:rFonts w:hint="eastAsia" w:ascii="仿宋" w:hAnsi="仿宋" w:eastAsia="仿宋" w:cs="仿宋"/>
                <w:sz w:val="24"/>
                <w:szCs w:val="24"/>
                <w:lang w:val="en-US" w:eastAsia="zh-CN"/>
              </w:rPr>
              <w:t>部世界经典音乐剧作品进行深度品鉴，教学内容涵盖音乐剧剧情概述、音乐品鉴、人生含义等，并从美育教学的角度映射每一部剧目深谙的人性哲理与思想，启迪学生对美的感应并亲身感受参与排列，让心灵扬帆起航，寻找人生的快乐，美化人的一生。当前高校美育教育的发展新阶段，通识教育课程应运而生，该课程旨在使学生通过对经典音乐剧的鉴赏与深读，对经典音乐剧作品有较为深入的了解与认识，还能通过剧中深谙的思想得到感悟与思考，建立正确的世界观、人生观、价值观，追逐信仰与梦想，促进人文素养的全面提高。</w:t>
            </w:r>
          </w:p>
        </w:tc>
      </w:tr>
      <w:tr w14:paraId="2613A29E">
        <w:trPr>
          <w:trHeight w:val="3071" w:hRule="atLeast"/>
        </w:trPr>
        <w:tc>
          <w:tcPr>
            <w:tcW w:w="1376" w:type="dxa"/>
            <w:vMerge w:val="restart"/>
            <w:shd w:val="clear" w:color="auto" w:fill="FFFFFF"/>
            <w:noWrap w:val="0"/>
            <w:vAlign w:val="center"/>
          </w:tcPr>
          <w:p w14:paraId="06BA8793">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E</w:t>
            </w:r>
          </w:p>
          <w:p w14:paraId="45B1974B">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课程学习目标及其与毕业要求的对应关系</w:t>
            </w:r>
          </w:p>
        </w:tc>
        <w:tc>
          <w:tcPr>
            <w:tcW w:w="7772" w:type="dxa"/>
            <w:gridSpan w:val="12"/>
            <w:tcBorders>
              <w:bottom w:val="single" w:color="auto" w:sz="4" w:space="0"/>
            </w:tcBorders>
            <w:shd w:val="clear" w:color="auto" w:fill="FFFFFF"/>
            <w:noWrap w:val="0"/>
            <w:vAlign w:val="center"/>
          </w:tcPr>
          <w:p w14:paraId="3634CFD1">
            <w:pPr>
              <w:widowControl/>
              <w:spacing w:line="400" w:lineRule="exact"/>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通过本课程的学习，学生具备如下知识、能力及情感态度价值观。</w:t>
            </w:r>
          </w:p>
          <w:p w14:paraId="0D067B7D">
            <w:pPr>
              <w:widowControl/>
              <w:spacing w:line="400" w:lineRule="exact"/>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课程目标1：了解音乐剧基本知识，对经典音乐剧作品有较为深入的了解与认识。（支撑毕业要求3.1）</w:t>
            </w:r>
          </w:p>
          <w:p w14:paraId="5A71C660">
            <w:pPr>
              <w:widowControl/>
              <w:spacing w:line="400" w:lineRule="exact"/>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课程目标2：通过剧中深谙的思想得到感悟与思考，建立正确的世界观、人生观、价值观。（支撑毕业要求6.1）</w:t>
            </w:r>
          </w:p>
          <w:p w14:paraId="4621B684">
            <w:pPr>
              <w:widowControl/>
              <w:spacing w:line="40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lang w:val="en-US" w:eastAsia="zh-CN"/>
              </w:rPr>
              <w:t>课程目标3：能够知晓音乐剧发展的趋势、动态以及与教学实践和社会生活的联系。（支撑毕业要求8.2）</w:t>
            </w:r>
          </w:p>
        </w:tc>
      </w:tr>
      <w:tr w14:paraId="647F1F33">
        <w:trPr>
          <w:trHeight w:val="642" w:hRule="atLeast"/>
        </w:trPr>
        <w:tc>
          <w:tcPr>
            <w:tcW w:w="1376" w:type="dxa"/>
            <w:vMerge w:val="continue"/>
            <w:shd w:val="clear" w:color="auto" w:fill="FFFFFF"/>
            <w:noWrap w:val="0"/>
            <w:vAlign w:val="center"/>
          </w:tcPr>
          <w:p w14:paraId="002C7C9A">
            <w:pPr>
              <w:adjustRightInd w:val="0"/>
              <w:snapToGrid w:val="0"/>
              <w:spacing w:line="240" w:lineRule="atLeast"/>
              <w:jc w:val="center"/>
              <w:rPr>
                <w:rFonts w:hint="eastAsia" w:ascii="仿宋" w:hAnsi="仿宋" w:eastAsia="仿宋" w:cs="仿宋"/>
                <w:color w:val="000000"/>
                <w:sz w:val="24"/>
                <w:szCs w:val="24"/>
              </w:rPr>
            </w:pPr>
          </w:p>
        </w:tc>
        <w:tc>
          <w:tcPr>
            <w:tcW w:w="1174" w:type="dxa"/>
            <w:gridSpan w:val="2"/>
            <w:tcBorders>
              <w:bottom w:val="single" w:color="auto" w:sz="4" w:space="0"/>
            </w:tcBorders>
            <w:shd w:val="clear" w:color="auto" w:fill="FFFFFF"/>
            <w:noWrap w:val="0"/>
            <w:vAlign w:val="center"/>
          </w:tcPr>
          <w:p w14:paraId="50EDAFC2">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w:t>
            </w:r>
          </w:p>
        </w:tc>
        <w:tc>
          <w:tcPr>
            <w:tcW w:w="4521" w:type="dxa"/>
            <w:gridSpan w:val="7"/>
            <w:tcBorders>
              <w:bottom w:val="single" w:color="auto" w:sz="4" w:space="0"/>
            </w:tcBorders>
            <w:shd w:val="clear" w:color="auto" w:fill="FFFFFF"/>
            <w:noWrap w:val="0"/>
            <w:vAlign w:val="center"/>
          </w:tcPr>
          <w:p w14:paraId="79F316CB">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毕业要求分解指标点</w:t>
            </w:r>
          </w:p>
        </w:tc>
        <w:tc>
          <w:tcPr>
            <w:tcW w:w="2077" w:type="dxa"/>
            <w:gridSpan w:val="3"/>
            <w:tcBorders>
              <w:bottom w:val="single" w:color="auto" w:sz="4" w:space="0"/>
            </w:tcBorders>
            <w:shd w:val="clear" w:color="auto" w:fill="FFFFFF"/>
            <w:noWrap w:val="0"/>
            <w:vAlign w:val="center"/>
          </w:tcPr>
          <w:p w14:paraId="7FE58258">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毕业要求</w:t>
            </w:r>
          </w:p>
        </w:tc>
      </w:tr>
      <w:tr w14:paraId="677F48D1">
        <w:trPr>
          <w:trHeight w:val="1278" w:hRule="atLeast"/>
        </w:trPr>
        <w:tc>
          <w:tcPr>
            <w:tcW w:w="1376" w:type="dxa"/>
            <w:vMerge w:val="continue"/>
            <w:shd w:val="clear" w:color="auto" w:fill="FFFFFF"/>
            <w:noWrap w:val="0"/>
            <w:vAlign w:val="center"/>
          </w:tcPr>
          <w:p w14:paraId="71B026AC">
            <w:pPr>
              <w:adjustRightInd w:val="0"/>
              <w:snapToGrid w:val="0"/>
              <w:spacing w:line="240" w:lineRule="atLeast"/>
              <w:jc w:val="center"/>
              <w:rPr>
                <w:rFonts w:hint="eastAsia" w:ascii="仿宋" w:hAnsi="仿宋" w:eastAsia="仿宋" w:cs="仿宋"/>
                <w:color w:val="000000"/>
                <w:sz w:val="24"/>
                <w:szCs w:val="24"/>
              </w:rPr>
            </w:pPr>
          </w:p>
        </w:tc>
        <w:tc>
          <w:tcPr>
            <w:tcW w:w="1174" w:type="dxa"/>
            <w:gridSpan w:val="2"/>
            <w:tcBorders>
              <w:bottom w:val="single" w:color="auto" w:sz="4" w:space="0"/>
            </w:tcBorders>
            <w:shd w:val="clear" w:color="auto" w:fill="FFFFFF"/>
            <w:noWrap w:val="0"/>
            <w:vAlign w:val="center"/>
          </w:tcPr>
          <w:p w14:paraId="620CB7E4">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课程目标1</w:t>
            </w:r>
          </w:p>
        </w:tc>
        <w:tc>
          <w:tcPr>
            <w:tcW w:w="4521" w:type="dxa"/>
            <w:gridSpan w:val="7"/>
            <w:shd w:val="clear" w:color="auto" w:fill="FFFFFF"/>
            <w:noWrap w:val="0"/>
            <w:vAlign w:val="center"/>
          </w:tcPr>
          <w:p w14:paraId="37DFC292">
            <w:pPr>
              <w:tabs>
                <w:tab w:val="left" w:pos="720"/>
              </w:tabs>
              <w:adjustRightInd w:val="0"/>
              <w:snapToGrid w:val="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3.1【专业技能】</w:t>
            </w:r>
            <w:r>
              <w:rPr>
                <w:rFonts w:hint="eastAsia" w:ascii="仿宋" w:hAnsi="仿宋" w:eastAsia="仿宋" w:cs="仿宋"/>
                <w:color w:val="auto"/>
                <w:sz w:val="24"/>
                <w:szCs w:val="24"/>
              </w:rPr>
              <w:t>掌握音乐学科</w:t>
            </w:r>
            <w:r>
              <w:rPr>
                <w:rFonts w:hint="eastAsia" w:ascii="仿宋" w:hAnsi="仿宋" w:eastAsia="仿宋" w:cs="仿宋"/>
                <w:color w:val="auto"/>
                <w:sz w:val="24"/>
                <w:szCs w:val="24"/>
                <w:lang w:val="en-US"/>
              </w:rPr>
              <w:t>专业</w:t>
            </w:r>
            <w:r>
              <w:rPr>
                <w:rFonts w:hint="eastAsia" w:ascii="仿宋" w:hAnsi="仿宋" w:eastAsia="仿宋" w:cs="仿宋"/>
                <w:color w:val="auto"/>
                <w:sz w:val="24"/>
                <w:szCs w:val="24"/>
              </w:rPr>
              <w:t>基本功，掌握音乐学科基础知识、基本理论与思想方法，理解音乐学科的核心素养的内涵，形成</w:t>
            </w:r>
            <w:r>
              <w:rPr>
                <w:rFonts w:hint="eastAsia" w:ascii="仿宋" w:hAnsi="仿宋" w:eastAsia="仿宋" w:cs="仿宋"/>
                <w:color w:val="auto"/>
                <w:sz w:val="24"/>
                <w:szCs w:val="24"/>
                <w:lang w:val="en-US"/>
              </w:rPr>
              <w:t>完整的音乐学知识体系。</w:t>
            </w:r>
          </w:p>
        </w:tc>
        <w:tc>
          <w:tcPr>
            <w:tcW w:w="2077" w:type="dxa"/>
            <w:gridSpan w:val="3"/>
            <w:shd w:val="clear" w:color="auto" w:fill="FFFFFF"/>
            <w:noWrap w:val="0"/>
            <w:vAlign w:val="center"/>
          </w:tcPr>
          <w:p w14:paraId="68518022">
            <w:pPr>
              <w:adjustRightInd w:val="0"/>
              <w:snapToGrid w:val="0"/>
              <w:jc w:val="center"/>
              <w:rPr>
                <w:rFonts w:hint="eastAsia" w:ascii="仿宋" w:hAnsi="仿宋" w:eastAsia="仿宋" w:cs="仿宋"/>
                <w:color w:val="000000"/>
                <w:sz w:val="24"/>
                <w:szCs w:val="24"/>
              </w:rPr>
            </w:pPr>
            <w:r>
              <w:rPr>
                <w:rFonts w:hint="eastAsia" w:ascii="仿宋" w:hAnsi="仿宋" w:eastAsia="仿宋" w:cs="仿宋"/>
                <w:bCs/>
                <w:color w:val="000000"/>
                <w:sz w:val="24"/>
                <w:szCs w:val="24"/>
              </w:rPr>
              <w:t>学科素养（3）</w:t>
            </w:r>
          </w:p>
        </w:tc>
      </w:tr>
      <w:tr w14:paraId="750C6985">
        <w:trPr>
          <w:trHeight w:val="817" w:hRule="atLeast"/>
        </w:trPr>
        <w:tc>
          <w:tcPr>
            <w:tcW w:w="1376" w:type="dxa"/>
            <w:vMerge w:val="continue"/>
            <w:shd w:val="clear" w:color="auto" w:fill="FFFFFF"/>
            <w:noWrap w:val="0"/>
            <w:vAlign w:val="center"/>
          </w:tcPr>
          <w:p w14:paraId="1906D00A">
            <w:pPr>
              <w:adjustRightInd w:val="0"/>
              <w:snapToGrid w:val="0"/>
              <w:spacing w:line="240" w:lineRule="atLeast"/>
              <w:jc w:val="center"/>
              <w:rPr>
                <w:rFonts w:hint="eastAsia" w:ascii="仿宋" w:hAnsi="仿宋" w:eastAsia="仿宋" w:cs="仿宋"/>
                <w:color w:val="000000"/>
                <w:sz w:val="24"/>
                <w:szCs w:val="24"/>
              </w:rPr>
            </w:pPr>
          </w:p>
        </w:tc>
        <w:tc>
          <w:tcPr>
            <w:tcW w:w="1174" w:type="dxa"/>
            <w:gridSpan w:val="2"/>
            <w:shd w:val="clear" w:color="auto" w:fill="FFFFFF"/>
            <w:noWrap w:val="0"/>
            <w:vAlign w:val="center"/>
          </w:tcPr>
          <w:p w14:paraId="19C80C98">
            <w:pPr>
              <w:adjustRightInd w:val="0"/>
              <w:snapToGrid w:val="0"/>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rPr>
              <w:t>课程目标</w:t>
            </w:r>
            <w:r>
              <w:rPr>
                <w:rFonts w:hint="eastAsia" w:ascii="仿宋" w:hAnsi="仿宋" w:eastAsia="仿宋" w:cs="仿宋"/>
                <w:color w:val="000000"/>
                <w:sz w:val="24"/>
                <w:szCs w:val="24"/>
                <w:lang w:val="en-US" w:eastAsia="zh-CN"/>
              </w:rPr>
              <w:t>2</w:t>
            </w:r>
          </w:p>
        </w:tc>
        <w:tc>
          <w:tcPr>
            <w:tcW w:w="4521" w:type="dxa"/>
            <w:gridSpan w:val="7"/>
            <w:shd w:val="clear" w:color="auto" w:fill="FFFFFF"/>
            <w:noWrap w:val="0"/>
            <w:vAlign w:val="center"/>
          </w:tcPr>
          <w:p w14:paraId="4BE835F9">
            <w:pPr>
              <w:tabs>
                <w:tab w:val="left" w:pos="720"/>
              </w:tabs>
              <w:adjustRightInd w:val="0"/>
              <w:snapToGrid w:val="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6.1【育人理念】</w:t>
            </w:r>
            <w:r>
              <w:rPr>
                <w:rFonts w:hint="eastAsia" w:ascii="仿宋" w:hAnsi="仿宋" w:eastAsia="仿宋" w:cs="仿宋"/>
                <w:color w:val="auto"/>
                <w:sz w:val="24"/>
                <w:szCs w:val="24"/>
              </w:rPr>
              <w:t>理解音乐教学与人的全面发展的关系，理解音乐学科的育人价值，具备在音乐教学、课外辅导、学生交往中渗透“以美育人”的理念。</w:t>
            </w:r>
          </w:p>
        </w:tc>
        <w:tc>
          <w:tcPr>
            <w:tcW w:w="2077" w:type="dxa"/>
            <w:gridSpan w:val="3"/>
            <w:shd w:val="clear" w:color="auto" w:fill="FFFFFF"/>
            <w:noWrap w:val="0"/>
            <w:vAlign w:val="center"/>
          </w:tcPr>
          <w:p w14:paraId="51497806">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综合育人</w:t>
            </w: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6</w:t>
            </w:r>
            <w:r>
              <w:rPr>
                <w:rFonts w:hint="eastAsia" w:ascii="仿宋" w:hAnsi="仿宋" w:eastAsia="仿宋" w:cs="仿宋"/>
                <w:color w:val="000000"/>
                <w:sz w:val="24"/>
                <w:szCs w:val="24"/>
              </w:rPr>
              <w:t>）</w:t>
            </w:r>
          </w:p>
        </w:tc>
      </w:tr>
      <w:tr w14:paraId="56641ADD">
        <w:trPr>
          <w:trHeight w:val="1263" w:hRule="atLeast"/>
        </w:trPr>
        <w:tc>
          <w:tcPr>
            <w:tcW w:w="1376" w:type="dxa"/>
            <w:vMerge w:val="continue"/>
            <w:shd w:val="clear" w:color="auto" w:fill="FFFFFF"/>
            <w:noWrap w:val="0"/>
            <w:vAlign w:val="center"/>
          </w:tcPr>
          <w:p w14:paraId="7CFAD6FD">
            <w:pPr>
              <w:adjustRightInd w:val="0"/>
              <w:snapToGrid w:val="0"/>
              <w:spacing w:line="240" w:lineRule="atLeast"/>
              <w:jc w:val="center"/>
              <w:rPr>
                <w:rFonts w:hint="eastAsia" w:ascii="仿宋" w:hAnsi="仿宋" w:eastAsia="仿宋" w:cs="仿宋"/>
                <w:color w:val="000000"/>
                <w:sz w:val="24"/>
                <w:szCs w:val="24"/>
              </w:rPr>
            </w:pPr>
          </w:p>
        </w:tc>
        <w:tc>
          <w:tcPr>
            <w:tcW w:w="1174" w:type="dxa"/>
            <w:gridSpan w:val="2"/>
            <w:shd w:val="clear" w:color="auto" w:fill="FFFFFF"/>
            <w:noWrap w:val="0"/>
            <w:vAlign w:val="center"/>
          </w:tcPr>
          <w:p w14:paraId="670F82E4">
            <w:pPr>
              <w:adjustRightInd w:val="0"/>
              <w:snapToGrid w:val="0"/>
              <w:jc w:val="center"/>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课程目标</w:t>
            </w:r>
            <w:r>
              <w:rPr>
                <w:rFonts w:hint="eastAsia" w:ascii="仿宋" w:hAnsi="仿宋" w:eastAsia="仿宋" w:cs="仿宋"/>
                <w:color w:val="000000"/>
                <w:sz w:val="24"/>
                <w:szCs w:val="24"/>
                <w:lang w:val="en-US" w:eastAsia="zh-CN"/>
              </w:rPr>
              <w:t>3</w:t>
            </w:r>
          </w:p>
        </w:tc>
        <w:tc>
          <w:tcPr>
            <w:tcW w:w="4521" w:type="dxa"/>
            <w:gridSpan w:val="7"/>
            <w:shd w:val="clear" w:color="auto" w:fill="FFFFFF"/>
            <w:noWrap w:val="0"/>
            <w:vAlign w:val="center"/>
          </w:tcPr>
          <w:p w14:paraId="2E9B5001">
            <w:pPr>
              <w:tabs>
                <w:tab w:val="left" w:pos="720"/>
              </w:tabs>
              <w:adjustRightInd w:val="0"/>
              <w:snapToGrid w:val="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8.2【团队协作】</w:t>
            </w:r>
            <w:r>
              <w:rPr>
                <w:rFonts w:hint="eastAsia" w:ascii="仿宋" w:hAnsi="仿宋" w:eastAsia="仿宋" w:cs="仿宋"/>
                <w:color w:val="auto"/>
                <w:sz w:val="24"/>
                <w:szCs w:val="24"/>
              </w:rPr>
              <w:t>理解学习共同体的作用，掌握团队协作的基本策略，在教育实践、艺术实践等活动中，具有良好的团队协作精神。</w:t>
            </w:r>
          </w:p>
        </w:tc>
        <w:tc>
          <w:tcPr>
            <w:tcW w:w="2077" w:type="dxa"/>
            <w:gridSpan w:val="3"/>
            <w:shd w:val="clear" w:color="auto" w:fill="FFFFFF"/>
            <w:noWrap w:val="0"/>
            <w:vAlign w:val="center"/>
          </w:tcPr>
          <w:p w14:paraId="590FA73A">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沟通合作（8）</w:t>
            </w:r>
          </w:p>
        </w:tc>
      </w:tr>
      <w:tr w14:paraId="4B5A9162">
        <w:trPr>
          <w:trHeight w:val="582" w:hRule="atLeast"/>
        </w:trPr>
        <w:tc>
          <w:tcPr>
            <w:tcW w:w="1376" w:type="dxa"/>
            <w:vMerge w:val="restart"/>
            <w:shd w:val="clear" w:color="auto" w:fill="FFFFFF"/>
            <w:noWrap w:val="0"/>
            <w:vAlign w:val="center"/>
          </w:tcPr>
          <w:p w14:paraId="4D6C0235">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F</w:t>
            </w:r>
          </w:p>
          <w:p w14:paraId="600C7BEC">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理论学习内容</w:t>
            </w:r>
          </w:p>
        </w:tc>
        <w:tc>
          <w:tcPr>
            <w:tcW w:w="5695" w:type="dxa"/>
            <w:gridSpan w:val="9"/>
            <w:shd w:val="clear" w:color="auto" w:fill="FFFFFF"/>
            <w:noWrap w:val="0"/>
            <w:vAlign w:val="center"/>
          </w:tcPr>
          <w:p w14:paraId="3922C1A2">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章节学习内容与学习要求</w:t>
            </w:r>
          </w:p>
        </w:tc>
        <w:tc>
          <w:tcPr>
            <w:tcW w:w="1153" w:type="dxa"/>
            <w:shd w:val="clear" w:color="auto" w:fill="FFFFFF"/>
            <w:noWrap w:val="0"/>
            <w:vAlign w:val="center"/>
          </w:tcPr>
          <w:p w14:paraId="61A2C27D">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支撑课程</w:t>
            </w:r>
          </w:p>
          <w:p w14:paraId="05A0B114">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目标</w:t>
            </w:r>
          </w:p>
        </w:tc>
        <w:tc>
          <w:tcPr>
            <w:tcW w:w="924" w:type="dxa"/>
            <w:gridSpan w:val="2"/>
            <w:shd w:val="clear" w:color="auto" w:fill="FFFFFF"/>
            <w:noWrap w:val="0"/>
            <w:vAlign w:val="center"/>
          </w:tcPr>
          <w:p w14:paraId="1244F9E4">
            <w:pPr>
              <w:adjustRightInd w:val="0"/>
              <w:snapToGrid w:val="0"/>
              <w:spacing w:line="240" w:lineRule="atLeast"/>
              <w:jc w:val="center"/>
              <w:textAlignment w:val="baseline"/>
              <w:rPr>
                <w:rFonts w:ascii="仿宋" w:hAnsi="仿宋" w:eastAsia="仿宋" w:cs="仿宋"/>
                <w:color w:val="000000"/>
                <w:kern w:val="0"/>
                <w:sz w:val="24"/>
                <w:szCs w:val="24"/>
              </w:rPr>
            </w:pPr>
            <w:r>
              <w:rPr>
                <w:rFonts w:hint="eastAsia" w:ascii="仿宋" w:hAnsi="仿宋" w:eastAsia="仿宋" w:cs="仿宋"/>
                <w:color w:val="000000"/>
                <w:kern w:val="0"/>
                <w:sz w:val="24"/>
                <w:szCs w:val="24"/>
              </w:rPr>
              <w:t>学时</w:t>
            </w:r>
          </w:p>
          <w:p w14:paraId="5D2EF4ED">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分配</w:t>
            </w:r>
          </w:p>
        </w:tc>
      </w:tr>
      <w:tr w14:paraId="29195BAB">
        <w:trPr>
          <w:trHeight w:val="454" w:hRule="atLeast"/>
        </w:trPr>
        <w:tc>
          <w:tcPr>
            <w:tcW w:w="1376" w:type="dxa"/>
            <w:vMerge w:val="continue"/>
            <w:shd w:val="clear" w:color="auto" w:fill="FFFFFF"/>
            <w:noWrap w:val="0"/>
            <w:vAlign w:val="center"/>
          </w:tcPr>
          <w:p w14:paraId="01AA7782">
            <w:pPr>
              <w:adjustRightInd w:val="0"/>
              <w:snapToGrid w:val="0"/>
              <w:spacing w:line="240" w:lineRule="atLeast"/>
              <w:jc w:val="right"/>
              <w:rPr>
                <w:rFonts w:hint="eastAsia" w:ascii="仿宋" w:hAnsi="仿宋" w:eastAsia="仿宋" w:cs="仿宋"/>
                <w:color w:val="000000"/>
                <w:sz w:val="24"/>
                <w:szCs w:val="24"/>
              </w:rPr>
            </w:pPr>
          </w:p>
        </w:tc>
        <w:tc>
          <w:tcPr>
            <w:tcW w:w="5695" w:type="dxa"/>
            <w:gridSpan w:val="9"/>
            <w:shd w:val="clear" w:color="auto" w:fill="auto"/>
            <w:noWrap w:val="0"/>
            <w:vAlign w:val="center"/>
          </w:tcPr>
          <w:p w14:paraId="542AC195">
            <w:pPr>
              <w:widowControl/>
              <w:adjustRightInd w:val="0"/>
              <w:snapToGrid w:val="0"/>
              <w:rPr>
                <w:rFonts w:hint="eastAsia" w:ascii="仿宋" w:hAnsi="仿宋" w:eastAsia="仿宋" w:cs="仿宋"/>
                <w:bCs/>
                <w:color w:val="4472C4"/>
                <w:sz w:val="24"/>
                <w:szCs w:val="24"/>
              </w:rPr>
            </w:pPr>
            <w:r>
              <w:rPr>
                <w:rFonts w:hint="eastAsia" w:ascii="仿宋" w:hAnsi="仿宋" w:eastAsia="仿宋" w:cs="仿宋"/>
                <w:sz w:val="24"/>
                <w:szCs w:val="24"/>
                <w:lang w:val="en-US" w:eastAsia="zh-CN"/>
              </w:rPr>
              <w:t>第一章20世纪初期的戏剧与音乐</w:t>
            </w:r>
          </w:p>
        </w:tc>
        <w:tc>
          <w:tcPr>
            <w:tcW w:w="1153" w:type="dxa"/>
            <w:shd w:val="clear" w:color="auto" w:fill="auto"/>
            <w:noWrap w:val="0"/>
            <w:vAlign w:val="center"/>
          </w:tcPr>
          <w:p w14:paraId="1AC0C139">
            <w:pPr>
              <w:widowControl/>
              <w:adjustRightInd w:val="0"/>
              <w:snapToGrid w:val="0"/>
              <w:jc w:val="center"/>
              <w:rPr>
                <w:rFonts w:hint="eastAsia" w:ascii="仿宋" w:hAnsi="仿宋" w:eastAsia="仿宋" w:cs="仿宋"/>
                <w:bCs/>
                <w:color w:val="000000"/>
                <w:sz w:val="24"/>
                <w:szCs w:val="24"/>
              </w:rPr>
            </w:pPr>
            <w:r>
              <w:rPr>
                <w:rFonts w:hint="eastAsia" w:ascii="仿宋" w:hAnsi="仿宋" w:eastAsia="仿宋" w:cs="仿宋"/>
                <w:sz w:val="24"/>
                <w:szCs w:val="24"/>
                <w:lang w:val="en-US" w:eastAsia="zh-CN"/>
              </w:rPr>
              <w:t>支撑课程目标1、2、3</w:t>
            </w:r>
          </w:p>
        </w:tc>
        <w:tc>
          <w:tcPr>
            <w:tcW w:w="924" w:type="dxa"/>
            <w:gridSpan w:val="2"/>
            <w:shd w:val="clear" w:color="auto" w:fill="FFFFFF"/>
            <w:noWrap w:val="0"/>
            <w:vAlign w:val="center"/>
          </w:tcPr>
          <w:p w14:paraId="04FA2384">
            <w:pPr>
              <w:adjustRightInd w:val="0"/>
              <w:snapToGrid w:val="0"/>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2</w:t>
            </w:r>
          </w:p>
        </w:tc>
      </w:tr>
      <w:tr w14:paraId="56D1E1A3">
        <w:trPr>
          <w:trHeight w:val="454" w:hRule="atLeast"/>
        </w:trPr>
        <w:tc>
          <w:tcPr>
            <w:tcW w:w="1376" w:type="dxa"/>
            <w:vMerge w:val="continue"/>
            <w:shd w:val="clear" w:color="auto" w:fill="FFFFFF"/>
            <w:noWrap w:val="0"/>
            <w:vAlign w:val="center"/>
          </w:tcPr>
          <w:p w14:paraId="051CDFE6">
            <w:pPr>
              <w:adjustRightInd w:val="0"/>
              <w:snapToGrid w:val="0"/>
              <w:spacing w:line="240" w:lineRule="atLeast"/>
              <w:jc w:val="right"/>
              <w:rPr>
                <w:rFonts w:hint="eastAsia" w:ascii="仿宋" w:hAnsi="仿宋" w:eastAsia="仿宋" w:cs="仿宋"/>
                <w:color w:val="000000"/>
                <w:sz w:val="24"/>
                <w:szCs w:val="24"/>
              </w:rPr>
            </w:pPr>
          </w:p>
        </w:tc>
        <w:tc>
          <w:tcPr>
            <w:tcW w:w="5695" w:type="dxa"/>
            <w:gridSpan w:val="9"/>
            <w:shd w:val="clear" w:color="auto" w:fill="auto"/>
            <w:noWrap w:val="0"/>
            <w:vAlign w:val="center"/>
          </w:tcPr>
          <w:p w14:paraId="2E982DA2">
            <w:pPr>
              <w:widowControl/>
              <w:adjustRightInd w:val="0"/>
              <w:snapToGrid w:val="0"/>
              <w:rPr>
                <w:rFonts w:hint="eastAsia" w:ascii="仿宋" w:hAnsi="仿宋" w:eastAsia="仿宋" w:cs="仿宋"/>
                <w:bCs/>
                <w:color w:val="4472C4"/>
                <w:sz w:val="24"/>
                <w:szCs w:val="24"/>
              </w:rPr>
            </w:pPr>
            <w:r>
              <w:rPr>
                <w:rFonts w:hint="eastAsia" w:ascii="仿宋" w:hAnsi="仿宋" w:eastAsia="仿宋" w:cs="仿宋"/>
                <w:sz w:val="24"/>
                <w:szCs w:val="24"/>
                <w:lang w:val="en-US" w:eastAsia="zh-CN"/>
              </w:rPr>
              <w:t>第二章20世纪初期的流行音乐与音乐剧</w:t>
            </w:r>
          </w:p>
        </w:tc>
        <w:tc>
          <w:tcPr>
            <w:tcW w:w="1153" w:type="dxa"/>
            <w:shd w:val="clear" w:color="auto" w:fill="auto"/>
            <w:noWrap w:val="0"/>
            <w:vAlign w:val="center"/>
          </w:tcPr>
          <w:p w14:paraId="3FAE3A2F">
            <w:pPr>
              <w:widowControl/>
              <w:tabs>
                <w:tab w:val="left" w:pos="471"/>
              </w:tabs>
              <w:adjustRightInd w:val="0"/>
              <w:snapToGrid w:val="0"/>
              <w:jc w:val="left"/>
              <w:rPr>
                <w:rFonts w:hint="eastAsia" w:ascii="仿宋" w:hAnsi="仿宋" w:eastAsia="仿宋" w:cs="仿宋"/>
                <w:bCs/>
                <w:color w:val="000000"/>
                <w:sz w:val="24"/>
                <w:szCs w:val="24"/>
                <w:lang w:eastAsia="zh-CN"/>
              </w:rPr>
            </w:pPr>
            <w:r>
              <w:rPr>
                <w:rFonts w:hint="eastAsia" w:ascii="仿宋" w:hAnsi="仿宋" w:eastAsia="仿宋" w:cs="仿宋"/>
                <w:sz w:val="24"/>
                <w:szCs w:val="24"/>
                <w:lang w:val="en-US" w:eastAsia="zh-CN"/>
              </w:rPr>
              <w:t>支撑课程目标1、2、3</w:t>
            </w:r>
          </w:p>
        </w:tc>
        <w:tc>
          <w:tcPr>
            <w:tcW w:w="924" w:type="dxa"/>
            <w:gridSpan w:val="2"/>
            <w:shd w:val="clear" w:color="auto" w:fill="FFFFFF"/>
            <w:noWrap w:val="0"/>
            <w:vAlign w:val="center"/>
          </w:tcPr>
          <w:p w14:paraId="56C96D6C">
            <w:pPr>
              <w:adjustRightInd w:val="0"/>
              <w:snapToGrid w:val="0"/>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2</w:t>
            </w:r>
          </w:p>
        </w:tc>
      </w:tr>
      <w:tr w14:paraId="7BB65163">
        <w:trPr>
          <w:trHeight w:val="454" w:hRule="atLeast"/>
        </w:trPr>
        <w:tc>
          <w:tcPr>
            <w:tcW w:w="1376" w:type="dxa"/>
            <w:vMerge w:val="continue"/>
            <w:shd w:val="clear" w:color="auto" w:fill="FFFFFF"/>
            <w:noWrap w:val="0"/>
            <w:vAlign w:val="center"/>
          </w:tcPr>
          <w:p w14:paraId="47AFF8C2">
            <w:pPr>
              <w:adjustRightInd w:val="0"/>
              <w:snapToGrid w:val="0"/>
              <w:spacing w:line="240" w:lineRule="atLeast"/>
              <w:jc w:val="right"/>
              <w:rPr>
                <w:rFonts w:hint="eastAsia" w:ascii="仿宋" w:hAnsi="仿宋" w:eastAsia="仿宋" w:cs="仿宋"/>
                <w:color w:val="000000"/>
                <w:sz w:val="24"/>
                <w:szCs w:val="24"/>
              </w:rPr>
            </w:pPr>
          </w:p>
        </w:tc>
        <w:tc>
          <w:tcPr>
            <w:tcW w:w="5695" w:type="dxa"/>
            <w:gridSpan w:val="9"/>
            <w:shd w:val="clear" w:color="auto" w:fill="auto"/>
            <w:noWrap w:val="0"/>
            <w:vAlign w:val="center"/>
          </w:tcPr>
          <w:p w14:paraId="70DD3032">
            <w:pPr>
              <w:widowControl/>
              <w:tabs>
                <w:tab w:val="left" w:pos="1406"/>
              </w:tabs>
              <w:adjustRightInd w:val="0"/>
              <w:snapToGrid w:val="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第三章 20世纪后期音乐剧的发展</w:t>
            </w:r>
          </w:p>
        </w:tc>
        <w:tc>
          <w:tcPr>
            <w:tcW w:w="1153" w:type="dxa"/>
            <w:shd w:val="clear" w:color="auto" w:fill="auto"/>
            <w:noWrap w:val="0"/>
            <w:vAlign w:val="center"/>
          </w:tcPr>
          <w:p w14:paraId="4E27FB14">
            <w:pPr>
              <w:widowControl/>
              <w:tabs>
                <w:tab w:val="left" w:pos="471"/>
              </w:tabs>
              <w:adjustRightInd w:val="0"/>
              <w:snapToGrid w:val="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支撑课程目标1、2、3</w:t>
            </w:r>
          </w:p>
        </w:tc>
        <w:tc>
          <w:tcPr>
            <w:tcW w:w="924" w:type="dxa"/>
            <w:gridSpan w:val="2"/>
            <w:shd w:val="clear" w:color="auto" w:fill="FFFFFF"/>
            <w:noWrap w:val="0"/>
            <w:vAlign w:val="center"/>
          </w:tcPr>
          <w:p w14:paraId="7B6CB501">
            <w:pPr>
              <w:adjustRightInd w:val="0"/>
              <w:snapToGrid w:val="0"/>
              <w:jc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2</w:t>
            </w:r>
          </w:p>
        </w:tc>
      </w:tr>
      <w:tr w14:paraId="6E9024A8">
        <w:trPr>
          <w:trHeight w:val="454" w:hRule="atLeast"/>
        </w:trPr>
        <w:tc>
          <w:tcPr>
            <w:tcW w:w="1376" w:type="dxa"/>
            <w:vMerge w:val="continue"/>
            <w:shd w:val="clear" w:color="auto" w:fill="FFFFFF"/>
            <w:noWrap w:val="0"/>
            <w:vAlign w:val="center"/>
          </w:tcPr>
          <w:p w14:paraId="1CCAABA2">
            <w:pPr>
              <w:adjustRightInd w:val="0"/>
              <w:snapToGrid w:val="0"/>
              <w:spacing w:line="240" w:lineRule="atLeast"/>
              <w:jc w:val="right"/>
              <w:rPr>
                <w:rFonts w:hint="eastAsia" w:ascii="仿宋" w:hAnsi="仿宋" w:eastAsia="仿宋" w:cs="仿宋"/>
                <w:color w:val="000000"/>
                <w:sz w:val="24"/>
                <w:szCs w:val="24"/>
              </w:rPr>
            </w:pPr>
          </w:p>
        </w:tc>
        <w:tc>
          <w:tcPr>
            <w:tcW w:w="5695" w:type="dxa"/>
            <w:gridSpan w:val="9"/>
            <w:shd w:val="clear" w:color="auto" w:fill="auto"/>
            <w:noWrap w:val="0"/>
            <w:vAlign w:val="center"/>
          </w:tcPr>
          <w:p w14:paraId="3A539CC6">
            <w:pPr>
              <w:tabs>
                <w:tab w:val="left" w:pos="720"/>
              </w:tabs>
              <w:adjustRightInd w:val="0"/>
              <w:snapToGrid w:val="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 xml:space="preserve">第四章 西方音乐剧欣赏 </w:t>
            </w:r>
          </w:p>
          <w:p w14:paraId="7DBC4924">
            <w:pPr>
              <w:tabs>
                <w:tab w:val="left" w:pos="720"/>
              </w:tabs>
              <w:adjustRightInd w:val="0"/>
              <w:snapToGrid w:val="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1.从猫到人的世界，爱与宽容的主题——《猫》</w:t>
            </w:r>
          </w:p>
          <w:p w14:paraId="034B6728">
            <w:pPr>
              <w:tabs>
                <w:tab w:val="left" w:pos="720"/>
              </w:tabs>
              <w:adjustRightInd w:val="0"/>
              <w:snapToGrid w:val="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2.每个音符的深情，深深地爱在于大度地成全——《歌剧魅影》</w:t>
            </w:r>
          </w:p>
          <w:p w14:paraId="4033FEA8">
            <w:pPr>
              <w:tabs>
                <w:tab w:val="left" w:pos="720"/>
              </w:tabs>
              <w:adjustRightInd w:val="0"/>
              <w:snapToGrid w:val="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3.阳光下的温暖音乐——《音乐之声》</w:t>
            </w:r>
          </w:p>
          <w:p w14:paraId="0D9B6473">
            <w:pPr>
              <w:tabs>
                <w:tab w:val="left" w:pos="720"/>
              </w:tabs>
              <w:adjustRightInd w:val="0"/>
              <w:snapToGrid w:val="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4.磅礴中的人生百态——《悲惨世界》</w:t>
            </w:r>
          </w:p>
          <w:p w14:paraId="3FC04895">
            <w:pPr>
              <w:tabs>
                <w:tab w:val="left" w:pos="720"/>
              </w:tabs>
              <w:adjustRightInd w:val="0"/>
              <w:snapToGrid w:val="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5.罗密欧与朱丽叶的现代版绝唱——《西区故事》</w:t>
            </w:r>
          </w:p>
          <w:p w14:paraId="0582C89E">
            <w:pPr>
              <w:tabs>
                <w:tab w:val="left" w:pos="720"/>
              </w:tabs>
              <w:adjustRightInd w:val="0"/>
              <w:snapToGrid w:val="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6.人生百变，苦尽甘来——《妈妈咪呀》</w:t>
            </w:r>
          </w:p>
        </w:tc>
        <w:tc>
          <w:tcPr>
            <w:tcW w:w="1153" w:type="dxa"/>
            <w:shd w:val="clear" w:color="auto" w:fill="auto"/>
            <w:noWrap w:val="0"/>
            <w:vAlign w:val="center"/>
          </w:tcPr>
          <w:p w14:paraId="50A2DAE6">
            <w:pPr>
              <w:widowControl/>
              <w:tabs>
                <w:tab w:val="left" w:pos="471"/>
              </w:tabs>
              <w:adjustRightInd w:val="0"/>
              <w:snapToGrid w:val="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支撑课程目标1、2、3</w:t>
            </w:r>
          </w:p>
        </w:tc>
        <w:tc>
          <w:tcPr>
            <w:tcW w:w="924" w:type="dxa"/>
            <w:gridSpan w:val="2"/>
            <w:shd w:val="clear" w:color="auto" w:fill="FFFFFF"/>
            <w:noWrap w:val="0"/>
            <w:vAlign w:val="center"/>
          </w:tcPr>
          <w:p w14:paraId="2EB64055">
            <w:pPr>
              <w:adjustRightInd w:val="0"/>
              <w:snapToGrid w:val="0"/>
              <w:jc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12</w:t>
            </w:r>
          </w:p>
        </w:tc>
      </w:tr>
      <w:tr w14:paraId="5097AE50">
        <w:trPr>
          <w:trHeight w:val="454" w:hRule="atLeast"/>
        </w:trPr>
        <w:tc>
          <w:tcPr>
            <w:tcW w:w="1376" w:type="dxa"/>
            <w:vMerge w:val="continue"/>
            <w:shd w:val="clear" w:color="auto" w:fill="FFFFFF"/>
            <w:noWrap w:val="0"/>
            <w:vAlign w:val="center"/>
          </w:tcPr>
          <w:p w14:paraId="66F0DD37">
            <w:pPr>
              <w:adjustRightInd w:val="0"/>
              <w:snapToGrid w:val="0"/>
              <w:spacing w:line="240" w:lineRule="atLeast"/>
              <w:jc w:val="right"/>
              <w:rPr>
                <w:rFonts w:hint="eastAsia" w:ascii="仿宋" w:hAnsi="仿宋" w:eastAsia="仿宋" w:cs="仿宋"/>
                <w:color w:val="000000"/>
                <w:sz w:val="24"/>
                <w:szCs w:val="24"/>
              </w:rPr>
            </w:pPr>
          </w:p>
        </w:tc>
        <w:tc>
          <w:tcPr>
            <w:tcW w:w="5695" w:type="dxa"/>
            <w:gridSpan w:val="9"/>
            <w:shd w:val="clear" w:color="auto" w:fill="auto"/>
            <w:noWrap w:val="0"/>
            <w:vAlign w:val="center"/>
          </w:tcPr>
          <w:p w14:paraId="76B3DF40">
            <w:pPr>
              <w:tabs>
                <w:tab w:val="left" w:pos="720"/>
              </w:tabs>
              <w:adjustRightInd w:val="0"/>
              <w:snapToGrid w:val="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第五章  中国当代音乐剧欣赏</w:t>
            </w:r>
          </w:p>
          <w:p w14:paraId="5AC41138">
            <w:pPr>
              <w:tabs>
                <w:tab w:val="left" w:pos="720"/>
              </w:tabs>
              <w:adjustRightInd w:val="0"/>
              <w:snapToGrid w:val="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1.民族史诗的燃情岁月——《金沙》</w:t>
            </w:r>
          </w:p>
          <w:p w14:paraId="3BBECDAC">
            <w:pPr>
              <w:tabs>
                <w:tab w:val="left" w:pos="720"/>
              </w:tabs>
              <w:adjustRightInd w:val="0"/>
              <w:snapToGrid w:val="0"/>
              <w:jc w:val="left"/>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思政融入：音乐剧《金沙》是我国第一部宣传文化遗产的音乐剧，通过直观的方式再现了“金沙遗址”的发现过程，其创作过程融入了中国传统文化和艺术形式，通过欣赏音乐剧《金沙》，让学生对中国的传统文化有进一步了解，使学生对本民族传统文化有更深的认同感，激发学生对宣传中国传统文化的热情。</w:t>
            </w:r>
          </w:p>
          <w:p w14:paraId="10DDEE11">
            <w:pPr>
              <w:numPr>
                <w:ilvl w:val="0"/>
                <w:numId w:val="0"/>
              </w:numPr>
              <w:tabs>
                <w:tab w:val="left" w:pos="720"/>
              </w:tabs>
              <w:adjustRightInd w:val="0"/>
              <w:snapToGrid w:val="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2.民族的就是世界的——《王二的长征》</w:t>
            </w:r>
          </w:p>
          <w:p w14:paraId="652F4810">
            <w:pPr>
              <w:numPr>
                <w:ilvl w:val="0"/>
                <w:numId w:val="0"/>
              </w:numPr>
              <w:tabs>
                <w:tab w:val="left" w:pos="720"/>
              </w:tabs>
              <w:adjustRightInd w:val="0"/>
              <w:snapToGrid w:val="0"/>
              <w:jc w:val="left"/>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思政融入：音乐剧《王二的长征》是中国首部表现长征题材的音乐剧，以小人物的长征故事传递出大情怀，通过欣赏音乐剧《王二的长征》，让学生感受长征的伟大意义，感受“大我”和“集体”意识，同时也能让学生感受到美好生活的来之不易，把长征精神延续到生活和学习中。</w:t>
            </w:r>
          </w:p>
          <w:p w14:paraId="11B1D186">
            <w:pPr>
              <w:tabs>
                <w:tab w:val="left" w:pos="720"/>
              </w:tabs>
              <w:adjustRightInd w:val="0"/>
              <w:snapToGrid w:val="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3.唯有善意融化所有壁垒——《高校音乐剧》</w:t>
            </w:r>
          </w:p>
          <w:p w14:paraId="41718FB7">
            <w:pPr>
              <w:tabs>
                <w:tab w:val="left" w:pos="720"/>
              </w:tabs>
              <w:adjustRightInd w:val="0"/>
              <w:snapToGrid w:val="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4.蝴蝶的爱情——《蝶》</w:t>
            </w:r>
          </w:p>
          <w:p w14:paraId="159396DF">
            <w:pPr>
              <w:tabs>
                <w:tab w:val="left" w:pos="720"/>
              </w:tabs>
              <w:adjustRightInd w:val="0"/>
              <w:snapToGrid w:val="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5.客家山歌音乐剧——《林风眠》</w:t>
            </w:r>
          </w:p>
          <w:p w14:paraId="406D0922">
            <w:pPr>
              <w:tabs>
                <w:tab w:val="left" w:pos="720"/>
              </w:tabs>
              <w:adjustRightInd w:val="0"/>
              <w:snapToGrid w:val="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6.“我生来就是高山”——《绽放》</w:t>
            </w:r>
          </w:p>
          <w:p w14:paraId="03288607">
            <w:pPr>
              <w:tabs>
                <w:tab w:val="left" w:pos="720"/>
              </w:tabs>
              <w:adjustRightInd w:val="0"/>
              <w:snapToGrid w:val="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思政融入：音乐剧《绽放》以张桂梅老师为原型，讲述了桂梅老师创办女子高中的过程，通过欣赏音乐剧《绽放》，让学生感受桂梅老师身患重症却依然坚守在三尺讲台的精神，桂梅老师以德树人、以德立学，其奉献精神可以激励学生奋发向上。</w:t>
            </w:r>
          </w:p>
        </w:tc>
        <w:tc>
          <w:tcPr>
            <w:tcW w:w="1153" w:type="dxa"/>
            <w:shd w:val="clear" w:color="auto" w:fill="auto"/>
            <w:noWrap w:val="0"/>
            <w:vAlign w:val="center"/>
          </w:tcPr>
          <w:p w14:paraId="65AF656C">
            <w:pPr>
              <w:widowControl/>
              <w:tabs>
                <w:tab w:val="left" w:pos="471"/>
              </w:tabs>
              <w:adjustRightInd w:val="0"/>
              <w:snapToGrid w:val="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支撑课程目标1、2、3</w:t>
            </w:r>
          </w:p>
        </w:tc>
        <w:tc>
          <w:tcPr>
            <w:tcW w:w="924" w:type="dxa"/>
            <w:gridSpan w:val="2"/>
            <w:shd w:val="clear" w:color="auto" w:fill="FFFFFF"/>
            <w:noWrap w:val="0"/>
            <w:vAlign w:val="center"/>
          </w:tcPr>
          <w:p w14:paraId="0BADF391">
            <w:pPr>
              <w:adjustRightInd w:val="0"/>
              <w:snapToGrid w:val="0"/>
              <w:jc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14</w:t>
            </w:r>
          </w:p>
        </w:tc>
      </w:tr>
      <w:tr w14:paraId="28A252DE">
        <w:trPr>
          <w:trHeight w:val="454" w:hRule="atLeast"/>
        </w:trPr>
        <w:tc>
          <w:tcPr>
            <w:tcW w:w="1376" w:type="dxa"/>
            <w:vMerge w:val="continue"/>
            <w:shd w:val="clear" w:color="auto" w:fill="FFFFFF"/>
            <w:noWrap w:val="0"/>
            <w:vAlign w:val="center"/>
          </w:tcPr>
          <w:p w14:paraId="111541A4">
            <w:pPr>
              <w:adjustRightInd w:val="0"/>
              <w:snapToGrid w:val="0"/>
              <w:spacing w:line="240" w:lineRule="atLeast"/>
              <w:jc w:val="center"/>
              <w:rPr>
                <w:rFonts w:hint="eastAsia" w:ascii="仿宋" w:hAnsi="仿宋" w:eastAsia="仿宋" w:cs="仿宋"/>
                <w:color w:val="000000"/>
                <w:sz w:val="24"/>
                <w:szCs w:val="24"/>
              </w:rPr>
            </w:pPr>
          </w:p>
        </w:tc>
        <w:tc>
          <w:tcPr>
            <w:tcW w:w="6848" w:type="dxa"/>
            <w:gridSpan w:val="10"/>
            <w:shd w:val="clear" w:color="auto" w:fill="auto"/>
            <w:noWrap w:val="0"/>
            <w:vAlign w:val="center"/>
          </w:tcPr>
          <w:p w14:paraId="7CCD8704">
            <w:pPr>
              <w:adjustRightInd w:val="0"/>
              <w:snapToGrid w:val="0"/>
              <w:jc w:val="center"/>
              <w:rPr>
                <w:rFonts w:hint="eastAsia" w:ascii="仿宋" w:hAnsi="仿宋" w:eastAsia="仿宋" w:cs="仿宋"/>
                <w:bCs/>
                <w:color w:val="000000"/>
                <w:sz w:val="24"/>
                <w:szCs w:val="24"/>
              </w:rPr>
            </w:pPr>
            <w:r>
              <w:rPr>
                <w:rFonts w:hint="eastAsia" w:ascii="仿宋" w:hAnsi="仿宋" w:eastAsia="仿宋" w:cs="仿宋"/>
                <w:bCs/>
                <w:color w:val="000000"/>
                <w:sz w:val="24"/>
                <w:szCs w:val="24"/>
              </w:rPr>
              <w:t>合计</w:t>
            </w:r>
          </w:p>
        </w:tc>
        <w:tc>
          <w:tcPr>
            <w:tcW w:w="924" w:type="dxa"/>
            <w:gridSpan w:val="2"/>
            <w:shd w:val="clear" w:color="auto" w:fill="FFFFFF"/>
            <w:noWrap w:val="0"/>
            <w:vAlign w:val="center"/>
          </w:tcPr>
          <w:p w14:paraId="6C6A4A06">
            <w:pPr>
              <w:adjustRightInd w:val="0"/>
              <w:snapToGrid w:val="0"/>
              <w:jc w:val="center"/>
              <w:rPr>
                <w:rFonts w:hint="default" w:ascii="仿宋" w:hAnsi="仿宋" w:eastAsia="仿宋" w:cs="仿宋"/>
                <w:color w:val="4472C4"/>
                <w:sz w:val="24"/>
                <w:szCs w:val="24"/>
                <w:lang w:val="en-US" w:eastAsia="zh-CN"/>
              </w:rPr>
            </w:pPr>
            <w:r>
              <w:rPr>
                <w:rFonts w:hint="eastAsia" w:ascii="仿宋" w:hAnsi="仿宋" w:eastAsia="仿宋" w:cs="仿宋"/>
                <w:color w:val="auto"/>
                <w:sz w:val="24"/>
                <w:szCs w:val="24"/>
                <w:lang w:val="en-US" w:eastAsia="zh-CN"/>
              </w:rPr>
              <w:t>32</w:t>
            </w:r>
          </w:p>
        </w:tc>
      </w:tr>
      <w:tr w14:paraId="2ACB5382">
        <w:trPr>
          <w:trHeight w:val="454" w:hRule="atLeast"/>
        </w:trPr>
        <w:tc>
          <w:tcPr>
            <w:tcW w:w="1376" w:type="dxa"/>
            <w:vMerge w:val="restart"/>
            <w:shd w:val="clear" w:color="auto" w:fill="FFFFFF"/>
            <w:noWrap w:val="0"/>
            <w:vAlign w:val="center"/>
          </w:tcPr>
          <w:p w14:paraId="3B8AEAE5">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G</w:t>
            </w:r>
          </w:p>
          <w:p w14:paraId="499527D5">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实验（实训）内容</w:t>
            </w:r>
          </w:p>
        </w:tc>
        <w:tc>
          <w:tcPr>
            <w:tcW w:w="5695" w:type="dxa"/>
            <w:gridSpan w:val="9"/>
            <w:shd w:val="clear" w:color="auto" w:fill="auto"/>
            <w:noWrap w:val="0"/>
            <w:vAlign w:val="center"/>
          </w:tcPr>
          <w:p w14:paraId="65642EE2">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项目名称、主要内容及开设要求</w:t>
            </w:r>
          </w:p>
        </w:tc>
        <w:tc>
          <w:tcPr>
            <w:tcW w:w="1153" w:type="dxa"/>
            <w:shd w:val="clear" w:color="auto" w:fill="auto"/>
            <w:noWrap w:val="0"/>
            <w:vAlign w:val="center"/>
          </w:tcPr>
          <w:p w14:paraId="267910CF">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支撑课程</w:t>
            </w:r>
          </w:p>
          <w:p w14:paraId="0E027B97">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目标</w:t>
            </w:r>
          </w:p>
        </w:tc>
        <w:tc>
          <w:tcPr>
            <w:tcW w:w="924" w:type="dxa"/>
            <w:gridSpan w:val="2"/>
            <w:shd w:val="clear" w:color="auto" w:fill="FFFFFF"/>
            <w:noWrap w:val="0"/>
            <w:vAlign w:val="center"/>
          </w:tcPr>
          <w:p w14:paraId="750CA64C">
            <w:pPr>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 xml:space="preserve">学时 </w:t>
            </w:r>
          </w:p>
          <w:p w14:paraId="2FBE634F">
            <w:pPr>
              <w:adjustRightInd w:val="0"/>
              <w:snapToGrid w:val="0"/>
              <w:jc w:val="center"/>
              <w:rPr>
                <w:rFonts w:hint="eastAsia" w:ascii="仿宋" w:hAnsi="仿宋" w:eastAsia="仿宋" w:cs="仿宋"/>
                <w:color w:val="4472C4"/>
                <w:sz w:val="24"/>
                <w:szCs w:val="24"/>
              </w:rPr>
            </w:pPr>
            <w:r>
              <w:rPr>
                <w:rFonts w:hint="eastAsia" w:ascii="仿宋" w:hAnsi="仿宋" w:eastAsia="仿宋" w:cs="仿宋"/>
                <w:color w:val="000000"/>
                <w:kern w:val="0"/>
                <w:sz w:val="24"/>
                <w:szCs w:val="24"/>
              </w:rPr>
              <w:t>分配</w:t>
            </w:r>
          </w:p>
        </w:tc>
      </w:tr>
      <w:tr w14:paraId="6FFD938D">
        <w:trPr>
          <w:trHeight w:val="454" w:hRule="atLeast"/>
        </w:trPr>
        <w:tc>
          <w:tcPr>
            <w:tcW w:w="1376" w:type="dxa"/>
            <w:vMerge w:val="continue"/>
            <w:shd w:val="clear" w:color="auto" w:fill="FFFFFF"/>
            <w:noWrap w:val="0"/>
            <w:vAlign w:val="center"/>
          </w:tcPr>
          <w:p w14:paraId="053ED292">
            <w:pPr>
              <w:adjustRightInd w:val="0"/>
              <w:snapToGrid w:val="0"/>
              <w:spacing w:line="240" w:lineRule="atLeast"/>
              <w:jc w:val="center"/>
              <w:rPr>
                <w:rFonts w:hint="eastAsia" w:ascii="仿宋" w:hAnsi="仿宋" w:eastAsia="仿宋" w:cs="仿宋"/>
                <w:color w:val="000000"/>
                <w:sz w:val="24"/>
                <w:szCs w:val="24"/>
              </w:rPr>
            </w:pPr>
          </w:p>
        </w:tc>
        <w:tc>
          <w:tcPr>
            <w:tcW w:w="5695" w:type="dxa"/>
            <w:gridSpan w:val="9"/>
            <w:shd w:val="clear" w:color="auto" w:fill="auto"/>
            <w:noWrap w:val="0"/>
            <w:vAlign w:val="center"/>
          </w:tcPr>
          <w:p w14:paraId="0E4EA916">
            <w:pPr>
              <w:tabs>
                <w:tab w:val="left" w:pos="720"/>
              </w:tabs>
              <w:adjustRightInd w:val="0"/>
              <w:snapToGrid w:val="0"/>
              <w:jc w:val="left"/>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排练音乐剧《金沙》选段</w:t>
            </w:r>
          </w:p>
        </w:tc>
        <w:tc>
          <w:tcPr>
            <w:tcW w:w="1153" w:type="dxa"/>
            <w:shd w:val="clear" w:color="auto" w:fill="auto"/>
            <w:noWrap w:val="0"/>
            <w:vAlign w:val="center"/>
          </w:tcPr>
          <w:p w14:paraId="2FCA1981">
            <w:pPr>
              <w:tabs>
                <w:tab w:val="left" w:pos="720"/>
              </w:tabs>
              <w:adjustRightInd w:val="0"/>
              <w:snapToGrid w:val="0"/>
              <w:jc w:val="left"/>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支撑课程目标1、2、3、</w:t>
            </w:r>
          </w:p>
        </w:tc>
        <w:tc>
          <w:tcPr>
            <w:tcW w:w="924" w:type="dxa"/>
            <w:gridSpan w:val="2"/>
            <w:shd w:val="clear" w:color="auto" w:fill="FFFFFF"/>
            <w:noWrap w:val="0"/>
            <w:vAlign w:val="center"/>
          </w:tcPr>
          <w:p w14:paraId="46660385">
            <w:pPr>
              <w:tabs>
                <w:tab w:val="left" w:pos="720"/>
              </w:tabs>
              <w:adjustRightInd w:val="0"/>
              <w:snapToGrid w:val="0"/>
              <w:jc w:val="left"/>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8</w:t>
            </w:r>
          </w:p>
        </w:tc>
      </w:tr>
      <w:tr w14:paraId="473CB442">
        <w:trPr>
          <w:trHeight w:val="454" w:hRule="atLeast"/>
        </w:trPr>
        <w:tc>
          <w:tcPr>
            <w:tcW w:w="1376" w:type="dxa"/>
            <w:vMerge w:val="continue"/>
            <w:shd w:val="clear" w:color="auto" w:fill="FFFFFF"/>
            <w:noWrap w:val="0"/>
            <w:vAlign w:val="center"/>
          </w:tcPr>
          <w:p w14:paraId="3300AD27">
            <w:pPr>
              <w:adjustRightInd w:val="0"/>
              <w:snapToGrid w:val="0"/>
              <w:spacing w:line="240" w:lineRule="atLeast"/>
              <w:jc w:val="center"/>
              <w:rPr>
                <w:rFonts w:hint="eastAsia" w:ascii="仿宋" w:hAnsi="仿宋" w:eastAsia="仿宋" w:cs="仿宋"/>
                <w:color w:val="000000"/>
                <w:sz w:val="24"/>
                <w:szCs w:val="24"/>
              </w:rPr>
            </w:pPr>
          </w:p>
        </w:tc>
        <w:tc>
          <w:tcPr>
            <w:tcW w:w="5695" w:type="dxa"/>
            <w:gridSpan w:val="9"/>
            <w:shd w:val="clear" w:color="auto" w:fill="auto"/>
            <w:noWrap w:val="0"/>
            <w:vAlign w:val="center"/>
          </w:tcPr>
          <w:p w14:paraId="15EA789C">
            <w:pPr>
              <w:tabs>
                <w:tab w:val="left" w:pos="720"/>
              </w:tabs>
              <w:adjustRightInd w:val="0"/>
              <w:snapToGrid w:val="0"/>
              <w:jc w:val="left"/>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排练音乐剧《绽放》选段</w:t>
            </w:r>
          </w:p>
        </w:tc>
        <w:tc>
          <w:tcPr>
            <w:tcW w:w="1153" w:type="dxa"/>
            <w:shd w:val="clear" w:color="auto" w:fill="auto"/>
            <w:noWrap w:val="0"/>
            <w:vAlign w:val="center"/>
          </w:tcPr>
          <w:p w14:paraId="70EC117C">
            <w:pPr>
              <w:tabs>
                <w:tab w:val="left" w:pos="720"/>
              </w:tabs>
              <w:adjustRightInd w:val="0"/>
              <w:snapToGrid w:val="0"/>
              <w:jc w:val="left"/>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支撑课程目标1、2、3、</w:t>
            </w:r>
          </w:p>
        </w:tc>
        <w:tc>
          <w:tcPr>
            <w:tcW w:w="924" w:type="dxa"/>
            <w:gridSpan w:val="2"/>
            <w:shd w:val="clear" w:color="auto" w:fill="FFFFFF"/>
            <w:noWrap w:val="0"/>
            <w:vAlign w:val="center"/>
          </w:tcPr>
          <w:p w14:paraId="31E883DE">
            <w:pPr>
              <w:tabs>
                <w:tab w:val="left" w:pos="720"/>
              </w:tabs>
              <w:adjustRightInd w:val="0"/>
              <w:snapToGrid w:val="0"/>
              <w:jc w:val="left"/>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8</w:t>
            </w:r>
          </w:p>
        </w:tc>
      </w:tr>
      <w:tr w14:paraId="57303115">
        <w:trPr>
          <w:trHeight w:val="454" w:hRule="atLeast"/>
        </w:trPr>
        <w:tc>
          <w:tcPr>
            <w:tcW w:w="1376" w:type="dxa"/>
            <w:vMerge w:val="continue"/>
            <w:shd w:val="clear" w:color="auto" w:fill="FFFFFF"/>
            <w:noWrap w:val="0"/>
            <w:vAlign w:val="center"/>
          </w:tcPr>
          <w:p w14:paraId="241A1F0A">
            <w:pPr>
              <w:adjustRightInd w:val="0"/>
              <w:snapToGrid w:val="0"/>
              <w:spacing w:line="240" w:lineRule="atLeast"/>
              <w:jc w:val="center"/>
              <w:rPr>
                <w:rFonts w:hint="eastAsia" w:ascii="仿宋" w:hAnsi="仿宋" w:eastAsia="仿宋" w:cs="仿宋"/>
                <w:color w:val="000000"/>
                <w:sz w:val="24"/>
                <w:szCs w:val="24"/>
              </w:rPr>
            </w:pPr>
          </w:p>
        </w:tc>
        <w:tc>
          <w:tcPr>
            <w:tcW w:w="5695" w:type="dxa"/>
            <w:gridSpan w:val="9"/>
            <w:shd w:val="clear" w:color="auto" w:fill="auto"/>
            <w:noWrap w:val="0"/>
            <w:vAlign w:val="center"/>
          </w:tcPr>
          <w:p w14:paraId="5CE08803">
            <w:pPr>
              <w:tabs>
                <w:tab w:val="left" w:pos="720"/>
              </w:tabs>
              <w:adjustRightInd w:val="0"/>
              <w:snapToGrid w:val="0"/>
              <w:jc w:val="left"/>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排练音乐剧《蝶》选段</w:t>
            </w:r>
          </w:p>
        </w:tc>
        <w:tc>
          <w:tcPr>
            <w:tcW w:w="1153" w:type="dxa"/>
            <w:shd w:val="clear" w:color="auto" w:fill="auto"/>
            <w:noWrap w:val="0"/>
            <w:vAlign w:val="center"/>
          </w:tcPr>
          <w:p w14:paraId="0F1FA465">
            <w:pPr>
              <w:tabs>
                <w:tab w:val="left" w:pos="720"/>
              </w:tabs>
              <w:adjustRightInd w:val="0"/>
              <w:snapToGrid w:val="0"/>
              <w:jc w:val="left"/>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支撑课程目标1、2、3、</w:t>
            </w:r>
          </w:p>
        </w:tc>
        <w:tc>
          <w:tcPr>
            <w:tcW w:w="924" w:type="dxa"/>
            <w:gridSpan w:val="2"/>
            <w:shd w:val="clear" w:color="auto" w:fill="FFFFFF"/>
            <w:noWrap w:val="0"/>
            <w:vAlign w:val="center"/>
          </w:tcPr>
          <w:p w14:paraId="4554BAB7">
            <w:pPr>
              <w:tabs>
                <w:tab w:val="left" w:pos="720"/>
              </w:tabs>
              <w:adjustRightInd w:val="0"/>
              <w:snapToGrid w:val="0"/>
              <w:jc w:val="left"/>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8</w:t>
            </w:r>
          </w:p>
        </w:tc>
      </w:tr>
      <w:tr w14:paraId="304844BB">
        <w:trPr>
          <w:trHeight w:val="454" w:hRule="atLeast"/>
        </w:trPr>
        <w:tc>
          <w:tcPr>
            <w:tcW w:w="1376" w:type="dxa"/>
            <w:vMerge w:val="continue"/>
            <w:shd w:val="clear" w:color="auto" w:fill="FFFFFF"/>
            <w:noWrap w:val="0"/>
            <w:vAlign w:val="center"/>
          </w:tcPr>
          <w:p w14:paraId="7ED8EC69">
            <w:pPr>
              <w:adjustRightInd w:val="0"/>
              <w:snapToGrid w:val="0"/>
              <w:spacing w:line="240" w:lineRule="atLeast"/>
              <w:jc w:val="center"/>
              <w:rPr>
                <w:rFonts w:hint="eastAsia" w:ascii="仿宋" w:hAnsi="仿宋" w:eastAsia="仿宋" w:cs="仿宋"/>
                <w:color w:val="000000"/>
                <w:sz w:val="24"/>
                <w:szCs w:val="24"/>
              </w:rPr>
            </w:pPr>
          </w:p>
        </w:tc>
        <w:tc>
          <w:tcPr>
            <w:tcW w:w="5695" w:type="dxa"/>
            <w:gridSpan w:val="9"/>
            <w:shd w:val="clear" w:color="auto" w:fill="auto"/>
            <w:noWrap w:val="0"/>
            <w:vAlign w:val="center"/>
          </w:tcPr>
          <w:p w14:paraId="0A2AE149">
            <w:pPr>
              <w:tabs>
                <w:tab w:val="left" w:pos="720"/>
              </w:tabs>
              <w:adjustRightInd w:val="0"/>
              <w:snapToGrid w:val="0"/>
              <w:jc w:val="left"/>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排练音乐剧剧目，学生自由组合排练</w:t>
            </w:r>
            <w:bookmarkEnd w:id="212"/>
          </w:p>
        </w:tc>
        <w:tc>
          <w:tcPr>
            <w:tcW w:w="1153" w:type="dxa"/>
            <w:shd w:val="clear" w:color="auto" w:fill="auto"/>
            <w:noWrap w:val="0"/>
            <w:vAlign w:val="center"/>
          </w:tcPr>
          <w:p w14:paraId="1F645845">
            <w:pPr>
              <w:tabs>
                <w:tab w:val="left" w:pos="720"/>
              </w:tabs>
              <w:adjustRightInd w:val="0"/>
              <w:snapToGrid w:val="0"/>
              <w:jc w:val="left"/>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支撑课程目标1、2、3、</w:t>
            </w:r>
          </w:p>
        </w:tc>
        <w:tc>
          <w:tcPr>
            <w:tcW w:w="924" w:type="dxa"/>
            <w:gridSpan w:val="2"/>
            <w:shd w:val="clear" w:color="auto" w:fill="FFFFFF"/>
            <w:noWrap w:val="0"/>
            <w:vAlign w:val="center"/>
          </w:tcPr>
          <w:p w14:paraId="707D70F0">
            <w:pPr>
              <w:tabs>
                <w:tab w:val="left" w:pos="720"/>
              </w:tabs>
              <w:adjustRightInd w:val="0"/>
              <w:snapToGrid w:val="0"/>
              <w:jc w:val="left"/>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8</w:t>
            </w:r>
          </w:p>
        </w:tc>
      </w:tr>
      <w:tr w14:paraId="30D62DBF">
        <w:trPr>
          <w:trHeight w:val="454" w:hRule="atLeast"/>
        </w:trPr>
        <w:tc>
          <w:tcPr>
            <w:tcW w:w="1376" w:type="dxa"/>
            <w:vMerge w:val="continue"/>
            <w:shd w:val="clear" w:color="auto" w:fill="FFFFFF"/>
            <w:noWrap w:val="0"/>
            <w:vAlign w:val="center"/>
          </w:tcPr>
          <w:p w14:paraId="15CA50EC">
            <w:pPr>
              <w:adjustRightInd w:val="0"/>
              <w:snapToGrid w:val="0"/>
              <w:spacing w:line="240" w:lineRule="atLeast"/>
              <w:jc w:val="center"/>
              <w:rPr>
                <w:rFonts w:hint="eastAsia" w:ascii="仿宋" w:hAnsi="仿宋" w:eastAsia="仿宋" w:cs="仿宋"/>
                <w:color w:val="000000"/>
                <w:sz w:val="24"/>
                <w:szCs w:val="24"/>
              </w:rPr>
            </w:pPr>
          </w:p>
        </w:tc>
        <w:tc>
          <w:tcPr>
            <w:tcW w:w="6848" w:type="dxa"/>
            <w:gridSpan w:val="10"/>
            <w:shd w:val="clear" w:color="auto" w:fill="auto"/>
            <w:noWrap w:val="0"/>
            <w:vAlign w:val="center"/>
          </w:tcPr>
          <w:p w14:paraId="1A226A00">
            <w:pPr>
              <w:adjustRightInd w:val="0"/>
              <w:snapToGrid w:val="0"/>
              <w:jc w:val="center"/>
              <w:rPr>
                <w:rFonts w:hint="eastAsia" w:ascii="仿宋" w:hAnsi="仿宋" w:eastAsia="仿宋" w:cs="仿宋"/>
                <w:bCs/>
                <w:color w:val="000000"/>
                <w:sz w:val="24"/>
                <w:szCs w:val="24"/>
              </w:rPr>
            </w:pPr>
            <w:r>
              <w:rPr>
                <w:rFonts w:hint="eastAsia" w:ascii="仿宋" w:hAnsi="仿宋" w:eastAsia="仿宋" w:cs="仿宋"/>
                <w:bCs/>
                <w:color w:val="000000"/>
                <w:sz w:val="24"/>
                <w:szCs w:val="24"/>
              </w:rPr>
              <w:t>合计</w:t>
            </w:r>
          </w:p>
        </w:tc>
        <w:tc>
          <w:tcPr>
            <w:tcW w:w="924" w:type="dxa"/>
            <w:gridSpan w:val="2"/>
            <w:shd w:val="clear" w:color="auto" w:fill="FFFFFF"/>
            <w:noWrap w:val="0"/>
            <w:vAlign w:val="center"/>
          </w:tcPr>
          <w:p w14:paraId="00215FBB">
            <w:pPr>
              <w:adjustRightInd w:val="0"/>
              <w:snapToGrid w:val="0"/>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32</w:t>
            </w:r>
          </w:p>
        </w:tc>
      </w:tr>
      <w:tr w14:paraId="4A9CFE71">
        <w:trPr>
          <w:trHeight w:val="495" w:hRule="atLeast"/>
        </w:trPr>
        <w:tc>
          <w:tcPr>
            <w:tcW w:w="1376" w:type="dxa"/>
            <w:vMerge w:val="restart"/>
            <w:shd w:val="clear" w:color="auto" w:fill="FFFFFF"/>
            <w:noWrap w:val="0"/>
            <w:vAlign w:val="center"/>
          </w:tcPr>
          <w:p w14:paraId="7E2D7851">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H</w:t>
            </w:r>
          </w:p>
          <w:p w14:paraId="722500E4">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实践内容（含教育实习、见习、研习，专业实习、毕业论文或毕业设计等）</w:t>
            </w:r>
          </w:p>
        </w:tc>
        <w:tc>
          <w:tcPr>
            <w:tcW w:w="5695" w:type="dxa"/>
            <w:gridSpan w:val="9"/>
            <w:noWrap w:val="0"/>
            <w:vAlign w:val="center"/>
          </w:tcPr>
          <w:p w14:paraId="1319A923">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实践主要内容和要求</w:t>
            </w:r>
          </w:p>
        </w:tc>
        <w:tc>
          <w:tcPr>
            <w:tcW w:w="1153" w:type="dxa"/>
            <w:noWrap w:val="0"/>
            <w:vAlign w:val="center"/>
          </w:tcPr>
          <w:p w14:paraId="23436348">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支撑课程</w:t>
            </w:r>
          </w:p>
          <w:p w14:paraId="46CE2920">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目标</w:t>
            </w:r>
          </w:p>
        </w:tc>
        <w:tc>
          <w:tcPr>
            <w:tcW w:w="924" w:type="dxa"/>
            <w:gridSpan w:val="2"/>
            <w:noWrap w:val="0"/>
            <w:vAlign w:val="center"/>
          </w:tcPr>
          <w:p w14:paraId="363C9B12">
            <w:pPr>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时长</w:t>
            </w:r>
          </w:p>
          <w:p w14:paraId="0E8FAE16">
            <w:pPr>
              <w:adjustRightInd w:val="0"/>
              <w:snapToGrid w:val="0"/>
              <w:jc w:val="center"/>
              <w:rPr>
                <w:rFonts w:hint="eastAsia" w:ascii="仿宋" w:hAnsi="仿宋" w:eastAsia="仿宋" w:cs="仿宋"/>
                <w:color w:val="4472C4"/>
                <w:sz w:val="24"/>
                <w:szCs w:val="24"/>
              </w:rPr>
            </w:pPr>
            <w:r>
              <w:rPr>
                <w:rFonts w:hint="eastAsia" w:ascii="仿宋" w:hAnsi="仿宋" w:eastAsia="仿宋" w:cs="仿宋"/>
                <w:color w:val="000000"/>
                <w:kern w:val="0"/>
                <w:sz w:val="24"/>
                <w:szCs w:val="24"/>
              </w:rPr>
              <w:t>分配</w:t>
            </w:r>
          </w:p>
        </w:tc>
      </w:tr>
      <w:tr w14:paraId="1D8FEEE8">
        <w:trPr>
          <w:trHeight w:val="90" w:hRule="atLeast"/>
        </w:trPr>
        <w:tc>
          <w:tcPr>
            <w:tcW w:w="1376" w:type="dxa"/>
            <w:vMerge w:val="continue"/>
            <w:shd w:val="clear" w:color="auto" w:fill="FFFFFF"/>
            <w:noWrap w:val="0"/>
            <w:vAlign w:val="center"/>
          </w:tcPr>
          <w:p w14:paraId="00AD6744">
            <w:pPr>
              <w:adjustRightInd w:val="0"/>
              <w:snapToGrid w:val="0"/>
              <w:spacing w:line="240" w:lineRule="atLeast"/>
              <w:jc w:val="center"/>
              <w:rPr>
                <w:rFonts w:hint="eastAsia" w:ascii="仿宋" w:hAnsi="仿宋" w:eastAsia="仿宋" w:cs="仿宋"/>
                <w:color w:val="000000"/>
                <w:sz w:val="24"/>
                <w:szCs w:val="24"/>
              </w:rPr>
            </w:pPr>
          </w:p>
        </w:tc>
        <w:tc>
          <w:tcPr>
            <w:tcW w:w="5695" w:type="dxa"/>
            <w:gridSpan w:val="9"/>
            <w:noWrap w:val="0"/>
            <w:vAlign w:val="center"/>
          </w:tcPr>
          <w:p w14:paraId="33238B07">
            <w:pPr>
              <w:widowControl/>
              <w:spacing w:line="400" w:lineRule="exact"/>
              <w:ind w:firstLine="420" w:firstLineChars="200"/>
              <w:jc w:val="left"/>
              <w:rPr>
                <w:rFonts w:ascii="宋体" w:hAnsi="宋体" w:cs="宋体"/>
                <w:color w:val="000000"/>
                <w:szCs w:val="21"/>
              </w:rPr>
            </w:pPr>
          </w:p>
          <w:p w14:paraId="2DC72CBB">
            <w:pPr>
              <w:widowControl/>
              <w:autoSpaceDE w:val="0"/>
              <w:autoSpaceDN w:val="0"/>
              <w:adjustRightInd w:val="0"/>
              <w:snapToGrid w:val="0"/>
              <w:jc w:val="center"/>
              <w:textAlignment w:val="bottom"/>
              <w:rPr>
                <w:rFonts w:hint="eastAsia" w:ascii="仿宋" w:hAnsi="仿宋" w:eastAsia="仿宋" w:cs="仿宋"/>
                <w:color w:val="000000"/>
                <w:sz w:val="24"/>
                <w:szCs w:val="24"/>
              </w:rPr>
            </w:pPr>
          </w:p>
        </w:tc>
        <w:tc>
          <w:tcPr>
            <w:tcW w:w="1153" w:type="dxa"/>
            <w:noWrap w:val="0"/>
            <w:vAlign w:val="top"/>
          </w:tcPr>
          <w:p w14:paraId="12EBF79E">
            <w:pPr>
              <w:adjustRightInd w:val="0"/>
              <w:snapToGrid w:val="0"/>
              <w:jc w:val="left"/>
              <w:rPr>
                <w:rFonts w:hint="eastAsia" w:ascii="仿宋" w:hAnsi="仿宋" w:eastAsia="仿宋" w:cs="仿宋"/>
                <w:color w:val="000000"/>
                <w:sz w:val="24"/>
                <w:szCs w:val="24"/>
              </w:rPr>
            </w:pPr>
          </w:p>
        </w:tc>
        <w:tc>
          <w:tcPr>
            <w:tcW w:w="924" w:type="dxa"/>
            <w:gridSpan w:val="2"/>
            <w:noWrap w:val="0"/>
            <w:vAlign w:val="top"/>
          </w:tcPr>
          <w:p w14:paraId="02442870">
            <w:pPr>
              <w:adjustRightInd w:val="0"/>
              <w:snapToGrid w:val="0"/>
              <w:jc w:val="left"/>
              <w:rPr>
                <w:rFonts w:hint="eastAsia" w:ascii="仿宋" w:hAnsi="仿宋" w:eastAsia="仿宋" w:cs="仿宋"/>
                <w:color w:val="000000"/>
                <w:sz w:val="24"/>
                <w:szCs w:val="24"/>
              </w:rPr>
            </w:pPr>
          </w:p>
        </w:tc>
      </w:tr>
      <w:tr w14:paraId="3BC47417">
        <w:trPr>
          <w:trHeight w:val="921" w:hRule="atLeast"/>
        </w:trPr>
        <w:tc>
          <w:tcPr>
            <w:tcW w:w="1376" w:type="dxa"/>
            <w:noWrap w:val="0"/>
            <w:vAlign w:val="center"/>
          </w:tcPr>
          <w:p w14:paraId="5545960B">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I</w:t>
            </w:r>
          </w:p>
          <w:p w14:paraId="2D6F2068">
            <w:pPr>
              <w:adjustRightInd w:val="0"/>
              <w:snapToGrid w:val="0"/>
              <w:spacing w:line="240" w:lineRule="atLeast"/>
              <w:jc w:val="center"/>
              <w:rPr>
                <w:rFonts w:hint="eastAsia" w:ascii="仿宋" w:hAnsi="仿宋" w:eastAsia="仿宋" w:cs="仿宋"/>
                <w:color w:val="000000"/>
                <w:sz w:val="24"/>
                <w:szCs w:val="24"/>
                <w:lang w:eastAsia="zh-TW"/>
              </w:rPr>
            </w:pPr>
            <w:r>
              <w:rPr>
                <w:rFonts w:hint="eastAsia" w:ascii="仿宋" w:hAnsi="仿宋" w:eastAsia="仿宋" w:cs="仿宋"/>
                <w:color w:val="000000"/>
                <w:sz w:val="24"/>
                <w:szCs w:val="24"/>
              </w:rPr>
              <w:t>教学方法与教学方式</w:t>
            </w:r>
          </w:p>
        </w:tc>
        <w:tc>
          <w:tcPr>
            <w:tcW w:w="7772" w:type="dxa"/>
            <w:gridSpan w:val="12"/>
            <w:tcBorders>
              <w:bottom w:val="single" w:color="auto" w:sz="4" w:space="0"/>
            </w:tcBorders>
            <w:noWrap w:val="0"/>
            <w:vAlign w:val="center"/>
          </w:tcPr>
          <w:p w14:paraId="11C31830">
            <w:pPr>
              <w:tabs>
                <w:tab w:val="left" w:pos="720"/>
              </w:tabs>
              <w:adjustRightInd w:val="0"/>
              <w:snapToGrid w:val="0"/>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以讲授和鉴赏两个主要方式进行，先进行剧目介绍与分析，包括剧情、剧中音乐、舞蹈形式的分析与介绍，然后进入到具体的具体鉴赏，过程中始终介绍与分析剧目涉及的内容与类型。</w:t>
            </w:r>
          </w:p>
          <w:p w14:paraId="2A8965DA">
            <w:pPr>
              <w:tabs>
                <w:tab w:val="left" w:pos="720"/>
              </w:tabs>
              <w:adjustRightInd w:val="0"/>
              <w:snapToGrid w:val="0"/>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主要方式：</w:t>
            </w:r>
          </w:p>
          <w:p w14:paraId="49DE8B16">
            <w:pPr>
              <w:adjustRightInd w:val="0"/>
              <w:snapToGrid w:val="0"/>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讲授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网络学习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讨论或座谈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问题导向学  </w:t>
            </w:r>
          </w:p>
          <w:p w14:paraId="0D9672E4">
            <w:pPr>
              <w:adjustRightInd w:val="0"/>
              <w:snapToGrid w:val="0"/>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分组合作学习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专题学习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实作学习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发表学习  </w:t>
            </w:r>
          </w:p>
          <w:p w14:paraId="3D226C03">
            <w:pPr>
              <w:adjustRightInd w:val="0"/>
              <w:snapToGrid w:val="0"/>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实习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参观访问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其它：</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u w:val="single"/>
                <w:lang w:eastAsia="zh-CN"/>
              </w:rPr>
              <w:t>（</w:t>
            </w:r>
            <w:r>
              <w:rPr>
                <w:rFonts w:hint="eastAsia" w:ascii="仿宋" w:hAnsi="仿宋" w:eastAsia="仿宋" w:cs="仿宋"/>
                <w:color w:val="000000"/>
                <w:sz w:val="24"/>
                <w:szCs w:val="24"/>
              </w:rPr>
              <w:t>如口头训练等</w:t>
            </w:r>
            <w:r>
              <w:rPr>
                <w:rFonts w:hint="eastAsia" w:ascii="仿宋" w:hAnsi="仿宋" w:eastAsia="仿宋" w:cs="仿宋"/>
                <w:color w:val="000000"/>
                <w:sz w:val="24"/>
                <w:szCs w:val="24"/>
                <w:lang w:eastAsia="zh-CN"/>
              </w:rPr>
              <w:t>）</w:t>
            </w:r>
          </w:p>
        </w:tc>
      </w:tr>
      <w:tr w14:paraId="477117ED">
        <w:trPr>
          <w:trHeight w:val="580" w:hRule="atLeast"/>
        </w:trPr>
        <w:tc>
          <w:tcPr>
            <w:tcW w:w="1376" w:type="dxa"/>
            <w:noWrap w:val="0"/>
            <w:vAlign w:val="center"/>
          </w:tcPr>
          <w:p w14:paraId="6B26A3A7">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J</w:t>
            </w:r>
          </w:p>
          <w:p w14:paraId="1642C0A1">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教学条件</w:t>
            </w:r>
          </w:p>
          <w:p w14:paraId="05608377">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需求</w:t>
            </w:r>
          </w:p>
        </w:tc>
        <w:tc>
          <w:tcPr>
            <w:tcW w:w="7772" w:type="dxa"/>
            <w:gridSpan w:val="12"/>
            <w:tcBorders>
              <w:bottom w:val="single" w:color="auto" w:sz="4" w:space="0"/>
            </w:tcBorders>
            <w:noWrap w:val="0"/>
            <w:vAlign w:val="center"/>
          </w:tcPr>
          <w:p w14:paraId="7A07A9EC">
            <w:pPr>
              <w:tabs>
                <w:tab w:val="left" w:pos="720"/>
              </w:tabs>
              <w:adjustRightInd w:val="0"/>
              <w:snapToGrid w:val="0"/>
              <w:spacing w:line="240" w:lineRule="atLeas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（如时间、地点安排与“一课双师”等教师配备需求等）</w:t>
            </w:r>
          </w:p>
          <w:p w14:paraId="171E2517">
            <w:pPr>
              <w:tabs>
                <w:tab w:val="left" w:pos="720"/>
              </w:tabs>
              <w:adjustRightInd w:val="0"/>
              <w:snapToGrid w:val="0"/>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1.表演舞台</w:t>
            </w:r>
          </w:p>
          <w:p w14:paraId="6D54756A">
            <w:pPr>
              <w:tabs>
                <w:tab w:val="left" w:pos="720"/>
              </w:tabs>
              <w:adjustRightInd w:val="0"/>
              <w:snapToGrid w:val="0"/>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2.灯光</w:t>
            </w:r>
          </w:p>
          <w:p w14:paraId="6D81601B">
            <w:pPr>
              <w:tabs>
                <w:tab w:val="left" w:pos="720"/>
              </w:tabs>
              <w:adjustRightInd w:val="0"/>
              <w:snapToGrid w:val="0"/>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3.多媒体</w:t>
            </w:r>
          </w:p>
          <w:p w14:paraId="1A92CCC4">
            <w:pPr>
              <w:tabs>
                <w:tab w:val="left" w:pos="720"/>
              </w:tabs>
              <w:adjustRightInd w:val="0"/>
              <w:snapToGrid w:val="0"/>
              <w:ind w:firstLine="480" w:firstLineChars="200"/>
              <w:jc w:val="left"/>
              <w:rPr>
                <w:rFonts w:hint="eastAsia" w:ascii="仿宋" w:hAnsi="仿宋" w:eastAsia="仿宋" w:cs="仿宋"/>
                <w:color w:val="000000"/>
                <w:kern w:val="0"/>
                <w:sz w:val="24"/>
                <w:szCs w:val="24"/>
              </w:rPr>
            </w:pPr>
            <w:r>
              <w:rPr>
                <w:rFonts w:hint="eastAsia" w:ascii="仿宋" w:hAnsi="仿宋" w:eastAsia="仿宋" w:cs="仿宋"/>
                <w:sz w:val="24"/>
                <w:szCs w:val="24"/>
                <w:lang w:val="en-US" w:eastAsia="zh-CN"/>
              </w:rPr>
              <w:t>4.一课双师</w:t>
            </w:r>
          </w:p>
        </w:tc>
      </w:tr>
      <w:tr w14:paraId="4D499779">
        <w:trPr>
          <w:trHeight w:val="711" w:hRule="atLeast"/>
        </w:trPr>
        <w:tc>
          <w:tcPr>
            <w:tcW w:w="1376" w:type="dxa"/>
            <w:vMerge w:val="restart"/>
            <w:noWrap w:val="0"/>
            <w:vAlign w:val="center"/>
          </w:tcPr>
          <w:p w14:paraId="10A5E9A7">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K</w:t>
            </w:r>
          </w:p>
          <w:p w14:paraId="409602F6">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课程目标及其考核内容、考核方式及评分占比</w:t>
            </w:r>
          </w:p>
        </w:tc>
        <w:tc>
          <w:tcPr>
            <w:tcW w:w="1032" w:type="dxa"/>
            <w:vMerge w:val="restart"/>
            <w:noWrap w:val="0"/>
            <w:vAlign w:val="center"/>
          </w:tcPr>
          <w:p w14:paraId="1E586E82">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课程目标及评分占比</w:t>
            </w:r>
          </w:p>
        </w:tc>
        <w:tc>
          <w:tcPr>
            <w:tcW w:w="3247" w:type="dxa"/>
            <w:gridSpan w:val="5"/>
            <w:vMerge w:val="restart"/>
            <w:tcBorders>
              <w:right w:val="single" w:color="000000" w:sz="4" w:space="0"/>
            </w:tcBorders>
            <w:noWrap w:val="0"/>
            <w:vAlign w:val="center"/>
          </w:tcPr>
          <w:p w14:paraId="0B039FE2">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考核内容</w:t>
            </w:r>
          </w:p>
        </w:tc>
        <w:tc>
          <w:tcPr>
            <w:tcW w:w="2661" w:type="dxa"/>
            <w:gridSpan w:val="5"/>
            <w:tcBorders>
              <w:left w:val="single" w:color="000000" w:sz="4" w:space="0"/>
              <w:right w:val="single" w:color="000000" w:sz="4" w:space="0"/>
            </w:tcBorders>
            <w:noWrap w:val="0"/>
            <w:vAlign w:val="center"/>
          </w:tcPr>
          <w:p w14:paraId="469354B4">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考核方式</w:t>
            </w:r>
          </w:p>
        </w:tc>
        <w:tc>
          <w:tcPr>
            <w:tcW w:w="832" w:type="dxa"/>
            <w:vMerge w:val="restart"/>
            <w:tcBorders>
              <w:left w:val="single" w:color="000000" w:sz="4" w:space="0"/>
            </w:tcBorders>
            <w:noWrap w:val="0"/>
            <w:vAlign w:val="center"/>
          </w:tcPr>
          <w:p w14:paraId="1A194284">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sz w:val="24"/>
                <w:szCs w:val="24"/>
              </w:rPr>
              <w:t>课程分目标的达成度</w:t>
            </w:r>
          </w:p>
        </w:tc>
      </w:tr>
      <w:tr w14:paraId="1C80457B">
        <w:trPr>
          <w:trHeight w:val="184" w:hRule="atLeast"/>
        </w:trPr>
        <w:tc>
          <w:tcPr>
            <w:tcW w:w="1376" w:type="dxa"/>
            <w:vMerge w:val="continue"/>
            <w:noWrap w:val="0"/>
            <w:vAlign w:val="center"/>
          </w:tcPr>
          <w:p w14:paraId="7A01622A">
            <w:pPr>
              <w:adjustRightInd w:val="0"/>
              <w:snapToGrid w:val="0"/>
              <w:spacing w:line="240" w:lineRule="atLeast"/>
              <w:jc w:val="center"/>
              <w:rPr>
                <w:rFonts w:hint="eastAsia" w:ascii="仿宋" w:hAnsi="仿宋" w:eastAsia="仿宋" w:cs="仿宋"/>
                <w:color w:val="000000"/>
                <w:sz w:val="24"/>
                <w:szCs w:val="24"/>
              </w:rPr>
            </w:pPr>
          </w:p>
        </w:tc>
        <w:tc>
          <w:tcPr>
            <w:tcW w:w="1032" w:type="dxa"/>
            <w:vMerge w:val="continue"/>
            <w:tcBorders>
              <w:tl2br w:val="single" w:color="auto" w:sz="4" w:space="0"/>
            </w:tcBorders>
            <w:noWrap w:val="0"/>
            <w:vAlign w:val="center"/>
          </w:tcPr>
          <w:p w14:paraId="3D9BE4C2">
            <w:pPr>
              <w:adjustRightInd w:val="0"/>
              <w:snapToGrid w:val="0"/>
              <w:jc w:val="right"/>
              <w:rPr>
                <w:rFonts w:hint="eastAsia" w:ascii="仿宋" w:hAnsi="仿宋" w:eastAsia="仿宋" w:cs="仿宋"/>
                <w:color w:val="000000"/>
                <w:sz w:val="24"/>
                <w:szCs w:val="24"/>
              </w:rPr>
            </w:pPr>
          </w:p>
        </w:tc>
        <w:tc>
          <w:tcPr>
            <w:tcW w:w="3247" w:type="dxa"/>
            <w:gridSpan w:val="5"/>
            <w:vMerge w:val="continue"/>
            <w:tcBorders>
              <w:right w:val="single" w:color="000000" w:sz="4" w:space="0"/>
            </w:tcBorders>
            <w:noWrap w:val="0"/>
            <w:vAlign w:val="center"/>
          </w:tcPr>
          <w:p w14:paraId="604D9FE7">
            <w:pPr>
              <w:tabs>
                <w:tab w:val="left" w:pos="720"/>
              </w:tabs>
              <w:adjustRightInd w:val="0"/>
              <w:snapToGrid w:val="0"/>
              <w:jc w:val="center"/>
              <w:rPr>
                <w:rFonts w:hint="eastAsia" w:ascii="仿宋" w:hAnsi="仿宋" w:eastAsia="仿宋" w:cs="仿宋"/>
                <w:color w:val="000000"/>
                <w:kern w:val="0"/>
                <w:sz w:val="24"/>
                <w:szCs w:val="24"/>
              </w:rPr>
            </w:pPr>
          </w:p>
        </w:tc>
        <w:tc>
          <w:tcPr>
            <w:tcW w:w="1330" w:type="dxa"/>
            <w:gridSpan w:val="2"/>
            <w:tcBorders>
              <w:left w:val="single" w:color="000000" w:sz="4" w:space="0"/>
              <w:right w:val="single" w:color="000000" w:sz="4" w:space="0"/>
            </w:tcBorders>
            <w:noWrap w:val="0"/>
            <w:vAlign w:val="center"/>
          </w:tcPr>
          <w:p w14:paraId="43581FC9">
            <w:pPr>
              <w:adjustRightInd w:val="0"/>
              <w:snapToGrid w:val="0"/>
              <w:jc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平时表现</w:t>
            </w: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30</w:t>
            </w:r>
            <w:r>
              <w:rPr>
                <w:rFonts w:hint="eastAsia" w:ascii="仿宋" w:hAnsi="仿宋" w:eastAsia="仿宋" w:cs="仿宋"/>
                <w:color w:val="000000"/>
                <w:sz w:val="24"/>
                <w:szCs w:val="24"/>
              </w:rPr>
              <w:t>%）</w:t>
            </w:r>
          </w:p>
        </w:tc>
        <w:tc>
          <w:tcPr>
            <w:tcW w:w="1331" w:type="dxa"/>
            <w:gridSpan w:val="3"/>
            <w:tcBorders>
              <w:left w:val="single" w:color="000000" w:sz="4" w:space="0"/>
              <w:bottom w:val="single" w:color="auto" w:sz="4" w:space="0"/>
              <w:right w:val="single" w:color="000000" w:sz="4" w:space="0"/>
            </w:tcBorders>
            <w:noWrap w:val="0"/>
            <w:vAlign w:val="center"/>
          </w:tcPr>
          <w:p w14:paraId="7C77A2DA">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期末考试</w:t>
            </w: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70</w:t>
            </w:r>
            <w:r>
              <w:rPr>
                <w:rFonts w:hint="eastAsia" w:ascii="仿宋" w:hAnsi="仿宋" w:eastAsia="仿宋" w:cs="仿宋"/>
                <w:color w:val="000000"/>
                <w:sz w:val="24"/>
                <w:szCs w:val="24"/>
              </w:rPr>
              <w:t>%）</w:t>
            </w:r>
          </w:p>
        </w:tc>
        <w:tc>
          <w:tcPr>
            <w:tcW w:w="832" w:type="dxa"/>
            <w:vMerge w:val="continue"/>
            <w:tcBorders>
              <w:left w:val="single" w:color="000000" w:sz="4" w:space="0"/>
              <w:bottom w:val="single" w:color="auto" w:sz="4" w:space="0"/>
            </w:tcBorders>
            <w:noWrap w:val="0"/>
            <w:vAlign w:val="center"/>
          </w:tcPr>
          <w:p w14:paraId="6C746212">
            <w:pPr>
              <w:tabs>
                <w:tab w:val="left" w:pos="720"/>
              </w:tabs>
              <w:adjustRightInd w:val="0"/>
              <w:snapToGrid w:val="0"/>
              <w:jc w:val="center"/>
              <w:rPr>
                <w:rFonts w:hint="eastAsia" w:ascii="仿宋" w:hAnsi="仿宋" w:eastAsia="仿宋" w:cs="仿宋"/>
                <w:color w:val="000000"/>
                <w:sz w:val="24"/>
                <w:szCs w:val="24"/>
              </w:rPr>
            </w:pPr>
          </w:p>
        </w:tc>
      </w:tr>
      <w:tr w14:paraId="5B61193E">
        <w:tc>
          <w:tcPr>
            <w:tcW w:w="1376" w:type="dxa"/>
            <w:vMerge w:val="continue"/>
            <w:noWrap w:val="0"/>
            <w:vAlign w:val="center"/>
          </w:tcPr>
          <w:p w14:paraId="167D0D40">
            <w:pPr>
              <w:adjustRightInd w:val="0"/>
              <w:snapToGrid w:val="0"/>
              <w:spacing w:line="240" w:lineRule="atLeast"/>
              <w:jc w:val="center"/>
              <w:rPr>
                <w:rFonts w:hint="eastAsia" w:ascii="仿宋" w:hAnsi="仿宋" w:eastAsia="仿宋" w:cs="仿宋"/>
                <w:color w:val="000000"/>
                <w:sz w:val="24"/>
                <w:szCs w:val="24"/>
                <w:lang w:eastAsia="zh-TW"/>
              </w:rPr>
            </w:pPr>
          </w:p>
        </w:tc>
        <w:tc>
          <w:tcPr>
            <w:tcW w:w="1032" w:type="dxa"/>
            <w:tcBorders>
              <w:bottom w:val="single" w:color="auto" w:sz="4" w:space="0"/>
            </w:tcBorders>
            <w:noWrap w:val="0"/>
            <w:vAlign w:val="center"/>
          </w:tcPr>
          <w:p w14:paraId="1B7584A6">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rPr>
              <w:t>课程目标1（</w:t>
            </w:r>
            <w:r>
              <w:rPr>
                <w:rFonts w:hint="eastAsia" w:ascii="仿宋" w:hAnsi="仿宋" w:eastAsia="仿宋" w:cs="仿宋"/>
                <w:color w:val="000000"/>
                <w:kern w:val="0"/>
                <w:sz w:val="24"/>
                <w:szCs w:val="24"/>
                <w:lang w:val="en-US" w:eastAsia="zh-CN"/>
              </w:rPr>
              <w:t>70</w:t>
            </w:r>
            <w:r>
              <w:rPr>
                <w:rFonts w:hint="eastAsia" w:ascii="仿宋" w:hAnsi="仿宋" w:eastAsia="仿宋" w:cs="仿宋"/>
                <w:color w:val="000000"/>
                <w:kern w:val="0"/>
                <w:sz w:val="24"/>
                <w:szCs w:val="24"/>
              </w:rPr>
              <w:t>%）</w:t>
            </w:r>
          </w:p>
        </w:tc>
        <w:tc>
          <w:tcPr>
            <w:tcW w:w="3247" w:type="dxa"/>
            <w:gridSpan w:val="5"/>
            <w:tcBorders>
              <w:bottom w:val="single" w:color="auto" w:sz="4" w:space="0"/>
              <w:right w:val="single" w:color="000000" w:sz="4" w:space="0"/>
            </w:tcBorders>
            <w:noWrap w:val="0"/>
            <w:vAlign w:val="center"/>
          </w:tcPr>
          <w:p w14:paraId="54B35609">
            <w:pPr>
              <w:widowControl/>
              <w:spacing w:line="400" w:lineRule="exact"/>
              <w:ind w:firstLine="480" w:firstLineChars="200"/>
              <w:jc w:val="left"/>
              <w:rPr>
                <w:rFonts w:hint="eastAsia" w:ascii="仿宋" w:hAnsi="仿宋" w:eastAsia="仿宋" w:cs="仿宋"/>
                <w:color w:val="000000"/>
                <w:kern w:val="0"/>
                <w:sz w:val="24"/>
                <w:szCs w:val="24"/>
              </w:rPr>
            </w:pPr>
            <w:r>
              <w:rPr>
                <w:rFonts w:hint="eastAsia" w:ascii="仿宋" w:hAnsi="仿宋" w:eastAsia="仿宋" w:cs="仿宋"/>
                <w:sz w:val="24"/>
                <w:szCs w:val="24"/>
                <w:lang w:val="en-US" w:eastAsia="zh-CN"/>
              </w:rPr>
              <w:t>了解音乐剧基本知识，对经典音乐剧作品有较为深入的了解与认识。</w:t>
            </w:r>
          </w:p>
        </w:tc>
        <w:tc>
          <w:tcPr>
            <w:tcW w:w="1330" w:type="dxa"/>
            <w:gridSpan w:val="2"/>
            <w:tcBorders>
              <w:left w:val="single" w:color="000000" w:sz="4" w:space="0"/>
              <w:bottom w:val="single" w:color="auto" w:sz="4" w:space="0"/>
              <w:right w:val="single" w:color="000000" w:sz="4" w:space="0"/>
            </w:tcBorders>
            <w:noWrap w:val="0"/>
            <w:vAlign w:val="center"/>
          </w:tcPr>
          <w:p w14:paraId="547B5E84">
            <w:pPr>
              <w:adjustRightInd w:val="0"/>
              <w:snapToGrid w:val="0"/>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21</w:t>
            </w:r>
          </w:p>
        </w:tc>
        <w:tc>
          <w:tcPr>
            <w:tcW w:w="1331" w:type="dxa"/>
            <w:gridSpan w:val="3"/>
            <w:tcBorders>
              <w:left w:val="single" w:color="000000" w:sz="4" w:space="0"/>
              <w:bottom w:val="single" w:color="auto" w:sz="4" w:space="0"/>
              <w:right w:val="single" w:color="auto" w:sz="4" w:space="0"/>
            </w:tcBorders>
            <w:noWrap w:val="0"/>
            <w:vAlign w:val="center"/>
          </w:tcPr>
          <w:p w14:paraId="574218EE">
            <w:pPr>
              <w:tabs>
                <w:tab w:val="left" w:pos="720"/>
              </w:tabs>
              <w:adjustRightInd w:val="0"/>
              <w:snapToGrid w:val="0"/>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49</w:t>
            </w:r>
          </w:p>
        </w:tc>
        <w:tc>
          <w:tcPr>
            <w:tcW w:w="832" w:type="dxa"/>
            <w:tcBorders>
              <w:left w:val="single" w:color="auto" w:sz="4" w:space="0"/>
              <w:bottom w:val="single" w:color="auto" w:sz="4" w:space="0"/>
            </w:tcBorders>
            <w:noWrap w:val="0"/>
            <w:vAlign w:val="center"/>
          </w:tcPr>
          <w:p w14:paraId="54592AC9">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w:t>
            </w:r>
          </w:p>
        </w:tc>
      </w:tr>
      <w:tr w14:paraId="55A0DACB">
        <w:trPr>
          <w:trHeight w:val="745" w:hRule="atLeast"/>
        </w:trPr>
        <w:tc>
          <w:tcPr>
            <w:tcW w:w="1376" w:type="dxa"/>
            <w:vMerge w:val="continue"/>
            <w:noWrap w:val="0"/>
            <w:vAlign w:val="center"/>
          </w:tcPr>
          <w:p w14:paraId="019D9808">
            <w:pPr>
              <w:adjustRightInd w:val="0"/>
              <w:snapToGrid w:val="0"/>
              <w:spacing w:line="240" w:lineRule="atLeast"/>
              <w:jc w:val="center"/>
              <w:rPr>
                <w:rFonts w:hint="eastAsia" w:ascii="仿宋" w:hAnsi="仿宋" w:eastAsia="仿宋" w:cs="仿宋"/>
                <w:color w:val="000000"/>
                <w:sz w:val="24"/>
                <w:szCs w:val="24"/>
                <w:lang w:eastAsia="zh-TW"/>
              </w:rPr>
            </w:pPr>
          </w:p>
        </w:tc>
        <w:tc>
          <w:tcPr>
            <w:tcW w:w="1032" w:type="dxa"/>
            <w:noWrap w:val="0"/>
            <w:vAlign w:val="center"/>
          </w:tcPr>
          <w:p w14:paraId="3F07BB56">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课程目标2（</w:t>
            </w:r>
            <w:r>
              <w:rPr>
                <w:rFonts w:hint="eastAsia" w:ascii="仿宋" w:hAnsi="仿宋" w:eastAsia="仿宋" w:cs="仿宋"/>
                <w:kern w:val="0"/>
                <w:sz w:val="24"/>
                <w:szCs w:val="24"/>
                <w:lang w:val="en-US" w:eastAsia="zh-CN"/>
              </w:rPr>
              <w:t>20</w:t>
            </w:r>
            <w:r>
              <w:rPr>
                <w:rFonts w:hint="eastAsia" w:ascii="仿宋" w:hAnsi="仿宋" w:eastAsia="仿宋" w:cs="仿宋"/>
                <w:kern w:val="0"/>
                <w:sz w:val="24"/>
                <w:szCs w:val="24"/>
              </w:rPr>
              <w:t>%）</w:t>
            </w:r>
          </w:p>
        </w:tc>
        <w:tc>
          <w:tcPr>
            <w:tcW w:w="3247" w:type="dxa"/>
            <w:gridSpan w:val="5"/>
            <w:tcBorders>
              <w:right w:val="single" w:color="000000" w:sz="4" w:space="0"/>
            </w:tcBorders>
            <w:noWrap w:val="0"/>
            <w:vAlign w:val="center"/>
          </w:tcPr>
          <w:p w14:paraId="46977576">
            <w:pPr>
              <w:widowControl/>
              <w:spacing w:line="400" w:lineRule="exact"/>
              <w:ind w:firstLine="480" w:firstLineChars="200"/>
              <w:jc w:val="left"/>
              <w:rPr>
                <w:rFonts w:hint="eastAsia" w:ascii="仿宋" w:hAnsi="仿宋" w:eastAsia="仿宋" w:cs="仿宋"/>
                <w:kern w:val="0"/>
                <w:sz w:val="24"/>
                <w:szCs w:val="24"/>
              </w:rPr>
            </w:pPr>
            <w:r>
              <w:rPr>
                <w:rFonts w:hint="eastAsia" w:ascii="仿宋" w:hAnsi="仿宋" w:eastAsia="仿宋" w:cs="仿宋"/>
                <w:sz w:val="24"/>
                <w:szCs w:val="24"/>
                <w:lang w:val="en-US" w:eastAsia="zh-CN"/>
              </w:rPr>
              <w:t>通过剧中深谙的思想得到感悟与思考，建立正确的世界观、人生观、价值观。</w:t>
            </w:r>
          </w:p>
        </w:tc>
        <w:tc>
          <w:tcPr>
            <w:tcW w:w="1330" w:type="dxa"/>
            <w:gridSpan w:val="2"/>
            <w:tcBorders>
              <w:left w:val="single" w:color="000000" w:sz="4" w:space="0"/>
              <w:right w:val="single" w:color="000000" w:sz="4" w:space="0"/>
            </w:tcBorders>
            <w:noWrap w:val="0"/>
            <w:vAlign w:val="center"/>
          </w:tcPr>
          <w:p w14:paraId="1AFAE17E">
            <w:pPr>
              <w:adjustRightInd w:val="0"/>
              <w:snapToGrid w:val="0"/>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6</w:t>
            </w:r>
          </w:p>
        </w:tc>
        <w:tc>
          <w:tcPr>
            <w:tcW w:w="1331" w:type="dxa"/>
            <w:gridSpan w:val="3"/>
            <w:tcBorders>
              <w:left w:val="single" w:color="000000" w:sz="4" w:space="0"/>
              <w:bottom w:val="single" w:color="000000" w:sz="4" w:space="0"/>
              <w:right w:val="single" w:color="000000" w:sz="4" w:space="0"/>
            </w:tcBorders>
            <w:noWrap w:val="0"/>
            <w:vAlign w:val="center"/>
          </w:tcPr>
          <w:p w14:paraId="75241BD7">
            <w:pPr>
              <w:tabs>
                <w:tab w:val="left" w:pos="720"/>
              </w:tabs>
              <w:adjustRightInd w:val="0"/>
              <w:snapToGrid w:val="0"/>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14</w:t>
            </w:r>
          </w:p>
        </w:tc>
        <w:tc>
          <w:tcPr>
            <w:tcW w:w="832" w:type="dxa"/>
            <w:tcBorders>
              <w:left w:val="single" w:color="000000" w:sz="4" w:space="0"/>
              <w:bottom w:val="single" w:color="000000" w:sz="4" w:space="0"/>
            </w:tcBorders>
            <w:noWrap w:val="0"/>
            <w:vAlign w:val="center"/>
          </w:tcPr>
          <w:p w14:paraId="1067D005">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w:t>
            </w:r>
          </w:p>
        </w:tc>
      </w:tr>
      <w:tr w14:paraId="2FB821C6">
        <w:trPr>
          <w:trHeight w:val="515" w:hRule="atLeast"/>
        </w:trPr>
        <w:tc>
          <w:tcPr>
            <w:tcW w:w="1376" w:type="dxa"/>
            <w:vMerge w:val="continue"/>
            <w:noWrap w:val="0"/>
            <w:vAlign w:val="center"/>
          </w:tcPr>
          <w:p w14:paraId="53C0997A">
            <w:pPr>
              <w:adjustRightInd w:val="0"/>
              <w:snapToGrid w:val="0"/>
              <w:spacing w:line="240" w:lineRule="atLeast"/>
              <w:jc w:val="center"/>
              <w:rPr>
                <w:rFonts w:hint="eastAsia" w:ascii="仿宋" w:hAnsi="仿宋" w:eastAsia="仿宋" w:cs="仿宋"/>
                <w:color w:val="000000"/>
                <w:sz w:val="24"/>
                <w:szCs w:val="24"/>
                <w:lang w:eastAsia="zh-TW"/>
              </w:rPr>
            </w:pPr>
          </w:p>
        </w:tc>
        <w:tc>
          <w:tcPr>
            <w:tcW w:w="1032" w:type="dxa"/>
            <w:tcBorders>
              <w:bottom w:val="single" w:color="auto" w:sz="4" w:space="0"/>
            </w:tcBorders>
            <w:noWrap w:val="0"/>
            <w:vAlign w:val="center"/>
          </w:tcPr>
          <w:p w14:paraId="7A09405C">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课程目标3（</w:t>
            </w:r>
            <w:r>
              <w:rPr>
                <w:rFonts w:hint="eastAsia" w:ascii="仿宋" w:hAnsi="仿宋" w:eastAsia="仿宋" w:cs="仿宋"/>
                <w:kern w:val="0"/>
                <w:sz w:val="24"/>
                <w:szCs w:val="24"/>
                <w:lang w:val="en-US" w:eastAsia="zh-CN"/>
              </w:rPr>
              <w:t>10</w:t>
            </w:r>
            <w:r>
              <w:rPr>
                <w:rFonts w:hint="eastAsia" w:ascii="仿宋" w:hAnsi="仿宋" w:eastAsia="仿宋" w:cs="仿宋"/>
                <w:kern w:val="0"/>
                <w:sz w:val="24"/>
                <w:szCs w:val="24"/>
              </w:rPr>
              <w:t>%）</w:t>
            </w:r>
          </w:p>
        </w:tc>
        <w:tc>
          <w:tcPr>
            <w:tcW w:w="3247" w:type="dxa"/>
            <w:gridSpan w:val="5"/>
            <w:tcBorders>
              <w:bottom w:val="single" w:color="auto" w:sz="4" w:space="0"/>
              <w:right w:val="single" w:color="000000" w:sz="4" w:space="0"/>
            </w:tcBorders>
            <w:noWrap w:val="0"/>
            <w:vAlign w:val="center"/>
          </w:tcPr>
          <w:p w14:paraId="6E5499F6">
            <w:pPr>
              <w:widowControl/>
              <w:spacing w:line="400" w:lineRule="exact"/>
              <w:ind w:firstLine="480" w:firstLineChars="200"/>
              <w:jc w:val="left"/>
              <w:rPr>
                <w:rFonts w:hint="eastAsia" w:ascii="仿宋" w:hAnsi="仿宋" w:eastAsia="仿宋" w:cs="仿宋"/>
                <w:kern w:val="0"/>
                <w:sz w:val="24"/>
                <w:szCs w:val="24"/>
              </w:rPr>
            </w:pPr>
            <w:r>
              <w:rPr>
                <w:rFonts w:hint="eastAsia" w:ascii="仿宋" w:hAnsi="仿宋" w:eastAsia="仿宋" w:cs="仿宋"/>
                <w:sz w:val="24"/>
                <w:szCs w:val="24"/>
                <w:lang w:val="en-US" w:eastAsia="zh-CN"/>
              </w:rPr>
              <w:t>能够知晓音乐剧发展的趋势、动态以及与教学实践和社会生活的联系。</w:t>
            </w:r>
          </w:p>
        </w:tc>
        <w:tc>
          <w:tcPr>
            <w:tcW w:w="1330" w:type="dxa"/>
            <w:gridSpan w:val="2"/>
            <w:tcBorders>
              <w:left w:val="single" w:color="000000" w:sz="4" w:space="0"/>
              <w:bottom w:val="single" w:color="auto" w:sz="4" w:space="0"/>
              <w:right w:val="single" w:color="000000" w:sz="4" w:space="0"/>
            </w:tcBorders>
            <w:noWrap w:val="0"/>
            <w:vAlign w:val="center"/>
          </w:tcPr>
          <w:p w14:paraId="0ED654AB">
            <w:pPr>
              <w:adjustRightInd w:val="0"/>
              <w:snapToGrid w:val="0"/>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3</w:t>
            </w:r>
          </w:p>
        </w:tc>
        <w:tc>
          <w:tcPr>
            <w:tcW w:w="1331" w:type="dxa"/>
            <w:gridSpan w:val="3"/>
            <w:tcBorders>
              <w:top w:val="single" w:color="000000" w:sz="4" w:space="0"/>
              <w:left w:val="single" w:color="000000" w:sz="4" w:space="0"/>
              <w:bottom w:val="single" w:color="auto" w:sz="4" w:space="0"/>
              <w:right w:val="single" w:color="000000" w:sz="4" w:space="0"/>
            </w:tcBorders>
            <w:noWrap w:val="0"/>
            <w:vAlign w:val="center"/>
          </w:tcPr>
          <w:p w14:paraId="4BA083C6">
            <w:pPr>
              <w:tabs>
                <w:tab w:val="left" w:pos="720"/>
              </w:tabs>
              <w:adjustRightInd w:val="0"/>
              <w:snapToGrid w:val="0"/>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7</w:t>
            </w:r>
          </w:p>
        </w:tc>
        <w:tc>
          <w:tcPr>
            <w:tcW w:w="832" w:type="dxa"/>
            <w:tcBorders>
              <w:top w:val="single" w:color="000000" w:sz="4" w:space="0"/>
              <w:left w:val="single" w:color="000000" w:sz="4" w:space="0"/>
              <w:bottom w:val="single" w:color="auto" w:sz="4" w:space="0"/>
            </w:tcBorders>
            <w:noWrap w:val="0"/>
            <w:vAlign w:val="center"/>
          </w:tcPr>
          <w:p w14:paraId="184E6C3C">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w:t>
            </w:r>
          </w:p>
        </w:tc>
      </w:tr>
      <w:tr w14:paraId="0744652A">
        <w:trPr>
          <w:trHeight w:val="515" w:hRule="atLeast"/>
        </w:trPr>
        <w:tc>
          <w:tcPr>
            <w:tcW w:w="1376" w:type="dxa"/>
            <w:vMerge w:val="continue"/>
            <w:noWrap w:val="0"/>
            <w:vAlign w:val="center"/>
          </w:tcPr>
          <w:p w14:paraId="0A79672A">
            <w:pPr>
              <w:adjustRightInd w:val="0"/>
              <w:snapToGrid w:val="0"/>
              <w:spacing w:line="240" w:lineRule="atLeast"/>
              <w:jc w:val="center"/>
              <w:rPr>
                <w:rFonts w:hint="eastAsia" w:ascii="仿宋" w:hAnsi="仿宋" w:eastAsia="仿宋" w:cs="仿宋"/>
                <w:color w:val="000000"/>
                <w:sz w:val="24"/>
                <w:szCs w:val="24"/>
                <w:lang w:eastAsia="zh-TW"/>
              </w:rPr>
            </w:pPr>
          </w:p>
        </w:tc>
        <w:tc>
          <w:tcPr>
            <w:tcW w:w="4279" w:type="dxa"/>
            <w:gridSpan w:val="6"/>
            <w:tcBorders>
              <w:bottom w:val="single" w:color="auto" w:sz="4" w:space="0"/>
              <w:right w:val="single" w:color="000000" w:sz="4" w:space="0"/>
            </w:tcBorders>
            <w:noWrap w:val="0"/>
            <w:vAlign w:val="center"/>
          </w:tcPr>
          <w:p w14:paraId="1D5A73F7">
            <w:pPr>
              <w:widowControl/>
              <w:autoSpaceDE w:val="0"/>
              <w:autoSpaceDN w:val="0"/>
              <w:adjustRightInd w:val="0"/>
              <w:snapToGrid w:val="0"/>
              <w:jc w:val="center"/>
              <w:textAlignment w:val="bottom"/>
              <w:rPr>
                <w:rFonts w:hint="default" w:ascii="仿宋" w:hAnsi="仿宋" w:eastAsia="仿宋" w:cs="仿宋"/>
                <w:sz w:val="24"/>
                <w:szCs w:val="24"/>
                <w:lang w:val="en-US" w:eastAsia="zh-CN"/>
              </w:rPr>
            </w:pPr>
            <w:r>
              <w:rPr>
                <w:rFonts w:hint="eastAsia" w:ascii="仿宋" w:hAnsi="仿宋" w:eastAsia="仿宋" w:cs="仿宋"/>
                <w:sz w:val="24"/>
                <w:szCs w:val="24"/>
              </w:rPr>
              <w:t>总分</w:t>
            </w:r>
            <w:r>
              <w:rPr>
                <w:rFonts w:hint="eastAsia" w:ascii="仿宋" w:hAnsi="仿宋" w:eastAsia="仿宋" w:cs="仿宋"/>
                <w:sz w:val="24"/>
                <w:szCs w:val="24"/>
                <w:lang w:val="en-US" w:eastAsia="zh-CN"/>
              </w:rPr>
              <w:t>100</w:t>
            </w:r>
          </w:p>
        </w:tc>
        <w:tc>
          <w:tcPr>
            <w:tcW w:w="1330" w:type="dxa"/>
            <w:gridSpan w:val="2"/>
            <w:tcBorders>
              <w:left w:val="single" w:color="000000" w:sz="4" w:space="0"/>
              <w:bottom w:val="single" w:color="auto" w:sz="4" w:space="0"/>
              <w:right w:val="single" w:color="000000" w:sz="4" w:space="0"/>
            </w:tcBorders>
            <w:noWrap w:val="0"/>
            <w:vAlign w:val="center"/>
          </w:tcPr>
          <w:p w14:paraId="3BAC61BC">
            <w:pPr>
              <w:adjustRightInd w:val="0"/>
              <w:snapToGrid w:val="0"/>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30</w:t>
            </w:r>
          </w:p>
        </w:tc>
        <w:tc>
          <w:tcPr>
            <w:tcW w:w="1331" w:type="dxa"/>
            <w:gridSpan w:val="3"/>
            <w:tcBorders>
              <w:top w:val="single" w:color="000000" w:sz="4" w:space="0"/>
              <w:left w:val="single" w:color="000000" w:sz="4" w:space="0"/>
              <w:bottom w:val="single" w:color="auto" w:sz="4" w:space="0"/>
              <w:right w:val="single" w:color="000000" w:sz="4" w:space="0"/>
            </w:tcBorders>
            <w:noWrap w:val="0"/>
            <w:vAlign w:val="center"/>
          </w:tcPr>
          <w:p w14:paraId="3DF7742B">
            <w:pPr>
              <w:tabs>
                <w:tab w:val="left" w:pos="720"/>
              </w:tabs>
              <w:adjustRightInd w:val="0"/>
              <w:snapToGrid w:val="0"/>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70</w:t>
            </w:r>
          </w:p>
        </w:tc>
        <w:tc>
          <w:tcPr>
            <w:tcW w:w="832" w:type="dxa"/>
            <w:tcBorders>
              <w:top w:val="single" w:color="000000" w:sz="4" w:space="0"/>
              <w:left w:val="single" w:color="000000" w:sz="4" w:space="0"/>
              <w:bottom w:val="single" w:color="auto" w:sz="4" w:space="0"/>
            </w:tcBorders>
            <w:noWrap w:val="0"/>
            <w:vAlign w:val="center"/>
          </w:tcPr>
          <w:p w14:paraId="4B06C4A2">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w:t>
            </w:r>
          </w:p>
        </w:tc>
      </w:tr>
      <w:tr w14:paraId="3A8A4C8E">
        <w:tc>
          <w:tcPr>
            <w:tcW w:w="1376" w:type="dxa"/>
            <w:noWrap w:val="0"/>
            <w:vAlign w:val="center"/>
          </w:tcPr>
          <w:p w14:paraId="6088EC21">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L</w:t>
            </w:r>
          </w:p>
          <w:p w14:paraId="38424ECC">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学习建议</w:t>
            </w:r>
          </w:p>
        </w:tc>
        <w:tc>
          <w:tcPr>
            <w:tcW w:w="7772" w:type="dxa"/>
            <w:gridSpan w:val="12"/>
            <w:tcBorders>
              <w:bottom w:val="single" w:color="auto" w:sz="4" w:space="0"/>
            </w:tcBorders>
            <w:noWrap w:val="0"/>
            <w:vAlign w:val="center"/>
          </w:tcPr>
          <w:p w14:paraId="469B6E4B">
            <w:pPr>
              <w:widowControl/>
              <w:spacing w:line="400" w:lineRule="exact"/>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1.自主学习。建议学生通过预习教材，并通过网络、图书馆自主查阅课程中涉及的学习资源，独立规划自己的课程学习计划，充分发挥自身的学习能动性。</w:t>
            </w:r>
          </w:p>
          <w:p w14:paraId="0E8C040B">
            <w:pPr>
              <w:pStyle w:val="1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rPr>
                <w:rFonts w:hint="eastAsia" w:ascii="仿宋" w:hAnsi="仿宋" w:eastAsia="仿宋" w:cs="仿宋"/>
                <w:color w:val="4472C4"/>
                <w:kern w:val="0"/>
                <w:sz w:val="24"/>
                <w:szCs w:val="24"/>
              </w:rPr>
            </w:pPr>
            <w:r>
              <w:rPr>
                <w:rFonts w:hint="eastAsia" w:ascii="仿宋" w:hAnsi="仿宋" w:eastAsia="仿宋" w:cs="仿宋"/>
                <w:sz w:val="24"/>
                <w:szCs w:val="24"/>
                <w:lang w:val="en-US" w:eastAsia="zh-CN"/>
              </w:rPr>
              <w:t>2.</w:t>
            </w:r>
            <w:r>
              <w:rPr>
                <w:rFonts w:hint="eastAsia" w:ascii="仿宋" w:hAnsi="仿宋" w:eastAsia="仿宋" w:cs="仿宋"/>
                <w:kern w:val="2"/>
                <w:sz w:val="24"/>
                <w:szCs w:val="24"/>
                <w:lang w:val="en-US" w:eastAsia="zh-CN" w:bidi="ar-SA"/>
              </w:rPr>
              <w:t>研究性学习。发扬学生学习的积极性，适时就某些剧目进行探讨，然后点评。</w:t>
            </w:r>
          </w:p>
        </w:tc>
      </w:tr>
      <w:tr w14:paraId="50BA3695">
        <w:trPr>
          <w:trHeight w:val="454" w:hRule="atLeast"/>
        </w:trPr>
        <w:tc>
          <w:tcPr>
            <w:tcW w:w="1376" w:type="dxa"/>
            <w:noWrap w:val="0"/>
            <w:vAlign w:val="center"/>
          </w:tcPr>
          <w:p w14:paraId="428FA3F8">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M</w:t>
            </w:r>
          </w:p>
          <w:p w14:paraId="74DC8337">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评分量表</w:t>
            </w:r>
          </w:p>
        </w:tc>
        <w:tc>
          <w:tcPr>
            <w:tcW w:w="7772" w:type="dxa"/>
            <w:gridSpan w:val="12"/>
            <w:noWrap w:val="0"/>
            <w:vAlign w:val="center"/>
          </w:tcPr>
          <w:p w14:paraId="37072BCA">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w:t>
            </w:r>
            <w:r>
              <w:rPr>
                <w:rFonts w:hint="eastAsia" w:ascii="仿宋" w:hAnsi="仿宋" w:eastAsia="仿宋" w:cs="仿宋"/>
                <w:kern w:val="2"/>
                <w:sz w:val="24"/>
                <w:szCs w:val="24"/>
                <w:lang w:val="en-US" w:eastAsia="zh-CN" w:bidi="ar-SA"/>
              </w:rPr>
              <w:t>音乐剧》课程目标评分量表见附表。</w:t>
            </w:r>
          </w:p>
        </w:tc>
      </w:tr>
      <w:tr w14:paraId="510219D0">
        <w:trPr>
          <w:trHeight w:val="454" w:hRule="atLeast"/>
        </w:trPr>
        <w:tc>
          <w:tcPr>
            <w:tcW w:w="1376" w:type="dxa"/>
            <w:noWrap w:val="0"/>
            <w:vAlign w:val="center"/>
          </w:tcPr>
          <w:p w14:paraId="28B1AEDB">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备注</w:t>
            </w:r>
          </w:p>
        </w:tc>
        <w:tc>
          <w:tcPr>
            <w:tcW w:w="7772" w:type="dxa"/>
            <w:gridSpan w:val="12"/>
            <w:noWrap w:val="0"/>
            <w:vAlign w:val="center"/>
          </w:tcPr>
          <w:p w14:paraId="73122BDC">
            <w:pPr>
              <w:adjustRightInd w:val="0"/>
              <w:snapToGrid w:val="0"/>
              <w:rPr>
                <w:rFonts w:hint="eastAsia" w:ascii="仿宋" w:hAnsi="仿宋" w:eastAsia="仿宋" w:cs="仿宋"/>
                <w:color w:val="000000"/>
                <w:sz w:val="24"/>
                <w:szCs w:val="24"/>
              </w:rPr>
            </w:pPr>
            <w:r>
              <w:rPr>
                <w:rFonts w:hint="eastAsia" w:ascii="宋体" w:hAnsi="宋体" w:cs="宋体"/>
                <w:color w:val="000000"/>
                <w:szCs w:val="21"/>
              </w:rPr>
              <w:t>课程大纲A—M项由开课学院审批通过，任课教师不能自行更改。</w:t>
            </w:r>
          </w:p>
        </w:tc>
      </w:tr>
      <w:tr w14:paraId="67B23D75">
        <w:trPr>
          <w:trHeight w:val="771" w:hRule="atLeast"/>
        </w:trPr>
        <w:tc>
          <w:tcPr>
            <w:tcW w:w="1376" w:type="dxa"/>
            <w:noWrap w:val="0"/>
            <w:vAlign w:val="center"/>
          </w:tcPr>
          <w:p w14:paraId="3F8FDEC7">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审批</w:t>
            </w:r>
          </w:p>
          <w:p w14:paraId="25BB6427">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意见</w:t>
            </w:r>
          </w:p>
        </w:tc>
        <w:tc>
          <w:tcPr>
            <w:tcW w:w="3869" w:type="dxa"/>
            <w:gridSpan w:val="4"/>
            <w:noWrap w:val="0"/>
            <w:vAlign w:val="center"/>
          </w:tcPr>
          <w:p w14:paraId="70A8A014">
            <w:pPr>
              <w:adjustRightInd w:val="0"/>
              <w:snapToGrid w:val="0"/>
              <w:rPr>
                <w:rFonts w:hint="eastAsia" w:ascii="宋体" w:hAnsi="宋体" w:eastAsia="宋体" w:cs="宋体"/>
                <w:color w:val="000000"/>
                <w:szCs w:val="21"/>
                <w:lang w:val="en-US" w:eastAsia="zh-CN"/>
              </w:rPr>
            </w:pPr>
            <w:r>
              <w:rPr>
                <w:rFonts w:hint="eastAsia" w:ascii="宋体" w:hAnsi="宋体" w:cs="宋体"/>
                <w:color w:val="000000"/>
                <w:szCs w:val="21"/>
              </w:rPr>
              <w:t xml:space="preserve">课程教学大纲修订负责人及教学团队成员签名： </w:t>
            </w:r>
            <w:r>
              <w:rPr>
                <w:rFonts w:hint="eastAsia" w:ascii="宋体" w:hAnsi="宋体" w:cs="宋体"/>
                <w:color w:val="000000"/>
                <w:szCs w:val="21"/>
                <w:lang w:val="en-US" w:eastAsia="zh-CN"/>
              </w:rPr>
              <w:t>吴安琪</w:t>
            </w:r>
          </w:p>
          <w:p w14:paraId="20F48244">
            <w:pPr>
              <w:adjustRightInd w:val="0"/>
              <w:snapToGrid w:val="0"/>
              <w:rPr>
                <w:rFonts w:hint="eastAsia" w:ascii="宋体" w:hAnsi="宋体" w:cs="宋体"/>
                <w:color w:val="000000"/>
                <w:szCs w:val="21"/>
              </w:rPr>
            </w:pPr>
          </w:p>
          <w:p w14:paraId="60D4D2C8">
            <w:pPr>
              <w:widowControl/>
              <w:adjustRightInd w:val="0"/>
              <w:snapToGrid w:val="0"/>
              <w:jc w:val="left"/>
              <w:rPr>
                <w:rFonts w:hint="eastAsia" w:ascii="仿宋" w:hAnsi="仿宋" w:eastAsia="仿宋" w:cs="仿宋"/>
                <w:kern w:val="0"/>
                <w:sz w:val="24"/>
                <w:szCs w:val="24"/>
              </w:rPr>
            </w:pPr>
          </w:p>
          <w:p w14:paraId="60D37A53">
            <w:pPr>
              <w:widowControl/>
              <w:adjustRightInd w:val="0"/>
              <w:snapToGrid w:val="0"/>
              <w:jc w:val="left"/>
              <w:rPr>
                <w:rFonts w:hint="eastAsia" w:ascii="仿宋" w:hAnsi="仿宋" w:eastAsia="仿宋" w:cs="仿宋"/>
                <w:kern w:val="0"/>
                <w:sz w:val="24"/>
                <w:szCs w:val="24"/>
              </w:rPr>
            </w:pPr>
          </w:p>
          <w:p w14:paraId="1526DF46">
            <w:pPr>
              <w:widowControl/>
              <w:adjustRightInd w:val="0"/>
              <w:snapToGrid w:val="0"/>
              <w:jc w:val="left"/>
              <w:rPr>
                <w:rFonts w:hint="eastAsia" w:ascii="仿宋" w:hAnsi="仿宋" w:eastAsia="仿宋" w:cs="仿宋"/>
                <w:kern w:val="0"/>
                <w:sz w:val="24"/>
                <w:szCs w:val="24"/>
              </w:rPr>
            </w:pPr>
          </w:p>
          <w:p w14:paraId="666CC32C">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 xml:space="preserve">                                                年   月</w:t>
            </w:r>
            <w:r>
              <w:rPr>
                <w:rFonts w:hint="eastAsia" w:ascii="仿宋" w:hAnsi="仿宋" w:eastAsia="仿宋" w:cs="仿宋"/>
                <w:kern w:val="0"/>
                <w:sz w:val="24"/>
                <w:szCs w:val="24"/>
                <w:lang w:val="en-US" w:eastAsia="zh-CN"/>
              </w:rPr>
              <w:t xml:space="preserve">  </w:t>
            </w:r>
            <w:r>
              <w:rPr>
                <w:rFonts w:hint="eastAsia" w:ascii="仿宋" w:hAnsi="仿宋" w:eastAsia="仿宋" w:cs="仿宋"/>
                <w:kern w:val="0"/>
                <w:sz w:val="24"/>
                <w:szCs w:val="24"/>
              </w:rPr>
              <w:t xml:space="preserve">日 </w:t>
            </w:r>
          </w:p>
          <w:p w14:paraId="7E0AD1B1">
            <w:pPr>
              <w:widowControl/>
              <w:adjustRightInd w:val="0"/>
              <w:snapToGrid w:val="0"/>
              <w:jc w:val="right"/>
              <w:rPr>
                <w:rFonts w:hint="eastAsia" w:ascii="仿宋" w:hAnsi="仿宋" w:eastAsia="仿宋" w:cs="仿宋"/>
                <w:kern w:val="0"/>
                <w:sz w:val="24"/>
                <w:szCs w:val="24"/>
              </w:rPr>
            </w:pPr>
          </w:p>
        </w:tc>
        <w:tc>
          <w:tcPr>
            <w:tcW w:w="3903" w:type="dxa"/>
            <w:gridSpan w:val="8"/>
            <w:noWrap w:val="0"/>
            <w:vAlign w:val="center"/>
          </w:tcPr>
          <w:p w14:paraId="28386B80">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系主任审核意见：</w:t>
            </w:r>
          </w:p>
          <w:p w14:paraId="1EEA7875">
            <w:pPr>
              <w:widowControl/>
              <w:adjustRightInd w:val="0"/>
              <w:snapToGrid w:val="0"/>
              <w:jc w:val="left"/>
              <w:rPr>
                <w:rFonts w:hint="eastAsia" w:ascii="仿宋" w:hAnsi="仿宋" w:eastAsia="仿宋" w:cs="仿宋"/>
                <w:kern w:val="0"/>
                <w:sz w:val="24"/>
                <w:szCs w:val="24"/>
              </w:rPr>
            </w:pPr>
          </w:p>
          <w:p w14:paraId="181B67F3">
            <w:pPr>
              <w:widowControl/>
              <w:adjustRightInd w:val="0"/>
              <w:snapToGrid w:val="0"/>
              <w:jc w:val="left"/>
              <w:rPr>
                <w:rFonts w:hint="eastAsia" w:ascii="仿宋" w:hAnsi="仿宋" w:eastAsia="仿宋" w:cs="仿宋"/>
                <w:kern w:val="0"/>
                <w:sz w:val="24"/>
                <w:szCs w:val="24"/>
              </w:rPr>
            </w:pPr>
          </w:p>
          <w:p w14:paraId="1D099663">
            <w:pPr>
              <w:widowControl/>
              <w:adjustRightInd w:val="0"/>
              <w:snapToGrid w:val="0"/>
              <w:jc w:val="left"/>
              <w:rPr>
                <w:rFonts w:hint="eastAsia" w:ascii="仿宋" w:hAnsi="仿宋" w:eastAsia="仿宋" w:cs="仿宋"/>
                <w:kern w:val="0"/>
                <w:sz w:val="24"/>
                <w:szCs w:val="24"/>
              </w:rPr>
            </w:pPr>
          </w:p>
          <w:p w14:paraId="22B9065A">
            <w:pPr>
              <w:widowControl/>
              <w:adjustRightInd w:val="0"/>
              <w:snapToGrid w:val="0"/>
              <w:jc w:val="left"/>
              <w:rPr>
                <w:rFonts w:hint="eastAsia" w:ascii="仿宋" w:hAnsi="仿宋" w:eastAsia="仿宋" w:cs="仿宋"/>
                <w:kern w:val="0"/>
                <w:sz w:val="24"/>
                <w:szCs w:val="24"/>
              </w:rPr>
            </w:pPr>
          </w:p>
          <w:p w14:paraId="34AEF002">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系主任签名：</w:t>
            </w:r>
          </w:p>
          <w:p w14:paraId="2D1B425A">
            <w:pPr>
              <w:widowControl/>
              <w:adjustRightInd w:val="0"/>
              <w:snapToGrid w:val="0"/>
              <w:jc w:val="right"/>
              <w:rPr>
                <w:rFonts w:hint="eastAsia" w:ascii="仿宋" w:hAnsi="仿宋" w:eastAsia="仿宋" w:cs="仿宋"/>
                <w:kern w:val="0"/>
                <w:sz w:val="24"/>
                <w:szCs w:val="24"/>
              </w:rPr>
            </w:pPr>
          </w:p>
          <w:p w14:paraId="76959216">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年   月   日</w:t>
            </w:r>
          </w:p>
          <w:p w14:paraId="669DB8AE">
            <w:pPr>
              <w:widowControl/>
              <w:adjustRightInd w:val="0"/>
              <w:snapToGrid w:val="0"/>
              <w:jc w:val="right"/>
              <w:rPr>
                <w:rFonts w:hint="eastAsia" w:ascii="仿宋" w:hAnsi="仿宋" w:eastAsia="仿宋" w:cs="仿宋"/>
                <w:kern w:val="0"/>
                <w:sz w:val="24"/>
                <w:szCs w:val="24"/>
              </w:rPr>
            </w:pPr>
          </w:p>
        </w:tc>
      </w:tr>
    </w:tbl>
    <w:p w14:paraId="0153A4CD">
      <w:pPr>
        <w:widowControl/>
        <w:spacing w:line="360" w:lineRule="auto"/>
        <w:ind w:right="480"/>
        <w:rPr>
          <w:rFonts w:cs="黑体"/>
        </w:rPr>
        <w:sectPr>
          <w:headerReference r:id="rId123" w:type="default"/>
          <w:footerReference r:id="rId124" w:type="default"/>
          <w:pgSz w:w="11906" w:h="16838"/>
          <w:pgMar w:top="1134" w:right="1417" w:bottom="1134" w:left="1417" w:header="851" w:footer="992" w:gutter="0"/>
          <w:cols w:space="720" w:num="1"/>
          <w:docGrid w:type="lines" w:linePitch="312" w:charSpace="0"/>
        </w:sectPr>
      </w:pPr>
    </w:p>
    <w:p w14:paraId="0729061B">
      <w:pPr>
        <w:adjustRightInd w:val="0"/>
        <w:snapToGrid w:val="0"/>
        <w:spacing w:line="360" w:lineRule="auto"/>
        <w:jc w:val="center"/>
        <w:rPr>
          <w:rFonts w:hint="eastAsia" w:ascii="仿宋" w:eastAsia="仿宋" w:cs="仿宋"/>
          <w:b/>
          <w:bCs/>
          <w:color w:val="000000"/>
          <w:sz w:val="28"/>
          <w:szCs w:val="28"/>
        </w:rPr>
      </w:pPr>
      <w:r>
        <w:rPr>
          <w:rFonts w:hint="eastAsia" w:ascii="仿宋" w:eastAsia="仿宋" w:cs="仿宋"/>
          <w:b/>
          <w:bCs/>
          <w:color w:val="000000"/>
          <w:sz w:val="28"/>
          <w:szCs w:val="28"/>
        </w:rPr>
        <w:t>附表</w:t>
      </w:r>
      <w:r>
        <w:rPr>
          <w:rFonts w:hint="eastAsia" w:ascii="仿宋" w:eastAsia="仿宋" w:cs="仿宋"/>
          <w:b/>
          <w:bCs/>
          <w:color w:val="000000"/>
          <w:sz w:val="28"/>
          <w:szCs w:val="28"/>
          <w:lang w:eastAsia="zh-CN"/>
        </w:rPr>
        <w:t>：《</w:t>
      </w:r>
      <w:r>
        <w:rPr>
          <w:rFonts w:hint="eastAsia" w:ascii="仿宋" w:eastAsia="仿宋" w:cs="仿宋"/>
          <w:b/>
          <w:bCs/>
          <w:color w:val="000000"/>
          <w:sz w:val="28"/>
          <w:szCs w:val="28"/>
          <w:lang w:val="en-US" w:eastAsia="zh-CN"/>
        </w:rPr>
        <w:t>音乐剧</w:t>
      </w:r>
      <w:r>
        <w:rPr>
          <w:rFonts w:hint="eastAsia" w:ascii="仿宋" w:eastAsia="仿宋" w:cs="仿宋"/>
          <w:b/>
          <w:bCs/>
          <w:color w:val="000000"/>
          <w:sz w:val="28"/>
          <w:szCs w:val="28"/>
        </w:rPr>
        <w:t>》课程目标评分量表</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28" w:type="dxa"/>
        </w:tblCellMar>
      </w:tblPr>
      <w:tblGrid>
        <w:gridCol w:w="356"/>
        <w:gridCol w:w="1326"/>
        <w:gridCol w:w="1326"/>
        <w:gridCol w:w="1448"/>
        <w:gridCol w:w="1278"/>
        <w:gridCol w:w="1326"/>
        <w:gridCol w:w="1279"/>
      </w:tblGrid>
      <w:tr w14:paraId="08C1FBAB">
        <w:trPr>
          <w:trHeight w:val="90" w:hRule="atLeast"/>
          <w:jc w:val="center"/>
        </w:trPr>
        <w:tc>
          <w:tcPr>
            <w:tcW w:w="0" w:type="auto"/>
            <w:vMerge w:val="restart"/>
            <w:noWrap w:val="0"/>
            <w:vAlign w:val="center"/>
          </w:tcPr>
          <w:p w14:paraId="05107960">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M</w:t>
            </w:r>
          </w:p>
          <w:p w14:paraId="607B9D60">
            <w:pPr>
              <w:adjustRightInd w:val="0"/>
              <w:snapToGrid w:val="0"/>
              <w:spacing w:line="240" w:lineRule="atLeast"/>
              <w:jc w:val="center"/>
              <w:rPr>
                <w:rFonts w:hint="eastAsia" w:ascii="宋体" w:hAnsi="宋体" w:cs="宋体"/>
                <w:sz w:val="24"/>
                <w:szCs w:val="24"/>
              </w:rPr>
            </w:pPr>
            <w:r>
              <w:rPr>
                <w:rFonts w:hint="eastAsia" w:ascii="仿宋" w:hAnsi="仿宋" w:eastAsia="仿宋" w:cs="仿宋"/>
                <w:sz w:val="24"/>
                <w:szCs w:val="24"/>
              </w:rPr>
              <w:t>评分量表</w:t>
            </w:r>
          </w:p>
        </w:tc>
        <w:tc>
          <w:tcPr>
            <w:tcW w:w="0" w:type="auto"/>
            <w:noWrap w:val="0"/>
            <w:vAlign w:val="center"/>
          </w:tcPr>
          <w:p w14:paraId="2887F4BE">
            <w:pPr>
              <w:widowControl/>
              <w:adjustRightInd w:val="0"/>
              <w:snapToGrid w:val="0"/>
              <w:jc w:val="left"/>
              <w:rPr>
                <w:rFonts w:hint="eastAsia" w:ascii="楷体" w:eastAsia="楷体" w:cs="楷体"/>
                <w:color w:val="000000"/>
                <w:sz w:val="21"/>
                <w:szCs w:val="21"/>
                <w:lang w:val="en-US"/>
              </w:rPr>
            </w:pPr>
            <w:r>
              <w:rPr>
                <w:rFonts w:hint="eastAsia" w:ascii="楷体" w:eastAsia="楷体" w:cs="楷体"/>
                <w:color w:val="000000"/>
                <w:sz w:val="21"/>
                <w:szCs w:val="21"/>
                <w:lang w:val="en-US"/>
              </w:rPr>
              <w:t>课程目标</w:t>
            </w:r>
          </w:p>
        </w:tc>
        <w:tc>
          <w:tcPr>
            <w:tcW w:w="0" w:type="auto"/>
            <w:noWrap w:val="0"/>
            <w:vAlign w:val="center"/>
          </w:tcPr>
          <w:p w14:paraId="42C70E33">
            <w:pPr>
              <w:widowControl/>
              <w:adjustRightInd w:val="0"/>
              <w:snapToGrid w:val="0"/>
              <w:jc w:val="left"/>
              <w:rPr>
                <w:rFonts w:hint="eastAsia" w:ascii="楷体" w:eastAsia="楷体" w:cs="楷体"/>
                <w:color w:val="000000"/>
                <w:sz w:val="21"/>
                <w:szCs w:val="21"/>
                <w:lang w:val="en-US"/>
              </w:rPr>
            </w:pPr>
            <w:r>
              <w:rPr>
                <w:rFonts w:hint="eastAsia" w:ascii="楷体" w:eastAsia="楷体" w:cs="楷体"/>
                <w:color w:val="000000"/>
                <w:sz w:val="21"/>
                <w:szCs w:val="21"/>
                <w:lang w:val="en-US"/>
              </w:rPr>
              <w:t>优（X≧90）</w:t>
            </w:r>
          </w:p>
        </w:tc>
        <w:tc>
          <w:tcPr>
            <w:tcW w:w="0" w:type="auto"/>
            <w:noWrap w:val="0"/>
            <w:vAlign w:val="center"/>
          </w:tcPr>
          <w:p w14:paraId="5284999E">
            <w:pPr>
              <w:widowControl/>
              <w:adjustRightInd w:val="0"/>
              <w:snapToGrid w:val="0"/>
              <w:jc w:val="left"/>
              <w:rPr>
                <w:rFonts w:hint="eastAsia" w:ascii="楷体" w:eastAsia="楷体" w:cs="楷体"/>
                <w:color w:val="000000"/>
                <w:sz w:val="21"/>
                <w:szCs w:val="21"/>
                <w:lang w:val="en-US"/>
              </w:rPr>
            </w:pPr>
            <w:r>
              <w:rPr>
                <w:rFonts w:hint="eastAsia" w:ascii="楷体" w:eastAsia="楷体" w:cs="楷体"/>
                <w:color w:val="000000"/>
                <w:sz w:val="21"/>
                <w:szCs w:val="21"/>
                <w:lang w:val="en-US"/>
              </w:rPr>
              <w:t>良（80≦X＜90）</w:t>
            </w:r>
          </w:p>
        </w:tc>
        <w:tc>
          <w:tcPr>
            <w:tcW w:w="0" w:type="auto"/>
            <w:noWrap w:val="0"/>
            <w:vAlign w:val="center"/>
          </w:tcPr>
          <w:p w14:paraId="0743B40D">
            <w:pPr>
              <w:widowControl/>
              <w:adjustRightInd w:val="0"/>
              <w:snapToGrid w:val="0"/>
              <w:jc w:val="left"/>
              <w:rPr>
                <w:rFonts w:hint="eastAsia" w:ascii="楷体" w:eastAsia="楷体" w:cs="楷体"/>
                <w:color w:val="000000"/>
                <w:sz w:val="21"/>
                <w:szCs w:val="21"/>
                <w:lang w:val="en-US"/>
              </w:rPr>
            </w:pPr>
            <w:r>
              <w:rPr>
                <w:rFonts w:hint="eastAsia" w:ascii="楷体" w:eastAsia="楷体" w:cs="楷体"/>
                <w:color w:val="000000"/>
                <w:sz w:val="21"/>
                <w:szCs w:val="21"/>
                <w:lang w:val="en-US"/>
              </w:rPr>
              <w:t>中（70≦X＜80）</w:t>
            </w:r>
          </w:p>
        </w:tc>
        <w:tc>
          <w:tcPr>
            <w:tcW w:w="0" w:type="auto"/>
            <w:noWrap w:val="0"/>
            <w:vAlign w:val="center"/>
          </w:tcPr>
          <w:p w14:paraId="793C36BE">
            <w:pPr>
              <w:widowControl/>
              <w:adjustRightInd w:val="0"/>
              <w:snapToGrid w:val="0"/>
              <w:jc w:val="left"/>
              <w:rPr>
                <w:rFonts w:hint="eastAsia" w:ascii="楷体" w:eastAsia="楷体" w:cs="楷体"/>
                <w:color w:val="000000"/>
                <w:sz w:val="21"/>
                <w:szCs w:val="21"/>
                <w:lang w:val="en-US"/>
              </w:rPr>
            </w:pPr>
            <w:r>
              <w:rPr>
                <w:rFonts w:hint="eastAsia" w:ascii="楷体" w:eastAsia="楷体" w:cs="楷体"/>
                <w:color w:val="000000"/>
                <w:sz w:val="21"/>
                <w:szCs w:val="21"/>
                <w:lang w:val="en-US"/>
              </w:rPr>
              <w:t>及格（60≦X＜70）</w:t>
            </w:r>
          </w:p>
        </w:tc>
        <w:tc>
          <w:tcPr>
            <w:tcW w:w="0" w:type="auto"/>
            <w:noWrap w:val="0"/>
            <w:vAlign w:val="center"/>
          </w:tcPr>
          <w:p w14:paraId="6B6951A5">
            <w:pPr>
              <w:widowControl/>
              <w:adjustRightInd w:val="0"/>
              <w:snapToGrid w:val="0"/>
              <w:jc w:val="left"/>
              <w:rPr>
                <w:rFonts w:hint="eastAsia" w:ascii="楷体" w:eastAsia="楷体" w:cs="楷体"/>
                <w:color w:val="000000"/>
                <w:sz w:val="21"/>
                <w:szCs w:val="21"/>
                <w:lang w:val="en-US"/>
              </w:rPr>
            </w:pPr>
            <w:r>
              <w:rPr>
                <w:rFonts w:hint="eastAsia" w:ascii="楷体" w:eastAsia="楷体" w:cs="楷体"/>
                <w:color w:val="000000"/>
                <w:sz w:val="21"/>
                <w:szCs w:val="21"/>
                <w:lang w:val="en-US"/>
              </w:rPr>
              <w:t>不及格（＜60）</w:t>
            </w:r>
          </w:p>
        </w:tc>
      </w:tr>
      <w:tr w14:paraId="6D892519">
        <w:trPr>
          <w:trHeight w:val="1422" w:hRule="atLeast"/>
          <w:jc w:val="center"/>
        </w:trPr>
        <w:tc>
          <w:tcPr>
            <w:tcW w:w="0" w:type="auto"/>
            <w:vMerge w:val="continue"/>
            <w:noWrap w:val="0"/>
            <w:vAlign w:val="center"/>
          </w:tcPr>
          <w:p w14:paraId="0E6119D6">
            <w:pPr>
              <w:adjustRightInd w:val="0"/>
              <w:snapToGrid w:val="0"/>
              <w:spacing w:line="240" w:lineRule="atLeast"/>
              <w:jc w:val="center"/>
              <w:rPr>
                <w:rFonts w:ascii="宋体" w:hAnsi="宋体" w:cs="宋体"/>
                <w:sz w:val="24"/>
                <w:szCs w:val="24"/>
              </w:rPr>
            </w:pPr>
          </w:p>
        </w:tc>
        <w:tc>
          <w:tcPr>
            <w:tcW w:w="0" w:type="auto"/>
            <w:noWrap w:val="0"/>
            <w:vAlign w:val="top"/>
          </w:tcPr>
          <w:p w14:paraId="65C4C969">
            <w:pPr>
              <w:widowControl/>
              <w:adjustRightInd w:val="0"/>
              <w:snapToGrid w:val="0"/>
              <w:jc w:val="left"/>
              <w:rPr>
                <w:rFonts w:hint="eastAsia" w:ascii="楷体" w:eastAsia="楷体" w:cs="楷体"/>
                <w:color w:val="000000"/>
                <w:sz w:val="21"/>
                <w:szCs w:val="21"/>
                <w:lang w:val="en-US"/>
              </w:rPr>
            </w:pPr>
            <w:r>
              <w:rPr>
                <w:rFonts w:hint="eastAsia" w:ascii="楷体" w:eastAsia="楷体" w:cs="楷体"/>
                <w:color w:val="000000"/>
                <w:sz w:val="21"/>
                <w:szCs w:val="21"/>
                <w:lang w:val="en-US"/>
              </w:rPr>
              <w:t>课程目标1.</w:t>
            </w:r>
            <w:r>
              <w:rPr>
                <w:rFonts w:hint="eastAsia" w:ascii="楷体" w:eastAsia="楷体" w:cs="楷体"/>
                <w:color w:val="000000"/>
                <w:sz w:val="21"/>
                <w:szCs w:val="21"/>
                <w:lang w:val="en-US"/>
              </w:rPr>
              <w:tab/>
            </w:r>
            <w:r>
              <w:rPr>
                <w:rFonts w:hint="eastAsia" w:ascii="楷体" w:eastAsia="楷体" w:cs="楷体"/>
                <w:color w:val="000000"/>
                <w:sz w:val="21"/>
                <w:szCs w:val="21"/>
                <w:lang w:val="en-US"/>
              </w:rPr>
              <w:t>熟练掌握</w:t>
            </w:r>
            <w:r>
              <w:rPr>
                <w:rFonts w:hint="eastAsia" w:ascii="楷体" w:eastAsia="楷体" w:cs="楷体"/>
                <w:color w:val="000000"/>
                <w:sz w:val="21"/>
                <w:szCs w:val="21"/>
                <w:lang w:val="en-US" w:eastAsia="zh-CN"/>
              </w:rPr>
              <w:t>音乐剧基本知识，对经典音乐剧作品有较为深入的了解与认识。</w:t>
            </w:r>
          </w:p>
        </w:tc>
        <w:tc>
          <w:tcPr>
            <w:tcW w:w="0" w:type="auto"/>
            <w:noWrap w:val="0"/>
            <w:vAlign w:val="top"/>
          </w:tcPr>
          <w:p w14:paraId="1CB95114">
            <w:pPr>
              <w:widowControl/>
              <w:adjustRightInd w:val="0"/>
              <w:snapToGrid w:val="0"/>
              <w:jc w:val="left"/>
              <w:rPr>
                <w:rFonts w:hint="eastAsia" w:ascii="楷体" w:eastAsia="楷体" w:cs="楷体"/>
                <w:color w:val="000000"/>
                <w:sz w:val="21"/>
                <w:szCs w:val="21"/>
                <w:lang w:val="en-US"/>
              </w:rPr>
            </w:pPr>
            <w:r>
              <w:rPr>
                <w:rFonts w:hint="eastAsia" w:ascii="楷体" w:eastAsia="楷体" w:cs="楷体"/>
                <w:color w:val="000000"/>
                <w:sz w:val="21"/>
                <w:szCs w:val="21"/>
                <w:lang w:val="en-US"/>
              </w:rPr>
              <w:t>能够扎实地掌握</w:t>
            </w:r>
            <w:r>
              <w:rPr>
                <w:rFonts w:hint="eastAsia" w:ascii="楷体" w:eastAsia="楷体" w:cs="楷体"/>
                <w:color w:val="000000"/>
                <w:sz w:val="21"/>
                <w:szCs w:val="21"/>
                <w:lang w:val="en-US" w:eastAsia="zh-CN"/>
              </w:rPr>
              <w:t>音乐剧基本知识，对经典音乐剧作品有较深入的了解与认识</w:t>
            </w:r>
            <w:r>
              <w:rPr>
                <w:rFonts w:hint="eastAsia" w:ascii="楷体" w:eastAsia="楷体" w:cs="楷体"/>
                <w:color w:val="000000"/>
                <w:sz w:val="21"/>
                <w:szCs w:val="21"/>
                <w:lang w:val="en-US"/>
              </w:rPr>
              <w:t>。</w:t>
            </w:r>
          </w:p>
        </w:tc>
        <w:tc>
          <w:tcPr>
            <w:tcW w:w="0" w:type="auto"/>
            <w:noWrap w:val="0"/>
            <w:vAlign w:val="top"/>
          </w:tcPr>
          <w:p w14:paraId="76D4BE61">
            <w:pPr>
              <w:widowControl/>
              <w:adjustRightInd w:val="0"/>
              <w:snapToGrid w:val="0"/>
              <w:jc w:val="left"/>
              <w:rPr>
                <w:rFonts w:hint="eastAsia" w:ascii="楷体" w:eastAsia="楷体" w:cs="楷体"/>
                <w:color w:val="000000"/>
                <w:sz w:val="21"/>
                <w:szCs w:val="21"/>
                <w:lang w:val="en-US"/>
              </w:rPr>
            </w:pPr>
            <w:r>
              <w:rPr>
                <w:rFonts w:hint="eastAsia" w:ascii="楷体" w:eastAsia="楷体" w:cs="楷体"/>
                <w:color w:val="000000"/>
                <w:sz w:val="21"/>
                <w:szCs w:val="21"/>
                <w:lang w:val="en-US"/>
              </w:rPr>
              <w:t>能够</w:t>
            </w:r>
            <w:r>
              <w:rPr>
                <w:rFonts w:hint="eastAsia" w:ascii="楷体" w:eastAsia="楷体" w:cs="楷体"/>
                <w:color w:val="000000"/>
                <w:sz w:val="21"/>
                <w:szCs w:val="21"/>
                <w:lang w:val="en-US" w:eastAsia="zh-CN"/>
              </w:rPr>
              <w:t>熟练</w:t>
            </w:r>
            <w:r>
              <w:rPr>
                <w:rFonts w:hint="eastAsia" w:ascii="楷体" w:eastAsia="楷体" w:cs="楷体"/>
                <w:color w:val="000000"/>
                <w:sz w:val="21"/>
                <w:szCs w:val="21"/>
                <w:lang w:val="en-US"/>
              </w:rPr>
              <w:t>掌握</w:t>
            </w:r>
            <w:r>
              <w:rPr>
                <w:rFonts w:hint="eastAsia" w:ascii="楷体" w:eastAsia="楷体" w:cs="楷体"/>
                <w:color w:val="000000"/>
                <w:sz w:val="21"/>
                <w:szCs w:val="21"/>
                <w:lang w:val="en-US" w:eastAsia="zh-CN"/>
              </w:rPr>
              <w:t>音乐剧基本知识，对经典音乐剧作品有深入的了解与认识。</w:t>
            </w:r>
          </w:p>
        </w:tc>
        <w:tc>
          <w:tcPr>
            <w:tcW w:w="0" w:type="auto"/>
            <w:noWrap w:val="0"/>
            <w:vAlign w:val="top"/>
          </w:tcPr>
          <w:p w14:paraId="5E952E6B">
            <w:pPr>
              <w:widowControl/>
              <w:adjustRightInd w:val="0"/>
              <w:snapToGrid w:val="0"/>
              <w:jc w:val="left"/>
              <w:rPr>
                <w:rFonts w:hint="eastAsia" w:ascii="楷体" w:eastAsia="楷体" w:cs="楷体"/>
                <w:color w:val="000000"/>
                <w:sz w:val="21"/>
                <w:szCs w:val="21"/>
                <w:lang w:val="en-US"/>
              </w:rPr>
            </w:pPr>
            <w:r>
              <w:rPr>
                <w:rFonts w:hint="eastAsia" w:ascii="楷体" w:eastAsia="楷体" w:cs="楷体"/>
                <w:color w:val="000000"/>
                <w:sz w:val="21"/>
                <w:szCs w:val="21"/>
                <w:lang w:val="en-US"/>
              </w:rPr>
              <w:t>能够掌握</w:t>
            </w:r>
            <w:r>
              <w:rPr>
                <w:rFonts w:hint="eastAsia" w:ascii="楷体" w:eastAsia="楷体" w:cs="楷体"/>
                <w:color w:val="000000"/>
                <w:sz w:val="21"/>
                <w:szCs w:val="21"/>
                <w:lang w:val="en-US" w:eastAsia="zh-CN"/>
              </w:rPr>
              <w:t>音乐剧基本知识，对经典音乐剧作品有一定了解与认识。</w:t>
            </w:r>
          </w:p>
        </w:tc>
        <w:tc>
          <w:tcPr>
            <w:tcW w:w="0" w:type="auto"/>
            <w:noWrap w:val="0"/>
            <w:vAlign w:val="top"/>
          </w:tcPr>
          <w:p w14:paraId="09882156">
            <w:pPr>
              <w:widowControl/>
              <w:adjustRightInd w:val="0"/>
              <w:snapToGrid w:val="0"/>
              <w:jc w:val="left"/>
              <w:rPr>
                <w:rFonts w:hint="eastAsia" w:ascii="楷体" w:eastAsia="楷体" w:cs="楷体"/>
                <w:color w:val="000000"/>
                <w:sz w:val="21"/>
                <w:szCs w:val="21"/>
                <w:lang w:val="en-US"/>
              </w:rPr>
            </w:pPr>
            <w:r>
              <w:rPr>
                <w:rFonts w:hint="eastAsia" w:ascii="楷体" w:eastAsia="楷体" w:cs="楷体"/>
                <w:color w:val="000000"/>
                <w:sz w:val="21"/>
                <w:szCs w:val="21"/>
                <w:lang w:val="en-US"/>
              </w:rPr>
              <w:t>能够基本掌握</w:t>
            </w:r>
            <w:r>
              <w:rPr>
                <w:rFonts w:hint="eastAsia" w:ascii="楷体" w:eastAsia="楷体" w:cs="楷体"/>
                <w:color w:val="000000"/>
                <w:sz w:val="21"/>
                <w:szCs w:val="21"/>
                <w:lang w:val="en-US" w:eastAsia="zh-CN"/>
              </w:rPr>
              <w:t>音乐剧基本知识，对经典音乐剧作品有较基本的了解与认识。</w:t>
            </w:r>
          </w:p>
        </w:tc>
        <w:tc>
          <w:tcPr>
            <w:tcW w:w="0" w:type="auto"/>
            <w:noWrap w:val="0"/>
            <w:vAlign w:val="top"/>
          </w:tcPr>
          <w:p w14:paraId="52EB5B16">
            <w:pPr>
              <w:widowControl/>
              <w:adjustRightInd w:val="0"/>
              <w:snapToGrid w:val="0"/>
              <w:jc w:val="left"/>
              <w:rPr>
                <w:rFonts w:hint="eastAsia" w:ascii="楷体" w:eastAsia="楷体" w:cs="楷体"/>
                <w:color w:val="000000"/>
                <w:sz w:val="21"/>
                <w:szCs w:val="21"/>
                <w:lang w:val="en-US"/>
              </w:rPr>
            </w:pPr>
            <w:r>
              <w:rPr>
                <w:rFonts w:hint="eastAsia" w:ascii="楷体" w:eastAsia="楷体" w:cs="楷体"/>
                <w:color w:val="000000"/>
                <w:sz w:val="21"/>
                <w:szCs w:val="21"/>
                <w:lang w:val="en-US" w:eastAsia="zh-CN"/>
              </w:rPr>
              <w:t>未</w:t>
            </w:r>
            <w:r>
              <w:rPr>
                <w:rFonts w:hint="eastAsia" w:ascii="楷体" w:eastAsia="楷体" w:cs="楷体"/>
                <w:color w:val="000000"/>
                <w:sz w:val="21"/>
                <w:szCs w:val="21"/>
                <w:lang w:val="en-US"/>
              </w:rPr>
              <w:t>能掌握</w:t>
            </w:r>
            <w:r>
              <w:rPr>
                <w:rFonts w:hint="eastAsia" w:ascii="楷体" w:eastAsia="楷体" w:cs="楷体"/>
                <w:color w:val="000000"/>
                <w:sz w:val="21"/>
                <w:szCs w:val="21"/>
                <w:lang w:val="en-US" w:eastAsia="zh-CN"/>
              </w:rPr>
              <w:t>音乐剧基本知识，对经典音乐剧作品不了解，却缺乏一定的认识。</w:t>
            </w:r>
          </w:p>
        </w:tc>
      </w:tr>
      <w:tr w14:paraId="1847AA11">
        <w:trPr>
          <w:trHeight w:val="416" w:hRule="atLeast"/>
          <w:jc w:val="center"/>
        </w:trPr>
        <w:tc>
          <w:tcPr>
            <w:tcW w:w="0" w:type="auto"/>
            <w:vMerge w:val="continue"/>
            <w:noWrap w:val="0"/>
            <w:vAlign w:val="center"/>
          </w:tcPr>
          <w:p w14:paraId="16F5ABCD">
            <w:pPr>
              <w:adjustRightInd w:val="0"/>
              <w:snapToGrid w:val="0"/>
              <w:spacing w:line="240" w:lineRule="atLeast"/>
              <w:jc w:val="center"/>
              <w:rPr>
                <w:rFonts w:ascii="宋体" w:hAnsi="宋体" w:cs="宋体"/>
                <w:sz w:val="24"/>
                <w:szCs w:val="24"/>
              </w:rPr>
            </w:pPr>
          </w:p>
        </w:tc>
        <w:tc>
          <w:tcPr>
            <w:tcW w:w="0" w:type="auto"/>
            <w:noWrap w:val="0"/>
            <w:vAlign w:val="top"/>
          </w:tcPr>
          <w:p w14:paraId="2FBF8DEC">
            <w:pPr>
              <w:widowControl/>
              <w:adjustRightInd w:val="0"/>
              <w:snapToGrid w:val="0"/>
              <w:jc w:val="left"/>
              <w:rPr>
                <w:rFonts w:hint="eastAsia" w:ascii="楷体" w:eastAsia="楷体" w:cs="楷体"/>
                <w:color w:val="000000"/>
                <w:sz w:val="21"/>
                <w:szCs w:val="21"/>
                <w:lang w:val="en-US"/>
              </w:rPr>
            </w:pPr>
            <w:r>
              <w:rPr>
                <w:rFonts w:hint="eastAsia" w:ascii="楷体" w:eastAsia="楷体" w:cs="楷体"/>
                <w:color w:val="000000"/>
                <w:sz w:val="21"/>
                <w:szCs w:val="21"/>
                <w:lang w:val="en-US"/>
              </w:rPr>
              <w:t>课程目标2.</w:t>
            </w:r>
          </w:p>
          <w:p w14:paraId="7EE83A92">
            <w:pPr>
              <w:widowControl/>
              <w:adjustRightInd w:val="0"/>
              <w:snapToGrid w:val="0"/>
              <w:jc w:val="left"/>
              <w:rPr>
                <w:rFonts w:hint="eastAsia" w:ascii="楷体" w:eastAsia="楷体" w:cs="楷体"/>
                <w:color w:val="000000"/>
                <w:sz w:val="21"/>
                <w:szCs w:val="21"/>
                <w:lang w:val="en-US"/>
              </w:rPr>
            </w:pPr>
            <w:r>
              <w:rPr>
                <w:rFonts w:hint="eastAsia" w:ascii="楷体" w:eastAsia="楷体" w:cs="楷体"/>
                <w:color w:val="000000"/>
                <w:sz w:val="21"/>
                <w:szCs w:val="21"/>
                <w:lang w:val="en-US" w:eastAsia="zh-CN"/>
              </w:rPr>
              <w:t>通过剧中深谙的思想得到感悟与思考，建立正确的世界观、人生观、价值观。</w:t>
            </w:r>
          </w:p>
        </w:tc>
        <w:tc>
          <w:tcPr>
            <w:tcW w:w="0" w:type="auto"/>
            <w:noWrap w:val="0"/>
            <w:vAlign w:val="top"/>
          </w:tcPr>
          <w:p w14:paraId="452A5BE1">
            <w:pPr>
              <w:widowControl/>
              <w:adjustRightInd w:val="0"/>
              <w:snapToGrid w:val="0"/>
              <w:jc w:val="left"/>
              <w:rPr>
                <w:rFonts w:hint="eastAsia" w:ascii="楷体" w:eastAsia="楷体" w:cs="楷体"/>
                <w:color w:val="000000"/>
                <w:sz w:val="21"/>
                <w:szCs w:val="21"/>
                <w:lang w:val="en-US"/>
              </w:rPr>
            </w:pPr>
            <w:r>
              <w:rPr>
                <w:rFonts w:hint="eastAsia" w:ascii="楷体" w:eastAsia="楷体" w:cs="楷体"/>
                <w:color w:val="000000"/>
                <w:sz w:val="21"/>
                <w:szCs w:val="21"/>
                <w:lang w:val="en-US"/>
              </w:rPr>
              <w:t>能够全面</w:t>
            </w:r>
            <w:r>
              <w:rPr>
                <w:rFonts w:hint="eastAsia" w:ascii="楷体" w:eastAsia="楷体" w:cs="楷体"/>
                <w:color w:val="000000"/>
                <w:sz w:val="21"/>
                <w:szCs w:val="21"/>
                <w:lang w:val="en-US" w:eastAsia="zh-CN"/>
              </w:rPr>
              <w:t>通过剧中深谙的思想得到感悟与思考，建立正确的世界观、人生观、价值观</w:t>
            </w:r>
            <w:r>
              <w:rPr>
                <w:rFonts w:hint="eastAsia" w:ascii="楷体" w:eastAsia="楷体" w:cs="楷体"/>
                <w:color w:val="000000"/>
                <w:sz w:val="21"/>
                <w:szCs w:val="21"/>
                <w:lang w:val="en-US"/>
              </w:rPr>
              <w:t>。</w:t>
            </w:r>
          </w:p>
        </w:tc>
        <w:tc>
          <w:tcPr>
            <w:tcW w:w="0" w:type="auto"/>
            <w:noWrap w:val="0"/>
            <w:vAlign w:val="top"/>
          </w:tcPr>
          <w:p w14:paraId="5649FAD5">
            <w:pPr>
              <w:widowControl/>
              <w:adjustRightInd w:val="0"/>
              <w:snapToGrid w:val="0"/>
              <w:jc w:val="left"/>
              <w:rPr>
                <w:rFonts w:hint="eastAsia" w:ascii="楷体" w:eastAsia="楷体" w:cs="楷体"/>
                <w:color w:val="000000"/>
                <w:sz w:val="21"/>
                <w:szCs w:val="21"/>
                <w:lang w:val="en-US"/>
              </w:rPr>
            </w:pPr>
            <w:r>
              <w:rPr>
                <w:rFonts w:hint="eastAsia" w:ascii="楷体" w:eastAsia="楷体" w:cs="楷体"/>
                <w:color w:val="000000"/>
                <w:sz w:val="21"/>
                <w:szCs w:val="21"/>
                <w:lang w:val="en-US"/>
              </w:rPr>
              <w:t>能够较全面能够全面</w:t>
            </w:r>
            <w:r>
              <w:rPr>
                <w:rFonts w:hint="eastAsia" w:ascii="楷体" w:eastAsia="楷体" w:cs="楷体"/>
                <w:color w:val="000000"/>
                <w:sz w:val="21"/>
                <w:szCs w:val="21"/>
                <w:lang w:val="en-US" w:eastAsia="zh-CN"/>
              </w:rPr>
              <w:t>通过剧中深谙的思想得到感悟与思考，建立正确的世界观、人生观、价值观</w:t>
            </w:r>
            <w:r>
              <w:rPr>
                <w:rFonts w:hint="eastAsia" w:ascii="楷体" w:eastAsia="楷体" w:cs="楷体"/>
                <w:color w:val="000000"/>
                <w:sz w:val="21"/>
                <w:szCs w:val="21"/>
                <w:lang w:val="en-US"/>
              </w:rPr>
              <w:t>。</w:t>
            </w:r>
          </w:p>
        </w:tc>
        <w:tc>
          <w:tcPr>
            <w:tcW w:w="0" w:type="auto"/>
            <w:noWrap w:val="0"/>
            <w:vAlign w:val="top"/>
          </w:tcPr>
          <w:p w14:paraId="35405B44">
            <w:pPr>
              <w:widowControl/>
              <w:adjustRightInd w:val="0"/>
              <w:snapToGrid w:val="0"/>
              <w:jc w:val="left"/>
              <w:rPr>
                <w:rFonts w:hint="eastAsia" w:ascii="楷体" w:eastAsia="楷体" w:cs="楷体"/>
                <w:color w:val="000000"/>
                <w:sz w:val="21"/>
                <w:szCs w:val="21"/>
                <w:lang w:val="en-US"/>
              </w:rPr>
            </w:pPr>
            <w:r>
              <w:rPr>
                <w:rFonts w:hint="eastAsia" w:ascii="楷体" w:eastAsia="楷体" w:cs="楷体"/>
                <w:color w:val="000000"/>
                <w:sz w:val="21"/>
                <w:szCs w:val="21"/>
                <w:lang w:val="en-US"/>
              </w:rPr>
              <w:t>能够</w:t>
            </w:r>
            <w:r>
              <w:rPr>
                <w:rFonts w:hint="eastAsia" w:ascii="楷体" w:eastAsia="楷体" w:cs="楷体"/>
                <w:color w:val="000000"/>
                <w:sz w:val="21"/>
                <w:szCs w:val="21"/>
                <w:lang w:val="en-US" w:eastAsia="zh-CN"/>
              </w:rPr>
              <w:t>通过剧中深谙的思想得到感悟与思考，建立正确的世界观、人生观、价值观</w:t>
            </w:r>
            <w:r>
              <w:rPr>
                <w:rFonts w:hint="eastAsia" w:ascii="楷体" w:eastAsia="楷体" w:cs="楷体"/>
                <w:color w:val="000000"/>
                <w:sz w:val="21"/>
                <w:szCs w:val="21"/>
                <w:lang w:val="en-US"/>
              </w:rPr>
              <w:t>。</w:t>
            </w:r>
          </w:p>
        </w:tc>
        <w:tc>
          <w:tcPr>
            <w:tcW w:w="0" w:type="auto"/>
            <w:noWrap w:val="0"/>
            <w:vAlign w:val="top"/>
          </w:tcPr>
          <w:p w14:paraId="518FF2F0">
            <w:pPr>
              <w:widowControl/>
              <w:adjustRightInd w:val="0"/>
              <w:snapToGrid w:val="0"/>
              <w:jc w:val="left"/>
              <w:rPr>
                <w:rFonts w:hint="eastAsia" w:ascii="楷体" w:eastAsia="楷体" w:cs="楷体"/>
                <w:color w:val="000000"/>
                <w:sz w:val="21"/>
                <w:szCs w:val="21"/>
                <w:lang w:val="en-US"/>
              </w:rPr>
            </w:pPr>
            <w:r>
              <w:rPr>
                <w:rFonts w:hint="eastAsia" w:ascii="楷体" w:eastAsia="楷体" w:cs="楷体"/>
                <w:color w:val="000000"/>
                <w:sz w:val="21"/>
                <w:szCs w:val="21"/>
                <w:lang w:val="en-US"/>
              </w:rPr>
              <w:t>能够</w:t>
            </w:r>
            <w:r>
              <w:rPr>
                <w:rFonts w:hint="eastAsia" w:ascii="楷体" w:eastAsia="楷体" w:cs="楷体"/>
                <w:color w:val="000000"/>
                <w:sz w:val="21"/>
                <w:szCs w:val="21"/>
                <w:lang w:val="en-US" w:eastAsia="zh-CN"/>
              </w:rPr>
              <w:t>基本通过剧中深谙的思想得到感悟与思考，建立正确的世界观、人生观、价值观</w:t>
            </w:r>
            <w:r>
              <w:rPr>
                <w:rFonts w:hint="eastAsia" w:ascii="楷体" w:eastAsia="楷体" w:cs="楷体"/>
                <w:color w:val="000000"/>
                <w:sz w:val="21"/>
                <w:szCs w:val="21"/>
                <w:lang w:val="en-US"/>
              </w:rPr>
              <w:t>。</w:t>
            </w:r>
          </w:p>
        </w:tc>
        <w:tc>
          <w:tcPr>
            <w:tcW w:w="0" w:type="auto"/>
            <w:noWrap w:val="0"/>
            <w:vAlign w:val="top"/>
          </w:tcPr>
          <w:p w14:paraId="05F11E00">
            <w:pPr>
              <w:widowControl/>
              <w:adjustRightInd w:val="0"/>
              <w:snapToGrid w:val="0"/>
              <w:jc w:val="left"/>
              <w:rPr>
                <w:rFonts w:hint="eastAsia" w:ascii="楷体" w:eastAsia="楷体" w:cs="楷体"/>
                <w:color w:val="000000"/>
                <w:sz w:val="21"/>
                <w:szCs w:val="21"/>
                <w:lang w:val="en-US"/>
              </w:rPr>
            </w:pPr>
            <w:r>
              <w:rPr>
                <w:rFonts w:hint="eastAsia" w:ascii="楷体" w:eastAsia="楷体" w:cs="楷体"/>
                <w:color w:val="000000"/>
                <w:sz w:val="21"/>
                <w:szCs w:val="21"/>
                <w:lang w:val="en-US" w:eastAsia="zh-CN"/>
              </w:rPr>
              <w:t>未</w:t>
            </w:r>
            <w:r>
              <w:rPr>
                <w:rFonts w:hint="eastAsia" w:ascii="楷体" w:eastAsia="楷体" w:cs="楷体"/>
                <w:color w:val="000000"/>
                <w:sz w:val="21"/>
                <w:szCs w:val="21"/>
                <w:lang w:val="en-US"/>
              </w:rPr>
              <w:t>能</w:t>
            </w:r>
            <w:r>
              <w:rPr>
                <w:rFonts w:hint="eastAsia" w:ascii="楷体" w:eastAsia="楷体" w:cs="楷体"/>
                <w:color w:val="000000"/>
                <w:sz w:val="21"/>
                <w:szCs w:val="21"/>
                <w:lang w:val="en-US" w:eastAsia="zh-CN"/>
              </w:rPr>
              <w:t>通过剧中深谙的思想得到感悟与思考，建立正确的世界观、人生观、价值观</w:t>
            </w:r>
            <w:r>
              <w:rPr>
                <w:rFonts w:hint="eastAsia" w:ascii="楷体" w:eastAsia="楷体" w:cs="楷体"/>
                <w:color w:val="000000"/>
                <w:sz w:val="21"/>
                <w:szCs w:val="21"/>
                <w:lang w:val="en-US"/>
              </w:rPr>
              <w:t>。</w:t>
            </w:r>
          </w:p>
        </w:tc>
      </w:tr>
      <w:tr w14:paraId="6BD7EA19">
        <w:trPr>
          <w:trHeight w:val="1131" w:hRule="atLeast"/>
          <w:jc w:val="center"/>
        </w:trPr>
        <w:tc>
          <w:tcPr>
            <w:tcW w:w="0" w:type="auto"/>
            <w:vMerge w:val="continue"/>
            <w:noWrap w:val="0"/>
            <w:vAlign w:val="center"/>
          </w:tcPr>
          <w:p w14:paraId="170D8F1A">
            <w:pPr>
              <w:adjustRightInd w:val="0"/>
              <w:snapToGrid w:val="0"/>
              <w:spacing w:line="240" w:lineRule="atLeast"/>
              <w:jc w:val="center"/>
              <w:rPr>
                <w:rFonts w:ascii="宋体" w:hAnsi="宋体" w:cs="宋体"/>
                <w:color w:val="000000"/>
                <w:sz w:val="24"/>
                <w:szCs w:val="24"/>
              </w:rPr>
            </w:pPr>
          </w:p>
        </w:tc>
        <w:tc>
          <w:tcPr>
            <w:tcW w:w="0" w:type="auto"/>
            <w:noWrap w:val="0"/>
            <w:vAlign w:val="top"/>
          </w:tcPr>
          <w:p w14:paraId="2857C41F">
            <w:pPr>
              <w:widowControl/>
              <w:adjustRightInd w:val="0"/>
              <w:snapToGrid w:val="0"/>
              <w:jc w:val="left"/>
              <w:rPr>
                <w:rFonts w:hint="eastAsia" w:ascii="楷体" w:eastAsia="楷体" w:cs="楷体"/>
                <w:color w:val="000000"/>
                <w:sz w:val="21"/>
                <w:szCs w:val="21"/>
                <w:lang w:val="en-US"/>
              </w:rPr>
            </w:pPr>
            <w:r>
              <w:rPr>
                <w:rFonts w:hint="eastAsia" w:ascii="楷体" w:eastAsia="楷体" w:cs="楷体"/>
                <w:color w:val="000000"/>
                <w:sz w:val="21"/>
                <w:szCs w:val="21"/>
                <w:lang w:val="en-US"/>
              </w:rPr>
              <w:t>课程目标3.</w:t>
            </w:r>
          </w:p>
          <w:p w14:paraId="46686DF0">
            <w:pPr>
              <w:widowControl/>
              <w:adjustRightInd w:val="0"/>
              <w:snapToGrid w:val="0"/>
              <w:jc w:val="left"/>
              <w:rPr>
                <w:rFonts w:hint="eastAsia" w:ascii="楷体" w:eastAsia="楷体" w:cs="楷体"/>
                <w:color w:val="000000"/>
                <w:sz w:val="21"/>
                <w:szCs w:val="21"/>
                <w:lang w:val="en-US"/>
              </w:rPr>
            </w:pPr>
            <w:r>
              <w:rPr>
                <w:rFonts w:hint="eastAsia" w:ascii="楷体" w:eastAsia="楷体" w:cs="楷体"/>
                <w:color w:val="000000"/>
                <w:sz w:val="21"/>
                <w:szCs w:val="21"/>
                <w:lang w:val="en-US" w:eastAsia="zh-CN"/>
              </w:rPr>
              <w:t>能够知晓音乐剧发展的趋势、动态以及与教学实践和社会生活的联系。</w:t>
            </w:r>
          </w:p>
        </w:tc>
        <w:tc>
          <w:tcPr>
            <w:tcW w:w="0" w:type="auto"/>
            <w:noWrap w:val="0"/>
            <w:vAlign w:val="top"/>
          </w:tcPr>
          <w:p w14:paraId="745095C6">
            <w:pPr>
              <w:widowControl/>
              <w:adjustRightInd w:val="0"/>
              <w:snapToGrid w:val="0"/>
              <w:jc w:val="left"/>
              <w:rPr>
                <w:rFonts w:hint="eastAsia" w:ascii="楷体" w:eastAsia="楷体" w:cs="楷体"/>
                <w:color w:val="000000"/>
                <w:sz w:val="21"/>
                <w:szCs w:val="21"/>
                <w:lang w:val="en-US"/>
              </w:rPr>
            </w:pPr>
            <w:r>
              <w:rPr>
                <w:rFonts w:hint="eastAsia" w:ascii="楷体" w:eastAsia="楷体" w:cs="楷体"/>
                <w:color w:val="000000"/>
                <w:sz w:val="21"/>
                <w:szCs w:val="21"/>
                <w:lang w:val="en-US" w:eastAsia="zh-CN"/>
              </w:rPr>
              <w:t>能够全面知晓音乐剧发展的趋势、动态以及与教学实践和社会生活的联系。</w:t>
            </w:r>
          </w:p>
        </w:tc>
        <w:tc>
          <w:tcPr>
            <w:tcW w:w="0" w:type="auto"/>
            <w:noWrap w:val="0"/>
            <w:vAlign w:val="top"/>
          </w:tcPr>
          <w:p w14:paraId="29C17C5C">
            <w:pPr>
              <w:widowControl/>
              <w:adjustRightInd w:val="0"/>
              <w:snapToGrid w:val="0"/>
              <w:jc w:val="left"/>
              <w:rPr>
                <w:rFonts w:hint="eastAsia" w:ascii="楷体" w:eastAsia="楷体" w:cs="楷体"/>
                <w:color w:val="000000"/>
                <w:sz w:val="21"/>
                <w:szCs w:val="21"/>
                <w:lang w:val="en-US"/>
              </w:rPr>
            </w:pPr>
            <w:r>
              <w:rPr>
                <w:rFonts w:hint="eastAsia" w:ascii="楷体" w:eastAsia="楷体" w:cs="楷体"/>
                <w:color w:val="000000"/>
                <w:sz w:val="21"/>
                <w:szCs w:val="21"/>
                <w:lang w:val="en-US" w:eastAsia="zh-CN"/>
              </w:rPr>
              <w:t>能够较全面知晓音乐剧发展的趋势、动态以及与教学实践和社会生活的联系。</w:t>
            </w:r>
          </w:p>
        </w:tc>
        <w:tc>
          <w:tcPr>
            <w:tcW w:w="0" w:type="auto"/>
            <w:noWrap w:val="0"/>
            <w:vAlign w:val="top"/>
          </w:tcPr>
          <w:p w14:paraId="18F2C9B6">
            <w:pPr>
              <w:widowControl/>
              <w:adjustRightInd w:val="0"/>
              <w:snapToGrid w:val="0"/>
              <w:jc w:val="left"/>
              <w:rPr>
                <w:rFonts w:hint="eastAsia" w:ascii="楷体" w:eastAsia="楷体" w:cs="楷体"/>
                <w:color w:val="000000"/>
                <w:sz w:val="21"/>
                <w:szCs w:val="21"/>
                <w:lang w:val="en-US"/>
              </w:rPr>
            </w:pPr>
            <w:r>
              <w:rPr>
                <w:rFonts w:hint="eastAsia" w:ascii="楷体" w:eastAsia="楷体" w:cs="楷体"/>
                <w:color w:val="000000"/>
                <w:sz w:val="21"/>
                <w:szCs w:val="21"/>
                <w:lang w:val="en-US" w:eastAsia="zh-CN"/>
              </w:rPr>
              <w:t>能够知晓音乐剧发展的趋势、动态以及与教学实践和社会生活的联系。</w:t>
            </w:r>
          </w:p>
        </w:tc>
        <w:tc>
          <w:tcPr>
            <w:tcW w:w="0" w:type="auto"/>
            <w:noWrap w:val="0"/>
            <w:vAlign w:val="top"/>
          </w:tcPr>
          <w:p w14:paraId="66362184">
            <w:pPr>
              <w:widowControl/>
              <w:adjustRightInd w:val="0"/>
              <w:snapToGrid w:val="0"/>
              <w:jc w:val="left"/>
              <w:rPr>
                <w:rFonts w:hint="eastAsia" w:ascii="楷体" w:eastAsia="楷体" w:cs="楷体"/>
                <w:color w:val="000000"/>
                <w:sz w:val="21"/>
                <w:szCs w:val="21"/>
                <w:lang w:val="en-US"/>
              </w:rPr>
            </w:pPr>
            <w:r>
              <w:rPr>
                <w:rFonts w:hint="eastAsia" w:ascii="楷体" w:eastAsia="楷体" w:cs="楷体"/>
                <w:color w:val="000000"/>
                <w:sz w:val="21"/>
                <w:szCs w:val="21"/>
                <w:lang w:val="en-US" w:eastAsia="zh-CN"/>
              </w:rPr>
              <w:t>能够基本知晓音乐剧发展的趋势、动态以及与教学实践和社会生活的联系。</w:t>
            </w:r>
          </w:p>
        </w:tc>
        <w:tc>
          <w:tcPr>
            <w:tcW w:w="0" w:type="auto"/>
            <w:noWrap w:val="0"/>
            <w:vAlign w:val="top"/>
          </w:tcPr>
          <w:p w14:paraId="21B53575">
            <w:pPr>
              <w:widowControl/>
              <w:adjustRightInd w:val="0"/>
              <w:snapToGrid w:val="0"/>
              <w:jc w:val="left"/>
              <w:rPr>
                <w:rFonts w:hint="eastAsia" w:ascii="楷体" w:eastAsia="楷体" w:cs="楷体"/>
                <w:color w:val="000000"/>
                <w:sz w:val="21"/>
                <w:szCs w:val="21"/>
                <w:lang w:val="en-US"/>
              </w:rPr>
            </w:pPr>
            <w:r>
              <w:rPr>
                <w:rFonts w:hint="eastAsia" w:ascii="楷体" w:eastAsia="楷体" w:cs="楷体"/>
                <w:color w:val="000000"/>
                <w:sz w:val="21"/>
                <w:szCs w:val="21"/>
                <w:lang w:val="en-US" w:eastAsia="zh-CN"/>
              </w:rPr>
              <w:t>未能知晓音乐剧发展的趋势、动态以及与教学实践和社会生活的联系。</w:t>
            </w:r>
          </w:p>
        </w:tc>
      </w:tr>
    </w:tbl>
    <w:p w14:paraId="57380FE7">
      <w:pPr>
        <w:rPr>
          <w:sz w:val="2"/>
          <w:szCs w:val="2"/>
        </w:rPr>
        <w:sectPr>
          <w:headerReference r:id="rId125" w:type="default"/>
          <w:footerReference r:id="rId126" w:type="default"/>
          <w:pgSz w:w="11906" w:h="16838"/>
          <w:pgMar w:top="1440" w:right="1800" w:bottom="1440" w:left="1800" w:header="851" w:footer="992" w:gutter="0"/>
          <w:cols w:space="425" w:num="1"/>
          <w:docGrid w:type="lines" w:linePitch="312" w:charSpace="0"/>
        </w:sectPr>
      </w:pPr>
    </w:p>
    <w:p w14:paraId="6D485C73">
      <w:pPr>
        <w:pageBreakBefore w:val="0"/>
        <w:kinsoku/>
        <w:overflowPunct/>
        <w:topLinePunct w:val="0"/>
        <w:bidi w:val="0"/>
        <w:adjustRightInd w:val="0"/>
        <w:snapToGrid w:val="0"/>
        <w:spacing w:line="240" w:lineRule="auto"/>
        <w:jc w:val="center"/>
        <w:rPr>
          <w:rFonts w:hint="eastAsia" w:ascii="微软雅黑" w:eastAsia="微软雅黑"/>
          <w:sz w:val="36"/>
          <w:szCs w:val="36"/>
        </w:rPr>
      </w:pPr>
      <w:r>
        <w:rPr>
          <w:rFonts w:hint="eastAsia" w:ascii="方正小标宋简体" w:hAnsi="方正小标宋简体" w:eastAsia="方正小标宋简体" w:cs="方正小标宋简体"/>
          <w:b w:val="0"/>
          <w:bCs w:val="0"/>
          <w:kern w:val="44"/>
          <w:sz w:val="44"/>
          <w:szCs w:val="44"/>
          <w:lang w:val="en-US" w:eastAsia="zh-CN" w:bidi="ar-SA"/>
        </w:rPr>
        <w:t>三明学院音乐学（音乐教育）专业</w:t>
      </w:r>
    </w:p>
    <w:p w14:paraId="3438B23A">
      <w:pPr>
        <w:pStyle w:val="2"/>
        <w:spacing w:before="0" w:beforeAutospacing="0" w:after="0" w:afterAutospacing="0" w:line="520" w:lineRule="exact"/>
        <w:jc w:val="center"/>
        <w:rPr>
          <w:rFonts w:hint="eastAsia" w:ascii="方正小标宋简体" w:hAnsi="方正小标宋简体" w:eastAsia="方正小标宋简体" w:cs="方正小标宋简体"/>
          <w:b w:val="0"/>
          <w:bCs w:val="0"/>
          <w:kern w:val="2"/>
          <w:sz w:val="44"/>
          <w:szCs w:val="44"/>
          <w:lang w:val="en-US" w:eastAsia="zh-CN"/>
        </w:rPr>
      </w:pPr>
      <w:bookmarkStart w:id="213" w:name="_Toc293500884"/>
      <w:bookmarkStart w:id="214" w:name="_Toc2079486242"/>
      <w:bookmarkStart w:id="215" w:name="_Toc78044645"/>
      <w:bookmarkStart w:id="216" w:name="_Toc84465601"/>
      <w:bookmarkStart w:id="217" w:name="_Toc78044687"/>
      <w:bookmarkStart w:id="218" w:name="_Toc84465653"/>
      <w:bookmarkStart w:id="219" w:name="_Toc1604486674"/>
      <w:bookmarkStart w:id="220" w:name="_Toc78044733"/>
      <w:bookmarkStart w:id="221" w:name="_Toc1190662850"/>
      <w:bookmarkStart w:id="222" w:name="_Toc84465679"/>
      <w:bookmarkStart w:id="223" w:name="_Toc1506126235"/>
      <w:r>
        <w:rPr>
          <w:rFonts w:hint="eastAsia" w:ascii="方正小标宋简体" w:hAnsi="方正小标宋简体" w:eastAsia="方正小标宋简体" w:cs="方正小标宋简体"/>
          <w:b w:val="0"/>
          <w:bCs w:val="0"/>
          <w:kern w:val="2"/>
          <w:sz w:val="44"/>
          <w:szCs w:val="44"/>
          <w:lang w:val="en-US" w:eastAsia="zh-CN"/>
        </w:rPr>
        <w:t>《音乐微格与片段教学》课程教学大纲</w:t>
      </w:r>
      <w:bookmarkEnd w:id="213"/>
      <w:bookmarkEnd w:id="214"/>
      <w:bookmarkEnd w:id="215"/>
      <w:bookmarkEnd w:id="216"/>
      <w:bookmarkEnd w:id="217"/>
      <w:bookmarkEnd w:id="218"/>
      <w:bookmarkEnd w:id="219"/>
      <w:bookmarkEnd w:id="220"/>
      <w:bookmarkEnd w:id="221"/>
      <w:bookmarkEnd w:id="222"/>
    </w:p>
    <w:tbl>
      <w:tblPr>
        <w:tblStyle w:val="22"/>
        <w:tblW w:w="9146" w:type="dxa"/>
        <w:tblInd w:w="-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5"/>
        <w:gridCol w:w="1313"/>
        <w:gridCol w:w="108"/>
        <w:gridCol w:w="133"/>
        <w:gridCol w:w="1554"/>
        <w:gridCol w:w="761"/>
        <w:gridCol w:w="793"/>
        <w:gridCol w:w="48"/>
        <w:gridCol w:w="852"/>
        <w:gridCol w:w="654"/>
        <w:gridCol w:w="186"/>
        <w:gridCol w:w="780"/>
        <w:gridCol w:w="589"/>
      </w:tblGrid>
      <w:tr w14:paraId="4A788EF7">
        <w:trPr>
          <w:trHeight w:val="624" w:hRule="atLeast"/>
        </w:trPr>
        <w:tc>
          <w:tcPr>
            <w:tcW w:w="1375" w:type="dxa"/>
            <w:noWrap w:val="0"/>
            <w:vAlign w:val="center"/>
          </w:tcPr>
          <w:p w14:paraId="4555864D">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课程名称</w:t>
            </w:r>
          </w:p>
        </w:tc>
        <w:tc>
          <w:tcPr>
            <w:tcW w:w="4662" w:type="dxa"/>
            <w:gridSpan w:val="6"/>
            <w:noWrap w:val="0"/>
            <w:vAlign w:val="center"/>
          </w:tcPr>
          <w:p w14:paraId="1A5EAFE7">
            <w:pPr>
              <w:pageBreakBefore w:val="0"/>
              <w:kinsoku/>
              <w:overflowPunct/>
              <w:topLinePunct w:val="0"/>
              <w:bidi w:val="0"/>
              <w:adjustRightInd w:val="0"/>
              <w:snapToGrid w:val="0"/>
              <w:spacing w:line="240" w:lineRule="auto"/>
              <w:jc w:val="center"/>
              <w:rPr>
                <w:rFonts w:hint="default" w:ascii="仿宋" w:eastAsia="仿宋" w:cs="仿宋"/>
                <w:sz w:val="24"/>
                <w:szCs w:val="24"/>
                <w:lang w:val="en-US" w:eastAsia="zh-CN"/>
              </w:rPr>
            </w:pPr>
            <w:r>
              <w:rPr>
                <w:rFonts w:hint="eastAsia" w:ascii="仿宋" w:eastAsia="仿宋" w:cs="仿宋"/>
                <w:sz w:val="24"/>
                <w:szCs w:val="24"/>
              </w:rPr>
              <w:t>《</w:t>
            </w:r>
            <w:r>
              <w:rPr>
                <w:rFonts w:hint="eastAsia" w:ascii="仿宋" w:eastAsia="仿宋" w:cs="仿宋"/>
                <w:sz w:val="24"/>
                <w:szCs w:val="24"/>
                <w:lang w:val="en-US" w:eastAsia="zh-CN"/>
              </w:rPr>
              <w:t>音乐</w:t>
            </w:r>
            <w:r>
              <w:rPr>
                <w:rFonts w:hint="eastAsia" w:ascii="仿宋" w:eastAsia="仿宋" w:cs="仿宋"/>
                <w:sz w:val="24"/>
                <w:szCs w:val="24"/>
              </w:rPr>
              <w:t>微格与片段教学》</w:t>
            </w:r>
          </w:p>
        </w:tc>
        <w:tc>
          <w:tcPr>
            <w:tcW w:w="1554" w:type="dxa"/>
            <w:gridSpan w:val="3"/>
            <w:noWrap w:val="0"/>
            <w:vAlign w:val="center"/>
          </w:tcPr>
          <w:p w14:paraId="21C0FF35">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课程代码</w:t>
            </w:r>
          </w:p>
        </w:tc>
        <w:tc>
          <w:tcPr>
            <w:tcW w:w="1555" w:type="dxa"/>
            <w:gridSpan w:val="3"/>
            <w:noWrap w:val="0"/>
            <w:vAlign w:val="center"/>
          </w:tcPr>
          <w:p w14:paraId="2B337E29">
            <w:pPr>
              <w:pageBreakBefore w:val="0"/>
              <w:kinsoku/>
              <w:overflowPunct/>
              <w:topLinePunct w:val="0"/>
              <w:bidi w:val="0"/>
              <w:adjustRightInd w:val="0"/>
              <w:snapToGrid w:val="0"/>
              <w:spacing w:line="240" w:lineRule="auto"/>
              <w:jc w:val="center"/>
              <w:rPr>
                <w:rFonts w:hint="default" w:ascii="仿宋" w:eastAsia="仿宋" w:cs="仿宋"/>
                <w:sz w:val="24"/>
                <w:szCs w:val="24"/>
                <w:lang w:val="en-US" w:eastAsia="zh-CN"/>
              </w:rPr>
            </w:pPr>
            <w:r>
              <w:rPr>
                <w:rFonts w:hint="default" w:ascii="仿宋" w:eastAsia="仿宋" w:cs="仿宋"/>
                <w:sz w:val="24"/>
                <w:szCs w:val="24"/>
                <w:lang w:val="en-US" w:eastAsia="zh-CN"/>
              </w:rPr>
              <w:t>1213301619</w:t>
            </w:r>
          </w:p>
        </w:tc>
      </w:tr>
      <w:tr w14:paraId="5FBC4542">
        <w:trPr>
          <w:trHeight w:val="624" w:hRule="atLeast"/>
        </w:trPr>
        <w:tc>
          <w:tcPr>
            <w:tcW w:w="1375" w:type="dxa"/>
            <w:noWrap w:val="0"/>
            <w:vAlign w:val="center"/>
          </w:tcPr>
          <w:p w14:paraId="78238444">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课程类型</w:t>
            </w:r>
          </w:p>
        </w:tc>
        <w:tc>
          <w:tcPr>
            <w:tcW w:w="7771" w:type="dxa"/>
            <w:gridSpan w:val="12"/>
            <w:noWrap w:val="0"/>
            <w:vAlign w:val="center"/>
          </w:tcPr>
          <w:p w14:paraId="42BF5455">
            <w:pPr>
              <w:pageBreakBefore w:val="0"/>
              <w:kinsoku/>
              <w:overflowPunct/>
              <w:topLinePunct w:val="0"/>
              <w:bidi w:val="0"/>
              <w:adjustRightInd w:val="0"/>
              <w:snapToGrid w:val="0"/>
              <w:spacing w:line="240" w:lineRule="auto"/>
              <w:rPr>
                <w:rFonts w:hint="eastAsia" w:ascii="仿宋" w:eastAsia="仿宋" w:cs="仿宋"/>
                <w:sz w:val="24"/>
                <w:szCs w:val="24"/>
              </w:rPr>
            </w:pPr>
            <w:r>
              <w:rPr>
                <w:rFonts w:ascii="仿宋" w:eastAsia="仿宋" w:cs="仿宋"/>
                <w:sz w:val="24"/>
                <w:szCs w:val="24"/>
              </w:rPr>
              <w:sym w:font="Wingdings" w:char="00A8"/>
            </w:r>
            <w:r>
              <w:rPr>
                <w:rFonts w:hint="eastAsia" w:ascii="仿宋" w:eastAsia="仿宋" w:cs="仿宋"/>
                <w:sz w:val="24"/>
                <w:szCs w:val="24"/>
              </w:rPr>
              <w:t xml:space="preserve">通识必修 </w:t>
            </w:r>
            <w:r>
              <w:rPr>
                <w:rFonts w:ascii="仿宋" w:eastAsia="仿宋" w:cs="仿宋"/>
                <w:sz w:val="24"/>
                <w:szCs w:val="24"/>
              </w:rPr>
              <w:sym w:font="Wingdings" w:char="00A8"/>
            </w:r>
            <w:r>
              <w:rPr>
                <w:rFonts w:hint="eastAsia" w:ascii="仿宋" w:eastAsia="仿宋" w:cs="仿宋"/>
                <w:sz w:val="24"/>
                <w:szCs w:val="24"/>
              </w:rPr>
              <w:t xml:space="preserve">通识选修 </w:t>
            </w:r>
            <w:r>
              <w:rPr>
                <w:rFonts w:ascii="仿宋" w:eastAsia="仿宋" w:cs="仿宋"/>
                <w:sz w:val="24"/>
                <w:szCs w:val="24"/>
              </w:rPr>
              <w:sym w:font="Wingdings" w:char="00A8"/>
            </w:r>
            <w:r>
              <w:rPr>
                <w:rFonts w:hint="eastAsia" w:ascii="仿宋" w:eastAsia="仿宋" w:cs="仿宋"/>
                <w:sz w:val="24"/>
                <w:szCs w:val="24"/>
              </w:rPr>
              <w:t xml:space="preserve">专业必修 </w:t>
            </w:r>
          </w:p>
          <w:p w14:paraId="518D5FBA">
            <w:pPr>
              <w:pageBreakBefore w:val="0"/>
              <w:kinsoku/>
              <w:overflowPunct/>
              <w:topLinePunct w:val="0"/>
              <w:bidi w:val="0"/>
              <w:adjustRightInd w:val="0"/>
              <w:snapToGrid w:val="0"/>
              <w:spacing w:line="240" w:lineRule="auto"/>
              <w:rPr>
                <w:rFonts w:hint="eastAsia" w:ascii="仿宋" w:eastAsia="仿宋" w:cs="仿宋"/>
                <w:sz w:val="24"/>
                <w:szCs w:val="24"/>
              </w:rPr>
            </w:pPr>
            <w:r>
              <w:rPr>
                <w:rFonts w:ascii="仿宋" w:eastAsia="仿宋" w:cs="仿宋"/>
                <w:sz w:val="24"/>
                <w:szCs w:val="24"/>
              </w:rPr>
              <w:sym w:font="Wingdings" w:char="00A8"/>
            </w:r>
            <w:r>
              <w:rPr>
                <w:rFonts w:hint="eastAsia" w:ascii="仿宋" w:eastAsia="仿宋" w:cs="仿宋"/>
                <w:sz w:val="24"/>
                <w:szCs w:val="24"/>
              </w:rPr>
              <w:t xml:space="preserve">专业选修 </w:t>
            </w:r>
            <w:r>
              <w:rPr>
                <w:rFonts w:ascii="仿宋" w:eastAsia="仿宋" w:cs="仿宋"/>
                <w:sz w:val="24"/>
                <w:szCs w:val="24"/>
              </w:rPr>
              <w:sym w:font="Wingdings" w:char="00FE"/>
            </w:r>
            <w:r>
              <w:rPr>
                <w:rFonts w:hint="eastAsia" w:ascii="仿宋" w:eastAsia="仿宋" w:cs="仿宋"/>
                <w:sz w:val="24"/>
                <w:szCs w:val="24"/>
              </w:rPr>
              <w:t xml:space="preserve">教师教育必修 </w:t>
            </w:r>
            <w:r>
              <w:rPr>
                <w:rFonts w:ascii="仿宋" w:eastAsia="仿宋" w:cs="仿宋"/>
                <w:sz w:val="24"/>
                <w:szCs w:val="24"/>
              </w:rPr>
              <w:sym w:font="Wingdings" w:char="00A8"/>
            </w:r>
            <w:r>
              <w:rPr>
                <w:rFonts w:hint="eastAsia" w:ascii="仿宋" w:eastAsia="仿宋" w:cs="仿宋"/>
                <w:sz w:val="24"/>
                <w:szCs w:val="24"/>
              </w:rPr>
              <w:t>教师教育选修</w:t>
            </w:r>
          </w:p>
        </w:tc>
      </w:tr>
      <w:tr w14:paraId="63F7424C">
        <w:trPr>
          <w:trHeight w:val="624" w:hRule="atLeast"/>
        </w:trPr>
        <w:tc>
          <w:tcPr>
            <w:tcW w:w="1375" w:type="dxa"/>
            <w:noWrap w:val="0"/>
            <w:vAlign w:val="center"/>
          </w:tcPr>
          <w:p w14:paraId="26441CF5">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开课学期</w:t>
            </w:r>
          </w:p>
        </w:tc>
        <w:tc>
          <w:tcPr>
            <w:tcW w:w="1554" w:type="dxa"/>
            <w:gridSpan w:val="3"/>
            <w:noWrap w:val="0"/>
            <w:vAlign w:val="center"/>
          </w:tcPr>
          <w:p w14:paraId="7958D0DE">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第6学期</w:t>
            </w:r>
          </w:p>
        </w:tc>
        <w:tc>
          <w:tcPr>
            <w:tcW w:w="1554" w:type="dxa"/>
            <w:noWrap w:val="0"/>
            <w:vAlign w:val="center"/>
          </w:tcPr>
          <w:p w14:paraId="2B4C3EE9">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学分</w:t>
            </w:r>
          </w:p>
        </w:tc>
        <w:tc>
          <w:tcPr>
            <w:tcW w:w="1554" w:type="dxa"/>
            <w:gridSpan w:val="2"/>
            <w:noWrap w:val="0"/>
            <w:vAlign w:val="center"/>
          </w:tcPr>
          <w:p w14:paraId="07C693D1">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Style w:val="382"/>
                <w:rFonts w:hint="default" w:ascii="仿宋" w:eastAsia="仿宋"/>
                <w:szCs w:val="21"/>
                <w:lang w:val="en-US"/>
              </w:rPr>
              <w:t>1</w:t>
            </w:r>
          </w:p>
        </w:tc>
        <w:tc>
          <w:tcPr>
            <w:tcW w:w="1554" w:type="dxa"/>
            <w:gridSpan w:val="3"/>
            <w:noWrap w:val="0"/>
            <w:vAlign w:val="center"/>
          </w:tcPr>
          <w:p w14:paraId="341265EF">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课程负责人</w:t>
            </w:r>
          </w:p>
        </w:tc>
        <w:tc>
          <w:tcPr>
            <w:tcW w:w="1555" w:type="dxa"/>
            <w:gridSpan w:val="3"/>
            <w:noWrap w:val="0"/>
            <w:vAlign w:val="center"/>
          </w:tcPr>
          <w:p w14:paraId="7DAB1548">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江水莲</w:t>
            </w:r>
          </w:p>
        </w:tc>
      </w:tr>
      <w:tr w14:paraId="3E7E8BB6">
        <w:trPr>
          <w:trHeight w:val="624" w:hRule="atLeast"/>
        </w:trPr>
        <w:tc>
          <w:tcPr>
            <w:tcW w:w="1375" w:type="dxa"/>
            <w:noWrap w:val="0"/>
            <w:vAlign w:val="center"/>
          </w:tcPr>
          <w:p w14:paraId="55C9633B">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总学时</w:t>
            </w:r>
          </w:p>
        </w:tc>
        <w:tc>
          <w:tcPr>
            <w:tcW w:w="1554" w:type="dxa"/>
            <w:gridSpan w:val="3"/>
            <w:noWrap w:val="0"/>
            <w:vAlign w:val="center"/>
          </w:tcPr>
          <w:p w14:paraId="3BB0F0C7">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32</w:t>
            </w:r>
          </w:p>
        </w:tc>
        <w:tc>
          <w:tcPr>
            <w:tcW w:w="1554" w:type="dxa"/>
            <w:noWrap w:val="0"/>
            <w:vAlign w:val="center"/>
          </w:tcPr>
          <w:p w14:paraId="5E02E9ED">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理论学时</w:t>
            </w:r>
          </w:p>
        </w:tc>
        <w:tc>
          <w:tcPr>
            <w:tcW w:w="1554" w:type="dxa"/>
            <w:gridSpan w:val="2"/>
            <w:noWrap w:val="0"/>
            <w:vAlign w:val="center"/>
          </w:tcPr>
          <w:p w14:paraId="2D71250D">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default" w:ascii="仿宋" w:eastAsia="仿宋" w:cs="仿宋"/>
                <w:sz w:val="24"/>
                <w:szCs w:val="24"/>
                <w:lang w:val="en-US"/>
              </w:rPr>
              <w:t>0</w:t>
            </w:r>
          </w:p>
        </w:tc>
        <w:tc>
          <w:tcPr>
            <w:tcW w:w="1554" w:type="dxa"/>
            <w:gridSpan w:val="3"/>
            <w:tcBorders>
              <w:right w:val="single" w:color="000000" w:sz="4" w:space="0"/>
            </w:tcBorders>
            <w:noWrap w:val="0"/>
            <w:vAlign w:val="center"/>
          </w:tcPr>
          <w:p w14:paraId="0C9BD6AF">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实践学时</w:t>
            </w:r>
          </w:p>
        </w:tc>
        <w:tc>
          <w:tcPr>
            <w:tcW w:w="1555" w:type="dxa"/>
            <w:gridSpan w:val="3"/>
            <w:tcBorders>
              <w:left w:val="single" w:color="000000" w:sz="4" w:space="0"/>
            </w:tcBorders>
            <w:noWrap w:val="0"/>
            <w:vAlign w:val="center"/>
          </w:tcPr>
          <w:p w14:paraId="742572E6">
            <w:pPr>
              <w:pageBreakBefore w:val="0"/>
              <w:kinsoku/>
              <w:overflowPunct/>
              <w:topLinePunct w:val="0"/>
              <w:bidi w:val="0"/>
              <w:adjustRightInd w:val="0"/>
              <w:snapToGrid w:val="0"/>
              <w:spacing w:line="240" w:lineRule="auto"/>
              <w:jc w:val="center"/>
              <w:rPr>
                <w:rFonts w:hint="default" w:ascii="仿宋" w:eastAsia="仿宋" w:cs="仿宋"/>
                <w:sz w:val="24"/>
                <w:szCs w:val="24"/>
                <w:lang w:val="en-US"/>
              </w:rPr>
            </w:pPr>
            <w:r>
              <w:rPr>
                <w:rFonts w:hint="default" w:ascii="仿宋" w:eastAsia="仿宋" w:cs="仿宋"/>
                <w:sz w:val="24"/>
                <w:szCs w:val="24"/>
                <w:lang w:val="en-US"/>
              </w:rPr>
              <w:t>32</w:t>
            </w:r>
          </w:p>
        </w:tc>
      </w:tr>
      <w:tr w14:paraId="7456F7C2">
        <w:trPr>
          <w:trHeight w:val="624" w:hRule="atLeast"/>
        </w:trPr>
        <w:tc>
          <w:tcPr>
            <w:tcW w:w="1375" w:type="dxa"/>
            <w:noWrap w:val="0"/>
            <w:vAlign w:val="center"/>
          </w:tcPr>
          <w:p w14:paraId="5CEF5D3D">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先修课程与后续课程</w:t>
            </w:r>
          </w:p>
        </w:tc>
        <w:tc>
          <w:tcPr>
            <w:tcW w:w="7771" w:type="dxa"/>
            <w:gridSpan w:val="12"/>
            <w:noWrap w:val="0"/>
            <w:vAlign w:val="center"/>
          </w:tcPr>
          <w:p w14:paraId="2FDC9063">
            <w:pPr>
              <w:pageBreakBefore w:val="0"/>
              <w:tabs>
                <w:tab w:val="left" w:pos="720"/>
              </w:tabs>
              <w:kinsoku/>
              <w:overflowPunct/>
              <w:topLinePunct w:val="0"/>
              <w:bidi w:val="0"/>
              <w:adjustRightInd w:val="0"/>
              <w:snapToGrid w:val="0"/>
              <w:spacing w:line="240" w:lineRule="auto"/>
              <w:jc w:val="left"/>
              <w:rPr>
                <w:rFonts w:hint="eastAsia" w:ascii="仿宋" w:eastAsia="仿宋" w:cs="仿宋"/>
                <w:sz w:val="24"/>
                <w:szCs w:val="24"/>
              </w:rPr>
            </w:pPr>
            <w:r>
              <w:rPr>
                <w:rFonts w:hint="eastAsia" w:ascii="仿宋" w:eastAsia="仿宋" w:cs="仿宋"/>
                <w:sz w:val="24"/>
                <w:szCs w:val="24"/>
              </w:rPr>
              <w:t>先修课程：</w:t>
            </w:r>
            <w:r>
              <w:rPr>
                <w:rFonts w:hint="eastAsia" w:ascii="仿宋" w:eastAsia="仿宋"/>
                <w:sz w:val="24"/>
                <w:szCs w:val="24"/>
              </w:rPr>
              <w:t>《乐理》《视唱练耳》《声乐基础》《钢琴基础》《中国民族音乐》《外国民族音乐》《中国音乐史与欣赏》《西方音乐史与欣赏》《和声》</w:t>
            </w:r>
            <w:r>
              <w:rPr>
                <w:rFonts w:hint="eastAsia" w:ascii="仿宋" w:eastAsia="仿宋" w:cs="仿宋"/>
                <w:sz w:val="24"/>
                <w:szCs w:val="24"/>
              </w:rPr>
              <w:t>《</w:t>
            </w:r>
            <w:r>
              <w:rPr>
                <w:rFonts w:hint="eastAsia" w:ascii="仿宋" w:eastAsia="仿宋"/>
                <w:sz w:val="24"/>
                <w:szCs w:val="24"/>
              </w:rPr>
              <w:t>音乐学科教学论</w:t>
            </w:r>
            <w:r>
              <w:rPr>
                <w:rFonts w:hint="eastAsia" w:ascii="仿宋" w:eastAsia="仿宋" w:cs="仿宋"/>
                <w:sz w:val="24"/>
                <w:szCs w:val="24"/>
              </w:rPr>
              <w:t>》《</w:t>
            </w:r>
            <w:r>
              <w:rPr>
                <w:rFonts w:hint="eastAsia" w:ascii="仿宋" w:eastAsia="仿宋" w:cs="仿宋"/>
                <w:sz w:val="24"/>
                <w:szCs w:val="24"/>
                <w:lang w:val="en-US" w:eastAsia="zh-CN"/>
              </w:rPr>
              <w:t>中小学音乐课堂教学研究</w:t>
            </w:r>
            <w:r>
              <w:rPr>
                <w:rFonts w:hint="eastAsia" w:ascii="仿宋" w:eastAsia="仿宋" w:cs="仿宋"/>
                <w:sz w:val="24"/>
                <w:szCs w:val="24"/>
              </w:rPr>
              <w:t>》</w:t>
            </w:r>
            <w:r>
              <w:rPr>
                <w:rFonts w:hint="eastAsia" w:ascii="仿宋" w:eastAsia="仿宋"/>
                <w:sz w:val="24"/>
                <w:szCs w:val="24"/>
              </w:rPr>
              <w:t>等</w:t>
            </w:r>
          </w:p>
          <w:p w14:paraId="70E320DF">
            <w:pPr>
              <w:pageBreakBefore w:val="0"/>
              <w:kinsoku/>
              <w:overflowPunct/>
              <w:topLinePunct w:val="0"/>
              <w:bidi w:val="0"/>
              <w:snapToGrid w:val="0"/>
              <w:spacing w:line="240" w:lineRule="auto"/>
              <w:rPr>
                <w:rFonts w:hint="eastAsia" w:ascii="仿宋" w:eastAsia="仿宋"/>
                <w:sz w:val="24"/>
                <w:szCs w:val="24"/>
              </w:rPr>
            </w:pPr>
            <w:r>
              <w:rPr>
                <w:rFonts w:hint="eastAsia" w:ascii="仿宋" w:eastAsia="仿宋" w:cs="仿宋"/>
                <w:sz w:val="24"/>
                <w:szCs w:val="24"/>
              </w:rPr>
              <w:t>后续课程：</w:t>
            </w:r>
            <w:r>
              <w:rPr>
                <w:rStyle w:val="382"/>
                <w:rFonts w:hint="eastAsia" w:ascii="仿宋" w:eastAsia="仿宋"/>
                <w:sz w:val="24"/>
                <w:szCs w:val="24"/>
              </w:rPr>
              <w:t>《</w:t>
            </w:r>
            <w:r>
              <w:rPr>
                <w:rStyle w:val="382"/>
                <w:rFonts w:hint="eastAsia" w:ascii="仿宋" w:eastAsia="仿宋"/>
                <w:sz w:val="24"/>
                <w:szCs w:val="24"/>
                <w:lang w:val="en-US" w:eastAsia="zh-CN"/>
              </w:rPr>
              <w:t>教育</w:t>
            </w:r>
            <w:r>
              <w:rPr>
                <w:rStyle w:val="382"/>
                <w:rFonts w:hint="eastAsia" w:ascii="仿宋" w:eastAsia="仿宋"/>
                <w:sz w:val="24"/>
                <w:szCs w:val="24"/>
              </w:rPr>
              <w:t>实习》</w:t>
            </w:r>
          </w:p>
        </w:tc>
      </w:tr>
      <w:tr w14:paraId="31B2F353">
        <w:trPr>
          <w:trHeight w:val="624" w:hRule="atLeast"/>
        </w:trPr>
        <w:tc>
          <w:tcPr>
            <w:tcW w:w="1375" w:type="dxa"/>
            <w:noWrap w:val="0"/>
            <w:vAlign w:val="center"/>
          </w:tcPr>
          <w:p w14:paraId="79774411">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适用专业</w:t>
            </w:r>
          </w:p>
        </w:tc>
        <w:tc>
          <w:tcPr>
            <w:tcW w:w="7771" w:type="dxa"/>
            <w:gridSpan w:val="12"/>
            <w:noWrap w:val="0"/>
            <w:vAlign w:val="center"/>
          </w:tcPr>
          <w:p w14:paraId="2C63C75E">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音乐学</w:t>
            </w:r>
          </w:p>
        </w:tc>
      </w:tr>
      <w:tr w14:paraId="180E4C60">
        <w:trPr>
          <w:trHeight w:val="624" w:hRule="atLeast"/>
        </w:trPr>
        <w:tc>
          <w:tcPr>
            <w:tcW w:w="1375" w:type="dxa"/>
            <w:tcBorders>
              <w:bottom w:val="single" w:color="auto" w:sz="4" w:space="0"/>
            </w:tcBorders>
            <w:noWrap w:val="0"/>
            <w:vAlign w:val="center"/>
          </w:tcPr>
          <w:p w14:paraId="1129617E">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A</w:t>
            </w:r>
          </w:p>
          <w:p w14:paraId="7C255447">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参考教材</w:t>
            </w:r>
          </w:p>
        </w:tc>
        <w:tc>
          <w:tcPr>
            <w:tcW w:w="7771" w:type="dxa"/>
            <w:gridSpan w:val="12"/>
            <w:tcBorders>
              <w:bottom w:val="single" w:color="auto" w:sz="4" w:space="0"/>
            </w:tcBorders>
            <w:noWrap w:val="0"/>
            <w:vAlign w:val="center"/>
          </w:tcPr>
          <w:p w14:paraId="416B47AF">
            <w:pPr>
              <w:pageBreakBefore w:val="0"/>
              <w:numPr>
                <w:ilvl w:val="0"/>
                <w:numId w:val="0"/>
              </w:numPr>
              <w:tabs>
                <w:tab w:val="left" w:pos="720"/>
              </w:tabs>
              <w:kinsoku/>
              <w:overflowPunct/>
              <w:topLinePunct w:val="0"/>
              <w:bidi w:val="0"/>
              <w:adjustRightInd w:val="0"/>
              <w:snapToGrid w:val="0"/>
              <w:spacing w:line="240" w:lineRule="auto"/>
              <w:rPr>
                <w:rFonts w:hint="default" w:ascii="仿宋" w:eastAsia="仿宋" w:cs="Tahoma"/>
                <w:sz w:val="24"/>
                <w:szCs w:val="24"/>
                <w:lang w:val="en-US" w:eastAsia="zh-CN"/>
              </w:rPr>
            </w:pPr>
            <w:r>
              <w:rPr>
                <w:rFonts w:hint="default" w:ascii="仿宋" w:eastAsia="仿宋" w:cs="Tahoma"/>
                <w:sz w:val="24"/>
                <w:szCs w:val="24"/>
                <w:lang w:val="en-US" w:eastAsia="zh-CN"/>
              </w:rPr>
              <w:t>崔学荣.音乐微格教学.北京:高等教育出版社,2020.</w:t>
            </w:r>
          </w:p>
          <w:p w14:paraId="62631119">
            <w:pPr>
              <w:pageBreakBefore w:val="0"/>
              <w:numPr>
                <w:ilvl w:val="0"/>
                <w:numId w:val="0"/>
              </w:numPr>
              <w:tabs>
                <w:tab w:val="left" w:pos="720"/>
              </w:tabs>
              <w:kinsoku/>
              <w:overflowPunct/>
              <w:topLinePunct w:val="0"/>
              <w:bidi w:val="0"/>
              <w:adjustRightInd w:val="0"/>
              <w:snapToGrid w:val="0"/>
              <w:spacing w:line="240" w:lineRule="auto"/>
              <w:rPr>
                <w:rFonts w:hint="eastAsia" w:ascii="仿宋" w:eastAsia="仿宋" w:cs="Tahoma"/>
                <w:sz w:val="24"/>
                <w:szCs w:val="24"/>
              </w:rPr>
            </w:pPr>
          </w:p>
        </w:tc>
      </w:tr>
      <w:tr w14:paraId="6743E9AD">
        <w:trPr>
          <w:trHeight w:val="624" w:hRule="atLeast"/>
        </w:trPr>
        <w:tc>
          <w:tcPr>
            <w:tcW w:w="1375" w:type="dxa"/>
            <w:tcBorders>
              <w:bottom w:val="single" w:color="auto" w:sz="4" w:space="0"/>
            </w:tcBorders>
            <w:noWrap w:val="0"/>
            <w:vAlign w:val="center"/>
          </w:tcPr>
          <w:p w14:paraId="0AED3BD3">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B</w:t>
            </w:r>
          </w:p>
          <w:p w14:paraId="01DDEFD7">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主要参考书籍</w:t>
            </w:r>
          </w:p>
        </w:tc>
        <w:tc>
          <w:tcPr>
            <w:tcW w:w="7771" w:type="dxa"/>
            <w:gridSpan w:val="12"/>
            <w:tcBorders>
              <w:bottom w:val="single" w:color="auto" w:sz="4" w:space="0"/>
            </w:tcBorders>
            <w:noWrap w:val="0"/>
            <w:vAlign w:val="center"/>
          </w:tcPr>
          <w:p w14:paraId="144EDF69">
            <w:pPr>
              <w:pageBreakBefore w:val="0"/>
              <w:kinsoku/>
              <w:overflowPunct/>
              <w:topLinePunct w:val="0"/>
              <w:bidi w:val="0"/>
              <w:adjustRightInd w:val="0"/>
              <w:snapToGrid w:val="0"/>
              <w:spacing w:line="240" w:lineRule="auto"/>
              <w:rPr>
                <w:rFonts w:hint="eastAsia" w:ascii="仿宋" w:eastAsia="仿宋" w:cs="黑体"/>
                <w:sz w:val="24"/>
                <w:szCs w:val="24"/>
                <w:lang w:val="en-US" w:eastAsia="zh-CN"/>
              </w:rPr>
            </w:pPr>
            <w:r>
              <w:rPr>
                <w:rFonts w:hint="eastAsia" w:ascii="仿宋" w:eastAsia="仿宋" w:cs="黑体"/>
                <w:sz w:val="24"/>
                <w:szCs w:val="24"/>
                <w:lang w:val="en-US" w:eastAsia="zh-CN"/>
              </w:rPr>
              <w:t>1.</w:t>
            </w:r>
            <w:r>
              <w:rPr>
                <w:rFonts w:hint="eastAsia" w:ascii="仿宋" w:eastAsia="仿宋" w:cs="黑体"/>
                <w:sz w:val="24"/>
                <w:szCs w:val="24"/>
              </w:rPr>
              <w:t>2022《义务教育艺术教育课程标准》</w:t>
            </w:r>
            <w:r>
              <w:rPr>
                <w:rFonts w:hint="eastAsia" w:ascii="仿宋" w:eastAsia="仿宋" w:cs="黑体"/>
                <w:sz w:val="24"/>
                <w:szCs w:val="24"/>
                <w:lang w:val="en-US" w:eastAsia="zh-CN"/>
              </w:rPr>
              <w:t>教育部制定，北京师范大学</w:t>
            </w:r>
            <w:r>
              <w:rPr>
                <w:rFonts w:hint="eastAsia" w:ascii="仿宋" w:eastAsia="仿宋" w:cs="黑体"/>
                <w:sz w:val="24"/>
                <w:szCs w:val="24"/>
              </w:rPr>
              <w:t>出版社2.义务教育</w:t>
            </w:r>
            <w:r>
              <w:rPr>
                <w:rFonts w:hint="eastAsia" w:ascii="仿宋" w:eastAsia="仿宋" w:cs="黑体"/>
                <w:sz w:val="24"/>
                <w:szCs w:val="24"/>
                <w:lang w:val="en-US" w:eastAsia="zh-CN"/>
              </w:rPr>
              <w:t>中小学</w:t>
            </w:r>
            <w:r>
              <w:rPr>
                <w:rFonts w:hint="eastAsia" w:ascii="仿宋" w:eastAsia="仿宋" w:cs="黑体"/>
                <w:sz w:val="24"/>
                <w:szCs w:val="24"/>
              </w:rPr>
              <w:t>音乐教材，北京:人民教育出版社</w:t>
            </w:r>
            <w:r>
              <w:rPr>
                <w:rFonts w:hint="eastAsia" w:ascii="仿宋" w:eastAsia="仿宋" w:cs="黑体"/>
                <w:sz w:val="24"/>
                <w:szCs w:val="24"/>
                <w:lang w:eastAsia="zh-CN"/>
              </w:rPr>
              <w:t>，</w:t>
            </w:r>
            <w:r>
              <w:rPr>
                <w:rFonts w:hint="eastAsia" w:ascii="仿宋" w:eastAsia="仿宋" w:cs="黑体"/>
                <w:sz w:val="24"/>
                <w:szCs w:val="24"/>
              </w:rPr>
              <w:t>2013年版</w:t>
            </w:r>
            <w:r>
              <w:rPr>
                <w:rFonts w:hint="eastAsia" w:ascii="仿宋" w:eastAsia="仿宋" w:cs="黑体"/>
                <w:sz w:val="24"/>
                <w:szCs w:val="24"/>
                <w:lang w:val="en-US" w:eastAsia="zh-CN"/>
              </w:rPr>
              <w:t>.</w:t>
            </w:r>
          </w:p>
          <w:p w14:paraId="25B87205">
            <w:pPr>
              <w:pageBreakBefore w:val="0"/>
              <w:kinsoku/>
              <w:overflowPunct/>
              <w:topLinePunct w:val="0"/>
              <w:bidi w:val="0"/>
              <w:adjustRightInd w:val="0"/>
              <w:snapToGrid w:val="0"/>
              <w:spacing w:line="240" w:lineRule="auto"/>
              <w:rPr>
                <w:rFonts w:hint="eastAsia" w:ascii="仿宋" w:eastAsia="仿宋" w:cs="黑体"/>
                <w:sz w:val="24"/>
                <w:szCs w:val="24"/>
              </w:rPr>
            </w:pPr>
            <w:r>
              <w:rPr>
                <w:rFonts w:hint="eastAsia" w:ascii="仿宋" w:eastAsia="仿宋" w:cs="黑体"/>
                <w:sz w:val="24"/>
                <w:szCs w:val="24"/>
                <w:lang w:val="en-US" w:eastAsia="zh-CN"/>
              </w:rPr>
              <w:t>2</w:t>
            </w:r>
            <w:r>
              <w:rPr>
                <w:rFonts w:hint="eastAsia" w:ascii="仿宋" w:eastAsia="仿宋" w:cs="黑体"/>
                <w:sz w:val="24"/>
                <w:szCs w:val="24"/>
              </w:rPr>
              <w:t>.杨丽苏主编.新课程音乐教学法.重庆:西南师范大学出版社,2014.</w:t>
            </w:r>
          </w:p>
          <w:p w14:paraId="37DF926F">
            <w:pPr>
              <w:pageBreakBefore w:val="0"/>
              <w:kinsoku/>
              <w:overflowPunct/>
              <w:topLinePunct w:val="0"/>
              <w:bidi w:val="0"/>
              <w:adjustRightInd w:val="0"/>
              <w:snapToGrid w:val="0"/>
              <w:spacing w:line="240" w:lineRule="auto"/>
              <w:rPr>
                <w:rFonts w:hint="eastAsia" w:ascii="仿宋" w:eastAsia="仿宋" w:cs="黑体"/>
                <w:sz w:val="24"/>
                <w:szCs w:val="24"/>
                <w:lang w:eastAsia="zh-Hans"/>
              </w:rPr>
            </w:pPr>
            <w:r>
              <w:rPr>
                <w:rFonts w:hint="eastAsia" w:ascii="仿宋" w:eastAsia="仿宋" w:cs="黑体"/>
                <w:sz w:val="24"/>
                <w:szCs w:val="24"/>
                <w:lang w:val="en-US" w:eastAsia="zh-CN"/>
              </w:rPr>
              <w:t>3</w:t>
            </w:r>
            <w:r>
              <w:rPr>
                <w:rFonts w:hint="eastAsia" w:ascii="仿宋" w:eastAsia="仿宋" w:cs="黑体"/>
                <w:sz w:val="24"/>
                <w:szCs w:val="24"/>
                <w:lang w:val="en-US" w:eastAsia="zh-Hans"/>
              </w:rPr>
              <w:t>.任志宏</w:t>
            </w:r>
            <w:r>
              <w:rPr>
                <w:rFonts w:hint="eastAsia" w:ascii="仿宋" w:eastAsia="仿宋" w:cs="黑体"/>
                <w:sz w:val="24"/>
                <w:szCs w:val="24"/>
                <w:lang w:eastAsia="zh-Hans"/>
              </w:rPr>
              <w:t>.</w:t>
            </w:r>
            <w:r>
              <w:rPr>
                <w:rFonts w:hint="eastAsia" w:ascii="仿宋" w:eastAsia="仿宋" w:cs="黑体"/>
                <w:sz w:val="24"/>
                <w:szCs w:val="24"/>
                <w:lang w:val="en-US" w:eastAsia="zh-Hans"/>
              </w:rPr>
              <w:t>音乐教学论案例分析</w:t>
            </w:r>
            <w:r>
              <w:rPr>
                <w:rFonts w:hint="eastAsia" w:ascii="仿宋" w:eastAsia="仿宋" w:cs="黑体"/>
                <w:sz w:val="24"/>
                <w:szCs w:val="24"/>
                <w:lang w:eastAsia="zh-Hans"/>
              </w:rPr>
              <w:t>.</w:t>
            </w:r>
            <w:r>
              <w:rPr>
                <w:rFonts w:hint="eastAsia" w:ascii="仿宋" w:eastAsia="仿宋" w:cs="黑体"/>
                <w:sz w:val="24"/>
                <w:szCs w:val="24"/>
                <w:lang w:val="en-US" w:eastAsia="zh-Hans"/>
              </w:rPr>
              <w:t>北京</w:t>
            </w:r>
            <w:r>
              <w:rPr>
                <w:rFonts w:hint="eastAsia" w:ascii="仿宋" w:eastAsia="仿宋" w:cs="黑体"/>
                <w:sz w:val="24"/>
                <w:szCs w:val="24"/>
                <w:lang w:eastAsia="zh-Hans"/>
              </w:rPr>
              <w:t>:</w:t>
            </w:r>
            <w:r>
              <w:rPr>
                <w:rFonts w:hint="eastAsia" w:ascii="仿宋" w:eastAsia="仿宋" w:cs="黑体"/>
                <w:sz w:val="24"/>
                <w:szCs w:val="24"/>
                <w:lang w:val="en-US" w:eastAsia="zh-Hans"/>
              </w:rPr>
              <w:t>知识产权出版社</w:t>
            </w:r>
            <w:r>
              <w:rPr>
                <w:rFonts w:hint="eastAsia" w:ascii="仿宋" w:eastAsia="仿宋" w:cs="黑体"/>
                <w:sz w:val="24"/>
                <w:szCs w:val="24"/>
                <w:lang w:eastAsia="zh-Hans"/>
              </w:rPr>
              <w:t>,2017.</w:t>
            </w:r>
          </w:p>
          <w:p w14:paraId="2275C613">
            <w:pPr>
              <w:pageBreakBefore w:val="0"/>
              <w:kinsoku/>
              <w:overflowPunct/>
              <w:topLinePunct w:val="0"/>
              <w:bidi w:val="0"/>
              <w:adjustRightInd w:val="0"/>
              <w:snapToGrid w:val="0"/>
              <w:spacing w:line="240" w:lineRule="auto"/>
              <w:rPr>
                <w:rFonts w:hint="eastAsia" w:ascii="仿宋" w:eastAsia="仿宋" w:cs="黑体"/>
                <w:sz w:val="24"/>
                <w:szCs w:val="24"/>
                <w:lang w:eastAsia="zh-Hans"/>
              </w:rPr>
            </w:pPr>
            <w:r>
              <w:rPr>
                <w:rFonts w:hint="eastAsia" w:ascii="仿宋" w:eastAsia="仿宋" w:cs="黑体"/>
                <w:sz w:val="24"/>
                <w:szCs w:val="24"/>
                <w:lang w:val="en-US" w:eastAsia="zh-CN"/>
              </w:rPr>
              <w:t>4.尹爱青.音乐课程与教学论(第二版).长春:东北师范大学出版社,2019.</w:t>
            </w:r>
          </w:p>
          <w:p w14:paraId="29E88715">
            <w:pPr>
              <w:pageBreakBefore w:val="0"/>
              <w:kinsoku/>
              <w:overflowPunct/>
              <w:topLinePunct w:val="0"/>
              <w:bidi w:val="0"/>
              <w:adjustRightInd w:val="0"/>
              <w:snapToGrid w:val="0"/>
              <w:spacing w:line="240" w:lineRule="auto"/>
              <w:rPr>
                <w:rFonts w:hint="eastAsia" w:ascii="仿宋" w:eastAsia="仿宋" w:cs="黑体"/>
                <w:sz w:val="24"/>
                <w:szCs w:val="24"/>
                <w:lang w:val="en-US" w:eastAsia="zh-CN"/>
              </w:rPr>
            </w:pPr>
            <w:r>
              <w:rPr>
                <w:rFonts w:hint="eastAsia" w:ascii="仿宋" w:eastAsia="仿宋" w:cs="黑体"/>
                <w:sz w:val="24"/>
                <w:szCs w:val="24"/>
                <w:lang w:val="en-US" w:eastAsia="zh-CN"/>
              </w:rPr>
              <w:t>5.中华人民共和国教育部制定.义务教育艺术课程标准(2022年版).北京:北京师范大学出版社,2022.</w:t>
            </w:r>
          </w:p>
          <w:p w14:paraId="7829C997">
            <w:pPr>
              <w:pageBreakBefore w:val="0"/>
              <w:kinsoku/>
              <w:overflowPunct/>
              <w:topLinePunct w:val="0"/>
              <w:bidi w:val="0"/>
              <w:adjustRightInd w:val="0"/>
              <w:snapToGrid w:val="0"/>
              <w:spacing w:line="240" w:lineRule="auto"/>
              <w:rPr>
                <w:rFonts w:hint="eastAsia" w:ascii="仿宋" w:eastAsia="仿宋" w:cs="黑体"/>
                <w:sz w:val="24"/>
                <w:szCs w:val="24"/>
              </w:rPr>
            </w:pPr>
            <w:r>
              <w:rPr>
                <w:rFonts w:hint="eastAsia" w:ascii="仿宋" w:eastAsia="仿宋" w:cs="黑体"/>
                <w:sz w:val="24"/>
                <w:szCs w:val="24"/>
                <w:lang w:val="en-US" w:eastAsia="zh-CN"/>
              </w:rPr>
              <w:t>6.杜宏斌.新版课程标准解析与教学指导2022年版音乐.北京:北京师范大学出版社,2022.</w:t>
            </w:r>
          </w:p>
        </w:tc>
      </w:tr>
      <w:tr w14:paraId="1FF20B7C">
        <w:trPr>
          <w:trHeight w:val="624" w:hRule="atLeast"/>
        </w:trPr>
        <w:tc>
          <w:tcPr>
            <w:tcW w:w="1375" w:type="dxa"/>
            <w:tcBorders>
              <w:bottom w:val="single" w:color="auto" w:sz="4" w:space="0"/>
            </w:tcBorders>
            <w:noWrap w:val="0"/>
            <w:vAlign w:val="center"/>
          </w:tcPr>
          <w:p w14:paraId="698D8B9D">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C</w:t>
            </w:r>
          </w:p>
          <w:p w14:paraId="75D9E995">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线上学习资源</w:t>
            </w:r>
          </w:p>
        </w:tc>
        <w:tc>
          <w:tcPr>
            <w:tcW w:w="7771" w:type="dxa"/>
            <w:gridSpan w:val="12"/>
            <w:tcBorders>
              <w:bottom w:val="single" w:color="auto" w:sz="4" w:space="0"/>
            </w:tcBorders>
            <w:noWrap w:val="0"/>
            <w:vAlign w:val="center"/>
          </w:tcPr>
          <w:p w14:paraId="08D58DF3">
            <w:pPr>
              <w:pageBreakBefore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1.</w:t>
            </w:r>
            <w:r>
              <w:rPr>
                <w:rFonts w:hint="eastAsia" w:ascii="仿宋" w:eastAsia="仿宋" w:cs="宋体"/>
                <w:sz w:val="24"/>
                <w:szCs w:val="24"/>
              </w:rPr>
              <w:t>中小学优质课</w:t>
            </w:r>
            <w:r>
              <w:rPr>
                <w:rFonts w:hint="eastAsia" w:ascii="仿宋" w:eastAsia="仿宋" w:cs="宋体"/>
                <w:sz w:val="24"/>
                <w:szCs w:val="24"/>
                <w:lang w:eastAsia="zh-Hans"/>
              </w:rPr>
              <w:t>视频</w:t>
            </w:r>
            <w:r>
              <w:rPr>
                <w:rFonts w:hint="eastAsia" w:ascii="仿宋" w:eastAsia="仿宋" w:cs="仿宋"/>
                <w:sz w:val="24"/>
                <w:szCs w:val="24"/>
              </w:rPr>
              <w:t>。</w:t>
            </w:r>
          </w:p>
          <w:p w14:paraId="220A41AD">
            <w:pPr>
              <w:pageBreakBefore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2.中国大学MOOC平台《</w:t>
            </w:r>
            <w:r>
              <w:rPr>
                <w:rFonts w:hint="eastAsia" w:ascii="仿宋" w:eastAsia="仿宋" w:cs="仿宋"/>
                <w:sz w:val="24"/>
                <w:szCs w:val="24"/>
                <w:lang w:eastAsia="zh-Hans"/>
              </w:rPr>
              <w:t>音乐课堂教学课例评析与研究</w:t>
            </w:r>
            <w:r>
              <w:rPr>
                <w:rFonts w:hint="eastAsia" w:ascii="仿宋" w:eastAsia="仿宋" w:cs="仿宋"/>
                <w:sz w:val="24"/>
                <w:szCs w:val="24"/>
              </w:rPr>
              <w:t>》（</w:t>
            </w:r>
            <w:r>
              <w:rPr>
                <w:rFonts w:hint="eastAsia" w:ascii="仿宋" w:eastAsia="仿宋" w:cs="仿宋"/>
                <w:sz w:val="24"/>
                <w:szCs w:val="24"/>
                <w:lang w:eastAsia="zh-Hans"/>
              </w:rPr>
              <w:t>东北</w:t>
            </w:r>
            <w:r>
              <w:rPr>
                <w:rFonts w:hint="eastAsia" w:ascii="仿宋" w:eastAsia="仿宋" w:cs="仿宋"/>
                <w:sz w:val="24"/>
                <w:szCs w:val="24"/>
              </w:rPr>
              <w:t xml:space="preserve">师范大学 </w:t>
            </w:r>
            <w:r>
              <w:rPr>
                <w:rFonts w:hint="eastAsia" w:ascii="仿宋" w:eastAsia="仿宋" w:cs="仿宋"/>
                <w:sz w:val="24"/>
                <w:szCs w:val="24"/>
                <w:lang w:eastAsia="zh-Hans"/>
              </w:rPr>
              <w:t>尹爱青</w:t>
            </w:r>
            <w:r>
              <w:rPr>
                <w:rFonts w:hint="eastAsia" w:ascii="仿宋" w:eastAsia="仿宋" w:cs="仿宋"/>
                <w:sz w:val="24"/>
                <w:szCs w:val="24"/>
              </w:rPr>
              <w:t>）。</w:t>
            </w:r>
          </w:p>
          <w:p w14:paraId="6D5DC298">
            <w:pPr>
              <w:pageBreakBefore w:val="0"/>
              <w:kinsoku/>
              <w:overflowPunct/>
              <w:topLinePunct w:val="0"/>
              <w:bidi w:val="0"/>
              <w:adjustRightInd w:val="0"/>
              <w:snapToGrid w:val="0"/>
              <w:spacing w:line="240" w:lineRule="auto"/>
              <w:rPr>
                <w:rFonts w:hint="default" w:ascii="仿宋" w:eastAsia="仿宋" w:cs="仿宋"/>
                <w:sz w:val="24"/>
                <w:szCs w:val="24"/>
                <w:lang w:val="en-US" w:eastAsia="zh-CN"/>
              </w:rPr>
            </w:pPr>
            <w:r>
              <w:rPr>
                <w:rFonts w:hint="eastAsia" w:ascii="仿宋" w:eastAsia="仿宋" w:cs="仿宋"/>
                <w:sz w:val="24"/>
                <w:szCs w:val="24"/>
                <w:lang w:val="en-US" w:eastAsia="zh-CN"/>
              </w:rPr>
              <w:t>3.“音为有爱”、“幸会音乐”等优秀微信公众号的课例解析。</w:t>
            </w:r>
          </w:p>
        </w:tc>
      </w:tr>
      <w:tr w14:paraId="6F40747C">
        <w:trPr>
          <w:trHeight w:val="624" w:hRule="atLeast"/>
        </w:trPr>
        <w:tc>
          <w:tcPr>
            <w:tcW w:w="1375" w:type="dxa"/>
            <w:shd w:val="clear" w:color="auto" w:fill="FFFFFF"/>
            <w:noWrap w:val="0"/>
            <w:vAlign w:val="center"/>
          </w:tcPr>
          <w:p w14:paraId="2C602D5C">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D</w:t>
            </w:r>
          </w:p>
          <w:p w14:paraId="0D4DF2BA">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 xml:space="preserve">课程描述 </w:t>
            </w:r>
          </w:p>
          <w:p w14:paraId="12E35662">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lang w:eastAsia="zh-TW"/>
              </w:rPr>
              <w:t>(</w:t>
            </w:r>
            <w:r>
              <w:rPr>
                <w:rFonts w:hint="eastAsia" w:ascii="仿宋" w:eastAsia="仿宋" w:cs="仿宋"/>
                <w:sz w:val="24"/>
                <w:szCs w:val="24"/>
              </w:rPr>
              <w:t>含</w:t>
            </w:r>
            <w:r>
              <w:rPr>
                <w:rFonts w:hint="eastAsia" w:ascii="仿宋" w:eastAsia="仿宋" w:cs="仿宋"/>
                <w:sz w:val="24"/>
                <w:szCs w:val="24"/>
                <w:lang w:eastAsia="zh-TW"/>
              </w:rPr>
              <w:t>性质、地位和任务)</w:t>
            </w:r>
          </w:p>
        </w:tc>
        <w:tc>
          <w:tcPr>
            <w:tcW w:w="7771" w:type="dxa"/>
            <w:gridSpan w:val="12"/>
            <w:tcBorders>
              <w:bottom w:val="single" w:color="auto" w:sz="4" w:space="0"/>
            </w:tcBorders>
            <w:shd w:val="clear" w:color="auto" w:fill="FFFFFF"/>
            <w:noWrap w:val="0"/>
            <w:vAlign w:val="center"/>
          </w:tcPr>
          <w:p w14:paraId="0C64F90C">
            <w:pPr>
              <w:pageBreakBefore w:val="0"/>
              <w:kinsoku/>
              <w:overflowPunct/>
              <w:topLinePunct w:val="0"/>
              <w:bidi w:val="0"/>
              <w:adjustRightInd w:val="0"/>
              <w:snapToGrid w:val="0"/>
              <w:spacing w:line="240" w:lineRule="auto"/>
              <w:rPr>
                <w:rFonts w:hint="eastAsia" w:ascii="仿宋" w:eastAsia="仿宋" w:cs="宋体"/>
                <w:sz w:val="24"/>
                <w:szCs w:val="24"/>
              </w:rPr>
            </w:pPr>
            <w:r>
              <w:rPr>
                <w:rFonts w:hint="eastAsia" w:ascii="仿宋" w:eastAsia="仿宋" w:cs="宋体"/>
                <w:sz w:val="24"/>
                <w:szCs w:val="24"/>
                <w:lang w:eastAsia="zh-CN"/>
              </w:rPr>
              <w:t>本课程属于学科教育学的范畴,是我国普通高等学校音乐学（教师教育）本科专业的必修课程。本课程主要以中</w:t>
            </w:r>
            <w:r>
              <w:rPr>
                <w:rFonts w:hint="eastAsia" w:ascii="仿宋" w:eastAsia="仿宋" w:cs="宋体"/>
                <w:sz w:val="24"/>
                <w:szCs w:val="24"/>
                <w:lang w:val="en-US" w:eastAsia="zh-CN"/>
              </w:rPr>
              <w:t>小</w:t>
            </w:r>
            <w:r>
              <w:rPr>
                <w:rFonts w:hint="eastAsia" w:ascii="仿宋" w:eastAsia="仿宋" w:cs="宋体"/>
                <w:sz w:val="24"/>
                <w:szCs w:val="24"/>
                <w:lang w:eastAsia="zh-CN"/>
              </w:rPr>
              <w:t>学音乐教育为研究对象，培养学生能依据《义务教育</w:t>
            </w:r>
            <w:r>
              <w:rPr>
                <w:rFonts w:hint="eastAsia" w:ascii="仿宋" w:eastAsia="仿宋" w:cs="宋体"/>
                <w:sz w:val="24"/>
                <w:szCs w:val="24"/>
                <w:lang w:val="en-US" w:eastAsia="zh-CN"/>
              </w:rPr>
              <w:t>艺术</w:t>
            </w:r>
            <w:r>
              <w:rPr>
                <w:rFonts w:hint="eastAsia" w:ascii="仿宋" w:eastAsia="仿宋" w:cs="宋体"/>
                <w:sz w:val="24"/>
                <w:szCs w:val="24"/>
                <w:lang w:eastAsia="zh-CN"/>
              </w:rPr>
              <w:t>课程标准（20</w:t>
            </w:r>
            <w:r>
              <w:rPr>
                <w:rFonts w:hint="eastAsia" w:ascii="仿宋" w:eastAsia="仿宋" w:cs="宋体"/>
                <w:sz w:val="24"/>
                <w:szCs w:val="24"/>
                <w:lang w:val="en-US" w:eastAsia="zh-CN"/>
              </w:rPr>
              <w:t>22</w:t>
            </w:r>
            <w:r>
              <w:rPr>
                <w:rFonts w:hint="eastAsia" w:ascii="仿宋" w:eastAsia="仿宋" w:cs="宋体"/>
                <w:sz w:val="24"/>
                <w:szCs w:val="24"/>
                <w:lang w:eastAsia="zh-CN"/>
              </w:rPr>
              <w:t>年版）》和中学音乐教材，进行课堂教学设计，能够运用多种教学方法和手段实施教学，</w:t>
            </w:r>
            <w:r>
              <w:rPr>
                <w:rFonts w:hint="eastAsia" w:ascii="仿宋" w:eastAsia="仿宋" w:cs="宋体"/>
                <w:sz w:val="24"/>
                <w:szCs w:val="24"/>
                <w:lang w:val="en-US" w:eastAsia="zh-CN"/>
              </w:rPr>
              <w:t>在教学中坚定</w:t>
            </w:r>
            <w:r>
              <w:rPr>
                <w:rFonts w:hint="eastAsia" w:ascii="仿宋" w:eastAsia="仿宋" w:cs="宋体"/>
                <w:sz w:val="24"/>
                <w:szCs w:val="24"/>
                <w:lang w:eastAsia="zh-CN"/>
              </w:rPr>
              <w:t>文化自信，</w:t>
            </w:r>
            <w:r>
              <w:rPr>
                <w:rFonts w:hint="eastAsia" w:ascii="仿宋" w:eastAsia="仿宋" w:cs="宋体"/>
                <w:sz w:val="24"/>
                <w:szCs w:val="24"/>
                <w:lang w:val="en-US" w:eastAsia="zh-CN"/>
              </w:rPr>
              <w:t>传承中华优秀音乐文化，弘扬践行中华美育精神。</w:t>
            </w:r>
            <w:r>
              <w:rPr>
                <w:rFonts w:hint="eastAsia" w:ascii="仿宋" w:eastAsia="仿宋" w:cs="宋体"/>
                <w:sz w:val="24"/>
                <w:szCs w:val="24"/>
                <w:lang w:eastAsia="zh-CN"/>
              </w:rPr>
              <w:t>具有正确的音乐教学评价观，具备组织与调控课堂教学的基本能力，能对音乐教学活动进行反思并提出改进措施与方法。</w:t>
            </w:r>
          </w:p>
        </w:tc>
      </w:tr>
      <w:tr w14:paraId="4E0F1173">
        <w:trPr>
          <w:trHeight w:val="624" w:hRule="atLeast"/>
        </w:trPr>
        <w:tc>
          <w:tcPr>
            <w:tcW w:w="1375" w:type="dxa"/>
            <w:vMerge w:val="restart"/>
            <w:shd w:val="clear" w:color="auto" w:fill="FFFFFF"/>
            <w:noWrap w:val="0"/>
            <w:vAlign w:val="center"/>
          </w:tcPr>
          <w:p w14:paraId="1257563F">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E</w:t>
            </w:r>
          </w:p>
          <w:p w14:paraId="26CA6644">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课程学习目标及其与毕业要求的对应关系</w:t>
            </w:r>
          </w:p>
        </w:tc>
        <w:tc>
          <w:tcPr>
            <w:tcW w:w="7771" w:type="dxa"/>
            <w:gridSpan w:val="12"/>
            <w:tcBorders>
              <w:bottom w:val="single" w:color="auto" w:sz="4" w:space="0"/>
            </w:tcBorders>
            <w:shd w:val="clear" w:color="auto" w:fill="FFFFFF"/>
            <w:noWrap w:val="0"/>
            <w:vAlign w:val="center"/>
          </w:tcPr>
          <w:p w14:paraId="1661D8FD">
            <w:pPr>
              <w:pageBreakBefore w:val="0"/>
              <w:kinsoku/>
              <w:overflowPunct/>
              <w:topLinePunct w:val="0"/>
              <w:bidi w:val="0"/>
              <w:adjustRightInd w:val="0"/>
              <w:snapToGrid w:val="0"/>
              <w:spacing w:line="240" w:lineRule="auto"/>
              <w:jc w:val="left"/>
              <w:rPr>
                <w:rFonts w:hint="eastAsia" w:ascii="仿宋" w:eastAsia="仿宋" w:cs="仿宋"/>
                <w:sz w:val="24"/>
                <w:szCs w:val="24"/>
              </w:rPr>
            </w:pPr>
            <w:r>
              <w:rPr>
                <w:rFonts w:hint="eastAsia" w:ascii="仿宋" w:eastAsia="仿宋" w:cs="仿宋"/>
                <w:sz w:val="24"/>
                <w:szCs w:val="24"/>
              </w:rPr>
              <w:t>通过本课程的学习，学生具备如下知识、能力及情感态度价值观：</w:t>
            </w:r>
          </w:p>
          <w:p w14:paraId="1AE61EDA">
            <w:pPr>
              <w:pageBreakBefore w:val="0"/>
              <w:kinsoku/>
              <w:overflowPunct/>
              <w:topLinePunct w:val="0"/>
              <w:bidi w:val="0"/>
              <w:adjustRightInd w:val="0"/>
              <w:snapToGrid w:val="0"/>
              <w:spacing w:line="240" w:lineRule="auto"/>
              <w:rPr>
                <w:rStyle w:val="382"/>
                <w:rFonts w:hint="eastAsia" w:ascii="仿宋" w:eastAsia="仿宋"/>
                <w:sz w:val="24"/>
                <w:szCs w:val="24"/>
              </w:rPr>
            </w:pPr>
            <w:r>
              <w:rPr>
                <w:rFonts w:hint="eastAsia" w:ascii="仿宋" w:eastAsia="仿宋" w:cs="仿宋"/>
                <w:sz w:val="24"/>
                <w:szCs w:val="24"/>
              </w:rPr>
              <w:t>课程目标1</w:t>
            </w:r>
            <w:r>
              <w:rPr>
                <w:rFonts w:hint="default" w:ascii="仿宋" w:eastAsia="仿宋" w:cs="仿宋"/>
                <w:sz w:val="24"/>
                <w:szCs w:val="24"/>
              </w:rPr>
              <w:t>：</w:t>
            </w:r>
            <w:r>
              <w:rPr>
                <w:rFonts w:hint="eastAsia" w:ascii="仿宋" w:eastAsia="仿宋" w:cs="仿宋"/>
                <w:sz w:val="24"/>
                <w:szCs w:val="24"/>
              </w:rPr>
              <w:t>能</w:t>
            </w:r>
            <w:r>
              <w:rPr>
                <w:rStyle w:val="382"/>
                <w:rFonts w:hint="eastAsia" w:ascii="仿宋" w:eastAsia="仿宋"/>
                <w:sz w:val="24"/>
                <w:szCs w:val="24"/>
                <w:lang w:eastAsia="zh-Hans"/>
              </w:rPr>
              <w:t>将音乐教育基础知识、基本技能与教育学、心理学、学科教学论</w:t>
            </w:r>
            <w:r>
              <w:rPr>
                <w:rStyle w:val="382"/>
                <w:rFonts w:hint="eastAsia" w:ascii="仿宋" w:eastAsia="仿宋"/>
                <w:sz w:val="24"/>
                <w:szCs w:val="24"/>
              </w:rPr>
              <w:t>等</w:t>
            </w:r>
            <w:r>
              <w:rPr>
                <w:rStyle w:val="382"/>
                <w:rFonts w:hint="eastAsia" w:ascii="仿宋" w:eastAsia="仿宋"/>
                <w:sz w:val="24"/>
                <w:szCs w:val="24"/>
                <w:lang w:eastAsia="zh-Hans"/>
              </w:rPr>
              <w:t>知识相融合，形成综合的音乐教育教学知识体系，并具备</w:t>
            </w:r>
            <w:r>
              <w:rPr>
                <w:rStyle w:val="382"/>
                <w:rFonts w:hint="eastAsia" w:ascii="仿宋" w:eastAsia="仿宋"/>
                <w:sz w:val="24"/>
                <w:szCs w:val="24"/>
              </w:rPr>
              <w:t>一定</w:t>
            </w:r>
            <w:r>
              <w:rPr>
                <w:rStyle w:val="382"/>
                <w:rFonts w:hint="eastAsia" w:ascii="仿宋" w:eastAsia="仿宋"/>
                <w:sz w:val="24"/>
                <w:szCs w:val="24"/>
                <w:lang w:eastAsia="zh-Hans"/>
              </w:rPr>
              <w:t>的综合分析能力与运用能力。（</w:t>
            </w:r>
            <w:r>
              <w:rPr>
                <w:rFonts w:hint="eastAsia" w:ascii="仿宋" w:eastAsia="仿宋" w:cs="仿宋"/>
                <w:sz w:val="24"/>
                <w:szCs w:val="24"/>
              </w:rPr>
              <w:t>支撑毕业要求</w:t>
            </w:r>
            <w:r>
              <w:rPr>
                <w:rStyle w:val="382"/>
                <w:rFonts w:hint="eastAsia" w:ascii="仿宋" w:eastAsia="仿宋"/>
                <w:sz w:val="24"/>
                <w:szCs w:val="24"/>
              </w:rPr>
              <w:t>3</w:t>
            </w:r>
            <w:r>
              <w:rPr>
                <w:rStyle w:val="382"/>
                <w:rFonts w:hint="eastAsia" w:ascii="仿宋" w:eastAsia="仿宋"/>
                <w:sz w:val="24"/>
                <w:szCs w:val="24"/>
                <w:lang w:eastAsia="zh-Hans"/>
              </w:rPr>
              <w:t>.3）</w:t>
            </w:r>
          </w:p>
          <w:p w14:paraId="479440DF">
            <w:pPr>
              <w:pageBreakBefore w:val="0"/>
              <w:widowControl/>
              <w:kinsoku/>
              <w:overflowPunct/>
              <w:topLinePunct w:val="0"/>
              <w:bidi w:val="0"/>
              <w:adjustRightInd w:val="0"/>
              <w:snapToGrid w:val="0"/>
              <w:spacing w:line="240" w:lineRule="auto"/>
              <w:rPr>
                <w:rStyle w:val="382"/>
                <w:rFonts w:hint="eastAsia" w:ascii="仿宋" w:eastAsia="仿宋"/>
                <w:sz w:val="24"/>
                <w:szCs w:val="24"/>
              </w:rPr>
            </w:pPr>
            <w:r>
              <w:rPr>
                <w:rStyle w:val="382"/>
                <w:rFonts w:hint="eastAsia" w:ascii="仿宋" w:eastAsia="仿宋"/>
                <w:sz w:val="24"/>
                <w:szCs w:val="24"/>
                <w:lang w:eastAsia="zh-Hans"/>
              </w:rPr>
              <w:t>课程目标2</w:t>
            </w:r>
            <w:r>
              <w:rPr>
                <w:rStyle w:val="382"/>
                <w:rFonts w:hint="default" w:ascii="仿宋" w:eastAsia="仿宋"/>
                <w:sz w:val="24"/>
                <w:szCs w:val="24"/>
                <w:lang w:eastAsia="zh-Hans"/>
              </w:rPr>
              <w:t>：</w:t>
            </w:r>
            <w:r>
              <w:rPr>
                <w:rFonts w:hint="eastAsia" w:ascii="仿宋" w:eastAsia="仿宋" w:cs="仿宋"/>
                <w:sz w:val="24"/>
                <w:szCs w:val="24"/>
                <w:lang w:eastAsia="zh-Hans"/>
              </w:rPr>
              <w:t>熟悉中学音乐课程标准和教材，能够正确处理课标和教材的关系，</w:t>
            </w:r>
            <w:r>
              <w:rPr>
                <w:rFonts w:hint="eastAsia" w:ascii="仿宋" w:eastAsia="仿宋" w:cs="仿宋"/>
                <w:sz w:val="24"/>
                <w:szCs w:val="24"/>
              </w:rPr>
              <w:t>具备</w:t>
            </w:r>
            <w:r>
              <w:rPr>
                <w:rFonts w:hint="eastAsia" w:ascii="仿宋" w:eastAsia="仿宋" w:cs="仿宋"/>
                <w:sz w:val="24"/>
                <w:szCs w:val="24"/>
                <w:lang w:eastAsia="zh-Hans"/>
              </w:rPr>
              <w:t>正确</w:t>
            </w:r>
            <w:r>
              <w:rPr>
                <w:rFonts w:hint="eastAsia" w:ascii="仿宋" w:eastAsia="仿宋" w:cs="仿宋"/>
                <w:sz w:val="24"/>
                <w:szCs w:val="24"/>
              </w:rPr>
              <w:t>分析</w:t>
            </w:r>
            <w:r>
              <w:rPr>
                <w:rFonts w:hint="eastAsia" w:ascii="仿宋" w:eastAsia="仿宋" w:cs="宋体"/>
                <w:sz w:val="24"/>
                <w:szCs w:val="24"/>
                <w:lang w:eastAsia="zh-Hans"/>
              </w:rPr>
              <w:t>学情</w:t>
            </w:r>
            <w:r>
              <w:rPr>
                <w:rFonts w:hint="eastAsia" w:ascii="仿宋" w:eastAsia="仿宋" w:cs="宋体"/>
                <w:sz w:val="24"/>
                <w:szCs w:val="24"/>
              </w:rPr>
              <w:t>与</w:t>
            </w:r>
            <w:r>
              <w:rPr>
                <w:rFonts w:hint="eastAsia" w:ascii="仿宋" w:eastAsia="仿宋" w:cs="宋体"/>
                <w:sz w:val="24"/>
                <w:szCs w:val="24"/>
                <w:lang w:eastAsia="zh-Hans"/>
              </w:rPr>
              <w:t>教材内容</w:t>
            </w:r>
            <w:r>
              <w:rPr>
                <w:rFonts w:hint="eastAsia" w:ascii="仿宋" w:eastAsia="仿宋" w:cs="宋体"/>
                <w:sz w:val="24"/>
                <w:szCs w:val="24"/>
              </w:rPr>
              <w:t>的能力</w:t>
            </w:r>
            <w:r>
              <w:rPr>
                <w:rFonts w:hint="eastAsia" w:ascii="仿宋" w:eastAsia="仿宋" w:cs="宋体"/>
                <w:sz w:val="24"/>
                <w:szCs w:val="24"/>
                <w:lang w:eastAsia="zh-Hans"/>
              </w:rPr>
              <w:t>，在此基础上</w:t>
            </w:r>
            <w:r>
              <w:rPr>
                <w:rFonts w:hint="eastAsia" w:ascii="仿宋" w:eastAsia="仿宋" w:cs="宋体"/>
                <w:sz w:val="24"/>
                <w:szCs w:val="24"/>
              </w:rPr>
              <w:t>进行</w:t>
            </w:r>
            <w:r>
              <w:rPr>
                <w:rFonts w:hint="eastAsia" w:ascii="仿宋" w:eastAsia="仿宋" w:cs="宋体"/>
                <w:sz w:val="24"/>
                <w:szCs w:val="24"/>
                <w:lang w:eastAsia="zh-Hans"/>
              </w:rPr>
              <w:t>科学合理的</w:t>
            </w:r>
            <w:r>
              <w:rPr>
                <w:rFonts w:hint="eastAsia" w:ascii="仿宋" w:eastAsia="仿宋" w:cs="宋体"/>
                <w:sz w:val="24"/>
                <w:szCs w:val="24"/>
              </w:rPr>
              <w:t>课堂教学设计、</w:t>
            </w:r>
            <w:r>
              <w:rPr>
                <w:rFonts w:hint="eastAsia" w:ascii="仿宋" w:eastAsia="仿宋" w:cs="宋体"/>
                <w:sz w:val="24"/>
                <w:szCs w:val="24"/>
                <w:lang w:eastAsia="zh-Hans"/>
              </w:rPr>
              <w:t>教学</w:t>
            </w:r>
            <w:r>
              <w:rPr>
                <w:rFonts w:hint="eastAsia" w:ascii="仿宋" w:eastAsia="仿宋" w:cs="宋体"/>
                <w:sz w:val="24"/>
                <w:szCs w:val="24"/>
              </w:rPr>
              <w:t>实施，</w:t>
            </w:r>
            <w:r>
              <w:rPr>
                <w:rFonts w:hint="eastAsia" w:ascii="仿宋" w:eastAsia="仿宋" w:cs="宋体"/>
                <w:sz w:val="24"/>
                <w:szCs w:val="24"/>
                <w:lang w:eastAsia="zh-Hans"/>
              </w:rPr>
              <w:t>掌握</w:t>
            </w:r>
            <w:r>
              <w:rPr>
                <w:rFonts w:hint="eastAsia" w:ascii="仿宋" w:eastAsia="仿宋" w:cs="宋体"/>
                <w:sz w:val="24"/>
                <w:szCs w:val="24"/>
              </w:rPr>
              <w:t>教学评价</w:t>
            </w:r>
            <w:r>
              <w:rPr>
                <w:rFonts w:hint="eastAsia" w:ascii="仿宋" w:eastAsia="仿宋" w:cs="宋体"/>
                <w:sz w:val="24"/>
                <w:szCs w:val="24"/>
                <w:lang w:eastAsia="zh-Hans"/>
              </w:rPr>
              <w:t>的方法与</w:t>
            </w:r>
            <w:r>
              <w:rPr>
                <w:rFonts w:hint="eastAsia" w:ascii="仿宋" w:eastAsia="仿宋" w:cs="宋体"/>
                <w:sz w:val="24"/>
                <w:szCs w:val="24"/>
              </w:rPr>
              <w:t>说课</w:t>
            </w:r>
            <w:r>
              <w:rPr>
                <w:rFonts w:hint="eastAsia" w:ascii="仿宋" w:eastAsia="仿宋" w:cs="宋体"/>
                <w:sz w:val="24"/>
                <w:szCs w:val="24"/>
                <w:lang w:eastAsia="zh-Hans"/>
              </w:rPr>
              <w:t>的基本要求</w:t>
            </w:r>
            <w:r>
              <w:rPr>
                <w:rFonts w:hint="eastAsia" w:ascii="仿宋" w:eastAsia="仿宋" w:cs="宋体"/>
                <w:sz w:val="24"/>
                <w:szCs w:val="24"/>
              </w:rPr>
              <w:t>。</w:t>
            </w:r>
            <w:r>
              <w:rPr>
                <w:rFonts w:hint="eastAsia" w:ascii="仿宋" w:eastAsia="仿宋" w:cs="仿宋"/>
                <w:sz w:val="24"/>
                <w:szCs w:val="24"/>
              </w:rPr>
              <w:t>（支撑毕业要求4</w:t>
            </w:r>
            <w:r>
              <w:rPr>
                <w:rFonts w:hint="eastAsia" w:ascii="仿宋" w:eastAsia="仿宋" w:cs="仿宋"/>
                <w:sz w:val="24"/>
                <w:szCs w:val="24"/>
                <w:lang w:eastAsia="zh-Hans"/>
              </w:rPr>
              <w:t>.1</w:t>
            </w:r>
            <w:r>
              <w:rPr>
                <w:rFonts w:hint="eastAsia" w:ascii="仿宋" w:eastAsia="仿宋" w:cs="仿宋"/>
                <w:sz w:val="24"/>
                <w:szCs w:val="24"/>
              </w:rPr>
              <w:t>）</w:t>
            </w:r>
          </w:p>
          <w:p w14:paraId="2C026033">
            <w:pPr>
              <w:pageBreakBefore w:val="0"/>
              <w:kinsoku/>
              <w:overflowPunct/>
              <w:topLinePunct w:val="0"/>
              <w:bidi w:val="0"/>
              <w:snapToGrid w:val="0"/>
              <w:spacing w:line="240" w:lineRule="auto"/>
              <w:jc w:val="left"/>
              <w:rPr>
                <w:rFonts w:hint="eastAsia" w:ascii="仿宋" w:eastAsia="仿宋" w:cs="仿宋"/>
                <w:sz w:val="24"/>
                <w:szCs w:val="24"/>
              </w:rPr>
            </w:pPr>
            <w:r>
              <w:rPr>
                <w:rFonts w:hint="eastAsia" w:ascii="仿宋" w:eastAsia="仿宋" w:cs="仿宋"/>
                <w:sz w:val="24"/>
                <w:szCs w:val="24"/>
              </w:rPr>
              <w:t>课程目标3：</w:t>
            </w:r>
            <w:r>
              <w:rPr>
                <w:rStyle w:val="379"/>
                <w:rFonts w:hint="eastAsia" w:ascii="仿宋" w:eastAsia="仿宋"/>
                <w:sz w:val="24"/>
                <w:szCs w:val="24"/>
              </w:rPr>
              <w:t>具有终身学习和专业发展意识，自觉进行反思型准教师的自我塑造，在</w:t>
            </w:r>
            <w:r>
              <w:rPr>
                <w:rStyle w:val="379"/>
                <w:rFonts w:hint="eastAsia" w:ascii="仿宋" w:eastAsia="仿宋"/>
                <w:sz w:val="24"/>
                <w:szCs w:val="24"/>
                <w:lang w:eastAsia="zh-Hans"/>
              </w:rPr>
              <w:t>音乐教育教学</w:t>
            </w:r>
            <w:r>
              <w:rPr>
                <w:rStyle w:val="379"/>
                <w:rFonts w:hint="eastAsia" w:ascii="仿宋" w:eastAsia="仿宋"/>
                <w:sz w:val="24"/>
                <w:szCs w:val="24"/>
              </w:rPr>
              <w:t>实践过程中学会总结和反思，能用创新思维</w:t>
            </w:r>
            <w:r>
              <w:rPr>
                <w:rFonts w:hint="eastAsia" w:ascii="仿宋" w:eastAsia="仿宋" w:cs="宋体"/>
                <w:sz w:val="24"/>
                <w:szCs w:val="24"/>
              </w:rPr>
              <w:t>对自己与他人的教学提出改进措施与方法。</w:t>
            </w:r>
            <w:r>
              <w:rPr>
                <w:rFonts w:hint="eastAsia" w:ascii="仿宋" w:eastAsia="仿宋" w:cs="仿宋"/>
                <w:sz w:val="24"/>
                <w:szCs w:val="24"/>
              </w:rPr>
              <w:t>（支撑毕业要求7</w:t>
            </w:r>
            <w:r>
              <w:rPr>
                <w:rFonts w:hint="eastAsia" w:ascii="仿宋" w:eastAsia="仿宋" w:cs="仿宋"/>
                <w:sz w:val="24"/>
                <w:szCs w:val="24"/>
                <w:lang w:eastAsia="zh-Hans"/>
              </w:rPr>
              <w:t>.1</w:t>
            </w:r>
            <w:r>
              <w:rPr>
                <w:rFonts w:hint="eastAsia" w:ascii="仿宋" w:eastAsia="仿宋" w:cs="仿宋"/>
                <w:sz w:val="24"/>
                <w:szCs w:val="24"/>
              </w:rPr>
              <w:t>）</w:t>
            </w:r>
          </w:p>
        </w:tc>
      </w:tr>
      <w:tr w14:paraId="1D9DEF2C">
        <w:trPr>
          <w:trHeight w:val="624" w:hRule="atLeast"/>
        </w:trPr>
        <w:tc>
          <w:tcPr>
            <w:tcW w:w="1375" w:type="dxa"/>
            <w:vMerge w:val="continue"/>
            <w:shd w:val="clear" w:color="auto" w:fill="FFFFFF"/>
            <w:noWrap w:val="0"/>
            <w:vAlign w:val="center"/>
          </w:tcPr>
          <w:p w14:paraId="2F89EF47">
            <w:pPr>
              <w:pageBreakBefore w:val="0"/>
              <w:kinsoku/>
              <w:overflowPunct/>
              <w:topLinePunct w:val="0"/>
              <w:bidi w:val="0"/>
              <w:spacing w:line="240" w:lineRule="auto"/>
            </w:pPr>
          </w:p>
        </w:tc>
        <w:tc>
          <w:tcPr>
            <w:tcW w:w="1421" w:type="dxa"/>
            <w:gridSpan w:val="2"/>
            <w:tcBorders>
              <w:bottom w:val="single" w:color="auto" w:sz="4" w:space="0"/>
            </w:tcBorders>
            <w:shd w:val="clear" w:color="auto" w:fill="FFFFFF"/>
            <w:noWrap w:val="0"/>
            <w:vAlign w:val="center"/>
          </w:tcPr>
          <w:p w14:paraId="646EA2FD">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课程目标</w:t>
            </w:r>
          </w:p>
        </w:tc>
        <w:tc>
          <w:tcPr>
            <w:tcW w:w="4981" w:type="dxa"/>
            <w:gridSpan w:val="8"/>
            <w:tcBorders>
              <w:bottom w:val="single" w:color="auto" w:sz="4" w:space="0"/>
            </w:tcBorders>
            <w:shd w:val="clear" w:color="auto" w:fill="FFFFFF"/>
            <w:noWrap w:val="0"/>
            <w:vAlign w:val="center"/>
          </w:tcPr>
          <w:p w14:paraId="17D7E66A">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毕业要求分解指标点</w:t>
            </w:r>
          </w:p>
        </w:tc>
        <w:tc>
          <w:tcPr>
            <w:tcW w:w="1369" w:type="dxa"/>
            <w:gridSpan w:val="2"/>
            <w:tcBorders>
              <w:bottom w:val="single" w:color="auto" w:sz="4" w:space="0"/>
            </w:tcBorders>
            <w:shd w:val="clear" w:color="auto" w:fill="FFFFFF"/>
            <w:noWrap w:val="0"/>
            <w:vAlign w:val="center"/>
          </w:tcPr>
          <w:p w14:paraId="4ECF978C">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毕业要求</w:t>
            </w:r>
          </w:p>
        </w:tc>
      </w:tr>
      <w:tr w14:paraId="514964E9">
        <w:trPr>
          <w:trHeight w:val="624" w:hRule="atLeast"/>
        </w:trPr>
        <w:tc>
          <w:tcPr>
            <w:tcW w:w="1375" w:type="dxa"/>
            <w:vMerge w:val="continue"/>
            <w:shd w:val="clear" w:color="auto" w:fill="FFFFFF"/>
            <w:noWrap w:val="0"/>
            <w:vAlign w:val="center"/>
          </w:tcPr>
          <w:p w14:paraId="43863674">
            <w:pPr>
              <w:pageBreakBefore w:val="0"/>
              <w:kinsoku/>
              <w:overflowPunct/>
              <w:topLinePunct w:val="0"/>
              <w:bidi w:val="0"/>
              <w:spacing w:line="240" w:lineRule="auto"/>
            </w:pPr>
          </w:p>
        </w:tc>
        <w:tc>
          <w:tcPr>
            <w:tcW w:w="1421" w:type="dxa"/>
            <w:gridSpan w:val="2"/>
            <w:tcBorders>
              <w:bottom w:val="single" w:color="auto" w:sz="4" w:space="0"/>
            </w:tcBorders>
            <w:shd w:val="clear" w:color="auto" w:fill="FFFFFF"/>
            <w:noWrap w:val="0"/>
            <w:vAlign w:val="center"/>
          </w:tcPr>
          <w:p w14:paraId="5B092D95">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课程目标1</w:t>
            </w:r>
          </w:p>
        </w:tc>
        <w:tc>
          <w:tcPr>
            <w:tcW w:w="4981" w:type="dxa"/>
            <w:gridSpan w:val="8"/>
            <w:shd w:val="clear" w:color="auto" w:fill="FFFFFF"/>
            <w:noWrap w:val="0"/>
            <w:vAlign w:val="center"/>
          </w:tcPr>
          <w:p w14:paraId="2DD5CE3D">
            <w:pPr>
              <w:pageBreakBefore w:val="0"/>
              <w:kinsoku/>
              <w:overflowPunct/>
              <w:topLinePunct w:val="0"/>
              <w:bidi w:val="0"/>
              <w:adjustRightInd w:val="0"/>
              <w:snapToGrid w:val="0"/>
              <w:spacing w:line="240" w:lineRule="auto"/>
              <w:rPr>
                <w:rFonts w:hint="eastAsia" w:ascii="仿宋" w:eastAsia="仿宋" w:cs="仿宋"/>
                <w:sz w:val="24"/>
                <w:szCs w:val="24"/>
                <w:lang w:eastAsia="zh-Hans"/>
              </w:rPr>
            </w:pPr>
            <w:r>
              <w:rPr>
                <w:rFonts w:hint="eastAsia" w:ascii="仿宋" w:eastAsia="仿宋" w:cs="仿宋"/>
                <w:sz w:val="24"/>
                <w:szCs w:val="24"/>
                <w:lang w:eastAsia="zh-Hans"/>
              </w:rPr>
              <w:t>3.3【知识整合】具有跨学科意识，了解音乐学科与其他学科的联系，了解融合教育的意义和作用，形成综合性的教育教学知识体系，能整合相关学科知识，运用跨学科知识分析和解决音乐教学中的问题。</w:t>
            </w:r>
          </w:p>
        </w:tc>
        <w:tc>
          <w:tcPr>
            <w:tcW w:w="1369" w:type="dxa"/>
            <w:gridSpan w:val="2"/>
            <w:shd w:val="clear" w:color="auto" w:fill="FFFFFF"/>
            <w:noWrap w:val="0"/>
            <w:vAlign w:val="center"/>
          </w:tcPr>
          <w:p w14:paraId="65A97D6F">
            <w:pPr>
              <w:pageBreakBefore w:val="0"/>
              <w:kinsoku/>
              <w:overflowPunct/>
              <w:topLinePunct w:val="0"/>
              <w:bidi w:val="0"/>
              <w:adjustRightInd w:val="0"/>
              <w:snapToGrid w:val="0"/>
              <w:spacing w:line="240" w:lineRule="auto"/>
              <w:jc w:val="center"/>
              <w:rPr>
                <w:rFonts w:hint="eastAsia" w:ascii="仿宋" w:eastAsia="仿宋" w:cs="仿宋"/>
                <w:sz w:val="24"/>
                <w:szCs w:val="24"/>
                <w:lang w:eastAsia="zh-Hans"/>
              </w:rPr>
            </w:pPr>
            <w:r>
              <w:rPr>
                <w:rFonts w:hint="eastAsia" w:ascii="仿宋" w:eastAsia="仿宋" w:cs="仿宋"/>
                <w:sz w:val="24"/>
                <w:szCs w:val="24"/>
                <w:lang w:eastAsia="zh-Hans"/>
              </w:rPr>
              <w:t>学科素养</w:t>
            </w:r>
          </w:p>
          <w:p w14:paraId="484E630B">
            <w:pPr>
              <w:pageBreakBefore w:val="0"/>
              <w:kinsoku/>
              <w:overflowPunct/>
              <w:topLinePunct w:val="0"/>
              <w:bidi w:val="0"/>
              <w:adjustRightInd w:val="0"/>
              <w:snapToGrid w:val="0"/>
              <w:spacing w:line="240" w:lineRule="auto"/>
              <w:jc w:val="center"/>
              <w:rPr>
                <w:rFonts w:hint="eastAsia" w:ascii="仿宋" w:eastAsia="仿宋" w:cs="仿宋"/>
                <w:sz w:val="24"/>
                <w:szCs w:val="24"/>
                <w:lang w:eastAsia="zh-Hans"/>
              </w:rPr>
            </w:pPr>
            <w:r>
              <w:rPr>
                <w:rFonts w:hint="eastAsia" w:ascii="仿宋" w:eastAsia="仿宋" w:cs="仿宋"/>
                <w:sz w:val="24"/>
                <w:szCs w:val="24"/>
              </w:rPr>
              <w:t>（H）</w:t>
            </w:r>
          </w:p>
        </w:tc>
      </w:tr>
      <w:tr w14:paraId="34B4E331">
        <w:trPr>
          <w:trHeight w:val="624" w:hRule="atLeast"/>
        </w:trPr>
        <w:tc>
          <w:tcPr>
            <w:tcW w:w="1375" w:type="dxa"/>
            <w:vMerge w:val="continue"/>
            <w:shd w:val="clear" w:color="auto" w:fill="FFFFFF"/>
            <w:noWrap w:val="0"/>
            <w:vAlign w:val="center"/>
          </w:tcPr>
          <w:p w14:paraId="78BB0DD0">
            <w:pPr>
              <w:pageBreakBefore w:val="0"/>
              <w:kinsoku/>
              <w:overflowPunct/>
              <w:topLinePunct w:val="0"/>
              <w:bidi w:val="0"/>
              <w:spacing w:line="240" w:lineRule="auto"/>
            </w:pPr>
          </w:p>
        </w:tc>
        <w:tc>
          <w:tcPr>
            <w:tcW w:w="1421" w:type="dxa"/>
            <w:gridSpan w:val="2"/>
            <w:shd w:val="clear" w:color="auto" w:fill="FFFFFF"/>
            <w:noWrap w:val="0"/>
            <w:vAlign w:val="center"/>
          </w:tcPr>
          <w:p w14:paraId="4D4A2E85">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课程目标2</w:t>
            </w:r>
          </w:p>
        </w:tc>
        <w:tc>
          <w:tcPr>
            <w:tcW w:w="4981" w:type="dxa"/>
            <w:gridSpan w:val="8"/>
            <w:shd w:val="clear" w:color="auto" w:fill="FFFFFF"/>
            <w:noWrap w:val="0"/>
            <w:vAlign w:val="center"/>
          </w:tcPr>
          <w:p w14:paraId="618840AF">
            <w:pPr>
              <w:pageBreakBefore w:val="0"/>
              <w:kinsoku/>
              <w:overflowPunct/>
              <w:topLinePunct w:val="0"/>
              <w:bidi w:val="0"/>
              <w:adjustRightInd w:val="0"/>
              <w:snapToGrid w:val="0"/>
              <w:spacing w:line="240" w:lineRule="auto"/>
              <w:jc w:val="left"/>
              <w:rPr>
                <w:rFonts w:hint="eastAsia" w:ascii="仿宋" w:eastAsia="仿宋" w:cs="仿宋"/>
                <w:sz w:val="24"/>
                <w:szCs w:val="24"/>
              </w:rPr>
            </w:pPr>
            <w:r>
              <w:rPr>
                <w:rFonts w:hint="eastAsia" w:ascii="仿宋" w:eastAsia="仿宋" w:cs="仿宋"/>
                <w:sz w:val="24"/>
                <w:szCs w:val="24"/>
              </w:rPr>
              <w:t>4</w:t>
            </w:r>
            <w:r>
              <w:rPr>
                <w:rFonts w:hint="eastAsia" w:ascii="仿宋" w:eastAsia="仿宋" w:cs="仿宋"/>
                <w:sz w:val="24"/>
                <w:szCs w:val="24"/>
                <w:lang w:eastAsia="zh-Hans"/>
              </w:rPr>
              <w:t>.1【教学设计与实施】熟悉中学音乐课程标准和教材，能够正确处理课标和教材的关系，科学合理地进行教学设计并实施教学，准确把握教学内容，分析学情，合理安排教学过程和环节，科学设计评价内容和方式，根据中学生音乐认知的特征和个体差异，注重差异化教学。课后能够及时反思、总结形成初步的教研能力。</w:t>
            </w:r>
          </w:p>
        </w:tc>
        <w:tc>
          <w:tcPr>
            <w:tcW w:w="1369" w:type="dxa"/>
            <w:gridSpan w:val="2"/>
            <w:shd w:val="clear" w:color="auto" w:fill="FFFFFF"/>
            <w:noWrap w:val="0"/>
            <w:vAlign w:val="center"/>
          </w:tcPr>
          <w:p w14:paraId="1016EAE3">
            <w:pPr>
              <w:pageBreakBefore w:val="0"/>
              <w:kinsoku/>
              <w:overflowPunct/>
              <w:topLinePunct w:val="0"/>
              <w:bidi w:val="0"/>
              <w:adjustRightInd w:val="0"/>
              <w:snapToGrid w:val="0"/>
              <w:spacing w:line="240" w:lineRule="auto"/>
              <w:jc w:val="center"/>
              <w:rPr>
                <w:rFonts w:hint="eastAsia" w:ascii="仿宋" w:eastAsia="仿宋" w:cs="仿宋"/>
                <w:sz w:val="24"/>
                <w:szCs w:val="24"/>
                <w:lang w:eastAsia="zh-Hans"/>
              </w:rPr>
            </w:pPr>
            <w:r>
              <w:rPr>
                <w:rFonts w:hint="eastAsia" w:ascii="仿宋" w:eastAsia="仿宋" w:cs="仿宋"/>
                <w:sz w:val="24"/>
                <w:szCs w:val="24"/>
                <w:lang w:eastAsia="zh-Hans"/>
              </w:rPr>
              <w:t>教学能力</w:t>
            </w:r>
          </w:p>
          <w:p w14:paraId="0D299265">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（H）</w:t>
            </w:r>
          </w:p>
        </w:tc>
      </w:tr>
      <w:tr w14:paraId="05BDB2AE">
        <w:trPr>
          <w:trHeight w:val="624" w:hRule="atLeast"/>
        </w:trPr>
        <w:tc>
          <w:tcPr>
            <w:tcW w:w="1375" w:type="dxa"/>
            <w:vMerge w:val="continue"/>
            <w:shd w:val="clear" w:color="auto" w:fill="FFFFFF"/>
            <w:noWrap w:val="0"/>
            <w:vAlign w:val="center"/>
          </w:tcPr>
          <w:p w14:paraId="115F4661">
            <w:pPr>
              <w:pageBreakBefore w:val="0"/>
              <w:kinsoku/>
              <w:overflowPunct/>
              <w:topLinePunct w:val="0"/>
              <w:bidi w:val="0"/>
              <w:spacing w:line="240" w:lineRule="auto"/>
            </w:pPr>
          </w:p>
        </w:tc>
        <w:tc>
          <w:tcPr>
            <w:tcW w:w="1421" w:type="dxa"/>
            <w:gridSpan w:val="2"/>
            <w:shd w:val="clear" w:color="auto" w:fill="FFFFFF"/>
            <w:noWrap w:val="0"/>
            <w:vAlign w:val="center"/>
          </w:tcPr>
          <w:p w14:paraId="7CBBC1AF">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课程目标3</w:t>
            </w:r>
          </w:p>
        </w:tc>
        <w:tc>
          <w:tcPr>
            <w:tcW w:w="4981" w:type="dxa"/>
            <w:gridSpan w:val="8"/>
            <w:shd w:val="clear" w:color="auto" w:fill="FFFFFF"/>
            <w:noWrap w:val="0"/>
            <w:vAlign w:val="center"/>
          </w:tcPr>
          <w:p w14:paraId="6BC608D0">
            <w:pPr>
              <w:pageBreakBefore w:val="0"/>
              <w:kinsoku/>
              <w:overflowPunct/>
              <w:topLinePunct w:val="0"/>
              <w:bidi w:val="0"/>
              <w:adjustRightInd w:val="0"/>
              <w:snapToGrid w:val="0"/>
              <w:spacing w:line="240" w:lineRule="auto"/>
              <w:jc w:val="left"/>
              <w:rPr>
                <w:rFonts w:hint="eastAsia" w:ascii="仿宋" w:eastAsia="仿宋" w:cs="仿宋"/>
                <w:sz w:val="24"/>
                <w:szCs w:val="24"/>
                <w:lang w:eastAsia="zh-Hans"/>
              </w:rPr>
            </w:pPr>
            <w:r>
              <w:rPr>
                <w:rStyle w:val="379"/>
                <w:rFonts w:hint="eastAsia" w:ascii="仿宋" w:eastAsia="仿宋"/>
                <w:sz w:val="24"/>
                <w:szCs w:val="24"/>
              </w:rPr>
              <w:t>7</w:t>
            </w:r>
            <w:r>
              <w:rPr>
                <w:rFonts w:hint="eastAsia" w:ascii="仿宋" w:eastAsia="仿宋" w:cs="仿宋"/>
                <w:sz w:val="24"/>
                <w:szCs w:val="24"/>
                <w:lang w:eastAsia="zh-Hans"/>
              </w:rPr>
              <w:t>.1【反思改进】具有反思意识和批评性思维素养，初步掌握教育教学反思的基本方法和策略，能够对音乐教育教学实践活动进行有效的自我诊断，提出改进思路。</w:t>
            </w:r>
          </w:p>
        </w:tc>
        <w:tc>
          <w:tcPr>
            <w:tcW w:w="1369" w:type="dxa"/>
            <w:gridSpan w:val="2"/>
            <w:shd w:val="clear" w:color="auto" w:fill="FFFFFF"/>
            <w:noWrap w:val="0"/>
            <w:vAlign w:val="center"/>
          </w:tcPr>
          <w:p w14:paraId="17E9BB85">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学会反思</w:t>
            </w:r>
          </w:p>
          <w:p w14:paraId="2953CA67">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（M）</w:t>
            </w:r>
          </w:p>
        </w:tc>
      </w:tr>
      <w:tr w14:paraId="5A53AC8D">
        <w:trPr>
          <w:trHeight w:val="624" w:hRule="atLeast"/>
        </w:trPr>
        <w:tc>
          <w:tcPr>
            <w:tcW w:w="1375" w:type="dxa"/>
            <w:vMerge w:val="restart"/>
            <w:shd w:val="clear" w:color="auto" w:fill="FFFFFF"/>
            <w:noWrap w:val="0"/>
            <w:vAlign w:val="center"/>
          </w:tcPr>
          <w:p w14:paraId="5490E7B1">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G</w:t>
            </w:r>
          </w:p>
          <w:p w14:paraId="72529541">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实验（实训）内容</w:t>
            </w:r>
          </w:p>
        </w:tc>
        <w:tc>
          <w:tcPr>
            <w:tcW w:w="6402" w:type="dxa"/>
            <w:gridSpan w:val="10"/>
            <w:shd w:val="clear" w:color="auto" w:fill="FFFFFF"/>
            <w:noWrap w:val="0"/>
            <w:vAlign w:val="center"/>
          </w:tcPr>
          <w:p w14:paraId="681AD882">
            <w:pPr>
              <w:pageBreakBefore w:val="0"/>
              <w:kinsoku/>
              <w:overflowPunct/>
              <w:topLinePunct w:val="0"/>
              <w:bidi w:val="0"/>
              <w:adjustRightInd w:val="0"/>
              <w:snapToGrid w:val="0"/>
              <w:spacing w:line="240" w:lineRule="auto"/>
              <w:jc w:val="center"/>
              <w:textAlignment w:val="baseline"/>
              <w:rPr>
                <w:rFonts w:hint="eastAsia" w:ascii="仿宋" w:eastAsia="仿宋" w:cs="仿宋"/>
                <w:sz w:val="24"/>
                <w:szCs w:val="24"/>
              </w:rPr>
            </w:pPr>
            <w:r>
              <w:rPr>
                <w:rFonts w:hint="eastAsia" w:ascii="仿宋" w:eastAsia="仿宋" w:cs="仿宋"/>
                <w:sz w:val="24"/>
                <w:szCs w:val="24"/>
              </w:rPr>
              <w:t>实践主要内容和要求</w:t>
            </w:r>
          </w:p>
        </w:tc>
        <w:tc>
          <w:tcPr>
            <w:tcW w:w="780" w:type="dxa"/>
            <w:shd w:val="clear" w:color="auto" w:fill="FFFFFF"/>
            <w:noWrap w:val="0"/>
            <w:vAlign w:val="center"/>
          </w:tcPr>
          <w:p w14:paraId="7E404CDB">
            <w:pPr>
              <w:pageBreakBefore w:val="0"/>
              <w:kinsoku/>
              <w:overflowPunct/>
              <w:topLinePunct w:val="0"/>
              <w:bidi w:val="0"/>
              <w:adjustRightInd w:val="0"/>
              <w:snapToGrid w:val="0"/>
              <w:spacing w:line="240" w:lineRule="auto"/>
              <w:jc w:val="center"/>
              <w:textAlignment w:val="baseline"/>
              <w:rPr>
                <w:rFonts w:hint="eastAsia" w:ascii="仿宋" w:eastAsia="仿宋" w:cs="仿宋"/>
                <w:sz w:val="24"/>
                <w:szCs w:val="24"/>
              </w:rPr>
            </w:pPr>
            <w:r>
              <w:rPr>
                <w:rFonts w:hint="eastAsia" w:ascii="仿宋" w:eastAsia="仿宋" w:cs="仿宋"/>
                <w:sz w:val="24"/>
                <w:szCs w:val="24"/>
              </w:rPr>
              <w:t>支撑课程目标</w:t>
            </w:r>
          </w:p>
        </w:tc>
        <w:tc>
          <w:tcPr>
            <w:tcW w:w="589" w:type="dxa"/>
            <w:shd w:val="clear" w:color="auto" w:fill="FFFFFF"/>
            <w:noWrap w:val="0"/>
            <w:vAlign w:val="center"/>
          </w:tcPr>
          <w:p w14:paraId="084EC9AD">
            <w:pPr>
              <w:pageBreakBefore w:val="0"/>
              <w:kinsoku/>
              <w:overflowPunct/>
              <w:topLinePunct w:val="0"/>
              <w:bidi w:val="0"/>
              <w:adjustRightInd w:val="0"/>
              <w:snapToGrid w:val="0"/>
              <w:spacing w:line="240" w:lineRule="auto"/>
              <w:jc w:val="center"/>
              <w:textAlignment w:val="baseline"/>
              <w:rPr>
                <w:rFonts w:hint="eastAsia" w:ascii="仿宋" w:eastAsia="仿宋" w:cs="仿宋"/>
                <w:sz w:val="24"/>
                <w:szCs w:val="24"/>
              </w:rPr>
            </w:pPr>
            <w:r>
              <w:rPr>
                <w:rFonts w:hint="eastAsia" w:ascii="仿宋" w:eastAsia="仿宋" w:cs="仿宋"/>
                <w:sz w:val="24"/>
                <w:szCs w:val="24"/>
              </w:rPr>
              <w:t>学时</w:t>
            </w:r>
          </w:p>
          <w:p w14:paraId="2CFA90F0">
            <w:pPr>
              <w:pageBreakBefore w:val="0"/>
              <w:kinsoku/>
              <w:overflowPunct/>
              <w:topLinePunct w:val="0"/>
              <w:bidi w:val="0"/>
              <w:adjustRightInd w:val="0"/>
              <w:snapToGrid w:val="0"/>
              <w:spacing w:line="240" w:lineRule="auto"/>
              <w:jc w:val="center"/>
              <w:textAlignment w:val="baseline"/>
              <w:rPr>
                <w:rFonts w:hint="eastAsia" w:ascii="仿宋" w:eastAsia="仿宋" w:cs="仿宋"/>
                <w:sz w:val="24"/>
                <w:szCs w:val="24"/>
              </w:rPr>
            </w:pPr>
            <w:r>
              <w:rPr>
                <w:rFonts w:hint="eastAsia" w:ascii="仿宋" w:eastAsia="仿宋" w:cs="仿宋"/>
                <w:sz w:val="24"/>
                <w:szCs w:val="24"/>
              </w:rPr>
              <w:t>分配</w:t>
            </w:r>
          </w:p>
        </w:tc>
      </w:tr>
      <w:tr w14:paraId="7C90AB9B">
        <w:trPr>
          <w:trHeight w:val="624" w:hRule="atLeast"/>
        </w:trPr>
        <w:tc>
          <w:tcPr>
            <w:tcW w:w="1375" w:type="dxa"/>
            <w:vMerge w:val="continue"/>
            <w:shd w:val="clear" w:color="auto" w:fill="FFFFFF"/>
            <w:noWrap w:val="0"/>
            <w:vAlign w:val="center"/>
          </w:tcPr>
          <w:p w14:paraId="46AA77C7">
            <w:pPr>
              <w:pageBreakBefore w:val="0"/>
              <w:kinsoku/>
              <w:overflowPunct/>
              <w:topLinePunct w:val="0"/>
              <w:bidi w:val="0"/>
              <w:spacing w:line="240" w:lineRule="auto"/>
            </w:pPr>
          </w:p>
        </w:tc>
        <w:tc>
          <w:tcPr>
            <w:tcW w:w="6402" w:type="dxa"/>
            <w:gridSpan w:val="10"/>
            <w:shd w:val="clear" w:color="auto" w:fill="auto"/>
            <w:noWrap w:val="0"/>
            <w:vAlign w:val="center"/>
          </w:tcPr>
          <w:p w14:paraId="59ECB880">
            <w:pPr>
              <w:pageBreakBefore w:val="0"/>
              <w:widowControl/>
              <w:kinsoku/>
              <w:overflowPunct/>
              <w:topLinePunct w:val="0"/>
              <w:autoSpaceDE w:val="0"/>
              <w:autoSpaceDN w:val="0"/>
              <w:bidi w:val="0"/>
              <w:adjustRightInd w:val="0"/>
              <w:snapToGrid w:val="0"/>
              <w:spacing w:line="240" w:lineRule="auto"/>
              <w:jc w:val="left"/>
              <w:textAlignment w:val="bottom"/>
              <w:rPr>
                <w:rFonts w:hint="eastAsia" w:ascii="仿宋" w:eastAsia="仿宋" w:cs="仿宋"/>
                <w:sz w:val="24"/>
                <w:szCs w:val="24"/>
                <w:lang w:eastAsia="zh-Hans"/>
              </w:rPr>
            </w:pPr>
            <w:r>
              <w:rPr>
                <w:rFonts w:hint="eastAsia" w:ascii="仿宋" w:eastAsia="仿宋" w:cs="仿宋"/>
                <w:sz w:val="24"/>
                <w:szCs w:val="24"/>
                <w:lang w:eastAsia="zh-Hans"/>
              </w:rPr>
              <w:t>主要内容：</w:t>
            </w:r>
          </w:p>
          <w:p w14:paraId="1D08B218">
            <w:pPr>
              <w:pageBreakBefore w:val="0"/>
              <w:widowControl/>
              <w:tabs>
                <w:tab w:val="left" w:pos="960"/>
              </w:tabs>
              <w:kinsoku/>
              <w:overflowPunct/>
              <w:topLinePunct w:val="0"/>
              <w:bidi w:val="0"/>
              <w:adjustRightInd w:val="0"/>
              <w:snapToGrid w:val="0"/>
              <w:spacing w:line="240" w:lineRule="auto"/>
              <w:ind w:firstLine="480" w:firstLineChars="200"/>
              <w:rPr>
                <w:rFonts w:hint="eastAsia" w:ascii="仿宋" w:eastAsia="仿宋" w:cs="仿宋"/>
                <w:sz w:val="24"/>
                <w:szCs w:val="24"/>
                <w:lang w:eastAsia="zh-CN"/>
              </w:rPr>
            </w:pPr>
            <w:r>
              <w:rPr>
                <w:rFonts w:hint="eastAsia" w:ascii="仿宋" w:eastAsia="仿宋"/>
                <w:sz w:val="24"/>
                <w:szCs w:val="24"/>
                <w:lang w:val="en-US" w:eastAsia="zh-CN"/>
              </w:rPr>
              <w:t>本学期将把《音乐学课教学论》与《</w:t>
            </w:r>
            <w:r>
              <w:rPr>
                <w:rFonts w:hint="eastAsia" w:ascii="仿宋" w:eastAsia="仿宋" w:cs="仿宋"/>
                <w:sz w:val="24"/>
                <w:szCs w:val="24"/>
                <w:lang w:val="en-US" w:eastAsia="zh-CN"/>
              </w:rPr>
              <w:t>中小学音乐课堂教学研究》</w:t>
            </w:r>
            <w:r>
              <w:rPr>
                <w:rFonts w:hint="eastAsia" w:ascii="仿宋" w:eastAsia="仿宋"/>
                <w:sz w:val="24"/>
                <w:szCs w:val="24"/>
                <w:lang w:val="en-US" w:eastAsia="zh-CN"/>
              </w:rPr>
              <w:t>两门课程的理论转化为实践运用，并引导学生理论实践相结合，在实践中将音乐教学知识进行能力迁移。具体微格教学包含欣赏教学设计与实施、歌唱（合唱）教学设计与实施、器乐教学设计与实施、创作教学设计与实施。学生将在以上课型中学会</w:t>
            </w:r>
            <w:r>
              <w:rPr>
                <w:rFonts w:hint="eastAsia" w:ascii="仿宋" w:eastAsia="仿宋" w:cs="仿宋"/>
                <w:sz w:val="24"/>
                <w:szCs w:val="24"/>
              </w:rPr>
              <w:t>独立进行教学设计与实施、</w:t>
            </w:r>
            <w:r>
              <w:rPr>
                <w:rFonts w:hint="eastAsia" w:ascii="仿宋" w:eastAsia="仿宋" w:cs="仿宋"/>
                <w:sz w:val="24"/>
                <w:szCs w:val="24"/>
                <w:lang w:eastAsia="zh-Hans"/>
              </w:rPr>
              <w:t>模拟教学</w:t>
            </w:r>
            <w:r>
              <w:rPr>
                <w:rFonts w:hint="eastAsia" w:ascii="仿宋" w:eastAsia="仿宋" w:cs="仿宋"/>
                <w:sz w:val="24"/>
                <w:szCs w:val="24"/>
              </w:rPr>
              <w:t>、评课等</w:t>
            </w:r>
            <w:r>
              <w:rPr>
                <w:rFonts w:hint="eastAsia" w:ascii="仿宋" w:eastAsia="仿宋" w:cs="仿宋"/>
                <w:sz w:val="24"/>
                <w:szCs w:val="24"/>
                <w:lang w:eastAsia="zh-CN"/>
              </w:rPr>
              <w:t>。</w:t>
            </w:r>
          </w:p>
          <w:p w14:paraId="3DCF5178">
            <w:pPr>
              <w:pageBreakBefore w:val="0"/>
              <w:widowControl/>
              <w:tabs>
                <w:tab w:val="left" w:pos="960"/>
              </w:tabs>
              <w:kinsoku/>
              <w:overflowPunct/>
              <w:topLinePunct w:val="0"/>
              <w:bidi w:val="0"/>
              <w:adjustRightInd w:val="0"/>
              <w:snapToGrid w:val="0"/>
              <w:spacing w:line="240" w:lineRule="auto"/>
              <w:rPr>
                <w:rFonts w:hint="eastAsia" w:ascii="仿宋" w:eastAsia="仿宋" w:cs="仿宋"/>
                <w:sz w:val="24"/>
                <w:szCs w:val="24"/>
                <w:lang w:eastAsia="zh-Hans"/>
              </w:rPr>
            </w:pPr>
            <w:r>
              <w:rPr>
                <w:rFonts w:hint="eastAsia" w:ascii="仿宋" w:eastAsia="仿宋" w:cs="仿宋"/>
                <w:sz w:val="24"/>
                <w:szCs w:val="24"/>
                <w:lang w:eastAsia="zh-Hans"/>
              </w:rPr>
              <w:t>要求：</w:t>
            </w:r>
          </w:p>
          <w:p w14:paraId="04DDA946">
            <w:pPr>
              <w:pageBreakBefore w:val="0"/>
              <w:widowControl/>
              <w:tabs>
                <w:tab w:val="left" w:pos="960"/>
              </w:tabs>
              <w:kinsoku/>
              <w:overflowPunct/>
              <w:topLinePunct w:val="0"/>
              <w:bidi w:val="0"/>
              <w:adjustRightInd w:val="0"/>
              <w:snapToGrid w:val="0"/>
              <w:spacing w:line="240" w:lineRule="auto"/>
              <w:ind w:firstLine="480" w:firstLineChars="200"/>
              <w:rPr>
                <w:rFonts w:hint="eastAsia" w:ascii="仿宋" w:eastAsia="仿宋" w:cs="宋体"/>
                <w:sz w:val="24"/>
                <w:szCs w:val="24"/>
              </w:rPr>
            </w:pPr>
            <w:r>
              <w:rPr>
                <w:rFonts w:hint="eastAsia" w:ascii="仿宋" w:eastAsia="仿宋" w:cs="仿宋"/>
                <w:sz w:val="24"/>
                <w:szCs w:val="24"/>
              </w:rPr>
              <w:t>独立进行中学音乐</w:t>
            </w:r>
            <w:r>
              <w:rPr>
                <w:rFonts w:hint="eastAsia" w:ascii="仿宋" w:eastAsia="仿宋" w:cs="宋体"/>
                <w:sz w:val="24"/>
                <w:szCs w:val="24"/>
              </w:rPr>
              <w:t>课堂教学设计、教学实施、教学评价、说课，具备组织与调控课堂教学的基本能力。</w:t>
            </w:r>
          </w:p>
          <w:p w14:paraId="539A75E5">
            <w:pPr>
              <w:pageBreakBefore w:val="0"/>
              <w:kinsoku/>
              <w:overflowPunct/>
              <w:topLinePunct w:val="0"/>
              <w:bidi w:val="0"/>
              <w:adjustRightInd w:val="0"/>
              <w:snapToGrid w:val="0"/>
              <w:spacing w:line="240" w:lineRule="auto"/>
              <w:rPr>
                <w:rFonts w:hint="eastAsia" w:ascii="仿宋" w:eastAsia="仿宋" w:cs="仿宋"/>
                <w:bCs/>
                <w:sz w:val="24"/>
                <w:szCs w:val="24"/>
              </w:rPr>
            </w:pPr>
            <w:r>
              <w:rPr>
                <w:rFonts w:hint="eastAsia" w:ascii="仿宋" w:eastAsia="仿宋" w:cs="仿宋"/>
                <w:bCs/>
                <w:color w:val="000000"/>
                <w:sz w:val="24"/>
                <w:szCs w:val="24"/>
                <w:lang w:val="en-US" w:eastAsia="zh-CN" w:bidi="ar-SA"/>
              </w:rPr>
              <w:t>（首次课梳理课程要求与学习任务；期中检查实践学习情况）</w:t>
            </w:r>
          </w:p>
        </w:tc>
        <w:tc>
          <w:tcPr>
            <w:tcW w:w="780" w:type="dxa"/>
            <w:shd w:val="clear" w:color="auto" w:fill="auto"/>
            <w:noWrap w:val="0"/>
            <w:vAlign w:val="center"/>
          </w:tcPr>
          <w:p w14:paraId="4A86DFB5">
            <w:pPr>
              <w:pageBreakBefore w:val="0"/>
              <w:kinsoku/>
              <w:overflowPunct/>
              <w:topLinePunct w:val="0"/>
              <w:bidi w:val="0"/>
              <w:adjustRightInd w:val="0"/>
              <w:snapToGrid w:val="0"/>
              <w:spacing w:line="240" w:lineRule="auto"/>
              <w:jc w:val="center"/>
              <w:rPr>
                <w:rFonts w:hint="eastAsia" w:ascii="仿宋" w:eastAsia="仿宋" w:cs="仿宋"/>
                <w:bCs/>
                <w:sz w:val="24"/>
                <w:szCs w:val="24"/>
              </w:rPr>
            </w:pPr>
          </w:p>
        </w:tc>
        <w:tc>
          <w:tcPr>
            <w:tcW w:w="589" w:type="dxa"/>
            <w:shd w:val="clear" w:color="auto" w:fill="FFFFFF"/>
            <w:noWrap w:val="0"/>
            <w:vAlign w:val="center"/>
          </w:tcPr>
          <w:p w14:paraId="073AC7F6">
            <w:pPr>
              <w:pageBreakBefore w:val="0"/>
              <w:kinsoku/>
              <w:overflowPunct/>
              <w:topLinePunct w:val="0"/>
              <w:bidi w:val="0"/>
              <w:adjustRightInd w:val="0"/>
              <w:snapToGrid w:val="0"/>
              <w:spacing w:line="240" w:lineRule="auto"/>
              <w:jc w:val="center"/>
              <w:rPr>
                <w:rFonts w:hint="eastAsia" w:ascii="仿宋" w:eastAsia="仿宋" w:cs="仿宋"/>
                <w:sz w:val="24"/>
                <w:szCs w:val="24"/>
              </w:rPr>
            </w:pPr>
          </w:p>
        </w:tc>
      </w:tr>
      <w:tr w14:paraId="1670FAF7">
        <w:trPr>
          <w:trHeight w:val="624" w:hRule="atLeast"/>
        </w:trPr>
        <w:tc>
          <w:tcPr>
            <w:tcW w:w="1375" w:type="dxa"/>
            <w:vMerge w:val="continue"/>
            <w:shd w:val="clear" w:color="auto" w:fill="FFFFFF"/>
            <w:noWrap w:val="0"/>
            <w:vAlign w:val="center"/>
          </w:tcPr>
          <w:p w14:paraId="72AE3DBB">
            <w:pPr>
              <w:pageBreakBefore w:val="0"/>
              <w:kinsoku/>
              <w:overflowPunct/>
              <w:topLinePunct w:val="0"/>
              <w:bidi w:val="0"/>
              <w:spacing w:line="240" w:lineRule="auto"/>
            </w:pPr>
          </w:p>
        </w:tc>
        <w:tc>
          <w:tcPr>
            <w:tcW w:w="6402" w:type="dxa"/>
            <w:gridSpan w:val="10"/>
            <w:shd w:val="clear" w:color="auto" w:fill="auto"/>
            <w:noWrap w:val="0"/>
            <w:vAlign w:val="center"/>
          </w:tcPr>
          <w:p w14:paraId="20762E7D">
            <w:pPr>
              <w:pageBreakBefore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lang w:val="en-US" w:eastAsia="zh-CN"/>
              </w:rPr>
              <w:t>一、</w:t>
            </w:r>
            <w:r>
              <w:rPr>
                <w:rFonts w:hint="eastAsia" w:ascii="仿宋" w:eastAsia="仿宋" w:cs="仿宋"/>
                <w:sz w:val="24"/>
                <w:szCs w:val="24"/>
              </w:rPr>
              <w:t>唱歌教学设计与实施</w:t>
            </w:r>
          </w:p>
          <w:p w14:paraId="62295652">
            <w:pPr>
              <w:pageBreakBefore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lang w:eastAsia="zh-Hans"/>
              </w:rPr>
              <w:t>分析：</w:t>
            </w:r>
            <w:r>
              <w:rPr>
                <w:rFonts w:hint="eastAsia" w:ascii="仿宋" w:eastAsia="仿宋" w:cs="仿宋"/>
                <w:sz w:val="24"/>
                <w:szCs w:val="24"/>
              </w:rPr>
              <w:t>依据学段目标与内容标准，赏析中</w:t>
            </w:r>
            <w:r>
              <w:rPr>
                <w:rFonts w:hint="eastAsia" w:ascii="仿宋" w:eastAsia="仿宋" w:cs="仿宋"/>
                <w:sz w:val="24"/>
                <w:szCs w:val="24"/>
                <w:lang w:val="en-US" w:eastAsia="zh-CN"/>
              </w:rPr>
              <w:t>小</w:t>
            </w:r>
            <w:r>
              <w:rPr>
                <w:rFonts w:hint="eastAsia" w:ascii="仿宋" w:eastAsia="仿宋" w:cs="仿宋"/>
                <w:sz w:val="24"/>
                <w:szCs w:val="24"/>
              </w:rPr>
              <w:t>学唱歌优质课</w:t>
            </w:r>
          </w:p>
          <w:p w14:paraId="72CFF0BD">
            <w:pPr>
              <w:pageBreakBefore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评价：中</w:t>
            </w:r>
            <w:r>
              <w:rPr>
                <w:rFonts w:hint="eastAsia" w:ascii="仿宋" w:eastAsia="仿宋" w:cs="仿宋"/>
                <w:sz w:val="24"/>
                <w:szCs w:val="24"/>
                <w:lang w:val="en-US" w:eastAsia="zh-CN"/>
              </w:rPr>
              <w:t>小</w:t>
            </w:r>
            <w:r>
              <w:rPr>
                <w:rFonts w:hint="eastAsia" w:ascii="仿宋" w:eastAsia="仿宋" w:cs="仿宋"/>
                <w:sz w:val="24"/>
                <w:szCs w:val="24"/>
              </w:rPr>
              <w:t>学唱歌课</w:t>
            </w:r>
            <w:r>
              <w:rPr>
                <w:rFonts w:hint="eastAsia" w:ascii="仿宋" w:eastAsia="仿宋" w:cs="仿宋"/>
                <w:sz w:val="24"/>
                <w:szCs w:val="24"/>
                <w:lang w:eastAsia="zh-Hans"/>
              </w:rPr>
              <w:t>（视频）</w:t>
            </w:r>
            <w:r>
              <w:rPr>
                <w:rFonts w:hint="eastAsia" w:ascii="仿宋" w:eastAsia="仿宋" w:cs="仿宋"/>
                <w:sz w:val="24"/>
                <w:szCs w:val="24"/>
              </w:rPr>
              <w:t>教学设计与实施达成的优劣</w:t>
            </w:r>
          </w:p>
          <w:p w14:paraId="36A833B2">
            <w:pPr>
              <w:pageBreakBefore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应用：选择中</w:t>
            </w:r>
            <w:r>
              <w:rPr>
                <w:rFonts w:hint="eastAsia" w:ascii="仿宋" w:eastAsia="仿宋" w:cs="仿宋"/>
                <w:sz w:val="24"/>
                <w:szCs w:val="24"/>
                <w:lang w:val="en-US" w:eastAsia="zh-CN"/>
              </w:rPr>
              <w:t>小</w:t>
            </w:r>
            <w:r>
              <w:rPr>
                <w:rFonts w:hint="eastAsia" w:ascii="仿宋" w:eastAsia="仿宋" w:cs="仿宋"/>
                <w:sz w:val="24"/>
                <w:szCs w:val="24"/>
              </w:rPr>
              <w:t>学教材中的唱歌教学内容进行设计与实施</w:t>
            </w:r>
          </w:p>
          <w:p w14:paraId="41AE6A6D">
            <w:pPr>
              <w:pageBreakBefore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综合：选择感兴趣的中</w:t>
            </w:r>
            <w:r>
              <w:rPr>
                <w:rFonts w:hint="eastAsia" w:ascii="仿宋" w:eastAsia="仿宋" w:cs="仿宋"/>
                <w:sz w:val="24"/>
                <w:szCs w:val="24"/>
                <w:lang w:val="en-US" w:eastAsia="zh-CN"/>
              </w:rPr>
              <w:t>小</w:t>
            </w:r>
            <w:r>
              <w:rPr>
                <w:rFonts w:hint="eastAsia" w:ascii="仿宋" w:eastAsia="仿宋" w:cs="仿宋"/>
                <w:sz w:val="24"/>
                <w:szCs w:val="24"/>
              </w:rPr>
              <w:t>学唱歌课</w:t>
            </w:r>
            <w:r>
              <w:rPr>
                <w:rFonts w:hint="eastAsia" w:ascii="仿宋" w:eastAsia="仿宋" w:cs="仿宋"/>
                <w:sz w:val="24"/>
                <w:szCs w:val="24"/>
                <w:lang w:eastAsia="zh-Hans"/>
              </w:rPr>
              <w:t>（视频）</w:t>
            </w:r>
            <w:r>
              <w:rPr>
                <w:rFonts w:hint="eastAsia" w:ascii="仿宋" w:eastAsia="仿宋" w:cs="仿宋"/>
                <w:sz w:val="24"/>
                <w:szCs w:val="24"/>
              </w:rPr>
              <w:t>自行</w:t>
            </w:r>
            <w:r>
              <w:rPr>
                <w:rFonts w:hint="eastAsia" w:ascii="仿宋" w:eastAsia="仿宋" w:cs="仿宋"/>
                <w:sz w:val="24"/>
                <w:szCs w:val="24"/>
                <w:lang w:val="en-US" w:eastAsia="zh-CN"/>
              </w:rPr>
              <w:t>说课与</w:t>
            </w:r>
            <w:r>
              <w:rPr>
                <w:rFonts w:hint="eastAsia" w:ascii="仿宋" w:eastAsia="仿宋" w:cs="仿宋"/>
                <w:sz w:val="24"/>
                <w:szCs w:val="24"/>
              </w:rPr>
              <w:t>模拟试讲</w:t>
            </w:r>
          </w:p>
        </w:tc>
        <w:tc>
          <w:tcPr>
            <w:tcW w:w="780" w:type="dxa"/>
            <w:shd w:val="clear" w:color="auto" w:fill="auto"/>
            <w:noWrap w:val="0"/>
            <w:vAlign w:val="center"/>
          </w:tcPr>
          <w:p w14:paraId="3AF4BCC5">
            <w:pPr>
              <w:pageBreakBefore w:val="0"/>
              <w:kinsoku/>
              <w:overflowPunct/>
              <w:topLinePunct w:val="0"/>
              <w:bidi w:val="0"/>
              <w:adjustRightInd w:val="0"/>
              <w:snapToGrid w:val="0"/>
              <w:spacing w:line="240" w:lineRule="auto"/>
              <w:jc w:val="center"/>
              <w:rPr>
                <w:rFonts w:hint="eastAsia" w:ascii="仿宋" w:eastAsia="仿宋" w:cs="仿宋"/>
                <w:bCs/>
                <w:sz w:val="24"/>
                <w:szCs w:val="24"/>
              </w:rPr>
            </w:pPr>
            <w:r>
              <w:rPr>
                <w:rFonts w:hint="eastAsia" w:ascii="仿宋" w:eastAsia="仿宋" w:cs="仿宋"/>
                <w:bCs/>
                <w:sz w:val="24"/>
                <w:szCs w:val="24"/>
              </w:rPr>
              <w:t>支撑课程目标1</w:t>
            </w:r>
            <w:r>
              <w:rPr>
                <w:rFonts w:hint="eastAsia" w:ascii="仿宋" w:eastAsia="仿宋" w:cs="仿宋"/>
                <w:bCs/>
                <w:sz w:val="24"/>
                <w:szCs w:val="24"/>
                <w:lang w:eastAsia="zh-CN"/>
              </w:rPr>
              <w:t>、</w:t>
            </w:r>
            <w:r>
              <w:rPr>
                <w:rFonts w:hint="eastAsia" w:ascii="仿宋" w:eastAsia="仿宋" w:cs="仿宋"/>
                <w:bCs/>
                <w:sz w:val="24"/>
                <w:szCs w:val="24"/>
              </w:rPr>
              <w:t>2</w:t>
            </w:r>
            <w:r>
              <w:rPr>
                <w:rFonts w:hint="eastAsia" w:ascii="仿宋" w:eastAsia="仿宋" w:cs="仿宋"/>
                <w:bCs/>
                <w:sz w:val="24"/>
                <w:szCs w:val="24"/>
                <w:lang w:eastAsia="zh-CN"/>
              </w:rPr>
              <w:t>、</w:t>
            </w:r>
            <w:r>
              <w:rPr>
                <w:rFonts w:hint="eastAsia" w:ascii="仿宋" w:eastAsia="仿宋" w:cs="仿宋"/>
                <w:bCs/>
                <w:sz w:val="24"/>
                <w:szCs w:val="24"/>
              </w:rPr>
              <w:t>3</w:t>
            </w:r>
          </w:p>
        </w:tc>
        <w:tc>
          <w:tcPr>
            <w:tcW w:w="589" w:type="dxa"/>
            <w:shd w:val="clear" w:color="auto" w:fill="FFFFFF"/>
            <w:noWrap w:val="0"/>
            <w:vAlign w:val="center"/>
          </w:tcPr>
          <w:p w14:paraId="3962D1C6">
            <w:pPr>
              <w:pageBreakBefore w:val="0"/>
              <w:kinsoku/>
              <w:overflowPunct/>
              <w:topLinePunct w:val="0"/>
              <w:bidi w:val="0"/>
              <w:adjustRightInd w:val="0"/>
              <w:snapToGrid w:val="0"/>
              <w:spacing w:line="240" w:lineRule="auto"/>
              <w:jc w:val="center"/>
              <w:rPr>
                <w:rFonts w:hint="default" w:ascii="仿宋" w:eastAsia="仿宋" w:cs="仿宋"/>
                <w:sz w:val="24"/>
                <w:szCs w:val="24"/>
                <w:lang w:val="en-US" w:eastAsia="zh-CN"/>
              </w:rPr>
            </w:pPr>
            <w:r>
              <w:rPr>
                <w:rFonts w:hint="eastAsia" w:ascii="仿宋" w:eastAsia="仿宋" w:cs="仿宋"/>
                <w:sz w:val="24"/>
                <w:szCs w:val="24"/>
                <w:lang w:val="en-US" w:eastAsia="zh-CN"/>
              </w:rPr>
              <w:t>8</w:t>
            </w:r>
          </w:p>
        </w:tc>
      </w:tr>
      <w:tr w14:paraId="11F60F72">
        <w:trPr>
          <w:trHeight w:val="624" w:hRule="atLeast"/>
        </w:trPr>
        <w:tc>
          <w:tcPr>
            <w:tcW w:w="1375" w:type="dxa"/>
            <w:vMerge w:val="continue"/>
            <w:shd w:val="clear" w:color="auto" w:fill="FFFFFF"/>
            <w:noWrap w:val="0"/>
            <w:vAlign w:val="center"/>
          </w:tcPr>
          <w:p w14:paraId="18DC71E5">
            <w:pPr>
              <w:pageBreakBefore w:val="0"/>
              <w:kinsoku/>
              <w:overflowPunct/>
              <w:topLinePunct w:val="0"/>
              <w:bidi w:val="0"/>
              <w:spacing w:line="240" w:lineRule="auto"/>
            </w:pPr>
          </w:p>
        </w:tc>
        <w:tc>
          <w:tcPr>
            <w:tcW w:w="6402" w:type="dxa"/>
            <w:gridSpan w:val="10"/>
            <w:shd w:val="clear" w:color="auto" w:fill="auto"/>
            <w:noWrap w:val="0"/>
            <w:vAlign w:val="center"/>
          </w:tcPr>
          <w:p w14:paraId="168A9425">
            <w:pPr>
              <w:pageBreakBefore w:val="0"/>
              <w:kinsoku/>
              <w:overflowPunct/>
              <w:topLinePunct w:val="0"/>
              <w:bidi w:val="0"/>
              <w:adjustRightInd w:val="0"/>
              <w:snapToGrid w:val="0"/>
              <w:spacing w:line="240" w:lineRule="auto"/>
              <w:rPr>
                <w:rFonts w:hint="eastAsia" w:ascii="仿宋" w:hAnsi="Times New Roman" w:eastAsia="仿宋" w:cs="仿宋"/>
                <w:color w:val="000000"/>
                <w:sz w:val="24"/>
                <w:szCs w:val="24"/>
                <w:lang w:val="en-US" w:eastAsia="zh-CN" w:bidi="ar-SA"/>
              </w:rPr>
            </w:pPr>
            <w:r>
              <w:rPr>
                <w:rFonts w:hint="eastAsia" w:ascii="仿宋" w:hAnsi="Times New Roman" w:eastAsia="仿宋" w:cs="仿宋"/>
                <w:color w:val="000000"/>
                <w:sz w:val="24"/>
                <w:szCs w:val="24"/>
                <w:lang w:val="en-US" w:eastAsia="zh-CN" w:bidi="ar-SA"/>
              </w:rPr>
              <w:t>二、合唱教学设计与实施</w:t>
            </w:r>
          </w:p>
          <w:p w14:paraId="2C4105EA">
            <w:pPr>
              <w:pageBreakBefore w:val="0"/>
              <w:kinsoku/>
              <w:overflowPunct/>
              <w:topLinePunct w:val="0"/>
              <w:bidi w:val="0"/>
              <w:adjustRightInd w:val="0"/>
              <w:snapToGrid w:val="0"/>
              <w:spacing w:line="240" w:lineRule="auto"/>
              <w:rPr>
                <w:rFonts w:hint="eastAsia" w:ascii="仿宋" w:hAnsi="Times New Roman" w:eastAsia="仿宋" w:cs="仿宋"/>
                <w:color w:val="000000"/>
                <w:sz w:val="24"/>
                <w:szCs w:val="24"/>
                <w:lang w:val="en-US" w:eastAsia="zh-CN" w:bidi="ar-SA"/>
              </w:rPr>
            </w:pPr>
            <w:r>
              <w:rPr>
                <w:rFonts w:hint="eastAsia" w:ascii="仿宋" w:hAnsi="Times New Roman" w:eastAsia="仿宋" w:cs="仿宋"/>
                <w:color w:val="000000"/>
                <w:sz w:val="24"/>
                <w:szCs w:val="24"/>
                <w:lang w:val="en-US" w:eastAsia="zh-CN" w:bidi="ar-SA"/>
              </w:rPr>
              <w:t>分析：依据学段目标与内容标准，赏析</w:t>
            </w:r>
            <w:r>
              <w:rPr>
                <w:rFonts w:hint="eastAsia" w:ascii="仿宋" w:eastAsia="仿宋" w:cs="仿宋"/>
                <w:sz w:val="24"/>
                <w:szCs w:val="24"/>
              </w:rPr>
              <w:t>中</w:t>
            </w:r>
            <w:r>
              <w:rPr>
                <w:rFonts w:hint="eastAsia" w:ascii="仿宋" w:eastAsia="仿宋" w:cs="仿宋"/>
                <w:sz w:val="24"/>
                <w:szCs w:val="24"/>
                <w:lang w:val="en-US" w:eastAsia="zh-CN"/>
              </w:rPr>
              <w:t>小</w:t>
            </w:r>
            <w:r>
              <w:rPr>
                <w:rFonts w:hint="eastAsia" w:ascii="仿宋" w:hAnsi="Times New Roman" w:eastAsia="仿宋" w:cs="仿宋"/>
                <w:color w:val="000000"/>
                <w:sz w:val="24"/>
                <w:szCs w:val="24"/>
                <w:lang w:val="en-US" w:eastAsia="zh-CN" w:bidi="ar-SA"/>
              </w:rPr>
              <w:t>学合唱优质课</w:t>
            </w:r>
          </w:p>
          <w:p w14:paraId="37502BB4">
            <w:pPr>
              <w:pageBreakBefore w:val="0"/>
              <w:kinsoku/>
              <w:overflowPunct/>
              <w:topLinePunct w:val="0"/>
              <w:bidi w:val="0"/>
              <w:adjustRightInd w:val="0"/>
              <w:snapToGrid w:val="0"/>
              <w:spacing w:line="240" w:lineRule="auto"/>
              <w:rPr>
                <w:rFonts w:hint="eastAsia" w:ascii="仿宋" w:hAnsi="Times New Roman" w:eastAsia="仿宋" w:cs="仿宋"/>
                <w:color w:val="000000"/>
                <w:sz w:val="24"/>
                <w:szCs w:val="24"/>
                <w:lang w:val="en-US" w:eastAsia="zh-CN" w:bidi="ar-SA"/>
              </w:rPr>
            </w:pPr>
            <w:r>
              <w:rPr>
                <w:rFonts w:hint="eastAsia" w:ascii="仿宋" w:hAnsi="Times New Roman" w:eastAsia="仿宋" w:cs="仿宋"/>
                <w:color w:val="000000"/>
                <w:sz w:val="24"/>
                <w:szCs w:val="24"/>
                <w:lang w:val="en-US" w:eastAsia="zh-CN" w:bidi="ar-SA"/>
              </w:rPr>
              <w:t>评价：</w:t>
            </w:r>
            <w:r>
              <w:rPr>
                <w:rFonts w:hint="eastAsia" w:ascii="仿宋" w:eastAsia="仿宋" w:cs="仿宋"/>
                <w:sz w:val="24"/>
                <w:szCs w:val="24"/>
              </w:rPr>
              <w:t>中</w:t>
            </w:r>
            <w:r>
              <w:rPr>
                <w:rFonts w:hint="eastAsia" w:ascii="仿宋" w:eastAsia="仿宋" w:cs="仿宋"/>
                <w:sz w:val="24"/>
                <w:szCs w:val="24"/>
                <w:lang w:val="en-US" w:eastAsia="zh-CN"/>
              </w:rPr>
              <w:t>小</w:t>
            </w:r>
            <w:r>
              <w:rPr>
                <w:rFonts w:hint="eastAsia" w:ascii="仿宋" w:hAnsi="Times New Roman" w:eastAsia="仿宋" w:cs="仿宋"/>
                <w:color w:val="000000"/>
                <w:sz w:val="24"/>
                <w:szCs w:val="24"/>
                <w:lang w:val="en-US" w:eastAsia="zh-CN" w:bidi="ar-SA"/>
              </w:rPr>
              <w:t>学合唱课（视频）教学设计与实施达成的优劣</w:t>
            </w:r>
          </w:p>
          <w:p w14:paraId="31FDB10E">
            <w:pPr>
              <w:pageBreakBefore w:val="0"/>
              <w:kinsoku/>
              <w:overflowPunct/>
              <w:topLinePunct w:val="0"/>
              <w:bidi w:val="0"/>
              <w:adjustRightInd w:val="0"/>
              <w:snapToGrid w:val="0"/>
              <w:spacing w:line="240" w:lineRule="auto"/>
              <w:rPr>
                <w:rFonts w:hint="eastAsia" w:ascii="仿宋" w:hAnsi="Times New Roman" w:eastAsia="仿宋" w:cs="仿宋"/>
                <w:color w:val="000000"/>
                <w:sz w:val="24"/>
                <w:szCs w:val="24"/>
                <w:lang w:val="en-US" w:eastAsia="zh-CN" w:bidi="ar-SA"/>
              </w:rPr>
            </w:pPr>
            <w:r>
              <w:rPr>
                <w:rFonts w:hint="eastAsia" w:ascii="仿宋" w:hAnsi="Times New Roman" w:eastAsia="仿宋" w:cs="仿宋"/>
                <w:color w:val="000000"/>
                <w:sz w:val="24"/>
                <w:szCs w:val="24"/>
                <w:lang w:val="en-US" w:eastAsia="zh-CN" w:bidi="ar-SA"/>
              </w:rPr>
              <w:t>应用：选择中学教材中的合唱教学内容进行设计与实施</w:t>
            </w:r>
          </w:p>
          <w:p w14:paraId="07D93A2D">
            <w:pPr>
              <w:pageBreakBefore w:val="0"/>
              <w:kinsoku/>
              <w:overflowPunct/>
              <w:topLinePunct w:val="0"/>
              <w:bidi w:val="0"/>
              <w:adjustRightInd w:val="0"/>
              <w:snapToGrid w:val="0"/>
              <w:spacing w:line="240" w:lineRule="auto"/>
              <w:rPr>
                <w:rFonts w:hint="eastAsia" w:ascii="仿宋" w:hAnsi="Times New Roman" w:eastAsia="仿宋" w:cs="仿宋"/>
                <w:color w:val="000000"/>
                <w:sz w:val="24"/>
                <w:szCs w:val="24"/>
                <w:lang w:val="en-US" w:eastAsia="zh-CN" w:bidi="ar-SA"/>
              </w:rPr>
            </w:pPr>
            <w:r>
              <w:rPr>
                <w:rFonts w:hint="eastAsia" w:ascii="仿宋" w:hAnsi="Times New Roman" w:eastAsia="仿宋" w:cs="仿宋"/>
                <w:color w:val="000000"/>
                <w:sz w:val="24"/>
                <w:szCs w:val="24"/>
                <w:lang w:val="en-US" w:eastAsia="zh-CN" w:bidi="ar-SA"/>
              </w:rPr>
              <w:t>综合：选择感兴趣的</w:t>
            </w:r>
            <w:r>
              <w:rPr>
                <w:rFonts w:hint="eastAsia" w:ascii="仿宋" w:eastAsia="仿宋" w:cs="仿宋"/>
                <w:sz w:val="24"/>
                <w:szCs w:val="24"/>
              </w:rPr>
              <w:t>中</w:t>
            </w:r>
            <w:r>
              <w:rPr>
                <w:rFonts w:hint="eastAsia" w:ascii="仿宋" w:eastAsia="仿宋" w:cs="仿宋"/>
                <w:sz w:val="24"/>
                <w:szCs w:val="24"/>
                <w:lang w:val="en-US" w:eastAsia="zh-CN"/>
              </w:rPr>
              <w:t>小</w:t>
            </w:r>
            <w:r>
              <w:rPr>
                <w:rFonts w:hint="eastAsia" w:ascii="仿宋" w:hAnsi="Times New Roman" w:eastAsia="仿宋" w:cs="仿宋"/>
                <w:color w:val="000000"/>
                <w:sz w:val="24"/>
                <w:szCs w:val="24"/>
                <w:lang w:val="en-US" w:eastAsia="zh-CN" w:bidi="ar-SA"/>
              </w:rPr>
              <w:t>学合唱课（视频）自行说课与模拟试讲</w:t>
            </w:r>
          </w:p>
        </w:tc>
        <w:tc>
          <w:tcPr>
            <w:tcW w:w="780" w:type="dxa"/>
            <w:shd w:val="clear" w:color="auto" w:fill="auto"/>
            <w:noWrap w:val="0"/>
            <w:vAlign w:val="center"/>
          </w:tcPr>
          <w:p w14:paraId="0E788752">
            <w:pPr>
              <w:pageBreakBefore w:val="0"/>
              <w:kinsoku/>
              <w:overflowPunct/>
              <w:topLinePunct w:val="0"/>
              <w:bidi w:val="0"/>
              <w:adjustRightInd w:val="0"/>
              <w:snapToGrid w:val="0"/>
              <w:spacing w:line="240" w:lineRule="auto"/>
              <w:jc w:val="center"/>
              <w:rPr>
                <w:rFonts w:hint="eastAsia" w:ascii="仿宋" w:hAnsi="Times New Roman" w:eastAsia="仿宋" w:cs="仿宋"/>
                <w:bCs/>
                <w:color w:val="000000"/>
                <w:sz w:val="24"/>
                <w:szCs w:val="24"/>
                <w:lang w:val="en-US" w:eastAsia="zh-CN" w:bidi="ar-SA"/>
              </w:rPr>
            </w:pPr>
            <w:r>
              <w:rPr>
                <w:rFonts w:hint="eastAsia" w:ascii="仿宋" w:eastAsia="仿宋" w:cs="仿宋"/>
                <w:bCs/>
                <w:sz w:val="24"/>
                <w:szCs w:val="24"/>
              </w:rPr>
              <w:t>支撑课程目标1</w:t>
            </w:r>
            <w:r>
              <w:rPr>
                <w:rFonts w:hint="eastAsia" w:ascii="仿宋" w:eastAsia="仿宋" w:cs="仿宋"/>
                <w:bCs/>
                <w:sz w:val="24"/>
                <w:szCs w:val="24"/>
                <w:lang w:val="en-US" w:eastAsia="zh-CN"/>
              </w:rPr>
              <w:t>、</w:t>
            </w:r>
            <w:r>
              <w:rPr>
                <w:rFonts w:hint="eastAsia" w:ascii="仿宋" w:eastAsia="仿宋" w:cs="仿宋"/>
                <w:bCs/>
                <w:sz w:val="24"/>
                <w:szCs w:val="24"/>
              </w:rPr>
              <w:t>2</w:t>
            </w:r>
            <w:r>
              <w:rPr>
                <w:rFonts w:hint="eastAsia" w:ascii="仿宋" w:eastAsia="仿宋" w:cs="仿宋"/>
                <w:bCs/>
                <w:sz w:val="24"/>
                <w:szCs w:val="24"/>
                <w:lang w:val="en-US" w:eastAsia="zh-CN"/>
              </w:rPr>
              <w:t>、</w:t>
            </w:r>
            <w:r>
              <w:rPr>
                <w:rFonts w:hint="eastAsia" w:ascii="仿宋" w:eastAsia="仿宋" w:cs="仿宋"/>
                <w:bCs/>
                <w:sz w:val="24"/>
                <w:szCs w:val="24"/>
              </w:rPr>
              <w:t>3</w:t>
            </w:r>
          </w:p>
        </w:tc>
        <w:tc>
          <w:tcPr>
            <w:tcW w:w="589" w:type="dxa"/>
            <w:shd w:val="clear" w:color="auto" w:fill="FFFFFF"/>
            <w:noWrap w:val="0"/>
            <w:vAlign w:val="center"/>
          </w:tcPr>
          <w:p w14:paraId="127FE201">
            <w:pPr>
              <w:pageBreakBefore w:val="0"/>
              <w:kinsoku/>
              <w:overflowPunct/>
              <w:topLinePunct w:val="0"/>
              <w:bidi w:val="0"/>
              <w:adjustRightInd w:val="0"/>
              <w:snapToGrid w:val="0"/>
              <w:spacing w:line="240" w:lineRule="auto"/>
              <w:jc w:val="center"/>
              <w:rPr>
                <w:rFonts w:hint="eastAsia" w:ascii="仿宋" w:hAnsi="Times New Roman" w:eastAsia="仿宋" w:cs="仿宋"/>
                <w:color w:val="000000"/>
                <w:sz w:val="24"/>
                <w:szCs w:val="24"/>
                <w:lang w:val="en-US" w:eastAsia="zh-CN" w:bidi="ar-SA"/>
              </w:rPr>
            </w:pPr>
            <w:r>
              <w:rPr>
                <w:rFonts w:hint="eastAsia" w:ascii="仿宋" w:eastAsia="仿宋" w:cs="仿宋"/>
                <w:sz w:val="24"/>
                <w:szCs w:val="24"/>
                <w:lang w:val="en-US" w:eastAsia="zh-CN"/>
              </w:rPr>
              <w:t>6</w:t>
            </w:r>
          </w:p>
        </w:tc>
      </w:tr>
      <w:tr w14:paraId="4D962B81">
        <w:trPr>
          <w:trHeight w:val="624" w:hRule="atLeast"/>
        </w:trPr>
        <w:tc>
          <w:tcPr>
            <w:tcW w:w="1375" w:type="dxa"/>
            <w:vMerge w:val="continue"/>
            <w:shd w:val="clear" w:color="auto" w:fill="FFFFFF"/>
            <w:noWrap w:val="0"/>
            <w:vAlign w:val="center"/>
          </w:tcPr>
          <w:p w14:paraId="21967D9A">
            <w:pPr>
              <w:pageBreakBefore w:val="0"/>
              <w:kinsoku/>
              <w:overflowPunct/>
              <w:topLinePunct w:val="0"/>
              <w:bidi w:val="0"/>
              <w:spacing w:line="240" w:lineRule="auto"/>
            </w:pPr>
          </w:p>
        </w:tc>
        <w:tc>
          <w:tcPr>
            <w:tcW w:w="6402" w:type="dxa"/>
            <w:gridSpan w:val="10"/>
            <w:shd w:val="clear" w:color="auto" w:fill="auto"/>
            <w:noWrap w:val="0"/>
            <w:vAlign w:val="center"/>
          </w:tcPr>
          <w:p w14:paraId="1A54B3B2">
            <w:pPr>
              <w:pageBreakBefore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lang w:val="en-US" w:eastAsia="zh-CN"/>
              </w:rPr>
              <w:t>三、</w:t>
            </w:r>
            <w:r>
              <w:rPr>
                <w:rFonts w:hint="eastAsia" w:ascii="仿宋" w:eastAsia="仿宋" w:cs="仿宋"/>
                <w:sz w:val="24"/>
                <w:szCs w:val="24"/>
              </w:rPr>
              <w:t xml:space="preserve"> 欣赏教学设计与实施</w:t>
            </w:r>
          </w:p>
          <w:p w14:paraId="3D39CBD5">
            <w:pPr>
              <w:pageBreakBefore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分析：依据学段目标与内容标准，</w:t>
            </w:r>
            <w:r>
              <w:rPr>
                <w:rFonts w:hint="eastAsia" w:ascii="仿宋" w:eastAsia="仿宋" w:cs="仿宋"/>
                <w:sz w:val="24"/>
                <w:szCs w:val="24"/>
                <w:lang w:val="en-US" w:eastAsia="zh-CN"/>
              </w:rPr>
              <w:t>分析</w:t>
            </w:r>
            <w:r>
              <w:rPr>
                <w:rFonts w:hint="eastAsia" w:ascii="仿宋" w:eastAsia="仿宋" w:cs="仿宋"/>
                <w:sz w:val="24"/>
                <w:szCs w:val="24"/>
              </w:rPr>
              <w:t>中</w:t>
            </w:r>
            <w:r>
              <w:rPr>
                <w:rFonts w:hint="eastAsia" w:ascii="仿宋" w:eastAsia="仿宋" w:cs="仿宋"/>
                <w:sz w:val="24"/>
                <w:szCs w:val="24"/>
                <w:lang w:val="en-US" w:eastAsia="zh-CN"/>
              </w:rPr>
              <w:t>小</w:t>
            </w:r>
            <w:r>
              <w:rPr>
                <w:rFonts w:hint="eastAsia" w:ascii="仿宋" w:eastAsia="仿宋" w:cs="仿宋"/>
                <w:sz w:val="24"/>
                <w:szCs w:val="24"/>
              </w:rPr>
              <w:t>学欣赏优质课</w:t>
            </w:r>
          </w:p>
          <w:p w14:paraId="4749D869">
            <w:pPr>
              <w:pageBreakBefore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评价：中</w:t>
            </w:r>
            <w:r>
              <w:rPr>
                <w:rFonts w:hint="eastAsia" w:ascii="仿宋" w:eastAsia="仿宋" w:cs="仿宋"/>
                <w:sz w:val="24"/>
                <w:szCs w:val="24"/>
                <w:lang w:val="en-US" w:eastAsia="zh-CN"/>
              </w:rPr>
              <w:t>小</w:t>
            </w:r>
            <w:r>
              <w:rPr>
                <w:rFonts w:hint="eastAsia" w:ascii="仿宋" w:eastAsia="仿宋" w:cs="仿宋"/>
                <w:sz w:val="24"/>
                <w:szCs w:val="24"/>
              </w:rPr>
              <w:t>学欣赏课</w:t>
            </w:r>
            <w:r>
              <w:rPr>
                <w:rFonts w:hint="eastAsia" w:ascii="仿宋" w:eastAsia="仿宋" w:cs="仿宋"/>
                <w:sz w:val="24"/>
                <w:szCs w:val="24"/>
                <w:lang w:eastAsia="zh-Hans"/>
              </w:rPr>
              <w:t>（视频）</w:t>
            </w:r>
            <w:r>
              <w:rPr>
                <w:rFonts w:hint="eastAsia" w:ascii="仿宋" w:eastAsia="仿宋" w:cs="仿宋"/>
                <w:sz w:val="24"/>
                <w:szCs w:val="24"/>
              </w:rPr>
              <w:t>教学设计与实施达成的优劣</w:t>
            </w:r>
          </w:p>
          <w:p w14:paraId="1AACB26B">
            <w:pPr>
              <w:pageBreakBefore w:val="0"/>
              <w:kinsoku/>
              <w:overflowPunct/>
              <w:topLinePunct w:val="0"/>
              <w:bidi w:val="0"/>
              <w:adjustRightInd w:val="0"/>
              <w:snapToGrid w:val="0"/>
              <w:spacing w:line="240" w:lineRule="auto"/>
              <w:rPr>
                <w:rFonts w:hint="eastAsia" w:ascii="仿宋" w:eastAsia="仿宋" w:cs="仿宋"/>
                <w:sz w:val="24"/>
                <w:szCs w:val="24"/>
                <w:lang w:eastAsia="zh-Hans"/>
              </w:rPr>
            </w:pPr>
            <w:r>
              <w:rPr>
                <w:rFonts w:hint="eastAsia" w:ascii="仿宋" w:eastAsia="仿宋" w:cs="仿宋"/>
                <w:sz w:val="24"/>
                <w:szCs w:val="24"/>
                <w:lang w:eastAsia="zh-Hans"/>
              </w:rPr>
              <w:t>应用：</w:t>
            </w:r>
            <w:r>
              <w:rPr>
                <w:rFonts w:hint="eastAsia" w:ascii="仿宋" w:eastAsia="仿宋" w:cs="仿宋"/>
                <w:sz w:val="24"/>
                <w:szCs w:val="24"/>
              </w:rPr>
              <w:t>选择中学教材中的欣赏教学内容进行设计与实施</w:t>
            </w:r>
          </w:p>
          <w:p w14:paraId="6BF19CC2">
            <w:pPr>
              <w:pageBreakBefore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综合：选择感兴趣的中</w:t>
            </w:r>
            <w:r>
              <w:rPr>
                <w:rFonts w:hint="eastAsia" w:ascii="仿宋" w:eastAsia="仿宋" w:cs="仿宋"/>
                <w:sz w:val="24"/>
                <w:szCs w:val="24"/>
                <w:lang w:val="en-US" w:eastAsia="zh-CN"/>
              </w:rPr>
              <w:t>小</w:t>
            </w:r>
            <w:r>
              <w:rPr>
                <w:rFonts w:hint="eastAsia" w:ascii="仿宋" w:eastAsia="仿宋" w:cs="仿宋"/>
                <w:sz w:val="24"/>
                <w:szCs w:val="24"/>
              </w:rPr>
              <w:t>学欣赏课</w:t>
            </w:r>
            <w:r>
              <w:rPr>
                <w:rFonts w:hint="eastAsia" w:ascii="仿宋" w:eastAsia="仿宋" w:cs="仿宋"/>
                <w:sz w:val="24"/>
                <w:szCs w:val="24"/>
                <w:lang w:eastAsia="zh-Hans"/>
              </w:rPr>
              <w:t>（视频）</w:t>
            </w:r>
            <w:r>
              <w:rPr>
                <w:rFonts w:hint="eastAsia" w:ascii="仿宋" w:eastAsia="仿宋" w:cs="仿宋"/>
                <w:sz w:val="24"/>
                <w:szCs w:val="24"/>
              </w:rPr>
              <w:t>自行</w:t>
            </w:r>
            <w:r>
              <w:rPr>
                <w:rFonts w:hint="eastAsia" w:ascii="仿宋" w:eastAsia="仿宋" w:cs="仿宋"/>
                <w:sz w:val="24"/>
                <w:szCs w:val="24"/>
                <w:lang w:val="en-US" w:eastAsia="zh-CN"/>
              </w:rPr>
              <w:t>说课与</w:t>
            </w:r>
            <w:r>
              <w:rPr>
                <w:rFonts w:hint="eastAsia" w:ascii="仿宋" w:eastAsia="仿宋" w:cs="仿宋"/>
                <w:sz w:val="24"/>
                <w:szCs w:val="24"/>
              </w:rPr>
              <w:t>模拟试讲</w:t>
            </w:r>
          </w:p>
        </w:tc>
        <w:tc>
          <w:tcPr>
            <w:tcW w:w="780" w:type="dxa"/>
            <w:shd w:val="clear" w:color="auto" w:fill="auto"/>
            <w:noWrap w:val="0"/>
            <w:vAlign w:val="center"/>
          </w:tcPr>
          <w:p w14:paraId="3A18CFBD">
            <w:pPr>
              <w:pageBreakBefore w:val="0"/>
              <w:kinsoku/>
              <w:overflowPunct/>
              <w:topLinePunct w:val="0"/>
              <w:bidi w:val="0"/>
              <w:adjustRightInd w:val="0"/>
              <w:snapToGrid w:val="0"/>
              <w:spacing w:line="240" w:lineRule="auto"/>
              <w:jc w:val="center"/>
              <w:rPr>
                <w:rFonts w:hint="eastAsia" w:ascii="仿宋" w:hAnsi="Times New Roman" w:eastAsia="仿宋" w:cs="仿宋"/>
                <w:bCs/>
                <w:color w:val="000000"/>
                <w:sz w:val="24"/>
                <w:szCs w:val="24"/>
                <w:lang w:val="en-US" w:eastAsia="zh-CN" w:bidi="ar-SA"/>
              </w:rPr>
            </w:pPr>
            <w:r>
              <w:rPr>
                <w:rFonts w:hint="eastAsia" w:ascii="仿宋" w:eastAsia="仿宋" w:cs="仿宋"/>
                <w:bCs/>
                <w:sz w:val="24"/>
                <w:szCs w:val="24"/>
              </w:rPr>
              <w:t>支撑课程目标1</w:t>
            </w:r>
            <w:r>
              <w:rPr>
                <w:rFonts w:hint="eastAsia" w:ascii="仿宋" w:eastAsia="仿宋" w:cs="仿宋"/>
                <w:bCs/>
                <w:sz w:val="24"/>
                <w:szCs w:val="24"/>
                <w:lang w:val="en-US" w:eastAsia="zh-CN"/>
              </w:rPr>
              <w:t>、</w:t>
            </w:r>
            <w:r>
              <w:rPr>
                <w:rFonts w:hint="eastAsia" w:ascii="仿宋" w:eastAsia="仿宋" w:cs="仿宋"/>
                <w:bCs/>
                <w:sz w:val="24"/>
                <w:szCs w:val="24"/>
              </w:rPr>
              <w:t>2</w:t>
            </w:r>
            <w:r>
              <w:rPr>
                <w:rFonts w:hint="eastAsia" w:ascii="仿宋" w:eastAsia="仿宋" w:cs="仿宋"/>
                <w:bCs/>
                <w:sz w:val="24"/>
                <w:szCs w:val="24"/>
                <w:lang w:val="en-US" w:eastAsia="zh-CN"/>
              </w:rPr>
              <w:t>、</w:t>
            </w:r>
            <w:r>
              <w:rPr>
                <w:rFonts w:hint="eastAsia" w:ascii="仿宋" w:eastAsia="仿宋" w:cs="仿宋"/>
                <w:bCs/>
                <w:sz w:val="24"/>
                <w:szCs w:val="24"/>
              </w:rPr>
              <w:t>3</w:t>
            </w:r>
          </w:p>
        </w:tc>
        <w:tc>
          <w:tcPr>
            <w:tcW w:w="589" w:type="dxa"/>
            <w:shd w:val="clear" w:color="auto" w:fill="FFFFFF"/>
            <w:noWrap w:val="0"/>
            <w:vAlign w:val="center"/>
          </w:tcPr>
          <w:p w14:paraId="43599AB3">
            <w:pPr>
              <w:pageBreakBefore w:val="0"/>
              <w:kinsoku/>
              <w:overflowPunct/>
              <w:topLinePunct w:val="0"/>
              <w:bidi w:val="0"/>
              <w:adjustRightInd w:val="0"/>
              <w:snapToGrid w:val="0"/>
              <w:spacing w:line="240" w:lineRule="auto"/>
              <w:jc w:val="center"/>
              <w:rPr>
                <w:rFonts w:hint="default" w:ascii="仿宋" w:hAnsi="Times New Roman" w:eastAsia="仿宋" w:cs="仿宋"/>
                <w:color w:val="000000"/>
                <w:sz w:val="24"/>
                <w:szCs w:val="24"/>
                <w:lang w:val="en-US" w:eastAsia="zh-CN" w:bidi="ar-SA"/>
              </w:rPr>
            </w:pPr>
            <w:r>
              <w:rPr>
                <w:rFonts w:hint="eastAsia" w:ascii="仿宋" w:eastAsia="仿宋" w:cs="仿宋"/>
                <w:color w:val="000000"/>
                <w:sz w:val="24"/>
                <w:szCs w:val="24"/>
                <w:lang w:val="en-US" w:eastAsia="zh-CN" w:bidi="ar-SA"/>
              </w:rPr>
              <w:t>10</w:t>
            </w:r>
          </w:p>
        </w:tc>
      </w:tr>
      <w:tr w14:paraId="4AB8B0AE">
        <w:trPr>
          <w:trHeight w:val="624" w:hRule="atLeast"/>
        </w:trPr>
        <w:tc>
          <w:tcPr>
            <w:tcW w:w="1375" w:type="dxa"/>
            <w:vMerge w:val="continue"/>
            <w:shd w:val="clear" w:color="auto" w:fill="FFFFFF"/>
            <w:noWrap w:val="0"/>
            <w:vAlign w:val="center"/>
          </w:tcPr>
          <w:p w14:paraId="62000F0D">
            <w:pPr>
              <w:pageBreakBefore w:val="0"/>
              <w:kinsoku/>
              <w:overflowPunct/>
              <w:topLinePunct w:val="0"/>
              <w:bidi w:val="0"/>
              <w:spacing w:line="240" w:lineRule="auto"/>
            </w:pPr>
          </w:p>
        </w:tc>
        <w:tc>
          <w:tcPr>
            <w:tcW w:w="6402" w:type="dxa"/>
            <w:gridSpan w:val="10"/>
            <w:shd w:val="clear" w:color="auto" w:fill="auto"/>
            <w:noWrap w:val="0"/>
            <w:vAlign w:val="center"/>
          </w:tcPr>
          <w:p w14:paraId="0A4AB29B">
            <w:pPr>
              <w:pageBreakBefore w:val="0"/>
              <w:widowControl/>
              <w:kinsoku/>
              <w:overflowPunct/>
              <w:topLinePunct w:val="0"/>
              <w:bidi w:val="0"/>
              <w:adjustRightInd w:val="0"/>
              <w:snapToGrid w:val="0"/>
              <w:spacing w:line="240" w:lineRule="auto"/>
              <w:rPr>
                <w:rFonts w:hint="eastAsia" w:ascii="仿宋" w:eastAsia="仿宋"/>
                <w:sz w:val="24"/>
                <w:szCs w:val="24"/>
              </w:rPr>
            </w:pPr>
            <w:r>
              <w:rPr>
                <w:rFonts w:hint="eastAsia" w:ascii="仿宋" w:eastAsia="仿宋"/>
                <w:sz w:val="24"/>
                <w:szCs w:val="24"/>
                <w:lang w:val="en-US" w:eastAsia="zh-CN"/>
              </w:rPr>
              <w:t>四、</w:t>
            </w:r>
            <w:r>
              <w:rPr>
                <w:rFonts w:hint="eastAsia" w:ascii="仿宋" w:eastAsia="仿宋"/>
                <w:sz w:val="24"/>
                <w:szCs w:val="24"/>
              </w:rPr>
              <w:t>演奏教学设计与实施</w:t>
            </w:r>
          </w:p>
          <w:p w14:paraId="449AF3B0">
            <w:pPr>
              <w:pageBreakBefore w:val="0"/>
              <w:kinsoku/>
              <w:overflowPunct/>
              <w:topLinePunct w:val="0"/>
              <w:bidi w:val="0"/>
              <w:adjustRightInd w:val="0"/>
              <w:snapToGrid w:val="0"/>
              <w:spacing w:line="240" w:lineRule="auto"/>
              <w:rPr>
                <w:rFonts w:hint="eastAsia" w:ascii="仿宋" w:eastAsia="仿宋" w:cs="宋体"/>
                <w:sz w:val="24"/>
                <w:szCs w:val="24"/>
              </w:rPr>
            </w:pPr>
            <w:r>
              <w:rPr>
                <w:rFonts w:hint="eastAsia" w:ascii="仿宋" w:eastAsia="仿宋" w:cs="仿宋"/>
                <w:sz w:val="24"/>
                <w:szCs w:val="24"/>
                <w:lang w:eastAsia="zh-Hans"/>
              </w:rPr>
              <w:t>分析：</w:t>
            </w:r>
            <w:r>
              <w:rPr>
                <w:rFonts w:hint="eastAsia" w:ascii="仿宋" w:eastAsia="仿宋" w:cs="仿宋"/>
                <w:sz w:val="24"/>
                <w:szCs w:val="24"/>
              </w:rPr>
              <w:t>依据学段目标与内容标准，赏析中</w:t>
            </w:r>
            <w:r>
              <w:rPr>
                <w:rFonts w:hint="eastAsia" w:ascii="仿宋" w:eastAsia="仿宋" w:cs="仿宋"/>
                <w:sz w:val="24"/>
                <w:szCs w:val="24"/>
                <w:lang w:val="en-US" w:eastAsia="zh-CN"/>
              </w:rPr>
              <w:t>小</w:t>
            </w:r>
            <w:r>
              <w:rPr>
                <w:rFonts w:hint="eastAsia" w:ascii="仿宋" w:eastAsia="仿宋" w:cs="宋体"/>
                <w:sz w:val="24"/>
                <w:szCs w:val="24"/>
              </w:rPr>
              <w:t>学</w:t>
            </w:r>
            <w:r>
              <w:rPr>
                <w:rFonts w:hint="eastAsia" w:ascii="仿宋" w:eastAsia="仿宋"/>
                <w:sz w:val="24"/>
                <w:szCs w:val="24"/>
              </w:rPr>
              <w:t>演奏</w:t>
            </w:r>
            <w:r>
              <w:rPr>
                <w:rFonts w:hint="eastAsia" w:ascii="仿宋" w:eastAsia="仿宋" w:cs="宋体"/>
                <w:sz w:val="24"/>
                <w:szCs w:val="24"/>
              </w:rPr>
              <w:t>优质课</w:t>
            </w:r>
          </w:p>
          <w:p w14:paraId="6D0C9FAA">
            <w:pPr>
              <w:pageBreakBefore w:val="0"/>
              <w:kinsoku/>
              <w:overflowPunct/>
              <w:topLinePunct w:val="0"/>
              <w:bidi w:val="0"/>
              <w:adjustRightInd w:val="0"/>
              <w:snapToGrid w:val="0"/>
              <w:spacing w:line="240" w:lineRule="auto"/>
              <w:rPr>
                <w:rFonts w:hint="eastAsia" w:ascii="仿宋" w:eastAsia="仿宋" w:cs="宋体"/>
                <w:sz w:val="24"/>
                <w:szCs w:val="24"/>
              </w:rPr>
            </w:pPr>
            <w:r>
              <w:rPr>
                <w:rFonts w:hint="eastAsia" w:ascii="仿宋" w:eastAsia="仿宋" w:cs="仿宋"/>
                <w:bCs/>
                <w:sz w:val="24"/>
                <w:szCs w:val="24"/>
              </w:rPr>
              <w:t>评价：</w:t>
            </w:r>
            <w:r>
              <w:rPr>
                <w:rFonts w:hint="eastAsia" w:ascii="仿宋" w:eastAsia="仿宋" w:cs="仿宋"/>
                <w:sz w:val="24"/>
                <w:szCs w:val="24"/>
              </w:rPr>
              <w:t>中</w:t>
            </w:r>
            <w:r>
              <w:rPr>
                <w:rFonts w:hint="eastAsia" w:ascii="仿宋" w:eastAsia="仿宋" w:cs="仿宋"/>
                <w:sz w:val="24"/>
                <w:szCs w:val="24"/>
                <w:lang w:val="en-US" w:eastAsia="zh-CN"/>
              </w:rPr>
              <w:t>小</w:t>
            </w:r>
            <w:r>
              <w:rPr>
                <w:rFonts w:hint="eastAsia" w:ascii="仿宋" w:eastAsia="仿宋" w:cs="宋体"/>
                <w:sz w:val="24"/>
                <w:szCs w:val="24"/>
              </w:rPr>
              <w:t>学</w:t>
            </w:r>
            <w:r>
              <w:rPr>
                <w:rFonts w:hint="eastAsia" w:ascii="仿宋" w:eastAsia="仿宋"/>
                <w:sz w:val="24"/>
                <w:szCs w:val="24"/>
              </w:rPr>
              <w:t>演奏</w:t>
            </w:r>
            <w:r>
              <w:rPr>
                <w:rFonts w:hint="eastAsia" w:ascii="仿宋" w:eastAsia="仿宋" w:cs="宋体"/>
                <w:sz w:val="24"/>
                <w:szCs w:val="24"/>
              </w:rPr>
              <w:t>课</w:t>
            </w:r>
            <w:r>
              <w:rPr>
                <w:rFonts w:hint="eastAsia" w:ascii="仿宋" w:eastAsia="仿宋" w:cs="仿宋"/>
                <w:sz w:val="24"/>
                <w:szCs w:val="24"/>
                <w:lang w:eastAsia="zh-Hans"/>
              </w:rPr>
              <w:t>（视频）</w:t>
            </w:r>
            <w:r>
              <w:rPr>
                <w:rFonts w:hint="eastAsia" w:ascii="仿宋" w:eastAsia="仿宋" w:cs="宋体"/>
                <w:sz w:val="24"/>
                <w:szCs w:val="24"/>
              </w:rPr>
              <w:t>教学设计与实施达成的优劣</w:t>
            </w:r>
          </w:p>
          <w:p w14:paraId="62371BC2">
            <w:pPr>
              <w:pageBreakBefore w:val="0"/>
              <w:kinsoku/>
              <w:overflowPunct/>
              <w:topLinePunct w:val="0"/>
              <w:bidi w:val="0"/>
              <w:adjustRightInd w:val="0"/>
              <w:snapToGrid w:val="0"/>
              <w:spacing w:line="240" w:lineRule="auto"/>
              <w:rPr>
                <w:rFonts w:hint="eastAsia" w:ascii="仿宋" w:eastAsia="仿宋" w:cs="宋体"/>
                <w:sz w:val="24"/>
                <w:szCs w:val="24"/>
              </w:rPr>
            </w:pPr>
            <w:r>
              <w:rPr>
                <w:rFonts w:hint="eastAsia" w:ascii="仿宋" w:eastAsia="仿宋" w:cs="仿宋"/>
                <w:sz w:val="24"/>
                <w:szCs w:val="24"/>
              </w:rPr>
              <w:t>应用：</w:t>
            </w:r>
            <w:r>
              <w:rPr>
                <w:rFonts w:hint="eastAsia" w:ascii="仿宋" w:eastAsia="仿宋"/>
                <w:sz w:val="24"/>
                <w:szCs w:val="24"/>
              </w:rPr>
              <w:t>选择中学教材中的演奏教学内容进行设计与实施</w:t>
            </w:r>
          </w:p>
          <w:p w14:paraId="708791B2">
            <w:pPr>
              <w:pageBreakBefore w:val="0"/>
              <w:kinsoku/>
              <w:overflowPunct/>
              <w:topLinePunct w:val="0"/>
              <w:bidi w:val="0"/>
              <w:adjustRightInd w:val="0"/>
              <w:snapToGrid w:val="0"/>
              <w:spacing w:line="240" w:lineRule="auto"/>
              <w:rPr>
                <w:rFonts w:hint="eastAsia" w:ascii="仿宋" w:eastAsia="仿宋" w:cs="仿宋"/>
                <w:sz w:val="24"/>
                <w:szCs w:val="24"/>
                <w:lang w:eastAsia="zh-Hans"/>
              </w:rPr>
            </w:pPr>
            <w:r>
              <w:rPr>
                <w:rFonts w:hint="eastAsia" w:ascii="仿宋" w:eastAsia="仿宋"/>
                <w:sz w:val="24"/>
                <w:szCs w:val="24"/>
              </w:rPr>
              <w:t>综合：选择感兴趣的</w:t>
            </w:r>
            <w:r>
              <w:rPr>
                <w:rFonts w:hint="eastAsia" w:ascii="仿宋" w:eastAsia="仿宋" w:cs="仿宋"/>
                <w:sz w:val="24"/>
                <w:szCs w:val="24"/>
              </w:rPr>
              <w:t>中</w:t>
            </w:r>
            <w:r>
              <w:rPr>
                <w:rFonts w:hint="eastAsia" w:ascii="仿宋" w:eastAsia="仿宋" w:cs="仿宋"/>
                <w:sz w:val="24"/>
                <w:szCs w:val="24"/>
                <w:lang w:val="en-US" w:eastAsia="zh-CN"/>
              </w:rPr>
              <w:t>小</w:t>
            </w:r>
            <w:r>
              <w:rPr>
                <w:rFonts w:hint="eastAsia" w:ascii="仿宋" w:eastAsia="仿宋" w:cs="宋体"/>
                <w:sz w:val="24"/>
                <w:szCs w:val="24"/>
              </w:rPr>
              <w:t>学</w:t>
            </w:r>
            <w:r>
              <w:rPr>
                <w:rFonts w:hint="eastAsia" w:ascii="仿宋" w:eastAsia="仿宋"/>
                <w:sz w:val="24"/>
                <w:szCs w:val="24"/>
              </w:rPr>
              <w:t>演奏</w:t>
            </w:r>
            <w:r>
              <w:rPr>
                <w:rFonts w:hint="eastAsia" w:ascii="仿宋" w:eastAsia="仿宋" w:cs="宋体"/>
                <w:sz w:val="24"/>
                <w:szCs w:val="24"/>
              </w:rPr>
              <w:t>课</w:t>
            </w:r>
            <w:r>
              <w:rPr>
                <w:rFonts w:hint="eastAsia" w:ascii="仿宋" w:eastAsia="仿宋" w:cs="仿宋"/>
                <w:sz w:val="24"/>
                <w:szCs w:val="24"/>
                <w:lang w:eastAsia="zh-Hans"/>
              </w:rPr>
              <w:t>（视频）</w:t>
            </w:r>
            <w:r>
              <w:rPr>
                <w:rFonts w:hint="eastAsia" w:ascii="仿宋" w:eastAsia="仿宋"/>
                <w:sz w:val="24"/>
                <w:szCs w:val="24"/>
              </w:rPr>
              <w:t>自行</w:t>
            </w:r>
            <w:r>
              <w:rPr>
                <w:rFonts w:hint="eastAsia" w:ascii="仿宋" w:eastAsia="仿宋"/>
                <w:sz w:val="24"/>
                <w:szCs w:val="24"/>
                <w:lang w:val="en-US" w:eastAsia="zh-CN"/>
              </w:rPr>
              <w:t>说课与</w:t>
            </w:r>
            <w:r>
              <w:rPr>
                <w:rFonts w:hint="eastAsia" w:ascii="仿宋" w:eastAsia="仿宋"/>
                <w:sz w:val="24"/>
                <w:szCs w:val="24"/>
              </w:rPr>
              <w:t>模拟试讲</w:t>
            </w:r>
          </w:p>
        </w:tc>
        <w:tc>
          <w:tcPr>
            <w:tcW w:w="780" w:type="dxa"/>
            <w:shd w:val="clear" w:color="auto" w:fill="auto"/>
            <w:noWrap w:val="0"/>
            <w:vAlign w:val="center"/>
          </w:tcPr>
          <w:p w14:paraId="2629BBB1">
            <w:pPr>
              <w:pageBreakBefore w:val="0"/>
              <w:kinsoku/>
              <w:overflowPunct/>
              <w:topLinePunct w:val="0"/>
              <w:bidi w:val="0"/>
              <w:adjustRightInd w:val="0"/>
              <w:snapToGrid w:val="0"/>
              <w:spacing w:line="240" w:lineRule="auto"/>
              <w:jc w:val="center"/>
              <w:rPr>
                <w:rFonts w:hint="eastAsia" w:ascii="仿宋" w:hAnsi="Times New Roman" w:eastAsia="仿宋" w:cs="仿宋"/>
                <w:bCs/>
                <w:color w:val="000000"/>
                <w:sz w:val="24"/>
                <w:szCs w:val="24"/>
                <w:lang w:val="en-US" w:eastAsia="zh-CN" w:bidi="ar-SA"/>
              </w:rPr>
            </w:pPr>
            <w:r>
              <w:rPr>
                <w:rFonts w:hint="eastAsia" w:ascii="仿宋" w:eastAsia="仿宋" w:cs="仿宋"/>
                <w:bCs/>
                <w:sz w:val="24"/>
                <w:szCs w:val="24"/>
              </w:rPr>
              <w:t>支撑课程目标1</w:t>
            </w:r>
            <w:r>
              <w:rPr>
                <w:rFonts w:hint="eastAsia" w:ascii="仿宋" w:eastAsia="仿宋" w:cs="仿宋"/>
                <w:bCs/>
                <w:sz w:val="24"/>
                <w:szCs w:val="24"/>
                <w:lang w:val="en-US" w:eastAsia="zh-CN"/>
              </w:rPr>
              <w:t>、</w:t>
            </w:r>
            <w:r>
              <w:rPr>
                <w:rFonts w:hint="eastAsia" w:ascii="仿宋" w:eastAsia="仿宋" w:cs="仿宋"/>
                <w:bCs/>
                <w:sz w:val="24"/>
                <w:szCs w:val="24"/>
              </w:rPr>
              <w:t>2</w:t>
            </w:r>
            <w:r>
              <w:rPr>
                <w:rFonts w:hint="eastAsia" w:ascii="仿宋" w:eastAsia="仿宋" w:cs="仿宋"/>
                <w:bCs/>
                <w:sz w:val="24"/>
                <w:szCs w:val="24"/>
                <w:lang w:val="en-US" w:eastAsia="zh-CN"/>
              </w:rPr>
              <w:t>、</w:t>
            </w:r>
            <w:r>
              <w:rPr>
                <w:rFonts w:hint="eastAsia" w:ascii="仿宋" w:eastAsia="仿宋" w:cs="仿宋"/>
                <w:bCs/>
                <w:sz w:val="24"/>
                <w:szCs w:val="24"/>
              </w:rPr>
              <w:t>3</w:t>
            </w:r>
          </w:p>
        </w:tc>
        <w:tc>
          <w:tcPr>
            <w:tcW w:w="589" w:type="dxa"/>
            <w:shd w:val="clear" w:color="auto" w:fill="FFFFFF"/>
            <w:noWrap w:val="0"/>
            <w:vAlign w:val="center"/>
          </w:tcPr>
          <w:p w14:paraId="20893A32">
            <w:pPr>
              <w:pageBreakBefore w:val="0"/>
              <w:kinsoku/>
              <w:overflowPunct/>
              <w:topLinePunct w:val="0"/>
              <w:bidi w:val="0"/>
              <w:adjustRightInd w:val="0"/>
              <w:snapToGrid w:val="0"/>
              <w:spacing w:line="240" w:lineRule="auto"/>
              <w:jc w:val="center"/>
              <w:rPr>
                <w:rFonts w:hint="eastAsia" w:ascii="仿宋" w:hAnsi="Times New Roman" w:eastAsia="仿宋" w:cs="仿宋"/>
                <w:color w:val="000000"/>
                <w:sz w:val="24"/>
                <w:szCs w:val="24"/>
                <w:lang w:val="en-US" w:eastAsia="zh-CN" w:bidi="ar-SA"/>
              </w:rPr>
            </w:pPr>
            <w:r>
              <w:rPr>
                <w:rFonts w:hint="eastAsia" w:ascii="仿宋" w:eastAsia="仿宋" w:cs="仿宋"/>
                <w:sz w:val="24"/>
                <w:szCs w:val="24"/>
                <w:lang w:val="en-US" w:eastAsia="zh-CN"/>
              </w:rPr>
              <w:t>4</w:t>
            </w:r>
          </w:p>
        </w:tc>
      </w:tr>
      <w:tr w14:paraId="4217C7B4">
        <w:trPr>
          <w:trHeight w:val="624" w:hRule="atLeast"/>
        </w:trPr>
        <w:tc>
          <w:tcPr>
            <w:tcW w:w="1375" w:type="dxa"/>
            <w:vMerge w:val="continue"/>
            <w:shd w:val="clear" w:color="auto" w:fill="FFFFFF"/>
            <w:noWrap w:val="0"/>
            <w:vAlign w:val="center"/>
          </w:tcPr>
          <w:p w14:paraId="2809DFBD">
            <w:pPr>
              <w:pageBreakBefore w:val="0"/>
              <w:kinsoku/>
              <w:overflowPunct/>
              <w:topLinePunct w:val="0"/>
              <w:bidi w:val="0"/>
              <w:spacing w:line="240" w:lineRule="auto"/>
            </w:pPr>
          </w:p>
        </w:tc>
        <w:tc>
          <w:tcPr>
            <w:tcW w:w="6402" w:type="dxa"/>
            <w:gridSpan w:val="10"/>
            <w:shd w:val="clear" w:color="auto" w:fill="auto"/>
            <w:noWrap w:val="0"/>
            <w:vAlign w:val="center"/>
          </w:tcPr>
          <w:p w14:paraId="5A7DFF7F">
            <w:pPr>
              <w:pageBreakBefore w:val="0"/>
              <w:widowControl/>
              <w:kinsoku/>
              <w:overflowPunct/>
              <w:topLinePunct w:val="0"/>
              <w:bidi w:val="0"/>
              <w:adjustRightInd w:val="0"/>
              <w:snapToGrid w:val="0"/>
              <w:spacing w:line="240" w:lineRule="auto"/>
              <w:rPr>
                <w:rFonts w:hint="eastAsia" w:ascii="仿宋" w:eastAsia="仿宋"/>
                <w:sz w:val="24"/>
                <w:szCs w:val="24"/>
              </w:rPr>
            </w:pPr>
            <w:r>
              <w:rPr>
                <w:rFonts w:hint="eastAsia" w:ascii="仿宋" w:eastAsia="仿宋"/>
                <w:sz w:val="24"/>
                <w:szCs w:val="24"/>
                <w:lang w:val="en-US" w:eastAsia="zh-CN"/>
              </w:rPr>
              <w:t>五、</w:t>
            </w:r>
            <w:r>
              <w:rPr>
                <w:rFonts w:hint="eastAsia" w:ascii="仿宋" w:eastAsia="仿宋"/>
                <w:sz w:val="24"/>
                <w:szCs w:val="24"/>
              </w:rPr>
              <w:t>创造教学设计与实施</w:t>
            </w:r>
          </w:p>
          <w:p w14:paraId="441F1B21">
            <w:pPr>
              <w:pageBreakBefore w:val="0"/>
              <w:kinsoku/>
              <w:overflowPunct/>
              <w:topLinePunct w:val="0"/>
              <w:bidi w:val="0"/>
              <w:adjustRightInd w:val="0"/>
              <w:snapToGrid w:val="0"/>
              <w:spacing w:line="240" w:lineRule="auto"/>
              <w:rPr>
                <w:rFonts w:hint="eastAsia" w:ascii="仿宋" w:eastAsia="仿宋" w:cs="宋体"/>
                <w:sz w:val="24"/>
                <w:szCs w:val="24"/>
              </w:rPr>
            </w:pPr>
            <w:r>
              <w:rPr>
                <w:rFonts w:hint="eastAsia" w:ascii="仿宋" w:eastAsia="仿宋" w:cs="仿宋"/>
                <w:sz w:val="24"/>
                <w:szCs w:val="24"/>
                <w:lang w:eastAsia="zh-Hans"/>
              </w:rPr>
              <w:t>分析：</w:t>
            </w:r>
            <w:r>
              <w:rPr>
                <w:rFonts w:hint="eastAsia" w:ascii="仿宋" w:eastAsia="仿宋" w:cs="仿宋"/>
                <w:sz w:val="24"/>
                <w:szCs w:val="24"/>
              </w:rPr>
              <w:t>依据学段目标与内容标准，赏析中</w:t>
            </w:r>
            <w:r>
              <w:rPr>
                <w:rFonts w:hint="eastAsia" w:ascii="仿宋" w:eastAsia="仿宋" w:cs="仿宋"/>
                <w:sz w:val="24"/>
                <w:szCs w:val="24"/>
                <w:lang w:val="en-US" w:eastAsia="zh-CN"/>
              </w:rPr>
              <w:t>小</w:t>
            </w:r>
            <w:r>
              <w:rPr>
                <w:rFonts w:hint="eastAsia" w:ascii="仿宋" w:eastAsia="仿宋" w:cs="宋体"/>
                <w:sz w:val="24"/>
                <w:szCs w:val="24"/>
              </w:rPr>
              <w:t>学</w:t>
            </w:r>
            <w:r>
              <w:rPr>
                <w:rFonts w:hint="eastAsia" w:ascii="仿宋" w:eastAsia="仿宋"/>
                <w:sz w:val="24"/>
                <w:szCs w:val="24"/>
              </w:rPr>
              <w:t>创造</w:t>
            </w:r>
            <w:r>
              <w:rPr>
                <w:rFonts w:hint="eastAsia" w:ascii="仿宋" w:eastAsia="仿宋" w:cs="宋体"/>
                <w:sz w:val="24"/>
                <w:szCs w:val="24"/>
              </w:rPr>
              <w:t>优质课</w:t>
            </w:r>
          </w:p>
          <w:p w14:paraId="73F793AC">
            <w:pPr>
              <w:pageBreakBefore w:val="0"/>
              <w:kinsoku/>
              <w:overflowPunct/>
              <w:topLinePunct w:val="0"/>
              <w:bidi w:val="0"/>
              <w:adjustRightInd w:val="0"/>
              <w:snapToGrid w:val="0"/>
              <w:spacing w:line="240" w:lineRule="auto"/>
              <w:rPr>
                <w:rFonts w:hint="eastAsia" w:ascii="仿宋" w:eastAsia="仿宋" w:cs="宋体"/>
                <w:sz w:val="24"/>
                <w:szCs w:val="24"/>
              </w:rPr>
            </w:pPr>
            <w:r>
              <w:rPr>
                <w:rFonts w:hint="eastAsia" w:ascii="仿宋" w:eastAsia="仿宋" w:cs="仿宋"/>
                <w:bCs/>
                <w:sz w:val="24"/>
                <w:szCs w:val="24"/>
              </w:rPr>
              <w:t>评价：</w:t>
            </w:r>
            <w:r>
              <w:rPr>
                <w:rFonts w:hint="eastAsia" w:ascii="仿宋" w:eastAsia="仿宋" w:cs="仿宋"/>
                <w:sz w:val="24"/>
                <w:szCs w:val="24"/>
              </w:rPr>
              <w:t>中</w:t>
            </w:r>
            <w:r>
              <w:rPr>
                <w:rFonts w:hint="eastAsia" w:ascii="仿宋" w:eastAsia="仿宋" w:cs="仿宋"/>
                <w:sz w:val="24"/>
                <w:szCs w:val="24"/>
                <w:lang w:val="en-US" w:eastAsia="zh-CN"/>
              </w:rPr>
              <w:t>小</w:t>
            </w:r>
            <w:r>
              <w:rPr>
                <w:rFonts w:hint="eastAsia" w:ascii="仿宋" w:eastAsia="仿宋" w:cs="宋体"/>
                <w:sz w:val="24"/>
                <w:szCs w:val="24"/>
              </w:rPr>
              <w:t>学</w:t>
            </w:r>
            <w:r>
              <w:rPr>
                <w:rFonts w:hint="eastAsia" w:ascii="仿宋" w:eastAsia="仿宋"/>
                <w:sz w:val="24"/>
                <w:szCs w:val="24"/>
              </w:rPr>
              <w:t>创造</w:t>
            </w:r>
            <w:r>
              <w:rPr>
                <w:rFonts w:hint="eastAsia" w:ascii="仿宋" w:eastAsia="仿宋" w:cs="宋体"/>
                <w:sz w:val="24"/>
                <w:szCs w:val="24"/>
              </w:rPr>
              <w:t>课</w:t>
            </w:r>
            <w:r>
              <w:rPr>
                <w:rFonts w:hint="eastAsia" w:ascii="仿宋" w:eastAsia="仿宋" w:cs="仿宋"/>
                <w:sz w:val="24"/>
                <w:szCs w:val="24"/>
                <w:lang w:eastAsia="zh-Hans"/>
              </w:rPr>
              <w:t>（视频）</w:t>
            </w:r>
            <w:r>
              <w:rPr>
                <w:rFonts w:hint="eastAsia" w:ascii="仿宋" w:eastAsia="仿宋" w:cs="宋体"/>
                <w:sz w:val="24"/>
                <w:szCs w:val="24"/>
              </w:rPr>
              <w:t>教学设计与实施达成的优劣</w:t>
            </w:r>
          </w:p>
          <w:p w14:paraId="1A3010FF">
            <w:pPr>
              <w:pageBreakBefore w:val="0"/>
              <w:kinsoku/>
              <w:overflowPunct/>
              <w:topLinePunct w:val="0"/>
              <w:bidi w:val="0"/>
              <w:adjustRightInd w:val="0"/>
              <w:snapToGrid w:val="0"/>
              <w:spacing w:line="240" w:lineRule="auto"/>
              <w:rPr>
                <w:rFonts w:hint="eastAsia" w:ascii="仿宋" w:eastAsia="仿宋" w:cs="宋体"/>
                <w:sz w:val="24"/>
                <w:szCs w:val="24"/>
              </w:rPr>
            </w:pPr>
            <w:r>
              <w:rPr>
                <w:rFonts w:hint="eastAsia" w:ascii="仿宋" w:eastAsia="仿宋" w:cs="仿宋"/>
                <w:sz w:val="24"/>
                <w:szCs w:val="24"/>
              </w:rPr>
              <w:t>应用：</w:t>
            </w:r>
            <w:r>
              <w:rPr>
                <w:rFonts w:hint="eastAsia" w:ascii="仿宋" w:eastAsia="仿宋"/>
                <w:sz w:val="24"/>
                <w:szCs w:val="24"/>
              </w:rPr>
              <w:t>选择中学教材中的创造教学内容进行设计与实施</w:t>
            </w:r>
          </w:p>
          <w:p w14:paraId="6BBF538F">
            <w:pPr>
              <w:pageBreakBefore w:val="0"/>
              <w:kinsoku/>
              <w:overflowPunct/>
              <w:topLinePunct w:val="0"/>
              <w:bidi w:val="0"/>
              <w:adjustRightInd w:val="0"/>
              <w:snapToGrid w:val="0"/>
              <w:spacing w:line="240" w:lineRule="auto"/>
              <w:rPr>
                <w:rFonts w:hint="eastAsia" w:ascii="仿宋" w:hAnsi="Times New Roman" w:eastAsia="仿宋" w:cs="仿宋"/>
                <w:color w:val="000000"/>
                <w:sz w:val="24"/>
                <w:szCs w:val="24"/>
                <w:lang w:val="en-US" w:eastAsia="zh-Hans" w:bidi="ar-SA"/>
              </w:rPr>
            </w:pPr>
            <w:r>
              <w:rPr>
                <w:rFonts w:hint="eastAsia" w:ascii="仿宋" w:eastAsia="仿宋"/>
                <w:sz w:val="24"/>
                <w:szCs w:val="24"/>
              </w:rPr>
              <w:t>综合：选择感兴趣的</w:t>
            </w:r>
            <w:r>
              <w:rPr>
                <w:rFonts w:hint="eastAsia" w:ascii="仿宋" w:eastAsia="仿宋" w:cs="仿宋"/>
                <w:sz w:val="24"/>
                <w:szCs w:val="24"/>
              </w:rPr>
              <w:t>中</w:t>
            </w:r>
            <w:r>
              <w:rPr>
                <w:rFonts w:hint="eastAsia" w:ascii="仿宋" w:eastAsia="仿宋" w:cs="仿宋"/>
                <w:sz w:val="24"/>
                <w:szCs w:val="24"/>
                <w:lang w:val="en-US" w:eastAsia="zh-CN"/>
              </w:rPr>
              <w:t>小</w:t>
            </w:r>
            <w:r>
              <w:rPr>
                <w:rFonts w:hint="eastAsia" w:ascii="仿宋" w:eastAsia="仿宋" w:cs="宋体"/>
                <w:sz w:val="24"/>
                <w:szCs w:val="24"/>
              </w:rPr>
              <w:t>学</w:t>
            </w:r>
            <w:r>
              <w:rPr>
                <w:rFonts w:hint="eastAsia" w:ascii="仿宋" w:eastAsia="仿宋"/>
                <w:sz w:val="24"/>
                <w:szCs w:val="24"/>
              </w:rPr>
              <w:t>创造</w:t>
            </w:r>
            <w:r>
              <w:rPr>
                <w:rFonts w:hint="eastAsia" w:ascii="仿宋" w:eastAsia="仿宋" w:cs="宋体"/>
                <w:sz w:val="24"/>
                <w:szCs w:val="24"/>
              </w:rPr>
              <w:t>课</w:t>
            </w:r>
            <w:r>
              <w:rPr>
                <w:rFonts w:hint="eastAsia" w:ascii="仿宋" w:eastAsia="仿宋" w:cs="仿宋"/>
                <w:sz w:val="24"/>
                <w:szCs w:val="24"/>
                <w:lang w:eastAsia="zh-Hans"/>
              </w:rPr>
              <w:t>（视频）</w:t>
            </w:r>
            <w:r>
              <w:rPr>
                <w:rFonts w:hint="eastAsia" w:ascii="仿宋" w:eastAsia="仿宋"/>
                <w:sz w:val="24"/>
                <w:szCs w:val="24"/>
              </w:rPr>
              <w:t>自行</w:t>
            </w:r>
            <w:r>
              <w:rPr>
                <w:rFonts w:hint="eastAsia" w:ascii="仿宋" w:eastAsia="仿宋"/>
                <w:sz w:val="24"/>
                <w:szCs w:val="24"/>
                <w:lang w:val="en-US" w:eastAsia="zh-CN"/>
              </w:rPr>
              <w:t>说课与</w:t>
            </w:r>
            <w:r>
              <w:rPr>
                <w:rFonts w:hint="eastAsia" w:ascii="仿宋" w:eastAsia="仿宋"/>
                <w:sz w:val="24"/>
                <w:szCs w:val="24"/>
              </w:rPr>
              <w:t>模拟试讲</w:t>
            </w:r>
          </w:p>
        </w:tc>
        <w:tc>
          <w:tcPr>
            <w:tcW w:w="780" w:type="dxa"/>
            <w:shd w:val="clear" w:color="auto" w:fill="auto"/>
            <w:noWrap w:val="0"/>
            <w:vAlign w:val="center"/>
          </w:tcPr>
          <w:p w14:paraId="2A133859">
            <w:pPr>
              <w:pageBreakBefore w:val="0"/>
              <w:kinsoku/>
              <w:overflowPunct/>
              <w:topLinePunct w:val="0"/>
              <w:bidi w:val="0"/>
              <w:adjustRightInd w:val="0"/>
              <w:snapToGrid w:val="0"/>
              <w:spacing w:line="240" w:lineRule="auto"/>
              <w:jc w:val="center"/>
              <w:rPr>
                <w:rFonts w:hint="eastAsia" w:ascii="仿宋" w:hAnsi="Times New Roman" w:eastAsia="仿宋" w:cs="仿宋"/>
                <w:bCs/>
                <w:color w:val="000000"/>
                <w:sz w:val="24"/>
                <w:szCs w:val="24"/>
                <w:lang w:val="en-US" w:eastAsia="zh-CN" w:bidi="ar-SA"/>
              </w:rPr>
            </w:pPr>
            <w:r>
              <w:rPr>
                <w:rFonts w:hint="eastAsia" w:ascii="仿宋" w:eastAsia="仿宋" w:cs="仿宋"/>
                <w:bCs/>
                <w:sz w:val="24"/>
                <w:szCs w:val="24"/>
              </w:rPr>
              <w:t>支撑课程目标1</w:t>
            </w:r>
            <w:r>
              <w:rPr>
                <w:rFonts w:hint="eastAsia" w:ascii="仿宋" w:eastAsia="仿宋" w:cs="仿宋"/>
                <w:bCs/>
                <w:sz w:val="24"/>
                <w:szCs w:val="24"/>
                <w:lang w:val="en-US" w:eastAsia="zh-CN"/>
              </w:rPr>
              <w:t>、</w:t>
            </w:r>
            <w:r>
              <w:rPr>
                <w:rFonts w:hint="eastAsia" w:ascii="仿宋" w:eastAsia="仿宋" w:cs="仿宋"/>
                <w:bCs/>
                <w:sz w:val="24"/>
                <w:szCs w:val="24"/>
              </w:rPr>
              <w:t>2</w:t>
            </w:r>
            <w:r>
              <w:rPr>
                <w:rFonts w:hint="eastAsia" w:ascii="仿宋" w:eastAsia="仿宋" w:cs="仿宋"/>
                <w:bCs/>
                <w:sz w:val="24"/>
                <w:szCs w:val="24"/>
                <w:lang w:val="en-US" w:eastAsia="zh-CN"/>
              </w:rPr>
              <w:t>、</w:t>
            </w:r>
            <w:r>
              <w:rPr>
                <w:rFonts w:hint="eastAsia" w:ascii="仿宋" w:eastAsia="仿宋" w:cs="仿宋"/>
                <w:bCs/>
                <w:sz w:val="24"/>
                <w:szCs w:val="24"/>
              </w:rPr>
              <w:t>3</w:t>
            </w:r>
          </w:p>
        </w:tc>
        <w:tc>
          <w:tcPr>
            <w:tcW w:w="589" w:type="dxa"/>
            <w:shd w:val="clear" w:color="auto" w:fill="FFFFFF"/>
            <w:noWrap w:val="0"/>
            <w:vAlign w:val="center"/>
          </w:tcPr>
          <w:p w14:paraId="4E9360CA">
            <w:pPr>
              <w:pageBreakBefore w:val="0"/>
              <w:kinsoku/>
              <w:overflowPunct/>
              <w:topLinePunct w:val="0"/>
              <w:bidi w:val="0"/>
              <w:adjustRightInd w:val="0"/>
              <w:snapToGrid w:val="0"/>
              <w:spacing w:line="240" w:lineRule="auto"/>
              <w:jc w:val="center"/>
              <w:rPr>
                <w:rFonts w:hint="eastAsia" w:ascii="仿宋" w:hAnsi="Times New Roman" w:eastAsia="仿宋" w:cs="仿宋"/>
                <w:color w:val="000000"/>
                <w:sz w:val="24"/>
                <w:szCs w:val="24"/>
                <w:lang w:val="en-US" w:eastAsia="zh-CN" w:bidi="ar-SA"/>
              </w:rPr>
            </w:pPr>
            <w:r>
              <w:rPr>
                <w:rFonts w:hint="eastAsia" w:ascii="仿宋" w:eastAsia="仿宋" w:cs="仿宋"/>
                <w:sz w:val="24"/>
                <w:szCs w:val="24"/>
                <w:lang w:val="en-US" w:eastAsia="zh-CN"/>
              </w:rPr>
              <w:t>4</w:t>
            </w:r>
          </w:p>
        </w:tc>
      </w:tr>
      <w:tr w14:paraId="0BAFE6EA">
        <w:trPr>
          <w:trHeight w:val="624" w:hRule="atLeast"/>
        </w:trPr>
        <w:tc>
          <w:tcPr>
            <w:tcW w:w="1375" w:type="dxa"/>
            <w:vMerge w:val="continue"/>
            <w:shd w:val="clear" w:color="auto" w:fill="FFFFFF"/>
            <w:noWrap w:val="0"/>
            <w:vAlign w:val="center"/>
          </w:tcPr>
          <w:p w14:paraId="58A526C4">
            <w:pPr>
              <w:pageBreakBefore w:val="0"/>
              <w:kinsoku/>
              <w:overflowPunct/>
              <w:topLinePunct w:val="0"/>
              <w:bidi w:val="0"/>
              <w:spacing w:line="240" w:lineRule="auto"/>
            </w:pPr>
          </w:p>
        </w:tc>
        <w:tc>
          <w:tcPr>
            <w:tcW w:w="7182" w:type="dxa"/>
            <w:gridSpan w:val="11"/>
            <w:shd w:val="clear" w:color="auto" w:fill="auto"/>
            <w:noWrap w:val="0"/>
            <w:vAlign w:val="center"/>
          </w:tcPr>
          <w:p w14:paraId="68FE9C16">
            <w:pPr>
              <w:pageBreakBefore w:val="0"/>
              <w:kinsoku/>
              <w:overflowPunct/>
              <w:topLinePunct w:val="0"/>
              <w:bidi w:val="0"/>
              <w:adjustRightInd w:val="0"/>
              <w:snapToGrid w:val="0"/>
              <w:spacing w:line="240" w:lineRule="auto"/>
              <w:jc w:val="center"/>
              <w:rPr>
                <w:rFonts w:hint="eastAsia" w:ascii="仿宋" w:eastAsia="仿宋" w:cs="仿宋"/>
                <w:bCs/>
                <w:sz w:val="24"/>
                <w:szCs w:val="24"/>
              </w:rPr>
            </w:pPr>
            <w:r>
              <w:rPr>
                <w:rFonts w:hint="eastAsia" w:ascii="仿宋" w:eastAsia="仿宋" w:cs="仿宋"/>
                <w:bCs/>
                <w:sz w:val="24"/>
                <w:szCs w:val="24"/>
              </w:rPr>
              <w:t>合计</w:t>
            </w:r>
          </w:p>
        </w:tc>
        <w:tc>
          <w:tcPr>
            <w:tcW w:w="589" w:type="dxa"/>
            <w:shd w:val="clear" w:color="auto" w:fill="FFFFFF"/>
            <w:noWrap w:val="0"/>
            <w:vAlign w:val="center"/>
          </w:tcPr>
          <w:p w14:paraId="3174CF5F">
            <w:pPr>
              <w:pageBreakBefore w:val="0"/>
              <w:kinsoku/>
              <w:overflowPunct/>
              <w:topLinePunct w:val="0"/>
              <w:bidi w:val="0"/>
              <w:adjustRightInd w:val="0"/>
              <w:snapToGrid w:val="0"/>
              <w:spacing w:line="240" w:lineRule="auto"/>
              <w:jc w:val="center"/>
              <w:rPr>
                <w:rFonts w:hint="default" w:ascii="仿宋" w:eastAsia="仿宋" w:cs="仿宋"/>
                <w:sz w:val="24"/>
                <w:szCs w:val="24"/>
                <w:lang w:val="en-US" w:eastAsia="zh-CN"/>
              </w:rPr>
            </w:pPr>
            <w:r>
              <w:rPr>
                <w:rFonts w:hint="eastAsia" w:ascii="仿宋" w:eastAsia="仿宋" w:cs="仿宋"/>
                <w:sz w:val="24"/>
                <w:szCs w:val="24"/>
                <w:lang w:val="en-US" w:eastAsia="zh-CN"/>
              </w:rPr>
              <w:t>32</w:t>
            </w:r>
          </w:p>
        </w:tc>
      </w:tr>
      <w:tr w14:paraId="11F0FA5F">
        <w:trPr>
          <w:trHeight w:val="624" w:hRule="atLeast"/>
        </w:trPr>
        <w:tc>
          <w:tcPr>
            <w:tcW w:w="1375" w:type="dxa"/>
            <w:noWrap w:val="0"/>
            <w:vAlign w:val="center"/>
          </w:tcPr>
          <w:p w14:paraId="2A038F41">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I</w:t>
            </w:r>
          </w:p>
          <w:p w14:paraId="71864B95">
            <w:pPr>
              <w:pageBreakBefore w:val="0"/>
              <w:kinsoku/>
              <w:overflowPunct/>
              <w:topLinePunct w:val="0"/>
              <w:bidi w:val="0"/>
              <w:adjustRightInd w:val="0"/>
              <w:snapToGrid w:val="0"/>
              <w:spacing w:line="240" w:lineRule="auto"/>
              <w:jc w:val="center"/>
              <w:rPr>
                <w:rFonts w:hint="eastAsia" w:ascii="仿宋" w:eastAsia="仿宋" w:cs="仿宋"/>
                <w:sz w:val="24"/>
                <w:szCs w:val="24"/>
                <w:lang w:eastAsia="zh-TW"/>
              </w:rPr>
            </w:pPr>
            <w:r>
              <w:rPr>
                <w:rFonts w:hint="eastAsia" w:ascii="仿宋" w:eastAsia="仿宋" w:cs="仿宋"/>
                <w:sz w:val="24"/>
                <w:szCs w:val="24"/>
              </w:rPr>
              <w:t>教学方法与教学方式</w:t>
            </w:r>
          </w:p>
        </w:tc>
        <w:tc>
          <w:tcPr>
            <w:tcW w:w="7771" w:type="dxa"/>
            <w:gridSpan w:val="12"/>
            <w:tcBorders>
              <w:bottom w:val="single" w:color="auto" w:sz="4" w:space="0"/>
            </w:tcBorders>
            <w:noWrap w:val="0"/>
            <w:vAlign w:val="center"/>
          </w:tcPr>
          <w:p w14:paraId="5132705E">
            <w:pPr>
              <w:pageBreakBefore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lang w:eastAsia="zh-Hans"/>
              </w:rPr>
              <w:t>1.实时关注我国</w:t>
            </w:r>
            <w:r>
              <w:rPr>
                <w:rFonts w:hint="eastAsia" w:ascii="仿宋" w:eastAsia="仿宋" w:cs="仿宋"/>
                <w:sz w:val="24"/>
                <w:szCs w:val="24"/>
              </w:rPr>
              <w:t>中</w:t>
            </w:r>
            <w:r>
              <w:rPr>
                <w:rFonts w:hint="eastAsia" w:ascii="仿宋" w:eastAsia="仿宋" w:cs="仿宋"/>
                <w:sz w:val="24"/>
                <w:szCs w:val="24"/>
                <w:lang w:val="en-US" w:eastAsia="zh-CN"/>
              </w:rPr>
              <w:t>小</w:t>
            </w:r>
            <w:r>
              <w:rPr>
                <w:rFonts w:hint="eastAsia" w:ascii="仿宋" w:eastAsia="仿宋" w:cs="仿宋"/>
                <w:sz w:val="24"/>
                <w:szCs w:val="24"/>
                <w:lang w:eastAsia="zh-Hans"/>
              </w:rPr>
              <w:t>学音乐教育发展动态，在课堂教学中将所学章节内容与新课程标准、中学音乐教材相结合，对全国优质课案例进行分析、评价与课堂实践，实时检验教学目标达成情况。</w:t>
            </w:r>
          </w:p>
          <w:p w14:paraId="3C53429E">
            <w:pPr>
              <w:pageBreakBefore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2.重视师生互动与小组活动，组织课堂小组讨论等活动，将课堂教学变为师生共同活动的过程，</w:t>
            </w:r>
            <w:r>
              <w:rPr>
                <w:rFonts w:hint="eastAsia" w:ascii="仿宋" w:eastAsia="仿宋" w:cs="仿宋"/>
                <w:sz w:val="24"/>
                <w:szCs w:val="24"/>
                <w:lang w:eastAsia="zh-Hans"/>
              </w:rPr>
              <w:t>并利用互联网之便利</w:t>
            </w:r>
            <w:r>
              <w:rPr>
                <w:rFonts w:hint="eastAsia" w:ascii="仿宋" w:eastAsia="仿宋" w:cs="仿宋"/>
                <w:sz w:val="24"/>
                <w:szCs w:val="24"/>
              </w:rPr>
              <w:t>，</w:t>
            </w:r>
            <w:r>
              <w:rPr>
                <w:rFonts w:hint="eastAsia" w:ascii="仿宋" w:eastAsia="仿宋" w:cs="仿宋"/>
                <w:sz w:val="24"/>
                <w:szCs w:val="24"/>
                <w:lang w:eastAsia="zh-Hans"/>
              </w:rPr>
              <w:t>课后</w:t>
            </w:r>
            <w:r>
              <w:rPr>
                <w:rFonts w:hint="eastAsia" w:ascii="仿宋" w:eastAsia="仿宋" w:cs="仿宋"/>
                <w:sz w:val="24"/>
                <w:szCs w:val="24"/>
              </w:rPr>
              <w:t>与学生及时沟通、交流。</w:t>
            </w:r>
          </w:p>
          <w:p w14:paraId="2FC87BD2">
            <w:pPr>
              <w:pageBreakBefore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lang w:eastAsia="zh-Hans"/>
              </w:rPr>
              <w:t>3.注重课堂评价，采用师生评价</w:t>
            </w:r>
            <w:r>
              <w:rPr>
                <w:rFonts w:hint="eastAsia" w:ascii="仿宋" w:eastAsia="仿宋" w:cs="仿宋"/>
                <w:sz w:val="24"/>
                <w:szCs w:val="24"/>
              </w:rPr>
              <w:t>、生生评价</w:t>
            </w:r>
            <w:r>
              <w:rPr>
                <w:rFonts w:hint="eastAsia" w:ascii="仿宋" w:eastAsia="仿宋" w:cs="仿宋"/>
                <w:sz w:val="24"/>
                <w:szCs w:val="24"/>
                <w:lang w:eastAsia="zh-Hans"/>
              </w:rPr>
              <w:t>相结合的方法。</w:t>
            </w:r>
          </w:p>
          <w:p w14:paraId="654EE6A8">
            <w:pPr>
              <w:pageBreakBefore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4.主要方式：</w:t>
            </w:r>
          </w:p>
          <w:p w14:paraId="36CAB497">
            <w:pPr>
              <w:pageBreakBefore w:val="0"/>
              <w:kinsoku/>
              <w:overflowPunct/>
              <w:topLinePunct w:val="0"/>
              <w:bidi w:val="0"/>
              <w:adjustRightInd w:val="0"/>
              <w:snapToGrid w:val="0"/>
              <w:spacing w:line="240" w:lineRule="auto"/>
              <w:rPr>
                <w:rFonts w:hint="eastAsia" w:ascii="仿宋" w:eastAsia="仿宋" w:cs="仿宋"/>
                <w:sz w:val="24"/>
                <w:szCs w:val="24"/>
              </w:rPr>
            </w:pPr>
            <w:r>
              <w:rPr>
                <w:rFonts w:ascii="仿宋" w:eastAsia="仿宋" w:cs="仿宋"/>
                <w:sz w:val="24"/>
                <w:szCs w:val="24"/>
              </w:rPr>
              <w:sym w:font="Wingdings" w:char="00A8"/>
            </w:r>
            <w:r>
              <w:rPr>
                <w:rFonts w:hint="eastAsia" w:ascii="仿宋" w:eastAsia="仿宋" w:cs="仿宋"/>
                <w:sz w:val="24"/>
                <w:szCs w:val="24"/>
              </w:rPr>
              <w:t xml:space="preserve">讲授  </w:t>
            </w:r>
            <w:r>
              <w:rPr>
                <w:rFonts w:ascii="仿宋" w:eastAsia="仿宋" w:cs="仿宋"/>
                <w:sz w:val="24"/>
                <w:szCs w:val="24"/>
              </w:rPr>
              <w:sym w:font="Wingdings" w:char="00FE"/>
            </w:r>
            <w:r>
              <w:rPr>
                <w:rFonts w:hint="eastAsia" w:ascii="仿宋" w:eastAsia="仿宋" w:cs="仿宋"/>
                <w:sz w:val="24"/>
                <w:szCs w:val="24"/>
              </w:rPr>
              <w:t xml:space="preserve">网络学习  </w:t>
            </w:r>
            <w:r>
              <w:rPr>
                <w:rFonts w:ascii="仿宋" w:eastAsia="仿宋" w:cs="仿宋"/>
                <w:sz w:val="24"/>
                <w:szCs w:val="24"/>
              </w:rPr>
              <w:sym w:font="Wingdings" w:char="00FE"/>
            </w:r>
            <w:r>
              <w:rPr>
                <w:rFonts w:hint="eastAsia" w:ascii="仿宋" w:eastAsia="仿宋" w:cs="仿宋"/>
                <w:sz w:val="24"/>
                <w:szCs w:val="24"/>
              </w:rPr>
              <w:t xml:space="preserve">讨论或座谈  </w:t>
            </w:r>
            <w:r>
              <w:rPr>
                <w:rFonts w:ascii="仿宋" w:eastAsia="仿宋" w:cs="仿宋"/>
                <w:sz w:val="24"/>
                <w:szCs w:val="24"/>
              </w:rPr>
              <w:sym w:font="Wingdings" w:char="00FE"/>
            </w:r>
            <w:r>
              <w:rPr>
                <w:rFonts w:hint="eastAsia" w:ascii="仿宋" w:eastAsia="仿宋" w:cs="仿宋"/>
                <w:sz w:val="24"/>
                <w:szCs w:val="24"/>
              </w:rPr>
              <w:t>问题导向</w:t>
            </w:r>
            <w:r>
              <w:rPr>
                <w:rFonts w:hint="eastAsia" w:ascii="仿宋" w:eastAsia="仿宋" w:cs="仿宋"/>
                <w:sz w:val="24"/>
                <w:szCs w:val="24"/>
                <w:lang w:eastAsia="zh-Hans"/>
              </w:rPr>
              <w:t>学习</w:t>
            </w:r>
            <w:r>
              <w:rPr>
                <w:rFonts w:hint="eastAsia" w:ascii="仿宋" w:eastAsia="仿宋" w:cs="仿宋"/>
                <w:sz w:val="24"/>
                <w:szCs w:val="24"/>
              </w:rPr>
              <w:t xml:space="preserve"> </w:t>
            </w:r>
          </w:p>
          <w:p w14:paraId="4CF78286">
            <w:pPr>
              <w:pageBreakBefore w:val="0"/>
              <w:kinsoku/>
              <w:overflowPunct/>
              <w:topLinePunct w:val="0"/>
              <w:bidi w:val="0"/>
              <w:adjustRightInd w:val="0"/>
              <w:snapToGrid w:val="0"/>
              <w:spacing w:line="240" w:lineRule="auto"/>
              <w:rPr>
                <w:rFonts w:hint="eastAsia" w:ascii="仿宋" w:eastAsia="仿宋" w:cs="仿宋"/>
                <w:sz w:val="24"/>
                <w:szCs w:val="24"/>
              </w:rPr>
            </w:pPr>
            <w:r>
              <w:rPr>
                <w:rFonts w:ascii="仿宋" w:eastAsia="仿宋" w:cs="仿宋"/>
                <w:sz w:val="24"/>
                <w:szCs w:val="24"/>
              </w:rPr>
              <w:sym w:font="Wingdings" w:char="00FE"/>
            </w:r>
            <w:r>
              <w:rPr>
                <w:rFonts w:hint="eastAsia" w:ascii="仿宋" w:eastAsia="仿宋" w:cs="仿宋"/>
                <w:sz w:val="24"/>
                <w:szCs w:val="24"/>
              </w:rPr>
              <w:t xml:space="preserve">分组合作学习  </w:t>
            </w:r>
            <w:r>
              <w:rPr>
                <w:rFonts w:ascii="仿宋" w:eastAsia="仿宋" w:cs="仿宋"/>
                <w:sz w:val="24"/>
                <w:szCs w:val="24"/>
              </w:rPr>
              <w:sym w:font="Wingdings" w:char="00A8"/>
            </w:r>
            <w:r>
              <w:rPr>
                <w:rFonts w:hint="eastAsia" w:ascii="仿宋" w:eastAsia="仿宋" w:cs="仿宋"/>
                <w:sz w:val="24"/>
                <w:szCs w:val="24"/>
              </w:rPr>
              <w:t xml:space="preserve">专题学习  </w:t>
            </w:r>
            <w:r>
              <w:rPr>
                <w:rFonts w:ascii="仿宋" w:eastAsia="仿宋" w:cs="仿宋"/>
                <w:sz w:val="24"/>
                <w:szCs w:val="24"/>
              </w:rPr>
              <w:sym w:font="Wingdings" w:char="00A8"/>
            </w:r>
            <w:r>
              <w:rPr>
                <w:rFonts w:hint="eastAsia" w:ascii="仿宋" w:eastAsia="仿宋" w:cs="仿宋"/>
                <w:sz w:val="24"/>
                <w:szCs w:val="24"/>
              </w:rPr>
              <w:t xml:space="preserve">实作学习  </w:t>
            </w:r>
            <w:r>
              <w:rPr>
                <w:rFonts w:ascii="仿宋" w:eastAsia="仿宋" w:cs="仿宋"/>
                <w:sz w:val="24"/>
                <w:szCs w:val="24"/>
              </w:rPr>
              <w:sym w:font="Wingdings" w:char="00A8"/>
            </w:r>
            <w:r>
              <w:rPr>
                <w:rFonts w:hint="eastAsia" w:ascii="仿宋" w:eastAsia="仿宋" w:cs="仿宋"/>
                <w:sz w:val="24"/>
                <w:szCs w:val="24"/>
              </w:rPr>
              <w:t xml:space="preserve">发表学习  </w:t>
            </w:r>
          </w:p>
          <w:p w14:paraId="592E2A86">
            <w:pPr>
              <w:pageBreakBefore w:val="0"/>
              <w:kinsoku/>
              <w:overflowPunct/>
              <w:topLinePunct w:val="0"/>
              <w:bidi w:val="0"/>
              <w:adjustRightInd w:val="0"/>
              <w:snapToGrid w:val="0"/>
              <w:spacing w:line="240" w:lineRule="auto"/>
              <w:rPr>
                <w:rFonts w:hint="eastAsia" w:ascii="仿宋" w:eastAsia="仿宋" w:cs="仿宋"/>
                <w:sz w:val="24"/>
                <w:szCs w:val="24"/>
              </w:rPr>
            </w:pPr>
            <w:r>
              <w:rPr>
                <w:rFonts w:ascii="仿宋" w:eastAsia="仿宋" w:cs="仿宋"/>
                <w:sz w:val="24"/>
                <w:szCs w:val="24"/>
              </w:rPr>
              <w:sym w:font="Wingdings" w:char="00A8"/>
            </w:r>
            <w:r>
              <w:rPr>
                <w:rFonts w:hint="eastAsia" w:ascii="仿宋" w:eastAsia="仿宋" w:cs="仿宋"/>
                <w:sz w:val="24"/>
                <w:szCs w:val="24"/>
              </w:rPr>
              <w:t xml:space="preserve">实习  </w:t>
            </w:r>
            <w:r>
              <w:rPr>
                <w:rFonts w:ascii="仿宋" w:eastAsia="仿宋" w:cs="仿宋"/>
                <w:sz w:val="24"/>
                <w:szCs w:val="24"/>
              </w:rPr>
              <w:sym w:font="Wingdings" w:char="00A8"/>
            </w:r>
            <w:r>
              <w:rPr>
                <w:rFonts w:hint="eastAsia" w:ascii="仿宋" w:eastAsia="仿宋" w:cs="仿宋"/>
                <w:sz w:val="24"/>
                <w:szCs w:val="24"/>
              </w:rPr>
              <w:t xml:space="preserve">参观访问  </w:t>
            </w:r>
            <w:r>
              <w:rPr>
                <w:rFonts w:ascii="仿宋" w:eastAsia="仿宋" w:cs="仿宋"/>
                <w:sz w:val="24"/>
                <w:szCs w:val="24"/>
              </w:rPr>
              <w:sym w:font="Wingdings" w:char="00A8"/>
            </w:r>
            <w:r>
              <w:rPr>
                <w:rFonts w:hint="eastAsia" w:ascii="仿宋" w:eastAsia="仿宋" w:cs="仿宋"/>
                <w:sz w:val="24"/>
                <w:szCs w:val="24"/>
              </w:rPr>
              <w:t>其它：</w:t>
            </w:r>
            <w:r>
              <w:rPr>
                <w:rFonts w:hint="eastAsia" w:ascii="仿宋" w:eastAsia="仿宋" w:cs="仿宋"/>
                <w:sz w:val="24"/>
                <w:szCs w:val="24"/>
                <w:u w:val="single"/>
              </w:rPr>
              <w:t xml:space="preserve">   </w:t>
            </w:r>
            <w:r>
              <w:rPr>
                <w:rFonts w:hint="eastAsia" w:ascii="仿宋" w:eastAsia="仿宋" w:cs="仿宋"/>
                <w:sz w:val="24"/>
                <w:szCs w:val="24"/>
                <w:u w:val="single"/>
                <w:lang w:eastAsia="zh-Hans"/>
              </w:rPr>
              <w:t>课堂实践</w:t>
            </w:r>
            <w:r>
              <w:rPr>
                <w:rFonts w:hint="eastAsia" w:ascii="仿宋" w:eastAsia="仿宋" w:cs="仿宋"/>
                <w:sz w:val="24"/>
                <w:szCs w:val="24"/>
                <w:u w:val="single"/>
              </w:rPr>
              <w:t xml:space="preserve">    </w:t>
            </w:r>
          </w:p>
        </w:tc>
      </w:tr>
      <w:tr w14:paraId="2962DD23">
        <w:trPr>
          <w:trHeight w:val="624" w:hRule="atLeast"/>
        </w:trPr>
        <w:tc>
          <w:tcPr>
            <w:tcW w:w="1375" w:type="dxa"/>
            <w:noWrap w:val="0"/>
            <w:vAlign w:val="center"/>
          </w:tcPr>
          <w:p w14:paraId="17FBFE40">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J</w:t>
            </w:r>
          </w:p>
          <w:p w14:paraId="35B88B9F">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教学条件</w:t>
            </w:r>
          </w:p>
          <w:p w14:paraId="7D2CD2F9">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需求</w:t>
            </w:r>
          </w:p>
        </w:tc>
        <w:tc>
          <w:tcPr>
            <w:tcW w:w="7771" w:type="dxa"/>
            <w:gridSpan w:val="12"/>
            <w:tcBorders>
              <w:bottom w:val="single" w:color="auto" w:sz="4" w:space="0"/>
            </w:tcBorders>
            <w:noWrap w:val="0"/>
            <w:vAlign w:val="center"/>
          </w:tcPr>
          <w:p w14:paraId="533512B3">
            <w:pPr>
              <w:pageBreakBefore w:val="0"/>
              <w:tabs>
                <w:tab w:val="left" w:pos="720"/>
              </w:tabs>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lang w:eastAsia="zh-Hans"/>
              </w:rPr>
              <w:t>“一课双师”教师配备</w:t>
            </w:r>
          </w:p>
        </w:tc>
      </w:tr>
      <w:tr w14:paraId="307210FC">
        <w:trPr>
          <w:trHeight w:val="624" w:hRule="atLeast"/>
        </w:trPr>
        <w:tc>
          <w:tcPr>
            <w:tcW w:w="1375" w:type="dxa"/>
            <w:vMerge w:val="restart"/>
            <w:noWrap w:val="0"/>
            <w:vAlign w:val="center"/>
          </w:tcPr>
          <w:p w14:paraId="14ABAF5E">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K</w:t>
            </w:r>
          </w:p>
          <w:p w14:paraId="370856AE">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课程目标及其考核内容、考核方式及评分占比</w:t>
            </w:r>
          </w:p>
        </w:tc>
        <w:tc>
          <w:tcPr>
            <w:tcW w:w="1313" w:type="dxa"/>
            <w:vMerge w:val="restart"/>
            <w:noWrap w:val="0"/>
            <w:vAlign w:val="center"/>
          </w:tcPr>
          <w:p w14:paraId="70F593E2">
            <w:pPr>
              <w:pageBreakBefore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课程目标及评分占比</w:t>
            </w:r>
          </w:p>
        </w:tc>
        <w:tc>
          <w:tcPr>
            <w:tcW w:w="3397" w:type="dxa"/>
            <w:gridSpan w:val="6"/>
            <w:vMerge w:val="restart"/>
            <w:tcBorders>
              <w:right w:val="single" w:color="000000" w:sz="4" w:space="0"/>
            </w:tcBorders>
            <w:noWrap w:val="0"/>
            <w:vAlign w:val="center"/>
          </w:tcPr>
          <w:p w14:paraId="0358D6C1">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考核内容</w:t>
            </w:r>
          </w:p>
        </w:tc>
        <w:tc>
          <w:tcPr>
            <w:tcW w:w="2472" w:type="dxa"/>
            <w:gridSpan w:val="4"/>
            <w:tcBorders>
              <w:left w:val="single" w:color="000000" w:sz="4" w:space="0"/>
              <w:right w:val="single" w:color="000000" w:sz="4" w:space="0"/>
            </w:tcBorders>
            <w:noWrap w:val="0"/>
            <w:vAlign w:val="center"/>
          </w:tcPr>
          <w:p w14:paraId="2120700B">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考核方式</w:t>
            </w:r>
          </w:p>
        </w:tc>
        <w:tc>
          <w:tcPr>
            <w:tcW w:w="589" w:type="dxa"/>
            <w:vMerge w:val="restart"/>
            <w:tcBorders>
              <w:left w:val="single" w:color="000000" w:sz="4" w:space="0"/>
            </w:tcBorders>
            <w:noWrap w:val="0"/>
            <w:vAlign w:val="center"/>
          </w:tcPr>
          <w:p w14:paraId="66656FA7">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课程分目标的达成度</w:t>
            </w:r>
          </w:p>
        </w:tc>
      </w:tr>
      <w:tr w14:paraId="135BF921">
        <w:trPr>
          <w:trHeight w:val="624" w:hRule="atLeast"/>
        </w:trPr>
        <w:tc>
          <w:tcPr>
            <w:tcW w:w="1375" w:type="dxa"/>
            <w:vMerge w:val="continue"/>
            <w:noWrap w:val="0"/>
            <w:vAlign w:val="center"/>
          </w:tcPr>
          <w:p w14:paraId="13BB34A8">
            <w:pPr>
              <w:pageBreakBefore w:val="0"/>
              <w:kinsoku/>
              <w:overflowPunct/>
              <w:topLinePunct w:val="0"/>
              <w:bidi w:val="0"/>
              <w:spacing w:line="240" w:lineRule="auto"/>
            </w:pPr>
          </w:p>
        </w:tc>
        <w:tc>
          <w:tcPr>
            <w:tcW w:w="1313" w:type="dxa"/>
            <w:vMerge w:val="continue"/>
            <w:tcBorders>
              <w:tl2br w:val="single" w:color="auto" w:sz="4" w:space="0"/>
            </w:tcBorders>
            <w:noWrap w:val="0"/>
            <w:vAlign w:val="center"/>
          </w:tcPr>
          <w:p w14:paraId="04E1244C">
            <w:pPr>
              <w:pageBreakBefore w:val="0"/>
              <w:kinsoku/>
              <w:overflowPunct/>
              <w:topLinePunct w:val="0"/>
              <w:bidi w:val="0"/>
              <w:spacing w:line="240" w:lineRule="auto"/>
            </w:pPr>
          </w:p>
        </w:tc>
        <w:tc>
          <w:tcPr>
            <w:tcW w:w="3397" w:type="dxa"/>
            <w:gridSpan w:val="6"/>
            <w:vMerge w:val="continue"/>
            <w:tcBorders>
              <w:right w:val="single" w:color="000000" w:sz="4" w:space="0"/>
            </w:tcBorders>
            <w:noWrap w:val="0"/>
            <w:vAlign w:val="center"/>
          </w:tcPr>
          <w:p w14:paraId="093E6713">
            <w:pPr>
              <w:pageBreakBefore w:val="0"/>
              <w:kinsoku/>
              <w:overflowPunct/>
              <w:topLinePunct w:val="0"/>
              <w:bidi w:val="0"/>
              <w:spacing w:line="240" w:lineRule="auto"/>
            </w:pPr>
          </w:p>
        </w:tc>
        <w:tc>
          <w:tcPr>
            <w:tcW w:w="852" w:type="dxa"/>
            <w:tcBorders>
              <w:left w:val="single" w:color="000000" w:sz="4" w:space="0"/>
            </w:tcBorders>
            <w:noWrap w:val="0"/>
            <w:vAlign w:val="top"/>
          </w:tcPr>
          <w:p w14:paraId="011E9996">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作业评分占比</w:t>
            </w:r>
            <w:r>
              <w:rPr>
                <w:rFonts w:hint="eastAsia" w:ascii="仿宋" w:eastAsia="仿宋" w:cs="仿宋"/>
                <w:szCs w:val="21"/>
              </w:rPr>
              <w:t>（30%）</w:t>
            </w:r>
          </w:p>
        </w:tc>
        <w:tc>
          <w:tcPr>
            <w:tcW w:w="840" w:type="dxa"/>
            <w:gridSpan w:val="2"/>
            <w:tcBorders>
              <w:bottom w:val="single" w:color="auto" w:sz="4" w:space="0"/>
              <w:right w:val="single" w:color="000000" w:sz="4" w:space="0"/>
            </w:tcBorders>
            <w:noWrap w:val="0"/>
            <w:vAlign w:val="top"/>
          </w:tcPr>
          <w:p w14:paraId="73D9A5BE">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lang w:eastAsia="zh-Hans"/>
              </w:rPr>
              <w:t>教学设计</w:t>
            </w:r>
            <w:r>
              <w:rPr>
                <w:rFonts w:hint="eastAsia" w:ascii="仿宋" w:eastAsia="仿宋" w:cs="仿宋"/>
                <w:sz w:val="24"/>
                <w:szCs w:val="24"/>
              </w:rPr>
              <w:t>评分占比</w:t>
            </w:r>
            <w:r>
              <w:rPr>
                <w:rFonts w:hint="eastAsia" w:ascii="仿宋" w:eastAsia="仿宋" w:cs="仿宋"/>
                <w:szCs w:val="21"/>
              </w:rPr>
              <w:t>（30%）</w:t>
            </w:r>
          </w:p>
        </w:tc>
        <w:tc>
          <w:tcPr>
            <w:tcW w:w="780" w:type="dxa"/>
            <w:tcBorders>
              <w:left w:val="single" w:color="000000" w:sz="4" w:space="0"/>
              <w:bottom w:val="single" w:color="auto" w:sz="4" w:space="0"/>
              <w:right w:val="single" w:color="000000" w:sz="4" w:space="0"/>
            </w:tcBorders>
            <w:noWrap w:val="0"/>
            <w:vAlign w:val="top"/>
          </w:tcPr>
          <w:p w14:paraId="50B2632E">
            <w:pPr>
              <w:pageBreakBefore w:val="0"/>
              <w:kinsoku/>
              <w:overflowPunct/>
              <w:topLinePunct w:val="0"/>
              <w:bidi w:val="0"/>
              <w:adjustRightInd w:val="0"/>
              <w:snapToGrid w:val="0"/>
              <w:spacing w:line="240" w:lineRule="auto"/>
              <w:jc w:val="center"/>
              <w:rPr>
                <w:rFonts w:hint="eastAsia" w:ascii="仿宋" w:eastAsia="仿宋" w:cs="仿宋"/>
                <w:sz w:val="24"/>
                <w:szCs w:val="24"/>
                <w:lang w:eastAsia="zh-Hans"/>
              </w:rPr>
            </w:pPr>
            <w:r>
              <w:rPr>
                <w:rFonts w:hint="eastAsia" w:ascii="仿宋" w:eastAsia="仿宋" w:cs="仿宋"/>
                <w:sz w:val="24"/>
                <w:szCs w:val="24"/>
                <w:lang w:eastAsia="zh-Hans"/>
              </w:rPr>
              <w:t>试讲</w:t>
            </w:r>
          </w:p>
          <w:p w14:paraId="21A3DC30">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lang w:eastAsia="zh-Hans"/>
              </w:rPr>
              <w:t>分</w:t>
            </w:r>
            <w:r>
              <w:rPr>
                <w:rFonts w:hint="eastAsia" w:ascii="仿宋" w:eastAsia="仿宋" w:cs="仿宋"/>
                <w:sz w:val="24"/>
                <w:szCs w:val="24"/>
              </w:rPr>
              <w:t>占比</w:t>
            </w:r>
            <w:r>
              <w:rPr>
                <w:rFonts w:hint="eastAsia" w:ascii="仿宋" w:eastAsia="仿宋" w:cs="仿宋"/>
                <w:szCs w:val="21"/>
              </w:rPr>
              <w:t>（40%）</w:t>
            </w:r>
          </w:p>
        </w:tc>
        <w:tc>
          <w:tcPr>
            <w:tcW w:w="589" w:type="dxa"/>
            <w:vMerge w:val="continue"/>
            <w:tcBorders>
              <w:left w:val="single" w:color="000000" w:sz="4" w:space="0"/>
              <w:bottom w:val="single" w:color="auto" w:sz="4" w:space="0"/>
            </w:tcBorders>
            <w:noWrap w:val="0"/>
            <w:vAlign w:val="center"/>
          </w:tcPr>
          <w:p w14:paraId="6E74AD5C">
            <w:pPr>
              <w:pageBreakBefore w:val="0"/>
              <w:kinsoku/>
              <w:overflowPunct/>
              <w:topLinePunct w:val="0"/>
              <w:bidi w:val="0"/>
              <w:spacing w:line="240" w:lineRule="auto"/>
            </w:pPr>
          </w:p>
        </w:tc>
      </w:tr>
      <w:tr w14:paraId="4BE32C5C">
        <w:trPr>
          <w:trHeight w:val="624" w:hRule="atLeast"/>
        </w:trPr>
        <w:tc>
          <w:tcPr>
            <w:tcW w:w="1375" w:type="dxa"/>
            <w:vMerge w:val="continue"/>
            <w:noWrap w:val="0"/>
            <w:vAlign w:val="center"/>
          </w:tcPr>
          <w:p w14:paraId="1CBFA616">
            <w:pPr>
              <w:pageBreakBefore w:val="0"/>
              <w:kinsoku/>
              <w:overflowPunct/>
              <w:topLinePunct w:val="0"/>
              <w:bidi w:val="0"/>
              <w:spacing w:line="240" w:lineRule="auto"/>
            </w:pPr>
          </w:p>
        </w:tc>
        <w:tc>
          <w:tcPr>
            <w:tcW w:w="1313" w:type="dxa"/>
            <w:tcBorders>
              <w:bottom w:val="single" w:color="auto" w:sz="4" w:space="0"/>
            </w:tcBorders>
            <w:noWrap w:val="0"/>
            <w:vAlign w:val="center"/>
          </w:tcPr>
          <w:p w14:paraId="3F5F019F">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课程目标1（40%）</w:t>
            </w:r>
          </w:p>
        </w:tc>
        <w:tc>
          <w:tcPr>
            <w:tcW w:w="3397" w:type="dxa"/>
            <w:gridSpan w:val="6"/>
            <w:tcBorders>
              <w:bottom w:val="single" w:color="auto" w:sz="4" w:space="0"/>
              <w:right w:val="single" w:color="000000" w:sz="4" w:space="0"/>
            </w:tcBorders>
            <w:noWrap w:val="0"/>
            <w:vAlign w:val="center"/>
          </w:tcPr>
          <w:p w14:paraId="093DC5A5">
            <w:pPr>
              <w:pageBreakBefore w:val="0"/>
              <w:kinsoku/>
              <w:overflowPunct/>
              <w:topLinePunct w:val="0"/>
              <w:bidi w:val="0"/>
              <w:adjustRightInd w:val="0"/>
              <w:snapToGrid w:val="0"/>
              <w:spacing w:line="240" w:lineRule="auto"/>
              <w:jc w:val="left"/>
              <w:rPr>
                <w:rFonts w:hint="eastAsia" w:ascii="仿宋" w:eastAsia="仿宋" w:cs="仿宋"/>
                <w:sz w:val="24"/>
                <w:szCs w:val="24"/>
              </w:rPr>
            </w:pPr>
            <w:r>
              <w:rPr>
                <w:rStyle w:val="382"/>
                <w:rFonts w:hint="eastAsia" w:ascii="仿宋" w:eastAsia="仿宋"/>
                <w:sz w:val="24"/>
                <w:szCs w:val="24"/>
              </w:rPr>
              <w:t>能</w:t>
            </w:r>
            <w:r>
              <w:rPr>
                <w:rStyle w:val="382"/>
                <w:rFonts w:hint="eastAsia" w:ascii="仿宋" w:eastAsia="仿宋"/>
                <w:sz w:val="24"/>
                <w:szCs w:val="24"/>
                <w:lang w:eastAsia="zh-Hans"/>
              </w:rPr>
              <w:t>将音乐教育基础知识、基本技能与教育学、心理学、学科教学论</w:t>
            </w:r>
            <w:r>
              <w:rPr>
                <w:rStyle w:val="382"/>
                <w:rFonts w:hint="eastAsia" w:ascii="仿宋" w:eastAsia="仿宋"/>
                <w:sz w:val="24"/>
                <w:szCs w:val="24"/>
              </w:rPr>
              <w:t>等</w:t>
            </w:r>
            <w:r>
              <w:rPr>
                <w:rStyle w:val="382"/>
                <w:rFonts w:hint="eastAsia" w:ascii="仿宋" w:eastAsia="仿宋"/>
                <w:sz w:val="24"/>
                <w:szCs w:val="24"/>
                <w:lang w:eastAsia="zh-Hans"/>
              </w:rPr>
              <w:t>知识相融合，形成综合的音乐教育教学知识体系，并具备初步的综合分析能力与运用能力。</w:t>
            </w:r>
          </w:p>
        </w:tc>
        <w:tc>
          <w:tcPr>
            <w:tcW w:w="852" w:type="dxa"/>
            <w:tcBorders>
              <w:left w:val="single" w:color="000000" w:sz="4" w:space="0"/>
              <w:bottom w:val="single" w:color="auto" w:sz="4" w:space="0"/>
            </w:tcBorders>
            <w:noWrap w:val="0"/>
            <w:vAlign w:val="center"/>
          </w:tcPr>
          <w:p w14:paraId="2FA85918">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12</w:t>
            </w:r>
          </w:p>
        </w:tc>
        <w:tc>
          <w:tcPr>
            <w:tcW w:w="840" w:type="dxa"/>
            <w:gridSpan w:val="2"/>
            <w:tcBorders>
              <w:bottom w:val="single" w:color="auto" w:sz="4" w:space="0"/>
              <w:right w:val="single" w:color="000000" w:sz="4" w:space="0"/>
            </w:tcBorders>
            <w:noWrap w:val="0"/>
            <w:vAlign w:val="center"/>
          </w:tcPr>
          <w:p w14:paraId="20299FE4">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12</w:t>
            </w:r>
          </w:p>
        </w:tc>
        <w:tc>
          <w:tcPr>
            <w:tcW w:w="780" w:type="dxa"/>
            <w:tcBorders>
              <w:left w:val="single" w:color="000000" w:sz="4" w:space="0"/>
              <w:bottom w:val="single" w:color="auto" w:sz="4" w:space="0"/>
              <w:right w:val="single" w:color="auto" w:sz="4" w:space="0"/>
            </w:tcBorders>
            <w:noWrap w:val="0"/>
            <w:vAlign w:val="center"/>
          </w:tcPr>
          <w:p w14:paraId="1A51307B">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16</w:t>
            </w:r>
          </w:p>
        </w:tc>
        <w:tc>
          <w:tcPr>
            <w:tcW w:w="589" w:type="dxa"/>
            <w:tcBorders>
              <w:left w:val="single" w:color="auto" w:sz="4" w:space="0"/>
              <w:bottom w:val="single" w:color="auto" w:sz="4" w:space="0"/>
            </w:tcBorders>
            <w:noWrap w:val="0"/>
            <w:vAlign w:val="center"/>
          </w:tcPr>
          <w:p w14:paraId="44EFDDCE">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0</w:t>
            </w:r>
            <w:r>
              <w:rPr>
                <w:rFonts w:hint="eastAsia" w:ascii="仿宋" w:eastAsia="仿宋" w:cs="仿宋"/>
                <w:sz w:val="24"/>
                <w:szCs w:val="24"/>
                <w:lang w:eastAsia="zh-Hans"/>
              </w:rPr>
              <w:t>.65</w:t>
            </w:r>
          </w:p>
        </w:tc>
      </w:tr>
      <w:tr w14:paraId="291E0D07">
        <w:trPr>
          <w:trHeight w:val="624" w:hRule="atLeast"/>
        </w:trPr>
        <w:tc>
          <w:tcPr>
            <w:tcW w:w="1375" w:type="dxa"/>
            <w:vMerge w:val="continue"/>
            <w:noWrap w:val="0"/>
            <w:vAlign w:val="center"/>
          </w:tcPr>
          <w:p w14:paraId="5F458D6A">
            <w:pPr>
              <w:pageBreakBefore w:val="0"/>
              <w:kinsoku/>
              <w:overflowPunct/>
              <w:topLinePunct w:val="0"/>
              <w:bidi w:val="0"/>
              <w:spacing w:line="240" w:lineRule="auto"/>
            </w:pPr>
          </w:p>
        </w:tc>
        <w:tc>
          <w:tcPr>
            <w:tcW w:w="1313" w:type="dxa"/>
            <w:noWrap w:val="0"/>
            <w:vAlign w:val="center"/>
          </w:tcPr>
          <w:p w14:paraId="7E7D225D">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课程目标2（40%）</w:t>
            </w:r>
          </w:p>
        </w:tc>
        <w:tc>
          <w:tcPr>
            <w:tcW w:w="3397" w:type="dxa"/>
            <w:gridSpan w:val="6"/>
            <w:tcBorders>
              <w:right w:val="single" w:color="000000" w:sz="4" w:space="0"/>
            </w:tcBorders>
            <w:noWrap w:val="0"/>
            <w:vAlign w:val="center"/>
          </w:tcPr>
          <w:p w14:paraId="296FE764">
            <w:pPr>
              <w:pageBreakBefore w:val="0"/>
              <w:widowControl/>
              <w:kinsoku/>
              <w:overflowPunct/>
              <w:topLinePunct w:val="0"/>
              <w:bidi w:val="0"/>
              <w:adjustRightInd w:val="0"/>
              <w:snapToGrid w:val="0"/>
              <w:spacing w:line="240" w:lineRule="auto"/>
              <w:rPr>
                <w:rFonts w:hint="eastAsia" w:cs="宋体"/>
                <w:color w:val="auto"/>
                <w:sz w:val="18"/>
                <w:szCs w:val="18"/>
              </w:rPr>
            </w:pPr>
            <w:r>
              <w:rPr>
                <w:rFonts w:hint="eastAsia" w:ascii="仿宋" w:eastAsia="仿宋" w:cs="仿宋"/>
                <w:sz w:val="24"/>
                <w:szCs w:val="24"/>
                <w:lang w:eastAsia="zh-Hans"/>
              </w:rPr>
              <w:t>熟悉中学音乐课程标准和教材，能够正确处理课标和教材的关系，</w:t>
            </w:r>
            <w:r>
              <w:rPr>
                <w:rFonts w:hint="eastAsia" w:ascii="仿宋" w:eastAsia="仿宋" w:cs="仿宋"/>
                <w:sz w:val="24"/>
                <w:szCs w:val="24"/>
              </w:rPr>
              <w:t>具备</w:t>
            </w:r>
            <w:r>
              <w:rPr>
                <w:rFonts w:hint="eastAsia" w:ascii="仿宋" w:eastAsia="仿宋" w:cs="仿宋"/>
                <w:sz w:val="24"/>
                <w:szCs w:val="24"/>
                <w:lang w:eastAsia="zh-Hans"/>
              </w:rPr>
              <w:t>正确</w:t>
            </w:r>
            <w:r>
              <w:rPr>
                <w:rFonts w:hint="eastAsia" w:ascii="仿宋" w:eastAsia="仿宋" w:cs="仿宋"/>
                <w:sz w:val="24"/>
                <w:szCs w:val="24"/>
              </w:rPr>
              <w:t>分析</w:t>
            </w:r>
            <w:r>
              <w:rPr>
                <w:rFonts w:hint="eastAsia" w:ascii="仿宋" w:eastAsia="仿宋" w:cs="宋体"/>
                <w:sz w:val="24"/>
                <w:szCs w:val="24"/>
                <w:lang w:eastAsia="zh-Hans"/>
              </w:rPr>
              <w:t>学情</w:t>
            </w:r>
            <w:r>
              <w:rPr>
                <w:rFonts w:hint="eastAsia" w:ascii="仿宋" w:eastAsia="仿宋" w:cs="宋体"/>
                <w:sz w:val="24"/>
                <w:szCs w:val="24"/>
              </w:rPr>
              <w:t>与</w:t>
            </w:r>
            <w:r>
              <w:rPr>
                <w:rFonts w:hint="eastAsia" w:ascii="仿宋" w:eastAsia="仿宋" w:cs="宋体"/>
                <w:sz w:val="24"/>
                <w:szCs w:val="24"/>
                <w:lang w:eastAsia="zh-Hans"/>
              </w:rPr>
              <w:t>教材内容</w:t>
            </w:r>
            <w:r>
              <w:rPr>
                <w:rFonts w:hint="eastAsia" w:ascii="仿宋" w:eastAsia="仿宋" w:cs="宋体"/>
                <w:sz w:val="24"/>
                <w:szCs w:val="24"/>
              </w:rPr>
              <w:t>的能力</w:t>
            </w:r>
            <w:r>
              <w:rPr>
                <w:rFonts w:hint="eastAsia" w:ascii="仿宋" w:eastAsia="仿宋" w:cs="宋体"/>
                <w:sz w:val="24"/>
                <w:szCs w:val="24"/>
                <w:lang w:eastAsia="zh-Hans"/>
              </w:rPr>
              <w:t>，在此基础上</w:t>
            </w:r>
            <w:r>
              <w:rPr>
                <w:rFonts w:hint="eastAsia" w:ascii="仿宋" w:eastAsia="仿宋" w:cs="宋体"/>
                <w:sz w:val="24"/>
                <w:szCs w:val="24"/>
              </w:rPr>
              <w:t>进行</w:t>
            </w:r>
            <w:r>
              <w:rPr>
                <w:rFonts w:hint="eastAsia" w:ascii="仿宋" w:eastAsia="仿宋" w:cs="宋体"/>
                <w:sz w:val="24"/>
                <w:szCs w:val="24"/>
                <w:lang w:eastAsia="zh-Hans"/>
              </w:rPr>
              <w:t>科学合理的</w:t>
            </w:r>
            <w:r>
              <w:rPr>
                <w:rFonts w:hint="eastAsia" w:ascii="仿宋" w:eastAsia="仿宋" w:cs="宋体"/>
                <w:sz w:val="24"/>
                <w:szCs w:val="24"/>
              </w:rPr>
              <w:t>课堂教学设计、</w:t>
            </w:r>
            <w:r>
              <w:rPr>
                <w:rFonts w:hint="eastAsia" w:ascii="仿宋" w:eastAsia="仿宋" w:cs="宋体"/>
                <w:sz w:val="24"/>
                <w:szCs w:val="24"/>
                <w:lang w:eastAsia="zh-Hans"/>
              </w:rPr>
              <w:t>教学</w:t>
            </w:r>
            <w:r>
              <w:rPr>
                <w:rFonts w:hint="eastAsia" w:ascii="仿宋" w:eastAsia="仿宋" w:cs="宋体"/>
                <w:sz w:val="24"/>
                <w:szCs w:val="24"/>
              </w:rPr>
              <w:t>实施，</w:t>
            </w:r>
            <w:r>
              <w:rPr>
                <w:rFonts w:hint="eastAsia" w:ascii="仿宋" w:eastAsia="仿宋" w:cs="宋体"/>
                <w:sz w:val="24"/>
                <w:szCs w:val="24"/>
                <w:lang w:eastAsia="zh-Hans"/>
              </w:rPr>
              <w:t>掌握</w:t>
            </w:r>
            <w:r>
              <w:rPr>
                <w:rFonts w:hint="eastAsia" w:ascii="仿宋" w:eastAsia="仿宋" w:cs="宋体"/>
                <w:sz w:val="24"/>
                <w:szCs w:val="24"/>
              </w:rPr>
              <w:t>教学评价</w:t>
            </w:r>
            <w:r>
              <w:rPr>
                <w:rFonts w:hint="eastAsia" w:ascii="仿宋" w:eastAsia="仿宋" w:cs="宋体"/>
                <w:sz w:val="24"/>
                <w:szCs w:val="24"/>
                <w:lang w:eastAsia="zh-Hans"/>
              </w:rPr>
              <w:t>的方法与</w:t>
            </w:r>
            <w:r>
              <w:rPr>
                <w:rFonts w:hint="eastAsia" w:ascii="仿宋" w:eastAsia="仿宋" w:cs="宋体"/>
                <w:sz w:val="24"/>
                <w:szCs w:val="24"/>
              </w:rPr>
              <w:t>说课</w:t>
            </w:r>
            <w:r>
              <w:rPr>
                <w:rFonts w:hint="eastAsia" w:ascii="仿宋" w:eastAsia="仿宋" w:cs="宋体"/>
                <w:sz w:val="24"/>
                <w:szCs w:val="24"/>
                <w:lang w:eastAsia="zh-Hans"/>
              </w:rPr>
              <w:t>的基本要求</w:t>
            </w:r>
            <w:r>
              <w:rPr>
                <w:rFonts w:hint="eastAsia" w:ascii="仿宋" w:eastAsia="仿宋" w:cs="宋体"/>
                <w:sz w:val="24"/>
                <w:szCs w:val="24"/>
              </w:rPr>
              <w:t>。</w:t>
            </w:r>
          </w:p>
        </w:tc>
        <w:tc>
          <w:tcPr>
            <w:tcW w:w="852" w:type="dxa"/>
            <w:tcBorders>
              <w:left w:val="single" w:color="000000" w:sz="4" w:space="0"/>
            </w:tcBorders>
            <w:noWrap w:val="0"/>
            <w:vAlign w:val="center"/>
          </w:tcPr>
          <w:p w14:paraId="593DAEC8">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12</w:t>
            </w:r>
          </w:p>
        </w:tc>
        <w:tc>
          <w:tcPr>
            <w:tcW w:w="840" w:type="dxa"/>
            <w:gridSpan w:val="2"/>
            <w:tcBorders>
              <w:bottom w:val="single" w:color="000000" w:sz="4" w:space="0"/>
              <w:right w:val="single" w:color="000000" w:sz="4" w:space="0"/>
            </w:tcBorders>
            <w:noWrap w:val="0"/>
            <w:vAlign w:val="center"/>
          </w:tcPr>
          <w:p w14:paraId="55EECB90">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12</w:t>
            </w:r>
          </w:p>
        </w:tc>
        <w:tc>
          <w:tcPr>
            <w:tcW w:w="780" w:type="dxa"/>
            <w:tcBorders>
              <w:left w:val="single" w:color="000000" w:sz="4" w:space="0"/>
              <w:bottom w:val="single" w:color="000000" w:sz="4" w:space="0"/>
              <w:right w:val="single" w:color="000000" w:sz="4" w:space="0"/>
            </w:tcBorders>
            <w:noWrap w:val="0"/>
            <w:vAlign w:val="center"/>
          </w:tcPr>
          <w:p w14:paraId="63460A20">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16</w:t>
            </w:r>
          </w:p>
        </w:tc>
        <w:tc>
          <w:tcPr>
            <w:tcW w:w="589" w:type="dxa"/>
            <w:tcBorders>
              <w:left w:val="single" w:color="000000" w:sz="4" w:space="0"/>
              <w:bottom w:val="single" w:color="000000" w:sz="4" w:space="0"/>
            </w:tcBorders>
            <w:noWrap w:val="0"/>
            <w:vAlign w:val="center"/>
          </w:tcPr>
          <w:p w14:paraId="13B7C478">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0</w:t>
            </w:r>
            <w:r>
              <w:rPr>
                <w:rFonts w:hint="eastAsia" w:ascii="仿宋" w:eastAsia="仿宋" w:cs="仿宋"/>
                <w:sz w:val="24"/>
                <w:szCs w:val="24"/>
                <w:lang w:eastAsia="zh-Hans"/>
              </w:rPr>
              <w:t>.65</w:t>
            </w:r>
          </w:p>
        </w:tc>
      </w:tr>
      <w:tr w14:paraId="1AC31A77">
        <w:trPr>
          <w:trHeight w:val="624" w:hRule="atLeast"/>
        </w:trPr>
        <w:tc>
          <w:tcPr>
            <w:tcW w:w="1375" w:type="dxa"/>
            <w:vMerge w:val="continue"/>
            <w:noWrap w:val="0"/>
            <w:vAlign w:val="center"/>
          </w:tcPr>
          <w:p w14:paraId="452D71EF">
            <w:pPr>
              <w:pageBreakBefore w:val="0"/>
              <w:kinsoku/>
              <w:overflowPunct/>
              <w:topLinePunct w:val="0"/>
              <w:bidi w:val="0"/>
              <w:spacing w:line="240" w:lineRule="auto"/>
            </w:pPr>
          </w:p>
        </w:tc>
        <w:tc>
          <w:tcPr>
            <w:tcW w:w="1313" w:type="dxa"/>
            <w:tcBorders>
              <w:bottom w:val="single" w:color="auto" w:sz="4" w:space="0"/>
            </w:tcBorders>
            <w:noWrap w:val="0"/>
            <w:vAlign w:val="center"/>
          </w:tcPr>
          <w:p w14:paraId="6358FB06">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课程目标3（20%）</w:t>
            </w:r>
          </w:p>
        </w:tc>
        <w:tc>
          <w:tcPr>
            <w:tcW w:w="3397" w:type="dxa"/>
            <w:gridSpan w:val="6"/>
            <w:tcBorders>
              <w:bottom w:val="single" w:color="auto" w:sz="4" w:space="0"/>
              <w:right w:val="single" w:color="000000" w:sz="4" w:space="0"/>
            </w:tcBorders>
            <w:noWrap w:val="0"/>
            <w:vAlign w:val="center"/>
          </w:tcPr>
          <w:p w14:paraId="77F06A31">
            <w:pPr>
              <w:pageBreakBefore w:val="0"/>
              <w:kinsoku/>
              <w:overflowPunct/>
              <w:topLinePunct w:val="0"/>
              <w:bidi w:val="0"/>
              <w:adjustRightInd w:val="0"/>
              <w:snapToGrid w:val="0"/>
              <w:spacing w:line="240" w:lineRule="auto"/>
              <w:jc w:val="left"/>
              <w:rPr>
                <w:rFonts w:hint="eastAsia" w:ascii="仿宋" w:eastAsia="仿宋" w:cs="仿宋"/>
                <w:sz w:val="24"/>
                <w:szCs w:val="24"/>
              </w:rPr>
            </w:pPr>
            <w:r>
              <w:rPr>
                <w:rStyle w:val="379"/>
                <w:rFonts w:hint="eastAsia" w:ascii="仿宋" w:eastAsia="仿宋"/>
                <w:sz w:val="24"/>
                <w:szCs w:val="24"/>
              </w:rPr>
              <w:t>具有终身学习和专业发展意识，自觉进行反思型准教师的自我塑造，在</w:t>
            </w:r>
            <w:r>
              <w:rPr>
                <w:rStyle w:val="379"/>
                <w:rFonts w:hint="eastAsia" w:ascii="仿宋" w:eastAsia="仿宋"/>
                <w:sz w:val="24"/>
                <w:szCs w:val="24"/>
                <w:lang w:eastAsia="zh-Hans"/>
              </w:rPr>
              <w:t>音乐教育教学</w:t>
            </w:r>
            <w:r>
              <w:rPr>
                <w:rStyle w:val="379"/>
                <w:rFonts w:hint="eastAsia" w:ascii="仿宋" w:eastAsia="仿宋"/>
                <w:sz w:val="24"/>
                <w:szCs w:val="24"/>
              </w:rPr>
              <w:t>实践过程中学会总结和反思，</w:t>
            </w:r>
            <w:r>
              <w:rPr>
                <w:rFonts w:hint="eastAsia" w:ascii="仿宋" w:eastAsia="仿宋" w:cs="宋体"/>
                <w:sz w:val="24"/>
                <w:szCs w:val="24"/>
              </w:rPr>
              <w:t>能对自己与他人的教学提出改进措施与方法。</w:t>
            </w:r>
          </w:p>
        </w:tc>
        <w:tc>
          <w:tcPr>
            <w:tcW w:w="852" w:type="dxa"/>
            <w:tcBorders>
              <w:left w:val="single" w:color="000000" w:sz="4" w:space="0"/>
              <w:bottom w:val="single" w:color="auto" w:sz="4" w:space="0"/>
            </w:tcBorders>
            <w:noWrap w:val="0"/>
            <w:vAlign w:val="center"/>
          </w:tcPr>
          <w:p w14:paraId="0C261ACB">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6</w:t>
            </w:r>
          </w:p>
        </w:tc>
        <w:tc>
          <w:tcPr>
            <w:tcW w:w="840" w:type="dxa"/>
            <w:gridSpan w:val="2"/>
            <w:tcBorders>
              <w:top w:val="single" w:color="000000" w:sz="4" w:space="0"/>
              <w:bottom w:val="single" w:color="auto" w:sz="4" w:space="0"/>
              <w:right w:val="single" w:color="000000" w:sz="4" w:space="0"/>
            </w:tcBorders>
            <w:noWrap w:val="0"/>
            <w:vAlign w:val="center"/>
          </w:tcPr>
          <w:p w14:paraId="0DB3A20D">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6</w:t>
            </w:r>
          </w:p>
        </w:tc>
        <w:tc>
          <w:tcPr>
            <w:tcW w:w="780" w:type="dxa"/>
            <w:tcBorders>
              <w:top w:val="single" w:color="000000" w:sz="4" w:space="0"/>
              <w:left w:val="single" w:color="000000" w:sz="4" w:space="0"/>
              <w:bottom w:val="single" w:color="auto" w:sz="4" w:space="0"/>
              <w:right w:val="single" w:color="000000" w:sz="4" w:space="0"/>
            </w:tcBorders>
            <w:noWrap w:val="0"/>
            <w:vAlign w:val="center"/>
          </w:tcPr>
          <w:p w14:paraId="542D6EF7">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8</w:t>
            </w:r>
          </w:p>
        </w:tc>
        <w:tc>
          <w:tcPr>
            <w:tcW w:w="589" w:type="dxa"/>
            <w:tcBorders>
              <w:top w:val="single" w:color="000000" w:sz="4" w:space="0"/>
              <w:left w:val="single" w:color="000000" w:sz="4" w:space="0"/>
              <w:bottom w:val="single" w:color="auto" w:sz="4" w:space="0"/>
            </w:tcBorders>
            <w:noWrap w:val="0"/>
            <w:vAlign w:val="center"/>
          </w:tcPr>
          <w:p w14:paraId="3FB60DF8">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0</w:t>
            </w:r>
            <w:r>
              <w:rPr>
                <w:rFonts w:hint="eastAsia" w:ascii="仿宋" w:eastAsia="仿宋" w:cs="仿宋"/>
                <w:sz w:val="24"/>
                <w:szCs w:val="24"/>
                <w:lang w:eastAsia="zh-Hans"/>
              </w:rPr>
              <w:t>.65</w:t>
            </w:r>
          </w:p>
        </w:tc>
      </w:tr>
      <w:tr w14:paraId="2571892C">
        <w:trPr>
          <w:trHeight w:val="624" w:hRule="atLeast"/>
        </w:trPr>
        <w:tc>
          <w:tcPr>
            <w:tcW w:w="1375" w:type="dxa"/>
            <w:vMerge w:val="continue"/>
            <w:noWrap w:val="0"/>
            <w:vAlign w:val="center"/>
          </w:tcPr>
          <w:p w14:paraId="0613FD81">
            <w:pPr>
              <w:pageBreakBefore w:val="0"/>
              <w:kinsoku/>
              <w:overflowPunct/>
              <w:topLinePunct w:val="0"/>
              <w:bidi w:val="0"/>
              <w:spacing w:line="240" w:lineRule="auto"/>
            </w:pPr>
          </w:p>
        </w:tc>
        <w:tc>
          <w:tcPr>
            <w:tcW w:w="4710" w:type="dxa"/>
            <w:gridSpan w:val="7"/>
            <w:tcBorders>
              <w:bottom w:val="single" w:color="auto" w:sz="4" w:space="0"/>
              <w:right w:val="single" w:color="000000" w:sz="4" w:space="0"/>
            </w:tcBorders>
            <w:noWrap w:val="0"/>
            <w:vAlign w:val="center"/>
          </w:tcPr>
          <w:p w14:paraId="11251BD8">
            <w:pPr>
              <w:pageBreakBefore w:val="0"/>
              <w:widowControl/>
              <w:kinsoku/>
              <w:overflowPunct/>
              <w:topLinePunct w:val="0"/>
              <w:autoSpaceDE w:val="0"/>
              <w:autoSpaceDN w:val="0"/>
              <w:bidi w:val="0"/>
              <w:adjustRightInd w:val="0"/>
              <w:snapToGrid w:val="0"/>
              <w:spacing w:line="240" w:lineRule="auto"/>
              <w:jc w:val="center"/>
              <w:textAlignment w:val="bottom"/>
              <w:rPr>
                <w:rFonts w:hint="eastAsia" w:ascii="仿宋" w:eastAsia="仿宋" w:cs="仿宋"/>
                <w:sz w:val="24"/>
                <w:szCs w:val="24"/>
              </w:rPr>
            </w:pPr>
            <w:r>
              <w:rPr>
                <w:rFonts w:hint="eastAsia" w:ascii="仿宋" w:eastAsia="仿宋" w:cs="仿宋"/>
                <w:sz w:val="24"/>
                <w:szCs w:val="24"/>
              </w:rPr>
              <w:t>总分</w:t>
            </w:r>
          </w:p>
        </w:tc>
        <w:tc>
          <w:tcPr>
            <w:tcW w:w="852" w:type="dxa"/>
            <w:tcBorders>
              <w:left w:val="single" w:color="000000" w:sz="4" w:space="0"/>
              <w:bottom w:val="single" w:color="auto" w:sz="4" w:space="0"/>
            </w:tcBorders>
            <w:noWrap w:val="0"/>
            <w:vAlign w:val="center"/>
          </w:tcPr>
          <w:p w14:paraId="5C9324EA">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30</w:t>
            </w:r>
          </w:p>
        </w:tc>
        <w:tc>
          <w:tcPr>
            <w:tcW w:w="840" w:type="dxa"/>
            <w:gridSpan w:val="2"/>
            <w:tcBorders>
              <w:top w:val="single" w:color="000000" w:sz="4" w:space="0"/>
              <w:bottom w:val="single" w:color="auto" w:sz="4" w:space="0"/>
              <w:right w:val="single" w:color="000000" w:sz="4" w:space="0"/>
            </w:tcBorders>
            <w:noWrap w:val="0"/>
            <w:vAlign w:val="center"/>
          </w:tcPr>
          <w:p w14:paraId="77D44582">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30</w:t>
            </w:r>
          </w:p>
        </w:tc>
        <w:tc>
          <w:tcPr>
            <w:tcW w:w="780" w:type="dxa"/>
            <w:tcBorders>
              <w:top w:val="single" w:color="000000" w:sz="4" w:space="0"/>
              <w:left w:val="single" w:color="000000" w:sz="4" w:space="0"/>
              <w:bottom w:val="single" w:color="auto" w:sz="4" w:space="0"/>
              <w:right w:val="single" w:color="000000" w:sz="4" w:space="0"/>
            </w:tcBorders>
            <w:noWrap w:val="0"/>
            <w:vAlign w:val="center"/>
          </w:tcPr>
          <w:p w14:paraId="2313F68E">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40</w:t>
            </w:r>
          </w:p>
        </w:tc>
        <w:tc>
          <w:tcPr>
            <w:tcW w:w="589" w:type="dxa"/>
            <w:tcBorders>
              <w:top w:val="single" w:color="000000" w:sz="4" w:space="0"/>
              <w:left w:val="single" w:color="000000" w:sz="4" w:space="0"/>
              <w:bottom w:val="single" w:color="auto" w:sz="4" w:space="0"/>
            </w:tcBorders>
            <w:noWrap w:val="0"/>
            <w:vAlign w:val="center"/>
          </w:tcPr>
          <w:p w14:paraId="69353CC1">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0</w:t>
            </w:r>
            <w:r>
              <w:rPr>
                <w:rFonts w:hint="eastAsia" w:ascii="仿宋" w:eastAsia="仿宋" w:cs="仿宋"/>
                <w:sz w:val="24"/>
                <w:szCs w:val="24"/>
                <w:lang w:eastAsia="zh-Hans"/>
              </w:rPr>
              <w:t>.65</w:t>
            </w:r>
          </w:p>
        </w:tc>
      </w:tr>
      <w:tr w14:paraId="5DBBFF2C">
        <w:trPr>
          <w:trHeight w:val="624" w:hRule="atLeast"/>
        </w:trPr>
        <w:tc>
          <w:tcPr>
            <w:tcW w:w="1375" w:type="dxa"/>
            <w:noWrap w:val="0"/>
            <w:vAlign w:val="center"/>
          </w:tcPr>
          <w:p w14:paraId="6B3712C5">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L</w:t>
            </w:r>
          </w:p>
          <w:p w14:paraId="13E4207D">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学习建议</w:t>
            </w:r>
          </w:p>
        </w:tc>
        <w:tc>
          <w:tcPr>
            <w:tcW w:w="7771" w:type="dxa"/>
            <w:gridSpan w:val="12"/>
            <w:tcBorders>
              <w:bottom w:val="single" w:color="auto" w:sz="4" w:space="0"/>
            </w:tcBorders>
            <w:noWrap w:val="0"/>
            <w:vAlign w:val="center"/>
          </w:tcPr>
          <w:p w14:paraId="3A05FB4E">
            <w:pPr>
              <w:pageBreakBefore w:val="0"/>
              <w:kinsoku/>
              <w:overflowPunct/>
              <w:topLinePunct w:val="0"/>
              <w:bidi w:val="0"/>
              <w:adjustRightInd w:val="0"/>
              <w:snapToGrid w:val="0"/>
              <w:spacing w:line="240" w:lineRule="auto"/>
              <w:rPr>
                <w:rFonts w:hint="eastAsia" w:ascii="仿宋" w:eastAsia="仿宋" w:cs="仿宋"/>
                <w:bCs/>
                <w:sz w:val="24"/>
                <w:szCs w:val="24"/>
              </w:rPr>
            </w:pPr>
            <w:r>
              <w:rPr>
                <w:rFonts w:hint="eastAsia" w:ascii="仿宋" w:eastAsia="仿宋" w:cs="仿宋"/>
                <w:bCs/>
                <w:sz w:val="24"/>
                <w:szCs w:val="24"/>
              </w:rPr>
              <w:t>1.自主学习。建议学生通过预习教材，并通过网络、图书馆自主查阅课程中涉及的学习资源，了解国内外最新音乐教育</w:t>
            </w:r>
            <w:r>
              <w:rPr>
                <w:rFonts w:hint="eastAsia" w:ascii="仿宋" w:eastAsia="仿宋" w:cs="仿宋"/>
                <w:bCs/>
                <w:sz w:val="24"/>
                <w:szCs w:val="24"/>
                <w:lang w:eastAsia="zh-Hans"/>
              </w:rPr>
              <w:t>动态</w:t>
            </w:r>
            <w:r>
              <w:rPr>
                <w:rFonts w:hint="eastAsia" w:ascii="仿宋" w:eastAsia="仿宋" w:cs="仿宋"/>
                <w:bCs/>
                <w:sz w:val="24"/>
                <w:szCs w:val="24"/>
              </w:rPr>
              <w:t>，开阔学生的视野，独立规划自己的课程学习计划，充分发挥自身的学习能动性。</w:t>
            </w:r>
          </w:p>
          <w:p w14:paraId="39BC3E42">
            <w:pPr>
              <w:pageBreakBefore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bCs/>
                <w:sz w:val="24"/>
                <w:szCs w:val="24"/>
              </w:rPr>
              <w:t>2.研究性学习。鼓励学生针对课程教学内容，尝试理论课结合基础音乐教育一线案例分析的教学方式，</w:t>
            </w:r>
            <w:r>
              <w:rPr>
                <w:rFonts w:hint="eastAsia" w:ascii="仿宋" w:eastAsia="仿宋" w:cs="仿宋"/>
                <w:bCs/>
                <w:sz w:val="24"/>
                <w:szCs w:val="24"/>
                <w:lang w:eastAsia="zh-Hans"/>
              </w:rPr>
              <w:t>引导学生学会深度学习</w:t>
            </w:r>
            <w:r>
              <w:rPr>
                <w:rFonts w:hint="eastAsia" w:ascii="仿宋" w:eastAsia="仿宋" w:cs="仿宋"/>
                <w:bCs/>
                <w:sz w:val="24"/>
                <w:szCs w:val="24"/>
              </w:rPr>
              <w:t>。</w:t>
            </w:r>
            <w:r>
              <w:rPr>
                <w:rFonts w:hint="eastAsia" w:ascii="仿宋" w:eastAsia="仿宋" w:cs="仿宋"/>
                <w:sz w:val="24"/>
                <w:szCs w:val="24"/>
              </w:rPr>
              <w:t xml:space="preserve"> </w:t>
            </w:r>
          </w:p>
        </w:tc>
      </w:tr>
      <w:tr w14:paraId="1F97D5ED">
        <w:trPr>
          <w:trHeight w:val="624" w:hRule="atLeast"/>
        </w:trPr>
        <w:tc>
          <w:tcPr>
            <w:tcW w:w="1375" w:type="dxa"/>
            <w:noWrap w:val="0"/>
            <w:vAlign w:val="center"/>
          </w:tcPr>
          <w:p w14:paraId="413740B1">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M</w:t>
            </w:r>
          </w:p>
          <w:p w14:paraId="40662B7C">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评分量表</w:t>
            </w:r>
          </w:p>
        </w:tc>
        <w:tc>
          <w:tcPr>
            <w:tcW w:w="7771" w:type="dxa"/>
            <w:gridSpan w:val="12"/>
            <w:noWrap w:val="0"/>
            <w:vAlign w:val="center"/>
          </w:tcPr>
          <w:p w14:paraId="070E2F4E">
            <w:pPr>
              <w:pageBreakBefore w:val="0"/>
              <w:tabs>
                <w:tab w:val="left" w:pos="720"/>
              </w:tabs>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w:t>
            </w:r>
            <w:r>
              <w:rPr>
                <w:rFonts w:hint="eastAsia" w:ascii="仿宋" w:eastAsia="仿宋" w:cs="仿宋"/>
                <w:sz w:val="24"/>
                <w:szCs w:val="24"/>
                <w:lang w:val="en-US" w:eastAsia="zh-CN"/>
              </w:rPr>
              <w:t>微格与片段教学</w:t>
            </w:r>
            <w:r>
              <w:rPr>
                <w:rFonts w:hint="eastAsia" w:ascii="仿宋" w:eastAsia="仿宋" w:cs="仿宋"/>
                <w:sz w:val="24"/>
                <w:szCs w:val="24"/>
              </w:rPr>
              <w:t>》</w:t>
            </w:r>
            <w:r>
              <w:rPr>
                <w:rFonts w:hint="eastAsia" w:ascii="仿宋" w:eastAsia="仿宋" w:cs="仿宋"/>
                <w:sz w:val="24"/>
                <w:szCs w:val="24"/>
                <w:lang w:eastAsia="zh-CN"/>
              </w:rPr>
              <w:t>（</w:t>
            </w:r>
            <w:r>
              <w:rPr>
                <w:rFonts w:hint="eastAsia" w:ascii="仿宋" w:eastAsia="仿宋" w:cs="仿宋"/>
                <w:sz w:val="24"/>
                <w:szCs w:val="24"/>
                <w:lang w:val="en-US" w:eastAsia="zh-CN"/>
              </w:rPr>
              <w:t>音乐类）</w:t>
            </w:r>
            <w:r>
              <w:rPr>
                <w:rFonts w:hint="eastAsia" w:ascii="仿宋" w:eastAsia="仿宋" w:cs="仿宋"/>
                <w:sz w:val="24"/>
                <w:szCs w:val="24"/>
              </w:rPr>
              <w:t>课程目标评分量表见附表。</w:t>
            </w:r>
          </w:p>
        </w:tc>
      </w:tr>
      <w:tr w14:paraId="4F8C4DE2">
        <w:trPr>
          <w:trHeight w:val="624" w:hRule="atLeast"/>
        </w:trPr>
        <w:tc>
          <w:tcPr>
            <w:tcW w:w="1375" w:type="dxa"/>
            <w:noWrap w:val="0"/>
            <w:vAlign w:val="center"/>
          </w:tcPr>
          <w:p w14:paraId="60A01B79">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审批</w:t>
            </w:r>
          </w:p>
          <w:p w14:paraId="6305DD0E">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意见</w:t>
            </w:r>
          </w:p>
        </w:tc>
        <w:tc>
          <w:tcPr>
            <w:tcW w:w="3869" w:type="dxa"/>
            <w:gridSpan w:val="5"/>
            <w:noWrap w:val="0"/>
            <w:vAlign w:val="center"/>
          </w:tcPr>
          <w:p w14:paraId="3D053864">
            <w:pPr>
              <w:pageBreakBefore w:val="0"/>
              <w:widowControl/>
              <w:kinsoku/>
              <w:overflowPunct/>
              <w:topLinePunct w:val="0"/>
              <w:bidi w:val="0"/>
              <w:adjustRightInd w:val="0"/>
              <w:snapToGrid w:val="0"/>
              <w:spacing w:line="240" w:lineRule="auto"/>
              <w:jc w:val="left"/>
              <w:rPr>
                <w:rFonts w:hint="eastAsia" w:ascii="仿宋" w:eastAsia="仿宋" w:cs="仿宋"/>
                <w:sz w:val="24"/>
                <w:szCs w:val="24"/>
              </w:rPr>
            </w:pPr>
            <w:r>
              <w:rPr>
                <w:rFonts w:hint="eastAsia" w:ascii="仿宋" w:eastAsia="仿宋" w:cs="仿宋"/>
                <w:sz w:val="24"/>
                <w:szCs w:val="24"/>
              </w:rPr>
              <w:t xml:space="preserve">课程教学大纲修订负责人及教学团队成员签名：   </w:t>
            </w:r>
          </w:p>
          <w:p w14:paraId="333C7FB9">
            <w:pPr>
              <w:pageBreakBefore w:val="0"/>
              <w:widowControl/>
              <w:kinsoku/>
              <w:overflowPunct/>
              <w:topLinePunct w:val="0"/>
              <w:bidi w:val="0"/>
              <w:adjustRightInd w:val="0"/>
              <w:snapToGrid w:val="0"/>
              <w:spacing w:line="240" w:lineRule="auto"/>
              <w:jc w:val="left"/>
              <w:rPr>
                <w:rFonts w:hint="eastAsia" w:ascii="仿宋" w:eastAsia="仿宋" w:cs="仿宋"/>
                <w:sz w:val="24"/>
                <w:szCs w:val="24"/>
              </w:rPr>
            </w:pPr>
          </w:p>
          <w:p w14:paraId="0BD5BD3B">
            <w:pPr>
              <w:pageBreakBefore w:val="0"/>
              <w:widowControl/>
              <w:kinsoku/>
              <w:overflowPunct/>
              <w:topLinePunct w:val="0"/>
              <w:bidi w:val="0"/>
              <w:adjustRightInd w:val="0"/>
              <w:snapToGrid w:val="0"/>
              <w:spacing w:line="240" w:lineRule="auto"/>
              <w:jc w:val="left"/>
              <w:rPr>
                <w:rFonts w:hint="eastAsia" w:ascii="仿宋" w:eastAsia="仿宋" w:cs="仿宋"/>
                <w:sz w:val="24"/>
                <w:szCs w:val="24"/>
              </w:rPr>
            </w:pPr>
          </w:p>
          <w:p w14:paraId="21D462F4">
            <w:pPr>
              <w:pageBreakBefore w:val="0"/>
              <w:widowControl/>
              <w:kinsoku/>
              <w:overflowPunct/>
              <w:topLinePunct w:val="0"/>
              <w:bidi w:val="0"/>
              <w:adjustRightInd w:val="0"/>
              <w:snapToGrid w:val="0"/>
              <w:spacing w:line="240" w:lineRule="auto"/>
              <w:jc w:val="left"/>
              <w:rPr>
                <w:rFonts w:hint="eastAsia" w:ascii="仿宋" w:eastAsia="仿宋" w:cs="仿宋"/>
                <w:sz w:val="24"/>
                <w:szCs w:val="24"/>
              </w:rPr>
            </w:pPr>
          </w:p>
          <w:p w14:paraId="4900CA69">
            <w:pPr>
              <w:pageBreakBefore w:val="0"/>
              <w:widowControl/>
              <w:kinsoku/>
              <w:overflowPunct/>
              <w:topLinePunct w:val="0"/>
              <w:bidi w:val="0"/>
              <w:adjustRightInd w:val="0"/>
              <w:snapToGrid w:val="0"/>
              <w:spacing w:line="240" w:lineRule="auto"/>
              <w:jc w:val="left"/>
              <w:rPr>
                <w:rFonts w:hint="eastAsia" w:ascii="仿宋" w:eastAsia="仿宋" w:cs="仿宋"/>
                <w:sz w:val="24"/>
                <w:szCs w:val="24"/>
              </w:rPr>
            </w:pPr>
          </w:p>
          <w:p w14:paraId="207268E0">
            <w:pPr>
              <w:pageBreakBefore w:val="0"/>
              <w:widowControl/>
              <w:kinsoku/>
              <w:overflowPunct/>
              <w:topLinePunct w:val="0"/>
              <w:bidi w:val="0"/>
              <w:adjustRightInd w:val="0"/>
              <w:snapToGrid w:val="0"/>
              <w:spacing w:line="240" w:lineRule="auto"/>
              <w:jc w:val="right"/>
              <w:rPr>
                <w:rFonts w:hint="eastAsia" w:ascii="仿宋" w:eastAsia="仿宋" w:cs="仿宋"/>
                <w:sz w:val="24"/>
                <w:szCs w:val="24"/>
              </w:rPr>
            </w:pPr>
            <w:r>
              <w:rPr>
                <w:rFonts w:hint="eastAsia" w:ascii="仿宋" w:eastAsia="仿宋" w:cs="仿宋"/>
                <w:sz w:val="24"/>
                <w:szCs w:val="24"/>
              </w:rPr>
              <w:t xml:space="preserve">                                                   年   月   日 </w:t>
            </w:r>
          </w:p>
          <w:p w14:paraId="1BC8C0D7">
            <w:pPr>
              <w:pageBreakBefore w:val="0"/>
              <w:widowControl/>
              <w:kinsoku/>
              <w:overflowPunct/>
              <w:topLinePunct w:val="0"/>
              <w:bidi w:val="0"/>
              <w:adjustRightInd w:val="0"/>
              <w:snapToGrid w:val="0"/>
              <w:spacing w:line="240" w:lineRule="auto"/>
              <w:jc w:val="right"/>
              <w:rPr>
                <w:rFonts w:hint="eastAsia" w:ascii="仿宋" w:eastAsia="仿宋" w:cs="仿宋"/>
                <w:sz w:val="24"/>
                <w:szCs w:val="24"/>
              </w:rPr>
            </w:pPr>
          </w:p>
        </w:tc>
        <w:tc>
          <w:tcPr>
            <w:tcW w:w="3902" w:type="dxa"/>
            <w:gridSpan w:val="7"/>
            <w:noWrap w:val="0"/>
            <w:vAlign w:val="center"/>
          </w:tcPr>
          <w:p w14:paraId="401F6CB1">
            <w:pPr>
              <w:pageBreakBefore w:val="0"/>
              <w:widowControl/>
              <w:kinsoku/>
              <w:overflowPunct/>
              <w:topLinePunct w:val="0"/>
              <w:bidi w:val="0"/>
              <w:adjustRightInd w:val="0"/>
              <w:snapToGrid w:val="0"/>
              <w:spacing w:line="240" w:lineRule="auto"/>
              <w:jc w:val="left"/>
              <w:rPr>
                <w:rFonts w:hint="eastAsia" w:ascii="仿宋" w:eastAsia="仿宋" w:cs="仿宋"/>
                <w:sz w:val="24"/>
                <w:szCs w:val="24"/>
              </w:rPr>
            </w:pPr>
            <w:r>
              <w:rPr>
                <w:rFonts w:hint="eastAsia" w:ascii="仿宋" w:eastAsia="仿宋" w:cs="仿宋"/>
                <w:sz w:val="24"/>
                <w:szCs w:val="24"/>
              </w:rPr>
              <w:t>系主任审核意见：</w:t>
            </w:r>
          </w:p>
          <w:p w14:paraId="03D4796D">
            <w:pPr>
              <w:pageBreakBefore w:val="0"/>
              <w:widowControl/>
              <w:kinsoku/>
              <w:overflowPunct/>
              <w:topLinePunct w:val="0"/>
              <w:bidi w:val="0"/>
              <w:adjustRightInd w:val="0"/>
              <w:snapToGrid w:val="0"/>
              <w:spacing w:line="240" w:lineRule="auto"/>
              <w:jc w:val="left"/>
              <w:rPr>
                <w:rFonts w:hint="eastAsia" w:ascii="仿宋" w:eastAsia="仿宋" w:cs="仿宋"/>
                <w:sz w:val="24"/>
                <w:szCs w:val="24"/>
              </w:rPr>
            </w:pPr>
          </w:p>
          <w:p w14:paraId="1C1DC51E">
            <w:pPr>
              <w:pageBreakBefore w:val="0"/>
              <w:widowControl/>
              <w:kinsoku/>
              <w:overflowPunct/>
              <w:topLinePunct w:val="0"/>
              <w:bidi w:val="0"/>
              <w:adjustRightInd w:val="0"/>
              <w:snapToGrid w:val="0"/>
              <w:spacing w:line="240" w:lineRule="auto"/>
              <w:jc w:val="left"/>
              <w:rPr>
                <w:rFonts w:hint="eastAsia" w:ascii="仿宋" w:eastAsia="仿宋" w:cs="仿宋"/>
                <w:sz w:val="24"/>
                <w:szCs w:val="24"/>
              </w:rPr>
            </w:pPr>
          </w:p>
          <w:p w14:paraId="54931401">
            <w:pPr>
              <w:pageBreakBefore w:val="0"/>
              <w:widowControl/>
              <w:kinsoku/>
              <w:overflowPunct/>
              <w:topLinePunct w:val="0"/>
              <w:bidi w:val="0"/>
              <w:adjustRightInd w:val="0"/>
              <w:snapToGrid w:val="0"/>
              <w:spacing w:line="240" w:lineRule="auto"/>
              <w:jc w:val="left"/>
              <w:rPr>
                <w:rFonts w:hint="eastAsia" w:ascii="仿宋" w:eastAsia="仿宋" w:cs="仿宋"/>
                <w:sz w:val="24"/>
                <w:szCs w:val="24"/>
              </w:rPr>
            </w:pPr>
          </w:p>
          <w:p w14:paraId="4000A2EC">
            <w:pPr>
              <w:pageBreakBefore w:val="0"/>
              <w:widowControl/>
              <w:kinsoku/>
              <w:overflowPunct/>
              <w:topLinePunct w:val="0"/>
              <w:bidi w:val="0"/>
              <w:adjustRightInd w:val="0"/>
              <w:snapToGrid w:val="0"/>
              <w:spacing w:line="240" w:lineRule="auto"/>
              <w:jc w:val="left"/>
              <w:rPr>
                <w:rFonts w:hint="eastAsia" w:ascii="仿宋" w:eastAsia="仿宋" w:cs="仿宋"/>
                <w:sz w:val="24"/>
                <w:szCs w:val="24"/>
              </w:rPr>
            </w:pPr>
          </w:p>
          <w:p w14:paraId="29E1D339">
            <w:pPr>
              <w:pageBreakBefore w:val="0"/>
              <w:widowControl/>
              <w:kinsoku/>
              <w:overflowPunct/>
              <w:topLinePunct w:val="0"/>
              <w:bidi w:val="0"/>
              <w:adjustRightInd w:val="0"/>
              <w:snapToGrid w:val="0"/>
              <w:spacing w:line="240" w:lineRule="auto"/>
              <w:jc w:val="left"/>
              <w:rPr>
                <w:rFonts w:hint="eastAsia" w:ascii="仿宋" w:eastAsia="仿宋" w:cs="仿宋"/>
                <w:sz w:val="24"/>
                <w:szCs w:val="24"/>
              </w:rPr>
            </w:pPr>
            <w:r>
              <w:rPr>
                <w:rFonts w:hint="eastAsia" w:ascii="仿宋" w:eastAsia="仿宋" w:cs="仿宋"/>
                <w:sz w:val="24"/>
                <w:szCs w:val="24"/>
              </w:rPr>
              <w:t>系主任签名：</w:t>
            </w:r>
          </w:p>
          <w:p w14:paraId="4F6E8536">
            <w:pPr>
              <w:pageBreakBefore w:val="0"/>
              <w:widowControl/>
              <w:kinsoku/>
              <w:overflowPunct/>
              <w:topLinePunct w:val="0"/>
              <w:bidi w:val="0"/>
              <w:adjustRightInd w:val="0"/>
              <w:snapToGrid w:val="0"/>
              <w:spacing w:line="240" w:lineRule="auto"/>
              <w:jc w:val="right"/>
              <w:rPr>
                <w:rFonts w:hint="eastAsia" w:ascii="仿宋" w:eastAsia="仿宋" w:cs="仿宋"/>
                <w:sz w:val="24"/>
                <w:szCs w:val="24"/>
              </w:rPr>
            </w:pPr>
          </w:p>
          <w:p w14:paraId="5DED1FA0">
            <w:pPr>
              <w:pageBreakBefore w:val="0"/>
              <w:widowControl/>
              <w:kinsoku/>
              <w:overflowPunct/>
              <w:topLinePunct w:val="0"/>
              <w:bidi w:val="0"/>
              <w:adjustRightInd w:val="0"/>
              <w:snapToGrid w:val="0"/>
              <w:spacing w:line="240" w:lineRule="auto"/>
              <w:jc w:val="right"/>
              <w:rPr>
                <w:rFonts w:hint="eastAsia" w:ascii="仿宋" w:eastAsia="仿宋" w:cs="仿宋"/>
                <w:sz w:val="24"/>
                <w:szCs w:val="24"/>
              </w:rPr>
            </w:pPr>
            <w:r>
              <w:rPr>
                <w:rFonts w:hint="eastAsia" w:ascii="仿宋" w:eastAsia="仿宋" w:cs="仿宋"/>
                <w:sz w:val="24"/>
                <w:szCs w:val="24"/>
              </w:rPr>
              <w:t>年   月   日</w:t>
            </w:r>
          </w:p>
          <w:p w14:paraId="432E86EF">
            <w:pPr>
              <w:pageBreakBefore w:val="0"/>
              <w:widowControl/>
              <w:kinsoku/>
              <w:overflowPunct/>
              <w:topLinePunct w:val="0"/>
              <w:bidi w:val="0"/>
              <w:adjustRightInd w:val="0"/>
              <w:snapToGrid w:val="0"/>
              <w:spacing w:line="240" w:lineRule="auto"/>
              <w:jc w:val="right"/>
              <w:rPr>
                <w:rFonts w:hint="eastAsia" w:ascii="仿宋" w:eastAsia="仿宋" w:cs="仿宋"/>
                <w:sz w:val="24"/>
                <w:szCs w:val="24"/>
              </w:rPr>
            </w:pPr>
          </w:p>
        </w:tc>
      </w:tr>
    </w:tbl>
    <w:p w14:paraId="6B037ADE">
      <w:pPr>
        <w:pageBreakBefore w:val="0"/>
        <w:kinsoku/>
        <w:overflowPunct/>
        <w:topLinePunct w:val="0"/>
        <w:bidi w:val="0"/>
        <w:spacing w:before="156" w:beforeLines="50" w:line="240" w:lineRule="auto"/>
        <w:jc w:val="center"/>
        <w:rPr>
          <w:rFonts w:hint="eastAsia" w:ascii="仿宋" w:eastAsia="仿宋" w:cs="仿宋"/>
          <w:b/>
          <w:kern w:val="2"/>
          <w:sz w:val="28"/>
          <w:szCs w:val="28"/>
          <w:lang w:bidi="ar-SA"/>
        </w:rPr>
      </w:pPr>
    </w:p>
    <w:p w14:paraId="71F86464">
      <w:pPr>
        <w:pageBreakBefore w:val="0"/>
        <w:kinsoku/>
        <w:overflowPunct/>
        <w:topLinePunct w:val="0"/>
        <w:bidi w:val="0"/>
        <w:spacing w:before="156" w:beforeLines="50" w:line="240" w:lineRule="auto"/>
        <w:jc w:val="center"/>
        <w:outlineLvl w:val="9"/>
        <w:rPr>
          <w:rFonts w:hint="eastAsia" w:ascii="仿宋" w:eastAsia="仿宋" w:cs="仿宋"/>
          <w:b/>
          <w:kern w:val="2"/>
          <w:sz w:val="28"/>
          <w:szCs w:val="28"/>
          <w:lang w:bidi="ar-SA"/>
        </w:rPr>
      </w:pPr>
      <w:bookmarkStart w:id="224" w:name="_Toc99420229"/>
    </w:p>
    <w:p w14:paraId="1CD3D17D">
      <w:pPr>
        <w:pageBreakBefore w:val="0"/>
        <w:kinsoku/>
        <w:overflowPunct/>
        <w:topLinePunct w:val="0"/>
        <w:bidi w:val="0"/>
        <w:spacing w:before="156" w:beforeLines="50" w:line="240" w:lineRule="auto"/>
        <w:jc w:val="center"/>
        <w:outlineLvl w:val="9"/>
        <w:rPr>
          <w:rFonts w:hint="eastAsia" w:ascii="仿宋" w:eastAsia="仿宋" w:cs="仿宋"/>
          <w:b/>
          <w:kern w:val="2"/>
          <w:sz w:val="28"/>
          <w:szCs w:val="28"/>
          <w:lang w:bidi="ar-SA"/>
        </w:rPr>
      </w:pPr>
    </w:p>
    <w:p w14:paraId="19B67693">
      <w:pPr>
        <w:pageBreakBefore w:val="0"/>
        <w:kinsoku/>
        <w:overflowPunct/>
        <w:topLinePunct w:val="0"/>
        <w:bidi w:val="0"/>
        <w:spacing w:before="156" w:beforeLines="50" w:line="240" w:lineRule="auto"/>
        <w:ind w:firstLine="562" w:firstLineChars="200"/>
        <w:jc w:val="both"/>
        <w:outlineLvl w:val="0"/>
        <w:rPr>
          <w:rFonts w:hint="eastAsia" w:ascii="仿宋" w:eastAsia="仿宋" w:cs="黑体"/>
          <w:b/>
          <w:kern w:val="2"/>
          <w:sz w:val="28"/>
          <w:szCs w:val="28"/>
          <w:lang w:bidi="ar-SA"/>
        </w:rPr>
      </w:pPr>
      <w:bookmarkStart w:id="225" w:name="_Toc1073884456"/>
      <w:r>
        <w:rPr>
          <w:rFonts w:hint="eastAsia" w:ascii="仿宋" w:eastAsia="仿宋" w:cs="仿宋"/>
          <w:b/>
          <w:kern w:val="2"/>
          <w:sz w:val="28"/>
          <w:szCs w:val="28"/>
          <w:lang w:bidi="ar-SA"/>
        </w:rPr>
        <w:t>附表：《</w:t>
      </w:r>
      <w:r>
        <w:rPr>
          <w:rFonts w:hint="eastAsia" w:ascii="仿宋" w:eastAsia="仿宋" w:cs="仿宋"/>
          <w:b/>
          <w:kern w:val="2"/>
          <w:sz w:val="28"/>
          <w:szCs w:val="28"/>
          <w:lang w:val="en-US" w:eastAsia="zh-CN" w:bidi="ar-SA"/>
        </w:rPr>
        <w:t>微格与片段教学</w:t>
      </w:r>
      <w:r>
        <w:rPr>
          <w:rFonts w:hint="eastAsia" w:ascii="仿宋" w:eastAsia="仿宋" w:cs="仿宋"/>
          <w:b/>
          <w:kern w:val="2"/>
          <w:sz w:val="28"/>
          <w:szCs w:val="28"/>
          <w:lang w:bidi="ar-SA"/>
        </w:rPr>
        <w:t>》</w:t>
      </w:r>
      <w:r>
        <w:rPr>
          <w:rFonts w:hint="eastAsia" w:ascii="仿宋" w:eastAsia="仿宋" w:cs="仿宋"/>
          <w:b/>
          <w:kern w:val="2"/>
          <w:sz w:val="28"/>
          <w:szCs w:val="28"/>
          <w:lang w:eastAsia="zh-CN" w:bidi="ar-SA"/>
        </w:rPr>
        <w:t>（</w:t>
      </w:r>
      <w:r>
        <w:rPr>
          <w:rFonts w:hint="eastAsia" w:ascii="仿宋" w:eastAsia="仿宋" w:cs="仿宋"/>
          <w:b/>
          <w:kern w:val="2"/>
          <w:sz w:val="28"/>
          <w:szCs w:val="28"/>
          <w:lang w:val="en-US" w:eastAsia="zh-CN" w:bidi="ar-SA"/>
        </w:rPr>
        <w:t>音乐类）</w:t>
      </w:r>
      <w:r>
        <w:rPr>
          <w:rFonts w:hint="eastAsia" w:ascii="仿宋" w:eastAsia="仿宋" w:cs="仿宋"/>
          <w:b/>
          <w:kern w:val="2"/>
          <w:sz w:val="28"/>
          <w:szCs w:val="28"/>
          <w:lang w:bidi="ar-SA"/>
        </w:rPr>
        <w:t>课程目标评分量表</w:t>
      </w:r>
      <w:bookmarkEnd w:id="223"/>
      <w:bookmarkEnd w:id="224"/>
    </w:p>
    <w:tbl>
      <w:tblPr>
        <w:tblStyle w:val="22"/>
        <w:tblW w:w="9284" w:type="dxa"/>
        <w:jc w:val="center"/>
        <w:tblLayout w:type="autofit"/>
        <w:tblCellMar>
          <w:top w:w="0" w:type="dxa"/>
          <w:left w:w="108" w:type="dxa"/>
          <w:bottom w:w="0" w:type="dxa"/>
          <w:right w:w="108" w:type="dxa"/>
        </w:tblCellMar>
      </w:tblPr>
      <w:tblGrid>
        <w:gridCol w:w="1528"/>
        <w:gridCol w:w="1476"/>
        <w:gridCol w:w="1656"/>
        <w:gridCol w:w="1596"/>
        <w:gridCol w:w="1644"/>
        <w:gridCol w:w="1384"/>
      </w:tblGrid>
      <w:tr w14:paraId="5F559E8E">
        <w:trPr>
          <w:trHeight w:val="624" w:hRule="atLeast"/>
          <w:jc w:val="center"/>
        </w:trPr>
        <w:tc>
          <w:tcPr>
            <w:tcW w:w="1528" w:type="dxa"/>
            <w:tcBorders>
              <w:top w:val="single" w:color="000000" w:sz="4" w:space="0"/>
              <w:left w:val="single" w:color="000000" w:sz="4" w:space="0"/>
              <w:bottom w:val="single" w:color="000000" w:sz="4" w:space="0"/>
              <w:right w:val="single" w:color="000000" w:sz="4" w:space="0"/>
            </w:tcBorders>
            <w:noWrap w:val="0"/>
            <w:vAlign w:val="center"/>
          </w:tcPr>
          <w:p w14:paraId="11A8ADB2">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课程目标</w:t>
            </w:r>
          </w:p>
        </w:tc>
        <w:tc>
          <w:tcPr>
            <w:tcW w:w="1476" w:type="dxa"/>
            <w:tcBorders>
              <w:top w:val="single" w:color="000000" w:sz="4" w:space="0"/>
              <w:left w:val="single" w:color="000000" w:sz="4" w:space="0"/>
              <w:bottom w:val="single" w:color="000000" w:sz="4" w:space="0"/>
              <w:right w:val="single" w:color="000000" w:sz="4" w:space="0"/>
            </w:tcBorders>
            <w:noWrap w:val="0"/>
            <w:vAlign w:val="center"/>
          </w:tcPr>
          <w:p w14:paraId="2CBC3556">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优</w:t>
            </w:r>
          </w:p>
          <w:p w14:paraId="017E4946">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（X≧90）</w:t>
            </w:r>
          </w:p>
        </w:tc>
        <w:tc>
          <w:tcPr>
            <w:tcW w:w="1656" w:type="dxa"/>
            <w:tcBorders>
              <w:top w:val="single" w:color="000000" w:sz="4" w:space="0"/>
              <w:left w:val="single" w:color="000000" w:sz="4" w:space="0"/>
              <w:bottom w:val="single" w:color="000000" w:sz="4" w:space="0"/>
              <w:right w:val="single" w:color="000000" w:sz="4" w:space="0"/>
            </w:tcBorders>
            <w:noWrap w:val="0"/>
            <w:vAlign w:val="center"/>
          </w:tcPr>
          <w:p w14:paraId="504CD954">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良</w:t>
            </w:r>
          </w:p>
          <w:p w14:paraId="1A18E6A8">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（80≦X＜90）</w:t>
            </w:r>
          </w:p>
        </w:tc>
        <w:tc>
          <w:tcPr>
            <w:tcW w:w="1596" w:type="dxa"/>
            <w:tcBorders>
              <w:top w:val="single" w:color="000000" w:sz="4" w:space="0"/>
              <w:left w:val="single" w:color="000000" w:sz="4" w:space="0"/>
              <w:bottom w:val="single" w:color="000000" w:sz="4" w:space="0"/>
              <w:right w:val="single" w:color="000000" w:sz="4" w:space="0"/>
            </w:tcBorders>
            <w:noWrap w:val="0"/>
            <w:vAlign w:val="center"/>
          </w:tcPr>
          <w:p w14:paraId="1064EC99">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中</w:t>
            </w:r>
          </w:p>
          <w:p w14:paraId="1233E569">
            <w:pPr>
              <w:pageBreakBefore w:val="0"/>
              <w:tabs>
                <w:tab w:val="left" w:pos="720"/>
              </w:tabs>
              <w:kinsoku/>
              <w:overflowPunct/>
              <w:topLinePunct w:val="0"/>
              <w:bidi w:val="0"/>
              <w:spacing w:line="240" w:lineRule="auto"/>
              <w:ind w:left="-93" w:right="-75" w:hanging="12"/>
              <w:jc w:val="center"/>
              <w:rPr>
                <w:rFonts w:hint="eastAsia" w:ascii="仿宋" w:eastAsia="仿宋" w:cs="仿宋"/>
                <w:b/>
                <w:kern w:val="2"/>
                <w:szCs w:val="21"/>
                <w:lang w:bidi="ar-SA"/>
              </w:rPr>
            </w:pPr>
            <w:r>
              <w:rPr>
                <w:rFonts w:hint="eastAsia" w:ascii="仿宋" w:eastAsia="仿宋" w:cs="仿宋"/>
                <w:b/>
                <w:kern w:val="2"/>
                <w:szCs w:val="21"/>
                <w:lang w:bidi="ar-SA"/>
              </w:rPr>
              <w:t>（70≦X＜80）</w:t>
            </w:r>
          </w:p>
        </w:tc>
        <w:tc>
          <w:tcPr>
            <w:tcW w:w="1644" w:type="dxa"/>
            <w:tcBorders>
              <w:top w:val="single" w:color="000000" w:sz="4" w:space="0"/>
              <w:left w:val="single" w:color="000000" w:sz="4" w:space="0"/>
              <w:bottom w:val="single" w:color="000000" w:sz="4" w:space="0"/>
              <w:right w:val="single" w:color="000000" w:sz="4" w:space="0"/>
            </w:tcBorders>
            <w:noWrap w:val="0"/>
            <w:vAlign w:val="center"/>
          </w:tcPr>
          <w:p w14:paraId="2478DA41">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及格</w:t>
            </w:r>
          </w:p>
          <w:p w14:paraId="1E6B2283">
            <w:pPr>
              <w:pageBreakBefore w:val="0"/>
              <w:tabs>
                <w:tab w:val="left" w:pos="720"/>
              </w:tabs>
              <w:kinsoku/>
              <w:overflowPunct/>
              <w:topLinePunct w:val="0"/>
              <w:bidi w:val="0"/>
              <w:spacing w:line="240" w:lineRule="auto"/>
              <w:ind w:left="-93" w:right="-75" w:hanging="12"/>
              <w:jc w:val="center"/>
              <w:rPr>
                <w:rFonts w:hint="eastAsia" w:ascii="仿宋" w:eastAsia="仿宋" w:cs="仿宋"/>
                <w:b/>
                <w:kern w:val="2"/>
                <w:szCs w:val="21"/>
                <w:lang w:bidi="ar-SA"/>
              </w:rPr>
            </w:pPr>
            <w:r>
              <w:rPr>
                <w:rFonts w:hint="eastAsia" w:ascii="仿宋" w:eastAsia="仿宋" w:cs="仿宋"/>
                <w:b/>
                <w:kern w:val="2"/>
                <w:szCs w:val="21"/>
                <w:lang w:bidi="ar-SA"/>
              </w:rPr>
              <w:t>（60≦X＜70）</w:t>
            </w:r>
          </w:p>
        </w:tc>
        <w:tc>
          <w:tcPr>
            <w:tcW w:w="1384" w:type="dxa"/>
            <w:tcBorders>
              <w:top w:val="single" w:color="000000" w:sz="4" w:space="0"/>
              <w:left w:val="single" w:color="000000" w:sz="4" w:space="0"/>
              <w:bottom w:val="single" w:color="000000" w:sz="4" w:space="0"/>
              <w:right w:val="single" w:color="000000" w:sz="4" w:space="0"/>
            </w:tcBorders>
            <w:noWrap w:val="0"/>
            <w:vAlign w:val="center"/>
          </w:tcPr>
          <w:p w14:paraId="759C965A">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不及格</w:t>
            </w:r>
          </w:p>
          <w:p w14:paraId="098FC3D0">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（X＜60）</w:t>
            </w:r>
          </w:p>
        </w:tc>
      </w:tr>
      <w:tr w14:paraId="4B8748E0">
        <w:trPr>
          <w:trHeight w:val="624" w:hRule="atLeast"/>
          <w:jc w:val="center"/>
        </w:trPr>
        <w:tc>
          <w:tcPr>
            <w:tcW w:w="1528" w:type="dxa"/>
            <w:tcBorders>
              <w:top w:val="single" w:color="000000" w:sz="4" w:space="0"/>
              <w:left w:val="single" w:color="000000" w:sz="4" w:space="0"/>
              <w:bottom w:val="single" w:color="000000" w:sz="4" w:space="0"/>
              <w:right w:val="single" w:color="000000" w:sz="4" w:space="0"/>
            </w:tcBorders>
            <w:noWrap w:val="0"/>
            <w:vAlign w:val="center"/>
          </w:tcPr>
          <w:p w14:paraId="141E692D">
            <w:pPr>
              <w:pageBreakBefore w:val="0"/>
              <w:widowControl/>
              <w:kinsoku/>
              <w:overflowPunct/>
              <w:topLinePunct w:val="0"/>
              <w:bidi w:val="0"/>
              <w:spacing w:line="240" w:lineRule="auto"/>
              <w:jc w:val="left"/>
              <w:rPr>
                <w:rFonts w:hint="eastAsia" w:ascii="楷体" w:eastAsia="楷体" w:cs="仿宋"/>
                <w:bCs/>
                <w:kern w:val="2"/>
                <w:szCs w:val="21"/>
                <w:lang w:bidi="ar-SA"/>
              </w:rPr>
            </w:pPr>
            <w:r>
              <w:rPr>
                <w:rFonts w:hint="eastAsia" w:ascii="楷体" w:eastAsia="楷体" w:cs="仿宋"/>
                <w:bCs/>
                <w:kern w:val="2"/>
                <w:szCs w:val="21"/>
                <w:lang w:eastAsia="zh-Hans" w:bidi="ar-SA"/>
              </w:rPr>
              <w:t>课程目标1：</w:t>
            </w:r>
            <w:r>
              <w:rPr>
                <w:rFonts w:hint="eastAsia" w:ascii="楷体" w:eastAsia="楷体" w:cs="仿宋"/>
                <w:bCs/>
                <w:kern w:val="2"/>
                <w:szCs w:val="21"/>
                <w:lang w:bidi="ar-SA"/>
              </w:rPr>
              <w:t>能</w:t>
            </w:r>
            <w:r>
              <w:rPr>
                <w:rFonts w:hint="eastAsia" w:ascii="楷体" w:eastAsia="楷体" w:cs="仿宋"/>
                <w:bCs/>
                <w:kern w:val="2"/>
                <w:szCs w:val="21"/>
                <w:lang w:eastAsia="zh-Hans" w:bidi="ar-SA"/>
              </w:rPr>
              <w:t>将音乐教育基础知识、基本技能与教育学、心理学、学科教学论</w:t>
            </w:r>
            <w:r>
              <w:rPr>
                <w:rFonts w:hint="eastAsia" w:ascii="楷体" w:eastAsia="楷体" w:cs="仿宋"/>
                <w:bCs/>
                <w:kern w:val="2"/>
                <w:szCs w:val="21"/>
                <w:lang w:bidi="ar-SA"/>
              </w:rPr>
              <w:t>等</w:t>
            </w:r>
            <w:r>
              <w:rPr>
                <w:rFonts w:hint="eastAsia" w:ascii="楷体" w:eastAsia="楷体" w:cs="仿宋"/>
                <w:bCs/>
                <w:kern w:val="2"/>
                <w:szCs w:val="21"/>
                <w:lang w:eastAsia="zh-Hans" w:bidi="ar-SA"/>
              </w:rPr>
              <w:t>知识相融合，形成综合的音乐教育教学知识体系，并具备初步的综合分析能力与运用能力。</w:t>
            </w:r>
          </w:p>
        </w:tc>
        <w:tc>
          <w:tcPr>
            <w:tcW w:w="1476" w:type="dxa"/>
            <w:tcBorders>
              <w:top w:val="single" w:color="000000" w:sz="4" w:space="0"/>
              <w:left w:val="single" w:color="000000" w:sz="4" w:space="0"/>
              <w:bottom w:val="single" w:color="000000" w:sz="4" w:space="0"/>
              <w:right w:val="single" w:color="000000" w:sz="4" w:space="0"/>
            </w:tcBorders>
            <w:noWrap w:val="0"/>
            <w:vAlign w:val="top"/>
          </w:tcPr>
          <w:p w14:paraId="6535AE92">
            <w:pPr>
              <w:pageBreakBefore w:val="0"/>
              <w:widowControl/>
              <w:kinsoku/>
              <w:overflowPunct/>
              <w:topLinePunct w:val="0"/>
              <w:bidi w:val="0"/>
              <w:spacing w:line="240" w:lineRule="auto"/>
              <w:jc w:val="left"/>
              <w:rPr>
                <w:rFonts w:hint="eastAsia" w:ascii="楷体" w:eastAsia="楷体" w:cs="仿宋"/>
                <w:bCs/>
                <w:kern w:val="2"/>
                <w:szCs w:val="21"/>
                <w:lang w:eastAsia="zh-Hans" w:bidi="ar-SA"/>
              </w:rPr>
            </w:pPr>
            <w:r>
              <w:rPr>
                <w:rFonts w:hint="eastAsia" w:ascii="楷体" w:eastAsia="楷体" w:cs="仿宋"/>
                <w:bCs/>
                <w:kern w:val="2"/>
                <w:szCs w:val="21"/>
                <w:lang w:eastAsia="zh-Hans" w:bidi="ar-SA"/>
              </w:rPr>
              <w:t>具有扎实的音乐专业基础知识与基本技能，系统地掌握从事学校音乐教育教学所必备的基本理论、基础知识和基本方法，具有优秀的学科综合分析与运用能力。</w:t>
            </w:r>
          </w:p>
          <w:p w14:paraId="3E0DA268">
            <w:pPr>
              <w:pageBreakBefore w:val="0"/>
              <w:widowControl/>
              <w:kinsoku/>
              <w:overflowPunct/>
              <w:topLinePunct w:val="0"/>
              <w:bidi w:val="0"/>
              <w:spacing w:line="240" w:lineRule="auto"/>
              <w:jc w:val="left"/>
              <w:rPr>
                <w:rFonts w:hint="eastAsia" w:ascii="楷体" w:eastAsia="楷体" w:cs="仿宋"/>
                <w:bCs/>
                <w:kern w:val="2"/>
                <w:szCs w:val="21"/>
                <w:lang w:eastAsia="zh-Hans" w:bidi="ar-SA"/>
              </w:rPr>
            </w:pPr>
          </w:p>
        </w:tc>
        <w:tc>
          <w:tcPr>
            <w:tcW w:w="1656" w:type="dxa"/>
            <w:tcBorders>
              <w:top w:val="single" w:color="000000" w:sz="4" w:space="0"/>
              <w:left w:val="single" w:color="000000" w:sz="4" w:space="0"/>
              <w:bottom w:val="single" w:color="000000" w:sz="4" w:space="0"/>
              <w:right w:val="single" w:color="000000" w:sz="4" w:space="0"/>
            </w:tcBorders>
            <w:noWrap w:val="0"/>
            <w:vAlign w:val="top"/>
          </w:tcPr>
          <w:p w14:paraId="4408A657">
            <w:pPr>
              <w:pageBreakBefore w:val="0"/>
              <w:widowControl/>
              <w:kinsoku/>
              <w:overflowPunct/>
              <w:topLinePunct w:val="0"/>
              <w:bidi w:val="0"/>
              <w:spacing w:line="240" w:lineRule="auto"/>
              <w:jc w:val="left"/>
              <w:rPr>
                <w:rFonts w:hint="eastAsia" w:ascii="楷体" w:eastAsia="楷体" w:cs="仿宋"/>
                <w:bCs/>
                <w:kern w:val="2"/>
                <w:szCs w:val="21"/>
                <w:lang w:eastAsia="zh-Hans" w:bidi="ar-SA"/>
              </w:rPr>
            </w:pPr>
            <w:r>
              <w:rPr>
                <w:rFonts w:hint="eastAsia" w:ascii="楷体" w:eastAsia="楷体" w:cs="仿宋"/>
                <w:bCs/>
                <w:kern w:val="2"/>
                <w:szCs w:val="21"/>
                <w:lang w:eastAsia="zh-Hans" w:bidi="ar-SA"/>
              </w:rPr>
              <w:t>具有扎实的音乐专业基础知识与基本技能，较全面地掌握从事学校音乐教育教学所必备的基本理论、基础知识和基本方法，具有良好的学科综合分析与运用能力。</w:t>
            </w:r>
          </w:p>
        </w:tc>
        <w:tc>
          <w:tcPr>
            <w:tcW w:w="1596" w:type="dxa"/>
            <w:tcBorders>
              <w:top w:val="single" w:color="000000" w:sz="4" w:space="0"/>
              <w:left w:val="single" w:color="000000" w:sz="4" w:space="0"/>
              <w:bottom w:val="single" w:color="000000" w:sz="4" w:space="0"/>
              <w:right w:val="single" w:color="000000" w:sz="4" w:space="0"/>
            </w:tcBorders>
            <w:noWrap w:val="0"/>
            <w:vAlign w:val="top"/>
          </w:tcPr>
          <w:p w14:paraId="61055E1E">
            <w:pPr>
              <w:pageBreakBefore w:val="0"/>
              <w:widowControl/>
              <w:kinsoku/>
              <w:overflowPunct/>
              <w:topLinePunct w:val="0"/>
              <w:bidi w:val="0"/>
              <w:spacing w:line="240" w:lineRule="auto"/>
              <w:jc w:val="left"/>
              <w:rPr>
                <w:rFonts w:hint="eastAsia" w:ascii="楷体" w:eastAsia="楷体" w:cs="仿宋"/>
                <w:bCs/>
                <w:kern w:val="2"/>
                <w:szCs w:val="21"/>
                <w:lang w:eastAsia="zh-Hans" w:bidi="ar-SA"/>
              </w:rPr>
            </w:pPr>
            <w:r>
              <w:rPr>
                <w:rFonts w:hint="eastAsia" w:ascii="楷体" w:eastAsia="楷体" w:cs="仿宋"/>
                <w:bCs/>
                <w:kern w:val="2"/>
                <w:szCs w:val="21"/>
                <w:lang w:eastAsia="zh-Hans" w:bidi="ar-SA"/>
              </w:rPr>
              <w:t>具有较扎实的音乐专业基础知识与基本技能，基本掌握从事学校音乐教育教学所必备的基本理论、基础知识和基本方法，具有较好的学科综合分析与运用能力。</w:t>
            </w:r>
          </w:p>
          <w:p w14:paraId="2BD825ED">
            <w:pPr>
              <w:pageBreakBefore w:val="0"/>
              <w:widowControl/>
              <w:kinsoku/>
              <w:overflowPunct/>
              <w:topLinePunct w:val="0"/>
              <w:bidi w:val="0"/>
              <w:spacing w:line="240" w:lineRule="auto"/>
              <w:jc w:val="left"/>
              <w:rPr>
                <w:rFonts w:hint="eastAsia" w:ascii="楷体" w:eastAsia="楷体" w:cs="仿宋"/>
                <w:bCs/>
                <w:kern w:val="2"/>
                <w:szCs w:val="21"/>
                <w:lang w:eastAsia="zh-Hans" w:bidi="ar-SA"/>
              </w:rPr>
            </w:pPr>
          </w:p>
        </w:tc>
        <w:tc>
          <w:tcPr>
            <w:tcW w:w="1644" w:type="dxa"/>
            <w:tcBorders>
              <w:top w:val="single" w:color="000000" w:sz="4" w:space="0"/>
              <w:left w:val="single" w:color="000000" w:sz="4" w:space="0"/>
              <w:bottom w:val="single" w:color="000000" w:sz="4" w:space="0"/>
              <w:right w:val="single" w:color="000000" w:sz="4" w:space="0"/>
            </w:tcBorders>
            <w:noWrap w:val="0"/>
            <w:vAlign w:val="top"/>
          </w:tcPr>
          <w:p w14:paraId="27040E61">
            <w:pPr>
              <w:pageBreakBefore w:val="0"/>
              <w:widowControl/>
              <w:kinsoku/>
              <w:overflowPunct/>
              <w:topLinePunct w:val="0"/>
              <w:bidi w:val="0"/>
              <w:spacing w:line="240" w:lineRule="auto"/>
              <w:jc w:val="left"/>
              <w:rPr>
                <w:rFonts w:hint="eastAsia" w:ascii="楷体" w:eastAsia="楷体" w:cs="仿宋"/>
                <w:bCs/>
                <w:kern w:val="2"/>
                <w:szCs w:val="21"/>
                <w:lang w:eastAsia="zh-Hans" w:bidi="ar-SA"/>
              </w:rPr>
            </w:pPr>
            <w:r>
              <w:rPr>
                <w:rFonts w:hint="eastAsia" w:ascii="楷体" w:eastAsia="楷体" w:cs="仿宋"/>
                <w:bCs/>
                <w:kern w:val="2"/>
                <w:szCs w:val="21"/>
                <w:lang w:eastAsia="zh-Hans" w:bidi="ar-SA"/>
              </w:rPr>
              <w:t>音乐专业基础知识与基本技能不够扎实，对从事学校音乐教育教学所必备的基本理论、基础知识和基本方法的掌握不够全面，学科综合分析与运用能力尚薄弱。</w:t>
            </w:r>
          </w:p>
        </w:tc>
        <w:tc>
          <w:tcPr>
            <w:tcW w:w="1384" w:type="dxa"/>
            <w:tcBorders>
              <w:top w:val="single" w:color="000000" w:sz="4" w:space="0"/>
              <w:left w:val="single" w:color="000000" w:sz="4" w:space="0"/>
              <w:bottom w:val="single" w:color="000000" w:sz="4" w:space="0"/>
              <w:right w:val="single" w:color="000000" w:sz="4" w:space="0"/>
            </w:tcBorders>
            <w:noWrap w:val="0"/>
            <w:vAlign w:val="top"/>
          </w:tcPr>
          <w:p w14:paraId="588E2843">
            <w:pPr>
              <w:pageBreakBefore w:val="0"/>
              <w:widowControl/>
              <w:kinsoku/>
              <w:overflowPunct/>
              <w:topLinePunct w:val="0"/>
              <w:bidi w:val="0"/>
              <w:spacing w:line="240" w:lineRule="auto"/>
              <w:jc w:val="left"/>
              <w:rPr>
                <w:rFonts w:hint="eastAsia" w:ascii="楷体" w:eastAsia="楷体" w:cs="仿宋"/>
                <w:bCs/>
                <w:kern w:val="2"/>
                <w:szCs w:val="21"/>
                <w:lang w:eastAsia="zh-Hans" w:bidi="ar-SA"/>
              </w:rPr>
            </w:pPr>
            <w:r>
              <w:rPr>
                <w:rFonts w:hint="eastAsia" w:ascii="楷体" w:eastAsia="楷体" w:cs="仿宋"/>
                <w:bCs/>
                <w:kern w:val="2"/>
                <w:szCs w:val="21"/>
                <w:lang w:eastAsia="zh-Hans" w:bidi="ar-SA"/>
              </w:rPr>
              <w:t>音乐专业基础知识与基本技能薄弱，未能掌握从事学校音乐教育教学所必备的基本理论、基础知识和基本方法，缺乏学科综合分析与运用能力。</w:t>
            </w:r>
          </w:p>
        </w:tc>
      </w:tr>
      <w:tr w14:paraId="6136443D">
        <w:trPr>
          <w:trHeight w:val="624" w:hRule="atLeast"/>
          <w:jc w:val="center"/>
        </w:trPr>
        <w:tc>
          <w:tcPr>
            <w:tcW w:w="1528" w:type="dxa"/>
            <w:tcBorders>
              <w:top w:val="single" w:color="000000" w:sz="4" w:space="0"/>
              <w:left w:val="single" w:color="000000" w:sz="4" w:space="0"/>
              <w:bottom w:val="single" w:color="000000" w:sz="4" w:space="0"/>
              <w:right w:val="single" w:color="000000" w:sz="4" w:space="0"/>
            </w:tcBorders>
            <w:noWrap w:val="0"/>
            <w:vAlign w:val="center"/>
          </w:tcPr>
          <w:p w14:paraId="201A057C">
            <w:pPr>
              <w:pageBreakBefore w:val="0"/>
              <w:widowControl/>
              <w:kinsoku/>
              <w:overflowPunct/>
              <w:topLinePunct w:val="0"/>
              <w:bidi w:val="0"/>
              <w:spacing w:line="240" w:lineRule="auto"/>
              <w:jc w:val="left"/>
              <w:rPr>
                <w:rFonts w:hint="eastAsia" w:ascii="楷体" w:eastAsia="楷体" w:cs="仿宋"/>
                <w:bCs/>
                <w:kern w:val="2"/>
                <w:szCs w:val="21"/>
                <w:lang w:bidi="ar-SA"/>
              </w:rPr>
            </w:pPr>
            <w:r>
              <w:rPr>
                <w:rFonts w:hint="eastAsia" w:ascii="楷体" w:eastAsia="楷体" w:cs="仿宋"/>
                <w:bCs/>
                <w:kern w:val="2"/>
                <w:szCs w:val="21"/>
                <w:lang w:eastAsia="zh-Hans" w:bidi="ar-SA"/>
              </w:rPr>
              <w:t>课程目标2：熟悉中学音乐课程标准和教材，能够正确处理课标和教材的关系，</w:t>
            </w:r>
            <w:r>
              <w:rPr>
                <w:rFonts w:hint="eastAsia" w:ascii="楷体" w:eastAsia="楷体" w:cs="仿宋"/>
                <w:bCs/>
                <w:kern w:val="2"/>
                <w:szCs w:val="21"/>
                <w:lang w:bidi="ar-SA"/>
              </w:rPr>
              <w:t>具备</w:t>
            </w:r>
            <w:r>
              <w:rPr>
                <w:rFonts w:hint="eastAsia" w:ascii="楷体" w:eastAsia="楷体" w:cs="仿宋"/>
                <w:bCs/>
                <w:kern w:val="2"/>
                <w:szCs w:val="21"/>
                <w:lang w:eastAsia="zh-Hans" w:bidi="ar-SA"/>
              </w:rPr>
              <w:t>正确</w:t>
            </w:r>
            <w:r>
              <w:rPr>
                <w:rFonts w:hint="eastAsia" w:ascii="楷体" w:eastAsia="楷体" w:cs="仿宋"/>
                <w:bCs/>
                <w:kern w:val="2"/>
                <w:szCs w:val="21"/>
                <w:lang w:bidi="ar-SA"/>
              </w:rPr>
              <w:t>分析</w:t>
            </w:r>
            <w:r>
              <w:rPr>
                <w:rFonts w:hint="eastAsia" w:ascii="楷体" w:eastAsia="楷体" w:cs="仿宋"/>
                <w:bCs/>
                <w:kern w:val="2"/>
                <w:szCs w:val="21"/>
                <w:lang w:eastAsia="zh-Hans" w:bidi="ar-SA"/>
              </w:rPr>
              <w:t>学情</w:t>
            </w:r>
            <w:r>
              <w:rPr>
                <w:rFonts w:hint="eastAsia" w:ascii="楷体" w:eastAsia="楷体" w:cs="仿宋"/>
                <w:bCs/>
                <w:kern w:val="2"/>
                <w:szCs w:val="21"/>
                <w:lang w:bidi="ar-SA"/>
              </w:rPr>
              <w:t>与</w:t>
            </w:r>
            <w:r>
              <w:rPr>
                <w:rFonts w:hint="eastAsia" w:ascii="楷体" w:eastAsia="楷体" w:cs="仿宋"/>
                <w:bCs/>
                <w:kern w:val="2"/>
                <w:szCs w:val="21"/>
                <w:lang w:eastAsia="zh-Hans" w:bidi="ar-SA"/>
              </w:rPr>
              <w:t>教材内容</w:t>
            </w:r>
            <w:r>
              <w:rPr>
                <w:rFonts w:hint="eastAsia" w:ascii="楷体" w:eastAsia="楷体" w:cs="仿宋"/>
                <w:bCs/>
                <w:kern w:val="2"/>
                <w:szCs w:val="21"/>
                <w:lang w:bidi="ar-SA"/>
              </w:rPr>
              <w:t>的能力</w:t>
            </w:r>
            <w:r>
              <w:rPr>
                <w:rFonts w:hint="eastAsia" w:ascii="楷体" w:eastAsia="楷体" w:cs="仿宋"/>
                <w:bCs/>
                <w:kern w:val="2"/>
                <w:szCs w:val="21"/>
                <w:lang w:eastAsia="zh-Hans" w:bidi="ar-SA"/>
              </w:rPr>
              <w:t>，在此基础上</w:t>
            </w:r>
            <w:r>
              <w:rPr>
                <w:rFonts w:hint="eastAsia" w:ascii="楷体" w:eastAsia="楷体" w:cs="仿宋"/>
                <w:bCs/>
                <w:kern w:val="2"/>
                <w:szCs w:val="21"/>
                <w:lang w:bidi="ar-SA"/>
              </w:rPr>
              <w:t>进行</w:t>
            </w:r>
            <w:r>
              <w:rPr>
                <w:rFonts w:hint="eastAsia" w:ascii="楷体" w:eastAsia="楷体" w:cs="仿宋"/>
                <w:bCs/>
                <w:kern w:val="2"/>
                <w:szCs w:val="21"/>
                <w:lang w:eastAsia="zh-Hans" w:bidi="ar-SA"/>
              </w:rPr>
              <w:t>科学合理的</w:t>
            </w:r>
            <w:r>
              <w:rPr>
                <w:rFonts w:hint="eastAsia" w:ascii="楷体" w:eastAsia="楷体" w:cs="仿宋"/>
                <w:bCs/>
                <w:kern w:val="2"/>
                <w:szCs w:val="21"/>
                <w:lang w:bidi="ar-SA"/>
              </w:rPr>
              <w:t>课堂教学设计、</w:t>
            </w:r>
            <w:r>
              <w:rPr>
                <w:rFonts w:hint="eastAsia" w:ascii="楷体" w:eastAsia="楷体" w:cs="仿宋"/>
                <w:bCs/>
                <w:kern w:val="2"/>
                <w:szCs w:val="21"/>
                <w:lang w:eastAsia="zh-Hans" w:bidi="ar-SA"/>
              </w:rPr>
              <w:t>教学</w:t>
            </w:r>
            <w:r>
              <w:rPr>
                <w:rFonts w:hint="eastAsia" w:ascii="楷体" w:eastAsia="楷体" w:cs="仿宋"/>
                <w:bCs/>
                <w:kern w:val="2"/>
                <w:szCs w:val="21"/>
                <w:lang w:bidi="ar-SA"/>
              </w:rPr>
              <w:t>实施，</w:t>
            </w:r>
            <w:r>
              <w:rPr>
                <w:rFonts w:hint="eastAsia" w:ascii="楷体" w:eastAsia="楷体" w:cs="仿宋"/>
                <w:bCs/>
                <w:kern w:val="2"/>
                <w:szCs w:val="21"/>
                <w:lang w:eastAsia="zh-Hans" w:bidi="ar-SA"/>
              </w:rPr>
              <w:t>掌握</w:t>
            </w:r>
            <w:r>
              <w:rPr>
                <w:rFonts w:hint="eastAsia" w:ascii="楷体" w:eastAsia="楷体" w:cs="仿宋"/>
                <w:bCs/>
                <w:kern w:val="2"/>
                <w:szCs w:val="21"/>
                <w:lang w:bidi="ar-SA"/>
              </w:rPr>
              <w:t>教学评价</w:t>
            </w:r>
            <w:r>
              <w:rPr>
                <w:rFonts w:hint="eastAsia" w:ascii="楷体" w:eastAsia="楷体" w:cs="仿宋"/>
                <w:bCs/>
                <w:kern w:val="2"/>
                <w:szCs w:val="21"/>
                <w:lang w:eastAsia="zh-Hans" w:bidi="ar-SA"/>
              </w:rPr>
              <w:t>的方法与</w:t>
            </w:r>
            <w:r>
              <w:rPr>
                <w:rFonts w:hint="eastAsia" w:ascii="楷体" w:eastAsia="楷体" w:cs="仿宋"/>
                <w:bCs/>
                <w:kern w:val="2"/>
                <w:szCs w:val="21"/>
                <w:lang w:bidi="ar-SA"/>
              </w:rPr>
              <w:t>说课</w:t>
            </w:r>
            <w:r>
              <w:rPr>
                <w:rFonts w:hint="eastAsia" w:ascii="楷体" w:eastAsia="楷体" w:cs="仿宋"/>
                <w:bCs/>
                <w:kern w:val="2"/>
                <w:szCs w:val="21"/>
                <w:lang w:eastAsia="zh-Hans" w:bidi="ar-SA"/>
              </w:rPr>
              <w:t>的基本要求</w:t>
            </w:r>
            <w:r>
              <w:rPr>
                <w:rFonts w:hint="eastAsia" w:ascii="楷体" w:eastAsia="楷体" w:cs="仿宋"/>
                <w:bCs/>
                <w:kern w:val="2"/>
                <w:szCs w:val="21"/>
                <w:lang w:bidi="ar-SA"/>
              </w:rPr>
              <w:t>。</w:t>
            </w:r>
          </w:p>
        </w:tc>
        <w:tc>
          <w:tcPr>
            <w:tcW w:w="1476" w:type="dxa"/>
            <w:tcBorders>
              <w:top w:val="single" w:color="000000" w:sz="4" w:space="0"/>
              <w:left w:val="single" w:color="000000" w:sz="4" w:space="0"/>
              <w:bottom w:val="single" w:color="000000" w:sz="4" w:space="0"/>
              <w:right w:val="single" w:color="000000" w:sz="4" w:space="0"/>
            </w:tcBorders>
            <w:noWrap w:val="0"/>
            <w:vAlign w:val="top"/>
          </w:tcPr>
          <w:p w14:paraId="0681B5F2">
            <w:pPr>
              <w:pageBreakBefore w:val="0"/>
              <w:widowControl/>
              <w:kinsoku/>
              <w:overflowPunct/>
              <w:topLinePunct w:val="0"/>
              <w:bidi w:val="0"/>
              <w:spacing w:line="240" w:lineRule="auto"/>
              <w:jc w:val="left"/>
              <w:rPr>
                <w:rFonts w:hint="eastAsia" w:ascii="楷体" w:eastAsia="楷体" w:cs="仿宋"/>
                <w:bCs/>
                <w:kern w:val="2"/>
                <w:szCs w:val="21"/>
                <w:lang w:eastAsia="zh-Hans" w:bidi="ar-SA"/>
              </w:rPr>
            </w:pPr>
            <w:r>
              <w:rPr>
                <w:rFonts w:hint="eastAsia" w:ascii="楷体" w:eastAsia="楷体" w:cs="仿宋"/>
                <w:bCs/>
                <w:kern w:val="2"/>
                <w:szCs w:val="21"/>
                <w:lang w:eastAsia="zh-Hans" w:bidi="ar-SA"/>
              </w:rPr>
              <w:t>熟练掌握中学音乐课程标准和教材，能够正确处理课标和教材的关系，具备准确把握分析学情与教材内容的能力，课堂教学设计科学合理，教学效果好，教学评价精准，说课各环节逻辑性强。</w:t>
            </w:r>
          </w:p>
          <w:p w14:paraId="0A76E4EA">
            <w:pPr>
              <w:pageBreakBefore w:val="0"/>
              <w:widowControl/>
              <w:kinsoku/>
              <w:overflowPunct/>
              <w:topLinePunct w:val="0"/>
              <w:bidi w:val="0"/>
              <w:spacing w:line="240" w:lineRule="auto"/>
              <w:jc w:val="left"/>
              <w:rPr>
                <w:rFonts w:hint="eastAsia" w:ascii="楷体" w:eastAsia="楷体" w:cs="仿宋"/>
                <w:bCs/>
                <w:kern w:val="2"/>
                <w:szCs w:val="21"/>
                <w:lang w:eastAsia="zh-Hans" w:bidi="ar-SA"/>
              </w:rPr>
            </w:pPr>
          </w:p>
        </w:tc>
        <w:tc>
          <w:tcPr>
            <w:tcW w:w="1656" w:type="dxa"/>
            <w:tcBorders>
              <w:top w:val="single" w:color="000000" w:sz="4" w:space="0"/>
              <w:left w:val="single" w:color="000000" w:sz="4" w:space="0"/>
              <w:bottom w:val="single" w:color="000000" w:sz="4" w:space="0"/>
              <w:right w:val="single" w:color="000000" w:sz="4" w:space="0"/>
            </w:tcBorders>
            <w:noWrap w:val="0"/>
            <w:vAlign w:val="top"/>
          </w:tcPr>
          <w:p w14:paraId="7D09F2FA">
            <w:pPr>
              <w:pageBreakBefore w:val="0"/>
              <w:widowControl/>
              <w:kinsoku/>
              <w:overflowPunct/>
              <w:topLinePunct w:val="0"/>
              <w:bidi w:val="0"/>
              <w:spacing w:line="240" w:lineRule="auto"/>
              <w:jc w:val="left"/>
              <w:rPr>
                <w:rFonts w:hint="eastAsia" w:ascii="楷体" w:eastAsia="楷体" w:cs="仿宋"/>
                <w:bCs/>
                <w:kern w:val="2"/>
                <w:szCs w:val="21"/>
                <w:lang w:eastAsia="zh-Hans" w:bidi="ar-SA"/>
              </w:rPr>
            </w:pPr>
            <w:r>
              <w:rPr>
                <w:rFonts w:hint="eastAsia" w:ascii="楷体" w:eastAsia="楷体" w:cs="仿宋"/>
                <w:bCs/>
                <w:kern w:val="2"/>
                <w:szCs w:val="21"/>
                <w:lang w:eastAsia="zh-Hans" w:bidi="ar-SA"/>
              </w:rPr>
              <w:t>掌握中学音乐课程标准和教材，能够正确处理课标和教材的关系，具备良好的分析学情与教材内容的能力，课堂教学设计科学合理，教学效果良好，教学评价恰当，说课各环节逻辑性强。</w:t>
            </w:r>
          </w:p>
          <w:p w14:paraId="1E6E2968">
            <w:pPr>
              <w:pageBreakBefore w:val="0"/>
              <w:widowControl/>
              <w:kinsoku/>
              <w:overflowPunct/>
              <w:topLinePunct w:val="0"/>
              <w:bidi w:val="0"/>
              <w:spacing w:line="240" w:lineRule="auto"/>
              <w:jc w:val="left"/>
              <w:rPr>
                <w:rFonts w:hint="eastAsia" w:ascii="楷体" w:eastAsia="楷体" w:cs="仿宋"/>
                <w:bCs/>
                <w:kern w:val="2"/>
                <w:szCs w:val="21"/>
                <w:lang w:eastAsia="zh-Hans" w:bidi="ar-SA"/>
              </w:rPr>
            </w:pPr>
          </w:p>
        </w:tc>
        <w:tc>
          <w:tcPr>
            <w:tcW w:w="1596" w:type="dxa"/>
            <w:tcBorders>
              <w:top w:val="single" w:color="000000" w:sz="4" w:space="0"/>
              <w:left w:val="single" w:color="000000" w:sz="4" w:space="0"/>
              <w:bottom w:val="single" w:color="000000" w:sz="4" w:space="0"/>
              <w:right w:val="single" w:color="000000" w:sz="4" w:space="0"/>
            </w:tcBorders>
            <w:noWrap w:val="0"/>
            <w:vAlign w:val="top"/>
          </w:tcPr>
          <w:p w14:paraId="0FD03724">
            <w:pPr>
              <w:pageBreakBefore w:val="0"/>
              <w:widowControl/>
              <w:kinsoku/>
              <w:overflowPunct/>
              <w:topLinePunct w:val="0"/>
              <w:bidi w:val="0"/>
              <w:spacing w:line="240" w:lineRule="auto"/>
              <w:jc w:val="left"/>
              <w:rPr>
                <w:rFonts w:hint="eastAsia" w:ascii="楷体" w:eastAsia="楷体" w:cs="仿宋"/>
                <w:bCs/>
                <w:kern w:val="2"/>
                <w:szCs w:val="21"/>
                <w:lang w:eastAsia="zh-Hans" w:bidi="ar-SA"/>
              </w:rPr>
            </w:pPr>
            <w:r>
              <w:rPr>
                <w:rFonts w:hint="eastAsia" w:ascii="楷体" w:eastAsia="楷体" w:cs="仿宋"/>
                <w:bCs/>
                <w:kern w:val="2"/>
                <w:szCs w:val="21"/>
                <w:lang w:eastAsia="zh-Hans" w:bidi="ar-SA"/>
              </w:rPr>
              <w:t>熟悉中学音乐课程标准和教材，能够较准确处理课标和教材的关系，具备较好的分析学情与教材内容的能力，课堂教学设计合理，教学效果较好，教学评价较得当，说课各环节逻辑性较强。</w:t>
            </w:r>
          </w:p>
          <w:p w14:paraId="0B18C81B">
            <w:pPr>
              <w:pageBreakBefore w:val="0"/>
              <w:widowControl/>
              <w:kinsoku/>
              <w:overflowPunct/>
              <w:topLinePunct w:val="0"/>
              <w:bidi w:val="0"/>
              <w:spacing w:line="240" w:lineRule="auto"/>
              <w:jc w:val="left"/>
              <w:rPr>
                <w:rFonts w:hint="eastAsia" w:ascii="楷体" w:eastAsia="楷体" w:cs="仿宋"/>
                <w:bCs/>
                <w:kern w:val="2"/>
                <w:szCs w:val="21"/>
                <w:lang w:eastAsia="zh-Hans" w:bidi="ar-SA"/>
              </w:rPr>
            </w:pPr>
          </w:p>
          <w:p w14:paraId="114B821B">
            <w:pPr>
              <w:pageBreakBefore w:val="0"/>
              <w:widowControl/>
              <w:kinsoku/>
              <w:overflowPunct/>
              <w:topLinePunct w:val="0"/>
              <w:bidi w:val="0"/>
              <w:spacing w:line="240" w:lineRule="auto"/>
              <w:jc w:val="left"/>
              <w:rPr>
                <w:rFonts w:hint="eastAsia" w:ascii="楷体" w:eastAsia="楷体" w:cs="仿宋"/>
                <w:bCs/>
                <w:kern w:val="2"/>
                <w:szCs w:val="21"/>
                <w:lang w:eastAsia="zh-Hans" w:bidi="ar-SA"/>
              </w:rPr>
            </w:pPr>
          </w:p>
        </w:tc>
        <w:tc>
          <w:tcPr>
            <w:tcW w:w="1644" w:type="dxa"/>
            <w:tcBorders>
              <w:top w:val="single" w:color="000000" w:sz="4" w:space="0"/>
              <w:left w:val="single" w:color="000000" w:sz="4" w:space="0"/>
              <w:bottom w:val="single" w:color="000000" w:sz="4" w:space="0"/>
              <w:right w:val="single" w:color="000000" w:sz="4" w:space="0"/>
            </w:tcBorders>
            <w:noWrap w:val="0"/>
            <w:vAlign w:val="top"/>
          </w:tcPr>
          <w:p w14:paraId="0944C777">
            <w:pPr>
              <w:pageBreakBefore w:val="0"/>
              <w:widowControl/>
              <w:kinsoku/>
              <w:overflowPunct/>
              <w:topLinePunct w:val="0"/>
              <w:bidi w:val="0"/>
              <w:spacing w:line="240" w:lineRule="auto"/>
              <w:jc w:val="left"/>
              <w:rPr>
                <w:rFonts w:hint="eastAsia" w:ascii="楷体" w:eastAsia="楷体" w:cs="仿宋"/>
                <w:bCs/>
                <w:kern w:val="2"/>
                <w:szCs w:val="21"/>
                <w:lang w:eastAsia="zh-Hans" w:bidi="ar-SA"/>
              </w:rPr>
            </w:pPr>
            <w:r>
              <w:rPr>
                <w:rFonts w:hint="eastAsia" w:ascii="楷体" w:eastAsia="楷体" w:cs="仿宋"/>
                <w:bCs/>
                <w:kern w:val="2"/>
                <w:szCs w:val="21"/>
                <w:lang w:eastAsia="zh-Hans" w:bidi="ar-SA"/>
              </w:rPr>
              <w:t>熟悉中学音乐课程标准和教材，能够正确处理课标和教材的关系，具备一定的分析学情与教材内容的能力，课堂教学设计基本合理，教学效果一般，教学评价不够到位，对说课概念较模糊，说课过程逻辑性不够清晰。</w:t>
            </w:r>
          </w:p>
        </w:tc>
        <w:tc>
          <w:tcPr>
            <w:tcW w:w="1384" w:type="dxa"/>
            <w:tcBorders>
              <w:top w:val="single" w:color="000000" w:sz="4" w:space="0"/>
              <w:left w:val="single" w:color="000000" w:sz="4" w:space="0"/>
              <w:bottom w:val="single" w:color="000000" w:sz="4" w:space="0"/>
              <w:right w:val="single" w:color="000000" w:sz="4" w:space="0"/>
            </w:tcBorders>
            <w:noWrap w:val="0"/>
            <w:vAlign w:val="top"/>
          </w:tcPr>
          <w:p w14:paraId="65157A9F">
            <w:pPr>
              <w:pageBreakBefore w:val="0"/>
              <w:widowControl/>
              <w:kinsoku/>
              <w:overflowPunct/>
              <w:topLinePunct w:val="0"/>
              <w:bidi w:val="0"/>
              <w:spacing w:line="240" w:lineRule="auto"/>
              <w:jc w:val="left"/>
              <w:rPr>
                <w:rFonts w:hint="eastAsia" w:ascii="楷体" w:eastAsia="楷体" w:cs="仿宋"/>
                <w:bCs/>
                <w:kern w:val="2"/>
                <w:szCs w:val="21"/>
                <w:lang w:eastAsia="zh-Hans" w:bidi="ar-SA"/>
              </w:rPr>
            </w:pPr>
            <w:r>
              <w:rPr>
                <w:rFonts w:hint="eastAsia" w:ascii="楷体" w:eastAsia="楷体" w:cs="仿宋"/>
                <w:bCs/>
                <w:kern w:val="2"/>
                <w:szCs w:val="21"/>
                <w:lang w:eastAsia="zh-Hans" w:bidi="ar-SA"/>
              </w:rPr>
              <w:t>对中学音乐课程标准和教材不够熟悉，不能够正确处理课标和教材的关系，不具备分析学情与教材内容的能力，课堂教学设计不合理，教学效果差，教学评价缺方法，说课逻辑混乱。</w:t>
            </w:r>
          </w:p>
        </w:tc>
      </w:tr>
      <w:tr w14:paraId="742CAB47">
        <w:trPr>
          <w:trHeight w:val="624" w:hRule="atLeast"/>
          <w:jc w:val="center"/>
        </w:trPr>
        <w:tc>
          <w:tcPr>
            <w:tcW w:w="1528" w:type="dxa"/>
            <w:tcBorders>
              <w:top w:val="single" w:color="000000" w:sz="4" w:space="0"/>
              <w:left w:val="single" w:color="000000" w:sz="4" w:space="0"/>
              <w:bottom w:val="single" w:color="000000" w:sz="4" w:space="0"/>
              <w:right w:val="single" w:color="000000" w:sz="4" w:space="0"/>
            </w:tcBorders>
            <w:noWrap w:val="0"/>
            <w:vAlign w:val="top"/>
          </w:tcPr>
          <w:p w14:paraId="6A5A416D">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eastAsia="zh-Hans" w:bidi="ar-SA"/>
              </w:rPr>
              <w:t>课程目标3：</w:t>
            </w:r>
            <w:r>
              <w:rPr>
                <w:rFonts w:hint="eastAsia" w:ascii="楷体" w:eastAsia="楷体" w:cs="仿宋"/>
                <w:bCs/>
                <w:kern w:val="2"/>
                <w:szCs w:val="21"/>
                <w:lang w:bidi="ar-SA"/>
              </w:rPr>
              <w:t>具有终身学习和专业发展意识，自觉进行反思型准教师的自我塑造，在</w:t>
            </w:r>
            <w:r>
              <w:rPr>
                <w:rFonts w:hint="eastAsia" w:ascii="楷体" w:eastAsia="楷体" w:cs="仿宋"/>
                <w:bCs/>
                <w:kern w:val="2"/>
                <w:szCs w:val="21"/>
                <w:lang w:eastAsia="zh-Hans" w:bidi="ar-SA"/>
              </w:rPr>
              <w:t>音乐教育教学</w:t>
            </w:r>
            <w:r>
              <w:rPr>
                <w:rFonts w:hint="eastAsia" w:ascii="楷体" w:eastAsia="楷体" w:cs="仿宋"/>
                <w:bCs/>
                <w:kern w:val="2"/>
                <w:szCs w:val="21"/>
                <w:lang w:bidi="ar-SA"/>
              </w:rPr>
              <w:t>实践过程中学会总结和反思，能对自己与他人的教学提出改进措施与方法。</w:t>
            </w:r>
          </w:p>
        </w:tc>
        <w:tc>
          <w:tcPr>
            <w:tcW w:w="1476" w:type="dxa"/>
            <w:tcBorders>
              <w:top w:val="single" w:color="000000" w:sz="4" w:space="0"/>
              <w:left w:val="single" w:color="000000" w:sz="4" w:space="0"/>
              <w:bottom w:val="single" w:color="000000" w:sz="4" w:space="0"/>
              <w:right w:val="single" w:color="000000" w:sz="4" w:space="0"/>
            </w:tcBorders>
            <w:noWrap w:val="0"/>
            <w:vAlign w:val="top"/>
          </w:tcPr>
          <w:p w14:paraId="19BD1C59">
            <w:pPr>
              <w:pageBreakBefore w:val="0"/>
              <w:widowControl/>
              <w:kinsoku/>
              <w:overflowPunct/>
              <w:topLinePunct w:val="0"/>
              <w:bidi w:val="0"/>
              <w:spacing w:line="240" w:lineRule="auto"/>
              <w:jc w:val="left"/>
              <w:rPr>
                <w:rFonts w:hint="eastAsia" w:ascii="楷体" w:eastAsia="楷体" w:cs="仿宋"/>
                <w:bCs/>
                <w:kern w:val="2"/>
                <w:szCs w:val="21"/>
                <w:lang w:eastAsia="zh-Hans" w:bidi="ar-SA"/>
              </w:rPr>
            </w:pPr>
            <w:r>
              <w:rPr>
                <w:rFonts w:hint="eastAsia" w:ascii="楷体" w:eastAsia="楷体" w:cs="仿宋"/>
                <w:bCs/>
                <w:kern w:val="2"/>
                <w:szCs w:val="21"/>
                <w:lang w:eastAsia="zh-Hans" w:bidi="ar-SA"/>
              </w:rPr>
              <w:t>具有强烈的终身学习和专业发展意识，自觉进行反思型准教师的自我塑造，在音乐教育教学实践过程中善于总结和反思，对自己与他人的教学提出精准的改进措施与方法。</w:t>
            </w:r>
          </w:p>
        </w:tc>
        <w:tc>
          <w:tcPr>
            <w:tcW w:w="1656" w:type="dxa"/>
            <w:tcBorders>
              <w:top w:val="single" w:color="000000" w:sz="4" w:space="0"/>
              <w:left w:val="single" w:color="000000" w:sz="4" w:space="0"/>
              <w:bottom w:val="single" w:color="000000" w:sz="4" w:space="0"/>
              <w:right w:val="single" w:color="000000" w:sz="4" w:space="0"/>
            </w:tcBorders>
            <w:noWrap w:val="0"/>
            <w:vAlign w:val="top"/>
          </w:tcPr>
          <w:p w14:paraId="104D63DA">
            <w:pPr>
              <w:pageBreakBefore w:val="0"/>
              <w:widowControl/>
              <w:kinsoku/>
              <w:overflowPunct/>
              <w:topLinePunct w:val="0"/>
              <w:bidi w:val="0"/>
              <w:spacing w:line="240" w:lineRule="auto"/>
              <w:jc w:val="left"/>
              <w:rPr>
                <w:rFonts w:hint="eastAsia" w:ascii="楷体" w:eastAsia="楷体" w:cs="仿宋"/>
                <w:bCs/>
                <w:kern w:val="2"/>
                <w:szCs w:val="21"/>
                <w:lang w:eastAsia="zh-Hans" w:bidi="ar-SA"/>
              </w:rPr>
            </w:pPr>
            <w:r>
              <w:rPr>
                <w:rFonts w:hint="eastAsia" w:ascii="楷体" w:eastAsia="楷体" w:cs="仿宋"/>
                <w:bCs/>
                <w:kern w:val="2"/>
                <w:szCs w:val="21"/>
                <w:lang w:eastAsia="zh-Hans" w:bidi="ar-SA"/>
              </w:rPr>
              <w:t>具有良好的终身学习和专业发展意识，自觉进行反思型准教师的自我塑造，在音乐教育教学实践过程中总结和反思能力较强，对自己与他人的教学提出较好的改进措施与方法。</w:t>
            </w:r>
          </w:p>
        </w:tc>
        <w:tc>
          <w:tcPr>
            <w:tcW w:w="1596" w:type="dxa"/>
            <w:tcBorders>
              <w:top w:val="single" w:color="000000" w:sz="4" w:space="0"/>
              <w:left w:val="single" w:color="000000" w:sz="4" w:space="0"/>
              <w:bottom w:val="single" w:color="000000" w:sz="4" w:space="0"/>
              <w:right w:val="single" w:color="000000" w:sz="4" w:space="0"/>
            </w:tcBorders>
            <w:noWrap w:val="0"/>
            <w:vAlign w:val="top"/>
          </w:tcPr>
          <w:p w14:paraId="62FD673F">
            <w:pPr>
              <w:pageBreakBefore w:val="0"/>
              <w:widowControl/>
              <w:kinsoku/>
              <w:overflowPunct/>
              <w:topLinePunct w:val="0"/>
              <w:bidi w:val="0"/>
              <w:spacing w:line="240" w:lineRule="auto"/>
              <w:jc w:val="left"/>
              <w:rPr>
                <w:rFonts w:hint="eastAsia" w:ascii="楷体" w:eastAsia="楷体" w:cs="仿宋"/>
                <w:bCs/>
                <w:kern w:val="2"/>
                <w:szCs w:val="21"/>
                <w:lang w:eastAsia="zh-Hans" w:bidi="ar-SA"/>
              </w:rPr>
            </w:pPr>
            <w:r>
              <w:rPr>
                <w:rFonts w:hint="eastAsia" w:ascii="楷体" w:eastAsia="楷体" w:cs="仿宋"/>
                <w:bCs/>
                <w:kern w:val="2"/>
                <w:szCs w:val="21"/>
                <w:lang w:eastAsia="zh-Hans" w:bidi="ar-SA"/>
              </w:rPr>
              <w:t>具有较强的终身学习和专业发展意识，能自觉进行反思型准教师的自我塑造，在音乐教育教学实践过程中学会总结和反思，能对自己与他人的教学提出一定的改进措施与方法。</w:t>
            </w:r>
          </w:p>
        </w:tc>
        <w:tc>
          <w:tcPr>
            <w:tcW w:w="1644" w:type="dxa"/>
            <w:tcBorders>
              <w:top w:val="single" w:color="000000" w:sz="4" w:space="0"/>
              <w:left w:val="single" w:color="000000" w:sz="4" w:space="0"/>
              <w:bottom w:val="single" w:color="000000" w:sz="4" w:space="0"/>
              <w:right w:val="single" w:color="000000" w:sz="4" w:space="0"/>
            </w:tcBorders>
            <w:noWrap w:val="0"/>
            <w:vAlign w:val="top"/>
          </w:tcPr>
          <w:p w14:paraId="52380198">
            <w:pPr>
              <w:pageBreakBefore w:val="0"/>
              <w:widowControl/>
              <w:kinsoku/>
              <w:overflowPunct/>
              <w:topLinePunct w:val="0"/>
              <w:bidi w:val="0"/>
              <w:spacing w:line="240" w:lineRule="auto"/>
              <w:jc w:val="left"/>
              <w:rPr>
                <w:rFonts w:hint="eastAsia" w:ascii="楷体" w:eastAsia="楷体" w:cs="仿宋"/>
                <w:bCs/>
                <w:kern w:val="2"/>
                <w:szCs w:val="21"/>
                <w:lang w:eastAsia="zh-Hans" w:bidi="ar-SA"/>
              </w:rPr>
            </w:pPr>
            <w:r>
              <w:rPr>
                <w:rFonts w:hint="eastAsia" w:ascii="楷体" w:eastAsia="楷体" w:cs="仿宋"/>
                <w:bCs/>
                <w:kern w:val="2"/>
                <w:szCs w:val="21"/>
                <w:lang w:eastAsia="zh-Hans" w:bidi="ar-SA"/>
              </w:rPr>
              <w:t>具有终身学习和专业发展意识，能自觉进行反思型准教师的自我塑造，能在音乐教育教学实践过程中学会总结和反思，对自己与他人的教学提出改进措施与方法不够有力。</w:t>
            </w:r>
          </w:p>
        </w:tc>
        <w:tc>
          <w:tcPr>
            <w:tcW w:w="1384" w:type="dxa"/>
            <w:tcBorders>
              <w:top w:val="single" w:color="000000" w:sz="4" w:space="0"/>
              <w:left w:val="single" w:color="000000" w:sz="4" w:space="0"/>
              <w:bottom w:val="single" w:color="000000" w:sz="4" w:space="0"/>
              <w:right w:val="single" w:color="000000" w:sz="4" w:space="0"/>
            </w:tcBorders>
            <w:noWrap w:val="0"/>
            <w:vAlign w:val="top"/>
          </w:tcPr>
          <w:p w14:paraId="4A7C7515">
            <w:pPr>
              <w:pageBreakBefore w:val="0"/>
              <w:widowControl/>
              <w:kinsoku/>
              <w:overflowPunct/>
              <w:topLinePunct w:val="0"/>
              <w:bidi w:val="0"/>
              <w:spacing w:line="240" w:lineRule="auto"/>
              <w:jc w:val="left"/>
              <w:rPr>
                <w:rFonts w:hint="eastAsia" w:ascii="楷体" w:eastAsia="楷体" w:cs="仿宋"/>
                <w:bCs/>
                <w:kern w:val="2"/>
                <w:szCs w:val="21"/>
                <w:lang w:eastAsia="zh-Hans" w:bidi="ar-SA"/>
              </w:rPr>
            </w:pPr>
            <w:r>
              <w:rPr>
                <w:rFonts w:hint="eastAsia" w:ascii="楷体" w:eastAsia="楷体" w:cs="仿宋"/>
                <w:bCs/>
                <w:kern w:val="2"/>
                <w:szCs w:val="21"/>
                <w:lang w:eastAsia="zh-Hans" w:bidi="ar-SA"/>
              </w:rPr>
              <w:t>终身学习和专业发展意识不足，自觉进行反思型准教师的自我塑造意识不强，在音乐教育教学实践过程中总结和反思能力薄弱，对自己与他人的教学提出改进措施与方法不够得当。</w:t>
            </w:r>
          </w:p>
        </w:tc>
      </w:tr>
    </w:tbl>
    <w:p w14:paraId="1DEC5508">
      <w:pPr>
        <w:rPr>
          <w:sz w:val="2"/>
          <w:szCs w:val="2"/>
        </w:rPr>
        <w:sectPr>
          <w:headerReference r:id="rId127" w:type="default"/>
          <w:footerReference r:id="rId128" w:type="default"/>
          <w:pgSz w:w="11906" w:h="16838"/>
          <w:pgMar w:top="1440" w:right="1800" w:bottom="1440" w:left="1800" w:header="851" w:footer="992" w:gutter="0"/>
          <w:cols w:space="425" w:num="1"/>
          <w:docGrid w:type="lines" w:linePitch="312" w:charSpace="0"/>
        </w:sectPr>
      </w:pPr>
    </w:p>
    <w:p w14:paraId="54A69D89">
      <w:pPr>
        <w:ind w:left="420"/>
        <w:rPr>
          <w:rFonts w:hint="eastAsia" w:eastAsia="隶书"/>
          <w:b/>
          <w:bCs/>
          <w:spacing w:val="-20"/>
          <w:sz w:val="72"/>
        </w:rPr>
      </w:pPr>
      <w:r>
        <w:drawing>
          <wp:inline distT="0" distB="0" distL="114300" distR="114300">
            <wp:extent cx="2987040" cy="882650"/>
            <wp:effectExtent l="0" t="0" r="10160" b="6350"/>
            <wp:docPr id="3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1"/>
                    <pic:cNvPicPr>
                      <a:picLocks noChangeAspect="1"/>
                    </pic:cNvPicPr>
                  </pic:nvPicPr>
                  <pic:blipFill>
                    <a:blip r:embed="rId144"/>
                    <a:stretch>
                      <a:fillRect/>
                    </a:stretch>
                  </pic:blipFill>
                  <pic:spPr>
                    <a:xfrm>
                      <a:off x="0" y="0"/>
                      <a:ext cx="2987040" cy="882650"/>
                    </a:xfrm>
                    <a:prstGeom prst="rect">
                      <a:avLst/>
                    </a:prstGeom>
                    <a:noFill/>
                    <a:ln>
                      <a:noFill/>
                    </a:ln>
                  </pic:spPr>
                </pic:pic>
              </a:graphicData>
            </a:graphic>
          </wp:inline>
        </w:drawing>
      </w:r>
    </w:p>
    <w:p w14:paraId="21704F0B">
      <w:pPr>
        <w:ind w:left="420"/>
        <w:rPr>
          <w:rFonts w:hint="eastAsia" w:ascii="黑体" w:eastAsia="黑体"/>
          <w:b/>
          <w:bCs/>
          <w:spacing w:val="-20"/>
          <w:szCs w:val="21"/>
        </w:rPr>
      </w:pPr>
    </w:p>
    <w:p w14:paraId="39127704">
      <w:pPr>
        <w:rPr>
          <w:rFonts w:hint="eastAsia"/>
        </w:rPr>
      </w:pPr>
    </w:p>
    <w:p w14:paraId="6FB859D7">
      <w:pPr>
        <w:rPr>
          <w:rFonts w:hint="eastAsia"/>
        </w:rPr>
      </w:pPr>
    </w:p>
    <w:p w14:paraId="7BAD4A6B">
      <w:pPr>
        <w:rPr>
          <w:rFonts w:hint="eastAsia"/>
        </w:rPr>
      </w:pPr>
    </w:p>
    <w:p w14:paraId="68C0CE4C">
      <w:pPr>
        <w:rPr>
          <w:rFonts w:hint="eastAsia"/>
        </w:rPr>
      </w:pPr>
    </w:p>
    <w:p w14:paraId="28B77FF9">
      <w:pPr>
        <w:rPr>
          <w:rFonts w:hint="eastAsia"/>
        </w:rPr>
      </w:pPr>
    </w:p>
    <w:p w14:paraId="009DE3AA">
      <w:pPr>
        <w:rPr>
          <w:rFonts w:hint="eastAsia"/>
        </w:rPr>
      </w:pPr>
    </w:p>
    <w:p w14:paraId="217CE1DC">
      <w:pPr>
        <w:rPr>
          <w:rFonts w:hint="eastAsia"/>
        </w:rPr>
      </w:pPr>
    </w:p>
    <w:p w14:paraId="42936229">
      <w:pPr>
        <w:spacing w:line="360" w:lineRule="auto"/>
        <w:jc w:val="center"/>
        <w:rPr>
          <w:rFonts w:hint="eastAsia" w:ascii="楷体_GB2312" w:hAnsi="宋体" w:eastAsia="楷体_GB2312"/>
          <w:spacing w:val="14"/>
          <w:sz w:val="44"/>
          <w:szCs w:val="44"/>
        </w:rPr>
      </w:pPr>
      <w:r>
        <w:rPr>
          <w:rFonts w:ascii="方正小标宋简体" w:hAnsi="方正小标宋简体" w:eastAsia="方正小标宋简体" w:cs="方正小标宋简体"/>
          <w:b/>
          <w:spacing w:val="14"/>
          <w:sz w:val="44"/>
        </w:rPr>
        <w:t>2025—2026 学年第二学期</w:t>
      </w:r>
    </w:p>
    <w:p w14:paraId="7F563601">
      <w:pPr>
        <w:spacing w:before="156" w:beforeLines="50" w:after="156" w:afterLines="50" w:line="360" w:lineRule="auto"/>
        <w:jc w:val="center"/>
        <w:rPr>
          <w:rFonts w:hint="eastAsia" w:ascii="方正小标宋简体" w:hAnsi="方正小标宋简体" w:eastAsia="方正小标宋简体" w:cs="方正小标宋简体"/>
          <w:b/>
          <w:spacing w:val="14"/>
          <w:sz w:val="72"/>
          <w:szCs w:val="72"/>
        </w:rPr>
      </w:pPr>
      <w:r>
        <w:rPr>
          <w:rFonts w:hint="eastAsia" w:ascii="方正小标宋简体" w:hAnsi="方正小标宋简体" w:eastAsia="方正小标宋简体" w:cs="方正小标宋简体"/>
          <w:b/>
          <w:spacing w:val="14"/>
          <w:sz w:val="72"/>
          <w:szCs w:val="72"/>
        </w:rPr>
        <w:t>音乐学（</w:t>
      </w:r>
      <w:r>
        <w:rPr>
          <w:rFonts w:hint="eastAsia" w:ascii="方正小标宋简体" w:hAnsi="方正小标宋简体" w:eastAsia="方正小标宋简体" w:cs="方正小标宋简体"/>
          <w:b/>
          <w:spacing w:val="14"/>
          <w:sz w:val="72"/>
          <w:szCs w:val="72"/>
          <w:lang w:val="en-US" w:eastAsia="zh-CN"/>
        </w:rPr>
        <w:t>音乐教育</w:t>
      </w:r>
      <w:r>
        <w:rPr>
          <w:rFonts w:hint="eastAsia" w:ascii="方正小标宋简体" w:hAnsi="方正小标宋简体" w:eastAsia="方正小标宋简体" w:cs="方正小标宋简体"/>
          <w:b/>
          <w:spacing w:val="14"/>
          <w:sz w:val="72"/>
          <w:szCs w:val="72"/>
        </w:rPr>
        <w:t>）专业</w:t>
      </w:r>
    </w:p>
    <w:p w14:paraId="61EF15A9">
      <w:pPr>
        <w:spacing w:before="156" w:beforeLines="50" w:after="156" w:afterLines="50" w:line="360" w:lineRule="auto"/>
        <w:jc w:val="center"/>
        <w:rPr>
          <w:rFonts w:hint="eastAsia" w:ascii="方正小标宋简体" w:hAnsi="方正小标宋简体" w:eastAsia="方正小标宋简体" w:cs="方正小标宋简体"/>
          <w:b/>
          <w:color w:val="FF0000"/>
          <w:spacing w:val="14"/>
          <w:sz w:val="72"/>
          <w:szCs w:val="72"/>
        </w:rPr>
      </w:pPr>
      <w:r>
        <w:rPr>
          <w:rFonts w:hint="eastAsia" w:ascii="方正小标宋简体" w:hAnsi="方正小标宋简体" w:eastAsia="方正小标宋简体" w:cs="方正小标宋简体"/>
          <w:b/>
          <w:spacing w:val="14"/>
          <w:sz w:val="72"/>
          <w:szCs w:val="72"/>
        </w:rPr>
        <w:t>课程教学大纲</w:t>
      </w:r>
    </w:p>
    <w:p w14:paraId="13D889D0">
      <w:pPr>
        <w:spacing w:before="312" w:beforeLines="100" w:after="156" w:afterLines="50" w:line="360" w:lineRule="auto"/>
        <w:jc w:val="center"/>
        <w:rPr>
          <w:rFonts w:hint="eastAsia" w:ascii="宋体" w:hAnsi="宋体"/>
          <w:spacing w:val="14"/>
          <w:sz w:val="44"/>
          <w:szCs w:val="44"/>
        </w:rPr>
      </w:pPr>
    </w:p>
    <w:p w14:paraId="6B199099">
      <w:pPr>
        <w:rPr>
          <w:rFonts w:hint="eastAsia" w:ascii="Arial" w:hAnsi="Arial" w:eastAsia="楷体_GB2312"/>
          <w:sz w:val="36"/>
        </w:rPr>
      </w:pPr>
    </w:p>
    <w:p w14:paraId="19D4F920">
      <w:pPr>
        <w:rPr>
          <w:rFonts w:hint="eastAsia" w:ascii="Arial" w:hAnsi="Arial" w:eastAsia="楷体_GB2312"/>
          <w:sz w:val="36"/>
        </w:rPr>
      </w:pPr>
    </w:p>
    <w:p w14:paraId="71EF86D7">
      <w:pPr>
        <w:jc w:val="left"/>
        <w:rPr>
          <w:rFonts w:hint="eastAsia" w:ascii="宋体" w:hAnsi="宋体" w:cs="宋体"/>
          <w:sz w:val="44"/>
          <w:szCs w:val="44"/>
        </w:rPr>
      </w:pPr>
    </w:p>
    <w:p w14:paraId="3A304C83">
      <w:pPr>
        <w:ind w:firstLine="2202" w:firstLineChars="500"/>
        <w:jc w:val="left"/>
        <w:rPr>
          <w:rFonts w:hint="eastAsia" w:ascii="宋体" w:hAnsi="宋体" w:eastAsia="宋体" w:cs="宋体"/>
          <w:b/>
          <w:bCs/>
          <w:sz w:val="44"/>
          <w:szCs w:val="44"/>
          <w:lang w:val="en-US" w:eastAsia="zh-Hans"/>
        </w:rPr>
      </w:pPr>
      <w:r>
        <w:rPr>
          <w:rFonts w:hint="eastAsia" w:ascii="宋体" w:hAnsi="宋体" w:cs="宋体"/>
          <w:b/>
          <w:bCs/>
          <w:sz w:val="44"/>
          <w:szCs w:val="44"/>
        </w:rPr>
        <w:t>开课单位：</w:t>
      </w:r>
      <w:r>
        <w:rPr>
          <w:rFonts w:hint="eastAsia" w:ascii="宋体" w:hAnsi="宋体" w:cs="宋体"/>
          <w:b/>
          <w:bCs/>
          <w:sz w:val="44"/>
          <w:szCs w:val="44"/>
          <w:lang w:val="en-US" w:eastAsia="zh-Hans"/>
        </w:rPr>
        <w:t>教育与音乐学院</w:t>
      </w:r>
    </w:p>
    <w:p w14:paraId="6562BFD0">
      <w:pPr>
        <w:ind w:firstLine="2202" w:firstLineChars="500"/>
        <w:jc w:val="left"/>
        <w:rPr>
          <w:rFonts w:hint="default" w:ascii="宋体" w:hAnsi="宋体" w:eastAsia="宋体" w:cs="宋体"/>
          <w:b/>
          <w:bCs/>
          <w:sz w:val="44"/>
          <w:szCs w:val="44"/>
          <w:lang w:val="en-US" w:eastAsia="zh-Hans"/>
        </w:rPr>
      </w:pPr>
      <w:r>
        <w:rPr>
          <w:rFonts w:hint="eastAsia" w:ascii="宋体" w:hAnsi="宋体" w:cs="宋体"/>
          <w:b/>
          <w:bCs/>
          <w:sz w:val="44"/>
          <w:szCs w:val="44"/>
        </w:rPr>
        <w:t>适用年级：2022级音乐学</w:t>
      </w:r>
      <w:bookmarkEnd w:id="225"/>
    </w:p>
    <w:p w14:paraId="44552BE3">
      <w:pPr>
        <w:rPr>
          <w:rFonts w:hint="eastAsia" w:ascii="Arial" w:hAnsi="Arial" w:eastAsia="楷体_GB2312"/>
          <w:sz w:val="36"/>
        </w:rPr>
      </w:pPr>
    </w:p>
    <w:p w14:paraId="1982B2CF">
      <w:pPr>
        <w:rPr>
          <w:rFonts w:hint="eastAsia" w:ascii="Arial" w:hAnsi="Arial" w:eastAsia="楷体_GB2312"/>
          <w:sz w:val="36"/>
        </w:rPr>
      </w:pPr>
    </w:p>
    <w:p w14:paraId="2F0737A8">
      <w:pPr>
        <w:jc w:val="center"/>
        <w:rPr>
          <w:rFonts w:hint="eastAsia" w:ascii="楷体" w:hAnsi="楷体" w:eastAsia="楷体" w:cs="楷体"/>
          <w:sz w:val="36"/>
        </w:rPr>
      </w:pPr>
      <w:r>
        <w:rPr>
          <w:rFonts w:hint="eastAsia" w:ascii="楷体" w:hAnsi="楷体" w:eastAsia="楷体" w:cs="楷体"/>
          <w:sz w:val="36"/>
        </w:rPr>
        <w:t>二○二六年二月</w:t>
      </w:r>
    </w:p>
    <w:p w14:paraId="3B51F34F">
      <w:pPr>
        <w:rPr>
          <w:sz w:val="2"/>
          <w:szCs w:val="2"/>
        </w:rPr>
        <w:sectPr>
          <w:headerReference r:id="rId129" w:type="default"/>
          <w:footerReference r:id="rId130" w:type="default"/>
          <w:pgSz w:w="11906" w:h="16838"/>
          <w:pgMar w:top="1440" w:right="1800" w:bottom="1440" w:left="1800" w:header="851" w:footer="992" w:gutter="0"/>
          <w:cols w:space="425" w:num="1"/>
          <w:docGrid w:type="lines" w:linePitch="312" w:charSpace="0"/>
        </w:sectPr>
      </w:pPr>
    </w:p>
    <w:p w14:paraId="0B240BB0">
      <w:pPr>
        <w:spacing w:after="520" w:line="500" w:lineRule="exact"/>
        <w:jc w:val="center"/>
      </w:pPr>
      <w:r>
        <w:rPr>
          <w:rFonts w:ascii="宋体" w:hAnsi="宋体" w:eastAsia="宋体" w:cs="宋体"/>
          <w:b/>
          <w:spacing w:val="14"/>
          <w:sz w:val="28"/>
        </w:rPr>
        <w:t>目录</w:t>
      </w:r>
    </w:p>
    <w:p w14:paraId="024EA50C">
      <w:pPr>
        <w:tabs>
          <w:tab w:val="right" w:leader="dot" w:pos="8306"/>
        </w:tabs>
        <w:spacing w:line="480" w:lineRule="exact"/>
      </w:pPr>
      <w:r>
        <w:rPr>
          <w:rFonts w:ascii="宋体" w:hAnsi="宋体" w:eastAsia="宋体" w:cs="宋体"/>
          <w:b w:val="0"/>
          <w:sz w:val="21"/>
        </w:rPr>
        <w:t>《艺术实践》课程教学大纲</w:t>
      </w:r>
      <w:r>
        <w:rPr>
          <w:rFonts w:ascii="宋体" w:hAnsi="宋体" w:eastAsia="宋体" w:cs="宋体"/>
          <w:b w:val="0"/>
          <w:sz w:val="21"/>
        </w:rPr>
        <w:tab/>
      </w:r>
      <w:r>
        <w:rPr>
          <w:rFonts w:ascii="宋体" w:hAnsi="宋体" w:eastAsia="宋体" w:cs="宋体"/>
          <w:b w:val="0"/>
          <w:sz w:val="21"/>
        </w:rPr>
        <w:t>357</w:t>
      </w:r>
    </w:p>
    <w:p w14:paraId="6B71AF26">
      <w:pPr>
        <w:tabs>
          <w:tab w:val="right" w:leader="dot" w:pos="8306"/>
        </w:tabs>
        <w:spacing w:line="480" w:lineRule="exact"/>
      </w:pPr>
      <w:r>
        <w:rPr>
          <w:rFonts w:ascii="宋体" w:hAnsi="宋体" w:eastAsia="宋体" w:cs="宋体"/>
          <w:b w:val="0"/>
          <w:sz w:val="21"/>
        </w:rPr>
        <w:t>《毕业汇演》课程教学大纲</w:t>
      </w:r>
      <w:r>
        <w:rPr>
          <w:rFonts w:ascii="宋体" w:hAnsi="宋体" w:eastAsia="宋体" w:cs="宋体"/>
          <w:b w:val="0"/>
          <w:sz w:val="21"/>
        </w:rPr>
        <w:tab/>
      </w:r>
      <w:r>
        <w:rPr>
          <w:rFonts w:ascii="宋体" w:hAnsi="宋体" w:eastAsia="宋体" w:cs="宋体"/>
          <w:b w:val="0"/>
          <w:sz w:val="21"/>
        </w:rPr>
        <w:t>362</w:t>
      </w:r>
    </w:p>
    <w:p w14:paraId="490E8D60">
      <w:pPr>
        <w:tabs>
          <w:tab w:val="right" w:leader="dot" w:pos="8306"/>
        </w:tabs>
        <w:spacing w:line="480" w:lineRule="exact"/>
      </w:pPr>
      <w:r>
        <w:rPr>
          <w:rFonts w:ascii="宋体" w:hAnsi="宋体" w:eastAsia="宋体" w:cs="宋体"/>
          <w:b w:val="0"/>
          <w:sz w:val="21"/>
        </w:rPr>
        <w:t>《毕业论文》课程教学大纲</w:t>
      </w:r>
      <w:r>
        <w:rPr>
          <w:rFonts w:ascii="宋体" w:hAnsi="宋体" w:eastAsia="宋体" w:cs="宋体"/>
          <w:b w:val="0"/>
          <w:sz w:val="21"/>
        </w:rPr>
        <w:tab/>
      </w:r>
      <w:r>
        <w:rPr>
          <w:rFonts w:ascii="宋体" w:hAnsi="宋体" w:eastAsia="宋体" w:cs="宋体"/>
          <w:b w:val="0"/>
          <w:sz w:val="21"/>
        </w:rPr>
        <w:t>367</w:t>
      </w:r>
    </w:p>
    <w:p w14:paraId="0F40F80F">
      <w:pPr>
        <w:rPr>
          <w:sz w:val="2"/>
          <w:szCs w:val="2"/>
        </w:rPr>
        <w:sectPr>
          <w:headerReference r:id="rId131" w:type="default"/>
          <w:footerReference r:id="rId132" w:type="default"/>
          <w:pgSz w:w="11906" w:h="16838"/>
          <w:pgMar w:top="1440" w:right="1800" w:bottom="1440" w:left="1800" w:header="851" w:footer="992" w:gutter="0"/>
          <w:cols w:space="425" w:num="1"/>
          <w:docGrid w:type="lines" w:linePitch="312" w:charSpace="0"/>
        </w:sectPr>
      </w:pPr>
    </w:p>
    <w:p w14:paraId="4011B112">
      <w:pPr>
        <w:adjustRightInd w:val="0"/>
        <w:snapToGrid w:val="0"/>
        <w:spacing w:line="560" w:lineRule="exact"/>
        <w:jc w:val="center"/>
        <w:rPr>
          <w:rFonts w:hint="eastAsia" w:ascii="微软雅黑" w:eastAsia="微软雅黑" w:cs="微软雅黑"/>
          <w:sz w:val="44"/>
          <w:szCs w:val="44"/>
          <w:lang w:eastAsia="zh-CN"/>
        </w:rPr>
      </w:pPr>
      <w:r>
        <w:rPr>
          <w:rFonts w:hint="eastAsia" w:ascii="微软雅黑" w:eastAsia="微软雅黑" w:cs="微软雅黑"/>
          <w:sz w:val="44"/>
          <w:szCs w:val="44"/>
        </w:rPr>
        <w:t>三明学院音乐学（音乐教育）专业</w:t>
      </w:r>
    </w:p>
    <w:p w14:paraId="1CDA2D92">
      <w:pPr>
        <w:adjustRightInd w:val="0"/>
        <w:snapToGrid w:val="0"/>
        <w:spacing w:line="560" w:lineRule="exact"/>
        <w:jc w:val="center"/>
        <w:rPr>
          <w:rFonts w:hint="eastAsia" w:ascii="微软雅黑" w:eastAsia="微软雅黑" w:cs="微软雅黑"/>
          <w:sz w:val="44"/>
          <w:szCs w:val="44"/>
        </w:rPr>
      </w:pPr>
      <w:r>
        <w:rPr>
          <w:rFonts w:hint="eastAsia" w:ascii="微软雅黑" w:eastAsia="微软雅黑" w:cs="微软雅黑"/>
          <w:sz w:val="44"/>
          <w:szCs w:val="44"/>
        </w:rPr>
        <w:t>《艺术实践》课程教学大纲</w:t>
      </w:r>
    </w:p>
    <w:tbl>
      <w:tblPr>
        <w:tblStyle w:val="22"/>
        <w:tblpPr w:leftFromText="180" w:rightFromText="180" w:vertAnchor="text" w:horzAnchor="page" w:tblpX="1052" w:tblpY="508"/>
        <w:tblOverlap w:val="never"/>
        <w:tblW w:w="989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075"/>
        <w:gridCol w:w="1333"/>
        <w:gridCol w:w="275"/>
        <w:gridCol w:w="1069"/>
        <w:gridCol w:w="1493"/>
        <w:gridCol w:w="113"/>
        <w:gridCol w:w="297"/>
        <w:gridCol w:w="555"/>
        <w:gridCol w:w="575"/>
        <w:gridCol w:w="286"/>
        <w:gridCol w:w="149"/>
        <w:gridCol w:w="1004"/>
        <w:gridCol w:w="601"/>
        <w:gridCol w:w="1074"/>
      </w:tblGrid>
      <w:tr w14:paraId="6CA08A0F">
        <w:trPr>
          <w:trHeight w:val="454" w:hRule="atLeast"/>
        </w:trPr>
        <w:tc>
          <w:tcPr>
            <w:tcW w:w="1075" w:type="dxa"/>
            <w:noWrap w:val="0"/>
            <w:vAlign w:val="center"/>
          </w:tcPr>
          <w:p w14:paraId="2D34C1B5">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课程名称</w:t>
            </w:r>
          </w:p>
        </w:tc>
        <w:tc>
          <w:tcPr>
            <w:tcW w:w="5135" w:type="dxa"/>
            <w:gridSpan w:val="7"/>
            <w:noWrap w:val="0"/>
            <w:vAlign w:val="center"/>
          </w:tcPr>
          <w:p w14:paraId="7C2D8CE7">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w:t>
            </w:r>
            <w:r>
              <w:rPr>
                <w:rFonts w:hint="eastAsia" w:ascii="仿宋" w:hAnsi="仿宋" w:eastAsia="仿宋" w:cs="仿宋"/>
                <w:color w:val="auto"/>
                <w:sz w:val="24"/>
                <w:szCs w:val="24"/>
                <w:lang w:val="en-US" w:eastAsia="zh-CN"/>
              </w:rPr>
              <w:t>艺术实践</w:t>
            </w:r>
            <w:r>
              <w:rPr>
                <w:rFonts w:hint="eastAsia" w:ascii="仿宋" w:hAnsi="仿宋" w:eastAsia="仿宋" w:cs="仿宋"/>
                <w:color w:val="auto"/>
                <w:sz w:val="24"/>
                <w:szCs w:val="24"/>
              </w:rPr>
              <w:t>》</w:t>
            </w:r>
          </w:p>
        </w:tc>
        <w:tc>
          <w:tcPr>
            <w:tcW w:w="575" w:type="dxa"/>
            <w:noWrap w:val="0"/>
            <w:vAlign w:val="center"/>
          </w:tcPr>
          <w:p w14:paraId="2B873898">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w:t>
            </w:r>
          </w:p>
          <w:p w14:paraId="4534A089">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代码</w:t>
            </w:r>
          </w:p>
        </w:tc>
        <w:tc>
          <w:tcPr>
            <w:tcW w:w="3114" w:type="dxa"/>
            <w:gridSpan w:val="5"/>
            <w:noWrap w:val="0"/>
            <w:vAlign w:val="center"/>
          </w:tcPr>
          <w:p w14:paraId="0F6E8527">
            <w:pPr>
              <w:adjustRightInd w:val="0"/>
              <w:snapToGrid w:val="0"/>
              <w:spacing w:line="240" w:lineRule="atLeast"/>
              <w:jc w:val="center"/>
              <w:rPr>
                <w:rFonts w:hint="default" w:ascii="仿宋" w:hAnsi="仿宋" w:eastAsia="华文仿宋" w:cs="仿宋"/>
                <w:color w:val="auto"/>
                <w:sz w:val="24"/>
                <w:szCs w:val="24"/>
                <w:lang w:val="en-US" w:eastAsia="zh-CN"/>
              </w:rPr>
            </w:pPr>
            <w:r>
              <w:rPr>
                <w:rFonts w:hint="eastAsia" w:ascii="仿宋" w:hAnsi="仿宋" w:eastAsia="仿宋" w:cs="仿宋"/>
                <w:color w:val="auto"/>
                <w:sz w:val="24"/>
                <w:szCs w:val="24"/>
                <w:lang w:val="en-US" w:eastAsia="zh-CN"/>
              </w:rPr>
              <w:t>1213601601</w:t>
            </w:r>
          </w:p>
        </w:tc>
      </w:tr>
      <w:tr w14:paraId="6C1CDE0E">
        <w:trPr>
          <w:trHeight w:val="454" w:hRule="atLeast"/>
        </w:trPr>
        <w:tc>
          <w:tcPr>
            <w:tcW w:w="1075" w:type="dxa"/>
            <w:noWrap w:val="0"/>
            <w:vAlign w:val="center"/>
          </w:tcPr>
          <w:p w14:paraId="47F8C191">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课程类型</w:t>
            </w:r>
          </w:p>
        </w:tc>
        <w:tc>
          <w:tcPr>
            <w:tcW w:w="8824" w:type="dxa"/>
            <w:gridSpan w:val="13"/>
            <w:noWrap w:val="0"/>
            <w:vAlign w:val="center"/>
          </w:tcPr>
          <w:p w14:paraId="40F3EFA7">
            <w:pPr>
              <w:adjustRightInd w:val="0"/>
              <w:snapToGrid w:val="0"/>
              <w:spacing w:line="240" w:lineRule="atLeast"/>
              <w:rPr>
                <w:rFonts w:hint="eastAsia" w:ascii="仿宋" w:hAnsi="仿宋" w:eastAsia="仿宋" w:cs="仿宋"/>
                <w:color w:val="auto"/>
                <w:sz w:val="24"/>
                <w:szCs w:val="24"/>
              </w:rPr>
            </w:pP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通识必修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通识选修 </w:t>
            </w: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 xml:space="preserve">专业必修 </w:t>
            </w:r>
          </w:p>
          <w:p w14:paraId="72221AE3">
            <w:pPr>
              <w:adjustRightInd w:val="0"/>
              <w:snapToGrid w:val="0"/>
              <w:spacing w:line="240" w:lineRule="atLeast"/>
              <w:rPr>
                <w:rFonts w:hint="eastAsia" w:ascii="仿宋" w:hAnsi="仿宋" w:eastAsia="仿宋" w:cs="仿宋"/>
                <w:color w:val="auto"/>
                <w:sz w:val="24"/>
                <w:szCs w:val="24"/>
              </w:rPr>
            </w:pP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专业选修</w:t>
            </w:r>
            <w:r>
              <w:rPr>
                <w:rFonts w:hint="eastAsia" w:ascii="仿宋" w:hAnsi="仿宋" w:eastAsia="仿宋" w:cs="仿宋"/>
                <w:color w:val="auto"/>
                <w:sz w:val="24"/>
                <w:szCs w:val="24"/>
                <w:lang w:eastAsia="zh-TW"/>
              </w:rPr>
              <w:t xml:space="preserve">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教师教育必修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教师教育选修</w:t>
            </w:r>
          </w:p>
        </w:tc>
      </w:tr>
      <w:tr w14:paraId="162CF04D">
        <w:trPr>
          <w:trHeight w:val="406" w:hRule="atLeast"/>
        </w:trPr>
        <w:tc>
          <w:tcPr>
            <w:tcW w:w="1075" w:type="dxa"/>
            <w:noWrap w:val="0"/>
            <w:vAlign w:val="center"/>
          </w:tcPr>
          <w:p w14:paraId="25D02487">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开课学期</w:t>
            </w:r>
          </w:p>
        </w:tc>
        <w:tc>
          <w:tcPr>
            <w:tcW w:w="1608" w:type="dxa"/>
            <w:gridSpan w:val="2"/>
            <w:noWrap w:val="0"/>
            <w:vAlign w:val="center"/>
          </w:tcPr>
          <w:p w14:paraId="452F4BF5">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第</w:t>
            </w:r>
            <w:r>
              <w:rPr>
                <w:rFonts w:hint="eastAsia" w:ascii="仿宋" w:hAnsi="仿宋" w:eastAsia="仿宋" w:cs="仿宋"/>
                <w:color w:val="auto"/>
                <w:sz w:val="24"/>
                <w:szCs w:val="24"/>
                <w:lang w:val="en-US" w:eastAsia="zh-CN"/>
              </w:rPr>
              <w:t>8</w:t>
            </w:r>
            <w:r>
              <w:rPr>
                <w:rFonts w:hint="eastAsia" w:ascii="仿宋" w:hAnsi="仿宋" w:eastAsia="仿宋" w:cs="仿宋"/>
                <w:color w:val="auto"/>
                <w:sz w:val="24"/>
                <w:szCs w:val="24"/>
              </w:rPr>
              <w:t>学期</w:t>
            </w:r>
          </w:p>
        </w:tc>
        <w:tc>
          <w:tcPr>
            <w:tcW w:w="1069" w:type="dxa"/>
            <w:noWrap w:val="0"/>
            <w:vAlign w:val="center"/>
          </w:tcPr>
          <w:p w14:paraId="340413AA">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学分</w:t>
            </w:r>
          </w:p>
        </w:tc>
        <w:tc>
          <w:tcPr>
            <w:tcW w:w="1606" w:type="dxa"/>
            <w:gridSpan w:val="2"/>
            <w:noWrap w:val="0"/>
            <w:vAlign w:val="center"/>
          </w:tcPr>
          <w:p w14:paraId="353A1EAC">
            <w:pPr>
              <w:adjustRightInd w:val="0"/>
              <w:snapToGrid w:val="0"/>
              <w:spacing w:line="240" w:lineRule="atLeast"/>
              <w:jc w:val="center"/>
              <w:rPr>
                <w:rFonts w:hint="eastAsia"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1</w:t>
            </w:r>
          </w:p>
        </w:tc>
        <w:tc>
          <w:tcPr>
            <w:tcW w:w="1427" w:type="dxa"/>
            <w:gridSpan w:val="3"/>
            <w:noWrap w:val="0"/>
            <w:vAlign w:val="center"/>
          </w:tcPr>
          <w:p w14:paraId="31DF8820">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课程负责人</w:t>
            </w:r>
          </w:p>
        </w:tc>
        <w:tc>
          <w:tcPr>
            <w:tcW w:w="3114" w:type="dxa"/>
            <w:gridSpan w:val="5"/>
            <w:noWrap w:val="0"/>
            <w:vAlign w:val="center"/>
          </w:tcPr>
          <w:p w14:paraId="1BCD5235">
            <w:pPr>
              <w:adjustRightInd w:val="0"/>
              <w:snapToGrid w:val="0"/>
              <w:spacing w:line="240" w:lineRule="atLeast"/>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全体音乐学专业教师</w:t>
            </w:r>
          </w:p>
        </w:tc>
      </w:tr>
      <w:tr w14:paraId="187A91C5">
        <w:trPr>
          <w:trHeight w:val="485" w:hRule="atLeast"/>
        </w:trPr>
        <w:tc>
          <w:tcPr>
            <w:tcW w:w="1075" w:type="dxa"/>
            <w:noWrap w:val="0"/>
            <w:vAlign w:val="center"/>
          </w:tcPr>
          <w:p w14:paraId="31DE10A6">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总学时</w:t>
            </w:r>
          </w:p>
        </w:tc>
        <w:tc>
          <w:tcPr>
            <w:tcW w:w="1608" w:type="dxa"/>
            <w:gridSpan w:val="2"/>
            <w:noWrap w:val="0"/>
            <w:vAlign w:val="center"/>
          </w:tcPr>
          <w:p w14:paraId="07386F29">
            <w:pPr>
              <w:adjustRightInd w:val="0"/>
              <w:snapToGrid w:val="0"/>
              <w:spacing w:line="240" w:lineRule="atLeast"/>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1周</w:t>
            </w:r>
          </w:p>
        </w:tc>
        <w:tc>
          <w:tcPr>
            <w:tcW w:w="1069" w:type="dxa"/>
            <w:noWrap w:val="0"/>
            <w:vAlign w:val="center"/>
          </w:tcPr>
          <w:p w14:paraId="238CC3C1">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理论学时</w:t>
            </w:r>
          </w:p>
        </w:tc>
        <w:tc>
          <w:tcPr>
            <w:tcW w:w="1606" w:type="dxa"/>
            <w:gridSpan w:val="2"/>
            <w:noWrap w:val="0"/>
            <w:vAlign w:val="center"/>
          </w:tcPr>
          <w:p w14:paraId="490CE759">
            <w:pPr>
              <w:adjustRightInd w:val="0"/>
              <w:snapToGrid w:val="0"/>
              <w:spacing w:line="240" w:lineRule="atLeast"/>
              <w:jc w:val="center"/>
              <w:rPr>
                <w:rFonts w:hint="eastAsia"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0</w:t>
            </w:r>
          </w:p>
        </w:tc>
        <w:tc>
          <w:tcPr>
            <w:tcW w:w="1427" w:type="dxa"/>
            <w:gridSpan w:val="3"/>
            <w:tcBorders>
              <w:right w:val="single" w:color="000000" w:sz="4" w:space="0"/>
            </w:tcBorders>
            <w:noWrap w:val="0"/>
            <w:vAlign w:val="center"/>
          </w:tcPr>
          <w:p w14:paraId="0FF3FA73">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实践学时</w:t>
            </w:r>
          </w:p>
        </w:tc>
        <w:tc>
          <w:tcPr>
            <w:tcW w:w="3114" w:type="dxa"/>
            <w:gridSpan w:val="5"/>
            <w:tcBorders>
              <w:left w:val="single" w:color="000000" w:sz="4" w:space="0"/>
            </w:tcBorders>
            <w:noWrap w:val="0"/>
            <w:vAlign w:val="center"/>
          </w:tcPr>
          <w:p w14:paraId="11396F0C">
            <w:pPr>
              <w:adjustRightInd w:val="0"/>
              <w:snapToGrid w:val="0"/>
              <w:spacing w:line="240" w:lineRule="atLeast"/>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1周</w:t>
            </w:r>
          </w:p>
        </w:tc>
      </w:tr>
      <w:tr w14:paraId="55C27790">
        <w:trPr>
          <w:trHeight w:val="454" w:hRule="atLeast"/>
        </w:trPr>
        <w:tc>
          <w:tcPr>
            <w:tcW w:w="1075" w:type="dxa"/>
            <w:noWrap w:val="0"/>
            <w:vAlign w:val="center"/>
          </w:tcPr>
          <w:p w14:paraId="07A1447B">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先修课程与后续课程</w:t>
            </w:r>
          </w:p>
        </w:tc>
        <w:tc>
          <w:tcPr>
            <w:tcW w:w="8824" w:type="dxa"/>
            <w:gridSpan w:val="13"/>
            <w:noWrap w:val="0"/>
            <w:vAlign w:val="center"/>
          </w:tcPr>
          <w:p w14:paraId="27BB4A13">
            <w:pPr>
              <w:tabs>
                <w:tab w:val="left" w:pos="720"/>
              </w:tabs>
              <w:adjustRightInd w:val="0"/>
              <w:snapToGrid w:val="0"/>
              <w:jc w:val="left"/>
              <w:rPr>
                <w:rFonts w:hint="eastAsia" w:ascii="仿宋" w:hAnsi="仿宋" w:eastAsia="仿宋" w:cs="仿宋"/>
                <w:color w:val="auto"/>
                <w:sz w:val="24"/>
                <w:szCs w:val="24"/>
              </w:rPr>
            </w:pPr>
            <w:r>
              <w:rPr>
                <w:rFonts w:hint="eastAsia" w:ascii="仿宋" w:hAnsi="仿宋" w:eastAsia="仿宋" w:cs="仿宋"/>
                <w:color w:val="auto"/>
                <w:sz w:val="24"/>
                <w:szCs w:val="24"/>
              </w:rPr>
              <w:t>先修课程：</w:t>
            </w:r>
            <w:r>
              <w:rPr>
                <w:rFonts w:hint="eastAsia" w:ascii="仿宋" w:hAnsi="仿宋" w:eastAsia="仿宋" w:cs="仿宋"/>
                <w:color w:val="auto"/>
                <w:sz w:val="24"/>
                <w:szCs w:val="24"/>
                <w:lang w:val="en-US" w:eastAsia="zh-CN"/>
              </w:rPr>
              <w:t>钢琴基础、声乐基础、乐器演奏基础、形体舞蹈等</w:t>
            </w:r>
          </w:p>
          <w:p w14:paraId="3A250290">
            <w:pPr>
              <w:tabs>
                <w:tab w:val="left" w:pos="720"/>
              </w:tabs>
              <w:adjustRightInd w:val="0"/>
              <w:snapToGrid w:val="0"/>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后续课程：</w:t>
            </w:r>
            <w:r>
              <w:rPr>
                <w:rFonts w:hint="eastAsia" w:ascii="仿宋" w:hAnsi="仿宋" w:eastAsia="仿宋" w:cs="仿宋"/>
                <w:color w:val="auto"/>
                <w:sz w:val="24"/>
                <w:szCs w:val="24"/>
                <w:lang w:val="en-US" w:eastAsia="zh-CN"/>
              </w:rPr>
              <w:t>无</w:t>
            </w:r>
          </w:p>
        </w:tc>
      </w:tr>
      <w:tr w14:paraId="6644FD34">
        <w:trPr>
          <w:trHeight w:val="454" w:hRule="atLeast"/>
        </w:trPr>
        <w:tc>
          <w:tcPr>
            <w:tcW w:w="1075" w:type="dxa"/>
            <w:noWrap w:val="0"/>
            <w:vAlign w:val="center"/>
          </w:tcPr>
          <w:p w14:paraId="4888A964">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适用专业</w:t>
            </w:r>
          </w:p>
        </w:tc>
        <w:tc>
          <w:tcPr>
            <w:tcW w:w="8824" w:type="dxa"/>
            <w:gridSpan w:val="13"/>
            <w:noWrap w:val="0"/>
            <w:vAlign w:val="center"/>
          </w:tcPr>
          <w:p w14:paraId="0B85E9F0">
            <w:pPr>
              <w:adjustRightInd w:val="0"/>
              <w:snapToGrid w:val="0"/>
              <w:spacing w:line="240" w:lineRule="atLeast"/>
              <w:jc w:val="center"/>
              <w:rPr>
                <w:rFonts w:hint="eastAsia" w:ascii="仿宋" w:hAnsi="仿宋" w:eastAsia="仿宋" w:cs="仿宋"/>
                <w:color w:val="auto"/>
                <w:sz w:val="24"/>
                <w:szCs w:val="24"/>
                <w:lang w:eastAsia="zh-CN"/>
              </w:rPr>
            </w:pPr>
            <w:r>
              <w:rPr>
                <w:rFonts w:hint="default" w:ascii="仿宋" w:hAnsi="仿宋" w:eastAsia="仿宋" w:cs="仿宋"/>
                <w:color w:val="auto"/>
                <w:sz w:val="24"/>
                <w:szCs w:val="24"/>
              </w:rPr>
              <w:t>音乐学</w:t>
            </w:r>
            <w:r>
              <w:rPr>
                <w:rFonts w:hint="eastAsia" w:ascii="仿宋" w:hAnsi="仿宋" w:eastAsia="仿宋" w:cs="仿宋"/>
                <w:color w:val="auto"/>
                <w:sz w:val="24"/>
                <w:szCs w:val="24"/>
              </w:rPr>
              <w:t>专业</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师范类</w:t>
            </w:r>
            <w:r>
              <w:rPr>
                <w:rFonts w:hint="eastAsia" w:ascii="仿宋" w:hAnsi="仿宋" w:eastAsia="仿宋" w:cs="仿宋"/>
                <w:color w:val="auto"/>
                <w:sz w:val="24"/>
                <w:szCs w:val="24"/>
                <w:lang w:eastAsia="zh-CN"/>
              </w:rPr>
              <w:t>）</w:t>
            </w:r>
          </w:p>
        </w:tc>
      </w:tr>
      <w:tr w14:paraId="6DB8BDAB">
        <w:tc>
          <w:tcPr>
            <w:tcW w:w="1075" w:type="dxa"/>
            <w:tcBorders>
              <w:bottom w:val="single" w:color="auto" w:sz="4" w:space="0"/>
            </w:tcBorders>
            <w:noWrap w:val="0"/>
            <w:vAlign w:val="center"/>
          </w:tcPr>
          <w:p w14:paraId="16E68A80">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A</w:t>
            </w:r>
          </w:p>
          <w:p w14:paraId="75C6ABE3">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参考教材</w:t>
            </w:r>
          </w:p>
        </w:tc>
        <w:tc>
          <w:tcPr>
            <w:tcW w:w="8824" w:type="dxa"/>
            <w:gridSpan w:val="13"/>
            <w:tcBorders>
              <w:bottom w:val="single" w:color="auto" w:sz="4" w:space="0"/>
            </w:tcBorders>
            <w:noWrap w:val="0"/>
            <w:vAlign w:val="center"/>
          </w:tcPr>
          <w:p w14:paraId="407A6136">
            <w:pPr>
              <w:tabs>
                <w:tab w:val="left" w:pos="720"/>
              </w:tabs>
              <w:adjustRightInd w:val="0"/>
              <w:snapToGrid w:val="0"/>
              <w:rPr>
                <w:rFonts w:hint="eastAsia" w:ascii="仿宋" w:hAnsi="仿宋" w:eastAsia="仿宋" w:cs="仿宋"/>
                <w:color w:val="auto"/>
                <w:kern w:val="0"/>
                <w:sz w:val="24"/>
                <w:szCs w:val="24"/>
              </w:rPr>
            </w:pPr>
            <w:r>
              <w:rPr>
                <w:rFonts w:hint="eastAsia" w:ascii="仿宋" w:hAnsi="仿宋" w:eastAsia="仿宋" w:cs="仿宋"/>
                <w:sz w:val="24"/>
                <w:lang w:val="en-US" w:eastAsia="zh-CN"/>
              </w:rPr>
              <w:t>声乐、钢琴、器乐、舞蹈、理论五个方向所使用的教材</w:t>
            </w:r>
          </w:p>
        </w:tc>
      </w:tr>
      <w:tr w14:paraId="719664B6">
        <w:tc>
          <w:tcPr>
            <w:tcW w:w="1075" w:type="dxa"/>
            <w:tcBorders>
              <w:bottom w:val="single" w:color="auto" w:sz="4" w:space="0"/>
            </w:tcBorders>
            <w:noWrap w:val="0"/>
            <w:vAlign w:val="center"/>
          </w:tcPr>
          <w:p w14:paraId="160F39EC">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B</w:t>
            </w:r>
          </w:p>
          <w:p w14:paraId="141440C9">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主要参考书籍</w:t>
            </w:r>
          </w:p>
        </w:tc>
        <w:tc>
          <w:tcPr>
            <w:tcW w:w="8824" w:type="dxa"/>
            <w:gridSpan w:val="13"/>
            <w:tcBorders>
              <w:bottom w:val="single" w:color="auto" w:sz="4" w:space="0"/>
            </w:tcBorders>
            <w:noWrap w:val="0"/>
            <w:vAlign w:val="center"/>
          </w:tcPr>
          <w:p w14:paraId="36168470">
            <w:pPr>
              <w:keepNext w:val="0"/>
              <w:keepLines w:val="0"/>
              <w:pageBreakBefore w:val="0"/>
              <w:widowControl w:val="0"/>
              <w:tabs>
                <w:tab w:val="left" w:pos="720"/>
              </w:tabs>
              <w:kinsoku/>
              <w:wordWrap/>
              <w:overflowPunct/>
              <w:topLinePunct w:val="0"/>
              <w:autoSpaceDE/>
              <w:autoSpaceDN/>
              <w:bidi w:val="0"/>
              <w:adjustRightInd w:val="0"/>
              <w:snapToGrid w:val="0"/>
              <w:spacing w:line="240" w:lineRule="atLeast"/>
              <w:ind w:left="0" w:leftChars="0" w:right="0" w:rightChars="0"/>
              <w:textAlignment w:val="auto"/>
              <w:outlineLvl w:val="9"/>
              <w:rPr>
                <w:rFonts w:hint="eastAsia" w:ascii="仿宋" w:hAnsi="仿宋" w:eastAsia="仿宋" w:cs="仿宋"/>
                <w:color w:val="auto"/>
                <w:kern w:val="0"/>
                <w:sz w:val="24"/>
                <w:szCs w:val="24"/>
              </w:rPr>
            </w:pPr>
            <w:r>
              <w:rPr>
                <w:rFonts w:hint="eastAsia" w:ascii="仿宋" w:hAnsi="仿宋" w:eastAsia="仿宋" w:cs="仿宋"/>
                <w:sz w:val="24"/>
                <w:lang w:val="en-US" w:eastAsia="zh-CN"/>
              </w:rPr>
              <w:t>声乐、钢琴、器乐、舞蹈、理论五个方向所使用的教材</w:t>
            </w:r>
          </w:p>
        </w:tc>
      </w:tr>
      <w:tr w14:paraId="25F34DD9">
        <w:trPr>
          <w:trHeight w:val="1223" w:hRule="atLeast"/>
        </w:trPr>
        <w:tc>
          <w:tcPr>
            <w:tcW w:w="1075" w:type="dxa"/>
            <w:tcBorders>
              <w:bottom w:val="single" w:color="auto" w:sz="4" w:space="0"/>
            </w:tcBorders>
            <w:noWrap w:val="0"/>
            <w:vAlign w:val="center"/>
          </w:tcPr>
          <w:p w14:paraId="67B96DBE">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C</w:t>
            </w:r>
          </w:p>
          <w:p w14:paraId="6701AB11">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线上学习资源</w:t>
            </w:r>
          </w:p>
        </w:tc>
        <w:tc>
          <w:tcPr>
            <w:tcW w:w="8824" w:type="dxa"/>
            <w:gridSpan w:val="13"/>
            <w:tcBorders>
              <w:bottom w:val="single" w:color="auto" w:sz="4" w:space="0"/>
            </w:tcBorders>
            <w:noWrap w:val="0"/>
            <w:vAlign w:val="center"/>
          </w:tcPr>
          <w:p w14:paraId="7ED47A84">
            <w:pPr>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中国大学MOOC:创意的奥秘：艺术创意与策划（南昌大学：何世剑教授）</w:t>
            </w:r>
          </w:p>
          <w:p w14:paraId="5F6A4E68">
            <w:pPr>
              <w:adjustRightInd w:val="0"/>
              <w:snapToGrid w:val="0"/>
              <w:rPr>
                <w:rFonts w:hint="eastAsia" w:ascii="仿宋" w:hAnsi="仿宋" w:eastAsia="仿宋" w:cs="仿宋"/>
                <w:color w:val="auto"/>
                <w:kern w:val="0"/>
                <w:sz w:val="24"/>
                <w:szCs w:val="24"/>
              </w:rPr>
            </w:pPr>
            <w:r>
              <w:rPr>
                <w:rFonts w:hint="default" w:ascii="仿宋" w:hAnsi="仿宋" w:eastAsia="仿宋" w:cs="仿宋"/>
                <w:color w:val="auto"/>
                <w:kern w:val="0"/>
                <w:sz w:val="24"/>
                <w:szCs w:val="24"/>
              </w:rPr>
              <w:t xml:space="preserve">        </w:t>
            </w:r>
          </w:p>
        </w:tc>
      </w:tr>
      <w:tr w14:paraId="36EFA601">
        <w:trPr>
          <w:trHeight w:val="1981" w:hRule="atLeast"/>
        </w:trPr>
        <w:tc>
          <w:tcPr>
            <w:tcW w:w="1075" w:type="dxa"/>
            <w:shd w:val="clear" w:color="auto" w:fill="FFFFFF"/>
            <w:noWrap w:val="0"/>
            <w:vAlign w:val="center"/>
          </w:tcPr>
          <w:p w14:paraId="6326E64A">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D</w:t>
            </w:r>
          </w:p>
          <w:p w14:paraId="39D8ACF3">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 xml:space="preserve">课程描述 </w:t>
            </w:r>
          </w:p>
          <w:p w14:paraId="3BD9CB40">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lang w:eastAsia="zh-TW"/>
              </w:rPr>
              <w:t>(</w:t>
            </w:r>
            <w:r>
              <w:rPr>
                <w:rFonts w:hint="eastAsia" w:ascii="仿宋" w:hAnsi="仿宋" w:eastAsia="仿宋" w:cs="仿宋"/>
                <w:color w:val="auto"/>
                <w:sz w:val="24"/>
                <w:szCs w:val="24"/>
              </w:rPr>
              <w:t>含</w:t>
            </w:r>
            <w:r>
              <w:rPr>
                <w:rFonts w:hint="eastAsia" w:ascii="仿宋" w:hAnsi="仿宋" w:eastAsia="仿宋" w:cs="仿宋"/>
                <w:color w:val="auto"/>
                <w:sz w:val="24"/>
                <w:szCs w:val="24"/>
                <w:lang w:eastAsia="zh-TW"/>
              </w:rPr>
              <w:t>性质、地位和任务)</w:t>
            </w:r>
          </w:p>
        </w:tc>
        <w:tc>
          <w:tcPr>
            <w:tcW w:w="8824" w:type="dxa"/>
            <w:gridSpan w:val="13"/>
            <w:tcBorders>
              <w:bottom w:val="single" w:color="auto" w:sz="4" w:space="0"/>
            </w:tcBorders>
            <w:shd w:val="clear" w:color="auto" w:fill="FFFFFF"/>
            <w:noWrap w:val="0"/>
            <w:vAlign w:val="center"/>
          </w:tcPr>
          <w:p w14:paraId="15666E69">
            <w:pPr>
              <w:pStyle w:val="280"/>
              <w:keepNext w:val="0"/>
              <w:keepLines w:val="0"/>
              <w:pageBreakBefore w:val="0"/>
              <w:widowControl w:val="0"/>
              <w:numPr>
                <w:ilvl w:val="0"/>
                <w:numId w:val="49"/>
              </w:numPr>
              <w:kinsoku/>
              <w:wordWrap/>
              <w:overflowPunct/>
              <w:topLinePunct w:val="0"/>
              <w:autoSpaceDE/>
              <w:autoSpaceDN/>
              <w:bidi w:val="0"/>
              <w:adjustRightInd/>
              <w:snapToGrid/>
              <w:ind w:firstLine="480" w:firstLineChars="200"/>
              <w:textAlignment w:val="auto"/>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 xml:space="preserve">《艺术实践》是音乐学专业主修方向的实践课程之一。该课程的开设是为了检验学生的专业的学习成果，提高演奏（唱）的表演能力。该课程的开设学期为第8学期，课程期间对学生所学曲目进行严格训练与指导。   </w:t>
            </w:r>
          </w:p>
          <w:p w14:paraId="135CCC21">
            <w:pPr>
              <w:pStyle w:val="280"/>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bidi="ar-SA"/>
              </w:rPr>
              <w:t>该课程包含声乐、钢琴、器乐、舞蹈、理论五个主修方向，以音乐会、专场演出、作品集、课程考核等形式，实践方向需每位学生准备至少两首作品进行演奏（唱）、表演，理论方向需创作一首音乐作品。鼓励以小组组合的形式举办，如需举办独奏（唱）音乐会，需向系（教研室）提交申请（原则上成绩为主修期间年级段的前三名方可申请）。</w:t>
            </w:r>
          </w:p>
        </w:tc>
      </w:tr>
      <w:tr w14:paraId="7BDDAA2B">
        <w:trPr>
          <w:trHeight w:val="3992" w:hRule="atLeast"/>
        </w:trPr>
        <w:tc>
          <w:tcPr>
            <w:tcW w:w="1075" w:type="dxa"/>
            <w:vMerge w:val="restart"/>
            <w:shd w:val="clear" w:color="auto" w:fill="FFFFFF"/>
            <w:noWrap w:val="0"/>
            <w:vAlign w:val="center"/>
          </w:tcPr>
          <w:p w14:paraId="6B4C3FE6">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E</w:t>
            </w:r>
          </w:p>
          <w:p w14:paraId="69FAF871">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课程学习目标及其与毕业要求的对应关系</w:t>
            </w:r>
          </w:p>
        </w:tc>
        <w:tc>
          <w:tcPr>
            <w:tcW w:w="8824" w:type="dxa"/>
            <w:gridSpan w:val="13"/>
            <w:tcBorders>
              <w:bottom w:val="single" w:color="auto" w:sz="4" w:space="0"/>
            </w:tcBorders>
            <w:shd w:val="clear" w:color="auto" w:fill="FFFFFF"/>
            <w:noWrap w:val="0"/>
            <w:vAlign w:val="center"/>
          </w:tcPr>
          <w:p w14:paraId="297CC28C">
            <w:pPr>
              <w:adjustRightInd w:val="0"/>
              <w:snapToGrid w:val="0"/>
              <w:jc w:val="left"/>
              <w:rPr>
                <w:rFonts w:hint="eastAsia" w:ascii="仿宋" w:hAnsi="仿宋" w:eastAsia="仿宋" w:cs="仿宋"/>
                <w:color w:val="auto"/>
                <w:sz w:val="24"/>
                <w:szCs w:val="24"/>
                <w:lang w:eastAsia="zh-TW"/>
              </w:rPr>
            </w:pPr>
            <w:r>
              <w:rPr>
                <w:rFonts w:hint="eastAsia" w:ascii="仿宋" w:hAnsi="仿宋" w:eastAsia="仿宋" w:cs="仿宋"/>
                <w:color w:val="auto"/>
                <w:sz w:val="24"/>
                <w:szCs w:val="24"/>
              </w:rPr>
              <w:t>通过本课程的学习，学生具备如下知识、能力及情感态度价值观：</w:t>
            </w:r>
          </w:p>
          <w:p w14:paraId="54C2C5BD">
            <w:pPr>
              <w:pStyle w:val="19"/>
              <w:keepNext w:val="0"/>
              <w:keepLines w:val="0"/>
              <w:pageBreakBefore w:val="0"/>
              <w:kinsoku/>
              <w:wordWrap/>
              <w:overflowPunct/>
              <w:topLinePunct w:val="0"/>
              <w:autoSpaceDE/>
              <w:autoSpaceDN/>
              <w:bidi w:val="0"/>
              <w:snapToGrid w:val="0"/>
              <w:spacing w:before="0" w:beforeAutospacing="0" w:after="0" w:afterAutospacing="0" w:line="240" w:lineRule="atLeast"/>
              <w:ind w:right="0" w:rightChars="0"/>
              <w:contextualSpacing/>
              <w:jc w:val="both"/>
              <w:textAlignment w:val="auto"/>
              <w:outlineLvl w:val="9"/>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课程目标1:</w:t>
            </w:r>
            <w:r>
              <w:rPr>
                <w:rFonts w:hint="eastAsia" w:ascii="仿宋" w:hAnsi="仿宋" w:eastAsia="仿宋" w:cs="仿宋"/>
                <w:lang w:val="en-US" w:eastAsia="zh-CN"/>
              </w:rPr>
              <w:t>通过三个学期的主修专业的学习，根据学生自身所学专业为基础，不同组合模式为发展，从而达到作品多样化的呈现</w:t>
            </w:r>
            <w:r>
              <w:rPr>
                <w:rFonts w:hint="eastAsia" w:ascii="仿宋" w:hAnsi="仿宋" w:eastAsia="仿宋" w:cs="仿宋"/>
                <w:lang w:eastAsia="zh-CN"/>
              </w:rPr>
              <w:t>。</w:t>
            </w:r>
            <w:r>
              <w:rPr>
                <w:rFonts w:hint="eastAsia" w:ascii="仿宋" w:hAnsi="仿宋" w:eastAsia="仿宋" w:cs="仿宋"/>
                <w:lang w:val="en-US" w:eastAsia="zh-CN"/>
              </w:rPr>
              <w:t>在实践过程中，激发学生的创新精神，同时掌握基本的创新方法，具备良好的组织管理、人际交往和团队协作能力。</w:t>
            </w:r>
            <w:r>
              <w:rPr>
                <w:rFonts w:hint="eastAsia" w:ascii="仿宋" w:hAnsi="仿宋" w:eastAsia="仿宋" w:cs="仿宋"/>
                <w:lang w:eastAsia="zh-CN"/>
              </w:rPr>
              <w:t>（支撑毕业要求</w:t>
            </w:r>
            <w:r>
              <w:rPr>
                <w:rFonts w:hint="eastAsia" w:ascii="仿宋" w:hAnsi="仿宋" w:eastAsia="仿宋" w:cs="仿宋"/>
                <w:lang w:val="en-US" w:eastAsia="zh-CN"/>
              </w:rPr>
              <w:t>3.1</w:t>
            </w:r>
            <w:r>
              <w:rPr>
                <w:rFonts w:hint="eastAsia" w:ascii="仿宋" w:hAnsi="仿宋" w:eastAsia="仿宋" w:cs="仿宋"/>
                <w:lang w:eastAsia="zh-CN"/>
              </w:rPr>
              <w:t>）</w:t>
            </w:r>
          </w:p>
          <w:p w14:paraId="4296A60A">
            <w:pPr>
              <w:pStyle w:val="19"/>
              <w:keepNext w:val="0"/>
              <w:keepLines w:val="0"/>
              <w:pageBreakBefore w:val="0"/>
              <w:kinsoku/>
              <w:wordWrap/>
              <w:overflowPunct/>
              <w:topLinePunct w:val="0"/>
              <w:autoSpaceDE/>
              <w:autoSpaceDN/>
              <w:bidi w:val="0"/>
              <w:snapToGrid w:val="0"/>
              <w:spacing w:before="0" w:beforeAutospacing="0" w:after="0" w:afterAutospacing="0" w:line="240" w:lineRule="atLeast"/>
              <w:ind w:right="0" w:rightChars="0"/>
              <w:contextualSpacing/>
              <w:jc w:val="both"/>
              <w:textAlignment w:val="auto"/>
              <w:outlineLvl w:val="9"/>
              <w:rPr>
                <w:rFonts w:hint="eastAsia" w:ascii="仿宋" w:hAnsi="仿宋" w:eastAsia="仿宋" w:cs="仿宋"/>
                <w:lang w:val="en-US" w:eastAsia="zh-CN"/>
              </w:rPr>
            </w:pPr>
            <w:r>
              <w:rPr>
                <w:rFonts w:hint="eastAsia" w:ascii="仿宋" w:hAnsi="仿宋" w:eastAsia="仿宋" w:cs="仿宋"/>
                <w:lang w:val="en-US" w:eastAsia="zh-CN"/>
              </w:rPr>
              <w:t>课程目标2：掌握音乐表演与组织群文活动的基本理论知识，通过实践对艺术作品独特的见解。养成了解音乐艺术创作和理论的现状、前沿、应用前景与发展动态，具有较好的专业修养和独立思考能力。（支撑毕业要求7.1）</w:t>
            </w:r>
          </w:p>
          <w:p w14:paraId="72F30AFF">
            <w:pPr>
              <w:pStyle w:val="19"/>
              <w:keepNext w:val="0"/>
              <w:keepLines w:val="0"/>
              <w:pageBreakBefore w:val="0"/>
              <w:kinsoku/>
              <w:wordWrap/>
              <w:overflowPunct/>
              <w:topLinePunct w:val="0"/>
              <w:autoSpaceDE/>
              <w:autoSpaceDN/>
              <w:bidi w:val="0"/>
              <w:snapToGrid w:val="0"/>
              <w:spacing w:before="0" w:beforeAutospacing="0" w:after="0" w:afterAutospacing="0" w:line="240" w:lineRule="atLeast"/>
              <w:ind w:right="0" w:rightChars="0"/>
              <w:contextualSpacing/>
              <w:jc w:val="both"/>
              <w:textAlignment w:val="auto"/>
              <w:outlineLvl w:val="9"/>
              <w:rPr>
                <w:rFonts w:hint="eastAsia" w:ascii="仿宋" w:hAnsi="仿宋" w:eastAsia="仿宋" w:cs="仿宋"/>
                <w:color w:val="auto"/>
                <w:sz w:val="24"/>
                <w:szCs w:val="24"/>
                <w:lang w:eastAsia="zh-TW"/>
              </w:rPr>
            </w:pPr>
            <w:r>
              <w:rPr>
                <w:rFonts w:hint="eastAsia" w:ascii="仿宋" w:hAnsi="仿宋" w:eastAsia="仿宋" w:cs="仿宋"/>
                <w:lang w:val="en-US" w:eastAsia="zh-CN"/>
              </w:rPr>
              <w:t>课程目标3：在作品不断磨合过程中加强团队协作能力、沟通能力，并且在相互沟通中夯实学生对自身专业知识体系的架构，还能掌握其他专业的特点，同时提升了学生的音乐文化素养。（支撑毕业要求8.1、8.2）</w:t>
            </w:r>
          </w:p>
        </w:tc>
      </w:tr>
      <w:tr w14:paraId="53D2D6E6">
        <w:trPr>
          <w:trHeight w:val="642" w:hRule="atLeast"/>
        </w:trPr>
        <w:tc>
          <w:tcPr>
            <w:tcW w:w="1075" w:type="dxa"/>
            <w:vMerge w:val="continue"/>
            <w:shd w:val="clear" w:color="auto" w:fill="FFFFFF"/>
            <w:noWrap w:val="0"/>
            <w:vAlign w:val="center"/>
          </w:tcPr>
          <w:p w14:paraId="30FDFD34">
            <w:pPr>
              <w:adjustRightInd w:val="0"/>
              <w:snapToGrid w:val="0"/>
              <w:spacing w:line="240" w:lineRule="atLeast"/>
              <w:jc w:val="center"/>
              <w:rPr>
                <w:rFonts w:hint="eastAsia" w:ascii="仿宋" w:hAnsi="仿宋" w:eastAsia="仿宋" w:cs="仿宋"/>
                <w:color w:val="auto"/>
                <w:sz w:val="24"/>
                <w:szCs w:val="24"/>
              </w:rPr>
            </w:pPr>
          </w:p>
        </w:tc>
        <w:tc>
          <w:tcPr>
            <w:tcW w:w="1608" w:type="dxa"/>
            <w:gridSpan w:val="2"/>
            <w:tcBorders>
              <w:bottom w:val="single" w:color="auto" w:sz="4" w:space="0"/>
            </w:tcBorders>
            <w:shd w:val="clear" w:color="auto" w:fill="FFFFFF"/>
            <w:noWrap w:val="0"/>
            <w:vAlign w:val="center"/>
          </w:tcPr>
          <w:p w14:paraId="3739B766">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课程目标</w:t>
            </w:r>
          </w:p>
        </w:tc>
        <w:tc>
          <w:tcPr>
            <w:tcW w:w="4388" w:type="dxa"/>
            <w:gridSpan w:val="7"/>
            <w:tcBorders>
              <w:bottom w:val="single" w:color="auto" w:sz="4" w:space="0"/>
            </w:tcBorders>
            <w:shd w:val="clear" w:color="auto" w:fill="FFFFFF"/>
            <w:noWrap w:val="0"/>
            <w:vAlign w:val="center"/>
          </w:tcPr>
          <w:p w14:paraId="760F916C">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毕业要求分解指标点</w:t>
            </w:r>
          </w:p>
        </w:tc>
        <w:tc>
          <w:tcPr>
            <w:tcW w:w="2828" w:type="dxa"/>
            <w:gridSpan w:val="4"/>
            <w:tcBorders>
              <w:bottom w:val="single" w:color="auto" w:sz="4" w:space="0"/>
            </w:tcBorders>
            <w:shd w:val="clear" w:color="auto" w:fill="FFFFFF"/>
            <w:noWrap w:val="0"/>
            <w:vAlign w:val="center"/>
          </w:tcPr>
          <w:p w14:paraId="6EC8F098">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毕业要求</w:t>
            </w:r>
          </w:p>
        </w:tc>
      </w:tr>
      <w:tr w14:paraId="0DA85571">
        <w:trPr>
          <w:trHeight w:val="1222" w:hRule="atLeast"/>
        </w:trPr>
        <w:tc>
          <w:tcPr>
            <w:tcW w:w="1075" w:type="dxa"/>
            <w:vMerge w:val="continue"/>
            <w:shd w:val="clear" w:color="auto" w:fill="FFFFFF"/>
            <w:noWrap w:val="0"/>
            <w:vAlign w:val="center"/>
          </w:tcPr>
          <w:p w14:paraId="75A28D10">
            <w:pPr>
              <w:adjustRightInd w:val="0"/>
              <w:snapToGrid w:val="0"/>
              <w:spacing w:line="240" w:lineRule="atLeast"/>
              <w:jc w:val="center"/>
              <w:rPr>
                <w:rFonts w:hint="eastAsia" w:ascii="仿宋" w:hAnsi="仿宋" w:eastAsia="仿宋" w:cs="仿宋"/>
                <w:color w:val="auto"/>
                <w:sz w:val="24"/>
                <w:szCs w:val="24"/>
              </w:rPr>
            </w:pPr>
          </w:p>
        </w:tc>
        <w:tc>
          <w:tcPr>
            <w:tcW w:w="1608" w:type="dxa"/>
            <w:gridSpan w:val="2"/>
            <w:tcBorders>
              <w:bottom w:val="single" w:color="auto" w:sz="4" w:space="0"/>
            </w:tcBorders>
            <w:shd w:val="clear" w:color="auto" w:fill="FFFFFF"/>
            <w:noWrap w:val="0"/>
            <w:vAlign w:val="center"/>
          </w:tcPr>
          <w:p w14:paraId="6F0C53FD">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课程目标1</w:t>
            </w:r>
          </w:p>
        </w:tc>
        <w:tc>
          <w:tcPr>
            <w:tcW w:w="4388" w:type="dxa"/>
            <w:gridSpan w:val="7"/>
            <w:shd w:val="clear" w:color="auto" w:fill="FFFFFF"/>
            <w:noWrap w:val="0"/>
            <w:vAlign w:val="center"/>
          </w:tcPr>
          <w:p w14:paraId="5F86AED6">
            <w:pPr>
              <w:adjustRightInd w:val="0"/>
              <w:snapToGrid w:val="0"/>
              <w:spacing w:beforeLines="0" w:afterLines="0"/>
              <w:jc w:val="left"/>
              <w:rPr>
                <w:rStyle w:val="279"/>
                <w:rFonts w:hint="eastAsia" w:ascii="仿宋" w:hAnsi="仿宋" w:eastAsia="仿宋" w:cstheme="minorBidi"/>
                <w:color w:val="000000"/>
                <w:sz w:val="24"/>
                <w:szCs w:val="24"/>
              </w:rPr>
            </w:pPr>
            <w:r>
              <w:rPr>
                <w:rStyle w:val="279"/>
                <w:rFonts w:hint="eastAsia" w:ascii="仿宋" w:hAnsi="仿宋" w:eastAsia="仿宋" w:cstheme="minorBidi"/>
                <w:color w:val="000000"/>
                <w:sz w:val="24"/>
                <w:szCs w:val="24"/>
              </w:rPr>
              <w:t>3.1【专业技能】掌握音乐学科</w:t>
            </w:r>
            <w:r>
              <w:rPr>
                <w:rStyle w:val="279"/>
                <w:rFonts w:hint="eastAsia" w:ascii="仿宋" w:hAnsi="仿宋" w:eastAsia="仿宋" w:cstheme="minorBidi"/>
                <w:color w:val="000000"/>
                <w:sz w:val="24"/>
                <w:szCs w:val="24"/>
                <w:lang w:val="en-US"/>
              </w:rPr>
              <w:t>专业</w:t>
            </w:r>
            <w:r>
              <w:rPr>
                <w:rStyle w:val="279"/>
                <w:rFonts w:hint="eastAsia" w:ascii="仿宋" w:hAnsi="仿宋" w:eastAsia="仿宋" w:cstheme="minorBidi"/>
                <w:color w:val="000000"/>
                <w:sz w:val="24"/>
                <w:szCs w:val="24"/>
              </w:rPr>
              <w:t>基本功，掌握音乐学科基础知识、基本理论与思想方法，理解音乐学科的核心素养的内涵，形成</w:t>
            </w:r>
            <w:r>
              <w:rPr>
                <w:rStyle w:val="279"/>
                <w:rFonts w:hint="eastAsia" w:ascii="仿宋" w:hAnsi="仿宋" w:eastAsia="仿宋" w:cstheme="minorBidi"/>
                <w:color w:val="000000"/>
                <w:sz w:val="24"/>
                <w:szCs w:val="24"/>
                <w:lang w:val="en-US"/>
              </w:rPr>
              <w:t>完整的音乐学知识体系。</w:t>
            </w:r>
          </w:p>
        </w:tc>
        <w:tc>
          <w:tcPr>
            <w:tcW w:w="2828" w:type="dxa"/>
            <w:gridSpan w:val="4"/>
            <w:shd w:val="clear" w:color="auto" w:fill="FFFFFF"/>
            <w:noWrap w:val="0"/>
            <w:vAlign w:val="center"/>
          </w:tcPr>
          <w:p w14:paraId="36268A01">
            <w:pPr>
              <w:adjustRightInd w:val="0"/>
              <w:snapToGrid w:val="0"/>
              <w:spacing w:beforeLines="0" w:afterLines="0"/>
              <w:jc w:val="center"/>
              <w:rPr>
                <w:rFonts w:hint="eastAsia" w:ascii="仿宋" w:hAnsi="仿宋" w:eastAsia="仿宋" w:cs="仿宋"/>
                <w:color w:val="auto"/>
                <w:sz w:val="24"/>
                <w:szCs w:val="24"/>
              </w:rPr>
            </w:pPr>
            <w:r>
              <w:rPr>
                <w:rFonts w:hint="eastAsia" w:ascii="仿宋" w:hAnsi="仿宋" w:eastAsia="仿宋"/>
                <w:color w:val="auto"/>
                <w:sz w:val="24"/>
              </w:rPr>
              <w:t>学科素养（</w:t>
            </w:r>
            <w:r>
              <w:rPr>
                <w:rFonts w:hint="eastAsia" w:ascii="仿宋" w:hAnsi="仿宋" w:eastAsia="仿宋"/>
                <w:color w:val="auto"/>
                <w:sz w:val="24"/>
                <w:lang w:val="en-US" w:eastAsia="zh-CN"/>
              </w:rPr>
              <w:t>H</w:t>
            </w:r>
            <w:r>
              <w:rPr>
                <w:rFonts w:hint="eastAsia" w:ascii="仿宋" w:hAnsi="仿宋" w:eastAsia="仿宋"/>
                <w:color w:val="auto"/>
                <w:sz w:val="24"/>
              </w:rPr>
              <w:t>）</w:t>
            </w:r>
          </w:p>
        </w:tc>
      </w:tr>
      <w:tr w14:paraId="0A0B7A2B">
        <w:trPr>
          <w:trHeight w:val="817" w:hRule="atLeast"/>
        </w:trPr>
        <w:tc>
          <w:tcPr>
            <w:tcW w:w="1075" w:type="dxa"/>
            <w:vMerge w:val="continue"/>
            <w:shd w:val="clear" w:color="auto" w:fill="FFFFFF"/>
            <w:noWrap w:val="0"/>
            <w:vAlign w:val="center"/>
          </w:tcPr>
          <w:p w14:paraId="57E7F4A9">
            <w:pPr>
              <w:adjustRightInd w:val="0"/>
              <w:snapToGrid w:val="0"/>
              <w:spacing w:line="240" w:lineRule="atLeast"/>
              <w:jc w:val="center"/>
              <w:rPr>
                <w:rFonts w:hint="eastAsia" w:ascii="仿宋" w:hAnsi="仿宋" w:eastAsia="仿宋" w:cs="仿宋"/>
                <w:color w:val="auto"/>
                <w:sz w:val="24"/>
                <w:szCs w:val="24"/>
              </w:rPr>
            </w:pPr>
          </w:p>
        </w:tc>
        <w:tc>
          <w:tcPr>
            <w:tcW w:w="1608" w:type="dxa"/>
            <w:gridSpan w:val="2"/>
            <w:shd w:val="clear" w:color="auto" w:fill="FFFFFF"/>
            <w:noWrap w:val="0"/>
            <w:vAlign w:val="center"/>
          </w:tcPr>
          <w:p w14:paraId="62A91509">
            <w:pPr>
              <w:adjustRightInd w:val="0"/>
              <w:snapToGrid w:val="0"/>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课程目标</w:t>
            </w:r>
            <w:r>
              <w:rPr>
                <w:rFonts w:hint="eastAsia" w:ascii="仿宋" w:hAnsi="仿宋" w:eastAsia="仿宋" w:cs="仿宋"/>
                <w:color w:val="auto"/>
                <w:sz w:val="24"/>
                <w:szCs w:val="24"/>
                <w:lang w:val="en-US" w:eastAsia="zh-CN"/>
              </w:rPr>
              <w:t>2</w:t>
            </w:r>
          </w:p>
        </w:tc>
        <w:tc>
          <w:tcPr>
            <w:tcW w:w="4388" w:type="dxa"/>
            <w:gridSpan w:val="7"/>
            <w:shd w:val="clear" w:color="auto" w:fill="FFFFFF"/>
            <w:noWrap w:val="0"/>
            <w:vAlign w:val="center"/>
          </w:tcPr>
          <w:p w14:paraId="2656541F">
            <w:pPr>
              <w:adjustRightInd w:val="0"/>
              <w:snapToGrid w:val="0"/>
              <w:spacing w:beforeLines="0" w:afterLines="0"/>
              <w:jc w:val="left"/>
              <w:rPr>
                <w:rStyle w:val="279"/>
                <w:rFonts w:hint="eastAsia" w:ascii="仿宋" w:hAnsi="仿宋" w:eastAsia="仿宋" w:cstheme="minorBidi"/>
                <w:color w:val="000000"/>
                <w:sz w:val="24"/>
                <w:szCs w:val="24"/>
                <w:lang w:val="en-US" w:eastAsia="zh-CN"/>
              </w:rPr>
            </w:pPr>
            <w:r>
              <w:rPr>
                <w:rStyle w:val="279"/>
                <w:rFonts w:hint="eastAsia" w:ascii="仿宋" w:hAnsi="仿宋" w:eastAsia="仿宋" w:cstheme="minorBidi"/>
                <w:color w:val="000000"/>
                <w:sz w:val="24"/>
                <w:szCs w:val="24"/>
                <w:lang w:val="en-US" w:eastAsia="zh-CN"/>
              </w:rPr>
              <w:t>7.1【反思改进】具有反思意识和批判性思维，初步掌握教育教学反思的基本方法和策略，能够对相关学习、教育教学实践活动进行有效的自我诊断，提出改进思路。</w:t>
            </w:r>
          </w:p>
        </w:tc>
        <w:tc>
          <w:tcPr>
            <w:tcW w:w="2828" w:type="dxa"/>
            <w:gridSpan w:val="4"/>
            <w:shd w:val="clear" w:color="auto" w:fill="FFFFFF"/>
            <w:noWrap w:val="0"/>
            <w:vAlign w:val="center"/>
          </w:tcPr>
          <w:p w14:paraId="540CC1CE">
            <w:pPr>
              <w:adjustRightInd w:val="0"/>
              <w:snapToGrid w:val="0"/>
              <w:spacing w:beforeLines="0" w:afterLines="0"/>
              <w:jc w:val="center"/>
              <w:rPr>
                <w:rFonts w:hint="eastAsia" w:ascii="仿宋" w:hAnsi="仿宋" w:eastAsia="仿宋"/>
                <w:color w:val="auto"/>
                <w:kern w:val="2"/>
                <w:sz w:val="24"/>
                <w:szCs w:val="22"/>
                <w:lang w:val="en-US" w:eastAsia="zh-CN" w:bidi="ar-SA"/>
              </w:rPr>
            </w:pPr>
            <w:r>
              <w:rPr>
                <w:rFonts w:hint="eastAsia" w:ascii="仿宋" w:hAnsi="仿宋" w:eastAsia="仿宋"/>
                <w:color w:val="auto"/>
                <w:sz w:val="24"/>
              </w:rPr>
              <w:t>学会反思（</w:t>
            </w:r>
            <w:r>
              <w:rPr>
                <w:rFonts w:hint="eastAsia" w:ascii="仿宋" w:hAnsi="仿宋" w:eastAsia="仿宋"/>
                <w:color w:val="auto"/>
                <w:sz w:val="24"/>
                <w:lang w:val="en-US" w:eastAsia="zh-CN"/>
              </w:rPr>
              <w:t>M</w:t>
            </w:r>
            <w:r>
              <w:rPr>
                <w:rFonts w:hint="eastAsia" w:ascii="仿宋" w:hAnsi="仿宋" w:eastAsia="仿宋"/>
                <w:color w:val="auto"/>
                <w:sz w:val="24"/>
              </w:rPr>
              <w:t>）</w:t>
            </w:r>
          </w:p>
        </w:tc>
      </w:tr>
      <w:tr w14:paraId="7CFD8ED4">
        <w:trPr>
          <w:trHeight w:val="817" w:hRule="atLeast"/>
        </w:trPr>
        <w:tc>
          <w:tcPr>
            <w:tcW w:w="1075" w:type="dxa"/>
            <w:vMerge w:val="continue"/>
            <w:shd w:val="clear" w:color="auto" w:fill="FFFFFF"/>
            <w:noWrap w:val="0"/>
            <w:vAlign w:val="center"/>
          </w:tcPr>
          <w:p w14:paraId="1BA12334">
            <w:pPr>
              <w:adjustRightInd w:val="0"/>
              <w:snapToGrid w:val="0"/>
              <w:spacing w:line="240" w:lineRule="atLeast"/>
              <w:jc w:val="center"/>
              <w:rPr>
                <w:rFonts w:hint="eastAsia" w:ascii="仿宋" w:hAnsi="仿宋" w:eastAsia="仿宋" w:cs="仿宋"/>
                <w:color w:val="auto"/>
                <w:sz w:val="24"/>
                <w:szCs w:val="24"/>
              </w:rPr>
            </w:pPr>
          </w:p>
        </w:tc>
        <w:tc>
          <w:tcPr>
            <w:tcW w:w="1608" w:type="dxa"/>
            <w:gridSpan w:val="2"/>
            <w:shd w:val="clear" w:color="auto" w:fill="FFFFFF"/>
            <w:noWrap w:val="0"/>
            <w:vAlign w:val="center"/>
          </w:tcPr>
          <w:p w14:paraId="191CBD17">
            <w:pPr>
              <w:adjustRightInd w:val="0"/>
              <w:snapToGrid w:val="0"/>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课程目标</w:t>
            </w:r>
            <w:r>
              <w:rPr>
                <w:rFonts w:hint="eastAsia" w:ascii="仿宋" w:hAnsi="仿宋" w:eastAsia="仿宋" w:cs="仿宋"/>
                <w:color w:val="auto"/>
                <w:sz w:val="24"/>
                <w:szCs w:val="24"/>
                <w:lang w:val="en-US" w:eastAsia="zh-CN"/>
              </w:rPr>
              <w:t>3</w:t>
            </w:r>
          </w:p>
        </w:tc>
        <w:tc>
          <w:tcPr>
            <w:tcW w:w="4388" w:type="dxa"/>
            <w:gridSpan w:val="7"/>
            <w:shd w:val="clear" w:color="auto" w:fill="FFFFFF"/>
            <w:noWrap w:val="0"/>
            <w:vAlign w:val="center"/>
          </w:tcPr>
          <w:p w14:paraId="74CF26BD">
            <w:pPr>
              <w:adjustRightInd w:val="0"/>
              <w:snapToGrid w:val="0"/>
              <w:spacing w:beforeLines="0" w:afterLines="0"/>
              <w:jc w:val="left"/>
              <w:rPr>
                <w:rStyle w:val="279"/>
                <w:rFonts w:hint="eastAsia" w:ascii="仿宋" w:hAnsi="仿宋" w:eastAsia="仿宋" w:cstheme="minorBidi"/>
                <w:color w:val="000000"/>
                <w:sz w:val="24"/>
                <w:szCs w:val="24"/>
                <w:lang w:val="en-US" w:eastAsia="zh-CN"/>
              </w:rPr>
            </w:pPr>
            <w:r>
              <w:rPr>
                <w:rStyle w:val="279"/>
                <w:rFonts w:hint="eastAsia" w:ascii="仿宋" w:hAnsi="仿宋" w:eastAsia="仿宋" w:cstheme="minorBidi"/>
                <w:color w:val="000000"/>
                <w:sz w:val="24"/>
                <w:szCs w:val="24"/>
                <w:lang w:val="en-US" w:eastAsia="zh-CN"/>
              </w:rPr>
              <w:t>8.1【沟通交流】掌握人际交往和沟通的方式方法，能够在教育实践、社会实践中与同事、同行、专家等进行有效沟通交流。</w:t>
            </w:r>
          </w:p>
          <w:p w14:paraId="1B906F80">
            <w:pPr>
              <w:adjustRightInd w:val="0"/>
              <w:snapToGrid w:val="0"/>
              <w:spacing w:beforeLines="0" w:afterLines="0"/>
              <w:jc w:val="left"/>
              <w:rPr>
                <w:rFonts w:hint="eastAsia"/>
              </w:rPr>
            </w:pPr>
            <w:r>
              <w:rPr>
                <w:rStyle w:val="279"/>
                <w:rFonts w:hint="eastAsia" w:ascii="仿宋" w:hAnsi="仿宋" w:eastAsia="仿宋" w:cstheme="minorBidi"/>
                <w:color w:val="000000"/>
                <w:sz w:val="24"/>
                <w:szCs w:val="24"/>
                <w:lang w:val="en-US" w:eastAsia="zh-CN"/>
              </w:rPr>
              <w:t>8.2【团队协作】理解学习共同体的作用，掌握团队协作的基本策略，在教育实践、艺术实践等活动中，具有良好的团队协作精神。</w:t>
            </w:r>
          </w:p>
        </w:tc>
        <w:tc>
          <w:tcPr>
            <w:tcW w:w="2828" w:type="dxa"/>
            <w:gridSpan w:val="4"/>
            <w:shd w:val="clear" w:color="auto" w:fill="FFFFFF"/>
            <w:noWrap w:val="0"/>
            <w:vAlign w:val="center"/>
          </w:tcPr>
          <w:p w14:paraId="0C4885D8">
            <w:pPr>
              <w:adjustRightInd w:val="0"/>
              <w:snapToGrid w:val="0"/>
              <w:spacing w:beforeLines="0" w:afterLines="0"/>
              <w:jc w:val="center"/>
              <w:rPr>
                <w:rFonts w:hint="eastAsia" w:ascii="仿宋" w:hAnsi="仿宋" w:eastAsia="仿宋" w:cs="仿宋"/>
                <w:color w:val="auto"/>
                <w:sz w:val="24"/>
                <w:szCs w:val="24"/>
              </w:rPr>
            </w:pPr>
            <w:r>
              <w:rPr>
                <w:rFonts w:hint="eastAsia" w:ascii="仿宋" w:hAnsi="仿宋" w:eastAsia="仿宋"/>
                <w:color w:val="auto"/>
                <w:sz w:val="24"/>
                <w:lang w:val="en-US" w:eastAsia="zh-CN"/>
              </w:rPr>
              <w:t>沟通合作</w:t>
            </w:r>
            <w:r>
              <w:rPr>
                <w:rFonts w:hint="eastAsia" w:ascii="仿宋" w:hAnsi="仿宋" w:eastAsia="仿宋"/>
                <w:color w:val="auto"/>
                <w:sz w:val="24"/>
              </w:rPr>
              <w:t>（</w:t>
            </w:r>
            <w:r>
              <w:rPr>
                <w:rFonts w:hint="eastAsia" w:ascii="仿宋" w:hAnsi="仿宋" w:eastAsia="仿宋"/>
                <w:color w:val="auto"/>
                <w:sz w:val="24"/>
                <w:lang w:val="en-US" w:eastAsia="zh-CN"/>
              </w:rPr>
              <w:t>H</w:t>
            </w:r>
            <w:r>
              <w:rPr>
                <w:rFonts w:hint="eastAsia" w:ascii="仿宋" w:hAnsi="仿宋" w:eastAsia="仿宋"/>
                <w:color w:val="auto"/>
                <w:sz w:val="24"/>
              </w:rPr>
              <w:t>）</w:t>
            </w:r>
          </w:p>
        </w:tc>
      </w:tr>
      <w:tr w14:paraId="5CC794DF">
        <w:trPr>
          <w:trHeight w:val="582" w:hRule="atLeast"/>
        </w:trPr>
        <w:tc>
          <w:tcPr>
            <w:tcW w:w="1075" w:type="dxa"/>
            <w:vMerge w:val="restart"/>
            <w:shd w:val="clear" w:color="auto" w:fill="FFFFFF"/>
            <w:noWrap w:val="0"/>
            <w:vAlign w:val="center"/>
          </w:tcPr>
          <w:p w14:paraId="1ACA962B">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F</w:t>
            </w:r>
          </w:p>
          <w:p w14:paraId="72C9FA49">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理论学习内容</w:t>
            </w:r>
          </w:p>
        </w:tc>
        <w:tc>
          <w:tcPr>
            <w:tcW w:w="5996" w:type="dxa"/>
            <w:gridSpan w:val="9"/>
            <w:shd w:val="clear" w:color="auto" w:fill="FFFFFF"/>
            <w:noWrap w:val="0"/>
            <w:vAlign w:val="center"/>
          </w:tcPr>
          <w:p w14:paraId="7088325F">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章节学习内容与学习要求</w:t>
            </w:r>
          </w:p>
        </w:tc>
        <w:tc>
          <w:tcPr>
            <w:tcW w:w="1153" w:type="dxa"/>
            <w:gridSpan w:val="2"/>
            <w:shd w:val="clear" w:color="auto" w:fill="FFFFFF"/>
            <w:noWrap w:val="0"/>
            <w:vAlign w:val="center"/>
          </w:tcPr>
          <w:p w14:paraId="2A8B2ED2">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支撑课程</w:t>
            </w:r>
          </w:p>
          <w:p w14:paraId="509DCF3A">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目标</w:t>
            </w:r>
          </w:p>
        </w:tc>
        <w:tc>
          <w:tcPr>
            <w:tcW w:w="1675" w:type="dxa"/>
            <w:gridSpan w:val="2"/>
            <w:shd w:val="clear" w:color="auto" w:fill="FFFFFF"/>
            <w:noWrap w:val="0"/>
            <w:vAlign w:val="center"/>
          </w:tcPr>
          <w:p w14:paraId="17DC9DB9">
            <w:pPr>
              <w:adjustRightInd w:val="0"/>
              <w:snapToGrid w:val="0"/>
              <w:spacing w:line="240" w:lineRule="atLeast"/>
              <w:jc w:val="center"/>
              <w:textAlignment w:val="baseline"/>
              <w:rPr>
                <w:rFonts w:ascii="仿宋" w:hAnsi="仿宋" w:eastAsia="仿宋" w:cs="仿宋"/>
                <w:color w:val="auto"/>
                <w:kern w:val="0"/>
                <w:sz w:val="24"/>
                <w:szCs w:val="24"/>
              </w:rPr>
            </w:pPr>
            <w:r>
              <w:rPr>
                <w:rFonts w:hint="eastAsia" w:ascii="仿宋" w:hAnsi="仿宋" w:eastAsia="仿宋" w:cs="仿宋"/>
                <w:color w:val="auto"/>
                <w:kern w:val="0"/>
                <w:sz w:val="24"/>
                <w:szCs w:val="24"/>
              </w:rPr>
              <w:t>学时</w:t>
            </w:r>
          </w:p>
          <w:p w14:paraId="7BF30754">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分配</w:t>
            </w:r>
          </w:p>
        </w:tc>
      </w:tr>
      <w:tr w14:paraId="3FD5EE34">
        <w:trPr>
          <w:trHeight w:val="454" w:hRule="atLeast"/>
        </w:trPr>
        <w:tc>
          <w:tcPr>
            <w:tcW w:w="1075" w:type="dxa"/>
            <w:vMerge w:val="continue"/>
            <w:shd w:val="clear" w:color="auto" w:fill="FFFFFF"/>
            <w:noWrap w:val="0"/>
            <w:vAlign w:val="center"/>
          </w:tcPr>
          <w:p w14:paraId="6D3D6CFE">
            <w:pPr>
              <w:adjustRightInd w:val="0"/>
              <w:snapToGrid w:val="0"/>
              <w:spacing w:line="240" w:lineRule="atLeast"/>
              <w:jc w:val="right"/>
              <w:rPr>
                <w:rFonts w:hint="eastAsia" w:ascii="仿宋" w:hAnsi="仿宋" w:eastAsia="仿宋" w:cs="仿宋"/>
                <w:color w:val="auto"/>
                <w:sz w:val="24"/>
                <w:szCs w:val="24"/>
              </w:rPr>
            </w:pPr>
          </w:p>
        </w:tc>
        <w:tc>
          <w:tcPr>
            <w:tcW w:w="5996" w:type="dxa"/>
            <w:gridSpan w:val="9"/>
            <w:shd w:val="clear" w:color="auto" w:fill="auto"/>
            <w:noWrap w:val="0"/>
            <w:vAlign w:val="top"/>
          </w:tcPr>
          <w:p w14:paraId="2CC24B74">
            <w:pPr>
              <w:pStyle w:val="280"/>
              <w:spacing w:before="125" w:line="312" w:lineRule="auto"/>
              <w:ind w:right="23" w:rightChars="0"/>
              <w:rPr>
                <w:rFonts w:hint="eastAsia" w:ascii="仿宋" w:hAnsi="仿宋" w:eastAsia="仿宋" w:cs="仿宋"/>
                <w:bCs/>
                <w:color w:val="auto"/>
                <w:sz w:val="24"/>
                <w:szCs w:val="24"/>
                <w:lang w:val="en-US" w:eastAsia="zh-CN" w:bidi="ar-SA"/>
              </w:rPr>
            </w:pPr>
          </w:p>
        </w:tc>
        <w:tc>
          <w:tcPr>
            <w:tcW w:w="1153" w:type="dxa"/>
            <w:gridSpan w:val="2"/>
            <w:shd w:val="clear" w:color="auto" w:fill="auto"/>
            <w:noWrap w:val="0"/>
            <w:vAlign w:val="center"/>
          </w:tcPr>
          <w:p w14:paraId="5E9BC2D3">
            <w:pPr>
              <w:widowControl/>
              <w:adjustRightInd w:val="0"/>
              <w:snapToGrid w:val="0"/>
              <w:jc w:val="center"/>
              <w:rPr>
                <w:rFonts w:hint="eastAsia" w:ascii="仿宋" w:hAnsi="仿宋" w:eastAsia="仿宋" w:cs="仿宋"/>
                <w:bCs/>
                <w:color w:val="auto"/>
                <w:sz w:val="24"/>
                <w:szCs w:val="24"/>
              </w:rPr>
            </w:pPr>
          </w:p>
        </w:tc>
        <w:tc>
          <w:tcPr>
            <w:tcW w:w="1675" w:type="dxa"/>
            <w:gridSpan w:val="2"/>
            <w:shd w:val="clear" w:color="auto" w:fill="FFFFFF"/>
            <w:noWrap w:val="0"/>
            <w:vAlign w:val="center"/>
          </w:tcPr>
          <w:p w14:paraId="25882360">
            <w:pPr>
              <w:adjustRightInd w:val="0"/>
              <w:snapToGrid w:val="0"/>
              <w:jc w:val="center"/>
              <w:rPr>
                <w:rFonts w:hint="default" w:ascii="仿宋" w:hAnsi="仿宋" w:eastAsia="仿宋" w:cs="仿宋"/>
                <w:color w:val="auto"/>
                <w:sz w:val="24"/>
                <w:szCs w:val="24"/>
                <w:lang w:val="en-US" w:eastAsia="zh-CN"/>
              </w:rPr>
            </w:pPr>
          </w:p>
        </w:tc>
      </w:tr>
      <w:tr w14:paraId="2F6CC98C">
        <w:trPr>
          <w:trHeight w:val="638" w:hRule="atLeast"/>
        </w:trPr>
        <w:tc>
          <w:tcPr>
            <w:tcW w:w="1075" w:type="dxa"/>
            <w:vMerge w:val="continue"/>
            <w:shd w:val="clear" w:color="auto" w:fill="FFFFFF"/>
            <w:noWrap w:val="0"/>
            <w:vAlign w:val="center"/>
          </w:tcPr>
          <w:p w14:paraId="5BF97608">
            <w:pPr>
              <w:adjustRightInd w:val="0"/>
              <w:snapToGrid w:val="0"/>
              <w:spacing w:line="240" w:lineRule="atLeast"/>
              <w:jc w:val="right"/>
              <w:rPr>
                <w:rFonts w:hint="eastAsia" w:ascii="仿宋" w:hAnsi="仿宋" w:eastAsia="仿宋" w:cs="仿宋"/>
                <w:color w:val="auto"/>
                <w:sz w:val="24"/>
                <w:szCs w:val="24"/>
              </w:rPr>
            </w:pPr>
          </w:p>
        </w:tc>
        <w:tc>
          <w:tcPr>
            <w:tcW w:w="5996" w:type="dxa"/>
            <w:gridSpan w:val="9"/>
            <w:shd w:val="clear" w:color="auto" w:fill="auto"/>
            <w:noWrap w:val="0"/>
            <w:vAlign w:val="top"/>
          </w:tcPr>
          <w:p w14:paraId="2682E8CC">
            <w:pPr>
              <w:pStyle w:val="280"/>
              <w:spacing w:before="125" w:line="312" w:lineRule="auto"/>
              <w:ind w:right="23" w:rightChars="0"/>
              <w:rPr>
                <w:rFonts w:hint="eastAsia" w:ascii="仿宋" w:hAnsi="仿宋" w:eastAsia="仿宋" w:cs="仿宋"/>
                <w:bCs/>
                <w:color w:val="auto"/>
                <w:sz w:val="24"/>
                <w:szCs w:val="24"/>
                <w:lang w:val="en-US" w:eastAsia="zh-CN" w:bidi="ar-SA"/>
              </w:rPr>
            </w:pPr>
          </w:p>
        </w:tc>
        <w:tc>
          <w:tcPr>
            <w:tcW w:w="1153" w:type="dxa"/>
            <w:gridSpan w:val="2"/>
            <w:shd w:val="clear" w:color="auto" w:fill="auto"/>
            <w:noWrap w:val="0"/>
            <w:vAlign w:val="center"/>
          </w:tcPr>
          <w:p w14:paraId="32F02DFE">
            <w:pPr>
              <w:widowControl/>
              <w:adjustRightInd w:val="0"/>
              <w:snapToGrid w:val="0"/>
              <w:jc w:val="both"/>
              <w:rPr>
                <w:rFonts w:hint="eastAsia" w:ascii="仿宋" w:hAnsi="仿宋" w:eastAsia="仿宋" w:cs="仿宋"/>
                <w:bCs/>
                <w:color w:val="auto"/>
                <w:sz w:val="24"/>
                <w:szCs w:val="24"/>
              </w:rPr>
            </w:pPr>
          </w:p>
        </w:tc>
        <w:tc>
          <w:tcPr>
            <w:tcW w:w="1675" w:type="dxa"/>
            <w:gridSpan w:val="2"/>
            <w:shd w:val="clear" w:color="auto" w:fill="FFFFFF"/>
            <w:noWrap w:val="0"/>
            <w:vAlign w:val="center"/>
          </w:tcPr>
          <w:p w14:paraId="48FDD976">
            <w:pPr>
              <w:adjustRightInd w:val="0"/>
              <w:snapToGrid w:val="0"/>
              <w:jc w:val="center"/>
              <w:rPr>
                <w:rFonts w:hint="default" w:ascii="仿宋" w:hAnsi="仿宋" w:eastAsia="仿宋" w:cs="仿宋"/>
                <w:color w:val="auto"/>
                <w:sz w:val="24"/>
                <w:szCs w:val="24"/>
                <w:lang w:val="en-US" w:eastAsia="zh-CN"/>
              </w:rPr>
            </w:pPr>
          </w:p>
        </w:tc>
      </w:tr>
      <w:tr w14:paraId="3514ACF7">
        <w:trPr>
          <w:trHeight w:val="454" w:hRule="atLeast"/>
        </w:trPr>
        <w:tc>
          <w:tcPr>
            <w:tcW w:w="1075" w:type="dxa"/>
            <w:vMerge w:val="continue"/>
            <w:shd w:val="clear" w:color="auto" w:fill="FFFFFF"/>
            <w:noWrap w:val="0"/>
            <w:vAlign w:val="center"/>
          </w:tcPr>
          <w:p w14:paraId="34C4E9F7">
            <w:pPr>
              <w:adjustRightInd w:val="0"/>
              <w:snapToGrid w:val="0"/>
              <w:spacing w:line="240" w:lineRule="atLeast"/>
              <w:jc w:val="right"/>
              <w:rPr>
                <w:rFonts w:hint="eastAsia" w:ascii="仿宋" w:hAnsi="仿宋" w:eastAsia="仿宋" w:cs="仿宋"/>
                <w:color w:val="auto"/>
                <w:sz w:val="24"/>
                <w:szCs w:val="24"/>
              </w:rPr>
            </w:pPr>
          </w:p>
        </w:tc>
        <w:tc>
          <w:tcPr>
            <w:tcW w:w="5996" w:type="dxa"/>
            <w:gridSpan w:val="9"/>
            <w:shd w:val="clear" w:color="auto" w:fill="auto"/>
            <w:noWrap w:val="0"/>
            <w:vAlign w:val="top"/>
          </w:tcPr>
          <w:p w14:paraId="6A777C68">
            <w:pPr>
              <w:pStyle w:val="280"/>
              <w:spacing w:before="125" w:line="312" w:lineRule="auto"/>
              <w:ind w:right="23" w:rightChars="0"/>
              <w:rPr>
                <w:rFonts w:hint="eastAsia" w:ascii="仿宋" w:hAnsi="仿宋" w:eastAsia="仿宋" w:cs="仿宋"/>
                <w:bCs/>
                <w:color w:val="auto"/>
                <w:sz w:val="24"/>
                <w:szCs w:val="24"/>
                <w:lang w:val="en-US" w:eastAsia="zh-CN" w:bidi="ar-SA"/>
              </w:rPr>
            </w:pPr>
          </w:p>
        </w:tc>
        <w:tc>
          <w:tcPr>
            <w:tcW w:w="1153" w:type="dxa"/>
            <w:gridSpan w:val="2"/>
            <w:shd w:val="clear" w:color="auto" w:fill="auto"/>
            <w:noWrap w:val="0"/>
            <w:vAlign w:val="center"/>
          </w:tcPr>
          <w:p w14:paraId="01D77E70">
            <w:pPr>
              <w:widowControl/>
              <w:adjustRightInd w:val="0"/>
              <w:snapToGrid w:val="0"/>
              <w:jc w:val="center"/>
              <w:rPr>
                <w:rFonts w:hint="eastAsia" w:ascii="仿宋" w:hAnsi="仿宋" w:eastAsia="仿宋" w:cs="仿宋"/>
                <w:bCs/>
                <w:color w:val="auto"/>
                <w:sz w:val="24"/>
                <w:szCs w:val="24"/>
              </w:rPr>
            </w:pPr>
          </w:p>
        </w:tc>
        <w:tc>
          <w:tcPr>
            <w:tcW w:w="1675" w:type="dxa"/>
            <w:gridSpan w:val="2"/>
            <w:shd w:val="clear" w:color="auto" w:fill="FFFFFF"/>
            <w:noWrap w:val="0"/>
            <w:vAlign w:val="center"/>
          </w:tcPr>
          <w:p w14:paraId="15FDB773">
            <w:pPr>
              <w:adjustRightInd w:val="0"/>
              <w:snapToGrid w:val="0"/>
              <w:jc w:val="center"/>
              <w:rPr>
                <w:rFonts w:hint="default" w:ascii="仿宋" w:hAnsi="仿宋" w:eastAsia="仿宋" w:cs="仿宋"/>
                <w:color w:val="auto"/>
                <w:sz w:val="24"/>
                <w:szCs w:val="24"/>
                <w:lang w:val="en-US" w:eastAsia="zh-CN"/>
              </w:rPr>
            </w:pPr>
          </w:p>
        </w:tc>
      </w:tr>
      <w:tr w14:paraId="7BE2EC3D">
        <w:trPr>
          <w:trHeight w:val="454" w:hRule="atLeast"/>
        </w:trPr>
        <w:tc>
          <w:tcPr>
            <w:tcW w:w="1075" w:type="dxa"/>
            <w:vMerge w:val="continue"/>
            <w:shd w:val="clear" w:color="auto" w:fill="FFFFFF"/>
            <w:noWrap w:val="0"/>
            <w:vAlign w:val="center"/>
          </w:tcPr>
          <w:p w14:paraId="1AFCA205">
            <w:pPr>
              <w:adjustRightInd w:val="0"/>
              <w:snapToGrid w:val="0"/>
              <w:spacing w:line="240" w:lineRule="atLeast"/>
              <w:jc w:val="right"/>
              <w:rPr>
                <w:rFonts w:hint="eastAsia" w:ascii="仿宋" w:hAnsi="仿宋" w:eastAsia="仿宋" w:cs="仿宋"/>
                <w:color w:val="auto"/>
                <w:sz w:val="24"/>
                <w:szCs w:val="24"/>
              </w:rPr>
            </w:pPr>
          </w:p>
        </w:tc>
        <w:tc>
          <w:tcPr>
            <w:tcW w:w="5996" w:type="dxa"/>
            <w:gridSpan w:val="9"/>
            <w:shd w:val="clear" w:color="auto" w:fill="auto"/>
            <w:noWrap w:val="0"/>
            <w:vAlign w:val="top"/>
          </w:tcPr>
          <w:p w14:paraId="0B0B317B">
            <w:pPr>
              <w:pStyle w:val="280"/>
              <w:spacing w:before="125" w:line="312" w:lineRule="auto"/>
              <w:ind w:right="23" w:rightChars="0"/>
              <w:rPr>
                <w:rFonts w:hint="eastAsia" w:ascii="仿宋" w:hAnsi="仿宋" w:eastAsia="仿宋" w:cs="仿宋"/>
                <w:bCs/>
                <w:color w:val="auto"/>
                <w:sz w:val="24"/>
                <w:szCs w:val="24"/>
                <w:lang w:val="en-US" w:eastAsia="zh-CN" w:bidi="ar-SA"/>
              </w:rPr>
            </w:pPr>
          </w:p>
        </w:tc>
        <w:tc>
          <w:tcPr>
            <w:tcW w:w="1153" w:type="dxa"/>
            <w:gridSpan w:val="2"/>
            <w:shd w:val="clear" w:color="auto" w:fill="auto"/>
            <w:noWrap w:val="0"/>
            <w:vAlign w:val="center"/>
          </w:tcPr>
          <w:p w14:paraId="3A729492">
            <w:pPr>
              <w:widowControl/>
              <w:adjustRightInd w:val="0"/>
              <w:snapToGrid w:val="0"/>
              <w:jc w:val="center"/>
              <w:rPr>
                <w:rFonts w:hint="eastAsia" w:ascii="仿宋" w:hAnsi="仿宋" w:eastAsia="仿宋" w:cs="仿宋"/>
                <w:bCs/>
                <w:color w:val="auto"/>
                <w:sz w:val="24"/>
                <w:szCs w:val="24"/>
              </w:rPr>
            </w:pPr>
          </w:p>
        </w:tc>
        <w:tc>
          <w:tcPr>
            <w:tcW w:w="1675" w:type="dxa"/>
            <w:gridSpan w:val="2"/>
            <w:shd w:val="clear" w:color="auto" w:fill="FFFFFF"/>
            <w:noWrap w:val="0"/>
            <w:vAlign w:val="center"/>
          </w:tcPr>
          <w:p w14:paraId="64E16C06">
            <w:pPr>
              <w:adjustRightInd w:val="0"/>
              <w:snapToGrid w:val="0"/>
              <w:jc w:val="center"/>
              <w:rPr>
                <w:rFonts w:hint="default" w:ascii="仿宋" w:hAnsi="仿宋" w:eastAsia="仿宋" w:cs="仿宋"/>
                <w:color w:val="auto"/>
                <w:sz w:val="24"/>
                <w:szCs w:val="24"/>
                <w:lang w:val="en-US" w:eastAsia="zh-CN"/>
              </w:rPr>
            </w:pPr>
          </w:p>
        </w:tc>
      </w:tr>
      <w:tr w14:paraId="472EA1D8">
        <w:trPr>
          <w:trHeight w:val="454" w:hRule="atLeast"/>
        </w:trPr>
        <w:tc>
          <w:tcPr>
            <w:tcW w:w="1075" w:type="dxa"/>
            <w:vMerge w:val="continue"/>
            <w:shd w:val="clear" w:color="auto" w:fill="FFFFFF"/>
            <w:noWrap w:val="0"/>
            <w:vAlign w:val="center"/>
          </w:tcPr>
          <w:p w14:paraId="2DF64BD7">
            <w:pPr>
              <w:adjustRightInd w:val="0"/>
              <w:snapToGrid w:val="0"/>
              <w:spacing w:line="240" w:lineRule="atLeast"/>
              <w:jc w:val="right"/>
              <w:rPr>
                <w:rFonts w:hint="eastAsia" w:ascii="仿宋" w:hAnsi="仿宋" w:eastAsia="仿宋" w:cs="仿宋"/>
                <w:color w:val="auto"/>
                <w:sz w:val="24"/>
                <w:szCs w:val="24"/>
              </w:rPr>
            </w:pPr>
          </w:p>
        </w:tc>
        <w:tc>
          <w:tcPr>
            <w:tcW w:w="5996" w:type="dxa"/>
            <w:gridSpan w:val="9"/>
            <w:shd w:val="clear" w:color="auto" w:fill="auto"/>
            <w:noWrap w:val="0"/>
            <w:vAlign w:val="center"/>
          </w:tcPr>
          <w:p w14:paraId="7086E9D9">
            <w:pPr>
              <w:adjustRightInd w:val="0"/>
              <w:snapToGrid w:val="0"/>
              <w:rPr>
                <w:rFonts w:hint="eastAsia" w:ascii="华文仿宋" w:hAnsi="华文仿宋" w:eastAsia="华文仿宋" w:cs="华文仿宋"/>
                <w:bCs/>
                <w:color w:val="auto"/>
                <w:sz w:val="24"/>
                <w:szCs w:val="24"/>
              </w:rPr>
            </w:pPr>
          </w:p>
        </w:tc>
        <w:tc>
          <w:tcPr>
            <w:tcW w:w="1153" w:type="dxa"/>
            <w:gridSpan w:val="2"/>
            <w:shd w:val="clear" w:color="auto" w:fill="auto"/>
            <w:noWrap w:val="0"/>
            <w:vAlign w:val="center"/>
          </w:tcPr>
          <w:p w14:paraId="3D5E6EED">
            <w:pPr>
              <w:widowControl/>
              <w:adjustRightInd w:val="0"/>
              <w:snapToGrid w:val="0"/>
              <w:jc w:val="center"/>
              <w:rPr>
                <w:rFonts w:hint="eastAsia" w:ascii="仿宋" w:hAnsi="仿宋" w:eastAsia="仿宋" w:cs="仿宋"/>
                <w:bCs/>
                <w:color w:val="auto"/>
                <w:sz w:val="24"/>
                <w:szCs w:val="24"/>
              </w:rPr>
            </w:pPr>
          </w:p>
        </w:tc>
        <w:tc>
          <w:tcPr>
            <w:tcW w:w="1675" w:type="dxa"/>
            <w:gridSpan w:val="2"/>
            <w:shd w:val="clear" w:color="auto" w:fill="FFFFFF"/>
            <w:noWrap w:val="0"/>
            <w:vAlign w:val="center"/>
          </w:tcPr>
          <w:p w14:paraId="1ED38473">
            <w:pPr>
              <w:adjustRightInd w:val="0"/>
              <w:snapToGrid w:val="0"/>
              <w:jc w:val="center"/>
              <w:rPr>
                <w:rFonts w:hint="eastAsia" w:ascii="仿宋" w:hAnsi="仿宋" w:eastAsia="仿宋" w:cs="仿宋"/>
                <w:color w:val="auto"/>
                <w:sz w:val="24"/>
                <w:szCs w:val="24"/>
              </w:rPr>
            </w:pPr>
          </w:p>
        </w:tc>
      </w:tr>
      <w:tr w14:paraId="51FFD3E4">
        <w:trPr>
          <w:trHeight w:val="454" w:hRule="atLeast"/>
        </w:trPr>
        <w:tc>
          <w:tcPr>
            <w:tcW w:w="1075" w:type="dxa"/>
            <w:vMerge w:val="continue"/>
            <w:shd w:val="clear" w:color="auto" w:fill="FFFFFF"/>
            <w:noWrap w:val="0"/>
            <w:vAlign w:val="center"/>
          </w:tcPr>
          <w:p w14:paraId="035056F6">
            <w:pPr>
              <w:adjustRightInd w:val="0"/>
              <w:snapToGrid w:val="0"/>
              <w:spacing w:line="240" w:lineRule="atLeast"/>
              <w:jc w:val="center"/>
              <w:rPr>
                <w:rFonts w:hint="eastAsia" w:ascii="仿宋" w:hAnsi="仿宋" w:eastAsia="仿宋" w:cs="仿宋"/>
                <w:color w:val="auto"/>
                <w:sz w:val="24"/>
                <w:szCs w:val="24"/>
              </w:rPr>
            </w:pPr>
          </w:p>
        </w:tc>
        <w:tc>
          <w:tcPr>
            <w:tcW w:w="7149" w:type="dxa"/>
            <w:gridSpan w:val="11"/>
            <w:shd w:val="clear" w:color="auto" w:fill="auto"/>
            <w:noWrap w:val="0"/>
            <w:vAlign w:val="center"/>
          </w:tcPr>
          <w:p w14:paraId="4441D20B">
            <w:pPr>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合计</w:t>
            </w:r>
          </w:p>
        </w:tc>
        <w:tc>
          <w:tcPr>
            <w:tcW w:w="1675" w:type="dxa"/>
            <w:gridSpan w:val="2"/>
            <w:shd w:val="clear" w:color="auto" w:fill="FFFFFF"/>
            <w:noWrap w:val="0"/>
            <w:vAlign w:val="center"/>
          </w:tcPr>
          <w:p w14:paraId="723C409C">
            <w:pPr>
              <w:adjustRightInd w:val="0"/>
              <w:snapToGrid w:val="0"/>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1周</w:t>
            </w:r>
          </w:p>
        </w:tc>
      </w:tr>
      <w:tr w14:paraId="22959B5F">
        <w:trPr>
          <w:trHeight w:val="454" w:hRule="atLeast"/>
        </w:trPr>
        <w:tc>
          <w:tcPr>
            <w:tcW w:w="1075" w:type="dxa"/>
            <w:vMerge w:val="restart"/>
            <w:shd w:val="clear" w:color="auto" w:fill="FFFFFF"/>
            <w:noWrap w:val="0"/>
            <w:vAlign w:val="center"/>
          </w:tcPr>
          <w:p w14:paraId="55A7B126">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G</w:t>
            </w:r>
          </w:p>
          <w:p w14:paraId="3224C2D5">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实验（实训）内容</w:t>
            </w:r>
          </w:p>
        </w:tc>
        <w:tc>
          <w:tcPr>
            <w:tcW w:w="5996" w:type="dxa"/>
            <w:gridSpan w:val="9"/>
            <w:shd w:val="clear" w:color="auto" w:fill="auto"/>
            <w:noWrap w:val="0"/>
            <w:vAlign w:val="center"/>
          </w:tcPr>
          <w:p w14:paraId="12CE29C3">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项目名称、主要内容及开设要求</w:t>
            </w:r>
          </w:p>
        </w:tc>
        <w:tc>
          <w:tcPr>
            <w:tcW w:w="1153" w:type="dxa"/>
            <w:gridSpan w:val="2"/>
            <w:shd w:val="clear" w:color="auto" w:fill="auto"/>
            <w:noWrap w:val="0"/>
            <w:vAlign w:val="center"/>
          </w:tcPr>
          <w:p w14:paraId="1E541633">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支撑课程</w:t>
            </w:r>
          </w:p>
          <w:p w14:paraId="6CA05BF3">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目标</w:t>
            </w:r>
          </w:p>
        </w:tc>
        <w:tc>
          <w:tcPr>
            <w:tcW w:w="1675" w:type="dxa"/>
            <w:gridSpan w:val="2"/>
            <w:shd w:val="clear" w:color="auto" w:fill="FFFFFF"/>
            <w:noWrap w:val="0"/>
            <w:vAlign w:val="center"/>
          </w:tcPr>
          <w:p w14:paraId="3F3DB7BA">
            <w:pPr>
              <w:adjustRightInd w:val="0"/>
              <w:snapToGrid w:val="0"/>
              <w:jc w:val="center"/>
              <w:rPr>
                <w:rFonts w:ascii="仿宋" w:hAnsi="仿宋" w:eastAsia="仿宋" w:cs="仿宋"/>
                <w:color w:val="auto"/>
                <w:kern w:val="0"/>
                <w:sz w:val="24"/>
                <w:szCs w:val="24"/>
              </w:rPr>
            </w:pPr>
            <w:r>
              <w:rPr>
                <w:rFonts w:hint="eastAsia" w:ascii="仿宋" w:hAnsi="仿宋" w:eastAsia="仿宋" w:cs="仿宋"/>
                <w:color w:val="auto"/>
                <w:kern w:val="0"/>
                <w:sz w:val="24"/>
                <w:szCs w:val="24"/>
              </w:rPr>
              <w:t xml:space="preserve">学时 </w:t>
            </w:r>
          </w:p>
          <w:p w14:paraId="0295FC39">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kern w:val="0"/>
                <w:sz w:val="24"/>
                <w:szCs w:val="24"/>
              </w:rPr>
              <w:t>分配</w:t>
            </w:r>
          </w:p>
        </w:tc>
      </w:tr>
      <w:tr w14:paraId="036D0C29">
        <w:trPr>
          <w:trHeight w:val="454" w:hRule="atLeast"/>
        </w:trPr>
        <w:tc>
          <w:tcPr>
            <w:tcW w:w="1075" w:type="dxa"/>
            <w:vMerge w:val="continue"/>
            <w:shd w:val="clear" w:color="auto" w:fill="FFFFFF"/>
            <w:noWrap w:val="0"/>
            <w:vAlign w:val="center"/>
          </w:tcPr>
          <w:p w14:paraId="5C082ECA">
            <w:pPr>
              <w:adjustRightInd w:val="0"/>
              <w:snapToGrid w:val="0"/>
              <w:spacing w:line="240" w:lineRule="atLeast"/>
              <w:jc w:val="center"/>
              <w:rPr>
                <w:rFonts w:hint="eastAsia" w:ascii="仿宋" w:hAnsi="仿宋" w:eastAsia="仿宋" w:cs="仿宋"/>
                <w:color w:val="auto"/>
                <w:sz w:val="24"/>
                <w:szCs w:val="24"/>
              </w:rPr>
            </w:pPr>
          </w:p>
        </w:tc>
        <w:tc>
          <w:tcPr>
            <w:tcW w:w="5996" w:type="dxa"/>
            <w:gridSpan w:val="9"/>
            <w:shd w:val="clear" w:color="auto" w:fill="auto"/>
            <w:noWrap w:val="0"/>
            <w:vAlign w:val="top"/>
          </w:tcPr>
          <w:p w14:paraId="7A315AB7">
            <w:pPr>
              <w:pStyle w:val="280"/>
              <w:keepNext w:val="0"/>
              <w:keepLines w:val="0"/>
              <w:pageBreakBefore w:val="0"/>
              <w:widowControl w:val="0"/>
              <w:kinsoku/>
              <w:wordWrap/>
              <w:overflowPunct/>
              <w:topLinePunct w:val="0"/>
              <w:autoSpaceDE/>
              <w:autoSpaceDN/>
              <w:bidi w:val="0"/>
              <w:adjustRightInd/>
              <w:snapToGrid/>
              <w:spacing w:line="240" w:lineRule="auto"/>
              <w:ind w:right="23" w:rightChars="0"/>
              <w:textAlignment w:val="auto"/>
              <w:rPr>
                <w:rFonts w:hint="eastAsia" w:ascii="仿宋" w:hAnsi="仿宋" w:eastAsia="仿宋" w:cs="仿宋"/>
                <w:bCs/>
                <w:color w:val="auto"/>
                <w:sz w:val="24"/>
                <w:szCs w:val="24"/>
                <w:lang w:val="en-US" w:eastAsia="zh-CN" w:bidi="ar-SA"/>
              </w:rPr>
            </w:pPr>
            <w:r>
              <w:rPr>
                <w:rFonts w:hint="eastAsia" w:ascii="仿宋" w:hAnsi="仿宋" w:eastAsia="仿宋" w:cs="仿宋"/>
                <w:bCs/>
                <w:color w:val="auto"/>
                <w:sz w:val="24"/>
                <w:szCs w:val="24"/>
                <w:lang w:val="en-US" w:eastAsia="zh-CN" w:bidi="ar-SA"/>
              </w:rPr>
              <w:t>实践方向对艺术实践曲目（剧目）进行遴选</w:t>
            </w:r>
          </w:p>
          <w:p w14:paraId="6BF0FB5E">
            <w:pPr>
              <w:pStyle w:val="280"/>
              <w:keepNext w:val="0"/>
              <w:keepLines w:val="0"/>
              <w:pageBreakBefore w:val="0"/>
              <w:widowControl w:val="0"/>
              <w:kinsoku/>
              <w:wordWrap/>
              <w:overflowPunct/>
              <w:topLinePunct w:val="0"/>
              <w:autoSpaceDE/>
              <w:autoSpaceDN/>
              <w:bidi w:val="0"/>
              <w:adjustRightInd/>
              <w:snapToGrid/>
              <w:spacing w:line="240" w:lineRule="auto"/>
              <w:ind w:right="23" w:rightChars="0"/>
              <w:textAlignment w:val="auto"/>
              <w:rPr>
                <w:rFonts w:hint="default" w:ascii="仿宋" w:hAnsi="仿宋" w:eastAsia="仿宋" w:cs="仿宋"/>
                <w:bCs/>
                <w:color w:val="auto"/>
                <w:sz w:val="24"/>
                <w:szCs w:val="24"/>
                <w:lang w:val="en-US" w:eastAsia="zh-CN" w:bidi="ar-SA"/>
              </w:rPr>
            </w:pPr>
            <w:r>
              <w:rPr>
                <w:rFonts w:hint="eastAsia" w:ascii="仿宋" w:hAnsi="仿宋" w:eastAsia="仿宋" w:cs="仿宋"/>
                <w:bCs/>
                <w:color w:val="auto"/>
                <w:sz w:val="24"/>
                <w:szCs w:val="24"/>
                <w:lang w:val="en-US" w:eastAsia="zh-CN" w:bidi="ar-SA"/>
              </w:rPr>
              <w:t>理论方向选择作品创作主题</w:t>
            </w:r>
          </w:p>
        </w:tc>
        <w:tc>
          <w:tcPr>
            <w:tcW w:w="1153" w:type="dxa"/>
            <w:gridSpan w:val="2"/>
            <w:shd w:val="clear" w:color="auto" w:fill="auto"/>
            <w:noWrap w:val="0"/>
            <w:vAlign w:val="center"/>
          </w:tcPr>
          <w:p w14:paraId="266755D2">
            <w:pPr>
              <w:widowControl/>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支撑课程目标1、2、3、4</w:t>
            </w:r>
          </w:p>
        </w:tc>
        <w:tc>
          <w:tcPr>
            <w:tcW w:w="1675" w:type="dxa"/>
            <w:gridSpan w:val="2"/>
            <w:shd w:val="clear" w:color="auto" w:fill="FFFFFF"/>
            <w:noWrap w:val="0"/>
            <w:vAlign w:val="center"/>
          </w:tcPr>
          <w:p w14:paraId="38E46BFA">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2天</w:t>
            </w:r>
          </w:p>
        </w:tc>
      </w:tr>
      <w:tr w14:paraId="47D24DC6">
        <w:trPr>
          <w:trHeight w:val="454" w:hRule="atLeast"/>
        </w:trPr>
        <w:tc>
          <w:tcPr>
            <w:tcW w:w="1075" w:type="dxa"/>
            <w:vMerge w:val="continue"/>
            <w:shd w:val="clear" w:color="auto" w:fill="FFFFFF"/>
            <w:noWrap w:val="0"/>
            <w:vAlign w:val="center"/>
          </w:tcPr>
          <w:p w14:paraId="1A493398">
            <w:pPr>
              <w:adjustRightInd w:val="0"/>
              <w:snapToGrid w:val="0"/>
              <w:spacing w:line="240" w:lineRule="atLeast"/>
              <w:jc w:val="center"/>
              <w:rPr>
                <w:rFonts w:hint="eastAsia" w:ascii="仿宋" w:hAnsi="仿宋" w:eastAsia="仿宋" w:cs="仿宋"/>
                <w:color w:val="auto"/>
                <w:sz w:val="24"/>
                <w:szCs w:val="24"/>
              </w:rPr>
            </w:pPr>
          </w:p>
        </w:tc>
        <w:tc>
          <w:tcPr>
            <w:tcW w:w="5996" w:type="dxa"/>
            <w:gridSpan w:val="9"/>
            <w:shd w:val="clear" w:color="auto" w:fill="auto"/>
            <w:noWrap w:val="0"/>
            <w:vAlign w:val="top"/>
          </w:tcPr>
          <w:p w14:paraId="2BE44604">
            <w:pPr>
              <w:pStyle w:val="280"/>
              <w:keepNext w:val="0"/>
              <w:keepLines w:val="0"/>
              <w:pageBreakBefore w:val="0"/>
              <w:widowControl w:val="0"/>
              <w:kinsoku/>
              <w:wordWrap/>
              <w:overflowPunct/>
              <w:topLinePunct w:val="0"/>
              <w:autoSpaceDE/>
              <w:autoSpaceDN/>
              <w:bidi w:val="0"/>
              <w:adjustRightInd/>
              <w:snapToGrid/>
              <w:spacing w:line="240" w:lineRule="auto"/>
              <w:ind w:right="23" w:rightChars="0"/>
              <w:textAlignment w:val="auto"/>
              <w:rPr>
                <w:rFonts w:hint="default" w:ascii="仿宋" w:hAnsi="仿宋" w:eastAsia="仿宋" w:cs="仿宋"/>
                <w:bCs/>
                <w:color w:val="auto"/>
                <w:sz w:val="24"/>
                <w:szCs w:val="24"/>
                <w:lang w:val="en-US" w:eastAsia="zh-CN" w:bidi="ar-SA"/>
              </w:rPr>
            </w:pPr>
            <w:r>
              <w:rPr>
                <w:rFonts w:hint="eastAsia" w:ascii="仿宋" w:hAnsi="仿宋" w:eastAsia="仿宋" w:cs="仿宋"/>
                <w:bCs/>
                <w:color w:val="auto"/>
                <w:sz w:val="24"/>
                <w:szCs w:val="24"/>
                <w:lang w:val="en-US" w:eastAsia="zh-CN" w:bidi="ar-SA"/>
              </w:rPr>
              <w:t>实践方向对艺术实践曲目（剧目）进行深入研究和细致调整，把握作品要求的风格特点，进行分段练习</w:t>
            </w:r>
          </w:p>
          <w:p w14:paraId="22B1D785">
            <w:pPr>
              <w:pStyle w:val="280"/>
              <w:keepNext w:val="0"/>
              <w:keepLines w:val="0"/>
              <w:pageBreakBefore w:val="0"/>
              <w:widowControl w:val="0"/>
              <w:kinsoku/>
              <w:wordWrap/>
              <w:overflowPunct/>
              <w:topLinePunct w:val="0"/>
              <w:autoSpaceDE/>
              <w:autoSpaceDN/>
              <w:bidi w:val="0"/>
              <w:adjustRightInd/>
              <w:snapToGrid/>
              <w:spacing w:line="240" w:lineRule="auto"/>
              <w:ind w:right="23" w:rightChars="0"/>
              <w:textAlignment w:val="auto"/>
              <w:rPr>
                <w:rFonts w:hint="eastAsia" w:ascii="仿宋" w:hAnsi="仿宋" w:eastAsia="仿宋" w:cs="仿宋"/>
                <w:bCs/>
                <w:color w:val="auto"/>
                <w:sz w:val="24"/>
                <w:szCs w:val="24"/>
              </w:rPr>
            </w:pPr>
            <w:r>
              <w:rPr>
                <w:rFonts w:hint="eastAsia" w:ascii="仿宋" w:hAnsi="仿宋" w:eastAsia="仿宋" w:cs="仿宋"/>
                <w:bCs/>
                <w:color w:val="auto"/>
                <w:sz w:val="24"/>
                <w:szCs w:val="24"/>
                <w:lang w:val="en-US" w:eastAsia="zh-CN" w:bidi="ar-SA"/>
              </w:rPr>
              <w:t>理论方向开始作品创作</w:t>
            </w:r>
          </w:p>
        </w:tc>
        <w:tc>
          <w:tcPr>
            <w:tcW w:w="1153" w:type="dxa"/>
            <w:gridSpan w:val="2"/>
            <w:shd w:val="clear" w:color="auto" w:fill="auto"/>
            <w:noWrap w:val="0"/>
            <w:vAlign w:val="center"/>
          </w:tcPr>
          <w:p w14:paraId="504E7502">
            <w:pPr>
              <w:widowControl/>
              <w:adjustRightInd w:val="0"/>
              <w:snapToGrid w:val="0"/>
              <w:jc w:val="both"/>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支撑课程目标1、2、3、4</w:t>
            </w:r>
          </w:p>
        </w:tc>
        <w:tc>
          <w:tcPr>
            <w:tcW w:w="1675" w:type="dxa"/>
            <w:gridSpan w:val="2"/>
            <w:shd w:val="clear" w:color="auto" w:fill="FFFFFF"/>
            <w:noWrap w:val="0"/>
            <w:vAlign w:val="center"/>
          </w:tcPr>
          <w:p w14:paraId="33522A49">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2天</w:t>
            </w:r>
          </w:p>
        </w:tc>
      </w:tr>
      <w:tr w14:paraId="06B4577A">
        <w:trPr>
          <w:trHeight w:val="454" w:hRule="atLeast"/>
        </w:trPr>
        <w:tc>
          <w:tcPr>
            <w:tcW w:w="1075" w:type="dxa"/>
            <w:vMerge w:val="continue"/>
            <w:shd w:val="clear" w:color="auto" w:fill="FFFFFF"/>
            <w:noWrap w:val="0"/>
            <w:vAlign w:val="center"/>
          </w:tcPr>
          <w:p w14:paraId="7437725C">
            <w:pPr>
              <w:adjustRightInd w:val="0"/>
              <w:snapToGrid w:val="0"/>
              <w:spacing w:line="240" w:lineRule="atLeast"/>
              <w:jc w:val="center"/>
              <w:rPr>
                <w:rFonts w:hint="eastAsia" w:ascii="仿宋" w:hAnsi="仿宋" w:eastAsia="仿宋" w:cs="仿宋"/>
                <w:color w:val="auto"/>
                <w:sz w:val="24"/>
                <w:szCs w:val="24"/>
              </w:rPr>
            </w:pPr>
          </w:p>
        </w:tc>
        <w:tc>
          <w:tcPr>
            <w:tcW w:w="5996" w:type="dxa"/>
            <w:gridSpan w:val="9"/>
            <w:shd w:val="clear" w:color="auto" w:fill="auto"/>
            <w:noWrap w:val="0"/>
            <w:vAlign w:val="top"/>
          </w:tcPr>
          <w:p w14:paraId="4DC216C7">
            <w:pPr>
              <w:pStyle w:val="280"/>
              <w:keepNext w:val="0"/>
              <w:keepLines w:val="0"/>
              <w:pageBreakBefore w:val="0"/>
              <w:widowControl w:val="0"/>
              <w:kinsoku/>
              <w:wordWrap/>
              <w:overflowPunct/>
              <w:topLinePunct w:val="0"/>
              <w:autoSpaceDE/>
              <w:autoSpaceDN/>
              <w:bidi w:val="0"/>
              <w:adjustRightInd/>
              <w:snapToGrid/>
              <w:spacing w:line="240" w:lineRule="auto"/>
              <w:ind w:right="23" w:rightChars="0"/>
              <w:textAlignment w:val="auto"/>
              <w:rPr>
                <w:rFonts w:hint="default" w:ascii="仿宋" w:hAnsi="仿宋" w:eastAsia="仿宋" w:cs="仿宋"/>
                <w:bCs/>
                <w:color w:val="auto"/>
                <w:sz w:val="24"/>
                <w:szCs w:val="24"/>
                <w:lang w:val="en-US" w:eastAsia="zh-CN" w:bidi="ar-SA"/>
              </w:rPr>
            </w:pPr>
            <w:r>
              <w:rPr>
                <w:rFonts w:hint="eastAsia" w:ascii="仿宋" w:hAnsi="仿宋" w:eastAsia="仿宋" w:cs="仿宋"/>
                <w:bCs/>
                <w:color w:val="auto"/>
                <w:sz w:val="24"/>
                <w:szCs w:val="24"/>
                <w:lang w:val="en-US" w:eastAsia="zh-CN" w:bidi="ar-SA"/>
              </w:rPr>
              <w:t>精细打磨曲目、作品，学习音乐会筹备的相关知识，以及合伴奏</w:t>
            </w:r>
          </w:p>
        </w:tc>
        <w:tc>
          <w:tcPr>
            <w:tcW w:w="1153" w:type="dxa"/>
            <w:gridSpan w:val="2"/>
            <w:shd w:val="clear" w:color="auto" w:fill="auto"/>
            <w:noWrap w:val="0"/>
            <w:vAlign w:val="center"/>
          </w:tcPr>
          <w:p w14:paraId="1BEED560">
            <w:pPr>
              <w:widowControl/>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支撑课程目标1、2、3、4</w:t>
            </w:r>
          </w:p>
        </w:tc>
        <w:tc>
          <w:tcPr>
            <w:tcW w:w="1675" w:type="dxa"/>
            <w:gridSpan w:val="2"/>
            <w:shd w:val="clear" w:color="auto" w:fill="FFFFFF"/>
            <w:noWrap w:val="0"/>
            <w:vAlign w:val="center"/>
          </w:tcPr>
          <w:p w14:paraId="51306015">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2天</w:t>
            </w:r>
          </w:p>
        </w:tc>
      </w:tr>
      <w:tr w14:paraId="1FDBAFF4">
        <w:trPr>
          <w:trHeight w:val="454" w:hRule="atLeast"/>
        </w:trPr>
        <w:tc>
          <w:tcPr>
            <w:tcW w:w="1075" w:type="dxa"/>
            <w:vMerge w:val="continue"/>
            <w:shd w:val="clear" w:color="auto" w:fill="FFFFFF"/>
            <w:noWrap w:val="0"/>
            <w:vAlign w:val="center"/>
          </w:tcPr>
          <w:p w14:paraId="3A6892D3">
            <w:pPr>
              <w:adjustRightInd w:val="0"/>
              <w:snapToGrid w:val="0"/>
              <w:spacing w:line="240" w:lineRule="atLeast"/>
              <w:jc w:val="center"/>
              <w:rPr>
                <w:rFonts w:hint="eastAsia" w:ascii="仿宋" w:hAnsi="仿宋" w:eastAsia="仿宋" w:cs="仿宋"/>
                <w:color w:val="auto"/>
                <w:sz w:val="24"/>
                <w:szCs w:val="24"/>
              </w:rPr>
            </w:pPr>
          </w:p>
        </w:tc>
        <w:tc>
          <w:tcPr>
            <w:tcW w:w="5996" w:type="dxa"/>
            <w:gridSpan w:val="9"/>
            <w:shd w:val="clear" w:color="auto" w:fill="auto"/>
            <w:noWrap w:val="0"/>
            <w:vAlign w:val="top"/>
          </w:tcPr>
          <w:p w14:paraId="45760C43">
            <w:pPr>
              <w:pStyle w:val="280"/>
              <w:keepNext w:val="0"/>
              <w:keepLines w:val="0"/>
              <w:pageBreakBefore w:val="0"/>
              <w:widowControl w:val="0"/>
              <w:kinsoku/>
              <w:wordWrap/>
              <w:overflowPunct/>
              <w:topLinePunct w:val="0"/>
              <w:autoSpaceDE/>
              <w:autoSpaceDN/>
              <w:bidi w:val="0"/>
              <w:adjustRightInd/>
              <w:snapToGrid/>
              <w:spacing w:line="240" w:lineRule="auto"/>
              <w:ind w:right="23" w:rightChars="0"/>
              <w:textAlignment w:val="auto"/>
              <w:rPr>
                <w:rFonts w:hint="default" w:ascii="仿宋" w:hAnsi="仿宋" w:eastAsia="仿宋" w:cs="仿宋"/>
                <w:bCs/>
                <w:color w:val="auto"/>
                <w:sz w:val="24"/>
                <w:szCs w:val="24"/>
                <w:lang w:val="en-US" w:eastAsia="zh-CN" w:bidi="ar-SA"/>
              </w:rPr>
            </w:pPr>
            <w:r>
              <w:rPr>
                <w:rFonts w:hint="eastAsia" w:ascii="仿宋" w:hAnsi="仿宋" w:eastAsia="仿宋" w:cs="仿宋"/>
                <w:bCs/>
                <w:color w:val="auto"/>
                <w:sz w:val="24"/>
                <w:szCs w:val="24"/>
                <w:lang w:val="en-US" w:eastAsia="zh-CN" w:bidi="ar-SA"/>
              </w:rPr>
              <w:t>音乐会、作品集、专场的合成，把握表演效果</w:t>
            </w:r>
          </w:p>
        </w:tc>
        <w:tc>
          <w:tcPr>
            <w:tcW w:w="1153" w:type="dxa"/>
            <w:gridSpan w:val="2"/>
            <w:shd w:val="clear" w:color="auto" w:fill="auto"/>
            <w:noWrap w:val="0"/>
            <w:vAlign w:val="center"/>
          </w:tcPr>
          <w:p w14:paraId="35A65C10">
            <w:pPr>
              <w:widowControl/>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支撑课程目标1、2、3、4</w:t>
            </w:r>
          </w:p>
        </w:tc>
        <w:tc>
          <w:tcPr>
            <w:tcW w:w="1675" w:type="dxa"/>
            <w:gridSpan w:val="2"/>
            <w:shd w:val="clear" w:color="auto" w:fill="FFFFFF"/>
            <w:noWrap w:val="0"/>
            <w:vAlign w:val="center"/>
          </w:tcPr>
          <w:p w14:paraId="65D0546C">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1天</w:t>
            </w:r>
          </w:p>
        </w:tc>
      </w:tr>
      <w:tr w14:paraId="5BB38CCC">
        <w:trPr>
          <w:trHeight w:val="454" w:hRule="atLeast"/>
        </w:trPr>
        <w:tc>
          <w:tcPr>
            <w:tcW w:w="1075" w:type="dxa"/>
            <w:vMerge w:val="continue"/>
            <w:shd w:val="clear" w:color="auto" w:fill="FFFFFF"/>
            <w:noWrap w:val="0"/>
            <w:vAlign w:val="center"/>
          </w:tcPr>
          <w:p w14:paraId="53671A59">
            <w:pPr>
              <w:adjustRightInd w:val="0"/>
              <w:snapToGrid w:val="0"/>
              <w:spacing w:line="240" w:lineRule="atLeast"/>
              <w:jc w:val="center"/>
              <w:rPr>
                <w:rFonts w:hint="eastAsia" w:ascii="仿宋" w:hAnsi="仿宋" w:eastAsia="仿宋" w:cs="仿宋"/>
                <w:color w:val="auto"/>
                <w:sz w:val="24"/>
                <w:szCs w:val="24"/>
              </w:rPr>
            </w:pPr>
          </w:p>
        </w:tc>
        <w:tc>
          <w:tcPr>
            <w:tcW w:w="7149" w:type="dxa"/>
            <w:gridSpan w:val="11"/>
            <w:shd w:val="clear" w:color="auto" w:fill="auto"/>
            <w:noWrap w:val="0"/>
            <w:vAlign w:val="center"/>
          </w:tcPr>
          <w:p w14:paraId="615278C6">
            <w:pPr>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合计</w:t>
            </w:r>
          </w:p>
        </w:tc>
        <w:tc>
          <w:tcPr>
            <w:tcW w:w="1675" w:type="dxa"/>
            <w:gridSpan w:val="2"/>
            <w:shd w:val="clear" w:color="auto" w:fill="FFFFFF"/>
            <w:noWrap w:val="0"/>
            <w:vAlign w:val="center"/>
          </w:tcPr>
          <w:p w14:paraId="52C625AA">
            <w:pPr>
              <w:adjustRightInd w:val="0"/>
              <w:snapToGrid w:val="0"/>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1周</w:t>
            </w:r>
          </w:p>
        </w:tc>
      </w:tr>
      <w:tr w14:paraId="5BEEA564">
        <w:trPr>
          <w:trHeight w:val="495" w:hRule="atLeast"/>
        </w:trPr>
        <w:tc>
          <w:tcPr>
            <w:tcW w:w="1075" w:type="dxa"/>
            <w:vMerge w:val="restart"/>
            <w:shd w:val="clear" w:color="auto" w:fill="FFFFFF"/>
            <w:noWrap w:val="0"/>
            <w:vAlign w:val="center"/>
          </w:tcPr>
          <w:p w14:paraId="0F62BF8E">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H</w:t>
            </w:r>
          </w:p>
          <w:p w14:paraId="791DA263">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实践内容（含教育实习、见习、研习，专业实习、毕业论文或毕业设计等）</w:t>
            </w:r>
          </w:p>
        </w:tc>
        <w:tc>
          <w:tcPr>
            <w:tcW w:w="5996" w:type="dxa"/>
            <w:gridSpan w:val="9"/>
            <w:noWrap w:val="0"/>
            <w:vAlign w:val="center"/>
          </w:tcPr>
          <w:p w14:paraId="654C33D6">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sz w:val="24"/>
                <w:szCs w:val="24"/>
              </w:rPr>
              <w:t>实践主要内容和要求</w:t>
            </w:r>
          </w:p>
        </w:tc>
        <w:tc>
          <w:tcPr>
            <w:tcW w:w="1153" w:type="dxa"/>
            <w:gridSpan w:val="2"/>
            <w:noWrap w:val="0"/>
            <w:vAlign w:val="center"/>
          </w:tcPr>
          <w:p w14:paraId="724F4A98">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支撑课程</w:t>
            </w:r>
          </w:p>
          <w:p w14:paraId="3141FC0D">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目标</w:t>
            </w:r>
          </w:p>
        </w:tc>
        <w:tc>
          <w:tcPr>
            <w:tcW w:w="1675" w:type="dxa"/>
            <w:gridSpan w:val="2"/>
            <w:noWrap w:val="0"/>
            <w:vAlign w:val="center"/>
          </w:tcPr>
          <w:p w14:paraId="2338784E">
            <w:pPr>
              <w:adjustRightInd w:val="0"/>
              <w:snapToGrid w:val="0"/>
              <w:jc w:val="center"/>
              <w:rPr>
                <w:rFonts w:ascii="仿宋" w:hAnsi="仿宋" w:eastAsia="仿宋" w:cs="仿宋"/>
                <w:color w:val="auto"/>
                <w:kern w:val="0"/>
                <w:sz w:val="24"/>
                <w:szCs w:val="24"/>
              </w:rPr>
            </w:pPr>
            <w:r>
              <w:rPr>
                <w:rFonts w:hint="eastAsia" w:ascii="仿宋" w:hAnsi="仿宋" w:eastAsia="仿宋" w:cs="仿宋"/>
                <w:color w:val="auto"/>
                <w:kern w:val="0"/>
                <w:sz w:val="24"/>
                <w:szCs w:val="24"/>
              </w:rPr>
              <w:t>时长</w:t>
            </w:r>
          </w:p>
          <w:p w14:paraId="5007CBF3">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kern w:val="0"/>
                <w:sz w:val="24"/>
                <w:szCs w:val="24"/>
              </w:rPr>
              <w:t>分配</w:t>
            </w:r>
          </w:p>
        </w:tc>
      </w:tr>
      <w:tr w14:paraId="47D84508">
        <w:trPr>
          <w:trHeight w:val="90" w:hRule="atLeast"/>
        </w:trPr>
        <w:tc>
          <w:tcPr>
            <w:tcW w:w="1075" w:type="dxa"/>
            <w:vMerge w:val="continue"/>
            <w:shd w:val="clear" w:color="auto" w:fill="FFFFFF"/>
            <w:noWrap w:val="0"/>
            <w:vAlign w:val="center"/>
          </w:tcPr>
          <w:p w14:paraId="24ECB022">
            <w:pPr>
              <w:adjustRightInd w:val="0"/>
              <w:snapToGrid w:val="0"/>
              <w:spacing w:line="240" w:lineRule="atLeast"/>
              <w:jc w:val="center"/>
              <w:rPr>
                <w:rFonts w:hint="eastAsia" w:ascii="仿宋" w:hAnsi="仿宋" w:eastAsia="仿宋" w:cs="仿宋"/>
                <w:color w:val="auto"/>
                <w:sz w:val="24"/>
                <w:szCs w:val="24"/>
              </w:rPr>
            </w:pPr>
          </w:p>
        </w:tc>
        <w:tc>
          <w:tcPr>
            <w:tcW w:w="5996" w:type="dxa"/>
            <w:gridSpan w:val="9"/>
            <w:noWrap w:val="0"/>
            <w:vAlign w:val="top"/>
          </w:tcPr>
          <w:p w14:paraId="0874D347">
            <w:pPr>
              <w:widowControl/>
              <w:autoSpaceDE w:val="0"/>
              <w:autoSpaceDN w:val="0"/>
              <w:adjustRightInd w:val="0"/>
              <w:snapToGrid w:val="0"/>
              <w:jc w:val="left"/>
              <w:textAlignment w:val="bottom"/>
              <w:rPr>
                <w:rFonts w:hint="eastAsia" w:ascii="仿宋" w:hAnsi="仿宋" w:eastAsia="仿宋" w:cs="仿宋"/>
                <w:color w:val="auto"/>
                <w:sz w:val="24"/>
                <w:szCs w:val="24"/>
              </w:rPr>
            </w:pPr>
          </w:p>
        </w:tc>
        <w:tc>
          <w:tcPr>
            <w:tcW w:w="1153" w:type="dxa"/>
            <w:gridSpan w:val="2"/>
            <w:noWrap w:val="0"/>
            <w:vAlign w:val="top"/>
          </w:tcPr>
          <w:p w14:paraId="2EF4D078">
            <w:pPr>
              <w:adjustRightInd w:val="0"/>
              <w:snapToGrid w:val="0"/>
              <w:jc w:val="left"/>
              <w:rPr>
                <w:rFonts w:hint="eastAsia" w:ascii="仿宋" w:hAnsi="仿宋" w:eastAsia="仿宋" w:cs="仿宋"/>
                <w:color w:val="auto"/>
                <w:sz w:val="24"/>
                <w:szCs w:val="24"/>
              </w:rPr>
            </w:pPr>
          </w:p>
        </w:tc>
        <w:tc>
          <w:tcPr>
            <w:tcW w:w="1675" w:type="dxa"/>
            <w:gridSpan w:val="2"/>
            <w:noWrap w:val="0"/>
            <w:vAlign w:val="top"/>
          </w:tcPr>
          <w:p w14:paraId="3ECC3070">
            <w:pPr>
              <w:adjustRightInd w:val="0"/>
              <w:snapToGrid w:val="0"/>
              <w:jc w:val="left"/>
              <w:rPr>
                <w:rFonts w:hint="eastAsia" w:ascii="仿宋" w:hAnsi="仿宋" w:eastAsia="仿宋" w:cs="仿宋"/>
                <w:color w:val="auto"/>
                <w:sz w:val="24"/>
                <w:szCs w:val="24"/>
              </w:rPr>
            </w:pPr>
          </w:p>
        </w:tc>
      </w:tr>
      <w:tr w14:paraId="73B89D0F">
        <w:trPr>
          <w:trHeight w:val="921" w:hRule="atLeast"/>
        </w:trPr>
        <w:tc>
          <w:tcPr>
            <w:tcW w:w="1075" w:type="dxa"/>
            <w:noWrap w:val="0"/>
            <w:vAlign w:val="center"/>
          </w:tcPr>
          <w:p w14:paraId="1B3EC66C">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I</w:t>
            </w:r>
          </w:p>
          <w:p w14:paraId="1E216997">
            <w:pPr>
              <w:adjustRightInd w:val="0"/>
              <w:snapToGrid w:val="0"/>
              <w:spacing w:line="240" w:lineRule="atLeast"/>
              <w:jc w:val="center"/>
              <w:rPr>
                <w:rFonts w:hint="eastAsia" w:ascii="仿宋" w:hAnsi="仿宋" w:eastAsia="仿宋" w:cs="仿宋"/>
                <w:color w:val="auto"/>
                <w:sz w:val="24"/>
                <w:szCs w:val="24"/>
                <w:lang w:eastAsia="zh-TW"/>
              </w:rPr>
            </w:pPr>
            <w:r>
              <w:rPr>
                <w:rFonts w:hint="eastAsia" w:ascii="仿宋" w:hAnsi="仿宋" w:eastAsia="仿宋" w:cs="仿宋"/>
                <w:color w:val="auto"/>
                <w:sz w:val="24"/>
                <w:szCs w:val="24"/>
              </w:rPr>
              <w:t>教学方法与教学方式</w:t>
            </w:r>
          </w:p>
        </w:tc>
        <w:tc>
          <w:tcPr>
            <w:tcW w:w="8824" w:type="dxa"/>
            <w:gridSpan w:val="13"/>
            <w:tcBorders>
              <w:bottom w:val="single" w:color="auto" w:sz="4" w:space="0"/>
            </w:tcBorders>
            <w:noWrap w:val="0"/>
            <w:vAlign w:val="center"/>
          </w:tcPr>
          <w:p w14:paraId="62A45D78">
            <w:pPr>
              <w:numPr>
                <w:ilvl w:val="0"/>
                <w:numId w:val="15"/>
              </w:numPr>
              <w:adjustRightInd w:val="0"/>
              <w:snapToGrid w:val="0"/>
              <w:rPr>
                <w:rFonts w:hint="eastAsia" w:ascii="仿宋" w:hAnsi="仿宋" w:eastAsia="仿宋" w:cs="仿宋"/>
                <w:color w:val="auto"/>
                <w:sz w:val="24"/>
                <w:szCs w:val="24"/>
              </w:rPr>
            </w:pPr>
            <w:r>
              <w:rPr>
                <w:rFonts w:hint="eastAsia" w:ascii="仿宋" w:hAnsi="仿宋" w:eastAsia="仿宋" w:cs="仿宋"/>
                <w:color w:val="auto"/>
                <w:sz w:val="24"/>
                <w:szCs w:val="24"/>
              </w:rPr>
              <w:t>理论课全部采用多媒体教学，应用自编或改编的多媒体课件，改善理论课的枯燥和沉闷，吸引学生的注意力，加强授课效果。</w:t>
            </w:r>
          </w:p>
          <w:p w14:paraId="4C478649">
            <w:pPr>
              <w:numPr>
                <w:ilvl w:val="0"/>
                <w:numId w:val="15"/>
              </w:numPr>
              <w:adjustRightInd w:val="0"/>
              <w:snapToGrid w:val="0"/>
              <w:rPr>
                <w:rFonts w:hint="eastAsia" w:ascii="仿宋" w:hAnsi="仿宋" w:eastAsia="仿宋" w:cs="仿宋"/>
                <w:color w:val="auto"/>
                <w:sz w:val="24"/>
                <w:szCs w:val="24"/>
              </w:rPr>
            </w:pPr>
            <w:r>
              <w:rPr>
                <w:rFonts w:hint="eastAsia" w:ascii="仿宋" w:hAnsi="仿宋" w:eastAsia="仿宋" w:cs="仿宋"/>
                <w:color w:val="auto"/>
                <w:sz w:val="24"/>
                <w:szCs w:val="24"/>
              </w:rPr>
              <w:t>开通网络课堂，达到与学生及时沟通、交流的目的。同时重视师生互动与小组活动，组织课堂小组讨论等活动，将课堂教学变为师生共同活动的过程。</w:t>
            </w:r>
          </w:p>
          <w:p w14:paraId="2B35FEC5">
            <w:pPr>
              <w:numPr>
                <w:ilvl w:val="0"/>
                <w:numId w:val="15"/>
              </w:numPr>
              <w:adjustRightInd w:val="0"/>
              <w:snapToGrid w:val="0"/>
              <w:rPr>
                <w:rFonts w:hint="eastAsia" w:ascii="仿宋" w:hAnsi="仿宋" w:eastAsia="仿宋" w:cs="仿宋"/>
                <w:color w:val="auto"/>
                <w:sz w:val="24"/>
                <w:szCs w:val="24"/>
              </w:rPr>
            </w:pPr>
            <w:r>
              <w:rPr>
                <w:rFonts w:hint="eastAsia" w:ascii="仿宋" w:hAnsi="仿宋" w:eastAsia="仿宋" w:cs="仿宋"/>
                <w:color w:val="auto"/>
                <w:sz w:val="24"/>
                <w:szCs w:val="24"/>
              </w:rPr>
              <w:t>主要方式：</w:t>
            </w:r>
          </w:p>
          <w:p w14:paraId="40A3F8E7">
            <w:pPr>
              <w:numPr>
                <w:ilvl w:val="0"/>
                <w:numId w:val="0"/>
              </w:numPr>
              <w:adjustRightInd w:val="0"/>
              <w:snapToGrid w:val="0"/>
              <w:ind w:leftChars="0"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 xml:space="preserve">讲授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网络学习  </w:t>
            </w: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 xml:space="preserve">讨论或座谈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问题导向学  </w:t>
            </w:r>
          </w:p>
          <w:p w14:paraId="0D315AEA">
            <w:pPr>
              <w:numPr>
                <w:ilvl w:val="0"/>
                <w:numId w:val="0"/>
              </w:numPr>
              <w:adjustRightInd w:val="0"/>
              <w:snapToGrid w:val="0"/>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 xml:space="preserve">分组合作学习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专题学习  </w:t>
            </w: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 xml:space="preserve">实作学习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发表学习  </w:t>
            </w:r>
          </w:p>
          <w:p w14:paraId="324E4E60">
            <w:pPr>
              <w:numPr>
                <w:ilvl w:val="0"/>
                <w:numId w:val="0"/>
              </w:numPr>
              <w:adjustRightInd w:val="0"/>
              <w:snapToGrid w:val="0"/>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实习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参观访问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其它</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rPr>
              <w:t>(</w:t>
            </w:r>
            <w:r>
              <w:rPr>
                <w:rFonts w:hint="eastAsia" w:ascii="仿宋" w:hAnsi="仿宋" w:eastAsia="仿宋" w:cs="仿宋"/>
                <w:color w:val="auto"/>
                <w:sz w:val="24"/>
                <w:szCs w:val="24"/>
                <w:lang w:val="en-US" w:eastAsia="zh-CN"/>
              </w:rPr>
              <w:t>如</w:t>
            </w:r>
            <w:r>
              <w:rPr>
                <w:rFonts w:hint="eastAsia" w:ascii="仿宋" w:hAnsi="仿宋" w:eastAsia="仿宋" w:cs="仿宋"/>
                <w:color w:val="auto"/>
                <w:sz w:val="24"/>
                <w:szCs w:val="24"/>
              </w:rPr>
              <w:t>口头训练</w:t>
            </w:r>
            <w:r>
              <w:rPr>
                <w:rFonts w:hint="eastAsia" w:ascii="仿宋" w:hAnsi="仿宋" w:eastAsia="仿宋" w:cs="仿宋"/>
                <w:color w:val="auto"/>
                <w:sz w:val="24"/>
                <w:szCs w:val="24"/>
                <w:lang w:val="en-US" w:eastAsia="zh-CN"/>
              </w:rPr>
              <w:t>等</w:t>
            </w:r>
            <w:r>
              <w:rPr>
                <w:rFonts w:hint="eastAsia" w:ascii="仿宋" w:hAnsi="仿宋" w:eastAsia="仿宋" w:cs="仿宋"/>
                <w:color w:val="auto"/>
                <w:sz w:val="24"/>
                <w:szCs w:val="24"/>
              </w:rPr>
              <w:t>)</w:t>
            </w:r>
          </w:p>
        </w:tc>
      </w:tr>
      <w:tr w14:paraId="3D4BB480">
        <w:trPr>
          <w:trHeight w:val="1205" w:hRule="atLeast"/>
        </w:trPr>
        <w:tc>
          <w:tcPr>
            <w:tcW w:w="1075" w:type="dxa"/>
            <w:noWrap w:val="0"/>
            <w:vAlign w:val="center"/>
          </w:tcPr>
          <w:p w14:paraId="07DCE34D">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J</w:t>
            </w:r>
          </w:p>
          <w:p w14:paraId="68968A8A">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教学条件</w:t>
            </w:r>
          </w:p>
          <w:p w14:paraId="21924C02">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需求</w:t>
            </w:r>
          </w:p>
        </w:tc>
        <w:tc>
          <w:tcPr>
            <w:tcW w:w="8824" w:type="dxa"/>
            <w:gridSpan w:val="13"/>
            <w:tcBorders>
              <w:bottom w:val="single" w:color="auto" w:sz="4" w:space="0"/>
            </w:tcBorders>
            <w:noWrap w:val="0"/>
            <w:vAlign w:val="center"/>
          </w:tcPr>
          <w:p w14:paraId="3EACD7B1">
            <w:pPr>
              <w:tabs>
                <w:tab w:val="left" w:pos="720"/>
              </w:tabs>
              <w:adjustRightInd w:val="0"/>
              <w:snapToGrid w:val="0"/>
              <w:spacing w:line="240" w:lineRule="atLeas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（如时间、地点安排与“一课双师”等教师配备需求等）</w:t>
            </w:r>
          </w:p>
          <w:p w14:paraId="02CC0406">
            <w:pPr>
              <w:numPr>
                <w:ilvl w:val="0"/>
                <w:numId w:val="0"/>
              </w:numPr>
              <w:tabs>
                <w:tab w:val="left" w:pos="720"/>
              </w:tabs>
              <w:adjustRightInd w:val="0"/>
              <w:snapToGrid w:val="0"/>
              <w:ind w:leftChars="0"/>
              <w:rPr>
                <w:rFonts w:hint="default" w:ascii="仿宋" w:hAnsi="仿宋" w:eastAsia="仿宋" w:cs="仿宋"/>
                <w:color w:val="auto"/>
                <w:sz w:val="24"/>
                <w:szCs w:val="24"/>
                <w:lang w:val="en-US" w:eastAsia="zh-CN"/>
              </w:rPr>
            </w:pPr>
            <w:r>
              <w:rPr>
                <w:rFonts w:hint="default" w:ascii="仿宋" w:hAnsi="仿宋" w:eastAsia="仿宋" w:cs="仿宋"/>
                <w:color w:val="auto"/>
                <w:sz w:val="24"/>
                <w:szCs w:val="24"/>
              </w:rPr>
              <w:t>1.</w:t>
            </w:r>
            <w:r>
              <w:rPr>
                <w:rFonts w:hint="eastAsia" w:ascii="仿宋" w:hAnsi="仿宋" w:eastAsia="仿宋" w:cs="仿宋"/>
                <w:color w:val="auto"/>
                <w:sz w:val="24"/>
                <w:szCs w:val="24"/>
                <w:lang w:val="en-US" w:eastAsia="zh-CN"/>
              </w:rPr>
              <w:t>琴房、小演奏厅、排练室、音乐厅、多媒体教室等</w:t>
            </w:r>
          </w:p>
          <w:p w14:paraId="7D73CFE9">
            <w:pPr>
              <w:tabs>
                <w:tab w:val="left" w:pos="720"/>
              </w:tabs>
              <w:adjustRightInd w:val="0"/>
              <w:snapToGrid w:val="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2.</w:t>
            </w:r>
            <w:r>
              <w:rPr>
                <w:rFonts w:hint="eastAsia" w:ascii="华文仿宋" w:hAnsi="华文仿宋" w:eastAsia="华文仿宋" w:cs="华文仿宋"/>
                <w:color w:val="auto"/>
                <w:kern w:val="0"/>
                <w:sz w:val="24"/>
                <w:szCs w:val="24"/>
              </w:rPr>
              <w:t>学生</w:t>
            </w:r>
            <w:r>
              <w:rPr>
                <w:rFonts w:hint="eastAsia" w:ascii="华文仿宋" w:hAnsi="华文仿宋" w:eastAsia="华文仿宋" w:cs="华文仿宋"/>
                <w:color w:val="auto"/>
                <w:kern w:val="0"/>
                <w:sz w:val="24"/>
                <w:szCs w:val="24"/>
                <w:lang w:val="en-US" w:eastAsia="zh-CN"/>
              </w:rPr>
              <w:t>一对一</w:t>
            </w:r>
            <w:r>
              <w:rPr>
                <w:rFonts w:hint="eastAsia" w:ascii="华文仿宋" w:hAnsi="华文仿宋" w:eastAsia="华文仿宋" w:cs="华文仿宋"/>
                <w:color w:val="auto"/>
                <w:kern w:val="0"/>
                <w:sz w:val="24"/>
                <w:szCs w:val="24"/>
              </w:rPr>
              <w:t>上课</w:t>
            </w:r>
            <w:r>
              <w:rPr>
                <w:rFonts w:hint="eastAsia" w:ascii="华文仿宋" w:hAnsi="华文仿宋" w:eastAsia="华文仿宋" w:cs="华文仿宋"/>
                <w:color w:val="auto"/>
                <w:kern w:val="0"/>
                <w:sz w:val="24"/>
                <w:szCs w:val="24"/>
                <w:lang w:eastAsia="zh-CN"/>
              </w:rPr>
              <w:t>，</w:t>
            </w:r>
            <w:r>
              <w:rPr>
                <w:rFonts w:hint="eastAsia" w:ascii="华文仿宋" w:hAnsi="华文仿宋" w:eastAsia="华文仿宋" w:cs="华文仿宋"/>
                <w:color w:val="auto"/>
                <w:kern w:val="0"/>
                <w:sz w:val="24"/>
                <w:szCs w:val="24"/>
                <w:lang w:val="en-US" w:eastAsia="zh-CN"/>
              </w:rPr>
              <w:t>后期以小组合伴奏形式。</w:t>
            </w:r>
          </w:p>
        </w:tc>
      </w:tr>
      <w:tr w14:paraId="6E5FA0D9">
        <w:trPr>
          <w:trHeight w:val="711" w:hRule="atLeast"/>
        </w:trPr>
        <w:tc>
          <w:tcPr>
            <w:tcW w:w="1075" w:type="dxa"/>
            <w:vMerge w:val="restart"/>
            <w:noWrap w:val="0"/>
            <w:vAlign w:val="center"/>
          </w:tcPr>
          <w:p w14:paraId="2A7450E9">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K</w:t>
            </w:r>
          </w:p>
          <w:p w14:paraId="56CACB7F">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课程目标及其考核内容、考核方式及评分占比</w:t>
            </w:r>
          </w:p>
        </w:tc>
        <w:tc>
          <w:tcPr>
            <w:tcW w:w="1333" w:type="dxa"/>
            <w:vMerge w:val="restart"/>
            <w:noWrap w:val="0"/>
            <w:vAlign w:val="center"/>
          </w:tcPr>
          <w:p w14:paraId="58EB363A">
            <w:pPr>
              <w:adjustRightInd w:val="0"/>
              <w:snapToGrid w:val="0"/>
              <w:rPr>
                <w:rFonts w:hint="eastAsia" w:ascii="仿宋" w:hAnsi="仿宋" w:eastAsia="仿宋" w:cs="仿宋"/>
                <w:color w:val="auto"/>
                <w:sz w:val="24"/>
                <w:szCs w:val="24"/>
              </w:rPr>
            </w:pPr>
            <w:r>
              <w:rPr>
                <w:rFonts w:hint="eastAsia" w:ascii="仿宋" w:hAnsi="仿宋" w:eastAsia="仿宋" w:cs="仿宋"/>
                <w:color w:val="auto"/>
                <w:sz w:val="24"/>
                <w:szCs w:val="24"/>
              </w:rPr>
              <w:t>课程目标及评分占比</w:t>
            </w:r>
          </w:p>
        </w:tc>
        <w:tc>
          <w:tcPr>
            <w:tcW w:w="3247" w:type="dxa"/>
            <w:gridSpan w:val="5"/>
            <w:vMerge w:val="restart"/>
            <w:tcBorders>
              <w:right w:val="single" w:color="000000" w:sz="4" w:space="0"/>
            </w:tcBorders>
            <w:noWrap w:val="0"/>
            <w:vAlign w:val="center"/>
          </w:tcPr>
          <w:p w14:paraId="6B32AD8B">
            <w:pPr>
              <w:tabs>
                <w:tab w:val="left" w:pos="720"/>
              </w:tabs>
              <w:adjustRightInd w:val="0"/>
              <w:snapToGrid w:val="0"/>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考核内容</w:t>
            </w:r>
          </w:p>
        </w:tc>
        <w:tc>
          <w:tcPr>
            <w:tcW w:w="3170" w:type="dxa"/>
            <w:gridSpan w:val="6"/>
            <w:tcBorders>
              <w:left w:val="single" w:color="000000" w:sz="4" w:space="0"/>
              <w:right w:val="single" w:color="000000" w:sz="4" w:space="0"/>
            </w:tcBorders>
            <w:noWrap w:val="0"/>
            <w:vAlign w:val="center"/>
          </w:tcPr>
          <w:p w14:paraId="4A086343">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sz w:val="24"/>
                <w:szCs w:val="24"/>
              </w:rPr>
              <w:t>考核方式</w:t>
            </w:r>
          </w:p>
        </w:tc>
        <w:tc>
          <w:tcPr>
            <w:tcW w:w="1074" w:type="dxa"/>
            <w:vMerge w:val="restart"/>
            <w:tcBorders>
              <w:left w:val="single" w:color="000000" w:sz="4" w:space="0"/>
            </w:tcBorders>
            <w:noWrap w:val="0"/>
            <w:vAlign w:val="center"/>
          </w:tcPr>
          <w:p w14:paraId="126DF981">
            <w:pPr>
              <w:tabs>
                <w:tab w:val="left" w:pos="720"/>
              </w:tabs>
              <w:adjustRightInd w:val="0"/>
              <w:snapToGrid w:val="0"/>
              <w:jc w:val="center"/>
              <w:rPr>
                <w:rFonts w:hint="eastAsia" w:ascii="仿宋" w:hAnsi="仿宋" w:eastAsia="仿宋" w:cs="仿宋"/>
                <w:color w:val="auto"/>
                <w:kern w:val="0"/>
                <w:sz w:val="24"/>
                <w:szCs w:val="24"/>
              </w:rPr>
            </w:pPr>
            <w:r>
              <w:rPr>
                <w:rFonts w:hint="eastAsia" w:ascii="仿宋" w:hAnsi="仿宋" w:eastAsia="仿宋" w:cs="仿宋"/>
                <w:color w:val="auto"/>
                <w:sz w:val="24"/>
                <w:szCs w:val="24"/>
              </w:rPr>
              <w:t>课程分目标的达成度</w:t>
            </w:r>
          </w:p>
        </w:tc>
      </w:tr>
      <w:tr w14:paraId="5EAF7BA5">
        <w:trPr>
          <w:trHeight w:val="184" w:hRule="atLeast"/>
        </w:trPr>
        <w:tc>
          <w:tcPr>
            <w:tcW w:w="1075" w:type="dxa"/>
            <w:vMerge w:val="continue"/>
            <w:noWrap w:val="0"/>
            <w:vAlign w:val="center"/>
          </w:tcPr>
          <w:p w14:paraId="562C47A5">
            <w:pPr>
              <w:adjustRightInd w:val="0"/>
              <w:snapToGrid w:val="0"/>
              <w:spacing w:line="240" w:lineRule="atLeast"/>
              <w:jc w:val="center"/>
              <w:rPr>
                <w:rFonts w:hint="eastAsia" w:ascii="仿宋" w:hAnsi="仿宋" w:eastAsia="仿宋" w:cs="仿宋"/>
                <w:color w:val="auto"/>
                <w:sz w:val="24"/>
                <w:szCs w:val="24"/>
              </w:rPr>
            </w:pPr>
          </w:p>
        </w:tc>
        <w:tc>
          <w:tcPr>
            <w:tcW w:w="1333" w:type="dxa"/>
            <w:vMerge w:val="continue"/>
            <w:tcBorders>
              <w:tl2br w:val="single" w:color="auto" w:sz="4" w:space="0"/>
            </w:tcBorders>
            <w:noWrap w:val="0"/>
            <w:vAlign w:val="center"/>
          </w:tcPr>
          <w:p w14:paraId="7D2591C0">
            <w:pPr>
              <w:adjustRightInd w:val="0"/>
              <w:snapToGrid w:val="0"/>
              <w:jc w:val="right"/>
              <w:rPr>
                <w:rFonts w:hint="eastAsia" w:ascii="仿宋" w:hAnsi="仿宋" w:eastAsia="仿宋" w:cs="仿宋"/>
                <w:color w:val="auto"/>
                <w:sz w:val="24"/>
                <w:szCs w:val="24"/>
              </w:rPr>
            </w:pPr>
          </w:p>
        </w:tc>
        <w:tc>
          <w:tcPr>
            <w:tcW w:w="3247" w:type="dxa"/>
            <w:gridSpan w:val="5"/>
            <w:vMerge w:val="continue"/>
            <w:tcBorders>
              <w:right w:val="single" w:color="000000" w:sz="4" w:space="0"/>
            </w:tcBorders>
            <w:noWrap w:val="0"/>
            <w:vAlign w:val="center"/>
          </w:tcPr>
          <w:p w14:paraId="66133A93">
            <w:pPr>
              <w:tabs>
                <w:tab w:val="left" w:pos="720"/>
              </w:tabs>
              <w:adjustRightInd w:val="0"/>
              <w:snapToGrid w:val="0"/>
              <w:jc w:val="center"/>
              <w:rPr>
                <w:rFonts w:hint="eastAsia" w:ascii="仿宋" w:hAnsi="仿宋" w:eastAsia="仿宋" w:cs="仿宋"/>
                <w:color w:val="auto"/>
                <w:kern w:val="0"/>
                <w:sz w:val="24"/>
                <w:szCs w:val="24"/>
              </w:rPr>
            </w:pPr>
          </w:p>
        </w:tc>
        <w:tc>
          <w:tcPr>
            <w:tcW w:w="1565" w:type="dxa"/>
            <w:gridSpan w:val="4"/>
            <w:tcBorders>
              <w:left w:val="single" w:color="000000" w:sz="4" w:space="0"/>
            </w:tcBorders>
            <w:noWrap w:val="0"/>
            <w:vAlign w:val="center"/>
          </w:tcPr>
          <w:p w14:paraId="402EF998">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平时表现</w:t>
            </w:r>
            <w:r>
              <w:rPr>
                <w:rFonts w:hint="eastAsia" w:ascii="仿宋" w:hAnsi="仿宋" w:eastAsia="仿宋" w:cs="仿宋"/>
                <w:color w:val="auto"/>
                <w:sz w:val="24"/>
                <w:szCs w:val="24"/>
              </w:rPr>
              <w:t>评分占比（</w:t>
            </w:r>
            <w:r>
              <w:rPr>
                <w:rFonts w:hint="eastAsia" w:ascii="仿宋" w:hAnsi="仿宋" w:eastAsia="仿宋" w:cs="仿宋"/>
                <w:color w:val="auto"/>
                <w:sz w:val="24"/>
                <w:szCs w:val="24"/>
                <w:lang w:val="en-US" w:eastAsia="zh-CN"/>
              </w:rPr>
              <w:t>30</w:t>
            </w:r>
            <w:r>
              <w:rPr>
                <w:rFonts w:hint="eastAsia" w:ascii="仿宋" w:hAnsi="仿宋" w:eastAsia="仿宋" w:cs="仿宋"/>
                <w:color w:val="auto"/>
                <w:sz w:val="24"/>
                <w:szCs w:val="24"/>
              </w:rPr>
              <w:t>%）</w:t>
            </w:r>
          </w:p>
        </w:tc>
        <w:tc>
          <w:tcPr>
            <w:tcW w:w="1605" w:type="dxa"/>
            <w:gridSpan w:val="2"/>
            <w:tcBorders>
              <w:bottom w:val="single" w:color="auto" w:sz="4" w:space="0"/>
              <w:right w:val="single" w:color="000000" w:sz="4" w:space="0"/>
            </w:tcBorders>
            <w:noWrap w:val="0"/>
            <w:vAlign w:val="center"/>
          </w:tcPr>
          <w:p w14:paraId="6CDDF033">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艺术实践考核</w:t>
            </w:r>
            <w:r>
              <w:rPr>
                <w:rFonts w:hint="eastAsia" w:ascii="仿宋" w:hAnsi="仿宋" w:eastAsia="仿宋" w:cs="仿宋"/>
                <w:color w:val="auto"/>
                <w:sz w:val="24"/>
                <w:szCs w:val="24"/>
              </w:rPr>
              <w:t>评分占比（</w:t>
            </w:r>
            <w:r>
              <w:rPr>
                <w:rFonts w:hint="eastAsia" w:ascii="仿宋" w:hAnsi="仿宋" w:eastAsia="仿宋" w:cs="仿宋"/>
                <w:color w:val="auto"/>
                <w:sz w:val="24"/>
                <w:szCs w:val="24"/>
                <w:lang w:val="en-US" w:eastAsia="zh-CN"/>
              </w:rPr>
              <w:t>70</w:t>
            </w:r>
            <w:r>
              <w:rPr>
                <w:rFonts w:hint="eastAsia" w:ascii="仿宋" w:hAnsi="仿宋" w:eastAsia="仿宋" w:cs="仿宋"/>
                <w:color w:val="auto"/>
                <w:sz w:val="24"/>
                <w:szCs w:val="24"/>
              </w:rPr>
              <w:t>%）</w:t>
            </w:r>
          </w:p>
        </w:tc>
        <w:tc>
          <w:tcPr>
            <w:tcW w:w="1074" w:type="dxa"/>
            <w:vMerge w:val="continue"/>
            <w:tcBorders>
              <w:left w:val="single" w:color="000000" w:sz="4" w:space="0"/>
              <w:bottom w:val="single" w:color="auto" w:sz="4" w:space="0"/>
            </w:tcBorders>
            <w:noWrap w:val="0"/>
            <w:vAlign w:val="center"/>
          </w:tcPr>
          <w:p w14:paraId="1CEA3F87">
            <w:pPr>
              <w:tabs>
                <w:tab w:val="left" w:pos="720"/>
              </w:tabs>
              <w:adjustRightInd w:val="0"/>
              <w:snapToGrid w:val="0"/>
              <w:jc w:val="center"/>
              <w:rPr>
                <w:rFonts w:hint="eastAsia" w:ascii="仿宋" w:hAnsi="仿宋" w:eastAsia="仿宋" w:cs="仿宋"/>
                <w:color w:val="auto"/>
                <w:sz w:val="24"/>
                <w:szCs w:val="24"/>
              </w:rPr>
            </w:pPr>
          </w:p>
        </w:tc>
      </w:tr>
      <w:tr w14:paraId="357D7300">
        <w:tc>
          <w:tcPr>
            <w:tcW w:w="1075" w:type="dxa"/>
            <w:vMerge w:val="continue"/>
            <w:noWrap w:val="0"/>
            <w:vAlign w:val="center"/>
          </w:tcPr>
          <w:p w14:paraId="3C5AA93E">
            <w:pPr>
              <w:adjustRightInd w:val="0"/>
              <w:snapToGrid w:val="0"/>
              <w:spacing w:line="240" w:lineRule="atLeast"/>
              <w:jc w:val="center"/>
              <w:rPr>
                <w:rFonts w:hint="eastAsia" w:ascii="仿宋" w:hAnsi="仿宋" w:eastAsia="仿宋" w:cs="仿宋"/>
                <w:color w:val="auto"/>
                <w:sz w:val="24"/>
                <w:szCs w:val="24"/>
                <w:lang w:eastAsia="zh-TW"/>
              </w:rPr>
            </w:pPr>
          </w:p>
        </w:tc>
        <w:tc>
          <w:tcPr>
            <w:tcW w:w="1333" w:type="dxa"/>
            <w:tcBorders>
              <w:bottom w:val="single" w:color="auto" w:sz="4" w:space="0"/>
            </w:tcBorders>
            <w:noWrap w:val="0"/>
            <w:vAlign w:val="center"/>
          </w:tcPr>
          <w:p w14:paraId="23A3D96F">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kern w:val="0"/>
                <w:sz w:val="24"/>
                <w:szCs w:val="24"/>
              </w:rPr>
              <w:t>课程目标1（</w:t>
            </w:r>
            <w:r>
              <w:rPr>
                <w:rFonts w:hint="eastAsia" w:ascii="仿宋" w:hAnsi="仿宋" w:eastAsia="仿宋" w:cs="仿宋"/>
                <w:color w:val="auto"/>
                <w:kern w:val="0"/>
                <w:sz w:val="24"/>
                <w:szCs w:val="24"/>
                <w:lang w:val="en-US" w:eastAsia="zh-CN"/>
              </w:rPr>
              <w:t>40</w:t>
            </w:r>
            <w:r>
              <w:rPr>
                <w:rFonts w:hint="eastAsia" w:ascii="仿宋" w:hAnsi="仿宋" w:eastAsia="仿宋" w:cs="仿宋"/>
                <w:color w:val="auto"/>
                <w:kern w:val="0"/>
                <w:sz w:val="24"/>
                <w:szCs w:val="24"/>
              </w:rPr>
              <w:t>%）</w:t>
            </w:r>
          </w:p>
        </w:tc>
        <w:tc>
          <w:tcPr>
            <w:tcW w:w="3247" w:type="dxa"/>
            <w:gridSpan w:val="5"/>
            <w:tcBorders>
              <w:bottom w:val="single" w:color="auto" w:sz="4" w:space="0"/>
              <w:right w:val="single" w:color="000000" w:sz="4" w:space="0"/>
            </w:tcBorders>
            <w:noWrap w:val="0"/>
            <w:vAlign w:val="center"/>
          </w:tcPr>
          <w:p w14:paraId="5D15F6B5">
            <w:pPr>
              <w:adjustRightInd w:val="0"/>
              <w:snapToGrid w:val="0"/>
              <w:jc w:val="left"/>
              <w:rPr>
                <w:rFonts w:hint="default" w:ascii="华文仿宋" w:hAnsi="华文仿宋" w:eastAsia="华文仿宋" w:cs="华文仿宋"/>
                <w:color w:val="auto"/>
                <w:kern w:val="0"/>
                <w:sz w:val="24"/>
                <w:szCs w:val="24"/>
                <w:lang w:val="en-US"/>
              </w:rPr>
            </w:pPr>
            <w:r>
              <w:rPr>
                <w:rFonts w:hint="eastAsia" w:ascii="华文仿宋" w:hAnsi="华文仿宋" w:eastAsia="华文仿宋" w:cs="华文仿宋"/>
                <w:sz w:val="24"/>
                <w:szCs w:val="24"/>
                <w:lang w:val="en-US" w:eastAsia="zh-CN"/>
              </w:rPr>
              <w:t>根据学生自身主修专业专业为基础，对曲目情感诠释进行深入研究和细致调整，对演奏（唱）作品要求的风格特点、音色、速度等有一定呈现。</w:t>
            </w:r>
          </w:p>
        </w:tc>
        <w:tc>
          <w:tcPr>
            <w:tcW w:w="1565" w:type="dxa"/>
            <w:gridSpan w:val="4"/>
            <w:tcBorders>
              <w:left w:val="single" w:color="000000" w:sz="4" w:space="0"/>
              <w:bottom w:val="single" w:color="auto" w:sz="4" w:space="0"/>
              <w:right w:val="single" w:color="auto" w:sz="4" w:space="0"/>
            </w:tcBorders>
            <w:noWrap w:val="0"/>
            <w:vAlign w:val="center"/>
          </w:tcPr>
          <w:p w14:paraId="4F6E0969">
            <w:pPr>
              <w:tabs>
                <w:tab w:val="left" w:pos="720"/>
              </w:tabs>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12</w:t>
            </w:r>
          </w:p>
        </w:tc>
        <w:tc>
          <w:tcPr>
            <w:tcW w:w="1605" w:type="dxa"/>
            <w:gridSpan w:val="2"/>
            <w:tcBorders>
              <w:left w:val="single" w:color="auto" w:sz="4" w:space="0"/>
              <w:bottom w:val="single" w:color="auto" w:sz="4" w:space="0"/>
              <w:right w:val="single" w:color="auto" w:sz="4" w:space="0"/>
            </w:tcBorders>
            <w:noWrap w:val="0"/>
            <w:vAlign w:val="center"/>
          </w:tcPr>
          <w:p w14:paraId="3E90F016">
            <w:pPr>
              <w:tabs>
                <w:tab w:val="left" w:pos="720"/>
              </w:tabs>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28</w:t>
            </w:r>
          </w:p>
        </w:tc>
        <w:tc>
          <w:tcPr>
            <w:tcW w:w="1074" w:type="dxa"/>
            <w:tcBorders>
              <w:left w:val="single" w:color="auto" w:sz="4" w:space="0"/>
              <w:bottom w:val="single" w:color="auto" w:sz="4" w:space="0"/>
            </w:tcBorders>
            <w:noWrap w:val="0"/>
            <w:vAlign w:val="center"/>
          </w:tcPr>
          <w:p w14:paraId="1B6D8888">
            <w:pPr>
              <w:tabs>
                <w:tab w:val="left" w:pos="720"/>
              </w:tabs>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0.80</w:t>
            </w:r>
          </w:p>
        </w:tc>
      </w:tr>
      <w:tr w14:paraId="0F369602">
        <w:trPr>
          <w:trHeight w:val="515" w:hRule="atLeast"/>
        </w:trPr>
        <w:tc>
          <w:tcPr>
            <w:tcW w:w="1075" w:type="dxa"/>
            <w:vMerge w:val="continue"/>
            <w:noWrap w:val="0"/>
            <w:vAlign w:val="center"/>
          </w:tcPr>
          <w:p w14:paraId="00904469">
            <w:pPr>
              <w:adjustRightInd w:val="0"/>
              <w:snapToGrid w:val="0"/>
              <w:spacing w:line="240" w:lineRule="atLeast"/>
              <w:jc w:val="center"/>
              <w:rPr>
                <w:rFonts w:hint="eastAsia" w:ascii="仿宋" w:hAnsi="仿宋" w:eastAsia="仿宋" w:cs="仿宋"/>
                <w:color w:val="auto"/>
                <w:sz w:val="24"/>
                <w:szCs w:val="24"/>
                <w:lang w:eastAsia="zh-TW"/>
              </w:rPr>
            </w:pPr>
          </w:p>
        </w:tc>
        <w:tc>
          <w:tcPr>
            <w:tcW w:w="1333" w:type="dxa"/>
            <w:tcBorders>
              <w:bottom w:val="single" w:color="auto" w:sz="4" w:space="0"/>
            </w:tcBorders>
            <w:noWrap w:val="0"/>
            <w:vAlign w:val="center"/>
          </w:tcPr>
          <w:p w14:paraId="5FE90555">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kern w:val="0"/>
                <w:sz w:val="24"/>
                <w:szCs w:val="24"/>
              </w:rPr>
              <w:t>课程目标3（</w:t>
            </w:r>
            <w:r>
              <w:rPr>
                <w:rFonts w:hint="eastAsia" w:ascii="仿宋" w:hAnsi="仿宋" w:eastAsia="仿宋" w:cs="仿宋"/>
                <w:color w:val="auto"/>
                <w:kern w:val="0"/>
                <w:sz w:val="24"/>
                <w:szCs w:val="24"/>
                <w:lang w:val="en-US" w:eastAsia="zh-CN"/>
              </w:rPr>
              <w:t>20</w:t>
            </w:r>
            <w:r>
              <w:rPr>
                <w:rFonts w:hint="eastAsia" w:ascii="仿宋" w:hAnsi="仿宋" w:eastAsia="仿宋" w:cs="仿宋"/>
                <w:color w:val="auto"/>
                <w:kern w:val="0"/>
                <w:sz w:val="24"/>
                <w:szCs w:val="24"/>
              </w:rPr>
              <w:t>%）</w:t>
            </w:r>
          </w:p>
        </w:tc>
        <w:tc>
          <w:tcPr>
            <w:tcW w:w="3247" w:type="dxa"/>
            <w:gridSpan w:val="5"/>
            <w:tcBorders>
              <w:bottom w:val="single" w:color="auto" w:sz="4" w:space="0"/>
              <w:right w:val="single" w:color="000000" w:sz="4" w:space="0"/>
            </w:tcBorders>
            <w:noWrap w:val="0"/>
            <w:vAlign w:val="center"/>
          </w:tcPr>
          <w:p w14:paraId="1AF8AAC1">
            <w:pPr>
              <w:adjustRightInd w:val="0"/>
              <w:snapToGrid w:val="0"/>
              <w:jc w:val="left"/>
              <w:rPr>
                <w:rFonts w:hint="eastAsia" w:ascii="华文仿宋" w:hAnsi="华文仿宋" w:eastAsia="华文仿宋" w:cs="华文仿宋"/>
                <w:color w:val="auto"/>
                <w:kern w:val="0"/>
                <w:sz w:val="24"/>
                <w:szCs w:val="24"/>
              </w:rPr>
            </w:pPr>
            <w:r>
              <w:rPr>
                <w:rFonts w:hint="eastAsia" w:ascii="华文仿宋" w:hAnsi="华文仿宋" w:eastAsia="华文仿宋" w:cs="华文仿宋"/>
                <w:kern w:val="0"/>
                <w:sz w:val="24"/>
                <w:szCs w:val="24"/>
                <w:lang w:val="en-US" w:eastAsia="zh-CN"/>
              </w:rPr>
              <w:t>掌握音乐会筹备的相关知识，以及合伴奏，通过实践对艺术作品独特的见解，了解音乐艺术创作和理论的现状、前沿、应用前景与发展动态，具有较好的专业修养和独立思考能力。</w:t>
            </w:r>
          </w:p>
        </w:tc>
        <w:tc>
          <w:tcPr>
            <w:tcW w:w="1565" w:type="dxa"/>
            <w:gridSpan w:val="4"/>
            <w:tcBorders>
              <w:left w:val="single" w:color="000000" w:sz="4" w:space="0"/>
              <w:bottom w:val="single" w:color="auto" w:sz="4" w:space="0"/>
            </w:tcBorders>
            <w:noWrap w:val="0"/>
            <w:vAlign w:val="center"/>
          </w:tcPr>
          <w:p w14:paraId="00674F6C">
            <w:pPr>
              <w:tabs>
                <w:tab w:val="left" w:pos="720"/>
              </w:tabs>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6</w:t>
            </w:r>
          </w:p>
        </w:tc>
        <w:tc>
          <w:tcPr>
            <w:tcW w:w="1605" w:type="dxa"/>
            <w:gridSpan w:val="2"/>
            <w:tcBorders>
              <w:top w:val="single" w:color="000000" w:sz="4" w:space="0"/>
              <w:bottom w:val="single" w:color="auto" w:sz="4" w:space="0"/>
              <w:right w:val="single" w:color="000000" w:sz="4" w:space="0"/>
            </w:tcBorders>
            <w:noWrap w:val="0"/>
            <w:vAlign w:val="center"/>
          </w:tcPr>
          <w:p w14:paraId="1D0F29D7">
            <w:pPr>
              <w:tabs>
                <w:tab w:val="left" w:pos="720"/>
              </w:tabs>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14</w:t>
            </w:r>
          </w:p>
        </w:tc>
        <w:tc>
          <w:tcPr>
            <w:tcW w:w="1074" w:type="dxa"/>
            <w:tcBorders>
              <w:top w:val="single" w:color="000000" w:sz="4" w:space="0"/>
              <w:left w:val="single" w:color="000000" w:sz="4" w:space="0"/>
              <w:bottom w:val="single" w:color="auto" w:sz="4" w:space="0"/>
            </w:tcBorders>
            <w:noWrap w:val="0"/>
            <w:vAlign w:val="center"/>
          </w:tcPr>
          <w:p w14:paraId="2F418AF1">
            <w:pPr>
              <w:tabs>
                <w:tab w:val="left" w:pos="720"/>
              </w:tabs>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0.80</w:t>
            </w:r>
          </w:p>
        </w:tc>
      </w:tr>
      <w:tr w14:paraId="7888FB43">
        <w:trPr>
          <w:trHeight w:val="515" w:hRule="atLeast"/>
        </w:trPr>
        <w:tc>
          <w:tcPr>
            <w:tcW w:w="1075" w:type="dxa"/>
            <w:vMerge w:val="continue"/>
            <w:noWrap w:val="0"/>
            <w:vAlign w:val="center"/>
          </w:tcPr>
          <w:p w14:paraId="2D38D569">
            <w:pPr>
              <w:adjustRightInd w:val="0"/>
              <w:snapToGrid w:val="0"/>
              <w:spacing w:line="240" w:lineRule="atLeast"/>
              <w:jc w:val="center"/>
              <w:rPr>
                <w:rFonts w:hint="eastAsia" w:ascii="仿宋" w:hAnsi="仿宋" w:eastAsia="仿宋" w:cs="仿宋"/>
                <w:color w:val="auto"/>
                <w:sz w:val="24"/>
                <w:szCs w:val="24"/>
                <w:lang w:eastAsia="zh-TW"/>
              </w:rPr>
            </w:pPr>
          </w:p>
        </w:tc>
        <w:tc>
          <w:tcPr>
            <w:tcW w:w="1333" w:type="dxa"/>
            <w:tcBorders>
              <w:bottom w:val="single" w:color="auto" w:sz="4" w:space="0"/>
            </w:tcBorders>
            <w:noWrap w:val="0"/>
            <w:vAlign w:val="center"/>
          </w:tcPr>
          <w:p w14:paraId="5E9B120E">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kern w:val="0"/>
                <w:sz w:val="24"/>
                <w:szCs w:val="24"/>
              </w:rPr>
              <w:t>课程目标</w:t>
            </w:r>
            <w:r>
              <w:rPr>
                <w:rFonts w:hint="eastAsia" w:ascii="仿宋" w:hAnsi="仿宋" w:eastAsia="仿宋" w:cs="仿宋"/>
                <w:color w:val="auto"/>
                <w:kern w:val="0"/>
                <w:sz w:val="24"/>
                <w:szCs w:val="24"/>
                <w:lang w:val="en-US" w:eastAsia="zh-CN"/>
              </w:rPr>
              <w:t>3</w:t>
            </w:r>
            <w:r>
              <w:rPr>
                <w:rFonts w:hint="eastAsia" w:ascii="仿宋" w:hAnsi="仿宋" w:eastAsia="仿宋" w:cs="仿宋"/>
                <w:color w:val="auto"/>
                <w:kern w:val="0"/>
                <w:sz w:val="24"/>
                <w:szCs w:val="24"/>
              </w:rPr>
              <w:t>（</w:t>
            </w:r>
            <w:r>
              <w:rPr>
                <w:rFonts w:hint="eastAsia" w:ascii="仿宋" w:hAnsi="仿宋" w:eastAsia="仿宋" w:cs="仿宋"/>
                <w:color w:val="auto"/>
                <w:kern w:val="0"/>
                <w:sz w:val="24"/>
                <w:szCs w:val="24"/>
                <w:lang w:val="en-US" w:eastAsia="zh-CN"/>
              </w:rPr>
              <w:t>40</w:t>
            </w:r>
            <w:r>
              <w:rPr>
                <w:rFonts w:hint="eastAsia" w:ascii="仿宋" w:hAnsi="仿宋" w:eastAsia="仿宋" w:cs="仿宋"/>
                <w:color w:val="auto"/>
                <w:kern w:val="0"/>
                <w:sz w:val="24"/>
                <w:szCs w:val="24"/>
              </w:rPr>
              <w:t>%）</w:t>
            </w:r>
          </w:p>
        </w:tc>
        <w:tc>
          <w:tcPr>
            <w:tcW w:w="3247" w:type="dxa"/>
            <w:gridSpan w:val="5"/>
            <w:tcBorders>
              <w:bottom w:val="single" w:color="auto" w:sz="4" w:space="0"/>
              <w:right w:val="single" w:color="000000" w:sz="4" w:space="0"/>
            </w:tcBorders>
            <w:noWrap w:val="0"/>
            <w:vAlign w:val="center"/>
          </w:tcPr>
          <w:p w14:paraId="3E06EB96">
            <w:pPr>
              <w:adjustRightInd w:val="0"/>
              <w:snapToGrid w:val="0"/>
              <w:jc w:val="left"/>
              <w:rPr>
                <w:rFonts w:hint="eastAsia" w:ascii="华文仿宋" w:hAnsi="华文仿宋" w:eastAsia="华文仿宋" w:cs="华文仿宋"/>
                <w:color w:val="auto"/>
                <w:kern w:val="0"/>
                <w:sz w:val="24"/>
                <w:szCs w:val="24"/>
              </w:rPr>
            </w:pPr>
            <w:r>
              <w:rPr>
                <w:rFonts w:hint="eastAsia" w:ascii="华文仿宋" w:hAnsi="华文仿宋" w:eastAsia="华文仿宋" w:cs="华文仿宋"/>
                <w:kern w:val="0"/>
                <w:sz w:val="24"/>
                <w:szCs w:val="24"/>
                <w:lang w:val="en-US" w:eastAsia="zh-CN"/>
              </w:rPr>
              <w:t>在作品不断磨合过程中加强团队协作能力、沟通能力，并且在相互沟通中夯实学生对自身专业知识体系的架构，还能掌握其他专业的特点，同时提升了学生的音乐文化素养。</w:t>
            </w:r>
          </w:p>
        </w:tc>
        <w:tc>
          <w:tcPr>
            <w:tcW w:w="1565" w:type="dxa"/>
            <w:gridSpan w:val="4"/>
            <w:tcBorders>
              <w:left w:val="single" w:color="000000" w:sz="4" w:space="0"/>
              <w:bottom w:val="single" w:color="auto" w:sz="4" w:space="0"/>
            </w:tcBorders>
            <w:noWrap w:val="0"/>
            <w:vAlign w:val="center"/>
          </w:tcPr>
          <w:p w14:paraId="6D45E2AE">
            <w:pPr>
              <w:tabs>
                <w:tab w:val="left" w:pos="720"/>
              </w:tabs>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12</w:t>
            </w:r>
          </w:p>
        </w:tc>
        <w:tc>
          <w:tcPr>
            <w:tcW w:w="1605" w:type="dxa"/>
            <w:gridSpan w:val="2"/>
            <w:tcBorders>
              <w:top w:val="single" w:color="000000" w:sz="4" w:space="0"/>
              <w:bottom w:val="single" w:color="auto" w:sz="4" w:space="0"/>
              <w:right w:val="single" w:color="000000" w:sz="4" w:space="0"/>
            </w:tcBorders>
            <w:noWrap w:val="0"/>
            <w:vAlign w:val="center"/>
          </w:tcPr>
          <w:p w14:paraId="5E422E85">
            <w:pPr>
              <w:tabs>
                <w:tab w:val="left" w:pos="720"/>
              </w:tabs>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28</w:t>
            </w:r>
          </w:p>
        </w:tc>
        <w:tc>
          <w:tcPr>
            <w:tcW w:w="1074" w:type="dxa"/>
            <w:tcBorders>
              <w:top w:val="single" w:color="000000" w:sz="4" w:space="0"/>
              <w:left w:val="single" w:color="000000" w:sz="4" w:space="0"/>
              <w:bottom w:val="single" w:color="auto" w:sz="4" w:space="0"/>
            </w:tcBorders>
            <w:noWrap w:val="0"/>
            <w:vAlign w:val="center"/>
          </w:tcPr>
          <w:p w14:paraId="6BAA4814">
            <w:pPr>
              <w:tabs>
                <w:tab w:val="left" w:pos="720"/>
              </w:tabs>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0.80</w:t>
            </w:r>
          </w:p>
        </w:tc>
      </w:tr>
      <w:tr w14:paraId="644D5322">
        <w:trPr>
          <w:trHeight w:val="515" w:hRule="atLeast"/>
        </w:trPr>
        <w:tc>
          <w:tcPr>
            <w:tcW w:w="1075" w:type="dxa"/>
            <w:vMerge w:val="continue"/>
            <w:noWrap w:val="0"/>
            <w:vAlign w:val="center"/>
          </w:tcPr>
          <w:p w14:paraId="6CB11336">
            <w:pPr>
              <w:adjustRightInd w:val="0"/>
              <w:snapToGrid w:val="0"/>
              <w:spacing w:line="240" w:lineRule="atLeast"/>
              <w:jc w:val="center"/>
              <w:rPr>
                <w:rFonts w:hint="eastAsia" w:ascii="仿宋" w:hAnsi="仿宋" w:eastAsia="仿宋" w:cs="仿宋"/>
                <w:color w:val="auto"/>
                <w:sz w:val="24"/>
                <w:szCs w:val="24"/>
                <w:lang w:eastAsia="zh-TW"/>
              </w:rPr>
            </w:pPr>
          </w:p>
        </w:tc>
        <w:tc>
          <w:tcPr>
            <w:tcW w:w="4580" w:type="dxa"/>
            <w:gridSpan w:val="6"/>
            <w:tcBorders>
              <w:bottom w:val="single" w:color="auto" w:sz="4" w:space="0"/>
              <w:right w:val="single" w:color="000000" w:sz="4" w:space="0"/>
            </w:tcBorders>
            <w:noWrap w:val="0"/>
            <w:vAlign w:val="center"/>
          </w:tcPr>
          <w:p w14:paraId="501B214F">
            <w:pPr>
              <w:widowControl/>
              <w:autoSpaceDE w:val="0"/>
              <w:autoSpaceDN w:val="0"/>
              <w:adjustRightInd w:val="0"/>
              <w:snapToGrid w:val="0"/>
              <w:jc w:val="center"/>
              <w:textAlignment w:val="bottom"/>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rPr>
              <w:t>总分</w:t>
            </w:r>
            <w:r>
              <w:rPr>
                <w:rFonts w:hint="eastAsia" w:ascii="仿宋" w:hAnsi="仿宋" w:eastAsia="仿宋" w:cs="仿宋"/>
                <w:color w:val="auto"/>
                <w:sz w:val="24"/>
                <w:szCs w:val="24"/>
                <w:lang w:val="en-US" w:eastAsia="zh-CN"/>
              </w:rPr>
              <w:t>100</w:t>
            </w:r>
          </w:p>
        </w:tc>
        <w:tc>
          <w:tcPr>
            <w:tcW w:w="1565" w:type="dxa"/>
            <w:gridSpan w:val="4"/>
            <w:tcBorders>
              <w:left w:val="single" w:color="000000" w:sz="4" w:space="0"/>
              <w:bottom w:val="single" w:color="auto" w:sz="4" w:space="0"/>
            </w:tcBorders>
            <w:noWrap w:val="0"/>
            <w:vAlign w:val="center"/>
          </w:tcPr>
          <w:p w14:paraId="72830DFE">
            <w:pPr>
              <w:tabs>
                <w:tab w:val="left" w:pos="720"/>
              </w:tabs>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30</w:t>
            </w:r>
          </w:p>
        </w:tc>
        <w:tc>
          <w:tcPr>
            <w:tcW w:w="1605" w:type="dxa"/>
            <w:gridSpan w:val="2"/>
            <w:tcBorders>
              <w:top w:val="single" w:color="000000" w:sz="4" w:space="0"/>
              <w:bottom w:val="single" w:color="auto" w:sz="4" w:space="0"/>
              <w:right w:val="single" w:color="000000" w:sz="4" w:space="0"/>
            </w:tcBorders>
            <w:noWrap w:val="0"/>
            <w:vAlign w:val="center"/>
          </w:tcPr>
          <w:p w14:paraId="7588461A">
            <w:pPr>
              <w:tabs>
                <w:tab w:val="left" w:pos="720"/>
              </w:tabs>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70</w:t>
            </w:r>
          </w:p>
        </w:tc>
        <w:tc>
          <w:tcPr>
            <w:tcW w:w="1074" w:type="dxa"/>
            <w:tcBorders>
              <w:top w:val="single" w:color="000000" w:sz="4" w:space="0"/>
              <w:left w:val="single" w:color="000000" w:sz="4" w:space="0"/>
              <w:bottom w:val="single" w:color="auto" w:sz="4" w:space="0"/>
            </w:tcBorders>
            <w:noWrap w:val="0"/>
            <w:vAlign w:val="center"/>
          </w:tcPr>
          <w:p w14:paraId="328C7CD9">
            <w:pPr>
              <w:tabs>
                <w:tab w:val="left" w:pos="720"/>
              </w:tabs>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0.80</w:t>
            </w:r>
          </w:p>
        </w:tc>
      </w:tr>
      <w:tr w14:paraId="6B20174A">
        <w:tc>
          <w:tcPr>
            <w:tcW w:w="1075" w:type="dxa"/>
            <w:noWrap w:val="0"/>
            <w:vAlign w:val="center"/>
          </w:tcPr>
          <w:p w14:paraId="69CD88A7">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L</w:t>
            </w:r>
          </w:p>
          <w:p w14:paraId="0509EEF2">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学习建议</w:t>
            </w:r>
          </w:p>
        </w:tc>
        <w:tc>
          <w:tcPr>
            <w:tcW w:w="8824" w:type="dxa"/>
            <w:gridSpan w:val="13"/>
            <w:tcBorders>
              <w:bottom w:val="single" w:color="auto" w:sz="4" w:space="0"/>
            </w:tcBorders>
            <w:noWrap w:val="0"/>
            <w:vAlign w:val="center"/>
          </w:tcPr>
          <w:p w14:paraId="51A7A0F2">
            <w:pPr>
              <w:adjustRightInd w:val="0"/>
              <w:snapToGrid w:val="0"/>
              <w:rPr>
                <w:rFonts w:hint="eastAsia" w:ascii="仿宋" w:hAnsi="仿宋" w:eastAsia="仿宋" w:cs="仿宋"/>
                <w:bCs/>
                <w:color w:val="auto"/>
                <w:sz w:val="24"/>
                <w:szCs w:val="24"/>
              </w:rPr>
            </w:pPr>
            <w:r>
              <w:rPr>
                <w:rFonts w:hint="eastAsia" w:ascii="仿宋" w:hAnsi="仿宋" w:eastAsia="仿宋" w:cs="仿宋"/>
                <w:bCs/>
                <w:color w:val="auto"/>
                <w:sz w:val="24"/>
                <w:szCs w:val="24"/>
              </w:rPr>
              <w:t>1.自主学习。建议学生通过预习教材，并通过网络、图书馆自主查阅课程中涉及的学习资源，独立规划自己的课程学习计划，充分发挥自身的学习能动性。</w:t>
            </w:r>
          </w:p>
          <w:p w14:paraId="48411756">
            <w:pPr>
              <w:adjustRightInd w:val="0"/>
              <w:snapToGrid w:val="0"/>
              <w:rPr>
                <w:rFonts w:hint="eastAsia" w:ascii="仿宋" w:hAnsi="仿宋" w:eastAsia="仿宋" w:cs="仿宋"/>
                <w:color w:val="auto"/>
                <w:kern w:val="0"/>
                <w:sz w:val="24"/>
                <w:szCs w:val="24"/>
              </w:rPr>
            </w:pPr>
            <w:r>
              <w:rPr>
                <w:rFonts w:hint="eastAsia" w:ascii="仿宋" w:hAnsi="仿宋" w:eastAsia="仿宋" w:cs="仿宋"/>
                <w:bCs/>
                <w:color w:val="auto"/>
                <w:sz w:val="24"/>
                <w:szCs w:val="24"/>
              </w:rPr>
              <w:t>2.研究性学习。鼓励学生针对课程教学内容，尝试理论课结合专题报告的教学方式，开阔学生的视野。</w:t>
            </w:r>
          </w:p>
        </w:tc>
      </w:tr>
      <w:tr w14:paraId="1D23A871">
        <w:trPr>
          <w:trHeight w:val="454" w:hRule="atLeast"/>
        </w:trPr>
        <w:tc>
          <w:tcPr>
            <w:tcW w:w="1075" w:type="dxa"/>
            <w:noWrap w:val="0"/>
            <w:vAlign w:val="center"/>
          </w:tcPr>
          <w:p w14:paraId="00CAC186">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M</w:t>
            </w:r>
          </w:p>
          <w:p w14:paraId="0381C3F7">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评分量表</w:t>
            </w:r>
          </w:p>
        </w:tc>
        <w:tc>
          <w:tcPr>
            <w:tcW w:w="8824" w:type="dxa"/>
            <w:gridSpan w:val="13"/>
            <w:noWrap w:val="0"/>
            <w:vAlign w:val="center"/>
          </w:tcPr>
          <w:p w14:paraId="606B6574">
            <w:pPr>
              <w:tabs>
                <w:tab w:val="left" w:pos="720"/>
              </w:tabs>
              <w:adjustRightInd w:val="0"/>
              <w:snapToGrid w:val="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w:t>
            </w:r>
            <w:r>
              <w:rPr>
                <w:rFonts w:hint="eastAsia" w:ascii="仿宋" w:hAnsi="仿宋" w:eastAsia="仿宋" w:cs="仿宋"/>
                <w:color w:val="auto"/>
                <w:sz w:val="24"/>
                <w:szCs w:val="24"/>
                <w:lang w:val="en-US" w:eastAsia="zh-CN"/>
              </w:rPr>
              <w:t>综合实践(一):毕业方向音乐会</w:t>
            </w:r>
            <w:r>
              <w:rPr>
                <w:rFonts w:hint="eastAsia" w:ascii="仿宋" w:hAnsi="仿宋" w:eastAsia="仿宋" w:cs="仿宋"/>
                <w:color w:val="auto"/>
                <w:kern w:val="0"/>
                <w:sz w:val="24"/>
                <w:szCs w:val="24"/>
              </w:rPr>
              <w:t>》课程目标评分量表见附表。</w:t>
            </w:r>
          </w:p>
        </w:tc>
      </w:tr>
      <w:tr w14:paraId="27DA5614">
        <w:trPr>
          <w:trHeight w:val="454" w:hRule="atLeast"/>
        </w:trPr>
        <w:tc>
          <w:tcPr>
            <w:tcW w:w="1075" w:type="dxa"/>
            <w:noWrap w:val="0"/>
            <w:vAlign w:val="center"/>
          </w:tcPr>
          <w:p w14:paraId="73694A35">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备注</w:t>
            </w:r>
          </w:p>
        </w:tc>
        <w:tc>
          <w:tcPr>
            <w:tcW w:w="8824" w:type="dxa"/>
            <w:gridSpan w:val="13"/>
            <w:noWrap w:val="0"/>
            <w:vAlign w:val="center"/>
          </w:tcPr>
          <w:p w14:paraId="66816B96">
            <w:pPr>
              <w:adjustRightInd w:val="0"/>
              <w:snapToGrid w:val="0"/>
              <w:rPr>
                <w:rFonts w:hint="eastAsia" w:ascii="仿宋" w:hAnsi="仿宋" w:eastAsia="仿宋" w:cs="仿宋"/>
                <w:color w:val="auto"/>
                <w:kern w:val="0"/>
                <w:sz w:val="24"/>
                <w:szCs w:val="24"/>
              </w:rPr>
            </w:pPr>
            <w:r>
              <w:rPr>
                <w:rFonts w:hint="eastAsia" w:ascii="仿宋" w:hAnsi="仿宋" w:eastAsia="仿宋" w:cs="仿宋"/>
                <w:color w:val="auto"/>
                <w:sz w:val="24"/>
                <w:szCs w:val="24"/>
              </w:rPr>
              <w:t>课程大纲A—M项由开课学院审批通过，任课教师不能自行更改。</w:t>
            </w:r>
          </w:p>
        </w:tc>
      </w:tr>
      <w:tr w14:paraId="187F5E06">
        <w:trPr>
          <w:trHeight w:val="2686" w:hRule="atLeast"/>
        </w:trPr>
        <w:tc>
          <w:tcPr>
            <w:tcW w:w="1075" w:type="dxa"/>
            <w:noWrap w:val="0"/>
            <w:vAlign w:val="center"/>
          </w:tcPr>
          <w:p w14:paraId="05956A86">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审批</w:t>
            </w:r>
          </w:p>
          <w:p w14:paraId="1D2998DF">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意见</w:t>
            </w:r>
          </w:p>
        </w:tc>
        <w:tc>
          <w:tcPr>
            <w:tcW w:w="4170" w:type="dxa"/>
            <w:gridSpan w:val="4"/>
            <w:noWrap w:val="0"/>
            <w:vAlign w:val="center"/>
          </w:tcPr>
          <w:p w14:paraId="352ED86E">
            <w:pPr>
              <w:widowControl/>
              <w:adjustRightInd w:val="0"/>
              <w:snapToGrid w:val="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课程</w:t>
            </w:r>
            <w:r>
              <w:rPr>
                <w:rFonts w:hint="eastAsia" w:ascii="仿宋" w:hAnsi="仿宋" w:eastAsia="仿宋" w:cs="仿宋"/>
                <w:color w:val="auto"/>
                <w:kern w:val="0"/>
                <w:sz w:val="24"/>
                <w:szCs w:val="24"/>
                <w:lang w:val="en-US" w:eastAsia="zh-CN"/>
              </w:rPr>
              <w:t>教学</w:t>
            </w:r>
            <w:r>
              <w:rPr>
                <w:rFonts w:hint="eastAsia" w:ascii="仿宋" w:hAnsi="仿宋" w:eastAsia="仿宋" w:cs="仿宋"/>
                <w:color w:val="auto"/>
                <w:kern w:val="0"/>
                <w:sz w:val="24"/>
                <w:szCs w:val="24"/>
              </w:rPr>
              <w:t>大纲</w:t>
            </w:r>
            <w:r>
              <w:rPr>
                <w:rFonts w:hint="eastAsia" w:ascii="仿宋" w:hAnsi="仿宋" w:eastAsia="仿宋" w:cs="仿宋"/>
                <w:color w:val="auto"/>
                <w:kern w:val="0"/>
                <w:sz w:val="24"/>
                <w:szCs w:val="24"/>
                <w:lang w:val="en-US" w:eastAsia="zh-CN"/>
              </w:rPr>
              <w:t>修订</w:t>
            </w:r>
            <w:r>
              <w:rPr>
                <w:rFonts w:hint="eastAsia" w:ascii="仿宋" w:hAnsi="仿宋" w:eastAsia="仿宋" w:cs="仿宋"/>
                <w:color w:val="auto"/>
                <w:kern w:val="0"/>
                <w:sz w:val="24"/>
                <w:szCs w:val="24"/>
              </w:rPr>
              <w:t>负责人</w:t>
            </w:r>
            <w:r>
              <w:rPr>
                <w:rFonts w:hint="eastAsia" w:ascii="仿宋" w:hAnsi="仿宋" w:eastAsia="仿宋" w:cs="仿宋"/>
                <w:color w:val="auto"/>
                <w:kern w:val="0"/>
                <w:sz w:val="24"/>
                <w:szCs w:val="24"/>
                <w:lang w:val="en-US" w:eastAsia="zh-CN"/>
              </w:rPr>
              <w:t>及教学团队成员</w:t>
            </w:r>
            <w:r>
              <w:rPr>
                <w:rFonts w:hint="eastAsia" w:ascii="仿宋" w:hAnsi="仿宋" w:eastAsia="仿宋" w:cs="仿宋"/>
                <w:color w:val="auto"/>
                <w:sz w:val="24"/>
                <w:szCs w:val="24"/>
              </w:rPr>
              <w:t>签名</w:t>
            </w:r>
            <w:r>
              <w:rPr>
                <w:rFonts w:hint="eastAsia" w:ascii="仿宋" w:hAnsi="仿宋" w:eastAsia="仿宋" w:cs="仿宋"/>
                <w:color w:val="auto"/>
                <w:kern w:val="0"/>
                <w:sz w:val="24"/>
                <w:szCs w:val="24"/>
              </w:rPr>
              <w:t xml:space="preserve">：   </w:t>
            </w:r>
          </w:p>
          <w:p w14:paraId="46A863ED">
            <w:pPr>
              <w:widowControl/>
              <w:adjustRightInd w:val="0"/>
              <w:snapToGrid w:val="0"/>
              <w:jc w:val="left"/>
              <w:rPr>
                <w:rFonts w:hint="eastAsia" w:ascii="仿宋" w:hAnsi="仿宋" w:eastAsia="仿宋" w:cs="仿宋"/>
                <w:color w:val="auto"/>
                <w:kern w:val="0"/>
                <w:sz w:val="24"/>
                <w:szCs w:val="24"/>
              </w:rPr>
            </w:pPr>
          </w:p>
          <w:p w14:paraId="57C2AB6E">
            <w:pPr>
              <w:widowControl/>
              <w:adjustRightInd w:val="0"/>
              <w:snapToGrid w:val="0"/>
              <w:ind w:firstLine="480" w:firstLineChars="200"/>
              <w:jc w:val="left"/>
              <w:rPr>
                <w:rFonts w:hint="eastAsia" w:ascii="仿宋" w:hAnsi="仿宋" w:eastAsia="仿宋" w:cs="仿宋"/>
                <w:color w:val="auto"/>
                <w:kern w:val="0"/>
                <w:sz w:val="24"/>
                <w:szCs w:val="24"/>
              </w:rPr>
            </w:pPr>
            <w:r>
              <w:rPr>
                <w:rFonts w:hint="eastAsia" w:ascii="仿宋" w:hAnsi="仿宋" w:eastAsia="仿宋" w:cs="仿宋"/>
                <w:color w:val="auto"/>
                <w:sz w:val="24"/>
                <w:szCs w:val="24"/>
                <w:lang w:val="en-US" w:eastAsia="zh-CN"/>
              </w:rPr>
              <w:t>全体音乐学专业教师</w:t>
            </w:r>
          </w:p>
          <w:p w14:paraId="63C3C8A2">
            <w:pPr>
              <w:widowControl/>
              <w:adjustRightInd w:val="0"/>
              <w:snapToGrid w:val="0"/>
              <w:jc w:val="left"/>
              <w:rPr>
                <w:rFonts w:hint="eastAsia" w:ascii="仿宋" w:hAnsi="仿宋" w:eastAsia="仿宋" w:cs="仿宋"/>
                <w:color w:val="auto"/>
                <w:kern w:val="0"/>
                <w:sz w:val="24"/>
                <w:szCs w:val="24"/>
              </w:rPr>
            </w:pPr>
          </w:p>
          <w:p w14:paraId="2CE07B94">
            <w:pPr>
              <w:widowControl/>
              <w:adjustRightInd w:val="0"/>
              <w:snapToGrid w:val="0"/>
              <w:jc w:val="right"/>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rPr>
              <w:t xml:space="preserve">                                                   </w:t>
            </w:r>
            <w:r>
              <w:rPr>
                <w:rFonts w:hint="eastAsia" w:ascii="仿宋" w:hAnsi="仿宋" w:eastAsia="仿宋" w:cs="仿宋"/>
                <w:color w:val="auto"/>
                <w:kern w:val="0"/>
                <w:sz w:val="24"/>
                <w:szCs w:val="24"/>
                <w:lang w:val="en-US" w:eastAsia="zh-CN"/>
              </w:rPr>
              <w:t>2024</w:t>
            </w:r>
            <w:r>
              <w:rPr>
                <w:rFonts w:hint="eastAsia" w:ascii="仿宋" w:hAnsi="仿宋" w:eastAsia="仿宋" w:cs="仿宋"/>
                <w:color w:val="auto"/>
                <w:kern w:val="0"/>
                <w:sz w:val="24"/>
                <w:szCs w:val="24"/>
              </w:rPr>
              <w:t xml:space="preserve">年 </w:t>
            </w:r>
            <w:r>
              <w:rPr>
                <w:rFonts w:hint="eastAsia" w:ascii="仿宋" w:hAnsi="仿宋" w:eastAsia="仿宋" w:cs="仿宋"/>
                <w:color w:val="auto"/>
                <w:kern w:val="0"/>
                <w:sz w:val="24"/>
                <w:szCs w:val="24"/>
                <w:lang w:val="en-US" w:eastAsia="zh-CN"/>
              </w:rPr>
              <w:t>7</w:t>
            </w:r>
            <w:r>
              <w:rPr>
                <w:rFonts w:hint="eastAsia" w:ascii="仿宋" w:hAnsi="仿宋" w:eastAsia="仿宋" w:cs="仿宋"/>
                <w:color w:val="auto"/>
                <w:kern w:val="0"/>
                <w:sz w:val="24"/>
                <w:szCs w:val="24"/>
              </w:rPr>
              <w:t>月</w:t>
            </w:r>
            <w:r>
              <w:rPr>
                <w:rFonts w:hint="eastAsia" w:ascii="仿宋" w:hAnsi="仿宋" w:eastAsia="仿宋" w:cs="仿宋"/>
                <w:color w:val="auto"/>
                <w:kern w:val="0"/>
                <w:sz w:val="24"/>
                <w:szCs w:val="24"/>
                <w:lang w:val="en-US" w:eastAsia="zh-CN"/>
              </w:rPr>
              <w:t>5</w:t>
            </w:r>
            <w:r>
              <w:rPr>
                <w:rFonts w:hint="eastAsia" w:ascii="仿宋" w:hAnsi="仿宋" w:eastAsia="仿宋" w:cs="仿宋"/>
                <w:color w:val="auto"/>
                <w:kern w:val="0"/>
                <w:sz w:val="24"/>
                <w:szCs w:val="24"/>
              </w:rPr>
              <w:t>日</w:t>
            </w:r>
            <w:r>
              <w:rPr>
                <w:rFonts w:hint="eastAsia" w:ascii="仿宋" w:hAnsi="仿宋" w:eastAsia="仿宋" w:cs="仿宋"/>
                <w:color w:val="auto"/>
                <w:kern w:val="0"/>
                <w:sz w:val="24"/>
                <w:szCs w:val="24"/>
                <w:lang w:val="en-US" w:eastAsia="zh-CN"/>
              </w:rPr>
              <w:t xml:space="preserve"> </w:t>
            </w:r>
          </w:p>
          <w:p w14:paraId="40B5CD6A">
            <w:pPr>
              <w:widowControl/>
              <w:adjustRightInd w:val="0"/>
              <w:snapToGrid w:val="0"/>
              <w:jc w:val="right"/>
              <w:rPr>
                <w:rFonts w:hint="eastAsia" w:ascii="仿宋" w:hAnsi="仿宋" w:eastAsia="仿宋" w:cs="仿宋"/>
                <w:color w:val="auto"/>
                <w:kern w:val="0"/>
                <w:sz w:val="24"/>
                <w:szCs w:val="24"/>
              </w:rPr>
            </w:pPr>
          </w:p>
        </w:tc>
        <w:tc>
          <w:tcPr>
            <w:tcW w:w="4654" w:type="dxa"/>
            <w:gridSpan w:val="9"/>
            <w:noWrap w:val="0"/>
            <w:vAlign w:val="center"/>
          </w:tcPr>
          <w:p w14:paraId="1FE513B7">
            <w:pPr>
              <w:widowControl/>
              <w:adjustRightInd w:val="0"/>
              <w:snapToGrid w:val="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系主任审核</w:t>
            </w:r>
            <w:r>
              <w:rPr>
                <w:rFonts w:hint="eastAsia" w:ascii="仿宋" w:hAnsi="仿宋" w:eastAsia="仿宋" w:cs="仿宋"/>
                <w:color w:val="auto"/>
                <w:kern w:val="0"/>
                <w:sz w:val="24"/>
                <w:szCs w:val="24"/>
              </w:rPr>
              <w:t>意见：</w:t>
            </w:r>
          </w:p>
          <w:p w14:paraId="353D719E">
            <w:pPr>
              <w:widowControl/>
              <w:adjustRightInd w:val="0"/>
              <w:snapToGrid w:val="0"/>
              <w:jc w:val="left"/>
              <w:rPr>
                <w:rFonts w:hint="eastAsia" w:ascii="仿宋" w:hAnsi="仿宋" w:eastAsia="仿宋" w:cs="仿宋"/>
                <w:color w:val="auto"/>
                <w:kern w:val="0"/>
                <w:sz w:val="24"/>
                <w:szCs w:val="24"/>
              </w:rPr>
            </w:pPr>
          </w:p>
          <w:p w14:paraId="54F1A991">
            <w:pPr>
              <w:widowControl/>
              <w:adjustRightInd w:val="0"/>
              <w:snapToGrid w:val="0"/>
              <w:jc w:val="left"/>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 xml:space="preserve">    同意。</w:t>
            </w:r>
          </w:p>
          <w:p w14:paraId="3185E7E0">
            <w:pPr>
              <w:widowControl/>
              <w:adjustRightInd w:val="0"/>
              <w:snapToGrid w:val="0"/>
              <w:jc w:val="left"/>
              <w:rPr>
                <w:rFonts w:hint="eastAsia" w:ascii="仿宋" w:hAnsi="仿宋" w:eastAsia="仿宋" w:cs="仿宋"/>
                <w:color w:val="auto"/>
                <w:kern w:val="0"/>
                <w:sz w:val="24"/>
                <w:szCs w:val="24"/>
              </w:rPr>
            </w:pPr>
          </w:p>
          <w:p w14:paraId="6522933F">
            <w:pPr>
              <w:widowControl/>
              <w:adjustRightInd w:val="0"/>
              <w:snapToGrid w:val="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系主任</w:t>
            </w:r>
            <w:r>
              <w:rPr>
                <w:rFonts w:hint="eastAsia" w:ascii="仿宋" w:hAnsi="仿宋" w:eastAsia="仿宋" w:cs="仿宋"/>
                <w:color w:val="auto"/>
                <w:kern w:val="0"/>
                <w:sz w:val="24"/>
                <w:szCs w:val="24"/>
              </w:rPr>
              <w:t>签名：</w:t>
            </w:r>
          </w:p>
          <w:p w14:paraId="720D06EA">
            <w:pPr>
              <w:widowControl/>
              <w:adjustRightInd w:val="0"/>
              <w:snapToGrid w:val="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 xml:space="preserve">             </w:t>
            </w:r>
            <w:r>
              <w:rPr>
                <w:rFonts w:hint="eastAsia" w:ascii="仿宋" w:hAnsi="仿宋" w:eastAsia="仿宋"/>
                <w:szCs w:val="21"/>
              </w:rPr>
              <w:drawing>
                <wp:inline distT="0" distB="0" distL="114300" distR="114300">
                  <wp:extent cx="663575" cy="361950"/>
                  <wp:effectExtent l="0" t="0" r="3175" b="0"/>
                  <wp:docPr id="33" name="图片 3" descr="WechatIMG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 descr="WechatIMG63"/>
                          <pic:cNvPicPr>
                            <a:picLocks noChangeAspect="1"/>
                          </pic:cNvPicPr>
                        </pic:nvPicPr>
                        <pic:blipFill>
                          <a:blip r:embed="rId163"/>
                          <a:stretch>
                            <a:fillRect/>
                          </a:stretch>
                        </pic:blipFill>
                        <pic:spPr>
                          <a:xfrm>
                            <a:off x="0" y="0"/>
                            <a:ext cx="663575" cy="361950"/>
                          </a:xfrm>
                          <a:prstGeom prst="rect">
                            <a:avLst/>
                          </a:prstGeom>
                        </pic:spPr>
                      </pic:pic>
                    </a:graphicData>
                  </a:graphic>
                </wp:inline>
              </w:drawing>
            </w:r>
          </w:p>
          <w:p w14:paraId="4374BC4D">
            <w:pPr>
              <w:widowControl/>
              <w:adjustRightInd w:val="0"/>
              <w:snapToGrid w:val="0"/>
              <w:ind w:firstLine="2400" w:firstLineChars="1000"/>
              <w:jc w:val="both"/>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2024</w:t>
            </w:r>
            <w:r>
              <w:rPr>
                <w:rFonts w:hint="eastAsia" w:ascii="仿宋" w:hAnsi="仿宋" w:eastAsia="仿宋" w:cs="仿宋"/>
                <w:color w:val="auto"/>
                <w:kern w:val="0"/>
                <w:sz w:val="24"/>
                <w:szCs w:val="24"/>
              </w:rPr>
              <w:t>年</w:t>
            </w:r>
            <w:r>
              <w:rPr>
                <w:rFonts w:hint="eastAsia" w:ascii="仿宋" w:hAnsi="仿宋" w:eastAsia="仿宋" w:cs="仿宋"/>
                <w:color w:val="auto"/>
                <w:kern w:val="0"/>
                <w:sz w:val="24"/>
                <w:szCs w:val="24"/>
                <w:lang w:val="en-US" w:eastAsia="zh-CN"/>
              </w:rPr>
              <w:t>7</w:t>
            </w:r>
            <w:r>
              <w:rPr>
                <w:rFonts w:hint="eastAsia" w:ascii="仿宋" w:hAnsi="仿宋" w:eastAsia="仿宋" w:cs="仿宋"/>
                <w:color w:val="auto"/>
                <w:kern w:val="0"/>
                <w:sz w:val="24"/>
                <w:szCs w:val="24"/>
              </w:rPr>
              <w:t>月</w:t>
            </w:r>
            <w:r>
              <w:rPr>
                <w:rFonts w:hint="eastAsia" w:ascii="仿宋" w:hAnsi="仿宋" w:eastAsia="仿宋" w:cs="仿宋"/>
                <w:color w:val="auto"/>
                <w:kern w:val="0"/>
                <w:sz w:val="24"/>
                <w:szCs w:val="24"/>
                <w:lang w:val="en-US" w:eastAsia="zh-CN"/>
              </w:rPr>
              <w:t>6</w:t>
            </w:r>
            <w:r>
              <w:rPr>
                <w:rFonts w:hint="eastAsia" w:ascii="仿宋" w:hAnsi="仿宋" w:eastAsia="仿宋" w:cs="仿宋"/>
                <w:color w:val="auto"/>
                <w:kern w:val="0"/>
                <w:sz w:val="24"/>
                <w:szCs w:val="24"/>
              </w:rPr>
              <w:t>日</w:t>
            </w:r>
          </w:p>
          <w:p w14:paraId="4EB012EF">
            <w:pPr>
              <w:widowControl/>
              <w:adjustRightInd w:val="0"/>
              <w:snapToGrid w:val="0"/>
              <w:jc w:val="right"/>
              <w:rPr>
                <w:rFonts w:hint="eastAsia" w:ascii="仿宋" w:hAnsi="仿宋" w:eastAsia="仿宋" w:cs="仿宋"/>
                <w:color w:val="auto"/>
                <w:kern w:val="0"/>
                <w:sz w:val="24"/>
                <w:szCs w:val="24"/>
              </w:rPr>
            </w:pPr>
          </w:p>
        </w:tc>
      </w:tr>
    </w:tbl>
    <w:p w14:paraId="3E28DD87">
      <w:pPr>
        <w:widowControl/>
        <w:spacing w:line="360" w:lineRule="auto"/>
        <w:ind w:right="480"/>
        <w:rPr>
          <w:rFonts w:hint="default" w:eastAsia="宋体" w:cs="黑体"/>
          <w:color w:val="auto"/>
          <w:lang w:val="en-US" w:eastAsia="zh-CN"/>
        </w:rPr>
        <w:sectPr>
          <w:headerReference r:id="rId133" w:type="default"/>
          <w:footerReference r:id="rId134" w:type="default"/>
          <w:pgSz w:w="11906" w:h="16838"/>
          <w:pgMar w:top="1134" w:right="1417" w:bottom="1134" w:left="1417" w:header="851" w:footer="992" w:gutter="0"/>
          <w:cols w:space="720" w:num="1"/>
          <w:docGrid w:type="lines" w:linePitch="312" w:charSpace="0"/>
        </w:sectPr>
      </w:pPr>
    </w:p>
    <w:p w14:paraId="10EA6FF5">
      <w:pPr>
        <w:adjustRightInd w:val="0"/>
        <w:snapToGrid w:val="0"/>
        <w:spacing w:line="360" w:lineRule="auto"/>
        <w:jc w:val="center"/>
        <w:rPr>
          <w:rFonts w:hint="eastAsia" w:ascii="仿宋" w:hAnsi="Times New Roman" w:eastAsia="仿宋" w:cs="仿宋"/>
          <w:b/>
          <w:bCs/>
          <w:color w:val="000000"/>
          <w:sz w:val="28"/>
          <w:szCs w:val="28"/>
          <w:lang w:val="en-US" w:eastAsia="zh-CN"/>
        </w:rPr>
      </w:pPr>
      <w:r>
        <w:rPr>
          <w:rFonts w:hint="eastAsia" w:ascii="仿宋" w:hAnsi="Times New Roman" w:eastAsia="仿宋" w:cs="仿宋"/>
          <w:b/>
          <w:bCs/>
          <w:color w:val="000000"/>
          <w:sz w:val="28"/>
          <w:szCs w:val="28"/>
          <w:lang w:val="en-US" w:eastAsia="zh-CN"/>
        </w:rPr>
        <w:t>附表</w:t>
      </w:r>
      <w:r>
        <w:rPr>
          <w:rFonts w:hint="eastAsia" w:ascii="仿宋" w:eastAsia="仿宋" w:cs="仿宋"/>
          <w:b/>
          <w:bCs/>
          <w:color w:val="000000"/>
          <w:sz w:val="28"/>
          <w:szCs w:val="28"/>
          <w:lang w:val="en-US" w:eastAsia="zh-CN"/>
        </w:rPr>
        <w:t>:</w:t>
      </w:r>
      <w:r>
        <w:rPr>
          <w:rFonts w:hint="eastAsia" w:ascii="仿宋" w:hAnsi="Times New Roman" w:eastAsia="仿宋" w:cs="仿宋"/>
          <w:b/>
          <w:bCs/>
          <w:color w:val="000000"/>
          <w:sz w:val="28"/>
          <w:szCs w:val="28"/>
          <w:lang w:val="en-US" w:eastAsia="zh-CN"/>
        </w:rPr>
        <w:t>《综合实践(一):毕业方向音乐会》课程目标评分量表</w:t>
      </w:r>
    </w:p>
    <w:tbl>
      <w:tblPr>
        <w:tblStyle w:val="22"/>
        <w:tblW w:w="84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28" w:type="dxa"/>
        </w:tblCellMar>
      </w:tblPr>
      <w:tblGrid>
        <w:gridCol w:w="296"/>
        <w:gridCol w:w="1779"/>
        <w:gridCol w:w="1290"/>
        <w:gridCol w:w="1320"/>
        <w:gridCol w:w="1245"/>
        <w:gridCol w:w="1305"/>
        <w:gridCol w:w="1218"/>
      </w:tblGrid>
      <w:tr w14:paraId="07845EF9">
        <w:trPr>
          <w:trHeight w:val="90" w:hRule="atLeast"/>
          <w:jc w:val="center"/>
        </w:trPr>
        <w:tc>
          <w:tcPr>
            <w:tcW w:w="0" w:type="auto"/>
            <w:vMerge w:val="restart"/>
            <w:noWrap w:val="0"/>
            <w:vAlign w:val="center"/>
          </w:tcPr>
          <w:p w14:paraId="4252AA3C">
            <w:pPr>
              <w:adjustRightInd w:val="0"/>
              <w:snapToGrid w:val="0"/>
              <w:spacing w:line="240" w:lineRule="atLeast"/>
              <w:jc w:val="center"/>
              <w:rPr>
                <w:rFonts w:hint="eastAsia" w:ascii="楷体" w:hAnsi="楷体" w:eastAsia="楷体" w:cs="楷体"/>
                <w:color w:val="auto"/>
                <w:sz w:val="21"/>
                <w:szCs w:val="21"/>
              </w:rPr>
            </w:pPr>
            <w:r>
              <w:rPr>
                <w:rFonts w:hint="eastAsia" w:ascii="楷体" w:hAnsi="楷体" w:eastAsia="楷体" w:cs="楷体"/>
                <w:color w:val="auto"/>
                <w:sz w:val="21"/>
                <w:szCs w:val="21"/>
              </w:rPr>
              <w:t>M</w:t>
            </w:r>
          </w:p>
          <w:p w14:paraId="2FE1ECBA">
            <w:pPr>
              <w:adjustRightInd w:val="0"/>
              <w:snapToGrid w:val="0"/>
              <w:spacing w:line="240" w:lineRule="atLeast"/>
              <w:jc w:val="center"/>
              <w:rPr>
                <w:rFonts w:hint="eastAsia" w:ascii="楷体" w:hAnsi="楷体" w:eastAsia="楷体" w:cs="楷体"/>
                <w:color w:val="auto"/>
                <w:sz w:val="21"/>
                <w:szCs w:val="21"/>
              </w:rPr>
            </w:pPr>
            <w:r>
              <w:rPr>
                <w:rFonts w:hint="eastAsia" w:ascii="楷体" w:hAnsi="楷体" w:eastAsia="楷体" w:cs="楷体"/>
                <w:color w:val="auto"/>
                <w:sz w:val="21"/>
                <w:szCs w:val="21"/>
              </w:rPr>
              <w:t>评分量表</w:t>
            </w:r>
          </w:p>
        </w:tc>
        <w:tc>
          <w:tcPr>
            <w:tcW w:w="1779" w:type="dxa"/>
            <w:noWrap w:val="0"/>
            <w:vAlign w:val="center"/>
          </w:tcPr>
          <w:p w14:paraId="14E8580E">
            <w:pPr>
              <w:tabs>
                <w:tab w:val="left" w:pos="720"/>
              </w:tabs>
              <w:adjustRightInd w:val="0"/>
              <w:snapToGrid w:val="0"/>
              <w:spacing w:line="240" w:lineRule="atLeast"/>
              <w:jc w:val="center"/>
              <w:rPr>
                <w:rFonts w:hint="eastAsia" w:ascii="楷体" w:hAnsi="楷体" w:eastAsia="楷体" w:cs="楷体"/>
                <w:color w:val="auto"/>
                <w:kern w:val="0"/>
                <w:sz w:val="21"/>
                <w:szCs w:val="21"/>
              </w:rPr>
            </w:pPr>
            <w:r>
              <w:rPr>
                <w:rFonts w:hint="eastAsia" w:ascii="楷体" w:hAnsi="楷体" w:eastAsia="楷体" w:cs="楷体"/>
                <w:color w:val="auto"/>
                <w:kern w:val="0"/>
                <w:sz w:val="21"/>
                <w:szCs w:val="21"/>
              </w:rPr>
              <w:t>课程目标</w:t>
            </w:r>
          </w:p>
        </w:tc>
        <w:tc>
          <w:tcPr>
            <w:tcW w:w="1290" w:type="dxa"/>
            <w:noWrap w:val="0"/>
            <w:vAlign w:val="center"/>
          </w:tcPr>
          <w:p w14:paraId="158B0C37">
            <w:pPr>
              <w:tabs>
                <w:tab w:val="left" w:pos="720"/>
              </w:tabs>
              <w:adjustRightInd w:val="0"/>
              <w:snapToGrid w:val="0"/>
              <w:spacing w:line="240" w:lineRule="atLeast"/>
              <w:jc w:val="center"/>
              <w:rPr>
                <w:rFonts w:hint="eastAsia" w:ascii="楷体" w:hAnsi="楷体" w:eastAsia="楷体" w:cs="楷体"/>
                <w:color w:val="auto"/>
                <w:kern w:val="0"/>
                <w:sz w:val="21"/>
                <w:szCs w:val="21"/>
              </w:rPr>
            </w:pPr>
            <w:r>
              <w:rPr>
                <w:rFonts w:hint="eastAsia" w:ascii="楷体" w:hAnsi="楷体" w:eastAsia="楷体" w:cs="楷体"/>
                <w:color w:val="auto"/>
                <w:kern w:val="0"/>
                <w:sz w:val="21"/>
                <w:szCs w:val="21"/>
              </w:rPr>
              <w:t>优（X≧90）</w:t>
            </w:r>
          </w:p>
        </w:tc>
        <w:tc>
          <w:tcPr>
            <w:tcW w:w="1320" w:type="dxa"/>
            <w:noWrap w:val="0"/>
            <w:vAlign w:val="center"/>
          </w:tcPr>
          <w:p w14:paraId="06DDEB0A">
            <w:pPr>
              <w:tabs>
                <w:tab w:val="left" w:pos="720"/>
              </w:tabs>
              <w:adjustRightInd w:val="0"/>
              <w:snapToGrid w:val="0"/>
              <w:spacing w:line="240" w:lineRule="atLeast"/>
              <w:jc w:val="center"/>
              <w:rPr>
                <w:rFonts w:hint="eastAsia" w:ascii="楷体" w:hAnsi="楷体" w:eastAsia="楷体" w:cs="楷体"/>
                <w:color w:val="auto"/>
                <w:kern w:val="0"/>
                <w:sz w:val="21"/>
                <w:szCs w:val="21"/>
              </w:rPr>
            </w:pPr>
            <w:r>
              <w:rPr>
                <w:rFonts w:hint="eastAsia" w:ascii="楷体" w:hAnsi="楷体" w:eastAsia="楷体" w:cs="楷体"/>
                <w:color w:val="auto"/>
                <w:kern w:val="0"/>
                <w:sz w:val="21"/>
                <w:szCs w:val="21"/>
              </w:rPr>
              <w:t>良（80≦X＜90）</w:t>
            </w:r>
          </w:p>
        </w:tc>
        <w:tc>
          <w:tcPr>
            <w:tcW w:w="1245" w:type="dxa"/>
            <w:noWrap w:val="0"/>
            <w:vAlign w:val="center"/>
          </w:tcPr>
          <w:p w14:paraId="1E66F912">
            <w:pPr>
              <w:tabs>
                <w:tab w:val="left" w:pos="720"/>
              </w:tabs>
              <w:adjustRightInd w:val="0"/>
              <w:snapToGrid w:val="0"/>
              <w:spacing w:line="240" w:lineRule="atLeast"/>
              <w:jc w:val="center"/>
              <w:rPr>
                <w:rFonts w:hint="eastAsia" w:ascii="楷体" w:hAnsi="楷体" w:eastAsia="楷体" w:cs="楷体"/>
                <w:color w:val="auto"/>
                <w:kern w:val="0"/>
                <w:sz w:val="21"/>
                <w:szCs w:val="21"/>
              </w:rPr>
            </w:pPr>
            <w:r>
              <w:rPr>
                <w:rFonts w:hint="eastAsia" w:ascii="楷体" w:hAnsi="楷体" w:eastAsia="楷体" w:cs="楷体"/>
                <w:color w:val="auto"/>
                <w:kern w:val="0"/>
                <w:sz w:val="21"/>
                <w:szCs w:val="21"/>
              </w:rPr>
              <w:t>中（70≦X＜80）</w:t>
            </w:r>
          </w:p>
        </w:tc>
        <w:tc>
          <w:tcPr>
            <w:tcW w:w="1305" w:type="dxa"/>
            <w:noWrap w:val="0"/>
            <w:vAlign w:val="center"/>
          </w:tcPr>
          <w:p w14:paraId="0317E86A">
            <w:pPr>
              <w:tabs>
                <w:tab w:val="left" w:pos="720"/>
              </w:tabs>
              <w:adjustRightInd w:val="0"/>
              <w:snapToGrid w:val="0"/>
              <w:spacing w:line="240" w:lineRule="atLeast"/>
              <w:jc w:val="center"/>
              <w:rPr>
                <w:rFonts w:hint="eastAsia" w:ascii="楷体" w:hAnsi="楷体" w:eastAsia="楷体" w:cs="楷体"/>
                <w:color w:val="auto"/>
                <w:kern w:val="0"/>
                <w:sz w:val="21"/>
                <w:szCs w:val="21"/>
              </w:rPr>
            </w:pPr>
            <w:r>
              <w:rPr>
                <w:rFonts w:hint="eastAsia" w:ascii="楷体" w:hAnsi="楷体" w:eastAsia="楷体" w:cs="楷体"/>
                <w:color w:val="auto"/>
                <w:kern w:val="0"/>
                <w:sz w:val="21"/>
                <w:szCs w:val="21"/>
              </w:rPr>
              <w:t>及格（60≦X＜70）</w:t>
            </w:r>
          </w:p>
        </w:tc>
        <w:tc>
          <w:tcPr>
            <w:tcW w:w="1218" w:type="dxa"/>
            <w:noWrap w:val="0"/>
            <w:vAlign w:val="center"/>
          </w:tcPr>
          <w:p w14:paraId="30995A5A">
            <w:pPr>
              <w:tabs>
                <w:tab w:val="left" w:pos="720"/>
              </w:tabs>
              <w:adjustRightInd w:val="0"/>
              <w:snapToGrid w:val="0"/>
              <w:spacing w:line="240" w:lineRule="atLeast"/>
              <w:jc w:val="center"/>
              <w:rPr>
                <w:rFonts w:hint="eastAsia" w:ascii="楷体" w:hAnsi="楷体" w:eastAsia="楷体" w:cs="楷体"/>
                <w:color w:val="auto"/>
                <w:kern w:val="0"/>
                <w:sz w:val="21"/>
                <w:szCs w:val="21"/>
              </w:rPr>
            </w:pPr>
            <w:r>
              <w:rPr>
                <w:rFonts w:hint="eastAsia" w:ascii="楷体" w:hAnsi="楷体" w:eastAsia="楷体" w:cs="楷体"/>
                <w:color w:val="auto"/>
                <w:kern w:val="0"/>
                <w:sz w:val="21"/>
                <w:szCs w:val="21"/>
              </w:rPr>
              <w:t>不及格（＜60）</w:t>
            </w:r>
          </w:p>
        </w:tc>
      </w:tr>
      <w:tr w14:paraId="260DEC03">
        <w:trPr>
          <w:trHeight w:val="2722" w:hRule="atLeast"/>
          <w:jc w:val="center"/>
        </w:trPr>
        <w:tc>
          <w:tcPr>
            <w:tcW w:w="0" w:type="auto"/>
            <w:vMerge w:val="continue"/>
            <w:noWrap w:val="0"/>
            <w:vAlign w:val="center"/>
          </w:tcPr>
          <w:p w14:paraId="3E13EB91">
            <w:pPr>
              <w:adjustRightInd w:val="0"/>
              <w:snapToGrid w:val="0"/>
              <w:spacing w:line="240" w:lineRule="atLeast"/>
              <w:jc w:val="center"/>
              <w:rPr>
                <w:rFonts w:hint="eastAsia" w:ascii="楷体" w:hAnsi="楷体" w:eastAsia="楷体" w:cs="楷体"/>
                <w:color w:val="auto"/>
                <w:sz w:val="21"/>
                <w:szCs w:val="21"/>
              </w:rPr>
            </w:pPr>
          </w:p>
        </w:tc>
        <w:tc>
          <w:tcPr>
            <w:tcW w:w="1779" w:type="dxa"/>
            <w:noWrap w:val="0"/>
            <w:vAlign w:val="top"/>
          </w:tcPr>
          <w:p w14:paraId="38B5E442">
            <w:pPr>
              <w:widowControl/>
              <w:adjustRightInd w:val="0"/>
              <w:snapToGrid w:val="0"/>
              <w:jc w:val="left"/>
              <w:rPr>
                <w:rFonts w:hint="eastAsia" w:ascii="楷体" w:hAnsi="楷体" w:eastAsia="楷体" w:cs="楷体"/>
                <w:bCs/>
                <w:color w:val="auto"/>
                <w:sz w:val="21"/>
                <w:szCs w:val="21"/>
                <w:lang w:eastAsia="zh-CN"/>
              </w:rPr>
            </w:pPr>
            <w:r>
              <w:rPr>
                <w:rFonts w:hint="eastAsia" w:ascii="楷体" w:hAnsi="楷体" w:eastAsia="楷体" w:cs="楷体"/>
                <w:bCs/>
                <w:color w:val="auto"/>
                <w:sz w:val="21"/>
                <w:szCs w:val="21"/>
              </w:rPr>
              <w:t>课程目标1</w:t>
            </w:r>
            <w:r>
              <w:rPr>
                <w:rFonts w:hint="eastAsia" w:ascii="楷体" w:hAnsi="楷体" w:eastAsia="楷体" w:cs="楷体"/>
                <w:bCs/>
                <w:color w:val="auto"/>
                <w:sz w:val="21"/>
                <w:szCs w:val="21"/>
                <w:lang w:eastAsia="zh-CN"/>
              </w:rPr>
              <w:t>：</w:t>
            </w:r>
          </w:p>
          <w:p w14:paraId="0BDCA274">
            <w:pPr>
              <w:widowControl/>
              <w:adjustRightInd w:val="0"/>
              <w:snapToGrid w:val="0"/>
              <w:ind w:firstLine="420" w:firstLineChars="200"/>
              <w:jc w:val="left"/>
              <w:rPr>
                <w:rFonts w:hint="eastAsia" w:ascii="楷体" w:hAnsi="楷体" w:eastAsia="楷体" w:cs="楷体"/>
                <w:color w:val="auto"/>
                <w:sz w:val="21"/>
                <w:szCs w:val="21"/>
              </w:rPr>
            </w:pPr>
            <w:r>
              <w:rPr>
                <w:rFonts w:hint="eastAsia" w:ascii="楷体" w:hAnsi="楷体" w:eastAsia="楷体" w:cs="楷体"/>
                <w:sz w:val="21"/>
                <w:szCs w:val="21"/>
                <w:lang w:val="en-US" w:eastAsia="zh-CN"/>
              </w:rPr>
              <w:t>根据学生自身主修专业专业为基础，对曲目情感诠释进行深入研究和细致调整，对演奏（唱）、表演作品要求的风格特点、音色、速度等有一定呈现。</w:t>
            </w:r>
          </w:p>
        </w:tc>
        <w:tc>
          <w:tcPr>
            <w:tcW w:w="1290" w:type="dxa"/>
            <w:noWrap w:val="0"/>
            <w:vAlign w:val="top"/>
          </w:tcPr>
          <w:p w14:paraId="7A338E15">
            <w:pPr>
              <w:widowControl/>
              <w:adjustRightInd w:val="0"/>
              <w:snapToGrid w:val="0"/>
              <w:ind w:firstLine="420" w:firstLineChars="200"/>
              <w:rPr>
                <w:rFonts w:hint="eastAsia" w:ascii="楷体" w:hAnsi="楷体" w:eastAsia="楷体" w:cs="楷体"/>
                <w:sz w:val="21"/>
                <w:szCs w:val="21"/>
                <w:lang w:eastAsia="zh-CN"/>
              </w:rPr>
            </w:pPr>
            <w:r>
              <w:rPr>
                <w:rFonts w:hint="eastAsia" w:ascii="楷体" w:hAnsi="楷体" w:eastAsia="楷体" w:cs="楷体"/>
                <w:sz w:val="21"/>
                <w:szCs w:val="21"/>
              </w:rPr>
              <w:t>能很好地</w:t>
            </w:r>
            <w:r>
              <w:rPr>
                <w:rFonts w:hint="eastAsia" w:ascii="楷体" w:hAnsi="楷体" w:eastAsia="楷体" w:cs="楷体"/>
                <w:sz w:val="21"/>
                <w:szCs w:val="21"/>
                <w:lang w:val="en-US" w:eastAsia="zh-CN"/>
              </w:rPr>
              <w:t>对曲目情感诠释进行深入研究和细致调整，对演奏（唱）、表演作品要求的风格特点、音色、速度等有很好地呈现。</w:t>
            </w:r>
          </w:p>
        </w:tc>
        <w:tc>
          <w:tcPr>
            <w:tcW w:w="1320" w:type="dxa"/>
            <w:noWrap w:val="0"/>
            <w:vAlign w:val="top"/>
          </w:tcPr>
          <w:p w14:paraId="568755F2">
            <w:pPr>
              <w:widowControl/>
              <w:adjustRightInd w:val="0"/>
              <w:snapToGrid w:val="0"/>
              <w:ind w:firstLine="420" w:firstLineChars="200"/>
              <w:rPr>
                <w:rFonts w:hint="eastAsia" w:ascii="楷体" w:hAnsi="楷体" w:eastAsia="楷体" w:cs="楷体"/>
                <w:sz w:val="21"/>
                <w:szCs w:val="21"/>
                <w:lang w:eastAsia="zh-CN"/>
              </w:rPr>
            </w:pPr>
            <w:r>
              <w:rPr>
                <w:rFonts w:hint="eastAsia" w:ascii="楷体" w:hAnsi="楷体" w:eastAsia="楷体" w:cs="楷体"/>
                <w:sz w:val="21"/>
                <w:szCs w:val="21"/>
              </w:rPr>
              <w:t>能</w:t>
            </w:r>
            <w:r>
              <w:rPr>
                <w:rFonts w:hint="eastAsia" w:ascii="楷体" w:hAnsi="楷体" w:eastAsia="楷体" w:cs="楷体"/>
                <w:sz w:val="21"/>
                <w:szCs w:val="21"/>
                <w:lang w:val="en-US" w:eastAsia="zh-CN"/>
              </w:rPr>
              <w:t>较</w:t>
            </w:r>
            <w:r>
              <w:rPr>
                <w:rFonts w:hint="eastAsia" w:ascii="楷体" w:hAnsi="楷体" w:eastAsia="楷体" w:cs="楷体"/>
                <w:sz w:val="21"/>
                <w:szCs w:val="21"/>
              </w:rPr>
              <w:t>好地</w:t>
            </w:r>
            <w:r>
              <w:rPr>
                <w:rFonts w:hint="eastAsia" w:ascii="楷体" w:hAnsi="楷体" w:eastAsia="楷体" w:cs="楷体"/>
                <w:sz w:val="21"/>
                <w:szCs w:val="21"/>
                <w:lang w:val="en-US" w:eastAsia="zh-CN"/>
              </w:rPr>
              <w:t>对曲目情感诠释进行深入研究和细致调整，对演奏（唱）、表演作品要求的风格特点、音色、速度等有较好地呈现。</w:t>
            </w:r>
          </w:p>
        </w:tc>
        <w:tc>
          <w:tcPr>
            <w:tcW w:w="1245" w:type="dxa"/>
            <w:noWrap w:val="0"/>
            <w:vAlign w:val="top"/>
          </w:tcPr>
          <w:p w14:paraId="449F77D3">
            <w:pPr>
              <w:widowControl/>
              <w:adjustRightInd w:val="0"/>
              <w:snapToGrid w:val="0"/>
              <w:ind w:firstLine="420" w:firstLineChars="200"/>
              <w:rPr>
                <w:rFonts w:hint="eastAsia" w:ascii="楷体" w:hAnsi="楷体" w:eastAsia="楷体" w:cs="楷体"/>
                <w:sz w:val="21"/>
                <w:szCs w:val="21"/>
                <w:lang w:eastAsia="zh-CN"/>
              </w:rPr>
            </w:pPr>
            <w:r>
              <w:rPr>
                <w:rFonts w:hint="eastAsia" w:ascii="楷体" w:hAnsi="楷体" w:eastAsia="楷体" w:cs="楷体"/>
                <w:sz w:val="21"/>
                <w:szCs w:val="21"/>
              </w:rPr>
              <w:t>能</w:t>
            </w:r>
            <w:r>
              <w:rPr>
                <w:rFonts w:hint="eastAsia" w:ascii="楷体" w:hAnsi="楷体" w:eastAsia="楷体" w:cs="楷体"/>
                <w:sz w:val="21"/>
                <w:szCs w:val="21"/>
                <w:lang w:val="en-US" w:eastAsia="zh-CN"/>
              </w:rPr>
              <w:t>对曲目情感诠释进行深入研究和细致调整，对演奏（唱）、表演作品要求的风格特点、音色、速度等一定地呈现。</w:t>
            </w:r>
          </w:p>
        </w:tc>
        <w:tc>
          <w:tcPr>
            <w:tcW w:w="1305" w:type="dxa"/>
            <w:noWrap w:val="0"/>
            <w:vAlign w:val="top"/>
          </w:tcPr>
          <w:p w14:paraId="7344388D">
            <w:pPr>
              <w:widowControl/>
              <w:adjustRightInd w:val="0"/>
              <w:snapToGrid w:val="0"/>
              <w:ind w:firstLine="420" w:firstLineChars="200"/>
              <w:rPr>
                <w:rFonts w:hint="eastAsia" w:ascii="楷体" w:hAnsi="楷体" w:eastAsia="楷体" w:cs="楷体"/>
                <w:sz w:val="21"/>
                <w:szCs w:val="21"/>
                <w:lang w:eastAsia="zh-CN"/>
              </w:rPr>
            </w:pPr>
            <w:r>
              <w:rPr>
                <w:rFonts w:hint="eastAsia" w:ascii="楷体" w:hAnsi="楷体" w:eastAsia="楷体" w:cs="楷体"/>
                <w:sz w:val="21"/>
                <w:szCs w:val="21"/>
                <w:lang w:val="en-US" w:eastAsia="zh-CN"/>
              </w:rPr>
              <w:t>初步对曲目情感诠释进行深入研究和细致调整，对演奏（唱）、表演作品要求的风格特点、音色、速度等基本地呈现。</w:t>
            </w:r>
          </w:p>
        </w:tc>
        <w:tc>
          <w:tcPr>
            <w:tcW w:w="1218" w:type="dxa"/>
            <w:noWrap w:val="0"/>
            <w:vAlign w:val="top"/>
          </w:tcPr>
          <w:p w14:paraId="23AF7287">
            <w:pPr>
              <w:widowControl/>
              <w:adjustRightInd w:val="0"/>
              <w:snapToGrid w:val="0"/>
              <w:ind w:firstLine="420" w:firstLineChars="200"/>
              <w:rPr>
                <w:rFonts w:hint="eastAsia" w:ascii="楷体" w:hAnsi="楷体" w:eastAsia="楷体" w:cs="楷体"/>
                <w:sz w:val="21"/>
                <w:szCs w:val="21"/>
              </w:rPr>
            </w:pPr>
            <w:r>
              <w:rPr>
                <w:rFonts w:hint="eastAsia" w:ascii="楷体" w:hAnsi="楷体" w:eastAsia="楷体" w:cs="楷体"/>
                <w:sz w:val="21"/>
                <w:szCs w:val="21"/>
                <w:lang w:val="en-US" w:eastAsia="zh-CN"/>
              </w:rPr>
              <w:t>对曲目情感诠释不能够进行深入研究和细致调整，对演奏（唱）、表演作品要求的风格特点、音色、速度等不能完整地呈现。</w:t>
            </w:r>
          </w:p>
        </w:tc>
      </w:tr>
      <w:tr w14:paraId="25EB32AF">
        <w:trPr>
          <w:trHeight w:val="3562" w:hRule="atLeast"/>
          <w:jc w:val="center"/>
        </w:trPr>
        <w:tc>
          <w:tcPr>
            <w:tcW w:w="0" w:type="auto"/>
            <w:vMerge w:val="continue"/>
            <w:noWrap w:val="0"/>
            <w:vAlign w:val="center"/>
          </w:tcPr>
          <w:p w14:paraId="1932BA37">
            <w:pPr>
              <w:adjustRightInd w:val="0"/>
              <w:snapToGrid w:val="0"/>
              <w:spacing w:line="240" w:lineRule="atLeast"/>
              <w:jc w:val="center"/>
              <w:rPr>
                <w:rFonts w:hint="eastAsia" w:ascii="楷体" w:hAnsi="楷体" w:eastAsia="楷体" w:cs="楷体"/>
                <w:color w:val="auto"/>
                <w:sz w:val="21"/>
                <w:szCs w:val="21"/>
              </w:rPr>
            </w:pPr>
          </w:p>
        </w:tc>
        <w:tc>
          <w:tcPr>
            <w:tcW w:w="1779" w:type="dxa"/>
            <w:noWrap w:val="0"/>
            <w:vAlign w:val="top"/>
          </w:tcPr>
          <w:p w14:paraId="077BF1C1">
            <w:pPr>
              <w:widowControl/>
              <w:adjustRightInd w:val="0"/>
              <w:snapToGrid w:val="0"/>
              <w:jc w:val="left"/>
              <w:rPr>
                <w:rFonts w:hint="eastAsia" w:ascii="楷体" w:hAnsi="楷体" w:eastAsia="楷体" w:cs="楷体"/>
                <w:bCs/>
                <w:color w:val="auto"/>
                <w:sz w:val="21"/>
                <w:szCs w:val="21"/>
                <w:lang w:eastAsia="zh-CN"/>
              </w:rPr>
            </w:pPr>
            <w:r>
              <w:rPr>
                <w:rFonts w:hint="eastAsia" w:ascii="楷体" w:hAnsi="楷体" w:eastAsia="楷体" w:cs="楷体"/>
                <w:bCs/>
                <w:color w:val="auto"/>
                <w:sz w:val="21"/>
                <w:szCs w:val="21"/>
              </w:rPr>
              <w:t>课程目标</w:t>
            </w:r>
            <w:r>
              <w:rPr>
                <w:rFonts w:hint="eastAsia" w:ascii="楷体" w:hAnsi="楷体" w:eastAsia="楷体" w:cs="楷体"/>
                <w:bCs/>
                <w:color w:val="auto"/>
                <w:sz w:val="21"/>
                <w:szCs w:val="21"/>
                <w:lang w:val="en-US" w:eastAsia="zh-CN"/>
              </w:rPr>
              <w:t>2</w:t>
            </w:r>
            <w:r>
              <w:rPr>
                <w:rFonts w:hint="eastAsia" w:ascii="楷体" w:hAnsi="楷体" w:eastAsia="楷体" w:cs="楷体"/>
                <w:bCs/>
                <w:color w:val="auto"/>
                <w:sz w:val="21"/>
                <w:szCs w:val="21"/>
                <w:lang w:eastAsia="zh-CN"/>
              </w:rPr>
              <w:t>：</w:t>
            </w:r>
          </w:p>
          <w:p w14:paraId="0DC9AC63">
            <w:pPr>
              <w:widowControl/>
              <w:adjustRightInd w:val="0"/>
              <w:snapToGrid w:val="0"/>
              <w:ind w:firstLine="420" w:firstLineChars="200"/>
              <w:jc w:val="left"/>
              <w:rPr>
                <w:rFonts w:hint="eastAsia" w:ascii="楷体" w:hAnsi="楷体" w:eastAsia="楷体" w:cs="楷体"/>
                <w:bCs/>
                <w:color w:val="auto"/>
                <w:sz w:val="21"/>
                <w:szCs w:val="21"/>
              </w:rPr>
            </w:pPr>
            <w:r>
              <w:rPr>
                <w:rFonts w:hint="eastAsia" w:ascii="楷体" w:hAnsi="楷体" w:eastAsia="楷体" w:cs="楷体"/>
                <w:bCs/>
                <w:color w:val="auto"/>
                <w:sz w:val="21"/>
                <w:szCs w:val="21"/>
                <w:lang w:val="en-US" w:eastAsia="zh-CN"/>
              </w:rPr>
              <w:t>掌握音乐会筹备的相关知识，以及合伴奏，通过实践对艺术作品独特的见解，了解音乐艺术创作和理论的现状、前沿、应用前景与发展动态，具有较好的专业修养和独立思考能力。</w:t>
            </w:r>
          </w:p>
        </w:tc>
        <w:tc>
          <w:tcPr>
            <w:tcW w:w="1290" w:type="dxa"/>
            <w:noWrap w:val="0"/>
            <w:vAlign w:val="top"/>
          </w:tcPr>
          <w:p w14:paraId="0A8FA71D">
            <w:pPr>
              <w:widowControl/>
              <w:adjustRightInd w:val="0"/>
              <w:snapToGrid w:val="0"/>
              <w:ind w:firstLine="420" w:firstLineChars="200"/>
              <w:jc w:val="left"/>
              <w:rPr>
                <w:rFonts w:hint="eastAsia" w:ascii="楷体" w:hAnsi="楷体" w:eastAsia="楷体" w:cs="楷体"/>
                <w:bCs/>
                <w:color w:val="auto"/>
                <w:sz w:val="21"/>
                <w:szCs w:val="21"/>
              </w:rPr>
            </w:pPr>
            <w:r>
              <w:rPr>
                <w:rFonts w:hint="eastAsia" w:ascii="楷体" w:hAnsi="楷体" w:eastAsia="楷体" w:cs="楷体"/>
                <w:bCs/>
                <w:color w:val="auto"/>
                <w:sz w:val="21"/>
                <w:szCs w:val="21"/>
                <w:lang w:val="en-US" w:eastAsia="zh-CN"/>
              </w:rPr>
              <w:t>能很好地通过实践对艺术作品独特的见解，了解音乐艺术创作和理论的现状、前沿、应用前景与发展动态，具有很好地好的专业修养和独立思考能力。</w:t>
            </w:r>
          </w:p>
        </w:tc>
        <w:tc>
          <w:tcPr>
            <w:tcW w:w="1320" w:type="dxa"/>
            <w:noWrap w:val="0"/>
            <w:vAlign w:val="top"/>
          </w:tcPr>
          <w:p w14:paraId="05B6ECCA">
            <w:pPr>
              <w:widowControl/>
              <w:adjustRightInd w:val="0"/>
              <w:snapToGrid w:val="0"/>
              <w:ind w:firstLine="420" w:firstLineChars="200"/>
              <w:jc w:val="left"/>
              <w:rPr>
                <w:rFonts w:hint="eastAsia" w:ascii="楷体" w:hAnsi="楷体" w:eastAsia="楷体" w:cs="楷体"/>
                <w:bCs/>
                <w:color w:val="auto"/>
                <w:sz w:val="21"/>
                <w:szCs w:val="21"/>
                <w:lang w:val="en-US" w:eastAsia="zh-CN"/>
              </w:rPr>
            </w:pPr>
            <w:r>
              <w:rPr>
                <w:rFonts w:hint="eastAsia" w:ascii="楷体" w:hAnsi="楷体" w:eastAsia="楷体" w:cs="楷体"/>
                <w:bCs/>
                <w:color w:val="auto"/>
                <w:sz w:val="21"/>
                <w:szCs w:val="21"/>
                <w:lang w:val="en-US" w:eastAsia="zh-CN"/>
              </w:rPr>
              <w:t>能较好地通过实践对艺术作品独特的见解，了解音乐艺术创作和理论的现状、前沿、应用前景与发展动态，具有较好地好的专业修养和独立思考能力。</w:t>
            </w:r>
          </w:p>
        </w:tc>
        <w:tc>
          <w:tcPr>
            <w:tcW w:w="1245" w:type="dxa"/>
            <w:noWrap w:val="0"/>
            <w:vAlign w:val="top"/>
          </w:tcPr>
          <w:p w14:paraId="40CB0860">
            <w:pPr>
              <w:widowControl/>
              <w:adjustRightInd w:val="0"/>
              <w:snapToGrid w:val="0"/>
              <w:ind w:firstLine="420" w:firstLineChars="200"/>
              <w:jc w:val="left"/>
              <w:rPr>
                <w:rFonts w:hint="eastAsia" w:ascii="楷体" w:hAnsi="楷体" w:eastAsia="楷体" w:cs="楷体"/>
                <w:bCs/>
                <w:color w:val="auto"/>
                <w:sz w:val="21"/>
                <w:szCs w:val="21"/>
                <w:lang w:val="en-US" w:eastAsia="zh-CN"/>
              </w:rPr>
            </w:pPr>
            <w:r>
              <w:rPr>
                <w:rFonts w:hint="eastAsia" w:ascii="楷体" w:hAnsi="楷体" w:eastAsia="楷体" w:cs="楷体"/>
                <w:bCs/>
                <w:color w:val="auto"/>
                <w:sz w:val="21"/>
                <w:szCs w:val="21"/>
                <w:lang w:val="en-US" w:eastAsia="zh-CN"/>
              </w:rPr>
              <w:t>能通过实践对艺术作品独特的见解，了解音乐艺术创作和理论的现状、前沿、应用前景与发展动态，具有一定专业修养和独立思考能力。</w:t>
            </w:r>
          </w:p>
        </w:tc>
        <w:tc>
          <w:tcPr>
            <w:tcW w:w="1305" w:type="dxa"/>
            <w:noWrap w:val="0"/>
            <w:vAlign w:val="top"/>
          </w:tcPr>
          <w:p w14:paraId="73271BD6">
            <w:pPr>
              <w:widowControl/>
              <w:adjustRightInd w:val="0"/>
              <w:snapToGrid w:val="0"/>
              <w:ind w:firstLine="420" w:firstLineChars="200"/>
              <w:jc w:val="left"/>
              <w:rPr>
                <w:rFonts w:hint="eastAsia" w:ascii="楷体" w:hAnsi="楷体" w:eastAsia="楷体" w:cs="楷体"/>
                <w:bCs/>
                <w:color w:val="auto"/>
                <w:sz w:val="21"/>
                <w:szCs w:val="21"/>
                <w:lang w:val="en-US" w:eastAsia="zh-CN"/>
              </w:rPr>
            </w:pPr>
            <w:r>
              <w:rPr>
                <w:rFonts w:hint="eastAsia" w:ascii="楷体" w:hAnsi="楷体" w:eastAsia="楷体" w:cs="楷体"/>
                <w:bCs/>
                <w:color w:val="auto"/>
                <w:sz w:val="21"/>
                <w:szCs w:val="21"/>
                <w:lang w:val="en-US" w:eastAsia="zh-CN"/>
              </w:rPr>
              <w:t>初步通过实践对艺术作品独特的见解，了解音乐艺术创作和理论的现状、前沿、应用前景与发展动态，具有专业修养和独立思考能力。</w:t>
            </w:r>
          </w:p>
        </w:tc>
        <w:tc>
          <w:tcPr>
            <w:tcW w:w="1218" w:type="dxa"/>
            <w:noWrap w:val="0"/>
            <w:vAlign w:val="top"/>
          </w:tcPr>
          <w:p w14:paraId="0E1CB3AA">
            <w:pPr>
              <w:widowControl/>
              <w:adjustRightInd w:val="0"/>
              <w:snapToGrid w:val="0"/>
              <w:ind w:firstLine="420" w:firstLineChars="200"/>
              <w:jc w:val="left"/>
              <w:rPr>
                <w:rFonts w:hint="eastAsia" w:ascii="楷体" w:hAnsi="楷体" w:eastAsia="楷体" w:cs="楷体"/>
                <w:bCs/>
                <w:color w:val="auto"/>
                <w:sz w:val="21"/>
                <w:szCs w:val="21"/>
                <w:lang w:val="en-US" w:eastAsia="zh-CN"/>
              </w:rPr>
            </w:pPr>
            <w:r>
              <w:rPr>
                <w:rFonts w:hint="eastAsia" w:ascii="楷体" w:hAnsi="楷体" w:eastAsia="楷体" w:cs="楷体"/>
                <w:bCs/>
                <w:color w:val="auto"/>
                <w:sz w:val="21"/>
                <w:szCs w:val="21"/>
                <w:lang w:val="en-US" w:eastAsia="zh-CN"/>
              </w:rPr>
              <w:t>不能通过实践对艺术作品独特的见解，了解音乐艺术创作和理论的现状、前沿、应用前景与发展动态，不具备专业修养和独立思考能力。</w:t>
            </w:r>
          </w:p>
        </w:tc>
      </w:tr>
      <w:tr w14:paraId="5883CB80">
        <w:trPr>
          <w:trHeight w:val="1435" w:hRule="atLeast"/>
          <w:jc w:val="center"/>
        </w:trPr>
        <w:tc>
          <w:tcPr>
            <w:tcW w:w="0" w:type="auto"/>
            <w:noWrap w:val="0"/>
            <w:vAlign w:val="center"/>
          </w:tcPr>
          <w:p w14:paraId="05C6E446">
            <w:pPr>
              <w:adjustRightInd w:val="0"/>
              <w:snapToGrid w:val="0"/>
              <w:spacing w:line="240" w:lineRule="atLeast"/>
              <w:jc w:val="center"/>
              <w:rPr>
                <w:rFonts w:hint="eastAsia" w:ascii="楷体" w:hAnsi="楷体" w:eastAsia="楷体" w:cs="楷体"/>
                <w:color w:val="auto"/>
                <w:sz w:val="21"/>
                <w:szCs w:val="21"/>
              </w:rPr>
            </w:pPr>
          </w:p>
        </w:tc>
        <w:tc>
          <w:tcPr>
            <w:tcW w:w="1779" w:type="dxa"/>
            <w:noWrap w:val="0"/>
            <w:vAlign w:val="top"/>
          </w:tcPr>
          <w:p w14:paraId="249531E2">
            <w:pPr>
              <w:widowControl/>
              <w:adjustRightInd w:val="0"/>
              <w:snapToGrid w:val="0"/>
              <w:jc w:val="left"/>
              <w:rPr>
                <w:rFonts w:hint="eastAsia" w:ascii="楷体" w:hAnsi="楷体" w:eastAsia="楷体" w:cs="楷体"/>
                <w:bCs/>
                <w:color w:val="auto"/>
                <w:sz w:val="21"/>
                <w:szCs w:val="21"/>
                <w:lang w:val="en-US" w:eastAsia="zh-CN"/>
              </w:rPr>
            </w:pPr>
            <w:r>
              <w:rPr>
                <w:rFonts w:hint="eastAsia" w:ascii="楷体" w:hAnsi="楷体" w:eastAsia="楷体" w:cs="楷体"/>
                <w:bCs/>
                <w:color w:val="auto"/>
                <w:sz w:val="21"/>
                <w:szCs w:val="21"/>
              </w:rPr>
              <w:t>课程目标</w:t>
            </w:r>
            <w:r>
              <w:rPr>
                <w:rFonts w:hint="eastAsia" w:ascii="楷体" w:hAnsi="楷体" w:eastAsia="楷体" w:cs="楷体"/>
                <w:bCs/>
                <w:color w:val="auto"/>
                <w:sz w:val="21"/>
                <w:szCs w:val="21"/>
                <w:lang w:val="en-US" w:eastAsia="zh-CN"/>
              </w:rPr>
              <w:t>3：</w:t>
            </w:r>
          </w:p>
          <w:p w14:paraId="76C29693">
            <w:pPr>
              <w:widowControl/>
              <w:adjustRightInd w:val="0"/>
              <w:snapToGrid w:val="0"/>
              <w:ind w:firstLine="420" w:firstLineChars="200"/>
              <w:jc w:val="left"/>
              <w:rPr>
                <w:rFonts w:hint="eastAsia" w:ascii="楷体" w:hAnsi="楷体" w:eastAsia="楷体" w:cs="楷体"/>
                <w:bCs/>
                <w:color w:val="auto"/>
                <w:sz w:val="21"/>
                <w:szCs w:val="21"/>
                <w:lang w:eastAsia="zh-CN"/>
              </w:rPr>
            </w:pPr>
            <w:r>
              <w:rPr>
                <w:rFonts w:hint="eastAsia" w:ascii="楷体" w:hAnsi="楷体" w:eastAsia="楷体" w:cs="楷体"/>
                <w:bCs/>
                <w:color w:val="auto"/>
                <w:sz w:val="21"/>
                <w:szCs w:val="21"/>
                <w:lang w:val="en-US" w:eastAsia="zh-CN"/>
              </w:rPr>
              <w:t>在作品不断磨合过程中加强团队协作能力、沟通能力，并且在相互沟通中夯实学生对自身专业知识体系的架构，还能掌握其他专业的特点，同时提升了学生的音乐文化素养。</w:t>
            </w:r>
          </w:p>
        </w:tc>
        <w:tc>
          <w:tcPr>
            <w:tcW w:w="1290" w:type="dxa"/>
            <w:noWrap w:val="0"/>
            <w:vAlign w:val="top"/>
          </w:tcPr>
          <w:p w14:paraId="2B947DC4">
            <w:pPr>
              <w:widowControl/>
              <w:adjustRightInd w:val="0"/>
              <w:snapToGrid w:val="0"/>
              <w:ind w:firstLine="420" w:firstLineChars="200"/>
              <w:jc w:val="left"/>
              <w:rPr>
                <w:rFonts w:hint="eastAsia" w:ascii="楷体" w:hAnsi="楷体" w:eastAsia="楷体" w:cs="楷体"/>
                <w:bCs/>
                <w:color w:val="auto"/>
                <w:sz w:val="21"/>
                <w:szCs w:val="21"/>
              </w:rPr>
            </w:pPr>
            <w:r>
              <w:rPr>
                <w:rFonts w:hint="eastAsia" w:ascii="楷体" w:hAnsi="楷体" w:eastAsia="楷体" w:cs="楷体"/>
                <w:bCs/>
                <w:color w:val="auto"/>
                <w:sz w:val="21"/>
                <w:szCs w:val="21"/>
                <w:lang w:val="en-US" w:eastAsia="zh-CN"/>
              </w:rPr>
              <w:t>能很好地在作品不断磨合过程中加强团队协作能力、沟通能力，并且在相互沟通中夯实学生对自身专业知识体系的架构。</w:t>
            </w:r>
          </w:p>
        </w:tc>
        <w:tc>
          <w:tcPr>
            <w:tcW w:w="1320" w:type="dxa"/>
            <w:noWrap w:val="0"/>
            <w:vAlign w:val="top"/>
          </w:tcPr>
          <w:p w14:paraId="5A19245B">
            <w:pPr>
              <w:widowControl/>
              <w:adjustRightInd w:val="0"/>
              <w:snapToGrid w:val="0"/>
              <w:ind w:firstLine="420" w:firstLineChars="200"/>
              <w:jc w:val="left"/>
              <w:rPr>
                <w:rFonts w:hint="eastAsia" w:ascii="楷体" w:hAnsi="楷体" w:eastAsia="楷体" w:cs="楷体"/>
                <w:bCs/>
                <w:color w:val="auto"/>
                <w:sz w:val="21"/>
                <w:szCs w:val="21"/>
                <w:lang w:eastAsia="zh-CN"/>
              </w:rPr>
            </w:pPr>
            <w:r>
              <w:rPr>
                <w:rFonts w:hint="eastAsia" w:ascii="楷体" w:hAnsi="楷体" w:eastAsia="楷体" w:cs="楷体"/>
                <w:bCs/>
                <w:color w:val="auto"/>
                <w:sz w:val="21"/>
                <w:szCs w:val="21"/>
                <w:lang w:val="en-US" w:eastAsia="zh-CN"/>
              </w:rPr>
              <w:t>能较好地在作品不断磨合过程中加强团队协作能力、沟通能力，并且在相互沟通中夯实学生对自身专业知识体系的架构。</w:t>
            </w:r>
          </w:p>
        </w:tc>
        <w:tc>
          <w:tcPr>
            <w:tcW w:w="1245" w:type="dxa"/>
            <w:noWrap w:val="0"/>
            <w:vAlign w:val="top"/>
          </w:tcPr>
          <w:p w14:paraId="64C870C8">
            <w:pPr>
              <w:widowControl/>
              <w:adjustRightInd w:val="0"/>
              <w:snapToGrid w:val="0"/>
              <w:ind w:firstLine="420" w:firstLineChars="200"/>
              <w:jc w:val="left"/>
              <w:rPr>
                <w:rFonts w:hint="eastAsia" w:ascii="楷体" w:hAnsi="楷体" w:eastAsia="楷体" w:cs="楷体"/>
                <w:bCs/>
                <w:color w:val="auto"/>
                <w:sz w:val="21"/>
                <w:szCs w:val="21"/>
                <w:lang w:eastAsia="zh-CN"/>
              </w:rPr>
            </w:pPr>
            <w:r>
              <w:rPr>
                <w:rFonts w:hint="eastAsia" w:ascii="楷体" w:hAnsi="楷体" w:eastAsia="楷体" w:cs="楷体"/>
                <w:bCs/>
                <w:color w:val="auto"/>
                <w:sz w:val="21"/>
                <w:szCs w:val="21"/>
                <w:lang w:val="en-US" w:eastAsia="zh-CN"/>
              </w:rPr>
              <w:t>能在作品不断磨合过程中加强团队协作能力、沟通能力，并且在相互沟通中夯实学生对自身专业知识体系的架构。</w:t>
            </w:r>
          </w:p>
        </w:tc>
        <w:tc>
          <w:tcPr>
            <w:tcW w:w="1305" w:type="dxa"/>
            <w:noWrap w:val="0"/>
            <w:vAlign w:val="top"/>
          </w:tcPr>
          <w:p w14:paraId="040DA257">
            <w:pPr>
              <w:widowControl/>
              <w:adjustRightInd w:val="0"/>
              <w:snapToGrid w:val="0"/>
              <w:ind w:firstLine="420" w:firstLineChars="200"/>
              <w:jc w:val="left"/>
              <w:rPr>
                <w:rFonts w:hint="eastAsia" w:ascii="楷体" w:hAnsi="楷体" w:eastAsia="楷体" w:cs="楷体"/>
                <w:bCs/>
                <w:color w:val="auto"/>
                <w:sz w:val="21"/>
                <w:szCs w:val="21"/>
                <w:lang w:eastAsia="zh-CN"/>
              </w:rPr>
            </w:pPr>
            <w:r>
              <w:rPr>
                <w:rFonts w:hint="eastAsia" w:ascii="楷体" w:hAnsi="楷体" w:eastAsia="楷体" w:cs="楷体"/>
                <w:bCs/>
                <w:color w:val="auto"/>
                <w:sz w:val="21"/>
                <w:szCs w:val="21"/>
                <w:lang w:val="en-US" w:eastAsia="zh-CN"/>
              </w:rPr>
              <w:t>初步在作品不断磨合过程中加强团队协作能力、沟通能力，并且在相互沟通中夯实学生对自身专业知识体系的架构。</w:t>
            </w:r>
          </w:p>
        </w:tc>
        <w:tc>
          <w:tcPr>
            <w:tcW w:w="1218" w:type="dxa"/>
            <w:noWrap w:val="0"/>
            <w:vAlign w:val="top"/>
          </w:tcPr>
          <w:p w14:paraId="30AEF93B">
            <w:pPr>
              <w:widowControl/>
              <w:adjustRightInd w:val="0"/>
              <w:snapToGrid w:val="0"/>
              <w:ind w:firstLine="420" w:firstLineChars="200"/>
              <w:jc w:val="left"/>
              <w:rPr>
                <w:rFonts w:hint="eastAsia" w:ascii="楷体" w:hAnsi="楷体" w:eastAsia="楷体" w:cs="楷体"/>
                <w:bCs/>
                <w:color w:val="auto"/>
                <w:sz w:val="21"/>
                <w:szCs w:val="21"/>
                <w:lang w:eastAsia="zh-CN"/>
              </w:rPr>
            </w:pPr>
            <w:r>
              <w:rPr>
                <w:rFonts w:hint="eastAsia" w:ascii="楷体" w:hAnsi="楷体" w:eastAsia="楷体" w:cs="楷体"/>
                <w:bCs/>
                <w:color w:val="auto"/>
                <w:sz w:val="21"/>
                <w:szCs w:val="21"/>
                <w:lang w:val="en-US" w:eastAsia="zh-CN"/>
              </w:rPr>
              <w:t>不能在作品不断磨合过程中加强团队协作能力、沟通能力。</w:t>
            </w:r>
          </w:p>
        </w:tc>
      </w:tr>
    </w:tbl>
    <w:p w14:paraId="765BB571">
      <w:pPr>
        <w:rPr>
          <w:sz w:val="2"/>
          <w:szCs w:val="2"/>
        </w:rPr>
        <w:sectPr>
          <w:headerReference r:id="rId135" w:type="default"/>
          <w:footerReference r:id="rId136" w:type="default"/>
          <w:pgSz w:w="11906" w:h="16838"/>
          <w:pgMar w:top="1440" w:right="1800" w:bottom="1440" w:left="1800" w:header="851" w:footer="992" w:gutter="0"/>
          <w:cols w:space="425" w:num="1"/>
          <w:docGrid w:type="lines" w:linePitch="312" w:charSpace="0"/>
        </w:sectPr>
      </w:pPr>
    </w:p>
    <w:p w14:paraId="2DAD2AB3">
      <w:pPr>
        <w:adjustRightInd w:val="0"/>
        <w:snapToGrid w:val="0"/>
        <w:spacing w:line="560" w:lineRule="exact"/>
        <w:jc w:val="center"/>
        <w:rPr>
          <w:rFonts w:hint="eastAsia" w:ascii="微软雅黑" w:eastAsia="微软雅黑" w:cs="微软雅黑"/>
          <w:sz w:val="44"/>
          <w:szCs w:val="44"/>
          <w:lang w:eastAsia="zh-CN"/>
        </w:rPr>
      </w:pPr>
      <w:r>
        <w:rPr>
          <w:rFonts w:hint="eastAsia" w:ascii="微软雅黑" w:eastAsia="微软雅黑" w:cs="微软雅黑"/>
          <w:sz w:val="44"/>
          <w:szCs w:val="44"/>
        </w:rPr>
        <w:t>三明学院音乐学（音乐教育）专业</w:t>
      </w:r>
    </w:p>
    <w:p w14:paraId="65677576">
      <w:pPr>
        <w:adjustRightInd w:val="0"/>
        <w:snapToGrid w:val="0"/>
        <w:spacing w:line="560" w:lineRule="exact"/>
        <w:jc w:val="center"/>
        <w:rPr>
          <w:rFonts w:hint="eastAsia" w:ascii="微软雅黑" w:eastAsia="微软雅黑" w:cs="微软雅黑"/>
          <w:sz w:val="44"/>
          <w:szCs w:val="44"/>
        </w:rPr>
      </w:pPr>
      <w:r>
        <w:rPr>
          <w:rFonts w:hint="eastAsia" w:ascii="微软雅黑" w:eastAsia="微软雅黑" w:cs="微软雅黑"/>
          <w:sz w:val="44"/>
          <w:szCs w:val="44"/>
        </w:rPr>
        <w:t>《毕业汇演》课程教学大纲</w:t>
      </w:r>
    </w:p>
    <w:tbl>
      <w:tblPr>
        <w:tblStyle w:val="22"/>
        <w:tblpPr w:leftFromText="180" w:rightFromText="180" w:vertAnchor="text" w:horzAnchor="page" w:tblpX="1052" w:tblpY="508"/>
        <w:tblOverlap w:val="never"/>
        <w:tblW w:w="989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075"/>
        <w:gridCol w:w="1333"/>
        <w:gridCol w:w="275"/>
        <w:gridCol w:w="1069"/>
        <w:gridCol w:w="1493"/>
        <w:gridCol w:w="113"/>
        <w:gridCol w:w="297"/>
        <w:gridCol w:w="555"/>
        <w:gridCol w:w="575"/>
        <w:gridCol w:w="286"/>
        <w:gridCol w:w="149"/>
        <w:gridCol w:w="1004"/>
        <w:gridCol w:w="601"/>
        <w:gridCol w:w="1074"/>
      </w:tblGrid>
      <w:tr w14:paraId="43BA0E23">
        <w:trPr>
          <w:trHeight w:val="454" w:hRule="atLeast"/>
        </w:trPr>
        <w:tc>
          <w:tcPr>
            <w:tcW w:w="1075" w:type="dxa"/>
            <w:noWrap w:val="0"/>
            <w:vAlign w:val="center"/>
          </w:tcPr>
          <w:p w14:paraId="4481DE6F">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课程名称</w:t>
            </w:r>
          </w:p>
        </w:tc>
        <w:tc>
          <w:tcPr>
            <w:tcW w:w="5135" w:type="dxa"/>
            <w:gridSpan w:val="7"/>
            <w:noWrap w:val="0"/>
            <w:vAlign w:val="center"/>
          </w:tcPr>
          <w:p w14:paraId="526B5DAA">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w:t>
            </w:r>
            <w:r>
              <w:rPr>
                <w:rFonts w:hint="eastAsia" w:ascii="仿宋" w:hAnsi="仿宋" w:eastAsia="仿宋" w:cs="仿宋"/>
                <w:color w:val="auto"/>
                <w:sz w:val="24"/>
                <w:szCs w:val="24"/>
                <w:lang w:val="en-US" w:eastAsia="zh-CN"/>
              </w:rPr>
              <w:t>毕业汇演</w:t>
            </w:r>
            <w:r>
              <w:rPr>
                <w:rFonts w:hint="eastAsia" w:ascii="仿宋" w:hAnsi="仿宋" w:eastAsia="仿宋" w:cs="仿宋"/>
                <w:color w:val="auto"/>
                <w:sz w:val="24"/>
                <w:szCs w:val="24"/>
              </w:rPr>
              <w:t>》</w:t>
            </w:r>
          </w:p>
        </w:tc>
        <w:tc>
          <w:tcPr>
            <w:tcW w:w="575" w:type="dxa"/>
            <w:noWrap w:val="0"/>
            <w:vAlign w:val="center"/>
          </w:tcPr>
          <w:p w14:paraId="64DA2A83">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w:t>
            </w:r>
          </w:p>
          <w:p w14:paraId="7A20AE48">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代码</w:t>
            </w:r>
          </w:p>
        </w:tc>
        <w:tc>
          <w:tcPr>
            <w:tcW w:w="3114" w:type="dxa"/>
            <w:gridSpan w:val="5"/>
            <w:noWrap w:val="0"/>
            <w:vAlign w:val="center"/>
          </w:tcPr>
          <w:p w14:paraId="5E40431A">
            <w:pPr>
              <w:adjustRightInd w:val="0"/>
              <w:snapToGrid w:val="0"/>
              <w:spacing w:line="240" w:lineRule="atLeast"/>
              <w:jc w:val="center"/>
              <w:rPr>
                <w:rFonts w:hint="default" w:ascii="仿宋" w:hAnsi="仿宋" w:eastAsia="华文仿宋" w:cs="仿宋"/>
                <w:color w:val="auto"/>
                <w:sz w:val="24"/>
                <w:szCs w:val="24"/>
                <w:lang w:val="en-US" w:eastAsia="zh-CN"/>
              </w:rPr>
            </w:pPr>
            <w:r>
              <w:rPr>
                <w:rFonts w:hint="eastAsia" w:ascii="仿宋" w:hAnsi="仿宋" w:eastAsia="仿宋" w:cs="仿宋"/>
                <w:color w:val="auto"/>
                <w:sz w:val="24"/>
                <w:szCs w:val="24"/>
                <w:lang w:val="en-US" w:eastAsia="zh-CN"/>
              </w:rPr>
              <w:t>1213601602</w:t>
            </w:r>
          </w:p>
        </w:tc>
      </w:tr>
      <w:tr w14:paraId="1F9668BD">
        <w:trPr>
          <w:trHeight w:val="454" w:hRule="atLeast"/>
        </w:trPr>
        <w:tc>
          <w:tcPr>
            <w:tcW w:w="1075" w:type="dxa"/>
            <w:noWrap w:val="0"/>
            <w:vAlign w:val="center"/>
          </w:tcPr>
          <w:p w14:paraId="0D5482DC">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课程类型</w:t>
            </w:r>
          </w:p>
        </w:tc>
        <w:tc>
          <w:tcPr>
            <w:tcW w:w="8824" w:type="dxa"/>
            <w:gridSpan w:val="13"/>
            <w:noWrap w:val="0"/>
            <w:vAlign w:val="center"/>
          </w:tcPr>
          <w:p w14:paraId="37ED914E">
            <w:pPr>
              <w:adjustRightInd w:val="0"/>
              <w:snapToGrid w:val="0"/>
              <w:spacing w:line="240" w:lineRule="atLeast"/>
              <w:rPr>
                <w:rFonts w:hint="eastAsia" w:ascii="仿宋" w:hAnsi="仿宋" w:eastAsia="仿宋" w:cs="仿宋"/>
                <w:color w:val="auto"/>
                <w:sz w:val="24"/>
                <w:szCs w:val="24"/>
              </w:rPr>
            </w:pP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通识必修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通识选修 </w:t>
            </w: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 xml:space="preserve">专业必修 </w:t>
            </w:r>
          </w:p>
          <w:p w14:paraId="59CD60B2">
            <w:pPr>
              <w:adjustRightInd w:val="0"/>
              <w:snapToGrid w:val="0"/>
              <w:spacing w:line="240" w:lineRule="atLeast"/>
              <w:rPr>
                <w:rFonts w:hint="eastAsia" w:ascii="仿宋" w:hAnsi="仿宋" w:eastAsia="仿宋" w:cs="仿宋"/>
                <w:color w:val="auto"/>
                <w:sz w:val="24"/>
                <w:szCs w:val="24"/>
              </w:rPr>
            </w:pP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专业选修</w:t>
            </w:r>
            <w:r>
              <w:rPr>
                <w:rFonts w:hint="eastAsia" w:ascii="仿宋" w:hAnsi="仿宋" w:eastAsia="仿宋" w:cs="仿宋"/>
                <w:color w:val="auto"/>
                <w:sz w:val="24"/>
                <w:szCs w:val="24"/>
                <w:lang w:eastAsia="zh-TW"/>
              </w:rPr>
              <w:t xml:space="preserve">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教师教育必修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教师教育选修</w:t>
            </w:r>
          </w:p>
        </w:tc>
      </w:tr>
      <w:tr w14:paraId="55828498">
        <w:trPr>
          <w:trHeight w:val="406" w:hRule="atLeast"/>
        </w:trPr>
        <w:tc>
          <w:tcPr>
            <w:tcW w:w="1075" w:type="dxa"/>
            <w:noWrap w:val="0"/>
            <w:vAlign w:val="center"/>
          </w:tcPr>
          <w:p w14:paraId="7F7EECDB">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开课学期</w:t>
            </w:r>
          </w:p>
        </w:tc>
        <w:tc>
          <w:tcPr>
            <w:tcW w:w="1608" w:type="dxa"/>
            <w:gridSpan w:val="2"/>
            <w:noWrap w:val="0"/>
            <w:vAlign w:val="center"/>
          </w:tcPr>
          <w:p w14:paraId="13FBC406">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第</w:t>
            </w:r>
            <w:r>
              <w:rPr>
                <w:rFonts w:hint="eastAsia" w:ascii="仿宋" w:hAnsi="仿宋" w:eastAsia="仿宋" w:cs="仿宋"/>
                <w:color w:val="auto"/>
                <w:sz w:val="24"/>
                <w:szCs w:val="24"/>
                <w:lang w:val="en-US" w:eastAsia="zh-CN"/>
              </w:rPr>
              <w:t>8</w:t>
            </w:r>
            <w:r>
              <w:rPr>
                <w:rFonts w:hint="eastAsia" w:ascii="仿宋" w:hAnsi="仿宋" w:eastAsia="仿宋" w:cs="仿宋"/>
                <w:color w:val="auto"/>
                <w:sz w:val="24"/>
                <w:szCs w:val="24"/>
              </w:rPr>
              <w:t>学期</w:t>
            </w:r>
          </w:p>
        </w:tc>
        <w:tc>
          <w:tcPr>
            <w:tcW w:w="1069" w:type="dxa"/>
            <w:noWrap w:val="0"/>
            <w:vAlign w:val="center"/>
          </w:tcPr>
          <w:p w14:paraId="4E5D15EB">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学分</w:t>
            </w:r>
          </w:p>
        </w:tc>
        <w:tc>
          <w:tcPr>
            <w:tcW w:w="1606" w:type="dxa"/>
            <w:gridSpan w:val="2"/>
            <w:noWrap w:val="0"/>
            <w:vAlign w:val="center"/>
          </w:tcPr>
          <w:p w14:paraId="2D2176E5">
            <w:pPr>
              <w:adjustRightInd w:val="0"/>
              <w:snapToGrid w:val="0"/>
              <w:spacing w:line="240" w:lineRule="atLeast"/>
              <w:jc w:val="center"/>
              <w:rPr>
                <w:rFonts w:hint="eastAsia"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1</w:t>
            </w:r>
          </w:p>
        </w:tc>
        <w:tc>
          <w:tcPr>
            <w:tcW w:w="1427" w:type="dxa"/>
            <w:gridSpan w:val="3"/>
            <w:noWrap w:val="0"/>
            <w:vAlign w:val="center"/>
          </w:tcPr>
          <w:p w14:paraId="4698A093">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课程负责人</w:t>
            </w:r>
          </w:p>
        </w:tc>
        <w:tc>
          <w:tcPr>
            <w:tcW w:w="3114" w:type="dxa"/>
            <w:gridSpan w:val="5"/>
            <w:noWrap w:val="0"/>
            <w:vAlign w:val="center"/>
          </w:tcPr>
          <w:p w14:paraId="010EFEDD">
            <w:pPr>
              <w:adjustRightInd w:val="0"/>
              <w:snapToGrid w:val="0"/>
              <w:spacing w:line="240" w:lineRule="atLeast"/>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全体音乐学专业教师</w:t>
            </w:r>
          </w:p>
        </w:tc>
      </w:tr>
      <w:tr w14:paraId="39202AF7">
        <w:trPr>
          <w:trHeight w:val="485" w:hRule="atLeast"/>
        </w:trPr>
        <w:tc>
          <w:tcPr>
            <w:tcW w:w="1075" w:type="dxa"/>
            <w:noWrap w:val="0"/>
            <w:vAlign w:val="center"/>
          </w:tcPr>
          <w:p w14:paraId="1963C92F">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总学时</w:t>
            </w:r>
          </w:p>
        </w:tc>
        <w:tc>
          <w:tcPr>
            <w:tcW w:w="1608" w:type="dxa"/>
            <w:gridSpan w:val="2"/>
            <w:noWrap w:val="0"/>
            <w:vAlign w:val="center"/>
          </w:tcPr>
          <w:p w14:paraId="5FF360F2">
            <w:pPr>
              <w:adjustRightInd w:val="0"/>
              <w:snapToGrid w:val="0"/>
              <w:spacing w:line="240" w:lineRule="atLeast"/>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4周</w:t>
            </w:r>
          </w:p>
        </w:tc>
        <w:tc>
          <w:tcPr>
            <w:tcW w:w="1069" w:type="dxa"/>
            <w:noWrap w:val="0"/>
            <w:vAlign w:val="center"/>
          </w:tcPr>
          <w:p w14:paraId="774861F4">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理论学时</w:t>
            </w:r>
          </w:p>
        </w:tc>
        <w:tc>
          <w:tcPr>
            <w:tcW w:w="1606" w:type="dxa"/>
            <w:gridSpan w:val="2"/>
            <w:noWrap w:val="0"/>
            <w:vAlign w:val="center"/>
          </w:tcPr>
          <w:p w14:paraId="5F9339C8">
            <w:pPr>
              <w:adjustRightInd w:val="0"/>
              <w:snapToGrid w:val="0"/>
              <w:spacing w:line="240" w:lineRule="atLeast"/>
              <w:jc w:val="center"/>
              <w:rPr>
                <w:rFonts w:hint="eastAsia"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0</w:t>
            </w:r>
          </w:p>
        </w:tc>
        <w:tc>
          <w:tcPr>
            <w:tcW w:w="1427" w:type="dxa"/>
            <w:gridSpan w:val="3"/>
            <w:tcBorders>
              <w:right w:val="single" w:color="000000" w:sz="4" w:space="0"/>
            </w:tcBorders>
            <w:noWrap w:val="0"/>
            <w:vAlign w:val="center"/>
          </w:tcPr>
          <w:p w14:paraId="78B37C1E">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实践学时</w:t>
            </w:r>
          </w:p>
        </w:tc>
        <w:tc>
          <w:tcPr>
            <w:tcW w:w="3114" w:type="dxa"/>
            <w:gridSpan w:val="5"/>
            <w:tcBorders>
              <w:left w:val="single" w:color="000000" w:sz="4" w:space="0"/>
            </w:tcBorders>
            <w:noWrap w:val="0"/>
            <w:vAlign w:val="center"/>
          </w:tcPr>
          <w:p w14:paraId="22EF411C">
            <w:pPr>
              <w:adjustRightInd w:val="0"/>
              <w:snapToGrid w:val="0"/>
              <w:spacing w:line="240" w:lineRule="atLeast"/>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4周</w:t>
            </w:r>
          </w:p>
        </w:tc>
      </w:tr>
      <w:tr w14:paraId="204D5CBC">
        <w:trPr>
          <w:trHeight w:val="454" w:hRule="atLeast"/>
        </w:trPr>
        <w:tc>
          <w:tcPr>
            <w:tcW w:w="1075" w:type="dxa"/>
            <w:noWrap w:val="0"/>
            <w:vAlign w:val="center"/>
          </w:tcPr>
          <w:p w14:paraId="52215CC0">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先修课程与后续课程</w:t>
            </w:r>
          </w:p>
        </w:tc>
        <w:tc>
          <w:tcPr>
            <w:tcW w:w="8824" w:type="dxa"/>
            <w:gridSpan w:val="13"/>
            <w:noWrap w:val="0"/>
            <w:vAlign w:val="center"/>
          </w:tcPr>
          <w:p w14:paraId="5F05D9A0">
            <w:pPr>
              <w:tabs>
                <w:tab w:val="left" w:pos="720"/>
              </w:tabs>
              <w:adjustRightInd w:val="0"/>
              <w:snapToGrid w:val="0"/>
              <w:jc w:val="left"/>
              <w:rPr>
                <w:rFonts w:hint="eastAsia" w:ascii="仿宋" w:hAnsi="仿宋" w:eastAsia="仿宋" w:cs="仿宋"/>
                <w:color w:val="auto"/>
                <w:sz w:val="24"/>
                <w:szCs w:val="24"/>
              </w:rPr>
            </w:pPr>
            <w:r>
              <w:rPr>
                <w:rFonts w:hint="eastAsia" w:ascii="仿宋" w:hAnsi="仿宋" w:eastAsia="仿宋" w:cs="仿宋"/>
                <w:color w:val="auto"/>
                <w:sz w:val="24"/>
                <w:szCs w:val="24"/>
              </w:rPr>
              <w:t>先</w:t>
            </w:r>
            <w:r>
              <w:rPr>
                <w:rFonts w:hint="eastAsia" w:ascii="仿宋" w:hAnsi="仿宋" w:eastAsia="仿宋" w:cs="仿宋"/>
                <w:sz w:val="24"/>
                <w:lang w:val="en-US" w:eastAsia="zh-CN"/>
              </w:rPr>
              <w:t>修课程：钢琴基础、声乐基础、乐器演奏基础、形体舞蹈、毕业方向音乐会等</w:t>
            </w:r>
          </w:p>
          <w:p w14:paraId="413538AF">
            <w:pPr>
              <w:tabs>
                <w:tab w:val="left" w:pos="720"/>
              </w:tabs>
              <w:adjustRightInd w:val="0"/>
              <w:snapToGrid w:val="0"/>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后续课程：</w:t>
            </w:r>
            <w:r>
              <w:rPr>
                <w:rFonts w:hint="eastAsia" w:ascii="仿宋" w:hAnsi="仿宋" w:eastAsia="仿宋" w:cs="仿宋"/>
                <w:color w:val="auto"/>
                <w:sz w:val="24"/>
                <w:szCs w:val="24"/>
                <w:lang w:val="en-US" w:eastAsia="zh-CN"/>
              </w:rPr>
              <w:t>无</w:t>
            </w:r>
          </w:p>
        </w:tc>
      </w:tr>
      <w:tr w14:paraId="016A24D6">
        <w:trPr>
          <w:trHeight w:val="454" w:hRule="atLeast"/>
        </w:trPr>
        <w:tc>
          <w:tcPr>
            <w:tcW w:w="1075" w:type="dxa"/>
            <w:noWrap w:val="0"/>
            <w:vAlign w:val="center"/>
          </w:tcPr>
          <w:p w14:paraId="67180CC7">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适用专业</w:t>
            </w:r>
          </w:p>
        </w:tc>
        <w:tc>
          <w:tcPr>
            <w:tcW w:w="8824" w:type="dxa"/>
            <w:gridSpan w:val="13"/>
            <w:noWrap w:val="0"/>
            <w:vAlign w:val="center"/>
          </w:tcPr>
          <w:p w14:paraId="6EF92325">
            <w:pPr>
              <w:adjustRightInd w:val="0"/>
              <w:snapToGrid w:val="0"/>
              <w:spacing w:line="240" w:lineRule="atLeast"/>
              <w:jc w:val="center"/>
              <w:rPr>
                <w:rFonts w:hint="eastAsia" w:ascii="仿宋" w:hAnsi="仿宋" w:eastAsia="仿宋" w:cs="仿宋"/>
                <w:color w:val="auto"/>
                <w:sz w:val="24"/>
                <w:szCs w:val="24"/>
                <w:lang w:eastAsia="zh-CN"/>
              </w:rPr>
            </w:pPr>
            <w:r>
              <w:rPr>
                <w:rFonts w:hint="default" w:ascii="仿宋" w:hAnsi="仿宋" w:eastAsia="仿宋" w:cs="仿宋"/>
                <w:color w:val="auto"/>
                <w:sz w:val="24"/>
                <w:szCs w:val="24"/>
              </w:rPr>
              <w:t>音乐学</w:t>
            </w:r>
            <w:r>
              <w:rPr>
                <w:rFonts w:hint="eastAsia" w:ascii="仿宋" w:hAnsi="仿宋" w:eastAsia="仿宋" w:cs="仿宋"/>
                <w:color w:val="auto"/>
                <w:sz w:val="24"/>
                <w:szCs w:val="24"/>
              </w:rPr>
              <w:t>专业</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师范类</w:t>
            </w:r>
            <w:r>
              <w:rPr>
                <w:rFonts w:hint="eastAsia" w:ascii="仿宋" w:hAnsi="仿宋" w:eastAsia="仿宋" w:cs="仿宋"/>
                <w:color w:val="auto"/>
                <w:sz w:val="24"/>
                <w:szCs w:val="24"/>
                <w:lang w:eastAsia="zh-CN"/>
              </w:rPr>
              <w:t>）</w:t>
            </w:r>
          </w:p>
        </w:tc>
      </w:tr>
      <w:tr w14:paraId="2728BE8D">
        <w:tc>
          <w:tcPr>
            <w:tcW w:w="1075" w:type="dxa"/>
            <w:tcBorders>
              <w:bottom w:val="single" w:color="auto" w:sz="4" w:space="0"/>
            </w:tcBorders>
            <w:noWrap w:val="0"/>
            <w:vAlign w:val="center"/>
          </w:tcPr>
          <w:p w14:paraId="41E9CF21">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A</w:t>
            </w:r>
          </w:p>
          <w:p w14:paraId="2823D3C4">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参考教材</w:t>
            </w:r>
          </w:p>
        </w:tc>
        <w:tc>
          <w:tcPr>
            <w:tcW w:w="8824" w:type="dxa"/>
            <w:gridSpan w:val="13"/>
            <w:tcBorders>
              <w:bottom w:val="single" w:color="auto" w:sz="4" w:space="0"/>
            </w:tcBorders>
            <w:noWrap w:val="0"/>
            <w:vAlign w:val="center"/>
          </w:tcPr>
          <w:p w14:paraId="3DB47862">
            <w:pPr>
              <w:tabs>
                <w:tab w:val="left" w:pos="720"/>
              </w:tabs>
              <w:adjustRightInd w:val="0"/>
              <w:snapToGrid w:val="0"/>
              <w:rPr>
                <w:rFonts w:hint="eastAsia" w:ascii="仿宋" w:hAnsi="仿宋" w:eastAsia="仿宋" w:cs="仿宋"/>
                <w:color w:val="auto"/>
                <w:kern w:val="0"/>
                <w:sz w:val="24"/>
                <w:szCs w:val="24"/>
              </w:rPr>
            </w:pPr>
            <w:r>
              <w:rPr>
                <w:rFonts w:hint="eastAsia" w:ascii="仿宋" w:hAnsi="仿宋" w:eastAsia="仿宋" w:cs="仿宋"/>
                <w:sz w:val="24"/>
                <w:lang w:val="en-US" w:eastAsia="zh-CN"/>
              </w:rPr>
              <w:t>声乐、钢琴、器乐、舞蹈、理论五个方向所使用的教材</w:t>
            </w:r>
          </w:p>
        </w:tc>
      </w:tr>
      <w:tr w14:paraId="1EA39E9C">
        <w:tc>
          <w:tcPr>
            <w:tcW w:w="1075" w:type="dxa"/>
            <w:tcBorders>
              <w:bottom w:val="single" w:color="auto" w:sz="4" w:space="0"/>
            </w:tcBorders>
            <w:noWrap w:val="0"/>
            <w:vAlign w:val="center"/>
          </w:tcPr>
          <w:p w14:paraId="515C9450">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B</w:t>
            </w:r>
          </w:p>
          <w:p w14:paraId="0B77A2DA">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主要参考书籍</w:t>
            </w:r>
          </w:p>
        </w:tc>
        <w:tc>
          <w:tcPr>
            <w:tcW w:w="8824" w:type="dxa"/>
            <w:gridSpan w:val="13"/>
            <w:tcBorders>
              <w:bottom w:val="single" w:color="auto" w:sz="4" w:space="0"/>
            </w:tcBorders>
            <w:noWrap w:val="0"/>
            <w:vAlign w:val="center"/>
          </w:tcPr>
          <w:p w14:paraId="5B1AEC19">
            <w:pPr>
              <w:keepNext w:val="0"/>
              <w:keepLines w:val="0"/>
              <w:pageBreakBefore w:val="0"/>
              <w:widowControl w:val="0"/>
              <w:tabs>
                <w:tab w:val="left" w:pos="720"/>
              </w:tabs>
              <w:kinsoku/>
              <w:wordWrap/>
              <w:overflowPunct/>
              <w:topLinePunct w:val="0"/>
              <w:autoSpaceDE/>
              <w:autoSpaceDN/>
              <w:bidi w:val="0"/>
              <w:adjustRightInd w:val="0"/>
              <w:snapToGrid w:val="0"/>
              <w:spacing w:line="240" w:lineRule="atLeast"/>
              <w:ind w:left="0" w:leftChars="0" w:right="0" w:rightChars="0"/>
              <w:textAlignment w:val="auto"/>
              <w:outlineLvl w:val="9"/>
              <w:rPr>
                <w:rFonts w:hint="eastAsia" w:ascii="仿宋" w:hAnsi="仿宋" w:eastAsia="仿宋" w:cs="仿宋"/>
                <w:color w:val="auto"/>
                <w:kern w:val="0"/>
                <w:sz w:val="24"/>
                <w:szCs w:val="24"/>
              </w:rPr>
            </w:pPr>
            <w:r>
              <w:rPr>
                <w:rFonts w:hint="eastAsia" w:ascii="仿宋" w:hAnsi="仿宋" w:eastAsia="仿宋" w:cs="仿宋"/>
                <w:sz w:val="24"/>
                <w:lang w:val="en-US" w:eastAsia="zh-CN"/>
              </w:rPr>
              <w:t>声乐、钢琴、器乐、舞蹈、理论五个方向所使用的教材</w:t>
            </w:r>
          </w:p>
        </w:tc>
      </w:tr>
      <w:tr w14:paraId="1844E38F">
        <w:trPr>
          <w:trHeight w:val="1223" w:hRule="atLeast"/>
        </w:trPr>
        <w:tc>
          <w:tcPr>
            <w:tcW w:w="1075" w:type="dxa"/>
            <w:tcBorders>
              <w:bottom w:val="single" w:color="auto" w:sz="4" w:space="0"/>
            </w:tcBorders>
            <w:noWrap w:val="0"/>
            <w:vAlign w:val="center"/>
          </w:tcPr>
          <w:p w14:paraId="39AF5E2D">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C</w:t>
            </w:r>
          </w:p>
          <w:p w14:paraId="2A155646">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线上学习资源</w:t>
            </w:r>
          </w:p>
        </w:tc>
        <w:tc>
          <w:tcPr>
            <w:tcW w:w="8824" w:type="dxa"/>
            <w:gridSpan w:val="13"/>
            <w:tcBorders>
              <w:bottom w:val="single" w:color="auto" w:sz="4" w:space="0"/>
            </w:tcBorders>
            <w:noWrap w:val="0"/>
            <w:vAlign w:val="center"/>
          </w:tcPr>
          <w:p w14:paraId="22975A03">
            <w:pPr>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中国大学MOOC:创意的奥秘：艺术创意与策划（南昌大学：何世剑教授）</w:t>
            </w:r>
          </w:p>
          <w:p w14:paraId="7F1EC720">
            <w:pPr>
              <w:adjustRightInd w:val="0"/>
              <w:snapToGrid w:val="0"/>
              <w:rPr>
                <w:rFonts w:hint="eastAsia" w:ascii="仿宋" w:hAnsi="仿宋" w:eastAsia="仿宋" w:cs="仿宋"/>
                <w:color w:val="auto"/>
                <w:kern w:val="0"/>
                <w:sz w:val="24"/>
                <w:szCs w:val="24"/>
              </w:rPr>
            </w:pPr>
            <w:r>
              <w:rPr>
                <w:rFonts w:hint="default" w:ascii="仿宋" w:hAnsi="仿宋" w:eastAsia="仿宋" w:cs="仿宋"/>
                <w:color w:val="auto"/>
                <w:kern w:val="0"/>
                <w:sz w:val="24"/>
                <w:szCs w:val="24"/>
              </w:rPr>
              <w:t xml:space="preserve">        </w:t>
            </w:r>
          </w:p>
        </w:tc>
      </w:tr>
      <w:tr w14:paraId="7E361A32">
        <w:trPr>
          <w:trHeight w:val="1981" w:hRule="atLeast"/>
        </w:trPr>
        <w:tc>
          <w:tcPr>
            <w:tcW w:w="1075" w:type="dxa"/>
            <w:shd w:val="clear" w:color="auto" w:fill="FFFFFF"/>
            <w:noWrap w:val="0"/>
            <w:vAlign w:val="center"/>
          </w:tcPr>
          <w:p w14:paraId="2C5F93F0">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D</w:t>
            </w:r>
          </w:p>
          <w:p w14:paraId="770D1F64">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 xml:space="preserve">课程描述 </w:t>
            </w:r>
          </w:p>
          <w:p w14:paraId="6065045E">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lang w:eastAsia="zh-TW"/>
              </w:rPr>
              <w:t>(</w:t>
            </w:r>
            <w:r>
              <w:rPr>
                <w:rFonts w:hint="eastAsia" w:ascii="仿宋" w:hAnsi="仿宋" w:eastAsia="仿宋" w:cs="仿宋"/>
                <w:color w:val="auto"/>
                <w:sz w:val="24"/>
                <w:szCs w:val="24"/>
              </w:rPr>
              <w:t>含</w:t>
            </w:r>
            <w:r>
              <w:rPr>
                <w:rFonts w:hint="eastAsia" w:ascii="仿宋" w:hAnsi="仿宋" w:eastAsia="仿宋" w:cs="仿宋"/>
                <w:color w:val="auto"/>
                <w:sz w:val="24"/>
                <w:szCs w:val="24"/>
                <w:lang w:eastAsia="zh-TW"/>
              </w:rPr>
              <w:t>性质、地位和任务)</w:t>
            </w:r>
          </w:p>
        </w:tc>
        <w:tc>
          <w:tcPr>
            <w:tcW w:w="8824" w:type="dxa"/>
            <w:gridSpan w:val="13"/>
            <w:tcBorders>
              <w:bottom w:val="single" w:color="auto" w:sz="4" w:space="0"/>
            </w:tcBorders>
            <w:shd w:val="clear" w:color="auto" w:fill="FFFFFF"/>
            <w:noWrap w:val="0"/>
            <w:vAlign w:val="center"/>
          </w:tcPr>
          <w:p w14:paraId="56A0A803">
            <w:pPr>
              <w:pStyle w:val="236"/>
              <w:numPr>
                <w:ilvl w:val="0"/>
                <w:numId w:val="50"/>
              </w:numPr>
              <w:spacing w:before="4"/>
              <w:ind w:firstLine="480" w:firstLineChars="200"/>
              <w:rPr>
                <w:rFonts w:hint="eastAsia" w:ascii="仿宋" w:hAnsi="仿宋" w:eastAsia="仿宋" w:cs="仿宋"/>
                <w:color w:val="000000"/>
                <w:sz w:val="24"/>
                <w:szCs w:val="22"/>
                <w:lang w:val="en-US" w:eastAsia="zh-CN" w:bidi="ar-SA"/>
              </w:rPr>
            </w:pPr>
            <w:r>
              <w:rPr>
                <w:rFonts w:hint="eastAsia" w:ascii="仿宋" w:hAnsi="仿宋" w:eastAsia="仿宋" w:cs="仿宋"/>
                <w:color w:val="000000"/>
                <w:sz w:val="24"/>
                <w:szCs w:val="22"/>
                <w:lang w:val="en-US" w:eastAsia="zh-CN" w:bidi="ar-SA"/>
              </w:rPr>
              <w:t>《综合实践(二)：毕业汇演》是音乐学专业的艺术实践课程之一。该课程的开设是为了检验学生大学四年专业的学习成果，培养学生综合运用所学音乐基础理论、音乐基础知识和音乐基本技能，提高音乐表演、创作水平的重要教学环节，有利于培养学生舞台表演经验以及艺术创造性思维。</w:t>
            </w:r>
          </w:p>
          <w:p w14:paraId="5D57DBED">
            <w:pPr>
              <w:pStyle w:val="236"/>
              <w:spacing w:before="4"/>
              <w:ind w:firstLine="480" w:firstLineChars="200"/>
              <w:rPr>
                <w:rFonts w:hint="default" w:ascii="仿宋" w:hAnsi="仿宋" w:eastAsia="仿宋" w:cs="仿宋"/>
                <w:color w:val="auto"/>
                <w:kern w:val="0"/>
                <w:sz w:val="24"/>
                <w:szCs w:val="24"/>
                <w:lang w:val="en-US" w:eastAsia="zh-CN"/>
              </w:rPr>
            </w:pPr>
            <w:r>
              <w:rPr>
                <w:rFonts w:hint="eastAsia" w:ascii="仿宋" w:hAnsi="仿宋" w:eastAsia="仿宋" w:cs="仿宋"/>
                <w:color w:val="000000"/>
                <w:sz w:val="24"/>
                <w:szCs w:val="22"/>
                <w:lang w:val="en-US" w:eastAsia="zh-CN" w:bidi="ar-SA"/>
              </w:rPr>
              <w:t>该课程开设学期为第8学期。以班级或年级为单位，学生自主策划、组织、准备以及构思演出节目，专业教师加以指导，包括声乐、钢琴、器乐、舞蹈及原创作品演绎等节目类型，原则上节目形式或体裁不限，节目以专业水准、积极、向上、健康、青春等风格为主题，全体音乐学专业教师到场评分与留档，并选出5或x名表演优秀成员。</w:t>
            </w:r>
          </w:p>
        </w:tc>
      </w:tr>
      <w:tr w14:paraId="09258D2C">
        <w:trPr>
          <w:trHeight w:val="3992" w:hRule="atLeast"/>
        </w:trPr>
        <w:tc>
          <w:tcPr>
            <w:tcW w:w="1075" w:type="dxa"/>
            <w:vMerge w:val="restart"/>
            <w:shd w:val="clear" w:color="auto" w:fill="FFFFFF"/>
            <w:noWrap w:val="0"/>
            <w:vAlign w:val="center"/>
          </w:tcPr>
          <w:p w14:paraId="44F0034E">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E</w:t>
            </w:r>
          </w:p>
          <w:p w14:paraId="6DFCC0FD">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课程学习目标及其与毕业要求的对应关系</w:t>
            </w:r>
          </w:p>
        </w:tc>
        <w:tc>
          <w:tcPr>
            <w:tcW w:w="8824" w:type="dxa"/>
            <w:gridSpan w:val="13"/>
            <w:tcBorders>
              <w:bottom w:val="single" w:color="auto" w:sz="4" w:space="0"/>
            </w:tcBorders>
            <w:shd w:val="clear" w:color="auto" w:fill="FFFFFF"/>
            <w:noWrap w:val="0"/>
            <w:vAlign w:val="center"/>
          </w:tcPr>
          <w:p w14:paraId="4A3D14D5">
            <w:pPr>
              <w:adjustRightInd w:val="0"/>
              <w:snapToGrid w:val="0"/>
              <w:jc w:val="left"/>
              <w:rPr>
                <w:rFonts w:hint="eastAsia" w:ascii="仿宋" w:hAnsi="仿宋" w:eastAsia="仿宋" w:cs="仿宋"/>
                <w:color w:val="auto"/>
                <w:sz w:val="24"/>
                <w:szCs w:val="24"/>
                <w:lang w:eastAsia="zh-TW"/>
              </w:rPr>
            </w:pPr>
            <w:r>
              <w:rPr>
                <w:rFonts w:hint="eastAsia" w:ascii="仿宋" w:hAnsi="仿宋" w:eastAsia="仿宋" w:cs="仿宋"/>
                <w:color w:val="auto"/>
                <w:sz w:val="24"/>
                <w:szCs w:val="24"/>
              </w:rPr>
              <w:t>通过本课程的学习，学生具备如下知识、能力及情感态度价值观：</w:t>
            </w:r>
          </w:p>
          <w:p w14:paraId="2EB1C281">
            <w:pPr>
              <w:pStyle w:val="19"/>
              <w:keepNext w:val="0"/>
              <w:keepLines w:val="0"/>
              <w:pageBreakBefore w:val="0"/>
              <w:kinsoku/>
              <w:wordWrap/>
              <w:overflowPunct/>
              <w:topLinePunct w:val="0"/>
              <w:autoSpaceDE/>
              <w:autoSpaceDN/>
              <w:bidi w:val="0"/>
              <w:snapToGrid w:val="0"/>
              <w:spacing w:before="0" w:beforeAutospacing="0" w:after="0" w:afterAutospacing="0" w:line="240" w:lineRule="atLeast"/>
              <w:ind w:right="0" w:rightChars="0" w:firstLine="482" w:firstLineChars="200"/>
              <w:contextualSpacing/>
              <w:jc w:val="both"/>
              <w:textAlignment w:val="auto"/>
              <w:outlineLvl w:val="9"/>
              <w:rPr>
                <w:rFonts w:hint="eastAsia" w:ascii="仿宋" w:hAnsi="仿宋" w:eastAsia="仿宋" w:cs="仿宋"/>
                <w:lang w:val="en-US" w:eastAsia="zh-CN"/>
              </w:rPr>
            </w:pPr>
            <w:r>
              <w:rPr>
                <w:rFonts w:hint="eastAsia" w:ascii="仿宋" w:hAnsi="仿宋" w:eastAsia="仿宋" w:cs="仿宋"/>
                <w:b/>
                <w:bCs/>
                <w:lang w:val="en-US" w:eastAsia="zh-CN"/>
              </w:rPr>
              <w:t>课程目标1</w:t>
            </w:r>
            <w:r>
              <w:rPr>
                <w:rFonts w:hint="eastAsia" w:ascii="仿宋" w:hAnsi="仿宋" w:eastAsia="仿宋" w:cs="仿宋"/>
                <w:lang w:val="en-US" w:eastAsia="zh-CN"/>
              </w:rPr>
              <w:t>:通过大学四年专业的学习，以学生自身所学专业为基础，通过不同组合为形式，从而呈现演出的节目多样化；通过毕业汇报演出不同形式来呈现作品，包括声乐、器乐、舞蹈及原创作品演绎、流行音乐等形式。（支撑毕业要求3.1）</w:t>
            </w:r>
          </w:p>
          <w:p w14:paraId="0F849DB5">
            <w:pPr>
              <w:pStyle w:val="19"/>
              <w:keepNext w:val="0"/>
              <w:keepLines w:val="0"/>
              <w:pageBreakBefore w:val="0"/>
              <w:kinsoku/>
              <w:wordWrap/>
              <w:overflowPunct/>
              <w:topLinePunct w:val="0"/>
              <w:autoSpaceDE/>
              <w:autoSpaceDN/>
              <w:bidi w:val="0"/>
              <w:snapToGrid w:val="0"/>
              <w:spacing w:before="0" w:beforeAutospacing="0" w:after="0" w:afterAutospacing="0" w:line="240" w:lineRule="atLeast"/>
              <w:ind w:right="0" w:rightChars="0" w:firstLine="482" w:firstLineChars="200"/>
              <w:contextualSpacing/>
              <w:jc w:val="both"/>
              <w:textAlignment w:val="auto"/>
              <w:outlineLvl w:val="9"/>
              <w:rPr>
                <w:rFonts w:hint="eastAsia" w:ascii="仿宋" w:hAnsi="仿宋" w:eastAsia="仿宋" w:cs="仿宋"/>
                <w:lang w:val="en-US" w:eastAsia="zh-CN"/>
              </w:rPr>
            </w:pPr>
            <w:r>
              <w:rPr>
                <w:rFonts w:hint="eastAsia" w:ascii="仿宋" w:hAnsi="仿宋" w:eastAsia="仿宋" w:cs="仿宋"/>
                <w:b/>
                <w:bCs/>
                <w:lang w:val="en-US" w:eastAsia="zh-CN"/>
              </w:rPr>
              <w:t>课程目标2</w:t>
            </w:r>
            <w:r>
              <w:rPr>
                <w:rFonts w:hint="eastAsia" w:ascii="仿宋" w:hAnsi="仿宋" w:eastAsia="仿宋" w:cs="仿宋"/>
                <w:lang w:val="en-US" w:eastAsia="zh-CN"/>
              </w:rPr>
              <w:t>：掌握音乐表演与组织群文活动的基本理论知识，通过实践对艺术作品独特的见解。了解音乐艺术创作和理论的现状、前沿、应用前景与发展动态，具有较好的专业修养和独立思考能力.（支撑毕业要求7.1）</w:t>
            </w:r>
          </w:p>
          <w:p w14:paraId="5C7562F4">
            <w:pPr>
              <w:pStyle w:val="19"/>
              <w:keepNext w:val="0"/>
              <w:keepLines w:val="0"/>
              <w:pageBreakBefore w:val="0"/>
              <w:kinsoku/>
              <w:wordWrap/>
              <w:overflowPunct/>
              <w:topLinePunct w:val="0"/>
              <w:autoSpaceDE/>
              <w:autoSpaceDN/>
              <w:bidi w:val="0"/>
              <w:snapToGrid w:val="0"/>
              <w:spacing w:before="0" w:beforeAutospacing="0" w:after="0" w:afterAutospacing="0" w:line="240" w:lineRule="atLeast"/>
              <w:ind w:right="0" w:rightChars="0" w:firstLine="482" w:firstLineChars="200"/>
              <w:contextualSpacing/>
              <w:jc w:val="both"/>
              <w:textAlignment w:val="auto"/>
              <w:outlineLvl w:val="9"/>
              <w:rPr>
                <w:rFonts w:hint="eastAsia" w:ascii="仿宋" w:hAnsi="仿宋" w:eastAsia="仿宋" w:cs="仿宋"/>
                <w:color w:val="auto"/>
                <w:sz w:val="24"/>
                <w:szCs w:val="24"/>
                <w:lang w:eastAsia="zh-TW"/>
              </w:rPr>
            </w:pPr>
            <w:r>
              <w:rPr>
                <w:rFonts w:hint="eastAsia" w:ascii="仿宋" w:hAnsi="仿宋" w:eastAsia="仿宋" w:cs="仿宋"/>
                <w:b/>
                <w:bCs/>
                <w:lang w:val="en-US" w:eastAsia="zh-CN"/>
              </w:rPr>
              <w:t>课程目标3</w:t>
            </w:r>
            <w:r>
              <w:rPr>
                <w:rFonts w:hint="eastAsia" w:ascii="仿宋" w:hAnsi="仿宋" w:eastAsia="仿宋" w:cs="仿宋"/>
                <w:lang w:val="en-US" w:eastAsia="zh-CN"/>
              </w:rPr>
              <w:t>：在实践过程中，激发学生的创新精神和主观能动性，掌握基本的创新方法，具备良好的组织管理、人际交往和团队协作能力；节目不断打磨过程中强化学生团队协作能力、沟通能力，并且在相互沟通中夯实学生对自身专业知识体系的架构，以及组织、策划节目的能力，同时提升了学生的音乐文化素养</w:t>
            </w:r>
            <w:r>
              <w:rPr>
                <w:rFonts w:hint="eastAsia" w:hAnsi="宋体" w:cs="宋体"/>
                <w:color w:val="auto"/>
                <w:sz w:val="21"/>
                <w:szCs w:val="21"/>
                <w:highlight w:val="none"/>
                <w:lang w:val="en-US" w:eastAsia="zh-CN"/>
              </w:rPr>
              <w:t>。</w:t>
            </w:r>
            <w:r>
              <w:rPr>
                <w:rFonts w:hint="eastAsia" w:ascii="仿宋" w:hAnsi="仿宋" w:eastAsia="仿宋" w:cs="仿宋"/>
                <w:lang w:val="en-US" w:eastAsia="zh-CN"/>
              </w:rPr>
              <w:t>（支撑毕业要求8.1、8.2）</w:t>
            </w:r>
          </w:p>
        </w:tc>
      </w:tr>
      <w:tr w14:paraId="697DED06">
        <w:trPr>
          <w:trHeight w:val="642" w:hRule="atLeast"/>
        </w:trPr>
        <w:tc>
          <w:tcPr>
            <w:tcW w:w="1075" w:type="dxa"/>
            <w:vMerge w:val="continue"/>
            <w:shd w:val="clear" w:color="auto" w:fill="FFFFFF"/>
            <w:noWrap w:val="0"/>
            <w:vAlign w:val="center"/>
          </w:tcPr>
          <w:p w14:paraId="0832A589">
            <w:pPr>
              <w:adjustRightInd w:val="0"/>
              <w:snapToGrid w:val="0"/>
              <w:spacing w:line="240" w:lineRule="atLeast"/>
              <w:jc w:val="center"/>
              <w:rPr>
                <w:rFonts w:hint="eastAsia" w:ascii="仿宋" w:hAnsi="仿宋" w:eastAsia="仿宋" w:cs="仿宋"/>
                <w:color w:val="auto"/>
                <w:sz w:val="24"/>
                <w:szCs w:val="24"/>
              </w:rPr>
            </w:pPr>
          </w:p>
        </w:tc>
        <w:tc>
          <w:tcPr>
            <w:tcW w:w="1608" w:type="dxa"/>
            <w:gridSpan w:val="2"/>
            <w:tcBorders>
              <w:bottom w:val="single" w:color="auto" w:sz="4" w:space="0"/>
            </w:tcBorders>
            <w:shd w:val="clear" w:color="auto" w:fill="FFFFFF"/>
            <w:noWrap w:val="0"/>
            <w:vAlign w:val="center"/>
          </w:tcPr>
          <w:p w14:paraId="06159A62">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课程目标</w:t>
            </w:r>
          </w:p>
        </w:tc>
        <w:tc>
          <w:tcPr>
            <w:tcW w:w="4388" w:type="dxa"/>
            <w:gridSpan w:val="7"/>
            <w:tcBorders>
              <w:bottom w:val="single" w:color="auto" w:sz="4" w:space="0"/>
            </w:tcBorders>
            <w:shd w:val="clear" w:color="auto" w:fill="FFFFFF"/>
            <w:noWrap w:val="0"/>
            <w:vAlign w:val="center"/>
          </w:tcPr>
          <w:p w14:paraId="1EE4B52E">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毕业要求分解指标点</w:t>
            </w:r>
          </w:p>
        </w:tc>
        <w:tc>
          <w:tcPr>
            <w:tcW w:w="2828" w:type="dxa"/>
            <w:gridSpan w:val="4"/>
            <w:tcBorders>
              <w:bottom w:val="single" w:color="auto" w:sz="4" w:space="0"/>
            </w:tcBorders>
            <w:shd w:val="clear" w:color="auto" w:fill="FFFFFF"/>
            <w:noWrap w:val="0"/>
            <w:vAlign w:val="center"/>
          </w:tcPr>
          <w:p w14:paraId="5D283552">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毕业要求</w:t>
            </w:r>
          </w:p>
        </w:tc>
      </w:tr>
      <w:tr w14:paraId="2DF63D77">
        <w:trPr>
          <w:trHeight w:val="1222" w:hRule="atLeast"/>
        </w:trPr>
        <w:tc>
          <w:tcPr>
            <w:tcW w:w="1075" w:type="dxa"/>
            <w:vMerge w:val="continue"/>
            <w:shd w:val="clear" w:color="auto" w:fill="FFFFFF"/>
            <w:noWrap w:val="0"/>
            <w:vAlign w:val="center"/>
          </w:tcPr>
          <w:p w14:paraId="3C088A14">
            <w:pPr>
              <w:adjustRightInd w:val="0"/>
              <w:snapToGrid w:val="0"/>
              <w:spacing w:line="240" w:lineRule="atLeast"/>
              <w:jc w:val="center"/>
              <w:rPr>
                <w:rFonts w:hint="eastAsia" w:ascii="仿宋" w:hAnsi="仿宋" w:eastAsia="仿宋" w:cs="仿宋"/>
                <w:color w:val="auto"/>
                <w:sz w:val="24"/>
                <w:szCs w:val="24"/>
              </w:rPr>
            </w:pPr>
          </w:p>
        </w:tc>
        <w:tc>
          <w:tcPr>
            <w:tcW w:w="1608" w:type="dxa"/>
            <w:gridSpan w:val="2"/>
            <w:tcBorders>
              <w:bottom w:val="single" w:color="auto" w:sz="4" w:space="0"/>
            </w:tcBorders>
            <w:shd w:val="clear" w:color="auto" w:fill="FFFFFF"/>
            <w:noWrap w:val="0"/>
            <w:vAlign w:val="center"/>
          </w:tcPr>
          <w:p w14:paraId="74D7BBB9">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课程目标1</w:t>
            </w:r>
          </w:p>
        </w:tc>
        <w:tc>
          <w:tcPr>
            <w:tcW w:w="4388" w:type="dxa"/>
            <w:gridSpan w:val="7"/>
            <w:shd w:val="clear" w:color="auto" w:fill="FFFFFF"/>
            <w:noWrap w:val="0"/>
            <w:vAlign w:val="center"/>
          </w:tcPr>
          <w:p w14:paraId="53E5D7CD">
            <w:pPr>
              <w:adjustRightInd w:val="0"/>
              <w:snapToGrid w:val="0"/>
              <w:spacing w:beforeLines="0" w:afterLines="0"/>
              <w:jc w:val="left"/>
              <w:rPr>
                <w:rStyle w:val="235"/>
                <w:rFonts w:hint="eastAsia" w:ascii="仿宋" w:hAnsi="仿宋" w:eastAsia="仿宋" w:cstheme="minorBidi"/>
                <w:color w:val="000000"/>
                <w:sz w:val="24"/>
                <w:szCs w:val="24"/>
              </w:rPr>
            </w:pPr>
            <w:r>
              <w:rPr>
                <w:rStyle w:val="235"/>
                <w:rFonts w:hint="eastAsia" w:ascii="仿宋" w:hAnsi="仿宋" w:eastAsia="仿宋" w:cstheme="minorBidi"/>
                <w:color w:val="000000"/>
                <w:sz w:val="24"/>
                <w:szCs w:val="24"/>
              </w:rPr>
              <w:t>3.1【专业技能】掌握音乐学科</w:t>
            </w:r>
            <w:r>
              <w:rPr>
                <w:rStyle w:val="235"/>
                <w:rFonts w:hint="eastAsia" w:ascii="仿宋" w:hAnsi="仿宋" w:eastAsia="仿宋" w:cstheme="minorBidi"/>
                <w:color w:val="000000"/>
                <w:sz w:val="24"/>
                <w:szCs w:val="24"/>
                <w:lang w:val="en-US"/>
              </w:rPr>
              <w:t>专业</w:t>
            </w:r>
            <w:r>
              <w:rPr>
                <w:rStyle w:val="235"/>
                <w:rFonts w:hint="eastAsia" w:ascii="仿宋" w:hAnsi="仿宋" w:eastAsia="仿宋" w:cstheme="minorBidi"/>
                <w:color w:val="000000"/>
                <w:sz w:val="24"/>
                <w:szCs w:val="24"/>
              </w:rPr>
              <w:t>基本功，掌握音乐学科基础知识、基本理论与思想方法，理解音乐学科的核心素养的内涵，形成</w:t>
            </w:r>
            <w:r>
              <w:rPr>
                <w:rStyle w:val="235"/>
                <w:rFonts w:hint="eastAsia" w:ascii="仿宋" w:hAnsi="仿宋" w:eastAsia="仿宋" w:cstheme="minorBidi"/>
                <w:color w:val="000000"/>
                <w:sz w:val="24"/>
                <w:szCs w:val="24"/>
                <w:lang w:val="en-US"/>
              </w:rPr>
              <w:t>完整的音乐学知识体系。</w:t>
            </w:r>
          </w:p>
        </w:tc>
        <w:tc>
          <w:tcPr>
            <w:tcW w:w="2828" w:type="dxa"/>
            <w:gridSpan w:val="4"/>
            <w:shd w:val="clear" w:color="auto" w:fill="FFFFFF"/>
            <w:noWrap w:val="0"/>
            <w:vAlign w:val="center"/>
          </w:tcPr>
          <w:p w14:paraId="5E784618">
            <w:pPr>
              <w:adjustRightInd w:val="0"/>
              <w:snapToGrid w:val="0"/>
              <w:spacing w:beforeLines="0" w:afterLines="0"/>
              <w:jc w:val="center"/>
              <w:rPr>
                <w:rFonts w:hint="eastAsia" w:ascii="仿宋" w:hAnsi="仿宋" w:eastAsia="仿宋" w:cs="仿宋"/>
                <w:color w:val="auto"/>
                <w:sz w:val="24"/>
                <w:szCs w:val="24"/>
              </w:rPr>
            </w:pPr>
            <w:r>
              <w:rPr>
                <w:rFonts w:hint="eastAsia" w:ascii="仿宋" w:hAnsi="仿宋" w:eastAsia="仿宋"/>
                <w:color w:val="auto"/>
                <w:sz w:val="24"/>
              </w:rPr>
              <w:t>学科素养（</w:t>
            </w:r>
            <w:r>
              <w:rPr>
                <w:rFonts w:hint="eastAsia" w:ascii="仿宋" w:hAnsi="仿宋" w:eastAsia="仿宋"/>
                <w:color w:val="auto"/>
                <w:sz w:val="24"/>
                <w:lang w:val="en-US" w:eastAsia="zh-CN"/>
              </w:rPr>
              <w:t>H</w:t>
            </w:r>
            <w:r>
              <w:rPr>
                <w:rFonts w:hint="eastAsia" w:ascii="仿宋" w:hAnsi="仿宋" w:eastAsia="仿宋"/>
                <w:color w:val="auto"/>
                <w:sz w:val="24"/>
              </w:rPr>
              <w:t>）</w:t>
            </w:r>
          </w:p>
        </w:tc>
      </w:tr>
      <w:tr w14:paraId="6AF22D98">
        <w:trPr>
          <w:trHeight w:val="817" w:hRule="atLeast"/>
        </w:trPr>
        <w:tc>
          <w:tcPr>
            <w:tcW w:w="1075" w:type="dxa"/>
            <w:vMerge w:val="continue"/>
            <w:shd w:val="clear" w:color="auto" w:fill="FFFFFF"/>
            <w:noWrap w:val="0"/>
            <w:vAlign w:val="center"/>
          </w:tcPr>
          <w:p w14:paraId="31D0F5CA">
            <w:pPr>
              <w:adjustRightInd w:val="0"/>
              <w:snapToGrid w:val="0"/>
              <w:spacing w:line="240" w:lineRule="atLeast"/>
              <w:jc w:val="center"/>
              <w:rPr>
                <w:rFonts w:hint="eastAsia" w:ascii="仿宋" w:hAnsi="仿宋" w:eastAsia="仿宋" w:cs="仿宋"/>
                <w:color w:val="auto"/>
                <w:sz w:val="24"/>
                <w:szCs w:val="24"/>
              </w:rPr>
            </w:pPr>
          </w:p>
        </w:tc>
        <w:tc>
          <w:tcPr>
            <w:tcW w:w="1608" w:type="dxa"/>
            <w:gridSpan w:val="2"/>
            <w:shd w:val="clear" w:color="auto" w:fill="FFFFFF"/>
            <w:noWrap w:val="0"/>
            <w:vAlign w:val="center"/>
          </w:tcPr>
          <w:p w14:paraId="03C7B196">
            <w:pPr>
              <w:adjustRightInd w:val="0"/>
              <w:snapToGrid w:val="0"/>
              <w:jc w:val="center"/>
              <w:rPr>
                <w:rFonts w:hint="eastAsia" w:ascii="仿宋" w:hAnsi="仿宋" w:eastAsia="仿宋" w:cs="仿宋"/>
                <w:color w:val="auto"/>
                <w:sz w:val="24"/>
                <w:szCs w:val="24"/>
                <w:lang w:eastAsia="zh-CN"/>
              </w:rPr>
            </w:pPr>
            <w:r>
              <w:rPr>
                <w:rFonts w:hint="eastAsia" w:ascii="仿宋" w:hAnsi="仿宋" w:eastAsia="仿宋" w:cs="仿宋"/>
                <w:color w:val="auto"/>
                <w:sz w:val="24"/>
                <w:szCs w:val="24"/>
              </w:rPr>
              <w:t>课程目标</w:t>
            </w:r>
            <w:r>
              <w:rPr>
                <w:rFonts w:hint="eastAsia" w:ascii="仿宋" w:hAnsi="仿宋" w:eastAsia="仿宋" w:cs="仿宋"/>
                <w:color w:val="auto"/>
                <w:sz w:val="24"/>
                <w:szCs w:val="24"/>
                <w:lang w:val="en-US" w:eastAsia="zh-CN"/>
              </w:rPr>
              <w:t>2</w:t>
            </w:r>
          </w:p>
        </w:tc>
        <w:tc>
          <w:tcPr>
            <w:tcW w:w="4388" w:type="dxa"/>
            <w:gridSpan w:val="7"/>
            <w:shd w:val="clear" w:color="auto" w:fill="FFFFFF"/>
            <w:noWrap w:val="0"/>
            <w:vAlign w:val="center"/>
          </w:tcPr>
          <w:p w14:paraId="44311B8C">
            <w:pPr>
              <w:adjustRightInd w:val="0"/>
              <w:snapToGrid w:val="0"/>
              <w:spacing w:beforeLines="0" w:afterLines="0"/>
              <w:jc w:val="left"/>
              <w:rPr>
                <w:rStyle w:val="235"/>
                <w:rFonts w:hint="eastAsia" w:ascii="仿宋" w:hAnsi="仿宋" w:eastAsia="仿宋" w:cstheme="minorBidi"/>
                <w:color w:val="000000"/>
                <w:sz w:val="24"/>
                <w:szCs w:val="24"/>
                <w:lang w:val="en-US" w:eastAsia="zh-CN"/>
              </w:rPr>
            </w:pPr>
            <w:r>
              <w:rPr>
                <w:rStyle w:val="235"/>
                <w:rFonts w:hint="eastAsia" w:ascii="仿宋" w:hAnsi="仿宋" w:eastAsia="仿宋" w:cstheme="minorBidi"/>
                <w:color w:val="000000"/>
                <w:sz w:val="24"/>
                <w:szCs w:val="24"/>
                <w:lang w:val="en-US" w:eastAsia="zh-CN"/>
              </w:rPr>
              <w:t>7.1【反思改进】具有反思意识和批判性思维，初步掌握教育教学反思的基本方法和策略，能够对相关学习、教育教学实践活动进行有效的自我诊断，提出改进思路。</w:t>
            </w:r>
          </w:p>
        </w:tc>
        <w:tc>
          <w:tcPr>
            <w:tcW w:w="2828" w:type="dxa"/>
            <w:gridSpan w:val="4"/>
            <w:shd w:val="clear" w:color="auto" w:fill="FFFFFF"/>
            <w:noWrap w:val="0"/>
            <w:vAlign w:val="center"/>
          </w:tcPr>
          <w:p w14:paraId="0525CCFC">
            <w:pPr>
              <w:adjustRightInd w:val="0"/>
              <w:snapToGrid w:val="0"/>
              <w:spacing w:beforeLines="0" w:afterLines="0"/>
              <w:jc w:val="center"/>
              <w:rPr>
                <w:rFonts w:hint="eastAsia" w:ascii="仿宋" w:hAnsi="仿宋" w:eastAsia="仿宋"/>
                <w:color w:val="auto"/>
                <w:kern w:val="2"/>
                <w:sz w:val="24"/>
                <w:szCs w:val="22"/>
                <w:lang w:val="en-US" w:eastAsia="zh-CN" w:bidi="ar-SA"/>
              </w:rPr>
            </w:pPr>
            <w:r>
              <w:rPr>
                <w:rFonts w:hint="eastAsia" w:ascii="仿宋" w:hAnsi="仿宋" w:eastAsia="仿宋"/>
                <w:color w:val="auto"/>
                <w:sz w:val="24"/>
              </w:rPr>
              <w:t>学会反思（</w:t>
            </w:r>
            <w:r>
              <w:rPr>
                <w:rFonts w:hint="eastAsia" w:ascii="仿宋" w:hAnsi="仿宋" w:eastAsia="仿宋"/>
                <w:color w:val="auto"/>
                <w:sz w:val="24"/>
                <w:lang w:val="en-US" w:eastAsia="zh-CN"/>
              </w:rPr>
              <w:t>M</w:t>
            </w:r>
            <w:r>
              <w:rPr>
                <w:rFonts w:hint="eastAsia" w:ascii="仿宋" w:hAnsi="仿宋" w:eastAsia="仿宋"/>
                <w:color w:val="auto"/>
                <w:sz w:val="24"/>
              </w:rPr>
              <w:t>）</w:t>
            </w:r>
          </w:p>
        </w:tc>
      </w:tr>
      <w:tr w14:paraId="71D9315D">
        <w:trPr>
          <w:trHeight w:val="817" w:hRule="atLeast"/>
        </w:trPr>
        <w:tc>
          <w:tcPr>
            <w:tcW w:w="1075" w:type="dxa"/>
            <w:vMerge w:val="continue"/>
            <w:shd w:val="clear" w:color="auto" w:fill="FFFFFF"/>
            <w:noWrap w:val="0"/>
            <w:vAlign w:val="center"/>
          </w:tcPr>
          <w:p w14:paraId="1368C9B0">
            <w:pPr>
              <w:adjustRightInd w:val="0"/>
              <w:snapToGrid w:val="0"/>
              <w:spacing w:line="240" w:lineRule="atLeast"/>
              <w:jc w:val="center"/>
              <w:rPr>
                <w:rFonts w:hint="eastAsia" w:ascii="仿宋" w:hAnsi="仿宋" w:eastAsia="仿宋" w:cs="仿宋"/>
                <w:color w:val="auto"/>
                <w:sz w:val="24"/>
                <w:szCs w:val="24"/>
              </w:rPr>
            </w:pPr>
          </w:p>
        </w:tc>
        <w:tc>
          <w:tcPr>
            <w:tcW w:w="1608" w:type="dxa"/>
            <w:gridSpan w:val="2"/>
            <w:shd w:val="clear" w:color="auto" w:fill="FFFFFF"/>
            <w:noWrap w:val="0"/>
            <w:vAlign w:val="center"/>
          </w:tcPr>
          <w:p w14:paraId="31A1F464">
            <w:pPr>
              <w:adjustRightInd w:val="0"/>
              <w:snapToGrid w:val="0"/>
              <w:jc w:val="center"/>
              <w:rPr>
                <w:rFonts w:hint="eastAsia" w:ascii="仿宋" w:hAnsi="仿宋" w:eastAsia="仿宋" w:cs="仿宋"/>
                <w:color w:val="auto"/>
                <w:sz w:val="24"/>
                <w:szCs w:val="24"/>
                <w:lang w:eastAsia="zh-CN"/>
              </w:rPr>
            </w:pPr>
            <w:r>
              <w:rPr>
                <w:rFonts w:hint="eastAsia" w:ascii="仿宋" w:hAnsi="仿宋" w:eastAsia="仿宋" w:cs="仿宋"/>
                <w:color w:val="auto"/>
                <w:sz w:val="24"/>
                <w:szCs w:val="24"/>
              </w:rPr>
              <w:t>课程目标</w:t>
            </w:r>
            <w:r>
              <w:rPr>
                <w:rFonts w:hint="eastAsia" w:ascii="仿宋" w:hAnsi="仿宋" w:eastAsia="仿宋" w:cs="仿宋"/>
                <w:color w:val="auto"/>
                <w:sz w:val="24"/>
                <w:szCs w:val="24"/>
                <w:lang w:val="en-US" w:eastAsia="zh-CN"/>
              </w:rPr>
              <w:t>3</w:t>
            </w:r>
          </w:p>
        </w:tc>
        <w:tc>
          <w:tcPr>
            <w:tcW w:w="4388" w:type="dxa"/>
            <w:gridSpan w:val="7"/>
            <w:shd w:val="clear" w:color="auto" w:fill="FFFFFF"/>
            <w:noWrap w:val="0"/>
            <w:vAlign w:val="center"/>
          </w:tcPr>
          <w:p w14:paraId="09C34D84">
            <w:pPr>
              <w:adjustRightInd w:val="0"/>
              <w:snapToGrid w:val="0"/>
              <w:spacing w:beforeLines="0" w:afterLines="0"/>
              <w:jc w:val="left"/>
              <w:rPr>
                <w:rStyle w:val="235"/>
                <w:rFonts w:hint="eastAsia" w:ascii="仿宋" w:hAnsi="仿宋" w:eastAsia="仿宋" w:cstheme="minorBidi"/>
                <w:color w:val="000000"/>
                <w:sz w:val="24"/>
                <w:szCs w:val="24"/>
                <w:lang w:val="en-US" w:eastAsia="zh-CN"/>
              </w:rPr>
            </w:pPr>
            <w:r>
              <w:rPr>
                <w:rStyle w:val="235"/>
                <w:rFonts w:hint="eastAsia" w:ascii="仿宋" w:hAnsi="仿宋" w:eastAsia="仿宋" w:cstheme="minorBidi"/>
                <w:color w:val="000000"/>
                <w:sz w:val="24"/>
                <w:szCs w:val="24"/>
                <w:lang w:val="en-US" w:eastAsia="zh-CN"/>
              </w:rPr>
              <w:t>8.1【沟通交流】掌握人际交往和沟通的方式方法，能够在教育实践、社会实践中与同事、同行、专家等进行有效沟通交流。</w:t>
            </w:r>
          </w:p>
          <w:p w14:paraId="73EC377F">
            <w:pPr>
              <w:adjustRightInd w:val="0"/>
              <w:snapToGrid w:val="0"/>
              <w:spacing w:beforeLines="0" w:afterLines="0"/>
              <w:jc w:val="left"/>
              <w:rPr>
                <w:rFonts w:hint="eastAsia"/>
              </w:rPr>
            </w:pPr>
            <w:r>
              <w:rPr>
                <w:rStyle w:val="235"/>
                <w:rFonts w:hint="eastAsia" w:ascii="仿宋" w:hAnsi="仿宋" w:eastAsia="仿宋" w:cstheme="minorBidi"/>
                <w:color w:val="000000"/>
                <w:sz w:val="24"/>
                <w:szCs w:val="24"/>
                <w:lang w:val="en-US" w:eastAsia="zh-CN"/>
              </w:rPr>
              <w:t>8.2【团队协作】理解学习共同体的作用，掌握团队协作的基本策略，在教育实践、艺术实践等活动中，具有良好的团队协作精神。</w:t>
            </w:r>
          </w:p>
        </w:tc>
        <w:tc>
          <w:tcPr>
            <w:tcW w:w="2828" w:type="dxa"/>
            <w:gridSpan w:val="4"/>
            <w:shd w:val="clear" w:color="auto" w:fill="FFFFFF"/>
            <w:noWrap w:val="0"/>
            <w:vAlign w:val="center"/>
          </w:tcPr>
          <w:p w14:paraId="4EF044BA">
            <w:pPr>
              <w:adjustRightInd w:val="0"/>
              <w:snapToGrid w:val="0"/>
              <w:spacing w:beforeLines="0" w:afterLines="0"/>
              <w:jc w:val="center"/>
              <w:rPr>
                <w:rFonts w:hint="eastAsia" w:ascii="仿宋" w:hAnsi="仿宋" w:eastAsia="仿宋" w:cs="仿宋"/>
                <w:color w:val="auto"/>
                <w:sz w:val="24"/>
                <w:szCs w:val="24"/>
              </w:rPr>
            </w:pPr>
            <w:r>
              <w:rPr>
                <w:rFonts w:hint="eastAsia" w:ascii="仿宋" w:hAnsi="仿宋" w:eastAsia="仿宋"/>
                <w:color w:val="auto"/>
                <w:sz w:val="24"/>
                <w:lang w:val="en-US" w:eastAsia="zh-CN"/>
              </w:rPr>
              <w:t>沟通合作</w:t>
            </w:r>
            <w:r>
              <w:rPr>
                <w:rFonts w:hint="eastAsia" w:ascii="仿宋" w:hAnsi="仿宋" w:eastAsia="仿宋"/>
                <w:color w:val="auto"/>
                <w:sz w:val="24"/>
              </w:rPr>
              <w:t>（</w:t>
            </w:r>
            <w:r>
              <w:rPr>
                <w:rFonts w:hint="eastAsia" w:ascii="仿宋" w:hAnsi="仿宋" w:eastAsia="仿宋"/>
                <w:color w:val="auto"/>
                <w:sz w:val="24"/>
                <w:lang w:val="en-US" w:eastAsia="zh-CN"/>
              </w:rPr>
              <w:t>H</w:t>
            </w:r>
            <w:r>
              <w:rPr>
                <w:rFonts w:hint="eastAsia" w:ascii="仿宋" w:hAnsi="仿宋" w:eastAsia="仿宋"/>
                <w:color w:val="auto"/>
                <w:sz w:val="24"/>
              </w:rPr>
              <w:t>）</w:t>
            </w:r>
          </w:p>
        </w:tc>
      </w:tr>
      <w:tr w14:paraId="4C02E403">
        <w:trPr>
          <w:trHeight w:val="582" w:hRule="atLeast"/>
        </w:trPr>
        <w:tc>
          <w:tcPr>
            <w:tcW w:w="1075" w:type="dxa"/>
            <w:vMerge w:val="restart"/>
            <w:shd w:val="clear" w:color="auto" w:fill="FFFFFF"/>
            <w:noWrap w:val="0"/>
            <w:vAlign w:val="center"/>
          </w:tcPr>
          <w:p w14:paraId="5AD58396">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F</w:t>
            </w:r>
          </w:p>
          <w:p w14:paraId="6DD6D9A5">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理论学习内容</w:t>
            </w:r>
          </w:p>
        </w:tc>
        <w:tc>
          <w:tcPr>
            <w:tcW w:w="5996" w:type="dxa"/>
            <w:gridSpan w:val="9"/>
            <w:shd w:val="clear" w:color="auto" w:fill="FFFFFF"/>
            <w:noWrap w:val="0"/>
            <w:vAlign w:val="center"/>
          </w:tcPr>
          <w:p w14:paraId="0BF37C9C">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章节学习内容与学习要求</w:t>
            </w:r>
          </w:p>
        </w:tc>
        <w:tc>
          <w:tcPr>
            <w:tcW w:w="1153" w:type="dxa"/>
            <w:gridSpan w:val="2"/>
            <w:shd w:val="clear" w:color="auto" w:fill="FFFFFF"/>
            <w:noWrap w:val="0"/>
            <w:vAlign w:val="center"/>
          </w:tcPr>
          <w:p w14:paraId="3B257E98">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支撑课程</w:t>
            </w:r>
          </w:p>
          <w:p w14:paraId="2F330FF2">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目标</w:t>
            </w:r>
          </w:p>
        </w:tc>
        <w:tc>
          <w:tcPr>
            <w:tcW w:w="1675" w:type="dxa"/>
            <w:gridSpan w:val="2"/>
            <w:shd w:val="clear" w:color="auto" w:fill="FFFFFF"/>
            <w:noWrap w:val="0"/>
            <w:vAlign w:val="center"/>
          </w:tcPr>
          <w:p w14:paraId="661D9F70">
            <w:pPr>
              <w:adjustRightInd w:val="0"/>
              <w:snapToGrid w:val="0"/>
              <w:spacing w:line="240" w:lineRule="atLeast"/>
              <w:jc w:val="center"/>
              <w:textAlignment w:val="baseline"/>
              <w:rPr>
                <w:rFonts w:ascii="仿宋" w:hAnsi="仿宋" w:eastAsia="仿宋" w:cs="仿宋"/>
                <w:color w:val="auto"/>
                <w:kern w:val="0"/>
                <w:sz w:val="24"/>
                <w:szCs w:val="24"/>
              </w:rPr>
            </w:pPr>
            <w:r>
              <w:rPr>
                <w:rFonts w:hint="eastAsia" w:ascii="仿宋" w:hAnsi="仿宋" w:eastAsia="仿宋" w:cs="仿宋"/>
                <w:color w:val="auto"/>
                <w:kern w:val="0"/>
                <w:sz w:val="24"/>
                <w:szCs w:val="24"/>
              </w:rPr>
              <w:t>学时</w:t>
            </w:r>
          </w:p>
          <w:p w14:paraId="600CF906">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分配</w:t>
            </w:r>
          </w:p>
        </w:tc>
      </w:tr>
      <w:tr w14:paraId="026E2539">
        <w:trPr>
          <w:trHeight w:val="454" w:hRule="atLeast"/>
        </w:trPr>
        <w:tc>
          <w:tcPr>
            <w:tcW w:w="1075" w:type="dxa"/>
            <w:vMerge w:val="continue"/>
            <w:shd w:val="clear" w:color="auto" w:fill="FFFFFF"/>
            <w:noWrap w:val="0"/>
            <w:vAlign w:val="center"/>
          </w:tcPr>
          <w:p w14:paraId="7BF2E2EF">
            <w:pPr>
              <w:adjustRightInd w:val="0"/>
              <w:snapToGrid w:val="0"/>
              <w:spacing w:line="240" w:lineRule="atLeast"/>
              <w:jc w:val="right"/>
              <w:rPr>
                <w:rFonts w:hint="eastAsia" w:ascii="仿宋" w:hAnsi="仿宋" w:eastAsia="仿宋" w:cs="仿宋"/>
                <w:color w:val="auto"/>
                <w:sz w:val="24"/>
                <w:szCs w:val="24"/>
              </w:rPr>
            </w:pPr>
          </w:p>
        </w:tc>
        <w:tc>
          <w:tcPr>
            <w:tcW w:w="5996" w:type="dxa"/>
            <w:gridSpan w:val="9"/>
            <w:shd w:val="clear" w:color="auto" w:fill="auto"/>
            <w:noWrap w:val="0"/>
            <w:vAlign w:val="top"/>
          </w:tcPr>
          <w:p w14:paraId="5D9B0A00">
            <w:pPr>
              <w:pStyle w:val="236"/>
              <w:spacing w:before="125" w:line="312" w:lineRule="auto"/>
              <w:ind w:right="23" w:rightChars="0"/>
              <w:rPr>
                <w:rFonts w:hint="eastAsia" w:ascii="仿宋" w:hAnsi="仿宋" w:eastAsia="仿宋" w:cs="仿宋"/>
                <w:bCs/>
                <w:color w:val="auto"/>
                <w:sz w:val="24"/>
                <w:szCs w:val="24"/>
                <w:lang w:val="en-US" w:eastAsia="zh-CN" w:bidi="ar-SA"/>
              </w:rPr>
            </w:pPr>
          </w:p>
        </w:tc>
        <w:tc>
          <w:tcPr>
            <w:tcW w:w="1153" w:type="dxa"/>
            <w:gridSpan w:val="2"/>
            <w:shd w:val="clear" w:color="auto" w:fill="auto"/>
            <w:noWrap w:val="0"/>
            <w:vAlign w:val="center"/>
          </w:tcPr>
          <w:p w14:paraId="6C901749">
            <w:pPr>
              <w:widowControl/>
              <w:adjustRightInd w:val="0"/>
              <w:snapToGrid w:val="0"/>
              <w:jc w:val="center"/>
              <w:rPr>
                <w:rFonts w:hint="eastAsia" w:ascii="仿宋" w:hAnsi="仿宋" w:eastAsia="仿宋" w:cs="仿宋"/>
                <w:bCs/>
                <w:color w:val="auto"/>
                <w:sz w:val="24"/>
                <w:szCs w:val="24"/>
              </w:rPr>
            </w:pPr>
          </w:p>
        </w:tc>
        <w:tc>
          <w:tcPr>
            <w:tcW w:w="1675" w:type="dxa"/>
            <w:gridSpan w:val="2"/>
            <w:shd w:val="clear" w:color="auto" w:fill="FFFFFF"/>
            <w:noWrap w:val="0"/>
            <w:vAlign w:val="center"/>
          </w:tcPr>
          <w:p w14:paraId="2CD75DA0">
            <w:pPr>
              <w:adjustRightInd w:val="0"/>
              <w:snapToGrid w:val="0"/>
              <w:jc w:val="center"/>
              <w:rPr>
                <w:rFonts w:hint="default" w:ascii="仿宋" w:hAnsi="仿宋" w:eastAsia="仿宋" w:cs="仿宋"/>
                <w:color w:val="auto"/>
                <w:sz w:val="24"/>
                <w:szCs w:val="24"/>
                <w:lang w:val="en-US" w:eastAsia="zh-CN"/>
              </w:rPr>
            </w:pPr>
          </w:p>
        </w:tc>
      </w:tr>
      <w:tr w14:paraId="3D557198">
        <w:trPr>
          <w:trHeight w:val="638" w:hRule="atLeast"/>
        </w:trPr>
        <w:tc>
          <w:tcPr>
            <w:tcW w:w="1075" w:type="dxa"/>
            <w:vMerge w:val="continue"/>
            <w:shd w:val="clear" w:color="auto" w:fill="FFFFFF"/>
            <w:noWrap w:val="0"/>
            <w:vAlign w:val="center"/>
          </w:tcPr>
          <w:p w14:paraId="02875EDF">
            <w:pPr>
              <w:adjustRightInd w:val="0"/>
              <w:snapToGrid w:val="0"/>
              <w:spacing w:line="240" w:lineRule="atLeast"/>
              <w:jc w:val="right"/>
              <w:rPr>
                <w:rFonts w:hint="eastAsia" w:ascii="仿宋" w:hAnsi="仿宋" w:eastAsia="仿宋" w:cs="仿宋"/>
                <w:color w:val="auto"/>
                <w:sz w:val="24"/>
                <w:szCs w:val="24"/>
              </w:rPr>
            </w:pPr>
          </w:p>
        </w:tc>
        <w:tc>
          <w:tcPr>
            <w:tcW w:w="5996" w:type="dxa"/>
            <w:gridSpan w:val="9"/>
            <w:shd w:val="clear" w:color="auto" w:fill="auto"/>
            <w:noWrap w:val="0"/>
            <w:vAlign w:val="top"/>
          </w:tcPr>
          <w:p w14:paraId="0E23F2BF">
            <w:pPr>
              <w:pStyle w:val="236"/>
              <w:spacing w:before="125" w:line="312" w:lineRule="auto"/>
              <w:ind w:right="23" w:rightChars="0"/>
              <w:rPr>
                <w:rFonts w:hint="eastAsia" w:ascii="仿宋" w:hAnsi="仿宋" w:eastAsia="仿宋" w:cs="仿宋"/>
                <w:bCs/>
                <w:color w:val="auto"/>
                <w:sz w:val="24"/>
                <w:szCs w:val="24"/>
                <w:lang w:val="en-US" w:eastAsia="zh-CN" w:bidi="ar-SA"/>
              </w:rPr>
            </w:pPr>
          </w:p>
        </w:tc>
        <w:tc>
          <w:tcPr>
            <w:tcW w:w="1153" w:type="dxa"/>
            <w:gridSpan w:val="2"/>
            <w:shd w:val="clear" w:color="auto" w:fill="auto"/>
            <w:noWrap w:val="0"/>
            <w:vAlign w:val="center"/>
          </w:tcPr>
          <w:p w14:paraId="72AEC5A7">
            <w:pPr>
              <w:widowControl/>
              <w:adjustRightInd w:val="0"/>
              <w:snapToGrid w:val="0"/>
              <w:jc w:val="both"/>
              <w:rPr>
                <w:rFonts w:hint="eastAsia" w:ascii="仿宋" w:hAnsi="仿宋" w:eastAsia="仿宋" w:cs="仿宋"/>
                <w:bCs/>
                <w:color w:val="auto"/>
                <w:sz w:val="24"/>
                <w:szCs w:val="24"/>
              </w:rPr>
            </w:pPr>
          </w:p>
        </w:tc>
        <w:tc>
          <w:tcPr>
            <w:tcW w:w="1675" w:type="dxa"/>
            <w:gridSpan w:val="2"/>
            <w:shd w:val="clear" w:color="auto" w:fill="FFFFFF"/>
            <w:noWrap w:val="0"/>
            <w:vAlign w:val="center"/>
          </w:tcPr>
          <w:p w14:paraId="60754363">
            <w:pPr>
              <w:adjustRightInd w:val="0"/>
              <w:snapToGrid w:val="0"/>
              <w:jc w:val="center"/>
              <w:rPr>
                <w:rFonts w:hint="default" w:ascii="仿宋" w:hAnsi="仿宋" w:eastAsia="仿宋" w:cs="仿宋"/>
                <w:color w:val="auto"/>
                <w:sz w:val="24"/>
                <w:szCs w:val="24"/>
                <w:lang w:val="en-US" w:eastAsia="zh-CN"/>
              </w:rPr>
            </w:pPr>
          </w:p>
        </w:tc>
      </w:tr>
      <w:tr w14:paraId="3E3B6519">
        <w:trPr>
          <w:trHeight w:val="454" w:hRule="atLeast"/>
        </w:trPr>
        <w:tc>
          <w:tcPr>
            <w:tcW w:w="1075" w:type="dxa"/>
            <w:vMerge w:val="continue"/>
            <w:shd w:val="clear" w:color="auto" w:fill="FFFFFF"/>
            <w:noWrap w:val="0"/>
            <w:vAlign w:val="center"/>
          </w:tcPr>
          <w:p w14:paraId="6B42C9BA">
            <w:pPr>
              <w:adjustRightInd w:val="0"/>
              <w:snapToGrid w:val="0"/>
              <w:spacing w:line="240" w:lineRule="atLeast"/>
              <w:jc w:val="right"/>
              <w:rPr>
                <w:rFonts w:hint="eastAsia" w:ascii="仿宋" w:hAnsi="仿宋" w:eastAsia="仿宋" w:cs="仿宋"/>
                <w:color w:val="auto"/>
                <w:sz w:val="24"/>
                <w:szCs w:val="24"/>
              </w:rPr>
            </w:pPr>
          </w:p>
        </w:tc>
        <w:tc>
          <w:tcPr>
            <w:tcW w:w="5996" w:type="dxa"/>
            <w:gridSpan w:val="9"/>
            <w:shd w:val="clear" w:color="auto" w:fill="auto"/>
            <w:noWrap w:val="0"/>
            <w:vAlign w:val="top"/>
          </w:tcPr>
          <w:p w14:paraId="602F2BDD">
            <w:pPr>
              <w:pStyle w:val="236"/>
              <w:spacing w:before="125" w:line="312" w:lineRule="auto"/>
              <w:ind w:right="23" w:rightChars="0"/>
              <w:rPr>
                <w:rFonts w:hint="eastAsia" w:ascii="仿宋" w:hAnsi="仿宋" w:eastAsia="仿宋" w:cs="仿宋"/>
                <w:bCs/>
                <w:color w:val="auto"/>
                <w:sz w:val="24"/>
                <w:szCs w:val="24"/>
                <w:lang w:val="en-US" w:eastAsia="zh-CN" w:bidi="ar-SA"/>
              </w:rPr>
            </w:pPr>
          </w:p>
        </w:tc>
        <w:tc>
          <w:tcPr>
            <w:tcW w:w="1153" w:type="dxa"/>
            <w:gridSpan w:val="2"/>
            <w:shd w:val="clear" w:color="auto" w:fill="auto"/>
            <w:noWrap w:val="0"/>
            <w:vAlign w:val="center"/>
          </w:tcPr>
          <w:p w14:paraId="15644505">
            <w:pPr>
              <w:widowControl/>
              <w:adjustRightInd w:val="0"/>
              <w:snapToGrid w:val="0"/>
              <w:jc w:val="center"/>
              <w:rPr>
                <w:rFonts w:hint="eastAsia" w:ascii="仿宋" w:hAnsi="仿宋" w:eastAsia="仿宋" w:cs="仿宋"/>
                <w:bCs/>
                <w:color w:val="auto"/>
                <w:sz w:val="24"/>
                <w:szCs w:val="24"/>
              </w:rPr>
            </w:pPr>
          </w:p>
        </w:tc>
        <w:tc>
          <w:tcPr>
            <w:tcW w:w="1675" w:type="dxa"/>
            <w:gridSpan w:val="2"/>
            <w:shd w:val="clear" w:color="auto" w:fill="FFFFFF"/>
            <w:noWrap w:val="0"/>
            <w:vAlign w:val="center"/>
          </w:tcPr>
          <w:p w14:paraId="3695E0F6">
            <w:pPr>
              <w:adjustRightInd w:val="0"/>
              <w:snapToGrid w:val="0"/>
              <w:jc w:val="center"/>
              <w:rPr>
                <w:rFonts w:hint="default" w:ascii="仿宋" w:hAnsi="仿宋" w:eastAsia="仿宋" w:cs="仿宋"/>
                <w:color w:val="auto"/>
                <w:sz w:val="24"/>
                <w:szCs w:val="24"/>
                <w:lang w:val="en-US" w:eastAsia="zh-CN"/>
              </w:rPr>
            </w:pPr>
          </w:p>
        </w:tc>
      </w:tr>
      <w:tr w14:paraId="1DCF03BD">
        <w:trPr>
          <w:trHeight w:val="454" w:hRule="atLeast"/>
        </w:trPr>
        <w:tc>
          <w:tcPr>
            <w:tcW w:w="1075" w:type="dxa"/>
            <w:vMerge w:val="continue"/>
            <w:shd w:val="clear" w:color="auto" w:fill="FFFFFF"/>
            <w:noWrap w:val="0"/>
            <w:vAlign w:val="center"/>
          </w:tcPr>
          <w:p w14:paraId="6841096B">
            <w:pPr>
              <w:adjustRightInd w:val="0"/>
              <w:snapToGrid w:val="0"/>
              <w:spacing w:line="240" w:lineRule="atLeast"/>
              <w:jc w:val="right"/>
              <w:rPr>
                <w:rFonts w:hint="eastAsia" w:ascii="仿宋" w:hAnsi="仿宋" w:eastAsia="仿宋" w:cs="仿宋"/>
                <w:color w:val="auto"/>
                <w:sz w:val="24"/>
                <w:szCs w:val="24"/>
              </w:rPr>
            </w:pPr>
          </w:p>
        </w:tc>
        <w:tc>
          <w:tcPr>
            <w:tcW w:w="5996" w:type="dxa"/>
            <w:gridSpan w:val="9"/>
            <w:shd w:val="clear" w:color="auto" w:fill="auto"/>
            <w:noWrap w:val="0"/>
            <w:vAlign w:val="top"/>
          </w:tcPr>
          <w:p w14:paraId="18F8A75E">
            <w:pPr>
              <w:pStyle w:val="236"/>
              <w:spacing w:before="125" w:line="312" w:lineRule="auto"/>
              <w:ind w:right="23" w:rightChars="0"/>
              <w:rPr>
                <w:rFonts w:hint="eastAsia" w:ascii="仿宋" w:hAnsi="仿宋" w:eastAsia="仿宋" w:cs="仿宋"/>
                <w:bCs/>
                <w:color w:val="auto"/>
                <w:sz w:val="24"/>
                <w:szCs w:val="24"/>
                <w:lang w:val="en-US" w:eastAsia="zh-CN" w:bidi="ar-SA"/>
              </w:rPr>
            </w:pPr>
          </w:p>
        </w:tc>
        <w:tc>
          <w:tcPr>
            <w:tcW w:w="1153" w:type="dxa"/>
            <w:gridSpan w:val="2"/>
            <w:shd w:val="clear" w:color="auto" w:fill="auto"/>
            <w:noWrap w:val="0"/>
            <w:vAlign w:val="center"/>
          </w:tcPr>
          <w:p w14:paraId="385F3709">
            <w:pPr>
              <w:widowControl/>
              <w:adjustRightInd w:val="0"/>
              <w:snapToGrid w:val="0"/>
              <w:jc w:val="center"/>
              <w:rPr>
                <w:rFonts w:hint="eastAsia" w:ascii="仿宋" w:hAnsi="仿宋" w:eastAsia="仿宋" w:cs="仿宋"/>
                <w:bCs/>
                <w:color w:val="auto"/>
                <w:sz w:val="24"/>
                <w:szCs w:val="24"/>
              </w:rPr>
            </w:pPr>
          </w:p>
        </w:tc>
        <w:tc>
          <w:tcPr>
            <w:tcW w:w="1675" w:type="dxa"/>
            <w:gridSpan w:val="2"/>
            <w:shd w:val="clear" w:color="auto" w:fill="FFFFFF"/>
            <w:noWrap w:val="0"/>
            <w:vAlign w:val="center"/>
          </w:tcPr>
          <w:p w14:paraId="34329437">
            <w:pPr>
              <w:adjustRightInd w:val="0"/>
              <w:snapToGrid w:val="0"/>
              <w:jc w:val="center"/>
              <w:rPr>
                <w:rFonts w:hint="default" w:ascii="仿宋" w:hAnsi="仿宋" w:eastAsia="仿宋" w:cs="仿宋"/>
                <w:color w:val="auto"/>
                <w:sz w:val="24"/>
                <w:szCs w:val="24"/>
                <w:lang w:val="en-US" w:eastAsia="zh-CN"/>
              </w:rPr>
            </w:pPr>
          </w:p>
        </w:tc>
      </w:tr>
      <w:tr w14:paraId="7F9F48D5">
        <w:trPr>
          <w:trHeight w:val="454" w:hRule="atLeast"/>
        </w:trPr>
        <w:tc>
          <w:tcPr>
            <w:tcW w:w="1075" w:type="dxa"/>
            <w:vMerge w:val="continue"/>
            <w:shd w:val="clear" w:color="auto" w:fill="FFFFFF"/>
            <w:noWrap w:val="0"/>
            <w:vAlign w:val="center"/>
          </w:tcPr>
          <w:p w14:paraId="33DAB0CB">
            <w:pPr>
              <w:adjustRightInd w:val="0"/>
              <w:snapToGrid w:val="0"/>
              <w:spacing w:line="240" w:lineRule="atLeast"/>
              <w:jc w:val="right"/>
              <w:rPr>
                <w:rFonts w:hint="eastAsia" w:ascii="仿宋" w:hAnsi="仿宋" w:eastAsia="仿宋" w:cs="仿宋"/>
                <w:color w:val="auto"/>
                <w:sz w:val="24"/>
                <w:szCs w:val="24"/>
              </w:rPr>
            </w:pPr>
          </w:p>
        </w:tc>
        <w:tc>
          <w:tcPr>
            <w:tcW w:w="5996" w:type="dxa"/>
            <w:gridSpan w:val="9"/>
            <w:shd w:val="clear" w:color="auto" w:fill="auto"/>
            <w:noWrap w:val="0"/>
            <w:vAlign w:val="center"/>
          </w:tcPr>
          <w:p w14:paraId="212325F6">
            <w:pPr>
              <w:adjustRightInd w:val="0"/>
              <w:snapToGrid w:val="0"/>
              <w:rPr>
                <w:rFonts w:hint="eastAsia" w:ascii="华文仿宋" w:hAnsi="华文仿宋" w:eastAsia="华文仿宋" w:cs="华文仿宋"/>
                <w:bCs/>
                <w:color w:val="auto"/>
                <w:sz w:val="24"/>
                <w:szCs w:val="24"/>
              </w:rPr>
            </w:pPr>
          </w:p>
        </w:tc>
        <w:tc>
          <w:tcPr>
            <w:tcW w:w="1153" w:type="dxa"/>
            <w:gridSpan w:val="2"/>
            <w:shd w:val="clear" w:color="auto" w:fill="auto"/>
            <w:noWrap w:val="0"/>
            <w:vAlign w:val="center"/>
          </w:tcPr>
          <w:p w14:paraId="4DCB36D9">
            <w:pPr>
              <w:widowControl/>
              <w:adjustRightInd w:val="0"/>
              <w:snapToGrid w:val="0"/>
              <w:jc w:val="center"/>
              <w:rPr>
                <w:rFonts w:hint="eastAsia" w:ascii="仿宋" w:hAnsi="仿宋" w:eastAsia="仿宋" w:cs="仿宋"/>
                <w:bCs/>
                <w:color w:val="auto"/>
                <w:sz w:val="24"/>
                <w:szCs w:val="24"/>
              </w:rPr>
            </w:pPr>
          </w:p>
        </w:tc>
        <w:tc>
          <w:tcPr>
            <w:tcW w:w="1675" w:type="dxa"/>
            <w:gridSpan w:val="2"/>
            <w:shd w:val="clear" w:color="auto" w:fill="FFFFFF"/>
            <w:noWrap w:val="0"/>
            <w:vAlign w:val="center"/>
          </w:tcPr>
          <w:p w14:paraId="0551EBBC">
            <w:pPr>
              <w:adjustRightInd w:val="0"/>
              <w:snapToGrid w:val="0"/>
              <w:jc w:val="center"/>
              <w:rPr>
                <w:rFonts w:hint="eastAsia" w:ascii="仿宋" w:hAnsi="仿宋" w:eastAsia="仿宋" w:cs="仿宋"/>
                <w:color w:val="auto"/>
                <w:sz w:val="24"/>
                <w:szCs w:val="24"/>
              </w:rPr>
            </w:pPr>
          </w:p>
        </w:tc>
      </w:tr>
      <w:tr w14:paraId="2550089A">
        <w:trPr>
          <w:trHeight w:val="454" w:hRule="atLeast"/>
        </w:trPr>
        <w:tc>
          <w:tcPr>
            <w:tcW w:w="1075" w:type="dxa"/>
            <w:vMerge w:val="continue"/>
            <w:shd w:val="clear" w:color="auto" w:fill="FFFFFF"/>
            <w:noWrap w:val="0"/>
            <w:vAlign w:val="center"/>
          </w:tcPr>
          <w:p w14:paraId="6F906C8D">
            <w:pPr>
              <w:adjustRightInd w:val="0"/>
              <w:snapToGrid w:val="0"/>
              <w:spacing w:line="240" w:lineRule="atLeast"/>
              <w:jc w:val="center"/>
              <w:rPr>
                <w:rFonts w:hint="eastAsia" w:ascii="仿宋" w:hAnsi="仿宋" w:eastAsia="仿宋" w:cs="仿宋"/>
                <w:color w:val="auto"/>
                <w:sz w:val="24"/>
                <w:szCs w:val="24"/>
              </w:rPr>
            </w:pPr>
          </w:p>
        </w:tc>
        <w:tc>
          <w:tcPr>
            <w:tcW w:w="7149" w:type="dxa"/>
            <w:gridSpan w:val="11"/>
            <w:shd w:val="clear" w:color="auto" w:fill="auto"/>
            <w:noWrap w:val="0"/>
            <w:vAlign w:val="center"/>
          </w:tcPr>
          <w:p w14:paraId="334BF8A8">
            <w:pPr>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合计</w:t>
            </w:r>
          </w:p>
        </w:tc>
        <w:tc>
          <w:tcPr>
            <w:tcW w:w="1675" w:type="dxa"/>
            <w:gridSpan w:val="2"/>
            <w:shd w:val="clear" w:color="auto" w:fill="FFFFFF"/>
            <w:noWrap w:val="0"/>
            <w:vAlign w:val="center"/>
          </w:tcPr>
          <w:p w14:paraId="1EEE9E99">
            <w:pPr>
              <w:adjustRightInd w:val="0"/>
              <w:snapToGrid w:val="0"/>
              <w:jc w:val="center"/>
              <w:rPr>
                <w:rFonts w:hint="default" w:ascii="仿宋" w:hAnsi="仿宋" w:eastAsia="仿宋" w:cs="仿宋"/>
                <w:color w:val="auto"/>
                <w:sz w:val="24"/>
                <w:szCs w:val="24"/>
                <w:lang w:val="en-US" w:eastAsia="zh-CN"/>
              </w:rPr>
            </w:pPr>
          </w:p>
        </w:tc>
      </w:tr>
      <w:tr w14:paraId="4D55C3E8">
        <w:trPr>
          <w:trHeight w:val="454" w:hRule="atLeast"/>
        </w:trPr>
        <w:tc>
          <w:tcPr>
            <w:tcW w:w="1075" w:type="dxa"/>
            <w:vMerge w:val="restart"/>
            <w:shd w:val="clear" w:color="auto" w:fill="FFFFFF"/>
            <w:noWrap w:val="0"/>
            <w:vAlign w:val="center"/>
          </w:tcPr>
          <w:p w14:paraId="4E122F48">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G</w:t>
            </w:r>
          </w:p>
          <w:p w14:paraId="3F836BC1">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实验（实训）内容</w:t>
            </w:r>
          </w:p>
        </w:tc>
        <w:tc>
          <w:tcPr>
            <w:tcW w:w="5996" w:type="dxa"/>
            <w:gridSpan w:val="9"/>
            <w:shd w:val="clear" w:color="auto" w:fill="auto"/>
            <w:noWrap w:val="0"/>
            <w:vAlign w:val="center"/>
          </w:tcPr>
          <w:p w14:paraId="43376D8D">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项目名称、主要内容及开设要求</w:t>
            </w:r>
          </w:p>
        </w:tc>
        <w:tc>
          <w:tcPr>
            <w:tcW w:w="1153" w:type="dxa"/>
            <w:gridSpan w:val="2"/>
            <w:shd w:val="clear" w:color="auto" w:fill="auto"/>
            <w:noWrap w:val="0"/>
            <w:vAlign w:val="center"/>
          </w:tcPr>
          <w:p w14:paraId="601B5265">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支撑课程</w:t>
            </w:r>
          </w:p>
          <w:p w14:paraId="623788B3">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目标</w:t>
            </w:r>
          </w:p>
        </w:tc>
        <w:tc>
          <w:tcPr>
            <w:tcW w:w="1675" w:type="dxa"/>
            <w:gridSpan w:val="2"/>
            <w:shd w:val="clear" w:color="auto" w:fill="FFFFFF"/>
            <w:noWrap w:val="0"/>
            <w:vAlign w:val="center"/>
          </w:tcPr>
          <w:p w14:paraId="6BF97E42">
            <w:pPr>
              <w:adjustRightInd w:val="0"/>
              <w:snapToGrid w:val="0"/>
              <w:jc w:val="center"/>
              <w:rPr>
                <w:rFonts w:ascii="仿宋" w:hAnsi="仿宋" w:eastAsia="仿宋" w:cs="仿宋"/>
                <w:color w:val="auto"/>
                <w:kern w:val="0"/>
                <w:sz w:val="24"/>
                <w:szCs w:val="24"/>
              </w:rPr>
            </w:pPr>
            <w:r>
              <w:rPr>
                <w:rFonts w:hint="eastAsia" w:ascii="仿宋" w:hAnsi="仿宋" w:eastAsia="仿宋" w:cs="仿宋"/>
                <w:color w:val="auto"/>
                <w:kern w:val="0"/>
                <w:sz w:val="24"/>
                <w:szCs w:val="24"/>
              </w:rPr>
              <w:t xml:space="preserve">学时 </w:t>
            </w:r>
          </w:p>
          <w:p w14:paraId="258DE739">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kern w:val="0"/>
                <w:sz w:val="24"/>
                <w:szCs w:val="24"/>
              </w:rPr>
              <w:t>分配</w:t>
            </w:r>
          </w:p>
        </w:tc>
      </w:tr>
      <w:tr w14:paraId="4BCFA817">
        <w:trPr>
          <w:trHeight w:val="454" w:hRule="atLeast"/>
        </w:trPr>
        <w:tc>
          <w:tcPr>
            <w:tcW w:w="1075" w:type="dxa"/>
            <w:vMerge w:val="continue"/>
            <w:shd w:val="clear" w:color="auto" w:fill="FFFFFF"/>
            <w:noWrap w:val="0"/>
            <w:vAlign w:val="center"/>
          </w:tcPr>
          <w:p w14:paraId="77436F25">
            <w:pPr>
              <w:adjustRightInd w:val="0"/>
              <w:snapToGrid w:val="0"/>
              <w:spacing w:line="240" w:lineRule="atLeast"/>
              <w:jc w:val="center"/>
              <w:rPr>
                <w:rFonts w:hint="eastAsia" w:ascii="仿宋" w:hAnsi="仿宋" w:eastAsia="仿宋" w:cs="仿宋"/>
                <w:color w:val="auto"/>
                <w:sz w:val="24"/>
                <w:szCs w:val="24"/>
              </w:rPr>
            </w:pPr>
          </w:p>
        </w:tc>
        <w:tc>
          <w:tcPr>
            <w:tcW w:w="5996" w:type="dxa"/>
            <w:gridSpan w:val="9"/>
            <w:shd w:val="clear" w:color="auto" w:fill="auto"/>
            <w:noWrap w:val="0"/>
            <w:vAlign w:val="top"/>
          </w:tcPr>
          <w:p w14:paraId="6FB8208A">
            <w:pPr>
              <w:adjustRightInd w:val="0"/>
              <w:snapToGrid w:val="0"/>
              <w:spacing w:beforeLines="0" w:afterLines="0"/>
              <w:ind w:firstLine="480" w:firstLineChars="200"/>
              <w:jc w:val="left"/>
              <w:rPr>
                <w:rStyle w:val="235"/>
                <w:rFonts w:hint="eastAsia" w:ascii="仿宋" w:hAnsi="仿宋" w:eastAsia="仿宋" w:cstheme="minorBidi"/>
                <w:color w:val="000000"/>
                <w:sz w:val="24"/>
                <w:szCs w:val="24"/>
                <w:lang w:val="en-US" w:eastAsia="zh-CN"/>
              </w:rPr>
            </w:pPr>
            <w:r>
              <w:rPr>
                <w:rStyle w:val="235"/>
                <w:rFonts w:hint="eastAsia" w:ascii="仿宋" w:hAnsi="仿宋" w:eastAsia="仿宋" w:cstheme="minorBidi"/>
                <w:color w:val="000000"/>
                <w:sz w:val="24"/>
                <w:szCs w:val="24"/>
                <w:lang w:val="en-US" w:eastAsia="zh-CN"/>
              </w:rPr>
              <w:t>对毕业演出节目或曲目进行遴选，对所选曲目进行分段练习</w:t>
            </w:r>
          </w:p>
        </w:tc>
        <w:tc>
          <w:tcPr>
            <w:tcW w:w="1153" w:type="dxa"/>
            <w:gridSpan w:val="2"/>
            <w:shd w:val="clear" w:color="auto" w:fill="auto"/>
            <w:noWrap w:val="0"/>
            <w:vAlign w:val="top"/>
          </w:tcPr>
          <w:p w14:paraId="51696348">
            <w:pPr>
              <w:adjustRightInd w:val="0"/>
              <w:snapToGrid w:val="0"/>
              <w:spacing w:beforeLines="0" w:afterLines="0"/>
              <w:jc w:val="center"/>
              <w:rPr>
                <w:rStyle w:val="235"/>
                <w:rFonts w:hint="eastAsia" w:ascii="仿宋" w:hAnsi="仿宋" w:eastAsia="仿宋" w:cstheme="minorBidi"/>
                <w:color w:val="000000"/>
                <w:sz w:val="24"/>
                <w:szCs w:val="24"/>
                <w:lang w:val="en-US" w:eastAsia="zh-CN"/>
              </w:rPr>
            </w:pPr>
            <w:r>
              <w:rPr>
                <w:rStyle w:val="235"/>
                <w:rFonts w:hint="eastAsia" w:ascii="仿宋" w:hAnsi="仿宋" w:eastAsia="仿宋" w:cstheme="minorBidi"/>
                <w:color w:val="000000"/>
                <w:sz w:val="24"/>
                <w:szCs w:val="24"/>
                <w:lang w:val="en-US" w:eastAsia="zh-CN"/>
              </w:rPr>
              <w:t>自主实训、现场指导</w:t>
            </w:r>
          </w:p>
        </w:tc>
        <w:tc>
          <w:tcPr>
            <w:tcW w:w="1675" w:type="dxa"/>
            <w:gridSpan w:val="2"/>
            <w:shd w:val="clear" w:color="auto" w:fill="FFFFFF"/>
            <w:noWrap w:val="0"/>
            <w:vAlign w:val="top"/>
          </w:tcPr>
          <w:p w14:paraId="0AAAC948">
            <w:pPr>
              <w:adjustRightInd w:val="0"/>
              <w:snapToGrid w:val="0"/>
              <w:spacing w:beforeLines="0" w:afterLines="0"/>
              <w:jc w:val="center"/>
              <w:rPr>
                <w:rStyle w:val="235"/>
                <w:rFonts w:hint="eastAsia" w:ascii="仿宋" w:hAnsi="仿宋" w:eastAsia="仿宋" w:cstheme="minorBidi"/>
                <w:color w:val="000000"/>
                <w:sz w:val="24"/>
                <w:szCs w:val="24"/>
                <w:lang w:val="en-US" w:eastAsia="zh-CN"/>
              </w:rPr>
            </w:pPr>
            <w:r>
              <w:rPr>
                <w:rStyle w:val="235"/>
                <w:rFonts w:hint="eastAsia" w:ascii="仿宋" w:hAnsi="仿宋" w:eastAsia="仿宋" w:cstheme="minorBidi"/>
                <w:color w:val="000000"/>
                <w:sz w:val="24"/>
                <w:szCs w:val="24"/>
                <w:lang w:val="en-US" w:eastAsia="zh-CN"/>
              </w:rPr>
              <w:t>1周</w:t>
            </w:r>
          </w:p>
        </w:tc>
      </w:tr>
      <w:tr w14:paraId="5A1278F4">
        <w:trPr>
          <w:trHeight w:val="454" w:hRule="atLeast"/>
        </w:trPr>
        <w:tc>
          <w:tcPr>
            <w:tcW w:w="1075" w:type="dxa"/>
            <w:vMerge w:val="continue"/>
            <w:shd w:val="clear" w:color="auto" w:fill="FFFFFF"/>
            <w:noWrap w:val="0"/>
            <w:vAlign w:val="center"/>
          </w:tcPr>
          <w:p w14:paraId="5E6A5E71">
            <w:pPr>
              <w:adjustRightInd w:val="0"/>
              <w:snapToGrid w:val="0"/>
              <w:spacing w:line="240" w:lineRule="atLeast"/>
              <w:jc w:val="center"/>
              <w:rPr>
                <w:rFonts w:hint="eastAsia" w:ascii="仿宋" w:hAnsi="仿宋" w:eastAsia="仿宋" w:cs="仿宋"/>
                <w:color w:val="auto"/>
                <w:sz w:val="24"/>
                <w:szCs w:val="24"/>
              </w:rPr>
            </w:pPr>
          </w:p>
        </w:tc>
        <w:tc>
          <w:tcPr>
            <w:tcW w:w="5996" w:type="dxa"/>
            <w:gridSpan w:val="9"/>
            <w:shd w:val="clear" w:color="auto" w:fill="auto"/>
            <w:noWrap w:val="0"/>
            <w:vAlign w:val="top"/>
          </w:tcPr>
          <w:p w14:paraId="1D67565E">
            <w:pPr>
              <w:adjustRightInd w:val="0"/>
              <w:snapToGrid w:val="0"/>
              <w:spacing w:beforeLines="0" w:afterLines="0"/>
              <w:ind w:firstLine="480" w:firstLineChars="200"/>
              <w:jc w:val="left"/>
              <w:rPr>
                <w:rStyle w:val="235"/>
                <w:rFonts w:hint="eastAsia" w:ascii="仿宋" w:hAnsi="仿宋" w:eastAsia="仿宋" w:cstheme="minorBidi"/>
                <w:color w:val="000000"/>
                <w:sz w:val="24"/>
                <w:szCs w:val="24"/>
                <w:lang w:val="en-US" w:eastAsia="zh-CN"/>
              </w:rPr>
            </w:pPr>
            <w:r>
              <w:rPr>
                <w:rStyle w:val="235"/>
                <w:rFonts w:hint="eastAsia" w:ascii="仿宋" w:hAnsi="仿宋" w:eastAsia="仿宋" w:cstheme="minorBidi"/>
                <w:color w:val="000000"/>
                <w:sz w:val="24"/>
                <w:szCs w:val="24"/>
                <w:lang w:val="en-US" w:eastAsia="zh-CN"/>
              </w:rPr>
              <w:t>对节目的表现力进行深入打磨和细致处理，以期达到其风格特点、音色、速度等的不断提升</w:t>
            </w:r>
          </w:p>
        </w:tc>
        <w:tc>
          <w:tcPr>
            <w:tcW w:w="1153" w:type="dxa"/>
            <w:gridSpan w:val="2"/>
            <w:shd w:val="clear" w:color="auto" w:fill="auto"/>
            <w:noWrap w:val="0"/>
            <w:vAlign w:val="top"/>
          </w:tcPr>
          <w:p w14:paraId="32E1E7AF">
            <w:pPr>
              <w:adjustRightInd w:val="0"/>
              <w:snapToGrid w:val="0"/>
              <w:spacing w:beforeLines="0" w:afterLines="0"/>
              <w:jc w:val="center"/>
              <w:rPr>
                <w:rStyle w:val="235"/>
                <w:rFonts w:hint="eastAsia" w:ascii="仿宋" w:hAnsi="仿宋" w:eastAsia="仿宋" w:cstheme="minorBidi"/>
                <w:color w:val="000000"/>
                <w:sz w:val="24"/>
                <w:szCs w:val="24"/>
                <w:lang w:val="en-US" w:eastAsia="zh-CN"/>
              </w:rPr>
            </w:pPr>
            <w:r>
              <w:rPr>
                <w:rStyle w:val="235"/>
                <w:rFonts w:hint="eastAsia" w:ascii="仿宋" w:hAnsi="仿宋" w:eastAsia="仿宋" w:cstheme="minorBidi"/>
                <w:color w:val="000000"/>
                <w:sz w:val="24"/>
                <w:szCs w:val="24"/>
                <w:lang w:val="en-US" w:eastAsia="zh-CN"/>
              </w:rPr>
              <w:t>自主实训、现场指导</w:t>
            </w:r>
          </w:p>
        </w:tc>
        <w:tc>
          <w:tcPr>
            <w:tcW w:w="1675" w:type="dxa"/>
            <w:gridSpan w:val="2"/>
            <w:shd w:val="clear" w:color="auto" w:fill="FFFFFF"/>
            <w:noWrap w:val="0"/>
            <w:vAlign w:val="top"/>
          </w:tcPr>
          <w:p w14:paraId="28D4DA4F">
            <w:pPr>
              <w:adjustRightInd w:val="0"/>
              <w:snapToGrid w:val="0"/>
              <w:spacing w:beforeLines="0" w:afterLines="0"/>
              <w:jc w:val="center"/>
              <w:rPr>
                <w:rStyle w:val="235"/>
                <w:rFonts w:hint="eastAsia" w:ascii="仿宋" w:hAnsi="仿宋" w:eastAsia="仿宋" w:cstheme="minorBidi"/>
                <w:color w:val="000000"/>
                <w:sz w:val="24"/>
                <w:szCs w:val="24"/>
                <w:lang w:val="en-US" w:eastAsia="zh-CN"/>
              </w:rPr>
            </w:pPr>
            <w:r>
              <w:rPr>
                <w:rStyle w:val="235"/>
                <w:rFonts w:hint="eastAsia" w:ascii="仿宋" w:hAnsi="仿宋" w:eastAsia="仿宋" w:cstheme="minorBidi"/>
                <w:color w:val="000000"/>
                <w:sz w:val="24"/>
                <w:szCs w:val="24"/>
                <w:lang w:val="en-US" w:eastAsia="zh-CN"/>
              </w:rPr>
              <w:t>1周</w:t>
            </w:r>
          </w:p>
        </w:tc>
      </w:tr>
      <w:tr w14:paraId="69723B03">
        <w:trPr>
          <w:trHeight w:val="454" w:hRule="atLeast"/>
        </w:trPr>
        <w:tc>
          <w:tcPr>
            <w:tcW w:w="1075" w:type="dxa"/>
            <w:vMerge w:val="continue"/>
            <w:shd w:val="clear" w:color="auto" w:fill="FFFFFF"/>
            <w:noWrap w:val="0"/>
            <w:vAlign w:val="center"/>
          </w:tcPr>
          <w:p w14:paraId="6734117D">
            <w:pPr>
              <w:adjustRightInd w:val="0"/>
              <w:snapToGrid w:val="0"/>
              <w:spacing w:line="240" w:lineRule="atLeast"/>
              <w:jc w:val="center"/>
              <w:rPr>
                <w:rFonts w:hint="eastAsia" w:ascii="仿宋" w:hAnsi="仿宋" w:eastAsia="仿宋" w:cs="仿宋"/>
                <w:color w:val="auto"/>
                <w:sz w:val="24"/>
                <w:szCs w:val="24"/>
              </w:rPr>
            </w:pPr>
          </w:p>
        </w:tc>
        <w:tc>
          <w:tcPr>
            <w:tcW w:w="5996" w:type="dxa"/>
            <w:gridSpan w:val="9"/>
            <w:shd w:val="clear" w:color="auto" w:fill="auto"/>
            <w:noWrap w:val="0"/>
            <w:vAlign w:val="top"/>
          </w:tcPr>
          <w:p w14:paraId="0D3B5124">
            <w:pPr>
              <w:adjustRightInd w:val="0"/>
              <w:snapToGrid w:val="0"/>
              <w:spacing w:beforeLines="0" w:afterLines="0"/>
              <w:ind w:firstLine="480" w:firstLineChars="200"/>
              <w:jc w:val="left"/>
              <w:rPr>
                <w:rStyle w:val="235"/>
                <w:rFonts w:hint="eastAsia" w:ascii="仿宋" w:hAnsi="仿宋" w:eastAsia="仿宋" w:cstheme="minorBidi"/>
                <w:color w:val="000000"/>
                <w:sz w:val="24"/>
                <w:szCs w:val="24"/>
                <w:lang w:val="en-US" w:eastAsia="zh-CN"/>
              </w:rPr>
            </w:pPr>
            <w:r>
              <w:rPr>
                <w:rStyle w:val="235"/>
                <w:rFonts w:hint="eastAsia" w:ascii="仿宋" w:hAnsi="仿宋" w:eastAsia="仿宋" w:cstheme="minorBidi"/>
                <w:color w:val="000000"/>
                <w:sz w:val="24"/>
                <w:szCs w:val="24"/>
                <w:lang w:val="en-US" w:eastAsia="zh-CN"/>
              </w:rPr>
              <w:t>掌握演出策划与管理的基本理念，积极发挥主观创新思维，从声乐、器乐、舞蹈、流行音乐等巧妙构思</w:t>
            </w:r>
          </w:p>
        </w:tc>
        <w:tc>
          <w:tcPr>
            <w:tcW w:w="1153" w:type="dxa"/>
            <w:gridSpan w:val="2"/>
            <w:shd w:val="clear" w:color="auto" w:fill="auto"/>
            <w:noWrap w:val="0"/>
            <w:vAlign w:val="top"/>
          </w:tcPr>
          <w:p w14:paraId="503FD53A">
            <w:pPr>
              <w:adjustRightInd w:val="0"/>
              <w:snapToGrid w:val="0"/>
              <w:spacing w:beforeLines="0" w:afterLines="0"/>
              <w:jc w:val="center"/>
              <w:rPr>
                <w:rStyle w:val="235"/>
                <w:rFonts w:hint="eastAsia" w:ascii="仿宋" w:hAnsi="仿宋" w:eastAsia="仿宋" w:cstheme="minorBidi"/>
                <w:color w:val="000000"/>
                <w:sz w:val="24"/>
                <w:szCs w:val="24"/>
                <w:lang w:val="en-US" w:eastAsia="zh-CN"/>
              </w:rPr>
            </w:pPr>
            <w:r>
              <w:rPr>
                <w:rStyle w:val="235"/>
                <w:rFonts w:hint="eastAsia" w:ascii="仿宋" w:hAnsi="仿宋" w:eastAsia="仿宋" w:cstheme="minorBidi"/>
                <w:color w:val="000000"/>
                <w:sz w:val="24"/>
                <w:szCs w:val="24"/>
                <w:lang w:val="en-US" w:eastAsia="zh-CN"/>
              </w:rPr>
              <w:t>自主实训、现场指导</w:t>
            </w:r>
          </w:p>
        </w:tc>
        <w:tc>
          <w:tcPr>
            <w:tcW w:w="1675" w:type="dxa"/>
            <w:gridSpan w:val="2"/>
            <w:shd w:val="clear" w:color="auto" w:fill="FFFFFF"/>
            <w:noWrap w:val="0"/>
            <w:vAlign w:val="top"/>
          </w:tcPr>
          <w:p w14:paraId="69E1D6AB">
            <w:pPr>
              <w:adjustRightInd w:val="0"/>
              <w:snapToGrid w:val="0"/>
              <w:spacing w:beforeLines="0" w:afterLines="0"/>
              <w:jc w:val="center"/>
              <w:rPr>
                <w:rStyle w:val="235"/>
                <w:rFonts w:hint="eastAsia" w:ascii="仿宋" w:hAnsi="仿宋" w:eastAsia="仿宋" w:cstheme="minorBidi"/>
                <w:color w:val="000000"/>
                <w:sz w:val="24"/>
                <w:szCs w:val="24"/>
                <w:lang w:val="en-US" w:eastAsia="zh-CN"/>
              </w:rPr>
            </w:pPr>
            <w:r>
              <w:rPr>
                <w:rStyle w:val="235"/>
                <w:rFonts w:hint="eastAsia" w:ascii="仿宋" w:hAnsi="仿宋" w:eastAsia="仿宋" w:cstheme="minorBidi"/>
                <w:color w:val="000000"/>
                <w:sz w:val="24"/>
                <w:szCs w:val="24"/>
                <w:lang w:val="en-US" w:eastAsia="zh-CN"/>
              </w:rPr>
              <w:t>1周</w:t>
            </w:r>
          </w:p>
        </w:tc>
      </w:tr>
      <w:tr w14:paraId="06BE124C">
        <w:trPr>
          <w:trHeight w:val="454" w:hRule="atLeast"/>
        </w:trPr>
        <w:tc>
          <w:tcPr>
            <w:tcW w:w="1075" w:type="dxa"/>
            <w:vMerge w:val="continue"/>
            <w:shd w:val="clear" w:color="auto" w:fill="FFFFFF"/>
            <w:noWrap w:val="0"/>
            <w:vAlign w:val="center"/>
          </w:tcPr>
          <w:p w14:paraId="466FBF09">
            <w:pPr>
              <w:adjustRightInd w:val="0"/>
              <w:snapToGrid w:val="0"/>
              <w:spacing w:line="240" w:lineRule="atLeast"/>
              <w:jc w:val="center"/>
              <w:rPr>
                <w:rFonts w:hint="eastAsia" w:ascii="仿宋" w:hAnsi="仿宋" w:eastAsia="仿宋" w:cs="仿宋"/>
                <w:color w:val="auto"/>
                <w:sz w:val="24"/>
                <w:szCs w:val="24"/>
              </w:rPr>
            </w:pPr>
          </w:p>
        </w:tc>
        <w:tc>
          <w:tcPr>
            <w:tcW w:w="5996" w:type="dxa"/>
            <w:gridSpan w:val="9"/>
            <w:shd w:val="clear" w:color="auto" w:fill="auto"/>
            <w:noWrap w:val="0"/>
            <w:vAlign w:val="top"/>
          </w:tcPr>
          <w:p w14:paraId="639DD415">
            <w:pPr>
              <w:adjustRightInd w:val="0"/>
              <w:snapToGrid w:val="0"/>
              <w:spacing w:beforeLines="0" w:afterLines="0"/>
              <w:ind w:firstLine="480" w:firstLineChars="200"/>
              <w:jc w:val="left"/>
              <w:rPr>
                <w:rStyle w:val="235"/>
                <w:rFonts w:hint="eastAsia" w:ascii="仿宋" w:hAnsi="仿宋" w:eastAsia="仿宋" w:cstheme="minorBidi"/>
                <w:color w:val="000000"/>
                <w:sz w:val="24"/>
                <w:szCs w:val="24"/>
                <w:lang w:val="en-US" w:eastAsia="zh-CN"/>
              </w:rPr>
            </w:pPr>
            <w:r>
              <w:rPr>
                <w:rStyle w:val="235"/>
                <w:rFonts w:hint="eastAsia" w:ascii="仿宋" w:hAnsi="仿宋" w:eastAsia="仿宋" w:cstheme="minorBidi"/>
                <w:color w:val="000000"/>
                <w:sz w:val="24"/>
                <w:szCs w:val="24"/>
                <w:lang w:val="en-US" w:eastAsia="zh-CN"/>
              </w:rPr>
              <w:t>指导毕业演出进度安排及出现的问题和解决办法，把握演出的效果，具备串联整场演出的驾驭能力。</w:t>
            </w:r>
          </w:p>
        </w:tc>
        <w:tc>
          <w:tcPr>
            <w:tcW w:w="1153" w:type="dxa"/>
            <w:gridSpan w:val="2"/>
            <w:shd w:val="clear" w:color="auto" w:fill="auto"/>
            <w:noWrap w:val="0"/>
            <w:vAlign w:val="top"/>
          </w:tcPr>
          <w:p w14:paraId="2E7E043A">
            <w:pPr>
              <w:adjustRightInd w:val="0"/>
              <w:snapToGrid w:val="0"/>
              <w:spacing w:beforeLines="0" w:afterLines="0"/>
              <w:jc w:val="center"/>
              <w:rPr>
                <w:rStyle w:val="235"/>
                <w:rFonts w:hint="eastAsia" w:ascii="仿宋" w:hAnsi="仿宋" w:eastAsia="仿宋" w:cstheme="minorBidi"/>
                <w:color w:val="000000"/>
                <w:sz w:val="24"/>
                <w:szCs w:val="24"/>
                <w:lang w:val="en-US" w:eastAsia="zh-CN"/>
              </w:rPr>
            </w:pPr>
            <w:r>
              <w:rPr>
                <w:rStyle w:val="235"/>
                <w:rFonts w:hint="eastAsia" w:ascii="仿宋" w:hAnsi="仿宋" w:eastAsia="仿宋" w:cstheme="minorBidi"/>
                <w:color w:val="000000"/>
                <w:sz w:val="24"/>
                <w:szCs w:val="24"/>
                <w:lang w:val="en-US" w:eastAsia="zh-CN"/>
              </w:rPr>
              <w:t>自主实训、现场指导</w:t>
            </w:r>
          </w:p>
        </w:tc>
        <w:tc>
          <w:tcPr>
            <w:tcW w:w="1675" w:type="dxa"/>
            <w:gridSpan w:val="2"/>
            <w:shd w:val="clear" w:color="auto" w:fill="FFFFFF"/>
            <w:noWrap w:val="0"/>
            <w:vAlign w:val="top"/>
          </w:tcPr>
          <w:p w14:paraId="4666FF7B">
            <w:pPr>
              <w:adjustRightInd w:val="0"/>
              <w:snapToGrid w:val="0"/>
              <w:spacing w:beforeLines="0" w:afterLines="0"/>
              <w:jc w:val="center"/>
              <w:rPr>
                <w:rStyle w:val="235"/>
                <w:rFonts w:hint="eastAsia" w:ascii="仿宋" w:hAnsi="仿宋" w:eastAsia="仿宋" w:cstheme="minorBidi"/>
                <w:color w:val="000000"/>
                <w:sz w:val="24"/>
                <w:szCs w:val="24"/>
                <w:lang w:val="en-US" w:eastAsia="zh-CN"/>
              </w:rPr>
            </w:pPr>
            <w:r>
              <w:rPr>
                <w:rStyle w:val="235"/>
                <w:rFonts w:hint="eastAsia" w:ascii="仿宋" w:hAnsi="仿宋" w:eastAsia="仿宋" w:cstheme="minorBidi"/>
                <w:color w:val="000000"/>
                <w:sz w:val="24"/>
                <w:szCs w:val="24"/>
                <w:lang w:val="en-US" w:eastAsia="zh-CN"/>
              </w:rPr>
              <w:t>1周</w:t>
            </w:r>
          </w:p>
        </w:tc>
      </w:tr>
      <w:tr w14:paraId="223FF304">
        <w:trPr>
          <w:trHeight w:val="454" w:hRule="atLeast"/>
        </w:trPr>
        <w:tc>
          <w:tcPr>
            <w:tcW w:w="1075" w:type="dxa"/>
            <w:vMerge w:val="continue"/>
            <w:shd w:val="clear" w:color="auto" w:fill="FFFFFF"/>
            <w:noWrap w:val="0"/>
            <w:vAlign w:val="center"/>
          </w:tcPr>
          <w:p w14:paraId="4C1E1DC2">
            <w:pPr>
              <w:adjustRightInd w:val="0"/>
              <w:snapToGrid w:val="0"/>
              <w:spacing w:line="240" w:lineRule="atLeast"/>
              <w:jc w:val="center"/>
              <w:rPr>
                <w:rFonts w:hint="eastAsia" w:ascii="仿宋" w:hAnsi="仿宋" w:eastAsia="仿宋" w:cs="仿宋"/>
                <w:color w:val="auto"/>
                <w:sz w:val="24"/>
                <w:szCs w:val="24"/>
              </w:rPr>
            </w:pPr>
          </w:p>
        </w:tc>
        <w:tc>
          <w:tcPr>
            <w:tcW w:w="7149" w:type="dxa"/>
            <w:gridSpan w:val="11"/>
            <w:shd w:val="clear" w:color="auto" w:fill="auto"/>
            <w:noWrap w:val="0"/>
            <w:vAlign w:val="center"/>
          </w:tcPr>
          <w:p w14:paraId="311FBEF2">
            <w:pPr>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合计</w:t>
            </w:r>
          </w:p>
        </w:tc>
        <w:tc>
          <w:tcPr>
            <w:tcW w:w="1675" w:type="dxa"/>
            <w:gridSpan w:val="2"/>
            <w:shd w:val="clear" w:color="auto" w:fill="FFFFFF"/>
            <w:noWrap w:val="0"/>
            <w:vAlign w:val="center"/>
          </w:tcPr>
          <w:p w14:paraId="3809ABDB">
            <w:pPr>
              <w:adjustRightInd w:val="0"/>
              <w:snapToGrid w:val="0"/>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4周</w:t>
            </w:r>
          </w:p>
        </w:tc>
      </w:tr>
      <w:tr w14:paraId="3C9FF571">
        <w:trPr>
          <w:trHeight w:val="495" w:hRule="atLeast"/>
        </w:trPr>
        <w:tc>
          <w:tcPr>
            <w:tcW w:w="1075" w:type="dxa"/>
            <w:vMerge w:val="restart"/>
            <w:shd w:val="clear" w:color="auto" w:fill="FFFFFF"/>
            <w:noWrap w:val="0"/>
            <w:vAlign w:val="center"/>
          </w:tcPr>
          <w:p w14:paraId="5F87D3BA">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H</w:t>
            </w:r>
          </w:p>
          <w:p w14:paraId="557B8430">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实践内容（含教育实习、见习、研习，专业实习、毕业论文或毕业设计等）</w:t>
            </w:r>
          </w:p>
        </w:tc>
        <w:tc>
          <w:tcPr>
            <w:tcW w:w="5996" w:type="dxa"/>
            <w:gridSpan w:val="9"/>
            <w:noWrap w:val="0"/>
            <w:vAlign w:val="center"/>
          </w:tcPr>
          <w:p w14:paraId="4845FEA3">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sz w:val="24"/>
                <w:szCs w:val="24"/>
              </w:rPr>
              <w:t>实践主要内容和要求</w:t>
            </w:r>
          </w:p>
        </w:tc>
        <w:tc>
          <w:tcPr>
            <w:tcW w:w="1153" w:type="dxa"/>
            <w:gridSpan w:val="2"/>
            <w:noWrap w:val="0"/>
            <w:vAlign w:val="center"/>
          </w:tcPr>
          <w:p w14:paraId="215DDD6B">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支撑课程</w:t>
            </w:r>
          </w:p>
          <w:p w14:paraId="0AE8DF04">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目标</w:t>
            </w:r>
          </w:p>
        </w:tc>
        <w:tc>
          <w:tcPr>
            <w:tcW w:w="1675" w:type="dxa"/>
            <w:gridSpan w:val="2"/>
            <w:noWrap w:val="0"/>
            <w:vAlign w:val="center"/>
          </w:tcPr>
          <w:p w14:paraId="33968A1F">
            <w:pPr>
              <w:adjustRightInd w:val="0"/>
              <w:snapToGrid w:val="0"/>
              <w:jc w:val="center"/>
              <w:rPr>
                <w:rFonts w:ascii="仿宋" w:hAnsi="仿宋" w:eastAsia="仿宋" w:cs="仿宋"/>
                <w:color w:val="auto"/>
                <w:kern w:val="0"/>
                <w:sz w:val="24"/>
                <w:szCs w:val="24"/>
              </w:rPr>
            </w:pPr>
            <w:r>
              <w:rPr>
                <w:rFonts w:hint="eastAsia" w:ascii="仿宋" w:hAnsi="仿宋" w:eastAsia="仿宋" w:cs="仿宋"/>
                <w:color w:val="auto"/>
                <w:kern w:val="0"/>
                <w:sz w:val="24"/>
                <w:szCs w:val="24"/>
              </w:rPr>
              <w:t>时长</w:t>
            </w:r>
          </w:p>
          <w:p w14:paraId="4F7DF360">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kern w:val="0"/>
                <w:sz w:val="24"/>
                <w:szCs w:val="24"/>
              </w:rPr>
              <w:t>分配</w:t>
            </w:r>
          </w:p>
        </w:tc>
      </w:tr>
      <w:tr w14:paraId="7A17F1E8">
        <w:trPr>
          <w:trHeight w:val="90" w:hRule="atLeast"/>
        </w:trPr>
        <w:tc>
          <w:tcPr>
            <w:tcW w:w="1075" w:type="dxa"/>
            <w:vMerge w:val="continue"/>
            <w:shd w:val="clear" w:color="auto" w:fill="FFFFFF"/>
            <w:noWrap w:val="0"/>
            <w:vAlign w:val="center"/>
          </w:tcPr>
          <w:p w14:paraId="1A3346D6">
            <w:pPr>
              <w:adjustRightInd w:val="0"/>
              <w:snapToGrid w:val="0"/>
              <w:spacing w:line="240" w:lineRule="atLeast"/>
              <w:jc w:val="center"/>
              <w:rPr>
                <w:rFonts w:hint="eastAsia" w:ascii="仿宋" w:hAnsi="仿宋" w:eastAsia="仿宋" w:cs="仿宋"/>
                <w:color w:val="auto"/>
                <w:sz w:val="24"/>
                <w:szCs w:val="24"/>
              </w:rPr>
            </w:pPr>
          </w:p>
        </w:tc>
        <w:tc>
          <w:tcPr>
            <w:tcW w:w="5996" w:type="dxa"/>
            <w:gridSpan w:val="9"/>
            <w:noWrap w:val="0"/>
            <w:vAlign w:val="top"/>
          </w:tcPr>
          <w:p w14:paraId="574A58B4">
            <w:pPr>
              <w:widowControl/>
              <w:autoSpaceDE w:val="0"/>
              <w:autoSpaceDN w:val="0"/>
              <w:adjustRightInd w:val="0"/>
              <w:snapToGrid w:val="0"/>
              <w:jc w:val="left"/>
              <w:textAlignment w:val="bottom"/>
              <w:rPr>
                <w:rFonts w:hint="eastAsia" w:ascii="仿宋" w:hAnsi="仿宋" w:eastAsia="仿宋" w:cs="仿宋"/>
                <w:color w:val="auto"/>
                <w:sz w:val="24"/>
                <w:szCs w:val="24"/>
              </w:rPr>
            </w:pPr>
          </w:p>
        </w:tc>
        <w:tc>
          <w:tcPr>
            <w:tcW w:w="1153" w:type="dxa"/>
            <w:gridSpan w:val="2"/>
            <w:noWrap w:val="0"/>
            <w:vAlign w:val="top"/>
          </w:tcPr>
          <w:p w14:paraId="200C4F26">
            <w:pPr>
              <w:adjustRightInd w:val="0"/>
              <w:snapToGrid w:val="0"/>
              <w:jc w:val="left"/>
              <w:rPr>
                <w:rFonts w:hint="eastAsia" w:ascii="仿宋" w:hAnsi="仿宋" w:eastAsia="仿宋" w:cs="仿宋"/>
                <w:color w:val="auto"/>
                <w:sz w:val="24"/>
                <w:szCs w:val="24"/>
              </w:rPr>
            </w:pPr>
          </w:p>
        </w:tc>
        <w:tc>
          <w:tcPr>
            <w:tcW w:w="1675" w:type="dxa"/>
            <w:gridSpan w:val="2"/>
            <w:noWrap w:val="0"/>
            <w:vAlign w:val="top"/>
          </w:tcPr>
          <w:p w14:paraId="11C23038">
            <w:pPr>
              <w:adjustRightInd w:val="0"/>
              <w:snapToGrid w:val="0"/>
              <w:jc w:val="left"/>
              <w:rPr>
                <w:rFonts w:hint="eastAsia" w:ascii="仿宋" w:hAnsi="仿宋" w:eastAsia="仿宋" w:cs="仿宋"/>
                <w:color w:val="auto"/>
                <w:sz w:val="24"/>
                <w:szCs w:val="24"/>
              </w:rPr>
            </w:pPr>
          </w:p>
        </w:tc>
      </w:tr>
      <w:tr w14:paraId="063B878F">
        <w:trPr>
          <w:trHeight w:val="921" w:hRule="atLeast"/>
        </w:trPr>
        <w:tc>
          <w:tcPr>
            <w:tcW w:w="1075" w:type="dxa"/>
            <w:noWrap w:val="0"/>
            <w:vAlign w:val="center"/>
          </w:tcPr>
          <w:p w14:paraId="2CC1D112">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I</w:t>
            </w:r>
          </w:p>
          <w:p w14:paraId="14B74777">
            <w:pPr>
              <w:adjustRightInd w:val="0"/>
              <w:snapToGrid w:val="0"/>
              <w:spacing w:line="240" w:lineRule="atLeast"/>
              <w:jc w:val="center"/>
              <w:rPr>
                <w:rFonts w:hint="eastAsia" w:ascii="仿宋" w:hAnsi="仿宋" w:eastAsia="仿宋" w:cs="仿宋"/>
                <w:color w:val="auto"/>
                <w:sz w:val="24"/>
                <w:szCs w:val="24"/>
                <w:lang w:eastAsia="zh-TW"/>
              </w:rPr>
            </w:pPr>
            <w:r>
              <w:rPr>
                <w:rFonts w:hint="eastAsia" w:ascii="仿宋" w:hAnsi="仿宋" w:eastAsia="仿宋" w:cs="仿宋"/>
                <w:color w:val="auto"/>
                <w:sz w:val="24"/>
                <w:szCs w:val="24"/>
              </w:rPr>
              <w:t>教学方法与教学方式</w:t>
            </w:r>
          </w:p>
        </w:tc>
        <w:tc>
          <w:tcPr>
            <w:tcW w:w="8824" w:type="dxa"/>
            <w:gridSpan w:val="13"/>
            <w:tcBorders>
              <w:bottom w:val="single" w:color="auto" w:sz="4" w:space="0"/>
            </w:tcBorders>
            <w:noWrap w:val="0"/>
            <w:vAlign w:val="center"/>
          </w:tcPr>
          <w:p w14:paraId="4DE0A65D">
            <w:pPr>
              <w:numPr>
                <w:ilvl w:val="0"/>
                <w:numId w:val="15"/>
              </w:numPr>
              <w:adjustRightInd w:val="0"/>
              <w:snapToGrid w:val="0"/>
              <w:rPr>
                <w:rFonts w:hint="eastAsia" w:ascii="仿宋" w:hAnsi="仿宋" w:eastAsia="仿宋" w:cs="仿宋"/>
                <w:color w:val="auto"/>
                <w:sz w:val="24"/>
                <w:szCs w:val="24"/>
              </w:rPr>
            </w:pPr>
            <w:r>
              <w:rPr>
                <w:rFonts w:hint="eastAsia" w:ascii="仿宋" w:hAnsi="仿宋" w:eastAsia="仿宋" w:cs="仿宋"/>
                <w:color w:val="auto"/>
                <w:sz w:val="24"/>
                <w:szCs w:val="24"/>
              </w:rPr>
              <w:t>理论课全部采用多媒体教学，应用自编或改编的多媒体课件，改善理论课的枯燥和沉闷，吸引学生的注意力，加强授课效果。</w:t>
            </w:r>
          </w:p>
          <w:p w14:paraId="605811C0">
            <w:pPr>
              <w:numPr>
                <w:ilvl w:val="0"/>
                <w:numId w:val="15"/>
              </w:numPr>
              <w:adjustRightInd w:val="0"/>
              <w:snapToGrid w:val="0"/>
              <w:rPr>
                <w:rFonts w:hint="eastAsia" w:ascii="仿宋" w:hAnsi="仿宋" w:eastAsia="仿宋" w:cs="仿宋"/>
                <w:color w:val="auto"/>
                <w:sz w:val="24"/>
                <w:szCs w:val="24"/>
              </w:rPr>
            </w:pPr>
            <w:r>
              <w:rPr>
                <w:rFonts w:hint="eastAsia" w:ascii="仿宋" w:hAnsi="仿宋" w:eastAsia="仿宋" w:cs="仿宋"/>
                <w:color w:val="auto"/>
                <w:sz w:val="24"/>
                <w:szCs w:val="24"/>
              </w:rPr>
              <w:t>开通网络课堂，达到与学生及时沟通、交流的目的。同时重视师生互动与小组活动，组织课堂小组讨论等活动，将课堂教学变为师生共同活动的过程。</w:t>
            </w:r>
          </w:p>
          <w:p w14:paraId="41B73613">
            <w:pPr>
              <w:numPr>
                <w:ilvl w:val="0"/>
                <w:numId w:val="15"/>
              </w:numPr>
              <w:adjustRightInd w:val="0"/>
              <w:snapToGrid w:val="0"/>
              <w:rPr>
                <w:rFonts w:hint="eastAsia" w:ascii="仿宋" w:hAnsi="仿宋" w:eastAsia="仿宋" w:cs="仿宋"/>
                <w:color w:val="auto"/>
                <w:sz w:val="24"/>
                <w:szCs w:val="24"/>
              </w:rPr>
            </w:pPr>
            <w:r>
              <w:rPr>
                <w:rFonts w:hint="eastAsia" w:ascii="仿宋" w:hAnsi="仿宋" w:eastAsia="仿宋" w:cs="仿宋"/>
                <w:color w:val="auto"/>
                <w:sz w:val="24"/>
                <w:szCs w:val="24"/>
              </w:rPr>
              <w:t>主要方式：</w:t>
            </w:r>
          </w:p>
          <w:p w14:paraId="428D2322">
            <w:pPr>
              <w:numPr>
                <w:ilvl w:val="0"/>
                <w:numId w:val="0"/>
              </w:numPr>
              <w:adjustRightInd w:val="0"/>
              <w:snapToGrid w:val="0"/>
              <w:ind w:leftChars="0"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 xml:space="preserve">讲授  </w:t>
            </w: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 xml:space="preserve">网络学习  </w:t>
            </w: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 xml:space="preserve">讨论或座谈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问题导向学  </w:t>
            </w:r>
          </w:p>
          <w:p w14:paraId="38D85935">
            <w:pPr>
              <w:numPr>
                <w:ilvl w:val="0"/>
                <w:numId w:val="0"/>
              </w:numPr>
              <w:adjustRightInd w:val="0"/>
              <w:snapToGrid w:val="0"/>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 xml:space="preserve">分组合作学习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专题学习  </w:t>
            </w: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 xml:space="preserve">实作学习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发表学习  </w:t>
            </w:r>
          </w:p>
          <w:p w14:paraId="1C421449">
            <w:pPr>
              <w:numPr>
                <w:ilvl w:val="0"/>
                <w:numId w:val="0"/>
              </w:numPr>
              <w:adjustRightInd w:val="0"/>
              <w:snapToGrid w:val="0"/>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实习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参观访问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其它</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rPr>
              <w:t>(</w:t>
            </w:r>
            <w:r>
              <w:rPr>
                <w:rFonts w:hint="eastAsia" w:ascii="仿宋" w:hAnsi="仿宋" w:eastAsia="仿宋" w:cs="仿宋"/>
                <w:color w:val="auto"/>
                <w:sz w:val="24"/>
                <w:szCs w:val="24"/>
                <w:lang w:val="en-US" w:eastAsia="zh-CN"/>
              </w:rPr>
              <w:t>如</w:t>
            </w:r>
            <w:r>
              <w:rPr>
                <w:rFonts w:hint="eastAsia" w:ascii="仿宋" w:hAnsi="仿宋" w:eastAsia="仿宋" w:cs="仿宋"/>
                <w:color w:val="auto"/>
                <w:sz w:val="24"/>
                <w:szCs w:val="24"/>
              </w:rPr>
              <w:t>口头训练</w:t>
            </w:r>
            <w:r>
              <w:rPr>
                <w:rFonts w:hint="eastAsia" w:ascii="仿宋" w:hAnsi="仿宋" w:eastAsia="仿宋" w:cs="仿宋"/>
                <w:color w:val="auto"/>
                <w:sz w:val="24"/>
                <w:szCs w:val="24"/>
                <w:lang w:val="en-US" w:eastAsia="zh-CN"/>
              </w:rPr>
              <w:t>等</w:t>
            </w:r>
            <w:r>
              <w:rPr>
                <w:rFonts w:hint="eastAsia" w:ascii="仿宋" w:hAnsi="仿宋" w:eastAsia="仿宋" w:cs="仿宋"/>
                <w:color w:val="auto"/>
                <w:sz w:val="24"/>
                <w:szCs w:val="24"/>
              </w:rPr>
              <w:t>)</w:t>
            </w:r>
          </w:p>
        </w:tc>
      </w:tr>
      <w:tr w14:paraId="2D72FF9E">
        <w:trPr>
          <w:trHeight w:val="580" w:hRule="atLeast"/>
        </w:trPr>
        <w:tc>
          <w:tcPr>
            <w:tcW w:w="1075" w:type="dxa"/>
            <w:noWrap w:val="0"/>
            <w:vAlign w:val="center"/>
          </w:tcPr>
          <w:p w14:paraId="11964136">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J</w:t>
            </w:r>
          </w:p>
          <w:p w14:paraId="184CF78D">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教学条件</w:t>
            </w:r>
          </w:p>
          <w:p w14:paraId="17268350">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需求</w:t>
            </w:r>
          </w:p>
        </w:tc>
        <w:tc>
          <w:tcPr>
            <w:tcW w:w="8824" w:type="dxa"/>
            <w:gridSpan w:val="13"/>
            <w:tcBorders>
              <w:bottom w:val="single" w:color="auto" w:sz="4" w:space="0"/>
            </w:tcBorders>
            <w:noWrap w:val="0"/>
            <w:vAlign w:val="center"/>
          </w:tcPr>
          <w:p w14:paraId="213005B4">
            <w:pPr>
              <w:tabs>
                <w:tab w:val="left" w:pos="720"/>
              </w:tabs>
              <w:adjustRightInd w:val="0"/>
              <w:snapToGrid w:val="0"/>
              <w:spacing w:line="240" w:lineRule="atLeas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（如时间、地点安排与“一课双师”等教师配备需求等）</w:t>
            </w:r>
          </w:p>
          <w:p w14:paraId="668BC3BE">
            <w:pPr>
              <w:numPr>
                <w:ilvl w:val="0"/>
                <w:numId w:val="0"/>
              </w:numPr>
              <w:tabs>
                <w:tab w:val="left" w:pos="720"/>
              </w:tabs>
              <w:adjustRightInd w:val="0"/>
              <w:snapToGrid w:val="0"/>
              <w:ind w:leftChars="0"/>
              <w:rPr>
                <w:rFonts w:hint="default" w:ascii="仿宋" w:hAnsi="仿宋" w:eastAsia="仿宋" w:cs="仿宋"/>
                <w:color w:val="auto"/>
                <w:sz w:val="24"/>
                <w:szCs w:val="24"/>
                <w:lang w:val="en-US" w:eastAsia="zh-CN"/>
              </w:rPr>
            </w:pPr>
            <w:r>
              <w:rPr>
                <w:rFonts w:hint="default" w:ascii="仿宋" w:hAnsi="仿宋" w:eastAsia="仿宋" w:cs="仿宋"/>
                <w:color w:val="auto"/>
                <w:sz w:val="24"/>
                <w:szCs w:val="24"/>
              </w:rPr>
              <w:t>1.</w:t>
            </w:r>
            <w:r>
              <w:rPr>
                <w:rFonts w:hint="eastAsia" w:ascii="仿宋" w:hAnsi="仿宋" w:eastAsia="仿宋" w:cs="仿宋"/>
                <w:color w:val="auto"/>
                <w:sz w:val="24"/>
                <w:szCs w:val="24"/>
                <w:lang w:val="en-US" w:eastAsia="zh-CN"/>
              </w:rPr>
              <w:t>琴房、小演奏厅、排练室、音乐厅、多媒体教室等</w:t>
            </w:r>
          </w:p>
          <w:p w14:paraId="286C4F7B">
            <w:pPr>
              <w:tabs>
                <w:tab w:val="left" w:pos="720"/>
              </w:tabs>
              <w:adjustRightInd w:val="0"/>
              <w:snapToGrid w:val="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2.</w:t>
            </w:r>
            <w:r>
              <w:rPr>
                <w:rFonts w:hint="eastAsia" w:ascii="华文仿宋" w:hAnsi="华文仿宋" w:eastAsia="华文仿宋" w:cs="华文仿宋"/>
                <w:color w:val="auto"/>
                <w:kern w:val="0"/>
                <w:sz w:val="24"/>
                <w:szCs w:val="24"/>
              </w:rPr>
              <w:t>学生分组上课</w:t>
            </w:r>
          </w:p>
          <w:p w14:paraId="30C65332">
            <w:pPr>
              <w:tabs>
                <w:tab w:val="left" w:pos="720"/>
              </w:tabs>
              <w:adjustRightInd w:val="0"/>
              <w:snapToGrid w:val="0"/>
              <w:rPr>
                <w:rFonts w:hint="eastAsia" w:ascii="仿宋" w:hAnsi="仿宋" w:eastAsia="仿宋" w:cs="仿宋"/>
                <w:color w:val="auto"/>
                <w:kern w:val="0"/>
                <w:sz w:val="24"/>
                <w:szCs w:val="24"/>
              </w:rPr>
            </w:pPr>
          </w:p>
        </w:tc>
      </w:tr>
      <w:tr w14:paraId="6335A51B">
        <w:trPr>
          <w:trHeight w:val="711" w:hRule="atLeast"/>
        </w:trPr>
        <w:tc>
          <w:tcPr>
            <w:tcW w:w="1075" w:type="dxa"/>
            <w:vMerge w:val="restart"/>
            <w:noWrap w:val="0"/>
            <w:vAlign w:val="center"/>
          </w:tcPr>
          <w:p w14:paraId="1ED1B336">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K</w:t>
            </w:r>
          </w:p>
          <w:p w14:paraId="019C69E8">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课程目标及其考核内容、考核方式及评分占比</w:t>
            </w:r>
          </w:p>
        </w:tc>
        <w:tc>
          <w:tcPr>
            <w:tcW w:w="1333" w:type="dxa"/>
            <w:vMerge w:val="restart"/>
            <w:noWrap w:val="0"/>
            <w:vAlign w:val="center"/>
          </w:tcPr>
          <w:p w14:paraId="08E6604F">
            <w:pPr>
              <w:adjustRightInd w:val="0"/>
              <w:snapToGrid w:val="0"/>
              <w:rPr>
                <w:rFonts w:hint="eastAsia" w:ascii="仿宋" w:hAnsi="仿宋" w:eastAsia="仿宋" w:cs="仿宋"/>
                <w:color w:val="auto"/>
                <w:sz w:val="24"/>
                <w:szCs w:val="24"/>
              </w:rPr>
            </w:pPr>
            <w:r>
              <w:rPr>
                <w:rFonts w:hint="eastAsia" w:ascii="仿宋" w:hAnsi="仿宋" w:eastAsia="仿宋" w:cs="仿宋"/>
                <w:color w:val="auto"/>
                <w:sz w:val="24"/>
                <w:szCs w:val="24"/>
              </w:rPr>
              <w:t>课程目标及评分占比</w:t>
            </w:r>
          </w:p>
        </w:tc>
        <w:tc>
          <w:tcPr>
            <w:tcW w:w="3247" w:type="dxa"/>
            <w:gridSpan w:val="5"/>
            <w:vMerge w:val="restart"/>
            <w:tcBorders>
              <w:right w:val="single" w:color="000000" w:sz="4" w:space="0"/>
            </w:tcBorders>
            <w:noWrap w:val="0"/>
            <w:vAlign w:val="center"/>
          </w:tcPr>
          <w:p w14:paraId="3DAD8CBA">
            <w:pPr>
              <w:tabs>
                <w:tab w:val="left" w:pos="720"/>
              </w:tabs>
              <w:adjustRightInd w:val="0"/>
              <w:snapToGrid w:val="0"/>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考核内容</w:t>
            </w:r>
          </w:p>
        </w:tc>
        <w:tc>
          <w:tcPr>
            <w:tcW w:w="3170" w:type="dxa"/>
            <w:gridSpan w:val="6"/>
            <w:tcBorders>
              <w:left w:val="single" w:color="000000" w:sz="4" w:space="0"/>
              <w:right w:val="single" w:color="000000" w:sz="4" w:space="0"/>
            </w:tcBorders>
            <w:noWrap w:val="0"/>
            <w:vAlign w:val="center"/>
          </w:tcPr>
          <w:p w14:paraId="7C8166C2">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sz w:val="24"/>
                <w:szCs w:val="24"/>
              </w:rPr>
              <w:t>考核方式</w:t>
            </w:r>
          </w:p>
        </w:tc>
        <w:tc>
          <w:tcPr>
            <w:tcW w:w="1074" w:type="dxa"/>
            <w:vMerge w:val="restart"/>
            <w:tcBorders>
              <w:left w:val="single" w:color="000000" w:sz="4" w:space="0"/>
            </w:tcBorders>
            <w:noWrap w:val="0"/>
            <w:vAlign w:val="center"/>
          </w:tcPr>
          <w:p w14:paraId="4AA61AEE">
            <w:pPr>
              <w:tabs>
                <w:tab w:val="left" w:pos="720"/>
              </w:tabs>
              <w:adjustRightInd w:val="0"/>
              <w:snapToGrid w:val="0"/>
              <w:jc w:val="center"/>
              <w:rPr>
                <w:rFonts w:hint="eastAsia" w:ascii="仿宋" w:hAnsi="仿宋" w:eastAsia="仿宋" w:cs="仿宋"/>
                <w:color w:val="auto"/>
                <w:kern w:val="0"/>
                <w:sz w:val="24"/>
                <w:szCs w:val="24"/>
              </w:rPr>
            </w:pPr>
            <w:r>
              <w:rPr>
                <w:rFonts w:hint="eastAsia" w:ascii="仿宋" w:hAnsi="仿宋" w:eastAsia="仿宋" w:cs="仿宋"/>
                <w:color w:val="auto"/>
                <w:sz w:val="24"/>
                <w:szCs w:val="24"/>
              </w:rPr>
              <w:t>课程分目标的达成度</w:t>
            </w:r>
          </w:p>
        </w:tc>
      </w:tr>
      <w:tr w14:paraId="09F5A84B">
        <w:trPr>
          <w:trHeight w:val="184" w:hRule="atLeast"/>
        </w:trPr>
        <w:tc>
          <w:tcPr>
            <w:tcW w:w="1075" w:type="dxa"/>
            <w:vMerge w:val="continue"/>
            <w:noWrap w:val="0"/>
            <w:vAlign w:val="center"/>
          </w:tcPr>
          <w:p w14:paraId="6B6460C0">
            <w:pPr>
              <w:adjustRightInd w:val="0"/>
              <w:snapToGrid w:val="0"/>
              <w:spacing w:line="240" w:lineRule="atLeast"/>
              <w:jc w:val="center"/>
              <w:rPr>
                <w:rFonts w:hint="eastAsia" w:ascii="仿宋" w:hAnsi="仿宋" w:eastAsia="仿宋" w:cs="仿宋"/>
                <w:color w:val="auto"/>
                <w:sz w:val="24"/>
                <w:szCs w:val="24"/>
              </w:rPr>
            </w:pPr>
          </w:p>
        </w:tc>
        <w:tc>
          <w:tcPr>
            <w:tcW w:w="1333" w:type="dxa"/>
            <w:vMerge w:val="continue"/>
            <w:tcBorders>
              <w:tl2br w:val="single" w:color="auto" w:sz="4" w:space="0"/>
            </w:tcBorders>
            <w:noWrap w:val="0"/>
            <w:vAlign w:val="center"/>
          </w:tcPr>
          <w:p w14:paraId="0F2C6FB7">
            <w:pPr>
              <w:adjustRightInd w:val="0"/>
              <w:snapToGrid w:val="0"/>
              <w:jc w:val="right"/>
              <w:rPr>
                <w:rFonts w:hint="eastAsia" w:ascii="仿宋" w:hAnsi="仿宋" w:eastAsia="仿宋" w:cs="仿宋"/>
                <w:color w:val="auto"/>
                <w:sz w:val="24"/>
                <w:szCs w:val="24"/>
              </w:rPr>
            </w:pPr>
          </w:p>
        </w:tc>
        <w:tc>
          <w:tcPr>
            <w:tcW w:w="3247" w:type="dxa"/>
            <w:gridSpan w:val="5"/>
            <w:vMerge w:val="continue"/>
            <w:tcBorders>
              <w:right w:val="single" w:color="000000" w:sz="4" w:space="0"/>
            </w:tcBorders>
            <w:noWrap w:val="0"/>
            <w:vAlign w:val="center"/>
          </w:tcPr>
          <w:p w14:paraId="0A000144">
            <w:pPr>
              <w:tabs>
                <w:tab w:val="left" w:pos="720"/>
              </w:tabs>
              <w:adjustRightInd w:val="0"/>
              <w:snapToGrid w:val="0"/>
              <w:jc w:val="center"/>
              <w:rPr>
                <w:rFonts w:hint="eastAsia" w:ascii="仿宋" w:hAnsi="仿宋" w:eastAsia="仿宋" w:cs="仿宋"/>
                <w:color w:val="auto"/>
                <w:kern w:val="0"/>
                <w:sz w:val="24"/>
                <w:szCs w:val="24"/>
              </w:rPr>
            </w:pPr>
          </w:p>
        </w:tc>
        <w:tc>
          <w:tcPr>
            <w:tcW w:w="1565" w:type="dxa"/>
            <w:gridSpan w:val="4"/>
            <w:tcBorders>
              <w:left w:val="single" w:color="000000" w:sz="4" w:space="0"/>
            </w:tcBorders>
            <w:noWrap w:val="0"/>
            <w:vAlign w:val="center"/>
          </w:tcPr>
          <w:p w14:paraId="72288702">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平时表现</w:t>
            </w:r>
            <w:r>
              <w:rPr>
                <w:rFonts w:hint="eastAsia" w:ascii="仿宋" w:hAnsi="仿宋" w:eastAsia="仿宋" w:cs="仿宋"/>
                <w:color w:val="auto"/>
                <w:sz w:val="24"/>
                <w:szCs w:val="24"/>
              </w:rPr>
              <w:t>评分占比（</w:t>
            </w:r>
            <w:r>
              <w:rPr>
                <w:rFonts w:hint="eastAsia" w:ascii="仿宋" w:hAnsi="仿宋" w:eastAsia="仿宋" w:cs="仿宋"/>
                <w:color w:val="auto"/>
                <w:sz w:val="24"/>
                <w:szCs w:val="24"/>
                <w:lang w:val="en-US" w:eastAsia="zh-CN"/>
              </w:rPr>
              <w:t>30</w:t>
            </w:r>
            <w:r>
              <w:rPr>
                <w:rFonts w:hint="eastAsia" w:ascii="仿宋" w:hAnsi="仿宋" w:eastAsia="仿宋" w:cs="仿宋"/>
                <w:color w:val="auto"/>
                <w:sz w:val="24"/>
                <w:szCs w:val="24"/>
              </w:rPr>
              <w:t>%）</w:t>
            </w:r>
          </w:p>
        </w:tc>
        <w:tc>
          <w:tcPr>
            <w:tcW w:w="1605" w:type="dxa"/>
            <w:gridSpan w:val="2"/>
            <w:tcBorders>
              <w:bottom w:val="single" w:color="auto" w:sz="4" w:space="0"/>
              <w:right w:val="single" w:color="000000" w:sz="4" w:space="0"/>
            </w:tcBorders>
            <w:noWrap w:val="0"/>
            <w:vAlign w:val="center"/>
          </w:tcPr>
          <w:p w14:paraId="5D17A17A">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sz w:val="24"/>
                <w:szCs w:val="24"/>
              </w:rPr>
              <w:t>期末考试评分占比（</w:t>
            </w:r>
            <w:r>
              <w:rPr>
                <w:rFonts w:hint="eastAsia" w:ascii="仿宋" w:hAnsi="仿宋" w:eastAsia="仿宋" w:cs="仿宋"/>
                <w:color w:val="auto"/>
                <w:sz w:val="24"/>
                <w:szCs w:val="24"/>
                <w:lang w:val="en-US" w:eastAsia="zh-CN"/>
              </w:rPr>
              <w:t>70</w:t>
            </w:r>
            <w:r>
              <w:rPr>
                <w:rFonts w:hint="eastAsia" w:ascii="仿宋" w:hAnsi="仿宋" w:eastAsia="仿宋" w:cs="仿宋"/>
                <w:color w:val="auto"/>
                <w:sz w:val="24"/>
                <w:szCs w:val="24"/>
              </w:rPr>
              <w:t>%）</w:t>
            </w:r>
          </w:p>
        </w:tc>
        <w:tc>
          <w:tcPr>
            <w:tcW w:w="1074" w:type="dxa"/>
            <w:vMerge w:val="continue"/>
            <w:tcBorders>
              <w:left w:val="single" w:color="000000" w:sz="4" w:space="0"/>
              <w:bottom w:val="single" w:color="auto" w:sz="4" w:space="0"/>
            </w:tcBorders>
            <w:noWrap w:val="0"/>
            <w:vAlign w:val="center"/>
          </w:tcPr>
          <w:p w14:paraId="36AE47E2">
            <w:pPr>
              <w:tabs>
                <w:tab w:val="left" w:pos="720"/>
              </w:tabs>
              <w:adjustRightInd w:val="0"/>
              <w:snapToGrid w:val="0"/>
              <w:jc w:val="center"/>
              <w:rPr>
                <w:rFonts w:hint="eastAsia" w:ascii="仿宋" w:hAnsi="仿宋" w:eastAsia="仿宋" w:cs="仿宋"/>
                <w:color w:val="auto"/>
                <w:sz w:val="24"/>
                <w:szCs w:val="24"/>
              </w:rPr>
            </w:pPr>
          </w:p>
        </w:tc>
      </w:tr>
      <w:tr w14:paraId="1F0EBAAF">
        <w:tc>
          <w:tcPr>
            <w:tcW w:w="1075" w:type="dxa"/>
            <w:vMerge w:val="continue"/>
            <w:noWrap w:val="0"/>
            <w:vAlign w:val="center"/>
          </w:tcPr>
          <w:p w14:paraId="5519B0AE">
            <w:pPr>
              <w:adjustRightInd w:val="0"/>
              <w:snapToGrid w:val="0"/>
              <w:spacing w:line="240" w:lineRule="atLeast"/>
              <w:jc w:val="center"/>
              <w:rPr>
                <w:rFonts w:hint="eastAsia" w:ascii="仿宋" w:hAnsi="仿宋" w:eastAsia="仿宋" w:cs="仿宋"/>
                <w:color w:val="auto"/>
                <w:sz w:val="24"/>
                <w:szCs w:val="24"/>
                <w:lang w:eastAsia="zh-TW"/>
              </w:rPr>
            </w:pPr>
          </w:p>
        </w:tc>
        <w:tc>
          <w:tcPr>
            <w:tcW w:w="1333" w:type="dxa"/>
            <w:tcBorders>
              <w:bottom w:val="single" w:color="auto" w:sz="4" w:space="0"/>
            </w:tcBorders>
            <w:noWrap w:val="0"/>
            <w:vAlign w:val="center"/>
          </w:tcPr>
          <w:p w14:paraId="149E3840">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kern w:val="0"/>
                <w:sz w:val="24"/>
                <w:szCs w:val="24"/>
              </w:rPr>
              <w:t>课程目标1（</w:t>
            </w:r>
            <w:r>
              <w:rPr>
                <w:rFonts w:hint="eastAsia" w:ascii="仿宋" w:hAnsi="仿宋" w:eastAsia="仿宋" w:cs="仿宋"/>
                <w:color w:val="auto"/>
                <w:kern w:val="0"/>
                <w:sz w:val="24"/>
                <w:szCs w:val="24"/>
                <w:lang w:val="en-US" w:eastAsia="zh-CN"/>
              </w:rPr>
              <w:t>40</w:t>
            </w:r>
            <w:r>
              <w:rPr>
                <w:rFonts w:hint="eastAsia" w:ascii="仿宋" w:hAnsi="仿宋" w:eastAsia="仿宋" w:cs="仿宋"/>
                <w:color w:val="auto"/>
                <w:kern w:val="0"/>
                <w:sz w:val="24"/>
                <w:szCs w:val="24"/>
              </w:rPr>
              <w:t>%）</w:t>
            </w:r>
          </w:p>
        </w:tc>
        <w:tc>
          <w:tcPr>
            <w:tcW w:w="3247" w:type="dxa"/>
            <w:gridSpan w:val="5"/>
            <w:tcBorders>
              <w:bottom w:val="single" w:color="auto" w:sz="4" w:space="0"/>
              <w:right w:val="single" w:color="000000" w:sz="4" w:space="0"/>
            </w:tcBorders>
            <w:noWrap w:val="0"/>
            <w:vAlign w:val="center"/>
          </w:tcPr>
          <w:p w14:paraId="728DF7DB">
            <w:pPr>
              <w:adjustRightInd w:val="0"/>
              <w:snapToGrid w:val="0"/>
              <w:jc w:val="left"/>
              <w:rPr>
                <w:rFonts w:hint="default" w:ascii="华文仿宋" w:hAnsi="华文仿宋" w:eastAsia="华文仿宋" w:cs="华文仿宋"/>
                <w:color w:val="auto"/>
                <w:kern w:val="0"/>
                <w:sz w:val="24"/>
                <w:szCs w:val="24"/>
                <w:lang w:val="en-US"/>
              </w:rPr>
            </w:pPr>
            <w:r>
              <w:rPr>
                <w:rFonts w:hint="eastAsia" w:ascii="华文仿宋" w:hAnsi="华文仿宋" w:eastAsia="华文仿宋" w:cs="华文仿宋"/>
                <w:kern w:val="0"/>
                <w:sz w:val="24"/>
                <w:szCs w:val="24"/>
                <w:lang w:val="en-US" w:eastAsia="zh-CN"/>
              </w:rPr>
              <w:t>通过毕业汇报演出不同形式来呈现作品，包括声乐、器乐、舞蹈及原创作品演绎、流行音乐等形式</w:t>
            </w:r>
            <w:r>
              <w:rPr>
                <w:rFonts w:hint="eastAsia" w:ascii="华文仿宋" w:hAnsi="华文仿宋" w:eastAsia="华文仿宋" w:cs="华文仿宋"/>
                <w:sz w:val="24"/>
                <w:szCs w:val="24"/>
                <w:lang w:val="en-US" w:eastAsia="zh-CN"/>
              </w:rPr>
              <w:t>。</w:t>
            </w:r>
          </w:p>
        </w:tc>
        <w:tc>
          <w:tcPr>
            <w:tcW w:w="1565" w:type="dxa"/>
            <w:gridSpan w:val="4"/>
            <w:tcBorders>
              <w:left w:val="single" w:color="000000" w:sz="4" w:space="0"/>
              <w:bottom w:val="single" w:color="auto" w:sz="4" w:space="0"/>
              <w:right w:val="single" w:color="auto" w:sz="4" w:space="0"/>
            </w:tcBorders>
            <w:noWrap w:val="0"/>
            <w:vAlign w:val="center"/>
          </w:tcPr>
          <w:p w14:paraId="6521A1BA">
            <w:pPr>
              <w:tabs>
                <w:tab w:val="left" w:pos="720"/>
              </w:tabs>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12</w:t>
            </w:r>
          </w:p>
        </w:tc>
        <w:tc>
          <w:tcPr>
            <w:tcW w:w="1605" w:type="dxa"/>
            <w:gridSpan w:val="2"/>
            <w:tcBorders>
              <w:left w:val="single" w:color="auto" w:sz="4" w:space="0"/>
              <w:bottom w:val="single" w:color="auto" w:sz="4" w:space="0"/>
              <w:right w:val="single" w:color="auto" w:sz="4" w:space="0"/>
            </w:tcBorders>
            <w:noWrap w:val="0"/>
            <w:vAlign w:val="center"/>
          </w:tcPr>
          <w:p w14:paraId="3CABFD83">
            <w:pPr>
              <w:tabs>
                <w:tab w:val="left" w:pos="720"/>
              </w:tabs>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28</w:t>
            </w:r>
          </w:p>
        </w:tc>
        <w:tc>
          <w:tcPr>
            <w:tcW w:w="1074" w:type="dxa"/>
            <w:tcBorders>
              <w:left w:val="single" w:color="auto" w:sz="4" w:space="0"/>
              <w:bottom w:val="single" w:color="auto" w:sz="4" w:space="0"/>
            </w:tcBorders>
            <w:noWrap w:val="0"/>
            <w:vAlign w:val="center"/>
          </w:tcPr>
          <w:p w14:paraId="0E3009B8">
            <w:pPr>
              <w:tabs>
                <w:tab w:val="left" w:pos="720"/>
              </w:tabs>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0.80</w:t>
            </w:r>
          </w:p>
        </w:tc>
      </w:tr>
      <w:tr w14:paraId="5A34A2D8">
        <w:trPr>
          <w:trHeight w:val="745" w:hRule="atLeast"/>
        </w:trPr>
        <w:tc>
          <w:tcPr>
            <w:tcW w:w="1075" w:type="dxa"/>
            <w:vMerge w:val="continue"/>
            <w:noWrap w:val="0"/>
            <w:vAlign w:val="center"/>
          </w:tcPr>
          <w:p w14:paraId="7F164A05">
            <w:pPr>
              <w:adjustRightInd w:val="0"/>
              <w:snapToGrid w:val="0"/>
              <w:spacing w:line="240" w:lineRule="atLeast"/>
              <w:jc w:val="center"/>
              <w:rPr>
                <w:rFonts w:hint="eastAsia" w:ascii="仿宋" w:hAnsi="仿宋" w:eastAsia="仿宋" w:cs="仿宋"/>
                <w:color w:val="auto"/>
                <w:sz w:val="24"/>
                <w:szCs w:val="24"/>
                <w:lang w:eastAsia="zh-TW"/>
              </w:rPr>
            </w:pPr>
          </w:p>
        </w:tc>
        <w:tc>
          <w:tcPr>
            <w:tcW w:w="1333" w:type="dxa"/>
            <w:noWrap w:val="0"/>
            <w:vAlign w:val="center"/>
          </w:tcPr>
          <w:p w14:paraId="1D4F4E99">
            <w:pPr>
              <w:adjustRightInd w:val="0"/>
              <w:snapToGrid w:val="0"/>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课程目标2（</w:t>
            </w:r>
            <w:r>
              <w:rPr>
                <w:rFonts w:hint="eastAsia" w:ascii="仿宋" w:hAnsi="仿宋" w:eastAsia="仿宋" w:cs="仿宋"/>
                <w:color w:val="auto"/>
                <w:kern w:val="0"/>
                <w:sz w:val="24"/>
                <w:szCs w:val="24"/>
                <w:lang w:val="en-US" w:eastAsia="zh-CN"/>
              </w:rPr>
              <w:t>20</w:t>
            </w:r>
            <w:r>
              <w:rPr>
                <w:rFonts w:hint="eastAsia" w:ascii="仿宋" w:hAnsi="仿宋" w:eastAsia="仿宋" w:cs="仿宋"/>
                <w:color w:val="auto"/>
                <w:kern w:val="0"/>
                <w:sz w:val="24"/>
                <w:szCs w:val="24"/>
              </w:rPr>
              <w:t>%）</w:t>
            </w:r>
          </w:p>
        </w:tc>
        <w:tc>
          <w:tcPr>
            <w:tcW w:w="3247" w:type="dxa"/>
            <w:gridSpan w:val="5"/>
            <w:tcBorders>
              <w:right w:val="single" w:color="000000" w:sz="4" w:space="0"/>
            </w:tcBorders>
            <w:noWrap w:val="0"/>
            <w:vAlign w:val="center"/>
          </w:tcPr>
          <w:p w14:paraId="16E92BDA">
            <w:pPr>
              <w:adjustRightInd w:val="0"/>
              <w:snapToGrid w:val="0"/>
              <w:jc w:val="left"/>
              <w:rPr>
                <w:rFonts w:hint="eastAsia" w:ascii="华文仿宋" w:hAnsi="华文仿宋" w:eastAsia="仿宋" w:cs="华文仿宋"/>
                <w:color w:val="auto"/>
                <w:kern w:val="0"/>
                <w:sz w:val="24"/>
                <w:szCs w:val="24"/>
                <w:lang w:eastAsia="zh-CN"/>
              </w:rPr>
            </w:pPr>
            <w:r>
              <w:rPr>
                <w:rFonts w:hint="eastAsia" w:ascii="华文仿宋" w:hAnsi="华文仿宋" w:eastAsia="华文仿宋" w:cs="华文仿宋"/>
                <w:kern w:val="0"/>
                <w:sz w:val="24"/>
                <w:szCs w:val="24"/>
                <w:lang w:val="en-US" w:eastAsia="zh-CN"/>
              </w:rPr>
              <w:t>掌握演出筹备的相关知识，以及合伴奏，通过实践对艺术作品独特的见解，了解音乐艺术创作和理论的现状、前沿、应用前景与发展动态，具有较好的专业修养和独立思考能力。</w:t>
            </w:r>
          </w:p>
        </w:tc>
        <w:tc>
          <w:tcPr>
            <w:tcW w:w="1565" w:type="dxa"/>
            <w:gridSpan w:val="4"/>
            <w:tcBorders>
              <w:left w:val="single" w:color="000000" w:sz="4" w:space="0"/>
            </w:tcBorders>
            <w:noWrap w:val="0"/>
            <w:vAlign w:val="center"/>
          </w:tcPr>
          <w:p w14:paraId="4C57C905">
            <w:pPr>
              <w:tabs>
                <w:tab w:val="left" w:pos="720"/>
              </w:tabs>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6</w:t>
            </w:r>
          </w:p>
        </w:tc>
        <w:tc>
          <w:tcPr>
            <w:tcW w:w="1605" w:type="dxa"/>
            <w:gridSpan w:val="2"/>
            <w:tcBorders>
              <w:bottom w:val="single" w:color="000000" w:sz="4" w:space="0"/>
              <w:right w:val="single" w:color="000000" w:sz="4" w:space="0"/>
            </w:tcBorders>
            <w:noWrap w:val="0"/>
            <w:vAlign w:val="center"/>
          </w:tcPr>
          <w:p w14:paraId="1A94E432">
            <w:pPr>
              <w:tabs>
                <w:tab w:val="left" w:pos="720"/>
              </w:tabs>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14</w:t>
            </w:r>
          </w:p>
        </w:tc>
        <w:tc>
          <w:tcPr>
            <w:tcW w:w="1074" w:type="dxa"/>
            <w:tcBorders>
              <w:left w:val="single" w:color="000000" w:sz="4" w:space="0"/>
              <w:bottom w:val="single" w:color="000000" w:sz="4" w:space="0"/>
            </w:tcBorders>
            <w:noWrap w:val="0"/>
            <w:vAlign w:val="center"/>
          </w:tcPr>
          <w:p w14:paraId="6C3505B9">
            <w:pPr>
              <w:tabs>
                <w:tab w:val="left" w:pos="720"/>
              </w:tabs>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0.80</w:t>
            </w:r>
          </w:p>
        </w:tc>
      </w:tr>
      <w:tr w14:paraId="69D816F0">
        <w:trPr>
          <w:trHeight w:val="515" w:hRule="atLeast"/>
        </w:trPr>
        <w:tc>
          <w:tcPr>
            <w:tcW w:w="1075" w:type="dxa"/>
            <w:vMerge w:val="continue"/>
            <w:noWrap w:val="0"/>
            <w:vAlign w:val="center"/>
          </w:tcPr>
          <w:p w14:paraId="498715E4">
            <w:pPr>
              <w:adjustRightInd w:val="0"/>
              <w:snapToGrid w:val="0"/>
              <w:spacing w:line="240" w:lineRule="atLeast"/>
              <w:jc w:val="center"/>
              <w:rPr>
                <w:rFonts w:hint="eastAsia" w:ascii="仿宋" w:hAnsi="仿宋" w:eastAsia="仿宋" w:cs="仿宋"/>
                <w:color w:val="auto"/>
                <w:sz w:val="24"/>
                <w:szCs w:val="24"/>
                <w:lang w:eastAsia="zh-TW"/>
              </w:rPr>
            </w:pPr>
          </w:p>
        </w:tc>
        <w:tc>
          <w:tcPr>
            <w:tcW w:w="1333" w:type="dxa"/>
            <w:tcBorders>
              <w:bottom w:val="single" w:color="auto" w:sz="4" w:space="0"/>
            </w:tcBorders>
            <w:noWrap w:val="0"/>
            <w:vAlign w:val="center"/>
          </w:tcPr>
          <w:p w14:paraId="614EC622">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kern w:val="0"/>
                <w:sz w:val="24"/>
                <w:szCs w:val="24"/>
              </w:rPr>
              <w:t>课程目标</w:t>
            </w:r>
            <w:r>
              <w:rPr>
                <w:rFonts w:hint="eastAsia" w:ascii="仿宋" w:hAnsi="仿宋" w:eastAsia="仿宋" w:cs="仿宋"/>
                <w:color w:val="auto"/>
                <w:kern w:val="0"/>
                <w:sz w:val="24"/>
                <w:szCs w:val="24"/>
                <w:lang w:val="en-US" w:eastAsia="zh-CN"/>
              </w:rPr>
              <w:t>3</w:t>
            </w:r>
            <w:r>
              <w:rPr>
                <w:rFonts w:hint="eastAsia" w:ascii="仿宋" w:hAnsi="仿宋" w:eastAsia="仿宋" w:cs="仿宋"/>
                <w:color w:val="auto"/>
                <w:kern w:val="0"/>
                <w:sz w:val="24"/>
                <w:szCs w:val="24"/>
              </w:rPr>
              <w:t>（</w:t>
            </w:r>
            <w:r>
              <w:rPr>
                <w:rFonts w:hint="eastAsia" w:ascii="仿宋" w:hAnsi="仿宋" w:eastAsia="仿宋" w:cs="仿宋"/>
                <w:color w:val="auto"/>
                <w:kern w:val="0"/>
                <w:sz w:val="24"/>
                <w:szCs w:val="24"/>
                <w:lang w:val="en-US" w:eastAsia="zh-CN"/>
              </w:rPr>
              <w:t>40</w:t>
            </w:r>
            <w:r>
              <w:rPr>
                <w:rFonts w:hint="eastAsia" w:ascii="仿宋" w:hAnsi="仿宋" w:eastAsia="仿宋" w:cs="仿宋"/>
                <w:color w:val="auto"/>
                <w:kern w:val="0"/>
                <w:sz w:val="24"/>
                <w:szCs w:val="24"/>
              </w:rPr>
              <w:t>%）</w:t>
            </w:r>
          </w:p>
        </w:tc>
        <w:tc>
          <w:tcPr>
            <w:tcW w:w="3247" w:type="dxa"/>
            <w:gridSpan w:val="5"/>
            <w:tcBorders>
              <w:bottom w:val="single" w:color="auto" w:sz="4" w:space="0"/>
              <w:right w:val="single" w:color="000000" w:sz="4" w:space="0"/>
            </w:tcBorders>
            <w:noWrap w:val="0"/>
            <w:vAlign w:val="center"/>
          </w:tcPr>
          <w:p w14:paraId="30D9E9C5">
            <w:pPr>
              <w:adjustRightInd w:val="0"/>
              <w:snapToGrid w:val="0"/>
              <w:jc w:val="left"/>
              <w:rPr>
                <w:rFonts w:hint="eastAsia" w:ascii="华文仿宋" w:hAnsi="华文仿宋" w:eastAsia="华文仿宋" w:cs="华文仿宋"/>
                <w:color w:val="auto"/>
                <w:kern w:val="0"/>
                <w:sz w:val="24"/>
                <w:szCs w:val="24"/>
              </w:rPr>
            </w:pPr>
            <w:r>
              <w:rPr>
                <w:rFonts w:hint="eastAsia" w:ascii="华文仿宋" w:hAnsi="华文仿宋" w:eastAsia="华文仿宋" w:cs="华文仿宋"/>
                <w:kern w:val="0"/>
                <w:sz w:val="24"/>
                <w:szCs w:val="24"/>
                <w:lang w:val="en-US" w:eastAsia="zh-CN"/>
              </w:rPr>
              <w:t>节目不断打磨过程中强化学生团队协作能力、沟通能力，并且在相互沟通中夯实学生对自身专业知识体系的架构，以及组织、策划节目的能力，同时提升了学生的音乐文化素养。</w:t>
            </w:r>
          </w:p>
        </w:tc>
        <w:tc>
          <w:tcPr>
            <w:tcW w:w="1565" w:type="dxa"/>
            <w:gridSpan w:val="4"/>
            <w:tcBorders>
              <w:left w:val="single" w:color="000000" w:sz="4" w:space="0"/>
              <w:bottom w:val="single" w:color="auto" w:sz="4" w:space="0"/>
            </w:tcBorders>
            <w:noWrap w:val="0"/>
            <w:vAlign w:val="center"/>
          </w:tcPr>
          <w:p w14:paraId="64D4D5F8">
            <w:pPr>
              <w:tabs>
                <w:tab w:val="left" w:pos="720"/>
              </w:tabs>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12</w:t>
            </w:r>
          </w:p>
        </w:tc>
        <w:tc>
          <w:tcPr>
            <w:tcW w:w="1605" w:type="dxa"/>
            <w:gridSpan w:val="2"/>
            <w:tcBorders>
              <w:top w:val="single" w:color="000000" w:sz="4" w:space="0"/>
              <w:bottom w:val="single" w:color="auto" w:sz="4" w:space="0"/>
              <w:right w:val="single" w:color="000000" w:sz="4" w:space="0"/>
            </w:tcBorders>
            <w:noWrap w:val="0"/>
            <w:vAlign w:val="center"/>
          </w:tcPr>
          <w:p w14:paraId="7796A1C6">
            <w:pPr>
              <w:tabs>
                <w:tab w:val="left" w:pos="720"/>
              </w:tabs>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28</w:t>
            </w:r>
          </w:p>
        </w:tc>
        <w:tc>
          <w:tcPr>
            <w:tcW w:w="1074" w:type="dxa"/>
            <w:tcBorders>
              <w:top w:val="single" w:color="000000" w:sz="4" w:space="0"/>
              <w:left w:val="single" w:color="000000" w:sz="4" w:space="0"/>
              <w:bottom w:val="single" w:color="auto" w:sz="4" w:space="0"/>
            </w:tcBorders>
            <w:noWrap w:val="0"/>
            <w:vAlign w:val="center"/>
          </w:tcPr>
          <w:p w14:paraId="71514026">
            <w:pPr>
              <w:tabs>
                <w:tab w:val="left" w:pos="720"/>
              </w:tabs>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0.80</w:t>
            </w:r>
          </w:p>
        </w:tc>
      </w:tr>
      <w:tr w14:paraId="76F43480">
        <w:trPr>
          <w:trHeight w:val="515" w:hRule="atLeast"/>
        </w:trPr>
        <w:tc>
          <w:tcPr>
            <w:tcW w:w="1075" w:type="dxa"/>
            <w:vMerge w:val="continue"/>
            <w:noWrap w:val="0"/>
            <w:vAlign w:val="center"/>
          </w:tcPr>
          <w:p w14:paraId="68C07787">
            <w:pPr>
              <w:adjustRightInd w:val="0"/>
              <w:snapToGrid w:val="0"/>
              <w:spacing w:line="240" w:lineRule="atLeast"/>
              <w:jc w:val="center"/>
              <w:rPr>
                <w:rFonts w:hint="eastAsia" w:ascii="仿宋" w:hAnsi="仿宋" w:eastAsia="仿宋" w:cs="仿宋"/>
                <w:color w:val="auto"/>
                <w:sz w:val="24"/>
                <w:szCs w:val="24"/>
                <w:lang w:eastAsia="zh-TW"/>
              </w:rPr>
            </w:pPr>
          </w:p>
        </w:tc>
        <w:tc>
          <w:tcPr>
            <w:tcW w:w="4580" w:type="dxa"/>
            <w:gridSpan w:val="6"/>
            <w:tcBorders>
              <w:bottom w:val="single" w:color="auto" w:sz="4" w:space="0"/>
              <w:right w:val="single" w:color="000000" w:sz="4" w:space="0"/>
            </w:tcBorders>
            <w:noWrap w:val="0"/>
            <w:vAlign w:val="center"/>
          </w:tcPr>
          <w:p w14:paraId="0D77B224">
            <w:pPr>
              <w:widowControl/>
              <w:autoSpaceDE w:val="0"/>
              <w:autoSpaceDN w:val="0"/>
              <w:adjustRightInd w:val="0"/>
              <w:snapToGrid w:val="0"/>
              <w:jc w:val="center"/>
              <w:textAlignment w:val="bottom"/>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rPr>
              <w:t>总分</w:t>
            </w:r>
            <w:r>
              <w:rPr>
                <w:rFonts w:hint="eastAsia" w:ascii="仿宋" w:hAnsi="仿宋" w:eastAsia="仿宋" w:cs="仿宋"/>
                <w:color w:val="auto"/>
                <w:sz w:val="24"/>
                <w:szCs w:val="24"/>
                <w:lang w:val="en-US" w:eastAsia="zh-CN"/>
              </w:rPr>
              <w:t>100</w:t>
            </w:r>
          </w:p>
        </w:tc>
        <w:tc>
          <w:tcPr>
            <w:tcW w:w="1565" w:type="dxa"/>
            <w:gridSpan w:val="4"/>
            <w:tcBorders>
              <w:left w:val="single" w:color="000000" w:sz="4" w:space="0"/>
              <w:bottom w:val="single" w:color="auto" w:sz="4" w:space="0"/>
            </w:tcBorders>
            <w:noWrap w:val="0"/>
            <w:vAlign w:val="center"/>
          </w:tcPr>
          <w:p w14:paraId="6F1586F9">
            <w:pPr>
              <w:tabs>
                <w:tab w:val="left" w:pos="720"/>
              </w:tabs>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30</w:t>
            </w:r>
          </w:p>
        </w:tc>
        <w:tc>
          <w:tcPr>
            <w:tcW w:w="1605" w:type="dxa"/>
            <w:gridSpan w:val="2"/>
            <w:tcBorders>
              <w:top w:val="single" w:color="000000" w:sz="4" w:space="0"/>
              <w:bottom w:val="single" w:color="auto" w:sz="4" w:space="0"/>
              <w:right w:val="single" w:color="000000" w:sz="4" w:space="0"/>
            </w:tcBorders>
            <w:noWrap w:val="0"/>
            <w:vAlign w:val="center"/>
          </w:tcPr>
          <w:p w14:paraId="02D570D2">
            <w:pPr>
              <w:tabs>
                <w:tab w:val="left" w:pos="720"/>
              </w:tabs>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70</w:t>
            </w:r>
          </w:p>
        </w:tc>
        <w:tc>
          <w:tcPr>
            <w:tcW w:w="1074" w:type="dxa"/>
            <w:tcBorders>
              <w:top w:val="single" w:color="000000" w:sz="4" w:space="0"/>
              <w:left w:val="single" w:color="000000" w:sz="4" w:space="0"/>
              <w:bottom w:val="single" w:color="auto" w:sz="4" w:space="0"/>
            </w:tcBorders>
            <w:noWrap w:val="0"/>
            <w:vAlign w:val="center"/>
          </w:tcPr>
          <w:p w14:paraId="257F9EEF">
            <w:pPr>
              <w:tabs>
                <w:tab w:val="left" w:pos="720"/>
              </w:tabs>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0.80</w:t>
            </w:r>
          </w:p>
        </w:tc>
      </w:tr>
      <w:tr w14:paraId="19801BAB">
        <w:tc>
          <w:tcPr>
            <w:tcW w:w="1075" w:type="dxa"/>
            <w:noWrap w:val="0"/>
            <w:vAlign w:val="center"/>
          </w:tcPr>
          <w:p w14:paraId="5093D95F">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L</w:t>
            </w:r>
          </w:p>
          <w:p w14:paraId="7C863AA8">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学习建议</w:t>
            </w:r>
          </w:p>
        </w:tc>
        <w:tc>
          <w:tcPr>
            <w:tcW w:w="8824" w:type="dxa"/>
            <w:gridSpan w:val="13"/>
            <w:tcBorders>
              <w:bottom w:val="single" w:color="auto" w:sz="4" w:space="0"/>
            </w:tcBorders>
            <w:noWrap w:val="0"/>
            <w:vAlign w:val="center"/>
          </w:tcPr>
          <w:p w14:paraId="7E245885">
            <w:pPr>
              <w:adjustRightInd w:val="0"/>
              <w:snapToGrid w:val="0"/>
              <w:rPr>
                <w:rFonts w:hint="eastAsia" w:ascii="仿宋" w:hAnsi="仿宋" w:eastAsia="仿宋" w:cs="仿宋"/>
                <w:bCs/>
                <w:color w:val="auto"/>
                <w:sz w:val="24"/>
                <w:szCs w:val="24"/>
              </w:rPr>
            </w:pPr>
            <w:r>
              <w:rPr>
                <w:rFonts w:hint="eastAsia" w:ascii="仿宋" w:hAnsi="仿宋" w:eastAsia="仿宋" w:cs="仿宋"/>
                <w:bCs/>
                <w:color w:val="auto"/>
                <w:sz w:val="24"/>
                <w:szCs w:val="24"/>
              </w:rPr>
              <w:t>1.自主学习。建议学生通过预习教材，并通过网络、图书馆自主查阅课程中涉及的学习资源，独立规划自己的课程学习计划，充分发挥自身的学习能动性。</w:t>
            </w:r>
          </w:p>
          <w:p w14:paraId="70A068F9">
            <w:pPr>
              <w:adjustRightInd w:val="0"/>
              <w:snapToGrid w:val="0"/>
              <w:rPr>
                <w:rFonts w:hint="eastAsia" w:ascii="仿宋" w:hAnsi="仿宋" w:eastAsia="仿宋" w:cs="仿宋"/>
                <w:color w:val="auto"/>
                <w:kern w:val="0"/>
                <w:sz w:val="24"/>
                <w:szCs w:val="24"/>
              </w:rPr>
            </w:pPr>
            <w:r>
              <w:rPr>
                <w:rFonts w:hint="eastAsia" w:ascii="仿宋" w:hAnsi="仿宋" w:eastAsia="仿宋" w:cs="仿宋"/>
                <w:bCs/>
                <w:color w:val="auto"/>
                <w:sz w:val="24"/>
                <w:szCs w:val="24"/>
              </w:rPr>
              <w:t>2.研究性学习。鼓励学生针对课程教学内容，尝试理论课结合专题报告的教学方式，开阔学生的视野。</w:t>
            </w:r>
          </w:p>
        </w:tc>
      </w:tr>
      <w:tr w14:paraId="4FC660CF">
        <w:trPr>
          <w:trHeight w:val="454" w:hRule="atLeast"/>
        </w:trPr>
        <w:tc>
          <w:tcPr>
            <w:tcW w:w="1075" w:type="dxa"/>
            <w:noWrap w:val="0"/>
            <w:vAlign w:val="center"/>
          </w:tcPr>
          <w:p w14:paraId="1103AB98">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M</w:t>
            </w:r>
          </w:p>
          <w:p w14:paraId="5AD7F6F5">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评分量表</w:t>
            </w:r>
          </w:p>
        </w:tc>
        <w:tc>
          <w:tcPr>
            <w:tcW w:w="8824" w:type="dxa"/>
            <w:gridSpan w:val="13"/>
            <w:noWrap w:val="0"/>
            <w:vAlign w:val="center"/>
          </w:tcPr>
          <w:p w14:paraId="4B08FF78">
            <w:pPr>
              <w:tabs>
                <w:tab w:val="left" w:pos="720"/>
              </w:tabs>
              <w:adjustRightInd w:val="0"/>
              <w:snapToGrid w:val="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w:t>
            </w:r>
            <w:r>
              <w:rPr>
                <w:rFonts w:hint="eastAsia" w:ascii="仿宋" w:hAnsi="仿宋" w:eastAsia="仿宋" w:cs="仿宋"/>
                <w:color w:val="auto"/>
                <w:sz w:val="24"/>
                <w:szCs w:val="24"/>
                <w:lang w:val="en-US" w:eastAsia="zh-CN"/>
              </w:rPr>
              <w:t>综合实践(二):毕业汇演</w:t>
            </w:r>
            <w:r>
              <w:rPr>
                <w:rFonts w:hint="eastAsia" w:ascii="仿宋" w:hAnsi="仿宋" w:eastAsia="仿宋" w:cs="仿宋"/>
                <w:color w:val="auto"/>
                <w:kern w:val="0"/>
                <w:sz w:val="24"/>
                <w:szCs w:val="24"/>
              </w:rPr>
              <w:t>》课程目标评分量表见附表。</w:t>
            </w:r>
          </w:p>
        </w:tc>
      </w:tr>
      <w:tr w14:paraId="62049B93">
        <w:trPr>
          <w:trHeight w:val="454" w:hRule="atLeast"/>
        </w:trPr>
        <w:tc>
          <w:tcPr>
            <w:tcW w:w="1075" w:type="dxa"/>
            <w:noWrap w:val="0"/>
            <w:vAlign w:val="center"/>
          </w:tcPr>
          <w:p w14:paraId="35A8C2BD">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备注</w:t>
            </w:r>
          </w:p>
        </w:tc>
        <w:tc>
          <w:tcPr>
            <w:tcW w:w="8824" w:type="dxa"/>
            <w:gridSpan w:val="13"/>
            <w:noWrap w:val="0"/>
            <w:vAlign w:val="center"/>
          </w:tcPr>
          <w:p w14:paraId="5E062AD1">
            <w:pPr>
              <w:adjustRightInd w:val="0"/>
              <w:snapToGrid w:val="0"/>
              <w:rPr>
                <w:rFonts w:hint="eastAsia" w:ascii="仿宋" w:hAnsi="仿宋" w:eastAsia="仿宋" w:cs="仿宋"/>
                <w:color w:val="auto"/>
                <w:kern w:val="0"/>
                <w:sz w:val="24"/>
                <w:szCs w:val="24"/>
              </w:rPr>
            </w:pPr>
            <w:r>
              <w:rPr>
                <w:rFonts w:hint="eastAsia" w:ascii="仿宋" w:hAnsi="仿宋" w:eastAsia="仿宋" w:cs="仿宋"/>
                <w:color w:val="auto"/>
                <w:sz w:val="24"/>
                <w:szCs w:val="24"/>
              </w:rPr>
              <w:t>课程大纲A—M项由开课学院审批通过，任课教师不能自行更改。</w:t>
            </w:r>
          </w:p>
        </w:tc>
      </w:tr>
      <w:tr w14:paraId="47CECFD3">
        <w:trPr>
          <w:trHeight w:val="771" w:hRule="atLeast"/>
        </w:trPr>
        <w:tc>
          <w:tcPr>
            <w:tcW w:w="1075" w:type="dxa"/>
            <w:noWrap w:val="0"/>
            <w:vAlign w:val="center"/>
          </w:tcPr>
          <w:p w14:paraId="158DF86D">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审批</w:t>
            </w:r>
          </w:p>
          <w:p w14:paraId="39A5B8EC">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意见</w:t>
            </w:r>
          </w:p>
        </w:tc>
        <w:tc>
          <w:tcPr>
            <w:tcW w:w="4170" w:type="dxa"/>
            <w:gridSpan w:val="4"/>
            <w:noWrap w:val="0"/>
            <w:vAlign w:val="center"/>
          </w:tcPr>
          <w:p w14:paraId="7671B96D">
            <w:pPr>
              <w:widowControl/>
              <w:adjustRightInd w:val="0"/>
              <w:snapToGrid w:val="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课程</w:t>
            </w:r>
            <w:r>
              <w:rPr>
                <w:rFonts w:hint="eastAsia" w:ascii="仿宋" w:hAnsi="仿宋" w:eastAsia="仿宋" w:cs="仿宋"/>
                <w:color w:val="auto"/>
                <w:kern w:val="0"/>
                <w:sz w:val="24"/>
                <w:szCs w:val="24"/>
                <w:lang w:val="en-US" w:eastAsia="zh-CN"/>
              </w:rPr>
              <w:t>教学</w:t>
            </w:r>
            <w:r>
              <w:rPr>
                <w:rFonts w:hint="eastAsia" w:ascii="仿宋" w:hAnsi="仿宋" w:eastAsia="仿宋" w:cs="仿宋"/>
                <w:color w:val="auto"/>
                <w:kern w:val="0"/>
                <w:sz w:val="24"/>
                <w:szCs w:val="24"/>
              </w:rPr>
              <w:t>大纲</w:t>
            </w:r>
            <w:r>
              <w:rPr>
                <w:rFonts w:hint="eastAsia" w:ascii="仿宋" w:hAnsi="仿宋" w:eastAsia="仿宋" w:cs="仿宋"/>
                <w:color w:val="auto"/>
                <w:kern w:val="0"/>
                <w:sz w:val="24"/>
                <w:szCs w:val="24"/>
                <w:lang w:val="en-US" w:eastAsia="zh-CN"/>
              </w:rPr>
              <w:t>修订</w:t>
            </w:r>
            <w:r>
              <w:rPr>
                <w:rFonts w:hint="eastAsia" w:ascii="仿宋" w:hAnsi="仿宋" w:eastAsia="仿宋" w:cs="仿宋"/>
                <w:color w:val="auto"/>
                <w:kern w:val="0"/>
                <w:sz w:val="24"/>
                <w:szCs w:val="24"/>
              </w:rPr>
              <w:t>负责人</w:t>
            </w:r>
            <w:r>
              <w:rPr>
                <w:rFonts w:hint="eastAsia" w:ascii="仿宋" w:hAnsi="仿宋" w:eastAsia="仿宋" w:cs="仿宋"/>
                <w:color w:val="auto"/>
                <w:kern w:val="0"/>
                <w:sz w:val="24"/>
                <w:szCs w:val="24"/>
                <w:lang w:val="en-US" w:eastAsia="zh-CN"/>
              </w:rPr>
              <w:t>及教学团队成员</w:t>
            </w:r>
            <w:r>
              <w:rPr>
                <w:rFonts w:hint="eastAsia" w:ascii="仿宋" w:hAnsi="仿宋" w:eastAsia="仿宋" w:cs="仿宋"/>
                <w:color w:val="auto"/>
                <w:sz w:val="24"/>
                <w:szCs w:val="24"/>
              </w:rPr>
              <w:t>签名</w:t>
            </w:r>
            <w:r>
              <w:rPr>
                <w:rFonts w:hint="eastAsia" w:ascii="仿宋" w:hAnsi="仿宋" w:eastAsia="仿宋" w:cs="仿宋"/>
                <w:color w:val="auto"/>
                <w:kern w:val="0"/>
                <w:sz w:val="24"/>
                <w:szCs w:val="24"/>
              </w:rPr>
              <w:t>：</w:t>
            </w:r>
          </w:p>
          <w:p w14:paraId="0D50C355">
            <w:pPr>
              <w:widowControl/>
              <w:adjustRightInd w:val="0"/>
              <w:snapToGrid w:val="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 xml:space="preserve">   </w:t>
            </w:r>
          </w:p>
          <w:p w14:paraId="44AE14B0">
            <w:pPr>
              <w:widowControl/>
              <w:adjustRightInd w:val="0"/>
              <w:snapToGrid w:val="0"/>
              <w:jc w:val="left"/>
              <w:rPr>
                <w:rFonts w:hint="default" w:ascii="仿宋" w:hAnsi="仿宋" w:eastAsia="仿宋" w:cs="仿宋"/>
                <w:color w:val="auto"/>
                <w:kern w:val="0"/>
                <w:sz w:val="24"/>
                <w:szCs w:val="24"/>
                <w:lang w:val="en-US"/>
              </w:rPr>
            </w:pPr>
            <w:r>
              <w:rPr>
                <w:rFonts w:hint="eastAsia" w:ascii="仿宋" w:hAnsi="仿宋" w:eastAsia="仿宋"/>
                <w:szCs w:val="21"/>
                <w:lang w:val="en-US" w:eastAsia="zh-CN"/>
              </w:rPr>
              <w:t xml:space="preserve">     </w:t>
            </w:r>
            <w:r>
              <w:rPr>
                <w:rFonts w:hint="eastAsia" w:ascii="仿宋" w:hAnsi="仿宋" w:eastAsia="仿宋" w:cs="仿宋"/>
                <w:color w:val="auto"/>
                <w:kern w:val="0"/>
                <w:sz w:val="24"/>
                <w:szCs w:val="24"/>
                <w:lang w:val="en-US" w:eastAsia="zh-CN"/>
              </w:rPr>
              <w:t xml:space="preserve"> 全体音乐学专业教师</w:t>
            </w:r>
          </w:p>
          <w:p w14:paraId="3EE40442">
            <w:pPr>
              <w:widowControl/>
              <w:adjustRightInd w:val="0"/>
              <w:snapToGrid w:val="0"/>
              <w:jc w:val="left"/>
              <w:rPr>
                <w:rFonts w:hint="eastAsia" w:ascii="仿宋" w:hAnsi="仿宋" w:eastAsia="仿宋" w:cs="仿宋"/>
                <w:color w:val="auto"/>
                <w:kern w:val="0"/>
                <w:sz w:val="24"/>
                <w:szCs w:val="24"/>
              </w:rPr>
            </w:pPr>
          </w:p>
          <w:p w14:paraId="5140AE37">
            <w:pPr>
              <w:pStyle w:val="234"/>
              <w:rPr>
                <w:rFonts w:hint="eastAsia"/>
              </w:rPr>
            </w:pPr>
          </w:p>
          <w:p w14:paraId="3E3FC216">
            <w:pPr>
              <w:widowControl/>
              <w:adjustRightInd w:val="0"/>
              <w:snapToGrid w:val="0"/>
              <w:jc w:val="right"/>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rPr>
              <w:t xml:space="preserve">                                                   </w:t>
            </w:r>
            <w:r>
              <w:rPr>
                <w:rFonts w:hint="eastAsia" w:ascii="仿宋" w:hAnsi="仿宋" w:eastAsia="仿宋" w:cs="仿宋"/>
                <w:color w:val="auto"/>
                <w:kern w:val="0"/>
                <w:sz w:val="24"/>
                <w:szCs w:val="24"/>
                <w:lang w:val="en-US" w:eastAsia="zh-CN"/>
              </w:rPr>
              <w:t>2024</w:t>
            </w:r>
            <w:r>
              <w:rPr>
                <w:rFonts w:hint="eastAsia" w:ascii="仿宋" w:hAnsi="仿宋" w:eastAsia="仿宋" w:cs="仿宋"/>
                <w:color w:val="auto"/>
                <w:kern w:val="0"/>
                <w:sz w:val="24"/>
                <w:szCs w:val="24"/>
              </w:rPr>
              <w:t xml:space="preserve">年 </w:t>
            </w:r>
            <w:r>
              <w:rPr>
                <w:rFonts w:hint="eastAsia" w:ascii="仿宋" w:hAnsi="仿宋" w:eastAsia="仿宋" w:cs="仿宋"/>
                <w:color w:val="auto"/>
                <w:kern w:val="0"/>
                <w:sz w:val="24"/>
                <w:szCs w:val="24"/>
                <w:lang w:val="en-US" w:eastAsia="zh-CN"/>
              </w:rPr>
              <w:t>7</w:t>
            </w:r>
            <w:r>
              <w:rPr>
                <w:rFonts w:hint="eastAsia" w:ascii="仿宋" w:hAnsi="仿宋" w:eastAsia="仿宋" w:cs="仿宋"/>
                <w:color w:val="auto"/>
                <w:kern w:val="0"/>
                <w:sz w:val="24"/>
                <w:szCs w:val="24"/>
              </w:rPr>
              <w:t>月</w:t>
            </w:r>
            <w:r>
              <w:rPr>
                <w:rFonts w:hint="eastAsia" w:ascii="仿宋" w:hAnsi="仿宋" w:eastAsia="仿宋" w:cs="仿宋"/>
                <w:color w:val="auto"/>
                <w:kern w:val="0"/>
                <w:sz w:val="24"/>
                <w:szCs w:val="24"/>
                <w:lang w:val="en-US" w:eastAsia="zh-CN"/>
              </w:rPr>
              <w:t>5</w:t>
            </w:r>
            <w:r>
              <w:rPr>
                <w:rFonts w:hint="eastAsia" w:ascii="仿宋" w:hAnsi="仿宋" w:eastAsia="仿宋" w:cs="仿宋"/>
                <w:color w:val="auto"/>
                <w:kern w:val="0"/>
                <w:sz w:val="24"/>
                <w:szCs w:val="24"/>
              </w:rPr>
              <w:t>日</w:t>
            </w:r>
            <w:r>
              <w:rPr>
                <w:rFonts w:hint="eastAsia" w:ascii="仿宋" w:hAnsi="仿宋" w:eastAsia="仿宋" w:cs="仿宋"/>
                <w:color w:val="auto"/>
                <w:kern w:val="0"/>
                <w:sz w:val="24"/>
                <w:szCs w:val="24"/>
                <w:lang w:val="en-US" w:eastAsia="zh-CN"/>
              </w:rPr>
              <w:t xml:space="preserve"> </w:t>
            </w:r>
          </w:p>
          <w:p w14:paraId="5A5C70D4">
            <w:pPr>
              <w:widowControl/>
              <w:adjustRightInd w:val="0"/>
              <w:snapToGrid w:val="0"/>
              <w:jc w:val="right"/>
              <w:rPr>
                <w:rFonts w:hint="eastAsia" w:ascii="仿宋" w:hAnsi="仿宋" w:eastAsia="仿宋" w:cs="仿宋"/>
                <w:color w:val="auto"/>
                <w:kern w:val="0"/>
                <w:sz w:val="24"/>
                <w:szCs w:val="24"/>
              </w:rPr>
            </w:pPr>
          </w:p>
        </w:tc>
        <w:tc>
          <w:tcPr>
            <w:tcW w:w="4654" w:type="dxa"/>
            <w:gridSpan w:val="9"/>
            <w:noWrap w:val="0"/>
            <w:vAlign w:val="center"/>
          </w:tcPr>
          <w:p w14:paraId="3461B9D4">
            <w:pPr>
              <w:widowControl/>
              <w:adjustRightInd w:val="0"/>
              <w:snapToGrid w:val="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系主任审核</w:t>
            </w:r>
            <w:r>
              <w:rPr>
                <w:rFonts w:hint="eastAsia" w:ascii="仿宋" w:hAnsi="仿宋" w:eastAsia="仿宋" w:cs="仿宋"/>
                <w:color w:val="auto"/>
                <w:kern w:val="0"/>
                <w:sz w:val="24"/>
                <w:szCs w:val="24"/>
              </w:rPr>
              <w:t>意见：</w:t>
            </w:r>
          </w:p>
          <w:p w14:paraId="00BAC031">
            <w:pPr>
              <w:widowControl/>
              <w:adjustRightInd w:val="0"/>
              <w:snapToGrid w:val="0"/>
              <w:ind w:firstLine="480" w:firstLineChars="200"/>
              <w:jc w:val="left"/>
              <w:rPr>
                <w:rFonts w:hint="eastAsia" w:ascii="仿宋" w:hAnsi="仿宋" w:eastAsia="仿宋" w:cs="仿宋"/>
                <w:color w:val="auto"/>
                <w:kern w:val="0"/>
                <w:sz w:val="24"/>
                <w:szCs w:val="24"/>
                <w:lang w:val="en-US" w:eastAsia="zh-CN"/>
              </w:rPr>
            </w:pPr>
          </w:p>
          <w:p w14:paraId="2ED10CC8">
            <w:pPr>
              <w:widowControl/>
              <w:adjustRightInd w:val="0"/>
              <w:snapToGrid w:val="0"/>
              <w:ind w:firstLine="480" w:firstLineChars="200"/>
              <w:jc w:val="left"/>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同意</w:t>
            </w:r>
          </w:p>
          <w:p w14:paraId="6001A6EA">
            <w:pPr>
              <w:widowControl/>
              <w:adjustRightInd w:val="0"/>
              <w:snapToGrid w:val="0"/>
              <w:jc w:val="left"/>
              <w:rPr>
                <w:rFonts w:hint="eastAsia" w:ascii="仿宋" w:hAnsi="仿宋" w:eastAsia="仿宋" w:cs="仿宋"/>
                <w:color w:val="auto"/>
                <w:kern w:val="0"/>
                <w:sz w:val="24"/>
                <w:szCs w:val="24"/>
              </w:rPr>
            </w:pPr>
          </w:p>
          <w:p w14:paraId="7BE9DB4E">
            <w:pPr>
              <w:widowControl/>
              <w:adjustRightInd w:val="0"/>
              <w:snapToGrid w:val="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系主任</w:t>
            </w:r>
            <w:r>
              <w:rPr>
                <w:rFonts w:hint="eastAsia" w:ascii="仿宋" w:hAnsi="仿宋" w:eastAsia="仿宋" w:cs="仿宋"/>
                <w:color w:val="auto"/>
                <w:kern w:val="0"/>
                <w:sz w:val="24"/>
                <w:szCs w:val="24"/>
              </w:rPr>
              <w:t>签名：</w:t>
            </w:r>
            <w:r>
              <w:rPr>
                <w:rFonts w:hint="eastAsia" w:ascii="仿宋" w:hAnsi="仿宋" w:eastAsia="仿宋"/>
                <w:szCs w:val="21"/>
              </w:rPr>
              <w:drawing>
                <wp:inline distT="0" distB="0" distL="114300" distR="114300">
                  <wp:extent cx="701675" cy="361950"/>
                  <wp:effectExtent l="0" t="0" r="3175" b="0"/>
                  <wp:docPr id="34" name="图片 1" descr="WechatIMG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 descr="WechatIMG63"/>
                          <pic:cNvPicPr>
                            <a:picLocks noChangeAspect="1"/>
                          </pic:cNvPicPr>
                        </pic:nvPicPr>
                        <pic:blipFill>
                          <a:blip r:embed="rId162"/>
                          <a:stretch>
                            <a:fillRect/>
                          </a:stretch>
                        </pic:blipFill>
                        <pic:spPr>
                          <a:xfrm>
                            <a:off x="0" y="0"/>
                            <a:ext cx="701675" cy="361950"/>
                          </a:xfrm>
                          <a:prstGeom prst="rect">
                            <a:avLst/>
                          </a:prstGeom>
                        </pic:spPr>
                      </pic:pic>
                    </a:graphicData>
                  </a:graphic>
                </wp:inline>
              </w:drawing>
            </w:r>
          </w:p>
          <w:p w14:paraId="2088DC0D">
            <w:pPr>
              <w:widowControl/>
              <w:adjustRightInd w:val="0"/>
              <w:snapToGrid w:val="0"/>
              <w:jc w:val="right"/>
              <w:rPr>
                <w:rFonts w:hint="eastAsia" w:ascii="仿宋" w:hAnsi="仿宋" w:eastAsia="仿宋" w:cs="仿宋"/>
                <w:color w:val="auto"/>
                <w:kern w:val="0"/>
                <w:sz w:val="24"/>
                <w:szCs w:val="24"/>
              </w:rPr>
            </w:pPr>
          </w:p>
          <w:p w14:paraId="1596BE88">
            <w:pPr>
              <w:widowControl/>
              <w:adjustRightInd w:val="0"/>
              <w:snapToGrid w:val="0"/>
              <w:jc w:val="right"/>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2024</w:t>
            </w:r>
            <w:r>
              <w:rPr>
                <w:rFonts w:hint="eastAsia" w:ascii="仿宋" w:hAnsi="仿宋" w:eastAsia="仿宋" w:cs="仿宋"/>
                <w:color w:val="auto"/>
                <w:kern w:val="0"/>
                <w:sz w:val="24"/>
                <w:szCs w:val="24"/>
              </w:rPr>
              <w:t xml:space="preserve">年 </w:t>
            </w:r>
            <w:r>
              <w:rPr>
                <w:rFonts w:hint="eastAsia" w:ascii="仿宋" w:hAnsi="仿宋" w:eastAsia="仿宋" w:cs="仿宋"/>
                <w:color w:val="auto"/>
                <w:kern w:val="0"/>
                <w:sz w:val="24"/>
                <w:szCs w:val="24"/>
                <w:lang w:val="en-US" w:eastAsia="zh-CN"/>
              </w:rPr>
              <w:t>7</w:t>
            </w:r>
            <w:r>
              <w:rPr>
                <w:rFonts w:hint="eastAsia" w:ascii="仿宋" w:hAnsi="仿宋" w:eastAsia="仿宋" w:cs="仿宋"/>
                <w:color w:val="auto"/>
                <w:kern w:val="0"/>
                <w:sz w:val="24"/>
                <w:szCs w:val="24"/>
              </w:rPr>
              <w:t>月</w:t>
            </w:r>
            <w:r>
              <w:rPr>
                <w:rFonts w:hint="eastAsia" w:ascii="仿宋" w:hAnsi="仿宋" w:eastAsia="仿宋" w:cs="仿宋"/>
                <w:color w:val="auto"/>
                <w:kern w:val="0"/>
                <w:sz w:val="24"/>
                <w:szCs w:val="24"/>
                <w:lang w:val="en-US" w:eastAsia="zh-CN"/>
              </w:rPr>
              <w:t>5</w:t>
            </w:r>
            <w:r>
              <w:rPr>
                <w:rFonts w:hint="eastAsia" w:ascii="仿宋" w:hAnsi="仿宋" w:eastAsia="仿宋" w:cs="仿宋"/>
                <w:color w:val="auto"/>
                <w:kern w:val="0"/>
                <w:sz w:val="24"/>
                <w:szCs w:val="24"/>
              </w:rPr>
              <w:t>日</w:t>
            </w:r>
          </w:p>
          <w:p w14:paraId="3DD8034E">
            <w:pPr>
              <w:widowControl/>
              <w:adjustRightInd w:val="0"/>
              <w:snapToGrid w:val="0"/>
              <w:jc w:val="right"/>
              <w:rPr>
                <w:rFonts w:hint="eastAsia" w:ascii="仿宋" w:hAnsi="仿宋" w:eastAsia="仿宋" w:cs="仿宋"/>
                <w:color w:val="auto"/>
                <w:kern w:val="0"/>
                <w:sz w:val="24"/>
                <w:szCs w:val="24"/>
              </w:rPr>
            </w:pPr>
          </w:p>
        </w:tc>
      </w:tr>
    </w:tbl>
    <w:p w14:paraId="69B7493A">
      <w:pPr>
        <w:widowControl/>
        <w:spacing w:line="360" w:lineRule="auto"/>
        <w:ind w:right="480"/>
        <w:rPr>
          <w:rFonts w:hint="default" w:eastAsia="宋体" w:cs="黑体"/>
          <w:color w:val="auto"/>
          <w:lang w:val="en-US" w:eastAsia="zh-CN"/>
        </w:rPr>
        <w:sectPr>
          <w:headerReference r:id="rId137" w:type="default"/>
          <w:footerReference r:id="rId138" w:type="default"/>
          <w:pgSz w:w="11906" w:h="16838"/>
          <w:pgMar w:top="1134" w:right="1417" w:bottom="1134" w:left="1417" w:header="851" w:footer="992" w:gutter="0"/>
          <w:cols w:space="720" w:num="1"/>
          <w:docGrid w:type="lines" w:linePitch="312" w:charSpace="0"/>
        </w:sectPr>
      </w:pPr>
    </w:p>
    <w:p w14:paraId="3FA78B9D">
      <w:pPr>
        <w:adjustRightInd w:val="0"/>
        <w:snapToGrid w:val="0"/>
        <w:spacing w:line="360" w:lineRule="auto"/>
        <w:jc w:val="center"/>
        <w:rPr>
          <w:rFonts w:hint="eastAsia" w:ascii="仿宋" w:hAnsi="Times New Roman" w:eastAsia="仿宋" w:cs="仿宋"/>
          <w:b/>
          <w:bCs/>
          <w:color w:val="000000"/>
          <w:sz w:val="28"/>
          <w:szCs w:val="28"/>
          <w:lang w:val="en-US" w:eastAsia="zh-CN"/>
        </w:rPr>
      </w:pPr>
      <w:r>
        <w:rPr>
          <w:rFonts w:hint="eastAsia" w:ascii="仿宋" w:hAnsi="Times New Roman" w:eastAsia="仿宋" w:cs="仿宋"/>
          <w:b/>
          <w:bCs/>
          <w:color w:val="000000"/>
          <w:sz w:val="28"/>
          <w:szCs w:val="28"/>
          <w:lang w:val="en-US" w:eastAsia="zh-CN"/>
        </w:rPr>
        <w:t>附表</w:t>
      </w:r>
      <w:r>
        <w:rPr>
          <w:rFonts w:hint="eastAsia" w:ascii="仿宋" w:eastAsia="仿宋" w:cs="仿宋"/>
          <w:b/>
          <w:bCs/>
          <w:color w:val="000000"/>
          <w:sz w:val="28"/>
          <w:szCs w:val="28"/>
          <w:lang w:val="en-US" w:eastAsia="zh-CN"/>
        </w:rPr>
        <w:t>:</w:t>
      </w:r>
      <w:r>
        <w:rPr>
          <w:rFonts w:hint="eastAsia" w:ascii="仿宋" w:hAnsi="Times New Roman" w:eastAsia="仿宋" w:cs="仿宋"/>
          <w:b/>
          <w:bCs/>
          <w:color w:val="000000"/>
          <w:sz w:val="28"/>
          <w:szCs w:val="28"/>
          <w:lang w:val="en-US" w:eastAsia="zh-CN"/>
        </w:rPr>
        <w:t>《综合实践(</w:t>
      </w:r>
      <w:r>
        <w:rPr>
          <w:rFonts w:hint="eastAsia" w:ascii="仿宋" w:eastAsia="仿宋" w:cs="仿宋"/>
          <w:b/>
          <w:bCs/>
          <w:color w:val="000000"/>
          <w:sz w:val="28"/>
          <w:szCs w:val="28"/>
          <w:lang w:val="en-US" w:eastAsia="zh-CN"/>
        </w:rPr>
        <w:t>二</w:t>
      </w:r>
      <w:r>
        <w:rPr>
          <w:rFonts w:hint="eastAsia" w:ascii="仿宋" w:hAnsi="Times New Roman" w:eastAsia="仿宋" w:cs="仿宋"/>
          <w:b/>
          <w:bCs/>
          <w:color w:val="000000"/>
          <w:sz w:val="28"/>
          <w:szCs w:val="28"/>
          <w:lang w:val="en-US" w:eastAsia="zh-CN"/>
        </w:rPr>
        <w:t>):毕业</w:t>
      </w:r>
      <w:r>
        <w:rPr>
          <w:rFonts w:hint="eastAsia" w:ascii="仿宋" w:eastAsia="仿宋" w:cs="仿宋"/>
          <w:b/>
          <w:bCs/>
          <w:color w:val="000000"/>
          <w:sz w:val="28"/>
          <w:szCs w:val="28"/>
          <w:lang w:val="en-US" w:eastAsia="zh-CN"/>
        </w:rPr>
        <w:t>汇演</w:t>
      </w:r>
      <w:r>
        <w:rPr>
          <w:rFonts w:hint="eastAsia" w:ascii="仿宋" w:hAnsi="Times New Roman" w:eastAsia="仿宋" w:cs="仿宋"/>
          <w:b/>
          <w:bCs/>
          <w:color w:val="000000"/>
          <w:sz w:val="28"/>
          <w:szCs w:val="28"/>
          <w:lang w:val="en-US" w:eastAsia="zh-CN"/>
        </w:rPr>
        <w:t>》课程目标评分量表</w:t>
      </w:r>
    </w:p>
    <w:tbl>
      <w:tblPr>
        <w:tblStyle w:val="22"/>
        <w:tblW w:w="84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28" w:type="dxa"/>
        </w:tblCellMar>
      </w:tblPr>
      <w:tblGrid>
        <w:gridCol w:w="296"/>
        <w:gridCol w:w="1674"/>
        <w:gridCol w:w="1263"/>
        <w:gridCol w:w="1320"/>
        <w:gridCol w:w="1302"/>
        <w:gridCol w:w="1263"/>
        <w:gridCol w:w="1335"/>
      </w:tblGrid>
      <w:tr w14:paraId="4C260A57">
        <w:trPr>
          <w:trHeight w:val="90" w:hRule="atLeast"/>
          <w:jc w:val="center"/>
        </w:trPr>
        <w:tc>
          <w:tcPr>
            <w:tcW w:w="0" w:type="auto"/>
            <w:vMerge w:val="restart"/>
            <w:noWrap w:val="0"/>
            <w:vAlign w:val="center"/>
          </w:tcPr>
          <w:p w14:paraId="0489E6F8">
            <w:pPr>
              <w:adjustRightInd w:val="0"/>
              <w:snapToGrid w:val="0"/>
              <w:spacing w:line="240" w:lineRule="atLeast"/>
              <w:jc w:val="center"/>
              <w:rPr>
                <w:rFonts w:hint="eastAsia" w:ascii="楷体" w:hAnsi="楷体" w:eastAsia="楷体" w:cs="楷体"/>
                <w:color w:val="auto"/>
                <w:sz w:val="21"/>
                <w:szCs w:val="21"/>
              </w:rPr>
            </w:pPr>
            <w:r>
              <w:rPr>
                <w:rFonts w:hint="eastAsia" w:ascii="楷体" w:hAnsi="楷体" w:eastAsia="楷体" w:cs="楷体"/>
                <w:color w:val="auto"/>
                <w:sz w:val="21"/>
                <w:szCs w:val="21"/>
              </w:rPr>
              <w:t>M</w:t>
            </w:r>
          </w:p>
          <w:p w14:paraId="11E96B4A">
            <w:pPr>
              <w:adjustRightInd w:val="0"/>
              <w:snapToGrid w:val="0"/>
              <w:spacing w:line="240" w:lineRule="atLeast"/>
              <w:jc w:val="center"/>
              <w:rPr>
                <w:rFonts w:hint="eastAsia" w:ascii="宋体" w:hAnsi="宋体" w:cs="宋体"/>
                <w:color w:val="auto"/>
                <w:sz w:val="24"/>
                <w:szCs w:val="24"/>
              </w:rPr>
            </w:pPr>
            <w:r>
              <w:rPr>
                <w:rFonts w:hint="eastAsia" w:ascii="楷体" w:hAnsi="楷体" w:eastAsia="楷体" w:cs="楷体"/>
                <w:color w:val="auto"/>
                <w:sz w:val="21"/>
                <w:szCs w:val="21"/>
              </w:rPr>
              <w:t>评分量表</w:t>
            </w:r>
          </w:p>
        </w:tc>
        <w:tc>
          <w:tcPr>
            <w:tcW w:w="1674" w:type="dxa"/>
            <w:noWrap w:val="0"/>
            <w:vAlign w:val="center"/>
          </w:tcPr>
          <w:p w14:paraId="38E4EE52">
            <w:pPr>
              <w:tabs>
                <w:tab w:val="left" w:pos="720"/>
              </w:tabs>
              <w:adjustRightInd w:val="0"/>
              <w:snapToGrid w:val="0"/>
              <w:spacing w:line="240" w:lineRule="atLeast"/>
              <w:ind w:firstLine="420" w:firstLineChars="200"/>
              <w:jc w:val="left"/>
              <w:rPr>
                <w:rFonts w:hint="eastAsia" w:ascii="楷体" w:eastAsia="楷体" w:cs="楷体"/>
                <w:kern w:val="0"/>
                <w:sz w:val="21"/>
                <w:szCs w:val="21"/>
                <w:lang w:val="en-US" w:eastAsia="zh-CN"/>
              </w:rPr>
            </w:pPr>
            <w:r>
              <w:rPr>
                <w:rFonts w:hint="eastAsia" w:ascii="楷体" w:eastAsia="楷体" w:cs="楷体"/>
                <w:kern w:val="0"/>
                <w:sz w:val="21"/>
                <w:szCs w:val="21"/>
                <w:lang w:val="en-US" w:eastAsia="zh-CN"/>
              </w:rPr>
              <w:t>课程目标</w:t>
            </w:r>
          </w:p>
        </w:tc>
        <w:tc>
          <w:tcPr>
            <w:tcW w:w="1263" w:type="dxa"/>
            <w:noWrap w:val="0"/>
            <w:vAlign w:val="center"/>
          </w:tcPr>
          <w:p w14:paraId="5850FD4C">
            <w:pPr>
              <w:tabs>
                <w:tab w:val="left" w:pos="720"/>
              </w:tabs>
              <w:adjustRightInd w:val="0"/>
              <w:snapToGrid w:val="0"/>
              <w:spacing w:line="240" w:lineRule="atLeast"/>
              <w:ind w:firstLine="420" w:firstLineChars="200"/>
              <w:jc w:val="left"/>
              <w:rPr>
                <w:rFonts w:hint="eastAsia" w:ascii="楷体" w:eastAsia="楷体" w:cs="楷体"/>
                <w:kern w:val="0"/>
                <w:sz w:val="21"/>
                <w:szCs w:val="21"/>
                <w:lang w:val="en-US" w:eastAsia="zh-CN"/>
              </w:rPr>
            </w:pPr>
            <w:r>
              <w:rPr>
                <w:rFonts w:hint="eastAsia" w:ascii="楷体" w:eastAsia="楷体" w:cs="楷体"/>
                <w:kern w:val="0"/>
                <w:sz w:val="21"/>
                <w:szCs w:val="21"/>
                <w:lang w:val="en-US" w:eastAsia="zh-CN"/>
              </w:rPr>
              <w:t>优（X≧90）</w:t>
            </w:r>
          </w:p>
        </w:tc>
        <w:tc>
          <w:tcPr>
            <w:tcW w:w="1320" w:type="dxa"/>
            <w:noWrap w:val="0"/>
            <w:vAlign w:val="center"/>
          </w:tcPr>
          <w:p w14:paraId="4A86D5F7">
            <w:pPr>
              <w:tabs>
                <w:tab w:val="left" w:pos="720"/>
              </w:tabs>
              <w:adjustRightInd w:val="0"/>
              <w:snapToGrid w:val="0"/>
              <w:spacing w:line="240" w:lineRule="atLeast"/>
              <w:ind w:firstLine="420" w:firstLineChars="200"/>
              <w:jc w:val="left"/>
              <w:rPr>
                <w:rFonts w:hint="eastAsia" w:ascii="楷体" w:eastAsia="楷体" w:cs="楷体"/>
                <w:kern w:val="0"/>
                <w:sz w:val="21"/>
                <w:szCs w:val="21"/>
                <w:lang w:val="en-US" w:eastAsia="zh-CN"/>
              </w:rPr>
            </w:pPr>
            <w:r>
              <w:rPr>
                <w:rFonts w:hint="eastAsia" w:ascii="楷体" w:eastAsia="楷体" w:cs="楷体"/>
                <w:kern w:val="0"/>
                <w:sz w:val="21"/>
                <w:szCs w:val="21"/>
                <w:lang w:val="en-US" w:eastAsia="zh-CN"/>
              </w:rPr>
              <w:t>良（80≦X＜90）</w:t>
            </w:r>
          </w:p>
        </w:tc>
        <w:tc>
          <w:tcPr>
            <w:tcW w:w="1302" w:type="dxa"/>
            <w:noWrap w:val="0"/>
            <w:vAlign w:val="center"/>
          </w:tcPr>
          <w:p w14:paraId="07C40838">
            <w:pPr>
              <w:tabs>
                <w:tab w:val="left" w:pos="720"/>
              </w:tabs>
              <w:adjustRightInd w:val="0"/>
              <w:snapToGrid w:val="0"/>
              <w:spacing w:line="240" w:lineRule="atLeast"/>
              <w:ind w:firstLine="420" w:firstLineChars="200"/>
              <w:jc w:val="left"/>
              <w:rPr>
                <w:rFonts w:hint="eastAsia" w:ascii="楷体" w:eastAsia="楷体" w:cs="楷体"/>
                <w:kern w:val="0"/>
                <w:sz w:val="21"/>
                <w:szCs w:val="21"/>
                <w:lang w:val="en-US" w:eastAsia="zh-CN"/>
              </w:rPr>
            </w:pPr>
            <w:r>
              <w:rPr>
                <w:rFonts w:hint="eastAsia" w:ascii="楷体" w:eastAsia="楷体" w:cs="楷体"/>
                <w:kern w:val="0"/>
                <w:sz w:val="21"/>
                <w:szCs w:val="21"/>
                <w:lang w:val="en-US" w:eastAsia="zh-CN"/>
              </w:rPr>
              <w:t>中（70≦X＜80）</w:t>
            </w:r>
          </w:p>
        </w:tc>
        <w:tc>
          <w:tcPr>
            <w:tcW w:w="1263" w:type="dxa"/>
            <w:noWrap w:val="0"/>
            <w:vAlign w:val="center"/>
          </w:tcPr>
          <w:p w14:paraId="288B91F8">
            <w:pPr>
              <w:tabs>
                <w:tab w:val="left" w:pos="720"/>
              </w:tabs>
              <w:adjustRightInd w:val="0"/>
              <w:snapToGrid w:val="0"/>
              <w:spacing w:line="240" w:lineRule="atLeast"/>
              <w:ind w:firstLine="420" w:firstLineChars="200"/>
              <w:jc w:val="left"/>
              <w:rPr>
                <w:rFonts w:hint="eastAsia" w:ascii="楷体" w:eastAsia="楷体" w:cs="楷体"/>
                <w:kern w:val="0"/>
                <w:sz w:val="21"/>
                <w:szCs w:val="21"/>
                <w:lang w:val="en-US" w:eastAsia="zh-CN"/>
              </w:rPr>
            </w:pPr>
            <w:r>
              <w:rPr>
                <w:rFonts w:hint="eastAsia" w:ascii="楷体" w:eastAsia="楷体" w:cs="楷体"/>
                <w:kern w:val="0"/>
                <w:sz w:val="21"/>
                <w:szCs w:val="21"/>
                <w:lang w:val="en-US" w:eastAsia="zh-CN"/>
              </w:rPr>
              <w:t>及格（60≦X＜70）</w:t>
            </w:r>
          </w:p>
        </w:tc>
        <w:tc>
          <w:tcPr>
            <w:tcW w:w="1335" w:type="dxa"/>
            <w:noWrap w:val="0"/>
            <w:vAlign w:val="center"/>
          </w:tcPr>
          <w:p w14:paraId="353386B9">
            <w:pPr>
              <w:tabs>
                <w:tab w:val="left" w:pos="720"/>
              </w:tabs>
              <w:adjustRightInd w:val="0"/>
              <w:snapToGrid w:val="0"/>
              <w:spacing w:line="240" w:lineRule="atLeast"/>
              <w:ind w:firstLine="420" w:firstLineChars="200"/>
              <w:jc w:val="left"/>
              <w:rPr>
                <w:rFonts w:hint="eastAsia" w:ascii="楷体" w:eastAsia="楷体" w:cs="楷体"/>
                <w:kern w:val="0"/>
                <w:sz w:val="21"/>
                <w:szCs w:val="21"/>
                <w:lang w:val="en-US" w:eastAsia="zh-CN"/>
              </w:rPr>
            </w:pPr>
            <w:r>
              <w:rPr>
                <w:rFonts w:hint="eastAsia" w:ascii="楷体" w:eastAsia="楷体" w:cs="楷体"/>
                <w:kern w:val="0"/>
                <w:sz w:val="21"/>
                <w:szCs w:val="21"/>
                <w:lang w:val="en-US" w:eastAsia="zh-CN"/>
              </w:rPr>
              <w:t>不及格（＜60）</w:t>
            </w:r>
          </w:p>
        </w:tc>
      </w:tr>
      <w:tr w14:paraId="12F482BF">
        <w:trPr>
          <w:trHeight w:val="2697" w:hRule="atLeast"/>
          <w:jc w:val="center"/>
        </w:trPr>
        <w:tc>
          <w:tcPr>
            <w:tcW w:w="0" w:type="auto"/>
            <w:vMerge w:val="continue"/>
            <w:noWrap w:val="0"/>
            <w:vAlign w:val="center"/>
          </w:tcPr>
          <w:p w14:paraId="691057CC">
            <w:pPr>
              <w:adjustRightInd w:val="0"/>
              <w:snapToGrid w:val="0"/>
              <w:spacing w:line="240" w:lineRule="atLeast"/>
              <w:jc w:val="center"/>
              <w:rPr>
                <w:rFonts w:ascii="宋体" w:hAnsi="宋体" w:cs="宋体"/>
                <w:color w:val="auto"/>
                <w:sz w:val="24"/>
                <w:szCs w:val="24"/>
              </w:rPr>
            </w:pPr>
          </w:p>
        </w:tc>
        <w:tc>
          <w:tcPr>
            <w:tcW w:w="1674" w:type="dxa"/>
            <w:noWrap w:val="0"/>
            <w:vAlign w:val="top"/>
          </w:tcPr>
          <w:p w14:paraId="6BF0A491">
            <w:pPr>
              <w:tabs>
                <w:tab w:val="left" w:pos="720"/>
              </w:tabs>
              <w:adjustRightInd w:val="0"/>
              <w:snapToGrid w:val="0"/>
              <w:spacing w:line="240" w:lineRule="atLeast"/>
              <w:ind w:firstLine="420" w:firstLineChars="200"/>
              <w:jc w:val="left"/>
              <w:rPr>
                <w:rFonts w:hint="eastAsia" w:ascii="楷体" w:eastAsia="楷体" w:cs="楷体"/>
                <w:kern w:val="0"/>
                <w:sz w:val="21"/>
                <w:szCs w:val="21"/>
                <w:lang w:val="en-US" w:eastAsia="zh-CN"/>
              </w:rPr>
            </w:pPr>
            <w:r>
              <w:rPr>
                <w:rFonts w:hint="eastAsia" w:ascii="楷体" w:eastAsia="楷体" w:cs="楷体"/>
                <w:kern w:val="0"/>
                <w:sz w:val="21"/>
                <w:szCs w:val="21"/>
                <w:lang w:val="en-US" w:eastAsia="zh-CN"/>
              </w:rPr>
              <w:t>课程目标1：</w:t>
            </w:r>
          </w:p>
          <w:p w14:paraId="2415EA02">
            <w:pPr>
              <w:tabs>
                <w:tab w:val="left" w:pos="720"/>
              </w:tabs>
              <w:adjustRightInd w:val="0"/>
              <w:snapToGrid w:val="0"/>
              <w:spacing w:line="240" w:lineRule="atLeast"/>
              <w:ind w:firstLine="420" w:firstLineChars="200"/>
              <w:jc w:val="left"/>
              <w:rPr>
                <w:rFonts w:hint="eastAsia" w:ascii="楷体" w:eastAsia="楷体" w:cs="楷体"/>
                <w:kern w:val="0"/>
                <w:sz w:val="21"/>
                <w:szCs w:val="21"/>
                <w:lang w:val="en-US" w:eastAsia="zh-CN"/>
              </w:rPr>
            </w:pPr>
            <w:r>
              <w:rPr>
                <w:rFonts w:hint="eastAsia" w:ascii="楷体" w:eastAsia="楷体" w:cs="楷体"/>
                <w:kern w:val="0"/>
                <w:sz w:val="21"/>
                <w:szCs w:val="21"/>
                <w:lang w:val="en-US" w:eastAsia="zh-CN"/>
              </w:rPr>
              <w:t>通过毕业汇报演出不同形式来呈现作品，包括声乐、器乐、舞蹈及原创作品演绎、流行音乐等形式。</w:t>
            </w:r>
          </w:p>
        </w:tc>
        <w:tc>
          <w:tcPr>
            <w:tcW w:w="1263" w:type="dxa"/>
            <w:noWrap w:val="0"/>
            <w:vAlign w:val="top"/>
          </w:tcPr>
          <w:p w14:paraId="436732CF">
            <w:pPr>
              <w:tabs>
                <w:tab w:val="left" w:pos="720"/>
              </w:tabs>
              <w:adjustRightInd w:val="0"/>
              <w:snapToGrid w:val="0"/>
              <w:spacing w:line="240" w:lineRule="atLeast"/>
              <w:ind w:firstLine="420" w:firstLineChars="200"/>
              <w:jc w:val="left"/>
              <w:rPr>
                <w:rFonts w:hint="eastAsia" w:ascii="楷体" w:eastAsia="楷体" w:cs="楷体"/>
                <w:kern w:val="0"/>
                <w:sz w:val="21"/>
                <w:szCs w:val="21"/>
                <w:lang w:val="en-US" w:eastAsia="zh-CN"/>
              </w:rPr>
            </w:pPr>
            <w:r>
              <w:rPr>
                <w:rFonts w:hint="eastAsia" w:ascii="楷体" w:eastAsia="楷体" w:cs="楷体"/>
                <w:kern w:val="0"/>
                <w:sz w:val="21"/>
                <w:szCs w:val="21"/>
                <w:lang w:val="en-US" w:eastAsia="zh-CN"/>
              </w:rPr>
              <w:t>能很好地通过毕业汇报演出不同形式来呈现作品，包括声乐、器乐、舞蹈及原创作品演绎、流行音乐等形式。</w:t>
            </w:r>
          </w:p>
        </w:tc>
        <w:tc>
          <w:tcPr>
            <w:tcW w:w="1320" w:type="dxa"/>
            <w:noWrap w:val="0"/>
            <w:vAlign w:val="top"/>
          </w:tcPr>
          <w:p w14:paraId="20050560">
            <w:pPr>
              <w:tabs>
                <w:tab w:val="left" w:pos="720"/>
              </w:tabs>
              <w:adjustRightInd w:val="0"/>
              <w:snapToGrid w:val="0"/>
              <w:spacing w:line="240" w:lineRule="atLeast"/>
              <w:ind w:firstLine="420" w:firstLineChars="200"/>
              <w:jc w:val="left"/>
              <w:rPr>
                <w:rFonts w:hint="eastAsia" w:ascii="楷体" w:eastAsia="楷体" w:cs="楷体"/>
                <w:kern w:val="0"/>
                <w:sz w:val="21"/>
                <w:szCs w:val="21"/>
                <w:lang w:val="en-US" w:eastAsia="zh-CN"/>
              </w:rPr>
            </w:pPr>
            <w:r>
              <w:rPr>
                <w:rFonts w:hint="eastAsia" w:ascii="楷体" w:eastAsia="楷体" w:cs="楷体"/>
                <w:kern w:val="0"/>
                <w:sz w:val="21"/>
                <w:szCs w:val="21"/>
                <w:lang w:val="en-US" w:eastAsia="zh-CN"/>
              </w:rPr>
              <w:t>能较好地通过毕业汇报演出不同形式来呈现作品，包括声乐、器乐、舞蹈及原创作品演绎、流行音乐等形式。</w:t>
            </w:r>
          </w:p>
        </w:tc>
        <w:tc>
          <w:tcPr>
            <w:tcW w:w="1302" w:type="dxa"/>
            <w:noWrap w:val="0"/>
            <w:vAlign w:val="top"/>
          </w:tcPr>
          <w:p w14:paraId="356EF643">
            <w:pPr>
              <w:tabs>
                <w:tab w:val="left" w:pos="720"/>
              </w:tabs>
              <w:adjustRightInd w:val="0"/>
              <w:snapToGrid w:val="0"/>
              <w:spacing w:line="240" w:lineRule="atLeast"/>
              <w:ind w:firstLine="420" w:firstLineChars="200"/>
              <w:jc w:val="left"/>
              <w:rPr>
                <w:rFonts w:hint="eastAsia" w:ascii="楷体" w:eastAsia="楷体" w:cs="楷体"/>
                <w:kern w:val="0"/>
                <w:sz w:val="21"/>
                <w:szCs w:val="21"/>
                <w:lang w:val="en-US" w:eastAsia="zh-CN"/>
              </w:rPr>
            </w:pPr>
            <w:r>
              <w:rPr>
                <w:rFonts w:hint="eastAsia" w:ascii="楷体" w:eastAsia="楷体" w:cs="楷体"/>
                <w:kern w:val="0"/>
                <w:sz w:val="21"/>
                <w:szCs w:val="21"/>
                <w:lang w:val="en-US" w:eastAsia="zh-CN"/>
              </w:rPr>
              <w:t>能通过毕业汇报演出不同形式来呈现作品，包括声乐、器乐、舞蹈及原创作品演绎、流行音乐等形式。</w:t>
            </w:r>
          </w:p>
        </w:tc>
        <w:tc>
          <w:tcPr>
            <w:tcW w:w="1263" w:type="dxa"/>
            <w:noWrap w:val="0"/>
            <w:vAlign w:val="top"/>
          </w:tcPr>
          <w:p w14:paraId="202060A7">
            <w:pPr>
              <w:tabs>
                <w:tab w:val="left" w:pos="720"/>
              </w:tabs>
              <w:adjustRightInd w:val="0"/>
              <w:snapToGrid w:val="0"/>
              <w:spacing w:line="240" w:lineRule="atLeast"/>
              <w:ind w:firstLine="420" w:firstLineChars="200"/>
              <w:jc w:val="left"/>
              <w:rPr>
                <w:rFonts w:hint="eastAsia" w:ascii="楷体" w:eastAsia="楷体" w:cs="楷体"/>
                <w:kern w:val="0"/>
                <w:sz w:val="21"/>
                <w:szCs w:val="21"/>
                <w:lang w:val="en-US" w:eastAsia="zh-CN"/>
              </w:rPr>
            </w:pPr>
            <w:r>
              <w:rPr>
                <w:rFonts w:hint="eastAsia" w:ascii="楷体" w:eastAsia="楷体" w:cs="楷体"/>
                <w:kern w:val="0"/>
                <w:sz w:val="21"/>
                <w:szCs w:val="21"/>
                <w:lang w:val="en-US" w:eastAsia="zh-CN"/>
              </w:rPr>
              <w:t>初步通过毕业汇报演出不同形式来呈现作品，包括声乐、器乐、舞蹈及原创作品演绎、流行音乐等形式。</w:t>
            </w:r>
          </w:p>
        </w:tc>
        <w:tc>
          <w:tcPr>
            <w:tcW w:w="1335" w:type="dxa"/>
            <w:noWrap w:val="0"/>
            <w:vAlign w:val="top"/>
          </w:tcPr>
          <w:p w14:paraId="47A7E069">
            <w:pPr>
              <w:tabs>
                <w:tab w:val="left" w:pos="720"/>
              </w:tabs>
              <w:adjustRightInd w:val="0"/>
              <w:snapToGrid w:val="0"/>
              <w:spacing w:line="240" w:lineRule="atLeast"/>
              <w:ind w:firstLine="420" w:firstLineChars="200"/>
              <w:jc w:val="left"/>
              <w:rPr>
                <w:rFonts w:hint="eastAsia" w:ascii="楷体" w:eastAsia="楷体" w:cs="楷体"/>
                <w:kern w:val="0"/>
                <w:sz w:val="21"/>
                <w:szCs w:val="21"/>
                <w:lang w:val="en-US" w:eastAsia="zh-CN"/>
              </w:rPr>
            </w:pPr>
            <w:r>
              <w:rPr>
                <w:rFonts w:hint="eastAsia" w:ascii="楷体" w:eastAsia="楷体" w:cs="楷体"/>
                <w:kern w:val="0"/>
                <w:sz w:val="21"/>
                <w:szCs w:val="21"/>
                <w:lang w:val="en-US" w:eastAsia="zh-CN"/>
              </w:rPr>
              <w:t>未能通过毕业汇报演出不同形式来呈现作品，包括声乐、器乐、舞蹈及原创作品演绎、流行音乐等形式。</w:t>
            </w:r>
          </w:p>
        </w:tc>
      </w:tr>
      <w:tr w14:paraId="1DE538FB">
        <w:trPr>
          <w:trHeight w:val="416" w:hRule="atLeast"/>
          <w:jc w:val="center"/>
        </w:trPr>
        <w:tc>
          <w:tcPr>
            <w:tcW w:w="0" w:type="auto"/>
            <w:vMerge w:val="continue"/>
            <w:noWrap w:val="0"/>
            <w:vAlign w:val="center"/>
          </w:tcPr>
          <w:p w14:paraId="592C0FA7">
            <w:pPr>
              <w:adjustRightInd w:val="0"/>
              <w:snapToGrid w:val="0"/>
              <w:spacing w:line="240" w:lineRule="atLeast"/>
              <w:jc w:val="center"/>
              <w:rPr>
                <w:rFonts w:ascii="宋体" w:hAnsi="宋体" w:cs="宋体"/>
                <w:color w:val="auto"/>
                <w:sz w:val="24"/>
                <w:szCs w:val="24"/>
              </w:rPr>
            </w:pPr>
          </w:p>
        </w:tc>
        <w:tc>
          <w:tcPr>
            <w:tcW w:w="1674" w:type="dxa"/>
            <w:noWrap w:val="0"/>
            <w:vAlign w:val="top"/>
          </w:tcPr>
          <w:p w14:paraId="3E2F362D">
            <w:pPr>
              <w:tabs>
                <w:tab w:val="left" w:pos="720"/>
              </w:tabs>
              <w:adjustRightInd w:val="0"/>
              <w:snapToGrid w:val="0"/>
              <w:spacing w:line="240" w:lineRule="atLeast"/>
              <w:ind w:firstLine="420" w:firstLineChars="200"/>
              <w:jc w:val="left"/>
              <w:rPr>
                <w:rFonts w:hint="eastAsia" w:ascii="楷体" w:eastAsia="楷体" w:cs="楷体"/>
                <w:kern w:val="0"/>
                <w:sz w:val="21"/>
                <w:szCs w:val="21"/>
                <w:lang w:val="en-US" w:eastAsia="zh-CN"/>
              </w:rPr>
            </w:pPr>
            <w:r>
              <w:rPr>
                <w:rFonts w:hint="eastAsia" w:ascii="楷体" w:eastAsia="楷体" w:cs="楷体"/>
                <w:kern w:val="0"/>
                <w:sz w:val="21"/>
                <w:szCs w:val="21"/>
                <w:lang w:val="en-US" w:eastAsia="zh-CN"/>
              </w:rPr>
              <w:t>课程目标2：</w:t>
            </w:r>
          </w:p>
          <w:p w14:paraId="4C1D0D48">
            <w:pPr>
              <w:tabs>
                <w:tab w:val="left" w:pos="720"/>
              </w:tabs>
              <w:adjustRightInd w:val="0"/>
              <w:snapToGrid w:val="0"/>
              <w:spacing w:line="240" w:lineRule="atLeast"/>
              <w:ind w:firstLine="420" w:firstLineChars="200"/>
              <w:jc w:val="left"/>
              <w:rPr>
                <w:rFonts w:hint="eastAsia" w:ascii="楷体" w:eastAsia="楷体" w:cs="楷体"/>
                <w:kern w:val="0"/>
                <w:sz w:val="21"/>
                <w:szCs w:val="21"/>
                <w:lang w:val="en-US" w:eastAsia="zh-CN"/>
              </w:rPr>
            </w:pPr>
            <w:r>
              <w:rPr>
                <w:rFonts w:hint="eastAsia" w:ascii="楷体" w:eastAsia="楷体" w:cs="楷体"/>
                <w:kern w:val="0"/>
                <w:sz w:val="21"/>
                <w:szCs w:val="21"/>
                <w:lang w:val="en-US" w:eastAsia="zh-CN"/>
              </w:rPr>
              <w:t>掌握演出筹备的相关知识，以及合伴奏，通过实践对艺术作品独特的见解，具有一定地专业修养和独立思考能力。</w:t>
            </w:r>
          </w:p>
        </w:tc>
        <w:tc>
          <w:tcPr>
            <w:tcW w:w="1263" w:type="dxa"/>
            <w:noWrap w:val="0"/>
            <w:vAlign w:val="top"/>
          </w:tcPr>
          <w:p w14:paraId="0FCE4C50">
            <w:pPr>
              <w:tabs>
                <w:tab w:val="left" w:pos="720"/>
              </w:tabs>
              <w:adjustRightInd w:val="0"/>
              <w:snapToGrid w:val="0"/>
              <w:spacing w:line="240" w:lineRule="atLeast"/>
              <w:ind w:firstLine="420" w:firstLineChars="200"/>
              <w:jc w:val="left"/>
              <w:rPr>
                <w:rFonts w:hint="eastAsia" w:ascii="楷体" w:eastAsia="楷体" w:cs="楷体"/>
                <w:kern w:val="0"/>
                <w:sz w:val="21"/>
                <w:szCs w:val="21"/>
                <w:lang w:val="en-US" w:eastAsia="zh-CN"/>
              </w:rPr>
            </w:pPr>
            <w:r>
              <w:rPr>
                <w:rFonts w:hint="eastAsia" w:ascii="楷体" w:eastAsia="楷体" w:cs="楷体"/>
                <w:kern w:val="0"/>
                <w:sz w:val="21"/>
                <w:szCs w:val="21"/>
                <w:lang w:val="en-US" w:eastAsia="zh-CN"/>
              </w:rPr>
              <w:t>能很好地掌握演出筹备的相关知识，以及合伴奏，通过实践对艺术作品独特的见解，具有很好地专业修养和独立思考能力。</w:t>
            </w:r>
          </w:p>
        </w:tc>
        <w:tc>
          <w:tcPr>
            <w:tcW w:w="1320" w:type="dxa"/>
            <w:noWrap w:val="0"/>
            <w:vAlign w:val="top"/>
          </w:tcPr>
          <w:p w14:paraId="39294138">
            <w:pPr>
              <w:tabs>
                <w:tab w:val="left" w:pos="720"/>
              </w:tabs>
              <w:adjustRightInd w:val="0"/>
              <w:snapToGrid w:val="0"/>
              <w:spacing w:line="240" w:lineRule="atLeast"/>
              <w:ind w:firstLine="420" w:firstLineChars="200"/>
              <w:jc w:val="left"/>
              <w:rPr>
                <w:rFonts w:hint="eastAsia" w:ascii="楷体" w:eastAsia="楷体" w:cs="楷体"/>
                <w:kern w:val="0"/>
                <w:sz w:val="21"/>
                <w:szCs w:val="21"/>
                <w:lang w:val="en-US" w:eastAsia="zh-CN"/>
              </w:rPr>
            </w:pPr>
            <w:r>
              <w:rPr>
                <w:rFonts w:hint="eastAsia" w:ascii="楷体" w:eastAsia="楷体" w:cs="楷体"/>
                <w:kern w:val="0"/>
                <w:sz w:val="21"/>
                <w:szCs w:val="21"/>
                <w:lang w:val="en-US" w:eastAsia="zh-CN"/>
              </w:rPr>
              <w:t>能较好地掌握演出筹备的相关知识，以及合伴奏，通过实践对艺术作品独特的见解，具有较好地专业修养和独立思考能力。</w:t>
            </w:r>
          </w:p>
        </w:tc>
        <w:tc>
          <w:tcPr>
            <w:tcW w:w="1302" w:type="dxa"/>
            <w:noWrap w:val="0"/>
            <w:vAlign w:val="top"/>
          </w:tcPr>
          <w:p w14:paraId="24C61E03">
            <w:pPr>
              <w:tabs>
                <w:tab w:val="left" w:pos="720"/>
              </w:tabs>
              <w:adjustRightInd w:val="0"/>
              <w:snapToGrid w:val="0"/>
              <w:spacing w:line="240" w:lineRule="atLeast"/>
              <w:ind w:firstLine="420" w:firstLineChars="200"/>
              <w:jc w:val="left"/>
              <w:rPr>
                <w:rFonts w:hint="eastAsia" w:ascii="楷体" w:eastAsia="楷体" w:cs="楷体"/>
                <w:kern w:val="0"/>
                <w:sz w:val="21"/>
                <w:szCs w:val="21"/>
                <w:lang w:val="en-US" w:eastAsia="zh-CN"/>
              </w:rPr>
            </w:pPr>
            <w:r>
              <w:rPr>
                <w:rFonts w:hint="eastAsia" w:ascii="楷体" w:eastAsia="楷体" w:cs="楷体"/>
                <w:kern w:val="0"/>
                <w:sz w:val="21"/>
                <w:szCs w:val="21"/>
                <w:lang w:val="en-US" w:eastAsia="zh-CN"/>
              </w:rPr>
              <w:t>能掌握演出筹备的相关知识，以及合伴奏，通过实践对艺术作品独特的见解，具有一定地专业修养和独立思考能力。</w:t>
            </w:r>
          </w:p>
        </w:tc>
        <w:tc>
          <w:tcPr>
            <w:tcW w:w="1263" w:type="dxa"/>
            <w:noWrap w:val="0"/>
            <w:vAlign w:val="top"/>
          </w:tcPr>
          <w:p w14:paraId="0CDD3DCA">
            <w:pPr>
              <w:tabs>
                <w:tab w:val="left" w:pos="720"/>
              </w:tabs>
              <w:adjustRightInd w:val="0"/>
              <w:snapToGrid w:val="0"/>
              <w:spacing w:line="240" w:lineRule="atLeast"/>
              <w:ind w:firstLine="420" w:firstLineChars="200"/>
              <w:jc w:val="left"/>
              <w:rPr>
                <w:rFonts w:hint="eastAsia" w:ascii="楷体" w:eastAsia="楷体" w:cs="楷体"/>
                <w:kern w:val="0"/>
                <w:sz w:val="21"/>
                <w:szCs w:val="21"/>
                <w:lang w:val="en-US" w:eastAsia="zh-CN"/>
              </w:rPr>
            </w:pPr>
            <w:r>
              <w:rPr>
                <w:rFonts w:hint="eastAsia" w:ascii="楷体" w:eastAsia="楷体" w:cs="楷体"/>
                <w:kern w:val="0"/>
                <w:sz w:val="21"/>
                <w:szCs w:val="21"/>
                <w:lang w:val="en-US" w:eastAsia="zh-CN"/>
              </w:rPr>
              <w:t>初步掌握演出筹备的相关知识，以及合伴奏，通过实践对艺术作品独特的见解，具备专业修养和独立思考能力。</w:t>
            </w:r>
          </w:p>
        </w:tc>
        <w:tc>
          <w:tcPr>
            <w:tcW w:w="1335" w:type="dxa"/>
            <w:noWrap w:val="0"/>
            <w:vAlign w:val="top"/>
          </w:tcPr>
          <w:p w14:paraId="239D0517">
            <w:pPr>
              <w:tabs>
                <w:tab w:val="left" w:pos="720"/>
              </w:tabs>
              <w:adjustRightInd w:val="0"/>
              <w:snapToGrid w:val="0"/>
              <w:spacing w:line="240" w:lineRule="atLeast"/>
              <w:ind w:firstLine="420" w:firstLineChars="200"/>
              <w:jc w:val="left"/>
              <w:rPr>
                <w:rFonts w:hint="eastAsia" w:ascii="楷体" w:eastAsia="楷体" w:cs="楷体"/>
                <w:kern w:val="0"/>
                <w:sz w:val="21"/>
                <w:szCs w:val="21"/>
                <w:lang w:val="en-US" w:eastAsia="zh-CN"/>
              </w:rPr>
            </w:pPr>
            <w:r>
              <w:rPr>
                <w:rFonts w:hint="eastAsia" w:ascii="楷体" w:eastAsia="楷体" w:cs="楷体"/>
                <w:kern w:val="0"/>
                <w:sz w:val="21"/>
                <w:szCs w:val="21"/>
                <w:lang w:val="en-US" w:eastAsia="zh-CN"/>
              </w:rPr>
              <w:t>未能掌握演出筹备的相关知识，以及合伴奏，通过实践对艺术作品独特的见解，在专业修养和独立思考能力不足。</w:t>
            </w:r>
          </w:p>
        </w:tc>
      </w:tr>
      <w:tr w14:paraId="428AB4C2">
        <w:trPr>
          <w:trHeight w:val="3227" w:hRule="atLeast"/>
          <w:jc w:val="center"/>
        </w:trPr>
        <w:tc>
          <w:tcPr>
            <w:tcW w:w="0" w:type="auto"/>
            <w:vMerge w:val="continue"/>
            <w:noWrap w:val="0"/>
            <w:vAlign w:val="center"/>
          </w:tcPr>
          <w:p w14:paraId="3695C3D6">
            <w:pPr>
              <w:adjustRightInd w:val="0"/>
              <w:snapToGrid w:val="0"/>
              <w:spacing w:line="240" w:lineRule="atLeast"/>
              <w:jc w:val="center"/>
              <w:rPr>
                <w:rFonts w:ascii="宋体" w:hAnsi="宋体" w:cs="宋体"/>
                <w:color w:val="auto"/>
                <w:sz w:val="24"/>
                <w:szCs w:val="24"/>
              </w:rPr>
            </w:pPr>
          </w:p>
        </w:tc>
        <w:tc>
          <w:tcPr>
            <w:tcW w:w="1674" w:type="dxa"/>
            <w:noWrap w:val="0"/>
            <w:vAlign w:val="top"/>
          </w:tcPr>
          <w:p w14:paraId="5A96CB34">
            <w:pPr>
              <w:tabs>
                <w:tab w:val="left" w:pos="720"/>
              </w:tabs>
              <w:adjustRightInd w:val="0"/>
              <w:snapToGrid w:val="0"/>
              <w:spacing w:line="240" w:lineRule="atLeast"/>
              <w:ind w:firstLine="420" w:firstLineChars="200"/>
              <w:jc w:val="left"/>
              <w:rPr>
                <w:rFonts w:hint="eastAsia" w:ascii="楷体" w:eastAsia="楷体" w:cs="楷体"/>
                <w:kern w:val="0"/>
                <w:sz w:val="21"/>
                <w:szCs w:val="21"/>
                <w:lang w:val="en-US" w:eastAsia="zh-CN"/>
              </w:rPr>
            </w:pPr>
            <w:r>
              <w:rPr>
                <w:rFonts w:hint="eastAsia" w:ascii="楷体" w:eastAsia="楷体" w:cs="楷体"/>
                <w:kern w:val="0"/>
                <w:sz w:val="21"/>
                <w:szCs w:val="21"/>
                <w:lang w:val="en-US" w:eastAsia="zh-CN"/>
              </w:rPr>
              <w:t>课程目标3：</w:t>
            </w:r>
          </w:p>
          <w:p w14:paraId="2FB6EC06">
            <w:pPr>
              <w:tabs>
                <w:tab w:val="left" w:pos="720"/>
              </w:tabs>
              <w:adjustRightInd w:val="0"/>
              <w:snapToGrid w:val="0"/>
              <w:spacing w:line="240" w:lineRule="atLeast"/>
              <w:ind w:firstLine="420" w:firstLineChars="200"/>
              <w:jc w:val="left"/>
              <w:rPr>
                <w:rFonts w:hint="eastAsia" w:ascii="楷体" w:eastAsia="楷体" w:cs="楷体"/>
                <w:kern w:val="0"/>
                <w:sz w:val="21"/>
                <w:szCs w:val="21"/>
                <w:lang w:val="en-US" w:eastAsia="zh-CN"/>
              </w:rPr>
            </w:pPr>
            <w:r>
              <w:rPr>
                <w:rFonts w:hint="eastAsia" w:ascii="楷体" w:eastAsia="楷体" w:cs="楷体"/>
                <w:kern w:val="0"/>
                <w:sz w:val="21"/>
                <w:szCs w:val="21"/>
                <w:lang w:val="en-US" w:eastAsia="zh-CN"/>
              </w:rPr>
              <w:t>节目不断打磨过程中强化学生团队协作能力、沟通能力，并且在相互沟通中夯实学生对自身专业知识体系的架构，以及组织、策划节目的能力，同时提升了学生的音乐文化素养。</w:t>
            </w:r>
          </w:p>
        </w:tc>
        <w:tc>
          <w:tcPr>
            <w:tcW w:w="1263" w:type="dxa"/>
            <w:noWrap w:val="0"/>
            <w:vAlign w:val="top"/>
          </w:tcPr>
          <w:p w14:paraId="7F5B50C5">
            <w:pPr>
              <w:tabs>
                <w:tab w:val="left" w:pos="720"/>
              </w:tabs>
              <w:adjustRightInd w:val="0"/>
              <w:snapToGrid w:val="0"/>
              <w:spacing w:line="240" w:lineRule="atLeast"/>
              <w:ind w:firstLine="420" w:firstLineChars="200"/>
              <w:jc w:val="left"/>
              <w:rPr>
                <w:rFonts w:hint="eastAsia" w:ascii="楷体" w:eastAsia="楷体" w:cs="楷体"/>
                <w:kern w:val="0"/>
                <w:sz w:val="21"/>
                <w:szCs w:val="21"/>
                <w:lang w:val="en-US" w:eastAsia="zh-CN"/>
              </w:rPr>
            </w:pPr>
            <w:r>
              <w:rPr>
                <w:rFonts w:hint="eastAsia" w:ascii="楷体" w:eastAsia="楷体" w:cs="楷体"/>
                <w:kern w:val="0"/>
                <w:sz w:val="21"/>
                <w:szCs w:val="21"/>
                <w:lang w:val="en-US" w:eastAsia="zh-CN"/>
              </w:rPr>
              <w:t>能很好地通过节目不断打磨过程中强化学生团队协作能力、沟通能力，且在相互沟通中能很好地组织、策划节目的能力。</w:t>
            </w:r>
          </w:p>
        </w:tc>
        <w:tc>
          <w:tcPr>
            <w:tcW w:w="1320" w:type="dxa"/>
            <w:noWrap w:val="0"/>
            <w:vAlign w:val="top"/>
          </w:tcPr>
          <w:p w14:paraId="389C7A1D">
            <w:pPr>
              <w:tabs>
                <w:tab w:val="left" w:pos="720"/>
              </w:tabs>
              <w:adjustRightInd w:val="0"/>
              <w:snapToGrid w:val="0"/>
              <w:spacing w:line="240" w:lineRule="atLeast"/>
              <w:ind w:firstLine="420" w:firstLineChars="200"/>
              <w:jc w:val="left"/>
              <w:rPr>
                <w:rFonts w:hint="eastAsia" w:ascii="楷体" w:eastAsia="楷体" w:cs="楷体"/>
                <w:kern w:val="0"/>
                <w:sz w:val="21"/>
                <w:szCs w:val="21"/>
                <w:lang w:val="en-US" w:eastAsia="zh-CN"/>
              </w:rPr>
            </w:pPr>
            <w:r>
              <w:rPr>
                <w:rFonts w:hint="eastAsia" w:ascii="楷体" w:eastAsia="楷体" w:cs="楷体"/>
                <w:kern w:val="0"/>
                <w:sz w:val="21"/>
                <w:szCs w:val="21"/>
                <w:lang w:val="en-US" w:eastAsia="zh-CN"/>
              </w:rPr>
              <w:t>能较好地通过节目不断打磨过程中强化学生团队协作能力、沟通能力，且在相互沟通中能较好地组织、策划节目的能力。</w:t>
            </w:r>
          </w:p>
        </w:tc>
        <w:tc>
          <w:tcPr>
            <w:tcW w:w="1302" w:type="dxa"/>
            <w:noWrap w:val="0"/>
            <w:vAlign w:val="top"/>
          </w:tcPr>
          <w:p w14:paraId="00EE8A21">
            <w:pPr>
              <w:tabs>
                <w:tab w:val="left" w:pos="720"/>
              </w:tabs>
              <w:adjustRightInd w:val="0"/>
              <w:snapToGrid w:val="0"/>
              <w:spacing w:line="240" w:lineRule="atLeast"/>
              <w:ind w:firstLine="420" w:firstLineChars="200"/>
              <w:jc w:val="left"/>
              <w:rPr>
                <w:rFonts w:hint="eastAsia" w:ascii="楷体" w:eastAsia="楷体" w:cs="楷体"/>
                <w:kern w:val="0"/>
                <w:sz w:val="21"/>
                <w:szCs w:val="21"/>
                <w:lang w:val="en-US" w:eastAsia="zh-CN"/>
              </w:rPr>
            </w:pPr>
            <w:r>
              <w:rPr>
                <w:rFonts w:hint="eastAsia" w:ascii="楷体" w:eastAsia="楷体" w:cs="楷体"/>
                <w:kern w:val="0"/>
                <w:sz w:val="21"/>
                <w:szCs w:val="21"/>
                <w:lang w:val="en-US" w:eastAsia="zh-CN"/>
              </w:rPr>
              <w:t>能通过节目不断打磨过程中强化学生团队协作能力、沟通能力，且在相互沟通中具有一定地组织、策划节目的能力。</w:t>
            </w:r>
          </w:p>
        </w:tc>
        <w:tc>
          <w:tcPr>
            <w:tcW w:w="1263" w:type="dxa"/>
            <w:noWrap w:val="0"/>
            <w:vAlign w:val="top"/>
          </w:tcPr>
          <w:p w14:paraId="445E20A2">
            <w:pPr>
              <w:tabs>
                <w:tab w:val="left" w:pos="720"/>
              </w:tabs>
              <w:adjustRightInd w:val="0"/>
              <w:snapToGrid w:val="0"/>
              <w:spacing w:line="240" w:lineRule="atLeast"/>
              <w:ind w:firstLine="420" w:firstLineChars="200"/>
              <w:jc w:val="left"/>
              <w:rPr>
                <w:rFonts w:hint="eastAsia" w:ascii="楷体" w:eastAsia="楷体" w:cs="楷体"/>
                <w:kern w:val="0"/>
                <w:sz w:val="21"/>
                <w:szCs w:val="21"/>
                <w:lang w:val="en-US" w:eastAsia="zh-CN"/>
              </w:rPr>
            </w:pPr>
            <w:r>
              <w:rPr>
                <w:rFonts w:hint="eastAsia" w:ascii="楷体" w:eastAsia="楷体" w:cs="楷体"/>
                <w:kern w:val="0"/>
                <w:sz w:val="21"/>
                <w:szCs w:val="21"/>
                <w:lang w:val="en-US" w:eastAsia="zh-CN"/>
              </w:rPr>
              <w:t>初步能通过节目不断打磨过程中强化学生团队协作能力、沟通能力，且在相互沟通中能组织、策划节目的能力。</w:t>
            </w:r>
          </w:p>
        </w:tc>
        <w:tc>
          <w:tcPr>
            <w:tcW w:w="1335" w:type="dxa"/>
            <w:noWrap w:val="0"/>
            <w:vAlign w:val="top"/>
          </w:tcPr>
          <w:p w14:paraId="11EB0C1F">
            <w:pPr>
              <w:tabs>
                <w:tab w:val="left" w:pos="720"/>
              </w:tabs>
              <w:adjustRightInd w:val="0"/>
              <w:snapToGrid w:val="0"/>
              <w:spacing w:line="240" w:lineRule="atLeast"/>
              <w:ind w:firstLine="420" w:firstLineChars="200"/>
              <w:jc w:val="left"/>
              <w:rPr>
                <w:rFonts w:hint="eastAsia" w:ascii="楷体" w:eastAsia="楷体" w:cs="楷体"/>
                <w:kern w:val="0"/>
                <w:sz w:val="21"/>
                <w:szCs w:val="21"/>
                <w:lang w:val="en-US" w:eastAsia="zh-CN"/>
              </w:rPr>
            </w:pPr>
            <w:r>
              <w:rPr>
                <w:rFonts w:hint="eastAsia" w:ascii="楷体" w:eastAsia="楷体" w:cs="楷体"/>
                <w:kern w:val="0"/>
                <w:sz w:val="21"/>
                <w:szCs w:val="21"/>
                <w:lang w:val="en-US" w:eastAsia="zh-CN"/>
              </w:rPr>
              <w:t>未能通过节目不断打磨过程中强化学生团队协作能力、沟通能力，且在相互沟通中地组织、策划节目的能力不足。</w:t>
            </w:r>
          </w:p>
        </w:tc>
      </w:tr>
    </w:tbl>
    <w:p w14:paraId="76D8A381">
      <w:pPr>
        <w:rPr>
          <w:sz w:val="2"/>
          <w:szCs w:val="2"/>
        </w:rPr>
        <w:sectPr>
          <w:headerReference r:id="rId139" w:type="default"/>
          <w:footerReference r:id="rId140" w:type="default"/>
          <w:pgSz w:w="11906" w:h="16838"/>
          <w:pgMar w:top="1440" w:right="1800" w:bottom="1440" w:left="1800" w:header="851" w:footer="992" w:gutter="0"/>
          <w:cols w:space="425" w:num="1"/>
          <w:docGrid w:type="lines" w:linePitch="312" w:charSpace="0"/>
        </w:sectPr>
      </w:pPr>
    </w:p>
    <w:p w14:paraId="0D631168">
      <w:pPr>
        <w:pageBreakBefore w:val="0"/>
        <w:kinsoku/>
        <w:overflowPunct/>
        <w:topLinePunct w:val="0"/>
        <w:bidi w:val="0"/>
        <w:adjustRightInd w:val="0"/>
        <w:snapToGrid w:val="0"/>
        <w:spacing w:line="240" w:lineRule="auto"/>
        <w:jc w:val="center"/>
        <w:rPr>
          <w:rFonts w:hint="eastAsia" w:ascii="微软雅黑" w:eastAsia="微软雅黑"/>
          <w:sz w:val="44"/>
          <w:szCs w:val="44"/>
        </w:rPr>
      </w:pPr>
      <w:r>
        <w:rPr>
          <w:rFonts w:hint="eastAsia" w:ascii="微软雅黑" w:eastAsia="微软雅黑"/>
          <w:sz w:val="44"/>
          <w:szCs w:val="44"/>
        </w:rPr>
        <w:t>三明学院音乐学（音乐教育）专业</w:t>
      </w:r>
    </w:p>
    <w:p w14:paraId="212CDDEC">
      <w:pPr>
        <w:pStyle w:val="2"/>
        <w:pageBreakBefore w:val="0"/>
        <w:kinsoku/>
        <w:overflowPunct/>
        <w:topLinePunct w:val="0"/>
        <w:bidi w:val="0"/>
        <w:spacing w:before="0" w:beforeAutospacing="0" w:after="0" w:afterAutospacing="0" w:line="240" w:lineRule="auto"/>
        <w:jc w:val="center"/>
        <w:rPr>
          <w:rFonts w:hint="eastAsia" w:ascii="微软雅黑" w:eastAsia="微软雅黑"/>
          <w:b w:val="0"/>
          <w:bCs w:val="0"/>
          <w:sz w:val="28"/>
          <w:szCs w:val="28"/>
        </w:rPr>
      </w:pPr>
      <w:bookmarkStart w:id="226" w:name="_Toc84465659"/>
      <w:bookmarkStart w:id="227" w:name="_Toc548859964"/>
      <w:bookmarkStart w:id="228" w:name="_Toc286762039"/>
      <w:bookmarkStart w:id="229" w:name="_Toc84465685"/>
      <w:r>
        <w:rPr>
          <w:rFonts w:hint="eastAsia" w:ascii="微软雅黑" w:eastAsia="微软雅黑"/>
          <w:b w:val="0"/>
          <w:bCs w:val="0"/>
          <w:sz w:val="44"/>
          <w:szCs w:val="44"/>
        </w:rPr>
        <w:t>《毕业论文》课程教学大纲</w:t>
      </w:r>
      <w:bookmarkEnd w:id="226"/>
      <w:bookmarkEnd w:id="227"/>
      <w:bookmarkEnd w:id="228"/>
    </w:p>
    <w:tbl>
      <w:tblPr>
        <w:tblStyle w:val="22"/>
        <w:tblW w:w="9146" w:type="dxa"/>
        <w:tblInd w:w="-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251"/>
        <w:gridCol w:w="1278"/>
        <w:gridCol w:w="301"/>
        <w:gridCol w:w="1579"/>
        <w:gridCol w:w="829"/>
        <w:gridCol w:w="750"/>
        <w:gridCol w:w="176"/>
        <w:gridCol w:w="900"/>
        <w:gridCol w:w="503"/>
        <w:gridCol w:w="310"/>
        <w:gridCol w:w="696"/>
        <w:gridCol w:w="573"/>
      </w:tblGrid>
      <w:tr w14:paraId="1DF95E27">
        <w:trPr>
          <w:trHeight w:val="624" w:hRule="atLeast"/>
        </w:trPr>
        <w:tc>
          <w:tcPr>
            <w:tcW w:w="1251" w:type="dxa"/>
            <w:tcBorders>
              <w:top w:val="single" w:color="auto" w:sz="4" w:space="0"/>
              <w:left w:val="single" w:color="auto" w:sz="4" w:space="0"/>
              <w:bottom w:val="single" w:color="auto" w:sz="4" w:space="0"/>
              <w:right w:val="single" w:color="auto" w:sz="4" w:space="0"/>
            </w:tcBorders>
            <w:noWrap w:val="0"/>
            <w:vAlign w:val="center"/>
          </w:tcPr>
          <w:p w14:paraId="2F300C0B">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课程名称</w:t>
            </w:r>
          </w:p>
        </w:tc>
        <w:tc>
          <w:tcPr>
            <w:tcW w:w="4737" w:type="dxa"/>
            <w:gridSpan w:val="5"/>
            <w:tcBorders>
              <w:top w:val="single" w:color="auto" w:sz="4" w:space="0"/>
              <w:left w:val="single" w:color="auto" w:sz="4" w:space="0"/>
              <w:bottom w:val="single" w:color="auto" w:sz="4" w:space="0"/>
              <w:right w:val="single" w:color="auto" w:sz="4" w:space="0"/>
            </w:tcBorders>
            <w:noWrap w:val="0"/>
            <w:vAlign w:val="center"/>
          </w:tcPr>
          <w:p w14:paraId="6F3454E9">
            <w:pPr>
              <w:pageBreakBefore w:val="0"/>
              <w:kinsoku/>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《毕业论文》</w:t>
            </w:r>
          </w:p>
        </w:tc>
        <w:tc>
          <w:tcPr>
            <w:tcW w:w="1579" w:type="dxa"/>
            <w:gridSpan w:val="3"/>
            <w:tcBorders>
              <w:top w:val="single" w:color="auto" w:sz="4" w:space="0"/>
              <w:left w:val="single" w:color="auto" w:sz="4" w:space="0"/>
              <w:bottom w:val="single" w:color="auto" w:sz="4" w:space="0"/>
              <w:right w:val="single" w:color="auto" w:sz="4" w:space="0"/>
            </w:tcBorders>
            <w:noWrap w:val="0"/>
            <w:vAlign w:val="center"/>
          </w:tcPr>
          <w:p w14:paraId="5564AACE">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课程代码</w:t>
            </w:r>
          </w:p>
        </w:tc>
        <w:tc>
          <w:tcPr>
            <w:tcW w:w="1579" w:type="dxa"/>
            <w:gridSpan w:val="3"/>
            <w:tcBorders>
              <w:top w:val="single" w:color="auto" w:sz="4" w:space="0"/>
              <w:left w:val="single" w:color="auto" w:sz="4" w:space="0"/>
              <w:bottom w:val="single" w:color="auto" w:sz="4" w:space="0"/>
              <w:right w:val="single" w:color="auto" w:sz="4" w:space="0"/>
            </w:tcBorders>
            <w:noWrap w:val="0"/>
            <w:vAlign w:val="center"/>
          </w:tcPr>
          <w:p w14:paraId="0128C2E1">
            <w:pPr>
              <w:pageBreakBefore w:val="0"/>
              <w:kinsoku/>
              <w:overflowPunct/>
              <w:topLinePunct w:val="0"/>
              <w:bidi w:val="0"/>
              <w:adjustRightInd w:val="0"/>
              <w:snapToGrid w:val="0"/>
              <w:spacing w:line="240" w:lineRule="auto"/>
              <w:jc w:val="center"/>
              <w:rPr>
                <w:rFonts w:hint="default" w:ascii="仿宋" w:eastAsia="仿宋" w:cs="仿宋"/>
                <w:color w:val="000000"/>
                <w:sz w:val="24"/>
                <w:szCs w:val="24"/>
                <w:lang w:val="en-US" w:eastAsia="zh-CN" w:bidi="ar-SA"/>
              </w:rPr>
            </w:pPr>
            <w:r>
              <w:rPr>
                <w:rFonts w:hint="eastAsia" w:ascii="仿宋" w:eastAsia="仿宋" w:cs="仿宋"/>
                <w:sz w:val="24"/>
                <w:szCs w:val="24"/>
                <w:lang w:val="en-US" w:eastAsia="zh-CN" w:bidi="ar-SA"/>
              </w:rPr>
              <w:t>1213606606</w:t>
            </w:r>
          </w:p>
        </w:tc>
      </w:tr>
      <w:tr w14:paraId="6732CCC0">
        <w:trPr>
          <w:trHeight w:val="624" w:hRule="atLeast"/>
        </w:trPr>
        <w:tc>
          <w:tcPr>
            <w:tcW w:w="1251" w:type="dxa"/>
            <w:tcBorders>
              <w:top w:val="single" w:color="auto" w:sz="4" w:space="0"/>
              <w:left w:val="single" w:color="auto" w:sz="4" w:space="0"/>
              <w:bottom w:val="single" w:color="auto" w:sz="4" w:space="0"/>
              <w:right w:val="single" w:color="auto" w:sz="4" w:space="0"/>
            </w:tcBorders>
            <w:noWrap/>
            <w:vAlign w:val="center"/>
          </w:tcPr>
          <w:p w14:paraId="0109BC36">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课程类型</w:t>
            </w:r>
          </w:p>
        </w:tc>
        <w:tc>
          <w:tcPr>
            <w:tcW w:w="7895" w:type="dxa"/>
            <w:gridSpan w:val="11"/>
            <w:tcBorders>
              <w:top w:val="single" w:color="auto" w:sz="4" w:space="0"/>
              <w:left w:val="single" w:color="auto" w:sz="4" w:space="0"/>
              <w:bottom w:val="single" w:color="auto" w:sz="4" w:space="0"/>
              <w:right w:val="single" w:color="auto" w:sz="4" w:space="0"/>
            </w:tcBorders>
            <w:noWrap/>
            <w:vAlign w:val="center"/>
          </w:tcPr>
          <w:p w14:paraId="589741B2">
            <w:pPr>
              <w:pageBreakBefore w:val="0"/>
              <w:kinsoku/>
              <w:overflowPunct/>
              <w:topLinePunct w:val="0"/>
              <w:bidi w:val="0"/>
              <w:adjustRightInd w:val="0"/>
              <w:snapToGrid w:val="0"/>
              <w:spacing w:line="240" w:lineRule="auto"/>
              <w:rPr>
                <w:rFonts w:hint="eastAsia" w:ascii="仿宋" w:eastAsia="仿宋" w:cs="仿宋"/>
                <w:sz w:val="24"/>
                <w:szCs w:val="24"/>
                <w:lang w:bidi="ar-SA"/>
              </w:rPr>
            </w:pPr>
            <w:r>
              <w:rPr>
                <w:rFonts w:ascii="仿宋" w:eastAsia="仿宋" w:cs="仿宋"/>
                <w:sz w:val="24"/>
                <w:szCs w:val="24"/>
                <w:lang w:bidi="ar-SA"/>
              </w:rPr>
              <w:sym w:font="Wingdings" w:char="00A8"/>
            </w:r>
            <w:r>
              <w:rPr>
                <w:rFonts w:hint="eastAsia" w:ascii="仿宋" w:eastAsia="仿宋" w:cs="仿宋"/>
                <w:sz w:val="24"/>
                <w:szCs w:val="24"/>
                <w:lang w:bidi="ar-SA"/>
              </w:rPr>
              <w:t xml:space="preserve">通识必修 </w:t>
            </w:r>
            <w:r>
              <w:rPr>
                <w:rFonts w:ascii="仿宋" w:eastAsia="仿宋" w:cs="仿宋"/>
                <w:sz w:val="24"/>
                <w:szCs w:val="24"/>
                <w:lang w:bidi="ar-SA"/>
              </w:rPr>
              <w:sym w:font="Wingdings" w:char="00A8"/>
            </w:r>
            <w:r>
              <w:rPr>
                <w:rFonts w:hint="eastAsia" w:ascii="仿宋" w:eastAsia="仿宋" w:cs="仿宋"/>
                <w:sz w:val="24"/>
                <w:szCs w:val="24"/>
                <w:lang w:bidi="ar-SA"/>
              </w:rPr>
              <w:t xml:space="preserve">通识选修 </w:t>
            </w:r>
            <w:r>
              <w:rPr>
                <w:rFonts w:ascii="仿宋" w:eastAsia="仿宋" w:cs="仿宋"/>
                <w:sz w:val="24"/>
                <w:szCs w:val="24"/>
                <w:lang w:bidi="ar-SA"/>
              </w:rPr>
              <w:sym w:font="Wingdings" w:char="00FE"/>
            </w:r>
            <w:r>
              <w:rPr>
                <w:rFonts w:hint="eastAsia" w:ascii="仿宋" w:eastAsia="仿宋" w:cs="仿宋"/>
                <w:sz w:val="24"/>
                <w:szCs w:val="24"/>
                <w:lang w:bidi="ar-SA"/>
              </w:rPr>
              <w:t xml:space="preserve">专业必修 </w:t>
            </w:r>
          </w:p>
          <w:p w14:paraId="2DCC51B0">
            <w:pPr>
              <w:pageBreakBefore w:val="0"/>
              <w:kinsoku/>
              <w:overflowPunct/>
              <w:topLinePunct w:val="0"/>
              <w:bidi w:val="0"/>
              <w:adjustRightInd w:val="0"/>
              <w:snapToGrid w:val="0"/>
              <w:spacing w:line="240" w:lineRule="auto"/>
              <w:rPr>
                <w:rFonts w:hint="eastAsia" w:ascii="仿宋" w:eastAsia="仿宋" w:cs="仿宋"/>
                <w:sz w:val="24"/>
                <w:szCs w:val="24"/>
                <w:lang w:bidi="ar-SA"/>
              </w:rPr>
            </w:pPr>
            <w:r>
              <w:rPr>
                <w:rFonts w:ascii="仿宋" w:eastAsia="仿宋" w:cs="仿宋"/>
                <w:sz w:val="24"/>
                <w:szCs w:val="24"/>
                <w:lang w:bidi="ar-SA"/>
              </w:rPr>
              <w:sym w:font="Wingdings" w:char="00A8"/>
            </w:r>
            <w:r>
              <w:rPr>
                <w:rFonts w:hint="eastAsia" w:ascii="仿宋" w:eastAsia="仿宋" w:cs="仿宋"/>
                <w:sz w:val="24"/>
                <w:szCs w:val="24"/>
                <w:lang w:bidi="ar-SA"/>
              </w:rPr>
              <w:t>专业选修</w:t>
            </w:r>
            <w:r>
              <w:rPr>
                <w:rFonts w:hint="eastAsia" w:ascii="仿宋" w:eastAsia="仿宋" w:cs="仿宋"/>
                <w:sz w:val="24"/>
                <w:szCs w:val="24"/>
                <w:lang w:eastAsia="zh-TW" w:bidi="ar-SA"/>
              </w:rPr>
              <w:t xml:space="preserve"> </w:t>
            </w:r>
            <w:r>
              <w:rPr>
                <w:rFonts w:ascii="仿宋" w:eastAsia="仿宋" w:cs="仿宋"/>
                <w:sz w:val="24"/>
                <w:szCs w:val="24"/>
                <w:lang w:bidi="ar-SA"/>
              </w:rPr>
              <w:sym w:font="Wingdings" w:char="00A8"/>
            </w:r>
            <w:r>
              <w:rPr>
                <w:rFonts w:hint="eastAsia" w:ascii="仿宋" w:eastAsia="仿宋" w:cs="仿宋"/>
                <w:sz w:val="24"/>
                <w:szCs w:val="24"/>
                <w:lang w:bidi="ar-SA"/>
              </w:rPr>
              <w:t xml:space="preserve">教师教育必修 </w:t>
            </w:r>
            <w:r>
              <w:rPr>
                <w:rFonts w:ascii="仿宋" w:eastAsia="仿宋" w:cs="仿宋"/>
                <w:sz w:val="24"/>
                <w:szCs w:val="24"/>
                <w:lang w:bidi="ar-SA"/>
              </w:rPr>
              <w:sym w:font="Wingdings" w:char="00A8"/>
            </w:r>
            <w:r>
              <w:rPr>
                <w:rFonts w:hint="eastAsia" w:ascii="仿宋" w:eastAsia="仿宋" w:cs="仿宋"/>
                <w:sz w:val="24"/>
                <w:szCs w:val="24"/>
                <w:lang w:bidi="ar-SA"/>
              </w:rPr>
              <w:t>教师教育选修</w:t>
            </w:r>
          </w:p>
        </w:tc>
      </w:tr>
      <w:tr w14:paraId="137FE4BB">
        <w:trPr>
          <w:trHeight w:val="624" w:hRule="atLeast"/>
        </w:trPr>
        <w:tc>
          <w:tcPr>
            <w:tcW w:w="1251" w:type="dxa"/>
            <w:tcBorders>
              <w:top w:val="single" w:color="auto" w:sz="4" w:space="0"/>
              <w:left w:val="single" w:color="auto" w:sz="4" w:space="0"/>
              <w:bottom w:val="single" w:color="auto" w:sz="4" w:space="0"/>
              <w:right w:val="single" w:color="auto" w:sz="4" w:space="0"/>
            </w:tcBorders>
            <w:noWrap w:val="0"/>
            <w:vAlign w:val="center"/>
          </w:tcPr>
          <w:p w14:paraId="4E317B72">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开课学期</w:t>
            </w:r>
          </w:p>
        </w:tc>
        <w:tc>
          <w:tcPr>
            <w:tcW w:w="1579" w:type="dxa"/>
            <w:gridSpan w:val="2"/>
            <w:tcBorders>
              <w:top w:val="single" w:color="auto" w:sz="4" w:space="0"/>
              <w:left w:val="single" w:color="auto" w:sz="4" w:space="0"/>
              <w:bottom w:val="single" w:color="auto" w:sz="4" w:space="0"/>
              <w:right w:val="single" w:color="auto" w:sz="4" w:space="0"/>
            </w:tcBorders>
            <w:noWrap w:val="0"/>
            <w:vAlign w:val="center"/>
          </w:tcPr>
          <w:p w14:paraId="022D8878">
            <w:pPr>
              <w:pageBreakBefore w:val="0"/>
              <w:kinsoku/>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第8学期</w:t>
            </w:r>
          </w:p>
        </w:tc>
        <w:tc>
          <w:tcPr>
            <w:tcW w:w="1579" w:type="dxa"/>
            <w:tcBorders>
              <w:top w:val="single" w:color="auto" w:sz="4" w:space="0"/>
              <w:left w:val="single" w:color="auto" w:sz="4" w:space="0"/>
              <w:bottom w:val="single" w:color="auto" w:sz="4" w:space="0"/>
              <w:right w:val="single" w:color="auto" w:sz="4" w:space="0"/>
            </w:tcBorders>
            <w:noWrap w:val="0"/>
            <w:vAlign w:val="center"/>
          </w:tcPr>
          <w:p w14:paraId="55C3F638">
            <w:pPr>
              <w:pageBreakBefore w:val="0"/>
              <w:kinsoku/>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学分</w:t>
            </w:r>
          </w:p>
        </w:tc>
        <w:tc>
          <w:tcPr>
            <w:tcW w:w="1579" w:type="dxa"/>
            <w:gridSpan w:val="2"/>
            <w:tcBorders>
              <w:top w:val="single" w:color="auto" w:sz="4" w:space="0"/>
              <w:left w:val="single" w:color="auto" w:sz="4" w:space="0"/>
              <w:bottom w:val="single" w:color="auto" w:sz="4" w:space="0"/>
              <w:right w:val="single" w:color="auto" w:sz="4" w:space="0"/>
            </w:tcBorders>
            <w:noWrap w:val="0"/>
            <w:vAlign w:val="center"/>
          </w:tcPr>
          <w:p w14:paraId="25C45DDF">
            <w:pPr>
              <w:pageBreakBefore w:val="0"/>
              <w:kinsoku/>
              <w:overflowPunct/>
              <w:topLinePunct w:val="0"/>
              <w:bidi w:val="0"/>
              <w:adjustRightInd w:val="0"/>
              <w:snapToGrid w:val="0"/>
              <w:spacing w:line="240" w:lineRule="auto"/>
              <w:jc w:val="center"/>
              <w:rPr>
                <w:rFonts w:hint="eastAsia" w:ascii="仿宋" w:eastAsia="仿宋" w:cs="仿宋"/>
                <w:sz w:val="24"/>
                <w:szCs w:val="24"/>
                <w:lang w:eastAsia="zh-CN" w:bidi="ar-SA"/>
              </w:rPr>
            </w:pPr>
            <w:r>
              <w:rPr>
                <w:rFonts w:hint="eastAsia" w:ascii="仿宋" w:eastAsia="仿宋" w:cs="仿宋"/>
                <w:sz w:val="24"/>
                <w:szCs w:val="24"/>
                <w:lang w:val="en-US" w:eastAsia="zh-CN" w:bidi="ar-SA"/>
              </w:rPr>
              <w:t>6</w:t>
            </w:r>
          </w:p>
        </w:tc>
        <w:tc>
          <w:tcPr>
            <w:tcW w:w="1579" w:type="dxa"/>
            <w:gridSpan w:val="3"/>
            <w:tcBorders>
              <w:top w:val="single" w:color="auto" w:sz="4" w:space="0"/>
              <w:left w:val="single" w:color="auto" w:sz="4" w:space="0"/>
              <w:bottom w:val="single" w:color="auto" w:sz="4" w:space="0"/>
              <w:right w:val="single" w:color="auto" w:sz="4" w:space="0"/>
            </w:tcBorders>
            <w:noWrap w:val="0"/>
            <w:vAlign w:val="center"/>
          </w:tcPr>
          <w:p w14:paraId="35A97A80">
            <w:pPr>
              <w:pageBreakBefore w:val="0"/>
              <w:kinsoku/>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课程负责人</w:t>
            </w:r>
          </w:p>
        </w:tc>
        <w:tc>
          <w:tcPr>
            <w:tcW w:w="1579" w:type="dxa"/>
            <w:gridSpan w:val="3"/>
            <w:tcBorders>
              <w:top w:val="single" w:color="auto" w:sz="4" w:space="0"/>
              <w:left w:val="single" w:color="auto" w:sz="4" w:space="0"/>
              <w:bottom w:val="single" w:color="auto" w:sz="4" w:space="0"/>
              <w:right w:val="single" w:color="auto" w:sz="4" w:space="0"/>
            </w:tcBorders>
            <w:noWrap w:val="0"/>
            <w:vAlign w:val="center"/>
          </w:tcPr>
          <w:p w14:paraId="14F0DD59">
            <w:pPr>
              <w:pageBreakBefore w:val="0"/>
              <w:kinsoku/>
              <w:overflowPunct/>
              <w:topLinePunct w:val="0"/>
              <w:bidi w:val="0"/>
              <w:adjustRightInd w:val="0"/>
              <w:snapToGrid w:val="0"/>
              <w:spacing w:line="240" w:lineRule="auto"/>
              <w:jc w:val="center"/>
              <w:rPr>
                <w:rFonts w:hint="eastAsia" w:ascii="仿宋" w:eastAsia="仿宋" w:cs="仿宋"/>
                <w:sz w:val="24"/>
                <w:szCs w:val="24"/>
                <w:lang w:val="en-US" w:eastAsia="zh-CN" w:bidi="ar-SA"/>
              </w:rPr>
            </w:pPr>
            <w:r>
              <w:rPr>
                <w:rFonts w:hint="eastAsia" w:ascii="仿宋" w:eastAsia="仿宋" w:cs="仿宋"/>
                <w:sz w:val="24"/>
                <w:szCs w:val="24"/>
                <w:lang w:val="en-US" w:eastAsia="zh-CN" w:bidi="ar-SA"/>
              </w:rPr>
              <w:t>音乐学专业</w:t>
            </w:r>
          </w:p>
          <w:p w14:paraId="61FB40D2">
            <w:pPr>
              <w:pageBreakBefore w:val="0"/>
              <w:kinsoku/>
              <w:overflowPunct/>
              <w:topLinePunct w:val="0"/>
              <w:bidi w:val="0"/>
              <w:adjustRightInd w:val="0"/>
              <w:snapToGrid w:val="0"/>
              <w:spacing w:line="240" w:lineRule="auto"/>
              <w:jc w:val="center"/>
              <w:rPr>
                <w:rFonts w:hint="default" w:ascii="仿宋" w:eastAsia="仿宋" w:cs="仿宋"/>
                <w:sz w:val="24"/>
                <w:szCs w:val="24"/>
                <w:lang w:val="en-US" w:eastAsia="zh-CN" w:bidi="ar-SA"/>
              </w:rPr>
            </w:pPr>
            <w:r>
              <w:rPr>
                <w:rFonts w:hint="eastAsia" w:ascii="仿宋" w:eastAsia="仿宋" w:cs="仿宋"/>
                <w:sz w:val="24"/>
                <w:szCs w:val="24"/>
                <w:lang w:val="en-US" w:eastAsia="zh-CN" w:bidi="ar-SA"/>
              </w:rPr>
              <w:t>论文指导教师</w:t>
            </w:r>
          </w:p>
        </w:tc>
      </w:tr>
      <w:tr w14:paraId="38840A45">
        <w:trPr>
          <w:trHeight w:val="624" w:hRule="atLeast"/>
        </w:trPr>
        <w:tc>
          <w:tcPr>
            <w:tcW w:w="1251" w:type="dxa"/>
            <w:tcBorders>
              <w:top w:val="single" w:color="auto" w:sz="4" w:space="0"/>
              <w:left w:val="single" w:color="auto" w:sz="4" w:space="0"/>
              <w:bottom w:val="single" w:color="auto" w:sz="4" w:space="0"/>
              <w:right w:val="single" w:color="auto" w:sz="4" w:space="0"/>
            </w:tcBorders>
            <w:noWrap w:val="0"/>
            <w:vAlign w:val="center"/>
          </w:tcPr>
          <w:p w14:paraId="40FB263D">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总学时</w:t>
            </w:r>
          </w:p>
        </w:tc>
        <w:tc>
          <w:tcPr>
            <w:tcW w:w="1579" w:type="dxa"/>
            <w:gridSpan w:val="2"/>
            <w:tcBorders>
              <w:top w:val="single" w:color="auto" w:sz="4" w:space="0"/>
              <w:left w:val="single" w:color="auto" w:sz="4" w:space="0"/>
              <w:bottom w:val="single" w:color="auto" w:sz="4" w:space="0"/>
              <w:right w:val="single" w:color="auto" w:sz="4" w:space="0"/>
            </w:tcBorders>
            <w:noWrap w:val="0"/>
            <w:vAlign w:val="center"/>
          </w:tcPr>
          <w:p w14:paraId="3ADC63C9">
            <w:pPr>
              <w:pageBreakBefore w:val="0"/>
              <w:kinsoku/>
              <w:overflowPunct/>
              <w:topLinePunct w:val="0"/>
              <w:bidi w:val="0"/>
              <w:adjustRightInd w:val="0"/>
              <w:snapToGrid w:val="0"/>
              <w:spacing w:line="240" w:lineRule="auto"/>
              <w:jc w:val="center"/>
              <w:rPr>
                <w:rFonts w:hint="default" w:ascii="仿宋" w:eastAsia="仿宋" w:cs="仿宋"/>
                <w:sz w:val="24"/>
                <w:szCs w:val="24"/>
                <w:lang w:val="en-US" w:eastAsia="zh-CN" w:bidi="ar-SA"/>
              </w:rPr>
            </w:pPr>
            <w:r>
              <w:rPr>
                <w:rFonts w:hint="eastAsia" w:ascii="仿宋" w:eastAsia="仿宋" w:cs="仿宋"/>
                <w:sz w:val="24"/>
                <w:szCs w:val="24"/>
                <w:lang w:val="en-US" w:eastAsia="zh-CN" w:bidi="ar-SA"/>
              </w:rPr>
              <w:t>96</w:t>
            </w:r>
          </w:p>
        </w:tc>
        <w:tc>
          <w:tcPr>
            <w:tcW w:w="1579" w:type="dxa"/>
            <w:tcBorders>
              <w:top w:val="single" w:color="auto" w:sz="4" w:space="0"/>
              <w:left w:val="single" w:color="auto" w:sz="4" w:space="0"/>
              <w:bottom w:val="single" w:color="auto" w:sz="4" w:space="0"/>
              <w:right w:val="single" w:color="auto" w:sz="4" w:space="0"/>
            </w:tcBorders>
            <w:noWrap w:val="0"/>
            <w:vAlign w:val="center"/>
          </w:tcPr>
          <w:p w14:paraId="69D15BE2">
            <w:pPr>
              <w:pageBreakBefore w:val="0"/>
              <w:kinsoku/>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理论学时</w:t>
            </w:r>
          </w:p>
        </w:tc>
        <w:tc>
          <w:tcPr>
            <w:tcW w:w="1579" w:type="dxa"/>
            <w:gridSpan w:val="2"/>
            <w:tcBorders>
              <w:top w:val="single" w:color="auto" w:sz="4" w:space="0"/>
              <w:left w:val="single" w:color="auto" w:sz="4" w:space="0"/>
              <w:bottom w:val="single" w:color="auto" w:sz="4" w:space="0"/>
              <w:right w:val="single" w:color="auto" w:sz="4" w:space="0"/>
            </w:tcBorders>
            <w:noWrap w:val="0"/>
            <w:vAlign w:val="center"/>
          </w:tcPr>
          <w:p w14:paraId="3C694153">
            <w:pPr>
              <w:pageBreakBefore w:val="0"/>
              <w:kinsoku/>
              <w:overflowPunct/>
              <w:topLinePunct w:val="0"/>
              <w:bidi w:val="0"/>
              <w:adjustRightInd w:val="0"/>
              <w:snapToGrid w:val="0"/>
              <w:spacing w:line="240" w:lineRule="auto"/>
              <w:jc w:val="center"/>
              <w:rPr>
                <w:rFonts w:hint="default" w:ascii="仿宋" w:eastAsia="仿宋" w:cs="仿宋"/>
                <w:sz w:val="24"/>
                <w:szCs w:val="24"/>
                <w:lang w:val="en-US" w:eastAsia="zh-CN" w:bidi="ar-SA"/>
              </w:rPr>
            </w:pPr>
            <w:r>
              <w:rPr>
                <w:rFonts w:hint="eastAsia" w:ascii="仿宋" w:eastAsia="仿宋" w:cs="仿宋"/>
                <w:sz w:val="24"/>
                <w:szCs w:val="24"/>
                <w:lang w:val="en-US" w:eastAsia="zh-CN" w:bidi="ar-SA"/>
              </w:rPr>
              <w:t>96</w:t>
            </w:r>
          </w:p>
        </w:tc>
        <w:tc>
          <w:tcPr>
            <w:tcW w:w="1579" w:type="dxa"/>
            <w:gridSpan w:val="3"/>
            <w:tcBorders>
              <w:top w:val="single" w:color="auto" w:sz="4" w:space="0"/>
              <w:left w:val="single" w:color="auto" w:sz="4" w:space="0"/>
              <w:bottom w:val="single" w:color="auto" w:sz="4" w:space="0"/>
              <w:right w:val="single" w:color="auto" w:sz="4" w:space="0"/>
            </w:tcBorders>
            <w:noWrap w:val="0"/>
            <w:vAlign w:val="center"/>
          </w:tcPr>
          <w:p w14:paraId="0172461F">
            <w:pPr>
              <w:pageBreakBefore w:val="0"/>
              <w:kinsoku/>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实践学时</w:t>
            </w:r>
          </w:p>
        </w:tc>
        <w:tc>
          <w:tcPr>
            <w:tcW w:w="1579" w:type="dxa"/>
            <w:gridSpan w:val="3"/>
            <w:tcBorders>
              <w:top w:val="single" w:color="auto" w:sz="4" w:space="0"/>
              <w:left w:val="single" w:color="auto" w:sz="4" w:space="0"/>
              <w:bottom w:val="single" w:color="auto" w:sz="4" w:space="0"/>
              <w:right w:val="single" w:color="auto" w:sz="4" w:space="0"/>
            </w:tcBorders>
            <w:noWrap w:val="0"/>
            <w:vAlign w:val="center"/>
          </w:tcPr>
          <w:p w14:paraId="4BEFB8CA">
            <w:pPr>
              <w:pageBreakBefore w:val="0"/>
              <w:kinsoku/>
              <w:overflowPunct/>
              <w:topLinePunct w:val="0"/>
              <w:bidi w:val="0"/>
              <w:adjustRightInd w:val="0"/>
              <w:snapToGrid w:val="0"/>
              <w:spacing w:line="240" w:lineRule="auto"/>
              <w:jc w:val="center"/>
              <w:rPr>
                <w:rFonts w:hint="eastAsia" w:ascii="仿宋" w:eastAsia="仿宋" w:cs="仿宋"/>
                <w:sz w:val="24"/>
                <w:szCs w:val="24"/>
                <w:lang w:bidi="ar-SA"/>
              </w:rPr>
            </w:pPr>
          </w:p>
        </w:tc>
      </w:tr>
      <w:tr w14:paraId="28071397">
        <w:trPr>
          <w:trHeight w:val="624" w:hRule="atLeast"/>
        </w:trPr>
        <w:tc>
          <w:tcPr>
            <w:tcW w:w="1251" w:type="dxa"/>
            <w:tcBorders>
              <w:top w:val="single" w:color="auto" w:sz="4" w:space="0"/>
              <w:left w:val="single" w:color="auto" w:sz="4" w:space="0"/>
              <w:bottom w:val="single" w:color="auto" w:sz="4" w:space="0"/>
              <w:right w:val="single" w:color="auto" w:sz="4" w:space="0"/>
            </w:tcBorders>
            <w:noWrap/>
            <w:vAlign w:val="center"/>
          </w:tcPr>
          <w:p w14:paraId="440A2B1C">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先修课程与后续课程</w:t>
            </w:r>
          </w:p>
        </w:tc>
        <w:tc>
          <w:tcPr>
            <w:tcW w:w="7895" w:type="dxa"/>
            <w:gridSpan w:val="11"/>
            <w:tcBorders>
              <w:top w:val="single" w:color="auto" w:sz="4" w:space="0"/>
              <w:left w:val="single" w:color="auto" w:sz="4" w:space="0"/>
              <w:bottom w:val="single" w:color="auto" w:sz="4" w:space="0"/>
              <w:right w:val="single" w:color="auto" w:sz="4" w:space="0"/>
            </w:tcBorders>
            <w:noWrap/>
            <w:vAlign w:val="center"/>
          </w:tcPr>
          <w:p w14:paraId="074A6C3F">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先修课程：</w:t>
            </w:r>
            <w:r>
              <w:rPr>
                <w:rFonts w:hint="eastAsia" w:ascii="仿宋" w:eastAsia="仿宋" w:cs="仿宋"/>
                <w:sz w:val="24"/>
                <w:szCs w:val="24"/>
                <w:lang w:val="en-US" w:eastAsia="zh-CN" w:bidi="ar-SA"/>
              </w:rPr>
              <w:t>应用文写作、</w:t>
            </w:r>
            <w:r>
              <w:rPr>
                <w:rFonts w:hint="eastAsia" w:ascii="仿宋" w:eastAsia="仿宋" w:cs="仿宋"/>
                <w:sz w:val="24"/>
                <w:szCs w:val="24"/>
                <w:lang w:bidi="ar-SA"/>
              </w:rPr>
              <w:t>教育见习</w:t>
            </w:r>
            <w:r>
              <w:rPr>
                <w:rFonts w:hint="eastAsia" w:ascii="仿宋" w:eastAsia="仿宋" w:cs="仿宋"/>
                <w:sz w:val="24"/>
                <w:szCs w:val="24"/>
                <w:lang w:eastAsia="zh-CN" w:bidi="ar-SA"/>
              </w:rPr>
              <w:t>、</w:t>
            </w:r>
            <w:r>
              <w:rPr>
                <w:rFonts w:hint="eastAsia" w:ascii="仿宋" w:eastAsia="仿宋" w:cs="仿宋"/>
                <w:sz w:val="24"/>
                <w:szCs w:val="24"/>
                <w:lang w:val="en-US" w:eastAsia="zh-CN" w:bidi="ar-SA"/>
              </w:rPr>
              <w:t>教育实习、教育研习</w:t>
            </w:r>
          </w:p>
          <w:p w14:paraId="04175A01">
            <w:pPr>
              <w:pageBreakBefore w:val="0"/>
              <w:kinsoku/>
              <w:overflowPunct/>
              <w:topLinePunct w:val="0"/>
              <w:bidi w:val="0"/>
              <w:adjustRightInd w:val="0"/>
              <w:snapToGrid w:val="0"/>
              <w:spacing w:line="240" w:lineRule="auto"/>
              <w:jc w:val="left"/>
              <w:rPr>
                <w:rFonts w:hint="eastAsia" w:ascii="仿宋" w:eastAsia="仿宋" w:cs="仿宋"/>
                <w:sz w:val="24"/>
                <w:szCs w:val="24"/>
                <w:lang w:eastAsia="zh-CN" w:bidi="ar-SA"/>
              </w:rPr>
            </w:pPr>
            <w:r>
              <w:rPr>
                <w:rFonts w:hint="eastAsia" w:ascii="仿宋" w:eastAsia="仿宋" w:cs="仿宋"/>
                <w:sz w:val="24"/>
                <w:szCs w:val="24"/>
                <w:lang w:bidi="ar-SA"/>
              </w:rPr>
              <w:t>后续课程：</w:t>
            </w:r>
            <w:r>
              <w:rPr>
                <w:rFonts w:hint="eastAsia" w:ascii="仿宋" w:eastAsia="仿宋" w:cs="仿宋"/>
                <w:sz w:val="24"/>
                <w:szCs w:val="24"/>
                <w:lang w:val="en-US" w:eastAsia="zh-CN" w:bidi="ar-SA"/>
              </w:rPr>
              <w:t>无</w:t>
            </w:r>
          </w:p>
        </w:tc>
      </w:tr>
      <w:tr w14:paraId="5F539450">
        <w:trPr>
          <w:trHeight w:val="624" w:hRule="atLeast"/>
        </w:trPr>
        <w:tc>
          <w:tcPr>
            <w:tcW w:w="1251" w:type="dxa"/>
            <w:tcBorders>
              <w:top w:val="single" w:color="auto" w:sz="4" w:space="0"/>
              <w:left w:val="single" w:color="auto" w:sz="4" w:space="0"/>
              <w:bottom w:val="single" w:color="auto" w:sz="4" w:space="0"/>
              <w:right w:val="single" w:color="auto" w:sz="4" w:space="0"/>
            </w:tcBorders>
            <w:noWrap/>
            <w:vAlign w:val="center"/>
          </w:tcPr>
          <w:p w14:paraId="285F6B9B">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适用专业</w:t>
            </w:r>
          </w:p>
        </w:tc>
        <w:tc>
          <w:tcPr>
            <w:tcW w:w="7895" w:type="dxa"/>
            <w:gridSpan w:val="11"/>
            <w:tcBorders>
              <w:top w:val="single" w:color="auto" w:sz="4" w:space="0"/>
              <w:left w:val="single" w:color="auto" w:sz="4" w:space="0"/>
              <w:bottom w:val="single" w:color="auto" w:sz="4" w:space="0"/>
              <w:right w:val="single" w:color="auto" w:sz="4" w:space="0"/>
            </w:tcBorders>
            <w:noWrap/>
            <w:vAlign w:val="center"/>
          </w:tcPr>
          <w:p w14:paraId="067CD080">
            <w:pPr>
              <w:pageBreakBefore w:val="0"/>
              <w:kinsoku/>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val="en-US" w:eastAsia="en-US" w:bidi="ar-SA"/>
              </w:rPr>
              <w:t>音乐学</w:t>
            </w:r>
          </w:p>
        </w:tc>
      </w:tr>
      <w:tr w14:paraId="3456099C">
        <w:trPr>
          <w:trHeight w:val="624" w:hRule="atLeast"/>
        </w:trPr>
        <w:tc>
          <w:tcPr>
            <w:tcW w:w="1251"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20D0953">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D</w:t>
            </w:r>
          </w:p>
          <w:p w14:paraId="57DE8A19">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 xml:space="preserve">课程描述 </w:t>
            </w:r>
          </w:p>
          <w:p w14:paraId="1F0607EA">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eastAsia="zh-TW" w:bidi="ar-SA"/>
              </w:rPr>
              <w:t>(</w:t>
            </w:r>
            <w:r>
              <w:rPr>
                <w:rFonts w:hint="eastAsia" w:ascii="仿宋" w:eastAsia="仿宋" w:cs="仿宋"/>
                <w:color w:val="000000"/>
                <w:sz w:val="24"/>
                <w:szCs w:val="24"/>
                <w:lang w:bidi="ar-SA"/>
              </w:rPr>
              <w:t>含</w:t>
            </w:r>
            <w:r>
              <w:rPr>
                <w:rFonts w:hint="eastAsia" w:ascii="仿宋" w:eastAsia="仿宋" w:cs="仿宋"/>
                <w:color w:val="000000"/>
                <w:sz w:val="24"/>
                <w:szCs w:val="24"/>
                <w:lang w:eastAsia="zh-TW" w:bidi="ar-SA"/>
              </w:rPr>
              <w:t>性质、地位和任务)</w:t>
            </w:r>
          </w:p>
        </w:tc>
        <w:tc>
          <w:tcPr>
            <w:tcW w:w="7895" w:type="dxa"/>
            <w:gridSpan w:val="11"/>
            <w:tcBorders>
              <w:top w:val="single" w:color="auto" w:sz="4" w:space="0"/>
              <w:left w:val="single" w:color="auto" w:sz="4" w:space="0"/>
              <w:bottom w:val="single" w:color="auto" w:sz="4" w:space="0"/>
              <w:right w:val="single" w:color="auto" w:sz="4" w:space="0"/>
            </w:tcBorders>
            <w:shd w:val="clear" w:color="auto" w:fill="FFFFFF"/>
            <w:noWrap/>
            <w:vAlign w:val="center"/>
          </w:tcPr>
          <w:p w14:paraId="59708D69">
            <w:pPr>
              <w:pageBreakBefore w:val="0"/>
              <w:kinsoku/>
              <w:overflowPunct/>
              <w:topLinePunct w:val="0"/>
              <w:bidi w:val="0"/>
              <w:snapToGrid w:val="0"/>
              <w:spacing w:line="240" w:lineRule="auto"/>
              <w:ind w:left="0"/>
              <w:rPr>
                <w:rFonts w:hint="eastAsia" w:ascii="仿宋" w:eastAsia="仿宋" w:cs="仿宋"/>
                <w:sz w:val="24"/>
                <w:szCs w:val="24"/>
                <w:lang w:bidi="ar-SA"/>
              </w:rPr>
            </w:pPr>
            <w:r>
              <w:rPr>
                <w:rFonts w:hint="eastAsia" w:ascii="仿宋" w:eastAsia="仿宋" w:cs="仿宋"/>
                <w:color w:val="000000"/>
                <w:sz w:val="24"/>
                <w:szCs w:val="24"/>
                <w:lang w:bidi="ar-SA"/>
              </w:rPr>
              <w:t>毕业论文在培养学生探求真理、强化社会意识、进行专业及科学研究基本训练、提高综合实践能力与素质等方面，具有不可替代的作用，是教育与生产劳动和社会实践相结合的重要体现，是培养学生的创新能力、实践能力和创业精神的重要实践环节。</w:t>
            </w:r>
          </w:p>
        </w:tc>
      </w:tr>
      <w:tr w14:paraId="1A249D30">
        <w:trPr>
          <w:trHeight w:val="624" w:hRule="atLeast"/>
        </w:trPr>
        <w:tc>
          <w:tcPr>
            <w:tcW w:w="1251" w:type="dxa"/>
            <w:vMerge w:val="restart"/>
            <w:tcBorders>
              <w:top w:val="single" w:color="auto" w:sz="4" w:space="0"/>
              <w:left w:val="single" w:color="auto" w:sz="4" w:space="0"/>
              <w:bottom w:val="single" w:color="auto" w:sz="4" w:space="0"/>
              <w:right w:val="single" w:color="auto" w:sz="4" w:space="0"/>
            </w:tcBorders>
            <w:shd w:val="clear" w:color="auto" w:fill="FFFFFF"/>
            <w:noWrap/>
            <w:vAlign w:val="center"/>
          </w:tcPr>
          <w:p w14:paraId="39E7F5B4">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E</w:t>
            </w:r>
          </w:p>
          <w:p w14:paraId="4B512BFB">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课程学习目标及其与毕业要求的对应关系</w:t>
            </w:r>
          </w:p>
        </w:tc>
        <w:tc>
          <w:tcPr>
            <w:tcW w:w="7895" w:type="dxa"/>
            <w:gridSpan w:val="11"/>
            <w:tcBorders>
              <w:top w:val="single" w:color="auto" w:sz="4" w:space="0"/>
              <w:left w:val="single" w:color="auto" w:sz="4" w:space="0"/>
              <w:bottom w:val="single" w:color="auto" w:sz="4" w:space="0"/>
              <w:right w:val="single" w:color="auto" w:sz="4" w:space="0"/>
            </w:tcBorders>
            <w:shd w:val="clear" w:color="auto" w:fill="FFFFFF"/>
            <w:noWrap/>
            <w:vAlign w:val="center"/>
          </w:tcPr>
          <w:p w14:paraId="12107B31">
            <w:pPr>
              <w:pageBreakBefore w:val="0"/>
              <w:kinsoku/>
              <w:overflowPunct/>
              <w:topLinePunct w:val="0"/>
              <w:bidi w:val="0"/>
              <w:adjustRightInd w:val="0"/>
              <w:snapToGrid w:val="0"/>
              <w:spacing w:line="240" w:lineRule="auto"/>
              <w:ind w:left="0"/>
              <w:jc w:val="left"/>
              <w:rPr>
                <w:rFonts w:hint="eastAsia" w:ascii="仿宋" w:eastAsia="仿宋" w:cs="仿宋"/>
                <w:color w:val="000000"/>
                <w:sz w:val="24"/>
                <w:szCs w:val="24"/>
                <w:lang w:bidi="ar-SA"/>
              </w:rPr>
            </w:pPr>
            <w:r>
              <w:rPr>
                <w:rFonts w:hint="eastAsia" w:ascii="仿宋" w:eastAsia="仿宋" w:cs="仿宋"/>
                <w:color w:val="000000"/>
                <w:sz w:val="24"/>
                <w:szCs w:val="24"/>
                <w:lang w:bidi="ar-SA"/>
              </w:rPr>
              <w:t>通过本课程的学习，学生具备如下知识、能力及情感态度价值观：</w:t>
            </w:r>
          </w:p>
          <w:p w14:paraId="0B581732">
            <w:pPr>
              <w:pageBreakBefore w:val="0"/>
              <w:kinsoku/>
              <w:overflowPunct/>
              <w:topLinePunct w:val="0"/>
              <w:autoSpaceDE w:val="0"/>
              <w:autoSpaceDN w:val="0"/>
              <w:bidi w:val="0"/>
              <w:adjustRightInd w:val="0"/>
              <w:snapToGrid w:val="0"/>
              <w:spacing w:line="240" w:lineRule="auto"/>
              <w:ind w:left="0" w:right="268"/>
              <w:rPr>
                <w:rFonts w:hint="eastAsia" w:ascii="仿宋" w:eastAsia="仿宋" w:cs="仿宋"/>
                <w:color w:val="000000"/>
                <w:sz w:val="24"/>
                <w:szCs w:val="24"/>
                <w:lang w:bidi="ar-SA"/>
              </w:rPr>
            </w:pPr>
            <w:r>
              <w:rPr>
                <w:rFonts w:hint="eastAsia" w:ascii="仿宋" w:eastAsia="仿宋" w:cs="仿宋"/>
                <w:b/>
                <w:bCs/>
                <w:color w:val="000000"/>
                <w:sz w:val="24"/>
                <w:szCs w:val="24"/>
                <w:lang w:bidi="ar-SA"/>
              </w:rPr>
              <w:t>课程目标1</w:t>
            </w:r>
            <w:r>
              <w:rPr>
                <w:rFonts w:hint="default" w:ascii="仿宋" w:eastAsia="仿宋" w:cs="仿宋"/>
                <w:b/>
                <w:bCs/>
                <w:color w:val="000000"/>
                <w:sz w:val="24"/>
                <w:szCs w:val="24"/>
                <w:lang w:bidi="ar-SA"/>
              </w:rPr>
              <w:t>：</w:t>
            </w:r>
            <w:r>
              <w:rPr>
                <w:rFonts w:hint="eastAsia" w:ascii="仿宋" w:eastAsia="仿宋" w:cs="仿宋"/>
                <w:sz w:val="24"/>
                <w:szCs w:val="24"/>
                <w:lang w:bidi="ar-SA"/>
              </w:rPr>
              <w:t>认同</w:t>
            </w:r>
            <w:r>
              <w:rPr>
                <w:rFonts w:hint="eastAsia" w:ascii="仿宋" w:eastAsia="仿宋" w:cs="仿宋"/>
                <w:sz w:val="24"/>
                <w:szCs w:val="24"/>
                <w:lang w:val="en-US" w:eastAsia="zh-Hans" w:bidi="ar-SA"/>
              </w:rPr>
              <w:t>中学音乐</w:t>
            </w:r>
            <w:r>
              <w:rPr>
                <w:rFonts w:hint="eastAsia" w:ascii="仿宋" w:eastAsia="仿宋" w:cs="仿宋"/>
                <w:sz w:val="24"/>
                <w:szCs w:val="24"/>
                <w:lang w:bidi="ar-SA"/>
              </w:rPr>
              <w:t>教师工作的价值和意义</w:t>
            </w:r>
            <w:r>
              <w:rPr>
                <w:rFonts w:hint="default" w:ascii="仿宋" w:eastAsia="仿宋" w:cs="仿宋"/>
                <w:sz w:val="24"/>
                <w:szCs w:val="24"/>
                <w:lang w:bidi="ar-SA"/>
              </w:rPr>
              <w:t>，</w:t>
            </w:r>
            <w:r>
              <w:rPr>
                <w:rFonts w:hint="eastAsia" w:ascii="仿宋" w:eastAsia="仿宋" w:cs="仿宋"/>
                <w:color w:val="000000"/>
                <w:sz w:val="24"/>
                <w:szCs w:val="24"/>
                <w:lang w:bidi="ar-SA"/>
              </w:rPr>
              <w:t>具有良好的从教意愿，热爱</w:t>
            </w:r>
            <w:r>
              <w:rPr>
                <w:rFonts w:hint="eastAsia" w:ascii="仿宋" w:eastAsia="仿宋" w:cs="仿宋"/>
                <w:color w:val="000000"/>
                <w:sz w:val="24"/>
                <w:szCs w:val="24"/>
                <w:lang w:val="en-US" w:eastAsia="en-US" w:bidi="ar-SA"/>
              </w:rPr>
              <w:t>音乐</w:t>
            </w:r>
            <w:r>
              <w:rPr>
                <w:rFonts w:hint="eastAsia" w:ascii="仿宋" w:eastAsia="仿宋" w:cs="仿宋"/>
                <w:color w:val="000000"/>
                <w:sz w:val="24"/>
                <w:szCs w:val="24"/>
                <w:lang w:bidi="ar-SA"/>
              </w:rPr>
              <w:t>教育事业的情怀</w:t>
            </w:r>
            <w:r>
              <w:rPr>
                <w:rFonts w:hint="default" w:ascii="仿宋" w:eastAsia="仿宋" w:cs="仿宋"/>
                <w:color w:val="000000"/>
                <w:sz w:val="24"/>
                <w:szCs w:val="24"/>
                <w:lang w:bidi="ar-SA"/>
              </w:rPr>
              <w:t>，</w:t>
            </w:r>
            <w:r>
              <w:rPr>
                <w:rFonts w:hint="eastAsia" w:ascii="仿宋" w:eastAsia="仿宋" w:cs="仿宋"/>
                <w:color w:val="000000"/>
                <w:sz w:val="24"/>
                <w:szCs w:val="24"/>
                <w:lang w:val="en-US" w:eastAsia="zh-Hans" w:bidi="ar-SA"/>
              </w:rPr>
              <w:t>选题能够体现地方音乐基础教育相关内容</w:t>
            </w:r>
            <w:r>
              <w:rPr>
                <w:rFonts w:hint="default" w:ascii="仿宋" w:eastAsia="仿宋" w:cs="仿宋"/>
                <w:color w:val="000000"/>
                <w:sz w:val="24"/>
                <w:szCs w:val="24"/>
                <w:lang w:eastAsia="zh-Hans" w:bidi="ar-SA"/>
              </w:rPr>
              <w:t>。</w:t>
            </w:r>
            <w:r>
              <w:rPr>
                <w:rFonts w:hint="eastAsia" w:ascii="仿宋" w:eastAsia="仿宋" w:cs="仿宋"/>
                <w:color w:val="000000"/>
                <w:sz w:val="24"/>
                <w:szCs w:val="24"/>
                <w:lang w:bidi="ar-SA"/>
              </w:rPr>
              <w:t>（支撑毕业要求2.1、2</w:t>
            </w:r>
            <w:r>
              <w:rPr>
                <w:rFonts w:hint="eastAsia" w:ascii="仿宋" w:eastAsia="仿宋" w:cs="仿宋"/>
                <w:color w:val="000000"/>
                <w:sz w:val="24"/>
                <w:szCs w:val="24"/>
                <w:lang w:val="en-US" w:eastAsia="en-US" w:bidi="ar-SA"/>
              </w:rPr>
              <w:t>.</w:t>
            </w:r>
            <w:r>
              <w:rPr>
                <w:rFonts w:hint="eastAsia" w:ascii="仿宋" w:eastAsia="仿宋" w:cs="仿宋"/>
                <w:color w:val="000000"/>
                <w:sz w:val="24"/>
                <w:szCs w:val="24"/>
                <w:lang w:bidi="ar-SA"/>
              </w:rPr>
              <w:t>2）</w:t>
            </w:r>
          </w:p>
          <w:p w14:paraId="0E7F630A">
            <w:pPr>
              <w:pageBreakBefore w:val="0"/>
              <w:kinsoku/>
              <w:overflowPunct/>
              <w:topLinePunct w:val="0"/>
              <w:autoSpaceDE w:val="0"/>
              <w:autoSpaceDN w:val="0"/>
              <w:bidi w:val="0"/>
              <w:adjustRightInd w:val="0"/>
              <w:snapToGrid w:val="0"/>
              <w:spacing w:line="240" w:lineRule="auto"/>
              <w:ind w:left="0" w:right="268"/>
              <w:rPr>
                <w:rFonts w:hint="eastAsia" w:ascii="仿宋" w:eastAsia="仿宋" w:cs="仿宋"/>
                <w:color w:val="000000"/>
                <w:sz w:val="24"/>
                <w:szCs w:val="24"/>
                <w:lang w:bidi="ar-SA"/>
              </w:rPr>
            </w:pPr>
            <w:r>
              <w:rPr>
                <w:rFonts w:hint="eastAsia" w:ascii="仿宋" w:eastAsia="仿宋" w:cs="仿宋"/>
                <w:b/>
                <w:bCs/>
                <w:color w:val="000000"/>
                <w:sz w:val="24"/>
                <w:szCs w:val="24"/>
                <w:lang w:bidi="ar-SA"/>
              </w:rPr>
              <w:t>课程目标2</w:t>
            </w:r>
            <w:r>
              <w:rPr>
                <w:rFonts w:hint="default" w:ascii="仿宋" w:eastAsia="仿宋" w:cs="仿宋"/>
                <w:b/>
                <w:bCs/>
                <w:color w:val="000000"/>
                <w:sz w:val="24"/>
                <w:szCs w:val="24"/>
                <w:lang w:bidi="ar-SA"/>
              </w:rPr>
              <w:t>：</w:t>
            </w:r>
            <w:r>
              <w:rPr>
                <w:rFonts w:hint="eastAsia" w:ascii="仿宋" w:eastAsia="仿宋" w:cs="仿宋"/>
                <w:color w:val="000000"/>
                <w:sz w:val="24"/>
                <w:szCs w:val="24"/>
                <w:lang w:val="en-US" w:eastAsia="zh-Hans" w:bidi="ar-SA"/>
              </w:rPr>
              <w:t>能够</w:t>
            </w:r>
            <w:r>
              <w:rPr>
                <w:rFonts w:hint="eastAsia" w:ascii="仿宋" w:eastAsia="仿宋" w:cs="仿宋"/>
                <w:color w:val="000000"/>
                <w:sz w:val="24"/>
                <w:szCs w:val="24"/>
                <w:lang w:bidi="ar-SA"/>
              </w:rPr>
              <w:t>综合运用所学的</w:t>
            </w:r>
            <w:r>
              <w:rPr>
                <w:rFonts w:hint="eastAsia" w:ascii="仿宋" w:eastAsia="仿宋" w:cs="仿宋"/>
                <w:color w:val="000000"/>
                <w:sz w:val="24"/>
                <w:szCs w:val="24"/>
                <w:lang w:val="en-US" w:eastAsia="en-US" w:bidi="ar-SA"/>
              </w:rPr>
              <w:t>音乐</w:t>
            </w:r>
            <w:r>
              <w:rPr>
                <w:rFonts w:hint="eastAsia" w:ascii="仿宋" w:eastAsia="仿宋"/>
                <w:sz w:val="24"/>
              </w:rPr>
              <w:t>教育专业</w:t>
            </w:r>
            <w:r>
              <w:rPr>
                <w:rFonts w:hint="eastAsia" w:ascii="仿宋" w:eastAsia="仿宋" w:cs="仿宋"/>
                <w:color w:val="000000"/>
                <w:sz w:val="24"/>
                <w:szCs w:val="24"/>
                <w:lang w:bidi="ar-SA"/>
              </w:rPr>
              <w:t>基础理论、专业知识和基本技能，</w:t>
            </w:r>
            <w:r>
              <w:rPr>
                <w:rFonts w:hint="eastAsia" w:ascii="仿宋" w:eastAsia="仿宋"/>
                <w:sz w:val="24"/>
              </w:rPr>
              <w:t>具备一定的</w:t>
            </w:r>
            <w:r>
              <w:rPr>
                <w:rFonts w:hint="eastAsia" w:ascii="仿宋" w:eastAsia="仿宋"/>
                <w:sz w:val="24"/>
                <w:lang w:val="en-US" w:eastAsia="en-US"/>
              </w:rPr>
              <w:t>跨学科意识</w:t>
            </w:r>
            <w:r>
              <w:rPr>
                <w:rFonts w:hint="eastAsia" w:ascii="仿宋" w:eastAsia="仿宋" w:cs="仿宋"/>
                <w:color w:val="000000"/>
                <w:sz w:val="24"/>
                <w:szCs w:val="24"/>
                <w:lang w:bidi="ar-SA"/>
              </w:rPr>
              <w:t>，</w:t>
            </w:r>
            <w:r>
              <w:rPr>
                <w:rFonts w:hint="eastAsia" w:ascii="仿宋" w:eastAsia="仿宋" w:cs="仿宋"/>
                <w:color w:val="000000"/>
                <w:sz w:val="24"/>
                <w:szCs w:val="24"/>
                <w:lang w:val="en-US" w:eastAsia="en-US" w:bidi="ar-SA"/>
              </w:rPr>
              <w:t>形成初步的综合学习和知识整合的能力</w:t>
            </w:r>
            <w:r>
              <w:rPr>
                <w:rFonts w:hint="eastAsia" w:ascii="仿宋" w:eastAsia="仿宋" w:cs="仿宋"/>
                <w:color w:val="000000"/>
                <w:sz w:val="24"/>
                <w:szCs w:val="24"/>
                <w:lang w:bidi="ar-SA"/>
              </w:rPr>
              <w:t>，</w:t>
            </w:r>
            <w:r>
              <w:rPr>
                <w:rFonts w:hint="eastAsia" w:ascii="仿宋" w:eastAsia="仿宋" w:cs="仿宋"/>
                <w:color w:val="000000"/>
                <w:sz w:val="24"/>
                <w:szCs w:val="24"/>
                <w:lang w:val="en-US" w:eastAsia="en-US" w:bidi="ar-SA"/>
              </w:rPr>
              <w:t>分析和解决</w:t>
            </w:r>
            <w:r>
              <w:rPr>
                <w:rFonts w:hint="eastAsia" w:ascii="仿宋" w:eastAsia="仿宋" w:cs="仿宋"/>
                <w:color w:val="000000"/>
                <w:sz w:val="24"/>
                <w:szCs w:val="24"/>
                <w:lang w:val="en-US" w:eastAsia="zh-Hans" w:bidi="ar-SA"/>
              </w:rPr>
              <w:t>毕业论文写作中遇到</w:t>
            </w:r>
            <w:r>
              <w:rPr>
                <w:rFonts w:hint="eastAsia" w:ascii="仿宋" w:eastAsia="仿宋" w:cs="仿宋"/>
                <w:color w:val="000000"/>
                <w:sz w:val="24"/>
                <w:szCs w:val="24"/>
                <w:lang w:val="en-US" w:eastAsia="en-US" w:bidi="ar-SA"/>
              </w:rPr>
              <w:t>的问题</w:t>
            </w:r>
            <w:r>
              <w:rPr>
                <w:rFonts w:hint="eastAsia" w:ascii="仿宋" w:eastAsia="仿宋" w:cs="仿宋"/>
                <w:color w:val="000000"/>
                <w:sz w:val="24"/>
                <w:szCs w:val="24"/>
                <w:lang w:bidi="ar-SA"/>
              </w:rPr>
              <w:t>。（支撑毕业要求3.3）</w:t>
            </w:r>
          </w:p>
          <w:p w14:paraId="6C352DD8">
            <w:pPr>
              <w:pageBreakBefore w:val="0"/>
              <w:kinsoku/>
              <w:overflowPunct/>
              <w:topLinePunct w:val="0"/>
              <w:autoSpaceDE w:val="0"/>
              <w:autoSpaceDN w:val="0"/>
              <w:bidi w:val="0"/>
              <w:adjustRightInd w:val="0"/>
              <w:snapToGrid w:val="0"/>
              <w:spacing w:line="240" w:lineRule="auto"/>
              <w:ind w:left="0" w:right="268"/>
              <w:rPr>
                <w:rFonts w:hint="eastAsia" w:ascii="仿宋" w:eastAsia="仿宋" w:cs="仿宋"/>
                <w:color w:val="000000"/>
                <w:sz w:val="24"/>
                <w:szCs w:val="24"/>
                <w:lang w:bidi="ar-SA"/>
              </w:rPr>
            </w:pPr>
            <w:r>
              <w:rPr>
                <w:rFonts w:hint="eastAsia" w:ascii="仿宋" w:eastAsia="仿宋" w:cs="仿宋"/>
                <w:b/>
                <w:bCs/>
                <w:color w:val="000000"/>
                <w:sz w:val="24"/>
                <w:szCs w:val="24"/>
                <w:lang w:bidi="ar-SA"/>
              </w:rPr>
              <w:t>课程目标3</w:t>
            </w:r>
            <w:r>
              <w:rPr>
                <w:rFonts w:hint="default" w:ascii="仿宋" w:eastAsia="仿宋" w:cs="仿宋"/>
                <w:b/>
                <w:bCs/>
                <w:color w:val="000000"/>
                <w:sz w:val="24"/>
                <w:szCs w:val="24"/>
                <w:lang w:bidi="ar-SA"/>
              </w:rPr>
              <w:t>：</w:t>
            </w:r>
            <w:r>
              <w:rPr>
                <w:rFonts w:hint="eastAsia" w:ascii="仿宋" w:eastAsia="仿宋"/>
                <w:sz w:val="24"/>
              </w:rPr>
              <w:t>关注</w:t>
            </w:r>
            <w:r>
              <w:rPr>
                <w:rFonts w:hint="eastAsia" w:ascii="仿宋" w:eastAsia="仿宋"/>
                <w:sz w:val="24"/>
                <w:lang w:val="en-US" w:eastAsia="en-US"/>
              </w:rPr>
              <w:t>中</w:t>
            </w:r>
            <w:r>
              <w:rPr>
                <w:rFonts w:hint="eastAsia" w:ascii="仿宋" w:eastAsia="仿宋"/>
                <w:sz w:val="24"/>
              </w:rPr>
              <w:t>学</w:t>
            </w:r>
            <w:r>
              <w:rPr>
                <w:rFonts w:hint="eastAsia" w:ascii="仿宋" w:eastAsia="仿宋"/>
                <w:sz w:val="24"/>
                <w:lang w:val="en-US" w:eastAsia="en-US"/>
              </w:rPr>
              <w:t>音乐</w:t>
            </w:r>
            <w:r>
              <w:rPr>
                <w:rFonts w:hint="eastAsia" w:ascii="仿宋" w:eastAsia="仿宋"/>
                <w:sz w:val="24"/>
              </w:rPr>
              <w:t>教育教学改革发展动态，初步掌握反思方法和技能，具有一定创新意识，运用批判性思维方法，</w:t>
            </w:r>
            <w:r>
              <w:rPr>
                <w:rFonts w:hint="eastAsia" w:ascii="仿宋" w:eastAsia="仿宋"/>
                <w:sz w:val="24"/>
                <w:lang w:val="en-US" w:eastAsia="zh-Hans"/>
              </w:rPr>
              <w:t>具有</w:t>
            </w:r>
            <w:r>
              <w:rPr>
                <w:rFonts w:hint="eastAsia" w:ascii="仿宋" w:eastAsia="仿宋"/>
                <w:sz w:val="24"/>
              </w:rPr>
              <w:t>分析和解决</w:t>
            </w:r>
            <w:r>
              <w:rPr>
                <w:rFonts w:hint="eastAsia" w:ascii="仿宋" w:eastAsia="仿宋"/>
                <w:sz w:val="24"/>
                <w:lang w:val="en-US" w:eastAsia="zh-Hans"/>
              </w:rPr>
              <w:t>毕业论文写作遇到问题的能力</w:t>
            </w:r>
            <w:r>
              <w:rPr>
                <w:rFonts w:hint="eastAsia" w:ascii="仿宋" w:eastAsia="仿宋"/>
                <w:sz w:val="24"/>
              </w:rPr>
              <w:t>，</w:t>
            </w:r>
            <w:r>
              <w:rPr>
                <w:rFonts w:hint="eastAsia" w:ascii="仿宋" w:eastAsia="仿宋"/>
                <w:sz w:val="24"/>
                <w:lang w:val="en-US" w:eastAsia="en-US"/>
              </w:rPr>
              <w:t>并进行反思改进</w:t>
            </w:r>
            <w:r>
              <w:rPr>
                <w:rFonts w:hint="eastAsia" w:ascii="仿宋" w:eastAsia="仿宋"/>
                <w:sz w:val="24"/>
              </w:rPr>
              <w:t>。</w:t>
            </w:r>
            <w:r>
              <w:rPr>
                <w:rFonts w:hint="eastAsia" w:ascii="仿宋" w:eastAsia="仿宋" w:cs="仿宋"/>
                <w:color w:val="000000"/>
                <w:sz w:val="24"/>
                <w:szCs w:val="24"/>
                <w:lang w:bidi="ar-SA"/>
              </w:rPr>
              <w:t>（支撑毕业要求</w:t>
            </w:r>
            <w:r>
              <w:rPr>
                <w:rFonts w:hint="eastAsia" w:ascii="仿宋" w:eastAsia="仿宋"/>
                <w:color w:val="000000"/>
                <w:sz w:val="24"/>
              </w:rPr>
              <w:t>7.1、7</w:t>
            </w:r>
            <w:r>
              <w:rPr>
                <w:rFonts w:hint="eastAsia" w:ascii="仿宋" w:eastAsia="仿宋"/>
                <w:color w:val="000000"/>
                <w:sz w:val="24"/>
                <w:lang w:val="en-US" w:eastAsia="en-US"/>
              </w:rPr>
              <w:t>.</w:t>
            </w:r>
            <w:r>
              <w:rPr>
                <w:rFonts w:hint="eastAsia" w:ascii="仿宋" w:eastAsia="仿宋"/>
                <w:color w:val="000000"/>
                <w:sz w:val="24"/>
              </w:rPr>
              <w:t>2</w:t>
            </w:r>
            <w:r>
              <w:rPr>
                <w:rFonts w:hint="eastAsia" w:ascii="仿宋" w:eastAsia="仿宋" w:cs="仿宋"/>
                <w:color w:val="000000"/>
                <w:sz w:val="24"/>
                <w:szCs w:val="24"/>
                <w:lang w:bidi="ar-SA"/>
              </w:rPr>
              <w:t>）</w:t>
            </w:r>
          </w:p>
          <w:p w14:paraId="1C590027">
            <w:pPr>
              <w:pageBreakBefore w:val="0"/>
              <w:kinsoku/>
              <w:overflowPunct/>
              <w:topLinePunct w:val="0"/>
              <w:autoSpaceDE w:val="0"/>
              <w:autoSpaceDN w:val="0"/>
              <w:bidi w:val="0"/>
              <w:adjustRightInd w:val="0"/>
              <w:snapToGrid w:val="0"/>
              <w:spacing w:line="240" w:lineRule="auto"/>
              <w:ind w:left="0" w:right="268"/>
              <w:rPr>
                <w:rFonts w:hint="eastAsia" w:ascii="仿宋" w:eastAsia="仿宋" w:cs="仿宋"/>
                <w:color w:val="000000"/>
                <w:sz w:val="24"/>
                <w:szCs w:val="24"/>
                <w:lang w:bidi="ar-SA"/>
              </w:rPr>
            </w:pPr>
            <w:r>
              <w:rPr>
                <w:rFonts w:hint="eastAsia" w:ascii="仿宋" w:eastAsia="仿宋" w:cs="仿宋"/>
                <w:b/>
                <w:bCs/>
                <w:color w:val="000000"/>
                <w:sz w:val="24"/>
                <w:szCs w:val="24"/>
                <w:lang w:bidi="ar-SA"/>
              </w:rPr>
              <w:t>课程目标4.</w:t>
            </w:r>
            <w:r>
              <w:rPr>
                <w:rFonts w:hint="eastAsia" w:ascii="仿宋" w:eastAsia="仿宋" w:cs="仿宋"/>
                <w:color w:val="000000"/>
                <w:sz w:val="24"/>
                <w:szCs w:val="24"/>
                <w:lang w:val="en-US" w:eastAsia="zh-Hans" w:bidi="ar-SA"/>
              </w:rPr>
              <w:t>能够</w:t>
            </w:r>
            <w:r>
              <w:rPr>
                <w:rFonts w:hint="eastAsia" w:ascii="仿宋" w:eastAsia="仿宋" w:cs="仿宋"/>
                <w:color w:val="000000"/>
                <w:sz w:val="24"/>
                <w:szCs w:val="24"/>
                <w:lang w:val="en-US" w:eastAsia="en-US" w:bidi="ar-SA"/>
              </w:rPr>
              <w:t>理解学习共同体的作用</w:t>
            </w:r>
            <w:r>
              <w:rPr>
                <w:rFonts w:hint="eastAsia" w:ascii="仿宋" w:eastAsia="仿宋" w:cs="仿宋"/>
                <w:color w:val="000000"/>
                <w:sz w:val="24"/>
                <w:szCs w:val="24"/>
                <w:lang w:bidi="ar-SA"/>
              </w:rPr>
              <w:t>，</w:t>
            </w:r>
            <w:r>
              <w:rPr>
                <w:rFonts w:hint="eastAsia" w:ascii="仿宋" w:eastAsia="仿宋" w:cs="仿宋"/>
                <w:color w:val="000000"/>
                <w:sz w:val="24"/>
                <w:szCs w:val="24"/>
                <w:lang w:val="en-US" w:eastAsia="en-US" w:bidi="ar-SA"/>
              </w:rPr>
              <w:t>掌握沟通交流的方式方法</w:t>
            </w:r>
            <w:r>
              <w:rPr>
                <w:rFonts w:hint="eastAsia" w:ascii="仿宋" w:eastAsia="仿宋" w:cs="仿宋"/>
                <w:color w:val="000000"/>
                <w:sz w:val="24"/>
                <w:szCs w:val="24"/>
                <w:lang w:bidi="ar-SA"/>
              </w:rPr>
              <w:t>，</w:t>
            </w:r>
            <w:r>
              <w:rPr>
                <w:rFonts w:hint="eastAsia" w:ascii="仿宋" w:eastAsia="仿宋" w:cs="仿宋"/>
                <w:color w:val="000000"/>
                <w:sz w:val="24"/>
                <w:szCs w:val="24"/>
                <w:lang w:val="en-US" w:eastAsia="zh-Hans" w:bidi="ar-SA"/>
              </w:rPr>
              <w:t>能够与指导教师就毕业论文相关问题进行有效沟通与探讨</w:t>
            </w:r>
            <w:r>
              <w:rPr>
                <w:rFonts w:hint="default" w:ascii="仿宋" w:eastAsia="仿宋" w:cs="仿宋"/>
                <w:color w:val="000000"/>
                <w:sz w:val="24"/>
                <w:szCs w:val="24"/>
                <w:lang w:eastAsia="zh-Hans" w:bidi="ar-SA"/>
              </w:rPr>
              <w:t>，</w:t>
            </w:r>
            <w:r>
              <w:rPr>
                <w:rFonts w:hint="eastAsia" w:ascii="仿宋" w:eastAsia="仿宋" w:cs="仿宋"/>
                <w:color w:val="000000"/>
                <w:sz w:val="24"/>
                <w:szCs w:val="24"/>
                <w:lang w:val="en-US" w:eastAsia="zh-Hans" w:bidi="ar-SA"/>
              </w:rPr>
              <w:t>听取意见及时改进</w:t>
            </w:r>
            <w:r>
              <w:rPr>
                <w:rFonts w:hint="eastAsia" w:ascii="仿宋" w:eastAsia="仿宋" w:cs="仿宋"/>
                <w:color w:val="000000"/>
                <w:sz w:val="24"/>
                <w:szCs w:val="24"/>
                <w:lang w:bidi="ar-SA"/>
              </w:rPr>
              <w:t>。（支撑毕业要求8.1、8</w:t>
            </w:r>
            <w:r>
              <w:rPr>
                <w:rFonts w:hint="eastAsia" w:ascii="仿宋" w:eastAsia="仿宋" w:cs="仿宋"/>
                <w:color w:val="000000"/>
                <w:sz w:val="24"/>
                <w:szCs w:val="24"/>
                <w:lang w:val="en-US" w:eastAsia="en-US" w:bidi="ar-SA"/>
              </w:rPr>
              <w:t>.</w:t>
            </w:r>
            <w:r>
              <w:rPr>
                <w:rFonts w:hint="eastAsia" w:ascii="仿宋" w:eastAsia="仿宋" w:cs="仿宋"/>
                <w:color w:val="000000"/>
                <w:sz w:val="24"/>
                <w:szCs w:val="24"/>
                <w:lang w:bidi="ar-SA"/>
              </w:rPr>
              <w:t>2）</w:t>
            </w:r>
          </w:p>
        </w:tc>
      </w:tr>
      <w:tr w14:paraId="3062DFB1">
        <w:trPr>
          <w:trHeight w:val="624" w:hRule="atLeast"/>
        </w:trPr>
        <w:tc>
          <w:tcPr>
            <w:tcW w:w="1251"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62A3C0D0">
            <w:pPr>
              <w:pageBreakBefore w:val="0"/>
              <w:kinsoku/>
              <w:overflowPunct/>
              <w:topLinePunct w:val="0"/>
              <w:bidi w:val="0"/>
              <w:spacing w:line="240" w:lineRule="auto"/>
            </w:pPr>
          </w:p>
        </w:tc>
        <w:tc>
          <w:tcPr>
            <w:tcW w:w="1278"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293E606">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课程目标</w:t>
            </w:r>
          </w:p>
        </w:tc>
        <w:tc>
          <w:tcPr>
            <w:tcW w:w="5038" w:type="dxa"/>
            <w:gridSpan w:val="7"/>
            <w:tcBorders>
              <w:top w:val="single" w:color="auto" w:sz="4" w:space="0"/>
              <w:left w:val="single" w:color="auto" w:sz="4" w:space="0"/>
              <w:bottom w:val="single" w:color="auto" w:sz="4" w:space="0"/>
              <w:right w:val="single" w:color="auto" w:sz="4" w:space="0"/>
            </w:tcBorders>
            <w:shd w:val="clear" w:color="auto" w:fill="FFFFFF"/>
            <w:noWrap/>
            <w:vAlign w:val="center"/>
          </w:tcPr>
          <w:p w14:paraId="49D6A344">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毕业要求分解指标点</w:t>
            </w:r>
          </w:p>
        </w:tc>
        <w:tc>
          <w:tcPr>
            <w:tcW w:w="1579"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14:paraId="327459E0">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毕业要求</w:t>
            </w:r>
          </w:p>
        </w:tc>
      </w:tr>
      <w:tr w14:paraId="439B3BB0">
        <w:trPr>
          <w:trHeight w:val="624" w:hRule="atLeast"/>
        </w:trPr>
        <w:tc>
          <w:tcPr>
            <w:tcW w:w="1251"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2B34FE1C">
            <w:pPr>
              <w:pageBreakBefore w:val="0"/>
              <w:kinsoku/>
              <w:overflowPunct/>
              <w:topLinePunct w:val="0"/>
              <w:bidi w:val="0"/>
              <w:spacing w:line="240" w:lineRule="auto"/>
            </w:pPr>
          </w:p>
        </w:tc>
        <w:tc>
          <w:tcPr>
            <w:tcW w:w="1278"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6F63E7D">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课程目标1</w:t>
            </w:r>
          </w:p>
        </w:tc>
        <w:tc>
          <w:tcPr>
            <w:tcW w:w="5038" w:type="dxa"/>
            <w:gridSpan w:val="7"/>
            <w:tcBorders>
              <w:top w:val="single" w:color="auto" w:sz="4" w:space="0"/>
              <w:left w:val="single" w:color="auto" w:sz="4" w:space="0"/>
              <w:bottom w:val="single" w:color="auto" w:sz="4" w:space="0"/>
              <w:right w:val="single" w:color="auto" w:sz="4" w:space="0"/>
            </w:tcBorders>
            <w:shd w:val="clear" w:color="auto" w:fill="FFFFFF"/>
            <w:noWrap/>
            <w:vAlign w:val="center"/>
          </w:tcPr>
          <w:p w14:paraId="2EF3F392">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2.1【职业认同】热爱音乐教育事业，具有从教意愿，认同教师工作的价值和意义，理解教师是学生学习的促进者与学生成长的引路人。了解中学教师的职业特征，领会中学教育对学生发展的价值和意义。</w:t>
            </w:r>
          </w:p>
          <w:p w14:paraId="1FE21D78">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2.2【用心从教】树立爱岗敬业精神，了解学生的身心发展特点和音乐的认知规律，关爱学生成长，保护学生安全，促进学生身心健康发展。在教育实践中能够认真履行工作职责、富有爱心、责任心，建立合理师生关系。</w:t>
            </w:r>
          </w:p>
        </w:tc>
        <w:tc>
          <w:tcPr>
            <w:tcW w:w="1579"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14:paraId="097C1C90">
            <w:pPr>
              <w:pageBreakBefore w:val="0"/>
              <w:kinsoku/>
              <w:overflowPunct/>
              <w:topLinePunct w:val="0"/>
              <w:bidi w:val="0"/>
              <w:adjustRightInd w:val="0"/>
              <w:snapToGrid w:val="0"/>
              <w:spacing w:line="240" w:lineRule="auto"/>
              <w:jc w:val="center"/>
              <w:rPr>
                <w:rFonts w:hint="eastAsia" w:ascii="仿宋" w:eastAsia="仿宋" w:cs="仿宋"/>
                <w:bCs/>
                <w:sz w:val="24"/>
                <w:szCs w:val="24"/>
                <w:lang w:bidi="ar-SA"/>
              </w:rPr>
            </w:pPr>
            <w:r>
              <w:rPr>
                <w:rFonts w:hint="eastAsia" w:ascii="仿宋" w:eastAsia="仿宋" w:cs="仿宋"/>
                <w:sz w:val="24"/>
                <w:szCs w:val="24"/>
                <w:lang w:bidi="ar-SA"/>
              </w:rPr>
              <w:t>教育情怀</w:t>
            </w:r>
            <w:r>
              <w:rPr>
                <w:rFonts w:hint="eastAsia" w:ascii="仿宋" w:eastAsia="仿宋" w:cs="仿宋"/>
                <w:bCs/>
                <w:sz w:val="24"/>
                <w:szCs w:val="24"/>
                <w:lang w:bidi="ar-SA"/>
              </w:rPr>
              <w:t>（L）</w:t>
            </w:r>
          </w:p>
        </w:tc>
      </w:tr>
      <w:tr w14:paraId="50A9F830">
        <w:trPr>
          <w:trHeight w:val="624" w:hRule="atLeast"/>
        </w:trPr>
        <w:tc>
          <w:tcPr>
            <w:tcW w:w="1251" w:type="dxa"/>
            <w:vMerge w:val="continue"/>
            <w:tcBorders>
              <w:left w:val="single" w:color="auto" w:sz="4" w:space="0"/>
              <w:right w:val="single" w:color="auto" w:sz="4" w:space="0"/>
            </w:tcBorders>
            <w:shd w:val="clear" w:color="auto" w:fill="auto"/>
            <w:noWrap w:val="0"/>
            <w:vAlign w:val="center"/>
          </w:tcPr>
          <w:p w14:paraId="34D3684B">
            <w:pPr>
              <w:pageBreakBefore w:val="0"/>
              <w:kinsoku/>
              <w:overflowPunct/>
              <w:topLinePunct w:val="0"/>
              <w:bidi w:val="0"/>
              <w:spacing w:line="240" w:lineRule="auto"/>
            </w:pPr>
          </w:p>
        </w:tc>
        <w:tc>
          <w:tcPr>
            <w:tcW w:w="1278"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2654F0A">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课程目标2</w:t>
            </w:r>
          </w:p>
        </w:tc>
        <w:tc>
          <w:tcPr>
            <w:tcW w:w="5038" w:type="dxa"/>
            <w:gridSpan w:val="7"/>
            <w:tcBorders>
              <w:top w:val="single" w:color="auto" w:sz="4" w:space="0"/>
              <w:left w:val="single" w:color="auto" w:sz="4" w:space="0"/>
              <w:bottom w:val="single" w:color="auto" w:sz="4" w:space="0"/>
              <w:right w:val="single" w:color="auto" w:sz="4" w:space="0"/>
            </w:tcBorders>
            <w:shd w:val="clear" w:color="auto" w:fill="FFFFFF"/>
            <w:noWrap w:val="0"/>
            <w:vAlign w:val="center"/>
          </w:tcPr>
          <w:p w14:paraId="5A48BF37">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3.3【知识整合】具有跨学科意识，了解音乐学科与其他学科的联系，了解融合教育的意义和作用，形成综合性的教育教学知识体系，能整合相关学科知识，运用跨学科知识分析和解决音乐教学中的问题。</w:t>
            </w:r>
          </w:p>
        </w:tc>
        <w:tc>
          <w:tcPr>
            <w:tcW w:w="1579" w:type="dxa"/>
            <w:gridSpan w:val="3"/>
            <w:tcBorders>
              <w:top w:val="single" w:color="auto" w:sz="4" w:space="0"/>
              <w:left w:val="single" w:color="auto" w:sz="4" w:space="0"/>
              <w:bottom w:val="single" w:color="auto" w:sz="4" w:space="0"/>
              <w:right w:val="single" w:color="auto" w:sz="4" w:space="0"/>
            </w:tcBorders>
            <w:shd w:val="clear" w:color="auto" w:fill="FFFFFF"/>
            <w:noWrap w:val="0"/>
            <w:vAlign w:val="center"/>
          </w:tcPr>
          <w:p w14:paraId="405F3DF9">
            <w:pPr>
              <w:pageBreakBefore w:val="0"/>
              <w:kinsoku/>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学科素养</w:t>
            </w:r>
            <w:r>
              <w:rPr>
                <w:rFonts w:hint="eastAsia" w:ascii="仿宋" w:eastAsia="仿宋" w:cs="仿宋"/>
                <w:bCs/>
                <w:sz w:val="24"/>
                <w:szCs w:val="24"/>
                <w:lang w:bidi="ar-SA"/>
              </w:rPr>
              <w:t>（H）</w:t>
            </w:r>
          </w:p>
        </w:tc>
      </w:tr>
      <w:tr w14:paraId="0E751F25">
        <w:trPr>
          <w:trHeight w:val="624" w:hRule="atLeast"/>
        </w:trPr>
        <w:tc>
          <w:tcPr>
            <w:tcW w:w="1251" w:type="dxa"/>
            <w:vMerge w:val="continue"/>
            <w:tcBorders>
              <w:left w:val="single" w:color="auto" w:sz="4" w:space="0"/>
              <w:right w:val="single" w:color="auto" w:sz="4" w:space="0"/>
            </w:tcBorders>
            <w:shd w:val="clear" w:color="auto" w:fill="auto"/>
            <w:noWrap w:val="0"/>
            <w:vAlign w:val="center"/>
          </w:tcPr>
          <w:p w14:paraId="70DEFD51">
            <w:pPr>
              <w:pageBreakBefore w:val="0"/>
              <w:kinsoku/>
              <w:overflowPunct/>
              <w:topLinePunct w:val="0"/>
              <w:bidi w:val="0"/>
              <w:spacing w:line="240" w:lineRule="auto"/>
            </w:pPr>
          </w:p>
        </w:tc>
        <w:tc>
          <w:tcPr>
            <w:tcW w:w="1278"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E4DBACF">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课程目标3</w:t>
            </w:r>
          </w:p>
        </w:tc>
        <w:tc>
          <w:tcPr>
            <w:tcW w:w="5038" w:type="dxa"/>
            <w:gridSpan w:val="7"/>
            <w:tcBorders>
              <w:top w:val="single" w:color="auto" w:sz="4" w:space="0"/>
              <w:left w:val="single" w:color="auto" w:sz="4" w:space="0"/>
              <w:bottom w:val="single" w:color="auto" w:sz="4" w:space="0"/>
              <w:right w:val="single" w:color="auto" w:sz="4" w:space="0"/>
            </w:tcBorders>
            <w:shd w:val="clear" w:color="auto" w:fill="FFFFFF"/>
            <w:noWrap w:val="0"/>
            <w:vAlign w:val="center"/>
          </w:tcPr>
          <w:p w14:paraId="639D429E">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7.1【反思改进】具有反思意识和批评性思维素养，初步掌握教育教学反思的基本方法和策略，能够对音乐教育教学实践活动进行有效的自我诊断，提出改进思路。</w:t>
            </w:r>
          </w:p>
          <w:p w14:paraId="24837A44">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7.2【自我发展】明确终身学习对中学教师成长的意义，形成终身学习与自我发展的意识，了解音乐教育发展趋势和社会需求，根据音乐基础教育课程的改革发展动态，进行职业生涯发展规划。</w:t>
            </w:r>
          </w:p>
        </w:tc>
        <w:tc>
          <w:tcPr>
            <w:tcW w:w="1579" w:type="dxa"/>
            <w:gridSpan w:val="3"/>
            <w:tcBorders>
              <w:top w:val="single" w:color="auto" w:sz="4" w:space="0"/>
              <w:left w:val="single" w:color="auto" w:sz="4" w:space="0"/>
              <w:bottom w:val="single" w:color="auto" w:sz="4" w:space="0"/>
              <w:right w:val="single" w:color="auto" w:sz="4" w:space="0"/>
            </w:tcBorders>
            <w:shd w:val="clear" w:color="auto" w:fill="FFFFFF"/>
            <w:noWrap w:val="0"/>
            <w:vAlign w:val="center"/>
          </w:tcPr>
          <w:p w14:paraId="1E3D299A">
            <w:pPr>
              <w:pageBreakBefore w:val="0"/>
              <w:kinsoku/>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学会反思（H）</w:t>
            </w:r>
          </w:p>
        </w:tc>
      </w:tr>
      <w:tr w14:paraId="4E143BC1">
        <w:trPr>
          <w:trHeight w:val="624" w:hRule="atLeast"/>
        </w:trPr>
        <w:tc>
          <w:tcPr>
            <w:tcW w:w="1251" w:type="dxa"/>
            <w:vMerge w:val="continue"/>
            <w:tcBorders>
              <w:left w:val="single" w:color="auto" w:sz="4" w:space="0"/>
              <w:bottom w:val="single" w:color="auto" w:sz="4" w:space="0"/>
              <w:right w:val="single" w:color="auto" w:sz="4" w:space="0"/>
            </w:tcBorders>
            <w:shd w:val="clear" w:color="auto" w:fill="auto"/>
            <w:noWrap w:val="0"/>
            <w:vAlign w:val="center"/>
          </w:tcPr>
          <w:p w14:paraId="48A4607A">
            <w:pPr>
              <w:pageBreakBefore w:val="0"/>
              <w:kinsoku/>
              <w:overflowPunct/>
              <w:topLinePunct w:val="0"/>
              <w:bidi w:val="0"/>
              <w:spacing w:line="240" w:lineRule="auto"/>
            </w:pPr>
          </w:p>
        </w:tc>
        <w:tc>
          <w:tcPr>
            <w:tcW w:w="1278"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45DC8CA">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课程目标4</w:t>
            </w:r>
          </w:p>
        </w:tc>
        <w:tc>
          <w:tcPr>
            <w:tcW w:w="5038" w:type="dxa"/>
            <w:gridSpan w:val="7"/>
            <w:tcBorders>
              <w:top w:val="single" w:color="auto" w:sz="4" w:space="0"/>
              <w:left w:val="single" w:color="auto" w:sz="4" w:space="0"/>
              <w:bottom w:val="single" w:color="auto" w:sz="4" w:space="0"/>
              <w:right w:val="single" w:color="auto" w:sz="4" w:space="0"/>
            </w:tcBorders>
            <w:shd w:val="clear" w:color="auto" w:fill="FFFFFF"/>
            <w:noWrap w:val="0"/>
            <w:vAlign w:val="center"/>
          </w:tcPr>
          <w:p w14:paraId="2BE33E50">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8.1【沟通交流】掌握人际交往和沟通的方式方法，能够在教育实践、社会实践中与同事、同行、专家等进行有效沟通交流。</w:t>
            </w:r>
          </w:p>
          <w:p w14:paraId="366B86CB">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8.2【团队协作】理解学习共同体的作用，掌握团队协作的基本策略，在课程学习、教育实践、艺术实践等活动中，具有良好的团队协作精神。</w:t>
            </w:r>
          </w:p>
        </w:tc>
        <w:tc>
          <w:tcPr>
            <w:tcW w:w="1579" w:type="dxa"/>
            <w:gridSpan w:val="3"/>
            <w:tcBorders>
              <w:top w:val="single" w:color="auto" w:sz="4" w:space="0"/>
              <w:left w:val="single" w:color="auto" w:sz="4" w:space="0"/>
              <w:bottom w:val="single" w:color="auto" w:sz="4" w:space="0"/>
              <w:right w:val="single" w:color="auto" w:sz="4" w:space="0"/>
            </w:tcBorders>
            <w:shd w:val="clear" w:color="auto" w:fill="FFFFFF"/>
            <w:noWrap w:val="0"/>
            <w:vAlign w:val="center"/>
          </w:tcPr>
          <w:p w14:paraId="47E7F8F0">
            <w:pPr>
              <w:pageBreakBefore w:val="0"/>
              <w:kinsoku/>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沟通合作（M）</w:t>
            </w:r>
          </w:p>
        </w:tc>
      </w:tr>
      <w:tr w14:paraId="33646704">
        <w:trPr>
          <w:trHeight w:val="624" w:hRule="atLeast"/>
        </w:trPr>
        <w:tc>
          <w:tcPr>
            <w:tcW w:w="1251" w:type="dxa"/>
            <w:vMerge w:val="restart"/>
            <w:tcBorders>
              <w:top w:val="single" w:color="auto" w:sz="4" w:space="0"/>
              <w:left w:val="single" w:color="auto" w:sz="4" w:space="0"/>
              <w:bottom w:val="single" w:color="auto" w:sz="4" w:space="0"/>
              <w:right w:val="single" w:color="auto" w:sz="4" w:space="0"/>
            </w:tcBorders>
            <w:shd w:val="clear" w:color="auto" w:fill="FFFFFF"/>
            <w:noWrap w:val="0"/>
            <w:vAlign w:val="center"/>
          </w:tcPr>
          <w:p w14:paraId="51BC95B6">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H</w:t>
            </w:r>
          </w:p>
          <w:p w14:paraId="576C0802">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实践内容（含教育实习、见习、研习，专业实习、毕业论文或毕业设计等）</w:t>
            </w:r>
          </w:p>
        </w:tc>
        <w:tc>
          <w:tcPr>
            <w:tcW w:w="6316" w:type="dxa"/>
            <w:gridSpan w:val="8"/>
            <w:tcBorders>
              <w:top w:val="single" w:color="auto" w:sz="4" w:space="0"/>
              <w:left w:val="single" w:color="auto" w:sz="4" w:space="0"/>
              <w:bottom w:val="single" w:color="auto" w:sz="4" w:space="0"/>
              <w:right w:val="single" w:color="auto" w:sz="4" w:space="0"/>
            </w:tcBorders>
            <w:noWrap w:val="0"/>
            <w:vAlign w:val="center"/>
          </w:tcPr>
          <w:p w14:paraId="7616281B">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实践主要内容和要求</w:t>
            </w:r>
          </w:p>
        </w:tc>
        <w:tc>
          <w:tcPr>
            <w:tcW w:w="1006" w:type="dxa"/>
            <w:gridSpan w:val="2"/>
            <w:tcBorders>
              <w:top w:val="single" w:color="auto" w:sz="4" w:space="0"/>
              <w:left w:val="single" w:color="auto" w:sz="4" w:space="0"/>
              <w:bottom w:val="single" w:color="auto" w:sz="4" w:space="0"/>
              <w:right w:val="single" w:color="auto" w:sz="4" w:space="0"/>
            </w:tcBorders>
            <w:noWrap w:val="0"/>
            <w:vAlign w:val="center"/>
          </w:tcPr>
          <w:p w14:paraId="1F68ABE9">
            <w:pPr>
              <w:pageBreakBefore w:val="0"/>
              <w:kinsoku/>
              <w:overflowPunct/>
              <w:topLinePunct w:val="0"/>
              <w:bidi w:val="0"/>
              <w:adjustRightInd w:val="0"/>
              <w:snapToGrid w:val="0"/>
              <w:spacing w:line="240" w:lineRule="auto"/>
              <w:jc w:val="center"/>
              <w:textAlignment w:val="baseline"/>
              <w:rPr>
                <w:rFonts w:hint="eastAsia" w:ascii="仿宋" w:eastAsia="仿宋" w:cs="仿宋"/>
                <w:color w:val="000000"/>
                <w:kern w:val="0"/>
                <w:sz w:val="24"/>
                <w:szCs w:val="24"/>
                <w:lang w:bidi="ar-SA"/>
              </w:rPr>
            </w:pPr>
            <w:r>
              <w:rPr>
                <w:rFonts w:hint="eastAsia" w:ascii="仿宋" w:eastAsia="仿宋" w:cs="仿宋"/>
                <w:color w:val="000000"/>
                <w:kern w:val="0"/>
                <w:sz w:val="24"/>
                <w:szCs w:val="24"/>
                <w:lang w:bidi="ar-SA"/>
              </w:rPr>
              <w:t>支撑课程目标</w:t>
            </w:r>
          </w:p>
        </w:tc>
        <w:tc>
          <w:tcPr>
            <w:tcW w:w="573" w:type="dxa"/>
            <w:tcBorders>
              <w:top w:val="single" w:color="auto" w:sz="4" w:space="0"/>
              <w:left w:val="single" w:color="auto" w:sz="4" w:space="0"/>
              <w:bottom w:val="single" w:color="auto" w:sz="4" w:space="0"/>
              <w:right w:val="single" w:color="auto" w:sz="4" w:space="0"/>
            </w:tcBorders>
            <w:noWrap w:val="0"/>
            <w:vAlign w:val="center"/>
          </w:tcPr>
          <w:p w14:paraId="761CB1C7">
            <w:pPr>
              <w:pageBreakBefore w:val="0"/>
              <w:kinsoku/>
              <w:overflowPunct/>
              <w:topLinePunct w:val="0"/>
              <w:bidi w:val="0"/>
              <w:adjustRightInd w:val="0"/>
              <w:snapToGrid w:val="0"/>
              <w:spacing w:line="240" w:lineRule="auto"/>
              <w:jc w:val="center"/>
              <w:rPr>
                <w:rFonts w:hint="eastAsia" w:ascii="仿宋" w:eastAsia="仿宋" w:cs="仿宋"/>
                <w:color w:val="000000"/>
                <w:kern w:val="0"/>
                <w:sz w:val="24"/>
                <w:szCs w:val="24"/>
                <w:lang w:bidi="ar-SA"/>
              </w:rPr>
            </w:pPr>
            <w:r>
              <w:rPr>
                <w:rFonts w:hint="eastAsia" w:ascii="仿宋" w:eastAsia="仿宋" w:cs="仿宋"/>
                <w:color w:val="000000"/>
                <w:kern w:val="0"/>
                <w:sz w:val="24"/>
                <w:szCs w:val="24"/>
                <w:lang w:bidi="ar-SA"/>
              </w:rPr>
              <w:t>时长</w:t>
            </w:r>
          </w:p>
          <w:p w14:paraId="6EB5AA2E">
            <w:pPr>
              <w:pageBreakBefore w:val="0"/>
              <w:kinsoku/>
              <w:overflowPunct/>
              <w:topLinePunct w:val="0"/>
              <w:bidi w:val="0"/>
              <w:adjustRightInd w:val="0"/>
              <w:snapToGrid w:val="0"/>
              <w:spacing w:line="240" w:lineRule="auto"/>
              <w:jc w:val="center"/>
              <w:rPr>
                <w:rFonts w:hint="eastAsia" w:ascii="仿宋" w:eastAsia="仿宋" w:cs="仿宋"/>
                <w:color w:val="4472C4"/>
                <w:sz w:val="24"/>
                <w:szCs w:val="24"/>
                <w:lang w:bidi="ar-SA"/>
              </w:rPr>
            </w:pPr>
            <w:r>
              <w:rPr>
                <w:rFonts w:hint="eastAsia" w:ascii="仿宋" w:eastAsia="仿宋" w:cs="仿宋"/>
                <w:color w:val="000000"/>
                <w:kern w:val="0"/>
                <w:sz w:val="24"/>
                <w:szCs w:val="24"/>
                <w:lang w:bidi="ar-SA"/>
              </w:rPr>
              <w:t>分配</w:t>
            </w:r>
          </w:p>
        </w:tc>
      </w:tr>
      <w:tr w14:paraId="2CEB9D1C">
        <w:trPr>
          <w:trHeight w:val="624" w:hRule="atLeast"/>
        </w:trPr>
        <w:tc>
          <w:tcPr>
            <w:tcW w:w="1251" w:type="dxa"/>
            <w:vMerge w:val="continue"/>
            <w:tcBorders>
              <w:top w:val="single" w:color="auto" w:sz="4" w:space="0"/>
              <w:left w:val="single" w:color="auto" w:sz="4" w:space="0"/>
              <w:bottom w:val="single" w:color="auto" w:sz="4" w:space="0"/>
              <w:right w:val="single" w:color="auto" w:sz="4" w:space="0"/>
            </w:tcBorders>
            <w:noWrap/>
            <w:vAlign w:val="center"/>
          </w:tcPr>
          <w:p w14:paraId="452072E0">
            <w:pPr>
              <w:pageBreakBefore w:val="0"/>
              <w:kinsoku/>
              <w:overflowPunct/>
              <w:topLinePunct w:val="0"/>
              <w:bidi w:val="0"/>
              <w:spacing w:line="240" w:lineRule="auto"/>
            </w:pPr>
          </w:p>
        </w:tc>
        <w:tc>
          <w:tcPr>
            <w:tcW w:w="6316" w:type="dxa"/>
            <w:gridSpan w:val="8"/>
            <w:tcBorders>
              <w:top w:val="single" w:color="auto" w:sz="4" w:space="0"/>
              <w:left w:val="single" w:color="auto" w:sz="4" w:space="0"/>
              <w:bottom w:val="single" w:color="auto" w:sz="4" w:space="0"/>
              <w:right w:val="single" w:color="auto" w:sz="4" w:space="0"/>
            </w:tcBorders>
            <w:noWrap/>
            <w:vAlign w:val="center"/>
          </w:tcPr>
          <w:p w14:paraId="321D9FE9">
            <w:pPr>
              <w:keepNext w:val="0"/>
              <w:keepLines w:val="0"/>
              <w:pageBreakBefore w:val="0"/>
              <w:widowControl w:val="0"/>
              <w:kinsoku/>
              <w:wordWrap/>
              <w:overflowPunct/>
              <w:topLinePunct w:val="0"/>
              <w:autoSpaceDE/>
              <w:autoSpaceDN/>
              <w:bidi w:val="0"/>
              <w:adjustRightInd w:val="0"/>
              <w:snapToGrid w:val="0"/>
              <w:spacing w:line="240" w:lineRule="auto"/>
              <w:ind w:left="105" w:leftChars="50"/>
              <w:jc w:val="left"/>
              <w:textAlignment w:val="auto"/>
              <w:rPr>
                <w:rFonts w:hint="eastAsia" w:ascii="仿宋" w:eastAsia="仿宋" w:cs="仿宋"/>
                <w:b/>
                <w:bCs w:val="0"/>
                <w:sz w:val="24"/>
                <w:szCs w:val="24"/>
                <w:lang w:bidi="ar-SA"/>
              </w:rPr>
            </w:pPr>
            <w:r>
              <w:rPr>
                <w:rFonts w:hint="eastAsia" w:ascii="仿宋" w:eastAsia="仿宋" w:cs="仿宋"/>
                <w:b/>
                <w:bCs w:val="0"/>
                <w:sz w:val="24"/>
                <w:szCs w:val="24"/>
                <w:lang w:bidi="ar-SA"/>
              </w:rPr>
              <w:t>一、论文选题</w:t>
            </w:r>
          </w:p>
          <w:p w14:paraId="5F4492D9">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（一）符合专业培养方向，不偏离本专业基本知识和专业领域，尽可能结合专业发展、择业、就业的实际情况，突出专业人才培养特色。</w:t>
            </w:r>
          </w:p>
          <w:p w14:paraId="1EA5A969">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（二）选题</w:t>
            </w:r>
            <w:r>
              <w:rPr>
                <w:rFonts w:hint="eastAsia" w:ascii="仿宋" w:eastAsia="仿宋" w:cs="仿宋"/>
                <w:sz w:val="24"/>
                <w:szCs w:val="24"/>
                <w:lang w:val="en-US" w:eastAsia="zh-Hans" w:bidi="ar-SA"/>
              </w:rPr>
              <w:t>具有</w:t>
            </w:r>
            <w:r>
              <w:rPr>
                <w:rFonts w:hint="eastAsia" w:ascii="仿宋" w:eastAsia="仿宋" w:cs="仿宋"/>
                <w:sz w:val="24"/>
                <w:szCs w:val="24"/>
                <w:lang w:bidi="ar-SA"/>
              </w:rPr>
              <w:t>一定的理论与</w:t>
            </w:r>
            <w:r>
              <w:rPr>
                <w:rFonts w:hint="eastAsia" w:ascii="仿宋" w:eastAsia="仿宋" w:cs="仿宋"/>
                <w:sz w:val="24"/>
                <w:szCs w:val="24"/>
                <w:lang w:val="en-US" w:eastAsia="zh-CN" w:bidi="ar-SA"/>
              </w:rPr>
              <w:t>应用</w:t>
            </w:r>
            <w:r>
              <w:rPr>
                <w:rFonts w:hint="eastAsia" w:ascii="仿宋" w:eastAsia="仿宋" w:cs="仿宋"/>
                <w:sz w:val="24"/>
                <w:szCs w:val="24"/>
                <w:lang w:bidi="ar-SA"/>
              </w:rPr>
              <w:t>价值</w:t>
            </w:r>
            <w:r>
              <w:rPr>
                <w:rFonts w:hint="eastAsia" w:ascii="仿宋" w:eastAsia="仿宋" w:cs="仿宋"/>
                <w:sz w:val="24"/>
                <w:szCs w:val="24"/>
                <w:lang w:eastAsia="zh-CN" w:bidi="ar-SA"/>
              </w:rPr>
              <w:t>，</w:t>
            </w:r>
            <w:r>
              <w:rPr>
                <w:rFonts w:hint="eastAsia" w:ascii="仿宋" w:eastAsia="仿宋" w:cs="仿宋"/>
                <w:sz w:val="24"/>
                <w:szCs w:val="24"/>
                <w:lang w:bidi="ar-SA"/>
              </w:rPr>
              <w:t>要与基础教育</w:t>
            </w:r>
            <w:r>
              <w:rPr>
                <w:rFonts w:hint="eastAsia" w:ascii="仿宋" w:eastAsia="仿宋" w:cs="仿宋"/>
                <w:sz w:val="24"/>
                <w:szCs w:val="24"/>
                <w:lang w:eastAsia="zh-CN" w:bidi="ar-SA"/>
              </w:rPr>
              <w:t>、</w:t>
            </w:r>
            <w:r>
              <w:rPr>
                <w:rFonts w:hint="eastAsia" w:ascii="仿宋" w:eastAsia="仿宋" w:cs="仿宋"/>
                <w:sz w:val="24"/>
                <w:szCs w:val="24"/>
                <w:lang w:val="en-US" w:eastAsia="zh-CN" w:bidi="ar-SA"/>
              </w:rPr>
              <w:t>音乐美育等</w:t>
            </w:r>
            <w:r>
              <w:rPr>
                <w:rFonts w:hint="eastAsia" w:ascii="仿宋" w:eastAsia="仿宋" w:cs="仿宋"/>
                <w:sz w:val="24"/>
                <w:szCs w:val="24"/>
                <w:lang w:bidi="ar-SA"/>
              </w:rPr>
              <w:t>相结合。</w:t>
            </w:r>
          </w:p>
          <w:p w14:paraId="483EA24E">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（三）</w:t>
            </w:r>
            <w:r>
              <w:rPr>
                <w:rFonts w:hint="eastAsia" w:ascii="仿宋" w:eastAsia="仿宋" w:cs="仿宋"/>
                <w:sz w:val="24"/>
                <w:szCs w:val="24"/>
                <w:lang w:val="en-US" w:eastAsia="zh-CN" w:bidi="ar-SA"/>
              </w:rPr>
              <w:t>选题</w:t>
            </w:r>
            <w:r>
              <w:rPr>
                <w:rFonts w:hint="eastAsia" w:ascii="仿宋" w:eastAsia="仿宋" w:cs="仿宋"/>
                <w:sz w:val="24"/>
                <w:szCs w:val="24"/>
                <w:lang w:bidi="ar-SA"/>
              </w:rPr>
              <w:t>的工作量和难度要适当，</w:t>
            </w:r>
            <w:r>
              <w:rPr>
                <w:rFonts w:hint="eastAsia" w:ascii="仿宋" w:eastAsia="仿宋" w:cs="仿宋"/>
                <w:sz w:val="24"/>
                <w:szCs w:val="24"/>
                <w:lang w:val="en-US" w:eastAsia="zh-CN" w:bidi="ar-SA"/>
              </w:rPr>
              <w:t>既</w:t>
            </w:r>
            <w:r>
              <w:rPr>
                <w:rFonts w:hint="eastAsia" w:ascii="仿宋" w:eastAsia="仿宋" w:cs="仿宋"/>
                <w:sz w:val="24"/>
                <w:szCs w:val="24"/>
                <w:lang w:val="en-US" w:eastAsia="zh-Hans" w:bidi="ar-SA"/>
              </w:rPr>
              <w:t>有</w:t>
            </w:r>
            <w:r>
              <w:rPr>
                <w:rFonts w:hint="eastAsia" w:ascii="仿宋" w:eastAsia="仿宋" w:cs="仿宋"/>
                <w:sz w:val="24"/>
                <w:szCs w:val="24"/>
                <w:lang w:bidi="ar-SA"/>
              </w:rPr>
              <w:t>一定</w:t>
            </w:r>
            <w:r>
              <w:rPr>
                <w:rFonts w:hint="eastAsia" w:ascii="仿宋" w:eastAsia="仿宋" w:cs="仿宋"/>
                <w:sz w:val="24"/>
                <w:szCs w:val="24"/>
                <w:lang w:val="en-US" w:eastAsia="zh-Hans" w:bidi="ar-SA"/>
              </w:rPr>
              <w:t>的</w:t>
            </w:r>
            <w:r>
              <w:rPr>
                <w:rFonts w:hint="eastAsia" w:ascii="仿宋" w:eastAsia="仿宋" w:cs="仿宋"/>
                <w:sz w:val="24"/>
                <w:szCs w:val="24"/>
                <w:lang w:bidi="ar-SA"/>
              </w:rPr>
              <w:t>难度或强度，又能在规定的时间内完成全部任务</w:t>
            </w:r>
            <w:r>
              <w:rPr>
                <w:rFonts w:hint="eastAsia" w:ascii="仿宋" w:eastAsia="仿宋" w:cs="仿宋"/>
                <w:sz w:val="24"/>
                <w:szCs w:val="24"/>
                <w:lang w:val="en-US" w:eastAsia="zh-CN" w:bidi="ar-SA"/>
              </w:rPr>
              <w:t>并</w:t>
            </w:r>
            <w:r>
              <w:rPr>
                <w:rFonts w:hint="eastAsia" w:ascii="仿宋" w:eastAsia="仿宋" w:cs="仿宋"/>
                <w:sz w:val="24"/>
                <w:szCs w:val="24"/>
                <w:lang w:bidi="ar-SA"/>
              </w:rPr>
              <w:t>得出阶段性成果。</w:t>
            </w:r>
          </w:p>
          <w:p w14:paraId="52C4FB3B">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（四）选题应保证类型的多样性，应贯彻因材施教的原则，使学生的创造性得以充分发挥。</w:t>
            </w:r>
          </w:p>
          <w:p w14:paraId="1D396E6F">
            <w:pPr>
              <w:pageBreakBefore w:val="0"/>
              <w:kinsoku/>
              <w:overflowPunct/>
              <w:topLinePunct w:val="0"/>
              <w:bidi w:val="0"/>
              <w:adjustRightInd w:val="0"/>
              <w:snapToGrid w:val="0"/>
              <w:spacing w:line="240" w:lineRule="auto"/>
              <w:jc w:val="left"/>
              <w:rPr>
                <w:rFonts w:hint="eastAsia" w:ascii="仿宋" w:eastAsia="仿宋" w:cs="仿宋"/>
                <w:b/>
                <w:bCs w:val="0"/>
                <w:sz w:val="24"/>
                <w:szCs w:val="24"/>
                <w:lang w:bidi="ar-SA"/>
              </w:rPr>
            </w:pPr>
            <w:r>
              <w:rPr>
                <w:rFonts w:hint="eastAsia" w:ascii="仿宋" w:eastAsia="仿宋" w:cs="仿宋"/>
                <w:b/>
                <w:bCs w:val="0"/>
                <w:sz w:val="24"/>
                <w:szCs w:val="24"/>
                <w:lang w:bidi="ar-SA"/>
              </w:rPr>
              <w:t>二、论文写作</w:t>
            </w:r>
          </w:p>
          <w:p w14:paraId="0C8FE8A1">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（一）毕业论文的撰写要严格遵守《三明学院毕业论文(设计)撰写规范》。</w:t>
            </w:r>
          </w:p>
          <w:p w14:paraId="07D809B6">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（二）毕业论文必须由学生本人在指导老师指导下独立完成，不得弄虚作假，抄袭他人成果。</w:t>
            </w:r>
          </w:p>
          <w:p w14:paraId="7594370E">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（三）毕业论文要求观点明确、论证充分，条理清楚、结构严谨，图表规范、文字通畅。</w:t>
            </w:r>
          </w:p>
          <w:p w14:paraId="0C4BF88D">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（四）毕业论文字数原则上不少于5000字。</w:t>
            </w:r>
          </w:p>
          <w:p w14:paraId="5F579D09">
            <w:pPr>
              <w:pageBreakBefore w:val="0"/>
              <w:kinsoku/>
              <w:overflowPunct/>
              <w:topLinePunct w:val="0"/>
              <w:bidi w:val="0"/>
              <w:adjustRightInd w:val="0"/>
              <w:snapToGrid w:val="0"/>
              <w:spacing w:line="240" w:lineRule="auto"/>
              <w:jc w:val="left"/>
              <w:rPr>
                <w:rFonts w:hint="eastAsia" w:ascii="仿宋" w:eastAsia="仿宋" w:cs="仿宋"/>
                <w:b/>
                <w:bCs w:val="0"/>
                <w:sz w:val="24"/>
                <w:szCs w:val="24"/>
                <w:lang w:bidi="ar-SA"/>
              </w:rPr>
            </w:pPr>
            <w:r>
              <w:rPr>
                <w:rFonts w:hint="eastAsia" w:ascii="仿宋" w:eastAsia="仿宋" w:cs="仿宋"/>
                <w:b/>
                <w:bCs w:val="0"/>
                <w:sz w:val="24"/>
                <w:szCs w:val="24"/>
                <w:lang w:bidi="ar-SA"/>
              </w:rPr>
              <w:t>三、答辩资格审查</w:t>
            </w:r>
          </w:p>
          <w:p w14:paraId="32BDB273">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在学生进入答辩程序之前，需要将毕业论文期间全部材料和成果提交给指导教师，指导教师主要从以下几个方面审查其是否具备答辩资格：</w:t>
            </w:r>
          </w:p>
          <w:p w14:paraId="03F69D19">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（一）毕业论文材料是否齐全（包括开题报告、中期检查表、论文正文等）。</w:t>
            </w:r>
          </w:p>
          <w:p w14:paraId="0DBF6521">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（二）毕业论文正文是否符合《三明学院毕业论文（设计）撰写规范要求》，是否符合专业规范和标准。</w:t>
            </w:r>
          </w:p>
          <w:p w14:paraId="4F4A98B3">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（三）学生的毕业论文需上传至“大学生论文抄袭检测系统”进行检测，文字复制比检测结果</w:t>
            </w:r>
            <w:r>
              <w:rPr>
                <w:rFonts w:hint="eastAsia" w:ascii="仿宋" w:eastAsia="仿宋" w:cs="仿宋"/>
                <w:sz w:val="24"/>
                <w:szCs w:val="24"/>
                <w:lang w:val="en-US" w:eastAsia="zh-CN" w:bidi="ar-SA"/>
              </w:rPr>
              <w:t>要</w:t>
            </w:r>
            <w:r>
              <w:rPr>
                <w:rFonts w:hint="eastAsia" w:ascii="仿宋" w:eastAsia="仿宋" w:cs="仿宋"/>
                <w:sz w:val="24"/>
                <w:szCs w:val="24"/>
                <w:lang w:bidi="ar-SA"/>
              </w:rPr>
              <w:t>小于20%</w:t>
            </w:r>
            <w:r>
              <w:rPr>
                <w:rFonts w:hint="eastAsia" w:ascii="仿宋" w:eastAsia="仿宋" w:cs="仿宋"/>
                <w:sz w:val="24"/>
                <w:szCs w:val="24"/>
                <w:lang w:eastAsia="zh-CN" w:bidi="ar-SA"/>
              </w:rPr>
              <w:t>，</w:t>
            </w:r>
            <w:r>
              <w:rPr>
                <w:rFonts w:hint="eastAsia" w:ascii="仿宋" w:eastAsia="仿宋" w:cs="仿宋"/>
                <w:sz w:val="24"/>
                <w:szCs w:val="24"/>
                <w:lang w:val="en-US" w:eastAsia="zh-CN" w:bidi="ar-SA"/>
              </w:rPr>
              <w:t>方</w:t>
            </w:r>
            <w:r>
              <w:rPr>
                <w:rFonts w:hint="eastAsia" w:ascii="仿宋" w:eastAsia="仿宋" w:cs="仿宋"/>
                <w:sz w:val="24"/>
                <w:szCs w:val="24"/>
                <w:lang w:bidi="ar-SA"/>
              </w:rPr>
              <w:t>可参加答辩及成绩评定。</w:t>
            </w:r>
          </w:p>
          <w:p w14:paraId="67FEE899">
            <w:pPr>
              <w:pageBreakBefore w:val="0"/>
              <w:kinsoku/>
              <w:overflowPunct/>
              <w:topLinePunct w:val="0"/>
              <w:bidi w:val="0"/>
              <w:adjustRightInd w:val="0"/>
              <w:snapToGrid w:val="0"/>
              <w:spacing w:line="240" w:lineRule="auto"/>
              <w:jc w:val="left"/>
              <w:rPr>
                <w:rFonts w:hint="eastAsia" w:ascii="仿宋" w:eastAsia="仿宋" w:cs="仿宋"/>
                <w:b/>
                <w:bCs w:val="0"/>
                <w:sz w:val="24"/>
                <w:szCs w:val="24"/>
                <w:lang w:bidi="ar-SA"/>
              </w:rPr>
            </w:pPr>
            <w:r>
              <w:rPr>
                <w:rFonts w:hint="eastAsia" w:ascii="仿宋" w:eastAsia="仿宋" w:cs="仿宋"/>
                <w:b/>
                <w:bCs w:val="0"/>
                <w:sz w:val="24"/>
                <w:szCs w:val="24"/>
                <w:lang w:bidi="ar-SA"/>
              </w:rPr>
              <w:t>四、毕业论文评阅</w:t>
            </w:r>
          </w:p>
          <w:p w14:paraId="7E8B0EC8">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（一）毕业论文应经评阅教师评阅。评阅教师应由教育与音乐学院聘请，须回避毕业生</w:t>
            </w:r>
            <w:r>
              <w:rPr>
                <w:rFonts w:hint="eastAsia" w:ascii="仿宋" w:eastAsia="仿宋" w:cs="仿宋"/>
                <w:sz w:val="24"/>
                <w:szCs w:val="24"/>
                <w:lang w:val="en-US" w:eastAsia="zh-CN" w:bidi="ar-SA"/>
              </w:rPr>
              <w:t>的论文</w:t>
            </w:r>
            <w:r>
              <w:rPr>
                <w:rFonts w:hint="eastAsia" w:ascii="仿宋" w:eastAsia="仿宋" w:cs="仿宋"/>
                <w:sz w:val="24"/>
                <w:szCs w:val="24"/>
                <w:lang w:bidi="ar-SA"/>
              </w:rPr>
              <w:t>指导教师，不搞形式上的交流互评；评阅教师要认真阅读学生和指导教师所提供的材料，填写评语和成绩。</w:t>
            </w:r>
          </w:p>
          <w:p w14:paraId="6CDC0D20">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二）评阅教师应全面考察学生对中英文摘要、关键词、正文、参考文献等内容，严格审查毕业论文是否符合撰写规范和格式要求，重视对毕业论文的条理性、逻辑性、相关内容的关联性、对应性和一致性的审查。</w:t>
            </w:r>
          </w:p>
          <w:p w14:paraId="4BB9F88A">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（三）指导教师或评阅教师应在答辩前完成论文的评阅和批改，并及时将发现的问题反馈给学生，督促学生修改</w:t>
            </w:r>
            <w:r>
              <w:rPr>
                <w:rFonts w:hint="eastAsia" w:ascii="仿宋" w:eastAsia="仿宋" w:cs="仿宋"/>
                <w:sz w:val="24"/>
                <w:szCs w:val="24"/>
                <w:lang w:eastAsia="zh-CN" w:bidi="ar-SA"/>
              </w:rPr>
              <w:t>，</w:t>
            </w:r>
            <w:r>
              <w:rPr>
                <w:rFonts w:hint="eastAsia" w:ascii="仿宋" w:eastAsia="仿宋" w:cs="仿宋"/>
                <w:sz w:val="24"/>
                <w:szCs w:val="24"/>
                <w:lang w:bidi="ar-SA"/>
              </w:rPr>
              <w:t>不得在答辩时边看材料边评阅批改。</w:t>
            </w:r>
          </w:p>
          <w:p w14:paraId="29126566">
            <w:pPr>
              <w:pageBreakBefore w:val="0"/>
              <w:kinsoku/>
              <w:overflowPunct/>
              <w:topLinePunct w:val="0"/>
              <w:bidi w:val="0"/>
              <w:adjustRightInd w:val="0"/>
              <w:snapToGrid w:val="0"/>
              <w:spacing w:line="240" w:lineRule="auto"/>
              <w:jc w:val="left"/>
              <w:rPr>
                <w:rFonts w:hint="eastAsia" w:ascii="仿宋" w:eastAsia="仿宋" w:cs="仿宋"/>
                <w:b/>
                <w:bCs w:val="0"/>
                <w:sz w:val="24"/>
                <w:szCs w:val="24"/>
                <w:lang w:bidi="ar-SA"/>
              </w:rPr>
            </w:pPr>
            <w:r>
              <w:rPr>
                <w:rFonts w:hint="eastAsia" w:ascii="仿宋" w:eastAsia="仿宋" w:cs="仿宋"/>
                <w:b/>
                <w:bCs w:val="0"/>
                <w:sz w:val="24"/>
                <w:szCs w:val="24"/>
                <w:lang w:bidi="ar-SA"/>
              </w:rPr>
              <w:t>五、毕业论文答辩</w:t>
            </w:r>
          </w:p>
          <w:p w14:paraId="38DF9F11">
            <w:pPr>
              <w:pageBreakBefore w:val="0"/>
              <w:kinsoku/>
              <w:overflowPunct/>
              <w:topLinePunct w:val="0"/>
              <w:bidi w:val="0"/>
              <w:adjustRightInd w:val="0"/>
              <w:snapToGrid w:val="0"/>
              <w:spacing w:line="240" w:lineRule="auto"/>
              <w:jc w:val="left"/>
              <w:rPr>
                <w:rFonts w:hint="eastAsia" w:ascii="仿宋" w:eastAsia="仿宋" w:cs="仿宋"/>
                <w:bCs/>
                <w:sz w:val="24"/>
                <w:szCs w:val="24"/>
                <w:lang w:bidi="ar-SA"/>
              </w:rPr>
            </w:pPr>
            <w:r>
              <w:rPr>
                <w:rFonts w:hint="eastAsia" w:ascii="仿宋" w:eastAsia="仿宋" w:cs="仿宋"/>
                <w:bCs/>
                <w:sz w:val="24"/>
                <w:szCs w:val="24"/>
                <w:lang w:bidi="ar-SA"/>
              </w:rPr>
              <w:t>（一）要求</w:t>
            </w:r>
          </w:p>
          <w:p w14:paraId="3A73E7B7">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1．学院应成立若干3-5人组成的答辩小组，具体负责答辩工作。答辩小组成员应具有中级及以上职称，组长须由高级职称教师担任。</w:t>
            </w:r>
          </w:p>
          <w:p w14:paraId="3B829AC2">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2.学生通过答辩方能取得毕业论文成绩。毕业论文答辩分为一次答辩和二次答辩，一次答辩结果为不及格或有争议的学生，须参加二次答辩。</w:t>
            </w:r>
          </w:p>
          <w:p w14:paraId="4E015EC5">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3.答辩时学院须安排学院督导组巡查答辩现场，并做好巡查记录。</w:t>
            </w:r>
          </w:p>
          <w:p w14:paraId="58EDD76E">
            <w:pPr>
              <w:pageBreakBefore w:val="0"/>
              <w:kinsoku/>
              <w:overflowPunct/>
              <w:topLinePunct w:val="0"/>
              <w:bidi w:val="0"/>
              <w:adjustRightInd w:val="0"/>
              <w:snapToGrid w:val="0"/>
              <w:spacing w:line="240" w:lineRule="auto"/>
              <w:jc w:val="left"/>
              <w:rPr>
                <w:rFonts w:hint="eastAsia" w:ascii="仿宋" w:eastAsia="仿宋" w:cs="仿宋"/>
                <w:bCs/>
                <w:sz w:val="24"/>
                <w:szCs w:val="24"/>
                <w:lang w:bidi="ar-SA"/>
              </w:rPr>
            </w:pPr>
            <w:r>
              <w:rPr>
                <w:rFonts w:hint="eastAsia" w:ascii="仿宋" w:eastAsia="仿宋" w:cs="仿宋"/>
                <w:bCs/>
                <w:sz w:val="24"/>
                <w:szCs w:val="24"/>
                <w:lang w:bidi="ar-SA"/>
              </w:rPr>
              <w:t>（二）答辩程序</w:t>
            </w:r>
          </w:p>
          <w:p w14:paraId="76CF2DF7">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1.过答辩资格审查的学生应在答辩前将毕业论文的所有材料送交答辩小组成员审阅。</w:t>
            </w:r>
          </w:p>
          <w:p w14:paraId="18012842">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2.参加答辩的学生，应向答辩小组汇报毕业论文工作情况，内容包括：题目的来源、要求、主要工作和论点、取得的主要成果和新见解、存在的不足及改进意见等。</w:t>
            </w:r>
          </w:p>
          <w:p w14:paraId="6DDF7739">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3.答辩小组成员认真听取学生在答辩中的汇报和对问题的回答，依据评分标准评定毕业论文成绩，并为每位参加答辩的学生写出不少于100字的评语。</w:t>
            </w:r>
          </w:p>
          <w:p w14:paraId="56236EEB">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4.答辩情况要有专人记录，并填写毕业论文答辩记录表。</w:t>
            </w:r>
          </w:p>
          <w:p w14:paraId="46173260">
            <w:pPr>
              <w:pageBreakBefore w:val="0"/>
              <w:kinsoku/>
              <w:overflowPunct/>
              <w:topLinePunct w:val="0"/>
              <w:bidi w:val="0"/>
              <w:adjustRightInd w:val="0"/>
              <w:snapToGrid w:val="0"/>
              <w:spacing w:line="240" w:lineRule="auto"/>
              <w:jc w:val="left"/>
              <w:rPr>
                <w:rFonts w:hint="eastAsia" w:ascii="仿宋" w:eastAsia="仿宋" w:cs="仿宋"/>
                <w:b/>
                <w:bCs w:val="0"/>
                <w:sz w:val="24"/>
                <w:szCs w:val="24"/>
                <w:lang w:bidi="ar-SA"/>
              </w:rPr>
            </w:pPr>
            <w:r>
              <w:rPr>
                <w:rFonts w:hint="eastAsia" w:ascii="仿宋" w:eastAsia="仿宋" w:cs="仿宋"/>
                <w:b/>
                <w:bCs w:val="0"/>
                <w:sz w:val="24"/>
                <w:szCs w:val="24"/>
                <w:lang w:bidi="ar-SA"/>
              </w:rPr>
              <w:t>六、毕业论文成绩评定</w:t>
            </w:r>
          </w:p>
          <w:p w14:paraId="39B0D48C">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（一）毕业论文成绩</w:t>
            </w:r>
            <w:r>
              <w:rPr>
                <w:rFonts w:hint="eastAsia" w:ascii="仿宋" w:eastAsia="仿宋" w:cs="仿宋"/>
                <w:sz w:val="24"/>
                <w:szCs w:val="24"/>
                <w:lang w:val="en-US" w:eastAsia="en-US" w:bidi="ar-SA"/>
              </w:rPr>
              <w:t>一般</w:t>
            </w:r>
            <w:r>
              <w:rPr>
                <w:rFonts w:hint="eastAsia" w:ascii="仿宋" w:eastAsia="仿宋" w:cs="仿宋"/>
                <w:sz w:val="24"/>
                <w:szCs w:val="24"/>
                <w:lang w:bidi="ar-SA"/>
              </w:rPr>
              <w:t>由指导教师成绩、评阅教师成绩和答辩</w:t>
            </w:r>
            <w:r>
              <w:rPr>
                <w:rFonts w:hint="eastAsia" w:ascii="仿宋" w:eastAsia="仿宋" w:cs="仿宋"/>
                <w:sz w:val="24"/>
                <w:szCs w:val="24"/>
                <w:lang w:val="en-US" w:eastAsia="en-US" w:bidi="ar-SA"/>
              </w:rPr>
              <w:t>小组</w:t>
            </w:r>
            <w:r>
              <w:rPr>
                <w:rFonts w:hint="eastAsia" w:ascii="仿宋" w:eastAsia="仿宋" w:cs="仿宋"/>
                <w:sz w:val="24"/>
                <w:szCs w:val="24"/>
                <w:lang w:bidi="ar-SA"/>
              </w:rPr>
              <w:t>成绩三</w:t>
            </w:r>
            <w:bookmarkEnd w:id="229"/>
            <w:r>
              <w:rPr>
                <w:rFonts w:hint="eastAsia" w:ascii="仿宋" w:eastAsia="仿宋" w:cs="仿宋"/>
                <w:sz w:val="24"/>
                <w:szCs w:val="24"/>
                <w:lang w:bidi="ar-SA"/>
              </w:rPr>
              <w:t>部分组成，毕业论文（设计）成绩原则上由指导教师</w:t>
            </w:r>
            <w:r>
              <w:rPr>
                <w:rFonts w:hint="eastAsia" w:ascii="仿宋" w:eastAsia="仿宋" w:cs="仿宋"/>
                <w:sz w:val="24"/>
                <w:szCs w:val="24"/>
                <w:lang w:val="en-US" w:eastAsia="en-US" w:bidi="ar-SA"/>
              </w:rPr>
              <w:t>评定</w:t>
            </w:r>
            <w:r>
              <w:rPr>
                <w:rFonts w:hint="eastAsia" w:ascii="仿宋" w:eastAsia="仿宋" w:cs="仿宋"/>
                <w:sz w:val="24"/>
                <w:szCs w:val="24"/>
                <w:lang w:bidi="ar-SA"/>
              </w:rPr>
              <w:t>成绩（40%）、评阅教师</w:t>
            </w:r>
            <w:r>
              <w:rPr>
                <w:rFonts w:hint="eastAsia" w:ascii="仿宋" w:eastAsia="仿宋" w:cs="仿宋"/>
                <w:sz w:val="24"/>
                <w:szCs w:val="24"/>
                <w:lang w:val="en-US" w:eastAsia="en-US" w:bidi="ar-SA"/>
              </w:rPr>
              <w:t>评定</w:t>
            </w:r>
            <w:r>
              <w:rPr>
                <w:rFonts w:hint="eastAsia" w:ascii="仿宋" w:eastAsia="仿宋" w:cs="仿宋"/>
                <w:sz w:val="24"/>
                <w:szCs w:val="24"/>
                <w:lang w:bidi="ar-SA"/>
              </w:rPr>
              <w:t>成绩（20%）和</w:t>
            </w:r>
            <w:r>
              <w:rPr>
                <w:rFonts w:hint="eastAsia" w:ascii="仿宋" w:eastAsia="仿宋" w:cs="仿宋"/>
                <w:sz w:val="24"/>
                <w:szCs w:val="24"/>
                <w:lang w:val="en-US" w:eastAsia="en-US" w:bidi="ar-SA"/>
              </w:rPr>
              <w:t>答辩小组评定</w:t>
            </w:r>
            <w:r>
              <w:rPr>
                <w:rFonts w:hint="eastAsia" w:ascii="仿宋" w:eastAsia="仿宋" w:cs="仿宋"/>
                <w:sz w:val="24"/>
                <w:szCs w:val="24"/>
                <w:lang w:bidi="ar-SA"/>
              </w:rPr>
              <w:t>成绩（40%）组成。</w:t>
            </w:r>
          </w:p>
          <w:p w14:paraId="0E2F605C">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二）毕业论文成绩以学生完成工作任务的情况、成果水平、创新程度、工作态度以及答辩情况等为依据，一般采用五级记分制：按优秀（90分以上）、良好（80－89）、中等（70－79）、及格（60-69）、不及格（60以下）五个等级划分。</w:t>
            </w:r>
          </w:p>
          <w:p w14:paraId="2A4E0C31">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（三）一辩综合评分低于60分的学生须参加二次答辩。</w:t>
            </w:r>
          </w:p>
          <w:p w14:paraId="4FA726AD">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（四）凡参加二次答辩（评优答辩除外）的学生，其毕业论文的二次答辩成绩为论文的最终成绩。</w:t>
            </w:r>
          </w:p>
          <w:p w14:paraId="4FD807F6">
            <w:pPr>
              <w:pageBreakBefore w:val="0"/>
              <w:kinsoku/>
              <w:overflowPunct/>
              <w:topLinePunct w:val="0"/>
              <w:bidi w:val="0"/>
              <w:adjustRightInd w:val="0"/>
              <w:snapToGrid w:val="0"/>
              <w:spacing w:line="240" w:lineRule="auto"/>
              <w:jc w:val="left"/>
              <w:rPr>
                <w:rFonts w:hint="eastAsia" w:ascii="仿宋" w:eastAsia="仿宋" w:cs="宋体"/>
                <w:kern w:val="0"/>
                <w:sz w:val="24"/>
                <w:szCs w:val="24"/>
                <w:lang w:bidi="ar-SA"/>
              </w:rPr>
            </w:pPr>
            <w:r>
              <w:rPr>
                <w:rFonts w:hint="eastAsia" w:ascii="仿宋" w:eastAsia="仿宋" w:cs="仿宋"/>
                <w:sz w:val="24"/>
                <w:szCs w:val="24"/>
                <w:lang w:bidi="ar-SA"/>
              </w:rPr>
              <w:t>（五）毕业论文的总体成绩应呈正态分布，优秀率一般在15%左右。</w:t>
            </w:r>
          </w:p>
        </w:tc>
        <w:tc>
          <w:tcPr>
            <w:tcW w:w="1006" w:type="dxa"/>
            <w:gridSpan w:val="2"/>
            <w:tcBorders>
              <w:top w:val="single" w:color="auto" w:sz="4" w:space="0"/>
              <w:left w:val="single" w:color="auto" w:sz="4" w:space="0"/>
              <w:bottom w:val="single" w:color="auto" w:sz="4" w:space="0"/>
              <w:right w:val="single" w:color="auto" w:sz="4" w:space="0"/>
            </w:tcBorders>
            <w:noWrap/>
            <w:vAlign w:val="center"/>
          </w:tcPr>
          <w:p w14:paraId="27D0DD79">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bCs/>
                <w:sz w:val="24"/>
                <w:szCs w:val="24"/>
                <w:lang w:bidi="ar-SA"/>
              </w:rPr>
              <w:t>支撑课程目标1</w:t>
            </w:r>
            <w:r>
              <w:rPr>
                <w:rFonts w:hint="eastAsia" w:ascii="仿宋" w:eastAsia="仿宋" w:cs="仿宋"/>
                <w:bCs/>
                <w:sz w:val="24"/>
                <w:szCs w:val="24"/>
                <w:lang w:eastAsia="zh-CN" w:bidi="ar-SA"/>
              </w:rPr>
              <w:t>、</w:t>
            </w:r>
            <w:r>
              <w:rPr>
                <w:rFonts w:hint="eastAsia" w:ascii="仿宋" w:eastAsia="仿宋" w:cs="仿宋"/>
                <w:bCs/>
                <w:sz w:val="24"/>
                <w:szCs w:val="24"/>
                <w:lang w:bidi="ar-SA"/>
              </w:rPr>
              <w:t>2、3、4</w:t>
            </w:r>
          </w:p>
        </w:tc>
        <w:tc>
          <w:tcPr>
            <w:tcW w:w="573" w:type="dxa"/>
            <w:tcBorders>
              <w:top w:val="single" w:color="auto" w:sz="4" w:space="0"/>
              <w:left w:val="single" w:color="auto" w:sz="4" w:space="0"/>
              <w:bottom w:val="single" w:color="auto" w:sz="4" w:space="0"/>
              <w:right w:val="single" w:color="auto" w:sz="4" w:space="0"/>
            </w:tcBorders>
            <w:noWrap/>
            <w:vAlign w:val="center"/>
          </w:tcPr>
          <w:p w14:paraId="476E5CC1">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8周</w:t>
            </w:r>
          </w:p>
        </w:tc>
      </w:tr>
      <w:tr w14:paraId="10229F5C">
        <w:trPr>
          <w:trHeight w:val="624" w:hRule="atLeast"/>
        </w:trPr>
        <w:tc>
          <w:tcPr>
            <w:tcW w:w="1251" w:type="dxa"/>
            <w:tcBorders>
              <w:top w:val="single" w:color="auto" w:sz="4" w:space="0"/>
              <w:left w:val="single" w:color="auto" w:sz="4" w:space="0"/>
              <w:bottom w:val="single" w:color="auto" w:sz="4" w:space="0"/>
              <w:right w:val="single" w:color="auto" w:sz="4" w:space="0"/>
            </w:tcBorders>
            <w:noWrap w:val="0"/>
            <w:vAlign w:val="center"/>
          </w:tcPr>
          <w:p w14:paraId="238193B9">
            <w:pPr>
              <w:pageBreakBefore w:val="0"/>
              <w:kinsoku/>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I</w:t>
            </w:r>
          </w:p>
          <w:p w14:paraId="182E1A75">
            <w:pPr>
              <w:pageBreakBefore w:val="0"/>
              <w:kinsoku/>
              <w:overflowPunct/>
              <w:topLinePunct w:val="0"/>
              <w:bidi w:val="0"/>
              <w:adjustRightInd w:val="0"/>
              <w:snapToGrid w:val="0"/>
              <w:spacing w:line="240" w:lineRule="auto"/>
              <w:jc w:val="center"/>
              <w:rPr>
                <w:rFonts w:hint="eastAsia" w:ascii="仿宋" w:eastAsia="仿宋" w:cs="仿宋"/>
                <w:sz w:val="24"/>
                <w:szCs w:val="24"/>
                <w:lang w:eastAsia="zh-TW" w:bidi="ar-SA"/>
              </w:rPr>
            </w:pPr>
            <w:r>
              <w:rPr>
                <w:rFonts w:hint="eastAsia" w:ascii="仿宋" w:eastAsia="仿宋" w:cs="仿宋"/>
                <w:sz w:val="24"/>
                <w:szCs w:val="24"/>
                <w:lang w:bidi="ar-SA"/>
              </w:rPr>
              <w:t>教学方法与教学方式</w:t>
            </w:r>
          </w:p>
        </w:tc>
        <w:tc>
          <w:tcPr>
            <w:tcW w:w="7895" w:type="dxa"/>
            <w:gridSpan w:val="11"/>
            <w:tcBorders>
              <w:top w:val="single" w:color="auto" w:sz="4" w:space="0"/>
              <w:left w:val="single" w:color="auto" w:sz="4" w:space="0"/>
              <w:bottom w:val="single" w:color="auto" w:sz="4" w:space="0"/>
              <w:right w:val="single" w:color="auto" w:sz="4" w:space="0"/>
            </w:tcBorders>
            <w:noWrap w:val="0"/>
            <w:vAlign w:val="center"/>
          </w:tcPr>
          <w:p w14:paraId="35FDE1BA">
            <w:pPr>
              <w:pageBreakBefore w:val="0"/>
              <w:kinsoku/>
              <w:overflowPunct/>
              <w:topLinePunct w:val="0"/>
              <w:bidi w:val="0"/>
              <w:adjustRightInd w:val="0"/>
              <w:snapToGrid w:val="0"/>
              <w:spacing w:line="240" w:lineRule="auto"/>
              <w:ind w:firstLine="0"/>
              <w:rPr>
                <w:rFonts w:hint="eastAsia" w:ascii="仿宋" w:eastAsia="仿宋" w:cs="仿宋"/>
                <w:sz w:val="24"/>
                <w:szCs w:val="24"/>
                <w:lang w:bidi="ar-SA"/>
              </w:rPr>
            </w:pPr>
            <w:r>
              <w:rPr>
                <w:rFonts w:hint="eastAsia" w:ascii="仿宋" w:eastAsia="仿宋" w:cs="仿宋"/>
                <w:sz w:val="24"/>
                <w:szCs w:val="24"/>
                <w:lang w:bidi="ar-SA"/>
              </w:rPr>
              <w:t>主要方式：</w:t>
            </w:r>
          </w:p>
          <w:p w14:paraId="6A441A6D">
            <w:pPr>
              <w:pageBreakBefore w:val="0"/>
              <w:kinsoku/>
              <w:overflowPunct/>
              <w:topLinePunct w:val="0"/>
              <w:bidi w:val="0"/>
              <w:adjustRightInd w:val="0"/>
              <w:snapToGrid w:val="0"/>
              <w:spacing w:line="240" w:lineRule="auto"/>
              <w:ind w:left="0"/>
              <w:rPr>
                <w:rFonts w:hint="eastAsia" w:ascii="仿宋" w:eastAsia="仿宋" w:cs="仿宋"/>
                <w:sz w:val="24"/>
                <w:szCs w:val="24"/>
                <w:lang w:bidi="ar-SA"/>
              </w:rPr>
            </w:pPr>
            <w:r>
              <w:rPr>
                <w:rFonts w:ascii="仿宋" w:eastAsia="仿宋" w:cs="仿宋"/>
                <w:sz w:val="24"/>
                <w:szCs w:val="24"/>
                <w:lang w:bidi="ar-SA"/>
              </w:rPr>
              <w:sym w:font="Wingdings" w:char="00A8"/>
            </w:r>
            <w:r>
              <w:rPr>
                <w:rFonts w:hint="eastAsia" w:ascii="仿宋" w:eastAsia="仿宋" w:cs="仿宋"/>
                <w:sz w:val="24"/>
                <w:szCs w:val="24"/>
                <w:lang w:bidi="ar-SA"/>
              </w:rPr>
              <w:t xml:space="preserve">讲授  </w:t>
            </w:r>
            <w:r>
              <w:rPr>
                <w:rFonts w:ascii="仿宋" w:eastAsia="仿宋" w:cs="仿宋"/>
                <w:sz w:val="24"/>
                <w:szCs w:val="24"/>
                <w:lang w:bidi="ar-SA"/>
              </w:rPr>
              <w:sym w:font="Wingdings" w:char="00A8"/>
            </w:r>
            <w:r>
              <w:rPr>
                <w:rFonts w:hint="eastAsia" w:ascii="仿宋" w:eastAsia="仿宋" w:cs="仿宋"/>
                <w:sz w:val="24"/>
                <w:szCs w:val="24"/>
                <w:lang w:bidi="ar-SA"/>
              </w:rPr>
              <w:t xml:space="preserve">网络学习  </w:t>
            </w:r>
            <w:r>
              <w:rPr>
                <w:rFonts w:ascii="仿宋" w:eastAsia="仿宋" w:cs="仿宋"/>
                <w:sz w:val="24"/>
                <w:szCs w:val="24"/>
                <w:lang w:bidi="ar-SA"/>
              </w:rPr>
              <w:sym w:font="Wingdings" w:char="00A8"/>
            </w:r>
            <w:r>
              <w:rPr>
                <w:rFonts w:hint="eastAsia" w:ascii="仿宋" w:eastAsia="仿宋" w:cs="仿宋"/>
                <w:sz w:val="24"/>
                <w:szCs w:val="24"/>
                <w:lang w:bidi="ar-SA"/>
              </w:rPr>
              <w:t xml:space="preserve">讨论或座谈  </w:t>
            </w:r>
            <w:r>
              <w:rPr>
                <w:rFonts w:ascii="仿宋" w:eastAsia="仿宋" w:cs="仿宋"/>
                <w:sz w:val="24"/>
                <w:szCs w:val="24"/>
                <w:lang w:bidi="ar-SA"/>
              </w:rPr>
              <w:sym w:font="Wingdings" w:char="00A8"/>
            </w:r>
            <w:r>
              <w:rPr>
                <w:rFonts w:hint="eastAsia" w:ascii="仿宋" w:eastAsia="仿宋" w:cs="仿宋"/>
                <w:sz w:val="24"/>
                <w:szCs w:val="24"/>
                <w:lang w:bidi="ar-SA"/>
              </w:rPr>
              <w:t xml:space="preserve">问题导向学  </w:t>
            </w:r>
          </w:p>
          <w:p w14:paraId="465CEAD6">
            <w:pPr>
              <w:pageBreakBefore w:val="0"/>
              <w:kinsoku/>
              <w:overflowPunct/>
              <w:topLinePunct w:val="0"/>
              <w:bidi w:val="0"/>
              <w:adjustRightInd w:val="0"/>
              <w:snapToGrid w:val="0"/>
              <w:spacing w:line="240" w:lineRule="auto"/>
              <w:ind w:left="0"/>
              <w:rPr>
                <w:rFonts w:hint="eastAsia" w:ascii="仿宋" w:eastAsia="仿宋" w:cs="仿宋"/>
                <w:sz w:val="24"/>
                <w:szCs w:val="24"/>
                <w:lang w:bidi="ar-SA"/>
              </w:rPr>
            </w:pPr>
            <w:r>
              <w:rPr>
                <w:rFonts w:ascii="仿宋" w:eastAsia="仿宋" w:cs="仿宋"/>
                <w:sz w:val="24"/>
                <w:szCs w:val="24"/>
                <w:lang w:bidi="ar-SA"/>
              </w:rPr>
              <w:sym w:font="Wingdings" w:char="00A8"/>
            </w:r>
            <w:r>
              <w:rPr>
                <w:rFonts w:hint="eastAsia" w:ascii="仿宋" w:eastAsia="仿宋" w:cs="仿宋"/>
                <w:sz w:val="24"/>
                <w:szCs w:val="24"/>
                <w:lang w:bidi="ar-SA"/>
              </w:rPr>
              <w:t xml:space="preserve">分组合作学习  </w:t>
            </w:r>
            <w:r>
              <w:rPr>
                <w:rFonts w:ascii="仿宋" w:eastAsia="仿宋" w:cs="仿宋"/>
                <w:sz w:val="24"/>
                <w:szCs w:val="24"/>
                <w:lang w:bidi="ar-SA"/>
              </w:rPr>
              <w:sym w:font="Wingdings" w:char="00A8"/>
            </w:r>
            <w:r>
              <w:rPr>
                <w:rFonts w:hint="eastAsia" w:ascii="仿宋" w:eastAsia="仿宋" w:cs="仿宋"/>
                <w:sz w:val="24"/>
                <w:szCs w:val="24"/>
                <w:lang w:bidi="ar-SA"/>
              </w:rPr>
              <w:t xml:space="preserve">专题学习  </w:t>
            </w:r>
            <w:r>
              <w:rPr>
                <w:rFonts w:ascii="仿宋" w:eastAsia="仿宋" w:cs="仿宋"/>
                <w:sz w:val="24"/>
                <w:szCs w:val="24"/>
                <w:lang w:bidi="ar-SA"/>
              </w:rPr>
              <w:sym w:font="Wingdings" w:char="00A8"/>
            </w:r>
            <w:r>
              <w:rPr>
                <w:rFonts w:hint="eastAsia" w:ascii="仿宋" w:eastAsia="仿宋" w:cs="仿宋"/>
                <w:sz w:val="24"/>
                <w:szCs w:val="24"/>
                <w:lang w:bidi="ar-SA"/>
              </w:rPr>
              <w:t xml:space="preserve">实作学习  </w:t>
            </w:r>
            <w:r>
              <w:rPr>
                <w:rFonts w:ascii="仿宋" w:eastAsia="仿宋" w:cs="仿宋"/>
                <w:sz w:val="24"/>
                <w:szCs w:val="24"/>
                <w:lang w:bidi="ar-SA"/>
              </w:rPr>
              <w:sym w:font="Wingdings" w:char="00A8"/>
            </w:r>
            <w:r>
              <w:rPr>
                <w:rFonts w:hint="eastAsia" w:ascii="仿宋" w:eastAsia="仿宋" w:cs="仿宋"/>
                <w:sz w:val="24"/>
                <w:szCs w:val="24"/>
                <w:lang w:bidi="ar-SA"/>
              </w:rPr>
              <w:t xml:space="preserve">发表学习  </w:t>
            </w:r>
          </w:p>
          <w:p w14:paraId="685A274E">
            <w:pPr>
              <w:pageBreakBefore w:val="0"/>
              <w:kinsoku/>
              <w:overflowPunct/>
              <w:topLinePunct w:val="0"/>
              <w:bidi w:val="0"/>
              <w:adjustRightInd w:val="0"/>
              <w:snapToGrid w:val="0"/>
              <w:spacing w:line="240" w:lineRule="auto"/>
              <w:ind w:left="0"/>
              <w:rPr>
                <w:rFonts w:hint="eastAsia" w:ascii="仿宋" w:eastAsia="仿宋" w:cs="仿宋"/>
                <w:sz w:val="24"/>
                <w:szCs w:val="24"/>
                <w:lang w:bidi="ar-SA"/>
              </w:rPr>
            </w:pPr>
            <w:r>
              <w:rPr>
                <w:rFonts w:ascii="仿宋" w:eastAsia="仿宋" w:cs="仿宋"/>
                <w:sz w:val="24"/>
                <w:szCs w:val="24"/>
                <w:lang w:bidi="ar-SA"/>
              </w:rPr>
              <w:sym w:font="Wingdings" w:char="00A8"/>
            </w:r>
            <w:r>
              <w:rPr>
                <w:rFonts w:hint="eastAsia" w:ascii="仿宋" w:eastAsia="仿宋" w:cs="仿宋"/>
                <w:sz w:val="24"/>
                <w:szCs w:val="24"/>
                <w:lang w:bidi="ar-SA"/>
              </w:rPr>
              <w:t xml:space="preserve">实习  </w:t>
            </w:r>
            <w:r>
              <w:rPr>
                <w:rFonts w:ascii="仿宋" w:eastAsia="仿宋" w:cs="仿宋"/>
                <w:sz w:val="24"/>
                <w:szCs w:val="24"/>
                <w:lang w:bidi="ar-SA"/>
              </w:rPr>
              <w:sym w:font="Wingdings" w:char="00A8"/>
            </w:r>
            <w:r>
              <w:rPr>
                <w:rFonts w:hint="eastAsia" w:ascii="仿宋" w:eastAsia="仿宋" w:cs="仿宋"/>
                <w:sz w:val="24"/>
                <w:szCs w:val="24"/>
                <w:lang w:bidi="ar-SA"/>
              </w:rPr>
              <w:t xml:space="preserve">参观访问  </w:t>
            </w:r>
            <w:r>
              <w:rPr>
                <w:rFonts w:ascii="仿宋" w:eastAsia="仿宋" w:cs="仿宋"/>
                <w:sz w:val="24"/>
                <w:szCs w:val="24"/>
                <w:lang w:bidi="ar-SA"/>
              </w:rPr>
              <w:sym w:font="Wingdings" w:char="00FE"/>
            </w:r>
            <w:r>
              <w:rPr>
                <w:rFonts w:hint="eastAsia" w:ascii="仿宋" w:eastAsia="仿宋" w:cs="仿宋"/>
                <w:sz w:val="24"/>
                <w:szCs w:val="24"/>
                <w:lang w:bidi="ar-SA"/>
              </w:rPr>
              <w:t>其它：</w:t>
            </w:r>
            <w:r>
              <w:rPr>
                <w:rFonts w:hint="eastAsia" w:ascii="仿宋" w:eastAsia="仿宋" w:cs="仿宋"/>
                <w:sz w:val="24"/>
                <w:szCs w:val="24"/>
                <w:u w:val="single"/>
                <w:lang w:bidi="ar-SA"/>
              </w:rPr>
              <w:t xml:space="preserve"> 论文写作</w:t>
            </w:r>
            <w:r>
              <w:rPr>
                <w:rFonts w:hint="eastAsia" w:ascii="仿宋" w:eastAsia="仿宋" w:cs="仿宋"/>
                <w:sz w:val="24"/>
                <w:szCs w:val="24"/>
                <w:u w:val="single"/>
                <w:lang w:val="en-US" w:eastAsia="zh-CN" w:bidi="ar-SA"/>
              </w:rPr>
              <w:t>全程</w:t>
            </w:r>
            <w:r>
              <w:rPr>
                <w:rFonts w:hint="eastAsia" w:ascii="仿宋" w:eastAsia="仿宋" w:cs="仿宋"/>
                <w:sz w:val="24"/>
                <w:szCs w:val="24"/>
                <w:u w:val="single"/>
                <w:lang w:bidi="ar-SA"/>
              </w:rPr>
              <w:t xml:space="preserve">指导  </w:t>
            </w:r>
          </w:p>
        </w:tc>
      </w:tr>
      <w:tr w14:paraId="63E1D9CF">
        <w:trPr>
          <w:trHeight w:val="624" w:hRule="atLeast"/>
        </w:trPr>
        <w:tc>
          <w:tcPr>
            <w:tcW w:w="1251" w:type="dxa"/>
            <w:tcBorders>
              <w:top w:val="single" w:color="auto" w:sz="4" w:space="0"/>
              <w:left w:val="single" w:color="auto" w:sz="4" w:space="0"/>
              <w:bottom w:val="single" w:color="auto" w:sz="4" w:space="0"/>
              <w:right w:val="single" w:color="auto" w:sz="4" w:space="0"/>
            </w:tcBorders>
            <w:noWrap w:val="0"/>
            <w:vAlign w:val="center"/>
          </w:tcPr>
          <w:p w14:paraId="1F761035">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J</w:t>
            </w:r>
          </w:p>
          <w:p w14:paraId="37CA7C52">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教学条件</w:t>
            </w:r>
          </w:p>
          <w:p w14:paraId="302087C3">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需求</w:t>
            </w:r>
          </w:p>
        </w:tc>
        <w:tc>
          <w:tcPr>
            <w:tcW w:w="7895" w:type="dxa"/>
            <w:gridSpan w:val="11"/>
            <w:tcBorders>
              <w:top w:val="single" w:color="auto" w:sz="4" w:space="0"/>
              <w:left w:val="single" w:color="auto" w:sz="4" w:space="0"/>
              <w:bottom w:val="single" w:color="auto" w:sz="4" w:space="0"/>
              <w:right w:val="single" w:color="auto" w:sz="4" w:space="0"/>
            </w:tcBorders>
            <w:noWrap w:val="0"/>
            <w:vAlign w:val="center"/>
          </w:tcPr>
          <w:p w14:paraId="298AEBB6">
            <w:pPr>
              <w:pageBreakBefore w:val="0"/>
              <w:tabs>
                <w:tab w:val="left" w:pos="720"/>
              </w:tabs>
              <w:kinsoku/>
              <w:overflowPunct/>
              <w:topLinePunct w:val="0"/>
              <w:bidi w:val="0"/>
              <w:adjustRightInd w:val="0"/>
              <w:snapToGrid w:val="0"/>
              <w:spacing w:line="240" w:lineRule="auto"/>
              <w:rPr>
                <w:rFonts w:hint="eastAsia" w:ascii="仿宋" w:eastAsia="仿宋" w:cs="仿宋"/>
                <w:color w:val="000000"/>
                <w:kern w:val="0"/>
                <w:sz w:val="24"/>
                <w:szCs w:val="24"/>
                <w:lang w:bidi="ar-SA"/>
              </w:rPr>
            </w:pPr>
            <w:r>
              <w:rPr>
                <w:rFonts w:hint="eastAsia" w:ascii="仿宋" w:eastAsia="仿宋" w:cs="仿宋"/>
                <w:color w:val="000000"/>
                <w:kern w:val="0"/>
                <w:sz w:val="24"/>
                <w:szCs w:val="24"/>
                <w:lang w:bidi="ar-SA"/>
              </w:rPr>
              <w:t>为每个学生配备一名论文指导老师。</w:t>
            </w:r>
          </w:p>
        </w:tc>
      </w:tr>
      <w:tr w14:paraId="7350A2D2">
        <w:trPr>
          <w:trHeight w:val="624" w:hRule="atLeast"/>
        </w:trPr>
        <w:tc>
          <w:tcPr>
            <w:tcW w:w="1251" w:type="dxa"/>
            <w:vMerge w:val="restart"/>
            <w:tcBorders>
              <w:top w:val="single" w:color="auto" w:sz="4" w:space="0"/>
              <w:left w:val="single" w:color="auto" w:sz="4" w:space="0"/>
              <w:bottom w:val="single" w:color="auto" w:sz="4" w:space="0"/>
              <w:right w:val="single" w:color="auto" w:sz="4" w:space="0"/>
            </w:tcBorders>
            <w:noWrap/>
            <w:vAlign w:val="center"/>
          </w:tcPr>
          <w:p w14:paraId="14D9E3F0">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K</w:t>
            </w:r>
          </w:p>
          <w:p w14:paraId="57F891A7">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课程目标及其考核内容、考核方式及评分占比</w:t>
            </w:r>
          </w:p>
        </w:tc>
        <w:tc>
          <w:tcPr>
            <w:tcW w:w="1278" w:type="dxa"/>
            <w:vMerge w:val="restart"/>
            <w:tcBorders>
              <w:top w:val="single" w:color="auto" w:sz="4" w:space="0"/>
              <w:left w:val="single" w:color="auto" w:sz="4" w:space="0"/>
              <w:bottom w:val="single" w:color="auto" w:sz="4" w:space="0"/>
              <w:right w:val="single" w:color="auto" w:sz="4" w:space="0"/>
            </w:tcBorders>
            <w:noWrap/>
            <w:vAlign w:val="center"/>
          </w:tcPr>
          <w:p w14:paraId="3EECC6DE">
            <w:pPr>
              <w:pageBreakBefore w:val="0"/>
              <w:kinsoku/>
              <w:overflowPunct/>
              <w:topLinePunct w:val="0"/>
              <w:bidi w:val="0"/>
              <w:adjustRightInd w:val="0"/>
              <w:snapToGrid w:val="0"/>
              <w:spacing w:line="240" w:lineRule="auto"/>
              <w:rPr>
                <w:rFonts w:hint="eastAsia" w:ascii="仿宋" w:eastAsia="仿宋" w:cs="仿宋"/>
                <w:sz w:val="24"/>
                <w:szCs w:val="24"/>
                <w:lang w:bidi="ar-SA"/>
              </w:rPr>
            </w:pPr>
            <w:r>
              <w:rPr>
                <w:rFonts w:hint="eastAsia" w:ascii="仿宋" w:eastAsia="仿宋" w:cs="仿宋"/>
                <w:sz w:val="24"/>
                <w:szCs w:val="24"/>
                <w:lang w:bidi="ar-SA"/>
              </w:rPr>
              <w:t>课程目标及评分占比</w:t>
            </w:r>
          </w:p>
        </w:tc>
        <w:tc>
          <w:tcPr>
            <w:tcW w:w="3635" w:type="dxa"/>
            <w:gridSpan w:val="5"/>
            <w:vMerge w:val="restart"/>
            <w:tcBorders>
              <w:top w:val="single" w:color="auto" w:sz="4" w:space="0"/>
              <w:left w:val="single" w:color="auto" w:sz="4" w:space="0"/>
              <w:bottom w:val="single" w:color="auto" w:sz="4" w:space="0"/>
              <w:right w:val="single" w:color="000000" w:sz="4" w:space="0"/>
            </w:tcBorders>
            <w:noWrap/>
            <w:vAlign w:val="center"/>
          </w:tcPr>
          <w:p w14:paraId="2DBE3B3B">
            <w:pPr>
              <w:pageBreakBefore w:val="0"/>
              <w:tabs>
                <w:tab w:val="left" w:pos="720"/>
              </w:tabs>
              <w:kinsoku/>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考核内容</w:t>
            </w:r>
          </w:p>
        </w:tc>
        <w:tc>
          <w:tcPr>
            <w:tcW w:w="2409" w:type="dxa"/>
            <w:gridSpan w:val="4"/>
            <w:tcBorders>
              <w:top w:val="single" w:color="auto" w:sz="4" w:space="0"/>
              <w:left w:val="single" w:color="000000" w:sz="4" w:space="0"/>
              <w:bottom w:val="single" w:color="auto" w:sz="4" w:space="0"/>
              <w:right w:val="single" w:color="auto" w:sz="4" w:space="0"/>
            </w:tcBorders>
            <w:noWrap/>
            <w:vAlign w:val="center"/>
          </w:tcPr>
          <w:p w14:paraId="78E88B9F">
            <w:pPr>
              <w:pageBreakBefore w:val="0"/>
              <w:kinsoku/>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考核方式</w:t>
            </w:r>
          </w:p>
        </w:tc>
        <w:tc>
          <w:tcPr>
            <w:tcW w:w="573" w:type="dxa"/>
            <w:vMerge w:val="restart"/>
            <w:tcBorders>
              <w:top w:val="single" w:color="auto" w:sz="4" w:space="0"/>
              <w:left w:val="single" w:color="000000" w:sz="4" w:space="0"/>
              <w:bottom w:val="single" w:color="auto" w:sz="4" w:space="0"/>
              <w:right w:val="single" w:color="auto" w:sz="4" w:space="0"/>
            </w:tcBorders>
            <w:noWrap/>
            <w:vAlign w:val="center"/>
          </w:tcPr>
          <w:p w14:paraId="68CCF2C8">
            <w:pPr>
              <w:pageBreakBefore w:val="0"/>
              <w:tabs>
                <w:tab w:val="left" w:pos="720"/>
              </w:tabs>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课程</w:t>
            </w:r>
          </w:p>
          <w:p w14:paraId="7109D5F8">
            <w:pPr>
              <w:pageBreakBefore w:val="0"/>
              <w:tabs>
                <w:tab w:val="left" w:pos="720"/>
              </w:tabs>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分目</w:t>
            </w:r>
          </w:p>
          <w:p w14:paraId="268BC958">
            <w:pPr>
              <w:pageBreakBefore w:val="0"/>
              <w:tabs>
                <w:tab w:val="left" w:pos="720"/>
              </w:tabs>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标的</w:t>
            </w:r>
          </w:p>
          <w:p w14:paraId="1D1F0108">
            <w:pPr>
              <w:pageBreakBefore w:val="0"/>
              <w:tabs>
                <w:tab w:val="left" w:pos="720"/>
              </w:tabs>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达成</w:t>
            </w:r>
          </w:p>
          <w:p w14:paraId="5A168998">
            <w:pPr>
              <w:pageBreakBefore w:val="0"/>
              <w:tabs>
                <w:tab w:val="left" w:pos="720"/>
              </w:tabs>
              <w:kinsoku/>
              <w:overflowPunct/>
              <w:topLinePunct w:val="0"/>
              <w:bidi w:val="0"/>
              <w:adjustRightInd w:val="0"/>
              <w:snapToGrid w:val="0"/>
              <w:spacing w:line="240" w:lineRule="auto"/>
              <w:jc w:val="center"/>
              <w:rPr>
                <w:rFonts w:hint="eastAsia" w:ascii="仿宋" w:eastAsia="仿宋" w:cs="仿宋"/>
                <w:color w:val="000000"/>
                <w:kern w:val="0"/>
                <w:sz w:val="24"/>
                <w:szCs w:val="24"/>
                <w:lang w:bidi="ar-SA"/>
              </w:rPr>
            </w:pPr>
            <w:r>
              <w:rPr>
                <w:rFonts w:hint="eastAsia" w:ascii="仿宋" w:eastAsia="仿宋" w:cs="仿宋"/>
                <w:color w:val="000000"/>
                <w:sz w:val="24"/>
                <w:szCs w:val="24"/>
                <w:lang w:bidi="ar-SA"/>
              </w:rPr>
              <w:t>度</w:t>
            </w:r>
          </w:p>
        </w:tc>
      </w:tr>
      <w:tr w14:paraId="06D1F4F0">
        <w:trPr>
          <w:trHeight w:val="624" w:hRule="atLeast"/>
        </w:trPr>
        <w:tc>
          <w:tcPr>
            <w:tcW w:w="1251" w:type="dxa"/>
            <w:vMerge w:val="continue"/>
            <w:tcBorders>
              <w:top w:val="single" w:color="auto" w:sz="4" w:space="0"/>
              <w:left w:val="single" w:color="auto" w:sz="4" w:space="0"/>
              <w:bottom w:val="single" w:color="auto" w:sz="4" w:space="0"/>
              <w:right w:val="single" w:color="auto" w:sz="4" w:space="0"/>
            </w:tcBorders>
            <w:noWrap w:val="0"/>
            <w:vAlign w:val="center"/>
          </w:tcPr>
          <w:p w14:paraId="622A2669">
            <w:pPr>
              <w:pageBreakBefore w:val="0"/>
              <w:kinsoku/>
              <w:overflowPunct/>
              <w:topLinePunct w:val="0"/>
              <w:bidi w:val="0"/>
              <w:spacing w:line="240" w:lineRule="auto"/>
            </w:pPr>
          </w:p>
        </w:tc>
        <w:tc>
          <w:tcPr>
            <w:tcW w:w="1278" w:type="dxa"/>
            <w:vMerge w:val="continue"/>
            <w:tcBorders>
              <w:top w:val="single" w:color="auto" w:sz="4" w:space="0"/>
              <w:left w:val="single" w:color="auto" w:sz="4" w:space="0"/>
              <w:bottom w:val="single" w:color="auto" w:sz="4" w:space="0"/>
              <w:right w:val="single" w:color="auto" w:sz="4" w:space="0"/>
            </w:tcBorders>
            <w:noWrap w:val="0"/>
            <w:vAlign w:val="center"/>
          </w:tcPr>
          <w:p w14:paraId="57B05858">
            <w:pPr>
              <w:pageBreakBefore w:val="0"/>
              <w:kinsoku/>
              <w:overflowPunct/>
              <w:topLinePunct w:val="0"/>
              <w:bidi w:val="0"/>
              <w:spacing w:line="240" w:lineRule="auto"/>
            </w:pPr>
          </w:p>
        </w:tc>
        <w:tc>
          <w:tcPr>
            <w:tcW w:w="3635" w:type="dxa"/>
            <w:gridSpan w:val="5"/>
            <w:vMerge w:val="continue"/>
            <w:tcBorders>
              <w:top w:val="single" w:color="auto" w:sz="4" w:space="0"/>
              <w:left w:val="single" w:color="auto" w:sz="4" w:space="0"/>
              <w:bottom w:val="single" w:color="auto" w:sz="4" w:space="0"/>
              <w:right w:val="single" w:color="000000" w:sz="4" w:space="0"/>
            </w:tcBorders>
            <w:noWrap/>
            <w:vAlign w:val="center"/>
          </w:tcPr>
          <w:p w14:paraId="7D8D2182">
            <w:pPr>
              <w:pageBreakBefore w:val="0"/>
              <w:kinsoku/>
              <w:overflowPunct/>
              <w:topLinePunct w:val="0"/>
              <w:bidi w:val="0"/>
              <w:spacing w:line="240" w:lineRule="auto"/>
            </w:pPr>
          </w:p>
        </w:tc>
        <w:tc>
          <w:tcPr>
            <w:tcW w:w="900" w:type="dxa"/>
            <w:tcBorders>
              <w:top w:val="single" w:color="auto" w:sz="4" w:space="0"/>
              <w:left w:val="single" w:color="000000" w:sz="4" w:space="0"/>
              <w:bottom w:val="single" w:color="auto" w:sz="4" w:space="0"/>
              <w:right w:val="single" w:color="auto" w:sz="4" w:space="0"/>
            </w:tcBorders>
            <w:noWrap w:val="0"/>
            <w:vAlign w:val="top"/>
          </w:tcPr>
          <w:p w14:paraId="2BC1EA13">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宋体"/>
                <w:kern w:val="0"/>
                <w:sz w:val="24"/>
                <w:szCs w:val="24"/>
                <w:lang w:bidi="ar-SA"/>
              </w:rPr>
              <w:t>指导教师成绩</w:t>
            </w:r>
            <w:r>
              <w:rPr>
                <w:rFonts w:hint="eastAsia" w:ascii="仿宋" w:eastAsia="仿宋" w:cs="仿宋"/>
                <w:sz w:val="18"/>
                <w:szCs w:val="18"/>
                <w:lang w:bidi="ar-SA"/>
              </w:rPr>
              <w:t>（40%）</w:t>
            </w:r>
          </w:p>
        </w:tc>
        <w:tc>
          <w:tcPr>
            <w:tcW w:w="813" w:type="dxa"/>
            <w:gridSpan w:val="2"/>
            <w:tcBorders>
              <w:top w:val="single" w:color="auto" w:sz="4" w:space="0"/>
              <w:left w:val="single" w:color="auto" w:sz="4" w:space="0"/>
              <w:bottom w:val="single" w:color="auto" w:sz="4" w:space="0"/>
              <w:right w:val="single" w:color="000000" w:sz="4" w:space="0"/>
            </w:tcBorders>
            <w:noWrap w:val="0"/>
            <w:vAlign w:val="top"/>
          </w:tcPr>
          <w:p w14:paraId="11CB5AFA">
            <w:pPr>
              <w:pageBreakBefore w:val="0"/>
              <w:kinsoku/>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宋体"/>
                <w:kern w:val="0"/>
                <w:sz w:val="24"/>
                <w:szCs w:val="24"/>
                <w:lang w:bidi="ar-SA"/>
              </w:rPr>
              <w:t>评阅教师成绩</w:t>
            </w:r>
            <w:r>
              <w:rPr>
                <w:rFonts w:hint="eastAsia" w:ascii="仿宋" w:eastAsia="仿宋" w:cs="仿宋"/>
                <w:sz w:val="18"/>
                <w:szCs w:val="18"/>
                <w:lang w:bidi="ar-SA"/>
              </w:rPr>
              <w:t>（20%）</w:t>
            </w:r>
          </w:p>
        </w:tc>
        <w:tc>
          <w:tcPr>
            <w:tcW w:w="696" w:type="dxa"/>
            <w:tcBorders>
              <w:top w:val="single" w:color="auto" w:sz="4" w:space="0"/>
              <w:left w:val="single" w:color="000000" w:sz="4" w:space="0"/>
              <w:bottom w:val="single" w:color="auto" w:sz="4" w:space="0"/>
              <w:right w:val="single" w:color="auto" w:sz="4" w:space="0"/>
            </w:tcBorders>
            <w:noWrap w:val="0"/>
            <w:vAlign w:val="top"/>
          </w:tcPr>
          <w:p w14:paraId="1C5886AA">
            <w:pPr>
              <w:pageBreakBefore w:val="0"/>
              <w:kinsoku/>
              <w:overflowPunct/>
              <w:topLinePunct w:val="0"/>
              <w:bidi w:val="0"/>
              <w:adjustRightInd w:val="0"/>
              <w:snapToGrid w:val="0"/>
              <w:spacing w:line="240" w:lineRule="auto"/>
              <w:jc w:val="center"/>
              <w:rPr>
                <w:rFonts w:hint="eastAsia" w:ascii="仿宋" w:eastAsia="仿宋" w:cs="宋体"/>
                <w:kern w:val="0"/>
                <w:sz w:val="24"/>
                <w:szCs w:val="24"/>
                <w:lang w:bidi="ar-SA"/>
              </w:rPr>
            </w:pPr>
            <w:r>
              <w:rPr>
                <w:rFonts w:hint="eastAsia" w:ascii="仿宋" w:eastAsia="仿宋" w:cs="宋体"/>
                <w:kern w:val="0"/>
                <w:sz w:val="24"/>
                <w:szCs w:val="24"/>
                <w:lang w:bidi="ar-SA"/>
              </w:rPr>
              <w:t>答辩</w:t>
            </w:r>
          </w:p>
          <w:p w14:paraId="7531F14F">
            <w:pPr>
              <w:pageBreakBefore w:val="0"/>
              <w:kinsoku/>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宋体"/>
                <w:kern w:val="0"/>
                <w:sz w:val="24"/>
                <w:szCs w:val="24"/>
                <w:lang w:bidi="ar-SA"/>
              </w:rPr>
              <w:t>成绩</w:t>
            </w:r>
            <w:r>
              <w:rPr>
                <w:rFonts w:hint="eastAsia" w:ascii="仿宋" w:eastAsia="仿宋" w:cs="仿宋"/>
                <w:sz w:val="18"/>
                <w:szCs w:val="18"/>
                <w:lang w:bidi="ar-SA"/>
              </w:rPr>
              <w:t>（40%）</w:t>
            </w:r>
          </w:p>
        </w:tc>
        <w:tc>
          <w:tcPr>
            <w:tcW w:w="573" w:type="dxa"/>
            <w:vMerge w:val="continue"/>
            <w:tcBorders>
              <w:top w:val="single" w:color="auto" w:sz="4" w:space="0"/>
              <w:left w:val="single" w:color="000000" w:sz="4" w:space="0"/>
              <w:bottom w:val="single" w:color="auto" w:sz="4" w:space="0"/>
              <w:right w:val="single" w:color="auto" w:sz="4" w:space="0"/>
            </w:tcBorders>
            <w:noWrap w:val="0"/>
            <w:vAlign w:val="center"/>
          </w:tcPr>
          <w:p w14:paraId="22778FE0">
            <w:pPr>
              <w:pageBreakBefore w:val="0"/>
              <w:kinsoku/>
              <w:overflowPunct/>
              <w:topLinePunct w:val="0"/>
              <w:bidi w:val="0"/>
              <w:spacing w:line="240" w:lineRule="auto"/>
            </w:pPr>
          </w:p>
        </w:tc>
      </w:tr>
      <w:tr w14:paraId="70C82674">
        <w:trPr>
          <w:trHeight w:val="624" w:hRule="atLeast"/>
        </w:trPr>
        <w:tc>
          <w:tcPr>
            <w:tcW w:w="1251" w:type="dxa"/>
            <w:vMerge w:val="continue"/>
            <w:tcBorders>
              <w:top w:val="single" w:color="auto" w:sz="4" w:space="0"/>
              <w:left w:val="single" w:color="auto" w:sz="4" w:space="0"/>
              <w:bottom w:val="single" w:color="auto" w:sz="4" w:space="0"/>
              <w:right w:val="single" w:color="auto" w:sz="4" w:space="0"/>
            </w:tcBorders>
            <w:noWrap w:val="0"/>
            <w:vAlign w:val="center"/>
          </w:tcPr>
          <w:p w14:paraId="391F5C27">
            <w:pPr>
              <w:pageBreakBefore w:val="0"/>
              <w:kinsoku/>
              <w:overflowPunct/>
              <w:topLinePunct w:val="0"/>
              <w:bidi w:val="0"/>
              <w:spacing w:line="240" w:lineRule="auto"/>
            </w:pPr>
          </w:p>
        </w:tc>
        <w:tc>
          <w:tcPr>
            <w:tcW w:w="1278" w:type="dxa"/>
            <w:tcBorders>
              <w:top w:val="single" w:color="auto" w:sz="4" w:space="0"/>
              <w:left w:val="single" w:color="auto" w:sz="4" w:space="0"/>
              <w:bottom w:val="single" w:color="auto" w:sz="4" w:space="0"/>
              <w:right w:val="single" w:color="auto" w:sz="4" w:space="0"/>
            </w:tcBorders>
            <w:noWrap w:val="0"/>
            <w:vAlign w:val="center"/>
          </w:tcPr>
          <w:p w14:paraId="4FC008CD">
            <w:pPr>
              <w:pageBreakBefore w:val="0"/>
              <w:kinsoku/>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kern w:val="0"/>
                <w:sz w:val="24"/>
                <w:szCs w:val="24"/>
                <w:lang w:bidi="ar-SA"/>
              </w:rPr>
              <w:t>课程目标1（10%）</w:t>
            </w:r>
          </w:p>
        </w:tc>
        <w:tc>
          <w:tcPr>
            <w:tcW w:w="3635" w:type="dxa"/>
            <w:gridSpan w:val="5"/>
            <w:tcBorders>
              <w:top w:val="single" w:color="auto" w:sz="4" w:space="0"/>
              <w:left w:val="single" w:color="auto" w:sz="4" w:space="0"/>
              <w:bottom w:val="single" w:color="auto" w:sz="4" w:space="0"/>
              <w:right w:val="single" w:color="000000" w:sz="4" w:space="0"/>
            </w:tcBorders>
            <w:noWrap w:val="0"/>
            <w:vAlign w:val="center"/>
          </w:tcPr>
          <w:p w14:paraId="731F00A4">
            <w:pPr>
              <w:pageBreakBefore w:val="0"/>
              <w:kinsoku/>
              <w:overflowPunct/>
              <w:topLinePunct w:val="0"/>
              <w:bidi w:val="0"/>
              <w:adjustRightInd w:val="0"/>
              <w:snapToGrid w:val="0"/>
              <w:spacing w:line="240" w:lineRule="auto"/>
              <w:jc w:val="left"/>
              <w:rPr>
                <w:rFonts w:hint="eastAsia" w:ascii="仿宋" w:eastAsia="仿宋" w:cs="仿宋"/>
                <w:kern w:val="0"/>
                <w:sz w:val="24"/>
                <w:szCs w:val="24"/>
                <w:lang w:bidi="ar-SA"/>
              </w:rPr>
            </w:pPr>
            <w:r>
              <w:rPr>
                <w:rFonts w:hint="eastAsia" w:ascii="仿宋" w:eastAsia="仿宋"/>
                <w:sz w:val="24"/>
              </w:rPr>
              <w:t>毕业论文选题是否具有热爱</w:t>
            </w:r>
            <w:r>
              <w:rPr>
                <w:rFonts w:hint="eastAsia" w:ascii="仿宋" w:eastAsia="仿宋"/>
                <w:sz w:val="24"/>
                <w:lang w:val="en-US" w:eastAsia="en-US"/>
              </w:rPr>
              <w:t>中学音乐</w:t>
            </w:r>
            <w:r>
              <w:rPr>
                <w:rFonts w:hint="eastAsia" w:ascii="仿宋" w:eastAsia="仿宋"/>
                <w:sz w:val="24"/>
              </w:rPr>
              <w:t>教育的情怀，是否认同</w:t>
            </w:r>
            <w:r>
              <w:rPr>
                <w:rFonts w:hint="eastAsia" w:ascii="仿宋" w:eastAsia="仿宋"/>
                <w:sz w:val="24"/>
                <w:lang w:val="en-US" w:eastAsia="en-US"/>
              </w:rPr>
              <w:t>中学音乐</w:t>
            </w:r>
            <w:r>
              <w:rPr>
                <w:rFonts w:hint="eastAsia" w:ascii="仿宋" w:eastAsia="仿宋"/>
                <w:sz w:val="24"/>
              </w:rPr>
              <w:t>教育事业。</w:t>
            </w:r>
          </w:p>
        </w:tc>
        <w:tc>
          <w:tcPr>
            <w:tcW w:w="900" w:type="dxa"/>
            <w:tcBorders>
              <w:top w:val="single" w:color="auto" w:sz="4" w:space="0"/>
              <w:left w:val="single" w:color="000000" w:sz="4" w:space="0"/>
              <w:bottom w:val="single" w:color="auto" w:sz="4" w:space="0"/>
              <w:right w:val="single" w:color="auto" w:sz="4" w:space="0"/>
            </w:tcBorders>
            <w:noWrap w:val="0"/>
            <w:vAlign w:val="center"/>
          </w:tcPr>
          <w:p w14:paraId="5738E2DE">
            <w:pPr>
              <w:pageBreakBefore w:val="0"/>
              <w:kinsoku/>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4</w:t>
            </w:r>
          </w:p>
        </w:tc>
        <w:tc>
          <w:tcPr>
            <w:tcW w:w="813" w:type="dxa"/>
            <w:gridSpan w:val="2"/>
            <w:tcBorders>
              <w:top w:val="single" w:color="auto" w:sz="4" w:space="0"/>
              <w:left w:val="single" w:color="auto" w:sz="4" w:space="0"/>
              <w:bottom w:val="single" w:color="auto" w:sz="4" w:space="0"/>
              <w:right w:val="single" w:color="000000" w:sz="4" w:space="0"/>
            </w:tcBorders>
            <w:noWrap w:val="0"/>
            <w:vAlign w:val="center"/>
          </w:tcPr>
          <w:p w14:paraId="2D5123CB">
            <w:pPr>
              <w:pageBreakBefore w:val="0"/>
              <w:kinsoku/>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2</w:t>
            </w:r>
          </w:p>
        </w:tc>
        <w:tc>
          <w:tcPr>
            <w:tcW w:w="696" w:type="dxa"/>
            <w:tcBorders>
              <w:top w:val="single" w:color="auto" w:sz="4" w:space="0"/>
              <w:left w:val="single" w:color="000000" w:sz="4" w:space="0"/>
              <w:bottom w:val="single" w:color="auto" w:sz="4" w:space="0"/>
              <w:right w:val="single" w:color="auto" w:sz="4" w:space="0"/>
            </w:tcBorders>
            <w:noWrap w:val="0"/>
            <w:vAlign w:val="center"/>
          </w:tcPr>
          <w:p w14:paraId="63ED314B">
            <w:pPr>
              <w:pageBreakBefore w:val="0"/>
              <w:kinsoku/>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4</w:t>
            </w:r>
          </w:p>
        </w:tc>
        <w:tc>
          <w:tcPr>
            <w:tcW w:w="573" w:type="dxa"/>
            <w:tcBorders>
              <w:top w:val="single" w:color="auto" w:sz="4" w:space="0"/>
              <w:left w:val="single" w:color="000000" w:sz="4" w:space="0"/>
              <w:bottom w:val="single" w:color="auto" w:sz="4" w:space="0"/>
              <w:right w:val="single" w:color="auto" w:sz="4" w:space="0"/>
            </w:tcBorders>
            <w:noWrap w:val="0"/>
            <w:vAlign w:val="center"/>
          </w:tcPr>
          <w:p w14:paraId="28C5FEBA">
            <w:pPr>
              <w:pageBreakBefore w:val="0"/>
              <w:tabs>
                <w:tab w:val="left" w:pos="720"/>
              </w:tabs>
              <w:kinsoku/>
              <w:overflowPunct/>
              <w:topLinePunct w:val="0"/>
              <w:bidi w:val="0"/>
              <w:adjustRightInd w:val="0"/>
              <w:snapToGrid w:val="0"/>
              <w:spacing w:line="240" w:lineRule="auto"/>
              <w:jc w:val="center"/>
              <w:rPr>
                <w:rFonts w:hint="eastAsia" w:ascii="仿宋" w:eastAsia="仿宋" w:cs="仿宋"/>
                <w:color w:val="000000"/>
                <w:kern w:val="0"/>
                <w:sz w:val="24"/>
                <w:szCs w:val="24"/>
                <w:lang w:val="en-US" w:eastAsia="zh-CN" w:bidi="ar-SA"/>
              </w:rPr>
            </w:pPr>
            <w:r>
              <w:rPr>
                <w:rFonts w:hint="eastAsia" w:ascii="仿宋" w:eastAsia="仿宋" w:cs="仿宋"/>
                <w:color w:val="000000"/>
                <w:kern w:val="0"/>
                <w:sz w:val="24"/>
                <w:szCs w:val="24"/>
                <w:lang w:bidi="ar-SA"/>
              </w:rPr>
              <w:t>0.7</w:t>
            </w:r>
            <w:r>
              <w:rPr>
                <w:rFonts w:hint="eastAsia" w:ascii="仿宋" w:eastAsia="仿宋" w:cs="仿宋"/>
                <w:color w:val="000000"/>
                <w:kern w:val="0"/>
                <w:sz w:val="24"/>
                <w:szCs w:val="24"/>
                <w:lang w:val="en-US" w:eastAsia="zh-CN" w:bidi="ar-SA"/>
              </w:rPr>
              <w:t>0</w:t>
            </w:r>
          </w:p>
        </w:tc>
      </w:tr>
      <w:tr w14:paraId="48438BA3">
        <w:trPr>
          <w:trHeight w:val="624" w:hRule="atLeast"/>
        </w:trPr>
        <w:tc>
          <w:tcPr>
            <w:tcW w:w="1251" w:type="dxa"/>
            <w:vMerge w:val="continue"/>
            <w:tcBorders>
              <w:top w:val="single" w:color="auto" w:sz="4" w:space="0"/>
              <w:left w:val="single" w:color="auto" w:sz="4" w:space="0"/>
              <w:bottom w:val="single" w:color="auto" w:sz="4" w:space="0"/>
              <w:right w:val="single" w:color="auto" w:sz="4" w:space="0"/>
            </w:tcBorders>
            <w:noWrap w:val="0"/>
            <w:vAlign w:val="center"/>
          </w:tcPr>
          <w:p w14:paraId="6E6ADFC9">
            <w:pPr>
              <w:pageBreakBefore w:val="0"/>
              <w:kinsoku/>
              <w:overflowPunct/>
              <w:topLinePunct w:val="0"/>
              <w:bidi w:val="0"/>
              <w:spacing w:line="240" w:lineRule="auto"/>
            </w:pPr>
          </w:p>
        </w:tc>
        <w:tc>
          <w:tcPr>
            <w:tcW w:w="1278" w:type="dxa"/>
            <w:tcBorders>
              <w:top w:val="single" w:color="auto" w:sz="4" w:space="0"/>
              <w:left w:val="single" w:color="auto" w:sz="4" w:space="0"/>
              <w:bottom w:val="single" w:color="auto" w:sz="4" w:space="0"/>
              <w:right w:val="single" w:color="auto" w:sz="4" w:space="0"/>
            </w:tcBorders>
            <w:noWrap w:val="0"/>
            <w:vAlign w:val="center"/>
          </w:tcPr>
          <w:p w14:paraId="4CFB15E2">
            <w:pPr>
              <w:pageBreakBefore w:val="0"/>
              <w:kinsoku/>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课程目标2（30%）</w:t>
            </w:r>
          </w:p>
        </w:tc>
        <w:tc>
          <w:tcPr>
            <w:tcW w:w="3635" w:type="dxa"/>
            <w:gridSpan w:val="5"/>
            <w:tcBorders>
              <w:top w:val="single" w:color="auto" w:sz="4" w:space="0"/>
              <w:left w:val="single" w:color="auto" w:sz="4" w:space="0"/>
              <w:bottom w:val="single" w:color="auto" w:sz="4" w:space="0"/>
              <w:right w:val="single" w:color="000000" w:sz="4" w:space="0"/>
            </w:tcBorders>
            <w:noWrap w:val="0"/>
            <w:vAlign w:val="center"/>
          </w:tcPr>
          <w:p w14:paraId="2E9697C7">
            <w:pPr>
              <w:pageBreakBefore w:val="0"/>
              <w:numPr>
                <w:ilvl w:val="0"/>
                <w:numId w:val="51"/>
              </w:numPr>
              <w:kinsoku/>
              <w:overflowPunct/>
              <w:topLinePunct w:val="0"/>
              <w:bidi w:val="0"/>
              <w:adjustRightInd w:val="0"/>
              <w:snapToGrid w:val="0"/>
              <w:spacing w:line="240" w:lineRule="auto"/>
              <w:jc w:val="left"/>
              <w:rPr>
                <w:rFonts w:hint="eastAsia" w:ascii="仿宋" w:eastAsia="仿宋" w:cs="仿宋"/>
                <w:color w:val="000000"/>
                <w:sz w:val="24"/>
                <w:szCs w:val="24"/>
                <w:lang w:bidi="ar-SA"/>
              </w:rPr>
            </w:pPr>
            <w:r>
              <w:rPr>
                <w:rFonts w:hint="eastAsia" w:ascii="仿宋" w:eastAsia="仿宋" w:cs="仿宋"/>
                <w:color w:val="000000"/>
                <w:sz w:val="24"/>
                <w:szCs w:val="24"/>
                <w:lang w:bidi="ar-SA"/>
              </w:rPr>
              <w:t>在毕业论文中运用</w:t>
            </w:r>
            <w:r>
              <w:rPr>
                <w:rFonts w:hint="eastAsia" w:ascii="仿宋" w:eastAsia="仿宋" w:cs="仿宋"/>
                <w:color w:val="000000"/>
                <w:sz w:val="24"/>
                <w:szCs w:val="24"/>
                <w:lang w:val="en-US" w:eastAsia="en-US" w:bidi="ar-SA"/>
              </w:rPr>
              <w:t>音乐学</w:t>
            </w:r>
            <w:r>
              <w:rPr>
                <w:rFonts w:hint="eastAsia" w:ascii="仿宋" w:eastAsia="仿宋" w:cs="仿宋"/>
                <w:color w:val="000000"/>
                <w:sz w:val="24"/>
                <w:szCs w:val="24"/>
                <w:lang w:bidi="ar-SA"/>
              </w:rPr>
              <w:t>专业基础理论、专业知识和基本技能的能力。</w:t>
            </w:r>
          </w:p>
          <w:p w14:paraId="75F888C6">
            <w:pPr>
              <w:pageBreakBefore w:val="0"/>
              <w:kinsoku/>
              <w:overflowPunct/>
              <w:topLinePunct w:val="0"/>
              <w:bidi w:val="0"/>
              <w:adjustRightInd w:val="0"/>
              <w:snapToGrid w:val="0"/>
              <w:spacing w:line="240" w:lineRule="auto"/>
              <w:jc w:val="left"/>
              <w:rPr>
                <w:rFonts w:hint="eastAsia" w:ascii="仿宋" w:eastAsia="仿宋"/>
                <w:sz w:val="24"/>
                <w:szCs w:val="24"/>
                <w:lang w:val="zh-CN" w:eastAsia="zh-CN"/>
              </w:rPr>
            </w:pPr>
            <w:r>
              <w:rPr>
                <w:rFonts w:hint="eastAsia" w:ascii="仿宋" w:eastAsia="仿宋" w:cs="仿宋"/>
                <w:color w:val="000000"/>
                <w:sz w:val="24"/>
                <w:szCs w:val="24"/>
                <w:lang w:bidi="ar-SA"/>
              </w:rPr>
              <w:t>（2）毕业论文对</w:t>
            </w:r>
            <w:r>
              <w:rPr>
                <w:rFonts w:hint="eastAsia" w:ascii="仿宋" w:eastAsia="仿宋"/>
                <w:color w:val="000000"/>
                <w:sz w:val="24"/>
              </w:rPr>
              <w:t>语言表达、文本阅读与评价、文献检索与调查研究等方法的使用情况。</w:t>
            </w:r>
          </w:p>
        </w:tc>
        <w:tc>
          <w:tcPr>
            <w:tcW w:w="900" w:type="dxa"/>
            <w:tcBorders>
              <w:top w:val="single" w:color="auto" w:sz="4" w:space="0"/>
              <w:left w:val="single" w:color="000000" w:sz="4" w:space="0"/>
              <w:bottom w:val="single" w:color="auto" w:sz="4" w:space="0"/>
              <w:right w:val="single" w:color="auto" w:sz="4" w:space="0"/>
            </w:tcBorders>
            <w:noWrap w:val="0"/>
            <w:vAlign w:val="center"/>
          </w:tcPr>
          <w:p w14:paraId="682F1BDF">
            <w:pPr>
              <w:pageBreakBefore w:val="0"/>
              <w:kinsoku/>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12</w:t>
            </w:r>
          </w:p>
        </w:tc>
        <w:tc>
          <w:tcPr>
            <w:tcW w:w="813" w:type="dxa"/>
            <w:gridSpan w:val="2"/>
            <w:tcBorders>
              <w:top w:val="single" w:color="auto" w:sz="4" w:space="0"/>
              <w:left w:val="single" w:color="auto" w:sz="4" w:space="0"/>
              <w:bottom w:val="single" w:color="000000" w:sz="4" w:space="0"/>
              <w:right w:val="single" w:color="000000" w:sz="4" w:space="0"/>
            </w:tcBorders>
            <w:noWrap w:val="0"/>
            <w:vAlign w:val="center"/>
          </w:tcPr>
          <w:p w14:paraId="12248C1A">
            <w:pPr>
              <w:pageBreakBefore w:val="0"/>
              <w:kinsoku/>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6</w:t>
            </w:r>
          </w:p>
        </w:tc>
        <w:tc>
          <w:tcPr>
            <w:tcW w:w="696" w:type="dxa"/>
            <w:tcBorders>
              <w:top w:val="single" w:color="auto" w:sz="4" w:space="0"/>
              <w:left w:val="single" w:color="000000" w:sz="4" w:space="0"/>
              <w:bottom w:val="single" w:color="000000" w:sz="4" w:space="0"/>
              <w:right w:val="single" w:color="auto" w:sz="4" w:space="0"/>
            </w:tcBorders>
            <w:noWrap w:val="0"/>
            <w:vAlign w:val="center"/>
          </w:tcPr>
          <w:p w14:paraId="78CAE388">
            <w:pPr>
              <w:pageBreakBefore w:val="0"/>
              <w:kinsoku/>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12</w:t>
            </w:r>
          </w:p>
        </w:tc>
        <w:tc>
          <w:tcPr>
            <w:tcW w:w="573" w:type="dxa"/>
            <w:tcBorders>
              <w:top w:val="single" w:color="auto" w:sz="4" w:space="0"/>
              <w:left w:val="single" w:color="000000" w:sz="4" w:space="0"/>
              <w:bottom w:val="single" w:color="000000" w:sz="4" w:space="0"/>
              <w:right w:val="single" w:color="auto" w:sz="4" w:space="0"/>
            </w:tcBorders>
            <w:noWrap w:val="0"/>
            <w:vAlign w:val="center"/>
          </w:tcPr>
          <w:p w14:paraId="294B283A">
            <w:pPr>
              <w:pageBreakBefore w:val="0"/>
              <w:tabs>
                <w:tab w:val="left" w:pos="720"/>
              </w:tabs>
              <w:kinsoku/>
              <w:overflowPunct/>
              <w:topLinePunct w:val="0"/>
              <w:bidi w:val="0"/>
              <w:adjustRightInd w:val="0"/>
              <w:snapToGrid w:val="0"/>
              <w:spacing w:line="240" w:lineRule="auto"/>
              <w:jc w:val="center"/>
              <w:rPr>
                <w:rFonts w:hint="eastAsia" w:ascii="仿宋" w:eastAsia="仿宋" w:cs="仿宋"/>
                <w:color w:val="000000"/>
                <w:kern w:val="0"/>
                <w:sz w:val="24"/>
                <w:szCs w:val="24"/>
                <w:lang w:val="en-US" w:eastAsia="zh-CN" w:bidi="ar-SA"/>
              </w:rPr>
            </w:pPr>
            <w:r>
              <w:rPr>
                <w:rFonts w:hint="eastAsia" w:ascii="仿宋" w:eastAsia="仿宋" w:cs="仿宋"/>
                <w:color w:val="000000"/>
                <w:kern w:val="0"/>
                <w:sz w:val="24"/>
                <w:szCs w:val="24"/>
                <w:lang w:bidi="ar-SA"/>
              </w:rPr>
              <w:t>0.7</w:t>
            </w:r>
            <w:r>
              <w:rPr>
                <w:rFonts w:hint="eastAsia" w:ascii="仿宋" w:eastAsia="仿宋" w:cs="仿宋"/>
                <w:color w:val="000000"/>
                <w:kern w:val="0"/>
                <w:sz w:val="24"/>
                <w:szCs w:val="24"/>
                <w:lang w:val="en-US" w:eastAsia="zh-CN" w:bidi="ar-SA"/>
              </w:rPr>
              <w:t>0</w:t>
            </w:r>
          </w:p>
        </w:tc>
      </w:tr>
      <w:tr w14:paraId="3ECA2DA6">
        <w:trPr>
          <w:trHeight w:val="624" w:hRule="atLeast"/>
        </w:trPr>
        <w:tc>
          <w:tcPr>
            <w:tcW w:w="1251" w:type="dxa"/>
            <w:vMerge w:val="continue"/>
            <w:tcBorders>
              <w:top w:val="single" w:color="auto" w:sz="4" w:space="0"/>
              <w:left w:val="single" w:color="auto" w:sz="4" w:space="0"/>
              <w:bottom w:val="single" w:color="auto" w:sz="4" w:space="0"/>
              <w:right w:val="single" w:color="auto" w:sz="4" w:space="0"/>
            </w:tcBorders>
            <w:noWrap w:val="0"/>
            <w:vAlign w:val="center"/>
          </w:tcPr>
          <w:p w14:paraId="46C6DB60">
            <w:pPr>
              <w:pageBreakBefore w:val="0"/>
              <w:kinsoku/>
              <w:overflowPunct/>
              <w:topLinePunct w:val="0"/>
              <w:bidi w:val="0"/>
              <w:spacing w:line="240" w:lineRule="auto"/>
            </w:pPr>
          </w:p>
        </w:tc>
        <w:tc>
          <w:tcPr>
            <w:tcW w:w="1278" w:type="dxa"/>
            <w:tcBorders>
              <w:top w:val="single" w:color="auto" w:sz="4" w:space="0"/>
              <w:left w:val="single" w:color="auto" w:sz="4" w:space="0"/>
              <w:bottom w:val="single" w:color="auto" w:sz="4" w:space="0"/>
              <w:right w:val="single" w:color="auto" w:sz="4" w:space="0"/>
            </w:tcBorders>
            <w:noWrap w:val="0"/>
            <w:vAlign w:val="center"/>
          </w:tcPr>
          <w:p w14:paraId="3F70859E">
            <w:pPr>
              <w:pageBreakBefore w:val="0"/>
              <w:kinsoku/>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kern w:val="0"/>
                <w:sz w:val="24"/>
                <w:szCs w:val="24"/>
                <w:lang w:bidi="ar-SA"/>
              </w:rPr>
              <w:t>课程目标3（40%）</w:t>
            </w:r>
          </w:p>
        </w:tc>
        <w:tc>
          <w:tcPr>
            <w:tcW w:w="3635" w:type="dxa"/>
            <w:gridSpan w:val="5"/>
            <w:tcBorders>
              <w:top w:val="single" w:color="auto" w:sz="4" w:space="0"/>
              <w:left w:val="single" w:color="auto" w:sz="4" w:space="0"/>
              <w:bottom w:val="single" w:color="auto" w:sz="4" w:space="0"/>
              <w:right w:val="single" w:color="000000" w:sz="4" w:space="0"/>
            </w:tcBorders>
            <w:noWrap w:val="0"/>
            <w:vAlign w:val="center"/>
          </w:tcPr>
          <w:p w14:paraId="2E8171C9">
            <w:pPr>
              <w:pageBreakBefore w:val="0"/>
              <w:kinsoku/>
              <w:overflowPunct/>
              <w:topLinePunct w:val="0"/>
              <w:bidi w:val="0"/>
              <w:adjustRightInd w:val="0"/>
              <w:snapToGrid w:val="0"/>
              <w:spacing w:line="240" w:lineRule="auto"/>
              <w:jc w:val="left"/>
              <w:rPr>
                <w:rFonts w:hint="eastAsia" w:ascii="仿宋" w:eastAsia="仿宋" w:cs="仿宋"/>
                <w:kern w:val="0"/>
                <w:sz w:val="24"/>
                <w:szCs w:val="24"/>
                <w:lang w:bidi="ar-SA"/>
              </w:rPr>
            </w:pPr>
            <w:r>
              <w:rPr>
                <w:rFonts w:hint="eastAsia" w:ascii="仿宋" w:eastAsia="仿宋" w:cs="仿宋"/>
                <w:kern w:val="0"/>
                <w:sz w:val="24"/>
                <w:szCs w:val="24"/>
                <w:lang w:bidi="ar-SA"/>
              </w:rPr>
              <w:t>考察毕业论文选题、论述观点是否具有创新性。</w:t>
            </w:r>
          </w:p>
        </w:tc>
        <w:tc>
          <w:tcPr>
            <w:tcW w:w="900" w:type="dxa"/>
            <w:tcBorders>
              <w:top w:val="single" w:color="auto" w:sz="4" w:space="0"/>
              <w:left w:val="single" w:color="000000" w:sz="4" w:space="0"/>
              <w:bottom w:val="single" w:color="auto" w:sz="4" w:space="0"/>
              <w:right w:val="single" w:color="auto" w:sz="4" w:space="0"/>
            </w:tcBorders>
            <w:noWrap w:val="0"/>
            <w:vAlign w:val="center"/>
          </w:tcPr>
          <w:p w14:paraId="2AC6BBAE">
            <w:pPr>
              <w:pageBreakBefore w:val="0"/>
              <w:kinsoku/>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16</w:t>
            </w:r>
          </w:p>
        </w:tc>
        <w:tc>
          <w:tcPr>
            <w:tcW w:w="813" w:type="dxa"/>
            <w:gridSpan w:val="2"/>
            <w:tcBorders>
              <w:top w:val="single" w:color="000000" w:sz="4" w:space="0"/>
              <w:left w:val="single" w:color="auto" w:sz="4" w:space="0"/>
              <w:bottom w:val="single" w:color="auto" w:sz="4" w:space="0"/>
              <w:right w:val="single" w:color="auto" w:sz="4" w:space="0"/>
            </w:tcBorders>
            <w:noWrap w:val="0"/>
            <w:vAlign w:val="center"/>
          </w:tcPr>
          <w:p w14:paraId="6703E185">
            <w:pPr>
              <w:pageBreakBefore w:val="0"/>
              <w:kinsoku/>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8</w:t>
            </w:r>
          </w:p>
        </w:tc>
        <w:tc>
          <w:tcPr>
            <w:tcW w:w="696" w:type="dxa"/>
            <w:tcBorders>
              <w:top w:val="single" w:color="000000" w:sz="4" w:space="0"/>
              <w:left w:val="single" w:color="auto" w:sz="4" w:space="0"/>
              <w:bottom w:val="single" w:color="auto" w:sz="4" w:space="0"/>
              <w:right w:val="single" w:color="auto" w:sz="4" w:space="0"/>
            </w:tcBorders>
            <w:noWrap w:val="0"/>
            <w:vAlign w:val="center"/>
          </w:tcPr>
          <w:p w14:paraId="50C1A81B">
            <w:pPr>
              <w:pageBreakBefore w:val="0"/>
              <w:kinsoku/>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16</w:t>
            </w:r>
          </w:p>
        </w:tc>
        <w:tc>
          <w:tcPr>
            <w:tcW w:w="573" w:type="dxa"/>
            <w:tcBorders>
              <w:top w:val="single" w:color="000000" w:sz="4" w:space="0"/>
              <w:left w:val="single" w:color="000000" w:sz="4" w:space="0"/>
              <w:bottom w:val="single" w:color="auto" w:sz="4" w:space="0"/>
              <w:right w:val="single" w:color="auto" w:sz="4" w:space="0"/>
            </w:tcBorders>
            <w:noWrap w:val="0"/>
            <w:vAlign w:val="center"/>
          </w:tcPr>
          <w:p w14:paraId="52C15B58">
            <w:pPr>
              <w:pageBreakBefore w:val="0"/>
              <w:tabs>
                <w:tab w:val="left" w:pos="720"/>
              </w:tabs>
              <w:kinsoku/>
              <w:overflowPunct/>
              <w:topLinePunct w:val="0"/>
              <w:bidi w:val="0"/>
              <w:adjustRightInd w:val="0"/>
              <w:snapToGrid w:val="0"/>
              <w:spacing w:line="240" w:lineRule="auto"/>
              <w:jc w:val="center"/>
              <w:rPr>
                <w:rFonts w:hint="eastAsia" w:ascii="仿宋" w:eastAsia="仿宋" w:cs="仿宋"/>
                <w:color w:val="000000"/>
                <w:kern w:val="0"/>
                <w:sz w:val="24"/>
                <w:szCs w:val="24"/>
                <w:lang w:val="en-US" w:eastAsia="zh-CN" w:bidi="ar-SA"/>
              </w:rPr>
            </w:pPr>
            <w:r>
              <w:rPr>
                <w:rFonts w:hint="eastAsia" w:ascii="仿宋" w:eastAsia="仿宋" w:cs="仿宋"/>
                <w:color w:val="000000"/>
                <w:kern w:val="0"/>
                <w:sz w:val="24"/>
                <w:szCs w:val="24"/>
                <w:lang w:bidi="ar-SA"/>
              </w:rPr>
              <w:t>0.7</w:t>
            </w:r>
            <w:r>
              <w:rPr>
                <w:rFonts w:hint="eastAsia" w:ascii="仿宋" w:eastAsia="仿宋" w:cs="仿宋"/>
                <w:color w:val="000000"/>
                <w:kern w:val="0"/>
                <w:sz w:val="24"/>
                <w:szCs w:val="24"/>
                <w:lang w:val="en-US" w:eastAsia="zh-CN" w:bidi="ar-SA"/>
              </w:rPr>
              <w:t>0</w:t>
            </w:r>
          </w:p>
        </w:tc>
      </w:tr>
      <w:tr w14:paraId="181E7926">
        <w:trPr>
          <w:trHeight w:val="624" w:hRule="atLeast"/>
        </w:trPr>
        <w:tc>
          <w:tcPr>
            <w:tcW w:w="1251" w:type="dxa"/>
            <w:vMerge w:val="continue"/>
            <w:tcBorders>
              <w:top w:val="single" w:color="auto" w:sz="4" w:space="0"/>
              <w:left w:val="single" w:color="auto" w:sz="4" w:space="0"/>
              <w:bottom w:val="single" w:color="auto" w:sz="4" w:space="0"/>
              <w:right w:val="single" w:color="auto" w:sz="4" w:space="0"/>
            </w:tcBorders>
            <w:noWrap w:val="0"/>
            <w:vAlign w:val="center"/>
          </w:tcPr>
          <w:p w14:paraId="4A8E2CDA">
            <w:pPr>
              <w:pageBreakBefore w:val="0"/>
              <w:kinsoku/>
              <w:overflowPunct/>
              <w:topLinePunct w:val="0"/>
              <w:bidi w:val="0"/>
              <w:spacing w:line="240" w:lineRule="auto"/>
            </w:pPr>
          </w:p>
        </w:tc>
        <w:tc>
          <w:tcPr>
            <w:tcW w:w="1278" w:type="dxa"/>
            <w:tcBorders>
              <w:top w:val="single" w:color="auto" w:sz="4" w:space="0"/>
              <w:left w:val="single" w:color="auto" w:sz="4" w:space="0"/>
              <w:bottom w:val="single" w:color="auto" w:sz="4" w:space="0"/>
              <w:right w:val="single" w:color="auto" w:sz="4" w:space="0"/>
            </w:tcBorders>
            <w:noWrap w:val="0"/>
            <w:vAlign w:val="center"/>
          </w:tcPr>
          <w:p w14:paraId="6027A48F">
            <w:pPr>
              <w:pageBreakBefore w:val="0"/>
              <w:kinsoku/>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课程目标4（20%）</w:t>
            </w:r>
          </w:p>
        </w:tc>
        <w:tc>
          <w:tcPr>
            <w:tcW w:w="3635" w:type="dxa"/>
            <w:gridSpan w:val="5"/>
            <w:tcBorders>
              <w:top w:val="single" w:color="auto" w:sz="4" w:space="0"/>
              <w:left w:val="single" w:color="auto" w:sz="4" w:space="0"/>
              <w:bottom w:val="single" w:color="auto" w:sz="4" w:space="0"/>
              <w:right w:val="single" w:color="000000" w:sz="4" w:space="0"/>
            </w:tcBorders>
            <w:noWrap w:val="0"/>
            <w:vAlign w:val="center"/>
          </w:tcPr>
          <w:p w14:paraId="2B077861">
            <w:pPr>
              <w:pageBreakBefore w:val="0"/>
              <w:kinsoku/>
              <w:overflowPunct/>
              <w:topLinePunct w:val="0"/>
              <w:bidi w:val="0"/>
              <w:adjustRightInd w:val="0"/>
              <w:snapToGrid w:val="0"/>
              <w:spacing w:line="240" w:lineRule="auto"/>
              <w:jc w:val="left"/>
              <w:rPr>
                <w:rFonts w:hint="eastAsia" w:ascii="仿宋" w:eastAsia="仿宋" w:cs="仿宋"/>
                <w:color w:val="000000"/>
                <w:sz w:val="24"/>
                <w:szCs w:val="24"/>
                <w:lang w:bidi="ar-SA"/>
              </w:rPr>
            </w:pPr>
            <w:r>
              <w:rPr>
                <w:rFonts w:hint="eastAsia" w:ascii="仿宋" w:eastAsia="仿宋" w:cs="仿宋"/>
                <w:color w:val="000000"/>
                <w:sz w:val="24"/>
                <w:szCs w:val="24"/>
                <w:lang w:bidi="ar-SA"/>
              </w:rPr>
              <w:t>团队之间</w:t>
            </w:r>
            <w:r>
              <w:rPr>
                <w:rFonts w:hint="default" w:ascii="仿宋" w:eastAsia="仿宋" w:cs="仿宋"/>
                <w:color w:val="000000"/>
                <w:sz w:val="24"/>
                <w:szCs w:val="24"/>
                <w:lang w:bidi="ar-SA"/>
              </w:rPr>
              <w:t>、</w:t>
            </w:r>
            <w:r>
              <w:rPr>
                <w:rFonts w:hint="eastAsia" w:ascii="仿宋" w:eastAsia="仿宋" w:cs="仿宋"/>
                <w:color w:val="000000"/>
                <w:sz w:val="24"/>
                <w:szCs w:val="24"/>
                <w:lang w:val="en-US" w:eastAsia="zh-Hans" w:bidi="ar-SA"/>
              </w:rPr>
              <w:t>与指导老师之间</w:t>
            </w:r>
            <w:r>
              <w:rPr>
                <w:rFonts w:hint="eastAsia" w:ascii="仿宋" w:eastAsia="仿宋" w:cs="仿宋"/>
                <w:color w:val="000000"/>
                <w:sz w:val="24"/>
                <w:szCs w:val="24"/>
                <w:lang w:bidi="ar-SA"/>
              </w:rPr>
              <w:t>是否能有效合作</w:t>
            </w:r>
          </w:p>
        </w:tc>
        <w:tc>
          <w:tcPr>
            <w:tcW w:w="900" w:type="dxa"/>
            <w:tcBorders>
              <w:top w:val="single" w:color="auto" w:sz="4" w:space="0"/>
              <w:left w:val="single" w:color="000000" w:sz="4" w:space="0"/>
              <w:bottom w:val="single" w:color="auto" w:sz="4" w:space="0"/>
              <w:right w:val="single" w:color="auto" w:sz="4" w:space="0"/>
            </w:tcBorders>
            <w:noWrap w:val="0"/>
            <w:vAlign w:val="center"/>
          </w:tcPr>
          <w:p w14:paraId="5BC89A3A">
            <w:pPr>
              <w:pageBreakBefore w:val="0"/>
              <w:kinsoku/>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8</w:t>
            </w:r>
          </w:p>
        </w:tc>
        <w:tc>
          <w:tcPr>
            <w:tcW w:w="813" w:type="dxa"/>
            <w:gridSpan w:val="2"/>
            <w:tcBorders>
              <w:top w:val="single" w:color="auto" w:sz="4" w:space="0"/>
              <w:left w:val="single" w:color="auto" w:sz="4" w:space="0"/>
              <w:bottom w:val="single" w:color="auto" w:sz="4" w:space="0"/>
              <w:right w:val="single" w:color="auto" w:sz="4" w:space="0"/>
            </w:tcBorders>
            <w:noWrap w:val="0"/>
            <w:vAlign w:val="center"/>
          </w:tcPr>
          <w:p w14:paraId="10B658B5">
            <w:pPr>
              <w:pageBreakBefore w:val="0"/>
              <w:kinsoku/>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4</w:t>
            </w:r>
          </w:p>
        </w:tc>
        <w:tc>
          <w:tcPr>
            <w:tcW w:w="696" w:type="dxa"/>
            <w:tcBorders>
              <w:top w:val="single" w:color="auto" w:sz="4" w:space="0"/>
              <w:left w:val="single" w:color="auto" w:sz="4" w:space="0"/>
              <w:bottom w:val="single" w:color="auto" w:sz="4" w:space="0"/>
              <w:right w:val="single" w:color="auto" w:sz="4" w:space="0"/>
            </w:tcBorders>
            <w:noWrap w:val="0"/>
            <w:vAlign w:val="center"/>
          </w:tcPr>
          <w:p w14:paraId="613F840E">
            <w:pPr>
              <w:pageBreakBefore w:val="0"/>
              <w:kinsoku/>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8</w:t>
            </w:r>
          </w:p>
        </w:tc>
        <w:tc>
          <w:tcPr>
            <w:tcW w:w="573" w:type="dxa"/>
            <w:tcBorders>
              <w:top w:val="single" w:color="auto" w:sz="4" w:space="0"/>
              <w:left w:val="single" w:color="000000" w:sz="4" w:space="0"/>
              <w:bottom w:val="single" w:color="auto" w:sz="4" w:space="0"/>
              <w:right w:val="single" w:color="auto" w:sz="4" w:space="0"/>
            </w:tcBorders>
            <w:noWrap w:val="0"/>
            <w:vAlign w:val="center"/>
          </w:tcPr>
          <w:p w14:paraId="58B58DF5">
            <w:pPr>
              <w:pageBreakBefore w:val="0"/>
              <w:tabs>
                <w:tab w:val="left" w:pos="720"/>
              </w:tabs>
              <w:kinsoku/>
              <w:overflowPunct/>
              <w:topLinePunct w:val="0"/>
              <w:bidi w:val="0"/>
              <w:adjustRightInd w:val="0"/>
              <w:snapToGrid w:val="0"/>
              <w:spacing w:line="240" w:lineRule="auto"/>
              <w:jc w:val="center"/>
              <w:rPr>
                <w:rFonts w:hint="eastAsia" w:ascii="仿宋" w:eastAsia="仿宋" w:cs="仿宋"/>
                <w:color w:val="000000"/>
                <w:kern w:val="0"/>
                <w:sz w:val="24"/>
                <w:szCs w:val="24"/>
                <w:lang w:val="en-US" w:eastAsia="zh-CN" w:bidi="ar-SA"/>
              </w:rPr>
            </w:pPr>
            <w:r>
              <w:rPr>
                <w:rFonts w:hint="eastAsia" w:ascii="仿宋" w:eastAsia="仿宋" w:cs="仿宋"/>
                <w:color w:val="000000"/>
                <w:kern w:val="0"/>
                <w:sz w:val="24"/>
                <w:szCs w:val="24"/>
                <w:lang w:bidi="ar-SA"/>
              </w:rPr>
              <w:t>0.7</w:t>
            </w:r>
            <w:r>
              <w:rPr>
                <w:rFonts w:hint="eastAsia" w:ascii="仿宋" w:eastAsia="仿宋" w:cs="仿宋"/>
                <w:color w:val="000000"/>
                <w:kern w:val="0"/>
                <w:sz w:val="24"/>
                <w:szCs w:val="24"/>
                <w:lang w:val="en-US" w:eastAsia="zh-CN" w:bidi="ar-SA"/>
              </w:rPr>
              <w:t>0</w:t>
            </w:r>
          </w:p>
        </w:tc>
      </w:tr>
      <w:tr w14:paraId="35F03357">
        <w:trPr>
          <w:trHeight w:val="624" w:hRule="atLeast"/>
        </w:trPr>
        <w:tc>
          <w:tcPr>
            <w:tcW w:w="1251" w:type="dxa"/>
            <w:vMerge w:val="continue"/>
            <w:tcBorders>
              <w:top w:val="single" w:color="auto" w:sz="4" w:space="0"/>
              <w:left w:val="single" w:color="auto" w:sz="4" w:space="0"/>
              <w:bottom w:val="single" w:color="auto" w:sz="4" w:space="0"/>
              <w:right w:val="single" w:color="auto" w:sz="4" w:space="0"/>
            </w:tcBorders>
            <w:noWrap w:val="0"/>
            <w:vAlign w:val="center"/>
          </w:tcPr>
          <w:p w14:paraId="24FFA233">
            <w:pPr>
              <w:pageBreakBefore w:val="0"/>
              <w:kinsoku/>
              <w:overflowPunct/>
              <w:topLinePunct w:val="0"/>
              <w:bidi w:val="0"/>
              <w:spacing w:line="240" w:lineRule="auto"/>
            </w:pPr>
          </w:p>
        </w:tc>
        <w:tc>
          <w:tcPr>
            <w:tcW w:w="4913" w:type="dxa"/>
            <w:gridSpan w:val="6"/>
            <w:tcBorders>
              <w:top w:val="single" w:color="auto" w:sz="4" w:space="0"/>
              <w:left w:val="single" w:color="auto" w:sz="4" w:space="0"/>
              <w:bottom w:val="single" w:color="auto" w:sz="4" w:space="0"/>
              <w:right w:val="single" w:color="000000" w:sz="4" w:space="0"/>
            </w:tcBorders>
            <w:noWrap w:val="0"/>
            <w:vAlign w:val="center"/>
          </w:tcPr>
          <w:p w14:paraId="7A2030B8">
            <w:pPr>
              <w:pageBreakBefore w:val="0"/>
              <w:widowControl/>
              <w:kinsoku/>
              <w:overflowPunct/>
              <w:topLinePunct w:val="0"/>
              <w:autoSpaceDE w:val="0"/>
              <w:autoSpaceDN w:val="0"/>
              <w:bidi w:val="0"/>
              <w:adjustRightInd w:val="0"/>
              <w:snapToGrid w:val="0"/>
              <w:spacing w:line="240" w:lineRule="auto"/>
              <w:jc w:val="center"/>
              <w:textAlignment w:val="bottom"/>
              <w:rPr>
                <w:rFonts w:hint="eastAsia" w:ascii="仿宋" w:eastAsia="仿宋" w:cs="仿宋"/>
                <w:sz w:val="24"/>
                <w:szCs w:val="24"/>
                <w:lang w:bidi="ar-SA"/>
              </w:rPr>
            </w:pPr>
            <w:r>
              <w:rPr>
                <w:rFonts w:hint="eastAsia" w:ascii="仿宋" w:eastAsia="仿宋" w:cs="仿宋"/>
                <w:sz w:val="24"/>
                <w:szCs w:val="24"/>
                <w:lang w:bidi="ar-SA"/>
              </w:rPr>
              <w:t>总分 100</w:t>
            </w:r>
          </w:p>
        </w:tc>
        <w:tc>
          <w:tcPr>
            <w:tcW w:w="900" w:type="dxa"/>
            <w:tcBorders>
              <w:top w:val="single" w:color="auto" w:sz="4" w:space="0"/>
              <w:left w:val="single" w:color="000000" w:sz="4" w:space="0"/>
              <w:bottom w:val="single" w:color="auto" w:sz="4" w:space="0"/>
              <w:right w:val="single" w:color="auto" w:sz="4" w:space="0"/>
            </w:tcBorders>
            <w:noWrap w:val="0"/>
            <w:vAlign w:val="center"/>
          </w:tcPr>
          <w:p w14:paraId="772EB0FC">
            <w:pPr>
              <w:pageBreakBefore w:val="0"/>
              <w:tabs>
                <w:tab w:val="left" w:pos="720"/>
              </w:tabs>
              <w:kinsoku/>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40</w:t>
            </w:r>
          </w:p>
        </w:tc>
        <w:tc>
          <w:tcPr>
            <w:tcW w:w="813" w:type="dxa"/>
            <w:gridSpan w:val="2"/>
            <w:tcBorders>
              <w:top w:val="single" w:color="auto" w:sz="4" w:space="0"/>
              <w:left w:val="single" w:color="000000" w:sz="4" w:space="0"/>
              <w:bottom w:val="single" w:color="auto" w:sz="4" w:space="0"/>
              <w:right w:val="single" w:color="auto" w:sz="4" w:space="0"/>
            </w:tcBorders>
            <w:noWrap w:val="0"/>
            <w:vAlign w:val="center"/>
          </w:tcPr>
          <w:p w14:paraId="5234E55F">
            <w:pPr>
              <w:pageBreakBefore w:val="0"/>
              <w:tabs>
                <w:tab w:val="left" w:pos="720"/>
              </w:tabs>
              <w:kinsoku/>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20</w:t>
            </w:r>
          </w:p>
        </w:tc>
        <w:tc>
          <w:tcPr>
            <w:tcW w:w="696" w:type="dxa"/>
            <w:tcBorders>
              <w:top w:val="single" w:color="auto" w:sz="4" w:space="0"/>
              <w:left w:val="single" w:color="000000" w:sz="4" w:space="0"/>
              <w:bottom w:val="single" w:color="auto" w:sz="4" w:space="0"/>
              <w:right w:val="single" w:color="auto" w:sz="4" w:space="0"/>
            </w:tcBorders>
            <w:noWrap w:val="0"/>
            <w:vAlign w:val="center"/>
          </w:tcPr>
          <w:p w14:paraId="609095DF">
            <w:pPr>
              <w:pageBreakBefore w:val="0"/>
              <w:tabs>
                <w:tab w:val="left" w:pos="720"/>
              </w:tabs>
              <w:kinsoku/>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40</w:t>
            </w:r>
          </w:p>
        </w:tc>
        <w:tc>
          <w:tcPr>
            <w:tcW w:w="573" w:type="dxa"/>
            <w:tcBorders>
              <w:top w:val="single" w:color="auto" w:sz="4" w:space="0"/>
              <w:left w:val="single" w:color="000000" w:sz="4" w:space="0"/>
              <w:bottom w:val="single" w:color="auto" w:sz="4" w:space="0"/>
              <w:right w:val="single" w:color="auto" w:sz="4" w:space="0"/>
            </w:tcBorders>
            <w:noWrap w:val="0"/>
            <w:vAlign w:val="center"/>
          </w:tcPr>
          <w:p w14:paraId="6DC15272">
            <w:pPr>
              <w:pageBreakBefore w:val="0"/>
              <w:tabs>
                <w:tab w:val="left" w:pos="720"/>
              </w:tabs>
              <w:kinsoku/>
              <w:overflowPunct/>
              <w:topLinePunct w:val="0"/>
              <w:bidi w:val="0"/>
              <w:adjustRightInd w:val="0"/>
              <w:snapToGrid w:val="0"/>
              <w:spacing w:line="240" w:lineRule="auto"/>
              <w:jc w:val="center"/>
              <w:rPr>
                <w:rFonts w:hint="eastAsia" w:ascii="仿宋" w:eastAsia="仿宋" w:cs="仿宋"/>
                <w:color w:val="000000"/>
                <w:kern w:val="0"/>
                <w:sz w:val="24"/>
                <w:szCs w:val="24"/>
                <w:lang w:val="en-US" w:eastAsia="zh-CN" w:bidi="ar-SA"/>
              </w:rPr>
            </w:pPr>
            <w:r>
              <w:rPr>
                <w:rFonts w:hint="eastAsia" w:ascii="仿宋" w:eastAsia="仿宋" w:cs="仿宋"/>
                <w:color w:val="000000"/>
                <w:kern w:val="0"/>
                <w:sz w:val="24"/>
                <w:szCs w:val="24"/>
                <w:lang w:bidi="ar-SA"/>
              </w:rPr>
              <w:t>0.7</w:t>
            </w:r>
            <w:r>
              <w:rPr>
                <w:rFonts w:hint="eastAsia" w:ascii="仿宋" w:eastAsia="仿宋" w:cs="仿宋"/>
                <w:color w:val="000000"/>
                <w:kern w:val="0"/>
                <w:sz w:val="24"/>
                <w:szCs w:val="24"/>
                <w:lang w:val="en-US" w:eastAsia="zh-CN" w:bidi="ar-SA"/>
              </w:rPr>
              <w:t>0</w:t>
            </w:r>
          </w:p>
        </w:tc>
      </w:tr>
      <w:tr w14:paraId="47A5EFDF">
        <w:trPr>
          <w:trHeight w:val="624" w:hRule="atLeast"/>
        </w:trPr>
        <w:tc>
          <w:tcPr>
            <w:tcW w:w="1251" w:type="dxa"/>
            <w:tcBorders>
              <w:top w:val="single" w:color="auto" w:sz="4" w:space="0"/>
              <w:left w:val="single" w:color="auto" w:sz="4" w:space="0"/>
              <w:bottom w:val="single" w:color="auto" w:sz="4" w:space="0"/>
              <w:right w:val="single" w:color="auto" w:sz="4" w:space="0"/>
            </w:tcBorders>
            <w:noWrap/>
            <w:vAlign w:val="center"/>
          </w:tcPr>
          <w:p w14:paraId="2B19B57B">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M</w:t>
            </w:r>
          </w:p>
          <w:p w14:paraId="5B0C7951">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评分量表</w:t>
            </w:r>
          </w:p>
        </w:tc>
        <w:tc>
          <w:tcPr>
            <w:tcW w:w="7895" w:type="dxa"/>
            <w:gridSpan w:val="11"/>
            <w:tcBorders>
              <w:top w:val="single" w:color="auto" w:sz="4" w:space="0"/>
              <w:left w:val="single" w:color="auto" w:sz="4" w:space="0"/>
              <w:bottom w:val="single" w:color="auto" w:sz="4" w:space="0"/>
              <w:right w:val="single" w:color="auto" w:sz="4" w:space="0"/>
            </w:tcBorders>
            <w:noWrap/>
            <w:vAlign w:val="center"/>
          </w:tcPr>
          <w:p w14:paraId="2E17E5AB">
            <w:pPr>
              <w:pageBreakBefore w:val="0"/>
              <w:tabs>
                <w:tab w:val="left" w:pos="720"/>
              </w:tabs>
              <w:kinsoku/>
              <w:overflowPunct/>
              <w:topLinePunct w:val="0"/>
              <w:bidi w:val="0"/>
              <w:adjustRightInd w:val="0"/>
              <w:snapToGrid w:val="0"/>
              <w:spacing w:line="240" w:lineRule="auto"/>
              <w:rPr>
                <w:rFonts w:hint="eastAsia" w:ascii="仿宋" w:eastAsia="仿宋" w:cs="仿宋"/>
                <w:color w:val="000000"/>
                <w:kern w:val="0"/>
                <w:sz w:val="24"/>
                <w:szCs w:val="24"/>
                <w:lang w:bidi="ar-SA"/>
              </w:rPr>
            </w:pPr>
            <w:r>
              <w:rPr>
                <w:rFonts w:hint="eastAsia" w:ascii="仿宋" w:eastAsia="仿宋" w:cs="仿宋"/>
                <w:bCs/>
                <w:sz w:val="24"/>
                <w:szCs w:val="24"/>
                <w:lang w:bidi="ar-SA"/>
              </w:rPr>
              <w:t>毕业论文</w:t>
            </w:r>
            <w:r>
              <w:rPr>
                <w:rFonts w:hint="eastAsia" w:ascii="仿宋" w:eastAsia="仿宋" w:cs="仿宋"/>
                <w:color w:val="000000"/>
                <w:kern w:val="0"/>
                <w:sz w:val="24"/>
                <w:szCs w:val="24"/>
                <w:lang w:bidi="ar-SA"/>
              </w:rPr>
              <w:t>课程目标评分量表见附表。</w:t>
            </w:r>
          </w:p>
        </w:tc>
      </w:tr>
      <w:tr w14:paraId="41A3318C">
        <w:trPr>
          <w:trHeight w:val="624" w:hRule="atLeast"/>
        </w:trPr>
        <w:tc>
          <w:tcPr>
            <w:tcW w:w="1251" w:type="dxa"/>
            <w:tcBorders>
              <w:top w:val="single" w:color="auto" w:sz="4" w:space="0"/>
              <w:left w:val="single" w:color="auto" w:sz="4" w:space="0"/>
              <w:bottom w:val="single" w:color="auto" w:sz="4" w:space="0"/>
              <w:right w:val="single" w:color="auto" w:sz="4" w:space="0"/>
            </w:tcBorders>
            <w:noWrap/>
            <w:vAlign w:val="center"/>
          </w:tcPr>
          <w:p w14:paraId="541C94C7">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备注</w:t>
            </w:r>
          </w:p>
        </w:tc>
        <w:tc>
          <w:tcPr>
            <w:tcW w:w="7895" w:type="dxa"/>
            <w:gridSpan w:val="11"/>
            <w:tcBorders>
              <w:top w:val="single" w:color="auto" w:sz="4" w:space="0"/>
              <w:left w:val="single" w:color="auto" w:sz="4" w:space="0"/>
              <w:bottom w:val="single" w:color="auto" w:sz="4" w:space="0"/>
              <w:right w:val="single" w:color="auto" w:sz="4" w:space="0"/>
            </w:tcBorders>
            <w:noWrap/>
            <w:vAlign w:val="center"/>
          </w:tcPr>
          <w:p w14:paraId="1A3F26AA">
            <w:pPr>
              <w:pageBreakBefore w:val="0"/>
              <w:kinsoku/>
              <w:overflowPunct/>
              <w:topLinePunct w:val="0"/>
              <w:bidi w:val="0"/>
              <w:adjustRightInd w:val="0"/>
              <w:snapToGrid w:val="0"/>
              <w:spacing w:line="240" w:lineRule="auto"/>
              <w:rPr>
                <w:rFonts w:hint="eastAsia" w:ascii="仿宋" w:eastAsia="仿宋" w:cs="仿宋"/>
                <w:color w:val="000000"/>
                <w:sz w:val="24"/>
                <w:szCs w:val="24"/>
                <w:lang w:bidi="ar-SA"/>
              </w:rPr>
            </w:pPr>
            <w:r>
              <w:rPr>
                <w:rFonts w:hint="eastAsia" w:ascii="仿宋" w:eastAsia="仿宋" w:cs="仿宋"/>
                <w:color w:val="000000"/>
                <w:sz w:val="24"/>
                <w:szCs w:val="24"/>
                <w:lang w:bidi="ar-SA"/>
              </w:rPr>
              <w:t>课程大纲A—M项由开课学院审批通过，任课教师不能自行更改。</w:t>
            </w:r>
          </w:p>
        </w:tc>
      </w:tr>
      <w:tr w14:paraId="2CC9B968">
        <w:trPr>
          <w:trHeight w:val="624" w:hRule="atLeast"/>
        </w:trPr>
        <w:tc>
          <w:tcPr>
            <w:tcW w:w="1251" w:type="dxa"/>
            <w:tcBorders>
              <w:top w:val="single" w:color="auto" w:sz="4" w:space="0"/>
              <w:left w:val="single" w:color="auto" w:sz="4" w:space="0"/>
              <w:bottom w:val="single" w:color="auto" w:sz="4" w:space="0"/>
              <w:right w:val="single" w:color="auto" w:sz="4" w:space="0"/>
            </w:tcBorders>
            <w:noWrap/>
            <w:vAlign w:val="center"/>
          </w:tcPr>
          <w:p w14:paraId="22033069">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审批</w:t>
            </w:r>
          </w:p>
          <w:p w14:paraId="2243A2D6">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意见</w:t>
            </w:r>
          </w:p>
        </w:tc>
        <w:tc>
          <w:tcPr>
            <w:tcW w:w="3987" w:type="dxa"/>
            <w:gridSpan w:val="4"/>
            <w:tcBorders>
              <w:top w:val="single" w:color="auto" w:sz="4" w:space="0"/>
              <w:left w:val="single" w:color="auto" w:sz="4" w:space="0"/>
              <w:bottom w:val="single" w:color="auto" w:sz="4" w:space="0"/>
              <w:right w:val="single" w:color="auto" w:sz="4" w:space="0"/>
            </w:tcBorders>
            <w:noWrap/>
            <w:vAlign w:val="center"/>
          </w:tcPr>
          <w:p w14:paraId="1DBDC342">
            <w:pPr>
              <w:pageBreakBefore w:val="0"/>
              <w:widowControl/>
              <w:kinsoku/>
              <w:overflowPunct/>
              <w:topLinePunct w:val="0"/>
              <w:bidi w:val="0"/>
              <w:adjustRightInd w:val="0"/>
              <w:snapToGrid w:val="0"/>
              <w:spacing w:line="240" w:lineRule="auto"/>
              <w:jc w:val="left"/>
              <w:rPr>
                <w:rFonts w:hint="eastAsia" w:ascii="仿宋" w:eastAsia="仿宋" w:cs="仿宋"/>
                <w:kern w:val="0"/>
                <w:sz w:val="24"/>
                <w:szCs w:val="24"/>
                <w:lang w:bidi="ar-SA"/>
              </w:rPr>
            </w:pPr>
            <w:r>
              <w:rPr>
                <w:rFonts w:hint="eastAsia" w:ascii="仿宋" w:cs="仿宋" w:eastAsiaTheme="minorEastAsia"/>
                <w:kern w:val="0"/>
                <w:sz w:val="24"/>
                <w:szCs w:val="24"/>
                <w:lang w:eastAsia="zh-CN" w:bidi="ar-SA"/>
              </w:rPr>
              <w:drawing>
                <wp:anchor distT="0" distB="0" distL="114300" distR="114300" simplePos="0" relativeHeight="251660288" behindDoc="0" locked="0" layoutInCell="1" allowOverlap="1">
                  <wp:simplePos x="0" y="0"/>
                  <wp:positionH relativeFrom="column">
                    <wp:posOffset>962025</wp:posOffset>
                  </wp:positionH>
                  <wp:positionV relativeFrom="paragraph">
                    <wp:posOffset>380365</wp:posOffset>
                  </wp:positionV>
                  <wp:extent cx="764540" cy="637540"/>
                  <wp:effectExtent l="0" t="0" r="22860" b="22860"/>
                  <wp:wrapSquare wrapText="bothSides"/>
                  <wp:docPr id="35" name="图片 1" descr="IMG_5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1" descr="IMG_5424"/>
                          <pic:cNvPicPr>
                            <a:picLocks noChangeAspect="1"/>
                          </pic:cNvPicPr>
                        </pic:nvPicPr>
                        <pic:blipFill>
                          <a:blip r:embed="rId164"/>
                          <a:stretch>
                            <a:fillRect/>
                          </a:stretch>
                        </pic:blipFill>
                        <pic:spPr>
                          <a:xfrm>
                            <a:off x="0" y="0"/>
                            <a:ext cx="764540" cy="637540"/>
                          </a:xfrm>
                          <a:prstGeom prst="rect">
                            <a:avLst/>
                          </a:prstGeom>
                        </pic:spPr>
                      </pic:pic>
                    </a:graphicData>
                  </a:graphic>
                </wp:anchor>
              </w:drawing>
            </w:r>
            <w:r>
              <w:rPr>
                <w:rFonts w:hint="eastAsia" w:ascii="仿宋" w:eastAsia="仿宋" w:cs="仿宋"/>
                <w:kern w:val="0"/>
                <w:sz w:val="24"/>
                <w:szCs w:val="24"/>
                <w:lang w:bidi="ar-SA"/>
              </w:rPr>
              <w:t>课程教学大纲修订负责人及教学团队成员</w:t>
            </w:r>
            <w:r>
              <w:rPr>
                <w:rFonts w:hint="eastAsia" w:ascii="仿宋" w:eastAsia="仿宋" w:cs="仿宋"/>
                <w:color w:val="000000"/>
                <w:sz w:val="24"/>
                <w:szCs w:val="24"/>
                <w:lang w:bidi="ar-SA"/>
              </w:rPr>
              <w:t>签名</w:t>
            </w:r>
            <w:r>
              <w:rPr>
                <w:rFonts w:hint="eastAsia" w:ascii="仿宋" w:eastAsia="仿宋" w:cs="仿宋"/>
                <w:kern w:val="0"/>
                <w:sz w:val="24"/>
                <w:szCs w:val="24"/>
                <w:lang w:bidi="ar-SA"/>
              </w:rPr>
              <w:t xml:space="preserve">：   </w:t>
            </w:r>
          </w:p>
          <w:p w14:paraId="462E6811">
            <w:pPr>
              <w:pageBreakBefore w:val="0"/>
              <w:widowControl/>
              <w:kinsoku/>
              <w:overflowPunct/>
              <w:topLinePunct w:val="0"/>
              <w:bidi w:val="0"/>
              <w:adjustRightInd w:val="0"/>
              <w:snapToGrid w:val="0"/>
              <w:spacing w:line="240" w:lineRule="auto"/>
              <w:jc w:val="left"/>
              <w:rPr>
                <w:rFonts w:hint="eastAsia" w:ascii="仿宋" w:cs="仿宋" w:eastAsiaTheme="minorEastAsia"/>
                <w:kern w:val="0"/>
                <w:sz w:val="24"/>
                <w:szCs w:val="24"/>
                <w:lang w:eastAsia="zh-CN" w:bidi="ar-SA"/>
              </w:rPr>
            </w:pPr>
            <w:r>
              <w:drawing>
                <wp:inline distT="0" distB="0" distL="114300" distR="114300">
                  <wp:extent cx="865505" cy="452755"/>
                  <wp:effectExtent l="0" t="0" r="23495" b="4445"/>
                  <wp:docPr id="3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
                          <pic:cNvPicPr>
                            <a:picLocks noChangeAspect="1"/>
                          </pic:cNvPicPr>
                        </pic:nvPicPr>
                        <pic:blipFill>
                          <a:blip r:embed="rId165"/>
                          <a:stretch>
                            <a:fillRect/>
                          </a:stretch>
                        </pic:blipFill>
                        <pic:spPr>
                          <a:xfrm>
                            <a:off x="0" y="0"/>
                            <a:ext cx="865505" cy="452755"/>
                          </a:xfrm>
                          <a:prstGeom prst="rect">
                            <a:avLst/>
                          </a:prstGeom>
                          <a:noFill/>
                          <a:ln>
                            <a:noFill/>
                          </a:ln>
                        </pic:spPr>
                      </pic:pic>
                    </a:graphicData>
                  </a:graphic>
                </wp:inline>
              </w:drawing>
            </w:r>
          </w:p>
          <w:p w14:paraId="48C1D186">
            <w:pPr>
              <w:pageBreakBefore w:val="0"/>
              <w:widowControl/>
              <w:kinsoku/>
              <w:overflowPunct/>
              <w:topLinePunct w:val="0"/>
              <w:bidi w:val="0"/>
              <w:adjustRightInd w:val="0"/>
              <w:snapToGrid w:val="0"/>
              <w:spacing w:line="240" w:lineRule="auto"/>
              <w:jc w:val="right"/>
              <w:rPr>
                <w:rFonts w:hint="eastAsia" w:ascii="仿宋" w:eastAsia="仿宋" w:cs="仿宋"/>
                <w:kern w:val="0"/>
                <w:sz w:val="24"/>
                <w:szCs w:val="24"/>
                <w:lang w:bidi="ar-SA"/>
              </w:rPr>
            </w:pPr>
            <w:r>
              <w:rPr>
                <w:rFonts w:hint="eastAsia" w:ascii="仿宋" w:eastAsia="仿宋" w:cs="仿宋"/>
                <w:kern w:val="0"/>
                <w:sz w:val="24"/>
                <w:szCs w:val="24"/>
                <w:lang w:bidi="ar-SA"/>
              </w:rPr>
              <w:t xml:space="preserve">                                         </w:t>
            </w:r>
          </w:p>
          <w:p w14:paraId="6BF1B2B4">
            <w:pPr>
              <w:pageBreakBefore w:val="0"/>
              <w:widowControl/>
              <w:kinsoku/>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val="en-US" w:eastAsia="zh-CN" w:bidi="ar-SA"/>
              </w:rPr>
              <w:t xml:space="preserve">                 </w:t>
            </w:r>
            <w:r>
              <w:rPr>
                <w:rFonts w:hint="eastAsia" w:ascii="仿宋" w:eastAsia="仿宋" w:cs="仿宋"/>
                <w:kern w:val="0"/>
                <w:sz w:val="24"/>
                <w:szCs w:val="24"/>
                <w:lang w:bidi="ar-SA"/>
              </w:rPr>
              <w:t xml:space="preserve">年 </w:t>
            </w:r>
            <w:r>
              <w:rPr>
                <w:rFonts w:hint="eastAsia" w:ascii="仿宋" w:eastAsia="仿宋" w:cs="仿宋"/>
                <w:kern w:val="0"/>
                <w:sz w:val="24"/>
                <w:szCs w:val="24"/>
                <w:lang w:val="en-US" w:eastAsia="zh-CN" w:bidi="ar-SA"/>
              </w:rPr>
              <w:t xml:space="preserve">  </w:t>
            </w:r>
            <w:r>
              <w:rPr>
                <w:rFonts w:hint="eastAsia" w:ascii="仿宋" w:eastAsia="仿宋" w:cs="仿宋"/>
                <w:kern w:val="0"/>
                <w:sz w:val="24"/>
                <w:szCs w:val="24"/>
                <w:lang w:bidi="ar-SA"/>
              </w:rPr>
              <w:t xml:space="preserve">月   日 </w:t>
            </w:r>
          </w:p>
        </w:tc>
        <w:tc>
          <w:tcPr>
            <w:tcW w:w="3908" w:type="dxa"/>
            <w:gridSpan w:val="7"/>
            <w:tcBorders>
              <w:top w:val="single" w:color="auto" w:sz="4" w:space="0"/>
              <w:left w:val="single" w:color="auto" w:sz="4" w:space="0"/>
              <w:bottom w:val="single" w:color="auto" w:sz="4" w:space="0"/>
              <w:right w:val="single" w:color="auto" w:sz="4" w:space="0"/>
            </w:tcBorders>
            <w:noWrap/>
            <w:vAlign w:val="center"/>
          </w:tcPr>
          <w:p w14:paraId="62A26766">
            <w:pPr>
              <w:pageBreakBefore w:val="0"/>
              <w:widowControl/>
              <w:kinsoku/>
              <w:overflowPunct/>
              <w:topLinePunct w:val="0"/>
              <w:bidi w:val="0"/>
              <w:adjustRightInd w:val="0"/>
              <w:snapToGrid w:val="0"/>
              <w:spacing w:line="240" w:lineRule="auto"/>
              <w:jc w:val="left"/>
              <w:rPr>
                <w:rFonts w:hint="eastAsia" w:ascii="仿宋" w:eastAsia="仿宋" w:cs="仿宋"/>
                <w:kern w:val="0"/>
                <w:sz w:val="24"/>
                <w:szCs w:val="24"/>
                <w:lang w:bidi="ar-SA"/>
              </w:rPr>
            </w:pPr>
            <w:r>
              <w:rPr>
                <w:rFonts w:hint="eastAsia" w:ascii="仿宋" w:eastAsia="仿宋" w:cs="仿宋"/>
                <w:kern w:val="0"/>
                <w:sz w:val="24"/>
                <w:szCs w:val="24"/>
                <w:lang w:bidi="ar-SA"/>
              </w:rPr>
              <w:t>系主任审核意见：</w:t>
            </w:r>
          </w:p>
          <w:p w14:paraId="44FD9CBA">
            <w:pPr>
              <w:pageBreakBefore w:val="0"/>
              <w:widowControl/>
              <w:kinsoku/>
              <w:overflowPunct/>
              <w:topLinePunct w:val="0"/>
              <w:bidi w:val="0"/>
              <w:adjustRightInd w:val="0"/>
              <w:snapToGrid w:val="0"/>
              <w:spacing w:line="240" w:lineRule="auto"/>
              <w:jc w:val="left"/>
              <w:rPr>
                <w:rFonts w:hint="eastAsia" w:ascii="仿宋" w:eastAsia="仿宋" w:cs="仿宋"/>
                <w:kern w:val="0"/>
                <w:sz w:val="24"/>
                <w:szCs w:val="24"/>
                <w:lang w:bidi="ar-SA"/>
              </w:rPr>
            </w:pPr>
          </w:p>
          <w:p w14:paraId="0958E2B4">
            <w:pPr>
              <w:pageBreakBefore w:val="0"/>
              <w:widowControl/>
              <w:kinsoku/>
              <w:overflowPunct/>
              <w:topLinePunct w:val="0"/>
              <w:bidi w:val="0"/>
              <w:adjustRightInd w:val="0"/>
              <w:snapToGrid w:val="0"/>
              <w:spacing w:line="240" w:lineRule="auto"/>
              <w:jc w:val="left"/>
              <w:rPr>
                <w:rFonts w:hint="eastAsia" w:ascii="仿宋" w:eastAsia="仿宋" w:cs="仿宋"/>
                <w:kern w:val="0"/>
                <w:sz w:val="24"/>
                <w:szCs w:val="24"/>
                <w:lang w:bidi="ar-SA"/>
              </w:rPr>
            </w:pPr>
            <w:r>
              <w:rPr>
                <w:rFonts w:hint="eastAsia" w:ascii="仿宋" w:eastAsia="仿宋" w:cs="仿宋"/>
                <w:kern w:val="0"/>
                <w:sz w:val="24"/>
                <w:szCs w:val="24"/>
                <w:lang w:bidi="ar-SA"/>
              </w:rPr>
              <w:t>系主任签名：</w:t>
            </w:r>
          </w:p>
          <w:p w14:paraId="43BEC1F6">
            <w:pPr>
              <w:pageBreakBefore w:val="0"/>
              <w:widowControl/>
              <w:kinsoku/>
              <w:overflowPunct/>
              <w:topLinePunct w:val="0"/>
              <w:bidi w:val="0"/>
              <w:adjustRightInd w:val="0"/>
              <w:snapToGrid w:val="0"/>
              <w:spacing w:line="240" w:lineRule="auto"/>
              <w:jc w:val="right"/>
              <w:rPr>
                <w:rFonts w:hint="eastAsia" w:ascii="仿宋" w:eastAsia="仿宋" w:cs="仿宋"/>
                <w:kern w:val="0"/>
                <w:sz w:val="24"/>
                <w:szCs w:val="24"/>
                <w:lang w:bidi="ar-SA"/>
              </w:rPr>
            </w:pPr>
          </w:p>
          <w:p w14:paraId="68D3F411">
            <w:pPr>
              <w:pageBreakBefore w:val="0"/>
              <w:widowControl/>
              <w:kinsoku/>
              <w:overflowPunct/>
              <w:topLinePunct w:val="0"/>
              <w:bidi w:val="0"/>
              <w:adjustRightInd w:val="0"/>
              <w:snapToGrid w:val="0"/>
              <w:spacing w:line="240" w:lineRule="auto"/>
              <w:jc w:val="right"/>
              <w:rPr>
                <w:rFonts w:hint="eastAsia" w:ascii="仿宋" w:eastAsia="仿宋" w:cs="仿宋"/>
                <w:kern w:val="0"/>
                <w:sz w:val="24"/>
                <w:szCs w:val="24"/>
                <w:lang w:bidi="ar-SA"/>
              </w:rPr>
            </w:pPr>
            <w:r>
              <w:rPr>
                <w:rFonts w:hint="eastAsia" w:ascii="仿宋" w:eastAsia="仿宋" w:cs="仿宋"/>
                <w:kern w:val="0"/>
                <w:sz w:val="24"/>
                <w:szCs w:val="24"/>
                <w:lang w:bidi="ar-SA"/>
              </w:rPr>
              <w:t>年   月   日</w:t>
            </w:r>
          </w:p>
        </w:tc>
      </w:tr>
    </w:tbl>
    <w:p w14:paraId="4A528661">
      <w:pPr>
        <w:pageBreakBefore w:val="0"/>
        <w:kinsoku/>
        <w:overflowPunct/>
        <w:topLinePunct w:val="0"/>
        <w:bidi w:val="0"/>
        <w:spacing w:line="240" w:lineRule="auto"/>
        <w:jc w:val="center"/>
        <w:rPr>
          <w:rFonts w:hint="eastAsia" w:ascii="仿宋" w:hAnsi="仿宋" w:eastAsia="仿宋" w:cs="仿宋"/>
          <w:b/>
          <w:bCs/>
          <w:sz w:val="28"/>
          <w:szCs w:val="28"/>
          <w:lang w:bidi="ar-SA"/>
        </w:rPr>
      </w:pPr>
    </w:p>
    <w:p w14:paraId="46D998BE">
      <w:pPr>
        <w:pageBreakBefore w:val="0"/>
        <w:kinsoku/>
        <w:overflowPunct/>
        <w:topLinePunct w:val="0"/>
        <w:bidi w:val="0"/>
        <w:spacing w:line="240" w:lineRule="auto"/>
        <w:jc w:val="center"/>
        <w:rPr>
          <w:rFonts w:hint="eastAsia" w:ascii="仿宋" w:hAnsi="仿宋" w:eastAsia="仿宋" w:cs="仿宋"/>
          <w:b/>
          <w:bCs/>
          <w:sz w:val="28"/>
          <w:szCs w:val="28"/>
          <w:lang w:bidi="ar-SA"/>
        </w:rPr>
      </w:pPr>
    </w:p>
    <w:p w14:paraId="50D55941">
      <w:pPr>
        <w:pageBreakBefore w:val="0"/>
        <w:kinsoku/>
        <w:overflowPunct/>
        <w:topLinePunct w:val="0"/>
        <w:bidi w:val="0"/>
        <w:spacing w:line="240" w:lineRule="auto"/>
        <w:jc w:val="center"/>
        <w:rPr>
          <w:rFonts w:hint="eastAsia" w:ascii="仿宋" w:hAnsi="仿宋" w:eastAsia="仿宋" w:cs="仿宋"/>
          <w:b/>
          <w:bCs/>
          <w:sz w:val="28"/>
          <w:szCs w:val="28"/>
          <w:lang w:val="en-US" w:eastAsia="zh-CN" w:bidi="ar-SA"/>
        </w:rPr>
      </w:pPr>
      <w:r>
        <w:rPr>
          <w:rFonts w:hint="eastAsia" w:ascii="仿宋" w:hAnsi="仿宋" w:eastAsia="仿宋" w:cs="仿宋"/>
          <w:b/>
          <w:bCs/>
          <w:sz w:val="28"/>
          <w:szCs w:val="28"/>
          <w:lang w:bidi="ar-SA"/>
        </w:rPr>
        <w:t>附表</w:t>
      </w:r>
      <w:r>
        <w:rPr>
          <w:rFonts w:hint="eastAsia" w:ascii="仿宋" w:hAnsi="仿宋" w:eastAsia="仿宋" w:cs="仿宋"/>
          <w:b/>
          <w:bCs/>
          <w:sz w:val="28"/>
          <w:szCs w:val="28"/>
          <w:lang w:val="en-US" w:eastAsia="zh-CN" w:bidi="ar-SA"/>
        </w:rPr>
        <w:t>：</w:t>
      </w:r>
      <w:r>
        <w:rPr>
          <w:rFonts w:hint="eastAsia" w:ascii="仿宋" w:hAnsi="仿宋" w:eastAsia="仿宋" w:cs="仿宋"/>
          <w:b/>
          <w:bCs/>
          <w:sz w:val="28"/>
          <w:szCs w:val="28"/>
          <w:lang w:bidi="ar-SA"/>
        </w:rPr>
        <w:t>毕业论文</w:t>
      </w:r>
      <w:r>
        <w:rPr>
          <w:rFonts w:hint="eastAsia" w:ascii="仿宋" w:hAnsi="仿宋" w:eastAsia="仿宋" w:cs="仿宋"/>
          <w:b/>
          <w:bCs/>
          <w:sz w:val="28"/>
          <w:szCs w:val="28"/>
          <w:lang w:val="en-US" w:eastAsia="zh-CN" w:bidi="ar-SA"/>
        </w:rPr>
        <w:t>课程目标评分量表</w:t>
      </w:r>
    </w:p>
    <w:tbl>
      <w:tblPr>
        <w:tblStyle w:val="22"/>
        <w:tblW w:w="9211" w:type="dxa"/>
        <w:tblInd w:w="80" w:type="dxa"/>
        <w:tblLayout w:type="autofit"/>
        <w:tblCellMar>
          <w:top w:w="0" w:type="dxa"/>
          <w:left w:w="108" w:type="dxa"/>
          <w:bottom w:w="0" w:type="dxa"/>
          <w:right w:w="108" w:type="dxa"/>
        </w:tblCellMar>
      </w:tblPr>
      <w:tblGrid>
        <w:gridCol w:w="1720"/>
        <w:gridCol w:w="1528"/>
        <w:gridCol w:w="1539"/>
        <w:gridCol w:w="1517"/>
        <w:gridCol w:w="1461"/>
        <w:gridCol w:w="1446"/>
      </w:tblGrid>
      <w:tr w14:paraId="71816295">
        <w:trPr>
          <w:trHeight w:val="624" w:hRule="atLeast"/>
        </w:trPr>
        <w:tc>
          <w:tcPr>
            <w:tcW w:w="1720" w:type="dxa"/>
            <w:tcBorders>
              <w:top w:val="single" w:color="000000" w:sz="4" w:space="0"/>
              <w:left w:val="single" w:color="000000" w:sz="4" w:space="0"/>
              <w:bottom w:val="single" w:color="000000" w:sz="4" w:space="0"/>
              <w:right w:val="single" w:color="000000" w:sz="4" w:space="0"/>
            </w:tcBorders>
            <w:noWrap w:val="0"/>
            <w:vAlign w:val="center"/>
          </w:tcPr>
          <w:p w14:paraId="00C2A077">
            <w:pPr>
              <w:pageBreakBefore w:val="0"/>
              <w:tabs>
                <w:tab w:val="left" w:pos="720"/>
              </w:tabs>
              <w:kinsoku/>
              <w:overflowPunct/>
              <w:topLinePunct w:val="0"/>
              <w:bidi w:val="0"/>
              <w:spacing w:line="240" w:lineRule="auto"/>
              <w:jc w:val="center"/>
              <w:rPr>
                <w:rFonts w:hint="eastAsia" w:ascii="楷体" w:hAnsi="楷体" w:eastAsia="楷体" w:cs="楷体"/>
                <w:b/>
                <w:bCs w:val="0"/>
                <w:kern w:val="2"/>
                <w:sz w:val="21"/>
                <w:szCs w:val="21"/>
                <w:lang w:bidi="ar-SA"/>
              </w:rPr>
            </w:pPr>
            <w:r>
              <w:rPr>
                <w:rFonts w:hint="eastAsia" w:ascii="楷体" w:hAnsi="楷体" w:eastAsia="楷体" w:cs="楷体"/>
                <w:b/>
                <w:bCs w:val="0"/>
                <w:kern w:val="2"/>
                <w:sz w:val="21"/>
                <w:szCs w:val="21"/>
                <w:lang w:bidi="ar-SA"/>
              </w:rPr>
              <w:t>课程目标</w:t>
            </w:r>
          </w:p>
        </w:tc>
        <w:tc>
          <w:tcPr>
            <w:tcW w:w="1528" w:type="dxa"/>
            <w:tcBorders>
              <w:top w:val="single" w:color="000000" w:sz="4" w:space="0"/>
              <w:left w:val="single" w:color="000000" w:sz="4" w:space="0"/>
              <w:bottom w:val="single" w:color="000000" w:sz="4" w:space="0"/>
              <w:right w:val="single" w:color="000000" w:sz="4" w:space="0"/>
            </w:tcBorders>
            <w:noWrap w:val="0"/>
            <w:vAlign w:val="center"/>
          </w:tcPr>
          <w:p w14:paraId="31226160">
            <w:pPr>
              <w:pageBreakBefore w:val="0"/>
              <w:tabs>
                <w:tab w:val="left" w:pos="720"/>
              </w:tabs>
              <w:kinsoku/>
              <w:overflowPunct/>
              <w:topLinePunct w:val="0"/>
              <w:bidi w:val="0"/>
              <w:spacing w:line="240" w:lineRule="auto"/>
              <w:jc w:val="center"/>
              <w:rPr>
                <w:rFonts w:hint="eastAsia" w:ascii="楷体" w:hAnsi="楷体" w:eastAsia="楷体" w:cs="楷体"/>
                <w:b/>
                <w:bCs w:val="0"/>
                <w:kern w:val="2"/>
                <w:sz w:val="21"/>
                <w:szCs w:val="21"/>
                <w:lang w:bidi="ar-SA"/>
              </w:rPr>
            </w:pPr>
            <w:r>
              <w:rPr>
                <w:rFonts w:hint="eastAsia" w:ascii="楷体" w:hAnsi="楷体" w:eastAsia="楷体" w:cs="楷体"/>
                <w:b/>
                <w:bCs w:val="0"/>
                <w:kern w:val="2"/>
                <w:sz w:val="21"/>
                <w:szCs w:val="21"/>
                <w:lang w:bidi="ar-SA"/>
              </w:rPr>
              <w:t>优</w:t>
            </w:r>
          </w:p>
          <w:p w14:paraId="3C43FBC3">
            <w:pPr>
              <w:pageBreakBefore w:val="0"/>
              <w:tabs>
                <w:tab w:val="left" w:pos="720"/>
              </w:tabs>
              <w:kinsoku/>
              <w:overflowPunct/>
              <w:topLinePunct w:val="0"/>
              <w:bidi w:val="0"/>
              <w:spacing w:line="240" w:lineRule="auto"/>
              <w:jc w:val="center"/>
              <w:rPr>
                <w:rFonts w:hint="eastAsia" w:ascii="楷体" w:hAnsi="楷体" w:eastAsia="楷体" w:cs="楷体"/>
                <w:b/>
                <w:bCs w:val="0"/>
                <w:kern w:val="2"/>
                <w:sz w:val="21"/>
                <w:szCs w:val="21"/>
                <w:lang w:bidi="ar-SA"/>
              </w:rPr>
            </w:pPr>
            <w:r>
              <w:rPr>
                <w:rFonts w:hint="eastAsia" w:ascii="楷体" w:hAnsi="楷体" w:eastAsia="楷体" w:cs="楷体"/>
                <w:b/>
                <w:bCs w:val="0"/>
                <w:kern w:val="2"/>
                <w:sz w:val="21"/>
                <w:szCs w:val="21"/>
                <w:lang w:bidi="ar-SA"/>
              </w:rPr>
              <w:t>（X≧90）</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14:paraId="69305731">
            <w:pPr>
              <w:pageBreakBefore w:val="0"/>
              <w:tabs>
                <w:tab w:val="left" w:pos="720"/>
              </w:tabs>
              <w:kinsoku/>
              <w:overflowPunct/>
              <w:topLinePunct w:val="0"/>
              <w:bidi w:val="0"/>
              <w:spacing w:line="240" w:lineRule="auto"/>
              <w:jc w:val="center"/>
              <w:rPr>
                <w:rFonts w:hint="eastAsia" w:ascii="楷体" w:hAnsi="楷体" w:eastAsia="楷体" w:cs="楷体"/>
                <w:b/>
                <w:bCs w:val="0"/>
                <w:kern w:val="2"/>
                <w:sz w:val="21"/>
                <w:szCs w:val="21"/>
                <w:lang w:bidi="ar-SA"/>
              </w:rPr>
            </w:pPr>
            <w:r>
              <w:rPr>
                <w:rFonts w:hint="eastAsia" w:ascii="楷体" w:hAnsi="楷体" w:eastAsia="楷体" w:cs="楷体"/>
                <w:b/>
                <w:bCs w:val="0"/>
                <w:kern w:val="2"/>
                <w:sz w:val="21"/>
                <w:szCs w:val="21"/>
                <w:lang w:bidi="ar-SA"/>
              </w:rPr>
              <w:t>良</w:t>
            </w:r>
          </w:p>
          <w:p w14:paraId="4101E4D7">
            <w:pPr>
              <w:pageBreakBefore w:val="0"/>
              <w:tabs>
                <w:tab w:val="left" w:pos="720"/>
              </w:tabs>
              <w:kinsoku/>
              <w:overflowPunct/>
              <w:topLinePunct w:val="0"/>
              <w:bidi w:val="0"/>
              <w:spacing w:line="240" w:lineRule="auto"/>
              <w:ind w:left="-107" w:right="-62"/>
              <w:jc w:val="center"/>
              <w:rPr>
                <w:rFonts w:hint="eastAsia" w:ascii="楷体" w:hAnsi="楷体" w:eastAsia="楷体" w:cs="楷体"/>
                <w:b/>
                <w:bCs w:val="0"/>
                <w:kern w:val="2"/>
                <w:sz w:val="21"/>
                <w:szCs w:val="21"/>
                <w:lang w:bidi="ar-SA"/>
              </w:rPr>
            </w:pPr>
            <w:r>
              <w:rPr>
                <w:rFonts w:hint="eastAsia" w:ascii="楷体" w:hAnsi="楷体" w:eastAsia="楷体" w:cs="楷体"/>
                <w:b/>
                <w:bCs w:val="0"/>
                <w:kern w:val="2"/>
                <w:sz w:val="21"/>
                <w:szCs w:val="21"/>
                <w:lang w:bidi="ar-SA"/>
              </w:rPr>
              <w:t>（80≦X＜90）</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14:paraId="148AA3BB">
            <w:pPr>
              <w:pageBreakBefore w:val="0"/>
              <w:tabs>
                <w:tab w:val="left" w:pos="720"/>
              </w:tabs>
              <w:kinsoku/>
              <w:overflowPunct/>
              <w:topLinePunct w:val="0"/>
              <w:bidi w:val="0"/>
              <w:spacing w:line="240" w:lineRule="auto"/>
              <w:jc w:val="center"/>
              <w:rPr>
                <w:rFonts w:hint="eastAsia" w:ascii="楷体" w:hAnsi="楷体" w:eastAsia="楷体" w:cs="楷体"/>
                <w:b/>
                <w:bCs w:val="0"/>
                <w:kern w:val="2"/>
                <w:sz w:val="21"/>
                <w:szCs w:val="21"/>
                <w:lang w:bidi="ar-SA"/>
              </w:rPr>
            </w:pPr>
            <w:r>
              <w:rPr>
                <w:rFonts w:hint="eastAsia" w:ascii="楷体" w:hAnsi="楷体" w:eastAsia="楷体" w:cs="楷体"/>
                <w:b/>
                <w:bCs w:val="0"/>
                <w:kern w:val="2"/>
                <w:sz w:val="21"/>
                <w:szCs w:val="21"/>
                <w:lang w:bidi="ar-SA"/>
              </w:rPr>
              <w:t>中</w:t>
            </w:r>
          </w:p>
          <w:p w14:paraId="08AC471D">
            <w:pPr>
              <w:pageBreakBefore w:val="0"/>
              <w:tabs>
                <w:tab w:val="left" w:pos="720"/>
              </w:tabs>
              <w:kinsoku/>
              <w:overflowPunct/>
              <w:topLinePunct w:val="0"/>
              <w:bidi w:val="0"/>
              <w:spacing w:line="240" w:lineRule="auto"/>
              <w:ind w:left="-107" w:right="-62"/>
              <w:jc w:val="center"/>
              <w:rPr>
                <w:rFonts w:hint="eastAsia" w:ascii="楷体" w:hAnsi="楷体" w:eastAsia="楷体" w:cs="楷体"/>
                <w:b/>
                <w:bCs w:val="0"/>
                <w:kern w:val="2"/>
                <w:sz w:val="21"/>
                <w:szCs w:val="21"/>
                <w:lang w:bidi="ar-SA"/>
              </w:rPr>
            </w:pPr>
            <w:r>
              <w:rPr>
                <w:rFonts w:hint="eastAsia" w:ascii="楷体" w:hAnsi="楷体" w:eastAsia="楷体" w:cs="楷体"/>
                <w:b/>
                <w:bCs w:val="0"/>
                <w:kern w:val="2"/>
                <w:sz w:val="21"/>
                <w:szCs w:val="21"/>
                <w:lang w:bidi="ar-SA"/>
              </w:rPr>
              <w:t>（70≦X＜80）</w:t>
            </w:r>
          </w:p>
        </w:tc>
        <w:tc>
          <w:tcPr>
            <w:tcW w:w="1461" w:type="dxa"/>
            <w:tcBorders>
              <w:top w:val="single" w:color="000000" w:sz="4" w:space="0"/>
              <w:left w:val="single" w:color="000000" w:sz="4" w:space="0"/>
              <w:bottom w:val="single" w:color="000000" w:sz="4" w:space="0"/>
              <w:right w:val="single" w:color="000000" w:sz="4" w:space="0"/>
            </w:tcBorders>
            <w:noWrap w:val="0"/>
            <w:vAlign w:val="center"/>
          </w:tcPr>
          <w:p w14:paraId="0A43634B">
            <w:pPr>
              <w:pageBreakBefore w:val="0"/>
              <w:tabs>
                <w:tab w:val="left" w:pos="720"/>
              </w:tabs>
              <w:kinsoku/>
              <w:overflowPunct/>
              <w:topLinePunct w:val="0"/>
              <w:bidi w:val="0"/>
              <w:spacing w:line="240" w:lineRule="auto"/>
              <w:jc w:val="center"/>
              <w:rPr>
                <w:rFonts w:hint="eastAsia" w:ascii="楷体" w:hAnsi="楷体" w:eastAsia="楷体" w:cs="楷体"/>
                <w:b/>
                <w:bCs w:val="0"/>
                <w:kern w:val="2"/>
                <w:sz w:val="21"/>
                <w:szCs w:val="21"/>
                <w:lang w:bidi="ar-SA"/>
              </w:rPr>
            </w:pPr>
            <w:r>
              <w:rPr>
                <w:rFonts w:hint="eastAsia" w:ascii="楷体" w:hAnsi="楷体" w:eastAsia="楷体" w:cs="楷体"/>
                <w:b/>
                <w:bCs w:val="0"/>
                <w:kern w:val="2"/>
                <w:sz w:val="21"/>
                <w:szCs w:val="21"/>
                <w:lang w:bidi="ar-SA"/>
              </w:rPr>
              <w:t>及格</w:t>
            </w:r>
          </w:p>
          <w:p w14:paraId="3B93C658">
            <w:pPr>
              <w:pageBreakBefore w:val="0"/>
              <w:tabs>
                <w:tab w:val="left" w:pos="720"/>
              </w:tabs>
              <w:kinsoku/>
              <w:overflowPunct/>
              <w:topLinePunct w:val="0"/>
              <w:bidi w:val="0"/>
              <w:spacing w:line="240" w:lineRule="auto"/>
              <w:ind w:left="-107" w:right="-62"/>
              <w:jc w:val="center"/>
              <w:rPr>
                <w:rFonts w:hint="eastAsia" w:ascii="楷体" w:hAnsi="楷体" w:eastAsia="楷体" w:cs="楷体"/>
                <w:b/>
                <w:bCs w:val="0"/>
                <w:kern w:val="2"/>
                <w:sz w:val="21"/>
                <w:szCs w:val="21"/>
                <w:lang w:bidi="ar-SA"/>
              </w:rPr>
            </w:pPr>
            <w:r>
              <w:rPr>
                <w:rFonts w:hint="eastAsia" w:ascii="楷体" w:hAnsi="楷体" w:eastAsia="楷体" w:cs="楷体"/>
                <w:b/>
                <w:bCs w:val="0"/>
                <w:kern w:val="2"/>
                <w:sz w:val="21"/>
                <w:szCs w:val="21"/>
                <w:lang w:bidi="ar-SA"/>
              </w:rPr>
              <w:t>（60≦X＜70）</w:t>
            </w:r>
          </w:p>
        </w:tc>
        <w:tc>
          <w:tcPr>
            <w:tcW w:w="1446" w:type="dxa"/>
            <w:tcBorders>
              <w:top w:val="single" w:color="000000" w:sz="4" w:space="0"/>
              <w:left w:val="single" w:color="000000" w:sz="4" w:space="0"/>
              <w:bottom w:val="single" w:color="000000" w:sz="4" w:space="0"/>
              <w:right w:val="single" w:color="000000" w:sz="4" w:space="0"/>
            </w:tcBorders>
            <w:noWrap w:val="0"/>
            <w:vAlign w:val="center"/>
          </w:tcPr>
          <w:p w14:paraId="4A419807">
            <w:pPr>
              <w:pageBreakBefore w:val="0"/>
              <w:tabs>
                <w:tab w:val="left" w:pos="720"/>
              </w:tabs>
              <w:kinsoku/>
              <w:overflowPunct/>
              <w:topLinePunct w:val="0"/>
              <w:bidi w:val="0"/>
              <w:spacing w:line="240" w:lineRule="auto"/>
              <w:jc w:val="center"/>
              <w:rPr>
                <w:rFonts w:hint="eastAsia" w:ascii="楷体" w:hAnsi="楷体" w:eastAsia="楷体" w:cs="楷体"/>
                <w:b/>
                <w:bCs w:val="0"/>
                <w:kern w:val="2"/>
                <w:sz w:val="21"/>
                <w:szCs w:val="21"/>
                <w:lang w:bidi="ar-SA"/>
              </w:rPr>
            </w:pPr>
            <w:r>
              <w:rPr>
                <w:rFonts w:hint="eastAsia" w:ascii="楷体" w:hAnsi="楷体" w:eastAsia="楷体" w:cs="楷体"/>
                <w:b/>
                <w:bCs w:val="0"/>
                <w:kern w:val="2"/>
                <w:sz w:val="21"/>
                <w:szCs w:val="21"/>
                <w:lang w:bidi="ar-SA"/>
              </w:rPr>
              <w:t>不及格</w:t>
            </w:r>
          </w:p>
          <w:p w14:paraId="6D4F63BC">
            <w:pPr>
              <w:pageBreakBefore w:val="0"/>
              <w:tabs>
                <w:tab w:val="left" w:pos="720"/>
              </w:tabs>
              <w:kinsoku/>
              <w:overflowPunct/>
              <w:topLinePunct w:val="0"/>
              <w:bidi w:val="0"/>
              <w:spacing w:line="240" w:lineRule="auto"/>
              <w:jc w:val="center"/>
              <w:rPr>
                <w:rFonts w:hint="eastAsia" w:ascii="楷体" w:hAnsi="楷体" w:eastAsia="楷体" w:cs="楷体"/>
                <w:b/>
                <w:bCs w:val="0"/>
                <w:kern w:val="2"/>
                <w:sz w:val="21"/>
                <w:szCs w:val="21"/>
                <w:lang w:bidi="ar-SA"/>
              </w:rPr>
            </w:pPr>
            <w:r>
              <w:rPr>
                <w:rFonts w:hint="eastAsia" w:ascii="楷体" w:hAnsi="楷体" w:eastAsia="楷体" w:cs="楷体"/>
                <w:b/>
                <w:bCs w:val="0"/>
                <w:kern w:val="2"/>
                <w:sz w:val="21"/>
                <w:szCs w:val="21"/>
                <w:lang w:bidi="ar-SA"/>
              </w:rPr>
              <w:t>（X＜60）</w:t>
            </w:r>
          </w:p>
        </w:tc>
      </w:tr>
      <w:tr w14:paraId="4D5BEAB3">
        <w:trPr>
          <w:trHeight w:val="2982" w:hRule="atLeast"/>
        </w:trPr>
        <w:tc>
          <w:tcPr>
            <w:tcW w:w="1720" w:type="dxa"/>
            <w:tcBorders>
              <w:top w:val="single" w:color="000000" w:sz="4" w:space="0"/>
              <w:left w:val="single" w:color="000000" w:sz="4" w:space="0"/>
              <w:bottom w:val="single" w:color="000000" w:sz="4" w:space="0"/>
              <w:right w:val="single" w:color="000000" w:sz="4" w:space="0"/>
            </w:tcBorders>
            <w:noWrap w:val="0"/>
            <w:vAlign w:val="top"/>
          </w:tcPr>
          <w:p w14:paraId="2207ED6E">
            <w:pPr>
              <w:pageBreakBefore w:val="0"/>
              <w:kinsoku/>
              <w:overflowPunct/>
              <w:topLinePunct w:val="0"/>
              <w:bidi w:val="0"/>
              <w:adjustRightInd w:val="0"/>
              <w:snapToGrid w:val="0"/>
              <w:spacing w:line="240" w:lineRule="auto"/>
              <w:rPr>
                <w:rFonts w:hint="eastAsia" w:ascii="楷体" w:hAnsi="楷体" w:eastAsia="楷体" w:cs="楷体"/>
                <w:color w:val="000000"/>
                <w:sz w:val="21"/>
                <w:szCs w:val="21"/>
              </w:rPr>
            </w:pPr>
            <w:r>
              <w:rPr>
                <w:rFonts w:hint="eastAsia" w:ascii="楷体" w:hAnsi="楷体" w:eastAsia="楷体" w:cs="楷体"/>
                <w:color w:val="000000"/>
                <w:sz w:val="21"/>
                <w:szCs w:val="21"/>
              </w:rPr>
              <w:t>课程目标1.认同</w:t>
            </w:r>
            <w:r>
              <w:rPr>
                <w:rFonts w:hint="eastAsia" w:ascii="楷体" w:hAnsi="楷体" w:eastAsia="楷体" w:cs="楷体"/>
                <w:color w:val="000000"/>
                <w:sz w:val="21"/>
                <w:szCs w:val="21"/>
                <w:lang w:val="en-US" w:eastAsia="zh-Hans"/>
              </w:rPr>
              <w:t>中学音乐</w:t>
            </w:r>
            <w:r>
              <w:rPr>
                <w:rFonts w:hint="eastAsia" w:ascii="楷体" w:hAnsi="楷体" w:eastAsia="楷体" w:cs="楷体"/>
                <w:color w:val="000000"/>
                <w:sz w:val="21"/>
                <w:szCs w:val="21"/>
              </w:rPr>
              <w:t>教师工作的价值和意义</w:t>
            </w:r>
            <w:r>
              <w:rPr>
                <w:rFonts w:hint="default" w:ascii="楷体" w:hAnsi="楷体" w:eastAsia="楷体" w:cs="楷体"/>
                <w:color w:val="000000"/>
                <w:sz w:val="21"/>
                <w:szCs w:val="21"/>
              </w:rPr>
              <w:t>，</w:t>
            </w:r>
            <w:r>
              <w:rPr>
                <w:rFonts w:hint="eastAsia" w:ascii="楷体" w:hAnsi="楷体" w:eastAsia="楷体" w:cs="楷体"/>
                <w:color w:val="000000"/>
                <w:sz w:val="21"/>
                <w:szCs w:val="21"/>
              </w:rPr>
              <w:t>具有良好的从教意愿，热爱</w:t>
            </w:r>
            <w:r>
              <w:rPr>
                <w:rFonts w:hint="eastAsia" w:ascii="楷体" w:hAnsi="楷体" w:eastAsia="楷体" w:cs="楷体"/>
                <w:color w:val="000000"/>
                <w:sz w:val="21"/>
                <w:szCs w:val="21"/>
                <w:lang w:val="en-US" w:eastAsia="en-US"/>
              </w:rPr>
              <w:t>音乐</w:t>
            </w:r>
            <w:r>
              <w:rPr>
                <w:rFonts w:hint="eastAsia" w:ascii="楷体" w:hAnsi="楷体" w:eastAsia="楷体" w:cs="楷体"/>
                <w:color w:val="000000"/>
                <w:sz w:val="21"/>
                <w:szCs w:val="21"/>
              </w:rPr>
              <w:t>教育事业的情怀</w:t>
            </w:r>
            <w:r>
              <w:rPr>
                <w:rFonts w:hint="default" w:ascii="楷体" w:hAnsi="楷体" w:eastAsia="楷体" w:cs="楷体"/>
                <w:color w:val="000000"/>
                <w:sz w:val="21"/>
                <w:szCs w:val="21"/>
              </w:rPr>
              <w:t>，</w:t>
            </w:r>
            <w:r>
              <w:rPr>
                <w:rFonts w:hint="eastAsia" w:ascii="楷体" w:hAnsi="楷体" w:eastAsia="楷体" w:cs="楷体"/>
                <w:color w:val="000000"/>
                <w:sz w:val="21"/>
                <w:szCs w:val="21"/>
                <w:lang w:val="en-US" w:eastAsia="zh-Hans"/>
              </w:rPr>
              <w:t>选题能够体现地方音乐基础教育相关内容</w:t>
            </w:r>
            <w:r>
              <w:rPr>
                <w:rFonts w:hint="default" w:ascii="楷体" w:hAnsi="楷体" w:eastAsia="楷体" w:cs="楷体"/>
                <w:color w:val="000000"/>
                <w:sz w:val="21"/>
                <w:szCs w:val="21"/>
                <w:lang w:eastAsia="zh-Hans"/>
              </w:rPr>
              <w:t>。</w:t>
            </w:r>
            <w:r>
              <w:rPr>
                <w:rFonts w:hint="eastAsia" w:ascii="楷体" w:hAnsi="楷体" w:eastAsia="楷体" w:cs="楷体"/>
                <w:color w:val="000000"/>
                <w:sz w:val="21"/>
                <w:szCs w:val="21"/>
              </w:rPr>
              <w:t>（支撑毕业要求2.1、2</w:t>
            </w:r>
            <w:r>
              <w:rPr>
                <w:rFonts w:hint="eastAsia" w:ascii="楷体" w:hAnsi="楷体" w:eastAsia="楷体" w:cs="楷体"/>
                <w:color w:val="000000"/>
                <w:sz w:val="21"/>
                <w:szCs w:val="21"/>
                <w:lang w:val="en-US" w:eastAsia="en-US"/>
              </w:rPr>
              <w:t>.</w:t>
            </w:r>
            <w:r>
              <w:rPr>
                <w:rFonts w:hint="eastAsia" w:ascii="楷体" w:hAnsi="楷体" w:eastAsia="楷体" w:cs="楷体"/>
                <w:color w:val="000000"/>
                <w:sz w:val="21"/>
                <w:szCs w:val="21"/>
              </w:rPr>
              <w:t>2）</w:t>
            </w:r>
          </w:p>
        </w:tc>
        <w:tc>
          <w:tcPr>
            <w:tcW w:w="1528" w:type="dxa"/>
            <w:tcBorders>
              <w:top w:val="single" w:color="000000" w:sz="4" w:space="0"/>
              <w:left w:val="single" w:color="000000" w:sz="4" w:space="0"/>
              <w:bottom w:val="single" w:color="000000" w:sz="4" w:space="0"/>
              <w:right w:val="single" w:color="000000" w:sz="4" w:space="0"/>
            </w:tcBorders>
            <w:noWrap w:val="0"/>
            <w:vAlign w:val="top"/>
          </w:tcPr>
          <w:p w14:paraId="493BDF1B">
            <w:pPr>
              <w:pageBreakBefore w:val="0"/>
              <w:widowControl/>
              <w:kinsoku/>
              <w:overflowPunct/>
              <w:topLinePunct w:val="0"/>
              <w:bidi w:val="0"/>
              <w:adjustRightInd w:val="0"/>
              <w:snapToGrid w:val="0"/>
              <w:spacing w:line="240" w:lineRule="auto"/>
              <w:ind w:firstLine="420" w:firstLineChars="200"/>
              <w:jc w:val="both"/>
              <w:rPr>
                <w:rFonts w:hint="default" w:ascii="楷体" w:hAnsi="楷体" w:eastAsia="楷体" w:cs="楷体"/>
                <w:color w:val="000000"/>
                <w:sz w:val="21"/>
                <w:szCs w:val="21"/>
              </w:rPr>
            </w:pPr>
            <w:r>
              <w:rPr>
                <w:rFonts w:hint="eastAsia" w:ascii="楷体" w:hAnsi="楷体" w:eastAsia="楷体" w:cs="楷体"/>
                <w:color w:val="000000"/>
                <w:sz w:val="21"/>
                <w:szCs w:val="21"/>
              </w:rPr>
              <w:t>毕业论文</w:t>
            </w:r>
            <w:r>
              <w:rPr>
                <w:rFonts w:hint="eastAsia" w:ascii="楷体" w:hAnsi="楷体" w:eastAsia="楷体" w:cs="楷体"/>
                <w:color w:val="000000"/>
                <w:sz w:val="21"/>
                <w:szCs w:val="21"/>
                <w:lang w:val="en-US" w:eastAsia="zh-Hans"/>
              </w:rPr>
              <w:t>能体现</w:t>
            </w:r>
            <w:r>
              <w:rPr>
                <w:rFonts w:hint="eastAsia" w:ascii="楷体" w:hAnsi="楷体" w:eastAsia="楷体" w:cs="楷体"/>
                <w:color w:val="000000"/>
                <w:sz w:val="21"/>
                <w:szCs w:val="21"/>
              </w:rPr>
              <w:t>热爱</w:t>
            </w:r>
            <w:r>
              <w:rPr>
                <w:rFonts w:hint="eastAsia" w:ascii="楷体" w:hAnsi="楷体" w:eastAsia="楷体" w:cs="楷体"/>
                <w:color w:val="000000"/>
                <w:sz w:val="21"/>
                <w:szCs w:val="21"/>
                <w:lang w:val="en-US" w:eastAsia="zh-Hans"/>
              </w:rPr>
              <w:t>中学音乐</w:t>
            </w:r>
            <w:r>
              <w:rPr>
                <w:rFonts w:hint="eastAsia" w:ascii="楷体" w:hAnsi="楷体" w:eastAsia="楷体" w:cs="楷体"/>
                <w:color w:val="000000"/>
                <w:sz w:val="21"/>
                <w:szCs w:val="21"/>
              </w:rPr>
              <w:t>教育的情怀，高度认同</w:t>
            </w:r>
            <w:r>
              <w:rPr>
                <w:rFonts w:hint="eastAsia" w:ascii="楷体" w:hAnsi="楷体" w:eastAsia="楷体" w:cs="楷体"/>
                <w:color w:val="000000"/>
                <w:sz w:val="21"/>
                <w:szCs w:val="21"/>
                <w:lang w:val="en-US" w:eastAsia="zh-Hans"/>
              </w:rPr>
              <w:t>中学音乐</w:t>
            </w:r>
            <w:r>
              <w:rPr>
                <w:rFonts w:hint="eastAsia" w:ascii="楷体" w:hAnsi="楷体" w:eastAsia="楷体" w:cs="楷体"/>
                <w:color w:val="000000"/>
                <w:sz w:val="21"/>
                <w:szCs w:val="21"/>
              </w:rPr>
              <w:t>教育事业</w:t>
            </w:r>
            <w:r>
              <w:rPr>
                <w:rFonts w:hint="default" w:ascii="楷体" w:hAnsi="楷体" w:eastAsia="楷体" w:cs="楷体"/>
                <w:color w:val="000000"/>
                <w:sz w:val="21"/>
                <w:szCs w:val="21"/>
              </w:rPr>
              <w:t>，</w:t>
            </w:r>
            <w:r>
              <w:rPr>
                <w:rFonts w:hint="eastAsia" w:ascii="楷体" w:hAnsi="楷体" w:eastAsia="楷体" w:cs="楷体"/>
                <w:color w:val="000000"/>
                <w:sz w:val="21"/>
                <w:szCs w:val="21"/>
                <w:lang w:val="en-US" w:eastAsia="zh-Hans"/>
              </w:rPr>
              <w:t>选题能够密切联系地方音乐基础教育改革的重点内容</w:t>
            </w:r>
            <w:r>
              <w:rPr>
                <w:rFonts w:hint="default" w:ascii="楷体" w:hAnsi="楷体" w:eastAsia="楷体" w:cs="楷体"/>
                <w:color w:val="000000"/>
                <w:sz w:val="21"/>
                <w:szCs w:val="21"/>
                <w:lang w:eastAsia="zh-Hans"/>
              </w:rPr>
              <w:t>。</w:t>
            </w:r>
          </w:p>
        </w:tc>
        <w:tc>
          <w:tcPr>
            <w:tcW w:w="1539" w:type="dxa"/>
            <w:tcBorders>
              <w:top w:val="single" w:color="000000" w:sz="4" w:space="0"/>
              <w:left w:val="single" w:color="000000" w:sz="4" w:space="0"/>
              <w:bottom w:val="single" w:color="000000" w:sz="4" w:space="0"/>
              <w:right w:val="single" w:color="000000" w:sz="4" w:space="0"/>
            </w:tcBorders>
            <w:noWrap w:val="0"/>
            <w:vAlign w:val="top"/>
          </w:tcPr>
          <w:p w14:paraId="170D0B1E">
            <w:pPr>
              <w:pageBreakBefore w:val="0"/>
              <w:widowControl/>
              <w:kinsoku/>
              <w:overflowPunct/>
              <w:topLinePunct w:val="0"/>
              <w:bidi w:val="0"/>
              <w:adjustRightInd w:val="0"/>
              <w:snapToGrid w:val="0"/>
              <w:spacing w:line="240" w:lineRule="auto"/>
              <w:ind w:firstLine="420" w:firstLineChars="200"/>
              <w:jc w:val="both"/>
              <w:rPr>
                <w:rFonts w:hint="eastAsia" w:ascii="楷体" w:hAnsi="楷体" w:eastAsia="楷体" w:cs="楷体"/>
                <w:color w:val="000000"/>
                <w:sz w:val="21"/>
                <w:szCs w:val="21"/>
              </w:rPr>
            </w:pPr>
            <w:r>
              <w:rPr>
                <w:rFonts w:hint="eastAsia" w:ascii="楷体" w:hAnsi="楷体" w:eastAsia="楷体" w:cs="楷体"/>
                <w:color w:val="000000"/>
                <w:sz w:val="21"/>
                <w:szCs w:val="21"/>
              </w:rPr>
              <w:t>毕业论文</w:t>
            </w:r>
            <w:r>
              <w:rPr>
                <w:rFonts w:hint="eastAsia" w:ascii="楷体" w:hAnsi="楷体" w:eastAsia="楷体" w:cs="楷体"/>
                <w:color w:val="000000"/>
                <w:sz w:val="21"/>
                <w:szCs w:val="21"/>
                <w:lang w:val="en-US" w:eastAsia="zh-Hans"/>
              </w:rPr>
              <w:t>能体现</w:t>
            </w:r>
            <w:r>
              <w:rPr>
                <w:rFonts w:hint="eastAsia" w:ascii="楷体" w:hAnsi="楷体" w:eastAsia="楷体" w:cs="楷体"/>
                <w:color w:val="000000"/>
                <w:sz w:val="21"/>
                <w:szCs w:val="21"/>
              </w:rPr>
              <w:t>热爱</w:t>
            </w:r>
            <w:r>
              <w:rPr>
                <w:rFonts w:hint="eastAsia" w:ascii="楷体" w:hAnsi="楷体" w:eastAsia="楷体" w:cs="楷体"/>
                <w:color w:val="000000"/>
                <w:sz w:val="21"/>
                <w:szCs w:val="21"/>
                <w:lang w:val="en-US" w:eastAsia="zh-Hans"/>
              </w:rPr>
              <w:t>中学音乐</w:t>
            </w:r>
            <w:r>
              <w:rPr>
                <w:rFonts w:hint="eastAsia" w:ascii="楷体" w:hAnsi="楷体" w:eastAsia="楷体" w:cs="楷体"/>
                <w:color w:val="000000"/>
                <w:sz w:val="21"/>
                <w:szCs w:val="21"/>
              </w:rPr>
              <w:t>教育的情怀，认同</w:t>
            </w:r>
            <w:r>
              <w:rPr>
                <w:rFonts w:hint="eastAsia" w:ascii="楷体" w:hAnsi="楷体" w:eastAsia="楷体" w:cs="楷体"/>
                <w:color w:val="000000"/>
                <w:sz w:val="21"/>
                <w:szCs w:val="21"/>
                <w:lang w:val="en-US" w:eastAsia="zh-Hans"/>
              </w:rPr>
              <w:t>中学音乐</w:t>
            </w:r>
            <w:r>
              <w:rPr>
                <w:rFonts w:hint="eastAsia" w:ascii="楷体" w:hAnsi="楷体" w:eastAsia="楷体" w:cs="楷体"/>
                <w:color w:val="000000"/>
                <w:sz w:val="21"/>
                <w:szCs w:val="21"/>
              </w:rPr>
              <w:t>教育事业</w:t>
            </w:r>
            <w:r>
              <w:rPr>
                <w:rFonts w:hint="default" w:ascii="楷体" w:hAnsi="楷体" w:eastAsia="楷体" w:cs="楷体"/>
                <w:color w:val="000000"/>
                <w:sz w:val="21"/>
                <w:szCs w:val="21"/>
              </w:rPr>
              <w:t>，</w:t>
            </w:r>
            <w:r>
              <w:rPr>
                <w:rFonts w:hint="eastAsia" w:ascii="楷体" w:hAnsi="楷体" w:eastAsia="楷体" w:cs="楷体"/>
                <w:color w:val="000000"/>
                <w:sz w:val="21"/>
                <w:szCs w:val="21"/>
                <w:lang w:val="en-US" w:eastAsia="zh-Hans"/>
              </w:rPr>
              <w:t>选题能够密切联系地方音乐基础教育改革的相关内容</w:t>
            </w:r>
            <w:r>
              <w:rPr>
                <w:rFonts w:hint="default" w:ascii="楷体" w:hAnsi="楷体" w:eastAsia="楷体" w:cs="楷体"/>
                <w:color w:val="000000"/>
                <w:sz w:val="21"/>
                <w:szCs w:val="21"/>
                <w:lang w:eastAsia="zh-Hans"/>
              </w:rPr>
              <w:t>。</w:t>
            </w:r>
          </w:p>
        </w:tc>
        <w:tc>
          <w:tcPr>
            <w:tcW w:w="1517" w:type="dxa"/>
            <w:tcBorders>
              <w:top w:val="single" w:color="000000" w:sz="4" w:space="0"/>
              <w:left w:val="single" w:color="000000" w:sz="4" w:space="0"/>
              <w:bottom w:val="single" w:color="000000" w:sz="4" w:space="0"/>
              <w:right w:val="single" w:color="000000" w:sz="4" w:space="0"/>
            </w:tcBorders>
            <w:noWrap w:val="0"/>
            <w:vAlign w:val="top"/>
          </w:tcPr>
          <w:p w14:paraId="377EF4EF">
            <w:pPr>
              <w:pageBreakBefore w:val="0"/>
              <w:kinsoku/>
              <w:overflowPunct/>
              <w:topLinePunct w:val="0"/>
              <w:bidi w:val="0"/>
              <w:adjustRightInd w:val="0"/>
              <w:snapToGrid w:val="0"/>
              <w:spacing w:line="240" w:lineRule="auto"/>
              <w:ind w:firstLine="420" w:firstLineChars="200"/>
              <w:rPr>
                <w:rFonts w:hint="eastAsia" w:ascii="楷体" w:hAnsi="楷体" w:eastAsia="楷体" w:cs="楷体"/>
                <w:color w:val="000000"/>
                <w:sz w:val="21"/>
                <w:szCs w:val="21"/>
              </w:rPr>
            </w:pPr>
            <w:r>
              <w:rPr>
                <w:rFonts w:hint="eastAsia" w:ascii="楷体" w:hAnsi="楷体" w:eastAsia="楷体" w:cs="楷体"/>
                <w:color w:val="000000"/>
                <w:sz w:val="21"/>
                <w:szCs w:val="21"/>
              </w:rPr>
              <w:t>毕业论文</w:t>
            </w:r>
            <w:r>
              <w:rPr>
                <w:rFonts w:hint="eastAsia" w:ascii="楷体" w:hAnsi="楷体" w:eastAsia="楷体" w:cs="楷体"/>
                <w:color w:val="000000"/>
                <w:sz w:val="21"/>
                <w:szCs w:val="21"/>
                <w:lang w:val="en-US" w:eastAsia="zh-Hans"/>
              </w:rPr>
              <w:t>能体现</w:t>
            </w:r>
            <w:r>
              <w:rPr>
                <w:rFonts w:hint="eastAsia" w:ascii="楷体" w:hAnsi="楷体" w:eastAsia="楷体" w:cs="楷体"/>
                <w:color w:val="000000"/>
                <w:sz w:val="21"/>
                <w:szCs w:val="21"/>
              </w:rPr>
              <w:t>热爱</w:t>
            </w:r>
            <w:r>
              <w:rPr>
                <w:rFonts w:hint="eastAsia" w:ascii="楷体" w:hAnsi="楷体" w:eastAsia="楷体" w:cs="楷体"/>
                <w:color w:val="000000"/>
                <w:sz w:val="21"/>
                <w:szCs w:val="21"/>
                <w:lang w:val="en-US" w:eastAsia="zh-Hans"/>
              </w:rPr>
              <w:t>中学音乐</w:t>
            </w:r>
            <w:r>
              <w:rPr>
                <w:rFonts w:hint="eastAsia" w:ascii="楷体" w:hAnsi="楷体" w:eastAsia="楷体" w:cs="楷体"/>
                <w:color w:val="000000"/>
                <w:sz w:val="21"/>
                <w:szCs w:val="21"/>
              </w:rPr>
              <w:t>教育的情怀，认同</w:t>
            </w:r>
            <w:r>
              <w:rPr>
                <w:rFonts w:hint="eastAsia" w:ascii="楷体" w:hAnsi="楷体" w:eastAsia="楷体" w:cs="楷体"/>
                <w:color w:val="000000"/>
                <w:sz w:val="21"/>
                <w:szCs w:val="21"/>
                <w:lang w:val="en-US" w:eastAsia="zh-Hans"/>
              </w:rPr>
              <w:t>中学音乐</w:t>
            </w:r>
            <w:r>
              <w:rPr>
                <w:rFonts w:hint="eastAsia" w:ascii="楷体" w:hAnsi="楷体" w:eastAsia="楷体" w:cs="楷体"/>
                <w:color w:val="000000"/>
                <w:sz w:val="21"/>
                <w:szCs w:val="21"/>
              </w:rPr>
              <w:t>教育事业</w:t>
            </w:r>
            <w:r>
              <w:rPr>
                <w:rFonts w:hint="default" w:ascii="楷体" w:hAnsi="楷体" w:eastAsia="楷体" w:cs="楷体"/>
                <w:color w:val="000000"/>
                <w:sz w:val="21"/>
                <w:szCs w:val="21"/>
              </w:rPr>
              <w:t>，</w:t>
            </w:r>
            <w:r>
              <w:rPr>
                <w:rFonts w:hint="eastAsia" w:ascii="楷体" w:hAnsi="楷体" w:eastAsia="楷体" w:cs="楷体"/>
                <w:color w:val="000000"/>
                <w:sz w:val="21"/>
                <w:szCs w:val="21"/>
                <w:lang w:val="en-US" w:eastAsia="zh-Hans"/>
              </w:rPr>
              <w:t>选题能够联系地方音乐基础教育的相关内容</w:t>
            </w:r>
            <w:r>
              <w:rPr>
                <w:rFonts w:hint="default" w:ascii="楷体" w:hAnsi="楷体" w:eastAsia="楷体" w:cs="楷体"/>
                <w:color w:val="000000"/>
                <w:sz w:val="21"/>
                <w:szCs w:val="21"/>
                <w:lang w:eastAsia="zh-Hans"/>
              </w:rPr>
              <w:t>。</w:t>
            </w:r>
          </w:p>
        </w:tc>
        <w:tc>
          <w:tcPr>
            <w:tcW w:w="1461" w:type="dxa"/>
            <w:tcBorders>
              <w:top w:val="single" w:color="000000" w:sz="4" w:space="0"/>
              <w:left w:val="single" w:color="000000" w:sz="4" w:space="0"/>
              <w:bottom w:val="single" w:color="000000" w:sz="4" w:space="0"/>
              <w:right w:val="single" w:color="000000" w:sz="4" w:space="0"/>
            </w:tcBorders>
            <w:noWrap w:val="0"/>
            <w:vAlign w:val="top"/>
          </w:tcPr>
          <w:p w14:paraId="277BDDEF">
            <w:pPr>
              <w:pageBreakBefore w:val="0"/>
              <w:kinsoku/>
              <w:overflowPunct/>
              <w:topLinePunct w:val="0"/>
              <w:bidi w:val="0"/>
              <w:adjustRightInd w:val="0"/>
              <w:snapToGrid w:val="0"/>
              <w:spacing w:line="240" w:lineRule="auto"/>
              <w:ind w:firstLine="420" w:firstLineChars="200"/>
              <w:rPr>
                <w:rFonts w:hint="eastAsia" w:ascii="楷体" w:hAnsi="楷体" w:eastAsia="楷体" w:cs="楷体"/>
                <w:color w:val="000000"/>
                <w:sz w:val="21"/>
                <w:szCs w:val="21"/>
              </w:rPr>
            </w:pPr>
            <w:r>
              <w:rPr>
                <w:rFonts w:hint="eastAsia" w:ascii="楷体" w:hAnsi="楷体" w:eastAsia="楷体" w:cs="楷体"/>
                <w:color w:val="000000"/>
                <w:sz w:val="21"/>
                <w:szCs w:val="21"/>
              </w:rPr>
              <w:t>毕业论文</w:t>
            </w:r>
            <w:r>
              <w:rPr>
                <w:rFonts w:hint="eastAsia" w:ascii="楷体" w:hAnsi="楷体" w:eastAsia="楷体" w:cs="楷体"/>
                <w:color w:val="000000"/>
                <w:sz w:val="21"/>
                <w:szCs w:val="21"/>
                <w:lang w:val="en-US" w:eastAsia="zh-Hans"/>
              </w:rPr>
              <w:t>能体现</w:t>
            </w:r>
            <w:r>
              <w:rPr>
                <w:rFonts w:hint="eastAsia" w:ascii="楷体" w:hAnsi="楷体" w:eastAsia="楷体" w:cs="楷体"/>
                <w:color w:val="000000"/>
                <w:sz w:val="21"/>
                <w:szCs w:val="21"/>
              </w:rPr>
              <w:t>热爱</w:t>
            </w:r>
            <w:r>
              <w:rPr>
                <w:rFonts w:hint="eastAsia" w:ascii="楷体" w:hAnsi="楷体" w:eastAsia="楷体" w:cs="楷体"/>
                <w:color w:val="000000"/>
                <w:sz w:val="21"/>
                <w:szCs w:val="21"/>
                <w:lang w:val="en-US" w:eastAsia="zh-Hans"/>
              </w:rPr>
              <w:t>中学音乐</w:t>
            </w:r>
            <w:r>
              <w:rPr>
                <w:rFonts w:hint="eastAsia" w:ascii="楷体" w:hAnsi="楷体" w:eastAsia="楷体" w:cs="楷体"/>
                <w:color w:val="000000"/>
                <w:sz w:val="21"/>
                <w:szCs w:val="21"/>
              </w:rPr>
              <w:t>教育的情怀，</w:t>
            </w:r>
            <w:r>
              <w:rPr>
                <w:rFonts w:hint="eastAsia" w:ascii="楷体" w:hAnsi="楷体" w:eastAsia="楷体" w:cs="楷体"/>
                <w:color w:val="000000"/>
                <w:sz w:val="21"/>
                <w:szCs w:val="21"/>
                <w:lang w:val="en-US" w:eastAsia="zh-Hans"/>
              </w:rPr>
              <w:t>基本</w:t>
            </w:r>
            <w:r>
              <w:rPr>
                <w:rFonts w:hint="eastAsia" w:ascii="楷体" w:hAnsi="楷体" w:eastAsia="楷体" w:cs="楷体"/>
                <w:color w:val="000000"/>
                <w:sz w:val="21"/>
                <w:szCs w:val="21"/>
              </w:rPr>
              <w:t>认同</w:t>
            </w:r>
            <w:r>
              <w:rPr>
                <w:rFonts w:hint="eastAsia" w:ascii="楷体" w:hAnsi="楷体" w:eastAsia="楷体" w:cs="楷体"/>
                <w:color w:val="000000"/>
                <w:sz w:val="21"/>
                <w:szCs w:val="21"/>
                <w:lang w:val="en-US" w:eastAsia="zh-Hans"/>
              </w:rPr>
              <w:t>中学音乐</w:t>
            </w:r>
            <w:r>
              <w:rPr>
                <w:rFonts w:hint="eastAsia" w:ascii="楷体" w:hAnsi="楷体" w:eastAsia="楷体" w:cs="楷体"/>
                <w:color w:val="000000"/>
                <w:sz w:val="21"/>
                <w:szCs w:val="21"/>
              </w:rPr>
              <w:t>教育事业</w:t>
            </w:r>
            <w:r>
              <w:rPr>
                <w:rFonts w:hint="default" w:ascii="楷体" w:hAnsi="楷体" w:eastAsia="楷体" w:cs="楷体"/>
                <w:color w:val="000000"/>
                <w:sz w:val="21"/>
                <w:szCs w:val="21"/>
              </w:rPr>
              <w:t>，</w:t>
            </w:r>
            <w:r>
              <w:rPr>
                <w:rFonts w:hint="eastAsia" w:ascii="楷体" w:hAnsi="楷体" w:eastAsia="楷体" w:cs="楷体"/>
                <w:color w:val="000000"/>
                <w:sz w:val="21"/>
                <w:szCs w:val="21"/>
                <w:lang w:val="en-US" w:eastAsia="zh-Hans"/>
              </w:rPr>
              <w:t>选题能够联系地方音乐基础教育的一般内容</w:t>
            </w:r>
            <w:r>
              <w:rPr>
                <w:rFonts w:hint="default" w:ascii="楷体" w:hAnsi="楷体" w:eastAsia="楷体" w:cs="楷体"/>
                <w:color w:val="000000"/>
                <w:sz w:val="21"/>
                <w:szCs w:val="21"/>
                <w:lang w:eastAsia="zh-Hans"/>
              </w:rPr>
              <w:t>。</w:t>
            </w:r>
          </w:p>
        </w:tc>
        <w:tc>
          <w:tcPr>
            <w:tcW w:w="1446" w:type="dxa"/>
            <w:tcBorders>
              <w:top w:val="single" w:color="000000" w:sz="4" w:space="0"/>
              <w:left w:val="single" w:color="000000" w:sz="4" w:space="0"/>
              <w:bottom w:val="single" w:color="000000" w:sz="4" w:space="0"/>
              <w:right w:val="single" w:color="000000" w:sz="4" w:space="0"/>
            </w:tcBorders>
            <w:noWrap w:val="0"/>
            <w:vAlign w:val="top"/>
          </w:tcPr>
          <w:p w14:paraId="6263E418">
            <w:pPr>
              <w:pageBreakBefore w:val="0"/>
              <w:widowControl/>
              <w:kinsoku/>
              <w:overflowPunct/>
              <w:topLinePunct w:val="0"/>
              <w:bidi w:val="0"/>
              <w:adjustRightInd w:val="0"/>
              <w:snapToGrid w:val="0"/>
              <w:spacing w:line="240" w:lineRule="auto"/>
              <w:ind w:firstLine="420" w:firstLineChars="200"/>
              <w:jc w:val="both"/>
              <w:rPr>
                <w:rFonts w:hint="eastAsia" w:ascii="楷体" w:hAnsi="楷体" w:eastAsia="楷体" w:cs="楷体"/>
                <w:bCs/>
                <w:kern w:val="2"/>
                <w:sz w:val="21"/>
                <w:szCs w:val="21"/>
                <w:lang w:bidi="ar-SA"/>
              </w:rPr>
            </w:pPr>
            <w:r>
              <w:rPr>
                <w:rFonts w:hint="eastAsia" w:ascii="楷体" w:hAnsi="楷体" w:eastAsia="楷体" w:cs="楷体"/>
                <w:color w:val="000000"/>
                <w:sz w:val="21"/>
                <w:szCs w:val="21"/>
              </w:rPr>
              <w:t>毕业论文</w:t>
            </w:r>
            <w:r>
              <w:rPr>
                <w:rFonts w:hint="eastAsia" w:ascii="楷体" w:hAnsi="楷体" w:eastAsia="楷体" w:cs="楷体"/>
                <w:color w:val="000000"/>
                <w:sz w:val="21"/>
                <w:szCs w:val="21"/>
                <w:lang w:val="en-US" w:eastAsia="zh-Hans"/>
              </w:rPr>
              <w:t>不能体现</w:t>
            </w:r>
            <w:r>
              <w:rPr>
                <w:rFonts w:hint="eastAsia" w:ascii="楷体" w:hAnsi="楷体" w:eastAsia="楷体" w:cs="楷体"/>
                <w:color w:val="000000"/>
                <w:sz w:val="21"/>
                <w:szCs w:val="21"/>
              </w:rPr>
              <w:t>热爱</w:t>
            </w:r>
            <w:r>
              <w:rPr>
                <w:rFonts w:hint="eastAsia" w:ascii="楷体" w:hAnsi="楷体" w:eastAsia="楷体" w:cs="楷体"/>
                <w:color w:val="000000"/>
                <w:sz w:val="21"/>
                <w:szCs w:val="21"/>
                <w:lang w:val="en-US" w:eastAsia="zh-Hans"/>
              </w:rPr>
              <w:t>中学音乐</w:t>
            </w:r>
            <w:r>
              <w:rPr>
                <w:rFonts w:hint="eastAsia" w:ascii="楷体" w:hAnsi="楷体" w:eastAsia="楷体" w:cs="楷体"/>
                <w:color w:val="000000"/>
                <w:sz w:val="21"/>
                <w:szCs w:val="21"/>
              </w:rPr>
              <w:t>教育的情怀，</w:t>
            </w:r>
            <w:r>
              <w:rPr>
                <w:rFonts w:hint="eastAsia" w:ascii="楷体" w:hAnsi="楷体" w:eastAsia="楷体" w:cs="楷体"/>
                <w:color w:val="000000"/>
                <w:sz w:val="21"/>
                <w:szCs w:val="21"/>
                <w:lang w:val="en-US" w:eastAsia="zh-Hans"/>
              </w:rPr>
              <w:t>选题没有联系地方音乐基础教育的相关内容</w:t>
            </w:r>
            <w:r>
              <w:rPr>
                <w:rFonts w:hint="default" w:ascii="楷体" w:hAnsi="楷体" w:eastAsia="楷体" w:cs="楷体"/>
                <w:color w:val="000000"/>
                <w:sz w:val="21"/>
                <w:szCs w:val="21"/>
                <w:lang w:eastAsia="zh-Hans"/>
              </w:rPr>
              <w:t>。</w:t>
            </w:r>
          </w:p>
        </w:tc>
      </w:tr>
      <w:tr w14:paraId="1086033B">
        <w:trPr>
          <w:trHeight w:val="390" w:hRule="atLeast"/>
        </w:trPr>
        <w:tc>
          <w:tcPr>
            <w:tcW w:w="1720" w:type="dxa"/>
            <w:tcBorders>
              <w:top w:val="single" w:color="000000" w:sz="4" w:space="0"/>
              <w:left w:val="single" w:color="000000" w:sz="4" w:space="0"/>
              <w:bottom w:val="single" w:color="000000" w:sz="4" w:space="0"/>
              <w:right w:val="single" w:color="000000" w:sz="4" w:space="0"/>
            </w:tcBorders>
            <w:noWrap w:val="0"/>
            <w:vAlign w:val="top"/>
          </w:tcPr>
          <w:p w14:paraId="38150B69">
            <w:pPr>
              <w:pageBreakBefore w:val="0"/>
              <w:kinsoku/>
              <w:overflowPunct/>
              <w:topLinePunct w:val="0"/>
              <w:bidi w:val="0"/>
              <w:adjustRightInd w:val="0"/>
              <w:snapToGrid w:val="0"/>
              <w:spacing w:line="240" w:lineRule="auto"/>
              <w:rPr>
                <w:rFonts w:hint="eastAsia" w:ascii="楷体" w:hAnsi="楷体" w:eastAsia="楷体" w:cs="楷体"/>
                <w:color w:val="000000"/>
                <w:sz w:val="21"/>
                <w:szCs w:val="21"/>
              </w:rPr>
            </w:pPr>
            <w:r>
              <w:rPr>
                <w:rFonts w:hint="eastAsia" w:ascii="楷体" w:hAnsi="楷体" w:eastAsia="楷体" w:cs="楷体"/>
                <w:color w:val="000000"/>
                <w:sz w:val="21"/>
                <w:szCs w:val="21"/>
              </w:rPr>
              <w:t>课程目标2.</w:t>
            </w:r>
            <w:r>
              <w:rPr>
                <w:rFonts w:hint="eastAsia" w:ascii="楷体" w:hAnsi="楷体" w:eastAsia="楷体" w:cs="楷体"/>
                <w:color w:val="000000"/>
                <w:sz w:val="21"/>
                <w:szCs w:val="21"/>
                <w:lang w:val="en-US" w:eastAsia="zh-Hans"/>
              </w:rPr>
              <w:t>能够</w:t>
            </w:r>
            <w:r>
              <w:rPr>
                <w:rFonts w:hint="eastAsia" w:ascii="楷体" w:hAnsi="楷体" w:eastAsia="楷体" w:cs="楷体"/>
                <w:color w:val="000000"/>
                <w:sz w:val="21"/>
                <w:szCs w:val="21"/>
              </w:rPr>
              <w:t>综合运用所学的</w:t>
            </w:r>
            <w:r>
              <w:rPr>
                <w:rFonts w:hint="eastAsia" w:ascii="楷体" w:hAnsi="楷体" w:eastAsia="楷体" w:cs="楷体"/>
                <w:color w:val="000000"/>
                <w:sz w:val="21"/>
                <w:szCs w:val="21"/>
                <w:lang w:val="en-US" w:eastAsia="en-US"/>
              </w:rPr>
              <w:t>音乐</w:t>
            </w:r>
            <w:r>
              <w:rPr>
                <w:rFonts w:hint="eastAsia" w:ascii="楷体" w:hAnsi="楷体" w:eastAsia="楷体" w:cs="楷体"/>
                <w:color w:val="000000"/>
                <w:sz w:val="21"/>
                <w:szCs w:val="21"/>
              </w:rPr>
              <w:t>教育专业基础理论、专业知识和基本技能，具备一定的</w:t>
            </w:r>
            <w:r>
              <w:rPr>
                <w:rFonts w:hint="eastAsia" w:ascii="楷体" w:hAnsi="楷体" w:eastAsia="楷体" w:cs="楷体"/>
                <w:color w:val="000000"/>
                <w:sz w:val="21"/>
                <w:szCs w:val="21"/>
                <w:lang w:val="en-US" w:eastAsia="en-US"/>
              </w:rPr>
              <w:t>跨学科意识</w:t>
            </w:r>
            <w:r>
              <w:rPr>
                <w:rFonts w:hint="eastAsia" w:ascii="楷体" w:hAnsi="楷体" w:eastAsia="楷体" w:cs="楷体"/>
                <w:color w:val="000000"/>
                <w:sz w:val="21"/>
                <w:szCs w:val="21"/>
              </w:rPr>
              <w:t>，</w:t>
            </w:r>
            <w:r>
              <w:rPr>
                <w:rFonts w:hint="eastAsia" w:ascii="楷体" w:hAnsi="楷体" w:eastAsia="楷体" w:cs="楷体"/>
                <w:color w:val="000000"/>
                <w:sz w:val="21"/>
                <w:szCs w:val="21"/>
                <w:lang w:val="en-US" w:eastAsia="en-US"/>
              </w:rPr>
              <w:t>形成初步的综合学习和知识整合的能力</w:t>
            </w:r>
            <w:r>
              <w:rPr>
                <w:rFonts w:hint="eastAsia" w:ascii="楷体" w:hAnsi="楷体" w:eastAsia="楷体" w:cs="楷体"/>
                <w:color w:val="000000"/>
                <w:sz w:val="21"/>
                <w:szCs w:val="21"/>
              </w:rPr>
              <w:t>，</w:t>
            </w:r>
            <w:r>
              <w:rPr>
                <w:rFonts w:hint="eastAsia" w:ascii="楷体" w:hAnsi="楷体" w:eastAsia="楷体" w:cs="楷体"/>
                <w:color w:val="000000"/>
                <w:sz w:val="21"/>
                <w:szCs w:val="21"/>
                <w:lang w:val="en-US" w:eastAsia="en-US"/>
              </w:rPr>
              <w:t>分析和解决</w:t>
            </w:r>
            <w:r>
              <w:rPr>
                <w:rFonts w:hint="eastAsia" w:ascii="楷体" w:hAnsi="楷体" w:eastAsia="楷体" w:cs="楷体"/>
                <w:color w:val="000000"/>
                <w:sz w:val="21"/>
                <w:szCs w:val="21"/>
                <w:lang w:val="en-US" w:eastAsia="zh-Hans"/>
              </w:rPr>
              <w:t>毕业论文写作中遇到</w:t>
            </w:r>
            <w:r>
              <w:rPr>
                <w:rFonts w:hint="eastAsia" w:ascii="楷体" w:hAnsi="楷体" w:eastAsia="楷体" w:cs="楷体"/>
                <w:color w:val="000000"/>
                <w:sz w:val="21"/>
                <w:szCs w:val="21"/>
                <w:lang w:val="en-US" w:eastAsia="en-US"/>
              </w:rPr>
              <w:t>的问题</w:t>
            </w:r>
            <w:r>
              <w:rPr>
                <w:rFonts w:hint="eastAsia" w:ascii="楷体" w:hAnsi="楷体" w:eastAsia="楷体" w:cs="楷体"/>
                <w:color w:val="000000"/>
                <w:sz w:val="21"/>
                <w:szCs w:val="21"/>
              </w:rPr>
              <w:t>。（支撑毕业要求3.3）</w:t>
            </w:r>
          </w:p>
          <w:p w14:paraId="32995185">
            <w:pPr>
              <w:pageBreakBefore w:val="0"/>
              <w:kinsoku/>
              <w:overflowPunct/>
              <w:topLinePunct w:val="0"/>
              <w:bidi w:val="0"/>
              <w:adjustRightInd w:val="0"/>
              <w:snapToGrid w:val="0"/>
              <w:spacing w:line="240" w:lineRule="auto"/>
              <w:rPr>
                <w:rFonts w:hint="eastAsia" w:ascii="楷体" w:hAnsi="楷体" w:eastAsia="楷体" w:cs="楷体"/>
                <w:color w:val="000000"/>
                <w:sz w:val="21"/>
                <w:szCs w:val="21"/>
              </w:rPr>
            </w:pPr>
          </w:p>
        </w:tc>
        <w:tc>
          <w:tcPr>
            <w:tcW w:w="1528" w:type="dxa"/>
            <w:tcBorders>
              <w:top w:val="single" w:color="000000" w:sz="4" w:space="0"/>
              <w:left w:val="single" w:color="000000" w:sz="4" w:space="0"/>
              <w:bottom w:val="single" w:color="000000" w:sz="4" w:space="0"/>
              <w:right w:val="single" w:color="000000" w:sz="4" w:space="0"/>
            </w:tcBorders>
            <w:noWrap w:val="0"/>
            <w:vAlign w:val="top"/>
          </w:tcPr>
          <w:p w14:paraId="79B6B80D">
            <w:pPr>
              <w:pageBreakBefore w:val="0"/>
              <w:widowControl/>
              <w:kinsoku/>
              <w:overflowPunct/>
              <w:topLinePunct w:val="0"/>
              <w:bidi w:val="0"/>
              <w:adjustRightInd w:val="0"/>
              <w:snapToGrid w:val="0"/>
              <w:spacing w:line="240" w:lineRule="auto"/>
              <w:ind w:firstLine="420" w:firstLineChars="200"/>
              <w:jc w:val="both"/>
              <w:rPr>
                <w:rFonts w:hint="default" w:ascii="楷体" w:hAnsi="楷体" w:eastAsia="楷体" w:cs="楷体"/>
                <w:color w:val="000000"/>
                <w:sz w:val="21"/>
                <w:szCs w:val="21"/>
              </w:rPr>
            </w:pPr>
            <w:r>
              <w:rPr>
                <w:rFonts w:hint="eastAsia" w:ascii="楷体" w:hAnsi="楷体" w:eastAsia="楷体" w:cs="楷体"/>
                <w:color w:val="000000"/>
                <w:sz w:val="21"/>
                <w:szCs w:val="21"/>
                <w:lang w:val="en-US" w:eastAsia="zh-Hans"/>
              </w:rPr>
              <w:t>能够熟练</w:t>
            </w:r>
            <w:r>
              <w:rPr>
                <w:rFonts w:hint="eastAsia" w:ascii="楷体" w:hAnsi="楷体" w:eastAsia="楷体" w:cs="楷体"/>
                <w:color w:val="000000"/>
                <w:sz w:val="21"/>
                <w:szCs w:val="21"/>
              </w:rPr>
              <w:t>运用</w:t>
            </w:r>
            <w:r>
              <w:rPr>
                <w:rFonts w:hint="eastAsia" w:ascii="楷体" w:hAnsi="楷体" w:eastAsia="楷体" w:cs="楷体"/>
                <w:color w:val="000000"/>
                <w:sz w:val="21"/>
                <w:szCs w:val="21"/>
                <w:lang w:val="en-US" w:eastAsia="en-US"/>
              </w:rPr>
              <w:t>音乐</w:t>
            </w:r>
            <w:r>
              <w:rPr>
                <w:rFonts w:hint="eastAsia" w:ascii="楷体" w:hAnsi="楷体" w:eastAsia="楷体" w:cs="楷体"/>
                <w:color w:val="000000"/>
                <w:sz w:val="21"/>
                <w:szCs w:val="21"/>
              </w:rPr>
              <w:t>教育专业基础理论、专业知识和基本技能</w:t>
            </w:r>
            <w:r>
              <w:rPr>
                <w:rFonts w:hint="eastAsia" w:ascii="楷体" w:hAnsi="楷体" w:eastAsia="楷体" w:cs="楷体"/>
                <w:color w:val="000000"/>
                <w:sz w:val="21"/>
                <w:szCs w:val="21"/>
                <w:lang w:val="en-US" w:eastAsia="zh-Hans"/>
              </w:rPr>
              <w:t>解决论文写作中遇到的实际问题</w:t>
            </w:r>
            <w:r>
              <w:rPr>
                <w:rFonts w:hint="eastAsia" w:ascii="楷体" w:hAnsi="楷体" w:eastAsia="楷体" w:cs="楷体"/>
                <w:color w:val="000000"/>
                <w:sz w:val="21"/>
                <w:szCs w:val="21"/>
              </w:rPr>
              <w:t>，</w:t>
            </w:r>
            <w:r>
              <w:rPr>
                <w:rFonts w:hint="eastAsia" w:ascii="楷体" w:hAnsi="楷体" w:eastAsia="楷体" w:cs="楷体"/>
                <w:color w:val="000000"/>
                <w:sz w:val="21"/>
                <w:szCs w:val="21"/>
                <w:lang w:val="en-US" w:eastAsia="zh-Hans"/>
              </w:rPr>
              <w:t>并能够运用跨学科知识进行综合分析</w:t>
            </w:r>
            <w:r>
              <w:rPr>
                <w:rFonts w:hint="default" w:ascii="楷体" w:hAnsi="楷体" w:eastAsia="楷体" w:cs="楷体"/>
                <w:color w:val="000000"/>
                <w:sz w:val="21"/>
                <w:szCs w:val="21"/>
                <w:lang w:eastAsia="zh-Hans"/>
              </w:rPr>
              <w:t>，</w:t>
            </w:r>
            <w:r>
              <w:rPr>
                <w:rFonts w:hint="eastAsia" w:ascii="楷体" w:hAnsi="楷体" w:eastAsia="楷体" w:cs="楷体"/>
                <w:color w:val="000000"/>
                <w:sz w:val="21"/>
                <w:szCs w:val="21"/>
                <w:lang w:val="en-US" w:eastAsia="zh-Hans"/>
              </w:rPr>
              <w:t>具有优秀的文字</w:t>
            </w:r>
            <w:r>
              <w:rPr>
                <w:rFonts w:hint="eastAsia" w:ascii="楷体" w:hAnsi="楷体" w:eastAsia="楷体" w:cs="楷体"/>
                <w:color w:val="000000"/>
                <w:sz w:val="21"/>
                <w:szCs w:val="21"/>
              </w:rPr>
              <w:t>表达</w:t>
            </w:r>
            <w:r>
              <w:rPr>
                <w:rFonts w:hint="eastAsia" w:ascii="楷体" w:hAnsi="楷体" w:eastAsia="楷体" w:cs="楷体"/>
                <w:color w:val="000000"/>
                <w:sz w:val="21"/>
                <w:szCs w:val="21"/>
                <w:lang w:val="en-US" w:eastAsia="zh-Hans"/>
              </w:rPr>
              <w:t>与文献查阅能力</w:t>
            </w:r>
            <w:r>
              <w:rPr>
                <w:rFonts w:hint="default" w:ascii="楷体" w:hAnsi="楷体" w:eastAsia="楷体" w:cs="楷体"/>
                <w:color w:val="000000"/>
                <w:sz w:val="21"/>
                <w:szCs w:val="21"/>
                <w:lang w:eastAsia="zh-Hans"/>
              </w:rPr>
              <w:t>。</w:t>
            </w:r>
          </w:p>
        </w:tc>
        <w:tc>
          <w:tcPr>
            <w:tcW w:w="1539" w:type="dxa"/>
            <w:tcBorders>
              <w:top w:val="single" w:color="000000" w:sz="4" w:space="0"/>
              <w:left w:val="single" w:color="000000" w:sz="4" w:space="0"/>
              <w:bottom w:val="single" w:color="000000" w:sz="4" w:space="0"/>
              <w:right w:val="single" w:color="000000" w:sz="4" w:space="0"/>
            </w:tcBorders>
            <w:noWrap w:val="0"/>
            <w:vAlign w:val="top"/>
          </w:tcPr>
          <w:p w14:paraId="47A6CEE3">
            <w:pPr>
              <w:pageBreakBefore w:val="0"/>
              <w:widowControl/>
              <w:kinsoku/>
              <w:overflowPunct/>
              <w:topLinePunct w:val="0"/>
              <w:bidi w:val="0"/>
              <w:adjustRightInd w:val="0"/>
              <w:snapToGrid w:val="0"/>
              <w:spacing w:line="240" w:lineRule="auto"/>
              <w:ind w:firstLine="420" w:firstLineChars="200"/>
              <w:jc w:val="both"/>
              <w:rPr>
                <w:rFonts w:hint="eastAsia" w:ascii="楷体" w:hAnsi="楷体" w:eastAsia="楷体" w:cs="楷体"/>
                <w:color w:val="000000"/>
                <w:sz w:val="21"/>
                <w:szCs w:val="21"/>
              </w:rPr>
            </w:pPr>
            <w:r>
              <w:rPr>
                <w:rFonts w:hint="eastAsia" w:ascii="楷体" w:hAnsi="楷体" w:eastAsia="楷体" w:cs="楷体"/>
                <w:color w:val="000000"/>
                <w:sz w:val="21"/>
                <w:szCs w:val="21"/>
                <w:lang w:val="en-US" w:eastAsia="zh-Hans"/>
              </w:rPr>
              <w:t>能够较为熟练运用</w:t>
            </w:r>
            <w:r>
              <w:rPr>
                <w:rFonts w:hint="eastAsia" w:ascii="楷体" w:hAnsi="楷体" w:eastAsia="楷体" w:cs="楷体"/>
                <w:color w:val="000000"/>
                <w:sz w:val="21"/>
                <w:szCs w:val="21"/>
                <w:lang w:val="en-US" w:eastAsia="en-US"/>
              </w:rPr>
              <w:t>音乐</w:t>
            </w:r>
            <w:r>
              <w:rPr>
                <w:rFonts w:hint="eastAsia" w:ascii="楷体" w:hAnsi="楷体" w:eastAsia="楷体" w:cs="楷体"/>
                <w:color w:val="000000"/>
                <w:sz w:val="21"/>
                <w:szCs w:val="21"/>
                <w:lang w:val="en-US" w:eastAsia="zh-Hans"/>
              </w:rPr>
              <w:t>教育专业基础理论、专业知识和基本技能解决论文写作中遇到的实际问题，并能够运用跨学科知识进行综合分析</w:t>
            </w:r>
            <w:r>
              <w:rPr>
                <w:rFonts w:hint="default" w:ascii="楷体" w:hAnsi="楷体" w:eastAsia="楷体" w:cs="楷体"/>
                <w:color w:val="000000"/>
                <w:sz w:val="21"/>
                <w:szCs w:val="21"/>
                <w:lang w:val="en-US" w:eastAsia="zh-Hans"/>
              </w:rPr>
              <w:t>，</w:t>
            </w:r>
            <w:r>
              <w:rPr>
                <w:rFonts w:hint="eastAsia" w:ascii="楷体" w:hAnsi="楷体" w:eastAsia="楷体" w:cs="楷体"/>
                <w:color w:val="000000"/>
                <w:sz w:val="21"/>
                <w:szCs w:val="21"/>
                <w:lang w:val="en-US" w:eastAsia="zh-Hans"/>
              </w:rPr>
              <w:t>具有较强的文字表达与文献查阅能力</w:t>
            </w:r>
            <w:r>
              <w:rPr>
                <w:rFonts w:hint="default" w:ascii="楷体" w:hAnsi="楷体" w:eastAsia="楷体" w:cs="楷体"/>
                <w:color w:val="000000"/>
                <w:sz w:val="21"/>
                <w:szCs w:val="21"/>
                <w:lang w:val="en-US" w:eastAsia="zh-Hans"/>
              </w:rPr>
              <w:t>。</w:t>
            </w:r>
          </w:p>
        </w:tc>
        <w:tc>
          <w:tcPr>
            <w:tcW w:w="1517" w:type="dxa"/>
            <w:tcBorders>
              <w:top w:val="single" w:color="000000" w:sz="4" w:space="0"/>
              <w:left w:val="single" w:color="000000" w:sz="4" w:space="0"/>
              <w:bottom w:val="single" w:color="000000" w:sz="4" w:space="0"/>
              <w:right w:val="single" w:color="000000" w:sz="4" w:space="0"/>
            </w:tcBorders>
            <w:noWrap w:val="0"/>
            <w:vAlign w:val="top"/>
          </w:tcPr>
          <w:p w14:paraId="1D7EAC1F">
            <w:pPr>
              <w:pageBreakBefore w:val="0"/>
              <w:kinsoku/>
              <w:overflowPunct/>
              <w:topLinePunct w:val="0"/>
              <w:bidi w:val="0"/>
              <w:adjustRightInd w:val="0"/>
              <w:snapToGrid w:val="0"/>
              <w:spacing w:line="240" w:lineRule="auto"/>
              <w:jc w:val="both"/>
              <w:rPr>
                <w:rFonts w:hint="eastAsia" w:ascii="楷体" w:hAnsi="楷体" w:eastAsia="楷体" w:cs="楷体"/>
                <w:color w:val="000000"/>
                <w:sz w:val="21"/>
                <w:szCs w:val="21"/>
              </w:rPr>
            </w:pPr>
            <w:r>
              <w:rPr>
                <w:rFonts w:hint="eastAsia" w:ascii="楷体" w:hAnsi="楷体" w:eastAsia="楷体" w:cs="楷体"/>
                <w:color w:val="000000"/>
                <w:sz w:val="21"/>
                <w:szCs w:val="21"/>
                <w:lang w:val="en-US" w:eastAsia="zh-Hans"/>
              </w:rPr>
              <w:t>能够运用</w:t>
            </w:r>
            <w:r>
              <w:rPr>
                <w:rFonts w:hint="eastAsia" w:ascii="楷体" w:hAnsi="楷体" w:eastAsia="楷体" w:cs="楷体"/>
                <w:color w:val="000000"/>
                <w:sz w:val="21"/>
                <w:szCs w:val="21"/>
                <w:lang w:val="en-US" w:eastAsia="en-US"/>
              </w:rPr>
              <w:t>音乐</w:t>
            </w:r>
            <w:r>
              <w:rPr>
                <w:rFonts w:hint="eastAsia" w:ascii="楷体" w:hAnsi="楷体" w:eastAsia="楷体" w:cs="楷体"/>
                <w:color w:val="000000"/>
                <w:sz w:val="21"/>
                <w:szCs w:val="21"/>
                <w:lang w:val="en-US" w:eastAsia="zh-Hans"/>
              </w:rPr>
              <w:t>教育专业基础理论、专业知识和基本技能解决论文写作中遇到的实际问题，并能够运用跨学科知识进行综合分析</w:t>
            </w:r>
            <w:r>
              <w:rPr>
                <w:rFonts w:hint="default" w:ascii="楷体" w:hAnsi="楷体" w:eastAsia="楷体" w:cs="楷体"/>
                <w:color w:val="000000"/>
                <w:sz w:val="21"/>
                <w:szCs w:val="21"/>
                <w:lang w:val="en-US" w:eastAsia="zh-Hans"/>
              </w:rPr>
              <w:t>，</w:t>
            </w:r>
            <w:r>
              <w:rPr>
                <w:rFonts w:hint="eastAsia" w:ascii="楷体" w:hAnsi="楷体" w:eastAsia="楷体" w:cs="楷体"/>
                <w:color w:val="000000"/>
                <w:sz w:val="21"/>
                <w:szCs w:val="21"/>
                <w:lang w:val="en-US" w:eastAsia="zh-Hans"/>
              </w:rPr>
              <w:t>具有一般文字表达与文献查阅能力</w:t>
            </w:r>
            <w:r>
              <w:rPr>
                <w:rFonts w:hint="default" w:ascii="楷体" w:hAnsi="楷体" w:eastAsia="楷体" w:cs="楷体"/>
                <w:color w:val="000000"/>
                <w:sz w:val="21"/>
                <w:szCs w:val="21"/>
                <w:lang w:val="en-US" w:eastAsia="zh-Hans"/>
              </w:rPr>
              <w:t>。</w:t>
            </w:r>
          </w:p>
        </w:tc>
        <w:tc>
          <w:tcPr>
            <w:tcW w:w="1461" w:type="dxa"/>
            <w:tcBorders>
              <w:top w:val="single" w:color="000000" w:sz="4" w:space="0"/>
              <w:left w:val="single" w:color="000000" w:sz="4" w:space="0"/>
              <w:bottom w:val="single" w:color="000000" w:sz="4" w:space="0"/>
              <w:right w:val="single" w:color="000000" w:sz="4" w:space="0"/>
            </w:tcBorders>
            <w:noWrap w:val="0"/>
            <w:vAlign w:val="top"/>
          </w:tcPr>
          <w:p w14:paraId="50CC57A6">
            <w:pPr>
              <w:pageBreakBefore w:val="0"/>
              <w:kinsoku/>
              <w:overflowPunct/>
              <w:topLinePunct w:val="0"/>
              <w:bidi w:val="0"/>
              <w:adjustRightInd w:val="0"/>
              <w:snapToGrid w:val="0"/>
              <w:spacing w:line="240" w:lineRule="auto"/>
              <w:jc w:val="both"/>
              <w:rPr>
                <w:rFonts w:hint="eastAsia" w:ascii="楷体" w:hAnsi="楷体" w:eastAsia="楷体" w:cs="楷体"/>
                <w:color w:val="000000"/>
                <w:sz w:val="21"/>
                <w:szCs w:val="21"/>
              </w:rPr>
            </w:pPr>
            <w:r>
              <w:rPr>
                <w:rFonts w:hint="eastAsia" w:ascii="楷体" w:hAnsi="楷体" w:eastAsia="楷体" w:cs="楷体"/>
                <w:color w:val="000000"/>
                <w:sz w:val="21"/>
                <w:szCs w:val="21"/>
                <w:lang w:val="en-US" w:eastAsia="zh-Hans"/>
              </w:rPr>
              <w:t>能够运用</w:t>
            </w:r>
            <w:r>
              <w:rPr>
                <w:rFonts w:hint="eastAsia" w:ascii="楷体" w:hAnsi="楷体" w:eastAsia="楷体" w:cs="楷体"/>
                <w:color w:val="000000"/>
                <w:sz w:val="21"/>
                <w:szCs w:val="21"/>
                <w:lang w:val="en-US" w:eastAsia="en-US"/>
              </w:rPr>
              <w:t>音乐</w:t>
            </w:r>
            <w:r>
              <w:rPr>
                <w:rFonts w:hint="eastAsia" w:ascii="楷体" w:hAnsi="楷体" w:eastAsia="楷体" w:cs="楷体"/>
                <w:color w:val="000000"/>
                <w:sz w:val="21"/>
                <w:szCs w:val="21"/>
                <w:lang w:val="en-US" w:eastAsia="zh-Hans"/>
              </w:rPr>
              <w:t>教育专业基础理论、专业知识和基本技能解决论文写作中遇到的实际问题，不能够运用跨学科知识进行综合分析</w:t>
            </w:r>
            <w:r>
              <w:rPr>
                <w:rFonts w:hint="default" w:ascii="楷体" w:hAnsi="楷体" w:eastAsia="楷体" w:cs="楷体"/>
                <w:color w:val="000000"/>
                <w:sz w:val="21"/>
                <w:szCs w:val="21"/>
                <w:lang w:val="en-US" w:eastAsia="zh-Hans"/>
              </w:rPr>
              <w:t>，</w:t>
            </w:r>
            <w:r>
              <w:rPr>
                <w:rFonts w:hint="eastAsia" w:ascii="楷体" w:hAnsi="楷体" w:eastAsia="楷体" w:cs="楷体"/>
                <w:color w:val="000000"/>
                <w:sz w:val="21"/>
                <w:szCs w:val="21"/>
                <w:lang w:val="en-US" w:eastAsia="zh-Hans"/>
              </w:rPr>
              <w:t>具有一般文字表达与文献查阅能力</w:t>
            </w:r>
            <w:r>
              <w:rPr>
                <w:rFonts w:hint="default" w:ascii="楷体" w:hAnsi="楷体" w:eastAsia="楷体" w:cs="楷体"/>
                <w:color w:val="000000"/>
                <w:sz w:val="21"/>
                <w:szCs w:val="21"/>
                <w:lang w:val="en-US" w:eastAsia="zh-Hans"/>
              </w:rPr>
              <w:t>。</w:t>
            </w:r>
          </w:p>
        </w:tc>
        <w:tc>
          <w:tcPr>
            <w:tcW w:w="1446" w:type="dxa"/>
            <w:tcBorders>
              <w:top w:val="single" w:color="000000" w:sz="4" w:space="0"/>
              <w:left w:val="single" w:color="000000" w:sz="4" w:space="0"/>
              <w:bottom w:val="single" w:color="000000" w:sz="4" w:space="0"/>
              <w:right w:val="single" w:color="000000" w:sz="4" w:space="0"/>
            </w:tcBorders>
            <w:noWrap w:val="0"/>
            <w:vAlign w:val="top"/>
          </w:tcPr>
          <w:p w14:paraId="3A7C166B">
            <w:pPr>
              <w:pageBreakBefore w:val="0"/>
              <w:widowControl/>
              <w:kinsoku/>
              <w:overflowPunct/>
              <w:topLinePunct w:val="0"/>
              <w:bidi w:val="0"/>
              <w:adjustRightInd w:val="0"/>
              <w:snapToGrid w:val="0"/>
              <w:spacing w:line="240" w:lineRule="auto"/>
              <w:jc w:val="both"/>
              <w:rPr>
                <w:rFonts w:hint="eastAsia" w:ascii="楷体" w:hAnsi="楷体" w:eastAsia="楷体" w:cs="楷体"/>
                <w:bCs/>
                <w:kern w:val="2"/>
                <w:sz w:val="21"/>
                <w:szCs w:val="21"/>
                <w:lang w:bidi="ar-SA"/>
              </w:rPr>
            </w:pPr>
            <w:r>
              <w:rPr>
                <w:rFonts w:hint="eastAsia" w:ascii="楷体" w:hAnsi="楷体" w:eastAsia="楷体" w:cs="楷体"/>
                <w:color w:val="000000"/>
                <w:sz w:val="21"/>
                <w:szCs w:val="21"/>
                <w:lang w:val="en-US" w:eastAsia="zh-Hans"/>
              </w:rPr>
              <w:t>不能够运用</w:t>
            </w:r>
            <w:r>
              <w:rPr>
                <w:rFonts w:hint="eastAsia" w:ascii="楷体" w:hAnsi="楷体" w:eastAsia="楷体" w:cs="楷体"/>
                <w:color w:val="000000"/>
                <w:sz w:val="21"/>
                <w:szCs w:val="21"/>
                <w:lang w:val="en-US" w:eastAsia="en-US"/>
              </w:rPr>
              <w:t>音乐</w:t>
            </w:r>
            <w:r>
              <w:rPr>
                <w:rFonts w:hint="eastAsia" w:ascii="楷体" w:hAnsi="楷体" w:eastAsia="楷体" w:cs="楷体"/>
                <w:color w:val="000000"/>
                <w:sz w:val="21"/>
                <w:szCs w:val="21"/>
                <w:lang w:val="en-US" w:eastAsia="zh-Hans"/>
              </w:rPr>
              <w:t>教育专业基础理论、专业知识和基本技能解决论文写作中遇到的实际问题，不能够运用跨学科知识进行综合分析</w:t>
            </w:r>
            <w:r>
              <w:rPr>
                <w:rFonts w:hint="default" w:ascii="楷体" w:hAnsi="楷体" w:eastAsia="楷体" w:cs="楷体"/>
                <w:color w:val="000000"/>
                <w:sz w:val="21"/>
                <w:szCs w:val="21"/>
                <w:lang w:val="en-US" w:eastAsia="zh-Hans"/>
              </w:rPr>
              <w:t>，</w:t>
            </w:r>
            <w:r>
              <w:rPr>
                <w:rFonts w:hint="eastAsia" w:ascii="楷体" w:hAnsi="楷体" w:eastAsia="楷体" w:cs="楷体"/>
                <w:color w:val="000000"/>
                <w:sz w:val="21"/>
                <w:szCs w:val="21"/>
                <w:lang w:val="en-US" w:eastAsia="zh-Hans"/>
              </w:rPr>
              <w:t>文字表达与文献查阅能力弱</w:t>
            </w:r>
            <w:r>
              <w:rPr>
                <w:rFonts w:hint="default" w:ascii="楷体" w:hAnsi="楷体" w:eastAsia="楷体" w:cs="楷体"/>
                <w:color w:val="000000"/>
                <w:sz w:val="21"/>
                <w:szCs w:val="21"/>
                <w:lang w:val="en-US" w:eastAsia="zh-Hans"/>
              </w:rPr>
              <w:t>。</w:t>
            </w:r>
          </w:p>
        </w:tc>
      </w:tr>
      <w:tr w14:paraId="46FC5EBD">
        <w:trPr>
          <w:trHeight w:val="624" w:hRule="atLeast"/>
        </w:trPr>
        <w:tc>
          <w:tcPr>
            <w:tcW w:w="1720" w:type="dxa"/>
            <w:tcBorders>
              <w:top w:val="single" w:color="000000" w:sz="4" w:space="0"/>
              <w:left w:val="single" w:color="000000" w:sz="4" w:space="0"/>
              <w:bottom w:val="single" w:color="000000" w:sz="4" w:space="0"/>
              <w:right w:val="single" w:color="000000" w:sz="4" w:space="0"/>
            </w:tcBorders>
            <w:noWrap w:val="0"/>
            <w:vAlign w:val="top"/>
          </w:tcPr>
          <w:p w14:paraId="1FB32231">
            <w:pPr>
              <w:pageBreakBefore w:val="0"/>
              <w:kinsoku/>
              <w:overflowPunct/>
              <w:topLinePunct w:val="0"/>
              <w:bidi w:val="0"/>
              <w:adjustRightInd w:val="0"/>
              <w:snapToGrid w:val="0"/>
              <w:spacing w:line="240" w:lineRule="auto"/>
              <w:rPr>
                <w:rFonts w:hint="eastAsia" w:ascii="楷体" w:hAnsi="楷体" w:eastAsia="楷体" w:cs="楷体"/>
                <w:color w:val="000000"/>
                <w:sz w:val="21"/>
                <w:szCs w:val="21"/>
              </w:rPr>
            </w:pPr>
            <w:r>
              <w:rPr>
                <w:rFonts w:hint="eastAsia" w:ascii="楷体" w:hAnsi="楷体" w:eastAsia="楷体" w:cs="楷体"/>
                <w:color w:val="000000"/>
                <w:sz w:val="21"/>
                <w:szCs w:val="21"/>
              </w:rPr>
              <w:t>课程目标3.关注</w:t>
            </w:r>
            <w:r>
              <w:rPr>
                <w:rFonts w:hint="eastAsia" w:ascii="楷体" w:hAnsi="楷体" w:eastAsia="楷体" w:cs="楷体"/>
                <w:color w:val="000000"/>
                <w:sz w:val="21"/>
                <w:szCs w:val="21"/>
                <w:lang w:val="en-US" w:eastAsia="en-US"/>
              </w:rPr>
              <w:t>中</w:t>
            </w:r>
            <w:r>
              <w:rPr>
                <w:rFonts w:hint="eastAsia" w:ascii="楷体" w:hAnsi="楷体" w:eastAsia="楷体" w:cs="楷体"/>
                <w:color w:val="000000"/>
                <w:sz w:val="21"/>
                <w:szCs w:val="21"/>
              </w:rPr>
              <w:t>学</w:t>
            </w:r>
            <w:r>
              <w:rPr>
                <w:rFonts w:hint="eastAsia" w:ascii="楷体" w:hAnsi="楷体" w:eastAsia="楷体" w:cs="楷体"/>
                <w:color w:val="000000"/>
                <w:sz w:val="21"/>
                <w:szCs w:val="21"/>
                <w:lang w:val="en-US" w:eastAsia="en-US"/>
              </w:rPr>
              <w:t>音乐</w:t>
            </w:r>
            <w:r>
              <w:rPr>
                <w:rFonts w:hint="eastAsia" w:ascii="楷体" w:hAnsi="楷体" w:eastAsia="楷体" w:cs="楷体"/>
                <w:color w:val="000000"/>
                <w:sz w:val="21"/>
                <w:szCs w:val="21"/>
              </w:rPr>
              <w:t>教育教学改革发展动态，初步掌握反思方法和技能，具有一定创新意识，运用批判性思维方法，</w:t>
            </w:r>
            <w:r>
              <w:rPr>
                <w:rFonts w:hint="eastAsia" w:ascii="楷体" w:hAnsi="楷体" w:eastAsia="楷体" w:cs="楷体"/>
                <w:color w:val="000000"/>
                <w:sz w:val="21"/>
                <w:szCs w:val="21"/>
                <w:lang w:val="en-US" w:eastAsia="zh-Hans"/>
              </w:rPr>
              <w:t>具有</w:t>
            </w:r>
            <w:r>
              <w:rPr>
                <w:rFonts w:hint="eastAsia" w:ascii="楷体" w:hAnsi="楷体" w:eastAsia="楷体" w:cs="楷体"/>
                <w:color w:val="000000"/>
                <w:sz w:val="21"/>
                <w:szCs w:val="21"/>
              </w:rPr>
              <w:t>分析和解决</w:t>
            </w:r>
            <w:r>
              <w:rPr>
                <w:rFonts w:hint="eastAsia" w:ascii="楷体" w:hAnsi="楷体" w:eastAsia="楷体" w:cs="楷体"/>
                <w:color w:val="000000"/>
                <w:sz w:val="21"/>
                <w:szCs w:val="21"/>
                <w:lang w:val="en-US" w:eastAsia="zh-Hans"/>
              </w:rPr>
              <w:t>毕业论文写作遇到问题的能力</w:t>
            </w:r>
            <w:r>
              <w:rPr>
                <w:rFonts w:hint="eastAsia" w:ascii="楷体" w:hAnsi="楷体" w:eastAsia="楷体" w:cs="楷体"/>
                <w:color w:val="000000"/>
                <w:sz w:val="21"/>
                <w:szCs w:val="21"/>
              </w:rPr>
              <w:t>，</w:t>
            </w:r>
            <w:r>
              <w:rPr>
                <w:rFonts w:hint="eastAsia" w:ascii="楷体" w:hAnsi="楷体" w:eastAsia="楷体" w:cs="楷体"/>
                <w:color w:val="000000"/>
                <w:sz w:val="21"/>
                <w:szCs w:val="21"/>
                <w:lang w:val="en-US" w:eastAsia="en-US"/>
              </w:rPr>
              <w:t>并进行反思改进</w:t>
            </w:r>
            <w:r>
              <w:rPr>
                <w:rFonts w:hint="eastAsia" w:ascii="楷体" w:hAnsi="楷体" w:eastAsia="楷体" w:cs="楷体"/>
                <w:color w:val="000000"/>
                <w:sz w:val="21"/>
                <w:szCs w:val="21"/>
              </w:rPr>
              <w:t>。（支撑毕业要求7.1、7</w:t>
            </w:r>
            <w:r>
              <w:rPr>
                <w:rFonts w:hint="eastAsia" w:ascii="楷体" w:hAnsi="楷体" w:eastAsia="楷体" w:cs="楷体"/>
                <w:color w:val="000000"/>
                <w:sz w:val="21"/>
                <w:szCs w:val="21"/>
                <w:lang w:val="en-US" w:eastAsia="en-US"/>
              </w:rPr>
              <w:t>.</w:t>
            </w:r>
            <w:r>
              <w:rPr>
                <w:rFonts w:hint="eastAsia" w:ascii="楷体" w:hAnsi="楷体" w:eastAsia="楷体" w:cs="楷体"/>
                <w:color w:val="000000"/>
                <w:sz w:val="21"/>
                <w:szCs w:val="21"/>
              </w:rPr>
              <w:t>2）</w:t>
            </w:r>
          </w:p>
        </w:tc>
        <w:tc>
          <w:tcPr>
            <w:tcW w:w="1528" w:type="dxa"/>
            <w:tcBorders>
              <w:top w:val="single" w:color="000000" w:sz="4" w:space="0"/>
              <w:left w:val="single" w:color="000000" w:sz="4" w:space="0"/>
              <w:bottom w:val="single" w:color="000000" w:sz="4" w:space="0"/>
              <w:right w:val="single" w:color="000000" w:sz="4" w:space="0"/>
            </w:tcBorders>
            <w:noWrap w:val="0"/>
            <w:vAlign w:val="top"/>
          </w:tcPr>
          <w:p w14:paraId="3C1DA023">
            <w:pPr>
              <w:pageBreakBefore w:val="0"/>
              <w:widowControl/>
              <w:kinsoku/>
              <w:overflowPunct/>
              <w:topLinePunct w:val="0"/>
              <w:bidi w:val="0"/>
              <w:adjustRightInd w:val="0"/>
              <w:snapToGrid w:val="0"/>
              <w:spacing w:line="240" w:lineRule="auto"/>
              <w:jc w:val="both"/>
              <w:rPr>
                <w:rFonts w:hint="eastAsia" w:ascii="楷体" w:hAnsi="楷体" w:eastAsia="楷体" w:cs="楷体"/>
                <w:bCs/>
                <w:kern w:val="2"/>
                <w:sz w:val="21"/>
                <w:szCs w:val="21"/>
                <w:lang w:bidi="ar-SA"/>
              </w:rPr>
            </w:pPr>
            <w:r>
              <w:rPr>
                <w:rFonts w:hint="eastAsia" w:ascii="楷体" w:hAnsi="楷体" w:eastAsia="楷体" w:cs="楷体"/>
                <w:color w:val="000000"/>
                <w:sz w:val="21"/>
                <w:szCs w:val="21"/>
              </w:rPr>
              <w:t>选题</w:t>
            </w:r>
            <w:r>
              <w:rPr>
                <w:rFonts w:hint="eastAsia" w:ascii="楷体" w:hAnsi="楷体" w:eastAsia="楷体" w:cs="楷体"/>
                <w:color w:val="000000"/>
                <w:sz w:val="21"/>
                <w:szCs w:val="21"/>
                <w:lang w:val="en-US" w:eastAsia="zh-Hans"/>
              </w:rPr>
              <w:t>能够关注中学音乐教育教学改革发展动态</w:t>
            </w:r>
            <w:r>
              <w:rPr>
                <w:rFonts w:hint="default" w:ascii="楷体" w:hAnsi="楷体" w:eastAsia="楷体" w:cs="楷体"/>
                <w:color w:val="000000"/>
                <w:sz w:val="21"/>
                <w:szCs w:val="21"/>
                <w:lang w:eastAsia="zh-Hans"/>
              </w:rPr>
              <w:t>，</w:t>
            </w:r>
            <w:r>
              <w:rPr>
                <w:rFonts w:hint="eastAsia" w:ascii="楷体" w:hAnsi="楷体" w:eastAsia="楷体" w:cs="楷体"/>
                <w:color w:val="000000"/>
                <w:sz w:val="21"/>
                <w:szCs w:val="21"/>
                <w:lang w:val="en-US" w:eastAsia="zh-Hans"/>
              </w:rPr>
              <w:t>具有较强的反思意识</w:t>
            </w:r>
            <w:r>
              <w:rPr>
                <w:rFonts w:hint="eastAsia" w:ascii="楷体" w:hAnsi="楷体" w:eastAsia="楷体" w:cs="楷体"/>
                <w:color w:val="000000"/>
                <w:sz w:val="21"/>
                <w:szCs w:val="21"/>
              </w:rPr>
              <w:t>、</w:t>
            </w:r>
            <w:r>
              <w:rPr>
                <w:rFonts w:hint="eastAsia" w:ascii="楷体" w:hAnsi="楷体" w:eastAsia="楷体" w:cs="楷体"/>
                <w:color w:val="000000"/>
                <w:sz w:val="21"/>
                <w:szCs w:val="21"/>
                <w:lang w:val="en-US" w:eastAsia="zh-Hans"/>
              </w:rPr>
              <w:t>具有较强的</w:t>
            </w:r>
            <w:r>
              <w:rPr>
                <w:rFonts w:hint="eastAsia" w:ascii="楷体" w:hAnsi="楷体" w:eastAsia="楷体" w:cs="楷体"/>
                <w:color w:val="000000"/>
                <w:sz w:val="21"/>
                <w:szCs w:val="21"/>
              </w:rPr>
              <w:t>分析和解决</w:t>
            </w:r>
            <w:r>
              <w:rPr>
                <w:rFonts w:hint="eastAsia" w:ascii="楷体" w:hAnsi="楷体" w:eastAsia="楷体" w:cs="楷体"/>
                <w:color w:val="000000"/>
                <w:sz w:val="21"/>
                <w:szCs w:val="21"/>
                <w:lang w:val="en-US" w:eastAsia="zh-Hans"/>
              </w:rPr>
              <w:t>毕业论文写作遇到问题的能力</w:t>
            </w:r>
            <w:r>
              <w:rPr>
                <w:rFonts w:hint="default" w:ascii="楷体" w:hAnsi="楷体" w:eastAsia="楷体" w:cs="楷体"/>
                <w:color w:val="000000"/>
                <w:sz w:val="21"/>
                <w:szCs w:val="21"/>
                <w:lang w:eastAsia="zh-Hans"/>
              </w:rPr>
              <w:t>，</w:t>
            </w:r>
            <w:r>
              <w:rPr>
                <w:rFonts w:hint="eastAsia" w:ascii="楷体" w:hAnsi="楷体" w:eastAsia="楷体" w:cs="楷体"/>
                <w:color w:val="000000"/>
                <w:sz w:val="21"/>
                <w:szCs w:val="21"/>
              </w:rPr>
              <w:t>论述观点具有很强的创新性。</w:t>
            </w:r>
          </w:p>
        </w:tc>
        <w:tc>
          <w:tcPr>
            <w:tcW w:w="1539" w:type="dxa"/>
            <w:tcBorders>
              <w:top w:val="single" w:color="000000" w:sz="4" w:space="0"/>
              <w:left w:val="single" w:color="000000" w:sz="4" w:space="0"/>
              <w:bottom w:val="single" w:color="000000" w:sz="4" w:space="0"/>
              <w:right w:val="single" w:color="000000" w:sz="4" w:space="0"/>
            </w:tcBorders>
            <w:noWrap w:val="0"/>
            <w:vAlign w:val="top"/>
          </w:tcPr>
          <w:p w14:paraId="6E741312">
            <w:pPr>
              <w:pageBreakBefore w:val="0"/>
              <w:widowControl/>
              <w:kinsoku/>
              <w:overflowPunct/>
              <w:topLinePunct w:val="0"/>
              <w:bidi w:val="0"/>
              <w:adjustRightInd w:val="0"/>
              <w:snapToGrid w:val="0"/>
              <w:spacing w:line="240" w:lineRule="auto"/>
              <w:jc w:val="both"/>
              <w:rPr>
                <w:rFonts w:hint="eastAsia" w:ascii="楷体" w:hAnsi="楷体" w:eastAsia="楷体" w:cs="楷体"/>
                <w:bCs/>
                <w:kern w:val="2"/>
                <w:sz w:val="21"/>
                <w:szCs w:val="21"/>
                <w:lang w:bidi="ar-SA"/>
              </w:rPr>
            </w:pPr>
            <w:r>
              <w:rPr>
                <w:rFonts w:hint="eastAsia" w:ascii="楷体" w:hAnsi="楷体" w:eastAsia="楷体" w:cs="楷体"/>
                <w:color w:val="000000"/>
                <w:sz w:val="21"/>
                <w:szCs w:val="21"/>
              </w:rPr>
              <w:t>选题</w:t>
            </w:r>
            <w:r>
              <w:rPr>
                <w:rFonts w:hint="eastAsia" w:ascii="楷体" w:hAnsi="楷体" w:eastAsia="楷体" w:cs="楷体"/>
                <w:color w:val="000000"/>
                <w:sz w:val="21"/>
                <w:szCs w:val="21"/>
                <w:lang w:val="en-US" w:eastAsia="zh-Hans"/>
              </w:rPr>
              <w:t>能够关注中学音乐教育教学改革发展动态</w:t>
            </w:r>
            <w:r>
              <w:rPr>
                <w:rFonts w:hint="default" w:ascii="楷体" w:hAnsi="楷体" w:eastAsia="楷体" w:cs="楷体"/>
                <w:color w:val="000000"/>
                <w:sz w:val="21"/>
                <w:szCs w:val="21"/>
                <w:lang w:eastAsia="zh-Hans"/>
              </w:rPr>
              <w:t>，</w:t>
            </w:r>
            <w:r>
              <w:rPr>
                <w:rFonts w:hint="eastAsia" w:ascii="楷体" w:hAnsi="楷体" w:eastAsia="楷体" w:cs="楷体"/>
                <w:color w:val="000000"/>
                <w:sz w:val="21"/>
                <w:szCs w:val="21"/>
                <w:lang w:val="en-US" w:eastAsia="zh-Hans"/>
              </w:rPr>
              <w:t>具有较强的反思意识</w:t>
            </w:r>
            <w:r>
              <w:rPr>
                <w:rFonts w:hint="eastAsia" w:ascii="楷体" w:hAnsi="楷体" w:eastAsia="楷体" w:cs="楷体"/>
                <w:color w:val="000000"/>
                <w:sz w:val="21"/>
                <w:szCs w:val="21"/>
              </w:rPr>
              <w:t>、</w:t>
            </w:r>
            <w:r>
              <w:rPr>
                <w:rFonts w:hint="eastAsia" w:ascii="楷体" w:hAnsi="楷体" w:eastAsia="楷体" w:cs="楷体"/>
                <w:color w:val="000000"/>
                <w:sz w:val="21"/>
                <w:szCs w:val="21"/>
                <w:lang w:val="en-US" w:eastAsia="zh-Hans"/>
              </w:rPr>
              <w:t>具有良好的</w:t>
            </w:r>
            <w:r>
              <w:rPr>
                <w:rFonts w:hint="eastAsia" w:ascii="楷体" w:hAnsi="楷体" w:eastAsia="楷体" w:cs="楷体"/>
                <w:color w:val="000000"/>
                <w:sz w:val="21"/>
                <w:szCs w:val="21"/>
              </w:rPr>
              <w:t>分析和解决</w:t>
            </w:r>
            <w:r>
              <w:rPr>
                <w:rFonts w:hint="eastAsia" w:ascii="楷体" w:hAnsi="楷体" w:eastAsia="楷体" w:cs="楷体"/>
                <w:color w:val="000000"/>
                <w:sz w:val="21"/>
                <w:szCs w:val="21"/>
                <w:lang w:val="en-US" w:eastAsia="zh-Hans"/>
              </w:rPr>
              <w:t>毕业论文写作遇到问题的能力</w:t>
            </w:r>
            <w:r>
              <w:rPr>
                <w:rFonts w:hint="default" w:ascii="楷体" w:hAnsi="楷体" w:eastAsia="楷体" w:cs="楷体"/>
                <w:color w:val="000000"/>
                <w:sz w:val="21"/>
                <w:szCs w:val="21"/>
                <w:lang w:eastAsia="zh-Hans"/>
              </w:rPr>
              <w:t>，</w:t>
            </w:r>
            <w:r>
              <w:rPr>
                <w:rFonts w:hint="eastAsia" w:ascii="楷体" w:hAnsi="楷体" w:eastAsia="楷体" w:cs="楷体"/>
                <w:color w:val="000000"/>
                <w:sz w:val="21"/>
                <w:szCs w:val="21"/>
              </w:rPr>
              <w:t>论述观点具有</w:t>
            </w:r>
            <w:r>
              <w:rPr>
                <w:rFonts w:hint="eastAsia" w:ascii="楷体" w:hAnsi="楷体" w:eastAsia="楷体" w:cs="楷体"/>
                <w:color w:val="000000"/>
                <w:sz w:val="21"/>
                <w:szCs w:val="21"/>
                <w:lang w:val="en-US" w:eastAsia="zh-Hans"/>
              </w:rPr>
              <w:t>较</w:t>
            </w:r>
            <w:r>
              <w:rPr>
                <w:rFonts w:hint="eastAsia" w:ascii="楷体" w:hAnsi="楷体" w:eastAsia="楷体" w:cs="楷体"/>
                <w:color w:val="000000"/>
                <w:sz w:val="21"/>
                <w:szCs w:val="21"/>
              </w:rPr>
              <w:t>强的创新性。</w:t>
            </w:r>
          </w:p>
        </w:tc>
        <w:tc>
          <w:tcPr>
            <w:tcW w:w="1517" w:type="dxa"/>
            <w:tcBorders>
              <w:top w:val="single" w:color="000000" w:sz="4" w:space="0"/>
              <w:left w:val="single" w:color="000000" w:sz="4" w:space="0"/>
              <w:bottom w:val="single" w:color="000000" w:sz="4" w:space="0"/>
              <w:right w:val="single" w:color="000000" w:sz="4" w:space="0"/>
            </w:tcBorders>
            <w:noWrap w:val="0"/>
            <w:vAlign w:val="top"/>
          </w:tcPr>
          <w:p w14:paraId="3FDE5E17">
            <w:pPr>
              <w:pageBreakBefore w:val="0"/>
              <w:widowControl/>
              <w:kinsoku/>
              <w:overflowPunct/>
              <w:topLinePunct w:val="0"/>
              <w:bidi w:val="0"/>
              <w:adjustRightInd w:val="0"/>
              <w:snapToGrid w:val="0"/>
              <w:spacing w:line="240" w:lineRule="auto"/>
              <w:jc w:val="both"/>
              <w:rPr>
                <w:rFonts w:hint="eastAsia" w:ascii="楷体" w:hAnsi="楷体" w:eastAsia="楷体" w:cs="楷体"/>
                <w:bCs/>
                <w:kern w:val="2"/>
                <w:sz w:val="21"/>
                <w:szCs w:val="21"/>
                <w:lang w:bidi="ar-SA"/>
              </w:rPr>
            </w:pPr>
            <w:r>
              <w:rPr>
                <w:rFonts w:hint="eastAsia" w:ascii="楷体" w:hAnsi="楷体" w:eastAsia="楷体" w:cs="楷体"/>
                <w:color w:val="000000"/>
                <w:sz w:val="21"/>
                <w:szCs w:val="21"/>
              </w:rPr>
              <w:t>选题</w:t>
            </w:r>
            <w:r>
              <w:rPr>
                <w:rFonts w:hint="eastAsia" w:ascii="楷体" w:hAnsi="楷体" w:eastAsia="楷体" w:cs="楷体"/>
                <w:color w:val="000000"/>
                <w:sz w:val="21"/>
                <w:szCs w:val="21"/>
                <w:lang w:val="en-US" w:eastAsia="zh-Hans"/>
              </w:rPr>
              <w:t>能够关注中学音乐教育教学改革发展动态</w:t>
            </w:r>
            <w:r>
              <w:rPr>
                <w:rFonts w:hint="default" w:ascii="楷体" w:hAnsi="楷体" w:eastAsia="楷体" w:cs="楷体"/>
                <w:color w:val="000000"/>
                <w:sz w:val="21"/>
                <w:szCs w:val="21"/>
                <w:lang w:eastAsia="zh-Hans"/>
              </w:rPr>
              <w:t>，</w:t>
            </w:r>
            <w:r>
              <w:rPr>
                <w:rFonts w:hint="eastAsia" w:ascii="楷体" w:hAnsi="楷体" w:eastAsia="楷体" w:cs="楷体"/>
                <w:color w:val="000000"/>
                <w:sz w:val="21"/>
                <w:szCs w:val="21"/>
                <w:lang w:val="en-US" w:eastAsia="zh-Hans"/>
              </w:rPr>
              <w:t>具有一定的反思意识</w:t>
            </w:r>
            <w:r>
              <w:rPr>
                <w:rFonts w:hint="eastAsia" w:ascii="楷体" w:hAnsi="楷体" w:eastAsia="楷体" w:cs="楷体"/>
                <w:color w:val="000000"/>
                <w:sz w:val="21"/>
                <w:szCs w:val="21"/>
              </w:rPr>
              <w:t>、</w:t>
            </w:r>
            <w:r>
              <w:rPr>
                <w:rFonts w:hint="eastAsia" w:ascii="楷体" w:hAnsi="楷体" w:eastAsia="楷体" w:cs="楷体"/>
                <w:color w:val="000000"/>
                <w:sz w:val="21"/>
                <w:szCs w:val="21"/>
                <w:lang w:val="en-US" w:eastAsia="zh-Hans"/>
              </w:rPr>
              <w:t>具有</w:t>
            </w:r>
            <w:r>
              <w:rPr>
                <w:rFonts w:hint="eastAsia" w:ascii="楷体" w:hAnsi="楷体" w:eastAsia="楷体" w:cs="楷体"/>
                <w:color w:val="000000"/>
                <w:sz w:val="21"/>
                <w:szCs w:val="21"/>
              </w:rPr>
              <w:t>分析和解决</w:t>
            </w:r>
            <w:r>
              <w:rPr>
                <w:rFonts w:hint="eastAsia" w:ascii="楷体" w:hAnsi="楷体" w:eastAsia="楷体" w:cs="楷体"/>
                <w:color w:val="000000"/>
                <w:sz w:val="21"/>
                <w:szCs w:val="21"/>
                <w:lang w:val="en-US" w:eastAsia="zh-Hans"/>
              </w:rPr>
              <w:t>毕业论文写作遇到问题的一般能力</w:t>
            </w:r>
            <w:r>
              <w:rPr>
                <w:rFonts w:hint="default" w:ascii="楷体" w:hAnsi="楷体" w:eastAsia="楷体" w:cs="楷体"/>
                <w:color w:val="000000"/>
                <w:sz w:val="21"/>
                <w:szCs w:val="21"/>
                <w:lang w:eastAsia="zh-Hans"/>
              </w:rPr>
              <w:t>，</w:t>
            </w:r>
            <w:r>
              <w:rPr>
                <w:rFonts w:hint="eastAsia" w:ascii="楷体" w:hAnsi="楷体" w:eastAsia="楷体" w:cs="楷体"/>
                <w:color w:val="000000"/>
                <w:sz w:val="21"/>
                <w:szCs w:val="21"/>
              </w:rPr>
              <w:t>论述观点具有</w:t>
            </w:r>
            <w:r>
              <w:rPr>
                <w:rFonts w:hint="eastAsia" w:ascii="楷体" w:hAnsi="楷体" w:eastAsia="楷体" w:cs="楷体"/>
                <w:color w:val="000000"/>
                <w:sz w:val="21"/>
                <w:szCs w:val="21"/>
                <w:lang w:val="en-US" w:eastAsia="zh-Hans"/>
              </w:rPr>
              <w:t>一定</w:t>
            </w:r>
            <w:r>
              <w:rPr>
                <w:rFonts w:hint="eastAsia" w:ascii="楷体" w:hAnsi="楷体" w:eastAsia="楷体" w:cs="楷体"/>
                <w:color w:val="000000"/>
                <w:sz w:val="21"/>
                <w:szCs w:val="21"/>
              </w:rPr>
              <w:t>的创新性。</w:t>
            </w:r>
          </w:p>
        </w:tc>
        <w:tc>
          <w:tcPr>
            <w:tcW w:w="1461" w:type="dxa"/>
            <w:tcBorders>
              <w:top w:val="single" w:color="000000" w:sz="4" w:space="0"/>
              <w:left w:val="single" w:color="000000" w:sz="4" w:space="0"/>
              <w:bottom w:val="single" w:color="000000" w:sz="4" w:space="0"/>
              <w:right w:val="single" w:color="000000" w:sz="4" w:space="0"/>
            </w:tcBorders>
            <w:noWrap w:val="0"/>
            <w:vAlign w:val="top"/>
          </w:tcPr>
          <w:p w14:paraId="4F9B0FDC">
            <w:pPr>
              <w:pageBreakBefore w:val="0"/>
              <w:widowControl/>
              <w:kinsoku/>
              <w:overflowPunct/>
              <w:topLinePunct w:val="0"/>
              <w:bidi w:val="0"/>
              <w:adjustRightInd w:val="0"/>
              <w:snapToGrid w:val="0"/>
              <w:spacing w:line="240" w:lineRule="auto"/>
              <w:jc w:val="both"/>
              <w:rPr>
                <w:rFonts w:hint="eastAsia" w:ascii="楷体" w:hAnsi="楷体" w:eastAsia="楷体" w:cs="楷体"/>
                <w:bCs/>
                <w:kern w:val="2"/>
                <w:sz w:val="21"/>
                <w:szCs w:val="21"/>
                <w:lang w:bidi="ar-SA"/>
              </w:rPr>
            </w:pPr>
            <w:r>
              <w:rPr>
                <w:rFonts w:hint="eastAsia" w:ascii="楷体" w:hAnsi="楷体" w:eastAsia="楷体" w:cs="楷体"/>
                <w:color w:val="000000"/>
                <w:sz w:val="21"/>
                <w:szCs w:val="21"/>
              </w:rPr>
              <w:t>选题</w:t>
            </w:r>
            <w:r>
              <w:rPr>
                <w:rFonts w:hint="eastAsia" w:ascii="楷体" w:hAnsi="楷体" w:eastAsia="楷体" w:cs="楷体"/>
                <w:color w:val="000000"/>
                <w:sz w:val="21"/>
                <w:szCs w:val="21"/>
                <w:lang w:val="en-US" w:eastAsia="zh-Hans"/>
              </w:rPr>
              <w:t>对中学音乐教育教学改革发展动态关注不足</w:t>
            </w:r>
            <w:r>
              <w:rPr>
                <w:rFonts w:hint="default" w:ascii="楷体" w:hAnsi="楷体" w:eastAsia="楷体" w:cs="楷体"/>
                <w:color w:val="000000"/>
                <w:sz w:val="21"/>
                <w:szCs w:val="21"/>
                <w:lang w:eastAsia="zh-Hans"/>
              </w:rPr>
              <w:t>，</w:t>
            </w:r>
            <w:r>
              <w:rPr>
                <w:rFonts w:hint="eastAsia" w:ascii="楷体" w:hAnsi="楷体" w:eastAsia="楷体" w:cs="楷体"/>
                <w:color w:val="000000"/>
                <w:sz w:val="21"/>
                <w:szCs w:val="21"/>
                <w:lang w:val="en-US" w:eastAsia="zh-Hans"/>
              </w:rPr>
              <w:t>具有一定的反思意识</w:t>
            </w:r>
            <w:r>
              <w:rPr>
                <w:rFonts w:hint="eastAsia" w:ascii="楷体" w:hAnsi="楷体" w:eastAsia="楷体" w:cs="楷体"/>
                <w:color w:val="000000"/>
                <w:sz w:val="21"/>
                <w:szCs w:val="21"/>
              </w:rPr>
              <w:t>、</w:t>
            </w:r>
            <w:r>
              <w:rPr>
                <w:rFonts w:hint="eastAsia" w:ascii="楷体" w:hAnsi="楷体" w:eastAsia="楷体" w:cs="楷体"/>
                <w:color w:val="000000"/>
                <w:sz w:val="21"/>
                <w:szCs w:val="21"/>
                <w:lang w:val="en-US" w:eastAsia="zh-Hans"/>
              </w:rPr>
              <w:t>具有</w:t>
            </w:r>
            <w:r>
              <w:rPr>
                <w:rFonts w:hint="eastAsia" w:ascii="楷体" w:hAnsi="楷体" w:eastAsia="楷体" w:cs="楷体"/>
                <w:color w:val="000000"/>
                <w:sz w:val="21"/>
                <w:szCs w:val="21"/>
              </w:rPr>
              <w:t>分析和解决</w:t>
            </w:r>
            <w:r>
              <w:rPr>
                <w:rFonts w:hint="eastAsia" w:ascii="楷体" w:hAnsi="楷体" w:eastAsia="楷体" w:cs="楷体"/>
                <w:color w:val="000000"/>
                <w:sz w:val="21"/>
                <w:szCs w:val="21"/>
                <w:lang w:val="en-US" w:eastAsia="zh-Hans"/>
              </w:rPr>
              <w:t>毕业论文写作遇到问题的一般能力</w:t>
            </w:r>
            <w:r>
              <w:rPr>
                <w:rFonts w:hint="default" w:ascii="楷体" w:hAnsi="楷体" w:eastAsia="楷体" w:cs="楷体"/>
                <w:color w:val="000000"/>
                <w:sz w:val="21"/>
                <w:szCs w:val="21"/>
                <w:lang w:eastAsia="zh-Hans"/>
              </w:rPr>
              <w:t>，</w:t>
            </w:r>
            <w:r>
              <w:rPr>
                <w:rFonts w:hint="eastAsia" w:ascii="楷体" w:hAnsi="楷体" w:eastAsia="楷体" w:cs="楷体"/>
                <w:color w:val="000000"/>
                <w:sz w:val="21"/>
                <w:szCs w:val="21"/>
              </w:rPr>
              <w:t>论述观点具有创新性</w:t>
            </w:r>
            <w:r>
              <w:rPr>
                <w:rFonts w:hint="eastAsia" w:ascii="楷体" w:hAnsi="楷体" w:eastAsia="楷体" w:cs="楷体"/>
                <w:color w:val="000000"/>
                <w:sz w:val="21"/>
                <w:szCs w:val="21"/>
                <w:lang w:val="en-US" w:eastAsia="zh-Hans"/>
              </w:rPr>
              <w:t>一般</w:t>
            </w:r>
            <w:r>
              <w:rPr>
                <w:rFonts w:hint="eastAsia" w:ascii="楷体" w:hAnsi="楷体" w:eastAsia="楷体" w:cs="楷体"/>
                <w:color w:val="000000"/>
                <w:sz w:val="21"/>
                <w:szCs w:val="21"/>
              </w:rPr>
              <w:t>。。</w:t>
            </w:r>
          </w:p>
        </w:tc>
        <w:tc>
          <w:tcPr>
            <w:tcW w:w="1446" w:type="dxa"/>
            <w:tcBorders>
              <w:top w:val="single" w:color="000000" w:sz="4" w:space="0"/>
              <w:left w:val="single" w:color="000000" w:sz="4" w:space="0"/>
              <w:bottom w:val="single" w:color="000000" w:sz="4" w:space="0"/>
              <w:right w:val="single" w:color="000000" w:sz="4" w:space="0"/>
            </w:tcBorders>
            <w:noWrap w:val="0"/>
            <w:vAlign w:val="top"/>
          </w:tcPr>
          <w:p w14:paraId="1B2D9709">
            <w:pPr>
              <w:pageBreakBefore w:val="0"/>
              <w:widowControl/>
              <w:kinsoku/>
              <w:overflowPunct/>
              <w:topLinePunct w:val="0"/>
              <w:bidi w:val="0"/>
              <w:adjustRightInd w:val="0"/>
              <w:snapToGrid w:val="0"/>
              <w:spacing w:line="240" w:lineRule="auto"/>
              <w:jc w:val="both"/>
              <w:rPr>
                <w:rFonts w:hint="eastAsia" w:ascii="楷体" w:hAnsi="楷体" w:eastAsia="楷体" w:cs="楷体"/>
                <w:bCs/>
                <w:kern w:val="2"/>
                <w:sz w:val="21"/>
                <w:szCs w:val="21"/>
                <w:lang w:bidi="ar-SA"/>
              </w:rPr>
            </w:pPr>
            <w:r>
              <w:rPr>
                <w:rFonts w:hint="eastAsia" w:ascii="楷体" w:hAnsi="楷体" w:eastAsia="楷体" w:cs="楷体"/>
                <w:color w:val="000000"/>
                <w:sz w:val="21"/>
                <w:szCs w:val="21"/>
              </w:rPr>
              <w:t>选题</w:t>
            </w:r>
            <w:r>
              <w:rPr>
                <w:rFonts w:hint="eastAsia" w:ascii="楷体" w:hAnsi="楷体" w:eastAsia="楷体" w:cs="楷体"/>
                <w:color w:val="000000"/>
                <w:sz w:val="21"/>
                <w:szCs w:val="21"/>
                <w:lang w:val="en-US" w:eastAsia="zh-Hans"/>
              </w:rPr>
              <w:t>对中学音乐教育教学改革发展动态关注不足</w:t>
            </w:r>
            <w:r>
              <w:rPr>
                <w:rFonts w:hint="default" w:ascii="楷体" w:hAnsi="楷体" w:eastAsia="楷体" w:cs="楷体"/>
                <w:color w:val="000000"/>
                <w:sz w:val="21"/>
                <w:szCs w:val="21"/>
                <w:lang w:eastAsia="zh-Hans"/>
              </w:rPr>
              <w:t>，</w:t>
            </w:r>
            <w:r>
              <w:rPr>
                <w:rFonts w:hint="eastAsia" w:ascii="楷体" w:hAnsi="楷体" w:eastAsia="楷体" w:cs="楷体"/>
                <w:color w:val="000000"/>
                <w:sz w:val="21"/>
                <w:szCs w:val="21"/>
                <w:lang w:val="en-US" w:eastAsia="zh-Hans"/>
              </w:rPr>
              <w:t>不具有反思意识</w:t>
            </w:r>
            <w:r>
              <w:rPr>
                <w:rFonts w:hint="eastAsia" w:ascii="楷体" w:hAnsi="楷体" w:eastAsia="楷体" w:cs="楷体"/>
                <w:color w:val="000000"/>
                <w:sz w:val="21"/>
                <w:szCs w:val="21"/>
              </w:rPr>
              <w:t>、</w:t>
            </w:r>
            <w:r>
              <w:rPr>
                <w:rFonts w:hint="eastAsia" w:ascii="楷体" w:hAnsi="楷体" w:eastAsia="楷体" w:cs="楷体"/>
                <w:color w:val="000000"/>
                <w:sz w:val="21"/>
                <w:szCs w:val="21"/>
                <w:lang w:val="en-US" w:eastAsia="zh-Hans"/>
              </w:rPr>
              <w:t>不具有</w:t>
            </w:r>
            <w:r>
              <w:rPr>
                <w:rFonts w:hint="eastAsia" w:ascii="楷体" w:hAnsi="楷体" w:eastAsia="楷体" w:cs="楷体"/>
                <w:color w:val="000000"/>
                <w:sz w:val="21"/>
                <w:szCs w:val="21"/>
              </w:rPr>
              <w:t>分析和解决</w:t>
            </w:r>
            <w:r>
              <w:rPr>
                <w:rFonts w:hint="eastAsia" w:ascii="楷体" w:hAnsi="楷体" w:eastAsia="楷体" w:cs="楷体"/>
                <w:color w:val="000000"/>
                <w:sz w:val="21"/>
                <w:szCs w:val="21"/>
                <w:lang w:val="en-US" w:eastAsia="zh-Hans"/>
              </w:rPr>
              <w:t>毕业论文写作遇到问题的能力</w:t>
            </w:r>
            <w:r>
              <w:rPr>
                <w:rFonts w:hint="default" w:ascii="楷体" w:hAnsi="楷体" w:eastAsia="楷体" w:cs="楷体"/>
                <w:color w:val="000000"/>
                <w:sz w:val="21"/>
                <w:szCs w:val="21"/>
                <w:lang w:eastAsia="zh-Hans"/>
              </w:rPr>
              <w:t>，</w:t>
            </w:r>
            <w:r>
              <w:rPr>
                <w:rFonts w:hint="eastAsia" w:ascii="楷体" w:hAnsi="楷体" w:eastAsia="楷体" w:cs="楷体"/>
                <w:color w:val="000000"/>
                <w:sz w:val="21"/>
                <w:szCs w:val="21"/>
              </w:rPr>
              <w:t>论述观点</w:t>
            </w:r>
            <w:r>
              <w:rPr>
                <w:rFonts w:hint="eastAsia" w:ascii="楷体" w:hAnsi="楷体" w:eastAsia="楷体" w:cs="楷体"/>
                <w:color w:val="000000"/>
                <w:sz w:val="21"/>
                <w:szCs w:val="21"/>
                <w:lang w:val="en-US" w:eastAsia="zh-Hans"/>
              </w:rPr>
              <w:t>不</w:t>
            </w:r>
            <w:r>
              <w:rPr>
                <w:rFonts w:hint="eastAsia" w:ascii="楷体" w:hAnsi="楷体" w:eastAsia="楷体" w:cs="楷体"/>
                <w:color w:val="000000"/>
                <w:sz w:val="21"/>
                <w:szCs w:val="21"/>
              </w:rPr>
              <w:t>具有创新性。</w:t>
            </w:r>
          </w:p>
        </w:tc>
      </w:tr>
      <w:tr w14:paraId="716FAFDB">
        <w:trPr>
          <w:trHeight w:val="624" w:hRule="atLeast"/>
        </w:trPr>
        <w:tc>
          <w:tcPr>
            <w:tcW w:w="1720" w:type="dxa"/>
            <w:tcBorders>
              <w:top w:val="single" w:color="000000" w:sz="4" w:space="0"/>
              <w:left w:val="single" w:color="000000" w:sz="4" w:space="0"/>
              <w:bottom w:val="single" w:color="000000" w:sz="4" w:space="0"/>
              <w:right w:val="single" w:color="000000" w:sz="4" w:space="0"/>
            </w:tcBorders>
            <w:noWrap w:val="0"/>
            <w:vAlign w:val="top"/>
          </w:tcPr>
          <w:p w14:paraId="38DF093C">
            <w:pPr>
              <w:pageBreakBefore w:val="0"/>
              <w:kinsoku/>
              <w:overflowPunct/>
              <w:topLinePunct w:val="0"/>
              <w:bidi w:val="0"/>
              <w:adjustRightInd w:val="0"/>
              <w:snapToGrid w:val="0"/>
              <w:spacing w:line="240" w:lineRule="auto"/>
              <w:rPr>
                <w:rFonts w:hint="eastAsia" w:ascii="楷体" w:hAnsi="楷体" w:eastAsia="楷体" w:cs="楷体"/>
                <w:color w:val="000000"/>
                <w:sz w:val="21"/>
                <w:szCs w:val="21"/>
              </w:rPr>
            </w:pPr>
            <w:r>
              <w:rPr>
                <w:rFonts w:hint="eastAsia" w:ascii="楷体" w:hAnsi="楷体" w:eastAsia="楷体" w:cs="楷体"/>
                <w:color w:val="000000"/>
                <w:sz w:val="21"/>
                <w:szCs w:val="21"/>
              </w:rPr>
              <w:t>课程目标4.</w:t>
            </w:r>
            <w:r>
              <w:rPr>
                <w:rFonts w:hint="eastAsia" w:ascii="楷体" w:hAnsi="楷体" w:eastAsia="楷体" w:cs="楷体"/>
                <w:color w:val="000000"/>
                <w:sz w:val="21"/>
                <w:szCs w:val="21"/>
                <w:lang w:val="en-US" w:eastAsia="zh-Hans"/>
              </w:rPr>
              <w:t>能够</w:t>
            </w:r>
            <w:r>
              <w:rPr>
                <w:rFonts w:hint="eastAsia" w:ascii="楷体" w:hAnsi="楷体" w:eastAsia="楷体" w:cs="楷体"/>
                <w:color w:val="000000"/>
                <w:sz w:val="21"/>
                <w:szCs w:val="21"/>
                <w:lang w:val="en-US" w:eastAsia="en-US"/>
              </w:rPr>
              <w:t>理解学习共同体的作用</w:t>
            </w:r>
            <w:r>
              <w:rPr>
                <w:rFonts w:hint="eastAsia" w:ascii="楷体" w:hAnsi="楷体" w:eastAsia="楷体" w:cs="楷体"/>
                <w:color w:val="000000"/>
                <w:sz w:val="21"/>
                <w:szCs w:val="21"/>
              </w:rPr>
              <w:t>，</w:t>
            </w:r>
            <w:r>
              <w:rPr>
                <w:rFonts w:hint="eastAsia" w:ascii="楷体" w:hAnsi="楷体" w:eastAsia="楷体" w:cs="楷体"/>
                <w:color w:val="000000"/>
                <w:sz w:val="21"/>
                <w:szCs w:val="21"/>
                <w:lang w:val="en-US" w:eastAsia="en-US"/>
              </w:rPr>
              <w:t>掌握沟通交流的方式方法</w:t>
            </w:r>
            <w:r>
              <w:rPr>
                <w:rFonts w:hint="eastAsia" w:ascii="楷体" w:hAnsi="楷体" w:eastAsia="楷体" w:cs="楷体"/>
                <w:color w:val="000000"/>
                <w:sz w:val="21"/>
                <w:szCs w:val="21"/>
              </w:rPr>
              <w:t>，</w:t>
            </w:r>
            <w:r>
              <w:rPr>
                <w:rFonts w:hint="eastAsia" w:ascii="楷体" w:hAnsi="楷体" w:eastAsia="楷体" w:cs="楷体"/>
                <w:color w:val="000000"/>
                <w:sz w:val="21"/>
                <w:szCs w:val="21"/>
                <w:lang w:val="en-US" w:eastAsia="zh-Hans"/>
              </w:rPr>
              <w:t>能够与指导教师就毕业论文相关问题进行有效沟通与探讨</w:t>
            </w:r>
            <w:r>
              <w:rPr>
                <w:rFonts w:hint="default" w:ascii="楷体" w:hAnsi="楷体" w:eastAsia="楷体" w:cs="楷体"/>
                <w:color w:val="000000"/>
                <w:sz w:val="21"/>
                <w:szCs w:val="21"/>
                <w:lang w:eastAsia="zh-Hans"/>
              </w:rPr>
              <w:t>，</w:t>
            </w:r>
            <w:r>
              <w:rPr>
                <w:rFonts w:hint="eastAsia" w:ascii="楷体" w:hAnsi="楷体" w:eastAsia="楷体" w:cs="楷体"/>
                <w:color w:val="000000"/>
                <w:sz w:val="21"/>
                <w:szCs w:val="21"/>
                <w:lang w:val="en-US" w:eastAsia="zh-Hans"/>
              </w:rPr>
              <w:t>听取意见及时改进</w:t>
            </w:r>
            <w:r>
              <w:rPr>
                <w:rFonts w:hint="eastAsia" w:ascii="楷体" w:hAnsi="楷体" w:eastAsia="楷体" w:cs="楷体"/>
                <w:color w:val="000000"/>
                <w:sz w:val="21"/>
                <w:szCs w:val="21"/>
              </w:rPr>
              <w:t>。（支撑毕业要求8.1、8</w:t>
            </w:r>
            <w:r>
              <w:rPr>
                <w:rFonts w:hint="eastAsia" w:ascii="楷体" w:hAnsi="楷体" w:eastAsia="楷体" w:cs="楷体"/>
                <w:color w:val="000000"/>
                <w:sz w:val="21"/>
                <w:szCs w:val="21"/>
                <w:lang w:val="en-US" w:eastAsia="en-US"/>
              </w:rPr>
              <w:t>.</w:t>
            </w:r>
            <w:r>
              <w:rPr>
                <w:rFonts w:hint="eastAsia" w:ascii="楷体" w:hAnsi="楷体" w:eastAsia="楷体" w:cs="楷体"/>
                <w:color w:val="000000"/>
                <w:sz w:val="21"/>
                <w:szCs w:val="21"/>
              </w:rPr>
              <w:t>2）</w:t>
            </w:r>
          </w:p>
        </w:tc>
        <w:tc>
          <w:tcPr>
            <w:tcW w:w="1528" w:type="dxa"/>
            <w:tcBorders>
              <w:top w:val="single" w:color="000000" w:sz="4" w:space="0"/>
              <w:left w:val="single" w:color="000000" w:sz="4" w:space="0"/>
              <w:bottom w:val="single" w:color="000000" w:sz="4" w:space="0"/>
              <w:right w:val="single" w:color="000000" w:sz="4" w:space="0"/>
            </w:tcBorders>
            <w:noWrap w:val="0"/>
            <w:vAlign w:val="center"/>
          </w:tcPr>
          <w:p w14:paraId="66A47717">
            <w:pPr>
              <w:pageBreakBefore w:val="0"/>
              <w:kinsoku/>
              <w:overflowPunct/>
              <w:topLinePunct w:val="0"/>
              <w:bidi w:val="0"/>
              <w:adjustRightInd w:val="0"/>
              <w:snapToGrid w:val="0"/>
              <w:spacing w:line="240" w:lineRule="auto"/>
              <w:rPr>
                <w:rFonts w:hint="default" w:ascii="楷体" w:hAnsi="楷体" w:eastAsia="楷体" w:cs="楷体"/>
                <w:bCs/>
                <w:kern w:val="2"/>
                <w:sz w:val="21"/>
                <w:szCs w:val="21"/>
                <w:lang w:val="en-US" w:eastAsia="zh-Hans" w:bidi="ar-SA"/>
              </w:rPr>
            </w:pPr>
            <w:r>
              <w:rPr>
                <w:rFonts w:hint="eastAsia" w:ascii="楷体" w:hAnsi="楷体" w:eastAsia="楷体" w:cs="楷体"/>
                <w:color w:val="000000"/>
                <w:sz w:val="21"/>
                <w:szCs w:val="21"/>
                <w:lang w:val="en-US" w:eastAsia="zh-Hans"/>
              </w:rPr>
              <w:t>熟练掌握沟通交流的方式方法</w:t>
            </w:r>
            <w:r>
              <w:rPr>
                <w:rFonts w:hint="default" w:ascii="楷体" w:hAnsi="楷体" w:eastAsia="楷体" w:cs="楷体"/>
                <w:color w:val="000000"/>
                <w:sz w:val="21"/>
                <w:szCs w:val="21"/>
                <w:lang w:eastAsia="zh-Hans"/>
              </w:rPr>
              <w:t>，</w:t>
            </w:r>
            <w:r>
              <w:rPr>
                <w:rFonts w:hint="eastAsia" w:ascii="楷体" w:hAnsi="楷体" w:eastAsia="楷体" w:cs="楷体"/>
                <w:color w:val="000000"/>
                <w:sz w:val="21"/>
                <w:szCs w:val="21"/>
                <w:lang w:val="en-US" w:eastAsia="zh-Hans"/>
              </w:rPr>
              <w:t>具有较强的团队合作精神</w:t>
            </w:r>
            <w:r>
              <w:rPr>
                <w:rFonts w:hint="default" w:ascii="楷体" w:hAnsi="楷体" w:eastAsia="楷体" w:cs="楷体"/>
                <w:color w:val="000000"/>
                <w:sz w:val="21"/>
                <w:szCs w:val="21"/>
                <w:lang w:eastAsia="zh-Hans"/>
              </w:rPr>
              <w:t>，</w:t>
            </w:r>
            <w:r>
              <w:rPr>
                <w:rFonts w:hint="eastAsia" w:ascii="楷体" w:hAnsi="楷体" w:eastAsia="楷体" w:cs="楷体"/>
                <w:color w:val="000000"/>
                <w:sz w:val="21"/>
                <w:szCs w:val="21"/>
                <w:lang w:val="en-US" w:eastAsia="zh-Hans"/>
              </w:rPr>
              <w:t>能够与指导教师就毕业论文相关问题进行良好有效沟通与探讨</w:t>
            </w:r>
            <w:r>
              <w:rPr>
                <w:rFonts w:hint="default" w:ascii="楷体" w:hAnsi="楷体" w:eastAsia="楷体" w:cs="楷体"/>
                <w:color w:val="000000"/>
                <w:sz w:val="21"/>
                <w:szCs w:val="21"/>
                <w:lang w:eastAsia="zh-Hans"/>
              </w:rPr>
              <w:t>，</w:t>
            </w:r>
            <w:r>
              <w:rPr>
                <w:rFonts w:hint="eastAsia" w:ascii="楷体" w:hAnsi="楷体" w:eastAsia="楷体" w:cs="楷体"/>
                <w:color w:val="000000"/>
                <w:sz w:val="21"/>
                <w:szCs w:val="21"/>
                <w:lang w:val="en-US" w:eastAsia="zh-Hans"/>
              </w:rPr>
              <w:t>并听取意见及时改进</w:t>
            </w:r>
            <w:r>
              <w:rPr>
                <w:rFonts w:hint="eastAsia" w:ascii="楷体" w:hAnsi="楷体" w:eastAsia="楷体" w:cs="楷体"/>
                <w:color w:val="000000"/>
                <w:sz w:val="21"/>
                <w:szCs w:val="21"/>
              </w:rPr>
              <w:t>。</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14:paraId="633CC51E">
            <w:pPr>
              <w:pageBreakBefore w:val="0"/>
              <w:kinsoku/>
              <w:overflowPunct/>
              <w:topLinePunct w:val="0"/>
              <w:bidi w:val="0"/>
              <w:adjustRightInd w:val="0"/>
              <w:snapToGrid w:val="0"/>
              <w:spacing w:line="240" w:lineRule="auto"/>
              <w:rPr>
                <w:rFonts w:hint="eastAsia" w:ascii="楷体" w:hAnsi="楷体" w:eastAsia="楷体" w:cs="楷体"/>
                <w:bCs/>
                <w:kern w:val="2"/>
                <w:sz w:val="21"/>
                <w:szCs w:val="21"/>
                <w:lang w:bidi="ar-SA"/>
              </w:rPr>
            </w:pPr>
            <w:r>
              <w:rPr>
                <w:rFonts w:hint="eastAsia" w:ascii="楷体" w:hAnsi="楷体" w:eastAsia="楷体" w:cs="楷体"/>
                <w:color w:val="000000"/>
                <w:sz w:val="21"/>
                <w:szCs w:val="21"/>
                <w:lang w:val="en-US" w:eastAsia="zh-Hans"/>
              </w:rPr>
              <w:t>熟练掌握沟通交流的方式方法</w:t>
            </w:r>
            <w:r>
              <w:rPr>
                <w:rFonts w:hint="default" w:ascii="楷体" w:hAnsi="楷体" w:eastAsia="楷体" w:cs="楷体"/>
                <w:color w:val="000000"/>
                <w:sz w:val="21"/>
                <w:szCs w:val="21"/>
                <w:lang w:eastAsia="zh-Hans"/>
              </w:rPr>
              <w:t>，</w:t>
            </w:r>
            <w:r>
              <w:rPr>
                <w:rFonts w:hint="eastAsia" w:ascii="楷体" w:hAnsi="楷体" w:eastAsia="楷体" w:cs="楷体"/>
                <w:color w:val="000000"/>
                <w:sz w:val="21"/>
                <w:szCs w:val="21"/>
                <w:lang w:val="en-US" w:eastAsia="zh-Hans"/>
              </w:rPr>
              <w:t>具有良好的团队合作精神</w:t>
            </w:r>
            <w:r>
              <w:rPr>
                <w:rFonts w:hint="default" w:ascii="楷体" w:hAnsi="楷体" w:eastAsia="楷体" w:cs="楷体"/>
                <w:color w:val="000000"/>
                <w:sz w:val="21"/>
                <w:szCs w:val="21"/>
                <w:lang w:eastAsia="zh-Hans"/>
              </w:rPr>
              <w:t>，</w:t>
            </w:r>
            <w:r>
              <w:rPr>
                <w:rFonts w:hint="eastAsia" w:ascii="楷体" w:hAnsi="楷体" w:eastAsia="楷体" w:cs="楷体"/>
                <w:color w:val="000000"/>
                <w:sz w:val="21"/>
                <w:szCs w:val="21"/>
                <w:lang w:val="en-US" w:eastAsia="zh-Hans"/>
              </w:rPr>
              <w:t>能够与指导教师就毕业论文相关问题进行有效沟通与探讨</w:t>
            </w:r>
            <w:r>
              <w:rPr>
                <w:rFonts w:hint="default" w:ascii="楷体" w:hAnsi="楷体" w:eastAsia="楷体" w:cs="楷体"/>
                <w:color w:val="000000"/>
                <w:sz w:val="21"/>
                <w:szCs w:val="21"/>
                <w:lang w:eastAsia="zh-Hans"/>
              </w:rPr>
              <w:t>，</w:t>
            </w:r>
            <w:r>
              <w:rPr>
                <w:rFonts w:hint="eastAsia" w:ascii="楷体" w:hAnsi="楷体" w:eastAsia="楷体" w:cs="楷体"/>
                <w:color w:val="000000"/>
                <w:sz w:val="21"/>
                <w:szCs w:val="21"/>
                <w:lang w:val="en-US" w:eastAsia="zh-Hans"/>
              </w:rPr>
              <w:t>并听取意见及时改进</w:t>
            </w:r>
            <w:r>
              <w:rPr>
                <w:rFonts w:hint="eastAsia" w:ascii="楷体" w:hAnsi="楷体" w:eastAsia="楷体" w:cs="楷体"/>
                <w:color w:val="000000"/>
                <w:sz w:val="21"/>
                <w:szCs w:val="21"/>
              </w:rPr>
              <w:t>。</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14:paraId="772C2E8D">
            <w:pPr>
              <w:pageBreakBefore w:val="0"/>
              <w:kinsoku/>
              <w:overflowPunct/>
              <w:topLinePunct w:val="0"/>
              <w:bidi w:val="0"/>
              <w:adjustRightInd w:val="0"/>
              <w:snapToGrid w:val="0"/>
              <w:spacing w:line="240" w:lineRule="auto"/>
              <w:rPr>
                <w:rFonts w:hint="eastAsia" w:ascii="楷体" w:hAnsi="楷体" w:eastAsia="楷体" w:cs="楷体"/>
                <w:bCs/>
                <w:kern w:val="2"/>
                <w:sz w:val="21"/>
                <w:szCs w:val="21"/>
                <w:lang w:bidi="ar-SA"/>
              </w:rPr>
            </w:pPr>
            <w:r>
              <w:rPr>
                <w:rFonts w:hint="eastAsia" w:ascii="楷体" w:hAnsi="楷体" w:eastAsia="楷体" w:cs="楷体"/>
                <w:color w:val="000000"/>
                <w:sz w:val="21"/>
                <w:szCs w:val="21"/>
                <w:lang w:val="en-US" w:eastAsia="zh-Hans"/>
              </w:rPr>
              <w:t>掌握沟通交流的方式方法</w:t>
            </w:r>
            <w:r>
              <w:rPr>
                <w:rFonts w:hint="default" w:ascii="楷体" w:hAnsi="楷体" w:eastAsia="楷体" w:cs="楷体"/>
                <w:color w:val="000000"/>
                <w:sz w:val="21"/>
                <w:szCs w:val="21"/>
                <w:lang w:eastAsia="zh-Hans"/>
              </w:rPr>
              <w:t>，</w:t>
            </w:r>
            <w:r>
              <w:rPr>
                <w:rFonts w:hint="eastAsia" w:ascii="楷体" w:hAnsi="楷体" w:eastAsia="楷体" w:cs="楷体"/>
                <w:color w:val="000000"/>
                <w:sz w:val="21"/>
                <w:szCs w:val="21"/>
                <w:lang w:val="en-US" w:eastAsia="zh-Hans"/>
              </w:rPr>
              <w:t>具有一般的团队合作精神</w:t>
            </w:r>
            <w:r>
              <w:rPr>
                <w:rFonts w:hint="default" w:ascii="楷体" w:hAnsi="楷体" w:eastAsia="楷体" w:cs="楷体"/>
                <w:color w:val="000000"/>
                <w:sz w:val="21"/>
                <w:szCs w:val="21"/>
                <w:lang w:eastAsia="zh-Hans"/>
              </w:rPr>
              <w:t>，</w:t>
            </w:r>
            <w:r>
              <w:rPr>
                <w:rFonts w:hint="eastAsia" w:ascii="楷体" w:hAnsi="楷体" w:eastAsia="楷体" w:cs="楷体"/>
                <w:color w:val="000000"/>
                <w:sz w:val="21"/>
                <w:szCs w:val="21"/>
                <w:lang w:val="en-US" w:eastAsia="zh-Hans"/>
              </w:rPr>
              <w:t>能够与指导教师就毕业论文相关问题进行沟通与探讨</w:t>
            </w:r>
            <w:r>
              <w:rPr>
                <w:rFonts w:hint="default" w:ascii="楷体" w:hAnsi="楷体" w:eastAsia="楷体" w:cs="楷体"/>
                <w:color w:val="000000"/>
                <w:sz w:val="21"/>
                <w:szCs w:val="21"/>
                <w:lang w:eastAsia="zh-Hans"/>
              </w:rPr>
              <w:t>，</w:t>
            </w:r>
            <w:r>
              <w:rPr>
                <w:rFonts w:hint="eastAsia" w:ascii="楷体" w:hAnsi="楷体" w:eastAsia="楷体" w:cs="楷体"/>
                <w:color w:val="000000"/>
                <w:sz w:val="21"/>
                <w:szCs w:val="21"/>
                <w:lang w:val="en-US" w:eastAsia="zh-Hans"/>
              </w:rPr>
              <w:t>并听取意见及时改进</w:t>
            </w:r>
            <w:r>
              <w:rPr>
                <w:rFonts w:hint="eastAsia" w:ascii="楷体" w:hAnsi="楷体" w:eastAsia="楷体" w:cs="楷体"/>
                <w:color w:val="000000"/>
                <w:sz w:val="21"/>
                <w:szCs w:val="21"/>
              </w:rPr>
              <w:t>。</w:t>
            </w:r>
          </w:p>
        </w:tc>
        <w:tc>
          <w:tcPr>
            <w:tcW w:w="1461" w:type="dxa"/>
            <w:tcBorders>
              <w:top w:val="single" w:color="000000" w:sz="4" w:space="0"/>
              <w:left w:val="single" w:color="000000" w:sz="4" w:space="0"/>
              <w:bottom w:val="single" w:color="000000" w:sz="4" w:space="0"/>
              <w:right w:val="single" w:color="000000" w:sz="4" w:space="0"/>
            </w:tcBorders>
            <w:noWrap w:val="0"/>
            <w:vAlign w:val="center"/>
          </w:tcPr>
          <w:p w14:paraId="2A72D4B1">
            <w:pPr>
              <w:pageBreakBefore w:val="0"/>
              <w:kinsoku/>
              <w:overflowPunct/>
              <w:topLinePunct w:val="0"/>
              <w:bidi w:val="0"/>
              <w:adjustRightInd w:val="0"/>
              <w:snapToGrid w:val="0"/>
              <w:spacing w:line="240" w:lineRule="auto"/>
              <w:rPr>
                <w:rFonts w:hint="eastAsia" w:ascii="楷体" w:hAnsi="楷体" w:eastAsia="楷体" w:cs="楷体"/>
                <w:bCs/>
                <w:kern w:val="2"/>
                <w:sz w:val="21"/>
                <w:szCs w:val="21"/>
                <w:lang w:bidi="ar-SA"/>
              </w:rPr>
            </w:pPr>
            <w:r>
              <w:rPr>
                <w:rFonts w:hint="eastAsia" w:ascii="楷体" w:hAnsi="楷体" w:eastAsia="楷体" w:cs="楷体"/>
                <w:color w:val="000000"/>
                <w:sz w:val="21"/>
                <w:szCs w:val="21"/>
                <w:lang w:val="en-US" w:eastAsia="zh-Hans"/>
              </w:rPr>
              <w:t>掌握一般的沟通交流的方式方法</w:t>
            </w:r>
            <w:r>
              <w:rPr>
                <w:rFonts w:hint="default" w:ascii="楷体" w:hAnsi="楷体" w:eastAsia="楷体" w:cs="楷体"/>
                <w:color w:val="000000"/>
                <w:sz w:val="21"/>
                <w:szCs w:val="21"/>
                <w:lang w:eastAsia="zh-Hans"/>
              </w:rPr>
              <w:t>，</w:t>
            </w:r>
            <w:r>
              <w:rPr>
                <w:rFonts w:hint="eastAsia" w:ascii="楷体" w:hAnsi="楷体" w:eastAsia="楷体" w:cs="楷体"/>
                <w:color w:val="000000"/>
                <w:sz w:val="21"/>
                <w:szCs w:val="21"/>
                <w:lang w:val="en-US" w:eastAsia="zh-Hans"/>
              </w:rPr>
              <w:t>团队合作精神一般</w:t>
            </w:r>
            <w:r>
              <w:rPr>
                <w:rFonts w:hint="default" w:ascii="楷体" w:hAnsi="楷体" w:eastAsia="楷体" w:cs="楷体"/>
                <w:color w:val="000000"/>
                <w:sz w:val="21"/>
                <w:szCs w:val="21"/>
                <w:lang w:eastAsia="zh-Hans"/>
              </w:rPr>
              <w:t>，</w:t>
            </w:r>
            <w:r>
              <w:rPr>
                <w:rFonts w:hint="eastAsia" w:ascii="楷体" w:hAnsi="楷体" w:eastAsia="楷体" w:cs="楷体"/>
                <w:color w:val="000000"/>
                <w:sz w:val="21"/>
                <w:szCs w:val="21"/>
                <w:lang w:val="en-US" w:eastAsia="zh-Hans"/>
              </w:rPr>
              <w:t>基本能够与指导教师就毕业论文相关问题进行沟通与探讨</w:t>
            </w:r>
            <w:r>
              <w:rPr>
                <w:rFonts w:hint="default" w:ascii="楷体" w:hAnsi="楷体" w:eastAsia="楷体" w:cs="楷体"/>
                <w:color w:val="000000"/>
                <w:sz w:val="21"/>
                <w:szCs w:val="21"/>
                <w:lang w:eastAsia="zh-Hans"/>
              </w:rPr>
              <w:t>，</w:t>
            </w:r>
            <w:r>
              <w:rPr>
                <w:rFonts w:hint="eastAsia" w:ascii="楷体" w:hAnsi="楷体" w:eastAsia="楷体" w:cs="楷体"/>
                <w:color w:val="000000"/>
                <w:sz w:val="21"/>
                <w:szCs w:val="21"/>
                <w:lang w:val="en-US" w:eastAsia="zh-Hans"/>
              </w:rPr>
              <w:t>并听取意见稍后改进</w:t>
            </w:r>
            <w:r>
              <w:rPr>
                <w:rFonts w:hint="eastAsia" w:ascii="楷体" w:hAnsi="楷体" w:eastAsia="楷体" w:cs="楷体"/>
                <w:color w:val="000000"/>
                <w:sz w:val="21"/>
                <w:szCs w:val="21"/>
              </w:rPr>
              <w:t>。</w:t>
            </w:r>
          </w:p>
        </w:tc>
        <w:tc>
          <w:tcPr>
            <w:tcW w:w="1446" w:type="dxa"/>
            <w:tcBorders>
              <w:top w:val="single" w:color="000000" w:sz="4" w:space="0"/>
              <w:left w:val="single" w:color="000000" w:sz="4" w:space="0"/>
              <w:bottom w:val="single" w:color="000000" w:sz="4" w:space="0"/>
              <w:right w:val="single" w:color="000000" w:sz="4" w:space="0"/>
            </w:tcBorders>
            <w:noWrap w:val="0"/>
            <w:vAlign w:val="center"/>
          </w:tcPr>
          <w:p w14:paraId="1FB81F35">
            <w:pPr>
              <w:pageBreakBefore w:val="0"/>
              <w:kinsoku/>
              <w:overflowPunct/>
              <w:topLinePunct w:val="0"/>
              <w:bidi w:val="0"/>
              <w:adjustRightInd w:val="0"/>
              <w:snapToGrid w:val="0"/>
              <w:spacing w:line="240" w:lineRule="auto"/>
              <w:rPr>
                <w:rFonts w:hint="default" w:ascii="楷体" w:hAnsi="楷体" w:eastAsia="楷体" w:cs="楷体"/>
                <w:bCs/>
                <w:kern w:val="2"/>
                <w:sz w:val="21"/>
                <w:szCs w:val="21"/>
                <w:lang w:bidi="ar-SA"/>
              </w:rPr>
            </w:pPr>
            <w:r>
              <w:rPr>
                <w:rFonts w:hint="eastAsia" w:ascii="楷体" w:hAnsi="楷体" w:eastAsia="楷体" w:cs="楷体"/>
                <w:color w:val="000000"/>
                <w:sz w:val="21"/>
                <w:szCs w:val="21"/>
                <w:lang w:val="en-US" w:eastAsia="zh-Hans"/>
              </w:rPr>
              <w:t>掌握一般的沟通交流的方式方法</w:t>
            </w:r>
            <w:r>
              <w:rPr>
                <w:rFonts w:hint="default" w:ascii="楷体" w:hAnsi="楷体" w:eastAsia="楷体" w:cs="楷体"/>
                <w:color w:val="000000"/>
                <w:sz w:val="21"/>
                <w:szCs w:val="21"/>
                <w:lang w:eastAsia="zh-Hans"/>
              </w:rPr>
              <w:t>，</w:t>
            </w:r>
            <w:r>
              <w:rPr>
                <w:rFonts w:hint="eastAsia" w:ascii="楷体" w:hAnsi="楷体" w:eastAsia="楷体" w:cs="楷体"/>
                <w:color w:val="000000"/>
                <w:sz w:val="21"/>
                <w:szCs w:val="21"/>
                <w:lang w:val="en-US" w:eastAsia="zh-Hans"/>
              </w:rPr>
              <w:t>不具备团队合作精神</w:t>
            </w:r>
            <w:r>
              <w:rPr>
                <w:rFonts w:hint="default" w:ascii="楷体" w:hAnsi="楷体" w:eastAsia="楷体" w:cs="楷体"/>
                <w:color w:val="000000"/>
                <w:sz w:val="21"/>
                <w:szCs w:val="21"/>
                <w:lang w:eastAsia="zh-Hans"/>
              </w:rPr>
              <w:t>，</w:t>
            </w:r>
            <w:r>
              <w:rPr>
                <w:rFonts w:hint="eastAsia" w:ascii="楷体" w:hAnsi="楷体" w:eastAsia="楷体" w:cs="楷体"/>
                <w:color w:val="000000"/>
                <w:sz w:val="21"/>
                <w:szCs w:val="21"/>
                <w:lang w:val="en-US" w:eastAsia="zh-Hans"/>
              </w:rPr>
              <w:t>不能够与指导教师就毕业论文相关问题进行有效沟通与探讨</w:t>
            </w:r>
            <w:r>
              <w:rPr>
                <w:rFonts w:hint="default" w:ascii="楷体" w:hAnsi="楷体" w:eastAsia="楷体" w:cs="楷体"/>
                <w:color w:val="000000"/>
                <w:sz w:val="21"/>
                <w:szCs w:val="21"/>
                <w:lang w:eastAsia="zh-Hans"/>
              </w:rPr>
              <w:t>。</w:t>
            </w:r>
          </w:p>
        </w:tc>
      </w:tr>
    </w:tbl>
    <w:p w14:paraId="39E6F05B"/>
    <w:sectPr>
      <w:headerReference r:id="rId141" w:type="default"/>
      <w:footerReference r:id="rId142"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01"/>
    <w:family w:val="swiss"/>
    <w:pitch w:val="default"/>
    <w:sig w:usb0="E0000AFF" w:usb1="00007843" w:usb2="00000001" w:usb3="00000000" w:csb0="400001BF" w:csb1="DFF7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E50002FF" w:usb1="500079DB" w:usb2="00000010" w:usb3="00000000" w:csb0="00000000" w:csb1="00000000"/>
  </w:font>
  <w:font w:name="汉仪书宋二KW">
    <w:panose1 w:val="00020600040101010101"/>
    <w:charset w:val="86"/>
    <w:family w:val="auto"/>
    <w:pitch w:val="default"/>
    <w:sig w:usb0="A00002BF" w:usb1="18EF7CFA" w:usb2="00000016" w:usb3="00000000" w:csb0="00040000" w:csb1="00000000"/>
  </w:font>
  <w:font w:name="微软雅黑">
    <w:altName w:val="汉仪旗黑"/>
    <w:panose1 w:val="00000000000000000000"/>
    <w:charset w:val="00"/>
    <w:family w:val="auto"/>
    <w:pitch w:val="default"/>
    <w:sig w:usb0="00000000" w:usb1="00000000" w:usb2="00000000" w:usb3="00000000" w:csb0="00000000" w:csb1="00000000"/>
  </w:font>
  <w:font w:name="仿宋_GB2312">
    <w:altName w:val="仿宋-简"/>
    <w:panose1 w:val="00000000000000000000"/>
    <w:charset w:val="00"/>
    <w:family w:val="auto"/>
    <w:pitch w:val="default"/>
    <w:sig w:usb0="00000000" w:usb1="00000000" w:usb2="00000000" w:usb3="00000000" w:csb0="00000000" w:csb1="00000000"/>
  </w:font>
  <w:font w:name="STFangsong">
    <w:panose1 w:val="02010600040101010101"/>
    <w:charset w:val="86"/>
    <w:family w:val="auto"/>
    <w:pitch w:val="default"/>
    <w:sig w:usb0="00000287" w:usb1="080F0000" w:usb2="00000000" w:usb3="00000000" w:csb0="0004009F" w:csb1="DFD70000"/>
  </w:font>
  <w:font w:name="PMingLiU">
    <w:altName w:val="宋体-繁"/>
    <w:panose1 w:val="00000000000000000000"/>
    <w:charset w:val="00"/>
    <w:family w:val="auto"/>
    <w:pitch w:val="default"/>
    <w:sig w:usb0="00000000" w:usb1="00000000" w:usb2="00000000" w:usb3="00000000" w:csb0="00000000" w:csb1="00000000"/>
  </w:font>
  <w:font w:name="楷体">
    <w:altName w:val="汉仪楷体KW"/>
    <w:panose1 w:val="02010609060101010101"/>
    <w:charset w:val="00"/>
    <w:family w:val="modern"/>
    <w:pitch w:val="default"/>
    <w:sig w:usb0="00000000" w:usb1="00000000" w:usb2="00000016" w:usb3="00000000" w:csb0="00040001" w:csb1="00000000"/>
  </w:font>
  <w:font w:name="汉仪楷体KW">
    <w:panose1 w:val="00020600040101010101"/>
    <w:charset w:val="86"/>
    <w:family w:val="auto"/>
    <w:pitch w:val="default"/>
    <w:sig w:usb0="A00002BF" w:usb1="18EF7CFA" w:usb2="00000016" w:usb3="00000000" w:csb0="00040000" w:csb1="00000000"/>
  </w:font>
  <w:font w:name="Tahoma">
    <w:panose1 w:val="020B0604030504040204"/>
    <w:charset w:val="00"/>
    <w:family w:val="auto"/>
    <w:pitch w:val="default"/>
    <w:sig w:usb0="E1002AFF" w:usb1="C000605B" w:usb2="00000029" w:usb3="00000000" w:csb0="200101FF" w:csb1="20280000"/>
  </w:font>
  <w:font w:name="新宋体">
    <w:altName w:val="书宋-简"/>
    <w:panose1 w:val="00000000000000000000"/>
    <w:charset w:val="00"/>
    <w:family w:val="auto"/>
    <w:pitch w:val="default"/>
    <w:sig w:usb0="00000000" w:usb1="00000000" w:usb2="00000000" w:usb3="00000000" w:csb0="00000000" w:csb1="00000000"/>
  </w:font>
  <w:font w:name="汉仪中黑KW">
    <w:panose1 w:val="00020600040101010101"/>
    <w:charset w:val="86"/>
    <w:family w:val="auto"/>
    <w:pitch w:val="default"/>
    <w:sig w:usb0="A00002BF" w:usb1="18EF7CFA" w:usb2="00000016" w:usb3="00000000" w:csb0="00040000" w:csb1="00000000"/>
  </w:font>
  <w:font w:name="NEU-BZ">
    <w:altName w:val="苹方-简"/>
    <w:panose1 w:val="00000000000000000000"/>
    <w:charset w:val="00"/>
    <w:family w:val="auto"/>
    <w:pitch w:val="default"/>
    <w:sig w:usb0="00000000" w:usb1="00000000" w:usb2="00000000" w:usb3="00000000" w:csb0="00000000" w:csb1="00000000"/>
  </w:font>
  <w:font w:name="å¾®è½¯é›…é»‘">
    <w:altName w:val="苹方-简"/>
    <w:panose1 w:val="00000000000000000000"/>
    <w:charset w:val="00"/>
    <w:family w:val="auto"/>
    <w:pitch w:val="default"/>
    <w:sig w:usb0="00000000" w:usb1="00000000" w:usb2="00000000" w:usb3="00000000" w:csb0="00000000" w:csb1="00000000"/>
  </w:font>
  <w:font w:name="Liberation Sans">
    <w:altName w:val="苹方-简"/>
    <w:panose1 w:val="00000000000000000000"/>
    <w:charset w:val="00"/>
    <w:family w:val="auto"/>
    <w:pitch w:val="default"/>
    <w:sig w:usb0="00000000" w:usb1="00000000" w:usb2="00000000" w:usb3="00000000" w:csb0="00000000" w:csb1="00000000"/>
  </w:font>
  <w:font w:name="Noto Sans SC">
    <w:panose1 w:val="02000000000000000000"/>
    <w:charset w:val="80"/>
    <w:family w:val="auto"/>
    <w:pitch w:val="default"/>
    <w:sig w:usb0="F7FFAEFF" w:usb1="FBDFFFFF" w:usb2="001FFFFF" w:usb3="00000000" w:csb0="600301FF" w:csb1="FFFF0000"/>
  </w:font>
  <w:font w:name="MingLiU">
    <w:altName w:val="宋体-繁"/>
    <w:panose1 w:val="00000000000000000000"/>
    <w:charset w:val="00"/>
    <w:family w:val="auto"/>
    <w:pitch w:val="default"/>
    <w:sig w:usb0="00000000" w:usb1="00000000" w:usb2="00000000" w:usb3="00000000" w:csb0="00000000" w:csb1="00000000"/>
  </w:font>
  <w:font w:name="隶书">
    <w:altName w:val="报隶-简"/>
    <w:panose1 w:val="02010509060101010101"/>
    <w:charset w:val="00"/>
    <w:family w:val="modern"/>
    <w:pitch w:val="default"/>
    <w:sig w:usb0="00000000" w:usb1="00000000" w:usb2="00000010" w:usb3="00000000" w:csb0="00040000" w:csb1="00000000"/>
  </w:font>
  <w:font w:name="报隶-简">
    <w:panose1 w:val="02010600040101010101"/>
    <w:charset w:val="86"/>
    <w:family w:val="auto"/>
    <w:pitch w:val="default"/>
    <w:sig w:usb0="80000287" w:usb1="280F3C52" w:usb2="00000016" w:usb3="00000000" w:csb0="0004001F" w:csb1="00000000"/>
  </w:font>
  <w:font w:name="楷体_GB2312">
    <w:altName w:val="汉仪楷体简"/>
    <w:panose1 w:val="02010609030101010101"/>
    <w:charset w:val="00"/>
    <w:family w:val="modern"/>
    <w:pitch w:val="default"/>
    <w:sig w:usb0="00000000" w:usb1="00000000" w:usb2="00000010" w:usb3="00000000" w:csb0="00040000" w:csb1="00000000"/>
  </w:font>
  <w:font w:name="汉仪楷体简">
    <w:panose1 w:val="02010600000101010101"/>
    <w:charset w:val="86"/>
    <w:family w:val="auto"/>
    <w:pitch w:val="default"/>
    <w:sig w:usb0="00000001" w:usb1="080E0800" w:usb2="00000002" w:usb3="00000000" w:csb0="00040000" w:csb1="00000000"/>
  </w:font>
  <w:font w:name="方正小标宋简体">
    <w:altName w:val="汉仪书宋二KW"/>
    <w:panose1 w:val="02000000000000000000"/>
    <w:charset w:val="86"/>
    <w:family w:val="script"/>
    <w:pitch w:val="default"/>
    <w:sig w:usb0="00000000" w:usb1="00000000" w:usb2="00000000" w:usb3="00000000" w:csb0="00040000" w:csb1="00000000"/>
  </w:font>
  <w:font w:name="仿宋">
    <w:altName w:val="仿宋-简"/>
    <w:panose1 w:val="00000000000000000000"/>
    <w:charset w:val="00"/>
    <w:family w:val="auto"/>
    <w:pitch w:val="default"/>
    <w:sig w:usb0="00000000" w:usb1="00000000" w:usb2="00000000" w:usb3="00000000" w:csb0="00000000" w:csb1="00000000"/>
  </w:font>
  <w:font w:name="Univers Condensed">
    <w:altName w:val="苹方-简"/>
    <w:panose1 w:val="00000000000000000000"/>
    <w:charset w:val="00"/>
    <w:family w:val="auto"/>
    <w:pitch w:val="default"/>
    <w:sig w:usb0="00000000" w:usb1="00000000" w:usb2="00000000" w:usb3="00000000" w:csb0="00000000" w:csb1="00000000"/>
  </w:font>
  <w:font w:name="Times New Roman Regular">
    <w:panose1 w:val="02020503050405090304"/>
    <w:charset w:val="00"/>
    <w:family w:val="auto"/>
    <w:pitch w:val="default"/>
    <w:sig w:usb0="E0000AFF" w:usb1="00007843" w:usb2="00000001" w:usb3="00000000" w:csb0="400001BF" w:csb1="DFF70000"/>
  </w:font>
  <w:font w:name="Segoe UI Symbol">
    <w:altName w:val="苹方-简"/>
    <w:panose1 w:val="00000000000000000000"/>
    <w:charset w:val="00"/>
    <w:family w:val="auto"/>
    <w:pitch w:val="default"/>
    <w:sig w:usb0="00000000" w:usb1="00000000" w:usb2="00000000" w:usb3="00000000" w:csb0="00000000" w:csb1="00000000"/>
  </w:font>
  <w:font w:name="华文仿宋">
    <w:panose1 w:val="02010600040101010101"/>
    <w:charset w:val="86"/>
    <w:family w:val="auto"/>
    <w:pitch w:val="default"/>
    <w:sig w:usb0="00000287" w:usb1="080F0000" w:usb2="00000000" w:usb3="00000000" w:csb0="0004009F" w:csb1="DFD70000"/>
  </w:font>
  <w:font w:name="汉仪旗黑">
    <w:panose1 w:val="00020600040101010101"/>
    <w:charset w:val="86"/>
    <w:family w:val="auto"/>
    <w:pitch w:val="default"/>
    <w:sig w:usb0="A00002BF" w:usb1="1ACF7CFA" w:usb2="00000016" w:usb3="00000000" w:csb0="0004009F" w:csb1="DFD70000"/>
  </w:font>
  <w:font w:name="仿宋-简">
    <w:panose1 w:val="02010609060101010101"/>
    <w:charset w:val="86"/>
    <w:family w:val="auto"/>
    <w:pitch w:val="default"/>
    <w:sig w:usb0="A00002BF" w:usb1="3ACF7CFA" w:usb2="00000016" w:usb3="00000000" w:csb0="00040001" w:csb1="00000000"/>
  </w:font>
  <w:font w:name="Kingsoft Sign">
    <w:panose1 w:val="05050102010706020507"/>
    <w:charset w:val="00"/>
    <w:family w:val="auto"/>
    <w:pitch w:val="default"/>
    <w:sig w:usb0="00000000" w:usb1="10000000" w:usb2="00000000" w:usb3="00000000" w:csb0="00000001" w:csb1="00000000"/>
  </w:font>
  <w:font w:name="宋体-繁">
    <w:panose1 w:val="02010600040101010101"/>
    <w:charset w:val="86"/>
    <w:family w:val="auto"/>
    <w:pitch w:val="default"/>
    <w:sig w:usb0="00000287" w:usb1="080F0000" w:usb2="00000000" w:usb3="00000000" w:csb0="0004009F" w:csb1="DFD70000"/>
  </w:font>
  <w:font w:name="书宋-简">
    <w:panose1 w:val="02010600030101010101"/>
    <w:charset w:val="86"/>
    <w:family w:val="auto"/>
    <w:pitch w:val="default"/>
    <w:sig w:usb0="A00002BF" w:usb1="3ACF7CFA" w:usb2="00000016" w:usb3="00000000" w:csb0="00040001" w:csb1="00000000"/>
  </w:font>
  <w:font w:name="苹方-简">
    <w:panose1 w:val="020B0400000000000000"/>
    <w:charset w:val="86"/>
    <w:family w:val="auto"/>
    <w:pitch w:val="default"/>
    <w:sig w:usb0="A00002FF" w:usb1="7ACFFDFB" w:usb2="00000017" w:usb3="00000000" w:csb0="00040001" w:csb1="00000000"/>
  </w:font>
  <w:font w:name="宋体-简">
    <w:panose1 w:val="02010800040101010101"/>
    <w:charset w:val="86"/>
    <w:family w:val="auto"/>
    <w:pitch w:val="default"/>
    <w:sig w:usb0="00000001" w:usb1="080F0000" w:usb2="00000000" w:usb3="00000000" w:csb0="00040000" w:csb1="00000000"/>
  </w:font>
  <w:font w:name="Apple Color Emoji">
    <w:panose1 w:val="00000000000000000000"/>
    <w:charset w:val="00"/>
    <w:family w:val="auto"/>
    <w:pitch w:val="default"/>
    <w:sig w:usb0="00000003" w:usb1="18000000" w:usb2="14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95A491">
    <w:pP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C383ED">
    <w:pPr>
      <w:jc w:val="center"/>
    </w:pPr>
    <w:r>
      <w:rPr>
        <w:sz w:val="21"/>
      </w:rPr>
      <w:fldChar w:fldCharType="begin"/>
    </w:r>
    <w:r>
      <w:rPr>
        <w:sz w:val="21"/>
      </w:rPr>
      <w:instrText xml:space="preserve"> PAGE </w:instrText>
    </w:r>
    <w:r>
      <w:rPr>
        <w:sz w:val="21"/>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ABF4CB">
    <w:pPr>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66A83E">
    <w:pPr>
      <w:jc w:val="center"/>
    </w:pPr>
    <w:r>
      <w:rPr>
        <w:sz w:val="21"/>
      </w:rPr>
      <w:fldChar w:fldCharType="begin"/>
    </w:r>
    <w:r>
      <w:rPr>
        <w:sz w:val="21"/>
      </w:rPr>
      <w:instrText xml:space="preserve"> PAGE </w:instrText>
    </w:r>
    <w:r>
      <w:rPr>
        <w:sz w:val="21"/>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0CC015">
    <w:pPr>
      <w:jc w:val="center"/>
    </w:pPr>
    <w:r>
      <w:rPr>
        <w:sz w:val="21"/>
      </w:rPr>
      <w:fldChar w:fldCharType="begin"/>
    </w:r>
    <w:r>
      <w:rPr>
        <w:sz w:val="21"/>
      </w:rPr>
      <w:instrText xml:space="preserve"> PAGE </w:instrText>
    </w:r>
    <w:r>
      <w:rPr>
        <w:sz w:val="21"/>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303E1A">
    <w:pPr>
      <w:jc w:val="center"/>
    </w:pPr>
    <w:r>
      <w:rPr>
        <w:sz w:val="21"/>
      </w:rPr>
      <w:fldChar w:fldCharType="begin"/>
    </w:r>
    <w:r>
      <w:rPr>
        <w:sz w:val="21"/>
      </w:rPr>
      <w:instrText xml:space="preserve"> PAGE </w:instrText>
    </w:r>
    <w:r>
      <w:rPr>
        <w:sz w:val="21"/>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2CE267">
    <w:pPr>
      <w:jc w:val="center"/>
    </w:pPr>
    <w:r>
      <w:rPr>
        <w:sz w:val="21"/>
      </w:rPr>
      <w:fldChar w:fldCharType="begin"/>
    </w:r>
    <w:r>
      <w:rPr>
        <w:sz w:val="21"/>
      </w:rPr>
      <w:instrText xml:space="preserve"> PAGE </w:instrText>
    </w:r>
    <w:r>
      <w:rPr>
        <w:sz w:val="21"/>
      </w:rP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35F487">
    <w:pPr>
      <w:jc w:val="center"/>
    </w:pPr>
    <w:r>
      <w:rPr>
        <w:sz w:val="21"/>
      </w:rPr>
      <w:fldChar w:fldCharType="begin"/>
    </w:r>
    <w:r>
      <w:rPr>
        <w:sz w:val="21"/>
      </w:rPr>
      <w:instrText xml:space="preserve"> PAGE </w:instrText>
    </w:r>
    <w:r>
      <w:rPr>
        <w:sz w:val="21"/>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CBF8DE">
    <w:pPr>
      <w:jc w:val="center"/>
    </w:pPr>
    <w:r>
      <w:rPr>
        <w:sz w:val="21"/>
      </w:rPr>
      <w:fldChar w:fldCharType="begin"/>
    </w:r>
    <w:r>
      <w:rPr>
        <w:sz w:val="21"/>
      </w:rPr>
      <w:instrText xml:space="preserve"> PAGE </w:instrText>
    </w:r>
    <w:r>
      <w:rPr>
        <w:sz w:val="21"/>
      </w:rP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F2B9E5">
    <w:pPr>
      <w:jc w:val="center"/>
    </w:pPr>
    <w:r>
      <w:rPr>
        <w:sz w:val="21"/>
      </w:rPr>
      <w:fldChar w:fldCharType="begin"/>
    </w:r>
    <w:r>
      <w:rPr>
        <w:sz w:val="21"/>
      </w:rPr>
      <w:instrText xml:space="preserve"> PAGE </w:instrText>
    </w:r>
    <w:r>
      <w:rPr>
        <w:sz w:val="21"/>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0EA476">
    <w:pPr>
      <w:jc w:val="center"/>
    </w:pPr>
    <w:r>
      <w:rPr>
        <w:sz w:val="21"/>
      </w:rPr>
      <w:fldChar w:fldCharType="begin"/>
    </w:r>
    <w:r>
      <w:rPr>
        <w:sz w:val="21"/>
      </w:rPr>
      <w:instrText xml:space="preserve"> PAGE </w:instrText>
    </w:r>
    <w:r>
      <w:rPr>
        <w:sz w:val="21"/>
      </w:rPr>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26F462">
    <w:pPr>
      <w:jc w:val="center"/>
    </w:pPr>
    <w:r>
      <w:rPr>
        <w:sz w:val="21"/>
      </w:rPr>
      <w:fldChar w:fldCharType="begin"/>
    </w:r>
    <w:r>
      <w:rPr>
        <w:sz w:val="21"/>
      </w:rPr>
      <w:instrText xml:space="preserve"> PAGE </w:instrText>
    </w:r>
    <w:r>
      <w:rPr>
        <w:sz w:val="21"/>
      </w:rPr>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B636CD">
    <w:pPr>
      <w:jc w:val="center"/>
    </w:pPr>
    <w:r>
      <w:rPr>
        <w:sz w:val="21"/>
      </w:rPr>
      <w:fldChar w:fldCharType="begin"/>
    </w:r>
    <w:r>
      <w:rPr>
        <w:sz w:val="21"/>
      </w:rPr>
      <w:instrText xml:space="preserve"> PAGE </w:instrText>
    </w:r>
    <w:r>
      <w:rPr>
        <w:sz w:val="21"/>
      </w:rPr>
      <w:fldChar w:fldCharType="end"/>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FEA2BE">
    <w:pPr>
      <w:jc w:val="center"/>
    </w:pPr>
    <w:r>
      <w:rPr>
        <w:sz w:val="21"/>
      </w:rPr>
      <w:fldChar w:fldCharType="begin"/>
    </w:r>
    <w:r>
      <w:rPr>
        <w:sz w:val="21"/>
      </w:rPr>
      <w:instrText xml:space="preserve"> PAGE </w:instrText>
    </w:r>
    <w:r>
      <w:rPr>
        <w:sz w:val="21"/>
      </w:rPr>
      <w:fldChar w:fldCharType="end"/>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89A2F3">
    <w:pPr>
      <w:jc w:val="center"/>
    </w:pPr>
    <w:r>
      <w:rPr>
        <w:sz w:val="21"/>
      </w:rPr>
      <w:fldChar w:fldCharType="begin"/>
    </w:r>
    <w:r>
      <w:rPr>
        <w:sz w:val="21"/>
      </w:rPr>
      <w:instrText xml:space="preserve"> PAGE </w:instrText>
    </w:r>
    <w:r>
      <w:rPr>
        <w:sz w:val="21"/>
      </w:rPr>
      <w:fldChar w:fldCharType="end"/>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8ED4D5">
    <w:pPr>
      <w:jc w:val="center"/>
    </w:pPr>
    <w:r>
      <w:rPr>
        <w:sz w:val="21"/>
      </w:rPr>
      <w:fldChar w:fldCharType="begin"/>
    </w:r>
    <w:r>
      <w:rPr>
        <w:sz w:val="21"/>
      </w:rPr>
      <w:instrText xml:space="preserve"> PAGE </w:instrText>
    </w:r>
    <w:r>
      <w:rPr>
        <w:sz w:val="21"/>
      </w:rPr>
      <w:fldChar w:fldCharType="end"/>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3772D8">
    <w:pPr>
      <w:jc w:val="center"/>
    </w:pPr>
    <w:r>
      <w:rPr>
        <w:sz w:val="21"/>
      </w:rPr>
      <w:fldChar w:fldCharType="begin"/>
    </w:r>
    <w:r>
      <w:rPr>
        <w:sz w:val="21"/>
      </w:rPr>
      <w:instrText xml:space="preserve"> PAGE </w:instrText>
    </w:r>
    <w:r>
      <w:rPr>
        <w:sz w:val="21"/>
      </w:rPr>
      <w:fldChar w:fldCharType="end"/>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EC3F42">
    <w:pPr>
      <w:jc w:val="center"/>
    </w:pPr>
    <w:r>
      <w:rPr>
        <w:sz w:val="21"/>
      </w:rPr>
      <w:fldChar w:fldCharType="begin"/>
    </w:r>
    <w:r>
      <w:rPr>
        <w:sz w:val="21"/>
      </w:rPr>
      <w:instrText xml:space="preserve"> PAGE </w:instrText>
    </w:r>
    <w:r>
      <w:rPr>
        <w:sz w:val="21"/>
      </w:rPr>
      <w:fldChar w:fldCharType="end"/>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B49F50">
    <w:pPr>
      <w:jc w:val="center"/>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9C648">
    <w:pPr>
      <w:jc w:val="center"/>
    </w:pPr>
    <w:r>
      <w:rPr>
        <w:sz w:val="21"/>
      </w:rPr>
      <w:fldChar w:fldCharType="begin"/>
    </w:r>
    <w:r>
      <w:rPr>
        <w:sz w:val="21"/>
      </w:rPr>
      <w:instrText xml:space="preserve"> PAGE </w:instrText>
    </w:r>
    <w:r>
      <w:rPr>
        <w:sz w:val="21"/>
      </w:rPr>
      <w:fldChar w:fldCharType="end"/>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D5813B">
    <w:pPr>
      <w:jc w:val="center"/>
    </w:pPr>
    <w:r>
      <w:rPr>
        <w:sz w:val="21"/>
      </w:rPr>
      <w:fldChar w:fldCharType="begin"/>
    </w:r>
    <w:r>
      <w:rPr>
        <w:sz w:val="21"/>
      </w:rPr>
      <w:instrText xml:space="preserve"> PAGE </w:instrText>
    </w:r>
    <w:r>
      <w:rPr>
        <w:sz w:val="21"/>
      </w:rPr>
      <w:fldChar w:fldCharType="end"/>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B1810A">
    <w:pPr>
      <w:jc w:val="center"/>
    </w:pPr>
    <w:r>
      <w:rPr>
        <w:sz w:val="21"/>
      </w:rPr>
      <w:fldChar w:fldCharType="begin"/>
    </w:r>
    <w:r>
      <w:rPr>
        <w:sz w:val="21"/>
      </w:rPr>
      <w:instrText xml:space="preserve"> PAGE </w:instrText>
    </w:r>
    <w:r>
      <w:rPr>
        <w:sz w:val="21"/>
      </w:rPr>
      <w:fldChar w:fldCharType="end"/>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56E7A6">
    <w:pPr>
      <w:jc w:val="center"/>
    </w:pPr>
    <w:r>
      <w:rPr>
        <w:sz w:val="21"/>
      </w:rPr>
      <w:fldChar w:fldCharType="begin"/>
    </w:r>
    <w:r>
      <w:rPr>
        <w:sz w:val="21"/>
      </w:rPr>
      <w:instrText xml:space="preserve"> PAGE </w:instrText>
    </w:r>
    <w:r>
      <w:rPr>
        <w:sz w:val="21"/>
      </w:rPr>
      <w:fldChar w:fldCharType="end"/>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FD9F5D">
    <w:pPr>
      <w:jc w:val="center"/>
    </w:pPr>
    <w:r>
      <w:rPr>
        <w:sz w:val="21"/>
      </w:rPr>
      <w:fldChar w:fldCharType="begin"/>
    </w:r>
    <w:r>
      <w:rPr>
        <w:sz w:val="21"/>
      </w:rPr>
      <w:instrText xml:space="preserve"> PAGE </w:instrText>
    </w:r>
    <w:r>
      <w:rPr>
        <w:sz w:val="21"/>
      </w:rPr>
      <w:fldChar w:fldCharType="end"/>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F6D5D2">
    <w:pPr>
      <w:jc w:val="center"/>
    </w:pPr>
    <w:r>
      <w:rPr>
        <w:sz w:val="21"/>
      </w:rPr>
      <w:fldChar w:fldCharType="begin"/>
    </w:r>
    <w:r>
      <w:rPr>
        <w:sz w:val="21"/>
      </w:rPr>
      <w:instrText xml:space="preserve"> PAGE </w:instrText>
    </w:r>
    <w:r>
      <w:rPr>
        <w:sz w:val="21"/>
      </w:rPr>
      <w:fldChar w:fldCharType="end"/>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553C3F">
    <w:pPr>
      <w:jc w:val="center"/>
    </w:pPr>
    <w:r>
      <w:rPr>
        <w:sz w:val="21"/>
      </w:rPr>
      <w:fldChar w:fldCharType="begin"/>
    </w:r>
    <w:r>
      <w:rPr>
        <w:sz w:val="21"/>
      </w:rPr>
      <w:instrText xml:space="preserve"> PAGE </w:instrText>
    </w:r>
    <w:r>
      <w:rPr>
        <w:sz w:val="21"/>
      </w:rPr>
      <w:fldChar w:fldCharType="end"/>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37A174">
    <w:pPr>
      <w:jc w:val="center"/>
    </w:pPr>
    <w:r>
      <w:rPr>
        <w:sz w:val="21"/>
      </w:rPr>
      <w:fldChar w:fldCharType="begin"/>
    </w:r>
    <w:r>
      <w:rPr>
        <w:sz w:val="21"/>
      </w:rPr>
      <w:instrText xml:space="preserve"> PAGE </w:instrText>
    </w:r>
    <w:r>
      <w:rPr>
        <w:sz w:val="21"/>
      </w:rPr>
      <w:fldChar w:fldCharType="end"/>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63E357">
    <w:pPr>
      <w:jc w:val="center"/>
    </w:pPr>
    <w:r>
      <w:rPr>
        <w:sz w:val="21"/>
      </w:rPr>
      <w:fldChar w:fldCharType="begin"/>
    </w:r>
    <w:r>
      <w:rPr>
        <w:sz w:val="21"/>
      </w:rPr>
      <w:instrText xml:space="preserve"> PAGE </w:instrText>
    </w:r>
    <w:r>
      <w:rPr>
        <w:sz w:val="21"/>
      </w:rPr>
      <w:fldChar w:fldCharType="end"/>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80560D">
    <w:pPr>
      <w:jc w:val="center"/>
    </w:pPr>
    <w:r>
      <w:rPr>
        <w:sz w:val="21"/>
      </w:rPr>
      <w:fldChar w:fldCharType="begin"/>
    </w:r>
    <w:r>
      <w:rPr>
        <w:sz w:val="21"/>
      </w:rPr>
      <w:instrText xml:space="preserve"> PAGE </w:instrText>
    </w:r>
    <w:r>
      <w:rPr>
        <w:sz w:val="21"/>
      </w:rPr>
      <w:fldChar w:fldCharType="end"/>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588926">
    <w:pPr>
      <w:jc w:val="center"/>
    </w:pPr>
    <w:r>
      <w:rPr>
        <w:sz w:val="21"/>
      </w:rPr>
      <w:fldChar w:fldCharType="begin"/>
    </w:r>
    <w:r>
      <w:rPr>
        <w:sz w:val="21"/>
      </w:rPr>
      <w:instrText xml:space="preserve"> PAGE </w:instrText>
    </w:r>
    <w:r>
      <w:rPr>
        <w:sz w:val="21"/>
      </w:rPr>
      <w:fldChar w:fldCharType="end"/>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0B6A97">
    <w:pPr>
      <w:jc w:val="center"/>
    </w:pPr>
    <w:r>
      <w:rPr>
        <w:sz w:val="21"/>
      </w:rPr>
      <w:fldChar w:fldCharType="begin"/>
    </w:r>
    <w:r>
      <w:rPr>
        <w:sz w:val="21"/>
      </w:rPr>
      <w:instrText xml:space="preserve"> PAGE </w:instrText>
    </w:r>
    <w:r>
      <w:rPr>
        <w:sz w:val="21"/>
      </w:rPr>
      <w:fldChar w:fldCharType="end"/>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C72396">
    <w:pPr>
      <w:jc w:val="center"/>
    </w:pPr>
    <w:r>
      <w:rPr>
        <w:sz w:val="21"/>
      </w:rPr>
      <w:fldChar w:fldCharType="begin"/>
    </w:r>
    <w:r>
      <w:rPr>
        <w:sz w:val="21"/>
      </w:rPr>
      <w:instrText xml:space="preserve"> PAGE </w:instrText>
    </w:r>
    <w:r>
      <w:rPr>
        <w:sz w:val="21"/>
      </w:rPr>
      <w:fldChar w:fldCharType="end"/>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D091F6">
    <w:pPr>
      <w:jc w:val="center"/>
    </w:pPr>
    <w:r>
      <w:rPr>
        <w:sz w:val="21"/>
      </w:rPr>
      <w:fldChar w:fldCharType="begin"/>
    </w:r>
    <w:r>
      <w:rPr>
        <w:sz w:val="21"/>
      </w:rPr>
      <w:instrText xml:space="preserve"> PAGE </w:instrText>
    </w:r>
    <w:r>
      <w:rPr>
        <w:sz w:val="21"/>
      </w:rPr>
      <w:fldChar w:fldCharType="end"/>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E34F28">
    <w:pPr>
      <w:jc w:val="center"/>
    </w:pPr>
    <w:r>
      <w:rPr>
        <w:sz w:val="21"/>
      </w:rPr>
      <w:fldChar w:fldCharType="begin"/>
    </w:r>
    <w:r>
      <w:rPr>
        <w:sz w:val="21"/>
      </w:rPr>
      <w:instrText xml:space="preserve"> PAGE </w:instrText>
    </w:r>
    <w:r>
      <w:rPr>
        <w:sz w:val="21"/>
      </w:rPr>
      <w:fldChar w:fldCharType="end"/>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C61BED">
    <w:pPr>
      <w:jc w:val="center"/>
    </w:pPr>
    <w:r>
      <w:rPr>
        <w:sz w:val="21"/>
      </w:rPr>
      <w:fldChar w:fldCharType="begin"/>
    </w:r>
    <w:r>
      <w:rPr>
        <w:sz w:val="21"/>
      </w:rPr>
      <w:instrText xml:space="preserve"> PAGE </w:instrText>
    </w:r>
    <w:r>
      <w:rPr>
        <w:sz w:val="21"/>
      </w:rPr>
      <w:fldChar w:fldCharType="end"/>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966571">
    <w:pPr>
      <w:jc w:val="center"/>
    </w:pPr>
    <w:r>
      <w:rPr>
        <w:sz w:val="21"/>
      </w:rPr>
      <w:fldChar w:fldCharType="begin"/>
    </w:r>
    <w:r>
      <w:rPr>
        <w:sz w:val="21"/>
      </w:rPr>
      <w:instrText xml:space="preserve"> PAGE </w:instrText>
    </w:r>
    <w:r>
      <w:rPr>
        <w:sz w:val="21"/>
      </w:rPr>
      <w:fldChar w:fldCharType="end"/>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09262E">
    <w:pPr>
      <w:jc w:val="center"/>
    </w:pPr>
    <w:r>
      <w:rPr>
        <w:sz w:val="21"/>
      </w:rPr>
      <w:fldChar w:fldCharType="begin"/>
    </w:r>
    <w:r>
      <w:rPr>
        <w:sz w:val="21"/>
      </w:rPr>
      <w:instrText xml:space="preserve"> PAGE </w:instrText>
    </w:r>
    <w:r>
      <w:rPr>
        <w:sz w:val="21"/>
      </w:rPr>
      <w:fldChar w:fldCharType="end"/>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EA1CA1">
    <w:pPr>
      <w:jc w:val="center"/>
    </w:pPr>
    <w:r>
      <w:rPr>
        <w:sz w:val="21"/>
      </w:rPr>
      <w:fldChar w:fldCharType="begin"/>
    </w:r>
    <w:r>
      <w:rPr>
        <w:sz w:val="21"/>
      </w:rPr>
      <w:instrText xml:space="preserve"> PAGE </w:instrText>
    </w:r>
    <w:r>
      <w:rPr>
        <w:sz w:val="21"/>
      </w:rPr>
      <w:fldChar w:fldCharType="end"/>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6D4FB7">
    <w:pPr>
      <w:jc w:val="center"/>
    </w:pPr>
    <w:r>
      <w:rPr>
        <w:sz w:val="21"/>
      </w:rPr>
      <w:fldChar w:fldCharType="begin"/>
    </w:r>
    <w:r>
      <w:rPr>
        <w:sz w:val="21"/>
      </w:rPr>
      <w:instrText xml:space="preserve"> PAGE </w:instrText>
    </w:r>
    <w:r>
      <w:rPr>
        <w:sz w:val="21"/>
      </w:rPr>
      <w:fldChar w:fldCharType="end"/>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127C40">
    <w:pPr>
      <w:jc w:val="center"/>
    </w:pPr>
    <w:r>
      <w:rPr>
        <w:sz w:val="21"/>
      </w:rPr>
      <w:fldChar w:fldCharType="begin"/>
    </w:r>
    <w:r>
      <w:rPr>
        <w:sz w:val="21"/>
      </w:rPr>
      <w:instrText xml:space="preserve"> PAGE </w:instrText>
    </w:r>
    <w:r>
      <w:rPr>
        <w:sz w:val="21"/>
      </w:rPr>
      <w:fldChar w:fldCharType="end"/>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A2DCFA">
    <w:pPr>
      <w:jc w:val="center"/>
    </w:pPr>
    <w:r>
      <w:rPr>
        <w:sz w:val="21"/>
      </w:rPr>
      <w:fldChar w:fldCharType="begin"/>
    </w:r>
    <w:r>
      <w:rPr>
        <w:sz w:val="21"/>
      </w:rPr>
      <w:instrText xml:space="preserve"> PAGE </w:instrText>
    </w:r>
    <w:r>
      <w:rPr>
        <w:sz w:val="21"/>
      </w:rPr>
      <w:fldChar w:fldCharType="end"/>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C4C254">
    <w:pPr>
      <w:jc w:val="center"/>
    </w:pP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F8B225">
    <w:pPr>
      <w:jc w:val="center"/>
    </w:pPr>
    <w:r>
      <w:rPr>
        <w:sz w:val="21"/>
      </w:rPr>
      <w:fldChar w:fldCharType="begin"/>
    </w:r>
    <w:r>
      <w:rPr>
        <w:sz w:val="21"/>
      </w:rPr>
      <w:instrText xml:space="preserve"> PAGE </w:instrText>
    </w:r>
    <w:r>
      <w:rPr>
        <w:sz w:val="21"/>
      </w:rPr>
      <w:fldChar w:fldCharType="end"/>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9711F8">
    <w:pPr>
      <w:jc w:val="center"/>
    </w:pPr>
    <w:r>
      <w:rPr>
        <w:sz w:val="21"/>
      </w:rPr>
      <w:fldChar w:fldCharType="begin"/>
    </w:r>
    <w:r>
      <w:rPr>
        <w:sz w:val="21"/>
      </w:rPr>
      <w:instrText xml:space="preserve"> PAGE </w:instrText>
    </w:r>
    <w:r>
      <w:rPr>
        <w:sz w:val="21"/>
      </w:rPr>
      <w:fldChar w:fldCharType="end"/>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F5984F">
    <w:pPr>
      <w:jc w:val="center"/>
    </w:pPr>
    <w:r>
      <w:rPr>
        <w:sz w:val="21"/>
      </w:rPr>
      <w:fldChar w:fldCharType="begin"/>
    </w:r>
    <w:r>
      <w:rPr>
        <w:sz w:val="21"/>
      </w:rPr>
      <w:instrText xml:space="preserve"> PAGE </w:instrText>
    </w:r>
    <w:r>
      <w:rPr>
        <w:sz w:val="21"/>
      </w:rPr>
      <w:fldChar w:fldCharType="end"/>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11BD8A">
    <w:pPr>
      <w:jc w:val="center"/>
    </w:pPr>
    <w:r>
      <w:rPr>
        <w:sz w:val="21"/>
      </w:rPr>
      <w:fldChar w:fldCharType="begin"/>
    </w:r>
    <w:r>
      <w:rPr>
        <w:sz w:val="21"/>
      </w:rPr>
      <w:instrText xml:space="preserve"> PAGE </w:instrText>
    </w:r>
    <w:r>
      <w:rPr>
        <w:sz w:val="21"/>
      </w:rPr>
      <w:fldChar w:fldCharType="end"/>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F13199">
    <w:pPr>
      <w:jc w:val="center"/>
    </w:pPr>
    <w:r>
      <w:rPr>
        <w:sz w:val="21"/>
      </w:rPr>
      <w:fldChar w:fldCharType="begin"/>
    </w:r>
    <w:r>
      <w:rPr>
        <w:sz w:val="21"/>
      </w:rPr>
      <w:instrText xml:space="preserve"> PAGE </w:instrText>
    </w:r>
    <w:r>
      <w:rPr>
        <w:sz w:val="21"/>
      </w:rPr>
      <w:fldChar w:fldCharType="end"/>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BD95CB">
    <w:pPr>
      <w:jc w:val="center"/>
    </w:pPr>
    <w:r>
      <w:rPr>
        <w:sz w:val="21"/>
      </w:rPr>
      <w:fldChar w:fldCharType="begin"/>
    </w:r>
    <w:r>
      <w:rPr>
        <w:sz w:val="21"/>
      </w:rPr>
      <w:instrText xml:space="preserve"> PAGE </w:instrText>
    </w:r>
    <w:r>
      <w:rPr>
        <w:sz w:val="21"/>
      </w:rPr>
      <w:fldChar w:fldCharType="end"/>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F8BAE5">
    <w:pPr>
      <w:jc w:val="center"/>
    </w:pPr>
    <w:r>
      <w:rPr>
        <w:sz w:val="21"/>
      </w:rPr>
      <w:fldChar w:fldCharType="begin"/>
    </w:r>
    <w:r>
      <w:rPr>
        <w:sz w:val="21"/>
      </w:rPr>
      <w:instrText xml:space="preserve"> PAGE </w:instrText>
    </w:r>
    <w:r>
      <w:rPr>
        <w:sz w:val="21"/>
      </w:rPr>
      <w:fldChar w:fldCharType="end"/>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99C86F">
    <w:pPr>
      <w:jc w:val="center"/>
    </w:pPr>
    <w:r>
      <w:rPr>
        <w:sz w:val="21"/>
      </w:rPr>
      <w:fldChar w:fldCharType="begin"/>
    </w:r>
    <w:r>
      <w:rPr>
        <w:sz w:val="21"/>
      </w:rPr>
      <w:instrText xml:space="preserve"> PAGE </w:instrText>
    </w:r>
    <w:r>
      <w:rPr>
        <w:sz w:val="21"/>
      </w:rPr>
      <w:fldChar w:fldCharType="end"/>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23F5AB">
    <w:pPr>
      <w:jc w:val="center"/>
    </w:pPr>
    <w:r>
      <w:rPr>
        <w:sz w:val="21"/>
      </w:rPr>
      <w:fldChar w:fldCharType="begin"/>
    </w:r>
    <w:r>
      <w:rPr>
        <w:sz w:val="21"/>
      </w:rPr>
      <w:instrText xml:space="preserve"> PAGE </w:instrText>
    </w:r>
    <w:r>
      <w:rPr>
        <w:sz w:val="21"/>
      </w:rPr>
      <w:fldChar w:fldCharType="end"/>
    </w: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9480A5">
    <w:pPr>
      <w:jc w:val="center"/>
    </w:pPr>
    <w:r>
      <w:rPr>
        <w:sz w:val="21"/>
      </w:rPr>
      <w:fldChar w:fldCharType="begin"/>
    </w:r>
    <w:r>
      <w:rPr>
        <w:sz w:val="21"/>
      </w:rPr>
      <w:instrText xml:space="preserve"> PAGE </w:instrText>
    </w:r>
    <w:r>
      <w:rPr>
        <w:sz w:val="21"/>
      </w:rPr>
      <w:fldChar w:fldCharType="end"/>
    </w: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18296E">
    <w:pPr>
      <w:jc w:val="center"/>
    </w:pPr>
    <w:r>
      <w:rPr>
        <w:sz w:val="21"/>
      </w:rPr>
      <w:fldChar w:fldCharType="begin"/>
    </w:r>
    <w:r>
      <w:rPr>
        <w:sz w:val="21"/>
      </w:rPr>
      <w:instrText xml:space="preserve"> PAGE </w:instrText>
    </w:r>
    <w:r>
      <w:rPr>
        <w:sz w:val="21"/>
      </w:rPr>
      <w:fldChar w:fldCharType="end"/>
    </w: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DF0A6A">
    <w:pPr>
      <w:jc w:val="center"/>
    </w:pPr>
    <w:r>
      <w:rPr>
        <w:sz w:val="21"/>
      </w:rPr>
      <w:fldChar w:fldCharType="begin"/>
    </w:r>
    <w:r>
      <w:rPr>
        <w:sz w:val="21"/>
      </w:rPr>
      <w:instrText xml:space="preserve"> PAGE </w:instrText>
    </w:r>
    <w:r>
      <w:rPr>
        <w:sz w:val="21"/>
      </w:rPr>
      <w:fldChar w:fldCharType="end"/>
    </w: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BF9DC3">
    <w:pPr>
      <w:jc w:val="center"/>
    </w:pPr>
    <w:r>
      <w:rPr>
        <w:sz w:val="21"/>
      </w:rPr>
      <w:fldChar w:fldCharType="begin"/>
    </w:r>
    <w:r>
      <w:rPr>
        <w:sz w:val="21"/>
      </w:rPr>
      <w:instrText xml:space="preserve"> PAGE </w:instrText>
    </w:r>
    <w:r>
      <w:rPr>
        <w:sz w:val="21"/>
      </w:rPr>
      <w:fldChar w:fldCharType="end"/>
    </w: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D78079">
    <w:pPr>
      <w:jc w:val="center"/>
    </w:pPr>
    <w:r>
      <w:rPr>
        <w:sz w:val="21"/>
      </w:rPr>
      <w:fldChar w:fldCharType="begin"/>
    </w:r>
    <w:r>
      <w:rPr>
        <w:sz w:val="21"/>
      </w:rPr>
      <w:instrText xml:space="preserve"> PAGE </w:instrText>
    </w:r>
    <w:r>
      <w:rPr>
        <w:sz w:val="21"/>
      </w:rPr>
      <w:fldChar w:fldCharType="end"/>
    </w: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CE2BD6">
    <w:pPr>
      <w:jc w:val="center"/>
    </w:pPr>
    <w:r>
      <w:rPr>
        <w:sz w:val="21"/>
      </w:rPr>
      <w:fldChar w:fldCharType="begin"/>
    </w:r>
    <w:r>
      <w:rPr>
        <w:sz w:val="21"/>
      </w:rPr>
      <w:instrText xml:space="preserve"> PAGE </w:instrText>
    </w:r>
    <w:r>
      <w:rPr>
        <w:sz w:val="21"/>
      </w:rPr>
      <w:fldChar w:fldCharType="end"/>
    </w: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7E57FE">
    <w:pPr>
      <w:jc w:val="center"/>
    </w:pPr>
    <w:r>
      <w:rPr>
        <w:sz w:val="21"/>
      </w:rPr>
      <w:fldChar w:fldCharType="begin"/>
    </w:r>
    <w:r>
      <w:rPr>
        <w:sz w:val="21"/>
      </w:rPr>
      <w:instrText xml:space="preserve"> PAGE </w:instrText>
    </w:r>
    <w:r>
      <w:rPr>
        <w:sz w:val="21"/>
      </w:rPr>
      <w:fldChar w:fldCharType="end"/>
    </w:r>
  </w:p>
</w:ftr>
</file>

<file path=word/footer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676A67">
    <w:pPr>
      <w:jc w:val="center"/>
    </w:pPr>
    <w:r>
      <w:rPr>
        <w:sz w:val="21"/>
      </w:rPr>
      <w:fldChar w:fldCharType="begin"/>
    </w:r>
    <w:r>
      <w:rPr>
        <w:sz w:val="21"/>
      </w:rPr>
      <w:instrText xml:space="preserve"> PAGE </w:instrText>
    </w:r>
    <w:r>
      <w:rPr>
        <w:sz w:val="21"/>
      </w:rPr>
      <w:fldChar w:fldCharType="end"/>
    </w:r>
  </w:p>
</w:ftr>
</file>

<file path=word/footer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F64793">
    <w:pPr>
      <w:jc w:val="center"/>
    </w:pPr>
    <w:r>
      <w:rPr>
        <w:sz w:val="21"/>
      </w:rPr>
      <w:fldChar w:fldCharType="begin"/>
    </w:r>
    <w:r>
      <w:rPr>
        <w:sz w:val="21"/>
      </w:rPr>
      <w:instrText xml:space="preserve"> PAGE </w:instrText>
    </w:r>
    <w:r>
      <w:rPr>
        <w:sz w:val="21"/>
      </w:rPr>
      <w:fldChar w:fldCharType="end"/>
    </w:r>
  </w:p>
</w:ftr>
</file>

<file path=word/footer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3995E4">
    <w:pPr>
      <w:jc w:val="center"/>
    </w:pPr>
    <w:r>
      <w:rPr>
        <w:sz w:val="21"/>
      </w:rPr>
      <w:fldChar w:fldCharType="begin"/>
    </w:r>
    <w:r>
      <w:rPr>
        <w:sz w:val="21"/>
      </w:rPr>
      <w:instrText xml:space="preserve"> PAGE </w:instrText>
    </w:r>
    <w:r>
      <w:rPr>
        <w:sz w:val="21"/>
      </w:rPr>
      <w:fldChar w:fldCharType="end"/>
    </w:r>
  </w:p>
</w:ftr>
</file>

<file path=word/footer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826915">
    <w:pPr>
      <w:jc w:val="center"/>
    </w:pPr>
    <w:r>
      <w:rPr>
        <w:sz w:val="21"/>
      </w:rPr>
      <w:fldChar w:fldCharType="begin"/>
    </w:r>
    <w:r>
      <w:rPr>
        <w:sz w:val="21"/>
      </w:rPr>
      <w:instrText xml:space="preserve"> PAGE </w:instrText>
    </w:r>
    <w:r>
      <w:rPr>
        <w:sz w:val="21"/>
      </w:rPr>
      <w:fldChar w:fldCharType="end"/>
    </w:r>
  </w:p>
</w:ftr>
</file>

<file path=word/footer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5DE1E9">
    <w:pPr>
      <w:jc w:val="center"/>
    </w:pPr>
    <w:r>
      <w:rPr>
        <w:sz w:val="21"/>
      </w:rPr>
      <w:fldChar w:fldCharType="begin"/>
    </w:r>
    <w:r>
      <w:rPr>
        <w:sz w:val="21"/>
      </w:rPr>
      <w:instrText xml:space="preserve"> PAGE </w:instrText>
    </w:r>
    <w:r>
      <w:rPr>
        <w:sz w:val="21"/>
      </w:rPr>
      <w:fldChar w:fldCharType="end"/>
    </w:r>
  </w:p>
</w:ftr>
</file>

<file path=word/footer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402B55">
    <w:pPr>
      <w:jc w:val="center"/>
    </w:pPr>
  </w:p>
</w:ftr>
</file>

<file path=word/footer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2384C7">
    <w:pPr>
      <w:jc w:val="center"/>
    </w:pPr>
    <w:r>
      <w:rPr>
        <w:sz w:val="21"/>
      </w:rPr>
      <w:fldChar w:fldCharType="begin"/>
    </w:r>
    <w:r>
      <w:rPr>
        <w:sz w:val="21"/>
      </w:rPr>
      <w:instrText xml:space="preserve"> PAGE </w:instrText>
    </w:r>
    <w:r>
      <w:rPr>
        <w:sz w:val="21"/>
      </w:rPr>
      <w:fldChar w:fldCharType="end"/>
    </w:r>
  </w:p>
</w:ftr>
</file>

<file path=word/footer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865E4C">
    <w:pPr>
      <w:jc w:val="center"/>
    </w:pPr>
    <w:r>
      <w:rPr>
        <w:sz w:val="21"/>
      </w:rPr>
      <w:fldChar w:fldCharType="begin"/>
    </w:r>
    <w:r>
      <w:rPr>
        <w:sz w:val="21"/>
      </w:rPr>
      <w:instrText xml:space="preserve"> PAGE </w:instrText>
    </w:r>
    <w:r>
      <w:rPr>
        <w:sz w:val="21"/>
      </w:rPr>
      <w:fldChar w:fldCharType="end"/>
    </w:r>
  </w:p>
</w:ftr>
</file>

<file path=word/footer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065AF0">
    <w:pPr>
      <w:jc w:val="center"/>
    </w:pPr>
    <w:r>
      <w:rPr>
        <w:sz w:val="21"/>
      </w:rPr>
      <w:fldChar w:fldCharType="begin"/>
    </w:r>
    <w:r>
      <w:rPr>
        <w:sz w:val="21"/>
      </w:rPr>
      <w:instrText xml:space="preserve"> PAGE </w:instrText>
    </w:r>
    <w:r>
      <w:rPr>
        <w:sz w:val="21"/>
      </w:rPr>
      <w:fldChar w:fldCharType="end"/>
    </w:r>
  </w:p>
</w:ftr>
</file>

<file path=word/footer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951722">
    <w:pPr>
      <w:jc w:val="center"/>
    </w:pPr>
    <w:r>
      <w:rPr>
        <w:sz w:val="21"/>
      </w:rPr>
      <w:fldChar w:fldCharType="begin"/>
    </w:r>
    <w:r>
      <w:rPr>
        <w:sz w:val="21"/>
      </w:rPr>
      <w:instrText xml:space="preserve"> PAGE </w:instrText>
    </w:r>
    <w:r>
      <w:rPr>
        <w:sz w:val="21"/>
      </w:rPr>
      <w:fldChar w:fldCharType="end"/>
    </w:r>
  </w:p>
</w:ftr>
</file>

<file path=word/footer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1563F0">
    <w:pPr>
      <w:jc w:val="center"/>
    </w:pPr>
    <w:r>
      <w:rPr>
        <w:sz w:val="21"/>
      </w:rPr>
      <w:fldChar w:fldCharType="begin"/>
    </w:r>
    <w:r>
      <w:rPr>
        <w:sz w:val="21"/>
      </w:rPr>
      <w:instrText xml:space="preserve"> PAGE </w:instrText>
    </w:r>
    <w:r>
      <w:rPr>
        <w:sz w:val="21"/>
      </w:rPr>
      <w:fldChar w:fldCharType="end"/>
    </w:r>
  </w:p>
</w:ftr>
</file>

<file path=word/footer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DCCD7B">
    <w:pPr>
      <w:jc w:val="center"/>
    </w:pPr>
    <w:r>
      <w:rPr>
        <w:sz w:val="21"/>
      </w:rPr>
      <w:fldChar w:fldCharType="begin"/>
    </w:r>
    <w:r>
      <w:rPr>
        <w:sz w:val="21"/>
      </w:rPr>
      <w:instrText xml:space="preserve"> PAGE </w:instrText>
    </w:r>
    <w:r>
      <w:rPr>
        <w:sz w:val="21"/>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60C3BC"/>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809CE9"/>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85B5F7"/>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1EAE01"/>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F6F9E7"/>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4EA0D2"/>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422A0B"/>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29E096"/>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7D879D"/>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94502C"/>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80B17B"/>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E51C83"/>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CBCEDB"/>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35DA7B"/>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ABEF6C"/>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EF520D"/>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B47A75"/>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BE553A"/>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5CC8C1"/>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65726A"/>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4205FE"/>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5DCAE7"/>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8E3166"/>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93569B"/>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AF454A"/>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5E53EF"/>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EA366D"/>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8D34D2"/>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854689"/>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8C63F7"/>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6DF439"/>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88D4EE"/>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DBAD86"/>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78F71E"/>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32DE24"/>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33A1A4"/>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A24CFE"/>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991E7A"/>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3358FD"/>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17E188"/>
</w:hdr>
</file>

<file path=word/header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EFE382"/>
</w:hdr>
</file>

<file path=word/header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939338"/>
</w:hdr>
</file>

<file path=word/header4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398F42"/>
</w:hdr>
</file>

<file path=word/header4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3C1B4F"/>
</w:hdr>
</file>

<file path=word/header4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44C0B8"/>
</w:hdr>
</file>

<file path=word/header4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5AC2DC"/>
</w:hdr>
</file>

<file path=word/header4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DDB035"/>
</w:hdr>
</file>

<file path=word/header4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566650"/>
</w:hdr>
</file>

<file path=word/header4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50910F"/>
</w:hdr>
</file>

<file path=word/header5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A4084A"/>
</w:hdr>
</file>

<file path=word/header5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E3E787"/>
</w:hdr>
</file>

<file path=word/header5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F17E15"/>
</w:hdr>
</file>

<file path=word/header5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7DDA11"/>
</w:hdr>
</file>

<file path=word/header5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51A50E"/>
</w:hdr>
</file>

<file path=word/header5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82CE7F"/>
</w:hdr>
</file>

<file path=word/header5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13BD8B"/>
</w:hdr>
</file>

<file path=word/header5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2C6BB8"/>
</w:hdr>
</file>

<file path=word/header5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ED705C"/>
</w:hdr>
</file>

<file path=word/header5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8B011E"/>
</w:hdr>
</file>

<file path=word/header6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CD64BB"/>
</w:hdr>
</file>

<file path=word/header6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327C4F"/>
</w:hdr>
</file>

<file path=word/header6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7FE71C"/>
</w:hdr>
</file>

<file path=word/header6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FFD52A"/>
</w:hdr>
</file>

<file path=word/header6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F2E94B"/>
</w:hdr>
</file>

<file path=word/header6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26A079"/>
</w:hdr>
</file>

<file path=word/header6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04491B"/>
</w:hdr>
</file>

<file path=word/header6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14908C"/>
</w:hdr>
</file>

<file path=word/header6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DE97AE"/>
</w:hdr>
</file>

<file path=word/header6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CF62E2"/>
</w:hdr>
</file>

<file path=word/header7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7BD9D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6C1F10"/>
    <w:multiLevelType w:val="singleLevel"/>
    <w:tmpl w:val="8F6C1F10"/>
    <w:lvl w:ilvl="0" w:tentative="0">
      <w:start w:val="2"/>
      <w:numFmt w:val="decimal"/>
      <w:suff w:val="nothing"/>
      <w:lvlText w:val="%1、"/>
      <w:lvlJc w:val="left"/>
    </w:lvl>
  </w:abstractNum>
  <w:abstractNum w:abstractNumId="1">
    <w:nsid w:val="966B9AE8"/>
    <w:multiLevelType w:val="singleLevel"/>
    <w:tmpl w:val="966B9AE8"/>
    <w:lvl w:ilvl="0" w:tentative="0">
      <w:start w:val="1"/>
      <w:numFmt w:val="chineseCounting"/>
      <w:suff w:val="space"/>
      <w:lvlText w:val="第%1节"/>
      <w:lvlJc w:val="left"/>
      <w:rPr>
        <w:rFonts w:hint="eastAsia"/>
      </w:rPr>
    </w:lvl>
  </w:abstractNum>
  <w:abstractNum w:abstractNumId="2">
    <w:nsid w:val="968BE045"/>
    <w:multiLevelType w:val="singleLevel"/>
    <w:tmpl w:val="968BE045"/>
    <w:lvl w:ilvl="0" w:tentative="0">
      <w:start w:val="1"/>
      <w:numFmt w:val="chineseCounting"/>
      <w:suff w:val="space"/>
      <w:lvlText w:val="第%1章"/>
      <w:legacy w:legacy="1" w:legacySpace="0" w:legacyIndent="0"/>
      <w:lvlJc w:val="left"/>
      <w:pPr>
        <w:ind w:left="0" w:firstLine="0"/>
      </w:pPr>
      <w:rPr>
        <w:rFonts w:hint="eastAsia"/>
      </w:rPr>
    </w:lvl>
  </w:abstractNum>
  <w:abstractNum w:abstractNumId="3">
    <w:nsid w:val="A2318E9D"/>
    <w:multiLevelType w:val="singleLevel"/>
    <w:tmpl w:val="A2318E9D"/>
    <w:lvl w:ilvl="0" w:tentative="0">
      <w:start w:val="1"/>
      <w:numFmt w:val="decimal"/>
      <w:suff w:val="nothing"/>
      <w:lvlText w:val="%1、"/>
      <w:lvlJc w:val="left"/>
    </w:lvl>
  </w:abstractNum>
  <w:abstractNum w:abstractNumId="4">
    <w:nsid w:val="B8FA9CE8"/>
    <w:multiLevelType w:val="singleLevel"/>
    <w:tmpl w:val="B8FA9CE8"/>
    <w:lvl w:ilvl="0" w:tentative="0">
      <w:start w:val="1"/>
      <w:numFmt w:val="decimal"/>
      <w:suff w:val="nothing"/>
      <w:lvlText w:val="%1、"/>
      <w:lvlJc w:val="left"/>
    </w:lvl>
  </w:abstractNum>
  <w:abstractNum w:abstractNumId="5">
    <w:nsid w:val="BAB094D9"/>
    <w:multiLevelType w:val="singleLevel"/>
    <w:tmpl w:val="BAB094D9"/>
    <w:lvl w:ilvl="0" w:tentative="0">
      <w:start w:val="1"/>
      <w:numFmt w:val="decimal"/>
      <w:lvlText w:val="%1."/>
      <w:lvlJc w:val="left"/>
      <w:pPr>
        <w:tabs>
          <w:tab w:val="left" w:pos="312"/>
        </w:tabs>
      </w:pPr>
    </w:lvl>
  </w:abstractNum>
  <w:abstractNum w:abstractNumId="6">
    <w:nsid w:val="BBEE961F"/>
    <w:multiLevelType w:val="singleLevel"/>
    <w:tmpl w:val="BBEE961F"/>
    <w:lvl w:ilvl="0" w:tentative="0">
      <w:start w:val="1"/>
      <w:numFmt w:val="chineseCounting"/>
      <w:suff w:val="space"/>
      <w:lvlText w:val="第%1节"/>
      <w:lvlJc w:val="left"/>
      <w:rPr>
        <w:rFonts w:hint="eastAsia"/>
      </w:rPr>
    </w:lvl>
  </w:abstractNum>
  <w:abstractNum w:abstractNumId="7">
    <w:nsid w:val="C5A8FCFE"/>
    <w:multiLevelType w:val="singleLevel"/>
    <w:tmpl w:val="C5A8FCFE"/>
    <w:lvl w:ilvl="0" w:tentative="0">
      <w:start w:val="1"/>
      <w:numFmt w:val="decimal"/>
      <w:lvlText w:val="%1."/>
      <w:lvlJc w:val="left"/>
      <w:pPr>
        <w:tabs>
          <w:tab w:val="left" w:pos="312"/>
        </w:tabs>
      </w:pPr>
    </w:lvl>
  </w:abstractNum>
  <w:abstractNum w:abstractNumId="8">
    <w:nsid w:val="DAE156CD"/>
    <w:multiLevelType w:val="singleLevel"/>
    <w:tmpl w:val="DAE156CD"/>
    <w:lvl w:ilvl="0" w:tentative="0">
      <w:start w:val="1"/>
      <w:numFmt w:val="decimal"/>
      <w:lvlText w:val="%1."/>
      <w:lvlJc w:val="left"/>
      <w:pPr>
        <w:tabs>
          <w:tab w:val="left" w:pos="312"/>
        </w:tabs>
      </w:pPr>
    </w:lvl>
  </w:abstractNum>
  <w:abstractNum w:abstractNumId="9">
    <w:nsid w:val="DB95117B"/>
    <w:multiLevelType w:val="singleLevel"/>
    <w:tmpl w:val="DB95117B"/>
    <w:lvl w:ilvl="0" w:tentative="0">
      <w:start w:val="1"/>
      <w:numFmt w:val="decimal"/>
      <w:lvlText w:val="%1."/>
      <w:lvlJc w:val="left"/>
      <w:pPr>
        <w:tabs>
          <w:tab w:val="left" w:pos="312"/>
        </w:tabs>
      </w:pPr>
    </w:lvl>
  </w:abstractNum>
  <w:abstractNum w:abstractNumId="10">
    <w:nsid w:val="EAB5CBB8"/>
    <w:multiLevelType w:val="singleLevel"/>
    <w:tmpl w:val="EAB5CBB8"/>
    <w:lvl w:ilvl="0" w:tentative="0">
      <w:start w:val="1"/>
      <w:numFmt w:val="decimal"/>
      <w:suff w:val="nothing"/>
      <w:lvlText w:val="%1、"/>
      <w:lvlJc w:val="left"/>
    </w:lvl>
  </w:abstractNum>
  <w:abstractNum w:abstractNumId="11">
    <w:nsid w:val="EBFF2C55"/>
    <w:multiLevelType w:val="singleLevel"/>
    <w:tmpl w:val="EBFF2C55"/>
    <w:lvl w:ilvl="0" w:tentative="0">
      <w:start w:val="2"/>
      <w:numFmt w:val="decimal"/>
      <w:suff w:val="nothing"/>
      <w:lvlText w:val="%1、"/>
      <w:lvlJc w:val="left"/>
    </w:lvl>
  </w:abstractNum>
  <w:abstractNum w:abstractNumId="12">
    <w:nsid w:val="F6AF6417"/>
    <w:multiLevelType w:val="singleLevel"/>
    <w:tmpl w:val="F6AF6417"/>
    <w:lvl w:ilvl="0" w:tentative="0">
      <w:start w:val="2"/>
      <w:numFmt w:val="decimal"/>
      <w:suff w:val="nothing"/>
      <w:lvlText w:val="%1、"/>
      <w:lvlJc w:val="left"/>
    </w:lvl>
  </w:abstractNum>
  <w:abstractNum w:abstractNumId="13">
    <w:nsid w:val="F8533696"/>
    <w:multiLevelType w:val="singleLevel"/>
    <w:tmpl w:val="F8533696"/>
    <w:lvl w:ilvl="0" w:tentative="0">
      <w:start w:val="1"/>
      <w:numFmt w:val="decimal"/>
      <w:suff w:val="nothing"/>
      <w:lvlText w:val="（%1）"/>
      <w:lvlJc w:val="left"/>
    </w:lvl>
  </w:abstractNum>
  <w:abstractNum w:abstractNumId="14">
    <w:nsid w:val="FBAE11AB"/>
    <w:multiLevelType w:val="singleLevel"/>
    <w:tmpl w:val="FBAE11AB"/>
    <w:lvl w:ilvl="0" w:tentative="0">
      <w:start w:val="2"/>
      <w:numFmt w:val="decimal"/>
      <w:suff w:val="nothing"/>
      <w:lvlText w:val="%1、"/>
      <w:lvlJc w:val="left"/>
    </w:lvl>
  </w:abstractNum>
  <w:abstractNum w:abstractNumId="15">
    <w:nsid w:val="FDD68DAC"/>
    <w:multiLevelType w:val="singleLevel"/>
    <w:tmpl w:val="FDD68DAC"/>
    <w:lvl w:ilvl="0" w:tentative="0">
      <w:start w:val="2"/>
      <w:numFmt w:val="decimal"/>
      <w:suff w:val="nothing"/>
      <w:lvlText w:val="%1、"/>
      <w:lvlJc w:val="left"/>
    </w:lvl>
  </w:abstractNum>
  <w:abstractNum w:abstractNumId="16">
    <w:nsid w:val="00000000"/>
    <w:multiLevelType w:val="singleLevel"/>
    <w:tmpl w:val="00000000"/>
    <w:lvl w:ilvl="0" w:tentative="0">
      <w:start w:val="1"/>
      <w:numFmt w:val="chineseCounting"/>
      <w:suff w:val="space"/>
      <w:lvlText w:val="第%1章"/>
      <w:lvlJc w:val="left"/>
      <w:rPr>
        <w:rFonts w:hint="eastAsia"/>
      </w:rPr>
    </w:lvl>
  </w:abstractNum>
  <w:abstractNum w:abstractNumId="17">
    <w:nsid w:val="00000001"/>
    <w:multiLevelType w:val="multilevel"/>
    <w:tmpl w:val="00000001"/>
    <w:lvl w:ilvl="0" w:tentative="0">
      <w:start w:val="1"/>
      <w:numFmt w:val="decimal"/>
      <w:suff w:val="nothing"/>
      <w:lvlText w:val=""/>
      <w:lvlJc w:val="left"/>
      <w:pPr>
        <w:tabs>
          <w:tab w:val="left" w:pos="0"/>
        </w:tabs>
        <w:ind w:left="0" w:firstLine="0"/>
      </w:pPr>
    </w:lvl>
    <w:lvl w:ilvl="1" w:tentative="0">
      <w:start w:val="1"/>
      <w:numFmt w:val="decimal"/>
      <w:pStyle w:val="3"/>
      <w:suff w:val="nothing"/>
      <w:lvlText w:val=""/>
      <w:lvlJc w:val="left"/>
      <w:pPr>
        <w:tabs>
          <w:tab w:val="left" w:pos="0"/>
        </w:tabs>
        <w:ind w:left="0" w:firstLine="0"/>
      </w:pPr>
    </w:lvl>
    <w:lvl w:ilvl="2" w:tentative="0">
      <w:start w:val="1"/>
      <w:numFmt w:val="decimal"/>
      <w:suff w:val="nothing"/>
      <w:lvlText w:val=""/>
      <w:lvlJc w:val="left"/>
      <w:pPr>
        <w:tabs>
          <w:tab w:val="left" w:pos="0"/>
        </w:tabs>
        <w:ind w:left="0" w:firstLine="0"/>
      </w:pPr>
    </w:lvl>
    <w:lvl w:ilvl="3" w:tentative="0">
      <w:start w:val="1"/>
      <w:numFmt w:val="decimal"/>
      <w:suff w:val="nothing"/>
      <w:lvlText w:val=""/>
      <w:lvlJc w:val="left"/>
      <w:pPr>
        <w:tabs>
          <w:tab w:val="left" w:pos="0"/>
        </w:tabs>
        <w:ind w:left="0" w:firstLine="0"/>
      </w:pPr>
    </w:lvl>
    <w:lvl w:ilvl="4" w:tentative="0">
      <w:start w:val="1"/>
      <w:numFmt w:val="decimal"/>
      <w:suff w:val="nothing"/>
      <w:lvlText w:val=""/>
      <w:lvlJc w:val="left"/>
      <w:pPr>
        <w:tabs>
          <w:tab w:val="left" w:pos="0"/>
        </w:tabs>
        <w:ind w:left="0" w:firstLine="0"/>
      </w:pPr>
    </w:lvl>
    <w:lvl w:ilvl="5" w:tentative="0">
      <w:start w:val="1"/>
      <w:numFmt w:val="decimal"/>
      <w:suff w:val="nothing"/>
      <w:lvlText w:val=""/>
      <w:lvlJc w:val="left"/>
      <w:pPr>
        <w:tabs>
          <w:tab w:val="left" w:pos="0"/>
        </w:tabs>
        <w:ind w:left="0" w:firstLine="0"/>
      </w:pPr>
    </w:lvl>
    <w:lvl w:ilvl="6" w:tentative="0">
      <w:start w:val="1"/>
      <w:numFmt w:val="decimal"/>
      <w:suff w:val="nothing"/>
      <w:lvlText w:val=""/>
      <w:lvlJc w:val="left"/>
      <w:pPr>
        <w:tabs>
          <w:tab w:val="left" w:pos="0"/>
        </w:tabs>
        <w:ind w:left="0" w:firstLine="0"/>
      </w:pPr>
    </w:lvl>
    <w:lvl w:ilvl="7" w:tentative="0">
      <w:start w:val="1"/>
      <w:numFmt w:val="decimal"/>
      <w:suff w:val="nothing"/>
      <w:lvlText w:val=""/>
      <w:lvlJc w:val="left"/>
      <w:pPr>
        <w:tabs>
          <w:tab w:val="left" w:pos="0"/>
        </w:tabs>
        <w:ind w:left="0" w:firstLine="0"/>
      </w:pPr>
    </w:lvl>
    <w:lvl w:ilvl="8" w:tentative="0">
      <w:start w:val="1"/>
      <w:numFmt w:val="decimal"/>
      <w:suff w:val="nothing"/>
      <w:lvlText w:val=""/>
      <w:lvlJc w:val="left"/>
      <w:pPr>
        <w:tabs>
          <w:tab w:val="left" w:pos="0"/>
        </w:tabs>
        <w:ind w:left="0" w:firstLine="0"/>
      </w:pPr>
    </w:lvl>
  </w:abstractNum>
  <w:abstractNum w:abstractNumId="18">
    <w:nsid w:val="00000002"/>
    <w:multiLevelType w:val="singleLevel"/>
    <w:tmpl w:val="00000002"/>
    <w:lvl w:ilvl="0" w:tentative="0">
      <w:start w:val="1"/>
      <w:numFmt w:val="decimal"/>
      <w:suff w:val="nothing"/>
      <w:lvlText w:val="%1、"/>
      <w:lvlJc w:val="left"/>
    </w:lvl>
  </w:abstractNum>
  <w:abstractNum w:abstractNumId="19">
    <w:nsid w:val="00000003"/>
    <w:multiLevelType w:val="singleLevel"/>
    <w:tmpl w:val="00000003"/>
    <w:lvl w:ilvl="0" w:tentative="0">
      <w:start w:val="1"/>
      <w:numFmt w:val="decimal"/>
      <w:lvlText w:val="%1."/>
      <w:lvlJc w:val="left"/>
      <w:pPr>
        <w:ind w:left="425" w:hanging="425"/>
      </w:pPr>
      <w:rPr>
        <w:rFonts w:hint="default"/>
      </w:rPr>
    </w:lvl>
  </w:abstractNum>
  <w:abstractNum w:abstractNumId="20">
    <w:nsid w:val="00000004"/>
    <w:multiLevelType w:val="singleLevel"/>
    <w:tmpl w:val="00000004"/>
    <w:lvl w:ilvl="0" w:tentative="0">
      <w:start w:val="19"/>
      <w:numFmt w:val="chineseCounting"/>
      <w:suff w:val="space"/>
      <w:lvlText w:val="第%1章"/>
      <w:legacy w:legacy="1" w:legacySpace="0" w:legacyIndent="0"/>
      <w:lvlJc w:val="left"/>
      <w:pPr>
        <w:ind w:left="0" w:firstLine="0"/>
      </w:pPr>
      <w:rPr>
        <w:rFonts w:hint="eastAsia"/>
      </w:rPr>
    </w:lvl>
  </w:abstractNum>
  <w:abstractNum w:abstractNumId="21">
    <w:nsid w:val="0DB7611A"/>
    <w:multiLevelType w:val="multilevel"/>
    <w:tmpl w:val="0DB7611A"/>
    <w:lvl w:ilvl="0" w:tentative="0">
      <w:start w:val="1"/>
      <w:numFmt w:val="japaneseCounting"/>
      <w:lvlText w:val="第%1章"/>
      <w:lvlJc w:val="left"/>
      <w:pPr>
        <w:ind w:left="840" w:hanging="84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2">
    <w:nsid w:val="1B42189D"/>
    <w:multiLevelType w:val="singleLevel"/>
    <w:tmpl w:val="1B42189D"/>
    <w:lvl w:ilvl="0" w:tentative="0">
      <w:start w:val="1"/>
      <w:numFmt w:val="decimal"/>
      <w:lvlText w:val="%1."/>
      <w:lvlJc w:val="left"/>
      <w:pPr>
        <w:tabs>
          <w:tab w:val="left" w:pos="312"/>
        </w:tabs>
      </w:pPr>
    </w:lvl>
  </w:abstractNum>
  <w:abstractNum w:abstractNumId="23">
    <w:nsid w:val="32843CE6"/>
    <w:multiLevelType w:val="multilevel"/>
    <w:tmpl w:val="32843CE6"/>
    <w:lvl w:ilvl="0" w:tentative="0">
      <w:start w:val="2"/>
      <w:numFmt w:val="japaneseCounting"/>
      <w:lvlText w:val="第%1章"/>
      <w:lvlJc w:val="left"/>
      <w:pPr>
        <w:tabs>
          <w:tab w:val="left" w:pos="960"/>
        </w:tabs>
        <w:ind w:left="960" w:hanging="9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4">
    <w:nsid w:val="3326EB2A"/>
    <w:multiLevelType w:val="singleLevel"/>
    <w:tmpl w:val="3326EB2A"/>
    <w:lvl w:ilvl="0" w:tentative="0">
      <w:start w:val="1"/>
      <w:numFmt w:val="decimal"/>
      <w:lvlText w:val="%1."/>
      <w:lvlJc w:val="left"/>
      <w:pPr>
        <w:ind w:left="425" w:hanging="425"/>
      </w:pPr>
    </w:lvl>
  </w:abstractNum>
  <w:abstractNum w:abstractNumId="25">
    <w:nsid w:val="58DB6BB8"/>
    <w:multiLevelType w:val="singleLevel"/>
    <w:tmpl w:val="58DB6BB8"/>
    <w:lvl w:ilvl="0" w:tentative="0">
      <w:start w:val="1"/>
      <w:numFmt w:val="decimal"/>
      <w:lvlText w:val="%1."/>
      <w:lvlJc w:val="left"/>
      <w:pPr>
        <w:tabs>
          <w:tab w:val="left" w:pos="312"/>
        </w:tabs>
      </w:pPr>
    </w:lvl>
  </w:abstractNum>
  <w:abstractNum w:abstractNumId="26">
    <w:nsid w:val="5F604B20"/>
    <w:multiLevelType w:val="singleLevel"/>
    <w:tmpl w:val="5F604B20"/>
    <w:lvl w:ilvl="0" w:tentative="0">
      <w:start w:val="2"/>
      <w:numFmt w:val="chineseCounting"/>
      <w:suff w:val="space"/>
      <w:lvlText w:val="第%1章"/>
      <w:lvlJc w:val="left"/>
    </w:lvl>
  </w:abstractNum>
  <w:abstractNum w:abstractNumId="27">
    <w:nsid w:val="5F6051FB"/>
    <w:multiLevelType w:val="singleLevel"/>
    <w:tmpl w:val="5F6051FB"/>
    <w:lvl w:ilvl="0" w:tentative="0">
      <w:start w:val="1"/>
      <w:numFmt w:val="chineseCounting"/>
      <w:suff w:val="space"/>
      <w:lvlText w:val="第%1节"/>
      <w:lvlJc w:val="left"/>
    </w:lvl>
  </w:abstractNum>
  <w:abstractNum w:abstractNumId="28">
    <w:nsid w:val="5F60583E"/>
    <w:multiLevelType w:val="singleLevel"/>
    <w:tmpl w:val="5F60583E"/>
    <w:lvl w:ilvl="0" w:tentative="0">
      <w:start w:val="1"/>
      <w:numFmt w:val="chineseCounting"/>
      <w:suff w:val="space"/>
      <w:lvlText w:val="第%1节"/>
      <w:lvlJc w:val="left"/>
    </w:lvl>
  </w:abstractNum>
  <w:abstractNum w:abstractNumId="29">
    <w:nsid w:val="61D70A7D"/>
    <w:multiLevelType w:val="singleLevel"/>
    <w:tmpl w:val="61D70A7D"/>
    <w:lvl w:ilvl="0" w:tentative="0">
      <w:start w:val="1"/>
      <w:numFmt w:val="decimal"/>
      <w:suff w:val="nothing"/>
      <w:lvlText w:val="%1、"/>
      <w:legacy w:legacy="1" w:legacySpace="0" w:legacyIndent="0"/>
      <w:lvlJc w:val="left"/>
      <w:pPr>
        <w:ind w:left="0" w:firstLine="0"/>
      </w:pPr>
    </w:lvl>
  </w:abstractNum>
  <w:abstractNum w:abstractNumId="30">
    <w:nsid w:val="61D70AC8"/>
    <w:multiLevelType w:val="singleLevel"/>
    <w:tmpl w:val="61D70AC8"/>
    <w:lvl w:ilvl="0" w:tentative="0">
      <w:start w:val="1"/>
      <w:numFmt w:val="decimal"/>
      <w:suff w:val="nothing"/>
      <w:lvlText w:val="%1、"/>
      <w:legacy w:legacy="1" w:legacySpace="0" w:legacyIndent="0"/>
      <w:lvlJc w:val="left"/>
      <w:pPr>
        <w:ind w:left="0" w:firstLine="0"/>
      </w:pPr>
    </w:lvl>
  </w:abstractNum>
  <w:abstractNum w:abstractNumId="31">
    <w:nsid w:val="61E8DA25"/>
    <w:multiLevelType w:val="singleLevel"/>
    <w:tmpl w:val="61E8DA25"/>
    <w:lvl w:ilvl="0" w:tentative="0">
      <w:start w:val="4"/>
      <w:numFmt w:val="chineseCounting"/>
      <w:suff w:val="space"/>
      <w:lvlText w:val="第%1章"/>
      <w:lvlJc w:val="left"/>
      <w:pPr>
        <w:tabs>
          <w:tab w:val="left" w:pos="0"/>
        </w:tabs>
        <w:ind w:left="0" w:firstLine="0"/>
      </w:pPr>
    </w:lvl>
  </w:abstractNum>
  <w:abstractNum w:abstractNumId="32">
    <w:nsid w:val="61E8DCFD"/>
    <w:multiLevelType w:val="singleLevel"/>
    <w:tmpl w:val="61E8DCFD"/>
    <w:lvl w:ilvl="0" w:tentative="0">
      <w:start w:val="7"/>
      <w:numFmt w:val="chineseCounting"/>
      <w:suff w:val="space"/>
      <w:lvlText w:val="第%1章"/>
      <w:lvlJc w:val="left"/>
      <w:pPr>
        <w:tabs>
          <w:tab w:val="left" w:pos="0"/>
        </w:tabs>
        <w:ind w:left="0" w:firstLine="0"/>
      </w:pPr>
    </w:lvl>
  </w:abstractNum>
  <w:abstractNum w:abstractNumId="33">
    <w:nsid w:val="62235A08"/>
    <w:multiLevelType w:val="singleLevel"/>
    <w:tmpl w:val="62235A08"/>
    <w:lvl w:ilvl="0" w:tentative="0">
      <w:start w:val="1"/>
      <w:numFmt w:val="decimal"/>
      <w:suff w:val="nothing"/>
      <w:lvlText w:val="%1."/>
      <w:lvlJc w:val="left"/>
      <w:pPr>
        <w:ind w:left="0" w:firstLine="0"/>
      </w:pPr>
    </w:lvl>
  </w:abstractNum>
  <w:abstractNum w:abstractNumId="34">
    <w:nsid w:val="62235A49"/>
    <w:multiLevelType w:val="singleLevel"/>
    <w:tmpl w:val="62235A49"/>
    <w:lvl w:ilvl="0" w:tentative="0">
      <w:start w:val="1"/>
      <w:numFmt w:val="decimal"/>
      <w:suff w:val="nothing"/>
      <w:lvlText w:val="%1."/>
      <w:lvlJc w:val="left"/>
      <w:pPr>
        <w:ind w:left="0" w:firstLine="0"/>
      </w:pPr>
    </w:lvl>
  </w:abstractNum>
  <w:abstractNum w:abstractNumId="35">
    <w:nsid w:val="62F9EADF"/>
    <w:multiLevelType w:val="singleLevel"/>
    <w:tmpl w:val="62F9EADF"/>
    <w:lvl w:ilvl="0" w:tentative="0">
      <w:start w:val="1"/>
      <w:numFmt w:val="decimal"/>
      <w:suff w:val="nothing"/>
      <w:lvlText w:val="（%1）"/>
      <w:legacy w:legacy="1" w:legacySpace="0" w:legacyIndent="0"/>
      <w:lvlJc w:val="left"/>
      <w:pPr>
        <w:ind w:left="0" w:firstLine="0"/>
      </w:pPr>
    </w:lvl>
  </w:abstractNum>
  <w:abstractNum w:abstractNumId="36">
    <w:nsid w:val="654B50B3"/>
    <w:multiLevelType w:val="singleLevel"/>
    <w:tmpl w:val="654B50B3"/>
    <w:lvl w:ilvl="0" w:tentative="0">
      <w:start w:val="1"/>
      <w:numFmt w:val="decimal"/>
      <w:lvlText w:val="%1."/>
      <w:lvlJc w:val="left"/>
      <w:pPr>
        <w:tabs>
          <w:tab w:val="left" w:pos="312"/>
        </w:tabs>
      </w:pPr>
    </w:lvl>
  </w:abstractNum>
  <w:abstractNum w:abstractNumId="37">
    <w:nsid w:val="6AFB9CFB"/>
    <w:multiLevelType w:val="singleLevel"/>
    <w:tmpl w:val="6AFB9CFB"/>
    <w:lvl w:ilvl="0" w:tentative="0">
      <w:start w:val="2"/>
      <w:numFmt w:val="decimal"/>
      <w:suff w:val="nothing"/>
      <w:lvlText w:val="%1、"/>
      <w:lvlJc w:val="left"/>
    </w:lvl>
  </w:abstractNum>
  <w:num w:numId="1">
    <w:abstractNumId w:val="17"/>
  </w:num>
  <w:num w:numId="2">
    <w:abstractNumId w:val="29"/>
  </w:num>
  <w:num w:numId="3">
    <w:abstractNumId w:val="30"/>
  </w:num>
  <w:num w:numId="4">
    <w:abstractNumId w:val="2"/>
  </w:num>
  <w:num w:numId="5">
    <w:abstractNumId w:val="20"/>
  </w:num>
  <w:num w:numId="6">
    <w:abstractNumId w:val="16"/>
  </w:num>
  <w:num w:numId="7">
    <w:abstractNumId w:val="18"/>
  </w:num>
  <w:num w:numId="8">
    <w:abstractNumId w:val="19"/>
  </w:num>
  <w:num w:numId="9">
    <w:abstractNumId w:val="6"/>
  </w:num>
  <w:num w:numId="10">
    <w:abstractNumId w:val="6"/>
    <w:lvlOverride w:ilvl="0">
      <w:startOverride w:val="1"/>
    </w:lvlOverride>
  </w:num>
  <w:num w:numId="11">
    <w:abstractNumId w:val="21"/>
  </w:num>
  <w:num w:numId="12">
    <w:abstractNumId w:val="33"/>
  </w:num>
  <w:num w:numId="13">
    <w:abstractNumId w:val="34"/>
  </w:num>
  <w:num w:numId="14">
    <w:abstractNumId w:val="24"/>
    <w:lvlOverride w:ilvl="0">
      <w:startOverride w:val="1"/>
    </w:lvlOverride>
  </w:num>
  <w:num w:numId="15">
    <w:abstractNumId w:val="24"/>
  </w:num>
  <w:num w:numId="16">
    <w:abstractNumId w:val="24"/>
    <w:lvlOverride w:ilvl="0">
      <w:startOverride w:val="1"/>
    </w:lvlOverride>
  </w:num>
  <w:num w:numId="17">
    <w:abstractNumId w:val="36"/>
  </w:num>
  <w:num w:numId="18">
    <w:abstractNumId w:val="14"/>
    <w:lvlOverride w:ilvl="0">
      <w:startOverride w:val="1"/>
    </w:lvlOverride>
  </w:num>
  <w:num w:numId="19">
    <w:abstractNumId w:val="14"/>
  </w:num>
  <w:num w:numId="20">
    <w:abstractNumId w:val="11"/>
  </w:num>
  <w:num w:numId="21">
    <w:abstractNumId w:val="0"/>
  </w:num>
  <w:num w:numId="22">
    <w:abstractNumId w:val="37"/>
  </w:num>
  <w:num w:numId="23">
    <w:abstractNumId w:val="12"/>
  </w:num>
  <w:num w:numId="24">
    <w:abstractNumId w:val="15"/>
  </w:num>
  <w:num w:numId="25">
    <w:abstractNumId w:val="21"/>
    <w:lvlOverride w:ilvl="0">
      <w:startOverride w:val="1"/>
    </w:lvlOverride>
  </w:num>
  <w:num w:numId="26">
    <w:abstractNumId w:val="24"/>
    <w:lvlOverride w:ilvl="0">
      <w:startOverride w:val="1"/>
    </w:lvlOverride>
  </w:num>
  <w:num w:numId="27">
    <w:abstractNumId w:val="23"/>
  </w:num>
  <w:num w:numId="28">
    <w:abstractNumId w:val="31"/>
  </w:num>
  <w:num w:numId="29">
    <w:abstractNumId w:val="32"/>
  </w:num>
  <w:num w:numId="30">
    <w:abstractNumId w:val="4"/>
    <w:lvlOverride w:ilvl="0">
      <w:startOverride w:val="1"/>
    </w:lvlOverride>
  </w:num>
  <w:num w:numId="31">
    <w:abstractNumId w:val="4"/>
  </w:num>
  <w:num w:numId="32">
    <w:abstractNumId w:val="24"/>
    <w:lvlOverride w:ilvl="0">
      <w:startOverride w:val="1"/>
    </w:lvlOverride>
  </w:num>
  <w:num w:numId="33">
    <w:abstractNumId w:val="3"/>
    <w:lvlOverride w:ilvl="0">
      <w:startOverride w:val="1"/>
    </w:lvlOverride>
  </w:num>
  <w:num w:numId="34">
    <w:abstractNumId w:val="3"/>
  </w:num>
  <w:num w:numId="35">
    <w:abstractNumId w:val="25"/>
    <w:lvlOverride w:ilvl="0">
      <w:startOverride w:val="1"/>
    </w:lvlOverride>
  </w:num>
  <w:num w:numId="36">
    <w:abstractNumId w:val="25"/>
  </w:num>
  <w:num w:numId="37">
    <w:abstractNumId w:val="8"/>
  </w:num>
  <w:num w:numId="38">
    <w:abstractNumId w:val="7"/>
  </w:num>
  <w:num w:numId="39">
    <w:abstractNumId w:val="22"/>
  </w:num>
  <w:num w:numId="40">
    <w:abstractNumId w:val="9"/>
  </w:num>
  <w:num w:numId="41">
    <w:abstractNumId w:val="5"/>
  </w:num>
  <w:num w:numId="42">
    <w:abstractNumId w:val="24"/>
    <w:lvlOverride w:ilvl="0">
      <w:startOverride w:val="1"/>
    </w:lvlOverride>
  </w:num>
  <w:num w:numId="43">
    <w:abstractNumId w:val="13"/>
  </w:num>
  <w:num w:numId="44">
    <w:abstractNumId w:val="10"/>
  </w:num>
  <w:num w:numId="45">
    <w:abstractNumId w:val="1"/>
  </w:num>
  <w:num w:numId="46">
    <w:abstractNumId w:val="26"/>
  </w:num>
  <w:num w:numId="47">
    <w:abstractNumId w:val="27"/>
  </w:num>
  <w:num w:numId="48">
    <w:abstractNumId w:val="28"/>
  </w:num>
  <w:num w:numId="49">
    <w:abstractNumId w:val="24"/>
    <w:lvlOverride w:ilvl="0">
      <w:startOverride w:val="1"/>
    </w:lvlOverride>
  </w:num>
  <w:num w:numId="50">
    <w:abstractNumId w:val="24"/>
    <w:lvlOverride w:ilvl="0">
      <w:startOverride w:val="1"/>
    </w:lvlOverride>
  </w:num>
  <w:num w:numId="51">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F7428A"/>
    <w:rsid w:val="3FB7870F"/>
    <w:rsid w:val="7EF7428A"/>
    <w:rsid w:val="FF4E4F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nhideWhenUsed="0" w:uiPriority="9" w:semiHidden="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350"/>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next w:val="1"/>
    <w:link w:val="376"/>
    <w:qFormat/>
    <w:uiPriority w:val="0"/>
    <w:pPr>
      <w:keepNext/>
      <w:keepLines/>
      <w:spacing w:before="340" w:beforeLines="0" w:beforeAutospacing="0" w:after="330" w:afterLines="0" w:afterAutospacing="0" w:line="576" w:lineRule="auto"/>
      <w:outlineLvl w:val="0"/>
    </w:pPr>
    <w:rPr>
      <w:rFonts w:eastAsia="STFangsong" w:asciiTheme="minorAscii" w:hAnsiTheme="minorAscii" w:cstheme="minorBidi"/>
      <w:b/>
      <w:kern w:val="44"/>
      <w:sz w:val="28"/>
      <w:szCs w:val="22"/>
    </w:rPr>
  </w:style>
  <w:style w:type="paragraph" w:styleId="3">
    <w:name w:val="heading 2"/>
    <w:basedOn w:val="1"/>
    <w:next w:val="1"/>
    <w:link w:val="293"/>
    <w:uiPriority w:val="0"/>
    <w:pPr>
      <w:keepNext/>
      <w:keepLines/>
      <w:numPr>
        <w:ilvl w:val="1"/>
        <w:numId w:val="1"/>
      </w:numPr>
      <w:spacing w:line="560" w:lineRule="exact"/>
      <w:ind w:leftChars="0" w:rightChars="0" w:firstLineChars="200"/>
      <w:outlineLvl w:val="1"/>
    </w:pPr>
    <w:rPr>
      <w:rFonts w:eastAsia="楷体"/>
      <w:bCs/>
      <w:sz w:val="32"/>
      <w:szCs w:val="32"/>
    </w:rPr>
  </w:style>
  <w:style w:type="paragraph" w:styleId="4">
    <w:name w:val="heading 8"/>
    <w:basedOn w:val="1"/>
    <w:next w:val="1"/>
    <w:qFormat/>
    <w:uiPriority w:val="9"/>
    <w:pPr>
      <w:spacing w:before="240" w:after="64" w:line="320" w:lineRule="auto"/>
      <w:outlineLvl w:val="7"/>
    </w:pPr>
    <w:rPr>
      <w:rFonts w:ascii="Times New Roman" w:hAnsi="Times New Roman" w:eastAsia="宋体" w:cs="Times New Roman"/>
      <w:sz w:val="24"/>
      <w:szCs w:val="24"/>
    </w:rPr>
  </w:style>
  <w:style w:type="character" w:default="1" w:styleId="24">
    <w:name w:val="Default Paragraph Font"/>
    <w:link w:val="1"/>
    <w:semiHidden/>
    <w:uiPriority w:val="0"/>
  </w:style>
  <w:style w:type="table" w:default="1" w:styleId="22">
    <w:name w:val="Normal Table"/>
    <w:semiHidden/>
    <w:uiPriority w:val="0"/>
    <w:tblPr>
      <w:tblCellMar>
        <w:top w:w="0" w:type="dxa"/>
        <w:left w:w="108" w:type="dxa"/>
        <w:bottom w:w="0" w:type="dxa"/>
        <w:right w:w="108" w:type="dxa"/>
      </w:tblCellMar>
    </w:tblPr>
  </w:style>
  <w:style w:type="paragraph" w:styleId="5">
    <w:name w:val="caption"/>
    <w:basedOn w:val="1"/>
    <w:uiPriority w:val="0"/>
    <w:pPr>
      <w:suppressLineNumbers/>
      <w:spacing w:before="120" w:after="120"/>
    </w:pPr>
    <w:rPr>
      <w:rFonts w:cs="Arial"/>
      <w:i/>
      <w:iCs/>
      <w:sz w:val="24"/>
      <w:szCs w:val="24"/>
    </w:rPr>
  </w:style>
  <w:style w:type="paragraph" w:styleId="6">
    <w:name w:val="annotation text"/>
    <w:basedOn w:val="1"/>
    <w:link w:val="292"/>
    <w:uiPriority w:val="0"/>
    <w:pPr>
      <w:jc w:val="left"/>
    </w:pPr>
    <w:rPr>
      <w:szCs w:val="20"/>
    </w:rPr>
  </w:style>
  <w:style w:type="paragraph" w:styleId="7">
    <w:name w:val="Body Text"/>
    <w:basedOn w:val="1"/>
    <w:uiPriority w:val="0"/>
    <w:pPr>
      <w:spacing w:before="0" w:after="140" w:line="276" w:lineRule="auto"/>
    </w:pPr>
  </w:style>
  <w:style w:type="paragraph" w:styleId="8">
    <w:name w:val="Body Text Indent"/>
    <w:basedOn w:val="1"/>
    <w:qFormat/>
    <w:uiPriority w:val="0"/>
    <w:pPr>
      <w:widowControl/>
      <w:spacing w:before="100" w:beforeAutospacing="1" w:after="100" w:afterAutospacing="1"/>
      <w:jc w:val="left"/>
    </w:pPr>
    <w:rPr>
      <w:rFonts w:ascii="宋体" w:hAnsi="宋体" w:cs="宋体"/>
      <w:kern w:val="0"/>
      <w:sz w:val="24"/>
    </w:rPr>
  </w:style>
  <w:style w:type="paragraph" w:styleId="9">
    <w:name w:val="toc 3"/>
    <w:basedOn w:val="1"/>
    <w:next w:val="1"/>
    <w:uiPriority w:val="0"/>
    <w:pPr>
      <w:ind w:left="840" w:leftChars="400"/>
    </w:pPr>
    <w:rPr>
      <w:rFonts w:ascii="Times New Roman" w:hAnsi="Times New Roman" w:eastAsia="宋体" w:cs="Times New Roman"/>
      <w:szCs w:val="24"/>
    </w:rPr>
  </w:style>
  <w:style w:type="paragraph" w:styleId="10">
    <w:name w:val="Plain Text"/>
    <w:basedOn w:val="1"/>
    <w:link w:val="380"/>
    <w:qFormat/>
    <w:uiPriority w:val="0"/>
    <w:rPr>
      <w:rFonts w:ascii="宋体" w:hAnsi="Courier New" w:eastAsia="宋体" w:cs="Courier New"/>
      <w:szCs w:val="21"/>
    </w:rPr>
  </w:style>
  <w:style w:type="paragraph" w:styleId="11">
    <w:name w:val="Date"/>
    <w:basedOn w:val="1"/>
    <w:next w:val="1"/>
    <w:uiPriority w:val="0"/>
    <w:pPr>
      <w:ind w:left="100" w:leftChars="2500"/>
    </w:pPr>
    <w:rPr>
      <w:rFonts w:ascii="Times New Roman" w:hAnsi="Times New Roman" w:eastAsia="宋体" w:cs="Times New Roman"/>
      <w:szCs w:val="24"/>
    </w:rPr>
  </w:style>
  <w:style w:type="paragraph" w:styleId="12">
    <w:name w:val="Body Text Indent 2"/>
    <w:basedOn w:val="1"/>
    <w:uiPriority w:val="0"/>
    <w:pPr>
      <w:ind w:firstLine="420" w:firstLineChars="200"/>
    </w:pPr>
    <w:rPr>
      <w:rFonts w:ascii="Tahoma" w:hAnsi="Tahoma" w:eastAsia="宋体" w:cs="Tahoma"/>
      <w:color w:val="000000"/>
      <w:szCs w:val="24"/>
    </w:rPr>
  </w:style>
  <w:style w:type="paragraph" w:styleId="13">
    <w:name w:val="Balloon Text"/>
    <w:basedOn w:val="1"/>
    <w:link w:val="294"/>
    <w:uiPriority w:val="0"/>
    <w:rPr>
      <w:sz w:val="18"/>
      <w:szCs w:val="18"/>
    </w:rPr>
  </w:style>
  <w:style w:type="paragraph" w:styleId="14">
    <w:name w:val="footer"/>
    <w:basedOn w:val="1"/>
    <w:link w:val="363"/>
    <w:uiPriority w:val="0"/>
    <w:pPr>
      <w:tabs>
        <w:tab w:val="center" w:pos="4153"/>
        <w:tab w:val="right" w:pos="8306"/>
      </w:tabs>
      <w:snapToGrid w:val="0"/>
      <w:jc w:val="left"/>
    </w:pPr>
    <w:rPr>
      <w:sz w:val="18"/>
      <w:szCs w:val="18"/>
    </w:rPr>
  </w:style>
  <w:style w:type="paragraph" w:styleId="15">
    <w:name w:val="header"/>
    <w:basedOn w:val="1"/>
    <w:link w:val="362"/>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6">
    <w:name w:val="toc 1"/>
    <w:basedOn w:val="1"/>
    <w:next w:val="1"/>
    <w:uiPriority w:val="0"/>
  </w:style>
  <w:style w:type="paragraph" w:styleId="17">
    <w:name w:val="List"/>
    <w:basedOn w:val="7"/>
    <w:uiPriority w:val="0"/>
    <w:rPr>
      <w:rFonts w:cs="Arial"/>
    </w:rPr>
  </w:style>
  <w:style w:type="paragraph" w:styleId="18">
    <w:name w:val="Body Text Indent 3"/>
    <w:basedOn w:val="1"/>
    <w:uiPriority w:val="0"/>
    <w:pPr>
      <w:spacing w:line="288" w:lineRule="auto"/>
      <w:ind w:firstLine="420" w:firstLineChars="200"/>
    </w:pPr>
    <w:rPr>
      <w:rFonts w:ascii="Times New Roman" w:hAnsi="Times New Roman" w:eastAsia="宋体" w:cs="Times New Roman"/>
      <w:szCs w:val="20"/>
    </w:rPr>
  </w:style>
  <w:style w:type="paragraph" w:styleId="19">
    <w:name w:val="Normal (Web)"/>
    <w:basedOn w:val="1"/>
    <w:qFormat/>
    <w:uiPriority w:val="0"/>
    <w:pPr>
      <w:widowControl/>
      <w:spacing w:before="100" w:beforeAutospacing="1" w:after="100" w:afterAutospacing="1"/>
      <w:jc w:val="left"/>
    </w:pPr>
    <w:rPr>
      <w:rFonts w:ascii="PMingLiU" w:hAnsi="PMingLiU" w:eastAsia="PMingLiU" w:cs="PMingLiU"/>
      <w:kern w:val="0"/>
      <w:sz w:val="24"/>
      <w:lang w:eastAsia="zh-TW"/>
    </w:rPr>
  </w:style>
  <w:style w:type="paragraph" w:styleId="20">
    <w:name w:val="annotation subject"/>
    <w:basedOn w:val="6"/>
    <w:next w:val="6"/>
    <w:link w:val="165"/>
    <w:uiPriority w:val="0"/>
    <w:rPr>
      <w:rFonts w:eastAsia="宋体" w:cs="Times New Roman"/>
      <w:b/>
      <w:bCs/>
      <w:szCs w:val="24"/>
    </w:rPr>
  </w:style>
  <w:style w:type="paragraph" w:styleId="21">
    <w:name w:val="Body Text First Indent"/>
    <w:basedOn w:val="7"/>
    <w:qFormat/>
    <w:uiPriority w:val="0"/>
    <w:pPr>
      <w:ind w:firstLine="420" w:firstLineChars="100"/>
    </w:pPr>
    <w:rPr>
      <w:kern w:val="0"/>
      <w:sz w:val="20"/>
      <w:szCs w:val="20"/>
    </w:rPr>
  </w:style>
  <w:style w:type="table" w:styleId="23">
    <w:name w:val="Table Grid"/>
    <w:basedOn w:val="22"/>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Strong"/>
    <w:basedOn w:val="24"/>
    <w:link w:val="1"/>
    <w:qFormat/>
    <w:uiPriority w:val="0"/>
    <w:rPr>
      <w:rFonts w:ascii="Times New Roman" w:hAnsi="Times New Roman" w:eastAsia="宋体" w:cs="Times New Roman"/>
      <w:b/>
    </w:rPr>
  </w:style>
  <w:style w:type="character" w:styleId="26">
    <w:name w:val="page number"/>
    <w:link w:val="1"/>
    <w:uiPriority w:val="0"/>
    <w:rPr>
      <w:rFonts w:ascii="Times New Roman" w:hAnsi="Times New Roman" w:eastAsia="宋体" w:cs="Times New Roman"/>
    </w:rPr>
  </w:style>
  <w:style w:type="character" w:styleId="27">
    <w:name w:val="FollowedHyperlink"/>
    <w:link w:val="1"/>
    <w:uiPriority w:val="0"/>
    <w:rPr>
      <w:rFonts w:ascii="Times New Roman" w:hAnsi="Times New Roman" w:eastAsia="宋体" w:cs="Times New Roman"/>
      <w:color w:val="800080"/>
      <w:u w:val="single"/>
    </w:rPr>
  </w:style>
  <w:style w:type="character" w:styleId="28">
    <w:name w:val="Hyperlink"/>
    <w:basedOn w:val="24"/>
    <w:link w:val="1"/>
    <w:uiPriority w:val="0"/>
    <w:rPr>
      <w:color w:val="0000FF"/>
      <w:u w:val="single"/>
    </w:rPr>
  </w:style>
  <w:style w:type="character" w:styleId="29">
    <w:name w:val="annotation reference"/>
    <w:link w:val="1"/>
    <w:uiPriority w:val="0"/>
    <w:rPr>
      <w:rFonts w:ascii="Times New Roman" w:hAnsi="Times New Roman" w:eastAsia="宋体" w:cs="Times New Roman"/>
      <w:sz w:val="21"/>
      <w:szCs w:val="21"/>
    </w:rPr>
  </w:style>
  <w:style w:type="paragraph" w:customStyle="1" w:styleId="30">
    <w:name w:val="新正文"/>
    <w:basedOn w:val="10"/>
    <w:qFormat/>
    <w:uiPriority w:val="0"/>
    <w:pPr>
      <w:ind w:firstLine="200"/>
    </w:pPr>
    <w:rPr>
      <w:rFonts w:ascii="仿宋_GB2312" w:hAnsi="仿宋_GB2312"/>
      <w:szCs w:val="21"/>
    </w:rPr>
  </w:style>
  <w:style w:type="character" w:customStyle="1" w:styleId="31">
    <w:name w:val="NormalCharacter"/>
    <w:qFormat/>
    <w:uiPriority w:val="0"/>
  </w:style>
  <w:style w:type="paragraph" w:customStyle="1" w:styleId="32">
    <w:name w:val="新正文1"/>
    <w:basedOn w:val="10"/>
    <w:qFormat/>
    <w:uiPriority w:val="0"/>
    <w:pPr>
      <w:ind w:firstLine="200"/>
    </w:pPr>
    <w:rPr>
      <w:rFonts w:ascii="仿宋_GB2312" w:hAnsi="仿宋_GB2312"/>
      <w:szCs w:val="21"/>
    </w:rPr>
  </w:style>
  <w:style w:type="character" w:customStyle="1" w:styleId="33">
    <w:name w:val="标题 1 Char"/>
    <w:link w:val="2"/>
    <w:uiPriority w:val="0"/>
    <w:rPr>
      <w:rFonts w:eastAsia="STFangsong" w:asciiTheme="minorAscii" w:hAnsiTheme="minorAscii"/>
      <w:b/>
      <w:kern w:val="44"/>
      <w:sz w:val="28"/>
      <w:szCs w:val="22"/>
    </w:rPr>
  </w:style>
  <w:style w:type="paragraph" w:customStyle="1" w:styleId="34">
    <w:name w:val="样式2"/>
    <w:basedOn w:val="16"/>
    <w:uiPriority w:val="0"/>
    <w:rPr>
      <w:rFonts w:hint="eastAsia" w:ascii="Times New Roman" w:hAnsi="Times New Roman" w:cs="Times New Roman" w:eastAsiaTheme="minorEastAsia"/>
      <w:b/>
      <w:color w:val="000000"/>
      <w:sz w:val="44"/>
      <w:szCs w:val="22"/>
    </w:rPr>
  </w:style>
  <w:style w:type="paragraph" w:customStyle="1" w:styleId="35">
    <w:name w:val="目录"/>
    <w:basedOn w:val="16"/>
    <w:uiPriority w:val="0"/>
    <w:pPr>
      <w:jc w:val="center"/>
    </w:pPr>
    <w:rPr>
      <w:rFonts w:hint="eastAsia" w:ascii="Times New Roman" w:hAnsi="Times New Roman" w:cs="Times New Roman" w:eastAsiaTheme="minorEastAsia"/>
      <w:b/>
      <w:color w:val="000000"/>
      <w:sz w:val="44"/>
      <w:szCs w:val="22"/>
    </w:rPr>
  </w:style>
  <w:style w:type="character" w:customStyle="1" w:styleId="36">
    <w:name w:val="NormalCharacter11"/>
    <w:qFormat/>
    <w:uiPriority w:val="0"/>
  </w:style>
  <w:style w:type="character" w:customStyle="1" w:styleId="37">
    <w:name w:val="UserStyle_2"/>
    <w:qFormat/>
    <w:uiPriority w:val="0"/>
    <w:rPr>
      <w:rFonts w:ascii="Calibri" w:hAnsi="Calibri" w:eastAsia="宋体" w:cs="Calibri"/>
      <w:kern w:val="2"/>
      <w:sz w:val="22"/>
      <w:lang w:val="en-US" w:eastAsia="zh-CN" w:bidi="ar-SA"/>
    </w:rPr>
  </w:style>
  <w:style w:type="paragraph" w:customStyle="1" w:styleId="38">
    <w:name w:val="Table Paragraph"/>
    <w:basedOn w:val="1"/>
    <w:qFormat/>
    <w:uiPriority w:val="1"/>
  </w:style>
  <w:style w:type="paragraph" w:customStyle="1" w:styleId="39">
    <w:name w:val="List Paragraph_8a6d8b00-fd3c-42f4-aa2d-7e6c7a579ae8"/>
    <w:qFormat/>
    <w:uiPriority w:val="0"/>
    <w:pPr>
      <w:widowControl w:val="0"/>
      <w:ind w:firstLine="200" w:firstLineChars="200"/>
      <w:jc w:val="both"/>
    </w:pPr>
    <w:rPr>
      <w:rFonts w:ascii="Times New Roman" w:hAnsi="Times New Roman" w:eastAsia="宋体" w:cs="Times New Roman"/>
      <w:kern w:val="2"/>
      <w:sz w:val="21"/>
      <w:szCs w:val="22"/>
      <w:lang w:val="en-US" w:eastAsia="zh-CN" w:bidi="ar-SA"/>
    </w:rPr>
  </w:style>
  <w:style w:type="character" w:customStyle="1" w:styleId="40">
    <w:name w:val="15"/>
    <w:basedOn w:val="24"/>
    <w:qFormat/>
    <w:uiPriority w:val="0"/>
    <w:rPr>
      <w:rFonts w:ascii="Times New Roman" w:hAnsi="Times New Roman" w:cs="Times New Roman"/>
      <w:b/>
      <w:bCs/>
      <w:lang w:bidi="ar-SA"/>
    </w:rPr>
  </w:style>
  <w:style w:type="paragraph" w:customStyle="1" w:styleId="41">
    <w:name w:val="新正文2"/>
    <w:basedOn w:val="10"/>
    <w:next w:val="21"/>
    <w:autoRedefine/>
    <w:qFormat/>
    <w:uiPriority w:val="0"/>
    <w:pPr>
      <w:ind w:firstLine="200"/>
    </w:pPr>
    <w:rPr>
      <w:rFonts w:ascii="仿宋_GB2312" w:hAnsi="仿宋_GB2312"/>
      <w:szCs w:val="21"/>
    </w:rPr>
  </w:style>
  <w:style w:type="character" w:customStyle="1" w:styleId="42">
    <w:name w:val="NormalCharacter2"/>
    <w:semiHidden/>
    <w:qFormat/>
    <w:uiPriority w:val="0"/>
  </w:style>
  <w:style w:type="character" w:customStyle="1" w:styleId="43">
    <w:name w:val="UserStyle_21"/>
    <w:semiHidden/>
    <w:qFormat/>
    <w:uiPriority w:val="99"/>
    <w:rPr>
      <w:rFonts w:ascii="Calibri" w:hAnsi="Calibri" w:eastAsia="宋体"/>
      <w:kern w:val="2"/>
      <w:sz w:val="22"/>
      <w:lang w:val="en-US" w:eastAsia="zh-CN"/>
    </w:rPr>
  </w:style>
  <w:style w:type="paragraph" w:customStyle="1" w:styleId="44">
    <w:name w:val="新正文3"/>
    <w:basedOn w:val="10"/>
    <w:qFormat/>
    <w:uiPriority w:val="0"/>
    <w:pPr>
      <w:ind w:firstLine="200"/>
    </w:pPr>
    <w:rPr>
      <w:rFonts w:ascii="仿宋_GB2312" w:hAnsi="仿宋_GB2312"/>
      <w:szCs w:val="21"/>
    </w:rPr>
  </w:style>
  <w:style w:type="character" w:customStyle="1" w:styleId="45">
    <w:name w:val="标题 1 Char1"/>
    <w:link w:val="2"/>
    <w:uiPriority w:val="0"/>
    <w:rPr>
      <w:rFonts w:eastAsia="STFangsong" w:asciiTheme="minorAscii" w:hAnsiTheme="minorAscii"/>
      <w:b/>
      <w:kern w:val="44"/>
      <w:sz w:val="28"/>
      <w:szCs w:val="22"/>
    </w:rPr>
  </w:style>
  <w:style w:type="paragraph" w:customStyle="1" w:styleId="46">
    <w:name w:val="样式21"/>
    <w:basedOn w:val="16"/>
    <w:uiPriority w:val="0"/>
    <w:rPr>
      <w:rFonts w:hint="eastAsia" w:ascii="Times New Roman" w:hAnsi="Times New Roman" w:cs="Times New Roman" w:eastAsiaTheme="minorEastAsia"/>
      <w:b/>
      <w:color w:val="000000"/>
      <w:sz w:val="44"/>
      <w:szCs w:val="22"/>
    </w:rPr>
  </w:style>
  <w:style w:type="paragraph" w:customStyle="1" w:styleId="47">
    <w:name w:val="目录1"/>
    <w:basedOn w:val="16"/>
    <w:uiPriority w:val="0"/>
    <w:pPr>
      <w:jc w:val="center"/>
    </w:pPr>
    <w:rPr>
      <w:rFonts w:hint="eastAsia" w:ascii="Times New Roman" w:hAnsi="Times New Roman" w:cs="Times New Roman" w:eastAsiaTheme="minorEastAsia"/>
      <w:b/>
      <w:color w:val="000000"/>
      <w:sz w:val="44"/>
      <w:szCs w:val="22"/>
    </w:rPr>
  </w:style>
  <w:style w:type="character" w:customStyle="1" w:styleId="48">
    <w:name w:val="NormalCharacter3"/>
    <w:qFormat/>
    <w:uiPriority w:val="0"/>
  </w:style>
  <w:style w:type="character" w:customStyle="1" w:styleId="49">
    <w:name w:val="UserStyle_22"/>
    <w:qFormat/>
    <w:uiPriority w:val="0"/>
    <w:rPr>
      <w:rFonts w:ascii="Calibri" w:hAnsi="Calibri" w:eastAsia="宋体" w:cs="Calibri"/>
      <w:kern w:val="2"/>
      <w:sz w:val="22"/>
      <w:lang w:val="en-US" w:eastAsia="zh-CN" w:bidi="ar-SA"/>
    </w:rPr>
  </w:style>
  <w:style w:type="paragraph" w:customStyle="1" w:styleId="50">
    <w:name w:val="Table Paragraph1"/>
    <w:basedOn w:val="1"/>
    <w:qFormat/>
    <w:uiPriority w:val="1"/>
  </w:style>
  <w:style w:type="paragraph" w:customStyle="1" w:styleId="51">
    <w:name w:val="List Paragraph_8a6d8b00-fd3c-42f4-aa2d-7e6c7a579ae81"/>
    <w:qFormat/>
    <w:uiPriority w:val="0"/>
    <w:pPr>
      <w:widowControl w:val="0"/>
      <w:ind w:firstLine="200" w:firstLineChars="200"/>
      <w:jc w:val="both"/>
    </w:pPr>
    <w:rPr>
      <w:rFonts w:ascii="Times New Roman" w:hAnsi="Times New Roman" w:eastAsia="宋体" w:cs="Times New Roman"/>
      <w:kern w:val="2"/>
      <w:sz w:val="21"/>
      <w:szCs w:val="22"/>
      <w:lang w:val="en-US" w:eastAsia="zh-CN" w:bidi="ar-SA"/>
    </w:rPr>
  </w:style>
  <w:style w:type="character" w:customStyle="1" w:styleId="52">
    <w:name w:val="151"/>
    <w:basedOn w:val="24"/>
    <w:qFormat/>
    <w:uiPriority w:val="0"/>
    <w:rPr>
      <w:rFonts w:ascii="Times New Roman" w:hAnsi="Times New Roman" w:cs="Times New Roman"/>
      <w:b/>
      <w:bCs/>
      <w:lang w:bidi="ar-SA"/>
    </w:rPr>
  </w:style>
  <w:style w:type="paragraph" w:customStyle="1" w:styleId="53">
    <w:name w:val="新正文4"/>
    <w:basedOn w:val="10"/>
    <w:qFormat/>
    <w:uiPriority w:val="0"/>
    <w:pPr>
      <w:ind w:firstLine="200" w:firstLineChars="200"/>
    </w:pPr>
    <w:rPr>
      <w:rFonts w:ascii="仿宋_GB2312"/>
    </w:rPr>
  </w:style>
  <w:style w:type="character" w:customStyle="1" w:styleId="54">
    <w:name w:val="标题 1 Char2"/>
    <w:link w:val="2"/>
    <w:uiPriority w:val="0"/>
    <w:rPr>
      <w:rFonts w:eastAsia="STFangsong" w:asciiTheme="minorAscii" w:hAnsiTheme="minorAscii"/>
      <w:b/>
      <w:kern w:val="44"/>
      <w:sz w:val="28"/>
      <w:szCs w:val="22"/>
    </w:rPr>
  </w:style>
  <w:style w:type="paragraph" w:customStyle="1" w:styleId="55">
    <w:name w:val="样式22"/>
    <w:basedOn w:val="16"/>
    <w:uiPriority w:val="0"/>
    <w:rPr>
      <w:rFonts w:hint="eastAsia" w:ascii="Times New Roman" w:hAnsi="Times New Roman" w:cs="Times New Roman" w:eastAsiaTheme="minorEastAsia"/>
      <w:b/>
      <w:color w:val="000000"/>
      <w:sz w:val="44"/>
      <w:szCs w:val="22"/>
    </w:rPr>
  </w:style>
  <w:style w:type="paragraph" w:customStyle="1" w:styleId="56">
    <w:name w:val="目录2"/>
    <w:basedOn w:val="16"/>
    <w:uiPriority w:val="0"/>
    <w:pPr>
      <w:jc w:val="center"/>
    </w:pPr>
    <w:rPr>
      <w:rFonts w:hint="eastAsia" w:ascii="Times New Roman" w:hAnsi="Times New Roman" w:cs="Times New Roman" w:eastAsiaTheme="minorEastAsia"/>
      <w:b/>
      <w:color w:val="000000"/>
      <w:sz w:val="44"/>
      <w:szCs w:val="22"/>
    </w:rPr>
  </w:style>
  <w:style w:type="character" w:customStyle="1" w:styleId="57">
    <w:name w:val="UserStyle_23"/>
    <w:qFormat/>
    <w:uiPriority w:val="0"/>
    <w:rPr>
      <w:rFonts w:ascii="Calibri" w:hAnsi="Calibri" w:eastAsia="宋体" w:cs="Calibri"/>
      <w:kern w:val="2"/>
      <w:sz w:val="22"/>
      <w:lang w:val="en-US" w:eastAsia="zh-CN" w:bidi="ar-SA"/>
    </w:rPr>
  </w:style>
  <w:style w:type="character" w:customStyle="1" w:styleId="58">
    <w:name w:val="纯文本 Char"/>
    <w:link w:val="10"/>
    <w:qFormat/>
    <w:uiPriority w:val="0"/>
    <w:rPr>
      <w:rFonts w:ascii="宋体" w:hAnsi="Courier New" w:eastAsia="宋体" w:cs="Courier New"/>
      <w:szCs w:val="21"/>
    </w:rPr>
  </w:style>
  <w:style w:type="paragraph" w:customStyle="1" w:styleId="59">
    <w:name w:val="Table Paragraph2"/>
    <w:basedOn w:val="1"/>
    <w:qFormat/>
    <w:uiPriority w:val="1"/>
    <w:rPr>
      <w:rFonts w:ascii="Times New Roman" w:hAnsi="Times New Roman" w:eastAsia="宋体" w:cs="Times New Roman"/>
      <w:szCs w:val="24"/>
    </w:rPr>
  </w:style>
  <w:style w:type="character" w:customStyle="1" w:styleId="60">
    <w:name w:val="NormalCharacter4"/>
    <w:semiHidden/>
    <w:qFormat/>
    <w:uiPriority w:val="0"/>
  </w:style>
  <w:style w:type="paragraph" w:styleId="61">
    <w:name w:val="List Paragraph"/>
    <w:basedOn w:val="1"/>
    <w:qFormat/>
    <w:uiPriority w:val="34"/>
    <w:pPr>
      <w:ind w:firstLine="420" w:firstLineChars="200"/>
    </w:pPr>
    <w:rPr>
      <w:rFonts w:ascii="Calibri" w:hAnsi="Calibri" w:eastAsia="宋体" w:cs="Times New Roman"/>
      <w:szCs w:val="24"/>
    </w:rPr>
  </w:style>
  <w:style w:type="paragraph" w:customStyle="1" w:styleId="62">
    <w:name w:val="WPSOffice手动目录 1"/>
    <w:uiPriority w:val="0"/>
    <w:pPr>
      <w:ind w:leftChars="0"/>
    </w:pPr>
    <w:rPr>
      <w:rFonts w:asciiTheme="minorHAnsi" w:hAnsiTheme="minorHAnsi" w:eastAsiaTheme="minorEastAsia" w:cstheme="minorBidi"/>
      <w:sz w:val="20"/>
      <w:szCs w:val="20"/>
    </w:rPr>
  </w:style>
  <w:style w:type="paragraph" w:customStyle="1" w:styleId="63">
    <w:name w:val="新正文5"/>
    <w:basedOn w:val="10"/>
    <w:qFormat/>
    <w:uiPriority w:val="0"/>
    <w:pPr>
      <w:ind w:firstLine="200" w:firstLineChars="200"/>
    </w:pPr>
    <w:rPr>
      <w:rFonts w:ascii="仿宋_GB2312"/>
    </w:rPr>
  </w:style>
  <w:style w:type="character" w:customStyle="1" w:styleId="64">
    <w:name w:val="标题 1 Char3"/>
    <w:link w:val="2"/>
    <w:uiPriority w:val="0"/>
    <w:rPr>
      <w:rFonts w:eastAsia="STFangsong" w:asciiTheme="minorAscii" w:hAnsiTheme="minorAscii"/>
      <w:b/>
      <w:kern w:val="44"/>
      <w:sz w:val="28"/>
      <w:szCs w:val="22"/>
    </w:rPr>
  </w:style>
  <w:style w:type="paragraph" w:customStyle="1" w:styleId="65">
    <w:name w:val="样式23"/>
    <w:basedOn w:val="16"/>
    <w:uiPriority w:val="0"/>
    <w:rPr>
      <w:rFonts w:hint="eastAsia" w:ascii="Times New Roman" w:hAnsi="Times New Roman" w:cs="Times New Roman" w:eastAsiaTheme="minorEastAsia"/>
      <w:b/>
      <w:color w:val="000000"/>
      <w:sz w:val="44"/>
      <w:szCs w:val="22"/>
    </w:rPr>
  </w:style>
  <w:style w:type="paragraph" w:customStyle="1" w:styleId="66">
    <w:name w:val="目录3"/>
    <w:basedOn w:val="16"/>
    <w:uiPriority w:val="0"/>
    <w:pPr>
      <w:jc w:val="center"/>
    </w:pPr>
    <w:rPr>
      <w:rFonts w:hint="eastAsia" w:ascii="Times New Roman" w:hAnsi="Times New Roman" w:cs="Times New Roman" w:eastAsiaTheme="minorEastAsia"/>
      <w:b/>
      <w:color w:val="000000"/>
      <w:sz w:val="44"/>
      <w:szCs w:val="22"/>
    </w:rPr>
  </w:style>
  <w:style w:type="paragraph" w:styleId="67">
    <w:name w:val="No Spacing"/>
    <w:qFormat/>
    <w:uiPriority w:val="1"/>
    <w:pPr>
      <w:widowControl w:val="0"/>
      <w:jc w:val="both"/>
    </w:pPr>
    <w:rPr>
      <w:rFonts w:ascii="Times New Roman" w:hAnsi="Times New Roman" w:eastAsia="宋体" w:cs="Times New Roman"/>
      <w:kern w:val="2"/>
      <w:sz w:val="21"/>
      <w:szCs w:val="24"/>
      <w:lang w:val="en-US" w:eastAsia="zh-CN" w:bidi="ar-SA"/>
    </w:rPr>
  </w:style>
  <w:style w:type="character" w:customStyle="1" w:styleId="68">
    <w:name w:val="NormalCharacter5"/>
    <w:semiHidden/>
    <w:qFormat/>
    <w:uiPriority w:val="0"/>
  </w:style>
  <w:style w:type="character" w:customStyle="1" w:styleId="69">
    <w:name w:val="UserStyle_24"/>
    <w:qFormat/>
    <w:uiPriority w:val="0"/>
    <w:rPr>
      <w:rFonts w:ascii="Calibri" w:hAnsi="Calibri" w:eastAsia="宋体" w:cs="Calibri"/>
      <w:kern w:val="2"/>
      <w:sz w:val="22"/>
      <w:lang w:val="en-US" w:eastAsia="zh-CN" w:bidi="ar-SA"/>
    </w:rPr>
  </w:style>
  <w:style w:type="paragraph" w:customStyle="1" w:styleId="70">
    <w:name w:val="List Paragraph_8a6d8b00-fd3c-42f4-aa2d-7e6c7a579ae82"/>
    <w:qFormat/>
    <w:uiPriority w:val="0"/>
    <w:pPr>
      <w:widowControl w:val="0"/>
      <w:ind w:firstLine="200" w:firstLineChars="200"/>
      <w:jc w:val="both"/>
    </w:pPr>
    <w:rPr>
      <w:rFonts w:ascii="Times New Roman" w:hAnsi="Times New Roman" w:eastAsia="宋体" w:cs="Times New Roman"/>
      <w:kern w:val="2"/>
      <w:sz w:val="21"/>
      <w:szCs w:val="22"/>
      <w:lang w:val="en-US" w:eastAsia="zh-CN" w:bidi="ar-SA"/>
    </w:rPr>
  </w:style>
  <w:style w:type="character" w:customStyle="1" w:styleId="71">
    <w:name w:val="152"/>
    <w:basedOn w:val="24"/>
    <w:uiPriority w:val="0"/>
    <w:rPr>
      <w:rFonts w:hint="default" w:ascii="Calibri" w:hAnsi="Calibri" w:eastAsia="宋体" w:cs="Times New Roman"/>
      <w:kern w:val="2"/>
      <w:sz w:val="21"/>
      <w:szCs w:val="21"/>
    </w:rPr>
  </w:style>
  <w:style w:type="paragraph" w:customStyle="1" w:styleId="72">
    <w:name w:val="Table Paragraph3"/>
    <w:basedOn w:val="1"/>
    <w:qFormat/>
    <w:uiPriority w:val="1"/>
    <w:rPr>
      <w:rFonts w:ascii="Times New Roman" w:hAnsi="Times New Roman" w:eastAsia="宋体" w:cs="Times New Roman"/>
      <w:szCs w:val="24"/>
    </w:rPr>
  </w:style>
  <w:style w:type="paragraph" w:customStyle="1" w:styleId="73">
    <w:name w:val="无间隔1"/>
    <w:uiPriority w:val="0"/>
    <w:pPr>
      <w:widowControl w:val="0"/>
      <w:jc w:val="both"/>
    </w:pPr>
    <w:rPr>
      <w:rFonts w:ascii="Calibri" w:hAnsi="Calibri" w:eastAsia="宋体" w:cs="Times New Roman"/>
      <w:kern w:val="2"/>
      <w:sz w:val="21"/>
      <w:szCs w:val="24"/>
      <w:lang w:val="en-US" w:eastAsia="zh-CN" w:bidi="ar-SA"/>
    </w:rPr>
  </w:style>
  <w:style w:type="paragraph" w:customStyle="1" w:styleId="74">
    <w:name w:val="WPSOffice手动目录 11"/>
    <w:uiPriority w:val="0"/>
    <w:pPr>
      <w:ind w:leftChars="0"/>
    </w:pPr>
    <w:rPr>
      <w:rFonts w:asciiTheme="minorHAnsi" w:hAnsiTheme="minorHAnsi" w:eastAsiaTheme="minorEastAsia" w:cstheme="minorBidi"/>
      <w:sz w:val="20"/>
      <w:szCs w:val="20"/>
    </w:rPr>
  </w:style>
  <w:style w:type="paragraph" w:customStyle="1" w:styleId="75">
    <w:name w:val="新正文6"/>
    <w:basedOn w:val="10"/>
    <w:next w:val="21"/>
    <w:qFormat/>
    <w:uiPriority w:val="0"/>
    <w:pPr>
      <w:ind w:firstLine="200"/>
    </w:pPr>
    <w:rPr>
      <w:rFonts w:ascii="仿宋_GB2312" w:hAnsi="仿宋_GB2312"/>
      <w:szCs w:val="21"/>
    </w:rPr>
  </w:style>
  <w:style w:type="character" w:customStyle="1" w:styleId="76">
    <w:name w:val="UserStyle_25"/>
    <w:qFormat/>
    <w:uiPriority w:val="0"/>
    <w:rPr>
      <w:rFonts w:ascii="Calibri" w:hAnsi="Calibri" w:eastAsia="宋体" w:cs="Calibri"/>
      <w:kern w:val="2"/>
      <w:sz w:val="22"/>
      <w:lang w:val="en-US" w:eastAsia="zh-CN" w:bidi="ar-SA"/>
    </w:rPr>
  </w:style>
  <w:style w:type="paragraph" w:customStyle="1" w:styleId="77">
    <w:name w:val="新正文7"/>
    <w:basedOn w:val="10"/>
    <w:qFormat/>
    <w:uiPriority w:val="0"/>
    <w:pPr>
      <w:ind w:firstLine="200" w:firstLineChars="200"/>
    </w:pPr>
    <w:rPr>
      <w:rFonts w:ascii="仿宋_GB2312"/>
    </w:rPr>
  </w:style>
  <w:style w:type="character" w:customStyle="1" w:styleId="78">
    <w:name w:val="标题 1 Char4"/>
    <w:link w:val="2"/>
    <w:uiPriority w:val="0"/>
    <w:rPr>
      <w:rFonts w:eastAsia="STFangsong" w:asciiTheme="minorAscii" w:hAnsiTheme="minorAscii"/>
      <w:b/>
      <w:kern w:val="44"/>
      <w:sz w:val="28"/>
      <w:szCs w:val="22"/>
    </w:rPr>
  </w:style>
  <w:style w:type="paragraph" w:customStyle="1" w:styleId="79">
    <w:name w:val="样式24"/>
    <w:basedOn w:val="16"/>
    <w:uiPriority w:val="0"/>
    <w:rPr>
      <w:rFonts w:hint="eastAsia" w:ascii="Times New Roman" w:hAnsi="Times New Roman" w:cs="Times New Roman" w:eastAsiaTheme="minorEastAsia"/>
      <w:b/>
      <w:color w:val="000000"/>
      <w:sz w:val="44"/>
      <w:szCs w:val="22"/>
    </w:rPr>
  </w:style>
  <w:style w:type="paragraph" w:customStyle="1" w:styleId="80">
    <w:name w:val="目录4"/>
    <w:basedOn w:val="16"/>
    <w:uiPriority w:val="0"/>
    <w:pPr>
      <w:jc w:val="center"/>
    </w:pPr>
    <w:rPr>
      <w:rFonts w:hint="eastAsia" w:ascii="Times New Roman" w:hAnsi="Times New Roman" w:cs="Times New Roman" w:eastAsiaTheme="minorEastAsia"/>
      <w:b/>
      <w:color w:val="000000"/>
      <w:sz w:val="44"/>
      <w:szCs w:val="22"/>
    </w:rPr>
  </w:style>
  <w:style w:type="character" w:customStyle="1" w:styleId="81">
    <w:name w:val="NormalCharacter6"/>
    <w:semiHidden/>
    <w:qFormat/>
    <w:uiPriority w:val="0"/>
  </w:style>
  <w:style w:type="character" w:customStyle="1" w:styleId="82">
    <w:name w:val="UserStyle_26"/>
    <w:qFormat/>
    <w:uiPriority w:val="0"/>
    <w:rPr>
      <w:rFonts w:ascii="Calibri" w:hAnsi="Calibri" w:eastAsia="宋体" w:cs="Calibri"/>
      <w:kern w:val="2"/>
      <w:sz w:val="22"/>
      <w:lang w:val="en-US" w:eastAsia="zh-CN" w:bidi="ar-SA"/>
    </w:rPr>
  </w:style>
  <w:style w:type="paragraph" w:customStyle="1" w:styleId="83">
    <w:name w:val="List Paragraph_8a6d8b00-fd3c-42f4-aa2d-7e6c7a579ae83"/>
    <w:qFormat/>
    <w:uiPriority w:val="0"/>
    <w:pPr>
      <w:widowControl w:val="0"/>
      <w:ind w:firstLine="200" w:firstLineChars="200"/>
      <w:jc w:val="both"/>
    </w:pPr>
    <w:rPr>
      <w:rFonts w:ascii="Times New Roman" w:hAnsi="Times New Roman" w:eastAsia="宋体" w:cs="Times New Roman"/>
      <w:kern w:val="2"/>
      <w:sz w:val="21"/>
      <w:szCs w:val="22"/>
      <w:lang w:val="en-US" w:eastAsia="zh-CN" w:bidi="ar-SA"/>
    </w:rPr>
  </w:style>
  <w:style w:type="character" w:customStyle="1" w:styleId="84">
    <w:name w:val="153"/>
    <w:basedOn w:val="24"/>
    <w:uiPriority w:val="0"/>
    <w:rPr>
      <w:rFonts w:hint="default" w:ascii="Calibri" w:hAnsi="Calibri" w:eastAsia="宋体" w:cs="Times New Roman"/>
      <w:kern w:val="2"/>
      <w:sz w:val="21"/>
      <w:szCs w:val="21"/>
    </w:rPr>
  </w:style>
  <w:style w:type="paragraph" w:customStyle="1" w:styleId="85">
    <w:name w:val="Table Paragraph4"/>
    <w:basedOn w:val="1"/>
    <w:qFormat/>
    <w:uiPriority w:val="1"/>
    <w:rPr>
      <w:rFonts w:ascii="Times New Roman" w:hAnsi="Times New Roman" w:eastAsia="宋体" w:cs="Times New Roman"/>
      <w:szCs w:val="24"/>
    </w:rPr>
  </w:style>
  <w:style w:type="paragraph" w:customStyle="1" w:styleId="86">
    <w:name w:val="无间隔11"/>
    <w:uiPriority w:val="0"/>
    <w:pPr>
      <w:widowControl w:val="0"/>
      <w:jc w:val="both"/>
    </w:pPr>
    <w:rPr>
      <w:rFonts w:ascii="Calibri" w:hAnsi="Calibri" w:eastAsia="宋体" w:cs="Times New Roman"/>
      <w:kern w:val="2"/>
      <w:sz w:val="21"/>
      <w:szCs w:val="24"/>
      <w:lang w:val="en-US" w:eastAsia="zh-CN" w:bidi="ar-SA"/>
    </w:rPr>
  </w:style>
  <w:style w:type="paragraph" w:customStyle="1" w:styleId="87">
    <w:name w:val="WPSOffice手动目录 12"/>
    <w:uiPriority w:val="0"/>
    <w:pPr>
      <w:ind w:leftChars="0"/>
    </w:pPr>
    <w:rPr>
      <w:rFonts w:asciiTheme="minorHAnsi" w:hAnsiTheme="minorHAnsi" w:eastAsiaTheme="minorEastAsia" w:cstheme="minorBidi"/>
      <w:sz w:val="20"/>
      <w:szCs w:val="20"/>
    </w:rPr>
  </w:style>
  <w:style w:type="paragraph" w:customStyle="1" w:styleId="88">
    <w:name w:val="新正文8"/>
    <w:basedOn w:val="10"/>
    <w:qFormat/>
    <w:uiPriority w:val="0"/>
    <w:pPr>
      <w:ind w:firstLine="200" w:firstLineChars="200"/>
    </w:pPr>
    <w:rPr>
      <w:rFonts w:ascii="仿宋_GB2312"/>
    </w:rPr>
  </w:style>
  <w:style w:type="character" w:customStyle="1" w:styleId="89">
    <w:name w:val="标题 1 Char5"/>
    <w:link w:val="2"/>
    <w:uiPriority w:val="0"/>
    <w:rPr>
      <w:rFonts w:eastAsia="STFangsong" w:asciiTheme="minorAscii" w:hAnsiTheme="minorAscii"/>
      <w:b/>
      <w:kern w:val="44"/>
      <w:sz w:val="28"/>
      <w:szCs w:val="22"/>
    </w:rPr>
  </w:style>
  <w:style w:type="paragraph" w:customStyle="1" w:styleId="90">
    <w:name w:val="样式25"/>
    <w:basedOn w:val="16"/>
    <w:uiPriority w:val="0"/>
    <w:rPr>
      <w:rFonts w:hint="eastAsia" w:ascii="Times New Roman" w:hAnsi="Times New Roman" w:cs="Times New Roman" w:eastAsiaTheme="minorEastAsia"/>
      <w:b/>
      <w:color w:val="000000"/>
      <w:sz w:val="44"/>
      <w:szCs w:val="22"/>
    </w:rPr>
  </w:style>
  <w:style w:type="paragraph" w:customStyle="1" w:styleId="91">
    <w:name w:val="目录5"/>
    <w:basedOn w:val="16"/>
    <w:uiPriority w:val="0"/>
    <w:pPr>
      <w:jc w:val="center"/>
    </w:pPr>
    <w:rPr>
      <w:rFonts w:hint="eastAsia" w:ascii="Times New Roman" w:hAnsi="Times New Roman" w:cs="Times New Roman" w:eastAsiaTheme="minorEastAsia"/>
      <w:b/>
      <w:color w:val="000000"/>
      <w:sz w:val="44"/>
      <w:szCs w:val="22"/>
    </w:rPr>
  </w:style>
  <w:style w:type="character" w:customStyle="1" w:styleId="92">
    <w:name w:val="UserStyle_27"/>
    <w:qFormat/>
    <w:uiPriority w:val="0"/>
    <w:rPr>
      <w:rFonts w:ascii="Calibri" w:hAnsi="Calibri" w:eastAsia="宋体" w:cs="Calibri"/>
      <w:kern w:val="2"/>
      <w:sz w:val="22"/>
      <w:lang w:val="en-US" w:eastAsia="zh-CN" w:bidi="ar-SA"/>
    </w:rPr>
  </w:style>
  <w:style w:type="character" w:customStyle="1" w:styleId="93">
    <w:name w:val="纯文本 Char12"/>
    <w:link w:val="10"/>
    <w:qFormat/>
    <w:uiPriority w:val="0"/>
    <w:rPr>
      <w:rFonts w:ascii="宋体" w:hAnsi="Courier New" w:eastAsia="宋体" w:cs="Courier New"/>
      <w:szCs w:val="21"/>
    </w:rPr>
  </w:style>
  <w:style w:type="paragraph" w:customStyle="1" w:styleId="94">
    <w:name w:val="Table Paragraph5"/>
    <w:basedOn w:val="1"/>
    <w:qFormat/>
    <w:uiPriority w:val="1"/>
    <w:rPr>
      <w:rFonts w:ascii="Times New Roman" w:hAnsi="Times New Roman" w:eastAsia="宋体" w:cs="Times New Roman"/>
      <w:szCs w:val="24"/>
    </w:rPr>
  </w:style>
  <w:style w:type="character" w:customStyle="1" w:styleId="95">
    <w:name w:val="NormalCharacter7"/>
    <w:semiHidden/>
    <w:qFormat/>
    <w:uiPriority w:val="0"/>
  </w:style>
  <w:style w:type="paragraph" w:customStyle="1" w:styleId="96">
    <w:name w:val="WPSOffice手动目录 13"/>
    <w:uiPriority w:val="0"/>
    <w:pPr>
      <w:ind w:leftChars="0"/>
    </w:pPr>
    <w:rPr>
      <w:rFonts w:asciiTheme="minorHAnsi" w:hAnsiTheme="minorHAnsi" w:eastAsiaTheme="minorEastAsia" w:cstheme="minorBidi"/>
      <w:sz w:val="20"/>
      <w:szCs w:val="20"/>
    </w:rPr>
  </w:style>
  <w:style w:type="character" w:customStyle="1" w:styleId="97">
    <w:name w:val="页脚 字符"/>
    <w:link w:val="14"/>
    <w:uiPriority w:val="0"/>
    <w:rPr>
      <w:kern w:val="2"/>
      <w:sz w:val="18"/>
      <w:szCs w:val="18"/>
    </w:rPr>
  </w:style>
  <w:style w:type="character" w:customStyle="1" w:styleId="98">
    <w:name w:val="NormalCharacter1"/>
    <w:semiHidden/>
    <w:qFormat/>
    <w:uiPriority w:val="0"/>
  </w:style>
  <w:style w:type="character" w:customStyle="1" w:styleId="99">
    <w:name w:val="页眉 字符"/>
    <w:link w:val="15"/>
    <w:uiPriority w:val="0"/>
    <w:rPr>
      <w:kern w:val="2"/>
      <w:sz w:val="18"/>
      <w:szCs w:val="18"/>
    </w:rPr>
  </w:style>
  <w:style w:type="character" w:customStyle="1" w:styleId="100">
    <w:name w:val="UserStyle_28"/>
    <w:semiHidden/>
    <w:qFormat/>
    <w:uiPriority w:val="99"/>
    <w:rPr>
      <w:rFonts w:ascii="Calibri" w:hAnsi="Calibri" w:eastAsia="宋体"/>
      <w:kern w:val="2"/>
      <w:sz w:val="22"/>
      <w:lang w:val="en-US" w:eastAsia="zh-CN"/>
    </w:rPr>
  </w:style>
  <w:style w:type="character" w:customStyle="1" w:styleId="101">
    <w:name w:val="批注文字 字符"/>
    <w:link w:val="6"/>
    <w:uiPriority w:val="0"/>
    <w:rPr>
      <w:rFonts w:ascii="Times New Roman" w:hAnsi="Times New Roman"/>
      <w:kern w:val="2"/>
      <w:sz w:val="21"/>
    </w:rPr>
  </w:style>
  <w:style w:type="character" w:customStyle="1" w:styleId="102">
    <w:name w:val="标题 2 字符"/>
    <w:link w:val="3"/>
    <w:qFormat/>
    <w:uiPriority w:val="0"/>
    <w:rPr>
      <w:rFonts w:eastAsia="楷体"/>
      <w:bCs/>
      <w:kern w:val="2"/>
      <w:sz w:val="32"/>
      <w:szCs w:val="32"/>
    </w:rPr>
  </w:style>
  <w:style w:type="paragraph" w:customStyle="1" w:styleId="103">
    <w:name w:val="列表段落"/>
    <w:basedOn w:val="1"/>
    <w:qFormat/>
    <w:uiPriority w:val="1"/>
    <w:pPr>
      <w:ind w:firstLine="420" w:firstLineChars="200"/>
    </w:pPr>
    <w:rPr>
      <w:rFonts w:ascii="Calibri" w:hAnsi="Calibri" w:eastAsia="宋体" w:cs="Times New Roman"/>
      <w:szCs w:val="24"/>
    </w:rPr>
  </w:style>
  <w:style w:type="character" w:customStyle="1" w:styleId="104">
    <w:name w:val="批注框文本 字符"/>
    <w:link w:val="13"/>
    <w:uiPriority w:val="0"/>
    <w:rPr>
      <w:kern w:val="2"/>
      <w:sz w:val="18"/>
      <w:szCs w:val="18"/>
    </w:rPr>
  </w:style>
  <w:style w:type="paragraph" w:customStyle="1" w:styleId="105">
    <w:name w:val="新正文9"/>
    <w:basedOn w:val="10"/>
    <w:qFormat/>
    <w:uiPriority w:val="0"/>
    <w:pPr>
      <w:ind w:firstLine="200"/>
    </w:pPr>
    <w:rPr>
      <w:rFonts w:ascii="仿宋_GB2312" w:hAnsi="仿宋_GB2312"/>
      <w:szCs w:val="21"/>
    </w:rPr>
  </w:style>
  <w:style w:type="character" w:customStyle="1" w:styleId="106">
    <w:name w:val="UserStyle_29"/>
    <w:qFormat/>
    <w:uiPriority w:val="0"/>
    <w:rPr>
      <w:rFonts w:ascii="Calibri" w:hAnsi="Calibri" w:eastAsia="宋体" w:cs="Calibri"/>
      <w:kern w:val="2"/>
      <w:sz w:val="22"/>
      <w:lang w:val="en-US" w:eastAsia="zh-CN" w:bidi="ar-SA"/>
    </w:rPr>
  </w:style>
  <w:style w:type="character" w:customStyle="1" w:styleId="107">
    <w:name w:val="NormalCharacter12"/>
    <w:semiHidden/>
    <w:qFormat/>
    <w:uiPriority w:val="0"/>
  </w:style>
  <w:style w:type="paragraph" w:customStyle="1" w:styleId="108">
    <w:name w:val="新正文10"/>
    <w:basedOn w:val="10"/>
    <w:uiPriority w:val="0"/>
    <w:pPr>
      <w:ind w:firstLine="200"/>
    </w:pPr>
    <w:rPr>
      <w:rFonts w:ascii="仿宋_GB2312" w:hAnsi="宋体"/>
      <w:color w:val="000000"/>
    </w:rPr>
  </w:style>
  <w:style w:type="character" w:customStyle="1" w:styleId="109">
    <w:name w:val="标题 2 字符1"/>
    <w:link w:val="3"/>
    <w:qFormat/>
    <w:uiPriority w:val="0"/>
    <w:rPr>
      <w:rFonts w:eastAsia="楷体"/>
      <w:bCs/>
      <w:kern w:val="2"/>
      <w:sz w:val="32"/>
      <w:szCs w:val="32"/>
    </w:rPr>
  </w:style>
  <w:style w:type="character" w:customStyle="1" w:styleId="110">
    <w:name w:val="纯文本 Char2"/>
    <w:basedOn w:val="24"/>
    <w:link w:val="10"/>
    <w:uiPriority w:val="0"/>
    <w:rPr>
      <w:rFonts w:ascii="宋体" w:hAnsi="Courier New" w:cs="Courier New"/>
      <w:kern w:val="2"/>
      <w:sz w:val="21"/>
      <w:szCs w:val="21"/>
    </w:rPr>
  </w:style>
  <w:style w:type="paragraph" w:customStyle="1" w:styleId="111">
    <w:name w:val="列表段落1"/>
    <w:basedOn w:val="1"/>
    <w:qFormat/>
    <w:uiPriority w:val="1"/>
    <w:pPr>
      <w:ind w:firstLine="420" w:firstLineChars="200"/>
    </w:pPr>
    <w:rPr>
      <w:rFonts w:ascii="Calibri" w:hAnsi="Calibri" w:eastAsia="宋体" w:cs="Times New Roman"/>
      <w:szCs w:val="24"/>
    </w:rPr>
  </w:style>
  <w:style w:type="character" w:customStyle="1" w:styleId="112">
    <w:name w:val="批注文字 字符1"/>
    <w:link w:val="6"/>
    <w:uiPriority w:val="0"/>
    <w:rPr>
      <w:rFonts w:ascii="Times New Roman" w:hAnsi="Times New Roman"/>
      <w:kern w:val="2"/>
      <w:sz w:val="21"/>
    </w:rPr>
  </w:style>
  <w:style w:type="character" w:customStyle="1" w:styleId="113">
    <w:name w:val="页脚 字符1"/>
    <w:link w:val="14"/>
    <w:uiPriority w:val="0"/>
    <w:rPr>
      <w:kern w:val="2"/>
      <w:sz w:val="18"/>
      <w:szCs w:val="18"/>
    </w:rPr>
  </w:style>
  <w:style w:type="character" w:customStyle="1" w:styleId="114">
    <w:name w:val="154"/>
    <w:basedOn w:val="24"/>
    <w:link w:val="1"/>
    <w:uiPriority w:val="0"/>
    <w:rPr>
      <w:rFonts w:ascii="Calibri" w:hAnsi="Calibri" w:eastAsia="宋体" w:cs="Times New Roman"/>
      <w:kern w:val="2"/>
      <w:sz w:val="21"/>
      <w:szCs w:val="21"/>
    </w:rPr>
  </w:style>
  <w:style w:type="character" w:customStyle="1" w:styleId="115">
    <w:name w:val="UserStyle_210"/>
    <w:link w:val="1"/>
    <w:semiHidden/>
    <w:qFormat/>
    <w:uiPriority w:val="99"/>
    <w:rPr>
      <w:rFonts w:ascii="Calibri" w:hAnsi="Calibri" w:eastAsia="宋体"/>
      <w:kern w:val="2"/>
      <w:sz w:val="22"/>
      <w:lang w:val="en-US" w:eastAsia="zh-CN"/>
    </w:rPr>
  </w:style>
  <w:style w:type="character" w:customStyle="1" w:styleId="116">
    <w:name w:val="批注框文本 字符1"/>
    <w:link w:val="13"/>
    <w:uiPriority w:val="0"/>
    <w:rPr>
      <w:kern w:val="2"/>
      <w:sz w:val="18"/>
      <w:szCs w:val="18"/>
    </w:rPr>
  </w:style>
  <w:style w:type="character" w:customStyle="1" w:styleId="117">
    <w:name w:val="页眉 字符1"/>
    <w:link w:val="15"/>
    <w:uiPriority w:val="0"/>
    <w:rPr>
      <w:kern w:val="2"/>
      <w:sz w:val="18"/>
      <w:szCs w:val="18"/>
    </w:rPr>
  </w:style>
  <w:style w:type="character" w:customStyle="1" w:styleId="118">
    <w:name w:val="标题 2 字符2"/>
    <w:link w:val="3"/>
    <w:qFormat/>
    <w:uiPriority w:val="0"/>
    <w:rPr>
      <w:rFonts w:eastAsia="楷体"/>
      <w:bCs/>
      <w:kern w:val="2"/>
      <w:sz w:val="32"/>
      <w:szCs w:val="32"/>
    </w:rPr>
  </w:style>
  <w:style w:type="character" w:customStyle="1" w:styleId="119">
    <w:name w:val="纯文本 Char3"/>
    <w:basedOn w:val="24"/>
    <w:link w:val="10"/>
    <w:uiPriority w:val="0"/>
    <w:rPr>
      <w:rFonts w:ascii="宋体" w:hAnsi="Courier New" w:cs="Courier New"/>
      <w:kern w:val="2"/>
      <w:sz w:val="21"/>
      <w:szCs w:val="21"/>
    </w:rPr>
  </w:style>
  <w:style w:type="character" w:customStyle="1" w:styleId="120">
    <w:name w:val="UserStyle_211"/>
    <w:link w:val="1"/>
    <w:semiHidden/>
    <w:qFormat/>
    <w:uiPriority w:val="99"/>
    <w:rPr>
      <w:rFonts w:ascii="Calibri" w:hAnsi="Calibri" w:eastAsia="宋体"/>
      <w:kern w:val="2"/>
      <w:sz w:val="22"/>
      <w:lang w:val="en-US" w:eastAsia="zh-CN"/>
    </w:rPr>
  </w:style>
  <w:style w:type="character" w:customStyle="1" w:styleId="121">
    <w:name w:val="NormalCharacter13"/>
    <w:link w:val="1"/>
    <w:semiHidden/>
    <w:qFormat/>
    <w:uiPriority w:val="0"/>
  </w:style>
  <w:style w:type="character" w:customStyle="1" w:styleId="122">
    <w:name w:val="批注文字 字符2"/>
    <w:link w:val="6"/>
    <w:uiPriority w:val="0"/>
    <w:rPr>
      <w:rFonts w:ascii="Times New Roman" w:hAnsi="Times New Roman"/>
      <w:kern w:val="2"/>
      <w:sz w:val="21"/>
    </w:rPr>
  </w:style>
  <w:style w:type="paragraph" w:customStyle="1" w:styleId="123">
    <w:name w:val="新正文11"/>
    <w:basedOn w:val="10"/>
    <w:uiPriority w:val="0"/>
    <w:pPr>
      <w:ind w:firstLine="200"/>
    </w:pPr>
    <w:rPr>
      <w:rFonts w:ascii="仿宋_GB2312" w:hAnsi="宋体"/>
      <w:color w:val="000000"/>
    </w:rPr>
  </w:style>
  <w:style w:type="character" w:customStyle="1" w:styleId="124">
    <w:name w:val="批注框文本 字符2"/>
    <w:link w:val="13"/>
    <w:uiPriority w:val="0"/>
    <w:rPr>
      <w:kern w:val="2"/>
      <w:sz w:val="18"/>
      <w:szCs w:val="18"/>
    </w:rPr>
  </w:style>
  <w:style w:type="paragraph" w:customStyle="1" w:styleId="125">
    <w:name w:val="列表段落2"/>
    <w:basedOn w:val="1"/>
    <w:qFormat/>
    <w:uiPriority w:val="1"/>
    <w:pPr>
      <w:ind w:firstLine="420" w:firstLineChars="200"/>
    </w:pPr>
    <w:rPr>
      <w:rFonts w:ascii="Calibri" w:hAnsi="Calibri" w:eastAsia="宋体" w:cs="Times New Roman"/>
      <w:szCs w:val="24"/>
    </w:rPr>
  </w:style>
  <w:style w:type="character" w:customStyle="1" w:styleId="126">
    <w:name w:val="页眉 字符2"/>
    <w:link w:val="15"/>
    <w:uiPriority w:val="0"/>
    <w:rPr>
      <w:kern w:val="2"/>
      <w:sz w:val="18"/>
      <w:szCs w:val="18"/>
    </w:rPr>
  </w:style>
  <w:style w:type="character" w:customStyle="1" w:styleId="127">
    <w:name w:val="155"/>
    <w:basedOn w:val="24"/>
    <w:link w:val="1"/>
    <w:uiPriority w:val="0"/>
    <w:rPr>
      <w:rFonts w:ascii="Calibri" w:hAnsi="Calibri" w:eastAsia="宋体" w:cs="Times New Roman"/>
      <w:kern w:val="2"/>
      <w:sz w:val="21"/>
      <w:szCs w:val="21"/>
    </w:rPr>
  </w:style>
  <w:style w:type="character" w:customStyle="1" w:styleId="128">
    <w:name w:val="页脚 字符2"/>
    <w:link w:val="14"/>
    <w:uiPriority w:val="0"/>
    <w:rPr>
      <w:kern w:val="2"/>
      <w:sz w:val="18"/>
      <w:szCs w:val="18"/>
    </w:rPr>
  </w:style>
  <w:style w:type="paragraph" w:customStyle="1" w:styleId="129">
    <w:name w:val="新正文12"/>
    <w:basedOn w:val="10"/>
    <w:qFormat/>
    <w:uiPriority w:val="0"/>
    <w:pPr>
      <w:ind w:firstLine="200"/>
    </w:pPr>
    <w:rPr>
      <w:rFonts w:ascii="仿宋_GB2312" w:hAnsi="仿宋_GB2312"/>
      <w:szCs w:val="21"/>
    </w:rPr>
  </w:style>
  <w:style w:type="character" w:customStyle="1" w:styleId="130">
    <w:name w:val="NormalCharacter8"/>
    <w:qFormat/>
    <w:uiPriority w:val="0"/>
  </w:style>
  <w:style w:type="character" w:customStyle="1" w:styleId="131">
    <w:name w:val="UserStyle_212"/>
    <w:semiHidden/>
    <w:qFormat/>
    <w:uiPriority w:val="0"/>
    <w:rPr>
      <w:rFonts w:ascii="Calibri" w:hAnsi="Calibri" w:eastAsia="宋体" w:cs="Times New Roman"/>
      <w:kern w:val="2"/>
      <w:sz w:val="21"/>
      <w:szCs w:val="22"/>
      <w:lang w:val="en-US" w:eastAsia="zh-CN" w:bidi="ar-SA"/>
    </w:rPr>
  </w:style>
  <w:style w:type="paragraph" w:customStyle="1" w:styleId="132">
    <w:name w:val="Table Paragraph6"/>
    <w:basedOn w:val="1"/>
    <w:qFormat/>
    <w:uiPriority w:val="1"/>
    <w:rPr>
      <w:rFonts w:ascii="宋体" w:hAnsi="宋体" w:eastAsia="宋体" w:cs="宋体"/>
      <w:lang w:val="en-US" w:eastAsia="zh-CN" w:bidi="ar-SA"/>
    </w:rPr>
  </w:style>
  <w:style w:type="character" w:customStyle="1" w:styleId="133">
    <w:name w:val="批注框文本 Char"/>
    <w:link w:val="13"/>
    <w:uiPriority w:val="0"/>
    <w:rPr>
      <w:kern w:val="2"/>
      <w:sz w:val="18"/>
      <w:szCs w:val="18"/>
    </w:rPr>
  </w:style>
  <w:style w:type="character" w:customStyle="1" w:styleId="134">
    <w:name w:val="页眉 Char"/>
    <w:link w:val="15"/>
    <w:uiPriority w:val="0"/>
    <w:rPr>
      <w:kern w:val="2"/>
      <w:sz w:val="18"/>
      <w:szCs w:val="18"/>
    </w:rPr>
  </w:style>
  <w:style w:type="character" w:customStyle="1" w:styleId="135">
    <w:name w:val="UserStyle_213"/>
    <w:semiHidden/>
    <w:qFormat/>
    <w:uiPriority w:val="99"/>
    <w:rPr>
      <w:rFonts w:ascii="Calibri" w:hAnsi="Calibri" w:eastAsia="宋体"/>
      <w:kern w:val="2"/>
      <w:sz w:val="22"/>
      <w:lang w:val="en-US" w:eastAsia="zh-CN"/>
    </w:rPr>
  </w:style>
  <w:style w:type="character" w:customStyle="1" w:styleId="136">
    <w:name w:val="标题 2 Char"/>
    <w:link w:val="3"/>
    <w:qFormat/>
    <w:uiPriority w:val="0"/>
    <w:rPr>
      <w:rFonts w:eastAsia="楷体"/>
      <w:bCs/>
      <w:kern w:val="2"/>
      <w:sz w:val="32"/>
      <w:szCs w:val="32"/>
    </w:rPr>
  </w:style>
  <w:style w:type="character" w:customStyle="1" w:styleId="137">
    <w:name w:val="NormalCharacter14"/>
    <w:semiHidden/>
    <w:qFormat/>
    <w:uiPriority w:val="0"/>
  </w:style>
  <w:style w:type="paragraph" w:customStyle="1" w:styleId="138">
    <w:name w:val="列出段落"/>
    <w:basedOn w:val="1"/>
    <w:qFormat/>
    <w:uiPriority w:val="1"/>
    <w:pPr>
      <w:ind w:firstLine="420" w:firstLineChars="200"/>
    </w:pPr>
    <w:rPr>
      <w:rFonts w:ascii="Calibri" w:hAnsi="Calibri" w:eastAsia="宋体" w:cs="Times New Roman"/>
      <w:szCs w:val="24"/>
    </w:rPr>
  </w:style>
  <w:style w:type="character" w:customStyle="1" w:styleId="139">
    <w:name w:val="批注文字 Char"/>
    <w:link w:val="6"/>
    <w:uiPriority w:val="0"/>
    <w:rPr>
      <w:rFonts w:ascii="Times New Roman" w:hAnsi="Times New Roman"/>
      <w:kern w:val="2"/>
      <w:sz w:val="21"/>
    </w:rPr>
  </w:style>
  <w:style w:type="character" w:customStyle="1" w:styleId="140">
    <w:name w:val="纯文本 Char4"/>
    <w:basedOn w:val="24"/>
    <w:link w:val="10"/>
    <w:uiPriority w:val="0"/>
    <w:rPr>
      <w:rFonts w:ascii="宋体" w:hAnsi="Courier New" w:cs="Courier New"/>
      <w:kern w:val="2"/>
      <w:sz w:val="21"/>
      <w:szCs w:val="21"/>
    </w:rPr>
  </w:style>
  <w:style w:type="character" w:customStyle="1" w:styleId="141">
    <w:name w:val="页脚 Char"/>
    <w:link w:val="14"/>
    <w:uiPriority w:val="0"/>
    <w:rPr>
      <w:kern w:val="2"/>
      <w:sz w:val="18"/>
      <w:szCs w:val="18"/>
    </w:rPr>
  </w:style>
  <w:style w:type="paragraph" w:customStyle="1" w:styleId="142">
    <w:name w:val="新正文13"/>
    <w:basedOn w:val="10"/>
    <w:uiPriority w:val="0"/>
    <w:pPr>
      <w:ind w:firstLine="200"/>
    </w:pPr>
    <w:rPr>
      <w:rFonts w:ascii="仿宋_GB2312" w:hAnsi="宋体"/>
      <w:color w:val="000000"/>
    </w:rPr>
  </w:style>
  <w:style w:type="character" w:customStyle="1" w:styleId="143">
    <w:name w:val="156"/>
    <w:basedOn w:val="24"/>
    <w:link w:val="1"/>
    <w:uiPriority w:val="0"/>
    <w:rPr>
      <w:rFonts w:ascii="Calibri" w:hAnsi="Calibri" w:eastAsia="宋体" w:cs="Times New Roman"/>
      <w:kern w:val="2"/>
      <w:sz w:val="21"/>
      <w:szCs w:val="21"/>
    </w:rPr>
  </w:style>
  <w:style w:type="paragraph" w:customStyle="1" w:styleId="144">
    <w:name w:val="新正文14"/>
    <w:basedOn w:val="10"/>
    <w:qFormat/>
    <w:uiPriority w:val="0"/>
    <w:pPr>
      <w:ind w:firstLine="200" w:firstLineChars="200"/>
    </w:pPr>
    <w:rPr>
      <w:rFonts w:ascii="仿宋_GB2312"/>
    </w:rPr>
  </w:style>
  <w:style w:type="character" w:customStyle="1" w:styleId="145">
    <w:name w:val="标题 1 Char6"/>
    <w:link w:val="2"/>
    <w:uiPriority w:val="0"/>
    <w:rPr>
      <w:rFonts w:eastAsia="STFangsong" w:asciiTheme="minorAscii" w:hAnsiTheme="minorAscii"/>
      <w:b/>
      <w:kern w:val="44"/>
      <w:sz w:val="28"/>
      <w:szCs w:val="22"/>
    </w:rPr>
  </w:style>
  <w:style w:type="paragraph" w:customStyle="1" w:styleId="146">
    <w:name w:val="样式26"/>
    <w:basedOn w:val="16"/>
    <w:uiPriority w:val="0"/>
    <w:rPr>
      <w:rFonts w:hint="eastAsia" w:ascii="Times New Roman" w:hAnsi="Times New Roman" w:cs="Times New Roman" w:eastAsiaTheme="minorEastAsia"/>
      <w:b/>
      <w:color w:val="000000"/>
      <w:sz w:val="44"/>
      <w:szCs w:val="22"/>
    </w:rPr>
  </w:style>
  <w:style w:type="paragraph" w:customStyle="1" w:styleId="147">
    <w:name w:val="目录6"/>
    <w:basedOn w:val="16"/>
    <w:uiPriority w:val="0"/>
    <w:pPr>
      <w:jc w:val="center"/>
    </w:pPr>
    <w:rPr>
      <w:rFonts w:hint="eastAsia" w:ascii="Times New Roman" w:hAnsi="Times New Roman" w:cs="Times New Roman" w:eastAsiaTheme="minorEastAsia"/>
      <w:b/>
      <w:color w:val="000000"/>
      <w:sz w:val="44"/>
      <w:szCs w:val="22"/>
    </w:rPr>
  </w:style>
  <w:style w:type="character" w:customStyle="1" w:styleId="148">
    <w:name w:val="UserStyle_214"/>
    <w:qFormat/>
    <w:uiPriority w:val="0"/>
    <w:rPr>
      <w:rFonts w:ascii="Calibri" w:hAnsi="Calibri" w:eastAsia="宋体" w:cs="Calibri"/>
      <w:kern w:val="2"/>
      <w:sz w:val="22"/>
      <w:lang w:val="en-US" w:eastAsia="zh-CN" w:bidi="ar-SA"/>
    </w:rPr>
  </w:style>
  <w:style w:type="character" w:customStyle="1" w:styleId="149">
    <w:name w:val="纯文本 Char5"/>
    <w:link w:val="10"/>
    <w:qFormat/>
    <w:uiPriority w:val="0"/>
    <w:rPr>
      <w:rFonts w:ascii="宋体" w:hAnsi="Courier New" w:eastAsia="宋体" w:cs="Courier New"/>
      <w:szCs w:val="21"/>
    </w:rPr>
  </w:style>
  <w:style w:type="paragraph" w:customStyle="1" w:styleId="150">
    <w:name w:val="Table Paragraph7"/>
    <w:basedOn w:val="1"/>
    <w:qFormat/>
    <w:uiPriority w:val="1"/>
    <w:rPr>
      <w:rFonts w:ascii="Times New Roman" w:hAnsi="Times New Roman" w:eastAsia="宋体" w:cs="Times New Roman"/>
      <w:szCs w:val="24"/>
    </w:rPr>
  </w:style>
  <w:style w:type="character" w:customStyle="1" w:styleId="151">
    <w:name w:val="NormalCharacter9"/>
    <w:semiHidden/>
    <w:qFormat/>
    <w:uiPriority w:val="0"/>
  </w:style>
  <w:style w:type="paragraph" w:customStyle="1" w:styleId="152">
    <w:name w:val="WPSOffice手动目录 14"/>
    <w:uiPriority w:val="0"/>
    <w:pPr>
      <w:ind w:leftChars="0"/>
    </w:pPr>
    <w:rPr>
      <w:rFonts w:asciiTheme="minorHAnsi" w:hAnsiTheme="minorHAnsi" w:eastAsiaTheme="minorEastAsia" w:cstheme="minorBidi"/>
      <w:sz w:val="20"/>
      <w:szCs w:val="20"/>
    </w:rPr>
  </w:style>
  <w:style w:type="character" w:customStyle="1" w:styleId="153">
    <w:name w:val="157"/>
    <w:basedOn w:val="24"/>
    <w:uiPriority w:val="0"/>
    <w:rPr>
      <w:rFonts w:ascii="Calibri" w:hAnsi="Calibri" w:eastAsia="宋体" w:cs="Times New Roman"/>
      <w:kern w:val="2"/>
      <w:sz w:val="21"/>
      <w:szCs w:val="21"/>
    </w:rPr>
  </w:style>
  <w:style w:type="character" w:customStyle="1" w:styleId="154">
    <w:name w:val="UserStyle_215"/>
    <w:qFormat/>
    <w:uiPriority w:val="0"/>
    <w:rPr>
      <w:rFonts w:ascii="Calibri" w:hAnsi="Calibri" w:eastAsia="宋体" w:cs="Calibri"/>
      <w:kern w:val="2"/>
      <w:sz w:val="22"/>
      <w:lang w:val="en-US" w:eastAsia="zh-CN" w:bidi="ar-SA"/>
    </w:rPr>
  </w:style>
  <w:style w:type="character" w:customStyle="1" w:styleId="155">
    <w:name w:val="ziti19801"/>
    <w:link w:val="1"/>
    <w:uiPriority w:val="0"/>
    <w:rPr>
      <w:rFonts w:ascii="Times New Roman" w:hAnsi="Times New Roman" w:eastAsia="宋体" w:cs="Times New Roman"/>
      <w:color w:val="005FA9"/>
      <w:sz w:val="18"/>
      <w:szCs w:val="18"/>
      <w:u w:val="none"/>
    </w:rPr>
  </w:style>
  <w:style w:type="paragraph" w:customStyle="1" w:styleId="156">
    <w:name w:val="Table Paragraph8"/>
    <w:basedOn w:val="1"/>
    <w:qFormat/>
    <w:uiPriority w:val="1"/>
    <w:rPr>
      <w:rFonts w:ascii="Times New Roman" w:hAnsi="Times New Roman" w:eastAsia="宋体" w:cs="Times New Roman"/>
      <w:szCs w:val="24"/>
    </w:rPr>
  </w:style>
  <w:style w:type="paragraph" w:customStyle="1" w:styleId="157">
    <w:name w:val="List Paragraph_8a6d8b00-fd3c-42f4-aa2d-7e6c7a579ae84"/>
    <w:qFormat/>
    <w:uiPriority w:val="0"/>
    <w:pPr>
      <w:widowControl w:val="0"/>
      <w:ind w:firstLine="200" w:firstLineChars="200"/>
      <w:jc w:val="both"/>
    </w:pPr>
    <w:rPr>
      <w:rFonts w:ascii="Times New Roman" w:hAnsi="Times New Roman" w:eastAsia="宋体" w:cs="Times New Roman"/>
      <w:kern w:val="2"/>
      <w:sz w:val="21"/>
      <w:szCs w:val="22"/>
      <w:lang w:val="en-US" w:eastAsia="zh-CN" w:bidi="ar-SA"/>
    </w:rPr>
  </w:style>
  <w:style w:type="character" w:customStyle="1" w:styleId="158">
    <w:name w:val="页脚 Char1"/>
    <w:link w:val="14"/>
    <w:uiPriority w:val="0"/>
    <w:rPr>
      <w:kern w:val="2"/>
      <w:sz w:val="18"/>
      <w:szCs w:val="18"/>
    </w:rPr>
  </w:style>
  <w:style w:type="character" w:customStyle="1" w:styleId="159">
    <w:name w:val="页眉 Char1"/>
    <w:link w:val="15"/>
    <w:uiPriority w:val="0"/>
    <w:rPr>
      <w:kern w:val="2"/>
      <w:sz w:val="18"/>
      <w:szCs w:val="18"/>
    </w:rPr>
  </w:style>
  <w:style w:type="paragraph" w:customStyle="1" w:styleId="160">
    <w:name w:val="目录7"/>
    <w:basedOn w:val="16"/>
    <w:uiPriority w:val="0"/>
    <w:pPr>
      <w:jc w:val="center"/>
    </w:pPr>
    <w:rPr>
      <w:rFonts w:hint="eastAsia" w:ascii="Times New Roman" w:hAnsi="Times New Roman" w:eastAsia="宋体" w:cs="Times New Roman"/>
      <w:b/>
      <w:color w:val="000000"/>
      <w:sz w:val="44"/>
      <w:szCs w:val="22"/>
    </w:rPr>
  </w:style>
  <w:style w:type="character" w:customStyle="1" w:styleId="161">
    <w:name w:val="标题 2 Char1"/>
    <w:link w:val="3"/>
    <w:qFormat/>
    <w:uiPriority w:val="0"/>
    <w:rPr>
      <w:rFonts w:eastAsia="楷体"/>
      <w:bCs/>
      <w:kern w:val="2"/>
      <w:sz w:val="32"/>
      <w:szCs w:val="32"/>
    </w:rPr>
  </w:style>
  <w:style w:type="paragraph" w:customStyle="1" w:styleId="162">
    <w:name w:val="无间隔12"/>
    <w:uiPriority w:val="0"/>
    <w:pPr>
      <w:widowControl w:val="0"/>
      <w:jc w:val="both"/>
    </w:pPr>
    <w:rPr>
      <w:rFonts w:ascii="Calibri" w:hAnsi="Calibri" w:eastAsia="宋体" w:cs="Times New Roman"/>
      <w:kern w:val="2"/>
      <w:sz w:val="21"/>
      <w:szCs w:val="24"/>
      <w:lang w:val="en-US" w:eastAsia="zh-CN" w:bidi="ar-SA"/>
    </w:rPr>
  </w:style>
  <w:style w:type="paragraph" w:customStyle="1" w:styleId="163">
    <w:name w:val="[系统文字]"/>
    <w:qFormat/>
    <w:uiPriority w:val="0"/>
    <w:rPr>
      <w:rFonts w:ascii="Calibri" w:hAnsi="NEU-BZ" w:eastAsia="宋体" w:cs="Times New Roman"/>
      <w:sz w:val="22"/>
      <w:szCs w:val="22"/>
      <w:lang w:val="en-US" w:eastAsia="zh-CN" w:bidi="ar-SA"/>
    </w:rPr>
  </w:style>
  <w:style w:type="character" w:customStyle="1" w:styleId="164">
    <w:name w:val="small"/>
    <w:link w:val="1"/>
    <w:uiPriority w:val="0"/>
    <w:rPr>
      <w:rFonts w:ascii="Times New Roman" w:hAnsi="Times New Roman" w:eastAsia="宋体" w:cs="Times New Roman"/>
    </w:rPr>
  </w:style>
  <w:style w:type="character" w:customStyle="1" w:styleId="165">
    <w:name w:val="批注主题 字符"/>
    <w:link w:val="20"/>
    <w:uiPriority w:val="0"/>
    <w:rPr>
      <w:rFonts w:ascii="Times New Roman" w:hAnsi="Times New Roman" w:eastAsia="宋体" w:cs="Times New Roman"/>
      <w:b/>
      <w:bCs/>
    </w:rPr>
  </w:style>
  <w:style w:type="paragraph" w:customStyle="1" w:styleId="166">
    <w:name w:val="正文1"/>
    <w:basedOn w:val="163"/>
    <w:qFormat/>
    <w:uiPriority w:val="0"/>
    <w:pPr>
      <w:ind w:firstLineChars="200"/>
    </w:pPr>
  </w:style>
  <w:style w:type="character" w:customStyle="1" w:styleId="167">
    <w:name w:val="批注框文本 Char1"/>
    <w:link w:val="13"/>
    <w:uiPriority w:val="0"/>
    <w:rPr>
      <w:kern w:val="2"/>
      <w:sz w:val="18"/>
      <w:szCs w:val="18"/>
    </w:rPr>
  </w:style>
  <w:style w:type="paragraph" w:customStyle="1" w:styleId="168">
    <w:name w:val="新正文15"/>
    <w:basedOn w:val="10"/>
    <w:qFormat/>
    <w:uiPriority w:val="0"/>
    <w:pPr>
      <w:ind w:firstLine="200" w:firstLineChars="200"/>
    </w:pPr>
    <w:rPr>
      <w:rFonts w:ascii="仿宋_GB2312"/>
    </w:rPr>
  </w:style>
  <w:style w:type="character" w:customStyle="1" w:styleId="169">
    <w:name w:val="批注文字 Char1"/>
    <w:link w:val="6"/>
    <w:uiPriority w:val="0"/>
    <w:rPr>
      <w:rFonts w:ascii="Times New Roman" w:hAnsi="Times New Roman"/>
      <w:kern w:val="2"/>
      <w:sz w:val="21"/>
    </w:rPr>
  </w:style>
  <w:style w:type="character" w:customStyle="1" w:styleId="170">
    <w:name w:val="NormalCharacter15"/>
    <w:link w:val="1"/>
    <w:semiHidden/>
    <w:qFormat/>
    <w:uiPriority w:val="0"/>
  </w:style>
  <w:style w:type="character" w:customStyle="1" w:styleId="171">
    <w:name w:val="批注文字 字符3"/>
    <w:uiPriority w:val="0"/>
    <w:rPr>
      <w:rFonts w:ascii="Times New Roman" w:hAnsi="Times New Roman" w:eastAsia="宋体" w:cs="Times New Roman"/>
      <w:kern w:val="2"/>
      <w:sz w:val="21"/>
      <w:szCs w:val="24"/>
    </w:rPr>
  </w:style>
  <w:style w:type="paragraph" w:customStyle="1" w:styleId="172">
    <w:name w:val="列出段落1"/>
    <w:basedOn w:val="1"/>
    <w:qFormat/>
    <w:uiPriority w:val="34"/>
    <w:pPr>
      <w:ind w:firstLine="420" w:firstLineChars="200"/>
    </w:pPr>
    <w:rPr>
      <w:rFonts w:ascii="Calibri" w:hAnsi="Calibri" w:eastAsia="宋体" w:cs="Times New Roman"/>
      <w:szCs w:val="24"/>
    </w:rPr>
  </w:style>
  <w:style w:type="character" w:customStyle="1" w:styleId="173">
    <w:name w:val="纯文本 Char6"/>
    <w:link w:val="10"/>
    <w:qFormat/>
    <w:uiPriority w:val="0"/>
    <w:rPr>
      <w:rFonts w:ascii="宋体" w:hAnsi="Courier New" w:eastAsia="宋体" w:cs="Courier New"/>
      <w:szCs w:val="21"/>
    </w:rPr>
  </w:style>
  <w:style w:type="character" w:customStyle="1" w:styleId="174">
    <w:name w:val="NormalCharacter10"/>
    <w:qFormat/>
    <w:uiPriority w:val="0"/>
  </w:style>
  <w:style w:type="character" w:customStyle="1" w:styleId="175">
    <w:name w:val="UserStyle_216"/>
    <w:qFormat/>
    <w:uiPriority w:val="0"/>
    <w:rPr>
      <w:rFonts w:ascii="Calibri" w:hAnsi="Calibri" w:eastAsia="宋体" w:cs="Calibri"/>
      <w:kern w:val="2"/>
      <w:sz w:val="22"/>
      <w:lang w:val="en-US" w:eastAsia="zh-CN" w:bidi="ar-SA"/>
    </w:rPr>
  </w:style>
  <w:style w:type="paragraph" w:customStyle="1" w:styleId="176">
    <w:name w:val="列出段落2"/>
    <w:basedOn w:val="1"/>
    <w:qFormat/>
    <w:uiPriority w:val="1"/>
    <w:pPr>
      <w:ind w:firstLine="420" w:firstLineChars="200"/>
    </w:pPr>
    <w:rPr>
      <w:rFonts w:ascii="Calibri" w:hAnsi="Calibri" w:eastAsia="宋体" w:cs="Times New Roman"/>
      <w:szCs w:val="24"/>
    </w:rPr>
  </w:style>
  <w:style w:type="paragraph" w:customStyle="1" w:styleId="177">
    <w:name w:val="新正文16"/>
    <w:basedOn w:val="10"/>
    <w:qFormat/>
    <w:uiPriority w:val="0"/>
    <w:pPr>
      <w:ind w:firstLine="200"/>
    </w:pPr>
    <w:rPr>
      <w:rFonts w:ascii="仿宋_GB2312" w:hAnsi="仿宋_GB2312"/>
      <w:szCs w:val="21"/>
    </w:rPr>
  </w:style>
  <w:style w:type="character" w:customStyle="1" w:styleId="178">
    <w:name w:val="页眉 Char2"/>
    <w:link w:val="15"/>
    <w:uiPriority w:val="0"/>
    <w:rPr>
      <w:kern w:val="2"/>
      <w:sz w:val="18"/>
      <w:szCs w:val="18"/>
    </w:rPr>
  </w:style>
  <w:style w:type="character" w:customStyle="1" w:styleId="179">
    <w:name w:val="批注文字 Char2"/>
    <w:link w:val="6"/>
    <w:uiPriority w:val="0"/>
    <w:rPr>
      <w:rFonts w:ascii="Times New Roman" w:hAnsi="Times New Roman"/>
      <w:kern w:val="2"/>
      <w:sz w:val="21"/>
    </w:rPr>
  </w:style>
  <w:style w:type="character" w:customStyle="1" w:styleId="180">
    <w:name w:val="页脚 Char2"/>
    <w:link w:val="14"/>
    <w:uiPriority w:val="0"/>
    <w:rPr>
      <w:kern w:val="2"/>
      <w:sz w:val="18"/>
      <w:szCs w:val="18"/>
    </w:rPr>
  </w:style>
  <w:style w:type="character" w:customStyle="1" w:styleId="181">
    <w:name w:val="批注框文本 Char2"/>
    <w:link w:val="13"/>
    <w:uiPriority w:val="0"/>
    <w:rPr>
      <w:kern w:val="2"/>
      <w:sz w:val="18"/>
      <w:szCs w:val="18"/>
    </w:rPr>
  </w:style>
  <w:style w:type="character" w:customStyle="1" w:styleId="182">
    <w:name w:val="UserStyle_217"/>
    <w:semiHidden/>
    <w:qFormat/>
    <w:uiPriority w:val="99"/>
    <w:rPr>
      <w:rFonts w:ascii="Calibri" w:hAnsi="Calibri" w:eastAsia="宋体"/>
      <w:kern w:val="2"/>
      <w:sz w:val="22"/>
      <w:lang w:val="en-US" w:eastAsia="zh-CN"/>
    </w:rPr>
  </w:style>
  <w:style w:type="character" w:customStyle="1" w:styleId="183">
    <w:name w:val="标题 2 Char2"/>
    <w:link w:val="3"/>
    <w:qFormat/>
    <w:uiPriority w:val="0"/>
    <w:rPr>
      <w:rFonts w:eastAsia="楷体"/>
      <w:bCs/>
      <w:kern w:val="2"/>
      <w:sz w:val="32"/>
      <w:szCs w:val="32"/>
    </w:rPr>
  </w:style>
  <w:style w:type="character" w:customStyle="1" w:styleId="184">
    <w:name w:val="NormalCharacter16"/>
    <w:link w:val="1"/>
    <w:semiHidden/>
    <w:qFormat/>
    <w:uiPriority w:val="0"/>
  </w:style>
  <w:style w:type="paragraph" w:customStyle="1" w:styleId="185">
    <w:name w:val="新正文17"/>
    <w:basedOn w:val="10"/>
    <w:qFormat/>
    <w:uiPriority w:val="0"/>
    <w:pPr>
      <w:ind w:firstLine="200"/>
    </w:pPr>
    <w:rPr>
      <w:rFonts w:ascii="仿宋_GB2312" w:hAnsi="仿宋_GB2312"/>
      <w:szCs w:val="21"/>
    </w:rPr>
  </w:style>
  <w:style w:type="character" w:customStyle="1" w:styleId="186">
    <w:name w:val="标题 1 Char7"/>
    <w:link w:val="2"/>
    <w:uiPriority w:val="0"/>
    <w:rPr>
      <w:rFonts w:eastAsia="STFangsong" w:asciiTheme="minorAscii" w:hAnsiTheme="minorAscii"/>
      <w:b/>
      <w:kern w:val="44"/>
      <w:sz w:val="28"/>
      <w:szCs w:val="22"/>
    </w:rPr>
  </w:style>
  <w:style w:type="paragraph" w:customStyle="1" w:styleId="187">
    <w:name w:val="样式27"/>
    <w:basedOn w:val="16"/>
    <w:uiPriority w:val="0"/>
    <w:rPr>
      <w:rFonts w:hint="eastAsia" w:ascii="Times New Roman" w:hAnsi="Times New Roman" w:cs="Times New Roman" w:eastAsiaTheme="minorEastAsia"/>
      <w:b/>
      <w:color w:val="000000"/>
      <w:sz w:val="44"/>
      <w:szCs w:val="22"/>
    </w:rPr>
  </w:style>
  <w:style w:type="paragraph" w:customStyle="1" w:styleId="188">
    <w:name w:val="目录8"/>
    <w:basedOn w:val="16"/>
    <w:uiPriority w:val="0"/>
    <w:pPr>
      <w:jc w:val="center"/>
    </w:pPr>
    <w:rPr>
      <w:rFonts w:hint="eastAsia" w:ascii="Times New Roman" w:hAnsi="Times New Roman" w:cs="Times New Roman" w:eastAsiaTheme="minorEastAsia"/>
      <w:b/>
      <w:color w:val="000000"/>
      <w:sz w:val="44"/>
      <w:szCs w:val="22"/>
    </w:rPr>
  </w:style>
  <w:style w:type="character" w:customStyle="1" w:styleId="189">
    <w:name w:val="NormalCharacter17"/>
    <w:qFormat/>
    <w:uiPriority w:val="0"/>
  </w:style>
  <w:style w:type="character" w:customStyle="1" w:styleId="190">
    <w:name w:val="UserStyle_218"/>
    <w:qFormat/>
    <w:uiPriority w:val="0"/>
    <w:rPr>
      <w:rFonts w:ascii="Calibri" w:hAnsi="Calibri" w:eastAsia="宋体" w:cs="Calibri"/>
      <w:kern w:val="2"/>
      <w:sz w:val="22"/>
      <w:lang w:val="en-US" w:eastAsia="zh-CN" w:bidi="ar-SA"/>
    </w:rPr>
  </w:style>
  <w:style w:type="paragraph" w:customStyle="1" w:styleId="191">
    <w:name w:val="Table Paragraph9"/>
    <w:basedOn w:val="1"/>
    <w:qFormat/>
    <w:uiPriority w:val="1"/>
  </w:style>
  <w:style w:type="paragraph" w:customStyle="1" w:styleId="192">
    <w:name w:val="List Paragraph_8a6d8b00-fd3c-42f4-aa2d-7e6c7a579ae85"/>
    <w:qFormat/>
    <w:uiPriority w:val="0"/>
    <w:pPr>
      <w:widowControl w:val="0"/>
      <w:ind w:firstLine="200" w:firstLineChars="200"/>
      <w:jc w:val="both"/>
    </w:pPr>
    <w:rPr>
      <w:rFonts w:ascii="Times New Roman" w:hAnsi="Times New Roman" w:eastAsia="宋体" w:cs="Times New Roman"/>
      <w:kern w:val="2"/>
      <w:sz w:val="21"/>
      <w:szCs w:val="22"/>
      <w:lang w:val="en-US" w:eastAsia="zh-CN" w:bidi="ar-SA"/>
    </w:rPr>
  </w:style>
  <w:style w:type="character" w:customStyle="1" w:styleId="193">
    <w:name w:val="158"/>
    <w:basedOn w:val="24"/>
    <w:qFormat/>
    <w:uiPriority w:val="0"/>
    <w:rPr>
      <w:rFonts w:ascii="Times New Roman" w:hAnsi="Times New Roman" w:cs="Times New Roman"/>
      <w:b/>
      <w:bCs/>
      <w:lang w:bidi="ar-SA"/>
    </w:rPr>
  </w:style>
  <w:style w:type="paragraph" w:customStyle="1" w:styleId="194">
    <w:name w:val="新正文18"/>
    <w:basedOn w:val="10"/>
    <w:qFormat/>
    <w:uiPriority w:val="0"/>
    <w:pPr>
      <w:ind w:firstLine="200"/>
    </w:pPr>
    <w:rPr>
      <w:rFonts w:ascii="仿宋_GB2312" w:hAnsi="仿宋_GB2312"/>
      <w:szCs w:val="21"/>
    </w:rPr>
  </w:style>
  <w:style w:type="character" w:customStyle="1" w:styleId="195">
    <w:name w:val="标题 1 Char8"/>
    <w:link w:val="2"/>
    <w:uiPriority w:val="0"/>
    <w:rPr>
      <w:rFonts w:eastAsia="STFangsong" w:asciiTheme="minorAscii" w:hAnsiTheme="minorAscii"/>
      <w:b/>
      <w:kern w:val="44"/>
      <w:sz w:val="28"/>
      <w:szCs w:val="22"/>
    </w:rPr>
  </w:style>
  <w:style w:type="paragraph" w:customStyle="1" w:styleId="196">
    <w:name w:val="样式28"/>
    <w:basedOn w:val="16"/>
    <w:uiPriority w:val="0"/>
    <w:rPr>
      <w:rFonts w:hint="eastAsia" w:ascii="Times New Roman" w:hAnsi="Times New Roman" w:cs="Times New Roman" w:eastAsiaTheme="minorEastAsia"/>
      <w:b/>
      <w:color w:val="000000"/>
      <w:sz w:val="44"/>
      <w:szCs w:val="22"/>
    </w:rPr>
  </w:style>
  <w:style w:type="paragraph" w:customStyle="1" w:styleId="197">
    <w:name w:val="目录9"/>
    <w:basedOn w:val="16"/>
    <w:uiPriority w:val="0"/>
    <w:pPr>
      <w:jc w:val="center"/>
    </w:pPr>
    <w:rPr>
      <w:rFonts w:hint="eastAsia" w:ascii="Times New Roman" w:hAnsi="Times New Roman" w:cs="Times New Roman" w:eastAsiaTheme="minorEastAsia"/>
      <w:b/>
      <w:color w:val="000000"/>
      <w:sz w:val="44"/>
      <w:szCs w:val="22"/>
    </w:rPr>
  </w:style>
  <w:style w:type="character" w:customStyle="1" w:styleId="198">
    <w:name w:val="NormalCharacter18"/>
    <w:qFormat/>
    <w:uiPriority w:val="0"/>
  </w:style>
  <w:style w:type="character" w:customStyle="1" w:styleId="199">
    <w:name w:val="UserStyle_219"/>
    <w:qFormat/>
    <w:uiPriority w:val="0"/>
    <w:rPr>
      <w:rFonts w:ascii="Calibri" w:hAnsi="Calibri" w:eastAsia="宋体" w:cs="Calibri"/>
      <w:kern w:val="2"/>
      <w:sz w:val="22"/>
      <w:lang w:val="en-US" w:eastAsia="zh-CN" w:bidi="ar-SA"/>
    </w:rPr>
  </w:style>
  <w:style w:type="paragraph" w:customStyle="1" w:styleId="200">
    <w:name w:val="Table Paragraph10"/>
    <w:basedOn w:val="1"/>
    <w:qFormat/>
    <w:uiPriority w:val="1"/>
  </w:style>
  <w:style w:type="paragraph" w:customStyle="1" w:styleId="201">
    <w:name w:val="List Paragraph_8a6d8b00-fd3c-42f4-aa2d-7e6c7a579ae86"/>
    <w:qFormat/>
    <w:uiPriority w:val="0"/>
    <w:pPr>
      <w:widowControl w:val="0"/>
      <w:ind w:firstLine="200" w:firstLineChars="200"/>
      <w:jc w:val="both"/>
    </w:pPr>
    <w:rPr>
      <w:rFonts w:ascii="Times New Roman" w:hAnsi="Times New Roman" w:eastAsia="宋体" w:cs="Times New Roman"/>
      <w:kern w:val="2"/>
      <w:sz w:val="21"/>
      <w:szCs w:val="22"/>
      <w:lang w:val="en-US" w:eastAsia="zh-CN" w:bidi="ar-SA"/>
    </w:rPr>
  </w:style>
  <w:style w:type="character" w:customStyle="1" w:styleId="202">
    <w:name w:val="159"/>
    <w:basedOn w:val="24"/>
    <w:qFormat/>
    <w:uiPriority w:val="0"/>
    <w:rPr>
      <w:rFonts w:ascii="Times New Roman" w:hAnsi="Times New Roman" w:cs="Times New Roman"/>
      <w:b/>
      <w:bCs/>
      <w:lang w:bidi="ar-SA"/>
    </w:rPr>
  </w:style>
  <w:style w:type="paragraph" w:customStyle="1" w:styleId="203">
    <w:name w:val="新正文19"/>
    <w:basedOn w:val="10"/>
    <w:qFormat/>
    <w:uiPriority w:val="0"/>
    <w:pPr>
      <w:ind w:firstLine="200" w:firstLineChars="200"/>
    </w:pPr>
    <w:rPr>
      <w:rFonts w:ascii="仿宋_GB2312"/>
    </w:rPr>
  </w:style>
  <w:style w:type="character" w:customStyle="1" w:styleId="204">
    <w:name w:val="标题 1 Char9"/>
    <w:link w:val="2"/>
    <w:uiPriority w:val="0"/>
    <w:rPr>
      <w:rFonts w:eastAsia="STFangsong" w:asciiTheme="minorAscii" w:hAnsiTheme="minorAscii"/>
      <w:b/>
      <w:kern w:val="44"/>
      <w:sz w:val="28"/>
      <w:szCs w:val="22"/>
    </w:rPr>
  </w:style>
  <w:style w:type="paragraph" w:customStyle="1" w:styleId="205">
    <w:name w:val="样式29"/>
    <w:basedOn w:val="16"/>
    <w:uiPriority w:val="0"/>
    <w:rPr>
      <w:rFonts w:hint="eastAsia" w:ascii="Times New Roman" w:hAnsi="Times New Roman" w:cs="Times New Roman" w:eastAsiaTheme="minorEastAsia"/>
      <w:b/>
      <w:color w:val="000000"/>
      <w:sz w:val="44"/>
      <w:szCs w:val="22"/>
    </w:rPr>
  </w:style>
  <w:style w:type="paragraph" w:customStyle="1" w:styleId="206">
    <w:name w:val="目录10"/>
    <w:basedOn w:val="16"/>
    <w:uiPriority w:val="0"/>
    <w:pPr>
      <w:jc w:val="center"/>
    </w:pPr>
    <w:rPr>
      <w:rFonts w:hint="eastAsia" w:ascii="Times New Roman" w:hAnsi="Times New Roman" w:cs="Times New Roman" w:eastAsiaTheme="minorEastAsia"/>
      <w:b/>
      <w:color w:val="000000"/>
      <w:sz w:val="44"/>
      <w:szCs w:val="22"/>
    </w:rPr>
  </w:style>
  <w:style w:type="character" w:customStyle="1" w:styleId="207">
    <w:name w:val="NormalCharacter19"/>
    <w:semiHidden/>
    <w:qFormat/>
    <w:uiPriority w:val="0"/>
  </w:style>
  <w:style w:type="character" w:customStyle="1" w:styleId="208">
    <w:name w:val="UserStyle_220"/>
    <w:qFormat/>
    <w:uiPriority w:val="0"/>
    <w:rPr>
      <w:rFonts w:ascii="Calibri" w:hAnsi="Calibri" w:eastAsia="宋体" w:cs="Calibri"/>
      <w:kern w:val="2"/>
      <w:sz w:val="22"/>
      <w:lang w:val="en-US" w:eastAsia="zh-CN" w:bidi="ar-SA"/>
    </w:rPr>
  </w:style>
  <w:style w:type="paragraph" w:customStyle="1" w:styleId="209">
    <w:name w:val="List Paragraph_8a6d8b00-fd3c-42f4-aa2d-7e6c7a579ae87"/>
    <w:qFormat/>
    <w:uiPriority w:val="0"/>
    <w:pPr>
      <w:widowControl w:val="0"/>
      <w:ind w:firstLine="200" w:firstLineChars="200"/>
      <w:jc w:val="both"/>
    </w:pPr>
    <w:rPr>
      <w:rFonts w:ascii="Times New Roman" w:hAnsi="Times New Roman" w:eastAsia="宋体" w:cs="Times New Roman"/>
      <w:kern w:val="2"/>
      <w:sz w:val="21"/>
      <w:szCs w:val="22"/>
      <w:lang w:val="en-US" w:eastAsia="zh-CN" w:bidi="ar-SA"/>
    </w:rPr>
  </w:style>
  <w:style w:type="character" w:customStyle="1" w:styleId="210">
    <w:name w:val="1510"/>
    <w:basedOn w:val="24"/>
    <w:uiPriority w:val="0"/>
    <w:rPr>
      <w:rFonts w:hint="default" w:ascii="Calibri" w:hAnsi="Calibri" w:eastAsia="宋体" w:cs="Times New Roman"/>
      <w:kern w:val="2"/>
      <w:sz w:val="21"/>
      <w:szCs w:val="21"/>
    </w:rPr>
  </w:style>
  <w:style w:type="paragraph" w:customStyle="1" w:styleId="211">
    <w:name w:val="Table Paragraph11"/>
    <w:basedOn w:val="1"/>
    <w:qFormat/>
    <w:uiPriority w:val="1"/>
    <w:rPr>
      <w:rFonts w:ascii="Times New Roman" w:hAnsi="Times New Roman" w:eastAsia="宋体" w:cs="Times New Roman"/>
      <w:szCs w:val="24"/>
    </w:rPr>
  </w:style>
  <w:style w:type="paragraph" w:customStyle="1" w:styleId="212">
    <w:name w:val="无间隔13"/>
    <w:uiPriority w:val="0"/>
    <w:pPr>
      <w:widowControl w:val="0"/>
      <w:jc w:val="both"/>
    </w:pPr>
    <w:rPr>
      <w:rFonts w:ascii="Calibri" w:hAnsi="Calibri" w:eastAsia="宋体" w:cs="Times New Roman"/>
      <w:kern w:val="2"/>
      <w:sz w:val="21"/>
      <w:szCs w:val="24"/>
      <w:lang w:val="en-US" w:eastAsia="zh-CN" w:bidi="ar-SA"/>
    </w:rPr>
  </w:style>
  <w:style w:type="paragraph" w:customStyle="1" w:styleId="213">
    <w:name w:val="WPSOffice手动目录 15"/>
    <w:uiPriority w:val="0"/>
    <w:pPr>
      <w:ind w:leftChars="0"/>
    </w:pPr>
    <w:rPr>
      <w:rFonts w:asciiTheme="minorHAnsi" w:hAnsiTheme="minorHAnsi" w:eastAsiaTheme="minorEastAsia" w:cstheme="minorBidi"/>
      <w:sz w:val="20"/>
      <w:szCs w:val="20"/>
    </w:rPr>
  </w:style>
  <w:style w:type="paragraph" w:customStyle="1" w:styleId="214">
    <w:name w:val="新正文20"/>
    <w:basedOn w:val="10"/>
    <w:qFormat/>
    <w:uiPriority w:val="0"/>
    <w:pPr>
      <w:ind w:firstLine="200" w:firstLineChars="200"/>
    </w:pPr>
    <w:rPr>
      <w:rFonts w:ascii="仿宋_GB2312"/>
    </w:rPr>
  </w:style>
  <w:style w:type="character" w:customStyle="1" w:styleId="215">
    <w:name w:val="标题 1 Char10"/>
    <w:link w:val="2"/>
    <w:uiPriority w:val="0"/>
    <w:rPr>
      <w:rFonts w:eastAsia="STFangsong" w:asciiTheme="minorAscii" w:hAnsiTheme="minorAscii"/>
      <w:b/>
      <w:kern w:val="44"/>
      <w:sz w:val="28"/>
      <w:szCs w:val="22"/>
    </w:rPr>
  </w:style>
  <w:style w:type="paragraph" w:customStyle="1" w:styleId="216">
    <w:name w:val="样式210"/>
    <w:basedOn w:val="16"/>
    <w:uiPriority w:val="0"/>
    <w:rPr>
      <w:rFonts w:hint="eastAsia" w:ascii="Times New Roman" w:hAnsi="Times New Roman" w:cs="Times New Roman" w:eastAsiaTheme="minorEastAsia"/>
      <w:b/>
      <w:color w:val="000000"/>
      <w:sz w:val="44"/>
      <w:szCs w:val="22"/>
    </w:rPr>
  </w:style>
  <w:style w:type="paragraph" w:customStyle="1" w:styleId="217">
    <w:name w:val="目录11"/>
    <w:basedOn w:val="16"/>
    <w:uiPriority w:val="0"/>
    <w:pPr>
      <w:jc w:val="center"/>
    </w:pPr>
    <w:rPr>
      <w:rFonts w:hint="eastAsia" w:ascii="Times New Roman" w:hAnsi="Times New Roman" w:cs="Times New Roman" w:eastAsiaTheme="minorEastAsia"/>
      <w:b/>
      <w:color w:val="000000"/>
      <w:sz w:val="44"/>
      <w:szCs w:val="22"/>
    </w:rPr>
  </w:style>
  <w:style w:type="character" w:customStyle="1" w:styleId="218">
    <w:name w:val="NormalCharacter20"/>
    <w:semiHidden/>
    <w:qFormat/>
    <w:uiPriority w:val="0"/>
  </w:style>
  <w:style w:type="character" w:customStyle="1" w:styleId="219">
    <w:name w:val="UserStyle_221"/>
    <w:qFormat/>
    <w:uiPriority w:val="0"/>
    <w:rPr>
      <w:rFonts w:ascii="Calibri" w:hAnsi="Calibri" w:eastAsia="宋体" w:cs="Calibri"/>
      <w:kern w:val="2"/>
      <w:sz w:val="22"/>
      <w:lang w:val="en-US" w:eastAsia="zh-CN" w:bidi="ar-SA"/>
    </w:rPr>
  </w:style>
  <w:style w:type="paragraph" w:customStyle="1" w:styleId="220">
    <w:name w:val="List Paragraph_8a6d8b00-fd3c-42f4-aa2d-7e6c7a579ae88"/>
    <w:qFormat/>
    <w:uiPriority w:val="0"/>
    <w:pPr>
      <w:widowControl w:val="0"/>
      <w:ind w:firstLine="200" w:firstLineChars="200"/>
      <w:jc w:val="both"/>
    </w:pPr>
    <w:rPr>
      <w:rFonts w:ascii="Times New Roman" w:hAnsi="Times New Roman" w:eastAsia="宋体" w:cs="Times New Roman"/>
      <w:kern w:val="2"/>
      <w:sz w:val="21"/>
      <w:szCs w:val="22"/>
      <w:lang w:val="en-US" w:eastAsia="zh-CN" w:bidi="ar-SA"/>
    </w:rPr>
  </w:style>
  <w:style w:type="character" w:customStyle="1" w:styleId="221">
    <w:name w:val="1511"/>
    <w:basedOn w:val="24"/>
    <w:uiPriority w:val="0"/>
    <w:rPr>
      <w:rFonts w:hint="default" w:ascii="Calibri" w:hAnsi="Calibri" w:eastAsia="宋体" w:cs="Times New Roman"/>
      <w:kern w:val="2"/>
      <w:sz w:val="21"/>
      <w:szCs w:val="21"/>
    </w:rPr>
  </w:style>
  <w:style w:type="paragraph" w:customStyle="1" w:styleId="222">
    <w:name w:val="Table Paragraph12"/>
    <w:basedOn w:val="1"/>
    <w:qFormat/>
    <w:uiPriority w:val="1"/>
    <w:rPr>
      <w:rFonts w:ascii="Times New Roman" w:hAnsi="Times New Roman" w:eastAsia="宋体" w:cs="Times New Roman"/>
      <w:szCs w:val="24"/>
    </w:rPr>
  </w:style>
  <w:style w:type="paragraph" w:customStyle="1" w:styleId="223">
    <w:name w:val="无间隔14"/>
    <w:uiPriority w:val="0"/>
    <w:pPr>
      <w:widowControl w:val="0"/>
      <w:jc w:val="both"/>
    </w:pPr>
    <w:rPr>
      <w:rFonts w:ascii="Calibri" w:hAnsi="Calibri" w:eastAsia="宋体" w:cs="Times New Roman"/>
      <w:kern w:val="2"/>
      <w:sz w:val="21"/>
      <w:szCs w:val="24"/>
      <w:lang w:val="en-US" w:eastAsia="zh-CN" w:bidi="ar-SA"/>
    </w:rPr>
  </w:style>
  <w:style w:type="paragraph" w:customStyle="1" w:styleId="224">
    <w:name w:val="WPSOffice手动目录 16"/>
    <w:uiPriority w:val="0"/>
    <w:pPr>
      <w:ind w:leftChars="0"/>
    </w:pPr>
    <w:rPr>
      <w:rFonts w:asciiTheme="minorHAnsi" w:hAnsiTheme="minorHAnsi" w:eastAsiaTheme="minorEastAsia" w:cstheme="minorBidi"/>
      <w:sz w:val="20"/>
      <w:szCs w:val="20"/>
    </w:rPr>
  </w:style>
  <w:style w:type="paragraph" w:customStyle="1" w:styleId="225">
    <w:name w:val="新正文21"/>
    <w:basedOn w:val="10"/>
    <w:qFormat/>
    <w:uiPriority w:val="0"/>
    <w:pPr>
      <w:ind w:firstLine="200" w:firstLineChars="200"/>
    </w:pPr>
    <w:rPr>
      <w:rFonts w:ascii="仿宋_GB2312"/>
    </w:rPr>
  </w:style>
  <w:style w:type="character" w:customStyle="1" w:styleId="226">
    <w:name w:val="标题 1 Char11"/>
    <w:link w:val="2"/>
    <w:uiPriority w:val="0"/>
    <w:rPr>
      <w:rFonts w:eastAsia="STFangsong" w:asciiTheme="minorAscii" w:hAnsiTheme="minorAscii"/>
      <w:b/>
      <w:kern w:val="44"/>
      <w:sz w:val="28"/>
      <w:szCs w:val="22"/>
    </w:rPr>
  </w:style>
  <w:style w:type="paragraph" w:customStyle="1" w:styleId="227">
    <w:name w:val="样式211"/>
    <w:basedOn w:val="16"/>
    <w:uiPriority w:val="0"/>
    <w:rPr>
      <w:rFonts w:hint="eastAsia" w:ascii="Times New Roman" w:hAnsi="Times New Roman" w:cs="Times New Roman" w:eastAsiaTheme="minorEastAsia"/>
      <w:b/>
      <w:color w:val="000000"/>
      <w:sz w:val="44"/>
      <w:szCs w:val="22"/>
    </w:rPr>
  </w:style>
  <w:style w:type="paragraph" w:customStyle="1" w:styleId="228">
    <w:name w:val="目录12"/>
    <w:basedOn w:val="16"/>
    <w:uiPriority w:val="0"/>
    <w:pPr>
      <w:jc w:val="center"/>
    </w:pPr>
    <w:rPr>
      <w:rFonts w:hint="eastAsia" w:ascii="Times New Roman" w:hAnsi="Times New Roman" w:cs="Times New Roman" w:eastAsiaTheme="minorEastAsia"/>
      <w:b/>
      <w:color w:val="000000"/>
      <w:sz w:val="44"/>
      <w:szCs w:val="22"/>
    </w:rPr>
  </w:style>
  <w:style w:type="character" w:customStyle="1" w:styleId="229">
    <w:name w:val="UserStyle_222"/>
    <w:qFormat/>
    <w:uiPriority w:val="0"/>
    <w:rPr>
      <w:rFonts w:ascii="Calibri" w:hAnsi="Calibri" w:eastAsia="宋体" w:cs="Calibri"/>
      <w:kern w:val="2"/>
      <w:sz w:val="22"/>
      <w:lang w:val="en-US" w:eastAsia="zh-CN" w:bidi="ar-SA"/>
    </w:rPr>
  </w:style>
  <w:style w:type="character" w:customStyle="1" w:styleId="230">
    <w:name w:val="纯文本 Char7"/>
    <w:link w:val="10"/>
    <w:qFormat/>
    <w:uiPriority w:val="0"/>
    <w:rPr>
      <w:rFonts w:ascii="宋体" w:hAnsi="Courier New" w:eastAsia="宋体" w:cs="Courier New"/>
      <w:szCs w:val="21"/>
    </w:rPr>
  </w:style>
  <w:style w:type="paragraph" w:customStyle="1" w:styleId="231">
    <w:name w:val="Table Paragraph13"/>
    <w:basedOn w:val="1"/>
    <w:qFormat/>
    <w:uiPriority w:val="1"/>
    <w:rPr>
      <w:rFonts w:ascii="Times New Roman" w:hAnsi="Times New Roman" w:eastAsia="宋体" w:cs="Times New Roman"/>
      <w:szCs w:val="24"/>
    </w:rPr>
  </w:style>
  <w:style w:type="character" w:customStyle="1" w:styleId="232">
    <w:name w:val="NormalCharacter21"/>
    <w:semiHidden/>
    <w:qFormat/>
    <w:uiPriority w:val="0"/>
  </w:style>
  <w:style w:type="paragraph" w:customStyle="1" w:styleId="233">
    <w:name w:val="WPSOffice手动目录 17"/>
    <w:uiPriority w:val="0"/>
    <w:pPr>
      <w:ind w:leftChars="0"/>
    </w:pPr>
    <w:rPr>
      <w:rFonts w:asciiTheme="minorHAnsi" w:hAnsiTheme="minorHAnsi" w:eastAsiaTheme="minorEastAsia" w:cstheme="minorBidi"/>
      <w:sz w:val="20"/>
      <w:szCs w:val="20"/>
    </w:rPr>
  </w:style>
  <w:style w:type="paragraph" w:customStyle="1" w:styleId="234">
    <w:name w:val="新正文22"/>
    <w:basedOn w:val="10"/>
    <w:next w:val="21"/>
    <w:qFormat/>
    <w:uiPriority w:val="0"/>
    <w:pPr>
      <w:ind w:firstLine="200"/>
    </w:pPr>
    <w:rPr>
      <w:rFonts w:ascii="仿宋_GB2312" w:hAnsi="仿宋_GB2312"/>
      <w:szCs w:val="21"/>
    </w:rPr>
  </w:style>
  <w:style w:type="character" w:customStyle="1" w:styleId="235">
    <w:name w:val="NormalCharacter22"/>
    <w:qFormat/>
    <w:uiPriority w:val="0"/>
  </w:style>
  <w:style w:type="paragraph" w:customStyle="1" w:styleId="236">
    <w:name w:val="Table Paragraph14"/>
    <w:basedOn w:val="1"/>
    <w:qFormat/>
    <w:uiPriority w:val="1"/>
  </w:style>
  <w:style w:type="paragraph" w:customStyle="1" w:styleId="237">
    <w:name w:val="新正文23"/>
    <w:basedOn w:val="10"/>
    <w:qFormat/>
    <w:uiPriority w:val="0"/>
    <w:pPr>
      <w:ind w:firstLine="200"/>
    </w:pPr>
    <w:rPr>
      <w:rFonts w:ascii="仿宋_GB2312" w:hAnsi="仿宋_GB2312"/>
      <w:szCs w:val="21"/>
    </w:rPr>
  </w:style>
  <w:style w:type="paragraph" w:customStyle="1" w:styleId="238">
    <w:name w:val="新正文24"/>
    <w:basedOn w:val="10"/>
    <w:next w:val="21"/>
    <w:qFormat/>
    <w:uiPriority w:val="0"/>
    <w:pPr>
      <w:ind w:firstLine="200"/>
    </w:pPr>
    <w:rPr>
      <w:rFonts w:ascii="仿宋_GB2312" w:hAnsi="仿宋_GB2312"/>
      <w:szCs w:val="21"/>
    </w:rPr>
  </w:style>
  <w:style w:type="character" w:customStyle="1" w:styleId="239">
    <w:name w:val="UserStyle_223"/>
    <w:link w:val="1"/>
    <w:qFormat/>
    <w:uiPriority w:val="0"/>
    <w:rPr>
      <w:rFonts w:ascii="Calibri" w:hAnsi="Calibri" w:eastAsia="宋体" w:cs="Calibri"/>
      <w:kern w:val="2"/>
      <w:sz w:val="22"/>
      <w:lang w:val="en-US" w:eastAsia="zh-CN" w:bidi="ar-SA"/>
    </w:rPr>
  </w:style>
  <w:style w:type="paragraph" w:customStyle="1" w:styleId="240">
    <w:name w:val="新正文25"/>
    <w:basedOn w:val="10"/>
    <w:qFormat/>
    <w:uiPriority w:val="0"/>
    <w:pPr>
      <w:ind w:firstLine="200" w:firstLineChars="200"/>
    </w:pPr>
    <w:rPr>
      <w:rFonts w:ascii="仿宋_GB2312"/>
    </w:rPr>
  </w:style>
  <w:style w:type="character" w:customStyle="1" w:styleId="241">
    <w:name w:val="标题 1 Char12"/>
    <w:link w:val="2"/>
    <w:uiPriority w:val="0"/>
    <w:rPr>
      <w:rFonts w:eastAsia="STFangsong" w:asciiTheme="minorAscii" w:hAnsiTheme="minorAscii"/>
      <w:b/>
      <w:kern w:val="44"/>
      <w:sz w:val="28"/>
      <w:szCs w:val="22"/>
    </w:rPr>
  </w:style>
  <w:style w:type="paragraph" w:customStyle="1" w:styleId="242">
    <w:name w:val="样式212"/>
    <w:basedOn w:val="16"/>
    <w:uiPriority w:val="0"/>
    <w:rPr>
      <w:rFonts w:hint="eastAsia" w:ascii="Times New Roman" w:hAnsi="Times New Roman" w:cs="Times New Roman" w:eastAsiaTheme="minorEastAsia"/>
      <w:b/>
      <w:color w:val="000000"/>
      <w:sz w:val="44"/>
      <w:szCs w:val="22"/>
    </w:rPr>
  </w:style>
  <w:style w:type="paragraph" w:customStyle="1" w:styleId="243">
    <w:name w:val="目录13"/>
    <w:basedOn w:val="16"/>
    <w:uiPriority w:val="0"/>
    <w:pPr>
      <w:jc w:val="center"/>
    </w:pPr>
    <w:rPr>
      <w:rFonts w:hint="eastAsia" w:ascii="Times New Roman" w:hAnsi="Times New Roman" w:cs="Times New Roman" w:eastAsiaTheme="minorEastAsia"/>
      <w:b/>
      <w:color w:val="000000"/>
      <w:sz w:val="44"/>
      <w:szCs w:val="22"/>
    </w:rPr>
  </w:style>
  <w:style w:type="character" w:customStyle="1" w:styleId="244">
    <w:name w:val="UserStyle_224"/>
    <w:qFormat/>
    <w:uiPriority w:val="0"/>
    <w:rPr>
      <w:rFonts w:ascii="Calibri" w:hAnsi="Calibri" w:eastAsia="宋体" w:cs="Calibri"/>
      <w:kern w:val="2"/>
      <w:sz w:val="22"/>
      <w:lang w:val="en-US" w:eastAsia="zh-CN" w:bidi="ar-SA"/>
    </w:rPr>
  </w:style>
  <w:style w:type="character" w:customStyle="1" w:styleId="245">
    <w:name w:val="纯文本 Char8"/>
    <w:link w:val="10"/>
    <w:qFormat/>
    <w:uiPriority w:val="0"/>
    <w:rPr>
      <w:rFonts w:ascii="宋体" w:hAnsi="Courier New" w:eastAsia="宋体" w:cs="Courier New"/>
      <w:szCs w:val="21"/>
    </w:rPr>
  </w:style>
  <w:style w:type="paragraph" w:customStyle="1" w:styleId="246">
    <w:name w:val="Table Paragraph15"/>
    <w:basedOn w:val="1"/>
    <w:qFormat/>
    <w:uiPriority w:val="1"/>
    <w:rPr>
      <w:rFonts w:ascii="Times New Roman" w:hAnsi="Times New Roman" w:eastAsia="宋体" w:cs="Times New Roman"/>
      <w:szCs w:val="24"/>
    </w:rPr>
  </w:style>
  <w:style w:type="character" w:customStyle="1" w:styleId="247">
    <w:name w:val="NormalCharacter23"/>
    <w:semiHidden/>
    <w:qFormat/>
    <w:uiPriority w:val="0"/>
  </w:style>
  <w:style w:type="paragraph" w:customStyle="1" w:styleId="248">
    <w:name w:val="WPSOffice手动目录 18"/>
    <w:uiPriority w:val="0"/>
    <w:pPr>
      <w:ind w:leftChars="0"/>
    </w:pPr>
    <w:rPr>
      <w:rFonts w:asciiTheme="minorHAnsi" w:hAnsiTheme="minorHAnsi" w:eastAsiaTheme="minorEastAsia" w:cstheme="minorBidi"/>
      <w:sz w:val="20"/>
      <w:szCs w:val="20"/>
    </w:rPr>
  </w:style>
  <w:style w:type="paragraph" w:customStyle="1" w:styleId="249">
    <w:name w:val="新正文26"/>
    <w:basedOn w:val="10"/>
    <w:qFormat/>
    <w:uiPriority w:val="0"/>
    <w:pPr>
      <w:ind w:firstLine="200" w:firstLineChars="200"/>
    </w:pPr>
    <w:rPr>
      <w:rFonts w:ascii="仿宋_GB2312"/>
    </w:rPr>
  </w:style>
  <w:style w:type="character" w:customStyle="1" w:styleId="250">
    <w:name w:val="标题 1 Char13"/>
    <w:link w:val="2"/>
    <w:uiPriority w:val="0"/>
    <w:rPr>
      <w:rFonts w:eastAsia="STFangsong" w:asciiTheme="minorAscii" w:hAnsiTheme="minorAscii"/>
      <w:b/>
      <w:kern w:val="44"/>
      <w:sz w:val="28"/>
      <w:szCs w:val="22"/>
    </w:rPr>
  </w:style>
  <w:style w:type="paragraph" w:customStyle="1" w:styleId="251">
    <w:name w:val="样式213"/>
    <w:basedOn w:val="16"/>
    <w:uiPriority w:val="0"/>
    <w:rPr>
      <w:rFonts w:hint="eastAsia" w:ascii="Times New Roman" w:hAnsi="Times New Roman" w:cs="Times New Roman" w:eastAsiaTheme="minorEastAsia"/>
      <w:b/>
      <w:color w:val="000000"/>
      <w:sz w:val="44"/>
      <w:szCs w:val="22"/>
    </w:rPr>
  </w:style>
  <w:style w:type="paragraph" w:customStyle="1" w:styleId="252">
    <w:name w:val="目录14"/>
    <w:basedOn w:val="16"/>
    <w:uiPriority w:val="0"/>
    <w:pPr>
      <w:jc w:val="center"/>
    </w:pPr>
    <w:rPr>
      <w:rFonts w:hint="eastAsia" w:ascii="Times New Roman" w:hAnsi="Times New Roman" w:cs="Times New Roman" w:eastAsiaTheme="minorEastAsia"/>
      <w:b/>
      <w:color w:val="000000"/>
      <w:sz w:val="44"/>
      <w:szCs w:val="22"/>
    </w:rPr>
  </w:style>
  <w:style w:type="character" w:customStyle="1" w:styleId="253">
    <w:name w:val="UserStyle_225"/>
    <w:qFormat/>
    <w:uiPriority w:val="0"/>
    <w:rPr>
      <w:rFonts w:ascii="Calibri" w:hAnsi="Calibri" w:eastAsia="宋体" w:cs="Calibri"/>
      <w:kern w:val="2"/>
      <w:sz w:val="22"/>
      <w:lang w:val="en-US" w:eastAsia="zh-CN" w:bidi="ar-SA"/>
    </w:rPr>
  </w:style>
  <w:style w:type="character" w:customStyle="1" w:styleId="254">
    <w:name w:val="纯文本 Char9"/>
    <w:link w:val="10"/>
    <w:qFormat/>
    <w:uiPriority w:val="0"/>
    <w:rPr>
      <w:rFonts w:ascii="宋体" w:hAnsi="Courier New" w:eastAsia="宋体" w:cs="Courier New"/>
      <w:szCs w:val="21"/>
    </w:rPr>
  </w:style>
  <w:style w:type="paragraph" w:customStyle="1" w:styleId="255">
    <w:name w:val="Table Paragraph16"/>
    <w:basedOn w:val="1"/>
    <w:qFormat/>
    <w:uiPriority w:val="1"/>
    <w:rPr>
      <w:rFonts w:ascii="Times New Roman" w:hAnsi="Times New Roman" w:eastAsia="宋体" w:cs="Times New Roman"/>
      <w:szCs w:val="24"/>
    </w:rPr>
  </w:style>
  <w:style w:type="character" w:customStyle="1" w:styleId="256">
    <w:name w:val="NormalCharacter24"/>
    <w:semiHidden/>
    <w:qFormat/>
    <w:uiPriority w:val="0"/>
  </w:style>
  <w:style w:type="paragraph" w:customStyle="1" w:styleId="257">
    <w:name w:val="WPSOffice手动目录 19"/>
    <w:uiPriority w:val="0"/>
    <w:pPr>
      <w:ind w:leftChars="0"/>
    </w:pPr>
    <w:rPr>
      <w:rFonts w:asciiTheme="minorHAnsi" w:hAnsiTheme="minorHAnsi" w:eastAsiaTheme="minorEastAsia" w:cstheme="minorBidi"/>
      <w:sz w:val="20"/>
      <w:szCs w:val="20"/>
    </w:rPr>
  </w:style>
  <w:style w:type="paragraph" w:customStyle="1" w:styleId="258">
    <w:name w:val="新正文27"/>
    <w:basedOn w:val="10"/>
    <w:qFormat/>
    <w:uiPriority w:val="0"/>
    <w:pPr>
      <w:ind w:firstLine="200"/>
    </w:pPr>
    <w:rPr>
      <w:rFonts w:ascii="仿宋_GB2312" w:hAnsi="仿宋_GB2312"/>
      <w:szCs w:val="21"/>
    </w:rPr>
  </w:style>
  <w:style w:type="character" w:customStyle="1" w:styleId="259">
    <w:name w:val="标题 1 Char14"/>
    <w:link w:val="2"/>
    <w:uiPriority w:val="0"/>
    <w:rPr>
      <w:rFonts w:eastAsia="STFangsong" w:asciiTheme="minorAscii" w:hAnsiTheme="minorAscii"/>
      <w:b/>
      <w:kern w:val="44"/>
      <w:sz w:val="28"/>
      <w:szCs w:val="22"/>
    </w:rPr>
  </w:style>
  <w:style w:type="paragraph" w:customStyle="1" w:styleId="260">
    <w:name w:val="样式214"/>
    <w:basedOn w:val="16"/>
    <w:uiPriority w:val="0"/>
    <w:rPr>
      <w:rFonts w:hint="eastAsia" w:ascii="Times New Roman" w:hAnsi="Times New Roman" w:cs="Times New Roman" w:eastAsiaTheme="minorEastAsia"/>
      <w:b/>
      <w:color w:val="000000"/>
      <w:sz w:val="44"/>
      <w:szCs w:val="22"/>
    </w:rPr>
  </w:style>
  <w:style w:type="paragraph" w:customStyle="1" w:styleId="261">
    <w:name w:val="目录15"/>
    <w:basedOn w:val="16"/>
    <w:uiPriority w:val="0"/>
    <w:pPr>
      <w:jc w:val="center"/>
    </w:pPr>
    <w:rPr>
      <w:rFonts w:hint="eastAsia" w:ascii="Times New Roman" w:hAnsi="Times New Roman" w:cs="Times New Roman" w:eastAsiaTheme="minorEastAsia"/>
      <w:b/>
      <w:color w:val="000000"/>
      <w:sz w:val="44"/>
      <w:szCs w:val="22"/>
    </w:rPr>
  </w:style>
  <w:style w:type="character" w:customStyle="1" w:styleId="262">
    <w:name w:val="NormalCharacter25"/>
    <w:qFormat/>
    <w:uiPriority w:val="0"/>
  </w:style>
  <w:style w:type="character" w:customStyle="1" w:styleId="263">
    <w:name w:val="UserStyle_226"/>
    <w:qFormat/>
    <w:uiPriority w:val="0"/>
    <w:rPr>
      <w:rFonts w:ascii="Calibri" w:hAnsi="Calibri" w:eastAsia="宋体" w:cs="Calibri"/>
      <w:kern w:val="2"/>
      <w:sz w:val="22"/>
      <w:lang w:val="en-US" w:eastAsia="zh-CN" w:bidi="ar-SA"/>
    </w:rPr>
  </w:style>
  <w:style w:type="paragraph" w:customStyle="1" w:styleId="264">
    <w:name w:val="Table Paragraph17"/>
    <w:basedOn w:val="1"/>
    <w:qFormat/>
    <w:uiPriority w:val="1"/>
  </w:style>
  <w:style w:type="paragraph" w:customStyle="1" w:styleId="265">
    <w:name w:val="List Paragraph_8a6d8b00-fd3c-42f4-aa2d-7e6c7a579ae89"/>
    <w:qFormat/>
    <w:uiPriority w:val="0"/>
    <w:pPr>
      <w:widowControl w:val="0"/>
      <w:ind w:firstLine="200" w:firstLineChars="200"/>
      <w:jc w:val="both"/>
    </w:pPr>
    <w:rPr>
      <w:rFonts w:ascii="Times New Roman" w:hAnsi="Times New Roman" w:eastAsia="宋体" w:cs="Times New Roman"/>
      <w:kern w:val="2"/>
      <w:sz w:val="21"/>
      <w:szCs w:val="22"/>
      <w:lang w:val="en-US" w:eastAsia="zh-CN" w:bidi="ar-SA"/>
    </w:rPr>
  </w:style>
  <w:style w:type="character" w:customStyle="1" w:styleId="266">
    <w:name w:val="1512"/>
    <w:basedOn w:val="24"/>
    <w:qFormat/>
    <w:uiPriority w:val="0"/>
    <w:rPr>
      <w:rFonts w:ascii="Times New Roman" w:hAnsi="Times New Roman" w:cs="Times New Roman"/>
      <w:b/>
      <w:bCs/>
      <w:lang w:bidi="ar-SA"/>
    </w:rPr>
  </w:style>
  <w:style w:type="paragraph" w:customStyle="1" w:styleId="267">
    <w:name w:val="新正文28"/>
    <w:basedOn w:val="10"/>
    <w:qFormat/>
    <w:uiPriority w:val="0"/>
    <w:pPr>
      <w:ind w:firstLine="200" w:firstLineChars="200"/>
    </w:pPr>
    <w:rPr>
      <w:rFonts w:ascii="仿宋_GB2312"/>
    </w:rPr>
  </w:style>
  <w:style w:type="character" w:customStyle="1" w:styleId="268">
    <w:name w:val="标题 1 Char15"/>
    <w:link w:val="2"/>
    <w:uiPriority w:val="0"/>
    <w:rPr>
      <w:rFonts w:eastAsia="STFangsong" w:asciiTheme="minorAscii" w:hAnsiTheme="minorAscii"/>
      <w:b/>
      <w:kern w:val="44"/>
      <w:sz w:val="28"/>
      <w:szCs w:val="22"/>
    </w:rPr>
  </w:style>
  <w:style w:type="paragraph" w:customStyle="1" w:styleId="269">
    <w:name w:val="样式215"/>
    <w:basedOn w:val="16"/>
    <w:uiPriority w:val="0"/>
    <w:rPr>
      <w:rFonts w:hint="eastAsia" w:ascii="Times New Roman" w:hAnsi="Times New Roman" w:cs="Times New Roman" w:eastAsiaTheme="minorEastAsia"/>
      <w:b/>
      <w:color w:val="000000"/>
      <w:sz w:val="44"/>
      <w:szCs w:val="22"/>
    </w:rPr>
  </w:style>
  <w:style w:type="paragraph" w:customStyle="1" w:styleId="270">
    <w:name w:val="目录16"/>
    <w:basedOn w:val="16"/>
    <w:uiPriority w:val="0"/>
    <w:pPr>
      <w:jc w:val="center"/>
    </w:pPr>
    <w:rPr>
      <w:rFonts w:hint="eastAsia" w:ascii="Times New Roman" w:hAnsi="Times New Roman" w:cs="Times New Roman" w:eastAsiaTheme="minorEastAsia"/>
      <w:b/>
      <w:color w:val="000000"/>
      <w:sz w:val="44"/>
      <w:szCs w:val="22"/>
    </w:rPr>
  </w:style>
  <w:style w:type="character" w:customStyle="1" w:styleId="271">
    <w:name w:val="NormalCharacter26"/>
    <w:semiHidden/>
    <w:qFormat/>
    <w:uiPriority w:val="0"/>
  </w:style>
  <w:style w:type="character" w:customStyle="1" w:styleId="272">
    <w:name w:val="UserStyle_227"/>
    <w:qFormat/>
    <w:uiPriority w:val="0"/>
    <w:rPr>
      <w:rFonts w:ascii="Calibri" w:hAnsi="Calibri" w:eastAsia="宋体" w:cs="Calibri"/>
      <w:kern w:val="2"/>
      <w:sz w:val="22"/>
      <w:lang w:val="en-US" w:eastAsia="zh-CN" w:bidi="ar-SA"/>
    </w:rPr>
  </w:style>
  <w:style w:type="paragraph" w:customStyle="1" w:styleId="273">
    <w:name w:val="List Paragraph_8a6d8b00-fd3c-42f4-aa2d-7e6c7a579ae810"/>
    <w:qFormat/>
    <w:uiPriority w:val="0"/>
    <w:pPr>
      <w:widowControl w:val="0"/>
      <w:ind w:firstLine="200" w:firstLineChars="200"/>
      <w:jc w:val="both"/>
    </w:pPr>
    <w:rPr>
      <w:rFonts w:ascii="Times New Roman" w:hAnsi="Times New Roman" w:eastAsia="宋体" w:cs="Times New Roman"/>
      <w:kern w:val="2"/>
      <w:sz w:val="21"/>
      <w:szCs w:val="22"/>
      <w:lang w:val="en-US" w:eastAsia="zh-CN" w:bidi="ar-SA"/>
    </w:rPr>
  </w:style>
  <w:style w:type="character" w:customStyle="1" w:styleId="274">
    <w:name w:val="1513"/>
    <w:basedOn w:val="24"/>
    <w:uiPriority w:val="0"/>
    <w:rPr>
      <w:rFonts w:hint="default" w:ascii="Calibri" w:hAnsi="Calibri" w:eastAsia="宋体" w:cs="Times New Roman"/>
      <w:kern w:val="2"/>
      <w:sz w:val="21"/>
      <w:szCs w:val="21"/>
    </w:rPr>
  </w:style>
  <w:style w:type="paragraph" w:customStyle="1" w:styleId="275">
    <w:name w:val="Table Paragraph18"/>
    <w:basedOn w:val="1"/>
    <w:qFormat/>
    <w:uiPriority w:val="1"/>
    <w:rPr>
      <w:rFonts w:ascii="Times New Roman" w:hAnsi="Times New Roman" w:eastAsia="宋体" w:cs="Times New Roman"/>
      <w:szCs w:val="24"/>
    </w:rPr>
  </w:style>
  <w:style w:type="paragraph" w:customStyle="1" w:styleId="276">
    <w:name w:val="无间隔15"/>
    <w:uiPriority w:val="0"/>
    <w:pPr>
      <w:widowControl w:val="0"/>
      <w:jc w:val="both"/>
    </w:pPr>
    <w:rPr>
      <w:rFonts w:ascii="Calibri" w:hAnsi="Calibri" w:eastAsia="宋体" w:cs="Times New Roman"/>
      <w:kern w:val="2"/>
      <w:sz w:val="21"/>
      <w:szCs w:val="24"/>
      <w:lang w:val="en-US" w:eastAsia="zh-CN" w:bidi="ar-SA"/>
    </w:rPr>
  </w:style>
  <w:style w:type="paragraph" w:customStyle="1" w:styleId="277">
    <w:name w:val="WPSOffice手动目录 110"/>
    <w:uiPriority w:val="0"/>
    <w:pPr>
      <w:ind w:leftChars="0"/>
    </w:pPr>
    <w:rPr>
      <w:rFonts w:asciiTheme="minorHAnsi" w:hAnsiTheme="minorHAnsi" w:eastAsiaTheme="minorEastAsia" w:cstheme="minorBidi"/>
      <w:sz w:val="20"/>
      <w:szCs w:val="20"/>
    </w:rPr>
  </w:style>
  <w:style w:type="paragraph" w:customStyle="1" w:styleId="278">
    <w:name w:val="新正文29"/>
    <w:basedOn w:val="10"/>
    <w:next w:val="21"/>
    <w:qFormat/>
    <w:uiPriority w:val="0"/>
    <w:pPr>
      <w:ind w:firstLine="200"/>
    </w:pPr>
    <w:rPr>
      <w:rFonts w:ascii="仿宋_GB2312" w:hAnsi="仿宋_GB2312"/>
      <w:szCs w:val="21"/>
    </w:rPr>
  </w:style>
  <w:style w:type="character" w:customStyle="1" w:styleId="279">
    <w:name w:val="NormalCharacter27"/>
    <w:qFormat/>
    <w:uiPriority w:val="0"/>
  </w:style>
  <w:style w:type="paragraph" w:customStyle="1" w:styleId="280">
    <w:name w:val="Table Paragraph19"/>
    <w:basedOn w:val="1"/>
    <w:qFormat/>
    <w:uiPriority w:val="1"/>
  </w:style>
  <w:style w:type="character" w:customStyle="1" w:styleId="281">
    <w:name w:val="NormalCharacter110"/>
    <w:semiHidden/>
    <w:qFormat/>
    <w:uiPriority w:val="0"/>
  </w:style>
  <w:style w:type="character" w:customStyle="1" w:styleId="282">
    <w:name w:val="标题 2 字符3"/>
    <w:link w:val="3"/>
    <w:qFormat/>
    <w:uiPriority w:val="0"/>
    <w:rPr>
      <w:rFonts w:eastAsia="楷体"/>
      <w:bCs/>
      <w:kern w:val="2"/>
      <w:sz w:val="32"/>
      <w:szCs w:val="32"/>
    </w:rPr>
  </w:style>
  <w:style w:type="character" w:customStyle="1" w:styleId="283">
    <w:name w:val="页眉 字符3"/>
    <w:link w:val="15"/>
    <w:uiPriority w:val="0"/>
    <w:rPr>
      <w:kern w:val="2"/>
      <w:sz w:val="18"/>
      <w:szCs w:val="18"/>
    </w:rPr>
  </w:style>
  <w:style w:type="character" w:customStyle="1" w:styleId="284">
    <w:name w:val="页脚 字符3"/>
    <w:link w:val="14"/>
    <w:uiPriority w:val="0"/>
    <w:rPr>
      <w:kern w:val="2"/>
      <w:sz w:val="18"/>
      <w:szCs w:val="18"/>
    </w:rPr>
  </w:style>
  <w:style w:type="character" w:customStyle="1" w:styleId="285">
    <w:name w:val="批注框文本 字符3"/>
    <w:link w:val="13"/>
    <w:uiPriority w:val="0"/>
    <w:rPr>
      <w:kern w:val="2"/>
      <w:sz w:val="18"/>
      <w:szCs w:val="18"/>
    </w:rPr>
  </w:style>
  <w:style w:type="paragraph" w:customStyle="1" w:styleId="286">
    <w:name w:val="列表段落3"/>
    <w:basedOn w:val="1"/>
    <w:qFormat/>
    <w:uiPriority w:val="1"/>
    <w:pPr>
      <w:ind w:firstLine="420" w:firstLineChars="200"/>
    </w:pPr>
    <w:rPr>
      <w:rFonts w:ascii="Calibri" w:hAnsi="Calibri" w:eastAsia="宋体" w:cs="Times New Roman"/>
      <w:szCs w:val="24"/>
    </w:rPr>
  </w:style>
  <w:style w:type="character" w:customStyle="1" w:styleId="287">
    <w:name w:val="批注文字 字符4"/>
    <w:link w:val="6"/>
    <w:uiPriority w:val="0"/>
    <w:rPr>
      <w:rFonts w:ascii="Times New Roman" w:hAnsi="Times New Roman"/>
      <w:kern w:val="2"/>
      <w:sz w:val="21"/>
    </w:rPr>
  </w:style>
  <w:style w:type="paragraph" w:customStyle="1" w:styleId="288">
    <w:name w:val="新正文30"/>
    <w:basedOn w:val="10"/>
    <w:qFormat/>
    <w:uiPriority w:val="0"/>
    <w:pPr>
      <w:ind w:firstLine="200"/>
    </w:pPr>
    <w:rPr>
      <w:rFonts w:ascii="仿宋_GB2312" w:hAnsi="仿宋_GB2312"/>
      <w:szCs w:val="21"/>
    </w:rPr>
  </w:style>
  <w:style w:type="character" w:customStyle="1" w:styleId="289">
    <w:name w:val="NormalCharacter28"/>
    <w:qFormat/>
    <w:uiPriority w:val="0"/>
  </w:style>
  <w:style w:type="paragraph" w:customStyle="1" w:styleId="290">
    <w:name w:val="Table Paragraph20"/>
    <w:basedOn w:val="1"/>
    <w:qFormat/>
    <w:uiPriority w:val="1"/>
  </w:style>
  <w:style w:type="character" w:customStyle="1" w:styleId="291">
    <w:name w:val="頁首 字元"/>
    <w:link w:val="15"/>
    <w:uiPriority w:val="0"/>
    <w:rPr>
      <w:kern w:val="2"/>
      <w:sz w:val="18"/>
      <w:szCs w:val="18"/>
    </w:rPr>
  </w:style>
  <w:style w:type="character" w:customStyle="1" w:styleId="292">
    <w:name w:val="註解文字 字元"/>
    <w:link w:val="6"/>
    <w:uiPriority w:val="0"/>
    <w:rPr>
      <w:rFonts w:ascii="Times New Roman" w:hAnsi="Times New Roman"/>
      <w:kern w:val="2"/>
      <w:sz w:val="21"/>
    </w:rPr>
  </w:style>
  <w:style w:type="character" w:customStyle="1" w:styleId="293">
    <w:name w:val="標題 2 字元"/>
    <w:link w:val="3"/>
    <w:qFormat/>
    <w:uiPriority w:val="0"/>
    <w:rPr>
      <w:rFonts w:eastAsia="楷体"/>
      <w:bCs/>
      <w:kern w:val="2"/>
      <w:sz w:val="32"/>
      <w:szCs w:val="32"/>
    </w:rPr>
  </w:style>
  <w:style w:type="character" w:customStyle="1" w:styleId="294">
    <w:name w:val="註解方塊文字 字元"/>
    <w:link w:val="13"/>
    <w:uiPriority w:val="0"/>
    <w:rPr>
      <w:kern w:val="2"/>
      <w:sz w:val="18"/>
      <w:szCs w:val="18"/>
    </w:rPr>
  </w:style>
  <w:style w:type="paragraph" w:customStyle="1" w:styleId="295">
    <w:name w:val="Table Paragraph21"/>
    <w:basedOn w:val="1"/>
    <w:qFormat/>
    <w:uiPriority w:val="1"/>
  </w:style>
  <w:style w:type="paragraph" w:customStyle="1" w:styleId="296">
    <w:name w:val="列出段落3"/>
    <w:basedOn w:val="1"/>
    <w:qFormat/>
    <w:uiPriority w:val="1"/>
    <w:pPr>
      <w:ind w:firstLine="420" w:firstLineChars="200"/>
    </w:pPr>
    <w:rPr>
      <w:rFonts w:ascii="Calibri" w:hAnsi="Calibri" w:eastAsia="宋体" w:cs="Times New Roman"/>
      <w:szCs w:val="24"/>
    </w:rPr>
  </w:style>
  <w:style w:type="character" w:customStyle="1" w:styleId="297">
    <w:name w:val="頁尾 字元"/>
    <w:link w:val="14"/>
    <w:uiPriority w:val="0"/>
    <w:rPr>
      <w:kern w:val="2"/>
      <w:sz w:val="18"/>
      <w:szCs w:val="18"/>
    </w:rPr>
  </w:style>
  <w:style w:type="character" w:customStyle="1" w:styleId="298">
    <w:name w:val="NormalCharacter111"/>
    <w:semiHidden/>
    <w:qFormat/>
    <w:uiPriority w:val="0"/>
  </w:style>
  <w:style w:type="character" w:customStyle="1" w:styleId="299">
    <w:name w:val="UserStyle_228"/>
    <w:link w:val="1"/>
    <w:qFormat/>
    <w:uiPriority w:val="0"/>
    <w:rPr>
      <w:rFonts w:ascii="Calibri" w:hAnsi="Calibri" w:eastAsia="宋体" w:cs="Calibri"/>
      <w:kern w:val="2"/>
      <w:sz w:val="22"/>
      <w:lang w:val="en-US" w:eastAsia="zh-CN" w:bidi="ar-SA"/>
    </w:rPr>
  </w:style>
  <w:style w:type="paragraph" w:customStyle="1" w:styleId="300">
    <w:name w:val="新正文31"/>
    <w:basedOn w:val="10"/>
    <w:qFormat/>
    <w:uiPriority w:val="0"/>
    <w:pPr>
      <w:ind w:firstLine="200" w:firstLineChars="200"/>
    </w:pPr>
    <w:rPr>
      <w:rFonts w:ascii="仿宋_GB2312"/>
    </w:rPr>
  </w:style>
  <w:style w:type="character" w:customStyle="1" w:styleId="301">
    <w:name w:val="标题 1 Char16"/>
    <w:link w:val="2"/>
    <w:uiPriority w:val="0"/>
    <w:rPr>
      <w:rFonts w:eastAsia="STFangsong" w:asciiTheme="minorAscii" w:hAnsiTheme="minorAscii"/>
      <w:b/>
      <w:kern w:val="44"/>
      <w:sz w:val="28"/>
      <w:szCs w:val="22"/>
    </w:rPr>
  </w:style>
  <w:style w:type="paragraph" w:customStyle="1" w:styleId="302">
    <w:name w:val="样式216"/>
    <w:basedOn w:val="16"/>
    <w:uiPriority w:val="0"/>
    <w:rPr>
      <w:rFonts w:hint="eastAsia" w:ascii="Times New Roman" w:hAnsi="Times New Roman" w:cs="Times New Roman" w:eastAsiaTheme="minorEastAsia"/>
      <w:b/>
      <w:color w:val="000000"/>
      <w:sz w:val="44"/>
      <w:szCs w:val="22"/>
    </w:rPr>
  </w:style>
  <w:style w:type="paragraph" w:customStyle="1" w:styleId="303">
    <w:name w:val="目录17"/>
    <w:basedOn w:val="16"/>
    <w:uiPriority w:val="0"/>
    <w:pPr>
      <w:jc w:val="center"/>
    </w:pPr>
    <w:rPr>
      <w:rFonts w:hint="eastAsia" w:ascii="Times New Roman" w:hAnsi="Times New Roman" w:cs="Times New Roman" w:eastAsiaTheme="minorEastAsia"/>
      <w:b/>
      <w:color w:val="000000"/>
      <w:sz w:val="44"/>
      <w:szCs w:val="22"/>
    </w:rPr>
  </w:style>
  <w:style w:type="character" w:customStyle="1" w:styleId="304">
    <w:name w:val="UserStyle_229"/>
    <w:qFormat/>
    <w:uiPriority w:val="0"/>
    <w:rPr>
      <w:rFonts w:ascii="Calibri" w:hAnsi="Calibri" w:eastAsia="宋体" w:cs="Calibri"/>
      <w:kern w:val="2"/>
      <w:sz w:val="22"/>
      <w:lang w:val="en-US" w:eastAsia="zh-CN" w:bidi="ar-SA"/>
    </w:rPr>
  </w:style>
  <w:style w:type="character" w:customStyle="1" w:styleId="305">
    <w:name w:val="纯文本 Char10"/>
    <w:link w:val="10"/>
    <w:qFormat/>
    <w:uiPriority w:val="0"/>
    <w:rPr>
      <w:rFonts w:ascii="宋体" w:hAnsi="Courier New" w:eastAsia="宋体" w:cs="Courier New"/>
      <w:szCs w:val="21"/>
    </w:rPr>
  </w:style>
  <w:style w:type="paragraph" w:customStyle="1" w:styleId="306">
    <w:name w:val="Table Paragraph22"/>
    <w:basedOn w:val="1"/>
    <w:qFormat/>
    <w:uiPriority w:val="1"/>
    <w:rPr>
      <w:rFonts w:ascii="Times New Roman" w:hAnsi="Times New Roman" w:eastAsia="宋体" w:cs="Times New Roman"/>
      <w:szCs w:val="24"/>
    </w:rPr>
  </w:style>
  <w:style w:type="character" w:customStyle="1" w:styleId="307">
    <w:name w:val="NormalCharacter29"/>
    <w:semiHidden/>
    <w:qFormat/>
    <w:uiPriority w:val="0"/>
  </w:style>
  <w:style w:type="paragraph" w:customStyle="1" w:styleId="308">
    <w:name w:val="WPSOffice手动目录 111"/>
    <w:uiPriority w:val="0"/>
    <w:pPr>
      <w:ind w:leftChars="0"/>
    </w:pPr>
    <w:rPr>
      <w:rFonts w:asciiTheme="minorHAnsi" w:hAnsiTheme="minorHAnsi" w:eastAsiaTheme="minorEastAsia" w:cstheme="minorBidi"/>
      <w:sz w:val="20"/>
      <w:szCs w:val="20"/>
    </w:rPr>
  </w:style>
  <w:style w:type="paragraph" w:customStyle="1" w:styleId="309">
    <w:name w:val="表格标题"/>
    <w:basedOn w:val="310"/>
    <w:uiPriority w:val="0"/>
    <w:pPr>
      <w:suppressLineNumbers/>
      <w:jc w:val="center"/>
    </w:pPr>
    <w:rPr>
      <w:b/>
      <w:bCs/>
    </w:rPr>
  </w:style>
  <w:style w:type="paragraph" w:customStyle="1" w:styleId="310">
    <w:name w:val="表格内容"/>
    <w:basedOn w:val="1"/>
    <w:uiPriority w:val="0"/>
    <w:pPr>
      <w:widowControl w:val="0"/>
      <w:suppressLineNumbers/>
    </w:pPr>
  </w:style>
  <w:style w:type="character" w:customStyle="1" w:styleId="311">
    <w:name w:val="页眉 字符4"/>
    <w:uiPriority w:val="0"/>
    <w:rPr>
      <w:kern w:val="2"/>
      <w:sz w:val="18"/>
      <w:szCs w:val="18"/>
    </w:rPr>
  </w:style>
  <w:style w:type="character" w:customStyle="1" w:styleId="312">
    <w:name w:val="页脚 字符4"/>
    <w:uiPriority w:val="0"/>
    <w:rPr>
      <w:kern w:val="2"/>
      <w:sz w:val="18"/>
      <w:szCs w:val="18"/>
    </w:rPr>
  </w:style>
  <w:style w:type="paragraph" w:customStyle="1" w:styleId="313">
    <w:name w:val="标题样式"/>
    <w:basedOn w:val="1"/>
    <w:next w:val="7"/>
    <w:uiPriority w:val="0"/>
    <w:pPr>
      <w:keepNext/>
      <w:spacing w:before="240" w:after="120"/>
    </w:pPr>
    <w:rPr>
      <w:rFonts w:ascii="Liberation Sans" w:hAnsi="Liberation Sans" w:eastAsia="Noto Sans SC" w:cs="Arial"/>
      <w:sz w:val="28"/>
      <w:szCs w:val="28"/>
    </w:rPr>
  </w:style>
  <w:style w:type="paragraph" w:customStyle="1" w:styleId="314">
    <w:name w:val="批注文字1"/>
    <w:basedOn w:val="1"/>
    <w:uiPriority w:val="0"/>
    <w:pPr>
      <w:jc w:val="left"/>
    </w:pPr>
    <w:rPr>
      <w:szCs w:val="20"/>
    </w:rPr>
  </w:style>
  <w:style w:type="character" w:customStyle="1" w:styleId="315">
    <w:name w:val="纯文本 Char11"/>
    <w:uiPriority w:val="0"/>
    <w:rPr>
      <w:rFonts w:ascii="MingLiU" w:hAnsi="MingLiU" w:eastAsia="MingLiU" w:cs="MingLiU"/>
    </w:rPr>
  </w:style>
  <w:style w:type="character" w:customStyle="1" w:styleId="316">
    <w:name w:val="NormalCharacter112"/>
    <w:uiPriority w:val="0"/>
  </w:style>
  <w:style w:type="character" w:customStyle="1" w:styleId="317">
    <w:name w:val="标题 2 字符4"/>
    <w:uiPriority w:val="0"/>
    <w:rPr>
      <w:rFonts w:eastAsia="楷体"/>
      <w:bCs/>
      <w:kern w:val="2"/>
      <w:sz w:val="32"/>
      <w:szCs w:val="32"/>
    </w:rPr>
  </w:style>
  <w:style w:type="character" w:customStyle="1" w:styleId="318">
    <w:name w:val="WW8Num1z0"/>
    <w:uiPriority w:val="0"/>
  </w:style>
  <w:style w:type="paragraph" w:customStyle="1" w:styleId="319">
    <w:name w:val="新正文32"/>
    <w:basedOn w:val="320"/>
    <w:uiPriority w:val="0"/>
    <w:pPr>
      <w:ind w:left="0" w:right="0" w:firstLine="200"/>
    </w:pPr>
    <w:rPr>
      <w:rFonts w:ascii="仿宋_GB2312" w:hAnsi="仿宋_GB2312" w:cs="仿宋_GB2312"/>
      <w:szCs w:val="21"/>
    </w:rPr>
  </w:style>
  <w:style w:type="paragraph" w:customStyle="1" w:styleId="320">
    <w:name w:val="纯文本1"/>
    <w:basedOn w:val="1"/>
    <w:uiPriority w:val="0"/>
    <w:pPr>
      <w:spacing w:line="360" w:lineRule="atLeast"/>
      <w:jc w:val="left"/>
    </w:pPr>
    <w:rPr>
      <w:rFonts w:ascii="MingLiU" w:hAnsi="MingLiU" w:eastAsia="MingLiU" w:cs="MingLiU"/>
      <w:kern w:val="0"/>
      <w:sz w:val="20"/>
      <w:szCs w:val="20"/>
    </w:rPr>
  </w:style>
  <w:style w:type="character" w:customStyle="1" w:styleId="321">
    <w:name w:val="默认段落字体1"/>
    <w:uiPriority w:val="0"/>
  </w:style>
  <w:style w:type="paragraph" w:customStyle="1" w:styleId="322">
    <w:name w:val="索引"/>
    <w:basedOn w:val="1"/>
    <w:uiPriority w:val="0"/>
    <w:pPr>
      <w:suppressLineNumbers/>
    </w:pPr>
    <w:rPr>
      <w:rFonts w:cs="Arial"/>
    </w:rPr>
  </w:style>
  <w:style w:type="paragraph" w:customStyle="1" w:styleId="323">
    <w:name w:val="批注框文本1"/>
    <w:basedOn w:val="1"/>
    <w:uiPriority w:val="0"/>
    <w:rPr>
      <w:sz w:val="18"/>
      <w:szCs w:val="18"/>
    </w:rPr>
  </w:style>
  <w:style w:type="character" w:customStyle="1" w:styleId="324">
    <w:name w:val="纯文本 Char1"/>
    <w:uiPriority w:val="0"/>
    <w:rPr>
      <w:rFonts w:ascii="宋体" w:hAnsi="宋体" w:cs="Courier New"/>
      <w:kern w:val="2"/>
      <w:sz w:val="21"/>
      <w:szCs w:val="21"/>
    </w:rPr>
  </w:style>
  <w:style w:type="paragraph" w:customStyle="1" w:styleId="325">
    <w:name w:val="列表段落4"/>
    <w:basedOn w:val="1"/>
    <w:uiPriority w:val="0"/>
    <w:pPr>
      <w:ind w:leftChars="0" w:rightChars="0" w:firstLineChars="200"/>
    </w:pPr>
    <w:rPr>
      <w:rFonts w:ascii="Calibri" w:hAnsi="Calibri" w:eastAsia="宋体" w:cs="Times New Roman"/>
      <w:szCs w:val="24"/>
    </w:rPr>
  </w:style>
  <w:style w:type="character" w:customStyle="1" w:styleId="326">
    <w:name w:val="UserStyle_230"/>
    <w:uiPriority w:val="0"/>
    <w:rPr>
      <w:rFonts w:ascii="Calibri" w:hAnsi="Calibri" w:eastAsia="宋体" w:cs="Calibri"/>
      <w:kern w:val="2"/>
      <w:sz w:val="22"/>
      <w:lang w:val="en-US" w:eastAsia="zh-CN"/>
    </w:rPr>
  </w:style>
  <w:style w:type="paragraph" w:customStyle="1" w:styleId="327">
    <w:name w:val="页眉与页脚"/>
    <w:basedOn w:val="1"/>
    <w:uiPriority w:val="0"/>
    <w:pPr>
      <w:suppressLineNumbers/>
      <w:tabs>
        <w:tab w:val="center" w:pos="4819"/>
        <w:tab w:val="right" w:pos="9638"/>
      </w:tabs>
    </w:pPr>
  </w:style>
  <w:style w:type="character" w:customStyle="1" w:styleId="328">
    <w:name w:val="批注文字 字符5"/>
    <w:link w:val="1"/>
    <w:uiPriority w:val="0"/>
    <w:rPr>
      <w:rFonts w:ascii="Times New Roman" w:hAnsi="Times New Roman" w:cs="Times New Roman"/>
      <w:kern w:val="2"/>
      <w:sz w:val="21"/>
    </w:rPr>
  </w:style>
  <w:style w:type="character" w:customStyle="1" w:styleId="329">
    <w:name w:val="批注框文本 字符4"/>
    <w:link w:val="1"/>
    <w:uiPriority w:val="0"/>
    <w:rPr>
      <w:kern w:val="2"/>
      <w:sz w:val="18"/>
      <w:szCs w:val="18"/>
    </w:rPr>
  </w:style>
  <w:style w:type="paragraph" w:customStyle="1" w:styleId="330">
    <w:name w:val="表格标题1"/>
    <w:basedOn w:val="331"/>
    <w:uiPriority w:val="0"/>
    <w:pPr>
      <w:suppressLineNumbers/>
      <w:jc w:val="center"/>
    </w:pPr>
    <w:rPr>
      <w:b/>
      <w:bCs/>
    </w:rPr>
  </w:style>
  <w:style w:type="paragraph" w:customStyle="1" w:styleId="331">
    <w:name w:val="表格内容1"/>
    <w:basedOn w:val="1"/>
    <w:uiPriority w:val="0"/>
    <w:pPr>
      <w:widowControl w:val="0"/>
      <w:suppressLineNumbers/>
    </w:pPr>
  </w:style>
  <w:style w:type="character" w:customStyle="1" w:styleId="332">
    <w:name w:val="页眉 字符5"/>
    <w:uiPriority w:val="0"/>
    <w:rPr>
      <w:kern w:val="2"/>
      <w:sz w:val="18"/>
      <w:szCs w:val="18"/>
    </w:rPr>
  </w:style>
  <w:style w:type="character" w:customStyle="1" w:styleId="333">
    <w:name w:val="页脚 字符5"/>
    <w:uiPriority w:val="0"/>
    <w:rPr>
      <w:kern w:val="2"/>
      <w:sz w:val="18"/>
      <w:szCs w:val="18"/>
    </w:rPr>
  </w:style>
  <w:style w:type="paragraph" w:customStyle="1" w:styleId="334">
    <w:name w:val="标题样式1"/>
    <w:basedOn w:val="1"/>
    <w:next w:val="7"/>
    <w:uiPriority w:val="0"/>
    <w:pPr>
      <w:keepNext/>
      <w:spacing w:before="240" w:after="120"/>
    </w:pPr>
    <w:rPr>
      <w:rFonts w:ascii="Liberation Sans" w:hAnsi="Liberation Sans" w:eastAsia="Noto Sans SC" w:cs="Arial"/>
      <w:sz w:val="28"/>
      <w:szCs w:val="28"/>
    </w:rPr>
  </w:style>
  <w:style w:type="paragraph" w:customStyle="1" w:styleId="335">
    <w:name w:val="批注文字2"/>
    <w:basedOn w:val="1"/>
    <w:uiPriority w:val="0"/>
    <w:pPr>
      <w:jc w:val="left"/>
    </w:pPr>
    <w:rPr>
      <w:szCs w:val="20"/>
    </w:rPr>
  </w:style>
  <w:style w:type="character" w:customStyle="1" w:styleId="336">
    <w:name w:val="纯文本 Char13"/>
    <w:uiPriority w:val="0"/>
    <w:rPr>
      <w:rFonts w:ascii="MingLiU" w:hAnsi="MingLiU" w:eastAsia="MingLiU" w:cs="MingLiU"/>
    </w:rPr>
  </w:style>
  <w:style w:type="character" w:customStyle="1" w:styleId="337">
    <w:name w:val="NormalCharacter113"/>
    <w:uiPriority w:val="0"/>
  </w:style>
  <w:style w:type="character" w:customStyle="1" w:styleId="338">
    <w:name w:val="标题 2 字符5"/>
    <w:uiPriority w:val="0"/>
    <w:rPr>
      <w:rFonts w:eastAsia="楷体"/>
      <w:bCs/>
      <w:kern w:val="2"/>
      <w:sz w:val="32"/>
      <w:szCs w:val="32"/>
    </w:rPr>
  </w:style>
  <w:style w:type="character" w:customStyle="1" w:styleId="339">
    <w:name w:val="WW8Num1z01"/>
    <w:uiPriority w:val="0"/>
  </w:style>
  <w:style w:type="paragraph" w:customStyle="1" w:styleId="340">
    <w:name w:val="新正文33"/>
    <w:basedOn w:val="341"/>
    <w:uiPriority w:val="0"/>
    <w:pPr>
      <w:ind w:left="0" w:right="0" w:firstLine="200"/>
    </w:pPr>
    <w:rPr>
      <w:rFonts w:ascii="仿宋_GB2312" w:hAnsi="仿宋_GB2312" w:cs="仿宋_GB2312"/>
      <w:szCs w:val="21"/>
    </w:rPr>
  </w:style>
  <w:style w:type="paragraph" w:customStyle="1" w:styleId="341">
    <w:name w:val="纯文本2"/>
    <w:basedOn w:val="1"/>
    <w:uiPriority w:val="0"/>
    <w:pPr>
      <w:spacing w:line="360" w:lineRule="atLeast"/>
      <w:jc w:val="left"/>
    </w:pPr>
    <w:rPr>
      <w:rFonts w:ascii="MingLiU" w:hAnsi="MingLiU" w:eastAsia="MingLiU" w:cs="MingLiU"/>
      <w:kern w:val="0"/>
      <w:sz w:val="20"/>
      <w:szCs w:val="20"/>
    </w:rPr>
  </w:style>
  <w:style w:type="character" w:customStyle="1" w:styleId="342">
    <w:name w:val="默认段落字体2"/>
    <w:uiPriority w:val="0"/>
  </w:style>
  <w:style w:type="paragraph" w:customStyle="1" w:styleId="343">
    <w:name w:val="索引1"/>
    <w:basedOn w:val="1"/>
    <w:uiPriority w:val="0"/>
    <w:pPr>
      <w:suppressLineNumbers/>
    </w:pPr>
    <w:rPr>
      <w:rFonts w:cs="Arial"/>
    </w:rPr>
  </w:style>
  <w:style w:type="paragraph" w:customStyle="1" w:styleId="344">
    <w:name w:val="批注框文本2"/>
    <w:basedOn w:val="1"/>
    <w:uiPriority w:val="0"/>
    <w:rPr>
      <w:sz w:val="18"/>
      <w:szCs w:val="18"/>
    </w:rPr>
  </w:style>
  <w:style w:type="character" w:customStyle="1" w:styleId="345">
    <w:name w:val="纯文本 Char14"/>
    <w:uiPriority w:val="0"/>
    <w:rPr>
      <w:rFonts w:ascii="宋体" w:hAnsi="宋体" w:cs="Courier New"/>
      <w:kern w:val="2"/>
      <w:sz w:val="21"/>
      <w:szCs w:val="21"/>
    </w:rPr>
  </w:style>
  <w:style w:type="paragraph" w:customStyle="1" w:styleId="346">
    <w:name w:val="列表段落5"/>
    <w:basedOn w:val="1"/>
    <w:uiPriority w:val="0"/>
    <w:pPr>
      <w:ind w:leftChars="0" w:rightChars="0" w:firstLineChars="200"/>
    </w:pPr>
    <w:rPr>
      <w:rFonts w:ascii="Calibri" w:hAnsi="Calibri" w:eastAsia="宋体" w:cs="Times New Roman"/>
      <w:szCs w:val="24"/>
    </w:rPr>
  </w:style>
  <w:style w:type="character" w:customStyle="1" w:styleId="347">
    <w:name w:val="UserStyle_231"/>
    <w:uiPriority w:val="0"/>
    <w:rPr>
      <w:rFonts w:ascii="Calibri" w:hAnsi="Calibri" w:eastAsia="宋体" w:cs="Calibri"/>
      <w:kern w:val="2"/>
      <w:sz w:val="22"/>
      <w:lang w:val="en-US" w:eastAsia="zh-CN"/>
    </w:rPr>
  </w:style>
  <w:style w:type="paragraph" w:customStyle="1" w:styleId="348">
    <w:name w:val="页眉与页脚1"/>
    <w:basedOn w:val="1"/>
    <w:uiPriority w:val="0"/>
    <w:pPr>
      <w:suppressLineNumbers/>
      <w:tabs>
        <w:tab w:val="center" w:pos="4819"/>
        <w:tab w:val="right" w:pos="9638"/>
      </w:tabs>
    </w:pPr>
  </w:style>
  <w:style w:type="character" w:customStyle="1" w:styleId="349">
    <w:name w:val="批注文字 字符6"/>
    <w:link w:val="1"/>
    <w:uiPriority w:val="0"/>
    <w:rPr>
      <w:rFonts w:ascii="Times New Roman" w:hAnsi="Times New Roman" w:cs="Times New Roman"/>
      <w:kern w:val="2"/>
      <w:sz w:val="21"/>
    </w:rPr>
  </w:style>
  <w:style w:type="character" w:customStyle="1" w:styleId="350">
    <w:name w:val="批注框文本 字符5"/>
    <w:link w:val="1"/>
    <w:uiPriority w:val="0"/>
    <w:rPr>
      <w:kern w:val="2"/>
      <w:sz w:val="18"/>
      <w:szCs w:val="18"/>
    </w:rPr>
  </w:style>
  <w:style w:type="paragraph" w:customStyle="1" w:styleId="351">
    <w:name w:val="新正文34"/>
    <w:basedOn w:val="10"/>
    <w:qFormat/>
    <w:uiPriority w:val="0"/>
    <w:pPr>
      <w:ind w:firstLine="200" w:firstLineChars="200"/>
    </w:pPr>
    <w:rPr>
      <w:rFonts w:ascii="仿宋_GB2312"/>
    </w:rPr>
  </w:style>
  <w:style w:type="character" w:customStyle="1" w:styleId="352">
    <w:name w:val="标题 1 Char17"/>
    <w:link w:val="2"/>
    <w:uiPriority w:val="0"/>
    <w:rPr>
      <w:rFonts w:eastAsia="STFangsong" w:asciiTheme="minorAscii" w:hAnsiTheme="minorAscii"/>
      <w:b/>
      <w:kern w:val="44"/>
      <w:sz w:val="28"/>
      <w:szCs w:val="22"/>
    </w:rPr>
  </w:style>
  <w:style w:type="paragraph" w:customStyle="1" w:styleId="353">
    <w:name w:val="样式217"/>
    <w:basedOn w:val="16"/>
    <w:uiPriority w:val="0"/>
    <w:rPr>
      <w:rFonts w:hint="eastAsia" w:ascii="Times New Roman" w:hAnsi="Times New Roman" w:cs="Times New Roman" w:eastAsiaTheme="minorEastAsia"/>
      <w:b/>
      <w:color w:val="000000"/>
      <w:sz w:val="44"/>
      <w:szCs w:val="22"/>
    </w:rPr>
  </w:style>
  <w:style w:type="paragraph" w:customStyle="1" w:styleId="354">
    <w:name w:val="目录18"/>
    <w:basedOn w:val="16"/>
    <w:uiPriority w:val="0"/>
    <w:pPr>
      <w:jc w:val="center"/>
    </w:pPr>
    <w:rPr>
      <w:rFonts w:hint="eastAsia" w:ascii="Times New Roman" w:hAnsi="Times New Roman" w:cs="Times New Roman" w:eastAsiaTheme="minorEastAsia"/>
      <w:b/>
      <w:color w:val="000000"/>
      <w:sz w:val="44"/>
      <w:szCs w:val="22"/>
    </w:rPr>
  </w:style>
  <w:style w:type="character" w:customStyle="1" w:styleId="355">
    <w:name w:val="UserStyle_232"/>
    <w:qFormat/>
    <w:uiPriority w:val="0"/>
    <w:rPr>
      <w:rFonts w:ascii="Calibri" w:hAnsi="Calibri" w:eastAsia="宋体" w:cs="Calibri"/>
      <w:kern w:val="2"/>
      <w:sz w:val="22"/>
      <w:lang w:val="en-US" w:eastAsia="zh-CN" w:bidi="ar-SA"/>
    </w:rPr>
  </w:style>
  <w:style w:type="character" w:customStyle="1" w:styleId="356">
    <w:name w:val="纯文本 Char15"/>
    <w:link w:val="10"/>
    <w:qFormat/>
    <w:uiPriority w:val="0"/>
    <w:rPr>
      <w:rFonts w:ascii="宋体" w:hAnsi="Courier New" w:eastAsia="宋体" w:cs="Courier New"/>
      <w:szCs w:val="21"/>
    </w:rPr>
  </w:style>
  <w:style w:type="paragraph" w:customStyle="1" w:styleId="357">
    <w:name w:val="Table Paragraph23"/>
    <w:basedOn w:val="1"/>
    <w:qFormat/>
    <w:uiPriority w:val="1"/>
    <w:rPr>
      <w:rFonts w:ascii="Times New Roman" w:hAnsi="Times New Roman" w:eastAsia="宋体" w:cs="Times New Roman"/>
      <w:szCs w:val="24"/>
    </w:rPr>
  </w:style>
  <w:style w:type="character" w:customStyle="1" w:styleId="358">
    <w:name w:val="NormalCharacter30"/>
    <w:semiHidden/>
    <w:qFormat/>
    <w:uiPriority w:val="0"/>
  </w:style>
  <w:style w:type="paragraph" w:customStyle="1" w:styleId="359">
    <w:name w:val="WPSOffice手动目录 112"/>
    <w:uiPriority w:val="0"/>
    <w:pPr>
      <w:ind w:leftChars="0"/>
    </w:pPr>
    <w:rPr>
      <w:rFonts w:asciiTheme="minorHAnsi" w:hAnsiTheme="minorHAnsi" w:eastAsiaTheme="minorEastAsia" w:cstheme="minorBidi"/>
      <w:sz w:val="20"/>
      <w:szCs w:val="20"/>
    </w:rPr>
  </w:style>
  <w:style w:type="paragraph" w:customStyle="1" w:styleId="360">
    <w:name w:val="新正文35"/>
    <w:basedOn w:val="10"/>
    <w:qFormat/>
    <w:uiPriority w:val="0"/>
    <w:pPr>
      <w:ind w:firstLine="200"/>
    </w:pPr>
    <w:rPr>
      <w:rFonts w:ascii="仿宋_GB2312" w:hAnsi="仿宋_GB2312"/>
      <w:szCs w:val="21"/>
    </w:rPr>
  </w:style>
  <w:style w:type="character" w:customStyle="1" w:styleId="361">
    <w:name w:val="UserStyle_233"/>
    <w:semiHidden/>
    <w:qFormat/>
    <w:uiPriority w:val="0"/>
    <w:rPr>
      <w:rFonts w:ascii="Calibri" w:hAnsi="Calibri" w:eastAsia="宋体" w:cs="Times New Roman"/>
      <w:kern w:val="2"/>
      <w:sz w:val="21"/>
      <w:szCs w:val="22"/>
      <w:lang w:val="en-US" w:eastAsia="zh-CN" w:bidi="ar-SA"/>
    </w:rPr>
  </w:style>
  <w:style w:type="character" w:customStyle="1" w:styleId="362">
    <w:name w:val="页眉 Char3"/>
    <w:basedOn w:val="24"/>
    <w:link w:val="15"/>
    <w:uiPriority w:val="0"/>
    <w:rPr>
      <w:color w:val="000000"/>
      <w:sz w:val="18"/>
      <w:szCs w:val="18"/>
    </w:rPr>
  </w:style>
  <w:style w:type="character" w:customStyle="1" w:styleId="363">
    <w:name w:val="页脚 Char3"/>
    <w:basedOn w:val="24"/>
    <w:link w:val="14"/>
    <w:uiPriority w:val="0"/>
    <w:rPr>
      <w:color w:val="000000"/>
      <w:sz w:val="18"/>
      <w:szCs w:val="18"/>
    </w:rPr>
  </w:style>
  <w:style w:type="paragraph" w:customStyle="1" w:styleId="364">
    <w:name w:val="新正文36"/>
    <w:basedOn w:val="10"/>
    <w:qFormat/>
    <w:uiPriority w:val="0"/>
    <w:pPr>
      <w:ind w:firstLine="200" w:firstLineChars="200"/>
    </w:pPr>
    <w:rPr>
      <w:rFonts w:ascii="仿宋_GB2312"/>
    </w:rPr>
  </w:style>
  <w:style w:type="character" w:customStyle="1" w:styleId="365">
    <w:name w:val="标题 1 Char18"/>
    <w:link w:val="2"/>
    <w:uiPriority w:val="0"/>
    <w:rPr>
      <w:rFonts w:eastAsia="STFangsong" w:asciiTheme="minorAscii" w:hAnsiTheme="minorAscii"/>
      <w:b/>
      <w:kern w:val="44"/>
      <w:sz w:val="28"/>
      <w:szCs w:val="22"/>
    </w:rPr>
  </w:style>
  <w:style w:type="paragraph" w:customStyle="1" w:styleId="366">
    <w:name w:val="样式218"/>
    <w:basedOn w:val="16"/>
    <w:uiPriority w:val="0"/>
    <w:rPr>
      <w:rFonts w:hint="eastAsia" w:ascii="Times New Roman" w:hAnsi="Times New Roman" w:cs="Times New Roman" w:eastAsiaTheme="minorEastAsia"/>
      <w:b/>
      <w:color w:val="000000"/>
      <w:sz w:val="44"/>
      <w:szCs w:val="22"/>
    </w:rPr>
  </w:style>
  <w:style w:type="paragraph" w:customStyle="1" w:styleId="367">
    <w:name w:val="目录19"/>
    <w:basedOn w:val="16"/>
    <w:uiPriority w:val="0"/>
    <w:pPr>
      <w:jc w:val="center"/>
    </w:pPr>
    <w:rPr>
      <w:rFonts w:hint="eastAsia" w:ascii="Times New Roman" w:hAnsi="Times New Roman" w:cs="Times New Roman" w:eastAsiaTheme="minorEastAsia"/>
      <w:b/>
      <w:color w:val="000000"/>
      <w:sz w:val="44"/>
      <w:szCs w:val="22"/>
    </w:rPr>
  </w:style>
  <w:style w:type="character" w:customStyle="1" w:styleId="368">
    <w:name w:val="NormalCharacter31"/>
    <w:semiHidden/>
    <w:qFormat/>
    <w:uiPriority w:val="0"/>
  </w:style>
  <w:style w:type="character" w:customStyle="1" w:styleId="369">
    <w:name w:val="UserStyle_234"/>
    <w:qFormat/>
    <w:uiPriority w:val="0"/>
    <w:rPr>
      <w:rFonts w:ascii="Calibri" w:hAnsi="Calibri" w:eastAsia="宋体" w:cs="Calibri"/>
      <w:kern w:val="2"/>
      <w:sz w:val="22"/>
      <w:lang w:val="en-US" w:eastAsia="zh-CN" w:bidi="ar-SA"/>
    </w:rPr>
  </w:style>
  <w:style w:type="paragraph" w:customStyle="1" w:styleId="370">
    <w:name w:val="List Paragraph_8a6d8b00-fd3c-42f4-aa2d-7e6c7a579ae811"/>
    <w:qFormat/>
    <w:uiPriority w:val="0"/>
    <w:pPr>
      <w:widowControl w:val="0"/>
      <w:ind w:firstLine="200" w:firstLineChars="200"/>
      <w:jc w:val="both"/>
    </w:pPr>
    <w:rPr>
      <w:rFonts w:ascii="Times New Roman" w:hAnsi="Times New Roman" w:eastAsia="宋体" w:cs="Times New Roman"/>
      <w:kern w:val="2"/>
      <w:sz w:val="21"/>
      <w:szCs w:val="22"/>
      <w:lang w:val="en-US" w:eastAsia="zh-CN" w:bidi="ar-SA"/>
    </w:rPr>
  </w:style>
  <w:style w:type="character" w:customStyle="1" w:styleId="371">
    <w:name w:val="1514"/>
    <w:basedOn w:val="24"/>
    <w:uiPriority w:val="0"/>
    <w:rPr>
      <w:rFonts w:hint="default" w:ascii="Calibri" w:hAnsi="Calibri" w:eastAsia="宋体" w:cs="Times New Roman"/>
      <w:kern w:val="2"/>
      <w:sz w:val="21"/>
      <w:szCs w:val="21"/>
    </w:rPr>
  </w:style>
  <w:style w:type="paragraph" w:customStyle="1" w:styleId="372">
    <w:name w:val="Table Paragraph24"/>
    <w:basedOn w:val="1"/>
    <w:qFormat/>
    <w:uiPriority w:val="1"/>
    <w:rPr>
      <w:rFonts w:ascii="Times New Roman" w:hAnsi="Times New Roman" w:eastAsia="宋体" w:cs="Times New Roman"/>
      <w:szCs w:val="24"/>
    </w:rPr>
  </w:style>
  <w:style w:type="paragraph" w:customStyle="1" w:styleId="373">
    <w:name w:val="无间隔16"/>
    <w:uiPriority w:val="0"/>
    <w:pPr>
      <w:widowControl w:val="0"/>
      <w:jc w:val="both"/>
    </w:pPr>
    <w:rPr>
      <w:rFonts w:ascii="Calibri" w:hAnsi="Calibri" w:eastAsia="宋体" w:cs="Times New Roman"/>
      <w:kern w:val="2"/>
      <w:sz w:val="21"/>
      <w:szCs w:val="24"/>
      <w:lang w:val="en-US" w:eastAsia="zh-CN" w:bidi="ar-SA"/>
    </w:rPr>
  </w:style>
  <w:style w:type="paragraph" w:customStyle="1" w:styleId="374">
    <w:name w:val="WPSOffice手动目录 113"/>
    <w:uiPriority w:val="0"/>
    <w:pPr>
      <w:ind w:leftChars="0"/>
    </w:pPr>
    <w:rPr>
      <w:rFonts w:asciiTheme="minorHAnsi" w:hAnsiTheme="minorHAnsi" w:eastAsiaTheme="minorEastAsia" w:cstheme="minorBidi"/>
      <w:sz w:val="20"/>
      <w:szCs w:val="20"/>
    </w:rPr>
  </w:style>
  <w:style w:type="paragraph" w:customStyle="1" w:styleId="375">
    <w:name w:val="新正文37"/>
    <w:basedOn w:val="10"/>
    <w:qFormat/>
    <w:uiPriority w:val="0"/>
    <w:pPr>
      <w:ind w:firstLine="200" w:firstLineChars="200"/>
    </w:pPr>
    <w:rPr>
      <w:rFonts w:ascii="仿宋_GB2312"/>
    </w:rPr>
  </w:style>
  <w:style w:type="character" w:customStyle="1" w:styleId="376">
    <w:name w:val="标题 1 Char19"/>
    <w:link w:val="2"/>
    <w:uiPriority w:val="0"/>
    <w:rPr>
      <w:rFonts w:eastAsia="STFangsong" w:asciiTheme="minorAscii" w:hAnsiTheme="minorAscii"/>
      <w:b/>
      <w:kern w:val="44"/>
      <w:sz w:val="28"/>
      <w:szCs w:val="22"/>
    </w:rPr>
  </w:style>
  <w:style w:type="paragraph" w:customStyle="1" w:styleId="377">
    <w:name w:val="样式219"/>
    <w:basedOn w:val="16"/>
    <w:uiPriority w:val="0"/>
    <w:rPr>
      <w:rFonts w:hint="eastAsia" w:ascii="Times New Roman" w:hAnsi="Times New Roman" w:cs="Times New Roman" w:eastAsiaTheme="minorEastAsia"/>
      <w:b/>
      <w:color w:val="000000"/>
      <w:sz w:val="44"/>
      <w:szCs w:val="22"/>
    </w:rPr>
  </w:style>
  <w:style w:type="paragraph" w:customStyle="1" w:styleId="378">
    <w:name w:val="目录20"/>
    <w:basedOn w:val="16"/>
    <w:uiPriority w:val="0"/>
    <w:pPr>
      <w:jc w:val="center"/>
    </w:pPr>
    <w:rPr>
      <w:rFonts w:hint="eastAsia" w:ascii="Times New Roman" w:hAnsi="Times New Roman" w:cs="Times New Roman" w:eastAsiaTheme="minorEastAsia"/>
      <w:b/>
      <w:color w:val="000000"/>
      <w:sz w:val="44"/>
      <w:szCs w:val="22"/>
    </w:rPr>
  </w:style>
  <w:style w:type="character" w:customStyle="1" w:styleId="379">
    <w:name w:val="UserStyle_235"/>
    <w:qFormat/>
    <w:uiPriority w:val="0"/>
    <w:rPr>
      <w:rFonts w:ascii="Calibri" w:hAnsi="Calibri" w:eastAsia="宋体" w:cs="Calibri"/>
      <w:kern w:val="2"/>
      <w:sz w:val="22"/>
      <w:lang w:val="en-US" w:eastAsia="zh-CN" w:bidi="ar-SA"/>
    </w:rPr>
  </w:style>
  <w:style w:type="character" w:customStyle="1" w:styleId="380">
    <w:name w:val="纯文本 Char16"/>
    <w:link w:val="10"/>
    <w:qFormat/>
    <w:uiPriority w:val="0"/>
    <w:rPr>
      <w:rFonts w:ascii="宋体" w:hAnsi="Courier New" w:eastAsia="宋体" w:cs="Courier New"/>
      <w:szCs w:val="21"/>
    </w:rPr>
  </w:style>
  <w:style w:type="paragraph" w:customStyle="1" w:styleId="381">
    <w:name w:val="Table Paragraph25"/>
    <w:basedOn w:val="1"/>
    <w:qFormat/>
    <w:uiPriority w:val="1"/>
    <w:rPr>
      <w:rFonts w:ascii="Times New Roman" w:hAnsi="Times New Roman" w:eastAsia="宋体" w:cs="Times New Roman"/>
      <w:szCs w:val="24"/>
    </w:rPr>
  </w:style>
  <w:style w:type="character" w:customStyle="1" w:styleId="382">
    <w:name w:val="NormalCharacter32"/>
    <w:semiHidden/>
    <w:qFormat/>
    <w:uiPriority w:val="0"/>
  </w:style>
  <w:style w:type="paragraph" w:customStyle="1" w:styleId="383">
    <w:name w:val="WPSOffice手动目录 114"/>
    <w:uiPriority w:val="0"/>
    <w:pPr>
      <w:ind w:leftChars="0"/>
    </w:pPr>
    <w:rPr>
      <w:rFonts w:asciiTheme="minorHAnsi" w:hAnsiTheme="minorHAnsi" w:eastAsiaTheme="minorEastAsia" w:cstheme="minorBidi"/>
      <w:sz w:val="20"/>
      <w:szCs w:val="20"/>
    </w:rPr>
  </w:style>
</w:styles>
</file>

<file path=word/_rels/document.xml.rels><?xml version="1.0" encoding="UTF-8" standalone="yes"?>
<Relationships xmlns="http://schemas.openxmlformats.org/package/2006/relationships"><Relationship Id="rId99" Type="http://schemas.openxmlformats.org/officeDocument/2006/relationships/header" Target="header49.xml"/><Relationship Id="rId98" Type="http://schemas.openxmlformats.org/officeDocument/2006/relationships/footer" Target="footer48.xml"/><Relationship Id="rId97" Type="http://schemas.openxmlformats.org/officeDocument/2006/relationships/header" Target="header48.xml"/><Relationship Id="rId96" Type="http://schemas.openxmlformats.org/officeDocument/2006/relationships/footer" Target="footer47.xml"/><Relationship Id="rId95" Type="http://schemas.openxmlformats.org/officeDocument/2006/relationships/header" Target="header47.xml"/><Relationship Id="rId94" Type="http://schemas.openxmlformats.org/officeDocument/2006/relationships/footer" Target="footer46.xml"/><Relationship Id="rId93" Type="http://schemas.openxmlformats.org/officeDocument/2006/relationships/header" Target="header46.xml"/><Relationship Id="rId92" Type="http://schemas.openxmlformats.org/officeDocument/2006/relationships/footer" Target="footer45.xml"/><Relationship Id="rId91" Type="http://schemas.openxmlformats.org/officeDocument/2006/relationships/header" Target="header45.xml"/><Relationship Id="rId90" Type="http://schemas.openxmlformats.org/officeDocument/2006/relationships/footer" Target="footer44.xml"/><Relationship Id="rId9" Type="http://schemas.openxmlformats.org/officeDocument/2006/relationships/header" Target="header4.xml"/><Relationship Id="rId89" Type="http://schemas.openxmlformats.org/officeDocument/2006/relationships/header" Target="header44.xml"/><Relationship Id="rId88" Type="http://schemas.openxmlformats.org/officeDocument/2006/relationships/footer" Target="footer43.xml"/><Relationship Id="rId87" Type="http://schemas.openxmlformats.org/officeDocument/2006/relationships/header" Target="header43.xml"/><Relationship Id="rId86" Type="http://schemas.openxmlformats.org/officeDocument/2006/relationships/footer" Target="footer42.xml"/><Relationship Id="rId85" Type="http://schemas.openxmlformats.org/officeDocument/2006/relationships/header" Target="header42.xml"/><Relationship Id="rId84" Type="http://schemas.openxmlformats.org/officeDocument/2006/relationships/footer" Target="footer41.xml"/><Relationship Id="rId83" Type="http://schemas.openxmlformats.org/officeDocument/2006/relationships/header" Target="header41.xml"/><Relationship Id="rId82" Type="http://schemas.openxmlformats.org/officeDocument/2006/relationships/footer" Target="footer40.xml"/><Relationship Id="rId81" Type="http://schemas.openxmlformats.org/officeDocument/2006/relationships/header" Target="header40.xml"/><Relationship Id="rId80" Type="http://schemas.openxmlformats.org/officeDocument/2006/relationships/footer" Target="footer39.xml"/><Relationship Id="rId8" Type="http://schemas.openxmlformats.org/officeDocument/2006/relationships/footer" Target="footer3.xml"/><Relationship Id="rId79" Type="http://schemas.openxmlformats.org/officeDocument/2006/relationships/header" Target="header39.xml"/><Relationship Id="rId78" Type="http://schemas.openxmlformats.org/officeDocument/2006/relationships/footer" Target="footer38.xml"/><Relationship Id="rId77" Type="http://schemas.openxmlformats.org/officeDocument/2006/relationships/header" Target="header38.xml"/><Relationship Id="rId76" Type="http://schemas.openxmlformats.org/officeDocument/2006/relationships/footer" Target="footer37.xml"/><Relationship Id="rId75" Type="http://schemas.openxmlformats.org/officeDocument/2006/relationships/header" Target="header37.xml"/><Relationship Id="rId74" Type="http://schemas.openxmlformats.org/officeDocument/2006/relationships/footer" Target="footer36.xml"/><Relationship Id="rId73" Type="http://schemas.openxmlformats.org/officeDocument/2006/relationships/header" Target="header36.xml"/><Relationship Id="rId72" Type="http://schemas.openxmlformats.org/officeDocument/2006/relationships/footer" Target="footer35.xml"/><Relationship Id="rId71" Type="http://schemas.openxmlformats.org/officeDocument/2006/relationships/header" Target="header35.xml"/><Relationship Id="rId70" Type="http://schemas.openxmlformats.org/officeDocument/2006/relationships/footer" Target="footer34.xml"/><Relationship Id="rId7" Type="http://schemas.openxmlformats.org/officeDocument/2006/relationships/header" Target="header3.xml"/><Relationship Id="rId69" Type="http://schemas.openxmlformats.org/officeDocument/2006/relationships/header" Target="header34.xml"/><Relationship Id="rId68" Type="http://schemas.openxmlformats.org/officeDocument/2006/relationships/footer" Target="footer33.xml"/><Relationship Id="rId67" Type="http://schemas.openxmlformats.org/officeDocument/2006/relationships/header" Target="header33.xml"/><Relationship Id="rId66" Type="http://schemas.openxmlformats.org/officeDocument/2006/relationships/footer" Target="footer32.xml"/><Relationship Id="rId65" Type="http://schemas.openxmlformats.org/officeDocument/2006/relationships/header" Target="header32.xml"/><Relationship Id="rId64" Type="http://schemas.openxmlformats.org/officeDocument/2006/relationships/footer" Target="footer31.xml"/><Relationship Id="rId63" Type="http://schemas.openxmlformats.org/officeDocument/2006/relationships/header" Target="header31.xml"/><Relationship Id="rId62" Type="http://schemas.openxmlformats.org/officeDocument/2006/relationships/footer" Target="footer30.xml"/><Relationship Id="rId61" Type="http://schemas.openxmlformats.org/officeDocument/2006/relationships/header" Target="header30.xml"/><Relationship Id="rId60" Type="http://schemas.openxmlformats.org/officeDocument/2006/relationships/footer" Target="footer29.xml"/><Relationship Id="rId6" Type="http://schemas.openxmlformats.org/officeDocument/2006/relationships/footer" Target="footer2.xml"/><Relationship Id="rId59" Type="http://schemas.openxmlformats.org/officeDocument/2006/relationships/header" Target="header29.xml"/><Relationship Id="rId58" Type="http://schemas.openxmlformats.org/officeDocument/2006/relationships/footer" Target="footer28.xml"/><Relationship Id="rId57" Type="http://schemas.openxmlformats.org/officeDocument/2006/relationships/header" Target="header28.xml"/><Relationship Id="rId56" Type="http://schemas.openxmlformats.org/officeDocument/2006/relationships/footer" Target="footer27.xml"/><Relationship Id="rId55" Type="http://schemas.openxmlformats.org/officeDocument/2006/relationships/header" Target="header27.xml"/><Relationship Id="rId54" Type="http://schemas.openxmlformats.org/officeDocument/2006/relationships/footer" Target="footer26.xml"/><Relationship Id="rId53" Type="http://schemas.openxmlformats.org/officeDocument/2006/relationships/header" Target="header26.xml"/><Relationship Id="rId52" Type="http://schemas.openxmlformats.org/officeDocument/2006/relationships/footer" Target="footer25.xml"/><Relationship Id="rId51" Type="http://schemas.openxmlformats.org/officeDocument/2006/relationships/header" Target="header25.xml"/><Relationship Id="rId50" Type="http://schemas.openxmlformats.org/officeDocument/2006/relationships/footer" Target="footer24.xml"/><Relationship Id="rId5" Type="http://schemas.openxmlformats.org/officeDocument/2006/relationships/header" Target="header2.xml"/><Relationship Id="rId49" Type="http://schemas.openxmlformats.org/officeDocument/2006/relationships/header" Target="header24.xml"/><Relationship Id="rId48" Type="http://schemas.openxmlformats.org/officeDocument/2006/relationships/footer" Target="footer23.xml"/><Relationship Id="rId47" Type="http://schemas.openxmlformats.org/officeDocument/2006/relationships/header" Target="header23.xml"/><Relationship Id="rId46" Type="http://schemas.openxmlformats.org/officeDocument/2006/relationships/footer" Target="footer22.xml"/><Relationship Id="rId45" Type="http://schemas.openxmlformats.org/officeDocument/2006/relationships/header" Target="header22.xml"/><Relationship Id="rId44" Type="http://schemas.openxmlformats.org/officeDocument/2006/relationships/footer" Target="footer21.xml"/><Relationship Id="rId43" Type="http://schemas.openxmlformats.org/officeDocument/2006/relationships/header" Target="header21.xml"/><Relationship Id="rId42" Type="http://schemas.openxmlformats.org/officeDocument/2006/relationships/footer" Target="footer20.xml"/><Relationship Id="rId41" Type="http://schemas.openxmlformats.org/officeDocument/2006/relationships/header" Target="header20.xml"/><Relationship Id="rId40" Type="http://schemas.openxmlformats.org/officeDocument/2006/relationships/footer" Target="footer19.xml"/><Relationship Id="rId4" Type="http://schemas.openxmlformats.org/officeDocument/2006/relationships/footer" Target="footer1.xml"/><Relationship Id="rId39" Type="http://schemas.openxmlformats.org/officeDocument/2006/relationships/header" Target="header19.xml"/><Relationship Id="rId38" Type="http://schemas.openxmlformats.org/officeDocument/2006/relationships/footer" Target="footer18.xml"/><Relationship Id="rId37" Type="http://schemas.openxmlformats.org/officeDocument/2006/relationships/header" Target="header18.xml"/><Relationship Id="rId36" Type="http://schemas.openxmlformats.org/officeDocument/2006/relationships/footer" Target="footer17.xml"/><Relationship Id="rId35" Type="http://schemas.openxmlformats.org/officeDocument/2006/relationships/header" Target="header17.xml"/><Relationship Id="rId34" Type="http://schemas.openxmlformats.org/officeDocument/2006/relationships/footer" Target="footer16.xml"/><Relationship Id="rId33" Type="http://schemas.openxmlformats.org/officeDocument/2006/relationships/header" Target="header16.xml"/><Relationship Id="rId32" Type="http://schemas.openxmlformats.org/officeDocument/2006/relationships/footer" Target="footer15.xml"/><Relationship Id="rId31" Type="http://schemas.openxmlformats.org/officeDocument/2006/relationships/header" Target="header15.xml"/><Relationship Id="rId30" Type="http://schemas.openxmlformats.org/officeDocument/2006/relationships/footer" Target="footer14.xml"/><Relationship Id="rId3" Type="http://schemas.openxmlformats.org/officeDocument/2006/relationships/header" Target="header1.xml"/><Relationship Id="rId29" Type="http://schemas.openxmlformats.org/officeDocument/2006/relationships/header" Target="header14.xml"/><Relationship Id="rId28" Type="http://schemas.openxmlformats.org/officeDocument/2006/relationships/footer" Target="footer13.xml"/><Relationship Id="rId27" Type="http://schemas.openxmlformats.org/officeDocument/2006/relationships/header" Target="header13.xml"/><Relationship Id="rId26" Type="http://schemas.openxmlformats.org/officeDocument/2006/relationships/footer" Target="footer12.xml"/><Relationship Id="rId25" Type="http://schemas.openxmlformats.org/officeDocument/2006/relationships/header" Target="header12.xml"/><Relationship Id="rId24" Type="http://schemas.openxmlformats.org/officeDocument/2006/relationships/footer" Target="footer11.xml"/><Relationship Id="rId23" Type="http://schemas.openxmlformats.org/officeDocument/2006/relationships/header" Target="header11.xml"/><Relationship Id="rId22" Type="http://schemas.openxmlformats.org/officeDocument/2006/relationships/footer" Target="footer10.xml"/><Relationship Id="rId21" Type="http://schemas.openxmlformats.org/officeDocument/2006/relationships/header" Target="header10.xml"/><Relationship Id="rId20" Type="http://schemas.openxmlformats.org/officeDocument/2006/relationships/footer" Target="footer9.xml"/><Relationship Id="rId2" Type="http://schemas.openxmlformats.org/officeDocument/2006/relationships/settings" Target="settings.xml"/><Relationship Id="rId19" Type="http://schemas.openxmlformats.org/officeDocument/2006/relationships/header" Target="header9.xml"/><Relationship Id="rId18" Type="http://schemas.openxmlformats.org/officeDocument/2006/relationships/footer" Target="footer8.xml"/><Relationship Id="rId17" Type="http://schemas.openxmlformats.org/officeDocument/2006/relationships/header" Target="header8.xml"/><Relationship Id="rId168" Type="http://schemas.openxmlformats.org/officeDocument/2006/relationships/fontTable" Target="fontTable.xml"/><Relationship Id="rId167" Type="http://schemas.openxmlformats.org/officeDocument/2006/relationships/numbering" Target="numbering.xml"/><Relationship Id="rId166" Type="http://schemas.openxmlformats.org/officeDocument/2006/relationships/customXml" Target="../customXml/item1.xml"/><Relationship Id="rId165" Type="http://schemas.openxmlformats.org/officeDocument/2006/relationships/image" Target="media/image22.png"/><Relationship Id="rId164" Type="http://schemas.openxmlformats.org/officeDocument/2006/relationships/image" Target="media/image21.jpeg"/><Relationship Id="rId163" Type="http://schemas.openxmlformats.org/officeDocument/2006/relationships/image" Target="media/image20.jpeg"/><Relationship Id="rId162" Type="http://schemas.openxmlformats.org/officeDocument/2006/relationships/image" Target="media/image19.jpeg"/><Relationship Id="rId161" Type="http://schemas.openxmlformats.org/officeDocument/2006/relationships/image" Target="media/image18.jpeg"/><Relationship Id="rId160" Type="http://schemas.openxmlformats.org/officeDocument/2006/relationships/image" Target="media/image17.png"/><Relationship Id="rId16" Type="http://schemas.openxmlformats.org/officeDocument/2006/relationships/footer" Target="footer7.xml"/><Relationship Id="rId159" Type="http://schemas.openxmlformats.org/officeDocument/2006/relationships/image" Target="media/image16.jpeg"/><Relationship Id="rId158" Type="http://schemas.openxmlformats.org/officeDocument/2006/relationships/image" Target="media/image15.jpeg"/><Relationship Id="rId157" Type="http://schemas.openxmlformats.org/officeDocument/2006/relationships/image" Target="media/image14.jpeg"/><Relationship Id="rId156" Type="http://schemas.openxmlformats.org/officeDocument/2006/relationships/image" Target="media/image13.png"/><Relationship Id="rId155" Type="http://schemas.openxmlformats.org/officeDocument/2006/relationships/image" Target="media/image12.jpeg"/><Relationship Id="rId154" Type="http://schemas.openxmlformats.org/officeDocument/2006/relationships/image" Target="media/image11.png"/><Relationship Id="rId153" Type="http://schemas.openxmlformats.org/officeDocument/2006/relationships/image" Target="media/image10.jpeg"/><Relationship Id="rId152" Type="http://schemas.openxmlformats.org/officeDocument/2006/relationships/image" Target="media/image9.png"/><Relationship Id="rId151" Type="http://schemas.openxmlformats.org/officeDocument/2006/relationships/image" Target="media/image8.png"/><Relationship Id="rId150" Type="http://schemas.openxmlformats.org/officeDocument/2006/relationships/image" Target="media/image7.jpeg"/><Relationship Id="rId15" Type="http://schemas.openxmlformats.org/officeDocument/2006/relationships/header" Target="header7.xml"/><Relationship Id="rId149" Type="http://schemas.openxmlformats.org/officeDocument/2006/relationships/image" Target="media/image6.jpeg"/><Relationship Id="rId148" Type="http://schemas.openxmlformats.org/officeDocument/2006/relationships/image" Target="media/image5.png"/><Relationship Id="rId147" Type="http://schemas.openxmlformats.org/officeDocument/2006/relationships/image" Target="media/image4.png"/><Relationship Id="rId146" Type="http://schemas.openxmlformats.org/officeDocument/2006/relationships/image" Target="media/image3.png"/><Relationship Id="rId145" Type="http://schemas.openxmlformats.org/officeDocument/2006/relationships/image" Target="media/image2.png"/><Relationship Id="rId144" Type="http://schemas.openxmlformats.org/officeDocument/2006/relationships/image" Target="media/image1.png"/><Relationship Id="rId143" Type="http://schemas.openxmlformats.org/officeDocument/2006/relationships/theme" Target="theme/theme1.xml"/><Relationship Id="rId142" Type="http://schemas.openxmlformats.org/officeDocument/2006/relationships/footer" Target="footer70.xml"/><Relationship Id="rId141" Type="http://schemas.openxmlformats.org/officeDocument/2006/relationships/header" Target="header70.xml"/><Relationship Id="rId140" Type="http://schemas.openxmlformats.org/officeDocument/2006/relationships/footer" Target="footer69.xml"/><Relationship Id="rId14" Type="http://schemas.openxmlformats.org/officeDocument/2006/relationships/footer" Target="footer6.xml"/><Relationship Id="rId139" Type="http://schemas.openxmlformats.org/officeDocument/2006/relationships/header" Target="header69.xml"/><Relationship Id="rId138" Type="http://schemas.openxmlformats.org/officeDocument/2006/relationships/footer" Target="footer68.xml"/><Relationship Id="rId137" Type="http://schemas.openxmlformats.org/officeDocument/2006/relationships/header" Target="header68.xml"/><Relationship Id="rId136" Type="http://schemas.openxmlformats.org/officeDocument/2006/relationships/footer" Target="footer67.xml"/><Relationship Id="rId135" Type="http://schemas.openxmlformats.org/officeDocument/2006/relationships/header" Target="header67.xml"/><Relationship Id="rId134" Type="http://schemas.openxmlformats.org/officeDocument/2006/relationships/footer" Target="footer66.xml"/><Relationship Id="rId133" Type="http://schemas.openxmlformats.org/officeDocument/2006/relationships/header" Target="header66.xml"/><Relationship Id="rId132" Type="http://schemas.openxmlformats.org/officeDocument/2006/relationships/footer" Target="footer65.xml"/><Relationship Id="rId131" Type="http://schemas.openxmlformats.org/officeDocument/2006/relationships/header" Target="header65.xml"/><Relationship Id="rId130" Type="http://schemas.openxmlformats.org/officeDocument/2006/relationships/footer" Target="footer64.xml"/><Relationship Id="rId13" Type="http://schemas.openxmlformats.org/officeDocument/2006/relationships/header" Target="header6.xml"/><Relationship Id="rId129" Type="http://schemas.openxmlformats.org/officeDocument/2006/relationships/header" Target="header64.xml"/><Relationship Id="rId128" Type="http://schemas.openxmlformats.org/officeDocument/2006/relationships/footer" Target="footer63.xml"/><Relationship Id="rId127" Type="http://schemas.openxmlformats.org/officeDocument/2006/relationships/header" Target="header63.xml"/><Relationship Id="rId126" Type="http://schemas.openxmlformats.org/officeDocument/2006/relationships/footer" Target="footer62.xml"/><Relationship Id="rId125" Type="http://schemas.openxmlformats.org/officeDocument/2006/relationships/header" Target="header62.xml"/><Relationship Id="rId124" Type="http://schemas.openxmlformats.org/officeDocument/2006/relationships/footer" Target="footer61.xml"/><Relationship Id="rId123" Type="http://schemas.openxmlformats.org/officeDocument/2006/relationships/header" Target="header61.xml"/><Relationship Id="rId122" Type="http://schemas.openxmlformats.org/officeDocument/2006/relationships/footer" Target="footer60.xml"/><Relationship Id="rId121" Type="http://schemas.openxmlformats.org/officeDocument/2006/relationships/header" Target="header60.xml"/><Relationship Id="rId120" Type="http://schemas.openxmlformats.org/officeDocument/2006/relationships/footer" Target="footer59.xml"/><Relationship Id="rId12" Type="http://schemas.openxmlformats.org/officeDocument/2006/relationships/footer" Target="footer5.xml"/><Relationship Id="rId119" Type="http://schemas.openxmlformats.org/officeDocument/2006/relationships/header" Target="header59.xml"/><Relationship Id="rId118" Type="http://schemas.openxmlformats.org/officeDocument/2006/relationships/footer" Target="footer58.xml"/><Relationship Id="rId117" Type="http://schemas.openxmlformats.org/officeDocument/2006/relationships/header" Target="header58.xml"/><Relationship Id="rId116" Type="http://schemas.openxmlformats.org/officeDocument/2006/relationships/footer" Target="footer57.xml"/><Relationship Id="rId115" Type="http://schemas.openxmlformats.org/officeDocument/2006/relationships/header" Target="header57.xml"/><Relationship Id="rId114" Type="http://schemas.openxmlformats.org/officeDocument/2006/relationships/footer" Target="footer56.xml"/><Relationship Id="rId113" Type="http://schemas.openxmlformats.org/officeDocument/2006/relationships/header" Target="header56.xml"/><Relationship Id="rId112" Type="http://schemas.openxmlformats.org/officeDocument/2006/relationships/footer" Target="footer55.xml"/><Relationship Id="rId111" Type="http://schemas.openxmlformats.org/officeDocument/2006/relationships/header" Target="header55.xml"/><Relationship Id="rId110" Type="http://schemas.openxmlformats.org/officeDocument/2006/relationships/footer" Target="footer54.xml"/><Relationship Id="rId11" Type="http://schemas.openxmlformats.org/officeDocument/2006/relationships/header" Target="header5.xml"/><Relationship Id="rId109" Type="http://schemas.openxmlformats.org/officeDocument/2006/relationships/header" Target="header54.xml"/><Relationship Id="rId108" Type="http://schemas.openxmlformats.org/officeDocument/2006/relationships/footer" Target="footer53.xml"/><Relationship Id="rId107" Type="http://schemas.openxmlformats.org/officeDocument/2006/relationships/header" Target="header53.xml"/><Relationship Id="rId106" Type="http://schemas.openxmlformats.org/officeDocument/2006/relationships/footer" Target="footer52.xml"/><Relationship Id="rId105" Type="http://schemas.openxmlformats.org/officeDocument/2006/relationships/header" Target="header52.xml"/><Relationship Id="rId104" Type="http://schemas.openxmlformats.org/officeDocument/2006/relationships/footer" Target="footer51.xml"/><Relationship Id="rId103" Type="http://schemas.openxmlformats.org/officeDocument/2006/relationships/header" Target="header51.xml"/><Relationship Id="rId102" Type="http://schemas.openxmlformats.org/officeDocument/2006/relationships/footer" Target="footer50.xml"/><Relationship Id="rId101" Type="http://schemas.openxmlformats.org/officeDocument/2006/relationships/header" Target="header50.xml"/><Relationship Id="rId100" Type="http://schemas.openxmlformats.org/officeDocument/2006/relationships/footer" Target="footer49.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309</Pages>
  <Words>0</Words>
  <Characters>0</Characters>
  <Lines>0</Lines>
  <Paragraphs>0</Paragraphs>
  <TotalTime>1</TotalTime>
  <ScaleCrop>false</ScaleCrop>
  <LinksUpToDate>false</LinksUpToDate>
  <CharactersWithSpaces>0</CharactersWithSpaces>
  <Application>WPS Office_12.1.25867.25867_F1E327BC-269C-435d-A152-05C5408002CA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2026-09-07T08:39:00Z</dcterms:created>
  <dc:creator>·J ·</dc:creator>
  <cp:lastModifiedBy>·J ·</cp:lastModifiedBy>
  <dcterms:modified xsi:type="dcterms:W3CDTF">2026-09-16T13:08:09Z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2052-12.1.25867.25867</vt:lpwstr>
  </property>
  <property fmtid="{D5CDD505-2E9C-101B-9397-08002B2CF9AE}" pid="3" name="ICV">
    <vt:lpwstr>8251C42A2537300188979D6A103B6A70_43</vt:lpwstr>
  </property>
</Properties>
</file>